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footer28.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header32.xml" ContentType="application/vnd.openxmlformats-officedocument.wordprocessingml.header+xml"/>
  <Override PartName="/word/footer31.xml" ContentType="application/vnd.openxmlformats-officedocument.wordprocessingml.footer+xml"/>
  <Override PartName="/word/header33.xml" ContentType="application/vnd.openxmlformats-officedocument.wordprocessingml.header+xml"/>
  <Override PartName="/word/footer32.xml" ContentType="application/vnd.openxmlformats-officedocument.wordprocessingml.footer+xml"/>
  <Override PartName="/word/header34.xml" ContentType="application/vnd.openxmlformats-officedocument.wordprocessingml.header+xml"/>
  <Override PartName="/word/footer33.xml" ContentType="application/vnd.openxmlformats-officedocument.wordprocessingml.footer+xml"/>
  <Override PartName="/word/header35.xml" ContentType="application/vnd.openxmlformats-officedocument.wordprocessingml.header+xml"/>
  <Override PartName="/word/footer34.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header37.xml" ContentType="application/vnd.openxmlformats-officedocument.wordprocessingml.header+xml"/>
  <Override PartName="/word/footer36.xml" ContentType="application/vnd.openxmlformats-officedocument.wordprocessingml.footer+xml"/>
  <Override PartName="/word/header38.xml" ContentType="application/vnd.openxmlformats-officedocument.wordprocessingml.header+xml"/>
  <Override PartName="/word/footer37.xml" ContentType="application/vnd.openxmlformats-officedocument.wordprocessingml.footer+xml"/>
  <Override PartName="/word/header39.xml" ContentType="application/vnd.openxmlformats-officedocument.wordprocessingml.header+xml"/>
  <Override PartName="/word/footer38.xml" ContentType="application/vnd.openxmlformats-officedocument.wordprocessingml.footer+xml"/>
  <Override PartName="/word/header40.xml" ContentType="application/vnd.openxmlformats-officedocument.wordprocessingml.header+xml"/>
  <Override PartName="/word/footer39.xml" ContentType="application/vnd.openxmlformats-officedocument.wordprocessingml.footer+xml"/>
  <Override PartName="/word/header41.xml" ContentType="application/vnd.openxmlformats-officedocument.wordprocessingml.header+xml"/>
  <Override PartName="/word/footer40.xml" ContentType="application/vnd.openxmlformats-officedocument.wordprocessingml.footer+xml"/>
  <Override PartName="/word/header42.xml" ContentType="application/vnd.openxmlformats-officedocument.wordprocessingml.header+xml"/>
  <Override PartName="/word/footer41.xml" ContentType="application/vnd.openxmlformats-officedocument.wordprocessingml.footer+xml"/>
  <Override PartName="/word/header43.xml" ContentType="application/vnd.openxmlformats-officedocument.wordprocessingml.header+xml"/>
  <Override PartName="/word/footer42.xml" ContentType="application/vnd.openxmlformats-officedocument.wordprocessingml.footer+xml"/>
  <Override PartName="/word/header44.xml" ContentType="application/vnd.openxmlformats-officedocument.wordprocessingml.header+xml"/>
  <Override PartName="/word/footer43.xml" ContentType="application/vnd.openxmlformats-officedocument.wordprocessingml.footer+xml"/>
  <Override PartName="/word/header45.xml" ContentType="application/vnd.openxmlformats-officedocument.wordprocessingml.header+xml"/>
  <Override PartName="/word/footer44.xml" ContentType="application/vnd.openxmlformats-officedocument.wordprocessingml.footer+xml"/>
  <Override PartName="/word/header46.xml" ContentType="application/vnd.openxmlformats-officedocument.wordprocessingml.header+xml"/>
  <Override PartName="/word/footer45.xml" ContentType="application/vnd.openxmlformats-officedocument.wordprocessingml.footer+xml"/>
  <Override PartName="/word/header47.xml" ContentType="application/vnd.openxmlformats-officedocument.wordprocessingml.header+xml"/>
  <Override PartName="/word/footer46.xml" ContentType="application/vnd.openxmlformats-officedocument.wordprocessingml.footer+xml"/>
  <Override PartName="/word/header48.xml" ContentType="application/vnd.openxmlformats-officedocument.wordprocessingml.header+xml"/>
  <Override PartName="/word/footer47.xml" ContentType="application/vnd.openxmlformats-officedocument.wordprocessingml.footer+xml"/>
  <Override PartName="/word/header49.xml" ContentType="application/vnd.openxmlformats-officedocument.wordprocessingml.header+xml"/>
  <Override PartName="/word/footer48.xml" ContentType="application/vnd.openxmlformats-officedocument.wordprocessingml.footer+xml"/>
  <Override PartName="/word/header50.xml" ContentType="application/vnd.openxmlformats-officedocument.wordprocessingml.header+xml"/>
  <Override PartName="/word/footer49.xml" ContentType="application/vnd.openxmlformats-officedocument.wordprocessingml.footer+xml"/>
  <Override PartName="/word/header51.xml" ContentType="application/vnd.openxmlformats-officedocument.wordprocessingml.header+xml"/>
  <Override PartName="/word/footer50.xml" ContentType="application/vnd.openxmlformats-officedocument.wordprocessingml.footer+xml"/>
  <Override PartName="/word/header52.xml" ContentType="application/vnd.openxmlformats-officedocument.wordprocessingml.header+xml"/>
  <Override PartName="/word/footer51.xml" ContentType="application/vnd.openxmlformats-officedocument.wordprocessingml.footer+xml"/>
  <Override PartName="/word/header53.xml" ContentType="application/vnd.openxmlformats-officedocument.wordprocessingml.header+xml"/>
  <Override PartName="/word/footer52.xml" ContentType="application/vnd.openxmlformats-officedocument.wordprocessingml.footer+xml"/>
  <Override PartName="/word/header54.xml" ContentType="application/vnd.openxmlformats-officedocument.wordprocessingml.header+xml"/>
  <Override PartName="/word/footer53.xml" ContentType="application/vnd.openxmlformats-officedocument.wordprocessingml.footer+xml"/>
  <Override PartName="/word/header55.xml" ContentType="application/vnd.openxmlformats-officedocument.wordprocessingml.header+xml"/>
  <Override PartName="/word/footer54.xml" ContentType="application/vnd.openxmlformats-officedocument.wordprocessingml.footer+xml"/>
  <Override PartName="/word/header56.xml" ContentType="application/vnd.openxmlformats-officedocument.wordprocessingml.header+xml"/>
  <Override PartName="/word/footer55.xml" ContentType="application/vnd.openxmlformats-officedocument.wordprocessingml.footer+xml"/>
  <Override PartName="/word/header57.xml" ContentType="application/vnd.openxmlformats-officedocument.wordprocessingml.header+xml"/>
  <Override PartName="/word/footer56.xml" ContentType="application/vnd.openxmlformats-officedocument.wordprocessingml.footer+xml"/>
  <Override PartName="/word/header58.xml" ContentType="application/vnd.openxmlformats-officedocument.wordprocessingml.header+xml"/>
  <Override PartName="/word/footer57.xml" ContentType="application/vnd.openxmlformats-officedocument.wordprocessingml.footer+xml"/>
  <Override PartName="/word/header59.xml" ContentType="application/vnd.openxmlformats-officedocument.wordprocessingml.header+xml"/>
  <Override PartName="/word/footer58.xml" ContentType="application/vnd.openxmlformats-officedocument.wordprocessingml.footer+xml"/>
  <Override PartName="/word/header60.xml" ContentType="application/vnd.openxmlformats-officedocument.wordprocessingml.header+xml"/>
  <Override PartName="/word/footer59.xml" ContentType="application/vnd.openxmlformats-officedocument.wordprocessingml.footer+xml"/>
  <Override PartName="/word/header61.xml" ContentType="application/vnd.openxmlformats-officedocument.wordprocessingml.header+xml"/>
  <Override PartName="/word/footer60.xml" ContentType="application/vnd.openxmlformats-officedocument.wordprocessingml.footer+xml"/>
  <Override PartName="/word/header62.xml" ContentType="application/vnd.openxmlformats-officedocument.wordprocessingml.header+xml"/>
  <Override PartName="/word/footer61.xml" ContentType="application/vnd.openxmlformats-officedocument.wordprocessingml.footer+xml"/>
  <Override PartName="/word/header63.xml" ContentType="application/vnd.openxmlformats-officedocument.wordprocessingml.header+xml"/>
  <Override PartName="/word/footer62.xml" ContentType="application/vnd.openxmlformats-officedocument.wordprocessingml.footer+xml"/>
  <Override PartName="/word/header64.xml" ContentType="application/vnd.openxmlformats-officedocument.wordprocessingml.header+xml"/>
  <Override PartName="/word/footer63.xml" ContentType="application/vnd.openxmlformats-officedocument.wordprocessingml.footer+xml"/>
  <Override PartName="/word/header65.xml" ContentType="application/vnd.openxmlformats-officedocument.wordprocessingml.header+xml"/>
  <Override PartName="/word/footer64.xml" ContentType="application/vnd.openxmlformats-officedocument.wordprocessingml.footer+xml"/>
  <Override PartName="/word/header66.xml" ContentType="application/vnd.openxmlformats-officedocument.wordprocessingml.header+xml"/>
  <Override PartName="/word/footer65.xml" ContentType="application/vnd.openxmlformats-officedocument.wordprocessingml.footer+xml"/>
  <Override PartName="/word/header67.xml" ContentType="application/vnd.openxmlformats-officedocument.wordprocessingml.header+xml"/>
  <Override PartName="/word/footer66.xml" ContentType="application/vnd.openxmlformats-officedocument.wordprocessingml.footer+xml"/>
  <Override PartName="/word/header68.xml" ContentType="application/vnd.openxmlformats-officedocument.wordprocessingml.header+xml"/>
  <Override PartName="/word/footer67.xml" ContentType="application/vnd.openxmlformats-officedocument.wordprocessingml.footer+xml"/>
  <Override PartName="/word/header69.xml" ContentType="application/vnd.openxmlformats-officedocument.wordprocessingml.header+xml"/>
  <Override PartName="/word/footer68.xml" ContentType="application/vnd.openxmlformats-officedocument.wordprocessingml.footer+xml"/>
  <Override PartName="/word/header70.xml" ContentType="application/vnd.openxmlformats-officedocument.wordprocessingml.header+xml"/>
  <Override PartName="/word/footer69.xml" ContentType="application/vnd.openxmlformats-officedocument.wordprocessingml.footer+xml"/>
  <Override PartName="/word/header71.xml" ContentType="application/vnd.openxmlformats-officedocument.wordprocessingml.header+xml"/>
  <Override PartName="/word/footer70.xml" ContentType="application/vnd.openxmlformats-officedocument.wordprocessingml.footer+xml"/>
  <Override PartName="/word/header72.xml" ContentType="application/vnd.openxmlformats-officedocument.wordprocessingml.header+xml"/>
  <Override PartName="/word/footer71.xml" ContentType="application/vnd.openxmlformats-officedocument.wordprocessingml.footer+xml"/>
  <Override PartName="/word/header73.xml" ContentType="application/vnd.openxmlformats-officedocument.wordprocessingml.header+xml"/>
  <Override PartName="/word/footer72.xml" ContentType="application/vnd.openxmlformats-officedocument.wordprocessingml.footer+xml"/>
  <Override PartName="/word/header74.xml" ContentType="application/vnd.openxmlformats-officedocument.wordprocessingml.header+xml"/>
  <Override PartName="/word/footer73.xml" ContentType="application/vnd.openxmlformats-officedocument.wordprocessingml.footer+xml"/>
  <Override PartName="/word/header75.xml" ContentType="application/vnd.openxmlformats-officedocument.wordprocessingml.header+xml"/>
  <Override PartName="/word/footer74.xml" ContentType="application/vnd.openxmlformats-officedocument.wordprocessingml.footer+xml"/>
  <Override PartName="/word/header76.xml" ContentType="application/vnd.openxmlformats-officedocument.wordprocessingml.header+xml"/>
  <Override PartName="/word/footer75.xml" ContentType="application/vnd.openxmlformats-officedocument.wordprocessingml.footer+xml"/>
  <Override PartName="/word/header77.xml" ContentType="application/vnd.openxmlformats-officedocument.wordprocessingml.header+xml"/>
  <Override PartName="/word/footer76.xml" ContentType="application/vnd.openxmlformats-officedocument.wordprocessingml.footer+xml"/>
  <Override PartName="/word/header78.xml" ContentType="application/vnd.openxmlformats-officedocument.wordprocessingml.header+xml"/>
  <Override PartName="/word/footer77.xml" ContentType="application/vnd.openxmlformats-officedocument.wordprocessingml.footer+xml"/>
  <Override PartName="/word/header79.xml" ContentType="application/vnd.openxmlformats-officedocument.wordprocessingml.header+xml"/>
  <Override PartName="/word/footer78.xml" ContentType="application/vnd.openxmlformats-officedocument.wordprocessingml.footer+xml"/>
  <Override PartName="/word/header80.xml" ContentType="application/vnd.openxmlformats-officedocument.wordprocessingml.header+xml"/>
  <Override PartName="/word/footer79.xml" ContentType="application/vnd.openxmlformats-officedocument.wordprocessingml.footer+xml"/>
  <Override PartName="/word/header81.xml" ContentType="application/vnd.openxmlformats-officedocument.wordprocessingml.header+xml"/>
  <Override PartName="/word/footer80.xml" ContentType="application/vnd.openxmlformats-officedocument.wordprocessingml.footer+xml"/>
  <Override PartName="/word/header82.xml" ContentType="application/vnd.openxmlformats-officedocument.wordprocessingml.header+xml"/>
  <Override PartName="/word/footer81.xml" ContentType="application/vnd.openxmlformats-officedocument.wordprocessingml.footer+xml"/>
  <Override PartName="/word/header83.xml" ContentType="application/vnd.openxmlformats-officedocument.wordprocessingml.header+xml"/>
  <Override PartName="/word/footer82.xml" ContentType="application/vnd.openxmlformats-officedocument.wordprocessingml.footer+xml"/>
  <Override PartName="/word/header84.xml" ContentType="application/vnd.openxmlformats-officedocument.wordprocessingml.header+xml"/>
  <Override PartName="/word/footer83.xml" ContentType="application/vnd.openxmlformats-officedocument.wordprocessingml.footer+xml"/>
  <Override PartName="/word/header85.xml" ContentType="application/vnd.openxmlformats-officedocument.wordprocessingml.header+xml"/>
  <Override PartName="/word/footer84.xml" ContentType="application/vnd.openxmlformats-officedocument.wordprocessingml.footer+xml"/>
  <Override PartName="/word/header86.xml" ContentType="application/vnd.openxmlformats-officedocument.wordprocessingml.header+xml"/>
  <Override PartName="/word/footer85.xml" ContentType="application/vnd.openxmlformats-officedocument.wordprocessingml.footer+xml"/>
  <Override PartName="/word/header87.xml" ContentType="application/vnd.openxmlformats-officedocument.wordprocessingml.header+xml"/>
  <Override PartName="/word/footer86.xml" ContentType="application/vnd.openxmlformats-officedocument.wordprocessingml.footer+xml"/>
  <Override PartName="/word/header88.xml" ContentType="application/vnd.openxmlformats-officedocument.wordprocessingml.header+xml"/>
  <Override PartName="/word/footer87.xml" ContentType="application/vnd.openxmlformats-officedocument.wordprocessingml.footer+xml"/>
  <Override PartName="/word/header89.xml" ContentType="application/vnd.openxmlformats-officedocument.wordprocessingml.header+xml"/>
  <Override PartName="/word/footer88.xml" ContentType="application/vnd.openxmlformats-officedocument.wordprocessingml.footer+xml"/>
  <Override PartName="/word/header90.xml" ContentType="application/vnd.openxmlformats-officedocument.wordprocessingml.header+xml"/>
  <Override PartName="/word/footer89.xml" ContentType="application/vnd.openxmlformats-officedocument.wordprocessingml.footer+xml"/>
  <Override PartName="/word/header91.xml" ContentType="application/vnd.openxmlformats-officedocument.wordprocessingml.header+xml"/>
  <Override PartName="/word/footer90.xml" ContentType="application/vnd.openxmlformats-officedocument.wordprocessingml.footer+xml"/>
  <Override PartName="/word/header92.xml" ContentType="application/vnd.openxmlformats-officedocument.wordprocessingml.header+xml"/>
  <Override PartName="/word/footer91.xml" ContentType="application/vnd.openxmlformats-officedocument.wordprocessingml.footer+xml"/>
  <Override PartName="/word/header93.xml" ContentType="application/vnd.openxmlformats-officedocument.wordprocessingml.header+xml"/>
  <Override PartName="/word/footer92.xml" ContentType="application/vnd.openxmlformats-officedocument.wordprocessingml.footer+xml"/>
  <Override PartName="/word/header94.xml" ContentType="application/vnd.openxmlformats-officedocument.wordprocessingml.header+xml"/>
  <Override PartName="/word/footer93.xml" ContentType="application/vnd.openxmlformats-officedocument.wordprocessingml.footer+xml"/>
  <Override PartName="/word/header95.xml" ContentType="application/vnd.openxmlformats-officedocument.wordprocessingml.header+xml"/>
  <Override PartName="/word/footer94.xml" ContentType="application/vnd.openxmlformats-officedocument.wordprocessingml.footer+xml"/>
  <Override PartName="/word/header96.xml" ContentType="application/vnd.openxmlformats-officedocument.wordprocessingml.header+xml"/>
  <Override PartName="/word/footer95.xml" ContentType="application/vnd.openxmlformats-officedocument.wordprocessingml.footer+xml"/>
  <Override PartName="/word/header97.xml" ContentType="application/vnd.openxmlformats-officedocument.wordprocessingml.header+xml"/>
  <Override PartName="/word/footer96.xml" ContentType="application/vnd.openxmlformats-officedocument.wordprocessingml.footer+xml"/>
  <Override PartName="/word/header98.xml" ContentType="application/vnd.openxmlformats-officedocument.wordprocessingml.header+xml"/>
  <Override PartName="/word/footer97.xml" ContentType="application/vnd.openxmlformats-officedocument.wordprocessingml.footer+xml"/>
  <Override PartName="/word/header99.xml" ContentType="application/vnd.openxmlformats-officedocument.wordprocessingml.header+xml"/>
  <Override PartName="/word/footer98.xml" ContentType="application/vnd.openxmlformats-officedocument.wordprocessingml.footer+xml"/>
  <Override PartName="/word/header100.xml" ContentType="application/vnd.openxmlformats-officedocument.wordprocessingml.header+xml"/>
  <Override PartName="/word/footer99.xml" ContentType="application/vnd.openxmlformats-officedocument.wordprocessingml.footer+xml"/>
  <Override PartName="/word/header101.xml" ContentType="application/vnd.openxmlformats-officedocument.wordprocessingml.header+xml"/>
  <Override PartName="/word/footer100.xml" ContentType="application/vnd.openxmlformats-officedocument.wordprocessingml.footer+xml"/>
  <Override PartName="/word/header102.xml" ContentType="application/vnd.openxmlformats-officedocument.wordprocessingml.header+xml"/>
  <Override PartName="/word/footer101.xml" ContentType="application/vnd.openxmlformats-officedocument.wordprocessingml.footer+xml"/>
  <Override PartName="/word/header103.xml" ContentType="application/vnd.openxmlformats-officedocument.wordprocessingml.header+xml"/>
  <Override PartName="/word/footer102.xml" ContentType="application/vnd.openxmlformats-officedocument.wordprocessingml.footer+xml"/>
  <Override PartName="/word/header104.xml" ContentType="application/vnd.openxmlformats-officedocument.wordprocessingml.header+xml"/>
  <Override PartName="/word/footer103.xml" ContentType="application/vnd.openxmlformats-officedocument.wordprocessingml.footer+xml"/>
  <Override PartName="/word/header105.xml" ContentType="application/vnd.openxmlformats-officedocument.wordprocessingml.header+xml"/>
  <Override PartName="/word/footer104.xml" ContentType="application/vnd.openxmlformats-officedocument.wordprocessingml.footer+xml"/>
  <Override PartName="/word/header106.xml" ContentType="application/vnd.openxmlformats-officedocument.wordprocessingml.header+xml"/>
  <Override PartName="/word/footer105.xml" ContentType="application/vnd.openxmlformats-officedocument.wordprocessingml.footer+xml"/>
  <Override PartName="/word/header107.xml" ContentType="application/vnd.openxmlformats-officedocument.wordprocessingml.header+xml"/>
  <Override PartName="/word/footer106.xml" ContentType="application/vnd.openxmlformats-officedocument.wordprocessingml.footer+xml"/>
  <Override PartName="/word/header108.xml" ContentType="application/vnd.openxmlformats-officedocument.wordprocessingml.header+xml"/>
  <Override PartName="/word/footer107.xml" ContentType="application/vnd.openxmlformats-officedocument.wordprocessingml.footer+xml"/>
  <Override PartName="/word/header109.xml" ContentType="application/vnd.openxmlformats-officedocument.wordprocessingml.header+xml"/>
  <Override PartName="/word/footer108.xml" ContentType="application/vnd.openxmlformats-officedocument.wordprocessingml.footer+xml"/>
  <Override PartName="/word/header110.xml" ContentType="application/vnd.openxmlformats-officedocument.wordprocessingml.header+xml"/>
  <Override PartName="/word/footer109.xml" ContentType="application/vnd.openxmlformats-officedocument.wordprocessingml.footer+xml"/>
  <Override PartName="/word/header111.xml" ContentType="application/vnd.openxmlformats-officedocument.wordprocessingml.header+xml"/>
  <Override PartName="/word/footer110.xml" ContentType="application/vnd.openxmlformats-officedocument.wordprocessingml.footer+xml"/>
  <Override PartName="/word/header112.xml" ContentType="application/vnd.openxmlformats-officedocument.wordprocessingml.header+xml"/>
  <Override PartName="/word/footer111.xml" ContentType="application/vnd.openxmlformats-officedocument.wordprocessingml.footer+xml"/>
  <Override PartName="/word/header113.xml" ContentType="application/vnd.openxmlformats-officedocument.wordprocessingml.header+xml"/>
  <Override PartName="/word/footer112.xml" ContentType="application/vnd.openxmlformats-officedocument.wordprocessingml.footer+xml"/>
  <Override PartName="/word/header114.xml" ContentType="application/vnd.openxmlformats-officedocument.wordprocessingml.header+xml"/>
  <Override PartName="/word/footer113.xml" ContentType="application/vnd.openxmlformats-officedocument.wordprocessingml.footer+xml"/>
  <Default Extension="png" ContentType="image/png"/>
  <Override PartName="/word/header115.xml" ContentType="application/vnd.openxmlformats-officedocument.wordprocessingml.header+xml"/>
  <Override PartName="/word/footer114.xml" ContentType="application/vnd.openxmlformats-officedocument.wordprocessingml.footer+xml"/>
  <Override PartName="/word/header116.xml" ContentType="application/vnd.openxmlformats-officedocument.wordprocessingml.header+xml"/>
  <Override PartName="/word/footer115.xml" ContentType="application/vnd.openxmlformats-officedocument.wordprocessingml.footer+xml"/>
  <Override PartName="/word/header117.xml" ContentType="application/vnd.openxmlformats-officedocument.wordprocessingml.header+xml"/>
  <Override PartName="/word/footer116.xml" ContentType="application/vnd.openxmlformats-officedocument.wordprocessingml.footer+xml"/>
  <Override PartName="/word/header118.xml" ContentType="application/vnd.openxmlformats-officedocument.wordprocessingml.header+xml"/>
  <Override PartName="/word/footer117.xml" ContentType="application/vnd.openxmlformats-officedocument.wordprocessingml.footer+xml"/>
  <Override PartName="/word/header119.xml" ContentType="application/vnd.openxmlformats-officedocument.wordprocessingml.header+xml"/>
  <Override PartName="/word/footer118.xml" ContentType="application/vnd.openxmlformats-officedocument.wordprocessingml.footer+xml"/>
  <Override PartName="/word/header120.xml" ContentType="application/vnd.openxmlformats-officedocument.wordprocessingml.header+xml"/>
  <Override PartName="/word/footer119.xml" ContentType="application/vnd.openxmlformats-officedocument.wordprocessingml.footer+xml"/>
  <Override PartName="/word/header121.xml" ContentType="application/vnd.openxmlformats-officedocument.wordprocessingml.header+xml"/>
  <Override PartName="/word/footer120.xml" ContentType="application/vnd.openxmlformats-officedocument.wordprocessingml.footer+xml"/>
  <Override PartName="/word/header122.xml" ContentType="application/vnd.openxmlformats-officedocument.wordprocessingml.header+xml"/>
  <Override PartName="/word/footer121.xml" ContentType="application/vnd.openxmlformats-officedocument.wordprocessingml.footer+xml"/>
  <Override PartName="/word/header123.xml" ContentType="application/vnd.openxmlformats-officedocument.wordprocessingml.header+xml"/>
  <Override PartName="/word/footer122.xml" ContentType="application/vnd.openxmlformats-officedocument.wordprocessingml.footer+xml"/>
  <Override PartName="/word/header124.xml" ContentType="application/vnd.openxmlformats-officedocument.wordprocessingml.header+xml"/>
  <Override PartName="/word/footer123.xml" ContentType="application/vnd.openxmlformats-officedocument.wordprocessingml.footer+xml"/>
  <Override PartName="/word/header125.xml" ContentType="application/vnd.openxmlformats-officedocument.wordprocessingml.header+xml"/>
  <Override PartName="/word/footer124.xml" ContentType="application/vnd.openxmlformats-officedocument.wordprocessingml.footer+xml"/>
  <Override PartName="/word/header126.xml" ContentType="application/vnd.openxmlformats-officedocument.wordprocessingml.header+xml"/>
  <Override PartName="/word/footer125.xml" ContentType="application/vnd.openxmlformats-officedocument.wordprocessingml.footer+xml"/>
  <Override PartName="/word/header127.xml" ContentType="application/vnd.openxmlformats-officedocument.wordprocessingml.header+xml"/>
  <Override PartName="/word/footer126.xml" ContentType="application/vnd.openxmlformats-officedocument.wordprocessingml.footer+xml"/>
  <Override PartName="/word/header128.xml" ContentType="application/vnd.openxmlformats-officedocument.wordprocessingml.header+xml"/>
  <Override PartName="/word/footer127.xml" ContentType="application/vnd.openxmlformats-officedocument.wordprocessingml.footer+xml"/>
  <Override PartName="/word/header129.xml" ContentType="application/vnd.openxmlformats-officedocument.wordprocessingml.header+xml"/>
  <Override PartName="/word/footer128.xml" ContentType="application/vnd.openxmlformats-officedocument.wordprocessingml.footer+xml"/>
  <Override PartName="/word/header130.xml" ContentType="application/vnd.openxmlformats-officedocument.wordprocessingml.header+xml"/>
  <Override PartName="/word/footer129.xml" ContentType="application/vnd.openxmlformats-officedocument.wordprocessingml.footer+xml"/>
  <Override PartName="/word/header131.xml" ContentType="application/vnd.openxmlformats-officedocument.wordprocessingml.header+xml"/>
  <Override PartName="/word/footer130.xml" ContentType="application/vnd.openxmlformats-officedocument.wordprocessingml.footer+xml"/>
  <Override PartName="/word/header132.xml" ContentType="application/vnd.openxmlformats-officedocument.wordprocessingml.header+xml"/>
  <Override PartName="/word/footer131.xml" ContentType="application/vnd.openxmlformats-officedocument.wordprocessingml.footer+xml"/>
  <Override PartName="/word/header133.xml" ContentType="application/vnd.openxmlformats-officedocument.wordprocessingml.header+xml"/>
  <Override PartName="/word/footer132.xml" ContentType="application/vnd.openxmlformats-officedocument.wordprocessingml.footer+xml"/>
  <Override PartName="/word/header134.xml" ContentType="application/vnd.openxmlformats-officedocument.wordprocessingml.header+xml"/>
  <Override PartName="/word/footer133.xml" ContentType="application/vnd.openxmlformats-officedocument.wordprocessingml.footer+xml"/>
  <Override PartName="/word/header135.xml" ContentType="application/vnd.openxmlformats-officedocument.wordprocessingml.header+xml"/>
  <Override PartName="/word/footer134.xml" ContentType="application/vnd.openxmlformats-officedocument.wordprocessingml.footer+xml"/>
  <Override PartName="/word/header136.xml" ContentType="application/vnd.openxmlformats-officedocument.wordprocessingml.header+xml"/>
  <Override PartName="/word/footer135.xml" ContentType="application/vnd.openxmlformats-officedocument.wordprocessingml.footer+xml"/>
  <Override PartName="/word/header137.xml" ContentType="application/vnd.openxmlformats-officedocument.wordprocessingml.header+xml"/>
  <Override PartName="/word/footer136.xml" ContentType="application/vnd.openxmlformats-officedocument.wordprocessingml.footer+xml"/>
  <Override PartName="/word/header138.xml" ContentType="application/vnd.openxmlformats-officedocument.wordprocessingml.header+xml"/>
  <Override PartName="/word/footer137.xml" ContentType="application/vnd.openxmlformats-officedocument.wordprocessingml.footer+xml"/>
  <Override PartName="/word/header139.xml" ContentType="application/vnd.openxmlformats-officedocument.wordprocessingml.header+xml"/>
  <Override PartName="/word/footer138.xml" ContentType="application/vnd.openxmlformats-officedocument.wordprocessingml.footer+xml"/>
  <Override PartName="/word/header140.xml" ContentType="application/vnd.openxmlformats-officedocument.wordprocessingml.header+xml"/>
  <Override PartName="/word/footer139.xml" ContentType="application/vnd.openxmlformats-officedocument.wordprocessingml.footer+xml"/>
  <Override PartName="/word/header141.xml" ContentType="application/vnd.openxmlformats-officedocument.wordprocessingml.header+xml"/>
  <Override PartName="/word/footer140.xml" ContentType="application/vnd.openxmlformats-officedocument.wordprocessingml.footer+xml"/>
  <Override PartName="/word/header142.xml" ContentType="application/vnd.openxmlformats-officedocument.wordprocessingml.header+xml"/>
  <Override PartName="/word/footer141.xml" ContentType="application/vnd.openxmlformats-officedocument.wordprocessingml.footer+xml"/>
  <Override PartName="/word/header143.xml" ContentType="application/vnd.openxmlformats-officedocument.wordprocessingml.header+xml"/>
  <Override PartName="/word/footer142.xml" ContentType="application/vnd.openxmlformats-officedocument.wordprocessingml.footer+xml"/>
  <Override PartName="/word/header144.xml" ContentType="application/vnd.openxmlformats-officedocument.wordprocessingml.header+xml"/>
  <Override PartName="/word/footer143.xml" ContentType="application/vnd.openxmlformats-officedocument.wordprocessingml.footer+xml"/>
  <Override PartName="/word/header145.xml" ContentType="application/vnd.openxmlformats-officedocument.wordprocessingml.header+xml"/>
  <Override PartName="/word/footer144.xml" ContentType="application/vnd.openxmlformats-officedocument.wordprocessingml.footer+xml"/>
  <Override PartName="/word/header146.xml" ContentType="application/vnd.openxmlformats-officedocument.wordprocessingml.header+xml"/>
  <Override PartName="/word/footer145.xml" ContentType="application/vnd.openxmlformats-officedocument.wordprocessingml.footer+xml"/>
  <Override PartName="/word/header147.xml" ContentType="application/vnd.openxmlformats-officedocument.wordprocessingml.header+xml"/>
  <Override PartName="/word/footer146.xml" ContentType="application/vnd.openxmlformats-officedocument.wordprocessingml.footer+xml"/>
  <Override PartName="/word/header148.xml" ContentType="application/vnd.openxmlformats-officedocument.wordprocessingml.header+xml"/>
  <Override PartName="/word/footer147.xml" ContentType="application/vnd.openxmlformats-officedocument.wordprocessingml.footer+xml"/>
  <Override PartName="/word/header149.xml" ContentType="application/vnd.openxmlformats-officedocument.wordprocessingml.header+xml"/>
  <Override PartName="/word/footer148.xml" ContentType="application/vnd.openxmlformats-officedocument.wordprocessingml.footer+xml"/>
  <Override PartName="/word/header150.xml" ContentType="application/vnd.openxmlformats-officedocument.wordprocessingml.header+xml"/>
  <Override PartName="/word/footer149.xml" ContentType="application/vnd.openxmlformats-officedocument.wordprocessingml.footer+xml"/>
  <Override PartName="/word/header151.xml" ContentType="application/vnd.openxmlformats-officedocument.wordprocessingml.header+xml"/>
  <Override PartName="/word/footer150.xml" ContentType="application/vnd.openxmlformats-officedocument.wordprocessingml.footer+xml"/>
  <Override PartName="/word/header152.xml" ContentType="application/vnd.openxmlformats-officedocument.wordprocessingml.header+xml"/>
  <Override PartName="/word/footer151.xml" ContentType="application/vnd.openxmlformats-officedocument.wordprocessingml.footer+xml"/>
  <Override PartName="/word/header153.xml" ContentType="application/vnd.openxmlformats-officedocument.wordprocessingml.header+xml"/>
  <Override PartName="/word/footer152.xml" ContentType="application/vnd.openxmlformats-officedocument.wordprocessingml.footer+xml"/>
  <Override PartName="/word/header154.xml" ContentType="application/vnd.openxmlformats-officedocument.wordprocessingml.header+xml"/>
  <Override PartName="/word/footer153.xml" ContentType="application/vnd.openxmlformats-officedocument.wordprocessingml.footer+xml"/>
  <Override PartName="/word/header155.xml" ContentType="application/vnd.openxmlformats-officedocument.wordprocessingml.header+xml"/>
  <Override PartName="/word/footer154.xml" ContentType="application/vnd.openxmlformats-officedocument.wordprocessingml.footer+xml"/>
  <Override PartName="/word/header156.xml" ContentType="application/vnd.openxmlformats-officedocument.wordprocessingml.header+xml"/>
  <Override PartName="/word/footer155.xml" ContentType="application/vnd.openxmlformats-officedocument.wordprocessingml.footer+xml"/>
  <Override PartName="/word/header157.xml" ContentType="application/vnd.openxmlformats-officedocument.wordprocessingml.header+xml"/>
  <Override PartName="/word/footer156.xml" ContentType="application/vnd.openxmlformats-officedocument.wordprocessingml.footer+xml"/>
  <Override PartName="/word/header158.xml" ContentType="application/vnd.openxmlformats-officedocument.wordprocessingml.header+xml"/>
  <Override PartName="/word/footer157.xml" ContentType="application/vnd.openxmlformats-officedocument.wordprocessingml.footer+xml"/>
  <Override PartName="/word/header159.xml" ContentType="application/vnd.openxmlformats-officedocument.wordprocessingml.header+xml"/>
  <Override PartName="/word/footer158.xml" ContentType="application/vnd.openxmlformats-officedocument.wordprocessingml.footer+xml"/>
  <Override PartName="/word/header160.xml" ContentType="application/vnd.openxmlformats-officedocument.wordprocessingml.header+xml"/>
  <Override PartName="/word/footer159.xml" ContentType="application/vnd.openxmlformats-officedocument.wordprocessingml.footer+xml"/>
  <Override PartName="/word/header161.xml" ContentType="application/vnd.openxmlformats-officedocument.wordprocessingml.header+xml"/>
  <Override PartName="/word/footer160.xml" ContentType="application/vnd.openxmlformats-officedocument.wordprocessingml.footer+xml"/>
  <Override PartName="/word/header162.xml" ContentType="application/vnd.openxmlformats-officedocument.wordprocessingml.header+xml"/>
  <Override PartName="/word/footer161.xml" ContentType="application/vnd.openxmlformats-officedocument.wordprocessingml.footer+xml"/>
  <Override PartName="/word/header163.xml" ContentType="application/vnd.openxmlformats-officedocument.wordprocessingml.header+xml"/>
  <Override PartName="/word/footer162.xml" ContentType="application/vnd.openxmlformats-officedocument.wordprocessingml.footer+xml"/>
  <Override PartName="/word/header164.xml" ContentType="application/vnd.openxmlformats-officedocument.wordprocessingml.header+xml"/>
  <Override PartName="/word/footer163.xml" ContentType="application/vnd.openxmlformats-officedocument.wordprocessingml.footer+xml"/>
  <Override PartName="/word/header165.xml" ContentType="application/vnd.openxmlformats-officedocument.wordprocessingml.header+xml"/>
  <Override PartName="/word/footer164.xml" ContentType="application/vnd.openxmlformats-officedocument.wordprocessingml.footer+xml"/>
  <Override PartName="/word/header166.xml" ContentType="application/vnd.openxmlformats-officedocument.wordprocessingml.header+xml"/>
  <Override PartName="/word/footer165.xml" ContentType="application/vnd.openxmlformats-officedocument.wordprocessingml.footer+xml"/>
  <Override PartName="/word/header167.xml" ContentType="application/vnd.openxmlformats-officedocument.wordprocessingml.header+xml"/>
  <Override PartName="/word/footer166.xml" ContentType="application/vnd.openxmlformats-officedocument.wordprocessingml.footer+xml"/>
  <Override PartName="/word/header168.xml" ContentType="application/vnd.openxmlformats-officedocument.wordprocessingml.header+xml"/>
  <Override PartName="/word/footer167.xml" ContentType="application/vnd.openxmlformats-officedocument.wordprocessingml.footer+xml"/>
  <Override PartName="/word/header169.xml" ContentType="application/vnd.openxmlformats-officedocument.wordprocessingml.header+xml"/>
  <Override PartName="/word/footer168.xml" ContentType="application/vnd.openxmlformats-officedocument.wordprocessingml.footer+xml"/>
  <Override PartName="/word/header170.xml" ContentType="application/vnd.openxmlformats-officedocument.wordprocessingml.header+xml"/>
  <Override PartName="/word/footer169.xml" ContentType="application/vnd.openxmlformats-officedocument.wordprocessingml.footer+xml"/>
  <Override PartName="/word/header171.xml" ContentType="application/vnd.openxmlformats-officedocument.wordprocessingml.header+xml"/>
  <Override PartName="/word/footer170.xml" ContentType="application/vnd.openxmlformats-officedocument.wordprocessingml.footer+xml"/>
  <Override PartName="/word/header172.xml" ContentType="application/vnd.openxmlformats-officedocument.wordprocessingml.header+xml"/>
  <Override PartName="/word/footer171.xml" ContentType="application/vnd.openxmlformats-officedocument.wordprocessingml.footer+xml"/>
  <Override PartName="/word/header173.xml" ContentType="application/vnd.openxmlformats-officedocument.wordprocessingml.header+xml"/>
  <Override PartName="/word/footer172.xml" ContentType="application/vnd.openxmlformats-officedocument.wordprocessingml.footer+xml"/>
  <Override PartName="/word/header174.xml" ContentType="application/vnd.openxmlformats-officedocument.wordprocessingml.header+xml"/>
  <Override PartName="/word/footer173.xml" ContentType="application/vnd.openxmlformats-officedocument.wordprocessingml.footer+xml"/>
  <Override PartName="/word/header175.xml" ContentType="application/vnd.openxmlformats-officedocument.wordprocessingml.header+xml"/>
  <Override PartName="/word/footer174.xml" ContentType="application/vnd.openxmlformats-officedocument.wordprocessingml.footer+xml"/>
  <Override PartName="/word/header176.xml" ContentType="application/vnd.openxmlformats-officedocument.wordprocessingml.header+xml"/>
  <Override PartName="/word/footer175.xml" ContentType="application/vnd.openxmlformats-officedocument.wordprocessingml.footer+xml"/>
  <Override PartName="/word/header177.xml" ContentType="application/vnd.openxmlformats-officedocument.wordprocessingml.header+xml"/>
  <Override PartName="/word/footer176.xml" ContentType="application/vnd.openxmlformats-officedocument.wordprocessingml.footer+xml"/>
  <Override PartName="/word/header178.xml" ContentType="application/vnd.openxmlformats-officedocument.wordprocessingml.header+xml"/>
  <Override PartName="/word/footer177.xml" ContentType="application/vnd.openxmlformats-officedocument.wordprocessingml.footer+xml"/>
  <Override PartName="/word/header179.xml" ContentType="application/vnd.openxmlformats-officedocument.wordprocessingml.header+xml"/>
  <Override PartName="/word/footer178.xml" ContentType="application/vnd.openxmlformats-officedocument.wordprocessingml.footer+xml"/>
  <Override PartName="/word/header180.xml" ContentType="application/vnd.openxmlformats-officedocument.wordprocessingml.header+xml"/>
  <Override PartName="/word/footer179.xml" ContentType="application/vnd.openxmlformats-officedocument.wordprocessingml.footer+xml"/>
  <Override PartName="/word/header181.xml" ContentType="application/vnd.openxmlformats-officedocument.wordprocessingml.header+xml"/>
  <Override PartName="/word/footer180.xml" ContentType="application/vnd.openxmlformats-officedocument.wordprocessingml.footer+xml"/>
  <Override PartName="/word/header182.xml" ContentType="application/vnd.openxmlformats-officedocument.wordprocessingml.header+xml"/>
  <Override PartName="/word/footer181.xml" ContentType="application/vnd.openxmlformats-officedocument.wordprocessingml.footer+xml"/>
  <Override PartName="/word/header183.xml" ContentType="application/vnd.openxmlformats-officedocument.wordprocessingml.header+xml"/>
  <Override PartName="/word/footer182.xml" ContentType="application/vnd.openxmlformats-officedocument.wordprocessingml.footer+xml"/>
  <Override PartName="/word/header184.xml" ContentType="application/vnd.openxmlformats-officedocument.wordprocessingml.header+xml"/>
  <Override PartName="/word/footer183.xml" ContentType="application/vnd.openxmlformats-officedocument.wordprocessingml.footer+xml"/>
  <Override PartName="/word/header185.xml" ContentType="application/vnd.openxmlformats-officedocument.wordprocessingml.header+xml"/>
  <Override PartName="/word/footer184.xml" ContentType="application/vnd.openxmlformats-officedocument.wordprocessingml.footer+xml"/>
  <Override PartName="/word/header186.xml" ContentType="application/vnd.openxmlformats-officedocument.wordprocessingml.header+xml"/>
  <Override PartName="/word/footer185.xml" ContentType="application/vnd.openxmlformats-officedocument.wordprocessingml.footer+xml"/>
  <Override PartName="/word/header187.xml" ContentType="application/vnd.openxmlformats-officedocument.wordprocessingml.header+xml"/>
  <Override PartName="/word/footer186.xml" ContentType="application/vnd.openxmlformats-officedocument.wordprocessingml.footer+xml"/>
  <Override PartName="/word/header188.xml" ContentType="application/vnd.openxmlformats-officedocument.wordprocessingml.header+xml"/>
  <Override PartName="/word/footer187.xml" ContentType="application/vnd.openxmlformats-officedocument.wordprocessingml.footer+xml"/>
  <Override PartName="/word/header189.xml" ContentType="application/vnd.openxmlformats-officedocument.wordprocessingml.header+xml"/>
  <Override PartName="/word/footer188.xml" ContentType="application/vnd.openxmlformats-officedocument.wordprocessingml.footer+xml"/>
  <Override PartName="/word/header190.xml" ContentType="application/vnd.openxmlformats-officedocument.wordprocessingml.header+xml"/>
  <Override PartName="/word/footer189.xml" ContentType="application/vnd.openxmlformats-officedocument.wordprocessingml.footer+xml"/>
  <Override PartName="/word/header191.xml" ContentType="application/vnd.openxmlformats-officedocument.wordprocessingml.header+xml"/>
  <Override PartName="/word/footer190.xml" ContentType="application/vnd.openxmlformats-officedocument.wordprocessingml.footer+xml"/>
  <Override PartName="/word/header192.xml" ContentType="application/vnd.openxmlformats-officedocument.wordprocessingml.header+xml"/>
  <Override PartName="/word/footer191.xml" ContentType="application/vnd.openxmlformats-officedocument.wordprocessingml.footer+xml"/>
  <Override PartName="/word/header193.xml" ContentType="application/vnd.openxmlformats-officedocument.wordprocessingml.header+xml"/>
  <Override PartName="/word/footer192.xml" ContentType="application/vnd.openxmlformats-officedocument.wordprocessingml.footer+xml"/>
  <Override PartName="/word/header194.xml" ContentType="application/vnd.openxmlformats-officedocument.wordprocessingml.header+xml"/>
  <Override PartName="/word/footer193.xml" ContentType="application/vnd.openxmlformats-officedocument.wordprocessingml.footer+xml"/>
  <Override PartName="/word/header195.xml" ContentType="application/vnd.openxmlformats-officedocument.wordprocessingml.header+xml"/>
  <Override PartName="/word/footer194.xml" ContentType="application/vnd.openxmlformats-officedocument.wordprocessingml.footer+xml"/>
  <Override PartName="/word/header196.xml" ContentType="application/vnd.openxmlformats-officedocument.wordprocessingml.header+xml"/>
  <Override PartName="/word/footer195.xml" ContentType="application/vnd.openxmlformats-officedocument.wordprocessingml.footer+xml"/>
  <Override PartName="/word/header197.xml" ContentType="application/vnd.openxmlformats-officedocument.wordprocessingml.header+xml"/>
  <Override PartName="/word/footer196.xml" ContentType="application/vnd.openxmlformats-officedocument.wordprocessingml.footer+xml"/>
  <Override PartName="/word/header198.xml" ContentType="application/vnd.openxmlformats-officedocument.wordprocessingml.header+xml"/>
  <Override PartName="/word/footer197.xml" ContentType="application/vnd.openxmlformats-officedocument.wordprocessingml.footer+xml"/>
  <Override PartName="/word/header199.xml" ContentType="application/vnd.openxmlformats-officedocument.wordprocessingml.header+xml"/>
  <Override PartName="/word/footer198.xml" ContentType="application/vnd.openxmlformats-officedocument.wordprocessingml.footer+xml"/>
  <Override PartName="/word/header200.xml" ContentType="application/vnd.openxmlformats-officedocument.wordprocessingml.header+xml"/>
  <Override PartName="/word/footer199.xml" ContentType="application/vnd.openxmlformats-officedocument.wordprocessingml.footer+xml"/>
  <Override PartName="/word/header201.xml" ContentType="application/vnd.openxmlformats-officedocument.wordprocessingml.header+xml"/>
  <Override PartName="/word/footer200.xml" ContentType="application/vnd.openxmlformats-officedocument.wordprocessingml.footer+xml"/>
  <Override PartName="/word/header202.xml" ContentType="application/vnd.openxmlformats-officedocument.wordprocessingml.header+xml"/>
  <Override PartName="/word/footer201.xml" ContentType="application/vnd.openxmlformats-officedocument.wordprocessingml.footer+xml"/>
  <Override PartName="/word/header203.xml" ContentType="application/vnd.openxmlformats-officedocument.wordprocessingml.header+xml"/>
  <Override PartName="/word/footer202.xml" ContentType="application/vnd.openxmlformats-officedocument.wordprocessingml.footer+xml"/>
  <Override PartName="/word/header204.xml" ContentType="application/vnd.openxmlformats-officedocument.wordprocessingml.header+xml"/>
  <Override PartName="/word/footer203.xml" ContentType="application/vnd.openxmlformats-officedocument.wordprocessingml.footer+xml"/>
  <Override PartName="/word/header205.xml" ContentType="application/vnd.openxmlformats-officedocument.wordprocessingml.header+xml"/>
  <Override PartName="/word/footer204.xml" ContentType="application/vnd.openxmlformats-officedocument.wordprocessingml.footer+xml"/>
  <Override PartName="/word/header206.xml" ContentType="application/vnd.openxmlformats-officedocument.wordprocessingml.header+xml"/>
  <Override PartName="/word/footer205.xml" ContentType="application/vnd.openxmlformats-officedocument.wordprocessingml.footer+xml"/>
  <Override PartName="/word/header207.xml" ContentType="application/vnd.openxmlformats-officedocument.wordprocessingml.header+xml"/>
  <Override PartName="/word/footer206.xml" ContentType="application/vnd.openxmlformats-officedocument.wordprocessingml.footer+xml"/>
  <Override PartName="/word/header208.xml" ContentType="application/vnd.openxmlformats-officedocument.wordprocessingml.header+xml"/>
  <Override PartName="/word/footer207.xml" ContentType="application/vnd.openxmlformats-officedocument.wordprocessingml.footer+xml"/>
  <Override PartName="/word/header209.xml" ContentType="application/vnd.openxmlformats-officedocument.wordprocessingml.header+xml"/>
  <Override PartName="/word/footer208.xml" ContentType="application/vnd.openxmlformats-officedocument.wordprocessingml.footer+xml"/>
  <Override PartName="/word/header210.xml" ContentType="application/vnd.openxmlformats-officedocument.wordprocessingml.header+xml"/>
  <Override PartName="/word/footer209.xml" ContentType="application/vnd.openxmlformats-officedocument.wordprocessingml.footer+xml"/>
  <Override PartName="/word/header211.xml" ContentType="application/vnd.openxmlformats-officedocument.wordprocessingml.header+xml"/>
  <Override PartName="/word/footer210.xml" ContentType="application/vnd.openxmlformats-officedocument.wordprocessingml.footer+xml"/>
  <Override PartName="/word/header212.xml" ContentType="application/vnd.openxmlformats-officedocument.wordprocessingml.header+xml"/>
  <Override PartName="/word/footer211.xml" ContentType="application/vnd.openxmlformats-officedocument.wordprocessingml.footer+xml"/>
  <Override PartName="/word/header213.xml" ContentType="application/vnd.openxmlformats-officedocument.wordprocessingml.header+xml"/>
  <Override PartName="/word/footer212.xml" ContentType="application/vnd.openxmlformats-officedocument.wordprocessingml.footer+xml"/>
  <Override PartName="/word/header214.xml" ContentType="application/vnd.openxmlformats-officedocument.wordprocessingml.header+xml"/>
  <Override PartName="/word/footer213.xml" ContentType="application/vnd.openxmlformats-officedocument.wordprocessingml.footer+xml"/>
  <Override PartName="/word/header215.xml" ContentType="application/vnd.openxmlformats-officedocument.wordprocessingml.header+xml"/>
  <Override PartName="/word/footer214.xml" ContentType="application/vnd.openxmlformats-officedocument.wordprocessingml.footer+xml"/>
  <Override PartName="/word/header216.xml" ContentType="application/vnd.openxmlformats-officedocument.wordprocessingml.header+xml"/>
  <Override PartName="/word/footer215.xml" ContentType="application/vnd.openxmlformats-officedocument.wordprocessingml.footer+xml"/>
  <Override PartName="/word/header217.xml" ContentType="application/vnd.openxmlformats-officedocument.wordprocessingml.header+xml"/>
  <Override PartName="/word/footer216.xml" ContentType="application/vnd.openxmlformats-officedocument.wordprocessingml.footer+xml"/>
  <Override PartName="/word/header218.xml" ContentType="application/vnd.openxmlformats-officedocument.wordprocessingml.header+xml"/>
  <Override PartName="/word/footer217.xml" ContentType="application/vnd.openxmlformats-officedocument.wordprocessingml.footer+xml"/>
  <Override PartName="/word/header219.xml" ContentType="application/vnd.openxmlformats-officedocument.wordprocessingml.header+xml"/>
  <Override PartName="/word/footer218.xml" ContentType="application/vnd.openxmlformats-officedocument.wordprocessingml.footer+xml"/>
  <Override PartName="/word/header220.xml" ContentType="application/vnd.openxmlformats-officedocument.wordprocessingml.header+xml"/>
  <Override PartName="/word/footer219.xml" ContentType="application/vnd.openxmlformats-officedocument.wordprocessingml.footer+xml"/>
  <Override PartName="/word/header221.xml" ContentType="application/vnd.openxmlformats-officedocument.wordprocessingml.header+xml"/>
  <Override PartName="/word/footer220.xml" ContentType="application/vnd.openxmlformats-officedocument.wordprocessingml.footer+xml"/>
  <Override PartName="/word/header222.xml" ContentType="application/vnd.openxmlformats-officedocument.wordprocessingml.header+xml"/>
  <Override PartName="/word/footer221.xml" ContentType="application/vnd.openxmlformats-officedocument.wordprocessingml.footer+xml"/>
  <Override PartName="/word/header223.xml" ContentType="application/vnd.openxmlformats-officedocument.wordprocessingml.header+xml"/>
  <Override PartName="/word/footer222.xml" ContentType="application/vnd.openxmlformats-officedocument.wordprocessingml.footer+xml"/>
  <Override PartName="/word/header224.xml" ContentType="application/vnd.openxmlformats-officedocument.wordprocessingml.header+xml"/>
  <Override PartName="/word/footer223.xml" ContentType="application/vnd.openxmlformats-officedocument.wordprocessingml.footer+xml"/>
  <Override PartName="/word/header225.xml" ContentType="application/vnd.openxmlformats-officedocument.wordprocessingml.header+xml"/>
  <Override PartName="/word/footer224.xml" ContentType="application/vnd.openxmlformats-officedocument.wordprocessingml.footer+xml"/>
  <Override PartName="/word/header226.xml" ContentType="application/vnd.openxmlformats-officedocument.wordprocessingml.header+xml"/>
  <Override PartName="/word/footer225.xml" ContentType="application/vnd.openxmlformats-officedocument.wordprocessingml.footer+xml"/>
  <Override PartName="/word/header227.xml" ContentType="application/vnd.openxmlformats-officedocument.wordprocessingml.header+xml"/>
  <Override PartName="/word/footer226.xml" ContentType="application/vnd.openxmlformats-officedocument.wordprocessingml.footer+xml"/>
  <Override PartName="/word/header228.xml" ContentType="application/vnd.openxmlformats-officedocument.wordprocessingml.header+xml"/>
  <Override PartName="/word/footer227.xml" ContentType="application/vnd.openxmlformats-officedocument.wordprocessingml.footer+xml"/>
  <Override PartName="/word/header229.xml" ContentType="application/vnd.openxmlformats-officedocument.wordprocessingml.header+xml"/>
  <Override PartName="/word/footer228.xml" ContentType="application/vnd.openxmlformats-officedocument.wordprocessingml.footer+xml"/>
  <Override PartName="/word/header230.xml" ContentType="application/vnd.openxmlformats-officedocument.wordprocessingml.header+xml"/>
  <Override PartName="/word/footer229.xml" ContentType="application/vnd.openxmlformats-officedocument.wordprocessingml.footer+xml"/>
  <Override PartName="/word/header231.xml" ContentType="application/vnd.openxmlformats-officedocument.wordprocessingml.header+xml"/>
  <Override PartName="/word/footer230.xml" ContentType="application/vnd.openxmlformats-officedocument.wordprocessingml.footer+xml"/>
  <Override PartName="/word/header232.xml" ContentType="application/vnd.openxmlformats-officedocument.wordprocessingml.header+xml"/>
  <Override PartName="/word/footer231.xml" ContentType="application/vnd.openxmlformats-officedocument.wordprocessingml.footer+xml"/>
  <Override PartName="/word/header233.xml" ContentType="application/vnd.openxmlformats-officedocument.wordprocessingml.header+xml"/>
  <Override PartName="/word/footer232.xml" ContentType="application/vnd.openxmlformats-officedocument.wordprocessingml.footer+xml"/>
  <Override PartName="/word/header234.xml" ContentType="application/vnd.openxmlformats-officedocument.wordprocessingml.header+xml"/>
  <Override PartName="/word/footer233.xml" ContentType="application/vnd.openxmlformats-officedocument.wordprocessingml.footer+xml"/>
  <Override PartName="/word/header235.xml" ContentType="application/vnd.openxmlformats-officedocument.wordprocessingml.header+xml"/>
  <Override PartName="/word/footer234.xml" ContentType="application/vnd.openxmlformats-officedocument.wordprocessingml.footer+xml"/>
  <Override PartName="/word/header236.xml" ContentType="application/vnd.openxmlformats-officedocument.wordprocessingml.header+xml"/>
  <Override PartName="/word/footer235.xml" ContentType="application/vnd.openxmlformats-officedocument.wordprocessingml.footer+xml"/>
  <Override PartName="/word/header237.xml" ContentType="application/vnd.openxmlformats-officedocument.wordprocessingml.header+xml"/>
  <Override PartName="/word/footer236.xml" ContentType="application/vnd.openxmlformats-officedocument.wordprocessingml.footer+xml"/>
  <Override PartName="/word/header238.xml" ContentType="application/vnd.openxmlformats-officedocument.wordprocessingml.header+xml"/>
  <Override PartName="/word/footer237.xml" ContentType="application/vnd.openxmlformats-officedocument.wordprocessingml.footer+xml"/>
  <Override PartName="/word/header239.xml" ContentType="application/vnd.openxmlformats-officedocument.wordprocessingml.header+xml"/>
  <Override PartName="/word/footer238.xml" ContentType="application/vnd.openxmlformats-officedocument.wordprocessingml.footer+xml"/>
  <Override PartName="/word/header240.xml" ContentType="application/vnd.openxmlformats-officedocument.wordprocessingml.header+xml"/>
  <Override PartName="/word/footer239.xml" ContentType="application/vnd.openxmlformats-officedocument.wordprocessingml.footer+xml"/>
  <Override PartName="/word/header241.xml" ContentType="application/vnd.openxmlformats-officedocument.wordprocessingml.header+xml"/>
  <Override PartName="/word/footer240.xml" ContentType="application/vnd.openxmlformats-officedocument.wordprocessingml.footer+xml"/>
  <Override PartName="/word/header242.xml" ContentType="application/vnd.openxmlformats-officedocument.wordprocessingml.header+xml"/>
  <Override PartName="/word/footer241.xml" ContentType="application/vnd.openxmlformats-officedocument.wordprocessingml.footer+xml"/>
  <Override PartName="/word/header243.xml" ContentType="application/vnd.openxmlformats-officedocument.wordprocessingml.header+xml"/>
  <Override PartName="/word/footer242.xml" ContentType="application/vnd.openxmlformats-officedocument.wordprocessingml.footer+xml"/>
  <Override PartName="/word/header244.xml" ContentType="application/vnd.openxmlformats-officedocument.wordprocessingml.header+xml"/>
  <Override PartName="/word/footer243.xml" ContentType="application/vnd.openxmlformats-officedocument.wordprocessingml.footer+xml"/>
  <Override PartName="/word/header245.xml" ContentType="application/vnd.openxmlformats-officedocument.wordprocessingml.header+xml"/>
  <Override PartName="/word/footer244.xml" ContentType="application/vnd.openxmlformats-officedocument.wordprocessingml.footer+xml"/>
  <Override PartName="/word/header246.xml" ContentType="application/vnd.openxmlformats-officedocument.wordprocessingml.header+xml"/>
  <Override PartName="/word/footer245.xml" ContentType="application/vnd.openxmlformats-officedocument.wordprocessingml.footer+xml"/>
  <Override PartName="/word/header247.xml" ContentType="application/vnd.openxmlformats-officedocument.wordprocessingml.header+xml"/>
  <Override PartName="/word/footer246.xml" ContentType="application/vnd.openxmlformats-officedocument.wordprocessingml.footer+xml"/>
  <Override PartName="/word/header248.xml" ContentType="application/vnd.openxmlformats-officedocument.wordprocessingml.header+xml"/>
  <Override PartName="/word/footer247.xml" ContentType="application/vnd.openxmlformats-officedocument.wordprocessingml.footer+xml"/>
  <Override PartName="/word/header249.xml" ContentType="application/vnd.openxmlformats-officedocument.wordprocessingml.header+xml"/>
  <Override PartName="/word/footer248.xml" ContentType="application/vnd.openxmlformats-officedocument.wordprocessingml.footer+xml"/>
  <Override PartName="/word/header250.xml" ContentType="application/vnd.openxmlformats-officedocument.wordprocessingml.header+xml"/>
  <Override PartName="/word/footer249.xml" ContentType="application/vnd.openxmlformats-officedocument.wordprocessingml.footer+xml"/>
  <Override PartName="/word/header251.xml" ContentType="application/vnd.openxmlformats-officedocument.wordprocessingml.header+xml"/>
  <Override PartName="/word/footer250.xml" ContentType="application/vnd.openxmlformats-officedocument.wordprocessingml.footer+xml"/>
  <Override PartName="/word/header252.xml" ContentType="application/vnd.openxmlformats-officedocument.wordprocessingml.header+xml"/>
  <Override PartName="/word/footer251.xml" ContentType="application/vnd.openxmlformats-officedocument.wordprocessingml.footer+xml"/>
  <Override PartName="/word/header253.xml" ContentType="application/vnd.openxmlformats-officedocument.wordprocessingml.header+xml"/>
  <Override PartName="/word/footer252.xml" ContentType="application/vnd.openxmlformats-officedocument.wordprocessingml.footer+xml"/>
  <Override PartName="/word/header254.xml" ContentType="application/vnd.openxmlformats-officedocument.wordprocessingml.header+xml"/>
  <Override PartName="/word/footer253.xml" ContentType="application/vnd.openxmlformats-officedocument.wordprocessingml.footer+xml"/>
  <Override PartName="/word/header255.xml" ContentType="application/vnd.openxmlformats-officedocument.wordprocessingml.header+xml"/>
  <Override PartName="/word/footer254.xml" ContentType="application/vnd.openxmlformats-officedocument.wordprocessingml.footer+xml"/>
  <Override PartName="/word/header256.xml" ContentType="application/vnd.openxmlformats-officedocument.wordprocessingml.header+xml"/>
  <Override PartName="/word/footer255.xml" ContentType="application/vnd.openxmlformats-officedocument.wordprocessingml.footer+xml"/>
  <Override PartName="/word/header257.xml" ContentType="application/vnd.openxmlformats-officedocument.wordprocessingml.header+xml"/>
  <Override PartName="/word/footer256.xml" ContentType="application/vnd.openxmlformats-officedocument.wordprocessingml.footer+xml"/>
  <Override PartName="/word/header258.xml" ContentType="application/vnd.openxmlformats-officedocument.wordprocessingml.header+xml"/>
  <Override PartName="/word/footer257.xml" ContentType="application/vnd.openxmlformats-officedocument.wordprocessingml.footer+xml"/>
  <Override PartName="/word/header259.xml" ContentType="application/vnd.openxmlformats-officedocument.wordprocessingml.header+xml"/>
  <Override PartName="/word/footer258.xml" ContentType="application/vnd.openxmlformats-officedocument.wordprocessingml.footer+xml"/>
  <Override PartName="/word/header260.xml" ContentType="application/vnd.openxmlformats-officedocument.wordprocessingml.header+xml"/>
  <Override PartName="/word/footer259.xml" ContentType="application/vnd.openxmlformats-officedocument.wordprocessingml.footer+xml"/>
  <Override PartName="/word/header261.xml" ContentType="application/vnd.openxmlformats-officedocument.wordprocessingml.header+xml"/>
  <Override PartName="/word/footer260.xml" ContentType="application/vnd.openxmlformats-officedocument.wordprocessingml.footer+xml"/>
  <Override PartName="/word/header262.xml" ContentType="application/vnd.openxmlformats-officedocument.wordprocessingml.header+xml"/>
  <Override PartName="/word/footer261.xml" ContentType="application/vnd.openxmlformats-officedocument.wordprocessingml.footer+xml"/>
  <Override PartName="/word/header263.xml" ContentType="application/vnd.openxmlformats-officedocument.wordprocessingml.header+xml"/>
  <Override PartName="/word/footer262.xml" ContentType="application/vnd.openxmlformats-officedocument.wordprocessingml.footer+xml"/>
  <Override PartName="/word/header264.xml" ContentType="application/vnd.openxmlformats-officedocument.wordprocessingml.header+xml"/>
  <Override PartName="/word/footer263.xml" ContentType="application/vnd.openxmlformats-officedocument.wordprocessingml.footer+xml"/>
  <Override PartName="/word/header265.xml" ContentType="application/vnd.openxmlformats-officedocument.wordprocessingml.header+xml"/>
  <Override PartName="/word/footer264.xml" ContentType="application/vnd.openxmlformats-officedocument.wordprocessingml.footer+xml"/>
  <Override PartName="/word/header266.xml" ContentType="application/vnd.openxmlformats-officedocument.wordprocessingml.header+xml"/>
  <Override PartName="/word/footer265.xml" ContentType="application/vnd.openxmlformats-officedocument.wordprocessingml.footer+xml"/>
  <Override PartName="/word/header267.xml" ContentType="application/vnd.openxmlformats-officedocument.wordprocessingml.header+xml"/>
  <Override PartName="/word/footer266.xml" ContentType="application/vnd.openxmlformats-officedocument.wordprocessingml.footer+xml"/>
  <Override PartName="/word/header268.xml" ContentType="application/vnd.openxmlformats-officedocument.wordprocessingml.header+xml"/>
  <Override PartName="/word/footer267.xml" ContentType="application/vnd.openxmlformats-officedocument.wordprocessingml.footer+xml"/>
  <Override PartName="/word/header269.xml" ContentType="application/vnd.openxmlformats-officedocument.wordprocessingml.header+xml"/>
  <Override PartName="/word/footer268.xml" ContentType="application/vnd.openxmlformats-officedocument.wordprocessingml.footer+xml"/>
  <Override PartName="/word/header270.xml" ContentType="application/vnd.openxmlformats-officedocument.wordprocessingml.header+xml"/>
  <Override PartName="/word/footer269.xml" ContentType="application/vnd.openxmlformats-officedocument.wordprocessingml.footer+xml"/>
  <Override PartName="/word/header271.xml" ContentType="application/vnd.openxmlformats-officedocument.wordprocessingml.header+xml"/>
  <Override PartName="/word/footer270.xml" ContentType="application/vnd.openxmlformats-officedocument.wordprocessingml.footer+xml"/>
  <Override PartName="/word/header272.xml" ContentType="application/vnd.openxmlformats-officedocument.wordprocessingml.header+xml"/>
  <Override PartName="/word/footer271.xml" ContentType="application/vnd.openxmlformats-officedocument.wordprocessingml.footer+xml"/>
  <Override PartName="/word/header273.xml" ContentType="application/vnd.openxmlformats-officedocument.wordprocessingml.header+xml"/>
  <Override PartName="/word/footer272.xml" ContentType="application/vnd.openxmlformats-officedocument.wordprocessingml.footer+xml"/>
  <Override PartName="/word/header274.xml" ContentType="application/vnd.openxmlformats-officedocument.wordprocessingml.header+xml"/>
  <Override PartName="/word/footer273.xml" ContentType="application/vnd.openxmlformats-officedocument.wordprocessingml.footer+xml"/>
  <Override PartName="/word/header275.xml" ContentType="application/vnd.openxmlformats-officedocument.wordprocessingml.header+xml"/>
  <Override PartName="/word/footer274.xml" ContentType="application/vnd.openxmlformats-officedocument.wordprocessingml.footer+xml"/>
  <Override PartName="/word/header276.xml" ContentType="application/vnd.openxmlformats-officedocument.wordprocessingml.header+xml"/>
  <Override PartName="/word/footer275.xml" ContentType="application/vnd.openxmlformats-officedocument.wordprocessingml.footer+xml"/>
  <Override PartName="/word/header277.xml" ContentType="application/vnd.openxmlformats-officedocument.wordprocessingml.header+xml"/>
  <Override PartName="/word/footer276.xml" ContentType="application/vnd.openxmlformats-officedocument.wordprocessingml.footer+xml"/>
  <Override PartName="/word/header278.xml" ContentType="application/vnd.openxmlformats-officedocument.wordprocessingml.header+xml"/>
  <Override PartName="/word/footer277.xml" ContentType="application/vnd.openxmlformats-officedocument.wordprocessingml.footer+xml"/>
  <Override PartName="/word/header279.xml" ContentType="application/vnd.openxmlformats-officedocument.wordprocessingml.header+xml"/>
  <Override PartName="/word/footer278.xml" ContentType="application/vnd.openxmlformats-officedocument.wordprocessingml.footer+xml"/>
  <Override PartName="/word/header280.xml" ContentType="application/vnd.openxmlformats-officedocument.wordprocessingml.header+xml"/>
  <Override PartName="/word/footer279.xml" ContentType="application/vnd.openxmlformats-officedocument.wordprocessingml.footer+xml"/>
  <Override PartName="/word/header281.xml" ContentType="application/vnd.openxmlformats-officedocument.wordprocessingml.header+xml"/>
  <Override PartName="/word/footer280.xml" ContentType="application/vnd.openxmlformats-officedocument.wordprocessingml.footer+xml"/>
  <Override PartName="/word/header282.xml" ContentType="application/vnd.openxmlformats-officedocument.wordprocessingml.header+xml"/>
  <Override PartName="/word/footer281.xml" ContentType="application/vnd.openxmlformats-officedocument.wordprocessingml.footer+xml"/>
  <Override PartName="/word/header283.xml" ContentType="application/vnd.openxmlformats-officedocument.wordprocessingml.header+xml"/>
  <Override PartName="/word/footer282.xml" ContentType="application/vnd.openxmlformats-officedocument.wordprocessingml.footer+xml"/>
  <Override PartName="/word/header284.xml" ContentType="application/vnd.openxmlformats-officedocument.wordprocessingml.header+xml"/>
  <Override PartName="/word/footer283.xml" ContentType="application/vnd.openxmlformats-officedocument.wordprocessingml.footer+xml"/>
  <Override PartName="/word/header285.xml" ContentType="application/vnd.openxmlformats-officedocument.wordprocessingml.header+xml"/>
  <Override PartName="/word/footer284.xml" ContentType="application/vnd.openxmlformats-officedocument.wordprocessingml.footer+xml"/>
  <Override PartName="/word/header286.xml" ContentType="application/vnd.openxmlformats-officedocument.wordprocessingml.header+xml"/>
  <Override PartName="/word/footer285.xml" ContentType="application/vnd.openxmlformats-officedocument.wordprocessingml.footer+xml"/>
  <Override PartName="/word/header287.xml" ContentType="application/vnd.openxmlformats-officedocument.wordprocessingml.header+xml"/>
  <Override PartName="/word/footer286.xml" ContentType="application/vnd.openxmlformats-officedocument.wordprocessingml.footer+xml"/>
  <Override PartName="/word/header288.xml" ContentType="application/vnd.openxmlformats-officedocument.wordprocessingml.header+xml"/>
  <Override PartName="/word/footer287.xml" ContentType="application/vnd.openxmlformats-officedocument.wordprocessingml.footer+xml"/>
  <Override PartName="/word/header289.xml" ContentType="application/vnd.openxmlformats-officedocument.wordprocessingml.header+xml"/>
  <Override PartName="/word/footer288.xml" ContentType="application/vnd.openxmlformats-officedocument.wordprocessingml.footer+xml"/>
  <Override PartName="/word/header290.xml" ContentType="application/vnd.openxmlformats-officedocument.wordprocessingml.header+xml"/>
  <Override PartName="/word/footer289.xml" ContentType="application/vnd.openxmlformats-officedocument.wordprocessingml.footer+xml"/>
  <Override PartName="/word/header291.xml" ContentType="application/vnd.openxmlformats-officedocument.wordprocessingml.header+xml"/>
  <Override PartName="/word/footer290.xml" ContentType="application/vnd.openxmlformats-officedocument.wordprocessingml.footer+xml"/>
  <Override PartName="/word/header292.xml" ContentType="application/vnd.openxmlformats-officedocument.wordprocessingml.header+xml"/>
  <Override PartName="/word/footer291.xml" ContentType="application/vnd.openxmlformats-officedocument.wordprocessingml.footer+xml"/>
  <Override PartName="/word/header293.xml" ContentType="application/vnd.openxmlformats-officedocument.wordprocessingml.header+xml"/>
  <Override PartName="/word/footer292.xml" ContentType="application/vnd.openxmlformats-officedocument.wordprocessingml.footer+xml"/>
  <Override PartName="/word/header294.xml" ContentType="application/vnd.openxmlformats-officedocument.wordprocessingml.header+xml"/>
  <Override PartName="/word/footer293.xml" ContentType="application/vnd.openxmlformats-officedocument.wordprocessingml.footer+xml"/>
  <Override PartName="/word/header295.xml" ContentType="application/vnd.openxmlformats-officedocument.wordprocessingml.header+xml"/>
  <Override PartName="/word/footer294.xml" ContentType="application/vnd.openxmlformats-officedocument.wordprocessingml.footer+xml"/>
  <Override PartName="/word/header296.xml" ContentType="application/vnd.openxmlformats-officedocument.wordprocessingml.header+xml"/>
  <Override PartName="/word/footer295.xml" ContentType="application/vnd.openxmlformats-officedocument.wordprocessingml.footer+xml"/>
  <Override PartName="/word/header297.xml" ContentType="application/vnd.openxmlformats-officedocument.wordprocessingml.header+xml"/>
  <Override PartName="/word/footer296.xml" ContentType="application/vnd.openxmlformats-officedocument.wordprocessingml.footer+xml"/>
  <Override PartName="/word/header298.xml" ContentType="application/vnd.openxmlformats-officedocument.wordprocessingml.header+xml"/>
  <Override PartName="/word/footer297.xml" ContentType="application/vnd.openxmlformats-officedocument.wordprocessingml.footer+xml"/>
  <Override PartName="/word/header299.xml" ContentType="application/vnd.openxmlformats-officedocument.wordprocessingml.header+xml"/>
  <Override PartName="/word/footer298.xml" ContentType="application/vnd.openxmlformats-officedocument.wordprocessingml.footer+xml"/>
  <Override PartName="/word/header300.xml" ContentType="application/vnd.openxmlformats-officedocument.wordprocessingml.header+xml"/>
  <Override PartName="/word/footer299.xml" ContentType="application/vnd.openxmlformats-officedocument.wordprocessingml.footer+xml"/>
  <Override PartName="/word/header301.xml" ContentType="application/vnd.openxmlformats-officedocument.wordprocessingml.header+xml"/>
  <Override PartName="/word/footer300.xml" ContentType="application/vnd.openxmlformats-officedocument.wordprocessingml.footer+xml"/>
  <Override PartName="/word/header302.xml" ContentType="application/vnd.openxmlformats-officedocument.wordprocessingml.header+xml"/>
  <Override PartName="/word/footer301.xml" ContentType="application/vnd.openxmlformats-officedocument.wordprocessingml.footer+xml"/>
  <Override PartName="/word/header303.xml" ContentType="application/vnd.openxmlformats-officedocument.wordprocessingml.header+xml"/>
  <Override PartName="/word/footer302.xml" ContentType="application/vnd.openxmlformats-officedocument.wordprocessingml.footer+xml"/>
  <Override PartName="/word/header304.xml" ContentType="application/vnd.openxmlformats-officedocument.wordprocessingml.header+xml"/>
  <Override PartName="/word/footer303.xml" ContentType="application/vnd.openxmlformats-officedocument.wordprocessingml.footer+xml"/>
  <Override PartName="/word/header305.xml" ContentType="application/vnd.openxmlformats-officedocument.wordprocessingml.header+xml"/>
  <Override PartName="/word/footer304.xml" ContentType="application/vnd.openxmlformats-officedocument.wordprocessingml.footer+xml"/>
  <Override PartName="/word/header306.xml" ContentType="application/vnd.openxmlformats-officedocument.wordprocessingml.header+xml"/>
  <Override PartName="/word/footer305.xml" ContentType="application/vnd.openxmlformats-officedocument.wordprocessingml.footer+xml"/>
  <Override PartName="/word/header307.xml" ContentType="application/vnd.openxmlformats-officedocument.wordprocessingml.header+xml"/>
  <Override PartName="/word/footer306.xml" ContentType="application/vnd.openxmlformats-officedocument.wordprocessingml.footer+xml"/>
  <Override PartName="/word/header308.xml" ContentType="application/vnd.openxmlformats-officedocument.wordprocessingml.header+xml"/>
  <Override PartName="/word/footer307.xml" ContentType="application/vnd.openxmlformats-officedocument.wordprocessingml.footer+xml"/>
  <Override PartName="/word/header309.xml" ContentType="application/vnd.openxmlformats-officedocument.wordprocessingml.header+xml"/>
  <Override PartName="/word/footer308.xml" ContentType="application/vnd.openxmlformats-officedocument.wordprocessingml.footer+xml"/>
  <Override PartName="/word/header310.xml" ContentType="application/vnd.openxmlformats-officedocument.wordprocessingml.header+xml"/>
  <Override PartName="/word/footer309.xml" ContentType="application/vnd.openxmlformats-officedocument.wordprocessingml.footer+xml"/>
  <Override PartName="/word/header311.xml" ContentType="application/vnd.openxmlformats-officedocument.wordprocessingml.header+xml"/>
  <Override PartName="/word/footer310.xml" ContentType="application/vnd.openxmlformats-officedocument.wordprocessingml.footer+xml"/>
  <Override PartName="/word/header312.xml" ContentType="application/vnd.openxmlformats-officedocument.wordprocessingml.header+xml"/>
  <Override PartName="/word/footer311.xml" ContentType="application/vnd.openxmlformats-officedocument.wordprocessingml.footer+xml"/>
  <Override PartName="/word/header313.xml" ContentType="application/vnd.openxmlformats-officedocument.wordprocessingml.header+xml"/>
  <Override PartName="/word/footer312.xml" ContentType="application/vnd.openxmlformats-officedocument.wordprocessingml.footer+xml"/>
  <Override PartName="/word/header314.xml" ContentType="application/vnd.openxmlformats-officedocument.wordprocessingml.header+xml"/>
  <Override PartName="/word/footer313.xml" ContentType="application/vnd.openxmlformats-officedocument.wordprocessingml.footer+xml"/>
  <Override PartName="/word/header315.xml" ContentType="application/vnd.openxmlformats-officedocument.wordprocessingml.header+xml"/>
  <Override PartName="/word/footer314.xml" ContentType="application/vnd.openxmlformats-officedocument.wordprocessingml.footer+xml"/>
  <Override PartName="/word/header316.xml" ContentType="application/vnd.openxmlformats-officedocument.wordprocessingml.header+xml"/>
  <Override PartName="/word/footer315.xml" ContentType="application/vnd.openxmlformats-officedocument.wordprocessingml.footer+xml"/>
  <Override PartName="/word/header317.xml" ContentType="application/vnd.openxmlformats-officedocument.wordprocessingml.header+xml"/>
  <Override PartName="/word/footer316.xml" ContentType="application/vnd.openxmlformats-officedocument.wordprocessingml.footer+xml"/>
  <Override PartName="/word/header318.xml" ContentType="application/vnd.openxmlformats-officedocument.wordprocessingml.header+xml"/>
  <Override PartName="/word/footer317.xml" ContentType="application/vnd.openxmlformats-officedocument.wordprocessingml.footer+xml"/>
  <Override PartName="/word/header319.xml" ContentType="application/vnd.openxmlformats-officedocument.wordprocessingml.header+xml"/>
  <Override PartName="/word/footer318.xml" ContentType="application/vnd.openxmlformats-officedocument.wordprocessingml.footer+xml"/>
  <Override PartName="/word/header320.xml" ContentType="application/vnd.openxmlformats-officedocument.wordprocessingml.header+xml"/>
  <Override PartName="/word/footer319.xml" ContentType="application/vnd.openxmlformats-officedocument.wordprocessingml.footer+xml"/>
  <Override PartName="/word/header321.xml" ContentType="application/vnd.openxmlformats-officedocument.wordprocessingml.header+xml"/>
  <Override PartName="/word/footer320.xml" ContentType="application/vnd.openxmlformats-officedocument.wordprocessingml.footer+xml"/>
  <Override PartName="/word/header322.xml" ContentType="application/vnd.openxmlformats-officedocument.wordprocessingml.header+xml"/>
  <Override PartName="/word/footer321.xml" ContentType="application/vnd.openxmlformats-officedocument.wordprocessingml.footer+xml"/>
  <Override PartName="/word/header323.xml" ContentType="application/vnd.openxmlformats-officedocument.wordprocessingml.header+xml"/>
  <Override PartName="/word/footer322.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before="76"/>
        <w:ind w:left="78" w:right="221" w:firstLine="0"/>
        <w:jc w:val="center"/>
        <w:rPr>
          <w:rFonts w:ascii="Times New Roman" w:hAnsi="Times New Roman"/>
          <w:b/>
          <w:sz w:val="28"/>
        </w:rPr>
      </w:pPr>
      <w:r>
        <w:rPr>
          <w:rFonts w:ascii="Times New Roman" w:hAnsi="Times New Roman"/>
          <w:b/>
          <w:sz w:val="28"/>
        </w:rPr>
        <w:t>AN</w:t>
      </w:r>
      <w:r>
        <w:rPr>
          <w:rFonts w:ascii="Times New Roman" w:hAnsi="Times New Roman"/>
          <w:b/>
          <w:spacing w:val="-7"/>
          <w:sz w:val="28"/>
        </w:rPr>
        <w:t> </w:t>
      </w:r>
      <w:r>
        <w:rPr>
          <w:rFonts w:ascii="Times New Roman" w:hAnsi="Times New Roman"/>
          <w:b/>
          <w:sz w:val="28"/>
        </w:rPr>
        <w:t>ASSESSMENT</w:t>
      </w:r>
      <w:r>
        <w:rPr>
          <w:rFonts w:ascii="Times New Roman" w:hAnsi="Times New Roman"/>
          <w:b/>
          <w:spacing w:val="-6"/>
          <w:sz w:val="28"/>
        </w:rPr>
        <w:t> </w:t>
      </w:r>
      <w:r>
        <w:rPr>
          <w:rFonts w:ascii="Times New Roman" w:hAnsi="Times New Roman"/>
          <w:b/>
          <w:sz w:val="28"/>
        </w:rPr>
        <w:t>OF</w:t>
      </w:r>
      <w:r>
        <w:rPr>
          <w:rFonts w:ascii="Times New Roman" w:hAnsi="Times New Roman"/>
          <w:b/>
          <w:spacing w:val="-5"/>
          <w:sz w:val="28"/>
        </w:rPr>
        <w:t> </w:t>
      </w:r>
      <w:r>
        <w:rPr>
          <w:rFonts w:ascii="Times New Roman" w:hAnsi="Times New Roman"/>
          <w:b/>
          <w:sz w:val="28"/>
        </w:rPr>
        <w:t>THE</w:t>
      </w:r>
      <w:r>
        <w:rPr>
          <w:rFonts w:ascii="Times New Roman" w:hAnsi="Times New Roman"/>
          <w:b/>
          <w:spacing w:val="-9"/>
          <w:sz w:val="28"/>
        </w:rPr>
        <w:t> </w:t>
      </w:r>
      <w:r>
        <w:rPr>
          <w:rFonts w:ascii="Times New Roman" w:hAnsi="Times New Roman"/>
          <w:b/>
          <w:sz w:val="28"/>
        </w:rPr>
        <w:t>MANAGEMENT</w:t>
      </w:r>
      <w:r>
        <w:rPr>
          <w:rFonts w:ascii="Times New Roman" w:hAnsi="Times New Roman"/>
          <w:b/>
          <w:spacing w:val="-6"/>
          <w:sz w:val="28"/>
        </w:rPr>
        <w:t> </w:t>
      </w:r>
      <w:r>
        <w:rPr>
          <w:rFonts w:ascii="Times New Roman" w:hAnsi="Times New Roman"/>
          <w:b/>
          <w:sz w:val="28"/>
        </w:rPr>
        <w:t>OF</w:t>
      </w:r>
      <w:r>
        <w:rPr>
          <w:rFonts w:ascii="Times New Roman" w:hAnsi="Times New Roman"/>
          <w:b/>
          <w:spacing w:val="-8"/>
          <w:sz w:val="28"/>
        </w:rPr>
        <w:t> </w:t>
      </w:r>
      <w:r>
        <w:rPr>
          <w:rFonts w:ascii="Times New Roman" w:hAnsi="Times New Roman"/>
          <w:b/>
          <w:sz w:val="28"/>
        </w:rPr>
        <w:t>STUDENTS’</w:t>
      </w:r>
      <w:r>
        <w:rPr>
          <w:rFonts w:ascii="Times New Roman" w:hAnsi="Times New Roman"/>
          <w:b/>
          <w:spacing w:val="-8"/>
          <w:sz w:val="28"/>
        </w:rPr>
        <w:t> </w:t>
      </w:r>
      <w:r>
        <w:rPr>
          <w:rFonts w:ascii="Times New Roman" w:hAnsi="Times New Roman"/>
          <w:b/>
          <w:sz w:val="28"/>
        </w:rPr>
        <w:t>WELFARE SERVICES IN UNIVERSITIES IN THREE GEOPOLITICAL ZONES IN NORTHERN PART OF NIGERIA</w:t>
      </w:r>
    </w:p>
    <w:p>
      <w:pPr>
        <w:pStyle w:val="BodyText"/>
        <w:rPr>
          <w:rFonts w:ascii="Times New Roman"/>
          <w:b/>
          <w:sz w:val="28"/>
        </w:rPr>
      </w:pPr>
    </w:p>
    <w:p>
      <w:pPr>
        <w:pStyle w:val="BodyText"/>
        <w:rPr>
          <w:rFonts w:ascii="Times New Roman"/>
          <w:b/>
          <w:sz w:val="28"/>
        </w:rPr>
      </w:pPr>
    </w:p>
    <w:p>
      <w:pPr>
        <w:pStyle w:val="BodyText"/>
        <w:spacing w:before="112"/>
        <w:rPr>
          <w:rFonts w:ascii="Times New Roman"/>
          <w:b/>
          <w:sz w:val="28"/>
        </w:rPr>
      </w:pPr>
    </w:p>
    <w:p>
      <w:pPr>
        <w:spacing w:before="0"/>
        <w:ind w:left="0" w:right="144" w:firstLine="0"/>
        <w:jc w:val="center"/>
        <w:rPr>
          <w:rFonts w:ascii="Arial"/>
          <w:b/>
          <w:sz w:val="28"/>
        </w:rPr>
      </w:pPr>
      <w:r>
        <w:rPr>
          <w:rFonts w:ascii="Arial"/>
          <w:b/>
          <w:spacing w:val="-5"/>
          <w:sz w:val="28"/>
        </w:rPr>
        <w:t>BY</w:t>
      </w:r>
    </w:p>
    <w:p>
      <w:pPr>
        <w:pStyle w:val="BodyText"/>
        <w:rPr>
          <w:rFonts w:ascii="Arial"/>
          <w:b/>
          <w:sz w:val="28"/>
        </w:rPr>
      </w:pPr>
    </w:p>
    <w:p>
      <w:pPr>
        <w:pStyle w:val="BodyText"/>
        <w:rPr>
          <w:rFonts w:ascii="Arial"/>
          <w:b/>
          <w:sz w:val="28"/>
        </w:rPr>
      </w:pPr>
    </w:p>
    <w:p>
      <w:pPr>
        <w:pStyle w:val="BodyText"/>
        <w:spacing w:before="3"/>
        <w:rPr>
          <w:rFonts w:ascii="Arial"/>
          <w:b/>
          <w:sz w:val="28"/>
        </w:rPr>
      </w:pPr>
    </w:p>
    <w:p>
      <w:pPr>
        <w:spacing w:line="720" w:lineRule="auto" w:before="0"/>
        <w:ind w:left="304" w:right="446" w:firstLine="0"/>
        <w:jc w:val="center"/>
        <w:rPr>
          <w:rFonts w:ascii="Arial"/>
          <w:b/>
          <w:sz w:val="28"/>
        </w:rPr>
      </w:pPr>
      <w:r>
        <w:rPr>
          <w:rFonts w:ascii="Arial"/>
          <w:b/>
          <w:sz w:val="28"/>
        </w:rPr>
        <w:t>ASTA</w:t>
      </w:r>
      <w:r>
        <w:rPr>
          <w:rFonts w:ascii="Arial"/>
          <w:b/>
          <w:spacing w:val="-5"/>
          <w:sz w:val="28"/>
        </w:rPr>
        <w:t> </w:t>
      </w:r>
      <w:r>
        <w:rPr>
          <w:rFonts w:ascii="Arial"/>
          <w:b/>
          <w:sz w:val="28"/>
        </w:rPr>
        <w:t>ABDULLAHI</w:t>
      </w:r>
      <w:r>
        <w:rPr>
          <w:rFonts w:ascii="Arial"/>
          <w:b/>
          <w:spacing w:val="-6"/>
          <w:sz w:val="28"/>
        </w:rPr>
        <w:t> </w:t>
      </w:r>
      <w:r>
        <w:rPr>
          <w:rFonts w:ascii="Arial"/>
          <w:b/>
          <w:sz w:val="28"/>
        </w:rPr>
        <w:t>MAHADI</w:t>
      </w:r>
      <w:r>
        <w:rPr>
          <w:rFonts w:ascii="Arial"/>
          <w:b/>
          <w:spacing w:val="-6"/>
          <w:sz w:val="28"/>
        </w:rPr>
        <w:t> </w:t>
      </w:r>
      <w:r>
        <w:rPr>
          <w:rFonts w:ascii="Arial"/>
          <w:b/>
          <w:sz w:val="28"/>
        </w:rPr>
        <w:t>B.A</w:t>
      </w:r>
      <w:r>
        <w:rPr>
          <w:rFonts w:ascii="Arial"/>
          <w:b/>
          <w:spacing w:val="-9"/>
          <w:sz w:val="28"/>
        </w:rPr>
        <w:t> </w:t>
      </w:r>
      <w:r>
        <w:rPr>
          <w:rFonts w:ascii="Arial"/>
          <w:b/>
          <w:sz w:val="28"/>
        </w:rPr>
        <w:t>EDUC.</w:t>
      </w:r>
      <w:r>
        <w:rPr>
          <w:rFonts w:ascii="Arial"/>
          <w:b/>
          <w:spacing w:val="-6"/>
          <w:sz w:val="28"/>
        </w:rPr>
        <w:t> </w:t>
      </w:r>
      <w:r>
        <w:rPr>
          <w:rFonts w:ascii="Arial"/>
          <w:b/>
          <w:sz w:val="28"/>
        </w:rPr>
        <w:t>(ABU</w:t>
      </w:r>
      <w:r>
        <w:rPr>
          <w:rFonts w:ascii="Arial"/>
          <w:b/>
          <w:spacing w:val="-1"/>
          <w:sz w:val="28"/>
        </w:rPr>
        <w:t> </w:t>
      </w:r>
      <w:r>
        <w:rPr>
          <w:rFonts w:ascii="Arial"/>
          <w:b/>
          <w:sz w:val="28"/>
        </w:rPr>
        <w:t>1982)</w:t>
      </w:r>
      <w:r>
        <w:rPr>
          <w:rFonts w:ascii="Arial"/>
          <w:b/>
          <w:spacing w:val="-6"/>
          <w:sz w:val="28"/>
        </w:rPr>
        <w:t> </w:t>
      </w:r>
      <w:r>
        <w:rPr>
          <w:rFonts w:ascii="Arial"/>
          <w:b/>
          <w:sz w:val="28"/>
        </w:rPr>
        <w:t>M.Ed</w:t>
      </w:r>
      <w:r>
        <w:rPr>
          <w:rFonts w:ascii="Arial"/>
          <w:b/>
          <w:spacing w:val="-3"/>
          <w:sz w:val="28"/>
        </w:rPr>
        <w:t> </w:t>
      </w:r>
      <w:r>
        <w:rPr>
          <w:rFonts w:ascii="Arial"/>
          <w:b/>
          <w:sz w:val="28"/>
        </w:rPr>
        <w:t>(ABU</w:t>
      </w:r>
      <w:r>
        <w:rPr>
          <w:rFonts w:ascii="Arial"/>
          <w:b/>
          <w:spacing w:val="-1"/>
          <w:sz w:val="28"/>
        </w:rPr>
        <w:t> </w:t>
      </w:r>
      <w:r>
        <w:rPr>
          <w:rFonts w:ascii="Arial"/>
          <w:b/>
          <w:sz w:val="28"/>
        </w:rPr>
        <w:t>1997) </w:t>
      </w:r>
      <w:r>
        <w:rPr>
          <w:rFonts w:ascii="Arial"/>
          <w:b/>
          <w:spacing w:val="-2"/>
          <w:sz w:val="28"/>
        </w:rPr>
        <w:t>PhD/EDUC/17756/98-99</w:t>
      </w: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spacing w:before="1"/>
        <w:rPr>
          <w:rFonts w:ascii="Arial"/>
          <w:b/>
          <w:sz w:val="28"/>
        </w:rPr>
      </w:pPr>
    </w:p>
    <w:p>
      <w:pPr>
        <w:spacing w:before="0"/>
        <w:ind w:left="78" w:right="217" w:firstLine="0"/>
        <w:jc w:val="center"/>
        <w:rPr>
          <w:rFonts w:ascii="Arial"/>
          <w:b/>
          <w:sz w:val="28"/>
        </w:rPr>
      </w:pPr>
      <w:r>
        <w:rPr>
          <w:rFonts w:ascii="Arial"/>
          <w:b/>
          <w:sz w:val="28"/>
        </w:rPr>
        <w:t>A</w:t>
      </w:r>
      <w:r>
        <w:rPr>
          <w:rFonts w:ascii="Arial"/>
          <w:b/>
          <w:spacing w:val="-12"/>
          <w:sz w:val="28"/>
        </w:rPr>
        <w:t> </w:t>
      </w:r>
      <w:r>
        <w:rPr>
          <w:rFonts w:ascii="Arial"/>
          <w:b/>
          <w:sz w:val="28"/>
        </w:rPr>
        <w:t>DISSERTATION</w:t>
      </w:r>
      <w:r>
        <w:rPr>
          <w:rFonts w:ascii="Arial"/>
          <w:b/>
          <w:spacing w:val="-8"/>
          <w:sz w:val="28"/>
        </w:rPr>
        <w:t> </w:t>
      </w:r>
      <w:r>
        <w:rPr>
          <w:rFonts w:ascii="Arial"/>
          <w:b/>
          <w:sz w:val="28"/>
        </w:rPr>
        <w:t>SUBMITTED</w:t>
      </w:r>
      <w:r>
        <w:rPr>
          <w:rFonts w:ascii="Arial"/>
          <w:b/>
          <w:spacing w:val="-2"/>
          <w:sz w:val="28"/>
        </w:rPr>
        <w:t> </w:t>
      </w:r>
      <w:r>
        <w:rPr>
          <w:rFonts w:ascii="Arial"/>
          <w:b/>
          <w:sz w:val="28"/>
        </w:rPr>
        <w:t>TO</w:t>
      </w:r>
      <w:r>
        <w:rPr>
          <w:rFonts w:ascii="Arial"/>
          <w:b/>
          <w:spacing w:val="-5"/>
          <w:sz w:val="28"/>
        </w:rPr>
        <w:t> </w:t>
      </w:r>
      <w:r>
        <w:rPr>
          <w:rFonts w:ascii="Arial"/>
          <w:b/>
          <w:sz w:val="28"/>
        </w:rPr>
        <w:t>THE</w:t>
      </w:r>
      <w:r>
        <w:rPr>
          <w:rFonts w:ascii="Arial"/>
          <w:b/>
          <w:spacing w:val="-7"/>
          <w:sz w:val="28"/>
        </w:rPr>
        <w:t> </w:t>
      </w:r>
      <w:r>
        <w:rPr>
          <w:rFonts w:ascii="Arial"/>
          <w:b/>
          <w:sz w:val="28"/>
        </w:rPr>
        <w:t>POST</w:t>
      </w:r>
      <w:r>
        <w:rPr>
          <w:rFonts w:ascii="Arial"/>
          <w:b/>
          <w:spacing w:val="-5"/>
          <w:sz w:val="28"/>
        </w:rPr>
        <w:t> </w:t>
      </w:r>
      <w:r>
        <w:rPr>
          <w:rFonts w:ascii="Arial"/>
          <w:b/>
          <w:sz w:val="28"/>
        </w:rPr>
        <w:t>GRADUATE</w:t>
      </w:r>
      <w:r>
        <w:rPr>
          <w:rFonts w:ascii="Arial"/>
          <w:b/>
          <w:spacing w:val="-7"/>
          <w:sz w:val="28"/>
        </w:rPr>
        <w:t> </w:t>
      </w:r>
      <w:r>
        <w:rPr>
          <w:rFonts w:ascii="Arial"/>
          <w:b/>
          <w:sz w:val="28"/>
        </w:rPr>
        <w:t>SCHOOL, AHMADU BELLO UNIVERSITY, ZARIA.</w:t>
      </w:r>
    </w:p>
    <w:p>
      <w:pPr>
        <w:spacing w:before="0"/>
        <w:ind w:left="318" w:right="468" w:firstLine="12"/>
        <w:jc w:val="center"/>
        <w:rPr>
          <w:rFonts w:ascii="Arial"/>
          <w:b/>
          <w:sz w:val="28"/>
        </w:rPr>
      </w:pPr>
      <w:r>
        <w:rPr>
          <w:rFonts w:ascii="Arial"/>
          <w:b/>
          <w:sz w:val="28"/>
        </w:rPr>
        <w:t>IN PARTIAL FULFILMENT FOR THE AWARD OF DOCTOR OF PHILOSOPHY</w:t>
      </w:r>
      <w:r>
        <w:rPr>
          <w:rFonts w:ascii="Arial"/>
          <w:b/>
          <w:spacing w:val="-10"/>
          <w:sz w:val="28"/>
        </w:rPr>
        <w:t> </w:t>
      </w:r>
      <w:r>
        <w:rPr>
          <w:rFonts w:ascii="Arial"/>
          <w:b/>
          <w:sz w:val="28"/>
        </w:rPr>
        <w:t>IN</w:t>
      </w:r>
      <w:r>
        <w:rPr>
          <w:rFonts w:ascii="Arial"/>
          <w:b/>
          <w:spacing w:val="-11"/>
          <w:sz w:val="28"/>
        </w:rPr>
        <w:t> </w:t>
      </w:r>
      <w:r>
        <w:rPr>
          <w:rFonts w:ascii="Arial"/>
          <w:b/>
          <w:sz w:val="28"/>
        </w:rPr>
        <w:t>EDUCATIONAL</w:t>
      </w:r>
      <w:r>
        <w:rPr>
          <w:rFonts w:ascii="Arial"/>
          <w:b/>
          <w:spacing w:val="-8"/>
          <w:sz w:val="28"/>
        </w:rPr>
        <w:t> </w:t>
      </w:r>
      <w:r>
        <w:rPr>
          <w:rFonts w:ascii="Arial"/>
          <w:b/>
          <w:sz w:val="28"/>
        </w:rPr>
        <w:t>ADMINISTRATION</w:t>
      </w:r>
      <w:r>
        <w:rPr>
          <w:rFonts w:ascii="Arial"/>
          <w:b/>
          <w:spacing w:val="-6"/>
          <w:sz w:val="28"/>
        </w:rPr>
        <w:t> </w:t>
      </w:r>
      <w:r>
        <w:rPr>
          <w:rFonts w:ascii="Arial"/>
          <w:b/>
          <w:sz w:val="28"/>
        </w:rPr>
        <w:t>AND</w:t>
      </w:r>
      <w:r>
        <w:rPr>
          <w:rFonts w:ascii="Arial"/>
          <w:b/>
          <w:spacing w:val="-11"/>
          <w:sz w:val="28"/>
        </w:rPr>
        <w:t> </w:t>
      </w:r>
      <w:r>
        <w:rPr>
          <w:rFonts w:ascii="Arial"/>
          <w:b/>
          <w:sz w:val="28"/>
        </w:rPr>
        <w:t>PLANNING</w:t>
      </w: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spacing w:before="0"/>
        <w:ind w:left="2373" w:right="2523" w:firstLine="0"/>
        <w:jc w:val="center"/>
        <w:rPr>
          <w:rFonts w:ascii="Arial"/>
          <w:b/>
          <w:sz w:val="28"/>
        </w:rPr>
      </w:pPr>
      <w:r>
        <w:rPr>
          <w:rFonts w:ascii="Arial"/>
          <w:b/>
          <w:sz w:val="28"/>
        </w:rPr>
        <w:t>DEPARTMENT</w:t>
      </w:r>
      <w:r>
        <w:rPr>
          <w:rFonts w:ascii="Arial"/>
          <w:b/>
          <w:spacing w:val="-20"/>
          <w:sz w:val="28"/>
        </w:rPr>
        <w:t> </w:t>
      </w:r>
      <w:r>
        <w:rPr>
          <w:rFonts w:ascii="Arial"/>
          <w:b/>
          <w:sz w:val="28"/>
        </w:rPr>
        <w:t>OF</w:t>
      </w:r>
      <w:r>
        <w:rPr>
          <w:rFonts w:ascii="Arial"/>
          <w:b/>
          <w:spacing w:val="-19"/>
          <w:sz w:val="28"/>
        </w:rPr>
        <w:t> </w:t>
      </w:r>
      <w:r>
        <w:rPr>
          <w:rFonts w:ascii="Arial"/>
          <w:b/>
          <w:sz w:val="28"/>
        </w:rPr>
        <w:t>EDUCATION AHMADU BELLO UNIVERSITY ZARIA, NIGERIA.</w:t>
      </w:r>
    </w:p>
    <w:p>
      <w:pPr>
        <w:pStyle w:val="BodyText"/>
        <w:spacing w:before="320"/>
        <w:rPr>
          <w:rFonts w:ascii="Arial"/>
          <w:b/>
          <w:sz w:val="28"/>
        </w:rPr>
      </w:pPr>
    </w:p>
    <w:p>
      <w:pPr>
        <w:spacing w:before="0"/>
        <w:ind w:left="78" w:right="219" w:firstLine="0"/>
        <w:jc w:val="center"/>
        <w:rPr>
          <w:rFonts w:ascii="Arial"/>
          <w:b/>
          <w:sz w:val="28"/>
        </w:rPr>
      </w:pPr>
      <w:r>
        <w:rPr>
          <w:rFonts w:ascii="Arial"/>
          <w:b/>
          <w:sz w:val="28"/>
        </w:rPr>
        <w:t>December,</w:t>
      </w:r>
      <w:r>
        <w:rPr>
          <w:rFonts w:ascii="Arial"/>
          <w:b/>
          <w:spacing w:val="-9"/>
          <w:sz w:val="28"/>
        </w:rPr>
        <w:t> </w:t>
      </w:r>
      <w:r>
        <w:rPr>
          <w:rFonts w:ascii="Arial"/>
          <w:b/>
          <w:spacing w:val="-4"/>
          <w:sz w:val="28"/>
        </w:rPr>
        <w:t>2007</w:t>
      </w:r>
    </w:p>
    <w:p>
      <w:pPr>
        <w:spacing w:after="0"/>
        <w:jc w:val="center"/>
        <w:rPr>
          <w:rFonts w:ascii="Arial"/>
          <w:sz w:val="28"/>
        </w:rPr>
        <w:sectPr>
          <w:headerReference w:type="default" r:id="rId5"/>
          <w:type w:val="continuous"/>
          <w:pgSz w:w="12240" w:h="15840"/>
          <w:pgMar w:header="722" w:footer="0" w:top="1060" w:bottom="280" w:left="1280" w:right="1140"/>
          <w:pgNumType w:start="1"/>
        </w:sectPr>
      </w:pPr>
    </w:p>
    <w:p>
      <w:pPr>
        <w:pStyle w:val="BodyText"/>
        <w:rPr>
          <w:rFonts w:ascii="Arial"/>
          <w:b/>
        </w:rPr>
      </w:pPr>
    </w:p>
    <w:p>
      <w:pPr>
        <w:pStyle w:val="BodyText"/>
        <w:spacing w:before="252"/>
        <w:rPr>
          <w:rFonts w:ascii="Arial"/>
          <w:b/>
        </w:rPr>
      </w:pPr>
    </w:p>
    <w:p>
      <w:pPr>
        <w:pStyle w:val="Heading3"/>
        <w:ind w:right="219"/>
      </w:pPr>
      <w:r>
        <w:rPr>
          <w:spacing w:val="-2"/>
        </w:rPr>
        <w:t>DECLARATION</w:t>
      </w:r>
    </w:p>
    <w:p>
      <w:pPr>
        <w:pStyle w:val="BodyText"/>
        <w:spacing w:before="5"/>
        <w:rPr>
          <w:rFonts w:ascii="Arial"/>
          <w:b/>
        </w:rPr>
      </w:pPr>
    </w:p>
    <w:p>
      <w:pPr>
        <w:pStyle w:val="BodyText"/>
        <w:spacing w:line="480" w:lineRule="auto"/>
        <w:ind w:left="880" w:right="296" w:firstLine="720"/>
        <w:jc w:val="both"/>
      </w:pPr>
      <w:r>
        <w:rPr/>
        <w:t>I hereby declare that this dissertation on “An Assessment of the Management of students’ welfare services in the Universities in the three geopolitical zones in the Northern part of Nigeria”, has been written by me as an account</w:t>
      </w:r>
      <w:r>
        <w:rPr>
          <w:spacing w:val="-3"/>
        </w:rPr>
        <w:t> </w:t>
      </w:r>
      <w:r>
        <w:rPr/>
        <w:t>of</w:t>
      </w:r>
      <w:r>
        <w:rPr>
          <w:spacing w:val="-3"/>
        </w:rPr>
        <w:t> </w:t>
      </w:r>
      <w:r>
        <w:rPr/>
        <w:t>my</w:t>
      </w:r>
      <w:r>
        <w:rPr>
          <w:spacing w:val="-3"/>
        </w:rPr>
        <w:t> </w:t>
      </w:r>
      <w:r>
        <w:rPr/>
        <w:t>personal research</w:t>
      </w:r>
      <w:r>
        <w:rPr>
          <w:spacing w:val="-2"/>
        </w:rPr>
        <w:t> </w:t>
      </w:r>
      <w:r>
        <w:rPr/>
        <w:t>work.</w:t>
      </w:r>
      <w:r>
        <w:rPr>
          <w:spacing w:val="-3"/>
        </w:rPr>
        <w:t> </w:t>
      </w:r>
      <w:r>
        <w:rPr/>
        <w:t>It</w:t>
      </w:r>
      <w:r>
        <w:rPr>
          <w:spacing w:val="-3"/>
        </w:rPr>
        <w:t> </w:t>
      </w:r>
      <w:r>
        <w:rPr/>
        <w:t>has</w:t>
      </w:r>
      <w:r>
        <w:rPr>
          <w:spacing w:val="-8"/>
        </w:rPr>
        <w:t> </w:t>
      </w:r>
      <w:r>
        <w:rPr/>
        <w:t>never</w:t>
      </w:r>
      <w:r>
        <w:rPr>
          <w:spacing w:val="-1"/>
        </w:rPr>
        <w:t> </w:t>
      </w:r>
      <w:r>
        <w:rPr/>
        <w:t>been</w:t>
      </w:r>
      <w:r>
        <w:rPr>
          <w:spacing w:val="-2"/>
        </w:rPr>
        <w:t> </w:t>
      </w:r>
      <w:r>
        <w:rPr/>
        <w:t>presented</w:t>
      </w:r>
      <w:r>
        <w:rPr>
          <w:spacing w:val="-2"/>
        </w:rPr>
        <w:t> </w:t>
      </w:r>
      <w:r>
        <w:rPr/>
        <w:t>anywhere</w:t>
      </w:r>
      <w:r>
        <w:rPr>
          <w:spacing w:val="-2"/>
        </w:rPr>
        <w:t> </w:t>
      </w:r>
      <w:r>
        <w:rPr/>
        <w:t>for the purpose of the award of same higher degree. All quotations and sources of information from</w:t>
      </w:r>
      <w:r>
        <w:rPr>
          <w:spacing w:val="-1"/>
        </w:rPr>
        <w:t> </w:t>
      </w:r>
      <w:r>
        <w:rPr/>
        <w:t>other works have been indented and properly acknowledged by means of references.</w:t>
      </w:r>
    </w:p>
    <w:p>
      <w:pPr>
        <w:pStyle w:val="BodyText"/>
      </w:pPr>
    </w:p>
    <w:p>
      <w:pPr>
        <w:pStyle w:val="BodyText"/>
      </w:pPr>
    </w:p>
    <w:p>
      <w:pPr>
        <w:pStyle w:val="BodyText"/>
      </w:pPr>
    </w:p>
    <w:p>
      <w:pPr>
        <w:pStyle w:val="BodyText"/>
      </w:pPr>
    </w:p>
    <w:p>
      <w:pPr>
        <w:pStyle w:val="BodyText"/>
        <w:spacing w:before="2"/>
      </w:pPr>
    </w:p>
    <w:p>
      <w:pPr>
        <w:pStyle w:val="BodyText"/>
        <w:spacing w:before="1"/>
        <w:ind w:left="831"/>
      </w:pPr>
      <w:r>
        <w:rPr/>
        <w:t>Asta</w:t>
      </w:r>
      <w:r>
        <w:rPr>
          <w:spacing w:val="-12"/>
        </w:rPr>
        <w:t> </w:t>
      </w:r>
      <w:r>
        <w:rPr/>
        <w:t>Abdullahi</w:t>
      </w:r>
      <w:r>
        <w:rPr>
          <w:spacing w:val="-8"/>
        </w:rPr>
        <w:t> </w:t>
      </w:r>
      <w:r>
        <w:rPr/>
        <w:t>Mahadi</w:t>
      </w:r>
      <w:r>
        <w:rPr>
          <w:spacing w:val="-9"/>
        </w:rPr>
        <w:t> </w:t>
      </w:r>
      <w:r>
        <w:rPr>
          <w:spacing w:val="-4"/>
        </w:rPr>
        <w:t>(Mrs)</w:t>
      </w:r>
    </w:p>
    <w:p>
      <w:pPr>
        <w:pStyle w:val="BodyText"/>
        <w:spacing w:before="8"/>
        <w:rPr>
          <w:sz w:val="20"/>
        </w:rPr>
      </w:pPr>
      <w:r>
        <w:rPr/>
        <mc:AlternateContent>
          <mc:Choice Requires="wps">
            <w:drawing>
              <wp:anchor distT="0" distB="0" distL="0" distR="0" allowOverlap="1" layoutInCell="1" locked="0" behindDoc="1" simplePos="0" relativeHeight="487587840">
                <wp:simplePos x="0" y="0"/>
                <wp:positionH relativeFrom="page">
                  <wp:posOffset>914400</wp:posOffset>
                </wp:positionH>
                <wp:positionV relativeFrom="paragraph">
                  <wp:posOffset>166860</wp:posOffset>
                </wp:positionV>
                <wp:extent cx="2374265" cy="1270"/>
                <wp:effectExtent l="0" t="0" r="0" b="0"/>
                <wp:wrapTopAndBottom/>
                <wp:docPr id="2" name="Graphic 2"/>
                <wp:cNvGraphicFramePr>
                  <a:graphicFrameLocks/>
                </wp:cNvGraphicFramePr>
                <a:graphic>
                  <a:graphicData uri="http://schemas.microsoft.com/office/word/2010/wordprocessingShape">
                    <wps:wsp>
                      <wps:cNvPr id="2" name="Graphic 2"/>
                      <wps:cNvSpPr/>
                      <wps:spPr>
                        <a:xfrm>
                          <a:off x="0" y="0"/>
                          <a:ext cx="2374265" cy="1270"/>
                        </a:xfrm>
                        <a:custGeom>
                          <a:avLst/>
                          <a:gdLst/>
                          <a:ahLst/>
                          <a:cxnLst/>
                          <a:rect l="l" t="t" r="r" b="b"/>
                          <a:pathLst>
                            <a:path w="2374265" h="0">
                              <a:moveTo>
                                <a:pt x="0" y="0"/>
                              </a:moveTo>
                              <a:lnTo>
                                <a:pt x="2374163" y="0"/>
                              </a:lnTo>
                            </a:path>
                          </a:pathLst>
                        </a:custGeom>
                        <a:ln w="958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2pt;margin-top:13.138595pt;width:186.95pt;height:.1pt;mso-position-horizontal-relative:page;mso-position-vertical-relative:paragraph;z-index:-15728640;mso-wrap-distance-left:0;mso-wrap-distance-right:0" id="docshape2" coordorigin="1440,263" coordsize="3739,0" path="m1440,263l5179,263e" filled="false" stroked="true" strokeweight=".754564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588352">
                <wp:simplePos x="0" y="0"/>
                <wp:positionH relativeFrom="page">
                  <wp:posOffset>3657600</wp:posOffset>
                </wp:positionH>
                <wp:positionV relativeFrom="paragraph">
                  <wp:posOffset>166860</wp:posOffset>
                </wp:positionV>
                <wp:extent cx="1697355" cy="1270"/>
                <wp:effectExtent l="0" t="0" r="0" b="0"/>
                <wp:wrapTopAndBottom/>
                <wp:docPr id="3" name="Graphic 3"/>
                <wp:cNvGraphicFramePr>
                  <a:graphicFrameLocks/>
                </wp:cNvGraphicFramePr>
                <a:graphic>
                  <a:graphicData uri="http://schemas.microsoft.com/office/word/2010/wordprocessingShape">
                    <wps:wsp>
                      <wps:cNvPr id="3" name="Graphic 3"/>
                      <wps:cNvSpPr/>
                      <wps:spPr>
                        <a:xfrm>
                          <a:off x="0" y="0"/>
                          <a:ext cx="1697355" cy="1270"/>
                        </a:xfrm>
                        <a:custGeom>
                          <a:avLst/>
                          <a:gdLst/>
                          <a:ahLst/>
                          <a:cxnLst/>
                          <a:rect l="l" t="t" r="r" b="b"/>
                          <a:pathLst>
                            <a:path w="1697355" h="0">
                              <a:moveTo>
                                <a:pt x="0" y="0"/>
                              </a:moveTo>
                              <a:lnTo>
                                <a:pt x="1697271" y="0"/>
                              </a:lnTo>
                            </a:path>
                          </a:pathLst>
                        </a:custGeom>
                        <a:ln w="958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88pt;margin-top:13.138595pt;width:133.65pt;height:.1pt;mso-position-horizontal-relative:page;mso-position-vertical-relative:paragraph;z-index:-15728128;mso-wrap-distance-left:0;mso-wrap-distance-right:0" id="docshape3" coordorigin="5760,263" coordsize="2673,0" path="m5760,263l8433,263e" filled="false" stroked="true" strokeweight=".754564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588864">
                <wp:simplePos x="0" y="0"/>
                <wp:positionH relativeFrom="page">
                  <wp:posOffset>5486400</wp:posOffset>
                </wp:positionH>
                <wp:positionV relativeFrom="paragraph">
                  <wp:posOffset>166860</wp:posOffset>
                </wp:positionV>
                <wp:extent cx="1358900" cy="1270"/>
                <wp:effectExtent l="0" t="0" r="0" b="0"/>
                <wp:wrapTopAndBottom/>
                <wp:docPr id="4" name="Graphic 4"/>
                <wp:cNvGraphicFramePr>
                  <a:graphicFrameLocks/>
                </wp:cNvGraphicFramePr>
                <a:graphic>
                  <a:graphicData uri="http://schemas.microsoft.com/office/word/2010/wordprocessingShape">
                    <wps:wsp>
                      <wps:cNvPr id="4" name="Graphic 4"/>
                      <wps:cNvSpPr/>
                      <wps:spPr>
                        <a:xfrm>
                          <a:off x="0" y="0"/>
                          <a:ext cx="1358900" cy="1270"/>
                        </a:xfrm>
                        <a:custGeom>
                          <a:avLst/>
                          <a:gdLst/>
                          <a:ahLst/>
                          <a:cxnLst/>
                          <a:rect l="l" t="t" r="r" b="b"/>
                          <a:pathLst>
                            <a:path w="1358900" h="0">
                              <a:moveTo>
                                <a:pt x="0" y="0"/>
                              </a:moveTo>
                              <a:lnTo>
                                <a:pt x="1358825" y="0"/>
                              </a:lnTo>
                            </a:path>
                          </a:pathLst>
                        </a:custGeom>
                        <a:ln w="958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32pt;margin-top:13.138595pt;width:107pt;height:.1pt;mso-position-horizontal-relative:page;mso-position-vertical-relative:paragraph;z-index:-15727616;mso-wrap-distance-left:0;mso-wrap-distance-right:0" id="docshape4" coordorigin="8640,263" coordsize="2140,0" path="m8640,263l10780,263e" filled="false" stroked="true" strokeweight=".754564pt" strokecolor="#000000">
                <v:path arrowok="t"/>
                <v:stroke dashstyle="solid"/>
                <w10:wrap type="topAndBottom"/>
              </v:shape>
            </w:pict>
          </mc:Fallback>
        </mc:AlternateContent>
      </w:r>
    </w:p>
    <w:p>
      <w:pPr>
        <w:pStyle w:val="BodyText"/>
        <w:tabs>
          <w:tab w:pos="4103" w:val="left" w:leader="none"/>
          <w:tab w:pos="6868" w:val="left" w:leader="none"/>
        </w:tabs>
        <w:spacing w:before="5"/>
        <w:ind w:right="119"/>
        <w:jc w:val="center"/>
      </w:pPr>
      <w:r>
        <w:rPr/>
        <w:t>Name</w:t>
      </w:r>
      <w:r>
        <w:rPr>
          <w:spacing w:val="-7"/>
        </w:rPr>
        <w:t> </w:t>
      </w:r>
      <w:r>
        <w:rPr/>
        <w:t>of</w:t>
      </w:r>
      <w:r>
        <w:rPr>
          <w:spacing w:val="-8"/>
        </w:rPr>
        <w:t> </w:t>
      </w:r>
      <w:r>
        <w:rPr>
          <w:spacing w:val="-2"/>
        </w:rPr>
        <w:t>student</w:t>
      </w:r>
      <w:r>
        <w:rPr/>
        <w:tab/>
      </w:r>
      <w:r>
        <w:rPr>
          <w:spacing w:val="-2"/>
        </w:rPr>
        <w:t>Signature</w:t>
      </w:r>
      <w:r>
        <w:rPr/>
        <w:tab/>
      </w:r>
      <w:r>
        <w:rPr>
          <w:spacing w:val="-4"/>
        </w:rPr>
        <w:t>Date</w:t>
      </w:r>
    </w:p>
    <w:p>
      <w:pPr>
        <w:spacing w:after="0"/>
        <w:jc w:val="center"/>
        <w:sectPr>
          <w:pgSz w:w="12240" w:h="15840"/>
          <w:pgMar w:header="722" w:footer="0" w:top="1060" w:bottom="280" w:left="1280" w:right="1140"/>
        </w:sectPr>
      </w:pPr>
    </w:p>
    <w:p>
      <w:pPr>
        <w:pStyle w:val="BodyText"/>
        <w:spacing w:before="81"/>
      </w:pPr>
    </w:p>
    <w:p>
      <w:pPr>
        <w:pStyle w:val="Heading3"/>
        <w:ind w:right="215"/>
      </w:pPr>
      <w:bookmarkStart w:name="_TOC_250067" w:id="1"/>
      <w:bookmarkEnd w:id="1"/>
      <w:r>
        <w:rPr>
          <w:spacing w:val="-2"/>
        </w:rPr>
        <w:t>CERTIFICATION</w:t>
      </w:r>
    </w:p>
    <w:p>
      <w:pPr>
        <w:pStyle w:val="BodyText"/>
        <w:spacing w:before="5"/>
        <w:rPr>
          <w:rFonts w:ascii="Arial"/>
          <w:b/>
        </w:rPr>
      </w:pPr>
    </w:p>
    <w:p>
      <w:pPr>
        <w:pStyle w:val="BodyText"/>
        <w:spacing w:line="480" w:lineRule="auto"/>
        <w:ind w:left="880" w:right="296" w:firstLine="720"/>
        <w:jc w:val="both"/>
      </w:pPr>
      <w:r>
        <w:rPr/>
        <w:t>This dissertation entitled “An Assessment of the Management of students’ welfare services in the Universities</w:t>
      </w:r>
      <w:r>
        <w:rPr>
          <w:spacing w:val="-3"/>
        </w:rPr>
        <w:t> </w:t>
      </w:r>
      <w:r>
        <w:rPr/>
        <w:t>in the</w:t>
      </w:r>
      <w:r>
        <w:rPr>
          <w:spacing w:val="-2"/>
        </w:rPr>
        <w:t> </w:t>
      </w:r>
      <w:r>
        <w:rPr/>
        <w:t>three geopolitical zones</w:t>
      </w:r>
      <w:r>
        <w:rPr>
          <w:spacing w:val="-3"/>
        </w:rPr>
        <w:t> </w:t>
      </w:r>
      <w:r>
        <w:rPr/>
        <w:t>in the Northern part of Nigeria” by Asta Abdullahi Mahadi (Mrs.) meets the requirements governing the award of the degree of Doctor of Philosophy (Educational Administration and Planning) of Ahmadu Bello University, Zaria and is approved for its contribution to knowledge and literary presentation.</w:t>
      </w:r>
    </w:p>
    <w:p>
      <w:pPr>
        <w:pStyle w:val="BodyText"/>
      </w:pPr>
    </w:p>
    <w:p>
      <w:pPr>
        <w:pStyle w:val="BodyText"/>
        <w:spacing w:before="183"/>
      </w:pPr>
    </w:p>
    <w:p>
      <w:pPr>
        <w:pStyle w:val="BodyText"/>
        <w:tabs>
          <w:tab w:pos="6639" w:val="left" w:leader="none"/>
          <w:tab w:pos="7830" w:val="left" w:leader="none"/>
        </w:tabs>
        <w:spacing w:line="242" w:lineRule="auto"/>
        <w:ind w:left="880" w:right="300"/>
      </w:pPr>
      <w:r>
        <w:rPr>
          <w:spacing w:val="-2"/>
        </w:rPr>
        <w:t>……………………………………………….</w:t>
      </w:r>
      <w:r>
        <w:rPr/>
        <w:tab/>
      </w:r>
      <w:r>
        <w:rPr>
          <w:spacing w:val="-2"/>
        </w:rPr>
        <w:t>……………………………… </w:t>
      </w:r>
      <w:r>
        <w:rPr/>
        <w:t>Prof. Y.A. Jatto</w:t>
        <w:tab/>
        <w:tab/>
      </w:r>
      <w:r>
        <w:rPr>
          <w:spacing w:val="-4"/>
        </w:rPr>
        <w:t>Date</w:t>
      </w:r>
    </w:p>
    <w:p>
      <w:pPr>
        <w:pStyle w:val="BodyText"/>
        <w:spacing w:line="271" w:lineRule="exact"/>
        <w:ind w:left="880"/>
      </w:pPr>
      <w:r>
        <w:rPr/>
        <w:t>Chairperson,</w:t>
      </w:r>
      <w:r>
        <w:rPr>
          <w:spacing w:val="-15"/>
        </w:rPr>
        <w:t> </w:t>
      </w:r>
      <w:r>
        <w:rPr/>
        <w:t>Supervisory</w:t>
      </w:r>
      <w:r>
        <w:rPr>
          <w:spacing w:val="-14"/>
        </w:rPr>
        <w:t> </w:t>
      </w:r>
      <w:r>
        <w:rPr>
          <w:spacing w:val="-2"/>
        </w:rPr>
        <w:t>Committee</w:t>
      </w:r>
    </w:p>
    <w:p>
      <w:pPr>
        <w:pStyle w:val="BodyText"/>
      </w:pPr>
    </w:p>
    <w:p>
      <w:pPr>
        <w:pStyle w:val="BodyText"/>
        <w:spacing w:before="5"/>
      </w:pPr>
    </w:p>
    <w:p>
      <w:pPr>
        <w:pStyle w:val="BodyText"/>
        <w:tabs>
          <w:tab w:pos="6639" w:val="left" w:leader="none"/>
          <w:tab w:pos="7763" w:val="left" w:leader="none"/>
        </w:tabs>
        <w:spacing w:line="237" w:lineRule="auto"/>
        <w:ind w:left="880" w:right="300"/>
      </w:pPr>
      <w:r>
        <w:rPr>
          <w:spacing w:val="-2"/>
        </w:rPr>
        <w:t>……………………………………………….</w:t>
      </w:r>
      <w:r>
        <w:rPr/>
        <w:tab/>
      </w:r>
      <w:r>
        <w:rPr>
          <w:spacing w:val="-2"/>
        </w:rPr>
        <w:t>……………………………… </w:t>
      </w:r>
      <w:r>
        <w:rPr/>
        <w:t>Dr. (Miss) A.A. Igunnu</w:t>
        <w:tab/>
        <w:tab/>
      </w:r>
      <w:r>
        <w:rPr>
          <w:spacing w:val="-4"/>
        </w:rPr>
        <w:t>Date</w:t>
      </w:r>
    </w:p>
    <w:p>
      <w:pPr>
        <w:pStyle w:val="BodyText"/>
        <w:spacing w:before="3"/>
        <w:ind w:left="880"/>
      </w:pPr>
      <w:r>
        <w:rPr/>
        <w:t>Member,</w:t>
      </w:r>
      <w:r>
        <w:rPr>
          <w:spacing w:val="-12"/>
        </w:rPr>
        <w:t> </w:t>
      </w:r>
      <w:r>
        <w:rPr/>
        <w:t>Supervisory</w:t>
      </w:r>
      <w:r>
        <w:rPr>
          <w:spacing w:val="-12"/>
        </w:rPr>
        <w:t> </w:t>
      </w:r>
      <w:r>
        <w:rPr>
          <w:spacing w:val="-2"/>
        </w:rPr>
        <w:t>Committee</w:t>
      </w:r>
    </w:p>
    <w:p>
      <w:pPr>
        <w:pStyle w:val="BodyText"/>
        <w:spacing w:before="274"/>
      </w:pPr>
    </w:p>
    <w:p>
      <w:pPr>
        <w:pStyle w:val="BodyText"/>
        <w:tabs>
          <w:tab w:pos="6639" w:val="left" w:leader="none"/>
          <w:tab w:pos="7763" w:val="left" w:leader="none"/>
        </w:tabs>
        <w:spacing w:line="242" w:lineRule="auto"/>
        <w:ind w:left="880" w:right="300"/>
      </w:pPr>
      <w:r>
        <w:rPr>
          <w:spacing w:val="-2"/>
        </w:rPr>
        <w:t>……………………………………………….</w:t>
      </w:r>
      <w:r>
        <w:rPr/>
        <w:tab/>
      </w:r>
      <w:r>
        <w:rPr>
          <w:spacing w:val="-2"/>
        </w:rPr>
        <w:t>……………………………… </w:t>
      </w:r>
      <w:r>
        <w:rPr/>
        <w:t>Dr. (Mrs.) H.S. Hinjari</w:t>
        <w:tab/>
        <w:tab/>
      </w:r>
      <w:r>
        <w:rPr>
          <w:spacing w:val="-4"/>
        </w:rPr>
        <w:t>Date</w:t>
      </w:r>
    </w:p>
    <w:p>
      <w:pPr>
        <w:pStyle w:val="BodyText"/>
        <w:spacing w:line="271" w:lineRule="exact"/>
        <w:ind w:left="880"/>
      </w:pPr>
      <w:r>
        <w:rPr/>
        <w:t>Member,</w:t>
      </w:r>
      <w:r>
        <w:rPr>
          <w:spacing w:val="-12"/>
        </w:rPr>
        <w:t> </w:t>
      </w:r>
      <w:r>
        <w:rPr/>
        <w:t>Supervisory</w:t>
      </w:r>
      <w:r>
        <w:rPr>
          <w:spacing w:val="-12"/>
        </w:rPr>
        <w:t> </w:t>
      </w:r>
      <w:r>
        <w:rPr>
          <w:spacing w:val="-2"/>
        </w:rPr>
        <w:t>Committee</w:t>
      </w:r>
    </w:p>
    <w:p>
      <w:pPr>
        <w:pStyle w:val="BodyText"/>
      </w:pPr>
    </w:p>
    <w:p>
      <w:pPr>
        <w:pStyle w:val="BodyText"/>
        <w:spacing w:before="4"/>
      </w:pPr>
    </w:p>
    <w:p>
      <w:pPr>
        <w:pStyle w:val="BodyText"/>
        <w:tabs>
          <w:tab w:pos="1671" w:val="left" w:leader="none"/>
          <w:tab w:pos="6639" w:val="left" w:leader="none"/>
          <w:tab w:pos="7763" w:val="left" w:leader="none"/>
        </w:tabs>
        <w:spacing w:line="237" w:lineRule="auto"/>
        <w:ind w:left="966" w:right="300" w:hanging="87"/>
      </w:pPr>
      <w:r>
        <w:rPr>
          <w:spacing w:val="-2"/>
        </w:rPr>
        <w:t>……………………………………………….</w:t>
      </w:r>
      <w:r>
        <w:rPr/>
        <w:tab/>
      </w:r>
      <w:r>
        <w:rPr>
          <w:spacing w:val="-2"/>
        </w:rPr>
        <w:t>……………………………… Prof.</w:t>
      </w:r>
      <w:r>
        <w:rPr/>
        <w:tab/>
        <w:t>G. D. Azare</w:t>
        <w:tab/>
        <w:tab/>
      </w:r>
      <w:r>
        <w:rPr>
          <w:spacing w:val="-4"/>
        </w:rPr>
        <w:t>Date</w:t>
      </w:r>
    </w:p>
    <w:p>
      <w:pPr>
        <w:pStyle w:val="BodyText"/>
        <w:spacing w:before="4"/>
        <w:ind w:left="880"/>
      </w:pPr>
      <w:r>
        <w:rPr/>
        <w:t>External</w:t>
      </w:r>
      <w:r>
        <w:rPr>
          <w:spacing w:val="-8"/>
        </w:rPr>
        <w:t> </w:t>
      </w:r>
      <w:r>
        <w:rPr>
          <w:spacing w:val="-2"/>
        </w:rPr>
        <w:t>Examiner</w:t>
      </w:r>
    </w:p>
    <w:p>
      <w:pPr>
        <w:pStyle w:val="BodyText"/>
        <w:spacing w:before="273"/>
      </w:pPr>
    </w:p>
    <w:p>
      <w:pPr>
        <w:pStyle w:val="BodyText"/>
        <w:tabs>
          <w:tab w:pos="6639" w:val="left" w:leader="none"/>
          <w:tab w:pos="7830" w:val="left" w:leader="none"/>
        </w:tabs>
        <w:spacing w:line="242" w:lineRule="auto"/>
        <w:ind w:left="880" w:right="300"/>
      </w:pPr>
      <w:r>
        <w:rPr>
          <w:spacing w:val="-2"/>
        </w:rPr>
        <w:t>……………………………………………….</w:t>
      </w:r>
      <w:r>
        <w:rPr/>
        <w:tab/>
      </w:r>
      <w:r>
        <w:rPr>
          <w:spacing w:val="-2"/>
        </w:rPr>
        <w:t>……………………………… </w:t>
      </w:r>
      <w:r>
        <w:rPr/>
        <w:t>Dr. Sadiq Mohammed</w:t>
        <w:tab/>
        <w:tab/>
      </w:r>
      <w:r>
        <w:rPr>
          <w:spacing w:val="-4"/>
        </w:rPr>
        <w:t>Date</w:t>
      </w:r>
    </w:p>
    <w:p>
      <w:pPr>
        <w:pStyle w:val="BodyText"/>
        <w:spacing w:line="271" w:lineRule="exact"/>
        <w:ind w:left="880"/>
      </w:pPr>
      <w:r>
        <w:rPr/>
        <w:t>Head</w:t>
      </w:r>
      <w:r>
        <w:rPr>
          <w:spacing w:val="-9"/>
        </w:rPr>
        <w:t> </w:t>
      </w:r>
      <w:r>
        <w:rPr/>
        <w:t>of</w:t>
      </w:r>
      <w:r>
        <w:rPr>
          <w:spacing w:val="-8"/>
        </w:rPr>
        <w:t> </w:t>
      </w:r>
      <w:r>
        <w:rPr/>
        <w:t>Department,</w:t>
      </w:r>
      <w:r>
        <w:rPr>
          <w:spacing w:val="-9"/>
        </w:rPr>
        <w:t> </w:t>
      </w:r>
      <w:r>
        <w:rPr>
          <w:spacing w:val="-2"/>
        </w:rPr>
        <w:t>Education</w:t>
      </w:r>
    </w:p>
    <w:p>
      <w:pPr>
        <w:pStyle w:val="BodyText"/>
      </w:pPr>
    </w:p>
    <w:p>
      <w:pPr>
        <w:pStyle w:val="BodyText"/>
        <w:spacing w:before="5"/>
      </w:pPr>
    </w:p>
    <w:p>
      <w:pPr>
        <w:pStyle w:val="BodyText"/>
        <w:tabs>
          <w:tab w:pos="6639" w:val="left" w:leader="none"/>
          <w:tab w:pos="7830" w:val="left" w:leader="none"/>
        </w:tabs>
        <w:spacing w:line="237" w:lineRule="auto"/>
        <w:ind w:left="880" w:right="300"/>
      </w:pPr>
      <w:r>
        <w:rPr>
          <w:spacing w:val="-2"/>
        </w:rPr>
        <w:t>……………………………………………….</w:t>
      </w:r>
      <w:r>
        <w:rPr/>
        <w:tab/>
      </w:r>
      <w:r>
        <w:rPr>
          <w:spacing w:val="-2"/>
        </w:rPr>
        <w:t>……………………………… </w:t>
      </w:r>
      <w:r>
        <w:rPr/>
        <w:t>Prof. S. Nkom</w:t>
        <w:tab/>
        <w:tab/>
      </w:r>
      <w:r>
        <w:rPr>
          <w:spacing w:val="-4"/>
        </w:rPr>
        <w:t>Date</w:t>
      </w:r>
    </w:p>
    <w:p>
      <w:pPr>
        <w:pStyle w:val="BodyText"/>
        <w:spacing w:before="3"/>
        <w:ind w:left="880"/>
      </w:pPr>
      <w:r>
        <w:rPr/>
        <w:t>Dean,</w:t>
      </w:r>
      <w:r>
        <w:rPr>
          <w:spacing w:val="-7"/>
        </w:rPr>
        <w:t> </w:t>
      </w:r>
      <w:r>
        <w:rPr/>
        <w:t>Post</w:t>
      </w:r>
      <w:r>
        <w:rPr>
          <w:spacing w:val="-7"/>
        </w:rPr>
        <w:t> </w:t>
      </w:r>
      <w:r>
        <w:rPr/>
        <w:t>Graduate</w:t>
      </w:r>
      <w:r>
        <w:rPr>
          <w:spacing w:val="-6"/>
        </w:rPr>
        <w:t> </w:t>
      </w:r>
      <w:r>
        <w:rPr>
          <w:spacing w:val="-2"/>
        </w:rPr>
        <w:t>School</w:t>
      </w:r>
    </w:p>
    <w:p>
      <w:pPr>
        <w:spacing w:after="0"/>
        <w:sectPr>
          <w:headerReference w:type="default" r:id="rId6"/>
          <w:footerReference w:type="default" r:id="rId7"/>
          <w:pgSz w:w="12240" w:h="15840"/>
          <w:pgMar w:header="722" w:footer="791" w:top="1060" w:bottom="980" w:left="1280" w:right="1140"/>
          <w:pgNumType w:start="3"/>
        </w:sectPr>
      </w:pPr>
    </w:p>
    <w:p>
      <w:pPr>
        <w:pStyle w:val="BodyText"/>
      </w:pPr>
    </w:p>
    <w:p>
      <w:pPr>
        <w:pStyle w:val="BodyText"/>
        <w:spacing w:before="79"/>
      </w:pPr>
    </w:p>
    <w:p>
      <w:pPr>
        <w:pStyle w:val="Heading3"/>
        <w:ind w:right="220"/>
      </w:pPr>
      <w:bookmarkStart w:name="_TOC_250066" w:id="2"/>
      <w:bookmarkEnd w:id="2"/>
      <w:r>
        <w:rPr>
          <w:spacing w:val="-2"/>
        </w:rPr>
        <w:t>DEDICATION</w:t>
      </w:r>
    </w:p>
    <w:p>
      <w:pPr>
        <w:pStyle w:val="BodyText"/>
        <w:spacing w:before="5"/>
        <w:rPr>
          <w:rFonts w:ascii="Arial"/>
          <w:b/>
        </w:rPr>
      </w:pPr>
    </w:p>
    <w:p>
      <w:pPr>
        <w:pStyle w:val="BodyText"/>
        <w:spacing w:line="480" w:lineRule="auto"/>
        <w:ind w:left="880" w:right="298" w:firstLine="720"/>
        <w:jc w:val="both"/>
      </w:pPr>
      <w:r>
        <w:rPr/>
        <w:t>This research work is dedicated to my children to encourage them in the pursuit of knowledge and to the memory of my parents who never lived to taste the fruit of my educational struggle.</w:t>
      </w:r>
    </w:p>
    <w:p>
      <w:pPr>
        <w:spacing w:after="0" w:line="480" w:lineRule="auto"/>
        <w:jc w:val="both"/>
        <w:sectPr>
          <w:headerReference w:type="default" r:id="rId8"/>
          <w:footerReference w:type="default" r:id="rId9"/>
          <w:pgSz w:w="12240" w:h="15840"/>
          <w:pgMar w:header="722" w:footer="791" w:top="1060" w:bottom="980" w:left="1280" w:right="1140"/>
        </w:sectPr>
      </w:pPr>
    </w:p>
    <w:p>
      <w:pPr>
        <w:pStyle w:val="BodyText"/>
      </w:pPr>
    </w:p>
    <w:p>
      <w:pPr>
        <w:pStyle w:val="BodyText"/>
        <w:spacing w:before="79"/>
      </w:pPr>
    </w:p>
    <w:p>
      <w:pPr>
        <w:pStyle w:val="Heading3"/>
        <w:ind w:right="214"/>
      </w:pPr>
      <w:r>
        <w:rPr>
          <w:spacing w:val="-2"/>
        </w:rPr>
        <w:t>ACKNOWLEDGEMENTS</w:t>
      </w:r>
    </w:p>
    <w:p>
      <w:pPr>
        <w:pStyle w:val="BodyText"/>
        <w:spacing w:before="5"/>
        <w:rPr>
          <w:rFonts w:ascii="Arial"/>
          <w:b/>
        </w:rPr>
      </w:pPr>
    </w:p>
    <w:p>
      <w:pPr>
        <w:pStyle w:val="BodyText"/>
        <w:spacing w:line="480" w:lineRule="auto"/>
        <w:ind w:left="880" w:right="295" w:firstLine="720"/>
        <w:jc w:val="both"/>
      </w:pPr>
      <w:r>
        <w:rPr/>
        <w:t>First and foremost, praise be to Almighty Allah for sparing my life and giving me the strength, guidance and patience to complete this study.</w:t>
      </w:r>
    </w:p>
    <w:p>
      <w:pPr>
        <w:pStyle w:val="BodyText"/>
        <w:spacing w:line="480" w:lineRule="auto"/>
        <w:ind w:left="880" w:right="294" w:firstLine="720"/>
        <w:jc w:val="both"/>
      </w:pPr>
      <w:r>
        <w:rPr/>
        <w:t>I wish to register my profound gratitude to Prof. Y.A. Jatto my major supervisor for his immense support, proper guidance, constructive and immeasurable enthusiasm throughout the period of this study.</w:t>
      </w:r>
      <w:r>
        <w:rPr>
          <w:spacing w:val="40"/>
        </w:rPr>
        <w:t> </w:t>
      </w:r>
      <w:r>
        <w:rPr/>
        <w:t>I am similarly grateful to Dr. A.A. Igunnu my second supervisor for her guidance, support, concern, understanding and constructive criticisms towards the completion of the study.</w:t>
      </w:r>
      <w:r>
        <w:rPr>
          <w:spacing w:val="40"/>
        </w:rPr>
        <w:t> </w:t>
      </w:r>
      <w:r>
        <w:rPr/>
        <w:t>My gratitudes are also expressed to Dr. (Mrs.) H. S. Hinjari and Dr. B.A. Maina for their immeasurable contributions, invaluable, scholarly and classical criticisms and guidance towards the final completion of the study.</w:t>
      </w:r>
      <w:r>
        <w:rPr>
          <w:spacing w:val="80"/>
        </w:rPr>
        <w:t> </w:t>
      </w:r>
      <w:r>
        <w:rPr/>
        <w:t>May Allah in his infinite mercies reward and bless them abundantly.</w:t>
      </w:r>
      <w:r>
        <w:rPr>
          <w:spacing w:val="40"/>
        </w:rPr>
        <w:t> </w:t>
      </w:r>
      <w:r>
        <w:rPr/>
        <w:t>Ameen.</w:t>
      </w:r>
    </w:p>
    <w:p>
      <w:pPr>
        <w:pStyle w:val="BodyText"/>
        <w:spacing w:line="480" w:lineRule="auto"/>
        <w:ind w:left="880" w:right="297" w:firstLine="720"/>
        <w:jc w:val="both"/>
      </w:pPr>
      <w:r>
        <w:rPr/>
        <w:t>My appreciation also goes to Dr. S. Mohammed, the Head of Department of Education for his great concern, encouragement and constructive criticisms towards reshaping the study and proper guidance from the beginning to the end of the study.</w:t>
      </w:r>
      <w:r>
        <w:rPr>
          <w:spacing w:val="40"/>
        </w:rPr>
        <w:t> </w:t>
      </w:r>
      <w:r>
        <w:rPr/>
        <w:t>May Allah (SWT) bless and reward him.</w:t>
      </w:r>
    </w:p>
    <w:p>
      <w:pPr>
        <w:pStyle w:val="BodyText"/>
        <w:spacing w:line="480" w:lineRule="auto" w:before="1"/>
        <w:ind w:left="880" w:right="298" w:firstLine="720"/>
        <w:jc w:val="both"/>
      </w:pPr>
      <w:r>
        <w:rPr/>
        <w:t>I am sincerely grateful to Dr. (Mrs.) D. O. Otu who showed immense interest and support</w:t>
      </w:r>
      <w:r>
        <w:rPr>
          <w:spacing w:val="-3"/>
        </w:rPr>
        <w:t> </w:t>
      </w:r>
      <w:r>
        <w:rPr/>
        <w:t>in supervising the study initially but could not continue to the completion stage due to pressure of work in her primary assignment.</w:t>
      </w:r>
    </w:p>
    <w:p>
      <w:pPr>
        <w:spacing w:after="0" w:line="480" w:lineRule="auto"/>
        <w:jc w:val="both"/>
        <w:sectPr>
          <w:headerReference w:type="default" r:id="rId10"/>
          <w:footerReference w:type="default" r:id="rId11"/>
          <w:pgSz w:w="12240" w:h="15840"/>
          <w:pgMar w:header="722" w:footer="791" w:top="1060" w:bottom="980" w:left="1280" w:right="1140"/>
        </w:sectPr>
      </w:pPr>
    </w:p>
    <w:p>
      <w:pPr>
        <w:pStyle w:val="BodyText"/>
        <w:spacing w:before="86"/>
      </w:pPr>
    </w:p>
    <w:p>
      <w:pPr>
        <w:pStyle w:val="BodyText"/>
        <w:ind w:left="1600"/>
      </w:pPr>
      <w:r>
        <w:rPr/>
        <w:t>I</w:t>
      </w:r>
      <w:r>
        <w:rPr>
          <w:spacing w:val="-4"/>
        </w:rPr>
        <w:t> </w:t>
      </w:r>
      <w:r>
        <w:rPr/>
        <w:t>am</w:t>
      </w:r>
      <w:r>
        <w:rPr>
          <w:spacing w:val="-10"/>
        </w:rPr>
        <w:t> </w:t>
      </w:r>
      <w:r>
        <w:rPr/>
        <w:t>indebted</w:t>
      </w:r>
      <w:r>
        <w:rPr>
          <w:spacing w:val="-2"/>
        </w:rPr>
        <w:t> </w:t>
      </w:r>
      <w:r>
        <w:rPr/>
        <w:t>to</w:t>
      </w:r>
      <w:r>
        <w:rPr>
          <w:spacing w:val="-3"/>
        </w:rPr>
        <w:t> </w:t>
      </w:r>
      <w:r>
        <w:rPr/>
        <w:t>Dr.</w:t>
      </w:r>
      <w:r>
        <w:rPr>
          <w:spacing w:val="-2"/>
        </w:rPr>
        <w:t> </w:t>
      </w:r>
      <w:r>
        <w:rPr/>
        <w:t>M.</w:t>
      </w:r>
      <w:r>
        <w:rPr>
          <w:spacing w:val="-2"/>
        </w:rPr>
        <w:t> </w:t>
      </w:r>
      <w:r>
        <w:rPr/>
        <w:t>Musa,</w:t>
      </w:r>
      <w:r>
        <w:rPr>
          <w:spacing w:val="-4"/>
        </w:rPr>
        <w:t> </w:t>
      </w:r>
      <w:r>
        <w:rPr/>
        <w:t>Dr.</w:t>
      </w:r>
      <w:r>
        <w:rPr>
          <w:spacing w:val="-3"/>
        </w:rPr>
        <w:t> </w:t>
      </w:r>
      <w:r>
        <w:rPr/>
        <w:t>D.</w:t>
      </w:r>
      <w:r>
        <w:rPr>
          <w:spacing w:val="-3"/>
        </w:rPr>
        <w:t> </w:t>
      </w:r>
      <w:r>
        <w:rPr/>
        <w:t>F.</w:t>
      </w:r>
      <w:r>
        <w:rPr>
          <w:spacing w:val="-4"/>
        </w:rPr>
        <w:t> </w:t>
      </w:r>
      <w:r>
        <w:rPr/>
        <w:t>Omokere,</w:t>
      </w:r>
      <w:r>
        <w:rPr>
          <w:spacing w:val="-3"/>
        </w:rPr>
        <w:t> </w:t>
      </w:r>
      <w:r>
        <w:rPr/>
        <w:t>Dr.</w:t>
      </w:r>
      <w:r>
        <w:rPr>
          <w:spacing w:val="-4"/>
        </w:rPr>
        <w:t> </w:t>
      </w:r>
      <w:r>
        <w:rPr/>
        <w:t>S.</w:t>
      </w:r>
      <w:r>
        <w:rPr>
          <w:spacing w:val="-3"/>
        </w:rPr>
        <w:t> </w:t>
      </w:r>
      <w:r>
        <w:rPr/>
        <w:t>A.</w:t>
      </w:r>
      <w:r>
        <w:rPr>
          <w:spacing w:val="-3"/>
        </w:rPr>
        <w:t> </w:t>
      </w:r>
      <w:r>
        <w:rPr/>
        <w:t>Dadari,</w:t>
      </w:r>
      <w:r>
        <w:rPr>
          <w:spacing w:val="-4"/>
        </w:rPr>
        <w:t> </w:t>
      </w:r>
      <w:r>
        <w:rPr/>
        <w:t>Prof.</w:t>
      </w:r>
      <w:r>
        <w:rPr>
          <w:spacing w:val="-3"/>
        </w:rPr>
        <w:t> </w:t>
      </w:r>
      <w:r>
        <w:rPr>
          <w:spacing w:val="-5"/>
        </w:rPr>
        <w:t>J.</w:t>
      </w:r>
    </w:p>
    <w:p>
      <w:pPr>
        <w:pStyle w:val="BodyText"/>
      </w:pPr>
    </w:p>
    <w:p>
      <w:pPr>
        <w:pStyle w:val="BodyText"/>
        <w:spacing w:line="480" w:lineRule="auto"/>
        <w:ind w:left="880" w:right="295"/>
        <w:jc w:val="both"/>
      </w:pPr>
      <w:r>
        <w:rPr/>
        <w:t>S. Aliu , Dr. R. B. Bako,</w:t>
      </w:r>
      <w:r>
        <w:rPr>
          <w:spacing w:val="80"/>
        </w:rPr>
        <w:t> </w:t>
      </w:r>
      <w:r>
        <w:rPr/>
        <w:t>Dr. E. Mokoju of Federal Polytechnic Kaduna, Hajiya Jibir Daura who contributed in no small way to the successful completion of this research work.</w:t>
      </w:r>
    </w:p>
    <w:p>
      <w:pPr>
        <w:pStyle w:val="BodyText"/>
        <w:spacing w:line="480" w:lineRule="auto"/>
        <w:ind w:left="880" w:right="295" w:firstLine="720"/>
        <w:jc w:val="both"/>
      </w:pPr>
      <w:r>
        <w:rPr/>
        <w:t>I also wish to express my sincere gratitudes to Dr. Benjamin Duru of Federal College of Education Zaria, Dr. Sani Miko of Bayero University Kano, Dr. (Mrs.) Rosie McNeil of University of Jos, Mal. Bello Buba and Mal. Abba Buba of University of Maiduguri, Dr. Bello Tambawal and Dr. Ma’awuya Jibir Daura of Usmanu Dan Fodio University Sokoto for their assistance in collecting the data</w:t>
      </w:r>
      <w:r>
        <w:rPr>
          <w:spacing w:val="40"/>
        </w:rPr>
        <w:t> </w:t>
      </w:r>
      <w:r>
        <w:rPr/>
        <w:t>for the study.</w:t>
      </w:r>
    </w:p>
    <w:p>
      <w:pPr>
        <w:pStyle w:val="BodyText"/>
        <w:spacing w:line="480" w:lineRule="auto" w:before="1"/>
        <w:ind w:left="880" w:right="294" w:firstLine="720"/>
        <w:jc w:val="both"/>
      </w:pPr>
      <w:r>
        <w:rPr/>
        <w:t>My sincere appreciation goes to</w:t>
      </w:r>
      <w:r>
        <w:rPr>
          <w:spacing w:val="-2"/>
        </w:rPr>
        <w:t> </w:t>
      </w:r>
      <w:r>
        <w:rPr/>
        <w:t>all students,</w:t>
      </w:r>
      <w:r>
        <w:rPr>
          <w:spacing w:val="-3"/>
        </w:rPr>
        <w:t> </w:t>
      </w:r>
      <w:r>
        <w:rPr/>
        <w:t>staff and management of the five Universities who despite their tight commitments spared time to fill the </w:t>
      </w:r>
      <w:r>
        <w:rPr>
          <w:spacing w:val="-2"/>
        </w:rPr>
        <w:t>questionnaire.</w:t>
      </w:r>
    </w:p>
    <w:p>
      <w:pPr>
        <w:pStyle w:val="BodyText"/>
        <w:spacing w:line="480" w:lineRule="auto"/>
        <w:ind w:left="880" w:right="294" w:firstLine="720"/>
        <w:jc w:val="both"/>
      </w:pPr>
      <w:r>
        <w:rPr/>
        <w:t>I must also thank Dr. (Mrs.) V. T. Adidu,</w:t>
      </w:r>
      <w:r>
        <w:rPr>
          <w:spacing w:val="-2"/>
        </w:rPr>
        <w:t> </w:t>
      </w:r>
      <w:r>
        <w:rPr/>
        <w:t>Dr.</w:t>
      </w:r>
      <w:r>
        <w:rPr>
          <w:spacing w:val="-2"/>
        </w:rPr>
        <w:t> </w:t>
      </w:r>
      <w:r>
        <w:rPr/>
        <w:t>Salman Adisa,</w:t>
      </w:r>
      <w:r>
        <w:rPr>
          <w:spacing w:val="-2"/>
        </w:rPr>
        <w:t> </w:t>
      </w:r>
      <w:r>
        <w:rPr/>
        <w:t>Dr.</w:t>
      </w:r>
      <w:r>
        <w:rPr>
          <w:spacing w:val="-3"/>
        </w:rPr>
        <w:t> </w:t>
      </w:r>
      <w:r>
        <w:rPr/>
        <w:t>(Mrs.)</w:t>
      </w:r>
      <w:r>
        <w:rPr>
          <w:spacing w:val="-1"/>
        </w:rPr>
        <w:t> </w:t>
      </w:r>
      <w:r>
        <w:rPr/>
        <w:t>Z. Y. Yusuf, (May her gentle soul rest in perfect peace), Dr. (Mrs.) Asma’u Abdulkadir and all individuals,</w:t>
      </w:r>
      <w:r>
        <w:rPr>
          <w:spacing w:val="-3"/>
        </w:rPr>
        <w:t> </w:t>
      </w:r>
      <w:r>
        <w:rPr/>
        <w:t>numerous to</w:t>
      </w:r>
      <w:r>
        <w:rPr>
          <w:spacing w:val="-3"/>
        </w:rPr>
        <w:t> </w:t>
      </w:r>
      <w:r>
        <w:rPr/>
        <w:t>mention for the encouragement and</w:t>
      </w:r>
      <w:r>
        <w:rPr>
          <w:spacing w:val="-3"/>
        </w:rPr>
        <w:t> </w:t>
      </w:r>
      <w:r>
        <w:rPr/>
        <w:t>interest</w:t>
      </w:r>
      <w:r>
        <w:rPr>
          <w:spacing w:val="-4"/>
        </w:rPr>
        <w:t> </w:t>
      </w:r>
      <w:r>
        <w:rPr/>
        <w:t>they showed in the research.</w:t>
      </w:r>
    </w:p>
    <w:p>
      <w:pPr>
        <w:pStyle w:val="BodyText"/>
        <w:spacing w:line="480" w:lineRule="auto"/>
        <w:ind w:left="880" w:right="294" w:firstLine="720"/>
        <w:jc w:val="both"/>
      </w:pPr>
      <w:r>
        <w:rPr/>
        <w:t>My sincere gratitude goes to Mr. Peter M. Magaji of Division of Agric. Colleges (DAC) ABU Zaria,</w:t>
      </w:r>
      <w:r>
        <w:rPr>
          <w:spacing w:val="80"/>
        </w:rPr>
        <w:t> </w:t>
      </w:r>
      <w:r>
        <w:rPr/>
        <w:t>Mr. John Obemeata A. and Mr. Asuquo Udoh, both of Institute for Agric. Research (IAR) ABU Zaria, who assisted in the analysis, typing and production of this research.</w:t>
      </w:r>
    </w:p>
    <w:p>
      <w:pPr>
        <w:spacing w:after="0" w:line="480" w:lineRule="auto"/>
        <w:jc w:val="both"/>
        <w:sectPr>
          <w:headerReference w:type="default" r:id="rId12"/>
          <w:footerReference w:type="default" r:id="rId13"/>
          <w:pgSz w:w="12240" w:h="15840"/>
          <w:pgMar w:header="722" w:footer="791" w:top="1060" w:bottom="980" w:left="1280" w:right="1140"/>
        </w:sectPr>
      </w:pPr>
    </w:p>
    <w:p>
      <w:pPr>
        <w:pStyle w:val="BodyText"/>
        <w:spacing w:before="86"/>
      </w:pPr>
    </w:p>
    <w:p>
      <w:pPr>
        <w:pStyle w:val="BodyText"/>
        <w:spacing w:line="480" w:lineRule="auto"/>
        <w:ind w:left="880" w:right="296" w:firstLine="720"/>
        <w:jc w:val="both"/>
      </w:pPr>
      <w:r>
        <w:rPr/>
        <w:t>Pleasantries are also due to</w:t>
      </w:r>
      <w:r>
        <w:rPr>
          <w:spacing w:val="-1"/>
        </w:rPr>
        <w:t> </w:t>
      </w:r>
      <w:r>
        <w:rPr/>
        <w:t>all the staff of Kashim</w:t>
      </w:r>
      <w:r>
        <w:rPr>
          <w:spacing w:val="-5"/>
        </w:rPr>
        <w:t> </w:t>
      </w:r>
      <w:r>
        <w:rPr/>
        <w:t>Ibrahim</w:t>
      </w:r>
      <w:r>
        <w:rPr>
          <w:spacing w:val="-5"/>
        </w:rPr>
        <w:t> </w:t>
      </w:r>
      <w:r>
        <w:rPr/>
        <w:t>and Institute of Education Libraries who showed enthusiasm to assist with relevant materials towards the successful completion of the study.</w:t>
      </w:r>
    </w:p>
    <w:p>
      <w:pPr>
        <w:pStyle w:val="BodyText"/>
        <w:spacing w:line="480" w:lineRule="auto"/>
        <w:ind w:left="880" w:right="297" w:firstLine="720"/>
        <w:jc w:val="both"/>
      </w:pPr>
      <w:r>
        <w:rPr/>
        <w:t>Finally, I owe a lot of appreciation to my dear husband, children, my relations particularly, M. Mohammed V. Salih for their patience, encouragement, financial and moral support throughout the period of the study.</w:t>
      </w:r>
      <w:r>
        <w:rPr>
          <w:spacing w:val="40"/>
        </w:rPr>
        <w:t> </w:t>
      </w:r>
      <w:r>
        <w:rPr/>
        <w:t>May Allah (SWT) bless and reward you all.</w:t>
      </w:r>
      <w:r>
        <w:rPr>
          <w:spacing w:val="40"/>
        </w:rPr>
        <w:t> </w:t>
      </w:r>
      <w:r>
        <w:rPr/>
        <w:t>Ameen.</w:t>
      </w:r>
    </w:p>
    <w:p>
      <w:pPr>
        <w:spacing w:after="0" w:line="480" w:lineRule="auto"/>
        <w:jc w:val="both"/>
        <w:sectPr>
          <w:headerReference w:type="default" r:id="rId14"/>
          <w:footerReference w:type="default" r:id="rId15"/>
          <w:pgSz w:w="12240" w:h="15840"/>
          <w:pgMar w:header="722" w:footer="791" w:top="1060" w:bottom="980" w:left="1280" w:right="1140"/>
        </w:sectPr>
      </w:pPr>
    </w:p>
    <w:p>
      <w:pPr>
        <w:pStyle w:val="BodyText"/>
        <w:spacing w:before="81"/>
      </w:pPr>
    </w:p>
    <w:p>
      <w:pPr>
        <w:pStyle w:val="Heading3"/>
        <w:ind w:left="0" w:right="144"/>
      </w:pPr>
      <w:bookmarkStart w:name="_TOC_250065" w:id="3"/>
      <w:bookmarkEnd w:id="3"/>
      <w:r>
        <w:rPr>
          <w:spacing w:val="-2"/>
        </w:rPr>
        <w:t>ABSTRACT</w:t>
      </w:r>
    </w:p>
    <w:p>
      <w:pPr>
        <w:pStyle w:val="BodyText"/>
        <w:spacing w:before="5"/>
        <w:rPr>
          <w:rFonts w:ascii="Arial"/>
          <w:b/>
        </w:rPr>
      </w:pPr>
    </w:p>
    <w:p>
      <w:pPr>
        <w:pStyle w:val="BodyText"/>
        <w:ind w:left="160" w:right="294"/>
        <w:jc w:val="both"/>
      </w:pPr>
      <w:r>
        <w:rPr/>
        <w:t>This study focused on “An assessment of the management of students’ Welfare</w:t>
      </w:r>
      <w:r>
        <w:rPr>
          <w:spacing w:val="40"/>
        </w:rPr>
        <w:t> </w:t>
      </w:r>
      <w:r>
        <w:rPr/>
        <w:t>services in universities in three Geo-Political Zones in Northern part of Nigeria” The study was specifically interested in finding out the types of welfare services available in the system and the impact they have on the students’ behaviour.</w:t>
      </w:r>
      <w:r>
        <w:rPr>
          <w:spacing w:val="40"/>
        </w:rPr>
        <w:t> </w:t>
      </w:r>
      <w:r>
        <w:rPr/>
        <w:t>The inadequate provision of the students, welfare facilities and their management were assumed by the stakeholders and members of the public as factors militating against students’ peaceful behavour in the University system.</w:t>
      </w:r>
      <w:r>
        <w:rPr>
          <w:spacing w:val="80"/>
        </w:rPr>
        <w:t> </w:t>
      </w:r>
      <w:r>
        <w:rPr/>
        <w:t>The objectives of the study therefore were to</w:t>
      </w:r>
      <w:r>
        <w:rPr>
          <w:spacing w:val="40"/>
        </w:rPr>
        <w:t> </w:t>
      </w:r>
      <w:r>
        <w:rPr/>
        <w:t>identify the types of students’ welfare services and to assess the availability as well as</w:t>
      </w:r>
      <w:r>
        <w:rPr>
          <w:spacing w:val="40"/>
        </w:rPr>
        <w:t> </w:t>
      </w:r>
      <w:r>
        <w:rPr/>
        <w:t>to examine the impact of each welfare service on the students’ social and academic behaviour.</w:t>
      </w:r>
      <w:r>
        <w:rPr>
          <w:spacing w:val="40"/>
        </w:rPr>
        <w:t> </w:t>
      </w:r>
      <w:r>
        <w:rPr/>
        <w:t>The critical areas examined were social, academic, medical and environmental services.</w:t>
      </w:r>
      <w:r>
        <w:rPr>
          <w:spacing w:val="40"/>
        </w:rPr>
        <w:t> </w:t>
      </w:r>
      <w:r>
        <w:rPr/>
        <w:t>Twenty (20) hypotheses were postulated to find out the significant differences in the opinions of the three groups of respondents.</w:t>
      </w:r>
      <w:r>
        <w:rPr>
          <w:spacing w:val="40"/>
        </w:rPr>
        <w:t> </w:t>
      </w:r>
      <w:r>
        <w:rPr/>
        <w:t>The researcher reviewed relevant literature to establish the theoretical base for the study. The descriptive and survey methods were adopted for investigations, identification and collection of data.</w:t>
      </w:r>
      <w:r>
        <w:rPr>
          <w:spacing w:val="40"/>
        </w:rPr>
        <w:t> </w:t>
      </w:r>
      <w:r>
        <w:rPr/>
        <w:t>The total population of subjects was two hundred and twenty six thousand nine hundred and forty six (226,946), made up of 206,948 students, 19,448 service staff and 450 top management</w:t>
      </w:r>
      <w:r>
        <w:rPr>
          <w:spacing w:val="-1"/>
        </w:rPr>
        <w:t> </w:t>
      </w:r>
      <w:r>
        <w:rPr/>
        <w:t>staff, in the sixteen Universities</w:t>
      </w:r>
      <w:r>
        <w:rPr>
          <w:spacing w:val="-1"/>
        </w:rPr>
        <w:t> </w:t>
      </w:r>
      <w:r>
        <w:rPr/>
        <w:t>in the three Geo- Political Zones in Northern part of Nigeria. Through random sampling Technique, five Universities; Ahmadu Bello University Zaria, Bayero University Kano, University of Maiduguri, University of Jos and Usmanu Dan Fodiyo University were selected, being one third</w:t>
      </w:r>
      <w:r>
        <w:rPr>
          <w:spacing w:val="-2"/>
        </w:rPr>
        <w:t> </w:t>
      </w:r>
      <w:r>
        <w:rPr/>
        <w:t>of the</w:t>
      </w:r>
      <w:r>
        <w:rPr>
          <w:spacing w:val="40"/>
        </w:rPr>
        <w:t> </w:t>
      </w:r>
      <w:r>
        <w:rPr/>
        <w:t>sixteen Universities,</w:t>
      </w:r>
      <w:r>
        <w:rPr>
          <w:spacing w:val="-3"/>
        </w:rPr>
        <w:t> </w:t>
      </w:r>
      <w:r>
        <w:rPr/>
        <w:t>in the three Geo Political Zones</w:t>
      </w:r>
      <w:r>
        <w:rPr>
          <w:spacing w:val="-3"/>
        </w:rPr>
        <w:t> </w:t>
      </w:r>
      <w:r>
        <w:rPr/>
        <w:t>in Northern part of Nigeria.</w:t>
      </w:r>
      <w:r>
        <w:rPr>
          <w:spacing w:val="40"/>
        </w:rPr>
        <w:t> </w:t>
      </w:r>
      <w:r>
        <w:rPr/>
        <w:t>Out of the total of one hundred and thirteen</w:t>
      </w:r>
      <w:r>
        <w:rPr>
          <w:spacing w:val="40"/>
        </w:rPr>
        <w:t> </w:t>
      </w:r>
      <w:r>
        <w:rPr/>
        <w:t>thousand two hundred and eight (113208) subjects consisting of 109,774 students 3389 service staff and 45 top management staff in the</w:t>
      </w:r>
      <w:r>
        <w:rPr>
          <w:spacing w:val="40"/>
        </w:rPr>
        <w:t> </w:t>
      </w:r>
      <w:r>
        <w:rPr/>
        <w:t>five</w:t>
      </w:r>
      <w:r>
        <w:rPr>
          <w:spacing w:val="-2"/>
        </w:rPr>
        <w:t> </w:t>
      </w:r>
      <w:r>
        <w:rPr/>
        <w:t>sampled Universities,</w:t>
      </w:r>
      <w:r>
        <w:rPr>
          <w:spacing w:val="-2"/>
        </w:rPr>
        <w:t> </w:t>
      </w:r>
      <w:r>
        <w:rPr/>
        <w:t>770</w:t>
      </w:r>
      <w:r>
        <w:rPr>
          <w:spacing w:val="-2"/>
        </w:rPr>
        <w:t> </w:t>
      </w:r>
      <w:r>
        <w:rPr/>
        <w:t>respondents</w:t>
      </w:r>
      <w:r>
        <w:rPr>
          <w:spacing w:val="40"/>
        </w:rPr>
        <w:t> </w:t>
      </w:r>
      <w:r>
        <w:rPr/>
        <w:t>were used. Out of the 770 copies of the questionnaire designed and administered by the researcher, 463 copies were returned. The questionnaire as the basic instrument was vetted by the experts in Educational Administration and Planning and Educational Statistics Sections and subjected to pilot study in Federal College of Education Zaria.</w:t>
      </w:r>
      <w:r>
        <w:rPr>
          <w:spacing w:val="40"/>
        </w:rPr>
        <w:t> </w:t>
      </w:r>
      <w:r>
        <w:rPr/>
        <w:t>The Analysis of Variance (ANOVA) and Scheffe’s statistical test were used to test the Null hypotheses. Eight out of twenty hypotheses were retained, while twelve were rejected.</w:t>
      </w:r>
      <w:r>
        <w:rPr>
          <w:spacing w:val="40"/>
        </w:rPr>
        <w:t> </w:t>
      </w:r>
      <w:r>
        <w:rPr/>
        <w:t>The twelve were subjected to Scheffe’s test to determine the extent of significant difference in the respondents’ opinion.</w:t>
      </w:r>
      <w:r>
        <w:rPr>
          <w:spacing w:val="80"/>
        </w:rPr>
        <w:t> </w:t>
      </w:r>
      <w:r>
        <w:rPr/>
        <w:t>The major finding of the research indicated that the social, academic, medical and environmental students’ services were available but not adequate in the Universities. It was also discovered that some services had positive impact on students’ behaviour and academic performance.</w:t>
      </w:r>
      <w:r>
        <w:rPr>
          <w:spacing w:val="40"/>
        </w:rPr>
        <w:t> </w:t>
      </w:r>
      <w:r>
        <w:rPr/>
        <w:t>Recommendations such as the need for improved fund allocation to the Universities by the Government were offered</w:t>
      </w:r>
      <w:r>
        <w:rPr>
          <w:spacing w:val="-2"/>
        </w:rPr>
        <w:t> </w:t>
      </w:r>
      <w:r>
        <w:rPr/>
        <w:t>for</w:t>
      </w:r>
      <w:r>
        <w:rPr>
          <w:spacing w:val="-1"/>
        </w:rPr>
        <w:t> </w:t>
      </w:r>
      <w:r>
        <w:rPr/>
        <w:t>better</w:t>
      </w:r>
      <w:r>
        <w:rPr>
          <w:spacing w:val="-1"/>
        </w:rPr>
        <w:t> </w:t>
      </w:r>
      <w:r>
        <w:rPr/>
        <w:t>provision,</w:t>
      </w:r>
      <w:r>
        <w:rPr>
          <w:spacing w:val="-3"/>
        </w:rPr>
        <w:t> </w:t>
      </w:r>
      <w:r>
        <w:rPr/>
        <w:t>management</w:t>
      </w:r>
      <w:r>
        <w:rPr>
          <w:spacing w:val="-3"/>
        </w:rPr>
        <w:t> </w:t>
      </w:r>
      <w:r>
        <w:rPr/>
        <w:t>and improvement</w:t>
      </w:r>
      <w:r>
        <w:rPr>
          <w:spacing w:val="-3"/>
        </w:rPr>
        <w:t> </w:t>
      </w:r>
      <w:r>
        <w:rPr/>
        <w:t>of</w:t>
      </w:r>
      <w:r>
        <w:rPr>
          <w:spacing w:val="-3"/>
        </w:rPr>
        <w:t> </w:t>
      </w:r>
      <w:r>
        <w:rPr/>
        <w:t>students’ welfare</w:t>
      </w:r>
      <w:r>
        <w:rPr>
          <w:spacing w:val="-2"/>
        </w:rPr>
        <w:t> </w:t>
      </w:r>
      <w:r>
        <w:rPr/>
        <w:t>services for peaceful social and academic performance by students in the Universities.</w:t>
      </w:r>
      <w:r>
        <w:rPr>
          <w:spacing w:val="40"/>
        </w:rPr>
        <w:t> </w:t>
      </w:r>
      <w:r>
        <w:rPr/>
        <w:t>A model for effective and efficient management of the students’ welfare services was also developed by the researcher.</w:t>
      </w:r>
      <w:r>
        <w:rPr>
          <w:spacing w:val="40"/>
        </w:rPr>
        <w:t> </w:t>
      </w:r>
      <w:r>
        <w:rPr/>
        <w:t>Finally suggestions were also made for further research into the area of students’ welfare services</w:t>
      </w:r>
      <w:r>
        <w:rPr>
          <w:spacing w:val="-1"/>
        </w:rPr>
        <w:t> </w:t>
      </w:r>
      <w:r>
        <w:rPr/>
        <w:t>in the University system</w:t>
      </w:r>
      <w:r>
        <w:rPr>
          <w:spacing w:val="-4"/>
        </w:rPr>
        <w:t> </w:t>
      </w:r>
      <w:r>
        <w:rPr/>
        <w:t>in Nigeria in general.</w:t>
      </w:r>
    </w:p>
    <w:p>
      <w:pPr>
        <w:spacing w:after="0"/>
        <w:jc w:val="both"/>
        <w:sectPr>
          <w:headerReference w:type="default" r:id="rId16"/>
          <w:footerReference w:type="default" r:id="rId17"/>
          <w:pgSz w:w="12240" w:h="15840"/>
          <w:pgMar w:header="722" w:footer="791" w:top="1060" w:bottom="980" w:left="1280" w:right="1140"/>
        </w:sectPr>
      </w:pPr>
    </w:p>
    <w:p>
      <w:pPr>
        <w:pStyle w:val="BodyText"/>
        <w:spacing w:before="81"/>
      </w:pPr>
    </w:p>
    <w:p>
      <w:pPr>
        <w:pStyle w:val="Heading3"/>
        <w:ind w:right="214"/>
      </w:pPr>
      <w:bookmarkStart w:name="_TOC_250064" w:id="4"/>
      <w:r>
        <w:rPr/>
        <w:t>TABLE</w:t>
      </w:r>
      <w:r>
        <w:rPr>
          <w:spacing w:val="-5"/>
        </w:rPr>
        <w:t> </w:t>
      </w:r>
      <w:r>
        <w:rPr/>
        <w:t>OF</w:t>
      </w:r>
      <w:bookmarkEnd w:id="4"/>
      <w:r>
        <w:rPr>
          <w:spacing w:val="-2"/>
        </w:rPr>
        <w:t> CONTENTS</w:t>
      </w:r>
    </w:p>
    <w:p>
      <w:pPr>
        <w:pStyle w:val="BodyText"/>
        <w:spacing w:before="5"/>
        <w:rPr>
          <w:rFonts w:ascii="Arial"/>
          <w:b/>
        </w:rPr>
      </w:pPr>
    </w:p>
    <w:p>
      <w:pPr>
        <w:pStyle w:val="BodyText"/>
        <w:ind w:right="536"/>
        <w:jc w:val="right"/>
      </w:pPr>
      <w:r>
        <w:rPr>
          <w:spacing w:val="-4"/>
        </w:rPr>
        <w:t>PAGE</w:t>
      </w:r>
    </w:p>
    <w:p>
      <w:pPr>
        <w:spacing w:after="0"/>
        <w:jc w:val="right"/>
        <w:sectPr>
          <w:headerReference w:type="default" r:id="rId18"/>
          <w:footerReference w:type="default" r:id="rId19"/>
          <w:pgSz w:w="12240" w:h="15840"/>
          <w:pgMar w:header="722" w:footer="791" w:top="1060" w:bottom="705" w:left="1280" w:right="1140"/>
        </w:sectPr>
      </w:pPr>
    </w:p>
    <w:sdt>
      <w:sdtPr>
        <w:docPartObj>
          <w:docPartGallery w:val="Table of Contents"/>
          <w:docPartUnique/>
        </w:docPartObj>
      </w:sdtPr>
      <w:sdtEndPr/>
      <w:sdtContent>
        <w:p>
          <w:pPr>
            <w:pStyle w:val="TOC4"/>
            <w:tabs>
              <w:tab w:pos="8799" w:val="left" w:leader="none"/>
            </w:tabs>
            <w:spacing w:line="480" w:lineRule="auto" w:before="276"/>
            <w:ind w:right="911"/>
          </w:pPr>
          <w:r>
            <w:rPr/>
            <w:t>Title Page……………………………………………………….………….</w:t>
          </w:r>
          <w:r>
            <w:rPr/>
            <w:tab/>
          </w:r>
          <w:r>
            <w:rPr>
              <w:spacing w:val="-10"/>
            </w:rPr>
            <w:t>i </w:t>
          </w:r>
          <w:r>
            <w:rPr/>
            <w:t>Declaration</w:t>
          </w:r>
          <w:r>
            <w:rPr>
              <w:spacing w:val="-11"/>
            </w:rPr>
            <w:t> </w:t>
          </w:r>
          <w:r>
            <w:rPr>
              <w:spacing w:val="-2"/>
            </w:rPr>
            <w:t>……………………………………………………..................</w:t>
          </w:r>
          <w:r>
            <w:rPr/>
            <w:tab/>
          </w:r>
          <w:r>
            <w:rPr>
              <w:spacing w:val="-5"/>
            </w:rPr>
            <w:t>ii</w:t>
          </w:r>
        </w:p>
        <w:p>
          <w:pPr>
            <w:pStyle w:val="TOC4"/>
            <w:tabs>
              <w:tab w:pos="8799" w:val="left" w:leader="none"/>
            </w:tabs>
          </w:pPr>
          <w:hyperlink w:history="true" w:anchor="_TOC_250067">
            <w:r>
              <w:rPr/>
              <w:t>Certification</w:t>
            </w:r>
            <w:r>
              <w:rPr>
                <w:spacing w:val="-12"/>
              </w:rPr>
              <w:t> </w:t>
            </w:r>
            <w:r>
              <w:rPr>
                <w:spacing w:val="-2"/>
              </w:rPr>
              <w:t>………………………………………………………………..</w:t>
            </w:r>
            <w:r>
              <w:rPr/>
              <w:tab/>
            </w:r>
            <w:r>
              <w:rPr>
                <w:spacing w:val="-5"/>
              </w:rPr>
              <w:t>iii</w:t>
            </w:r>
          </w:hyperlink>
        </w:p>
        <w:p>
          <w:pPr>
            <w:pStyle w:val="TOC4"/>
            <w:tabs>
              <w:tab w:pos="8799" w:val="left" w:leader="none"/>
            </w:tabs>
            <w:spacing w:before="276"/>
          </w:pPr>
          <w:hyperlink w:history="true" w:anchor="_TOC_250066">
            <w:r>
              <w:rPr>
                <w:spacing w:val="-2"/>
              </w:rPr>
              <w:t>Dedication………………………………………………………………….</w:t>
            </w:r>
            <w:r>
              <w:rPr/>
              <w:tab/>
            </w:r>
            <w:r>
              <w:rPr>
                <w:spacing w:val="-5"/>
              </w:rPr>
              <w:t>iv</w:t>
            </w:r>
          </w:hyperlink>
        </w:p>
        <w:p>
          <w:pPr>
            <w:pStyle w:val="TOC4"/>
            <w:tabs>
              <w:tab w:pos="8799" w:val="left" w:leader="none"/>
            </w:tabs>
            <w:spacing w:before="277"/>
          </w:pPr>
          <w:r>
            <w:rPr>
              <w:spacing w:val="-2"/>
            </w:rPr>
            <w:t>Acknowledgement</w:t>
          </w:r>
          <w:r>
            <w:rPr>
              <w:spacing w:val="5"/>
            </w:rPr>
            <w:t> </w:t>
          </w:r>
          <w:r>
            <w:rPr>
              <w:spacing w:val="-2"/>
            </w:rPr>
            <w:t>………………………………………………………..</w:t>
          </w:r>
          <w:r>
            <w:rPr/>
            <w:tab/>
          </w:r>
          <w:r>
            <w:rPr>
              <w:spacing w:val="-10"/>
            </w:rPr>
            <w:t>v</w:t>
          </w:r>
        </w:p>
        <w:p>
          <w:pPr>
            <w:pStyle w:val="TOC4"/>
            <w:tabs>
              <w:tab w:pos="8799" w:val="left" w:leader="none"/>
            </w:tabs>
            <w:spacing w:before="276"/>
          </w:pPr>
          <w:hyperlink w:history="true" w:anchor="_TOC_250065">
            <w:r>
              <w:rPr/>
              <w:t>Abstract</w:t>
            </w:r>
            <w:r>
              <w:rPr>
                <w:spacing w:val="-8"/>
              </w:rPr>
              <w:t> </w:t>
            </w:r>
            <w:r>
              <w:rPr>
                <w:spacing w:val="-2"/>
              </w:rPr>
              <w:t>………….……………………………………………..................</w:t>
            </w:r>
            <w:r>
              <w:rPr/>
              <w:tab/>
            </w:r>
            <w:r>
              <w:rPr>
                <w:spacing w:val="-5"/>
              </w:rPr>
              <w:t>vii</w:t>
            </w:r>
          </w:hyperlink>
        </w:p>
        <w:p>
          <w:pPr>
            <w:pStyle w:val="TOC4"/>
            <w:tabs>
              <w:tab w:pos="8799" w:val="left" w:leader="none"/>
            </w:tabs>
            <w:spacing w:before="276"/>
          </w:pPr>
          <w:hyperlink w:history="true" w:anchor="_TOC_250064">
            <w:r>
              <w:rPr/>
              <w:t>Table</w:t>
            </w:r>
            <w:r>
              <w:rPr>
                <w:spacing w:val="-5"/>
              </w:rPr>
              <w:t> </w:t>
            </w:r>
            <w:r>
              <w:rPr/>
              <w:t>of</w:t>
            </w:r>
            <w:r>
              <w:rPr>
                <w:spacing w:val="-5"/>
              </w:rPr>
              <w:t> </w:t>
            </w:r>
            <w:r>
              <w:rPr/>
              <w:t>Contents</w:t>
            </w:r>
            <w:r>
              <w:rPr>
                <w:spacing w:val="-9"/>
              </w:rPr>
              <w:t> </w:t>
            </w:r>
            <w:r>
              <w:rPr>
                <w:spacing w:val="-2"/>
              </w:rPr>
              <w:t>…………………….…………………………………...</w:t>
            </w:r>
            <w:r>
              <w:rPr/>
              <w:tab/>
            </w:r>
            <w:r>
              <w:rPr>
                <w:spacing w:val="-5"/>
              </w:rPr>
              <w:t>ix</w:t>
            </w:r>
          </w:hyperlink>
        </w:p>
        <w:p>
          <w:pPr>
            <w:pStyle w:val="TOC4"/>
            <w:tabs>
              <w:tab w:pos="8799" w:val="left" w:leader="none"/>
            </w:tabs>
            <w:spacing w:before="276"/>
          </w:pPr>
          <w:hyperlink w:history="true" w:anchor="_TOC_250063">
            <w:r>
              <w:rPr/>
              <w:t>List</w:t>
            </w:r>
            <w:r>
              <w:rPr>
                <w:spacing w:val="-7"/>
              </w:rPr>
              <w:t> </w:t>
            </w:r>
            <w:r>
              <w:rPr/>
              <w:t>of</w:t>
            </w:r>
            <w:r>
              <w:rPr>
                <w:spacing w:val="-3"/>
              </w:rPr>
              <w:t> </w:t>
            </w:r>
            <w:r>
              <w:rPr/>
              <w:t>Tables</w:t>
            </w:r>
            <w:r>
              <w:rPr>
                <w:spacing w:val="-2"/>
              </w:rPr>
              <w:t> ……..………………………………………………………..</w:t>
            </w:r>
            <w:r>
              <w:rPr/>
              <w:tab/>
            </w:r>
            <w:r>
              <w:rPr>
                <w:spacing w:val="-5"/>
              </w:rPr>
              <w:t>xx</w:t>
            </w:r>
          </w:hyperlink>
        </w:p>
        <w:p>
          <w:pPr>
            <w:pStyle w:val="TOC4"/>
            <w:tabs>
              <w:tab w:pos="8799" w:val="left" w:leader="none"/>
            </w:tabs>
            <w:spacing w:before="276"/>
          </w:pPr>
          <w:r>
            <w:rPr/>
            <w:t>List</w:t>
          </w:r>
          <w:r>
            <w:rPr>
              <w:spacing w:val="-7"/>
            </w:rPr>
            <w:t> </w:t>
          </w:r>
          <w:r>
            <w:rPr/>
            <w:t>of</w:t>
          </w:r>
          <w:r>
            <w:rPr>
              <w:spacing w:val="-3"/>
            </w:rPr>
            <w:t> </w:t>
          </w:r>
          <w:r>
            <w:rPr/>
            <w:t>Figures</w:t>
          </w:r>
          <w:r>
            <w:rPr>
              <w:spacing w:val="-2"/>
            </w:rPr>
            <w:t> ………………………………………………………………</w:t>
          </w:r>
          <w:r>
            <w:rPr/>
            <w:tab/>
          </w:r>
          <w:r>
            <w:rPr>
              <w:spacing w:val="-4"/>
            </w:rPr>
            <w:t>xxvi</w:t>
          </w:r>
        </w:p>
        <w:p>
          <w:pPr>
            <w:pStyle w:val="TOC4"/>
            <w:tabs>
              <w:tab w:pos="8799" w:val="left" w:leader="none"/>
            </w:tabs>
            <w:spacing w:before="276"/>
          </w:pPr>
          <w:r>
            <w:rPr/>
            <w:t>List</w:t>
          </w:r>
          <w:r>
            <w:rPr>
              <w:spacing w:val="-4"/>
            </w:rPr>
            <w:t> </w:t>
          </w:r>
          <w:r>
            <w:rPr/>
            <w:t>of </w:t>
          </w:r>
          <w:r>
            <w:rPr>
              <w:spacing w:val="-2"/>
            </w:rPr>
            <w:t>Appendices…………………………………………………………</w:t>
          </w:r>
          <w:r>
            <w:rPr/>
            <w:tab/>
          </w:r>
          <w:r>
            <w:rPr>
              <w:spacing w:val="-2"/>
            </w:rPr>
            <w:t>xxvii</w:t>
          </w:r>
        </w:p>
        <w:p>
          <w:pPr>
            <w:pStyle w:val="TOC4"/>
            <w:tabs>
              <w:tab w:pos="8799" w:val="left" w:leader="none"/>
            </w:tabs>
            <w:spacing w:before="276"/>
          </w:pPr>
          <w:hyperlink w:history="true" w:anchor="_TOC_250062">
            <w:r>
              <w:rPr/>
              <w:t>Abbreviations,</w:t>
            </w:r>
            <w:r>
              <w:rPr>
                <w:spacing w:val="-10"/>
              </w:rPr>
              <w:t> </w:t>
            </w:r>
            <w:r>
              <w:rPr/>
              <w:t>Acronyms</w:t>
            </w:r>
            <w:r>
              <w:rPr>
                <w:spacing w:val="-10"/>
              </w:rPr>
              <w:t> </w:t>
            </w:r>
            <w:r>
              <w:rPr/>
              <w:t>and</w:t>
            </w:r>
            <w:r>
              <w:rPr>
                <w:spacing w:val="-9"/>
              </w:rPr>
              <w:t> </w:t>
            </w:r>
            <w:r>
              <w:rPr/>
              <w:t>Initials</w:t>
            </w:r>
            <w:r>
              <w:rPr>
                <w:spacing w:val="-10"/>
              </w:rPr>
              <w:t> </w:t>
            </w:r>
            <w:r>
              <w:rPr>
                <w:spacing w:val="-2"/>
              </w:rPr>
              <w:t>…………………………………….</w:t>
            </w:r>
            <w:r>
              <w:rPr/>
              <w:tab/>
            </w:r>
            <w:r>
              <w:rPr>
                <w:spacing w:val="-2"/>
              </w:rPr>
              <w:t>xxviii</w:t>
            </w:r>
          </w:hyperlink>
        </w:p>
        <w:p>
          <w:pPr>
            <w:pStyle w:val="TOC4"/>
            <w:tabs>
              <w:tab w:pos="8799" w:val="left" w:leader="none"/>
            </w:tabs>
            <w:spacing w:before="276"/>
          </w:pPr>
          <w:r>
            <w:rPr/>
            <w:t>Definition</w:t>
          </w:r>
          <w:r>
            <w:rPr>
              <w:spacing w:val="-7"/>
            </w:rPr>
            <w:t> </w:t>
          </w:r>
          <w:r>
            <w:rPr/>
            <w:t>of</w:t>
          </w:r>
          <w:r>
            <w:rPr>
              <w:spacing w:val="-12"/>
            </w:rPr>
            <w:t> </w:t>
          </w:r>
          <w:r>
            <w:rPr/>
            <w:t>Terms</w:t>
          </w:r>
          <w:r>
            <w:rPr>
              <w:spacing w:val="-7"/>
            </w:rPr>
            <w:t> </w:t>
          </w:r>
          <w:r>
            <w:rPr>
              <w:spacing w:val="-2"/>
            </w:rPr>
            <w:t>.……………………………………………………….</w:t>
          </w:r>
          <w:r>
            <w:rPr/>
            <w:tab/>
          </w:r>
          <w:r>
            <w:rPr>
              <w:spacing w:val="-4"/>
            </w:rPr>
            <w:t>xxix</w:t>
          </w:r>
        </w:p>
        <w:p>
          <w:pPr>
            <w:pStyle w:val="TOC3"/>
          </w:pPr>
          <w:hyperlink w:history="true" w:anchor="_TOC_250061">
            <w:r>
              <w:rPr/>
              <w:t>CHAPTER</w:t>
            </w:r>
            <w:r>
              <w:rPr>
                <w:spacing w:val="-14"/>
              </w:rPr>
              <w:t> </w:t>
            </w:r>
            <w:r>
              <w:rPr>
                <w:spacing w:val="-5"/>
              </w:rPr>
              <w:t>ONE</w:t>
            </w:r>
          </w:hyperlink>
        </w:p>
        <w:p>
          <w:pPr>
            <w:pStyle w:val="TOC4"/>
            <w:tabs>
              <w:tab w:pos="8934" w:val="left" w:leader="none"/>
            </w:tabs>
            <w:spacing w:before="325"/>
          </w:pPr>
          <w:hyperlink w:history="true" w:anchor="_TOC_250060">
            <w:r>
              <w:rPr/>
              <w:t>BACKGROUND</w:t>
            </w:r>
            <w:r>
              <w:rPr>
                <w:spacing w:val="-10"/>
              </w:rPr>
              <w:t> </w:t>
            </w:r>
            <w:r>
              <w:rPr/>
              <w:t>TO</w:t>
            </w:r>
            <w:r>
              <w:rPr>
                <w:spacing w:val="-8"/>
              </w:rPr>
              <w:t> </w:t>
            </w:r>
            <w:r>
              <w:rPr/>
              <w:t>THE</w:t>
            </w:r>
            <w:r>
              <w:rPr>
                <w:spacing w:val="-11"/>
              </w:rPr>
              <w:t> </w:t>
            </w:r>
            <w:r>
              <w:rPr/>
              <w:t>STUDY</w:t>
            </w:r>
            <w:r>
              <w:rPr>
                <w:spacing w:val="-10"/>
              </w:rPr>
              <w:t> </w:t>
            </w:r>
            <w:r>
              <w:rPr>
                <w:spacing w:val="-2"/>
              </w:rPr>
              <w:t>………………………………………..</w:t>
            </w:r>
            <w:r>
              <w:rPr/>
              <w:tab/>
            </w:r>
            <w:r>
              <w:rPr>
                <w:spacing w:val="-10"/>
              </w:rPr>
              <w:t>1</w:t>
            </w:r>
          </w:hyperlink>
        </w:p>
        <w:p>
          <w:pPr>
            <w:pStyle w:val="TOC1"/>
            <w:numPr>
              <w:ilvl w:val="1"/>
              <w:numId w:val="1"/>
            </w:numPr>
            <w:tabs>
              <w:tab w:pos="879" w:val="left" w:leader="none"/>
              <w:tab w:pos="8934" w:val="left" w:leader="none"/>
            </w:tabs>
            <w:spacing w:line="240" w:lineRule="auto" w:before="276" w:after="0"/>
            <w:ind w:left="879" w:right="0" w:hanging="719"/>
            <w:jc w:val="left"/>
          </w:pPr>
          <w:hyperlink w:history="true" w:anchor="_TOC_250059">
            <w:r>
              <w:rPr/>
              <w:t>Introduction</w:t>
            </w:r>
            <w:r>
              <w:rPr>
                <w:spacing w:val="70"/>
                <w:w w:val="150"/>
              </w:rPr>
              <w:t> </w:t>
            </w:r>
            <w:r>
              <w:rPr>
                <w:spacing w:val="-2"/>
              </w:rPr>
              <w:t>……………………………………………………………….</w:t>
            </w:r>
            <w:r>
              <w:rPr/>
              <w:tab/>
            </w:r>
            <w:r>
              <w:rPr>
                <w:spacing w:val="-10"/>
              </w:rPr>
              <w:t>1</w:t>
            </w:r>
          </w:hyperlink>
        </w:p>
        <w:p>
          <w:pPr>
            <w:pStyle w:val="TOC1"/>
            <w:numPr>
              <w:ilvl w:val="1"/>
              <w:numId w:val="1"/>
            </w:numPr>
            <w:tabs>
              <w:tab w:pos="879" w:val="left" w:leader="none"/>
              <w:tab w:pos="8934" w:val="left" w:leader="none"/>
            </w:tabs>
            <w:spacing w:line="240" w:lineRule="auto" w:before="276" w:after="0"/>
            <w:ind w:left="879" w:right="0" w:hanging="719"/>
            <w:jc w:val="left"/>
          </w:pPr>
          <w:hyperlink w:history="true" w:anchor="_TOC_250058">
            <w:r>
              <w:rPr/>
              <w:t>Statement</w:t>
            </w:r>
            <w:r>
              <w:rPr>
                <w:spacing w:val="-7"/>
              </w:rPr>
              <w:t> </w:t>
            </w:r>
            <w:r>
              <w:rPr/>
              <w:t>of</w:t>
            </w:r>
            <w:r>
              <w:rPr>
                <w:spacing w:val="-7"/>
              </w:rPr>
              <w:t> </w:t>
            </w:r>
            <w:r>
              <w:rPr/>
              <w:t>the</w:t>
            </w:r>
            <w:r>
              <w:rPr>
                <w:spacing w:val="-6"/>
              </w:rPr>
              <w:t> </w:t>
            </w:r>
            <w:r>
              <w:rPr>
                <w:spacing w:val="-2"/>
              </w:rPr>
              <w:t>Problem………………………………………………...</w:t>
            </w:r>
            <w:r>
              <w:rPr/>
              <w:tab/>
            </w:r>
            <w:r>
              <w:rPr>
                <w:spacing w:val="-10"/>
              </w:rPr>
              <w:t>5</w:t>
            </w:r>
          </w:hyperlink>
        </w:p>
        <w:p>
          <w:pPr>
            <w:pStyle w:val="TOC1"/>
            <w:numPr>
              <w:ilvl w:val="1"/>
              <w:numId w:val="1"/>
            </w:numPr>
            <w:tabs>
              <w:tab w:pos="879" w:val="left" w:leader="none"/>
              <w:tab w:pos="8934" w:val="left" w:leader="none"/>
            </w:tabs>
            <w:spacing w:line="240" w:lineRule="auto" w:before="276" w:after="0"/>
            <w:ind w:left="879" w:right="0" w:hanging="719"/>
            <w:jc w:val="left"/>
          </w:pPr>
          <w:hyperlink w:history="true" w:anchor="_TOC_250057">
            <w:r>
              <w:rPr/>
              <w:t>Objectives</w:t>
            </w:r>
            <w:r>
              <w:rPr>
                <w:spacing w:val="-7"/>
              </w:rPr>
              <w:t> </w:t>
            </w:r>
            <w:r>
              <w:rPr/>
              <w:t>of</w:t>
            </w:r>
            <w:r>
              <w:rPr>
                <w:spacing w:val="-6"/>
              </w:rPr>
              <w:t> </w:t>
            </w:r>
            <w:r>
              <w:rPr/>
              <w:t>the</w:t>
            </w:r>
            <w:r>
              <w:rPr>
                <w:spacing w:val="-6"/>
              </w:rPr>
              <w:t> </w:t>
            </w:r>
            <w:r>
              <w:rPr>
                <w:spacing w:val="-2"/>
              </w:rPr>
              <w:t>Study……………………………………………………</w:t>
            </w:r>
            <w:r>
              <w:rPr/>
              <w:tab/>
            </w:r>
            <w:r>
              <w:rPr>
                <w:spacing w:val="-10"/>
              </w:rPr>
              <w:t>7</w:t>
            </w:r>
          </w:hyperlink>
        </w:p>
        <w:p>
          <w:pPr>
            <w:pStyle w:val="TOC1"/>
            <w:numPr>
              <w:ilvl w:val="1"/>
              <w:numId w:val="1"/>
            </w:numPr>
            <w:tabs>
              <w:tab w:pos="879" w:val="left" w:leader="none"/>
              <w:tab w:pos="8934" w:val="left" w:leader="none"/>
            </w:tabs>
            <w:spacing w:line="240" w:lineRule="auto" w:before="276" w:after="0"/>
            <w:ind w:left="879" w:right="0" w:hanging="719"/>
            <w:jc w:val="left"/>
          </w:pPr>
          <w:hyperlink w:history="true" w:anchor="_TOC_250056">
            <w:r>
              <w:rPr/>
              <w:t>Research</w:t>
            </w:r>
            <w:r>
              <w:rPr>
                <w:spacing w:val="-9"/>
              </w:rPr>
              <w:t> </w:t>
            </w:r>
            <w:r>
              <w:rPr>
                <w:spacing w:val="-2"/>
              </w:rPr>
              <w:t>Questions………………………………………………………</w:t>
            </w:r>
            <w:r>
              <w:rPr/>
              <w:tab/>
            </w:r>
            <w:r>
              <w:rPr>
                <w:spacing w:val="-10"/>
              </w:rPr>
              <w:t>8</w:t>
            </w:r>
          </w:hyperlink>
        </w:p>
        <w:p>
          <w:pPr>
            <w:pStyle w:val="TOC1"/>
            <w:numPr>
              <w:ilvl w:val="1"/>
              <w:numId w:val="1"/>
            </w:numPr>
            <w:tabs>
              <w:tab w:pos="879" w:val="left" w:leader="none"/>
              <w:tab w:pos="8934" w:val="left" w:leader="none"/>
            </w:tabs>
            <w:spacing w:line="240" w:lineRule="auto" w:before="276" w:after="0"/>
            <w:ind w:left="879" w:right="0" w:hanging="719"/>
            <w:jc w:val="left"/>
          </w:pPr>
          <w:hyperlink w:history="true" w:anchor="_TOC_250055">
            <w:r>
              <w:rPr>
                <w:spacing w:val="-4"/>
              </w:rPr>
              <w:t>Hypotheses………………………………………………………..</w:t>
            </w:r>
            <w:r>
              <w:rPr>
                <w:spacing w:val="41"/>
              </w:rPr>
              <w:t> </w:t>
            </w:r>
            <w:r>
              <w:rPr>
                <w:spacing w:val="-2"/>
              </w:rPr>
              <w:t>…….....</w:t>
            </w:r>
            <w:r>
              <w:rPr/>
              <w:tab/>
            </w:r>
            <w:r>
              <w:rPr>
                <w:spacing w:val="-10"/>
              </w:rPr>
              <w:t>9</w:t>
            </w:r>
          </w:hyperlink>
        </w:p>
        <w:p>
          <w:pPr>
            <w:pStyle w:val="TOC1"/>
            <w:numPr>
              <w:ilvl w:val="1"/>
              <w:numId w:val="1"/>
            </w:numPr>
            <w:tabs>
              <w:tab w:pos="879" w:val="left" w:leader="none"/>
              <w:tab w:pos="8934" w:val="left" w:leader="none"/>
            </w:tabs>
            <w:spacing w:line="240" w:lineRule="auto" w:before="276" w:after="0"/>
            <w:ind w:left="879" w:right="0" w:hanging="719"/>
            <w:jc w:val="left"/>
          </w:pPr>
          <w:hyperlink w:history="true" w:anchor="_TOC_250054">
            <w:r>
              <w:rPr/>
              <w:t>Basic</w:t>
            </w:r>
            <w:r>
              <w:rPr>
                <w:spacing w:val="-4"/>
              </w:rPr>
              <w:t> </w:t>
            </w:r>
            <w:r>
              <w:rPr>
                <w:spacing w:val="-2"/>
              </w:rPr>
              <w:t>Assumptions………………………………………………………...</w:t>
            </w:r>
            <w:r>
              <w:rPr/>
              <w:tab/>
            </w:r>
            <w:r>
              <w:rPr>
                <w:spacing w:val="-5"/>
              </w:rPr>
              <w:t>12</w:t>
            </w:r>
          </w:hyperlink>
        </w:p>
        <w:p>
          <w:pPr>
            <w:pStyle w:val="TOC1"/>
            <w:numPr>
              <w:ilvl w:val="1"/>
              <w:numId w:val="1"/>
            </w:numPr>
            <w:tabs>
              <w:tab w:pos="879" w:val="left" w:leader="none"/>
              <w:tab w:pos="8934" w:val="left" w:leader="none"/>
            </w:tabs>
            <w:spacing w:line="240" w:lineRule="auto" w:before="276" w:after="240"/>
            <w:ind w:left="879" w:right="0" w:hanging="719"/>
            <w:jc w:val="left"/>
          </w:pPr>
          <w:hyperlink w:history="true" w:anchor="_TOC_250053">
            <w:r>
              <w:rPr/>
              <w:t>Significance</w:t>
            </w:r>
            <w:r>
              <w:rPr>
                <w:spacing w:val="-8"/>
              </w:rPr>
              <w:t> </w:t>
            </w:r>
            <w:r>
              <w:rPr/>
              <w:t>of</w:t>
            </w:r>
            <w:r>
              <w:rPr>
                <w:spacing w:val="-5"/>
              </w:rPr>
              <w:t> </w:t>
            </w:r>
            <w:r>
              <w:rPr/>
              <w:t>the</w:t>
            </w:r>
            <w:r>
              <w:rPr>
                <w:spacing w:val="-8"/>
              </w:rPr>
              <w:t> </w:t>
            </w:r>
            <w:r>
              <w:rPr>
                <w:spacing w:val="-2"/>
              </w:rPr>
              <w:t>Study………………………………………………….</w:t>
            </w:r>
            <w:r>
              <w:rPr/>
              <w:tab/>
            </w:r>
            <w:r>
              <w:rPr>
                <w:spacing w:val="-5"/>
              </w:rPr>
              <w:t>13</w:t>
            </w:r>
          </w:hyperlink>
        </w:p>
        <w:p>
          <w:pPr>
            <w:pStyle w:val="TOC1"/>
            <w:numPr>
              <w:ilvl w:val="1"/>
              <w:numId w:val="1"/>
            </w:numPr>
            <w:tabs>
              <w:tab w:pos="879" w:val="left" w:leader="none"/>
              <w:tab w:pos="8934" w:val="left" w:leader="none"/>
            </w:tabs>
            <w:spacing w:line="240" w:lineRule="auto" w:before="362" w:after="0"/>
            <w:ind w:left="879" w:right="0" w:hanging="719"/>
            <w:jc w:val="left"/>
          </w:pPr>
          <w:hyperlink w:history="true" w:anchor="_TOC_250052">
            <w:r>
              <w:rPr/>
              <w:t>Scope</w:t>
            </w:r>
            <w:r>
              <w:rPr>
                <w:spacing w:val="-5"/>
              </w:rPr>
              <w:t> </w:t>
            </w:r>
            <w:r>
              <w:rPr/>
              <w:t>and</w:t>
            </w:r>
            <w:r>
              <w:rPr>
                <w:spacing w:val="-5"/>
              </w:rPr>
              <w:t> </w:t>
            </w:r>
            <w:r>
              <w:rPr/>
              <w:t>delimitation</w:t>
            </w:r>
            <w:r>
              <w:rPr>
                <w:spacing w:val="-8"/>
              </w:rPr>
              <w:t> </w:t>
            </w:r>
            <w:r>
              <w:rPr/>
              <w:t>of</w:t>
            </w:r>
            <w:r>
              <w:rPr>
                <w:spacing w:val="-6"/>
              </w:rPr>
              <w:t> </w:t>
            </w:r>
            <w:r>
              <w:rPr/>
              <w:t>the</w:t>
            </w:r>
            <w:r>
              <w:rPr>
                <w:spacing w:val="-5"/>
              </w:rPr>
              <w:t> </w:t>
            </w:r>
            <w:r>
              <w:rPr>
                <w:spacing w:val="-2"/>
              </w:rPr>
              <w:t>Study……………………………………..</w:t>
            </w:r>
            <w:r>
              <w:rPr/>
              <w:tab/>
            </w:r>
            <w:r>
              <w:rPr>
                <w:spacing w:val="-5"/>
              </w:rPr>
              <w:t>13</w:t>
            </w:r>
          </w:hyperlink>
        </w:p>
        <w:p>
          <w:pPr>
            <w:pStyle w:val="TOC3"/>
          </w:pPr>
          <w:hyperlink w:history="true" w:anchor="_TOC_250051">
            <w:r>
              <w:rPr/>
              <w:t>CHAPTER</w:t>
            </w:r>
            <w:r>
              <w:rPr>
                <w:spacing w:val="-9"/>
              </w:rPr>
              <w:t> </w:t>
            </w:r>
            <w:r>
              <w:rPr>
                <w:spacing w:val="-5"/>
              </w:rPr>
              <w:t>TWO</w:t>
            </w:r>
          </w:hyperlink>
        </w:p>
        <w:p>
          <w:pPr>
            <w:pStyle w:val="TOC4"/>
            <w:tabs>
              <w:tab w:pos="8934" w:val="left" w:leader="none"/>
            </w:tabs>
            <w:spacing w:before="326"/>
          </w:pPr>
          <w:hyperlink w:history="true" w:anchor="_TOC_250050">
            <w:r>
              <w:rPr/>
              <w:t>REVIEW</w:t>
            </w:r>
            <w:r>
              <w:rPr>
                <w:spacing w:val="-1"/>
              </w:rPr>
              <w:t> </w:t>
            </w:r>
            <w:r>
              <w:rPr/>
              <w:t>OF</w:t>
            </w:r>
            <w:r>
              <w:rPr>
                <w:spacing w:val="-13"/>
              </w:rPr>
              <w:t> </w:t>
            </w:r>
            <w:r>
              <w:rPr/>
              <w:t>RELATED</w:t>
            </w:r>
            <w:r>
              <w:rPr>
                <w:spacing w:val="-11"/>
              </w:rPr>
              <w:t> </w:t>
            </w:r>
            <w:r>
              <w:rPr>
                <w:spacing w:val="-2"/>
              </w:rPr>
              <w:t>LITERATURE………………………………....</w:t>
            </w:r>
            <w:r>
              <w:rPr/>
              <w:tab/>
            </w:r>
            <w:r>
              <w:rPr>
                <w:spacing w:val="-5"/>
              </w:rPr>
              <w:t>15</w:t>
            </w:r>
          </w:hyperlink>
        </w:p>
        <w:p>
          <w:pPr>
            <w:pStyle w:val="TOC1"/>
            <w:numPr>
              <w:ilvl w:val="1"/>
              <w:numId w:val="2"/>
            </w:numPr>
            <w:tabs>
              <w:tab w:pos="879" w:val="left" w:leader="none"/>
              <w:tab w:pos="8934" w:val="left" w:leader="none"/>
            </w:tabs>
            <w:spacing w:line="240" w:lineRule="auto" w:before="276" w:after="0"/>
            <w:ind w:left="879" w:right="0" w:hanging="719"/>
            <w:jc w:val="left"/>
          </w:pPr>
          <w:hyperlink w:history="true" w:anchor="_TOC_250049">
            <w:r>
              <w:rPr>
                <w:spacing w:val="-2"/>
              </w:rPr>
              <w:t>Introduction………………………………………………………………..</w:t>
            </w:r>
            <w:r>
              <w:rPr/>
              <w:tab/>
            </w:r>
            <w:r>
              <w:rPr>
                <w:spacing w:val="-5"/>
              </w:rPr>
              <w:t>15</w:t>
            </w:r>
          </w:hyperlink>
        </w:p>
        <w:p>
          <w:pPr>
            <w:pStyle w:val="TOC1"/>
            <w:numPr>
              <w:ilvl w:val="1"/>
              <w:numId w:val="2"/>
            </w:numPr>
            <w:tabs>
              <w:tab w:pos="879" w:val="left" w:leader="none"/>
              <w:tab w:pos="8934" w:val="left" w:leader="none"/>
            </w:tabs>
            <w:spacing w:line="240" w:lineRule="auto" w:before="276" w:after="0"/>
            <w:ind w:left="879" w:right="0" w:hanging="719"/>
            <w:jc w:val="left"/>
          </w:pPr>
          <w:hyperlink w:history="true" w:anchor="_TOC_250048">
            <w:r>
              <w:rPr/>
              <w:t>The</w:t>
            </w:r>
            <w:r>
              <w:rPr>
                <w:spacing w:val="-5"/>
              </w:rPr>
              <w:t> </w:t>
            </w:r>
            <w:r>
              <w:rPr/>
              <w:t>concept</w:t>
            </w:r>
            <w:r>
              <w:rPr>
                <w:spacing w:val="-6"/>
              </w:rPr>
              <w:t> </w:t>
            </w:r>
            <w:r>
              <w:rPr/>
              <w:t>and</w:t>
            </w:r>
            <w:r>
              <w:rPr>
                <w:spacing w:val="-4"/>
              </w:rPr>
              <w:t> </w:t>
            </w:r>
            <w:r>
              <w:rPr/>
              <w:t>theories</w:t>
            </w:r>
            <w:r>
              <w:rPr>
                <w:spacing w:val="-6"/>
              </w:rPr>
              <w:t> </w:t>
            </w:r>
            <w:r>
              <w:rPr/>
              <w:t>of</w:t>
            </w:r>
            <w:r>
              <w:rPr>
                <w:spacing w:val="-6"/>
              </w:rPr>
              <w:t> </w:t>
            </w:r>
            <w:r>
              <w:rPr>
                <w:spacing w:val="-2"/>
              </w:rPr>
              <w:t>Management………………………..……</w:t>
            </w:r>
            <w:r>
              <w:rPr/>
              <w:tab/>
            </w:r>
            <w:r>
              <w:rPr>
                <w:spacing w:val="-5"/>
              </w:rPr>
              <w:t>16</w:t>
            </w:r>
          </w:hyperlink>
        </w:p>
        <w:p>
          <w:pPr>
            <w:pStyle w:val="TOC1"/>
            <w:numPr>
              <w:ilvl w:val="1"/>
              <w:numId w:val="2"/>
            </w:numPr>
            <w:tabs>
              <w:tab w:pos="879" w:val="left" w:leader="none"/>
              <w:tab w:pos="8934" w:val="left" w:leader="none"/>
            </w:tabs>
            <w:spacing w:line="240" w:lineRule="auto" w:before="276" w:after="0"/>
            <w:ind w:left="879" w:right="0" w:hanging="719"/>
            <w:jc w:val="left"/>
          </w:pPr>
          <w:r>
            <w:rPr/>
            <w:t>The</w:t>
          </w:r>
          <w:r>
            <w:rPr>
              <w:spacing w:val="-6"/>
            </w:rPr>
            <w:t> </w:t>
          </w:r>
          <w:r>
            <w:rPr/>
            <w:t>concept</w:t>
          </w:r>
          <w:r>
            <w:rPr>
              <w:spacing w:val="-6"/>
            </w:rPr>
            <w:t> </w:t>
          </w:r>
          <w:r>
            <w:rPr/>
            <w:t>and</w:t>
          </w:r>
          <w:r>
            <w:rPr>
              <w:spacing w:val="-5"/>
            </w:rPr>
            <w:t> </w:t>
          </w:r>
          <w:r>
            <w:rPr/>
            <w:t>types</w:t>
          </w:r>
          <w:r>
            <w:rPr>
              <w:spacing w:val="-11"/>
            </w:rPr>
            <w:t> </w:t>
          </w:r>
          <w:r>
            <w:rPr/>
            <w:t>of</w:t>
          </w:r>
          <w:r>
            <w:rPr>
              <w:spacing w:val="-6"/>
            </w:rPr>
            <w:t> </w:t>
          </w:r>
          <w:r>
            <w:rPr/>
            <w:t>student</w:t>
          </w:r>
          <w:r>
            <w:rPr>
              <w:spacing w:val="-6"/>
            </w:rPr>
            <w:t> </w:t>
          </w:r>
          <w:r>
            <w:rPr/>
            <w:t>welfare</w:t>
          </w:r>
          <w:r>
            <w:rPr>
              <w:spacing w:val="-5"/>
            </w:rPr>
            <w:t> </w:t>
          </w:r>
          <w:r>
            <w:rPr>
              <w:spacing w:val="-2"/>
            </w:rPr>
            <w:t>services…………………..</w:t>
          </w:r>
          <w:r>
            <w:rPr/>
            <w:tab/>
          </w:r>
          <w:r>
            <w:rPr>
              <w:spacing w:val="-5"/>
            </w:rPr>
            <w:t>19</w:t>
          </w:r>
        </w:p>
        <w:p>
          <w:pPr>
            <w:pStyle w:val="TOC1"/>
            <w:numPr>
              <w:ilvl w:val="2"/>
              <w:numId w:val="2"/>
            </w:numPr>
            <w:tabs>
              <w:tab w:pos="877" w:val="left" w:leader="none"/>
              <w:tab w:pos="8934" w:val="left" w:leader="none"/>
            </w:tabs>
            <w:spacing w:line="240" w:lineRule="auto" w:before="276" w:after="0"/>
            <w:ind w:left="877" w:right="0" w:hanging="717"/>
            <w:jc w:val="left"/>
          </w:pPr>
          <w:hyperlink w:history="true" w:anchor="_TOC_250047">
            <w:r>
              <w:rPr/>
              <w:t>Social</w:t>
            </w:r>
            <w:r>
              <w:rPr>
                <w:spacing w:val="-5"/>
              </w:rPr>
              <w:t> </w:t>
            </w:r>
            <w:r>
              <w:rPr>
                <w:spacing w:val="-2"/>
              </w:rPr>
              <w:t>Services……………………………………………………………</w:t>
            </w:r>
            <w:r>
              <w:rPr/>
              <w:tab/>
            </w:r>
            <w:r>
              <w:rPr>
                <w:spacing w:val="-5"/>
              </w:rPr>
              <w:t>25</w:t>
            </w:r>
          </w:hyperlink>
        </w:p>
        <w:p>
          <w:pPr>
            <w:pStyle w:val="TOC1"/>
            <w:numPr>
              <w:ilvl w:val="3"/>
              <w:numId w:val="2"/>
            </w:numPr>
            <w:tabs>
              <w:tab w:pos="1599" w:val="left" w:leader="none"/>
              <w:tab w:pos="8934" w:val="left" w:leader="none"/>
            </w:tabs>
            <w:spacing w:line="240" w:lineRule="auto" w:before="276" w:after="0"/>
            <w:ind w:left="1599" w:right="0" w:hanging="1439"/>
            <w:jc w:val="left"/>
          </w:pPr>
          <w:r>
            <w:rPr/>
            <w:t>Student</w:t>
          </w:r>
          <w:r>
            <w:rPr>
              <w:spacing w:val="-7"/>
            </w:rPr>
            <w:t> </w:t>
          </w:r>
          <w:r>
            <w:rPr>
              <w:spacing w:val="-2"/>
            </w:rPr>
            <w:t>feeding……………………………………………………</w:t>
          </w:r>
          <w:r>
            <w:rPr/>
            <w:tab/>
          </w:r>
          <w:r>
            <w:rPr>
              <w:spacing w:val="-5"/>
            </w:rPr>
            <w:t>25</w:t>
          </w:r>
        </w:p>
        <w:p>
          <w:pPr>
            <w:pStyle w:val="TOC1"/>
            <w:numPr>
              <w:ilvl w:val="3"/>
              <w:numId w:val="2"/>
            </w:numPr>
            <w:tabs>
              <w:tab w:pos="1599" w:val="left" w:leader="none"/>
              <w:tab w:pos="8934" w:val="left" w:leader="none"/>
            </w:tabs>
            <w:spacing w:line="240" w:lineRule="auto" w:before="276" w:after="0"/>
            <w:ind w:left="1599" w:right="0" w:hanging="1439"/>
            <w:jc w:val="left"/>
          </w:pPr>
          <w:r>
            <w:rPr/>
            <w:t>Students’</w:t>
          </w:r>
          <w:r>
            <w:rPr>
              <w:spacing w:val="-11"/>
            </w:rPr>
            <w:t> </w:t>
          </w:r>
          <w:r>
            <w:rPr>
              <w:spacing w:val="-2"/>
            </w:rPr>
            <w:t>Accommodation……………………………………….</w:t>
          </w:r>
          <w:r>
            <w:rPr/>
            <w:tab/>
          </w:r>
          <w:r>
            <w:rPr>
              <w:spacing w:val="-5"/>
            </w:rPr>
            <w:t>35</w:t>
          </w:r>
        </w:p>
        <w:p>
          <w:pPr>
            <w:pStyle w:val="TOC1"/>
            <w:numPr>
              <w:ilvl w:val="3"/>
              <w:numId w:val="2"/>
            </w:numPr>
            <w:tabs>
              <w:tab w:pos="1599" w:val="left" w:leader="none"/>
              <w:tab w:pos="8934" w:val="left" w:leader="none"/>
            </w:tabs>
            <w:spacing w:line="240" w:lineRule="auto" w:before="276" w:after="0"/>
            <w:ind w:left="1599" w:right="0" w:hanging="1439"/>
            <w:jc w:val="left"/>
          </w:pPr>
          <w:hyperlink w:history="true" w:anchor="_TOC_250046">
            <w:r>
              <w:rPr/>
              <w:t>Guidance</w:t>
            </w:r>
            <w:r>
              <w:rPr>
                <w:spacing w:val="-7"/>
              </w:rPr>
              <w:t> </w:t>
            </w:r>
            <w:r>
              <w:rPr/>
              <w:t>and</w:t>
            </w:r>
            <w:r>
              <w:rPr>
                <w:spacing w:val="-7"/>
              </w:rPr>
              <w:t> </w:t>
            </w:r>
            <w:r>
              <w:rPr>
                <w:spacing w:val="-2"/>
              </w:rPr>
              <w:t>Counselling………………………………………</w:t>
            </w:r>
            <w:r>
              <w:rPr/>
              <w:tab/>
            </w:r>
            <w:r>
              <w:rPr>
                <w:spacing w:val="-5"/>
              </w:rPr>
              <w:t>48</w:t>
            </w:r>
          </w:hyperlink>
        </w:p>
        <w:p>
          <w:pPr>
            <w:pStyle w:val="TOC1"/>
            <w:numPr>
              <w:ilvl w:val="3"/>
              <w:numId w:val="2"/>
            </w:numPr>
            <w:tabs>
              <w:tab w:pos="1599" w:val="left" w:leader="none"/>
              <w:tab w:pos="8934" w:val="left" w:leader="none"/>
            </w:tabs>
            <w:spacing w:line="240" w:lineRule="auto" w:before="276" w:after="0"/>
            <w:ind w:left="1599" w:right="0" w:hanging="1439"/>
            <w:jc w:val="left"/>
          </w:pPr>
          <w:hyperlink w:history="true" w:anchor="_TOC_250045">
            <w:r>
              <w:rPr/>
              <w:t>Sports</w:t>
            </w:r>
            <w:r>
              <w:rPr>
                <w:spacing w:val="-9"/>
              </w:rPr>
              <w:t> </w:t>
            </w:r>
            <w:r>
              <w:rPr/>
              <w:t>and</w:t>
            </w:r>
            <w:r>
              <w:rPr>
                <w:spacing w:val="-8"/>
              </w:rPr>
              <w:t> </w:t>
            </w:r>
            <w:r>
              <w:rPr/>
              <w:t>Recreation</w:t>
            </w:r>
            <w:r>
              <w:rPr>
                <w:spacing w:val="-8"/>
              </w:rPr>
              <w:t> </w:t>
            </w:r>
            <w:r>
              <w:rPr>
                <w:spacing w:val="-2"/>
              </w:rPr>
              <w:t>…………………………..………………</w:t>
            </w:r>
            <w:r>
              <w:rPr/>
              <w:tab/>
            </w:r>
            <w:r>
              <w:rPr>
                <w:spacing w:val="-5"/>
              </w:rPr>
              <w:t>53</w:t>
            </w:r>
          </w:hyperlink>
        </w:p>
        <w:p>
          <w:pPr>
            <w:pStyle w:val="TOC1"/>
            <w:numPr>
              <w:ilvl w:val="3"/>
              <w:numId w:val="2"/>
            </w:numPr>
            <w:tabs>
              <w:tab w:pos="1599" w:val="left" w:leader="none"/>
              <w:tab w:pos="8934" w:val="left" w:leader="none"/>
            </w:tabs>
            <w:spacing w:line="240" w:lineRule="auto" w:before="276" w:after="0"/>
            <w:ind w:left="1599" w:right="0" w:hanging="1439"/>
            <w:jc w:val="left"/>
          </w:pPr>
          <w:hyperlink w:history="true" w:anchor="_TOC_250044">
            <w:r>
              <w:rPr/>
              <w:t>Security</w:t>
            </w:r>
            <w:r>
              <w:rPr>
                <w:spacing w:val="-10"/>
              </w:rPr>
              <w:t> </w:t>
            </w:r>
            <w:r>
              <w:rPr>
                <w:spacing w:val="-2"/>
              </w:rPr>
              <w:t>Matters…………………………………………………..</w:t>
            </w:r>
            <w:r>
              <w:rPr/>
              <w:tab/>
            </w:r>
            <w:r>
              <w:rPr>
                <w:spacing w:val="-5"/>
              </w:rPr>
              <w:t>56</w:t>
            </w:r>
          </w:hyperlink>
        </w:p>
        <w:p>
          <w:pPr>
            <w:pStyle w:val="TOC1"/>
            <w:numPr>
              <w:ilvl w:val="3"/>
              <w:numId w:val="2"/>
            </w:numPr>
            <w:tabs>
              <w:tab w:pos="1599" w:val="left" w:leader="none"/>
              <w:tab w:pos="8934" w:val="left" w:leader="none"/>
            </w:tabs>
            <w:spacing w:line="240" w:lineRule="auto" w:before="276" w:after="0"/>
            <w:ind w:left="1599" w:right="0" w:hanging="1439"/>
            <w:jc w:val="left"/>
          </w:pPr>
          <w:hyperlink w:history="true" w:anchor="_TOC_250043">
            <w:r>
              <w:rPr/>
              <w:t>Transportation</w:t>
            </w:r>
            <w:r>
              <w:rPr>
                <w:spacing w:val="-17"/>
              </w:rPr>
              <w:t> </w:t>
            </w:r>
            <w:r>
              <w:rPr>
                <w:spacing w:val="-2"/>
              </w:rPr>
              <w:t>services………………………………………….</w:t>
            </w:r>
            <w:r>
              <w:rPr/>
              <w:tab/>
            </w:r>
            <w:r>
              <w:rPr>
                <w:spacing w:val="-5"/>
              </w:rPr>
              <w:t>57</w:t>
            </w:r>
          </w:hyperlink>
        </w:p>
        <w:p>
          <w:pPr>
            <w:pStyle w:val="TOC1"/>
            <w:numPr>
              <w:ilvl w:val="3"/>
              <w:numId w:val="2"/>
            </w:numPr>
            <w:tabs>
              <w:tab w:pos="1599" w:val="left" w:leader="none"/>
              <w:tab w:pos="8934" w:val="left" w:leader="none"/>
            </w:tabs>
            <w:spacing w:line="240" w:lineRule="auto" w:before="276" w:after="0"/>
            <w:ind w:left="1599" w:right="0" w:hanging="1439"/>
            <w:jc w:val="left"/>
          </w:pPr>
          <w:hyperlink w:history="true" w:anchor="_TOC_250042">
            <w:r>
              <w:rPr/>
              <w:t>Religious</w:t>
            </w:r>
            <w:r>
              <w:rPr>
                <w:spacing w:val="-5"/>
              </w:rPr>
              <w:t> </w:t>
            </w:r>
            <w:r>
              <w:rPr>
                <w:spacing w:val="-2"/>
              </w:rPr>
              <w:t>services………………………………………………...</w:t>
            </w:r>
            <w:r>
              <w:rPr/>
              <w:tab/>
            </w:r>
            <w:r>
              <w:rPr>
                <w:spacing w:val="-5"/>
              </w:rPr>
              <w:t>59</w:t>
            </w:r>
          </w:hyperlink>
        </w:p>
        <w:p>
          <w:pPr>
            <w:pStyle w:val="TOC1"/>
            <w:numPr>
              <w:ilvl w:val="3"/>
              <w:numId w:val="2"/>
            </w:numPr>
            <w:tabs>
              <w:tab w:pos="1599" w:val="left" w:leader="none"/>
              <w:tab w:pos="8934" w:val="left" w:leader="none"/>
            </w:tabs>
            <w:spacing w:line="240" w:lineRule="auto" w:before="276" w:after="0"/>
            <w:ind w:left="1599" w:right="0" w:hanging="1439"/>
            <w:jc w:val="left"/>
          </w:pPr>
          <w:hyperlink w:history="true" w:anchor="_TOC_250041">
            <w:r>
              <w:rPr/>
              <w:t>Banking</w:t>
            </w:r>
            <w:r>
              <w:rPr>
                <w:spacing w:val="-8"/>
              </w:rPr>
              <w:t> </w:t>
            </w:r>
            <w:r>
              <w:rPr/>
              <w:t>and</w:t>
            </w:r>
            <w:r>
              <w:rPr>
                <w:spacing w:val="-4"/>
              </w:rPr>
              <w:t> </w:t>
            </w:r>
            <w:r>
              <w:rPr/>
              <w:t>other</w:t>
            </w:r>
            <w:r>
              <w:rPr>
                <w:spacing w:val="-3"/>
              </w:rPr>
              <w:t> </w:t>
            </w:r>
            <w:r>
              <w:rPr>
                <w:spacing w:val="-2"/>
              </w:rPr>
              <w:t>services………………………………….......</w:t>
            </w:r>
            <w:r>
              <w:rPr/>
              <w:tab/>
            </w:r>
            <w:r>
              <w:rPr>
                <w:spacing w:val="-5"/>
              </w:rPr>
              <w:t>59</w:t>
            </w:r>
          </w:hyperlink>
        </w:p>
        <w:p>
          <w:pPr>
            <w:pStyle w:val="TOC1"/>
            <w:numPr>
              <w:ilvl w:val="2"/>
              <w:numId w:val="2"/>
            </w:numPr>
            <w:tabs>
              <w:tab w:pos="1599" w:val="left" w:leader="none"/>
              <w:tab w:pos="8934" w:val="left" w:leader="none"/>
            </w:tabs>
            <w:spacing w:line="240" w:lineRule="auto" w:before="276" w:after="0"/>
            <w:ind w:left="1599" w:right="0" w:hanging="1439"/>
            <w:jc w:val="left"/>
          </w:pPr>
          <w:hyperlink w:history="true" w:anchor="_TOC_250040">
            <w:r>
              <w:rPr/>
              <w:t>Academic</w:t>
            </w:r>
            <w:r>
              <w:rPr>
                <w:spacing w:val="-15"/>
              </w:rPr>
              <w:t> </w:t>
            </w:r>
            <w:r>
              <w:rPr>
                <w:spacing w:val="-2"/>
              </w:rPr>
              <w:t>Services……………………………………………….</w:t>
            </w:r>
            <w:r>
              <w:rPr/>
              <w:tab/>
            </w:r>
            <w:r>
              <w:rPr>
                <w:spacing w:val="-5"/>
              </w:rPr>
              <w:t>60</w:t>
            </w:r>
          </w:hyperlink>
        </w:p>
        <w:p>
          <w:pPr>
            <w:pStyle w:val="TOC1"/>
            <w:numPr>
              <w:ilvl w:val="3"/>
              <w:numId w:val="2"/>
            </w:numPr>
            <w:tabs>
              <w:tab w:pos="1599" w:val="left" w:leader="none"/>
              <w:tab w:pos="8934" w:val="left" w:leader="none"/>
            </w:tabs>
            <w:spacing w:line="240" w:lineRule="auto" w:before="276" w:after="0"/>
            <w:ind w:left="1599" w:right="0" w:hanging="1439"/>
            <w:jc w:val="left"/>
          </w:pPr>
          <w:hyperlink w:history="true" w:anchor="_TOC_250039">
            <w:r>
              <w:rPr/>
              <w:t>Library</w:t>
            </w:r>
            <w:r>
              <w:rPr>
                <w:spacing w:val="-8"/>
              </w:rPr>
              <w:t> </w:t>
            </w:r>
            <w:r>
              <w:rPr/>
              <w:t>service</w:t>
            </w:r>
            <w:r>
              <w:rPr>
                <w:spacing w:val="-7"/>
              </w:rPr>
              <w:t> </w:t>
            </w:r>
            <w:r>
              <w:rPr>
                <w:spacing w:val="-2"/>
              </w:rPr>
              <w:t>………………………………………….………...</w:t>
            </w:r>
            <w:r>
              <w:rPr/>
              <w:tab/>
            </w:r>
            <w:r>
              <w:rPr>
                <w:spacing w:val="-5"/>
              </w:rPr>
              <w:t>60</w:t>
            </w:r>
          </w:hyperlink>
        </w:p>
        <w:p>
          <w:pPr>
            <w:pStyle w:val="TOC1"/>
            <w:numPr>
              <w:ilvl w:val="3"/>
              <w:numId w:val="2"/>
            </w:numPr>
            <w:tabs>
              <w:tab w:pos="1600" w:val="left" w:leader="none"/>
              <w:tab w:pos="8934" w:val="left" w:leader="none"/>
            </w:tabs>
            <w:spacing w:line="237" w:lineRule="auto" w:before="278" w:after="0"/>
            <w:ind w:left="1600" w:right="615" w:hanging="1440"/>
            <w:jc w:val="left"/>
          </w:pPr>
          <w:hyperlink w:history="true" w:anchor="_TOC_250038">
            <w:r>
              <w:rPr/>
              <w:t>Classroom (lecture halls) laboratories and technological </w:t>
            </w:r>
            <w:r>
              <w:rPr>
                <w:spacing w:val="-2"/>
              </w:rPr>
              <w:t>workshops…………………………………………………………</w:t>
            </w:r>
            <w:r>
              <w:rPr/>
              <w:tab/>
            </w:r>
            <w:r>
              <w:rPr>
                <w:spacing w:val="-6"/>
              </w:rPr>
              <w:t>63</w:t>
            </w:r>
          </w:hyperlink>
        </w:p>
        <w:p>
          <w:pPr>
            <w:pStyle w:val="TOC1"/>
            <w:numPr>
              <w:ilvl w:val="3"/>
              <w:numId w:val="2"/>
            </w:numPr>
            <w:tabs>
              <w:tab w:pos="1600" w:val="left" w:leader="none"/>
              <w:tab w:pos="1667" w:val="left" w:leader="none"/>
              <w:tab w:pos="8934" w:val="left" w:leader="none"/>
            </w:tabs>
            <w:spacing w:line="242" w:lineRule="auto" w:before="277" w:after="0"/>
            <w:ind w:left="1600" w:right="615" w:hanging="1440"/>
            <w:jc w:val="left"/>
          </w:pPr>
          <w:hyperlink w:history="true" w:anchor="_TOC_250037">
            <w:r>
              <w:rPr/>
              <w:tab/>
              <w:t>Information and Communication Technology Services </w:t>
            </w:r>
            <w:r>
              <w:rPr>
                <w:spacing w:val="-2"/>
              </w:rPr>
              <w:t>(ICTS)……………………………………………………………...</w:t>
            </w:r>
            <w:r>
              <w:rPr/>
              <w:tab/>
            </w:r>
            <w:r>
              <w:rPr>
                <w:spacing w:val="-5"/>
              </w:rPr>
              <w:t>64</w:t>
            </w:r>
          </w:hyperlink>
        </w:p>
        <w:p>
          <w:pPr>
            <w:pStyle w:val="TOC1"/>
            <w:numPr>
              <w:ilvl w:val="2"/>
              <w:numId w:val="2"/>
            </w:numPr>
            <w:tabs>
              <w:tab w:pos="877" w:val="left" w:leader="none"/>
              <w:tab w:pos="8934" w:val="left" w:leader="none"/>
            </w:tabs>
            <w:spacing w:line="240" w:lineRule="auto" w:before="273" w:after="0"/>
            <w:ind w:left="877" w:right="0" w:hanging="717"/>
            <w:jc w:val="left"/>
          </w:pPr>
          <w:hyperlink w:history="true" w:anchor="_TOC_250036">
            <w:r>
              <w:rPr/>
              <w:t>Medical</w:t>
            </w:r>
            <w:r>
              <w:rPr>
                <w:spacing w:val="-7"/>
              </w:rPr>
              <w:t> </w:t>
            </w:r>
            <w:r>
              <w:rPr/>
              <w:t>Services</w:t>
            </w:r>
            <w:r>
              <w:rPr>
                <w:spacing w:val="-10"/>
              </w:rPr>
              <w:t> </w:t>
            </w:r>
            <w:r>
              <w:rPr>
                <w:spacing w:val="-2"/>
              </w:rPr>
              <w:t>………………………..……………………...............</w:t>
            </w:r>
            <w:r>
              <w:rPr/>
              <w:tab/>
            </w:r>
            <w:r>
              <w:rPr>
                <w:spacing w:val="-5"/>
              </w:rPr>
              <w:t>66</w:t>
            </w:r>
          </w:hyperlink>
        </w:p>
        <w:p>
          <w:pPr>
            <w:pStyle w:val="TOC1"/>
            <w:numPr>
              <w:ilvl w:val="2"/>
              <w:numId w:val="2"/>
            </w:numPr>
            <w:tabs>
              <w:tab w:pos="877" w:val="left" w:leader="none"/>
              <w:tab w:pos="8934" w:val="left" w:leader="none"/>
            </w:tabs>
            <w:spacing w:line="240" w:lineRule="auto" w:before="276" w:after="0"/>
            <w:ind w:left="877" w:right="0" w:hanging="717"/>
            <w:jc w:val="left"/>
          </w:pPr>
          <w:hyperlink w:history="true" w:anchor="_TOC_250035">
            <w:r>
              <w:rPr/>
              <w:t>Environmental</w:t>
            </w:r>
            <w:r>
              <w:rPr>
                <w:spacing w:val="-16"/>
              </w:rPr>
              <w:t> </w:t>
            </w:r>
            <w:r>
              <w:rPr>
                <w:spacing w:val="-2"/>
              </w:rPr>
              <w:t>Services………………………………………………….</w:t>
            </w:r>
            <w:r>
              <w:rPr/>
              <w:tab/>
            </w:r>
            <w:r>
              <w:rPr>
                <w:spacing w:val="-5"/>
              </w:rPr>
              <w:t>70</w:t>
            </w:r>
          </w:hyperlink>
        </w:p>
        <w:p>
          <w:pPr>
            <w:pStyle w:val="TOC1"/>
            <w:numPr>
              <w:ilvl w:val="3"/>
              <w:numId w:val="2"/>
            </w:numPr>
            <w:tabs>
              <w:tab w:pos="1239" w:val="left" w:leader="none"/>
              <w:tab w:pos="8867" w:val="left" w:leader="none"/>
            </w:tabs>
            <w:spacing w:line="240" w:lineRule="auto" w:before="276" w:after="240"/>
            <w:ind w:left="1239" w:right="0" w:hanging="1079"/>
            <w:jc w:val="left"/>
          </w:pPr>
          <w:r>
            <w:rPr/>
            <w:t>Conducive</w:t>
          </w:r>
          <w:r>
            <w:rPr>
              <w:spacing w:val="-14"/>
            </w:rPr>
            <w:t> </w:t>
          </w:r>
          <w:r>
            <w:rPr/>
            <w:t>Institutional</w:t>
          </w:r>
          <w:r>
            <w:rPr>
              <w:spacing w:val="-11"/>
            </w:rPr>
            <w:t> </w:t>
          </w:r>
          <w:r>
            <w:rPr>
              <w:spacing w:val="-2"/>
            </w:rPr>
            <w:t>Climate……………………………………..</w:t>
          </w:r>
          <w:r>
            <w:rPr/>
            <w:tab/>
          </w:r>
          <w:r>
            <w:rPr>
              <w:spacing w:val="-5"/>
            </w:rPr>
            <w:t>71</w:t>
          </w:r>
        </w:p>
        <w:p>
          <w:pPr>
            <w:pStyle w:val="TOC1"/>
            <w:numPr>
              <w:ilvl w:val="3"/>
              <w:numId w:val="2"/>
            </w:numPr>
            <w:tabs>
              <w:tab w:pos="1240" w:val="left" w:leader="none"/>
              <w:tab w:pos="8934" w:val="left" w:leader="none"/>
            </w:tabs>
            <w:spacing w:line="237" w:lineRule="auto" w:before="365" w:after="0"/>
            <w:ind w:left="1240" w:right="615" w:hanging="1080"/>
            <w:jc w:val="left"/>
          </w:pPr>
          <w:r>
            <w:rPr/>
            <w:t>Cordial Student-Lecturer, Advisor-Advisee </w:t>
          </w:r>
          <w:r>
            <w:rPr>
              <w:spacing w:val="-2"/>
            </w:rPr>
            <w:t>Relationship……………………………………………………………</w:t>
          </w:r>
          <w:r>
            <w:rPr/>
            <w:tab/>
          </w:r>
          <w:r>
            <w:rPr>
              <w:spacing w:val="-6"/>
            </w:rPr>
            <w:t>73</w:t>
          </w:r>
        </w:p>
        <w:p>
          <w:pPr>
            <w:pStyle w:val="TOC1"/>
            <w:numPr>
              <w:ilvl w:val="3"/>
              <w:numId w:val="2"/>
            </w:numPr>
            <w:tabs>
              <w:tab w:pos="1239" w:val="left" w:leader="none"/>
            </w:tabs>
            <w:spacing w:line="240" w:lineRule="auto" w:before="276" w:after="0"/>
            <w:ind w:left="1239" w:right="0" w:hanging="1079"/>
            <w:jc w:val="left"/>
          </w:pPr>
          <w:r>
            <w:rPr/>
            <w:t>An</w:t>
          </w:r>
          <w:r>
            <w:rPr>
              <w:spacing w:val="-9"/>
            </w:rPr>
            <w:t> </w:t>
          </w:r>
          <w:r>
            <w:rPr/>
            <w:t>atmosphere</w:t>
          </w:r>
          <w:r>
            <w:rPr>
              <w:spacing w:val="-8"/>
            </w:rPr>
            <w:t> </w:t>
          </w:r>
          <w:r>
            <w:rPr/>
            <w:t>of</w:t>
          </w:r>
          <w:r>
            <w:rPr>
              <w:spacing w:val="-9"/>
            </w:rPr>
            <w:t> </w:t>
          </w:r>
          <w:r>
            <w:rPr/>
            <w:t>safety,</w:t>
          </w:r>
          <w:r>
            <w:rPr>
              <w:spacing w:val="-9"/>
            </w:rPr>
            <w:t> </w:t>
          </w:r>
          <w:r>
            <w:rPr/>
            <w:t>confidence,</w:t>
          </w:r>
          <w:r>
            <w:rPr>
              <w:spacing w:val="-8"/>
            </w:rPr>
            <w:t> </w:t>
          </w:r>
          <w:r>
            <w:rPr>
              <w:spacing w:val="-2"/>
            </w:rPr>
            <w:t>adaptability</w:t>
          </w:r>
        </w:p>
        <w:p>
          <w:pPr>
            <w:pStyle w:val="TOC8"/>
            <w:tabs>
              <w:tab w:pos="8934" w:val="left" w:leader="none"/>
            </w:tabs>
            <w:spacing w:before="3"/>
          </w:pPr>
          <w:r>
            <w:rPr/>
            <w:t>and</w:t>
          </w:r>
          <w:r>
            <w:rPr>
              <w:spacing w:val="-3"/>
            </w:rPr>
            <w:t> </w:t>
          </w:r>
          <w:r>
            <w:rPr>
              <w:spacing w:val="-2"/>
            </w:rPr>
            <w:t>belongingness……………………………………………………</w:t>
          </w:r>
          <w:r>
            <w:rPr/>
            <w:tab/>
          </w:r>
          <w:r>
            <w:rPr>
              <w:spacing w:val="-5"/>
            </w:rPr>
            <w:t>75</w:t>
          </w:r>
        </w:p>
        <w:p>
          <w:pPr>
            <w:pStyle w:val="TOC1"/>
            <w:numPr>
              <w:ilvl w:val="3"/>
              <w:numId w:val="2"/>
            </w:numPr>
            <w:tabs>
              <w:tab w:pos="1240" w:val="left" w:leader="none"/>
              <w:tab w:pos="8934" w:val="left" w:leader="none"/>
            </w:tabs>
            <w:spacing w:line="242" w:lineRule="auto" w:before="549" w:after="0"/>
            <w:ind w:left="1240" w:right="615" w:hanging="1080"/>
            <w:jc w:val="left"/>
          </w:pPr>
          <w:r>
            <w:rPr/>
            <w:t>A clean, spacious, beautiful and hazard free </w:t>
          </w:r>
          <w:r>
            <w:rPr>
              <w:spacing w:val="-2"/>
            </w:rPr>
            <w:t>Environment……………………………………………………………</w:t>
          </w:r>
          <w:r>
            <w:rPr/>
            <w:tab/>
          </w:r>
          <w:r>
            <w:rPr>
              <w:spacing w:val="-6"/>
            </w:rPr>
            <w:t>75</w:t>
          </w:r>
        </w:p>
        <w:p>
          <w:pPr>
            <w:pStyle w:val="TOC1"/>
            <w:numPr>
              <w:ilvl w:val="1"/>
              <w:numId w:val="2"/>
            </w:numPr>
            <w:tabs>
              <w:tab w:pos="879" w:val="left" w:leader="none"/>
              <w:tab w:pos="8934" w:val="left" w:leader="none"/>
            </w:tabs>
            <w:spacing w:line="240" w:lineRule="auto" w:before="273" w:after="0"/>
            <w:ind w:left="879" w:right="0" w:hanging="719"/>
            <w:jc w:val="left"/>
          </w:pPr>
          <w:hyperlink w:history="true" w:anchor="_TOC_250034">
            <w:r>
              <w:rPr/>
              <w:t>The</w:t>
            </w:r>
            <w:r>
              <w:rPr>
                <w:spacing w:val="-8"/>
              </w:rPr>
              <w:t> </w:t>
            </w:r>
            <w:r>
              <w:rPr/>
              <w:t>Management</w:t>
            </w:r>
            <w:r>
              <w:rPr>
                <w:spacing w:val="-8"/>
              </w:rPr>
              <w:t> </w:t>
            </w:r>
            <w:r>
              <w:rPr/>
              <w:t>strategies</w:t>
            </w:r>
            <w:r>
              <w:rPr>
                <w:spacing w:val="-7"/>
              </w:rPr>
              <w:t> </w:t>
            </w:r>
            <w:r>
              <w:rPr/>
              <w:t>for</w:t>
            </w:r>
            <w:r>
              <w:rPr>
                <w:spacing w:val="-7"/>
              </w:rPr>
              <w:t> </w:t>
            </w:r>
            <w:r>
              <w:rPr/>
              <w:t>Students</w:t>
            </w:r>
            <w:r>
              <w:rPr>
                <w:spacing w:val="-16"/>
              </w:rPr>
              <w:t> </w:t>
            </w:r>
            <w:r>
              <w:rPr/>
              <w:t>Welfare</w:t>
            </w:r>
            <w:r>
              <w:rPr>
                <w:spacing w:val="-7"/>
              </w:rPr>
              <w:t> </w:t>
            </w:r>
            <w:r>
              <w:rPr>
                <w:spacing w:val="-2"/>
              </w:rPr>
              <w:t>Services…………..</w:t>
            </w:r>
            <w:r>
              <w:rPr/>
              <w:tab/>
            </w:r>
            <w:r>
              <w:rPr>
                <w:spacing w:val="-5"/>
              </w:rPr>
              <w:t>76</w:t>
            </w:r>
          </w:hyperlink>
        </w:p>
        <w:p>
          <w:pPr>
            <w:pStyle w:val="TOC1"/>
            <w:numPr>
              <w:ilvl w:val="2"/>
              <w:numId w:val="2"/>
            </w:numPr>
            <w:tabs>
              <w:tab w:pos="877" w:val="left" w:leader="none"/>
              <w:tab w:pos="8934" w:val="left" w:leader="none"/>
            </w:tabs>
            <w:spacing w:line="240" w:lineRule="auto" w:before="276" w:after="0"/>
            <w:ind w:left="877" w:right="0" w:hanging="717"/>
            <w:jc w:val="left"/>
          </w:pPr>
          <w:hyperlink w:history="true" w:anchor="_TOC_250033">
            <w:r>
              <w:rPr/>
              <w:t>The</w:t>
            </w:r>
            <w:r>
              <w:rPr>
                <w:spacing w:val="-7"/>
              </w:rPr>
              <w:t> </w:t>
            </w:r>
            <w:r>
              <w:rPr/>
              <w:t>role</w:t>
            </w:r>
            <w:r>
              <w:rPr>
                <w:spacing w:val="-6"/>
              </w:rPr>
              <w:t> </w:t>
            </w:r>
            <w:r>
              <w:rPr/>
              <w:t>of</w:t>
            </w:r>
            <w:r>
              <w:rPr>
                <w:spacing w:val="-7"/>
              </w:rPr>
              <w:t> </w:t>
            </w:r>
            <w:r>
              <w:rPr/>
              <w:t>the</w:t>
            </w:r>
            <w:r>
              <w:rPr>
                <w:spacing w:val="-6"/>
              </w:rPr>
              <w:t> </w:t>
            </w:r>
            <w:r>
              <w:rPr/>
              <w:t>Government</w:t>
            </w:r>
            <w:r>
              <w:rPr>
                <w:spacing w:val="-7"/>
              </w:rPr>
              <w:t> </w:t>
            </w:r>
            <w:r>
              <w:rPr/>
              <w:t>and</w:t>
            </w:r>
            <w:r>
              <w:rPr>
                <w:spacing w:val="-7"/>
              </w:rPr>
              <w:t> </w:t>
            </w:r>
            <w:r>
              <w:rPr/>
              <w:t>University</w:t>
            </w:r>
            <w:r>
              <w:rPr>
                <w:spacing w:val="-7"/>
              </w:rPr>
              <w:t> </w:t>
            </w:r>
            <w:r>
              <w:rPr>
                <w:spacing w:val="-2"/>
              </w:rPr>
              <w:t>Management……………</w:t>
            </w:r>
            <w:r>
              <w:rPr/>
              <w:tab/>
            </w:r>
            <w:r>
              <w:rPr>
                <w:spacing w:val="-5"/>
              </w:rPr>
              <w:t>76</w:t>
            </w:r>
          </w:hyperlink>
        </w:p>
        <w:p>
          <w:pPr>
            <w:pStyle w:val="TOC1"/>
            <w:numPr>
              <w:ilvl w:val="3"/>
              <w:numId w:val="2"/>
            </w:numPr>
            <w:tabs>
              <w:tab w:pos="1599" w:val="left" w:leader="none"/>
              <w:tab w:pos="8934" w:val="left" w:leader="none"/>
            </w:tabs>
            <w:spacing w:line="240" w:lineRule="auto" w:before="276" w:after="0"/>
            <w:ind w:left="1599" w:right="0" w:hanging="1439"/>
            <w:jc w:val="left"/>
          </w:pPr>
          <w:hyperlink w:history="true" w:anchor="_TOC_250032">
            <w:r>
              <w:rPr>
                <w:spacing w:val="-2"/>
              </w:rPr>
              <w:t>Funding…………………………………………………………….</w:t>
            </w:r>
            <w:r>
              <w:rPr/>
              <w:tab/>
            </w:r>
            <w:r>
              <w:rPr>
                <w:spacing w:val="-5"/>
              </w:rPr>
              <w:t>76</w:t>
            </w:r>
          </w:hyperlink>
        </w:p>
        <w:p>
          <w:pPr>
            <w:pStyle w:val="TOC1"/>
            <w:numPr>
              <w:ilvl w:val="2"/>
              <w:numId w:val="2"/>
            </w:numPr>
            <w:tabs>
              <w:tab w:pos="877" w:val="left" w:leader="none"/>
            </w:tabs>
            <w:spacing w:line="275" w:lineRule="exact" w:before="276" w:after="0"/>
            <w:ind w:left="877" w:right="0" w:hanging="717"/>
            <w:jc w:val="left"/>
          </w:pPr>
          <w:r>
            <w:rPr/>
            <w:t>The</w:t>
          </w:r>
          <w:r>
            <w:rPr>
              <w:spacing w:val="-6"/>
            </w:rPr>
            <w:t> </w:t>
          </w:r>
          <w:r>
            <w:rPr/>
            <w:t>role</w:t>
          </w:r>
          <w:r>
            <w:rPr>
              <w:spacing w:val="-6"/>
            </w:rPr>
            <w:t> </w:t>
          </w:r>
          <w:r>
            <w:rPr/>
            <w:t>of</w:t>
          </w:r>
          <w:r>
            <w:rPr>
              <w:spacing w:val="-6"/>
            </w:rPr>
            <w:t> </w:t>
          </w:r>
          <w:r>
            <w:rPr/>
            <w:t>Students’</w:t>
          </w:r>
          <w:r>
            <w:rPr>
              <w:spacing w:val="-7"/>
            </w:rPr>
            <w:t> </w:t>
          </w:r>
          <w:r>
            <w:rPr/>
            <w:t>Affairs</w:t>
          </w:r>
          <w:r>
            <w:rPr>
              <w:spacing w:val="-6"/>
            </w:rPr>
            <w:t> </w:t>
          </w:r>
          <w:r>
            <w:rPr/>
            <w:t>Division</w:t>
          </w:r>
          <w:r>
            <w:rPr>
              <w:spacing w:val="-10"/>
            </w:rPr>
            <w:t> </w:t>
          </w:r>
          <w:r>
            <w:rPr/>
            <w:t>in</w:t>
          </w:r>
          <w:r>
            <w:rPr>
              <w:spacing w:val="-9"/>
            </w:rPr>
            <w:t> </w:t>
          </w:r>
          <w:r>
            <w:rPr/>
            <w:t>Shaping</w:t>
          </w:r>
          <w:r>
            <w:rPr>
              <w:spacing w:val="-6"/>
            </w:rPr>
            <w:t> </w:t>
          </w:r>
          <w:r>
            <w:rPr>
              <w:spacing w:val="-2"/>
            </w:rPr>
            <w:t>students’</w:t>
          </w:r>
        </w:p>
        <w:p>
          <w:pPr>
            <w:pStyle w:val="TOC4"/>
            <w:tabs>
              <w:tab w:pos="8934" w:val="left" w:leader="none"/>
            </w:tabs>
            <w:spacing w:line="275" w:lineRule="exact"/>
          </w:pPr>
          <w:r>
            <w:rPr/>
            <w:t>welfare</w:t>
          </w:r>
          <w:r>
            <w:rPr>
              <w:spacing w:val="-5"/>
            </w:rPr>
            <w:t> </w:t>
          </w:r>
          <w:r>
            <w:rPr>
              <w:spacing w:val="-2"/>
            </w:rPr>
            <w:t>services…………………………………………………………...</w:t>
          </w:r>
          <w:r>
            <w:rPr/>
            <w:tab/>
          </w:r>
          <w:r>
            <w:rPr>
              <w:spacing w:val="-5"/>
            </w:rPr>
            <w:t>82</w:t>
          </w:r>
        </w:p>
        <w:p>
          <w:pPr>
            <w:pStyle w:val="TOC1"/>
            <w:numPr>
              <w:ilvl w:val="3"/>
              <w:numId w:val="2"/>
            </w:numPr>
            <w:tabs>
              <w:tab w:pos="1239" w:val="left" w:leader="none"/>
            </w:tabs>
            <w:spacing w:line="240" w:lineRule="auto" w:before="277" w:after="0"/>
            <w:ind w:left="1239" w:right="0" w:hanging="1079"/>
            <w:jc w:val="left"/>
          </w:pPr>
          <w:r>
            <w:rPr/>
            <w:t>The</w:t>
          </w:r>
          <w:r>
            <w:rPr>
              <w:spacing w:val="-6"/>
            </w:rPr>
            <w:t> </w:t>
          </w:r>
          <w:r>
            <w:rPr/>
            <w:t>role</w:t>
          </w:r>
          <w:r>
            <w:rPr>
              <w:spacing w:val="-6"/>
            </w:rPr>
            <w:t> </w:t>
          </w:r>
          <w:r>
            <w:rPr/>
            <w:t>of</w:t>
          </w:r>
          <w:r>
            <w:rPr>
              <w:spacing w:val="-6"/>
            </w:rPr>
            <w:t> </w:t>
          </w:r>
          <w:r>
            <w:rPr/>
            <w:t>Committee</w:t>
          </w:r>
          <w:r>
            <w:rPr>
              <w:spacing w:val="-6"/>
            </w:rPr>
            <w:t> </w:t>
          </w:r>
          <w:r>
            <w:rPr/>
            <w:t>System</w:t>
          </w:r>
          <w:r>
            <w:rPr>
              <w:spacing w:val="-14"/>
            </w:rPr>
            <w:t> </w:t>
          </w:r>
          <w:r>
            <w:rPr/>
            <w:t>as</w:t>
          </w:r>
          <w:r>
            <w:rPr>
              <w:spacing w:val="-6"/>
            </w:rPr>
            <w:t> </w:t>
          </w:r>
          <w:r>
            <w:rPr/>
            <w:t>a</w:t>
          </w:r>
          <w:r>
            <w:rPr>
              <w:spacing w:val="-6"/>
            </w:rPr>
            <w:t> </w:t>
          </w:r>
          <w:r>
            <w:rPr/>
            <w:t>tool/strategy</w:t>
          </w:r>
          <w:r>
            <w:rPr>
              <w:spacing w:val="-6"/>
            </w:rPr>
            <w:t> </w:t>
          </w:r>
          <w:r>
            <w:rPr>
              <w:spacing w:val="-5"/>
            </w:rPr>
            <w:t>for</w:t>
          </w:r>
        </w:p>
        <w:p>
          <w:pPr>
            <w:pStyle w:val="TOC8"/>
            <w:tabs>
              <w:tab w:pos="8934" w:val="left" w:leader="none"/>
            </w:tabs>
            <w:spacing w:before="2"/>
          </w:pPr>
          <w:r>
            <w:rPr/>
            <w:t>effective</w:t>
          </w:r>
          <w:r>
            <w:rPr>
              <w:spacing w:val="-10"/>
            </w:rPr>
            <w:t> </w:t>
          </w:r>
          <w:r>
            <w:rPr/>
            <w:t>Students’</w:t>
          </w:r>
          <w:r>
            <w:rPr>
              <w:spacing w:val="-15"/>
            </w:rPr>
            <w:t> </w:t>
          </w:r>
          <w:r>
            <w:rPr/>
            <w:t>Welfare</w:t>
          </w:r>
          <w:r>
            <w:rPr>
              <w:spacing w:val="-9"/>
            </w:rPr>
            <w:t> </w:t>
          </w:r>
          <w:r>
            <w:rPr/>
            <w:t>Services</w:t>
          </w:r>
          <w:r>
            <w:rPr>
              <w:spacing w:val="-11"/>
            </w:rPr>
            <w:t> </w:t>
          </w:r>
          <w:r>
            <w:rPr>
              <w:spacing w:val="-2"/>
            </w:rPr>
            <w:t>……………………..…………</w:t>
          </w:r>
          <w:r>
            <w:rPr/>
            <w:tab/>
          </w:r>
          <w:r>
            <w:rPr>
              <w:spacing w:val="-5"/>
            </w:rPr>
            <w:t>83</w:t>
          </w:r>
        </w:p>
        <w:p>
          <w:pPr>
            <w:pStyle w:val="TOC1"/>
            <w:numPr>
              <w:ilvl w:val="3"/>
              <w:numId w:val="2"/>
            </w:numPr>
            <w:tabs>
              <w:tab w:pos="1239" w:val="left" w:leader="none"/>
            </w:tabs>
            <w:spacing w:line="275" w:lineRule="exact" w:before="276" w:after="0"/>
            <w:ind w:left="1239" w:right="0" w:hanging="1079"/>
            <w:jc w:val="left"/>
          </w:pPr>
          <w:r>
            <w:rPr/>
            <w:t>University</w:t>
          </w:r>
          <w:r>
            <w:rPr>
              <w:spacing w:val="-15"/>
            </w:rPr>
            <w:t> </w:t>
          </w:r>
          <w:r>
            <w:rPr/>
            <w:t>Students’</w:t>
          </w:r>
          <w:r>
            <w:rPr>
              <w:spacing w:val="-17"/>
            </w:rPr>
            <w:t> </w:t>
          </w:r>
          <w:r>
            <w:rPr>
              <w:spacing w:val="-2"/>
            </w:rPr>
            <w:t>Welfare</w:t>
          </w:r>
        </w:p>
        <w:p>
          <w:pPr>
            <w:pStyle w:val="TOC8"/>
            <w:tabs>
              <w:tab w:pos="8934" w:val="left" w:leader="none"/>
            </w:tabs>
            <w:spacing w:line="275" w:lineRule="exact"/>
          </w:pPr>
          <w:r>
            <w:rPr>
              <w:spacing w:val="-2"/>
            </w:rPr>
            <w:t>Management</w:t>
          </w:r>
          <w:r>
            <w:rPr/>
            <w:t> </w:t>
          </w:r>
          <w:r>
            <w:rPr>
              <w:spacing w:val="-2"/>
            </w:rPr>
            <w:t>Board…………………………………………………….</w:t>
          </w:r>
          <w:r>
            <w:rPr/>
            <w:tab/>
          </w:r>
          <w:r>
            <w:rPr>
              <w:spacing w:val="-5"/>
            </w:rPr>
            <w:t>84</w:t>
          </w:r>
        </w:p>
        <w:p>
          <w:pPr>
            <w:pStyle w:val="TOC1"/>
            <w:numPr>
              <w:ilvl w:val="3"/>
              <w:numId w:val="2"/>
            </w:numPr>
            <w:tabs>
              <w:tab w:pos="1239" w:val="left" w:leader="none"/>
              <w:tab w:pos="8934" w:val="left" w:leader="none"/>
            </w:tabs>
            <w:spacing w:line="240" w:lineRule="auto" w:before="276" w:after="0"/>
            <w:ind w:left="1239" w:right="0" w:hanging="1079"/>
            <w:jc w:val="left"/>
          </w:pPr>
          <w:hyperlink w:history="true" w:anchor="_TOC_250031">
            <w:r>
              <w:rPr/>
              <w:t>Sports</w:t>
            </w:r>
            <w:r>
              <w:rPr>
                <w:spacing w:val="-9"/>
              </w:rPr>
              <w:t> </w:t>
            </w:r>
            <w:r>
              <w:rPr/>
              <w:t>and</w:t>
            </w:r>
            <w:r>
              <w:rPr>
                <w:spacing w:val="-8"/>
              </w:rPr>
              <w:t> </w:t>
            </w:r>
            <w:r>
              <w:rPr/>
              <w:t>Recreation</w:t>
            </w:r>
            <w:r>
              <w:rPr>
                <w:spacing w:val="-8"/>
              </w:rPr>
              <w:t> </w:t>
            </w:r>
            <w:r>
              <w:rPr>
                <w:spacing w:val="-2"/>
              </w:rPr>
              <w:t>Committee…………………………………..</w:t>
            </w:r>
            <w:r>
              <w:rPr/>
              <w:tab/>
            </w:r>
            <w:r>
              <w:rPr>
                <w:spacing w:val="-5"/>
              </w:rPr>
              <w:t>84</w:t>
            </w:r>
          </w:hyperlink>
        </w:p>
        <w:p>
          <w:pPr>
            <w:pStyle w:val="TOC1"/>
            <w:numPr>
              <w:ilvl w:val="3"/>
              <w:numId w:val="2"/>
            </w:numPr>
            <w:tabs>
              <w:tab w:pos="1239" w:val="left" w:leader="none"/>
              <w:tab w:pos="8934" w:val="left" w:leader="none"/>
            </w:tabs>
            <w:spacing w:line="240" w:lineRule="auto" w:before="276" w:after="0"/>
            <w:ind w:left="1239" w:right="0" w:hanging="1079"/>
            <w:jc w:val="left"/>
          </w:pPr>
          <w:hyperlink w:history="true" w:anchor="_TOC_250030">
            <w:r>
              <w:rPr/>
              <w:t>The</w:t>
            </w:r>
            <w:r>
              <w:rPr>
                <w:spacing w:val="-12"/>
              </w:rPr>
              <w:t> </w:t>
            </w:r>
            <w:r>
              <w:rPr/>
              <w:t>Central</w:t>
            </w:r>
            <w:r>
              <w:rPr>
                <w:spacing w:val="-10"/>
              </w:rPr>
              <w:t> </w:t>
            </w:r>
            <w:r>
              <w:rPr/>
              <w:t>Accommodation</w:t>
            </w:r>
            <w:r>
              <w:rPr>
                <w:spacing w:val="-12"/>
              </w:rPr>
              <w:t> </w:t>
            </w:r>
            <w:r>
              <w:rPr/>
              <w:t>Allocation</w:t>
            </w:r>
            <w:r>
              <w:rPr>
                <w:spacing w:val="-12"/>
              </w:rPr>
              <w:t> </w:t>
            </w:r>
            <w:r>
              <w:rPr>
                <w:spacing w:val="-2"/>
              </w:rPr>
              <w:t>Committee……………….</w:t>
            </w:r>
            <w:r>
              <w:rPr/>
              <w:tab/>
            </w:r>
            <w:r>
              <w:rPr>
                <w:spacing w:val="-5"/>
              </w:rPr>
              <w:t>85</w:t>
            </w:r>
          </w:hyperlink>
        </w:p>
        <w:p>
          <w:pPr>
            <w:pStyle w:val="TOC1"/>
            <w:numPr>
              <w:ilvl w:val="3"/>
              <w:numId w:val="2"/>
            </w:numPr>
            <w:tabs>
              <w:tab w:pos="1239" w:val="left" w:leader="none"/>
              <w:tab w:pos="8934" w:val="left" w:leader="none"/>
            </w:tabs>
            <w:spacing w:line="240" w:lineRule="auto" w:before="276" w:after="0"/>
            <w:ind w:left="1239" w:right="0" w:hanging="1079"/>
            <w:jc w:val="left"/>
          </w:pPr>
          <w:hyperlink w:history="true" w:anchor="_TOC_250029">
            <w:r>
              <w:rPr/>
              <w:t>The</w:t>
            </w:r>
            <w:r>
              <w:rPr>
                <w:spacing w:val="-7"/>
              </w:rPr>
              <w:t> </w:t>
            </w:r>
            <w:r>
              <w:rPr/>
              <w:t>Catering</w:t>
            </w:r>
            <w:r>
              <w:rPr>
                <w:spacing w:val="-7"/>
              </w:rPr>
              <w:t> </w:t>
            </w:r>
            <w:r>
              <w:rPr/>
              <w:t>Service</w:t>
            </w:r>
            <w:r>
              <w:rPr>
                <w:spacing w:val="-10"/>
              </w:rPr>
              <w:t> </w:t>
            </w:r>
            <w:r>
              <w:rPr>
                <w:spacing w:val="-2"/>
              </w:rPr>
              <w:t>Committee…………………………………….</w:t>
            </w:r>
            <w:r>
              <w:rPr/>
              <w:tab/>
            </w:r>
            <w:r>
              <w:rPr>
                <w:spacing w:val="-5"/>
              </w:rPr>
              <w:t>85</w:t>
            </w:r>
          </w:hyperlink>
        </w:p>
        <w:p>
          <w:pPr>
            <w:pStyle w:val="TOC1"/>
            <w:numPr>
              <w:ilvl w:val="3"/>
              <w:numId w:val="2"/>
            </w:numPr>
            <w:tabs>
              <w:tab w:pos="1239" w:val="left" w:leader="none"/>
            </w:tabs>
            <w:spacing w:line="240" w:lineRule="auto" w:before="276" w:after="0"/>
            <w:ind w:left="1239" w:right="0" w:hanging="1079"/>
            <w:jc w:val="left"/>
          </w:pPr>
          <w:r>
            <w:rPr/>
            <w:t>Hall</w:t>
          </w:r>
          <w:r>
            <w:rPr>
              <w:spacing w:val="-8"/>
            </w:rPr>
            <w:t> </w:t>
          </w:r>
          <w:r>
            <w:rPr/>
            <w:t>Management</w:t>
          </w:r>
          <w:r>
            <w:rPr>
              <w:spacing w:val="-11"/>
            </w:rPr>
            <w:t> </w:t>
          </w:r>
          <w:r>
            <w:rPr/>
            <w:t>and</w:t>
          </w:r>
          <w:r>
            <w:rPr>
              <w:spacing w:val="-9"/>
            </w:rPr>
            <w:t> </w:t>
          </w:r>
          <w:r>
            <w:rPr/>
            <w:t>Central</w:t>
          </w:r>
          <w:r>
            <w:rPr>
              <w:spacing w:val="-8"/>
            </w:rPr>
            <w:t> </w:t>
          </w:r>
          <w:r>
            <w:rPr/>
            <w:t>Coordination</w:t>
          </w:r>
          <w:r>
            <w:rPr>
              <w:spacing w:val="-13"/>
            </w:rPr>
            <w:t> </w:t>
          </w:r>
          <w:r>
            <w:rPr>
              <w:spacing w:val="-2"/>
            </w:rPr>
            <w:t>Committee</w:t>
          </w:r>
        </w:p>
        <w:p>
          <w:pPr>
            <w:pStyle w:val="TOC8"/>
            <w:tabs>
              <w:tab w:pos="8934" w:val="left" w:leader="none"/>
            </w:tabs>
            <w:spacing w:before="2"/>
          </w:pPr>
          <w:r>
            <w:rPr>
              <w:spacing w:val="-2"/>
            </w:rPr>
            <w:t>of</w:t>
          </w:r>
          <w:r>
            <w:rPr>
              <w:spacing w:val="-1"/>
            </w:rPr>
            <w:t> </w:t>
          </w:r>
          <w:r>
            <w:rPr>
              <w:spacing w:val="-2"/>
            </w:rPr>
            <w:t>Hall</w:t>
          </w:r>
          <w:r>
            <w:rPr>
              <w:spacing w:val="3"/>
            </w:rPr>
            <w:t> </w:t>
          </w:r>
          <w:r>
            <w:rPr>
              <w:spacing w:val="-2"/>
            </w:rPr>
            <w:t>Management…………………………………………….</w:t>
          </w:r>
          <w:r>
            <w:rPr>
              <w:spacing w:val="-1"/>
            </w:rPr>
            <w:t> </w:t>
          </w:r>
          <w:r>
            <w:rPr>
              <w:spacing w:val="-5"/>
            </w:rPr>
            <w:t>…….</w:t>
          </w:r>
          <w:r>
            <w:rPr/>
            <w:tab/>
          </w:r>
          <w:r>
            <w:rPr>
              <w:spacing w:val="-5"/>
            </w:rPr>
            <w:t>86</w:t>
          </w:r>
        </w:p>
        <w:p>
          <w:pPr>
            <w:pStyle w:val="TOC1"/>
            <w:numPr>
              <w:ilvl w:val="3"/>
              <w:numId w:val="2"/>
            </w:numPr>
            <w:tabs>
              <w:tab w:pos="1240" w:val="left" w:leader="none"/>
              <w:tab w:pos="8934" w:val="left" w:leader="none"/>
            </w:tabs>
            <w:spacing w:line="237" w:lineRule="auto" w:before="279" w:after="0"/>
            <w:ind w:left="1240" w:right="615" w:hanging="1080"/>
            <w:jc w:val="left"/>
          </w:pPr>
          <w:hyperlink w:history="true" w:anchor="_TOC_250028">
            <w:r>
              <w:rPr/>
              <w:t>The Universities Market Management Committee </w:t>
            </w:r>
            <w:r>
              <w:rPr>
                <w:spacing w:val="-2"/>
              </w:rPr>
              <w:t>(UMMC)…………………………………………………………………</w:t>
            </w:r>
            <w:r>
              <w:rPr/>
              <w:tab/>
            </w:r>
            <w:r>
              <w:rPr>
                <w:spacing w:val="-6"/>
              </w:rPr>
              <w:t>86</w:t>
            </w:r>
          </w:hyperlink>
        </w:p>
        <w:p>
          <w:pPr>
            <w:pStyle w:val="TOC1"/>
            <w:numPr>
              <w:ilvl w:val="2"/>
              <w:numId w:val="2"/>
            </w:numPr>
            <w:tabs>
              <w:tab w:pos="877" w:val="left" w:leader="none"/>
            </w:tabs>
            <w:spacing w:line="275" w:lineRule="exact" w:before="555" w:after="0"/>
            <w:ind w:left="877" w:right="0" w:hanging="717"/>
            <w:jc w:val="left"/>
          </w:pPr>
          <w:r>
            <w:rPr/>
            <w:t>The</w:t>
          </w:r>
          <w:r>
            <w:rPr>
              <w:spacing w:val="-6"/>
            </w:rPr>
            <w:t> </w:t>
          </w:r>
          <w:r>
            <w:rPr/>
            <w:t>role</w:t>
          </w:r>
          <w:r>
            <w:rPr>
              <w:spacing w:val="-6"/>
            </w:rPr>
            <w:t> </w:t>
          </w:r>
          <w:r>
            <w:rPr/>
            <w:t>of</w:t>
          </w:r>
          <w:r>
            <w:rPr>
              <w:spacing w:val="-7"/>
            </w:rPr>
            <w:t> </w:t>
          </w:r>
          <w:r>
            <w:rPr/>
            <w:t>Students’</w:t>
          </w:r>
          <w:r>
            <w:rPr>
              <w:spacing w:val="-7"/>
            </w:rPr>
            <w:t> </w:t>
          </w:r>
          <w:r>
            <w:rPr/>
            <w:t>Union</w:t>
          </w:r>
          <w:r>
            <w:rPr>
              <w:spacing w:val="-6"/>
            </w:rPr>
            <w:t> </w:t>
          </w:r>
          <w:r>
            <w:rPr/>
            <w:t>Government</w:t>
          </w:r>
          <w:r>
            <w:rPr>
              <w:spacing w:val="-7"/>
            </w:rPr>
            <w:t> </w:t>
          </w:r>
          <w:r>
            <w:rPr/>
            <w:t>in</w:t>
          </w:r>
          <w:r>
            <w:rPr>
              <w:spacing w:val="-9"/>
            </w:rPr>
            <w:t> </w:t>
          </w:r>
          <w:r>
            <w:rPr/>
            <w:t>the</w:t>
          </w:r>
          <w:r>
            <w:rPr>
              <w:spacing w:val="-6"/>
            </w:rPr>
            <w:t> </w:t>
          </w:r>
          <w:r>
            <w:rPr>
              <w:spacing w:val="-2"/>
            </w:rPr>
            <w:t>management</w:t>
          </w:r>
        </w:p>
        <w:p>
          <w:pPr>
            <w:pStyle w:val="TOC4"/>
            <w:tabs>
              <w:tab w:pos="8934" w:val="left" w:leader="none"/>
            </w:tabs>
            <w:spacing w:line="275" w:lineRule="exact"/>
          </w:pPr>
          <w:r>
            <w:rPr/>
            <w:t>of</w:t>
          </w:r>
          <w:r>
            <w:rPr>
              <w:spacing w:val="-9"/>
            </w:rPr>
            <w:t> </w:t>
          </w:r>
          <w:r>
            <w:rPr/>
            <w:t>effective</w:t>
          </w:r>
          <w:r>
            <w:rPr>
              <w:spacing w:val="-7"/>
            </w:rPr>
            <w:t> </w:t>
          </w:r>
          <w:r>
            <w:rPr/>
            <w:t>students’</w:t>
          </w:r>
          <w:r>
            <w:rPr>
              <w:spacing w:val="-8"/>
            </w:rPr>
            <w:t> </w:t>
          </w:r>
          <w:r>
            <w:rPr/>
            <w:t>welfare</w:t>
          </w:r>
          <w:r>
            <w:rPr>
              <w:spacing w:val="-7"/>
            </w:rPr>
            <w:t> </w:t>
          </w:r>
          <w:r>
            <w:rPr>
              <w:spacing w:val="-2"/>
            </w:rPr>
            <w:t>services………………………………….</w:t>
          </w:r>
          <w:r>
            <w:rPr/>
            <w:tab/>
          </w:r>
          <w:r>
            <w:rPr>
              <w:spacing w:val="-5"/>
            </w:rPr>
            <w:t>87</w:t>
          </w:r>
        </w:p>
        <w:p>
          <w:pPr>
            <w:pStyle w:val="TOC1"/>
            <w:numPr>
              <w:ilvl w:val="1"/>
              <w:numId w:val="2"/>
            </w:numPr>
            <w:tabs>
              <w:tab w:pos="879" w:val="left" w:leader="none"/>
              <w:tab w:pos="8934" w:val="left" w:leader="none"/>
            </w:tabs>
            <w:spacing w:line="240" w:lineRule="auto" w:before="276" w:after="0"/>
            <w:ind w:left="879" w:right="0" w:hanging="719"/>
            <w:jc w:val="left"/>
          </w:pPr>
          <w:hyperlink w:history="true" w:anchor="_TOC_250027">
            <w:r>
              <w:rPr>
                <w:spacing w:val="-2"/>
              </w:rPr>
              <w:t>Summary……………………………………………………………………</w:t>
            </w:r>
            <w:r>
              <w:rPr/>
              <w:tab/>
            </w:r>
            <w:r>
              <w:rPr>
                <w:spacing w:val="-5"/>
              </w:rPr>
              <w:t>89</w:t>
            </w:r>
          </w:hyperlink>
        </w:p>
        <w:p>
          <w:pPr>
            <w:pStyle w:val="TOC3"/>
          </w:pPr>
          <w:hyperlink w:history="true" w:anchor="_TOC_250026">
            <w:r>
              <w:rPr/>
              <w:t>CHAPTER</w:t>
            </w:r>
            <w:r>
              <w:rPr>
                <w:spacing w:val="-9"/>
              </w:rPr>
              <w:t> </w:t>
            </w:r>
            <w:r>
              <w:rPr>
                <w:spacing w:val="-4"/>
              </w:rPr>
              <w:t>THREE</w:t>
            </w:r>
          </w:hyperlink>
        </w:p>
        <w:p>
          <w:pPr>
            <w:pStyle w:val="TOC4"/>
            <w:spacing w:before="325" w:after="240"/>
          </w:pPr>
          <w:hyperlink w:history="true" w:anchor="_TOC_250025">
            <w:r>
              <w:rPr/>
              <w:t>RESEARCH</w:t>
            </w:r>
            <w:r>
              <w:rPr>
                <w:spacing w:val="-15"/>
              </w:rPr>
              <w:t> </w:t>
            </w:r>
            <w:r>
              <w:rPr/>
              <w:t>DESIGN,</w:t>
            </w:r>
            <w:r>
              <w:rPr>
                <w:spacing w:val="-10"/>
              </w:rPr>
              <w:t> </w:t>
            </w:r>
            <w:r>
              <w:rPr/>
              <w:t>METHODOLOGY</w:t>
            </w:r>
            <w:r>
              <w:rPr>
                <w:spacing w:val="-15"/>
              </w:rPr>
              <w:t> </w:t>
            </w:r>
            <w:r>
              <w:rPr/>
              <w:t>AND</w:t>
            </w:r>
            <w:r>
              <w:rPr>
                <w:spacing w:val="-15"/>
              </w:rPr>
              <w:t> </w:t>
            </w:r>
            <w:r>
              <w:rPr>
                <w:spacing w:val="-2"/>
              </w:rPr>
              <w:t>PROCEDURE</w:t>
            </w:r>
          </w:hyperlink>
        </w:p>
        <w:p>
          <w:pPr>
            <w:pStyle w:val="TOC1"/>
            <w:numPr>
              <w:ilvl w:val="1"/>
              <w:numId w:val="3"/>
            </w:numPr>
            <w:tabs>
              <w:tab w:pos="879" w:val="left" w:leader="none"/>
              <w:tab w:pos="9201" w:val="right" w:leader="none"/>
            </w:tabs>
            <w:spacing w:line="240" w:lineRule="auto" w:before="362" w:after="0"/>
            <w:ind w:left="879" w:right="0" w:hanging="719"/>
            <w:jc w:val="left"/>
          </w:pPr>
          <w:hyperlink w:history="true" w:anchor="_TOC_250024">
            <w:r>
              <w:rPr>
                <w:spacing w:val="-2"/>
              </w:rPr>
              <w:t>Introduction………………………………………………………..............</w:t>
            </w:r>
            <w:r>
              <w:rPr/>
              <w:tab/>
            </w:r>
            <w:r>
              <w:rPr>
                <w:spacing w:val="-5"/>
              </w:rPr>
              <w:t>90</w:t>
            </w:r>
          </w:hyperlink>
        </w:p>
        <w:p>
          <w:pPr>
            <w:pStyle w:val="TOC1"/>
            <w:numPr>
              <w:ilvl w:val="1"/>
              <w:numId w:val="3"/>
            </w:numPr>
            <w:tabs>
              <w:tab w:pos="879" w:val="left" w:leader="none"/>
              <w:tab w:pos="9201" w:val="right" w:leader="none"/>
            </w:tabs>
            <w:spacing w:line="240" w:lineRule="auto" w:before="276" w:after="0"/>
            <w:ind w:left="879" w:right="0" w:hanging="719"/>
            <w:jc w:val="left"/>
          </w:pPr>
          <w:hyperlink w:history="true" w:anchor="_TOC_250023">
            <w:r>
              <w:rPr/>
              <w:t>Research</w:t>
            </w:r>
            <w:r>
              <w:rPr>
                <w:spacing w:val="-9"/>
              </w:rPr>
              <w:t> </w:t>
            </w:r>
            <w:r>
              <w:rPr>
                <w:spacing w:val="-2"/>
              </w:rPr>
              <w:t>Design………………………………………………………….</w:t>
            </w:r>
            <w:r>
              <w:rPr/>
              <w:tab/>
            </w:r>
            <w:r>
              <w:rPr>
                <w:spacing w:val="-5"/>
              </w:rPr>
              <w:t>90</w:t>
            </w:r>
          </w:hyperlink>
        </w:p>
        <w:p>
          <w:pPr>
            <w:pStyle w:val="TOC1"/>
            <w:numPr>
              <w:ilvl w:val="1"/>
              <w:numId w:val="3"/>
            </w:numPr>
            <w:tabs>
              <w:tab w:pos="879" w:val="left" w:leader="none"/>
              <w:tab w:pos="9201" w:val="right" w:leader="none"/>
            </w:tabs>
            <w:spacing w:line="240" w:lineRule="auto" w:before="276" w:after="0"/>
            <w:ind w:left="879" w:right="0" w:hanging="719"/>
            <w:jc w:val="left"/>
          </w:pPr>
          <w:hyperlink w:history="true" w:anchor="_TOC_250022">
            <w:r>
              <w:rPr/>
              <w:t>The</w:t>
            </w:r>
            <w:r>
              <w:rPr>
                <w:spacing w:val="-1"/>
              </w:rPr>
              <w:t> </w:t>
            </w:r>
            <w:r>
              <w:rPr>
                <w:spacing w:val="-2"/>
              </w:rPr>
              <w:t>Population…………………………………………………………….</w:t>
            </w:r>
            <w:r>
              <w:rPr/>
              <w:tab/>
            </w:r>
            <w:r>
              <w:rPr>
                <w:spacing w:val="-5"/>
              </w:rPr>
              <w:t>90</w:t>
            </w:r>
          </w:hyperlink>
        </w:p>
        <w:p>
          <w:pPr>
            <w:pStyle w:val="TOC1"/>
            <w:numPr>
              <w:ilvl w:val="1"/>
              <w:numId w:val="3"/>
            </w:numPr>
            <w:tabs>
              <w:tab w:pos="879" w:val="left" w:leader="none"/>
              <w:tab w:pos="9201" w:val="right" w:leader="none"/>
            </w:tabs>
            <w:spacing w:line="240" w:lineRule="auto" w:before="276" w:after="0"/>
            <w:ind w:left="879" w:right="0" w:hanging="719"/>
            <w:jc w:val="left"/>
          </w:pPr>
          <w:hyperlink w:history="true" w:anchor="_TOC_250021">
            <w:r>
              <w:rPr/>
              <w:t>Sample</w:t>
            </w:r>
            <w:r>
              <w:rPr>
                <w:spacing w:val="-8"/>
              </w:rPr>
              <w:t> </w:t>
            </w:r>
            <w:r>
              <w:rPr/>
              <w:t>and</w:t>
            </w:r>
            <w:r>
              <w:rPr>
                <w:spacing w:val="-7"/>
              </w:rPr>
              <w:t> </w:t>
            </w:r>
            <w:r>
              <w:rPr/>
              <w:t>Sampling</w:t>
            </w:r>
            <w:r>
              <w:rPr>
                <w:spacing w:val="-7"/>
              </w:rPr>
              <w:t> </w:t>
            </w:r>
            <w:r>
              <w:rPr>
                <w:spacing w:val="-2"/>
              </w:rPr>
              <w:t>Procedure………………………………………..</w:t>
            </w:r>
            <w:r>
              <w:rPr/>
              <w:tab/>
            </w:r>
            <w:r>
              <w:rPr>
                <w:spacing w:val="-5"/>
              </w:rPr>
              <w:t>91</w:t>
            </w:r>
          </w:hyperlink>
        </w:p>
        <w:p>
          <w:pPr>
            <w:pStyle w:val="TOC1"/>
            <w:numPr>
              <w:ilvl w:val="1"/>
              <w:numId w:val="3"/>
            </w:numPr>
            <w:tabs>
              <w:tab w:pos="879" w:val="left" w:leader="none"/>
              <w:tab w:pos="9336" w:val="right" w:leader="none"/>
            </w:tabs>
            <w:spacing w:line="240" w:lineRule="auto" w:before="276" w:after="0"/>
            <w:ind w:left="879" w:right="0" w:hanging="719"/>
            <w:jc w:val="left"/>
          </w:pPr>
          <w:hyperlink w:history="true" w:anchor="_TOC_250020">
            <w:r>
              <w:rPr>
                <w:spacing w:val="-2"/>
              </w:rPr>
              <w:t>Instrumentation……………………………………………………………</w:t>
            </w:r>
            <w:r>
              <w:rPr/>
              <w:tab/>
            </w:r>
            <w:r>
              <w:rPr>
                <w:spacing w:val="-5"/>
              </w:rPr>
              <w:t>100</w:t>
            </w:r>
          </w:hyperlink>
        </w:p>
        <w:p>
          <w:pPr>
            <w:pStyle w:val="TOC1"/>
            <w:numPr>
              <w:ilvl w:val="1"/>
              <w:numId w:val="3"/>
            </w:numPr>
            <w:tabs>
              <w:tab w:pos="879" w:val="left" w:leader="none"/>
              <w:tab w:pos="9336" w:val="right" w:leader="none"/>
            </w:tabs>
            <w:spacing w:line="240" w:lineRule="auto" w:before="276" w:after="0"/>
            <w:ind w:left="879" w:right="0" w:hanging="719"/>
            <w:jc w:val="left"/>
          </w:pPr>
          <w:hyperlink w:history="true" w:anchor="_TOC_250019">
            <w:r>
              <w:rPr/>
              <w:t>Validation</w:t>
            </w:r>
            <w:r>
              <w:rPr>
                <w:spacing w:val="-9"/>
              </w:rPr>
              <w:t> </w:t>
            </w:r>
            <w:r>
              <w:rPr/>
              <w:t>and</w:t>
            </w:r>
            <w:r>
              <w:rPr>
                <w:spacing w:val="-8"/>
              </w:rPr>
              <w:t> </w:t>
            </w:r>
            <w:r>
              <w:rPr/>
              <w:t>reliability</w:t>
            </w:r>
            <w:r>
              <w:rPr>
                <w:spacing w:val="-5"/>
              </w:rPr>
              <w:t> </w:t>
            </w:r>
            <w:r>
              <w:rPr/>
              <w:t>of</w:t>
            </w:r>
            <w:r>
              <w:rPr>
                <w:spacing w:val="-5"/>
              </w:rPr>
              <w:t> </w:t>
            </w:r>
            <w:r>
              <w:rPr>
                <w:spacing w:val="-2"/>
              </w:rPr>
              <w:t>Instrument………………………………….</w:t>
            </w:r>
            <w:r>
              <w:rPr/>
              <w:tab/>
            </w:r>
            <w:r>
              <w:rPr>
                <w:spacing w:val="-5"/>
              </w:rPr>
              <w:t>101</w:t>
            </w:r>
          </w:hyperlink>
        </w:p>
        <w:p>
          <w:pPr>
            <w:pStyle w:val="TOC1"/>
            <w:numPr>
              <w:ilvl w:val="1"/>
              <w:numId w:val="3"/>
            </w:numPr>
            <w:tabs>
              <w:tab w:pos="879" w:val="left" w:leader="none"/>
              <w:tab w:pos="9336" w:val="right" w:leader="none"/>
            </w:tabs>
            <w:spacing w:line="240" w:lineRule="auto" w:before="276" w:after="0"/>
            <w:ind w:left="879" w:right="0" w:hanging="719"/>
            <w:jc w:val="left"/>
          </w:pPr>
          <w:hyperlink w:history="true" w:anchor="_TOC_250018">
            <w:r>
              <w:rPr/>
              <w:t>Pilot</w:t>
            </w:r>
            <w:r>
              <w:rPr>
                <w:spacing w:val="-3"/>
              </w:rPr>
              <w:t> </w:t>
            </w:r>
            <w:r>
              <w:rPr>
                <w:spacing w:val="-2"/>
              </w:rPr>
              <w:t>Study………………………………………………………………….</w:t>
            </w:r>
            <w:r>
              <w:rPr/>
              <w:tab/>
            </w:r>
            <w:r>
              <w:rPr>
                <w:spacing w:val="-5"/>
              </w:rPr>
              <w:t>102</w:t>
            </w:r>
          </w:hyperlink>
        </w:p>
        <w:p>
          <w:pPr>
            <w:pStyle w:val="TOC1"/>
            <w:numPr>
              <w:ilvl w:val="1"/>
              <w:numId w:val="3"/>
            </w:numPr>
            <w:tabs>
              <w:tab w:pos="879" w:val="left" w:leader="none"/>
              <w:tab w:pos="9336" w:val="right" w:leader="none"/>
            </w:tabs>
            <w:spacing w:line="240" w:lineRule="auto" w:before="276" w:after="0"/>
            <w:ind w:left="879" w:right="0" w:hanging="719"/>
            <w:jc w:val="left"/>
          </w:pPr>
          <w:hyperlink w:history="true" w:anchor="_TOC_250017">
            <w:r>
              <w:rPr/>
              <w:t>Administration</w:t>
            </w:r>
            <w:r>
              <w:rPr>
                <w:spacing w:val="-11"/>
              </w:rPr>
              <w:t> </w:t>
            </w:r>
            <w:r>
              <w:rPr/>
              <w:t>of</w:t>
            </w:r>
            <w:r>
              <w:rPr>
                <w:spacing w:val="-8"/>
              </w:rPr>
              <w:t> </w:t>
            </w:r>
            <w:r>
              <w:rPr>
                <w:spacing w:val="-2"/>
              </w:rPr>
              <w:t>Instrument……………………………………………..</w:t>
            </w:r>
            <w:r>
              <w:rPr/>
              <w:tab/>
            </w:r>
            <w:r>
              <w:rPr>
                <w:spacing w:val="-5"/>
              </w:rPr>
              <w:t>103</w:t>
            </w:r>
          </w:hyperlink>
        </w:p>
        <w:p>
          <w:pPr>
            <w:pStyle w:val="TOC1"/>
            <w:numPr>
              <w:ilvl w:val="1"/>
              <w:numId w:val="3"/>
            </w:numPr>
            <w:tabs>
              <w:tab w:pos="879" w:val="left" w:leader="none"/>
              <w:tab w:pos="9336" w:val="right" w:leader="none"/>
            </w:tabs>
            <w:spacing w:line="240" w:lineRule="auto" w:before="276" w:after="0"/>
            <w:ind w:left="879" w:right="0" w:hanging="719"/>
            <w:jc w:val="left"/>
          </w:pPr>
          <w:hyperlink w:history="true" w:anchor="_TOC_250016">
            <w:r>
              <w:rPr/>
              <w:t>Method</w:t>
            </w:r>
            <w:r>
              <w:rPr>
                <w:spacing w:val="-4"/>
              </w:rPr>
              <w:t> </w:t>
            </w:r>
            <w:r>
              <w:rPr/>
              <w:t>of</w:t>
            </w:r>
            <w:r>
              <w:rPr>
                <w:spacing w:val="-5"/>
              </w:rPr>
              <w:t> </w:t>
            </w:r>
            <w:r>
              <w:rPr/>
              <w:t>Data</w:t>
            </w:r>
            <w:r>
              <w:rPr>
                <w:spacing w:val="-4"/>
              </w:rPr>
              <w:t> </w:t>
            </w:r>
            <w:r>
              <w:rPr>
                <w:spacing w:val="-2"/>
              </w:rPr>
              <w:t>Analysis…………………………………………………</w:t>
            </w:r>
            <w:r>
              <w:rPr/>
              <w:tab/>
            </w:r>
            <w:r>
              <w:rPr>
                <w:spacing w:val="-5"/>
              </w:rPr>
              <w:t>103</w:t>
            </w:r>
          </w:hyperlink>
        </w:p>
        <w:p>
          <w:pPr>
            <w:pStyle w:val="TOC1"/>
            <w:tabs>
              <w:tab w:pos="9336" w:val="right" w:leader="none"/>
            </w:tabs>
            <w:ind w:left="160" w:firstLine="0"/>
          </w:pPr>
          <w:r>
            <w:rPr/>
            <w:t>3.10.</w:t>
          </w:r>
          <w:r>
            <w:rPr>
              <w:spacing w:val="74"/>
              <w:w w:val="150"/>
            </w:rPr>
            <w:t> </w:t>
          </w:r>
          <w:r>
            <w:rPr/>
            <w:t>Rate</w:t>
          </w:r>
          <w:r>
            <w:rPr>
              <w:spacing w:val="-2"/>
            </w:rPr>
            <w:t> </w:t>
          </w:r>
          <w:r>
            <w:rPr/>
            <w:t>of</w:t>
          </w:r>
          <w:r>
            <w:rPr>
              <w:spacing w:val="-3"/>
            </w:rPr>
            <w:t> </w:t>
          </w:r>
          <w:r>
            <w:rPr/>
            <w:t>Return</w:t>
          </w:r>
          <w:r>
            <w:rPr>
              <w:spacing w:val="-2"/>
            </w:rPr>
            <w:t> </w:t>
          </w:r>
          <w:r>
            <w:rPr/>
            <w:t>of</w:t>
          </w:r>
          <w:r>
            <w:rPr>
              <w:spacing w:val="-6"/>
            </w:rPr>
            <w:t> </w:t>
          </w:r>
          <w:r>
            <w:rPr>
              <w:spacing w:val="-2"/>
            </w:rPr>
            <w:t>Questionnaire………………………………………...</w:t>
          </w:r>
          <w:r>
            <w:rPr/>
            <w:tab/>
          </w:r>
          <w:r>
            <w:rPr>
              <w:spacing w:val="-5"/>
            </w:rPr>
            <w:t>103</w:t>
          </w:r>
        </w:p>
        <w:p>
          <w:pPr>
            <w:pStyle w:val="TOC3"/>
            <w:spacing w:before="273"/>
          </w:pPr>
          <w:hyperlink w:history="true" w:anchor="_TOC_250015">
            <w:r>
              <w:rPr/>
              <w:t>CHAPTER</w:t>
            </w:r>
            <w:r>
              <w:rPr>
                <w:spacing w:val="-9"/>
              </w:rPr>
              <w:t> </w:t>
            </w:r>
            <w:r>
              <w:rPr>
                <w:spacing w:val="-4"/>
              </w:rPr>
              <w:t>FOUR</w:t>
            </w:r>
          </w:hyperlink>
        </w:p>
        <w:p>
          <w:pPr>
            <w:pStyle w:val="TOC4"/>
            <w:spacing w:before="325"/>
          </w:pPr>
          <w:hyperlink w:history="true" w:anchor="_TOC_250014">
            <w:r>
              <w:rPr/>
              <w:t>PRESENTATION,</w:t>
            </w:r>
            <w:r>
              <w:rPr>
                <w:spacing w:val="-12"/>
              </w:rPr>
              <w:t> </w:t>
            </w:r>
            <w:r>
              <w:rPr/>
              <w:t>ANALYSIS</w:t>
            </w:r>
            <w:r>
              <w:rPr>
                <w:spacing w:val="-12"/>
              </w:rPr>
              <w:t> </w:t>
            </w:r>
            <w:r>
              <w:rPr/>
              <w:t>AND</w:t>
            </w:r>
            <w:r>
              <w:rPr>
                <w:spacing w:val="-11"/>
              </w:rPr>
              <w:t> </w:t>
            </w:r>
            <w:r>
              <w:rPr/>
              <w:t>DISCUSSION</w:t>
            </w:r>
            <w:r>
              <w:rPr>
                <w:spacing w:val="-11"/>
              </w:rPr>
              <w:t> </w:t>
            </w:r>
            <w:r>
              <w:rPr/>
              <w:t>OF</w:t>
            </w:r>
            <w:r>
              <w:rPr>
                <w:spacing w:val="-10"/>
              </w:rPr>
              <w:t> </w:t>
            </w:r>
            <w:r>
              <w:rPr>
                <w:spacing w:val="-4"/>
              </w:rPr>
              <w:t>DATA</w:t>
            </w:r>
          </w:hyperlink>
        </w:p>
        <w:p>
          <w:pPr>
            <w:pStyle w:val="TOC1"/>
            <w:numPr>
              <w:ilvl w:val="1"/>
              <w:numId w:val="4"/>
            </w:numPr>
            <w:tabs>
              <w:tab w:pos="879" w:val="left" w:leader="none"/>
              <w:tab w:pos="9201" w:val="right" w:leader="none"/>
            </w:tabs>
            <w:spacing w:line="240" w:lineRule="auto" w:before="276" w:after="0"/>
            <w:ind w:left="879" w:right="0" w:hanging="719"/>
            <w:jc w:val="left"/>
          </w:pPr>
          <w:hyperlink w:history="true" w:anchor="_TOC_250013">
            <w:r>
              <w:rPr>
                <w:spacing w:val="-2"/>
              </w:rPr>
              <w:t>Introduction………………………………………………………………..</w:t>
            </w:r>
            <w:r>
              <w:rPr/>
              <w:tab/>
            </w:r>
            <w:r>
              <w:rPr>
                <w:spacing w:val="-5"/>
              </w:rPr>
              <w:t>107</w:t>
            </w:r>
          </w:hyperlink>
        </w:p>
        <w:p>
          <w:pPr>
            <w:pStyle w:val="TOC1"/>
            <w:numPr>
              <w:ilvl w:val="1"/>
              <w:numId w:val="4"/>
            </w:numPr>
            <w:tabs>
              <w:tab w:pos="879" w:val="left" w:leader="none"/>
            </w:tabs>
            <w:spacing w:line="240" w:lineRule="auto" w:before="276" w:after="0"/>
            <w:ind w:left="879" w:right="0" w:hanging="719"/>
            <w:jc w:val="left"/>
          </w:pPr>
          <w:r>
            <w:rPr/>
            <w:t>Types</w:t>
          </w:r>
          <w:r>
            <w:rPr>
              <w:spacing w:val="-6"/>
            </w:rPr>
            <w:t> </w:t>
          </w:r>
          <w:r>
            <w:rPr/>
            <w:t>of</w:t>
          </w:r>
          <w:r>
            <w:rPr>
              <w:spacing w:val="-6"/>
            </w:rPr>
            <w:t> </w:t>
          </w:r>
          <w:r>
            <w:rPr/>
            <w:t>students’</w:t>
          </w:r>
          <w:r>
            <w:rPr>
              <w:spacing w:val="-6"/>
            </w:rPr>
            <w:t> </w:t>
          </w:r>
          <w:r>
            <w:rPr/>
            <w:t>welfare</w:t>
          </w:r>
          <w:r>
            <w:rPr>
              <w:spacing w:val="-4"/>
            </w:rPr>
            <w:t> </w:t>
          </w:r>
          <w:r>
            <w:rPr/>
            <w:t>services</w:t>
          </w:r>
          <w:r>
            <w:rPr>
              <w:spacing w:val="-11"/>
            </w:rPr>
            <w:t> </w:t>
          </w:r>
          <w:r>
            <w:rPr/>
            <w:t>in</w:t>
          </w:r>
          <w:r>
            <w:rPr>
              <w:spacing w:val="53"/>
            </w:rPr>
            <w:t> </w:t>
          </w:r>
          <w:r>
            <w:rPr/>
            <w:t>the</w:t>
          </w:r>
          <w:r>
            <w:rPr>
              <w:spacing w:val="-5"/>
            </w:rPr>
            <w:t> </w:t>
          </w:r>
          <w:r>
            <w:rPr/>
            <w:t>Universities</w:t>
          </w:r>
          <w:r>
            <w:rPr>
              <w:spacing w:val="-10"/>
            </w:rPr>
            <w:t> </w:t>
          </w:r>
          <w:r>
            <w:rPr/>
            <w:t>in</w:t>
          </w:r>
          <w:r>
            <w:rPr>
              <w:spacing w:val="-5"/>
            </w:rPr>
            <w:t> the</w:t>
          </w:r>
        </w:p>
        <w:p>
          <w:pPr>
            <w:pStyle w:val="TOC4"/>
            <w:tabs>
              <w:tab w:pos="9201" w:val="right" w:leader="dot"/>
            </w:tabs>
            <w:spacing w:before="2"/>
          </w:pPr>
          <w:r>
            <w:rPr/>
            <w:t>three</w:t>
          </w:r>
          <w:r>
            <w:rPr>
              <w:spacing w:val="-5"/>
            </w:rPr>
            <w:t> </w:t>
          </w:r>
          <w:r>
            <w:rPr/>
            <w:t>geopolitical</w:t>
          </w:r>
          <w:r>
            <w:rPr>
              <w:spacing w:val="-2"/>
            </w:rPr>
            <w:t> </w:t>
          </w:r>
          <w:r>
            <w:rPr/>
            <w:t>zones</w:t>
          </w:r>
          <w:r>
            <w:rPr>
              <w:spacing w:val="-10"/>
            </w:rPr>
            <w:t> </w:t>
          </w:r>
          <w:r>
            <w:rPr/>
            <w:t>in</w:t>
          </w:r>
          <w:r>
            <w:rPr>
              <w:spacing w:val="-5"/>
            </w:rPr>
            <w:t> </w:t>
          </w:r>
          <w:r>
            <w:rPr/>
            <w:t>the</w:t>
          </w:r>
          <w:r>
            <w:rPr>
              <w:spacing w:val="-4"/>
            </w:rPr>
            <w:t> </w:t>
          </w:r>
          <w:r>
            <w:rPr/>
            <w:t>Northern</w:t>
          </w:r>
          <w:r>
            <w:rPr>
              <w:spacing w:val="53"/>
            </w:rPr>
            <w:t> </w:t>
          </w:r>
          <w:r>
            <w:rPr/>
            <w:t>part</w:t>
          </w:r>
          <w:r>
            <w:rPr>
              <w:spacing w:val="-10"/>
            </w:rPr>
            <w:t> </w:t>
          </w:r>
          <w:r>
            <w:rPr/>
            <w:t>of</w:t>
          </w:r>
          <w:r>
            <w:rPr>
              <w:spacing w:val="-5"/>
            </w:rPr>
            <w:t> </w:t>
          </w:r>
          <w:r>
            <w:rPr>
              <w:spacing w:val="-2"/>
            </w:rPr>
            <w:t>Nigeria</w:t>
          </w:r>
          <w:r>
            <w:rPr/>
            <w:tab/>
          </w:r>
          <w:r>
            <w:rPr>
              <w:spacing w:val="-5"/>
            </w:rPr>
            <w:t>110</w:t>
          </w:r>
        </w:p>
        <w:p>
          <w:pPr>
            <w:pStyle w:val="TOC1"/>
            <w:numPr>
              <w:ilvl w:val="2"/>
              <w:numId w:val="4"/>
            </w:numPr>
            <w:tabs>
              <w:tab w:pos="877" w:val="left" w:leader="none"/>
              <w:tab w:pos="880" w:val="left" w:leader="none"/>
            </w:tabs>
            <w:spacing w:line="237" w:lineRule="auto" w:before="278" w:after="0"/>
            <w:ind w:left="880" w:right="2623" w:hanging="720"/>
            <w:jc w:val="left"/>
          </w:pPr>
          <w:r>
            <w:rPr/>
            <w:t>Responses</w:t>
          </w:r>
          <w:r>
            <w:rPr>
              <w:spacing w:val="-3"/>
            </w:rPr>
            <w:t> </w:t>
          </w:r>
          <w:r>
            <w:rPr/>
            <w:t>of</w:t>
          </w:r>
          <w:r>
            <w:rPr>
              <w:spacing w:val="-7"/>
            </w:rPr>
            <w:t> </w:t>
          </w:r>
          <w:r>
            <w:rPr/>
            <w:t>respondents</w:t>
          </w:r>
          <w:r>
            <w:rPr>
              <w:spacing w:val="-8"/>
            </w:rPr>
            <w:t> </w:t>
          </w:r>
          <w:r>
            <w:rPr/>
            <w:t>on</w:t>
          </w:r>
          <w:r>
            <w:rPr>
              <w:spacing w:val="-2"/>
            </w:rPr>
            <w:t> </w:t>
          </w:r>
          <w:r>
            <w:rPr/>
            <w:t>the</w:t>
          </w:r>
          <w:r>
            <w:rPr>
              <w:spacing w:val="-6"/>
            </w:rPr>
            <w:t> </w:t>
          </w:r>
          <w:r>
            <w:rPr/>
            <w:t>availability</w:t>
          </w:r>
          <w:r>
            <w:rPr>
              <w:spacing w:val="-8"/>
            </w:rPr>
            <w:t> </w:t>
          </w:r>
          <w:r>
            <w:rPr/>
            <w:t>and</w:t>
          </w:r>
          <w:r>
            <w:rPr>
              <w:spacing w:val="-2"/>
            </w:rPr>
            <w:t> </w:t>
          </w:r>
          <w:r>
            <w:rPr/>
            <w:t>degree</w:t>
          </w:r>
          <w:r>
            <w:rPr>
              <w:spacing w:val="-2"/>
            </w:rPr>
            <w:t> </w:t>
          </w:r>
          <w:r>
            <w:rPr/>
            <w:t>of adequacy of Social Welfare services provided by the</w:t>
          </w:r>
        </w:p>
        <w:p>
          <w:pPr>
            <w:pStyle w:val="TOC4"/>
            <w:tabs>
              <w:tab w:pos="9201" w:val="right" w:leader="none"/>
            </w:tabs>
            <w:spacing w:line="275" w:lineRule="exact" w:before="4"/>
          </w:pPr>
          <w:r>
            <w:rPr/>
            <w:t>Universities</w:t>
          </w:r>
          <w:r>
            <w:rPr>
              <w:spacing w:val="-9"/>
            </w:rPr>
            <w:t> </w:t>
          </w:r>
          <w:r>
            <w:rPr/>
            <w:t>to</w:t>
          </w:r>
          <w:r>
            <w:rPr>
              <w:spacing w:val="-7"/>
            </w:rPr>
            <w:t> </w:t>
          </w:r>
          <w:r>
            <w:rPr>
              <w:spacing w:val="-2"/>
            </w:rPr>
            <w:t>students…………………………………………………...</w:t>
          </w:r>
          <w:r>
            <w:rPr/>
            <w:tab/>
          </w:r>
          <w:r>
            <w:rPr>
              <w:spacing w:val="-5"/>
            </w:rPr>
            <w:t>110</w:t>
          </w:r>
        </w:p>
        <w:p>
          <w:pPr>
            <w:pStyle w:val="TOC1"/>
            <w:numPr>
              <w:ilvl w:val="2"/>
              <w:numId w:val="4"/>
            </w:numPr>
            <w:tabs>
              <w:tab w:pos="877" w:val="left" w:leader="none"/>
            </w:tabs>
            <w:spacing w:line="275" w:lineRule="exact" w:before="0" w:after="0"/>
            <w:ind w:left="877" w:right="0" w:hanging="717"/>
            <w:jc w:val="left"/>
          </w:pPr>
          <w:r>
            <w:rPr/>
            <w:t>Responses</w:t>
          </w:r>
          <w:r>
            <w:rPr>
              <w:spacing w:val="-7"/>
            </w:rPr>
            <w:t> </w:t>
          </w:r>
          <w:r>
            <w:rPr/>
            <w:t>on</w:t>
          </w:r>
          <w:r>
            <w:rPr>
              <w:spacing w:val="-9"/>
            </w:rPr>
            <w:t> </w:t>
          </w:r>
          <w:r>
            <w:rPr/>
            <w:t>the</w:t>
          </w:r>
          <w:r>
            <w:rPr>
              <w:spacing w:val="-5"/>
            </w:rPr>
            <w:t> </w:t>
          </w:r>
          <w:r>
            <w:rPr/>
            <w:t>availability</w:t>
          </w:r>
          <w:r>
            <w:rPr>
              <w:spacing w:val="-11"/>
            </w:rPr>
            <w:t> </w:t>
          </w:r>
          <w:r>
            <w:rPr/>
            <w:t>and</w:t>
          </w:r>
          <w:r>
            <w:rPr>
              <w:spacing w:val="-9"/>
            </w:rPr>
            <w:t> </w:t>
          </w:r>
          <w:r>
            <w:rPr/>
            <w:t>degree</w:t>
          </w:r>
          <w:r>
            <w:rPr>
              <w:spacing w:val="-6"/>
            </w:rPr>
            <w:t> </w:t>
          </w:r>
          <w:r>
            <w:rPr/>
            <w:t>of</w:t>
          </w:r>
          <w:r>
            <w:rPr>
              <w:spacing w:val="-6"/>
            </w:rPr>
            <w:t> </w:t>
          </w:r>
          <w:r>
            <w:rPr/>
            <w:t>provision</w:t>
          </w:r>
          <w:r>
            <w:rPr>
              <w:spacing w:val="-6"/>
            </w:rPr>
            <w:t> </w:t>
          </w:r>
          <w:r>
            <w:rPr>
              <w:spacing w:val="-5"/>
            </w:rPr>
            <w:t>of</w:t>
          </w:r>
        </w:p>
        <w:p>
          <w:pPr>
            <w:pStyle w:val="TOC4"/>
            <w:tabs>
              <w:tab w:pos="6815" w:val="left" w:leader="none"/>
              <w:tab w:pos="9201" w:val="right" w:leader="none"/>
            </w:tabs>
            <w:spacing w:before="2"/>
          </w:pPr>
          <w:r>
            <w:rPr/>
            <w:t>Academic</w:t>
          </w:r>
          <w:r>
            <w:rPr>
              <w:spacing w:val="-12"/>
            </w:rPr>
            <w:t> </w:t>
          </w:r>
          <w:r>
            <w:rPr/>
            <w:t>Welfare</w:t>
          </w:r>
          <w:r>
            <w:rPr>
              <w:spacing w:val="-6"/>
            </w:rPr>
            <w:t> </w:t>
          </w:r>
          <w:r>
            <w:rPr/>
            <w:t>Services</w:t>
          </w:r>
          <w:r>
            <w:rPr>
              <w:spacing w:val="-7"/>
            </w:rPr>
            <w:t> </w:t>
          </w:r>
          <w:r>
            <w:rPr/>
            <w:t>to</w:t>
          </w:r>
          <w:r>
            <w:rPr>
              <w:spacing w:val="-7"/>
            </w:rPr>
            <w:t> </w:t>
          </w:r>
          <w:r>
            <w:rPr/>
            <w:t>students</w:t>
          </w:r>
          <w:r>
            <w:rPr>
              <w:spacing w:val="-11"/>
            </w:rPr>
            <w:t> </w:t>
          </w:r>
          <w:r>
            <w:rPr/>
            <w:t>in</w:t>
          </w:r>
          <w:r>
            <w:rPr>
              <w:spacing w:val="-6"/>
            </w:rPr>
            <w:t> </w:t>
          </w:r>
          <w:r>
            <w:rPr>
              <w:spacing w:val="-2"/>
            </w:rPr>
            <w:t>Universities</w:t>
          </w:r>
          <w:r>
            <w:rPr/>
            <w:tab/>
          </w:r>
          <w:r>
            <w:rPr>
              <w:spacing w:val="-4"/>
            </w:rPr>
            <w:t>…………</w:t>
          </w:r>
          <w:r>
            <w:rPr/>
            <w:tab/>
          </w:r>
          <w:r>
            <w:rPr>
              <w:spacing w:val="-5"/>
            </w:rPr>
            <w:t>117</w:t>
          </w:r>
        </w:p>
        <w:p>
          <w:pPr>
            <w:pStyle w:val="TOC1"/>
            <w:numPr>
              <w:ilvl w:val="2"/>
              <w:numId w:val="4"/>
            </w:numPr>
            <w:tabs>
              <w:tab w:pos="877" w:val="left" w:leader="none"/>
            </w:tabs>
            <w:spacing w:line="240" w:lineRule="auto" w:before="271" w:after="0"/>
            <w:ind w:left="877" w:right="0" w:hanging="717"/>
            <w:jc w:val="left"/>
          </w:pPr>
          <w:r>
            <w:rPr/>
            <w:t>Responses</w:t>
          </w:r>
          <w:r>
            <w:rPr>
              <w:spacing w:val="-6"/>
            </w:rPr>
            <w:t> </w:t>
          </w:r>
          <w:r>
            <w:rPr/>
            <w:t>on</w:t>
          </w:r>
          <w:r>
            <w:rPr>
              <w:spacing w:val="-9"/>
            </w:rPr>
            <w:t> </w:t>
          </w:r>
          <w:r>
            <w:rPr/>
            <w:t>the</w:t>
          </w:r>
          <w:r>
            <w:rPr>
              <w:spacing w:val="-5"/>
            </w:rPr>
            <w:t> </w:t>
          </w:r>
          <w:r>
            <w:rPr/>
            <w:t>availability</w:t>
          </w:r>
          <w:r>
            <w:rPr>
              <w:spacing w:val="-10"/>
            </w:rPr>
            <w:t> </w:t>
          </w:r>
          <w:r>
            <w:rPr/>
            <w:t>and</w:t>
          </w:r>
          <w:r>
            <w:rPr>
              <w:spacing w:val="-8"/>
            </w:rPr>
            <w:t> </w:t>
          </w:r>
          <w:r>
            <w:rPr/>
            <w:t>degree</w:t>
          </w:r>
          <w:r>
            <w:rPr>
              <w:spacing w:val="-5"/>
            </w:rPr>
            <w:t> </w:t>
          </w:r>
          <w:r>
            <w:rPr/>
            <w:t>of</w:t>
          </w:r>
          <w:r>
            <w:rPr>
              <w:spacing w:val="-6"/>
            </w:rPr>
            <w:t> </w:t>
          </w:r>
          <w:r>
            <w:rPr/>
            <w:t>provision</w:t>
          </w:r>
          <w:r>
            <w:rPr>
              <w:spacing w:val="-5"/>
            </w:rPr>
            <w:t> </w:t>
          </w:r>
          <w:r>
            <w:rPr/>
            <w:t>of</w:t>
          </w:r>
          <w:r>
            <w:rPr>
              <w:spacing w:val="-6"/>
            </w:rPr>
            <w:t> </w:t>
          </w:r>
          <w:r>
            <w:rPr>
              <w:spacing w:val="-2"/>
            </w:rPr>
            <w:t>Medical</w:t>
          </w:r>
        </w:p>
        <w:p>
          <w:pPr>
            <w:pStyle w:val="TOC4"/>
            <w:tabs>
              <w:tab w:pos="9201" w:val="right" w:leader="none"/>
            </w:tabs>
            <w:spacing w:before="3"/>
          </w:pPr>
          <w:r>
            <w:rPr/>
            <w:t>and</w:t>
          </w:r>
          <w:r>
            <w:rPr>
              <w:spacing w:val="-6"/>
            </w:rPr>
            <w:t> </w:t>
          </w:r>
          <w:r>
            <w:rPr/>
            <w:t>Health</w:t>
          </w:r>
          <w:r>
            <w:rPr>
              <w:spacing w:val="-7"/>
            </w:rPr>
            <w:t> </w:t>
          </w:r>
          <w:r>
            <w:rPr/>
            <w:t>services</w:t>
          </w:r>
          <w:r>
            <w:rPr>
              <w:spacing w:val="-6"/>
            </w:rPr>
            <w:t> </w:t>
          </w:r>
          <w:r>
            <w:rPr/>
            <w:t>to</w:t>
          </w:r>
          <w:r>
            <w:rPr>
              <w:spacing w:val="-6"/>
            </w:rPr>
            <w:t> </w:t>
          </w:r>
          <w:r>
            <w:rPr/>
            <w:t>students</w:t>
          </w:r>
          <w:r>
            <w:rPr>
              <w:spacing w:val="-12"/>
            </w:rPr>
            <w:t> </w:t>
          </w:r>
          <w:r>
            <w:rPr/>
            <w:t>in</w:t>
          </w:r>
          <w:r>
            <w:rPr>
              <w:spacing w:val="-4"/>
            </w:rPr>
            <w:t> </w:t>
          </w:r>
          <w:r>
            <w:rPr/>
            <w:t>the</w:t>
          </w:r>
          <w:r>
            <w:rPr>
              <w:spacing w:val="-6"/>
            </w:rPr>
            <w:t> </w:t>
          </w:r>
          <w:r>
            <w:rPr/>
            <w:t>Universities</w:t>
          </w:r>
          <w:r>
            <w:rPr>
              <w:spacing w:val="-7"/>
            </w:rPr>
            <w:t> </w:t>
          </w:r>
          <w:r>
            <w:rPr/>
            <w:t>under</w:t>
          </w:r>
          <w:r>
            <w:rPr>
              <w:spacing w:val="-5"/>
            </w:rPr>
            <w:t> </w:t>
          </w:r>
          <w:r>
            <w:rPr>
              <w:spacing w:val="-2"/>
            </w:rPr>
            <w:t>study……</w:t>
          </w:r>
          <w:r>
            <w:rPr/>
            <w:tab/>
          </w:r>
          <w:r>
            <w:rPr>
              <w:spacing w:val="-5"/>
            </w:rPr>
            <w:t>122</w:t>
          </w:r>
        </w:p>
        <w:p>
          <w:pPr>
            <w:pStyle w:val="TOC1"/>
            <w:numPr>
              <w:ilvl w:val="2"/>
              <w:numId w:val="4"/>
            </w:numPr>
            <w:tabs>
              <w:tab w:pos="877" w:val="left" w:leader="none"/>
              <w:tab w:pos="880" w:val="left" w:leader="none"/>
            </w:tabs>
            <w:spacing w:line="237" w:lineRule="auto" w:before="278" w:after="0"/>
            <w:ind w:left="880" w:right="2983" w:hanging="720"/>
            <w:jc w:val="left"/>
          </w:pPr>
          <w:r>
            <w:rPr/>
            <w:t>Responses</w:t>
          </w:r>
          <w:r>
            <w:rPr>
              <w:spacing w:val="-3"/>
            </w:rPr>
            <w:t> </w:t>
          </w:r>
          <w:r>
            <w:rPr/>
            <w:t>on</w:t>
          </w:r>
          <w:r>
            <w:rPr>
              <w:spacing w:val="-6"/>
            </w:rPr>
            <w:t> </w:t>
          </w:r>
          <w:r>
            <w:rPr/>
            <w:t>the</w:t>
          </w:r>
          <w:r>
            <w:rPr>
              <w:spacing w:val="-2"/>
            </w:rPr>
            <w:t> </w:t>
          </w:r>
          <w:r>
            <w:rPr/>
            <w:t>availability</w:t>
          </w:r>
          <w:r>
            <w:rPr>
              <w:spacing w:val="-8"/>
            </w:rPr>
            <w:t> </w:t>
          </w:r>
          <w:r>
            <w:rPr/>
            <w:t>and</w:t>
          </w:r>
          <w:r>
            <w:rPr>
              <w:spacing w:val="-6"/>
            </w:rPr>
            <w:t> </w:t>
          </w:r>
          <w:r>
            <w:rPr/>
            <w:t>degree</w:t>
          </w:r>
          <w:r>
            <w:rPr>
              <w:spacing w:val="-2"/>
            </w:rPr>
            <w:t> </w:t>
          </w:r>
          <w:r>
            <w:rPr/>
            <w:t>of</w:t>
          </w:r>
          <w:r>
            <w:rPr>
              <w:spacing w:val="-3"/>
            </w:rPr>
            <w:t> </w:t>
          </w:r>
          <w:r>
            <w:rPr/>
            <w:t>provision</w:t>
          </w:r>
          <w:r>
            <w:rPr>
              <w:spacing w:val="-2"/>
            </w:rPr>
            <w:t> </w:t>
          </w:r>
          <w:r>
            <w:rPr/>
            <w:t>of Environmental services to students in</w:t>
          </w:r>
          <w:r>
            <w:rPr>
              <w:spacing w:val="40"/>
            </w:rPr>
            <w:t> </w:t>
          </w:r>
          <w:r>
            <w:rPr/>
            <w:t>Universities in</w:t>
          </w:r>
        </w:p>
        <w:p>
          <w:pPr>
            <w:pStyle w:val="TOC4"/>
            <w:tabs>
              <w:tab w:pos="9201" w:val="right" w:leader="none"/>
            </w:tabs>
            <w:spacing w:before="3"/>
          </w:pPr>
          <w:r>
            <w:rPr/>
            <w:t>three</w:t>
          </w:r>
          <w:r>
            <w:rPr>
              <w:spacing w:val="-6"/>
            </w:rPr>
            <w:t> </w:t>
          </w:r>
          <w:r>
            <w:rPr/>
            <w:t>geopolitical</w:t>
          </w:r>
          <w:r>
            <w:rPr>
              <w:spacing w:val="-4"/>
            </w:rPr>
            <w:t> </w:t>
          </w:r>
          <w:r>
            <w:rPr/>
            <w:t>zones</w:t>
          </w:r>
          <w:r>
            <w:rPr>
              <w:spacing w:val="-11"/>
            </w:rPr>
            <w:t> </w:t>
          </w:r>
          <w:r>
            <w:rPr/>
            <w:t>in</w:t>
          </w:r>
          <w:r>
            <w:rPr>
              <w:spacing w:val="53"/>
            </w:rPr>
            <w:t> </w:t>
          </w:r>
          <w:r>
            <w:rPr/>
            <w:t>Northern</w:t>
          </w:r>
          <w:r>
            <w:rPr>
              <w:spacing w:val="-6"/>
            </w:rPr>
            <w:t> </w:t>
          </w:r>
          <w:r>
            <w:rPr/>
            <w:t>part</w:t>
          </w:r>
          <w:r>
            <w:rPr>
              <w:spacing w:val="-7"/>
            </w:rPr>
            <w:t> </w:t>
          </w:r>
          <w:r>
            <w:rPr/>
            <w:t>of</w:t>
          </w:r>
          <w:r>
            <w:rPr>
              <w:spacing w:val="-6"/>
            </w:rPr>
            <w:t> </w:t>
          </w:r>
          <w:r>
            <w:rPr/>
            <w:t>Nigeria</w:t>
          </w:r>
          <w:r>
            <w:rPr>
              <w:spacing w:val="-6"/>
            </w:rPr>
            <w:t> </w:t>
          </w:r>
          <w:r>
            <w:rPr>
              <w:spacing w:val="-2"/>
            </w:rPr>
            <w:t>…….……………</w:t>
          </w:r>
          <w:r>
            <w:rPr/>
            <w:tab/>
          </w:r>
          <w:r>
            <w:rPr>
              <w:spacing w:val="-5"/>
            </w:rPr>
            <w:t>127</w:t>
          </w:r>
        </w:p>
        <w:p>
          <w:pPr>
            <w:pStyle w:val="TOC1"/>
            <w:numPr>
              <w:ilvl w:val="1"/>
              <w:numId w:val="4"/>
            </w:numPr>
            <w:tabs>
              <w:tab w:pos="879" w:val="left" w:leader="none"/>
            </w:tabs>
            <w:spacing w:line="275" w:lineRule="exact" w:before="276" w:after="0"/>
            <w:ind w:left="879" w:right="0" w:hanging="719"/>
            <w:jc w:val="left"/>
          </w:pPr>
          <w:r>
            <w:rPr/>
            <w:t>Impact</w:t>
          </w:r>
          <w:r>
            <w:rPr>
              <w:spacing w:val="-8"/>
            </w:rPr>
            <w:t> </w:t>
          </w:r>
          <w:r>
            <w:rPr/>
            <w:t>of</w:t>
          </w:r>
          <w:r>
            <w:rPr>
              <w:spacing w:val="-8"/>
            </w:rPr>
            <w:t> </w:t>
          </w:r>
          <w:r>
            <w:rPr/>
            <w:t>services</w:t>
          </w:r>
          <w:r>
            <w:rPr>
              <w:spacing w:val="-8"/>
            </w:rPr>
            <w:t> </w:t>
          </w:r>
          <w:r>
            <w:rPr/>
            <w:t>on</w:t>
          </w:r>
          <w:r>
            <w:rPr>
              <w:spacing w:val="-8"/>
            </w:rPr>
            <w:t> </w:t>
          </w:r>
          <w:r>
            <w:rPr/>
            <w:t>students’</w:t>
          </w:r>
          <w:r>
            <w:rPr>
              <w:spacing w:val="-8"/>
            </w:rPr>
            <w:t> </w:t>
          </w:r>
          <w:r>
            <w:rPr/>
            <w:t>welfare</w:t>
          </w:r>
          <w:r>
            <w:rPr>
              <w:spacing w:val="-10"/>
            </w:rPr>
            <w:t> </w:t>
          </w:r>
          <w:r>
            <w:rPr/>
            <w:t>in</w:t>
          </w:r>
          <w:r>
            <w:rPr>
              <w:spacing w:val="-7"/>
            </w:rPr>
            <w:t> </w:t>
          </w:r>
          <w:r>
            <w:rPr/>
            <w:t>Universities</w:t>
          </w:r>
          <w:r>
            <w:rPr>
              <w:spacing w:val="-13"/>
            </w:rPr>
            <w:t> </w:t>
          </w:r>
          <w:r>
            <w:rPr>
              <w:spacing w:val="-5"/>
            </w:rPr>
            <w:t>in</w:t>
          </w:r>
        </w:p>
        <w:p>
          <w:pPr>
            <w:pStyle w:val="TOC4"/>
            <w:tabs>
              <w:tab w:pos="9201" w:val="right" w:leader="none"/>
            </w:tabs>
            <w:spacing w:line="275" w:lineRule="exact"/>
          </w:pPr>
          <w:r>
            <w:rPr/>
            <w:t>three</w:t>
          </w:r>
          <w:r>
            <w:rPr>
              <w:spacing w:val="-7"/>
            </w:rPr>
            <w:t> </w:t>
          </w:r>
          <w:r>
            <w:rPr/>
            <w:t>geopolitical</w:t>
          </w:r>
          <w:r>
            <w:rPr>
              <w:spacing w:val="-4"/>
            </w:rPr>
            <w:t> </w:t>
          </w:r>
          <w:r>
            <w:rPr/>
            <w:t>zones</w:t>
          </w:r>
          <w:r>
            <w:rPr>
              <w:spacing w:val="-12"/>
            </w:rPr>
            <w:t> </w:t>
          </w:r>
          <w:r>
            <w:rPr/>
            <w:t>in</w:t>
          </w:r>
          <w:r>
            <w:rPr>
              <w:spacing w:val="-6"/>
            </w:rPr>
            <w:t> </w:t>
          </w:r>
          <w:r>
            <w:rPr/>
            <w:t>Northern</w:t>
          </w:r>
          <w:r>
            <w:rPr>
              <w:spacing w:val="-7"/>
            </w:rPr>
            <w:t> </w:t>
          </w:r>
          <w:r>
            <w:rPr/>
            <w:t>part</w:t>
          </w:r>
          <w:r>
            <w:rPr>
              <w:spacing w:val="-7"/>
            </w:rPr>
            <w:t> </w:t>
          </w:r>
          <w:r>
            <w:rPr/>
            <w:t>of</w:t>
          </w:r>
          <w:r>
            <w:rPr>
              <w:spacing w:val="-8"/>
            </w:rPr>
            <w:t> </w:t>
          </w:r>
          <w:r>
            <w:rPr/>
            <w:t>Nigeria</w:t>
          </w:r>
          <w:r>
            <w:rPr>
              <w:spacing w:val="-6"/>
            </w:rPr>
            <w:t> </w:t>
          </w:r>
          <w:r>
            <w:rPr>
              <w:spacing w:val="-2"/>
            </w:rPr>
            <w:t>………..…………</w:t>
          </w:r>
          <w:r>
            <w:rPr/>
            <w:tab/>
          </w:r>
          <w:r>
            <w:rPr>
              <w:spacing w:val="-5"/>
            </w:rPr>
            <w:t>130</w:t>
          </w:r>
        </w:p>
        <w:p>
          <w:pPr>
            <w:pStyle w:val="TOC1"/>
            <w:numPr>
              <w:ilvl w:val="2"/>
              <w:numId w:val="4"/>
            </w:numPr>
            <w:tabs>
              <w:tab w:pos="877" w:val="left" w:leader="none"/>
            </w:tabs>
            <w:spacing w:line="240" w:lineRule="auto" w:before="276" w:after="240"/>
            <w:ind w:left="877" w:right="0" w:hanging="717"/>
            <w:jc w:val="left"/>
          </w:pPr>
          <w:r>
            <w:rPr/>
            <w:t>Impact</w:t>
          </w:r>
          <w:r>
            <w:rPr>
              <w:spacing w:val="-7"/>
            </w:rPr>
            <w:t> </w:t>
          </w:r>
          <w:r>
            <w:rPr/>
            <w:t>of</w:t>
          </w:r>
          <w:r>
            <w:rPr>
              <w:spacing w:val="-7"/>
            </w:rPr>
            <w:t> </w:t>
          </w:r>
          <w:r>
            <w:rPr/>
            <w:t>social</w:t>
          </w:r>
          <w:r>
            <w:rPr>
              <w:spacing w:val="-3"/>
            </w:rPr>
            <w:t> </w:t>
          </w:r>
          <w:r>
            <w:rPr/>
            <w:t>services</w:t>
          </w:r>
          <w:r>
            <w:rPr>
              <w:spacing w:val="-11"/>
            </w:rPr>
            <w:t> </w:t>
          </w:r>
          <w:r>
            <w:rPr/>
            <w:t>on</w:t>
          </w:r>
          <w:r>
            <w:rPr>
              <w:spacing w:val="-6"/>
            </w:rPr>
            <w:t> </w:t>
          </w:r>
          <w:r>
            <w:rPr/>
            <w:t>students’</w:t>
          </w:r>
          <w:r>
            <w:rPr>
              <w:spacing w:val="-7"/>
            </w:rPr>
            <w:t> </w:t>
          </w:r>
          <w:r>
            <w:rPr/>
            <w:t>welfare</w:t>
          </w:r>
          <w:r>
            <w:rPr>
              <w:spacing w:val="-9"/>
            </w:rPr>
            <w:t> </w:t>
          </w:r>
          <w:r>
            <w:rPr/>
            <w:t>services</w:t>
          </w:r>
          <w:r>
            <w:rPr>
              <w:spacing w:val="-11"/>
            </w:rPr>
            <w:t> </w:t>
          </w:r>
          <w:r>
            <w:rPr/>
            <w:t>in</w:t>
          </w:r>
          <w:r>
            <w:rPr>
              <w:spacing w:val="-2"/>
            </w:rPr>
            <w:t> </w:t>
          </w:r>
          <w:r>
            <w:rPr>
              <w:spacing w:val="-5"/>
            </w:rPr>
            <w:t>the</w:t>
          </w:r>
        </w:p>
        <w:p>
          <w:pPr>
            <w:pStyle w:val="TOC4"/>
            <w:tabs>
              <w:tab w:pos="8799" w:val="left" w:leader="none"/>
            </w:tabs>
            <w:spacing w:before="362"/>
          </w:pPr>
          <w:r>
            <w:rPr/>
            <w:t>Universities</w:t>
          </w:r>
          <w:r>
            <w:rPr>
              <w:spacing w:val="-15"/>
            </w:rPr>
            <w:t> </w:t>
          </w:r>
          <w:r>
            <w:rPr>
              <w:spacing w:val="-2"/>
            </w:rPr>
            <w:t>………………………………………………………..………</w:t>
          </w:r>
          <w:r>
            <w:rPr/>
            <w:tab/>
          </w:r>
          <w:r>
            <w:rPr>
              <w:spacing w:val="-5"/>
            </w:rPr>
            <w:t>130</w:t>
          </w:r>
        </w:p>
        <w:p>
          <w:pPr>
            <w:pStyle w:val="TOC1"/>
            <w:numPr>
              <w:ilvl w:val="3"/>
              <w:numId w:val="4"/>
            </w:numPr>
            <w:tabs>
              <w:tab w:pos="963" w:val="left" w:leader="none"/>
              <w:tab w:pos="8799" w:val="left" w:leader="none"/>
            </w:tabs>
            <w:spacing w:line="240" w:lineRule="auto" w:before="276" w:after="0"/>
            <w:ind w:left="963" w:right="0" w:hanging="803"/>
            <w:jc w:val="left"/>
          </w:pPr>
          <w:hyperlink w:history="true" w:anchor="_TOC_250012">
            <w:r>
              <w:rPr/>
              <w:t>Impact</w:t>
            </w:r>
            <w:r>
              <w:rPr>
                <w:spacing w:val="-8"/>
              </w:rPr>
              <w:t> </w:t>
            </w:r>
            <w:r>
              <w:rPr/>
              <w:t>of</w:t>
            </w:r>
            <w:r>
              <w:rPr>
                <w:spacing w:val="-7"/>
              </w:rPr>
              <w:t> </w:t>
            </w:r>
            <w:r>
              <w:rPr/>
              <w:t>feeding</w:t>
            </w:r>
            <w:r>
              <w:rPr>
                <w:spacing w:val="-7"/>
              </w:rPr>
              <w:t> </w:t>
            </w:r>
            <w:r>
              <w:rPr/>
              <w:t>on</w:t>
            </w:r>
            <w:r>
              <w:rPr>
                <w:spacing w:val="-6"/>
              </w:rPr>
              <w:t> </w:t>
            </w:r>
            <w:r>
              <w:rPr/>
              <w:t>students’</w:t>
            </w:r>
            <w:r>
              <w:rPr>
                <w:spacing w:val="-8"/>
              </w:rPr>
              <w:t> </w:t>
            </w:r>
            <w:r>
              <w:rPr>
                <w:spacing w:val="-2"/>
              </w:rPr>
              <w:t>welfare………………………………….</w:t>
            </w:r>
            <w:r>
              <w:rPr/>
              <w:tab/>
            </w:r>
            <w:r>
              <w:rPr>
                <w:spacing w:val="-5"/>
              </w:rPr>
              <w:t>131</w:t>
            </w:r>
          </w:hyperlink>
        </w:p>
        <w:p>
          <w:pPr>
            <w:pStyle w:val="TOC1"/>
            <w:numPr>
              <w:ilvl w:val="3"/>
              <w:numId w:val="4"/>
            </w:numPr>
            <w:tabs>
              <w:tab w:pos="880" w:val="left" w:leader="none"/>
              <w:tab w:pos="959" w:val="left" w:leader="none"/>
            </w:tabs>
            <w:spacing w:line="237" w:lineRule="auto" w:before="279" w:after="0"/>
            <w:ind w:left="880" w:right="2668" w:hanging="720"/>
            <w:jc w:val="left"/>
          </w:pPr>
          <w:r>
            <w:rPr/>
            <w:t>The</w:t>
          </w:r>
          <w:r>
            <w:rPr>
              <w:spacing w:val="-8"/>
            </w:rPr>
            <w:t> </w:t>
          </w:r>
          <w:r>
            <w:rPr/>
            <w:t>impact</w:t>
          </w:r>
          <w:r>
            <w:rPr>
              <w:spacing w:val="-6"/>
            </w:rPr>
            <w:t> </w:t>
          </w:r>
          <w:r>
            <w:rPr/>
            <w:t>of</w:t>
          </w:r>
          <w:r>
            <w:rPr>
              <w:spacing w:val="-6"/>
            </w:rPr>
            <w:t> </w:t>
          </w:r>
          <w:r>
            <w:rPr/>
            <w:t>Hostel</w:t>
          </w:r>
          <w:r>
            <w:rPr>
              <w:spacing w:val="-2"/>
            </w:rPr>
            <w:t> </w:t>
          </w:r>
          <w:r>
            <w:rPr/>
            <w:t>Accommodation</w:t>
          </w:r>
          <w:r>
            <w:rPr>
              <w:spacing w:val="-8"/>
            </w:rPr>
            <w:t> </w:t>
          </w:r>
          <w:r>
            <w:rPr/>
            <w:t>on</w:t>
          </w:r>
          <w:r>
            <w:rPr>
              <w:spacing w:val="-5"/>
            </w:rPr>
            <w:t> </w:t>
          </w:r>
          <w:r>
            <w:rPr/>
            <w:t>students’</w:t>
          </w:r>
          <w:r>
            <w:rPr>
              <w:spacing w:val="-6"/>
            </w:rPr>
            <w:t> </w:t>
          </w:r>
          <w:r>
            <w:rPr/>
            <w:t>welfare in Universities in</w:t>
          </w:r>
          <w:r>
            <w:rPr>
              <w:spacing w:val="40"/>
            </w:rPr>
            <w:t> </w:t>
          </w:r>
          <w:r>
            <w:rPr/>
            <w:t>three geopolitical zones in</w:t>
          </w:r>
        </w:p>
        <w:p>
          <w:pPr>
            <w:pStyle w:val="TOC4"/>
            <w:tabs>
              <w:tab w:pos="8799" w:val="left" w:leader="none"/>
            </w:tabs>
            <w:spacing w:before="3"/>
          </w:pPr>
          <w:hyperlink w:history="true" w:anchor="_TOC_250011">
            <w:r>
              <w:rPr/>
              <w:t>Northern</w:t>
            </w:r>
            <w:r>
              <w:rPr>
                <w:spacing w:val="-8"/>
              </w:rPr>
              <w:t> </w:t>
            </w:r>
            <w:r>
              <w:rPr/>
              <w:t>part</w:t>
            </w:r>
            <w:r>
              <w:rPr>
                <w:spacing w:val="-9"/>
              </w:rPr>
              <w:t> </w:t>
            </w:r>
            <w:r>
              <w:rPr/>
              <w:t>of</w:t>
            </w:r>
            <w:r>
              <w:rPr>
                <w:spacing w:val="-5"/>
              </w:rPr>
              <w:t> </w:t>
            </w:r>
            <w:r>
              <w:rPr/>
              <w:t>Nigeria</w:t>
            </w:r>
            <w:r>
              <w:rPr>
                <w:spacing w:val="-4"/>
              </w:rPr>
              <w:t> </w:t>
            </w:r>
            <w:r>
              <w:rPr>
                <w:spacing w:val="-2"/>
              </w:rPr>
              <w:t>……………………………………………….……</w:t>
            </w:r>
            <w:r>
              <w:rPr/>
              <w:tab/>
            </w:r>
            <w:r>
              <w:rPr>
                <w:spacing w:val="-5"/>
              </w:rPr>
              <w:t>135</w:t>
            </w:r>
          </w:hyperlink>
        </w:p>
        <w:p>
          <w:pPr>
            <w:pStyle w:val="TOC1"/>
            <w:numPr>
              <w:ilvl w:val="3"/>
              <w:numId w:val="4"/>
            </w:numPr>
            <w:tabs>
              <w:tab w:pos="959" w:val="left" w:leader="none"/>
              <w:tab w:pos="8799" w:val="left" w:leader="none"/>
            </w:tabs>
            <w:spacing w:line="240" w:lineRule="auto" w:before="276" w:after="0"/>
            <w:ind w:left="959" w:right="0" w:hanging="799"/>
            <w:jc w:val="left"/>
          </w:pPr>
          <w:r>
            <w:rPr/>
            <w:t>The</w:t>
          </w:r>
          <w:r>
            <w:rPr>
              <w:spacing w:val="-8"/>
            </w:rPr>
            <w:t> </w:t>
          </w:r>
          <w:r>
            <w:rPr/>
            <w:t>impact</w:t>
          </w:r>
          <w:r>
            <w:rPr>
              <w:spacing w:val="-4"/>
            </w:rPr>
            <w:t> </w:t>
          </w:r>
          <w:r>
            <w:rPr/>
            <w:t>of</w:t>
          </w:r>
          <w:r>
            <w:rPr>
              <w:spacing w:val="-4"/>
            </w:rPr>
            <w:t> </w:t>
          </w:r>
          <w:r>
            <w:rPr/>
            <w:t>Guidance</w:t>
          </w:r>
          <w:r>
            <w:rPr>
              <w:spacing w:val="-8"/>
            </w:rPr>
            <w:t> </w:t>
          </w:r>
          <w:r>
            <w:rPr/>
            <w:t>and</w:t>
          </w:r>
          <w:r>
            <w:rPr>
              <w:spacing w:val="-3"/>
            </w:rPr>
            <w:t> </w:t>
          </w:r>
          <w:r>
            <w:rPr>
              <w:spacing w:val="-2"/>
            </w:rPr>
            <w:t>Counselling………………………………</w:t>
          </w:r>
          <w:r>
            <w:rPr/>
            <w:tab/>
          </w:r>
          <w:r>
            <w:rPr>
              <w:spacing w:val="-5"/>
            </w:rPr>
            <w:t>139</w:t>
          </w:r>
        </w:p>
        <w:p>
          <w:pPr>
            <w:pStyle w:val="TOC1"/>
            <w:numPr>
              <w:ilvl w:val="3"/>
              <w:numId w:val="4"/>
            </w:numPr>
            <w:tabs>
              <w:tab w:pos="880" w:val="left" w:leader="none"/>
              <w:tab w:pos="959" w:val="left" w:leader="none"/>
            </w:tabs>
            <w:spacing w:line="237" w:lineRule="auto" w:before="278" w:after="0"/>
            <w:ind w:left="880" w:right="2489" w:hanging="720"/>
            <w:jc w:val="left"/>
          </w:pPr>
          <w:r>
            <w:rPr/>
            <w:t>The</w:t>
          </w:r>
          <w:r>
            <w:rPr>
              <w:spacing w:val="-7"/>
            </w:rPr>
            <w:t> </w:t>
          </w:r>
          <w:r>
            <w:rPr/>
            <w:t>impact</w:t>
          </w:r>
          <w:r>
            <w:rPr>
              <w:spacing w:val="-4"/>
            </w:rPr>
            <w:t> </w:t>
          </w:r>
          <w:r>
            <w:rPr/>
            <w:t>of</w:t>
          </w:r>
          <w:r>
            <w:rPr>
              <w:spacing w:val="-4"/>
            </w:rPr>
            <w:t> </w:t>
          </w:r>
          <w:r>
            <w:rPr/>
            <w:t>Sports</w:t>
          </w:r>
          <w:r>
            <w:rPr>
              <w:spacing w:val="-4"/>
            </w:rPr>
            <w:t> </w:t>
          </w:r>
          <w:r>
            <w:rPr/>
            <w:t>and</w:t>
          </w:r>
          <w:r>
            <w:rPr>
              <w:spacing w:val="-3"/>
            </w:rPr>
            <w:t> </w:t>
          </w:r>
          <w:r>
            <w:rPr/>
            <w:t>Recreation</w:t>
          </w:r>
          <w:r>
            <w:rPr>
              <w:spacing w:val="-3"/>
            </w:rPr>
            <w:t> </w:t>
          </w:r>
          <w:r>
            <w:rPr/>
            <w:t>on</w:t>
          </w:r>
          <w:r>
            <w:rPr>
              <w:spacing w:val="-3"/>
            </w:rPr>
            <w:t> </w:t>
          </w:r>
          <w:r>
            <w:rPr/>
            <w:t>students’</w:t>
          </w:r>
          <w:r>
            <w:rPr>
              <w:spacing w:val="-4"/>
            </w:rPr>
            <w:t> </w:t>
          </w:r>
          <w:r>
            <w:rPr/>
            <w:t>welfare</w:t>
          </w:r>
          <w:r>
            <w:rPr>
              <w:spacing w:val="-7"/>
            </w:rPr>
            <w:t> </w:t>
          </w:r>
          <w:r>
            <w:rPr/>
            <w:t>in Universities in three geopolitical zones in Northern</w:t>
          </w:r>
        </w:p>
        <w:p>
          <w:pPr>
            <w:pStyle w:val="TOC4"/>
            <w:tabs>
              <w:tab w:pos="8799" w:val="left" w:leader="none"/>
            </w:tabs>
            <w:spacing w:before="3"/>
          </w:pPr>
          <w:r>
            <w:rPr/>
            <w:t>part</w:t>
          </w:r>
          <w:r>
            <w:rPr>
              <w:spacing w:val="-5"/>
            </w:rPr>
            <w:t> </w:t>
          </w:r>
          <w:r>
            <w:rPr/>
            <w:t>of</w:t>
          </w:r>
          <w:r>
            <w:rPr>
              <w:spacing w:val="-4"/>
            </w:rPr>
            <w:t> </w:t>
          </w:r>
          <w:r>
            <w:rPr/>
            <w:t>Nigeria</w:t>
          </w:r>
          <w:r>
            <w:rPr>
              <w:spacing w:val="-3"/>
            </w:rPr>
            <w:t> </w:t>
          </w:r>
          <w:r>
            <w:rPr>
              <w:spacing w:val="-2"/>
            </w:rPr>
            <w:t>………….…………………………………………………...</w:t>
          </w:r>
          <w:r>
            <w:rPr/>
            <w:tab/>
          </w:r>
          <w:r>
            <w:rPr>
              <w:spacing w:val="-5"/>
            </w:rPr>
            <w:t>143</w:t>
          </w:r>
        </w:p>
        <w:p>
          <w:pPr>
            <w:pStyle w:val="TOC1"/>
            <w:numPr>
              <w:ilvl w:val="3"/>
              <w:numId w:val="4"/>
            </w:numPr>
            <w:tabs>
              <w:tab w:pos="880" w:val="left" w:leader="none"/>
              <w:tab w:pos="959" w:val="left" w:leader="none"/>
              <w:tab w:pos="8799" w:val="left" w:leader="none"/>
            </w:tabs>
            <w:spacing w:line="237" w:lineRule="auto" w:before="279" w:after="0"/>
            <w:ind w:left="880" w:right="615" w:hanging="720"/>
            <w:jc w:val="left"/>
          </w:pPr>
          <w:r>
            <w:rPr/>
            <w:t>The impact of Security and Communication services on students’ </w:t>
          </w:r>
          <w:r>
            <w:rPr>
              <w:spacing w:val="-2"/>
            </w:rPr>
            <w:t>Welfare……………………………………………………………………..</w:t>
          </w:r>
          <w:r>
            <w:rPr/>
            <w:tab/>
          </w:r>
          <w:r>
            <w:rPr>
              <w:spacing w:val="-4"/>
            </w:rPr>
            <w:t>148</w:t>
          </w:r>
        </w:p>
        <w:p>
          <w:pPr>
            <w:pStyle w:val="TOC2"/>
            <w:numPr>
              <w:ilvl w:val="3"/>
              <w:numId w:val="4"/>
            </w:numPr>
            <w:tabs>
              <w:tab w:pos="880" w:val="left" w:leader="none"/>
              <w:tab w:pos="1026" w:val="left" w:leader="none"/>
            </w:tabs>
            <w:spacing w:line="237" w:lineRule="auto" w:before="5" w:after="0"/>
            <w:ind w:left="880" w:right="2323" w:hanging="653"/>
            <w:jc w:val="left"/>
          </w:pPr>
          <w:r>
            <w:rPr/>
            <w:t>The</w:t>
          </w:r>
          <w:r>
            <w:rPr>
              <w:spacing w:val="-7"/>
            </w:rPr>
            <w:t> </w:t>
          </w:r>
          <w:r>
            <w:rPr/>
            <w:t>effects</w:t>
          </w:r>
          <w:r>
            <w:rPr>
              <w:spacing w:val="-4"/>
            </w:rPr>
            <w:t> </w:t>
          </w:r>
          <w:r>
            <w:rPr/>
            <w:t>of</w:t>
          </w:r>
          <w:r>
            <w:rPr>
              <w:spacing w:val="-8"/>
            </w:rPr>
            <w:t> </w:t>
          </w:r>
          <w:r>
            <w:rPr/>
            <w:t>Transportation</w:t>
          </w:r>
          <w:r>
            <w:rPr>
              <w:spacing w:val="-3"/>
            </w:rPr>
            <w:t> </w:t>
          </w:r>
          <w:r>
            <w:rPr/>
            <w:t>services</w:t>
          </w:r>
          <w:r>
            <w:rPr>
              <w:spacing w:val="-9"/>
            </w:rPr>
            <w:t> </w:t>
          </w:r>
          <w:r>
            <w:rPr/>
            <w:t>on</w:t>
          </w:r>
          <w:r>
            <w:rPr>
              <w:spacing w:val="-3"/>
            </w:rPr>
            <w:t> </w:t>
          </w:r>
          <w:r>
            <w:rPr/>
            <w:t>students’</w:t>
          </w:r>
          <w:r>
            <w:rPr>
              <w:spacing w:val="-4"/>
            </w:rPr>
            <w:t> </w:t>
          </w:r>
          <w:r>
            <w:rPr/>
            <w:t>welfare</w:t>
          </w:r>
          <w:r>
            <w:rPr>
              <w:spacing w:val="-7"/>
            </w:rPr>
            <w:t> </w:t>
          </w:r>
          <w:r>
            <w:rPr/>
            <w:t>in Universities in three geopolitical zones in</w:t>
          </w:r>
          <w:r>
            <w:rPr>
              <w:spacing w:val="40"/>
            </w:rPr>
            <w:t> </w:t>
          </w:r>
          <w:r>
            <w:rPr/>
            <w:t>Northern</w:t>
          </w:r>
        </w:p>
        <w:p>
          <w:pPr>
            <w:pStyle w:val="TOC4"/>
            <w:tabs>
              <w:tab w:pos="8799" w:val="left" w:leader="none"/>
            </w:tabs>
            <w:spacing w:before="4"/>
          </w:pPr>
          <w:r>
            <w:rPr/>
            <w:t>part</w:t>
          </w:r>
          <w:r>
            <w:rPr>
              <w:spacing w:val="-5"/>
            </w:rPr>
            <w:t> </w:t>
          </w:r>
          <w:r>
            <w:rPr/>
            <w:t>of</w:t>
          </w:r>
          <w:r>
            <w:rPr>
              <w:spacing w:val="-4"/>
            </w:rPr>
            <w:t> </w:t>
          </w:r>
          <w:r>
            <w:rPr/>
            <w:t>Nigeria</w:t>
          </w:r>
          <w:r>
            <w:rPr>
              <w:spacing w:val="-3"/>
            </w:rPr>
            <w:t> </w:t>
          </w:r>
          <w:r>
            <w:rPr>
              <w:spacing w:val="-2"/>
            </w:rPr>
            <w:t>…………….………………………………………………...</w:t>
          </w:r>
          <w:r>
            <w:rPr/>
            <w:tab/>
          </w:r>
          <w:r>
            <w:rPr>
              <w:spacing w:val="-5"/>
            </w:rPr>
            <w:t>151</w:t>
          </w:r>
        </w:p>
        <w:p>
          <w:pPr>
            <w:pStyle w:val="TOC1"/>
            <w:numPr>
              <w:ilvl w:val="3"/>
              <w:numId w:val="4"/>
            </w:numPr>
            <w:tabs>
              <w:tab w:pos="880" w:val="left" w:leader="none"/>
              <w:tab w:pos="959" w:val="left" w:leader="none"/>
            </w:tabs>
            <w:spacing w:line="237" w:lineRule="auto" w:before="278" w:after="0"/>
            <w:ind w:left="880" w:right="2907" w:hanging="720"/>
            <w:jc w:val="left"/>
          </w:pPr>
          <w:r>
            <w:rPr/>
            <w:t>The</w:t>
          </w:r>
          <w:r>
            <w:rPr>
              <w:spacing w:val="-7"/>
            </w:rPr>
            <w:t> </w:t>
          </w:r>
          <w:r>
            <w:rPr/>
            <w:t>impact</w:t>
          </w:r>
          <w:r>
            <w:rPr>
              <w:spacing w:val="-4"/>
            </w:rPr>
            <w:t> </w:t>
          </w:r>
          <w:r>
            <w:rPr/>
            <w:t>of</w:t>
          </w:r>
          <w:r>
            <w:rPr>
              <w:spacing w:val="-4"/>
            </w:rPr>
            <w:t> </w:t>
          </w:r>
          <w:r>
            <w:rPr/>
            <w:t>Religious</w:t>
          </w:r>
          <w:r>
            <w:rPr>
              <w:spacing w:val="-4"/>
            </w:rPr>
            <w:t> </w:t>
          </w:r>
          <w:r>
            <w:rPr/>
            <w:t>Services</w:t>
          </w:r>
          <w:r>
            <w:rPr>
              <w:spacing w:val="-9"/>
            </w:rPr>
            <w:t> </w:t>
          </w:r>
          <w:r>
            <w:rPr/>
            <w:t>on</w:t>
          </w:r>
          <w:r>
            <w:rPr>
              <w:spacing w:val="-3"/>
            </w:rPr>
            <w:t> </w:t>
          </w:r>
          <w:r>
            <w:rPr/>
            <w:t>students’</w:t>
          </w:r>
          <w:r>
            <w:rPr>
              <w:spacing w:val="-4"/>
            </w:rPr>
            <w:t> </w:t>
          </w:r>
          <w:r>
            <w:rPr/>
            <w:t>welfare</w:t>
          </w:r>
          <w:r>
            <w:rPr>
              <w:spacing w:val="-7"/>
            </w:rPr>
            <w:t> </w:t>
          </w:r>
          <w:r>
            <w:rPr/>
            <w:t>in Universities in</w:t>
          </w:r>
          <w:r>
            <w:rPr>
              <w:spacing w:val="40"/>
            </w:rPr>
            <w:t> </w:t>
          </w:r>
          <w:r>
            <w:rPr/>
            <w:t>three geopolitical zones in</w:t>
          </w:r>
        </w:p>
        <w:p>
          <w:pPr>
            <w:pStyle w:val="TOC4"/>
            <w:tabs>
              <w:tab w:pos="8799" w:val="left" w:leader="none"/>
            </w:tabs>
            <w:spacing w:before="3"/>
          </w:pPr>
          <w:r>
            <w:rPr/>
            <w:t>Northern</w:t>
          </w:r>
          <w:r>
            <w:rPr>
              <w:spacing w:val="-8"/>
            </w:rPr>
            <w:t> </w:t>
          </w:r>
          <w:r>
            <w:rPr/>
            <w:t>part</w:t>
          </w:r>
          <w:r>
            <w:rPr>
              <w:spacing w:val="-9"/>
            </w:rPr>
            <w:t> </w:t>
          </w:r>
          <w:r>
            <w:rPr/>
            <w:t>of</w:t>
          </w:r>
          <w:r>
            <w:rPr>
              <w:spacing w:val="-5"/>
            </w:rPr>
            <w:t> </w:t>
          </w:r>
          <w:r>
            <w:rPr/>
            <w:t>Nigeria</w:t>
          </w:r>
          <w:r>
            <w:rPr>
              <w:spacing w:val="-4"/>
            </w:rPr>
            <w:t> </w:t>
          </w:r>
          <w:r>
            <w:rPr>
              <w:spacing w:val="-2"/>
            </w:rPr>
            <w:t>…………………………………………………...</w:t>
          </w:r>
          <w:r>
            <w:rPr/>
            <w:tab/>
          </w:r>
          <w:r>
            <w:rPr>
              <w:spacing w:val="-5"/>
            </w:rPr>
            <w:t>154</w:t>
          </w:r>
        </w:p>
        <w:p>
          <w:pPr>
            <w:pStyle w:val="TOC1"/>
            <w:numPr>
              <w:ilvl w:val="3"/>
              <w:numId w:val="4"/>
            </w:numPr>
            <w:tabs>
              <w:tab w:pos="959" w:val="left" w:leader="none"/>
            </w:tabs>
            <w:spacing w:line="275" w:lineRule="exact" w:before="276" w:after="0"/>
            <w:ind w:left="959" w:right="0" w:hanging="799"/>
            <w:jc w:val="left"/>
          </w:pPr>
          <w:r>
            <w:rPr/>
            <w:t>The</w:t>
          </w:r>
          <w:r>
            <w:rPr>
              <w:spacing w:val="-11"/>
            </w:rPr>
            <w:t> </w:t>
          </w:r>
          <w:r>
            <w:rPr/>
            <w:t>impact</w:t>
          </w:r>
          <w:r>
            <w:rPr>
              <w:spacing w:val="-9"/>
            </w:rPr>
            <w:t> </w:t>
          </w:r>
          <w:r>
            <w:rPr/>
            <w:t>of</w:t>
          </w:r>
          <w:r>
            <w:rPr>
              <w:spacing w:val="-8"/>
            </w:rPr>
            <w:t> </w:t>
          </w:r>
          <w:r>
            <w:rPr/>
            <w:t>Banking</w:t>
          </w:r>
          <w:r>
            <w:rPr>
              <w:spacing w:val="-7"/>
            </w:rPr>
            <w:t> </w:t>
          </w:r>
          <w:r>
            <w:rPr/>
            <w:t>and</w:t>
          </w:r>
          <w:r>
            <w:rPr>
              <w:spacing w:val="-8"/>
            </w:rPr>
            <w:t> </w:t>
          </w:r>
          <w:r>
            <w:rPr/>
            <w:t>Telecommunication</w:t>
          </w:r>
          <w:r>
            <w:rPr>
              <w:spacing w:val="-7"/>
            </w:rPr>
            <w:t> </w:t>
          </w:r>
          <w:r>
            <w:rPr/>
            <w:t>services</w:t>
          </w:r>
          <w:r>
            <w:rPr>
              <w:spacing w:val="-8"/>
            </w:rPr>
            <w:t> </w:t>
          </w:r>
          <w:r>
            <w:rPr/>
            <w:t>on</w:t>
          </w:r>
          <w:r>
            <w:rPr>
              <w:spacing w:val="-8"/>
            </w:rPr>
            <w:t> </w:t>
          </w:r>
          <w:r>
            <w:rPr>
              <w:spacing w:val="-2"/>
            </w:rPr>
            <w:t>students’</w:t>
          </w:r>
        </w:p>
        <w:p>
          <w:pPr>
            <w:pStyle w:val="TOC4"/>
            <w:spacing w:line="275" w:lineRule="exact"/>
          </w:pPr>
          <w:r>
            <w:rPr/>
            <w:t>welfare</w:t>
          </w:r>
          <w:r>
            <w:rPr>
              <w:spacing w:val="-7"/>
            </w:rPr>
            <w:t> </w:t>
          </w:r>
          <w:r>
            <w:rPr/>
            <w:t>services</w:t>
          </w:r>
          <w:r>
            <w:rPr>
              <w:spacing w:val="-10"/>
            </w:rPr>
            <w:t> </w:t>
          </w:r>
          <w:r>
            <w:rPr/>
            <w:t>in</w:t>
          </w:r>
          <w:r>
            <w:rPr>
              <w:spacing w:val="-7"/>
            </w:rPr>
            <w:t> </w:t>
          </w:r>
          <w:r>
            <w:rPr/>
            <w:t>the</w:t>
          </w:r>
          <w:r>
            <w:rPr>
              <w:spacing w:val="-10"/>
            </w:rPr>
            <w:t> </w:t>
          </w:r>
          <w:r>
            <w:rPr/>
            <w:t>three</w:t>
          </w:r>
          <w:r>
            <w:rPr>
              <w:spacing w:val="-6"/>
            </w:rPr>
            <w:t> </w:t>
          </w:r>
          <w:r>
            <w:rPr/>
            <w:t>geopolitical</w:t>
          </w:r>
          <w:r>
            <w:rPr>
              <w:spacing w:val="-3"/>
            </w:rPr>
            <w:t> </w:t>
          </w:r>
          <w:r>
            <w:rPr/>
            <w:t>zones</w:t>
          </w:r>
          <w:r>
            <w:rPr>
              <w:spacing w:val="-8"/>
            </w:rPr>
            <w:t> </w:t>
          </w:r>
          <w:r>
            <w:rPr/>
            <w:t>in</w:t>
          </w:r>
          <w:r>
            <w:rPr>
              <w:spacing w:val="-6"/>
            </w:rPr>
            <w:t> </w:t>
          </w:r>
          <w:r>
            <w:rPr/>
            <w:t>Northern</w:t>
          </w:r>
          <w:r>
            <w:rPr>
              <w:spacing w:val="-6"/>
            </w:rPr>
            <w:t> </w:t>
          </w:r>
          <w:r>
            <w:rPr/>
            <w:t>part</w:t>
          </w:r>
          <w:r>
            <w:rPr>
              <w:spacing w:val="-7"/>
            </w:rPr>
            <w:t> </w:t>
          </w:r>
          <w:r>
            <w:rPr/>
            <w:t>of</w:t>
          </w:r>
          <w:r>
            <w:rPr>
              <w:spacing w:val="-8"/>
            </w:rPr>
            <w:t> </w:t>
          </w:r>
          <w:r>
            <w:rPr/>
            <w:t>Nigeria.</w:t>
          </w:r>
          <w:r>
            <w:rPr>
              <w:spacing w:val="-15"/>
            </w:rPr>
            <w:t> </w:t>
          </w:r>
          <w:r>
            <w:rPr>
              <w:spacing w:val="-5"/>
            </w:rPr>
            <w:t>154</w:t>
          </w:r>
        </w:p>
        <w:p>
          <w:pPr>
            <w:pStyle w:val="TOC1"/>
            <w:numPr>
              <w:ilvl w:val="2"/>
              <w:numId w:val="4"/>
            </w:numPr>
            <w:tabs>
              <w:tab w:pos="877" w:val="left" w:leader="none"/>
              <w:tab w:pos="880" w:val="left" w:leader="none"/>
            </w:tabs>
            <w:spacing w:line="242" w:lineRule="auto" w:before="276" w:after="0"/>
            <w:ind w:left="880" w:right="2486" w:hanging="720"/>
            <w:jc w:val="left"/>
          </w:pPr>
          <w:r>
            <w:rPr/>
            <w:t>Impact</w:t>
          </w:r>
          <w:r>
            <w:rPr>
              <w:spacing w:val="-5"/>
            </w:rPr>
            <w:t> </w:t>
          </w:r>
          <w:r>
            <w:rPr/>
            <w:t>of</w:t>
          </w:r>
          <w:r>
            <w:rPr>
              <w:spacing w:val="-5"/>
            </w:rPr>
            <w:t> </w:t>
          </w:r>
          <w:r>
            <w:rPr/>
            <w:t>Academic</w:t>
          </w:r>
          <w:r>
            <w:rPr>
              <w:spacing w:val="-5"/>
            </w:rPr>
            <w:t> </w:t>
          </w:r>
          <w:r>
            <w:rPr/>
            <w:t>services</w:t>
          </w:r>
          <w:r>
            <w:rPr>
              <w:spacing w:val="-5"/>
            </w:rPr>
            <w:t> </w:t>
          </w:r>
          <w:r>
            <w:rPr/>
            <w:t>on</w:t>
          </w:r>
          <w:r>
            <w:rPr>
              <w:spacing w:val="-4"/>
            </w:rPr>
            <w:t> </w:t>
          </w:r>
          <w:r>
            <w:rPr/>
            <w:t>students’</w:t>
          </w:r>
          <w:r>
            <w:rPr>
              <w:spacing w:val="-5"/>
            </w:rPr>
            <w:t> </w:t>
          </w:r>
          <w:r>
            <w:rPr/>
            <w:t>welfare</w:t>
          </w:r>
          <w:r>
            <w:rPr>
              <w:spacing w:val="-4"/>
            </w:rPr>
            <w:t> </w:t>
          </w:r>
          <w:r>
            <w:rPr/>
            <w:t>services</w:t>
          </w:r>
          <w:r>
            <w:rPr>
              <w:spacing w:val="-10"/>
            </w:rPr>
            <w:t> </w:t>
          </w:r>
          <w:r>
            <w:rPr/>
            <w:t>in Universities in three geopolitical zones in Northern</w:t>
          </w:r>
        </w:p>
        <w:p>
          <w:pPr>
            <w:pStyle w:val="TOC4"/>
            <w:tabs>
              <w:tab w:pos="8799" w:val="left" w:leader="none"/>
            </w:tabs>
            <w:spacing w:line="271" w:lineRule="exact"/>
          </w:pPr>
          <w:r>
            <w:rPr/>
            <w:t>part</w:t>
          </w:r>
          <w:r>
            <w:rPr>
              <w:spacing w:val="-5"/>
            </w:rPr>
            <w:t> </w:t>
          </w:r>
          <w:r>
            <w:rPr/>
            <w:t>of</w:t>
          </w:r>
          <w:r>
            <w:rPr>
              <w:spacing w:val="-4"/>
            </w:rPr>
            <w:t> </w:t>
          </w:r>
          <w:r>
            <w:rPr/>
            <w:t>Nigeria</w:t>
          </w:r>
          <w:r>
            <w:rPr>
              <w:spacing w:val="-2"/>
            </w:rPr>
            <w:t> …………………………………………………………….....</w:t>
          </w:r>
          <w:r>
            <w:rPr/>
            <w:tab/>
          </w:r>
          <w:r>
            <w:rPr>
              <w:spacing w:val="-5"/>
            </w:rPr>
            <w:t>162</w:t>
          </w:r>
        </w:p>
        <w:p>
          <w:pPr>
            <w:pStyle w:val="TOC1"/>
            <w:numPr>
              <w:ilvl w:val="3"/>
              <w:numId w:val="4"/>
            </w:numPr>
            <w:tabs>
              <w:tab w:pos="959" w:val="left" w:leader="none"/>
              <w:tab w:pos="8799" w:val="left" w:leader="none"/>
            </w:tabs>
            <w:spacing w:line="240" w:lineRule="auto" w:before="276" w:after="0"/>
            <w:ind w:left="959" w:right="0" w:hanging="799"/>
            <w:jc w:val="left"/>
          </w:pPr>
          <w:r>
            <w:rPr/>
            <w:t>The</w:t>
          </w:r>
          <w:r>
            <w:rPr>
              <w:spacing w:val="-10"/>
            </w:rPr>
            <w:t> </w:t>
          </w:r>
          <w:r>
            <w:rPr/>
            <w:t>impact</w:t>
          </w:r>
          <w:r>
            <w:rPr>
              <w:spacing w:val="-7"/>
            </w:rPr>
            <w:t> </w:t>
          </w:r>
          <w:r>
            <w:rPr/>
            <w:t>of</w:t>
          </w:r>
          <w:r>
            <w:rPr>
              <w:spacing w:val="-6"/>
            </w:rPr>
            <w:t> </w:t>
          </w:r>
          <w:r>
            <w:rPr/>
            <w:t>Library</w:t>
          </w:r>
          <w:r>
            <w:rPr>
              <w:spacing w:val="-7"/>
            </w:rPr>
            <w:t> </w:t>
          </w:r>
          <w:r>
            <w:rPr/>
            <w:t>services</w:t>
          </w:r>
          <w:r>
            <w:rPr>
              <w:spacing w:val="-11"/>
            </w:rPr>
            <w:t> </w:t>
          </w:r>
          <w:r>
            <w:rPr/>
            <w:t>on</w:t>
          </w:r>
          <w:r>
            <w:rPr>
              <w:spacing w:val="-6"/>
            </w:rPr>
            <w:t> </w:t>
          </w:r>
          <w:r>
            <w:rPr/>
            <w:t>students’</w:t>
          </w:r>
          <w:r>
            <w:rPr>
              <w:spacing w:val="-7"/>
            </w:rPr>
            <w:t> </w:t>
          </w:r>
          <w:r>
            <w:rPr>
              <w:spacing w:val="-2"/>
            </w:rPr>
            <w:t>welfare…………………..</w:t>
          </w:r>
          <w:r>
            <w:rPr/>
            <w:tab/>
          </w:r>
          <w:r>
            <w:rPr>
              <w:spacing w:val="-5"/>
            </w:rPr>
            <w:t>162</w:t>
          </w:r>
        </w:p>
        <w:p>
          <w:pPr>
            <w:pStyle w:val="TOC1"/>
            <w:numPr>
              <w:ilvl w:val="3"/>
              <w:numId w:val="4"/>
            </w:numPr>
            <w:tabs>
              <w:tab w:pos="963" w:val="left" w:leader="none"/>
            </w:tabs>
            <w:spacing w:line="240" w:lineRule="auto" w:before="276" w:after="0"/>
            <w:ind w:left="963" w:right="0" w:hanging="803"/>
            <w:jc w:val="left"/>
          </w:pPr>
          <w:r>
            <w:rPr/>
            <w:t>Impact</w:t>
          </w:r>
          <w:r>
            <w:rPr>
              <w:spacing w:val="-10"/>
            </w:rPr>
            <w:t> </w:t>
          </w:r>
          <w:r>
            <w:rPr/>
            <w:t>of</w:t>
          </w:r>
          <w:r>
            <w:rPr>
              <w:spacing w:val="-10"/>
            </w:rPr>
            <w:t> </w:t>
          </w:r>
          <w:r>
            <w:rPr/>
            <w:t>classrooms,</w:t>
          </w:r>
          <w:r>
            <w:rPr>
              <w:spacing w:val="-9"/>
            </w:rPr>
            <w:t> </w:t>
          </w:r>
          <w:r>
            <w:rPr/>
            <w:t>laboratories,</w:t>
          </w:r>
          <w:r>
            <w:rPr>
              <w:spacing w:val="-10"/>
            </w:rPr>
            <w:t> </w:t>
          </w:r>
          <w:r>
            <w:rPr/>
            <w:t>field</w:t>
          </w:r>
          <w:r>
            <w:rPr>
              <w:spacing w:val="-8"/>
            </w:rPr>
            <w:t> </w:t>
          </w:r>
          <w:r>
            <w:rPr/>
            <w:t>trips</w:t>
          </w:r>
          <w:r>
            <w:rPr>
              <w:spacing w:val="-10"/>
            </w:rPr>
            <w:t> </w:t>
          </w:r>
          <w:r>
            <w:rPr/>
            <w:t>and</w:t>
          </w:r>
          <w:r>
            <w:rPr>
              <w:spacing w:val="-9"/>
            </w:rPr>
            <w:t> </w:t>
          </w:r>
          <w:r>
            <w:rPr/>
            <w:t>workshops</w:t>
          </w:r>
          <w:r>
            <w:rPr>
              <w:spacing w:val="-9"/>
            </w:rPr>
            <w:t> </w:t>
          </w:r>
          <w:r>
            <w:rPr>
              <w:spacing w:val="-5"/>
            </w:rPr>
            <w:t>on</w:t>
          </w:r>
        </w:p>
        <w:p>
          <w:pPr>
            <w:pStyle w:val="TOC4"/>
            <w:tabs>
              <w:tab w:pos="8799" w:val="left" w:leader="none"/>
            </w:tabs>
            <w:spacing w:before="3"/>
          </w:pPr>
          <w:r>
            <w:rPr/>
            <w:t>students’</w:t>
          </w:r>
          <w:r>
            <w:rPr>
              <w:spacing w:val="-6"/>
            </w:rPr>
            <w:t> </w:t>
          </w:r>
          <w:r>
            <w:rPr>
              <w:spacing w:val="-2"/>
            </w:rPr>
            <w:t>welfare…………………………………………………………...</w:t>
          </w:r>
          <w:r>
            <w:rPr/>
            <w:tab/>
          </w:r>
          <w:r>
            <w:rPr>
              <w:spacing w:val="-5"/>
            </w:rPr>
            <w:t>165</w:t>
          </w:r>
        </w:p>
        <w:p>
          <w:pPr>
            <w:pStyle w:val="TOC1"/>
            <w:numPr>
              <w:ilvl w:val="3"/>
              <w:numId w:val="4"/>
            </w:numPr>
            <w:tabs>
              <w:tab w:pos="959" w:val="left" w:leader="none"/>
            </w:tabs>
            <w:spacing w:line="275" w:lineRule="exact" w:before="276" w:after="0"/>
            <w:ind w:left="959" w:right="0" w:hanging="799"/>
            <w:jc w:val="left"/>
          </w:pPr>
          <w:r>
            <w:rPr/>
            <w:t>The</w:t>
          </w:r>
          <w:r>
            <w:rPr>
              <w:spacing w:val="-11"/>
            </w:rPr>
            <w:t> </w:t>
          </w:r>
          <w:r>
            <w:rPr/>
            <w:t>impact</w:t>
          </w:r>
          <w:r>
            <w:rPr>
              <w:spacing w:val="-8"/>
            </w:rPr>
            <w:t> </w:t>
          </w:r>
          <w:r>
            <w:rPr/>
            <w:t>and</w:t>
          </w:r>
          <w:r>
            <w:rPr>
              <w:spacing w:val="-11"/>
            </w:rPr>
            <w:t> </w:t>
          </w:r>
          <w:r>
            <w:rPr/>
            <w:t>influence</w:t>
          </w:r>
          <w:r>
            <w:rPr>
              <w:spacing w:val="-7"/>
            </w:rPr>
            <w:t> </w:t>
          </w:r>
          <w:r>
            <w:rPr/>
            <w:t>of</w:t>
          </w:r>
          <w:r>
            <w:rPr>
              <w:spacing w:val="-11"/>
            </w:rPr>
            <w:t> </w:t>
          </w:r>
          <w:r>
            <w:rPr/>
            <w:t>information</w:t>
          </w:r>
          <w:r>
            <w:rPr>
              <w:spacing w:val="-7"/>
            </w:rPr>
            <w:t> </w:t>
          </w:r>
          <w:r>
            <w:rPr/>
            <w:t>Technology</w:t>
          </w:r>
          <w:r>
            <w:rPr>
              <w:spacing w:val="-8"/>
            </w:rPr>
            <w:t> </w:t>
          </w:r>
          <w:r>
            <w:rPr/>
            <w:t>services</w:t>
          </w:r>
          <w:r>
            <w:rPr>
              <w:spacing w:val="-8"/>
            </w:rPr>
            <w:t> </w:t>
          </w:r>
          <w:r>
            <w:rPr>
              <w:spacing w:val="-5"/>
            </w:rPr>
            <w:t>on</w:t>
          </w:r>
        </w:p>
        <w:p>
          <w:pPr>
            <w:pStyle w:val="TOC4"/>
            <w:tabs>
              <w:tab w:pos="8799" w:val="left" w:leader="none"/>
            </w:tabs>
            <w:spacing w:line="275" w:lineRule="exact"/>
            <w:ind w:left="899"/>
          </w:pPr>
          <w:r>
            <w:rPr/>
            <w:t>students’</w:t>
          </w:r>
          <w:r>
            <w:rPr>
              <w:spacing w:val="-12"/>
            </w:rPr>
            <w:t> </w:t>
          </w:r>
          <w:r>
            <w:rPr>
              <w:spacing w:val="-2"/>
            </w:rPr>
            <w:t>welfare………………………………………………………….</w:t>
          </w:r>
          <w:r>
            <w:rPr/>
            <w:tab/>
          </w:r>
          <w:r>
            <w:rPr>
              <w:spacing w:val="-5"/>
            </w:rPr>
            <w:t>168</w:t>
          </w:r>
        </w:p>
        <w:p>
          <w:pPr>
            <w:pStyle w:val="TOC1"/>
            <w:numPr>
              <w:ilvl w:val="2"/>
              <w:numId w:val="4"/>
            </w:numPr>
            <w:tabs>
              <w:tab w:pos="877" w:val="left" w:leader="none"/>
              <w:tab w:pos="880" w:val="left" w:leader="none"/>
            </w:tabs>
            <w:spacing w:line="242" w:lineRule="auto" w:before="276" w:after="0"/>
            <w:ind w:left="880" w:right="1745" w:hanging="720"/>
            <w:jc w:val="left"/>
          </w:pPr>
          <w:r>
            <w:rPr/>
            <w:t>The</w:t>
          </w:r>
          <w:r>
            <w:rPr>
              <w:spacing w:val="-7"/>
            </w:rPr>
            <w:t> </w:t>
          </w:r>
          <w:r>
            <w:rPr/>
            <w:t>impact</w:t>
          </w:r>
          <w:r>
            <w:rPr>
              <w:spacing w:val="-4"/>
            </w:rPr>
            <w:t> </w:t>
          </w:r>
          <w:r>
            <w:rPr/>
            <w:t>and</w:t>
          </w:r>
          <w:r>
            <w:rPr>
              <w:spacing w:val="-3"/>
            </w:rPr>
            <w:t> </w:t>
          </w:r>
          <w:r>
            <w:rPr/>
            <w:t>influence</w:t>
          </w:r>
          <w:r>
            <w:rPr>
              <w:spacing w:val="-7"/>
            </w:rPr>
            <w:t> </w:t>
          </w:r>
          <w:r>
            <w:rPr/>
            <w:t>of</w:t>
          </w:r>
          <w:r>
            <w:rPr>
              <w:spacing w:val="-4"/>
            </w:rPr>
            <w:t> </w:t>
          </w:r>
          <w:r>
            <w:rPr/>
            <w:t>Medical or</w:t>
          </w:r>
          <w:r>
            <w:rPr>
              <w:spacing w:val="-2"/>
            </w:rPr>
            <w:t> </w:t>
          </w:r>
          <w:r>
            <w:rPr/>
            <w:t>Health</w:t>
          </w:r>
          <w:r>
            <w:rPr>
              <w:spacing w:val="-7"/>
            </w:rPr>
            <w:t> </w:t>
          </w:r>
          <w:r>
            <w:rPr/>
            <w:t>services</w:t>
          </w:r>
          <w:r>
            <w:rPr>
              <w:spacing w:val="-4"/>
            </w:rPr>
            <w:t> </w:t>
          </w:r>
          <w:r>
            <w:rPr/>
            <w:t>on</w:t>
          </w:r>
          <w:r>
            <w:rPr>
              <w:spacing w:val="-3"/>
            </w:rPr>
            <w:t> </w:t>
          </w:r>
          <w:r>
            <w:rPr/>
            <w:t>students’ welfare in Universities in three geopolitical zones in</w:t>
          </w:r>
        </w:p>
        <w:p>
          <w:pPr>
            <w:pStyle w:val="TOC4"/>
            <w:tabs>
              <w:tab w:pos="8799" w:val="left" w:leader="none"/>
            </w:tabs>
            <w:spacing w:line="271" w:lineRule="exact"/>
          </w:pPr>
          <w:r>
            <w:rPr/>
            <w:t>Northern</w:t>
          </w:r>
          <w:r>
            <w:rPr>
              <w:spacing w:val="-8"/>
            </w:rPr>
            <w:t> </w:t>
          </w:r>
          <w:r>
            <w:rPr/>
            <w:t>part</w:t>
          </w:r>
          <w:r>
            <w:rPr>
              <w:spacing w:val="-9"/>
            </w:rPr>
            <w:t> </w:t>
          </w:r>
          <w:r>
            <w:rPr/>
            <w:t>of</w:t>
          </w:r>
          <w:r>
            <w:rPr>
              <w:spacing w:val="-5"/>
            </w:rPr>
            <w:t> </w:t>
          </w:r>
          <w:r>
            <w:rPr/>
            <w:t>Nigeria</w:t>
          </w:r>
          <w:r>
            <w:rPr>
              <w:spacing w:val="-4"/>
            </w:rPr>
            <w:t> </w:t>
          </w:r>
          <w:r>
            <w:rPr>
              <w:spacing w:val="-2"/>
            </w:rPr>
            <w:t>…………………………………………………..</w:t>
          </w:r>
          <w:r>
            <w:rPr/>
            <w:tab/>
          </w:r>
          <w:r>
            <w:rPr>
              <w:spacing w:val="-5"/>
            </w:rPr>
            <w:t>171</w:t>
          </w:r>
        </w:p>
        <w:p>
          <w:pPr>
            <w:pStyle w:val="TOC1"/>
            <w:numPr>
              <w:ilvl w:val="2"/>
              <w:numId w:val="4"/>
            </w:numPr>
            <w:tabs>
              <w:tab w:pos="877" w:val="left" w:leader="none"/>
              <w:tab w:pos="880" w:val="left" w:leader="none"/>
            </w:tabs>
            <w:spacing w:line="242" w:lineRule="auto" w:before="276" w:after="0"/>
            <w:ind w:left="880" w:right="2081" w:hanging="720"/>
            <w:jc w:val="left"/>
          </w:pPr>
          <w:r>
            <w:rPr/>
            <w:t>The</w:t>
          </w:r>
          <w:r>
            <w:rPr>
              <w:spacing w:val="-7"/>
            </w:rPr>
            <w:t> </w:t>
          </w:r>
          <w:r>
            <w:rPr/>
            <w:t>impact</w:t>
          </w:r>
          <w:r>
            <w:rPr>
              <w:spacing w:val="-4"/>
            </w:rPr>
            <w:t> </w:t>
          </w:r>
          <w:r>
            <w:rPr/>
            <w:t>and</w:t>
          </w:r>
          <w:r>
            <w:rPr>
              <w:spacing w:val="-3"/>
            </w:rPr>
            <w:t> </w:t>
          </w:r>
          <w:r>
            <w:rPr/>
            <w:t>influence</w:t>
          </w:r>
          <w:r>
            <w:rPr>
              <w:spacing w:val="-7"/>
            </w:rPr>
            <w:t> </w:t>
          </w:r>
          <w:r>
            <w:rPr/>
            <w:t>of</w:t>
          </w:r>
          <w:r>
            <w:rPr>
              <w:spacing w:val="-4"/>
            </w:rPr>
            <w:t> </w:t>
          </w:r>
          <w:r>
            <w:rPr/>
            <w:t>Environmental</w:t>
          </w:r>
          <w:r>
            <w:rPr>
              <w:spacing w:val="-4"/>
            </w:rPr>
            <w:t> </w:t>
          </w:r>
          <w:r>
            <w:rPr/>
            <w:t>services</w:t>
          </w:r>
          <w:r>
            <w:rPr>
              <w:spacing w:val="-9"/>
            </w:rPr>
            <w:t> </w:t>
          </w:r>
          <w:r>
            <w:rPr/>
            <w:t>on</w:t>
          </w:r>
          <w:r>
            <w:rPr>
              <w:spacing w:val="-3"/>
            </w:rPr>
            <w:t> </w:t>
          </w:r>
          <w:r>
            <w:rPr/>
            <w:t>students’ welfare in Universities in three geopolitical zones in</w:t>
          </w:r>
        </w:p>
        <w:p>
          <w:pPr>
            <w:pStyle w:val="TOC4"/>
            <w:tabs>
              <w:tab w:pos="8799" w:val="left" w:leader="none"/>
            </w:tabs>
            <w:spacing w:line="271" w:lineRule="exact" w:after="240"/>
          </w:pPr>
          <w:r>
            <w:rPr/>
            <w:t>Northern</w:t>
          </w:r>
          <w:r>
            <w:rPr>
              <w:spacing w:val="-8"/>
            </w:rPr>
            <w:t> </w:t>
          </w:r>
          <w:r>
            <w:rPr/>
            <w:t>part</w:t>
          </w:r>
          <w:r>
            <w:rPr>
              <w:spacing w:val="-9"/>
            </w:rPr>
            <w:t> </w:t>
          </w:r>
          <w:r>
            <w:rPr/>
            <w:t>of</w:t>
          </w:r>
          <w:r>
            <w:rPr>
              <w:spacing w:val="-5"/>
            </w:rPr>
            <w:t> </w:t>
          </w:r>
          <w:r>
            <w:rPr/>
            <w:t>Nigeria</w:t>
          </w:r>
          <w:r>
            <w:rPr>
              <w:spacing w:val="-4"/>
            </w:rPr>
            <w:t> </w:t>
          </w:r>
          <w:r>
            <w:rPr>
              <w:spacing w:val="-2"/>
            </w:rPr>
            <w:t>………………………………………………….</w:t>
          </w:r>
          <w:r>
            <w:rPr/>
            <w:tab/>
          </w:r>
          <w:r>
            <w:rPr>
              <w:spacing w:val="-5"/>
            </w:rPr>
            <w:t>175</w:t>
          </w:r>
        </w:p>
        <w:p>
          <w:pPr>
            <w:pStyle w:val="TOC1"/>
            <w:numPr>
              <w:ilvl w:val="1"/>
              <w:numId w:val="4"/>
            </w:numPr>
            <w:tabs>
              <w:tab w:pos="880" w:val="left" w:leader="none"/>
            </w:tabs>
            <w:spacing w:line="242" w:lineRule="auto" w:before="636" w:after="0"/>
            <w:ind w:left="880" w:right="2689" w:hanging="720"/>
            <w:jc w:val="left"/>
          </w:pPr>
          <w:r>
            <w:rPr/>
            <w:t>Strategies</w:t>
          </w:r>
          <w:r>
            <w:rPr>
              <w:spacing w:val="-5"/>
            </w:rPr>
            <w:t> </w:t>
          </w:r>
          <w:r>
            <w:rPr/>
            <w:t>for</w:t>
          </w:r>
          <w:r>
            <w:rPr>
              <w:spacing w:val="-3"/>
            </w:rPr>
            <w:t> </w:t>
          </w:r>
          <w:r>
            <w:rPr/>
            <w:t>effective</w:t>
          </w:r>
          <w:r>
            <w:rPr>
              <w:spacing w:val="-4"/>
            </w:rPr>
            <w:t> </w:t>
          </w:r>
          <w:r>
            <w:rPr/>
            <w:t>Management</w:t>
          </w:r>
          <w:r>
            <w:rPr>
              <w:spacing w:val="-5"/>
            </w:rPr>
            <w:t> </w:t>
          </w:r>
          <w:r>
            <w:rPr/>
            <w:t>of</w:t>
          </w:r>
          <w:r>
            <w:rPr>
              <w:spacing w:val="-5"/>
            </w:rPr>
            <w:t> </w:t>
          </w:r>
          <w:r>
            <w:rPr/>
            <w:t>students’</w:t>
          </w:r>
          <w:r>
            <w:rPr>
              <w:spacing w:val="-5"/>
            </w:rPr>
            <w:t> </w:t>
          </w:r>
          <w:r>
            <w:rPr/>
            <w:t>welfare</w:t>
          </w:r>
          <w:r>
            <w:rPr>
              <w:spacing w:val="-8"/>
            </w:rPr>
            <w:t> </w:t>
          </w:r>
          <w:r>
            <w:rPr/>
            <w:t>in Universities in three geopolitical zones in Northern part</w:t>
          </w:r>
        </w:p>
        <w:p>
          <w:pPr>
            <w:pStyle w:val="TOC4"/>
            <w:tabs>
              <w:tab w:pos="8799" w:val="left" w:leader="none"/>
            </w:tabs>
            <w:spacing w:line="271" w:lineRule="exact"/>
          </w:pPr>
          <w:r>
            <w:rPr/>
            <w:t>of</w:t>
          </w:r>
          <w:r>
            <w:rPr>
              <w:spacing w:val="-4"/>
            </w:rPr>
            <w:t> </w:t>
          </w:r>
          <w:r>
            <w:rPr/>
            <w:t>Nigeria</w:t>
          </w:r>
          <w:r>
            <w:rPr>
              <w:spacing w:val="-3"/>
            </w:rPr>
            <w:t> </w:t>
          </w:r>
          <w:r>
            <w:rPr>
              <w:spacing w:val="-2"/>
            </w:rPr>
            <w:t>……………….…………………………………………………...</w:t>
          </w:r>
          <w:r>
            <w:rPr/>
            <w:tab/>
          </w:r>
          <w:r>
            <w:rPr>
              <w:spacing w:val="-5"/>
            </w:rPr>
            <w:t>178</w:t>
          </w:r>
        </w:p>
        <w:p>
          <w:pPr>
            <w:pStyle w:val="TOC1"/>
            <w:numPr>
              <w:ilvl w:val="1"/>
              <w:numId w:val="4"/>
            </w:numPr>
            <w:tabs>
              <w:tab w:pos="879" w:val="left" w:leader="none"/>
              <w:tab w:pos="8799" w:val="left" w:leader="none"/>
            </w:tabs>
            <w:spacing w:line="240" w:lineRule="auto" w:before="276" w:after="0"/>
            <w:ind w:left="879" w:right="0" w:hanging="719"/>
            <w:jc w:val="left"/>
          </w:pPr>
          <w:r>
            <w:rPr/>
            <w:t>Hypotheses</w:t>
          </w:r>
          <w:r>
            <w:rPr>
              <w:spacing w:val="-16"/>
            </w:rPr>
            <w:t> </w:t>
          </w:r>
          <w:r>
            <w:rPr>
              <w:spacing w:val="-2"/>
            </w:rPr>
            <w:t>Testing……………………………………………………….</w:t>
          </w:r>
          <w:r>
            <w:rPr/>
            <w:tab/>
          </w:r>
          <w:r>
            <w:rPr>
              <w:spacing w:val="-5"/>
            </w:rPr>
            <w:t>184</w:t>
          </w:r>
        </w:p>
        <w:p>
          <w:pPr>
            <w:pStyle w:val="TOC1"/>
            <w:numPr>
              <w:ilvl w:val="2"/>
              <w:numId w:val="4"/>
            </w:numPr>
            <w:tabs>
              <w:tab w:pos="877" w:val="left" w:leader="none"/>
              <w:tab w:pos="8799" w:val="left" w:leader="none"/>
            </w:tabs>
            <w:spacing w:line="240" w:lineRule="auto" w:before="276" w:after="0"/>
            <w:ind w:left="877" w:right="0" w:hanging="717"/>
            <w:jc w:val="left"/>
          </w:pPr>
          <w:r>
            <w:rPr/>
            <w:t>Null</w:t>
          </w:r>
          <w:r>
            <w:rPr>
              <w:spacing w:val="-9"/>
            </w:rPr>
            <w:t> </w:t>
          </w:r>
          <w:r>
            <w:rPr/>
            <w:t>Hypothesis</w:t>
          </w:r>
          <w:r>
            <w:rPr>
              <w:spacing w:val="-10"/>
            </w:rPr>
            <w:t> </w:t>
          </w:r>
          <w:r>
            <w:rPr>
              <w:spacing w:val="-2"/>
            </w:rPr>
            <w:t>1………………………………………………………….</w:t>
          </w:r>
          <w:r>
            <w:rPr/>
            <w:tab/>
          </w:r>
          <w:r>
            <w:rPr>
              <w:spacing w:val="-5"/>
            </w:rPr>
            <w:t>185</w:t>
          </w:r>
        </w:p>
        <w:p>
          <w:pPr>
            <w:pStyle w:val="TOC1"/>
            <w:numPr>
              <w:ilvl w:val="2"/>
              <w:numId w:val="4"/>
            </w:numPr>
            <w:tabs>
              <w:tab w:pos="877" w:val="left" w:leader="none"/>
              <w:tab w:pos="8799" w:val="left" w:leader="none"/>
            </w:tabs>
            <w:spacing w:line="240" w:lineRule="auto" w:before="276" w:after="0"/>
            <w:ind w:left="877" w:right="0" w:hanging="717"/>
            <w:jc w:val="left"/>
          </w:pPr>
          <w:r>
            <w:rPr/>
            <w:t>Null</w:t>
          </w:r>
          <w:r>
            <w:rPr>
              <w:spacing w:val="-9"/>
            </w:rPr>
            <w:t> </w:t>
          </w:r>
          <w:r>
            <w:rPr/>
            <w:t>Hypothesis</w:t>
          </w:r>
          <w:r>
            <w:rPr>
              <w:spacing w:val="-10"/>
            </w:rPr>
            <w:t> </w:t>
          </w:r>
          <w:r>
            <w:rPr>
              <w:spacing w:val="-2"/>
            </w:rPr>
            <w:t>2………………………………………………………….</w:t>
          </w:r>
          <w:r>
            <w:rPr/>
            <w:tab/>
          </w:r>
          <w:r>
            <w:rPr>
              <w:spacing w:val="-5"/>
            </w:rPr>
            <w:t>187</w:t>
          </w:r>
        </w:p>
        <w:p>
          <w:pPr>
            <w:pStyle w:val="TOC1"/>
            <w:numPr>
              <w:ilvl w:val="2"/>
              <w:numId w:val="4"/>
            </w:numPr>
            <w:tabs>
              <w:tab w:pos="877" w:val="left" w:leader="none"/>
              <w:tab w:pos="8799" w:val="left" w:leader="none"/>
            </w:tabs>
            <w:spacing w:line="240" w:lineRule="auto" w:before="276" w:after="0"/>
            <w:ind w:left="877" w:right="0" w:hanging="717"/>
            <w:jc w:val="left"/>
          </w:pPr>
          <w:r>
            <w:rPr/>
            <w:t>Null</w:t>
          </w:r>
          <w:r>
            <w:rPr>
              <w:spacing w:val="-9"/>
            </w:rPr>
            <w:t> </w:t>
          </w:r>
          <w:r>
            <w:rPr/>
            <w:t>Hypothesis</w:t>
          </w:r>
          <w:r>
            <w:rPr>
              <w:spacing w:val="-10"/>
            </w:rPr>
            <w:t> </w:t>
          </w:r>
          <w:r>
            <w:rPr>
              <w:spacing w:val="-2"/>
            </w:rPr>
            <w:t>3………………………………………………………….</w:t>
          </w:r>
          <w:r>
            <w:rPr/>
            <w:tab/>
          </w:r>
          <w:r>
            <w:rPr>
              <w:spacing w:val="-5"/>
            </w:rPr>
            <w:t>188</w:t>
          </w:r>
        </w:p>
        <w:p>
          <w:pPr>
            <w:pStyle w:val="TOC1"/>
            <w:numPr>
              <w:ilvl w:val="2"/>
              <w:numId w:val="4"/>
            </w:numPr>
            <w:tabs>
              <w:tab w:pos="877" w:val="left" w:leader="none"/>
              <w:tab w:pos="8799" w:val="left" w:leader="none"/>
            </w:tabs>
            <w:spacing w:line="240" w:lineRule="auto" w:before="276" w:after="0"/>
            <w:ind w:left="877" w:right="0" w:hanging="717"/>
            <w:jc w:val="left"/>
          </w:pPr>
          <w:r>
            <w:rPr/>
            <w:t>Null</w:t>
          </w:r>
          <w:r>
            <w:rPr>
              <w:spacing w:val="-9"/>
            </w:rPr>
            <w:t> </w:t>
          </w:r>
          <w:r>
            <w:rPr/>
            <w:t>Hypothesis</w:t>
          </w:r>
          <w:r>
            <w:rPr>
              <w:spacing w:val="-10"/>
            </w:rPr>
            <w:t> </w:t>
          </w:r>
          <w:r>
            <w:rPr>
              <w:spacing w:val="-2"/>
            </w:rPr>
            <w:t>4………………………………………………………….</w:t>
          </w:r>
          <w:r>
            <w:rPr/>
            <w:tab/>
          </w:r>
          <w:r>
            <w:rPr>
              <w:spacing w:val="-5"/>
            </w:rPr>
            <w:t>190</w:t>
          </w:r>
        </w:p>
        <w:p>
          <w:pPr>
            <w:pStyle w:val="TOC1"/>
            <w:numPr>
              <w:ilvl w:val="2"/>
              <w:numId w:val="4"/>
            </w:numPr>
            <w:tabs>
              <w:tab w:pos="877" w:val="left" w:leader="none"/>
              <w:tab w:pos="8799" w:val="left" w:leader="none"/>
            </w:tabs>
            <w:spacing w:line="240" w:lineRule="auto" w:before="276" w:after="0"/>
            <w:ind w:left="877" w:right="0" w:hanging="717"/>
            <w:jc w:val="left"/>
          </w:pPr>
          <w:r>
            <w:rPr/>
            <w:t>Null</w:t>
          </w:r>
          <w:r>
            <w:rPr>
              <w:spacing w:val="-9"/>
            </w:rPr>
            <w:t> </w:t>
          </w:r>
          <w:r>
            <w:rPr/>
            <w:t>Hypothesis</w:t>
          </w:r>
          <w:r>
            <w:rPr>
              <w:spacing w:val="-10"/>
            </w:rPr>
            <w:t> </w:t>
          </w:r>
          <w:r>
            <w:rPr>
              <w:spacing w:val="-2"/>
            </w:rPr>
            <w:t>5………………………………………………………….</w:t>
          </w:r>
          <w:r>
            <w:rPr/>
            <w:tab/>
          </w:r>
          <w:r>
            <w:rPr>
              <w:spacing w:val="-5"/>
            </w:rPr>
            <w:t>192</w:t>
          </w:r>
        </w:p>
        <w:p>
          <w:pPr>
            <w:pStyle w:val="TOC1"/>
            <w:numPr>
              <w:ilvl w:val="2"/>
              <w:numId w:val="4"/>
            </w:numPr>
            <w:tabs>
              <w:tab w:pos="877" w:val="left" w:leader="none"/>
              <w:tab w:pos="8799" w:val="left" w:leader="none"/>
            </w:tabs>
            <w:spacing w:line="240" w:lineRule="auto" w:before="276" w:after="0"/>
            <w:ind w:left="877" w:right="0" w:hanging="717"/>
            <w:jc w:val="left"/>
          </w:pPr>
          <w:r>
            <w:rPr/>
            <w:t>Null</w:t>
          </w:r>
          <w:r>
            <w:rPr>
              <w:spacing w:val="-9"/>
            </w:rPr>
            <w:t> </w:t>
          </w:r>
          <w:r>
            <w:rPr/>
            <w:t>Hypothesis</w:t>
          </w:r>
          <w:r>
            <w:rPr>
              <w:spacing w:val="-10"/>
            </w:rPr>
            <w:t> </w:t>
          </w:r>
          <w:r>
            <w:rPr>
              <w:spacing w:val="-2"/>
            </w:rPr>
            <w:t>6………………………………………………………….</w:t>
          </w:r>
          <w:r>
            <w:rPr/>
            <w:tab/>
          </w:r>
          <w:r>
            <w:rPr>
              <w:spacing w:val="-5"/>
            </w:rPr>
            <w:t>194</w:t>
          </w:r>
        </w:p>
        <w:p>
          <w:pPr>
            <w:pStyle w:val="TOC1"/>
            <w:numPr>
              <w:ilvl w:val="2"/>
              <w:numId w:val="4"/>
            </w:numPr>
            <w:tabs>
              <w:tab w:pos="877" w:val="left" w:leader="none"/>
              <w:tab w:pos="8799" w:val="left" w:leader="none"/>
            </w:tabs>
            <w:spacing w:line="240" w:lineRule="auto" w:before="276" w:after="0"/>
            <w:ind w:left="877" w:right="0" w:hanging="717"/>
            <w:jc w:val="left"/>
          </w:pPr>
          <w:r>
            <w:rPr/>
            <w:t>Null</w:t>
          </w:r>
          <w:r>
            <w:rPr>
              <w:spacing w:val="-9"/>
            </w:rPr>
            <w:t> </w:t>
          </w:r>
          <w:r>
            <w:rPr/>
            <w:t>Hypothesis</w:t>
          </w:r>
          <w:r>
            <w:rPr>
              <w:spacing w:val="-10"/>
            </w:rPr>
            <w:t> </w:t>
          </w:r>
          <w:r>
            <w:rPr>
              <w:spacing w:val="-2"/>
            </w:rPr>
            <w:t>7………………………………………………………….</w:t>
          </w:r>
          <w:r>
            <w:rPr/>
            <w:tab/>
          </w:r>
          <w:r>
            <w:rPr>
              <w:spacing w:val="-5"/>
            </w:rPr>
            <w:t>196</w:t>
          </w:r>
        </w:p>
        <w:p>
          <w:pPr>
            <w:pStyle w:val="TOC1"/>
            <w:numPr>
              <w:ilvl w:val="2"/>
              <w:numId w:val="4"/>
            </w:numPr>
            <w:tabs>
              <w:tab w:pos="877" w:val="left" w:leader="none"/>
              <w:tab w:pos="8799" w:val="left" w:leader="none"/>
            </w:tabs>
            <w:spacing w:line="240" w:lineRule="auto" w:before="276" w:after="0"/>
            <w:ind w:left="877" w:right="0" w:hanging="717"/>
            <w:jc w:val="left"/>
          </w:pPr>
          <w:r>
            <w:rPr/>
            <w:t>Null</w:t>
          </w:r>
          <w:r>
            <w:rPr>
              <w:spacing w:val="-9"/>
            </w:rPr>
            <w:t> </w:t>
          </w:r>
          <w:r>
            <w:rPr/>
            <w:t>Hypothesis</w:t>
          </w:r>
          <w:r>
            <w:rPr>
              <w:spacing w:val="-10"/>
            </w:rPr>
            <w:t> </w:t>
          </w:r>
          <w:r>
            <w:rPr>
              <w:spacing w:val="-2"/>
            </w:rPr>
            <w:t>8………………………………………………………….</w:t>
          </w:r>
          <w:r>
            <w:rPr/>
            <w:tab/>
          </w:r>
          <w:r>
            <w:rPr>
              <w:spacing w:val="-5"/>
            </w:rPr>
            <w:t>199</w:t>
          </w:r>
        </w:p>
        <w:p>
          <w:pPr>
            <w:pStyle w:val="TOC1"/>
            <w:numPr>
              <w:ilvl w:val="2"/>
              <w:numId w:val="4"/>
            </w:numPr>
            <w:tabs>
              <w:tab w:pos="877" w:val="left" w:leader="none"/>
              <w:tab w:pos="8799" w:val="left" w:leader="none"/>
            </w:tabs>
            <w:spacing w:line="240" w:lineRule="auto" w:before="276" w:after="0"/>
            <w:ind w:left="877" w:right="0" w:hanging="717"/>
            <w:jc w:val="left"/>
          </w:pPr>
          <w:r>
            <w:rPr/>
            <w:t>Null</w:t>
          </w:r>
          <w:r>
            <w:rPr>
              <w:spacing w:val="-9"/>
            </w:rPr>
            <w:t> </w:t>
          </w:r>
          <w:r>
            <w:rPr/>
            <w:t>Hypothesis</w:t>
          </w:r>
          <w:r>
            <w:rPr>
              <w:spacing w:val="-10"/>
            </w:rPr>
            <w:t> </w:t>
          </w:r>
          <w:r>
            <w:rPr>
              <w:spacing w:val="-2"/>
            </w:rPr>
            <w:t>9………………………………………………………….</w:t>
          </w:r>
          <w:r>
            <w:rPr/>
            <w:tab/>
          </w:r>
          <w:r>
            <w:rPr>
              <w:spacing w:val="-5"/>
            </w:rPr>
            <w:t>201</w:t>
          </w:r>
        </w:p>
        <w:p>
          <w:pPr>
            <w:pStyle w:val="TOC1"/>
            <w:numPr>
              <w:ilvl w:val="2"/>
              <w:numId w:val="4"/>
            </w:numPr>
            <w:tabs>
              <w:tab w:pos="896" w:val="left" w:leader="none"/>
              <w:tab w:pos="8799" w:val="left" w:leader="none"/>
            </w:tabs>
            <w:spacing w:line="240" w:lineRule="auto" w:before="276" w:after="0"/>
            <w:ind w:left="896" w:right="0" w:hanging="736"/>
            <w:jc w:val="left"/>
          </w:pPr>
          <w:r>
            <w:rPr/>
            <w:t>Null</w:t>
          </w:r>
          <w:r>
            <w:rPr>
              <w:spacing w:val="-10"/>
            </w:rPr>
            <w:t> </w:t>
          </w:r>
          <w:r>
            <w:rPr/>
            <w:t>Hypotheses</w:t>
          </w:r>
          <w:r>
            <w:rPr>
              <w:spacing w:val="-12"/>
            </w:rPr>
            <w:t> </w:t>
          </w:r>
          <w:r>
            <w:rPr>
              <w:spacing w:val="-2"/>
            </w:rPr>
            <w:t>10……………………………………………………….</w:t>
          </w:r>
          <w:r>
            <w:rPr/>
            <w:tab/>
          </w:r>
          <w:r>
            <w:rPr>
              <w:spacing w:val="-5"/>
            </w:rPr>
            <w:t>202</w:t>
          </w:r>
        </w:p>
        <w:p>
          <w:pPr>
            <w:pStyle w:val="TOC1"/>
            <w:numPr>
              <w:ilvl w:val="2"/>
              <w:numId w:val="4"/>
            </w:numPr>
            <w:tabs>
              <w:tab w:pos="896" w:val="left" w:leader="none"/>
              <w:tab w:pos="8799" w:val="left" w:leader="none"/>
            </w:tabs>
            <w:spacing w:line="240" w:lineRule="auto" w:before="276" w:after="0"/>
            <w:ind w:left="896" w:right="0" w:hanging="736"/>
            <w:jc w:val="left"/>
          </w:pPr>
          <w:r>
            <w:rPr/>
            <w:t>Null</w:t>
          </w:r>
          <w:r>
            <w:rPr>
              <w:spacing w:val="-12"/>
            </w:rPr>
            <w:t> </w:t>
          </w:r>
          <w:r>
            <w:rPr/>
            <w:t>Hypothesis</w:t>
          </w:r>
          <w:r>
            <w:rPr>
              <w:spacing w:val="-12"/>
            </w:rPr>
            <w:t> </w:t>
          </w:r>
          <w:r>
            <w:rPr>
              <w:spacing w:val="-2"/>
            </w:rPr>
            <w:t>11………………………………………………………..</w:t>
          </w:r>
          <w:r>
            <w:rPr/>
            <w:tab/>
          </w:r>
          <w:r>
            <w:rPr>
              <w:spacing w:val="-5"/>
            </w:rPr>
            <w:t>204</w:t>
          </w:r>
        </w:p>
        <w:p>
          <w:pPr>
            <w:pStyle w:val="TOC1"/>
            <w:numPr>
              <w:ilvl w:val="2"/>
              <w:numId w:val="4"/>
            </w:numPr>
            <w:tabs>
              <w:tab w:pos="945" w:val="left" w:leader="none"/>
              <w:tab w:pos="8799" w:val="left" w:leader="none"/>
            </w:tabs>
            <w:spacing w:line="240" w:lineRule="auto" w:before="276" w:after="0"/>
            <w:ind w:left="945" w:right="0" w:hanging="785"/>
            <w:jc w:val="left"/>
          </w:pPr>
          <w:r>
            <w:rPr/>
            <w:t>Null</w:t>
          </w:r>
          <w:r>
            <w:rPr>
              <w:spacing w:val="-9"/>
            </w:rPr>
            <w:t> </w:t>
          </w:r>
          <w:r>
            <w:rPr/>
            <w:t>Hypothesis</w:t>
          </w:r>
          <w:r>
            <w:rPr>
              <w:spacing w:val="-10"/>
            </w:rPr>
            <w:t> </w:t>
          </w:r>
          <w:r>
            <w:rPr>
              <w:spacing w:val="-2"/>
            </w:rPr>
            <w:t>12………………………………………………………..</w:t>
          </w:r>
          <w:r>
            <w:rPr/>
            <w:tab/>
          </w:r>
          <w:r>
            <w:rPr>
              <w:spacing w:val="-5"/>
            </w:rPr>
            <w:t>206</w:t>
          </w:r>
        </w:p>
        <w:p>
          <w:pPr>
            <w:pStyle w:val="TOC1"/>
            <w:numPr>
              <w:ilvl w:val="2"/>
              <w:numId w:val="4"/>
            </w:numPr>
            <w:tabs>
              <w:tab w:pos="963" w:val="left" w:leader="none"/>
              <w:tab w:pos="8799" w:val="left" w:leader="none"/>
            </w:tabs>
            <w:spacing w:line="240" w:lineRule="auto" w:before="276" w:after="0"/>
            <w:ind w:left="963" w:right="0" w:hanging="803"/>
            <w:jc w:val="left"/>
          </w:pPr>
          <w:r>
            <w:rPr/>
            <w:t>Null</w:t>
          </w:r>
          <w:r>
            <w:rPr>
              <w:spacing w:val="-12"/>
            </w:rPr>
            <w:t> </w:t>
          </w:r>
          <w:r>
            <w:rPr/>
            <w:t>Hypothesis</w:t>
          </w:r>
          <w:r>
            <w:rPr>
              <w:spacing w:val="-12"/>
            </w:rPr>
            <w:t> </w:t>
          </w:r>
          <w:r>
            <w:rPr>
              <w:spacing w:val="-2"/>
            </w:rPr>
            <w:t>13……………………………………………………….</w:t>
          </w:r>
          <w:r>
            <w:rPr/>
            <w:tab/>
          </w:r>
          <w:r>
            <w:rPr>
              <w:spacing w:val="-5"/>
            </w:rPr>
            <w:t>208</w:t>
          </w:r>
        </w:p>
        <w:p>
          <w:pPr>
            <w:pStyle w:val="TOC1"/>
            <w:numPr>
              <w:ilvl w:val="2"/>
              <w:numId w:val="4"/>
            </w:numPr>
            <w:tabs>
              <w:tab w:pos="963" w:val="left" w:leader="none"/>
              <w:tab w:pos="8799" w:val="left" w:leader="none"/>
            </w:tabs>
            <w:spacing w:line="240" w:lineRule="auto" w:before="276" w:after="0"/>
            <w:ind w:left="963" w:right="0" w:hanging="803"/>
            <w:jc w:val="left"/>
          </w:pPr>
          <w:r>
            <w:rPr/>
            <w:t>Null</w:t>
          </w:r>
          <w:r>
            <w:rPr>
              <w:spacing w:val="-12"/>
            </w:rPr>
            <w:t> </w:t>
          </w:r>
          <w:r>
            <w:rPr/>
            <w:t>Hypothesis</w:t>
          </w:r>
          <w:r>
            <w:rPr>
              <w:spacing w:val="-12"/>
            </w:rPr>
            <w:t> </w:t>
          </w:r>
          <w:r>
            <w:rPr>
              <w:spacing w:val="-2"/>
            </w:rPr>
            <w:t>14……………………………………………………….</w:t>
          </w:r>
          <w:r>
            <w:rPr/>
            <w:tab/>
          </w:r>
          <w:r>
            <w:rPr>
              <w:spacing w:val="-5"/>
            </w:rPr>
            <w:t>210</w:t>
          </w:r>
        </w:p>
        <w:p>
          <w:pPr>
            <w:pStyle w:val="TOC1"/>
            <w:numPr>
              <w:ilvl w:val="2"/>
              <w:numId w:val="4"/>
            </w:numPr>
            <w:tabs>
              <w:tab w:pos="896" w:val="left" w:leader="none"/>
              <w:tab w:pos="8799" w:val="left" w:leader="none"/>
            </w:tabs>
            <w:spacing w:line="240" w:lineRule="auto" w:before="276" w:after="0"/>
            <w:ind w:left="896" w:right="0" w:hanging="736"/>
            <w:jc w:val="left"/>
          </w:pPr>
          <w:hyperlink w:history="true" w:anchor="_TOC_250010">
            <w:r>
              <w:rPr/>
              <w:t>Null</w:t>
            </w:r>
            <w:r>
              <w:rPr>
                <w:spacing w:val="-12"/>
              </w:rPr>
              <w:t> </w:t>
            </w:r>
            <w:r>
              <w:rPr/>
              <w:t>Hypothesis</w:t>
            </w:r>
            <w:r>
              <w:rPr>
                <w:spacing w:val="-12"/>
              </w:rPr>
              <w:t> </w:t>
            </w:r>
            <w:r>
              <w:rPr>
                <w:spacing w:val="-2"/>
              </w:rPr>
              <w:t>15………………………………………………………..</w:t>
            </w:r>
            <w:r>
              <w:rPr/>
              <w:tab/>
            </w:r>
            <w:r>
              <w:rPr>
                <w:spacing w:val="-5"/>
              </w:rPr>
              <w:t>212</w:t>
            </w:r>
          </w:hyperlink>
        </w:p>
        <w:p>
          <w:pPr>
            <w:pStyle w:val="TOC1"/>
            <w:numPr>
              <w:ilvl w:val="2"/>
              <w:numId w:val="4"/>
            </w:numPr>
            <w:tabs>
              <w:tab w:pos="896" w:val="left" w:leader="none"/>
              <w:tab w:pos="8799" w:val="left" w:leader="none"/>
            </w:tabs>
            <w:spacing w:line="240" w:lineRule="auto" w:before="276" w:after="0"/>
            <w:ind w:left="896" w:right="0" w:hanging="736"/>
            <w:jc w:val="left"/>
          </w:pPr>
          <w:hyperlink w:history="true" w:anchor="_TOC_250009">
            <w:r>
              <w:rPr/>
              <w:t>Null</w:t>
            </w:r>
            <w:r>
              <w:rPr>
                <w:spacing w:val="-12"/>
              </w:rPr>
              <w:t> </w:t>
            </w:r>
            <w:r>
              <w:rPr/>
              <w:t>Hypothesis</w:t>
            </w:r>
            <w:r>
              <w:rPr>
                <w:spacing w:val="-12"/>
              </w:rPr>
              <w:t> </w:t>
            </w:r>
            <w:r>
              <w:rPr>
                <w:spacing w:val="-2"/>
              </w:rPr>
              <w:t>16………………………………………………………..</w:t>
            </w:r>
            <w:r>
              <w:rPr/>
              <w:tab/>
            </w:r>
            <w:r>
              <w:rPr>
                <w:spacing w:val="-5"/>
              </w:rPr>
              <w:t>214</w:t>
            </w:r>
          </w:hyperlink>
        </w:p>
        <w:p>
          <w:pPr>
            <w:pStyle w:val="TOC1"/>
            <w:numPr>
              <w:ilvl w:val="2"/>
              <w:numId w:val="4"/>
            </w:numPr>
            <w:tabs>
              <w:tab w:pos="896" w:val="left" w:leader="none"/>
              <w:tab w:pos="8799" w:val="left" w:leader="none"/>
            </w:tabs>
            <w:spacing w:line="240" w:lineRule="auto" w:before="276" w:after="0"/>
            <w:ind w:left="896" w:right="0" w:hanging="736"/>
            <w:jc w:val="left"/>
          </w:pPr>
          <w:hyperlink w:history="true" w:anchor="_TOC_250008">
            <w:r>
              <w:rPr/>
              <w:t>Null</w:t>
            </w:r>
            <w:r>
              <w:rPr>
                <w:spacing w:val="-12"/>
              </w:rPr>
              <w:t> </w:t>
            </w:r>
            <w:r>
              <w:rPr/>
              <w:t>Hypothesis</w:t>
            </w:r>
            <w:r>
              <w:rPr>
                <w:spacing w:val="-12"/>
              </w:rPr>
              <w:t> </w:t>
            </w:r>
            <w:r>
              <w:rPr>
                <w:spacing w:val="-2"/>
              </w:rPr>
              <w:t>17………………………………………………………..</w:t>
            </w:r>
            <w:r>
              <w:rPr/>
              <w:tab/>
            </w:r>
            <w:r>
              <w:rPr>
                <w:spacing w:val="-5"/>
              </w:rPr>
              <w:t>216</w:t>
            </w:r>
          </w:hyperlink>
        </w:p>
        <w:p>
          <w:pPr>
            <w:pStyle w:val="TOC1"/>
            <w:numPr>
              <w:ilvl w:val="2"/>
              <w:numId w:val="4"/>
            </w:numPr>
            <w:tabs>
              <w:tab w:pos="1062" w:val="left" w:leader="none"/>
              <w:tab w:pos="8799" w:val="left" w:leader="none"/>
            </w:tabs>
            <w:spacing w:line="240" w:lineRule="auto" w:before="276" w:after="0"/>
            <w:ind w:left="1062" w:right="0" w:hanging="902"/>
            <w:jc w:val="left"/>
          </w:pPr>
          <w:hyperlink w:history="true" w:anchor="_TOC_250007">
            <w:r>
              <w:rPr/>
              <w:t>Null</w:t>
            </w:r>
            <w:r>
              <w:rPr>
                <w:spacing w:val="-9"/>
              </w:rPr>
              <w:t> </w:t>
            </w:r>
            <w:r>
              <w:rPr/>
              <w:t>Hypothesis</w:t>
            </w:r>
            <w:r>
              <w:rPr>
                <w:spacing w:val="-10"/>
              </w:rPr>
              <w:t> </w:t>
            </w:r>
            <w:r>
              <w:rPr>
                <w:spacing w:val="-2"/>
              </w:rPr>
              <w:t>18………………………………………………...........</w:t>
            </w:r>
            <w:r>
              <w:rPr/>
              <w:tab/>
            </w:r>
            <w:r>
              <w:rPr>
                <w:spacing w:val="-5"/>
              </w:rPr>
              <w:t>218</w:t>
            </w:r>
          </w:hyperlink>
        </w:p>
        <w:p>
          <w:pPr>
            <w:pStyle w:val="TOC1"/>
            <w:numPr>
              <w:ilvl w:val="2"/>
              <w:numId w:val="4"/>
            </w:numPr>
            <w:tabs>
              <w:tab w:pos="896" w:val="left" w:leader="none"/>
              <w:tab w:pos="8799" w:val="left" w:leader="none"/>
            </w:tabs>
            <w:spacing w:line="240" w:lineRule="auto" w:before="276" w:after="0"/>
            <w:ind w:left="896" w:right="0" w:hanging="736"/>
            <w:jc w:val="left"/>
          </w:pPr>
          <w:hyperlink w:history="true" w:anchor="_TOC_250006">
            <w:r>
              <w:rPr/>
              <w:t>Null</w:t>
            </w:r>
            <w:r>
              <w:rPr>
                <w:spacing w:val="-12"/>
              </w:rPr>
              <w:t> </w:t>
            </w:r>
            <w:r>
              <w:rPr/>
              <w:t>Hypothesis</w:t>
            </w:r>
            <w:r>
              <w:rPr>
                <w:spacing w:val="-12"/>
              </w:rPr>
              <w:t> </w:t>
            </w:r>
            <w:r>
              <w:rPr>
                <w:spacing w:val="-2"/>
              </w:rPr>
              <w:t>19………………………………………………………..</w:t>
            </w:r>
            <w:r>
              <w:rPr/>
              <w:tab/>
            </w:r>
            <w:r>
              <w:rPr>
                <w:spacing w:val="-5"/>
              </w:rPr>
              <w:t>219</w:t>
            </w:r>
          </w:hyperlink>
        </w:p>
        <w:p>
          <w:pPr>
            <w:pStyle w:val="TOC1"/>
            <w:numPr>
              <w:ilvl w:val="2"/>
              <w:numId w:val="4"/>
            </w:numPr>
            <w:tabs>
              <w:tab w:pos="896" w:val="left" w:leader="none"/>
              <w:tab w:pos="8799" w:val="left" w:leader="none"/>
            </w:tabs>
            <w:spacing w:line="240" w:lineRule="auto" w:before="276" w:after="240"/>
            <w:ind w:left="896" w:right="0" w:hanging="736"/>
            <w:jc w:val="left"/>
          </w:pPr>
          <w:hyperlink w:history="true" w:anchor="_TOC_250005">
            <w:r>
              <w:rPr/>
              <w:t>Null</w:t>
            </w:r>
            <w:r>
              <w:rPr>
                <w:spacing w:val="-12"/>
              </w:rPr>
              <w:t> </w:t>
            </w:r>
            <w:r>
              <w:rPr/>
              <w:t>Hypothesis</w:t>
            </w:r>
            <w:r>
              <w:rPr>
                <w:spacing w:val="-12"/>
              </w:rPr>
              <w:t> </w:t>
            </w:r>
            <w:r>
              <w:rPr>
                <w:spacing w:val="-2"/>
              </w:rPr>
              <w:t>20………………………………………………………..</w:t>
            </w:r>
            <w:r>
              <w:rPr/>
              <w:tab/>
            </w:r>
            <w:r>
              <w:rPr>
                <w:spacing w:val="-5"/>
              </w:rPr>
              <w:t>221</w:t>
            </w:r>
          </w:hyperlink>
        </w:p>
        <w:p>
          <w:pPr>
            <w:pStyle w:val="TOC1"/>
            <w:numPr>
              <w:ilvl w:val="1"/>
              <w:numId w:val="4"/>
            </w:numPr>
            <w:tabs>
              <w:tab w:pos="879" w:val="left" w:leader="none"/>
              <w:tab w:pos="9201" w:val="right" w:leader="none"/>
            </w:tabs>
            <w:spacing w:line="240" w:lineRule="auto" w:before="362" w:after="0"/>
            <w:ind w:left="879" w:right="0" w:hanging="719"/>
            <w:jc w:val="left"/>
          </w:pPr>
          <w:hyperlink w:history="true" w:anchor="_TOC_250004">
            <w:r>
              <w:rPr/>
              <w:t>Discussions</w:t>
            </w:r>
            <w:r>
              <w:rPr>
                <w:spacing w:val="-10"/>
              </w:rPr>
              <w:t> </w:t>
            </w:r>
            <w:r>
              <w:rPr/>
              <w:t>of</w:t>
            </w:r>
            <w:r>
              <w:rPr>
                <w:spacing w:val="-4"/>
              </w:rPr>
              <w:t> </w:t>
            </w:r>
            <w:r>
              <w:rPr/>
              <w:t>the</w:t>
            </w:r>
            <w:r>
              <w:rPr>
                <w:spacing w:val="-8"/>
              </w:rPr>
              <w:t> </w:t>
            </w:r>
            <w:r>
              <w:rPr>
                <w:spacing w:val="-2"/>
              </w:rPr>
              <w:t>Findings……………………………………………...</w:t>
            </w:r>
            <w:r>
              <w:rPr/>
              <w:tab/>
            </w:r>
            <w:r>
              <w:rPr>
                <w:spacing w:val="-5"/>
              </w:rPr>
              <w:t>233</w:t>
            </w:r>
          </w:hyperlink>
        </w:p>
        <w:p>
          <w:pPr>
            <w:pStyle w:val="TOC1"/>
            <w:numPr>
              <w:ilvl w:val="2"/>
              <w:numId w:val="4"/>
            </w:numPr>
            <w:tabs>
              <w:tab w:pos="877" w:val="left" w:leader="none"/>
              <w:tab w:pos="880" w:val="left" w:leader="none"/>
            </w:tabs>
            <w:spacing w:line="237" w:lineRule="auto" w:before="279" w:after="0"/>
            <w:ind w:left="880" w:right="2090" w:hanging="720"/>
            <w:jc w:val="left"/>
          </w:pPr>
          <w:r>
            <w:rPr/>
            <w:t>Opinions</w:t>
          </w:r>
          <w:r>
            <w:rPr>
              <w:spacing w:val="-4"/>
            </w:rPr>
            <w:t> </w:t>
          </w:r>
          <w:r>
            <w:rPr/>
            <w:t>of</w:t>
          </w:r>
          <w:r>
            <w:rPr>
              <w:spacing w:val="-8"/>
            </w:rPr>
            <w:t> </w:t>
          </w:r>
          <w:r>
            <w:rPr/>
            <w:t>respondents</w:t>
          </w:r>
          <w:r>
            <w:rPr>
              <w:spacing w:val="-4"/>
            </w:rPr>
            <w:t> </w:t>
          </w:r>
          <w:r>
            <w:rPr/>
            <w:t>on</w:t>
          </w:r>
          <w:r>
            <w:rPr>
              <w:spacing w:val="-3"/>
            </w:rPr>
            <w:t> </w:t>
          </w:r>
          <w:r>
            <w:rPr/>
            <w:t>the</w:t>
          </w:r>
          <w:r>
            <w:rPr>
              <w:spacing w:val="-3"/>
            </w:rPr>
            <w:t> </w:t>
          </w:r>
          <w:r>
            <w:rPr/>
            <w:t>types</w:t>
          </w:r>
          <w:r>
            <w:rPr>
              <w:spacing w:val="-4"/>
            </w:rPr>
            <w:t> </w:t>
          </w:r>
          <w:r>
            <w:rPr/>
            <w:t>and</w:t>
          </w:r>
          <w:r>
            <w:rPr>
              <w:spacing w:val="-3"/>
            </w:rPr>
            <w:t> </w:t>
          </w:r>
          <w:r>
            <w:rPr/>
            <w:t>adequacy</w:t>
          </w:r>
          <w:r>
            <w:rPr>
              <w:spacing w:val="-4"/>
            </w:rPr>
            <w:t> </w:t>
          </w:r>
          <w:r>
            <w:rPr/>
            <w:t>of</w:t>
          </w:r>
          <w:r>
            <w:rPr>
              <w:spacing w:val="-4"/>
            </w:rPr>
            <w:t> </w:t>
          </w:r>
          <w:r>
            <w:rPr/>
            <w:t>students’ welfare services in Universities in three geopolitical zones</w:t>
          </w:r>
        </w:p>
        <w:p>
          <w:pPr>
            <w:pStyle w:val="TOC4"/>
            <w:tabs>
              <w:tab w:pos="9201" w:val="right" w:leader="none"/>
            </w:tabs>
            <w:spacing w:before="3"/>
          </w:pPr>
          <w:r>
            <w:rPr/>
            <w:t>in</w:t>
          </w:r>
          <w:r>
            <w:rPr>
              <w:spacing w:val="-6"/>
            </w:rPr>
            <w:t> </w:t>
          </w:r>
          <w:r>
            <w:rPr/>
            <w:t>Northern</w:t>
          </w:r>
          <w:r>
            <w:rPr>
              <w:spacing w:val="-5"/>
            </w:rPr>
            <w:t> </w:t>
          </w:r>
          <w:r>
            <w:rPr/>
            <w:t>part</w:t>
          </w:r>
          <w:r>
            <w:rPr>
              <w:spacing w:val="-6"/>
            </w:rPr>
            <w:t> </w:t>
          </w:r>
          <w:r>
            <w:rPr/>
            <w:t>of</w:t>
          </w:r>
          <w:r>
            <w:rPr>
              <w:spacing w:val="-6"/>
            </w:rPr>
            <w:t> </w:t>
          </w:r>
          <w:r>
            <w:rPr/>
            <w:t>Nigeria</w:t>
          </w:r>
          <w:r>
            <w:rPr>
              <w:spacing w:val="-5"/>
            </w:rPr>
            <w:t> </w:t>
          </w:r>
          <w:r>
            <w:rPr>
              <w:spacing w:val="-2"/>
            </w:rPr>
            <w:t>………………………………………….</w:t>
          </w:r>
          <w:r>
            <w:rPr/>
            <w:tab/>
          </w:r>
          <w:r>
            <w:rPr>
              <w:spacing w:val="-5"/>
            </w:rPr>
            <w:t>233</w:t>
          </w:r>
        </w:p>
        <w:p>
          <w:pPr>
            <w:pStyle w:val="TOC1"/>
            <w:numPr>
              <w:ilvl w:val="2"/>
              <w:numId w:val="4"/>
            </w:numPr>
            <w:tabs>
              <w:tab w:pos="877" w:val="left" w:leader="none"/>
              <w:tab w:pos="880" w:val="left" w:leader="none"/>
            </w:tabs>
            <w:spacing w:line="237" w:lineRule="auto" w:before="278" w:after="0"/>
            <w:ind w:left="880" w:right="1907" w:hanging="720"/>
            <w:jc w:val="left"/>
          </w:pPr>
          <w:r>
            <w:rPr/>
            <w:t>Opinions</w:t>
          </w:r>
          <w:r>
            <w:rPr>
              <w:spacing w:val="-4"/>
            </w:rPr>
            <w:t> </w:t>
          </w:r>
          <w:r>
            <w:rPr/>
            <w:t>of</w:t>
          </w:r>
          <w:r>
            <w:rPr>
              <w:spacing w:val="-8"/>
            </w:rPr>
            <w:t> </w:t>
          </w:r>
          <w:r>
            <w:rPr/>
            <w:t>respondents</w:t>
          </w:r>
          <w:r>
            <w:rPr>
              <w:spacing w:val="-4"/>
            </w:rPr>
            <w:t> </w:t>
          </w:r>
          <w:r>
            <w:rPr/>
            <w:t>on</w:t>
          </w:r>
          <w:r>
            <w:rPr>
              <w:spacing w:val="-3"/>
            </w:rPr>
            <w:t> </w:t>
          </w:r>
          <w:r>
            <w:rPr/>
            <w:t>the</w:t>
          </w:r>
          <w:r>
            <w:rPr>
              <w:spacing w:val="-3"/>
            </w:rPr>
            <w:t> </w:t>
          </w:r>
          <w:r>
            <w:rPr/>
            <w:t>availability</w:t>
          </w:r>
          <w:r>
            <w:rPr>
              <w:spacing w:val="-4"/>
            </w:rPr>
            <w:t> </w:t>
          </w:r>
          <w:r>
            <w:rPr/>
            <w:t>and</w:t>
          </w:r>
          <w:r>
            <w:rPr>
              <w:spacing w:val="-3"/>
            </w:rPr>
            <w:t> </w:t>
          </w:r>
          <w:r>
            <w:rPr/>
            <w:t>adequacy</w:t>
          </w:r>
          <w:r>
            <w:rPr>
              <w:spacing w:val="-9"/>
            </w:rPr>
            <w:t> </w:t>
          </w:r>
          <w:r>
            <w:rPr/>
            <w:t>of</w:t>
          </w:r>
          <w:r>
            <w:rPr>
              <w:spacing w:val="-4"/>
            </w:rPr>
            <w:t> </w:t>
          </w:r>
          <w:r>
            <w:rPr/>
            <w:t>social welfare services in Universities in three geopolitical zones</w:t>
          </w:r>
        </w:p>
        <w:p>
          <w:pPr>
            <w:pStyle w:val="TOC4"/>
            <w:tabs>
              <w:tab w:pos="9201" w:val="right" w:leader="none"/>
            </w:tabs>
            <w:spacing w:before="3"/>
          </w:pPr>
          <w:r>
            <w:rPr/>
            <w:t>in</w:t>
          </w:r>
          <w:r>
            <w:rPr>
              <w:spacing w:val="-6"/>
            </w:rPr>
            <w:t> </w:t>
          </w:r>
          <w:r>
            <w:rPr/>
            <w:t>Northern</w:t>
          </w:r>
          <w:r>
            <w:rPr>
              <w:spacing w:val="-5"/>
            </w:rPr>
            <w:t> </w:t>
          </w:r>
          <w:r>
            <w:rPr/>
            <w:t>part</w:t>
          </w:r>
          <w:r>
            <w:rPr>
              <w:spacing w:val="-6"/>
            </w:rPr>
            <w:t> </w:t>
          </w:r>
          <w:r>
            <w:rPr/>
            <w:t>of</w:t>
          </w:r>
          <w:r>
            <w:rPr>
              <w:spacing w:val="-6"/>
            </w:rPr>
            <w:t> </w:t>
          </w:r>
          <w:r>
            <w:rPr/>
            <w:t>Nigeria</w:t>
          </w:r>
          <w:r>
            <w:rPr>
              <w:spacing w:val="-5"/>
            </w:rPr>
            <w:t> </w:t>
          </w:r>
          <w:r>
            <w:rPr>
              <w:spacing w:val="-2"/>
            </w:rPr>
            <w:t>…………………….…………………………..</w:t>
          </w:r>
          <w:r>
            <w:rPr/>
            <w:tab/>
          </w:r>
          <w:r>
            <w:rPr>
              <w:spacing w:val="-5"/>
            </w:rPr>
            <w:t>234</w:t>
          </w:r>
        </w:p>
        <w:p>
          <w:pPr>
            <w:pStyle w:val="TOC1"/>
            <w:numPr>
              <w:ilvl w:val="2"/>
              <w:numId w:val="4"/>
            </w:numPr>
            <w:tabs>
              <w:tab w:pos="877" w:val="left" w:leader="none"/>
              <w:tab w:pos="880" w:val="left" w:leader="none"/>
            </w:tabs>
            <w:spacing w:line="237" w:lineRule="auto" w:before="279" w:after="0"/>
            <w:ind w:left="880" w:right="1495" w:hanging="720"/>
            <w:jc w:val="left"/>
          </w:pPr>
          <w:r>
            <w:rPr/>
            <w:t>Opinions</w:t>
          </w:r>
          <w:r>
            <w:rPr>
              <w:spacing w:val="-4"/>
            </w:rPr>
            <w:t> </w:t>
          </w:r>
          <w:r>
            <w:rPr/>
            <w:t>of</w:t>
          </w:r>
          <w:r>
            <w:rPr>
              <w:spacing w:val="-8"/>
            </w:rPr>
            <w:t> </w:t>
          </w:r>
          <w:r>
            <w:rPr/>
            <w:t>respondents</w:t>
          </w:r>
          <w:r>
            <w:rPr>
              <w:spacing w:val="-4"/>
            </w:rPr>
            <w:t> </w:t>
          </w:r>
          <w:r>
            <w:rPr/>
            <w:t>on</w:t>
          </w:r>
          <w:r>
            <w:rPr>
              <w:spacing w:val="-3"/>
            </w:rPr>
            <w:t> </w:t>
          </w:r>
          <w:r>
            <w:rPr/>
            <w:t>the</w:t>
          </w:r>
          <w:r>
            <w:rPr>
              <w:spacing w:val="-3"/>
            </w:rPr>
            <w:t> </w:t>
          </w:r>
          <w:r>
            <w:rPr/>
            <w:t>availability</w:t>
          </w:r>
          <w:r>
            <w:rPr>
              <w:spacing w:val="-4"/>
            </w:rPr>
            <w:t> </w:t>
          </w:r>
          <w:r>
            <w:rPr/>
            <w:t>and</w:t>
          </w:r>
          <w:r>
            <w:rPr>
              <w:spacing w:val="-3"/>
            </w:rPr>
            <w:t> </w:t>
          </w:r>
          <w:r>
            <w:rPr/>
            <w:t>adequacy</w:t>
          </w:r>
          <w:r>
            <w:rPr>
              <w:spacing w:val="-9"/>
            </w:rPr>
            <w:t> </w:t>
          </w:r>
          <w:r>
            <w:rPr/>
            <w:t>of</w:t>
          </w:r>
          <w:r>
            <w:rPr>
              <w:spacing w:val="-4"/>
            </w:rPr>
            <w:t> </w:t>
          </w:r>
          <w:r>
            <w:rPr/>
            <w:t>academic welfare services in Universities in three geopolitical zones</w:t>
          </w:r>
        </w:p>
        <w:p>
          <w:pPr>
            <w:pStyle w:val="TOC4"/>
            <w:tabs>
              <w:tab w:pos="9201" w:val="right" w:leader="none"/>
            </w:tabs>
            <w:spacing w:before="3"/>
          </w:pPr>
          <w:r>
            <w:rPr/>
            <w:t>in</w:t>
          </w:r>
          <w:r>
            <w:rPr>
              <w:spacing w:val="-6"/>
            </w:rPr>
            <w:t> </w:t>
          </w:r>
          <w:r>
            <w:rPr/>
            <w:t>Northern</w:t>
          </w:r>
          <w:r>
            <w:rPr>
              <w:spacing w:val="-5"/>
            </w:rPr>
            <w:t> </w:t>
          </w:r>
          <w:r>
            <w:rPr/>
            <w:t>part</w:t>
          </w:r>
          <w:r>
            <w:rPr>
              <w:spacing w:val="-6"/>
            </w:rPr>
            <w:t> </w:t>
          </w:r>
          <w:r>
            <w:rPr/>
            <w:t>of</w:t>
          </w:r>
          <w:r>
            <w:rPr>
              <w:spacing w:val="-6"/>
            </w:rPr>
            <w:t> </w:t>
          </w:r>
          <w:r>
            <w:rPr/>
            <w:t>Nigeria</w:t>
          </w:r>
          <w:r>
            <w:rPr>
              <w:spacing w:val="-5"/>
            </w:rPr>
            <w:t> </w:t>
          </w:r>
          <w:r>
            <w:rPr>
              <w:spacing w:val="-2"/>
            </w:rPr>
            <w:t>…………….…………………………………...</w:t>
          </w:r>
          <w:r>
            <w:rPr/>
            <w:tab/>
          </w:r>
          <w:r>
            <w:rPr>
              <w:spacing w:val="-5"/>
            </w:rPr>
            <w:t>235</w:t>
          </w:r>
        </w:p>
        <w:p>
          <w:pPr>
            <w:pStyle w:val="TOC1"/>
            <w:numPr>
              <w:ilvl w:val="2"/>
              <w:numId w:val="4"/>
            </w:numPr>
            <w:tabs>
              <w:tab w:pos="877" w:val="left" w:leader="none"/>
              <w:tab w:pos="880" w:val="left" w:leader="none"/>
            </w:tabs>
            <w:spacing w:line="237" w:lineRule="auto" w:before="278" w:after="0"/>
            <w:ind w:left="880" w:right="1696" w:hanging="720"/>
            <w:jc w:val="left"/>
          </w:pPr>
          <w:r>
            <w:rPr/>
            <w:t>Opinions</w:t>
          </w:r>
          <w:r>
            <w:rPr>
              <w:spacing w:val="-4"/>
            </w:rPr>
            <w:t> </w:t>
          </w:r>
          <w:r>
            <w:rPr/>
            <w:t>of</w:t>
          </w:r>
          <w:r>
            <w:rPr>
              <w:spacing w:val="-8"/>
            </w:rPr>
            <w:t> </w:t>
          </w:r>
          <w:r>
            <w:rPr/>
            <w:t>respondents</w:t>
          </w:r>
          <w:r>
            <w:rPr>
              <w:spacing w:val="-4"/>
            </w:rPr>
            <w:t> </w:t>
          </w:r>
          <w:r>
            <w:rPr/>
            <w:t>on</w:t>
          </w:r>
          <w:r>
            <w:rPr>
              <w:spacing w:val="-3"/>
            </w:rPr>
            <w:t> </w:t>
          </w:r>
          <w:r>
            <w:rPr/>
            <w:t>the</w:t>
          </w:r>
          <w:r>
            <w:rPr>
              <w:spacing w:val="-3"/>
            </w:rPr>
            <w:t> </w:t>
          </w:r>
          <w:r>
            <w:rPr/>
            <w:t>availability</w:t>
          </w:r>
          <w:r>
            <w:rPr>
              <w:spacing w:val="-4"/>
            </w:rPr>
            <w:t> </w:t>
          </w:r>
          <w:r>
            <w:rPr/>
            <w:t>and</w:t>
          </w:r>
          <w:r>
            <w:rPr>
              <w:spacing w:val="-3"/>
            </w:rPr>
            <w:t> </w:t>
          </w:r>
          <w:r>
            <w:rPr/>
            <w:t>adequacy</w:t>
          </w:r>
          <w:r>
            <w:rPr>
              <w:spacing w:val="-9"/>
            </w:rPr>
            <w:t> </w:t>
          </w:r>
          <w:r>
            <w:rPr/>
            <w:t>of</w:t>
          </w:r>
          <w:r>
            <w:rPr>
              <w:spacing w:val="-4"/>
            </w:rPr>
            <w:t> </w:t>
          </w:r>
          <w:r>
            <w:rPr/>
            <w:t>medical and health services in Universities in three geopolitical</w:t>
          </w:r>
        </w:p>
        <w:p>
          <w:pPr>
            <w:pStyle w:val="TOC4"/>
            <w:tabs>
              <w:tab w:pos="9201" w:val="right" w:leader="none"/>
            </w:tabs>
            <w:spacing w:before="4"/>
          </w:pPr>
          <w:r>
            <w:rPr/>
            <w:t>zones</w:t>
          </w:r>
          <w:r>
            <w:rPr>
              <w:spacing w:val="-9"/>
            </w:rPr>
            <w:t> </w:t>
          </w:r>
          <w:r>
            <w:rPr/>
            <w:t>in</w:t>
          </w:r>
          <w:r>
            <w:rPr>
              <w:spacing w:val="-3"/>
            </w:rPr>
            <w:t> </w:t>
          </w:r>
          <w:r>
            <w:rPr/>
            <w:t>Northern</w:t>
          </w:r>
          <w:r>
            <w:rPr>
              <w:spacing w:val="-7"/>
            </w:rPr>
            <w:t> </w:t>
          </w:r>
          <w:r>
            <w:rPr/>
            <w:t>part</w:t>
          </w:r>
          <w:r>
            <w:rPr>
              <w:spacing w:val="-8"/>
            </w:rPr>
            <w:t> </w:t>
          </w:r>
          <w:r>
            <w:rPr/>
            <w:t>of</w:t>
          </w:r>
          <w:r>
            <w:rPr>
              <w:spacing w:val="-4"/>
            </w:rPr>
            <w:t> </w:t>
          </w:r>
          <w:r>
            <w:rPr/>
            <w:t>Nigeria</w:t>
          </w:r>
          <w:r>
            <w:rPr>
              <w:spacing w:val="-4"/>
            </w:rPr>
            <w:t> </w:t>
          </w:r>
          <w:r>
            <w:rPr>
              <w:spacing w:val="-2"/>
            </w:rPr>
            <w:t>……………….………………………….</w:t>
          </w:r>
          <w:r>
            <w:rPr/>
            <w:tab/>
          </w:r>
          <w:r>
            <w:rPr>
              <w:spacing w:val="-5"/>
            </w:rPr>
            <w:t>235</w:t>
          </w:r>
        </w:p>
        <w:p>
          <w:pPr>
            <w:pStyle w:val="TOC1"/>
            <w:numPr>
              <w:ilvl w:val="2"/>
              <w:numId w:val="4"/>
            </w:numPr>
            <w:tabs>
              <w:tab w:pos="877" w:val="left" w:leader="none"/>
              <w:tab w:pos="880" w:val="left" w:leader="none"/>
            </w:tabs>
            <w:spacing w:line="237" w:lineRule="auto" w:before="278" w:after="0"/>
            <w:ind w:left="880" w:right="2704" w:hanging="720"/>
            <w:jc w:val="left"/>
          </w:pPr>
          <w:r>
            <w:rPr/>
            <w:t>Opinions</w:t>
          </w:r>
          <w:r>
            <w:rPr>
              <w:spacing w:val="-3"/>
            </w:rPr>
            <w:t> </w:t>
          </w:r>
          <w:r>
            <w:rPr/>
            <w:t>of</w:t>
          </w:r>
          <w:r>
            <w:rPr>
              <w:spacing w:val="-7"/>
            </w:rPr>
            <w:t> </w:t>
          </w:r>
          <w:r>
            <w:rPr/>
            <w:t>respondent</w:t>
          </w:r>
          <w:r>
            <w:rPr>
              <w:spacing w:val="-3"/>
            </w:rPr>
            <w:t> </w:t>
          </w:r>
          <w:r>
            <w:rPr/>
            <w:t>on</w:t>
          </w:r>
          <w:r>
            <w:rPr>
              <w:spacing w:val="-2"/>
            </w:rPr>
            <w:t> </w:t>
          </w:r>
          <w:r>
            <w:rPr/>
            <w:t>the</w:t>
          </w:r>
          <w:r>
            <w:rPr>
              <w:spacing w:val="-2"/>
            </w:rPr>
            <w:t> </w:t>
          </w:r>
          <w:r>
            <w:rPr/>
            <w:t>availability</w:t>
          </w:r>
          <w:r>
            <w:rPr>
              <w:spacing w:val="-3"/>
            </w:rPr>
            <w:t> </w:t>
          </w:r>
          <w:r>
            <w:rPr/>
            <w:t>and</w:t>
          </w:r>
          <w:r>
            <w:rPr>
              <w:spacing w:val="-6"/>
            </w:rPr>
            <w:t> </w:t>
          </w:r>
          <w:r>
            <w:rPr/>
            <w:t>adequacy</w:t>
          </w:r>
          <w:r>
            <w:rPr>
              <w:spacing w:val="-8"/>
            </w:rPr>
            <w:t> </w:t>
          </w:r>
          <w:r>
            <w:rPr/>
            <w:t>of environmental services in Universities in three geopolitical</w:t>
          </w:r>
        </w:p>
        <w:p>
          <w:pPr>
            <w:pStyle w:val="TOC4"/>
            <w:tabs>
              <w:tab w:pos="9201" w:val="right" w:leader="none"/>
            </w:tabs>
            <w:spacing w:before="3"/>
          </w:pPr>
          <w:r>
            <w:rPr/>
            <w:t>zones</w:t>
          </w:r>
          <w:r>
            <w:rPr>
              <w:spacing w:val="-9"/>
            </w:rPr>
            <w:t> </w:t>
          </w:r>
          <w:r>
            <w:rPr/>
            <w:t>in</w:t>
          </w:r>
          <w:r>
            <w:rPr>
              <w:spacing w:val="-4"/>
            </w:rPr>
            <w:t> </w:t>
          </w:r>
          <w:r>
            <w:rPr/>
            <w:t>Northern</w:t>
          </w:r>
          <w:r>
            <w:rPr>
              <w:spacing w:val="-7"/>
            </w:rPr>
            <w:t> </w:t>
          </w:r>
          <w:r>
            <w:rPr/>
            <w:t>part</w:t>
          </w:r>
          <w:r>
            <w:rPr>
              <w:spacing w:val="-8"/>
            </w:rPr>
            <w:t> </w:t>
          </w:r>
          <w:r>
            <w:rPr/>
            <w:t>of</w:t>
          </w:r>
          <w:r>
            <w:rPr>
              <w:spacing w:val="-4"/>
            </w:rPr>
            <w:t> </w:t>
          </w:r>
          <w:r>
            <w:rPr/>
            <w:t>Nigeria.</w:t>
          </w:r>
          <w:r>
            <w:rPr>
              <w:spacing w:val="-5"/>
            </w:rPr>
            <w:t> </w:t>
          </w:r>
          <w:r>
            <w:rPr>
              <w:spacing w:val="-2"/>
            </w:rPr>
            <w:t>……..………….………………………</w:t>
          </w:r>
          <w:r>
            <w:rPr/>
            <w:tab/>
          </w:r>
          <w:r>
            <w:rPr>
              <w:spacing w:val="-5"/>
            </w:rPr>
            <w:t>236</w:t>
          </w:r>
        </w:p>
        <w:p>
          <w:pPr>
            <w:pStyle w:val="TOC1"/>
            <w:numPr>
              <w:ilvl w:val="2"/>
              <w:numId w:val="4"/>
            </w:numPr>
            <w:tabs>
              <w:tab w:pos="877" w:val="left" w:leader="none"/>
              <w:tab w:pos="880" w:val="left" w:leader="none"/>
            </w:tabs>
            <w:spacing w:line="240" w:lineRule="auto" w:before="276" w:after="0"/>
            <w:ind w:left="880" w:right="1837" w:hanging="720"/>
            <w:jc w:val="left"/>
          </w:pPr>
          <w:r>
            <w:rPr/>
            <w:t>Opinions of respondents on the impact of all services (social, academic,</w:t>
          </w:r>
          <w:r>
            <w:rPr>
              <w:spacing w:val="-6"/>
            </w:rPr>
            <w:t> </w:t>
          </w:r>
          <w:r>
            <w:rPr/>
            <w:t>medical</w:t>
          </w:r>
          <w:r>
            <w:rPr>
              <w:spacing w:val="-2"/>
            </w:rPr>
            <w:t> </w:t>
          </w:r>
          <w:r>
            <w:rPr/>
            <w:t>/health</w:t>
          </w:r>
          <w:r>
            <w:rPr>
              <w:spacing w:val="-5"/>
            </w:rPr>
            <w:t> </w:t>
          </w:r>
          <w:r>
            <w:rPr/>
            <w:t>and</w:t>
          </w:r>
          <w:r>
            <w:rPr>
              <w:spacing w:val="-5"/>
            </w:rPr>
            <w:t> </w:t>
          </w:r>
          <w:r>
            <w:rPr/>
            <w:t>environmental)</w:t>
          </w:r>
          <w:r>
            <w:rPr>
              <w:spacing w:val="-9"/>
            </w:rPr>
            <w:t> </w:t>
          </w:r>
          <w:r>
            <w:rPr/>
            <w:t>on</w:t>
          </w:r>
          <w:r>
            <w:rPr>
              <w:spacing w:val="-5"/>
            </w:rPr>
            <w:t> </w:t>
          </w:r>
          <w:r>
            <w:rPr/>
            <w:t>students’</w:t>
          </w:r>
          <w:r>
            <w:rPr>
              <w:spacing w:val="-6"/>
            </w:rPr>
            <w:t> </w:t>
          </w:r>
          <w:r>
            <w:rPr/>
            <w:t>welfare in Universities in three geopolitical zones in</w:t>
          </w:r>
          <w:r>
            <w:rPr>
              <w:spacing w:val="40"/>
            </w:rPr>
            <w:t> </w:t>
          </w:r>
          <w:r>
            <w:rPr/>
            <w:t>Northern part</w:t>
          </w:r>
        </w:p>
        <w:p>
          <w:pPr>
            <w:pStyle w:val="TOC4"/>
            <w:tabs>
              <w:tab w:pos="9201" w:val="right" w:leader="dot"/>
            </w:tabs>
            <w:spacing w:line="274" w:lineRule="exact"/>
          </w:pPr>
          <w:r>
            <w:rPr/>
            <w:t>of</w:t>
          </w:r>
          <w:r>
            <w:rPr>
              <w:spacing w:val="-3"/>
            </w:rPr>
            <w:t> </w:t>
          </w:r>
          <w:r>
            <w:rPr>
              <w:spacing w:val="-2"/>
            </w:rPr>
            <w:t>Nigeria</w:t>
          </w:r>
          <w:r>
            <w:rPr/>
            <w:tab/>
          </w:r>
          <w:r>
            <w:rPr>
              <w:spacing w:val="-5"/>
            </w:rPr>
            <w:t>237</w:t>
          </w:r>
        </w:p>
        <w:p>
          <w:pPr>
            <w:pStyle w:val="TOC1"/>
            <w:numPr>
              <w:ilvl w:val="2"/>
              <w:numId w:val="4"/>
            </w:numPr>
            <w:tabs>
              <w:tab w:pos="877" w:val="left" w:leader="none"/>
              <w:tab w:pos="880" w:val="left" w:leader="none"/>
            </w:tabs>
            <w:spacing w:line="242" w:lineRule="auto" w:before="276" w:after="0"/>
            <w:ind w:left="880" w:right="2344" w:hanging="720"/>
            <w:jc w:val="left"/>
          </w:pPr>
          <w:r>
            <w:rPr/>
            <w:t>Opinions</w:t>
          </w:r>
          <w:r>
            <w:rPr>
              <w:spacing w:val="-3"/>
            </w:rPr>
            <w:t> </w:t>
          </w:r>
          <w:r>
            <w:rPr/>
            <w:t>of</w:t>
          </w:r>
          <w:r>
            <w:rPr>
              <w:spacing w:val="-7"/>
            </w:rPr>
            <w:t> </w:t>
          </w:r>
          <w:r>
            <w:rPr/>
            <w:t>respondents</w:t>
          </w:r>
          <w:r>
            <w:rPr>
              <w:spacing w:val="-3"/>
            </w:rPr>
            <w:t> </w:t>
          </w:r>
          <w:r>
            <w:rPr/>
            <w:t>on</w:t>
          </w:r>
          <w:r>
            <w:rPr>
              <w:spacing w:val="-2"/>
            </w:rPr>
            <w:t> </w:t>
          </w:r>
          <w:r>
            <w:rPr/>
            <w:t>the</w:t>
          </w:r>
          <w:r>
            <w:rPr>
              <w:spacing w:val="-6"/>
            </w:rPr>
            <w:t> </w:t>
          </w:r>
          <w:r>
            <w:rPr/>
            <w:t>impact</w:t>
          </w:r>
          <w:r>
            <w:rPr>
              <w:spacing w:val="-3"/>
            </w:rPr>
            <w:t> </w:t>
          </w:r>
          <w:r>
            <w:rPr/>
            <w:t>of</w:t>
          </w:r>
          <w:r>
            <w:rPr>
              <w:spacing w:val="-3"/>
            </w:rPr>
            <w:t> </w:t>
          </w:r>
          <w:r>
            <w:rPr/>
            <w:t>feeding</w:t>
          </w:r>
          <w:r>
            <w:rPr>
              <w:spacing w:val="-6"/>
            </w:rPr>
            <w:t> </w:t>
          </w:r>
          <w:r>
            <w:rPr/>
            <w:t>on</w:t>
          </w:r>
          <w:r>
            <w:rPr>
              <w:spacing w:val="-2"/>
            </w:rPr>
            <w:t> </w:t>
          </w:r>
          <w:r>
            <w:rPr/>
            <w:t>students’ welfare in Universities in three geopolitical zones in</w:t>
          </w:r>
        </w:p>
        <w:p>
          <w:pPr>
            <w:pStyle w:val="TOC4"/>
            <w:tabs>
              <w:tab w:pos="9201" w:val="right" w:leader="dot"/>
            </w:tabs>
            <w:spacing w:line="271" w:lineRule="exact"/>
          </w:pPr>
          <w:r>
            <w:rPr/>
            <w:t>Northern</w:t>
          </w:r>
          <w:r>
            <w:rPr>
              <w:spacing w:val="-6"/>
            </w:rPr>
            <w:t> </w:t>
          </w:r>
          <w:r>
            <w:rPr/>
            <w:t>part</w:t>
          </w:r>
          <w:r>
            <w:rPr>
              <w:spacing w:val="-6"/>
            </w:rPr>
            <w:t> </w:t>
          </w:r>
          <w:r>
            <w:rPr/>
            <w:t>of</w:t>
          </w:r>
          <w:r>
            <w:rPr>
              <w:spacing w:val="-3"/>
            </w:rPr>
            <w:t> </w:t>
          </w:r>
          <w:r>
            <w:rPr>
              <w:spacing w:val="-2"/>
            </w:rPr>
            <w:t>Nigeria</w:t>
          </w:r>
          <w:r>
            <w:rPr/>
            <w:tab/>
          </w:r>
          <w:r>
            <w:rPr>
              <w:spacing w:val="-5"/>
            </w:rPr>
            <w:t>237</w:t>
          </w:r>
        </w:p>
        <w:p>
          <w:pPr>
            <w:pStyle w:val="TOC1"/>
            <w:numPr>
              <w:ilvl w:val="2"/>
              <w:numId w:val="4"/>
            </w:numPr>
            <w:tabs>
              <w:tab w:pos="877" w:val="left" w:leader="none"/>
              <w:tab w:pos="880" w:val="left" w:leader="none"/>
            </w:tabs>
            <w:spacing w:line="242" w:lineRule="auto" w:before="276" w:after="0"/>
            <w:ind w:left="880" w:right="1760" w:hanging="720"/>
            <w:jc w:val="left"/>
          </w:pPr>
          <w:r>
            <w:rPr/>
            <w:t>Opinions</w:t>
          </w:r>
          <w:r>
            <w:rPr>
              <w:spacing w:val="-4"/>
            </w:rPr>
            <w:t> </w:t>
          </w:r>
          <w:r>
            <w:rPr/>
            <w:t>of</w:t>
          </w:r>
          <w:r>
            <w:rPr>
              <w:spacing w:val="-8"/>
            </w:rPr>
            <w:t> </w:t>
          </w:r>
          <w:r>
            <w:rPr/>
            <w:t>respondents</w:t>
          </w:r>
          <w:r>
            <w:rPr>
              <w:spacing w:val="-4"/>
            </w:rPr>
            <w:t> </w:t>
          </w:r>
          <w:r>
            <w:rPr/>
            <w:t>on</w:t>
          </w:r>
          <w:r>
            <w:rPr>
              <w:spacing w:val="-3"/>
            </w:rPr>
            <w:t> </w:t>
          </w:r>
          <w:r>
            <w:rPr/>
            <w:t>the</w:t>
          </w:r>
          <w:r>
            <w:rPr>
              <w:spacing w:val="-7"/>
            </w:rPr>
            <w:t> </w:t>
          </w:r>
          <w:r>
            <w:rPr/>
            <w:t>impact</w:t>
          </w:r>
          <w:r>
            <w:rPr>
              <w:spacing w:val="-4"/>
            </w:rPr>
            <w:t> </w:t>
          </w:r>
          <w:r>
            <w:rPr/>
            <w:t>of</w:t>
          </w:r>
          <w:r>
            <w:rPr>
              <w:spacing w:val="-4"/>
            </w:rPr>
            <w:t> </w:t>
          </w:r>
          <w:r>
            <w:rPr/>
            <w:t>hostel accommodation</w:t>
          </w:r>
          <w:r>
            <w:rPr>
              <w:spacing w:val="-3"/>
            </w:rPr>
            <w:t> </w:t>
          </w:r>
          <w:r>
            <w:rPr/>
            <w:t>on students’ welfare in Universities in three geopolitical</w:t>
          </w:r>
        </w:p>
        <w:p>
          <w:pPr>
            <w:pStyle w:val="TOC4"/>
            <w:tabs>
              <w:tab w:pos="9201" w:val="right" w:leader="none"/>
            </w:tabs>
            <w:spacing w:line="271" w:lineRule="exact"/>
          </w:pPr>
          <w:r>
            <w:rPr/>
            <w:t>zones</w:t>
          </w:r>
          <w:r>
            <w:rPr>
              <w:spacing w:val="-9"/>
            </w:rPr>
            <w:t> </w:t>
          </w:r>
          <w:r>
            <w:rPr/>
            <w:t>in</w:t>
          </w:r>
          <w:r>
            <w:rPr>
              <w:spacing w:val="-4"/>
            </w:rPr>
            <w:t> </w:t>
          </w:r>
          <w:r>
            <w:rPr/>
            <w:t>Northern</w:t>
          </w:r>
          <w:r>
            <w:rPr>
              <w:spacing w:val="-7"/>
            </w:rPr>
            <w:t> </w:t>
          </w:r>
          <w:r>
            <w:rPr/>
            <w:t>part</w:t>
          </w:r>
          <w:r>
            <w:rPr>
              <w:spacing w:val="-8"/>
            </w:rPr>
            <w:t> </w:t>
          </w:r>
          <w:r>
            <w:rPr/>
            <w:t>of</w:t>
          </w:r>
          <w:r>
            <w:rPr>
              <w:spacing w:val="-4"/>
            </w:rPr>
            <w:t> </w:t>
          </w:r>
          <w:r>
            <w:rPr/>
            <w:t>Nigeria</w:t>
          </w:r>
          <w:r>
            <w:rPr>
              <w:spacing w:val="-4"/>
            </w:rPr>
            <w:t> </w:t>
          </w:r>
          <w:r>
            <w:rPr>
              <w:spacing w:val="-2"/>
            </w:rPr>
            <w:t>……………………………………….</w:t>
          </w:r>
          <w:r>
            <w:rPr/>
            <w:tab/>
          </w:r>
          <w:r>
            <w:rPr>
              <w:spacing w:val="-5"/>
            </w:rPr>
            <w:t>238</w:t>
          </w:r>
        </w:p>
        <w:p>
          <w:pPr>
            <w:pStyle w:val="TOC1"/>
            <w:numPr>
              <w:ilvl w:val="2"/>
              <w:numId w:val="4"/>
            </w:numPr>
            <w:tabs>
              <w:tab w:pos="877" w:val="left" w:leader="none"/>
              <w:tab w:pos="880" w:val="left" w:leader="none"/>
            </w:tabs>
            <w:spacing w:line="242" w:lineRule="auto" w:before="276" w:after="0"/>
            <w:ind w:left="880" w:right="1731" w:hanging="720"/>
            <w:jc w:val="left"/>
          </w:pPr>
          <w:r>
            <w:rPr/>
            <w:t>Opinions</w:t>
          </w:r>
          <w:r>
            <w:rPr>
              <w:spacing w:val="-3"/>
            </w:rPr>
            <w:t> </w:t>
          </w:r>
          <w:r>
            <w:rPr/>
            <w:t>of</w:t>
          </w:r>
          <w:r>
            <w:rPr>
              <w:spacing w:val="-7"/>
            </w:rPr>
            <w:t> </w:t>
          </w:r>
          <w:r>
            <w:rPr/>
            <w:t>respondents</w:t>
          </w:r>
          <w:r>
            <w:rPr>
              <w:spacing w:val="-3"/>
            </w:rPr>
            <w:t> </w:t>
          </w:r>
          <w:r>
            <w:rPr/>
            <w:t>on</w:t>
          </w:r>
          <w:r>
            <w:rPr>
              <w:spacing w:val="-2"/>
            </w:rPr>
            <w:t> </w:t>
          </w:r>
          <w:r>
            <w:rPr/>
            <w:t>the</w:t>
          </w:r>
          <w:r>
            <w:rPr>
              <w:spacing w:val="-6"/>
            </w:rPr>
            <w:t> </w:t>
          </w:r>
          <w:r>
            <w:rPr/>
            <w:t>impact</w:t>
          </w:r>
          <w:r>
            <w:rPr>
              <w:spacing w:val="-3"/>
            </w:rPr>
            <w:t> </w:t>
          </w:r>
          <w:r>
            <w:rPr/>
            <w:t>of</w:t>
          </w:r>
          <w:r>
            <w:rPr>
              <w:spacing w:val="-3"/>
            </w:rPr>
            <w:t> </w:t>
          </w:r>
          <w:r>
            <w:rPr/>
            <w:t>Guidance</w:t>
          </w:r>
          <w:r>
            <w:rPr>
              <w:spacing w:val="-2"/>
            </w:rPr>
            <w:t> </w:t>
          </w:r>
          <w:r>
            <w:rPr/>
            <w:t>and</w:t>
          </w:r>
          <w:r>
            <w:rPr>
              <w:spacing w:val="-6"/>
            </w:rPr>
            <w:t> </w:t>
          </w:r>
          <w:r>
            <w:rPr/>
            <w:t>counselling on students’ welfare services in Universities in three geopolitical</w:t>
          </w:r>
        </w:p>
        <w:p>
          <w:pPr>
            <w:pStyle w:val="TOC4"/>
            <w:tabs>
              <w:tab w:pos="9201" w:val="right" w:leader="none"/>
            </w:tabs>
            <w:spacing w:line="271" w:lineRule="exact"/>
          </w:pPr>
          <w:r>
            <w:rPr/>
            <w:t>zones</w:t>
          </w:r>
          <w:r>
            <w:rPr>
              <w:spacing w:val="-9"/>
            </w:rPr>
            <w:t> </w:t>
          </w:r>
          <w:r>
            <w:rPr/>
            <w:t>in</w:t>
          </w:r>
          <w:r>
            <w:rPr>
              <w:spacing w:val="-4"/>
            </w:rPr>
            <w:t> </w:t>
          </w:r>
          <w:r>
            <w:rPr/>
            <w:t>Northern</w:t>
          </w:r>
          <w:r>
            <w:rPr>
              <w:spacing w:val="-7"/>
            </w:rPr>
            <w:t> </w:t>
          </w:r>
          <w:r>
            <w:rPr/>
            <w:t>part</w:t>
          </w:r>
          <w:r>
            <w:rPr>
              <w:spacing w:val="-8"/>
            </w:rPr>
            <w:t> </w:t>
          </w:r>
          <w:r>
            <w:rPr/>
            <w:t>of</w:t>
          </w:r>
          <w:r>
            <w:rPr>
              <w:spacing w:val="-2"/>
            </w:rPr>
            <w:t> </w:t>
          </w:r>
          <w:r>
            <w:rPr/>
            <w:t>Nigeria</w:t>
          </w:r>
          <w:r>
            <w:rPr>
              <w:spacing w:val="-4"/>
            </w:rPr>
            <w:t> </w:t>
          </w:r>
          <w:r>
            <w:rPr>
              <w:spacing w:val="-2"/>
            </w:rPr>
            <w:t>…………………………..…………...</w:t>
          </w:r>
          <w:r>
            <w:rPr/>
            <w:tab/>
          </w:r>
          <w:r>
            <w:rPr>
              <w:spacing w:val="-5"/>
            </w:rPr>
            <w:t>239</w:t>
          </w:r>
        </w:p>
        <w:p>
          <w:pPr>
            <w:pStyle w:val="TOC1"/>
            <w:numPr>
              <w:ilvl w:val="2"/>
              <w:numId w:val="4"/>
            </w:numPr>
            <w:tabs>
              <w:tab w:pos="880" w:val="left" w:leader="none"/>
              <w:tab w:pos="896" w:val="left" w:leader="none"/>
            </w:tabs>
            <w:spacing w:line="242" w:lineRule="auto" w:before="276" w:after="0"/>
            <w:ind w:left="880" w:right="2092" w:hanging="720"/>
            <w:jc w:val="left"/>
          </w:pPr>
          <w:r>
            <w:rPr/>
            <w:tab/>
            <w:t>Opinions</w:t>
          </w:r>
          <w:r>
            <w:rPr>
              <w:spacing w:val="-3"/>
            </w:rPr>
            <w:t> </w:t>
          </w:r>
          <w:r>
            <w:rPr/>
            <w:t>of</w:t>
          </w:r>
          <w:r>
            <w:rPr>
              <w:spacing w:val="-7"/>
            </w:rPr>
            <w:t> </w:t>
          </w:r>
          <w:r>
            <w:rPr/>
            <w:t>respondents</w:t>
          </w:r>
          <w:r>
            <w:rPr>
              <w:spacing w:val="-3"/>
            </w:rPr>
            <w:t> </w:t>
          </w:r>
          <w:r>
            <w:rPr/>
            <w:t>on</w:t>
          </w:r>
          <w:r>
            <w:rPr>
              <w:spacing w:val="-2"/>
            </w:rPr>
            <w:t> </w:t>
          </w:r>
          <w:r>
            <w:rPr/>
            <w:t>the</w:t>
          </w:r>
          <w:r>
            <w:rPr>
              <w:spacing w:val="-6"/>
            </w:rPr>
            <w:t> </w:t>
          </w:r>
          <w:r>
            <w:rPr/>
            <w:t>impact</w:t>
          </w:r>
          <w:r>
            <w:rPr>
              <w:spacing w:val="-3"/>
            </w:rPr>
            <w:t> </w:t>
          </w:r>
          <w:r>
            <w:rPr/>
            <w:t>of</w:t>
          </w:r>
          <w:r>
            <w:rPr>
              <w:spacing w:val="-3"/>
            </w:rPr>
            <w:t> </w:t>
          </w:r>
          <w:r>
            <w:rPr/>
            <w:t>sports</w:t>
          </w:r>
          <w:r>
            <w:rPr>
              <w:spacing w:val="-8"/>
            </w:rPr>
            <w:t> </w:t>
          </w:r>
          <w:r>
            <w:rPr/>
            <w:t>and</w:t>
          </w:r>
          <w:r>
            <w:rPr>
              <w:spacing w:val="80"/>
            </w:rPr>
            <w:t> </w:t>
          </w:r>
          <w:r>
            <w:rPr/>
            <w:t>recreation services on students’ welfare services in Universities in three</w:t>
          </w:r>
        </w:p>
        <w:p>
          <w:pPr>
            <w:pStyle w:val="TOC4"/>
            <w:tabs>
              <w:tab w:pos="9201" w:val="right" w:leader="none"/>
            </w:tabs>
            <w:spacing w:line="271" w:lineRule="exact"/>
          </w:pPr>
          <w:r>
            <w:rPr/>
            <w:t>geopolitical</w:t>
          </w:r>
          <w:r>
            <w:rPr>
              <w:spacing w:val="-4"/>
            </w:rPr>
            <w:t> </w:t>
          </w:r>
          <w:r>
            <w:rPr/>
            <w:t>zones</w:t>
          </w:r>
          <w:r>
            <w:rPr>
              <w:spacing w:val="-11"/>
            </w:rPr>
            <w:t> </w:t>
          </w:r>
          <w:r>
            <w:rPr/>
            <w:t>in</w:t>
          </w:r>
          <w:r>
            <w:rPr>
              <w:spacing w:val="-5"/>
            </w:rPr>
            <w:t> </w:t>
          </w:r>
          <w:r>
            <w:rPr/>
            <w:t>Northern</w:t>
          </w:r>
          <w:r>
            <w:rPr>
              <w:spacing w:val="-10"/>
            </w:rPr>
            <w:t> </w:t>
          </w:r>
          <w:r>
            <w:rPr/>
            <w:t>part</w:t>
          </w:r>
          <w:r>
            <w:rPr>
              <w:spacing w:val="-10"/>
            </w:rPr>
            <w:t> </w:t>
          </w:r>
          <w:r>
            <w:rPr/>
            <w:t>of</w:t>
          </w:r>
          <w:r>
            <w:rPr>
              <w:spacing w:val="-7"/>
            </w:rPr>
            <w:t> </w:t>
          </w:r>
          <w:r>
            <w:rPr/>
            <w:t>Nigeria</w:t>
          </w:r>
          <w:r>
            <w:rPr>
              <w:spacing w:val="-9"/>
            </w:rPr>
            <w:t> </w:t>
          </w:r>
          <w:r>
            <w:rPr>
              <w:spacing w:val="-2"/>
            </w:rPr>
            <w:t>…………………….……</w:t>
          </w:r>
          <w:r>
            <w:rPr/>
            <w:tab/>
          </w:r>
          <w:r>
            <w:rPr>
              <w:spacing w:val="-5"/>
            </w:rPr>
            <w:t>239</w:t>
          </w:r>
        </w:p>
        <w:p>
          <w:pPr>
            <w:pStyle w:val="TOC1"/>
            <w:numPr>
              <w:ilvl w:val="2"/>
              <w:numId w:val="4"/>
            </w:numPr>
            <w:tabs>
              <w:tab w:pos="880" w:val="left" w:leader="none"/>
              <w:tab w:pos="896" w:val="left" w:leader="none"/>
            </w:tabs>
            <w:spacing w:line="240" w:lineRule="auto" w:before="276" w:after="240"/>
            <w:ind w:left="880" w:right="2975" w:hanging="720"/>
            <w:jc w:val="left"/>
          </w:pPr>
          <w:r>
            <w:rPr/>
            <w:tab/>
            <w:t>Opinions of respondents on the impact of security and communication</w:t>
          </w:r>
          <w:r>
            <w:rPr>
              <w:spacing w:val="-5"/>
            </w:rPr>
            <w:t> </w:t>
          </w:r>
          <w:r>
            <w:rPr/>
            <w:t>services</w:t>
          </w:r>
          <w:r>
            <w:rPr>
              <w:spacing w:val="-6"/>
            </w:rPr>
            <w:t> </w:t>
          </w:r>
          <w:r>
            <w:rPr/>
            <w:t>on</w:t>
          </w:r>
          <w:r>
            <w:rPr>
              <w:spacing w:val="-5"/>
            </w:rPr>
            <w:t> </w:t>
          </w:r>
          <w:r>
            <w:rPr/>
            <w:t>students’</w:t>
          </w:r>
          <w:r>
            <w:rPr>
              <w:spacing w:val="-6"/>
            </w:rPr>
            <w:t> </w:t>
          </w:r>
          <w:r>
            <w:rPr/>
            <w:t>welfare</w:t>
          </w:r>
          <w:r>
            <w:rPr>
              <w:spacing w:val="-9"/>
            </w:rPr>
            <w:t> </w:t>
          </w:r>
          <w:r>
            <w:rPr/>
            <w:t>services</w:t>
          </w:r>
          <w:r>
            <w:rPr>
              <w:spacing w:val="-10"/>
            </w:rPr>
            <w:t> </w:t>
          </w:r>
          <w:r>
            <w:rPr/>
            <w:t>in Universities in three geopolitical zones in Northern part</w:t>
          </w:r>
        </w:p>
        <w:p>
          <w:pPr>
            <w:pStyle w:val="TOC4"/>
            <w:tabs>
              <w:tab w:pos="9201" w:val="right" w:leader="dot"/>
            </w:tabs>
            <w:spacing w:before="362"/>
          </w:pPr>
          <w:r>
            <w:rPr/>
            <w:t>of</w:t>
          </w:r>
          <w:r>
            <w:rPr>
              <w:spacing w:val="-3"/>
            </w:rPr>
            <w:t> </w:t>
          </w:r>
          <w:r>
            <w:rPr>
              <w:spacing w:val="-2"/>
            </w:rPr>
            <w:t>Nigeria</w:t>
          </w:r>
          <w:r>
            <w:rPr/>
            <w:tab/>
          </w:r>
          <w:r>
            <w:rPr>
              <w:spacing w:val="-5"/>
            </w:rPr>
            <w:t>240</w:t>
          </w:r>
        </w:p>
        <w:p>
          <w:pPr>
            <w:pStyle w:val="TOC1"/>
            <w:numPr>
              <w:ilvl w:val="2"/>
              <w:numId w:val="4"/>
            </w:numPr>
            <w:tabs>
              <w:tab w:pos="877" w:val="left" w:leader="none"/>
              <w:tab w:pos="880" w:val="left" w:leader="none"/>
            </w:tabs>
            <w:spacing w:line="237" w:lineRule="auto" w:before="279" w:after="0"/>
            <w:ind w:left="880" w:right="2382" w:hanging="720"/>
            <w:jc w:val="left"/>
          </w:pPr>
          <w:r>
            <w:rPr/>
            <w:t>Opinions</w:t>
          </w:r>
          <w:r>
            <w:rPr>
              <w:spacing w:val="-4"/>
            </w:rPr>
            <w:t> </w:t>
          </w:r>
          <w:r>
            <w:rPr/>
            <w:t>of</w:t>
          </w:r>
          <w:r>
            <w:rPr>
              <w:spacing w:val="-4"/>
            </w:rPr>
            <w:t> </w:t>
          </w:r>
          <w:r>
            <w:rPr/>
            <w:t>Respondents</w:t>
          </w:r>
          <w:r>
            <w:rPr>
              <w:spacing w:val="-4"/>
            </w:rPr>
            <w:t> </w:t>
          </w:r>
          <w:r>
            <w:rPr/>
            <w:t>on</w:t>
          </w:r>
          <w:r>
            <w:rPr>
              <w:spacing w:val="-3"/>
            </w:rPr>
            <w:t> </w:t>
          </w:r>
          <w:r>
            <w:rPr/>
            <w:t>the</w:t>
          </w:r>
          <w:r>
            <w:rPr>
              <w:spacing w:val="-7"/>
            </w:rPr>
            <w:t> </w:t>
          </w:r>
          <w:r>
            <w:rPr/>
            <w:t>impact</w:t>
          </w:r>
          <w:r>
            <w:rPr>
              <w:spacing w:val="-4"/>
            </w:rPr>
            <w:t> </w:t>
          </w:r>
          <w:r>
            <w:rPr/>
            <w:t>of</w:t>
          </w:r>
          <w:r>
            <w:rPr>
              <w:spacing w:val="-4"/>
            </w:rPr>
            <w:t> </w:t>
          </w:r>
          <w:r>
            <w:rPr/>
            <w:t>Transport</w:t>
          </w:r>
          <w:r>
            <w:rPr>
              <w:spacing w:val="-4"/>
            </w:rPr>
            <w:t> </w:t>
          </w:r>
          <w:r>
            <w:rPr/>
            <w:t>Services on Students’ Welfare in Universities in three geopolitical</w:t>
          </w:r>
        </w:p>
        <w:p>
          <w:pPr>
            <w:pStyle w:val="TOC4"/>
            <w:tabs>
              <w:tab w:pos="9201" w:val="right" w:leader="none"/>
            </w:tabs>
            <w:spacing w:before="3"/>
          </w:pPr>
          <w:r>
            <w:rPr/>
            <w:t>zones</w:t>
          </w:r>
          <w:r>
            <w:rPr>
              <w:spacing w:val="-9"/>
            </w:rPr>
            <w:t> </w:t>
          </w:r>
          <w:r>
            <w:rPr/>
            <w:t>in</w:t>
          </w:r>
          <w:r>
            <w:rPr>
              <w:spacing w:val="-4"/>
            </w:rPr>
            <w:t> </w:t>
          </w:r>
          <w:r>
            <w:rPr/>
            <w:t>Northern</w:t>
          </w:r>
          <w:r>
            <w:rPr>
              <w:spacing w:val="-7"/>
            </w:rPr>
            <w:t> </w:t>
          </w:r>
          <w:r>
            <w:rPr/>
            <w:t>part</w:t>
          </w:r>
          <w:r>
            <w:rPr>
              <w:spacing w:val="-8"/>
            </w:rPr>
            <w:t> </w:t>
          </w:r>
          <w:r>
            <w:rPr/>
            <w:t>of</w:t>
          </w:r>
          <w:r>
            <w:rPr>
              <w:spacing w:val="-4"/>
            </w:rPr>
            <w:t> </w:t>
          </w:r>
          <w:r>
            <w:rPr/>
            <w:t>Nigeria</w:t>
          </w:r>
          <w:r>
            <w:rPr>
              <w:spacing w:val="-4"/>
            </w:rPr>
            <w:t> </w:t>
          </w:r>
          <w:r>
            <w:rPr>
              <w:spacing w:val="-2"/>
            </w:rPr>
            <w:t>………………………………………..</w:t>
          </w:r>
          <w:r>
            <w:rPr/>
            <w:tab/>
          </w:r>
          <w:r>
            <w:rPr>
              <w:spacing w:val="-5"/>
            </w:rPr>
            <w:t>241</w:t>
          </w:r>
        </w:p>
        <w:p>
          <w:pPr>
            <w:pStyle w:val="TOC1"/>
            <w:numPr>
              <w:ilvl w:val="2"/>
              <w:numId w:val="4"/>
            </w:numPr>
            <w:tabs>
              <w:tab w:pos="944" w:val="left" w:leader="none"/>
              <w:tab w:pos="947" w:val="left" w:leader="none"/>
            </w:tabs>
            <w:spacing w:line="237" w:lineRule="auto" w:before="278" w:after="0"/>
            <w:ind w:left="947" w:right="2358" w:hanging="788"/>
            <w:jc w:val="left"/>
          </w:pPr>
          <w:r>
            <w:rPr/>
            <w:t>Opinions</w:t>
          </w:r>
          <w:r>
            <w:rPr>
              <w:spacing w:val="-4"/>
            </w:rPr>
            <w:t> </w:t>
          </w:r>
          <w:r>
            <w:rPr/>
            <w:t>of</w:t>
          </w:r>
          <w:r>
            <w:rPr>
              <w:spacing w:val="-4"/>
            </w:rPr>
            <w:t> </w:t>
          </w:r>
          <w:r>
            <w:rPr/>
            <w:t>Respondents</w:t>
          </w:r>
          <w:r>
            <w:rPr>
              <w:spacing w:val="-4"/>
            </w:rPr>
            <w:t> </w:t>
          </w:r>
          <w:r>
            <w:rPr/>
            <w:t>on</w:t>
          </w:r>
          <w:r>
            <w:rPr>
              <w:spacing w:val="-3"/>
            </w:rPr>
            <w:t> </w:t>
          </w:r>
          <w:r>
            <w:rPr/>
            <w:t>the</w:t>
          </w:r>
          <w:r>
            <w:rPr>
              <w:spacing w:val="-7"/>
            </w:rPr>
            <w:t> </w:t>
          </w:r>
          <w:r>
            <w:rPr/>
            <w:t>impact</w:t>
          </w:r>
          <w:r>
            <w:rPr>
              <w:spacing w:val="-4"/>
            </w:rPr>
            <w:t> </w:t>
          </w:r>
          <w:r>
            <w:rPr/>
            <w:t>of</w:t>
          </w:r>
          <w:r>
            <w:rPr>
              <w:spacing w:val="-4"/>
            </w:rPr>
            <w:t> </w:t>
          </w:r>
          <w:r>
            <w:rPr/>
            <w:t>Religious</w:t>
          </w:r>
          <w:r>
            <w:rPr>
              <w:spacing w:val="-4"/>
            </w:rPr>
            <w:t> </w:t>
          </w:r>
          <w:r>
            <w:rPr/>
            <w:t>Services on Students’ Welfare in Universities in three geopolitical</w:t>
          </w:r>
        </w:p>
        <w:p>
          <w:pPr>
            <w:pStyle w:val="TOC5"/>
            <w:tabs>
              <w:tab w:pos="9201" w:val="right" w:leader="none"/>
            </w:tabs>
            <w:spacing w:line="240" w:lineRule="auto" w:before="3"/>
            <w:ind w:left="947"/>
          </w:pPr>
          <w:r>
            <w:rPr/>
            <w:t>zones</w:t>
          </w:r>
          <w:r>
            <w:rPr>
              <w:spacing w:val="-10"/>
            </w:rPr>
            <w:t> </w:t>
          </w:r>
          <w:r>
            <w:rPr/>
            <w:t>in</w:t>
          </w:r>
          <w:r>
            <w:rPr>
              <w:spacing w:val="-4"/>
            </w:rPr>
            <w:t> </w:t>
          </w:r>
          <w:r>
            <w:rPr/>
            <w:t>Northern</w:t>
          </w:r>
          <w:r>
            <w:rPr>
              <w:spacing w:val="-4"/>
            </w:rPr>
            <w:t> </w:t>
          </w:r>
          <w:r>
            <w:rPr/>
            <w:t>part</w:t>
          </w:r>
          <w:r>
            <w:rPr>
              <w:spacing w:val="-9"/>
            </w:rPr>
            <w:t> </w:t>
          </w:r>
          <w:r>
            <w:rPr/>
            <w:t>of</w:t>
          </w:r>
          <w:r>
            <w:rPr>
              <w:spacing w:val="-5"/>
            </w:rPr>
            <w:t> </w:t>
          </w:r>
          <w:r>
            <w:rPr/>
            <w:t>Nigeria</w:t>
          </w:r>
          <w:r>
            <w:rPr>
              <w:spacing w:val="-4"/>
            </w:rPr>
            <w:t> </w:t>
          </w:r>
          <w:r>
            <w:rPr>
              <w:spacing w:val="-2"/>
            </w:rPr>
            <w:t>………………..………………..</w:t>
          </w:r>
          <w:r>
            <w:rPr/>
            <w:tab/>
          </w:r>
          <w:r>
            <w:rPr>
              <w:spacing w:val="-5"/>
            </w:rPr>
            <w:t>241</w:t>
          </w:r>
        </w:p>
        <w:p>
          <w:pPr>
            <w:pStyle w:val="TOC1"/>
            <w:numPr>
              <w:ilvl w:val="2"/>
              <w:numId w:val="4"/>
            </w:numPr>
            <w:tabs>
              <w:tab w:pos="1032" w:val="left" w:leader="none"/>
            </w:tabs>
            <w:spacing w:line="275" w:lineRule="exact" w:before="276" w:after="0"/>
            <w:ind w:left="1032" w:right="0" w:hanging="872"/>
            <w:jc w:val="left"/>
          </w:pPr>
          <w:r>
            <w:rPr/>
            <w:t>Opinions</w:t>
          </w:r>
          <w:r>
            <w:rPr>
              <w:spacing w:val="-7"/>
            </w:rPr>
            <w:t> </w:t>
          </w:r>
          <w:r>
            <w:rPr/>
            <w:t>of</w:t>
          </w:r>
          <w:r>
            <w:rPr>
              <w:spacing w:val="-10"/>
            </w:rPr>
            <w:t> </w:t>
          </w:r>
          <w:r>
            <w:rPr/>
            <w:t>Respondents</w:t>
          </w:r>
          <w:r>
            <w:rPr>
              <w:spacing w:val="-6"/>
            </w:rPr>
            <w:t> </w:t>
          </w:r>
          <w:r>
            <w:rPr/>
            <w:t>on</w:t>
          </w:r>
          <w:r>
            <w:rPr>
              <w:spacing w:val="-9"/>
            </w:rPr>
            <w:t> </w:t>
          </w:r>
          <w:r>
            <w:rPr/>
            <w:t>the</w:t>
          </w:r>
          <w:r>
            <w:rPr>
              <w:spacing w:val="-9"/>
            </w:rPr>
            <w:t> </w:t>
          </w:r>
          <w:r>
            <w:rPr/>
            <w:t>impact</w:t>
          </w:r>
          <w:r>
            <w:rPr>
              <w:spacing w:val="-6"/>
            </w:rPr>
            <w:t> </w:t>
          </w:r>
          <w:r>
            <w:rPr/>
            <w:t>of</w:t>
          </w:r>
          <w:r>
            <w:rPr>
              <w:spacing w:val="-6"/>
            </w:rPr>
            <w:t> </w:t>
          </w:r>
          <w:r>
            <w:rPr/>
            <w:t>Banking</w:t>
          </w:r>
          <w:r>
            <w:rPr>
              <w:spacing w:val="-6"/>
            </w:rPr>
            <w:t> </w:t>
          </w:r>
          <w:r>
            <w:rPr>
              <w:spacing w:val="-5"/>
            </w:rPr>
            <w:t>and</w:t>
          </w:r>
        </w:p>
        <w:p>
          <w:pPr>
            <w:pStyle w:val="TOC5"/>
            <w:tabs>
              <w:tab w:pos="9201" w:val="right" w:leader="none"/>
            </w:tabs>
          </w:pPr>
          <w:r>
            <w:rPr/>
            <w:t>Telecommunications</w:t>
          </w:r>
          <w:r>
            <w:rPr>
              <w:spacing w:val="-14"/>
            </w:rPr>
            <w:t> </w:t>
          </w:r>
          <w:r>
            <w:rPr/>
            <w:t>services</w:t>
          </w:r>
          <w:r>
            <w:rPr>
              <w:spacing w:val="-13"/>
            </w:rPr>
            <w:t> </w:t>
          </w:r>
          <w:r>
            <w:rPr/>
            <w:t>on</w:t>
          </w:r>
          <w:r>
            <w:rPr>
              <w:spacing w:val="-12"/>
            </w:rPr>
            <w:t> </w:t>
          </w:r>
          <w:r>
            <w:rPr/>
            <w:t>Students’</w:t>
          </w:r>
          <w:r>
            <w:rPr>
              <w:spacing w:val="-17"/>
            </w:rPr>
            <w:t> </w:t>
          </w:r>
          <w:r>
            <w:rPr>
              <w:spacing w:val="-2"/>
            </w:rPr>
            <w:t>Welfare………………...</w:t>
          </w:r>
          <w:r>
            <w:rPr/>
            <w:tab/>
          </w:r>
          <w:r>
            <w:rPr>
              <w:spacing w:val="-5"/>
            </w:rPr>
            <w:t>242</w:t>
          </w:r>
        </w:p>
        <w:p>
          <w:pPr>
            <w:pStyle w:val="TOC1"/>
            <w:numPr>
              <w:ilvl w:val="2"/>
              <w:numId w:val="4"/>
            </w:numPr>
            <w:tabs>
              <w:tab w:pos="1014" w:val="left" w:leader="none"/>
              <w:tab w:pos="1032" w:val="left" w:leader="none"/>
            </w:tabs>
            <w:spacing w:line="242" w:lineRule="auto" w:before="276" w:after="0"/>
            <w:ind w:left="1014" w:right="2185" w:hanging="855"/>
            <w:jc w:val="left"/>
          </w:pPr>
          <w:r>
            <w:rPr/>
            <w:tab/>
            <w:t>Opinions</w:t>
          </w:r>
          <w:r>
            <w:rPr>
              <w:spacing w:val="-4"/>
            </w:rPr>
            <w:t> </w:t>
          </w:r>
          <w:r>
            <w:rPr/>
            <w:t>of</w:t>
          </w:r>
          <w:r>
            <w:rPr>
              <w:spacing w:val="-8"/>
            </w:rPr>
            <w:t> </w:t>
          </w:r>
          <w:r>
            <w:rPr/>
            <w:t>Respondents</w:t>
          </w:r>
          <w:r>
            <w:rPr>
              <w:spacing w:val="-4"/>
            </w:rPr>
            <w:t> </w:t>
          </w:r>
          <w:r>
            <w:rPr/>
            <w:t>on</w:t>
          </w:r>
          <w:r>
            <w:rPr>
              <w:spacing w:val="-7"/>
            </w:rPr>
            <w:t> </w:t>
          </w:r>
          <w:r>
            <w:rPr/>
            <w:t>the</w:t>
          </w:r>
          <w:r>
            <w:rPr>
              <w:spacing w:val="-3"/>
            </w:rPr>
            <w:t> </w:t>
          </w:r>
          <w:r>
            <w:rPr/>
            <w:t>Impact</w:t>
          </w:r>
          <w:r>
            <w:rPr>
              <w:spacing w:val="-4"/>
            </w:rPr>
            <w:t> </w:t>
          </w:r>
          <w:r>
            <w:rPr/>
            <w:t>of</w:t>
          </w:r>
          <w:r>
            <w:rPr>
              <w:spacing w:val="-4"/>
            </w:rPr>
            <w:t> </w:t>
          </w:r>
          <w:r>
            <w:rPr/>
            <w:t>Library</w:t>
          </w:r>
          <w:r>
            <w:rPr>
              <w:spacing w:val="-4"/>
            </w:rPr>
            <w:t> </w:t>
          </w:r>
          <w:r>
            <w:rPr/>
            <w:t>Services</w:t>
          </w:r>
          <w:r>
            <w:rPr>
              <w:spacing w:val="-9"/>
            </w:rPr>
            <w:t> </w:t>
          </w:r>
          <w:r>
            <w:rPr/>
            <w:t>on Students’ Welfare in Universities in three geopolitical</w:t>
          </w:r>
        </w:p>
        <w:p>
          <w:pPr>
            <w:pStyle w:val="TOC5"/>
            <w:tabs>
              <w:tab w:pos="9201" w:val="right" w:leader="none"/>
            </w:tabs>
            <w:spacing w:line="271" w:lineRule="exact"/>
          </w:pPr>
          <w:r>
            <w:rPr/>
            <w:t>zones</w:t>
          </w:r>
          <w:r>
            <w:rPr>
              <w:spacing w:val="-11"/>
            </w:rPr>
            <w:t> </w:t>
          </w:r>
          <w:r>
            <w:rPr/>
            <w:t>in</w:t>
          </w:r>
          <w:r>
            <w:rPr>
              <w:spacing w:val="-4"/>
            </w:rPr>
            <w:t> </w:t>
          </w:r>
          <w:r>
            <w:rPr/>
            <w:t>Northern</w:t>
          </w:r>
          <w:r>
            <w:rPr>
              <w:spacing w:val="-5"/>
            </w:rPr>
            <w:t> </w:t>
          </w:r>
          <w:r>
            <w:rPr/>
            <w:t>part</w:t>
          </w:r>
          <w:r>
            <w:rPr>
              <w:spacing w:val="-6"/>
            </w:rPr>
            <w:t> </w:t>
          </w:r>
          <w:r>
            <w:rPr/>
            <w:t>of</w:t>
          </w:r>
          <w:r>
            <w:rPr>
              <w:spacing w:val="-5"/>
            </w:rPr>
            <w:t> </w:t>
          </w:r>
          <w:r>
            <w:rPr/>
            <w:t>Nigeria</w:t>
          </w:r>
          <w:r>
            <w:rPr>
              <w:spacing w:val="-5"/>
            </w:rPr>
            <w:t> </w:t>
          </w:r>
          <w:r>
            <w:rPr>
              <w:spacing w:val="-2"/>
            </w:rPr>
            <w:t>…,,,,,………………………….…….</w:t>
          </w:r>
          <w:r>
            <w:rPr/>
            <w:tab/>
          </w:r>
          <w:r>
            <w:rPr>
              <w:spacing w:val="-5"/>
            </w:rPr>
            <w:t>242</w:t>
          </w:r>
        </w:p>
        <w:p>
          <w:pPr>
            <w:pStyle w:val="TOC1"/>
            <w:numPr>
              <w:ilvl w:val="2"/>
              <w:numId w:val="4"/>
            </w:numPr>
            <w:tabs>
              <w:tab w:pos="962" w:val="left" w:leader="none"/>
              <w:tab w:pos="1009" w:val="left" w:leader="none"/>
            </w:tabs>
            <w:spacing w:line="237" w:lineRule="auto" w:before="557" w:after="0"/>
            <w:ind w:left="1009" w:right="2387" w:hanging="850"/>
            <w:jc w:val="left"/>
          </w:pPr>
          <w:r>
            <w:rPr/>
            <w:t>Opinions of Respondents on impact of Classrooms Lecture Halls,</w:t>
          </w:r>
          <w:r>
            <w:rPr>
              <w:spacing w:val="-7"/>
            </w:rPr>
            <w:t> </w:t>
          </w:r>
          <w:r>
            <w:rPr/>
            <w:t>Laboratories,</w:t>
          </w:r>
          <w:r>
            <w:rPr>
              <w:spacing w:val="-7"/>
            </w:rPr>
            <w:t> </w:t>
          </w:r>
          <w:r>
            <w:rPr/>
            <w:t>Workshops</w:t>
          </w:r>
          <w:r>
            <w:rPr>
              <w:spacing w:val="-3"/>
            </w:rPr>
            <w:t> </w:t>
          </w:r>
          <w:r>
            <w:rPr/>
            <w:t>and</w:t>
          </w:r>
          <w:r>
            <w:rPr>
              <w:spacing w:val="-6"/>
            </w:rPr>
            <w:t> </w:t>
          </w:r>
          <w:r>
            <w:rPr/>
            <w:t>Field</w:t>
          </w:r>
          <w:r>
            <w:rPr>
              <w:spacing w:val="-10"/>
            </w:rPr>
            <w:t> </w:t>
          </w:r>
          <w:r>
            <w:rPr/>
            <w:t>Work</w:t>
          </w:r>
          <w:r>
            <w:rPr>
              <w:spacing w:val="-3"/>
            </w:rPr>
            <w:t> </w:t>
          </w:r>
          <w:r>
            <w:rPr/>
            <w:t>on</w:t>
          </w:r>
          <w:r>
            <w:rPr>
              <w:spacing w:val="-2"/>
            </w:rPr>
            <w:t> </w:t>
          </w:r>
          <w:r>
            <w:rPr/>
            <w:t>Students’</w:t>
          </w:r>
        </w:p>
        <w:p>
          <w:pPr>
            <w:pStyle w:val="TOC5"/>
            <w:spacing w:before="3"/>
            <w:ind w:left="1009"/>
          </w:pPr>
          <w:r>
            <w:rPr/>
            <w:t>Welfare</w:t>
          </w:r>
          <w:r>
            <w:rPr>
              <w:spacing w:val="-6"/>
            </w:rPr>
            <w:t> </w:t>
          </w:r>
          <w:r>
            <w:rPr/>
            <w:t>Services</w:t>
          </w:r>
          <w:r>
            <w:rPr>
              <w:spacing w:val="-11"/>
            </w:rPr>
            <w:t> </w:t>
          </w:r>
          <w:r>
            <w:rPr/>
            <w:t>in</w:t>
          </w:r>
          <w:r>
            <w:rPr>
              <w:spacing w:val="-6"/>
            </w:rPr>
            <w:t> </w:t>
          </w:r>
          <w:r>
            <w:rPr/>
            <w:t>Universities</w:t>
          </w:r>
          <w:r>
            <w:rPr>
              <w:spacing w:val="-11"/>
            </w:rPr>
            <w:t> </w:t>
          </w:r>
          <w:r>
            <w:rPr/>
            <w:t>in</w:t>
          </w:r>
          <w:r>
            <w:rPr>
              <w:spacing w:val="-6"/>
            </w:rPr>
            <w:t> </w:t>
          </w:r>
          <w:r>
            <w:rPr/>
            <w:t>three</w:t>
          </w:r>
          <w:r>
            <w:rPr>
              <w:spacing w:val="-6"/>
            </w:rPr>
            <w:t> </w:t>
          </w:r>
          <w:r>
            <w:rPr>
              <w:spacing w:val="-2"/>
            </w:rPr>
            <w:t>geopolitical</w:t>
          </w:r>
        </w:p>
        <w:p>
          <w:pPr>
            <w:pStyle w:val="TOC5"/>
            <w:tabs>
              <w:tab w:pos="9201" w:val="right" w:leader="none"/>
            </w:tabs>
          </w:pPr>
          <w:r>
            <w:rPr/>
            <w:t>zones</w:t>
          </w:r>
          <w:r>
            <w:rPr>
              <w:spacing w:val="-9"/>
            </w:rPr>
            <w:t> </w:t>
          </w:r>
          <w:r>
            <w:rPr/>
            <w:t>in</w:t>
          </w:r>
          <w:r>
            <w:rPr>
              <w:spacing w:val="-3"/>
            </w:rPr>
            <w:t> </w:t>
          </w:r>
          <w:r>
            <w:rPr/>
            <w:t>the</w:t>
          </w:r>
          <w:r>
            <w:rPr>
              <w:spacing w:val="-3"/>
            </w:rPr>
            <w:t> </w:t>
          </w:r>
          <w:r>
            <w:rPr/>
            <w:t>Northern</w:t>
          </w:r>
          <w:r>
            <w:rPr>
              <w:spacing w:val="-7"/>
            </w:rPr>
            <w:t> </w:t>
          </w:r>
          <w:r>
            <w:rPr/>
            <w:t>part</w:t>
          </w:r>
          <w:r>
            <w:rPr>
              <w:spacing w:val="-8"/>
            </w:rPr>
            <w:t> </w:t>
          </w:r>
          <w:r>
            <w:rPr/>
            <w:t>of</w:t>
          </w:r>
          <w:r>
            <w:rPr>
              <w:spacing w:val="-4"/>
            </w:rPr>
            <w:t> </w:t>
          </w:r>
          <w:r>
            <w:rPr/>
            <w:t>Nigeria</w:t>
          </w:r>
          <w:r>
            <w:rPr>
              <w:spacing w:val="-3"/>
            </w:rPr>
            <w:t> </w:t>
          </w:r>
          <w:r>
            <w:rPr>
              <w:spacing w:val="-2"/>
            </w:rPr>
            <w:t>………………………..………..</w:t>
          </w:r>
          <w:r>
            <w:rPr/>
            <w:tab/>
          </w:r>
          <w:r>
            <w:rPr>
              <w:spacing w:val="-5"/>
            </w:rPr>
            <w:t>243</w:t>
          </w:r>
        </w:p>
        <w:p>
          <w:pPr>
            <w:pStyle w:val="TOC1"/>
            <w:numPr>
              <w:ilvl w:val="2"/>
              <w:numId w:val="4"/>
            </w:numPr>
            <w:tabs>
              <w:tab w:pos="877" w:val="left" w:leader="none"/>
              <w:tab w:pos="880" w:val="left" w:leader="none"/>
            </w:tabs>
            <w:spacing w:line="242" w:lineRule="auto" w:before="277" w:after="0"/>
            <w:ind w:left="880" w:right="1985" w:hanging="720"/>
            <w:jc w:val="left"/>
          </w:pPr>
          <w:r>
            <w:rPr/>
            <w:t>Opinions</w:t>
          </w:r>
          <w:r>
            <w:rPr>
              <w:spacing w:val="-4"/>
            </w:rPr>
            <w:t> </w:t>
          </w:r>
          <w:r>
            <w:rPr/>
            <w:t>of</w:t>
          </w:r>
          <w:r>
            <w:rPr>
              <w:spacing w:val="-8"/>
            </w:rPr>
            <w:t> </w:t>
          </w:r>
          <w:r>
            <w:rPr/>
            <w:t>respondents</w:t>
          </w:r>
          <w:r>
            <w:rPr>
              <w:spacing w:val="-4"/>
            </w:rPr>
            <w:t> </w:t>
          </w:r>
          <w:r>
            <w:rPr/>
            <w:t>on</w:t>
          </w:r>
          <w:r>
            <w:rPr>
              <w:spacing w:val="-3"/>
            </w:rPr>
            <w:t> </w:t>
          </w:r>
          <w:r>
            <w:rPr/>
            <w:t>the</w:t>
          </w:r>
          <w:r>
            <w:rPr>
              <w:spacing w:val="-7"/>
            </w:rPr>
            <w:t> </w:t>
          </w:r>
          <w:r>
            <w:rPr/>
            <w:t>impact</w:t>
          </w:r>
          <w:r>
            <w:rPr>
              <w:spacing w:val="-4"/>
            </w:rPr>
            <w:t> </w:t>
          </w:r>
          <w:r>
            <w:rPr/>
            <w:t>of</w:t>
          </w:r>
          <w:r>
            <w:rPr>
              <w:spacing w:val="-4"/>
            </w:rPr>
            <w:t> </w:t>
          </w:r>
          <w:r>
            <w:rPr/>
            <w:t>Information</w:t>
          </w:r>
          <w:r>
            <w:rPr>
              <w:spacing w:val="-3"/>
            </w:rPr>
            <w:t> </w:t>
          </w:r>
          <w:r>
            <w:rPr/>
            <w:t>Technology on Students’ Welfare in Universities in three geopolitical</w:t>
          </w:r>
        </w:p>
        <w:p>
          <w:pPr>
            <w:pStyle w:val="TOC4"/>
            <w:tabs>
              <w:tab w:pos="9201" w:val="right" w:leader="none"/>
            </w:tabs>
            <w:spacing w:line="271" w:lineRule="exact"/>
          </w:pPr>
          <w:r>
            <w:rPr/>
            <w:t>zones</w:t>
          </w:r>
          <w:r>
            <w:rPr>
              <w:spacing w:val="-9"/>
            </w:rPr>
            <w:t> </w:t>
          </w:r>
          <w:r>
            <w:rPr/>
            <w:t>in</w:t>
          </w:r>
          <w:r>
            <w:rPr>
              <w:spacing w:val="-4"/>
            </w:rPr>
            <w:t> </w:t>
          </w:r>
          <w:r>
            <w:rPr/>
            <w:t>Northern</w:t>
          </w:r>
          <w:r>
            <w:rPr>
              <w:spacing w:val="-7"/>
            </w:rPr>
            <w:t> </w:t>
          </w:r>
          <w:r>
            <w:rPr/>
            <w:t>part</w:t>
          </w:r>
          <w:r>
            <w:rPr>
              <w:spacing w:val="-8"/>
            </w:rPr>
            <w:t> </w:t>
          </w:r>
          <w:r>
            <w:rPr/>
            <w:t>of</w:t>
          </w:r>
          <w:r>
            <w:rPr>
              <w:spacing w:val="-4"/>
            </w:rPr>
            <w:t> </w:t>
          </w:r>
          <w:r>
            <w:rPr/>
            <w:t>Nigeria</w:t>
          </w:r>
          <w:r>
            <w:rPr>
              <w:spacing w:val="-4"/>
            </w:rPr>
            <w:t> </w:t>
          </w:r>
          <w:r>
            <w:rPr>
              <w:spacing w:val="-2"/>
            </w:rPr>
            <w:t>……………….………………………..</w:t>
          </w:r>
          <w:r>
            <w:rPr/>
            <w:tab/>
          </w:r>
          <w:r>
            <w:rPr>
              <w:spacing w:val="-5"/>
            </w:rPr>
            <w:t>243</w:t>
          </w:r>
        </w:p>
        <w:p>
          <w:pPr>
            <w:pStyle w:val="TOC1"/>
            <w:numPr>
              <w:ilvl w:val="2"/>
              <w:numId w:val="4"/>
            </w:numPr>
            <w:tabs>
              <w:tab w:pos="1095" w:val="left" w:leader="none"/>
              <w:tab w:pos="1148" w:val="left" w:leader="none"/>
            </w:tabs>
            <w:spacing w:line="237" w:lineRule="auto" w:before="556" w:after="0"/>
            <w:ind w:left="1148" w:right="2134" w:hanging="989"/>
            <w:jc w:val="left"/>
          </w:pPr>
          <w:r>
            <w:rPr/>
            <w:t>Opinions</w:t>
          </w:r>
          <w:r>
            <w:rPr>
              <w:spacing w:val="-5"/>
            </w:rPr>
            <w:t> </w:t>
          </w:r>
          <w:r>
            <w:rPr/>
            <w:t>of</w:t>
          </w:r>
          <w:r>
            <w:rPr>
              <w:spacing w:val="-5"/>
            </w:rPr>
            <w:t> </w:t>
          </w:r>
          <w:r>
            <w:rPr/>
            <w:t>Respondents</w:t>
          </w:r>
          <w:r>
            <w:rPr>
              <w:spacing w:val="-5"/>
            </w:rPr>
            <w:t> </w:t>
          </w:r>
          <w:r>
            <w:rPr/>
            <w:t>on</w:t>
          </w:r>
          <w:r>
            <w:rPr>
              <w:spacing w:val="-4"/>
            </w:rPr>
            <w:t> </w:t>
          </w:r>
          <w:r>
            <w:rPr/>
            <w:t>the</w:t>
          </w:r>
          <w:r>
            <w:rPr>
              <w:spacing w:val="-8"/>
            </w:rPr>
            <w:t> </w:t>
          </w:r>
          <w:r>
            <w:rPr/>
            <w:t>impact</w:t>
          </w:r>
          <w:r>
            <w:rPr>
              <w:spacing w:val="-5"/>
            </w:rPr>
            <w:t> </w:t>
          </w:r>
          <w:r>
            <w:rPr/>
            <w:t>of</w:t>
          </w:r>
          <w:r>
            <w:rPr>
              <w:spacing w:val="-5"/>
            </w:rPr>
            <w:t> </w:t>
          </w:r>
          <w:r>
            <w:rPr/>
            <w:t>Medical</w:t>
          </w:r>
          <w:r>
            <w:rPr>
              <w:spacing w:val="-2"/>
            </w:rPr>
            <w:t> </w:t>
          </w:r>
          <w:r>
            <w:rPr/>
            <w:t>and</w:t>
          </w:r>
          <w:r>
            <w:rPr>
              <w:spacing w:val="-4"/>
            </w:rPr>
            <w:t> </w:t>
          </w:r>
          <w:r>
            <w:rPr/>
            <w:t>Health Services on students’ welfare in</w:t>
          </w:r>
          <w:r>
            <w:rPr>
              <w:spacing w:val="40"/>
            </w:rPr>
            <w:t> </w:t>
          </w:r>
          <w:r>
            <w:rPr/>
            <w:t>Universities in three Geo-</w:t>
          </w:r>
        </w:p>
        <w:p>
          <w:pPr>
            <w:pStyle w:val="TOC7"/>
            <w:tabs>
              <w:tab w:pos="9201" w:val="right" w:leader="none"/>
            </w:tabs>
          </w:pPr>
          <w:r>
            <w:rPr/>
            <w:t>Political</w:t>
          </w:r>
          <w:r>
            <w:rPr>
              <w:spacing w:val="-6"/>
            </w:rPr>
            <w:t> </w:t>
          </w:r>
          <w:r>
            <w:rPr/>
            <w:t>zones</w:t>
          </w:r>
          <w:r>
            <w:rPr>
              <w:spacing w:val="-10"/>
            </w:rPr>
            <w:t> </w:t>
          </w:r>
          <w:r>
            <w:rPr/>
            <w:t>in</w:t>
          </w:r>
          <w:r>
            <w:rPr>
              <w:spacing w:val="-5"/>
            </w:rPr>
            <w:t> </w:t>
          </w:r>
          <w:r>
            <w:rPr/>
            <w:t>Northern</w:t>
          </w:r>
          <w:r>
            <w:rPr>
              <w:spacing w:val="-5"/>
            </w:rPr>
            <w:t> </w:t>
          </w:r>
          <w:r>
            <w:rPr/>
            <w:t>Part</w:t>
          </w:r>
          <w:r>
            <w:rPr>
              <w:spacing w:val="-9"/>
            </w:rPr>
            <w:t> </w:t>
          </w:r>
          <w:r>
            <w:rPr/>
            <w:t>of</w:t>
          </w:r>
          <w:r>
            <w:rPr>
              <w:spacing w:val="-6"/>
            </w:rPr>
            <w:t> </w:t>
          </w:r>
          <w:r>
            <w:rPr>
              <w:spacing w:val="-2"/>
            </w:rPr>
            <w:t>Nigeria…………………………..</w:t>
          </w:r>
          <w:r>
            <w:rPr/>
            <w:tab/>
          </w:r>
          <w:r>
            <w:rPr>
              <w:spacing w:val="-5"/>
            </w:rPr>
            <w:t>244</w:t>
          </w:r>
        </w:p>
        <w:p>
          <w:pPr>
            <w:pStyle w:val="TOC1"/>
            <w:numPr>
              <w:ilvl w:val="2"/>
              <w:numId w:val="4"/>
            </w:numPr>
            <w:tabs>
              <w:tab w:pos="1014" w:val="left" w:leader="none"/>
              <w:tab w:pos="1032" w:val="left" w:leader="none"/>
            </w:tabs>
            <w:spacing w:line="237" w:lineRule="auto" w:before="279" w:after="0"/>
            <w:ind w:left="1014" w:right="2723" w:hanging="855"/>
            <w:jc w:val="left"/>
          </w:pPr>
          <w:r>
            <w:rPr/>
            <w:tab/>
            <w:t>Opinions</w:t>
          </w:r>
          <w:r>
            <w:rPr>
              <w:spacing w:val="-6"/>
            </w:rPr>
            <w:t> </w:t>
          </w:r>
          <w:r>
            <w:rPr/>
            <w:t>of</w:t>
          </w:r>
          <w:r>
            <w:rPr>
              <w:spacing w:val="-9"/>
            </w:rPr>
            <w:t> </w:t>
          </w:r>
          <w:r>
            <w:rPr/>
            <w:t>Respondents</w:t>
          </w:r>
          <w:r>
            <w:rPr>
              <w:spacing w:val="-6"/>
            </w:rPr>
            <w:t> </w:t>
          </w:r>
          <w:r>
            <w:rPr/>
            <w:t>on</w:t>
          </w:r>
          <w:r>
            <w:rPr>
              <w:spacing w:val="-8"/>
            </w:rPr>
            <w:t> </w:t>
          </w:r>
          <w:r>
            <w:rPr/>
            <w:t>the</w:t>
          </w:r>
          <w:r>
            <w:rPr>
              <w:spacing w:val="-8"/>
            </w:rPr>
            <w:t> </w:t>
          </w:r>
          <w:r>
            <w:rPr/>
            <w:t>impact</w:t>
          </w:r>
          <w:r>
            <w:rPr>
              <w:spacing w:val="-6"/>
            </w:rPr>
            <w:t> </w:t>
          </w:r>
          <w:r>
            <w:rPr/>
            <w:t>of</w:t>
          </w:r>
          <w:r>
            <w:rPr>
              <w:spacing w:val="-6"/>
            </w:rPr>
            <w:t> </w:t>
          </w:r>
          <w:r>
            <w:rPr/>
            <w:t>Environmental Services on Students’ Welfare in Universities in</w:t>
          </w:r>
          <w:r>
            <w:rPr>
              <w:spacing w:val="40"/>
            </w:rPr>
            <w:t> </w:t>
          </w:r>
          <w:r>
            <w:rPr/>
            <w:t>three</w:t>
          </w:r>
        </w:p>
        <w:p>
          <w:pPr>
            <w:pStyle w:val="TOC5"/>
            <w:tabs>
              <w:tab w:pos="9201" w:val="right" w:leader="none"/>
            </w:tabs>
            <w:spacing w:line="240" w:lineRule="auto" w:before="3"/>
          </w:pPr>
          <w:r>
            <w:rPr/>
            <w:t>geopolitical</w:t>
          </w:r>
          <w:r>
            <w:rPr>
              <w:spacing w:val="-5"/>
            </w:rPr>
            <w:t> </w:t>
          </w:r>
          <w:r>
            <w:rPr/>
            <w:t>zones</w:t>
          </w:r>
          <w:r>
            <w:rPr>
              <w:spacing w:val="-12"/>
            </w:rPr>
            <w:t> </w:t>
          </w:r>
          <w:r>
            <w:rPr/>
            <w:t>in</w:t>
          </w:r>
          <w:r>
            <w:rPr>
              <w:spacing w:val="-6"/>
            </w:rPr>
            <w:t> </w:t>
          </w:r>
          <w:r>
            <w:rPr/>
            <w:t>Northern</w:t>
          </w:r>
          <w:r>
            <w:rPr>
              <w:spacing w:val="-7"/>
            </w:rPr>
            <w:t> </w:t>
          </w:r>
          <w:r>
            <w:rPr/>
            <w:t>part</w:t>
          </w:r>
          <w:r>
            <w:rPr>
              <w:spacing w:val="-8"/>
            </w:rPr>
            <w:t> </w:t>
          </w:r>
          <w:r>
            <w:rPr/>
            <w:t>of</w:t>
          </w:r>
          <w:r>
            <w:rPr>
              <w:spacing w:val="-8"/>
            </w:rPr>
            <w:t> </w:t>
          </w:r>
          <w:r>
            <w:rPr/>
            <w:t>Nigeria</w:t>
          </w:r>
          <w:r>
            <w:rPr>
              <w:spacing w:val="-10"/>
            </w:rPr>
            <w:t> </w:t>
          </w:r>
          <w:r>
            <w:rPr>
              <w:spacing w:val="-2"/>
            </w:rPr>
            <w:t>…….…………………...</w:t>
          </w:r>
          <w:r>
            <w:rPr/>
            <w:tab/>
          </w:r>
          <w:r>
            <w:rPr>
              <w:spacing w:val="-5"/>
            </w:rPr>
            <w:t>244</w:t>
          </w:r>
        </w:p>
        <w:p>
          <w:pPr>
            <w:pStyle w:val="TOC1"/>
            <w:numPr>
              <w:ilvl w:val="2"/>
              <w:numId w:val="4"/>
            </w:numPr>
            <w:tabs>
              <w:tab w:pos="876" w:val="left" w:leader="none"/>
              <w:tab w:pos="1062" w:val="left" w:leader="none"/>
            </w:tabs>
            <w:spacing w:line="237" w:lineRule="auto" w:before="278" w:after="0"/>
            <w:ind w:left="1062" w:right="1945" w:hanging="903"/>
            <w:jc w:val="left"/>
          </w:pPr>
          <w:r>
            <w:rPr/>
            <w:t>Opinions</w:t>
          </w:r>
          <w:r>
            <w:rPr>
              <w:spacing w:val="-3"/>
            </w:rPr>
            <w:t> </w:t>
          </w:r>
          <w:r>
            <w:rPr/>
            <w:t>of</w:t>
          </w:r>
          <w:r>
            <w:rPr>
              <w:spacing w:val="-7"/>
            </w:rPr>
            <w:t> </w:t>
          </w:r>
          <w:r>
            <w:rPr/>
            <w:t>respondents</w:t>
          </w:r>
          <w:r>
            <w:rPr>
              <w:spacing w:val="-3"/>
            </w:rPr>
            <w:t> </w:t>
          </w:r>
          <w:r>
            <w:rPr/>
            <w:t>on</w:t>
          </w:r>
          <w:r>
            <w:rPr>
              <w:spacing w:val="-2"/>
            </w:rPr>
            <w:t> </w:t>
          </w:r>
          <w:r>
            <w:rPr/>
            <w:t>the</w:t>
          </w:r>
          <w:r>
            <w:rPr>
              <w:spacing w:val="-2"/>
            </w:rPr>
            <w:t> </w:t>
          </w:r>
          <w:r>
            <w:rPr/>
            <w:t>effects</w:t>
          </w:r>
          <w:r>
            <w:rPr>
              <w:spacing w:val="-3"/>
            </w:rPr>
            <w:t> </w:t>
          </w:r>
          <w:r>
            <w:rPr/>
            <w:t>of</w:t>
          </w:r>
          <w:r>
            <w:rPr>
              <w:spacing w:val="-5"/>
            </w:rPr>
            <w:t> </w:t>
          </w:r>
          <w:r>
            <w:rPr/>
            <w:t>the</w:t>
          </w:r>
          <w:r>
            <w:rPr>
              <w:spacing w:val="-6"/>
            </w:rPr>
            <w:t> </w:t>
          </w:r>
          <w:r>
            <w:rPr/>
            <w:t>perceived</w:t>
          </w:r>
          <w:r>
            <w:rPr>
              <w:spacing w:val="-2"/>
            </w:rPr>
            <w:t> </w:t>
          </w:r>
          <w:r>
            <w:rPr/>
            <w:t>strategies for effective management of students’ services in Universities</w:t>
          </w:r>
        </w:p>
        <w:p>
          <w:pPr>
            <w:pStyle w:val="TOC6"/>
            <w:spacing w:before="4"/>
          </w:pPr>
          <w:r>
            <w:rPr/>
            <w:t>in</w:t>
          </w:r>
          <w:r>
            <w:rPr>
              <w:spacing w:val="-5"/>
            </w:rPr>
            <w:t> </w:t>
          </w:r>
          <w:r>
            <w:rPr/>
            <w:t>three</w:t>
          </w:r>
          <w:r>
            <w:rPr>
              <w:spacing w:val="-8"/>
            </w:rPr>
            <w:t> </w:t>
          </w:r>
          <w:r>
            <w:rPr/>
            <w:t>geopolitical</w:t>
          </w:r>
          <w:r>
            <w:rPr>
              <w:spacing w:val="-2"/>
            </w:rPr>
            <w:t> </w:t>
          </w:r>
          <w:r>
            <w:rPr/>
            <w:t>zones</w:t>
          </w:r>
          <w:r>
            <w:rPr>
              <w:spacing w:val="-10"/>
            </w:rPr>
            <w:t> </w:t>
          </w:r>
          <w:r>
            <w:rPr/>
            <w:t>in</w:t>
          </w:r>
          <w:r>
            <w:rPr>
              <w:spacing w:val="-4"/>
            </w:rPr>
            <w:t> </w:t>
          </w:r>
          <w:r>
            <w:rPr>
              <w:spacing w:val="-2"/>
            </w:rPr>
            <w:t>Northern</w:t>
          </w:r>
        </w:p>
        <w:p>
          <w:pPr>
            <w:pStyle w:val="TOC6"/>
            <w:tabs>
              <w:tab w:pos="9201" w:val="right" w:leader="none"/>
            </w:tabs>
          </w:pPr>
          <w:r>
            <w:rPr/>
            <w:t>part</w:t>
          </w:r>
          <w:r>
            <w:rPr>
              <w:spacing w:val="-5"/>
            </w:rPr>
            <w:t> </w:t>
          </w:r>
          <w:r>
            <w:rPr/>
            <w:t>of</w:t>
          </w:r>
          <w:r>
            <w:rPr>
              <w:spacing w:val="-4"/>
            </w:rPr>
            <w:t> </w:t>
          </w:r>
          <w:r>
            <w:rPr/>
            <w:t>Nigeria</w:t>
          </w:r>
          <w:r>
            <w:rPr>
              <w:spacing w:val="-3"/>
            </w:rPr>
            <w:t> </w:t>
          </w:r>
          <w:r>
            <w:rPr>
              <w:spacing w:val="-2"/>
            </w:rPr>
            <w:t>…………………………………………………………</w:t>
          </w:r>
          <w:r>
            <w:rPr/>
            <w:tab/>
          </w:r>
          <w:r>
            <w:rPr>
              <w:spacing w:val="-5"/>
            </w:rPr>
            <w:t>245</w:t>
          </w:r>
        </w:p>
        <w:p>
          <w:pPr>
            <w:pStyle w:val="TOC1"/>
            <w:numPr>
              <w:ilvl w:val="1"/>
              <w:numId w:val="4"/>
            </w:numPr>
            <w:tabs>
              <w:tab w:pos="879" w:val="left" w:leader="none"/>
              <w:tab w:pos="9201" w:val="right" w:leader="none"/>
            </w:tabs>
            <w:spacing w:line="240" w:lineRule="auto" w:before="276" w:after="0"/>
            <w:ind w:left="879" w:right="0" w:hanging="719"/>
            <w:jc w:val="left"/>
          </w:pPr>
          <w:hyperlink w:history="true" w:anchor="_TOC_250003">
            <w:r>
              <w:rPr>
                <w:spacing w:val="-2"/>
              </w:rPr>
              <w:t>Summary………………………………………………………………......</w:t>
            </w:r>
            <w:r>
              <w:rPr/>
              <w:tab/>
            </w:r>
            <w:r>
              <w:rPr>
                <w:spacing w:val="-5"/>
              </w:rPr>
              <w:t>245</w:t>
            </w:r>
          </w:hyperlink>
        </w:p>
        <w:p>
          <w:pPr>
            <w:pStyle w:val="TOC3"/>
          </w:pPr>
          <w:hyperlink w:history="true" w:anchor="_TOC_250002">
            <w:r>
              <w:rPr/>
              <w:t>CHAPTER</w:t>
            </w:r>
            <w:r>
              <w:rPr>
                <w:spacing w:val="-9"/>
              </w:rPr>
              <w:t> </w:t>
            </w:r>
            <w:r>
              <w:rPr>
                <w:spacing w:val="-4"/>
              </w:rPr>
              <w:t>FIVE</w:t>
            </w:r>
          </w:hyperlink>
        </w:p>
        <w:p>
          <w:pPr>
            <w:pStyle w:val="TOC4"/>
            <w:spacing w:before="325" w:after="240"/>
          </w:pPr>
          <w:hyperlink w:history="true" w:anchor="_TOC_250001">
            <w:r>
              <w:rPr/>
              <w:t>SUMMARY,</w:t>
            </w:r>
            <w:r>
              <w:rPr>
                <w:spacing w:val="-16"/>
              </w:rPr>
              <w:t> </w:t>
            </w:r>
            <w:r>
              <w:rPr/>
              <w:t>CONCLUSIONS</w:t>
            </w:r>
            <w:r>
              <w:rPr>
                <w:spacing w:val="-16"/>
              </w:rPr>
              <w:t> </w:t>
            </w:r>
            <w:r>
              <w:rPr/>
              <w:t>AND</w:t>
            </w:r>
            <w:r>
              <w:rPr>
                <w:spacing w:val="-16"/>
              </w:rPr>
              <w:t> </w:t>
            </w:r>
            <w:r>
              <w:rPr>
                <w:spacing w:val="-2"/>
              </w:rPr>
              <w:t>RECOMMENDATIONS</w:t>
            </w:r>
          </w:hyperlink>
        </w:p>
        <w:p>
          <w:pPr>
            <w:pStyle w:val="TOC1"/>
            <w:numPr>
              <w:ilvl w:val="1"/>
              <w:numId w:val="5"/>
            </w:numPr>
            <w:tabs>
              <w:tab w:pos="879" w:val="left" w:leader="none"/>
              <w:tab w:pos="8799" w:val="left" w:leader="none"/>
            </w:tabs>
            <w:spacing w:line="240" w:lineRule="auto" w:before="362" w:after="0"/>
            <w:ind w:left="879" w:right="0" w:hanging="719"/>
            <w:jc w:val="left"/>
          </w:pPr>
          <w:r>
            <w:rPr/>
            <w:t>Summary</w:t>
          </w:r>
          <w:r>
            <w:rPr>
              <w:spacing w:val="-9"/>
            </w:rPr>
            <w:t> </w:t>
          </w:r>
          <w:r>
            <w:rPr/>
            <w:t>of</w:t>
          </w:r>
          <w:r>
            <w:rPr>
              <w:spacing w:val="-9"/>
            </w:rPr>
            <w:t> </w:t>
          </w:r>
          <w:r>
            <w:rPr>
              <w:spacing w:val="-2"/>
            </w:rPr>
            <w:t>Findings……………………………………………………..</w:t>
          </w:r>
          <w:r>
            <w:rPr/>
            <w:tab/>
          </w:r>
          <w:r>
            <w:rPr>
              <w:spacing w:val="-5"/>
            </w:rPr>
            <w:t>247</w:t>
          </w:r>
        </w:p>
        <w:p>
          <w:pPr>
            <w:pStyle w:val="TOC1"/>
            <w:numPr>
              <w:ilvl w:val="2"/>
              <w:numId w:val="5"/>
            </w:numPr>
            <w:tabs>
              <w:tab w:pos="877" w:val="left" w:leader="none"/>
              <w:tab w:pos="880" w:val="left" w:leader="none"/>
            </w:tabs>
            <w:spacing w:line="237" w:lineRule="auto" w:before="279" w:after="0"/>
            <w:ind w:left="880" w:right="1720" w:hanging="720"/>
            <w:jc w:val="left"/>
          </w:pPr>
          <w:r>
            <w:rPr/>
            <w:t>The</w:t>
          </w:r>
          <w:r>
            <w:rPr>
              <w:spacing w:val="-2"/>
            </w:rPr>
            <w:t> </w:t>
          </w:r>
          <w:r>
            <w:rPr/>
            <w:t>Types</w:t>
          </w:r>
          <w:r>
            <w:rPr>
              <w:spacing w:val="-3"/>
            </w:rPr>
            <w:t> </w:t>
          </w:r>
          <w:r>
            <w:rPr/>
            <w:t>and</w:t>
          </w:r>
          <w:r>
            <w:rPr>
              <w:spacing w:val="-2"/>
            </w:rPr>
            <w:t> </w:t>
          </w:r>
          <w:r>
            <w:rPr/>
            <w:t>Availability</w:t>
          </w:r>
          <w:r>
            <w:rPr>
              <w:spacing w:val="-8"/>
            </w:rPr>
            <w:t> </w:t>
          </w:r>
          <w:r>
            <w:rPr/>
            <w:t>of</w:t>
          </w:r>
          <w:r>
            <w:rPr>
              <w:spacing w:val="-3"/>
            </w:rPr>
            <w:t> </w:t>
          </w:r>
          <w:r>
            <w:rPr/>
            <w:t>Students’</w:t>
          </w:r>
          <w:r>
            <w:rPr>
              <w:spacing w:val="-8"/>
            </w:rPr>
            <w:t> </w:t>
          </w:r>
          <w:r>
            <w:rPr/>
            <w:t>Welfare</w:t>
          </w:r>
          <w:r>
            <w:rPr>
              <w:spacing w:val="-2"/>
            </w:rPr>
            <w:t> </w:t>
          </w:r>
          <w:r>
            <w:rPr/>
            <w:t>Services</w:t>
          </w:r>
          <w:r>
            <w:rPr>
              <w:spacing w:val="-8"/>
            </w:rPr>
            <w:t> </w:t>
          </w:r>
          <w:r>
            <w:rPr/>
            <w:t>in</w:t>
          </w:r>
          <w:r>
            <w:rPr>
              <w:spacing w:val="-2"/>
            </w:rPr>
            <w:t> </w:t>
          </w:r>
          <w:r>
            <w:rPr/>
            <w:t>Respect of Social Services in universities in three geopolitical zones in</w:t>
          </w:r>
        </w:p>
        <w:p>
          <w:pPr>
            <w:pStyle w:val="TOC4"/>
            <w:tabs>
              <w:tab w:pos="8799" w:val="left" w:leader="none"/>
            </w:tabs>
            <w:spacing w:before="3"/>
          </w:pPr>
          <w:r>
            <w:rPr/>
            <w:t>Northern</w:t>
          </w:r>
          <w:r>
            <w:rPr>
              <w:spacing w:val="-6"/>
            </w:rPr>
            <w:t> </w:t>
          </w:r>
          <w:r>
            <w:rPr/>
            <w:t>part</w:t>
          </w:r>
          <w:r>
            <w:rPr>
              <w:spacing w:val="-6"/>
            </w:rPr>
            <w:t> </w:t>
          </w:r>
          <w:r>
            <w:rPr/>
            <w:t>of</w:t>
          </w:r>
          <w:r>
            <w:rPr>
              <w:spacing w:val="-3"/>
            </w:rPr>
            <w:t> </w:t>
          </w:r>
          <w:r>
            <w:rPr>
              <w:spacing w:val="-2"/>
            </w:rPr>
            <w:t>Nigeria…………………………………………………</w:t>
          </w:r>
          <w:r>
            <w:rPr/>
            <w:tab/>
          </w:r>
          <w:r>
            <w:rPr>
              <w:spacing w:val="-5"/>
            </w:rPr>
            <w:t>248</w:t>
          </w:r>
        </w:p>
        <w:p>
          <w:pPr>
            <w:pStyle w:val="TOC1"/>
            <w:numPr>
              <w:ilvl w:val="2"/>
              <w:numId w:val="5"/>
            </w:numPr>
            <w:tabs>
              <w:tab w:pos="877" w:val="left" w:leader="none"/>
              <w:tab w:pos="880" w:val="left" w:leader="none"/>
            </w:tabs>
            <w:spacing w:line="237" w:lineRule="auto" w:before="278" w:after="0"/>
            <w:ind w:left="880" w:right="1720" w:hanging="720"/>
            <w:jc w:val="left"/>
          </w:pPr>
          <w:r>
            <w:rPr/>
            <w:t>The</w:t>
          </w:r>
          <w:r>
            <w:rPr>
              <w:spacing w:val="-2"/>
            </w:rPr>
            <w:t> </w:t>
          </w:r>
          <w:r>
            <w:rPr/>
            <w:t>Types</w:t>
          </w:r>
          <w:r>
            <w:rPr>
              <w:spacing w:val="-3"/>
            </w:rPr>
            <w:t> </w:t>
          </w:r>
          <w:r>
            <w:rPr/>
            <w:t>and</w:t>
          </w:r>
          <w:r>
            <w:rPr>
              <w:spacing w:val="-2"/>
            </w:rPr>
            <w:t> </w:t>
          </w:r>
          <w:r>
            <w:rPr/>
            <w:t>Availability</w:t>
          </w:r>
          <w:r>
            <w:rPr>
              <w:spacing w:val="-8"/>
            </w:rPr>
            <w:t> </w:t>
          </w:r>
          <w:r>
            <w:rPr/>
            <w:t>of</w:t>
          </w:r>
          <w:r>
            <w:rPr>
              <w:spacing w:val="-3"/>
            </w:rPr>
            <w:t> </w:t>
          </w:r>
          <w:r>
            <w:rPr/>
            <w:t>Students’</w:t>
          </w:r>
          <w:r>
            <w:rPr>
              <w:spacing w:val="-8"/>
            </w:rPr>
            <w:t> </w:t>
          </w:r>
          <w:r>
            <w:rPr/>
            <w:t>Welfare</w:t>
          </w:r>
          <w:r>
            <w:rPr>
              <w:spacing w:val="-2"/>
            </w:rPr>
            <w:t> </w:t>
          </w:r>
          <w:r>
            <w:rPr/>
            <w:t>Services</w:t>
          </w:r>
          <w:r>
            <w:rPr>
              <w:spacing w:val="-8"/>
            </w:rPr>
            <w:t> </w:t>
          </w:r>
          <w:r>
            <w:rPr/>
            <w:t>in</w:t>
          </w:r>
          <w:r>
            <w:rPr>
              <w:spacing w:val="-2"/>
            </w:rPr>
            <w:t> </w:t>
          </w:r>
          <w:r>
            <w:rPr/>
            <w:t>Respect of Academic Service in Universities in three geopolitical</w:t>
          </w:r>
        </w:p>
        <w:p>
          <w:pPr>
            <w:pStyle w:val="TOC4"/>
            <w:tabs>
              <w:tab w:pos="8799" w:val="left" w:leader="none"/>
            </w:tabs>
            <w:spacing w:before="3"/>
          </w:pPr>
          <w:r>
            <w:rPr/>
            <w:t>zones</w:t>
          </w:r>
          <w:r>
            <w:rPr>
              <w:spacing w:val="-9"/>
            </w:rPr>
            <w:t> </w:t>
          </w:r>
          <w:r>
            <w:rPr/>
            <w:t>in</w:t>
          </w:r>
          <w:r>
            <w:rPr>
              <w:spacing w:val="-4"/>
            </w:rPr>
            <w:t> </w:t>
          </w:r>
          <w:r>
            <w:rPr/>
            <w:t>Northern</w:t>
          </w:r>
          <w:r>
            <w:rPr>
              <w:spacing w:val="-7"/>
            </w:rPr>
            <w:t> </w:t>
          </w:r>
          <w:r>
            <w:rPr/>
            <w:t>part</w:t>
          </w:r>
          <w:r>
            <w:rPr>
              <w:spacing w:val="-8"/>
            </w:rPr>
            <w:t> </w:t>
          </w:r>
          <w:r>
            <w:rPr/>
            <w:t>of</w:t>
          </w:r>
          <w:r>
            <w:rPr>
              <w:spacing w:val="-4"/>
            </w:rPr>
            <w:t> </w:t>
          </w:r>
          <w:r>
            <w:rPr/>
            <w:t>Nigeria</w:t>
          </w:r>
          <w:r>
            <w:rPr>
              <w:spacing w:val="-4"/>
            </w:rPr>
            <w:t> </w:t>
          </w:r>
          <w:r>
            <w:rPr>
              <w:spacing w:val="-2"/>
            </w:rPr>
            <w:t>………………………………….</w:t>
          </w:r>
          <w:r>
            <w:rPr/>
            <w:tab/>
          </w:r>
          <w:r>
            <w:rPr>
              <w:spacing w:val="-5"/>
            </w:rPr>
            <w:t>248</w:t>
          </w:r>
        </w:p>
        <w:p>
          <w:pPr>
            <w:pStyle w:val="TOC1"/>
            <w:numPr>
              <w:ilvl w:val="2"/>
              <w:numId w:val="5"/>
            </w:numPr>
            <w:tabs>
              <w:tab w:pos="877" w:val="left" w:leader="none"/>
              <w:tab w:pos="880" w:val="left" w:leader="none"/>
            </w:tabs>
            <w:spacing w:line="237" w:lineRule="auto" w:before="279" w:after="0"/>
            <w:ind w:left="880" w:right="1720" w:hanging="720"/>
            <w:jc w:val="left"/>
          </w:pPr>
          <w:r>
            <w:rPr/>
            <w:t>The</w:t>
          </w:r>
          <w:r>
            <w:rPr>
              <w:spacing w:val="-2"/>
            </w:rPr>
            <w:t> </w:t>
          </w:r>
          <w:r>
            <w:rPr/>
            <w:t>Types</w:t>
          </w:r>
          <w:r>
            <w:rPr>
              <w:spacing w:val="-3"/>
            </w:rPr>
            <w:t> </w:t>
          </w:r>
          <w:r>
            <w:rPr/>
            <w:t>and</w:t>
          </w:r>
          <w:r>
            <w:rPr>
              <w:spacing w:val="-2"/>
            </w:rPr>
            <w:t> </w:t>
          </w:r>
          <w:r>
            <w:rPr/>
            <w:t>Availability</w:t>
          </w:r>
          <w:r>
            <w:rPr>
              <w:spacing w:val="-8"/>
            </w:rPr>
            <w:t> </w:t>
          </w:r>
          <w:r>
            <w:rPr/>
            <w:t>of</w:t>
          </w:r>
          <w:r>
            <w:rPr>
              <w:spacing w:val="-3"/>
            </w:rPr>
            <w:t> </w:t>
          </w:r>
          <w:r>
            <w:rPr/>
            <w:t>Students’</w:t>
          </w:r>
          <w:r>
            <w:rPr>
              <w:spacing w:val="-8"/>
            </w:rPr>
            <w:t> </w:t>
          </w:r>
          <w:r>
            <w:rPr/>
            <w:t>Welfare</w:t>
          </w:r>
          <w:r>
            <w:rPr>
              <w:spacing w:val="-2"/>
            </w:rPr>
            <w:t> </w:t>
          </w:r>
          <w:r>
            <w:rPr/>
            <w:t>Services</w:t>
          </w:r>
          <w:r>
            <w:rPr>
              <w:spacing w:val="-8"/>
            </w:rPr>
            <w:t> </w:t>
          </w:r>
          <w:r>
            <w:rPr/>
            <w:t>in</w:t>
          </w:r>
          <w:r>
            <w:rPr>
              <w:spacing w:val="-2"/>
            </w:rPr>
            <w:t> </w:t>
          </w:r>
          <w:r>
            <w:rPr/>
            <w:t>Respect of Medical Health Services in Universities in three</w:t>
          </w:r>
        </w:p>
        <w:p>
          <w:pPr>
            <w:pStyle w:val="TOC4"/>
            <w:tabs>
              <w:tab w:pos="8799" w:val="left" w:leader="none"/>
            </w:tabs>
            <w:spacing w:before="3"/>
          </w:pPr>
          <w:r>
            <w:rPr/>
            <w:t>geopolitical</w:t>
          </w:r>
          <w:r>
            <w:rPr>
              <w:spacing w:val="-4"/>
            </w:rPr>
            <w:t> </w:t>
          </w:r>
          <w:r>
            <w:rPr/>
            <w:t>zones</w:t>
          </w:r>
          <w:r>
            <w:rPr>
              <w:spacing w:val="-11"/>
            </w:rPr>
            <w:t> </w:t>
          </w:r>
          <w:r>
            <w:rPr/>
            <w:t>in</w:t>
          </w:r>
          <w:r>
            <w:rPr>
              <w:spacing w:val="-5"/>
            </w:rPr>
            <w:t> </w:t>
          </w:r>
          <w:r>
            <w:rPr/>
            <w:t>Northern</w:t>
          </w:r>
          <w:r>
            <w:rPr>
              <w:spacing w:val="-10"/>
            </w:rPr>
            <w:t> </w:t>
          </w:r>
          <w:r>
            <w:rPr/>
            <w:t>part</w:t>
          </w:r>
          <w:r>
            <w:rPr>
              <w:spacing w:val="-10"/>
            </w:rPr>
            <w:t> </w:t>
          </w:r>
          <w:r>
            <w:rPr/>
            <w:t>of</w:t>
          </w:r>
          <w:r>
            <w:rPr>
              <w:spacing w:val="-7"/>
            </w:rPr>
            <w:t> </w:t>
          </w:r>
          <w:r>
            <w:rPr/>
            <w:t>Nigeria</w:t>
          </w:r>
          <w:r>
            <w:rPr>
              <w:spacing w:val="-9"/>
            </w:rPr>
            <w:t> </w:t>
          </w:r>
          <w:r>
            <w:rPr>
              <w:spacing w:val="-2"/>
            </w:rPr>
            <w:t>…………………..</w:t>
          </w:r>
          <w:r>
            <w:rPr/>
            <w:tab/>
          </w:r>
          <w:r>
            <w:rPr>
              <w:spacing w:val="-5"/>
            </w:rPr>
            <w:t>248</w:t>
          </w:r>
        </w:p>
        <w:p>
          <w:pPr>
            <w:pStyle w:val="TOC1"/>
            <w:numPr>
              <w:ilvl w:val="2"/>
              <w:numId w:val="5"/>
            </w:numPr>
            <w:tabs>
              <w:tab w:pos="877" w:val="left" w:leader="none"/>
              <w:tab w:pos="880" w:val="left" w:leader="none"/>
            </w:tabs>
            <w:spacing w:line="242" w:lineRule="auto" w:before="550" w:after="0"/>
            <w:ind w:left="880" w:right="1932" w:hanging="720"/>
            <w:jc w:val="left"/>
          </w:pPr>
          <w:r>
            <w:rPr/>
            <w:t>Types</w:t>
          </w:r>
          <w:r>
            <w:rPr>
              <w:spacing w:val="-2"/>
            </w:rPr>
            <w:t> </w:t>
          </w:r>
          <w:r>
            <w:rPr/>
            <w:t>and</w:t>
          </w:r>
          <w:r>
            <w:rPr>
              <w:spacing w:val="-1"/>
            </w:rPr>
            <w:t> </w:t>
          </w:r>
          <w:r>
            <w:rPr/>
            <w:t>Availability</w:t>
          </w:r>
          <w:r>
            <w:rPr>
              <w:spacing w:val="-2"/>
            </w:rPr>
            <w:t> </w:t>
          </w:r>
          <w:r>
            <w:rPr/>
            <w:t>of</w:t>
          </w:r>
          <w:r>
            <w:rPr>
              <w:spacing w:val="-2"/>
            </w:rPr>
            <w:t> </w:t>
          </w:r>
          <w:r>
            <w:rPr/>
            <w:t>Students’</w:t>
          </w:r>
          <w:r>
            <w:rPr>
              <w:spacing w:val="-12"/>
            </w:rPr>
            <w:t> </w:t>
          </w:r>
          <w:r>
            <w:rPr/>
            <w:t>Welfare</w:t>
          </w:r>
          <w:r>
            <w:rPr>
              <w:spacing w:val="-5"/>
            </w:rPr>
            <w:t> </w:t>
          </w:r>
          <w:r>
            <w:rPr/>
            <w:t>Services</w:t>
          </w:r>
          <w:r>
            <w:rPr>
              <w:spacing w:val="-7"/>
            </w:rPr>
            <w:t> </w:t>
          </w:r>
          <w:r>
            <w:rPr/>
            <w:t>in</w:t>
          </w:r>
          <w:r>
            <w:rPr>
              <w:spacing w:val="-1"/>
            </w:rPr>
            <w:t> </w:t>
          </w:r>
          <w:r>
            <w:rPr/>
            <w:t>Respect</w:t>
          </w:r>
          <w:r>
            <w:rPr>
              <w:spacing w:val="-6"/>
            </w:rPr>
            <w:t> </w:t>
          </w:r>
          <w:r>
            <w:rPr/>
            <w:t>of Environmental Services in Universities in three geopolitical</w:t>
          </w:r>
        </w:p>
        <w:p>
          <w:pPr>
            <w:pStyle w:val="TOC4"/>
            <w:tabs>
              <w:tab w:pos="8799" w:val="left" w:leader="none"/>
            </w:tabs>
            <w:spacing w:line="271" w:lineRule="exact"/>
          </w:pPr>
          <w:r>
            <w:rPr/>
            <w:t>zones</w:t>
          </w:r>
          <w:r>
            <w:rPr>
              <w:spacing w:val="-9"/>
            </w:rPr>
            <w:t> </w:t>
          </w:r>
          <w:r>
            <w:rPr/>
            <w:t>in</w:t>
          </w:r>
          <w:r>
            <w:rPr>
              <w:spacing w:val="-4"/>
            </w:rPr>
            <w:t> </w:t>
          </w:r>
          <w:r>
            <w:rPr/>
            <w:t>Northern</w:t>
          </w:r>
          <w:r>
            <w:rPr>
              <w:spacing w:val="-7"/>
            </w:rPr>
            <w:t> </w:t>
          </w:r>
          <w:r>
            <w:rPr/>
            <w:t>part</w:t>
          </w:r>
          <w:r>
            <w:rPr>
              <w:spacing w:val="-8"/>
            </w:rPr>
            <w:t> </w:t>
          </w:r>
          <w:r>
            <w:rPr/>
            <w:t>of</w:t>
          </w:r>
          <w:r>
            <w:rPr>
              <w:spacing w:val="-4"/>
            </w:rPr>
            <w:t> </w:t>
          </w:r>
          <w:r>
            <w:rPr/>
            <w:t>Nigeria</w:t>
          </w:r>
          <w:r>
            <w:rPr>
              <w:spacing w:val="-4"/>
            </w:rPr>
            <w:t> </w:t>
          </w:r>
          <w:r>
            <w:rPr>
              <w:spacing w:val="-2"/>
            </w:rPr>
            <w:t>…………….…………………………</w:t>
          </w:r>
          <w:r>
            <w:rPr/>
            <w:tab/>
          </w:r>
          <w:r>
            <w:rPr>
              <w:spacing w:val="-5"/>
            </w:rPr>
            <w:t>249</w:t>
          </w:r>
        </w:p>
        <w:p>
          <w:pPr>
            <w:pStyle w:val="TOC1"/>
            <w:numPr>
              <w:ilvl w:val="2"/>
              <w:numId w:val="5"/>
            </w:numPr>
            <w:tabs>
              <w:tab w:pos="877" w:val="left" w:leader="none"/>
              <w:tab w:pos="880" w:val="left" w:leader="none"/>
            </w:tabs>
            <w:spacing w:line="242" w:lineRule="auto" w:before="276" w:after="0"/>
            <w:ind w:left="880" w:right="1909" w:hanging="720"/>
            <w:jc w:val="left"/>
          </w:pPr>
          <w:r>
            <w:rPr/>
            <w:t>Opinions</w:t>
          </w:r>
          <w:r>
            <w:rPr>
              <w:spacing w:val="-4"/>
            </w:rPr>
            <w:t> </w:t>
          </w:r>
          <w:r>
            <w:rPr/>
            <w:t>of</w:t>
          </w:r>
          <w:r>
            <w:rPr>
              <w:spacing w:val="-4"/>
            </w:rPr>
            <w:t> </w:t>
          </w:r>
          <w:r>
            <w:rPr/>
            <w:t>Respondents</w:t>
          </w:r>
          <w:r>
            <w:rPr>
              <w:spacing w:val="-4"/>
            </w:rPr>
            <w:t> </w:t>
          </w:r>
          <w:r>
            <w:rPr/>
            <w:t>on</w:t>
          </w:r>
          <w:r>
            <w:rPr>
              <w:spacing w:val="-6"/>
            </w:rPr>
            <w:t> </w:t>
          </w:r>
          <w:r>
            <w:rPr/>
            <w:t>impacts</w:t>
          </w:r>
          <w:r>
            <w:rPr>
              <w:spacing w:val="-4"/>
            </w:rPr>
            <w:t> </w:t>
          </w:r>
          <w:r>
            <w:rPr/>
            <w:t>of</w:t>
          </w:r>
          <w:r>
            <w:rPr>
              <w:spacing w:val="-4"/>
            </w:rPr>
            <w:t> </w:t>
          </w:r>
          <w:r>
            <w:rPr/>
            <w:t>Diverse</w:t>
          </w:r>
          <w:r>
            <w:rPr>
              <w:spacing w:val="-3"/>
            </w:rPr>
            <w:t> </w:t>
          </w:r>
          <w:r>
            <w:rPr/>
            <w:t>Students’</w:t>
          </w:r>
          <w:r>
            <w:rPr>
              <w:spacing w:val="-13"/>
            </w:rPr>
            <w:t> </w:t>
          </w:r>
          <w:r>
            <w:rPr/>
            <w:t>Welfare Services on Students’ welfare in Universities in three</w:t>
          </w:r>
        </w:p>
        <w:p>
          <w:pPr>
            <w:pStyle w:val="TOC4"/>
            <w:tabs>
              <w:tab w:pos="8799" w:val="left" w:leader="none"/>
            </w:tabs>
            <w:spacing w:line="271" w:lineRule="exact"/>
          </w:pPr>
          <w:r>
            <w:rPr/>
            <w:t>geopolitical</w:t>
          </w:r>
          <w:r>
            <w:rPr>
              <w:spacing w:val="-4"/>
            </w:rPr>
            <w:t> </w:t>
          </w:r>
          <w:r>
            <w:rPr/>
            <w:t>zones</w:t>
          </w:r>
          <w:r>
            <w:rPr>
              <w:spacing w:val="-11"/>
            </w:rPr>
            <w:t> </w:t>
          </w:r>
          <w:r>
            <w:rPr/>
            <w:t>in</w:t>
          </w:r>
          <w:r>
            <w:rPr>
              <w:spacing w:val="-5"/>
            </w:rPr>
            <w:t> </w:t>
          </w:r>
          <w:r>
            <w:rPr/>
            <w:t>Northern</w:t>
          </w:r>
          <w:r>
            <w:rPr>
              <w:spacing w:val="-10"/>
            </w:rPr>
            <w:t> </w:t>
          </w:r>
          <w:r>
            <w:rPr/>
            <w:t>part</w:t>
          </w:r>
          <w:r>
            <w:rPr>
              <w:spacing w:val="-10"/>
            </w:rPr>
            <w:t> </w:t>
          </w:r>
          <w:r>
            <w:rPr/>
            <w:t>of</w:t>
          </w:r>
          <w:r>
            <w:rPr>
              <w:spacing w:val="-7"/>
            </w:rPr>
            <w:t> </w:t>
          </w:r>
          <w:r>
            <w:rPr/>
            <w:t>Nigeria</w:t>
          </w:r>
          <w:r>
            <w:rPr>
              <w:spacing w:val="-9"/>
            </w:rPr>
            <w:t> </w:t>
          </w:r>
          <w:r>
            <w:rPr>
              <w:spacing w:val="-2"/>
            </w:rPr>
            <w:t>….…………...…………..</w:t>
          </w:r>
          <w:r>
            <w:rPr/>
            <w:tab/>
          </w:r>
          <w:r>
            <w:rPr>
              <w:spacing w:val="-5"/>
            </w:rPr>
            <w:t>249</w:t>
          </w:r>
        </w:p>
        <w:p>
          <w:pPr>
            <w:pStyle w:val="TOC1"/>
            <w:numPr>
              <w:ilvl w:val="3"/>
              <w:numId w:val="5"/>
            </w:numPr>
            <w:tabs>
              <w:tab w:pos="1239" w:val="left" w:leader="none"/>
              <w:tab w:pos="8799" w:val="left" w:leader="none"/>
            </w:tabs>
            <w:spacing w:line="240" w:lineRule="auto" w:before="276" w:after="0"/>
            <w:ind w:left="1239" w:right="0" w:hanging="1079"/>
            <w:jc w:val="left"/>
          </w:pPr>
          <w:r>
            <w:rPr/>
            <w:t>Opinions</w:t>
          </w:r>
          <w:r>
            <w:rPr>
              <w:spacing w:val="-8"/>
            </w:rPr>
            <w:t> </w:t>
          </w:r>
          <w:r>
            <w:rPr/>
            <w:t>of</w:t>
          </w:r>
          <w:r>
            <w:rPr>
              <w:spacing w:val="-7"/>
            </w:rPr>
            <w:t> </w:t>
          </w:r>
          <w:r>
            <w:rPr/>
            <w:t>Respondents</w:t>
          </w:r>
          <w:r>
            <w:rPr>
              <w:spacing w:val="-7"/>
            </w:rPr>
            <w:t> </w:t>
          </w:r>
          <w:r>
            <w:rPr/>
            <w:t>on</w:t>
          </w:r>
          <w:r>
            <w:rPr>
              <w:spacing w:val="-5"/>
            </w:rPr>
            <w:t> </w:t>
          </w:r>
          <w:r>
            <w:rPr/>
            <w:t>Impact</w:t>
          </w:r>
          <w:r>
            <w:rPr>
              <w:spacing w:val="-7"/>
            </w:rPr>
            <w:t> </w:t>
          </w:r>
          <w:r>
            <w:rPr/>
            <w:t>of</w:t>
          </w:r>
          <w:r>
            <w:rPr>
              <w:spacing w:val="-7"/>
            </w:rPr>
            <w:t> </w:t>
          </w:r>
          <w:r>
            <w:rPr>
              <w:spacing w:val="-2"/>
            </w:rPr>
            <w:t>Feeding…………………..</w:t>
          </w:r>
          <w:r>
            <w:rPr/>
            <w:tab/>
          </w:r>
          <w:r>
            <w:rPr>
              <w:spacing w:val="-5"/>
            </w:rPr>
            <w:t>249</w:t>
          </w:r>
        </w:p>
        <w:p>
          <w:pPr>
            <w:pStyle w:val="TOC1"/>
            <w:numPr>
              <w:ilvl w:val="3"/>
              <w:numId w:val="5"/>
            </w:numPr>
            <w:tabs>
              <w:tab w:pos="1239" w:val="left" w:leader="none"/>
              <w:tab w:pos="8799" w:val="left" w:leader="none"/>
            </w:tabs>
            <w:spacing w:line="240" w:lineRule="auto" w:before="276" w:after="0"/>
            <w:ind w:left="1239" w:right="0" w:hanging="1079"/>
            <w:jc w:val="left"/>
          </w:pPr>
          <w:r>
            <w:rPr/>
            <w:t>Opinions</w:t>
          </w:r>
          <w:r>
            <w:rPr>
              <w:spacing w:val="-8"/>
            </w:rPr>
            <w:t> </w:t>
          </w:r>
          <w:r>
            <w:rPr/>
            <w:t>of</w:t>
          </w:r>
          <w:r>
            <w:rPr>
              <w:spacing w:val="-7"/>
            </w:rPr>
            <w:t> </w:t>
          </w:r>
          <w:r>
            <w:rPr/>
            <w:t>Respondents</w:t>
          </w:r>
          <w:r>
            <w:rPr>
              <w:spacing w:val="-7"/>
            </w:rPr>
            <w:t> </w:t>
          </w:r>
          <w:r>
            <w:rPr/>
            <w:t>on</w:t>
          </w:r>
          <w:r>
            <w:rPr>
              <w:spacing w:val="-9"/>
            </w:rPr>
            <w:t> </w:t>
          </w:r>
          <w:r>
            <w:rPr/>
            <w:t>impact</w:t>
          </w:r>
          <w:r>
            <w:rPr>
              <w:spacing w:val="-8"/>
            </w:rPr>
            <w:t> </w:t>
          </w:r>
          <w:r>
            <w:rPr/>
            <w:t>of</w:t>
          </w:r>
          <w:r>
            <w:rPr>
              <w:spacing w:val="-7"/>
            </w:rPr>
            <w:t> </w:t>
          </w:r>
          <w:r>
            <w:rPr/>
            <w:t>Hostel</w:t>
          </w:r>
          <w:r>
            <w:rPr>
              <w:spacing w:val="-7"/>
            </w:rPr>
            <w:t> </w:t>
          </w:r>
          <w:r>
            <w:rPr>
              <w:spacing w:val="-2"/>
            </w:rPr>
            <w:t>Accommodation…</w:t>
          </w:r>
          <w:r>
            <w:rPr/>
            <w:tab/>
          </w:r>
          <w:r>
            <w:rPr>
              <w:spacing w:val="-5"/>
            </w:rPr>
            <w:t>250</w:t>
          </w:r>
        </w:p>
        <w:p>
          <w:pPr>
            <w:pStyle w:val="TOC1"/>
            <w:numPr>
              <w:ilvl w:val="3"/>
              <w:numId w:val="5"/>
            </w:numPr>
            <w:tabs>
              <w:tab w:pos="1240" w:val="left" w:leader="none"/>
              <w:tab w:pos="8799" w:val="left" w:leader="none"/>
            </w:tabs>
            <w:spacing w:line="242" w:lineRule="auto" w:before="276" w:after="0"/>
            <w:ind w:left="1240" w:right="617" w:hanging="1080"/>
            <w:jc w:val="left"/>
          </w:pPr>
          <w:r>
            <w:rPr/>
            <w:t>Opinions of Respondents on impact of Guidance and </w:t>
          </w:r>
          <w:r>
            <w:rPr>
              <w:spacing w:val="-2"/>
            </w:rPr>
            <w:t>Counselling…………………………………………………………….</w:t>
          </w:r>
          <w:r>
            <w:rPr/>
            <w:tab/>
          </w:r>
          <w:r>
            <w:rPr>
              <w:spacing w:val="-4"/>
            </w:rPr>
            <w:t>250</w:t>
          </w:r>
        </w:p>
        <w:p>
          <w:pPr>
            <w:pStyle w:val="TOC1"/>
            <w:numPr>
              <w:ilvl w:val="3"/>
              <w:numId w:val="5"/>
            </w:numPr>
            <w:tabs>
              <w:tab w:pos="1239" w:val="left" w:leader="none"/>
              <w:tab w:pos="8799" w:val="left" w:leader="none"/>
            </w:tabs>
            <w:spacing w:line="240" w:lineRule="auto" w:before="273" w:after="0"/>
            <w:ind w:left="1239" w:right="0" w:hanging="1079"/>
            <w:jc w:val="left"/>
          </w:pPr>
          <w:r>
            <w:rPr/>
            <w:t>Opinions</w:t>
          </w:r>
          <w:r>
            <w:rPr>
              <w:spacing w:val="-6"/>
            </w:rPr>
            <w:t> </w:t>
          </w:r>
          <w:r>
            <w:rPr/>
            <w:t>of</w:t>
          </w:r>
          <w:r>
            <w:rPr>
              <w:spacing w:val="-6"/>
            </w:rPr>
            <w:t> </w:t>
          </w:r>
          <w:r>
            <w:rPr/>
            <w:t>Respondents</w:t>
          </w:r>
          <w:r>
            <w:rPr>
              <w:spacing w:val="-6"/>
            </w:rPr>
            <w:t> </w:t>
          </w:r>
          <w:r>
            <w:rPr/>
            <w:t>on</w:t>
          </w:r>
          <w:r>
            <w:rPr>
              <w:spacing w:val="-9"/>
            </w:rPr>
            <w:t> </w:t>
          </w:r>
          <w:r>
            <w:rPr/>
            <w:t>impact</w:t>
          </w:r>
          <w:r>
            <w:rPr>
              <w:spacing w:val="-6"/>
            </w:rPr>
            <w:t> </w:t>
          </w:r>
          <w:r>
            <w:rPr/>
            <w:t>of</w:t>
          </w:r>
          <w:r>
            <w:rPr>
              <w:spacing w:val="-5"/>
            </w:rPr>
            <w:t> </w:t>
          </w:r>
          <w:r>
            <w:rPr/>
            <w:t>Sports</w:t>
          </w:r>
          <w:r>
            <w:rPr>
              <w:spacing w:val="-11"/>
            </w:rPr>
            <w:t> </w:t>
          </w:r>
          <w:r>
            <w:rPr/>
            <w:t>and</w:t>
          </w:r>
          <w:r>
            <w:rPr>
              <w:spacing w:val="-5"/>
            </w:rPr>
            <w:t> </w:t>
          </w:r>
          <w:r>
            <w:rPr>
              <w:spacing w:val="-2"/>
            </w:rPr>
            <w:t>Recreations…</w:t>
          </w:r>
          <w:r>
            <w:rPr/>
            <w:tab/>
          </w:r>
          <w:r>
            <w:rPr>
              <w:spacing w:val="-5"/>
            </w:rPr>
            <w:t>251</w:t>
          </w:r>
        </w:p>
        <w:p>
          <w:pPr>
            <w:pStyle w:val="TOC1"/>
            <w:numPr>
              <w:ilvl w:val="3"/>
              <w:numId w:val="5"/>
            </w:numPr>
            <w:tabs>
              <w:tab w:pos="1240" w:val="left" w:leader="none"/>
              <w:tab w:pos="8799" w:val="left" w:leader="none"/>
            </w:tabs>
            <w:spacing w:line="237" w:lineRule="auto" w:before="278" w:after="0"/>
            <w:ind w:left="1240" w:right="615" w:hanging="1080"/>
            <w:jc w:val="left"/>
          </w:pPr>
          <w:r>
            <w:rPr/>
            <w:t>Opinions of Respondents on the impact of Security and </w:t>
          </w:r>
          <w:r>
            <w:rPr>
              <w:spacing w:val="-2"/>
            </w:rPr>
            <w:t>Communication………………………………………………………..</w:t>
          </w:r>
          <w:r>
            <w:rPr/>
            <w:tab/>
          </w:r>
          <w:r>
            <w:rPr>
              <w:spacing w:val="-4"/>
            </w:rPr>
            <w:t>252</w:t>
          </w:r>
        </w:p>
        <w:p>
          <w:pPr>
            <w:pStyle w:val="TOC1"/>
            <w:numPr>
              <w:ilvl w:val="3"/>
              <w:numId w:val="5"/>
            </w:numPr>
            <w:tabs>
              <w:tab w:pos="1239" w:val="left" w:leader="none"/>
              <w:tab w:pos="8799" w:val="left" w:leader="none"/>
            </w:tabs>
            <w:spacing w:line="240" w:lineRule="auto" w:before="277" w:after="0"/>
            <w:ind w:left="1239" w:right="0" w:hanging="1079"/>
            <w:jc w:val="left"/>
          </w:pPr>
          <w:r>
            <w:rPr/>
            <w:t>Opinions</w:t>
          </w:r>
          <w:r>
            <w:rPr>
              <w:spacing w:val="-8"/>
            </w:rPr>
            <w:t> </w:t>
          </w:r>
          <w:r>
            <w:rPr/>
            <w:t>of</w:t>
          </w:r>
          <w:r>
            <w:rPr>
              <w:spacing w:val="-8"/>
            </w:rPr>
            <w:t> </w:t>
          </w:r>
          <w:r>
            <w:rPr/>
            <w:t>Respondents</w:t>
          </w:r>
          <w:r>
            <w:rPr>
              <w:spacing w:val="-8"/>
            </w:rPr>
            <w:t> </w:t>
          </w:r>
          <w:r>
            <w:rPr/>
            <w:t>on</w:t>
          </w:r>
          <w:r>
            <w:rPr>
              <w:spacing w:val="-11"/>
            </w:rPr>
            <w:t> </w:t>
          </w:r>
          <w:r>
            <w:rPr/>
            <w:t>impact</w:t>
          </w:r>
          <w:r>
            <w:rPr>
              <w:spacing w:val="-7"/>
            </w:rPr>
            <w:t> </w:t>
          </w:r>
          <w:r>
            <w:rPr/>
            <w:t>of</w:t>
          </w:r>
          <w:r>
            <w:rPr>
              <w:spacing w:val="-8"/>
            </w:rPr>
            <w:t> </w:t>
          </w:r>
          <w:r>
            <w:rPr/>
            <w:t>Transportation</w:t>
          </w:r>
          <w:r>
            <w:rPr>
              <w:spacing w:val="-7"/>
            </w:rPr>
            <w:t> </w:t>
          </w:r>
          <w:r>
            <w:rPr>
              <w:spacing w:val="-2"/>
            </w:rPr>
            <w:t>Services...</w:t>
          </w:r>
          <w:r>
            <w:rPr/>
            <w:tab/>
          </w:r>
          <w:r>
            <w:rPr>
              <w:spacing w:val="-5"/>
            </w:rPr>
            <w:t>252</w:t>
          </w:r>
        </w:p>
        <w:p>
          <w:pPr>
            <w:pStyle w:val="TOC1"/>
            <w:numPr>
              <w:ilvl w:val="3"/>
              <w:numId w:val="5"/>
            </w:numPr>
            <w:tabs>
              <w:tab w:pos="1239" w:val="left" w:leader="none"/>
              <w:tab w:pos="8799" w:val="left" w:leader="none"/>
            </w:tabs>
            <w:spacing w:line="240" w:lineRule="auto" w:before="276" w:after="0"/>
            <w:ind w:left="1239" w:right="0" w:hanging="1079"/>
            <w:jc w:val="left"/>
          </w:pPr>
          <w:r>
            <w:rPr/>
            <w:t>Opinions</w:t>
          </w:r>
          <w:r>
            <w:rPr>
              <w:spacing w:val="-8"/>
            </w:rPr>
            <w:t> </w:t>
          </w:r>
          <w:r>
            <w:rPr/>
            <w:t>of</w:t>
          </w:r>
          <w:r>
            <w:rPr>
              <w:spacing w:val="-8"/>
            </w:rPr>
            <w:t> </w:t>
          </w:r>
          <w:r>
            <w:rPr/>
            <w:t>Respondents</w:t>
          </w:r>
          <w:r>
            <w:rPr>
              <w:spacing w:val="-7"/>
            </w:rPr>
            <w:t> </w:t>
          </w:r>
          <w:r>
            <w:rPr/>
            <w:t>on</w:t>
          </w:r>
          <w:r>
            <w:rPr>
              <w:spacing w:val="-11"/>
            </w:rPr>
            <w:t> </w:t>
          </w:r>
          <w:r>
            <w:rPr/>
            <w:t>impact</w:t>
          </w:r>
          <w:r>
            <w:rPr>
              <w:spacing w:val="-7"/>
            </w:rPr>
            <w:t> </w:t>
          </w:r>
          <w:r>
            <w:rPr/>
            <w:t>of</w:t>
          </w:r>
          <w:r>
            <w:rPr>
              <w:spacing w:val="-8"/>
            </w:rPr>
            <w:t> </w:t>
          </w:r>
          <w:r>
            <w:rPr/>
            <w:t>Religious</w:t>
          </w:r>
          <w:r>
            <w:rPr>
              <w:spacing w:val="-8"/>
            </w:rPr>
            <w:t> </w:t>
          </w:r>
          <w:r>
            <w:rPr>
              <w:spacing w:val="-2"/>
            </w:rPr>
            <w:t>Services………</w:t>
          </w:r>
          <w:r>
            <w:rPr/>
            <w:tab/>
          </w:r>
          <w:r>
            <w:rPr>
              <w:spacing w:val="-5"/>
            </w:rPr>
            <w:t>253</w:t>
          </w:r>
        </w:p>
        <w:p>
          <w:pPr>
            <w:pStyle w:val="TOC1"/>
            <w:numPr>
              <w:ilvl w:val="3"/>
              <w:numId w:val="5"/>
            </w:numPr>
            <w:tabs>
              <w:tab w:pos="1240" w:val="left" w:leader="none"/>
              <w:tab w:pos="8799" w:val="left" w:leader="none"/>
            </w:tabs>
            <w:spacing w:line="242" w:lineRule="auto" w:before="276" w:after="0"/>
            <w:ind w:left="1240" w:right="615" w:hanging="1080"/>
            <w:jc w:val="left"/>
          </w:pPr>
          <w:r>
            <w:rPr/>
            <w:t>Opinions of Respondents on the impact of Banking and Telecommunication Services………………………………………...</w:t>
          </w:r>
          <w:r>
            <w:rPr/>
            <w:tab/>
          </w:r>
          <w:r>
            <w:rPr>
              <w:spacing w:val="-4"/>
            </w:rPr>
            <w:t>254</w:t>
          </w:r>
        </w:p>
        <w:p>
          <w:pPr>
            <w:pStyle w:val="TOC1"/>
            <w:numPr>
              <w:ilvl w:val="3"/>
              <w:numId w:val="5"/>
            </w:numPr>
            <w:tabs>
              <w:tab w:pos="1239" w:val="left" w:leader="none"/>
              <w:tab w:pos="8799" w:val="left" w:leader="none"/>
            </w:tabs>
            <w:spacing w:line="240" w:lineRule="auto" w:before="273" w:after="0"/>
            <w:ind w:left="1239" w:right="0" w:hanging="1079"/>
            <w:jc w:val="left"/>
          </w:pPr>
          <w:r>
            <w:rPr/>
            <w:t>Opinions</w:t>
          </w:r>
          <w:r>
            <w:rPr>
              <w:spacing w:val="-7"/>
            </w:rPr>
            <w:t> </w:t>
          </w:r>
          <w:r>
            <w:rPr/>
            <w:t>of</w:t>
          </w:r>
          <w:r>
            <w:rPr>
              <w:spacing w:val="-6"/>
            </w:rPr>
            <w:t> </w:t>
          </w:r>
          <w:r>
            <w:rPr/>
            <w:t>Respondents</w:t>
          </w:r>
          <w:r>
            <w:rPr>
              <w:spacing w:val="-6"/>
            </w:rPr>
            <w:t> </w:t>
          </w:r>
          <w:r>
            <w:rPr/>
            <w:t>on</w:t>
          </w:r>
          <w:r>
            <w:rPr>
              <w:spacing w:val="-9"/>
            </w:rPr>
            <w:t> </w:t>
          </w:r>
          <w:r>
            <w:rPr/>
            <w:t>impact</w:t>
          </w:r>
          <w:r>
            <w:rPr>
              <w:spacing w:val="-7"/>
            </w:rPr>
            <w:t> </w:t>
          </w:r>
          <w:r>
            <w:rPr/>
            <w:t>of</w:t>
          </w:r>
          <w:r>
            <w:rPr>
              <w:spacing w:val="-6"/>
            </w:rPr>
            <w:t> </w:t>
          </w:r>
          <w:r>
            <w:rPr/>
            <w:t>library</w:t>
          </w:r>
          <w:r>
            <w:rPr>
              <w:spacing w:val="-14"/>
            </w:rPr>
            <w:t> </w:t>
          </w:r>
          <w:r>
            <w:rPr>
              <w:spacing w:val="-2"/>
            </w:rPr>
            <w:t>services…………..</w:t>
          </w:r>
          <w:r>
            <w:rPr/>
            <w:tab/>
          </w:r>
          <w:r>
            <w:rPr>
              <w:spacing w:val="-5"/>
            </w:rPr>
            <w:t>254</w:t>
          </w:r>
        </w:p>
        <w:p>
          <w:pPr>
            <w:pStyle w:val="TOC1"/>
            <w:numPr>
              <w:ilvl w:val="3"/>
              <w:numId w:val="5"/>
            </w:numPr>
            <w:tabs>
              <w:tab w:pos="1239" w:val="left" w:leader="none"/>
            </w:tabs>
            <w:spacing w:line="275" w:lineRule="exact" w:before="276" w:after="0"/>
            <w:ind w:left="1239" w:right="0" w:hanging="1079"/>
            <w:jc w:val="left"/>
          </w:pPr>
          <w:r>
            <w:rPr/>
            <w:t>Opinion</w:t>
          </w:r>
          <w:r>
            <w:rPr>
              <w:spacing w:val="-6"/>
            </w:rPr>
            <w:t> </w:t>
          </w:r>
          <w:r>
            <w:rPr/>
            <w:t>of</w:t>
          </w:r>
          <w:r>
            <w:rPr>
              <w:spacing w:val="-7"/>
            </w:rPr>
            <w:t> </w:t>
          </w:r>
          <w:r>
            <w:rPr/>
            <w:t>Respondents</w:t>
          </w:r>
          <w:r>
            <w:rPr>
              <w:spacing w:val="-6"/>
            </w:rPr>
            <w:t> </w:t>
          </w:r>
          <w:r>
            <w:rPr/>
            <w:t>on</w:t>
          </w:r>
          <w:r>
            <w:rPr>
              <w:spacing w:val="-6"/>
            </w:rPr>
            <w:t> </w:t>
          </w:r>
          <w:r>
            <w:rPr/>
            <w:t>the</w:t>
          </w:r>
          <w:r>
            <w:rPr>
              <w:spacing w:val="-9"/>
            </w:rPr>
            <w:t> </w:t>
          </w:r>
          <w:r>
            <w:rPr/>
            <w:t>impact</w:t>
          </w:r>
          <w:r>
            <w:rPr>
              <w:spacing w:val="-6"/>
            </w:rPr>
            <w:t> </w:t>
          </w:r>
          <w:r>
            <w:rPr/>
            <w:t>of</w:t>
          </w:r>
          <w:r>
            <w:rPr>
              <w:spacing w:val="-7"/>
            </w:rPr>
            <w:t> </w:t>
          </w:r>
          <w:r>
            <w:rPr>
              <w:spacing w:val="-2"/>
            </w:rPr>
            <w:t>Classrooms,</w:t>
          </w:r>
        </w:p>
        <w:p>
          <w:pPr>
            <w:pStyle w:val="TOC8"/>
            <w:tabs>
              <w:tab w:pos="8799" w:val="left" w:leader="none"/>
            </w:tabs>
            <w:spacing w:line="275" w:lineRule="exact" w:after="240"/>
          </w:pPr>
          <w:r>
            <w:rPr/>
            <w:t>Lecture</w:t>
          </w:r>
          <w:r>
            <w:rPr>
              <w:spacing w:val="-6"/>
            </w:rPr>
            <w:t> </w:t>
          </w:r>
          <w:r>
            <w:rPr/>
            <w:t>Halls,</w:t>
          </w:r>
          <w:r>
            <w:rPr>
              <w:spacing w:val="-10"/>
            </w:rPr>
            <w:t> </w:t>
          </w:r>
          <w:r>
            <w:rPr/>
            <w:t>Laboratories</w:t>
          </w:r>
          <w:r>
            <w:rPr>
              <w:spacing w:val="-11"/>
            </w:rPr>
            <w:t> </w:t>
          </w:r>
          <w:r>
            <w:rPr/>
            <w:t>Workshops</w:t>
          </w:r>
          <w:r>
            <w:rPr>
              <w:spacing w:val="-7"/>
            </w:rPr>
            <w:t> </w:t>
          </w:r>
          <w:r>
            <w:rPr/>
            <w:t>and</w:t>
          </w:r>
          <w:r>
            <w:rPr>
              <w:spacing w:val="-9"/>
            </w:rPr>
            <w:t> </w:t>
          </w:r>
          <w:r>
            <w:rPr/>
            <w:t>Field</w:t>
          </w:r>
          <w:r>
            <w:rPr>
              <w:spacing w:val="-9"/>
            </w:rPr>
            <w:t> </w:t>
          </w:r>
          <w:r>
            <w:rPr/>
            <w:t>Trips</w:t>
          </w:r>
          <w:r>
            <w:rPr>
              <w:spacing w:val="-6"/>
            </w:rPr>
            <w:t> </w:t>
          </w:r>
          <w:r>
            <w:rPr>
              <w:spacing w:val="-2"/>
            </w:rPr>
            <w:t>Services..</w:t>
          </w:r>
          <w:r>
            <w:rPr/>
            <w:tab/>
          </w:r>
          <w:r>
            <w:rPr>
              <w:spacing w:val="-5"/>
            </w:rPr>
            <w:t>254</w:t>
          </w:r>
        </w:p>
        <w:p>
          <w:pPr>
            <w:pStyle w:val="TOC1"/>
            <w:numPr>
              <w:ilvl w:val="3"/>
              <w:numId w:val="5"/>
            </w:numPr>
            <w:tabs>
              <w:tab w:pos="1239" w:val="left" w:leader="none"/>
            </w:tabs>
            <w:spacing w:line="275" w:lineRule="exact" w:before="362" w:after="0"/>
            <w:ind w:left="1239" w:right="0" w:hanging="1079"/>
            <w:jc w:val="left"/>
          </w:pPr>
          <w:r>
            <w:rPr/>
            <w:t>Opinion</w:t>
          </w:r>
          <w:r>
            <w:rPr>
              <w:spacing w:val="-7"/>
            </w:rPr>
            <w:t> </w:t>
          </w:r>
          <w:r>
            <w:rPr/>
            <w:t>of</w:t>
          </w:r>
          <w:r>
            <w:rPr>
              <w:spacing w:val="-7"/>
            </w:rPr>
            <w:t> </w:t>
          </w:r>
          <w:r>
            <w:rPr/>
            <w:t>Respondents</w:t>
          </w:r>
          <w:r>
            <w:rPr>
              <w:spacing w:val="-8"/>
            </w:rPr>
            <w:t> </w:t>
          </w:r>
          <w:r>
            <w:rPr/>
            <w:t>on</w:t>
          </w:r>
          <w:r>
            <w:rPr>
              <w:spacing w:val="-6"/>
            </w:rPr>
            <w:t> </w:t>
          </w:r>
          <w:r>
            <w:rPr/>
            <w:t>the</w:t>
          </w:r>
          <w:r>
            <w:rPr>
              <w:spacing w:val="-10"/>
            </w:rPr>
            <w:t> </w:t>
          </w:r>
          <w:r>
            <w:rPr/>
            <w:t>impact</w:t>
          </w:r>
          <w:r>
            <w:rPr>
              <w:spacing w:val="-8"/>
            </w:rPr>
            <w:t> </w:t>
          </w:r>
          <w:r>
            <w:rPr/>
            <w:t>and</w:t>
          </w:r>
          <w:r>
            <w:rPr>
              <w:spacing w:val="-6"/>
            </w:rPr>
            <w:t> </w:t>
          </w:r>
          <w:r>
            <w:rPr/>
            <w:t>influence</w:t>
          </w:r>
          <w:r>
            <w:rPr>
              <w:spacing w:val="-7"/>
            </w:rPr>
            <w:t> </w:t>
          </w:r>
          <w:r>
            <w:rPr>
              <w:spacing w:val="-5"/>
            </w:rPr>
            <w:t>of</w:t>
          </w:r>
        </w:p>
        <w:p>
          <w:pPr>
            <w:pStyle w:val="TOC8"/>
            <w:tabs>
              <w:tab w:pos="8799" w:val="left" w:leader="none"/>
            </w:tabs>
            <w:spacing w:line="275" w:lineRule="exact"/>
          </w:pPr>
          <w:r>
            <w:rPr/>
            <w:t>Information</w:t>
          </w:r>
          <w:r>
            <w:rPr>
              <w:spacing w:val="-13"/>
            </w:rPr>
            <w:t> </w:t>
          </w:r>
          <w:r>
            <w:rPr/>
            <w:t>Technology</w:t>
          </w:r>
          <w:r>
            <w:rPr>
              <w:spacing w:val="-13"/>
            </w:rPr>
            <w:t> </w:t>
          </w:r>
          <w:r>
            <w:rPr>
              <w:spacing w:val="-2"/>
            </w:rPr>
            <w:t>Services…………………………………….</w:t>
          </w:r>
          <w:r>
            <w:rPr/>
            <w:tab/>
          </w:r>
          <w:r>
            <w:rPr>
              <w:spacing w:val="-5"/>
            </w:rPr>
            <w:t>255</w:t>
          </w:r>
        </w:p>
        <w:p>
          <w:pPr>
            <w:pStyle w:val="TOC1"/>
            <w:numPr>
              <w:ilvl w:val="3"/>
              <w:numId w:val="5"/>
            </w:numPr>
            <w:tabs>
              <w:tab w:pos="1240" w:val="left" w:leader="none"/>
              <w:tab w:pos="8799" w:val="left" w:leader="none"/>
            </w:tabs>
            <w:spacing w:line="242" w:lineRule="auto" w:before="276" w:after="0"/>
            <w:ind w:left="1240" w:right="617" w:hanging="1080"/>
            <w:jc w:val="left"/>
          </w:pPr>
          <w:r>
            <w:rPr/>
            <w:t>Opinions of Respondents on the impact of Medical/Health </w:t>
          </w:r>
          <w:r>
            <w:rPr>
              <w:spacing w:val="-2"/>
            </w:rPr>
            <w:t>Services………………………………………………………………..</w:t>
          </w:r>
          <w:r>
            <w:rPr/>
            <w:tab/>
          </w:r>
          <w:r>
            <w:rPr>
              <w:spacing w:val="-4"/>
            </w:rPr>
            <w:t>255</w:t>
          </w:r>
        </w:p>
        <w:p>
          <w:pPr>
            <w:pStyle w:val="TOC1"/>
            <w:numPr>
              <w:ilvl w:val="3"/>
              <w:numId w:val="5"/>
            </w:numPr>
            <w:tabs>
              <w:tab w:pos="1240" w:val="left" w:leader="none"/>
              <w:tab w:pos="8799" w:val="left" w:leader="none"/>
            </w:tabs>
            <w:spacing w:line="237" w:lineRule="auto" w:before="275" w:after="0"/>
            <w:ind w:left="1240" w:right="617" w:hanging="1080"/>
            <w:jc w:val="left"/>
          </w:pPr>
          <w:r>
            <w:rPr/>
            <w:t>Opinion of Respondents on the impact of Environmental </w:t>
          </w:r>
          <w:r>
            <w:rPr>
              <w:spacing w:val="-2"/>
            </w:rPr>
            <w:t>Services………………………………………………………………..</w:t>
          </w:r>
          <w:r>
            <w:rPr/>
            <w:tab/>
          </w:r>
          <w:r>
            <w:rPr>
              <w:spacing w:val="-4"/>
            </w:rPr>
            <w:t>256</w:t>
          </w:r>
        </w:p>
        <w:p>
          <w:pPr>
            <w:pStyle w:val="TOC1"/>
            <w:numPr>
              <w:ilvl w:val="3"/>
              <w:numId w:val="5"/>
            </w:numPr>
            <w:tabs>
              <w:tab w:pos="1283" w:val="left" w:leader="none"/>
              <w:tab w:pos="1296" w:val="left" w:leader="none"/>
            </w:tabs>
            <w:spacing w:line="240" w:lineRule="auto" w:before="277" w:after="0"/>
            <w:ind w:left="1283" w:right="2331" w:hanging="1124"/>
            <w:jc w:val="left"/>
          </w:pPr>
          <w:r>
            <w:rPr/>
            <w:tab/>
            <w:t>Opinions of Respondents on Perceived Strategies for Effective</w:t>
          </w:r>
          <w:r>
            <w:rPr>
              <w:spacing w:val="-3"/>
            </w:rPr>
            <w:t> </w:t>
          </w:r>
          <w:r>
            <w:rPr/>
            <w:t>Management</w:t>
          </w:r>
          <w:r>
            <w:rPr>
              <w:spacing w:val="-4"/>
            </w:rPr>
            <w:t> </w:t>
          </w:r>
          <w:r>
            <w:rPr/>
            <w:t>of</w:t>
          </w:r>
          <w:r>
            <w:rPr>
              <w:spacing w:val="-4"/>
            </w:rPr>
            <w:t> </w:t>
          </w:r>
          <w:r>
            <w:rPr/>
            <w:t>Students</w:t>
          </w:r>
          <w:r>
            <w:rPr>
              <w:spacing w:val="-13"/>
            </w:rPr>
            <w:t> </w:t>
          </w:r>
          <w:r>
            <w:rPr/>
            <w:t>Welfare</w:t>
          </w:r>
          <w:r>
            <w:rPr>
              <w:spacing w:val="-3"/>
            </w:rPr>
            <w:t> </w:t>
          </w:r>
          <w:r>
            <w:rPr/>
            <w:t>Services</w:t>
          </w:r>
          <w:r>
            <w:rPr>
              <w:spacing w:val="-9"/>
            </w:rPr>
            <w:t> </w:t>
          </w:r>
          <w:r>
            <w:rPr/>
            <w:t>in</w:t>
          </w:r>
          <w:r>
            <w:rPr>
              <w:spacing w:val="-3"/>
            </w:rPr>
            <w:t> </w:t>
          </w:r>
          <w:r>
            <w:rPr/>
            <w:t>the Universities</w:t>
          </w:r>
          <w:r>
            <w:rPr>
              <w:spacing w:val="-2"/>
            </w:rPr>
            <w:t> </w:t>
          </w:r>
          <w:r>
            <w:rPr/>
            <w:t>in the three geopolitical zones</w:t>
          </w:r>
          <w:r>
            <w:rPr>
              <w:spacing w:val="-2"/>
            </w:rPr>
            <w:t> </w:t>
          </w:r>
          <w:r>
            <w:rPr/>
            <w:t>in the Northern</w:t>
          </w:r>
        </w:p>
        <w:p>
          <w:pPr>
            <w:pStyle w:val="TOC9"/>
            <w:tabs>
              <w:tab w:pos="8799" w:val="left" w:leader="none"/>
            </w:tabs>
          </w:pPr>
          <w:r>
            <w:rPr/>
            <w:t>part</w:t>
          </w:r>
          <w:r>
            <w:rPr>
              <w:spacing w:val="-6"/>
            </w:rPr>
            <w:t> </w:t>
          </w:r>
          <w:r>
            <w:rPr/>
            <w:t>of</w:t>
          </w:r>
          <w:r>
            <w:rPr>
              <w:spacing w:val="-6"/>
            </w:rPr>
            <w:t> </w:t>
          </w:r>
          <w:r>
            <w:rPr/>
            <w:t>Nigeria</w:t>
          </w:r>
          <w:r>
            <w:rPr>
              <w:spacing w:val="-5"/>
            </w:rPr>
            <w:t> </w:t>
          </w:r>
          <w:r>
            <w:rPr>
              <w:spacing w:val="-2"/>
            </w:rPr>
            <w:t>………………………………………………………….</w:t>
          </w:r>
          <w:r>
            <w:rPr/>
            <w:tab/>
          </w:r>
          <w:r>
            <w:rPr>
              <w:spacing w:val="-5"/>
            </w:rPr>
            <w:t>256</w:t>
          </w:r>
        </w:p>
        <w:p>
          <w:pPr>
            <w:pStyle w:val="TOC1"/>
            <w:numPr>
              <w:ilvl w:val="1"/>
              <w:numId w:val="5"/>
            </w:numPr>
            <w:tabs>
              <w:tab w:pos="879" w:val="left" w:leader="none"/>
              <w:tab w:pos="8799" w:val="left" w:leader="none"/>
            </w:tabs>
            <w:spacing w:line="240" w:lineRule="auto" w:before="276" w:after="0"/>
            <w:ind w:left="879" w:right="0" w:hanging="719"/>
            <w:jc w:val="left"/>
          </w:pPr>
          <w:r>
            <w:rPr>
              <w:spacing w:val="-2"/>
            </w:rPr>
            <w:t>Conclusions…………………………………………………………………</w:t>
          </w:r>
          <w:r>
            <w:rPr/>
            <w:tab/>
          </w:r>
          <w:r>
            <w:rPr>
              <w:spacing w:val="-5"/>
            </w:rPr>
            <w:t>257</w:t>
          </w:r>
        </w:p>
        <w:p>
          <w:pPr>
            <w:pStyle w:val="TOC1"/>
            <w:numPr>
              <w:ilvl w:val="1"/>
              <w:numId w:val="5"/>
            </w:numPr>
            <w:tabs>
              <w:tab w:pos="879" w:val="left" w:leader="none"/>
              <w:tab w:pos="8799" w:val="left" w:leader="none"/>
            </w:tabs>
            <w:spacing w:line="240" w:lineRule="auto" w:before="276" w:after="0"/>
            <w:ind w:left="879" w:right="0" w:hanging="719"/>
            <w:jc w:val="left"/>
          </w:pPr>
          <w:r>
            <w:rPr>
              <w:spacing w:val="-2"/>
            </w:rPr>
            <w:t>Recommendations…………………………………………………………</w:t>
          </w:r>
          <w:r>
            <w:rPr/>
            <w:tab/>
          </w:r>
          <w:r>
            <w:rPr>
              <w:spacing w:val="-5"/>
            </w:rPr>
            <w:t>259</w:t>
          </w:r>
        </w:p>
        <w:p>
          <w:pPr>
            <w:pStyle w:val="TOC1"/>
            <w:numPr>
              <w:ilvl w:val="2"/>
              <w:numId w:val="5"/>
            </w:numPr>
            <w:tabs>
              <w:tab w:pos="877" w:val="left" w:leader="none"/>
            </w:tabs>
            <w:spacing w:line="240" w:lineRule="auto" w:before="276" w:after="0"/>
            <w:ind w:left="877" w:right="0" w:hanging="717"/>
            <w:jc w:val="left"/>
          </w:pPr>
          <w:r>
            <w:rPr/>
            <w:t>Suggested</w:t>
          </w:r>
          <w:r>
            <w:rPr>
              <w:spacing w:val="-6"/>
            </w:rPr>
            <w:t> </w:t>
          </w:r>
          <w:r>
            <w:rPr/>
            <w:t>Model</w:t>
          </w:r>
          <w:r>
            <w:rPr>
              <w:spacing w:val="-4"/>
            </w:rPr>
            <w:t> </w:t>
          </w:r>
          <w:r>
            <w:rPr/>
            <w:t>for</w:t>
          </w:r>
          <w:r>
            <w:rPr>
              <w:spacing w:val="-5"/>
            </w:rPr>
            <w:t> </w:t>
          </w:r>
          <w:r>
            <w:rPr/>
            <w:t>Students’</w:t>
          </w:r>
          <w:r>
            <w:rPr>
              <w:spacing w:val="-16"/>
            </w:rPr>
            <w:t> </w:t>
          </w:r>
          <w:r>
            <w:rPr/>
            <w:t>Welfare</w:t>
          </w:r>
          <w:r>
            <w:rPr>
              <w:spacing w:val="-6"/>
            </w:rPr>
            <w:t> </w:t>
          </w:r>
          <w:r>
            <w:rPr/>
            <w:t>Services</w:t>
          </w:r>
          <w:r>
            <w:rPr>
              <w:spacing w:val="-6"/>
            </w:rPr>
            <w:t> </w:t>
          </w:r>
          <w:r>
            <w:rPr/>
            <w:t>in</w:t>
          </w:r>
          <w:r>
            <w:rPr>
              <w:spacing w:val="-10"/>
            </w:rPr>
            <w:t> </w:t>
          </w:r>
          <w:r>
            <w:rPr/>
            <w:t>the</w:t>
          </w:r>
          <w:r>
            <w:rPr>
              <w:spacing w:val="-6"/>
            </w:rPr>
            <w:t> </w:t>
          </w:r>
          <w:r>
            <w:rPr>
              <w:spacing w:val="-2"/>
            </w:rPr>
            <w:t>Nigerian</w:t>
          </w:r>
        </w:p>
        <w:p>
          <w:pPr>
            <w:pStyle w:val="TOC4"/>
            <w:tabs>
              <w:tab w:pos="8799" w:val="left" w:leader="none"/>
            </w:tabs>
            <w:spacing w:before="276"/>
          </w:pPr>
          <w:r>
            <w:rPr/>
            <w:t>Universities</w:t>
          </w:r>
          <w:r>
            <w:rPr>
              <w:spacing w:val="-15"/>
            </w:rPr>
            <w:t> </w:t>
          </w:r>
          <w:r>
            <w:rPr/>
            <w:t>system</w:t>
          </w:r>
          <w:r>
            <w:rPr>
              <w:spacing w:val="-16"/>
            </w:rPr>
            <w:t> </w:t>
          </w:r>
          <w:r>
            <w:rPr>
              <w:spacing w:val="-2"/>
            </w:rPr>
            <w:t>………………………………………………………..</w:t>
          </w:r>
          <w:r>
            <w:rPr/>
            <w:tab/>
          </w:r>
          <w:r>
            <w:rPr>
              <w:spacing w:val="-5"/>
            </w:rPr>
            <w:t>260</w:t>
          </w:r>
        </w:p>
        <w:p>
          <w:pPr>
            <w:pStyle w:val="TOC1"/>
            <w:numPr>
              <w:ilvl w:val="1"/>
              <w:numId w:val="5"/>
            </w:numPr>
            <w:tabs>
              <w:tab w:pos="879" w:val="left" w:leader="none"/>
              <w:tab w:pos="8799" w:val="left" w:leader="none"/>
            </w:tabs>
            <w:spacing w:line="240" w:lineRule="auto" w:before="276" w:after="0"/>
            <w:ind w:left="879" w:right="0" w:hanging="719"/>
            <w:jc w:val="left"/>
          </w:pPr>
          <w:r>
            <w:rPr/>
            <w:t>Recommendations</w:t>
          </w:r>
          <w:r>
            <w:rPr>
              <w:spacing w:val="-12"/>
            </w:rPr>
            <w:t> </w:t>
          </w:r>
          <w:r>
            <w:rPr/>
            <w:t>for</w:t>
          </w:r>
          <w:r>
            <w:rPr>
              <w:spacing w:val="-10"/>
            </w:rPr>
            <w:t> </w:t>
          </w:r>
          <w:r>
            <w:rPr/>
            <w:t>further</w:t>
          </w:r>
          <w:r>
            <w:rPr>
              <w:spacing w:val="-10"/>
            </w:rPr>
            <w:t> </w:t>
          </w:r>
          <w:r>
            <w:rPr>
              <w:spacing w:val="-2"/>
            </w:rPr>
            <w:t>Research………………………………...</w:t>
          </w:r>
          <w:r>
            <w:rPr/>
            <w:tab/>
          </w:r>
          <w:r>
            <w:rPr>
              <w:spacing w:val="-5"/>
            </w:rPr>
            <w:t>264</w:t>
          </w:r>
        </w:p>
        <w:p>
          <w:pPr>
            <w:pStyle w:val="TOC4"/>
            <w:tabs>
              <w:tab w:pos="8799" w:val="left" w:leader="none"/>
            </w:tabs>
            <w:spacing w:before="276"/>
          </w:pPr>
          <w:hyperlink w:history="true" w:anchor="_TOC_250000">
            <w:r>
              <w:rPr>
                <w:spacing w:val="-2"/>
              </w:rPr>
              <w:t>References…………………………………………………………………</w:t>
            </w:r>
            <w:r>
              <w:rPr/>
              <w:tab/>
            </w:r>
            <w:r>
              <w:rPr>
                <w:spacing w:val="-5"/>
              </w:rPr>
              <w:t>265</w:t>
            </w:r>
          </w:hyperlink>
        </w:p>
        <w:p>
          <w:pPr>
            <w:pStyle w:val="TOC4"/>
            <w:tabs>
              <w:tab w:pos="3039" w:val="left" w:leader="none"/>
              <w:tab w:pos="8799" w:val="left" w:leader="none"/>
            </w:tabs>
            <w:spacing w:before="276"/>
          </w:pPr>
          <w:r>
            <w:rPr/>
            <w:t>Appendix</w:t>
          </w:r>
          <w:r>
            <w:rPr>
              <w:spacing w:val="57"/>
            </w:rPr>
            <w:t> </w:t>
          </w:r>
          <w:r>
            <w:rPr/>
            <w:t>A</w:t>
          </w:r>
          <w:r>
            <w:rPr>
              <w:spacing w:val="75"/>
            </w:rPr>
            <w:t> </w:t>
          </w:r>
          <w:r>
            <w:rPr>
              <w:spacing w:val="-10"/>
            </w:rPr>
            <w:t>-</w:t>
          </w:r>
          <w:r>
            <w:rPr/>
            <w:tab/>
          </w:r>
          <w:r>
            <w:rPr>
              <w:spacing w:val="-2"/>
            </w:rPr>
            <w:t>Questionnaire……………………………………….</w:t>
          </w:r>
          <w:r>
            <w:rPr/>
            <w:tab/>
          </w:r>
          <w:r>
            <w:rPr>
              <w:spacing w:val="-5"/>
            </w:rPr>
            <w:t>278</w:t>
          </w:r>
        </w:p>
        <w:p>
          <w:pPr>
            <w:pStyle w:val="TOC4"/>
            <w:tabs>
              <w:tab w:pos="3039" w:val="left" w:leader="none"/>
              <w:tab w:pos="8799" w:val="left" w:leader="none"/>
            </w:tabs>
            <w:spacing w:line="237" w:lineRule="auto" w:before="278"/>
            <w:ind w:left="3040" w:right="617" w:hanging="2160"/>
          </w:pPr>
          <w:r>
            <w:rPr/>
            <w:t>Appendix</w:t>
          </w:r>
          <w:r>
            <w:rPr>
              <w:spacing w:val="40"/>
            </w:rPr>
            <w:t> </w:t>
          </w:r>
          <w:r>
            <w:rPr/>
            <w:t>B</w:t>
          </w:r>
          <w:r>
            <w:rPr>
              <w:spacing w:val="40"/>
            </w:rPr>
            <w:t> </w:t>
          </w:r>
          <w:r>
            <w:rPr/>
            <w:t>-</w:t>
            <w:tab/>
            <w:t>Exhibits on advertisement for sale of bedspaces by </w:t>
          </w:r>
          <w:r>
            <w:rPr>
              <w:spacing w:val="-2"/>
            </w:rPr>
            <w:t>Students………………………………………………</w:t>
          </w:r>
          <w:r>
            <w:rPr/>
            <w:tab/>
          </w:r>
          <w:r>
            <w:rPr>
              <w:spacing w:val="-4"/>
            </w:rPr>
            <w:t>295</w:t>
          </w:r>
        </w:p>
        <w:p>
          <w:pPr>
            <w:pStyle w:val="TOC4"/>
            <w:tabs>
              <w:tab w:pos="3039" w:val="left" w:leader="none"/>
            </w:tabs>
            <w:spacing w:before="277"/>
          </w:pPr>
          <w:r>
            <w:rPr/>
            <w:t>Appendix</w:t>
          </w:r>
          <w:r>
            <w:rPr>
              <w:spacing w:val="57"/>
            </w:rPr>
            <w:t> </w:t>
          </w:r>
          <w:r>
            <w:rPr/>
            <w:t>C</w:t>
          </w:r>
          <w:r>
            <w:rPr>
              <w:spacing w:val="61"/>
            </w:rPr>
            <w:t> </w:t>
          </w:r>
          <w:r>
            <w:rPr>
              <w:spacing w:val="-10"/>
            </w:rPr>
            <w:t>-</w:t>
          </w:r>
          <w:r>
            <w:rPr/>
            <w:tab/>
            <w:t>Krejcie</w:t>
          </w:r>
          <w:r>
            <w:rPr>
              <w:spacing w:val="-7"/>
            </w:rPr>
            <w:t> </w:t>
          </w:r>
          <w:r>
            <w:rPr/>
            <w:t>And</w:t>
          </w:r>
          <w:r>
            <w:rPr>
              <w:spacing w:val="-6"/>
            </w:rPr>
            <w:t> </w:t>
          </w:r>
          <w:r>
            <w:rPr/>
            <w:t>Morgan’s</w:t>
          </w:r>
          <w:r>
            <w:rPr>
              <w:spacing w:val="-8"/>
            </w:rPr>
            <w:t> </w:t>
          </w:r>
          <w:r>
            <w:rPr/>
            <w:t>Table</w:t>
          </w:r>
          <w:r>
            <w:rPr>
              <w:spacing w:val="-6"/>
            </w:rPr>
            <w:t> </w:t>
          </w:r>
          <w:r>
            <w:rPr/>
            <w:t>For</w:t>
          </w:r>
          <w:r>
            <w:rPr>
              <w:spacing w:val="-6"/>
            </w:rPr>
            <w:t> </w:t>
          </w:r>
          <w:r>
            <w:rPr>
              <w:spacing w:val="-2"/>
            </w:rPr>
            <w:t>Determining</w:t>
          </w:r>
        </w:p>
        <w:p>
          <w:pPr>
            <w:tabs>
              <w:tab w:pos="8799" w:val="left" w:leader="none"/>
            </w:tabs>
            <w:spacing w:before="3"/>
            <w:ind w:left="3040" w:right="0" w:firstLine="0"/>
            <w:jc w:val="left"/>
            <w:rPr>
              <w:sz w:val="24"/>
            </w:rPr>
          </w:pPr>
          <w:r>
            <w:rPr>
              <w:sz w:val="24"/>
            </w:rPr>
            <w:t>Sample</w:t>
          </w:r>
          <w:r>
            <w:rPr>
              <w:spacing w:val="-8"/>
              <w:sz w:val="24"/>
            </w:rPr>
            <w:t> </w:t>
          </w:r>
          <w:r>
            <w:rPr>
              <w:spacing w:val="-2"/>
              <w:sz w:val="24"/>
            </w:rPr>
            <w:t>Size…………………………………………</w:t>
          </w:r>
          <w:r>
            <w:rPr>
              <w:sz w:val="24"/>
            </w:rPr>
            <w:tab/>
          </w:r>
          <w:r>
            <w:rPr>
              <w:spacing w:val="-5"/>
              <w:sz w:val="24"/>
            </w:rPr>
            <w:t>304</w:t>
          </w:r>
        </w:p>
      </w:sdtContent>
    </w:sdt>
    <w:p>
      <w:pPr>
        <w:spacing w:after="0"/>
        <w:jc w:val="left"/>
        <w:rPr>
          <w:sz w:val="24"/>
        </w:rPr>
        <w:sectPr>
          <w:type w:val="continuous"/>
          <w:pgSz w:w="12240" w:h="15840"/>
          <w:pgMar w:header="722" w:footer="791" w:top="1072" w:bottom="705" w:left="1280" w:right="1140"/>
        </w:sectPr>
      </w:pPr>
    </w:p>
    <w:p>
      <w:pPr>
        <w:pStyle w:val="BodyText"/>
        <w:spacing w:before="81"/>
      </w:pPr>
    </w:p>
    <w:p>
      <w:pPr>
        <w:pStyle w:val="Heading3"/>
        <w:ind w:right="214"/>
      </w:pPr>
      <w:bookmarkStart w:name="_TOC_250063" w:id="5"/>
      <w:r>
        <w:rPr/>
        <w:t>LIST</w:t>
      </w:r>
      <w:r>
        <w:rPr>
          <w:spacing w:val="-1"/>
        </w:rPr>
        <w:t> </w:t>
      </w:r>
      <w:r>
        <w:rPr/>
        <w:t>OF</w:t>
      </w:r>
      <w:r>
        <w:rPr>
          <w:spacing w:val="-8"/>
        </w:rPr>
        <w:t> </w:t>
      </w:r>
      <w:bookmarkEnd w:id="5"/>
      <w:r>
        <w:rPr>
          <w:spacing w:val="-2"/>
        </w:rPr>
        <w:t>TABLES</w:t>
      </w:r>
    </w:p>
    <w:p>
      <w:pPr>
        <w:pStyle w:val="BodyText"/>
        <w:rPr>
          <w:rFonts w:ascii="Arial"/>
          <w:b/>
        </w:rPr>
      </w:pPr>
    </w:p>
    <w:p>
      <w:pPr>
        <w:tabs>
          <w:tab w:pos="8617" w:val="left" w:leader="none"/>
        </w:tabs>
        <w:spacing w:before="1"/>
        <w:ind w:left="160" w:right="0" w:firstLine="0"/>
        <w:jc w:val="left"/>
        <w:rPr>
          <w:rFonts w:ascii="Arial"/>
          <w:b/>
          <w:sz w:val="24"/>
        </w:rPr>
      </w:pPr>
      <w:r>
        <w:rPr>
          <w:rFonts w:ascii="Arial"/>
          <w:b/>
          <w:spacing w:val="-2"/>
          <w:sz w:val="24"/>
        </w:rPr>
        <w:t>TABLE</w:t>
      </w:r>
      <w:r>
        <w:rPr>
          <w:rFonts w:ascii="Arial"/>
          <w:b/>
          <w:sz w:val="24"/>
        </w:rPr>
        <w:tab/>
      </w:r>
      <w:r>
        <w:rPr>
          <w:rFonts w:ascii="Arial"/>
          <w:b/>
          <w:spacing w:val="-4"/>
          <w:sz w:val="24"/>
        </w:rPr>
        <w:t>PAGE</w:t>
      </w:r>
    </w:p>
    <w:p>
      <w:pPr>
        <w:pStyle w:val="BodyText"/>
        <w:spacing w:before="4"/>
        <w:rPr>
          <w:rFonts w:ascii="Arial"/>
          <w:b/>
        </w:rPr>
      </w:pPr>
    </w:p>
    <w:p>
      <w:pPr>
        <w:pStyle w:val="ListParagraph"/>
        <w:numPr>
          <w:ilvl w:val="1"/>
          <w:numId w:val="6"/>
        </w:numPr>
        <w:tabs>
          <w:tab w:pos="879" w:val="left" w:leader="none"/>
          <w:tab w:pos="9001" w:val="left" w:leader="none"/>
        </w:tabs>
        <w:spacing w:line="240" w:lineRule="auto" w:before="0" w:after="0"/>
        <w:ind w:left="879" w:right="0" w:hanging="719"/>
        <w:jc w:val="left"/>
        <w:rPr>
          <w:sz w:val="24"/>
        </w:rPr>
      </w:pPr>
      <w:r>
        <w:rPr>
          <w:sz w:val="24"/>
        </w:rPr>
        <w:t>The</w:t>
      </w:r>
      <w:r>
        <w:rPr>
          <w:spacing w:val="-5"/>
          <w:sz w:val="24"/>
        </w:rPr>
        <w:t> </w:t>
      </w:r>
      <w:r>
        <w:rPr>
          <w:sz w:val="24"/>
        </w:rPr>
        <w:t>growth</w:t>
      </w:r>
      <w:r>
        <w:rPr>
          <w:spacing w:val="-5"/>
          <w:sz w:val="24"/>
        </w:rPr>
        <w:t> </w:t>
      </w:r>
      <w:r>
        <w:rPr>
          <w:sz w:val="24"/>
        </w:rPr>
        <w:t>of</w:t>
      </w:r>
      <w:r>
        <w:rPr>
          <w:spacing w:val="-5"/>
          <w:sz w:val="24"/>
        </w:rPr>
        <w:t> </w:t>
      </w:r>
      <w:r>
        <w:rPr>
          <w:sz w:val="24"/>
        </w:rPr>
        <w:t>hostels</w:t>
      </w:r>
      <w:r>
        <w:rPr>
          <w:spacing w:val="-6"/>
          <w:sz w:val="24"/>
        </w:rPr>
        <w:t> </w:t>
      </w:r>
      <w:r>
        <w:rPr>
          <w:sz w:val="24"/>
        </w:rPr>
        <w:t>from</w:t>
      </w:r>
      <w:r>
        <w:rPr>
          <w:spacing w:val="-13"/>
          <w:sz w:val="24"/>
        </w:rPr>
        <w:t> </w:t>
      </w:r>
      <w:r>
        <w:rPr>
          <w:sz w:val="24"/>
        </w:rPr>
        <w:t>1962-1981</w:t>
      </w:r>
      <w:r>
        <w:rPr>
          <w:spacing w:val="-8"/>
          <w:sz w:val="24"/>
        </w:rPr>
        <w:t> </w:t>
      </w:r>
      <w:r>
        <w:rPr>
          <w:sz w:val="24"/>
        </w:rPr>
        <w:t>in</w:t>
      </w:r>
      <w:r>
        <w:rPr>
          <w:spacing w:val="-9"/>
          <w:sz w:val="24"/>
        </w:rPr>
        <w:t> </w:t>
      </w:r>
      <w:r>
        <w:rPr>
          <w:sz w:val="24"/>
        </w:rPr>
        <w:t>Ahmadu</w:t>
      </w:r>
      <w:r>
        <w:rPr>
          <w:spacing w:val="-4"/>
          <w:sz w:val="24"/>
        </w:rPr>
        <w:t> </w:t>
      </w:r>
      <w:r>
        <w:rPr>
          <w:sz w:val="24"/>
        </w:rPr>
        <w:t>Bello</w:t>
      </w:r>
      <w:r>
        <w:rPr>
          <w:spacing w:val="-5"/>
          <w:sz w:val="24"/>
        </w:rPr>
        <w:t> </w:t>
      </w:r>
      <w:r>
        <w:rPr>
          <w:spacing w:val="-2"/>
          <w:sz w:val="24"/>
        </w:rPr>
        <w:t>University…….</w:t>
      </w:r>
      <w:r>
        <w:rPr>
          <w:sz w:val="24"/>
        </w:rPr>
        <w:tab/>
      </w:r>
      <w:r>
        <w:rPr>
          <w:spacing w:val="-5"/>
          <w:sz w:val="24"/>
        </w:rPr>
        <w:t>42</w:t>
      </w:r>
    </w:p>
    <w:p>
      <w:pPr>
        <w:pStyle w:val="BodyText"/>
        <w:spacing w:before="2"/>
      </w:pPr>
    </w:p>
    <w:p>
      <w:pPr>
        <w:pStyle w:val="ListParagraph"/>
        <w:numPr>
          <w:ilvl w:val="1"/>
          <w:numId w:val="6"/>
        </w:numPr>
        <w:tabs>
          <w:tab w:pos="880" w:val="left" w:leader="none"/>
          <w:tab w:pos="9001" w:val="left" w:leader="none"/>
        </w:tabs>
        <w:spacing w:line="237" w:lineRule="auto" w:before="1" w:after="0"/>
        <w:ind w:left="880" w:right="548" w:hanging="720"/>
        <w:jc w:val="left"/>
        <w:rPr>
          <w:sz w:val="24"/>
        </w:rPr>
      </w:pPr>
      <w:r>
        <w:rPr>
          <w:sz w:val="24"/>
        </w:rPr>
        <w:t>Number of Bedspaces and students accommodated by Halls and </w:t>
      </w:r>
      <w:r>
        <w:rPr>
          <w:spacing w:val="-2"/>
          <w:sz w:val="24"/>
        </w:rPr>
        <w:t>session…………………………………………………………………………</w:t>
      </w:r>
      <w:r>
        <w:rPr>
          <w:sz w:val="24"/>
        </w:rPr>
        <w:tab/>
      </w:r>
      <w:r>
        <w:rPr>
          <w:spacing w:val="-5"/>
          <w:sz w:val="24"/>
        </w:rPr>
        <w:t>44</w:t>
      </w:r>
    </w:p>
    <w:p>
      <w:pPr>
        <w:pStyle w:val="BodyText"/>
      </w:pPr>
    </w:p>
    <w:p>
      <w:pPr>
        <w:pStyle w:val="ListParagraph"/>
        <w:numPr>
          <w:ilvl w:val="1"/>
          <w:numId w:val="6"/>
        </w:numPr>
        <w:tabs>
          <w:tab w:pos="879" w:val="left" w:leader="none"/>
          <w:tab w:pos="9001" w:val="left" w:leader="none"/>
        </w:tabs>
        <w:spacing w:line="240" w:lineRule="auto" w:before="1" w:after="0"/>
        <w:ind w:left="879" w:right="0" w:hanging="719"/>
        <w:jc w:val="left"/>
        <w:rPr>
          <w:sz w:val="24"/>
        </w:rPr>
      </w:pPr>
      <w:r>
        <w:rPr>
          <w:sz w:val="24"/>
        </w:rPr>
        <w:t>Lack</w:t>
      </w:r>
      <w:r>
        <w:rPr>
          <w:spacing w:val="-5"/>
          <w:sz w:val="24"/>
        </w:rPr>
        <w:t> </w:t>
      </w:r>
      <w:r>
        <w:rPr>
          <w:sz w:val="24"/>
        </w:rPr>
        <w:t>of</w:t>
      </w:r>
      <w:r>
        <w:rPr>
          <w:spacing w:val="-5"/>
          <w:sz w:val="24"/>
        </w:rPr>
        <w:t> </w:t>
      </w:r>
      <w:r>
        <w:rPr>
          <w:sz w:val="24"/>
        </w:rPr>
        <w:t>proper</w:t>
      </w:r>
      <w:r>
        <w:rPr>
          <w:spacing w:val="-8"/>
          <w:sz w:val="24"/>
        </w:rPr>
        <w:t> </w:t>
      </w:r>
      <w:r>
        <w:rPr>
          <w:sz w:val="24"/>
        </w:rPr>
        <w:t>Guidance</w:t>
      </w:r>
      <w:r>
        <w:rPr>
          <w:spacing w:val="-4"/>
          <w:sz w:val="24"/>
        </w:rPr>
        <w:t> </w:t>
      </w:r>
      <w:r>
        <w:rPr>
          <w:sz w:val="24"/>
        </w:rPr>
        <w:t>and</w:t>
      </w:r>
      <w:r>
        <w:rPr>
          <w:spacing w:val="-4"/>
          <w:sz w:val="24"/>
        </w:rPr>
        <w:t> </w:t>
      </w:r>
      <w:r>
        <w:rPr>
          <w:spacing w:val="-2"/>
          <w:sz w:val="24"/>
        </w:rPr>
        <w:t>Counselling…………………….……..…....</w:t>
      </w:r>
      <w:r>
        <w:rPr>
          <w:sz w:val="24"/>
        </w:rPr>
        <w:tab/>
      </w:r>
      <w:r>
        <w:rPr>
          <w:spacing w:val="-5"/>
          <w:sz w:val="24"/>
        </w:rPr>
        <w:t>51</w:t>
      </w:r>
    </w:p>
    <w:p>
      <w:pPr>
        <w:pStyle w:val="ListParagraph"/>
        <w:numPr>
          <w:ilvl w:val="2"/>
          <w:numId w:val="7"/>
        </w:numPr>
        <w:tabs>
          <w:tab w:pos="695" w:val="left" w:leader="none"/>
        </w:tabs>
        <w:spacing w:line="240" w:lineRule="auto" w:before="276" w:after="0"/>
        <w:ind w:left="695" w:right="0" w:hanging="535"/>
        <w:jc w:val="left"/>
        <w:rPr>
          <w:sz w:val="24"/>
        </w:rPr>
      </w:pPr>
      <w:r>
        <w:rPr>
          <w:sz w:val="24"/>
        </w:rPr>
        <w:t>a)</w:t>
      </w:r>
      <w:r>
        <w:rPr>
          <w:spacing w:val="-7"/>
          <w:sz w:val="24"/>
        </w:rPr>
        <w:t> </w:t>
      </w:r>
      <w:r>
        <w:rPr>
          <w:sz w:val="24"/>
        </w:rPr>
        <w:t>Random</w:t>
      </w:r>
      <w:r>
        <w:rPr>
          <w:spacing w:val="-15"/>
          <w:sz w:val="24"/>
        </w:rPr>
        <w:t> </w:t>
      </w:r>
      <w:r>
        <w:rPr>
          <w:sz w:val="24"/>
        </w:rPr>
        <w:t>sampling</w:t>
      </w:r>
      <w:r>
        <w:rPr>
          <w:spacing w:val="-7"/>
          <w:sz w:val="24"/>
        </w:rPr>
        <w:t> </w:t>
      </w:r>
      <w:r>
        <w:rPr>
          <w:sz w:val="24"/>
        </w:rPr>
        <w:t>of</w:t>
      </w:r>
      <w:r>
        <w:rPr>
          <w:spacing w:val="-8"/>
          <w:sz w:val="24"/>
        </w:rPr>
        <w:t> </w:t>
      </w:r>
      <w:r>
        <w:rPr>
          <w:sz w:val="24"/>
        </w:rPr>
        <w:t>Universities</w:t>
      </w:r>
      <w:r>
        <w:rPr>
          <w:spacing w:val="-13"/>
          <w:sz w:val="24"/>
        </w:rPr>
        <w:t> </w:t>
      </w:r>
      <w:r>
        <w:rPr>
          <w:sz w:val="24"/>
        </w:rPr>
        <w:t>in</w:t>
      </w:r>
      <w:r>
        <w:rPr>
          <w:spacing w:val="-7"/>
          <w:sz w:val="24"/>
        </w:rPr>
        <w:t> </w:t>
      </w:r>
      <w:r>
        <w:rPr>
          <w:sz w:val="24"/>
        </w:rPr>
        <w:t>three</w:t>
      </w:r>
      <w:r>
        <w:rPr>
          <w:spacing w:val="-7"/>
          <w:sz w:val="24"/>
        </w:rPr>
        <w:t> </w:t>
      </w:r>
      <w:r>
        <w:rPr>
          <w:sz w:val="24"/>
        </w:rPr>
        <w:t>geopolitical</w:t>
      </w:r>
      <w:r>
        <w:rPr>
          <w:spacing w:val="-5"/>
          <w:sz w:val="24"/>
        </w:rPr>
        <w:t> </w:t>
      </w:r>
      <w:r>
        <w:rPr>
          <w:spacing w:val="-2"/>
          <w:sz w:val="24"/>
        </w:rPr>
        <w:t>zones</w:t>
      </w:r>
    </w:p>
    <w:p>
      <w:pPr>
        <w:pStyle w:val="BodyText"/>
        <w:tabs>
          <w:tab w:pos="9001" w:val="left" w:leader="none"/>
        </w:tabs>
        <w:spacing w:before="2"/>
        <w:ind w:left="947"/>
      </w:pPr>
      <w:r>
        <w:rPr/>
        <w:t>in</w:t>
      </w:r>
      <w:r>
        <w:rPr>
          <w:spacing w:val="-6"/>
        </w:rPr>
        <w:t> </w:t>
      </w:r>
      <w:r>
        <w:rPr/>
        <w:t>Northern</w:t>
      </w:r>
      <w:r>
        <w:rPr>
          <w:spacing w:val="-5"/>
        </w:rPr>
        <w:t> </w:t>
      </w:r>
      <w:r>
        <w:rPr/>
        <w:t>part</w:t>
      </w:r>
      <w:r>
        <w:rPr>
          <w:spacing w:val="-6"/>
        </w:rPr>
        <w:t> </w:t>
      </w:r>
      <w:r>
        <w:rPr/>
        <w:t>of</w:t>
      </w:r>
      <w:r>
        <w:rPr>
          <w:spacing w:val="-6"/>
        </w:rPr>
        <w:t> </w:t>
      </w:r>
      <w:r>
        <w:rPr/>
        <w:t>Nigeria</w:t>
      </w:r>
      <w:r>
        <w:rPr>
          <w:spacing w:val="-5"/>
        </w:rPr>
        <w:t> </w:t>
      </w:r>
      <w:r>
        <w:rPr>
          <w:spacing w:val="-2"/>
        </w:rPr>
        <w:t>…………..……………………….…………..</w:t>
      </w:r>
      <w:r>
        <w:rPr/>
        <w:tab/>
      </w:r>
      <w:r>
        <w:rPr>
          <w:spacing w:val="-5"/>
        </w:rPr>
        <w:t>92</w:t>
      </w:r>
    </w:p>
    <w:p>
      <w:pPr>
        <w:pStyle w:val="BodyText"/>
      </w:pPr>
    </w:p>
    <w:p>
      <w:pPr>
        <w:pStyle w:val="BodyText"/>
        <w:tabs>
          <w:tab w:pos="9001" w:val="left" w:leader="none"/>
        </w:tabs>
        <w:ind w:left="160"/>
      </w:pPr>
      <w:r>
        <w:rPr/>
        <w:t>3.4</w:t>
      </w:r>
      <w:r>
        <w:rPr>
          <w:spacing w:val="-4"/>
        </w:rPr>
        <w:t> </w:t>
      </w:r>
      <w:r>
        <w:rPr/>
        <w:t>1b)</w:t>
      </w:r>
      <w:r>
        <w:rPr>
          <w:spacing w:val="55"/>
        </w:rPr>
        <w:t> </w:t>
      </w:r>
      <w:r>
        <w:rPr/>
        <w:t>Sampled</w:t>
      </w:r>
      <w:r>
        <w:rPr>
          <w:spacing w:val="-3"/>
        </w:rPr>
        <w:t> </w:t>
      </w:r>
      <w:r>
        <w:rPr>
          <w:spacing w:val="-2"/>
        </w:rPr>
        <w:t>Universities……………………………………..........................</w:t>
      </w:r>
      <w:r>
        <w:rPr/>
        <w:tab/>
      </w:r>
      <w:r>
        <w:rPr>
          <w:spacing w:val="-5"/>
        </w:rPr>
        <w:t>92</w:t>
      </w:r>
    </w:p>
    <w:p>
      <w:pPr>
        <w:pStyle w:val="BodyText"/>
        <w:spacing w:before="2"/>
      </w:pPr>
    </w:p>
    <w:p>
      <w:pPr>
        <w:pStyle w:val="ListParagraph"/>
        <w:numPr>
          <w:ilvl w:val="2"/>
          <w:numId w:val="7"/>
        </w:numPr>
        <w:tabs>
          <w:tab w:pos="877" w:val="left" w:leader="none"/>
          <w:tab w:pos="880" w:val="left" w:leader="none"/>
          <w:tab w:pos="2065" w:val="left" w:leader="none"/>
          <w:tab w:pos="2799" w:val="left" w:leader="none"/>
          <w:tab w:pos="4546" w:val="left" w:leader="none"/>
          <w:tab w:pos="5650" w:val="left" w:leader="none"/>
          <w:tab w:pos="6182" w:val="left" w:leader="none"/>
          <w:tab w:pos="7424" w:val="left" w:leader="none"/>
          <w:tab w:pos="7943" w:val="left" w:leader="none"/>
          <w:tab w:pos="8610" w:val="left" w:leader="none"/>
          <w:tab w:pos="9001" w:val="left" w:leader="none"/>
        </w:tabs>
        <w:spacing w:line="237" w:lineRule="auto" w:before="0" w:after="0"/>
        <w:ind w:left="880" w:right="301" w:hanging="720"/>
        <w:jc w:val="left"/>
        <w:rPr>
          <w:sz w:val="24"/>
        </w:rPr>
      </w:pPr>
      <w:r>
        <w:rPr>
          <w:spacing w:val="-2"/>
          <w:sz w:val="24"/>
        </w:rPr>
        <w:t>Number</w:t>
      </w:r>
      <w:r>
        <w:rPr>
          <w:sz w:val="24"/>
        </w:rPr>
        <w:tab/>
      </w:r>
      <w:r>
        <w:rPr>
          <w:spacing w:val="-4"/>
          <w:sz w:val="24"/>
        </w:rPr>
        <w:t>and</w:t>
      </w:r>
      <w:r>
        <w:rPr>
          <w:sz w:val="24"/>
        </w:rPr>
        <w:tab/>
      </w:r>
      <w:r>
        <w:rPr>
          <w:spacing w:val="-2"/>
          <w:sz w:val="24"/>
        </w:rPr>
        <w:t>proportionate</w:t>
      </w:r>
      <w:r>
        <w:rPr>
          <w:sz w:val="24"/>
        </w:rPr>
        <w:tab/>
      </w:r>
      <w:r>
        <w:rPr>
          <w:spacing w:val="-2"/>
          <w:sz w:val="24"/>
        </w:rPr>
        <w:t>sample</w:t>
      </w:r>
      <w:r>
        <w:rPr>
          <w:sz w:val="24"/>
        </w:rPr>
        <w:tab/>
      </w:r>
      <w:r>
        <w:rPr>
          <w:spacing w:val="-6"/>
          <w:sz w:val="24"/>
        </w:rPr>
        <w:t>of</w:t>
      </w:r>
      <w:r>
        <w:rPr>
          <w:sz w:val="24"/>
        </w:rPr>
        <w:tab/>
      </w:r>
      <w:r>
        <w:rPr>
          <w:spacing w:val="-2"/>
          <w:sz w:val="24"/>
        </w:rPr>
        <w:t>students</w:t>
      </w:r>
      <w:r>
        <w:rPr>
          <w:sz w:val="24"/>
        </w:rPr>
        <w:tab/>
      </w:r>
      <w:r>
        <w:rPr>
          <w:spacing w:val="-6"/>
          <w:sz w:val="24"/>
        </w:rPr>
        <w:t>in</w:t>
      </w:r>
      <w:r>
        <w:rPr>
          <w:sz w:val="24"/>
        </w:rPr>
        <w:tab/>
      </w:r>
      <w:r>
        <w:rPr>
          <w:spacing w:val="-4"/>
          <w:sz w:val="24"/>
        </w:rPr>
        <w:t>the</w:t>
      </w:r>
      <w:r>
        <w:rPr>
          <w:sz w:val="24"/>
        </w:rPr>
        <w:tab/>
      </w:r>
      <w:r>
        <w:rPr>
          <w:spacing w:val="-2"/>
          <w:sz w:val="24"/>
        </w:rPr>
        <w:t>sampled Universities………...................................................................................</w:t>
      </w:r>
      <w:r>
        <w:rPr>
          <w:sz w:val="24"/>
        </w:rPr>
        <w:tab/>
        <w:tab/>
      </w:r>
      <w:r>
        <w:rPr>
          <w:spacing w:val="-6"/>
          <w:sz w:val="24"/>
        </w:rPr>
        <w:t>94</w:t>
      </w:r>
    </w:p>
    <w:p>
      <w:pPr>
        <w:pStyle w:val="BodyText"/>
        <w:spacing w:before="1"/>
      </w:pPr>
    </w:p>
    <w:p>
      <w:pPr>
        <w:pStyle w:val="ListParagraph"/>
        <w:numPr>
          <w:ilvl w:val="2"/>
          <w:numId w:val="7"/>
        </w:numPr>
        <w:tabs>
          <w:tab w:pos="877" w:val="left" w:leader="none"/>
          <w:tab w:pos="880" w:val="left" w:leader="none"/>
          <w:tab w:pos="2103" w:val="left" w:leader="none"/>
          <w:tab w:pos="2876" w:val="left" w:leader="none"/>
          <w:tab w:pos="4018" w:val="left" w:leader="none"/>
          <w:tab w:pos="4820" w:val="left" w:leader="none"/>
          <w:tab w:pos="5390" w:val="left" w:leader="none"/>
          <w:tab w:pos="6522" w:val="left" w:leader="none"/>
          <w:tab w:pos="7342" w:val="left" w:leader="none"/>
          <w:tab w:pos="7903" w:val="left" w:leader="none"/>
          <w:tab w:pos="8609" w:val="left" w:leader="none"/>
          <w:tab w:pos="9001" w:val="left" w:leader="none"/>
        </w:tabs>
        <w:spacing w:line="242" w:lineRule="auto" w:before="0" w:after="0"/>
        <w:ind w:left="880" w:right="303" w:hanging="720"/>
        <w:jc w:val="left"/>
        <w:rPr>
          <w:sz w:val="24"/>
        </w:rPr>
      </w:pPr>
      <w:r>
        <w:rPr>
          <w:spacing w:val="-2"/>
          <w:sz w:val="24"/>
        </w:rPr>
        <w:t>Number</w:t>
      </w:r>
      <w:r>
        <w:rPr>
          <w:sz w:val="24"/>
        </w:rPr>
        <w:tab/>
      </w:r>
      <w:r>
        <w:rPr>
          <w:spacing w:val="-4"/>
          <w:sz w:val="24"/>
        </w:rPr>
        <w:t>and</w:t>
      </w:r>
      <w:r>
        <w:rPr>
          <w:sz w:val="24"/>
        </w:rPr>
        <w:tab/>
      </w:r>
      <w:r>
        <w:rPr>
          <w:spacing w:val="-2"/>
          <w:sz w:val="24"/>
        </w:rPr>
        <w:t>sample</w:t>
      </w:r>
      <w:r>
        <w:rPr>
          <w:sz w:val="24"/>
        </w:rPr>
        <w:tab/>
      </w:r>
      <w:r>
        <w:rPr>
          <w:spacing w:val="-4"/>
          <w:sz w:val="24"/>
        </w:rPr>
        <w:t>size</w:t>
      </w:r>
      <w:r>
        <w:rPr>
          <w:sz w:val="24"/>
        </w:rPr>
        <w:tab/>
      </w:r>
      <w:r>
        <w:rPr>
          <w:spacing w:val="-6"/>
          <w:sz w:val="24"/>
        </w:rPr>
        <w:t>of</w:t>
      </w:r>
      <w:r>
        <w:rPr>
          <w:sz w:val="24"/>
        </w:rPr>
        <w:tab/>
      </w:r>
      <w:r>
        <w:rPr>
          <w:spacing w:val="-2"/>
          <w:sz w:val="24"/>
        </w:rPr>
        <w:t>service</w:t>
      </w:r>
      <w:r>
        <w:rPr>
          <w:sz w:val="24"/>
        </w:rPr>
        <w:tab/>
      </w:r>
      <w:r>
        <w:rPr>
          <w:spacing w:val="-2"/>
          <w:sz w:val="24"/>
        </w:rPr>
        <w:t>staff</w:t>
      </w:r>
      <w:r>
        <w:rPr>
          <w:sz w:val="24"/>
        </w:rPr>
        <w:tab/>
      </w:r>
      <w:r>
        <w:rPr>
          <w:spacing w:val="-6"/>
          <w:sz w:val="24"/>
        </w:rPr>
        <w:t>in</w:t>
      </w:r>
      <w:r>
        <w:rPr>
          <w:sz w:val="24"/>
        </w:rPr>
        <w:tab/>
      </w:r>
      <w:r>
        <w:rPr>
          <w:spacing w:val="-4"/>
          <w:sz w:val="24"/>
        </w:rPr>
        <w:t>the</w:t>
      </w:r>
      <w:r>
        <w:rPr>
          <w:sz w:val="24"/>
        </w:rPr>
        <w:tab/>
      </w:r>
      <w:r>
        <w:rPr>
          <w:spacing w:val="-2"/>
          <w:sz w:val="24"/>
        </w:rPr>
        <w:t>sampled Universities…………………….……………………………………………..</w:t>
      </w:r>
      <w:r>
        <w:rPr>
          <w:sz w:val="24"/>
        </w:rPr>
        <w:tab/>
        <w:tab/>
      </w:r>
      <w:r>
        <w:rPr>
          <w:spacing w:val="-6"/>
          <w:sz w:val="24"/>
        </w:rPr>
        <w:t>94</w:t>
      </w:r>
    </w:p>
    <w:p>
      <w:pPr>
        <w:pStyle w:val="ListParagraph"/>
        <w:numPr>
          <w:ilvl w:val="2"/>
          <w:numId w:val="7"/>
        </w:numPr>
        <w:tabs>
          <w:tab w:pos="877" w:val="left" w:leader="none"/>
          <w:tab w:pos="880" w:val="left" w:leader="none"/>
          <w:tab w:pos="1964" w:val="left" w:leader="none"/>
          <w:tab w:pos="2597" w:val="left" w:leader="none"/>
          <w:tab w:pos="3596" w:val="left" w:leader="none"/>
          <w:tab w:pos="4253" w:val="left" w:leader="none"/>
          <w:tab w:pos="4680" w:val="left" w:leader="none"/>
          <w:tab w:pos="5323" w:val="left" w:leader="none"/>
          <w:tab w:pos="6950" w:val="left" w:leader="none"/>
          <w:tab w:pos="7636" w:val="left" w:leader="none"/>
          <w:tab w:pos="8053" w:val="left" w:leader="none"/>
          <w:tab w:pos="8615" w:val="left" w:leader="none"/>
          <w:tab w:pos="9001" w:val="left" w:leader="none"/>
        </w:tabs>
        <w:spacing w:line="237" w:lineRule="auto" w:before="276" w:after="0"/>
        <w:ind w:left="880" w:right="297" w:hanging="720"/>
        <w:jc w:val="left"/>
        <w:rPr>
          <w:sz w:val="24"/>
        </w:rPr>
      </w:pPr>
      <w:r>
        <w:rPr>
          <w:spacing w:val="-2"/>
          <w:sz w:val="24"/>
        </w:rPr>
        <w:t>Number</w:t>
      </w:r>
      <w:r>
        <w:rPr>
          <w:sz w:val="24"/>
        </w:rPr>
        <w:tab/>
      </w:r>
      <w:r>
        <w:rPr>
          <w:spacing w:val="-4"/>
          <w:sz w:val="24"/>
        </w:rPr>
        <w:t>and</w:t>
      </w:r>
      <w:r>
        <w:rPr>
          <w:sz w:val="24"/>
        </w:rPr>
        <w:tab/>
      </w:r>
      <w:r>
        <w:rPr>
          <w:spacing w:val="-2"/>
          <w:sz w:val="24"/>
        </w:rPr>
        <w:t>sample</w:t>
      </w:r>
      <w:r>
        <w:rPr>
          <w:sz w:val="24"/>
        </w:rPr>
        <w:tab/>
      </w:r>
      <w:r>
        <w:rPr>
          <w:spacing w:val="-4"/>
          <w:sz w:val="24"/>
        </w:rPr>
        <w:t>size</w:t>
      </w:r>
      <w:r>
        <w:rPr>
          <w:sz w:val="24"/>
        </w:rPr>
        <w:tab/>
      </w:r>
      <w:r>
        <w:rPr>
          <w:spacing w:val="-6"/>
          <w:sz w:val="24"/>
        </w:rPr>
        <w:t>of</w:t>
      </w:r>
      <w:r>
        <w:rPr>
          <w:sz w:val="24"/>
        </w:rPr>
        <w:tab/>
      </w:r>
      <w:r>
        <w:rPr>
          <w:spacing w:val="-4"/>
          <w:sz w:val="24"/>
        </w:rPr>
        <w:t>Top</w:t>
      </w:r>
      <w:r>
        <w:rPr>
          <w:sz w:val="24"/>
        </w:rPr>
        <w:tab/>
      </w:r>
      <w:r>
        <w:rPr>
          <w:spacing w:val="-2"/>
          <w:sz w:val="24"/>
        </w:rPr>
        <w:t>Management</w:t>
      </w:r>
      <w:r>
        <w:rPr>
          <w:sz w:val="24"/>
        </w:rPr>
        <w:tab/>
      </w:r>
      <w:r>
        <w:rPr>
          <w:spacing w:val="-2"/>
          <w:sz w:val="24"/>
        </w:rPr>
        <w:t>staff</w:t>
      </w:r>
      <w:r>
        <w:rPr>
          <w:sz w:val="24"/>
        </w:rPr>
        <w:tab/>
      </w:r>
      <w:r>
        <w:rPr>
          <w:spacing w:val="-6"/>
          <w:sz w:val="24"/>
        </w:rPr>
        <w:t>in</w:t>
      </w:r>
      <w:r>
        <w:rPr>
          <w:sz w:val="24"/>
        </w:rPr>
        <w:tab/>
      </w:r>
      <w:r>
        <w:rPr>
          <w:spacing w:val="-4"/>
          <w:sz w:val="24"/>
        </w:rPr>
        <w:t>the</w:t>
      </w:r>
      <w:r>
        <w:rPr>
          <w:sz w:val="24"/>
        </w:rPr>
        <w:tab/>
      </w:r>
      <w:r>
        <w:rPr>
          <w:spacing w:val="-2"/>
          <w:sz w:val="24"/>
        </w:rPr>
        <w:t>sampled Universities………………….………………………………………………..</w:t>
      </w:r>
      <w:r>
        <w:rPr>
          <w:sz w:val="24"/>
        </w:rPr>
        <w:tab/>
        <w:tab/>
      </w:r>
      <w:r>
        <w:rPr>
          <w:spacing w:val="-6"/>
          <w:sz w:val="24"/>
        </w:rPr>
        <w:t>95</w:t>
      </w:r>
    </w:p>
    <w:p>
      <w:pPr>
        <w:pStyle w:val="BodyText"/>
      </w:pPr>
    </w:p>
    <w:p>
      <w:pPr>
        <w:pStyle w:val="ListParagraph"/>
        <w:numPr>
          <w:ilvl w:val="2"/>
          <w:numId w:val="7"/>
        </w:numPr>
        <w:tabs>
          <w:tab w:pos="877" w:val="left" w:leader="none"/>
          <w:tab w:pos="9001" w:val="left" w:leader="none"/>
        </w:tabs>
        <w:spacing w:line="240" w:lineRule="auto" w:before="0" w:after="0"/>
        <w:ind w:left="877" w:right="0" w:hanging="717"/>
        <w:jc w:val="left"/>
        <w:rPr>
          <w:sz w:val="24"/>
        </w:rPr>
      </w:pPr>
      <w:r>
        <w:rPr>
          <w:sz w:val="24"/>
        </w:rPr>
        <w:t>Total</w:t>
      </w:r>
      <w:r>
        <w:rPr>
          <w:spacing w:val="-5"/>
          <w:sz w:val="24"/>
        </w:rPr>
        <w:t> </w:t>
      </w:r>
      <w:r>
        <w:rPr>
          <w:sz w:val="24"/>
        </w:rPr>
        <w:t>sampled</w:t>
      </w:r>
      <w:r>
        <w:rPr>
          <w:spacing w:val="-8"/>
          <w:sz w:val="24"/>
        </w:rPr>
        <w:t> </w:t>
      </w:r>
      <w:r>
        <w:rPr>
          <w:spacing w:val="-2"/>
          <w:sz w:val="24"/>
        </w:rPr>
        <w:t>subjects……………………………………………..............</w:t>
      </w:r>
      <w:r>
        <w:rPr>
          <w:sz w:val="24"/>
        </w:rPr>
        <w:tab/>
      </w:r>
      <w:r>
        <w:rPr>
          <w:spacing w:val="-5"/>
          <w:sz w:val="24"/>
        </w:rPr>
        <w:t>96</w:t>
      </w:r>
    </w:p>
    <w:p>
      <w:pPr>
        <w:pStyle w:val="BodyText"/>
      </w:pPr>
    </w:p>
    <w:p>
      <w:pPr>
        <w:pStyle w:val="ListParagraph"/>
        <w:numPr>
          <w:ilvl w:val="2"/>
          <w:numId w:val="7"/>
        </w:numPr>
        <w:tabs>
          <w:tab w:pos="877" w:val="left" w:leader="none"/>
          <w:tab w:pos="9001" w:val="left" w:leader="none"/>
        </w:tabs>
        <w:spacing w:line="240" w:lineRule="auto" w:before="1" w:after="0"/>
        <w:ind w:left="877" w:right="0" w:hanging="717"/>
        <w:jc w:val="left"/>
        <w:rPr>
          <w:sz w:val="24"/>
        </w:rPr>
      </w:pPr>
      <w:r>
        <w:rPr>
          <w:sz w:val="24"/>
        </w:rPr>
        <w:t>The</w:t>
      </w:r>
      <w:r>
        <w:rPr>
          <w:spacing w:val="-8"/>
          <w:sz w:val="24"/>
        </w:rPr>
        <w:t> </w:t>
      </w:r>
      <w:r>
        <w:rPr>
          <w:sz w:val="24"/>
        </w:rPr>
        <w:t>Faculties</w:t>
      </w:r>
      <w:r>
        <w:rPr>
          <w:spacing w:val="-8"/>
          <w:sz w:val="24"/>
        </w:rPr>
        <w:t> </w:t>
      </w:r>
      <w:r>
        <w:rPr>
          <w:sz w:val="24"/>
        </w:rPr>
        <w:t>sampled</w:t>
      </w:r>
      <w:r>
        <w:rPr>
          <w:spacing w:val="-10"/>
          <w:sz w:val="24"/>
        </w:rPr>
        <w:t> </w:t>
      </w:r>
      <w:r>
        <w:rPr>
          <w:sz w:val="24"/>
        </w:rPr>
        <w:t>in</w:t>
      </w:r>
      <w:r>
        <w:rPr>
          <w:spacing w:val="-11"/>
          <w:sz w:val="24"/>
        </w:rPr>
        <w:t> </w:t>
      </w:r>
      <w:r>
        <w:rPr>
          <w:sz w:val="24"/>
        </w:rPr>
        <w:t>each</w:t>
      </w:r>
      <w:r>
        <w:rPr>
          <w:spacing w:val="-7"/>
          <w:sz w:val="24"/>
        </w:rPr>
        <w:t> </w:t>
      </w:r>
      <w:r>
        <w:rPr>
          <w:sz w:val="24"/>
        </w:rPr>
        <w:t>University</w:t>
      </w:r>
      <w:r>
        <w:rPr>
          <w:spacing w:val="-9"/>
          <w:sz w:val="24"/>
        </w:rPr>
        <w:t> </w:t>
      </w:r>
      <w:r>
        <w:rPr>
          <w:sz w:val="24"/>
        </w:rPr>
        <w:t>showing</w:t>
      </w:r>
      <w:r>
        <w:rPr>
          <w:spacing w:val="-7"/>
          <w:sz w:val="24"/>
        </w:rPr>
        <w:t> </w:t>
      </w:r>
      <w:r>
        <w:rPr>
          <w:spacing w:val="-2"/>
          <w:sz w:val="24"/>
        </w:rPr>
        <w:t>respondents………</w:t>
      </w:r>
      <w:r>
        <w:rPr>
          <w:sz w:val="24"/>
        </w:rPr>
        <w:tab/>
      </w:r>
      <w:r>
        <w:rPr>
          <w:spacing w:val="-5"/>
          <w:sz w:val="24"/>
        </w:rPr>
        <w:t>97</w:t>
      </w:r>
    </w:p>
    <w:p>
      <w:pPr>
        <w:pStyle w:val="ListParagraph"/>
        <w:numPr>
          <w:ilvl w:val="2"/>
          <w:numId w:val="7"/>
        </w:numPr>
        <w:tabs>
          <w:tab w:pos="877" w:val="left" w:leader="none"/>
          <w:tab w:pos="9001" w:val="left" w:leader="none"/>
        </w:tabs>
        <w:spacing w:line="240" w:lineRule="auto" w:before="276" w:after="0"/>
        <w:ind w:left="877" w:right="0" w:hanging="717"/>
        <w:jc w:val="left"/>
        <w:rPr>
          <w:sz w:val="24"/>
        </w:rPr>
      </w:pPr>
      <w:r>
        <w:rPr>
          <w:sz w:val="24"/>
        </w:rPr>
        <w:t>No.</w:t>
      </w:r>
      <w:r>
        <w:rPr>
          <w:spacing w:val="-6"/>
          <w:sz w:val="24"/>
        </w:rPr>
        <w:t> </w:t>
      </w:r>
      <w:r>
        <w:rPr>
          <w:sz w:val="24"/>
        </w:rPr>
        <w:t>of</w:t>
      </w:r>
      <w:r>
        <w:rPr>
          <w:spacing w:val="-6"/>
          <w:sz w:val="24"/>
        </w:rPr>
        <w:t> </w:t>
      </w:r>
      <w:r>
        <w:rPr>
          <w:sz w:val="24"/>
        </w:rPr>
        <w:t>respondents</w:t>
      </w:r>
      <w:r>
        <w:rPr>
          <w:spacing w:val="-10"/>
          <w:sz w:val="24"/>
        </w:rPr>
        <w:t> </w:t>
      </w:r>
      <w:r>
        <w:rPr>
          <w:sz w:val="24"/>
        </w:rPr>
        <w:t>in</w:t>
      </w:r>
      <w:r>
        <w:rPr>
          <w:spacing w:val="-4"/>
          <w:sz w:val="24"/>
        </w:rPr>
        <w:t> </w:t>
      </w:r>
      <w:r>
        <w:rPr>
          <w:sz w:val="24"/>
        </w:rPr>
        <w:t>each</w:t>
      </w:r>
      <w:r>
        <w:rPr>
          <w:spacing w:val="-9"/>
          <w:sz w:val="24"/>
        </w:rPr>
        <w:t> </w:t>
      </w:r>
      <w:r>
        <w:rPr>
          <w:sz w:val="24"/>
        </w:rPr>
        <w:t>service</w:t>
      </w:r>
      <w:r>
        <w:rPr>
          <w:spacing w:val="-8"/>
          <w:sz w:val="24"/>
        </w:rPr>
        <w:t> </w:t>
      </w:r>
      <w:r>
        <w:rPr>
          <w:sz w:val="24"/>
        </w:rPr>
        <w:t>units</w:t>
      </w:r>
      <w:r>
        <w:rPr>
          <w:spacing w:val="-5"/>
          <w:sz w:val="24"/>
        </w:rPr>
        <w:t> </w:t>
      </w:r>
      <w:r>
        <w:rPr>
          <w:sz w:val="24"/>
        </w:rPr>
        <w:t>of</w:t>
      </w:r>
      <w:r>
        <w:rPr>
          <w:spacing w:val="-6"/>
          <w:sz w:val="24"/>
        </w:rPr>
        <w:t> </w:t>
      </w:r>
      <w:r>
        <w:rPr>
          <w:sz w:val="24"/>
        </w:rPr>
        <w:t>the</w:t>
      </w:r>
      <w:r>
        <w:rPr>
          <w:spacing w:val="-5"/>
          <w:sz w:val="24"/>
        </w:rPr>
        <w:t> </w:t>
      </w:r>
      <w:r>
        <w:rPr>
          <w:spacing w:val="-2"/>
          <w:sz w:val="24"/>
        </w:rPr>
        <w:t>universities…………….</w:t>
      </w:r>
      <w:r>
        <w:rPr>
          <w:sz w:val="24"/>
        </w:rPr>
        <w:tab/>
      </w:r>
      <w:r>
        <w:rPr>
          <w:spacing w:val="-5"/>
          <w:sz w:val="24"/>
        </w:rPr>
        <w:t>99</w:t>
      </w:r>
    </w:p>
    <w:p>
      <w:pPr>
        <w:pStyle w:val="ListParagraph"/>
        <w:numPr>
          <w:ilvl w:val="2"/>
          <w:numId w:val="7"/>
        </w:numPr>
        <w:tabs>
          <w:tab w:pos="877" w:val="left" w:leader="none"/>
          <w:tab w:pos="9001" w:val="left" w:leader="none"/>
        </w:tabs>
        <w:spacing w:line="240" w:lineRule="auto" w:before="276" w:after="0"/>
        <w:ind w:left="877" w:right="0" w:hanging="717"/>
        <w:jc w:val="left"/>
        <w:rPr>
          <w:sz w:val="24"/>
        </w:rPr>
      </w:pPr>
      <w:r>
        <w:rPr>
          <w:sz w:val="24"/>
        </w:rPr>
        <w:t>No.</w:t>
      </w:r>
      <w:r>
        <w:rPr>
          <w:spacing w:val="-5"/>
          <w:sz w:val="24"/>
        </w:rPr>
        <w:t> </w:t>
      </w:r>
      <w:r>
        <w:rPr>
          <w:sz w:val="24"/>
        </w:rPr>
        <w:t>of</w:t>
      </w:r>
      <w:r>
        <w:rPr>
          <w:spacing w:val="-4"/>
          <w:sz w:val="24"/>
        </w:rPr>
        <w:t> </w:t>
      </w:r>
      <w:r>
        <w:rPr>
          <w:sz w:val="24"/>
        </w:rPr>
        <w:t>respondents</w:t>
      </w:r>
      <w:r>
        <w:rPr>
          <w:spacing w:val="-10"/>
          <w:sz w:val="24"/>
        </w:rPr>
        <w:t> </w:t>
      </w:r>
      <w:r>
        <w:rPr>
          <w:sz w:val="24"/>
        </w:rPr>
        <w:t>in</w:t>
      </w:r>
      <w:r>
        <w:rPr>
          <w:spacing w:val="-3"/>
          <w:sz w:val="24"/>
        </w:rPr>
        <w:t> </w:t>
      </w:r>
      <w:r>
        <w:rPr>
          <w:sz w:val="24"/>
        </w:rPr>
        <w:t>each</w:t>
      </w:r>
      <w:r>
        <w:rPr>
          <w:spacing w:val="-7"/>
          <w:sz w:val="24"/>
        </w:rPr>
        <w:t> </w:t>
      </w:r>
      <w:r>
        <w:rPr>
          <w:sz w:val="24"/>
        </w:rPr>
        <w:t>Top</w:t>
      </w:r>
      <w:r>
        <w:rPr>
          <w:spacing w:val="-8"/>
          <w:sz w:val="24"/>
        </w:rPr>
        <w:t> </w:t>
      </w:r>
      <w:r>
        <w:rPr>
          <w:sz w:val="24"/>
        </w:rPr>
        <w:t>Management</w:t>
      </w:r>
      <w:r>
        <w:rPr>
          <w:spacing w:val="-4"/>
          <w:sz w:val="24"/>
        </w:rPr>
        <w:t> </w:t>
      </w:r>
      <w:r>
        <w:rPr>
          <w:sz w:val="24"/>
        </w:rPr>
        <w:t>unit</w:t>
      </w:r>
      <w:r>
        <w:rPr>
          <w:spacing w:val="-8"/>
          <w:sz w:val="24"/>
        </w:rPr>
        <w:t> </w:t>
      </w:r>
      <w:r>
        <w:rPr>
          <w:sz w:val="24"/>
        </w:rPr>
        <w:t>of</w:t>
      </w:r>
      <w:r>
        <w:rPr>
          <w:spacing w:val="-5"/>
          <w:sz w:val="24"/>
        </w:rPr>
        <w:t> </w:t>
      </w:r>
      <w:r>
        <w:rPr>
          <w:sz w:val="24"/>
        </w:rPr>
        <w:t>the</w:t>
      </w:r>
      <w:r>
        <w:rPr>
          <w:spacing w:val="-7"/>
          <w:sz w:val="24"/>
        </w:rPr>
        <w:t> </w:t>
      </w:r>
      <w:r>
        <w:rPr>
          <w:spacing w:val="-2"/>
          <w:sz w:val="24"/>
        </w:rPr>
        <w:t>universities…</w:t>
      </w:r>
      <w:r>
        <w:rPr>
          <w:sz w:val="24"/>
        </w:rPr>
        <w:tab/>
      </w:r>
      <w:r>
        <w:rPr>
          <w:spacing w:val="-5"/>
          <w:sz w:val="24"/>
        </w:rPr>
        <w:t>99</w:t>
      </w:r>
    </w:p>
    <w:p>
      <w:pPr>
        <w:pStyle w:val="ListParagraph"/>
        <w:numPr>
          <w:ilvl w:val="2"/>
          <w:numId w:val="8"/>
        </w:numPr>
        <w:tabs>
          <w:tab w:pos="877" w:val="left" w:leader="none"/>
          <w:tab w:pos="8867" w:val="left" w:leader="none"/>
        </w:tabs>
        <w:spacing w:line="240" w:lineRule="auto" w:before="276" w:after="0"/>
        <w:ind w:left="877" w:right="0" w:hanging="717"/>
        <w:jc w:val="left"/>
        <w:rPr>
          <w:sz w:val="24"/>
        </w:rPr>
      </w:pPr>
      <w:r>
        <w:rPr>
          <w:sz w:val="24"/>
        </w:rPr>
        <w:t>Rate</w:t>
      </w:r>
      <w:r>
        <w:rPr>
          <w:spacing w:val="-5"/>
          <w:sz w:val="24"/>
        </w:rPr>
        <w:t> </w:t>
      </w:r>
      <w:r>
        <w:rPr>
          <w:sz w:val="24"/>
        </w:rPr>
        <w:t>of</w:t>
      </w:r>
      <w:r>
        <w:rPr>
          <w:spacing w:val="-6"/>
          <w:sz w:val="24"/>
        </w:rPr>
        <w:t> </w:t>
      </w:r>
      <w:r>
        <w:rPr>
          <w:sz w:val="24"/>
        </w:rPr>
        <w:t>return</w:t>
      </w:r>
      <w:r>
        <w:rPr>
          <w:spacing w:val="-8"/>
          <w:sz w:val="24"/>
        </w:rPr>
        <w:t> </w:t>
      </w:r>
      <w:r>
        <w:rPr>
          <w:sz w:val="24"/>
        </w:rPr>
        <w:t>of</w:t>
      </w:r>
      <w:r>
        <w:rPr>
          <w:spacing w:val="-5"/>
          <w:sz w:val="24"/>
        </w:rPr>
        <w:t> </w:t>
      </w:r>
      <w:r>
        <w:rPr>
          <w:sz w:val="24"/>
        </w:rPr>
        <w:t>questionnaire</w:t>
      </w:r>
      <w:r>
        <w:rPr>
          <w:spacing w:val="-5"/>
          <w:sz w:val="24"/>
        </w:rPr>
        <w:t> </w:t>
      </w:r>
      <w:r>
        <w:rPr>
          <w:sz w:val="24"/>
        </w:rPr>
        <w:t>by</w:t>
      </w:r>
      <w:r>
        <w:rPr>
          <w:spacing w:val="-5"/>
          <w:sz w:val="24"/>
        </w:rPr>
        <w:t> </w:t>
      </w:r>
      <w:r>
        <w:rPr>
          <w:sz w:val="24"/>
        </w:rPr>
        <w:t>group</w:t>
      </w:r>
      <w:r>
        <w:rPr>
          <w:spacing w:val="-8"/>
          <w:sz w:val="24"/>
        </w:rPr>
        <w:t> </w:t>
      </w:r>
      <w:r>
        <w:rPr>
          <w:sz w:val="24"/>
        </w:rPr>
        <w:t>and</w:t>
      </w:r>
      <w:r>
        <w:rPr>
          <w:spacing w:val="-5"/>
          <w:sz w:val="24"/>
        </w:rPr>
        <w:t> </w:t>
      </w:r>
      <w:r>
        <w:rPr>
          <w:sz w:val="24"/>
        </w:rPr>
        <w:t>by</w:t>
      </w:r>
      <w:r>
        <w:rPr>
          <w:spacing w:val="-5"/>
          <w:sz w:val="24"/>
        </w:rPr>
        <w:t> </w:t>
      </w:r>
      <w:r>
        <w:rPr>
          <w:spacing w:val="-2"/>
          <w:sz w:val="24"/>
        </w:rPr>
        <w:t>university……………..</w:t>
      </w:r>
      <w:r>
        <w:rPr>
          <w:sz w:val="24"/>
        </w:rPr>
        <w:tab/>
      </w:r>
      <w:r>
        <w:rPr>
          <w:spacing w:val="-5"/>
          <w:sz w:val="24"/>
        </w:rPr>
        <w:t>104</w:t>
      </w:r>
    </w:p>
    <w:p>
      <w:pPr>
        <w:pStyle w:val="ListParagraph"/>
        <w:numPr>
          <w:ilvl w:val="2"/>
          <w:numId w:val="9"/>
        </w:numPr>
        <w:tabs>
          <w:tab w:pos="877" w:val="left" w:leader="none"/>
          <w:tab w:pos="8799" w:val="left" w:leader="none"/>
        </w:tabs>
        <w:spacing w:line="240" w:lineRule="auto" w:before="276" w:after="0"/>
        <w:ind w:left="877" w:right="0" w:hanging="717"/>
        <w:jc w:val="left"/>
        <w:rPr>
          <w:sz w:val="24"/>
        </w:rPr>
      </w:pPr>
      <w:r>
        <w:rPr>
          <w:sz w:val="24"/>
        </w:rPr>
        <w:t>Descriptive</w:t>
      </w:r>
      <w:r>
        <w:rPr>
          <w:spacing w:val="-9"/>
          <w:sz w:val="24"/>
        </w:rPr>
        <w:t> </w:t>
      </w:r>
      <w:r>
        <w:rPr>
          <w:sz w:val="24"/>
        </w:rPr>
        <w:t>Summary</w:t>
      </w:r>
      <w:r>
        <w:rPr>
          <w:spacing w:val="-10"/>
          <w:sz w:val="24"/>
        </w:rPr>
        <w:t> </w:t>
      </w:r>
      <w:r>
        <w:rPr>
          <w:sz w:val="24"/>
        </w:rPr>
        <w:t>of</w:t>
      </w:r>
      <w:r>
        <w:rPr>
          <w:spacing w:val="-10"/>
          <w:sz w:val="24"/>
        </w:rPr>
        <w:t> </w:t>
      </w:r>
      <w:r>
        <w:rPr>
          <w:sz w:val="24"/>
        </w:rPr>
        <w:t>Data</w:t>
      </w:r>
      <w:r>
        <w:rPr>
          <w:spacing w:val="-9"/>
          <w:sz w:val="24"/>
        </w:rPr>
        <w:t> </w:t>
      </w:r>
      <w:r>
        <w:rPr>
          <w:spacing w:val="-2"/>
          <w:sz w:val="24"/>
        </w:rPr>
        <w:t>……………………………………………..</w:t>
      </w:r>
      <w:r>
        <w:rPr>
          <w:sz w:val="24"/>
        </w:rPr>
        <w:tab/>
      </w:r>
      <w:r>
        <w:rPr>
          <w:spacing w:val="-5"/>
          <w:sz w:val="24"/>
        </w:rPr>
        <w:t>108</w:t>
      </w:r>
    </w:p>
    <w:p>
      <w:pPr>
        <w:pStyle w:val="ListParagraph"/>
        <w:numPr>
          <w:ilvl w:val="2"/>
          <w:numId w:val="10"/>
        </w:numPr>
        <w:tabs>
          <w:tab w:pos="877" w:val="left" w:leader="none"/>
        </w:tabs>
        <w:spacing w:line="240" w:lineRule="auto" w:before="276" w:after="0"/>
        <w:ind w:left="877" w:right="0" w:hanging="717"/>
        <w:jc w:val="left"/>
        <w:rPr>
          <w:sz w:val="24"/>
        </w:rPr>
      </w:pPr>
      <w:r>
        <w:rPr>
          <w:sz w:val="24"/>
        </w:rPr>
        <w:t>Opinions</w:t>
      </w:r>
      <w:r>
        <w:rPr>
          <w:spacing w:val="-8"/>
          <w:sz w:val="24"/>
        </w:rPr>
        <w:t> </w:t>
      </w:r>
      <w:r>
        <w:rPr>
          <w:sz w:val="24"/>
        </w:rPr>
        <w:t>of</w:t>
      </w:r>
      <w:r>
        <w:rPr>
          <w:spacing w:val="-11"/>
          <w:sz w:val="24"/>
        </w:rPr>
        <w:t> </w:t>
      </w:r>
      <w:r>
        <w:rPr>
          <w:sz w:val="24"/>
        </w:rPr>
        <w:t>respondents</w:t>
      </w:r>
      <w:r>
        <w:rPr>
          <w:spacing w:val="-7"/>
          <w:sz w:val="24"/>
        </w:rPr>
        <w:t> </w:t>
      </w:r>
      <w:r>
        <w:rPr>
          <w:sz w:val="24"/>
        </w:rPr>
        <w:t>on</w:t>
      </w:r>
      <w:r>
        <w:rPr>
          <w:spacing w:val="-7"/>
          <w:sz w:val="24"/>
        </w:rPr>
        <w:t> </w:t>
      </w:r>
      <w:r>
        <w:rPr>
          <w:sz w:val="24"/>
        </w:rPr>
        <w:t>the</w:t>
      </w:r>
      <w:r>
        <w:rPr>
          <w:spacing w:val="-7"/>
          <w:sz w:val="24"/>
        </w:rPr>
        <w:t> </w:t>
      </w:r>
      <w:r>
        <w:rPr>
          <w:sz w:val="24"/>
        </w:rPr>
        <w:t>social</w:t>
      </w:r>
      <w:r>
        <w:rPr>
          <w:spacing w:val="-7"/>
          <w:sz w:val="24"/>
        </w:rPr>
        <w:t> </w:t>
      </w:r>
      <w:r>
        <w:rPr>
          <w:sz w:val="24"/>
        </w:rPr>
        <w:t>services</w:t>
      </w:r>
      <w:r>
        <w:rPr>
          <w:spacing w:val="-7"/>
          <w:sz w:val="24"/>
        </w:rPr>
        <w:t> </w:t>
      </w:r>
      <w:r>
        <w:rPr>
          <w:sz w:val="24"/>
        </w:rPr>
        <w:t>for</w:t>
      </w:r>
      <w:r>
        <w:rPr>
          <w:spacing w:val="-6"/>
          <w:sz w:val="24"/>
        </w:rPr>
        <w:t> </w:t>
      </w:r>
      <w:r>
        <w:rPr>
          <w:sz w:val="24"/>
        </w:rPr>
        <w:t>students</w:t>
      </w:r>
      <w:r>
        <w:rPr>
          <w:spacing w:val="-12"/>
          <w:sz w:val="24"/>
        </w:rPr>
        <w:t> </w:t>
      </w:r>
      <w:r>
        <w:rPr>
          <w:spacing w:val="-5"/>
          <w:sz w:val="24"/>
        </w:rPr>
        <w:t>in</w:t>
      </w:r>
    </w:p>
    <w:p>
      <w:pPr>
        <w:pStyle w:val="BodyText"/>
        <w:tabs>
          <w:tab w:pos="8867" w:val="left" w:leader="none"/>
        </w:tabs>
        <w:spacing w:before="2"/>
        <w:ind w:left="880"/>
      </w:pPr>
      <w:r>
        <w:rPr/>
        <w:t>Universities</w:t>
      </w:r>
      <w:r>
        <w:rPr>
          <w:spacing w:val="-10"/>
        </w:rPr>
        <w:t> </w:t>
      </w:r>
      <w:r>
        <w:rPr/>
        <w:t>under</w:t>
      </w:r>
      <w:r>
        <w:rPr>
          <w:spacing w:val="-9"/>
        </w:rPr>
        <w:t> </w:t>
      </w:r>
      <w:r>
        <w:rPr>
          <w:spacing w:val="-2"/>
        </w:rPr>
        <w:t>study…………………………………………………...</w:t>
      </w:r>
      <w:r>
        <w:rPr/>
        <w:tab/>
      </w:r>
      <w:r>
        <w:rPr>
          <w:spacing w:val="-5"/>
        </w:rPr>
        <w:t>111</w:t>
      </w:r>
    </w:p>
    <w:p>
      <w:pPr>
        <w:pStyle w:val="BodyText"/>
        <w:spacing w:before="2"/>
      </w:pPr>
    </w:p>
    <w:p>
      <w:pPr>
        <w:pStyle w:val="ListParagraph"/>
        <w:numPr>
          <w:ilvl w:val="2"/>
          <w:numId w:val="10"/>
        </w:numPr>
        <w:tabs>
          <w:tab w:pos="877" w:val="left" w:leader="none"/>
          <w:tab w:pos="880" w:val="left" w:leader="none"/>
        </w:tabs>
        <w:spacing w:line="237" w:lineRule="auto" w:before="0" w:after="0"/>
        <w:ind w:left="880" w:right="1987" w:hanging="720"/>
        <w:jc w:val="left"/>
        <w:rPr>
          <w:sz w:val="24"/>
        </w:rPr>
      </w:pPr>
      <w:r>
        <w:rPr>
          <w:sz w:val="24"/>
        </w:rPr>
        <w:t>Opinions</w:t>
      </w:r>
      <w:r>
        <w:rPr>
          <w:spacing w:val="-4"/>
          <w:sz w:val="24"/>
        </w:rPr>
        <w:t> </w:t>
      </w:r>
      <w:r>
        <w:rPr>
          <w:sz w:val="24"/>
        </w:rPr>
        <w:t>of</w:t>
      </w:r>
      <w:r>
        <w:rPr>
          <w:spacing w:val="-8"/>
          <w:sz w:val="24"/>
        </w:rPr>
        <w:t> </w:t>
      </w:r>
      <w:r>
        <w:rPr>
          <w:sz w:val="24"/>
        </w:rPr>
        <w:t>respondents</w:t>
      </w:r>
      <w:r>
        <w:rPr>
          <w:spacing w:val="-4"/>
          <w:sz w:val="24"/>
        </w:rPr>
        <w:t> </w:t>
      </w:r>
      <w:r>
        <w:rPr>
          <w:sz w:val="24"/>
        </w:rPr>
        <w:t>on</w:t>
      </w:r>
      <w:r>
        <w:rPr>
          <w:spacing w:val="-3"/>
          <w:sz w:val="24"/>
        </w:rPr>
        <w:t> </w:t>
      </w:r>
      <w:r>
        <w:rPr>
          <w:sz w:val="24"/>
        </w:rPr>
        <w:t>the</w:t>
      </w:r>
      <w:r>
        <w:rPr>
          <w:spacing w:val="-3"/>
          <w:sz w:val="24"/>
        </w:rPr>
        <w:t> </w:t>
      </w:r>
      <w:r>
        <w:rPr>
          <w:sz w:val="24"/>
        </w:rPr>
        <w:t>academic</w:t>
      </w:r>
      <w:r>
        <w:rPr>
          <w:spacing w:val="-4"/>
          <w:sz w:val="24"/>
        </w:rPr>
        <w:t> </w:t>
      </w:r>
      <w:r>
        <w:rPr>
          <w:sz w:val="24"/>
        </w:rPr>
        <w:t>services</w:t>
      </w:r>
      <w:r>
        <w:rPr>
          <w:spacing w:val="-4"/>
          <w:sz w:val="24"/>
        </w:rPr>
        <w:t> </w:t>
      </w:r>
      <w:r>
        <w:rPr>
          <w:sz w:val="24"/>
        </w:rPr>
        <w:t>for</w:t>
      </w:r>
      <w:r>
        <w:rPr>
          <w:spacing w:val="-2"/>
          <w:sz w:val="24"/>
        </w:rPr>
        <w:t> </w:t>
      </w:r>
      <w:r>
        <w:rPr>
          <w:sz w:val="24"/>
        </w:rPr>
        <w:t>students</w:t>
      </w:r>
      <w:r>
        <w:rPr>
          <w:spacing w:val="-9"/>
          <w:sz w:val="24"/>
        </w:rPr>
        <w:t> </w:t>
      </w:r>
      <w:r>
        <w:rPr>
          <w:sz w:val="24"/>
        </w:rPr>
        <w:t>in Universities in three geopolitical zones in Northern part</w:t>
      </w:r>
    </w:p>
    <w:p>
      <w:pPr>
        <w:pStyle w:val="BodyText"/>
        <w:tabs>
          <w:tab w:pos="8867" w:val="left" w:leader="none"/>
        </w:tabs>
        <w:spacing w:before="4"/>
        <w:ind w:left="880"/>
      </w:pPr>
      <w:r>
        <w:rPr/>
        <w:t>of</w:t>
      </w:r>
      <w:r>
        <w:rPr>
          <w:spacing w:val="-4"/>
        </w:rPr>
        <w:t> </w:t>
      </w:r>
      <w:r>
        <w:rPr/>
        <w:t>Nigeria</w:t>
      </w:r>
      <w:r>
        <w:rPr>
          <w:spacing w:val="-3"/>
        </w:rPr>
        <w:t> </w:t>
      </w:r>
      <w:r>
        <w:rPr>
          <w:spacing w:val="-2"/>
        </w:rPr>
        <w:t>………………….………………………………………………....</w:t>
      </w:r>
      <w:r>
        <w:rPr/>
        <w:tab/>
      </w:r>
      <w:r>
        <w:rPr>
          <w:spacing w:val="-5"/>
        </w:rPr>
        <w:t>118</w:t>
      </w:r>
    </w:p>
    <w:p>
      <w:pPr>
        <w:pStyle w:val="BodyText"/>
        <w:spacing w:before="2"/>
      </w:pPr>
    </w:p>
    <w:p>
      <w:pPr>
        <w:pStyle w:val="ListParagraph"/>
        <w:numPr>
          <w:ilvl w:val="2"/>
          <w:numId w:val="10"/>
        </w:numPr>
        <w:tabs>
          <w:tab w:pos="877" w:val="left" w:leader="none"/>
          <w:tab w:pos="880" w:val="left" w:leader="none"/>
        </w:tabs>
        <w:spacing w:line="237" w:lineRule="auto" w:before="0" w:after="0"/>
        <w:ind w:left="880" w:right="1721" w:hanging="720"/>
        <w:jc w:val="left"/>
        <w:rPr>
          <w:sz w:val="24"/>
        </w:rPr>
      </w:pPr>
      <w:r>
        <w:rPr>
          <w:sz w:val="24"/>
        </w:rPr>
        <w:t>Opinions</w:t>
      </w:r>
      <w:r>
        <w:rPr>
          <w:spacing w:val="-5"/>
          <w:sz w:val="24"/>
        </w:rPr>
        <w:t> </w:t>
      </w:r>
      <w:r>
        <w:rPr>
          <w:sz w:val="24"/>
        </w:rPr>
        <w:t>of</w:t>
      </w:r>
      <w:r>
        <w:rPr>
          <w:spacing w:val="-9"/>
          <w:sz w:val="24"/>
        </w:rPr>
        <w:t> </w:t>
      </w:r>
      <w:r>
        <w:rPr>
          <w:sz w:val="24"/>
        </w:rPr>
        <w:t>respondents</w:t>
      </w:r>
      <w:r>
        <w:rPr>
          <w:spacing w:val="-5"/>
          <w:sz w:val="24"/>
        </w:rPr>
        <w:t> </w:t>
      </w:r>
      <w:r>
        <w:rPr>
          <w:sz w:val="24"/>
        </w:rPr>
        <w:t>on</w:t>
      </w:r>
      <w:r>
        <w:rPr>
          <w:spacing w:val="-4"/>
          <w:sz w:val="24"/>
        </w:rPr>
        <w:t> </w:t>
      </w:r>
      <w:r>
        <w:rPr>
          <w:sz w:val="24"/>
        </w:rPr>
        <w:t>the</w:t>
      </w:r>
      <w:r>
        <w:rPr>
          <w:spacing w:val="-4"/>
          <w:sz w:val="24"/>
        </w:rPr>
        <w:t> </w:t>
      </w:r>
      <w:r>
        <w:rPr>
          <w:sz w:val="24"/>
        </w:rPr>
        <w:t>medical/health</w:t>
      </w:r>
      <w:r>
        <w:rPr>
          <w:spacing w:val="-4"/>
          <w:sz w:val="24"/>
        </w:rPr>
        <w:t> </w:t>
      </w:r>
      <w:r>
        <w:rPr>
          <w:sz w:val="24"/>
        </w:rPr>
        <w:t>services</w:t>
      </w:r>
      <w:r>
        <w:rPr>
          <w:spacing w:val="-5"/>
          <w:sz w:val="24"/>
        </w:rPr>
        <w:t> </w:t>
      </w:r>
      <w:r>
        <w:rPr>
          <w:sz w:val="24"/>
        </w:rPr>
        <w:t>for</w:t>
      </w:r>
      <w:r>
        <w:rPr>
          <w:spacing w:val="-3"/>
          <w:sz w:val="24"/>
        </w:rPr>
        <w:t> </w:t>
      </w:r>
      <w:r>
        <w:rPr>
          <w:sz w:val="24"/>
        </w:rPr>
        <w:t>students in Universities in three geopolitical zones in Northern part</w:t>
      </w:r>
    </w:p>
    <w:p>
      <w:pPr>
        <w:spacing w:after="0" w:line="237" w:lineRule="auto"/>
        <w:jc w:val="left"/>
        <w:rPr>
          <w:sz w:val="24"/>
        </w:rPr>
        <w:sectPr>
          <w:headerReference w:type="default" r:id="rId20"/>
          <w:footerReference w:type="default" r:id="rId21"/>
          <w:pgSz w:w="12240" w:h="15840"/>
          <w:pgMar w:header="722" w:footer="791" w:top="1060" w:bottom="980" w:left="1280" w:right="1140"/>
        </w:sectPr>
      </w:pPr>
    </w:p>
    <w:p>
      <w:pPr>
        <w:pStyle w:val="BodyText"/>
        <w:tabs>
          <w:tab w:pos="8867" w:val="left" w:leader="dot"/>
        </w:tabs>
        <w:spacing w:before="362"/>
        <w:ind w:left="880"/>
      </w:pPr>
      <w:r>
        <w:rPr/>
        <w:t>of</w:t>
      </w:r>
      <w:r>
        <w:rPr>
          <w:spacing w:val="-3"/>
        </w:rPr>
        <w:t> </w:t>
      </w:r>
      <w:r>
        <w:rPr>
          <w:spacing w:val="-2"/>
        </w:rPr>
        <w:t>Nigeria</w:t>
      </w:r>
      <w:r>
        <w:rPr/>
        <w:tab/>
      </w:r>
      <w:r>
        <w:rPr>
          <w:spacing w:val="-5"/>
        </w:rPr>
        <w:t>123</w:t>
      </w:r>
    </w:p>
    <w:p>
      <w:pPr>
        <w:pStyle w:val="ListParagraph"/>
        <w:numPr>
          <w:ilvl w:val="2"/>
          <w:numId w:val="10"/>
        </w:numPr>
        <w:tabs>
          <w:tab w:pos="877" w:val="left" w:leader="none"/>
          <w:tab w:pos="880" w:val="left" w:leader="none"/>
        </w:tabs>
        <w:spacing w:line="237" w:lineRule="auto" w:before="279" w:after="0"/>
        <w:ind w:left="880" w:right="1760" w:hanging="720"/>
        <w:jc w:val="left"/>
        <w:rPr>
          <w:sz w:val="24"/>
        </w:rPr>
      </w:pPr>
      <w:r>
        <w:rPr>
          <w:sz w:val="24"/>
        </w:rPr>
        <w:t>Opinions</w:t>
      </w:r>
      <w:r>
        <w:rPr>
          <w:spacing w:val="-5"/>
          <w:sz w:val="24"/>
        </w:rPr>
        <w:t> </w:t>
      </w:r>
      <w:r>
        <w:rPr>
          <w:sz w:val="24"/>
        </w:rPr>
        <w:t>of</w:t>
      </w:r>
      <w:r>
        <w:rPr>
          <w:spacing w:val="-9"/>
          <w:sz w:val="24"/>
        </w:rPr>
        <w:t> </w:t>
      </w:r>
      <w:r>
        <w:rPr>
          <w:sz w:val="24"/>
        </w:rPr>
        <w:t>respondents</w:t>
      </w:r>
      <w:r>
        <w:rPr>
          <w:spacing w:val="-5"/>
          <w:sz w:val="24"/>
        </w:rPr>
        <w:t> </w:t>
      </w:r>
      <w:r>
        <w:rPr>
          <w:sz w:val="24"/>
        </w:rPr>
        <w:t>on</w:t>
      </w:r>
      <w:r>
        <w:rPr>
          <w:spacing w:val="-4"/>
          <w:sz w:val="24"/>
        </w:rPr>
        <w:t> </w:t>
      </w:r>
      <w:r>
        <w:rPr>
          <w:sz w:val="24"/>
        </w:rPr>
        <w:t>the</w:t>
      </w:r>
      <w:r>
        <w:rPr>
          <w:spacing w:val="-4"/>
          <w:sz w:val="24"/>
        </w:rPr>
        <w:t> </w:t>
      </w:r>
      <w:r>
        <w:rPr>
          <w:sz w:val="24"/>
        </w:rPr>
        <w:t>environmental</w:t>
      </w:r>
      <w:r>
        <w:rPr>
          <w:spacing w:val="-5"/>
          <w:sz w:val="24"/>
        </w:rPr>
        <w:t> </w:t>
      </w:r>
      <w:r>
        <w:rPr>
          <w:sz w:val="24"/>
        </w:rPr>
        <w:t>services</w:t>
      </w:r>
      <w:r>
        <w:rPr>
          <w:spacing w:val="-5"/>
          <w:sz w:val="24"/>
        </w:rPr>
        <w:t> </w:t>
      </w:r>
      <w:r>
        <w:rPr>
          <w:sz w:val="24"/>
        </w:rPr>
        <w:t>for</w:t>
      </w:r>
      <w:r>
        <w:rPr>
          <w:spacing w:val="-3"/>
          <w:sz w:val="24"/>
        </w:rPr>
        <w:t> </w:t>
      </w:r>
      <w:r>
        <w:rPr>
          <w:sz w:val="24"/>
        </w:rPr>
        <w:t>students in Universities in three geopolitical zones in Northern part</w:t>
      </w:r>
    </w:p>
    <w:p>
      <w:pPr>
        <w:pStyle w:val="BodyText"/>
        <w:tabs>
          <w:tab w:pos="8867" w:val="left" w:leader="dot"/>
        </w:tabs>
        <w:spacing w:before="3"/>
        <w:ind w:left="880"/>
      </w:pPr>
      <w:r>
        <w:rPr/>
        <w:t>of</w:t>
      </w:r>
      <w:r>
        <w:rPr>
          <w:spacing w:val="-3"/>
        </w:rPr>
        <w:t> </w:t>
      </w:r>
      <w:r>
        <w:rPr>
          <w:spacing w:val="-2"/>
        </w:rPr>
        <w:t>Nigeria</w:t>
      </w:r>
      <w:r>
        <w:rPr/>
        <w:tab/>
      </w:r>
      <w:r>
        <w:rPr>
          <w:spacing w:val="-5"/>
        </w:rPr>
        <w:t>128</w:t>
      </w:r>
    </w:p>
    <w:p>
      <w:pPr>
        <w:pStyle w:val="ListParagraph"/>
        <w:numPr>
          <w:ilvl w:val="3"/>
          <w:numId w:val="11"/>
        </w:numPr>
        <w:tabs>
          <w:tab w:pos="947" w:val="left" w:leader="none"/>
          <w:tab w:pos="962" w:val="left" w:leader="none"/>
          <w:tab w:pos="8867" w:val="left" w:leader="none"/>
        </w:tabs>
        <w:spacing w:line="237" w:lineRule="auto" w:before="278" w:after="0"/>
        <w:ind w:left="947" w:right="548" w:hanging="788"/>
        <w:jc w:val="left"/>
        <w:rPr>
          <w:sz w:val="24"/>
        </w:rPr>
      </w:pPr>
      <w:r>
        <w:rPr>
          <w:sz w:val="24"/>
        </w:rPr>
        <w:tab/>
        <w:t>Opinions of respondents on the impact of feeding (social services) on students’ welfare………..……………………………………………………</w:t>
      </w:r>
      <w:r>
        <w:rPr>
          <w:sz w:val="24"/>
        </w:rPr>
        <w:tab/>
      </w:r>
      <w:r>
        <w:rPr>
          <w:spacing w:val="-4"/>
          <w:sz w:val="24"/>
        </w:rPr>
        <w:t>132</w:t>
      </w:r>
    </w:p>
    <w:p>
      <w:pPr>
        <w:pStyle w:val="ListParagraph"/>
        <w:numPr>
          <w:ilvl w:val="3"/>
          <w:numId w:val="11"/>
        </w:numPr>
        <w:tabs>
          <w:tab w:pos="963" w:val="left" w:leader="none"/>
        </w:tabs>
        <w:spacing w:line="240" w:lineRule="auto" w:before="277" w:after="0"/>
        <w:ind w:left="963" w:right="0" w:hanging="803"/>
        <w:jc w:val="left"/>
        <w:rPr>
          <w:sz w:val="24"/>
        </w:rPr>
      </w:pPr>
      <w:r>
        <w:rPr>
          <w:sz w:val="24"/>
        </w:rPr>
        <w:t>Opinions</w:t>
      </w:r>
      <w:r>
        <w:rPr>
          <w:spacing w:val="-9"/>
          <w:sz w:val="24"/>
        </w:rPr>
        <w:t> </w:t>
      </w:r>
      <w:r>
        <w:rPr>
          <w:sz w:val="24"/>
        </w:rPr>
        <w:t>of</w:t>
      </w:r>
      <w:r>
        <w:rPr>
          <w:spacing w:val="-11"/>
          <w:sz w:val="24"/>
        </w:rPr>
        <w:t> </w:t>
      </w:r>
      <w:r>
        <w:rPr>
          <w:sz w:val="24"/>
        </w:rPr>
        <w:t>respondents</w:t>
      </w:r>
      <w:r>
        <w:rPr>
          <w:spacing w:val="-13"/>
          <w:sz w:val="24"/>
        </w:rPr>
        <w:t> </w:t>
      </w:r>
      <w:r>
        <w:rPr>
          <w:sz w:val="24"/>
        </w:rPr>
        <w:t>on</w:t>
      </w:r>
      <w:r>
        <w:rPr>
          <w:spacing w:val="-7"/>
          <w:sz w:val="24"/>
        </w:rPr>
        <w:t> </w:t>
      </w:r>
      <w:r>
        <w:rPr>
          <w:sz w:val="24"/>
        </w:rPr>
        <w:t>the</w:t>
      </w:r>
      <w:r>
        <w:rPr>
          <w:spacing w:val="-10"/>
          <w:sz w:val="24"/>
        </w:rPr>
        <w:t> </w:t>
      </w:r>
      <w:r>
        <w:rPr>
          <w:sz w:val="24"/>
        </w:rPr>
        <w:t>impact</w:t>
      </w:r>
      <w:r>
        <w:rPr>
          <w:spacing w:val="-8"/>
          <w:sz w:val="24"/>
        </w:rPr>
        <w:t> </w:t>
      </w:r>
      <w:r>
        <w:rPr>
          <w:sz w:val="24"/>
        </w:rPr>
        <w:t>of</w:t>
      </w:r>
      <w:r>
        <w:rPr>
          <w:spacing w:val="-9"/>
          <w:sz w:val="24"/>
        </w:rPr>
        <w:t> </w:t>
      </w:r>
      <w:r>
        <w:rPr>
          <w:sz w:val="24"/>
        </w:rPr>
        <w:t>Hostel</w:t>
      </w:r>
      <w:r>
        <w:rPr>
          <w:spacing w:val="-4"/>
          <w:sz w:val="24"/>
        </w:rPr>
        <w:t> </w:t>
      </w:r>
      <w:r>
        <w:rPr>
          <w:sz w:val="24"/>
        </w:rPr>
        <w:t>Accommodation</w:t>
      </w:r>
      <w:r>
        <w:rPr>
          <w:spacing w:val="-7"/>
          <w:sz w:val="24"/>
        </w:rPr>
        <w:t> </w:t>
      </w:r>
      <w:r>
        <w:rPr>
          <w:spacing w:val="-5"/>
          <w:sz w:val="24"/>
        </w:rPr>
        <w:t>on</w:t>
      </w:r>
    </w:p>
    <w:p>
      <w:pPr>
        <w:pStyle w:val="BodyText"/>
        <w:tabs>
          <w:tab w:pos="8867" w:val="left" w:leader="none"/>
        </w:tabs>
        <w:spacing w:before="2"/>
        <w:ind w:left="947"/>
      </w:pPr>
      <w:r>
        <w:rPr/>
        <w:t>students’</w:t>
      </w:r>
      <w:r>
        <w:rPr>
          <w:spacing w:val="-7"/>
        </w:rPr>
        <w:t> </w:t>
      </w:r>
      <w:r>
        <w:rPr>
          <w:spacing w:val="-2"/>
        </w:rPr>
        <w:t>welfare……………………………………………………………..</w:t>
      </w:r>
      <w:r>
        <w:rPr/>
        <w:tab/>
      </w:r>
      <w:r>
        <w:rPr>
          <w:spacing w:val="-5"/>
        </w:rPr>
        <w:t>136</w:t>
      </w:r>
    </w:p>
    <w:p>
      <w:pPr>
        <w:pStyle w:val="ListParagraph"/>
        <w:numPr>
          <w:ilvl w:val="3"/>
          <w:numId w:val="11"/>
        </w:numPr>
        <w:tabs>
          <w:tab w:pos="963" w:val="left" w:leader="none"/>
        </w:tabs>
        <w:spacing w:line="275" w:lineRule="exact" w:before="276" w:after="0"/>
        <w:ind w:left="963" w:right="0" w:hanging="803"/>
        <w:jc w:val="left"/>
        <w:rPr>
          <w:sz w:val="24"/>
        </w:rPr>
      </w:pPr>
      <w:r>
        <w:rPr>
          <w:sz w:val="24"/>
        </w:rPr>
        <w:t>Opinions</w:t>
      </w:r>
      <w:r>
        <w:rPr>
          <w:spacing w:val="-6"/>
          <w:sz w:val="24"/>
        </w:rPr>
        <w:t> </w:t>
      </w:r>
      <w:r>
        <w:rPr>
          <w:sz w:val="24"/>
        </w:rPr>
        <w:t>of</w:t>
      </w:r>
      <w:r>
        <w:rPr>
          <w:spacing w:val="-10"/>
          <w:sz w:val="24"/>
        </w:rPr>
        <w:t> </w:t>
      </w:r>
      <w:r>
        <w:rPr>
          <w:sz w:val="24"/>
        </w:rPr>
        <w:t>respondents</w:t>
      </w:r>
      <w:r>
        <w:rPr>
          <w:spacing w:val="-10"/>
          <w:sz w:val="24"/>
        </w:rPr>
        <w:t> </w:t>
      </w:r>
      <w:r>
        <w:rPr>
          <w:sz w:val="24"/>
        </w:rPr>
        <w:t>on</w:t>
      </w:r>
      <w:r>
        <w:rPr>
          <w:spacing w:val="-5"/>
          <w:sz w:val="24"/>
        </w:rPr>
        <w:t> </w:t>
      </w:r>
      <w:r>
        <w:rPr>
          <w:sz w:val="24"/>
        </w:rPr>
        <w:t>the</w:t>
      </w:r>
      <w:r>
        <w:rPr>
          <w:spacing w:val="-9"/>
          <w:sz w:val="24"/>
        </w:rPr>
        <w:t> </w:t>
      </w:r>
      <w:r>
        <w:rPr>
          <w:sz w:val="24"/>
        </w:rPr>
        <w:t>impact</w:t>
      </w:r>
      <w:r>
        <w:rPr>
          <w:spacing w:val="-6"/>
          <w:sz w:val="24"/>
        </w:rPr>
        <w:t> </w:t>
      </w:r>
      <w:r>
        <w:rPr>
          <w:sz w:val="24"/>
        </w:rPr>
        <w:t>of</w:t>
      </w:r>
      <w:r>
        <w:rPr>
          <w:spacing w:val="-6"/>
          <w:sz w:val="24"/>
        </w:rPr>
        <w:t> </w:t>
      </w:r>
      <w:r>
        <w:rPr>
          <w:sz w:val="24"/>
        </w:rPr>
        <w:t>Guidance</w:t>
      </w:r>
      <w:r>
        <w:rPr>
          <w:spacing w:val="-5"/>
          <w:sz w:val="24"/>
        </w:rPr>
        <w:t> </w:t>
      </w:r>
      <w:r>
        <w:rPr>
          <w:sz w:val="24"/>
        </w:rPr>
        <w:t>and</w:t>
      </w:r>
      <w:r>
        <w:rPr>
          <w:spacing w:val="-5"/>
          <w:sz w:val="24"/>
        </w:rPr>
        <w:t> </w:t>
      </w:r>
      <w:r>
        <w:rPr>
          <w:spacing w:val="-2"/>
          <w:sz w:val="24"/>
        </w:rPr>
        <w:t>Counselling</w:t>
      </w:r>
    </w:p>
    <w:p>
      <w:pPr>
        <w:pStyle w:val="BodyText"/>
        <w:tabs>
          <w:tab w:pos="8867" w:val="left" w:leader="none"/>
        </w:tabs>
        <w:spacing w:line="275" w:lineRule="exact"/>
        <w:ind w:left="947"/>
      </w:pPr>
      <w:r>
        <w:rPr/>
        <w:t>on</w:t>
      </w:r>
      <w:r>
        <w:rPr>
          <w:spacing w:val="-6"/>
        </w:rPr>
        <w:t> </w:t>
      </w:r>
      <w:r>
        <w:rPr/>
        <w:t>students’</w:t>
      </w:r>
      <w:r>
        <w:rPr>
          <w:spacing w:val="-7"/>
        </w:rPr>
        <w:t> </w:t>
      </w:r>
      <w:r>
        <w:rPr>
          <w:spacing w:val="-2"/>
        </w:rPr>
        <w:t>welfare……………………………………..……………...……</w:t>
      </w:r>
      <w:r>
        <w:rPr/>
        <w:tab/>
      </w:r>
      <w:r>
        <w:rPr>
          <w:spacing w:val="-5"/>
        </w:rPr>
        <w:t>140</w:t>
      </w:r>
    </w:p>
    <w:p>
      <w:pPr>
        <w:pStyle w:val="ListParagraph"/>
        <w:numPr>
          <w:ilvl w:val="3"/>
          <w:numId w:val="11"/>
        </w:numPr>
        <w:tabs>
          <w:tab w:pos="963" w:val="left" w:leader="none"/>
        </w:tabs>
        <w:spacing w:line="240" w:lineRule="auto" w:before="277" w:after="0"/>
        <w:ind w:left="963" w:right="0" w:hanging="803"/>
        <w:jc w:val="left"/>
        <w:rPr>
          <w:sz w:val="24"/>
        </w:rPr>
      </w:pPr>
      <w:r>
        <w:rPr>
          <w:sz w:val="24"/>
        </w:rPr>
        <w:t>Opinions</w:t>
      </w:r>
      <w:r>
        <w:rPr>
          <w:spacing w:val="-6"/>
          <w:sz w:val="24"/>
        </w:rPr>
        <w:t> </w:t>
      </w:r>
      <w:r>
        <w:rPr>
          <w:sz w:val="24"/>
        </w:rPr>
        <w:t>of</w:t>
      </w:r>
      <w:r>
        <w:rPr>
          <w:spacing w:val="-9"/>
          <w:sz w:val="24"/>
        </w:rPr>
        <w:t> </w:t>
      </w:r>
      <w:r>
        <w:rPr>
          <w:sz w:val="24"/>
        </w:rPr>
        <w:t>respondents</w:t>
      </w:r>
      <w:r>
        <w:rPr>
          <w:spacing w:val="-11"/>
          <w:sz w:val="24"/>
        </w:rPr>
        <w:t> </w:t>
      </w:r>
      <w:r>
        <w:rPr>
          <w:sz w:val="24"/>
        </w:rPr>
        <w:t>on</w:t>
      </w:r>
      <w:r>
        <w:rPr>
          <w:spacing w:val="-4"/>
          <w:sz w:val="24"/>
        </w:rPr>
        <w:t> </w:t>
      </w:r>
      <w:r>
        <w:rPr>
          <w:sz w:val="24"/>
        </w:rPr>
        <w:t>the</w:t>
      </w:r>
      <w:r>
        <w:rPr>
          <w:spacing w:val="-9"/>
          <w:sz w:val="24"/>
        </w:rPr>
        <w:t> </w:t>
      </w:r>
      <w:r>
        <w:rPr>
          <w:sz w:val="24"/>
        </w:rPr>
        <w:t>impact</w:t>
      </w:r>
      <w:r>
        <w:rPr>
          <w:spacing w:val="-5"/>
          <w:sz w:val="24"/>
        </w:rPr>
        <w:t> </w:t>
      </w:r>
      <w:r>
        <w:rPr>
          <w:sz w:val="24"/>
        </w:rPr>
        <w:t>of</w:t>
      </w:r>
      <w:r>
        <w:rPr>
          <w:spacing w:val="-6"/>
          <w:sz w:val="24"/>
        </w:rPr>
        <w:t> </w:t>
      </w:r>
      <w:r>
        <w:rPr>
          <w:sz w:val="24"/>
        </w:rPr>
        <w:t>sports</w:t>
      </w:r>
      <w:r>
        <w:rPr>
          <w:spacing w:val="-10"/>
          <w:sz w:val="24"/>
        </w:rPr>
        <w:t> </w:t>
      </w:r>
      <w:r>
        <w:rPr>
          <w:sz w:val="24"/>
        </w:rPr>
        <w:t>and</w:t>
      </w:r>
      <w:r>
        <w:rPr>
          <w:spacing w:val="-9"/>
          <w:sz w:val="24"/>
        </w:rPr>
        <w:t> </w:t>
      </w:r>
      <w:r>
        <w:rPr>
          <w:sz w:val="24"/>
        </w:rPr>
        <w:t>recreation</w:t>
      </w:r>
      <w:r>
        <w:rPr>
          <w:spacing w:val="-4"/>
          <w:sz w:val="24"/>
        </w:rPr>
        <w:t> </w:t>
      </w:r>
      <w:r>
        <w:rPr>
          <w:spacing w:val="-5"/>
          <w:sz w:val="24"/>
        </w:rPr>
        <w:t>on</w:t>
      </w:r>
    </w:p>
    <w:p>
      <w:pPr>
        <w:pStyle w:val="BodyText"/>
        <w:tabs>
          <w:tab w:pos="8867" w:val="left" w:leader="none"/>
        </w:tabs>
        <w:spacing w:before="2"/>
        <w:ind w:left="947"/>
      </w:pPr>
      <w:r>
        <w:rPr/>
        <w:t>students’</w:t>
      </w:r>
      <w:r>
        <w:rPr>
          <w:spacing w:val="-7"/>
        </w:rPr>
        <w:t> </w:t>
      </w:r>
      <w:r>
        <w:rPr>
          <w:spacing w:val="-2"/>
        </w:rPr>
        <w:t>welfare……………………………………………………………...</w:t>
      </w:r>
      <w:r>
        <w:rPr/>
        <w:tab/>
      </w:r>
      <w:r>
        <w:rPr>
          <w:spacing w:val="-5"/>
        </w:rPr>
        <w:t>144</w:t>
      </w:r>
    </w:p>
    <w:p>
      <w:pPr>
        <w:pStyle w:val="ListParagraph"/>
        <w:numPr>
          <w:ilvl w:val="3"/>
          <w:numId w:val="11"/>
        </w:numPr>
        <w:tabs>
          <w:tab w:pos="947" w:val="left" w:leader="none"/>
          <w:tab w:pos="962" w:val="left" w:leader="none"/>
          <w:tab w:pos="8867" w:val="left" w:leader="dot"/>
        </w:tabs>
        <w:spacing w:line="237" w:lineRule="auto" w:before="278" w:after="0"/>
        <w:ind w:left="947" w:right="548" w:hanging="788"/>
        <w:jc w:val="left"/>
        <w:rPr>
          <w:sz w:val="24"/>
        </w:rPr>
      </w:pPr>
      <w:r>
        <w:rPr>
          <w:sz w:val="24"/>
        </w:rPr>
        <w:tab/>
        <w:t>Opinions of respondents on the impact of security and communication services on students’ welfare</w:t>
      </w:r>
      <w:r>
        <w:rPr>
          <w:sz w:val="24"/>
        </w:rPr>
        <w:tab/>
      </w:r>
      <w:r>
        <w:rPr>
          <w:spacing w:val="-4"/>
          <w:sz w:val="24"/>
        </w:rPr>
        <w:t>149</w:t>
      </w:r>
    </w:p>
    <w:p>
      <w:pPr>
        <w:pStyle w:val="ListParagraph"/>
        <w:numPr>
          <w:ilvl w:val="3"/>
          <w:numId w:val="11"/>
        </w:numPr>
        <w:tabs>
          <w:tab w:pos="880" w:val="left" w:leader="none"/>
          <w:tab w:pos="963" w:val="left" w:leader="none"/>
          <w:tab w:pos="8867" w:val="left" w:leader="dot"/>
        </w:tabs>
        <w:spacing w:line="242" w:lineRule="auto" w:before="277" w:after="0"/>
        <w:ind w:left="880" w:right="548" w:hanging="720"/>
        <w:jc w:val="left"/>
        <w:rPr>
          <w:sz w:val="24"/>
        </w:rPr>
      </w:pPr>
      <w:r>
        <w:rPr>
          <w:sz w:val="24"/>
        </w:rPr>
        <w:t>Opinions of respondents on the impact of transport services on students’ </w:t>
      </w:r>
      <w:r>
        <w:rPr>
          <w:spacing w:val="-2"/>
          <w:sz w:val="24"/>
        </w:rPr>
        <w:t>welfare</w:t>
      </w:r>
      <w:r>
        <w:rPr>
          <w:sz w:val="24"/>
        </w:rPr>
        <w:tab/>
      </w:r>
      <w:r>
        <w:rPr>
          <w:spacing w:val="-4"/>
          <w:sz w:val="24"/>
        </w:rPr>
        <w:t>152</w:t>
      </w:r>
    </w:p>
    <w:p>
      <w:pPr>
        <w:pStyle w:val="ListParagraph"/>
        <w:numPr>
          <w:ilvl w:val="3"/>
          <w:numId w:val="11"/>
        </w:numPr>
        <w:tabs>
          <w:tab w:pos="947" w:val="left" w:leader="none"/>
          <w:tab w:pos="962" w:val="left" w:leader="none"/>
          <w:tab w:pos="8867" w:val="left" w:leader="dot"/>
        </w:tabs>
        <w:spacing w:line="237" w:lineRule="auto" w:before="275" w:after="0"/>
        <w:ind w:left="947" w:right="548" w:hanging="788"/>
        <w:jc w:val="left"/>
        <w:rPr>
          <w:sz w:val="24"/>
        </w:rPr>
      </w:pPr>
      <w:r>
        <w:rPr>
          <w:sz w:val="24"/>
        </w:rPr>
        <w:tab/>
        <w:t>Opinions of respondents on the impact of religious services on students’ </w:t>
      </w:r>
      <w:r>
        <w:rPr>
          <w:spacing w:val="-2"/>
          <w:sz w:val="24"/>
        </w:rPr>
        <w:t>welfare</w:t>
      </w:r>
      <w:r>
        <w:rPr>
          <w:sz w:val="24"/>
        </w:rPr>
        <w:tab/>
      </w:r>
      <w:r>
        <w:rPr>
          <w:spacing w:val="-4"/>
          <w:sz w:val="24"/>
        </w:rPr>
        <w:t>155</w:t>
      </w:r>
    </w:p>
    <w:p>
      <w:pPr>
        <w:pStyle w:val="ListParagraph"/>
        <w:numPr>
          <w:ilvl w:val="3"/>
          <w:numId w:val="11"/>
        </w:numPr>
        <w:tabs>
          <w:tab w:pos="963" w:val="left" w:leader="none"/>
        </w:tabs>
        <w:spacing w:line="240" w:lineRule="auto" w:before="277" w:after="0"/>
        <w:ind w:left="963" w:right="0" w:hanging="803"/>
        <w:jc w:val="left"/>
        <w:rPr>
          <w:sz w:val="24"/>
        </w:rPr>
      </w:pPr>
      <w:r>
        <w:rPr>
          <w:sz w:val="24"/>
        </w:rPr>
        <w:t>Opinions</w:t>
      </w:r>
      <w:r>
        <w:rPr>
          <w:spacing w:val="-6"/>
          <w:sz w:val="24"/>
        </w:rPr>
        <w:t> </w:t>
      </w:r>
      <w:r>
        <w:rPr>
          <w:sz w:val="24"/>
        </w:rPr>
        <w:t>of</w:t>
      </w:r>
      <w:r>
        <w:rPr>
          <w:spacing w:val="-9"/>
          <w:sz w:val="24"/>
        </w:rPr>
        <w:t> </w:t>
      </w:r>
      <w:r>
        <w:rPr>
          <w:sz w:val="24"/>
        </w:rPr>
        <w:t>respondents</w:t>
      </w:r>
      <w:r>
        <w:rPr>
          <w:spacing w:val="-10"/>
          <w:sz w:val="24"/>
        </w:rPr>
        <w:t> </w:t>
      </w:r>
      <w:r>
        <w:rPr>
          <w:sz w:val="24"/>
        </w:rPr>
        <w:t>on</w:t>
      </w:r>
      <w:r>
        <w:rPr>
          <w:spacing w:val="-5"/>
          <w:sz w:val="24"/>
        </w:rPr>
        <w:t> </w:t>
      </w:r>
      <w:r>
        <w:rPr>
          <w:sz w:val="24"/>
        </w:rPr>
        <w:t>the</w:t>
      </w:r>
      <w:r>
        <w:rPr>
          <w:spacing w:val="-8"/>
          <w:sz w:val="24"/>
        </w:rPr>
        <w:t> </w:t>
      </w:r>
      <w:r>
        <w:rPr>
          <w:sz w:val="24"/>
        </w:rPr>
        <w:t>impact</w:t>
      </w:r>
      <w:r>
        <w:rPr>
          <w:spacing w:val="-6"/>
          <w:sz w:val="24"/>
        </w:rPr>
        <w:t> </w:t>
      </w:r>
      <w:r>
        <w:rPr>
          <w:sz w:val="24"/>
        </w:rPr>
        <w:t>of</w:t>
      </w:r>
      <w:r>
        <w:rPr>
          <w:spacing w:val="-5"/>
          <w:sz w:val="24"/>
        </w:rPr>
        <w:t> </w:t>
      </w:r>
      <w:r>
        <w:rPr>
          <w:sz w:val="24"/>
        </w:rPr>
        <w:t>banking</w:t>
      </w:r>
      <w:r>
        <w:rPr>
          <w:spacing w:val="-9"/>
          <w:sz w:val="24"/>
        </w:rPr>
        <w:t> </w:t>
      </w:r>
      <w:r>
        <w:rPr>
          <w:spacing w:val="-5"/>
          <w:sz w:val="24"/>
        </w:rPr>
        <w:t>and</w:t>
      </w:r>
    </w:p>
    <w:p>
      <w:pPr>
        <w:pStyle w:val="BodyText"/>
        <w:tabs>
          <w:tab w:pos="8867" w:val="left" w:leader="dot"/>
        </w:tabs>
        <w:spacing w:before="3"/>
        <w:ind w:left="947"/>
      </w:pPr>
      <w:r>
        <w:rPr/>
        <w:t>telecommunication</w:t>
      </w:r>
      <w:r>
        <w:rPr>
          <w:spacing w:val="45"/>
        </w:rPr>
        <w:t> </w:t>
      </w:r>
      <w:r>
        <w:rPr/>
        <w:t>services</w:t>
      </w:r>
      <w:r>
        <w:rPr>
          <w:spacing w:val="-9"/>
        </w:rPr>
        <w:t> </w:t>
      </w:r>
      <w:r>
        <w:rPr/>
        <w:t>on</w:t>
      </w:r>
      <w:r>
        <w:rPr>
          <w:spacing w:val="-8"/>
        </w:rPr>
        <w:t> </w:t>
      </w:r>
      <w:r>
        <w:rPr/>
        <w:t>students’</w:t>
      </w:r>
      <w:r>
        <w:rPr>
          <w:spacing w:val="-10"/>
        </w:rPr>
        <w:t> </w:t>
      </w:r>
      <w:r>
        <w:rPr>
          <w:spacing w:val="-2"/>
        </w:rPr>
        <w:t>welfare</w:t>
      </w:r>
      <w:r>
        <w:rPr/>
        <w:tab/>
      </w:r>
      <w:r>
        <w:rPr>
          <w:spacing w:val="-5"/>
        </w:rPr>
        <w:t>159</w:t>
      </w:r>
    </w:p>
    <w:p>
      <w:pPr>
        <w:pStyle w:val="ListParagraph"/>
        <w:numPr>
          <w:ilvl w:val="3"/>
          <w:numId w:val="12"/>
        </w:numPr>
        <w:tabs>
          <w:tab w:pos="947" w:val="left" w:leader="none"/>
          <w:tab w:pos="962" w:val="left" w:leader="none"/>
          <w:tab w:pos="8867" w:val="left" w:leader="dot"/>
        </w:tabs>
        <w:spacing w:line="237" w:lineRule="auto" w:before="278" w:after="0"/>
        <w:ind w:left="947" w:right="548" w:hanging="788"/>
        <w:jc w:val="left"/>
        <w:rPr>
          <w:sz w:val="24"/>
        </w:rPr>
      </w:pPr>
      <w:r>
        <w:rPr>
          <w:sz w:val="24"/>
        </w:rPr>
        <w:tab/>
        <w:t>Opinions of respondents on the impact of Library services on students’</w:t>
      </w:r>
      <w:r>
        <w:rPr>
          <w:spacing w:val="40"/>
          <w:sz w:val="24"/>
        </w:rPr>
        <w:t> </w:t>
      </w:r>
      <w:r>
        <w:rPr>
          <w:spacing w:val="-2"/>
          <w:sz w:val="24"/>
        </w:rPr>
        <w:t>welfare</w:t>
      </w:r>
      <w:r>
        <w:rPr>
          <w:sz w:val="24"/>
        </w:rPr>
        <w:tab/>
      </w:r>
      <w:r>
        <w:rPr>
          <w:spacing w:val="-4"/>
          <w:sz w:val="24"/>
        </w:rPr>
        <w:t>163</w:t>
      </w:r>
    </w:p>
    <w:p>
      <w:pPr>
        <w:pStyle w:val="ListParagraph"/>
        <w:numPr>
          <w:ilvl w:val="3"/>
          <w:numId w:val="12"/>
        </w:numPr>
        <w:tabs>
          <w:tab w:pos="963" w:val="left" w:leader="none"/>
        </w:tabs>
        <w:spacing w:line="240" w:lineRule="auto" w:before="277" w:after="0"/>
        <w:ind w:left="963" w:right="0" w:hanging="803"/>
        <w:jc w:val="left"/>
        <w:rPr>
          <w:sz w:val="24"/>
        </w:rPr>
      </w:pPr>
      <w:r>
        <w:rPr>
          <w:sz w:val="24"/>
        </w:rPr>
        <w:t>Opinions</w:t>
      </w:r>
      <w:r>
        <w:rPr>
          <w:spacing w:val="-8"/>
          <w:sz w:val="24"/>
        </w:rPr>
        <w:t> </w:t>
      </w:r>
      <w:r>
        <w:rPr>
          <w:sz w:val="24"/>
        </w:rPr>
        <w:t>of</w:t>
      </w:r>
      <w:r>
        <w:rPr>
          <w:spacing w:val="-10"/>
          <w:sz w:val="24"/>
        </w:rPr>
        <w:t> </w:t>
      </w:r>
      <w:r>
        <w:rPr>
          <w:sz w:val="24"/>
        </w:rPr>
        <w:t>respondents</w:t>
      </w:r>
      <w:r>
        <w:rPr>
          <w:spacing w:val="-12"/>
          <w:sz w:val="24"/>
        </w:rPr>
        <w:t> </w:t>
      </w:r>
      <w:r>
        <w:rPr>
          <w:sz w:val="24"/>
        </w:rPr>
        <w:t>on</w:t>
      </w:r>
      <w:r>
        <w:rPr>
          <w:spacing w:val="-7"/>
          <w:sz w:val="24"/>
        </w:rPr>
        <w:t> </w:t>
      </w:r>
      <w:r>
        <w:rPr>
          <w:sz w:val="24"/>
        </w:rPr>
        <w:t>the</w:t>
      </w:r>
      <w:r>
        <w:rPr>
          <w:spacing w:val="-9"/>
          <w:sz w:val="24"/>
        </w:rPr>
        <w:t> </w:t>
      </w:r>
      <w:r>
        <w:rPr>
          <w:sz w:val="24"/>
        </w:rPr>
        <w:t>impact</w:t>
      </w:r>
      <w:r>
        <w:rPr>
          <w:spacing w:val="-8"/>
          <w:sz w:val="24"/>
        </w:rPr>
        <w:t> </w:t>
      </w:r>
      <w:r>
        <w:rPr>
          <w:sz w:val="24"/>
        </w:rPr>
        <w:t>of</w:t>
      </w:r>
      <w:r>
        <w:rPr>
          <w:spacing w:val="-7"/>
          <w:sz w:val="24"/>
        </w:rPr>
        <w:t> </w:t>
      </w:r>
      <w:r>
        <w:rPr>
          <w:sz w:val="24"/>
        </w:rPr>
        <w:t>classrooms,</w:t>
      </w:r>
      <w:r>
        <w:rPr>
          <w:spacing w:val="-7"/>
          <w:sz w:val="24"/>
        </w:rPr>
        <w:t> </w:t>
      </w:r>
      <w:r>
        <w:rPr>
          <w:spacing w:val="-2"/>
          <w:sz w:val="24"/>
        </w:rPr>
        <w:t>laboratories,</w:t>
      </w:r>
    </w:p>
    <w:p>
      <w:pPr>
        <w:pStyle w:val="BodyText"/>
        <w:tabs>
          <w:tab w:pos="8867" w:val="left" w:leader="dot"/>
        </w:tabs>
        <w:spacing w:before="2"/>
        <w:ind w:left="947"/>
      </w:pPr>
      <w:r>
        <w:rPr/>
        <w:t>field</w:t>
      </w:r>
      <w:r>
        <w:rPr>
          <w:spacing w:val="-11"/>
        </w:rPr>
        <w:t> </w:t>
      </w:r>
      <w:r>
        <w:rPr/>
        <w:t>trips,</w:t>
      </w:r>
      <w:r>
        <w:rPr>
          <w:spacing w:val="-8"/>
        </w:rPr>
        <w:t> </w:t>
      </w:r>
      <w:r>
        <w:rPr/>
        <w:t>workshops</w:t>
      </w:r>
      <w:r>
        <w:rPr>
          <w:spacing w:val="-8"/>
        </w:rPr>
        <w:t> </w:t>
      </w:r>
      <w:r>
        <w:rPr/>
        <w:t>services</w:t>
      </w:r>
      <w:r>
        <w:rPr>
          <w:spacing w:val="-8"/>
        </w:rPr>
        <w:t> </w:t>
      </w:r>
      <w:r>
        <w:rPr/>
        <w:t>on</w:t>
      </w:r>
      <w:r>
        <w:rPr>
          <w:spacing w:val="-8"/>
        </w:rPr>
        <w:t> </w:t>
      </w:r>
      <w:r>
        <w:rPr/>
        <w:t>students’</w:t>
      </w:r>
      <w:r>
        <w:rPr>
          <w:spacing w:val="-8"/>
        </w:rPr>
        <w:t> </w:t>
      </w:r>
      <w:r>
        <w:rPr>
          <w:spacing w:val="-2"/>
        </w:rPr>
        <w:t>welfare</w:t>
      </w:r>
      <w:r>
        <w:rPr/>
        <w:tab/>
      </w:r>
      <w:r>
        <w:rPr>
          <w:spacing w:val="-5"/>
        </w:rPr>
        <w:t>166</w:t>
      </w:r>
    </w:p>
    <w:p>
      <w:pPr>
        <w:pStyle w:val="ListParagraph"/>
        <w:numPr>
          <w:ilvl w:val="3"/>
          <w:numId w:val="12"/>
        </w:numPr>
        <w:tabs>
          <w:tab w:pos="947" w:val="left" w:leader="none"/>
          <w:tab w:pos="962" w:val="left" w:leader="none"/>
          <w:tab w:pos="8867" w:val="left" w:leader="dot"/>
        </w:tabs>
        <w:spacing w:line="237" w:lineRule="auto" w:before="831" w:after="0"/>
        <w:ind w:left="947" w:right="548" w:hanging="788"/>
        <w:jc w:val="left"/>
        <w:rPr>
          <w:sz w:val="24"/>
        </w:rPr>
      </w:pPr>
      <w:r>
        <w:rPr>
          <w:sz w:val="24"/>
        </w:rPr>
        <w:tab/>
        <w:t>Opinions of respondents on the impact and influence of Information Technology service on students’ welfare</w:t>
      </w:r>
      <w:r>
        <w:rPr>
          <w:sz w:val="24"/>
        </w:rPr>
        <w:tab/>
      </w:r>
      <w:r>
        <w:rPr>
          <w:spacing w:val="-4"/>
          <w:sz w:val="24"/>
        </w:rPr>
        <w:t>169</w:t>
      </w:r>
    </w:p>
    <w:p>
      <w:pPr>
        <w:pStyle w:val="ListParagraph"/>
        <w:numPr>
          <w:ilvl w:val="2"/>
          <w:numId w:val="13"/>
        </w:numPr>
        <w:tabs>
          <w:tab w:pos="877" w:val="left" w:leader="none"/>
          <w:tab w:pos="880" w:val="left" w:leader="none"/>
          <w:tab w:pos="8867" w:val="left" w:leader="dot"/>
        </w:tabs>
        <w:spacing w:line="242" w:lineRule="auto" w:before="276" w:after="0"/>
        <w:ind w:left="880" w:right="548" w:hanging="720"/>
        <w:jc w:val="left"/>
        <w:rPr>
          <w:sz w:val="24"/>
        </w:rPr>
      </w:pPr>
      <w:r>
        <w:rPr>
          <w:sz w:val="24"/>
        </w:rPr>
        <w:t>Opinions of respondents on the impact of Medical or Health services on students’ welfare</w:t>
      </w:r>
      <w:r>
        <w:rPr>
          <w:sz w:val="24"/>
        </w:rPr>
        <w:tab/>
      </w:r>
      <w:r>
        <w:rPr>
          <w:spacing w:val="-4"/>
          <w:sz w:val="24"/>
        </w:rPr>
        <w:t>172</w:t>
      </w:r>
    </w:p>
    <w:p>
      <w:pPr>
        <w:pStyle w:val="ListParagraph"/>
        <w:numPr>
          <w:ilvl w:val="2"/>
          <w:numId w:val="13"/>
        </w:numPr>
        <w:tabs>
          <w:tab w:pos="877" w:val="left" w:leader="none"/>
        </w:tabs>
        <w:spacing w:line="240" w:lineRule="auto" w:before="547" w:after="0"/>
        <w:ind w:left="877" w:right="0" w:hanging="717"/>
        <w:jc w:val="left"/>
        <w:rPr>
          <w:sz w:val="24"/>
        </w:rPr>
      </w:pPr>
      <w:r>
        <w:rPr>
          <w:sz w:val="24"/>
        </w:rPr>
        <w:t>Opinions</w:t>
      </w:r>
      <w:r>
        <w:rPr>
          <w:spacing w:val="-8"/>
          <w:sz w:val="24"/>
        </w:rPr>
        <w:t> </w:t>
      </w:r>
      <w:r>
        <w:rPr>
          <w:sz w:val="24"/>
        </w:rPr>
        <w:t>of</w:t>
      </w:r>
      <w:r>
        <w:rPr>
          <w:spacing w:val="-11"/>
          <w:sz w:val="24"/>
        </w:rPr>
        <w:t> </w:t>
      </w:r>
      <w:r>
        <w:rPr>
          <w:sz w:val="24"/>
        </w:rPr>
        <w:t>respondents</w:t>
      </w:r>
      <w:r>
        <w:rPr>
          <w:spacing w:val="-8"/>
          <w:sz w:val="24"/>
        </w:rPr>
        <w:t> </w:t>
      </w:r>
      <w:r>
        <w:rPr>
          <w:sz w:val="24"/>
        </w:rPr>
        <w:t>on</w:t>
      </w:r>
      <w:r>
        <w:rPr>
          <w:spacing w:val="-7"/>
          <w:sz w:val="24"/>
        </w:rPr>
        <w:t> </w:t>
      </w:r>
      <w:r>
        <w:rPr>
          <w:sz w:val="24"/>
        </w:rPr>
        <w:t>the</w:t>
      </w:r>
      <w:r>
        <w:rPr>
          <w:spacing w:val="-10"/>
          <w:sz w:val="24"/>
        </w:rPr>
        <w:t> </w:t>
      </w:r>
      <w:r>
        <w:rPr>
          <w:sz w:val="24"/>
        </w:rPr>
        <w:t>impact</w:t>
      </w:r>
      <w:r>
        <w:rPr>
          <w:spacing w:val="-8"/>
          <w:sz w:val="24"/>
        </w:rPr>
        <w:t> </w:t>
      </w:r>
      <w:r>
        <w:rPr>
          <w:sz w:val="24"/>
        </w:rPr>
        <w:t>of</w:t>
      </w:r>
      <w:r>
        <w:rPr>
          <w:spacing w:val="-8"/>
          <w:sz w:val="24"/>
        </w:rPr>
        <w:t> </w:t>
      </w:r>
      <w:r>
        <w:rPr>
          <w:sz w:val="24"/>
        </w:rPr>
        <w:t>environmental</w:t>
      </w:r>
      <w:r>
        <w:rPr>
          <w:spacing w:val="-4"/>
          <w:sz w:val="24"/>
        </w:rPr>
        <w:t> </w:t>
      </w:r>
      <w:r>
        <w:rPr>
          <w:sz w:val="24"/>
        </w:rPr>
        <w:t>services</w:t>
      </w:r>
      <w:r>
        <w:rPr>
          <w:spacing w:val="-12"/>
          <w:sz w:val="24"/>
        </w:rPr>
        <w:t> </w:t>
      </w:r>
      <w:r>
        <w:rPr>
          <w:spacing w:val="-5"/>
          <w:sz w:val="24"/>
        </w:rPr>
        <w:t>on</w:t>
      </w:r>
    </w:p>
    <w:p>
      <w:pPr>
        <w:spacing w:after="0" w:line="240" w:lineRule="auto"/>
        <w:jc w:val="left"/>
        <w:rPr>
          <w:sz w:val="24"/>
        </w:rPr>
        <w:sectPr>
          <w:headerReference w:type="default" r:id="rId22"/>
          <w:footerReference w:type="default" r:id="rId23"/>
          <w:pgSz w:w="12240" w:h="15840"/>
          <w:pgMar w:header="722" w:footer="791" w:top="1060" w:bottom="980" w:left="1280" w:right="1140"/>
        </w:sectPr>
      </w:pPr>
    </w:p>
    <w:p>
      <w:pPr>
        <w:pStyle w:val="BodyText"/>
        <w:tabs>
          <w:tab w:pos="9269" w:val="right" w:leader="dot"/>
        </w:tabs>
        <w:spacing w:before="362"/>
        <w:ind w:left="880"/>
      </w:pPr>
      <w:r>
        <w:rPr/>
        <w:t>students’</w:t>
      </w:r>
      <w:r>
        <w:rPr>
          <w:spacing w:val="-7"/>
        </w:rPr>
        <w:t> </w:t>
      </w:r>
      <w:r>
        <w:rPr>
          <w:spacing w:val="-2"/>
        </w:rPr>
        <w:t>welfare</w:t>
      </w:r>
      <w:r>
        <w:rPr/>
        <w:tab/>
      </w:r>
      <w:r>
        <w:rPr>
          <w:spacing w:val="-5"/>
        </w:rPr>
        <w:t>176</w:t>
      </w:r>
    </w:p>
    <w:p>
      <w:pPr>
        <w:pStyle w:val="ListParagraph"/>
        <w:numPr>
          <w:ilvl w:val="2"/>
          <w:numId w:val="14"/>
        </w:numPr>
        <w:tabs>
          <w:tab w:pos="877" w:val="left" w:leader="none"/>
          <w:tab w:pos="880" w:val="left" w:leader="none"/>
        </w:tabs>
        <w:spacing w:line="237" w:lineRule="auto" w:before="279" w:after="0"/>
        <w:ind w:left="880" w:right="1468" w:hanging="720"/>
        <w:jc w:val="left"/>
        <w:rPr>
          <w:sz w:val="24"/>
        </w:rPr>
      </w:pPr>
      <w:r>
        <w:rPr>
          <w:sz w:val="24"/>
        </w:rPr>
        <w:t>Opinions of respondents on strategies for effective management of students’</w:t>
      </w:r>
      <w:r>
        <w:rPr>
          <w:spacing w:val="-4"/>
          <w:sz w:val="24"/>
        </w:rPr>
        <w:t> </w:t>
      </w:r>
      <w:r>
        <w:rPr>
          <w:sz w:val="24"/>
        </w:rPr>
        <w:t>welfare</w:t>
      </w:r>
      <w:r>
        <w:rPr>
          <w:spacing w:val="40"/>
          <w:sz w:val="24"/>
        </w:rPr>
        <w:t> </w:t>
      </w:r>
      <w:r>
        <w:rPr>
          <w:sz w:val="24"/>
        </w:rPr>
        <w:t>services</w:t>
      </w:r>
      <w:r>
        <w:rPr>
          <w:spacing w:val="-8"/>
          <w:sz w:val="24"/>
        </w:rPr>
        <w:t> </w:t>
      </w:r>
      <w:r>
        <w:rPr>
          <w:sz w:val="24"/>
        </w:rPr>
        <w:t>in</w:t>
      </w:r>
      <w:r>
        <w:rPr>
          <w:spacing w:val="-3"/>
          <w:sz w:val="24"/>
        </w:rPr>
        <w:t> </w:t>
      </w:r>
      <w:r>
        <w:rPr>
          <w:sz w:val="24"/>
        </w:rPr>
        <w:t>selected</w:t>
      </w:r>
      <w:r>
        <w:rPr>
          <w:spacing w:val="-3"/>
          <w:sz w:val="24"/>
        </w:rPr>
        <w:t> </w:t>
      </w:r>
      <w:r>
        <w:rPr>
          <w:sz w:val="24"/>
        </w:rPr>
        <w:t>Universities</w:t>
      </w:r>
      <w:r>
        <w:rPr>
          <w:spacing w:val="-6"/>
          <w:sz w:val="24"/>
        </w:rPr>
        <w:t> </w:t>
      </w:r>
      <w:r>
        <w:rPr>
          <w:sz w:val="24"/>
        </w:rPr>
        <w:t>in</w:t>
      </w:r>
      <w:r>
        <w:rPr>
          <w:spacing w:val="-6"/>
          <w:sz w:val="24"/>
        </w:rPr>
        <w:t> </w:t>
      </w:r>
      <w:r>
        <w:rPr>
          <w:sz w:val="24"/>
        </w:rPr>
        <w:t>three</w:t>
      </w:r>
      <w:r>
        <w:rPr>
          <w:spacing w:val="-6"/>
          <w:sz w:val="24"/>
        </w:rPr>
        <w:t> </w:t>
      </w:r>
      <w:r>
        <w:rPr>
          <w:sz w:val="24"/>
        </w:rPr>
        <w:t>geopolitical</w:t>
      </w:r>
    </w:p>
    <w:p>
      <w:pPr>
        <w:pStyle w:val="BodyText"/>
        <w:tabs>
          <w:tab w:pos="9269" w:val="right" w:leader="none"/>
        </w:tabs>
        <w:spacing w:before="3"/>
        <w:ind w:left="880"/>
      </w:pPr>
      <w:r>
        <w:rPr/>
        <w:t>zones</w:t>
      </w:r>
      <w:r>
        <w:rPr>
          <w:spacing w:val="-8"/>
        </w:rPr>
        <w:t> </w:t>
      </w:r>
      <w:r>
        <w:rPr/>
        <w:t>in</w:t>
      </w:r>
      <w:r>
        <w:rPr>
          <w:spacing w:val="-2"/>
        </w:rPr>
        <w:t> </w:t>
      </w:r>
      <w:r>
        <w:rPr/>
        <w:t>Northern</w:t>
      </w:r>
      <w:r>
        <w:rPr>
          <w:spacing w:val="-6"/>
        </w:rPr>
        <w:t> </w:t>
      </w:r>
      <w:r>
        <w:rPr/>
        <w:t>part</w:t>
      </w:r>
      <w:r>
        <w:rPr>
          <w:spacing w:val="-7"/>
        </w:rPr>
        <w:t> </w:t>
      </w:r>
      <w:r>
        <w:rPr/>
        <w:t>of</w:t>
      </w:r>
      <w:r>
        <w:rPr>
          <w:spacing w:val="-3"/>
        </w:rPr>
        <w:t> </w:t>
      </w:r>
      <w:r>
        <w:rPr>
          <w:spacing w:val="-2"/>
        </w:rPr>
        <w:t>Nigeria…………………………………..……..</w:t>
      </w:r>
      <w:r>
        <w:rPr/>
        <w:tab/>
      </w:r>
      <w:r>
        <w:rPr>
          <w:spacing w:val="-5"/>
        </w:rPr>
        <w:t>179</w:t>
      </w:r>
    </w:p>
    <w:p>
      <w:pPr>
        <w:pStyle w:val="ListParagraph"/>
        <w:numPr>
          <w:ilvl w:val="2"/>
          <w:numId w:val="15"/>
        </w:numPr>
        <w:tabs>
          <w:tab w:pos="877" w:val="left" w:leader="none"/>
          <w:tab w:pos="880" w:val="left" w:leader="none"/>
        </w:tabs>
        <w:spacing w:line="237" w:lineRule="auto" w:before="278" w:after="0"/>
        <w:ind w:left="880" w:right="1533" w:hanging="720"/>
        <w:jc w:val="left"/>
        <w:rPr>
          <w:sz w:val="24"/>
        </w:rPr>
      </w:pPr>
      <w:r>
        <w:rPr>
          <w:sz w:val="24"/>
        </w:rPr>
        <w:t>One</w:t>
      </w:r>
      <w:r>
        <w:rPr>
          <w:spacing w:val="-7"/>
          <w:sz w:val="24"/>
        </w:rPr>
        <w:t> </w:t>
      </w:r>
      <w:r>
        <w:rPr>
          <w:sz w:val="24"/>
        </w:rPr>
        <w:t>Way</w:t>
      </w:r>
      <w:r>
        <w:rPr>
          <w:spacing w:val="-4"/>
          <w:sz w:val="24"/>
        </w:rPr>
        <w:t> </w:t>
      </w:r>
      <w:r>
        <w:rPr>
          <w:sz w:val="24"/>
        </w:rPr>
        <w:t>Analysis</w:t>
      </w:r>
      <w:r>
        <w:rPr>
          <w:spacing w:val="-4"/>
          <w:sz w:val="24"/>
        </w:rPr>
        <w:t> </w:t>
      </w:r>
      <w:r>
        <w:rPr>
          <w:sz w:val="24"/>
        </w:rPr>
        <w:t>of</w:t>
      </w:r>
      <w:r>
        <w:rPr>
          <w:spacing w:val="-3"/>
          <w:sz w:val="24"/>
        </w:rPr>
        <w:t> </w:t>
      </w:r>
      <w:r>
        <w:rPr>
          <w:sz w:val="24"/>
        </w:rPr>
        <w:t>Variance</w:t>
      </w:r>
      <w:r>
        <w:rPr>
          <w:spacing w:val="-3"/>
          <w:sz w:val="24"/>
        </w:rPr>
        <w:t> </w:t>
      </w:r>
      <w:r>
        <w:rPr>
          <w:sz w:val="24"/>
        </w:rPr>
        <w:t>(ANOVA)</w:t>
      </w:r>
      <w:r>
        <w:rPr>
          <w:spacing w:val="-2"/>
          <w:sz w:val="24"/>
        </w:rPr>
        <w:t> </w:t>
      </w:r>
      <w:r>
        <w:rPr>
          <w:sz w:val="24"/>
        </w:rPr>
        <w:t>on</w:t>
      </w:r>
      <w:r>
        <w:rPr>
          <w:spacing w:val="-3"/>
          <w:sz w:val="24"/>
        </w:rPr>
        <w:t> </w:t>
      </w:r>
      <w:r>
        <w:rPr>
          <w:sz w:val="24"/>
        </w:rPr>
        <w:t>the</w:t>
      </w:r>
      <w:r>
        <w:rPr>
          <w:spacing w:val="-3"/>
          <w:sz w:val="24"/>
        </w:rPr>
        <w:t> </w:t>
      </w:r>
      <w:r>
        <w:rPr>
          <w:sz w:val="24"/>
        </w:rPr>
        <w:t>type</w:t>
      </w:r>
      <w:r>
        <w:rPr>
          <w:spacing w:val="-3"/>
          <w:sz w:val="24"/>
        </w:rPr>
        <w:t> </w:t>
      </w:r>
      <w:r>
        <w:rPr>
          <w:sz w:val="24"/>
        </w:rPr>
        <w:t>and</w:t>
      </w:r>
      <w:r>
        <w:rPr>
          <w:spacing w:val="-3"/>
          <w:sz w:val="24"/>
        </w:rPr>
        <w:t> </w:t>
      </w:r>
      <w:r>
        <w:rPr>
          <w:sz w:val="24"/>
        </w:rPr>
        <w:t>adequacy</w:t>
      </w:r>
      <w:r>
        <w:rPr>
          <w:spacing w:val="-4"/>
          <w:sz w:val="24"/>
        </w:rPr>
        <w:t> </w:t>
      </w:r>
      <w:r>
        <w:rPr>
          <w:sz w:val="24"/>
        </w:rPr>
        <w:t>of students’ welfare services in Universities in three geopolitical</w:t>
      </w:r>
    </w:p>
    <w:p>
      <w:pPr>
        <w:pStyle w:val="BodyText"/>
        <w:tabs>
          <w:tab w:pos="9269" w:val="right" w:leader="none"/>
        </w:tabs>
        <w:spacing w:before="3"/>
        <w:ind w:left="880"/>
      </w:pPr>
      <w:r>
        <w:rPr/>
        <w:t>zones</w:t>
      </w:r>
      <w:r>
        <w:rPr>
          <w:spacing w:val="-9"/>
        </w:rPr>
        <w:t> </w:t>
      </w:r>
      <w:r>
        <w:rPr/>
        <w:t>in</w:t>
      </w:r>
      <w:r>
        <w:rPr>
          <w:spacing w:val="-4"/>
        </w:rPr>
        <w:t> </w:t>
      </w:r>
      <w:r>
        <w:rPr/>
        <w:t>Northern</w:t>
      </w:r>
      <w:r>
        <w:rPr>
          <w:spacing w:val="-7"/>
        </w:rPr>
        <w:t> </w:t>
      </w:r>
      <w:r>
        <w:rPr/>
        <w:t>part</w:t>
      </w:r>
      <w:r>
        <w:rPr>
          <w:spacing w:val="-8"/>
        </w:rPr>
        <w:t> </w:t>
      </w:r>
      <w:r>
        <w:rPr/>
        <w:t>of</w:t>
      </w:r>
      <w:r>
        <w:rPr>
          <w:spacing w:val="-4"/>
        </w:rPr>
        <w:t> </w:t>
      </w:r>
      <w:r>
        <w:rPr/>
        <w:t>Nigeria</w:t>
      </w:r>
      <w:r>
        <w:rPr>
          <w:spacing w:val="-4"/>
        </w:rPr>
        <w:t> </w:t>
      </w:r>
      <w:r>
        <w:rPr>
          <w:spacing w:val="-2"/>
        </w:rPr>
        <w:t>……………….………………………</w:t>
      </w:r>
      <w:r>
        <w:rPr/>
        <w:tab/>
      </w:r>
      <w:r>
        <w:rPr>
          <w:spacing w:val="-5"/>
        </w:rPr>
        <w:t>185</w:t>
      </w:r>
    </w:p>
    <w:p>
      <w:pPr>
        <w:pStyle w:val="ListParagraph"/>
        <w:numPr>
          <w:ilvl w:val="2"/>
          <w:numId w:val="15"/>
        </w:numPr>
        <w:tabs>
          <w:tab w:pos="877" w:val="left" w:leader="none"/>
          <w:tab w:pos="880" w:val="left" w:leader="none"/>
        </w:tabs>
        <w:spacing w:line="237" w:lineRule="auto" w:before="279" w:after="0"/>
        <w:ind w:left="880" w:right="2265" w:hanging="720"/>
        <w:jc w:val="left"/>
        <w:rPr>
          <w:sz w:val="24"/>
        </w:rPr>
      </w:pPr>
      <w:r>
        <w:rPr>
          <w:sz w:val="24"/>
        </w:rPr>
        <w:t>Scheffe’s</w:t>
      </w:r>
      <w:r>
        <w:rPr>
          <w:spacing w:val="-3"/>
          <w:sz w:val="24"/>
        </w:rPr>
        <w:t> </w:t>
      </w:r>
      <w:r>
        <w:rPr>
          <w:sz w:val="24"/>
        </w:rPr>
        <w:t>Test</w:t>
      </w:r>
      <w:r>
        <w:rPr>
          <w:spacing w:val="-6"/>
          <w:sz w:val="24"/>
        </w:rPr>
        <w:t> </w:t>
      </w:r>
      <w:r>
        <w:rPr>
          <w:sz w:val="24"/>
        </w:rPr>
        <w:t>on</w:t>
      </w:r>
      <w:r>
        <w:rPr>
          <w:spacing w:val="-2"/>
          <w:sz w:val="24"/>
        </w:rPr>
        <w:t> </w:t>
      </w:r>
      <w:r>
        <w:rPr>
          <w:sz w:val="24"/>
        </w:rPr>
        <w:t>the</w:t>
      </w:r>
      <w:r>
        <w:rPr>
          <w:spacing w:val="-5"/>
          <w:sz w:val="24"/>
        </w:rPr>
        <w:t> </w:t>
      </w:r>
      <w:r>
        <w:rPr>
          <w:sz w:val="24"/>
        </w:rPr>
        <w:t>opinions</w:t>
      </w:r>
      <w:r>
        <w:rPr>
          <w:spacing w:val="-7"/>
          <w:sz w:val="24"/>
        </w:rPr>
        <w:t> </w:t>
      </w:r>
      <w:r>
        <w:rPr>
          <w:sz w:val="24"/>
        </w:rPr>
        <w:t>of</w:t>
      </w:r>
      <w:r>
        <w:rPr>
          <w:spacing w:val="-3"/>
          <w:sz w:val="24"/>
        </w:rPr>
        <w:t> </w:t>
      </w:r>
      <w:r>
        <w:rPr>
          <w:sz w:val="24"/>
        </w:rPr>
        <w:t>students</w:t>
      </w:r>
      <w:r>
        <w:rPr>
          <w:spacing w:val="-3"/>
          <w:sz w:val="24"/>
        </w:rPr>
        <w:t> </w:t>
      </w:r>
      <w:r>
        <w:rPr>
          <w:sz w:val="24"/>
        </w:rPr>
        <w:t>service</w:t>
      </w:r>
      <w:r>
        <w:rPr>
          <w:spacing w:val="-2"/>
          <w:sz w:val="24"/>
        </w:rPr>
        <w:t> </w:t>
      </w:r>
      <w:r>
        <w:rPr>
          <w:sz w:val="24"/>
        </w:rPr>
        <w:t>staff</w:t>
      </w:r>
      <w:r>
        <w:rPr>
          <w:spacing w:val="-3"/>
          <w:sz w:val="24"/>
        </w:rPr>
        <w:t> </w:t>
      </w:r>
      <w:r>
        <w:rPr>
          <w:sz w:val="24"/>
        </w:rPr>
        <w:t>and</w:t>
      </w:r>
      <w:r>
        <w:rPr>
          <w:spacing w:val="-5"/>
          <w:sz w:val="24"/>
        </w:rPr>
        <w:t> </w:t>
      </w:r>
      <w:r>
        <w:rPr>
          <w:sz w:val="24"/>
        </w:rPr>
        <w:t>top management on the types and adequacy of students’ welfare</w:t>
      </w:r>
    </w:p>
    <w:p>
      <w:pPr>
        <w:pStyle w:val="BodyText"/>
        <w:tabs>
          <w:tab w:pos="9269" w:val="right" w:leader="none"/>
        </w:tabs>
        <w:spacing w:before="3"/>
        <w:ind w:left="880"/>
      </w:pPr>
      <w:r>
        <w:rPr/>
        <w:t>services</w:t>
      </w:r>
      <w:r>
        <w:rPr>
          <w:spacing w:val="-9"/>
        </w:rPr>
        <w:t> </w:t>
      </w:r>
      <w:r>
        <w:rPr/>
        <w:t>in</w:t>
      </w:r>
      <w:r>
        <w:rPr>
          <w:spacing w:val="-2"/>
        </w:rPr>
        <w:t> Universities……….…………………………………………..</w:t>
      </w:r>
      <w:r>
        <w:rPr/>
        <w:tab/>
      </w:r>
      <w:r>
        <w:rPr>
          <w:spacing w:val="-5"/>
        </w:rPr>
        <w:t>186</w:t>
      </w:r>
    </w:p>
    <w:p>
      <w:pPr>
        <w:pStyle w:val="ListParagraph"/>
        <w:numPr>
          <w:ilvl w:val="2"/>
          <w:numId w:val="15"/>
        </w:numPr>
        <w:tabs>
          <w:tab w:pos="877" w:val="left" w:leader="none"/>
        </w:tabs>
        <w:spacing w:line="275" w:lineRule="exact" w:before="276" w:after="0"/>
        <w:ind w:left="877" w:right="0" w:hanging="717"/>
        <w:jc w:val="left"/>
        <w:rPr>
          <w:sz w:val="24"/>
        </w:rPr>
      </w:pPr>
      <w:r>
        <w:rPr>
          <w:sz w:val="24"/>
        </w:rPr>
        <w:t>One</w:t>
      </w:r>
      <w:r>
        <w:rPr>
          <w:spacing w:val="-6"/>
          <w:sz w:val="24"/>
        </w:rPr>
        <w:t> </w:t>
      </w:r>
      <w:r>
        <w:rPr>
          <w:sz w:val="24"/>
        </w:rPr>
        <w:t>way</w:t>
      </w:r>
      <w:r>
        <w:rPr>
          <w:spacing w:val="-6"/>
          <w:sz w:val="24"/>
        </w:rPr>
        <w:t> </w:t>
      </w:r>
      <w:r>
        <w:rPr>
          <w:sz w:val="24"/>
        </w:rPr>
        <w:t>analysis</w:t>
      </w:r>
      <w:r>
        <w:rPr>
          <w:spacing w:val="-10"/>
          <w:sz w:val="24"/>
        </w:rPr>
        <w:t> </w:t>
      </w:r>
      <w:r>
        <w:rPr>
          <w:sz w:val="24"/>
        </w:rPr>
        <w:t>of</w:t>
      </w:r>
      <w:r>
        <w:rPr>
          <w:spacing w:val="-6"/>
          <w:sz w:val="24"/>
        </w:rPr>
        <w:t> </w:t>
      </w:r>
      <w:r>
        <w:rPr>
          <w:sz w:val="24"/>
        </w:rPr>
        <w:t>variance</w:t>
      </w:r>
      <w:r>
        <w:rPr>
          <w:spacing w:val="-6"/>
          <w:sz w:val="24"/>
        </w:rPr>
        <w:t> </w:t>
      </w:r>
      <w:r>
        <w:rPr>
          <w:sz w:val="24"/>
        </w:rPr>
        <w:t>(ANOVA)</w:t>
      </w:r>
      <w:r>
        <w:rPr>
          <w:spacing w:val="-4"/>
          <w:sz w:val="24"/>
        </w:rPr>
        <w:t> </w:t>
      </w:r>
      <w:r>
        <w:rPr>
          <w:sz w:val="24"/>
        </w:rPr>
        <w:t>on</w:t>
      </w:r>
      <w:r>
        <w:rPr>
          <w:spacing w:val="-5"/>
          <w:sz w:val="24"/>
        </w:rPr>
        <w:t> </w:t>
      </w:r>
      <w:r>
        <w:rPr>
          <w:sz w:val="24"/>
        </w:rPr>
        <w:t>the</w:t>
      </w:r>
      <w:r>
        <w:rPr>
          <w:spacing w:val="55"/>
          <w:sz w:val="24"/>
        </w:rPr>
        <w:t> </w:t>
      </w:r>
      <w:r>
        <w:rPr>
          <w:sz w:val="24"/>
        </w:rPr>
        <w:t>availability</w:t>
      </w:r>
      <w:r>
        <w:rPr>
          <w:spacing w:val="-6"/>
          <w:sz w:val="24"/>
        </w:rPr>
        <w:t> </w:t>
      </w:r>
      <w:r>
        <w:rPr>
          <w:sz w:val="24"/>
        </w:rPr>
        <w:t>and</w:t>
      </w:r>
      <w:r>
        <w:rPr>
          <w:spacing w:val="-9"/>
          <w:sz w:val="24"/>
        </w:rPr>
        <w:t> </w:t>
      </w:r>
      <w:r>
        <w:rPr>
          <w:spacing w:val="-2"/>
          <w:sz w:val="24"/>
        </w:rPr>
        <w:t>adequacy</w:t>
      </w:r>
    </w:p>
    <w:p>
      <w:pPr>
        <w:pStyle w:val="BodyText"/>
        <w:tabs>
          <w:tab w:pos="9269" w:val="right" w:leader="dot"/>
        </w:tabs>
        <w:spacing w:line="275" w:lineRule="exact"/>
        <w:ind w:left="880"/>
      </w:pPr>
      <w:r>
        <w:rPr/>
        <w:t>of</w:t>
      </w:r>
      <w:r>
        <w:rPr>
          <w:spacing w:val="-8"/>
        </w:rPr>
        <w:t> </w:t>
      </w:r>
      <w:r>
        <w:rPr/>
        <w:t>social</w:t>
      </w:r>
      <w:r>
        <w:rPr>
          <w:spacing w:val="-5"/>
        </w:rPr>
        <w:t> </w:t>
      </w:r>
      <w:r>
        <w:rPr/>
        <w:t>welfare</w:t>
      </w:r>
      <w:r>
        <w:rPr>
          <w:spacing w:val="-7"/>
        </w:rPr>
        <w:t> </w:t>
      </w:r>
      <w:r>
        <w:rPr/>
        <w:t>services</w:t>
      </w:r>
      <w:r>
        <w:rPr>
          <w:spacing w:val="-12"/>
        </w:rPr>
        <w:t> </w:t>
      </w:r>
      <w:r>
        <w:rPr/>
        <w:t>in</w:t>
      </w:r>
      <w:r>
        <w:rPr>
          <w:spacing w:val="-7"/>
        </w:rPr>
        <w:t> </w:t>
      </w:r>
      <w:r>
        <w:rPr/>
        <w:t>Universities</w:t>
      </w:r>
      <w:r>
        <w:rPr>
          <w:spacing w:val="-10"/>
        </w:rPr>
        <w:t> </w:t>
      </w:r>
      <w:r>
        <w:rPr/>
        <w:t>under</w:t>
      </w:r>
      <w:r>
        <w:rPr>
          <w:spacing w:val="-11"/>
        </w:rPr>
        <w:t> </w:t>
      </w:r>
      <w:r>
        <w:rPr>
          <w:spacing w:val="-2"/>
        </w:rPr>
        <w:t>study</w:t>
      </w:r>
      <w:r>
        <w:rPr/>
        <w:tab/>
      </w:r>
      <w:r>
        <w:rPr>
          <w:spacing w:val="-5"/>
        </w:rPr>
        <w:t>187</w:t>
      </w:r>
    </w:p>
    <w:p>
      <w:pPr>
        <w:pStyle w:val="ListParagraph"/>
        <w:numPr>
          <w:ilvl w:val="2"/>
          <w:numId w:val="15"/>
        </w:numPr>
        <w:tabs>
          <w:tab w:pos="877" w:val="left" w:leader="none"/>
        </w:tabs>
        <w:spacing w:line="240" w:lineRule="auto" w:before="276" w:after="0"/>
        <w:ind w:left="877" w:right="0" w:hanging="717"/>
        <w:jc w:val="left"/>
        <w:rPr>
          <w:sz w:val="24"/>
        </w:rPr>
      </w:pPr>
      <w:r>
        <w:rPr>
          <w:sz w:val="24"/>
        </w:rPr>
        <w:t>One</w:t>
      </w:r>
      <w:r>
        <w:rPr>
          <w:spacing w:val="-6"/>
          <w:sz w:val="24"/>
        </w:rPr>
        <w:t> </w:t>
      </w:r>
      <w:r>
        <w:rPr>
          <w:sz w:val="24"/>
        </w:rPr>
        <w:t>way</w:t>
      </w:r>
      <w:r>
        <w:rPr>
          <w:spacing w:val="-7"/>
          <w:sz w:val="24"/>
        </w:rPr>
        <w:t> </w:t>
      </w:r>
      <w:r>
        <w:rPr>
          <w:sz w:val="24"/>
        </w:rPr>
        <w:t>analysis</w:t>
      </w:r>
      <w:r>
        <w:rPr>
          <w:spacing w:val="-11"/>
          <w:sz w:val="24"/>
        </w:rPr>
        <w:t> </w:t>
      </w:r>
      <w:r>
        <w:rPr>
          <w:sz w:val="24"/>
        </w:rPr>
        <w:t>of</w:t>
      </w:r>
      <w:r>
        <w:rPr>
          <w:spacing w:val="-7"/>
          <w:sz w:val="24"/>
        </w:rPr>
        <w:t> </w:t>
      </w:r>
      <w:r>
        <w:rPr>
          <w:sz w:val="24"/>
        </w:rPr>
        <w:t>variance</w:t>
      </w:r>
      <w:r>
        <w:rPr>
          <w:spacing w:val="-6"/>
          <w:sz w:val="24"/>
        </w:rPr>
        <w:t> </w:t>
      </w:r>
      <w:r>
        <w:rPr>
          <w:sz w:val="24"/>
        </w:rPr>
        <w:t>(ANOVA)</w:t>
      </w:r>
      <w:r>
        <w:rPr>
          <w:spacing w:val="-4"/>
          <w:sz w:val="24"/>
        </w:rPr>
        <w:t> </w:t>
      </w:r>
      <w:r>
        <w:rPr>
          <w:sz w:val="24"/>
        </w:rPr>
        <w:t>on</w:t>
      </w:r>
      <w:r>
        <w:rPr>
          <w:spacing w:val="-6"/>
          <w:sz w:val="24"/>
        </w:rPr>
        <w:t> </w:t>
      </w:r>
      <w:r>
        <w:rPr>
          <w:sz w:val="24"/>
        </w:rPr>
        <w:t>the</w:t>
      </w:r>
      <w:r>
        <w:rPr>
          <w:spacing w:val="-6"/>
          <w:sz w:val="24"/>
        </w:rPr>
        <w:t> </w:t>
      </w:r>
      <w:r>
        <w:rPr>
          <w:sz w:val="24"/>
        </w:rPr>
        <w:t>availability</w:t>
      </w:r>
      <w:r>
        <w:rPr>
          <w:spacing w:val="-7"/>
          <w:sz w:val="24"/>
        </w:rPr>
        <w:t> </w:t>
      </w:r>
      <w:r>
        <w:rPr>
          <w:sz w:val="24"/>
        </w:rPr>
        <w:t>and</w:t>
      </w:r>
      <w:r>
        <w:rPr>
          <w:spacing w:val="-9"/>
          <w:sz w:val="24"/>
        </w:rPr>
        <w:t> </w:t>
      </w:r>
      <w:r>
        <w:rPr>
          <w:spacing w:val="-2"/>
          <w:sz w:val="24"/>
        </w:rPr>
        <w:t>adequacy</w:t>
      </w:r>
    </w:p>
    <w:p>
      <w:pPr>
        <w:pStyle w:val="BodyText"/>
        <w:tabs>
          <w:tab w:pos="9269" w:val="right" w:leader="none"/>
        </w:tabs>
        <w:spacing w:before="3"/>
        <w:ind w:left="880"/>
      </w:pPr>
      <w:r>
        <w:rPr/>
        <w:t>of</w:t>
      </w:r>
      <w:r>
        <w:rPr>
          <w:spacing w:val="-5"/>
        </w:rPr>
        <w:t> </w:t>
      </w:r>
      <w:r>
        <w:rPr/>
        <w:t>academic</w:t>
      </w:r>
      <w:r>
        <w:rPr>
          <w:spacing w:val="-5"/>
        </w:rPr>
        <w:t> </w:t>
      </w:r>
      <w:r>
        <w:rPr/>
        <w:t>services</w:t>
      </w:r>
      <w:r>
        <w:rPr>
          <w:spacing w:val="-10"/>
        </w:rPr>
        <w:t> </w:t>
      </w:r>
      <w:r>
        <w:rPr/>
        <w:t>in</w:t>
      </w:r>
      <w:r>
        <w:rPr>
          <w:spacing w:val="-7"/>
        </w:rPr>
        <w:t> </w:t>
      </w:r>
      <w:r>
        <w:rPr>
          <w:spacing w:val="-2"/>
        </w:rPr>
        <w:t>Universities…………...………………………….</w:t>
      </w:r>
      <w:r>
        <w:rPr/>
        <w:tab/>
      </w:r>
      <w:r>
        <w:rPr>
          <w:spacing w:val="-5"/>
        </w:rPr>
        <w:t>189</w:t>
      </w:r>
    </w:p>
    <w:p>
      <w:pPr>
        <w:pStyle w:val="ListParagraph"/>
        <w:numPr>
          <w:ilvl w:val="2"/>
          <w:numId w:val="15"/>
        </w:numPr>
        <w:tabs>
          <w:tab w:pos="877" w:val="left" w:leader="none"/>
          <w:tab w:pos="880" w:val="left" w:leader="none"/>
        </w:tabs>
        <w:spacing w:line="237" w:lineRule="auto" w:before="278" w:after="0"/>
        <w:ind w:left="880" w:right="1240" w:hanging="720"/>
        <w:jc w:val="left"/>
        <w:rPr>
          <w:sz w:val="24"/>
        </w:rPr>
      </w:pPr>
      <w:r>
        <w:rPr>
          <w:sz w:val="24"/>
        </w:rPr>
        <w:t>One</w:t>
      </w:r>
      <w:r>
        <w:rPr>
          <w:spacing w:val="-3"/>
          <w:sz w:val="24"/>
        </w:rPr>
        <w:t> </w:t>
      </w:r>
      <w:r>
        <w:rPr>
          <w:sz w:val="24"/>
        </w:rPr>
        <w:t>way</w:t>
      </w:r>
      <w:r>
        <w:rPr>
          <w:spacing w:val="-4"/>
          <w:sz w:val="24"/>
        </w:rPr>
        <w:t> </w:t>
      </w:r>
      <w:r>
        <w:rPr>
          <w:sz w:val="24"/>
        </w:rPr>
        <w:t>Analysis</w:t>
      </w:r>
      <w:r>
        <w:rPr>
          <w:spacing w:val="-4"/>
          <w:sz w:val="24"/>
        </w:rPr>
        <w:t> </w:t>
      </w:r>
      <w:r>
        <w:rPr>
          <w:sz w:val="24"/>
        </w:rPr>
        <w:t>of</w:t>
      </w:r>
      <w:r>
        <w:rPr>
          <w:spacing w:val="-4"/>
          <w:sz w:val="24"/>
        </w:rPr>
        <w:t> </w:t>
      </w:r>
      <w:r>
        <w:rPr>
          <w:sz w:val="24"/>
        </w:rPr>
        <w:t>variance</w:t>
      </w:r>
      <w:r>
        <w:rPr>
          <w:spacing w:val="-7"/>
          <w:sz w:val="24"/>
        </w:rPr>
        <w:t> </w:t>
      </w:r>
      <w:r>
        <w:rPr>
          <w:sz w:val="24"/>
        </w:rPr>
        <w:t>(ANOVA)</w:t>
      </w:r>
      <w:r>
        <w:rPr>
          <w:spacing w:val="-2"/>
          <w:sz w:val="24"/>
        </w:rPr>
        <w:t> </w:t>
      </w:r>
      <w:r>
        <w:rPr>
          <w:sz w:val="24"/>
        </w:rPr>
        <w:t>on</w:t>
      </w:r>
      <w:r>
        <w:rPr>
          <w:spacing w:val="-3"/>
          <w:sz w:val="24"/>
        </w:rPr>
        <w:t> </w:t>
      </w:r>
      <w:r>
        <w:rPr>
          <w:sz w:val="24"/>
        </w:rPr>
        <w:t>the</w:t>
      </w:r>
      <w:r>
        <w:rPr>
          <w:spacing w:val="-3"/>
          <w:sz w:val="24"/>
        </w:rPr>
        <w:t> </w:t>
      </w:r>
      <w:r>
        <w:rPr>
          <w:sz w:val="24"/>
        </w:rPr>
        <w:t>availability</w:t>
      </w:r>
      <w:r>
        <w:rPr>
          <w:spacing w:val="-4"/>
          <w:sz w:val="24"/>
        </w:rPr>
        <w:t> </w:t>
      </w:r>
      <w:r>
        <w:rPr>
          <w:sz w:val="24"/>
        </w:rPr>
        <w:t>and</w:t>
      </w:r>
      <w:r>
        <w:rPr>
          <w:spacing w:val="-7"/>
          <w:sz w:val="24"/>
        </w:rPr>
        <w:t> </w:t>
      </w:r>
      <w:r>
        <w:rPr>
          <w:sz w:val="24"/>
        </w:rPr>
        <w:t>adequacy of medical/Health services in Universities in three geopolitical</w:t>
      </w:r>
    </w:p>
    <w:p>
      <w:pPr>
        <w:pStyle w:val="BodyText"/>
        <w:tabs>
          <w:tab w:pos="9269" w:val="right" w:leader="none"/>
        </w:tabs>
        <w:spacing w:before="3"/>
        <w:ind w:left="880"/>
      </w:pPr>
      <w:r>
        <w:rPr/>
        <w:t>zones</w:t>
      </w:r>
      <w:r>
        <w:rPr>
          <w:spacing w:val="-9"/>
        </w:rPr>
        <w:t> </w:t>
      </w:r>
      <w:r>
        <w:rPr/>
        <w:t>in</w:t>
      </w:r>
      <w:r>
        <w:rPr>
          <w:spacing w:val="-4"/>
        </w:rPr>
        <w:t> </w:t>
      </w:r>
      <w:r>
        <w:rPr/>
        <w:t>Northern</w:t>
      </w:r>
      <w:r>
        <w:rPr>
          <w:spacing w:val="-7"/>
        </w:rPr>
        <w:t> </w:t>
      </w:r>
      <w:r>
        <w:rPr/>
        <w:t>part</w:t>
      </w:r>
      <w:r>
        <w:rPr>
          <w:spacing w:val="-8"/>
        </w:rPr>
        <w:t> </w:t>
      </w:r>
      <w:r>
        <w:rPr/>
        <w:t>of</w:t>
      </w:r>
      <w:r>
        <w:rPr>
          <w:spacing w:val="-4"/>
        </w:rPr>
        <w:t> </w:t>
      </w:r>
      <w:r>
        <w:rPr/>
        <w:t>Nigeria</w:t>
      </w:r>
      <w:r>
        <w:rPr>
          <w:spacing w:val="-4"/>
        </w:rPr>
        <w:t> </w:t>
      </w:r>
      <w:r>
        <w:rPr>
          <w:spacing w:val="-2"/>
        </w:rPr>
        <w:t>…………………................................</w:t>
      </w:r>
      <w:r>
        <w:rPr/>
        <w:tab/>
      </w:r>
      <w:r>
        <w:rPr>
          <w:spacing w:val="-5"/>
        </w:rPr>
        <w:t>190</w:t>
      </w:r>
    </w:p>
    <w:p>
      <w:pPr>
        <w:pStyle w:val="ListParagraph"/>
        <w:numPr>
          <w:ilvl w:val="2"/>
          <w:numId w:val="15"/>
        </w:numPr>
        <w:tabs>
          <w:tab w:pos="877" w:val="left" w:leader="none"/>
          <w:tab w:pos="880" w:val="left" w:leader="none"/>
        </w:tabs>
        <w:spacing w:line="237" w:lineRule="auto" w:before="278" w:after="0"/>
        <w:ind w:left="880" w:right="1625" w:hanging="720"/>
        <w:jc w:val="left"/>
        <w:rPr>
          <w:sz w:val="24"/>
        </w:rPr>
      </w:pPr>
      <w:r>
        <w:rPr>
          <w:sz w:val="24"/>
        </w:rPr>
        <w:t>Scheffe’s</w:t>
      </w:r>
      <w:r>
        <w:rPr>
          <w:spacing w:val="-3"/>
          <w:sz w:val="24"/>
        </w:rPr>
        <w:t> </w:t>
      </w:r>
      <w:r>
        <w:rPr>
          <w:sz w:val="24"/>
        </w:rPr>
        <w:t>test</w:t>
      </w:r>
      <w:r>
        <w:rPr>
          <w:spacing w:val="-3"/>
          <w:sz w:val="24"/>
        </w:rPr>
        <w:t> </w:t>
      </w:r>
      <w:r>
        <w:rPr>
          <w:sz w:val="24"/>
        </w:rPr>
        <w:t>on</w:t>
      </w:r>
      <w:r>
        <w:rPr>
          <w:spacing w:val="-6"/>
          <w:sz w:val="24"/>
        </w:rPr>
        <w:t> </w:t>
      </w:r>
      <w:r>
        <w:rPr>
          <w:sz w:val="24"/>
        </w:rPr>
        <w:t>the</w:t>
      </w:r>
      <w:r>
        <w:rPr>
          <w:spacing w:val="-2"/>
          <w:sz w:val="24"/>
        </w:rPr>
        <w:t> </w:t>
      </w:r>
      <w:r>
        <w:rPr>
          <w:sz w:val="24"/>
        </w:rPr>
        <w:t>availability</w:t>
      </w:r>
      <w:r>
        <w:rPr>
          <w:spacing w:val="-3"/>
          <w:sz w:val="24"/>
        </w:rPr>
        <w:t> </w:t>
      </w:r>
      <w:r>
        <w:rPr>
          <w:sz w:val="24"/>
        </w:rPr>
        <w:t>and</w:t>
      </w:r>
      <w:r>
        <w:rPr>
          <w:spacing w:val="-6"/>
          <w:sz w:val="24"/>
        </w:rPr>
        <w:t> </w:t>
      </w:r>
      <w:r>
        <w:rPr>
          <w:sz w:val="24"/>
        </w:rPr>
        <w:t>adequacy</w:t>
      </w:r>
      <w:r>
        <w:rPr>
          <w:spacing w:val="-3"/>
          <w:sz w:val="24"/>
        </w:rPr>
        <w:t> </w:t>
      </w:r>
      <w:r>
        <w:rPr>
          <w:sz w:val="24"/>
        </w:rPr>
        <w:t>of</w:t>
      </w:r>
      <w:r>
        <w:rPr>
          <w:spacing w:val="-3"/>
          <w:sz w:val="24"/>
        </w:rPr>
        <w:t> </w:t>
      </w:r>
      <w:r>
        <w:rPr>
          <w:sz w:val="24"/>
        </w:rPr>
        <w:t>medical</w:t>
      </w:r>
      <w:r>
        <w:rPr>
          <w:spacing w:val="-3"/>
          <w:sz w:val="24"/>
        </w:rPr>
        <w:t> </w:t>
      </w:r>
      <w:r>
        <w:rPr>
          <w:sz w:val="24"/>
        </w:rPr>
        <w:t>and</w:t>
      </w:r>
      <w:r>
        <w:rPr>
          <w:spacing w:val="-2"/>
          <w:sz w:val="24"/>
        </w:rPr>
        <w:t> </w:t>
      </w:r>
      <w:r>
        <w:rPr>
          <w:sz w:val="24"/>
        </w:rPr>
        <w:t>Health services in Universities in three geopolitical zones in</w:t>
      </w:r>
    </w:p>
    <w:p>
      <w:pPr>
        <w:pStyle w:val="BodyText"/>
        <w:tabs>
          <w:tab w:pos="9269" w:val="right" w:leader="dot"/>
        </w:tabs>
        <w:spacing w:before="4"/>
        <w:ind w:left="880"/>
      </w:pPr>
      <w:r>
        <w:rPr/>
        <w:t>Northern</w:t>
      </w:r>
      <w:r>
        <w:rPr>
          <w:spacing w:val="-6"/>
        </w:rPr>
        <w:t> </w:t>
      </w:r>
      <w:r>
        <w:rPr/>
        <w:t>part</w:t>
      </w:r>
      <w:r>
        <w:rPr>
          <w:spacing w:val="-6"/>
        </w:rPr>
        <w:t> </w:t>
      </w:r>
      <w:r>
        <w:rPr/>
        <w:t>of</w:t>
      </w:r>
      <w:r>
        <w:rPr>
          <w:spacing w:val="-3"/>
        </w:rPr>
        <w:t> </w:t>
      </w:r>
      <w:r>
        <w:rPr>
          <w:spacing w:val="-2"/>
        </w:rPr>
        <w:t>Nigeria</w:t>
      </w:r>
      <w:r>
        <w:rPr/>
        <w:tab/>
      </w:r>
      <w:r>
        <w:rPr>
          <w:spacing w:val="-5"/>
        </w:rPr>
        <w:t>191</w:t>
      </w:r>
    </w:p>
    <w:p>
      <w:pPr>
        <w:pStyle w:val="ListParagraph"/>
        <w:numPr>
          <w:ilvl w:val="2"/>
          <w:numId w:val="15"/>
        </w:numPr>
        <w:tabs>
          <w:tab w:pos="877" w:val="left" w:leader="none"/>
          <w:tab w:pos="880" w:val="left" w:leader="none"/>
        </w:tabs>
        <w:spacing w:line="237" w:lineRule="auto" w:before="278" w:after="0"/>
        <w:ind w:left="880" w:right="1239" w:hanging="720"/>
        <w:jc w:val="left"/>
        <w:rPr>
          <w:sz w:val="24"/>
        </w:rPr>
      </w:pPr>
      <w:r>
        <w:rPr>
          <w:sz w:val="24"/>
        </w:rPr>
        <w:t>One</w:t>
      </w:r>
      <w:r>
        <w:rPr>
          <w:spacing w:val="-3"/>
          <w:sz w:val="24"/>
        </w:rPr>
        <w:t> </w:t>
      </w:r>
      <w:r>
        <w:rPr>
          <w:sz w:val="24"/>
        </w:rPr>
        <w:t>way</w:t>
      </w:r>
      <w:r>
        <w:rPr>
          <w:spacing w:val="-4"/>
          <w:sz w:val="24"/>
        </w:rPr>
        <w:t> </w:t>
      </w:r>
      <w:r>
        <w:rPr>
          <w:sz w:val="24"/>
        </w:rPr>
        <w:t>Analysis</w:t>
      </w:r>
      <w:r>
        <w:rPr>
          <w:spacing w:val="-4"/>
          <w:sz w:val="24"/>
        </w:rPr>
        <w:t> </w:t>
      </w:r>
      <w:r>
        <w:rPr>
          <w:sz w:val="24"/>
        </w:rPr>
        <w:t>of</w:t>
      </w:r>
      <w:r>
        <w:rPr>
          <w:spacing w:val="-4"/>
          <w:sz w:val="24"/>
        </w:rPr>
        <w:t> </w:t>
      </w:r>
      <w:r>
        <w:rPr>
          <w:sz w:val="24"/>
        </w:rPr>
        <w:t>variance</w:t>
      </w:r>
      <w:r>
        <w:rPr>
          <w:spacing w:val="-7"/>
          <w:sz w:val="24"/>
        </w:rPr>
        <w:t> </w:t>
      </w:r>
      <w:r>
        <w:rPr>
          <w:sz w:val="24"/>
        </w:rPr>
        <w:t>(ANOVA)</w:t>
      </w:r>
      <w:r>
        <w:rPr>
          <w:spacing w:val="-1"/>
          <w:sz w:val="24"/>
        </w:rPr>
        <w:t> </w:t>
      </w:r>
      <w:r>
        <w:rPr>
          <w:sz w:val="24"/>
        </w:rPr>
        <w:t>on</w:t>
      </w:r>
      <w:r>
        <w:rPr>
          <w:spacing w:val="-3"/>
          <w:sz w:val="24"/>
        </w:rPr>
        <w:t> </w:t>
      </w:r>
      <w:r>
        <w:rPr>
          <w:sz w:val="24"/>
        </w:rPr>
        <w:t>the</w:t>
      </w:r>
      <w:r>
        <w:rPr>
          <w:spacing w:val="-3"/>
          <w:sz w:val="24"/>
        </w:rPr>
        <w:t> </w:t>
      </w:r>
      <w:r>
        <w:rPr>
          <w:sz w:val="24"/>
        </w:rPr>
        <w:t>availability</w:t>
      </w:r>
      <w:r>
        <w:rPr>
          <w:spacing w:val="-4"/>
          <w:sz w:val="24"/>
        </w:rPr>
        <w:t> </w:t>
      </w:r>
      <w:r>
        <w:rPr>
          <w:sz w:val="24"/>
        </w:rPr>
        <w:t>and</w:t>
      </w:r>
      <w:r>
        <w:rPr>
          <w:spacing w:val="-7"/>
          <w:sz w:val="24"/>
        </w:rPr>
        <w:t> </w:t>
      </w:r>
      <w:r>
        <w:rPr>
          <w:sz w:val="24"/>
        </w:rPr>
        <w:t>adequacy of environmental services in Universities in three geopolitical</w:t>
      </w:r>
    </w:p>
    <w:p>
      <w:pPr>
        <w:pStyle w:val="BodyText"/>
        <w:tabs>
          <w:tab w:pos="9269" w:val="right" w:leader="none"/>
        </w:tabs>
        <w:spacing w:before="3"/>
        <w:ind w:left="880"/>
      </w:pPr>
      <w:r>
        <w:rPr/>
        <w:t>zones</w:t>
      </w:r>
      <w:r>
        <w:rPr>
          <w:spacing w:val="-9"/>
        </w:rPr>
        <w:t> </w:t>
      </w:r>
      <w:r>
        <w:rPr/>
        <w:t>in</w:t>
      </w:r>
      <w:r>
        <w:rPr>
          <w:spacing w:val="-4"/>
        </w:rPr>
        <w:t> </w:t>
      </w:r>
      <w:r>
        <w:rPr/>
        <w:t>Northern</w:t>
      </w:r>
      <w:r>
        <w:rPr>
          <w:spacing w:val="-7"/>
        </w:rPr>
        <w:t> </w:t>
      </w:r>
      <w:r>
        <w:rPr/>
        <w:t>part</w:t>
      </w:r>
      <w:r>
        <w:rPr>
          <w:spacing w:val="-8"/>
        </w:rPr>
        <w:t> </w:t>
      </w:r>
      <w:r>
        <w:rPr/>
        <w:t>of</w:t>
      </w:r>
      <w:r>
        <w:rPr>
          <w:spacing w:val="-4"/>
        </w:rPr>
        <w:t> </w:t>
      </w:r>
      <w:r>
        <w:rPr/>
        <w:t>Nigeria</w:t>
      </w:r>
      <w:r>
        <w:rPr>
          <w:spacing w:val="-4"/>
        </w:rPr>
        <w:t> </w:t>
      </w:r>
      <w:r>
        <w:rPr>
          <w:spacing w:val="-2"/>
        </w:rPr>
        <w:t>…………….………………………….</w:t>
      </w:r>
      <w:r>
        <w:rPr/>
        <w:tab/>
      </w:r>
      <w:r>
        <w:rPr>
          <w:spacing w:val="-5"/>
        </w:rPr>
        <w:t>192</w:t>
      </w:r>
    </w:p>
    <w:p>
      <w:pPr>
        <w:pStyle w:val="ListParagraph"/>
        <w:numPr>
          <w:ilvl w:val="2"/>
          <w:numId w:val="15"/>
        </w:numPr>
        <w:tabs>
          <w:tab w:pos="877" w:val="left" w:leader="none"/>
          <w:tab w:pos="880" w:val="left" w:leader="none"/>
        </w:tabs>
        <w:spacing w:line="240" w:lineRule="auto" w:before="550" w:after="0"/>
        <w:ind w:left="880" w:right="1694" w:hanging="720"/>
        <w:jc w:val="left"/>
        <w:rPr>
          <w:sz w:val="24"/>
        </w:rPr>
      </w:pPr>
      <w:r>
        <w:rPr>
          <w:sz w:val="24"/>
        </w:rPr>
        <w:t>Scheffe’s test on the opinions of students, service staff and top management</w:t>
      </w:r>
      <w:r>
        <w:rPr>
          <w:spacing w:val="-5"/>
          <w:sz w:val="24"/>
        </w:rPr>
        <w:t> </w:t>
      </w:r>
      <w:r>
        <w:rPr>
          <w:sz w:val="24"/>
        </w:rPr>
        <w:t>staff</w:t>
      </w:r>
      <w:r>
        <w:rPr>
          <w:spacing w:val="-5"/>
          <w:sz w:val="24"/>
        </w:rPr>
        <w:t> </w:t>
      </w:r>
      <w:r>
        <w:rPr>
          <w:sz w:val="24"/>
        </w:rPr>
        <w:t>on</w:t>
      </w:r>
      <w:r>
        <w:rPr>
          <w:spacing w:val="-4"/>
          <w:sz w:val="24"/>
        </w:rPr>
        <w:t> </w:t>
      </w:r>
      <w:r>
        <w:rPr>
          <w:sz w:val="24"/>
        </w:rPr>
        <w:t>the</w:t>
      </w:r>
      <w:r>
        <w:rPr>
          <w:spacing w:val="-4"/>
          <w:sz w:val="24"/>
        </w:rPr>
        <w:t> </w:t>
      </w:r>
      <w:r>
        <w:rPr>
          <w:sz w:val="24"/>
        </w:rPr>
        <w:t>availability</w:t>
      </w:r>
      <w:r>
        <w:rPr>
          <w:spacing w:val="-10"/>
          <w:sz w:val="24"/>
        </w:rPr>
        <w:t> </w:t>
      </w:r>
      <w:r>
        <w:rPr>
          <w:sz w:val="24"/>
        </w:rPr>
        <w:t>and</w:t>
      </w:r>
      <w:r>
        <w:rPr>
          <w:spacing w:val="-4"/>
          <w:sz w:val="24"/>
        </w:rPr>
        <w:t> </w:t>
      </w:r>
      <w:r>
        <w:rPr>
          <w:sz w:val="24"/>
        </w:rPr>
        <w:t>adequacy</w:t>
      </w:r>
      <w:r>
        <w:rPr>
          <w:spacing w:val="-5"/>
          <w:sz w:val="24"/>
        </w:rPr>
        <w:t> </w:t>
      </w:r>
      <w:r>
        <w:rPr>
          <w:sz w:val="24"/>
        </w:rPr>
        <w:t>of</w:t>
      </w:r>
      <w:r>
        <w:rPr>
          <w:spacing w:val="-5"/>
          <w:sz w:val="24"/>
        </w:rPr>
        <w:t> </w:t>
      </w:r>
      <w:r>
        <w:rPr>
          <w:sz w:val="24"/>
        </w:rPr>
        <w:t>environmental services in Universities in three geopolitical zones in</w:t>
      </w:r>
    </w:p>
    <w:p>
      <w:pPr>
        <w:pStyle w:val="BodyText"/>
        <w:tabs>
          <w:tab w:pos="9269" w:val="right" w:leader="dot"/>
        </w:tabs>
        <w:spacing w:before="2"/>
        <w:ind w:left="880"/>
      </w:pPr>
      <w:r>
        <w:rPr/>
        <w:t>Northern</w:t>
      </w:r>
      <w:r>
        <w:rPr>
          <w:spacing w:val="-6"/>
        </w:rPr>
        <w:t> </w:t>
      </w:r>
      <w:r>
        <w:rPr/>
        <w:t>part</w:t>
      </w:r>
      <w:r>
        <w:rPr>
          <w:spacing w:val="-6"/>
        </w:rPr>
        <w:t> </w:t>
      </w:r>
      <w:r>
        <w:rPr/>
        <w:t>of</w:t>
      </w:r>
      <w:r>
        <w:rPr>
          <w:spacing w:val="-3"/>
        </w:rPr>
        <w:t> </w:t>
      </w:r>
      <w:r>
        <w:rPr>
          <w:spacing w:val="-2"/>
        </w:rPr>
        <w:t>Nigeria</w:t>
      </w:r>
      <w:r>
        <w:rPr/>
        <w:tab/>
      </w:r>
      <w:r>
        <w:rPr>
          <w:spacing w:val="-5"/>
        </w:rPr>
        <w:t>193</w:t>
      </w:r>
    </w:p>
    <w:p>
      <w:pPr>
        <w:pStyle w:val="ListParagraph"/>
        <w:numPr>
          <w:ilvl w:val="2"/>
          <w:numId w:val="15"/>
        </w:numPr>
        <w:tabs>
          <w:tab w:pos="877" w:val="left" w:leader="none"/>
          <w:tab w:pos="880" w:val="left" w:leader="none"/>
        </w:tabs>
        <w:spacing w:line="240" w:lineRule="auto" w:before="276" w:after="0"/>
        <w:ind w:left="880" w:right="2138" w:hanging="720"/>
        <w:jc w:val="left"/>
        <w:rPr>
          <w:sz w:val="24"/>
        </w:rPr>
      </w:pPr>
      <w:r>
        <w:rPr>
          <w:sz w:val="24"/>
        </w:rPr>
        <w:t>Analysis</w:t>
      </w:r>
      <w:r>
        <w:rPr>
          <w:spacing w:val="-5"/>
          <w:sz w:val="24"/>
        </w:rPr>
        <w:t> </w:t>
      </w:r>
      <w:r>
        <w:rPr>
          <w:sz w:val="24"/>
        </w:rPr>
        <w:t>of</w:t>
      </w:r>
      <w:r>
        <w:rPr>
          <w:spacing w:val="-5"/>
          <w:sz w:val="24"/>
        </w:rPr>
        <w:t> </w:t>
      </w:r>
      <w:r>
        <w:rPr>
          <w:sz w:val="24"/>
        </w:rPr>
        <w:t>Variance</w:t>
      </w:r>
      <w:r>
        <w:rPr>
          <w:spacing w:val="-8"/>
          <w:sz w:val="24"/>
        </w:rPr>
        <w:t> </w:t>
      </w:r>
      <w:r>
        <w:rPr>
          <w:sz w:val="24"/>
        </w:rPr>
        <w:t>(ANOVA)</w:t>
      </w:r>
      <w:r>
        <w:rPr>
          <w:spacing w:val="-3"/>
          <w:sz w:val="24"/>
        </w:rPr>
        <w:t> </w:t>
      </w:r>
      <w:r>
        <w:rPr>
          <w:sz w:val="24"/>
        </w:rPr>
        <w:t>on</w:t>
      </w:r>
      <w:r>
        <w:rPr>
          <w:spacing w:val="-4"/>
          <w:sz w:val="24"/>
        </w:rPr>
        <w:t> </w:t>
      </w:r>
      <w:r>
        <w:rPr>
          <w:sz w:val="24"/>
        </w:rPr>
        <w:t>the</w:t>
      </w:r>
      <w:r>
        <w:rPr>
          <w:spacing w:val="-4"/>
          <w:sz w:val="24"/>
        </w:rPr>
        <w:t> </w:t>
      </w:r>
      <w:r>
        <w:rPr>
          <w:sz w:val="24"/>
        </w:rPr>
        <w:t>Impact</w:t>
      </w:r>
      <w:r>
        <w:rPr>
          <w:spacing w:val="-5"/>
          <w:sz w:val="24"/>
        </w:rPr>
        <w:t> </w:t>
      </w:r>
      <w:r>
        <w:rPr>
          <w:sz w:val="24"/>
        </w:rPr>
        <w:t>of</w:t>
      </w:r>
      <w:r>
        <w:rPr>
          <w:spacing w:val="-5"/>
          <w:sz w:val="24"/>
        </w:rPr>
        <w:t> </w:t>
      </w:r>
      <w:r>
        <w:rPr>
          <w:sz w:val="24"/>
        </w:rPr>
        <w:t>social</w:t>
      </w:r>
      <w:r>
        <w:rPr>
          <w:spacing w:val="-2"/>
          <w:sz w:val="24"/>
        </w:rPr>
        <w:t> </w:t>
      </w:r>
      <w:r>
        <w:rPr>
          <w:sz w:val="24"/>
        </w:rPr>
        <w:t>academic Medical/Health Environment) on Students’ welfare services in Universities in three geopolitical zones in Northern</w:t>
      </w:r>
    </w:p>
    <w:p>
      <w:pPr>
        <w:pStyle w:val="BodyText"/>
        <w:tabs>
          <w:tab w:pos="9269" w:val="right" w:leader="none"/>
        </w:tabs>
        <w:spacing w:line="274" w:lineRule="exact"/>
        <w:ind w:left="880"/>
      </w:pPr>
      <w:r>
        <w:rPr/>
        <w:t>part</w:t>
      </w:r>
      <w:r>
        <w:rPr>
          <w:spacing w:val="-5"/>
        </w:rPr>
        <w:t> </w:t>
      </w:r>
      <w:r>
        <w:rPr/>
        <w:t>of</w:t>
      </w:r>
      <w:r>
        <w:rPr>
          <w:spacing w:val="-4"/>
        </w:rPr>
        <w:t> </w:t>
      </w:r>
      <w:r>
        <w:rPr/>
        <w:t>Nigeria</w:t>
      </w:r>
      <w:r>
        <w:rPr>
          <w:spacing w:val="-3"/>
        </w:rPr>
        <w:t> </w:t>
      </w:r>
      <w:r>
        <w:rPr>
          <w:spacing w:val="-2"/>
        </w:rPr>
        <w:t>……………………………………………………………...</w:t>
      </w:r>
      <w:r>
        <w:rPr/>
        <w:tab/>
      </w:r>
      <w:r>
        <w:rPr>
          <w:spacing w:val="-5"/>
        </w:rPr>
        <w:t>194</w:t>
      </w:r>
    </w:p>
    <w:p>
      <w:pPr>
        <w:pStyle w:val="ListParagraph"/>
        <w:numPr>
          <w:ilvl w:val="2"/>
          <w:numId w:val="15"/>
        </w:numPr>
        <w:tabs>
          <w:tab w:pos="877" w:val="left" w:leader="none"/>
          <w:tab w:pos="880" w:val="left" w:leader="none"/>
        </w:tabs>
        <w:spacing w:line="240" w:lineRule="auto" w:before="276" w:after="0"/>
        <w:ind w:left="880" w:right="895" w:hanging="720"/>
        <w:jc w:val="left"/>
        <w:rPr>
          <w:sz w:val="24"/>
        </w:rPr>
      </w:pPr>
      <w:r>
        <w:rPr>
          <w:sz w:val="24"/>
        </w:rPr>
        <w:t>Scheffe’s test on the opinions of respondents with respect to the impact of provision</w:t>
      </w:r>
      <w:r>
        <w:rPr>
          <w:spacing w:val="-4"/>
          <w:sz w:val="24"/>
        </w:rPr>
        <w:t> </w:t>
      </w:r>
      <w:r>
        <w:rPr>
          <w:sz w:val="24"/>
        </w:rPr>
        <w:t>and</w:t>
      </w:r>
      <w:r>
        <w:rPr>
          <w:spacing w:val="-4"/>
          <w:sz w:val="24"/>
        </w:rPr>
        <w:t> </w:t>
      </w:r>
      <w:r>
        <w:rPr>
          <w:sz w:val="24"/>
        </w:rPr>
        <w:t>management</w:t>
      </w:r>
      <w:r>
        <w:rPr>
          <w:spacing w:val="-4"/>
          <w:sz w:val="24"/>
        </w:rPr>
        <w:t> </w:t>
      </w:r>
      <w:r>
        <w:rPr>
          <w:sz w:val="24"/>
        </w:rPr>
        <w:t>of</w:t>
      </w:r>
      <w:r>
        <w:rPr>
          <w:spacing w:val="-5"/>
          <w:sz w:val="24"/>
        </w:rPr>
        <w:t> </w:t>
      </w:r>
      <w:r>
        <w:rPr>
          <w:sz w:val="24"/>
        </w:rPr>
        <w:t>diverse</w:t>
      </w:r>
      <w:r>
        <w:rPr>
          <w:spacing w:val="-4"/>
          <w:sz w:val="24"/>
        </w:rPr>
        <w:t> </w:t>
      </w:r>
      <w:r>
        <w:rPr>
          <w:sz w:val="24"/>
        </w:rPr>
        <w:t>services</w:t>
      </w:r>
      <w:r>
        <w:rPr>
          <w:spacing w:val="-5"/>
          <w:sz w:val="24"/>
        </w:rPr>
        <w:t> </w:t>
      </w:r>
      <w:r>
        <w:rPr>
          <w:sz w:val="24"/>
        </w:rPr>
        <w:t>in</w:t>
      </w:r>
      <w:r>
        <w:rPr>
          <w:spacing w:val="-4"/>
          <w:sz w:val="24"/>
        </w:rPr>
        <w:t> </w:t>
      </w:r>
      <w:r>
        <w:rPr>
          <w:sz w:val="24"/>
        </w:rPr>
        <w:t>terms</w:t>
      </w:r>
      <w:r>
        <w:rPr>
          <w:spacing w:val="-5"/>
          <w:sz w:val="24"/>
        </w:rPr>
        <w:t> </w:t>
      </w:r>
      <w:r>
        <w:rPr>
          <w:sz w:val="24"/>
        </w:rPr>
        <w:t>of</w:t>
      </w:r>
      <w:r>
        <w:rPr>
          <w:spacing w:val="-5"/>
          <w:sz w:val="24"/>
        </w:rPr>
        <w:t> </w:t>
      </w:r>
      <w:r>
        <w:rPr>
          <w:sz w:val="24"/>
        </w:rPr>
        <w:t>social,</w:t>
      </w:r>
      <w:r>
        <w:rPr>
          <w:spacing w:val="-5"/>
          <w:sz w:val="24"/>
        </w:rPr>
        <w:t> </w:t>
      </w:r>
      <w:r>
        <w:rPr>
          <w:sz w:val="24"/>
        </w:rPr>
        <w:t>academic, medical/health and environmental services on students’ welfare services</w:t>
      </w:r>
    </w:p>
    <w:p>
      <w:pPr>
        <w:spacing w:after="0" w:line="240" w:lineRule="auto"/>
        <w:jc w:val="left"/>
        <w:rPr>
          <w:sz w:val="24"/>
        </w:rPr>
        <w:sectPr>
          <w:headerReference w:type="default" r:id="rId24"/>
          <w:footerReference w:type="default" r:id="rId25"/>
          <w:pgSz w:w="12240" w:h="15840"/>
          <w:pgMar w:header="722" w:footer="791" w:top="1060" w:bottom="980" w:left="1280" w:right="1140"/>
        </w:sectPr>
      </w:pPr>
    </w:p>
    <w:p>
      <w:pPr>
        <w:pStyle w:val="BodyText"/>
        <w:spacing w:line="275" w:lineRule="exact" w:before="362"/>
        <w:ind w:left="880"/>
      </w:pPr>
      <w:r>
        <w:rPr/>
        <w:t>in</w:t>
      </w:r>
      <w:r>
        <w:rPr>
          <w:spacing w:val="-6"/>
        </w:rPr>
        <w:t> </w:t>
      </w:r>
      <w:r>
        <w:rPr/>
        <w:t>Universities</w:t>
      </w:r>
      <w:r>
        <w:rPr>
          <w:spacing w:val="-11"/>
        </w:rPr>
        <w:t> </w:t>
      </w:r>
      <w:r>
        <w:rPr/>
        <w:t>in</w:t>
      </w:r>
      <w:r>
        <w:rPr>
          <w:spacing w:val="-5"/>
        </w:rPr>
        <w:t> </w:t>
      </w:r>
      <w:r>
        <w:rPr/>
        <w:t>three</w:t>
      </w:r>
      <w:r>
        <w:rPr>
          <w:spacing w:val="-9"/>
        </w:rPr>
        <w:t> </w:t>
      </w:r>
      <w:r>
        <w:rPr/>
        <w:t>geopolitical</w:t>
      </w:r>
      <w:r>
        <w:rPr>
          <w:spacing w:val="-3"/>
        </w:rPr>
        <w:t> </w:t>
      </w:r>
      <w:r>
        <w:rPr/>
        <w:t>zones</w:t>
      </w:r>
      <w:r>
        <w:rPr>
          <w:spacing w:val="-11"/>
        </w:rPr>
        <w:t> </w:t>
      </w:r>
      <w:r>
        <w:rPr/>
        <w:t>in</w:t>
      </w:r>
      <w:r>
        <w:rPr>
          <w:spacing w:val="-5"/>
        </w:rPr>
        <w:t> </w:t>
      </w:r>
      <w:r>
        <w:rPr>
          <w:spacing w:val="-2"/>
        </w:rPr>
        <w:t>Northern</w:t>
      </w:r>
    </w:p>
    <w:p>
      <w:pPr>
        <w:pStyle w:val="BodyText"/>
        <w:tabs>
          <w:tab w:pos="8934" w:val="left" w:leader="dot"/>
        </w:tabs>
        <w:spacing w:line="275" w:lineRule="exact"/>
        <w:ind w:left="880"/>
      </w:pPr>
      <w:r>
        <w:rPr/>
        <w:t>part</w:t>
      </w:r>
      <w:r>
        <w:rPr>
          <w:spacing w:val="-2"/>
        </w:rPr>
        <w:t> </w:t>
      </w:r>
      <w:r>
        <w:rPr/>
        <w:t>of</w:t>
      </w:r>
      <w:r>
        <w:rPr>
          <w:spacing w:val="-1"/>
        </w:rPr>
        <w:t> </w:t>
      </w:r>
      <w:r>
        <w:rPr>
          <w:spacing w:val="-2"/>
        </w:rPr>
        <w:t>Nigeria</w:t>
      </w:r>
      <w:r>
        <w:rPr/>
        <w:tab/>
      </w:r>
      <w:r>
        <w:rPr>
          <w:spacing w:val="-5"/>
        </w:rPr>
        <w:t>195</w:t>
      </w:r>
    </w:p>
    <w:p>
      <w:pPr>
        <w:pStyle w:val="ListParagraph"/>
        <w:numPr>
          <w:ilvl w:val="2"/>
          <w:numId w:val="15"/>
        </w:numPr>
        <w:tabs>
          <w:tab w:pos="877" w:val="left" w:leader="none"/>
          <w:tab w:pos="880" w:val="left" w:leader="none"/>
        </w:tabs>
        <w:spacing w:line="242" w:lineRule="auto" w:before="276" w:after="0"/>
        <w:ind w:left="880" w:right="1703" w:hanging="720"/>
        <w:jc w:val="left"/>
        <w:rPr>
          <w:sz w:val="24"/>
        </w:rPr>
      </w:pPr>
      <w:r>
        <w:rPr>
          <w:sz w:val="24"/>
        </w:rPr>
        <w:t>Analysis</w:t>
      </w:r>
      <w:r>
        <w:rPr>
          <w:spacing w:val="-3"/>
          <w:sz w:val="24"/>
        </w:rPr>
        <w:t> </w:t>
      </w:r>
      <w:r>
        <w:rPr>
          <w:sz w:val="24"/>
        </w:rPr>
        <w:t>of</w:t>
      </w:r>
      <w:r>
        <w:rPr>
          <w:spacing w:val="-3"/>
          <w:sz w:val="24"/>
        </w:rPr>
        <w:t> </w:t>
      </w:r>
      <w:r>
        <w:rPr>
          <w:sz w:val="24"/>
        </w:rPr>
        <w:t>Variance</w:t>
      </w:r>
      <w:r>
        <w:rPr>
          <w:spacing w:val="-6"/>
          <w:sz w:val="24"/>
        </w:rPr>
        <w:t> </w:t>
      </w:r>
      <w:r>
        <w:rPr>
          <w:sz w:val="24"/>
        </w:rPr>
        <w:t>(ANOVA)</w:t>
      </w:r>
      <w:r>
        <w:rPr>
          <w:spacing w:val="-1"/>
          <w:sz w:val="24"/>
        </w:rPr>
        <w:t> </w:t>
      </w:r>
      <w:r>
        <w:rPr>
          <w:sz w:val="24"/>
        </w:rPr>
        <w:t>on</w:t>
      </w:r>
      <w:r>
        <w:rPr>
          <w:spacing w:val="-2"/>
          <w:sz w:val="24"/>
        </w:rPr>
        <w:t> </w:t>
      </w:r>
      <w:r>
        <w:rPr>
          <w:sz w:val="24"/>
        </w:rPr>
        <w:t>the</w:t>
      </w:r>
      <w:r>
        <w:rPr>
          <w:spacing w:val="-6"/>
          <w:sz w:val="24"/>
        </w:rPr>
        <w:t> </w:t>
      </w:r>
      <w:r>
        <w:rPr>
          <w:sz w:val="24"/>
        </w:rPr>
        <w:t>impact</w:t>
      </w:r>
      <w:r>
        <w:rPr>
          <w:spacing w:val="-3"/>
          <w:sz w:val="24"/>
        </w:rPr>
        <w:t> </w:t>
      </w:r>
      <w:r>
        <w:rPr>
          <w:sz w:val="24"/>
        </w:rPr>
        <w:t>of</w:t>
      </w:r>
      <w:r>
        <w:rPr>
          <w:spacing w:val="-3"/>
          <w:sz w:val="24"/>
        </w:rPr>
        <w:t> </w:t>
      </w:r>
      <w:r>
        <w:rPr>
          <w:sz w:val="24"/>
        </w:rPr>
        <w:t>feeding</w:t>
      </w:r>
      <w:r>
        <w:rPr>
          <w:spacing w:val="-6"/>
          <w:sz w:val="24"/>
        </w:rPr>
        <w:t> </w:t>
      </w:r>
      <w:r>
        <w:rPr>
          <w:sz w:val="24"/>
        </w:rPr>
        <w:t>on</w:t>
      </w:r>
      <w:r>
        <w:rPr>
          <w:spacing w:val="-2"/>
          <w:sz w:val="24"/>
        </w:rPr>
        <w:t> </w:t>
      </w:r>
      <w:r>
        <w:rPr>
          <w:sz w:val="24"/>
        </w:rPr>
        <w:t>students’ welfare services in Universities in three geopolitical zones</w:t>
      </w:r>
    </w:p>
    <w:p>
      <w:pPr>
        <w:pStyle w:val="BodyText"/>
        <w:tabs>
          <w:tab w:pos="8934" w:val="left" w:leader="none"/>
        </w:tabs>
        <w:spacing w:line="271" w:lineRule="exact"/>
        <w:ind w:left="880"/>
      </w:pPr>
      <w:r>
        <w:rPr/>
        <w:t>in</w:t>
      </w:r>
      <w:r>
        <w:rPr>
          <w:spacing w:val="-6"/>
        </w:rPr>
        <w:t> </w:t>
      </w:r>
      <w:r>
        <w:rPr/>
        <w:t>Northern</w:t>
      </w:r>
      <w:r>
        <w:rPr>
          <w:spacing w:val="-5"/>
        </w:rPr>
        <w:t> </w:t>
      </w:r>
      <w:r>
        <w:rPr/>
        <w:t>part</w:t>
      </w:r>
      <w:r>
        <w:rPr>
          <w:spacing w:val="-6"/>
        </w:rPr>
        <w:t> </w:t>
      </w:r>
      <w:r>
        <w:rPr/>
        <w:t>of</w:t>
      </w:r>
      <w:r>
        <w:rPr>
          <w:spacing w:val="-6"/>
        </w:rPr>
        <w:t> </w:t>
      </w:r>
      <w:r>
        <w:rPr/>
        <w:t>Nigeria</w:t>
      </w:r>
      <w:r>
        <w:rPr>
          <w:spacing w:val="-5"/>
        </w:rPr>
        <w:t> </w:t>
      </w:r>
      <w:r>
        <w:rPr>
          <w:spacing w:val="-2"/>
        </w:rPr>
        <w:t>………………………………………………….</w:t>
      </w:r>
      <w:r>
        <w:rPr/>
        <w:tab/>
      </w:r>
      <w:r>
        <w:rPr>
          <w:spacing w:val="-5"/>
        </w:rPr>
        <w:t>197</w:t>
      </w:r>
    </w:p>
    <w:p>
      <w:pPr>
        <w:pStyle w:val="ListParagraph"/>
        <w:numPr>
          <w:ilvl w:val="2"/>
          <w:numId w:val="15"/>
        </w:numPr>
        <w:tabs>
          <w:tab w:pos="877" w:val="left" w:leader="none"/>
          <w:tab w:pos="880" w:val="left" w:leader="none"/>
        </w:tabs>
        <w:spacing w:line="240" w:lineRule="auto" w:before="276" w:after="0"/>
        <w:ind w:left="880" w:right="1242" w:hanging="720"/>
        <w:jc w:val="left"/>
        <w:rPr>
          <w:sz w:val="24"/>
        </w:rPr>
      </w:pPr>
      <w:r>
        <w:rPr>
          <w:sz w:val="24"/>
        </w:rPr>
        <w:t>Scheffe’s</w:t>
      </w:r>
      <w:r>
        <w:rPr>
          <w:spacing w:val="-3"/>
          <w:sz w:val="24"/>
        </w:rPr>
        <w:t> </w:t>
      </w:r>
      <w:r>
        <w:rPr>
          <w:sz w:val="24"/>
        </w:rPr>
        <w:t>test</w:t>
      </w:r>
      <w:r>
        <w:rPr>
          <w:spacing w:val="-3"/>
          <w:sz w:val="24"/>
        </w:rPr>
        <w:t> </w:t>
      </w:r>
      <w:r>
        <w:rPr>
          <w:sz w:val="24"/>
        </w:rPr>
        <w:t>on</w:t>
      </w:r>
      <w:r>
        <w:rPr>
          <w:spacing w:val="-6"/>
          <w:sz w:val="24"/>
        </w:rPr>
        <w:t> </w:t>
      </w:r>
      <w:r>
        <w:rPr>
          <w:sz w:val="24"/>
        </w:rPr>
        <w:t>the</w:t>
      </w:r>
      <w:r>
        <w:rPr>
          <w:spacing w:val="-3"/>
          <w:sz w:val="24"/>
        </w:rPr>
        <w:t> </w:t>
      </w:r>
      <w:r>
        <w:rPr>
          <w:sz w:val="24"/>
        </w:rPr>
        <w:t>opinions</w:t>
      </w:r>
      <w:r>
        <w:rPr>
          <w:spacing w:val="-3"/>
          <w:sz w:val="24"/>
        </w:rPr>
        <w:t> </w:t>
      </w:r>
      <w:r>
        <w:rPr>
          <w:sz w:val="24"/>
        </w:rPr>
        <w:t>of</w:t>
      </w:r>
      <w:r>
        <w:rPr>
          <w:spacing w:val="-3"/>
          <w:sz w:val="24"/>
        </w:rPr>
        <w:t> </w:t>
      </w:r>
      <w:r>
        <w:rPr>
          <w:sz w:val="24"/>
        </w:rPr>
        <w:t>service</w:t>
      </w:r>
      <w:r>
        <w:rPr>
          <w:spacing w:val="-3"/>
          <w:sz w:val="24"/>
        </w:rPr>
        <w:t> </w:t>
      </w:r>
      <w:r>
        <w:rPr>
          <w:sz w:val="24"/>
        </w:rPr>
        <w:t>staff</w:t>
      </w:r>
      <w:r>
        <w:rPr>
          <w:spacing w:val="-7"/>
          <w:sz w:val="24"/>
        </w:rPr>
        <w:t> </w:t>
      </w:r>
      <w:r>
        <w:rPr>
          <w:sz w:val="24"/>
        </w:rPr>
        <w:t>and</w:t>
      </w:r>
      <w:r>
        <w:rPr>
          <w:spacing w:val="-3"/>
          <w:sz w:val="24"/>
        </w:rPr>
        <w:t> </w:t>
      </w:r>
      <w:r>
        <w:rPr>
          <w:sz w:val="24"/>
        </w:rPr>
        <w:t>management</w:t>
      </w:r>
      <w:r>
        <w:rPr>
          <w:spacing w:val="-3"/>
          <w:sz w:val="24"/>
        </w:rPr>
        <w:t> </w:t>
      </w:r>
      <w:r>
        <w:rPr>
          <w:sz w:val="24"/>
        </w:rPr>
        <w:t>staff</w:t>
      </w:r>
      <w:r>
        <w:rPr>
          <w:spacing w:val="-3"/>
          <w:sz w:val="24"/>
        </w:rPr>
        <w:t> </w:t>
      </w:r>
      <w:r>
        <w:rPr>
          <w:sz w:val="24"/>
        </w:rPr>
        <w:t>with respect to the impact of feeding on students’ welfare services in Universities in three geopolitical zones in Northern</w:t>
      </w:r>
    </w:p>
    <w:p>
      <w:pPr>
        <w:pStyle w:val="BodyText"/>
        <w:tabs>
          <w:tab w:pos="8934" w:val="left" w:leader="none"/>
        </w:tabs>
        <w:spacing w:before="3"/>
        <w:ind w:left="880"/>
      </w:pPr>
      <w:r>
        <w:rPr/>
        <w:t>part</w:t>
      </w:r>
      <w:r>
        <w:rPr>
          <w:spacing w:val="-5"/>
        </w:rPr>
        <w:t> </w:t>
      </w:r>
      <w:r>
        <w:rPr/>
        <w:t>of</w:t>
      </w:r>
      <w:r>
        <w:rPr>
          <w:spacing w:val="-4"/>
        </w:rPr>
        <w:t> </w:t>
      </w:r>
      <w:r>
        <w:rPr/>
        <w:t>Nigeria</w:t>
      </w:r>
      <w:r>
        <w:rPr>
          <w:spacing w:val="-3"/>
        </w:rPr>
        <w:t> </w:t>
      </w:r>
      <w:r>
        <w:rPr>
          <w:spacing w:val="-2"/>
        </w:rPr>
        <w:t>……………..………………………………………………….</w:t>
      </w:r>
      <w:r>
        <w:rPr/>
        <w:tab/>
      </w:r>
      <w:r>
        <w:rPr>
          <w:spacing w:val="-5"/>
        </w:rPr>
        <w:t>198</w:t>
      </w:r>
    </w:p>
    <w:p>
      <w:pPr>
        <w:pStyle w:val="ListParagraph"/>
        <w:numPr>
          <w:ilvl w:val="2"/>
          <w:numId w:val="15"/>
        </w:numPr>
        <w:tabs>
          <w:tab w:pos="877" w:val="left" w:leader="none"/>
          <w:tab w:pos="880" w:val="left" w:leader="none"/>
        </w:tabs>
        <w:spacing w:line="237" w:lineRule="auto" w:before="278" w:after="0"/>
        <w:ind w:left="880" w:right="1123" w:hanging="720"/>
        <w:jc w:val="left"/>
        <w:rPr>
          <w:sz w:val="24"/>
        </w:rPr>
      </w:pPr>
      <w:r>
        <w:rPr>
          <w:sz w:val="24"/>
        </w:rPr>
        <w:t>Analysis</w:t>
      </w:r>
      <w:r>
        <w:rPr>
          <w:spacing w:val="-4"/>
          <w:sz w:val="24"/>
        </w:rPr>
        <w:t> </w:t>
      </w:r>
      <w:r>
        <w:rPr>
          <w:sz w:val="24"/>
        </w:rPr>
        <w:t>of</w:t>
      </w:r>
      <w:r>
        <w:rPr>
          <w:spacing w:val="-4"/>
          <w:sz w:val="24"/>
        </w:rPr>
        <w:t> </w:t>
      </w:r>
      <w:r>
        <w:rPr>
          <w:sz w:val="24"/>
        </w:rPr>
        <w:t>Variance</w:t>
      </w:r>
      <w:r>
        <w:rPr>
          <w:spacing w:val="-7"/>
          <w:sz w:val="24"/>
        </w:rPr>
        <w:t> </w:t>
      </w:r>
      <w:r>
        <w:rPr>
          <w:sz w:val="24"/>
        </w:rPr>
        <w:t>(ANOVA)</w:t>
      </w:r>
      <w:r>
        <w:rPr>
          <w:spacing w:val="-2"/>
          <w:sz w:val="24"/>
        </w:rPr>
        <w:t> </w:t>
      </w:r>
      <w:r>
        <w:rPr>
          <w:sz w:val="24"/>
        </w:rPr>
        <w:t>on</w:t>
      </w:r>
      <w:r>
        <w:rPr>
          <w:spacing w:val="-3"/>
          <w:sz w:val="24"/>
        </w:rPr>
        <w:t> </w:t>
      </w:r>
      <w:r>
        <w:rPr>
          <w:sz w:val="24"/>
        </w:rPr>
        <w:t>the</w:t>
      </w:r>
      <w:r>
        <w:rPr>
          <w:spacing w:val="-7"/>
          <w:sz w:val="24"/>
        </w:rPr>
        <w:t> </w:t>
      </w:r>
      <w:r>
        <w:rPr>
          <w:sz w:val="24"/>
        </w:rPr>
        <w:t>impact</w:t>
      </w:r>
      <w:r>
        <w:rPr>
          <w:spacing w:val="-4"/>
          <w:sz w:val="24"/>
        </w:rPr>
        <w:t> </w:t>
      </w:r>
      <w:r>
        <w:rPr>
          <w:sz w:val="24"/>
        </w:rPr>
        <w:t>of</w:t>
      </w:r>
      <w:r>
        <w:rPr>
          <w:spacing w:val="-4"/>
          <w:sz w:val="24"/>
        </w:rPr>
        <w:t> </w:t>
      </w:r>
      <w:r>
        <w:rPr>
          <w:sz w:val="24"/>
        </w:rPr>
        <w:t>hostel accommodation</w:t>
      </w:r>
      <w:r>
        <w:rPr>
          <w:spacing w:val="-7"/>
          <w:sz w:val="24"/>
        </w:rPr>
        <w:t> </w:t>
      </w:r>
      <w:r>
        <w:rPr>
          <w:sz w:val="24"/>
        </w:rPr>
        <w:t>on students’ welfare services in Universities in three geopolitical</w:t>
      </w:r>
    </w:p>
    <w:p>
      <w:pPr>
        <w:pStyle w:val="BodyText"/>
        <w:tabs>
          <w:tab w:pos="8934" w:val="left" w:leader="none"/>
        </w:tabs>
        <w:spacing w:before="3"/>
        <w:ind w:left="880"/>
      </w:pPr>
      <w:r>
        <w:rPr/>
        <w:t>zones</w:t>
      </w:r>
      <w:r>
        <w:rPr>
          <w:spacing w:val="-9"/>
        </w:rPr>
        <w:t> </w:t>
      </w:r>
      <w:r>
        <w:rPr/>
        <w:t>in</w:t>
      </w:r>
      <w:r>
        <w:rPr>
          <w:spacing w:val="-4"/>
        </w:rPr>
        <w:t> </w:t>
      </w:r>
      <w:r>
        <w:rPr/>
        <w:t>Northern</w:t>
      </w:r>
      <w:r>
        <w:rPr>
          <w:spacing w:val="-7"/>
        </w:rPr>
        <w:t> </w:t>
      </w:r>
      <w:r>
        <w:rPr/>
        <w:t>part</w:t>
      </w:r>
      <w:r>
        <w:rPr>
          <w:spacing w:val="-8"/>
        </w:rPr>
        <w:t> </w:t>
      </w:r>
      <w:r>
        <w:rPr/>
        <w:t>of</w:t>
      </w:r>
      <w:r>
        <w:rPr>
          <w:spacing w:val="-4"/>
        </w:rPr>
        <w:t> </w:t>
      </w:r>
      <w:r>
        <w:rPr/>
        <w:t>Nigeria</w:t>
      </w:r>
      <w:r>
        <w:rPr>
          <w:spacing w:val="-4"/>
        </w:rPr>
        <w:t> </w:t>
      </w:r>
      <w:r>
        <w:rPr>
          <w:spacing w:val="-2"/>
        </w:rPr>
        <w:t>…………………………………….....</w:t>
      </w:r>
      <w:r>
        <w:rPr/>
        <w:tab/>
      </w:r>
      <w:r>
        <w:rPr>
          <w:spacing w:val="-5"/>
        </w:rPr>
        <w:t>200</w:t>
      </w:r>
    </w:p>
    <w:p>
      <w:pPr>
        <w:pStyle w:val="ListParagraph"/>
        <w:numPr>
          <w:ilvl w:val="2"/>
          <w:numId w:val="15"/>
        </w:numPr>
        <w:tabs>
          <w:tab w:pos="877" w:val="left" w:leader="none"/>
          <w:tab w:pos="880" w:val="left" w:leader="none"/>
        </w:tabs>
        <w:spacing w:line="237" w:lineRule="auto" w:before="279" w:after="0"/>
        <w:ind w:left="880" w:right="767" w:hanging="720"/>
        <w:jc w:val="left"/>
        <w:rPr>
          <w:sz w:val="24"/>
        </w:rPr>
      </w:pPr>
      <w:r>
        <w:rPr>
          <w:sz w:val="24"/>
        </w:rPr>
        <w:t>Scheffe’s</w:t>
      </w:r>
      <w:r>
        <w:rPr>
          <w:spacing w:val="-4"/>
          <w:sz w:val="24"/>
        </w:rPr>
        <w:t> </w:t>
      </w:r>
      <w:r>
        <w:rPr>
          <w:sz w:val="24"/>
        </w:rPr>
        <w:t>test</w:t>
      </w:r>
      <w:r>
        <w:rPr>
          <w:spacing w:val="-4"/>
          <w:sz w:val="24"/>
        </w:rPr>
        <w:t> </w:t>
      </w:r>
      <w:r>
        <w:rPr>
          <w:sz w:val="24"/>
        </w:rPr>
        <w:t>on</w:t>
      </w:r>
      <w:r>
        <w:rPr>
          <w:spacing w:val="-7"/>
          <w:sz w:val="24"/>
        </w:rPr>
        <w:t> </w:t>
      </w:r>
      <w:r>
        <w:rPr>
          <w:sz w:val="24"/>
        </w:rPr>
        <w:t>the</w:t>
      </w:r>
      <w:r>
        <w:rPr>
          <w:spacing w:val="-3"/>
          <w:sz w:val="24"/>
        </w:rPr>
        <w:t> </w:t>
      </w:r>
      <w:r>
        <w:rPr>
          <w:sz w:val="24"/>
        </w:rPr>
        <w:t>opinions</w:t>
      </w:r>
      <w:r>
        <w:rPr>
          <w:spacing w:val="-4"/>
          <w:sz w:val="24"/>
        </w:rPr>
        <w:t> </w:t>
      </w:r>
      <w:r>
        <w:rPr>
          <w:sz w:val="24"/>
        </w:rPr>
        <w:t>of</w:t>
      </w:r>
      <w:r>
        <w:rPr>
          <w:spacing w:val="-4"/>
          <w:sz w:val="24"/>
        </w:rPr>
        <w:t> </w:t>
      </w:r>
      <w:r>
        <w:rPr>
          <w:sz w:val="24"/>
        </w:rPr>
        <w:t>students’,</w:t>
      </w:r>
      <w:r>
        <w:rPr>
          <w:spacing w:val="-8"/>
          <w:sz w:val="24"/>
        </w:rPr>
        <w:t> </w:t>
      </w:r>
      <w:r>
        <w:rPr>
          <w:sz w:val="24"/>
        </w:rPr>
        <w:t>service</w:t>
      </w:r>
      <w:r>
        <w:rPr>
          <w:spacing w:val="-3"/>
          <w:sz w:val="24"/>
        </w:rPr>
        <w:t> </w:t>
      </w:r>
      <w:r>
        <w:rPr>
          <w:sz w:val="24"/>
        </w:rPr>
        <w:t>staff</w:t>
      </w:r>
      <w:r>
        <w:rPr>
          <w:spacing w:val="-4"/>
          <w:sz w:val="24"/>
        </w:rPr>
        <w:t> </w:t>
      </w:r>
      <w:r>
        <w:rPr>
          <w:sz w:val="24"/>
        </w:rPr>
        <w:t>and</w:t>
      </w:r>
      <w:r>
        <w:rPr>
          <w:spacing w:val="-7"/>
          <w:sz w:val="24"/>
        </w:rPr>
        <w:t> </w:t>
      </w:r>
      <w:r>
        <w:rPr>
          <w:sz w:val="24"/>
        </w:rPr>
        <w:t>top</w:t>
      </w:r>
      <w:r>
        <w:rPr>
          <w:spacing w:val="-3"/>
          <w:sz w:val="24"/>
        </w:rPr>
        <w:t> </w:t>
      </w:r>
      <w:r>
        <w:rPr>
          <w:sz w:val="24"/>
        </w:rPr>
        <w:t>management on the impact of hostel accommodation on students’ welfare services</w:t>
      </w:r>
    </w:p>
    <w:p>
      <w:pPr>
        <w:pStyle w:val="BodyText"/>
        <w:spacing w:line="275" w:lineRule="exact" w:before="3"/>
        <w:ind w:left="880"/>
      </w:pPr>
      <w:r>
        <w:rPr/>
        <w:t>in</w:t>
      </w:r>
      <w:r>
        <w:rPr>
          <w:spacing w:val="-7"/>
        </w:rPr>
        <w:t> </w:t>
      </w:r>
      <w:r>
        <w:rPr/>
        <w:t>Universities</w:t>
      </w:r>
      <w:r>
        <w:rPr>
          <w:spacing w:val="-11"/>
        </w:rPr>
        <w:t> </w:t>
      </w:r>
      <w:r>
        <w:rPr/>
        <w:t>in</w:t>
      </w:r>
      <w:r>
        <w:rPr>
          <w:spacing w:val="-7"/>
        </w:rPr>
        <w:t> </w:t>
      </w:r>
      <w:r>
        <w:rPr/>
        <w:t>three</w:t>
      </w:r>
      <w:r>
        <w:rPr>
          <w:spacing w:val="-10"/>
        </w:rPr>
        <w:t> </w:t>
      </w:r>
      <w:r>
        <w:rPr/>
        <w:t>geopolitical</w:t>
      </w:r>
      <w:r>
        <w:rPr>
          <w:spacing w:val="-3"/>
        </w:rPr>
        <w:t> </w:t>
      </w:r>
      <w:r>
        <w:rPr/>
        <w:t>zones</w:t>
      </w:r>
      <w:r>
        <w:rPr>
          <w:spacing w:val="-12"/>
        </w:rPr>
        <w:t> </w:t>
      </w:r>
      <w:r>
        <w:rPr/>
        <w:t>in</w:t>
      </w:r>
      <w:r>
        <w:rPr>
          <w:spacing w:val="-6"/>
        </w:rPr>
        <w:t> </w:t>
      </w:r>
      <w:r>
        <w:rPr/>
        <w:t>Northern</w:t>
      </w:r>
      <w:r>
        <w:rPr>
          <w:spacing w:val="-7"/>
        </w:rPr>
        <w:t> </w:t>
      </w:r>
      <w:r>
        <w:rPr>
          <w:spacing w:val="-4"/>
        </w:rPr>
        <w:t>part</w:t>
      </w:r>
    </w:p>
    <w:p>
      <w:pPr>
        <w:pStyle w:val="BodyText"/>
        <w:tabs>
          <w:tab w:pos="8934" w:val="left" w:leader="none"/>
        </w:tabs>
        <w:spacing w:line="275" w:lineRule="exact"/>
        <w:ind w:left="880"/>
      </w:pPr>
      <w:r>
        <w:rPr/>
        <w:t>of</w:t>
      </w:r>
      <w:r>
        <w:rPr>
          <w:spacing w:val="-4"/>
        </w:rPr>
        <w:t> </w:t>
      </w:r>
      <w:r>
        <w:rPr/>
        <w:t>Nigeria</w:t>
      </w:r>
      <w:r>
        <w:rPr>
          <w:spacing w:val="-3"/>
        </w:rPr>
        <w:t> </w:t>
      </w:r>
      <w:r>
        <w:rPr>
          <w:spacing w:val="-2"/>
        </w:rPr>
        <w:t>…………………….…………………………………………………</w:t>
      </w:r>
      <w:r>
        <w:rPr/>
        <w:tab/>
      </w:r>
      <w:r>
        <w:rPr>
          <w:spacing w:val="-5"/>
        </w:rPr>
        <w:t>200</w:t>
      </w:r>
    </w:p>
    <w:p>
      <w:pPr>
        <w:pStyle w:val="ListParagraph"/>
        <w:numPr>
          <w:ilvl w:val="2"/>
          <w:numId w:val="15"/>
        </w:numPr>
        <w:tabs>
          <w:tab w:pos="877" w:val="left" w:leader="none"/>
          <w:tab w:pos="880" w:val="left" w:leader="none"/>
        </w:tabs>
        <w:spacing w:line="242" w:lineRule="auto" w:before="276" w:after="0"/>
        <w:ind w:left="880" w:right="1145" w:hanging="720"/>
        <w:jc w:val="left"/>
        <w:rPr>
          <w:sz w:val="24"/>
        </w:rPr>
      </w:pPr>
      <w:r>
        <w:rPr>
          <w:sz w:val="24"/>
        </w:rPr>
        <w:t>Analysis</w:t>
      </w:r>
      <w:r>
        <w:rPr>
          <w:spacing w:val="-3"/>
          <w:sz w:val="24"/>
        </w:rPr>
        <w:t> </w:t>
      </w:r>
      <w:r>
        <w:rPr>
          <w:sz w:val="24"/>
        </w:rPr>
        <w:t>of</w:t>
      </w:r>
      <w:r>
        <w:rPr>
          <w:spacing w:val="-3"/>
          <w:sz w:val="24"/>
        </w:rPr>
        <w:t> </w:t>
      </w:r>
      <w:r>
        <w:rPr>
          <w:sz w:val="24"/>
        </w:rPr>
        <w:t>Variance</w:t>
      </w:r>
      <w:r>
        <w:rPr>
          <w:spacing w:val="-6"/>
          <w:sz w:val="24"/>
        </w:rPr>
        <w:t> </w:t>
      </w:r>
      <w:r>
        <w:rPr>
          <w:sz w:val="24"/>
        </w:rPr>
        <w:t>(ANOVA)</w:t>
      </w:r>
      <w:r>
        <w:rPr>
          <w:spacing w:val="-1"/>
          <w:sz w:val="24"/>
        </w:rPr>
        <w:t> </w:t>
      </w:r>
      <w:r>
        <w:rPr>
          <w:sz w:val="24"/>
        </w:rPr>
        <w:t>on</w:t>
      </w:r>
      <w:r>
        <w:rPr>
          <w:spacing w:val="-2"/>
          <w:sz w:val="24"/>
        </w:rPr>
        <w:t> </w:t>
      </w:r>
      <w:r>
        <w:rPr>
          <w:sz w:val="24"/>
        </w:rPr>
        <w:t>the</w:t>
      </w:r>
      <w:r>
        <w:rPr>
          <w:spacing w:val="-6"/>
          <w:sz w:val="24"/>
        </w:rPr>
        <w:t> </w:t>
      </w:r>
      <w:r>
        <w:rPr>
          <w:sz w:val="24"/>
        </w:rPr>
        <w:t>impact</w:t>
      </w:r>
      <w:r>
        <w:rPr>
          <w:spacing w:val="-3"/>
          <w:sz w:val="24"/>
        </w:rPr>
        <w:t> </w:t>
      </w:r>
      <w:r>
        <w:rPr>
          <w:sz w:val="24"/>
        </w:rPr>
        <w:t>of</w:t>
      </w:r>
      <w:r>
        <w:rPr>
          <w:spacing w:val="-3"/>
          <w:sz w:val="24"/>
        </w:rPr>
        <w:t> </w:t>
      </w:r>
      <w:r>
        <w:rPr>
          <w:sz w:val="24"/>
        </w:rPr>
        <w:t>guidance</w:t>
      </w:r>
      <w:r>
        <w:rPr>
          <w:spacing w:val="-6"/>
          <w:sz w:val="24"/>
        </w:rPr>
        <w:t> </w:t>
      </w:r>
      <w:r>
        <w:rPr>
          <w:sz w:val="24"/>
        </w:rPr>
        <w:t>and</w:t>
      </w:r>
      <w:r>
        <w:rPr>
          <w:spacing w:val="-2"/>
          <w:sz w:val="24"/>
        </w:rPr>
        <w:t> </w:t>
      </w:r>
      <w:r>
        <w:rPr>
          <w:sz w:val="24"/>
        </w:rPr>
        <w:t>counselling services on students’ welfare in Universities in three geopolitical</w:t>
      </w:r>
    </w:p>
    <w:p>
      <w:pPr>
        <w:pStyle w:val="BodyText"/>
        <w:tabs>
          <w:tab w:pos="8934" w:val="left" w:leader="none"/>
        </w:tabs>
        <w:spacing w:line="271" w:lineRule="exact"/>
        <w:ind w:left="880"/>
      </w:pPr>
      <w:r>
        <w:rPr/>
        <w:t>zones</w:t>
      </w:r>
      <w:r>
        <w:rPr>
          <w:spacing w:val="-9"/>
        </w:rPr>
        <w:t> </w:t>
      </w:r>
      <w:r>
        <w:rPr/>
        <w:t>in</w:t>
      </w:r>
      <w:r>
        <w:rPr>
          <w:spacing w:val="-4"/>
        </w:rPr>
        <w:t> </w:t>
      </w:r>
      <w:r>
        <w:rPr/>
        <w:t>Northern</w:t>
      </w:r>
      <w:r>
        <w:rPr>
          <w:spacing w:val="-7"/>
        </w:rPr>
        <w:t> </w:t>
      </w:r>
      <w:r>
        <w:rPr/>
        <w:t>part</w:t>
      </w:r>
      <w:r>
        <w:rPr>
          <w:spacing w:val="-8"/>
        </w:rPr>
        <w:t> </w:t>
      </w:r>
      <w:r>
        <w:rPr/>
        <w:t>of</w:t>
      </w:r>
      <w:r>
        <w:rPr>
          <w:spacing w:val="-4"/>
        </w:rPr>
        <w:t> </w:t>
      </w:r>
      <w:r>
        <w:rPr/>
        <w:t>Nigeria</w:t>
      </w:r>
      <w:r>
        <w:rPr>
          <w:spacing w:val="-4"/>
        </w:rPr>
        <w:t> </w:t>
      </w:r>
      <w:r>
        <w:rPr>
          <w:spacing w:val="-2"/>
        </w:rPr>
        <w:t>……………………………………….</w:t>
      </w:r>
      <w:r>
        <w:rPr/>
        <w:tab/>
      </w:r>
      <w:r>
        <w:rPr>
          <w:spacing w:val="-5"/>
        </w:rPr>
        <w:t>202</w:t>
      </w:r>
    </w:p>
    <w:p>
      <w:pPr>
        <w:pStyle w:val="ListParagraph"/>
        <w:numPr>
          <w:ilvl w:val="2"/>
          <w:numId w:val="15"/>
        </w:numPr>
        <w:tabs>
          <w:tab w:pos="877" w:val="left" w:leader="none"/>
          <w:tab w:pos="1600" w:val="left" w:leader="none"/>
          <w:tab w:pos="8934" w:val="left" w:leader="dot"/>
        </w:tabs>
        <w:spacing w:line="242" w:lineRule="auto" w:before="276" w:after="0"/>
        <w:ind w:left="1600" w:right="481" w:hanging="1440"/>
        <w:jc w:val="left"/>
        <w:rPr>
          <w:sz w:val="24"/>
        </w:rPr>
      </w:pPr>
      <w:r>
        <w:rPr>
          <w:sz w:val="24"/>
        </w:rPr>
        <w:t>Analysis of Variance (ANOVA) on the impact of sports and recreation on students’ welfare in Universities</w:t>
      </w:r>
      <w:r>
        <w:rPr>
          <w:sz w:val="24"/>
        </w:rPr>
        <w:tab/>
      </w:r>
      <w:r>
        <w:rPr>
          <w:spacing w:val="-4"/>
          <w:sz w:val="24"/>
        </w:rPr>
        <w:t>203</w:t>
      </w:r>
    </w:p>
    <w:p>
      <w:pPr>
        <w:pStyle w:val="ListParagraph"/>
        <w:numPr>
          <w:ilvl w:val="2"/>
          <w:numId w:val="15"/>
        </w:numPr>
        <w:tabs>
          <w:tab w:pos="877" w:val="left" w:leader="none"/>
        </w:tabs>
        <w:spacing w:line="275" w:lineRule="exact" w:before="273" w:after="0"/>
        <w:ind w:left="877" w:right="0" w:hanging="717"/>
        <w:jc w:val="left"/>
        <w:rPr>
          <w:sz w:val="24"/>
        </w:rPr>
      </w:pPr>
      <w:r>
        <w:rPr>
          <w:sz w:val="24"/>
        </w:rPr>
        <w:t>Analysis</w:t>
      </w:r>
      <w:r>
        <w:rPr>
          <w:spacing w:val="-7"/>
          <w:sz w:val="24"/>
        </w:rPr>
        <w:t> </w:t>
      </w:r>
      <w:r>
        <w:rPr>
          <w:sz w:val="24"/>
        </w:rPr>
        <w:t>of</w:t>
      </w:r>
      <w:r>
        <w:rPr>
          <w:spacing w:val="-6"/>
          <w:sz w:val="24"/>
        </w:rPr>
        <w:t> </w:t>
      </w:r>
      <w:r>
        <w:rPr>
          <w:sz w:val="24"/>
        </w:rPr>
        <w:t>Variance</w:t>
      </w:r>
      <w:r>
        <w:rPr>
          <w:spacing w:val="-9"/>
          <w:sz w:val="24"/>
        </w:rPr>
        <w:t> </w:t>
      </w:r>
      <w:r>
        <w:rPr>
          <w:sz w:val="24"/>
        </w:rPr>
        <w:t>(ANOVA)</w:t>
      </w:r>
      <w:r>
        <w:rPr>
          <w:spacing w:val="-5"/>
          <w:sz w:val="24"/>
        </w:rPr>
        <w:t> </w:t>
      </w:r>
      <w:r>
        <w:rPr>
          <w:sz w:val="24"/>
        </w:rPr>
        <w:t>on</w:t>
      </w:r>
      <w:r>
        <w:rPr>
          <w:spacing w:val="-5"/>
          <w:sz w:val="24"/>
        </w:rPr>
        <w:t> </w:t>
      </w:r>
      <w:r>
        <w:rPr>
          <w:sz w:val="24"/>
        </w:rPr>
        <w:t>the</w:t>
      </w:r>
      <w:r>
        <w:rPr>
          <w:spacing w:val="-9"/>
          <w:sz w:val="24"/>
        </w:rPr>
        <w:t> </w:t>
      </w:r>
      <w:r>
        <w:rPr>
          <w:sz w:val="24"/>
        </w:rPr>
        <w:t>impact</w:t>
      </w:r>
      <w:r>
        <w:rPr>
          <w:spacing w:val="-7"/>
          <w:sz w:val="24"/>
        </w:rPr>
        <w:t> </w:t>
      </w:r>
      <w:r>
        <w:rPr>
          <w:sz w:val="24"/>
        </w:rPr>
        <w:t>of</w:t>
      </w:r>
      <w:r>
        <w:rPr>
          <w:spacing w:val="-6"/>
          <w:sz w:val="24"/>
        </w:rPr>
        <w:t> </w:t>
      </w:r>
      <w:r>
        <w:rPr>
          <w:sz w:val="24"/>
        </w:rPr>
        <w:t>security</w:t>
      </w:r>
      <w:r>
        <w:rPr>
          <w:spacing w:val="-6"/>
          <w:sz w:val="24"/>
        </w:rPr>
        <w:t> </w:t>
      </w:r>
      <w:r>
        <w:rPr>
          <w:spacing w:val="-5"/>
          <w:sz w:val="24"/>
        </w:rPr>
        <w:t>and</w:t>
      </w:r>
    </w:p>
    <w:p>
      <w:pPr>
        <w:pStyle w:val="BodyText"/>
        <w:tabs>
          <w:tab w:pos="8934" w:val="left" w:leader="dot"/>
        </w:tabs>
        <w:spacing w:line="275" w:lineRule="exact"/>
        <w:ind w:left="880"/>
      </w:pPr>
      <w:r>
        <w:rPr/>
        <w:t>communication</w:t>
      </w:r>
      <w:r>
        <w:rPr>
          <w:spacing w:val="-8"/>
        </w:rPr>
        <w:t> </w:t>
      </w:r>
      <w:r>
        <w:rPr/>
        <w:t>service</w:t>
      </w:r>
      <w:r>
        <w:rPr>
          <w:spacing w:val="-8"/>
        </w:rPr>
        <w:t> </w:t>
      </w:r>
      <w:r>
        <w:rPr/>
        <w:t>on</w:t>
      </w:r>
      <w:r>
        <w:rPr>
          <w:spacing w:val="-7"/>
        </w:rPr>
        <w:t> </w:t>
      </w:r>
      <w:r>
        <w:rPr/>
        <w:t>students’</w:t>
      </w:r>
      <w:r>
        <w:rPr>
          <w:spacing w:val="-9"/>
        </w:rPr>
        <w:t> </w:t>
      </w:r>
      <w:r>
        <w:rPr/>
        <w:t>welfare</w:t>
      </w:r>
      <w:r>
        <w:rPr>
          <w:spacing w:val="-11"/>
        </w:rPr>
        <w:t> </w:t>
      </w:r>
      <w:r>
        <w:rPr/>
        <w:t>in</w:t>
      </w:r>
      <w:r>
        <w:rPr>
          <w:spacing w:val="-11"/>
        </w:rPr>
        <w:t> </w:t>
      </w:r>
      <w:r>
        <w:rPr>
          <w:spacing w:val="-2"/>
        </w:rPr>
        <w:t>Universities…</w:t>
      </w:r>
      <w:r>
        <w:rPr/>
        <w:tab/>
      </w:r>
      <w:r>
        <w:rPr>
          <w:spacing w:val="-5"/>
        </w:rPr>
        <w:t>204</w:t>
      </w:r>
    </w:p>
    <w:p>
      <w:pPr>
        <w:pStyle w:val="ListParagraph"/>
        <w:numPr>
          <w:ilvl w:val="2"/>
          <w:numId w:val="15"/>
        </w:numPr>
        <w:tabs>
          <w:tab w:pos="877" w:val="left" w:leader="none"/>
          <w:tab w:pos="880" w:val="left" w:leader="none"/>
        </w:tabs>
        <w:spacing w:line="240" w:lineRule="auto" w:before="554" w:after="0"/>
        <w:ind w:left="880" w:right="1218" w:hanging="720"/>
        <w:jc w:val="left"/>
        <w:rPr>
          <w:sz w:val="24"/>
        </w:rPr>
      </w:pPr>
      <w:r>
        <w:rPr>
          <w:sz w:val="24"/>
        </w:rPr>
        <w:t>Scheffe’s</w:t>
      </w:r>
      <w:r>
        <w:rPr>
          <w:spacing w:val="-4"/>
          <w:sz w:val="24"/>
        </w:rPr>
        <w:t> </w:t>
      </w:r>
      <w:r>
        <w:rPr>
          <w:sz w:val="24"/>
        </w:rPr>
        <w:t>test</w:t>
      </w:r>
      <w:r>
        <w:rPr>
          <w:spacing w:val="-4"/>
          <w:sz w:val="24"/>
        </w:rPr>
        <w:t> </w:t>
      </w:r>
      <w:r>
        <w:rPr>
          <w:sz w:val="24"/>
        </w:rPr>
        <w:t>on</w:t>
      </w:r>
      <w:r>
        <w:rPr>
          <w:spacing w:val="-7"/>
          <w:sz w:val="24"/>
        </w:rPr>
        <w:t> </w:t>
      </w:r>
      <w:r>
        <w:rPr>
          <w:sz w:val="24"/>
        </w:rPr>
        <w:t>the</w:t>
      </w:r>
      <w:r>
        <w:rPr>
          <w:spacing w:val="-3"/>
          <w:sz w:val="24"/>
        </w:rPr>
        <w:t> </w:t>
      </w:r>
      <w:r>
        <w:rPr>
          <w:sz w:val="24"/>
        </w:rPr>
        <w:t>opinions</w:t>
      </w:r>
      <w:r>
        <w:rPr>
          <w:spacing w:val="-4"/>
          <w:sz w:val="24"/>
        </w:rPr>
        <w:t> </w:t>
      </w:r>
      <w:r>
        <w:rPr>
          <w:sz w:val="24"/>
        </w:rPr>
        <w:t>of</w:t>
      </w:r>
      <w:r>
        <w:rPr>
          <w:spacing w:val="-4"/>
          <w:sz w:val="24"/>
        </w:rPr>
        <w:t> </w:t>
      </w:r>
      <w:r>
        <w:rPr>
          <w:sz w:val="24"/>
        </w:rPr>
        <w:t>students,</w:t>
      </w:r>
      <w:r>
        <w:rPr>
          <w:spacing w:val="-4"/>
          <w:sz w:val="24"/>
        </w:rPr>
        <w:t> </w:t>
      </w:r>
      <w:r>
        <w:rPr>
          <w:sz w:val="24"/>
        </w:rPr>
        <w:t>service</w:t>
      </w:r>
      <w:r>
        <w:rPr>
          <w:spacing w:val="-3"/>
          <w:sz w:val="24"/>
        </w:rPr>
        <w:t> </w:t>
      </w:r>
      <w:r>
        <w:rPr>
          <w:sz w:val="24"/>
        </w:rPr>
        <w:t>staff</w:t>
      </w:r>
      <w:r>
        <w:rPr>
          <w:spacing w:val="-4"/>
          <w:sz w:val="24"/>
        </w:rPr>
        <w:t> </w:t>
      </w:r>
      <w:r>
        <w:rPr>
          <w:sz w:val="24"/>
        </w:rPr>
        <w:t>and</w:t>
      </w:r>
      <w:r>
        <w:rPr>
          <w:spacing w:val="-7"/>
          <w:sz w:val="24"/>
        </w:rPr>
        <w:t> </w:t>
      </w:r>
      <w:r>
        <w:rPr>
          <w:sz w:val="24"/>
        </w:rPr>
        <w:t>management staff on the impact of security and communication service on students welfare services in Universities in three geopolitical zones</w:t>
      </w:r>
    </w:p>
    <w:p>
      <w:pPr>
        <w:pStyle w:val="BodyText"/>
        <w:tabs>
          <w:tab w:pos="8934" w:val="left" w:leader="none"/>
        </w:tabs>
        <w:spacing w:line="274" w:lineRule="exact"/>
        <w:ind w:left="880"/>
      </w:pPr>
      <w:r>
        <w:rPr/>
        <w:t>in</w:t>
      </w:r>
      <w:r>
        <w:rPr>
          <w:spacing w:val="-6"/>
        </w:rPr>
        <w:t> </w:t>
      </w:r>
      <w:r>
        <w:rPr/>
        <w:t>Northern</w:t>
      </w:r>
      <w:r>
        <w:rPr>
          <w:spacing w:val="-5"/>
        </w:rPr>
        <w:t> </w:t>
      </w:r>
      <w:r>
        <w:rPr/>
        <w:t>part</w:t>
      </w:r>
      <w:r>
        <w:rPr>
          <w:spacing w:val="-6"/>
        </w:rPr>
        <w:t> </w:t>
      </w:r>
      <w:r>
        <w:rPr/>
        <w:t>of</w:t>
      </w:r>
      <w:r>
        <w:rPr>
          <w:spacing w:val="-6"/>
        </w:rPr>
        <w:t> </w:t>
      </w:r>
      <w:r>
        <w:rPr/>
        <w:t>Nigeria</w:t>
      </w:r>
      <w:r>
        <w:rPr>
          <w:spacing w:val="-5"/>
        </w:rPr>
        <w:t> </w:t>
      </w:r>
      <w:r>
        <w:rPr>
          <w:spacing w:val="-2"/>
        </w:rPr>
        <w:t>……………….……………………………….</w:t>
      </w:r>
      <w:r>
        <w:rPr/>
        <w:tab/>
      </w:r>
      <w:r>
        <w:rPr>
          <w:spacing w:val="-5"/>
        </w:rPr>
        <w:t>205</w:t>
      </w:r>
    </w:p>
    <w:p>
      <w:pPr>
        <w:pStyle w:val="ListParagraph"/>
        <w:numPr>
          <w:ilvl w:val="2"/>
          <w:numId w:val="15"/>
        </w:numPr>
        <w:tabs>
          <w:tab w:pos="877" w:val="left" w:leader="none"/>
        </w:tabs>
        <w:spacing w:line="240" w:lineRule="auto" w:before="276" w:after="0"/>
        <w:ind w:left="877" w:right="0" w:hanging="717"/>
        <w:jc w:val="left"/>
        <w:rPr>
          <w:sz w:val="24"/>
        </w:rPr>
      </w:pPr>
      <w:r>
        <w:rPr>
          <w:sz w:val="24"/>
        </w:rPr>
        <w:t>Analysis</w:t>
      </w:r>
      <w:r>
        <w:rPr>
          <w:spacing w:val="-8"/>
          <w:sz w:val="24"/>
        </w:rPr>
        <w:t> </w:t>
      </w:r>
      <w:r>
        <w:rPr>
          <w:sz w:val="24"/>
        </w:rPr>
        <w:t>of</w:t>
      </w:r>
      <w:r>
        <w:rPr>
          <w:spacing w:val="-7"/>
          <w:sz w:val="24"/>
        </w:rPr>
        <w:t> </w:t>
      </w:r>
      <w:r>
        <w:rPr>
          <w:sz w:val="24"/>
        </w:rPr>
        <w:t>Variance</w:t>
      </w:r>
      <w:r>
        <w:rPr>
          <w:spacing w:val="-10"/>
          <w:sz w:val="24"/>
        </w:rPr>
        <w:t> </w:t>
      </w:r>
      <w:r>
        <w:rPr>
          <w:sz w:val="24"/>
        </w:rPr>
        <w:t>(ANOVA)</w:t>
      </w:r>
      <w:r>
        <w:rPr>
          <w:spacing w:val="-6"/>
          <w:sz w:val="24"/>
        </w:rPr>
        <w:t> </w:t>
      </w:r>
      <w:r>
        <w:rPr>
          <w:sz w:val="24"/>
        </w:rPr>
        <w:t>on</w:t>
      </w:r>
      <w:r>
        <w:rPr>
          <w:spacing w:val="-7"/>
          <w:sz w:val="24"/>
        </w:rPr>
        <w:t> </w:t>
      </w:r>
      <w:r>
        <w:rPr>
          <w:sz w:val="24"/>
        </w:rPr>
        <w:t>the</w:t>
      </w:r>
      <w:r>
        <w:rPr>
          <w:spacing w:val="-10"/>
          <w:sz w:val="24"/>
        </w:rPr>
        <w:t> </w:t>
      </w:r>
      <w:r>
        <w:rPr>
          <w:sz w:val="24"/>
        </w:rPr>
        <w:t>impact</w:t>
      </w:r>
      <w:r>
        <w:rPr>
          <w:spacing w:val="-7"/>
          <w:sz w:val="24"/>
        </w:rPr>
        <w:t> </w:t>
      </w:r>
      <w:r>
        <w:rPr>
          <w:sz w:val="24"/>
        </w:rPr>
        <w:t>of</w:t>
      </w:r>
      <w:r>
        <w:rPr>
          <w:spacing w:val="-7"/>
          <w:sz w:val="24"/>
        </w:rPr>
        <w:t> </w:t>
      </w:r>
      <w:r>
        <w:rPr>
          <w:sz w:val="24"/>
        </w:rPr>
        <w:t>transport</w:t>
      </w:r>
      <w:r>
        <w:rPr>
          <w:spacing w:val="-8"/>
          <w:sz w:val="24"/>
        </w:rPr>
        <w:t> </w:t>
      </w:r>
      <w:r>
        <w:rPr>
          <w:sz w:val="24"/>
        </w:rPr>
        <w:t>services</w:t>
      </w:r>
      <w:r>
        <w:rPr>
          <w:spacing w:val="-7"/>
          <w:sz w:val="24"/>
        </w:rPr>
        <w:t> </w:t>
      </w:r>
      <w:r>
        <w:rPr>
          <w:spacing w:val="-5"/>
          <w:sz w:val="24"/>
        </w:rPr>
        <w:t>on</w:t>
      </w:r>
    </w:p>
    <w:p>
      <w:pPr>
        <w:pStyle w:val="BodyText"/>
        <w:tabs>
          <w:tab w:pos="9001" w:val="left" w:leader="none"/>
        </w:tabs>
        <w:spacing w:before="3"/>
        <w:ind w:left="880"/>
      </w:pPr>
      <w:r>
        <w:rPr/>
        <w:t>students’</w:t>
      </w:r>
      <w:r>
        <w:rPr>
          <w:spacing w:val="-7"/>
        </w:rPr>
        <w:t> </w:t>
      </w:r>
      <w:r>
        <w:rPr/>
        <w:t>welfare</w:t>
      </w:r>
      <w:r>
        <w:rPr>
          <w:spacing w:val="-9"/>
        </w:rPr>
        <w:t> </w:t>
      </w:r>
      <w:r>
        <w:rPr/>
        <w:t>in</w:t>
      </w:r>
      <w:r>
        <w:rPr>
          <w:spacing w:val="-6"/>
        </w:rPr>
        <w:t> </w:t>
      </w:r>
      <w:r>
        <w:rPr/>
        <w:t>Nigerian</w:t>
      </w:r>
      <w:r>
        <w:rPr>
          <w:spacing w:val="-6"/>
        </w:rPr>
        <w:t> </w:t>
      </w:r>
      <w:r>
        <w:rPr>
          <w:spacing w:val="-2"/>
        </w:rPr>
        <w:t>Universities………………..………………</w:t>
      </w:r>
      <w:r>
        <w:rPr/>
        <w:tab/>
      </w:r>
      <w:r>
        <w:rPr>
          <w:spacing w:val="-5"/>
        </w:rPr>
        <w:t>207</w:t>
      </w:r>
    </w:p>
    <w:p>
      <w:pPr>
        <w:pStyle w:val="ListParagraph"/>
        <w:numPr>
          <w:ilvl w:val="2"/>
          <w:numId w:val="15"/>
        </w:numPr>
        <w:tabs>
          <w:tab w:pos="877" w:val="left" w:leader="none"/>
        </w:tabs>
        <w:spacing w:line="275" w:lineRule="exact" w:before="276" w:after="0"/>
        <w:ind w:left="877" w:right="0" w:hanging="717"/>
        <w:jc w:val="left"/>
        <w:rPr>
          <w:sz w:val="24"/>
        </w:rPr>
      </w:pPr>
      <w:r>
        <w:rPr>
          <w:sz w:val="24"/>
        </w:rPr>
        <w:t>Analysis</w:t>
      </w:r>
      <w:r>
        <w:rPr>
          <w:spacing w:val="-8"/>
          <w:sz w:val="24"/>
        </w:rPr>
        <w:t> </w:t>
      </w:r>
      <w:r>
        <w:rPr>
          <w:sz w:val="24"/>
        </w:rPr>
        <w:t>of</w:t>
      </w:r>
      <w:r>
        <w:rPr>
          <w:spacing w:val="-7"/>
          <w:sz w:val="24"/>
        </w:rPr>
        <w:t> </w:t>
      </w:r>
      <w:r>
        <w:rPr>
          <w:sz w:val="24"/>
        </w:rPr>
        <w:t>Variance</w:t>
      </w:r>
      <w:r>
        <w:rPr>
          <w:spacing w:val="-9"/>
          <w:sz w:val="24"/>
        </w:rPr>
        <w:t> </w:t>
      </w:r>
      <w:r>
        <w:rPr>
          <w:sz w:val="24"/>
        </w:rPr>
        <w:t>(ANOVA)</w:t>
      </w:r>
      <w:r>
        <w:rPr>
          <w:spacing w:val="-6"/>
          <w:sz w:val="24"/>
        </w:rPr>
        <w:t> </w:t>
      </w:r>
      <w:r>
        <w:rPr>
          <w:sz w:val="24"/>
        </w:rPr>
        <w:t>on</w:t>
      </w:r>
      <w:r>
        <w:rPr>
          <w:spacing w:val="-6"/>
          <w:sz w:val="24"/>
        </w:rPr>
        <w:t> </w:t>
      </w:r>
      <w:r>
        <w:rPr>
          <w:sz w:val="24"/>
        </w:rPr>
        <w:t>the</w:t>
      </w:r>
      <w:r>
        <w:rPr>
          <w:spacing w:val="-9"/>
          <w:sz w:val="24"/>
        </w:rPr>
        <w:t> </w:t>
      </w:r>
      <w:r>
        <w:rPr>
          <w:sz w:val="24"/>
        </w:rPr>
        <w:t>impact</w:t>
      </w:r>
      <w:r>
        <w:rPr>
          <w:spacing w:val="-8"/>
          <w:sz w:val="24"/>
        </w:rPr>
        <w:t> </w:t>
      </w:r>
      <w:r>
        <w:rPr>
          <w:sz w:val="24"/>
        </w:rPr>
        <w:t>of</w:t>
      </w:r>
      <w:r>
        <w:rPr>
          <w:spacing w:val="-7"/>
          <w:sz w:val="24"/>
        </w:rPr>
        <w:t> </w:t>
      </w:r>
      <w:r>
        <w:rPr>
          <w:sz w:val="24"/>
        </w:rPr>
        <w:t>religious</w:t>
      </w:r>
      <w:r>
        <w:rPr>
          <w:spacing w:val="-7"/>
          <w:sz w:val="24"/>
        </w:rPr>
        <w:t> </w:t>
      </w:r>
      <w:r>
        <w:rPr>
          <w:sz w:val="24"/>
        </w:rPr>
        <w:t>services</w:t>
      </w:r>
      <w:r>
        <w:rPr>
          <w:spacing w:val="-7"/>
          <w:sz w:val="24"/>
        </w:rPr>
        <w:t> </w:t>
      </w:r>
      <w:r>
        <w:rPr>
          <w:spacing w:val="-5"/>
          <w:sz w:val="24"/>
        </w:rPr>
        <w:t>on</w:t>
      </w:r>
    </w:p>
    <w:p>
      <w:pPr>
        <w:pStyle w:val="BodyText"/>
        <w:tabs>
          <w:tab w:pos="9001" w:val="left" w:leader="none"/>
        </w:tabs>
        <w:spacing w:line="275" w:lineRule="exact"/>
        <w:ind w:left="880"/>
      </w:pPr>
      <w:r>
        <w:rPr/>
        <w:t>students’</w:t>
      </w:r>
      <w:r>
        <w:rPr>
          <w:spacing w:val="-9"/>
        </w:rPr>
        <w:t> </w:t>
      </w:r>
      <w:r>
        <w:rPr/>
        <w:t>welfare</w:t>
      </w:r>
      <w:r>
        <w:rPr>
          <w:spacing w:val="-10"/>
        </w:rPr>
        <w:t> </w:t>
      </w:r>
      <w:r>
        <w:rPr/>
        <w:t>in</w:t>
      </w:r>
      <w:r>
        <w:rPr>
          <w:spacing w:val="-8"/>
        </w:rPr>
        <w:t> </w:t>
      </w:r>
      <w:r>
        <w:rPr/>
        <w:t>Universities</w:t>
      </w:r>
      <w:r>
        <w:rPr>
          <w:spacing w:val="-7"/>
        </w:rPr>
        <w:t> </w:t>
      </w:r>
      <w:r>
        <w:rPr/>
        <w:t>under</w:t>
      </w:r>
      <w:r>
        <w:rPr>
          <w:spacing w:val="-6"/>
        </w:rPr>
        <w:t> </w:t>
      </w:r>
      <w:r>
        <w:rPr>
          <w:spacing w:val="-2"/>
        </w:rPr>
        <w:t>study…..…………….………..……</w:t>
      </w:r>
      <w:r>
        <w:rPr/>
        <w:tab/>
      </w:r>
      <w:r>
        <w:rPr>
          <w:spacing w:val="-5"/>
        </w:rPr>
        <w:t>208</w:t>
      </w:r>
    </w:p>
    <w:p>
      <w:pPr>
        <w:pStyle w:val="ListParagraph"/>
        <w:numPr>
          <w:ilvl w:val="2"/>
          <w:numId w:val="15"/>
        </w:numPr>
        <w:tabs>
          <w:tab w:pos="877" w:val="left" w:leader="none"/>
          <w:tab w:pos="880" w:val="left" w:leader="none"/>
        </w:tabs>
        <w:spacing w:line="242" w:lineRule="auto" w:before="276" w:after="0"/>
        <w:ind w:left="880" w:right="1410" w:hanging="720"/>
        <w:jc w:val="left"/>
        <w:rPr>
          <w:sz w:val="24"/>
        </w:rPr>
      </w:pPr>
      <w:r>
        <w:rPr>
          <w:sz w:val="24"/>
        </w:rPr>
        <w:t>Scheffe’s</w:t>
      </w:r>
      <w:r>
        <w:rPr>
          <w:spacing w:val="-2"/>
          <w:sz w:val="24"/>
        </w:rPr>
        <w:t> </w:t>
      </w:r>
      <w:r>
        <w:rPr>
          <w:sz w:val="24"/>
        </w:rPr>
        <w:t>test</w:t>
      </w:r>
      <w:r>
        <w:rPr>
          <w:spacing w:val="-2"/>
          <w:sz w:val="24"/>
        </w:rPr>
        <w:t> </w:t>
      </w:r>
      <w:r>
        <w:rPr>
          <w:sz w:val="24"/>
        </w:rPr>
        <w:t>on</w:t>
      </w:r>
      <w:r>
        <w:rPr>
          <w:spacing w:val="-5"/>
          <w:sz w:val="24"/>
        </w:rPr>
        <w:t> </w:t>
      </w:r>
      <w:r>
        <w:rPr>
          <w:sz w:val="24"/>
        </w:rPr>
        <w:t>the</w:t>
      </w:r>
      <w:r>
        <w:rPr>
          <w:spacing w:val="-1"/>
          <w:sz w:val="24"/>
        </w:rPr>
        <w:t> </w:t>
      </w:r>
      <w:r>
        <w:rPr>
          <w:sz w:val="24"/>
        </w:rPr>
        <w:t>opinions</w:t>
      </w:r>
      <w:r>
        <w:rPr>
          <w:spacing w:val="-2"/>
          <w:sz w:val="24"/>
        </w:rPr>
        <w:t> </w:t>
      </w:r>
      <w:r>
        <w:rPr>
          <w:sz w:val="24"/>
        </w:rPr>
        <w:t>of</w:t>
      </w:r>
      <w:r>
        <w:rPr>
          <w:spacing w:val="-6"/>
          <w:sz w:val="24"/>
        </w:rPr>
        <w:t> </w:t>
      </w:r>
      <w:r>
        <w:rPr>
          <w:sz w:val="24"/>
        </w:rPr>
        <w:t>respondents</w:t>
      </w:r>
      <w:r>
        <w:rPr>
          <w:spacing w:val="-7"/>
          <w:sz w:val="24"/>
        </w:rPr>
        <w:t> </w:t>
      </w:r>
      <w:r>
        <w:rPr>
          <w:sz w:val="24"/>
        </w:rPr>
        <w:t>on</w:t>
      </w:r>
      <w:r>
        <w:rPr>
          <w:spacing w:val="-1"/>
          <w:sz w:val="24"/>
        </w:rPr>
        <w:t> </w:t>
      </w:r>
      <w:r>
        <w:rPr>
          <w:sz w:val="24"/>
        </w:rPr>
        <w:t>the</w:t>
      </w:r>
      <w:r>
        <w:rPr>
          <w:spacing w:val="-5"/>
          <w:sz w:val="24"/>
        </w:rPr>
        <w:t> </w:t>
      </w:r>
      <w:r>
        <w:rPr>
          <w:sz w:val="24"/>
        </w:rPr>
        <w:t>impact</w:t>
      </w:r>
      <w:r>
        <w:rPr>
          <w:spacing w:val="-2"/>
          <w:sz w:val="24"/>
        </w:rPr>
        <w:t> </w:t>
      </w:r>
      <w:r>
        <w:rPr>
          <w:sz w:val="24"/>
        </w:rPr>
        <w:t>of</w:t>
      </w:r>
      <w:r>
        <w:rPr>
          <w:spacing w:val="-2"/>
          <w:sz w:val="24"/>
        </w:rPr>
        <w:t> </w:t>
      </w:r>
      <w:r>
        <w:rPr>
          <w:sz w:val="24"/>
        </w:rPr>
        <w:t>religious services on the students’ welfare services</w:t>
      </w:r>
      <w:r>
        <w:rPr>
          <w:spacing w:val="40"/>
          <w:sz w:val="24"/>
        </w:rPr>
        <w:t> </w:t>
      </w:r>
      <w:r>
        <w:rPr>
          <w:sz w:val="24"/>
        </w:rPr>
        <w:t>in Universities</w:t>
      </w:r>
    </w:p>
    <w:p>
      <w:pPr>
        <w:pStyle w:val="BodyText"/>
        <w:tabs>
          <w:tab w:pos="9001" w:val="left" w:leader="none"/>
        </w:tabs>
        <w:spacing w:line="271" w:lineRule="exact"/>
        <w:ind w:left="880"/>
      </w:pPr>
      <w:r>
        <w:rPr/>
        <w:t>in</w:t>
      </w:r>
      <w:r>
        <w:rPr>
          <w:spacing w:val="-6"/>
        </w:rPr>
        <w:t> </w:t>
      </w:r>
      <w:r>
        <w:rPr/>
        <w:t>three</w:t>
      </w:r>
      <w:r>
        <w:rPr>
          <w:spacing w:val="-9"/>
        </w:rPr>
        <w:t> </w:t>
      </w:r>
      <w:r>
        <w:rPr/>
        <w:t>geopolitical</w:t>
      </w:r>
      <w:r>
        <w:rPr>
          <w:spacing w:val="-3"/>
        </w:rPr>
        <w:t> </w:t>
      </w:r>
      <w:r>
        <w:rPr/>
        <w:t>zones</w:t>
      </w:r>
      <w:r>
        <w:rPr>
          <w:spacing w:val="-11"/>
        </w:rPr>
        <w:t> </w:t>
      </w:r>
      <w:r>
        <w:rPr/>
        <w:t>in</w:t>
      </w:r>
      <w:r>
        <w:rPr>
          <w:spacing w:val="-5"/>
        </w:rPr>
        <w:t> </w:t>
      </w:r>
      <w:r>
        <w:rPr/>
        <w:t>Northern</w:t>
      </w:r>
      <w:r>
        <w:rPr>
          <w:spacing w:val="-5"/>
        </w:rPr>
        <w:t> </w:t>
      </w:r>
      <w:r>
        <w:rPr/>
        <w:t>part</w:t>
      </w:r>
      <w:r>
        <w:rPr>
          <w:spacing w:val="-7"/>
        </w:rPr>
        <w:t> </w:t>
      </w:r>
      <w:r>
        <w:rPr/>
        <w:t>of</w:t>
      </w:r>
      <w:r>
        <w:rPr>
          <w:spacing w:val="-10"/>
        </w:rPr>
        <w:t> </w:t>
      </w:r>
      <w:r>
        <w:rPr/>
        <w:t>Nigeria</w:t>
      </w:r>
      <w:r>
        <w:rPr>
          <w:spacing w:val="-4"/>
        </w:rPr>
        <w:t> </w:t>
      </w:r>
      <w:r>
        <w:rPr>
          <w:spacing w:val="-2"/>
        </w:rPr>
        <w:t>……..…………</w:t>
      </w:r>
      <w:r>
        <w:rPr/>
        <w:tab/>
      </w:r>
      <w:r>
        <w:rPr>
          <w:spacing w:val="-5"/>
        </w:rPr>
        <w:t>209</w:t>
      </w:r>
    </w:p>
    <w:p>
      <w:pPr>
        <w:spacing w:after="0" w:line="271" w:lineRule="exact"/>
        <w:sectPr>
          <w:headerReference w:type="default" r:id="rId26"/>
          <w:footerReference w:type="default" r:id="rId27"/>
          <w:pgSz w:w="12240" w:h="15840"/>
          <w:pgMar w:header="722" w:footer="791" w:top="1060" w:bottom="980" w:left="1280" w:right="1140"/>
        </w:sectPr>
      </w:pPr>
    </w:p>
    <w:p>
      <w:pPr>
        <w:pStyle w:val="ListParagraph"/>
        <w:numPr>
          <w:ilvl w:val="2"/>
          <w:numId w:val="15"/>
        </w:numPr>
        <w:tabs>
          <w:tab w:pos="877" w:val="left" w:leader="none"/>
          <w:tab w:pos="880" w:val="left" w:leader="none"/>
        </w:tabs>
        <w:spacing w:line="242" w:lineRule="auto" w:before="636" w:after="0"/>
        <w:ind w:left="880" w:right="2398" w:hanging="720"/>
        <w:jc w:val="left"/>
        <w:rPr>
          <w:sz w:val="24"/>
        </w:rPr>
      </w:pPr>
      <w:r>
        <w:rPr>
          <w:sz w:val="24"/>
        </w:rPr>
        <w:t>Analysis of Variance (ANOVA) on the impact of banking and telecommunication</w:t>
      </w:r>
      <w:r>
        <w:rPr>
          <w:spacing w:val="-5"/>
          <w:sz w:val="24"/>
        </w:rPr>
        <w:t> </w:t>
      </w:r>
      <w:r>
        <w:rPr>
          <w:sz w:val="24"/>
        </w:rPr>
        <w:t>services</w:t>
      </w:r>
      <w:r>
        <w:rPr>
          <w:spacing w:val="-6"/>
          <w:sz w:val="24"/>
        </w:rPr>
        <w:t> </w:t>
      </w:r>
      <w:r>
        <w:rPr>
          <w:sz w:val="24"/>
        </w:rPr>
        <w:t>on</w:t>
      </w:r>
      <w:r>
        <w:rPr>
          <w:spacing w:val="-8"/>
          <w:sz w:val="24"/>
        </w:rPr>
        <w:t> </w:t>
      </w:r>
      <w:r>
        <w:rPr>
          <w:sz w:val="24"/>
        </w:rPr>
        <w:t>student</w:t>
      </w:r>
      <w:r>
        <w:rPr>
          <w:spacing w:val="-6"/>
          <w:sz w:val="24"/>
        </w:rPr>
        <w:t> </w:t>
      </w:r>
      <w:r>
        <w:rPr>
          <w:sz w:val="24"/>
        </w:rPr>
        <w:t>welfare</w:t>
      </w:r>
      <w:r>
        <w:rPr>
          <w:spacing w:val="-5"/>
          <w:sz w:val="24"/>
        </w:rPr>
        <w:t> </w:t>
      </w:r>
      <w:r>
        <w:rPr>
          <w:sz w:val="24"/>
        </w:rPr>
        <w:t>in</w:t>
      </w:r>
      <w:r>
        <w:rPr>
          <w:spacing w:val="-8"/>
          <w:sz w:val="24"/>
        </w:rPr>
        <w:t> </w:t>
      </w:r>
      <w:r>
        <w:rPr>
          <w:sz w:val="24"/>
        </w:rPr>
        <w:t>Universities</w:t>
      </w:r>
    </w:p>
    <w:p>
      <w:pPr>
        <w:pStyle w:val="BodyText"/>
        <w:tabs>
          <w:tab w:pos="9001" w:val="left" w:leader="none"/>
        </w:tabs>
        <w:spacing w:line="271" w:lineRule="exact"/>
        <w:ind w:left="880"/>
      </w:pPr>
      <w:r>
        <w:rPr/>
        <w:t>in</w:t>
      </w:r>
      <w:r>
        <w:rPr>
          <w:spacing w:val="-5"/>
        </w:rPr>
        <w:t> </w:t>
      </w:r>
      <w:r>
        <w:rPr/>
        <w:t>three</w:t>
      </w:r>
      <w:r>
        <w:rPr>
          <w:spacing w:val="-8"/>
        </w:rPr>
        <w:t> </w:t>
      </w:r>
      <w:r>
        <w:rPr/>
        <w:t>geopolitical</w:t>
      </w:r>
      <w:r>
        <w:rPr>
          <w:spacing w:val="-2"/>
        </w:rPr>
        <w:t> </w:t>
      </w:r>
      <w:r>
        <w:rPr/>
        <w:t>zones</w:t>
      </w:r>
      <w:r>
        <w:rPr>
          <w:spacing w:val="-10"/>
        </w:rPr>
        <w:t> </w:t>
      </w:r>
      <w:r>
        <w:rPr/>
        <w:t>in</w:t>
      </w:r>
      <w:r>
        <w:rPr>
          <w:spacing w:val="-5"/>
        </w:rPr>
        <w:t> </w:t>
      </w:r>
      <w:r>
        <w:rPr/>
        <w:t>Northern</w:t>
      </w:r>
      <w:r>
        <w:rPr>
          <w:spacing w:val="-5"/>
        </w:rPr>
        <w:t> </w:t>
      </w:r>
      <w:r>
        <w:rPr/>
        <w:t>part</w:t>
      </w:r>
      <w:r>
        <w:rPr>
          <w:spacing w:val="-5"/>
        </w:rPr>
        <w:t> </w:t>
      </w:r>
      <w:r>
        <w:rPr/>
        <w:t>of</w:t>
      </w:r>
      <w:r>
        <w:rPr>
          <w:spacing w:val="-9"/>
        </w:rPr>
        <w:t> </w:t>
      </w:r>
      <w:r>
        <w:rPr/>
        <w:t>Nigeria</w:t>
      </w:r>
      <w:r>
        <w:rPr>
          <w:spacing w:val="75"/>
        </w:rPr>
        <w:t> </w:t>
      </w:r>
      <w:r>
        <w:rPr>
          <w:spacing w:val="-2"/>
        </w:rPr>
        <w:t>…….…………</w:t>
      </w:r>
      <w:r>
        <w:rPr/>
        <w:tab/>
      </w:r>
      <w:r>
        <w:rPr>
          <w:spacing w:val="-5"/>
        </w:rPr>
        <w:t>210</w:t>
      </w:r>
    </w:p>
    <w:p>
      <w:pPr>
        <w:pStyle w:val="ListParagraph"/>
        <w:numPr>
          <w:ilvl w:val="2"/>
          <w:numId w:val="15"/>
        </w:numPr>
        <w:tabs>
          <w:tab w:pos="877" w:val="left" w:leader="none"/>
          <w:tab w:pos="880" w:val="left" w:leader="none"/>
        </w:tabs>
        <w:spacing w:line="242" w:lineRule="auto" w:before="276" w:after="0"/>
        <w:ind w:left="880" w:right="997" w:hanging="720"/>
        <w:jc w:val="left"/>
        <w:rPr>
          <w:sz w:val="24"/>
        </w:rPr>
      </w:pPr>
      <w:r>
        <w:rPr>
          <w:sz w:val="24"/>
        </w:rPr>
        <w:t>Scheffe’s</w:t>
      </w:r>
      <w:r>
        <w:rPr>
          <w:spacing w:val="-2"/>
          <w:sz w:val="24"/>
        </w:rPr>
        <w:t> </w:t>
      </w:r>
      <w:r>
        <w:rPr>
          <w:sz w:val="24"/>
        </w:rPr>
        <w:t>test</w:t>
      </w:r>
      <w:r>
        <w:rPr>
          <w:spacing w:val="-2"/>
          <w:sz w:val="24"/>
        </w:rPr>
        <w:t> </w:t>
      </w:r>
      <w:r>
        <w:rPr>
          <w:sz w:val="24"/>
        </w:rPr>
        <w:t>on</w:t>
      </w:r>
      <w:r>
        <w:rPr>
          <w:spacing w:val="-5"/>
          <w:sz w:val="24"/>
        </w:rPr>
        <w:t> </w:t>
      </w:r>
      <w:r>
        <w:rPr>
          <w:sz w:val="24"/>
        </w:rPr>
        <w:t>the</w:t>
      </w:r>
      <w:r>
        <w:rPr>
          <w:spacing w:val="-1"/>
          <w:sz w:val="24"/>
        </w:rPr>
        <w:t> </w:t>
      </w:r>
      <w:r>
        <w:rPr>
          <w:sz w:val="24"/>
        </w:rPr>
        <w:t>opinions</w:t>
      </w:r>
      <w:r>
        <w:rPr>
          <w:spacing w:val="-2"/>
          <w:sz w:val="24"/>
        </w:rPr>
        <w:t> </w:t>
      </w:r>
      <w:r>
        <w:rPr>
          <w:sz w:val="24"/>
        </w:rPr>
        <w:t>of</w:t>
      </w:r>
      <w:r>
        <w:rPr>
          <w:spacing w:val="-6"/>
          <w:sz w:val="24"/>
        </w:rPr>
        <w:t> </w:t>
      </w:r>
      <w:r>
        <w:rPr>
          <w:sz w:val="24"/>
        </w:rPr>
        <w:t>respondents</w:t>
      </w:r>
      <w:r>
        <w:rPr>
          <w:spacing w:val="-7"/>
          <w:sz w:val="24"/>
        </w:rPr>
        <w:t> </w:t>
      </w:r>
      <w:r>
        <w:rPr>
          <w:sz w:val="24"/>
        </w:rPr>
        <w:t>on</w:t>
      </w:r>
      <w:r>
        <w:rPr>
          <w:spacing w:val="-1"/>
          <w:sz w:val="24"/>
        </w:rPr>
        <w:t> </w:t>
      </w:r>
      <w:r>
        <w:rPr>
          <w:sz w:val="24"/>
        </w:rPr>
        <w:t>the</w:t>
      </w:r>
      <w:r>
        <w:rPr>
          <w:spacing w:val="-5"/>
          <w:sz w:val="24"/>
        </w:rPr>
        <w:t> </w:t>
      </w:r>
      <w:r>
        <w:rPr>
          <w:sz w:val="24"/>
        </w:rPr>
        <w:t>impact</w:t>
      </w:r>
      <w:r>
        <w:rPr>
          <w:spacing w:val="-2"/>
          <w:sz w:val="24"/>
        </w:rPr>
        <w:t> </w:t>
      </w:r>
      <w:r>
        <w:rPr>
          <w:sz w:val="24"/>
        </w:rPr>
        <w:t>of</w:t>
      </w:r>
      <w:r>
        <w:rPr>
          <w:spacing w:val="-2"/>
          <w:sz w:val="24"/>
        </w:rPr>
        <w:t> </w:t>
      </w:r>
      <w:r>
        <w:rPr>
          <w:sz w:val="24"/>
        </w:rPr>
        <w:t>banking</w:t>
      </w:r>
      <w:r>
        <w:rPr>
          <w:spacing w:val="-5"/>
          <w:sz w:val="24"/>
        </w:rPr>
        <w:t> </w:t>
      </w:r>
      <w:r>
        <w:rPr>
          <w:sz w:val="24"/>
        </w:rPr>
        <w:t>and telecommunication service on students welfare services in</w:t>
      </w:r>
    </w:p>
    <w:p>
      <w:pPr>
        <w:pStyle w:val="BodyText"/>
        <w:spacing w:line="271" w:lineRule="exact"/>
        <w:ind w:left="880"/>
      </w:pPr>
      <w:r>
        <w:rPr/>
        <w:t>Universities</w:t>
      </w:r>
      <w:r>
        <w:rPr>
          <w:spacing w:val="-12"/>
        </w:rPr>
        <w:t> </w:t>
      </w:r>
      <w:r>
        <w:rPr/>
        <w:t>in</w:t>
      </w:r>
      <w:r>
        <w:rPr>
          <w:spacing w:val="54"/>
        </w:rPr>
        <w:t> </w:t>
      </w:r>
      <w:r>
        <w:rPr/>
        <w:t>three</w:t>
      </w:r>
      <w:r>
        <w:rPr>
          <w:spacing w:val="-6"/>
        </w:rPr>
        <w:t> </w:t>
      </w:r>
      <w:r>
        <w:rPr/>
        <w:t>geopolitical</w:t>
      </w:r>
      <w:r>
        <w:rPr>
          <w:spacing w:val="-3"/>
        </w:rPr>
        <w:t> </w:t>
      </w:r>
      <w:r>
        <w:rPr/>
        <w:t>zones</w:t>
      </w:r>
      <w:r>
        <w:rPr>
          <w:spacing w:val="-11"/>
        </w:rPr>
        <w:t> </w:t>
      </w:r>
      <w:r>
        <w:rPr/>
        <w:t>in</w:t>
      </w:r>
      <w:r>
        <w:rPr>
          <w:spacing w:val="-6"/>
        </w:rPr>
        <w:t> </w:t>
      </w:r>
      <w:r>
        <w:rPr>
          <w:spacing w:val="-2"/>
        </w:rPr>
        <w:t>Northern</w:t>
      </w:r>
    </w:p>
    <w:p>
      <w:pPr>
        <w:pStyle w:val="BodyText"/>
        <w:tabs>
          <w:tab w:pos="9068" w:val="left" w:leader="none"/>
        </w:tabs>
        <w:spacing w:before="2"/>
        <w:ind w:left="880"/>
      </w:pPr>
      <w:r>
        <w:rPr/>
        <w:t>part</w:t>
      </w:r>
      <w:r>
        <w:rPr>
          <w:spacing w:val="-5"/>
        </w:rPr>
        <w:t> </w:t>
      </w:r>
      <w:r>
        <w:rPr/>
        <w:t>of</w:t>
      </w:r>
      <w:r>
        <w:rPr>
          <w:spacing w:val="-4"/>
        </w:rPr>
        <w:t> </w:t>
      </w:r>
      <w:r>
        <w:rPr/>
        <w:t>Nigeria</w:t>
      </w:r>
      <w:r>
        <w:rPr>
          <w:spacing w:val="-3"/>
        </w:rPr>
        <w:t> </w:t>
      </w:r>
      <w:r>
        <w:rPr>
          <w:spacing w:val="-2"/>
        </w:rPr>
        <w:t>………………………………………………………………..</w:t>
      </w:r>
      <w:r>
        <w:rPr/>
        <w:tab/>
      </w:r>
      <w:r>
        <w:rPr>
          <w:spacing w:val="-5"/>
        </w:rPr>
        <w:t>211</w:t>
      </w:r>
    </w:p>
    <w:p>
      <w:pPr>
        <w:pStyle w:val="ListParagraph"/>
        <w:numPr>
          <w:ilvl w:val="2"/>
          <w:numId w:val="15"/>
        </w:numPr>
        <w:tabs>
          <w:tab w:pos="877" w:val="left" w:leader="none"/>
          <w:tab w:pos="880" w:val="left" w:leader="none"/>
        </w:tabs>
        <w:spacing w:line="237" w:lineRule="auto" w:before="279" w:after="0"/>
        <w:ind w:left="880" w:right="1069" w:hanging="720"/>
        <w:jc w:val="left"/>
        <w:rPr>
          <w:sz w:val="24"/>
        </w:rPr>
      </w:pPr>
      <w:r>
        <w:rPr>
          <w:sz w:val="24"/>
        </w:rPr>
        <w:t>Analysis</w:t>
      </w:r>
      <w:r>
        <w:rPr>
          <w:spacing w:val="-4"/>
          <w:sz w:val="24"/>
        </w:rPr>
        <w:t> </w:t>
      </w:r>
      <w:r>
        <w:rPr>
          <w:sz w:val="24"/>
        </w:rPr>
        <w:t>of</w:t>
      </w:r>
      <w:r>
        <w:rPr>
          <w:spacing w:val="-4"/>
          <w:sz w:val="24"/>
        </w:rPr>
        <w:t> </w:t>
      </w:r>
      <w:r>
        <w:rPr>
          <w:sz w:val="24"/>
        </w:rPr>
        <w:t>Variance</w:t>
      </w:r>
      <w:r>
        <w:rPr>
          <w:spacing w:val="-6"/>
          <w:sz w:val="24"/>
        </w:rPr>
        <w:t> </w:t>
      </w:r>
      <w:r>
        <w:rPr>
          <w:sz w:val="24"/>
        </w:rPr>
        <w:t>(ANOVA)</w:t>
      </w:r>
      <w:r>
        <w:rPr>
          <w:spacing w:val="-2"/>
          <w:sz w:val="24"/>
        </w:rPr>
        <w:t> </w:t>
      </w:r>
      <w:r>
        <w:rPr>
          <w:sz w:val="24"/>
        </w:rPr>
        <w:t>on</w:t>
      </w:r>
      <w:r>
        <w:rPr>
          <w:spacing w:val="-3"/>
          <w:sz w:val="24"/>
        </w:rPr>
        <w:t> </w:t>
      </w:r>
      <w:r>
        <w:rPr>
          <w:sz w:val="24"/>
        </w:rPr>
        <w:t>the</w:t>
      </w:r>
      <w:r>
        <w:rPr>
          <w:spacing w:val="-6"/>
          <w:sz w:val="24"/>
        </w:rPr>
        <w:t> </w:t>
      </w:r>
      <w:r>
        <w:rPr>
          <w:sz w:val="24"/>
        </w:rPr>
        <w:t>impact</w:t>
      </w:r>
      <w:r>
        <w:rPr>
          <w:spacing w:val="-4"/>
          <w:sz w:val="24"/>
        </w:rPr>
        <w:t> </w:t>
      </w:r>
      <w:r>
        <w:rPr>
          <w:sz w:val="24"/>
        </w:rPr>
        <w:t>of</w:t>
      </w:r>
      <w:r>
        <w:rPr>
          <w:spacing w:val="-4"/>
          <w:sz w:val="24"/>
        </w:rPr>
        <w:t> </w:t>
      </w:r>
      <w:r>
        <w:rPr>
          <w:sz w:val="24"/>
        </w:rPr>
        <w:t>library</w:t>
      </w:r>
      <w:r>
        <w:rPr>
          <w:spacing w:val="-4"/>
          <w:sz w:val="24"/>
        </w:rPr>
        <w:t> </w:t>
      </w:r>
      <w:r>
        <w:rPr>
          <w:sz w:val="24"/>
        </w:rPr>
        <w:t>services</w:t>
      </w:r>
      <w:r>
        <w:rPr>
          <w:spacing w:val="-4"/>
          <w:sz w:val="24"/>
        </w:rPr>
        <w:t> </w:t>
      </w:r>
      <w:r>
        <w:rPr>
          <w:sz w:val="24"/>
        </w:rPr>
        <w:t>on</w:t>
      </w:r>
      <w:r>
        <w:rPr>
          <w:spacing w:val="-3"/>
          <w:sz w:val="24"/>
        </w:rPr>
        <w:t> </w:t>
      </w:r>
      <w:r>
        <w:rPr>
          <w:sz w:val="24"/>
        </w:rPr>
        <w:t>student welfare in Universities in three geopolitical zones in</w:t>
      </w:r>
    </w:p>
    <w:p>
      <w:pPr>
        <w:pStyle w:val="BodyText"/>
        <w:tabs>
          <w:tab w:pos="9068" w:val="left" w:leader="none"/>
        </w:tabs>
        <w:spacing w:before="3"/>
        <w:ind w:left="880"/>
      </w:pPr>
      <w:r>
        <w:rPr/>
        <w:t>Northern</w:t>
      </w:r>
      <w:r>
        <w:rPr>
          <w:spacing w:val="-8"/>
        </w:rPr>
        <w:t> </w:t>
      </w:r>
      <w:r>
        <w:rPr/>
        <w:t>part</w:t>
      </w:r>
      <w:r>
        <w:rPr>
          <w:spacing w:val="-9"/>
        </w:rPr>
        <w:t> </w:t>
      </w:r>
      <w:r>
        <w:rPr/>
        <w:t>of</w:t>
      </w:r>
      <w:r>
        <w:rPr>
          <w:spacing w:val="-5"/>
        </w:rPr>
        <w:t> </w:t>
      </w:r>
      <w:r>
        <w:rPr/>
        <w:t>Nigeria</w:t>
      </w:r>
      <w:r>
        <w:rPr>
          <w:spacing w:val="-4"/>
        </w:rPr>
        <w:t> </w:t>
      </w:r>
      <w:r>
        <w:rPr>
          <w:spacing w:val="-2"/>
        </w:rPr>
        <w:t>……………………………………………………….</w:t>
      </w:r>
      <w:r>
        <w:rPr/>
        <w:tab/>
      </w:r>
      <w:r>
        <w:rPr>
          <w:spacing w:val="-5"/>
        </w:rPr>
        <w:t>212</w:t>
      </w:r>
    </w:p>
    <w:p>
      <w:pPr>
        <w:pStyle w:val="ListParagraph"/>
        <w:numPr>
          <w:ilvl w:val="2"/>
          <w:numId w:val="15"/>
        </w:numPr>
        <w:tabs>
          <w:tab w:pos="877" w:val="left" w:leader="none"/>
          <w:tab w:pos="880" w:val="left" w:leader="none"/>
        </w:tabs>
        <w:spacing w:line="237" w:lineRule="auto" w:before="278" w:after="0"/>
        <w:ind w:left="880" w:right="825" w:hanging="720"/>
        <w:jc w:val="left"/>
        <w:rPr>
          <w:sz w:val="24"/>
        </w:rPr>
      </w:pPr>
      <w:r>
        <w:rPr>
          <w:sz w:val="24"/>
        </w:rPr>
        <w:t>Scheffe’s</w:t>
      </w:r>
      <w:r>
        <w:rPr>
          <w:spacing w:val="-2"/>
          <w:sz w:val="24"/>
        </w:rPr>
        <w:t> </w:t>
      </w:r>
      <w:r>
        <w:rPr>
          <w:sz w:val="24"/>
        </w:rPr>
        <w:t>test</w:t>
      </w:r>
      <w:r>
        <w:rPr>
          <w:spacing w:val="-2"/>
          <w:sz w:val="24"/>
        </w:rPr>
        <w:t> </w:t>
      </w:r>
      <w:r>
        <w:rPr>
          <w:sz w:val="24"/>
        </w:rPr>
        <w:t>on</w:t>
      </w:r>
      <w:r>
        <w:rPr>
          <w:spacing w:val="-5"/>
          <w:sz w:val="24"/>
        </w:rPr>
        <w:t> </w:t>
      </w:r>
      <w:r>
        <w:rPr>
          <w:sz w:val="24"/>
        </w:rPr>
        <w:t>the</w:t>
      </w:r>
      <w:r>
        <w:rPr>
          <w:spacing w:val="-1"/>
          <w:sz w:val="24"/>
        </w:rPr>
        <w:t> </w:t>
      </w:r>
      <w:r>
        <w:rPr>
          <w:sz w:val="24"/>
        </w:rPr>
        <w:t>opinions</w:t>
      </w:r>
      <w:r>
        <w:rPr>
          <w:spacing w:val="-2"/>
          <w:sz w:val="24"/>
        </w:rPr>
        <w:t> </w:t>
      </w:r>
      <w:r>
        <w:rPr>
          <w:sz w:val="24"/>
        </w:rPr>
        <w:t>of</w:t>
      </w:r>
      <w:r>
        <w:rPr>
          <w:spacing w:val="-6"/>
          <w:sz w:val="24"/>
        </w:rPr>
        <w:t> </w:t>
      </w:r>
      <w:r>
        <w:rPr>
          <w:sz w:val="24"/>
        </w:rPr>
        <w:t>respondents</w:t>
      </w:r>
      <w:r>
        <w:rPr>
          <w:spacing w:val="-7"/>
          <w:sz w:val="24"/>
        </w:rPr>
        <w:t> </w:t>
      </w:r>
      <w:r>
        <w:rPr>
          <w:sz w:val="24"/>
        </w:rPr>
        <w:t>on</w:t>
      </w:r>
      <w:r>
        <w:rPr>
          <w:spacing w:val="-1"/>
          <w:sz w:val="24"/>
        </w:rPr>
        <w:t> </w:t>
      </w:r>
      <w:r>
        <w:rPr>
          <w:sz w:val="24"/>
        </w:rPr>
        <w:t>the</w:t>
      </w:r>
      <w:r>
        <w:rPr>
          <w:spacing w:val="-5"/>
          <w:sz w:val="24"/>
        </w:rPr>
        <w:t> </w:t>
      </w:r>
      <w:r>
        <w:rPr>
          <w:sz w:val="24"/>
        </w:rPr>
        <w:t>impact</w:t>
      </w:r>
      <w:r>
        <w:rPr>
          <w:spacing w:val="-2"/>
          <w:sz w:val="24"/>
        </w:rPr>
        <w:t> </w:t>
      </w:r>
      <w:r>
        <w:rPr>
          <w:sz w:val="24"/>
        </w:rPr>
        <w:t>of</w:t>
      </w:r>
      <w:r>
        <w:rPr>
          <w:spacing w:val="-2"/>
          <w:sz w:val="24"/>
        </w:rPr>
        <w:t> </w:t>
      </w:r>
      <w:r>
        <w:rPr>
          <w:sz w:val="24"/>
        </w:rPr>
        <w:t>library</w:t>
      </w:r>
      <w:r>
        <w:rPr>
          <w:spacing w:val="-2"/>
          <w:sz w:val="24"/>
        </w:rPr>
        <w:t> </w:t>
      </w:r>
      <w:r>
        <w:rPr>
          <w:sz w:val="24"/>
        </w:rPr>
        <w:t>service on students’ welfare services in Universities in three</w:t>
      </w:r>
    </w:p>
    <w:p>
      <w:pPr>
        <w:pStyle w:val="BodyText"/>
        <w:tabs>
          <w:tab w:pos="9068" w:val="left" w:leader="none"/>
        </w:tabs>
        <w:spacing w:before="3"/>
        <w:ind w:left="880"/>
      </w:pPr>
      <w:r>
        <w:rPr/>
        <w:t>geopolitical</w:t>
      </w:r>
      <w:r>
        <w:rPr>
          <w:spacing w:val="-4"/>
        </w:rPr>
        <w:t> </w:t>
      </w:r>
      <w:r>
        <w:rPr/>
        <w:t>zones</w:t>
      </w:r>
      <w:r>
        <w:rPr>
          <w:spacing w:val="-11"/>
        </w:rPr>
        <w:t> </w:t>
      </w:r>
      <w:r>
        <w:rPr/>
        <w:t>in</w:t>
      </w:r>
      <w:r>
        <w:rPr>
          <w:spacing w:val="-5"/>
        </w:rPr>
        <w:t> </w:t>
      </w:r>
      <w:r>
        <w:rPr/>
        <w:t>Northern</w:t>
      </w:r>
      <w:r>
        <w:rPr>
          <w:spacing w:val="-10"/>
        </w:rPr>
        <w:t> </w:t>
      </w:r>
      <w:r>
        <w:rPr/>
        <w:t>part</w:t>
      </w:r>
      <w:r>
        <w:rPr>
          <w:spacing w:val="-10"/>
        </w:rPr>
        <w:t> </w:t>
      </w:r>
      <w:r>
        <w:rPr/>
        <w:t>of</w:t>
      </w:r>
      <w:r>
        <w:rPr>
          <w:spacing w:val="-7"/>
        </w:rPr>
        <w:t> </w:t>
      </w:r>
      <w:r>
        <w:rPr/>
        <w:t>Nigeria</w:t>
      </w:r>
      <w:r>
        <w:rPr>
          <w:spacing w:val="-9"/>
        </w:rPr>
        <w:t> </w:t>
      </w:r>
      <w:r>
        <w:rPr>
          <w:spacing w:val="-2"/>
        </w:rPr>
        <w:t>………………..…………</w:t>
      </w:r>
      <w:r>
        <w:rPr/>
        <w:tab/>
      </w:r>
      <w:r>
        <w:rPr>
          <w:spacing w:val="-5"/>
        </w:rPr>
        <w:t>213</w:t>
      </w:r>
    </w:p>
    <w:p>
      <w:pPr>
        <w:pStyle w:val="ListParagraph"/>
        <w:numPr>
          <w:ilvl w:val="2"/>
          <w:numId w:val="15"/>
        </w:numPr>
        <w:tabs>
          <w:tab w:pos="877" w:val="left" w:leader="none"/>
          <w:tab w:pos="880" w:val="left" w:leader="none"/>
        </w:tabs>
        <w:spacing w:line="237" w:lineRule="auto" w:before="279" w:after="0"/>
        <w:ind w:left="880" w:right="1497" w:hanging="720"/>
        <w:jc w:val="left"/>
        <w:rPr>
          <w:sz w:val="24"/>
        </w:rPr>
      </w:pPr>
      <w:r>
        <w:rPr>
          <w:sz w:val="24"/>
        </w:rPr>
        <w:t>Analysis</w:t>
      </w:r>
      <w:r>
        <w:rPr>
          <w:spacing w:val="-4"/>
          <w:sz w:val="24"/>
        </w:rPr>
        <w:t> </w:t>
      </w:r>
      <w:r>
        <w:rPr>
          <w:sz w:val="24"/>
        </w:rPr>
        <w:t>of</w:t>
      </w:r>
      <w:r>
        <w:rPr>
          <w:spacing w:val="-4"/>
          <w:sz w:val="24"/>
        </w:rPr>
        <w:t> </w:t>
      </w:r>
      <w:r>
        <w:rPr>
          <w:sz w:val="24"/>
        </w:rPr>
        <w:t>Variance</w:t>
      </w:r>
      <w:r>
        <w:rPr>
          <w:spacing w:val="-7"/>
          <w:sz w:val="24"/>
        </w:rPr>
        <w:t> </w:t>
      </w:r>
      <w:r>
        <w:rPr>
          <w:sz w:val="24"/>
        </w:rPr>
        <w:t>(ANOVA)</w:t>
      </w:r>
      <w:r>
        <w:rPr>
          <w:spacing w:val="-2"/>
          <w:sz w:val="24"/>
        </w:rPr>
        <w:t> </w:t>
      </w:r>
      <w:r>
        <w:rPr>
          <w:sz w:val="24"/>
        </w:rPr>
        <w:t>on</w:t>
      </w:r>
      <w:r>
        <w:rPr>
          <w:spacing w:val="-3"/>
          <w:sz w:val="24"/>
        </w:rPr>
        <w:t> </w:t>
      </w:r>
      <w:r>
        <w:rPr>
          <w:sz w:val="24"/>
        </w:rPr>
        <w:t>the</w:t>
      </w:r>
      <w:r>
        <w:rPr>
          <w:spacing w:val="-7"/>
          <w:sz w:val="24"/>
        </w:rPr>
        <w:t> </w:t>
      </w:r>
      <w:r>
        <w:rPr>
          <w:sz w:val="24"/>
        </w:rPr>
        <w:t>impact</w:t>
      </w:r>
      <w:r>
        <w:rPr>
          <w:spacing w:val="-4"/>
          <w:sz w:val="24"/>
        </w:rPr>
        <w:t> </w:t>
      </w:r>
      <w:r>
        <w:rPr>
          <w:sz w:val="24"/>
        </w:rPr>
        <w:t>of</w:t>
      </w:r>
      <w:r>
        <w:rPr>
          <w:spacing w:val="-4"/>
          <w:sz w:val="24"/>
        </w:rPr>
        <w:t> </w:t>
      </w:r>
      <w:r>
        <w:rPr>
          <w:sz w:val="24"/>
        </w:rPr>
        <w:t>classroom,</w:t>
      </w:r>
      <w:r>
        <w:rPr>
          <w:spacing w:val="-4"/>
          <w:sz w:val="24"/>
        </w:rPr>
        <w:t> </w:t>
      </w:r>
      <w:r>
        <w:rPr>
          <w:sz w:val="24"/>
        </w:rPr>
        <w:t>laboratory, workshop, field trip facilities on student welfare in Universities</w:t>
      </w:r>
    </w:p>
    <w:p>
      <w:pPr>
        <w:pStyle w:val="BodyText"/>
        <w:tabs>
          <w:tab w:pos="9068" w:val="left" w:leader="none"/>
        </w:tabs>
        <w:spacing w:before="3"/>
        <w:ind w:left="880"/>
      </w:pPr>
      <w:r>
        <w:rPr/>
        <w:t>in</w:t>
      </w:r>
      <w:r>
        <w:rPr>
          <w:spacing w:val="-6"/>
        </w:rPr>
        <w:t> </w:t>
      </w:r>
      <w:r>
        <w:rPr/>
        <w:t>three</w:t>
      </w:r>
      <w:r>
        <w:rPr>
          <w:spacing w:val="-9"/>
        </w:rPr>
        <w:t> </w:t>
      </w:r>
      <w:r>
        <w:rPr/>
        <w:t>geopolitical</w:t>
      </w:r>
      <w:r>
        <w:rPr>
          <w:spacing w:val="-2"/>
        </w:rPr>
        <w:t> </w:t>
      </w:r>
      <w:r>
        <w:rPr/>
        <w:t>zones</w:t>
      </w:r>
      <w:r>
        <w:rPr>
          <w:spacing w:val="-11"/>
        </w:rPr>
        <w:t> </w:t>
      </w:r>
      <w:r>
        <w:rPr/>
        <w:t>in</w:t>
      </w:r>
      <w:r>
        <w:rPr>
          <w:spacing w:val="-5"/>
        </w:rPr>
        <w:t> </w:t>
      </w:r>
      <w:r>
        <w:rPr/>
        <w:t>Northern</w:t>
      </w:r>
      <w:r>
        <w:rPr>
          <w:spacing w:val="-6"/>
        </w:rPr>
        <w:t> </w:t>
      </w:r>
      <w:r>
        <w:rPr/>
        <w:t>part</w:t>
      </w:r>
      <w:r>
        <w:rPr>
          <w:spacing w:val="-6"/>
        </w:rPr>
        <w:t> </w:t>
      </w:r>
      <w:r>
        <w:rPr/>
        <w:t>of</w:t>
      </w:r>
      <w:r>
        <w:rPr>
          <w:spacing w:val="-10"/>
        </w:rPr>
        <w:t> </w:t>
      </w:r>
      <w:r>
        <w:rPr>
          <w:spacing w:val="-2"/>
        </w:rPr>
        <w:t>Nigeria……………….…..</w:t>
      </w:r>
      <w:r>
        <w:rPr/>
        <w:tab/>
      </w:r>
      <w:r>
        <w:rPr>
          <w:spacing w:val="-5"/>
        </w:rPr>
        <w:t>214</w:t>
      </w:r>
    </w:p>
    <w:p>
      <w:pPr>
        <w:pStyle w:val="ListParagraph"/>
        <w:numPr>
          <w:ilvl w:val="2"/>
          <w:numId w:val="15"/>
        </w:numPr>
        <w:tabs>
          <w:tab w:pos="877" w:val="left" w:leader="none"/>
          <w:tab w:pos="880" w:val="left" w:leader="none"/>
        </w:tabs>
        <w:spacing w:line="237" w:lineRule="auto" w:before="278" w:after="0"/>
        <w:ind w:left="880" w:right="1029" w:hanging="720"/>
        <w:jc w:val="left"/>
        <w:rPr>
          <w:sz w:val="24"/>
        </w:rPr>
      </w:pPr>
      <w:r>
        <w:rPr>
          <w:sz w:val="24"/>
        </w:rPr>
        <w:t>Scheffe’s</w:t>
      </w:r>
      <w:r>
        <w:rPr>
          <w:spacing w:val="-3"/>
          <w:sz w:val="24"/>
        </w:rPr>
        <w:t> </w:t>
      </w:r>
      <w:r>
        <w:rPr>
          <w:sz w:val="24"/>
        </w:rPr>
        <w:t>test</w:t>
      </w:r>
      <w:r>
        <w:rPr>
          <w:spacing w:val="-3"/>
          <w:sz w:val="24"/>
        </w:rPr>
        <w:t> </w:t>
      </w:r>
      <w:r>
        <w:rPr>
          <w:sz w:val="24"/>
        </w:rPr>
        <w:t>on</w:t>
      </w:r>
      <w:r>
        <w:rPr>
          <w:spacing w:val="-6"/>
          <w:sz w:val="24"/>
        </w:rPr>
        <w:t> </w:t>
      </w:r>
      <w:r>
        <w:rPr>
          <w:sz w:val="24"/>
        </w:rPr>
        <w:t>the</w:t>
      </w:r>
      <w:r>
        <w:rPr>
          <w:spacing w:val="-2"/>
          <w:sz w:val="24"/>
        </w:rPr>
        <w:t> </w:t>
      </w:r>
      <w:r>
        <w:rPr>
          <w:sz w:val="24"/>
        </w:rPr>
        <w:t>opinions</w:t>
      </w:r>
      <w:r>
        <w:rPr>
          <w:spacing w:val="-3"/>
          <w:sz w:val="24"/>
        </w:rPr>
        <w:t> </w:t>
      </w:r>
      <w:r>
        <w:rPr>
          <w:sz w:val="24"/>
        </w:rPr>
        <w:t>of</w:t>
      </w:r>
      <w:r>
        <w:rPr>
          <w:spacing w:val="-7"/>
          <w:sz w:val="24"/>
        </w:rPr>
        <w:t> </w:t>
      </w:r>
      <w:r>
        <w:rPr>
          <w:sz w:val="24"/>
        </w:rPr>
        <w:t>respondents</w:t>
      </w:r>
      <w:r>
        <w:rPr>
          <w:spacing w:val="-8"/>
          <w:sz w:val="24"/>
        </w:rPr>
        <w:t> </w:t>
      </w:r>
      <w:r>
        <w:rPr>
          <w:sz w:val="24"/>
        </w:rPr>
        <w:t>on</w:t>
      </w:r>
      <w:r>
        <w:rPr>
          <w:spacing w:val="-2"/>
          <w:sz w:val="24"/>
        </w:rPr>
        <w:t> </w:t>
      </w:r>
      <w:r>
        <w:rPr>
          <w:sz w:val="24"/>
        </w:rPr>
        <w:t>the</w:t>
      </w:r>
      <w:r>
        <w:rPr>
          <w:spacing w:val="-6"/>
          <w:sz w:val="24"/>
        </w:rPr>
        <w:t> </w:t>
      </w:r>
      <w:r>
        <w:rPr>
          <w:sz w:val="24"/>
        </w:rPr>
        <w:t>impact</w:t>
      </w:r>
      <w:r>
        <w:rPr>
          <w:spacing w:val="-1"/>
          <w:sz w:val="24"/>
        </w:rPr>
        <w:t> </w:t>
      </w:r>
      <w:r>
        <w:rPr>
          <w:sz w:val="24"/>
        </w:rPr>
        <w:t>of</w:t>
      </w:r>
      <w:r>
        <w:rPr>
          <w:spacing w:val="-3"/>
          <w:sz w:val="24"/>
        </w:rPr>
        <w:t> </w:t>
      </w:r>
      <w:r>
        <w:rPr>
          <w:sz w:val="24"/>
        </w:rPr>
        <w:t>classrooms, laboratory, workshops and field trips etc on the students welfare</w:t>
      </w:r>
    </w:p>
    <w:p>
      <w:pPr>
        <w:pStyle w:val="BodyText"/>
        <w:tabs>
          <w:tab w:pos="9068" w:val="left" w:leader="none"/>
        </w:tabs>
        <w:spacing w:before="4"/>
        <w:ind w:left="880"/>
      </w:pPr>
      <w:r>
        <w:rPr/>
        <w:t>in</w:t>
      </w:r>
      <w:r>
        <w:rPr>
          <w:spacing w:val="-8"/>
        </w:rPr>
        <w:t> </w:t>
      </w:r>
      <w:r>
        <w:rPr/>
        <w:t>Universities</w:t>
      </w:r>
      <w:r>
        <w:rPr>
          <w:spacing w:val="-8"/>
        </w:rPr>
        <w:t> </w:t>
      </w:r>
      <w:r>
        <w:rPr>
          <w:spacing w:val="-2"/>
        </w:rPr>
        <w:t>………………………………………………………………...</w:t>
      </w:r>
      <w:r>
        <w:rPr/>
        <w:tab/>
      </w:r>
      <w:r>
        <w:rPr>
          <w:spacing w:val="-5"/>
        </w:rPr>
        <w:t>215</w:t>
      </w:r>
    </w:p>
    <w:p>
      <w:pPr>
        <w:pStyle w:val="ListParagraph"/>
        <w:numPr>
          <w:ilvl w:val="2"/>
          <w:numId w:val="15"/>
        </w:numPr>
        <w:tabs>
          <w:tab w:pos="877" w:val="left" w:leader="none"/>
          <w:tab w:pos="880" w:val="left" w:leader="none"/>
          <w:tab w:pos="9068" w:val="left" w:leader="none"/>
        </w:tabs>
        <w:spacing w:line="237" w:lineRule="auto" w:before="278" w:after="0"/>
        <w:ind w:left="880" w:right="347" w:hanging="720"/>
        <w:jc w:val="left"/>
        <w:rPr>
          <w:sz w:val="24"/>
        </w:rPr>
      </w:pPr>
      <w:r>
        <w:rPr>
          <w:sz w:val="24"/>
        </w:rPr>
        <w:t>Analysis of Variance (ANOVA) on the impact of influences of information technology</w:t>
      </w:r>
      <w:r>
        <w:rPr>
          <w:spacing w:val="-9"/>
          <w:sz w:val="24"/>
        </w:rPr>
        <w:t> </w:t>
      </w:r>
      <w:r>
        <w:rPr>
          <w:sz w:val="24"/>
        </w:rPr>
        <w:t>services</w:t>
      </w:r>
      <w:r>
        <w:rPr>
          <w:spacing w:val="-8"/>
          <w:sz w:val="24"/>
        </w:rPr>
        <w:t> </w:t>
      </w:r>
      <w:r>
        <w:rPr>
          <w:sz w:val="24"/>
        </w:rPr>
        <w:t>on</w:t>
      </w:r>
      <w:r>
        <w:rPr>
          <w:spacing w:val="-11"/>
          <w:sz w:val="24"/>
        </w:rPr>
        <w:t> </w:t>
      </w:r>
      <w:r>
        <w:rPr>
          <w:sz w:val="24"/>
        </w:rPr>
        <w:t>students’</w:t>
      </w:r>
      <w:r>
        <w:rPr>
          <w:spacing w:val="-9"/>
          <w:sz w:val="24"/>
        </w:rPr>
        <w:t> </w:t>
      </w:r>
      <w:r>
        <w:rPr>
          <w:sz w:val="24"/>
        </w:rPr>
        <w:t>welfare</w:t>
      </w:r>
      <w:r>
        <w:rPr>
          <w:spacing w:val="-9"/>
          <w:sz w:val="24"/>
        </w:rPr>
        <w:t> </w:t>
      </w:r>
      <w:r>
        <w:rPr>
          <w:sz w:val="24"/>
        </w:rPr>
        <w:t>in</w:t>
      </w:r>
      <w:r>
        <w:rPr>
          <w:spacing w:val="-7"/>
          <w:sz w:val="24"/>
        </w:rPr>
        <w:t> </w:t>
      </w:r>
      <w:r>
        <w:rPr>
          <w:sz w:val="24"/>
        </w:rPr>
        <w:t>Universities</w:t>
      </w:r>
      <w:r>
        <w:rPr>
          <w:spacing w:val="-8"/>
          <w:sz w:val="24"/>
        </w:rPr>
        <w:t> </w:t>
      </w:r>
      <w:r>
        <w:rPr>
          <w:sz w:val="24"/>
        </w:rPr>
        <w:t>under</w:t>
      </w:r>
      <w:r>
        <w:rPr>
          <w:spacing w:val="-7"/>
          <w:sz w:val="24"/>
        </w:rPr>
        <w:t> </w:t>
      </w:r>
      <w:r>
        <w:rPr>
          <w:sz w:val="24"/>
        </w:rPr>
        <w:t>study</w:t>
      </w:r>
      <w:r>
        <w:rPr>
          <w:spacing w:val="-8"/>
          <w:sz w:val="24"/>
        </w:rPr>
        <w:t> </w:t>
      </w:r>
      <w:r>
        <w:rPr>
          <w:spacing w:val="-5"/>
          <w:sz w:val="24"/>
        </w:rPr>
        <w:t>….</w:t>
      </w:r>
      <w:r>
        <w:rPr>
          <w:sz w:val="24"/>
        </w:rPr>
        <w:tab/>
      </w:r>
      <w:r>
        <w:rPr>
          <w:spacing w:val="-5"/>
          <w:sz w:val="24"/>
        </w:rPr>
        <w:t>216</w:t>
      </w:r>
    </w:p>
    <w:p>
      <w:pPr>
        <w:pStyle w:val="ListParagraph"/>
        <w:numPr>
          <w:ilvl w:val="2"/>
          <w:numId w:val="15"/>
        </w:numPr>
        <w:tabs>
          <w:tab w:pos="877" w:val="left" w:leader="none"/>
          <w:tab w:pos="880" w:val="left" w:leader="none"/>
        </w:tabs>
        <w:spacing w:line="237" w:lineRule="auto" w:before="6" w:after="0"/>
        <w:ind w:left="880" w:right="1117" w:hanging="720"/>
        <w:jc w:val="left"/>
        <w:rPr>
          <w:sz w:val="24"/>
        </w:rPr>
      </w:pPr>
      <w:r>
        <w:rPr>
          <w:sz w:val="24"/>
        </w:rPr>
        <w:t>Scheffe’s</w:t>
      </w:r>
      <w:r>
        <w:rPr>
          <w:spacing w:val="-2"/>
          <w:sz w:val="24"/>
        </w:rPr>
        <w:t> </w:t>
      </w:r>
      <w:r>
        <w:rPr>
          <w:sz w:val="24"/>
        </w:rPr>
        <w:t>test</w:t>
      </w:r>
      <w:r>
        <w:rPr>
          <w:spacing w:val="-2"/>
          <w:sz w:val="24"/>
        </w:rPr>
        <w:t> </w:t>
      </w:r>
      <w:r>
        <w:rPr>
          <w:sz w:val="24"/>
        </w:rPr>
        <w:t>on</w:t>
      </w:r>
      <w:r>
        <w:rPr>
          <w:spacing w:val="-5"/>
          <w:sz w:val="24"/>
        </w:rPr>
        <w:t> </w:t>
      </w:r>
      <w:r>
        <w:rPr>
          <w:sz w:val="24"/>
        </w:rPr>
        <w:t>the</w:t>
      </w:r>
      <w:r>
        <w:rPr>
          <w:spacing w:val="-1"/>
          <w:sz w:val="24"/>
        </w:rPr>
        <w:t> </w:t>
      </w:r>
      <w:r>
        <w:rPr>
          <w:sz w:val="24"/>
        </w:rPr>
        <w:t>opinions</w:t>
      </w:r>
      <w:r>
        <w:rPr>
          <w:spacing w:val="-2"/>
          <w:sz w:val="24"/>
        </w:rPr>
        <w:t> </w:t>
      </w:r>
      <w:r>
        <w:rPr>
          <w:sz w:val="24"/>
        </w:rPr>
        <w:t>of</w:t>
      </w:r>
      <w:r>
        <w:rPr>
          <w:spacing w:val="-6"/>
          <w:sz w:val="24"/>
        </w:rPr>
        <w:t> </w:t>
      </w:r>
      <w:r>
        <w:rPr>
          <w:sz w:val="24"/>
        </w:rPr>
        <w:t>respondents</w:t>
      </w:r>
      <w:r>
        <w:rPr>
          <w:spacing w:val="-7"/>
          <w:sz w:val="24"/>
        </w:rPr>
        <w:t> </w:t>
      </w:r>
      <w:r>
        <w:rPr>
          <w:sz w:val="24"/>
        </w:rPr>
        <w:t>on</w:t>
      </w:r>
      <w:r>
        <w:rPr>
          <w:spacing w:val="-1"/>
          <w:sz w:val="24"/>
        </w:rPr>
        <w:t> </w:t>
      </w:r>
      <w:r>
        <w:rPr>
          <w:sz w:val="24"/>
        </w:rPr>
        <w:t>the</w:t>
      </w:r>
      <w:r>
        <w:rPr>
          <w:spacing w:val="-5"/>
          <w:sz w:val="24"/>
        </w:rPr>
        <w:t> </w:t>
      </w:r>
      <w:r>
        <w:rPr>
          <w:sz w:val="24"/>
        </w:rPr>
        <w:t>impact</w:t>
      </w:r>
      <w:r>
        <w:rPr>
          <w:spacing w:val="-2"/>
          <w:sz w:val="24"/>
        </w:rPr>
        <w:t> </w:t>
      </w:r>
      <w:r>
        <w:rPr>
          <w:sz w:val="24"/>
        </w:rPr>
        <w:t>of</w:t>
      </w:r>
      <w:r>
        <w:rPr>
          <w:spacing w:val="-2"/>
          <w:sz w:val="24"/>
        </w:rPr>
        <w:t> </w:t>
      </w:r>
      <w:r>
        <w:rPr>
          <w:sz w:val="24"/>
        </w:rPr>
        <w:t>information technology services on students’ welfare in Universities</w:t>
      </w:r>
    </w:p>
    <w:p>
      <w:pPr>
        <w:pStyle w:val="BodyText"/>
        <w:tabs>
          <w:tab w:pos="9068" w:val="left" w:leader="none"/>
        </w:tabs>
        <w:spacing w:before="3"/>
        <w:ind w:left="880"/>
      </w:pPr>
      <w:r>
        <w:rPr/>
        <w:t>in</w:t>
      </w:r>
      <w:r>
        <w:rPr>
          <w:spacing w:val="-6"/>
        </w:rPr>
        <w:t> </w:t>
      </w:r>
      <w:r>
        <w:rPr/>
        <w:t>three</w:t>
      </w:r>
      <w:r>
        <w:rPr>
          <w:spacing w:val="-9"/>
        </w:rPr>
        <w:t> </w:t>
      </w:r>
      <w:r>
        <w:rPr/>
        <w:t>geopolitical</w:t>
      </w:r>
      <w:r>
        <w:rPr>
          <w:spacing w:val="-3"/>
        </w:rPr>
        <w:t> </w:t>
      </w:r>
      <w:r>
        <w:rPr/>
        <w:t>zones</w:t>
      </w:r>
      <w:r>
        <w:rPr>
          <w:spacing w:val="-11"/>
        </w:rPr>
        <w:t> </w:t>
      </w:r>
      <w:r>
        <w:rPr/>
        <w:t>in</w:t>
      </w:r>
      <w:r>
        <w:rPr>
          <w:spacing w:val="-5"/>
        </w:rPr>
        <w:t> </w:t>
      </w:r>
      <w:r>
        <w:rPr/>
        <w:t>Northern</w:t>
      </w:r>
      <w:r>
        <w:rPr>
          <w:spacing w:val="-5"/>
        </w:rPr>
        <w:t> </w:t>
      </w:r>
      <w:r>
        <w:rPr/>
        <w:t>part</w:t>
      </w:r>
      <w:r>
        <w:rPr>
          <w:spacing w:val="-7"/>
        </w:rPr>
        <w:t> </w:t>
      </w:r>
      <w:r>
        <w:rPr/>
        <w:t>of</w:t>
      </w:r>
      <w:r>
        <w:rPr>
          <w:spacing w:val="-10"/>
        </w:rPr>
        <w:t> </w:t>
      </w:r>
      <w:r>
        <w:rPr/>
        <w:t>Nigeria</w:t>
      </w:r>
      <w:r>
        <w:rPr>
          <w:spacing w:val="-5"/>
        </w:rPr>
        <w:t> </w:t>
      </w:r>
      <w:r>
        <w:rPr>
          <w:spacing w:val="-2"/>
        </w:rPr>
        <w:t>…………….…….</w:t>
      </w:r>
      <w:r>
        <w:rPr/>
        <w:tab/>
      </w:r>
      <w:r>
        <w:rPr>
          <w:spacing w:val="-5"/>
        </w:rPr>
        <w:t>210</w:t>
      </w:r>
    </w:p>
    <w:p>
      <w:pPr>
        <w:pStyle w:val="BodyText"/>
        <w:spacing w:before="2"/>
      </w:pPr>
    </w:p>
    <w:p>
      <w:pPr>
        <w:pStyle w:val="ListParagraph"/>
        <w:numPr>
          <w:ilvl w:val="2"/>
          <w:numId w:val="15"/>
        </w:numPr>
        <w:tabs>
          <w:tab w:pos="877" w:val="left" w:leader="none"/>
          <w:tab w:pos="880" w:val="left" w:leader="none"/>
        </w:tabs>
        <w:spacing w:line="237" w:lineRule="auto" w:before="0" w:after="0"/>
        <w:ind w:left="880" w:right="1026" w:hanging="720"/>
        <w:jc w:val="left"/>
        <w:rPr>
          <w:sz w:val="24"/>
        </w:rPr>
      </w:pPr>
      <w:r>
        <w:rPr>
          <w:sz w:val="24"/>
        </w:rPr>
        <w:t>Analysis</w:t>
      </w:r>
      <w:r>
        <w:rPr>
          <w:spacing w:val="-4"/>
          <w:sz w:val="24"/>
        </w:rPr>
        <w:t> </w:t>
      </w:r>
      <w:r>
        <w:rPr>
          <w:sz w:val="24"/>
        </w:rPr>
        <w:t>of</w:t>
      </w:r>
      <w:r>
        <w:rPr>
          <w:spacing w:val="-4"/>
          <w:sz w:val="24"/>
        </w:rPr>
        <w:t> </w:t>
      </w:r>
      <w:r>
        <w:rPr>
          <w:sz w:val="24"/>
        </w:rPr>
        <w:t>Variance</w:t>
      </w:r>
      <w:r>
        <w:rPr>
          <w:spacing w:val="-7"/>
          <w:sz w:val="24"/>
        </w:rPr>
        <w:t> </w:t>
      </w:r>
      <w:r>
        <w:rPr>
          <w:sz w:val="24"/>
        </w:rPr>
        <w:t>(ANOVA)</w:t>
      </w:r>
      <w:r>
        <w:rPr>
          <w:spacing w:val="-2"/>
          <w:sz w:val="24"/>
        </w:rPr>
        <w:t> </w:t>
      </w:r>
      <w:r>
        <w:rPr>
          <w:sz w:val="24"/>
        </w:rPr>
        <w:t>on</w:t>
      </w:r>
      <w:r>
        <w:rPr>
          <w:spacing w:val="-3"/>
          <w:sz w:val="24"/>
        </w:rPr>
        <w:t> </w:t>
      </w:r>
      <w:r>
        <w:rPr>
          <w:sz w:val="24"/>
        </w:rPr>
        <w:t>the</w:t>
      </w:r>
      <w:r>
        <w:rPr>
          <w:spacing w:val="-7"/>
          <w:sz w:val="24"/>
        </w:rPr>
        <w:t> </w:t>
      </w:r>
      <w:r>
        <w:rPr>
          <w:sz w:val="24"/>
        </w:rPr>
        <w:t>impact</w:t>
      </w:r>
      <w:r>
        <w:rPr>
          <w:spacing w:val="-4"/>
          <w:sz w:val="24"/>
        </w:rPr>
        <w:t> </w:t>
      </w:r>
      <w:r>
        <w:rPr>
          <w:sz w:val="24"/>
        </w:rPr>
        <w:t>of</w:t>
      </w:r>
      <w:r>
        <w:rPr>
          <w:spacing w:val="-4"/>
          <w:sz w:val="24"/>
        </w:rPr>
        <w:t> </w:t>
      </w:r>
      <w:r>
        <w:rPr>
          <w:sz w:val="24"/>
        </w:rPr>
        <w:t>medical/health</w:t>
      </w:r>
      <w:r>
        <w:rPr>
          <w:spacing w:val="-3"/>
          <w:sz w:val="24"/>
        </w:rPr>
        <w:t> </w:t>
      </w:r>
      <w:r>
        <w:rPr>
          <w:sz w:val="24"/>
        </w:rPr>
        <w:t>services</w:t>
      </w:r>
      <w:r>
        <w:rPr>
          <w:spacing w:val="-4"/>
          <w:sz w:val="24"/>
        </w:rPr>
        <w:t> </w:t>
      </w:r>
      <w:r>
        <w:rPr>
          <w:sz w:val="24"/>
        </w:rPr>
        <w:t>on students’ welfare in Universities in three geopolitical zones in</w:t>
      </w:r>
    </w:p>
    <w:p>
      <w:pPr>
        <w:pStyle w:val="BodyText"/>
        <w:tabs>
          <w:tab w:pos="9068" w:val="left" w:leader="none"/>
        </w:tabs>
        <w:spacing w:before="3"/>
        <w:ind w:left="880"/>
      </w:pPr>
      <w:r>
        <w:rPr/>
        <w:t>Northern</w:t>
      </w:r>
      <w:r>
        <w:rPr>
          <w:spacing w:val="-8"/>
        </w:rPr>
        <w:t> </w:t>
      </w:r>
      <w:r>
        <w:rPr/>
        <w:t>part</w:t>
      </w:r>
      <w:r>
        <w:rPr>
          <w:spacing w:val="-9"/>
        </w:rPr>
        <w:t> </w:t>
      </w:r>
      <w:r>
        <w:rPr/>
        <w:t>of</w:t>
      </w:r>
      <w:r>
        <w:rPr>
          <w:spacing w:val="-5"/>
        </w:rPr>
        <w:t> </w:t>
      </w:r>
      <w:r>
        <w:rPr/>
        <w:t>Nigeria</w:t>
      </w:r>
      <w:r>
        <w:rPr>
          <w:spacing w:val="-4"/>
        </w:rPr>
        <w:t> </w:t>
      </w:r>
      <w:r>
        <w:rPr>
          <w:spacing w:val="-2"/>
        </w:rPr>
        <w:t>…………………….……………………………….</w:t>
      </w:r>
      <w:r>
        <w:rPr/>
        <w:tab/>
      </w:r>
      <w:r>
        <w:rPr>
          <w:spacing w:val="-5"/>
        </w:rPr>
        <w:t>212</w:t>
      </w:r>
    </w:p>
    <w:p>
      <w:pPr>
        <w:pStyle w:val="BodyText"/>
      </w:pPr>
    </w:p>
    <w:p>
      <w:pPr>
        <w:pStyle w:val="BodyText"/>
      </w:pPr>
    </w:p>
    <w:p>
      <w:pPr>
        <w:pStyle w:val="BodyText"/>
        <w:spacing w:before="3"/>
      </w:pPr>
    </w:p>
    <w:p>
      <w:pPr>
        <w:pStyle w:val="ListParagraph"/>
        <w:numPr>
          <w:ilvl w:val="2"/>
          <w:numId w:val="15"/>
        </w:numPr>
        <w:tabs>
          <w:tab w:pos="877" w:val="left" w:leader="none"/>
          <w:tab w:pos="880" w:val="left" w:leader="none"/>
        </w:tabs>
        <w:spacing w:line="237" w:lineRule="auto" w:before="0" w:after="0"/>
        <w:ind w:left="880" w:right="1068" w:hanging="720"/>
        <w:jc w:val="left"/>
        <w:rPr>
          <w:sz w:val="24"/>
        </w:rPr>
      </w:pPr>
      <w:r>
        <w:rPr>
          <w:sz w:val="24"/>
        </w:rPr>
        <w:t>Analysis</w:t>
      </w:r>
      <w:r>
        <w:rPr>
          <w:spacing w:val="-4"/>
          <w:sz w:val="24"/>
        </w:rPr>
        <w:t> </w:t>
      </w:r>
      <w:r>
        <w:rPr>
          <w:sz w:val="24"/>
        </w:rPr>
        <w:t>of</w:t>
      </w:r>
      <w:r>
        <w:rPr>
          <w:spacing w:val="-4"/>
          <w:sz w:val="24"/>
        </w:rPr>
        <w:t> </w:t>
      </w:r>
      <w:r>
        <w:rPr>
          <w:sz w:val="24"/>
        </w:rPr>
        <w:t>Variance</w:t>
      </w:r>
      <w:r>
        <w:rPr>
          <w:spacing w:val="-7"/>
          <w:sz w:val="24"/>
        </w:rPr>
        <w:t> </w:t>
      </w:r>
      <w:r>
        <w:rPr>
          <w:sz w:val="24"/>
        </w:rPr>
        <w:t>(ANOVA)</w:t>
      </w:r>
      <w:r>
        <w:rPr>
          <w:spacing w:val="-2"/>
          <w:sz w:val="24"/>
        </w:rPr>
        <w:t> </w:t>
      </w:r>
      <w:r>
        <w:rPr>
          <w:sz w:val="24"/>
        </w:rPr>
        <w:t>on</w:t>
      </w:r>
      <w:r>
        <w:rPr>
          <w:spacing w:val="-3"/>
          <w:sz w:val="24"/>
        </w:rPr>
        <w:t> </w:t>
      </w:r>
      <w:r>
        <w:rPr>
          <w:sz w:val="24"/>
        </w:rPr>
        <w:t>the</w:t>
      </w:r>
      <w:r>
        <w:rPr>
          <w:spacing w:val="-7"/>
          <w:sz w:val="24"/>
        </w:rPr>
        <w:t> </w:t>
      </w:r>
      <w:r>
        <w:rPr>
          <w:sz w:val="24"/>
        </w:rPr>
        <w:t>impact</w:t>
      </w:r>
      <w:r>
        <w:rPr>
          <w:spacing w:val="-2"/>
          <w:sz w:val="24"/>
        </w:rPr>
        <w:t> </w:t>
      </w:r>
      <w:r>
        <w:rPr>
          <w:sz w:val="24"/>
        </w:rPr>
        <w:t>of</w:t>
      </w:r>
      <w:r>
        <w:rPr>
          <w:spacing w:val="-4"/>
          <w:sz w:val="24"/>
        </w:rPr>
        <w:t> </w:t>
      </w:r>
      <w:r>
        <w:rPr>
          <w:sz w:val="24"/>
        </w:rPr>
        <w:t>environmental</w:t>
      </w:r>
      <w:r>
        <w:rPr>
          <w:spacing w:val="-4"/>
          <w:sz w:val="24"/>
        </w:rPr>
        <w:t> </w:t>
      </w:r>
      <w:r>
        <w:rPr>
          <w:sz w:val="24"/>
        </w:rPr>
        <w:t>services</w:t>
      </w:r>
      <w:r>
        <w:rPr>
          <w:spacing w:val="-4"/>
          <w:sz w:val="24"/>
        </w:rPr>
        <w:t> </w:t>
      </w:r>
      <w:r>
        <w:rPr>
          <w:sz w:val="24"/>
        </w:rPr>
        <w:t>on students’ welfare in Universities in three geopolitical</w:t>
      </w:r>
    </w:p>
    <w:p>
      <w:pPr>
        <w:pStyle w:val="BodyText"/>
        <w:tabs>
          <w:tab w:pos="9068" w:val="left" w:leader="none"/>
        </w:tabs>
        <w:spacing w:before="3"/>
        <w:ind w:left="880"/>
      </w:pPr>
      <w:r>
        <w:rPr/>
        <w:t>zones</w:t>
      </w:r>
      <w:r>
        <w:rPr>
          <w:spacing w:val="-9"/>
        </w:rPr>
        <w:t> </w:t>
      </w:r>
      <w:r>
        <w:rPr/>
        <w:t>in</w:t>
      </w:r>
      <w:r>
        <w:rPr>
          <w:spacing w:val="-4"/>
        </w:rPr>
        <w:t> </w:t>
      </w:r>
      <w:r>
        <w:rPr/>
        <w:t>Northern</w:t>
      </w:r>
      <w:r>
        <w:rPr>
          <w:spacing w:val="-7"/>
        </w:rPr>
        <w:t> </w:t>
      </w:r>
      <w:r>
        <w:rPr/>
        <w:t>part</w:t>
      </w:r>
      <w:r>
        <w:rPr>
          <w:spacing w:val="-8"/>
        </w:rPr>
        <w:t> </w:t>
      </w:r>
      <w:r>
        <w:rPr/>
        <w:t>of</w:t>
      </w:r>
      <w:r>
        <w:rPr>
          <w:spacing w:val="-4"/>
        </w:rPr>
        <w:t> </w:t>
      </w:r>
      <w:r>
        <w:rPr/>
        <w:t>Nigeria</w:t>
      </w:r>
      <w:r>
        <w:rPr>
          <w:spacing w:val="-4"/>
        </w:rPr>
        <w:t> </w:t>
      </w:r>
      <w:r>
        <w:rPr>
          <w:spacing w:val="-2"/>
        </w:rPr>
        <w:t>……………..…………………………….</w:t>
      </w:r>
      <w:r>
        <w:rPr/>
        <w:tab/>
      </w:r>
      <w:r>
        <w:rPr>
          <w:spacing w:val="-5"/>
        </w:rPr>
        <w:t>213</w:t>
      </w:r>
    </w:p>
    <w:p>
      <w:pPr>
        <w:pStyle w:val="BodyText"/>
        <w:spacing w:before="2"/>
      </w:pPr>
    </w:p>
    <w:p>
      <w:pPr>
        <w:pStyle w:val="ListParagraph"/>
        <w:numPr>
          <w:ilvl w:val="2"/>
          <w:numId w:val="15"/>
        </w:numPr>
        <w:tabs>
          <w:tab w:pos="877" w:val="left" w:leader="none"/>
          <w:tab w:pos="880" w:val="left" w:leader="none"/>
        </w:tabs>
        <w:spacing w:line="237" w:lineRule="auto" w:before="0" w:after="0"/>
        <w:ind w:left="880" w:right="1439" w:hanging="720"/>
        <w:jc w:val="left"/>
        <w:rPr>
          <w:sz w:val="24"/>
        </w:rPr>
      </w:pPr>
      <w:r>
        <w:rPr>
          <w:sz w:val="24"/>
        </w:rPr>
        <w:t>Analysis</w:t>
      </w:r>
      <w:r>
        <w:rPr>
          <w:spacing w:val="-5"/>
          <w:sz w:val="24"/>
        </w:rPr>
        <w:t> </w:t>
      </w:r>
      <w:r>
        <w:rPr>
          <w:sz w:val="24"/>
        </w:rPr>
        <w:t>of</w:t>
      </w:r>
      <w:r>
        <w:rPr>
          <w:spacing w:val="-5"/>
          <w:sz w:val="24"/>
        </w:rPr>
        <w:t> </w:t>
      </w:r>
      <w:r>
        <w:rPr>
          <w:sz w:val="24"/>
        </w:rPr>
        <w:t>Variance</w:t>
      </w:r>
      <w:r>
        <w:rPr>
          <w:spacing w:val="-7"/>
          <w:sz w:val="24"/>
        </w:rPr>
        <w:t> </w:t>
      </w:r>
      <w:r>
        <w:rPr>
          <w:sz w:val="24"/>
        </w:rPr>
        <w:t>(ANOVA)</w:t>
      </w:r>
      <w:r>
        <w:rPr>
          <w:spacing w:val="-3"/>
          <w:sz w:val="24"/>
        </w:rPr>
        <w:t> </w:t>
      </w:r>
      <w:r>
        <w:rPr>
          <w:sz w:val="24"/>
        </w:rPr>
        <w:t>on</w:t>
      </w:r>
      <w:r>
        <w:rPr>
          <w:spacing w:val="-4"/>
          <w:sz w:val="24"/>
        </w:rPr>
        <w:t> </w:t>
      </w:r>
      <w:r>
        <w:rPr>
          <w:sz w:val="24"/>
        </w:rPr>
        <w:t>the</w:t>
      </w:r>
      <w:r>
        <w:rPr>
          <w:spacing w:val="-4"/>
          <w:sz w:val="24"/>
        </w:rPr>
        <w:t> </w:t>
      </w:r>
      <w:r>
        <w:rPr>
          <w:sz w:val="24"/>
        </w:rPr>
        <w:t>perceived</w:t>
      </w:r>
      <w:r>
        <w:rPr>
          <w:spacing w:val="-4"/>
          <w:sz w:val="24"/>
        </w:rPr>
        <w:t> </w:t>
      </w:r>
      <w:r>
        <w:rPr>
          <w:sz w:val="24"/>
        </w:rPr>
        <w:t>strategies</w:t>
      </w:r>
      <w:r>
        <w:rPr>
          <w:spacing w:val="-5"/>
          <w:sz w:val="24"/>
        </w:rPr>
        <w:t> </w:t>
      </w:r>
      <w:r>
        <w:rPr>
          <w:sz w:val="24"/>
        </w:rPr>
        <w:t>for</w:t>
      </w:r>
      <w:r>
        <w:rPr>
          <w:spacing w:val="-3"/>
          <w:sz w:val="24"/>
        </w:rPr>
        <w:t> </w:t>
      </w:r>
      <w:r>
        <w:rPr>
          <w:sz w:val="24"/>
        </w:rPr>
        <w:t>effective management of students’ welfare services in Universities</w:t>
      </w:r>
    </w:p>
    <w:p>
      <w:pPr>
        <w:pStyle w:val="BodyText"/>
        <w:tabs>
          <w:tab w:pos="9068" w:val="left" w:leader="none"/>
        </w:tabs>
        <w:spacing w:before="4"/>
        <w:ind w:left="880"/>
      </w:pPr>
      <w:r>
        <w:rPr/>
        <w:t>in</w:t>
      </w:r>
      <w:r>
        <w:rPr>
          <w:spacing w:val="-6"/>
        </w:rPr>
        <w:t> </w:t>
      </w:r>
      <w:r>
        <w:rPr/>
        <w:t>three</w:t>
      </w:r>
      <w:r>
        <w:rPr>
          <w:spacing w:val="-9"/>
        </w:rPr>
        <w:t> </w:t>
      </w:r>
      <w:r>
        <w:rPr/>
        <w:t>geopolitical</w:t>
      </w:r>
      <w:r>
        <w:rPr>
          <w:spacing w:val="-3"/>
        </w:rPr>
        <w:t> </w:t>
      </w:r>
      <w:r>
        <w:rPr/>
        <w:t>zones</w:t>
      </w:r>
      <w:r>
        <w:rPr>
          <w:spacing w:val="-11"/>
        </w:rPr>
        <w:t> </w:t>
      </w:r>
      <w:r>
        <w:rPr/>
        <w:t>in</w:t>
      </w:r>
      <w:r>
        <w:rPr>
          <w:spacing w:val="-5"/>
        </w:rPr>
        <w:t> </w:t>
      </w:r>
      <w:r>
        <w:rPr/>
        <w:t>Northern</w:t>
      </w:r>
      <w:r>
        <w:rPr>
          <w:spacing w:val="-5"/>
        </w:rPr>
        <w:t> </w:t>
      </w:r>
      <w:r>
        <w:rPr/>
        <w:t>part</w:t>
      </w:r>
      <w:r>
        <w:rPr>
          <w:spacing w:val="-7"/>
        </w:rPr>
        <w:t> </w:t>
      </w:r>
      <w:r>
        <w:rPr/>
        <w:t>of</w:t>
      </w:r>
      <w:r>
        <w:rPr>
          <w:spacing w:val="-10"/>
        </w:rPr>
        <w:t> </w:t>
      </w:r>
      <w:r>
        <w:rPr/>
        <w:t>Nigeria</w:t>
      </w:r>
      <w:r>
        <w:rPr>
          <w:spacing w:val="-5"/>
        </w:rPr>
        <w:t> </w:t>
      </w:r>
      <w:r>
        <w:rPr>
          <w:spacing w:val="-2"/>
        </w:rPr>
        <w:t>…………….……..</w:t>
      </w:r>
      <w:r>
        <w:rPr/>
        <w:tab/>
      </w:r>
      <w:r>
        <w:rPr>
          <w:spacing w:val="-5"/>
        </w:rPr>
        <w:t>215</w:t>
      </w:r>
    </w:p>
    <w:p>
      <w:pPr>
        <w:spacing w:after="0"/>
        <w:sectPr>
          <w:headerReference w:type="default" r:id="rId28"/>
          <w:footerReference w:type="default" r:id="rId29"/>
          <w:pgSz w:w="12240" w:h="15840"/>
          <w:pgMar w:header="722" w:footer="791" w:top="1060" w:bottom="980" w:left="1280" w:right="1140"/>
        </w:sectPr>
      </w:pPr>
    </w:p>
    <w:p>
      <w:pPr>
        <w:pStyle w:val="ListParagraph"/>
        <w:numPr>
          <w:ilvl w:val="2"/>
          <w:numId w:val="15"/>
        </w:numPr>
        <w:tabs>
          <w:tab w:pos="920" w:val="left" w:leader="none"/>
          <w:tab w:pos="9494" w:val="right" w:leader="none"/>
        </w:tabs>
        <w:spacing w:line="240" w:lineRule="auto" w:before="362" w:after="0"/>
        <w:ind w:left="920" w:right="0" w:hanging="736"/>
        <w:jc w:val="left"/>
        <w:rPr>
          <w:sz w:val="24"/>
        </w:rPr>
      </w:pPr>
      <w:r>
        <w:rPr>
          <w:sz w:val="24"/>
        </w:rPr>
        <w:t>Summary</w:t>
      </w:r>
      <w:r>
        <w:rPr>
          <w:spacing w:val="-10"/>
          <w:sz w:val="24"/>
        </w:rPr>
        <w:t> </w:t>
      </w:r>
      <w:r>
        <w:rPr>
          <w:sz w:val="24"/>
        </w:rPr>
        <w:t>of</w:t>
      </w:r>
      <w:r>
        <w:rPr>
          <w:spacing w:val="-10"/>
          <w:sz w:val="24"/>
        </w:rPr>
        <w:t> </w:t>
      </w:r>
      <w:r>
        <w:rPr>
          <w:sz w:val="24"/>
        </w:rPr>
        <w:t>Hypotheses</w:t>
      </w:r>
      <w:r>
        <w:rPr>
          <w:spacing w:val="-10"/>
          <w:sz w:val="24"/>
        </w:rPr>
        <w:t> </w:t>
      </w:r>
      <w:r>
        <w:rPr>
          <w:spacing w:val="-2"/>
          <w:sz w:val="24"/>
        </w:rPr>
        <w:t>Testing…………………………………………..</w:t>
      </w:r>
      <w:r>
        <w:rPr>
          <w:sz w:val="24"/>
        </w:rPr>
        <w:tab/>
      </w:r>
      <w:r>
        <w:rPr>
          <w:spacing w:val="-5"/>
          <w:sz w:val="24"/>
        </w:rPr>
        <w:t>230</w:t>
      </w:r>
    </w:p>
    <w:p>
      <w:pPr>
        <w:spacing w:after="0" w:line="240" w:lineRule="auto"/>
        <w:jc w:val="left"/>
        <w:rPr>
          <w:sz w:val="24"/>
        </w:rPr>
        <w:sectPr>
          <w:headerReference w:type="default" r:id="rId30"/>
          <w:footerReference w:type="default" r:id="rId31"/>
          <w:pgSz w:w="12240" w:h="15840"/>
          <w:pgMar w:header="722" w:footer="791" w:top="1060" w:bottom="980" w:left="1280" w:right="1140"/>
        </w:sectPr>
      </w:pPr>
    </w:p>
    <w:p>
      <w:pPr>
        <w:pStyle w:val="Heading3"/>
        <w:spacing w:line="275" w:lineRule="exact" w:before="357"/>
        <w:ind w:left="3040"/>
        <w:jc w:val="left"/>
      </w:pPr>
      <w:r>
        <w:rPr>
          <w:u w:val="single"/>
        </w:rPr>
        <w:t>LIST</w:t>
      </w:r>
      <w:r>
        <w:rPr>
          <w:spacing w:val="-1"/>
          <w:u w:val="single"/>
        </w:rPr>
        <w:t> </w:t>
      </w:r>
      <w:r>
        <w:rPr>
          <w:u w:val="single"/>
        </w:rPr>
        <w:t>OF</w:t>
      </w:r>
      <w:r>
        <w:rPr>
          <w:spacing w:val="-8"/>
          <w:u w:val="single"/>
        </w:rPr>
        <w:t> </w:t>
      </w:r>
      <w:r>
        <w:rPr>
          <w:spacing w:val="-2"/>
          <w:u w:val="single"/>
        </w:rPr>
        <w:t>FIGURES</w:t>
      </w:r>
    </w:p>
    <w:p>
      <w:pPr>
        <w:pStyle w:val="Heading3"/>
        <w:spacing w:line="275" w:lineRule="exact"/>
        <w:ind w:left="8080"/>
        <w:jc w:val="left"/>
      </w:pPr>
      <w:r>
        <w:rPr>
          <w:spacing w:val="-2"/>
        </w:rPr>
        <w:t>PAGES</w:t>
      </w:r>
    </w:p>
    <w:p>
      <w:pPr>
        <w:pStyle w:val="ListParagraph"/>
        <w:numPr>
          <w:ilvl w:val="1"/>
          <w:numId w:val="5"/>
        </w:numPr>
        <w:tabs>
          <w:tab w:pos="879" w:val="left" w:leader="none"/>
        </w:tabs>
        <w:spacing w:line="240" w:lineRule="auto" w:before="281" w:after="0"/>
        <w:ind w:left="879" w:right="0" w:hanging="719"/>
        <w:jc w:val="left"/>
        <w:rPr>
          <w:sz w:val="24"/>
        </w:rPr>
      </w:pPr>
      <w:r>
        <w:rPr>
          <w:sz w:val="24"/>
        </w:rPr>
        <w:t>Model</w:t>
      </w:r>
      <w:r>
        <w:rPr>
          <w:spacing w:val="-4"/>
          <w:sz w:val="24"/>
        </w:rPr>
        <w:t> </w:t>
      </w:r>
      <w:r>
        <w:rPr>
          <w:sz w:val="24"/>
        </w:rPr>
        <w:t>for</w:t>
      </w:r>
      <w:r>
        <w:rPr>
          <w:spacing w:val="-6"/>
          <w:sz w:val="24"/>
        </w:rPr>
        <w:t> </w:t>
      </w:r>
      <w:r>
        <w:rPr>
          <w:sz w:val="24"/>
        </w:rPr>
        <w:t>the</w:t>
      </w:r>
      <w:r>
        <w:rPr>
          <w:spacing w:val="-7"/>
          <w:sz w:val="24"/>
        </w:rPr>
        <w:t> </w:t>
      </w:r>
      <w:r>
        <w:rPr>
          <w:sz w:val="24"/>
        </w:rPr>
        <w:t>management</w:t>
      </w:r>
      <w:r>
        <w:rPr>
          <w:spacing w:val="-7"/>
          <w:sz w:val="24"/>
        </w:rPr>
        <w:t> </w:t>
      </w:r>
      <w:r>
        <w:rPr>
          <w:sz w:val="24"/>
        </w:rPr>
        <w:t>of</w:t>
      </w:r>
      <w:r>
        <w:rPr>
          <w:spacing w:val="-7"/>
          <w:sz w:val="24"/>
        </w:rPr>
        <w:t> </w:t>
      </w:r>
      <w:r>
        <w:rPr>
          <w:sz w:val="24"/>
        </w:rPr>
        <w:t>students’</w:t>
      </w:r>
      <w:r>
        <w:rPr>
          <w:spacing w:val="-8"/>
          <w:sz w:val="24"/>
        </w:rPr>
        <w:t> </w:t>
      </w:r>
      <w:r>
        <w:rPr>
          <w:spacing w:val="-2"/>
          <w:sz w:val="24"/>
        </w:rPr>
        <w:t>welfare</w:t>
      </w:r>
    </w:p>
    <w:p>
      <w:pPr>
        <w:pStyle w:val="BodyText"/>
        <w:tabs>
          <w:tab w:pos="8348" w:val="left" w:leader="dot"/>
        </w:tabs>
        <w:spacing w:before="3"/>
        <w:ind w:left="880"/>
      </w:pPr>
      <w:r>
        <w:rPr/>
        <w:t>services</w:t>
      </w:r>
      <w:r>
        <w:rPr>
          <w:spacing w:val="-10"/>
        </w:rPr>
        <w:t> </w:t>
      </w:r>
      <w:r>
        <w:rPr/>
        <w:t>in</w:t>
      </w:r>
      <w:r>
        <w:rPr>
          <w:spacing w:val="-4"/>
        </w:rPr>
        <w:t> </w:t>
      </w:r>
      <w:r>
        <w:rPr/>
        <w:t>the</w:t>
      </w:r>
      <w:r>
        <w:rPr>
          <w:spacing w:val="-7"/>
        </w:rPr>
        <w:t> </w:t>
      </w:r>
      <w:r>
        <w:rPr/>
        <w:t>University</w:t>
      </w:r>
      <w:r>
        <w:rPr>
          <w:spacing w:val="-5"/>
        </w:rPr>
        <w:t> </w:t>
      </w:r>
      <w:r>
        <w:rPr>
          <w:spacing w:val="-2"/>
        </w:rPr>
        <w:t>system</w:t>
      </w:r>
      <w:r>
        <w:rPr/>
        <w:tab/>
      </w:r>
      <w:r>
        <w:rPr>
          <w:spacing w:val="-5"/>
        </w:rPr>
        <w:t>260</w:t>
      </w:r>
    </w:p>
    <w:p>
      <w:pPr>
        <w:spacing w:after="0"/>
        <w:sectPr>
          <w:headerReference w:type="default" r:id="rId32"/>
          <w:footerReference w:type="default" r:id="rId33"/>
          <w:pgSz w:w="12240" w:h="15840"/>
          <w:pgMar w:header="722" w:footer="791" w:top="1060" w:bottom="980" w:left="1280" w:right="1140"/>
        </w:sectPr>
      </w:pPr>
    </w:p>
    <w:p>
      <w:pPr>
        <w:pStyle w:val="BodyText"/>
        <w:spacing w:before="135"/>
        <w:rPr>
          <w:sz w:val="20"/>
        </w:rPr>
      </w:pPr>
    </w:p>
    <w:tbl>
      <w:tblPr>
        <w:tblW w:w="0" w:type="auto"/>
        <w:jc w:val="left"/>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90"/>
        <w:gridCol w:w="6512"/>
        <w:gridCol w:w="906"/>
      </w:tblGrid>
      <w:tr>
        <w:trPr>
          <w:trHeight w:val="410" w:hRule="atLeast"/>
        </w:trPr>
        <w:tc>
          <w:tcPr>
            <w:tcW w:w="1890" w:type="dxa"/>
            <w:vMerge w:val="restart"/>
          </w:tcPr>
          <w:p>
            <w:pPr>
              <w:pStyle w:val="TableParagraph"/>
              <w:rPr>
                <w:rFonts w:ascii="Times New Roman"/>
                <w:sz w:val="22"/>
              </w:rPr>
            </w:pPr>
          </w:p>
        </w:tc>
        <w:tc>
          <w:tcPr>
            <w:tcW w:w="6512" w:type="dxa"/>
          </w:tcPr>
          <w:p>
            <w:pPr>
              <w:pStyle w:val="TableParagraph"/>
              <w:spacing w:line="268" w:lineRule="exact"/>
              <w:ind w:left="1563"/>
              <w:rPr>
                <w:rFonts w:ascii="Arial"/>
                <w:b/>
                <w:sz w:val="24"/>
              </w:rPr>
            </w:pPr>
            <w:r>
              <w:rPr>
                <w:rFonts w:ascii="Arial"/>
                <w:b/>
                <w:sz w:val="24"/>
              </w:rPr>
              <w:t>LIST OF</w:t>
            </w:r>
            <w:r>
              <w:rPr>
                <w:rFonts w:ascii="Arial"/>
                <w:b/>
                <w:spacing w:val="-5"/>
                <w:sz w:val="24"/>
              </w:rPr>
              <w:t> </w:t>
            </w:r>
            <w:r>
              <w:rPr>
                <w:rFonts w:ascii="Arial"/>
                <w:b/>
                <w:spacing w:val="-2"/>
                <w:sz w:val="24"/>
              </w:rPr>
              <w:t>APPENDICES</w:t>
            </w:r>
          </w:p>
        </w:tc>
        <w:tc>
          <w:tcPr>
            <w:tcW w:w="906" w:type="dxa"/>
          </w:tcPr>
          <w:p>
            <w:pPr>
              <w:pStyle w:val="TableParagraph"/>
              <w:rPr>
                <w:rFonts w:ascii="Times New Roman"/>
                <w:sz w:val="22"/>
              </w:rPr>
            </w:pPr>
          </w:p>
        </w:tc>
      </w:tr>
      <w:tr>
        <w:trPr>
          <w:trHeight w:val="552" w:hRule="atLeast"/>
        </w:trPr>
        <w:tc>
          <w:tcPr>
            <w:tcW w:w="1890" w:type="dxa"/>
            <w:vMerge/>
            <w:tcBorders>
              <w:top w:val="nil"/>
            </w:tcBorders>
          </w:tcPr>
          <w:p>
            <w:pPr>
              <w:rPr>
                <w:sz w:val="2"/>
                <w:szCs w:val="2"/>
              </w:rPr>
            </w:pPr>
          </w:p>
        </w:tc>
        <w:tc>
          <w:tcPr>
            <w:tcW w:w="6512" w:type="dxa"/>
          </w:tcPr>
          <w:p>
            <w:pPr>
              <w:pStyle w:val="TableParagraph"/>
              <w:rPr>
                <w:rFonts w:ascii="Times New Roman"/>
                <w:sz w:val="22"/>
              </w:rPr>
            </w:pPr>
          </w:p>
        </w:tc>
        <w:tc>
          <w:tcPr>
            <w:tcW w:w="906" w:type="dxa"/>
          </w:tcPr>
          <w:p>
            <w:pPr>
              <w:pStyle w:val="TableParagraph"/>
              <w:spacing w:before="134"/>
              <w:ind w:left="141" w:right="9"/>
              <w:jc w:val="center"/>
              <w:rPr>
                <w:rFonts w:ascii="Arial"/>
                <w:b/>
                <w:sz w:val="24"/>
              </w:rPr>
            </w:pPr>
            <w:r>
              <w:rPr>
                <w:rFonts w:ascii="Arial"/>
                <w:b/>
                <w:spacing w:val="-4"/>
                <w:sz w:val="24"/>
              </w:rPr>
              <w:t>PAGE</w:t>
            </w:r>
          </w:p>
        </w:tc>
      </w:tr>
      <w:tr>
        <w:trPr>
          <w:trHeight w:val="551" w:hRule="atLeast"/>
        </w:trPr>
        <w:tc>
          <w:tcPr>
            <w:tcW w:w="1890" w:type="dxa"/>
          </w:tcPr>
          <w:p>
            <w:pPr>
              <w:pStyle w:val="TableParagraph"/>
              <w:spacing w:before="134"/>
              <w:ind w:left="50"/>
              <w:rPr>
                <w:rFonts w:ascii="Arial"/>
                <w:b/>
                <w:sz w:val="24"/>
              </w:rPr>
            </w:pPr>
            <w:r>
              <w:rPr>
                <w:rFonts w:ascii="Arial"/>
                <w:b/>
                <w:sz w:val="24"/>
              </w:rPr>
              <w:t>Appendix</w:t>
            </w:r>
            <w:r>
              <w:rPr>
                <w:rFonts w:ascii="Arial"/>
                <w:b/>
                <w:spacing w:val="-5"/>
                <w:sz w:val="24"/>
              </w:rPr>
              <w:t> </w:t>
            </w:r>
            <w:r>
              <w:rPr>
                <w:rFonts w:ascii="Arial"/>
                <w:b/>
                <w:sz w:val="24"/>
              </w:rPr>
              <w:t>A</w:t>
            </w:r>
            <w:r>
              <w:rPr>
                <w:rFonts w:ascii="Arial"/>
                <w:b/>
                <w:spacing w:val="30"/>
                <w:sz w:val="24"/>
              </w:rPr>
              <w:t> </w:t>
            </w:r>
            <w:r>
              <w:rPr>
                <w:rFonts w:ascii="Arial"/>
                <w:b/>
                <w:spacing w:val="-10"/>
                <w:sz w:val="24"/>
              </w:rPr>
              <w:t>-</w:t>
            </w:r>
          </w:p>
        </w:tc>
        <w:tc>
          <w:tcPr>
            <w:tcW w:w="6512" w:type="dxa"/>
          </w:tcPr>
          <w:p>
            <w:pPr>
              <w:pStyle w:val="TableParagraph"/>
              <w:spacing w:before="134"/>
              <w:ind w:right="247"/>
              <w:jc w:val="right"/>
              <w:rPr>
                <w:sz w:val="24"/>
              </w:rPr>
            </w:pPr>
            <w:r>
              <w:rPr>
                <w:spacing w:val="-2"/>
                <w:sz w:val="24"/>
              </w:rPr>
              <w:t>Questionnaire………………………………………………..</w:t>
            </w:r>
          </w:p>
        </w:tc>
        <w:tc>
          <w:tcPr>
            <w:tcW w:w="906" w:type="dxa"/>
          </w:tcPr>
          <w:p>
            <w:pPr>
              <w:pStyle w:val="TableParagraph"/>
              <w:spacing w:before="134"/>
              <w:ind w:left="71"/>
              <w:jc w:val="center"/>
              <w:rPr>
                <w:sz w:val="24"/>
              </w:rPr>
            </w:pPr>
            <w:r>
              <w:rPr>
                <w:spacing w:val="-5"/>
                <w:sz w:val="24"/>
              </w:rPr>
              <w:t>265</w:t>
            </w:r>
          </w:p>
        </w:tc>
      </w:tr>
      <w:tr>
        <w:trPr>
          <w:trHeight w:val="828" w:hRule="atLeast"/>
        </w:trPr>
        <w:tc>
          <w:tcPr>
            <w:tcW w:w="1890" w:type="dxa"/>
          </w:tcPr>
          <w:p>
            <w:pPr>
              <w:pStyle w:val="TableParagraph"/>
              <w:spacing w:before="134"/>
              <w:ind w:left="50"/>
              <w:rPr>
                <w:rFonts w:ascii="Arial"/>
                <w:b/>
                <w:sz w:val="24"/>
              </w:rPr>
            </w:pPr>
            <w:r>
              <w:rPr>
                <w:rFonts w:ascii="Arial"/>
                <w:b/>
                <w:sz w:val="24"/>
              </w:rPr>
              <w:t>Appendix</w:t>
            </w:r>
            <w:r>
              <w:rPr>
                <w:rFonts w:ascii="Arial"/>
                <w:b/>
                <w:spacing w:val="-5"/>
                <w:sz w:val="24"/>
              </w:rPr>
              <w:t> </w:t>
            </w:r>
            <w:r>
              <w:rPr>
                <w:rFonts w:ascii="Arial"/>
                <w:b/>
                <w:sz w:val="24"/>
              </w:rPr>
              <w:t>B</w:t>
            </w:r>
            <w:r>
              <w:rPr>
                <w:rFonts w:ascii="Arial"/>
                <w:b/>
                <w:spacing w:val="30"/>
                <w:sz w:val="24"/>
              </w:rPr>
              <w:t> </w:t>
            </w:r>
            <w:r>
              <w:rPr>
                <w:rFonts w:ascii="Arial"/>
                <w:b/>
                <w:spacing w:val="-10"/>
                <w:sz w:val="24"/>
              </w:rPr>
              <w:t>-</w:t>
            </w:r>
          </w:p>
        </w:tc>
        <w:tc>
          <w:tcPr>
            <w:tcW w:w="6512" w:type="dxa"/>
          </w:tcPr>
          <w:p>
            <w:pPr>
              <w:pStyle w:val="TableParagraph"/>
              <w:spacing w:line="242" w:lineRule="auto" w:before="134"/>
              <w:ind w:left="320"/>
              <w:rPr>
                <w:sz w:val="24"/>
              </w:rPr>
            </w:pPr>
            <w:r>
              <w:rPr>
                <w:sz w:val="24"/>
              </w:rPr>
              <w:t>Exhibits on advertisement for sale of bedspaces by </w:t>
            </w:r>
            <w:r>
              <w:rPr>
                <w:spacing w:val="-2"/>
                <w:sz w:val="24"/>
              </w:rPr>
              <w:t>Students……………………………………………………....</w:t>
            </w:r>
          </w:p>
        </w:tc>
        <w:tc>
          <w:tcPr>
            <w:tcW w:w="906" w:type="dxa"/>
          </w:tcPr>
          <w:p>
            <w:pPr>
              <w:pStyle w:val="TableParagraph"/>
              <w:spacing w:before="136"/>
              <w:rPr>
                <w:sz w:val="24"/>
              </w:rPr>
            </w:pPr>
          </w:p>
          <w:p>
            <w:pPr>
              <w:pStyle w:val="TableParagraph"/>
              <w:ind w:left="71"/>
              <w:jc w:val="center"/>
              <w:rPr>
                <w:sz w:val="24"/>
              </w:rPr>
            </w:pPr>
            <w:r>
              <w:rPr>
                <w:spacing w:val="-5"/>
                <w:sz w:val="24"/>
              </w:rPr>
              <w:t>281</w:t>
            </w:r>
          </w:p>
        </w:tc>
      </w:tr>
      <w:tr>
        <w:trPr>
          <w:trHeight w:val="415" w:hRule="atLeast"/>
        </w:trPr>
        <w:tc>
          <w:tcPr>
            <w:tcW w:w="1890" w:type="dxa"/>
          </w:tcPr>
          <w:p>
            <w:pPr>
              <w:pStyle w:val="TableParagraph"/>
              <w:spacing w:line="264" w:lineRule="exact" w:before="131"/>
              <w:ind w:left="50"/>
              <w:rPr>
                <w:rFonts w:ascii="Arial"/>
                <w:b/>
                <w:sz w:val="24"/>
              </w:rPr>
            </w:pPr>
            <w:r>
              <w:rPr>
                <w:rFonts w:ascii="Arial"/>
                <w:b/>
                <w:sz w:val="24"/>
              </w:rPr>
              <w:t>Appendix</w:t>
            </w:r>
            <w:r>
              <w:rPr>
                <w:rFonts w:ascii="Arial"/>
                <w:b/>
                <w:spacing w:val="-11"/>
                <w:sz w:val="24"/>
              </w:rPr>
              <w:t> </w:t>
            </w:r>
            <w:r>
              <w:rPr>
                <w:rFonts w:ascii="Arial"/>
                <w:b/>
                <w:spacing w:val="-7"/>
                <w:sz w:val="24"/>
              </w:rPr>
              <w:t>C-</w:t>
            </w:r>
          </w:p>
        </w:tc>
        <w:tc>
          <w:tcPr>
            <w:tcW w:w="6512" w:type="dxa"/>
          </w:tcPr>
          <w:p>
            <w:pPr>
              <w:pStyle w:val="TableParagraph"/>
              <w:spacing w:line="264" w:lineRule="exact" w:before="131"/>
              <w:ind w:right="264"/>
              <w:jc w:val="right"/>
              <w:rPr>
                <w:sz w:val="24"/>
              </w:rPr>
            </w:pPr>
            <w:r>
              <w:rPr>
                <w:sz w:val="24"/>
              </w:rPr>
              <w:t>Krejcie</w:t>
            </w:r>
            <w:r>
              <w:rPr>
                <w:spacing w:val="-7"/>
                <w:sz w:val="24"/>
              </w:rPr>
              <w:t> </w:t>
            </w:r>
            <w:r>
              <w:rPr>
                <w:sz w:val="24"/>
              </w:rPr>
              <w:t>and</w:t>
            </w:r>
            <w:r>
              <w:rPr>
                <w:spacing w:val="-7"/>
                <w:sz w:val="24"/>
              </w:rPr>
              <w:t> </w:t>
            </w:r>
            <w:r>
              <w:rPr>
                <w:sz w:val="24"/>
              </w:rPr>
              <w:t>Morgan’s</w:t>
            </w:r>
            <w:r>
              <w:rPr>
                <w:spacing w:val="-12"/>
                <w:sz w:val="24"/>
              </w:rPr>
              <w:t> </w:t>
            </w:r>
            <w:r>
              <w:rPr>
                <w:sz w:val="24"/>
              </w:rPr>
              <w:t>Table</w:t>
            </w:r>
            <w:r>
              <w:rPr>
                <w:spacing w:val="-11"/>
                <w:sz w:val="24"/>
              </w:rPr>
              <w:t> </w:t>
            </w:r>
            <w:r>
              <w:rPr>
                <w:sz w:val="24"/>
              </w:rPr>
              <w:t>for</w:t>
            </w:r>
            <w:r>
              <w:rPr>
                <w:spacing w:val="-10"/>
                <w:sz w:val="24"/>
              </w:rPr>
              <w:t> </w:t>
            </w:r>
            <w:r>
              <w:rPr>
                <w:sz w:val="24"/>
              </w:rPr>
              <w:t>determining</w:t>
            </w:r>
            <w:r>
              <w:rPr>
                <w:spacing w:val="-7"/>
                <w:sz w:val="24"/>
              </w:rPr>
              <w:t> </w:t>
            </w:r>
            <w:r>
              <w:rPr>
                <w:sz w:val="24"/>
              </w:rPr>
              <w:t>sample</w:t>
            </w:r>
            <w:r>
              <w:rPr>
                <w:spacing w:val="-7"/>
                <w:sz w:val="24"/>
              </w:rPr>
              <w:t> </w:t>
            </w:r>
            <w:r>
              <w:rPr>
                <w:spacing w:val="-4"/>
                <w:sz w:val="24"/>
              </w:rPr>
              <w:t>size</w:t>
            </w:r>
          </w:p>
        </w:tc>
        <w:tc>
          <w:tcPr>
            <w:tcW w:w="906" w:type="dxa"/>
          </w:tcPr>
          <w:p>
            <w:pPr>
              <w:pStyle w:val="TableParagraph"/>
              <w:rPr>
                <w:rFonts w:ascii="Times New Roman"/>
                <w:sz w:val="22"/>
              </w:rPr>
            </w:pPr>
          </w:p>
        </w:tc>
      </w:tr>
      <w:tr>
        <w:trPr>
          <w:trHeight w:val="275" w:hRule="atLeast"/>
        </w:trPr>
        <w:tc>
          <w:tcPr>
            <w:tcW w:w="1890" w:type="dxa"/>
          </w:tcPr>
          <w:p>
            <w:pPr>
              <w:pStyle w:val="TableParagraph"/>
              <w:rPr>
                <w:rFonts w:ascii="Times New Roman"/>
                <w:sz w:val="20"/>
              </w:rPr>
            </w:pPr>
          </w:p>
        </w:tc>
        <w:tc>
          <w:tcPr>
            <w:tcW w:w="6512" w:type="dxa"/>
          </w:tcPr>
          <w:p>
            <w:pPr>
              <w:pStyle w:val="TableParagraph"/>
              <w:spacing w:line="256" w:lineRule="exact"/>
              <w:ind w:right="229"/>
              <w:jc w:val="right"/>
              <w:rPr>
                <w:sz w:val="24"/>
              </w:rPr>
            </w:pPr>
            <w:r>
              <w:rPr>
                <w:sz w:val="24"/>
              </w:rPr>
              <w:t>From</w:t>
            </w:r>
            <w:r>
              <w:rPr>
                <w:spacing w:val="-12"/>
                <w:sz w:val="24"/>
              </w:rPr>
              <w:t> </w:t>
            </w:r>
            <w:r>
              <w:rPr>
                <w:sz w:val="24"/>
              </w:rPr>
              <w:t>a</w:t>
            </w:r>
            <w:r>
              <w:rPr>
                <w:spacing w:val="-3"/>
                <w:sz w:val="24"/>
              </w:rPr>
              <w:t> </w:t>
            </w:r>
            <w:r>
              <w:rPr>
                <w:sz w:val="24"/>
              </w:rPr>
              <w:t>given</w:t>
            </w:r>
            <w:r>
              <w:rPr>
                <w:spacing w:val="-7"/>
                <w:sz w:val="24"/>
              </w:rPr>
              <w:t> </w:t>
            </w:r>
            <w:r>
              <w:rPr>
                <w:sz w:val="24"/>
              </w:rPr>
              <w:t>population</w:t>
            </w:r>
            <w:r>
              <w:rPr>
                <w:spacing w:val="-3"/>
                <w:sz w:val="24"/>
              </w:rPr>
              <w:t> </w:t>
            </w:r>
            <w:r>
              <w:rPr>
                <w:spacing w:val="-2"/>
                <w:sz w:val="24"/>
              </w:rPr>
              <w:t>…………………………………...</w:t>
            </w:r>
          </w:p>
        </w:tc>
        <w:tc>
          <w:tcPr>
            <w:tcW w:w="906" w:type="dxa"/>
          </w:tcPr>
          <w:p>
            <w:pPr>
              <w:pStyle w:val="TableParagraph"/>
              <w:spacing w:line="256" w:lineRule="exact"/>
              <w:ind w:left="71"/>
              <w:jc w:val="center"/>
              <w:rPr>
                <w:sz w:val="24"/>
              </w:rPr>
            </w:pPr>
            <w:r>
              <w:rPr>
                <w:spacing w:val="-5"/>
                <w:sz w:val="24"/>
              </w:rPr>
              <w:t>290</w:t>
            </w:r>
          </w:p>
        </w:tc>
      </w:tr>
    </w:tbl>
    <w:p>
      <w:pPr>
        <w:spacing w:after="0" w:line="256" w:lineRule="exact"/>
        <w:jc w:val="center"/>
        <w:rPr>
          <w:sz w:val="24"/>
        </w:rPr>
        <w:sectPr>
          <w:headerReference w:type="default" r:id="rId34"/>
          <w:footerReference w:type="default" r:id="rId35"/>
          <w:pgSz w:w="12240" w:h="15840"/>
          <w:pgMar w:header="722" w:footer="791" w:top="1060" w:bottom="980" w:left="1280" w:right="1140"/>
        </w:sectPr>
      </w:pPr>
    </w:p>
    <w:p>
      <w:pPr>
        <w:pStyle w:val="BodyText"/>
        <w:spacing w:before="81"/>
      </w:pPr>
    </w:p>
    <w:p>
      <w:pPr>
        <w:pStyle w:val="Heading3"/>
        <w:ind w:left="0" w:right="134"/>
      </w:pPr>
      <w:bookmarkStart w:name="_TOC_250062" w:id="6"/>
      <w:r>
        <w:rPr/>
        <w:t>ABBREVIATIONS,</w:t>
      </w:r>
      <w:r>
        <w:rPr>
          <w:spacing w:val="-15"/>
        </w:rPr>
        <w:t> </w:t>
      </w:r>
      <w:r>
        <w:rPr/>
        <w:t>ACRONYMS</w:t>
      </w:r>
      <w:r>
        <w:rPr>
          <w:spacing w:val="-16"/>
        </w:rPr>
        <w:t> </w:t>
      </w:r>
      <w:r>
        <w:rPr/>
        <w:t>AND</w:t>
      </w:r>
      <w:r>
        <w:rPr>
          <w:spacing w:val="-14"/>
        </w:rPr>
        <w:t> </w:t>
      </w:r>
      <w:bookmarkEnd w:id="6"/>
      <w:r>
        <w:rPr>
          <w:spacing w:val="-2"/>
        </w:rPr>
        <w:t>INITIALS</w:t>
      </w:r>
    </w:p>
    <w:p>
      <w:pPr>
        <w:pStyle w:val="BodyText"/>
        <w:spacing w:before="5"/>
        <w:rPr>
          <w:rFonts w:ascii="Arial"/>
          <w:b/>
        </w:rPr>
      </w:pPr>
    </w:p>
    <w:p>
      <w:pPr>
        <w:pStyle w:val="BodyText"/>
        <w:tabs>
          <w:tab w:pos="3039" w:val="left" w:leader="none"/>
          <w:tab w:pos="3759" w:val="left" w:leader="none"/>
        </w:tabs>
        <w:ind w:left="880"/>
      </w:pPr>
      <w:r>
        <w:rPr>
          <w:spacing w:val="-5"/>
        </w:rPr>
        <w:t>MIS</w:t>
      </w:r>
      <w:r>
        <w:rPr/>
        <w:tab/>
      </w:r>
      <w:r>
        <w:rPr>
          <w:spacing w:val="-10"/>
        </w:rPr>
        <w:t>-</w:t>
      </w:r>
      <w:r>
        <w:rPr/>
        <w:tab/>
        <w:t>Management</w:t>
      </w:r>
      <w:r>
        <w:rPr>
          <w:spacing w:val="-15"/>
        </w:rPr>
        <w:t> </w:t>
      </w:r>
      <w:r>
        <w:rPr/>
        <w:t>Information</w:t>
      </w:r>
      <w:r>
        <w:rPr>
          <w:spacing w:val="-14"/>
        </w:rPr>
        <w:t> </w:t>
      </w:r>
      <w:r>
        <w:rPr>
          <w:spacing w:val="-2"/>
        </w:rPr>
        <w:t>Service</w:t>
      </w:r>
    </w:p>
    <w:p>
      <w:pPr>
        <w:pStyle w:val="BodyText"/>
      </w:pPr>
    </w:p>
    <w:p>
      <w:pPr>
        <w:pStyle w:val="BodyText"/>
        <w:tabs>
          <w:tab w:pos="3039" w:val="left" w:leader="none"/>
          <w:tab w:pos="3759" w:val="left" w:leader="none"/>
        </w:tabs>
        <w:ind w:left="880"/>
      </w:pPr>
      <w:r>
        <w:rPr>
          <w:spacing w:val="-5"/>
        </w:rPr>
        <w:t>ABU</w:t>
      </w:r>
      <w:r>
        <w:rPr/>
        <w:tab/>
      </w:r>
      <w:r>
        <w:rPr>
          <w:spacing w:val="-10"/>
        </w:rPr>
        <w:t>-</w:t>
      </w:r>
      <w:r>
        <w:rPr/>
        <w:tab/>
        <w:t>Ahmadu</w:t>
      </w:r>
      <w:r>
        <w:rPr>
          <w:spacing w:val="-7"/>
        </w:rPr>
        <w:t> </w:t>
      </w:r>
      <w:r>
        <w:rPr/>
        <w:t>Bello</w:t>
      </w:r>
      <w:r>
        <w:rPr>
          <w:spacing w:val="-7"/>
        </w:rPr>
        <w:t> </w:t>
      </w:r>
      <w:r>
        <w:rPr>
          <w:spacing w:val="-2"/>
        </w:rPr>
        <w:t>University</w:t>
      </w:r>
    </w:p>
    <w:p>
      <w:pPr>
        <w:pStyle w:val="BodyText"/>
      </w:pPr>
    </w:p>
    <w:p>
      <w:pPr>
        <w:pStyle w:val="BodyText"/>
        <w:tabs>
          <w:tab w:pos="3039" w:val="left" w:leader="none"/>
          <w:tab w:pos="3759" w:val="left" w:leader="none"/>
        </w:tabs>
        <w:spacing w:line="480" w:lineRule="auto"/>
        <w:ind w:left="880" w:right="759"/>
      </w:pPr>
      <w:r>
        <w:rPr>
          <w:spacing w:val="-2"/>
        </w:rPr>
        <w:t>NCAST</w:t>
      </w:r>
      <w:r>
        <w:rPr/>
        <w:tab/>
      </w:r>
      <w:r>
        <w:rPr>
          <w:spacing w:val="-10"/>
        </w:rPr>
        <w:t>-</w:t>
      </w:r>
      <w:r>
        <w:rPr/>
        <w:tab/>
        <w:t>Nigerian</w:t>
      </w:r>
      <w:r>
        <w:rPr>
          <w:spacing w:val="-4"/>
        </w:rPr>
        <w:t> </w:t>
      </w:r>
      <w:r>
        <w:rPr/>
        <w:t>College</w:t>
      </w:r>
      <w:r>
        <w:rPr>
          <w:spacing w:val="-8"/>
        </w:rPr>
        <w:t> </w:t>
      </w:r>
      <w:r>
        <w:rPr/>
        <w:t>of</w:t>
      </w:r>
      <w:r>
        <w:rPr>
          <w:spacing w:val="-5"/>
        </w:rPr>
        <w:t> </w:t>
      </w:r>
      <w:r>
        <w:rPr/>
        <w:t>Arts,</w:t>
      </w:r>
      <w:r>
        <w:rPr>
          <w:spacing w:val="-5"/>
        </w:rPr>
        <w:t> </w:t>
      </w:r>
      <w:r>
        <w:rPr/>
        <w:t>Science</w:t>
      </w:r>
      <w:r>
        <w:rPr>
          <w:spacing w:val="-8"/>
        </w:rPr>
        <w:t> </w:t>
      </w:r>
      <w:r>
        <w:rPr/>
        <w:t>and</w:t>
      </w:r>
      <w:r>
        <w:rPr>
          <w:spacing w:val="-8"/>
        </w:rPr>
        <w:t> </w:t>
      </w:r>
      <w:r>
        <w:rPr/>
        <w:t>Technology </w:t>
      </w:r>
      <w:r>
        <w:rPr>
          <w:spacing w:val="-4"/>
        </w:rPr>
        <w:t>NPE</w:t>
      </w:r>
      <w:r>
        <w:rPr/>
        <w:tab/>
      </w:r>
      <w:r>
        <w:rPr>
          <w:spacing w:val="-10"/>
        </w:rPr>
        <w:t>-</w:t>
      </w:r>
      <w:r>
        <w:rPr/>
        <w:tab/>
        <w:t>National Policy on Education</w:t>
      </w:r>
    </w:p>
    <w:p>
      <w:pPr>
        <w:pStyle w:val="BodyText"/>
        <w:tabs>
          <w:tab w:pos="3039" w:val="left" w:leader="none"/>
          <w:tab w:pos="3759" w:val="left" w:leader="none"/>
        </w:tabs>
        <w:spacing w:line="275" w:lineRule="exact" w:before="1"/>
        <w:ind w:left="880"/>
      </w:pPr>
      <w:r>
        <w:rPr>
          <w:spacing w:val="-2"/>
        </w:rPr>
        <w:t>POSDCORB</w:t>
      </w:r>
      <w:r>
        <w:rPr/>
        <w:tab/>
      </w:r>
      <w:r>
        <w:rPr>
          <w:spacing w:val="-10"/>
        </w:rPr>
        <w:t>-</w:t>
      </w:r>
      <w:r>
        <w:rPr/>
        <w:tab/>
        <w:t>Planning,</w:t>
      </w:r>
      <w:r>
        <w:rPr>
          <w:spacing w:val="-13"/>
        </w:rPr>
        <w:t> </w:t>
      </w:r>
      <w:r>
        <w:rPr/>
        <w:t>Organizing,</w:t>
      </w:r>
      <w:r>
        <w:rPr>
          <w:spacing w:val="-12"/>
        </w:rPr>
        <w:t> </w:t>
      </w:r>
      <w:r>
        <w:rPr/>
        <w:t>Staffing,</w:t>
      </w:r>
      <w:r>
        <w:rPr>
          <w:spacing w:val="-13"/>
        </w:rPr>
        <w:t> </w:t>
      </w:r>
      <w:r>
        <w:rPr>
          <w:spacing w:val="-2"/>
        </w:rPr>
        <w:t>Directing,</w:t>
      </w:r>
    </w:p>
    <w:p>
      <w:pPr>
        <w:pStyle w:val="BodyText"/>
        <w:spacing w:line="275" w:lineRule="exact"/>
        <w:ind w:left="3760"/>
      </w:pPr>
      <w:r>
        <w:rPr/>
        <w:t>Coordinating,</w:t>
      </w:r>
      <w:r>
        <w:rPr>
          <w:spacing w:val="-14"/>
        </w:rPr>
        <w:t> </w:t>
      </w:r>
      <w:r>
        <w:rPr/>
        <w:t>Reporting,</w:t>
      </w:r>
      <w:r>
        <w:rPr>
          <w:spacing w:val="-13"/>
        </w:rPr>
        <w:t> </w:t>
      </w:r>
      <w:r>
        <w:rPr>
          <w:spacing w:val="-2"/>
        </w:rPr>
        <w:t>Budgeting.</w:t>
      </w:r>
    </w:p>
    <w:p>
      <w:pPr>
        <w:pStyle w:val="BodyText"/>
        <w:tabs>
          <w:tab w:pos="3039" w:val="left" w:leader="none"/>
          <w:tab w:pos="3759" w:val="left" w:leader="none"/>
        </w:tabs>
        <w:spacing w:before="276"/>
        <w:ind w:left="880"/>
      </w:pPr>
      <w:r>
        <w:rPr>
          <w:spacing w:val="-4"/>
        </w:rPr>
        <w:t>LASU</w:t>
      </w:r>
      <w:r>
        <w:rPr/>
        <w:tab/>
      </w:r>
      <w:r>
        <w:rPr>
          <w:spacing w:val="-10"/>
        </w:rPr>
        <w:t>-</w:t>
      </w:r>
      <w:r>
        <w:rPr/>
        <w:tab/>
        <w:t>Lagos</w:t>
      </w:r>
      <w:r>
        <w:rPr>
          <w:spacing w:val="-5"/>
        </w:rPr>
        <w:t> </w:t>
      </w:r>
      <w:r>
        <w:rPr/>
        <w:t>State</w:t>
      </w:r>
      <w:r>
        <w:rPr>
          <w:spacing w:val="-4"/>
        </w:rPr>
        <w:t> </w:t>
      </w:r>
      <w:r>
        <w:rPr>
          <w:spacing w:val="-2"/>
        </w:rPr>
        <w:t>University</w:t>
      </w:r>
    </w:p>
    <w:p>
      <w:pPr>
        <w:pStyle w:val="BodyText"/>
        <w:tabs>
          <w:tab w:pos="3039" w:val="left" w:leader="none"/>
          <w:tab w:pos="3759" w:val="left" w:leader="none"/>
        </w:tabs>
        <w:spacing w:before="276"/>
        <w:ind w:left="880"/>
      </w:pPr>
      <w:r>
        <w:rPr>
          <w:spacing w:val="-5"/>
        </w:rPr>
        <w:t>UI</w:t>
      </w:r>
      <w:r>
        <w:rPr/>
        <w:tab/>
      </w:r>
      <w:r>
        <w:rPr>
          <w:spacing w:val="-10"/>
        </w:rPr>
        <w:t>-</w:t>
      </w:r>
      <w:r>
        <w:rPr/>
        <w:tab/>
        <w:t>University</w:t>
      </w:r>
      <w:r>
        <w:rPr>
          <w:spacing w:val="-7"/>
        </w:rPr>
        <w:t> </w:t>
      </w:r>
      <w:r>
        <w:rPr/>
        <w:t>of</w:t>
      </w:r>
      <w:r>
        <w:rPr>
          <w:spacing w:val="-7"/>
        </w:rPr>
        <w:t> </w:t>
      </w:r>
      <w:r>
        <w:rPr>
          <w:spacing w:val="-2"/>
        </w:rPr>
        <w:t>Ibadan</w:t>
      </w:r>
    </w:p>
    <w:p>
      <w:pPr>
        <w:pStyle w:val="BodyText"/>
        <w:tabs>
          <w:tab w:pos="3039" w:val="left" w:leader="none"/>
          <w:tab w:pos="3759" w:val="left" w:leader="none"/>
        </w:tabs>
        <w:spacing w:before="276"/>
        <w:ind w:left="880"/>
      </w:pPr>
      <w:r>
        <w:rPr>
          <w:spacing w:val="-5"/>
        </w:rPr>
        <w:t>Rtd</w:t>
      </w:r>
      <w:r>
        <w:rPr/>
        <w:tab/>
      </w:r>
      <w:r>
        <w:rPr>
          <w:spacing w:val="-10"/>
        </w:rPr>
        <w:t>-</w:t>
      </w:r>
      <w:r>
        <w:rPr/>
        <w:tab/>
      </w:r>
      <w:r>
        <w:rPr>
          <w:spacing w:val="-2"/>
        </w:rPr>
        <w:t>Retired</w:t>
      </w:r>
    </w:p>
    <w:p>
      <w:pPr>
        <w:pStyle w:val="BodyText"/>
        <w:tabs>
          <w:tab w:pos="3039" w:val="left" w:leader="none"/>
          <w:tab w:pos="3759" w:val="left" w:leader="none"/>
        </w:tabs>
        <w:spacing w:before="276"/>
        <w:ind w:left="880"/>
      </w:pPr>
      <w:r>
        <w:rPr>
          <w:spacing w:val="-5"/>
        </w:rPr>
        <w:t>NUC</w:t>
      </w:r>
      <w:r>
        <w:rPr/>
        <w:tab/>
      </w:r>
      <w:r>
        <w:rPr>
          <w:spacing w:val="-10"/>
        </w:rPr>
        <w:t>-</w:t>
      </w:r>
      <w:r>
        <w:rPr/>
        <w:tab/>
        <w:t>National</w:t>
      </w:r>
      <w:r>
        <w:rPr>
          <w:spacing w:val="-9"/>
        </w:rPr>
        <w:t> </w:t>
      </w:r>
      <w:r>
        <w:rPr/>
        <w:t>Universities</w:t>
      </w:r>
      <w:r>
        <w:rPr>
          <w:spacing w:val="-13"/>
        </w:rPr>
        <w:t> </w:t>
      </w:r>
      <w:r>
        <w:rPr>
          <w:spacing w:val="-2"/>
        </w:rPr>
        <w:t>Commission</w:t>
      </w:r>
    </w:p>
    <w:p>
      <w:pPr>
        <w:pStyle w:val="BodyText"/>
        <w:tabs>
          <w:tab w:pos="3039" w:val="left" w:leader="none"/>
          <w:tab w:pos="3759" w:val="left" w:leader="none"/>
        </w:tabs>
        <w:spacing w:line="480" w:lineRule="auto" w:before="276"/>
        <w:ind w:left="880" w:right="1454"/>
      </w:pPr>
      <w:r>
        <w:rPr>
          <w:spacing w:val="-2"/>
        </w:rPr>
        <w:t>ABUTH</w:t>
      </w:r>
      <w:r>
        <w:rPr/>
        <w:tab/>
      </w:r>
      <w:r>
        <w:rPr>
          <w:spacing w:val="-10"/>
        </w:rPr>
        <w:t>-</w:t>
      </w:r>
      <w:r>
        <w:rPr/>
        <w:tab/>
        <w:t>Ahmadu</w:t>
      </w:r>
      <w:r>
        <w:rPr>
          <w:spacing w:val="-8"/>
        </w:rPr>
        <w:t> </w:t>
      </w:r>
      <w:r>
        <w:rPr/>
        <w:t>Bello</w:t>
      </w:r>
      <w:r>
        <w:rPr>
          <w:spacing w:val="-8"/>
        </w:rPr>
        <w:t> </w:t>
      </w:r>
      <w:r>
        <w:rPr/>
        <w:t>University</w:t>
      </w:r>
      <w:r>
        <w:rPr>
          <w:spacing w:val="-13"/>
        </w:rPr>
        <w:t> </w:t>
      </w:r>
      <w:r>
        <w:rPr/>
        <w:t>Teaching</w:t>
      </w:r>
      <w:r>
        <w:rPr>
          <w:spacing w:val="-8"/>
        </w:rPr>
        <w:t> </w:t>
      </w:r>
      <w:r>
        <w:rPr/>
        <w:t>Hospital </w:t>
      </w:r>
      <w:r>
        <w:rPr>
          <w:spacing w:val="-4"/>
        </w:rPr>
        <w:t>FASU</w:t>
      </w:r>
      <w:r>
        <w:rPr/>
        <w:tab/>
      </w:r>
      <w:r>
        <w:rPr>
          <w:spacing w:val="-10"/>
        </w:rPr>
        <w:t>-</w:t>
      </w:r>
      <w:r>
        <w:rPr/>
        <w:tab/>
        <w:t>Federation of African University Sports</w:t>
      </w:r>
    </w:p>
    <w:p>
      <w:pPr>
        <w:pStyle w:val="BodyText"/>
        <w:tabs>
          <w:tab w:pos="3039" w:val="left" w:leader="none"/>
          <w:tab w:pos="3759" w:val="left" w:leader="none"/>
        </w:tabs>
        <w:ind w:left="880"/>
      </w:pPr>
      <w:r>
        <w:rPr>
          <w:spacing w:val="-4"/>
        </w:rPr>
        <w:t>FISU</w:t>
      </w:r>
      <w:r>
        <w:rPr/>
        <w:tab/>
      </w:r>
      <w:r>
        <w:rPr>
          <w:spacing w:val="-10"/>
        </w:rPr>
        <w:t>-</w:t>
      </w:r>
      <w:r>
        <w:rPr/>
        <w:tab/>
        <w:t>Federation</w:t>
      </w:r>
      <w:r>
        <w:rPr>
          <w:spacing w:val="-9"/>
        </w:rPr>
        <w:t> </w:t>
      </w:r>
      <w:r>
        <w:rPr/>
        <w:t>of</w:t>
      </w:r>
      <w:r>
        <w:rPr>
          <w:spacing w:val="-14"/>
        </w:rPr>
        <w:t> </w:t>
      </w:r>
      <w:r>
        <w:rPr/>
        <w:t>International</w:t>
      </w:r>
      <w:r>
        <w:rPr>
          <w:spacing w:val="-6"/>
        </w:rPr>
        <w:t> </w:t>
      </w:r>
      <w:r>
        <w:rPr/>
        <w:t>University</w:t>
      </w:r>
      <w:r>
        <w:rPr>
          <w:spacing w:val="-10"/>
        </w:rPr>
        <w:t> </w:t>
      </w:r>
      <w:r>
        <w:rPr>
          <w:spacing w:val="-2"/>
        </w:rPr>
        <w:t>Sports</w:t>
      </w:r>
    </w:p>
    <w:p>
      <w:pPr>
        <w:pStyle w:val="BodyText"/>
      </w:pPr>
    </w:p>
    <w:p>
      <w:pPr>
        <w:pStyle w:val="BodyText"/>
        <w:tabs>
          <w:tab w:pos="3039" w:val="left" w:leader="none"/>
          <w:tab w:pos="3759" w:val="left" w:leader="none"/>
        </w:tabs>
        <w:ind w:left="880"/>
      </w:pPr>
      <w:r>
        <w:rPr>
          <w:spacing w:val="-4"/>
        </w:rPr>
        <w:t>WAUG</w:t>
      </w:r>
      <w:r>
        <w:rPr/>
        <w:tab/>
      </w:r>
      <w:r>
        <w:rPr>
          <w:spacing w:val="-10"/>
        </w:rPr>
        <w:t>-</w:t>
      </w:r>
      <w:r>
        <w:rPr/>
        <w:tab/>
        <w:t>West</w:t>
      </w:r>
      <w:r>
        <w:rPr>
          <w:spacing w:val="-9"/>
        </w:rPr>
        <w:t> </w:t>
      </w:r>
      <w:r>
        <w:rPr/>
        <w:t>African</w:t>
      </w:r>
      <w:r>
        <w:rPr>
          <w:spacing w:val="-9"/>
        </w:rPr>
        <w:t> </w:t>
      </w:r>
      <w:r>
        <w:rPr/>
        <w:t>University</w:t>
      </w:r>
      <w:r>
        <w:rPr>
          <w:spacing w:val="-13"/>
        </w:rPr>
        <w:t> </w:t>
      </w:r>
      <w:r>
        <w:rPr>
          <w:spacing w:val="-2"/>
        </w:rPr>
        <w:t>Games</w:t>
      </w:r>
    </w:p>
    <w:p>
      <w:pPr>
        <w:pStyle w:val="BodyText"/>
      </w:pPr>
    </w:p>
    <w:p>
      <w:pPr>
        <w:pStyle w:val="BodyText"/>
        <w:tabs>
          <w:tab w:pos="3039" w:val="left" w:leader="none"/>
          <w:tab w:pos="3759" w:val="left" w:leader="none"/>
        </w:tabs>
        <w:ind w:left="880"/>
      </w:pPr>
      <w:r>
        <w:rPr>
          <w:spacing w:val="-4"/>
        </w:rPr>
        <w:t>STDs</w:t>
      </w:r>
      <w:r>
        <w:rPr/>
        <w:tab/>
      </w:r>
      <w:r>
        <w:rPr>
          <w:spacing w:val="-10"/>
        </w:rPr>
        <w:t>-</w:t>
      </w:r>
      <w:r>
        <w:rPr/>
        <w:tab/>
        <w:t>Sexually</w:t>
      </w:r>
      <w:r>
        <w:rPr>
          <w:spacing w:val="-13"/>
        </w:rPr>
        <w:t> </w:t>
      </w:r>
      <w:r>
        <w:rPr/>
        <w:t>Transmitted</w:t>
      </w:r>
      <w:r>
        <w:rPr>
          <w:spacing w:val="-7"/>
        </w:rPr>
        <w:t> </w:t>
      </w:r>
      <w:r>
        <w:rPr>
          <w:spacing w:val="-2"/>
        </w:rPr>
        <w:t>Diseases</w:t>
      </w:r>
    </w:p>
    <w:p>
      <w:pPr>
        <w:pStyle w:val="BodyText"/>
      </w:pPr>
    </w:p>
    <w:p>
      <w:pPr>
        <w:pStyle w:val="BodyText"/>
        <w:tabs>
          <w:tab w:pos="3039" w:val="left" w:leader="none"/>
          <w:tab w:pos="3759" w:val="left" w:leader="none"/>
        </w:tabs>
        <w:ind w:left="880"/>
      </w:pPr>
      <w:r>
        <w:rPr>
          <w:spacing w:val="-2"/>
        </w:rPr>
        <w:t>HIV/AIDS</w:t>
      </w:r>
      <w:r>
        <w:rPr/>
        <w:tab/>
      </w:r>
      <w:r>
        <w:rPr>
          <w:spacing w:val="-10"/>
        </w:rPr>
        <w:t>-</w:t>
      </w:r>
      <w:r>
        <w:rPr/>
        <w:tab/>
        <w:t>Human</w:t>
      </w:r>
      <w:r>
        <w:rPr>
          <w:spacing w:val="-16"/>
        </w:rPr>
        <w:t> </w:t>
      </w:r>
      <w:r>
        <w:rPr/>
        <w:t>Immune/Deficiency</w:t>
      </w:r>
      <w:r>
        <w:rPr>
          <w:spacing w:val="-17"/>
        </w:rPr>
        <w:t> </w:t>
      </w:r>
      <w:r>
        <w:rPr/>
        <w:t>Virus/Acquired</w:t>
      </w:r>
      <w:r>
        <w:rPr>
          <w:spacing w:val="-15"/>
        </w:rPr>
        <w:t> </w:t>
      </w:r>
      <w:r>
        <w:rPr>
          <w:spacing w:val="-2"/>
        </w:rPr>
        <w:t>Immune</w:t>
      </w:r>
    </w:p>
    <w:p>
      <w:pPr>
        <w:pStyle w:val="BodyText"/>
        <w:spacing w:before="2"/>
        <w:ind w:left="3760"/>
      </w:pPr>
      <w:r>
        <w:rPr/>
        <w:t>Deficiency</w:t>
      </w:r>
      <w:r>
        <w:rPr>
          <w:spacing w:val="-12"/>
        </w:rPr>
        <w:t> </w:t>
      </w:r>
      <w:r>
        <w:rPr>
          <w:spacing w:val="-2"/>
        </w:rPr>
        <w:t>Syndrome</w:t>
      </w:r>
    </w:p>
    <w:p>
      <w:pPr>
        <w:pStyle w:val="BodyText"/>
      </w:pPr>
    </w:p>
    <w:p>
      <w:pPr>
        <w:pStyle w:val="BodyText"/>
        <w:tabs>
          <w:tab w:pos="3039" w:val="left" w:leader="none"/>
          <w:tab w:pos="3759" w:val="left" w:leader="none"/>
        </w:tabs>
        <w:ind w:left="880"/>
      </w:pPr>
      <w:r>
        <w:rPr>
          <w:spacing w:val="-4"/>
        </w:rPr>
        <w:t>SARS</w:t>
      </w:r>
      <w:r>
        <w:rPr/>
        <w:tab/>
      </w:r>
      <w:r>
        <w:rPr>
          <w:spacing w:val="-10"/>
        </w:rPr>
        <w:t>-</w:t>
      </w:r>
      <w:r>
        <w:rPr/>
        <w:tab/>
        <w:t>Severe</w:t>
      </w:r>
      <w:r>
        <w:rPr>
          <w:spacing w:val="-10"/>
        </w:rPr>
        <w:t> </w:t>
      </w:r>
      <w:r>
        <w:rPr/>
        <w:t>Acute</w:t>
      </w:r>
      <w:r>
        <w:rPr>
          <w:spacing w:val="-9"/>
        </w:rPr>
        <w:t> </w:t>
      </w:r>
      <w:r>
        <w:rPr/>
        <w:t>Respiratory</w:t>
      </w:r>
      <w:r>
        <w:rPr>
          <w:spacing w:val="-10"/>
        </w:rPr>
        <w:t> </w:t>
      </w:r>
      <w:r>
        <w:rPr>
          <w:spacing w:val="-2"/>
        </w:rPr>
        <w:t>Syndrome</w:t>
      </w:r>
    </w:p>
    <w:p>
      <w:pPr>
        <w:pStyle w:val="BodyText"/>
        <w:tabs>
          <w:tab w:pos="3039" w:val="left" w:leader="none"/>
          <w:tab w:pos="3759" w:val="left" w:leader="none"/>
        </w:tabs>
        <w:spacing w:before="137"/>
        <w:ind w:left="880"/>
      </w:pPr>
      <w:r>
        <w:rPr>
          <w:spacing w:val="-4"/>
        </w:rPr>
        <w:t>ASUU</w:t>
      </w:r>
      <w:r>
        <w:rPr/>
        <w:tab/>
      </w:r>
      <w:r>
        <w:rPr>
          <w:spacing w:val="-10"/>
        </w:rPr>
        <w:t>-</w:t>
      </w:r>
      <w:r>
        <w:rPr/>
        <w:tab/>
        <w:t>Academic</w:t>
      </w:r>
      <w:r>
        <w:rPr>
          <w:spacing w:val="-6"/>
        </w:rPr>
        <w:t> </w:t>
      </w:r>
      <w:r>
        <w:rPr/>
        <w:t>Staff</w:t>
      </w:r>
      <w:r>
        <w:rPr>
          <w:spacing w:val="-6"/>
        </w:rPr>
        <w:t> </w:t>
      </w:r>
      <w:r>
        <w:rPr/>
        <w:t>Union</w:t>
      </w:r>
      <w:r>
        <w:rPr>
          <w:spacing w:val="-8"/>
        </w:rPr>
        <w:t> </w:t>
      </w:r>
      <w:r>
        <w:rPr/>
        <w:t>of</w:t>
      </w:r>
      <w:r>
        <w:rPr>
          <w:spacing w:val="-6"/>
        </w:rPr>
        <w:t> </w:t>
      </w:r>
      <w:r>
        <w:rPr>
          <w:spacing w:val="-2"/>
        </w:rPr>
        <w:t>Universities</w:t>
      </w:r>
    </w:p>
    <w:p>
      <w:pPr>
        <w:pStyle w:val="BodyText"/>
        <w:tabs>
          <w:tab w:pos="3039" w:val="left" w:leader="none"/>
          <w:tab w:pos="3759" w:val="left" w:leader="none"/>
        </w:tabs>
        <w:spacing w:before="137"/>
        <w:ind w:left="880"/>
      </w:pPr>
      <w:r>
        <w:rPr>
          <w:spacing w:val="-4"/>
        </w:rPr>
        <w:t>NUGA</w:t>
      </w:r>
      <w:r>
        <w:rPr/>
        <w:tab/>
      </w:r>
      <w:r>
        <w:rPr>
          <w:spacing w:val="-10"/>
        </w:rPr>
        <w:t>-</w:t>
      </w:r>
      <w:r>
        <w:rPr/>
        <w:tab/>
        <w:t>National</w:t>
      </w:r>
      <w:r>
        <w:rPr>
          <w:spacing w:val="-11"/>
        </w:rPr>
        <w:t> </w:t>
      </w:r>
      <w:r>
        <w:rPr/>
        <w:t>University</w:t>
      </w:r>
      <w:r>
        <w:rPr>
          <w:spacing w:val="-13"/>
        </w:rPr>
        <w:t> </w:t>
      </w:r>
      <w:r>
        <w:rPr/>
        <w:t>Games</w:t>
      </w:r>
      <w:r>
        <w:rPr>
          <w:spacing w:val="-14"/>
        </w:rPr>
        <w:t> </w:t>
      </w:r>
      <w:r>
        <w:rPr>
          <w:spacing w:val="-2"/>
        </w:rPr>
        <w:t>Association</w:t>
      </w:r>
    </w:p>
    <w:p>
      <w:pPr>
        <w:pStyle w:val="BodyText"/>
        <w:tabs>
          <w:tab w:pos="3039" w:val="left" w:leader="none"/>
          <w:tab w:pos="3759" w:val="left" w:leader="none"/>
        </w:tabs>
        <w:spacing w:before="142"/>
        <w:ind w:left="880"/>
      </w:pPr>
      <w:r>
        <w:rPr>
          <w:spacing w:val="-5"/>
        </w:rPr>
        <w:t>HMC</w:t>
      </w:r>
      <w:r>
        <w:rPr/>
        <w:tab/>
      </w:r>
      <w:r>
        <w:rPr>
          <w:spacing w:val="-10"/>
        </w:rPr>
        <w:t>-</w:t>
      </w:r>
      <w:r>
        <w:rPr/>
        <w:tab/>
        <w:t>Hall</w:t>
      </w:r>
      <w:r>
        <w:rPr>
          <w:spacing w:val="-8"/>
        </w:rPr>
        <w:t> </w:t>
      </w:r>
      <w:r>
        <w:rPr/>
        <w:t>Management</w:t>
      </w:r>
      <w:r>
        <w:rPr>
          <w:spacing w:val="-12"/>
        </w:rPr>
        <w:t> </w:t>
      </w:r>
      <w:r>
        <w:rPr>
          <w:spacing w:val="-2"/>
        </w:rPr>
        <w:t>Committee</w:t>
      </w:r>
    </w:p>
    <w:p>
      <w:pPr>
        <w:pStyle w:val="BodyText"/>
        <w:tabs>
          <w:tab w:pos="3039" w:val="left" w:leader="none"/>
          <w:tab w:pos="3759" w:val="left" w:leader="none"/>
        </w:tabs>
        <w:spacing w:before="276"/>
        <w:ind w:left="880"/>
      </w:pPr>
      <w:r>
        <w:rPr>
          <w:spacing w:val="-5"/>
        </w:rPr>
        <w:t>SRA</w:t>
      </w:r>
      <w:r>
        <w:rPr/>
        <w:tab/>
      </w:r>
      <w:r>
        <w:rPr>
          <w:spacing w:val="-10"/>
        </w:rPr>
        <w:t>-</w:t>
      </w:r>
      <w:r>
        <w:rPr/>
        <w:tab/>
        <w:t>Student</w:t>
      </w:r>
      <w:r>
        <w:rPr>
          <w:spacing w:val="-14"/>
        </w:rPr>
        <w:t> </w:t>
      </w:r>
      <w:r>
        <w:rPr/>
        <w:t>Representative</w:t>
      </w:r>
      <w:r>
        <w:rPr>
          <w:spacing w:val="-13"/>
        </w:rPr>
        <w:t> </w:t>
      </w:r>
      <w:r>
        <w:rPr>
          <w:spacing w:val="-2"/>
        </w:rPr>
        <w:t>Assembly</w:t>
      </w:r>
    </w:p>
    <w:p>
      <w:pPr>
        <w:pStyle w:val="BodyText"/>
        <w:tabs>
          <w:tab w:pos="3039" w:val="left" w:leader="none"/>
          <w:tab w:pos="3759" w:val="left" w:leader="none"/>
        </w:tabs>
        <w:spacing w:before="276"/>
        <w:ind w:left="880"/>
      </w:pPr>
      <w:r>
        <w:rPr>
          <w:spacing w:val="-5"/>
        </w:rPr>
        <w:t>MSS</w:t>
      </w:r>
      <w:r>
        <w:rPr/>
        <w:tab/>
      </w:r>
      <w:r>
        <w:rPr>
          <w:spacing w:val="-10"/>
        </w:rPr>
        <w:t>-</w:t>
      </w:r>
      <w:r>
        <w:rPr/>
        <w:tab/>
        <w:t>Muslim</w:t>
      </w:r>
      <w:r>
        <w:rPr>
          <w:spacing w:val="-13"/>
        </w:rPr>
        <w:t> </w:t>
      </w:r>
      <w:r>
        <w:rPr/>
        <w:t>Students</w:t>
      </w:r>
      <w:r>
        <w:rPr>
          <w:spacing w:val="-6"/>
        </w:rPr>
        <w:t> </w:t>
      </w:r>
      <w:r>
        <w:rPr>
          <w:spacing w:val="-2"/>
        </w:rPr>
        <w:t>Society</w:t>
      </w:r>
    </w:p>
    <w:p>
      <w:pPr>
        <w:pStyle w:val="BodyText"/>
      </w:pPr>
    </w:p>
    <w:p>
      <w:pPr>
        <w:pStyle w:val="BodyText"/>
        <w:tabs>
          <w:tab w:pos="3039" w:val="left" w:leader="none"/>
          <w:tab w:pos="3759" w:val="left" w:leader="none"/>
        </w:tabs>
        <w:ind w:left="880"/>
      </w:pPr>
      <w:r>
        <w:rPr>
          <w:spacing w:val="-5"/>
        </w:rPr>
        <w:t>FCS</w:t>
      </w:r>
      <w:r>
        <w:rPr/>
        <w:tab/>
      </w:r>
      <w:r>
        <w:rPr>
          <w:spacing w:val="-10"/>
        </w:rPr>
        <w:t>-</w:t>
      </w:r>
      <w:r>
        <w:rPr/>
        <w:tab/>
        <w:t>Fellowship</w:t>
      </w:r>
      <w:r>
        <w:rPr>
          <w:spacing w:val="-8"/>
        </w:rPr>
        <w:t> </w:t>
      </w:r>
      <w:r>
        <w:rPr/>
        <w:t>of</w:t>
      </w:r>
      <w:r>
        <w:rPr>
          <w:spacing w:val="-8"/>
        </w:rPr>
        <w:t> </w:t>
      </w:r>
      <w:r>
        <w:rPr/>
        <w:t>Christian</w:t>
      </w:r>
      <w:r>
        <w:rPr>
          <w:spacing w:val="-7"/>
        </w:rPr>
        <w:t> </w:t>
      </w:r>
      <w:r>
        <w:rPr>
          <w:spacing w:val="-2"/>
        </w:rPr>
        <w:t>Students</w:t>
      </w:r>
    </w:p>
    <w:p>
      <w:pPr>
        <w:spacing w:after="0"/>
        <w:sectPr>
          <w:headerReference w:type="default" r:id="rId36"/>
          <w:footerReference w:type="default" r:id="rId37"/>
          <w:pgSz w:w="12240" w:h="15840"/>
          <w:pgMar w:header="722" w:footer="791" w:top="1060" w:bottom="980" w:left="1280" w:right="1140"/>
        </w:sectPr>
      </w:pPr>
    </w:p>
    <w:p>
      <w:pPr>
        <w:pStyle w:val="BodyText"/>
        <w:spacing w:before="81"/>
      </w:pPr>
    </w:p>
    <w:p>
      <w:pPr>
        <w:pStyle w:val="Heading3"/>
        <w:ind w:right="218"/>
      </w:pPr>
      <w:r>
        <w:rPr/>
        <w:t>OPERATIONAL</w:t>
      </w:r>
      <w:r>
        <w:rPr>
          <w:spacing w:val="-13"/>
        </w:rPr>
        <w:t> </w:t>
      </w:r>
      <w:r>
        <w:rPr/>
        <w:t>DEFINITION</w:t>
      </w:r>
      <w:r>
        <w:rPr>
          <w:spacing w:val="-14"/>
        </w:rPr>
        <w:t> </w:t>
      </w:r>
      <w:r>
        <w:rPr/>
        <w:t>OF</w:t>
      </w:r>
      <w:r>
        <w:rPr>
          <w:spacing w:val="-16"/>
        </w:rPr>
        <w:t> </w:t>
      </w:r>
      <w:r>
        <w:rPr>
          <w:spacing w:val="-4"/>
        </w:rPr>
        <w:t>TERMS</w:t>
      </w:r>
    </w:p>
    <w:p>
      <w:pPr>
        <w:pStyle w:val="BodyText"/>
        <w:rPr>
          <w:rFonts w:ascii="Arial"/>
          <w:b/>
        </w:rPr>
      </w:pPr>
    </w:p>
    <w:p>
      <w:pPr>
        <w:pStyle w:val="BodyText"/>
        <w:spacing w:line="482" w:lineRule="auto" w:before="1"/>
        <w:ind w:left="2320" w:right="294" w:hanging="1440"/>
        <w:jc w:val="both"/>
      </w:pPr>
      <w:r>
        <w:rPr>
          <w:rFonts w:ascii="Arial"/>
          <w:b/>
        </w:rPr>
        <w:t>Accommodation:</w:t>
      </w:r>
      <w:r>
        <w:rPr>
          <w:rFonts w:ascii="Arial"/>
          <w:b/>
          <w:spacing w:val="40"/>
        </w:rPr>
        <w:t> </w:t>
      </w:r>
      <w:r>
        <w:rPr/>
        <w:t>This refers to the bed spaces and other living facilities provided to students in the purposefully designated hostels with the view to settling them down and taking care of their needs conveniently so that they face their academic activities smoothly.</w:t>
      </w:r>
    </w:p>
    <w:p>
      <w:pPr>
        <w:pStyle w:val="BodyText"/>
        <w:spacing w:line="480" w:lineRule="auto"/>
        <w:ind w:left="2320" w:right="294" w:hanging="1440"/>
        <w:jc w:val="both"/>
      </w:pPr>
      <w:r>
        <w:rPr>
          <w:rFonts w:ascii="Arial"/>
          <w:b/>
        </w:rPr>
        <w:t>Communication Network:</w:t>
      </w:r>
      <w:r>
        <w:rPr>
          <w:rFonts w:ascii="Arial"/>
          <w:b/>
          <w:spacing w:val="40"/>
        </w:rPr>
        <w:t> </w:t>
      </w:r>
      <w:r>
        <w:rPr/>
        <w:t>This refer to channels designed and provided by the University</w:t>
      </w:r>
      <w:r>
        <w:rPr>
          <w:spacing w:val="-3"/>
        </w:rPr>
        <w:t> </w:t>
      </w:r>
      <w:r>
        <w:rPr/>
        <w:t>to</w:t>
      </w:r>
      <w:r>
        <w:rPr>
          <w:spacing w:val="-2"/>
        </w:rPr>
        <w:t> </w:t>
      </w:r>
      <w:r>
        <w:rPr/>
        <w:t>enable</w:t>
      </w:r>
      <w:r>
        <w:rPr>
          <w:spacing w:val="-2"/>
        </w:rPr>
        <w:t> </w:t>
      </w:r>
      <w:r>
        <w:rPr/>
        <w:t>students</w:t>
      </w:r>
      <w:r>
        <w:rPr>
          <w:spacing w:val="-3"/>
        </w:rPr>
        <w:t> </w:t>
      </w:r>
      <w:r>
        <w:rPr/>
        <w:t>and</w:t>
      </w:r>
      <w:r>
        <w:rPr>
          <w:spacing w:val="-2"/>
        </w:rPr>
        <w:t> </w:t>
      </w:r>
      <w:r>
        <w:rPr/>
        <w:t>staff</w:t>
      </w:r>
      <w:r>
        <w:rPr>
          <w:spacing w:val="-7"/>
        </w:rPr>
        <w:t> </w:t>
      </w:r>
      <w:r>
        <w:rPr/>
        <w:t>get</w:t>
      </w:r>
      <w:r>
        <w:rPr>
          <w:spacing w:val="-3"/>
        </w:rPr>
        <w:t> </w:t>
      </w:r>
      <w:r>
        <w:rPr/>
        <w:t>well</w:t>
      </w:r>
      <w:r>
        <w:rPr>
          <w:spacing w:val="-3"/>
        </w:rPr>
        <w:t> </w:t>
      </w:r>
      <w:r>
        <w:rPr/>
        <w:t>informed</w:t>
      </w:r>
      <w:r>
        <w:rPr>
          <w:spacing w:val="-2"/>
        </w:rPr>
        <w:t> </w:t>
      </w:r>
      <w:r>
        <w:rPr/>
        <w:t>about</w:t>
      </w:r>
      <w:r>
        <w:rPr>
          <w:spacing w:val="-3"/>
        </w:rPr>
        <w:t> </w:t>
      </w:r>
      <w:r>
        <w:rPr/>
        <w:t>what happens around them both inside and outside the walls of the university. Such network equipment include newspapers, magazines, electronics, telephone booths, computers, website, humans and notice boards.</w:t>
      </w:r>
    </w:p>
    <w:p>
      <w:pPr>
        <w:pStyle w:val="BodyText"/>
        <w:spacing w:line="482" w:lineRule="auto"/>
        <w:ind w:left="2320" w:right="294" w:hanging="1440"/>
        <w:jc w:val="both"/>
      </w:pPr>
      <w:r>
        <w:rPr>
          <w:rFonts w:ascii="Arial" w:hAnsi="Arial"/>
          <w:b/>
        </w:rPr>
        <w:t>Students’ welfare:</w:t>
      </w:r>
      <w:r>
        <w:rPr>
          <w:rFonts w:ascii="Arial" w:hAnsi="Arial"/>
          <w:b/>
          <w:spacing w:val="40"/>
        </w:rPr>
        <w:t> </w:t>
      </w:r>
      <w:r>
        <w:rPr/>
        <w:t>This refers to the basic facilities or amenities like feeding accommodation, classrooms, libraries, medicine etc. provided by the universities to students to enhance and ensure their</w:t>
      </w:r>
      <w:r>
        <w:rPr>
          <w:spacing w:val="40"/>
        </w:rPr>
        <w:t> </w:t>
      </w:r>
      <w:r>
        <w:rPr/>
        <w:t>comfortable survival and conducive atmosphere for learning.</w:t>
      </w:r>
    </w:p>
    <w:p>
      <w:pPr>
        <w:pStyle w:val="BodyText"/>
        <w:spacing w:line="482" w:lineRule="auto"/>
        <w:ind w:left="2320" w:right="300" w:hanging="1440"/>
      </w:pPr>
      <w:r>
        <w:rPr>
          <w:rFonts w:ascii="Arial" w:hAnsi="Arial"/>
          <w:b/>
        </w:rPr>
        <w:t>Management:</w:t>
      </w:r>
      <w:r>
        <w:rPr>
          <w:rFonts w:ascii="Arial" w:hAnsi="Arial"/>
          <w:b/>
          <w:spacing w:val="40"/>
        </w:rPr>
        <w:t> </w:t>
      </w:r>
      <w:r>
        <w:rPr/>
        <w:t>This refers to the ability of the university management to effectively</w:t>
      </w:r>
      <w:r>
        <w:rPr>
          <w:spacing w:val="40"/>
        </w:rPr>
        <w:t> </w:t>
      </w:r>
      <w:r>
        <w:rPr/>
        <w:t>procure,</w:t>
      </w:r>
      <w:r>
        <w:rPr>
          <w:spacing w:val="40"/>
        </w:rPr>
        <w:t> </w:t>
      </w:r>
      <w:r>
        <w:rPr/>
        <w:t>control,</w:t>
      </w:r>
      <w:r>
        <w:rPr>
          <w:spacing w:val="40"/>
        </w:rPr>
        <w:t> </w:t>
      </w:r>
      <w:r>
        <w:rPr/>
        <w:t>monitor</w:t>
      </w:r>
      <w:r>
        <w:rPr>
          <w:spacing w:val="40"/>
        </w:rPr>
        <w:t> </w:t>
      </w:r>
      <w:r>
        <w:rPr/>
        <w:t>and</w:t>
      </w:r>
      <w:r>
        <w:rPr>
          <w:spacing w:val="40"/>
        </w:rPr>
        <w:t> </w:t>
      </w:r>
      <w:r>
        <w:rPr/>
        <w:t>maintain</w:t>
      </w:r>
      <w:r>
        <w:rPr>
          <w:spacing w:val="40"/>
        </w:rPr>
        <w:t> </w:t>
      </w:r>
      <w:r>
        <w:rPr/>
        <w:t>the</w:t>
      </w:r>
      <w:r>
        <w:rPr>
          <w:spacing w:val="40"/>
        </w:rPr>
        <w:t> </w:t>
      </w:r>
      <w:r>
        <w:rPr/>
        <w:t>available</w:t>
      </w:r>
      <w:r>
        <w:rPr>
          <w:spacing w:val="80"/>
          <w:w w:val="150"/>
        </w:rPr>
        <w:t> </w:t>
      </w:r>
      <w:r>
        <w:rPr/>
        <w:t>welfare</w:t>
      </w:r>
      <w:r>
        <w:rPr>
          <w:spacing w:val="80"/>
          <w:w w:val="150"/>
        </w:rPr>
        <w:t> </w:t>
      </w:r>
      <w:r>
        <w:rPr/>
        <w:t>resources</w:t>
      </w:r>
      <w:r>
        <w:rPr>
          <w:spacing w:val="80"/>
          <w:w w:val="150"/>
        </w:rPr>
        <w:t> </w:t>
      </w:r>
      <w:r>
        <w:rPr/>
        <w:t>allocated</w:t>
      </w:r>
      <w:r>
        <w:rPr>
          <w:spacing w:val="80"/>
          <w:w w:val="150"/>
        </w:rPr>
        <w:t> </w:t>
      </w:r>
      <w:r>
        <w:rPr/>
        <w:t>for</w:t>
      </w:r>
      <w:r>
        <w:rPr>
          <w:spacing w:val="80"/>
        </w:rPr>
        <w:t> </w:t>
      </w:r>
      <w:r>
        <w:rPr/>
        <w:t>the</w:t>
      </w:r>
      <w:r>
        <w:rPr>
          <w:spacing w:val="80"/>
          <w:w w:val="150"/>
        </w:rPr>
        <w:t> </w:t>
      </w:r>
      <w:r>
        <w:rPr/>
        <w:t>students’</w:t>
      </w:r>
      <w:r>
        <w:rPr>
          <w:spacing w:val="80"/>
          <w:w w:val="150"/>
        </w:rPr>
        <w:t> </w:t>
      </w:r>
      <w:r>
        <w:rPr/>
        <w:t>upkeep</w:t>
      </w:r>
      <w:r>
        <w:rPr>
          <w:spacing w:val="80"/>
        </w:rPr>
        <w:t> </w:t>
      </w:r>
      <w:r>
        <w:rPr/>
        <w:t>in</w:t>
      </w:r>
      <w:r>
        <w:rPr>
          <w:spacing w:val="80"/>
          <w:w w:val="150"/>
        </w:rPr>
        <w:t> </w:t>
      </w:r>
      <w:r>
        <w:rPr/>
        <w:t>the university system.</w:t>
      </w:r>
    </w:p>
    <w:p>
      <w:pPr>
        <w:spacing w:after="0" w:line="482" w:lineRule="auto"/>
        <w:sectPr>
          <w:headerReference w:type="default" r:id="rId38"/>
          <w:footerReference w:type="default" r:id="rId39"/>
          <w:pgSz w:w="12240" w:h="15840"/>
          <w:pgMar w:header="722" w:footer="791" w:top="1060" w:bottom="980" w:left="1280" w:right="1140"/>
        </w:sectPr>
      </w:pPr>
    </w:p>
    <w:p>
      <w:pPr>
        <w:pStyle w:val="BodyText"/>
        <w:spacing w:before="4"/>
        <w:rPr>
          <w:sz w:val="17"/>
        </w:rPr>
      </w:pPr>
    </w:p>
    <w:p>
      <w:pPr>
        <w:spacing w:after="0"/>
        <w:rPr>
          <w:sz w:val="17"/>
        </w:rPr>
        <w:sectPr>
          <w:headerReference w:type="default" r:id="rId40"/>
          <w:footerReference w:type="default" r:id="rId41"/>
          <w:pgSz w:w="12240" w:h="15840"/>
          <w:pgMar w:header="722" w:footer="791" w:top="1060" w:bottom="980" w:left="1280" w:right="1140"/>
        </w:sectPr>
      </w:pPr>
    </w:p>
    <w:p>
      <w:pPr>
        <w:pStyle w:val="Heading1"/>
        <w:spacing w:before="354"/>
        <w:ind w:right="218"/>
      </w:pPr>
      <w:bookmarkStart w:name="_TOC_250061" w:id="7"/>
      <w:r>
        <w:rPr/>
        <w:t>CHAPTER</w:t>
      </w:r>
      <w:r>
        <w:rPr>
          <w:spacing w:val="-9"/>
        </w:rPr>
        <w:t> </w:t>
      </w:r>
      <w:bookmarkEnd w:id="7"/>
      <w:r>
        <w:rPr>
          <w:spacing w:val="-5"/>
        </w:rPr>
        <w:t>ONE</w:t>
      </w:r>
    </w:p>
    <w:p>
      <w:pPr>
        <w:pStyle w:val="BodyText"/>
        <w:spacing w:before="3"/>
        <w:rPr>
          <w:rFonts w:ascii="Arial"/>
          <w:b/>
          <w:sz w:val="32"/>
        </w:rPr>
      </w:pPr>
    </w:p>
    <w:p>
      <w:pPr>
        <w:pStyle w:val="Heading2"/>
        <w:ind w:left="880"/>
      </w:pPr>
      <w:bookmarkStart w:name="_TOC_250060" w:id="8"/>
      <w:r>
        <w:rPr/>
        <w:t>Background</w:t>
      </w:r>
      <w:r>
        <w:rPr>
          <w:spacing w:val="-4"/>
        </w:rPr>
        <w:t> </w:t>
      </w:r>
      <w:r>
        <w:rPr/>
        <w:t>to</w:t>
      </w:r>
      <w:r>
        <w:rPr>
          <w:spacing w:val="-8"/>
        </w:rPr>
        <w:t> </w:t>
      </w:r>
      <w:r>
        <w:rPr/>
        <w:t>the</w:t>
      </w:r>
      <w:r>
        <w:rPr>
          <w:spacing w:val="-8"/>
        </w:rPr>
        <w:t> </w:t>
      </w:r>
      <w:bookmarkEnd w:id="8"/>
      <w:r>
        <w:rPr>
          <w:spacing w:val="-4"/>
        </w:rPr>
        <w:t>Study</w:t>
      </w:r>
    </w:p>
    <w:p>
      <w:pPr>
        <w:pStyle w:val="Heading2"/>
        <w:numPr>
          <w:ilvl w:val="1"/>
          <w:numId w:val="16"/>
        </w:numPr>
        <w:tabs>
          <w:tab w:pos="879" w:val="left" w:leader="none"/>
        </w:tabs>
        <w:spacing w:line="240" w:lineRule="auto" w:before="321" w:after="0"/>
        <w:ind w:left="879" w:right="0" w:hanging="719"/>
        <w:jc w:val="left"/>
        <w:rPr>
          <w:rFonts w:ascii="Arial MT"/>
          <w:b w:val="0"/>
        </w:rPr>
      </w:pPr>
      <w:bookmarkStart w:name="_TOC_250059" w:id="9"/>
      <w:bookmarkEnd w:id="9"/>
      <w:r>
        <w:rPr>
          <w:spacing w:val="-2"/>
        </w:rPr>
        <w:t>Introduction</w:t>
      </w:r>
    </w:p>
    <w:p>
      <w:pPr>
        <w:pStyle w:val="BodyText"/>
        <w:spacing w:before="8"/>
        <w:rPr>
          <w:rFonts w:ascii="Arial"/>
          <w:b/>
          <w:sz w:val="28"/>
        </w:rPr>
      </w:pPr>
    </w:p>
    <w:p>
      <w:pPr>
        <w:pStyle w:val="BodyText"/>
        <w:spacing w:line="480" w:lineRule="auto"/>
        <w:ind w:left="880" w:right="294" w:firstLine="720"/>
        <w:jc w:val="both"/>
      </w:pPr>
      <w:r>
        <w:rPr/>
        <w:t>The success of</w:t>
      </w:r>
      <w:r>
        <w:rPr>
          <w:spacing w:val="-2"/>
        </w:rPr>
        <w:t> </w:t>
      </w:r>
      <w:r>
        <w:rPr/>
        <w:t>any</w:t>
      </w:r>
      <w:r>
        <w:rPr>
          <w:spacing w:val="-3"/>
        </w:rPr>
        <w:t> </w:t>
      </w:r>
      <w:r>
        <w:rPr/>
        <w:t>organization whether private or</w:t>
      </w:r>
      <w:r>
        <w:rPr>
          <w:spacing w:val="-2"/>
        </w:rPr>
        <w:t> </w:t>
      </w:r>
      <w:r>
        <w:rPr/>
        <w:t>public</w:t>
      </w:r>
      <w:r>
        <w:rPr>
          <w:spacing w:val="-3"/>
        </w:rPr>
        <w:t> </w:t>
      </w:r>
      <w:r>
        <w:rPr/>
        <w:t>depends</w:t>
      </w:r>
      <w:r>
        <w:rPr>
          <w:spacing w:val="-3"/>
        </w:rPr>
        <w:t> </w:t>
      </w:r>
      <w:r>
        <w:rPr/>
        <w:t>largely on the ability for it to acquire and maintain the human and physical resources for its existence. In the University system anywhere, the strongest element or ingredient that initiates, sustains and promotes its existence and productivity is the student body. Based</w:t>
      </w:r>
      <w:r>
        <w:rPr>
          <w:spacing w:val="-2"/>
        </w:rPr>
        <w:t> </w:t>
      </w:r>
      <w:r>
        <w:rPr/>
        <w:t>on</w:t>
      </w:r>
      <w:r>
        <w:rPr>
          <w:spacing w:val="-2"/>
        </w:rPr>
        <w:t> </w:t>
      </w:r>
      <w:r>
        <w:rPr/>
        <w:t>this reasoning</w:t>
      </w:r>
      <w:r>
        <w:rPr>
          <w:spacing w:val="-2"/>
        </w:rPr>
        <w:t> </w:t>
      </w:r>
      <w:r>
        <w:rPr/>
        <w:t>the</w:t>
      </w:r>
      <w:r>
        <w:rPr>
          <w:spacing w:val="-2"/>
        </w:rPr>
        <w:t> </w:t>
      </w:r>
      <w:r>
        <w:rPr/>
        <w:t>University must come to grips with the proper acquisition and proper management of all affairs related to students. That is to say, giving the students the necessary love, care, guidance and protection, so as to sustain them. This has to be so, if the University is to</w:t>
      </w:r>
      <w:r>
        <w:rPr>
          <w:spacing w:val="80"/>
        </w:rPr>
        <w:t> </w:t>
      </w:r>
      <w:r>
        <w:rPr/>
        <w:t>promote its own final goals and objectives of proper teaching, learning and research as well as to produce happier, healthier, well groomed and adjusted </w:t>
      </w:r>
      <w:r>
        <w:rPr>
          <w:spacing w:val="-2"/>
        </w:rPr>
        <w:t>graduates.</w:t>
      </w:r>
    </w:p>
    <w:p>
      <w:pPr>
        <w:pStyle w:val="BodyText"/>
        <w:spacing w:line="480" w:lineRule="auto" w:before="1"/>
        <w:ind w:left="880" w:right="295" w:firstLine="720"/>
        <w:jc w:val="both"/>
      </w:pPr>
      <w:r>
        <w:rPr/>
        <w:t>Basically, the presence of learners is crucial to the existence of all the components of the University. Substantially, the presence of the students in the University is to acquire knowledge which they say “is power”. It has also been noted that</w:t>
      </w:r>
      <w:r>
        <w:rPr>
          <w:spacing w:val="-2"/>
        </w:rPr>
        <w:t> </w:t>
      </w:r>
      <w:r>
        <w:rPr/>
        <w:t>learning</w:t>
      </w:r>
      <w:r>
        <w:rPr>
          <w:spacing w:val="-1"/>
        </w:rPr>
        <w:t> </w:t>
      </w:r>
      <w:r>
        <w:rPr/>
        <w:t>is</w:t>
      </w:r>
      <w:r>
        <w:rPr>
          <w:spacing w:val="-2"/>
        </w:rPr>
        <w:t> </w:t>
      </w:r>
      <w:r>
        <w:rPr/>
        <w:t>a continuous</w:t>
      </w:r>
      <w:r>
        <w:rPr>
          <w:spacing w:val="-2"/>
        </w:rPr>
        <w:t> </w:t>
      </w:r>
      <w:r>
        <w:rPr/>
        <w:t>process. This</w:t>
      </w:r>
      <w:r>
        <w:rPr>
          <w:spacing w:val="-2"/>
        </w:rPr>
        <w:t> </w:t>
      </w:r>
      <w:r>
        <w:rPr/>
        <w:t>process</w:t>
      </w:r>
      <w:r>
        <w:rPr>
          <w:spacing w:val="-2"/>
        </w:rPr>
        <w:t> </w:t>
      </w:r>
      <w:r>
        <w:rPr/>
        <w:t>can only be meaningful and successful with healthy and determined minds of both the</w:t>
      </w:r>
      <w:r>
        <w:rPr>
          <w:spacing w:val="-2"/>
        </w:rPr>
        <w:t> </w:t>
      </w:r>
      <w:r>
        <w:rPr/>
        <w:t>learners, teachers (Lecturers) and all that combine to energise the institution known as the University (Adesina, 1981:86).</w:t>
      </w:r>
    </w:p>
    <w:p>
      <w:pPr>
        <w:pStyle w:val="BodyText"/>
        <w:spacing w:line="480" w:lineRule="auto"/>
        <w:ind w:left="880" w:right="295" w:firstLine="720"/>
        <w:jc w:val="both"/>
      </w:pPr>
      <w:r>
        <w:rPr/>
        <w:t>Records show that in the 1950s to 1970s most universities in the three geo-political</w:t>
      </w:r>
      <w:r>
        <w:rPr>
          <w:spacing w:val="30"/>
        </w:rPr>
        <w:t> </w:t>
      </w:r>
      <w:r>
        <w:rPr/>
        <w:t>zones</w:t>
      </w:r>
      <w:r>
        <w:rPr>
          <w:spacing w:val="23"/>
        </w:rPr>
        <w:t> </w:t>
      </w:r>
      <w:r>
        <w:rPr/>
        <w:t>in</w:t>
      </w:r>
      <w:r>
        <w:rPr>
          <w:spacing w:val="32"/>
        </w:rPr>
        <w:t> </w:t>
      </w:r>
      <w:r>
        <w:rPr/>
        <w:t>the</w:t>
      </w:r>
      <w:r>
        <w:rPr>
          <w:spacing w:val="33"/>
        </w:rPr>
        <w:t> </w:t>
      </w:r>
      <w:r>
        <w:rPr/>
        <w:t>Northern</w:t>
      </w:r>
      <w:r>
        <w:rPr>
          <w:spacing w:val="28"/>
        </w:rPr>
        <w:t> </w:t>
      </w:r>
      <w:r>
        <w:rPr/>
        <w:t>part</w:t>
      </w:r>
      <w:r>
        <w:rPr>
          <w:spacing w:val="27"/>
        </w:rPr>
        <w:t> </w:t>
      </w:r>
      <w:r>
        <w:rPr/>
        <w:t>of</w:t>
      </w:r>
      <w:r>
        <w:rPr>
          <w:spacing w:val="32"/>
        </w:rPr>
        <w:t> </w:t>
      </w:r>
      <w:r>
        <w:rPr/>
        <w:t>Nigeria</w:t>
      </w:r>
      <w:r>
        <w:rPr>
          <w:spacing w:val="32"/>
        </w:rPr>
        <w:t> </w:t>
      </w:r>
      <w:r>
        <w:rPr/>
        <w:t>as</w:t>
      </w:r>
      <w:r>
        <w:rPr>
          <w:spacing w:val="27"/>
        </w:rPr>
        <w:t> </w:t>
      </w:r>
      <w:r>
        <w:rPr/>
        <w:t>well</w:t>
      </w:r>
      <w:r>
        <w:rPr>
          <w:spacing w:val="35"/>
        </w:rPr>
        <w:t> </w:t>
      </w:r>
      <w:r>
        <w:rPr/>
        <w:t>as</w:t>
      </w:r>
      <w:r>
        <w:rPr>
          <w:spacing w:val="27"/>
        </w:rPr>
        <w:t> </w:t>
      </w:r>
      <w:r>
        <w:rPr/>
        <w:t>all</w:t>
      </w:r>
      <w:r>
        <w:rPr>
          <w:spacing w:val="30"/>
        </w:rPr>
        <w:t> </w:t>
      </w:r>
      <w:r>
        <w:rPr/>
        <w:t>universities</w:t>
      </w:r>
      <w:r>
        <w:rPr>
          <w:spacing w:val="23"/>
        </w:rPr>
        <w:t> </w:t>
      </w:r>
      <w:r>
        <w:rPr>
          <w:spacing w:val="-5"/>
        </w:rPr>
        <w:t>in</w:t>
      </w:r>
    </w:p>
    <w:p>
      <w:pPr>
        <w:spacing w:after="0" w:line="480" w:lineRule="auto"/>
        <w:jc w:val="both"/>
        <w:sectPr>
          <w:headerReference w:type="default" r:id="rId42"/>
          <w:footerReference w:type="default" r:id="rId43"/>
          <w:pgSz w:w="12240" w:h="15840"/>
          <w:pgMar w:header="722" w:footer="791" w:top="1060" w:bottom="980" w:left="1280" w:right="1140"/>
        </w:sectPr>
      </w:pPr>
    </w:p>
    <w:p>
      <w:pPr>
        <w:pStyle w:val="BodyText"/>
        <w:spacing w:before="86"/>
      </w:pPr>
    </w:p>
    <w:p>
      <w:pPr>
        <w:pStyle w:val="BodyText"/>
        <w:spacing w:line="480" w:lineRule="auto"/>
        <w:ind w:left="880" w:right="294"/>
        <w:jc w:val="both"/>
      </w:pPr>
      <w:r>
        <w:rPr/>
        <w:t>Nigeria</w:t>
      </w:r>
      <w:r>
        <w:rPr>
          <w:spacing w:val="-1"/>
        </w:rPr>
        <w:t> </w:t>
      </w:r>
      <w:r>
        <w:rPr/>
        <w:t>could</w:t>
      </w:r>
      <w:r>
        <w:rPr>
          <w:spacing w:val="-1"/>
        </w:rPr>
        <w:t> </w:t>
      </w:r>
      <w:r>
        <w:rPr/>
        <w:t>effectively</w:t>
      </w:r>
      <w:r>
        <w:rPr>
          <w:spacing w:val="-2"/>
        </w:rPr>
        <w:t> </w:t>
      </w:r>
      <w:r>
        <w:rPr/>
        <w:t>provide</w:t>
      </w:r>
      <w:r>
        <w:rPr>
          <w:spacing w:val="-1"/>
        </w:rPr>
        <w:t> </w:t>
      </w:r>
      <w:r>
        <w:rPr/>
        <w:t>welfare</w:t>
      </w:r>
      <w:r>
        <w:rPr>
          <w:spacing w:val="-1"/>
        </w:rPr>
        <w:t> </w:t>
      </w:r>
      <w:r>
        <w:rPr/>
        <w:t>facilities</w:t>
      </w:r>
      <w:r>
        <w:rPr>
          <w:spacing w:val="-2"/>
        </w:rPr>
        <w:t> </w:t>
      </w:r>
      <w:r>
        <w:rPr/>
        <w:t>and</w:t>
      </w:r>
      <w:r>
        <w:rPr>
          <w:spacing w:val="-1"/>
        </w:rPr>
        <w:t> </w:t>
      </w:r>
      <w:r>
        <w:rPr/>
        <w:t>services</w:t>
      </w:r>
      <w:r>
        <w:rPr>
          <w:spacing w:val="-2"/>
        </w:rPr>
        <w:t> </w:t>
      </w:r>
      <w:r>
        <w:rPr/>
        <w:t>like</w:t>
      </w:r>
      <w:r>
        <w:rPr>
          <w:spacing w:val="-1"/>
        </w:rPr>
        <w:t> </w:t>
      </w:r>
      <w:r>
        <w:rPr/>
        <w:t>feeding,</w:t>
      </w:r>
      <w:r>
        <w:rPr>
          <w:spacing w:val="-2"/>
        </w:rPr>
        <w:t> </w:t>
      </w:r>
      <w:r>
        <w:rPr/>
        <w:t>hostel and</w:t>
      </w:r>
      <w:r>
        <w:rPr>
          <w:spacing w:val="-1"/>
        </w:rPr>
        <w:t> </w:t>
      </w:r>
      <w:r>
        <w:rPr/>
        <w:t>classroom</w:t>
      </w:r>
      <w:r>
        <w:rPr>
          <w:spacing w:val="-10"/>
        </w:rPr>
        <w:t> </w:t>
      </w:r>
      <w:r>
        <w:rPr/>
        <w:t>accommodation,</w:t>
      </w:r>
      <w:r>
        <w:rPr>
          <w:spacing w:val="-2"/>
        </w:rPr>
        <w:t> </w:t>
      </w:r>
      <w:r>
        <w:rPr/>
        <w:t>medical and</w:t>
      </w:r>
      <w:r>
        <w:rPr>
          <w:spacing w:val="-1"/>
        </w:rPr>
        <w:t> </w:t>
      </w:r>
      <w:r>
        <w:rPr/>
        <w:t>library</w:t>
      </w:r>
      <w:r>
        <w:rPr>
          <w:spacing w:val="-2"/>
        </w:rPr>
        <w:t> </w:t>
      </w:r>
      <w:r>
        <w:rPr/>
        <w:t>facilities,</w:t>
      </w:r>
      <w:r>
        <w:rPr>
          <w:spacing w:val="-2"/>
        </w:rPr>
        <w:t> </w:t>
      </w:r>
      <w:r>
        <w:rPr/>
        <w:t>as</w:t>
      </w:r>
      <w:r>
        <w:rPr>
          <w:spacing w:val="-2"/>
        </w:rPr>
        <w:t> </w:t>
      </w:r>
      <w:r>
        <w:rPr/>
        <w:t>the</w:t>
      </w:r>
      <w:r>
        <w:rPr>
          <w:spacing w:val="-1"/>
        </w:rPr>
        <w:t> </w:t>
      </w:r>
      <w:r>
        <w:rPr/>
        <w:t>population</w:t>
      </w:r>
      <w:r>
        <w:rPr>
          <w:spacing w:val="-1"/>
        </w:rPr>
        <w:t> </w:t>
      </w:r>
      <w:r>
        <w:rPr/>
        <w:t>of students was relatively manageable. Universities could not complain of inadequate funding since they were few. But with the steady increase in the number of the universities, from the only one University College, Ibadan an offspring of Yaba Higher College, to six ‘Ashby’ or first generation universities; Nsukka (1960), Ile Ife</w:t>
      </w:r>
      <w:r>
        <w:rPr>
          <w:spacing w:val="-2"/>
        </w:rPr>
        <w:t> </w:t>
      </w:r>
      <w:r>
        <w:rPr/>
        <w:t>(1961), Akoka Lagos (1962), Ahmadu Bello (1962), Ibadan (1962), UniBenin (1970) then followed by second generation universities at Jos, Kano,</w:t>
      </w:r>
      <w:r>
        <w:rPr>
          <w:spacing w:val="7"/>
        </w:rPr>
        <w:t> </w:t>
      </w:r>
      <w:r>
        <w:rPr/>
        <w:t>Maiduguri,</w:t>
      </w:r>
      <w:r>
        <w:rPr>
          <w:spacing w:val="8"/>
        </w:rPr>
        <w:t> </w:t>
      </w:r>
      <w:r>
        <w:rPr/>
        <w:t>Sokoto,</w:t>
      </w:r>
      <w:r>
        <w:rPr>
          <w:spacing w:val="8"/>
        </w:rPr>
        <w:t> </w:t>
      </w:r>
      <w:r>
        <w:rPr/>
        <w:t>Ilorin,</w:t>
      </w:r>
      <w:r>
        <w:rPr>
          <w:spacing w:val="8"/>
        </w:rPr>
        <w:t> </w:t>
      </w:r>
      <w:r>
        <w:rPr/>
        <w:t>Calabar</w:t>
      </w:r>
      <w:r>
        <w:rPr>
          <w:spacing w:val="8"/>
        </w:rPr>
        <w:t> </w:t>
      </w:r>
      <w:r>
        <w:rPr/>
        <w:t>and</w:t>
      </w:r>
      <w:r>
        <w:rPr>
          <w:spacing w:val="4"/>
        </w:rPr>
        <w:t> </w:t>
      </w:r>
      <w:r>
        <w:rPr/>
        <w:t>Port</w:t>
      </w:r>
      <w:r>
        <w:rPr>
          <w:spacing w:val="8"/>
        </w:rPr>
        <w:t> </w:t>
      </w:r>
      <w:r>
        <w:rPr/>
        <w:t>Harcourt</w:t>
      </w:r>
      <w:r>
        <w:rPr>
          <w:spacing w:val="3"/>
        </w:rPr>
        <w:t> </w:t>
      </w:r>
      <w:r>
        <w:rPr/>
        <w:t>in</w:t>
      </w:r>
      <w:r>
        <w:rPr>
          <w:spacing w:val="8"/>
        </w:rPr>
        <w:t> </w:t>
      </w:r>
      <w:r>
        <w:rPr/>
        <w:t>1975</w:t>
      </w:r>
      <w:r>
        <w:rPr>
          <w:spacing w:val="8"/>
        </w:rPr>
        <w:t> </w:t>
      </w:r>
      <w:r>
        <w:rPr/>
        <w:t>and</w:t>
      </w:r>
      <w:r>
        <w:rPr>
          <w:spacing w:val="8"/>
        </w:rPr>
        <w:t> </w:t>
      </w:r>
      <w:r>
        <w:rPr/>
        <w:t>to</w:t>
      </w:r>
      <w:r>
        <w:rPr>
          <w:spacing w:val="4"/>
        </w:rPr>
        <w:t> </w:t>
      </w:r>
      <w:r>
        <w:rPr>
          <w:spacing w:val="-2"/>
        </w:rPr>
        <w:t>about</w:t>
      </w:r>
    </w:p>
    <w:p>
      <w:pPr>
        <w:pStyle w:val="BodyText"/>
        <w:spacing w:line="480" w:lineRule="auto" w:before="1"/>
        <w:ind w:left="880" w:right="298"/>
        <w:jc w:val="both"/>
      </w:pPr>
      <w:r>
        <w:rPr/>
        <w:t>48 Federal and State Universities with a student population of 526,780 the provision and maintenance of student welfare services can no doubt be very cumbersome. (Okebukola 2002:3-8).</w:t>
      </w:r>
    </w:p>
    <w:p>
      <w:pPr>
        <w:pStyle w:val="BodyText"/>
        <w:spacing w:line="480" w:lineRule="auto"/>
        <w:ind w:left="880" w:right="294" w:firstLine="720"/>
        <w:jc w:val="both"/>
      </w:pPr>
      <w:r>
        <w:rPr/>
        <w:t>For</w:t>
      </w:r>
      <w:r>
        <w:rPr>
          <w:spacing w:val="-1"/>
        </w:rPr>
        <w:t> </w:t>
      </w:r>
      <w:r>
        <w:rPr/>
        <w:t>instance when Ahmadu Bello University took off</w:t>
      </w:r>
      <w:r>
        <w:rPr>
          <w:spacing w:val="-3"/>
        </w:rPr>
        <w:t> </w:t>
      </w:r>
      <w:r>
        <w:rPr/>
        <w:t>in 1962 the welfare of students from all indications was given serious attention. There was a well coordinated arrangement for decent feeding and accommodation. This was perhaps due to small population of students which stood at 400 at inception, coupled with the excitement, desire and anxiety to initiate and provide a University education particularly being one of the first generation universities in the Country and the first of its type in the Northern part of Nigeria then. In Mahadi’s (1998:20) words there was a feeling of “new brooms sweep the cleanest”. Some services stood out. In those days feeding was free and each student had a whole room to himself or herself, laundry services and all cleaning materials were served free.</w:t>
      </w:r>
    </w:p>
    <w:p>
      <w:pPr>
        <w:spacing w:after="0" w:line="480" w:lineRule="auto"/>
        <w:jc w:val="both"/>
        <w:sectPr>
          <w:headerReference w:type="default" r:id="rId44"/>
          <w:footerReference w:type="default" r:id="rId45"/>
          <w:pgSz w:w="12240" w:h="15840"/>
          <w:pgMar w:header="722" w:footer="791" w:top="1060" w:bottom="980" w:left="1280" w:right="1140"/>
        </w:sectPr>
      </w:pPr>
    </w:p>
    <w:p>
      <w:pPr>
        <w:pStyle w:val="BodyText"/>
        <w:spacing w:before="86"/>
      </w:pPr>
    </w:p>
    <w:p>
      <w:pPr>
        <w:pStyle w:val="BodyText"/>
        <w:spacing w:line="480" w:lineRule="auto"/>
        <w:ind w:left="880" w:right="294" w:firstLine="720"/>
        <w:jc w:val="both"/>
      </w:pPr>
      <w:r>
        <w:rPr/>
        <w:t>However</w:t>
      </w:r>
      <w:r>
        <w:rPr>
          <w:spacing w:val="-1"/>
        </w:rPr>
        <w:t> </w:t>
      </w:r>
      <w:r>
        <w:rPr/>
        <w:t>as</w:t>
      </w:r>
      <w:r>
        <w:rPr>
          <w:spacing w:val="-3"/>
        </w:rPr>
        <w:t> </w:t>
      </w:r>
      <w:r>
        <w:rPr/>
        <w:t>the</w:t>
      </w:r>
      <w:r>
        <w:rPr>
          <w:spacing w:val="-2"/>
        </w:rPr>
        <w:t> </w:t>
      </w:r>
      <w:r>
        <w:rPr/>
        <w:t>population</w:t>
      </w:r>
      <w:r>
        <w:rPr>
          <w:spacing w:val="-2"/>
        </w:rPr>
        <w:t> </w:t>
      </w:r>
      <w:r>
        <w:rPr/>
        <w:t>increased</w:t>
      </w:r>
      <w:r>
        <w:rPr>
          <w:spacing w:val="-2"/>
        </w:rPr>
        <w:t> </w:t>
      </w:r>
      <w:r>
        <w:rPr/>
        <w:t>gradually</w:t>
      </w:r>
      <w:r>
        <w:rPr>
          <w:spacing w:val="-3"/>
        </w:rPr>
        <w:t> </w:t>
      </w:r>
      <w:r>
        <w:rPr/>
        <w:t>over</w:t>
      </w:r>
      <w:r>
        <w:rPr>
          <w:spacing w:val="-1"/>
        </w:rPr>
        <w:t> </w:t>
      </w:r>
      <w:r>
        <w:rPr/>
        <w:t>the</w:t>
      </w:r>
      <w:r>
        <w:rPr>
          <w:spacing w:val="-2"/>
        </w:rPr>
        <w:t> </w:t>
      </w:r>
      <w:r>
        <w:rPr/>
        <w:t>years,</w:t>
      </w:r>
      <w:r>
        <w:rPr>
          <w:spacing w:val="-3"/>
        </w:rPr>
        <w:t> </w:t>
      </w:r>
      <w:r>
        <w:rPr/>
        <w:t>from</w:t>
      </w:r>
      <w:r>
        <w:rPr>
          <w:spacing w:val="-11"/>
        </w:rPr>
        <w:t> </w:t>
      </w:r>
      <w:r>
        <w:rPr/>
        <w:t>400</w:t>
      </w:r>
      <w:r>
        <w:rPr>
          <w:spacing w:val="-2"/>
        </w:rPr>
        <w:t> </w:t>
      </w:r>
      <w:r>
        <w:rPr/>
        <w:t>in 1962 to about</w:t>
      </w:r>
      <w:r>
        <w:rPr>
          <w:spacing w:val="-1"/>
        </w:rPr>
        <w:t> </w:t>
      </w:r>
      <w:r>
        <w:rPr/>
        <w:t>8,000 in 1970, 12,000 in 1980 and to over 14,000 in 1986 to about 20,000 in the 2001/2002 session, (Mahadi 1988:20), Mohammed (1989:15) and Management and Information Services (MIS) (2001), the University’s capacity to continue providing the basic welfare services such as feeding, decent accommodation and basic facilities which could enhance learning became a problem as these were impinging on the universities level of funding. Similarly, University of Maiduguri one of the second generation universities established in 1975 had a student population of sixty-four (64) at inception and increased to 1,825</w:t>
      </w:r>
      <w:r>
        <w:rPr>
          <w:spacing w:val="-6"/>
        </w:rPr>
        <w:t> </w:t>
      </w:r>
      <w:r>
        <w:rPr/>
        <w:t>in</w:t>
      </w:r>
      <w:r>
        <w:rPr>
          <w:spacing w:val="-2"/>
        </w:rPr>
        <w:t> </w:t>
      </w:r>
      <w:r>
        <w:rPr/>
        <w:t>1979/80</w:t>
      </w:r>
      <w:r>
        <w:rPr>
          <w:spacing w:val="-2"/>
        </w:rPr>
        <w:t> </w:t>
      </w:r>
      <w:r>
        <w:rPr/>
        <w:t>session.</w:t>
      </w:r>
      <w:r>
        <w:rPr>
          <w:spacing w:val="-3"/>
        </w:rPr>
        <w:t> </w:t>
      </w:r>
      <w:r>
        <w:rPr/>
        <w:t>This</w:t>
      </w:r>
      <w:r>
        <w:rPr>
          <w:spacing w:val="-3"/>
        </w:rPr>
        <w:t> </w:t>
      </w:r>
      <w:r>
        <w:rPr/>
        <w:t>number</w:t>
      </w:r>
      <w:r>
        <w:rPr>
          <w:spacing w:val="-1"/>
        </w:rPr>
        <w:t> </w:t>
      </w:r>
      <w:r>
        <w:rPr/>
        <w:t>was</w:t>
      </w:r>
      <w:r>
        <w:rPr>
          <w:spacing w:val="-3"/>
        </w:rPr>
        <w:t> </w:t>
      </w:r>
      <w:r>
        <w:rPr/>
        <w:t>very</w:t>
      </w:r>
      <w:r>
        <w:rPr>
          <w:spacing w:val="-3"/>
        </w:rPr>
        <w:t> </w:t>
      </w:r>
      <w:r>
        <w:rPr/>
        <w:t>easy</w:t>
      </w:r>
      <w:r>
        <w:rPr>
          <w:spacing w:val="-3"/>
        </w:rPr>
        <w:t> </w:t>
      </w:r>
      <w:r>
        <w:rPr/>
        <w:t>to</w:t>
      </w:r>
      <w:r>
        <w:rPr>
          <w:spacing w:val="-2"/>
        </w:rPr>
        <w:t> </w:t>
      </w:r>
      <w:r>
        <w:rPr/>
        <w:t>feed</w:t>
      </w:r>
      <w:r>
        <w:rPr>
          <w:spacing w:val="-2"/>
        </w:rPr>
        <w:t> </w:t>
      </w:r>
      <w:r>
        <w:rPr/>
        <w:t>and</w:t>
      </w:r>
      <w:r>
        <w:rPr>
          <w:spacing w:val="-6"/>
        </w:rPr>
        <w:t> </w:t>
      </w:r>
      <w:r>
        <w:rPr/>
        <w:t>accommodate. With the increase to over 20,000 in the preceding sessions</w:t>
      </w:r>
      <w:r>
        <w:rPr>
          <w:spacing w:val="-1"/>
        </w:rPr>
        <w:t> </w:t>
      </w:r>
      <w:r>
        <w:rPr/>
        <w:t>provision of</w:t>
      </w:r>
      <w:r>
        <w:rPr>
          <w:spacing w:val="-1"/>
        </w:rPr>
        <w:t> </w:t>
      </w:r>
      <w:r>
        <w:rPr/>
        <w:t>adequate student welfare in terms of accommodation, feeding and other facilities and amenities became stressful and impossible.</w:t>
      </w:r>
    </w:p>
    <w:p>
      <w:pPr>
        <w:pStyle w:val="BodyText"/>
        <w:spacing w:line="480" w:lineRule="auto" w:before="1"/>
        <w:ind w:left="880" w:right="294" w:firstLine="720"/>
        <w:jc w:val="both"/>
      </w:pPr>
      <w:r>
        <w:rPr/>
        <w:t>Bayero University Kano had same phenomenon. When it took off in 1977 as full fledged University it could conveniently cope with a student population of 846 students. Although the feeding was Pay-As-You-Eat with 10k for breakfast and 20k for lunch and dinner, students felt satisfied. Gradually when the</w:t>
      </w:r>
      <w:r>
        <w:rPr>
          <w:spacing w:val="80"/>
        </w:rPr>
        <w:t> </w:t>
      </w:r>
      <w:r>
        <w:rPr/>
        <w:t>students’ population exploded to over 3,000 in the 1980’s the students’ welfare facilities started degenerating. The story was the same all over the universities and this situation was viewed as a big threat to the smooth management of the students’ welfare services in the</w:t>
      </w:r>
      <w:r>
        <w:rPr>
          <w:spacing w:val="40"/>
        </w:rPr>
        <w:t> </w:t>
      </w:r>
      <w:r>
        <w:rPr/>
        <w:t>University system.</w:t>
      </w:r>
    </w:p>
    <w:p>
      <w:pPr>
        <w:pStyle w:val="BodyText"/>
        <w:spacing w:line="480" w:lineRule="auto"/>
        <w:ind w:left="880" w:right="297" w:firstLine="720"/>
        <w:jc w:val="both"/>
      </w:pPr>
      <w:r>
        <w:rPr/>
        <w:t>In Kwanashe’s view (1999:586) Universities in Nigeria in general have been</w:t>
      </w:r>
      <w:r>
        <w:rPr>
          <w:spacing w:val="33"/>
        </w:rPr>
        <w:t>  </w:t>
      </w:r>
      <w:r>
        <w:rPr/>
        <w:t>frustrated</w:t>
      </w:r>
      <w:r>
        <w:rPr>
          <w:spacing w:val="32"/>
        </w:rPr>
        <w:t>  </w:t>
      </w:r>
      <w:r>
        <w:rPr/>
        <w:t>by</w:t>
      </w:r>
      <w:r>
        <w:rPr>
          <w:spacing w:val="33"/>
        </w:rPr>
        <w:t>  </w:t>
      </w:r>
      <w:r>
        <w:rPr/>
        <w:t>various</w:t>
      </w:r>
      <w:r>
        <w:rPr>
          <w:spacing w:val="31"/>
        </w:rPr>
        <w:t>  </w:t>
      </w:r>
      <w:r>
        <w:rPr/>
        <w:t>constraints</w:t>
      </w:r>
      <w:r>
        <w:rPr>
          <w:spacing w:val="30"/>
        </w:rPr>
        <w:t>  </w:t>
      </w:r>
      <w:r>
        <w:rPr/>
        <w:t>“ranging</w:t>
      </w:r>
      <w:r>
        <w:rPr>
          <w:spacing w:val="32"/>
        </w:rPr>
        <w:t>  </w:t>
      </w:r>
      <w:r>
        <w:rPr/>
        <w:t>from</w:t>
      </w:r>
      <w:r>
        <w:rPr>
          <w:spacing w:val="29"/>
        </w:rPr>
        <w:t>  </w:t>
      </w:r>
      <w:r>
        <w:rPr/>
        <w:t>crisis</w:t>
      </w:r>
      <w:r>
        <w:rPr>
          <w:spacing w:val="31"/>
        </w:rPr>
        <w:t>  </w:t>
      </w:r>
      <w:r>
        <w:rPr/>
        <w:t>of</w:t>
      </w:r>
      <w:r>
        <w:rPr>
          <w:spacing w:val="31"/>
        </w:rPr>
        <w:t>  </w:t>
      </w:r>
      <w:r>
        <w:rPr>
          <w:spacing w:val="-2"/>
        </w:rPr>
        <w:t>students’</w:t>
      </w:r>
    </w:p>
    <w:p>
      <w:pPr>
        <w:spacing w:after="0" w:line="480" w:lineRule="auto"/>
        <w:jc w:val="both"/>
        <w:sectPr>
          <w:headerReference w:type="default" r:id="rId46"/>
          <w:footerReference w:type="default" r:id="rId47"/>
          <w:pgSz w:w="12240" w:h="15840"/>
          <w:pgMar w:header="722" w:footer="791" w:top="1060" w:bottom="980" w:left="1280" w:right="1140"/>
        </w:sectPr>
      </w:pPr>
    </w:p>
    <w:p>
      <w:pPr>
        <w:pStyle w:val="BodyText"/>
        <w:spacing w:before="86"/>
      </w:pPr>
    </w:p>
    <w:p>
      <w:pPr>
        <w:pStyle w:val="BodyText"/>
        <w:spacing w:line="480" w:lineRule="auto"/>
        <w:ind w:left="880" w:right="297"/>
        <w:jc w:val="both"/>
      </w:pPr>
      <w:r>
        <w:rPr/>
        <w:t>population, crisis of funding, crisis of relevance, disruption of students’ and staff unions to crisis of confidence”. And due to inadequate fund and poor planning there was a total breakdown in the provision and management of basic facilities and amenities, particularly facilities for students’ welfare services.</w:t>
      </w:r>
    </w:p>
    <w:p>
      <w:pPr>
        <w:pStyle w:val="BodyText"/>
        <w:spacing w:line="480" w:lineRule="auto"/>
        <w:ind w:left="880" w:right="293" w:firstLine="720"/>
        <w:jc w:val="both"/>
      </w:pPr>
      <w:r>
        <w:rPr/>
        <w:t>In May 1978 a meeting of the Chairman of Council and Vice-Chancellors</w:t>
      </w:r>
      <w:r>
        <w:rPr>
          <w:spacing w:val="40"/>
        </w:rPr>
        <w:t> </w:t>
      </w:r>
      <w:r>
        <w:rPr/>
        <w:t>of all Universities in Nigeria with the Chief of Army Staff, Supreme Headquarters was held in Lagos. At that meeting some of the crucial decisions taken included the government’s’ intention to withdraw the subsidy on University students’ feeding and allow</w:t>
      </w:r>
      <w:r>
        <w:rPr>
          <w:spacing w:val="-1"/>
        </w:rPr>
        <w:t> </w:t>
      </w:r>
      <w:r>
        <w:rPr/>
        <w:t>an increase in University</w:t>
      </w:r>
      <w:r>
        <w:rPr>
          <w:spacing w:val="-1"/>
        </w:rPr>
        <w:t> </w:t>
      </w:r>
      <w:r>
        <w:rPr/>
        <w:t>Boarding and lodging fees from</w:t>
      </w:r>
      <w:r>
        <w:rPr>
          <w:spacing w:val="-2"/>
        </w:rPr>
        <w:t> </w:t>
      </w:r>
      <w:r>
        <w:rPr>
          <w:dstrike/>
        </w:rPr>
        <w:t>N</w:t>
      </w:r>
      <w:r>
        <w:rPr>
          <w:strike w:val="0"/>
        </w:rPr>
        <w:t>150 to </w:t>
      </w:r>
      <w:r>
        <w:rPr>
          <w:dstrike/>
        </w:rPr>
        <w:t>N</w:t>
      </w:r>
      <w:r>
        <w:rPr>
          <w:strike w:val="0"/>
        </w:rPr>
        <w:t>490 per session. The simple reason given for the withdrawal of feeding subsidy as reported in the Nigerian Herald of Friday 19</w:t>
      </w:r>
      <w:r>
        <w:rPr>
          <w:strike w:val="0"/>
          <w:vertAlign w:val="superscript"/>
        </w:rPr>
        <w:t>th</w:t>
      </w:r>
      <w:r>
        <w:rPr>
          <w:strike w:val="0"/>
          <w:vertAlign w:val="baseline"/>
        </w:rPr>
        <w:t> May 1978 was that “the primary responsibilities of the Universities are teaching and learning and not students’ catering”. Consequently, all Universities were advised to arrange</w:t>
      </w:r>
      <w:r>
        <w:rPr>
          <w:strike w:val="0"/>
          <w:spacing w:val="40"/>
          <w:vertAlign w:val="baseline"/>
        </w:rPr>
        <w:t> </w:t>
      </w:r>
      <w:r>
        <w:rPr>
          <w:strike w:val="0"/>
          <w:vertAlign w:val="baseline"/>
        </w:rPr>
        <w:t>means of managing the students’ feeding as from 1978 to date.</w:t>
      </w:r>
    </w:p>
    <w:p>
      <w:pPr>
        <w:pStyle w:val="BodyText"/>
        <w:spacing w:line="480" w:lineRule="auto" w:before="1"/>
        <w:ind w:left="880" w:right="295" w:firstLine="720"/>
        <w:jc w:val="both"/>
      </w:pPr>
      <w:r>
        <w:rPr/>
        <w:t>This decision sparked off protests and massive demonstrations on all campuses which led to open confrontation with the police and military and massive destruction of lives and property. Sequel to the chaotic rampage, it was later resolved that in the interest of peace and harmony “a new schedule of fees for the Universities was to be reviewed and recommended from previous</w:t>
      </w:r>
      <w:r>
        <w:rPr>
          <w:spacing w:val="80"/>
        </w:rPr>
        <w:t> </w:t>
      </w:r>
      <w:r>
        <w:rPr/>
        <w:t>decision of </w:t>
      </w:r>
      <w:r>
        <w:rPr>
          <w:dstrike/>
        </w:rPr>
        <w:t>N</w:t>
      </w:r>
      <w:r>
        <w:rPr>
          <w:strike w:val="0"/>
        </w:rPr>
        <w:t>490.00”. A new</w:t>
      </w:r>
      <w:r>
        <w:rPr>
          <w:strike w:val="0"/>
          <w:spacing w:val="-3"/>
        </w:rPr>
        <w:t> </w:t>
      </w:r>
      <w:r>
        <w:rPr>
          <w:strike w:val="0"/>
        </w:rPr>
        <w:t>schedule of </w:t>
      </w:r>
      <w:r>
        <w:rPr>
          <w:dstrike/>
        </w:rPr>
        <w:t>N</w:t>
      </w:r>
      <w:r>
        <w:rPr>
          <w:strike w:val="0"/>
        </w:rPr>
        <w:t>90.00 per</w:t>
      </w:r>
      <w:r>
        <w:rPr>
          <w:strike w:val="0"/>
          <w:spacing w:val="-1"/>
        </w:rPr>
        <w:t> </w:t>
      </w:r>
      <w:r>
        <w:rPr>
          <w:strike w:val="0"/>
        </w:rPr>
        <w:t>bedspace and</w:t>
      </w:r>
      <w:r>
        <w:rPr>
          <w:strike w:val="0"/>
          <w:spacing w:val="-2"/>
        </w:rPr>
        <w:t> </w:t>
      </w:r>
      <w:r>
        <w:rPr>
          <w:strike w:val="0"/>
        </w:rPr>
        <w:t>50k per meal was recommended and approved. In 1981/82 session due to the inability of the universities to find enough funds to maintain even this arrangement, the Federal Government</w:t>
      </w:r>
      <w:r>
        <w:rPr>
          <w:strike w:val="0"/>
          <w:spacing w:val="67"/>
          <w:w w:val="150"/>
        </w:rPr>
        <w:t> </w:t>
      </w:r>
      <w:r>
        <w:rPr>
          <w:strike w:val="0"/>
        </w:rPr>
        <w:t>withdrew</w:t>
      </w:r>
      <w:r>
        <w:rPr>
          <w:strike w:val="0"/>
          <w:spacing w:val="63"/>
          <w:w w:val="150"/>
        </w:rPr>
        <w:t> </w:t>
      </w:r>
      <w:r>
        <w:rPr>
          <w:strike w:val="0"/>
        </w:rPr>
        <w:t>the</w:t>
      </w:r>
      <w:r>
        <w:rPr>
          <w:strike w:val="0"/>
          <w:spacing w:val="69"/>
          <w:w w:val="150"/>
        </w:rPr>
        <w:t> </w:t>
      </w:r>
      <w:r>
        <w:rPr>
          <w:strike w:val="0"/>
        </w:rPr>
        <w:t>feeding</w:t>
      </w:r>
      <w:r>
        <w:rPr>
          <w:strike w:val="0"/>
          <w:spacing w:val="69"/>
          <w:w w:val="150"/>
        </w:rPr>
        <w:t> </w:t>
      </w:r>
      <w:r>
        <w:rPr>
          <w:strike w:val="0"/>
        </w:rPr>
        <w:t>subsidy</w:t>
      </w:r>
      <w:r>
        <w:rPr>
          <w:strike w:val="0"/>
          <w:spacing w:val="63"/>
          <w:w w:val="150"/>
        </w:rPr>
        <w:t> </w:t>
      </w:r>
      <w:r>
        <w:rPr>
          <w:strike w:val="0"/>
        </w:rPr>
        <w:t>and</w:t>
      </w:r>
      <w:r>
        <w:rPr>
          <w:strike w:val="0"/>
          <w:spacing w:val="69"/>
          <w:w w:val="150"/>
        </w:rPr>
        <w:t> </w:t>
      </w:r>
      <w:r>
        <w:rPr>
          <w:strike w:val="0"/>
        </w:rPr>
        <w:t>discontinued</w:t>
      </w:r>
      <w:r>
        <w:rPr>
          <w:strike w:val="0"/>
          <w:spacing w:val="68"/>
          <w:w w:val="150"/>
        </w:rPr>
        <w:t> </w:t>
      </w:r>
      <w:r>
        <w:rPr>
          <w:strike w:val="0"/>
        </w:rPr>
        <w:t>putting</w:t>
      </w:r>
      <w:r>
        <w:rPr>
          <w:strike w:val="0"/>
          <w:spacing w:val="69"/>
          <w:w w:val="150"/>
        </w:rPr>
        <w:t> </w:t>
      </w:r>
      <w:r>
        <w:rPr>
          <w:strike w:val="0"/>
          <w:spacing w:val="-4"/>
        </w:rPr>
        <w:t>more</w:t>
      </w:r>
    </w:p>
    <w:p>
      <w:pPr>
        <w:spacing w:after="0" w:line="480" w:lineRule="auto"/>
        <w:jc w:val="both"/>
        <w:sectPr>
          <w:headerReference w:type="default" r:id="rId48"/>
          <w:footerReference w:type="default" r:id="rId49"/>
          <w:pgSz w:w="12240" w:h="15840"/>
          <w:pgMar w:header="722" w:footer="791" w:top="1060" w:bottom="980" w:left="1280" w:right="1140"/>
        </w:sectPr>
      </w:pPr>
    </w:p>
    <w:p>
      <w:pPr>
        <w:pStyle w:val="BodyText"/>
        <w:spacing w:before="86"/>
      </w:pPr>
    </w:p>
    <w:p>
      <w:pPr>
        <w:pStyle w:val="BodyText"/>
        <w:spacing w:line="480" w:lineRule="auto"/>
        <w:ind w:left="880" w:right="295"/>
        <w:jc w:val="both"/>
      </w:pPr>
      <w:r>
        <w:rPr/>
        <w:t>structures for accommodation in the Universities. Consequently, the universities were advised by the government to arrange for students’ feeding and try to</w:t>
      </w:r>
      <w:r>
        <w:rPr>
          <w:spacing w:val="40"/>
        </w:rPr>
        <w:t> </w:t>
      </w:r>
      <w:r>
        <w:rPr/>
        <w:t>house at</w:t>
      </w:r>
      <w:r>
        <w:rPr>
          <w:spacing w:val="-1"/>
        </w:rPr>
        <w:t> </w:t>
      </w:r>
      <w:r>
        <w:rPr/>
        <w:t>least</w:t>
      </w:r>
      <w:r>
        <w:rPr>
          <w:spacing w:val="-1"/>
        </w:rPr>
        <w:t> </w:t>
      </w:r>
      <w:r>
        <w:rPr/>
        <w:t>one third of</w:t>
      </w:r>
      <w:r>
        <w:rPr>
          <w:spacing w:val="-1"/>
        </w:rPr>
        <w:t> </w:t>
      </w:r>
      <w:r>
        <w:rPr/>
        <w:t>the students’</w:t>
      </w:r>
      <w:r>
        <w:rPr>
          <w:spacing w:val="-1"/>
        </w:rPr>
        <w:t> </w:t>
      </w:r>
      <w:r>
        <w:rPr/>
        <w:t>population.</w:t>
      </w:r>
      <w:r>
        <w:rPr>
          <w:spacing w:val="-1"/>
        </w:rPr>
        <w:t> </w:t>
      </w:r>
      <w:r>
        <w:rPr/>
        <w:t>This</w:t>
      </w:r>
      <w:r>
        <w:rPr>
          <w:spacing w:val="-1"/>
        </w:rPr>
        <w:t> </w:t>
      </w:r>
      <w:r>
        <w:rPr/>
        <w:t>was</w:t>
      </w:r>
      <w:r>
        <w:rPr>
          <w:spacing w:val="-1"/>
        </w:rPr>
        <w:t> </w:t>
      </w:r>
      <w:r>
        <w:rPr/>
        <w:t>the beginning of</w:t>
      </w:r>
      <w:r>
        <w:rPr>
          <w:spacing w:val="-1"/>
        </w:rPr>
        <w:t> </w:t>
      </w:r>
      <w:r>
        <w:rPr/>
        <w:t>yet another trying experience in student’s lives throughout the nation. Hence more violent and devastating riots ensued by students in 1981.</w:t>
      </w:r>
    </w:p>
    <w:p>
      <w:pPr>
        <w:pStyle w:val="BodyText"/>
        <w:spacing w:line="480" w:lineRule="auto" w:before="1"/>
        <w:ind w:left="880" w:right="298" w:firstLine="720"/>
        <w:jc w:val="both"/>
      </w:pPr>
      <w:r>
        <w:rPr/>
        <w:t>It is on the basis of this prevailing predicament that the study sought to examine the provision and management of types of students’ welfare services in the universities in the three geopolitical zones in the Northern part of Nigeria.</w:t>
      </w:r>
    </w:p>
    <w:p>
      <w:pPr>
        <w:pStyle w:val="Heading4"/>
        <w:numPr>
          <w:ilvl w:val="1"/>
          <w:numId w:val="16"/>
        </w:numPr>
        <w:tabs>
          <w:tab w:pos="879" w:val="left" w:leader="none"/>
        </w:tabs>
        <w:spacing w:line="271" w:lineRule="exact" w:before="0" w:after="0"/>
        <w:ind w:left="879" w:right="0" w:hanging="719"/>
        <w:jc w:val="left"/>
        <w:rPr>
          <w:rFonts w:ascii="Arial MT"/>
          <w:b w:val="0"/>
        </w:rPr>
      </w:pPr>
      <w:bookmarkStart w:name="_TOC_250058" w:id="10"/>
      <w:r>
        <w:rPr/>
        <w:t>Statement</w:t>
      </w:r>
      <w:r>
        <w:rPr>
          <w:spacing w:val="-5"/>
        </w:rPr>
        <w:t> </w:t>
      </w:r>
      <w:r>
        <w:rPr/>
        <w:t>of</w:t>
      </w:r>
      <w:r>
        <w:rPr>
          <w:spacing w:val="-9"/>
        </w:rPr>
        <w:t> </w:t>
      </w:r>
      <w:r>
        <w:rPr/>
        <w:t>the</w:t>
      </w:r>
      <w:r>
        <w:rPr>
          <w:spacing w:val="-6"/>
        </w:rPr>
        <w:t> </w:t>
      </w:r>
      <w:bookmarkEnd w:id="10"/>
      <w:r>
        <w:rPr>
          <w:spacing w:val="-2"/>
        </w:rPr>
        <w:t>Problem</w:t>
      </w:r>
    </w:p>
    <w:p>
      <w:pPr>
        <w:pStyle w:val="BodyText"/>
        <w:spacing w:before="4"/>
        <w:rPr>
          <w:rFonts w:ascii="Arial"/>
          <w:b/>
        </w:rPr>
      </w:pPr>
    </w:p>
    <w:p>
      <w:pPr>
        <w:pStyle w:val="BodyText"/>
        <w:spacing w:line="480" w:lineRule="auto"/>
        <w:ind w:left="880" w:right="293" w:firstLine="720"/>
        <w:jc w:val="both"/>
      </w:pPr>
      <w:r>
        <w:rPr/>
        <w:t>It is generally accepted that students’ welfare services are indispensable for the effective and efficient management of any university in the world.</w:t>
      </w:r>
      <w:r>
        <w:rPr>
          <w:spacing w:val="80"/>
        </w:rPr>
        <w:t> </w:t>
      </w:r>
      <w:r>
        <w:rPr/>
        <w:t>Towards realizing these objectives, the Government and University Management must uphold the need to seriously provide all the necessary welfare services to students at all times.</w:t>
      </w:r>
      <w:r>
        <w:rPr>
          <w:spacing w:val="40"/>
        </w:rPr>
        <w:t> </w:t>
      </w:r>
      <w:r>
        <w:rPr/>
        <w:t>To stress this point, scholars like Kwanashie (1999.5), Oladapo (1987.75), Adamu, (2003: 16-17) and Okebukola, (2002) revealed that all Universities in Nigeria in the 1950s were funded adequately by the Government towards the upkeep of the University education, particularly for the improvement and management of students’ welfare.</w:t>
      </w:r>
      <w:r>
        <w:rPr>
          <w:spacing w:val="40"/>
        </w:rPr>
        <w:t> </w:t>
      </w:r>
      <w:r>
        <w:rPr/>
        <w:t>Based on the availability of adequate</w:t>
      </w:r>
      <w:r>
        <w:rPr>
          <w:spacing w:val="-2"/>
        </w:rPr>
        <w:t> </w:t>
      </w:r>
      <w:r>
        <w:rPr/>
        <w:t>funds</w:t>
      </w:r>
      <w:r>
        <w:rPr>
          <w:spacing w:val="-3"/>
        </w:rPr>
        <w:t> </w:t>
      </w:r>
      <w:r>
        <w:rPr/>
        <w:t>to take care of the</w:t>
      </w:r>
      <w:r>
        <w:rPr>
          <w:spacing w:val="-2"/>
        </w:rPr>
        <w:t> </w:t>
      </w:r>
      <w:r>
        <w:rPr/>
        <w:t>manageable size</w:t>
      </w:r>
      <w:r>
        <w:rPr>
          <w:spacing w:val="-2"/>
        </w:rPr>
        <w:t> </w:t>
      </w:r>
      <w:r>
        <w:rPr/>
        <w:t>of students’</w:t>
      </w:r>
      <w:r>
        <w:rPr>
          <w:spacing w:val="-3"/>
        </w:rPr>
        <w:t> </w:t>
      </w:r>
      <w:r>
        <w:rPr/>
        <w:t>population then, students’ welfare services in terms of feeding subsidy, Hostel accommodations, academic facilities and other facilities were taken care of properly.</w:t>
      </w:r>
    </w:p>
    <w:p>
      <w:pPr>
        <w:pStyle w:val="BodyText"/>
        <w:spacing w:line="480" w:lineRule="auto" w:before="1"/>
        <w:ind w:left="880" w:right="294" w:firstLine="720"/>
        <w:jc w:val="both"/>
      </w:pPr>
      <w:r>
        <w:rPr/>
        <w:t>However, with the rapid increase in student’s population in the late 1970s and</w:t>
      </w:r>
      <w:r>
        <w:rPr>
          <w:spacing w:val="7"/>
        </w:rPr>
        <w:t> </w:t>
      </w:r>
      <w:r>
        <w:rPr/>
        <w:t>1980s</w:t>
      </w:r>
      <w:r>
        <w:rPr>
          <w:spacing w:val="6"/>
        </w:rPr>
        <w:t> </w:t>
      </w:r>
      <w:r>
        <w:rPr/>
        <w:t>the</w:t>
      </w:r>
      <w:r>
        <w:rPr>
          <w:spacing w:val="8"/>
        </w:rPr>
        <w:t> </w:t>
      </w:r>
      <w:r>
        <w:rPr/>
        <w:t>Government</w:t>
      </w:r>
      <w:r>
        <w:rPr>
          <w:spacing w:val="7"/>
        </w:rPr>
        <w:t> </w:t>
      </w:r>
      <w:r>
        <w:rPr/>
        <w:t>could</w:t>
      </w:r>
      <w:r>
        <w:rPr>
          <w:spacing w:val="4"/>
        </w:rPr>
        <w:t> </w:t>
      </w:r>
      <w:r>
        <w:rPr/>
        <w:t>no</w:t>
      </w:r>
      <w:r>
        <w:rPr>
          <w:spacing w:val="4"/>
        </w:rPr>
        <w:t> </w:t>
      </w:r>
      <w:r>
        <w:rPr/>
        <w:t>longer</w:t>
      </w:r>
      <w:r>
        <w:rPr>
          <w:spacing w:val="4"/>
        </w:rPr>
        <w:t> </w:t>
      </w:r>
      <w:r>
        <w:rPr/>
        <w:t>cope</w:t>
      </w:r>
      <w:r>
        <w:rPr>
          <w:spacing w:val="7"/>
        </w:rPr>
        <w:t> </w:t>
      </w:r>
      <w:r>
        <w:rPr/>
        <w:t>with</w:t>
      </w:r>
      <w:r>
        <w:rPr>
          <w:spacing w:val="4"/>
        </w:rPr>
        <w:t> </w:t>
      </w:r>
      <w:r>
        <w:rPr/>
        <w:t>allocating</w:t>
      </w:r>
      <w:r>
        <w:rPr>
          <w:spacing w:val="4"/>
        </w:rPr>
        <w:t> </w:t>
      </w:r>
      <w:r>
        <w:rPr/>
        <w:t>adequate</w:t>
      </w:r>
      <w:r>
        <w:rPr>
          <w:spacing w:val="4"/>
        </w:rPr>
        <w:t> </w:t>
      </w:r>
      <w:r>
        <w:rPr>
          <w:spacing w:val="-2"/>
        </w:rPr>
        <w:t>funds</w:t>
      </w:r>
    </w:p>
    <w:p>
      <w:pPr>
        <w:spacing w:after="0" w:line="480" w:lineRule="auto"/>
        <w:jc w:val="both"/>
        <w:sectPr>
          <w:headerReference w:type="default" r:id="rId50"/>
          <w:footerReference w:type="default" r:id="rId51"/>
          <w:pgSz w:w="12240" w:h="15840"/>
          <w:pgMar w:header="722" w:footer="791" w:top="1060" w:bottom="980" w:left="1280" w:right="1140"/>
        </w:sectPr>
      </w:pPr>
    </w:p>
    <w:p>
      <w:pPr>
        <w:pStyle w:val="BodyText"/>
        <w:spacing w:before="86"/>
      </w:pPr>
    </w:p>
    <w:p>
      <w:pPr>
        <w:pStyle w:val="BodyText"/>
        <w:spacing w:line="480" w:lineRule="auto"/>
        <w:ind w:left="880" w:right="293"/>
        <w:jc w:val="both"/>
      </w:pPr>
      <w:r>
        <w:rPr/>
        <w:t>to the University sector.</w:t>
      </w:r>
      <w:r>
        <w:rPr>
          <w:spacing w:val="40"/>
        </w:rPr>
        <w:t> </w:t>
      </w:r>
      <w:r>
        <w:rPr/>
        <w:t>Subsequently, Government withdrew feeding and declined in putting up more students’ hostel, and accommodation structures on the University campuses.</w:t>
      </w:r>
      <w:r>
        <w:rPr>
          <w:spacing w:val="40"/>
        </w:rPr>
        <w:t> </w:t>
      </w:r>
      <w:r>
        <w:rPr/>
        <w:t>Consequent upon this development, students’ hostels and academic structures as well as other facilities became chocked up, overstretching the facilities there in.</w:t>
      </w:r>
      <w:r>
        <w:rPr>
          <w:spacing w:val="40"/>
        </w:rPr>
        <w:t> </w:t>
      </w:r>
      <w:r>
        <w:rPr/>
        <w:t>This prevailing state of affairs coupled with the unending increase in students’ admission with little or no increase in the welfare facilities seemed to have contributed to the rampant students’ unrest, uprisings, crises, violent demonstration, cultism and general deteriorating standard of morality and academic performance as exerted by stakeholders and even members of general public.</w:t>
      </w:r>
    </w:p>
    <w:p>
      <w:pPr>
        <w:pStyle w:val="BodyText"/>
        <w:spacing w:line="480" w:lineRule="auto" w:before="1"/>
        <w:ind w:left="880" w:right="293" w:firstLine="720"/>
        <w:jc w:val="both"/>
      </w:pPr>
      <w:r>
        <w:rPr/>
        <w:t>This conviction was further supported by Ifade,</w:t>
      </w:r>
      <w:r>
        <w:rPr>
          <w:spacing w:val="40"/>
        </w:rPr>
        <w:t> </w:t>
      </w:r>
      <w:r>
        <w:rPr/>
        <w:t>(1988) that the management of students’ welfare services in Nigerian Universities ‘has deteriorated so much so that problems resulting from lack of adequate basic amenities which constitute students’</w:t>
      </w:r>
      <w:r>
        <w:rPr>
          <w:spacing w:val="-3"/>
        </w:rPr>
        <w:t> </w:t>
      </w:r>
      <w:r>
        <w:rPr/>
        <w:t>welfare</w:t>
      </w:r>
      <w:r>
        <w:rPr>
          <w:spacing w:val="-2"/>
        </w:rPr>
        <w:t> </w:t>
      </w:r>
      <w:r>
        <w:rPr/>
        <w:t>has a far</w:t>
      </w:r>
      <w:r>
        <w:rPr>
          <w:spacing w:val="-1"/>
        </w:rPr>
        <w:t> </w:t>
      </w:r>
      <w:r>
        <w:rPr/>
        <w:t>reaching</w:t>
      </w:r>
      <w:r>
        <w:rPr>
          <w:spacing w:val="-6"/>
        </w:rPr>
        <w:t> </w:t>
      </w:r>
      <w:r>
        <w:rPr/>
        <w:t>implication, which may consequently contribute immensely to students’ untold hardships, physical and emotional distress, frustration, persistent conflicts, unrest and general depressing</w:t>
      </w:r>
      <w:r>
        <w:rPr>
          <w:spacing w:val="-2"/>
        </w:rPr>
        <w:t> </w:t>
      </w:r>
      <w:r>
        <w:rPr/>
        <w:t>academic conditions.</w:t>
      </w:r>
      <w:r>
        <w:rPr>
          <w:spacing w:val="40"/>
        </w:rPr>
        <w:t> </w:t>
      </w:r>
      <w:r>
        <w:rPr/>
        <w:t>Under such</w:t>
      </w:r>
      <w:r>
        <w:rPr>
          <w:spacing w:val="-2"/>
        </w:rPr>
        <w:t> </w:t>
      </w:r>
      <w:r>
        <w:rPr/>
        <w:t>poor</w:t>
      </w:r>
      <w:r>
        <w:rPr>
          <w:spacing w:val="-1"/>
        </w:rPr>
        <w:t> </w:t>
      </w:r>
      <w:r>
        <w:rPr/>
        <w:t>and</w:t>
      </w:r>
      <w:r>
        <w:rPr>
          <w:spacing w:val="-2"/>
        </w:rPr>
        <w:t> </w:t>
      </w:r>
      <w:r>
        <w:rPr/>
        <w:t>unconducive atmosphere students cannot perform academically well.’</w:t>
      </w:r>
    </w:p>
    <w:p>
      <w:pPr>
        <w:pStyle w:val="BodyText"/>
        <w:spacing w:line="480" w:lineRule="auto"/>
        <w:ind w:left="880" w:right="294" w:firstLine="720"/>
        <w:jc w:val="both"/>
      </w:pPr>
      <w:r>
        <w:rPr/>
        <w:t>It is against this background that the researcher was motivated to direct this study towards exploring, assessing and establishing the level of commitment of the government and the University Management in the provision and management of the social, academic, medical and environmental services to students</w:t>
      </w:r>
      <w:r>
        <w:rPr>
          <w:spacing w:val="77"/>
          <w:w w:val="150"/>
        </w:rPr>
        <w:t> </w:t>
      </w:r>
      <w:r>
        <w:rPr/>
        <w:t>for</w:t>
      </w:r>
      <w:r>
        <w:rPr>
          <w:spacing w:val="78"/>
          <w:w w:val="150"/>
        </w:rPr>
        <w:t> </w:t>
      </w:r>
      <w:r>
        <w:rPr/>
        <w:t>enhancement</w:t>
      </w:r>
      <w:r>
        <w:rPr>
          <w:spacing w:val="77"/>
          <w:w w:val="150"/>
        </w:rPr>
        <w:t> </w:t>
      </w:r>
      <w:r>
        <w:rPr/>
        <w:t>of</w:t>
      </w:r>
      <w:r>
        <w:rPr>
          <w:spacing w:val="78"/>
          <w:w w:val="150"/>
        </w:rPr>
        <w:t> </w:t>
      </w:r>
      <w:r>
        <w:rPr/>
        <w:t>better</w:t>
      </w:r>
      <w:r>
        <w:rPr>
          <w:spacing w:val="78"/>
          <w:w w:val="150"/>
        </w:rPr>
        <w:t> </w:t>
      </w:r>
      <w:r>
        <w:rPr/>
        <w:t>performance</w:t>
      </w:r>
      <w:r>
        <w:rPr>
          <w:spacing w:val="78"/>
          <w:w w:val="150"/>
        </w:rPr>
        <w:t> </w:t>
      </w:r>
      <w:r>
        <w:rPr/>
        <w:t>in</w:t>
      </w:r>
      <w:r>
        <w:rPr>
          <w:spacing w:val="78"/>
          <w:w w:val="150"/>
        </w:rPr>
        <w:t> </w:t>
      </w:r>
      <w:r>
        <w:rPr/>
        <w:t>students’</w:t>
      </w:r>
      <w:r>
        <w:rPr>
          <w:spacing w:val="76"/>
          <w:w w:val="150"/>
        </w:rPr>
        <w:t> </w:t>
      </w:r>
      <w:r>
        <w:rPr/>
        <w:t>social</w:t>
      </w:r>
      <w:r>
        <w:rPr>
          <w:spacing w:val="77"/>
          <w:w w:val="150"/>
        </w:rPr>
        <w:t> </w:t>
      </w:r>
      <w:r>
        <w:rPr>
          <w:spacing w:val="-5"/>
        </w:rPr>
        <w:t>and</w:t>
      </w:r>
    </w:p>
    <w:p>
      <w:pPr>
        <w:spacing w:after="0" w:line="480" w:lineRule="auto"/>
        <w:jc w:val="both"/>
        <w:sectPr>
          <w:headerReference w:type="default" r:id="rId52"/>
          <w:footerReference w:type="default" r:id="rId53"/>
          <w:pgSz w:w="12240" w:h="15840"/>
          <w:pgMar w:header="722" w:footer="791" w:top="1060" w:bottom="980" w:left="1280" w:right="1140"/>
        </w:sectPr>
      </w:pPr>
    </w:p>
    <w:p>
      <w:pPr>
        <w:pStyle w:val="BodyText"/>
        <w:spacing w:before="86"/>
      </w:pPr>
    </w:p>
    <w:p>
      <w:pPr>
        <w:pStyle w:val="BodyText"/>
        <w:spacing w:line="480" w:lineRule="auto"/>
        <w:ind w:left="880"/>
      </w:pPr>
      <w:r>
        <w:rPr/>
        <w:t>academic</w:t>
      </w:r>
      <w:r>
        <w:rPr>
          <w:spacing w:val="40"/>
        </w:rPr>
        <w:t> </w:t>
      </w:r>
      <w:r>
        <w:rPr/>
        <w:t>pursuits,</w:t>
      </w:r>
      <w:r>
        <w:rPr>
          <w:spacing w:val="36"/>
        </w:rPr>
        <w:t> </w:t>
      </w:r>
      <w:r>
        <w:rPr/>
        <w:t>in</w:t>
      </w:r>
      <w:r>
        <w:rPr>
          <w:spacing w:val="40"/>
        </w:rPr>
        <w:t> </w:t>
      </w:r>
      <w:r>
        <w:rPr/>
        <w:t>the</w:t>
      </w:r>
      <w:r>
        <w:rPr>
          <w:spacing w:val="40"/>
        </w:rPr>
        <w:t> </w:t>
      </w:r>
      <w:r>
        <w:rPr/>
        <w:t>Universities</w:t>
      </w:r>
      <w:r>
        <w:rPr>
          <w:spacing w:val="40"/>
        </w:rPr>
        <w:t> </w:t>
      </w:r>
      <w:r>
        <w:rPr/>
        <w:t>in</w:t>
      </w:r>
      <w:r>
        <w:rPr>
          <w:spacing w:val="40"/>
        </w:rPr>
        <w:t> </w:t>
      </w:r>
      <w:r>
        <w:rPr/>
        <w:t>the</w:t>
      </w:r>
      <w:r>
        <w:rPr>
          <w:spacing w:val="40"/>
        </w:rPr>
        <w:t> </w:t>
      </w:r>
      <w:r>
        <w:rPr/>
        <w:t>Three</w:t>
      </w:r>
      <w:r>
        <w:rPr>
          <w:spacing w:val="40"/>
        </w:rPr>
        <w:t> </w:t>
      </w:r>
      <w:r>
        <w:rPr/>
        <w:t>Geo-Political</w:t>
      </w:r>
      <w:r>
        <w:rPr>
          <w:spacing w:val="40"/>
        </w:rPr>
        <w:t> </w:t>
      </w:r>
      <w:r>
        <w:rPr/>
        <w:t>Zones</w:t>
      </w:r>
      <w:r>
        <w:rPr>
          <w:spacing w:val="40"/>
        </w:rPr>
        <w:t> </w:t>
      </w:r>
      <w:r>
        <w:rPr/>
        <w:t>in</w:t>
      </w:r>
      <w:r>
        <w:rPr>
          <w:spacing w:val="40"/>
        </w:rPr>
        <w:t> </w:t>
      </w:r>
      <w:r>
        <w:rPr/>
        <w:t>the Northern part of Nigeria.</w:t>
      </w:r>
    </w:p>
    <w:p>
      <w:pPr>
        <w:pStyle w:val="Heading2"/>
        <w:numPr>
          <w:ilvl w:val="1"/>
          <w:numId w:val="16"/>
        </w:numPr>
        <w:tabs>
          <w:tab w:pos="879" w:val="left" w:leader="none"/>
        </w:tabs>
        <w:spacing w:line="318" w:lineRule="exact" w:before="0" w:after="0"/>
        <w:ind w:left="879" w:right="0" w:hanging="719"/>
        <w:jc w:val="left"/>
        <w:rPr>
          <w:rFonts w:ascii="Arial MT"/>
          <w:b w:val="0"/>
        </w:rPr>
      </w:pPr>
      <w:bookmarkStart w:name="_TOC_250057" w:id="11"/>
      <w:r>
        <w:rPr/>
        <w:t>Objectives</w:t>
      </w:r>
      <w:r>
        <w:rPr>
          <w:spacing w:val="-7"/>
        </w:rPr>
        <w:t> </w:t>
      </w:r>
      <w:r>
        <w:rPr/>
        <w:t>of</w:t>
      </w:r>
      <w:r>
        <w:rPr>
          <w:spacing w:val="-4"/>
        </w:rPr>
        <w:t> </w:t>
      </w:r>
      <w:r>
        <w:rPr/>
        <w:t>the</w:t>
      </w:r>
      <w:r>
        <w:rPr>
          <w:spacing w:val="-7"/>
        </w:rPr>
        <w:t> </w:t>
      </w:r>
      <w:bookmarkEnd w:id="11"/>
      <w:r>
        <w:rPr>
          <w:spacing w:val="-4"/>
        </w:rPr>
        <w:t>Study</w:t>
      </w:r>
    </w:p>
    <w:p>
      <w:pPr>
        <w:pStyle w:val="BodyText"/>
        <w:spacing w:before="3"/>
        <w:rPr>
          <w:rFonts w:ascii="Arial"/>
          <w:b/>
          <w:sz w:val="28"/>
        </w:rPr>
      </w:pPr>
    </w:p>
    <w:p>
      <w:pPr>
        <w:pStyle w:val="BodyText"/>
        <w:ind w:left="880"/>
      </w:pPr>
      <w:r>
        <w:rPr/>
        <w:t>The</w:t>
      </w:r>
      <w:r>
        <w:rPr>
          <w:spacing w:val="-5"/>
        </w:rPr>
        <w:t> </w:t>
      </w:r>
      <w:r>
        <w:rPr/>
        <w:t>main</w:t>
      </w:r>
      <w:r>
        <w:rPr>
          <w:spacing w:val="-5"/>
        </w:rPr>
        <w:t> </w:t>
      </w:r>
      <w:r>
        <w:rPr/>
        <w:t>objectives</w:t>
      </w:r>
      <w:r>
        <w:rPr>
          <w:spacing w:val="-11"/>
        </w:rPr>
        <w:t> </w:t>
      </w:r>
      <w:r>
        <w:rPr/>
        <w:t>of</w:t>
      </w:r>
      <w:r>
        <w:rPr>
          <w:spacing w:val="-5"/>
        </w:rPr>
        <w:t> </w:t>
      </w:r>
      <w:r>
        <w:rPr/>
        <w:t>this</w:t>
      </w:r>
      <w:r>
        <w:rPr>
          <w:spacing w:val="-6"/>
        </w:rPr>
        <w:t> </w:t>
      </w:r>
      <w:r>
        <w:rPr/>
        <w:t>study</w:t>
      </w:r>
      <w:r>
        <w:rPr>
          <w:spacing w:val="-4"/>
        </w:rPr>
        <w:t> </w:t>
      </w:r>
      <w:r>
        <w:rPr/>
        <w:t>were</w:t>
      </w:r>
      <w:r>
        <w:rPr>
          <w:spacing w:val="-5"/>
        </w:rPr>
        <w:t> to</w:t>
      </w:r>
    </w:p>
    <w:p>
      <w:pPr>
        <w:pStyle w:val="BodyText"/>
      </w:pPr>
    </w:p>
    <w:p>
      <w:pPr>
        <w:pStyle w:val="ListParagraph"/>
        <w:numPr>
          <w:ilvl w:val="2"/>
          <w:numId w:val="16"/>
        </w:numPr>
        <w:tabs>
          <w:tab w:pos="1600" w:val="left" w:leader="none"/>
        </w:tabs>
        <w:spacing w:line="480" w:lineRule="auto" w:before="1" w:after="0"/>
        <w:ind w:left="1600" w:right="294" w:hanging="360"/>
        <w:jc w:val="both"/>
        <w:rPr>
          <w:sz w:val="24"/>
        </w:rPr>
      </w:pPr>
      <w:r>
        <w:rPr>
          <w:sz w:val="24"/>
        </w:rPr>
        <w:t>Identify the</w:t>
      </w:r>
      <w:r>
        <w:rPr>
          <w:spacing w:val="-1"/>
          <w:sz w:val="24"/>
        </w:rPr>
        <w:t> </w:t>
      </w:r>
      <w:r>
        <w:rPr>
          <w:sz w:val="24"/>
        </w:rPr>
        <w:t>types of students’ welfare services available</w:t>
      </w:r>
      <w:r>
        <w:rPr>
          <w:spacing w:val="-2"/>
          <w:sz w:val="24"/>
        </w:rPr>
        <w:t> </w:t>
      </w:r>
      <w:r>
        <w:rPr>
          <w:sz w:val="24"/>
        </w:rPr>
        <w:t>in the Universities categorized as social services, academic services, Medical/Health</w:t>
      </w:r>
      <w:r>
        <w:rPr>
          <w:spacing w:val="40"/>
          <w:sz w:val="24"/>
        </w:rPr>
        <w:t> </w:t>
      </w:r>
      <w:r>
        <w:rPr>
          <w:sz w:val="24"/>
        </w:rPr>
        <w:t>services and Environmental service.</w:t>
      </w:r>
    </w:p>
    <w:p>
      <w:pPr>
        <w:pStyle w:val="ListParagraph"/>
        <w:numPr>
          <w:ilvl w:val="2"/>
          <w:numId w:val="16"/>
        </w:numPr>
        <w:tabs>
          <w:tab w:pos="1600" w:val="left" w:leader="none"/>
        </w:tabs>
        <w:spacing w:line="480" w:lineRule="auto" w:before="0" w:after="0"/>
        <w:ind w:left="1600" w:right="295" w:hanging="360"/>
        <w:jc w:val="both"/>
        <w:rPr>
          <w:sz w:val="24"/>
        </w:rPr>
      </w:pPr>
      <w:r>
        <w:rPr>
          <w:sz w:val="24"/>
        </w:rPr>
        <w:t>To determine the availability and adequacy of each category of the </w:t>
      </w:r>
      <w:r>
        <w:rPr>
          <w:spacing w:val="-2"/>
          <w:sz w:val="24"/>
        </w:rPr>
        <w:t>services.</w:t>
      </w:r>
    </w:p>
    <w:p>
      <w:pPr>
        <w:pStyle w:val="ListParagraph"/>
        <w:numPr>
          <w:ilvl w:val="2"/>
          <w:numId w:val="16"/>
        </w:numPr>
        <w:tabs>
          <w:tab w:pos="1600" w:val="left" w:leader="none"/>
        </w:tabs>
        <w:spacing w:line="480" w:lineRule="auto" w:before="0" w:after="0"/>
        <w:ind w:left="1600" w:right="295" w:hanging="360"/>
        <w:jc w:val="both"/>
        <w:rPr>
          <w:sz w:val="24"/>
        </w:rPr>
      </w:pPr>
      <w:r>
        <w:rPr>
          <w:sz w:val="24"/>
        </w:rPr>
        <w:t>To examine the impact of the diverse services on students’ welfare services in the Universities in the three geopolitical zones in the Northern part of Nigeria in respect of social, academic, medical/health and environmental services. These are:</w:t>
      </w:r>
    </w:p>
    <w:p>
      <w:pPr>
        <w:pStyle w:val="ListParagraph"/>
        <w:numPr>
          <w:ilvl w:val="3"/>
          <w:numId w:val="16"/>
        </w:numPr>
        <w:tabs>
          <w:tab w:pos="2318" w:val="left" w:leader="none"/>
        </w:tabs>
        <w:spacing w:line="240" w:lineRule="auto" w:before="0" w:after="0"/>
        <w:ind w:left="2318" w:right="0" w:hanging="718"/>
        <w:jc w:val="both"/>
        <w:rPr>
          <w:sz w:val="24"/>
        </w:rPr>
      </w:pPr>
      <w:r>
        <w:rPr>
          <w:sz w:val="24"/>
        </w:rPr>
        <w:t>The</w:t>
      </w:r>
      <w:r>
        <w:rPr>
          <w:spacing w:val="-9"/>
          <w:sz w:val="24"/>
        </w:rPr>
        <w:t> </w:t>
      </w:r>
      <w:r>
        <w:rPr>
          <w:sz w:val="24"/>
        </w:rPr>
        <w:t>impact</w:t>
      </w:r>
      <w:r>
        <w:rPr>
          <w:spacing w:val="-6"/>
          <w:sz w:val="24"/>
        </w:rPr>
        <w:t> </w:t>
      </w:r>
      <w:r>
        <w:rPr>
          <w:sz w:val="24"/>
        </w:rPr>
        <w:t>of</w:t>
      </w:r>
      <w:r>
        <w:rPr>
          <w:spacing w:val="-6"/>
          <w:sz w:val="24"/>
        </w:rPr>
        <w:t> </w:t>
      </w:r>
      <w:r>
        <w:rPr>
          <w:sz w:val="24"/>
        </w:rPr>
        <w:t>feeding</w:t>
      </w:r>
      <w:r>
        <w:rPr>
          <w:spacing w:val="-8"/>
          <w:sz w:val="24"/>
        </w:rPr>
        <w:t> </w:t>
      </w:r>
      <w:r>
        <w:rPr>
          <w:sz w:val="24"/>
        </w:rPr>
        <w:t>on</w:t>
      </w:r>
      <w:r>
        <w:rPr>
          <w:spacing w:val="-5"/>
          <w:sz w:val="24"/>
        </w:rPr>
        <w:t> </w:t>
      </w:r>
      <w:r>
        <w:rPr>
          <w:sz w:val="24"/>
        </w:rPr>
        <w:t>students’</w:t>
      </w:r>
      <w:r>
        <w:rPr>
          <w:spacing w:val="-6"/>
          <w:sz w:val="24"/>
        </w:rPr>
        <w:t> </w:t>
      </w:r>
      <w:r>
        <w:rPr>
          <w:sz w:val="24"/>
        </w:rPr>
        <w:t>welfare</w:t>
      </w:r>
      <w:r>
        <w:rPr>
          <w:spacing w:val="-5"/>
          <w:sz w:val="24"/>
        </w:rPr>
        <w:t> </w:t>
      </w:r>
      <w:r>
        <w:rPr>
          <w:spacing w:val="-2"/>
          <w:sz w:val="24"/>
        </w:rPr>
        <w:t>services.</w:t>
      </w:r>
    </w:p>
    <w:p>
      <w:pPr>
        <w:pStyle w:val="BodyText"/>
      </w:pPr>
    </w:p>
    <w:p>
      <w:pPr>
        <w:pStyle w:val="ListParagraph"/>
        <w:numPr>
          <w:ilvl w:val="3"/>
          <w:numId w:val="16"/>
        </w:numPr>
        <w:tabs>
          <w:tab w:pos="2318" w:val="left" w:leader="none"/>
        </w:tabs>
        <w:spacing w:line="240" w:lineRule="auto" w:before="0" w:after="0"/>
        <w:ind w:left="2318" w:right="0" w:hanging="718"/>
        <w:jc w:val="both"/>
        <w:rPr>
          <w:sz w:val="24"/>
        </w:rPr>
      </w:pPr>
      <w:r>
        <w:rPr>
          <w:sz w:val="24"/>
        </w:rPr>
        <w:t>The</w:t>
      </w:r>
      <w:r>
        <w:rPr>
          <w:spacing w:val="-11"/>
          <w:sz w:val="24"/>
        </w:rPr>
        <w:t> </w:t>
      </w:r>
      <w:r>
        <w:rPr>
          <w:sz w:val="24"/>
        </w:rPr>
        <w:t>impact</w:t>
      </w:r>
      <w:r>
        <w:rPr>
          <w:spacing w:val="-9"/>
          <w:sz w:val="24"/>
        </w:rPr>
        <w:t> </w:t>
      </w:r>
      <w:r>
        <w:rPr>
          <w:sz w:val="24"/>
        </w:rPr>
        <w:t>of</w:t>
      </w:r>
      <w:r>
        <w:rPr>
          <w:spacing w:val="-8"/>
          <w:sz w:val="24"/>
        </w:rPr>
        <w:t> </w:t>
      </w:r>
      <w:r>
        <w:rPr>
          <w:sz w:val="24"/>
        </w:rPr>
        <w:t>hostel</w:t>
      </w:r>
      <w:r>
        <w:rPr>
          <w:spacing w:val="-4"/>
          <w:sz w:val="24"/>
        </w:rPr>
        <w:t> </w:t>
      </w:r>
      <w:r>
        <w:rPr>
          <w:sz w:val="24"/>
        </w:rPr>
        <w:t>accommodation</w:t>
      </w:r>
      <w:r>
        <w:rPr>
          <w:spacing w:val="-8"/>
          <w:sz w:val="24"/>
        </w:rPr>
        <w:t> </w:t>
      </w:r>
      <w:r>
        <w:rPr>
          <w:sz w:val="24"/>
        </w:rPr>
        <w:t>on</w:t>
      </w:r>
      <w:r>
        <w:rPr>
          <w:spacing w:val="-7"/>
          <w:sz w:val="24"/>
        </w:rPr>
        <w:t> </w:t>
      </w:r>
      <w:r>
        <w:rPr>
          <w:sz w:val="24"/>
        </w:rPr>
        <w:t>students’</w:t>
      </w:r>
      <w:r>
        <w:rPr>
          <w:spacing w:val="-8"/>
          <w:sz w:val="24"/>
        </w:rPr>
        <w:t> </w:t>
      </w:r>
      <w:r>
        <w:rPr>
          <w:spacing w:val="-2"/>
          <w:sz w:val="24"/>
        </w:rPr>
        <w:t>welfare.</w:t>
      </w:r>
    </w:p>
    <w:p>
      <w:pPr>
        <w:pStyle w:val="BodyText"/>
      </w:pPr>
    </w:p>
    <w:p>
      <w:pPr>
        <w:pStyle w:val="ListParagraph"/>
        <w:numPr>
          <w:ilvl w:val="3"/>
          <w:numId w:val="16"/>
        </w:numPr>
        <w:tabs>
          <w:tab w:pos="2320" w:val="left" w:leader="none"/>
        </w:tabs>
        <w:spacing w:line="480" w:lineRule="auto" w:before="0" w:after="0"/>
        <w:ind w:left="2320" w:right="301" w:hanging="720"/>
        <w:jc w:val="left"/>
        <w:rPr>
          <w:sz w:val="24"/>
        </w:rPr>
      </w:pPr>
      <w:r>
        <w:rPr>
          <w:sz w:val="24"/>
        </w:rPr>
        <w:t>The</w:t>
      </w:r>
      <w:r>
        <w:rPr>
          <w:spacing w:val="40"/>
          <w:sz w:val="24"/>
        </w:rPr>
        <w:t> </w:t>
      </w:r>
      <w:r>
        <w:rPr>
          <w:sz w:val="24"/>
        </w:rPr>
        <w:t>impact</w:t>
      </w:r>
      <w:r>
        <w:rPr>
          <w:spacing w:val="40"/>
          <w:sz w:val="24"/>
        </w:rPr>
        <w:t> </w:t>
      </w:r>
      <w:r>
        <w:rPr>
          <w:sz w:val="24"/>
        </w:rPr>
        <w:t>and</w:t>
      </w:r>
      <w:r>
        <w:rPr>
          <w:spacing w:val="40"/>
          <w:sz w:val="24"/>
        </w:rPr>
        <w:t> </w:t>
      </w:r>
      <w:r>
        <w:rPr>
          <w:sz w:val="24"/>
        </w:rPr>
        <w:t>effect</w:t>
      </w:r>
      <w:r>
        <w:rPr>
          <w:spacing w:val="40"/>
          <w:sz w:val="24"/>
        </w:rPr>
        <w:t> </w:t>
      </w:r>
      <w:r>
        <w:rPr>
          <w:sz w:val="24"/>
        </w:rPr>
        <w:t>of</w:t>
      </w:r>
      <w:r>
        <w:rPr>
          <w:spacing w:val="40"/>
          <w:sz w:val="24"/>
        </w:rPr>
        <w:t> </w:t>
      </w:r>
      <w:r>
        <w:rPr>
          <w:sz w:val="24"/>
        </w:rPr>
        <w:t>Guidance</w:t>
      </w:r>
      <w:r>
        <w:rPr>
          <w:spacing w:val="40"/>
          <w:sz w:val="24"/>
        </w:rPr>
        <w:t> </w:t>
      </w:r>
      <w:r>
        <w:rPr>
          <w:sz w:val="24"/>
        </w:rPr>
        <w:t>and</w:t>
      </w:r>
      <w:r>
        <w:rPr>
          <w:spacing w:val="40"/>
          <w:sz w:val="24"/>
        </w:rPr>
        <w:t> </w:t>
      </w:r>
      <w:r>
        <w:rPr>
          <w:sz w:val="24"/>
        </w:rPr>
        <w:t>Counselling</w:t>
      </w:r>
      <w:r>
        <w:rPr>
          <w:spacing w:val="40"/>
          <w:sz w:val="24"/>
        </w:rPr>
        <w:t> </w:t>
      </w:r>
      <w:r>
        <w:rPr>
          <w:sz w:val="24"/>
        </w:rPr>
        <w:t>services</w:t>
      </w:r>
      <w:r>
        <w:rPr>
          <w:spacing w:val="40"/>
          <w:sz w:val="24"/>
        </w:rPr>
        <w:t> </w:t>
      </w:r>
      <w:r>
        <w:rPr>
          <w:sz w:val="24"/>
        </w:rPr>
        <w:t>on students’ welfare.</w:t>
      </w:r>
    </w:p>
    <w:p>
      <w:pPr>
        <w:pStyle w:val="ListParagraph"/>
        <w:numPr>
          <w:ilvl w:val="3"/>
          <w:numId w:val="16"/>
        </w:numPr>
        <w:tabs>
          <w:tab w:pos="2319" w:val="left" w:leader="none"/>
        </w:tabs>
        <w:spacing w:line="240" w:lineRule="auto" w:before="0" w:after="0"/>
        <w:ind w:left="2319" w:right="0" w:hanging="719"/>
        <w:jc w:val="left"/>
        <w:rPr>
          <w:sz w:val="24"/>
        </w:rPr>
      </w:pPr>
      <w:r>
        <w:rPr>
          <w:sz w:val="24"/>
        </w:rPr>
        <w:t>The</w:t>
      </w:r>
      <w:r>
        <w:rPr>
          <w:spacing w:val="-10"/>
          <w:sz w:val="24"/>
        </w:rPr>
        <w:t> </w:t>
      </w:r>
      <w:r>
        <w:rPr>
          <w:sz w:val="24"/>
        </w:rPr>
        <w:t>impact</w:t>
      </w:r>
      <w:r>
        <w:rPr>
          <w:spacing w:val="-7"/>
          <w:sz w:val="24"/>
        </w:rPr>
        <w:t> </w:t>
      </w:r>
      <w:r>
        <w:rPr>
          <w:sz w:val="24"/>
        </w:rPr>
        <w:t>of</w:t>
      </w:r>
      <w:r>
        <w:rPr>
          <w:spacing w:val="-7"/>
          <w:sz w:val="24"/>
        </w:rPr>
        <w:t> </w:t>
      </w:r>
      <w:r>
        <w:rPr>
          <w:sz w:val="24"/>
        </w:rPr>
        <w:t>sports</w:t>
      </w:r>
      <w:r>
        <w:rPr>
          <w:spacing w:val="-6"/>
          <w:sz w:val="24"/>
        </w:rPr>
        <w:t> </w:t>
      </w:r>
      <w:r>
        <w:rPr>
          <w:sz w:val="24"/>
        </w:rPr>
        <w:t>and</w:t>
      </w:r>
      <w:r>
        <w:rPr>
          <w:spacing w:val="-6"/>
          <w:sz w:val="24"/>
        </w:rPr>
        <w:t> </w:t>
      </w:r>
      <w:r>
        <w:rPr>
          <w:sz w:val="24"/>
        </w:rPr>
        <w:t>recreation</w:t>
      </w:r>
      <w:r>
        <w:rPr>
          <w:spacing w:val="-6"/>
          <w:sz w:val="24"/>
        </w:rPr>
        <w:t> </w:t>
      </w:r>
      <w:r>
        <w:rPr>
          <w:sz w:val="24"/>
        </w:rPr>
        <w:t>services</w:t>
      </w:r>
      <w:r>
        <w:rPr>
          <w:spacing w:val="-11"/>
          <w:sz w:val="24"/>
        </w:rPr>
        <w:t> </w:t>
      </w:r>
      <w:r>
        <w:rPr>
          <w:sz w:val="24"/>
        </w:rPr>
        <w:t>on</w:t>
      </w:r>
      <w:r>
        <w:rPr>
          <w:spacing w:val="-6"/>
          <w:sz w:val="24"/>
        </w:rPr>
        <w:t> </w:t>
      </w:r>
      <w:r>
        <w:rPr>
          <w:sz w:val="24"/>
        </w:rPr>
        <w:t>students’</w:t>
      </w:r>
      <w:r>
        <w:rPr>
          <w:spacing w:val="-7"/>
          <w:sz w:val="24"/>
        </w:rPr>
        <w:t> </w:t>
      </w:r>
      <w:r>
        <w:rPr>
          <w:spacing w:val="-2"/>
          <w:sz w:val="24"/>
        </w:rPr>
        <w:t>welfare.</w:t>
      </w:r>
    </w:p>
    <w:p>
      <w:pPr>
        <w:pStyle w:val="BodyText"/>
      </w:pPr>
    </w:p>
    <w:p>
      <w:pPr>
        <w:pStyle w:val="ListParagraph"/>
        <w:numPr>
          <w:ilvl w:val="3"/>
          <w:numId w:val="16"/>
        </w:numPr>
        <w:tabs>
          <w:tab w:pos="2320" w:val="left" w:leader="none"/>
        </w:tabs>
        <w:spacing w:line="480" w:lineRule="auto" w:before="0" w:after="0"/>
        <w:ind w:left="2320" w:right="303" w:hanging="720"/>
        <w:jc w:val="left"/>
        <w:rPr>
          <w:sz w:val="24"/>
        </w:rPr>
      </w:pPr>
      <w:r>
        <w:rPr>
          <w:sz w:val="24"/>
        </w:rPr>
        <w:t>The</w:t>
      </w:r>
      <w:r>
        <w:rPr>
          <w:spacing w:val="40"/>
          <w:sz w:val="24"/>
        </w:rPr>
        <w:t> </w:t>
      </w:r>
      <w:r>
        <w:rPr>
          <w:sz w:val="24"/>
        </w:rPr>
        <w:t>impact</w:t>
      </w:r>
      <w:r>
        <w:rPr>
          <w:spacing w:val="40"/>
          <w:sz w:val="24"/>
        </w:rPr>
        <w:t> </w:t>
      </w:r>
      <w:r>
        <w:rPr>
          <w:sz w:val="24"/>
        </w:rPr>
        <w:t>of</w:t>
      </w:r>
      <w:r>
        <w:rPr>
          <w:spacing w:val="40"/>
          <w:sz w:val="24"/>
        </w:rPr>
        <w:t> </w:t>
      </w:r>
      <w:r>
        <w:rPr>
          <w:sz w:val="24"/>
        </w:rPr>
        <w:t>security</w:t>
      </w:r>
      <w:r>
        <w:rPr>
          <w:spacing w:val="40"/>
          <w:sz w:val="24"/>
        </w:rPr>
        <w:t> </w:t>
      </w:r>
      <w:r>
        <w:rPr>
          <w:sz w:val="24"/>
        </w:rPr>
        <w:t>and</w:t>
      </w:r>
      <w:r>
        <w:rPr>
          <w:spacing w:val="40"/>
          <w:sz w:val="24"/>
        </w:rPr>
        <w:t> </w:t>
      </w:r>
      <w:r>
        <w:rPr>
          <w:sz w:val="24"/>
        </w:rPr>
        <w:t>communication</w:t>
      </w:r>
      <w:r>
        <w:rPr>
          <w:spacing w:val="40"/>
          <w:sz w:val="24"/>
        </w:rPr>
        <w:t> </w:t>
      </w:r>
      <w:r>
        <w:rPr>
          <w:sz w:val="24"/>
        </w:rPr>
        <w:t>services</w:t>
      </w:r>
      <w:r>
        <w:rPr>
          <w:spacing w:val="40"/>
          <w:sz w:val="24"/>
        </w:rPr>
        <w:t> </w:t>
      </w:r>
      <w:r>
        <w:rPr>
          <w:sz w:val="24"/>
        </w:rPr>
        <w:t>on</w:t>
      </w:r>
      <w:r>
        <w:rPr>
          <w:spacing w:val="40"/>
          <w:sz w:val="24"/>
        </w:rPr>
        <w:t> </w:t>
      </w:r>
      <w:r>
        <w:rPr>
          <w:sz w:val="24"/>
        </w:rPr>
        <w:t>students’ </w:t>
      </w:r>
      <w:r>
        <w:rPr>
          <w:spacing w:val="-2"/>
          <w:sz w:val="24"/>
        </w:rPr>
        <w:t>welfare.</w:t>
      </w:r>
    </w:p>
    <w:p>
      <w:pPr>
        <w:pStyle w:val="ListParagraph"/>
        <w:numPr>
          <w:ilvl w:val="3"/>
          <w:numId w:val="16"/>
        </w:numPr>
        <w:tabs>
          <w:tab w:pos="2319" w:val="left" w:leader="none"/>
        </w:tabs>
        <w:spacing w:line="240" w:lineRule="auto" w:before="0" w:after="0"/>
        <w:ind w:left="2319" w:right="0" w:hanging="719"/>
        <w:jc w:val="left"/>
        <w:rPr>
          <w:sz w:val="24"/>
        </w:rPr>
      </w:pPr>
      <w:r>
        <w:rPr>
          <w:sz w:val="24"/>
        </w:rPr>
        <w:t>The</w:t>
      </w:r>
      <w:r>
        <w:rPr>
          <w:spacing w:val="-11"/>
          <w:sz w:val="24"/>
        </w:rPr>
        <w:t> </w:t>
      </w:r>
      <w:r>
        <w:rPr>
          <w:sz w:val="24"/>
        </w:rPr>
        <w:t>impact</w:t>
      </w:r>
      <w:r>
        <w:rPr>
          <w:spacing w:val="-7"/>
          <w:sz w:val="24"/>
        </w:rPr>
        <w:t> </w:t>
      </w:r>
      <w:r>
        <w:rPr>
          <w:sz w:val="24"/>
        </w:rPr>
        <w:t>of</w:t>
      </w:r>
      <w:r>
        <w:rPr>
          <w:spacing w:val="-8"/>
          <w:sz w:val="24"/>
        </w:rPr>
        <w:t> </w:t>
      </w:r>
      <w:r>
        <w:rPr>
          <w:sz w:val="24"/>
        </w:rPr>
        <w:t>transportation</w:t>
      </w:r>
      <w:r>
        <w:rPr>
          <w:spacing w:val="-6"/>
          <w:sz w:val="24"/>
        </w:rPr>
        <w:t> </w:t>
      </w:r>
      <w:r>
        <w:rPr>
          <w:sz w:val="24"/>
        </w:rPr>
        <w:t>services</w:t>
      </w:r>
      <w:r>
        <w:rPr>
          <w:spacing w:val="-12"/>
          <w:sz w:val="24"/>
        </w:rPr>
        <w:t> </w:t>
      </w:r>
      <w:r>
        <w:rPr>
          <w:sz w:val="24"/>
        </w:rPr>
        <w:t>on</w:t>
      </w:r>
      <w:r>
        <w:rPr>
          <w:spacing w:val="-7"/>
          <w:sz w:val="24"/>
        </w:rPr>
        <w:t> </w:t>
      </w:r>
      <w:r>
        <w:rPr>
          <w:sz w:val="24"/>
        </w:rPr>
        <w:t>students’</w:t>
      </w:r>
      <w:r>
        <w:rPr>
          <w:spacing w:val="-7"/>
          <w:sz w:val="24"/>
        </w:rPr>
        <w:t> </w:t>
      </w:r>
      <w:r>
        <w:rPr>
          <w:spacing w:val="-2"/>
          <w:sz w:val="24"/>
        </w:rPr>
        <w:t>welfare.</w:t>
      </w:r>
    </w:p>
    <w:p>
      <w:pPr>
        <w:pStyle w:val="BodyText"/>
      </w:pPr>
    </w:p>
    <w:p>
      <w:pPr>
        <w:pStyle w:val="ListParagraph"/>
        <w:numPr>
          <w:ilvl w:val="3"/>
          <w:numId w:val="16"/>
        </w:numPr>
        <w:tabs>
          <w:tab w:pos="2319" w:val="left" w:leader="none"/>
        </w:tabs>
        <w:spacing w:line="240" w:lineRule="auto" w:before="0" w:after="0"/>
        <w:ind w:left="2319" w:right="0" w:hanging="719"/>
        <w:jc w:val="left"/>
        <w:rPr>
          <w:sz w:val="24"/>
        </w:rPr>
      </w:pPr>
      <w:r>
        <w:rPr>
          <w:sz w:val="24"/>
        </w:rPr>
        <w:t>The</w:t>
      </w:r>
      <w:r>
        <w:rPr>
          <w:spacing w:val="-10"/>
          <w:sz w:val="24"/>
        </w:rPr>
        <w:t> </w:t>
      </w:r>
      <w:r>
        <w:rPr>
          <w:sz w:val="24"/>
        </w:rPr>
        <w:t>impact</w:t>
      </w:r>
      <w:r>
        <w:rPr>
          <w:spacing w:val="-6"/>
          <w:sz w:val="24"/>
        </w:rPr>
        <w:t> </w:t>
      </w:r>
      <w:r>
        <w:rPr>
          <w:sz w:val="24"/>
        </w:rPr>
        <w:t>of</w:t>
      </w:r>
      <w:r>
        <w:rPr>
          <w:spacing w:val="-7"/>
          <w:sz w:val="24"/>
        </w:rPr>
        <w:t> </w:t>
      </w:r>
      <w:r>
        <w:rPr>
          <w:sz w:val="24"/>
        </w:rPr>
        <w:t>religious</w:t>
      </w:r>
      <w:r>
        <w:rPr>
          <w:spacing w:val="-6"/>
          <w:sz w:val="24"/>
        </w:rPr>
        <w:t> </w:t>
      </w:r>
      <w:r>
        <w:rPr>
          <w:sz w:val="24"/>
        </w:rPr>
        <w:t>services</w:t>
      </w:r>
      <w:r>
        <w:rPr>
          <w:spacing w:val="-7"/>
          <w:sz w:val="24"/>
        </w:rPr>
        <w:t> </w:t>
      </w:r>
      <w:r>
        <w:rPr>
          <w:sz w:val="24"/>
        </w:rPr>
        <w:t>on</w:t>
      </w:r>
      <w:r>
        <w:rPr>
          <w:spacing w:val="-6"/>
          <w:sz w:val="24"/>
        </w:rPr>
        <w:t> </w:t>
      </w:r>
      <w:r>
        <w:rPr>
          <w:sz w:val="24"/>
        </w:rPr>
        <w:t>students’</w:t>
      </w:r>
      <w:r>
        <w:rPr>
          <w:spacing w:val="-11"/>
          <w:sz w:val="24"/>
        </w:rPr>
        <w:t> </w:t>
      </w:r>
      <w:r>
        <w:rPr>
          <w:spacing w:val="-2"/>
          <w:sz w:val="24"/>
        </w:rPr>
        <w:t>welfare.</w:t>
      </w:r>
    </w:p>
    <w:p>
      <w:pPr>
        <w:spacing w:after="0" w:line="240" w:lineRule="auto"/>
        <w:jc w:val="left"/>
        <w:rPr>
          <w:sz w:val="24"/>
        </w:rPr>
        <w:sectPr>
          <w:headerReference w:type="default" r:id="rId54"/>
          <w:footerReference w:type="default" r:id="rId55"/>
          <w:pgSz w:w="12240" w:h="15840"/>
          <w:pgMar w:header="722" w:footer="791" w:top="1060" w:bottom="980" w:left="1280" w:right="1140"/>
        </w:sectPr>
      </w:pPr>
    </w:p>
    <w:p>
      <w:pPr>
        <w:pStyle w:val="BodyText"/>
        <w:spacing w:before="86"/>
      </w:pPr>
    </w:p>
    <w:p>
      <w:pPr>
        <w:pStyle w:val="ListParagraph"/>
        <w:numPr>
          <w:ilvl w:val="3"/>
          <w:numId w:val="16"/>
        </w:numPr>
        <w:tabs>
          <w:tab w:pos="2320" w:val="left" w:leader="none"/>
        </w:tabs>
        <w:spacing w:line="480" w:lineRule="auto" w:before="0" w:after="0"/>
        <w:ind w:left="2320" w:right="490" w:hanging="720"/>
        <w:jc w:val="left"/>
        <w:rPr>
          <w:sz w:val="24"/>
        </w:rPr>
      </w:pPr>
      <w:r>
        <w:rPr>
          <w:sz w:val="24"/>
        </w:rPr>
        <w:t>The</w:t>
      </w:r>
      <w:r>
        <w:rPr>
          <w:spacing w:val="-8"/>
          <w:sz w:val="24"/>
        </w:rPr>
        <w:t> </w:t>
      </w:r>
      <w:r>
        <w:rPr>
          <w:sz w:val="24"/>
        </w:rPr>
        <w:t>impact</w:t>
      </w:r>
      <w:r>
        <w:rPr>
          <w:spacing w:val="-5"/>
          <w:sz w:val="24"/>
        </w:rPr>
        <w:t> </w:t>
      </w:r>
      <w:r>
        <w:rPr>
          <w:sz w:val="24"/>
        </w:rPr>
        <w:t>of</w:t>
      </w:r>
      <w:r>
        <w:rPr>
          <w:spacing w:val="-4"/>
          <w:sz w:val="24"/>
        </w:rPr>
        <w:t> </w:t>
      </w:r>
      <w:r>
        <w:rPr>
          <w:sz w:val="24"/>
        </w:rPr>
        <w:t>bank</w:t>
      </w:r>
      <w:r>
        <w:rPr>
          <w:spacing w:val="-5"/>
          <w:sz w:val="24"/>
        </w:rPr>
        <w:t> </w:t>
      </w:r>
      <w:r>
        <w:rPr>
          <w:sz w:val="24"/>
        </w:rPr>
        <w:t>and</w:t>
      </w:r>
      <w:r>
        <w:rPr>
          <w:spacing w:val="-4"/>
          <w:sz w:val="24"/>
        </w:rPr>
        <w:t> </w:t>
      </w:r>
      <w:r>
        <w:rPr>
          <w:sz w:val="24"/>
        </w:rPr>
        <w:t>telecommunications</w:t>
      </w:r>
      <w:r>
        <w:rPr>
          <w:spacing w:val="-5"/>
          <w:sz w:val="24"/>
        </w:rPr>
        <w:t> </w:t>
      </w:r>
      <w:r>
        <w:rPr>
          <w:sz w:val="24"/>
        </w:rPr>
        <w:t>services</w:t>
      </w:r>
      <w:r>
        <w:rPr>
          <w:spacing w:val="-5"/>
          <w:sz w:val="24"/>
        </w:rPr>
        <w:t> </w:t>
      </w:r>
      <w:r>
        <w:rPr>
          <w:sz w:val="24"/>
        </w:rPr>
        <w:t>on</w:t>
      </w:r>
      <w:r>
        <w:rPr>
          <w:spacing w:val="-4"/>
          <w:sz w:val="24"/>
        </w:rPr>
        <w:t> </w:t>
      </w:r>
      <w:r>
        <w:rPr>
          <w:sz w:val="24"/>
        </w:rPr>
        <w:t>students’ </w:t>
      </w:r>
      <w:r>
        <w:rPr>
          <w:spacing w:val="-2"/>
          <w:sz w:val="24"/>
        </w:rPr>
        <w:t>welfare.</w:t>
      </w:r>
    </w:p>
    <w:p>
      <w:pPr>
        <w:pStyle w:val="ListParagraph"/>
        <w:numPr>
          <w:ilvl w:val="3"/>
          <w:numId w:val="16"/>
        </w:numPr>
        <w:tabs>
          <w:tab w:pos="2319" w:val="left" w:leader="none"/>
        </w:tabs>
        <w:spacing w:line="240" w:lineRule="auto" w:before="0" w:after="0"/>
        <w:ind w:left="2319" w:right="0" w:hanging="719"/>
        <w:jc w:val="left"/>
        <w:rPr>
          <w:sz w:val="24"/>
        </w:rPr>
      </w:pPr>
      <w:r>
        <w:rPr>
          <w:sz w:val="24"/>
        </w:rPr>
        <w:t>The</w:t>
      </w:r>
      <w:r>
        <w:rPr>
          <w:spacing w:val="-9"/>
          <w:sz w:val="24"/>
        </w:rPr>
        <w:t> </w:t>
      </w:r>
      <w:r>
        <w:rPr>
          <w:sz w:val="24"/>
        </w:rPr>
        <w:t>impact</w:t>
      </w:r>
      <w:r>
        <w:rPr>
          <w:spacing w:val="-7"/>
          <w:sz w:val="24"/>
        </w:rPr>
        <w:t> </w:t>
      </w:r>
      <w:r>
        <w:rPr>
          <w:sz w:val="24"/>
        </w:rPr>
        <w:t>of</w:t>
      </w:r>
      <w:r>
        <w:rPr>
          <w:spacing w:val="-6"/>
          <w:sz w:val="24"/>
        </w:rPr>
        <w:t> </w:t>
      </w:r>
      <w:r>
        <w:rPr>
          <w:sz w:val="24"/>
        </w:rPr>
        <w:t>library</w:t>
      </w:r>
      <w:r>
        <w:rPr>
          <w:spacing w:val="-6"/>
          <w:sz w:val="24"/>
        </w:rPr>
        <w:t> </w:t>
      </w:r>
      <w:r>
        <w:rPr>
          <w:sz w:val="24"/>
        </w:rPr>
        <w:t>services</w:t>
      </w:r>
      <w:r>
        <w:rPr>
          <w:spacing w:val="-6"/>
          <w:sz w:val="24"/>
        </w:rPr>
        <w:t> </w:t>
      </w:r>
      <w:r>
        <w:rPr>
          <w:sz w:val="24"/>
        </w:rPr>
        <w:t>on</w:t>
      </w:r>
      <w:r>
        <w:rPr>
          <w:spacing w:val="-9"/>
          <w:sz w:val="24"/>
        </w:rPr>
        <w:t> </w:t>
      </w:r>
      <w:r>
        <w:rPr>
          <w:sz w:val="24"/>
        </w:rPr>
        <w:t>students’</w:t>
      </w:r>
      <w:r>
        <w:rPr>
          <w:spacing w:val="-6"/>
          <w:sz w:val="24"/>
        </w:rPr>
        <w:t> </w:t>
      </w:r>
      <w:r>
        <w:rPr>
          <w:spacing w:val="-2"/>
          <w:sz w:val="24"/>
        </w:rPr>
        <w:t>welfare.</w:t>
      </w:r>
    </w:p>
    <w:p>
      <w:pPr>
        <w:pStyle w:val="BodyText"/>
      </w:pPr>
    </w:p>
    <w:p>
      <w:pPr>
        <w:pStyle w:val="ListParagraph"/>
        <w:numPr>
          <w:ilvl w:val="3"/>
          <w:numId w:val="16"/>
        </w:numPr>
        <w:tabs>
          <w:tab w:pos="2320" w:val="left" w:leader="none"/>
        </w:tabs>
        <w:spacing w:line="480" w:lineRule="auto" w:before="0" w:after="0"/>
        <w:ind w:left="2320" w:right="297" w:hanging="720"/>
        <w:jc w:val="left"/>
        <w:rPr>
          <w:sz w:val="24"/>
        </w:rPr>
      </w:pPr>
      <w:r>
        <w:rPr>
          <w:sz w:val="24"/>
        </w:rPr>
        <w:t>The</w:t>
      </w:r>
      <w:r>
        <w:rPr>
          <w:spacing w:val="40"/>
          <w:sz w:val="24"/>
        </w:rPr>
        <w:t> </w:t>
      </w:r>
      <w:r>
        <w:rPr>
          <w:sz w:val="24"/>
        </w:rPr>
        <w:t>impact</w:t>
      </w:r>
      <w:r>
        <w:rPr>
          <w:spacing w:val="40"/>
          <w:sz w:val="24"/>
        </w:rPr>
        <w:t> </w:t>
      </w:r>
      <w:r>
        <w:rPr>
          <w:sz w:val="24"/>
        </w:rPr>
        <w:t>of</w:t>
      </w:r>
      <w:r>
        <w:rPr>
          <w:spacing w:val="40"/>
          <w:sz w:val="24"/>
        </w:rPr>
        <w:t> </w:t>
      </w:r>
      <w:r>
        <w:rPr>
          <w:sz w:val="24"/>
        </w:rPr>
        <w:t>classroom,</w:t>
      </w:r>
      <w:r>
        <w:rPr>
          <w:spacing w:val="40"/>
          <w:sz w:val="24"/>
        </w:rPr>
        <w:t> </w:t>
      </w:r>
      <w:r>
        <w:rPr>
          <w:sz w:val="24"/>
        </w:rPr>
        <w:t>lecture</w:t>
      </w:r>
      <w:r>
        <w:rPr>
          <w:spacing w:val="40"/>
          <w:sz w:val="24"/>
        </w:rPr>
        <w:t> </w:t>
      </w:r>
      <w:r>
        <w:rPr>
          <w:sz w:val="24"/>
        </w:rPr>
        <w:t>halls,</w:t>
      </w:r>
      <w:r>
        <w:rPr>
          <w:spacing w:val="40"/>
          <w:sz w:val="24"/>
        </w:rPr>
        <w:t> </w:t>
      </w:r>
      <w:r>
        <w:rPr>
          <w:sz w:val="24"/>
        </w:rPr>
        <w:t>laboratories,</w:t>
      </w:r>
      <w:r>
        <w:rPr>
          <w:spacing w:val="40"/>
          <w:sz w:val="24"/>
        </w:rPr>
        <w:t> </w:t>
      </w:r>
      <w:r>
        <w:rPr>
          <w:sz w:val="24"/>
        </w:rPr>
        <w:t>workshops, field works etc services on students’ welfare.</w:t>
      </w:r>
    </w:p>
    <w:p>
      <w:pPr>
        <w:pStyle w:val="ListParagraph"/>
        <w:numPr>
          <w:ilvl w:val="3"/>
          <w:numId w:val="16"/>
        </w:numPr>
        <w:tabs>
          <w:tab w:pos="2320" w:val="left" w:leader="none"/>
        </w:tabs>
        <w:spacing w:line="480" w:lineRule="auto" w:before="1" w:after="0"/>
        <w:ind w:left="2320" w:right="293" w:hanging="720"/>
        <w:jc w:val="left"/>
        <w:rPr>
          <w:sz w:val="24"/>
        </w:rPr>
      </w:pPr>
      <w:r>
        <w:rPr>
          <w:sz w:val="24"/>
        </w:rPr>
        <w:t>The</w:t>
      </w:r>
      <w:r>
        <w:rPr>
          <w:spacing w:val="80"/>
          <w:sz w:val="24"/>
        </w:rPr>
        <w:t> </w:t>
      </w:r>
      <w:r>
        <w:rPr>
          <w:sz w:val="24"/>
        </w:rPr>
        <w:t>impact</w:t>
      </w:r>
      <w:r>
        <w:rPr>
          <w:spacing w:val="80"/>
          <w:sz w:val="24"/>
        </w:rPr>
        <w:t> </w:t>
      </w:r>
      <w:r>
        <w:rPr>
          <w:sz w:val="24"/>
        </w:rPr>
        <w:t>of</w:t>
      </w:r>
      <w:r>
        <w:rPr>
          <w:spacing w:val="80"/>
          <w:sz w:val="24"/>
        </w:rPr>
        <w:t> </w:t>
      </w:r>
      <w:r>
        <w:rPr>
          <w:sz w:val="24"/>
        </w:rPr>
        <w:t>Information</w:t>
      </w:r>
      <w:r>
        <w:rPr>
          <w:spacing w:val="80"/>
          <w:sz w:val="24"/>
        </w:rPr>
        <w:t> </w:t>
      </w:r>
      <w:r>
        <w:rPr>
          <w:sz w:val="24"/>
        </w:rPr>
        <w:t>Technology</w:t>
      </w:r>
      <w:r>
        <w:rPr>
          <w:spacing w:val="80"/>
          <w:sz w:val="24"/>
        </w:rPr>
        <w:t> </w:t>
      </w:r>
      <w:r>
        <w:rPr>
          <w:sz w:val="24"/>
        </w:rPr>
        <w:t>services</w:t>
      </w:r>
      <w:r>
        <w:rPr>
          <w:spacing w:val="80"/>
          <w:sz w:val="24"/>
        </w:rPr>
        <w:t> </w:t>
      </w:r>
      <w:r>
        <w:rPr>
          <w:sz w:val="24"/>
        </w:rPr>
        <w:t>on</w:t>
      </w:r>
      <w:r>
        <w:rPr>
          <w:spacing w:val="80"/>
          <w:sz w:val="24"/>
        </w:rPr>
        <w:t> </w:t>
      </w:r>
      <w:r>
        <w:rPr>
          <w:sz w:val="24"/>
        </w:rPr>
        <w:t>students’</w:t>
      </w:r>
      <w:r>
        <w:rPr>
          <w:spacing w:val="80"/>
          <w:sz w:val="24"/>
        </w:rPr>
        <w:t> </w:t>
      </w:r>
      <w:r>
        <w:rPr>
          <w:spacing w:val="-2"/>
          <w:sz w:val="24"/>
        </w:rPr>
        <w:t>welfare.</w:t>
      </w:r>
    </w:p>
    <w:p>
      <w:pPr>
        <w:pStyle w:val="ListParagraph"/>
        <w:numPr>
          <w:ilvl w:val="3"/>
          <w:numId w:val="16"/>
        </w:numPr>
        <w:tabs>
          <w:tab w:pos="2319" w:val="left" w:leader="none"/>
        </w:tabs>
        <w:spacing w:line="240" w:lineRule="auto" w:before="0" w:after="0"/>
        <w:ind w:left="2319" w:right="0" w:hanging="719"/>
        <w:jc w:val="left"/>
        <w:rPr>
          <w:sz w:val="24"/>
        </w:rPr>
      </w:pPr>
      <w:r>
        <w:rPr>
          <w:sz w:val="24"/>
        </w:rPr>
        <w:t>The</w:t>
      </w:r>
      <w:r>
        <w:rPr>
          <w:spacing w:val="-11"/>
          <w:sz w:val="24"/>
        </w:rPr>
        <w:t> </w:t>
      </w:r>
      <w:r>
        <w:rPr>
          <w:sz w:val="24"/>
        </w:rPr>
        <w:t>impact</w:t>
      </w:r>
      <w:r>
        <w:rPr>
          <w:spacing w:val="-7"/>
          <w:sz w:val="24"/>
        </w:rPr>
        <w:t> </w:t>
      </w:r>
      <w:r>
        <w:rPr>
          <w:sz w:val="24"/>
        </w:rPr>
        <w:t>of</w:t>
      </w:r>
      <w:r>
        <w:rPr>
          <w:spacing w:val="-8"/>
          <w:sz w:val="24"/>
        </w:rPr>
        <w:t> </w:t>
      </w:r>
      <w:r>
        <w:rPr>
          <w:sz w:val="24"/>
        </w:rPr>
        <w:t>Medical/Health</w:t>
      </w:r>
      <w:r>
        <w:rPr>
          <w:spacing w:val="-6"/>
          <w:sz w:val="24"/>
        </w:rPr>
        <w:t> </w:t>
      </w:r>
      <w:r>
        <w:rPr>
          <w:sz w:val="24"/>
        </w:rPr>
        <w:t>services</w:t>
      </w:r>
      <w:r>
        <w:rPr>
          <w:spacing w:val="-12"/>
          <w:sz w:val="24"/>
        </w:rPr>
        <w:t> </w:t>
      </w:r>
      <w:r>
        <w:rPr>
          <w:sz w:val="24"/>
        </w:rPr>
        <w:t>on</w:t>
      </w:r>
      <w:r>
        <w:rPr>
          <w:spacing w:val="-7"/>
          <w:sz w:val="24"/>
        </w:rPr>
        <w:t> </w:t>
      </w:r>
      <w:r>
        <w:rPr>
          <w:sz w:val="24"/>
        </w:rPr>
        <w:t>students’</w:t>
      </w:r>
      <w:r>
        <w:rPr>
          <w:spacing w:val="-8"/>
          <w:sz w:val="24"/>
        </w:rPr>
        <w:t> </w:t>
      </w:r>
      <w:r>
        <w:rPr>
          <w:spacing w:val="-2"/>
          <w:sz w:val="24"/>
        </w:rPr>
        <w:t>welfare.</w:t>
      </w:r>
    </w:p>
    <w:p>
      <w:pPr>
        <w:pStyle w:val="ListParagraph"/>
        <w:numPr>
          <w:ilvl w:val="3"/>
          <w:numId w:val="16"/>
        </w:numPr>
        <w:tabs>
          <w:tab w:pos="2319" w:val="left" w:leader="none"/>
        </w:tabs>
        <w:spacing w:line="240" w:lineRule="auto" w:before="276" w:after="0"/>
        <w:ind w:left="2319" w:right="0" w:hanging="719"/>
        <w:jc w:val="left"/>
        <w:rPr>
          <w:sz w:val="24"/>
        </w:rPr>
      </w:pPr>
      <w:r>
        <w:rPr>
          <w:sz w:val="24"/>
        </w:rPr>
        <w:t>The</w:t>
      </w:r>
      <w:r>
        <w:rPr>
          <w:spacing w:val="-11"/>
          <w:sz w:val="24"/>
        </w:rPr>
        <w:t> </w:t>
      </w:r>
      <w:r>
        <w:rPr>
          <w:sz w:val="24"/>
        </w:rPr>
        <w:t>impact</w:t>
      </w:r>
      <w:r>
        <w:rPr>
          <w:spacing w:val="-8"/>
          <w:sz w:val="24"/>
        </w:rPr>
        <w:t> </w:t>
      </w:r>
      <w:r>
        <w:rPr>
          <w:sz w:val="24"/>
        </w:rPr>
        <w:t>of</w:t>
      </w:r>
      <w:r>
        <w:rPr>
          <w:spacing w:val="-8"/>
          <w:sz w:val="24"/>
        </w:rPr>
        <w:t> </w:t>
      </w:r>
      <w:r>
        <w:rPr>
          <w:sz w:val="24"/>
        </w:rPr>
        <w:t>environmental</w:t>
      </w:r>
      <w:r>
        <w:rPr>
          <w:spacing w:val="-5"/>
          <w:sz w:val="24"/>
        </w:rPr>
        <w:t> </w:t>
      </w:r>
      <w:r>
        <w:rPr>
          <w:sz w:val="24"/>
        </w:rPr>
        <w:t>services</w:t>
      </w:r>
      <w:r>
        <w:rPr>
          <w:spacing w:val="-8"/>
          <w:sz w:val="24"/>
        </w:rPr>
        <w:t> </w:t>
      </w:r>
      <w:r>
        <w:rPr>
          <w:spacing w:val="-5"/>
          <w:sz w:val="24"/>
        </w:rPr>
        <w:t>and</w:t>
      </w:r>
    </w:p>
    <w:p>
      <w:pPr>
        <w:pStyle w:val="ListParagraph"/>
        <w:numPr>
          <w:ilvl w:val="3"/>
          <w:numId w:val="16"/>
        </w:numPr>
        <w:tabs>
          <w:tab w:pos="2318" w:val="left" w:leader="none"/>
          <w:tab w:pos="2320" w:val="left" w:leader="none"/>
        </w:tabs>
        <w:spacing w:line="480" w:lineRule="auto" w:before="276" w:after="0"/>
        <w:ind w:left="2320" w:right="294" w:hanging="720"/>
        <w:jc w:val="both"/>
        <w:rPr>
          <w:sz w:val="24"/>
        </w:rPr>
      </w:pPr>
      <w:r>
        <w:rPr>
          <w:sz w:val="24"/>
        </w:rPr>
        <w:t>To seek to know and recommend perceived strategies for effective provision and management of students’ welfare services in the Universities in the three geopolitical zones of Northern part of </w:t>
      </w:r>
      <w:r>
        <w:rPr>
          <w:spacing w:val="-2"/>
          <w:sz w:val="24"/>
        </w:rPr>
        <w:t>Nigeria.</w:t>
      </w:r>
    </w:p>
    <w:p>
      <w:pPr>
        <w:pStyle w:val="Heading2"/>
        <w:numPr>
          <w:ilvl w:val="1"/>
          <w:numId w:val="16"/>
        </w:numPr>
        <w:tabs>
          <w:tab w:pos="879" w:val="left" w:leader="none"/>
        </w:tabs>
        <w:spacing w:line="318" w:lineRule="exact" w:before="0" w:after="0"/>
        <w:ind w:left="879" w:right="0" w:hanging="719"/>
        <w:jc w:val="left"/>
        <w:rPr>
          <w:rFonts w:ascii="Arial MT"/>
          <w:b w:val="0"/>
        </w:rPr>
      </w:pPr>
      <w:bookmarkStart w:name="_TOC_250056" w:id="12"/>
      <w:r>
        <w:rPr/>
        <w:t>Research</w:t>
      </w:r>
      <w:r>
        <w:rPr>
          <w:spacing w:val="-11"/>
        </w:rPr>
        <w:t> </w:t>
      </w:r>
      <w:bookmarkEnd w:id="12"/>
      <w:r>
        <w:rPr>
          <w:spacing w:val="-2"/>
        </w:rPr>
        <w:t>Questions</w:t>
      </w:r>
    </w:p>
    <w:p>
      <w:pPr>
        <w:pStyle w:val="BodyText"/>
        <w:spacing w:before="3"/>
        <w:rPr>
          <w:rFonts w:ascii="Arial"/>
          <w:b/>
          <w:sz w:val="28"/>
        </w:rPr>
      </w:pPr>
    </w:p>
    <w:p>
      <w:pPr>
        <w:pStyle w:val="BodyText"/>
        <w:ind w:left="224" w:right="146"/>
        <w:jc w:val="center"/>
      </w:pPr>
      <w:r>
        <w:rPr/>
        <w:t>The</w:t>
      </w:r>
      <w:r>
        <w:rPr>
          <w:spacing w:val="-6"/>
        </w:rPr>
        <w:t> </w:t>
      </w:r>
      <w:r>
        <w:rPr/>
        <w:t>study</w:t>
      </w:r>
      <w:r>
        <w:rPr>
          <w:spacing w:val="-11"/>
        </w:rPr>
        <w:t> </w:t>
      </w:r>
      <w:r>
        <w:rPr/>
        <w:t>attempted</w:t>
      </w:r>
      <w:r>
        <w:rPr>
          <w:spacing w:val="-6"/>
        </w:rPr>
        <w:t> </w:t>
      </w:r>
      <w:r>
        <w:rPr/>
        <w:t>to</w:t>
      </w:r>
      <w:r>
        <w:rPr>
          <w:spacing w:val="-5"/>
        </w:rPr>
        <w:t> </w:t>
      </w:r>
      <w:r>
        <w:rPr/>
        <w:t>find</w:t>
      </w:r>
      <w:r>
        <w:rPr>
          <w:spacing w:val="-6"/>
        </w:rPr>
        <w:t> </w:t>
      </w:r>
      <w:r>
        <w:rPr/>
        <w:t>answers</w:t>
      </w:r>
      <w:r>
        <w:rPr>
          <w:spacing w:val="-7"/>
        </w:rPr>
        <w:t> </w:t>
      </w:r>
      <w:r>
        <w:rPr/>
        <w:t>to</w:t>
      </w:r>
      <w:r>
        <w:rPr>
          <w:spacing w:val="-5"/>
        </w:rPr>
        <w:t> </w:t>
      </w:r>
      <w:r>
        <w:rPr/>
        <w:t>the</w:t>
      </w:r>
      <w:r>
        <w:rPr>
          <w:spacing w:val="-6"/>
        </w:rPr>
        <w:t> </w:t>
      </w:r>
      <w:r>
        <w:rPr/>
        <w:t>following</w:t>
      </w:r>
      <w:r>
        <w:rPr>
          <w:spacing w:val="-6"/>
        </w:rPr>
        <w:t> </w:t>
      </w:r>
      <w:r>
        <w:rPr>
          <w:spacing w:val="-2"/>
        </w:rPr>
        <w:t>questions.</w:t>
      </w:r>
    </w:p>
    <w:p>
      <w:pPr>
        <w:pStyle w:val="BodyText"/>
      </w:pPr>
    </w:p>
    <w:p>
      <w:pPr>
        <w:pStyle w:val="ListParagraph"/>
        <w:numPr>
          <w:ilvl w:val="2"/>
          <w:numId w:val="16"/>
        </w:numPr>
        <w:tabs>
          <w:tab w:pos="1600" w:val="left" w:leader="none"/>
        </w:tabs>
        <w:spacing w:line="480" w:lineRule="auto" w:before="0" w:after="0"/>
        <w:ind w:left="1600" w:right="296" w:hanging="720"/>
        <w:jc w:val="both"/>
        <w:rPr>
          <w:sz w:val="24"/>
        </w:rPr>
      </w:pPr>
      <w:r>
        <w:rPr>
          <w:sz w:val="24"/>
        </w:rPr>
        <w:t>What types of students’ welfare services are available in these </w:t>
      </w:r>
      <w:r>
        <w:rPr>
          <w:spacing w:val="-2"/>
          <w:sz w:val="24"/>
        </w:rPr>
        <w:t>Universities?</w:t>
      </w:r>
    </w:p>
    <w:p>
      <w:pPr>
        <w:pStyle w:val="ListParagraph"/>
        <w:numPr>
          <w:ilvl w:val="2"/>
          <w:numId w:val="16"/>
        </w:numPr>
        <w:tabs>
          <w:tab w:pos="1600" w:val="left" w:leader="none"/>
        </w:tabs>
        <w:spacing w:line="480" w:lineRule="auto" w:before="0" w:after="0"/>
        <w:ind w:left="1600" w:right="297" w:hanging="720"/>
        <w:jc w:val="both"/>
        <w:rPr>
          <w:sz w:val="24"/>
        </w:rPr>
      </w:pPr>
      <w:r>
        <w:rPr>
          <w:sz w:val="24"/>
        </w:rPr>
        <w:t>What are the degrees of adequacy of the various types of services in terms of social academic, Medical and Health and environmental services in these Universities?</w:t>
      </w:r>
    </w:p>
    <w:p>
      <w:pPr>
        <w:pStyle w:val="ListParagraph"/>
        <w:numPr>
          <w:ilvl w:val="2"/>
          <w:numId w:val="16"/>
        </w:numPr>
        <w:tabs>
          <w:tab w:pos="1599" w:val="left" w:leader="none"/>
        </w:tabs>
        <w:spacing w:line="240" w:lineRule="auto" w:before="0" w:after="0"/>
        <w:ind w:left="1599" w:right="0" w:hanging="719"/>
        <w:jc w:val="both"/>
        <w:rPr>
          <w:sz w:val="24"/>
        </w:rPr>
      </w:pPr>
      <w:r>
        <w:rPr>
          <w:sz w:val="24"/>
        </w:rPr>
        <w:t>What</w:t>
      </w:r>
      <w:r>
        <w:rPr>
          <w:spacing w:val="-9"/>
          <w:sz w:val="24"/>
        </w:rPr>
        <w:t> </w:t>
      </w:r>
      <w:r>
        <w:rPr>
          <w:sz w:val="24"/>
        </w:rPr>
        <w:t>is</w:t>
      </w:r>
      <w:r>
        <w:rPr>
          <w:spacing w:val="-10"/>
          <w:sz w:val="24"/>
        </w:rPr>
        <w:t> </w:t>
      </w:r>
      <w:r>
        <w:rPr>
          <w:sz w:val="24"/>
        </w:rPr>
        <w:t>the</w:t>
      </w:r>
      <w:r>
        <w:rPr>
          <w:spacing w:val="-8"/>
          <w:sz w:val="24"/>
        </w:rPr>
        <w:t> </w:t>
      </w:r>
      <w:r>
        <w:rPr>
          <w:sz w:val="24"/>
        </w:rPr>
        <w:t>impact</w:t>
      </w:r>
      <w:r>
        <w:rPr>
          <w:spacing w:val="-6"/>
          <w:sz w:val="24"/>
        </w:rPr>
        <w:t> </w:t>
      </w:r>
      <w:r>
        <w:rPr>
          <w:sz w:val="24"/>
        </w:rPr>
        <w:t>of</w:t>
      </w:r>
      <w:r>
        <w:rPr>
          <w:spacing w:val="-5"/>
          <w:sz w:val="24"/>
        </w:rPr>
        <w:t> </w:t>
      </w:r>
      <w:r>
        <w:rPr>
          <w:sz w:val="24"/>
        </w:rPr>
        <w:t>feeding</w:t>
      </w:r>
      <w:r>
        <w:rPr>
          <w:spacing w:val="-4"/>
          <w:sz w:val="24"/>
        </w:rPr>
        <w:t> </w:t>
      </w:r>
      <w:r>
        <w:rPr>
          <w:sz w:val="24"/>
        </w:rPr>
        <w:t>services</w:t>
      </w:r>
      <w:r>
        <w:rPr>
          <w:spacing w:val="-6"/>
          <w:sz w:val="24"/>
        </w:rPr>
        <w:t> </w:t>
      </w:r>
      <w:r>
        <w:rPr>
          <w:sz w:val="24"/>
        </w:rPr>
        <w:t>on</w:t>
      </w:r>
      <w:r>
        <w:rPr>
          <w:spacing w:val="-4"/>
          <w:sz w:val="24"/>
        </w:rPr>
        <w:t> </w:t>
      </w:r>
      <w:r>
        <w:rPr>
          <w:sz w:val="24"/>
        </w:rPr>
        <w:t>students’</w:t>
      </w:r>
      <w:r>
        <w:rPr>
          <w:spacing w:val="-5"/>
          <w:sz w:val="24"/>
        </w:rPr>
        <w:t> </w:t>
      </w:r>
      <w:r>
        <w:rPr>
          <w:spacing w:val="-2"/>
          <w:sz w:val="24"/>
        </w:rPr>
        <w:t>welfare?</w:t>
      </w:r>
    </w:p>
    <w:p>
      <w:pPr>
        <w:pStyle w:val="BodyText"/>
      </w:pPr>
    </w:p>
    <w:p>
      <w:pPr>
        <w:pStyle w:val="ListParagraph"/>
        <w:numPr>
          <w:ilvl w:val="2"/>
          <w:numId w:val="16"/>
        </w:numPr>
        <w:tabs>
          <w:tab w:pos="1600" w:val="left" w:leader="none"/>
        </w:tabs>
        <w:spacing w:line="480" w:lineRule="auto" w:before="0" w:after="0"/>
        <w:ind w:left="1600" w:right="294" w:hanging="720"/>
        <w:jc w:val="both"/>
        <w:rPr>
          <w:sz w:val="24"/>
        </w:rPr>
      </w:pPr>
      <w:r>
        <w:rPr>
          <w:sz w:val="24"/>
        </w:rPr>
        <w:t>What is the impact of Hostel accommodation services on students’ </w:t>
      </w:r>
      <w:r>
        <w:rPr>
          <w:spacing w:val="-2"/>
          <w:sz w:val="24"/>
        </w:rPr>
        <w:t>welfare?</w:t>
      </w:r>
    </w:p>
    <w:p>
      <w:pPr>
        <w:spacing w:after="0" w:line="480" w:lineRule="auto"/>
        <w:jc w:val="both"/>
        <w:rPr>
          <w:sz w:val="24"/>
        </w:rPr>
        <w:sectPr>
          <w:headerReference w:type="default" r:id="rId56"/>
          <w:footerReference w:type="default" r:id="rId57"/>
          <w:pgSz w:w="12240" w:h="15840"/>
          <w:pgMar w:header="722" w:footer="791" w:top="1060" w:bottom="980" w:left="1280" w:right="1140"/>
        </w:sectPr>
      </w:pPr>
    </w:p>
    <w:p>
      <w:pPr>
        <w:pStyle w:val="BodyText"/>
        <w:spacing w:before="86"/>
      </w:pPr>
    </w:p>
    <w:p>
      <w:pPr>
        <w:pStyle w:val="ListParagraph"/>
        <w:numPr>
          <w:ilvl w:val="2"/>
          <w:numId w:val="16"/>
        </w:numPr>
        <w:tabs>
          <w:tab w:pos="1600" w:val="left" w:leader="none"/>
        </w:tabs>
        <w:spacing w:line="480" w:lineRule="auto" w:before="0" w:after="0"/>
        <w:ind w:left="1600" w:right="299" w:hanging="720"/>
        <w:jc w:val="left"/>
        <w:rPr>
          <w:sz w:val="24"/>
        </w:rPr>
      </w:pPr>
      <w:r>
        <w:rPr>
          <w:sz w:val="24"/>
        </w:rPr>
        <w:t>What</w:t>
      </w:r>
      <w:r>
        <w:rPr>
          <w:spacing w:val="28"/>
          <w:sz w:val="24"/>
        </w:rPr>
        <w:t> </w:t>
      </w:r>
      <w:r>
        <w:rPr>
          <w:sz w:val="24"/>
        </w:rPr>
        <w:t>is</w:t>
      </w:r>
      <w:r>
        <w:rPr>
          <w:spacing w:val="32"/>
          <w:sz w:val="24"/>
        </w:rPr>
        <w:t> </w:t>
      </w:r>
      <w:r>
        <w:rPr>
          <w:sz w:val="24"/>
        </w:rPr>
        <w:t>the</w:t>
      </w:r>
      <w:r>
        <w:rPr>
          <w:spacing w:val="33"/>
          <w:sz w:val="24"/>
        </w:rPr>
        <w:t> </w:t>
      </w:r>
      <w:r>
        <w:rPr>
          <w:sz w:val="24"/>
        </w:rPr>
        <w:t>impact</w:t>
      </w:r>
      <w:r>
        <w:rPr>
          <w:spacing w:val="32"/>
          <w:sz w:val="24"/>
        </w:rPr>
        <w:t> </w:t>
      </w:r>
      <w:r>
        <w:rPr>
          <w:sz w:val="24"/>
        </w:rPr>
        <w:t>and</w:t>
      </w:r>
      <w:r>
        <w:rPr>
          <w:spacing w:val="33"/>
          <w:sz w:val="24"/>
        </w:rPr>
        <w:t> </w:t>
      </w:r>
      <w:r>
        <w:rPr>
          <w:sz w:val="24"/>
        </w:rPr>
        <w:t>effect</w:t>
      </w:r>
      <w:r>
        <w:rPr>
          <w:spacing w:val="32"/>
          <w:sz w:val="24"/>
        </w:rPr>
        <w:t> </w:t>
      </w:r>
      <w:r>
        <w:rPr>
          <w:sz w:val="24"/>
        </w:rPr>
        <w:t>of</w:t>
      </w:r>
      <w:r>
        <w:rPr>
          <w:spacing w:val="32"/>
          <w:sz w:val="24"/>
        </w:rPr>
        <w:t> </w:t>
      </w:r>
      <w:r>
        <w:rPr>
          <w:sz w:val="24"/>
        </w:rPr>
        <w:t>Guidance</w:t>
      </w:r>
      <w:r>
        <w:rPr>
          <w:spacing w:val="29"/>
          <w:sz w:val="24"/>
        </w:rPr>
        <w:t> </w:t>
      </w:r>
      <w:r>
        <w:rPr>
          <w:sz w:val="24"/>
        </w:rPr>
        <w:t>and</w:t>
      </w:r>
      <w:r>
        <w:rPr>
          <w:spacing w:val="33"/>
          <w:sz w:val="24"/>
        </w:rPr>
        <w:t> </w:t>
      </w:r>
      <w:r>
        <w:rPr>
          <w:sz w:val="24"/>
        </w:rPr>
        <w:t>Counselling</w:t>
      </w:r>
      <w:r>
        <w:rPr>
          <w:spacing w:val="33"/>
          <w:sz w:val="24"/>
        </w:rPr>
        <w:t> </w:t>
      </w:r>
      <w:r>
        <w:rPr>
          <w:sz w:val="24"/>
        </w:rPr>
        <w:t>services</w:t>
      </w:r>
      <w:r>
        <w:rPr>
          <w:spacing w:val="32"/>
          <w:sz w:val="24"/>
        </w:rPr>
        <w:t> </w:t>
      </w:r>
      <w:r>
        <w:rPr>
          <w:sz w:val="24"/>
        </w:rPr>
        <w:t>on students’ welfare?</w:t>
      </w:r>
    </w:p>
    <w:p>
      <w:pPr>
        <w:pStyle w:val="ListParagraph"/>
        <w:numPr>
          <w:ilvl w:val="2"/>
          <w:numId w:val="16"/>
        </w:numPr>
        <w:tabs>
          <w:tab w:pos="1599" w:val="left" w:leader="none"/>
        </w:tabs>
        <w:spacing w:line="240" w:lineRule="auto" w:before="0" w:after="0"/>
        <w:ind w:left="1599" w:right="0" w:hanging="719"/>
        <w:jc w:val="left"/>
        <w:rPr>
          <w:sz w:val="24"/>
        </w:rPr>
      </w:pPr>
      <w:r>
        <w:rPr>
          <w:sz w:val="24"/>
        </w:rPr>
        <w:t>What</w:t>
      </w:r>
      <w:r>
        <w:rPr>
          <w:spacing w:val="-8"/>
          <w:sz w:val="24"/>
        </w:rPr>
        <w:t> </w:t>
      </w:r>
      <w:r>
        <w:rPr>
          <w:sz w:val="24"/>
        </w:rPr>
        <w:t>is</w:t>
      </w:r>
      <w:r>
        <w:rPr>
          <w:spacing w:val="-9"/>
          <w:sz w:val="24"/>
        </w:rPr>
        <w:t> </w:t>
      </w:r>
      <w:r>
        <w:rPr>
          <w:sz w:val="24"/>
        </w:rPr>
        <w:t>the</w:t>
      </w:r>
      <w:r>
        <w:rPr>
          <w:spacing w:val="-7"/>
          <w:sz w:val="24"/>
        </w:rPr>
        <w:t> </w:t>
      </w:r>
      <w:r>
        <w:rPr>
          <w:sz w:val="24"/>
        </w:rPr>
        <w:t>impact</w:t>
      </w:r>
      <w:r>
        <w:rPr>
          <w:spacing w:val="-4"/>
          <w:sz w:val="24"/>
        </w:rPr>
        <w:t> </w:t>
      </w:r>
      <w:r>
        <w:rPr>
          <w:sz w:val="24"/>
        </w:rPr>
        <w:t>of</w:t>
      </w:r>
      <w:r>
        <w:rPr>
          <w:spacing w:val="-4"/>
          <w:sz w:val="24"/>
        </w:rPr>
        <w:t> </w:t>
      </w:r>
      <w:r>
        <w:rPr>
          <w:sz w:val="24"/>
        </w:rPr>
        <w:t>sports</w:t>
      </w:r>
      <w:r>
        <w:rPr>
          <w:spacing w:val="-9"/>
          <w:sz w:val="24"/>
        </w:rPr>
        <w:t> </w:t>
      </w:r>
      <w:r>
        <w:rPr>
          <w:sz w:val="24"/>
        </w:rPr>
        <w:t>and</w:t>
      </w:r>
      <w:r>
        <w:rPr>
          <w:spacing w:val="-3"/>
          <w:sz w:val="24"/>
        </w:rPr>
        <w:t> </w:t>
      </w:r>
      <w:r>
        <w:rPr>
          <w:sz w:val="24"/>
        </w:rPr>
        <w:t>recreation</w:t>
      </w:r>
      <w:r>
        <w:rPr>
          <w:spacing w:val="-4"/>
          <w:sz w:val="24"/>
        </w:rPr>
        <w:t> </w:t>
      </w:r>
      <w:r>
        <w:rPr>
          <w:sz w:val="24"/>
        </w:rPr>
        <w:t>on</w:t>
      </w:r>
      <w:r>
        <w:rPr>
          <w:spacing w:val="-7"/>
          <w:sz w:val="24"/>
        </w:rPr>
        <w:t> </w:t>
      </w:r>
      <w:r>
        <w:rPr>
          <w:sz w:val="24"/>
        </w:rPr>
        <w:t>students’</w:t>
      </w:r>
      <w:r>
        <w:rPr>
          <w:spacing w:val="-4"/>
          <w:sz w:val="24"/>
        </w:rPr>
        <w:t> </w:t>
      </w:r>
      <w:r>
        <w:rPr>
          <w:spacing w:val="-2"/>
          <w:sz w:val="24"/>
        </w:rPr>
        <w:t>welfare?</w:t>
      </w:r>
    </w:p>
    <w:p>
      <w:pPr>
        <w:pStyle w:val="BodyText"/>
      </w:pPr>
    </w:p>
    <w:p>
      <w:pPr>
        <w:pStyle w:val="ListParagraph"/>
        <w:numPr>
          <w:ilvl w:val="2"/>
          <w:numId w:val="16"/>
        </w:numPr>
        <w:tabs>
          <w:tab w:pos="1600" w:val="left" w:leader="none"/>
        </w:tabs>
        <w:spacing w:line="480" w:lineRule="auto" w:before="0" w:after="0"/>
        <w:ind w:left="1600" w:right="294" w:hanging="720"/>
        <w:jc w:val="left"/>
        <w:rPr>
          <w:sz w:val="24"/>
        </w:rPr>
      </w:pPr>
      <w:r>
        <w:rPr>
          <w:sz w:val="24"/>
        </w:rPr>
        <w:t>What</w:t>
      </w:r>
      <w:r>
        <w:rPr>
          <w:spacing w:val="37"/>
          <w:sz w:val="24"/>
        </w:rPr>
        <w:t> </w:t>
      </w:r>
      <w:r>
        <w:rPr>
          <w:sz w:val="24"/>
        </w:rPr>
        <w:t>is</w:t>
      </w:r>
      <w:r>
        <w:rPr>
          <w:spacing w:val="40"/>
          <w:sz w:val="24"/>
        </w:rPr>
        <w:t> </w:t>
      </w:r>
      <w:r>
        <w:rPr>
          <w:sz w:val="24"/>
        </w:rPr>
        <w:t>the</w:t>
      </w:r>
      <w:r>
        <w:rPr>
          <w:spacing w:val="40"/>
          <w:sz w:val="24"/>
        </w:rPr>
        <w:t> </w:t>
      </w:r>
      <w:r>
        <w:rPr>
          <w:sz w:val="24"/>
        </w:rPr>
        <w:t>effect</w:t>
      </w:r>
      <w:r>
        <w:rPr>
          <w:spacing w:val="40"/>
          <w:sz w:val="24"/>
        </w:rPr>
        <w:t> </w:t>
      </w:r>
      <w:r>
        <w:rPr>
          <w:sz w:val="24"/>
        </w:rPr>
        <w:t>of</w:t>
      </w:r>
      <w:r>
        <w:rPr>
          <w:spacing w:val="40"/>
          <w:sz w:val="24"/>
        </w:rPr>
        <w:t> </w:t>
      </w:r>
      <w:r>
        <w:rPr>
          <w:sz w:val="24"/>
        </w:rPr>
        <w:t>security</w:t>
      </w:r>
      <w:r>
        <w:rPr>
          <w:spacing w:val="40"/>
          <w:sz w:val="24"/>
        </w:rPr>
        <w:t> </w:t>
      </w:r>
      <w:r>
        <w:rPr>
          <w:sz w:val="24"/>
        </w:rPr>
        <w:t>and</w:t>
      </w:r>
      <w:r>
        <w:rPr>
          <w:spacing w:val="40"/>
          <w:sz w:val="24"/>
        </w:rPr>
        <w:t> </w:t>
      </w:r>
      <w:r>
        <w:rPr>
          <w:sz w:val="24"/>
        </w:rPr>
        <w:t>communication</w:t>
      </w:r>
      <w:r>
        <w:rPr>
          <w:spacing w:val="40"/>
          <w:sz w:val="24"/>
        </w:rPr>
        <w:t> </w:t>
      </w:r>
      <w:r>
        <w:rPr>
          <w:sz w:val="24"/>
        </w:rPr>
        <w:t>services</w:t>
      </w:r>
      <w:r>
        <w:rPr>
          <w:spacing w:val="40"/>
          <w:sz w:val="24"/>
        </w:rPr>
        <w:t> </w:t>
      </w:r>
      <w:r>
        <w:rPr>
          <w:sz w:val="24"/>
        </w:rPr>
        <w:t>on</w:t>
      </w:r>
      <w:r>
        <w:rPr>
          <w:spacing w:val="40"/>
          <w:sz w:val="24"/>
        </w:rPr>
        <w:t> </w:t>
      </w:r>
      <w:r>
        <w:rPr>
          <w:sz w:val="24"/>
        </w:rPr>
        <w:t>students’ </w:t>
      </w:r>
      <w:r>
        <w:rPr>
          <w:spacing w:val="-2"/>
          <w:sz w:val="24"/>
        </w:rPr>
        <w:t>welfare?</w:t>
      </w:r>
    </w:p>
    <w:p>
      <w:pPr>
        <w:pStyle w:val="ListParagraph"/>
        <w:numPr>
          <w:ilvl w:val="2"/>
          <w:numId w:val="16"/>
        </w:numPr>
        <w:tabs>
          <w:tab w:pos="1599" w:val="left" w:leader="none"/>
        </w:tabs>
        <w:spacing w:line="240" w:lineRule="auto" w:before="1" w:after="0"/>
        <w:ind w:left="1599" w:right="0" w:hanging="719"/>
        <w:jc w:val="left"/>
        <w:rPr>
          <w:sz w:val="24"/>
        </w:rPr>
      </w:pPr>
      <w:r>
        <w:rPr>
          <w:sz w:val="24"/>
        </w:rPr>
        <w:t>What</w:t>
      </w:r>
      <w:r>
        <w:rPr>
          <w:spacing w:val="-10"/>
          <w:sz w:val="24"/>
        </w:rPr>
        <w:t> </w:t>
      </w:r>
      <w:r>
        <w:rPr>
          <w:sz w:val="24"/>
        </w:rPr>
        <w:t>is</w:t>
      </w:r>
      <w:r>
        <w:rPr>
          <w:spacing w:val="-11"/>
          <w:sz w:val="24"/>
        </w:rPr>
        <w:t> </w:t>
      </w:r>
      <w:r>
        <w:rPr>
          <w:sz w:val="24"/>
        </w:rPr>
        <w:t>the</w:t>
      </w:r>
      <w:r>
        <w:rPr>
          <w:spacing w:val="-8"/>
          <w:sz w:val="24"/>
        </w:rPr>
        <w:t> </w:t>
      </w:r>
      <w:r>
        <w:rPr>
          <w:sz w:val="24"/>
        </w:rPr>
        <w:t>impact</w:t>
      </w:r>
      <w:r>
        <w:rPr>
          <w:spacing w:val="-6"/>
          <w:sz w:val="24"/>
        </w:rPr>
        <w:t> </w:t>
      </w:r>
      <w:r>
        <w:rPr>
          <w:sz w:val="24"/>
        </w:rPr>
        <w:t>of</w:t>
      </w:r>
      <w:r>
        <w:rPr>
          <w:spacing w:val="-6"/>
          <w:sz w:val="24"/>
        </w:rPr>
        <w:t> </w:t>
      </w:r>
      <w:r>
        <w:rPr>
          <w:sz w:val="24"/>
        </w:rPr>
        <w:t>transportation</w:t>
      </w:r>
      <w:r>
        <w:rPr>
          <w:spacing w:val="-5"/>
          <w:sz w:val="24"/>
        </w:rPr>
        <w:t> </w:t>
      </w:r>
      <w:r>
        <w:rPr>
          <w:sz w:val="24"/>
        </w:rPr>
        <w:t>services</w:t>
      </w:r>
      <w:r>
        <w:rPr>
          <w:spacing w:val="-14"/>
          <w:sz w:val="24"/>
        </w:rPr>
        <w:t> </w:t>
      </w:r>
      <w:r>
        <w:rPr>
          <w:sz w:val="24"/>
        </w:rPr>
        <w:t>on</w:t>
      </w:r>
      <w:r>
        <w:rPr>
          <w:spacing w:val="-5"/>
          <w:sz w:val="24"/>
        </w:rPr>
        <w:t> </w:t>
      </w:r>
      <w:r>
        <w:rPr>
          <w:sz w:val="24"/>
        </w:rPr>
        <w:t>students’</w:t>
      </w:r>
      <w:r>
        <w:rPr>
          <w:spacing w:val="-6"/>
          <w:sz w:val="24"/>
        </w:rPr>
        <w:t> </w:t>
      </w:r>
      <w:r>
        <w:rPr>
          <w:spacing w:val="-2"/>
          <w:sz w:val="24"/>
        </w:rPr>
        <w:t>welfare?</w:t>
      </w:r>
    </w:p>
    <w:p>
      <w:pPr>
        <w:pStyle w:val="ListParagraph"/>
        <w:numPr>
          <w:ilvl w:val="2"/>
          <w:numId w:val="16"/>
        </w:numPr>
        <w:tabs>
          <w:tab w:pos="1599" w:val="left" w:leader="none"/>
        </w:tabs>
        <w:spacing w:line="240" w:lineRule="auto" w:before="276" w:after="0"/>
        <w:ind w:left="1599" w:right="0" w:hanging="719"/>
        <w:jc w:val="left"/>
        <w:rPr>
          <w:sz w:val="24"/>
        </w:rPr>
      </w:pPr>
      <w:r>
        <w:rPr>
          <w:sz w:val="24"/>
        </w:rPr>
        <w:t>What</w:t>
      </w:r>
      <w:r>
        <w:rPr>
          <w:spacing w:val="-9"/>
          <w:sz w:val="24"/>
        </w:rPr>
        <w:t> </w:t>
      </w:r>
      <w:r>
        <w:rPr>
          <w:sz w:val="24"/>
        </w:rPr>
        <w:t>is</w:t>
      </w:r>
      <w:r>
        <w:rPr>
          <w:spacing w:val="-10"/>
          <w:sz w:val="24"/>
        </w:rPr>
        <w:t> </w:t>
      </w:r>
      <w:r>
        <w:rPr>
          <w:sz w:val="24"/>
        </w:rPr>
        <w:t>the</w:t>
      </w:r>
      <w:r>
        <w:rPr>
          <w:spacing w:val="-8"/>
          <w:sz w:val="24"/>
        </w:rPr>
        <w:t> </w:t>
      </w:r>
      <w:r>
        <w:rPr>
          <w:sz w:val="24"/>
        </w:rPr>
        <w:t>impact</w:t>
      </w:r>
      <w:r>
        <w:rPr>
          <w:spacing w:val="-5"/>
          <w:sz w:val="24"/>
        </w:rPr>
        <w:t> </w:t>
      </w:r>
      <w:r>
        <w:rPr>
          <w:sz w:val="24"/>
        </w:rPr>
        <w:t>of</w:t>
      </w:r>
      <w:r>
        <w:rPr>
          <w:spacing w:val="-5"/>
          <w:sz w:val="24"/>
        </w:rPr>
        <w:t> </w:t>
      </w:r>
      <w:r>
        <w:rPr>
          <w:sz w:val="24"/>
        </w:rPr>
        <w:t>religious</w:t>
      </w:r>
      <w:r>
        <w:rPr>
          <w:spacing w:val="-5"/>
          <w:sz w:val="24"/>
        </w:rPr>
        <w:t> </w:t>
      </w:r>
      <w:r>
        <w:rPr>
          <w:sz w:val="24"/>
        </w:rPr>
        <w:t>services</w:t>
      </w:r>
      <w:r>
        <w:rPr>
          <w:spacing w:val="-5"/>
          <w:sz w:val="24"/>
        </w:rPr>
        <w:t> </w:t>
      </w:r>
      <w:r>
        <w:rPr>
          <w:sz w:val="24"/>
        </w:rPr>
        <w:t>on</w:t>
      </w:r>
      <w:r>
        <w:rPr>
          <w:spacing w:val="-8"/>
          <w:sz w:val="24"/>
        </w:rPr>
        <w:t> </w:t>
      </w:r>
      <w:r>
        <w:rPr>
          <w:sz w:val="24"/>
        </w:rPr>
        <w:t>students’</w:t>
      </w:r>
      <w:r>
        <w:rPr>
          <w:spacing w:val="-5"/>
          <w:sz w:val="24"/>
        </w:rPr>
        <w:t> </w:t>
      </w:r>
      <w:r>
        <w:rPr>
          <w:spacing w:val="-2"/>
          <w:sz w:val="24"/>
        </w:rPr>
        <w:t>welfare?</w:t>
      </w:r>
    </w:p>
    <w:p>
      <w:pPr>
        <w:pStyle w:val="ListParagraph"/>
        <w:numPr>
          <w:ilvl w:val="2"/>
          <w:numId w:val="16"/>
        </w:numPr>
        <w:tabs>
          <w:tab w:pos="1600" w:val="left" w:leader="none"/>
        </w:tabs>
        <w:spacing w:line="480" w:lineRule="auto" w:before="276" w:after="0"/>
        <w:ind w:left="1600" w:right="297" w:hanging="720"/>
        <w:jc w:val="left"/>
        <w:rPr>
          <w:sz w:val="24"/>
        </w:rPr>
      </w:pPr>
      <w:r>
        <w:rPr>
          <w:sz w:val="24"/>
        </w:rPr>
        <w:t>What</w:t>
      </w:r>
      <w:r>
        <w:rPr>
          <w:spacing w:val="80"/>
          <w:sz w:val="24"/>
        </w:rPr>
        <w:t> </w:t>
      </w:r>
      <w:r>
        <w:rPr>
          <w:sz w:val="24"/>
        </w:rPr>
        <w:t>is</w:t>
      </w:r>
      <w:r>
        <w:rPr>
          <w:spacing w:val="80"/>
          <w:sz w:val="24"/>
        </w:rPr>
        <w:t> </w:t>
      </w:r>
      <w:r>
        <w:rPr>
          <w:sz w:val="24"/>
        </w:rPr>
        <w:t>the</w:t>
      </w:r>
      <w:r>
        <w:rPr>
          <w:spacing w:val="80"/>
          <w:sz w:val="24"/>
        </w:rPr>
        <w:t> </w:t>
      </w:r>
      <w:r>
        <w:rPr>
          <w:sz w:val="24"/>
        </w:rPr>
        <w:t>impact</w:t>
      </w:r>
      <w:r>
        <w:rPr>
          <w:spacing w:val="80"/>
          <w:sz w:val="24"/>
        </w:rPr>
        <w:t> </w:t>
      </w:r>
      <w:r>
        <w:rPr>
          <w:sz w:val="24"/>
        </w:rPr>
        <w:t>of</w:t>
      </w:r>
      <w:r>
        <w:rPr>
          <w:spacing w:val="80"/>
          <w:sz w:val="24"/>
        </w:rPr>
        <w:t> </w:t>
      </w:r>
      <w:r>
        <w:rPr>
          <w:sz w:val="24"/>
        </w:rPr>
        <w:t>Banking</w:t>
      </w:r>
      <w:r>
        <w:rPr>
          <w:spacing w:val="80"/>
          <w:sz w:val="24"/>
        </w:rPr>
        <w:t> </w:t>
      </w:r>
      <w:r>
        <w:rPr>
          <w:sz w:val="24"/>
        </w:rPr>
        <w:t>and</w:t>
      </w:r>
      <w:r>
        <w:rPr>
          <w:spacing w:val="80"/>
          <w:sz w:val="24"/>
        </w:rPr>
        <w:t> </w:t>
      </w:r>
      <w:r>
        <w:rPr>
          <w:sz w:val="24"/>
        </w:rPr>
        <w:t>telecommunication</w:t>
      </w:r>
      <w:r>
        <w:rPr>
          <w:spacing w:val="80"/>
          <w:sz w:val="24"/>
        </w:rPr>
        <w:t> </w:t>
      </w:r>
      <w:r>
        <w:rPr>
          <w:sz w:val="24"/>
        </w:rPr>
        <w:t>services</w:t>
      </w:r>
      <w:r>
        <w:rPr>
          <w:spacing w:val="80"/>
          <w:sz w:val="24"/>
        </w:rPr>
        <w:t> </w:t>
      </w:r>
      <w:r>
        <w:rPr>
          <w:sz w:val="24"/>
        </w:rPr>
        <w:t>on students’ welfare?</w:t>
      </w:r>
    </w:p>
    <w:p>
      <w:pPr>
        <w:pStyle w:val="ListParagraph"/>
        <w:numPr>
          <w:ilvl w:val="2"/>
          <w:numId w:val="16"/>
        </w:numPr>
        <w:tabs>
          <w:tab w:pos="1599" w:val="left" w:leader="none"/>
        </w:tabs>
        <w:spacing w:line="240" w:lineRule="auto" w:before="0" w:after="0"/>
        <w:ind w:left="1599" w:right="0" w:hanging="719"/>
        <w:jc w:val="left"/>
        <w:rPr>
          <w:sz w:val="24"/>
        </w:rPr>
      </w:pPr>
      <w:r>
        <w:rPr>
          <w:sz w:val="24"/>
        </w:rPr>
        <w:t>What</w:t>
      </w:r>
      <w:r>
        <w:rPr>
          <w:spacing w:val="-9"/>
          <w:sz w:val="24"/>
        </w:rPr>
        <w:t> </w:t>
      </w:r>
      <w:r>
        <w:rPr>
          <w:sz w:val="24"/>
        </w:rPr>
        <w:t>is</w:t>
      </w:r>
      <w:r>
        <w:rPr>
          <w:spacing w:val="-9"/>
          <w:sz w:val="24"/>
        </w:rPr>
        <w:t> </w:t>
      </w:r>
      <w:r>
        <w:rPr>
          <w:sz w:val="24"/>
        </w:rPr>
        <w:t>the</w:t>
      </w:r>
      <w:r>
        <w:rPr>
          <w:spacing w:val="-8"/>
          <w:sz w:val="24"/>
        </w:rPr>
        <w:t> </w:t>
      </w:r>
      <w:r>
        <w:rPr>
          <w:sz w:val="24"/>
        </w:rPr>
        <w:t>impact</w:t>
      </w:r>
      <w:r>
        <w:rPr>
          <w:spacing w:val="-4"/>
          <w:sz w:val="24"/>
        </w:rPr>
        <w:t> </w:t>
      </w:r>
      <w:r>
        <w:rPr>
          <w:sz w:val="24"/>
        </w:rPr>
        <w:t>of</w:t>
      </w:r>
      <w:r>
        <w:rPr>
          <w:spacing w:val="-5"/>
          <w:sz w:val="24"/>
        </w:rPr>
        <w:t> </w:t>
      </w:r>
      <w:r>
        <w:rPr>
          <w:sz w:val="24"/>
        </w:rPr>
        <w:t>Library</w:t>
      </w:r>
      <w:r>
        <w:rPr>
          <w:spacing w:val="-5"/>
          <w:sz w:val="24"/>
        </w:rPr>
        <w:t> </w:t>
      </w:r>
      <w:r>
        <w:rPr>
          <w:sz w:val="24"/>
        </w:rPr>
        <w:t>services</w:t>
      </w:r>
      <w:r>
        <w:rPr>
          <w:spacing w:val="-9"/>
          <w:sz w:val="24"/>
        </w:rPr>
        <w:t> </w:t>
      </w:r>
      <w:r>
        <w:rPr>
          <w:sz w:val="24"/>
        </w:rPr>
        <w:t>on</w:t>
      </w:r>
      <w:r>
        <w:rPr>
          <w:spacing w:val="-4"/>
          <w:sz w:val="24"/>
        </w:rPr>
        <w:t> </w:t>
      </w:r>
      <w:r>
        <w:rPr>
          <w:sz w:val="24"/>
        </w:rPr>
        <w:t>students’</w:t>
      </w:r>
      <w:r>
        <w:rPr>
          <w:spacing w:val="-5"/>
          <w:sz w:val="24"/>
        </w:rPr>
        <w:t> </w:t>
      </w:r>
      <w:r>
        <w:rPr>
          <w:spacing w:val="-2"/>
          <w:sz w:val="24"/>
        </w:rPr>
        <w:t>welfare?</w:t>
      </w:r>
    </w:p>
    <w:p>
      <w:pPr>
        <w:pStyle w:val="BodyText"/>
      </w:pPr>
    </w:p>
    <w:p>
      <w:pPr>
        <w:pStyle w:val="ListParagraph"/>
        <w:numPr>
          <w:ilvl w:val="2"/>
          <w:numId w:val="16"/>
        </w:numPr>
        <w:tabs>
          <w:tab w:pos="1600" w:val="left" w:leader="none"/>
        </w:tabs>
        <w:spacing w:line="480" w:lineRule="auto" w:before="0" w:after="0"/>
        <w:ind w:left="1600" w:right="298" w:hanging="720"/>
        <w:jc w:val="left"/>
        <w:rPr>
          <w:sz w:val="24"/>
        </w:rPr>
      </w:pPr>
      <w:r>
        <w:rPr>
          <w:sz w:val="24"/>
        </w:rPr>
        <w:t>What</w:t>
      </w:r>
      <w:r>
        <w:rPr>
          <w:spacing w:val="36"/>
          <w:sz w:val="24"/>
        </w:rPr>
        <w:t> </w:t>
      </w:r>
      <w:r>
        <w:rPr>
          <w:sz w:val="24"/>
        </w:rPr>
        <w:t>are</w:t>
      </w:r>
      <w:r>
        <w:rPr>
          <w:spacing w:val="40"/>
          <w:sz w:val="24"/>
        </w:rPr>
        <w:t> </w:t>
      </w:r>
      <w:r>
        <w:rPr>
          <w:sz w:val="24"/>
        </w:rPr>
        <w:t>the</w:t>
      </w:r>
      <w:r>
        <w:rPr>
          <w:spacing w:val="40"/>
          <w:sz w:val="24"/>
        </w:rPr>
        <w:t> </w:t>
      </w:r>
      <w:r>
        <w:rPr>
          <w:sz w:val="24"/>
        </w:rPr>
        <w:t>impacts</w:t>
      </w:r>
      <w:r>
        <w:rPr>
          <w:spacing w:val="40"/>
          <w:sz w:val="24"/>
        </w:rPr>
        <w:t> </w:t>
      </w:r>
      <w:r>
        <w:rPr>
          <w:sz w:val="24"/>
        </w:rPr>
        <w:t>of</w:t>
      </w:r>
      <w:r>
        <w:rPr>
          <w:spacing w:val="40"/>
          <w:sz w:val="24"/>
        </w:rPr>
        <w:t> </w:t>
      </w:r>
      <w:r>
        <w:rPr>
          <w:sz w:val="24"/>
        </w:rPr>
        <w:t>classroom,</w:t>
      </w:r>
      <w:r>
        <w:rPr>
          <w:spacing w:val="40"/>
          <w:sz w:val="24"/>
        </w:rPr>
        <w:t> </w:t>
      </w:r>
      <w:r>
        <w:rPr>
          <w:sz w:val="24"/>
        </w:rPr>
        <w:t>lecture</w:t>
      </w:r>
      <w:r>
        <w:rPr>
          <w:spacing w:val="37"/>
          <w:sz w:val="24"/>
        </w:rPr>
        <w:t> </w:t>
      </w:r>
      <w:r>
        <w:rPr>
          <w:sz w:val="24"/>
        </w:rPr>
        <w:t>halls,</w:t>
      </w:r>
      <w:r>
        <w:rPr>
          <w:spacing w:val="40"/>
          <w:sz w:val="24"/>
        </w:rPr>
        <w:t> </w:t>
      </w:r>
      <w:r>
        <w:rPr>
          <w:sz w:val="24"/>
        </w:rPr>
        <w:t>workshops,</w:t>
      </w:r>
      <w:r>
        <w:rPr>
          <w:spacing w:val="36"/>
          <w:sz w:val="24"/>
        </w:rPr>
        <w:t> </w:t>
      </w:r>
      <w:r>
        <w:rPr>
          <w:sz w:val="24"/>
        </w:rPr>
        <w:t>field</w:t>
      </w:r>
      <w:r>
        <w:rPr>
          <w:spacing w:val="40"/>
          <w:sz w:val="24"/>
        </w:rPr>
        <w:t> </w:t>
      </w:r>
      <w:r>
        <w:rPr>
          <w:sz w:val="24"/>
        </w:rPr>
        <w:t>trips services on students’ welfare?</w:t>
      </w:r>
    </w:p>
    <w:p>
      <w:pPr>
        <w:pStyle w:val="ListParagraph"/>
        <w:numPr>
          <w:ilvl w:val="2"/>
          <w:numId w:val="16"/>
        </w:numPr>
        <w:tabs>
          <w:tab w:pos="1599" w:val="left" w:leader="none"/>
        </w:tabs>
        <w:spacing w:line="240" w:lineRule="auto" w:before="0" w:after="0"/>
        <w:ind w:left="1599" w:right="0" w:hanging="719"/>
        <w:jc w:val="left"/>
        <w:rPr>
          <w:sz w:val="24"/>
        </w:rPr>
      </w:pPr>
      <w:r>
        <w:rPr>
          <w:sz w:val="24"/>
        </w:rPr>
        <w:t>What</w:t>
      </w:r>
      <w:r>
        <w:rPr>
          <w:spacing w:val="-10"/>
          <w:sz w:val="24"/>
        </w:rPr>
        <w:t> </w:t>
      </w:r>
      <w:r>
        <w:rPr>
          <w:sz w:val="24"/>
        </w:rPr>
        <w:t>is</w:t>
      </w:r>
      <w:r>
        <w:rPr>
          <w:spacing w:val="-10"/>
          <w:sz w:val="24"/>
        </w:rPr>
        <w:t> </w:t>
      </w:r>
      <w:r>
        <w:rPr>
          <w:sz w:val="24"/>
        </w:rPr>
        <w:t>the</w:t>
      </w:r>
      <w:r>
        <w:rPr>
          <w:spacing w:val="-9"/>
          <w:sz w:val="24"/>
        </w:rPr>
        <w:t> </w:t>
      </w:r>
      <w:r>
        <w:rPr>
          <w:sz w:val="24"/>
        </w:rPr>
        <w:t>influence</w:t>
      </w:r>
      <w:r>
        <w:rPr>
          <w:spacing w:val="-5"/>
          <w:sz w:val="24"/>
        </w:rPr>
        <w:t> </w:t>
      </w:r>
      <w:r>
        <w:rPr>
          <w:sz w:val="24"/>
        </w:rPr>
        <w:t>of</w:t>
      </w:r>
      <w:r>
        <w:rPr>
          <w:spacing w:val="-9"/>
          <w:sz w:val="24"/>
        </w:rPr>
        <w:t> </w:t>
      </w:r>
      <w:r>
        <w:rPr>
          <w:sz w:val="24"/>
        </w:rPr>
        <w:t>Information</w:t>
      </w:r>
      <w:r>
        <w:rPr>
          <w:spacing w:val="-9"/>
          <w:sz w:val="24"/>
        </w:rPr>
        <w:t> </w:t>
      </w:r>
      <w:r>
        <w:rPr>
          <w:sz w:val="24"/>
        </w:rPr>
        <w:t>Technology</w:t>
      </w:r>
      <w:r>
        <w:rPr>
          <w:spacing w:val="-6"/>
          <w:sz w:val="24"/>
        </w:rPr>
        <w:t> </w:t>
      </w:r>
      <w:r>
        <w:rPr>
          <w:sz w:val="24"/>
        </w:rPr>
        <w:t>on</w:t>
      </w:r>
      <w:r>
        <w:rPr>
          <w:spacing w:val="-5"/>
          <w:sz w:val="24"/>
        </w:rPr>
        <w:t> </w:t>
      </w:r>
      <w:r>
        <w:rPr>
          <w:sz w:val="24"/>
        </w:rPr>
        <w:t>students’</w:t>
      </w:r>
      <w:r>
        <w:rPr>
          <w:spacing w:val="-5"/>
          <w:sz w:val="24"/>
        </w:rPr>
        <w:t> </w:t>
      </w:r>
      <w:r>
        <w:rPr>
          <w:spacing w:val="-2"/>
          <w:sz w:val="24"/>
        </w:rPr>
        <w:t>welfare?</w:t>
      </w:r>
    </w:p>
    <w:p>
      <w:pPr>
        <w:pStyle w:val="BodyText"/>
      </w:pPr>
    </w:p>
    <w:p>
      <w:pPr>
        <w:pStyle w:val="ListParagraph"/>
        <w:numPr>
          <w:ilvl w:val="2"/>
          <w:numId w:val="16"/>
        </w:numPr>
        <w:tabs>
          <w:tab w:pos="1599" w:val="left" w:leader="none"/>
        </w:tabs>
        <w:spacing w:line="240" w:lineRule="auto" w:before="0" w:after="0"/>
        <w:ind w:left="1599" w:right="0" w:hanging="719"/>
        <w:jc w:val="left"/>
        <w:rPr>
          <w:sz w:val="24"/>
        </w:rPr>
      </w:pPr>
      <w:r>
        <w:rPr>
          <w:sz w:val="24"/>
        </w:rPr>
        <w:t>What</w:t>
      </w:r>
      <w:r>
        <w:rPr>
          <w:spacing w:val="-10"/>
          <w:sz w:val="24"/>
        </w:rPr>
        <w:t> </w:t>
      </w:r>
      <w:r>
        <w:rPr>
          <w:sz w:val="24"/>
        </w:rPr>
        <w:t>is</w:t>
      </w:r>
      <w:r>
        <w:rPr>
          <w:spacing w:val="-11"/>
          <w:sz w:val="24"/>
        </w:rPr>
        <w:t> </w:t>
      </w:r>
      <w:r>
        <w:rPr>
          <w:sz w:val="24"/>
        </w:rPr>
        <w:t>the</w:t>
      </w:r>
      <w:r>
        <w:rPr>
          <w:spacing w:val="-9"/>
          <w:sz w:val="24"/>
        </w:rPr>
        <w:t> </w:t>
      </w:r>
      <w:r>
        <w:rPr>
          <w:sz w:val="24"/>
        </w:rPr>
        <w:t>impact</w:t>
      </w:r>
      <w:r>
        <w:rPr>
          <w:spacing w:val="-6"/>
          <w:sz w:val="24"/>
        </w:rPr>
        <w:t> </w:t>
      </w:r>
      <w:r>
        <w:rPr>
          <w:sz w:val="24"/>
        </w:rPr>
        <w:t>of</w:t>
      </w:r>
      <w:r>
        <w:rPr>
          <w:spacing w:val="-6"/>
          <w:sz w:val="24"/>
        </w:rPr>
        <w:t> </w:t>
      </w:r>
      <w:r>
        <w:rPr>
          <w:sz w:val="24"/>
        </w:rPr>
        <w:t>Medical</w:t>
      </w:r>
      <w:r>
        <w:rPr>
          <w:spacing w:val="-2"/>
          <w:sz w:val="24"/>
        </w:rPr>
        <w:t> </w:t>
      </w:r>
      <w:r>
        <w:rPr>
          <w:sz w:val="24"/>
        </w:rPr>
        <w:t>and</w:t>
      </w:r>
      <w:r>
        <w:rPr>
          <w:spacing w:val="-5"/>
          <w:sz w:val="24"/>
        </w:rPr>
        <w:t> </w:t>
      </w:r>
      <w:r>
        <w:rPr>
          <w:sz w:val="24"/>
        </w:rPr>
        <w:t>Health</w:t>
      </w:r>
      <w:r>
        <w:rPr>
          <w:spacing w:val="-5"/>
          <w:sz w:val="24"/>
        </w:rPr>
        <w:t> </w:t>
      </w:r>
      <w:r>
        <w:rPr>
          <w:sz w:val="24"/>
        </w:rPr>
        <w:t>services</w:t>
      </w:r>
      <w:r>
        <w:rPr>
          <w:spacing w:val="-6"/>
          <w:sz w:val="24"/>
        </w:rPr>
        <w:t> </w:t>
      </w:r>
      <w:r>
        <w:rPr>
          <w:sz w:val="24"/>
        </w:rPr>
        <w:t>on</w:t>
      </w:r>
      <w:r>
        <w:rPr>
          <w:spacing w:val="-5"/>
          <w:sz w:val="24"/>
        </w:rPr>
        <w:t> </w:t>
      </w:r>
      <w:r>
        <w:rPr>
          <w:sz w:val="24"/>
        </w:rPr>
        <w:t>students’</w:t>
      </w:r>
      <w:r>
        <w:rPr>
          <w:spacing w:val="-7"/>
          <w:sz w:val="24"/>
        </w:rPr>
        <w:t> </w:t>
      </w:r>
      <w:r>
        <w:rPr>
          <w:spacing w:val="-2"/>
          <w:sz w:val="24"/>
        </w:rPr>
        <w:t>welfare?</w:t>
      </w:r>
    </w:p>
    <w:p>
      <w:pPr>
        <w:pStyle w:val="BodyText"/>
      </w:pPr>
    </w:p>
    <w:p>
      <w:pPr>
        <w:pStyle w:val="ListParagraph"/>
        <w:numPr>
          <w:ilvl w:val="2"/>
          <w:numId w:val="16"/>
        </w:numPr>
        <w:tabs>
          <w:tab w:pos="1599" w:val="left" w:leader="none"/>
        </w:tabs>
        <w:spacing w:line="240" w:lineRule="auto" w:before="0" w:after="0"/>
        <w:ind w:left="1599" w:right="0" w:hanging="719"/>
        <w:jc w:val="left"/>
        <w:rPr>
          <w:sz w:val="24"/>
        </w:rPr>
      </w:pPr>
      <w:r>
        <w:rPr>
          <w:sz w:val="24"/>
        </w:rPr>
        <w:t>What</w:t>
      </w:r>
      <w:r>
        <w:rPr>
          <w:spacing w:val="-10"/>
          <w:sz w:val="24"/>
        </w:rPr>
        <w:t> </w:t>
      </w:r>
      <w:r>
        <w:rPr>
          <w:sz w:val="24"/>
        </w:rPr>
        <w:t>is</w:t>
      </w:r>
      <w:r>
        <w:rPr>
          <w:spacing w:val="-11"/>
          <w:sz w:val="24"/>
        </w:rPr>
        <w:t> </w:t>
      </w:r>
      <w:r>
        <w:rPr>
          <w:sz w:val="24"/>
        </w:rPr>
        <w:t>the</w:t>
      </w:r>
      <w:r>
        <w:rPr>
          <w:spacing w:val="-8"/>
          <w:sz w:val="24"/>
        </w:rPr>
        <w:t> </w:t>
      </w:r>
      <w:r>
        <w:rPr>
          <w:sz w:val="24"/>
        </w:rPr>
        <w:t>impact</w:t>
      </w:r>
      <w:r>
        <w:rPr>
          <w:spacing w:val="-6"/>
          <w:sz w:val="24"/>
        </w:rPr>
        <w:t> </w:t>
      </w:r>
      <w:r>
        <w:rPr>
          <w:sz w:val="24"/>
        </w:rPr>
        <w:t>of</w:t>
      </w:r>
      <w:r>
        <w:rPr>
          <w:spacing w:val="-6"/>
          <w:sz w:val="24"/>
        </w:rPr>
        <w:t> </w:t>
      </w:r>
      <w:r>
        <w:rPr>
          <w:sz w:val="24"/>
        </w:rPr>
        <w:t>environmental</w:t>
      </w:r>
      <w:r>
        <w:rPr>
          <w:spacing w:val="-3"/>
          <w:sz w:val="24"/>
        </w:rPr>
        <w:t> </w:t>
      </w:r>
      <w:r>
        <w:rPr>
          <w:sz w:val="24"/>
        </w:rPr>
        <w:t>services</w:t>
      </w:r>
      <w:r>
        <w:rPr>
          <w:spacing w:val="-10"/>
          <w:sz w:val="24"/>
        </w:rPr>
        <w:t> </w:t>
      </w:r>
      <w:r>
        <w:rPr>
          <w:sz w:val="24"/>
        </w:rPr>
        <w:t>on</w:t>
      </w:r>
      <w:r>
        <w:rPr>
          <w:spacing w:val="-5"/>
          <w:sz w:val="24"/>
        </w:rPr>
        <w:t> </w:t>
      </w:r>
      <w:r>
        <w:rPr>
          <w:sz w:val="24"/>
        </w:rPr>
        <w:t>students’</w:t>
      </w:r>
      <w:r>
        <w:rPr>
          <w:spacing w:val="-6"/>
          <w:sz w:val="24"/>
        </w:rPr>
        <w:t> </w:t>
      </w:r>
      <w:r>
        <w:rPr>
          <w:spacing w:val="-2"/>
          <w:sz w:val="24"/>
        </w:rPr>
        <w:t>welfare?</w:t>
      </w:r>
    </w:p>
    <w:p>
      <w:pPr>
        <w:pStyle w:val="BodyText"/>
      </w:pPr>
    </w:p>
    <w:p>
      <w:pPr>
        <w:pStyle w:val="ListParagraph"/>
        <w:numPr>
          <w:ilvl w:val="2"/>
          <w:numId w:val="16"/>
        </w:numPr>
        <w:tabs>
          <w:tab w:pos="1600" w:val="left" w:leader="none"/>
        </w:tabs>
        <w:spacing w:line="480" w:lineRule="auto" w:before="0" w:after="0"/>
        <w:ind w:left="1600" w:right="306" w:hanging="720"/>
        <w:jc w:val="left"/>
        <w:rPr>
          <w:sz w:val="24"/>
        </w:rPr>
      </w:pPr>
      <w:r>
        <w:rPr>
          <w:sz w:val="24"/>
        </w:rPr>
        <w:t>What strategies could be used for effective provision and management of students’ welfare services in these Universities?</w:t>
      </w:r>
    </w:p>
    <w:p>
      <w:pPr>
        <w:pStyle w:val="Heading2"/>
        <w:numPr>
          <w:ilvl w:val="1"/>
          <w:numId w:val="16"/>
        </w:numPr>
        <w:tabs>
          <w:tab w:pos="879" w:val="left" w:leader="none"/>
        </w:tabs>
        <w:spacing w:line="318" w:lineRule="exact" w:before="0" w:after="0"/>
        <w:ind w:left="879" w:right="0" w:hanging="719"/>
        <w:jc w:val="left"/>
        <w:rPr>
          <w:rFonts w:ascii="Arial MT"/>
          <w:b w:val="0"/>
        </w:rPr>
      </w:pPr>
      <w:bookmarkStart w:name="_TOC_250055" w:id="13"/>
      <w:bookmarkEnd w:id="13"/>
      <w:r>
        <w:rPr>
          <w:spacing w:val="-2"/>
        </w:rPr>
        <w:t>Hypotheses</w:t>
      </w:r>
    </w:p>
    <w:p>
      <w:pPr>
        <w:pStyle w:val="BodyText"/>
        <w:spacing w:before="3"/>
        <w:rPr>
          <w:rFonts w:ascii="Arial"/>
          <w:b/>
          <w:sz w:val="28"/>
        </w:rPr>
      </w:pPr>
    </w:p>
    <w:p>
      <w:pPr>
        <w:pStyle w:val="BodyText"/>
        <w:ind w:left="880"/>
      </w:pPr>
      <w:r>
        <w:rPr/>
        <w:t>The</w:t>
      </w:r>
      <w:r>
        <w:rPr>
          <w:spacing w:val="-7"/>
        </w:rPr>
        <w:t> </w:t>
      </w:r>
      <w:r>
        <w:rPr/>
        <w:t>following</w:t>
      </w:r>
      <w:r>
        <w:rPr>
          <w:spacing w:val="-10"/>
        </w:rPr>
        <w:t> </w:t>
      </w:r>
      <w:r>
        <w:rPr/>
        <w:t>hypotheses</w:t>
      </w:r>
      <w:r>
        <w:rPr>
          <w:spacing w:val="-7"/>
        </w:rPr>
        <w:t> </w:t>
      </w:r>
      <w:r>
        <w:rPr/>
        <w:t>were</w:t>
      </w:r>
      <w:r>
        <w:rPr>
          <w:spacing w:val="-7"/>
        </w:rPr>
        <w:t> </w:t>
      </w:r>
      <w:r>
        <w:rPr/>
        <w:t>postulated</w:t>
      </w:r>
      <w:r>
        <w:rPr>
          <w:spacing w:val="-7"/>
        </w:rPr>
        <w:t> </w:t>
      </w:r>
      <w:r>
        <w:rPr/>
        <w:t>for</w:t>
      </w:r>
      <w:r>
        <w:rPr>
          <w:spacing w:val="-10"/>
        </w:rPr>
        <w:t> </w:t>
      </w:r>
      <w:r>
        <w:rPr/>
        <w:t>the</w:t>
      </w:r>
      <w:r>
        <w:rPr>
          <w:spacing w:val="-7"/>
        </w:rPr>
        <w:t> </w:t>
      </w:r>
      <w:r>
        <w:rPr>
          <w:spacing w:val="-2"/>
        </w:rPr>
        <w:t>study:-</w:t>
      </w:r>
    </w:p>
    <w:p>
      <w:pPr>
        <w:pStyle w:val="BodyText"/>
      </w:pPr>
    </w:p>
    <w:p>
      <w:pPr>
        <w:pStyle w:val="BodyText"/>
        <w:spacing w:line="480" w:lineRule="auto"/>
        <w:ind w:left="1600" w:right="301" w:hanging="720"/>
        <w:jc w:val="both"/>
      </w:pPr>
      <w:r>
        <w:rPr/>
        <w:t>HO</w:t>
      </w:r>
      <w:r>
        <w:rPr>
          <w:vertAlign w:val="subscript"/>
        </w:rPr>
        <w:t>1</w:t>
      </w:r>
      <w:r>
        <w:rPr>
          <w:spacing w:val="80"/>
          <w:w w:val="150"/>
          <w:vertAlign w:val="baseline"/>
        </w:rPr>
        <w:t> </w:t>
      </w:r>
      <w:r>
        <w:rPr>
          <w:vertAlign w:val="baseline"/>
        </w:rPr>
        <w:t>There is no significant difference in the opinions of students, service staff and top management staff with respect to the types and availability of Students’ Welfare services in these Universities.</w:t>
      </w:r>
    </w:p>
    <w:p>
      <w:pPr>
        <w:spacing w:after="0" w:line="480" w:lineRule="auto"/>
        <w:jc w:val="both"/>
        <w:sectPr>
          <w:headerReference w:type="default" r:id="rId58"/>
          <w:footerReference w:type="default" r:id="rId59"/>
          <w:pgSz w:w="12240" w:h="15840"/>
          <w:pgMar w:header="722" w:footer="791" w:top="1060" w:bottom="980" w:left="1280" w:right="1140"/>
        </w:sectPr>
      </w:pPr>
    </w:p>
    <w:p>
      <w:pPr>
        <w:pStyle w:val="BodyText"/>
        <w:spacing w:before="86"/>
      </w:pPr>
    </w:p>
    <w:p>
      <w:pPr>
        <w:pStyle w:val="BodyText"/>
        <w:spacing w:line="480" w:lineRule="auto"/>
        <w:ind w:left="1600" w:right="295" w:hanging="720"/>
        <w:jc w:val="both"/>
      </w:pPr>
      <w:r>
        <w:rPr/>
        <w:t>HO</w:t>
      </w:r>
      <w:r>
        <w:rPr>
          <w:vertAlign w:val="subscript"/>
        </w:rPr>
        <w:t>2</w:t>
      </w:r>
      <w:r>
        <w:rPr>
          <w:spacing w:val="80"/>
          <w:w w:val="150"/>
          <w:vertAlign w:val="baseline"/>
        </w:rPr>
        <w:t> </w:t>
      </w:r>
      <w:r>
        <w:rPr>
          <w:vertAlign w:val="baseline"/>
        </w:rPr>
        <w:t>There is no significant difference in the opinions of the students, service staff and top management staff in respect of the availability and adequacy of social services in these Universities.</w:t>
      </w:r>
    </w:p>
    <w:p>
      <w:pPr>
        <w:pStyle w:val="BodyText"/>
        <w:spacing w:line="480" w:lineRule="auto"/>
        <w:ind w:left="1600" w:right="295" w:hanging="720"/>
        <w:jc w:val="both"/>
      </w:pPr>
      <w:r>
        <w:rPr/>
        <w:t>HO</w:t>
      </w:r>
      <w:r>
        <w:rPr>
          <w:vertAlign w:val="subscript"/>
        </w:rPr>
        <w:t>3</w:t>
      </w:r>
      <w:r>
        <w:rPr>
          <w:spacing w:val="80"/>
          <w:w w:val="150"/>
          <w:vertAlign w:val="baseline"/>
        </w:rPr>
        <w:t> </w:t>
      </w:r>
      <w:r>
        <w:rPr>
          <w:vertAlign w:val="baseline"/>
        </w:rPr>
        <w:t>There is no significant difference in the opinions of the students, service staff and top management staff in respect of the availability and adequacy of academic services in these Universities.</w:t>
      </w:r>
    </w:p>
    <w:p>
      <w:pPr>
        <w:pStyle w:val="BodyText"/>
        <w:spacing w:line="480" w:lineRule="auto" w:before="1"/>
        <w:ind w:left="1600" w:right="297" w:hanging="720"/>
        <w:jc w:val="both"/>
      </w:pPr>
      <w:r>
        <w:rPr/>
        <w:t>HO</w:t>
      </w:r>
      <w:r>
        <w:rPr>
          <w:vertAlign w:val="subscript"/>
        </w:rPr>
        <w:t>4</w:t>
      </w:r>
      <w:r>
        <w:rPr>
          <w:spacing w:val="80"/>
          <w:w w:val="150"/>
          <w:vertAlign w:val="baseline"/>
        </w:rPr>
        <w:t> </w:t>
      </w:r>
      <w:r>
        <w:rPr>
          <w:vertAlign w:val="baseline"/>
        </w:rPr>
        <w:t>There is no significant difference in the opinions of students, service staff and top management staff in respect of the availability and adequacy of Medical/Health services in these Universities.</w:t>
      </w:r>
    </w:p>
    <w:p>
      <w:pPr>
        <w:pStyle w:val="BodyText"/>
        <w:spacing w:line="480" w:lineRule="auto"/>
        <w:ind w:left="1600" w:right="294" w:hanging="720"/>
        <w:jc w:val="both"/>
      </w:pPr>
      <w:r>
        <w:rPr/>
        <w:t>HO</w:t>
      </w:r>
      <w:r>
        <w:rPr>
          <w:vertAlign w:val="subscript"/>
        </w:rPr>
        <w:t>5</w:t>
      </w:r>
      <w:r>
        <w:rPr>
          <w:spacing w:val="80"/>
          <w:w w:val="150"/>
          <w:vertAlign w:val="baseline"/>
        </w:rPr>
        <w:t> </w:t>
      </w:r>
      <w:r>
        <w:rPr>
          <w:vertAlign w:val="baseline"/>
        </w:rPr>
        <w:t>There is no significant difference in the opinions of students, service staff and top management staff in respect of the availability and adequacy of Environmental services in these Universities.</w:t>
      </w:r>
    </w:p>
    <w:p>
      <w:pPr>
        <w:pStyle w:val="BodyText"/>
        <w:spacing w:line="480" w:lineRule="auto"/>
        <w:ind w:left="1600" w:right="298" w:hanging="720"/>
        <w:jc w:val="both"/>
      </w:pPr>
      <w:r>
        <w:rPr/>
        <w:t>HO</w:t>
      </w:r>
      <w:r>
        <w:rPr>
          <w:vertAlign w:val="subscript"/>
        </w:rPr>
        <w:t>6</w:t>
      </w:r>
      <w:r>
        <w:rPr>
          <w:spacing w:val="80"/>
          <w:w w:val="150"/>
          <w:vertAlign w:val="baseline"/>
        </w:rPr>
        <w:t> </w:t>
      </w:r>
      <w:r>
        <w:rPr>
          <w:vertAlign w:val="baseline"/>
        </w:rPr>
        <w:t>There is no significant difference in the opinions of the students, service staff and top management staff with respect to the impact of the provision and management of diverse services in terms of social, academic, medical/health and environmental services on students’ welfare in these </w:t>
      </w:r>
      <w:r>
        <w:rPr>
          <w:spacing w:val="-2"/>
          <w:vertAlign w:val="baseline"/>
        </w:rPr>
        <w:t>Universities.</w:t>
      </w:r>
    </w:p>
    <w:p>
      <w:pPr>
        <w:pStyle w:val="BodyText"/>
        <w:spacing w:line="480" w:lineRule="auto"/>
        <w:ind w:left="1600" w:right="292" w:hanging="720"/>
        <w:jc w:val="both"/>
      </w:pPr>
      <w:r>
        <w:rPr/>
        <w:t>HO</w:t>
      </w:r>
      <w:r>
        <w:rPr>
          <w:vertAlign w:val="subscript"/>
        </w:rPr>
        <w:t>7</w:t>
      </w:r>
      <w:r>
        <w:rPr>
          <w:spacing w:val="80"/>
          <w:w w:val="150"/>
          <w:vertAlign w:val="baseline"/>
        </w:rPr>
        <w:t> </w:t>
      </w:r>
      <w:r>
        <w:rPr>
          <w:vertAlign w:val="baseline"/>
        </w:rPr>
        <w:t>There is no significant difference in the opinions of students, service staff and top management staff in respect of the impact of feeding on students’ welfare services in these Universities.</w:t>
      </w:r>
    </w:p>
    <w:p>
      <w:pPr>
        <w:pStyle w:val="BodyText"/>
        <w:spacing w:line="480" w:lineRule="auto"/>
        <w:ind w:left="1600" w:right="300" w:hanging="720"/>
        <w:jc w:val="both"/>
      </w:pPr>
      <w:r>
        <w:rPr/>
        <w:t>HO</w:t>
      </w:r>
      <w:r>
        <w:rPr>
          <w:vertAlign w:val="subscript"/>
        </w:rPr>
        <w:t>8</w:t>
      </w:r>
      <w:r>
        <w:rPr>
          <w:spacing w:val="80"/>
          <w:w w:val="150"/>
          <w:vertAlign w:val="baseline"/>
        </w:rPr>
        <w:t> </w:t>
      </w:r>
      <w:r>
        <w:rPr>
          <w:vertAlign w:val="baseline"/>
        </w:rPr>
        <w:t>There is no significant difference in the opinions of students, service staff and top management staff in respect of the impact of Hostel accommodation on students’ welfare services in these Universities.</w:t>
      </w:r>
    </w:p>
    <w:p>
      <w:pPr>
        <w:spacing w:after="0" w:line="480" w:lineRule="auto"/>
        <w:jc w:val="both"/>
        <w:sectPr>
          <w:headerReference w:type="default" r:id="rId60"/>
          <w:footerReference w:type="default" r:id="rId61"/>
          <w:pgSz w:w="12240" w:h="15840"/>
          <w:pgMar w:header="722" w:footer="791" w:top="1060" w:bottom="980" w:left="1280" w:right="1140"/>
        </w:sectPr>
      </w:pPr>
    </w:p>
    <w:p>
      <w:pPr>
        <w:pStyle w:val="BodyText"/>
        <w:spacing w:before="86"/>
      </w:pPr>
    </w:p>
    <w:p>
      <w:pPr>
        <w:pStyle w:val="BodyText"/>
        <w:spacing w:line="480" w:lineRule="auto"/>
        <w:ind w:left="1600" w:right="296" w:hanging="720"/>
        <w:jc w:val="both"/>
      </w:pPr>
      <w:r>
        <w:rPr/>
        <w:t>HO</w:t>
      </w:r>
      <w:r>
        <w:rPr>
          <w:vertAlign w:val="subscript"/>
        </w:rPr>
        <w:t>9</w:t>
      </w:r>
      <w:r>
        <w:rPr>
          <w:spacing w:val="80"/>
          <w:w w:val="150"/>
          <w:vertAlign w:val="baseline"/>
        </w:rPr>
        <w:t> </w:t>
      </w:r>
      <w:r>
        <w:rPr>
          <w:vertAlign w:val="baseline"/>
        </w:rPr>
        <w:t>There is no significant difference in the opinions of students, service staff and top management staff in respect of the impact of Guidance and Counselling services on students’ welfare services in these Universities.</w:t>
      </w:r>
    </w:p>
    <w:p>
      <w:pPr>
        <w:pStyle w:val="BodyText"/>
        <w:spacing w:line="480" w:lineRule="auto"/>
        <w:ind w:left="1600" w:right="300" w:hanging="720"/>
        <w:jc w:val="both"/>
      </w:pPr>
      <w:r>
        <w:rPr/>
        <w:t>HO</w:t>
      </w:r>
      <w:r>
        <w:rPr>
          <w:vertAlign w:val="subscript"/>
        </w:rPr>
        <w:t>10</w:t>
      </w:r>
      <w:r>
        <w:rPr>
          <w:spacing w:val="40"/>
          <w:vertAlign w:val="baseline"/>
        </w:rPr>
        <w:t> </w:t>
      </w:r>
      <w:r>
        <w:rPr>
          <w:vertAlign w:val="baseline"/>
        </w:rPr>
        <w:t>There is no significant difference in the opinions of students, service staff and top management staff in respect of the impact of sports and</w:t>
      </w:r>
      <w:r>
        <w:rPr>
          <w:spacing w:val="40"/>
          <w:vertAlign w:val="baseline"/>
        </w:rPr>
        <w:t> </w:t>
      </w:r>
      <w:r>
        <w:rPr>
          <w:vertAlign w:val="baseline"/>
        </w:rPr>
        <w:t>recreation on students’ welfare services in these Universities.</w:t>
      </w:r>
    </w:p>
    <w:p>
      <w:pPr>
        <w:pStyle w:val="BodyText"/>
        <w:spacing w:line="480" w:lineRule="auto" w:before="1"/>
        <w:ind w:left="1600" w:right="295" w:hanging="720"/>
        <w:jc w:val="both"/>
      </w:pPr>
      <w:r>
        <w:rPr/>
        <w:t>HO</w:t>
      </w:r>
      <w:r>
        <w:rPr>
          <w:vertAlign w:val="subscript"/>
        </w:rPr>
        <w:t>11</w:t>
      </w:r>
      <w:r>
        <w:rPr>
          <w:spacing w:val="80"/>
          <w:vertAlign w:val="baseline"/>
        </w:rPr>
        <w:t> </w:t>
      </w:r>
      <w:r>
        <w:rPr>
          <w:vertAlign w:val="baseline"/>
        </w:rPr>
        <w:t>There is no significant difference in opinions of students, service staff and top management staff in respect to the impact of security and communication services on students’ welfare services in these</w:t>
      </w:r>
      <w:r>
        <w:rPr>
          <w:spacing w:val="40"/>
          <w:vertAlign w:val="baseline"/>
        </w:rPr>
        <w:t> </w:t>
      </w:r>
      <w:r>
        <w:rPr>
          <w:spacing w:val="-2"/>
          <w:vertAlign w:val="baseline"/>
        </w:rPr>
        <w:t>Universities.</w:t>
      </w:r>
    </w:p>
    <w:p>
      <w:pPr>
        <w:pStyle w:val="BodyText"/>
        <w:spacing w:line="480" w:lineRule="auto"/>
        <w:ind w:left="1600" w:right="295" w:hanging="720"/>
        <w:jc w:val="both"/>
      </w:pPr>
      <w:r>
        <w:rPr/>
        <w:t>HO</w:t>
      </w:r>
      <w:r>
        <w:rPr>
          <w:vertAlign w:val="subscript"/>
        </w:rPr>
        <w:t>12</w:t>
      </w:r>
      <w:r>
        <w:rPr>
          <w:spacing w:val="40"/>
          <w:vertAlign w:val="baseline"/>
        </w:rPr>
        <w:t> </w:t>
      </w:r>
      <w:r>
        <w:rPr>
          <w:vertAlign w:val="baseline"/>
        </w:rPr>
        <w:t>There is no significant difference in the opinions of students, service staff and top management staff in respect of the impact of transportation services on students’ welfare services in these Universities.</w:t>
      </w:r>
    </w:p>
    <w:p>
      <w:pPr>
        <w:pStyle w:val="BodyText"/>
        <w:spacing w:line="480" w:lineRule="auto"/>
        <w:ind w:left="1600" w:right="301" w:hanging="720"/>
        <w:jc w:val="both"/>
      </w:pPr>
      <w:r>
        <w:rPr/>
        <w:t>HO</w:t>
      </w:r>
      <w:r>
        <w:rPr>
          <w:vertAlign w:val="subscript"/>
        </w:rPr>
        <w:t>13</w:t>
      </w:r>
      <w:r>
        <w:rPr>
          <w:spacing w:val="40"/>
          <w:vertAlign w:val="baseline"/>
        </w:rPr>
        <w:t> </w:t>
      </w:r>
      <w:r>
        <w:rPr>
          <w:vertAlign w:val="baseline"/>
        </w:rPr>
        <w:t>There is no significant difference in the opinions of students, service staff and top management staff in respect of the impact of Religious services</w:t>
      </w:r>
      <w:r>
        <w:rPr>
          <w:spacing w:val="40"/>
          <w:vertAlign w:val="baseline"/>
        </w:rPr>
        <w:t> </w:t>
      </w:r>
      <w:r>
        <w:rPr>
          <w:vertAlign w:val="baseline"/>
        </w:rPr>
        <w:t>on these Universities.</w:t>
      </w:r>
    </w:p>
    <w:p>
      <w:pPr>
        <w:pStyle w:val="BodyText"/>
        <w:spacing w:line="480" w:lineRule="auto"/>
        <w:ind w:left="1600" w:right="296" w:hanging="720"/>
        <w:jc w:val="both"/>
      </w:pPr>
      <w:r>
        <w:rPr/>
        <w:t>HO</w:t>
      </w:r>
      <w:r>
        <w:rPr>
          <w:vertAlign w:val="subscript"/>
        </w:rPr>
        <w:t>14</w:t>
      </w:r>
      <w:r>
        <w:rPr>
          <w:spacing w:val="40"/>
          <w:vertAlign w:val="baseline"/>
        </w:rPr>
        <w:t> </w:t>
      </w:r>
      <w:r>
        <w:rPr>
          <w:vertAlign w:val="baseline"/>
        </w:rPr>
        <w:t>There is no significant difference in the opinions of students, service staff and top management staff in respect of the Banking and telecommunication services on the students’ welfare services in these </w:t>
      </w:r>
      <w:r>
        <w:rPr>
          <w:spacing w:val="-2"/>
          <w:vertAlign w:val="baseline"/>
        </w:rPr>
        <w:t>Universities.</w:t>
      </w:r>
    </w:p>
    <w:p>
      <w:pPr>
        <w:pStyle w:val="BodyText"/>
        <w:spacing w:line="480" w:lineRule="auto"/>
        <w:ind w:left="1600" w:right="301" w:hanging="720"/>
        <w:jc w:val="both"/>
      </w:pPr>
      <w:r>
        <w:rPr/>
        <w:t>HO</w:t>
      </w:r>
      <w:r>
        <w:rPr>
          <w:vertAlign w:val="subscript"/>
        </w:rPr>
        <w:t>15</w:t>
      </w:r>
      <w:r>
        <w:rPr>
          <w:spacing w:val="40"/>
          <w:vertAlign w:val="baseline"/>
        </w:rPr>
        <w:t> </w:t>
      </w:r>
      <w:r>
        <w:rPr>
          <w:vertAlign w:val="baseline"/>
        </w:rPr>
        <w:t>There is no significant difference in the opinions of students, service staff and top management staff with regards to the impact of Library services</w:t>
      </w:r>
      <w:r>
        <w:rPr>
          <w:spacing w:val="40"/>
          <w:vertAlign w:val="baseline"/>
        </w:rPr>
        <w:t> </w:t>
      </w:r>
      <w:r>
        <w:rPr>
          <w:vertAlign w:val="baseline"/>
        </w:rPr>
        <w:t>on students’ welfare services in these Universities.</w:t>
      </w:r>
    </w:p>
    <w:p>
      <w:pPr>
        <w:spacing w:after="0" w:line="480" w:lineRule="auto"/>
        <w:jc w:val="both"/>
        <w:sectPr>
          <w:headerReference w:type="default" r:id="rId62"/>
          <w:footerReference w:type="default" r:id="rId63"/>
          <w:pgSz w:w="12240" w:h="15840"/>
          <w:pgMar w:header="722" w:footer="791" w:top="1060" w:bottom="980" w:left="1280" w:right="1140"/>
        </w:sectPr>
      </w:pPr>
    </w:p>
    <w:p>
      <w:pPr>
        <w:pStyle w:val="BodyText"/>
        <w:spacing w:before="86"/>
      </w:pPr>
    </w:p>
    <w:p>
      <w:pPr>
        <w:pStyle w:val="BodyText"/>
        <w:spacing w:line="480" w:lineRule="auto"/>
        <w:ind w:left="1600" w:right="298" w:hanging="720"/>
        <w:jc w:val="both"/>
      </w:pPr>
      <w:r>
        <w:rPr/>
        <w:t>HO</w:t>
      </w:r>
      <w:r>
        <w:rPr>
          <w:vertAlign w:val="subscript"/>
        </w:rPr>
        <w:t>16</w:t>
      </w:r>
      <w:r>
        <w:rPr>
          <w:spacing w:val="40"/>
          <w:vertAlign w:val="baseline"/>
        </w:rPr>
        <w:t> </w:t>
      </w:r>
      <w:r>
        <w:rPr>
          <w:vertAlign w:val="baseline"/>
        </w:rPr>
        <w:t>There is no significant difference in the opinions of students, service staff and top management staff in respect of the impact of classroom, laboratories, workshops, field trips facility on students’ welfare services in the these Universities.</w:t>
      </w:r>
    </w:p>
    <w:p>
      <w:pPr>
        <w:pStyle w:val="BodyText"/>
        <w:spacing w:line="480" w:lineRule="auto"/>
        <w:ind w:left="1600" w:right="298" w:hanging="720"/>
        <w:jc w:val="both"/>
      </w:pPr>
      <w:r>
        <w:rPr/>
        <w:t>HO</w:t>
      </w:r>
      <w:r>
        <w:rPr>
          <w:vertAlign w:val="subscript"/>
        </w:rPr>
        <w:t>17</w:t>
      </w:r>
      <w:r>
        <w:rPr>
          <w:spacing w:val="40"/>
          <w:vertAlign w:val="baseline"/>
        </w:rPr>
        <w:t> </w:t>
      </w:r>
      <w:r>
        <w:rPr>
          <w:vertAlign w:val="baseline"/>
        </w:rPr>
        <w:t>There is no significant difference in the opinions of students, service staff and top management staff with respect to the impact and influence of Information Technology services on students’ welfare in these</w:t>
      </w:r>
      <w:r>
        <w:rPr>
          <w:spacing w:val="80"/>
          <w:vertAlign w:val="baseline"/>
        </w:rPr>
        <w:t> </w:t>
      </w:r>
      <w:r>
        <w:rPr>
          <w:spacing w:val="-2"/>
          <w:vertAlign w:val="baseline"/>
        </w:rPr>
        <w:t>Universities.</w:t>
      </w:r>
    </w:p>
    <w:p>
      <w:pPr>
        <w:pStyle w:val="BodyText"/>
        <w:spacing w:line="480" w:lineRule="auto" w:before="1"/>
        <w:ind w:left="1600" w:right="300" w:hanging="720"/>
        <w:jc w:val="both"/>
      </w:pPr>
      <w:r>
        <w:rPr/>
        <w:t>HO</w:t>
      </w:r>
      <w:r>
        <w:rPr>
          <w:vertAlign w:val="subscript"/>
        </w:rPr>
        <w:t>18</w:t>
      </w:r>
      <w:r>
        <w:rPr>
          <w:spacing w:val="40"/>
          <w:vertAlign w:val="baseline"/>
        </w:rPr>
        <w:t> </w:t>
      </w:r>
      <w:r>
        <w:rPr>
          <w:vertAlign w:val="baseline"/>
        </w:rPr>
        <w:t>There is no significant difference in the opinions of students, service staff and top management staff in respect of the impact of Medical/Health services on students’ welfare services in these Universities.</w:t>
      </w:r>
    </w:p>
    <w:p>
      <w:pPr>
        <w:pStyle w:val="BodyText"/>
        <w:spacing w:line="480" w:lineRule="auto"/>
        <w:ind w:left="1600" w:right="301" w:hanging="720"/>
        <w:jc w:val="both"/>
      </w:pPr>
      <w:r>
        <w:rPr/>
        <w:t>HO</w:t>
      </w:r>
      <w:r>
        <w:rPr>
          <w:vertAlign w:val="subscript"/>
        </w:rPr>
        <w:t>19</w:t>
      </w:r>
      <w:r>
        <w:rPr>
          <w:spacing w:val="40"/>
          <w:vertAlign w:val="baseline"/>
        </w:rPr>
        <w:t> </w:t>
      </w:r>
      <w:r>
        <w:rPr>
          <w:vertAlign w:val="baseline"/>
        </w:rPr>
        <w:t>There is no significant difference in the opinions of students, service staff and top management staff in respect of the impact of Environmental services on students’ welfare services in these Universities.</w:t>
      </w:r>
    </w:p>
    <w:p>
      <w:pPr>
        <w:pStyle w:val="BodyText"/>
        <w:spacing w:line="480" w:lineRule="auto"/>
        <w:ind w:left="1600" w:right="297" w:hanging="720"/>
        <w:jc w:val="both"/>
      </w:pPr>
      <w:r>
        <w:rPr/>
        <w:t>HO</w:t>
      </w:r>
      <w:r>
        <w:rPr>
          <w:vertAlign w:val="subscript"/>
        </w:rPr>
        <w:t>20</w:t>
      </w:r>
      <w:r>
        <w:rPr>
          <w:spacing w:val="40"/>
          <w:vertAlign w:val="baseline"/>
        </w:rPr>
        <w:t> </w:t>
      </w:r>
      <w:r>
        <w:rPr>
          <w:vertAlign w:val="baseline"/>
        </w:rPr>
        <w:t>There is no significant difference in the opinions of students, service staff and top management staff in respect of the application of the perceived strategies for effective management of students’ welfare services in these </w:t>
      </w:r>
      <w:r>
        <w:rPr>
          <w:spacing w:val="-2"/>
          <w:vertAlign w:val="baseline"/>
        </w:rPr>
        <w:t>Universities.</w:t>
      </w:r>
    </w:p>
    <w:p>
      <w:pPr>
        <w:pStyle w:val="Heading2"/>
        <w:numPr>
          <w:ilvl w:val="1"/>
          <w:numId w:val="16"/>
        </w:numPr>
        <w:tabs>
          <w:tab w:pos="879" w:val="left" w:leader="none"/>
        </w:tabs>
        <w:spacing w:line="318" w:lineRule="exact" w:before="0" w:after="0"/>
        <w:ind w:left="879" w:right="0" w:hanging="719"/>
        <w:jc w:val="left"/>
        <w:rPr>
          <w:rFonts w:ascii="Arial MT"/>
          <w:b w:val="0"/>
        </w:rPr>
      </w:pPr>
      <w:bookmarkStart w:name="_TOC_250054" w:id="14"/>
      <w:r>
        <w:rPr/>
        <w:t>Basic</w:t>
      </w:r>
      <w:r>
        <w:rPr>
          <w:spacing w:val="-4"/>
        </w:rPr>
        <w:t> </w:t>
      </w:r>
      <w:bookmarkEnd w:id="14"/>
      <w:r>
        <w:rPr>
          <w:spacing w:val="-2"/>
        </w:rPr>
        <w:t>Assumptions</w:t>
      </w:r>
    </w:p>
    <w:p>
      <w:pPr>
        <w:pStyle w:val="BodyText"/>
        <w:spacing w:before="3"/>
        <w:rPr>
          <w:rFonts w:ascii="Arial"/>
          <w:b/>
          <w:sz w:val="28"/>
        </w:rPr>
      </w:pPr>
    </w:p>
    <w:p>
      <w:pPr>
        <w:pStyle w:val="BodyText"/>
        <w:ind w:left="880"/>
      </w:pPr>
      <w:r>
        <w:rPr/>
        <w:t>The</w:t>
      </w:r>
      <w:r>
        <w:rPr>
          <w:spacing w:val="-7"/>
        </w:rPr>
        <w:t> </w:t>
      </w:r>
      <w:r>
        <w:rPr/>
        <w:t>following</w:t>
      </w:r>
      <w:r>
        <w:rPr>
          <w:spacing w:val="-9"/>
        </w:rPr>
        <w:t> </w:t>
      </w:r>
      <w:r>
        <w:rPr/>
        <w:t>assumptions</w:t>
      </w:r>
      <w:r>
        <w:rPr>
          <w:spacing w:val="-7"/>
        </w:rPr>
        <w:t> </w:t>
      </w:r>
      <w:r>
        <w:rPr/>
        <w:t>were</w:t>
      </w:r>
      <w:r>
        <w:rPr>
          <w:spacing w:val="-6"/>
        </w:rPr>
        <w:t> </w:t>
      </w:r>
      <w:r>
        <w:rPr/>
        <w:t>made</w:t>
      </w:r>
      <w:r>
        <w:rPr>
          <w:spacing w:val="-6"/>
        </w:rPr>
        <w:t> </w:t>
      </w:r>
      <w:r>
        <w:rPr/>
        <w:t>for</w:t>
      </w:r>
      <w:r>
        <w:rPr>
          <w:spacing w:val="-5"/>
        </w:rPr>
        <w:t> </w:t>
      </w:r>
      <w:r>
        <w:rPr/>
        <w:t>the</w:t>
      </w:r>
      <w:r>
        <w:rPr>
          <w:spacing w:val="-10"/>
        </w:rPr>
        <w:t> </w:t>
      </w:r>
      <w:r>
        <w:rPr>
          <w:spacing w:val="-2"/>
        </w:rPr>
        <w:t>study:-</w:t>
      </w:r>
    </w:p>
    <w:p>
      <w:pPr>
        <w:pStyle w:val="BodyText"/>
      </w:pPr>
    </w:p>
    <w:p>
      <w:pPr>
        <w:pStyle w:val="ListParagraph"/>
        <w:numPr>
          <w:ilvl w:val="0"/>
          <w:numId w:val="17"/>
        </w:numPr>
        <w:tabs>
          <w:tab w:pos="1600" w:val="left" w:leader="none"/>
        </w:tabs>
        <w:spacing w:line="480" w:lineRule="auto" w:before="0" w:after="0"/>
        <w:ind w:left="1600" w:right="300" w:hanging="360"/>
        <w:jc w:val="left"/>
        <w:rPr>
          <w:sz w:val="24"/>
        </w:rPr>
      </w:pPr>
      <w:r>
        <w:rPr>
          <w:sz w:val="24"/>
        </w:rPr>
        <w:t>It</w:t>
      </w:r>
      <w:r>
        <w:rPr>
          <w:spacing w:val="35"/>
          <w:sz w:val="24"/>
        </w:rPr>
        <w:t> </w:t>
      </w:r>
      <w:r>
        <w:rPr>
          <w:sz w:val="24"/>
        </w:rPr>
        <w:t>is</w:t>
      </w:r>
      <w:r>
        <w:rPr>
          <w:spacing w:val="35"/>
          <w:sz w:val="24"/>
        </w:rPr>
        <w:t> </w:t>
      </w:r>
      <w:r>
        <w:rPr>
          <w:sz w:val="24"/>
        </w:rPr>
        <w:t>assumed</w:t>
      </w:r>
      <w:r>
        <w:rPr>
          <w:spacing w:val="36"/>
          <w:sz w:val="24"/>
        </w:rPr>
        <w:t> </w:t>
      </w:r>
      <w:r>
        <w:rPr>
          <w:sz w:val="24"/>
        </w:rPr>
        <w:t>that</w:t>
      </w:r>
      <w:r>
        <w:rPr>
          <w:spacing w:val="35"/>
          <w:sz w:val="24"/>
        </w:rPr>
        <w:t> </w:t>
      </w:r>
      <w:r>
        <w:rPr>
          <w:sz w:val="24"/>
        </w:rPr>
        <w:t>the</w:t>
      </w:r>
      <w:r>
        <w:rPr>
          <w:spacing w:val="36"/>
          <w:sz w:val="24"/>
        </w:rPr>
        <w:t> </w:t>
      </w:r>
      <w:r>
        <w:rPr>
          <w:sz w:val="24"/>
        </w:rPr>
        <w:t>types</w:t>
      </w:r>
      <w:r>
        <w:rPr>
          <w:spacing w:val="30"/>
          <w:sz w:val="24"/>
        </w:rPr>
        <w:t> </w:t>
      </w:r>
      <w:r>
        <w:rPr>
          <w:sz w:val="24"/>
        </w:rPr>
        <w:t>of</w:t>
      </w:r>
      <w:r>
        <w:rPr>
          <w:spacing w:val="35"/>
          <w:sz w:val="24"/>
        </w:rPr>
        <w:t> </w:t>
      </w:r>
      <w:r>
        <w:rPr>
          <w:sz w:val="24"/>
        </w:rPr>
        <w:t>welfare</w:t>
      </w:r>
      <w:r>
        <w:rPr>
          <w:spacing w:val="36"/>
          <w:sz w:val="24"/>
        </w:rPr>
        <w:t> </w:t>
      </w:r>
      <w:r>
        <w:rPr>
          <w:sz w:val="24"/>
        </w:rPr>
        <w:t>services</w:t>
      </w:r>
      <w:r>
        <w:rPr>
          <w:spacing w:val="35"/>
          <w:sz w:val="24"/>
        </w:rPr>
        <w:t> </w:t>
      </w:r>
      <w:r>
        <w:rPr>
          <w:sz w:val="24"/>
        </w:rPr>
        <w:t>provided</w:t>
      </w:r>
      <w:r>
        <w:rPr>
          <w:spacing w:val="36"/>
          <w:sz w:val="24"/>
        </w:rPr>
        <w:t> </w:t>
      </w:r>
      <w:r>
        <w:rPr>
          <w:sz w:val="24"/>
        </w:rPr>
        <w:t>to</w:t>
      </w:r>
      <w:r>
        <w:rPr>
          <w:spacing w:val="36"/>
          <w:sz w:val="24"/>
        </w:rPr>
        <w:t> </w:t>
      </w:r>
      <w:r>
        <w:rPr>
          <w:sz w:val="24"/>
        </w:rPr>
        <w:t>students</w:t>
      </w:r>
      <w:r>
        <w:rPr>
          <w:spacing w:val="30"/>
          <w:sz w:val="24"/>
        </w:rPr>
        <w:t> </w:t>
      </w:r>
      <w:r>
        <w:rPr>
          <w:sz w:val="24"/>
        </w:rPr>
        <w:t>in these Universities are inadequate.</w:t>
      </w:r>
    </w:p>
    <w:p>
      <w:pPr>
        <w:spacing w:after="0" w:line="480" w:lineRule="auto"/>
        <w:jc w:val="left"/>
        <w:rPr>
          <w:sz w:val="24"/>
        </w:rPr>
        <w:sectPr>
          <w:headerReference w:type="default" r:id="rId64"/>
          <w:footerReference w:type="default" r:id="rId65"/>
          <w:pgSz w:w="12240" w:h="15840"/>
          <w:pgMar w:header="722" w:footer="791" w:top="1060" w:bottom="980" w:left="1280" w:right="1140"/>
        </w:sectPr>
      </w:pPr>
    </w:p>
    <w:p>
      <w:pPr>
        <w:pStyle w:val="BodyText"/>
        <w:spacing w:before="86"/>
      </w:pPr>
    </w:p>
    <w:p>
      <w:pPr>
        <w:pStyle w:val="ListParagraph"/>
        <w:numPr>
          <w:ilvl w:val="0"/>
          <w:numId w:val="17"/>
        </w:numPr>
        <w:tabs>
          <w:tab w:pos="1600" w:val="left" w:leader="none"/>
        </w:tabs>
        <w:spacing w:line="480" w:lineRule="auto" w:before="0" w:after="0"/>
        <w:ind w:left="1600" w:right="297" w:hanging="360"/>
        <w:jc w:val="both"/>
        <w:rPr>
          <w:sz w:val="24"/>
        </w:rPr>
      </w:pPr>
      <w:r>
        <w:rPr>
          <w:sz w:val="24"/>
        </w:rPr>
        <w:t>It is assumed that lack of effective management of students’ welfare services such as social, academic, medical and environmental services in these Universities have great impact on students’ performance and </w:t>
      </w:r>
      <w:r>
        <w:rPr>
          <w:spacing w:val="-2"/>
          <w:sz w:val="24"/>
        </w:rPr>
        <w:t>behaviour.</w:t>
      </w:r>
    </w:p>
    <w:p>
      <w:pPr>
        <w:pStyle w:val="ListParagraph"/>
        <w:numPr>
          <w:ilvl w:val="0"/>
          <w:numId w:val="17"/>
        </w:numPr>
        <w:tabs>
          <w:tab w:pos="1600" w:val="left" w:leader="none"/>
        </w:tabs>
        <w:spacing w:line="480" w:lineRule="auto" w:before="0" w:after="0"/>
        <w:ind w:left="1600" w:right="298" w:hanging="360"/>
        <w:jc w:val="both"/>
        <w:rPr>
          <w:sz w:val="24"/>
        </w:rPr>
      </w:pPr>
      <w:r>
        <w:rPr>
          <w:sz w:val="24"/>
        </w:rPr>
        <w:t>It is assumed that the University being a complex system should apply some strategies for effective management of students’ welfare services.</w:t>
      </w:r>
    </w:p>
    <w:p>
      <w:pPr>
        <w:pStyle w:val="Heading2"/>
        <w:numPr>
          <w:ilvl w:val="1"/>
          <w:numId w:val="16"/>
        </w:numPr>
        <w:tabs>
          <w:tab w:pos="879" w:val="left" w:leader="none"/>
        </w:tabs>
        <w:spacing w:line="318" w:lineRule="exact" w:before="0" w:after="0"/>
        <w:ind w:left="879" w:right="0" w:hanging="719"/>
        <w:jc w:val="left"/>
        <w:rPr>
          <w:rFonts w:ascii="Arial MT"/>
          <w:b w:val="0"/>
        </w:rPr>
      </w:pPr>
      <w:bookmarkStart w:name="_TOC_250053" w:id="15"/>
      <w:r>
        <w:rPr/>
        <w:t>Significance</w:t>
      </w:r>
      <w:r>
        <w:rPr>
          <w:spacing w:val="-7"/>
        </w:rPr>
        <w:t> </w:t>
      </w:r>
      <w:r>
        <w:rPr/>
        <w:t>of</w:t>
      </w:r>
      <w:r>
        <w:rPr>
          <w:spacing w:val="-6"/>
        </w:rPr>
        <w:t> </w:t>
      </w:r>
      <w:r>
        <w:rPr/>
        <w:t>the</w:t>
      </w:r>
      <w:r>
        <w:rPr>
          <w:spacing w:val="-6"/>
        </w:rPr>
        <w:t> </w:t>
      </w:r>
      <w:bookmarkEnd w:id="15"/>
      <w:r>
        <w:rPr>
          <w:spacing w:val="-2"/>
        </w:rPr>
        <w:t>Study</w:t>
      </w:r>
    </w:p>
    <w:p>
      <w:pPr>
        <w:pStyle w:val="BodyText"/>
        <w:spacing w:before="3"/>
        <w:rPr>
          <w:rFonts w:ascii="Arial"/>
          <w:b/>
          <w:sz w:val="28"/>
        </w:rPr>
      </w:pPr>
    </w:p>
    <w:p>
      <w:pPr>
        <w:pStyle w:val="BodyText"/>
        <w:spacing w:line="480" w:lineRule="auto" w:before="1"/>
        <w:ind w:left="880" w:right="293" w:firstLine="720"/>
        <w:jc w:val="both"/>
      </w:pPr>
      <w:r>
        <w:rPr/>
        <w:t>The significance of the study is to provide information and guide the University administration in these Universities, particularly the Student Affairs Division with an insight into promoting and combating the factors responsible for the problems encountered in the management of the students’ welfare services</w:t>
      </w:r>
      <w:r>
        <w:rPr>
          <w:spacing w:val="80"/>
        </w:rPr>
        <w:t> </w:t>
      </w:r>
      <w:r>
        <w:rPr/>
        <w:t>in the Universities. It will also form the basis for further study and stimulate individuals and administrators alike to investigate and formulate constructive strategies with a view to reducing or eliminating the problems of management of students’ welfare services in the Universities in general.</w:t>
      </w:r>
    </w:p>
    <w:p>
      <w:pPr>
        <w:pStyle w:val="Heading2"/>
        <w:numPr>
          <w:ilvl w:val="1"/>
          <w:numId w:val="16"/>
        </w:numPr>
        <w:tabs>
          <w:tab w:pos="879" w:val="left" w:leader="none"/>
        </w:tabs>
        <w:spacing w:line="318" w:lineRule="exact" w:before="0" w:after="0"/>
        <w:ind w:left="879" w:right="0" w:hanging="719"/>
        <w:jc w:val="left"/>
        <w:rPr>
          <w:rFonts w:ascii="Arial MT"/>
          <w:b w:val="0"/>
        </w:rPr>
      </w:pPr>
      <w:bookmarkStart w:name="_TOC_250052" w:id="16"/>
      <w:r>
        <w:rPr/>
        <w:t>Scope</w:t>
      </w:r>
      <w:r>
        <w:rPr>
          <w:spacing w:val="-4"/>
        </w:rPr>
        <w:t> </w:t>
      </w:r>
      <w:r>
        <w:rPr/>
        <w:t>and</w:t>
      </w:r>
      <w:r>
        <w:rPr>
          <w:spacing w:val="-4"/>
        </w:rPr>
        <w:t> </w:t>
      </w:r>
      <w:r>
        <w:rPr/>
        <w:t>delimitation</w:t>
      </w:r>
      <w:r>
        <w:rPr>
          <w:spacing w:val="-4"/>
        </w:rPr>
        <w:t> </w:t>
      </w:r>
      <w:r>
        <w:rPr/>
        <w:t>of</w:t>
      </w:r>
      <w:r>
        <w:rPr>
          <w:spacing w:val="-8"/>
        </w:rPr>
        <w:t> </w:t>
      </w:r>
      <w:r>
        <w:rPr/>
        <w:t>the</w:t>
      </w:r>
      <w:bookmarkEnd w:id="16"/>
      <w:r>
        <w:rPr>
          <w:spacing w:val="-2"/>
        </w:rPr>
        <w:t> Study</w:t>
      </w:r>
    </w:p>
    <w:p>
      <w:pPr>
        <w:pStyle w:val="BodyText"/>
        <w:spacing w:before="3"/>
        <w:rPr>
          <w:rFonts w:ascii="Arial"/>
          <w:b/>
          <w:sz w:val="28"/>
        </w:rPr>
      </w:pPr>
    </w:p>
    <w:p>
      <w:pPr>
        <w:pStyle w:val="BodyText"/>
        <w:ind w:left="880"/>
      </w:pPr>
      <w:r>
        <w:rPr/>
        <w:t>The</w:t>
      </w:r>
      <w:r>
        <w:rPr>
          <w:spacing w:val="-7"/>
        </w:rPr>
        <w:t> </w:t>
      </w:r>
      <w:r>
        <w:rPr/>
        <w:t>research</w:t>
      </w:r>
      <w:r>
        <w:rPr>
          <w:spacing w:val="-10"/>
        </w:rPr>
        <w:t> </w:t>
      </w:r>
      <w:r>
        <w:rPr/>
        <w:t>concentrated</w:t>
      </w:r>
      <w:r>
        <w:rPr>
          <w:spacing w:val="-6"/>
        </w:rPr>
        <w:t> </w:t>
      </w:r>
      <w:r>
        <w:rPr/>
        <w:t>on</w:t>
      </w:r>
      <w:r>
        <w:rPr>
          <w:spacing w:val="-6"/>
        </w:rPr>
        <w:t> </w:t>
      </w:r>
      <w:r>
        <w:rPr/>
        <w:t>four</w:t>
      </w:r>
      <w:r>
        <w:rPr>
          <w:spacing w:val="-6"/>
        </w:rPr>
        <w:t> </w:t>
      </w:r>
      <w:r>
        <w:rPr/>
        <w:t>broad</w:t>
      </w:r>
      <w:r>
        <w:rPr>
          <w:spacing w:val="-9"/>
        </w:rPr>
        <w:t> </w:t>
      </w:r>
      <w:r>
        <w:rPr/>
        <w:t>groups.</w:t>
      </w:r>
      <w:r>
        <w:rPr>
          <w:spacing w:val="-8"/>
        </w:rPr>
        <w:t> </w:t>
      </w:r>
      <w:r>
        <w:rPr/>
        <w:t>These</w:t>
      </w:r>
      <w:r>
        <w:rPr>
          <w:spacing w:val="-9"/>
        </w:rPr>
        <w:t> </w:t>
      </w:r>
      <w:r>
        <w:rPr>
          <w:spacing w:val="-4"/>
        </w:rPr>
        <w:t>are:</w:t>
      </w:r>
    </w:p>
    <w:p>
      <w:pPr>
        <w:pStyle w:val="BodyText"/>
      </w:pPr>
    </w:p>
    <w:p>
      <w:pPr>
        <w:pStyle w:val="ListParagraph"/>
        <w:numPr>
          <w:ilvl w:val="0"/>
          <w:numId w:val="18"/>
        </w:numPr>
        <w:tabs>
          <w:tab w:pos="1960" w:val="left" w:leader="none"/>
        </w:tabs>
        <w:spacing w:line="480" w:lineRule="auto" w:before="0" w:after="0"/>
        <w:ind w:left="1960" w:right="296" w:hanging="360"/>
        <w:jc w:val="both"/>
        <w:rPr>
          <w:sz w:val="24"/>
        </w:rPr>
      </w:pPr>
      <w:r>
        <w:rPr>
          <w:sz w:val="24"/>
        </w:rPr>
        <w:t>Social services like feeding, accommodation, sports and recreation, guidance and counseling, security matters, transportation, religious activities etc.</w:t>
      </w:r>
    </w:p>
    <w:p>
      <w:pPr>
        <w:pStyle w:val="ListParagraph"/>
        <w:numPr>
          <w:ilvl w:val="0"/>
          <w:numId w:val="18"/>
        </w:numPr>
        <w:tabs>
          <w:tab w:pos="1960" w:val="left" w:leader="none"/>
        </w:tabs>
        <w:spacing w:line="480" w:lineRule="auto" w:before="0" w:after="0"/>
        <w:ind w:left="1960" w:right="298" w:hanging="360"/>
        <w:jc w:val="both"/>
        <w:rPr>
          <w:sz w:val="24"/>
        </w:rPr>
      </w:pPr>
      <w:r>
        <w:rPr>
          <w:sz w:val="24"/>
        </w:rPr>
        <w:t>Academic services comprising, classroom facilities and equipment, library and laboratory, information technology services etc.</w:t>
      </w:r>
    </w:p>
    <w:p>
      <w:pPr>
        <w:spacing w:after="0" w:line="480" w:lineRule="auto"/>
        <w:jc w:val="both"/>
        <w:rPr>
          <w:sz w:val="24"/>
        </w:rPr>
        <w:sectPr>
          <w:headerReference w:type="default" r:id="rId66"/>
          <w:footerReference w:type="default" r:id="rId67"/>
          <w:pgSz w:w="12240" w:h="15840"/>
          <w:pgMar w:header="722" w:footer="791" w:top="1060" w:bottom="980" w:left="1280" w:right="1140"/>
        </w:sectPr>
      </w:pPr>
    </w:p>
    <w:p>
      <w:pPr>
        <w:pStyle w:val="BodyText"/>
        <w:spacing w:before="86"/>
      </w:pPr>
    </w:p>
    <w:p>
      <w:pPr>
        <w:pStyle w:val="ListParagraph"/>
        <w:numPr>
          <w:ilvl w:val="0"/>
          <w:numId w:val="18"/>
        </w:numPr>
        <w:tabs>
          <w:tab w:pos="1960" w:val="left" w:leader="none"/>
        </w:tabs>
        <w:spacing w:line="480" w:lineRule="auto" w:before="0" w:after="0"/>
        <w:ind w:left="1960" w:right="301" w:hanging="360"/>
        <w:jc w:val="both"/>
        <w:rPr>
          <w:sz w:val="24"/>
        </w:rPr>
      </w:pPr>
      <w:r>
        <w:rPr>
          <w:sz w:val="24"/>
        </w:rPr>
        <w:t>Medical/Health services such as Health centers, health care delivery etc and</w:t>
      </w:r>
    </w:p>
    <w:p>
      <w:pPr>
        <w:pStyle w:val="ListParagraph"/>
        <w:numPr>
          <w:ilvl w:val="0"/>
          <w:numId w:val="18"/>
        </w:numPr>
        <w:tabs>
          <w:tab w:pos="1960" w:val="left" w:leader="none"/>
        </w:tabs>
        <w:spacing w:line="480" w:lineRule="auto" w:before="0" w:after="0"/>
        <w:ind w:left="1960" w:right="293" w:hanging="360"/>
        <w:jc w:val="both"/>
        <w:rPr>
          <w:sz w:val="24"/>
        </w:rPr>
      </w:pPr>
      <w:r>
        <w:rPr>
          <w:sz w:val="24"/>
        </w:rPr>
        <w:t>Environmental services made up of all service actions, behaviours done to making a conducive atmosphere for academic activities in all sixteen (16) conventional Federal and State Universities. The study is limited to</w:t>
      </w:r>
      <w:r>
        <w:rPr>
          <w:spacing w:val="-1"/>
          <w:sz w:val="24"/>
        </w:rPr>
        <w:t> </w:t>
      </w:r>
      <w:r>
        <w:rPr>
          <w:sz w:val="24"/>
        </w:rPr>
        <w:t>five</w:t>
      </w:r>
      <w:r>
        <w:rPr>
          <w:spacing w:val="-1"/>
          <w:sz w:val="24"/>
        </w:rPr>
        <w:t> </w:t>
      </w:r>
      <w:r>
        <w:rPr>
          <w:sz w:val="24"/>
        </w:rPr>
        <w:t>(5) selected</w:t>
      </w:r>
      <w:r>
        <w:rPr>
          <w:spacing w:val="-1"/>
          <w:sz w:val="24"/>
        </w:rPr>
        <w:t> </w:t>
      </w:r>
      <w:r>
        <w:rPr>
          <w:sz w:val="24"/>
        </w:rPr>
        <w:t>Universities</w:t>
      </w:r>
      <w:r>
        <w:rPr>
          <w:spacing w:val="-2"/>
          <w:sz w:val="24"/>
        </w:rPr>
        <w:t> </w:t>
      </w:r>
      <w:r>
        <w:rPr>
          <w:sz w:val="24"/>
        </w:rPr>
        <w:t>in</w:t>
      </w:r>
      <w:r>
        <w:rPr>
          <w:spacing w:val="-1"/>
          <w:sz w:val="24"/>
        </w:rPr>
        <w:t> </w:t>
      </w:r>
      <w:r>
        <w:rPr>
          <w:sz w:val="24"/>
        </w:rPr>
        <w:t>the three</w:t>
      </w:r>
      <w:r>
        <w:rPr>
          <w:spacing w:val="-1"/>
          <w:sz w:val="24"/>
        </w:rPr>
        <w:t> </w:t>
      </w:r>
      <w:r>
        <w:rPr>
          <w:sz w:val="24"/>
        </w:rPr>
        <w:t>geopolitical zones</w:t>
      </w:r>
      <w:r>
        <w:rPr>
          <w:spacing w:val="-7"/>
          <w:sz w:val="24"/>
        </w:rPr>
        <w:t> </w:t>
      </w:r>
      <w:r>
        <w:rPr>
          <w:sz w:val="24"/>
        </w:rPr>
        <w:t>in the Northern part of Nigeria because of time and geographical factors and limited financial resources of the researcher. The sampling is unbiased</w:t>
      </w:r>
      <w:r>
        <w:rPr>
          <w:spacing w:val="-3"/>
          <w:sz w:val="24"/>
        </w:rPr>
        <w:t> </w:t>
      </w:r>
      <w:r>
        <w:rPr>
          <w:sz w:val="24"/>
        </w:rPr>
        <w:t>due</w:t>
      </w:r>
      <w:r>
        <w:rPr>
          <w:spacing w:val="-3"/>
          <w:sz w:val="24"/>
        </w:rPr>
        <w:t> </w:t>
      </w:r>
      <w:r>
        <w:rPr>
          <w:sz w:val="24"/>
        </w:rPr>
        <w:t>to</w:t>
      </w:r>
      <w:r>
        <w:rPr>
          <w:spacing w:val="-3"/>
          <w:sz w:val="24"/>
        </w:rPr>
        <w:t> </w:t>
      </w:r>
      <w:r>
        <w:rPr>
          <w:sz w:val="24"/>
        </w:rPr>
        <w:t>the</w:t>
      </w:r>
      <w:r>
        <w:rPr>
          <w:spacing w:val="-3"/>
          <w:sz w:val="24"/>
        </w:rPr>
        <w:t> </w:t>
      </w:r>
      <w:r>
        <w:rPr>
          <w:sz w:val="24"/>
        </w:rPr>
        <w:t>understanding</w:t>
      </w:r>
      <w:r>
        <w:rPr>
          <w:spacing w:val="-3"/>
          <w:sz w:val="24"/>
        </w:rPr>
        <w:t> </w:t>
      </w:r>
      <w:r>
        <w:rPr>
          <w:sz w:val="24"/>
        </w:rPr>
        <w:t>that</w:t>
      </w:r>
      <w:r>
        <w:rPr>
          <w:spacing w:val="-4"/>
          <w:sz w:val="24"/>
        </w:rPr>
        <w:t> </w:t>
      </w:r>
      <w:r>
        <w:rPr>
          <w:sz w:val="24"/>
        </w:rPr>
        <w:t>all</w:t>
      </w:r>
      <w:r>
        <w:rPr>
          <w:spacing w:val="-1"/>
          <w:sz w:val="24"/>
        </w:rPr>
        <w:t> </w:t>
      </w:r>
      <w:r>
        <w:rPr>
          <w:sz w:val="24"/>
        </w:rPr>
        <w:t>the</w:t>
      </w:r>
      <w:r>
        <w:rPr>
          <w:spacing w:val="-7"/>
          <w:sz w:val="24"/>
        </w:rPr>
        <w:t> </w:t>
      </w:r>
      <w:r>
        <w:rPr>
          <w:sz w:val="24"/>
        </w:rPr>
        <w:t>conventional</w:t>
      </w:r>
      <w:r>
        <w:rPr>
          <w:spacing w:val="-1"/>
          <w:sz w:val="24"/>
        </w:rPr>
        <w:t> </w:t>
      </w:r>
      <w:r>
        <w:rPr>
          <w:sz w:val="24"/>
        </w:rPr>
        <w:t>universities in the country share the same structure and characteristics since they are</w:t>
      </w:r>
      <w:r>
        <w:rPr>
          <w:spacing w:val="-2"/>
          <w:sz w:val="24"/>
        </w:rPr>
        <w:t> </w:t>
      </w:r>
      <w:r>
        <w:rPr>
          <w:sz w:val="24"/>
        </w:rPr>
        <w:t>controlled</w:t>
      </w:r>
      <w:r>
        <w:rPr>
          <w:spacing w:val="-2"/>
          <w:sz w:val="24"/>
        </w:rPr>
        <w:t> </w:t>
      </w:r>
      <w:r>
        <w:rPr>
          <w:sz w:val="24"/>
        </w:rPr>
        <w:t>and</w:t>
      </w:r>
      <w:r>
        <w:rPr>
          <w:spacing w:val="-2"/>
          <w:sz w:val="24"/>
        </w:rPr>
        <w:t> </w:t>
      </w:r>
      <w:r>
        <w:rPr>
          <w:sz w:val="24"/>
        </w:rPr>
        <w:t>financed</w:t>
      </w:r>
      <w:r>
        <w:rPr>
          <w:spacing w:val="-2"/>
          <w:sz w:val="24"/>
        </w:rPr>
        <w:t> </w:t>
      </w:r>
      <w:r>
        <w:rPr>
          <w:sz w:val="24"/>
        </w:rPr>
        <w:t>by</w:t>
      </w:r>
      <w:r>
        <w:rPr>
          <w:spacing w:val="-3"/>
          <w:sz w:val="24"/>
        </w:rPr>
        <w:t> </w:t>
      </w:r>
      <w:r>
        <w:rPr>
          <w:sz w:val="24"/>
        </w:rPr>
        <w:t>the Federal Ministry</w:t>
      </w:r>
      <w:r>
        <w:rPr>
          <w:spacing w:val="-3"/>
          <w:sz w:val="24"/>
        </w:rPr>
        <w:t> </w:t>
      </w:r>
      <w:r>
        <w:rPr>
          <w:sz w:val="24"/>
        </w:rPr>
        <w:t>of</w:t>
      </w:r>
      <w:r>
        <w:rPr>
          <w:spacing w:val="-3"/>
          <w:sz w:val="24"/>
        </w:rPr>
        <w:t> </w:t>
      </w:r>
      <w:r>
        <w:rPr>
          <w:sz w:val="24"/>
        </w:rPr>
        <w:t>Education</w:t>
      </w:r>
      <w:r>
        <w:rPr>
          <w:spacing w:val="-2"/>
          <w:sz w:val="24"/>
        </w:rPr>
        <w:t> </w:t>
      </w:r>
      <w:r>
        <w:rPr>
          <w:sz w:val="24"/>
        </w:rPr>
        <w:t>routed through the National Universities Commission (NUC) or the State Board of Higher Education and are under the same umbrella. The sampled Universities are Ahmadu Bello University, University of Maiduguri, Bayero University, Kano, University of Jos and Usmanu</w:t>
      </w:r>
      <w:r>
        <w:rPr>
          <w:spacing w:val="40"/>
          <w:sz w:val="24"/>
        </w:rPr>
        <w:t> </w:t>
      </w:r>
      <w:r>
        <w:rPr>
          <w:sz w:val="24"/>
        </w:rPr>
        <w:t>Dan Fodiyo University, Sokoto.</w:t>
      </w:r>
    </w:p>
    <w:p>
      <w:pPr>
        <w:spacing w:after="0" w:line="480" w:lineRule="auto"/>
        <w:jc w:val="both"/>
        <w:rPr>
          <w:sz w:val="24"/>
        </w:rPr>
        <w:sectPr>
          <w:headerReference w:type="default" r:id="rId68"/>
          <w:footerReference w:type="default" r:id="rId69"/>
          <w:pgSz w:w="12240" w:h="15840"/>
          <w:pgMar w:header="722" w:footer="791" w:top="1060" w:bottom="980" w:left="1280" w:right="1140"/>
        </w:sectPr>
      </w:pPr>
    </w:p>
    <w:p>
      <w:pPr>
        <w:pStyle w:val="Heading1"/>
        <w:spacing w:before="354"/>
        <w:ind w:right="211"/>
      </w:pPr>
      <w:bookmarkStart w:name="_TOC_250051" w:id="17"/>
      <w:r>
        <w:rPr/>
        <w:t>CHAPTER</w:t>
      </w:r>
      <w:r>
        <w:rPr>
          <w:spacing w:val="-9"/>
        </w:rPr>
        <w:t> </w:t>
      </w:r>
      <w:bookmarkEnd w:id="17"/>
      <w:r>
        <w:rPr>
          <w:spacing w:val="-5"/>
        </w:rPr>
        <w:t>TWO</w:t>
      </w:r>
    </w:p>
    <w:p>
      <w:pPr>
        <w:pStyle w:val="BodyText"/>
        <w:spacing w:before="3"/>
        <w:rPr>
          <w:rFonts w:ascii="Arial"/>
          <w:b/>
          <w:sz w:val="32"/>
        </w:rPr>
      </w:pPr>
    </w:p>
    <w:p>
      <w:pPr>
        <w:pStyle w:val="Heading2"/>
        <w:ind w:left="78" w:right="224"/>
        <w:jc w:val="center"/>
      </w:pPr>
      <w:bookmarkStart w:name="_TOC_250050" w:id="18"/>
      <w:r>
        <w:rPr/>
        <w:t>Review</w:t>
      </w:r>
      <w:r>
        <w:rPr>
          <w:spacing w:val="-3"/>
        </w:rPr>
        <w:t> </w:t>
      </w:r>
      <w:r>
        <w:rPr/>
        <w:t>of</w:t>
      </w:r>
      <w:r>
        <w:rPr>
          <w:spacing w:val="-7"/>
        </w:rPr>
        <w:t> </w:t>
      </w:r>
      <w:r>
        <w:rPr/>
        <w:t>related</w:t>
      </w:r>
      <w:r>
        <w:rPr>
          <w:spacing w:val="-3"/>
        </w:rPr>
        <w:t> </w:t>
      </w:r>
      <w:bookmarkEnd w:id="18"/>
      <w:r>
        <w:rPr>
          <w:spacing w:val="-2"/>
        </w:rPr>
        <w:t>Literature</w:t>
      </w:r>
    </w:p>
    <w:p>
      <w:pPr>
        <w:pStyle w:val="Heading2"/>
        <w:numPr>
          <w:ilvl w:val="1"/>
          <w:numId w:val="19"/>
        </w:numPr>
        <w:tabs>
          <w:tab w:pos="879" w:val="left" w:leader="none"/>
        </w:tabs>
        <w:spacing w:line="240" w:lineRule="auto" w:before="321" w:after="0"/>
        <w:ind w:left="879" w:right="0" w:hanging="719"/>
        <w:jc w:val="left"/>
      </w:pPr>
      <w:bookmarkStart w:name="_TOC_250049" w:id="19"/>
      <w:bookmarkEnd w:id="19"/>
      <w:r>
        <w:rPr>
          <w:spacing w:val="-2"/>
        </w:rPr>
        <w:t>Introduction</w:t>
      </w:r>
    </w:p>
    <w:p>
      <w:pPr>
        <w:pStyle w:val="BodyText"/>
        <w:spacing w:before="8"/>
        <w:rPr>
          <w:rFonts w:ascii="Arial"/>
          <w:b/>
          <w:sz w:val="28"/>
        </w:rPr>
      </w:pPr>
    </w:p>
    <w:p>
      <w:pPr>
        <w:pStyle w:val="BodyText"/>
        <w:spacing w:line="480" w:lineRule="auto"/>
        <w:ind w:left="880" w:right="294" w:firstLine="720"/>
        <w:jc w:val="both"/>
      </w:pPr>
      <w:r>
        <w:rPr/>
        <w:t>This chapter examined relevant literature on the problem of the provision and management of students’ welfare services in the Universities in the three geopolitical zones in the Northern part of Nigeria. Although some work has been done in the areas of students’ crisis, violence and general problems experienced by students in the course of their studies in the university, this study on the assessment of the provision and management of students’ welfare facilities to enhance optimum stability and higher performance and productivity is a new </w:t>
      </w:r>
      <w:r>
        <w:rPr>
          <w:spacing w:val="-2"/>
        </w:rPr>
        <w:t>ground.</w:t>
      </w:r>
    </w:p>
    <w:p>
      <w:pPr>
        <w:pStyle w:val="BodyText"/>
        <w:spacing w:line="480" w:lineRule="auto"/>
        <w:ind w:left="880" w:right="296" w:firstLine="720"/>
        <w:jc w:val="both"/>
      </w:pPr>
      <w:r>
        <w:rPr/>
        <w:t>As the background to the study, relevant Literature from all generations of universities</w:t>
      </w:r>
      <w:r>
        <w:rPr>
          <w:spacing w:val="-3"/>
        </w:rPr>
        <w:t> </w:t>
      </w:r>
      <w:r>
        <w:rPr/>
        <w:t>and</w:t>
      </w:r>
      <w:r>
        <w:rPr>
          <w:spacing w:val="-2"/>
        </w:rPr>
        <w:t> </w:t>
      </w:r>
      <w:r>
        <w:rPr/>
        <w:t>other</w:t>
      </w:r>
      <w:r>
        <w:rPr>
          <w:spacing w:val="-6"/>
        </w:rPr>
        <w:t> </w:t>
      </w:r>
      <w:r>
        <w:rPr/>
        <w:t>institutions of middle and higher</w:t>
      </w:r>
      <w:r>
        <w:rPr>
          <w:spacing w:val="-1"/>
        </w:rPr>
        <w:t> </w:t>
      </w:r>
      <w:r>
        <w:rPr/>
        <w:t>learning</w:t>
      </w:r>
      <w:r>
        <w:rPr>
          <w:spacing w:val="-6"/>
        </w:rPr>
        <w:t> </w:t>
      </w:r>
      <w:r>
        <w:rPr/>
        <w:t>in both</w:t>
      </w:r>
      <w:r>
        <w:rPr>
          <w:spacing w:val="-2"/>
        </w:rPr>
        <w:t> </w:t>
      </w:r>
      <w:r>
        <w:rPr/>
        <w:t>developed and developing nations has been utilized in conceptualizing the problems faced</w:t>
      </w:r>
      <w:r>
        <w:rPr>
          <w:spacing w:val="40"/>
        </w:rPr>
        <w:t> </w:t>
      </w:r>
      <w:r>
        <w:rPr/>
        <w:t>in the procurement and management of the students’ welfare services in these Universities. The review specifically centered on the following issues raised in Chapter one:</w:t>
      </w:r>
    </w:p>
    <w:p>
      <w:pPr>
        <w:pStyle w:val="ListParagraph"/>
        <w:numPr>
          <w:ilvl w:val="0"/>
          <w:numId w:val="20"/>
        </w:numPr>
        <w:tabs>
          <w:tab w:pos="1599" w:val="left" w:leader="none"/>
        </w:tabs>
        <w:spacing w:line="271" w:lineRule="exact" w:before="0" w:after="0"/>
        <w:ind w:left="1599" w:right="0" w:hanging="719"/>
        <w:jc w:val="left"/>
        <w:rPr>
          <w:sz w:val="24"/>
        </w:rPr>
      </w:pPr>
      <w:r>
        <w:rPr>
          <w:sz w:val="24"/>
        </w:rPr>
        <w:t>The</w:t>
      </w:r>
      <w:r>
        <w:rPr>
          <w:spacing w:val="-5"/>
          <w:sz w:val="24"/>
        </w:rPr>
        <w:t> </w:t>
      </w:r>
      <w:r>
        <w:rPr>
          <w:sz w:val="24"/>
        </w:rPr>
        <w:t>concept</w:t>
      </w:r>
      <w:r>
        <w:rPr>
          <w:spacing w:val="-6"/>
          <w:sz w:val="24"/>
        </w:rPr>
        <w:t> </w:t>
      </w:r>
      <w:r>
        <w:rPr>
          <w:sz w:val="24"/>
        </w:rPr>
        <w:t>and</w:t>
      </w:r>
      <w:r>
        <w:rPr>
          <w:spacing w:val="-4"/>
          <w:sz w:val="24"/>
        </w:rPr>
        <w:t> </w:t>
      </w:r>
      <w:r>
        <w:rPr>
          <w:sz w:val="24"/>
        </w:rPr>
        <w:t>theories</w:t>
      </w:r>
      <w:r>
        <w:rPr>
          <w:spacing w:val="-6"/>
          <w:sz w:val="24"/>
        </w:rPr>
        <w:t> </w:t>
      </w:r>
      <w:r>
        <w:rPr>
          <w:sz w:val="24"/>
        </w:rPr>
        <w:t>of</w:t>
      </w:r>
      <w:r>
        <w:rPr>
          <w:spacing w:val="-6"/>
          <w:sz w:val="24"/>
        </w:rPr>
        <w:t> </w:t>
      </w:r>
      <w:r>
        <w:rPr>
          <w:spacing w:val="-2"/>
          <w:sz w:val="24"/>
        </w:rPr>
        <w:t>Management.</w:t>
      </w:r>
    </w:p>
    <w:p>
      <w:pPr>
        <w:pStyle w:val="BodyText"/>
      </w:pPr>
    </w:p>
    <w:p>
      <w:pPr>
        <w:pStyle w:val="ListParagraph"/>
        <w:numPr>
          <w:ilvl w:val="0"/>
          <w:numId w:val="20"/>
        </w:numPr>
        <w:tabs>
          <w:tab w:pos="1600" w:val="left" w:leader="none"/>
        </w:tabs>
        <w:spacing w:line="480" w:lineRule="auto" w:before="0" w:after="0"/>
        <w:ind w:left="1600" w:right="300" w:hanging="720"/>
        <w:jc w:val="left"/>
        <w:rPr>
          <w:sz w:val="24"/>
        </w:rPr>
      </w:pPr>
      <w:r>
        <w:rPr>
          <w:sz w:val="24"/>
        </w:rPr>
        <w:t>The</w:t>
      </w:r>
      <w:r>
        <w:rPr>
          <w:spacing w:val="40"/>
          <w:sz w:val="24"/>
        </w:rPr>
        <w:t> </w:t>
      </w:r>
      <w:r>
        <w:rPr>
          <w:sz w:val="24"/>
        </w:rPr>
        <w:t>concept</w:t>
      </w:r>
      <w:r>
        <w:rPr>
          <w:spacing w:val="40"/>
          <w:sz w:val="24"/>
        </w:rPr>
        <w:t> </w:t>
      </w:r>
      <w:r>
        <w:rPr>
          <w:sz w:val="24"/>
        </w:rPr>
        <w:t>and</w:t>
      </w:r>
      <w:r>
        <w:rPr>
          <w:spacing w:val="40"/>
          <w:sz w:val="24"/>
        </w:rPr>
        <w:t> </w:t>
      </w:r>
      <w:r>
        <w:rPr>
          <w:sz w:val="24"/>
        </w:rPr>
        <w:t>types</w:t>
      </w:r>
      <w:r>
        <w:rPr>
          <w:spacing w:val="40"/>
          <w:sz w:val="24"/>
        </w:rPr>
        <w:t> </w:t>
      </w:r>
      <w:r>
        <w:rPr>
          <w:sz w:val="24"/>
        </w:rPr>
        <w:t>of</w:t>
      </w:r>
      <w:r>
        <w:rPr>
          <w:spacing w:val="40"/>
          <w:sz w:val="24"/>
        </w:rPr>
        <w:t> </w:t>
      </w:r>
      <w:r>
        <w:rPr>
          <w:sz w:val="24"/>
        </w:rPr>
        <w:t>students’</w:t>
      </w:r>
      <w:r>
        <w:rPr>
          <w:spacing w:val="40"/>
          <w:sz w:val="24"/>
        </w:rPr>
        <w:t> </w:t>
      </w:r>
      <w:r>
        <w:rPr>
          <w:sz w:val="24"/>
        </w:rPr>
        <w:t>welfare</w:t>
      </w:r>
      <w:r>
        <w:rPr>
          <w:spacing w:val="40"/>
          <w:sz w:val="24"/>
        </w:rPr>
        <w:t> </w:t>
      </w:r>
      <w:r>
        <w:rPr>
          <w:sz w:val="24"/>
        </w:rPr>
        <w:t>services</w:t>
      </w:r>
      <w:r>
        <w:rPr>
          <w:spacing w:val="40"/>
          <w:sz w:val="24"/>
        </w:rPr>
        <w:t> </w:t>
      </w:r>
      <w:r>
        <w:rPr>
          <w:sz w:val="24"/>
        </w:rPr>
        <w:t>provided</w:t>
      </w:r>
      <w:r>
        <w:rPr>
          <w:spacing w:val="40"/>
          <w:sz w:val="24"/>
        </w:rPr>
        <w:t> </w:t>
      </w:r>
      <w:r>
        <w:rPr>
          <w:sz w:val="24"/>
        </w:rPr>
        <w:t>by</w:t>
      </w:r>
      <w:r>
        <w:rPr>
          <w:spacing w:val="40"/>
          <w:sz w:val="24"/>
        </w:rPr>
        <w:t> </w:t>
      </w:r>
      <w:r>
        <w:rPr>
          <w:sz w:val="24"/>
        </w:rPr>
        <w:t>the</w:t>
      </w:r>
      <w:r>
        <w:rPr>
          <w:spacing w:val="80"/>
          <w:sz w:val="24"/>
        </w:rPr>
        <w:t> </w:t>
      </w:r>
      <w:r>
        <w:rPr>
          <w:sz w:val="24"/>
        </w:rPr>
        <w:t>Universities in and outside the geopolitical zones.</w:t>
      </w:r>
    </w:p>
    <w:p>
      <w:pPr>
        <w:pStyle w:val="ListParagraph"/>
        <w:numPr>
          <w:ilvl w:val="0"/>
          <w:numId w:val="20"/>
        </w:numPr>
        <w:tabs>
          <w:tab w:pos="1600" w:val="left" w:leader="none"/>
          <w:tab w:pos="3361" w:val="left" w:leader="none"/>
          <w:tab w:pos="3975" w:val="left" w:leader="none"/>
          <w:tab w:pos="5693" w:val="left" w:leader="none"/>
          <w:tab w:pos="6781" w:val="left" w:leader="none"/>
          <w:tab w:pos="7396" w:val="left" w:leader="none"/>
          <w:tab w:pos="8077" w:val="left" w:leader="none"/>
          <w:tab w:pos="9252" w:val="left" w:leader="none"/>
        </w:tabs>
        <w:spacing w:line="480" w:lineRule="auto" w:before="1" w:after="0"/>
        <w:ind w:left="1600" w:right="297" w:hanging="720"/>
        <w:jc w:val="left"/>
        <w:rPr>
          <w:sz w:val="24"/>
        </w:rPr>
      </w:pPr>
      <w:r>
        <w:rPr>
          <w:sz w:val="24"/>
        </w:rPr>
        <w:t>The</w:t>
      </w:r>
      <w:r>
        <w:rPr>
          <w:spacing w:val="80"/>
          <w:sz w:val="24"/>
        </w:rPr>
        <w:t> </w:t>
      </w:r>
      <w:r>
        <w:rPr>
          <w:sz w:val="24"/>
        </w:rPr>
        <w:t>impact</w:t>
      </w:r>
      <w:r>
        <w:rPr>
          <w:spacing w:val="80"/>
          <w:w w:val="150"/>
          <w:sz w:val="24"/>
        </w:rPr>
        <w:t> </w:t>
      </w:r>
      <w:r>
        <w:rPr>
          <w:sz w:val="24"/>
        </w:rPr>
        <w:t>of</w:t>
      </w:r>
      <w:r>
        <w:rPr>
          <w:spacing w:val="80"/>
          <w:w w:val="150"/>
          <w:sz w:val="24"/>
        </w:rPr>
        <w:t> </w:t>
      </w:r>
      <w:r>
        <w:rPr>
          <w:sz w:val="24"/>
        </w:rPr>
        <w:t>welfare</w:t>
      </w:r>
      <w:r>
        <w:rPr>
          <w:spacing w:val="80"/>
          <w:w w:val="150"/>
          <w:sz w:val="24"/>
        </w:rPr>
        <w:t> </w:t>
      </w:r>
      <w:r>
        <w:rPr>
          <w:sz w:val="24"/>
        </w:rPr>
        <w:t>services</w:t>
      </w:r>
      <w:r>
        <w:rPr>
          <w:spacing w:val="80"/>
          <w:w w:val="150"/>
          <w:sz w:val="24"/>
        </w:rPr>
        <w:t> </w:t>
      </w:r>
      <w:r>
        <w:rPr>
          <w:sz w:val="24"/>
        </w:rPr>
        <w:t>categorized</w:t>
      </w:r>
      <w:r>
        <w:rPr>
          <w:spacing w:val="80"/>
          <w:w w:val="150"/>
          <w:sz w:val="24"/>
        </w:rPr>
        <w:t> </w:t>
      </w:r>
      <w:r>
        <w:rPr>
          <w:sz w:val="24"/>
        </w:rPr>
        <w:t>into</w:t>
      </w:r>
      <w:r>
        <w:rPr>
          <w:spacing w:val="80"/>
          <w:w w:val="150"/>
          <w:sz w:val="24"/>
        </w:rPr>
        <w:t> </w:t>
      </w:r>
      <w:r>
        <w:rPr>
          <w:sz w:val="24"/>
        </w:rPr>
        <w:t>social,</w:t>
      </w:r>
      <w:r>
        <w:rPr>
          <w:spacing w:val="80"/>
          <w:w w:val="150"/>
          <w:sz w:val="24"/>
        </w:rPr>
        <w:t> </w:t>
      </w:r>
      <w:r>
        <w:rPr>
          <w:sz w:val="24"/>
        </w:rPr>
        <w:t>academic, </w:t>
      </w:r>
      <w:r>
        <w:rPr>
          <w:spacing w:val="-2"/>
          <w:sz w:val="24"/>
        </w:rPr>
        <w:t>medical/health</w:t>
      </w:r>
      <w:r>
        <w:rPr>
          <w:sz w:val="24"/>
        </w:rPr>
        <w:tab/>
      </w:r>
      <w:r>
        <w:rPr>
          <w:spacing w:val="-4"/>
          <w:sz w:val="24"/>
        </w:rPr>
        <w:t>and</w:t>
      </w:r>
      <w:r>
        <w:rPr>
          <w:sz w:val="24"/>
        </w:rPr>
        <w:tab/>
      </w:r>
      <w:r>
        <w:rPr>
          <w:spacing w:val="-2"/>
          <w:sz w:val="24"/>
        </w:rPr>
        <w:t>environmental</w:t>
      </w:r>
      <w:r>
        <w:rPr>
          <w:sz w:val="24"/>
        </w:rPr>
        <w:tab/>
      </w:r>
      <w:r>
        <w:rPr>
          <w:spacing w:val="-2"/>
          <w:sz w:val="24"/>
        </w:rPr>
        <w:t>services</w:t>
      </w:r>
      <w:r>
        <w:rPr>
          <w:sz w:val="24"/>
        </w:rPr>
        <w:tab/>
      </w:r>
      <w:r>
        <w:rPr>
          <w:spacing w:val="-4"/>
          <w:sz w:val="24"/>
        </w:rPr>
        <w:t>and</w:t>
      </w:r>
      <w:r>
        <w:rPr>
          <w:sz w:val="24"/>
        </w:rPr>
        <w:tab/>
      </w:r>
      <w:r>
        <w:rPr>
          <w:spacing w:val="-2"/>
          <w:sz w:val="24"/>
        </w:rPr>
        <w:t>their</w:t>
      </w:r>
      <w:r>
        <w:rPr>
          <w:sz w:val="24"/>
        </w:rPr>
        <w:tab/>
      </w:r>
      <w:r>
        <w:rPr>
          <w:spacing w:val="-2"/>
          <w:sz w:val="24"/>
        </w:rPr>
        <w:t>influence</w:t>
      </w:r>
      <w:r>
        <w:rPr>
          <w:sz w:val="24"/>
        </w:rPr>
        <w:tab/>
      </w:r>
      <w:r>
        <w:rPr>
          <w:spacing w:val="-6"/>
          <w:sz w:val="24"/>
        </w:rPr>
        <w:t>on</w:t>
      </w:r>
    </w:p>
    <w:p>
      <w:pPr>
        <w:spacing w:after="0" w:line="480" w:lineRule="auto"/>
        <w:jc w:val="left"/>
        <w:rPr>
          <w:sz w:val="24"/>
        </w:rPr>
        <w:sectPr>
          <w:headerReference w:type="default" r:id="rId70"/>
          <w:footerReference w:type="default" r:id="rId71"/>
          <w:pgSz w:w="12240" w:h="15840"/>
          <w:pgMar w:header="722" w:footer="791" w:top="1060" w:bottom="980" w:left="1280" w:right="1140"/>
        </w:sectPr>
      </w:pPr>
    </w:p>
    <w:p>
      <w:pPr>
        <w:pStyle w:val="BodyText"/>
        <w:spacing w:before="86"/>
      </w:pPr>
    </w:p>
    <w:p>
      <w:pPr>
        <w:pStyle w:val="BodyText"/>
        <w:spacing w:line="480" w:lineRule="auto"/>
        <w:ind w:left="1600" w:right="300"/>
      </w:pPr>
      <w:r>
        <w:rPr/>
        <w:t>students’</w:t>
      </w:r>
      <w:r>
        <w:rPr>
          <w:spacing w:val="36"/>
        </w:rPr>
        <w:t> </w:t>
      </w:r>
      <w:r>
        <w:rPr/>
        <w:t>behaviour</w:t>
      </w:r>
      <w:r>
        <w:rPr>
          <w:spacing w:val="30"/>
        </w:rPr>
        <w:t> </w:t>
      </w:r>
      <w:r>
        <w:rPr/>
        <w:t>in</w:t>
      </w:r>
      <w:r>
        <w:rPr>
          <w:spacing w:val="38"/>
        </w:rPr>
        <w:t> </w:t>
      </w:r>
      <w:r>
        <w:rPr/>
        <w:t>the</w:t>
      </w:r>
      <w:r>
        <w:rPr>
          <w:spacing w:val="33"/>
        </w:rPr>
        <w:t> </w:t>
      </w:r>
      <w:r>
        <w:rPr/>
        <w:t>Universities</w:t>
      </w:r>
      <w:r>
        <w:rPr>
          <w:spacing w:val="33"/>
        </w:rPr>
        <w:t> </w:t>
      </w:r>
      <w:r>
        <w:rPr/>
        <w:t>in</w:t>
      </w:r>
      <w:r>
        <w:rPr>
          <w:spacing w:val="33"/>
        </w:rPr>
        <w:t> </w:t>
      </w:r>
      <w:r>
        <w:rPr/>
        <w:t>the</w:t>
      </w:r>
      <w:r>
        <w:rPr>
          <w:spacing w:val="38"/>
        </w:rPr>
        <w:t> </w:t>
      </w:r>
      <w:r>
        <w:rPr/>
        <w:t>three</w:t>
      </w:r>
      <w:r>
        <w:rPr>
          <w:spacing w:val="33"/>
        </w:rPr>
        <w:t> </w:t>
      </w:r>
      <w:r>
        <w:rPr/>
        <w:t>geopolitical</w:t>
      </w:r>
      <w:r>
        <w:rPr>
          <w:spacing w:val="36"/>
        </w:rPr>
        <w:t> </w:t>
      </w:r>
      <w:r>
        <w:rPr/>
        <w:t>zones</w:t>
      </w:r>
      <w:r>
        <w:rPr>
          <w:spacing w:val="32"/>
        </w:rPr>
        <w:t> </w:t>
      </w:r>
      <w:r>
        <w:rPr/>
        <w:t>in the Northern part of Nigeria.</w:t>
      </w:r>
    </w:p>
    <w:p>
      <w:pPr>
        <w:pStyle w:val="ListParagraph"/>
        <w:numPr>
          <w:ilvl w:val="0"/>
          <w:numId w:val="20"/>
        </w:numPr>
        <w:tabs>
          <w:tab w:pos="1600" w:val="left" w:leader="none"/>
        </w:tabs>
        <w:spacing w:line="460" w:lineRule="auto" w:before="1" w:after="0"/>
        <w:ind w:left="1600" w:right="932" w:hanging="720"/>
        <w:jc w:val="left"/>
        <w:rPr>
          <w:sz w:val="28"/>
        </w:rPr>
      </w:pPr>
      <w:r>
        <w:rPr>
          <w:sz w:val="24"/>
        </w:rPr>
        <w:t>The</w:t>
      </w:r>
      <w:r>
        <w:rPr>
          <w:spacing w:val="-3"/>
          <w:sz w:val="24"/>
        </w:rPr>
        <w:t> </w:t>
      </w:r>
      <w:r>
        <w:rPr>
          <w:sz w:val="24"/>
        </w:rPr>
        <w:t>use</w:t>
      </w:r>
      <w:r>
        <w:rPr>
          <w:spacing w:val="-7"/>
          <w:sz w:val="24"/>
        </w:rPr>
        <w:t> </w:t>
      </w:r>
      <w:r>
        <w:rPr>
          <w:sz w:val="24"/>
        </w:rPr>
        <w:t>of</w:t>
      </w:r>
      <w:r>
        <w:rPr>
          <w:spacing w:val="-4"/>
          <w:sz w:val="24"/>
        </w:rPr>
        <w:t> </w:t>
      </w:r>
      <w:r>
        <w:rPr>
          <w:sz w:val="24"/>
        </w:rPr>
        <w:t>effective</w:t>
      </w:r>
      <w:r>
        <w:rPr>
          <w:spacing w:val="-3"/>
          <w:sz w:val="24"/>
        </w:rPr>
        <w:t> </w:t>
      </w:r>
      <w:r>
        <w:rPr>
          <w:sz w:val="24"/>
        </w:rPr>
        <w:t>Management</w:t>
      </w:r>
      <w:r>
        <w:rPr>
          <w:spacing w:val="-4"/>
          <w:sz w:val="24"/>
        </w:rPr>
        <w:t> </w:t>
      </w:r>
      <w:r>
        <w:rPr>
          <w:sz w:val="24"/>
        </w:rPr>
        <w:t>strategies</w:t>
      </w:r>
      <w:r>
        <w:rPr>
          <w:spacing w:val="-9"/>
          <w:sz w:val="24"/>
        </w:rPr>
        <w:t> </w:t>
      </w:r>
      <w:r>
        <w:rPr>
          <w:sz w:val="24"/>
        </w:rPr>
        <w:t>for</w:t>
      </w:r>
      <w:r>
        <w:rPr>
          <w:spacing w:val="-2"/>
          <w:sz w:val="24"/>
        </w:rPr>
        <w:t> </w:t>
      </w:r>
      <w:r>
        <w:rPr>
          <w:sz w:val="24"/>
        </w:rPr>
        <w:t>the</w:t>
      </w:r>
      <w:r>
        <w:rPr>
          <w:spacing w:val="-3"/>
          <w:sz w:val="24"/>
        </w:rPr>
        <w:t> </w:t>
      </w:r>
      <w:r>
        <w:rPr>
          <w:sz w:val="24"/>
        </w:rPr>
        <w:t>students’</w:t>
      </w:r>
      <w:r>
        <w:rPr>
          <w:spacing w:val="-4"/>
          <w:sz w:val="24"/>
        </w:rPr>
        <w:t> </w:t>
      </w:r>
      <w:r>
        <w:rPr>
          <w:sz w:val="24"/>
        </w:rPr>
        <w:t>welfare services in these Universities in the three geopolitical zones in the Northern part of Nigeria.</w:t>
      </w:r>
    </w:p>
    <w:p>
      <w:pPr>
        <w:pStyle w:val="Heading2"/>
        <w:numPr>
          <w:ilvl w:val="1"/>
          <w:numId w:val="19"/>
        </w:numPr>
        <w:tabs>
          <w:tab w:pos="879" w:val="left" w:leader="none"/>
        </w:tabs>
        <w:spacing w:line="240" w:lineRule="auto" w:before="12" w:after="0"/>
        <w:ind w:left="879" w:right="0" w:hanging="719"/>
        <w:jc w:val="left"/>
      </w:pPr>
      <w:bookmarkStart w:name="_TOC_250048" w:id="20"/>
      <w:r>
        <w:rPr/>
        <w:t>The</w:t>
      </w:r>
      <w:r>
        <w:rPr>
          <w:spacing w:val="-7"/>
        </w:rPr>
        <w:t> </w:t>
      </w:r>
      <w:r>
        <w:rPr/>
        <w:t>concept</w:t>
      </w:r>
      <w:r>
        <w:rPr>
          <w:spacing w:val="-6"/>
        </w:rPr>
        <w:t> </w:t>
      </w:r>
      <w:r>
        <w:rPr/>
        <w:t>and</w:t>
      </w:r>
      <w:r>
        <w:rPr>
          <w:spacing w:val="-3"/>
        </w:rPr>
        <w:t> </w:t>
      </w:r>
      <w:r>
        <w:rPr/>
        <w:t>theories</w:t>
      </w:r>
      <w:r>
        <w:rPr>
          <w:spacing w:val="-1"/>
        </w:rPr>
        <w:t> </w:t>
      </w:r>
      <w:r>
        <w:rPr/>
        <w:t>of</w:t>
      </w:r>
      <w:r>
        <w:rPr>
          <w:spacing w:val="-7"/>
        </w:rPr>
        <w:t> </w:t>
      </w:r>
      <w:bookmarkEnd w:id="20"/>
      <w:r>
        <w:rPr>
          <w:spacing w:val="-2"/>
        </w:rPr>
        <w:t>Management</w:t>
      </w:r>
    </w:p>
    <w:p>
      <w:pPr>
        <w:pStyle w:val="BodyText"/>
        <w:spacing w:before="3"/>
        <w:rPr>
          <w:rFonts w:ascii="Arial"/>
          <w:b/>
          <w:sz w:val="28"/>
        </w:rPr>
      </w:pPr>
    </w:p>
    <w:p>
      <w:pPr>
        <w:pStyle w:val="BodyText"/>
        <w:spacing w:line="480" w:lineRule="auto"/>
        <w:ind w:left="880" w:right="293" w:firstLine="720"/>
        <w:jc w:val="both"/>
      </w:pPr>
      <w:r>
        <w:rPr/>
        <w:t>Several schools of thought have defined Management in different ways</w:t>
      </w:r>
      <w:r>
        <w:rPr>
          <w:spacing w:val="40"/>
        </w:rPr>
        <w:t> </w:t>
      </w:r>
      <w:r>
        <w:rPr/>
        <w:t>but no single definition is accepted as superior and final. The definitions are as numerous as those engaged in it. While the classical scientific management theorists like Federic Taylor (1900-1930s), Henry Fayol (1841-1925) and others define Management as “getting things done through the process of planning, organizing, staffing, directing, coordinating, reporting, controlling and budgeting, the Human Relations school of thought like Mary Follett (1868-1933), Chester Bernard (1938), Herbert Simon (1947) and others, taking cognizance of the human aspect of managerial function, define management as an activity that largely reflects the willingness of members of an organization to work hard towards planned allocation of resources.</w:t>
      </w:r>
    </w:p>
    <w:p>
      <w:pPr>
        <w:pStyle w:val="BodyText"/>
        <w:spacing w:line="480" w:lineRule="auto" w:before="1"/>
        <w:ind w:left="880" w:right="296" w:firstLine="720"/>
        <w:jc w:val="both"/>
      </w:pPr>
      <w:r>
        <w:rPr/>
        <w:t>However, prominent writers on management like Drucker (1954) and Baron (1978) share the same opinion with the classical scientific management where they postulate that “management is an activity that is associated with the goals of an organization which involves setting up strategies that could be employed in achieving goals with minimum difficulties”. This definition is also echoed</w:t>
      </w:r>
      <w:r>
        <w:rPr>
          <w:spacing w:val="27"/>
        </w:rPr>
        <w:t>  </w:t>
      </w:r>
      <w:r>
        <w:rPr/>
        <w:t>by</w:t>
      </w:r>
      <w:r>
        <w:rPr>
          <w:spacing w:val="26"/>
        </w:rPr>
        <w:t>  </w:t>
      </w:r>
      <w:r>
        <w:rPr/>
        <w:t>Hellriegel</w:t>
      </w:r>
      <w:r>
        <w:rPr>
          <w:spacing w:val="29"/>
        </w:rPr>
        <w:t>  </w:t>
      </w:r>
      <w:r>
        <w:rPr/>
        <w:t>(1986:10)</w:t>
      </w:r>
      <w:r>
        <w:rPr>
          <w:spacing w:val="28"/>
        </w:rPr>
        <w:t>  </w:t>
      </w:r>
      <w:r>
        <w:rPr/>
        <w:t>and</w:t>
      </w:r>
      <w:r>
        <w:rPr>
          <w:spacing w:val="27"/>
        </w:rPr>
        <w:t>  </w:t>
      </w:r>
      <w:r>
        <w:rPr/>
        <w:t>Lester,</w:t>
      </w:r>
      <w:r>
        <w:rPr>
          <w:spacing w:val="27"/>
        </w:rPr>
        <w:t>  </w:t>
      </w:r>
      <w:r>
        <w:rPr/>
        <w:t>(1985:487)</w:t>
      </w:r>
      <w:r>
        <w:rPr>
          <w:spacing w:val="27"/>
        </w:rPr>
        <w:t>  </w:t>
      </w:r>
      <w:r>
        <w:rPr/>
        <w:t>who</w:t>
      </w:r>
      <w:r>
        <w:rPr>
          <w:spacing w:val="28"/>
        </w:rPr>
        <w:t>  </w:t>
      </w:r>
      <w:r>
        <w:rPr/>
        <w:t>simply</w:t>
      </w:r>
      <w:r>
        <w:rPr>
          <w:spacing w:val="26"/>
        </w:rPr>
        <w:t>  </w:t>
      </w:r>
      <w:r>
        <w:rPr>
          <w:spacing w:val="-5"/>
        </w:rPr>
        <w:t>see</w:t>
      </w:r>
    </w:p>
    <w:p>
      <w:pPr>
        <w:spacing w:after="0" w:line="480" w:lineRule="auto"/>
        <w:jc w:val="both"/>
        <w:sectPr>
          <w:headerReference w:type="default" r:id="rId72"/>
          <w:footerReference w:type="default" r:id="rId73"/>
          <w:pgSz w:w="12240" w:h="15840"/>
          <w:pgMar w:header="722" w:footer="791" w:top="1060" w:bottom="980" w:left="1280" w:right="1140"/>
        </w:sectPr>
      </w:pPr>
    </w:p>
    <w:p>
      <w:pPr>
        <w:pStyle w:val="BodyText"/>
        <w:spacing w:before="86"/>
      </w:pPr>
    </w:p>
    <w:p>
      <w:pPr>
        <w:pStyle w:val="BodyText"/>
        <w:spacing w:line="480" w:lineRule="auto"/>
        <w:ind w:left="880" w:right="295"/>
        <w:jc w:val="both"/>
      </w:pPr>
      <w:r>
        <w:rPr/>
        <w:t>Management as “getting things done through other people. This stresses the processes of planning, coordinating and organizing of resources through teamwork”. To them Management is a network of interrelated functional responsibilities of an organization. It is both an academic and professional discipline which recognizes the presence of intuitive, subjective and skills in the management process and verified knowledge as a guide to management decisions and actions.</w:t>
      </w:r>
    </w:p>
    <w:p>
      <w:pPr>
        <w:pStyle w:val="BodyText"/>
        <w:spacing w:line="480" w:lineRule="auto" w:before="1"/>
        <w:ind w:left="880" w:right="295" w:firstLine="720"/>
        <w:jc w:val="both"/>
      </w:pPr>
      <w:r>
        <w:rPr/>
        <w:t>Others like Knowels in Lester, (1985:2692) also see management as a “process of activating and integrating the capacities of an enterprise to attain optimum results with minimum expenditure or resources”. To them Management is concerned with the definition of goals and strategic planning, Policy formulations and decisions affecting the lives and growth of human and material resources in the organization as a whole. Similarly, Smith (1982:28) advocated that, management is a “methodology by which organization plans, operates and controls its activities and utilizes the human and material resources, information and money in order to meet its goals and objectives”.</w:t>
      </w:r>
    </w:p>
    <w:p>
      <w:pPr>
        <w:pStyle w:val="BodyText"/>
        <w:spacing w:line="480" w:lineRule="auto"/>
        <w:ind w:left="880" w:right="293" w:firstLine="720"/>
        <w:jc w:val="both"/>
      </w:pPr>
      <w:r>
        <w:rPr/>
        <w:t>In whatever way management is defined, the basic and embracing fact is that it is the most important human activity that permeates all organizations, where people work together for attainment of predetermined goals and</w:t>
      </w:r>
      <w:r>
        <w:rPr>
          <w:spacing w:val="40"/>
        </w:rPr>
        <w:t> </w:t>
      </w:r>
      <w:r>
        <w:rPr/>
        <w:t>objectives. Infact there is no single human activity that doesn’t require management for its proper functioning. Administrative and business managers have to recognize, appreciate and register the efforts and contributions made by human</w:t>
      </w:r>
      <w:r>
        <w:rPr>
          <w:spacing w:val="-2"/>
        </w:rPr>
        <w:t> </w:t>
      </w:r>
      <w:r>
        <w:rPr/>
        <w:t>resources</w:t>
      </w:r>
      <w:r>
        <w:rPr>
          <w:spacing w:val="-7"/>
        </w:rPr>
        <w:t> </w:t>
      </w:r>
      <w:r>
        <w:rPr/>
        <w:t>as</w:t>
      </w:r>
      <w:r>
        <w:rPr>
          <w:spacing w:val="-2"/>
        </w:rPr>
        <w:t> </w:t>
      </w:r>
      <w:r>
        <w:rPr/>
        <w:t>well</w:t>
      </w:r>
      <w:r>
        <w:rPr>
          <w:spacing w:val="2"/>
        </w:rPr>
        <w:t> </w:t>
      </w:r>
      <w:r>
        <w:rPr/>
        <w:t>as</w:t>
      </w:r>
      <w:r>
        <w:rPr>
          <w:spacing w:val="-7"/>
        </w:rPr>
        <w:t> </w:t>
      </w:r>
      <w:r>
        <w:rPr/>
        <w:t>realizing</w:t>
      </w:r>
      <w:r>
        <w:rPr>
          <w:spacing w:val="-6"/>
        </w:rPr>
        <w:t> </w:t>
      </w:r>
      <w:r>
        <w:rPr/>
        <w:t>the</w:t>
      </w:r>
      <w:r>
        <w:rPr>
          <w:spacing w:val="-6"/>
        </w:rPr>
        <w:t> </w:t>
      </w:r>
      <w:r>
        <w:rPr/>
        <w:t>needs</w:t>
      </w:r>
      <w:r>
        <w:rPr>
          <w:spacing w:val="-2"/>
        </w:rPr>
        <w:t> </w:t>
      </w:r>
      <w:r>
        <w:rPr/>
        <w:t>of</w:t>
      </w:r>
      <w:r>
        <w:rPr>
          <w:spacing w:val="-2"/>
        </w:rPr>
        <w:t> </w:t>
      </w:r>
      <w:r>
        <w:rPr/>
        <w:t>the</w:t>
      </w:r>
      <w:r>
        <w:rPr>
          <w:spacing w:val="-2"/>
        </w:rPr>
        <w:t> </w:t>
      </w:r>
      <w:r>
        <w:rPr/>
        <w:t>organization.</w:t>
      </w:r>
      <w:r>
        <w:rPr>
          <w:spacing w:val="-2"/>
        </w:rPr>
        <w:t> </w:t>
      </w:r>
      <w:r>
        <w:rPr/>
        <w:t>All</w:t>
      </w:r>
      <w:r>
        <w:rPr>
          <w:spacing w:val="1"/>
        </w:rPr>
        <w:t> </w:t>
      </w:r>
      <w:r>
        <w:rPr/>
        <w:t>what</w:t>
      </w:r>
      <w:r>
        <w:rPr>
          <w:spacing w:val="1"/>
        </w:rPr>
        <w:t> </w:t>
      </w:r>
      <w:r>
        <w:rPr>
          <w:spacing w:val="-4"/>
        </w:rPr>
        <w:t>they</w:t>
      </w:r>
    </w:p>
    <w:p>
      <w:pPr>
        <w:spacing w:after="0" w:line="480" w:lineRule="auto"/>
        <w:jc w:val="both"/>
        <w:sectPr>
          <w:headerReference w:type="default" r:id="rId74"/>
          <w:footerReference w:type="default" r:id="rId75"/>
          <w:pgSz w:w="12240" w:h="15840"/>
          <w:pgMar w:header="722" w:footer="791" w:top="1060" w:bottom="980" w:left="1280" w:right="1140"/>
        </w:sectPr>
      </w:pPr>
    </w:p>
    <w:p>
      <w:pPr>
        <w:pStyle w:val="BodyText"/>
        <w:spacing w:before="86"/>
      </w:pPr>
    </w:p>
    <w:p>
      <w:pPr>
        <w:pStyle w:val="BodyText"/>
        <w:spacing w:line="480" w:lineRule="auto"/>
        <w:ind w:left="880" w:right="297"/>
        <w:jc w:val="both"/>
      </w:pPr>
      <w:r>
        <w:rPr/>
        <w:t>do, have to be done through same type of managerial functions of POSDCORB as advocated by the theorists of Management.</w:t>
      </w:r>
    </w:p>
    <w:p>
      <w:pPr>
        <w:pStyle w:val="BodyText"/>
        <w:spacing w:line="480" w:lineRule="auto"/>
        <w:ind w:left="880" w:right="295" w:firstLine="720"/>
        <w:jc w:val="both"/>
      </w:pPr>
      <w:r>
        <w:rPr/>
        <w:t>In the context of this study the definition of management by Ibukun in Imam (2000:19) sounds more appropriate when he says "management is the ability to effectively control, monitor and maintain the available welfare resources allocated for the different segments” of the university system. This is to say that apart</w:t>
      </w:r>
      <w:r>
        <w:rPr>
          <w:spacing w:val="-2"/>
        </w:rPr>
        <w:t> </w:t>
      </w:r>
      <w:r>
        <w:rPr/>
        <w:t>from</w:t>
      </w:r>
      <w:r>
        <w:rPr>
          <w:spacing w:val="-6"/>
        </w:rPr>
        <w:t> </w:t>
      </w:r>
      <w:r>
        <w:rPr/>
        <w:t>the management of the</w:t>
      </w:r>
      <w:r>
        <w:rPr>
          <w:spacing w:val="-2"/>
        </w:rPr>
        <w:t> </w:t>
      </w:r>
      <w:r>
        <w:rPr/>
        <w:t>material resources,</w:t>
      </w:r>
      <w:r>
        <w:rPr>
          <w:spacing w:val="-2"/>
        </w:rPr>
        <w:t> </w:t>
      </w:r>
      <w:r>
        <w:rPr/>
        <w:t>the</w:t>
      </w:r>
      <w:r>
        <w:rPr>
          <w:spacing w:val="-2"/>
        </w:rPr>
        <w:t> </w:t>
      </w:r>
      <w:r>
        <w:rPr/>
        <w:t>university</w:t>
      </w:r>
      <w:r>
        <w:rPr>
          <w:spacing w:val="-8"/>
        </w:rPr>
        <w:t> </w:t>
      </w:r>
      <w:r>
        <w:rPr/>
        <w:t>is faced with the provision and management of diverse affairs of the interest groups like the staff, stakeholders (parents) and students, around which all activities revolve. Hence the skill and methodology of the provision and effective management of the welfare resources and facilities designated to students mean ‘peace’ to the </w:t>
      </w:r>
      <w:r>
        <w:rPr>
          <w:spacing w:val="-2"/>
        </w:rPr>
        <w:t>university.</w:t>
      </w:r>
    </w:p>
    <w:p>
      <w:pPr>
        <w:pStyle w:val="BodyText"/>
        <w:spacing w:line="480" w:lineRule="auto" w:before="1"/>
        <w:ind w:left="880" w:right="294" w:firstLine="720"/>
        <w:jc w:val="both"/>
      </w:pPr>
      <w:r>
        <w:rPr/>
        <w:t>Just as every complex or simple organization is characterized by various goals and objectives, the University system has its own uniqueness and numerous conflicting peculiarities to grapple</w:t>
      </w:r>
      <w:r>
        <w:rPr>
          <w:spacing w:val="-2"/>
        </w:rPr>
        <w:t> </w:t>
      </w:r>
      <w:r>
        <w:rPr/>
        <w:t>with in order to achieve its set goals and objectives. Thus, based on the foregoing management theories the</w:t>
      </w:r>
      <w:r>
        <w:rPr>
          <w:spacing w:val="40"/>
        </w:rPr>
        <w:t> </w:t>
      </w:r>
      <w:r>
        <w:rPr/>
        <w:t>university can strive to adopt most or all of them to maximize production of relevant, competent, knowledgeable, skilful, creative and dedicated future scholars and</w:t>
      </w:r>
      <w:r>
        <w:rPr>
          <w:spacing w:val="-1"/>
        </w:rPr>
        <w:t> </w:t>
      </w:r>
      <w:r>
        <w:rPr/>
        <w:t>leaders</w:t>
      </w:r>
      <w:r>
        <w:rPr>
          <w:spacing w:val="-2"/>
        </w:rPr>
        <w:t> </w:t>
      </w:r>
      <w:r>
        <w:rPr/>
        <w:t>in the area of science, engineering, technology, and arts,</w:t>
      </w:r>
      <w:r>
        <w:rPr>
          <w:spacing w:val="-2"/>
        </w:rPr>
        <w:t> </w:t>
      </w:r>
      <w:r>
        <w:rPr/>
        <w:t>to meet the rapid growing manpower demands and challenges in a scientific, technological and nuclear society. In the process of producing such group of individuals</w:t>
      </w:r>
      <w:r>
        <w:rPr>
          <w:spacing w:val="-3"/>
        </w:rPr>
        <w:t> </w:t>
      </w:r>
      <w:r>
        <w:rPr/>
        <w:t>the</w:t>
      </w:r>
      <w:r>
        <w:rPr>
          <w:spacing w:val="-2"/>
        </w:rPr>
        <w:t> </w:t>
      </w:r>
      <w:r>
        <w:rPr/>
        <w:t>university</w:t>
      </w:r>
      <w:r>
        <w:rPr>
          <w:spacing w:val="-7"/>
        </w:rPr>
        <w:t> </w:t>
      </w:r>
      <w:r>
        <w:rPr/>
        <w:t>is</w:t>
      </w:r>
      <w:r>
        <w:rPr>
          <w:spacing w:val="-3"/>
        </w:rPr>
        <w:t> </w:t>
      </w:r>
      <w:r>
        <w:rPr/>
        <w:t>well guided</w:t>
      </w:r>
      <w:r>
        <w:rPr>
          <w:spacing w:val="-5"/>
        </w:rPr>
        <w:t> </w:t>
      </w:r>
      <w:r>
        <w:rPr/>
        <w:t>by</w:t>
      </w:r>
      <w:r>
        <w:rPr>
          <w:spacing w:val="-3"/>
        </w:rPr>
        <w:t> </w:t>
      </w:r>
      <w:r>
        <w:rPr/>
        <w:t>the</w:t>
      </w:r>
      <w:r>
        <w:rPr>
          <w:spacing w:val="-5"/>
        </w:rPr>
        <w:t> </w:t>
      </w:r>
      <w:r>
        <w:rPr/>
        <w:t>Human</w:t>
      </w:r>
      <w:r>
        <w:rPr>
          <w:spacing w:val="-2"/>
        </w:rPr>
        <w:t> </w:t>
      </w:r>
      <w:r>
        <w:rPr/>
        <w:t>Relations</w:t>
      </w:r>
      <w:r>
        <w:rPr>
          <w:spacing w:val="-3"/>
        </w:rPr>
        <w:t> </w:t>
      </w:r>
      <w:r>
        <w:rPr/>
        <w:t>school of</w:t>
      </w:r>
      <w:r>
        <w:rPr>
          <w:spacing w:val="-3"/>
        </w:rPr>
        <w:t> </w:t>
      </w:r>
      <w:r>
        <w:rPr/>
        <w:t>thought to</w:t>
      </w:r>
      <w:r>
        <w:rPr>
          <w:spacing w:val="19"/>
        </w:rPr>
        <w:t> </w:t>
      </w:r>
      <w:r>
        <w:rPr/>
        <w:t>apply</w:t>
      </w:r>
      <w:r>
        <w:rPr>
          <w:spacing w:val="18"/>
        </w:rPr>
        <w:t> </w:t>
      </w:r>
      <w:r>
        <w:rPr/>
        <w:t>the</w:t>
      </w:r>
      <w:r>
        <w:rPr>
          <w:spacing w:val="19"/>
        </w:rPr>
        <w:t> </w:t>
      </w:r>
      <w:r>
        <w:rPr/>
        <w:t>mandate</w:t>
      </w:r>
      <w:r>
        <w:rPr>
          <w:spacing w:val="19"/>
        </w:rPr>
        <w:t> </w:t>
      </w:r>
      <w:r>
        <w:rPr/>
        <w:t>of</w:t>
      </w:r>
      <w:r>
        <w:rPr>
          <w:spacing w:val="18"/>
        </w:rPr>
        <w:t> </w:t>
      </w:r>
      <w:r>
        <w:rPr/>
        <w:t>prioritizing</w:t>
      </w:r>
      <w:r>
        <w:rPr>
          <w:spacing w:val="19"/>
        </w:rPr>
        <w:t> </w:t>
      </w:r>
      <w:r>
        <w:rPr/>
        <w:t>the</w:t>
      </w:r>
      <w:r>
        <w:rPr>
          <w:spacing w:val="19"/>
        </w:rPr>
        <w:t> </w:t>
      </w:r>
      <w:r>
        <w:rPr/>
        <w:t>provision</w:t>
      </w:r>
      <w:r>
        <w:rPr>
          <w:spacing w:val="19"/>
        </w:rPr>
        <w:t> </w:t>
      </w:r>
      <w:r>
        <w:rPr/>
        <w:t>and</w:t>
      </w:r>
      <w:r>
        <w:rPr>
          <w:spacing w:val="19"/>
        </w:rPr>
        <w:t> </w:t>
      </w:r>
      <w:r>
        <w:rPr/>
        <w:t>management</w:t>
      </w:r>
      <w:r>
        <w:rPr>
          <w:spacing w:val="18"/>
        </w:rPr>
        <w:t> </w:t>
      </w:r>
      <w:r>
        <w:rPr/>
        <w:t>of</w:t>
      </w:r>
      <w:r>
        <w:rPr>
          <w:spacing w:val="18"/>
        </w:rPr>
        <w:t> </w:t>
      </w:r>
      <w:r>
        <w:rPr/>
        <w:t>the</w:t>
      </w:r>
      <w:r>
        <w:rPr>
          <w:spacing w:val="19"/>
        </w:rPr>
        <w:t> </w:t>
      </w:r>
      <w:r>
        <w:rPr>
          <w:spacing w:val="-2"/>
        </w:rPr>
        <w:t>basic</w:t>
      </w:r>
    </w:p>
    <w:p>
      <w:pPr>
        <w:spacing w:after="0" w:line="480" w:lineRule="auto"/>
        <w:jc w:val="both"/>
        <w:sectPr>
          <w:headerReference w:type="default" r:id="rId76"/>
          <w:footerReference w:type="default" r:id="rId77"/>
          <w:pgSz w:w="12240" w:h="15840"/>
          <w:pgMar w:header="722" w:footer="791" w:top="1060" w:bottom="980" w:left="1280" w:right="1140"/>
        </w:sectPr>
      </w:pPr>
    </w:p>
    <w:p>
      <w:pPr>
        <w:pStyle w:val="BodyText"/>
        <w:spacing w:before="86"/>
      </w:pPr>
    </w:p>
    <w:p>
      <w:pPr>
        <w:pStyle w:val="BodyText"/>
        <w:spacing w:line="480" w:lineRule="auto"/>
        <w:ind w:left="880" w:right="307"/>
      </w:pPr>
      <w:r>
        <w:rPr/>
        <w:t>needs of the studentship in its domain, so that the ultimate goals and objectives of teaching, learning and research are fully utilized.</w:t>
      </w:r>
    </w:p>
    <w:p>
      <w:pPr>
        <w:pStyle w:val="Heading2"/>
        <w:numPr>
          <w:ilvl w:val="1"/>
          <w:numId w:val="19"/>
        </w:numPr>
        <w:tabs>
          <w:tab w:pos="879" w:val="left" w:leader="none"/>
        </w:tabs>
        <w:spacing w:line="318" w:lineRule="exact" w:before="0" w:after="0"/>
        <w:ind w:left="879" w:right="0" w:hanging="719"/>
        <w:jc w:val="left"/>
      </w:pPr>
      <w:r>
        <w:rPr/>
        <w:t>The</w:t>
      </w:r>
      <w:r>
        <w:rPr>
          <w:spacing w:val="-8"/>
        </w:rPr>
        <w:t> </w:t>
      </w:r>
      <w:r>
        <w:rPr/>
        <w:t>concept</w:t>
      </w:r>
      <w:r>
        <w:rPr>
          <w:spacing w:val="-7"/>
        </w:rPr>
        <w:t> </w:t>
      </w:r>
      <w:r>
        <w:rPr/>
        <w:t>and</w:t>
      </w:r>
      <w:r>
        <w:rPr>
          <w:spacing w:val="-4"/>
        </w:rPr>
        <w:t> </w:t>
      </w:r>
      <w:r>
        <w:rPr/>
        <w:t>types</w:t>
      </w:r>
      <w:r>
        <w:rPr>
          <w:spacing w:val="-4"/>
        </w:rPr>
        <w:t> </w:t>
      </w:r>
      <w:r>
        <w:rPr/>
        <w:t>of</w:t>
      </w:r>
      <w:r>
        <w:rPr>
          <w:spacing w:val="-4"/>
        </w:rPr>
        <w:t> </w:t>
      </w:r>
      <w:r>
        <w:rPr/>
        <w:t>students’</w:t>
      </w:r>
      <w:r>
        <w:rPr>
          <w:spacing w:val="-2"/>
        </w:rPr>
        <w:t> </w:t>
      </w:r>
      <w:r>
        <w:rPr/>
        <w:t>welfare</w:t>
      </w:r>
      <w:r>
        <w:rPr>
          <w:spacing w:val="-4"/>
        </w:rPr>
        <w:t> </w:t>
      </w:r>
      <w:r>
        <w:rPr>
          <w:spacing w:val="-2"/>
        </w:rPr>
        <w:t>services</w:t>
      </w:r>
    </w:p>
    <w:p>
      <w:pPr>
        <w:pStyle w:val="BodyText"/>
        <w:spacing w:before="3"/>
        <w:rPr>
          <w:rFonts w:ascii="Arial"/>
          <w:b/>
          <w:sz w:val="28"/>
        </w:rPr>
      </w:pPr>
    </w:p>
    <w:p>
      <w:pPr>
        <w:pStyle w:val="BodyText"/>
        <w:spacing w:line="480" w:lineRule="auto"/>
        <w:ind w:left="880" w:right="296" w:firstLine="720"/>
        <w:jc w:val="both"/>
      </w:pPr>
      <w:r>
        <w:rPr/>
        <w:t>According to Adesina (1981:86) students welfare services are “Services concerned with needs and interest of the students’ populace”. To him, of all services rendered to groups in the school or university system, that of the students should be a priority. This is so, because a university is set for students and not primarily</w:t>
      </w:r>
      <w:r>
        <w:rPr>
          <w:spacing w:val="-4"/>
        </w:rPr>
        <w:t> </w:t>
      </w:r>
      <w:r>
        <w:rPr/>
        <w:t>for</w:t>
      </w:r>
      <w:r>
        <w:rPr>
          <w:spacing w:val="-2"/>
        </w:rPr>
        <w:t> </w:t>
      </w:r>
      <w:r>
        <w:rPr/>
        <w:t>subsequent</w:t>
      </w:r>
      <w:r>
        <w:rPr>
          <w:spacing w:val="-3"/>
        </w:rPr>
        <w:t> </w:t>
      </w:r>
      <w:r>
        <w:rPr/>
        <w:t>groups. Hence without</w:t>
      </w:r>
      <w:r>
        <w:rPr>
          <w:spacing w:val="-3"/>
        </w:rPr>
        <w:t> </w:t>
      </w:r>
      <w:r>
        <w:rPr/>
        <w:t>students, a</w:t>
      </w:r>
      <w:r>
        <w:rPr>
          <w:spacing w:val="-3"/>
        </w:rPr>
        <w:t> </w:t>
      </w:r>
      <w:r>
        <w:rPr/>
        <w:t>university will never exist.</w:t>
      </w:r>
    </w:p>
    <w:p>
      <w:pPr>
        <w:pStyle w:val="BodyText"/>
        <w:spacing w:line="480" w:lineRule="auto" w:before="1"/>
        <w:ind w:left="880" w:right="293" w:firstLine="720"/>
        <w:jc w:val="both"/>
      </w:pPr>
      <w:r>
        <w:rPr/>
        <w:t>Jacob, (1768:923) in the New Encyclopedia Britanica also sees students’ welfare services as “services provided to students particularly disadvantaged, distressed and invulnerable persons or group”. Ventareswarlu in Oni (1999:227), views that students' welfare services</w:t>
      </w:r>
      <w:r>
        <w:rPr>
          <w:spacing w:val="-3"/>
        </w:rPr>
        <w:t> </w:t>
      </w:r>
      <w:r>
        <w:rPr/>
        <w:t>include</w:t>
      </w:r>
      <w:r>
        <w:rPr>
          <w:spacing w:val="-2"/>
        </w:rPr>
        <w:t> </w:t>
      </w:r>
      <w:r>
        <w:rPr/>
        <w:t>not only</w:t>
      </w:r>
      <w:r>
        <w:rPr>
          <w:spacing w:val="-3"/>
        </w:rPr>
        <w:t> </w:t>
      </w:r>
      <w:r>
        <w:rPr/>
        <w:t>‘growth’ of facilities</w:t>
      </w:r>
      <w:r>
        <w:rPr>
          <w:spacing w:val="-3"/>
        </w:rPr>
        <w:t> </w:t>
      </w:r>
      <w:r>
        <w:rPr/>
        <w:t>but</w:t>
      </w:r>
      <w:r>
        <w:rPr>
          <w:spacing w:val="-2"/>
        </w:rPr>
        <w:t> </w:t>
      </w:r>
      <w:r>
        <w:rPr/>
        <w:t>also security, sustainability, equity, prudence and justice in its provision”. And according to Lawal, (1999:39) students’ welfare services comprise health</w:t>
      </w:r>
      <w:r>
        <w:rPr>
          <w:spacing w:val="40"/>
        </w:rPr>
        <w:t> </w:t>
      </w:r>
      <w:r>
        <w:rPr/>
        <w:t>matters, accommodation, feeding, sports and recreation.</w:t>
      </w:r>
    </w:p>
    <w:p>
      <w:pPr>
        <w:pStyle w:val="BodyText"/>
        <w:spacing w:line="480" w:lineRule="auto"/>
        <w:ind w:left="880" w:right="296" w:firstLine="720"/>
        <w:jc w:val="both"/>
      </w:pPr>
      <w:r>
        <w:rPr/>
        <w:t>However, for the purpose of this study, students’ welfare services can be defined as the basic needs provided to students by the university for ensuring survival, comfort and conducive atmosphere for academic concentration and better performance. These services include among others good feeding, decent accommodation, sports and recreational facilities, guidance and counselling, health and other social amenities, sound academic activities i.e teaching and learning facilities and conducive environment.</w:t>
      </w:r>
    </w:p>
    <w:p>
      <w:pPr>
        <w:spacing w:after="0" w:line="480" w:lineRule="auto"/>
        <w:jc w:val="both"/>
        <w:sectPr>
          <w:headerReference w:type="default" r:id="rId78"/>
          <w:footerReference w:type="default" r:id="rId79"/>
          <w:pgSz w:w="12240" w:h="15840"/>
          <w:pgMar w:header="722" w:footer="791" w:top="1060" w:bottom="980" w:left="1280" w:right="1140"/>
        </w:sectPr>
      </w:pPr>
    </w:p>
    <w:p>
      <w:pPr>
        <w:pStyle w:val="BodyText"/>
        <w:spacing w:before="86"/>
      </w:pPr>
    </w:p>
    <w:p>
      <w:pPr>
        <w:pStyle w:val="BodyText"/>
        <w:spacing w:line="480" w:lineRule="auto"/>
        <w:ind w:left="880" w:right="295" w:firstLine="720"/>
        <w:jc w:val="both"/>
      </w:pPr>
      <w:r>
        <w:rPr/>
        <w:t>The university has the mandate to give students all the necessary attention, care and services they deserve within the scope of the university so that the students' aims and objectives of being in the university system are achieved. Towards this reasoning the Nigerian Government like any other Government has the greatest concern over the welfare and development of their youths in the universities. This has been implied in the National Policy on Education, (2004): page 7 Section 1, Paragraph 3 which says “the quality of instruction at all levels has to be oriented towards inculcating:</w:t>
      </w:r>
    </w:p>
    <w:p>
      <w:pPr>
        <w:pStyle w:val="ListParagraph"/>
        <w:numPr>
          <w:ilvl w:val="0"/>
          <w:numId w:val="21"/>
        </w:numPr>
        <w:tabs>
          <w:tab w:pos="2319" w:val="left" w:leader="none"/>
        </w:tabs>
        <w:spacing w:line="240" w:lineRule="auto" w:before="1" w:after="0"/>
        <w:ind w:left="2319" w:right="0" w:hanging="359"/>
        <w:jc w:val="both"/>
        <w:rPr>
          <w:sz w:val="24"/>
        </w:rPr>
      </w:pPr>
      <w:r>
        <w:rPr>
          <w:sz w:val="24"/>
        </w:rPr>
        <w:t>respect</w:t>
      </w:r>
      <w:r>
        <w:rPr>
          <w:spacing w:val="-6"/>
          <w:sz w:val="24"/>
        </w:rPr>
        <w:t> </w:t>
      </w:r>
      <w:r>
        <w:rPr>
          <w:sz w:val="24"/>
        </w:rPr>
        <w:t>for</w:t>
      </w:r>
      <w:r>
        <w:rPr>
          <w:spacing w:val="-4"/>
          <w:sz w:val="24"/>
        </w:rPr>
        <w:t> </w:t>
      </w:r>
      <w:r>
        <w:rPr>
          <w:sz w:val="24"/>
        </w:rPr>
        <w:t>the</w:t>
      </w:r>
      <w:r>
        <w:rPr>
          <w:spacing w:val="-8"/>
          <w:sz w:val="24"/>
        </w:rPr>
        <w:t> </w:t>
      </w:r>
      <w:r>
        <w:rPr>
          <w:sz w:val="24"/>
        </w:rPr>
        <w:t>worth</w:t>
      </w:r>
      <w:r>
        <w:rPr>
          <w:spacing w:val="-5"/>
          <w:sz w:val="24"/>
        </w:rPr>
        <w:t> </w:t>
      </w:r>
      <w:r>
        <w:rPr>
          <w:sz w:val="24"/>
        </w:rPr>
        <w:t>and</w:t>
      </w:r>
      <w:r>
        <w:rPr>
          <w:spacing w:val="-4"/>
          <w:sz w:val="24"/>
        </w:rPr>
        <w:t> </w:t>
      </w:r>
      <w:r>
        <w:rPr>
          <w:sz w:val="24"/>
        </w:rPr>
        <w:t>dignity</w:t>
      </w:r>
      <w:r>
        <w:rPr>
          <w:spacing w:val="-6"/>
          <w:sz w:val="24"/>
        </w:rPr>
        <w:t> </w:t>
      </w:r>
      <w:r>
        <w:rPr>
          <w:sz w:val="24"/>
        </w:rPr>
        <w:t>of</w:t>
      </w:r>
      <w:r>
        <w:rPr>
          <w:spacing w:val="-5"/>
          <w:sz w:val="24"/>
        </w:rPr>
        <w:t> </w:t>
      </w:r>
      <w:r>
        <w:rPr>
          <w:sz w:val="24"/>
        </w:rPr>
        <w:t>the</w:t>
      </w:r>
      <w:r>
        <w:rPr>
          <w:spacing w:val="-9"/>
          <w:sz w:val="24"/>
        </w:rPr>
        <w:t> </w:t>
      </w:r>
      <w:r>
        <w:rPr>
          <w:spacing w:val="-2"/>
          <w:sz w:val="24"/>
        </w:rPr>
        <w:t>individuals,</w:t>
      </w:r>
    </w:p>
    <w:p>
      <w:pPr>
        <w:pStyle w:val="BodyText"/>
      </w:pPr>
    </w:p>
    <w:p>
      <w:pPr>
        <w:pStyle w:val="ListParagraph"/>
        <w:numPr>
          <w:ilvl w:val="0"/>
          <w:numId w:val="21"/>
        </w:numPr>
        <w:tabs>
          <w:tab w:pos="2319" w:val="left" w:leader="none"/>
        </w:tabs>
        <w:spacing w:line="240" w:lineRule="auto" w:before="0" w:after="0"/>
        <w:ind w:left="2319" w:right="0" w:hanging="359"/>
        <w:jc w:val="both"/>
        <w:rPr>
          <w:sz w:val="24"/>
        </w:rPr>
      </w:pPr>
      <w:r>
        <w:rPr>
          <w:sz w:val="24"/>
        </w:rPr>
        <w:t>faith</w:t>
      </w:r>
      <w:r>
        <w:rPr>
          <w:spacing w:val="-9"/>
          <w:sz w:val="24"/>
        </w:rPr>
        <w:t> </w:t>
      </w:r>
      <w:r>
        <w:rPr>
          <w:sz w:val="24"/>
        </w:rPr>
        <w:t>in</w:t>
      </w:r>
      <w:r>
        <w:rPr>
          <w:spacing w:val="-6"/>
          <w:sz w:val="24"/>
        </w:rPr>
        <w:t> </w:t>
      </w:r>
      <w:r>
        <w:rPr>
          <w:sz w:val="24"/>
        </w:rPr>
        <w:t>man’s</w:t>
      </w:r>
      <w:r>
        <w:rPr>
          <w:spacing w:val="-6"/>
          <w:sz w:val="24"/>
        </w:rPr>
        <w:t> </w:t>
      </w:r>
      <w:r>
        <w:rPr>
          <w:sz w:val="24"/>
        </w:rPr>
        <w:t>ability</w:t>
      </w:r>
      <w:r>
        <w:rPr>
          <w:spacing w:val="-6"/>
          <w:sz w:val="24"/>
        </w:rPr>
        <w:t> </w:t>
      </w:r>
      <w:r>
        <w:rPr>
          <w:sz w:val="24"/>
        </w:rPr>
        <w:t>to</w:t>
      </w:r>
      <w:r>
        <w:rPr>
          <w:spacing w:val="-5"/>
          <w:sz w:val="24"/>
        </w:rPr>
        <w:t> </w:t>
      </w:r>
      <w:r>
        <w:rPr>
          <w:sz w:val="24"/>
        </w:rPr>
        <w:t>make</w:t>
      </w:r>
      <w:r>
        <w:rPr>
          <w:spacing w:val="-5"/>
          <w:sz w:val="24"/>
        </w:rPr>
        <w:t> </w:t>
      </w:r>
      <w:r>
        <w:rPr>
          <w:sz w:val="24"/>
        </w:rPr>
        <w:t>rational</w:t>
      </w:r>
      <w:r>
        <w:rPr>
          <w:spacing w:val="-6"/>
          <w:sz w:val="24"/>
        </w:rPr>
        <w:t> </w:t>
      </w:r>
      <w:r>
        <w:rPr>
          <w:spacing w:val="-2"/>
          <w:sz w:val="24"/>
        </w:rPr>
        <w:t>decisions,</w:t>
      </w:r>
    </w:p>
    <w:p>
      <w:pPr>
        <w:pStyle w:val="BodyText"/>
      </w:pPr>
    </w:p>
    <w:p>
      <w:pPr>
        <w:pStyle w:val="ListParagraph"/>
        <w:numPr>
          <w:ilvl w:val="0"/>
          <w:numId w:val="21"/>
        </w:numPr>
        <w:tabs>
          <w:tab w:pos="2319" w:val="left" w:leader="none"/>
        </w:tabs>
        <w:spacing w:line="240" w:lineRule="auto" w:before="0" w:after="0"/>
        <w:ind w:left="2319" w:right="0" w:hanging="359"/>
        <w:jc w:val="both"/>
        <w:rPr>
          <w:sz w:val="24"/>
        </w:rPr>
      </w:pPr>
      <w:r>
        <w:rPr>
          <w:sz w:val="24"/>
        </w:rPr>
        <w:t>promotion</w:t>
      </w:r>
      <w:r>
        <w:rPr>
          <w:spacing w:val="-5"/>
          <w:sz w:val="24"/>
        </w:rPr>
        <w:t> </w:t>
      </w:r>
      <w:r>
        <w:rPr>
          <w:sz w:val="24"/>
        </w:rPr>
        <w:t>of</w:t>
      </w:r>
      <w:r>
        <w:rPr>
          <w:spacing w:val="-6"/>
          <w:sz w:val="24"/>
        </w:rPr>
        <w:t> </w:t>
      </w:r>
      <w:r>
        <w:rPr>
          <w:sz w:val="24"/>
        </w:rPr>
        <w:t>the</w:t>
      </w:r>
      <w:r>
        <w:rPr>
          <w:spacing w:val="-4"/>
          <w:sz w:val="24"/>
        </w:rPr>
        <w:t> </w:t>
      </w:r>
      <w:r>
        <w:rPr>
          <w:sz w:val="24"/>
        </w:rPr>
        <w:t>Health</w:t>
      </w:r>
      <w:r>
        <w:rPr>
          <w:spacing w:val="-8"/>
          <w:sz w:val="24"/>
        </w:rPr>
        <w:t> </w:t>
      </w:r>
      <w:r>
        <w:rPr>
          <w:sz w:val="24"/>
        </w:rPr>
        <w:t>of</w:t>
      </w:r>
      <w:r>
        <w:rPr>
          <w:spacing w:val="-6"/>
          <w:sz w:val="24"/>
        </w:rPr>
        <w:t> </w:t>
      </w:r>
      <w:r>
        <w:rPr>
          <w:sz w:val="24"/>
        </w:rPr>
        <w:t>all</w:t>
      </w:r>
      <w:r>
        <w:rPr>
          <w:spacing w:val="-2"/>
          <w:sz w:val="24"/>
        </w:rPr>
        <w:t> children,”</w:t>
      </w:r>
    </w:p>
    <w:p>
      <w:pPr>
        <w:pStyle w:val="BodyText"/>
      </w:pPr>
    </w:p>
    <w:p>
      <w:pPr>
        <w:pStyle w:val="BodyText"/>
        <w:spacing w:line="480" w:lineRule="auto"/>
        <w:ind w:left="2320" w:right="294"/>
        <w:jc w:val="both"/>
      </w:pPr>
      <w:r>
        <w:rPr/>
        <w:t>And on Page 22 Section 5 Paragraph 32, University education as higher education is said to aim at:</w:t>
      </w:r>
    </w:p>
    <w:p>
      <w:pPr>
        <w:pStyle w:val="ListParagraph"/>
        <w:numPr>
          <w:ilvl w:val="1"/>
          <w:numId w:val="21"/>
        </w:numPr>
        <w:tabs>
          <w:tab w:pos="3040" w:val="left" w:leader="none"/>
        </w:tabs>
        <w:spacing w:line="480" w:lineRule="auto" w:before="0" w:after="0"/>
        <w:ind w:left="3040" w:right="297" w:hanging="360"/>
        <w:jc w:val="both"/>
        <w:rPr>
          <w:sz w:val="24"/>
        </w:rPr>
      </w:pPr>
      <w:r>
        <w:rPr>
          <w:sz w:val="24"/>
        </w:rPr>
        <w:t>“the acquisition, development and inculcation of the proper value orientation for the survival of the individuals and the </w:t>
      </w:r>
      <w:r>
        <w:rPr>
          <w:spacing w:val="-2"/>
          <w:sz w:val="24"/>
        </w:rPr>
        <w:t>society,</w:t>
      </w:r>
    </w:p>
    <w:p>
      <w:pPr>
        <w:pStyle w:val="ListParagraph"/>
        <w:numPr>
          <w:ilvl w:val="1"/>
          <w:numId w:val="21"/>
        </w:numPr>
        <w:tabs>
          <w:tab w:pos="3040" w:val="left" w:leader="none"/>
          <w:tab w:pos="9244" w:val="left" w:leader="dot"/>
        </w:tabs>
        <w:spacing w:line="480" w:lineRule="auto" w:before="0" w:after="0"/>
        <w:ind w:left="3040" w:right="295" w:hanging="360"/>
        <w:jc w:val="both"/>
        <w:rPr>
          <w:sz w:val="24"/>
        </w:rPr>
      </w:pPr>
      <w:r>
        <w:rPr>
          <w:sz w:val="24"/>
        </w:rPr>
        <w:t>the development of the intellectual capacities of individuals</w:t>
      </w:r>
      <w:r>
        <w:rPr>
          <w:spacing w:val="40"/>
          <w:sz w:val="24"/>
        </w:rPr>
        <w:t> </w:t>
      </w:r>
      <w:r>
        <w:rPr>
          <w:sz w:val="24"/>
        </w:rPr>
        <w:t>to understand and appreciate their environment</w:t>
      </w:r>
      <w:r>
        <w:rPr>
          <w:sz w:val="24"/>
        </w:rPr>
        <w:tab/>
      </w:r>
      <w:r>
        <w:rPr>
          <w:spacing w:val="-10"/>
          <w:sz w:val="24"/>
        </w:rPr>
        <w:t>”</w:t>
      </w:r>
    </w:p>
    <w:p>
      <w:pPr>
        <w:pStyle w:val="ListParagraph"/>
        <w:numPr>
          <w:ilvl w:val="1"/>
          <w:numId w:val="21"/>
        </w:numPr>
        <w:tabs>
          <w:tab w:pos="3040" w:val="left" w:leader="none"/>
        </w:tabs>
        <w:spacing w:line="480" w:lineRule="auto" w:before="0" w:after="0"/>
        <w:ind w:left="3040" w:right="294" w:hanging="360"/>
        <w:jc w:val="both"/>
        <w:rPr>
          <w:sz w:val="24"/>
        </w:rPr>
      </w:pPr>
      <w:r>
        <w:rPr>
          <w:sz w:val="24"/>
        </w:rPr>
        <w:t>Also on Page 24 Section 5 Paragraph 38 it assures that “the education of higher professionals will continue within the university system and will be rooted in a broad-based and strong scientific background”.</w:t>
      </w:r>
    </w:p>
    <w:p>
      <w:pPr>
        <w:spacing w:after="0" w:line="480" w:lineRule="auto"/>
        <w:jc w:val="both"/>
        <w:rPr>
          <w:sz w:val="24"/>
        </w:rPr>
        <w:sectPr>
          <w:headerReference w:type="default" r:id="rId80"/>
          <w:footerReference w:type="default" r:id="rId81"/>
          <w:pgSz w:w="12240" w:h="15840"/>
          <w:pgMar w:header="722" w:footer="791" w:top="1060" w:bottom="980" w:left="1280" w:right="1140"/>
        </w:sectPr>
      </w:pPr>
    </w:p>
    <w:p>
      <w:pPr>
        <w:pStyle w:val="BodyText"/>
        <w:spacing w:before="86"/>
      </w:pPr>
    </w:p>
    <w:p>
      <w:pPr>
        <w:pStyle w:val="BodyText"/>
        <w:spacing w:line="480" w:lineRule="auto"/>
        <w:ind w:left="880" w:right="295" w:firstLine="720"/>
        <w:jc w:val="both"/>
      </w:pPr>
      <w:r>
        <w:rPr/>
        <w:t>The Nigerian Constitution (1999 P.8 ed.) has summed up this strong philosophy of Education since it has taken the pains to express protection of students interest. It sees students as having the equal rights based on social order when it says:</w:t>
      </w:r>
    </w:p>
    <w:p>
      <w:pPr>
        <w:pStyle w:val="BodyText"/>
        <w:spacing w:line="480" w:lineRule="auto"/>
        <w:ind w:left="3760" w:hanging="2160"/>
      </w:pPr>
      <w:r>
        <w:rPr/>
        <w:t>Paragraph</w:t>
      </w:r>
      <w:r>
        <w:rPr>
          <w:spacing w:val="-1"/>
        </w:rPr>
        <w:t> </w:t>
      </w:r>
      <w:r>
        <w:rPr/>
        <w:t>14,</w:t>
      </w:r>
      <w:r>
        <w:rPr>
          <w:spacing w:val="-2"/>
        </w:rPr>
        <w:t> </w:t>
      </w:r>
      <w:r>
        <w:rPr/>
        <w:t>2</w:t>
      </w:r>
      <w:r>
        <w:rPr>
          <w:spacing w:val="-5"/>
        </w:rPr>
        <w:t> </w:t>
      </w:r>
      <w:r>
        <w:rPr/>
        <w:t>(b) The</w:t>
      </w:r>
      <w:r>
        <w:rPr>
          <w:spacing w:val="-1"/>
        </w:rPr>
        <w:t> </w:t>
      </w:r>
      <w:r>
        <w:rPr/>
        <w:t>security</w:t>
      </w:r>
      <w:r>
        <w:rPr>
          <w:spacing w:val="-2"/>
        </w:rPr>
        <w:t> </w:t>
      </w:r>
      <w:r>
        <w:rPr/>
        <w:t>and</w:t>
      </w:r>
      <w:r>
        <w:rPr>
          <w:spacing w:val="-5"/>
        </w:rPr>
        <w:t> </w:t>
      </w:r>
      <w:r>
        <w:rPr/>
        <w:t>welfare</w:t>
      </w:r>
      <w:r>
        <w:rPr>
          <w:spacing w:val="-5"/>
        </w:rPr>
        <w:t> </w:t>
      </w:r>
      <w:r>
        <w:rPr/>
        <w:t>of</w:t>
      </w:r>
      <w:r>
        <w:rPr>
          <w:spacing w:val="-2"/>
        </w:rPr>
        <w:t> </w:t>
      </w:r>
      <w:r>
        <w:rPr/>
        <w:t>the</w:t>
      </w:r>
      <w:r>
        <w:rPr>
          <w:spacing w:val="-5"/>
        </w:rPr>
        <w:t> </w:t>
      </w:r>
      <w:r>
        <w:rPr/>
        <w:t>people</w:t>
      </w:r>
      <w:r>
        <w:rPr>
          <w:spacing w:val="-5"/>
        </w:rPr>
        <w:t> </w:t>
      </w:r>
      <w:r>
        <w:rPr/>
        <w:t>shall be</w:t>
      </w:r>
      <w:r>
        <w:rPr>
          <w:spacing w:val="-1"/>
        </w:rPr>
        <w:t> </w:t>
      </w:r>
      <w:r>
        <w:rPr/>
        <w:t>the primary purpose of the Government, and</w:t>
      </w:r>
    </w:p>
    <w:p>
      <w:pPr>
        <w:pStyle w:val="BodyText"/>
        <w:spacing w:line="480" w:lineRule="auto" w:before="1"/>
        <w:ind w:left="3760" w:right="300" w:hanging="2160"/>
      </w:pPr>
      <w:r>
        <w:rPr/>
        <w:t>Paragraph 16, 2 (d) that suitable and adequate shelter, suitable and adequate</w:t>
      </w:r>
      <w:r>
        <w:rPr>
          <w:spacing w:val="80"/>
        </w:rPr>
        <w:t> </w:t>
      </w:r>
      <w:r>
        <w:rPr/>
        <w:t>food</w:t>
      </w:r>
      <w:r>
        <w:rPr>
          <w:spacing w:val="80"/>
        </w:rPr>
        <w:t> </w:t>
      </w:r>
      <w:r>
        <w:rPr/>
        <w:t>and</w:t>
      </w:r>
      <w:r>
        <w:rPr>
          <w:spacing w:val="80"/>
        </w:rPr>
        <w:t> </w:t>
      </w:r>
      <w:r>
        <w:rPr/>
        <w:t>welfare</w:t>
      </w:r>
      <w:r>
        <w:rPr>
          <w:spacing w:val="80"/>
        </w:rPr>
        <w:t> </w:t>
      </w:r>
      <w:r>
        <w:rPr/>
        <w:t>are</w:t>
      </w:r>
      <w:r>
        <w:rPr>
          <w:spacing w:val="80"/>
        </w:rPr>
        <w:t> </w:t>
      </w:r>
      <w:r>
        <w:rPr/>
        <w:t>provided</w:t>
      </w:r>
      <w:r>
        <w:rPr>
          <w:spacing w:val="80"/>
        </w:rPr>
        <w:t> </w:t>
      </w:r>
      <w:r>
        <w:rPr/>
        <w:t>for</w:t>
      </w:r>
      <w:r>
        <w:rPr>
          <w:spacing w:val="80"/>
        </w:rPr>
        <w:t> </w:t>
      </w:r>
      <w:r>
        <w:rPr/>
        <w:t>all</w:t>
      </w:r>
      <w:r>
        <w:rPr>
          <w:spacing w:val="80"/>
        </w:rPr>
        <w:t> </w:t>
      </w:r>
      <w:r>
        <w:rPr/>
        <w:t>citizens and</w:t>
      </w:r>
    </w:p>
    <w:p>
      <w:pPr>
        <w:pStyle w:val="BodyText"/>
        <w:tabs>
          <w:tab w:pos="4522" w:val="left" w:leader="none"/>
          <w:tab w:pos="5305" w:val="left" w:leader="none"/>
          <w:tab w:pos="6394" w:val="left" w:leader="none"/>
          <w:tab w:pos="6860" w:val="left" w:leader="none"/>
          <w:tab w:pos="7709" w:val="left" w:leader="none"/>
          <w:tab w:pos="9121" w:val="left" w:leader="none"/>
        </w:tabs>
        <w:spacing w:line="480" w:lineRule="auto"/>
        <w:ind w:left="3760" w:right="294" w:hanging="2160"/>
      </w:pPr>
      <w:r>
        <w:rPr/>
        <w:t>Paragraph 17, 2(a)</w:t>
      </w:r>
      <w:r>
        <w:rPr>
          <w:spacing w:val="40"/>
        </w:rPr>
        <w:t> </w:t>
      </w:r>
      <w:r>
        <w:rPr/>
        <w:t>“In Furtherance of the social order – as every citizen </w:t>
      </w:r>
      <w:r>
        <w:rPr>
          <w:spacing w:val="-2"/>
        </w:rPr>
        <w:t>shall</w:t>
      </w:r>
      <w:r>
        <w:rPr/>
        <w:tab/>
      </w:r>
      <w:r>
        <w:rPr>
          <w:spacing w:val="-4"/>
        </w:rPr>
        <w:t>have</w:t>
      </w:r>
      <w:r>
        <w:rPr/>
        <w:tab/>
      </w:r>
      <w:r>
        <w:rPr>
          <w:spacing w:val="-2"/>
        </w:rPr>
        <w:t>equality</w:t>
      </w:r>
      <w:r>
        <w:rPr/>
        <w:tab/>
      </w:r>
      <w:r>
        <w:rPr>
          <w:spacing w:val="-6"/>
        </w:rPr>
        <w:t>of</w:t>
      </w:r>
      <w:r>
        <w:rPr/>
        <w:tab/>
      </w:r>
      <w:r>
        <w:rPr>
          <w:spacing w:val="-2"/>
        </w:rPr>
        <w:t>rights</w:t>
      </w:r>
      <w:r>
        <w:rPr/>
        <w:tab/>
      </w:r>
      <w:r>
        <w:rPr>
          <w:spacing w:val="-2"/>
        </w:rPr>
        <w:t>obligations</w:t>
      </w:r>
      <w:r>
        <w:rPr/>
        <w:tab/>
      </w:r>
      <w:r>
        <w:rPr>
          <w:spacing w:val="-4"/>
        </w:rPr>
        <w:t>and </w:t>
      </w:r>
      <w:r>
        <w:rPr/>
        <w:t>opportunity before the law;”</w:t>
      </w:r>
    </w:p>
    <w:p>
      <w:pPr>
        <w:pStyle w:val="BodyText"/>
        <w:spacing w:line="480" w:lineRule="auto"/>
        <w:ind w:left="3760" w:right="294"/>
        <w:jc w:val="both"/>
      </w:pPr>
      <w:r>
        <w:rPr/>
        <w:t>(b) the sanctity of the human person shall be recognized and human dignity shall be maintained</w:t>
      </w:r>
      <w:r>
        <w:rPr>
          <w:spacing w:val="40"/>
        </w:rPr>
        <w:t> </w:t>
      </w:r>
      <w:r>
        <w:rPr/>
        <w:t>and</w:t>
      </w:r>
      <w:r>
        <w:rPr>
          <w:spacing w:val="-3"/>
        </w:rPr>
        <w:t> </w:t>
      </w:r>
      <w:r>
        <w:rPr>
          <w:spacing w:val="-2"/>
        </w:rPr>
        <w:t>enhanced……………………………………………..</w:t>
      </w:r>
    </w:p>
    <w:p>
      <w:pPr>
        <w:pStyle w:val="BodyText"/>
        <w:tabs>
          <w:tab w:pos="9116" w:val="left" w:leader="dot"/>
        </w:tabs>
        <w:spacing w:line="480" w:lineRule="auto"/>
        <w:ind w:left="3760" w:right="297" w:hanging="2160"/>
        <w:jc w:val="both"/>
      </w:pPr>
      <w:r>
        <w:rPr/>
        <w:t>Paragraph</w:t>
      </w:r>
      <w:r>
        <w:rPr>
          <w:spacing w:val="-1"/>
        </w:rPr>
        <w:t> </w:t>
      </w:r>
      <w:r>
        <w:rPr/>
        <w:t>3(d)</w:t>
      </w:r>
      <w:r>
        <w:rPr>
          <w:spacing w:val="80"/>
        </w:rPr>
        <w:t>   </w:t>
      </w:r>
      <w:r>
        <w:rPr/>
        <w:t>There</w:t>
      </w:r>
      <w:r>
        <w:rPr>
          <w:spacing w:val="37"/>
        </w:rPr>
        <w:t> </w:t>
      </w:r>
      <w:r>
        <w:rPr/>
        <w:t>are</w:t>
      </w:r>
      <w:r>
        <w:rPr>
          <w:spacing w:val="37"/>
        </w:rPr>
        <w:t> </w:t>
      </w:r>
      <w:r>
        <w:rPr/>
        <w:t>adequate</w:t>
      </w:r>
      <w:r>
        <w:rPr>
          <w:spacing w:val="40"/>
        </w:rPr>
        <w:t> </w:t>
      </w:r>
      <w:r>
        <w:rPr/>
        <w:t>medical</w:t>
      </w:r>
      <w:r>
        <w:rPr>
          <w:spacing w:val="40"/>
        </w:rPr>
        <w:t> </w:t>
      </w:r>
      <w:r>
        <w:rPr/>
        <w:t>and</w:t>
      </w:r>
      <w:r>
        <w:rPr>
          <w:spacing w:val="37"/>
        </w:rPr>
        <w:t> </w:t>
      </w:r>
      <w:r>
        <w:rPr/>
        <w:t>health</w:t>
      </w:r>
      <w:r>
        <w:rPr>
          <w:spacing w:val="40"/>
        </w:rPr>
        <w:t> </w:t>
      </w:r>
      <w:r>
        <w:rPr/>
        <w:t>facilities</w:t>
      </w:r>
      <w:r>
        <w:rPr>
          <w:spacing w:val="39"/>
        </w:rPr>
        <w:t> </w:t>
      </w:r>
      <w:r>
        <w:rPr/>
        <w:t>for all</w:t>
      </w:r>
      <w:r>
        <w:rPr>
          <w:spacing w:val="44"/>
        </w:rPr>
        <w:t> </w:t>
      </w:r>
      <w:r>
        <w:rPr>
          <w:spacing w:val="-2"/>
        </w:rPr>
        <w:t>persons,</w:t>
      </w:r>
      <w:r>
        <w:rPr/>
        <w:tab/>
      </w:r>
      <w:r>
        <w:rPr>
          <w:spacing w:val="-5"/>
        </w:rPr>
        <w:t>and</w:t>
      </w:r>
    </w:p>
    <w:p>
      <w:pPr>
        <w:pStyle w:val="BodyText"/>
        <w:spacing w:line="480" w:lineRule="auto"/>
        <w:ind w:left="3760" w:right="298"/>
        <w:jc w:val="both"/>
      </w:pPr>
      <w:r>
        <w:rPr/>
        <w:t>(f) children, young persons and aged are protected against any exploitation whatsoever, and against moral and material neglect.”</w:t>
      </w:r>
    </w:p>
    <w:p>
      <w:pPr>
        <w:pStyle w:val="BodyText"/>
        <w:spacing w:line="480" w:lineRule="auto"/>
        <w:ind w:left="880" w:right="296" w:firstLine="720"/>
        <w:jc w:val="both"/>
      </w:pPr>
      <w:r>
        <w:rPr/>
        <w:t>Similarly, section S5.5(2) (h) University of Ibadan Act 1962 as amended, holds that “the supervision of the welfare of students at the university and the regulation of their conduct is vested in the senate” (Ojo 1995:17).</w:t>
      </w:r>
    </w:p>
    <w:p>
      <w:pPr>
        <w:spacing w:after="0" w:line="480" w:lineRule="auto"/>
        <w:jc w:val="both"/>
        <w:sectPr>
          <w:headerReference w:type="default" r:id="rId82"/>
          <w:footerReference w:type="default" r:id="rId83"/>
          <w:pgSz w:w="12240" w:h="15840"/>
          <w:pgMar w:header="722" w:footer="791" w:top="1060" w:bottom="980" w:left="1280" w:right="1140"/>
        </w:sectPr>
      </w:pPr>
    </w:p>
    <w:p>
      <w:pPr>
        <w:pStyle w:val="BodyText"/>
        <w:spacing w:before="86"/>
      </w:pPr>
    </w:p>
    <w:p>
      <w:pPr>
        <w:pStyle w:val="BodyText"/>
        <w:spacing w:line="480" w:lineRule="auto"/>
        <w:ind w:left="880" w:right="294" w:firstLine="720"/>
        <w:jc w:val="both"/>
      </w:pPr>
      <w:r>
        <w:rPr/>
        <w:t>In the opening speech of the Principal of the North East College of Arts and Science in 1974, which metamorphosed to University of Maiduguri the following year, emphasis was seriously laid on students’ welfare as he rightly </w:t>
      </w:r>
      <w:r>
        <w:rPr>
          <w:spacing w:val="-2"/>
        </w:rPr>
        <w:t>said:</w:t>
      </w:r>
    </w:p>
    <w:p>
      <w:pPr>
        <w:pStyle w:val="BodyText"/>
        <w:spacing w:line="480" w:lineRule="auto"/>
        <w:ind w:left="880" w:right="294" w:firstLine="720"/>
        <w:jc w:val="both"/>
      </w:pPr>
      <w:r>
        <w:rPr/>
        <w:t>“for students to be properly educated morally and culturally oriented, committed to their studies, devoid of rioting and rebellious behaviour, they must be provided with maximum supply of welfare facilities for extra curricular activities, sporting, games, athletics, accommodation, medical services and conducive</w:t>
      </w:r>
      <w:r>
        <w:rPr>
          <w:spacing w:val="-2"/>
        </w:rPr>
        <w:t> </w:t>
      </w:r>
      <w:r>
        <w:rPr/>
        <w:t>environment</w:t>
      </w:r>
      <w:r>
        <w:rPr>
          <w:spacing w:val="-3"/>
        </w:rPr>
        <w:t> </w:t>
      </w:r>
      <w:r>
        <w:rPr/>
        <w:t>for</w:t>
      </w:r>
      <w:r>
        <w:rPr>
          <w:spacing w:val="-1"/>
        </w:rPr>
        <w:t> </w:t>
      </w:r>
      <w:r>
        <w:rPr/>
        <w:t>academic</w:t>
      </w:r>
      <w:r>
        <w:rPr>
          <w:spacing w:val="-3"/>
        </w:rPr>
        <w:t> </w:t>
      </w:r>
      <w:r>
        <w:rPr/>
        <w:t>activities”.</w:t>
      </w:r>
      <w:r>
        <w:rPr>
          <w:spacing w:val="-3"/>
        </w:rPr>
        <w:t> </w:t>
      </w:r>
      <w:r>
        <w:rPr/>
        <w:t>(University</w:t>
      </w:r>
      <w:r>
        <w:rPr>
          <w:spacing w:val="-3"/>
        </w:rPr>
        <w:t> </w:t>
      </w:r>
      <w:r>
        <w:rPr/>
        <w:t>of</w:t>
      </w:r>
      <w:r>
        <w:rPr>
          <w:spacing w:val="-3"/>
        </w:rPr>
        <w:t> </w:t>
      </w:r>
      <w:r>
        <w:rPr/>
        <w:t>Maiduguri calendar 1975-1985:74). Against this backdrop the university administration placed high premium on students’ welfare. There was a strong conviction that students’ welfare</w:t>
      </w:r>
      <w:r>
        <w:rPr>
          <w:spacing w:val="-3"/>
        </w:rPr>
        <w:t> </w:t>
      </w:r>
      <w:r>
        <w:rPr/>
        <w:t>was</w:t>
      </w:r>
      <w:r>
        <w:rPr>
          <w:spacing w:val="-3"/>
        </w:rPr>
        <w:t> </w:t>
      </w:r>
      <w:r>
        <w:rPr/>
        <w:t>paramount.</w:t>
      </w:r>
      <w:r>
        <w:rPr>
          <w:spacing w:val="-4"/>
        </w:rPr>
        <w:t> </w:t>
      </w:r>
      <w:r>
        <w:rPr/>
        <w:t>Moreso,</w:t>
      </w:r>
      <w:r>
        <w:rPr>
          <w:spacing w:val="-3"/>
        </w:rPr>
        <w:t> </w:t>
      </w:r>
      <w:r>
        <w:rPr/>
        <w:t>decree</w:t>
      </w:r>
      <w:r>
        <w:rPr>
          <w:spacing w:val="-3"/>
        </w:rPr>
        <w:t> </w:t>
      </w:r>
      <w:r>
        <w:rPr/>
        <w:t>No.</w:t>
      </w:r>
      <w:r>
        <w:rPr>
          <w:spacing w:val="-7"/>
        </w:rPr>
        <w:t> </w:t>
      </w:r>
      <w:r>
        <w:rPr/>
        <w:t>83</w:t>
      </w:r>
      <w:r>
        <w:rPr>
          <w:spacing w:val="-3"/>
        </w:rPr>
        <w:t> </w:t>
      </w:r>
      <w:r>
        <w:rPr/>
        <w:t>(1971) establishing</w:t>
      </w:r>
      <w:r>
        <w:rPr>
          <w:spacing w:val="-3"/>
        </w:rPr>
        <w:t> </w:t>
      </w:r>
      <w:r>
        <w:rPr/>
        <w:t>the</w:t>
      </w:r>
      <w:r>
        <w:rPr>
          <w:spacing w:val="-3"/>
        </w:rPr>
        <w:t> </w:t>
      </w:r>
      <w:r>
        <w:rPr/>
        <w:t>university conferred power on the administration to provide for students’ discipline and welfare. It</w:t>
      </w:r>
      <w:r>
        <w:rPr>
          <w:spacing w:val="-3"/>
        </w:rPr>
        <w:t> </w:t>
      </w:r>
      <w:r>
        <w:rPr/>
        <w:t>specifically enjoins the Senate to be “responsible for provision, control, supervision and formulation of students’ welfare policies”.</w:t>
      </w:r>
    </w:p>
    <w:p>
      <w:pPr>
        <w:pStyle w:val="BodyText"/>
        <w:spacing w:line="480" w:lineRule="auto" w:before="1"/>
        <w:ind w:left="880" w:right="296" w:firstLine="720"/>
        <w:jc w:val="both"/>
      </w:pPr>
      <w:r>
        <w:rPr/>
        <w:t>In Usmanu Dan Fodiyo University, the Vice Chancellor, Professor A.S. Mikailu in a welcome address to fresh students in the 1998/99 session assured</w:t>
      </w:r>
      <w:r>
        <w:rPr>
          <w:spacing w:val="40"/>
        </w:rPr>
        <w:t> </w:t>
      </w:r>
      <w:r>
        <w:rPr/>
        <w:t>all students about the universities’ concern on their welfare. He said, “we would do everything within our resources to improve your welfare so that your period of stay in the university will be a fruitful one”.</w:t>
      </w:r>
    </w:p>
    <w:p>
      <w:pPr>
        <w:pStyle w:val="BodyText"/>
        <w:spacing w:line="480" w:lineRule="auto"/>
        <w:ind w:left="880" w:right="296" w:firstLine="720"/>
        <w:jc w:val="both"/>
      </w:pPr>
      <w:r>
        <w:rPr/>
        <w:t>It is very clear that these excerpts alone stress the concern and regards</w:t>
      </w:r>
      <w:r>
        <w:rPr>
          <w:spacing w:val="80"/>
        </w:rPr>
        <w:t> </w:t>
      </w:r>
      <w:r>
        <w:rPr/>
        <w:t>by the management and the Government for the universal principles underlying the</w:t>
      </w:r>
      <w:r>
        <w:rPr>
          <w:spacing w:val="68"/>
        </w:rPr>
        <w:t> </w:t>
      </w:r>
      <w:r>
        <w:rPr/>
        <w:t>complete</w:t>
      </w:r>
      <w:r>
        <w:rPr>
          <w:spacing w:val="69"/>
        </w:rPr>
        <w:t> </w:t>
      </w:r>
      <w:r>
        <w:rPr/>
        <w:t>welfare</w:t>
      </w:r>
      <w:r>
        <w:rPr>
          <w:spacing w:val="69"/>
        </w:rPr>
        <w:t> </w:t>
      </w:r>
      <w:r>
        <w:rPr/>
        <w:t>of</w:t>
      </w:r>
      <w:r>
        <w:rPr>
          <w:spacing w:val="69"/>
        </w:rPr>
        <w:t> </w:t>
      </w:r>
      <w:r>
        <w:rPr/>
        <w:t>students,</w:t>
      </w:r>
      <w:r>
        <w:rPr>
          <w:spacing w:val="69"/>
        </w:rPr>
        <w:t> </w:t>
      </w:r>
      <w:r>
        <w:rPr/>
        <w:t>particularly</w:t>
      </w:r>
      <w:r>
        <w:rPr>
          <w:spacing w:val="68"/>
        </w:rPr>
        <w:t> </w:t>
      </w:r>
      <w:r>
        <w:rPr/>
        <w:t>the</w:t>
      </w:r>
      <w:r>
        <w:rPr>
          <w:spacing w:val="68"/>
        </w:rPr>
        <w:t> </w:t>
      </w:r>
      <w:r>
        <w:rPr/>
        <w:t>philosophy</w:t>
      </w:r>
      <w:r>
        <w:rPr>
          <w:spacing w:val="64"/>
        </w:rPr>
        <w:t> </w:t>
      </w:r>
      <w:r>
        <w:rPr/>
        <w:t>underlying</w:t>
      </w:r>
      <w:r>
        <w:rPr>
          <w:spacing w:val="68"/>
        </w:rPr>
        <w:t> </w:t>
      </w:r>
      <w:r>
        <w:rPr>
          <w:spacing w:val="-5"/>
        </w:rPr>
        <w:t>the</w:t>
      </w:r>
    </w:p>
    <w:p>
      <w:pPr>
        <w:spacing w:after="0" w:line="480" w:lineRule="auto"/>
        <w:jc w:val="both"/>
        <w:sectPr>
          <w:headerReference w:type="default" r:id="rId84"/>
          <w:footerReference w:type="default" r:id="rId85"/>
          <w:pgSz w:w="12240" w:h="15840"/>
          <w:pgMar w:header="722" w:footer="791" w:top="1060" w:bottom="980" w:left="1280" w:right="1140"/>
        </w:sectPr>
      </w:pPr>
    </w:p>
    <w:p>
      <w:pPr>
        <w:pStyle w:val="BodyText"/>
        <w:spacing w:before="86"/>
      </w:pPr>
    </w:p>
    <w:p>
      <w:pPr>
        <w:pStyle w:val="BodyText"/>
        <w:spacing w:line="480" w:lineRule="auto"/>
        <w:ind w:left="880" w:right="296"/>
        <w:jc w:val="both"/>
      </w:pPr>
      <w:r>
        <w:rPr/>
        <w:t>principles of health, dignity and worth of children which cannot be achieved without the provision of adequate basic welfare facilities. The realization of this philosophy for a meaningful education therefore relies to a large extent upon the ability of the university to provide and manage whatever human and material resources at its disposal tagged for students’ welfare.</w:t>
      </w:r>
    </w:p>
    <w:p>
      <w:pPr>
        <w:pStyle w:val="BodyText"/>
        <w:spacing w:line="480" w:lineRule="auto" w:before="1"/>
        <w:ind w:left="880" w:right="293" w:firstLine="720"/>
        <w:jc w:val="both"/>
      </w:pPr>
      <w:r>
        <w:rPr/>
        <w:t>In the reasoning of Ifadi (1988:11) the neglect of the responsibility of the welfare of the young, particularly, students “culminates into moral decadence, chaos, and unrest in the university. For instance the Ahmadu Bello University ‘Rice crisis’ in 1981 where students demanded the removal of the Catering Manageress over the non-inclusion of rice in the main menu of students’ feeding as one of the causes of riot which resulted to lost of two lives and destruction of property worth over </w:t>
      </w:r>
      <w:r>
        <w:rPr>
          <w:dstrike/>
        </w:rPr>
        <w:t>N</w:t>
      </w:r>
      <w:r>
        <w:rPr>
          <w:strike w:val="0"/>
        </w:rPr>
        <w:t>151,620.68, Aliyu, (1981:3). In January 1977 Bayero University, Kano students demonstrated on poor quality of food, inexperienced kitchen staff and unhygienic kitchen condition. They boycotted the dining room and matched enmasse to the Registrar’s house demanding for buses to go and eat in town.</w:t>
      </w:r>
      <w:r>
        <w:rPr>
          <w:strike w:val="0"/>
          <w:spacing w:val="40"/>
        </w:rPr>
        <w:t> </w:t>
      </w:r>
      <w:r>
        <w:rPr>
          <w:strike w:val="0"/>
        </w:rPr>
        <w:t>Similarly, the students’ unrest of 1971, when students of Nnamdi Azikiwe hall of University of Ibadan (UI) wanted the removal of Mrs. Apamkpa,</w:t>
      </w:r>
      <w:r>
        <w:rPr>
          <w:strike w:val="0"/>
          <w:spacing w:val="40"/>
        </w:rPr>
        <w:t> </w:t>
      </w:r>
      <w:r>
        <w:rPr>
          <w:strike w:val="0"/>
        </w:rPr>
        <w:t>the</w:t>
      </w:r>
      <w:r>
        <w:rPr>
          <w:strike w:val="0"/>
          <w:spacing w:val="-1"/>
        </w:rPr>
        <w:t> </w:t>
      </w:r>
      <w:r>
        <w:rPr>
          <w:strike w:val="0"/>
        </w:rPr>
        <w:t>hall catering</w:t>
      </w:r>
      <w:r>
        <w:rPr>
          <w:strike w:val="0"/>
          <w:spacing w:val="-1"/>
        </w:rPr>
        <w:t> </w:t>
      </w:r>
      <w:r>
        <w:rPr>
          <w:strike w:val="0"/>
        </w:rPr>
        <w:t>officer then,</w:t>
      </w:r>
      <w:r>
        <w:rPr>
          <w:strike w:val="0"/>
          <w:spacing w:val="-1"/>
        </w:rPr>
        <w:t> </w:t>
      </w:r>
      <w:r>
        <w:rPr>
          <w:strike w:val="0"/>
        </w:rPr>
        <w:t>due</w:t>
      </w:r>
      <w:r>
        <w:rPr>
          <w:strike w:val="0"/>
          <w:spacing w:val="-1"/>
        </w:rPr>
        <w:t> </w:t>
      </w:r>
      <w:r>
        <w:rPr>
          <w:strike w:val="0"/>
        </w:rPr>
        <w:t>to</w:t>
      </w:r>
      <w:r>
        <w:rPr>
          <w:strike w:val="0"/>
          <w:spacing w:val="-1"/>
        </w:rPr>
        <w:t> </w:t>
      </w:r>
      <w:r>
        <w:rPr>
          <w:strike w:val="0"/>
        </w:rPr>
        <w:t>poor quality</w:t>
      </w:r>
      <w:r>
        <w:rPr>
          <w:strike w:val="0"/>
          <w:spacing w:val="-1"/>
        </w:rPr>
        <w:t> </w:t>
      </w:r>
      <w:r>
        <w:rPr>
          <w:strike w:val="0"/>
        </w:rPr>
        <w:t>of</w:t>
      </w:r>
      <w:r>
        <w:rPr>
          <w:strike w:val="0"/>
          <w:spacing w:val="-1"/>
        </w:rPr>
        <w:t> </w:t>
      </w:r>
      <w:r>
        <w:rPr>
          <w:strike w:val="0"/>
        </w:rPr>
        <w:t>food</w:t>
      </w:r>
      <w:r>
        <w:rPr>
          <w:strike w:val="0"/>
          <w:spacing w:val="-1"/>
        </w:rPr>
        <w:t> </w:t>
      </w:r>
      <w:r>
        <w:rPr>
          <w:strike w:val="0"/>
        </w:rPr>
        <w:t>and</w:t>
      </w:r>
      <w:r>
        <w:rPr>
          <w:strike w:val="0"/>
          <w:spacing w:val="-1"/>
        </w:rPr>
        <w:t> </w:t>
      </w:r>
      <w:r>
        <w:rPr>
          <w:strike w:val="0"/>
        </w:rPr>
        <w:t>inadequate</w:t>
      </w:r>
      <w:r>
        <w:rPr>
          <w:strike w:val="0"/>
          <w:spacing w:val="-1"/>
        </w:rPr>
        <w:t> </w:t>
      </w:r>
      <w:r>
        <w:rPr>
          <w:strike w:val="0"/>
        </w:rPr>
        <w:t>supply</w:t>
      </w:r>
      <w:r>
        <w:rPr>
          <w:strike w:val="0"/>
          <w:spacing w:val="-1"/>
        </w:rPr>
        <w:t> </w:t>
      </w:r>
      <w:r>
        <w:rPr>
          <w:strike w:val="0"/>
        </w:rPr>
        <w:t>of drinks and which consequently, escalated to clashes between the Students</w:t>
      </w:r>
      <w:r>
        <w:rPr>
          <w:strike w:val="0"/>
          <w:spacing w:val="40"/>
        </w:rPr>
        <w:t> </w:t>
      </w:r>
      <w:r>
        <w:rPr>
          <w:strike w:val="0"/>
        </w:rPr>
        <w:t>Union and the Police resulting in the death of one Adekunle Adepeju (Lawal, 1999). These events can attest as some of the best examples of students’ crisis tied to problem of students’ welfare. This clearly goes without saying that when what</w:t>
      </w:r>
      <w:r>
        <w:rPr>
          <w:strike w:val="0"/>
          <w:spacing w:val="24"/>
        </w:rPr>
        <w:t> </w:t>
      </w:r>
      <w:r>
        <w:rPr>
          <w:strike w:val="0"/>
        </w:rPr>
        <w:t>belongs</w:t>
      </w:r>
      <w:r>
        <w:rPr>
          <w:strike w:val="0"/>
          <w:spacing w:val="20"/>
        </w:rPr>
        <w:t> </w:t>
      </w:r>
      <w:r>
        <w:rPr>
          <w:strike w:val="0"/>
        </w:rPr>
        <w:t>to</w:t>
      </w:r>
      <w:r>
        <w:rPr>
          <w:strike w:val="0"/>
          <w:spacing w:val="25"/>
        </w:rPr>
        <w:t> </w:t>
      </w:r>
      <w:r>
        <w:rPr>
          <w:strike w:val="0"/>
        </w:rPr>
        <w:t>students</w:t>
      </w:r>
      <w:r>
        <w:rPr>
          <w:strike w:val="0"/>
          <w:spacing w:val="20"/>
        </w:rPr>
        <w:t> </w:t>
      </w:r>
      <w:r>
        <w:rPr>
          <w:strike w:val="0"/>
        </w:rPr>
        <w:t>are</w:t>
      </w:r>
      <w:r>
        <w:rPr>
          <w:strike w:val="0"/>
          <w:spacing w:val="25"/>
        </w:rPr>
        <w:t> </w:t>
      </w:r>
      <w:r>
        <w:rPr>
          <w:strike w:val="0"/>
        </w:rPr>
        <w:t>not</w:t>
      </w:r>
      <w:r>
        <w:rPr>
          <w:strike w:val="0"/>
          <w:spacing w:val="24"/>
        </w:rPr>
        <w:t> </w:t>
      </w:r>
      <w:r>
        <w:rPr>
          <w:strike w:val="0"/>
        </w:rPr>
        <w:t>managed</w:t>
      </w:r>
      <w:r>
        <w:rPr>
          <w:strike w:val="0"/>
          <w:spacing w:val="20"/>
        </w:rPr>
        <w:t> </w:t>
      </w:r>
      <w:r>
        <w:rPr>
          <w:strike w:val="0"/>
        </w:rPr>
        <w:t>and</w:t>
      </w:r>
      <w:r>
        <w:rPr>
          <w:strike w:val="0"/>
          <w:spacing w:val="25"/>
        </w:rPr>
        <w:t> </w:t>
      </w:r>
      <w:r>
        <w:rPr>
          <w:strike w:val="0"/>
        </w:rPr>
        <w:t>given</w:t>
      </w:r>
      <w:r>
        <w:rPr>
          <w:strike w:val="0"/>
          <w:spacing w:val="21"/>
        </w:rPr>
        <w:t> </w:t>
      </w:r>
      <w:r>
        <w:rPr>
          <w:strike w:val="0"/>
        </w:rPr>
        <w:t>to</w:t>
      </w:r>
      <w:r>
        <w:rPr>
          <w:strike w:val="0"/>
          <w:spacing w:val="25"/>
        </w:rPr>
        <w:t> </w:t>
      </w:r>
      <w:r>
        <w:rPr>
          <w:strike w:val="0"/>
        </w:rPr>
        <w:t>them</w:t>
      </w:r>
      <w:r>
        <w:rPr>
          <w:strike w:val="0"/>
          <w:spacing w:val="16"/>
        </w:rPr>
        <w:t> </w:t>
      </w:r>
      <w:r>
        <w:rPr>
          <w:strike w:val="0"/>
        </w:rPr>
        <w:t>properly,</w:t>
      </w:r>
      <w:r>
        <w:rPr>
          <w:strike w:val="0"/>
          <w:spacing w:val="21"/>
        </w:rPr>
        <w:t> </w:t>
      </w:r>
      <w:r>
        <w:rPr>
          <w:strike w:val="0"/>
          <w:spacing w:val="-2"/>
        </w:rPr>
        <w:t>peace,</w:t>
      </w:r>
    </w:p>
    <w:p>
      <w:pPr>
        <w:spacing w:after="0" w:line="480" w:lineRule="auto"/>
        <w:jc w:val="both"/>
        <w:sectPr>
          <w:headerReference w:type="default" r:id="rId86"/>
          <w:footerReference w:type="default" r:id="rId87"/>
          <w:pgSz w:w="12240" w:h="15840"/>
          <w:pgMar w:header="722" w:footer="791" w:top="1060" w:bottom="980" w:left="1280" w:right="1140"/>
        </w:sectPr>
      </w:pPr>
    </w:p>
    <w:p>
      <w:pPr>
        <w:pStyle w:val="BodyText"/>
        <w:spacing w:before="86"/>
      </w:pPr>
    </w:p>
    <w:p>
      <w:pPr>
        <w:pStyle w:val="BodyText"/>
        <w:spacing w:line="480" w:lineRule="auto"/>
        <w:ind w:left="880" w:right="302"/>
        <w:jc w:val="both"/>
      </w:pPr>
      <w:r>
        <w:rPr/>
        <w:t>stability and conducive environment will not reign for effective teaching, learning and research to take place.</w:t>
      </w:r>
    </w:p>
    <w:p>
      <w:pPr>
        <w:pStyle w:val="BodyText"/>
        <w:spacing w:line="480" w:lineRule="auto"/>
        <w:ind w:left="880" w:right="299" w:firstLine="720"/>
        <w:jc w:val="both"/>
      </w:pPr>
      <w:r>
        <w:rPr/>
        <w:t>In the University system, some of the most crucial and relevant welfare services students cannot do without can be classified into four and their impact on students’ behaviour can be discussed at length. These are:</w:t>
      </w:r>
    </w:p>
    <w:p>
      <w:pPr>
        <w:pStyle w:val="ListParagraph"/>
        <w:numPr>
          <w:ilvl w:val="0"/>
          <w:numId w:val="22"/>
        </w:numPr>
        <w:tabs>
          <w:tab w:pos="880" w:val="left" w:leader="none"/>
        </w:tabs>
        <w:spacing w:line="475" w:lineRule="auto" w:before="0" w:after="0"/>
        <w:ind w:left="880" w:right="299" w:hanging="360"/>
        <w:jc w:val="both"/>
        <w:rPr>
          <w:sz w:val="24"/>
        </w:rPr>
      </w:pPr>
      <w:r>
        <w:rPr>
          <w:rFonts w:ascii="Arial" w:hAnsi="Arial"/>
          <w:b/>
          <w:sz w:val="24"/>
        </w:rPr>
        <w:t>Social Services: </w:t>
      </w:r>
      <w:r>
        <w:rPr>
          <w:sz w:val="24"/>
        </w:rPr>
        <w:t>These are students’ feeding, hostel accommodation, guidance and counseling, sports and recreation, security, transportation, religious, clubs and societies, banking and shopping services, adequate electricity and water </w:t>
      </w:r>
      <w:r>
        <w:rPr>
          <w:spacing w:val="-2"/>
          <w:sz w:val="24"/>
        </w:rPr>
        <w:t>supply.</w:t>
      </w:r>
    </w:p>
    <w:p>
      <w:pPr>
        <w:pStyle w:val="ListParagraph"/>
        <w:numPr>
          <w:ilvl w:val="0"/>
          <w:numId w:val="22"/>
        </w:numPr>
        <w:tabs>
          <w:tab w:pos="880" w:val="left" w:leader="none"/>
        </w:tabs>
        <w:spacing w:line="477" w:lineRule="auto" w:before="0" w:after="0"/>
        <w:ind w:left="880" w:right="295" w:hanging="360"/>
        <w:jc w:val="both"/>
        <w:rPr>
          <w:sz w:val="24"/>
        </w:rPr>
      </w:pPr>
      <w:r>
        <w:rPr>
          <w:rFonts w:ascii="Arial" w:hAnsi="Arial"/>
          <w:b/>
          <w:sz w:val="24"/>
        </w:rPr>
        <w:t>Academic Services: </w:t>
      </w:r>
      <w:r>
        <w:rPr>
          <w:sz w:val="24"/>
        </w:rPr>
        <w:t>These are classroom and lecture hall accommodation, library facilities, laboratory equipment, teaching and learning equipments, information and communication technology such as websites, computers,</w:t>
      </w:r>
      <w:r>
        <w:rPr>
          <w:spacing w:val="80"/>
          <w:sz w:val="24"/>
        </w:rPr>
        <w:t> </w:t>
      </w:r>
      <w:r>
        <w:rPr>
          <w:sz w:val="24"/>
        </w:rPr>
        <w:t>internet cafes, telephones, handsets, bookshops, printing press, field and practical trips and work and students adviser advisee services.</w:t>
      </w:r>
    </w:p>
    <w:p>
      <w:pPr>
        <w:pStyle w:val="ListParagraph"/>
        <w:numPr>
          <w:ilvl w:val="0"/>
          <w:numId w:val="22"/>
        </w:numPr>
        <w:tabs>
          <w:tab w:pos="880" w:val="left" w:leader="none"/>
        </w:tabs>
        <w:spacing w:line="475" w:lineRule="auto" w:before="0" w:after="0"/>
        <w:ind w:left="880" w:right="294" w:hanging="360"/>
        <w:jc w:val="both"/>
        <w:rPr>
          <w:sz w:val="24"/>
        </w:rPr>
      </w:pPr>
      <w:r>
        <w:rPr>
          <w:rFonts w:ascii="Arial" w:hAnsi="Arial"/>
          <w:b/>
          <w:sz w:val="24"/>
        </w:rPr>
        <w:t>Students Medical/Health Services: </w:t>
      </w:r>
      <w:r>
        <w:rPr>
          <w:sz w:val="24"/>
        </w:rPr>
        <w:t>These include health and sanitation, clinics and medical centers, hospitals, treatment of diseases, inoculations and vaccination against diseases HIV Aids treatment, curative and preventive supplements or drugs and campaigns on various health problems.</w:t>
      </w:r>
    </w:p>
    <w:p>
      <w:pPr>
        <w:pStyle w:val="ListParagraph"/>
        <w:numPr>
          <w:ilvl w:val="0"/>
          <w:numId w:val="22"/>
        </w:numPr>
        <w:tabs>
          <w:tab w:pos="880" w:val="left" w:leader="none"/>
        </w:tabs>
        <w:spacing w:line="472" w:lineRule="auto" w:before="0" w:after="0"/>
        <w:ind w:left="880" w:right="295" w:hanging="360"/>
        <w:jc w:val="both"/>
        <w:rPr>
          <w:sz w:val="24"/>
        </w:rPr>
      </w:pPr>
      <w:r>
        <w:rPr>
          <w:rFonts w:ascii="Arial" w:hAnsi="Arial"/>
          <w:b/>
          <w:sz w:val="24"/>
        </w:rPr>
        <w:t>Environmental Services: </w:t>
      </w:r>
      <w:r>
        <w:rPr>
          <w:sz w:val="24"/>
        </w:rPr>
        <w:t>Facilitation of conducive campus, free of crisis environment for effective teaching and learning i.e. free and suitable noise free institutional climate.</w:t>
      </w:r>
    </w:p>
    <w:p>
      <w:pPr>
        <w:pStyle w:val="BodyText"/>
        <w:spacing w:line="480" w:lineRule="auto" w:before="4"/>
        <w:ind w:left="880" w:right="299" w:firstLine="720"/>
        <w:jc w:val="both"/>
      </w:pPr>
      <w:r>
        <w:rPr/>
        <w:t>Student –Lecturer and student-student good relationship, cordial relations between</w:t>
      </w:r>
      <w:r>
        <w:rPr>
          <w:spacing w:val="-1"/>
        </w:rPr>
        <w:t> </w:t>
      </w:r>
      <w:r>
        <w:rPr/>
        <w:t>gender,</w:t>
      </w:r>
      <w:r>
        <w:rPr>
          <w:spacing w:val="-2"/>
        </w:rPr>
        <w:t> </w:t>
      </w:r>
      <w:r>
        <w:rPr/>
        <w:t>cultivation</w:t>
      </w:r>
      <w:r>
        <w:rPr>
          <w:spacing w:val="-5"/>
        </w:rPr>
        <w:t> </w:t>
      </w:r>
      <w:r>
        <w:rPr/>
        <w:t>of</w:t>
      </w:r>
      <w:r>
        <w:rPr>
          <w:spacing w:val="-2"/>
        </w:rPr>
        <w:t> </w:t>
      </w:r>
      <w:r>
        <w:rPr/>
        <w:t>atmosphere</w:t>
      </w:r>
      <w:r>
        <w:rPr>
          <w:spacing w:val="-1"/>
        </w:rPr>
        <w:t> </w:t>
      </w:r>
      <w:r>
        <w:rPr/>
        <w:t>of</w:t>
      </w:r>
      <w:r>
        <w:rPr>
          <w:spacing w:val="-6"/>
        </w:rPr>
        <w:t> </w:t>
      </w:r>
      <w:r>
        <w:rPr/>
        <w:t>belongingness</w:t>
      </w:r>
      <w:r>
        <w:rPr>
          <w:spacing w:val="-2"/>
        </w:rPr>
        <w:t> </w:t>
      </w:r>
      <w:r>
        <w:rPr/>
        <w:t>and</w:t>
      </w:r>
      <w:r>
        <w:rPr>
          <w:spacing w:val="-1"/>
        </w:rPr>
        <w:t> </w:t>
      </w:r>
      <w:r>
        <w:rPr/>
        <w:t>self-confidence.</w:t>
      </w:r>
    </w:p>
    <w:p>
      <w:pPr>
        <w:spacing w:after="0" w:line="480" w:lineRule="auto"/>
        <w:jc w:val="both"/>
        <w:sectPr>
          <w:headerReference w:type="default" r:id="rId88"/>
          <w:footerReference w:type="default" r:id="rId89"/>
          <w:pgSz w:w="12240" w:h="15840"/>
          <w:pgMar w:header="722" w:footer="791" w:top="1060" w:bottom="980" w:left="1280" w:right="1140"/>
        </w:sectPr>
      </w:pPr>
    </w:p>
    <w:p>
      <w:pPr>
        <w:pStyle w:val="BodyText"/>
        <w:spacing w:before="86"/>
      </w:pPr>
    </w:p>
    <w:p>
      <w:pPr>
        <w:pStyle w:val="BodyText"/>
        <w:spacing w:line="480" w:lineRule="auto"/>
        <w:ind w:left="880" w:right="297" w:firstLine="720"/>
        <w:jc w:val="both"/>
      </w:pPr>
      <w:r>
        <w:rPr/>
        <w:t>Clean beautiful environment with flowers, gardens, walkways, parks and </w:t>
      </w:r>
      <w:r>
        <w:rPr>
          <w:spacing w:val="-2"/>
        </w:rPr>
        <w:t>gardens.</w:t>
      </w:r>
    </w:p>
    <w:p>
      <w:pPr>
        <w:pStyle w:val="ListParagraph"/>
        <w:numPr>
          <w:ilvl w:val="0"/>
          <w:numId w:val="22"/>
        </w:numPr>
        <w:tabs>
          <w:tab w:pos="880" w:val="left" w:leader="none"/>
        </w:tabs>
        <w:spacing w:line="475" w:lineRule="auto" w:before="0" w:after="0"/>
        <w:ind w:left="880" w:right="296" w:hanging="360"/>
        <w:jc w:val="both"/>
        <w:rPr>
          <w:sz w:val="24"/>
        </w:rPr>
      </w:pPr>
      <w:r>
        <w:rPr>
          <w:rFonts w:ascii="Arial" w:hAnsi="Arial"/>
          <w:b/>
          <w:sz w:val="24"/>
        </w:rPr>
        <w:t>Perceived Management Strategies: </w:t>
      </w:r>
      <w:r>
        <w:rPr>
          <w:sz w:val="24"/>
        </w:rPr>
        <w:t>These are prominent devices, which contribute to effective management of the services. They include Funding, Role of Student Affairs Division, Students’ Welfare Management Board, Donor Agencies, Linkages and Alumni base.</w:t>
      </w:r>
    </w:p>
    <w:p>
      <w:pPr>
        <w:pStyle w:val="BodyText"/>
        <w:spacing w:line="480" w:lineRule="auto" w:before="1"/>
        <w:ind w:left="880" w:right="294" w:firstLine="720"/>
        <w:jc w:val="both"/>
      </w:pPr>
      <w:r>
        <w:rPr/>
        <w:t>Committee Systems such as Accommodation allocation, Students’ Hall Committees, Market Management Committee, Student Union activities and its control etc.</w:t>
      </w:r>
    </w:p>
    <w:p>
      <w:pPr>
        <w:pStyle w:val="Heading2"/>
        <w:numPr>
          <w:ilvl w:val="2"/>
          <w:numId w:val="19"/>
        </w:numPr>
        <w:tabs>
          <w:tab w:pos="877" w:val="left" w:leader="none"/>
        </w:tabs>
        <w:spacing w:line="318" w:lineRule="exact" w:before="0" w:after="0"/>
        <w:ind w:left="877" w:right="0" w:hanging="717"/>
        <w:jc w:val="left"/>
        <w:rPr>
          <w:rFonts w:ascii="Arial MT"/>
          <w:b w:val="0"/>
        </w:rPr>
      </w:pPr>
      <w:bookmarkStart w:name="_TOC_250047" w:id="21"/>
      <w:r>
        <w:rPr/>
        <w:t>Social</w:t>
      </w:r>
      <w:r>
        <w:rPr>
          <w:spacing w:val="-10"/>
        </w:rPr>
        <w:t> </w:t>
      </w:r>
      <w:bookmarkEnd w:id="21"/>
      <w:r>
        <w:rPr>
          <w:spacing w:val="-2"/>
        </w:rPr>
        <w:t>Services</w:t>
      </w:r>
    </w:p>
    <w:p>
      <w:pPr>
        <w:pStyle w:val="ListParagraph"/>
        <w:numPr>
          <w:ilvl w:val="3"/>
          <w:numId w:val="19"/>
        </w:numPr>
        <w:tabs>
          <w:tab w:pos="1165" w:val="left" w:leader="none"/>
        </w:tabs>
        <w:spacing w:line="240" w:lineRule="auto" w:before="322" w:after="0"/>
        <w:ind w:left="1165" w:right="0" w:hanging="1005"/>
        <w:jc w:val="left"/>
        <w:rPr>
          <w:rFonts w:ascii="Arial" w:hAnsi="Arial"/>
          <w:b/>
          <w:sz w:val="28"/>
        </w:rPr>
      </w:pPr>
      <w:r>
        <w:rPr>
          <w:rFonts w:ascii="Arial" w:hAnsi="Arial"/>
          <w:b/>
          <w:sz w:val="28"/>
        </w:rPr>
        <w:t>Students’</w:t>
      </w:r>
      <w:r>
        <w:rPr>
          <w:rFonts w:ascii="Arial" w:hAnsi="Arial"/>
          <w:b/>
          <w:spacing w:val="-7"/>
          <w:sz w:val="28"/>
        </w:rPr>
        <w:t> </w:t>
      </w:r>
      <w:r>
        <w:rPr>
          <w:rFonts w:ascii="Arial" w:hAnsi="Arial"/>
          <w:b/>
          <w:spacing w:val="-2"/>
          <w:sz w:val="28"/>
        </w:rPr>
        <w:t>feeding</w:t>
      </w:r>
    </w:p>
    <w:p>
      <w:pPr>
        <w:pStyle w:val="BodyText"/>
        <w:spacing w:before="7"/>
        <w:rPr>
          <w:rFonts w:ascii="Arial"/>
          <w:b/>
          <w:sz w:val="28"/>
        </w:rPr>
      </w:pPr>
    </w:p>
    <w:p>
      <w:pPr>
        <w:pStyle w:val="BodyText"/>
        <w:spacing w:line="480" w:lineRule="auto" w:before="1"/>
        <w:ind w:left="880" w:right="298" w:firstLine="720"/>
        <w:jc w:val="both"/>
      </w:pPr>
      <w:r>
        <w:rPr/>
        <w:t>Feeding can be defined as the supply of nourishing food or meal progressively and adequately to a person or group of persons, which, in the context of this study are the students of the Universities in the three geopolitical zones of Northern part of Nigeria. Although Nigerian Government as opined by Oladapo (1987:95), knew very well that even countries much richer and developed than it, “wisely regarded feeding and accommodation as not integral part of their university education and avoided them”. Nigeria at National level</w:t>
      </w:r>
      <w:r>
        <w:rPr>
          <w:spacing w:val="40"/>
        </w:rPr>
        <w:t> </w:t>
      </w:r>
      <w:r>
        <w:rPr/>
        <w:t>took the risk by giving it top priority consideration without foreseeing their future </w:t>
      </w:r>
      <w:r>
        <w:rPr>
          <w:spacing w:val="-2"/>
        </w:rPr>
        <w:t>burdensomeness.</w:t>
      </w:r>
    </w:p>
    <w:p>
      <w:pPr>
        <w:pStyle w:val="BodyText"/>
        <w:spacing w:line="477" w:lineRule="auto"/>
        <w:ind w:left="880" w:right="295" w:firstLine="720"/>
        <w:jc w:val="both"/>
      </w:pPr>
      <w:r>
        <w:rPr/>
        <w:t>Right</w:t>
      </w:r>
      <w:r>
        <w:rPr>
          <w:spacing w:val="-1"/>
        </w:rPr>
        <w:t> </w:t>
      </w:r>
      <w:r>
        <w:rPr/>
        <w:t>from</w:t>
      </w:r>
      <w:r>
        <w:rPr>
          <w:spacing w:val="-5"/>
        </w:rPr>
        <w:t> </w:t>
      </w:r>
      <w:r>
        <w:rPr/>
        <w:t>the</w:t>
      </w:r>
      <w:r>
        <w:rPr>
          <w:spacing w:val="-1"/>
        </w:rPr>
        <w:t> </w:t>
      </w:r>
      <w:r>
        <w:rPr/>
        <w:t>inception</w:t>
      </w:r>
      <w:r>
        <w:rPr>
          <w:spacing w:val="-1"/>
        </w:rPr>
        <w:t> </w:t>
      </w:r>
      <w:r>
        <w:rPr/>
        <w:t>of</w:t>
      </w:r>
      <w:r>
        <w:rPr>
          <w:spacing w:val="-2"/>
        </w:rPr>
        <w:t> </w:t>
      </w:r>
      <w:r>
        <w:rPr/>
        <w:t>the Universities</w:t>
      </w:r>
      <w:r>
        <w:rPr>
          <w:spacing w:val="-2"/>
        </w:rPr>
        <w:t> </w:t>
      </w:r>
      <w:r>
        <w:rPr/>
        <w:t>in</w:t>
      </w:r>
      <w:r>
        <w:rPr>
          <w:spacing w:val="-1"/>
        </w:rPr>
        <w:t> </w:t>
      </w:r>
      <w:r>
        <w:rPr/>
        <w:t>these zones,</w:t>
      </w:r>
      <w:r>
        <w:rPr>
          <w:spacing w:val="-2"/>
        </w:rPr>
        <w:t> </w:t>
      </w:r>
      <w:r>
        <w:rPr/>
        <w:t>the</w:t>
      </w:r>
      <w:r>
        <w:rPr>
          <w:spacing w:val="-1"/>
        </w:rPr>
        <w:t> </w:t>
      </w:r>
      <w:r>
        <w:rPr/>
        <w:t>provision</w:t>
      </w:r>
      <w:r>
        <w:rPr>
          <w:spacing w:val="-1"/>
        </w:rPr>
        <w:t> </w:t>
      </w:r>
      <w:r>
        <w:rPr/>
        <w:t>of students’ feeding was considered a mandatory responsibility of the universities. As</w:t>
      </w:r>
      <w:r>
        <w:rPr>
          <w:spacing w:val="7"/>
        </w:rPr>
        <w:t> </w:t>
      </w:r>
      <w:r>
        <w:rPr/>
        <w:t>the</w:t>
      </w:r>
      <w:r>
        <w:rPr>
          <w:spacing w:val="8"/>
        </w:rPr>
        <w:t> </w:t>
      </w:r>
      <w:r>
        <w:rPr/>
        <w:t>population</w:t>
      </w:r>
      <w:r>
        <w:rPr>
          <w:spacing w:val="8"/>
        </w:rPr>
        <w:t> </w:t>
      </w:r>
      <w:r>
        <w:rPr/>
        <w:t>then</w:t>
      </w:r>
      <w:r>
        <w:rPr>
          <w:spacing w:val="8"/>
        </w:rPr>
        <w:t> </w:t>
      </w:r>
      <w:r>
        <w:rPr/>
        <w:t>was</w:t>
      </w:r>
      <w:r>
        <w:rPr>
          <w:spacing w:val="12"/>
        </w:rPr>
        <w:t> </w:t>
      </w:r>
      <w:r>
        <w:rPr/>
        <w:t>manageable</w:t>
      </w:r>
      <w:r>
        <w:rPr>
          <w:spacing w:val="8"/>
        </w:rPr>
        <w:t> </w:t>
      </w:r>
      <w:r>
        <w:rPr/>
        <w:t>the</w:t>
      </w:r>
      <w:r>
        <w:rPr>
          <w:spacing w:val="4"/>
        </w:rPr>
        <w:t> </w:t>
      </w:r>
      <w:r>
        <w:rPr/>
        <w:t>university</w:t>
      </w:r>
      <w:r>
        <w:rPr>
          <w:spacing w:val="7"/>
        </w:rPr>
        <w:t> </w:t>
      </w:r>
      <w:r>
        <w:rPr/>
        <w:t>could</w:t>
      </w:r>
      <w:r>
        <w:rPr>
          <w:spacing w:val="8"/>
        </w:rPr>
        <w:t> </w:t>
      </w:r>
      <w:r>
        <w:rPr/>
        <w:t>conveniently</w:t>
      </w:r>
      <w:r>
        <w:rPr>
          <w:spacing w:val="8"/>
        </w:rPr>
        <w:t> </w:t>
      </w:r>
      <w:r>
        <w:rPr>
          <w:spacing w:val="-2"/>
        </w:rPr>
        <w:t>afford</w:t>
      </w:r>
    </w:p>
    <w:p>
      <w:pPr>
        <w:spacing w:after="0" w:line="477" w:lineRule="auto"/>
        <w:jc w:val="both"/>
        <w:sectPr>
          <w:headerReference w:type="default" r:id="rId90"/>
          <w:footerReference w:type="default" r:id="rId91"/>
          <w:pgSz w:w="12240" w:h="15840"/>
          <w:pgMar w:header="722" w:footer="791" w:top="1060" w:bottom="980" w:left="1280" w:right="1140"/>
        </w:sectPr>
      </w:pPr>
    </w:p>
    <w:p>
      <w:pPr>
        <w:pStyle w:val="BodyText"/>
        <w:spacing w:before="86"/>
      </w:pPr>
    </w:p>
    <w:p>
      <w:pPr>
        <w:pStyle w:val="BodyText"/>
        <w:spacing w:line="480" w:lineRule="auto"/>
        <w:ind w:left="880" w:right="294"/>
        <w:jc w:val="both"/>
      </w:pPr>
      <w:r>
        <w:rPr/>
        <w:t>a whole catering</w:t>
      </w:r>
      <w:r>
        <w:rPr>
          <w:spacing w:val="-1"/>
        </w:rPr>
        <w:t> </w:t>
      </w:r>
      <w:r>
        <w:rPr/>
        <w:t>unit vested</w:t>
      </w:r>
      <w:r>
        <w:rPr>
          <w:spacing w:val="-1"/>
        </w:rPr>
        <w:t> </w:t>
      </w:r>
      <w:r>
        <w:rPr/>
        <w:t>in the</w:t>
      </w:r>
      <w:r>
        <w:rPr>
          <w:spacing w:val="-1"/>
        </w:rPr>
        <w:t> </w:t>
      </w:r>
      <w:r>
        <w:rPr/>
        <w:t>Student</w:t>
      </w:r>
      <w:r>
        <w:rPr>
          <w:spacing w:val="-1"/>
        </w:rPr>
        <w:t> </w:t>
      </w:r>
      <w:r>
        <w:rPr/>
        <w:t>Affairs</w:t>
      </w:r>
      <w:r>
        <w:rPr>
          <w:spacing w:val="-2"/>
        </w:rPr>
        <w:t> </w:t>
      </w:r>
      <w:r>
        <w:rPr/>
        <w:t>Division.</w:t>
      </w:r>
      <w:r>
        <w:rPr>
          <w:spacing w:val="-2"/>
        </w:rPr>
        <w:t> </w:t>
      </w:r>
      <w:r>
        <w:rPr/>
        <w:t>The main</w:t>
      </w:r>
      <w:r>
        <w:rPr>
          <w:spacing w:val="-1"/>
        </w:rPr>
        <w:t> </w:t>
      </w:r>
      <w:r>
        <w:rPr/>
        <w:t>objective</w:t>
      </w:r>
      <w:r>
        <w:rPr>
          <w:spacing w:val="-1"/>
        </w:rPr>
        <w:t> </w:t>
      </w:r>
      <w:r>
        <w:rPr/>
        <w:t>of this unit was to provide adequate and reasonable food both in quantity and</w:t>
      </w:r>
      <w:r>
        <w:rPr>
          <w:spacing w:val="40"/>
        </w:rPr>
        <w:t> </w:t>
      </w:r>
      <w:r>
        <w:rPr/>
        <w:t>quality</w:t>
      </w:r>
      <w:r>
        <w:rPr>
          <w:spacing w:val="-7"/>
        </w:rPr>
        <w:t> </w:t>
      </w:r>
      <w:r>
        <w:rPr/>
        <w:t>at</w:t>
      </w:r>
      <w:r>
        <w:rPr>
          <w:spacing w:val="-2"/>
        </w:rPr>
        <w:t> </w:t>
      </w:r>
      <w:r>
        <w:rPr/>
        <w:t>a</w:t>
      </w:r>
      <w:r>
        <w:rPr>
          <w:spacing w:val="-1"/>
        </w:rPr>
        <w:t> </w:t>
      </w:r>
      <w:r>
        <w:rPr/>
        <w:t>very</w:t>
      </w:r>
      <w:r>
        <w:rPr>
          <w:spacing w:val="-2"/>
        </w:rPr>
        <w:t> </w:t>
      </w:r>
      <w:r>
        <w:rPr/>
        <w:t>subsidized</w:t>
      </w:r>
      <w:r>
        <w:rPr>
          <w:spacing w:val="-1"/>
        </w:rPr>
        <w:t> </w:t>
      </w:r>
      <w:r>
        <w:rPr/>
        <w:t>cost.</w:t>
      </w:r>
      <w:r>
        <w:rPr>
          <w:spacing w:val="-2"/>
        </w:rPr>
        <w:t> </w:t>
      </w:r>
      <w:r>
        <w:rPr/>
        <w:t>In</w:t>
      </w:r>
      <w:r>
        <w:rPr>
          <w:spacing w:val="-1"/>
        </w:rPr>
        <w:t> </w:t>
      </w:r>
      <w:r>
        <w:rPr/>
        <w:t>the</w:t>
      </w:r>
      <w:r>
        <w:rPr>
          <w:spacing w:val="-5"/>
        </w:rPr>
        <w:t> </w:t>
      </w:r>
      <w:r>
        <w:rPr/>
        <w:t>1960s</w:t>
      </w:r>
      <w:r>
        <w:rPr>
          <w:spacing w:val="-7"/>
        </w:rPr>
        <w:t> </w:t>
      </w:r>
      <w:r>
        <w:rPr/>
        <w:t>and</w:t>
      </w:r>
      <w:r>
        <w:rPr>
          <w:spacing w:val="-1"/>
        </w:rPr>
        <w:t> </w:t>
      </w:r>
      <w:r>
        <w:rPr/>
        <w:t>1970s</w:t>
      </w:r>
      <w:r>
        <w:rPr>
          <w:spacing w:val="-7"/>
        </w:rPr>
        <w:t> </w:t>
      </w:r>
      <w:r>
        <w:rPr/>
        <w:t>all the</w:t>
      </w:r>
      <w:r>
        <w:rPr>
          <w:spacing w:val="-1"/>
        </w:rPr>
        <w:t> </w:t>
      </w:r>
      <w:r>
        <w:rPr/>
        <w:t>Universities</w:t>
      </w:r>
      <w:r>
        <w:rPr>
          <w:spacing w:val="-2"/>
        </w:rPr>
        <w:t> </w:t>
      </w:r>
      <w:r>
        <w:rPr/>
        <w:t>must have measured up to the expectation in the students’ welfare service. This has been confirmed by some Ahmadu Bello University alumni like Dr. Halima, (2003) in her profile interview in the New Nigerian Newspaper of Wednesday 29</w:t>
      </w:r>
      <w:r>
        <w:rPr>
          <w:vertAlign w:val="superscript"/>
        </w:rPr>
        <w:t>th</w:t>
      </w:r>
      <w:r>
        <w:rPr>
          <w:vertAlign w:val="baseline"/>
        </w:rPr>
        <w:t> January 2003 No.1174 Page 16 Column 3 when she said “In the 1960s through 1970s</w:t>
      </w:r>
      <w:r>
        <w:rPr>
          <w:spacing w:val="-3"/>
          <w:vertAlign w:val="baseline"/>
        </w:rPr>
        <w:t> </w:t>
      </w:r>
      <w:r>
        <w:rPr>
          <w:vertAlign w:val="baseline"/>
        </w:rPr>
        <w:t>to</w:t>
      </w:r>
      <w:r>
        <w:rPr>
          <w:spacing w:val="-2"/>
          <w:vertAlign w:val="baseline"/>
        </w:rPr>
        <w:t> </w:t>
      </w:r>
      <w:r>
        <w:rPr>
          <w:vertAlign w:val="baseline"/>
        </w:rPr>
        <w:t>early</w:t>
      </w:r>
      <w:r>
        <w:rPr>
          <w:spacing w:val="-3"/>
          <w:vertAlign w:val="baseline"/>
        </w:rPr>
        <w:t> </w:t>
      </w:r>
      <w:r>
        <w:rPr>
          <w:vertAlign w:val="baseline"/>
        </w:rPr>
        <w:t>1980s</w:t>
      </w:r>
      <w:r>
        <w:rPr>
          <w:spacing w:val="-2"/>
          <w:vertAlign w:val="baseline"/>
        </w:rPr>
        <w:t> </w:t>
      </w:r>
      <w:r>
        <w:rPr>
          <w:vertAlign w:val="baseline"/>
        </w:rPr>
        <w:t>we</w:t>
      </w:r>
      <w:r>
        <w:rPr>
          <w:spacing w:val="-2"/>
          <w:vertAlign w:val="baseline"/>
        </w:rPr>
        <w:t> </w:t>
      </w:r>
      <w:r>
        <w:rPr>
          <w:vertAlign w:val="baseline"/>
        </w:rPr>
        <w:t>were</w:t>
      </w:r>
      <w:r>
        <w:rPr>
          <w:spacing w:val="-2"/>
          <w:vertAlign w:val="baseline"/>
        </w:rPr>
        <w:t> </w:t>
      </w:r>
      <w:r>
        <w:rPr>
          <w:vertAlign w:val="baseline"/>
        </w:rPr>
        <w:t>well taught,</w:t>
      </w:r>
      <w:r>
        <w:rPr>
          <w:spacing w:val="-3"/>
          <w:vertAlign w:val="baseline"/>
        </w:rPr>
        <w:t> </w:t>
      </w:r>
      <w:r>
        <w:rPr>
          <w:vertAlign w:val="baseline"/>
        </w:rPr>
        <w:t>things</w:t>
      </w:r>
      <w:r>
        <w:rPr>
          <w:spacing w:val="-3"/>
          <w:vertAlign w:val="baseline"/>
        </w:rPr>
        <w:t> </w:t>
      </w:r>
      <w:r>
        <w:rPr>
          <w:vertAlign w:val="baseline"/>
        </w:rPr>
        <w:t>were</w:t>
      </w:r>
      <w:r>
        <w:rPr>
          <w:spacing w:val="-2"/>
          <w:vertAlign w:val="baseline"/>
        </w:rPr>
        <w:t> </w:t>
      </w:r>
      <w:r>
        <w:rPr>
          <w:vertAlign w:val="baseline"/>
        </w:rPr>
        <w:t>very</w:t>
      </w:r>
      <w:r>
        <w:rPr>
          <w:spacing w:val="-3"/>
          <w:vertAlign w:val="baseline"/>
        </w:rPr>
        <w:t> </w:t>
      </w:r>
      <w:r>
        <w:rPr>
          <w:vertAlign w:val="baseline"/>
        </w:rPr>
        <w:t>cheap,</w:t>
      </w:r>
      <w:r>
        <w:rPr>
          <w:spacing w:val="-3"/>
          <w:vertAlign w:val="baseline"/>
        </w:rPr>
        <w:t> </w:t>
      </w:r>
      <w:r>
        <w:rPr>
          <w:vertAlign w:val="baseline"/>
        </w:rPr>
        <w:t>students</w:t>
      </w:r>
      <w:r>
        <w:rPr>
          <w:spacing w:val="-3"/>
          <w:vertAlign w:val="baseline"/>
        </w:rPr>
        <w:t> </w:t>
      </w:r>
      <w:r>
        <w:rPr>
          <w:vertAlign w:val="baseline"/>
        </w:rPr>
        <w:t>were not hungry as the kitchens provided cheap and good meals. Especially when we moved into clinical hostel, our meals were like</w:t>
      </w:r>
      <w:r>
        <w:rPr>
          <w:spacing w:val="-1"/>
          <w:vertAlign w:val="baseline"/>
        </w:rPr>
        <w:t> </w:t>
      </w:r>
      <w:r>
        <w:rPr>
          <w:vertAlign w:val="baseline"/>
        </w:rPr>
        <w:t>a buffet at only a cost of 15 pence then, now equivalent to 15 kobo".</w:t>
      </w:r>
    </w:p>
    <w:p>
      <w:pPr>
        <w:pStyle w:val="BodyText"/>
        <w:spacing w:line="480" w:lineRule="auto" w:before="1"/>
        <w:ind w:left="880" w:right="296" w:firstLine="720"/>
        <w:jc w:val="both"/>
      </w:pPr>
      <w:r>
        <w:rPr/>
        <w:t>The University Management through the student Affairs unit controlled the welfare services of the students so efficiently that, to Dr. Halima, besides decent catering services, they enjoyed free laundry services, scholarship and bursaries which they used for buying all the necessary</w:t>
      </w:r>
      <w:r>
        <w:rPr>
          <w:spacing w:val="-1"/>
        </w:rPr>
        <w:t> </w:t>
      </w:r>
      <w:r>
        <w:rPr/>
        <w:t>books, stationery and clothes. They even had surplus with which they could assist their parents.</w:t>
      </w:r>
    </w:p>
    <w:p>
      <w:pPr>
        <w:pStyle w:val="BodyText"/>
        <w:spacing w:line="480" w:lineRule="auto"/>
        <w:ind w:left="880" w:right="294" w:firstLine="720"/>
        <w:jc w:val="both"/>
      </w:pPr>
      <w:r>
        <w:rPr/>
        <w:t>This remained stable until mid-1980</w:t>
      </w:r>
      <w:r>
        <w:rPr>
          <w:vertAlign w:val="superscript"/>
        </w:rPr>
        <w:t>s</w:t>
      </w:r>
      <w:r>
        <w:rPr>
          <w:vertAlign w:val="baseline"/>
        </w:rPr>
        <w:t> when students helplessly watched the withdrawal of feeding subsidy by the Federal Government and then contracted out to private caterers. Numerous demonstrations were staged by students in protest and rejection of the change, but the Government was adamant, mainly, because they could not cope with the financial predicament to continue providing the catering services to the rapid growing population of students due to the geometrical increase in students’ admission.</w:t>
      </w:r>
    </w:p>
    <w:p>
      <w:pPr>
        <w:spacing w:after="0" w:line="480" w:lineRule="auto"/>
        <w:jc w:val="both"/>
        <w:sectPr>
          <w:headerReference w:type="default" r:id="rId92"/>
          <w:footerReference w:type="default" r:id="rId93"/>
          <w:pgSz w:w="12240" w:h="15840"/>
          <w:pgMar w:header="722" w:footer="791" w:top="1060" w:bottom="980" w:left="1280" w:right="1140"/>
        </w:sectPr>
      </w:pPr>
    </w:p>
    <w:p>
      <w:pPr>
        <w:pStyle w:val="BodyText"/>
        <w:spacing w:before="86"/>
      </w:pPr>
    </w:p>
    <w:p>
      <w:pPr>
        <w:pStyle w:val="BodyText"/>
        <w:spacing w:line="480" w:lineRule="auto"/>
        <w:ind w:left="880" w:right="297" w:firstLine="720"/>
        <w:jc w:val="both"/>
      </w:pPr>
      <w:r>
        <w:rPr/>
        <w:t>It should be noted that as most Universities were receiving 33 kobo per plate of food, they charged</w:t>
      </w:r>
      <w:r>
        <w:rPr>
          <w:spacing w:val="-2"/>
        </w:rPr>
        <w:t> </w:t>
      </w:r>
      <w:r>
        <w:rPr/>
        <w:t>50 kobo per plate</w:t>
      </w:r>
      <w:r>
        <w:rPr>
          <w:spacing w:val="-6"/>
        </w:rPr>
        <w:t> </w:t>
      </w:r>
      <w:r>
        <w:rPr/>
        <w:t>which was reasonable.</w:t>
      </w:r>
      <w:r>
        <w:rPr>
          <w:spacing w:val="-2"/>
        </w:rPr>
        <w:t> </w:t>
      </w:r>
      <w:r>
        <w:rPr/>
        <w:t>But with the withdrawal of the subsidy and having handed the services to the private caterers finally in 1981/82 session the charges were hiked from 50 kobo to </w:t>
      </w:r>
      <w:r>
        <w:rPr>
          <w:dstrike/>
        </w:rPr>
        <w:t>N</w:t>
      </w:r>
      <w:r>
        <w:rPr>
          <w:strike w:val="0"/>
        </w:rPr>
        <w:t>1.00.</w:t>
      </w:r>
    </w:p>
    <w:p>
      <w:pPr>
        <w:pStyle w:val="BodyText"/>
        <w:spacing w:line="480" w:lineRule="auto"/>
        <w:ind w:left="880" w:right="295" w:firstLine="720"/>
        <w:jc w:val="both"/>
      </w:pPr>
      <w:r>
        <w:rPr/>
        <w:t>Following</w:t>
      </w:r>
      <w:r>
        <w:rPr>
          <w:spacing w:val="-1"/>
        </w:rPr>
        <w:t> </w:t>
      </w:r>
      <w:r>
        <w:rPr/>
        <w:t>the</w:t>
      </w:r>
      <w:r>
        <w:rPr>
          <w:spacing w:val="-5"/>
        </w:rPr>
        <w:t> </w:t>
      </w:r>
      <w:r>
        <w:rPr/>
        <w:t>investigation</w:t>
      </w:r>
      <w:r>
        <w:rPr>
          <w:spacing w:val="-5"/>
        </w:rPr>
        <w:t> </w:t>
      </w:r>
      <w:r>
        <w:rPr/>
        <w:t>report</w:t>
      </w:r>
      <w:r>
        <w:rPr>
          <w:spacing w:val="-2"/>
        </w:rPr>
        <w:t> </w:t>
      </w:r>
      <w:r>
        <w:rPr/>
        <w:t>into</w:t>
      </w:r>
      <w:r>
        <w:rPr>
          <w:spacing w:val="-1"/>
        </w:rPr>
        <w:t> </w:t>
      </w:r>
      <w:r>
        <w:rPr/>
        <w:t>the</w:t>
      </w:r>
      <w:r>
        <w:rPr>
          <w:spacing w:val="-1"/>
        </w:rPr>
        <w:t> </w:t>
      </w:r>
      <w:r>
        <w:rPr/>
        <w:t>students’</w:t>
      </w:r>
      <w:r>
        <w:rPr>
          <w:spacing w:val="-2"/>
        </w:rPr>
        <w:t> </w:t>
      </w:r>
      <w:r>
        <w:rPr/>
        <w:t>violent</w:t>
      </w:r>
      <w:r>
        <w:rPr>
          <w:spacing w:val="-2"/>
        </w:rPr>
        <w:t> </w:t>
      </w:r>
      <w:r>
        <w:rPr/>
        <w:t>riots</w:t>
      </w:r>
      <w:r>
        <w:rPr>
          <w:spacing w:val="-7"/>
        </w:rPr>
        <w:t> </w:t>
      </w:r>
      <w:r>
        <w:rPr/>
        <w:t>in</w:t>
      </w:r>
      <w:r>
        <w:rPr>
          <w:spacing w:val="-1"/>
        </w:rPr>
        <w:t> </w:t>
      </w:r>
      <w:r>
        <w:rPr/>
        <w:t>January, 1981, the ABU Council which is the highest decision making body in the University system finally resolved to disengage from students feeding in 1981/82 session.</w:t>
      </w:r>
      <w:r>
        <w:rPr>
          <w:spacing w:val="40"/>
        </w:rPr>
        <w:t> </w:t>
      </w:r>
      <w:r>
        <w:rPr/>
        <w:t>The same step was taken by all other Universities.</w:t>
      </w:r>
    </w:p>
    <w:p>
      <w:pPr>
        <w:pStyle w:val="BodyText"/>
        <w:spacing w:line="480" w:lineRule="auto" w:before="1"/>
        <w:ind w:left="880" w:right="296" w:firstLine="720"/>
        <w:jc w:val="both"/>
      </w:pPr>
      <w:r>
        <w:rPr/>
        <w:t>As for accommodation the council noted the Government directive that “each university should house a third of</w:t>
      </w:r>
      <w:r>
        <w:rPr>
          <w:spacing w:val="-2"/>
        </w:rPr>
        <w:t> </w:t>
      </w:r>
      <w:r>
        <w:rPr/>
        <w:t>its total student population”. But Ahmadu Bello University was housing a far larger percentage. Due to the increasing financial constraints, the universities were not in a position to put more accommodation</w:t>
      </w:r>
      <w:r>
        <w:rPr>
          <w:spacing w:val="-3"/>
        </w:rPr>
        <w:t> </w:t>
      </w:r>
      <w:r>
        <w:rPr/>
        <w:t>structures</w:t>
      </w:r>
      <w:r>
        <w:rPr>
          <w:spacing w:val="-4"/>
        </w:rPr>
        <w:t> </w:t>
      </w:r>
      <w:r>
        <w:rPr/>
        <w:t>for</w:t>
      </w:r>
      <w:r>
        <w:rPr>
          <w:spacing w:val="-2"/>
        </w:rPr>
        <w:t> </w:t>
      </w:r>
      <w:r>
        <w:rPr/>
        <w:t>the</w:t>
      </w:r>
      <w:r>
        <w:rPr>
          <w:spacing w:val="-3"/>
        </w:rPr>
        <w:t> </w:t>
      </w:r>
      <w:r>
        <w:rPr/>
        <w:t>fast</w:t>
      </w:r>
      <w:r>
        <w:rPr>
          <w:spacing w:val="-4"/>
        </w:rPr>
        <w:t> </w:t>
      </w:r>
      <w:r>
        <w:rPr/>
        <w:t>growing</w:t>
      </w:r>
      <w:r>
        <w:rPr>
          <w:spacing w:val="-3"/>
        </w:rPr>
        <w:t> </w:t>
      </w:r>
      <w:r>
        <w:rPr/>
        <w:t>population</w:t>
      </w:r>
      <w:r>
        <w:rPr>
          <w:spacing w:val="-6"/>
        </w:rPr>
        <w:t> </w:t>
      </w:r>
      <w:r>
        <w:rPr/>
        <w:t>of</w:t>
      </w:r>
      <w:r>
        <w:rPr>
          <w:spacing w:val="-4"/>
        </w:rPr>
        <w:t> </w:t>
      </w:r>
      <w:r>
        <w:rPr/>
        <w:t>students.</w:t>
      </w:r>
      <w:r>
        <w:rPr>
          <w:spacing w:val="-4"/>
        </w:rPr>
        <w:t> </w:t>
      </w:r>
      <w:r>
        <w:rPr/>
        <w:t>In</w:t>
      </w:r>
      <w:r>
        <w:rPr>
          <w:spacing w:val="-3"/>
        </w:rPr>
        <w:t> </w:t>
      </w:r>
      <w:r>
        <w:rPr/>
        <w:t>Ahmadu Bello University, the Council, ruled that:</w:t>
      </w:r>
    </w:p>
    <w:p>
      <w:pPr>
        <w:pStyle w:val="BodyText"/>
        <w:ind w:left="2320" w:right="296"/>
        <w:jc w:val="both"/>
      </w:pPr>
      <w:r>
        <w:rPr/>
        <w:t>As from next session 1981-82 the University will not accommodate more than exact number of students for whom standard accommodation is available………..at </w:t>
      </w:r>
      <w:r>
        <w:rPr>
          <w:dstrike/>
        </w:rPr>
        <w:t>N</w:t>
      </w:r>
      <w:r>
        <w:rPr>
          <w:strike w:val="0"/>
        </w:rPr>
        <w:t>90.00 per session per student……………. Additionally, because of financial constraints and other considerations students will be required to supply their own pillows, pillowcases, blankets, linen, mosquito nets, window blinds and brooms as well as to take care of their laundry services.</w:t>
      </w:r>
    </w:p>
    <w:p>
      <w:pPr>
        <w:pStyle w:val="BodyText"/>
        <w:spacing w:before="274"/>
      </w:pPr>
    </w:p>
    <w:p>
      <w:pPr>
        <w:pStyle w:val="BodyText"/>
        <w:spacing w:line="480" w:lineRule="auto"/>
        <w:ind w:left="880" w:right="293" w:firstLine="720"/>
        <w:jc w:val="both"/>
      </w:pPr>
      <w:r>
        <w:rPr/>
        <w:t>This development eventually gave birth to the idea of handing over or contracting out the kitchen services to private caterers. The sessions 1981/82 to 1983/84 were orientation and transitional periods for the private catering system until 1985 when the private catering arrangement became more pronounced and full-fledged</w:t>
      </w:r>
      <w:r>
        <w:rPr>
          <w:spacing w:val="18"/>
        </w:rPr>
        <w:t> </w:t>
      </w:r>
      <w:r>
        <w:rPr/>
        <w:t>ventures.</w:t>
      </w:r>
      <w:r>
        <w:rPr>
          <w:spacing w:val="17"/>
        </w:rPr>
        <w:t> </w:t>
      </w:r>
      <w:r>
        <w:rPr/>
        <w:t>In</w:t>
      </w:r>
      <w:r>
        <w:rPr>
          <w:spacing w:val="18"/>
        </w:rPr>
        <w:t> </w:t>
      </w:r>
      <w:r>
        <w:rPr/>
        <w:t>an</w:t>
      </w:r>
      <w:r>
        <w:rPr>
          <w:spacing w:val="18"/>
        </w:rPr>
        <w:t> </w:t>
      </w:r>
      <w:r>
        <w:rPr/>
        <w:t>address</w:t>
      </w:r>
      <w:r>
        <w:rPr>
          <w:spacing w:val="17"/>
        </w:rPr>
        <w:t> </w:t>
      </w:r>
      <w:r>
        <w:rPr/>
        <w:t>by</w:t>
      </w:r>
      <w:r>
        <w:rPr>
          <w:spacing w:val="12"/>
        </w:rPr>
        <w:t> </w:t>
      </w:r>
      <w:r>
        <w:rPr/>
        <w:t>the</w:t>
      </w:r>
      <w:r>
        <w:rPr>
          <w:spacing w:val="18"/>
        </w:rPr>
        <w:t> </w:t>
      </w:r>
      <w:r>
        <w:rPr/>
        <w:t>then</w:t>
      </w:r>
      <w:r>
        <w:rPr>
          <w:spacing w:val="19"/>
        </w:rPr>
        <w:t> </w:t>
      </w:r>
      <w:r>
        <w:rPr/>
        <w:t>Deputy</w:t>
      </w:r>
      <w:r>
        <w:rPr>
          <w:spacing w:val="17"/>
        </w:rPr>
        <w:t> </w:t>
      </w:r>
      <w:r>
        <w:rPr/>
        <w:t>Vice-Chancellor</w:t>
      </w:r>
      <w:r>
        <w:rPr>
          <w:spacing w:val="19"/>
        </w:rPr>
        <w:t> </w:t>
      </w:r>
      <w:r>
        <w:rPr>
          <w:spacing w:val="-2"/>
        </w:rPr>
        <w:t>(DVC),</w:t>
      </w:r>
    </w:p>
    <w:p>
      <w:pPr>
        <w:spacing w:after="0" w:line="480" w:lineRule="auto"/>
        <w:jc w:val="both"/>
        <w:sectPr>
          <w:headerReference w:type="default" r:id="rId94"/>
          <w:footerReference w:type="default" r:id="rId95"/>
          <w:pgSz w:w="12240" w:h="15840"/>
          <w:pgMar w:header="722" w:footer="791" w:top="1060" w:bottom="980" w:left="1280" w:right="1140"/>
        </w:sectPr>
      </w:pPr>
    </w:p>
    <w:p>
      <w:pPr>
        <w:pStyle w:val="BodyText"/>
        <w:spacing w:before="86"/>
      </w:pPr>
    </w:p>
    <w:p>
      <w:pPr>
        <w:pStyle w:val="BodyText"/>
        <w:spacing w:line="480" w:lineRule="auto"/>
        <w:ind w:left="880" w:right="299"/>
        <w:jc w:val="both"/>
      </w:pPr>
      <w:r>
        <w:rPr/>
        <w:t>Prof.</w:t>
      </w:r>
      <w:r>
        <w:rPr>
          <w:spacing w:val="-3"/>
        </w:rPr>
        <w:t> </w:t>
      </w:r>
      <w:r>
        <w:rPr/>
        <w:t>B.D.</w:t>
      </w:r>
      <w:r>
        <w:rPr>
          <w:spacing w:val="-3"/>
        </w:rPr>
        <w:t> </w:t>
      </w:r>
      <w:r>
        <w:rPr/>
        <w:t>Musa</w:t>
      </w:r>
      <w:r>
        <w:rPr>
          <w:spacing w:val="-2"/>
        </w:rPr>
        <w:t> </w:t>
      </w:r>
      <w:r>
        <w:rPr/>
        <w:t>at</w:t>
      </w:r>
      <w:r>
        <w:rPr>
          <w:spacing w:val="-3"/>
        </w:rPr>
        <w:t> </w:t>
      </w:r>
      <w:r>
        <w:rPr/>
        <w:t>a</w:t>
      </w:r>
      <w:r>
        <w:rPr>
          <w:spacing w:val="-2"/>
        </w:rPr>
        <w:t> </w:t>
      </w:r>
      <w:r>
        <w:rPr/>
        <w:t>matriculation</w:t>
      </w:r>
      <w:r>
        <w:rPr>
          <w:spacing w:val="-2"/>
        </w:rPr>
        <w:t> </w:t>
      </w:r>
      <w:r>
        <w:rPr/>
        <w:t>ceremony</w:t>
      </w:r>
      <w:r>
        <w:rPr>
          <w:spacing w:val="-3"/>
        </w:rPr>
        <w:t> </w:t>
      </w:r>
      <w:r>
        <w:rPr/>
        <w:t>of</w:t>
      </w:r>
      <w:r>
        <w:rPr>
          <w:spacing w:val="-3"/>
        </w:rPr>
        <w:t> </w:t>
      </w:r>
      <w:r>
        <w:rPr/>
        <w:t>new</w:t>
      </w:r>
      <w:r>
        <w:rPr>
          <w:spacing w:val="-8"/>
        </w:rPr>
        <w:t> </w:t>
      </w:r>
      <w:r>
        <w:rPr/>
        <w:t>students</w:t>
      </w:r>
      <w:r>
        <w:rPr>
          <w:spacing w:val="-3"/>
        </w:rPr>
        <w:t> </w:t>
      </w:r>
      <w:r>
        <w:rPr/>
        <w:t>in</w:t>
      </w:r>
      <w:r>
        <w:rPr>
          <w:spacing w:val="-2"/>
        </w:rPr>
        <w:t> </w:t>
      </w:r>
      <w:r>
        <w:rPr/>
        <w:t>January,</w:t>
      </w:r>
      <w:r>
        <w:rPr>
          <w:spacing w:val="-3"/>
        </w:rPr>
        <w:t> </w:t>
      </w:r>
      <w:r>
        <w:rPr/>
        <w:t>1985</w:t>
      </w:r>
      <w:r>
        <w:rPr>
          <w:spacing w:val="-3"/>
        </w:rPr>
        <w:t> </w:t>
      </w:r>
      <w:r>
        <w:rPr/>
        <w:t>he disclosed thus:</w:t>
      </w:r>
    </w:p>
    <w:p>
      <w:pPr>
        <w:pStyle w:val="BodyText"/>
        <w:spacing w:before="274"/>
        <w:ind w:left="2320" w:right="294"/>
        <w:jc w:val="both"/>
      </w:pPr>
      <w:r>
        <w:rPr/>
        <w:t>To avoid cheating of students over feeding after the withdrawal of feeding subsidy, arrangements are made to give out feeding/cooking facilities free of rent to private contractors and the university is to assist them in securing essential commodities at controlled prices so as to avoid hardship over feeding. The new feeding policy was justified even though it was tasking on parents, guardians</w:t>
      </w:r>
      <w:r>
        <w:rPr>
          <w:spacing w:val="-1"/>
        </w:rPr>
        <w:t> </w:t>
      </w:r>
      <w:r>
        <w:rPr/>
        <w:t>and sponsors.</w:t>
      </w:r>
      <w:r>
        <w:rPr>
          <w:spacing w:val="-5"/>
        </w:rPr>
        <w:t> </w:t>
      </w:r>
      <w:r>
        <w:rPr/>
        <w:t>The huge annual feeding subsidy</w:t>
      </w:r>
      <w:r>
        <w:rPr>
          <w:spacing w:val="-1"/>
        </w:rPr>
        <w:t> </w:t>
      </w:r>
      <w:r>
        <w:rPr/>
        <w:t>from</w:t>
      </w:r>
      <w:r>
        <w:rPr>
          <w:spacing w:val="-9"/>
        </w:rPr>
        <w:t> </w:t>
      </w:r>
      <w:r>
        <w:rPr/>
        <w:t>the government had to be directed to those areas that needed improvement in order to enroll more qualified students. This is therefore a sacrifice for you to bear as your contributions to Education Growth in the country.</w:t>
      </w:r>
    </w:p>
    <w:p>
      <w:pPr>
        <w:pStyle w:val="BodyText"/>
      </w:pPr>
    </w:p>
    <w:p>
      <w:pPr>
        <w:pStyle w:val="BodyText"/>
        <w:spacing w:before="3"/>
      </w:pPr>
    </w:p>
    <w:p>
      <w:pPr>
        <w:pStyle w:val="BodyText"/>
        <w:spacing w:line="480" w:lineRule="auto"/>
        <w:ind w:left="880" w:right="293" w:firstLine="720"/>
        <w:jc w:val="both"/>
      </w:pPr>
      <w:r>
        <w:rPr/>
        <w:t>Although students no doubt took this decision with mixed feelings, it was evident that they had no option but to succumb to it, at best, in principle. They were asked to reckon with the open realities on the ground.</w:t>
      </w:r>
      <w:r>
        <w:rPr>
          <w:spacing w:val="-2"/>
        </w:rPr>
        <w:t> </w:t>
      </w:r>
      <w:r>
        <w:rPr/>
        <w:t>The problem</w:t>
      </w:r>
      <w:r>
        <w:rPr>
          <w:spacing w:val="-5"/>
        </w:rPr>
        <w:t> </w:t>
      </w:r>
      <w:r>
        <w:rPr/>
        <w:t>of rapid population growth of school goers in the country and the mandate of “equal educational opportunities” as spelt out by the objectives of the National Policy on Education were biting</w:t>
      </w:r>
      <w:r>
        <w:rPr>
          <w:spacing w:val="-3"/>
        </w:rPr>
        <w:t> </w:t>
      </w:r>
      <w:r>
        <w:rPr/>
        <w:t>issues. The National Policy on Education</w:t>
      </w:r>
      <w:r>
        <w:rPr>
          <w:spacing w:val="-3"/>
        </w:rPr>
        <w:t> </w:t>
      </w:r>
      <w:r>
        <w:rPr/>
        <w:t>(NPE), (2004 ed- Pg. 7 Sec1 item 2) holds the pledge of the desire that “Nigeria should be a free, just and egalitarian society and a land full of opportunities for all its citizens”, so that they can” generate a great and dynamic economy and grow into a united</w:t>
      </w:r>
      <w:r>
        <w:rPr>
          <w:spacing w:val="80"/>
        </w:rPr>
        <w:t> </w:t>
      </w:r>
      <w:r>
        <w:rPr/>
        <w:t>and self reliant nation”. These were the ultimate goals and objectives of the</w:t>
      </w:r>
      <w:r>
        <w:rPr>
          <w:spacing w:val="40"/>
        </w:rPr>
        <w:t> </w:t>
      </w:r>
      <w:r>
        <w:rPr/>
        <w:t>nation which call for involvement of every individual, the success of which is embedded in education.</w:t>
      </w:r>
    </w:p>
    <w:p>
      <w:pPr>
        <w:pStyle w:val="BodyText"/>
        <w:spacing w:line="480" w:lineRule="auto"/>
        <w:ind w:left="880" w:right="297" w:firstLine="720"/>
        <w:jc w:val="both"/>
      </w:pPr>
      <w:r>
        <w:rPr/>
        <w:t>Based on this premise, for the Government to continue giving maximum feeding</w:t>
      </w:r>
      <w:r>
        <w:rPr>
          <w:spacing w:val="-2"/>
        </w:rPr>
        <w:t> </w:t>
      </w:r>
      <w:r>
        <w:rPr/>
        <w:t>and</w:t>
      </w:r>
      <w:r>
        <w:rPr>
          <w:spacing w:val="-2"/>
        </w:rPr>
        <w:t> </w:t>
      </w:r>
      <w:r>
        <w:rPr/>
        <w:t>accommodation</w:t>
      </w:r>
      <w:r>
        <w:rPr>
          <w:spacing w:val="-2"/>
        </w:rPr>
        <w:t> </w:t>
      </w:r>
      <w:r>
        <w:rPr/>
        <w:t>to</w:t>
      </w:r>
      <w:r>
        <w:rPr>
          <w:spacing w:val="-2"/>
        </w:rPr>
        <w:t> </w:t>
      </w:r>
      <w:r>
        <w:rPr/>
        <w:t>fewer</w:t>
      </w:r>
      <w:r>
        <w:rPr>
          <w:spacing w:val="-2"/>
        </w:rPr>
        <w:t> </w:t>
      </w:r>
      <w:r>
        <w:rPr/>
        <w:t>students</w:t>
      </w:r>
      <w:r>
        <w:rPr>
          <w:spacing w:val="-3"/>
        </w:rPr>
        <w:t> </w:t>
      </w:r>
      <w:r>
        <w:rPr/>
        <w:t>would</w:t>
      </w:r>
      <w:r>
        <w:rPr>
          <w:spacing w:val="-2"/>
        </w:rPr>
        <w:t> </w:t>
      </w:r>
      <w:r>
        <w:rPr/>
        <w:t>amount</w:t>
      </w:r>
      <w:r>
        <w:rPr>
          <w:spacing w:val="-2"/>
        </w:rPr>
        <w:t> </w:t>
      </w:r>
      <w:r>
        <w:rPr/>
        <w:t>to</w:t>
      </w:r>
      <w:r>
        <w:rPr>
          <w:spacing w:val="-2"/>
        </w:rPr>
        <w:t> </w:t>
      </w:r>
      <w:r>
        <w:rPr/>
        <w:t>strangulating</w:t>
      </w:r>
      <w:r>
        <w:rPr>
          <w:spacing w:val="-2"/>
        </w:rPr>
        <w:t> </w:t>
      </w:r>
      <w:r>
        <w:rPr>
          <w:spacing w:val="-5"/>
        </w:rPr>
        <w:t>the</w:t>
      </w:r>
    </w:p>
    <w:p>
      <w:pPr>
        <w:spacing w:after="0" w:line="480" w:lineRule="auto"/>
        <w:jc w:val="both"/>
        <w:sectPr>
          <w:headerReference w:type="default" r:id="rId96"/>
          <w:footerReference w:type="default" r:id="rId97"/>
          <w:pgSz w:w="12240" w:h="15840"/>
          <w:pgMar w:header="722" w:footer="791" w:top="1060" w:bottom="980" w:left="1280" w:right="1140"/>
        </w:sectPr>
      </w:pPr>
    </w:p>
    <w:p>
      <w:pPr>
        <w:pStyle w:val="BodyText"/>
        <w:spacing w:before="86"/>
      </w:pPr>
    </w:p>
    <w:p>
      <w:pPr>
        <w:pStyle w:val="BodyText"/>
        <w:spacing w:line="480" w:lineRule="auto"/>
        <w:ind w:left="880" w:right="293"/>
        <w:jc w:val="both"/>
      </w:pPr>
      <w:r>
        <w:rPr/>
        <w:t>financial capabilities and depriving others of the equal educational opportunities which is a basic human right.</w:t>
      </w:r>
    </w:p>
    <w:p>
      <w:pPr>
        <w:pStyle w:val="BodyText"/>
        <w:spacing w:line="480" w:lineRule="auto"/>
        <w:ind w:left="880" w:right="294" w:firstLine="720"/>
        <w:jc w:val="both"/>
      </w:pPr>
      <w:r>
        <w:rPr/>
        <w:t>Consequently, the private kitchen system came to stay and as a rule “he who controls the piper dictates the tune”. Despite the close supervision by the administration the private caterers pegged their meal at </w:t>
      </w:r>
      <w:r>
        <w:rPr>
          <w:dstrike/>
        </w:rPr>
        <w:t>N</w:t>
      </w:r>
      <w:r>
        <w:rPr>
          <w:strike w:val="0"/>
        </w:rPr>
        <w:t>1.00 per plate which was considered by students as exploitative coupled with its poor quality. The arrangement resulted in a complete distortion in students’ pattern of feeding. While a few rich ones could still afford the standard or usual three square meals</w:t>
      </w:r>
      <w:r>
        <w:rPr>
          <w:strike w:val="0"/>
          <w:spacing w:val="40"/>
        </w:rPr>
        <w:t> </w:t>
      </w:r>
      <w:r>
        <w:rPr>
          <w:strike w:val="0"/>
        </w:rPr>
        <w:t>a day popularly tagged by students as 1-1-1; Breakfast, Lunch and Dinner, majority went on 1-0-1 +breakfast, no lunch +dinner. But the poor ones could hardly afford beyond 0-1-0 -no breakfast, +lunch</w:t>
      </w:r>
      <w:r>
        <w:rPr>
          <w:strike w:val="0"/>
          <w:spacing w:val="40"/>
        </w:rPr>
        <w:t> </w:t>
      </w:r>
      <w:r>
        <w:rPr>
          <w:strike w:val="0"/>
        </w:rPr>
        <w:t>-no dinner. To the extremely poor ones feeding was an extremely unpredictable matter.</w:t>
      </w:r>
    </w:p>
    <w:p>
      <w:pPr>
        <w:pStyle w:val="BodyText"/>
        <w:spacing w:line="480" w:lineRule="auto" w:before="1"/>
        <w:ind w:left="880" w:right="296" w:firstLine="720"/>
        <w:jc w:val="both"/>
      </w:pPr>
      <w:r>
        <w:rPr/>
        <w:t>As for accommodation, it was the same story.</w:t>
      </w:r>
      <w:r>
        <w:rPr>
          <w:spacing w:val="40"/>
        </w:rPr>
        <w:t> </w:t>
      </w:r>
      <w:r>
        <w:rPr/>
        <w:t>Hostel and lecture halls were inadequate so much so that equipment and facilities were heavily </w:t>
      </w:r>
      <w:r>
        <w:rPr>
          <w:spacing w:val="-2"/>
        </w:rPr>
        <w:t>overstretched.</w:t>
      </w:r>
    </w:p>
    <w:p>
      <w:pPr>
        <w:pStyle w:val="BodyText"/>
        <w:spacing w:line="480" w:lineRule="auto"/>
        <w:ind w:left="880" w:right="295" w:firstLine="720"/>
        <w:jc w:val="both"/>
      </w:pPr>
      <w:r>
        <w:rPr/>
        <w:t>Consequently,</w:t>
      </w:r>
      <w:r>
        <w:rPr>
          <w:spacing w:val="-3"/>
        </w:rPr>
        <w:t> </w:t>
      </w:r>
      <w:r>
        <w:rPr/>
        <w:t>without</w:t>
      </w:r>
      <w:r>
        <w:rPr>
          <w:spacing w:val="-3"/>
        </w:rPr>
        <w:t> </w:t>
      </w:r>
      <w:r>
        <w:rPr/>
        <w:t>alternative</w:t>
      </w:r>
      <w:r>
        <w:rPr>
          <w:spacing w:val="-3"/>
        </w:rPr>
        <w:t> </w:t>
      </w:r>
      <w:r>
        <w:rPr/>
        <w:t>measures,</w:t>
      </w:r>
      <w:r>
        <w:rPr>
          <w:spacing w:val="-4"/>
        </w:rPr>
        <w:t> </w:t>
      </w:r>
      <w:r>
        <w:rPr/>
        <w:t>students</w:t>
      </w:r>
      <w:r>
        <w:rPr>
          <w:spacing w:val="-4"/>
        </w:rPr>
        <w:t> </w:t>
      </w:r>
      <w:r>
        <w:rPr/>
        <w:t>resorted</w:t>
      </w:r>
      <w:r>
        <w:rPr>
          <w:spacing w:val="-3"/>
        </w:rPr>
        <w:t> </w:t>
      </w:r>
      <w:r>
        <w:rPr/>
        <w:t>to hardship which eventually frustrated their hopes and expectation of improved environment for learning. This situation could culminate to series of serious problems and crisis ranging from despondency, stress, conflicts, violence, destructions, vandalism, malpractices, thefts, armed robbery, cultism and related crimes. This state of hopelessness usually precipitate serious problems of students’ unrest in any institution.</w:t>
      </w:r>
    </w:p>
    <w:p>
      <w:pPr>
        <w:spacing w:after="0" w:line="480" w:lineRule="auto"/>
        <w:jc w:val="both"/>
        <w:sectPr>
          <w:headerReference w:type="default" r:id="rId98"/>
          <w:footerReference w:type="default" r:id="rId99"/>
          <w:pgSz w:w="12240" w:h="15840"/>
          <w:pgMar w:header="722" w:footer="791" w:top="1060" w:bottom="980" w:left="1280" w:right="1140"/>
        </w:sectPr>
      </w:pPr>
    </w:p>
    <w:p>
      <w:pPr>
        <w:pStyle w:val="BodyText"/>
        <w:spacing w:before="86"/>
      </w:pPr>
    </w:p>
    <w:p>
      <w:pPr>
        <w:pStyle w:val="BodyText"/>
        <w:spacing w:line="480" w:lineRule="auto"/>
        <w:ind w:left="880" w:right="297" w:firstLine="720"/>
        <w:jc w:val="both"/>
      </w:pPr>
      <w:r>
        <w:rPr/>
        <w:t>A study conducted at Michigan State University by Beit-Hallahmi in Bello (1983:124-130)</w:t>
      </w:r>
      <w:r>
        <w:rPr>
          <w:spacing w:val="-1"/>
        </w:rPr>
        <w:t> </w:t>
      </w:r>
      <w:r>
        <w:rPr/>
        <w:t>revealed that</w:t>
      </w:r>
      <w:r>
        <w:rPr>
          <w:spacing w:val="-3"/>
        </w:rPr>
        <w:t> </w:t>
      </w:r>
      <w:r>
        <w:rPr/>
        <w:t>out</w:t>
      </w:r>
      <w:r>
        <w:rPr>
          <w:spacing w:val="-3"/>
        </w:rPr>
        <w:t> </w:t>
      </w:r>
      <w:r>
        <w:rPr/>
        <w:t>of 91</w:t>
      </w:r>
      <w:r>
        <w:rPr>
          <w:spacing w:val="-2"/>
        </w:rPr>
        <w:t> </w:t>
      </w:r>
      <w:r>
        <w:rPr/>
        <w:t>percent of</w:t>
      </w:r>
      <w:r>
        <w:rPr>
          <w:spacing w:val="-2"/>
        </w:rPr>
        <w:t> </w:t>
      </w:r>
      <w:r>
        <w:rPr/>
        <w:t>students</w:t>
      </w:r>
      <w:r>
        <w:rPr>
          <w:spacing w:val="-3"/>
        </w:rPr>
        <w:t> </w:t>
      </w:r>
      <w:r>
        <w:rPr/>
        <w:t>interviewed, asked</w:t>
      </w:r>
      <w:r>
        <w:rPr>
          <w:spacing w:val="-2"/>
        </w:rPr>
        <w:t> </w:t>
      </w:r>
      <w:r>
        <w:rPr/>
        <w:t>for university to provide facilities to reduce psychological problems faced by the students. It is strongly believed that the greatest problem of students was that of feeding and other welfare facilities.</w:t>
      </w:r>
    </w:p>
    <w:p>
      <w:pPr>
        <w:pStyle w:val="BodyText"/>
        <w:spacing w:line="480" w:lineRule="auto" w:before="1"/>
        <w:ind w:left="880" w:right="294" w:firstLine="720"/>
        <w:jc w:val="both"/>
      </w:pPr>
      <w:r>
        <w:rPr/>
        <w:t>The frustrations arising from the inadequate provision of welfare services coupled with the mismanagement of whatever little that was given added to the psychological, emotional and physiological stress which certainly had adverse effect on their academic standard and educational development of the</w:t>
      </w:r>
      <w:r>
        <w:rPr>
          <w:spacing w:val="40"/>
        </w:rPr>
        <w:t> </w:t>
      </w:r>
      <w:r>
        <w:rPr/>
        <w:t>universities in particular and the country in general.</w:t>
      </w:r>
    </w:p>
    <w:p>
      <w:pPr>
        <w:pStyle w:val="BodyText"/>
        <w:spacing w:line="480" w:lineRule="auto"/>
        <w:ind w:left="880" w:right="294" w:firstLine="720"/>
        <w:jc w:val="both"/>
      </w:pPr>
      <w:r>
        <w:rPr/>
        <w:t>In another research conducted by Bakare and Majasan (1974:13) on students’ problems in Ibadan University, the research revealed that students experienced complex problems which they eventually coped up after orientation, but it was very difficult to cope with lack of feeding and accommodation as there was no substitute to them. They however concluded that the complete absence</w:t>
      </w:r>
      <w:r>
        <w:rPr>
          <w:spacing w:val="40"/>
        </w:rPr>
        <w:t> </w:t>
      </w:r>
      <w:r>
        <w:rPr/>
        <w:t>of feeding and accommodation could dislodge students’ academic interest permanently or even cause physical and mental breakdown.</w:t>
      </w:r>
    </w:p>
    <w:p>
      <w:pPr>
        <w:pStyle w:val="BodyText"/>
        <w:spacing w:line="480" w:lineRule="auto"/>
        <w:ind w:left="880" w:right="296" w:firstLine="720"/>
        <w:jc w:val="both"/>
      </w:pPr>
      <w:r>
        <w:rPr/>
        <w:t>Ademuwayin, in Bello (1983:38) also conducted a study on the problem</w:t>
      </w:r>
      <w:r>
        <w:rPr>
          <w:spacing w:val="-5"/>
        </w:rPr>
        <w:t> </w:t>
      </w:r>
      <w:r>
        <w:rPr/>
        <w:t>of Health of Students in University of Lagos and he identified some prominent problems plaguing the students studies which ranged from poor feeding, emotional, social instability, lack of proper accommodation and unhealthy living </w:t>
      </w:r>
      <w:r>
        <w:rPr>
          <w:spacing w:val="-2"/>
        </w:rPr>
        <w:t>environment.</w:t>
      </w:r>
    </w:p>
    <w:p>
      <w:pPr>
        <w:spacing w:after="0" w:line="480" w:lineRule="auto"/>
        <w:jc w:val="both"/>
        <w:sectPr>
          <w:headerReference w:type="default" r:id="rId100"/>
          <w:footerReference w:type="default" r:id="rId101"/>
          <w:pgSz w:w="12240" w:h="15840"/>
          <w:pgMar w:header="722" w:footer="791" w:top="1060" w:bottom="980" w:left="1280" w:right="1140"/>
        </w:sectPr>
      </w:pPr>
    </w:p>
    <w:p>
      <w:pPr>
        <w:pStyle w:val="BodyText"/>
        <w:spacing w:before="86"/>
      </w:pPr>
    </w:p>
    <w:p>
      <w:pPr>
        <w:pStyle w:val="BodyText"/>
        <w:spacing w:line="480" w:lineRule="auto"/>
        <w:ind w:left="880" w:right="295" w:firstLine="720"/>
        <w:jc w:val="both"/>
      </w:pPr>
      <w:r>
        <w:rPr/>
        <w:t>In another study by Arigbede (1980:8) on the problems experienced by students of Advanced Teachers’ College (affiliated to Ahmadu Bello University and now Federal College of Education) Kano, it was discovered that about 17 percent of the students experienced high feeding problems and 50 % of those who failed the Nigerian Certificate in Education (NCE) examination were those who expressed “high” feeding problems. 30 percent of the students expressed high financial problems, which hindered their passing the Nigerian Certificate in Education (NCE) examination, 40 percent expressed high health problems and performed poorly. Majority of this group experienced serious accommodation problem. As a result none of the students with accommodation problem had Upper Credit.</w:t>
      </w:r>
    </w:p>
    <w:p>
      <w:pPr>
        <w:pStyle w:val="BodyText"/>
        <w:spacing w:line="480" w:lineRule="auto" w:before="1"/>
        <w:ind w:left="880" w:right="294" w:firstLine="720"/>
        <w:jc w:val="both"/>
      </w:pPr>
      <w:r>
        <w:rPr/>
        <w:t>Egba (1975:11) investigated the phenomenon of students’ unrest in selected Post Primary institutions in Kaduna State and traced most of them to lack of proper feeding and poor environment. Similarly, Ezeomah (1975:47) also engaged himself in finding out the administrative cause of students’ unrest in Nigerian Post Primary Schools and found out that poor feeding was a major cause. Ubani (1978:9) and Adegoke (1977:4) too conducted some research studies on factors influencing students’ unrest and aggression in Post Primary Boarding</w:t>
      </w:r>
      <w:r>
        <w:rPr>
          <w:spacing w:val="-2"/>
        </w:rPr>
        <w:t> </w:t>
      </w:r>
      <w:r>
        <w:rPr/>
        <w:t>institutions in Zaria and Ibadan</w:t>
      </w:r>
      <w:r>
        <w:rPr>
          <w:spacing w:val="-2"/>
        </w:rPr>
        <w:t> </w:t>
      </w:r>
      <w:r>
        <w:rPr/>
        <w:t>respectively and the major causes were not far from lack of adequate feeding and relative problems. It is strongly</w:t>
      </w:r>
      <w:r>
        <w:rPr>
          <w:spacing w:val="80"/>
        </w:rPr>
        <w:t> </w:t>
      </w:r>
      <w:r>
        <w:rPr/>
        <w:t>believed that since Universities are also boarding institutions like these Secondary Schools where feeding and accommodation are the livewire of students’</w:t>
      </w:r>
      <w:r>
        <w:rPr>
          <w:spacing w:val="2"/>
        </w:rPr>
        <w:t> </w:t>
      </w:r>
      <w:r>
        <w:rPr/>
        <w:t>well-being</w:t>
      </w:r>
      <w:r>
        <w:rPr>
          <w:spacing w:val="3"/>
        </w:rPr>
        <w:t> </w:t>
      </w:r>
      <w:r>
        <w:rPr/>
        <w:t>on</w:t>
      </w:r>
      <w:r>
        <w:rPr>
          <w:spacing w:val="4"/>
        </w:rPr>
        <w:t> </w:t>
      </w:r>
      <w:r>
        <w:rPr/>
        <w:t>the</w:t>
      </w:r>
      <w:r>
        <w:rPr>
          <w:spacing w:val="4"/>
        </w:rPr>
        <w:t> </w:t>
      </w:r>
      <w:r>
        <w:rPr/>
        <w:t>campus,</w:t>
      </w:r>
      <w:r>
        <w:rPr>
          <w:spacing w:val="3"/>
        </w:rPr>
        <w:t> </w:t>
      </w:r>
      <w:r>
        <w:rPr/>
        <w:t>the</w:t>
      </w:r>
      <w:r>
        <w:rPr>
          <w:spacing w:val="4"/>
        </w:rPr>
        <w:t> </w:t>
      </w:r>
      <w:r>
        <w:rPr/>
        <w:t>inadequate</w:t>
      </w:r>
      <w:r>
        <w:rPr>
          <w:spacing w:val="4"/>
        </w:rPr>
        <w:t> </w:t>
      </w:r>
      <w:r>
        <w:rPr/>
        <w:t>supply</w:t>
      </w:r>
      <w:r>
        <w:rPr>
          <w:spacing w:val="2"/>
        </w:rPr>
        <w:t> </w:t>
      </w:r>
      <w:r>
        <w:rPr/>
        <w:t>or</w:t>
      </w:r>
      <w:r>
        <w:rPr>
          <w:spacing w:val="4"/>
        </w:rPr>
        <w:t> </w:t>
      </w:r>
      <w:r>
        <w:rPr/>
        <w:t>complete</w:t>
      </w:r>
      <w:r>
        <w:rPr>
          <w:spacing w:val="4"/>
        </w:rPr>
        <w:t> </w:t>
      </w:r>
      <w:r>
        <w:rPr>
          <w:spacing w:val="-2"/>
        </w:rPr>
        <w:t>absence</w:t>
      </w:r>
    </w:p>
    <w:p>
      <w:pPr>
        <w:spacing w:after="0" w:line="480" w:lineRule="auto"/>
        <w:jc w:val="both"/>
        <w:sectPr>
          <w:headerReference w:type="default" r:id="rId102"/>
          <w:footerReference w:type="default" r:id="rId103"/>
          <w:pgSz w:w="12240" w:h="15840"/>
          <w:pgMar w:header="722" w:footer="791" w:top="1060" w:bottom="980" w:left="1280" w:right="1140"/>
        </w:sectPr>
      </w:pPr>
    </w:p>
    <w:p>
      <w:pPr>
        <w:pStyle w:val="BodyText"/>
        <w:spacing w:before="86"/>
      </w:pPr>
    </w:p>
    <w:p>
      <w:pPr>
        <w:pStyle w:val="BodyText"/>
        <w:spacing w:line="480" w:lineRule="auto"/>
        <w:ind w:left="880" w:right="295"/>
        <w:jc w:val="both"/>
      </w:pPr>
      <w:r>
        <w:rPr/>
        <w:t>of such welfare facilities can create problems of students’ unrest. Hence people could not help sympathizing with students and their parents for their protests against the complete withdrawal of feeding subsidies</w:t>
      </w:r>
      <w:r>
        <w:rPr>
          <w:spacing w:val="-1"/>
        </w:rPr>
        <w:t> </w:t>
      </w:r>
      <w:r>
        <w:rPr/>
        <w:t>from</w:t>
      </w:r>
      <w:r>
        <w:rPr>
          <w:spacing w:val="-4"/>
        </w:rPr>
        <w:t> </w:t>
      </w:r>
      <w:r>
        <w:rPr/>
        <w:t>the University system.</w:t>
      </w:r>
    </w:p>
    <w:p>
      <w:pPr>
        <w:pStyle w:val="BodyText"/>
        <w:spacing w:line="480" w:lineRule="auto"/>
        <w:ind w:left="880" w:right="297" w:firstLine="720"/>
        <w:jc w:val="both"/>
      </w:pPr>
      <w:r>
        <w:rPr/>
        <w:t>Lamenting over the new feeding arrangement which became more pronounced in 1985, most students felt that the increase from 50 kobo to </w:t>
      </w:r>
      <w:r>
        <w:rPr>
          <w:dstrike/>
        </w:rPr>
        <w:t>N</w:t>
      </w:r>
      <w:r>
        <w:rPr>
          <w:strike w:val="0"/>
        </w:rPr>
        <w:t>1.00 was strangulating. They condemned the increase and the deplorable deterioration in the quality and quantity of food and blamed the University for making internal arrangement with the contractors/caterers without due consent and representation or supervision of the students for such operation.</w:t>
      </w:r>
    </w:p>
    <w:p>
      <w:pPr>
        <w:pStyle w:val="BodyText"/>
        <w:spacing w:line="480" w:lineRule="auto" w:before="1"/>
        <w:ind w:left="880" w:right="294" w:firstLine="720"/>
        <w:jc w:val="both"/>
      </w:pPr>
      <w:r>
        <w:rPr/>
        <w:t>Expressing their opinions on this arrangement, Olabisi Soji and Oladunni (1987) in an interview by Sunday Times of March 29, 1987 front page observed that feeding in the Nigerian Universities after the withdrawal of subsidy was becoming alarmingly</w:t>
      </w:r>
      <w:r>
        <w:rPr>
          <w:spacing w:val="-3"/>
        </w:rPr>
        <w:t> </w:t>
      </w:r>
      <w:r>
        <w:rPr/>
        <w:t>detrimental to good</w:t>
      </w:r>
      <w:r>
        <w:rPr>
          <w:spacing w:val="-2"/>
        </w:rPr>
        <w:t> </w:t>
      </w:r>
      <w:r>
        <w:rPr/>
        <w:t>health. Feeding</w:t>
      </w:r>
      <w:r>
        <w:rPr>
          <w:spacing w:val="-2"/>
        </w:rPr>
        <w:t> </w:t>
      </w:r>
      <w:r>
        <w:rPr/>
        <w:t>was said</w:t>
      </w:r>
      <w:r>
        <w:rPr>
          <w:spacing w:val="-2"/>
        </w:rPr>
        <w:t> </w:t>
      </w:r>
      <w:r>
        <w:rPr/>
        <w:t>to</w:t>
      </w:r>
      <w:r>
        <w:rPr>
          <w:spacing w:val="-2"/>
        </w:rPr>
        <w:t> </w:t>
      </w:r>
      <w:r>
        <w:rPr/>
        <w:t>be</w:t>
      </w:r>
      <w:r>
        <w:rPr>
          <w:spacing w:val="-2"/>
        </w:rPr>
        <w:t> </w:t>
      </w:r>
      <w:r>
        <w:rPr/>
        <w:t>deficient in both quality and quantity. Moreover, due to students' inadequate financial resources, “most operated irregular table of feeding of zero-one-zero to none at all”. As a result some students were reported to have collapsed during lectures,</w:t>
      </w:r>
      <w:r>
        <w:rPr>
          <w:spacing w:val="40"/>
        </w:rPr>
        <w:t> </w:t>
      </w:r>
      <w:r>
        <w:rPr/>
        <w:t>in the Libraries or on the fields. On reaching the medical centers the victims would openly demand for a meal before treatment as they might not have eaten for days. Most of such cases recovered from the fit after eating two to three</w:t>
      </w:r>
      <w:r>
        <w:rPr>
          <w:spacing w:val="40"/>
        </w:rPr>
        <w:t> </w:t>
      </w:r>
      <w:r>
        <w:rPr/>
        <w:t>meals instead of medication.</w:t>
      </w:r>
    </w:p>
    <w:p>
      <w:pPr>
        <w:pStyle w:val="BodyText"/>
        <w:spacing w:line="480" w:lineRule="auto"/>
        <w:ind w:left="880" w:right="298" w:firstLine="720"/>
        <w:jc w:val="both"/>
      </w:pPr>
      <w:r>
        <w:rPr/>
        <w:t>Odemenas (1987) with exasperation in same interview, revealed that in Lagos State University (LASU) the private contractors exploited students, as a plate</w:t>
      </w:r>
      <w:r>
        <w:rPr>
          <w:spacing w:val="5"/>
        </w:rPr>
        <w:t> </w:t>
      </w:r>
      <w:r>
        <w:rPr/>
        <w:t>of “a</w:t>
      </w:r>
      <w:r>
        <w:rPr>
          <w:spacing w:val="5"/>
        </w:rPr>
        <w:t> </w:t>
      </w:r>
      <w:r>
        <w:rPr/>
        <w:t>standard</w:t>
      </w:r>
      <w:r>
        <w:rPr>
          <w:spacing w:val="6"/>
        </w:rPr>
        <w:t> </w:t>
      </w:r>
      <w:r>
        <w:rPr/>
        <w:t>meal</w:t>
      </w:r>
      <w:r>
        <w:rPr>
          <w:spacing w:val="8"/>
        </w:rPr>
        <w:t> </w:t>
      </w:r>
      <w:r>
        <w:rPr/>
        <w:t>then</w:t>
      </w:r>
      <w:r>
        <w:rPr>
          <w:spacing w:val="6"/>
        </w:rPr>
        <w:t> </w:t>
      </w:r>
      <w:r>
        <w:rPr/>
        <w:t>cost</w:t>
      </w:r>
      <w:r>
        <w:rPr>
          <w:spacing w:val="2"/>
        </w:rPr>
        <w:t> </w:t>
      </w:r>
      <w:r>
        <w:rPr>
          <w:dstrike/>
        </w:rPr>
        <w:t>N</w:t>
      </w:r>
      <w:r>
        <w:rPr>
          <w:strike w:val="0"/>
        </w:rPr>
        <w:t>2.50</w:t>
      </w:r>
      <w:r>
        <w:rPr>
          <w:strike w:val="0"/>
          <w:spacing w:val="5"/>
        </w:rPr>
        <w:t> </w:t>
      </w:r>
      <w:r>
        <w:rPr>
          <w:strike w:val="0"/>
        </w:rPr>
        <w:t>while</w:t>
      </w:r>
      <w:r>
        <w:rPr>
          <w:strike w:val="0"/>
          <w:spacing w:val="1"/>
        </w:rPr>
        <w:t> </w:t>
      </w:r>
      <w:r>
        <w:rPr>
          <w:strike w:val="0"/>
        </w:rPr>
        <w:t>in</w:t>
      </w:r>
      <w:r>
        <w:rPr>
          <w:strike w:val="0"/>
          <w:spacing w:val="1"/>
        </w:rPr>
        <w:t> </w:t>
      </w:r>
      <w:r>
        <w:rPr>
          <w:strike w:val="0"/>
        </w:rPr>
        <w:t>the</w:t>
      </w:r>
      <w:r>
        <w:rPr>
          <w:strike w:val="0"/>
          <w:spacing w:val="5"/>
        </w:rPr>
        <w:t> </w:t>
      </w:r>
      <w:r>
        <w:rPr>
          <w:strike w:val="0"/>
        </w:rPr>
        <w:t>real</w:t>
      </w:r>
      <w:r>
        <w:rPr>
          <w:strike w:val="0"/>
          <w:spacing w:val="9"/>
        </w:rPr>
        <w:t> </w:t>
      </w:r>
      <w:r>
        <w:rPr>
          <w:strike w:val="0"/>
        </w:rPr>
        <w:t>sense</w:t>
      </w:r>
      <w:r>
        <w:rPr>
          <w:strike w:val="0"/>
          <w:spacing w:val="1"/>
        </w:rPr>
        <w:t> </w:t>
      </w:r>
      <w:r>
        <w:rPr>
          <w:strike w:val="0"/>
        </w:rPr>
        <w:t>the</w:t>
      </w:r>
      <w:r>
        <w:rPr>
          <w:strike w:val="0"/>
          <w:spacing w:val="5"/>
        </w:rPr>
        <w:t> </w:t>
      </w:r>
      <w:r>
        <w:rPr>
          <w:strike w:val="0"/>
        </w:rPr>
        <w:t>quality</w:t>
      </w:r>
      <w:r>
        <w:rPr>
          <w:strike w:val="0"/>
          <w:spacing w:val="4"/>
        </w:rPr>
        <w:t> </w:t>
      </w:r>
      <w:r>
        <w:rPr>
          <w:strike w:val="0"/>
          <w:spacing w:val="-5"/>
        </w:rPr>
        <w:t>was</w:t>
      </w:r>
    </w:p>
    <w:p>
      <w:pPr>
        <w:spacing w:after="0" w:line="480" w:lineRule="auto"/>
        <w:jc w:val="both"/>
        <w:sectPr>
          <w:headerReference w:type="default" r:id="rId104"/>
          <w:footerReference w:type="default" r:id="rId105"/>
          <w:pgSz w:w="12240" w:h="15840"/>
          <w:pgMar w:header="722" w:footer="791" w:top="1060" w:bottom="980" w:left="1280" w:right="1140"/>
        </w:sectPr>
      </w:pPr>
    </w:p>
    <w:p>
      <w:pPr>
        <w:pStyle w:val="BodyText"/>
        <w:spacing w:before="86"/>
      </w:pPr>
    </w:p>
    <w:p>
      <w:pPr>
        <w:pStyle w:val="BodyText"/>
        <w:spacing w:line="480" w:lineRule="auto"/>
        <w:ind w:left="880" w:right="299"/>
        <w:jc w:val="both"/>
      </w:pPr>
      <w:r>
        <w:rPr/>
        <w:t>poorer than the ordinary meal”. Akunrin (1987) a student of Law in the same University said “some students resorted to patronizing the Bukaterias scattered outside the campus taking the risk of food poisoning”.</w:t>
      </w:r>
    </w:p>
    <w:p>
      <w:pPr>
        <w:pStyle w:val="BodyText"/>
        <w:spacing w:line="480" w:lineRule="auto"/>
        <w:ind w:left="880" w:right="296" w:firstLine="720"/>
        <w:jc w:val="both"/>
      </w:pPr>
      <w:r>
        <w:rPr/>
        <w:t>Chidi (1987:3) formerly a student of University of Benin in same interview remarked that although he was no longer a student he still “imagined the ordeal which students went through to keep soul and body together”. He observed that</w:t>
      </w:r>
      <w:r>
        <w:rPr>
          <w:spacing w:val="40"/>
        </w:rPr>
        <w:t> </w:t>
      </w:r>
      <w:r>
        <w:rPr/>
        <w:t>a meal in University of Benin was 25 kobo per plate before the Government removed subsidy on feeding and was very adequate. After removal it became “PAY AS YOU EAT (PAYE) and with </w:t>
      </w:r>
      <w:r>
        <w:rPr>
          <w:dstrike/>
        </w:rPr>
        <w:t>N</w:t>
      </w:r>
      <w:r>
        <w:rPr>
          <w:strike w:val="0"/>
        </w:rPr>
        <w:t>1.50 one could hardly eat a good meal”. Idris (1987:3) of University of Ibadan (UI) too lamented that students looked very emanciated and unhealthy, unlike those days when feeding was part of the university’s responsibility.</w:t>
      </w:r>
    </w:p>
    <w:p>
      <w:pPr>
        <w:pStyle w:val="BodyText"/>
        <w:spacing w:line="480" w:lineRule="auto" w:before="1"/>
        <w:ind w:left="880" w:right="296" w:firstLine="720"/>
        <w:jc w:val="both"/>
      </w:pPr>
      <w:r>
        <w:rPr/>
        <w:t>The</w:t>
      </w:r>
      <w:r>
        <w:rPr>
          <w:spacing w:val="-3"/>
        </w:rPr>
        <w:t> </w:t>
      </w:r>
      <w:r>
        <w:rPr/>
        <w:t>public,</w:t>
      </w:r>
      <w:r>
        <w:rPr>
          <w:spacing w:val="-3"/>
        </w:rPr>
        <w:t> </w:t>
      </w:r>
      <w:r>
        <w:rPr/>
        <w:t>particularly</w:t>
      </w:r>
      <w:r>
        <w:rPr>
          <w:spacing w:val="-8"/>
        </w:rPr>
        <w:t> </w:t>
      </w:r>
      <w:r>
        <w:rPr/>
        <w:t>parents</w:t>
      </w:r>
      <w:r>
        <w:rPr>
          <w:spacing w:val="-3"/>
        </w:rPr>
        <w:t> </w:t>
      </w:r>
      <w:r>
        <w:rPr/>
        <w:t>also</w:t>
      </w:r>
      <w:r>
        <w:rPr>
          <w:spacing w:val="-3"/>
        </w:rPr>
        <w:t> </w:t>
      </w:r>
      <w:r>
        <w:rPr/>
        <w:t>showed</w:t>
      </w:r>
      <w:r>
        <w:rPr>
          <w:spacing w:val="-3"/>
        </w:rPr>
        <w:t> </w:t>
      </w:r>
      <w:r>
        <w:rPr/>
        <w:t>their</w:t>
      </w:r>
      <w:r>
        <w:rPr>
          <w:spacing w:val="-2"/>
        </w:rPr>
        <w:t> </w:t>
      </w:r>
      <w:r>
        <w:rPr/>
        <w:t>concern.</w:t>
      </w:r>
      <w:r>
        <w:rPr>
          <w:spacing w:val="-3"/>
        </w:rPr>
        <w:t> </w:t>
      </w:r>
      <w:r>
        <w:rPr/>
        <w:t>Chief</w:t>
      </w:r>
      <w:r>
        <w:rPr>
          <w:spacing w:val="-4"/>
        </w:rPr>
        <w:t> </w:t>
      </w:r>
      <w:r>
        <w:rPr/>
        <w:t>Olusegun (1987:3) one time Commissioner during Governor Jakande’s Administration in Lagos</w:t>
      </w:r>
      <w:r>
        <w:rPr>
          <w:spacing w:val="-1"/>
        </w:rPr>
        <w:t> </w:t>
      </w:r>
      <w:r>
        <w:rPr/>
        <w:t>State in an</w:t>
      </w:r>
      <w:r>
        <w:rPr>
          <w:spacing w:val="-4"/>
        </w:rPr>
        <w:t> </w:t>
      </w:r>
      <w:r>
        <w:rPr/>
        <w:t>interview</w:t>
      </w:r>
      <w:r>
        <w:rPr>
          <w:spacing w:val="-6"/>
        </w:rPr>
        <w:t> </w:t>
      </w:r>
      <w:r>
        <w:rPr/>
        <w:t>by</w:t>
      </w:r>
      <w:r>
        <w:rPr>
          <w:spacing w:val="-1"/>
        </w:rPr>
        <w:t> </w:t>
      </w:r>
      <w:r>
        <w:rPr/>
        <w:t>the same Sunday</w:t>
      </w:r>
      <w:r>
        <w:rPr>
          <w:spacing w:val="-1"/>
        </w:rPr>
        <w:t> </w:t>
      </w:r>
      <w:r>
        <w:rPr/>
        <w:t>Times</w:t>
      </w:r>
      <w:r>
        <w:rPr>
          <w:spacing w:val="-1"/>
        </w:rPr>
        <w:t> </w:t>
      </w:r>
      <w:r>
        <w:rPr/>
        <w:t>of</w:t>
      </w:r>
      <w:r>
        <w:rPr>
          <w:spacing w:val="-1"/>
        </w:rPr>
        <w:t> </w:t>
      </w:r>
      <w:r>
        <w:rPr/>
        <w:t>same edition observed that the feeding pattern in his school days was “a lot better compared to what existed in the university at 1987”. Apart from the awful and deplorable condition</w:t>
      </w:r>
      <w:r>
        <w:rPr>
          <w:spacing w:val="40"/>
        </w:rPr>
        <w:t> </w:t>
      </w:r>
      <w:r>
        <w:rPr/>
        <w:t>of sanitation in the Cafeterias or Bukaterias the food served was tasteless, stale and appalling. According to him a good variety of food should be served to students with the hope that they grow strong and become “healthy, brilliant and able leaders of tomorrow”.</w:t>
      </w:r>
    </w:p>
    <w:p>
      <w:pPr>
        <w:pStyle w:val="BodyText"/>
        <w:spacing w:line="480" w:lineRule="auto"/>
        <w:ind w:left="880" w:right="296" w:firstLine="720"/>
        <w:jc w:val="both"/>
      </w:pPr>
      <w:r>
        <w:rPr/>
        <w:t>Makinwo in Ogunnika (1985:27) observed that majority of the students in the</w:t>
      </w:r>
      <w:r>
        <w:rPr>
          <w:spacing w:val="6"/>
        </w:rPr>
        <w:t> </w:t>
      </w:r>
      <w:r>
        <w:rPr/>
        <w:t>Universities</w:t>
      </w:r>
      <w:r>
        <w:rPr>
          <w:spacing w:val="4"/>
        </w:rPr>
        <w:t> </w:t>
      </w:r>
      <w:r>
        <w:rPr/>
        <w:t>are</w:t>
      </w:r>
      <w:r>
        <w:rPr>
          <w:spacing w:val="6"/>
        </w:rPr>
        <w:t> </w:t>
      </w:r>
      <w:r>
        <w:rPr/>
        <w:t>sons</w:t>
      </w:r>
      <w:r>
        <w:rPr>
          <w:spacing w:val="4"/>
        </w:rPr>
        <w:t> </w:t>
      </w:r>
      <w:r>
        <w:rPr/>
        <w:t>and</w:t>
      </w:r>
      <w:r>
        <w:rPr>
          <w:spacing w:val="6"/>
        </w:rPr>
        <w:t> </w:t>
      </w:r>
      <w:r>
        <w:rPr/>
        <w:t>daughters</w:t>
      </w:r>
      <w:r>
        <w:rPr>
          <w:spacing w:val="4"/>
        </w:rPr>
        <w:t> </w:t>
      </w:r>
      <w:r>
        <w:rPr/>
        <w:t>of</w:t>
      </w:r>
      <w:r>
        <w:rPr>
          <w:spacing w:val="5"/>
        </w:rPr>
        <w:t> </w:t>
      </w:r>
      <w:r>
        <w:rPr/>
        <w:t>the</w:t>
      </w:r>
      <w:r>
        <w:rPr>
          <w:spacing w:val="6"/>
        </w:rPr>
        <w:t> </w:t>
      </w:r>
      <w:r>
        <w:rPr/>
        <w:t>rural</w:t>
      </w:r>
      <w:r>
        <w:rPr>
          <w:spacing w:val="9"/>
        </w:rPr>
        <w:t> </w:t>
      </w:r>
      <w:r>
        <w:rPr/>
        <w:t>poor.</w:t>
      </w:r>
      <w:r>
        <w:rPr>
          <w:spacing w:val="6"/>
        </w:rPr>
        <w:t> </w:t>
      </w:r>
      <w:r>
        <w:rPr/>
        <w:t>Some</w:t>
      </w:r>
      <w:r>
        <w:rPr>
          <w:spacing w:val="6"/>
        </w:rPr>
        <w:t> </w:t>
      </w:r>
      <w:r>
        <w:rPr/>
        <w:t>of</w:t>
      </w:r>
      <w:r>
        <w:rPr>
          <w:spacing w:val="5"/>
        </w:rPr>
        <w:t> </w:t>
      </w:r>
      <w:r>
        <w:rPr/>
        <w:t>them</w:t>
      </w:r>
      <w:r>
        <w:rPr>
          <w:spacing w:val="-3"/>
        </w:rPr>
        <w:t> </w:t>
      </w:r>
      <w:r>
        <w:rPr>
          <w:spacing w:val="-2"/>
        </w:rPr>
        <w:t>“cannot</w:t>
      </w:r>
    </w:p>
    <w:p>
      <w:pPr>
        <w:spacing w:after="0" w:line="480" w:lineRule="auto"/>
        <w:jc w:val="both"/>
        <w:sectPr>
          <w:headerReference w:type="default" r:id="rId106"/>
          <w:footerReference w:type="default" r:id="rId107"/>
          <w:pgSz w:w="12240" w:h="15840"/>
          <w:pgMar w:header="722" w:footer="791" w:top="1060" w:bottom="980" w:left="1280" w:right="1140"/>
        </w:sectPr>
      </w:pPr>
    </w:p>
    <w:p>
      <w:pPr>
        <w:pStyle w:val="BodyText"/>
        <w:spacing w:before="86"/>
      </w:pPr>
    </w:p>
    <w:p>
      <w:pPr>
        <w:pStyle w:val="BodyText"/>
        <w:spacing w:line="480" w:lineRule="auto"/>
        <w:ind w:left="880" w:right="295"/>
        <w:jc w:val="both"/>
      </w:pPr>
      <w:r>
        <w:rPr/>
        <w:t>even produce enough crops for their existence let alone generate surplus to pay for their children’s feeding and housing fees adequately which are mandatory in the Universities.</w:t>
      </w:r>
    </w:p>
    <w:p>
      <w:pPr>
        <w:pStyle w:val="BodyText"/>
        <w:spacing w:line="480" w:lineRule="auto"/>
        <w:ind w:left="880" w:right="294" w:firstLine="720"/>
        <w:jc w:val="both"/>
      </w:pPr>
      <w:r>
        <w:rPr/>
        <w:t>In a research conducted in Marte District of Borno State by the author it was revealed that the income of most rural farmers was less than </w:t>
      </w:r>
      <w:r>
        <w:rPr>
          <w:dstrike/>
        </w:rPr>
        <w:t>N</w:t>
      </w:r>
      <w:r>
        <w:rPr>
          <w:strike w:val="0"/>
        </w:rPr>
        <w:t>500.00 per annum. The children of such farmers if opportuned to go into university, can never survive under the new system. Consequently, this contributes to the educational imbalance between the rural and the urban elite, which definitely jeopardizes serious social stability in the country since rural population accounts for over 70 % of Nigeria’s total population.</w:t>
      </w:r>
    </w:p>
    <w:p>
      <w:pPr>
        <w:pStyle w:val="BodyText"/>
        <w:spacing w:line="480" w:lineRule="auto" w:before="1"/>
        <w:ind w:left="880" w:right="294" w:firstLine="720"/>
        <w:jc w:val="both"/>
      </w:pPr>
      <w:r>
        <w:rPr/>
        <w:t>The comments from the university Administrators were also not palatable. While some showed lots of concern and disgust, others blamed the Government and the University Management for such a devastating change. To them it was unfortunate that the Government could be so uncaring, and ruthless as to refuse to feed its students despite the promising resources of the country. Those concerned also wondered why the university management could succumb so easily to the change that even when the subsidy was finally withdrawn the Management was shunning its responsibility of supervising the private contractors/caterers properly. Instead the caterers would cleverly “bribe their ways through, to dictate the prices of the meals even though the meals were </w:t>
      </w:r>
      <w:r>
        <w:rPr>
          <w:spacing w:val="-2"/>
        </w:rPr>
        <w:t>deplorable”.</w:t>
      </w:r>
    </w:p>
    <w:p>
      <w:pPr>
        <w:pStyle w:val="BodyText"/>
        <w:spacing w:line="480" w:lineRule="auto"/>
        <w:ind w:left="880" w:right="297" w:firstLine="720"/>
        <w:jc w:val="both"/>
      </w:pPr>
      <w:r>
        <w:rPr/>
        <w:t>Consequently, with the impending hardship which showed no hope, the students</w:t>
      </w:r>
      <w:r>
        <w:rPr>
          <w:spacing w:val="72"/>
        </w:rPr>
        <w:t> </w:t>
      </w:r>
      <w:r>
        <w:rPr/>
        <w:t>had</w:t>
      </w:r>
      <w:r>
        <w:rPr>
          <w:spacing w:val="73"/>
        </w:rPr>
        <w:t> </w:t>
      </w:r>
      <w:r>
        <w:rPr/>
        <w:t>to</w:t>
      </w:r>
      <w:r>
        <w:rPr>
          <w:spacing w:val="73"/>
        </w:rPr>
        <w:t> </w:t>
      </w:r>
      <w:r>
        <w:rPr/>
        <w:t>resign</w:t>
      </w:r>
      <w:r>
        <w:rPr>
          <w:spacing w:val="73"/>
        </w:rPr>
        <w:t> </w:t>
      </w:r>
      <w:r>
        <w:rPr/>
        <w:t>to</w:t>
      </w:r>
      <w:r>
        <w:rPr>
          <w:spacing w:val="68"/>
        </w:rPr>
        <w:t> </w:t>
      </w:r>
      <w:r>
        <w:rPr/>
        <w:t>learn</w:t>
      </w:r>
      <w:r>
        <w:rPr>
          <w:spacing w:val="74"/>
        </w:rPr>
        <w:t> </w:t>
      </w:r>
      <w:r>
        <w:rPr/>
        <w:t>through</w:t>
      </w:r>
      <w:r>
        <w:rPr>
          <w:spacing w:val="73"/>
        </w:rPr>
        <w:t> </w:t>
      </w:r>
      <w:r>
        <w:rPr/>
        <w:t>the</w:t>
      </w:r>
      <w:r>
        <w:rPr>
          <w:spacing w:val="73"/>
        </w:rPr>
        <w:t> </w:t>
      </w:r>
      <w:r>
        <w:rPr/>
        <w:t>hard</w:t>
      </w:r>
      <w:r>
        <w:rPr>
          <w:spacing w:val="73"/>
        </w:rPr>
        <w:t> </w:t>
      </w:r>
      <w:r>
        <w:rPr/>
        <w:t>way</w:t>
      </w:r>
      <w:r>
        <w:rPr>
          <w:spacing w:val="72"/>
        </w:rPr>
        <w:t> </w:t>
      </w:r>
      <w:r>
        <w:rPr/>
        <w:t>to</w:t>
      </w:r>
      <w:r>
        <w:rPr>
          <w:spacing w:val="73"/>
        </w:rPr>
        <w:t> </w:t>
      </w:r>
      <w:r>
        <w:rPr/>
        <w:t>either</w:t>
      </w:r>
      <w:r>
        <w:rPr>
          <w:spacing w:val="74"/>
        </w:rPr>
        <w:t> </w:t>
      </w:r>
      <w:r>
        <w:rPr/>
        <w:t>eat</w:t>
      </w:r>
      <w:r>
        <w:rPr>
          <w:spacing w:val="74"/>
        </w:rPr>
        <w:t> </w:t>
      </w:r>
      <w:r>
        <w:rPr/>
        <w:t>in</w:t>
      </w:r>
      <w:r>
        <w:rPr>
          <w:spacing w:val="73"/>
        </w:rPr>
        <w:t> </w:t>
      </w:r>
      <w:r>
        <w:rPr>
          <w:spacing w:val="-5"/>
        </w:rPr>
        <w:t>the</w:t>
      </w:r>
    </w:p>
    <w:p>
      <w:pPr>
        <w:spacing w:after="0" w:line="480" w:lineRule="auto"/>
        <w:jc w:val="both"/>
        <w:sectPr>
          <w:headerReference w:type="default" r:id="rId108"/>
          <w:footerReference w:type="default" r:id="rId109"/>
          <w:pgSz w:w="12240" w:h="15840"/>
          <w:pgMar w:header="722" w:footer="791" w:top="1060" w:bottom="980" w:left="1280" w:right="1140"/>
        </w:sectPr>
      </w:pPr>
    </w:p>
    <w:p>
      <w:pPr>
        <w:pStyle w:val="BodyText"/>
        <w:spacing w:before="86"/>
      </w:pPr>
    </w:p>
    <w:p>
      <w:pPr>
        <w:pStyle w:val="BodyText"/>
        <w:spacing w:line="480" w:lineRule="auto"/>
        <w:ind w:left="880" w:right="297"/>
        <w:jc w:val="both"/>
      </w:pPr>
      <w:r>
        <w:rPr/>
        <w:t>cafeterias</w:t>
      </w:r>
      <w:r>
        <w:rPr>
          <w:spacing w:val="-3"/>
        </w:rPr>
        <w:t> </w:t>
      </w:r>
      <w:r>
        <w:rPr/>
        <w:t>at the</w:t>
      </w:r>
      <w:r>
        <w:rPr>
          <w:spacing w:val="-2"/>
        </w:rPr>
        <w:t> </w:t>
      </w:r>
      <w:r>
        <w:rPr/>
        <w:t>caterers’ ever fluctuating prices or cook for</w:t>
      </w:r>
      <w:r>
        <w:rPr>
          <w:spacing w:val="-1"/>
        </w:rPr>
        <w:t> </w:t>
      </w:r>
      <w:r>
        <w:rPr/>
        <w:t>themselves. Cooking in their bedrooms was seen by the Management of the universities as very dangerous as it could lead to rampant outbreak of fire. In Ahmadu Bello University for instance, when General Mamman Kontagora (Rtd) was appointed to restore order and peace</w:t>
      </w:r>
      <w:r>
        <w:rPr>
          <w:spacing w:val="-1"/>
        </w:rPr>
        <w:t> </w:t>
      </w:r>
      <w:r>
        <w:rPr/>
        <w:t>in the</w:t>
      </w:r>
      <w:r>
        <w:rPr>
          <w:spacing w:val="-1"/>
        </w:rPr>
        <w:t> </w:t>
      </w:r>
      <w:r>
        <w:rPr/>
        <w:t>already collapsed University</w:t>
      </w:r>
      <w:r>
        <w:rPr>
          <w:spacing w:val="-2"/>
        </w:rPr>
        <w:t> </w:t>
      </w:r>
      <w:r>
        <w:rPr/>
        <w:t>in 1995, effort was made to ban cooking in students bedrooms particularly the use of electrical cooking appliances. Unfortunately, since there was no prompt substitute the rule was not effectively enforced. Up till today students are reported to be cooking in their rooms and cases of fire outbreak in the hostels have continued. In the 2001/2002 session more than ten cases of fire outbreaks and damages in students' halls have been reported. All these unnecessary damages and inconveniences</w:t>
      </w:r>
      <w:r>
        <w:rPr>
          <w:spacing w:val="-2"/>
        </w:rPr>
        <w:t> </w:t>
      </w:r>
      <w:r>
        <w:rPr/>
        <w:t>have</w:t>
      </w:r>
      <w:r>
        <w:rPr>
          <w:spacing w:val="-2"/>
        </w:rPr>
        <w:t> </w:t>
      </w:r>
      <w:r>
        <w:rPr/>
        <w:t>definitely</w:t>
      </w:r>
      <w:r>
        <w:rPr>
          <w:spacing w:val="-2"/>
        </w:rPr>
        <w:t> </w:t>
      </w:r>
      <w:r>
        <w:rPr/>
        <w:t>been</w:t>
      </w:r>
      <w:r>
        <w:rPr>
          <w:spacing w:val="-2"/>
        </w:rPr>
        <w:t> </w:t>
      </w:r>
      <w:r>
        <w:rPr/>
        <w:t>attributed</w:t>
      </w:r>
      <w:r>
        <w:rPr>
          <w:spacing w:val="-2"/>
        </w:rPr>
        <w:t> </w:t>
      </w:r>
      <w:r>
        <w:rPr/>
        <w:t>to</w:t>
      </w:r>
      <w:r>
        <w:rPr>
          <w:spacing w:val="-2"/>
        </w:rPr>
        <w:t> </w:t>
      </w:r>
      <w:r>
        <w:rPr/>
        <w:t>the</w:t>
      </w:r>
      <w:r>
        <w:rPr>
          <w:spacing w:val="-2"/>
        </w:rPr>
        <w:t> </w:t>
      </w:r>
      <w:r>
        <w:rPr/>
        <w:t>withdrawal and</w:t>
      </w:r>
      <w:r>
        <w:rPr>
          <w:spacing w:val="-5"/>
        </w:rPr>
        <w:t> </w:t>
      </w:r>
      <w:r>
        <w:rPr/>
        <w:t>lack</w:t>
      </w:r>
      <w:r>
        <w:rPr>
          <w:spacing w:val="-2"/>
        </w:rPr>
        <w:t> </w:t>
      </w:r>
      <w:r>
        <w:rPr/>
        <w:t>of</w:t>
      </w:r>
      <w:r>
        <w:rPr>
          <w:spacing w:val="-2"/>
        </w:rPr>
        <w:t> </w:t>
      </w:r>
      <w:r>
        <w:rPr/>
        <w:t>good management of students feeding.</w:t>
      </w:r>
    </w:p>
    <w:p>
      <w:pPr>
        <w:pStyle w:val="Heading2"/>
        <w:numPr>
          <w:ilvl w:val="3"/>
          <w:numId w:val="19"/>
        </w:numPr>
        <w:tabs>
          <w:tab w:pos="1088" w:val="left" w:leader="none"/>
        </w:tabs>
        <w:spacing w:line="319" w:lineRule="exact" w:before="0" w:after="0"/>
        <w:ind w:left="1088" w:right="0" w:hanging="928"/>
        <w:jc w:val="left"/>
      </w:pPr>
      <w:r>
        <w:rPr/>
        <w:t>Hostel</w:t>
      </w:r>
      <w:r>
        <w:rPr>
          <w:spacing w:val="-3"/>
        </w:rPr>
        <w:t> </w:t>
      </w:r>
      <w:r>
        <w:rPr>
          <w:spacing w:val="-2"/>
        </w:rPr>
        <w:t>Accommodation</w:t>
      </w:r>
    </w:p>
    <w:p>
      <w:pPr>
        <w:pStyle w:val="BodyText"/>
        <w:spacing w:before="3"/>
        <w:rPr>
          <w:rFonts w:ascii="Arial"/>
          <w:b/>
          <w:sz w:val="28"/>
        </w:rPr>
      </w:pPr>
    </w:p>
    <w:p>
      <w:pPr>
        <w:pStyle w:val="BodyText"/>
        <w:spacing w:line="480" w:lineRule="auto"/>
        <w:ind w:left="880" w:right="293" w:firstLine="720"/>
        <w:jc w:val="both"/>
      </w:pPr>
      <w:r>
        <w:rPr/>
        <w:t>The concept of accommodation in the University system can be both classroom and hostel which are very crucial to the meaningful and well-being of students on campus. In Maslow’s view, (1954) shelter like food is a basic human requirement on earth. For a student, it is one thing to secure provisional admission into the university, it is quite another to get decent accommodation. Admission without accommodation to them is thus incomplete.</w:t>
      </w:r>
    </w:p>
    <w:p>
      <w:pPr>
        <w:pStyle w:val="BodyText"/>
        <w:spacing w:line="480" w:lineRule="auto" w:before="1"/>
        <w:ind w:left="880" w:right="294" w:firstLine="720"/>
        <w:jc w:val="both"/>
      </w:pPr>
      <w:r>
        <w:rPr/>
        <w:t>Information from Internet website revealed that in Universities like Curtin International College,</w:t>
      </w:r>
      <w:r>
        <w:rPr>
          <w:spacing w:val="-4"/>
        </w:rPr>
        <w:t> </w:t>
      </w:r>
      <w:r>
        <w:rPr/>
        <w:t>Perth</w:t>
      </w:r>
      <w:r>
        <w:rPr>
          <w:spacing w:val="-3"/>
        </w:rPr>
        <w:t> </w:t>
      </w:r>
      <w:r>
        <w:rPr/>
        <w:t>and</w:t>
      </w:r>
      <w:r>
        <w:rPr>
          <w:spacing w:val="-3"/>
        </w:rPr>
        <w:t> </w:t>
      </w:r>
      <w:r>
        <w:rPr/>
        <w:t>University</w:t>
      </w:r>
      <w:r>
        <w:rPr>
          <w:spacing w:val="-4"/>
        </w:rPr>
        <w:t> </w:t>
      </w:r>
      <w:r>
        <w:rPr/>
        <w:t>of</w:t>
      </w:r>
      <w:r>
        <w:rPr>
          <w:spacing w:val="-8"/>
        </w:rPr>
        <w:t> </w:t>
      </w:r>
      <w:r>
        <w:rPr/>
        <w:t>Sydney</w:t>
      </w:r>
      <w:r>
        <w:rPr>
          <w:spacing w:val="-4"/>
        </w:rPr>
        <w:t> </w:t>
      </w:r>
      <w:r>
        <w:rPr/>
        <w:t>Australia</w:t>
      </w:r>
      <w:r>
        <w:rPr>
          <w:spacing w:val="-1"/>
        </w:rPr>
        <w:t> </w:t>
      </w:r>
      <w:r>
        <w:rPr/>
        <w:t>accommodation</w:t>
      </w:r>
      <w:r>
        <w:rPr>
          <w:spacing w:val="-3"/>
        </w:rPr>
        <w:t> </w:t>
      </w:r>
      <w:r>
        <w:rPr/>
        <w:t>is so</w:t>
      </w:r>
      <w:r>
        <w:rPr>
          <w:spacing w:val="78"/>
        </w:rPr>
        <w:t> </w:t>
      </w:r>
      <w:r>
        <w:rPr/>
        <w:t>vital</w:t>
      </w:r>
      <w:r>
        <w:rPr>
          <w:spacing w:val="49"/>
          <w:w w:val="150"/>
        </w:rPr>
        <w:t> </w:t>
      </w:r>
      <w:r>
        <w:rPr/>
        <w:t>that</w:t>
      </w:r>
      <w:r>
        <w:rPr>
          <w:spacing w:val="78"/>
        </w:rPr>
        <w:t> </w:t>
      </w:r>
      <w:r>
        <w:rPr/>
        <w:t>they</w:t>
      </w:r>
      <w:r>
        <w:rPr>
          <w:spacing w:val="74"/>
        </w:rPr>
        <w:t> </w:t>
      </w:r>
      <w:r>
        <w:rPr/>
        <w:t>have</w:t>
      </w:r>
      <w:r>
        <w:rPr>
          <w:spacing w:val="79"/>
        </w:rPr>
        <w:t> </w:t>
      </w:r>
      <w:r>
        <w:rPr/>
        <w:t>standard</w:t>
      </w:r>
      <w:r>
        <w:rPr>
          <w:spacing w:val="74"/>
        </w:rPr>
        <w:t> </w:t>
      </w:r>
      <w:r>
        <w:rPr/>
        <w:t>arrangements</w:t>
      </w:r>
      <w:r>
        <w:rPr>
          <w:spacing w:val="78"/>
        </w:rPr>
        <w:t> </w:t>
      </w:r>
      <w:r>
        <w:rPr/>
        <w:t>for</w:t>
      </w:r>
      <w:r>
        <w:rPr>
          <w:spacing w:val="79"/>
        </w:rPr>
        <w:t> </w:t>
      </w:r>
      <w:r>
        <w:rPr/>
        <w:t>accommodation</w:t>
      </w:r>
      <w:r>
        <w:rPr>
          <w:spacing w:val="79"/>
        </w:rPr>
        <w:t> </w:t>
      </w:r>
      <w:r>
        <w:rPr>
          <w:spacing w:val="-2"/>
        </w:rPr>
        <w:t>through</w:t>
      </w:r>
    </w:p>
    <w:p>
      <w:pPr>
        <w:spacing w:after="0" w:line="480" w:lineRule="auto"/>
        <w:jc w:val="both"/>
        <w:sectPr>
          <w:headerReference w:type="default" r:id="rId110"/>
          <w:footerReference w:type="default" r:id="rId111"/>
          <w:pgSz w:w="12240" w:h="15840"/>
          <w:pgMar w:header="722" w:footer="791" w:top="1060" w:bottom="980" w:left="1280" w:right="1140"/>
        </w:sectPr>
      </w:pPr>
    </w:p>
    <w:p>
      <w:pPr>
        <w:pStyle w:val="BodyText"/>
        <w:spacing w:before="86"/>
      </w:pPr>
    </w:p>
    <w:p>
      <w:pPr>
        <w:pStyle w:val="BodyText"/>
        <w:spacing w:line="480" w:lineRule="auto"/>
        <w:ind w:left="880" w:right="294"/>
        <w:jc w:val="both"/>
      </w:pPr>
      <w:r>
        <w:rPr/>
        <w:t>accommodation Agencies.</w:t>
      </w:r>
      <w:r>
        <w:rPr>
          <w:spacing w:val="40"/>
        </w:rPr>
        <w:t> </w:t>
      </w:r>
      <w:r>
        <w:rPr/>
        <w:t>The Universities assist Students to procure the most comfortable and appropriate accommodation available to suit their requirements at</w:t>
      </w:r>
      <w:r>
        <w:rPr>
          <w:spacing w:val="-2"/>
        </w:rPr>
        <w:t> </w:t>
      </w:r>
      <w:r>
        <w:rPr/>
        <w:t>affordable</w:t>
      </w:r>
      <w:r>
        <w:rPr>
          <w:spacing w:val="-1"/>
        </w:rPr>
        <w:t> </w:t>
      </w:r>
      <w:r>
        <w:rPr/>
        <w:t>fees</w:t>
      </w:r>
      <w:r>
        <w:rPr>
          <w:spacing w:val="-2"/>
        </w:rPr>
        <w:t> </w:t>
      </w:r>
      <w:r>
        <w:rPr/>
        <w:t>depending</w:t>
      </w:r>
      <w:r>
        <w:rPr>
          <w:spacing w:val="-1"/>
        </w:rPr>
        <w:t> </w:t>
      </w:r>
      <w:r>
        <w:rPr/>
        <w:t>on</w:t>
      </w:r>
      <w:r>
        <w:rPr>
          <w:spacing w:val="-1"/>
        </w:rPr>
        <w:t> </w:t>
      </w:r>
      <w:r>
        <w:rPr/>
        <w:t>the</w:t>
      </w:r>
      <w:r>
        <w:rPr>
          <w:spacing w:val="-1"/>
        </w:rPr>
        <w:t> </w:t>
      </w:r>
      <w:r>
        <w:rPr/>
        <w:t>location.</w:t>
      </w:r>
      <w:r>
        <w:rPr>
          <w:spacing w:val="40"/>
        </w:rPr>
        <w:t> </w:t>
      </w:r>
      <w:r>
        <w:rPr/>
        <w:t>All</w:t>
      </w:r>
      <w:r>
        <w:rPr>
          <w:spacing w:val="-2"/>
        </w:rPr>
        <w:t> </w:t>
      </w:r>
      <w:r>
        <w:rPr/>
        <w:t>rooms</w:t>
      </w:r>
      <w:r>
        <w:rPr>
          <w:spacing w:val="-2"/>
        </w:rPr>
        <w:t> </w:t>
      </w:r>
      <w:r>
        <w:rPr/>
        <w:t>are</w:t>
      </w:r>
      <w:r>
        <w:rPr>
          <w:spacing w:val="-1"/>
        </w:rPr>
        <w:t> </w:t>
      </w:r>
      <w:r>
        <w:rPr/>
        <w:t>equipped</w:t>
      </w:r>
      <w:r>
        <w:rPr>
          <w:spacing w:val="-1"/>
        </w:rPr>
        <w:t> </w:t>
      </w:r>
      <w:r>
        <w:rPr/>
        <w:t>with</w:t>
      </w:r>
      <w:r>
        <w:rPr>
          <w:spacing w:val="-1"/>
        </w:rPr>
        <w:t> </w:t>
      </w:r>
      <w:r>
        <w:rPr/>
        <w:t>private bathrooms/toilets, broad band access to television, telephone and internet sets. Sydney University in particular which uses colliaging system has adequate accommodation for all categories of students by age, socio-economic</w:t>
      </w:r>
      <w:r>
        <w:rPr>
          <w:spacing w:val="40"/>
        </w:rPr>
        <w:t> </w:t>
      </w:r>
      <w:r>
        <w:rPr/>
        <w:t>background and gender.</w:t>
      </w:r>
    </w:p>
    <w:p>
      <w:pPr>
        <w:pStyle w:val="BodyText"/>
        <w:spacing w:line="480" w:lineRule="auto" w:before="1"/>
        <w:ind w:left="880" w:right="296" w:firstLine="720"/>
        <w:jc w:val="both"/>
      </w:pPr>
      <w:r>
        <w:rPr/>
        <w:t>In a memorandum by a one time Director of Welfare of Students Union Executive in Ahmadu Bello University for 1995/96 session, Mr. Olorunda, he reiterated the importance of hostel accommodation as one of the “cardinal principles of students on the campus” as the university’s belief is to “provide an environment that should assist students to develop their academic, social and political potentials to the fullest”. The provision of hostel accommodation in this regard is therefore considered as an integral part of the total educational enterprise and they should not be seen as merely places to sleep in but should be ‘home’ for students. This view was collaborated by Oladapo (1998:7) and Okebukola, (2003:3) who maintained that Nigerian Universities were established with the intention of providing comfortable "on</w:t>
      </w:r>
      <w:r>
        <w:rPr>
          <w:spacing w:val="-2"/>
        </w:rPr>
        <w:t> </w:t>
      </w:r>
      <w:r>
        <w:rPr/>
        <w:t>campus hostel accommodation for all students. In the 1970</w:t>
      </w:r>
      <w:r>
        <w:rPr>
          <w:vertAlign w:val="superscript"/>
        </w:rPr>
        <w:t>s</w:t>
      </w:r>
      <w:r>
        <w:rPr>
          <w:vertAlign w:val="baseline"/>
        </w:rPr>
        <w:t> when the total student population was put at 23,817 in 1974/75 session for instance, the number of available bedspaces was adequate enough for students." Almost all universities according to them were located on vast expanse of land, far away from</w:t>
      </w:r>
      <w:r>
        <w:rPr>
          <w:spacing w:val="-4"/>
          <w:vertAlign w:val="baseline"/>
        </w:rPr>
        <w:t> </w:t>
      </w:r>
      <w:r>
        <w:rPr>
          <w:vertAlign w:val="baseline"/>
        </w:rPr>
        <w:t>developed towns so that they could afford to put</w:t>
      </w:r>
      <w:r>
        <w:rPr>
          <w:spacing w:val="31"/>
          <w:vertAlign w:val="baseline"/>
        </w:rPr>
        <w:t> </w:t>
      </w:r>
      <w:r>
        <w:rPr>
          <w:vertAlign w:val="baseline"/>
        </w:rPr>
        <w:t>up</w:t>
      </w:r>
      <w:r>
        <w:rPr>
          <w:spacing w:val="28"/>
          <w:vertAlign w:val="baseline"/>
        </w:rPr>
        <w:t> </w:t>
      </w:r>
      <w:r>
        <w:rPr>
          <w:vertAlign w:val="baseline"/>
        </w:rPr>
        <w:t>more</w:t>
      </w:r>
      <w:r>
        <w:rPr>
          <w:spacing w:val="33"/>
          <w:vertAlign w:val="baseline"/>
        </w:rPr>
        <w:t> </w:t>
      </w:r>
      <w:r>
        <w:rPr>
          <w:vertAlign w:val="baseline"/>
        </w:rPr>
        <w:t>structures</w:t>
      </w:r>
      <w:r>
        <w:rPr>
          <w:spacing w:val="27"/>
          <w:vertAlign w:val="baseline"/>
        </w:rPr>
        <w:t> </w:t>
      </w:r>
      <w:r>
        <w:rPr>
          <w:vertAlign w:val="baseline"/>
        </w:rPr>
        <w:t>for</w:t>
      </w:r>
      <w:r>
        <w:rPr>
          <w:spacing w:val="29"/>
          <w:vertAlign w:val="baseline"/>
        </w:rPr>
        <w:t> </w:t>
      </w:r>
      <w:r>
        <w:rPr>
          <w:vertAlign w:val="baseline"/>
        </w:rPr>
        <w:t>academic</w:t>
      </w:r>
      <w:r>
        <w:rPr>
          <w:spacing w:val="32"/>
          <w:vertAlign w:val="baseline"/>
        </w:rPr>
        <w:t> </w:t>
      </w:r>
      <w:r>
        <w:rPr>
          <w:vertAlign w:val="baseline"/>
        </w:rPr>
        <w:t>and</w:t>
      </w:r>
      <w:r>
        <w:rPr>
          <w:spacing w:val="33"/>
          <w:vertAlign w:val="baseline"/>
        </w:rPr>
        <w:t> </w:t>
      </w:r>
      <w:r>
        <w:rPr>
          <w:vertAlign w:val="baseline"/>
        </w:rPr>
        <w:t>hostel</w:t>
      </w:r>
      <w:r>
        <w:rPr>
          <w:spacing w:val="30"/>
          <w:vertAlign w:val="baseline"/>
        </w:rPr>
        <w:t> </w:t>
      </w:r>
      <w:r>
        <w:rPr>
          <w:vertAlign w:val="baseline"/>
        </w:rPr>
        <w:t>residence</w:t>
      </w:r>
      <w:r>
        <w:rPr>
          <w:spacing w:val="33"/>
          <w:vertAlign w:val="baseline"/>
        </w:rPr>
        <w:t> </w:t>
      </w:r>
      <w:r>
        <w:rPr>
          <w:vertAlign w:val="baseline"/>
        </w:rPr>
        <w:t>as</w:t>
      </w:r>
      <w:r>
        <w:rPr>
          <w:spacing w:val="27"/>
          <w:vertAlign w:val="baseline"/>
        </w:rPr>
        <w:t> </w:t>
      </w:r>
      <w:r>
        <w:rPr>
          <w:vertAlign w:val="baseline"/>
        </w:rPr>
        <w:t>funds</w:t>
      </w:r>
      <w:r>
        <w:rPr>
          <w:spacing w:val="27"/>
          <w:vertAlign w:val="baseline"/>
        </w:rPr>
        <w:t> </w:t>
      </w:r>
      <w:r>
        <w:rPr>
          <w:vertAlign w:val="baseline"/>
        </w:rPr>
        <w:t>were</w:t>
      </w:r>
      <w:r>
        <w:rPr>
          <w:spacing w:val="33"/>
          <w:vertAlign w:val="baseline"/>
        </w:rPr>
        <w:t> </w:t>
      </w:r>
      <w:r>
        <w:rPr>
          <w:spacing w:val="-4"/>
          <w:vertAlign w:val="baseline"/>
        </w:rPr>
        <w:t>also</w:t>
      </w:r>
    </w:p>
    <w:p>
      <w:pPr>
        <w:spacing w:after="0" w:line="480" w:lineRule="auto"/>
        <w:jc w:val="both"/>
        <w:sectPr>
          <w:headerReference w:type="default" r:id="rId112"/>
          <w:footerReference w:type="default" r:id="rId113"/>
          <w:pgSz w:w="12240" w:h="15840"/>
          <w:pgMar w:header="722" w:footer="791" w:top="1060" w:bottom="980" w:left="1280" w:right="1140"/>
        </w:sectPr>
      </w:pPr>
    </w:p>
    <w:p>
      <w:pPr>
        <w:pStyle w:val="BodyText"/>
        <w:spacing w:before="86"/>
      </w:pPr>
    </w:p>
    <w:p>
      <w:pPr>
        <w:pStyle w:val="BodyText"/>
        <w:spacing w:line="480" w:lineRule="auto"/>
        <w:ind w:left="880" w:right="295"/>
        <w:jc w:val="both"/>
      </w:pPr>
      <w:r>
        <w:rPr/>
        <w:t>adequately available then. Unfortunately, this became more of a theory than sustained reality as there was a general twist in maintaining the policy of providing adequate hostel accommodation and feeding subsidy to students in all universities soon after it started working. The collapse of this policy can be attributed to the rapid growth in the universities and student population increase.</w:t>
      </w:r>
    </w:p>
    <w:p>
      <w:pPr>
        <w:pStyle w:val="BodyText"/>
        <w:spacing w:line="480" w:lineRule="auto" w:before="1"/>
        <w:ind w:left="880" w:right="295" w:firstLine="720"/>
        <w:jc w:val="both"/>
      </w:pPr>
      <w:r>
        <w:rPr/>
        <w:t>With this trend there has been a considerable debate both within and outside the university system as to what steps should be taken on the controversial</w:t>
      </w:r>
      <w:r>
        <w:rPr>
          <w:spacing w:val="-1"/>
        </w:rPr>
        <w:t> </w:t>
      </w:r>
      <w:r>
        <w:rPr/>
        <w:t>survival</w:t>
      </w:r>
      <w:r>
        <w:rPr>
          <w:spacing w:val="-1"/>
        </w:rPr>
        <w:t> </w:t>
      </w:r>
      <w:r>
        <w:rPr/>
        <w:t>or</w:t>
      </w:r>
      <w:r>
        <w:rPr>
          <w:spacing w:val="-3"/>
        </w:rPr>
        <w:t> </w:t>
      </w:r>
      <w:r>
        <w:rPr/>
        <w:t>non-survival</w:t>
      </w:r>
      <w:r>
        <w:rPr>
          <w:spacing w:val="-1"/>
        </w:rPr>
        <w:t> </w:t>
      </w:r>
      <w:r>
        <w:rPr/>
        <w:t>of</w:t>
      </w:r>
      <w:r>
        <w:rPr>
          <w:spacing w:val="-5"/>
        </w:rPr>
        <w:t> </w:t>
      </w:r>
      <w:r>
        <w:rPr/>
        <w:t>the</w:t>
      </w:r>
      <w:r>
        <w:rPr>
          <w:spacing w:val="-4"/>
        </w:rPr>
        <w:t> </w:t>
      </w:r>
      <w:r>
        <w:rPr/>
        <w:t>feeding</w:t>
      </w:r>
      <w:r>
        <w:rPr>
          <w:spacing w:val="-4"/>
        </w:rPr>
        <w:t> </w:t>
      </w:r>
      <w:r>
        <w:rPr/>
        <w:t>and</w:t>
      </w:r>
      <w:r>
        <w:rPr>
          <w:spacing w:val="-4"/>
        </w:rPr>
        <w:t> </w:t>
      </w:r>
      <w:r>
        <w:rPr/>
        <w:t>Hostel</w:t>
      </w:r>
      <w:r>
        <w:rPr>
          <w:spacing w:val="-5"/>
        </w:rPr>
        <w:t> </w:t>
      </w:r>
      <w:r>
        <w:rPr/>
        <w:t>accommodation</w:t>
      </w:r>
      <w:r>
        <w:rPr>
          <w:spacing w:val="-4"/>
        </w:rPr>
        <w:t> </w:t>
      </w:r>
      <w:r>
        <w:rPr/>
        <w:t>in the Universities. Sequel to this development, the National Universities Commission (NUC) was compelled in 1977 to set up a Committee known as Brigadier T.B. Ogundeko Committee to study the funding problems in the Nigerian University System and submit recommendations. Some of the findings</w:t>
      </w:r>
      <w:r>
        <w:rPr>
          <w:spacing w:val="40"/>
        </w:rPr>
        <w:t> </w:t>
      </w:r>
      <w:r>
        <w:rPr/>
        <w:t>of the committee as contained in the proceedings of National Universities Commission/Committee of Vice Chancellors International Seminar (1987), are:</w:t>
      </w:r>
    </w:p>
    <w:p>
      <w:pPr>
        <w:pStyle w:val="ListParagraph"/>
        <w:numPr>
          <w:ilvl w:val="0"/>
          <w:numId w:val="23"/>
        </w:numPr>
        <w:tabs>
          <w:tab w:pos="1600" w:val="left" w:leader="none"/>
        </w:tabs>
        <w:spacing w:line="470" w:lineRule="auto" w:before="3" w:after="0"/>
        <w:ind w:left="1600" w:right="296" w:hanging="360"/>
        <w:jc w:val="both"/>
        <w:rPr>
          <w:sz w:val="24"/>
        </w:rPr>
      </w:pPr>
      <w:r>
        <w:rPr>
          <w:sz w:val="24"/>
        </w:rPr>
        <w:t>the rate of growth in student population and expansion in academic activities out-stripped the rate of development of classroom and teaching </w:t>
      </w:r>
      <w:r>
        <w:rPr>
          <w:spacing w:val="-2"/>
          <w:sz w:val="24"/>
        </w:rPr>
        <w:t>facilities.</w:t>
      </w:r>
    </w:p>
    <w:p>
      <w:pPr>
        <w:pStyle w:val="ListParagraph"/>
        <w:numPr>
          <w:ilvl w:val="0"/>
          <w:numId w:val="23"/>
        </w:numPr>
        <w:tabs>
          <w:tab w:pos="1600" w:val="left" w:leader="none"/>
        </w:tabs>
        <w:spacing w:line="463" w:lineRule="auto" w:before="12" w:after="0"/>
        <w:ind w:left="1600" w:right="306" w:hanging="360"/>
        <w:jc w:val="both"/>
        <w:rPr>
          <w:sz w:val="24"/>
        </w:rPr>
      </w:pPr>
      <w:r>
        <w:rPr>
          <w:sz w:val="24"/>
        </w:rPr>
        <w:t>living accommodation for students was grossly inadequate and there was overcrowding in students’ hostels.</w:t>
      </w:r>
    </w:p>
    <w:p>
      <w:pPr>
        <w:pStyle w:val="ListParagraph"/>
        <w:numPr>
          <w:ilvl w:val="0"/>
          <w:numId w:val="23"/>
        </w:numPr>
        <w:tabs>
          <w:tab w:pos="1599" w:val="left" w:leader="none"/>
        </w:tabs>
        <w:spacing w:line="240" w:lineRule="auto" w:before="23" w:after="0"/>
        <w:ind w:left="1599" w:right="0" w:hanging="359"/>
        <w:jc w:val="both"/>
        <w:rPr>
          <w:sz w:val="24"/>
        </w:rPr>
      </w:pPr>
      <w:r>
        <w:rPr>
          <w:sz w:val="24"/>
        </w:rPr>
        <w:t>the</w:t>
      </w:r>
      <w:r>
        <w:rPr>
          <w:spacing w:val="-7"/>
          <w:sz w:val="24"/>
        </w:rPr>
        <w:t> </w:t>
      </w:r>
      <w:r>
        <w:rPr>
          <w:sz w:val="24"/>
        </w:rPr>
        <w:t>subsidy</w:t>
      </w:r>
      <w:r>
        <w:rPr>
          <w:spacing w:val="-7"/>
          <w:sz w:val="24"/>
        </w:rPr>
        <w:t> </w:t>
      </w:r>
      <w:r>
        <w:rPr>
          <w:sz w:val="24"/>
        </w:rPr>
        <w:t>on</w:t>
      </w:r>
      <w:r>
        <w:rPr>
          <w:spacing w:val="-6"/>
          <w:sz w:val="24"/>
        </w:rPr>
        <w:t> </w:t>
      </w:r>
      <w:r>
        <w:rPr>
          <w:sz w:val="24"/>
        </w:rPr>
        <w:t>students</w:t>
      </w:r>
      <w:r>
        <w:rPr>
          <w:spacing w:val="-7"/>
          <w:sz w:val="24"/>
        </w:rPr>
        <w:t> </w:t>
      </w:r>
      <w:r>
        <w:rPr>
          <w:sz w:val="24"/>
        </w:rPr>
        <w:t>meals</w:t>
      </w:r>
      <w:r>
        <w:rPr>
          <w:spacing w:val="-7"/>
          <w:sz w:val="24"/>
        </w:rPr>
        <w:t> </w:t>
      </w:r>
      <w:r>
        <w:rPr>
          <w:sz w:val="24"/>
        </w:rPr>
        <w:t>was</w:t>
      </w:r>
      <w:r>
        <w:rPr>
          <w:spacing w:val="-7"/>
          <w:sz w:val="24"/>
        </w:rPr>
        <w:t> </w:t>
      </w:r>
      <w:r>
        <w:rPr>
          <w:spacing w:val="-2"/>
          <w:sz w:val="24"/>
        </w:rPr>
        <w:t>inadequate.</w:t>
      </w:r>
    </w:p>
    <w:p>
      <w:pPr>
        <w:pStyle w:val="ListParagraph"/>
        <w:numPr>
          <w:ilvl w:val="0"/>
          <w:numId w:val="23"/>
        </w:numPr>
        <w:tabs>
          <w:tab w:pos="1600" w:val="left" w:leader="none"/>
        </w:tabs>
        <w:spacing w:line="470" w:lineRule="auto" w:before="273" w:after="0"/>
        <w:ind w:left="1600" w:right="299" w:hanging="360"/>
        <w:jc w:val="both"/>
        <w:rPr>
          <w:sz w:val="24"/>
        </w:rPr>
      </w:pPr>
      <w:r>
        <w:rPr>
          <w:sz w:val="24"/>
        </w:rPr>
        <w:t>universities provide free transportation to students for commuting between campuses and residential accommodation in town and in some cases for in-campus movement.</w:t>
      </w:r>
    </w:p>
    <w:p>
      <w:pPr>
        <w:spacing w:after="0" w:line="470" w:lineRule="auto"/>
        <w:jc w:val="both"/>
        <w:rPr>
          <w:sz w:val="24"/>
        </w:rPr>
        <w:sectPr>
          <w:headerReference w:type="default" r:id="rId114"/>
          <w:footerReference w:type="default" r:id="rId115"/>
          <w:pgSz w:w="12240" w:h="15840"/>
          <w:pgMar w:header="722" w:footer="791" w:top="1060" w:bottom="980" w:left="1280" w:right="1140"/>
        </w:sectPr>
      </w:pPr>
    </w:p>
    <w:p>
      <w:pPr>
        <w:pStyle w:val="BodyText"/>
        <w:spacing w:before="89"/>
      </w:pPr>
    </w:p>
    <w:p>
      <w:pPr>
        <w:pStyle w:val="ListParagraph"/>
        <w:numPr>
          <w:ilvl w:val="0"/>
          <w:numId w:val="23"/>
        </w:numPr>
        <w:tabs>
          <w:tab w:pos="1600" w:val="left" w:leader="none"/>
        </w:tabs>
        <w:spacing w:line="460" w:lineRule="auto" w:before="0" w:after="0"/>
        <w:ind w:left="1600" w:right="300" w:hanging="360"/>
        <w:jc w:val="both"/>
        <w:rPr>
          <w:sz w:val="24"/>
        </w:rPr>
      </w:pPr>
      <w:r>
        <w:rPr>
          <w:sz w:val="24"/>
        </w:rPr>
        <w:t>the universities suffer from inadequate public facilities such as water, electricity, roads and other utilities.</w:t>
      </w:r>
    </w:p>
    <w:p>
      <w:pPr>
        <w:pStyle w:val="BodyText"/>
        <w:spacing w:line="480" w:lineRule="auto" w:before="21"/>
        <w:ind w:left="880" w:right="296" w:firstLine="720"/>
        <w:jc w:val="both"/>
      </w:pPr>
      <w:r>
        <w:rPr/>
        <w:t>Based on its findings, the Committee submitted its recommendations, some of which were:</w:t>
      </w:r>
    </w:p>
    <w:p>
      <w:pPr>
        <w:pStyle w:val="ListParagraph"/>
        <w:numPr>
          <w:ilvl w:val="1"/>
          <w:numId w:val="23"/>
        </w:numPr>
        <w:tabs>
          <w:tab w:pos="2320" w:val="left" w:leader="none"/>
        </w:tabs>
        <w:spacing w:line="480" w:lineRule="auto" w:before="0" w:after="0"/>
        <w:ind w:left="2320" w:right="296" w:hanging="360"/>
        <w:jc w:val="both"/>
        <w:rPr>
          <w:sz w:val="24"/>
        </w:rPr>
      </w:pPr>
      <w:r>
        <w:rPr>
          <w:sz w:val="24"/>
        </w:rPr>
        <w:t>"Government policy that only 75% of university students should be housed on campus, should be continued and the need for these students to interact with the public is valid.</w:t>
      </w:r>
    </w:p>
    <w:p>
      <w:pPr>
        <w:pStyle w:val="ListParagraph"/>
        <w:numPr>
          <w:ilvl w:val="1"/>
          <w:numId w:val="23"/>
        </w:numPr>
        <w:tabs>
          <w:tab w:pos="2320" w:val="left" w:leader="none"/>
        </w:tabs>
        <w:spacing w:line="480" w:lineRule="auto" w:before="1" w:after="0"/>
        <w:ind w:left="2320" w:right="293" w:hanging="360"/>
        <w:jc w:val="both"/>
        <w:rPr>
          <w:sz w:val="24"/>
        </w:rPr>
      </w:pPr>
      <w:r>
        <w:rPr>
          <w:sz w:val="24"/>
        </w:rPr>
        <w:t>In order to relieve the pressure on government finances in the</w:t>
      </w:r>
      <w:r>
        <w:rPr>
          <w:spacing w:val="40"/>
          <w:sz w:val="24"/>
        </w:rPr>
        <w:t> </w:t>
      </w:r>
      <w:r>
        <w:rPr>
          <w:sz w:val="24"/>
        </w:rPr>
        <w:t>areas of students’ housing, the older universities should henceforth finance construction of student living accommodation with loans, while Government should finance one third of the students’ accommodation required by the newer universities; the latter recommendation should put the newer universities at par with the older ones which have had at least one third of their students’ accommodation requirements financed by Government. The students should contribute a substantial part of the repayment.</w:t>
      </w:r>
    </w:p>
    <w:p>
      <w:pPr>
        <w:pStyle w:val="ListParagraph"/>
        <w:numPr>
          <w:ilvl w:val="1"/>
          <w:numId w:val="23"/>
        </w:numPr>
        <w:tabs>
          <w:tab w:pos="2320" w:val="left" w:leader="none"/>
        </w:tabs>
        <w:spacing w:line="480" w:lineRule="auto" w:before="0" w:after="0"/>
        <w:ind w:left="2320" w:right="293" w:hanging="360"/>
        <w:jc w:val="both"/>
        <w:rPr>
          <w:sz w:val="24"/>
        </w:rPr>
      </w:pPr>
      <w:r>
        <w:rPr>
          <w:sz w:val="24"/>
        </w:rPr>
        <w:t>The universities should employ the services of an Estate Agent to undertake a feasibility survey of the best avenues of raising loans from the many mortgage establishments, Insurance Companies,</w:t>
      </w:r>
      <w:r>
        <w:rPr>
          <w:spacing w:val="40"/>
          <w:sz w:val="24"/>
        </w:rPr>
        <w:t> </w:t>
      </w:r>
      <w:r>
        <w:rPr>
          <w:sz w:val="24"/>
        </w:rPr>
        <w:t>the Provident Fund and banks.</w:t>
      </w:r>
    </w:p>
    <w:p>
      <w:pPr>
        <w:pStyle w:val="ListParagraph"/>
        <w:numPr>
          <w:ilvl w:val="1"/>
          <w:numId w:val="23"/>
        </w:numPr>
        <w:tabs>
          <w:tab w:pos="2320" w:val="left" w:leader="none"/>
        </w:tabs>
        <w:spacing w:line="480" w:lineRule="auto" w:before="0" w:after="0"/>
        <w:ind w:left="2320" w:right="301" w:hanging="360"/>
        <w:jc w:val="both"/>
        <w:rPr>
          <w:sz w:val="24"/>
        </w:rPr>
      </w:pPr>
      <w:r>
        <w:rPr>
          <w:sz w:val="24"/>
        </w:rPr>
        <w:t>Designs for students’ hostels should be more modest, simple and functional, so that they can be within the means of students.</w:t>
      </w:r>
    </w:p>
    <w:p>
      <w:pPr>
        <w:spacing w:after="0" w:line="480" w:lineRule="auto"/>
        <w:jc w:val="both"/>
        <w:rPr>
          <w:sz w:val="24"/>
        </w:rPr>
        <w:sectPr>
          <w:headerReference w:type="default" r:id="rId116"/>
          <w:footerReference w:type="default" r:id="rId117"/>
          <w:pgSz w:w="12240" w:h="15840"/>
          <w:pgMar w:header="722" w:footer="791" w:top="1060" w:bottom="980" w:left="1280" w:right="1140"/>
        </w:sectPr>
      </w:pPr>
    </w:p>
    <w:p>
      <w:pPr>
        <w:pStyle w:val="BodyText"/>
        <w:spacing w:before="86"/>
      </w:pPr>
    </w:p>
    <w:p>
      <w:pPr>
        <w:pStyle w:val="ListParagraph"/>
        <w:numPr>
          <w:ilvl w:val="1"/>
          <w:numId w:val="23"/>
        </w:numPr>
        <w:tabs>
          <w:tab w:pos="2320" w:val="left" w:leader="none"/>
        </w:tabs>
        <w:spacing w:line="480" w:lineRule="auto" w:before="0" w:after="0"/>
        <w:ind w:left="2320" w:right="294" w:hanging="360"/>
        <w:jc w:val="both"/>
        <w:rPr>
          <w:sz w:val="24"/>
        </w:rPr>
      </w:pPr>
      <w:r>
        <w:rPr>
          <w:sz w:val="24"/>
        </w:rPr>
        <w:t>Students should be charged </w:t>
      </w:r>
      <w:r>
        <w:rPr>
          <w:dstrike/>
          <w:sz w:val="24"/>
        </w:rPr>
        <w:t>N</w:t>
      </w:r>
      <w:r>
        <w:rPr>
          <w:strike w:val="0"/>
          <w:sz w:val="24"/>
        </w:rPr>
        <w:t>150.00 per session for lodging. The subsidy for additional hostel would come from lodging charged on existing buildings in older universities while only in newer universities would Government require to pay a subsidy until it has developed one-third of the accommodation required." (Okebukola 2003 :4)</w:t>
      </w:r>
    </w:p>
    <w:p>
      <w:pPr>
        <w:pStyle w:val="BodyText"/>
        <w:spacing w:line="480" w:lineRule="auto" w:before="1"/>
        <w:ind w:left="880" w:right="295" w:firstLine="720"/>
        <w:jc w:val="both"/>
      </w:pPr>
      <w:r>
        <w:rPr/>
        <w:t>As further pointed out by Okebukola (2002:19 and 55). This crucial nature of the inadequate hostel accommodation in the universities has even been attracting</w:t>
      </w:r>
      <w:r>
        <w:rPr>
          <w:spacing w:val="-2"/>
        </w:rPr>
        <w:t> </w:t>
      </w:r>
      <w:r>
        <w:rPr/>
        <w:t>the</w:t>
      </w:r>
      <w:r>
        <w:rPr>
          <w:spacing w:val="-2"/>
        </w:rPr>
        <w:t> </w:t>
      </w:r>
      <w:r>
        <w:rPr/>
        <w:t>serious</w:t>
      </w:r>
      <w:r>
        <w:rPr>
          <w:spacing w:val="-3"/>
        </w:rPr>
        <w:t> </w:t>
      </w:r>
      <w:r>
        <w:rPr/>
        <w:t>attention</w:t>
      </w:r>
      <w:r>
        <w:rPr>
          <w:spacing w:val="-2"/>
        </w:rPr>
        <w:t> </w:t>
      </w:r>
      <w:r>
        <w:rPr/>
        <w:t>and</w:t>
      </w:r>
      <w:r>
        <w:rPr>
          <w:spacing w:val="-6"/>
        </w:rPr>
        <w:t> </w:t>
      </w:r>
      <w:r>
        <w:rPr/>
        <w:t>intervention</w:t>
      </w:r>
      <w:r>
        <w:rPr>
          <w:spacing w:val="-2"/>
        </w:rPr>
        <w:t> </w:t>
      </w:r>
      <w:r>
        <w:rPr/>
        <w:t>of</w:t>
      </w:r>
      <w:r>
        <w:rPr>
          <w:spacing w:val="-3"/>
        </w:rPr>
        <w:t> </w:t>
      </w:r>
      <w:r>
        <w:rPr/>
        <w:t>the</w:t>
      </w:r>
      <w:r>
        <w:rPr>
          <w:spacing w:val="-2"/>
        </w:rPr>
        <w:t> </w:t>
      </w:r>
      <w:r>
        <w:rPr/>
        <w:t>present</w:t>
      </w:r>
      <w:r>
        <w:rPr>
          <w:spacing w:val="-3"/>
        </w:rPr>
        <w:t> </w:t>
      </w:r>
      <w:r>
        <w:rPr/>
        <w:t>administration.</w:t>
      </w:r>
      <w:r>
        <w:rPr>
          <w:spacing w:val="-3"/>
        </w:rPr>
        <w:t> </w:t>
      </w:r>
      <w:r>
        <w:rPr/>
        <w:t>The Presidential intervention started since February 2002 when the need was stressed for the private sector participation</w:t>
      </w:r>
      <w:r>
        <w:rPr>
          <w:spacing w:val="-3"/>
        </w:rPr>
        <w:t> </w:t>
      </w:r>
      <w:r>
        <w:rPr/>
        <w:t>in</w:t>
      </w:r>
      <w:r>
        <w:rPr>
          <w:spacing w:val="-3"/>
        </w:rPr>
        <w:t> </w:t>
      </w:r>
      <w:r>
        <w:rPr/>
        <w:t>students’ hostel development so as to improve the quality and quantity of hostel accommodation on all campuses. It was observed that most of the first generation universities have not been able to accommodate more than 30% of their enrolled students with bed spaces.</w:t>
      </w:r>
    </w:p>
    <w:p>
      <w:pPr>
        <w:pStyle w:val="BodyText"/>
        <w:spacing w:line="480" w:lineRule="auto"/>
        <w:ind w:left="880" w:right="295" w:firstLine="720"/>
        <w:jc w:val="both"/>
      </w:pPr>
      <w:r>
        <w:rPr/>
        <w:t>Disturbed</w:t>
      </w:r>
      <w:r>
        <w:rPr>
          <w:spacing w:val="-2"/>
        </w:rPr>
        <w:t> </w:t>
      </w:r>
      <w:r>
        <w:rPr/>
        <w:t>by this</w:t>
      </w:r>
      <w:r>
        <w:rPr>
          <w:spacing w:val="-3"/>
        </w:rPr>
        <w:t> </w:t>
      </w:r>
      <w:r>
        <w:rPr/>
        <w:t>state of</w:t>
      </w:r>
      <w:r>
        <w:rPr>
          <w:spacing w:val="-2"/>
        </w:rPr>
        <w:t> </w:t>
      </w:r>
      <w:r>
        <w:rPr/>
        <w:t>affairs, Mr.</w:t>
      </w:r>
      <w:r>
        <w:rPr>
          <w:spacing w:val="-2"/>
        </w:rPr>
        <w:t> </w:t>
      </w:r>
      <w:r>
        <w:rPr/>
        <w:t>President was said</w:t>
      </w:r>
      <w:r>
        <w:rPr>
          <w:spacing w:val="-2"/>
        </w:rPr>
        <w:t> </w:t>
      </w:r>
      <w:r>
        <w:rPr/>
        <w:t>to</w:t>
      </w:r>
      <w:r>
        <w:rPr>
          <w:spacing w:val="-2"/>
        </w:rPr>
        <w:t> </w:t>
      </w:r>
      <w:r>
        <w:rPr/>
        <w:t>have</w:t>
      </w:r>
      <w:r>
        <w:rPr>
          <w:spacing w:val="-2"/>
        </w:rPr>
        <w:t> </w:t>
      </w:r>
      <w:r>
        <w:rPr/>
        <w:t>convened a meeting of all the proprietors and management staff of the universities with the Chief Executive Officers of banks, multinational oil companies, insurance companies and other private operators to form</w:t>
      </w:r>
      <w:r>
        <w:rPr>
          <w:spacing w:val="-1"/>
        </w:rPr>
        <w:t> </w:t>
      </w:r>
      <w:r>
        <w:rPr/>
        <w:t>a partnership with the universities and enter into workable agreement to build more hostel accommodation for </w:t>
      </w:r>
      <w:r>
        <w:rPr>
          <w:spacing w:val="-2"/>
        </w:rPr>
        <w:t>students.</w:t>
      </w:r>
    </w:p>
    <w:p>
      <w:pPr>
        <w:pStyle w:val="BodyText"/>
        <w:spacing w:line="480" w:lineRule="auto"/>
        <w:ind w:left="880" w:right="295" w:firstLine="720"/>
        <w:jc w:val="both"/>
      </w:pPr>
      <w:r>
        <w:rPr/>
        <w:t>It can also be recalled that in its frantic effort to improve the general standard of universities welfare and facilities, the Government tried her best to gradually</w:t>
      </w:r>
      <w:r>
        <w:rPr>
          <w:spacing w:val="2"/>
        </w:rPr>
        <w:t> </w:t>
      </w:r>
      <w:r>
        <w:rPr/>
        <w:t>increase</w:t>
      </w:r>
      <w:r>
        <w:rPr>
          <w:spacing w:val="6"/>
        </w:rPr>
        <w:t> </w:t>
      </w:r>
      <w:r>
        <w:rPr/>
        <w:t>the</w:t>
      </w:r>
      <w:r>
        <w:rPr>
          <w:spacing w:val="7"/>
        </w:rPr>
        <w:t> </w:t>
      </w:r>
      <w:r>
        <w:rPr/>
        <w:t>recurrent</w:t>
      </w:r>
      <w:r>
        <w:rPr>
          <w:spacing w:val="2"/>
        </w:rPr>
        <w:t> </w:t>
      </w:r>
      <w:r>
        <w:rPr/>
        <w:t>grant</w:t>
      </w:r>
      <w:r>
        <w:rPr>
          <w:spacing w:val="2"/>
        </w:rPr>
        <w:t> </w:t>
      </w:r>
      <w:r>
        <w:rPr/>
        <w:t>to</w:t>
      </w:r>
      <w:r>
        <w:rPr>
          <w:spacing w:val="3"/>
        </w:rPr>
        <w:t> </w:t>
      </w:r>
      <w:r>
        <w:rPr/>
        <w:t>universities</w:t>
      </w:r>
      <w:r>
        <w:rPr>
          <w:spacing w:val="6"/>
        </w:rPr>
        <w:t> </w:t>
      </w:r>
      <w:r>
        <w:rPr/>
        <w:t>accordingly.</w:t>
      </w:r>
      <w:r>
        <w:rPr>
          <w:spacing w:val="2"/>
        </w:rPr>
        <w:t> </w:t>
      </w:r>
      <w:r>
        <w:rPr/>
        <w:t>For</w:t>
      </w:r>
      <w:r>
        <w:rPr>
          <w:spacing w:val="3"/>
        </w:rPr>
        <w:t> </w:t>
      </w:r>
      <w:r>
        <w:rPr/>
        <w:t>instance</w:t>
      </w:r>
      <w:r>
        <w:rPr>
          <w:spacing w:val="3"/>
        </w:rPr>
        <w:t> </w:t>
      </w:r>
      <w:r>
        <w:rPr>
          <w:spacing w:val="-5"/>
        </w:rPr>
        <w:t>in</w:t>
      </w:r>
    </w:p>
    <w:p>
      <w:pPr>
        <w:spacing w:after="0" w:line="480" w:lineRule="auto"/>
        <w:jc w:val="both"/>
        <w:sectPr>
          <w:headerReference w:type="default" r:id="rId118"/>
          <w:footerReference w:type="default" r:id="rId119"/>
          <w:pgSz w:w="12240" w:h="15840"/>
          <w:pgMar w:header="722" w:footer="791" w:top="1060" w:bottom="980" w:left="1280" w:right="1140"/>
        </w:sectPr>
      </w:pPr>
    </w:p>
    <w:p>
      <w:pPr>
        <w:pStyle w:val="BodyText"/>
        <w:spacing w:before="86"/>
      </w:pPr>
    </w:p>
    <w:p>
      <w:pPr>
        <w:pStyle w:val="BodyText"/>
        <w:spacing w:line="480" w:lineRule="auto"/>
        <w:ind w:left="880" w:right="295"/>
        <w:jc w:val="both"/>
      </w:pPr>
      <w:r>
        <w:rPr/>
        <w:t>1972 </w:t>
      </w:r>
      <w:r>
        <w:rPr>
          <w:dstrike/>
        </w:rPr>
        <w:t>N</w:t>
      </w:r>
      <w:r>
        <w:rPr>
          <w:strike w:val="0"/>
        </w:rPr>
        <w:t>22 million was allocated. It increased to about </w:t>
      </w:r>
      <w:r>
        <w:rPr>
          <w:dstrike/>
        </w:rPr>
        <w:t>N</w:t>
      </w:r>
      <w:r>
        <w:rPr>
          <w:strike w:val="0"/>
        </w:rPr>
        <w:t>37 million in 1975/76, to about </w:t>
      </w:r>
      <w:r>
        <w:rPr>
          <w:dstrike/>
        </w:rPr>
        <w:t>N</w:t>
      </w:r>
      <w:r>
        <w:rPr>
          <w:strike w:val="0"/>
        </w:rPr>
        <w:t>85 million in 1977/78 and in 1983 it went up to </w:t>
      </w:r>
      <w:r>
        <w:rPr>
          <w:dstrike/>
        </w:rPr>
        <w:t>N</w:t>
      </w:r>
      <w:r>
        <w:rPr>
          <w:strike w:val="0"/>
        </w:rPr>
        <w:t>374 million (Oladapo (1988:94). The allocation doubled from millions to billions with about </w:t>
      </w:r>
      <w:r>
        <w:rPr>
          <w:dstrike/>
        </w:rPr>
        <w:t>N</w:t>
      </w:r>
      <w:r>
        <w:rPr>
          <w:strike w:val="0"/>
        </w:rPr>
        <w:t>4.4b in 1994 rising to </w:t>
      </w:r>
      <w:r>
        <w:rPr>
          <w:dstrike/>
        </w:rPr>
        <w:t>N</w:t>
      </w:r>
      <w:r>
        <w:rPr>
          <w:strike w:val="0"/>
        </w:rPr>
        <w:t>6.6b in 1996 and skyrocketing to </w:t>
      </w:r>
      <w:r>
        <w:rPr>
          <w:dstrike/>
        </w:rPr>
        <w:t>N</w:t>
      </w:r>
      <w:r>
        <w:rPr>
          <w:strike w:val="0"/>
        </w:rPr>
        <w:t>9.1b in 1998. This is said to represent 300 % increase in funding and in addition to locally generated income of about N1.0b by National Universities Commission (NUC). (Okebukola: 2002).</w:t>
      </w:r>
    </w:p>
    <w:p>
      <w:pPr>
        <w:pStyle w:val="BodyText"/>
        <w:spacing w:line="480" w:lineRule="auto" w:before="1"/>
        <w:ind w:left="880" w:right="295" w:firstLine="720"/>
        <w:jc w:val="both"/>
      </w:pPr>
      <w:r>
        <w:rPr/>
        <w:t>With all these calculations one is baffled at the financial starvation of the university system. However, there may be a reason to believe that though the gross allocations increased in value, the increase in the number and population</w:t>
      </w:r>
      <w:r>
        <w:rPr>
          <w:spacing w:val="40"/>
        </w:rPr>
        <w:t> </w:t>
      </w:r>
      <w:r>
        <w:rPr/>
        <w:t>of the universities and students respectively outstripped the finances, coupled with the phenomenon of over-dependence of the universities on Government without generating a revenue of their own. This gradual down trend in the inadequacy of funds to manage the university affairs properly, according to Okebukola, (2002) has impending consequences, particularly on the students’ welfare services. All universities have bewildering and bleak experiences to tell.</w:t>
      </w:r>
    </w:p>
    <w:p>
      <w:pPr>
        <w:pStyle w:val="BodyText"/>
        <w:spacing w:line="480" w:lineRule="auto"/>
        <w:ind w:left="880" w:right="293" w:firstLine="720"/>
        <w:jc w:val="both"/>
      </w:pPr>
      <w:r>
        <w:rPr/>
        <w:t>For instance when Ahmadu Bello University was opened in 1962 with a student population of only 400, there was the need to provide them with decent hostel accommodation. Three</w:t>
      </w:r>
      <w:r>
        <w:rPr>
          <w:spacing w:val="-1"/>
        </w:rPr>
        <w:t> </w:t>
      </w:r>
      <w:r>
        <w:rPr/>
        <w:t>hostels</w:t>
      </w:r>
      <w:r>
        <w:rPr>
          <w:spacing w:val="-2"/>
        </w:rPr>
        <w:t> </w:t>
      </w:r>
      <w:r>
        <w:rPr/>
        <w:t>inherited from</w:t>
      </w:r>
      <w:r>
        <w:rPr>
          <w:spacing w:val="-5"/>
        </w:rPr>
        <w:t> </w:t>
      </w:r>
      <w:r>
        <w:rPr/>
        <w:t>the Nigerian College</w:t>
      </w:r>
      <w:r>
        <w:rPr>
          <w:spacing w:val="-1"/>
        </w:rPr>
        <w:t> </w:t>
      </w:r>
      <w:r>
        <w:rPr/>
        <w:t>of Arts, Science and Technology (NCAST) which were then Alexander, Ribadu and Amina halls on the Main Campus and a set of four hostels 1,2,3,4 Bedde and Sardauna halls in Kongo Campus were more than adequate to accommodate all the students. In the 1970s the population rose to about 8,000 students and there came</w:t>
      </w:r>
      <w:r>
        <w:rPr>
          <w:spacing w:val="37"/>
        </w:rPr>
        <w:t> </w:t>
      </w:r>
      <w:r>
        <w:rPr/>
        <w:t>the</w:t>
      </w:r>
      <w:r>
        <w:rPr>
          <w:spacing w:val="38"/>
        </w:rPr>
        <w:t> </w:t>
      </w:r>
      <w:r>
        <w:rPr/>
        <w:t>need</w:t>
      </w:r>
      <w:r>
        <w:rPr>
          <w:spacing w:val="37"/>
        </w:rPr>
        <w:t> </w:t>
      </w:r>
      <w:r>
        <w:rPr/>
        <w:t>to</w:t>
      </w:r>
      <w:r>
        <w:rPr>
          <w:spacing w:val="38"/>
        </w:rPr>
        <w:t> </w:t>
      </w:r>
      <w:r>
        <w:rPr/>
        <w:t>create</w:t>
      </w:r>
      <w:r>
        <w:rPr>
          <w:spacing w:val="38"/>
        </w:rPr>
        <w:t> </w:t>
      </w:r>
      <w:r>
        <w:rPr/>
        <w:t>more</w:t>
      </w:r>
      <w:r>
        <w:rPr>
          <w:spacing w:val="37"/>
        </w:rPr>
        <w:t> </w:t>
      </w:r>
      <w:r>
        <w:rPr/>
        <w:t>halls</w:t>
      </w:r>
      <w:r>
        <w:rPr>
          <w:spacing w:val="36"/>
        </w:rPr>
        <w:t> </w:t>
      </w:r>
      <w:r>
        <w:rPr/>
        <w:t>to</w:t>
      </w:r>
      <w:r>
        <w:rPr>
          <w:spacing w:val="33"/>
        </w:rPr>
        <w:t> </w:t>
      </w:r>
      <w:r>
        <w:rPr/>
        <w:t>meet</w:t>
      </w:r>
      <w:r>
        <w:rPr>
          <w:spacing w:val="36"/>
        </w:rPr>
        <w:t> </w:t>
      </w:r>
      <w:r>
        <w:rPr/>
        <w:t>the</w:t>
      </w:r>
      <w:r>
        <w:rPr>
          <w:spacing w:val="38"/>
        </w:rPr>
        <w:t> </w:t>
      </w:r>
      <w:r>
        <w:rPr/>
        <w:t>rising</w:t>
      </w:r>
      <w:r>
        <w:rPr>
          <w:spacing w:val="38"/>
        </w:rPr>
        <w:t> </w:t>
      </w:r>
      <w:r>
        <w:rPr/>
        <w:t>population.</w:t>
      </w:r>
      <w:r>
        <w:rPr>
          <w:spacing w:val="36"/>
        </w:rPr>
        <w:t> </w:t>
      </w:r>
      <w:r>
        <w:rPr/>
        <w:t>More</w:t>
      </w:r>
      <w:r>
        <w:rPr>
          <w:spacing w:val="33"/>
        </w:rPr>
        <w:t> </w:t>
      </w:r>
      <w:r>
        <w:rPr>
          <w:spacing w:val="-2"/>
        </w:rPr>
        <w:t>halls</w:t>
      </w:r>
    </w:p>
    <w:p>
      <w:pPr>
        <w:spacing w:after="0" w:line="480" w:lineRule="auto"/>
        <w:jc w:val="both"/>
        <w:sectPr>
          <w:headerReference w:type="default" r:id="rId120"/>
          <w:footerReference w:type="default" r:id="rId121"/>
          <w:pgSz w:w="12240" w:h="15840"/>
          <w:pgMar w:header="722" w:footer="791" w:top="1060" w:bottom="980" w:left="1280" w:right="1140"/>
        </w:sectPr>
      </w:pPr>
    </w:p>
    <w:p>
      <w:pPr>
        <w:pStyle w:val="BodyText"/>
        <w:spacing w:before="86"/>
      </w:pPr>
    </w:p>
    <w:p>
      <w:pPr>
        <w:pStyle w:val="BodyText"/>
        <w:spacing w:line="480" w:lineRule="auto"/>
        <w:ind w:left="880" w:right="294"/>
        <w:jc w:val="both"/>
      </w:pPr>
      <w:r>
        <w:rPr/>
        <w:t>were thus brought to existence; some of these were Oba Akenzua hall, which was converted from its initial status of Intermediate and Junior Staff quarters in 1969, then ICSA and Ramat halls in 1970 following the students’ demonstration on lack of enough accommodation. In 1973 Usmanu Dan Fodiyo hall was established as temporary structure. Then in 1974 Umar Suleiman hall came into </w:t>
      </w:r>
      <w:r>
        <w:rPr>
          <w:spacing w:val="-2"/>
        </w:rPr>
        <w:t>existence.</w:t>
      </w:r>
    </w:p>
    <w:p>
      <w:pPr>
        <w:pStyle w:val="BodyText"/>
        <w:spacing w:line="480" w:lineRule="auto" w:before="1"/>
        <w:ind w:left="880" w:right="294" w:firstLine="720"/>
        <w:jc w:val="both"/>
      </w:pPr>
      <w:r>
        <w:rPr/>
        <w:t>On the Institute of Administration Kongo Campus, Tafawa Balewa and Ali Akilu also came into existence in 1979 and 1981 respectively. At the ABU Teaching Teaching Hospital (ABUTH) Tudun Wada there was Barau Diko hall constructed in 1972 for the clinical students. As there was further demand for more accommodation spaces due to the ever increasing agitation for increase in admissions yearly the halls were expanded from fewer to numerous blocks of many</w:t>
      </w:r>
      <w:r>
        <w:rPr>
          <w:spacing w:val="-5"/>
        </w:rPr>
        <w:t> </w:t>
      </w:r>
      <w:r>
        <w:rPr/>
        <w:t>rooms.</w:t>
      </w:r>
      <w:r>
        <w:rPr>
          <w:spacing w:val="-5"/>
        </w:rPr>
        <w:t> </w:t>
      </w:r>
      <w:r>
        <w:rPr/>
        <w:t>As</w:t>
      </w:r>
      <w:r>
        <w:rPr>
          <w:spacing w:val="-5"/>
        </w:rPr>
        <w:t> </w:t>
      </w:r>
      <w:r>
        <w:rPr/>
        <w:t>at</w:t>
      </w:r>
      <w:r>
        <w:rPr>
          <w:spacing w:val="-4"/>
        </w:rPr>
        <w:t> </w:t>
      </w:r>
      <w:r>
        <w:rPr/>
        <w:t>1980</w:t>
      </w:r>
      <w:r>
        <w:rPr>
          <w:spacing w:val="-4"/>
        </w:rPr>
        <w:t> </w:t>
      </w:r>
      <w:r>
        <w:rPr/>
        <w:t>Umar</w:t>
      </w:r>
      <w:r>
        <w:rPr>
          <w:spacing w:val="-3"/>
        </w:rPr>
        <w:t> </w:t>
      </w:r>
      <w:r>
        <w:rPr/>
        <w:t>Suleiman,</w:t>
      </w:r>
      <w:r>
        <w:rPr>
          <w:spacing w:val="-4"/>
        </w:rPr>
        <w:t> </w:t>
      </w:r>
      <w:r>
        <w:rPr/>
        <w:t>now,</w:t>
      </w:r>
      <w:r>
        <w:rPr>
          <w:spacing w:val="-5"/>
        </w:rPr>
        <w:t> </w:t>
      </w:r>
      <w:r>
        <w:rPr/>
        <w:t>one</w:t>
      </w:r>
      <w:r>
        <w:rPr>
          <w:spacing w:val="-4"/>
        </w:rPr>
        <w:t> </w:t>
      </w:r>
      <w:r>
        <w:rPr/>
        <w:t>of</w:t>
      </w:r>
      <w:r>
        <w:rPr>
          <w:spacing w:val="-5"/>
        </w:rPr>
        <w:t> </w:t>
      </w:r>
      <w:r>
        <w:rPr/>
        <w:t>the</w:t>
      </w:r>
      <w:r>
        <w:rPr>
          <w:spacing w:val="-7"/>
        </w:rPr>
        <w:t> </w:t>
      </w:r>
      <w:r>
        <w:rPr/>
        <w:t>largest</w:t>
      </w:r>
      <w:r>
        <w:rPr>
          <w:spacing w:val="-8"/>
        </w:rPr>
        <w:t> </w:t>
      </w:r>
      <w:r>
        <w:rPr/>
        <w:t>halls</w:t>
      </w:r>
      <w:r>
        <w:rPr>
          <w:spacing w:val="-5"/>
        </w:rPr>
        <w:t> </w:t>
      </w:r>
      <w:r>
        <w:rPr/>
        <w:t>had</w:t>
      </w:r>
      <w:r>
        <w:rPr>
          <w:spacing w:val="-4"/>
        </w:rPr>
        <w:t> </w:t>
      </w:r>
      <w:r>
        <w:rPr>
          <w:spacing w:val="-2"/>
        </w:rPr>
        <w:t>fifteen</w:t>
      </w:r>
    </w:p>
    <w:p>
      <w:pPr>
        <w:pStyle w:val="BodyText"/>
        <w:spacing w:line="480" w:lineRule="auto"/>
        <w:ind w:left="880" w:right="298"/>
        <w:jc w:val="both"/>
      </w:pPr>
      <w:r>
        <w:rPr/>
        <w:t>(15) blocks</w:t>
      </w:r>
      <w:r>
        <w:rPr>
          <w:spacing w:val="-2"/>
        </w:rPr>
        <w:t> </w:t>
      </w:r>
      <w:r>
        <w:rPr/>
        <w:t>of</w:t>
      </w:r>
      <w:r>
        <w:rPr>
          <w:spacing w:val="-2"/>
        </w:rPr>
        <w:t> </w:t>
      </w:r>
      <w:r>
        <w:rPr/>
        <w:t>four floor storey</w:t>
      </w:r>
      <w:r>
        <w:rPr>
          <w:spacing w:val="-2"/>
        </w:rPr>
        <w:t> </w:t>
      </w:r>
      <w:r>
        <w:rPr/>
        <w:t>building;</w:t>
      </w:r>
      <w:r>
        <w:rPr>
          <w:spacing w:val="-2"/>
        </w:rPr>
        <w:t> </w:t>
      </w:r>
      <w:r>
        <w:rPr/>
        <w:t>while</w:t>
      </w:r>
      <w:r>
        <w:rPr>
          <w:spacing w:val="-1"/>
        </w:rPr>
        <w:t> </w:t>
      </w:r>
      <w:r>
        <w:rPr/>
        <w:t>Ribadu,</w:t>
      </w:r>
      <w:r>
        <w:rPr>
          <w:spacing w:val="-2"/>
        </w:rPr>
        <w:t> </w:t>
      </w:r>
      <w:r>
        <w:rPr/>
        <w:t>Alexander put</w:t>
      </w:r>
      <w:r>
        <w:rPr>
          <w:spacing w:val="-2"/>
        </w:rPr>
        <w:t> </w:t>
      </w:r>
      <w:r>
        <w:rPr/>
        <w:t>together had six</w:t>
      </w:r>
      <w:r>
        <w:rPr>
          <w:spacing w:val="-2"/>
        </w:rPr>
        <w:t> </w:t>
      </w:r>
      <w:r>
        <w:rPr/>
        <w:t>(6) blocks of same structure five (5) block</w:t>
      </w:r>
      <w:r>
        <w:rPr>
          <w:spacing w:val="-2"/>
        </w:rPr>
        <w:t> </w:t>
      </w:r>
      <w:r>
        <w:rPr/>
        <w:t>three (3) floor storey</w:t>
      </w:r>
      <w:r>
        <w:rPr>
          <w:spacing w:val="-2"/>
        </w:rPr>
        <w:t> </w:t>
      </w:r>
      <w:r>
        <w:rPr/>
        <w:t>building</w:t>
      </w:r>
      <w:r>
        <w:rPr>
          <w:spacing w:val="-1"/>
        </w:rPr>
        <w:t> </w:t>
      </w:r>
      <w:r>
        <w:rPr/>
        <w:t>linked to the main blocks.</w:t>
      </w:r>
    </w:p>
    <w:p>
      <w:pPr>
        <w:pStyle w:val="BodyText"/>
        <w:spacing w:line="480" w:lineRule="auto"/>
        <w:ind w:left="880" w:right="296" w:firstLine="720"/>
        <w:jc w:val="both"/>
      </w:pPr>
      <w:r>
        <w:rPr/>
        <w:t>In Kongo, Ali Akilu, Tafawa Balewa, Hostels 1,2 and 3 fell in this category. All the other halls were blocks of bungalows. Ahmadu Bello University that could boast of accommodating most of its student population in the 1970</w:t>
      </w:r>
      <w:r>
        <w:rPr>
          <w:vertAlign w:val="superscript"/>
        </w:rPr>
        <w:t>s</w:t>
      </w:r>
      <w:r>
        <w:rPr>
          <w:vertAlign w:val="baseline"/>
        </w:rPr>
        <w:t> could not accommodate up to 60% in the 1980</w:t>
      </w:r>
      <w:r>
        <w:rPr>
          <w:vertAlign w:val="superscript"/>
        </w:rPr>
        <w:t>s</w:t>
      </w:r>
      <w:r>
        <w:rPr>
          <w:vertAlign w:val="baseline"/>
        </w:rPr>
        <w:t>, even though it was far over the National University Commission (NUC) stipulated figure of 33 percent. As at 1986/87 session</w:t>
      </w:r>
      <w:r>
        <w:rPr>
          <w:spacing w:val="-9"/>
          <w:vertAlign w:val="baseline"/>
        </w:rPr>
        <w:t> </w:t>
      </w:r>
      <w:r>
        <w:rPr>
          <w:vertAlign w:val="baseline"/>
        </w:rPr>
        <w:t>out</w:t>
      </w:r>
      <w:r>
        <w:rPr>
          <w:spacing w:val="-6"/>
          <w:vertAlign w:val="baseline"/>
        </w:rPr>
        <w:t> </w:t>
      </w:r>
      <w:r>
        <w:rPr>
          <w:vertAlign w:val="baseline"/>
        </w:rPr>
        <w:t>of</w:t>
      </w:r>
      <w:r>
        <w:rPr>
          <w:spacing w:val="-6"/>
          <w:vertAlign w:val="baseline"/>
        </w:rPr>
        <w:t> </w:t>
      </w:r>
      <w:r>
        <w:rPr>
          <w:vertAlign w:val="baseline"/>
        </w:rPr>
        <w:t>over</w:t>
      </w:r>
      <w:r>
        <w:rPr>
          <w:spacing w:val="-4"/>
          <w:vertAlign w:val="baseline"/>
        </w:rPr>
        <w:t> </w:t>
      </w:r>
      <w:r>
        <w:rPr>
          <w:vertAlign w:val="baseline"/>
        </w:rPr>
        <w:t>14,000</w:t>
      </w:r>
      <w:r>
        <w:rPr>
          <w:spacing w:val="-3"/>
          <w:vertAlign w:val="baseline"/>
        </w:rPr>
        <w:t> </w:t>
      </w:r>
      <w:r>
        <w:rPr>
          <w:vertAlign w:val="baseline"/>
        </w:rPr>
        <w:t>thousand</w:t>
      </w:r>
      <w:r>
        <w:rPr>
          <w:spacing w:val="-5"/>
          <w:vertAlign w:val="baseline"/>
        </w:rPr>
        <w:t> </w:t>
      </w:r>
      <w:r>
        <w:rPr>
          <w:vertAlign w:val="baseline"/>
        </w:rPr>
        <w:t>students,</w:t>
      </w:r>
      <w:r>
        <w:rPr>
          <w:spacing w:val="-10"/>
          <w:vertAlign w:val="baseline"/>
        </w:rPr>
        <w:t> </w:t>
      </w:r>
      <w:r>
        <w:rPr>
          <w:vertAlign w:val="baseline"/>
        </w:rPr>
        <w:t>only</w:t>
      </w:r>
      <w:r>
        <w:rPr>
          <w:spacing w:val="-5"/>
          <w:vertAlign w:val="baseline"/>
        </w:rPr>
        <w:t> </w:t>
      </w:r>
      <w:r>
        <w:rPr>
          <w:vertAlign w:val="baseline"/>
        </w:rPr>
        <w:t>a</w:t>
      </w:r>
      <w:r>
        <w:rPr>
          <w:spacing w:val="-9"/>
          <w:vertAlign w:val="baseline"/>
        </w:rPr>
        <w:t> </w:t>
      </w:r>
      <w:r>
        <w:rPr>
          <w:vertAlign w:val="baseline"/>
        </w:rPr>
        <w:t>total</w:t>
      </w:r>
      <w:r>
        <w:rPr>
          <w:spacing w:val="-2"/>
          <w:vertAlign w:val="baseline"/>
        </w:rPr>
        <w:t> </w:t>
      </w:r>
      <w:r>
        <w:rPr>
          <w:vertAlign w:val="baseline"/>
        </w:rPr>
        <w:t>of</w:t>
      </w:r>
      <w:r>
        <w:rPr>
          <w:spacing w:val="-6"/>
          <w:vertAlign w:val="baseline"/>
        </w:rPr>
        <w:t> </w:t>
      </w:r>
      <w:r>
        <w:rPr>
          <w:vertAlign w:val="baseline"/>
        </w:rPr>
        <w:t>7,452</w:t>
      </w:r>
      <w:r>
        <w:rPr>
          <w:spacing w:val="-5"/>
          <w:vertAlign w:val="baseline"/>
        </w:rPr>
        <w:t> </w:t>
      </w:r>
      <w:r>
        <w:rPr>
          <w:vertAlign w:val="baseline"/>
        </w:rPr>
        <w:t>students</w:t>
      </w:r>
      <w:r>
        <w:rPr>
          <w:spacing w:val="-6"/>
          <w:vertAlign w:val="baseline"/>
        </w:rPr>
        <w:t> </w:t>
      </w:r>
      <w:r>
        <w:rPr>
          <w:spacing w:val="-4"/>
          <w:vertAlign w:val="baseline"/>
        </w:rPr>
        <w:t>were</w:t>
      </w:r>
    </w:p>
    <w:p>
      <w:pPr>
        <w:spacing w:after="0" w:line="480" w:lineRule="auto"/>
        <w:jc w:val="both"/>
        <w:sectPr>
          <w:headerReference w:type="default" r:id="rId122"/>
          <w:footerReference w:type="default" r:id="rId123"/>
          <w:pgSz w:w="12240" w:h="15840"/>
          <w:pgMar w:header="722" w:footer="791" w:top="1060" w:bottom="980" w:left="1280" w:right="1140"/>
        </w:sectPr>
      </w:pPr>
    </w:p>
    <w:p>
      <w:pPr>
        <w:pStyle w:val="BodyText"/>
        <w:spacing w:before="86"/>
      </w:pPr>
    </w:p>
    <w:p>
      <w:pPr>
        <w:pStyle w:val="BodyText"/>
        <w:spacing w:line="480" w:lineRule="auto"/>
        <w:ind w:left="880"/>
      </w:pPr>
      <w:r>
        <w:rPr/>
        <w:t>accommodated. The breakdown of the accommodation figure by hostels in the</w:t>
      </w:r>
      <w:r>
        <w:rPr>
          <w:spacing w:val="80"/>
        </w:rPr>
        <w:t> </w:t>
      </w:r>
      <w:r>
        <w:rPr/>
        <w:t>session under reference was as follows in table 2.2.</w:t>
      </w:r>
    </w:p>
    <w:p>
      <w:pPr>
        <w:pStyle w:val="Heading2"/>
        <w:ind w:left="1633" w:hanging="1474"/>
      </w:pPr>
      <w:r>
        <w:rPr/>
        <w:t>TABLE</w:t>
      </w:r>
      <w:r>
        <w:rPr>
          <w:spacing w:val="-1"/>
        </w:rPr>
        <w:t> </w:t>
      </w:r>
      <w:r>
        <w:rPr/>
        <w:t>2.I: The</w:t>
      </w:r>
      <w:r>
        <w:rPr>
          <w:spacing w:val="-4"/>
        </w:rPr>
        <w:t> </w:t>
      </w:r>
      <w:r>
        <w:rPr/>
        <w:t>growth</w:t>
      </w:r>
      <w:r>
        <w:rPr>
          <w:spacing w:val="-4"/>
        </w:rPr>
        <w:t> </w:t>
      </w:r>
      <w:r>
        <w:rPr/>
        <w:t>of</w:t>
      </w:r>
      <w:r>
        <w:rPr>
          <w:spacing w:val="-8"/>
        </w:rPr>
        <w:t> </w:t>
      </w:r>
      <w:r>
        <w:rPr/>
        <w:t>hostels</w:t>
      </w:r>
      <w:r>
        <w:rPr>
          <w:spacing w:val="-4"/>
        </w:rPr>
        <w:t> </w:t>
      </w:r>
      <w:r>
        <w:rPr/>
        <w:t>from</w:t>
      </w:r>
      <w:r>
        <w:rPr>
          <w:spacing w:val="-5"/>
        </w:rPr>
        <w:t> </w:t>
      </w:r>
      <w:r>
        <w:rPr/>
        <w:t>1962-1981</w:t>
      </w:r>
      <w:r>
        <w:rPr>
          <w:spacing w:val="-8"/>
        </w:rPr>
        <w:t> </w:t>
      </w:r>
      <w:r>
        <w:rPr/>
        <w:t>in</w:t>
      </w:r>
      <w:r>
        <w:rPr>
          <w:spacing w:val="-4"/>
        </w:rPr>
        <w:t> </w:t>
      </w:r>
      <w:r>
        <w:rPr/>
        <w:t>Ahmadu</w:t>
      </w:r>
      <w:r>
        <w:rPr>
          <w:spacing w:val="-9"/>
        </w:rPr>
        <w:t> </w:t>
      </w:r>
      <w:r>
        <w:rPr/>
        <w:t>Bello </w:t>
      </w:r>
      <w:r>
        <w:rPr>
          <w:spacing w:val="-2"/>
        </w:rPr>
        <w:t>University</w:t>
      </w:r>
    </w:p>
    <w:p>
      <w:pPr>
        <w:pStyle w:val="ListParagraph"/>
        <w:numPr>
          <w:ilvl w:val="4"/>
          <w:numId w:val="19"/>
        </w:numPr>
        <w:tabs>
          <w:tab w:pos="2319" w:val="left" w:leader="none"/>
        </w:tabs>
        <w:spacing w:line="240" w:lineRule="auto" w:before="278" w:after="2"/>
        <w:ind w:left="2319" w:right="0" w:hanging="719"/>
        <w:jc w:val="left"/>
        <w:rPr>
          <w:sz w:val="24"/>
        </w:rPr>
      </w:pPr>
      <w:r>
        <w:rPr>
          <w:sz w:val="24"/>
        </w:rPr>
        <w:t>MAIN</w:t>
      </w:r>
      <w:r>
        <w:rPr>
          <w:spacing w:val="-11"/>
          <w:sz w:val="24"/>
        </w:rPr>
        <w:t> </w:t>
      </w:r>
      <w:r>
        <w:rPr>
          <w:spacing w:val="-2"/>
          <w:sz w:val="24"/>
        </w:rPr>
        <w:t>CAMPUS</w:t>
      </w:r>
    </w:p>
    <w:tbl>
      <w:tblPr>
        <w:tblW w:w="0" w:type="auto"/>
        <w:jc w:val="left"/>
        <w:tblInd w:w="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13"/>
        <w:gridCol w:w="1911"/>
        <w:gridCol w:w="1406"/>
        <w:gridCol w:w="2591"/>
      </w:tblGrid>
      <w:tr>
        <w:trPr>
          <w:trHeight w:val="551" w:hRule="atLeast"/>
        </w:trPr>
        <w:tc>
          <w:tcPr>
            <w:tcW w:w="2913" w:type="dxa"/>
            <w:tcBorders>
              <w:top w:val="single" w:sz="4" w:space="0" w:color="000000"/>
              <w:left w:val="single" w:sz="4" w:space="0" w:color="000000"/>
              <w:bottom w:val="single" w:sz="4" w:space="0" w:color="000000"/>
            </w:tcBorders>
          </w:tcPr>
          <w:p>
            <w:pPr>
              <w:pStyle w:val="TableParagraph"/>
              <w:tabs>
                <w:tab w:pos="1679" w:val="left" w:leader="none"/>
              </w:tabs>
              <w:spacing w:line="271" w:lineRule="exact"/>
              <w:ind w:left="153"/>
              <w:rPr>
                <w:sz w:val="24"/>
              </w:rPr>
            </w:pPr>
            <w:r>
              <w:rPr>
                <w:spacing w:val="-4"/>
                <w:sz w:val="24"/>
              </w:rPr>
              <w:t>S/NO</w:t>
            </w:r>
            <w:r>
              <w:rPr>
                <w:sz w:val="24"/>
              </w:rPr>
              <w:tab/>
            </w:r>
            <w:r>
              <w:rPr>
                <w:spacing w:val="-4"/>
                <w:sz w:val="24"/>
              </w:rPr>
              <w:t>HALL</w:t>
            </w:r>
          </w:p>
        </w:tc>
        <w:tc>
          <w:tcPr>
            <w:tcW w:w="1911" w:type="dxa"/>
            <w:tcBorders>
              <w:top w:val="single" w:sz="4" w:space="0" w:color="000000"/>
              <w:bottom w:val="single" w:sz="4" w:space="0" w:color="000000"/>
            </w:tcBorders>
          </w:tcPr>
          <w:p>
            <w:pPr>
              <w:pStyle w:val="TableParagraph"/>
              <w:spacing w:line="271" w:lineRule="exact"/>
              <w:ind w:left="265"/>
              <w:jc w:val="center"/>
              <w:rPr>
                <w:sz w:val="24"/>
              </w:rPr>
            </w:pPr>
            <w:r>
              <w:rPr>
                <w:spacing w:val="-4"/>
                <w:sz w:val="24"/>
              </w:rPr>
              <w:t>YEAR</w:t>
            </w:r>
          </w:p>
          <w:p>
            <w:pPr>
              <w:pStyle w:val="TableParagraph"/>
              <w:spacing w:line="258" w:lineRule="exact" w:before="2"/>
              <w:ind w:left="259" w:right="-15"/>
              <w:jc w:val="center"/>
              <w:rPr>
                <w:sz w:val="24"/>
              </w:rPr>
            </w:pPr>
            <w:r>
              <w:rPr>
                <w:spacing w:val="-2"/>
                <w:sz w:val="24"/>
              </w:rPr>
              <w:t>ESTABLISHED</w:t>
            </w:r>
          </w:p>
        </w:tc>
        <w:tc>
          <w:tcPr>
            <w:tcW w:w="3997" w:type="dxa"/>
            <w:gridSpan w:val="2"/>
            <w:tcBorders>
              <w:top w:val="single" w:sz="4" w:space="0" w:color="000000"/>
              <w:bottom w:val="single" w:sz="4" w:space="0" w:color="000000"/>
              <w:right w:val="single" w:sz="4" w:space="0" w:color="000000"/>
            </w:tcBorders>
          </w:tcPr>
          <w:p>
            <w:pPr>
              <w:pStyle w:val="TableParagraph"/>
              <w:spacing w:line="271" w:lineRule="exact"/>
              <w:ind w:left="118"/>
              <w:jc w:val="center"/>
              <w:rPr>
                <w:sz w:val="24"/>
              </w:rPr>
            </w:pPr>
            <w:r>
              <w:rPr>
                <w:sz w:val="24"/>
              </w:rPr>
              <w:t>STUDENTS</w:t>
            </w:r>
            <w:r>
              <w:rPr>
                <w:spacing w:val="-14"/>
                <w:sz w:val="24"/>
              </w:rPr>
              <w:t> </w:t>
            </w:r>
            <w:r>
              <w:rPr>
                <w:spacing w:val="-2"/>
                <w:sz w:val="24"/>
              </w:rPr>
              <w:t>ACCOMMODATED</w:t>
            </w:r>
          </w:p>
          <w:p>
            <w:pPr>
              <w:pStyle w:val="TableParagraph"/>
              <w:spacing w:line="258" w:lineRule="exact" w:before="2"/>
              <w:ind w:left="118" w:right="1"/>
              <w:jc w:val="center"/>
              <w:rPr>
                <w:sz w:val="24"/>
              </w:rPr>
            </w:pPr>
            <w:r>
              <w:rPr>
                <w:sz w:val="24"/>
              </w:rPr>
              <w:t>IN</w:t>
            </w:r>
            <w:r>
              <w:rPr>
                <w:spacing w:val="-4"/>
                <w:sz w:val="24"/>
              </w:rPr>
              <w:t> </w:t>
            </w:r>
            <w:r>
              <w:rPr>
                <w:sz w:val="24"/>
              </w:rPr>
              <w:t>1986/87</w:t>
            </w:r>
            <w:r>
              <w:rPr>
                <w:spacing w:val="-6"/>
                <w:sz w:val="24"/>
              </w:rPr>
              <w:t> </w:t>
            </w:r>
            <w:r>
              <w:rPr>
                <w:spacing w:val="-2"/>
                <w:sz w:val="24"/>
              </w:rPr>
              <w:t>SESSION</w:t>
            </w:r>
          </w:p>
        </w:tc>
      </w:tr>
      <w:tr>
        <w:trPr>
          <w:trHeight w:val="413" w:hRule="atLeast"/>
        </w:trPr>
        <w:tc>
          <w:tcPr>
            <w:tcW w:w="2913" w:type="dxa"/>
            <w:tcBorders>
              <w:top w:val="single" w:sz="4" w:space="0" w:color="000000"/>
              <w:left w:val="single" w:sz="4" w:space="0" w:color="000000"/>
            </w:tcBorders>
          </w:tcPr>
          <w:p>
            <w:pPr>
              <w:pStyle w:val="TableParagraph"/>
              <w:tabs>
                <w:tab w:pos="1007" w:val="left" w:leader="none"/>
              </w:tabs>
              <w:spacing w:line="271" w:lineRule="exact"/>
              <w:ind w:left="345"/>
              <w:rPr>
                <w:sz w:val="24"/>
              </w:rPr>
            </w:pPr>
            <w:r>
              <w:rPr>
                <w:spacing w:val="-5"/>
                <w:sz w:val="24"/>
              </w:rPr>
              <w:t>1.</w:t>
            </w:r>
            <w:r>
              <w:rPr>
                <w:sz w:val="24"/>
              </w:rPr>
              <w:tab/>
            </w:r>
            <w:r>
              <w:rPr>
                <w:spacing w:val="-2"/>
                <w:sz w:val="24"/>
              </w:rPr>
              <w:t>Alexander</w:t>
            </w:r>
          </w:p>
        </w:tc>
        <w:tc>
          <w:tcPr>
            <w:tcW w:w="1911" w:type="dxa"/>
            <w:tcBorders>
              <w:top w:val="single" w:sz="4" w:space="0" w:color="000000"/>
            </w:tcBorders>
          </w:tcPr>
          <w:p>
            <w:pPr>
              <w:pStyle w:val="TableParagraph"/>
              <w:spacing w:line="271" w:lineRule="exact"/>
              <w:ind w:right="551"/>
              <w:jc w:val="right"/>
              <w:rPr>
                <w:sz w:val="24"/>
              </w:rPr>
            </w:pPr>
            <w:r>
              <w:rPr>
                <w:spacing w:val="-4"/>
                <w:sz w:val="24"/>
              </w:rPr>
              <w:t>1962</w:t>
            </w:r>
          </w:p>
        </w:tc>
        <w:tc>
          <w:tcPr>
            <w:tcW w:w="1406" w:type="dxa"/>
            <w:tcBorders>
              <w:top w:val="single" w:sz="4" w:space="0" w:color="000000"/>
            </w:tcBorders>
          </w:tcPr>
          <w:p>
            <w:pPr>
              <w:pStyle w:val="TableParagraph"/>
              <w:rPr>
                <w:rFonts w:ascii="Times New Roman"/>
                <w:sz w:val="24"/>
              </w:rPr>
            </w:pPr>
          </w:p>
        </w:tc>
        <w:tc>
          <w:tcPr>
            <w:tcW w:w="2591" w:type="dxa"/>
            <w:tcBorders>
              <w:top w:val="single" w:sz="4" w:space="0" w:color="000000"/>
              <w:right w:val="single" w:sz="4" w:space="0" w:color="000000"/>
            </w:tcBorders>
          </w:tcPr>
          <w:p>
            <w:pPr>
              <w:pStyle w:val="TableParagraph"/>
              <w:spacing w:line="271" w:lineRule="exact"/>
              <w:ind w:left="451"/>
              <w:rPr>
                <w:sz w:val="24"/>
              </w:rPr>
            </w:pPr>
            <w:r>
              <w:rPr>
                <w:spacing w:val="-5"/>
                <w:sz w:val="24"/>
              </w:rPr>
              <w:t>476</w:t>
            </w:r>
          </w:p>
        </w:tc>
      </w:tr>
      <w:tr>
        <w:trPr>
          <w:trHeight w:val="552" w:hRule="atLeast"/>
        </w:trPr>
        <w:tc>
          <w:tcPr>
            <w:tcW w:w="2913" w:type="dxa"/>
            <w:tcBorders>
              <w:left w:val="single" w:sz="4" w:space="0" w:color="000000"/>
            </w:tcBorders>
          </w:tcPr>
          <w:p>
            <w:pPr>
              <w:pStyle w:val="TableParagraph"/>
              <w:tabs>
                <w:tab w:pos="1007" w:val="left" w:leader="none"/>
              </w:tabs>
              <w:spacing w:before="134"/>
              <w:ind w:left="345"/>
              <w:rPr>
                <w:sz w:val="24"/>
              </w:rPr>
            </w:pPr>
            <w:r>
              <w:rPr>
                <w:spacing w:val="-5"/>
                <w:sz w:val="24"/>
              </w:rPr>
              <w:t>2.</w:t>
            </w:r>
            <w:r>
              <w:rPr>
                <w:sz w:val="24"/>
              </w:rPr>
              <w:tab/>
            </w:r>
            <w:r>
              <w:rPr>
                <w:spacing w:val="-2"/>
                <w:sz w:val="24"/>
              </w:rPr>
              <w:t>Ribadu</w:t>
            </w:r>
          </w:p>
        </w:tc>
        <w:tc>
          <w:tcPr>
            <w:tcW w:w="1911" w:type="dxa"/>
          </w:tcPr>
          <w:p>
            <w:pPr>
              <w:pStyle w:val="TableParagraph"/>
              <w:spacing w:before="134"/>
              <w:ind w:right="551"/>
              <w:jc w:val="right"/>
              <w:rPr>
                <w:sz w:val="24"/>
              </w:rPr>
            </w:pPr>
            <w:r>
              <w:rPr>
                <w:spacing w:val="-4"/>
                <w:sz w:val="24"/>
              </w:rPr>
              <w:t>1962</w:t>
            </w:r>
          </w:p>
        </w:tc>
        <w:tc>
          <w:tcPr>
            <w:tcW w:w="1406" w:type="dxa"/>
          </w:tcPr>
          <w:p>
            <w:pPr>
              <w:pStyle w:val="TableParagraph"/>
              <w:rPr>
                <w:rFonts w:ascii="Times New Roman"/>
                <w:sz w:val="24"/>
              </w:rPr>
            </w:pPr>
          </w:p>
        </w:tc>
        <w:tc>
          <w:tcPr>
            <w:tcW w:w="2591" w:type="dxa"/>
            <w:tcBorders>
              <w:right w:val="single" w:sz="4" w:space="0" w:color="000000"/>
            </w:tcBorders>
          </w:tcPr>
          <w:p>
            <w:pPr>
              <w:pStyle w:val="TableParagraph"/>
              <w:spacing w:before="134"/>
              <w:ind w:left="451"/>
              <w:rPr>
                <w:sz w:val="24"/>
              </w:rPr>
            </w:pPr>
            <w:r>
              <w:rPr>
                <w:spacing w:val="-5"/>
                <w:sz w:val="24"/>
              </w:rPr>
              <w:t>516</w:t>
            </w:r>
          </w:p>
        </w:tc>
      </w:tr>
      <w:tr>
        <w:trPr>
          <w:trHeight w:val="551" w:hRule="atLeast"/>
        </w:trPr>
        <w:tc>
          <w:tcPr>
            <w:tcW w:w="2913" w:type="dxa"/>
            <w:tcBorders>
              <w:left w:val="single" w:sz="4" w:space="0" w:color="000000"/>
            </w:tcBorders>
          </w:tcPr>
          <w:p>
            <w:pPr>
              <w:pStyle w:val="TableParagraph"/>
              <w:tabs>
                <w:tab w:pos="1007" w:val="left" w:leader="none"/>
              </w:tabs>
              <w:spacing w:before="134"/>
              <w:ind w:left="345"/>
              <w:rPr>
                <w:sz w:val="24"/>
              </w:rPr>
            </w:pPr>
            <w:r>
              <w:rPr>
                <w:spacing w:val="-5"/>
                <w:sz w:val="24"/>
              </w:rPr>
              <w:t>3.</w:t>
            </w:r>
            <w:r>
              <w:rPr>
                <w:sz w:val="24"/>
              </w:rPr>
              <w:tab/>
            </w:r>
            <w:r>
              <w:rPr>
                <w:spacing w:val="-2"/>
                <w:sz w:val="24"/>
              </w:rPr>
              <w:t>Amina</w:t>
            </w:r>
          </w:p>
        </w:tc>
        <w:tc>
          <w:tcPr>
            <w:tcW w:w="1911" w:type="dxa"/>
          </w:tcPr>
          <w:p>
            <w:pPr>
              <w:pStyle w:val="TableParagraph"/>
              <w:spacing w:before="134"/>
              <w:ind w:right="551"/>
              <w:jc w:val="right"/>
              <w:rPr>
                <w:sz w:val="24"/>
              </w:rPr>
            </w:pPr>
            <w:r>
              <w:rPr>
                <w:spacing w:val="-4"/>
                <w:sz w:val="24"/>
              </w:rPr>
              <w:t>1962</w:t>
            </w:r>
          </w:p>
        </w:tc>
        <w:tc>
          <w:tcPr>
            <w:tcW w:w="1406" w:type="dxa"/>
          </w:tcPr>
          <w:p>
            <w:pPr>
              <w:pStyle w:val="TableParagraph"/>
              <w:rPr>
                <w:rFonts w:ascii="Times New Roman"/>
                <w:sz w:val="24"/>
              </w:rPr>
            </w:pPr>
          </w:p>
        </w:tc>
        <w:tc>
          <w:tcPr>
            <w:tcW w:w="2591" w:type="dxa"/>
            <w:tcBorders>
              <w:right w:val="single" w:sz="4" w:space="0" w:color="000000"/>
            </w:tcBorders>
          </w:tcPr>
          <w:p>
            <w:pPr>
              <w:pStyle w:val="TableParagraph"/>
              <w:spacing w:before="134"/>
              <w:ind w:left="384"/>
              <w:rPr>
                <w:sz w:val="24"/>
              </w:rPr>
            </w:pPr>
            <w:r>
              <w:rPr>
                <w:spacing w:val="-4"/>
                <w:sz w:val="24"/>
              </w:rPr>
              <w:t>1043</w:t>
            </w:r>
          </w:p>
        </w:tc>
      </w:tr>
      <w:tr>
        <w:trPr>
          <w:trHeight w:val="551" w:hRule="atLeast"/>
        </w:trPr>
        <w:tc>
          <w:tcPr>
            <w:tcW w:w="2913" w:type="dxa"/>
            <w:tcBorders>
              <w:left w:val="single" w:sz="4" w:space="0" w:color="000000"/>
            </w:tcBorders>
          </w:tcPr>
          <w:p>
            <w:pPr>
              <w:pStyle w:val="TableParagraph"/>
              <w:tabs>
                <w:tab w:pos="1007" w:val="left" w:leader="none"/>
              </w:tabs>
              <w:spacing w:before="134"/>
              <w:ind w:left="345"/>
              <w:rPr>
                <w:sz w:val="24"/>
              </w:rPr>
            </w:pPr>
            <w:r>
              <w:rPr>
                <w:spacing w:val="-5"/>
                <w:sz w:val="24"/>
              </w:rPr>
              <w:t>4.</w:t>
            </w:r>
            <w:r>
              <w:rPr>
                <w:sz w:val="24"/>
              </w:rPr>
              <w:tab/>
            </w:r>
            <w:r>
              <w:rPr>
                <w:spacing w:val="-2"/>
                <w:sz w:val="24"/>
              </w:rPr>
              <w:t>Akenzua</w:t>
            </w:r>
          </w:p>
        </w:tc>
        <w:tc>
          <w:tcPr>
            <w:tcW w:w="1911" w:type="dxa"/>
          </w:tcPr>
          <w:p>
            <w:pPr>
              <w:pStyle w:val="TableParagraph"/>
              <w:spacing w:before="134"/>
              <w:ind w:right="551"/>
              <w:jc w:val="right"/>
              <w:rPr>
                <w:sz w:val="24"/>
              </w:rPr>
            </w:pPr>
            <w:r>
              <w:rPr>
                <w:spacing w:val="-4"/>
                <w:sz w:val="24"/>
              </w:rPr>
              <w:t>1969</w:t>
            </w:r>
          </w:p>
        </w:tc>
        <w:tc>
          <w:tcPr>
            <w:tcW w:w="1406" w:type="dxa"/>
          </w:tcPr>
          <w:p>
            <w:pPr>
              <w:pStyle w:val="TableParagraph"/>
              <w:rPr>
                <w:rFonts w:ascii="Times New Roman"/>
                <w:sz w:val="24"/>
              </w:rPr>
            </w:pPr>
          </w:p>
        </w:tc>
        <w:tc>
          <w:tcPr>
            <w:tcW w:w="2591" w:type="dxa"/>
            <w:tcBorders>
              <w:right w:val="single" w:sz="4" w:space="0" w:color="000000"/>
            </w:tcBorders>
          </w:tcPr>
          <w:p>
            <w:pPr>
              <w:pStyle w:val="TableParagraph"/>
              <w:spacing w:before="134"/>
              <w:ind w:left="451"/>
              <w:rPr>
                <w:sz w:val="24"/>
              </w:rPr>
            </w:pPr>
            <w:r>
              <w:rPr>
                <w:spacing w:val="-5"/>
                <w:sz w:val="24"/>
              </w:rPr>
              <w:t>453</w:t>
            </w:r>
          </w:p>
        </w:tc>
      </w:tr>
      <w:tr>
        <w:trPr>
          <w:trHeight w:val="552" w:hRule="atLeast"/>
        </w:trPr>
        <w:tc>
          <w:tcPr>
            <w:tcW w:w="2913" w:type="dxa"/>
            <w:tcBorders>
              <w:left w:val="single" w:sz="4" w:space="0" w:color="000000"/>
            </w:tcBorders>
          </w:tcPr>
          <w:p>
            <w:pPr>
              <w:pStyle w:val="TableParagraph"/>
              <w:tabs>
                <w:tab w:pos="1007" w:val="left" w:leader="none"/>
              </w:tabs>
              <w:spacing w:before="134"/>
              <w:ind w:left="345"/>
              <w:rPr>
                <w:sz w:val="24"/>
              </w:rPr>
            </w:pPr>
            <w:r>
              <w:rPr>
                <w:spacing w:val="-5"/>
                <w:sz w:val="24"/>
              </w:rPr>
              <w:t>5.</w:t>
            </w:r>
            <w:r>
              <w:rPr>
                <w:sz w:val="24"/>
              </w:rPr>
              <w:tab/>
            </w:r>
            <w:r>
              <w:rPr>
                <w:spacing w:val="-4"/>
                <w:sz w:val="24"/>
              </w:rPr>
              <w:t>Ramat</w:t>
            </w:r>
          </w:p>
        </w:tc>
        <w:tc>
          <w:tcPr>
            <w:tcW w:w="1911" w:type="dxa"/>
          </w:tcPr>
          <w:p>
            <w:pPr>
              <w:pStyle w:val="TableParagraph"/>
              <w:spacing w:before="134"/>
              <w:ind w:right="551"/>
              <w:jc w:val="right"/>
              <w:rPr>
                <w:sz w:val="24"/>
              </w:rPr>
            </w:pPr>
            <w:r>
              <w:rPr>
                <w:spacing w:val="-4"/>
                <w:sz w:val="24"/>
              </w:rPr>
              <w:t>1970</w:t>
            </w:r>
          </w:p>
        </w:tc>
        <w:tc>
          <w:tcPr>
            <w:tcW w:w="1406" w:type="dxa"/>
          </w:tcPr>
          <w:p>
            <w:pPr>
              <w:pStyle w:val="TableParagraph"/>
              <w:rPr>
                <w:rFonts w:ascii="Times New Roman"/>
                <w:sz w:val="24"/>
              </w:rPr>
            </w:pPr>
          </w:p>
        </w:tc>
        <w:tc>
          <w:tcPr>
            <w:tcW w:w="2591" w:type="dxa"/>
            <w:tcBorders>
              <w:right w:val="single" w:sz="4" w:space="0" w:color="000000"/>
            </w:tcBorders>
          </w:tcPr>
          <w:p>
            <w:pPr>
              <w:pStyle w:val="TableParagraph"/>
              <w:spacing w:before="134"/>
              <w:ind w:left="451"/>
              <w:rPr>
                <w:sz w:val="24"/>
              </w:rPr>
            </w:pPr>
            <w:r>
              <w:rPr>
                <w:spacing w:val="-5"/>
                <w:sz w:val="24"/>
              </w:rPr>
              <w:t>480</w:t>
            </w:r>
          </w:p>
        </w:tc>
      </w:tr>
      <w:tr>
        <w:trPr>
          <w:trHeight w:val="552" w:hRule="atLeast"/>
        </w:trPr>
        <w:tc>
          <w:tcPr>
            <w:tcW w:w="2913" w:type="dxa"/>
            <w:tcBorders>
              <w:left w:val="single" w:sz="4" w:space="0" w:color="000000"/>
            </w:tcBorders>
          </w:tcPr>
          <w:p>
            <w:pPr>
              <w:pStyle w:val="TableParagraph"/>
              <w:tabs>
                <w:tab w:pos="1007" w:val="left" w:leader="none"/>
              </w:tabs>
              <w:spacing w:before="134"/>
              <w:ind w:left="345"/>
              <w:rPr>
                <w:sz w:val="24"/>
              </w:rPr>
            </w:pPr>
            <w:r>
              <w:rPr>
                <w:spacing w:val="-5"/>
                <w:sz w:val="24"/>
              </w:rPr>
              <w:t>6.</w:t>
            </w:r>
            <w:r>
              <w:rPr>
                <w:sz w:val="24"/>
              </w:rPr>
              <w:tab/>
            </w:r>
            <w:r>
              <w:rPr>
                <w:spacing w:val="-4"/>
                <w:sz w:val="24"/>
              </w:rPr>
              <w:t>ICSA</w:t>
            </w:r>
          </w:p>
        </w:tc>
        <w:tc>
          <w:tcPr>
            <w:tcW w:w="1911" w:type="dxa"/>
          </w:tcPr>
          <w:p>
            <w:pPr>
              <w:pStyle w:val="TableParagraph"/>
              <w:spacing w:before="134"/>
              <w:ind w:right="551"/>
              <w:jc w:val="right"/>
              <w:rPr>
                <w:sz w:val="24"/>
              </w:rPr>
            </w:pPr>
            <w:r>
              <w:rPr>
                <w:spacing w:val="-4"/>
                <w:sz w:val="24"/>
              </w:rPr>
              <w:t>1971</w:t>
            </w:r>
          </w:p>
        </w:tc>
        <w:tc>
          <w:tcPr>
            <w:tcW w:w="1406" w:type="dxa"/>
          </w:tcPr>
          <w:p>
            <w:pPr>
              <w:pStyle w:val="TableParagraph"/>
              <w:rPr>
                <w:rFonts w:ascii="Times New Roman"/>
                <w:sz w:val="24"/>
              </w:rPr>
            </w:pPr>
          </w:p>
        </w:tc>
        <w:tc>
          <w:tcPr>
            <w:tcW w:w="2591" w:type="dxa"/>
            <w:tcBorders>
              <w:right w:val="single" w:sz="4" w:space="0" w:color="000000"/>
            </w:tcBorders>
          </w:tcPr>
          <w:p>
            <w:pPr>
              <w:pStyle w:val="TableParagraph"/>
              <w:spacing w:before="134"/>
              <w:ind w:left="451"/>
              <w:rPr>
                <w:sz w:val="24"/>
              </w:rPr>
            </w:pPr>
            <w:r>
              <w:rPr>
                <w:spacing w:val="-5"/>
                <w:sz w:val="24"/>
              </w:rPr>
              <w:t>576</w:t>
            </w:r>
          </w:p>
        </w:tc>
      </w:tr>
      <w:tr>
        <w:trPr>
          <w:trHeight w:val="552" w:hRule="atLeast"/>
        </w:trPr>
        <w:tc>
          <w:tcPr>
            <w:tcW w:w="2913" w:type="dxa"/>
            <w:tcBorders>
              <w:left w:val="single" w:sz="4" w:space="0" w:color="000000"/>
            </w:tcBorders>
          </w:tcPr>
          <w:p>
            <w:pPr>
              <w:pStyle w:val="TableParagraph"/>
              <w:tabs>
                <w:tab w:pos="1007" w:val="left" w:leader="none"/>
              </w:tabs>
              <w:spacing w:before="134"/>
              <w:ind w:left="345"/>
              <w:rPr>
                <w:sz w:val="24"/>
              </w:rPr>
            </w:pPr>
            <w:r>
              <w:rPr>
                <w:spacing w:val="-5"/>
                <w:sz w:val="24"/>
              </w:rPr>
              <w:t>7.</w:t>
            </w:r>
            <w:r>
              <w:rPr>
                <w:sz w:val="24"/>
              </w:rPr>
              <w:tab/>
            </w:r>
            <w:r>
              <w:rPr>
                <w:spacing w:val="-2"/>
                <w:sz w:val="24"/>
              </w:rPr>
              <w:t>Usmanu</w:t>
            </w:r>
          </w:p>
        </w:tc>
        <w:tc>
          <w:tcPr>
            <w:tcW w:w="1911" w:type="dxa"/>
          </w:tcPr>
          <w:p>
            <w:pPr>
              <w:pStyle w:val="TableParagraph"/>
              <w:spacing w:before="134"/>
              <w:ind w:right="551"/>
              <w:jc w:val="right"/>
              <w:rPr>
                <w:sz w:val="24"/>
              </w:rPr>
            </w:pPr>
            <w:r>
              <w:rPr>
                <w:spacing w:val="-4"/>
                <w:sz w:val="24"/>
              </w:rPr>
              <w:t>1973</w:t>
            </w:r>
          </w:p>
        </w:tc>
        <w:tc>
          <w:tcPr>
            <w:tcW w:w="1406" w:type="dxa"/>
          </w:tcPr>
          <w:p>
            <w:pPr>
              <w:pStyle w:val="TableParagraph"/>
              <w:rPr>
                <w:rFonts w:ascii="Times New Roman"/>
                <w:sz w:val="24"/>
              </w:rPr>
            </w:pPr>
          </w:p>
        </w:tc>
        <w:tc>
          <w:tcPr>
            <w:tcW w:w="2591" w:type="dxa"/>
            <w:tcBorders>
              <w:right w:val="single" w:sz="4" w:space="0" w:color="000000"/>
            </w:tcBorders>
          </w:tcPr>
          <w:p>
            <w:pPr>
              <w:pStyle w:val="TableParagraph"/>
              <w:spacing w:before="134"/>
              <w:ind w:left="384"/>
              <w:rPr>
                <w:sz w:val="24"/>
              </w:rPr>
            </w:pPr>
            <w:r>
              <w:rPr>
                <w:spacing w:val="-4"/>
                <w:sz w:val="24"/>
              </w:rPr>
              <w:t>1056</w:t>
            </w:r>
          </w:p>
        </w:tc>
      </w:tr>
      <w:tr>
        <w:trPr>
          <w:trHeight w:val="551" w:hRule="atLeast"/>
        </w:trPr>
        <w:tc>
          <w:tcPr>
            <w:tcW w:w="2913" w:type="dxa"/>
            <w:tcBorders>
              <w:left w:val="single" w:sz="4" w:space="0" w:color="000000"/>
            </w:tcBorders>
          </w:tcPr>
          <w:p>
            <w:pPr>
              <w:pStyle w:val="TableParagraph"/>
              <w:tabs>
                <w:tab w:pos="1007" w:val="left" w:leader="none"/>
              </w:tabs>
              <w:spacing w:before="134"/>
              <w:ind w:left="345"/>
              <w:rPr>
                <w:sz w:val="24"/>
              </w:rPr>
            </w:pPr>
            <w:r>
              <w:rPr>
                <w:spacing w:val="-5"/>
                <w:sz w:val="24"/>
              </w:rPr>
              <w:t>8.</w:t>
            </w:r>
            <w:r>
              <w:rPr>
                <w:sz w:val="24"/>
              </w:rPr>
              <w:tab/>
            </w:r>
            <w:r>
              <w:rPr>
                <w:spacing w:val="-2"/>
                <w:sz w:val="24"/>
              </w:rPr>
              <w:t>DanFodiyo</w:t>
            </w:r>
          </w:p>
        </w:tc>
        <w:tc>
          <w:tcPr>
            <w:tcW w:w="1911" w:type="dxa"/>
          </w:tcPr>
          <w:p>
            <w:pPr>
              <w:pStyle w:val="TableParagraph"/>
              <w:spacing w:before="134"/>
              <w:ind w:right="551"/>
              <w:jc w:val="right"/>
              <w:rPr>
                <w:sz w:val="24"/>
              </w:rPr>
            </w:pPr>
            <w:r>
              <w:rPr>
                <w:spacing w:val="-4"/>
                <w:sz w:val="24"/>
              </w:rPr>
              <w:t>1974</w:t>
            </w:r>
          </w:p>
        </w:tc>
        <w:tc>
          <w:tcPr>
            <w:tcW w:w="1406" w:type="dxa"/>
          </w:tcPr>
          <w:p>
            <w:pPr>
              <w:pStyle w:val="TableParagraph"/>
              <w:rPr>
                <w:rFonts w:ascii="Times New Roman"/>
                <w:sz w:val="24"/>
              </w:rPr>
            </w:pPr>
          </w:p>
        </w:tc>
        <w:tc>
          <w:tcPr>
            <w:tcW w:w="2591" w:type="dxa"/>
            <w:tcBorders>
              <w:right w:val="single" w:sz="4" w:space="0" w:color="000000"/>
            </w:tcBorders>
          </w:tcPr>
          <w:p>
            <w:pPr>
              <w:pStyle w:val="TableParagraph"/>
              <w:spacing w:before="134"/>
              <w:ind w:left="384"/>
              <w:rPr>
                <w:sz w:val="24"/>
              </w:rPr>
            </w:pPr>
            <w:r>
              <w:rPr>
                <w:spacing w:val="-4"/>
                <w:sz w:val="24"/>
              </w:rPr>
              <w:t>1240</w:t>
            </w:r>
          </w:p>
        </w:tc>
      </w:tr>
      <w:tr>
        <w:trPr>
          <w:trHeight w:val="690" w:hRule="atLeast"/>
        </w:trPr>
        <w:tc>
          <w:tcPr>
            <w:tcW w:w="2913" w:type="dxa"/>
            <w:tcBorders>
              <w:left w:val="single" w:sz="4" w:space="0" w:color="000000"/>
              <w:bottom w:val="single" w:sz="4" w:space="0" w:color="000000"/>
            </w:tcBorders>
          </w:tcPr>
          <w:p>
            <w:pPr>
              <w:pStyle w:val="TableParagraph"/>
              <w:spacing w:before="134"/>
              <w:ind w:left="1007"/>
              <w:rPr>
                <w:sz w:val="24"/>
              </w:rPr>
            </w:pPr>
            <w:r>
              <w:rPr>
                <w:sz w:val="24"/>
              </w:rPr>
              <w:t>Umar</w:t>
            </w:r>
            <w:r>
              <w:rPr>
                <w:spacing w:val="-7"/>
                <w:sz w:val="24"/>
              </w:rPr>
              <w:t> </w:t>
            </w:r>
            <w:r>
              <w:rPr>
                <w:spacing w:val="-2"/>
                <w:sz w:val="24"/>
              </w:rPr>
              <w:t>Suleiman</w:t>
            </w:r>
          </w:p>
        </w:tc>
        <w:tc>
          <w:tcPr>
            <w:tcW w:w="1911" w:type="dxa"/>
            <w:tcBorders>
              <w:bottom w:val="single" w:sz="4" w:space="0" w:color="000000"/>
            </w:tcBorders>
          </w:tcPr>
          <w:p>
            <w:pPr>
              <w:pStyle w:val="TableParagraph"/>
              <w:rPr>
                <w:rFonts w:ascii="Times New Roman"/>
                <w:sz w:val="24"/>
              </w:rPr>
            </w:pPr>
          </w:p>
        </w:tc>
        <w:tc>
          <w:tcPr>
            <w:tcW w:w="1406" w:type="dxa"/>
            <w:tcBorders>
              <w:bottom w:val="single" w:sz="4" w:space="0" w:color="000000"/>
            </w:tcBorders>
          </w:tcPr>
          <w:p>
            <w:pPr>
              <w:pStyle w:val="TableParagraph"/>
              <w:rPr>
                <w:rFonts w:ascii="Times New Roman"/>
                <w:sz w:val="24"/>
              </w:rPr>
            </w:pPr>
          </w:p>
        </w:tc>
        <w:tc>
          <w:tcPr>
            <w:tcW w:w="2591" w:type="dxa"/>
            <w:tcBorders>
              <w:bottom w:val="single" w:sz="4" w:space="0" w:color="000000"/>
              <w:right w:val="single" w:sz="4" w:space="0" w:color="000000"/>
            </w:tcBorders>
          </w:tcPr>
          <w:p>
            <w:pPr>
              <w:pStyle w:val="TableParagraph"/>
              <w:rPr>
                <w:rFonts w:ascii="Times New Roman"/>
                <w:sz w:val="24"/>
              </w:rPr>
            </w:pPr>
          </w:p>
        </w:tc>
      </w:tr>
      <w:tr>
        <w:trPr>
          <w:trHeight w:val="551" w:hRule="atLeast"/>
        </w:trPr>
        <w:tc>
          <w:tcPr>
            <w:tcW w:w="2913" w:type="dxa"/>
            <w:tcBorders>
              <w:top w:val="single" w:sz="4" w:space="0" w:color="000000"/>
              <w:left w:val="single" w:sz="4" w:space="0" w:color="000000"/>
              <w:bottom w:val="single" w:sz="4" w:space="0" w:color="000000"/>
            </w:tcBorders>
          </w:tcPr>
          <w:p>
            <w:pPr>
              <w:pStyle w:val="TableParagraph"/>
              <w:rPr>
                <w:rFonts w:ascii="Times New Roman"/>
                <w:sz w:val="24"/>
              </w:rPr>
            </w:pPr>
          </w:p>
        </w:tc>
        <w:tc>
          <w:tcPr>
            <w:tcW w:w="1911" w:type="dxa"/>
            <w:tcBorders>
              <w:top w:val="single" w:sz="4" w:space="0" w:color="000000"/>
              <w:bottom w:val="single" w:sz="4" w:space="0" w:color="000000"/>
            </w:tcBorders>
          </w:tcPr>
          <w:p>
            <w:pPr>
              <w:pStyle w:val="TableParagraph"/>
              <w:rPr>
                <w:rFonts w:ascii="Times New Roman"/>
                <w:sz w:val="24"/>
              </w:rPr>
            </w:pPr>
          </w:p>
        </w:tc>
        <w:tc>
          <w:tcPr>
            <w:tcW w:w="1406" w:type="dxa"/>
            <w:tcBorders>
              <w:top w:val="single" w:sz="4" w:space="0" w:color="000000"/>
              <w:bottom w:val="single" w:sz="4" w:space="0" w:color="000000"/>
            </w:tcBorders>
          </w:tcPr>
          <w:p>
            <w:pPr>
              <w:pStyle w:val="TableParagraph"/>
              <w:spacing w:line="271" w:lineRule="exact"/>
              <w:ind w:left="9"/>
              <w:rPr>
                <w:sz w:val="24"/>
              </w:rPr>
            </w:pPr>
            <w:r>
              <w:rPr>
                <w:sz w:val="24"/>
              </w:rPr>
              <w:t>Sub</w:t>
            </w:r>
            <w:r>
              <w:rPr>
                <w:spacing w:val="-9"/>
                <w:sz w:val="24"/>
              </w:rPr>
              <w:t> </w:t>
            </w:r>
            <w:r>
              <w:rPr>
                <w:spacing w:val="-2"/>
                <w:sz w:val="24"/>
              </w:rPr>
              <w:t>Total</w:t>
            </w:r>
          </w:p>
        </w:tc>
        <w:tc>
          <w:tcPr>
            <w:tcW w:w="2591" w:type="dxa"/>
            <w:tcBorders>
              <w:top w:val="single" w:sz="4" w:space="0" w:color="000000"/>
              <w:bottom w:val="single" w:sz="4" w:space="0" w:color="000000"/>
              <w:right w:val="single" w:sz="4" w:space="0" w:color="000000"/>
            </w:tcBorders>
          </w:tcPr>
          <w:p>
            <w:pPr>
              <w:pStyle w:val="TableParagraph"/>
              <w:spacing w:line="271" w:lineRule="exact"/>
              <w:ind w:left="426"/>
              <w:rPr>
                <w:sz w:val="24"/>
              </w:rPr>
            </w:pPr>
            <w:r>
              <w:rPr>
                <w:spacing w:val="-4"/>
                <w:sz w:val="24"/>
              </w:rPr>
              <w:t>5840</w:t>
            </w:r>
          </w:p>
        </w:tc>
      </w:tr>
    </w:tbl>
    <w:p>
      <w:pPr>
        <w:spacing w:after="0" w:line="271" w:lineRule="exact"/>
        <w:rPr>
          <w:sz w:val="24"/>
        </w:rPr>
        <w:sectPr>
          <w:headerReference w:type="default" r:id="rId124"/>
          <w:footerReference w:type="default" r:id="rId125"/>
          <w:pgSz w:w="12240" w:h="15840"/>
          <w:pgMar w:header="722" w:footer="791" w:top="1060" w:bottom="980" w:left="1280" w:right="1140"/>
        </w:sectPr>
      </w:pPr>
    </w:p>
    <w:p>
      <w:pPr>
        <w:pStyle w:val="BodyText"/>
        <w:spacing w:before="86"/>
      </w:pPr>
    </w:p>
    <w:p>
      <w:pPr>
        <w:pStyle w:val="ListParagraph"/>
        <w:numPr>
          <w:ilvl w:val="4"/>
          <w:numId w:val="19"/>
        </w:numPr>
        <w:tabs>
          <w:tab w:pos="2319" w:val="left" w:leader="none"/>
        </w:tabs>
        <w:spacing w:line="240" w:lineRule="auto" w:before="0" w:after="3"/>
        <w:ind w:left="2319" w:right="0" w:hanging="719"/>
        <w:jc w:val="left"/>
        <w:rPr>
          <w:sz w:val="24"/>
        </w:rPr>
      </w:pPr>
      <w:r>
        <w:rPr>
          <w:sz w:val="24"/>
        </w:rPr>
        <w:t>KONGO</w:t>
      </w:r>
      <w:r>
        <w:rPr>
          <w:spacing w:val="-10"/>
          <w:sz w:val="24"/>
        </w:rPr>
        <w:t> </w:t>
      </w:r>
      <w:r>
        <w:rPr>
          <w:spacing w:val="-2"/>
          <w:sz w:val="24"/>
        </w:rPr>
        <w:t>CAMPUS</w:t>
      </w:r>
    </w:p>
    <w:tbl>
      <w:tblPr>
        <w:tblW w:w="0" w:type="auto"/>
        <w:jc w:val="left"/>
        <w:tblInd w:w="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08"/>
        <w:gridCol w:w="1950"/>
        <w:gridCol w:w="1394"/>
        <w:gridCol w:w="2570"/>
      </w:tblGrid>
      <w:tr>
        <w:trPr>
          <w:trHeight w:val="695" w:hRule="atLeast"/>
        </w:trPr>
        <w:tc>
          <w:tcPr>
            <w:tcW w:w="2908" w:type="dxa"/>
            <w:tcBorders>
              <w:top w:val="single" w:sz="4" w:space="0" w:color="000000"/>
              <w:left w:val="single" w:sz="4" w:space="0" w:color="000000"/>
              <w:bottom w:val="single" w:sz="4" w:space="0" w:color="000000"/>
            </w:tcBorders>
          </w:tcPr>
          <w:p>
            <w:pPr>
              <w:pStyle w:val="TableParagraph"/>
              <w:tabs>
                <w:tab w:pos="1679" w:val="left" w:leader="none"/>
              </w:tabs>
              <w:ind w:left="153"/>
              <w:rPr>
                <w:sz w:val="24"/>
              </w:rPr>
            </w:pPr>
            <w:r>
              <w:rPr>
                <w:spacing w:val="-4"/>
                <w:sz w:val="24"/>
              </w:rPr>
              <w:t>S/NO</w:t>
            </w:r>
            <w:r>
              <w:rPr>
                <w:sz w:val="24"/>
              </w:rPr>
              <w:tab/>
            </w:r>
            <w:r>
              <w:rPr>
                <w:spacing w:val="-4"/>
                <w:sz w:val="24"/>
              </w:rPr>
              <w:t>HALL</w:t>
            </w:r>
          </w:p>
        </w:tc>
        <w:tc>
          <w:tcPr>
            <w:tcW w:w="1950" w:type="dxa"/>
            <w:tcBorders>
              <w:top w:val="single" w:sz="4" w:space="0" w:color="000000"/>
              <w:bottom w:val="single" w:sz="4" w:space="0" w:color="000000"/>
            </w:tcBorders>
          </w:tcPr>
          <w:p>
            <w:pPr>
              <w:pStyle w:val="TableParagraph"/>
              <w:spacing w:line="237" w:lineRule="auto" w:before="2"/>
              <w:ind w:left="264" w:firstLine="504"/>
              <w:rPr>
                <w:sz w:val="24"/>
              </w:rPr>
            </w:pPr>
            <w:r>
              <w:rPr>
                <w:spacing w:val="-4"/>
                <w:sz w:val="24"/>
              </w:rPr>
              <w:t>YEAR </w:t>
            </w:r>
            <w:r>
              <w:rPr>
                <w:spacing w:val="-2"/>
                <w:sz w:val="24"/>
              </w:rPr>
              <w:t>ESTABLISHED</w:t>
            </w:r>
          </w:p>
        </w:tc>
        <w:tc>
          <w:tcPr>
            <w:tcW w:w="3964" w:type="dxa"/>
            <w:gridSpan w:val="2"/>
            <w:tcBorders>
              <w:top w:val="single" w:sz="4" w:space="0" w:color="000000"/>
              <w:bottom w:val="single" w:sz="4" w:space="0" w:color="000000"/>
              <w:right w:val="single" w:sz="4" w:space="0" w:color="000000"/>
            </w:tcBorders>
          </w:tcPr>
          <w:p>
            <w:pPr>
              <w:pStyle w:val="TableParagraph"/>
              <w:spacing w:line="237" w:lineRule="auto" w:before="2"/>
              <w:ind w:left="868" w:right="211" w:hanging="572"/>
              <w:rPr>
                <w:sz w:val="24"/>
              </w:rPr>
            </w:pPr>
            <w:r>
              <w:rPr>
                <w:sz w:val="24"/>
              </w:rPr>
              <w:t>STUDENTS</w:t>
            </w:r>
            <w:r>
              <w:rPr>
                <w:spacing w:val="-17"/>
                <w:sz w:val="24"/>
              </w:rPr>
              <w:t> </w:t>
            </w:r>
            <w:r>
              <w:rPr>
                <w:sz w:val="24"/>
              </w:rPr>
              <w:t>ACCOMMODATED IN 1986/87 SESSION</w:t>
            </w:r>
          </w:p>
        </w:tc>
      </w:tr>
      <w:tr>
        <w:trPr>
          <w:trHeight w:val="408" w:hRule="atLeast"/>
        </w:trPr>
        <w:tc>
          <w:tcPr>
            <w:tcW w:w="2908" w:type="dxa"/>
            <w:tcBorders>
              <w:top w:val="single" w:sz="4" w:space="0" w:color="000000"/>
              <w:left w:val="single" w:sz="4" w:space="0" w:color="000000"/>
            </w:tcBorders>
          </w:tcPr>
          <w:p>
            <w:pPr>
              <w:pStyle w:val="TableParagraph"/>
              <w:tabs>
                <w:tab w:pos="1007" w:val="left" w:leader="none"/>
              </w:tabs>
              <w:spacing w:line="271" w:lineRule="exact"/>
              <w:ind w:left="345"/>
              <w:rPr>
                <w:sz w:val="24"/>
              </w:rPr>
            </w:pPr>
            <w:r>
              <w:rPr>
                <w:spacing w:val="-5"/>
                <w:sz w:val="24"/>
              </w:rPr>
              <w:t>1.</w:t>
            </w:r>
            <w:r>
              <w:rPr>
                <w:sz w:val="24"/>
              </w:rPr>
              <w:tab/>
            </w:r>
            <w:r>
              <w:rPr>
                <w:spacing w:val="-2"/>
                <w:sz w:val="24"/>
              </w:rPr>
              <w:t>Bedde</w:t>
            </w:r>
          </w:p>
        </w:tc>
        <w:tc>
          <w:tcPr>
            <w:tcW w:w="1950" w:type="dxa"/>
            <w:tcBorders>
              <w:top w:val="single" w:sz="4" w:space="0" w:color="000000"/>
            </w:tcBorders>
          </w:tcPr>
          <w:p>
            <w:pPr>
              <w:pStyle w:val="TableParagraph"/>
              <w:spacing w:line="271" w:lineRule="exact"/>
              <w:ind w:right="585"/>
              <w:jc w:val="right"/>
              <w:rPr>
                <w:sz w:val="24"/>
              </w:rPr>
            </w:pPr>
            <w:r>
              <w:rPr>
                <w:spacing w:val="-4"/>
                <w:sz w:val="24"/>
              </w:rPr>
              <w:t>1962</w:t>
            </w:r>
          </w:p>
        </w:tc>
        <w:tc>
          <w:tcPr>
            <w:tcW w:w="1394" w:type="dxa"/>
            <w:vMerge w:val="restart"/>
            <w:tcBorders>
              <w:top w:val="single" w:sz="4" w:space="0" w:color="000000"/>
              <w:bottom w:val="single" w:sz="4" w:space="0" w:color="000000"/>
            </w:tcBorders>
          </w:tcPr>
          <w:p>
            <w:pPr>
              <w:pStyle w:val="TableParagraph"/>
              <w:rPr>
                <w:rFonts w:ascii="Times New Roman"/>
                <w:sz w:val="22"/>
              </w:rPr>
            </w:pPr>
          </w:p>
        </w:tc>
        <w:tc>
          <w:tcPr>
            <w:tcW w:w="2570" w:type="dxa"/>
            <w:tcBorders>
              <w:top w:val="single" w:sz="4" w:space="0" w:color="000000"/>
              <w:right w:val="single" w:sz="4" w:space="0" w:color="000000"/>
            </w:tcBorders>
          </w:tcPr>
          <w:p>
            <w:pPr>
              <w:pStyle w:val="TableParagraph"/>
              <w:spacing w:line="271" w:lineRule="exact"/>
              <w:ind w:left="492"/>
              <w:rPr>
                <w:sz w:val="24"/>
              </w:rPr>
            </w:pPr>
            <w:r>
              <w:rPr>
                <w:spacing w:val="-5"/>
                <w:sz w:val="24"/>
              </w:rPr>
              <w:t>98</w:t>
            </w:r>
          </w:p>
        </w:tc>
      </w:tr>
      <w:tr>
        <w:trPr>
          <w:trHeight w:val="542" w:hRule="atLeast"/>
        </w:trPr>
        <w:tc>
          <w:tcPr>
            <w:tcW w:w="2908" w:type="dxa"/>
            <w:tcBorders>
              <w:left w:val="single" w:sz="4" w:space="0" w:color="000000"/>
            </w:tcBorders>
          </w:tcPr>
          <w:p>
            <w:pPr>
              <w:pStyle w:val="TableParagraph"/>
              <w:tabs>
                <w:tab w:pos="1007" w:val="left" w:leader="none"/>
              </w:tabs>
              <w:spacing w:before="129"/>
              <w:ind w:left="345"/>
              <w:rPr>
                <w:sz w:val="24"/>
              </w:rPr>
            </w:pPr>
            <w:r>
              <w:rPr>
                <w:spacing w:val="-5"/>
                <w:sz w:val="24"/>
              </w:rPr>
              <w:t>2.</w:t>
            </w:r>
            <w:r>
              <w:rPr>
                <w:sz w:val="24"/>
              </w:rPr>
              <w:tab/>
              <w:t>Hostel</w:t>
            </w:r>
            <w:r>
              <w:rPr>
                <w:spacing w:val="-6"/>
                <w:sz w:val="24"/>
              </w:rPr>
              <w:t> </w:t>
            </w:r>
            <w:r>
              <w:rPr>
                <w:spacing w:val="-10"/>
                <w:sz w:val="24"/>
              </w:rPr>
              <w:t>I</w:t>
            </w:r>
          </w:p>
        </w:tc>
        <w:tc>
          <w:tcPr>
            <w:tcW w:w="1950" w:type="dxa"/>
          </w:tcPr>
          <w:p>
            <w:pPr>
              <w:pStyle w:val="TableParagraph"/>
              <w:spacing w:before="129"/>
              <w:ind w:right="585"/>
              <w:jc w:val="right"/>
              <w:rPr>
                <w:sz w:val="24"/>
              </w:rPr>
            </w:pPr>
            <w:r>
              <w:rPr>
                <w:spacing w:val="-4"/>
                <w:sz w:val="24"/>
              </w:rPr>
              <w:t>1962</w:t>
            </w:r>
          </w:p>
        </w:tc>
        <w:tc>
          <w:tcPr>
            <w:tcW w:w="1394" w:type="dxa"/>
            <w:vMerge/>
            <w:tcBorders>
              <w:top w:val="nil"/>
              <w:bottom w:val="single" w:sz="4" w:space="0" w:color="000000"/>
            </w:tcBorders>
          </w:tcPr>
          <w:p>
            <w:pPr>
              <w:rPr>
                <w:sz w:val="2"/>
                <w:szCs w:val="2"/>
              </w:rPr>
            </w:pPr>
          </w:p>
        </w:tc>
        <w:tc>
          <w:tcPr>
            <w:tcW w:w="2570" w:type="dxa"/>
            <w:tcBorders>
              <w:right w:val="single" w:sz="4" w:space="0" w:color="000000"/>
            </w:tcBorders>
          </w:tcPr>
          <w:p>
            <w:pPr>
              <w:pStyle w:val="TableParagraph"/>
              <w:spacing w:before="129"/>
              <w:ind w:left="429"/>
              <w:rPr>
                <w:sz w:val="24"/>
              </w:rPr>
            </w:pPr>
            <w:r>
              <w:rPr>
                <w:spacing w:val="-5"/>
                <w:sz w:val="24"/>
              </w:rPr>
              <w:t>112</w:t>
            </w:r>
          </w:p>
        </w:tc>
      </w:tr>
      <w:tr>
        <w:trPr>
          <w:trHeight w:val="542" w:hRule="atLeast"/>
        </w:trPr>
        <w:tc>
          <w:tcPr>
            <w:tcW w:w="2908" w:type="dxa"/>
            <w:tcBorders>
              <w:left w:val="single" w:sz="4" w:space="0" w:color="000000"/>
            </w:tcBorders>
          </w:tcPr>
          <w:p>
            <w:pPr>
              <w:pStyle w:val="TableParagraph"/>
              <w:tabs>
                <w:tab w:pos="1007" w:val="left" w:leader="none"/>
              </w:tabs>
              <w:spacing w:before="129"/>
              <w:ind w:left="345"/>
              <w:rPr>
                <w:sz w:val="24"/>
              </w:rPr>
            </w:pPr>
            <w:r>
              <w:rPr>
                <w:spacing w:val="-5"/>
                <w:sz w:val="24"/>
              </w:rPr>
              <w:t>3.</w:t>
            </w:r>
            <w:r>
              <w:rPr>
                <w:sz w:val="24"/>
              </w:rPr>
              <w:tab/>
              <w:t>Hostel</w:t>
            </w:r>
            <w:r>
              <w:rPr>
                <w:spacing w:val="-6"/>
                <w:sz w:val="24"/>
              </w:rPr>
              <w:t> </w:t>
            </w:r>
            <w:r>
              <w:rPr>
                <w:spacing w:val="-5"/>
                <w:sz w:val="24"/>
              </w:rPr>
              <w:t>II</w:t>
            </w:r>
          </w:p>
        </w:tc>
        <w:tc>
          <w:tcPr>
            <w:tcW w:w="1950" w:type="dxa"/>
          </w:tcPr>
          <w:p>
            <w:pPr>
              <w:pStyle w:val="TableParagraph"/>
              <w:spacing w:before="129"/>
              <w:ind w:right="585"/>
              <w:jc w:val="right"/>
              <w:rPr>
                <w:sz w:val="24"/>
              </w:rPr>
            </w:pPr>
            <w:r>
              <w:rPr>
                <w:spacing w:val="-4"/>
                <w:sz w:val="24"/>
              </w:rPr>
              <w:t>1962</w:t>
            </w:r>
          </w:p>
        </w:tc>
        <w:tc>
          <w:tcPr>
            <w:tcW w:w="1394" w:type="dxa"/>
            <w:vMerge/>
            <w:tcBorders>
              <w:top w:val="nil"/>
              <w:bottom w:val="single" w:sz="4" w:space="0" w:color="000000"/>
            </w:tcBorders>
          </w:tcPr>
          <w:p>
            <w:pPr>
              <w:rPr>
                <w:sz w:val="2"/>
                <w:szCs w:val="2"/>
              </w:rPr>
            </w:pPr>
          </w:p>
        </w:tc>
        <w:tc>
          <w:tcPr>
            <w:tcW w:w="2570" w:type="dxa"/>
            <w:tcBorders>
              <w:right w:val="single" w:sz="4" w:space="0" w:color="000000"/>
            </w:tcBorders>
          </w:tcPr>
          <w:p>
            <w:pPr>
              <w:pStyle w:val="TableParagraph"/>
              <w:spacing w:before="129"/>
              <w:ind w:left="429"/>
              <w:rPr>
                <w:sz w:val="24"/>
              </w:rPr>
            </w:pPr>
            <w:r>
              <w:rPr>
                <w:spacing w:val="-5"/>
                <w:sz w:val="24"/>
              </w:rPr>
              <w:t>109</w:t>
            </w:r>
          </w:p>
        </w:tc>
      </w:tr>
      <w:tr>
        <w:trPr>
          <w:trHeight w:val="541" w:hRule="atLeast"/>
        </w:trPr>
        <w:tc>
          <w:tcPr>
            <w:tcW w:w="2908" w:type="dxa"/>
            <w:tcBorders>
              <w:left w:val="single" w:sz="4" w:space="0" w:color="000000"/>
            </w:tcBorders>
          </w:tcPr>
          <w:p>
            <w:pPr>
              <w:pStyle w:val="TableParagraph"/>
              <w:tabs>
                <w:tab w:pos="1007" w:val="left" w:leader="none"/>
              </w:tabs>
              <w:spacing w:before="129"/>
              <w:ind w:left="345"/>
              <w:rPr>
                <w:sz w:val="24"/>
              </w:rPr>
            </w:pPr>
            <w:r>
              <w:rPr>
                <w:spacing w:val="-5"/>
                <w:sz w:val="24"/>
              </w:rPr>
              <w:t>4.</w:t>
            </w:r>
            <w:r>
              <w:rPr>
                <w:sz w:val="24"/>
              </w:rPr>
              <w:tab/>
              <w:t>Hostel</w:t>
            </w:r>
            <w:r>
              <w:rPr>
                <w:spacing w:val="-6"/>
                <w:sz w:val="24"/>
              </w:rPr>
              <w:t> </w:t>
            </w:r>
            <w:r>
              <w:rPr>
                <w:spacing w:val="-5"/>
                <w:sz w:val="24"/>
              </w:rPr>
              <w:t>III</w:t>
            </w:r>
          </w:p>
        </w:tc>
        <w:tc>
          <w:tcPr>
            <w:tcW w:w="1950" w:type="dxa"/>
          </w:tcPr>
          <w:p>
            <w:pPr>
              <w:pStyle w:val="TableParagraph"/>
              <w:spacing w:before="129"/>
              <w:ind w:right="585"/>
              <w:jc w:val="right"/>
              <w:rPr>
                <w:sz w:val="24"/>
              </w:rPr>
            </w:pPr>
            <w:r>
              <w:rPr>
                <w:spacing w:val="-4"/>
                <w:sz w:val="24"/>
              </w:rPr>
              <w:t>1962</w:t>
            </w:r>
          </w:p>
        </w:tc>
        <w:tc>
          <w:tcPr>
            <w:tcW w:w="1394" w:type="dxa"/>
            <w:vMerge/>
            <w:tcBorders>
              <w:top w:val="nil"/>
              <w:bottom w:val="single" w:sz="4" w:space="0" w:color="000000"/>
            </w:tcBorders>
          </w:tcPr>
          <w:p>
            <w:pPr>
              <w:rPr>
                <w:sz w:val="2"/>
                <w:szCs w:val="2"/>
              </w:rPr>
            </w:pPr>
          </w:p>
        </w:tc>
        <w:tc>
          <w:tcPr>
            <w:tcW w:w="2570" w:type="dxa"/>
            <w:tcBorders>
              <w:right w:val="single" w:sz="4" w:space="0" w:color="000000"/>
            </w:tcBorders>
          </w:tcPr>
          <w:p>
            <w:pPr>
              <w:pStyle w:val="TableParagraph"/>
              <w:spacing w:before="129"/>
              <w:ind w:left="492"/>
              <w:rPr>
                <w:sz w:val="24"/>
              </w:rPr>
            </w:pPr>
            <w:r>
              <w:rPr>
                <w:spacing w:val="-5"/>
                <w:sz w:val="24"/>
              </w:rPr>
              <w:t>80</w:t>
            </w:r>
          </w:p>
        </w:tc>
      </w:tr>
      <w:tr>
        <w:trPr>
          <w:trHeight w:val="542" w:hRule="atLeast"/>
        </w:trPr>
        <w:tc>
          <w:tcPr>
            <w:tcW w:w="2908" w:type="dxa"/>
            <w:tcBorders>
              <w:left w:val="single" w:sz="4" w:space="0" w:color="000000"/>
            </w:tcBorders>
          </w:tcPr>
          <w:p>
            <w:pPr>
              <w:pStyle w:val="TableParagraph"/>
              <w:tabs>
                <w:tab w:pos="1007" w:val="left" w:leader="none"/>
              </w:tabs>
              <w:spacing w:before="129"/>
              <w:ind w:left="345"/>
              <w:rPr>
                <w:sz w:val="24"/>
              </w:rPr>
            </w:pPr>
            <w:r>
              <w:rPr>
                <w:spacing w:val="-5"/>
                <w:sz w:val="24"/>
              </w:rPr>
              <w:t>5.</w:t>
            </w:r>
            <w:r>
              <w:rPr>
                <w:sz w:val="24"/>
              </w:rPr>
              <w:tab/>
              <w:t>Hostel</w:t>
            </w:r>
            <w:r>
              <w:rPr>
                <w:spacing w:val="-6"/>
                <w:sz w:val="24"/>
              </w:rPr>
              <w:t> </w:t>
            </w:r>
            <w:r>
              <w:rPr>
                <w:spacing w:val="-5"/>
                <w:sz w:val="24"/>
              </w:rPr>
              <w:t>IV</w:t>
            </w:r>
          </w:p>
        </w:tc>
        <w:tc>
          <w:tcPr>
            <w:tcW w:w="1950" w:type="dxa"/>
          </w:tcPr>
          <w:p>
            <w:pPr>
              <w:pStyle w:val="TableParagraph"/>
              <w:spacing w:before="129"/>
              <w:ind w:right="585"/>
              <w:jc w:val="right"/>
              <w:rPr>
                <w:sz w:val="24"/>
              </w:rPr>
            </w:pPr>
            <w:r>
              <w:rPr>
                <w:spacing w:val="-4"/>
                <w:sz w:val="24"/>
              </w:rPr>
              <w:t>1962</w:t>
            </w:r>
          </w:p>
        </w:tc>
        <w:tc>
          <w:tcPr>
            <w:tcW w:w="1394" w:type="dxa"/>
            <w:vMerge/>
            <w:tcBorders>
              <w:top w:val="nil"/>
              <w:bottom w:val="single" w:sz="4" w:space="0" w:color="000000"/>
            </w:tcBorders>
          </w:tcPr>
          <w:p>
            <w:pPr>
              <w:rPr>
                <w:sz w:val="2"/>
                <w:szCs w:val="2"/>
              </w:rPr>
            </w:pPr>
          </w:p>
        </w:tc>
        <w:tc>
          <w:tcPr>
            <w:tcW w:w="2570" w:type="dxa"/>
            <w:tcBorders>
              <w:right w:val="single" w:sz="4" w:space="0" w:color="000000"/>
            </w:tcBorders>
          </w:tcPr>
          <w:p>
            <w:pPr>
              <w:pStyle w:val="TableParagraph"/>
              <w:spacing w:before="129"/>
              <w:ind w:left="492"/>
              <w:rPr>
                <w:sz w:val="24"/>
              </w:rPr>
            </w:pPr>
            <w:r>
              <w:rPr>
                <w:spacing w:val="-5"/>
                <w:sz w:val="24"/>
              </w:rPr>
              <w:t>19</w:t>
            </w:r>
          </w:p>
        </w:tc>
      </w:tr>
      <w:tr>
        <w:trPr>
          <w:trHeight w:val="541" w:hRule="atLeast"/>
        </w:trPr>
        <w:tc>
          <w:tcPr>
            <w:tcW w:w="2908" w:type="dxa"/>
            <w:tcBorders>
              <w:left w:val="single" w:sz="4" w:space="0" w:color="000000"/>
            </w:tcBorders>
          </w:tcPr>
          <w:p>
            <w:pPr>
              <w:pStyle w:val="TableParagraph"/>
              <w:tabs>
                <w:tab w:pos="1007" w:val="left" w:leader="none"/>
              </w:tabs>
              <w:spacing w:before="129"/>
              <w:ind w:left="345"/>
              <w:rPr>
                <w:sz w:val="24"/>
              </w:rPr>
            </w:pPr>
            <w:r>
              <w:rPr>
                <w:spacing w:val="-5"/>
                <w:sz w:val="24"/>
              </w:rPr>
              <w:t>6.</w:t>
            </w:r>
            <w:r>
              <w:rPr>
                <w:sz w:val="24"/>
              </w:rPr>
              <w:tab/>
            </w:r>
            <w:r>
              <w:rPr>
                <w:spacing w:val="-2"/>
                <w:sz w:val="24"/>
              </w:rPr>
              <w:t>Sardauna</w:t>
            </w:r>
          </w:p>
        </w:tc>
        <w:tc>
          <w:tcPr>
            <w:tcW w:w="1950" w:type="dxa"/>
          </w:tcPr>
          <w:p>
            <w:pPr>
              <w:pStyle w:val="TableParagraph"/>
              <w:spacing w:before="129"/>
              <w:ind w:right="585"/>
              <w:jc w:val="right"/>
              <w:rPr>
                <w:sz w:val="24"/>
              </w:rPr>
            </w:pPr>
            <w:r>
              <w:rPr>
                <w:spacing w:val="-4"/>
                <w:sz w:val="24"/>
              </w:rPr>
              <w:t>1964</w:t>
            </w:r>
          </w:p>
        </w:tc>
        <w:tc>
          <w:tcPr>
            <w:tcW w:w="1394" w:type="dxa"/>
            <w:vMerge/>
            <w:tcBorders>
              <w:top w:val="nil"/>
              <w:bottom w:val="single" w:sz="4" w:space="0" w:color="000000"/>
            </w:tcBorders>
          </w:tcPr>
          <w:p>
            <w:pPr>
              <w:rPr>
                <w:sz w:val="2"/>
                <w:szCs w:val="2"/>
              </w:rPr>
            </w:pPr>
          </w:p>
        </w:tc>
        <w:tc>
          <w:tcPr>
            <w:tcW w:w="2570" w:type="dxa"/>
            <w:tcBorders>
              <w:right w:val="single" w:sz="4" w:space="0" w:color="000000"/>
            </w:tcBorders>
          </w:tcPr>
          <w:p>
            <w:pPr>
              <w:pStyle w:val="TableParagraph"/>
              <w:spacing w:before="129"/>
              <w:ind w:left="429"/>
              <w:rPr>
                <w:sz w:val="24"/>
              </w:rPr>
            </w:pPr>
            <w:r>
              <w:rPr>
                <w:spacing w:val="-5"/>
                <w:sz w:val="24"/>
              </w:rPr>
              <w:t>105</w:t>
            </w:r>
          </w:p>
        </w:tc>
      </w:tr>
      <w:tr>
        <w:trPr>
          <w:trHeight w:val="542" w:hRule="atLeast"/>
        </w:trPr>
        <w:tc>
          <w:tcPr>
            <w:tcW w:w="2908" w:type="dxa"/>
            <w:tcBorders>
              <w:left w:val="single" w:sz="4" w:space="0" w:color="000000"/>
            </w:tcBorders>
          </w:tcPr>
          <w:p>
            <w:pPr>
              <w:pStyle w:val="TableParagraph"/>
              <w:tabs>
                <w:tab w:pos="1007" w:val="left" w:leader="none"/>
              </w:tabs>
              <w:spacing w:before="129"/>
              <w:ind w:left="345"/>
              <w:rPr>
                <w:sz w:val="24"/>
              </w:rPr>
            </w:pPr>
            <w:r>
              <w:rPr>
                <w:spacing w:val="-5"/>
                <w:sz w:val="24"/>
              </w:rPr>
              <w:t>7.</w:t>
            </w:r>
            <w:r>
              <w:rPr>
                <w:sz w:val="24"/>
              </w:rPr>
              <w:tab/>
              <w:t>Tafawa</w:t>
            </w:r>
            <w:r>
              <w:rPr>
                <w:spacing w:val="-8"/>
                <w:sz w:val="24"/>
              </w:rPr>
              <w:t> </w:t>
            </w:r>
            <w:r>
              <w:rPr>
                <w:spacing w:val="-2"/>
                <w:sz w:val="24"/>
              </w:rPr>
              <w:t>Balewa</w:t>
            </w:r>
          </w:p>
        </w:tc>
        <w:tc>
          <w:tcPr>
            <w:tcW w:w="1950" w:type="dxa"/>
          </w:tcPr>
          <w:p>
            <w:pPr>
              <w:pStyle w:val="TableParagraph"/>
              <w:spacing w:before="129"/>
              <w:ind w:right="585"/>
              <w:jc w:val="right"/>
              <w:rPr>
                <w:sz w:val="24"/>
              </w:rPr>
            </w:pPr>
            <w:r>
              <w:rPr>
                <w:spacing w:val="-4"/>
                <w:sz w:val="24"/>
              </w:rPr>
              <w:t>1979</w:t>
            </w:r>
          </w:p>
        </w:tc>
        <w:tc>
          <w:tcPr>
            <w:tcW w:w="1394" w:type="dxa"/>
            <w:vMerge/>
            <w:tcBorders>
              <w:top w:val="nil"/>
              <w:bottom w:val="single" w:sz="4" w:space="0" w:color="000000"/>
            </w:tcBorders>
          </w:tcPr>
          <w:p>
            <w:pPr>
              <w:rPr>
                <w:sz w:val="2"/>
                <w:szCs w:val="2"/>
              </w:rPr>
            </w:pPr>
          </w:p>
        </w:tc>
        <w:tc>
          <w:tcPr>
            <w:tcW w:w="2570" w:type="dxa"/>
            <w:tcBorders>
              <w:right w:val="single" w:sz="4" w:space="0" w:color="000000"/>
            </w:tcBorders>
          </w:tcPr>
          <w:p>
            <w:pPr>
              <w:pStyle w:val="TableParagraph"/>
              <w:spacing w:before="129"/>
              <w:ind w:left="429"/>
              <w:rPr>
                <w:sz w:val="24"/>
              </w:rPr>
            </w:pPr>
            <w:r>
              <w:rPr>
                <w:spacing w:val="-5"/>
                <w:sz w:val="24"/>
              </w:rPr>
              <w:t>505</w:t>
            </w:r>
          </w:p>
        </w:tc>
      </w:tr>
      <w:tr>
        <w:trPr>
          <w:trHeight w:val="690" w:hRule="atLeast"/>
        </w:trPr>
        <w:tc>
          <w:tcPr>
            <w:tcW w:w="2908" w:type="dxa"/>
            <w:tcBorders>
              <w:left w:val="single" w:sz="4" w:space="0" w:color="000000"/>
              <w:bottom w:val="single" w:sz="4" w:space="0" w:color="000000"/>
            </w:tcBorders>
          </w:tcPr>
          <w:p>
            <w:pPr>
              <w:pStyle w:val="TableParagraph"/>
              <w:tabs>
                <w:tab w:pos="1007" w:val="left" w:leader="none"/>
              </w:tabs>
              <w:spacing w:before="129"/>
              <w:ind w:left="345"/>
              <w:rPr>
                <w:sz w:val="24"/>
              </w:rPr>
            </w:pPr>
            <w:r>
              <w:rPr>
                <w:spacing w:val="-5"/>
                <w:sz w:val="24"/>
              </w:rPr>
              <w:t>8.</w:t>
            </w:r>
            <w:r>
              <w:rPr>
                <w:sz w:val="24"/>
              </w:rPr>
              <w:tab/>
              <w:t>Ali</w:t>
            </w:r>
            <w:r>
              <w:rPr>
                <w:spacing w:val="-1"/>
                <w:sz w:val="24"/>
              </w:rPr>
              <w:t> </w:t>
            </w:r>
            <w:r>
              <w:rPr>
                <w:spacing w:val="-4"/>
                <w:sz w:val="24"/>
              </w:rPr>
              <w:t>Akilu</w:t>
            </w:r>
          </w:p>
        </w:tc>
        <w:tc>
          <w:tcPr>
            <w:tcW w:w="1950" w:type="dxa"/>
            <w:tcBorders>
              <w:bottom w:val="single" w:sz="4" w:space="0" w:color="000000"/>
            </w:tcBorders>
          </w:tcPr>
          <w:p>
            <w:pPr>
              <w:pStyle w:val="TableParagraph"/>
              <w:spacing w:before="129"/>
              <w:ind w:right="585"/>
              <w:jc w:val="right"/>
              <w:rPr>
                <w:sz w:val="24"/>
              </w:rPr>
            </w:pPr>
            <w:r>
              <w:rPr>
                <w:spacing w:val="-4"/>
                <w:sz w:val="24"/>
              </w:rPr>
              <w:t>1981</w:t>
            </w:r>
          </w:p>
        </w:tc>
        <w:tc>
          <w:tcPr>
            <w:tcW w:w="1394" w:type="dxa"/>
            <w:vMerge/>
            <w:tcBorders>
              <w:top w:val="nil"/>
              <w:bottom w:val="single" w:sz="4" w:space="0" w:color="000000"/>
            </w:tcBorders>
          </w:tcPr>
          <w:p>
            <w:pPr>
              <w:rPr>
                <w:sz w:val="2"/>
                <w:szCs w:val="2"/>
              </w:rPr>
            </w:pPr>
          </w:p>
        </w:tc>
        <w:tc>
          <w:tcPr>
            <w:tcW w:w="2570" w:type="dxa"/>
            <w:tcBorders>
              <w:bottom w:val="single" w:sz="4" w:space="0" w:color="000000"/>
              <w:right w:val="single" w:sz="4" w:space="0" w:color="000000"/>
            </w:tcBorders>
          </w:tcPr>
          <w:p>
            <w:pPr>
              <w:pStyle w:val="TableParagraph"/>
              <w:spacing w:before="129"/>
              <w:ind w:left="429"/>
              <w:rPr>
                <w:sz w:val="24"/>
              </w:rPr>
            </w:pPr>
            <w:r>
              <w:rPr>
                <w:spacing w:val="-5"/>
                <w:sz w:val="24"/>
              </w:rPr>
              <w:t>372</w:t>
            </w:r>
          </w:p>
        </w:tc>
      </w:tr>
      <w:tr>
        <w:trPr>
          <w:trHeight w:val="551" w:hRule="atLeast"/>
        </w:trPr>
        <w:tc>
          <w:tcPr>
            <w:tcW w:w="2908" w:type="dxa"/>
            <w:tcBorders>
              <w:top w:val="single" w:sz="4" w:space="0" w:color="000000"/>
              <w:left w:val="single" w:sz="4" w:space="0" w:color="000000"/>
              <w:bottom w:val="single" w:sz="4" w:space="0" w:color="000000"/>
            </w:tcBorders>
          </w:tcPr>
          <w:p>
            <w:pPr>
              <w:pStyle w:val="TableParagraph"/>
              <w:rPr>
                <w:rFonts w:ascii="Times New Roman"/>
                <w:sz w:val="22"/>
              </w:rPr>
            </w:pPr>
          </w:p>
        </w:tc>
        <w:tc>
          <w:tcPr>
            <w:tcW w:w="1950" w:type="dxa"/>
            <w:tcBorders>
              <w:top w:val="single" w:sz="4" w:space="0" w:color="000000"/>
              <w:bottom w:val="single" w:sz="4" w:space="0" w:color="000000"/>
            </w:tcBorders>
          </w:tcPr>
          <w:p>
            <w:pPr>
              <w:pStyle w:val="TableParagraph"/>
              <w:rPr>
                <w:rFonts w:ascii="Times New Roman"/>
                <w:sz w:val="22"/>
              </w:rPr>
            </w:pPr>
          </w:p>
        </w:tc>
        <w:tc>
          <w:tcPr>
            <w:tcW w:w="1394" w:type="dxa"/>
            <w:tcBorders>
              <w:top w:val="single" w:sz="4" w:space="0" w:color="000000"/>
              <w:bottom w:val="single" w:sz="4" w:space="0" w:color="000000"/>
            </w:tcBorders>
          </w:tcPr>
          <w:p>
            <w:pPr>
              <w:pStyle w:val="TableParagraph"/>
              <w:spacing w:line="271" w:lineRule="exact"/>
              <w:ind w:left="42"/>
              <w:rPr>
                <w:sz w:val="24"/>
              </w:rPr>
            </w:pPr>
            <w:r>
              <w:rPr>
                <w:sz w:val="24"/>
              </w:rPr>
              <w:t>Sub</w:t>
            </w:r>
            <w:r>
              <w:rPr>
                <w:spacing w:val="-9"/>
                <w:sz w:val="24"/>
              </w:rPr>
              <w:t> </w:t>
            </w:r>
            <w:r>
              <w:rPr>
                <w:spacing w:val="-2"/>
                <w:sz w:val="24"/>
              </w:rPr>
              <w:t>Total</w:t>
            </w:r>
          </w:p>
        </w:tc>
        <w:tc>
          <w:tcPr>
            <w:tcW w:w="2570" w:type="dxa"/>
            <w:tcBorders>
              <w:top w:val="single" w:sz="4" w:space="0" w:color="000000"/>
              <w:bottom w:val="single" w:sz="4" w:space="0" w:color="000000"/>
              <w:right w:val="single" w:sz="4" w:space="0" w:color="000000"/>
            </w:tcBorders>
          </w:tcPr>
          <w:p>
            <w:pPr>
              <w:pStyle w:val="TableParagraph"/>
              <w:spacing w:line="271" w:lineRule="exact"/>
              <w:ind w:left="337"/>
              <w:rPr>
                <w:sz w:val="24"/>
              </w:rPr>
            </w:pPr>
            <w:r>
              <w:rPr>
                <w:spacing w:val="-4"/>
                <w:sz w:val="24"/>
              </w:rPr>
              <w:t>1400</w:t>
            </w:r>
          </w:p>
        </w:tc>
      </w:tr>
    </w:tbl>
    <w:p>
      <w:pPr>
        <w:pStyle w:val="ListParagraph"/>
        <w:numPr>
          <w:ilvl w:val="4"/>
          <w:numId w:val="19"/>
        </w:numPr>
        <w:tabs>
          <w:tab w:pos="879" w:val="left" w:leader="none"/>
        </w:tabs>
        <w:spacing w:line="240" w:lineRule="auto" w:before="272" w:after="7"/>
        <w:ind w:left="879" w:right="0" w:hanging="719"/>
        <w:jc w:val="left"/>
        <w:rPr>
          <w:sz w:val="24"/>
        </w:rPr>
      </w:pPr>
      <w:r>
        <w:rPr>
          <w:spacing w:val="-2"/>
          <w:sz w:val="24"/>
        </w:rPr>
        <w:t>ABUTH</w:t>
      </w:r>
    </w:p>
    <w:tbl>
      <w:tblPr>
        <w:tblW w:w="0" w:type="auto"/>
        <w:jc w:val="left"/>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724"/>
        <w:gridCol w:w="2262"/>
        <w:gridCol w:w="3837"/>
      </w:tblGrid>
      <w:tr>
        <w:trPr>
          <w:trHeight w:val="551" w:hRule="atLeast"/>
        </w:trPr>
        <w:tc>
          <w:tcPr>
            <w:tcW w:w="2724" w:type="dxa"/>
            <w:tcBorders>
              <w:right w:val="nil"/>
            </w:tcBorders>
          </w:tcPr>
          <w:p>
            <w:pPr>
              <w:pStyle w:val="TableParagraph"/>
              <w:tabs>
                <w:tab w:pos="1526" w:val="left" w:leader="none"/>
              </w:tabs>
              <w:spacing w:line="271" w:lineRule="exact"/>
              <w:ind w:right="284"/>
              <w:jc w:val="center"/>
              <w:rPr>
                <w:sz w:val="24"/>
              </w:rPr>
            </w:pPr>
            <w:r>
              <w:rPr>
                <w:spacing w:val="-4"/>
                <w:sz w:val="24"/>
              </w:rPr>
              <w:t>S/NO</w:t>
            </w:r>
            <w:r>
              <w:rPr>
                <w:sz w:val="24"/>
              </w:rPr>
              <w:tab/>
            </w:r>
            <w:r>
              <w:rPr>
                <w:spacing w:val="-4"/>
                <w:sz w:val="24"/>
              </w:rPr>
              <w:t>HALL</w:t>
            </w:r>
          </w:p>
        </w:tc>
        <w:tc>
          <w:tcPr>
            <w:tcW w:w="2262" w:type="dxa"/>
            <w:tcBorders>
              <w:left w:val="nil"/>
              <w:right w:val="nil"/>
            </w:tcBorders>
          </w:tcPr>
          <w:p>
            <w:pPr>
              <w:pStyle w:val="TableParagraph"/>
              <w:spacing w:line="274" w:lineRule="exact"/>
              <w:ind w:left="448" w:firstLine="504"/>
              <w:rPr>
                <w:sz w:val="24"/>
              </w:rPr>
            </w:pPr>
            <w:r>
              <w:rPr>
                <w:spacing w:val="-4"/>
                <w:sz w:val="24"/>
              </w:rPr>
              <w:t>YEAR </w:t>
            </w:r>
            <w:r>
              <w:rPr>
                <w:spacing w:val="-2"/>
                <w:sz w:val="24"/>
              </w:rPr>
              <w:t>ESTABLISHED</w:t>
            </w:r>
          </w:p>
        </w:tc>
        <w:tc>
          <w:tcPr>
            <w:tcW w:w="3837" w:type="dxa"/>
            <w:tcBorders>
              <w:left w:val="nil"/>
            </w:tcBorders>
          </w:tcPr>
          <w:p>
            <w:pPr>
              <w:pStyle w:val="TableParagraph"/>
              <w:spacing w:line="274" w:lineRule="exact"/>
              <w:ind w:left="740" w:right="207" w:hanging="572"/>
              <w:rPr>
                <w:sz w:val="24"/>
              </w:rPr>
            </w:pPr>
            <w:r>
              <w:rPr>
                <w:sz w:val="24"/>
              </w:rPr>
              <w:t>STUDENTS</w:t>
            </w:r>
            <w:r>
              <w:rPr>
                <w:spacing w:val="-17"/>
                <w:sz w:val="24"/>
              </w:rPr>
              <w:t> </w:t>
            </w:r>
            <w:r>
              <w:rPr>
                <w:sz w:val="24"/>
              </w:rPr>
              <w:t>ACCOMMODATED IN 1986/87 SESSION</w:t>
            </w:r>
          </w:p>
        </w:tc>
      </w:tr>
      <w:tr>
        <w:trPr>
          <w:trHeight w:val="551" w:hRule="atLeast"/>
        </w:trPr>
        <w:tc>
          <w:tcPr>
            <w:tcW w:w="2724" w:type="dxa"/>
            <w:tcBorders>
              <w:right w:val="nil"/>
            </w:tcBorders>
          </w:tcPr>
          <w:p>
            <w:pPr>
              <w:pStyle w:val="TableParagraph"/>
              <w:tabs>
                <w:tab w:pos="1007" w:val="left" w:leader="none"/>
              </w:tabs>
              <w:spacing w:line="271" w:lineRule="exact"/>
              <w:ind w:left="345"/>
              <w:rPr>
                <w:sz w:val="24"/>
              </w:rPr>
            </w:pPr>
            <w:r>
              <w:rPr>
                <w:spacing w:val="-5"/>
                <w:sz w:val="24"/>
              </w:rPr>
              <w:t>1.</w:t>
            </w:r>
            <w:r>
              <w:rPr>
                <w:sz w:val="24"/>
              </w:rPr>
              <w:tab/>
              <w:t>Barau</w:t>
            </w:r>
            <w:r>
              <w:rPr>
                <w:spacing w:val="-5"/>
                <w:sz w:val="24"/>
              </w:rPr>
              <w:t> </w:t>
            </w:r>
            <w:r>
              <w:rPr>
                <w:spacing w:val="-4"/>
                <w:sz w:val="24"/>
              </w:rPr>
              <w:t>Diko</w:t>
            </w:r>
          </w:p>
        </w:tc>
        <w:tc>
          <w:tcPr>
            <w:tcW w:w="2262" w:type="dxa"/>
            <w:tcBorders>
              <w:left w:val="nil"/>
              <w:right w:val="nil"/>
            </w:tcBorders>
          </w:tcPr>
          <w:p>
            <w:pPr>
              <w:pStyle w:val="TableParagraph"/>
              <w:spacing w:line="271" w:lineRule="exact"/>
              <w:ind w:left="1015"/>
              <w:rPr>
                <w:sz w:val="24"/>
              </w:rPr>
            </w:pPr>
            <w:r>
              <w:rPr>
                <w:spacing w:val="-4"/>
                <w:sz w:val="24"/>
              </w:rPr>
              <w:t>1972</w:t>
            </w:r>
          </w:p>
        </w:tc>
        <w:tc>
          <w:tcPr>
            <w:tcW w:w="3837" w:type="dxa"/>
            <w:tcBorders>
              <w:left w:val="nil"/>
            </w:tcBorders>
          </w:tcPr>
          <w:p>
            <w:pPr>
              <w:pStyle w:val="TableParagraph"/>
              <w:spacing w:line="271" w:lineRule="exact"/>
              <w:ind w:right="27"/>
              <w:jc w:val="center"/>
              <w:rPr>
                <w:sz w:val="24"/>
              </w:rPr>
            </w:pPr>
            <w:r>
              <w:rPr>
                <w:spacing w:val="-5"/>
                <w:sz w:val="24"/>
              </w:rPr>
              <w:t>213</w:t>
            </w:r>
          </w:p>
        </w:tc>
      </w:tr>
    </w:tbl>
    <w:p>
      <w:pPr>
        <w:pStyle w:val="BodyText"/>
        <w:spacing w:line="480" w:lineRule="auto"/>
        <w:ind w:left="880" w:right="1854" w:firstLine="4857"/>
        <w:jc w:val="both"/>
      </w:pPr>
      <w:r>
        <w:rPr/>
        <w:t>Grand</w:t>
      </w:r>
      <w:r>
        <w:rPr>
          <w:spacing w:val="-8"/>
        </w:rPr>
        <w:t> </w:t>
      </w:r>
      <w:r>
        <w:rPr/>
        <w:t>Total</w:t>
      </w:r>
      <w:r>
        <w:rPr>
          <w:spacing w:val="40"/>
        </w:rPr>
        <w:t> </w:t>
      </w:r>
      <w:r>
        <w:rPr/>
        <w:t>7453 Data Source: J.M. Baba [1962-1987 (P.229-231)].</w:t>
      </w:r>
    </w:p>
    <w:p>
      <w:pPr>
        <w:pStyle w:val="BodyText"/>
        <w:spacing w:line="480" w:lineRule="auto"/>
        <w:ind w:left="880" w:right="296" w:firstLine="720"/>
        <w:jc w:val="both"/>
      </w:pPr>
      <w:r>
        <w:rPr/>
        <w:t>With the subsequent expansion of the halls either by building more blocks or conversion of other existing structures capable of becoming bedrooms like the Cafeterias and Kitchenet in Usmanu Dan Fodiyo and Umar Suleiman and by introduction</w:t>
      </w:r>
      <w:r>
        <w:rPr>
          <w:spacing w:val="-1"/>
        </w:rPr>
        <w:t> </w:t>
      </w:r>
      <w:r>
        <w:rPr/>
        <w:t>of</w:t>
      </w:r>
      <w:r>
        <w:rPr>
          <w:spacing w:val="-2"/>
        </w:rPr>
        <w:t> </w:t>
      </w:r>
      <w:r>
        <w:rPr/>
        <w:t>double</w:t>
      </w:r>
      <w:r>
        <w:rPr>
          <w:spacing w:val="-1"/>
        </w:rPr>
        <w:t> </w:t>
      </w:r>
      <w:r>
        <w:rPr/>
        <w:t>bunks</w:t>
      </w:r>
      <w:r>
        <w:rPr>
          <w:spacing w:val="-2"/>
        </w:rPr>
        <w:t> </w:t>
      </w:r>
      <w:r>
        <w:rPr/>
        <w:t>into</w:t>
      </w:r>
      <w:r>
        <w:rPr>
          <w:spacing w:val="-1"/>
        </w:rPr>
        <w:t> </w:t>
      </w:r>
      <w:r>
        <w:rPr/>
        <w:t>the</w:t>
      </w:r>
      <w:r>
        <w:rPr>
          <w:spacing w:val="-1"/>
        </w:rPr>
        <w:t> </w:t>
      </w:r>
      <w:r>
        <w:rPr/>
        <w:t>rooms</w:t>
      </w:r>
      <w:r>
        <w:rPr>
          <w:spacing w:val="-2"/>
        </w:rPr>
        <w:t> </w:t>
      </w:r>
      <w:r>
        <w:rPr/>
        <w:t>to increase</w:t>
      </w:r>
      <w:r>
        <w:rPr>
          <w:spacing w:val="-1"/>
        </w:rPr>
        <w:t> </w:t>
      </w:r>
      <w:r>
        <w:rPr/>
        <w:t>the</w:t>
      </w:r>
      <w:r>
        <w:rPr>
          <w:spacing w:val="-1"/>
        </w:rPr>
        <w:t> </w:t>
      </w:r>
      <w:r>
        <w:rPr/>
        <w:t>number of</w:t>
      </w:r>
      <w:r>
        <w:rPr>
          <w:spacing w:val="-2"/>
        </w:rPr>
        <w:t> </w:t>
      </w:r>
      <w:r>
        <w:rPr/>
        <w:t>occupants, the accommodation figures in these halls have risen by one third as can be seen in Table 2</w:t>
      </w:r>
    </w:p>
    <w:p>
      <w:pPr>
        <w:spacing w:after="0" w:line="480" w:lineRule="auto"/>
        <w:jc w:val="both"/>
        <w:sectPr>
          <w:headerReference w:type="default" r:id="rId126"/>
          <w:footerReference w:type="default" r:id="rId127"/>
          <w:pgSz w:w="12240" w:h="15840"/>
          <w:pgMar w:header="722" w:footer="791" w:top="1060" w:bottom="980" w:left="1280" w:right="1140"/>
        </w:sectPr>
      </w:pPr>
    </w:p>
    <w:p>
      <w:pPr>
        <w:pStyle w:val="BodyText"/>
        <w:spacing w:before="72"/>
        <w:ind w:right="177"/>
        <w:jc w:val="center"/>
        <w:rPr>
          <w:rFonts w:ascii="Times New Roman"/>
        </w:rPr>
      </w:pPr>
      <w:r>
        <w:rPr>
          <w:rFonts w:ascii="Times New Roman"/>
          <w:spacing w:val="-5"/>
        </w:rPr>
        <w:t>73</w:t>
      </w:r>
    </w:p>
    <w:p>
      <w:pPr>
        <w:pStyle w:val="Heading2"/>
        <w:spacing w:before="155"/>
        <w:ind w:left="660"/>
      </w:pPr>
      <w:r>
        <w:rPr/>
        <w:t>TABLE</w:t>
      </w:r>
      <w:r>
        <w:rPr>
          <w:spacing w:val="-7"/>
        </w:rPr>
        <w:t> </w:t>
      </w:r>
      <w:r>
        <w:rPr/>
        <w:t>2.2</w:t>
      </w:r>
      <w:r>
        <w:rPr>
          <w:spacing w:val="-37"/>
        </w:rPr>
        <w:t> </w:t>
      </w:r>
      <w:r>
        <w:rPr/>
        <w:t>Number</w:t>
      </w:r>
      <w:r>
        <w:rPr>
          <w:spacing w:val="-7"/>
        </w:rPr>
        <w:t> </w:t>
      </w:r>
      <w:r>
        <w:rPr/>
        <w:t>of</w:t>
      </w:r>
      <w:r>
        <w:rPr>
          <w:spacing w:val="-10"/>
        </w:rPr>
        <w:t> </w:t>
      </w:r>
      <w:r>
        <w:rPr/>
        <w:t>Bedspaces</w:t>
      </w:r>
      <w:r>
        <w:rPr>
          <w:spacing w:val="-10"/>
        </w:rPr>
        <w:t> </w:t>
      </w:r>
      <w:r>
        <w:rPr/>
        <w:t>and</w:t>
      </w:r>
      <w:r>
        <w:rPr>
          <w:spacing w:val="-10"/>
        </w:rPr>
        <w:t> </w:t>
      </w:r>
      <w:r>
        <w:rPr/>
        <w:t>students</w:t>
      </w:r>
      <w:r>
        <w:rPr>
          <w:spacing w:val="-6"/>
        </w:rPr>
        <w:t> </w:t>
      </w:r>
      <w:r>
        <w:rPr/>
        <w:t>accommodated</w:t>
      </w:r>
      <w:r>
        <w:rPr>
          <w:spacing w:val="-6"/>
        </w:rPr>
        <w:t> </w:t>
      </w:r>
      <w:r>
        <w:rPr/>
        <w:t>by</w:t>
      </w:r>
      <w:r>
        <w:rPr>
          <w:spacing w:val="-14"/>
        </w:rPr>
        <w:t> </w:t>
      </w:r>
      <w:r>
        <w:rPr/>
        <w:t>Halls</w:t>
      </w:r>
      <w:r>
        <w:rPr>
          <w:spacing w:val="-10"/>
        </w:rPr>
        <w:t> </w:t>
      </w:r>
      <w:r>
        <w:rPr/>
        <w:t>and</w:t>
      </w:r>
      <w:r>
        <w:rPr>
          <w:spacing w:val="-10"/>
        </w:rPr>
        <w:t> </w:t>
      </w:r>
      <w:r>
        <w:rPr>
          <w:spacing w:val="-2"/>
        </w:rPr>
        <w:t>session</w:t>
      </w:r>
    </w:p>
    <w:p>
      <w:pPr>
        <w:pStyle w:val="BodyText"/>
        <w:spacing w:before="100"/>
        <w:rPr>
          <w:rFonts w:ascii="Arial"/>
          <w:b/>
          <w:sz w:val="20"/>
        </w:rPr>
      </w:pPr>
    </w:p>
    <w:tbl>
      <w:tblPr>
        <w:tblW w:w="0" w:type="auto"/>
        <w:jc w:val="left"/>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660"/>
        <w:gridCol w:w="1666"/>
        <w:gridCol w:w="898"/>
        <w:gridCol w:w="900"/>
        <w:gridCol w:w="900"/>
        <w:gridCol w:w="900"/>
        <w:gridCol w:w="900"/>
        <w:gridCol w:w="895"/>
        <w:gridCol w:w="1085"/>
        <w:gridCol w:w="1080"/>
        <w:gridCol w:w="1126"/>
        <w:gridCol w:w="1214"/>
      </w:tblGrid>
      <w:tr>
        <w:trPr>
          <w:trHeight w:val="337" w:hRule="atLeast"/>
        </w:trPr>
        <w:tc>
          <w:tcPr>
            <w:tcW w:w="14224" w:type="dxa"/>
            <w:gridSpan w:val="12"/>
            <w:tcBorders>
              <w:top w:val="single" w:sz="4" w:space="0" w:color="000000"/>
              <w:left w:val="single" w:sz="4" w:space="0" w:color="000000"/>
              <w:right w:val="single" w:sz="4" w:space="0" w:color="000000"/>
            </w:tcBorders>
          </w:tcPr>
          <w:p>
            <w:pPr>
              <w:pStyle w:val="TableParagraph"/>
              <w:tabs>
                <w:tab w:pos="8807" w:val="left" w:leader="none"/>
              </w:tabs>
              <w:spacing w:line="318" w:lineRule="exact"/>
              <w:ind w:left="110"/>
              <w:rPr>
                <w:sz w:val="18"/>
              </w:rPr>
            </w:pPr>
            <w:r>
              <w:rPr>
                <w:spacing w:val="-4"/>
                <w:position w:val="13"/>
                <w:sz w:val="18"/>
              </w:rPr>
              <w:t>S/NO</w:t>
            </w:r>
            <w:r>
              <w:rPr>
                <w:position w:val="13"/>
                <w:sz w:val="18"/>
              </w:rPr>
              <w:tab/>
            </w:r>
            <w:r>
              <w:rPr>
                <w:spacing w:val="-2"/>
                <w:sz w:val="18"/>
              </w:rPr>
              <w:t>SESSIONS</w:t>
            </w:r>
          </w:p>
        </w:tc>
      </w:tr>
      <w:tr>
        <w:trPr>
          <w:trHeight w:val="798" w:hRule="atLeast"/>
        </w:trPr>
        <w:tc>
          <w:tcPr>
            <w:tcW w:w="2660" w:type="dxa"/>
            <w:tcBorders>
              <w:top w:val="single" w:sz="6" w:space="0" w:color="000000"/>
              <w:left w:val="single" w:sz="4" w:space="0" w:color="000000"/>
              <w:bottom w:val="single" w:sz="4" w:space="0" w:color="000000"/>
            </w:tcBorders>
          </w:tcPr>
          <w:p>
            <w:pPr>
              <w:pStyle w:val="TableParagraph"/>
              <w:spacing w:line="199" w:lineRule="exact"/>
              <w:ind w:left="806" w:right="8"/>
              <w:jc w:val="center"/>
              <w:rPr>
                <w:sz w:val="18"/>
              </w:rPr>
            </w:pPr>
            <w:r>
              <w:rPr>
                <w:spacing w:val="-2"/>
                <w:sz w:val="18"/>
              </w:rPr>
              <w:t>HALLS</w:t>
            </w:r>
          </w:p>
          <w:p>
            <w:pPr>
              <w:pStyle w:val="TableParagraph"/>
              <w:spacing w:before="8"/>
              <w:rPr>
                <w:rFonts w:ascii="Arial"/>
                <w:b/>
                <w:sz w:val="18"/>
              </w:rPr>
            </w:pPr>
          </w:p>
          <w:p>
            <w:pPr>
              <w:pStyle w:val="TableParagraph"/>
              <w:ind w:left="806" w:right="5"/>
              <w:jc w:val="center"/>
              <w:rPr>
                <w:sz w:val="18"/>
              </w:rPr>
            </w:pPr>
            <w:r>
              <w:rPr>
                <w:sz w:val="18"/>
              </w:rPr>
              <w:t>Main</w:t>
            </w:r>
            <w:r>
              <w:rPr>
                <w:spacing w:val="1"/>
                <w:sz w:val="18"/>
              </w:rPr>
              <w:t> </w:t>
            </w:r>
            <w:r>
              <w:rPr>
                <w:spacing w:val="-2"/>
                <w:sz w:val="18"/>
              </w:rPr>
              <w:t>Campus</w:t>
            </w:r>
          </w:p>
        </w:tc>
        <w:tc>
          <w:tcPr>
            <w:tcW w:w="1666" w:type="dxa"/>
            <w:tcBorders>
              <w:top w:val="single" w:sz="6" w:space="0" w:color="000000"/>
              <w:bottom w:val="single" w:sz="4" w:space="0" w:color="000000"/>
            </w:tcBorders>
          </w:tcPr>
          <w:p>
            <w:pPr>
              <w:pStyle w:val="TableParagraph"/>
              <w:spacing w:before="159"/>
              <w:rPr>
                <w:rFonts w:ascii="Arial"/>
                <w:b/>
                <w:sz w:val="18"/>
              </w:rPr>
            </w:pPr>
          </w:p>
          <w:p>
            <w:pPr>
              <w:pStyle w:val="TableParagraph"/>
              <w:spacing w:line="206" w:lineRule="exact"/>
              <w:ind w:left="152"/>
              <w:rPr>
                <w:sz w:val="18"/>
              </w:rPr>
            </w:pPr>
            <w:r>
              <w:rPr>
                <w:spacing w:val="-4"/>
                <w:sz w:val="18"/>
              </w:rPr>
              <w:t>YEAR </w:t>
            </w:r>
            <w:r>
              <w:rPr>
                <w:spacing w:val="-2"/>
                <w:sz w:val="18"/>
              </w:rPr>
              <w:t>ESTABLISHED</w:t>
            </w:r>
          </w:p>
        </w:tc>
        <w:tc>
          <w:tcPr>
            <w:tcW w:w="898" w:type="dxa"/>
            <w:tcBorders>
              <w:top w:val="single" w:sz="4" w:space="0" w:color="000000"/>
              <w:bottom w:val="single" w:sz="4" w:space="0" w:color="000000"/>
            </w:tcBorders>
          </w:tcPr>
          <w:p>
            <w:pPr>
              <w:pStyle w:val="TableParagraph"/>
              <w:rPr>
                <w:rFonts w:ascii="Arial"/>
                <w:b/>
                <w:sz w:val="18"/>
              </w:rPr>
            </w:pPr>
          </w:p>
          <w:p>
            <w:pPr>
              <w:pStyle w:val="TableParagraph"/>
              <w:spacing w:before="172"/>
              <w:rPr>
                <w:rFonts w:ascii="Arial"/>
                <w:b/>
                <w:sz w:val="18"/>
              </w:rPr>
            </w:pPr>
          </w:p>
          <w:p>
            <w:pPr>
              <w:pStyle w:val="TableParagraph"/>
              <w:spacing w:line="192" w:lineRule="exact" w:before="1"/>
              <w:ind w:left="8" w:right="1"/>
              <w:jc w:val="center"/>
              <w:rPr>
                <w:sz w:val="18"/>
              </w:rPr>
            </w:pPr>
            <w:r>
              <w:rPr>
                <w:spacing w:val="-2"/>
                <w:sz w:val="18"/>
              </w:rPr>
              <w:t>1993/94</w:t>
            </w:r>
          </w:p>
        </w:tc>
        <w:tc>
          <w:tcPr>
            <w:tcW w:w="900" w:type="dxa"/>
            <w:tcBorders>
              <w:top w:val="single" w:sz="4" w:space="0" w:color="000000"/>
              <w:bottom w:val="single" w:sz="4" w:space="0" w:color="000000"/>
            </w:tcBorders>
          </w:tcPr>
          <w:p>
            <w:pPr>
              <w:pStyle w:val="TableParagraph"/>
              <w:rPr>
                <w:rFonts w:ascii="Arial"/>
                <w:b/>
                <w:sz w:val="18"/>
              </w:rPr>
            </w:pPr>
          </w:p>
          <w:p>
            <w:pPr>
              <w:pStyle w:val="TableParagraph"/>
              <w:spacing w:before="172"/>
              <w:rPr>
                <w:rFonts w:ascii="Arial"/>
                <w:b/>
                <w:sz w:val="18"/>
              </w:rPr>
            </w:pPr>
          </w:p>
          <w:p>
            <w:pPr>
              <w:pStyle w:val="TableParagraph"/>
              <w:spacing w:line="192" w:lineRule="exact" w:before="1"/>
              <w:ind w:left="9" w:right="4"/>
              <w:jc w:val="center"/>
              <w:rPr>
                <w:sz w:val="18"/>
              </w:rPr>
            </w:pPr>
            <w:r>
              <w:rPr>
                <w:spacing w:val="-2"/>
                <w:sz w:val="18"/>
              </w:rPr>
              <w:t>1994/95</w:t>
            </w:r>
          </w:p>
        </w:tc>
        <w:tc>
          <w:tcPr>
            <w:tcW w:w="900" w:type="dxa"/>
            <w:tcBorders>
              <w:top w:val="single" w:sz="4" w:space="0" w:color="000000"/>
              <w:bottom w:val="single" w:sz="4" w:space="0" w:color="000000"/>
            </w:tcBorders>
          </w:tcPr>
          <w:p>
            <w:pPr>
              <w:pStyle w:val="TableParagraph"/>
              <w:rPr>
                <w:rFonts w:ascii="Arial"/>
                <w:b/>
                <w:sz w:val="18"/>
              </w:rPr>
            </w:pPr>
          </w:p>
          <w:p>
            <w:pPr>
              <w:pStyle w:val="TableParagraph"/>
              <w:spacing w:before="172"/>
              <w:rPr>
                <w:rFonts w:ascii="Arial"/>
                <w:b/>
                <w:sz w:val="18"/>
              </w:rPr>
            </w:pPr>
          </w:p>
          <w:p>
            <w:pPr>
              <w:pStyle w:val="TableParagraph"/>
              <w:spacing w:line="192" w:lineRule="exact" w:before="1"/>
              <w:ind w:left="11" w:right="2"/>
              <w:jc w:val="center"/>
              <w:rPr>
                <w:sz w:val="18"/>
              </w:rPr>
            </w:pPr>
            <w:r>
              <w:rPr>
                <w:spacing w:val="-2"/>
                <w:sz w:val="18"/>
              </w:rPr>
              <w:t>1995/96</w:t>
            </w:r>
          </w:p>
        </w:tc>
        <w:tc>
          <w:tcPr>
            <w:tcW w:w="900" w:type="dxa"/>
            <w:tcBorders>
              <w:top w:val="single" w:sz="4" w:space="0" w:color="000000"/>
              <w:bottom w:val="single" w:sz="4" w:space="0" w:color="000000"/>
            </w:tcBorders>
          </w:tcPr>
          <w:p>
            <w:pPr>
              <w:pStyle w:val="TableParagraph"/>
              <w:rPr>
                <w:rFonts w:ascii="Arial"/>
                <w:b/>
                <w:sz w:val="18"/>
              </w:rPr>
            </w:pPr>
          </w:p>
          <w:p>
            <w:pPr>
              <w:pStyle w:val="TableParagraph"/>
              <w:spacing w:before="172"/>
              <w:rPr>
                <w:rFonts w:ascii="Arial"/>
                <w:b/>
                <w:sz w:val="18"/>
              </w:rPr>
            </w:pPr>
          </w:p>
          <w:p>
            <w:pPr>
              <w:pStyle w:val="TableParagraph"/>
              <w:spacing w:line="192" w:lineRule="exact" w:before="1"/>
              <w:ind w:left="9" w:right="4"/>
              <w:jc w:val="center"/>
              <w:rPr>
                <w:sz w:val="18"/>
              </w:rPr>
            </w:pPr>
            <w:r>
              <w:rPr>
                <w:spacing w:val="-2"/>
                <w:sz w:val="18"/>
              </w:rPr>
              <w:t>1996/97</w:t>
            </w:r>
          </w:p>
        </w:tc>
        <w:tc>
          <w:tcPr>
            <w:tcW w:w="900" w:type="dxa"/>
            <w:tcBorders>
              <w:top w:val="single" w:sz="4" w:space="0" w:color="000000"/>
              <w:bottom w:val="single" w:sz="4" w:space="0" w:color="000000"/>
            </w:tcBorders>
          </w:tcPr>
          <w:p>
            <w:pPr>
              <w:pStyle w:val="TableParagraph"/>
              <w:rPr>
                <w:rFonts w:ascii="Arial"/>
                <w:b/>
                <w:sz w:val="18"/>
              </w:rPr>
            </w:pPr>
          </w:p>
          <w:p>
            <w:pPr>
              <w:pStyle w:val="TableParagraph"/>
              <w:spacing w:before="172"/>
              <w:rPr>
                <w:rFonts w:ascii="Arial"/>
                <w:b/>
                <w:sz w:val="18"/>
              </w:rPr>
            </w:pPr>
          </w:p>
          <w:p>
            <w:pPr>
              <w:pStyle w:val="TableParagraph"/>
              <w:spacing w:line="192" w:lineRule="exact" w:before="1"/>
              <w:ind w:left="11" w:right="2"/>
              <w:jc w:val="center"/>
              <w:rPr>
                <w:sz w:val="18"/>
              </w:rPr>
            </w:pPr>
            <w:r>
              <w:rPr>
                <w:spacing w:val="-2"/>
                <w:sz w:val="18"/>
              </w:rPr>
              <w:t>1997/98</w:t>
            </w:r>
          </w:p>
        </w:tc>
        <w:tc>
          <w:tcPr>
            <w:tcW w:w="895" w:type="dxa"/>
            <w:tcBorders>
              <w:top w:val="single" w:sz="4" w:space="0" w:color="000000"/>
              <w:bottom w:val="single" w:sz="4" w:space="0" w:color="000000"/>
            </w:tcBorders>
          </w:tcPr>
          <w:p>
            <w:pPr>
              <w:pStyle w:val="TableParagraph"/>
              <w:rPr>
                <w:rFonts w:ascii="Arial"/>
                <w:b/>
                <w:sz w:val="18"/>
              </w:rPr>
            </w:pPr>
          </w:p>
          <w:p>
            <w:pPr>
              <w:pStyle w:val="TableParagraph"/>
              <w:spacing w:before="172"/>
              <w:rPr>
                <w:rFonts w:ascii="Arial"/>
                <w:b/>
                <w:sz w:val="18"/>
              </w:rPr>
            </w:pPr>
          </w:p>
          <w:p>
            <w:pPr>
              <w:pStyle w:val="TableParagraph"/>
              <w:spacing w:line="192" w:lineRule="exact" w:before="1"/>
              <w:ind w:left="10"/>
              <w:jc w:val="center"/>
              <w:rPr>
                <w:sz w:val="18"/>
              </w:rPr>
            </w:pPr>
            <w:r>
              <w:rPr>
                <w:spacing w:val="-2"/>
                <w:sz w:val="18"/>
              </w:rPr>
              <w:t>1998/99</w:t>
            </w:r>
          </w:p>
        </w:tc>
        <w:tc>
          <w:tcPr>
            <w:tcW w:w="1085" w:type="dxa"/>
            <w:tcBorders>
              <w:top w:val="single" w:sz="4" w:space="0" w:color="000000"/>
              <w:bottom w:val="single" w:sz="4" w:space="0" w:color="000000"/>
            </w:tcBorders>
          </w:tcPr>
          <w:p>
            <w:pPr>
              <w:pStyle w:val="TableParagraph"/>
              <w:rPr>
                <w:rFonts w:ascii="Arial"/>
                <w:b/>
                <w:sz w:val="18"/>
              </w:rPr>
            </w:pPr>
          </w:p>
          <w:p>
            <w:pPr>
              <w:pStyle w:val="TableParagraph"/>
              <w:spacing w:before="172"/>
              <w:rPr>
                <w:rFonts w:ascii="Arial"/>
                <w:b/>
                <w:sz w:val="18"/>
              </w:rPr>
            </w:pPr>
          </w:p>
          <w:p>
            <w:pPr>
              <w:pStyle w:val="TableParagraph"/>
              <w:spacing w:line="192" w:lineRule="exact" w:before="1"/>
              <w:ind w:left="12"/>
              <w:jc w:val="center"/>
              <w:rPr>
                <w:sz w:val="18"/>
              </w:rPr>
            </w:pPr>
            <w:r>
              <w:rPr>
                <w:spacing w:val="-2"/>
                <w:sz w:val="18"/>
              </w:rPr>
              <w:t>1999/2000</w:t>
            </w:r>
          </w:p>
        </w:tc>
        <w:tc>
          <w:tcPr>
            <w:tcW w:w="1080" w:type="dxa"/>
            <w:tcBorders>
              <w:top w:val="single" w:sz="4" w:space="0" w:color="000000"/>
              <w:bottom w:val="single" w:sz="4" w:space="0" w:color="000000"/>
            </w:tcBorders>
          </w:tcPr>
          <w:p>
            <w:pPr>
              <w:pStyle w:val="TableParagraph"/>
              <w:rPr>
                <w:rFonts w:ascii="Arial"/>
                <w:b/>
                <w:sz w:val="18"/>
              </w:rPr>
            </w:pPr>
          </w:p>
          <w:p>
            <w:pPr>
              <w:pStyle w:val="TableParagraph"/>
              <w:spacing w:before="172"/>
              <w:rPr>
                <w:rFonts w:ascii="Arial"/>
                <w:b/>
                <w:sz w:val="18"/>
              </w:rPr>
            </w:pPr>
          </w:p>
          <w:p>
            <w:pPr>
              <w:pStyle w:val="TableParagraph"/>
              <w:spacing w:line="192" w:lineRule="exact" w:before="1"/>
              <w:ind w:left="12" w:right="5"/>
              <w:jc w:val="center"/>
              <w:rPr>
                <w:sz w:val="18"/>
              </w:rPr>
            </w:pPr>
            <w:r>
              <w:rPr>
                <w:spacing w:val="-2"/>
                <w:sz w:val="18"/>
              </w:rPr>
              <w:t>2000/2001</w:t>
            </w:r>
          </w:p>
        </w:tc>
        <w:tc>
          <w:tcPr>
            <w:tcW w:w="1126" w:type="dxa"/>
            <w:tcBorders>
              <w:top w:val="single" w:sz="4" w:space="0" w:color="000000"/>
              <w:bottom w:val="single" w:sz="4" w:space="0" w:color="000000"/>
            </w:tcBorders>
          </w:tcPr>
          <w:p>
            <w:pPr>
              <w:pStyle w:val="TableParagraph"/>
              <w:rPr>
                <w:rFonts w:ascii="Arial"/>
                <w:b/>
                <w:sz w:val="18"/>
              </w:rPr>
            </w:pPr>
          </w:p>
          <w:p>
            <w:pPr>
              <w:pStyle w:val="TableParagraph"/>
              <w:spacing w:before="172"/>
              <w:rPr>
                <w:rFonts w:ascii="Arial"/>
                <w:b/>
                <w:sz w:val="18"/>
              </w:rPr>
            </w:pPr>
          </w:p>
          <w:p>
            <w:pPr>
              <w:pStyle w:val="TableParagraph"/>
              <w:spacing w:line="192" w:lineRule="exact" w:before="1"/>
              <w:ind w:right="36"/>
              <w:jc w:val="center"/>
              <w:rPr>
                <w:sz w:val="18"/>
              </w:rPr>
            </w:pPr>
            <w:r>
              <w:rPr>
                <w:spacing w:val="-2"/>
                <w:sz w:val="18"/>
              </w:rPr>
              <w:t>2001/2002</w:t>
            </w:r>
          </w:p>
        </w:tc>
        <w:tc>
          <w:tcPr>
            <w:tcW w:w="1214" w:type="dxa"/>
            <w:tcBorders>
              <w:top w:val="single" w:sz="4" w:space="0" w:color="000000"/>
              <w:bottom w:val="single" w:sz="4" w:space="0" w:color="000000"/>
              <w:right w:val="single" w:sz="4" w:space="0" w:color="000000"/>
            </w:tcBorders>
          </w:tcPr>
          <w:p>
            <w:pPr>
              <w:pStyle w:val="TableParagraph"/>
              <w:rPr>
                <w:rFonts w:ascii="Arial"/>
                <w:b/>
                <w:sz w:val="18"/>
              </w:rPr>
            </w:pPr>
          </w:p>
          <w:p>
            <w:pPr>
              <w:pStyle w:val="TableParagraph"/>
              <w:spacing w:before="172"/>
              <w:rPr>
                <w:rFonts w:ascii="Arial"/>
                <w:b/>
                <w:sz w:val="18"/>
              </w:rPr>
            </w:pPr>
          </w:p>
          <w:p>
            <w:pPr>
              <w:pStyle w:val="TableParagraph"/>
              <w:spacing w:line="192" w:lineRule="exact" w:before="1"/>
              <w:ind w:right="28"/>
              <w:jc w:val="center"/>
              <w:rPr>
                <w:sz w:val="18"/>
              </w:rPr>
            </w:pPr>
            <w:r>
              <w:rPr>
                <w:spacing w:val="-2"/>
                <w:sz w:val="18"/>
              </w:rPr>
              <w:t>2002/2003</w:t>
            </w:r>
          </w:p>
        </w:tc>
      </w:tr>
      <w:tr>
        <w:trPr>
          <w:trHeight w:val="370" w:hRule="atLeast"/>
        </w:trPr>
        <w:tc>
          <w:tcPr>
            <w:tcW w:w="2660" w:type="dxa"/>
            <w:tcBorders>
              <w:top w:val="single" w:sz="4" w:space="0" w:color="000000"/>
              <w:left w:val="single" w:sz="4" w:space="0" w:color="000000"/>
            </w:tcBorders>
          </w:tcPr>
          <w:p>
            <w:pPr>
              <w:pStyle w:val="TableParagraph"/>
              <w:tabs>
                <w:tab w:pos="863" w:val="left" w:leader="none"/>
              </w:tabs>
              <w:spacing w:line="203" w:lineRule="exact" w:before="147"/>
              <w:ind w:left="302"/>
              <w:rPr>
                <w:sz w:val="18"/>
              </w:rPr>
            </w:pPr>
            <w:r>
              <w:rPr>
                <w:spacing w:val="-5"/>
                <w:sz w:val="18"/>
              </w:rPr>
              <w:t>1.</w:t>
            </w:r>
            <w:r>
              <w:rPr>
                <w:sz w:val="18"/>
              </w:rPr>
              <w:tab/>
            </w:r>
            <w:r>
              <w:rPr>
                <w:spacing w:val="-2"/>
                <w:sz w:val="18"/>
              </w:rPr>
              <w:t>Alexander</w:t>
            </w:r>
          </w:p>
        </w:tc>
        <w:tc>
          <w:tcPr>
            <w:tcW w:w="1666" w:type="dxa"/>
            <w:tcBorders>
              <w:top w:val="single" w:sz="4" w:space="0" w:color="000000"/>
            </w:tcBorders>
          </w:tcPr>
          <w:p>
            <w:pPr>
              <w:pStyle w:val="TableParagraph"/>
              <w:spacing w:line="203" w:lineRule="exact" w:before="147"/>
              <w:ind w:left="70" w:right="28"/>
              <w:jc w:val="center"/>
              <w:rPr>
                <w:sz w:val="18"/>
              </w:rPr>
            </w:pPr>
            <w:r>
              <w:rPr>
                <w:spacing w:val="-4"/>
                <w:sz w:val="18"/>
              </w:rPr>
              <w:t>1962</w:t>
            </w:r>
          </w:p>
        </w:tc>
        <w:tc>
          <w:tcPr>
            <w:tcW w:w="898" w:type="dxa"/>
            <w:tcBorders>
              <w:top w:val="single" w:sz="4" w:space="0" w:color="000000"/>
            </w:tcBorders>
          </w:tcPr>
          <w:p>
            <w:pPr>
              <w:pStyle w:val="TableParagraph"/>
              <w:spacing w:line="203" w:lineRule="exact" w:before="147"/>
              <w:ind w:left="7" w:right="8"/>
              <w:jc w:val="center"/>
              <w:rPr>
                <w:sz w:val="18"/>
              </w:rPr>
            </w:pPr>
            <w:r>
              <w:rPr>
                <w:spacing w:val="-5"/>
                <w:sz w:val="18"/>
              </w:rPr>
              <w:t>636</w:t>
            </w:r>
          </w:p>
        </w:tc>
        <w:tc>
          <w:tcPr>
            <w:tcW w:w="900" w:type="dxa"/>
            <w:tcBorders>
              <w:top w:val="single" w:sz="4" w:space="0" w:color="000000"/>
            </w:tcBorders>
          </w:tcPr>
          <w:p>
            <w:pPr>
              <w:pStyle w:val="TableParagraph"/>
              <w:spacing w:line="203" w:lineRule="exact" w:before="147"/>
              <w:ind w:left="9" w:right="7"/>
              <w:jc w:val="center"/>
              <w:rPr>
                <w:sz w:val="18"/>
              </w:rPr>
            </w:pPr>
            <w:r>
              <w:rPr>
                <w:spacing w:val="-10"/>
                <w:sz w:val="18"/>
              </w:rPr>
              <w:t>-</w:t>
            </w:r>
          </w:p>
        </w:tc>
        <w:tc>
          <w:tcPr>
            <w:tcW w:w="900" w:type="dxa"/>
            <w:tcBorders>
              <w:top w:val="single" w:sz="4" w:space="0" w:color="000000"/>
            </w:tcBorders>
          </w:tcPr>
          <w:p>
            <w:pPr>
              <w:pStyle w:val="TableParagraph"/>
              <w:spacing w:line="203" w:lineRule="exact" w:before="147"/>
              <w:ind w:left="9" w:right="9"/>
              <w:jc w:val="center"/>
              <w:rPr>
                <w:sz w:val="18"/>
              </w:rPr>
            </w:pPr>
            <w:r>
              <w:rPr>
                <w:spacing w:val="-5"/>
                <w:sz w:val="18"/>
              </w:rPr>
              <w:t>636</w:t>
            </w:r>
          </w:p>
        </w:tc>
        <w:tc>
          <w:tcPr>
            <w:tcW w:w="900" w:type="dxa"/>
            <w:tcBorders>
              <w:top w:val="single" w:sz="4" w:space="0" w:color="000000"/>
            </w:tcBorders>
          </w:tcPr>
          <w:p>
            <w:pPr>
              <w:pStyle w:val="TableParagraph"/>
              <w:spacing w:line="203" w:lineRule="exact" w:before="147"/>
              <w:ind w:left="9" w:right="11"/>
              <w:jc w:val="center"/>
              <w:rPr>
                <w:sz w:val="18"/>
              </w:rPr>
            </w:pPr>
            <w:r>
              <w:rPr>
                <w:spacing w:val="-5"/>
                <w:sz w:val="18"/>
              </w:rPr>
              <w:t>636</w:t>
            </w:r>
          </w:p>
        </w:tc>
        <w:tc>
          <w:tcPr>
            <w:tcW w:w="900" w:type="dxa"/>
            <w:tcBorders>
              <w:top w:val="single" w:sz="4" w:space="0" w:color="000000"/>
            </w:tcBorders>
          </w:tcPr>
          <w:p>
            <w:pPr>
              <w:pStyle w:val="TableParagraph"/>
              <w:rPr>
                <w:rFonts w:ascii="Times New Roman"/>
                <w:sz w:val="18"/>
              </w:rPr>
            </w:pPr>
          </w:p>
        </w:tc>
        <w:tc>
          <w:tcPr>
            <w:tcW w:w="895" w:type="dxa"/>
            <w:tcBorders>
              <w:top w:val="single" w:sz="4" w:space="0" w:color="000000"/>
            </w:tcBorders>
          </w:tcPr>
          <w:p>
            <w:pPr>
              <w:pStyle w:val="TableParagraph"/>
              <w:spacing w:line="203" w:lineRule="exact" w:before="147"/>
              <w:ind w:left="10" w:right="10"/>
              <w:jc w:val="center"/>
              <w:rPr>
                <w:sz w:val="18"/>
              </w:rPr>
            </w:pPr>
            <w:r>
              <w:rPr>
                <w:spacing w:val="-5"/>
                <w:sz w:val="18"/>
              </w:rPr>
              <w:t>786</w:t>
            </w:r>
          </w:p>
        </w:tc>
        <w:tc>
          <w:tcPr>
            <w:tcW w:w="1085" w:type="dxa"/>
            <w:tcBorders>
              <w:top w:val="single" w:sz="4" w:space="0" w:color="000000"/>
            </w:tcBorders>
          </w:tcPr>
          <w:p>
            <w:pPr>
              <w:pStyle w:val="TableParagraph"/>
              <w:spacing w:line="203" w:lineRule="exact" w:before="147"/>
              <w:ind w:left="12" w:right="5"/>
              <w:jc w:val="center"/>
              <w:rPr>
                <w:sz w:val="18"/>
              </w:rPr>
            </w:pPr>
            <w:r>
              <w:rPr>
                <w:spacing w:val="-5"/>
                <w:sz w:val="18"/>
              </w:rPr>
              <w:t>830</w:t>
            </w:r>
          </w:p>
        </w:tc>
        <w:tc>
          <w:tcPr>
            <w:tcW w:w="1080" w:type="dxa"/>
            <w:tcBorders>
              <w:top w:val="single" w:sz="4" w:space="0" w:color="000000"/>
            </w:tcBorders>
          </w:tcPr>
          <w:p>
            <w:pPr>
              <w:pStyle w:val="TableParagraph"/>
              <w:spacing w:line="203" w:lineRule="exact" w:before="147"/>
              <w:ind w:left="12" w:right="10"/>
              <w:jc w:val="center"/>
              <w:rPr>
                <w:sz w:val="18"/>
              </w:rPr>
            </w:pPr>
            <w:r>
              <w:rPr>
                <w:spacing w:val="-5"/>
                <w:sz w:val="18"/>
              </w:rPr>
              <w:t>842</w:t>
            </w:r>
          </w:p>
        </w:tc>
        <w:tc>
          <w:tcPr>
            <w:tcW w:w="1126" w:type="dxa"/>
            <w:tcBorders>
              <w:top w:val="single" w:sz="4" w:space="0" w:color="000000"/>
            </w:tcBorders>
          </w:tcPr>
          <w:p>
            <w:pPr>
              <w:pStyle w:val="TableParagraph"/>
              <w:rPr>
                <w:rFonts w:ascii="Times New Roman"/>
                <w:sz w:val="18"/>
              </w:rPr>
            </w:pPr>
          </w:p>
        </w:tc>
        <w:tc>
          <w:tcPr>
            <w:tcW w:w="1214" w:type="dxa"/>
            <w:tcBorders>
              <w:top w:val="single" w:sz="4" w:space="0" w:color="000000"/>
              <w:right w:val="single" w:sz="4" w:space="0" w:color="000000"/>
            </w:tcBorders>
          </w:tcPr>
          <w:p>
            <w:pPr>
              <w:pStyle w:val="TableParagraph"/>
              <w:rPr>
                <w:rFonts w:ascii="Times New Roman"/>
                <w:sz w:val="18"/>
              </w:rPr>
            </w:pPr>
          </w:p>
        </w:tc>
      </w:tr>
      <w:tr>
        <w:trPr>
          <w:trHeight w:val="220" w:hRule="atLeast"/>
        </w:trPr>
        <w:tc>
          <w:tcPr>
            <w:tcW w:w="2660" w:type="dxa"/>
            <w:tcBorders>
              <w:left w:val="single" w:sz="4" w:space="0" w:color="000000"/>
            </w:tcBorders>
          </w:tcPr>
          <w:p>
            <w:pPr>
              <w:pStyle w:val="TableParagraph"/>
              <w:tabs>
                <w:tab w:pos="863" w:val="left" w:leader="none"/>
              </w:tabs>
              <w:spacing w:line="189" w:lineRule="exact" w:before="12"/>
              <w:ind w:left="302"/>
              <w:rPr>
                <w:sz w:val="18"/>
              </w:rPr>
            </w:pPr>
            <w:r>
              <w:rPr>
                <w:spacing w:val="-5"/>
                <w:sz w:val="18"/>
              </w:rPr>
              <w:t>2.</w:t>
            </w:r>
            <w:r>
              <w:rPr>
                <w:sz w:val="18"/>
              </w:rPr>
              <w:tab/>
            </w:r>
            <w:r>
              <w:rPr>
                <w:spacing w:val="-2"/>
                <w:sz w:val="18"/>
              </w:rPr>
              <w:t>Ribadu</w:t>
            </w:r>
          </w:p>
        </w:tc>
        <w:tc>
          <w:tcPr>
            <w:tcW w:w="1666" w:type="dxa"/>
          </w:tcPr>
          <w:p>
            <w:pPr>
              <w:pStyle w:val="TableParagraph"/>
              <w:spacing w:line="189" w:lineRule="exact" w:before="12"/>
              <w:ind w:left="70" w:right="28"/>
              <w:jc w:val="center"/>
              <w:rPr>
                <w:sz w:val="18"/>
              </w:rPr>
            </w:pPr>
            <w:r>
              <w:rPr>
                <w:spacing w:val="-4"/>
                <w:sz w:val="18"/>
              </w:rPr>
              <w:t>1962</w:t>
            </w:r>
          </w:p>
        </w:tc>
        <w:tc>
          <w:tcPr>
            <w:tcW w:w="898" w:type="dxa"/>
          </w:tcPr>
          <w:p>
            <w:pPr>
              <w:pStyle w:val="TableParagraph"/>
              <w:spacing w:line="189" w:lineRule="exact" w:before="12"/>
              <w:ind w:left="7" w:right="8"/>
              <w:jc w:val="center"/>
              <w:rPr>
                <w:sz w:val="18"/>
              </w:rPr>
            </w:pPr>
            <w:r>
              <w:rPr>
                <w:spacing w:val="-5"/>
                <w:sz w:val="18"/>
              </w:rPr>
              <w:t>720</w:t>
            </w:r>
          </w:p>
        </w:tc>
        <w:tc>
          <w:tcPr>
            <w:tcW w:w="900" w:type="dxa"/>
          </w:tcPr>
          <w:p>
            <w:pPr>
              <w:pStyle w:val="TableParagraph"/>
              <w:spacing w:line="189" w:lineRule="exact" w:before="12"/>
              <w:ind w:left="9" w:right="7"/>
              <w:jc w:val="center"/>
              <w:rPr>
                <w:sz w:val="18"/>
              </w:rPr>
            </w:pPr>
            <w:r>
              <w:rPr>
                <w:spacing w:val="-10"/>
                <w:sz w:val="18"/>
              </w:rPr>
              <w:t>-</w:t>
            </w:r>
          </w:p>
        </w:tc>
        <w:tc>
          <w:tcPr>
            <w:tcW w:w="900" w:type="dxa"/>
          </w:tcPr>
          <w:p>
            <w:pPr>
              <w:pStyle w:val="TableParagraph"/>
              <w:spacing w:line="189" w:lineRule="exact" w:before="12"/>
              <w:ind w:left="9" w:right="9"/>
              <w:jc w:val="center"/>
              <w:rPr>
                <w:sz w:val="18"/>
              </w:rPr>
            </w:pPr>
            <w:r>
              <w:rPr>
                <w:spacing w:val="-5"/>
                <w:sz w:val="18"/>
              </w:rPr>
              <w:t>720</w:t>
            </w:r>
          </w:p>
        </w:tc>
        <w:tc>
          <w:tcPr>
            <w:tcW w:w="900" w:type="dxa"/>
          </w:tcPr>
          <w:p>
            <w:pPr>
              <w:pStyle w:val="TableParagraph"/>
              <w:spacing w:line="189" w:lineRule="exact" w:before="12"/>
              <w:ind w:left="9" w:right="11"/>
              <w:jc w:val="center"/>
              <w:rPr>
                <w:sz w:val="18"/>
              </w:rPr>
            </w:pPr>
            <w:r>
              <w:rPr>
                <w:spacing w:val="-5"/>
                <w:sz w:val="18"/>
              </w:rPr>
              <w:t>720</w:t>
            </w:r>
          </w:p>
        </w:tc>
        <w:tc>
          <w:tcPr>
            <w:tcW w:w="900" w:type="dxa"/>
          </w:tcPr>
          <w:p>
            <w:pPr>
              <w:pStyle w:val="TableParagraph"/>
              <w:rPr>
                <w:rFonts w:ascii="Times New Roman"/>
                <w:sz w:val="14"/>
              </w:rPr>
            </w:pPr>
          </w:p>
        </w:tc>
        <w:tc>
          <w:tcPr>
            <w:tcW w:w="895" w:type="dxa"/>
          </w:tcPr>
          <w:p>
            <w:pPr>
              <w:pStyle w:val="TableParagraph"/>
              <w:spacing w:line="189" w:lineRule="exact" w:before="12"/>
              <w:ind w:left="10" w:right="10"/>
              <w:jc w:val="center"/>
              <w:rPr>
                <w:sz w:val="18"/>
              </w:rPr>
            </w:pPr>
            <w:r>
              <w:rPr>
                <w:spacing w:val="-5"/>
                <w:sz w:val="18"/>
              </w:rPr>
              <w:t>974</w:t>
            </w:r>
          </w:p>
        </w:tc>
        <w:tc>
          <w:tcPr>
            <w:tcW w:w="1085" w:type="dxa"/>
          </w:tcPr>
          <w:p>
            <w:pPr>
              <w:pStyle w:val="TableParagraph"/>
              <w:spacing w:line="189" w:lineRule="exact" w:before="12"/>
              <w:ind w:left="12" w:right="5"/>
              <w:jc w:val="center"/>
              <w:rPr>
                <w:sz w:val="18"/>
              </w:rPr>
            </w:pPr>
            <w:r>
              <w:rPr>
                <w:spacing w:val="-5"/>
                <w:sz w:val="18"/>
              </w:rPr>
              <w:t>912</w:t>
            </w:r>
          </w:p>
        </w:tc>
        <w:tc>
          <w:tcPr>
            <w:tcW w:w="1080" w:type="dxa"/>
          </w:tcPr>
          <w:p>
            <w:pPr>
              <w:pStyle w:val="TableParagraph"/>
              <w:spacing w:line="189" w:lineRule="exact" w:before="12"/>
              <w:ind w:left="12" w:right="10"/>
              <w:jc w:val="center"/>
              <w:rPr>
                <w:sz w:val="18"/>
              </w:rPr>
            </w:pPr>
            <w:r>
              <w:rPr>
                <w:spacing w:val="-5"/>
                <w:sz w:val="18"/>
              </w:rPr>
              <w:t>936</w:t>
            </w:r>
          </w:p>
        </w:tc>
        <w:tc>
          <w:tcPr>
            <w:tcW w:w="1126" w:type="dxa"/>
          </w:tcPr>
          <w:p>
            <w:pPr>
              <w:pStyle w:val="TableParagraph"/>
              <w:rPr>
                <w:rFonts w:ascii="Times New Roman"/>
                <w:sz w:val="14"/>
              </w:rPr>
            </w:pPr>
          </w:p>
        </w:tc>
        <w:tc>
          <w:tcPr>
            <w:tcW w:w="1214" w:type="dxa"/>
            <w:tcBorders>
              <w:right w:val="single" w:sz="4" w:space="0" w:color="000000"/>
            </w:tcBorders>
          </w:tcPr>
          <w:p>
            <w:pPr>
              <w:pStyle w:val="TableParagraph"/>
              <w:rPr>
                <w:rFonts w:ascii="Times New Roman"/>
                <w:sz w:val="14"/>
              </w:rPr>
            </w:pPr>
          </w:p>
        </w:tc>
      </w:tr>
      <w:tr>
        <w:trPr>
          <w:trHeight w:val="206" w:hRule="atLeast"/>
        </w:trPr>
        <w:tc>
          <w:tcPr>
            <w:tcW w:w="2660" w:type="dxa"/>
            <w:tcBorders>
              <w:left w:val="single" w:sz="4" w:space="0" w:color="000000"/>
            </w:tcBorders>
          </w:tcPr>
          <w:p>
            <w:pPr>
              <w:pStyle w:val="TableParagraph"/>
              <w:tabs>
                <w:tab w:pos="863" w:val="left" w:leader="none"/>
              </w:tabs>
              <w:spacing w:line="186" w:lineRule="exact"/>
              <w:ind w:left="302"/>
              <w:rPr>
                <w:sz w:val="18"/>
              </w:rPr>
            </w:pPr>
            <w:r>
              <w:rPr>
                <w:spacing w:val="-5"/>
                <w:sz w:val="18"/>
              </w:rPr>
              <w:t>3.</w:t>
            </w:r>
            <w:r>
              <w:rPr>
                <w:sz w:val="18"/>
              </w:rPr>
              <w:tab/>
              <w:t>Queen</w:t>
            </w:r>
            <w:r>
              <w:rPr>
                <w:spacing w:val="-6"/>
                <w:sz w:val="18"/>
              </w:rPr>
              <w:t> </w:t>
            </w:r>
            <w:r>
              <w:rPr>
                <w:spacing w:val="-4"/>
                <w:sz w:val="18"/>
              </w:rPr>
              <w:t>Amina</w:t>
            </w:r>
          </w:p>
        </w:tc>
        <w:tc>
          <w:tcPr>
            <w:tcW w:w="1666" w:type="dxa"/>
          </w:tcPr>
          <w:p>
            <w:pPr>
              <w:pStyle w:val="TableParagraph"/>
              <w:spacing w:line="186" w:lineRule="exact"/>
              <w:ind w:left="70" w:right="28"/>
              <w:jc w:val="center"/>
              <w:rPr>
                <w:sz w:val="18"/>
              </w:rPr>
            </w:pPr>
            <w:r>
              <w:rPr>
                <w:spacing w:val="-4"/>
                <w:sz w:val="18"/>
              </w:rPr>
              <w:t>1962</w:t>
            </w:r>
          </w:p>
        </w:tc>
        <w:tc>
          <w:tcPr>
            <w:tcW w:w="898" w:type="dxa"/>
          </w:tcPr>
          <w:p>
            <w:pPr>
              <w:pStyle w:val="TableParagraph"/>
              <w:spacing w:line="186" w:lineRule="exact"/>
              <w:ind w:left="7" w:right="4"/>
              <w:jc w:val="center"/>
              <w:rPr>
                <w:sz w:val="18"/>
              </w:rPr>
            </w:pPr>
            <w:r>
              <w:rPr>
                <w:spacing w:val="-4"/>
                <w:sz w:val="18"/>
              </w:rPr>
              <w:t>1536</w:t>
            </w:r>
          </w:p>
        </w:tc>
        <w:tc>
          <w:tcPr>
            <w:tcW w:w="900" w:type="dxa"/>
          </w:tcPr>
          <w:p>
            <w:pPr>
              <w:pStyle w:val="TableParagraph"/>
              <w:spacing w:line="186" w:lineRule="exact"/>
              <w:ind w:left="9" w:right="7"/>
              <w:jc w:val="center"/>
              <w:rPr>
                <w:sz w:val="18"/>
              </w:rPr>
            </w:pPr>
            <w:r>
              <w:rPr>
                <w:spacing w:val="-10"/>
                <w:sz w:val="18"/>
              </w:rPr>
              <w:t>-</w:t>
            </w:r>
          </w:p>
        </w:tc>
        <w:tc>
          <w:tcPr>
            <w:tcW w:w="900" w:type="dxa"/>
          </w:tcPr>
          <w:p>
            <w:pPr>
              <w:pStyle w:val="TableParagraph"/>
              <w:spacing w:line="186" w:lineRule="exact"/>
              <w:ind w:left="9" w:right="4"/>
              <w:jc w:val="center"/>
              <w:rPr>
                <w:sz w:val="18"/>
              </w:rPr>
            </w:pPr>
            <w:r>
              <w:rPr>
                <w:spacing w:val="-4"/>
                <w:sz w:val="18"/>
              </w:rPr>
              <w:t>1925</w:t>
            </w:r>
          </w:p>
        </w:tc>
        <w:tc>
          <w:tcPr>
            <w:tcW w:w="900" w:type="dxa"/>
          </w:tcPr>
          <w:p>
            <w:pPr>
              <w:pStyle w:val="TableParagraph"/>
              <w:spacing w:line="186" w:lineRule="exact"/>
              <w:ind w:left="9" w:right="9"/>
              <w:jc w:val="center"/>
              <w:rPr>
                <w:sz w:val="18"/>
              </w:rPr>
            </w:pPr>
            <w:r>
              <w:rPr>
                <w:spacing w:val="-4"/>
                <w:sz w:val="18"/>
              </w:rPr>
              <w:t>1925</w:t>
            </w:r>
          </w:p>
        </w:tc>
        <w:tc>
          <w:tcPr>
            <w:tcW w:w="900" w:type="dxa"/>
          </w:tcPr>
          <w:p>
            <w:pPr>
              <w:pStyle w:val="TableParagraph"/>
              <w:rPr>
                <w:rFonts w:ascii="Times New Roman"/>
                <w:sz w:val="14"/>
              </w:rPr>
            </w:pPr>
          </w:p>
        </w:tc>
        <w:tc>
          <w:tcPr>
            <w:tcW w:w="895" w:type="dxa"/>
          </w:tcPr>
          <w:p>
            <w:pPr>
              <w:pStyle w:val="TableParagraph"/>
              <w:spacing w:line="186" w:lineRule="exact"/>
              <w:ind w:left="10" w:right="5"/>
              <w:jc w:val="center"/>
              <w:rPr>
                <w:sz w:val="18"/>
              </w:rPr>
            </w:pPr>
            <w:r>
              <w:rPr>
                <w:spacing w:val="-4"/>
                <w:sz w:val="18"/>
              </w:rPr>
              <w:t>2054</w:t>
            </w:r>
          </w:p>
        </w:tc>
        <w:tc>
          <w:tcPr>
            <w:tcW w:w="1085" w:type="dxa"/>
          </w:tcPr>
          <w:p>
            <w:pPr>
              <w:pStyle w:val="TableParagraph"/>
              <w:spacing w:line="186" w:lineRule="exact"/>
              <w:ind w:left="12"/>
              <w:jc w:val="center"/>
              <w:rPr>
                <w:sz w:val="18"/>
              </w:rPr>
            </w:pPr>
            <w:r>
              <w:rPr>
                <w:spacing w:val="-4"/>
                <w:sz w:val="18"/>
              </w:rPr>
              <w:t>2054</w:t>
            </w:r>
          </w:p>
        </w:tc>
        <w:tc>
          <w:tcPr>
            <w:tcW w:w="1080" w:type="dxa"/>
          </w:tcPr>
          <w:p>
            <w:pPr>
              <w:pStyle w:val="TableParagraph"/>
              <w:spacing w:line="186" w:lineRule="exact"/>
              <w:ind w:left="12" w:right="5"/>
              <w:jc w:val="center"/>
              <w:rPr>
                <w:sz w:val="18"/>
              </w:rPr>
            </w:pPr>
            <w:r>
              <w:rPr>
                <w:spacing w:val="-4"/>
                <w:sz w:val="18"/>
              </w:rPr>
              <w:t>2081</w:t>
            </w:r>
          </w:p>
        </w:tc>
        <w:tc>
          <w:tcPr>
            <w:tcW w:w="1126" w:type="dxa"/>
          </w:tcPr>
          <w:p>
            <w:pPr>
              <w:pStyle w:val="TableParagraph"/>
              <w:rPr>
                <w:rFonts w:ascii="Times New Roman"/>
                <w:sz w:val="14"/>
              </w:rPr>
            </w:pPr>
          </w:p>
        </w:tc>
        <w:tc>
          <w:tcPr>
            <w:tcW w:w="1214" w:type="dxa"/>
            <w:tcBorders>
              <w:right w:val="single" w:sz="4" w:space="0" w:color="000000"/>
            </w:tcBorders>
          </w:tcPr>
          <w:p>
            <w:pPr>
              <w:pStyle w:val="TableParagraph"/>
              <w:rPr>
                <w:rFonts w:ascii="Times New Roman"/>
                <w:sz w:val="14"/>
              </w:rPr>
            </w:pPr>
          </w:p>
        </w:tc>
      </w:tr>
      <w:tr>
        <w:trPr>
          <w:trHeight w:val="206" w:hRule="atLeast"/>
        </w:trPr>
        <w:tc>
          <w:tcPr>
            <w:tcW w:w="2660" w:type="dxa"/>
            <w:tcBorders>
              <w:left w:val="single" w:sz="4" w:space="0" w:color="000000"/>
            </w:tcBorders>
          </w:tcPr>
          <w:p>
            <w:pPr>
              <w:pStyle w:val="TableParagraph"/>
              <w:tabs>
                <w:tab w:pos="863" w:val="left" w:leader="none"/>
              </w:tabs>
              <w:spacing w:line="186" w:lineRule="exact"/>
              <w:ind w:left="302"/>
              <w:rPr>
                <w:sz w:val="18"/>
              </w:rPr>
            </w:pPr>
            <w:r>
              <w:rPr>
                <w:spacing w:val="-5"/>
                <w:sz w:val="18"/>
              </w:rPr>
              <w:t>4.</w:t>
            </w:r>
            <w:r>
              <w:rPr>
                <w:sz w:val="18"/>
              </w:rPr>
              <w:tab/>
            </w:r>
            <w:r>
              <w:rPr>
                <w:spacing w:val="-2"/>
                <w:sz w:val="18"/>
              </w:rPr>
              <w:t>Akenzua</w:t>
            </w:r>
          </w:p>
        </w:tc>
        <w:tc>
          <w:tcPr>
            <w:tcW w:w="1666" w:type="dxa"/>
          </w:tcPr>
          <w:p>
            <w:pPr>
              <w:pStyle w:val="TableParagraph"/>
              <w:spacing w:line="186" w:lineRule="exact"/>
              <w:ind w:left="70" w:right="28"/>
              <w:jc w:val="center"/>
              <w:rPr>
                <w:sz w:val="18"/>
              </w:rPr>
            </w:pPr>
            <w:r>
              <w:rPr>
                <w:spacing w:val="-4"/>
                <w:sz w:val="18"/>
              </w:rPr>
              <w:t>1969</w:t>
            </w:r>
          </w:p>
        </w:tc>
        <w:tc>
          <w:tcPr>
            <w:tcW w:w="898" w:type="dxa"/>
          </w:tcPr>
          <w:p>
            <w:pPr>
              <w:pStyle w:val="TableParagraph"/>
              <w:spacing w:line="186" w:lineRule="exact"/>
              <w:ind w:left="7" w:right="8"/>
              <w:jc w:val="center"/>
              <w:rPr>
                <w:sz w:val="18"/>
              </w:rPr>
            </w:pPr>
            <w:r>
              <w:rPr>
                <w:spacing w:val="-5"/>
                <w:sz w:val="18"/>
              </w:rPr>
              <w:t>578</w:t>
            </w:r>
          </w:p>
        </w:tc>
        <w:tc>
          <w:tcPr>
            <w:tcW w:w="900" w:type="dxa"/>
          </w:tcPr>
          <w:p>
            <w:pPr>
              <w:pStyle w:val="TableParagraph"/>
              <w:spacing w:line="186" w:lineRule="exact"/>
              <w:ind w:left="9" w:right="7"/>
              <w:jc w:val="center"/>
              <w:rPr>
                <w:sz w:val="18"/>
              </w:rPr>
            </w:pPr>
            <w:r>
              <w:rPr>
                <w:spacing w:val="-10"/>
                <w:sz w:val="18"/>
              </w:rPr>
              <w:t>-</w:t>
            </w:r>
          </w:p>
        </w:tc>
        <w:tc>
          <w:tcPr>
            <w:tcW w:w="900" w:type="dxa"/>
          </w:tcPr>
          <w:p>
            <w:pPr>
              <w:pStyle w:val="TableParagraph"/>
              <w:spacing w:line="186" w:lineRule="exact"/>
              <w:ind w:left="9" w:right="9"/>
              <w:jc w:val="center"/>
              <w:rPr>
                <w:sz w:val="18"/>
              </w:rPr>
            </w:pPr>
            <w:r>
              <w:rPr>
                <w:spacing w:val="-5"/>
                <w:sz w:val="18"/>
              </w:rPr>
              <w:t>578</w:t>
            </w:r>
          </w:p>
        </w:tc>
        <w:tc>
          <w:tcPr>
            <w:tcW w:w="900" w:type="dxa"/>
          </w:tcPr>
          <w:p>
            <w:pPr>
              <w:pStyle w:val="TableParagraph"/>
              <w:spacing w:line="186" w:lineRule="exact"/>
              <w:ind w:left="9" w:right="11"/>
              <w:jc w:val="center"/>
              <w:rPr>
                <w:sz w:val="18"/>
              </w:rPr>
            </w:pPr>
            <w:r>
              <w:rPr>
                <w:spacing w:val="-5"/>
                <w:sz w:val="18"/>
              </w:rPr>
              <w:t>574</w:t>
            </w:r>
          </w:p>
        </w:tc>
        <w:tc>
          <w:tcPr>
            <w:tcW w:w="900" w:type="dxa"/>
          </w:tcPr>
          <w:p>
            <w:pPr>
              <w:pStyle w:val="TableParagraph"/>
              <w:rPr>
                <w:rFonts w:ascii="Times New Roman"/>
                <w:sz w:val="14"/>
              </w:rPr>
            </w:pPr>
          </w:p>
        </w:tc>
        <w:tc>
          <w:tcPr>
            <w:tcW w:w="895" w:type="dxa"/>
          </w:tcPr>
          <w:p>
            <w:pPr>
              <w:pStyle w:val="TableParagraph"/>
              <w:spacing w:line="186" w:lineRule="exact"/>
              <w:ind w:left="10" w:right="10"/>
              <w:jc w:val="center"/>
              <w:rPr>
                <w:sz w:val="18"/>
              </w:rPr>
            </w:pPr>
            <w:r>
              <w:rPr>
                <w:spacing w:val="-5"/>
                <w:sz w:val="18"/>
              </w:rPr>
              <w:t>482</w:t>
            </w:r>
          </w:p>
        </w:tc>
        <w:tc>
          <w:tcPr>
            <w:tcW w:w="1085" w:type="dxa"/>
          </w:tcPr>
          <w:p>
            <w:pPr>
              <w:pStyle w:val="TableParagraph"/>
              <w:spacing w:line="186" w:lineRule="exact"/>
              <w:ind w:left="12" w:right="5"/>
              <w:jc w:val="center"/>
              <w:rPr>
                <w:sz w:val="18"/>
              </w:rPr>
            </w:pPr>
            <w:r>
              <w:rPr>
                <w:spacing w:val="-5"/>
                <w:sz w:val="18"/>
              </w:rPr>
              <w:t>482</w:t>
            </w:r>
          </w:p>
        </w:tc>
        <w:tc>
          <w:tcPr>
            <w:tcW w:w="1080" w:type="dxa"/>
          </w:tcPr>
          <w:p>
            <w:pPr>
              <w:pStyle w:val="TableParagraph"/>
              <w:spacing w:line="186" w:lineRule="exact"/>
              <w:ind w:left="12" w:right="10"/>
              <w:jc w:val="center"/>
              <w:rPr>
                <w:sz w:val="18"/>
              </w:rPr>
            </w:pPr>
            <w:r>
              <w:rPr>
                <w:spacing w:val="-5"/>
                <w:sz w:val="18"/>
              </w:rPr>
              <w:t>482</w:t>
            </w:r>
          </w:p>
        </w:tc>
        <w:tc>
          <w:tcPr>
            <w:tcW w:w="1126" w:type="dxa"/>
          </w:tcPr>
          <w:p>
            <w:pPr>
              <w:pStyle w:val="TableParagraph"/>
              <w:rPr>
                <w:rFonts w:ascii="Times New Roman"/>
                <w:sz w:val="14"/>
              </w:rPr>
            </w:pPr>
          </w:p>
        </w:tc>
        <w:tc>
          <w:tcPr>
            <w:tcW w:w="1214" w:type="dxa"/>
            <w:tcBorders>
              <w:right w:val="single" w:sz="4" w:space="0" w:color="000000"/>
            </w:tcBorders>
          </w:tcPr>
          <w:p>
            <w:pPr>
              <w:pStyle w:val="TableParagraph"/>
              <w:rPr>
                <w:rFonts w:ascii="Times New Roman"/>
                <w:sz w:val="14"/>
              </w:rPr>
            </w:pPr>
          </w:p>
        </w:tc>
      </w:tr>
      <w:tr>
        <w:trPr>
          <w:trHeight w:val="218" w:hRule="atLeast"/>
        </w:trPr>
        <w:tc>
          <w:tcPr>
            <w:tcW w:w="2660" w:type="dxa"/>
            <w:tcBorders>
              <w:left w:val="single" w:sz="4" w:space="0" w:color="000000"/>
            </w:tcBorders>
          </w:tcPr>
          <w:p>
            <w:pPr>
              <w:pStyle w:val="TableParagraph"/>
              <w:tabs>
                <w:tab w:pos="863" w:val="left" w:leader="none"/>
              </w:tabs>
              <w:spacing w:line="198" w:lineRule="exact"/>
              <w:ind w:left="302"/>
              <w:rPr>
                <w:sz w:val="18"/>
              </w:rPr>
            </w:pPr>
            <w:r>
              <w:rPr>
                <w:spacing w:val="-5"/>
                <w:sz w:val="18"/>
              </w:rPr>
              <w:t>5.</w:t>
            </w:r>
            <w:r>
              <w:rPr>
                <w:sz w:val="18"/>
              </w:rPr>
              <w:tab/>
            </w:r>
            <w:r>
              <w:rPr>
                <w:spacing w:val="-2"/>
                <w:sz w:val="18"/>
              </w:rPr>
              <w:t>Ramat</w:t>
            </w:r>
          </w:p>
        </w:tc>
        <w:tc>
          <w:tcPr>
            <w:tcW w:w="1666" w:type="dxa"/>
          </w:tcPr>
          <w:p>
            <w:pPr>
              <w:pStyle w:val="TableParagraph"/>
              <w:spacing w:line="198" w:lineRule="exact"/>
              <w:ind w:left="70" w:right="28"/>
              <w:jc w:val="center"/>
              <w:rPr>
                <w:sz w:val="18"/>
              </w:rPr>
            </w:pPr>
            <w:r>
              <w:rPr>
                <w:spacing w:val="-4"/>
                <w:sz w:val="18"/>
              </w:rPr>
              <w:t>1970</w:t>
            </w:r>
          </w:p>
        </w:tc>
        <w:tc>
          <w:tcPr>
            <w:tcW w:w="898" w:type="dxa"/>
          </w:tcPr>
          <w:p>
            <w:pPr>
              <w:pStyle w:val="TableParagraph"/>
              <w:spacing w:line="198" w:lineRule="exact"/>
              <w:ind w:left="7" w:right="8"/>
              <w:jc w:val="center"/>
              <w:rPr>
                <w:sz w:val="18"/>
              </w:rPr>
            </w:pPr>
            <w:r>
              <w:rPr>
                <w:spacing w:val="-5"/>
                <w:sz w:val="18"/>
              </w:rPr>
              <w:t>707</w:t>
            </w:r>
          </w:p>
        </w:tc>
        <w:tc>
          <w:tcPr>
            <w:tcW w:w="900" w:type="dxa"/>
          </w:tcPr>
          <w:p>
            <w:pPr>
              <w:pStyle w:val="TableParagraph"/>
              <w:spacing w:line="198" w:lineRule="exact"/>
              <w:ind w:left="9" w:right="7"/>
              <w:jc w:val="center"/>
              <w:rPr>
                <w:sz w:val="18"/>
              </w:rPr>
            </w:pPr>
            <w:r>
              <w:rPr>
                <w:spacing w:val="-10"/>
                <w:sz w:val="18"/>
              </w:rPr>
              <w:t>-</w:t>
            </w:r>
          </w:p>
        </w:tc>
        <w:tc>
          <w:tcPr>
            <w:tcW w:w="900" w:type="dxa"/>
          </w:tcPr>
          <w:p>
            <w:pPr>
              <w:pStyle w:val="TableParagraph"/>
              <w:spacing w:line="198" w:lineRule="exact"/>
              <w:ind w:left="9" w:right="9"/>
              <w:jc w:val="center"/>
              <w:rPr>
                <w:sz w:val="18"/>
              </w:rPr>
            </w:pPr>
            <w:r>
              <w:rPr>
                <w:spacing w:val="-5"/>
                <w:sz w:val="18"/>
              </w:rPr>
              <w:t>707</w:t>
            </w:r>
          </w:p>
        </w:tc>
        <w:tc>
          <w:tcPr>
            <w:tcW w:w="900" w:type="dxa"/>
          </w:tcPr>
          <w:p>
            <w:pPr>
              <w:pStyle w:val="TableParagraph"/>
              <w:spacing w:line="198" w:lineRule="exact"/>
              <w:ind w:left="9" w:right="11"/>
              <w:jc w:val="center"/>
              <w:rPr>
                <w:sz w:val="18"/>
              </w:rPr>
            </w:pPr>
            <w:r>
              <w:rPr>
                <w:spacing w:val="-5"/>
                <w:sz w:val="18"/>
              </w:rPr>
              <w:t>660</w:t>
            </w:r>
          </w:p>
        </w:tc>
        <w:tc>
          <w:tcPr>
            <w:tcW w:w="900" w:type="dxa"/>
          </w:tcPr>
          <w:p>
            <w:pPr>
              <w:pStyle w:val="TableParagraph"/>
              <w:rPr>
                <w:rFonts w:ascii="Times New Roman"/>
                <w:sz w:val="14"/>
              </w:rPr>
            </w:pPr>
          </w:p>
        </w:tc>
        <w:tc>
          <w:tcPr>
            <w:tcW w:w="895" w:type="dxa"/>
          </w:tcPr>
          <w:p>
            <w:pPr>
              <w:pStyle w:val="TableParagraph"/>
              <w:spacing w:line="198" w:lineRule="exact"/>
              <w:ind w:left="10" w:right="10"/>
              <w:jc w:val="center"/>
              <w:rPr>
                <w:sz w:val="18"/>
              </w:rPr>
            </w:pPr>
            <w:r>
              <w:rPr>
                <w:spacing w:val="-5"/>
                <w:sz w:val="18"/>
              </w:rPr>
              <w:t>732</w:t>
            </w:r>
          </w:p>
        </w:tc>
        <w:tc>
          <w:tcPr>
            <w:tcW w:w="1085" w:type="dxa"/>
          </w:tcPr>
          <w:p>
            <w:pPr>
              <w:pStyle w:val="TableParagraph"/>
              <w:spacing w:line="198" w:lineRule="exact"/>
              <w:ind w:left="12" w:right="5"/>
              <w:jc w:val="center"/>
              <w:rPr>
                <w:sz w:val="18"/>
              </w:rPr>
            </w:pPr>
            <w:r>
              <w:rPr>
                <w:spacing w:val="-5"/>
                <w:sz w:val="18"/>
              </w:rPr>
              <w:t>720</w:t>
            </w:r>
          </w:p>
        </w:tc>
        <w:tc>
          <w:tcPr>
            <w:tcW w:w="1080" w:type="dxa"/>
          </w:tcPr>
          <w:p>
            <w:pPr>
              <w:pStyle w:val="TableParagraph"/>
              <w:spacing w:line="198" w:lineRule="exact"/>
              <w:ind w:left="12" w:right="10"/>
              <w:jc w:val="center"/>
              <w:rPr>
                <w:sz w:val="18"/>
              </w:rPr>
            </w:pPr>
            <w:r>
              <w:rPr>
                <w:spacing w:val="-5"/>
                <w:sz w:val="18"/>
              </w:rPr>
              <w:t>720</w:t>
            </w:r>
          </w:p>
        </w:tc>
        <w:tc>
          <w:tcPr>
            <w:tcW w:w="1126" w:type="dxa"/>
          </w:tcPr>
          <w:p>
            <w:pPr>
              <w:pStyle w:val="TableParagraph"/>
              <w:rPr>
                <w:rFonts w:ascii="Times New Roman"/>
                <w:sz w:val="14"/>
              </w:rPr>
            </w:pPr>
          </w:p>
        </w:tc>
        <w:tc>
          <w:tcPr>
            <w:tcW w:w="1214" w:type="dxa"/>
            <w:tcBorders>
              <w:right w:val="single" w:sz="4" w:space="0" w:color="000000"/>
            </w:tcBorders>
          </w:tcPr>
          <w:p>
            <w:pPr>
              <w:pStyle w:val="TableParagraph"/>
              <w:rPr>
                <w:rFonts w:ascii="Times New Roman"/>
                <w:sz w:val="14"/>
              </w:rPr>
            </w:pPr>
          </w:p>
        </w:tc>
      </w:tr>
      <w:tr>
        <w:trPr>
          <w:trHeight w:val="220" w:hRule="atLeast"/>
        </w:trPr>
        <w:tc>
          <w:tcPr>
            <w:tcW w:w="2660" w:type="dxa"/>
            <w:tcBorders>
              <w:left w:val="single" w:sz="4" w:space="0" w:color="000000"/>
            </w:tcBorders>
          </w:tcPr>
          <w:p>
            <w:pPr>
              <w:pStyle w:val="TableParagraph"/>
              <w:tabs>
                <w:tab w:pos="863" w:val="left" w:leader="none"/>
              </w:tabs>
              <w:spacing w:line="191" w:lineRule="exact" w:before="9"/>
              <w:ind w:left="302"/>
              <w:rPr>
                <w:sz w:val="18"/>
              </w:rPr>
            </w:pPr>
            <w:r>
              <w:rPr>
                <w:spacing w:val="-5"/>
                <w:sz w:val="18"/>
              </w:rPr>
              <w:t>6.</w:t>
            </w:r>
            <w:r>
              <w:rPr>
                <w:sz w:val="18"/>
              </w:rPr>
              <w:tab/>
            </w:r>
            <w:r>
              <w:rPr>
                <w:spacing w:val="-4"/>
                <w:sz w:val="18"/>
              </w:rPr>
              <w:t>ICSA</w:t>
            </w:r>
          </w:p>
        </w:tc>
        <w:tc>
          <w:tcPr>
            <w:tcW w:w="1666" w:type="dxa"/>
          </w:tcPr>
          <w:p>
            <w:pPr>
              <w:pStyle w:val="TableParagraph"/>
              <w:spacing w:line="191" w:lineRule="exact" w:before="9"/>
              <w:ind w:left="70" w:right="28"/>
              <w:jc w:val="center"/>
              <w:rPr>
                <w:sz w:val="18"/>
              </w:rPr>
            </w:pPr>
            <w:r>
              <w:rPr>
                <w:spacing w:val="-4"/>
                <w:sz w:val="18"/>
              </w:rPr>
              <w:t>1971</w:t>
            </w:r>
          </w:p>
        </w:tc>
        <w:tc>
          <w:tcPr>
            <w:tcW w:w="898" w:type="dxa"/>
          </w:tcPr>
          <w:p>
            <w:pPr>
              <w:pStyle w:val="TableParagraph"/>
              <w:spacing w:line="191" w:lineRule="exact" w:before="9"/>
              <w:ind w:left="7" w:right="8"/>
              <w:jc w:val="center"/>
              <w:rPr>
                <w:sz w:val="18"/>
              </w:rPr>
            </w:pPr>
            <w:r>
              <w:rPr>
                <w:spacing w:val="-5"/>
                <w:sz w:val="18"/>
              </w:rPr>
              <w:t>990</w:t>
            </w:r>
          </w:p>
        </w:tc>
        <w:tc>
          <w:tcPr>
            <w:tcW w:w="900" w:type="dxa"/>
          </w:tcPr>
          <w:p>
            <w:pPr>
              <w:pStyle w:val="TableParagraph"/>
              <w:spacing w:line="191" w:lineRule="exact" w:before="9"/>
              <w:ind w:left="9" w:right="7"/>
              <w:jc w:val="center"/>
              <w:rPr>
                <w:sz w:val="18"/>
              </w:rPr>
            </w:pPr>
            <w:r>
              <w:rPr>
                <w:spacing w:val="-10"/>
                <w:sz w:val="18"/>
              </w:rPr>
              <w:t>-</w:t>
            </w:r>
          </w:p>
        </w:tc>
        <w:tc>
          <w:tcPr>
            <w:tcW w:w="900" w:type="dxa"/>
          </w:tcPr>
          <w:p>
            <w:pPr>
              <w:pStyle w:val="TableParagraph"/>
              <w:spacing w:line="191" w:lineRule="exact" w:before="9"/>
              <w:ind w:left="9" w:right="9"/>
              <w:jc w:val="center"/>
              <w:rPr>
                <w:sz w:val="18"/>
              </w:rPr>
            </w:pPr>
            <w:r>
              <w:rPr>
                <w:spacing w:val="-5"/>
                <w:sz w:val="18"/>
              </w:rPr>
              <w:t>990</w:t>
            </w:r>
          </w:p>
        </w:tc>
        <w:tc>
          <w:tcPr>
            <w:tcW w:w="900" w:type="dxa"/>
          </w:tcPr>
          <w:p>
            <w:pPr>
              <w:pStyle w:val="TableParagraph"/>
              <w:spacing w:line="191" w:lineRule="exact" w:before="9"/>
              <w:ind w:left="9" w:right="11"/>
              <w:jc w:val="center"/>
              <w:rPr>
                <w:sz w:val="18"/>
              </w:rPr>
            </w:pPr>
            <w:r>
              <w:rPr>
                <w:spacing w:val="-5"/>
                <w:sz w:val="18"/>
              </w:rPr>
              <w:t>751</w:t>
            </w:r>
          </w:p>
        </w:tc>
        <w:tc>
          <w:tcPr>
            <w:tcW w:w="900" w:type="dxa"/>
          </w:tcPr>
          <w:p>
            <w:pPr>
              <w:pStyle w:val="TableParagraph"/>
              <w:rPr>
                <w:rFonts w:ascii="Times New Roman"/>
                <w:sz w:val="14"/>
              </w:rPr>
            </w:pPr>
          </w:p>
        </w:tc>
        <w:tc>
          <w:tcPr>
            <w:tcW w:w="895" w:type="dxa"/>
          </w:tcPr>
          <w:p>
            <w:pPr>
              <w:pStyle w:val="TableParagraph"/>
              <w:spacing w:line="191" w:lineRule="exact" w:before="9"/>
              <w:ind w:left="10" w:right="5"/>
              <w:jc w:val="center"/>
              <w:rPr>
                <w:sz w:val="18"/>
              </w:rPr>
            </w:pPr>
            <w:r>
              <w:rPr>
                <w:spacing w:val="-4"/>
                <w:sz w:val="18"/>
              </w:rPr>
              <w:t>1002</w:t>
            </w:r>
          </w:p>
        </w:tc>
        <w:tc>
          <w:tcPr>
            <w:tcW w:w="1085" w:type="dxa"/>
          </w:tcPr>
          <w:p>
            <w:pPr>
              <w:pStyle w:val="TableParagraph"/>
              <w:spacing w:line="191" w:lineRule="exact" w:before="9"/>
              <w:ind w:left="12" w:right="5"/>
              <w:jc w:val="center"/>
              <w:rPr>
                <w:sz w:val="18"/>
              </w:rPr>
            </w:pPr>
            <w:r>
              <w:rPr>
                <w:spacing w:val="-5"/>
                <w:sz w:val="18"/>
              </w:rPr>
              <w:t>932</w:t>
            </w:r>
          </w:p>
        </w:tc>
        <w:tc>
          <w:tcPr>
            <w:tcW w:w="1080" w:type="dxa"/>
          </w:tcPr>
          <w:p>
            <w:pPr>
              <w:pStyle w:val="TableParagraph"/>
              <w:spacing w:line="191" w:lineRule="exact" w:before="9"/>
              <w:ind w:left="12" w:right="10"/>
              <w:jc w:val="center"/>
              <w:rPr>
                <w:sz w:val="18"/>
              </w:rPr>
            </w:pPr>
            <w:r>
              <w:rPr>
                <w:spacing w:val="-5"/>
                <w:sz w:val="18"/>
              </w:rPr>
              <w:t>732</w:t>
            </w:r>
          </w:p>
        </w:tc>
        <w:tc>
          <w:tcPr>
            <w:tcW w:w="1126" w:type="dxa"/>
          </w:tcPr>
          <w:p>
            <w:pPr>
              <w:pStyle w:val="TableParagraph"/>
              <w:rPr>
                <w:rFonts w:ascii="Times New Roman"/>
                <w:sz w:val="14"/>
              </w:rPr>
            </w:pPr>
          </w:p>
        </w:tc>
        <w:tc>
          <w:tcPr>
            <w:tcW w:w="1214" w:type="dxa"/>
            <w:tcBorders>
              <w:right w:val="single" w:sz="4" w:space="0" w:color="000000"/>
            </w:tcBorders>
          </w:tcPr>
          <w:p>
            <w:pPr>
              <w:pStyle w:val="TableParagraph"/>
              <w:rPr>
                <w:rFonts w:ascii="Times New Roman"/>
                <w:sz w:val="14"/>
              </w:rPr>
            </w:pPr>
          </w:p>
        </w:tc>
      </w:tr>
      <w:tr>
        <w:trPr>
          <w:trHeight w:val="208" w:hRule="atLeast"/>
        </w:trPr>
        <w:tc>
          <w:tcPr>
            <w:tcW w:w="2660" w:type="dxa"/>
            <w:tcBorders>
              <w:left w:val="single" w:sz="4" w:space="0" w:color="000000"/>
            </w:tcBorders>
          </w:tcPr>
          <w:p>
            <w:pPr>
              <w:pStyle w:val="TableParagraph"/>
              <w:tabs>
                <w:tab w:pos="863" w:val="left" w:leader="none"/>
              </w:tabs>
              <w:spacing w:line="189" w:lineRule="exact"/>
              <w:ind w:left="302"/>
              <w:rPr>
                <w:sz w:val="18"/>
              </w:rPr>
            </w:pPr>
            <w:r>
              <w:rPr>
                <w:spacing w:val="-5"/>
                <w:sz w:val="18"/>
              </w:rPr>
              <w:t>7.</w:t>
            </w:r>
            <w:r>
              <w:rPr>
                <w:sz w:val="18"/>
              </w:rPr>
              <w:tab/>
              <w:t>Usmanu</w:t>
            </w:r>
            <w:r>
              <w:rPr>
                <w:spacing w:val="-3"/>
                <w:sz w:val="18"/>
              </w:rPr>
              <w:t> </w:t>
            </w:r>
            <w:r>
              <w:rPr>
                <w:sz w:val="18"/>
              </w:rPr>
              <w:t>Dan</w:t>
            </w:r>
            <w:r>
              <w:rPr>
                <w:spacing w:val="-3"/>
                <w:sz w:val="18"/>
              </w:rPr>
              <w:t> </w:t>
            </w:r>
            <w:r>
              <w:rPr>
                <w:spacing w:val="-2"/>
                <w:sz w:val="18"/>
              </w:rPr>
              <w:t>Fodiyo</w:t>
            </w:r>
          </w:p>
        </w:tc>
        <w:tc>
          <w:tcPr>
            <w:tcW w:w="1666" w:type="dxa"/>
          </w:tcPr>
          <w:p>
            <w:pPr>
              <w:pStyle w:val="TableParagraph"/>
              <w:spacing w:line="189" w:lineRule="exact"/>
              <w:ind w:left="70" w:right="28"/>
              <w:jc w:val="center"/>
              <w:rPr>
                <w:sz w:val="18"/>
              </w:rPr>
            </w:pPr>
            <w:r>
              <w:rPr>
                <w:spacing w:val="-4"/>
                <w:sz w:val="18"/>
              </w:rPr>
              <w:t>1973</w:t>
            </w:r>
          </w:p>
        </w:tc>
        <w:tc>
          <w:tcPr>
            <w:tcW w:w="898" w:type="dxa"/>
          </w:tcPr>
          <w:p>
            <w:pPr>
              <w:pStyle w:val="TableParagraph"/>
              <w:spacing w:line="189" w:lineRule="exact"/>
              <w:ind w:left="7" w:right="4"/>
              <w:jc w:val="center"/>
              <w:rPr>
                <w:sz w:val="18"/>
              </w:rPr>
            </w:pPr>
            <w:r>
              <w:rPr>
                <w:spacing w:val="-4"/>
                <w:sz w:val="18"/>
              </w:rPr>
              <w:t>1248</w:t>
            </w:r>
          </w:p>
        </w:tc>
        <w:tc>
          <w:tcPr>
            <w:tcW w:w="900" w:type="dxa"/>
          </w:tcPr>
          <w:p>
            <w:pPr>
              <w:pStyle w:val="TableParagraph"/>
              <w:spacing w:line="189" w:lineRule="exact"/>
              <w:ind w:left="9" w:right="7"/>
              <w:jc w:val="center"/>
              <w:rPr>
                <w:sz w:val="18"/>
              </w:rPr>
            </w:pPr>
            <w:r>
              <w:rPr>
                <w:spacing w:val="-10"/>
                <w:sz w:val="18"/>
              </w:rPr>
              <w:t>-</w:t>
            </w:r>
          </w:p>
        </w:tc>
        <w:tc>
          <w:tcPr>
            <w:tcW w:w="900" w:type="dxa"/>
          </w:tcPr>
          <w:p>
            <w:pPr>
              <w:pStyle w:val="TableParagraph"/>
              <w:spacing w:line="189" w:lineRule="exact"/>
              <w:ind w:left="9" w:right="4"/>
              <w:jc w:val="center"/>
              <w:rPr>
                <w:sz w:val="18"/>
              </w:rPr>
            </w:pPr>
            <w:r>
              <w:rPr>
                <w:spacing w:val="-4"/>
                <w:sz w:val="18"/>
              </w:rPr>
              <w:t>1248</w:t>
            </w:r>
          </w:p>
        </w:tc>
        <w:tc>
          <w:tcPr>
            <w:tcW w:w="900" w:type="dxa"/>
          </w:tcPr>
          <w:p>
            <w:pPr>
              <w:pStyle w:val="TableParagraph"/>
              <w:spacing w:line="189" w:lineRule="exact"/>
              <w:ind w:left="9" w:right="9"/>
              <w:jc w:val="center"/>
              <w:rPr>
                <w:sz w:val="18"/>
              </w:rPr>
            </w:pPr>
            <w:r>
              <w:rPr>
                <w:spacing w:val="-4"/>
                <w:sz w:val="18"/>
              </w:rPr>
              <w:t>1444</w:t>
            </w:r>
          </w:p>
        </w:tc>
        <w:tc>
          <w:tcPr>
            <w:tcW w:w="900" w:type="dxa"/>
          </w:tcPr>
          <w:p>
            <w:pPr>
              <w:pStyle w:val="TableParagraph"/>
              <w:rPr>
                <w:rFonts w:ascii="Times New Roman"/>
                <w:sz w:val="14"/>
              </w:rPr>
            </w:pPr>
          </w:p>
        </w:tc>
        <w:tc>
          <w:tcPr>
            <w:tcW w:w="895" w:type="dxa"/>
          </w:tcPr>
          <w:p>
            <w:pPr>
              <w:pStyle w:val="TableParagraph"/>
              <w:spacing w:line="189" w:lineRule="exact"/>
              <w:ind w:left="10" w:right="5"/>
              <w:jc w:val="center"/>
              <w:rPr>
                <w:sz w:val="18"/>
              </w:rPr>
            </w:pPr>
            <w:r>
              <w:rPr>
                <w:spacing w:val="-4"/>
                <w:sz w:val="18"/>
              </w:rPr>
              <w:t>1464</w:t>
            </w:r>
          </w:p>
        </w:tc>
        <w:tc>
          <w:tcPr>
            <w:tcW w:w="1085" w:type="dxa"/>
          </w:tcPr>
          <w:p>
            <w:pPr>
              <w:pStyle w:val="TableParagraph"/>
              <w:spacing w:line="189" w:lineRule="exact"/>
              <w:ind w:left="12"/>
              <w:jc w:val="center"/>
              <w:rPr>
                <w:sz w:val="18"/>
              </w:rPr>
            </w:pPr>
            <w:r>
              <w:rPr>
                <w:spacing w:val="-4"/>
                <w:sz w:val="18"/>
              </w:rPr>
              <w:t>1422</w:t>
            </w:r>
          </w:p>
        </w:tc>
        <w:tc>
          <w:tcPr>
            <w:tcW w:w="1080" w:type="dxa"/>
          </w:tcPr>
          <w:p>
            <w:pPr>
              <w:pStyle w:val="TableParagraph"/>
              <w:spacing w:line="189" w:lineRule="exact"/>
              <w:ind w:left="12" w:right="5"/>
              <w:jc w:val="center"/>
              <w:rPr>
                <w:sz w:val="18"/>
              </w:rPr>
            </w:pPr>
            <w:r>
              <w:rPr>
                <w:spacing w:val="-4"/>
                <w:sz w:val="18"/>
              </w:rPr>
              <w:t>1546</w:t>
            </w:r>
          </w:p>
        </w:tc>
        <w:tc>
          <w:tcPr>
            <w:tcW w:w="1126" w:type="dxa"/>
          </w:tcPr>
          <w:p>
            <w:pPr>
              <w:pStyle w:val="TableParagraph"/>
              <w:rPr>
                <w:rFonts w:ascii="Times New Roman"/>
                <w:sz w:val="14"/>
              </w:rPr>
            </w:pPr>
          </w:p>
        </w:tc>
        <w:tc>
          <w:tcPr>
            <w:tcW w:w="1214" w:type="dxa"/>
            <w:tcBorders>
              <w:right w:val="single" w:sz="4" w:space="0" w:color="000000"/>
            </w:tcBorders>
          </w:tcPr>
          <w:p>
            <w:pPr>
              <w:pStyle w:val="TableParagraph"/>
              <w:rPr>
                <w:rFonts w:ascii="Times New Roman"/>
                <w:sz w:val="14"/>
              </w:rPr>
            </w:pPr>
          </w:p>
        </w:tc>
      </w:tr>
      <w:tr>
        <w:trPr>
          <w:trHeight w:val="206" w:hRule="atLeast"/>
        </w:trPr>
        <w:tc>
          <w:tcPr>
            <w:tcW w:w="2660" w:type="dxa"/>
            <w:tcBorders>
              <w:left w:val="single" w:sz="4" w:space="0" w:color="000000"/>
            </w:tcBorders>
          </w:tcPr>
          <w:p>
            <w:pPr>
              <w:pStyle w:val="TableParagraph"/>
              <w:tabs>
                <w:tab w:pos="863" w:val="left" w:leader="none"/>
              </w:tabs>
              <w:spacing w:line="186" w:lineRule="exact"/>
              <w:ind w:left="302"/>
              <w:rPr>
                <w:sz w:val="18"/>
              </w:rPr>
            </w:pPr>
            <w:r>
              <w:rPr>
                <w:spacing w:val="-5"/>
                <w:sz w:val="18"/>
              </w:rPr>
              <w:t>8.</w:t>
            </w:r>
            <w:r>
              <w:rPr>
                <w:sz w:val="18"/>
              </w:rPr>
              <w:tab/>
              <w:t>Umar </w:t>
            </w:r>
            <w:r>
              <w:rPr>
                <w:spacing w:val="-2"/>
                <w:sz w:val="18"/>
              </w:rPr>
              <w:t>Suleiman</w:t>
            </w:r>
          </w:p>
        </w:tc>
        <w:tc>
          <w:tcPr>
            <w:tcW w:w="1666" w:type="dxa"/>
          </w:tcPr>
          <w:p>
            <w:pPr>
              <w:pStyle w:val="TableParagraph"/>
              <w:spacing w:line="186" w:lineRule="exact"/>
              <w:ind w:left="70" w:right="28"/>
              <w:jc w:val="center"/>
              <w:rPr>
                <w:sz w:val="18"/>
              </w:rPr>
            </w:pPr>
            <w:r>
              <w:rPr>
                <w:spacing w:val="-4"/>
                <w:sz w:val="18"/>
              </w:rPr>
              <w:t>1974</w:t>
            </w:r>
          </w:p>
        </w:tc>
        <w:tc>
          <w:tcPr>
            <w:tcW w:w="898" w:type="dxa"/>
          </w:tcPr>
          <w:p>
            <w:pPr>
              <w:pStyle w:val="TableParagraph"/>
              <w:spacing w:line="186" w:lineRule="exact"/>
              <w:ind w:left="7" w:right="4"/>
              <w:jc w:val="center"/>
              <w:rPr>
                <w:sz w:val="18"/>
              </w:rPr>
            </w:pPr>
            <w:r>
              <w:rPr>
                <w:spacing w:val="-4"/>
                <w:sz w:val="18"/>
              </w:rPr>
              <w:t>2212</w:t>
            </w:r>
          </w:p>
        </w:tc>
        <w:tc>
          <w:tcPr>
            <w:tcW w:w="900" w:type="dxa"/>
          </w:tcPr>
          <w:p>
            <w:pPr>
              <w:pStyle w:val="TableParagraph"/>
              <w:spacing w:line="186" w:lineRule="exact"/>
              <w:ind w:left="9" w:right="7"/>
              <w:jc w:val="center"/>
              <w:rPr>
                <w:sz w:val="18"/>
              </w:rPr>
            </w:pPr>
            <w:r>
              <w:rPr>
                <w:spacing w:val="-10"/>
                <w:sz w:val="18"/>
              </w:rPr>
              <w:t>-</w:t>
            </w:r>
          </w:p>
        </w:tc>
        <w:tc>
          <w:tcPr>
            <w:tcW w:w="900" w:type="dxa"/>
          </w:tcPr>
          <w:p>
            <w:pPr>
              <w:pStyle w:val="TableParagraph"/>
              <w:spacing w:line="186" w:lineRule="exact"/>
              <w:ind w:left="9" w:right="4"/>
              <w:jc w:val="center"/>
              <w:rPr>
                <w:sz w:val="18"/>
              </w:rPr>
            </w:pPr>
            <w:r>
              <w:rPr>
                <w:spacing w:val="-4"/>
                <w:sz w:val="18"/>
              </w:rPr>
              <w:t>1920</w:t>
            </w:r>
          </w:p>
        </w:tc>
        <w:tc>
          <w:tcPr>
            <w:tcW w:w="900" w:type="dxa"/>
          </w:tcPr>
          <w:p>
            <w:pPr>
              <w:pStyle w:val="TableParagraph"/>
              <w:spacing w:line="186" w:lineRule="exact"/>
              <w:ind w:left="9" w:right="9"/>
              <w:jc w:val="center"/>
              <w:rPr>
                <w:sz w:val="18"/>
              </w:rPr>
            </w:pPr>
            <w:r>
              <w:rPr>
                <w:spacing w:val="-4"/>
                <w:sz w:val="18"/>
              </w:rPr>
              <w:t>1920</w:t>
            </w:r>
          </w:p>
        </w:tc>
        <w:tc>
          <w:tcPr>
            <w:tcW w:w="900" w:type="dxa"/>
          </w:tcPr>
          <w:p>
            <w:pPr>
              <w:pStyle w:val="TableParagraph"/>
              <w:rPr>
                <w:rFonts w:ascii="Times New Roman"/>
                <w:sz w:val="14"/>
              </w:rPr>
            </w:pPr>
          </w:p>
        </w:tc>
        <w:tc>
          <w:tcPr>
            <w:tcW w:w="895" w:type="dxa"/>
          </w:tcPr>
          <w:p>
            <w:pPr>
              <w:pStyle w:val="TableParagraph"/>
              <w:spacing w:line="186" w:lineRule="exact"/>
              <w:ind w:left="10" w:right="5"/>
              <w:jc w:val="center"/>
              <w:rPr>
                <w:sz w:val="18"/>
              </w:rPr>
            </w:pPr>
            <w:r>
              <w:rPr>
                <w:spacing w:val="-4"/>
                <w:sz w:val="18"/>
              </w:rPr>
              <w:t>2126</w:t>
            </w:r>
          </w:p>
        </w:tc>
        <w:tc>
          <w:tcPr>
            <w:tcW w:w="1085" w:type="dxa"/>
          </w:tcPr>
          <w:p>
            <w:pPr>
              <w:pStyle w:val="TableParagraph"/>
              <w:spacing w:line="186" w:lineRule="exact"/>
              <w:ind w:left="12"/>
              <w:jc w:val="center"/>
              <w:rPr>
                <w:sz w:val="18"/>
              </w:rPr>
            </w:pPr>
            <w:r>
              <w:rPr>
                <w:spacing w:val="-4"/>
                <w:sz w:val="18"/>
              </w:rPr>
              <w:t>2726</w:t>
            </w:r>
          </w:p>
        </w:tc>
        <w:tc>
          <w:tcPr>
            <w:tcW w:w="1080" w:type="dxa"/>
          </w:tcPr>
          <w:p>
            <w:pPr>
              <w:pStyle w:val="TableParagraph"/>
              <w:spacing w:line="186" w:lineRule="exact"/>
              <w:ind w:left="12" w:right="5"/>
              <w:jc w:val="center"/>
              <w:rPr>
                <w:sz w:val="18"/>
              </w:rPr>
            </w:pPr>
            <w:r>
              <w:rPr>
                <w:spacing w:val="-4"/>
                <w:sz w:val="18"/>
              </w:rPr>
              <w:t>2902</w:t>
            </w:r>
          </w:p>
        </w:tc>
        <w:tc>
          <w:tcPr>
            <w:tcW w:w="1126" w:type="dxa"/>
          </w:tcPr>
          <w:p>
            <w:pPr>
              <w:pStyle w:val="TableParagraph"/>
              <w:rPr>
                <w:rFonts w:ascii="Times New Roman"/>
                <w:sz w:val="14"/>
              </w:rPr>
            </w:pPr>
          </w:p>
        </w:tc>
        <w:tc>
          <w:tcPr>
            <w:tcW w:w="1214" w:type="dxa"/>
            <w:tcBorders>
              <w:right w:val="single" w:sz="4" w:space="0" w:color="000000"/>
            </w:tcBorders>
          </w:tcPr>
          <w:p>
            <w:pPr>
              <w:pStyle w:val="TableParagraph"/>
              <w:rPr>
                <w:rFonts w:ascii="Times New Roman"/>
                <w:sz w:val="14"/>
              </w:rPr>
            </w:pPr>
          </w:p>
        </w:tc>
      </w:tr>
      <w:tr>
        <w:trPr>
          <w:trHeight w:val="209" w:hRule="atLeast"/>
        </w:trPr>
        <w:tc>
          <w:tcPr>
            <w:tcW w:w="4326" w:type="dxa"/>
            <w:gridSpan w:val="2"/>
            <w:tcBorders>
              <w:left w:val="single" w:sz="4" w:space="0" w:color="000000"/>
              <w:bottom w:val="single" w:sz="4" w:space="0" w:color="000000"/>
            </w:tcBorders>
          </w:tcPr>
          <w:p>
            <w:pPr>
              <w:pStyle w:val="TableParagraph"/>
              <w:spacing w:line="189" w:lineRule="exact"/>
              <w:ind w:right="204"/>
              <w:jc w:val="right"/>
              <w:rPr>
                <w:sz w:val="18"/>
              </w:rPr>
            </w:pPr>
            <w:r>
              <w:rPr>
                <w:sz w:val="18"/>
              </w:rPr>
              <w:t>SUB</w:t>
            </w:r>
            <w:r>
              <w:rPr>
                <w:spacing w:val="-6"/>
                <w:sz w:val="18"/>
              </w:rPr>
              <w:t> </w:t>
            </w:r>
            <w:r>
              <w:rPr>
                <w:spacing w:val="-2"/>
                <w:sz w:val="18"/>
              </w:rPr>
              <w:t>TOTAL</w:t>
            </w:r>
          </w:p>
        </w:tc>
        <w:tc>
          <w:tcPr>
            <w:tcW w:w="898" w:type="dxa"/>
            <w:tcBorders>
              <w:bottom w:val="single" w:sz="4" w:space="0" w:color="000000"/>
            </w:tcBorders>
          </w:tcPr>
          <w:p>
            <w:pPr>
              <w:pStyle w:val="TableParagraph"/>
              <w:spacing w:line="189" w:lineRule="exact"/>
              <w:ind w:left="7" w:right="4"/>
              <w:jc w:val="center"/>
              <w:rPr>
                <w:sz w:val="18"/>
              </w:rPr>
            </w:pPr>
            <w:r>
              <w:rPr>
                <w:spacing w:val="-4"/>
                <w:sz w:val="18"/>
              </w:rPr>
              <w:t>8629</w:t>
            </w:r>
          </w:p>
        </w:tc>
        <w:tc>
          <w:tcPr>
            <w:tcW w:w="900" w:type="dxa"/>
            <w:tcBorders>
              <w:bottom w:val="single" w:sz="4" w:space="0" w:color="000000"/>
            </w:tcBorders>
          </w:tcPr>
          <w:p>
            <w:pPr>
              <w:pStyle w:val="TableParagraph"/>
              <w:spacing w:line="189" w:lineRule="exact"/>
              <w:ind w:left="9" w:right="7"/>
              <w:jc w:val="center"/>
              <w:rPr>
                <w:sz w:val="18"/>
              </w:rPr>
            </w:pPr>
            <w:r>
              <w:rPr>
                <w:spacing w:val="-10"/>
                <w:sz w:val="18"/>
              </w:rPr>
              <w:t>-</w:t>
            </w:r>
          </w:p>
        </w:tc>
        <w:tc>
          <w:tcPr>
            <w:tcW w:w="900" w:type="dxa"/>
            <w:tcBorders>
              <w:bottom w:val="single" w:sz="4" w:space="0" w:color="000000"/>
            </w:tcBorders>
          </w:tcPr>
          <w:p>
            <w:pPr>
              <w:pStyle w:val="TableParagraph"/>
              <w:spacing w:line="189" w:lineRule="exact"/>
              <w:ind w:left="9" w:right="4"/>
              <w:jc w:val="center"/>
              <w:rPr>
                <w:sz w:val="18"/>
              </w:rPr>
            </w:pPr>
            <w:r>
              <w:rPr>
                <w:spacing w:val="-4"/>
                <w:sz w:val="18"/>
              </w:rPr>
              <w:t>9126</w:t>
            </w:r>
          </w:p>
        </w:tc>
        <w:tc>
          <w:tcPr>
            <w:tcW w:w="900" w:type="dxa"/>
            <w:tcBorders>
              <w:bottom w:val="single" w:sz="4" w:space="0" w:color="000000"/>
            </w:tcBorders>
          </w:tcPr>
          <w:p>
            <w:pPr>
              <w:pStyle w:val="TableParagraph"/>
              <w:spacing w:line="189" w:lineRule="exact"/>
              <w:ind w:left="9" w:right="9"/>
              <w:jc w:val="center"/>
              <w:rPr>
                <w:sz w:val="18"/>
              </w:rPr>
            </w:pPr>
            <w:r>
              <w:rPr>
                <w:spacing w:val="-4"/>
                <w:sz w:val="18"/>
              </w:rPr>
              <w:t>9132</w:t>
            </w:r>
          </w:p>
        </w:tc>
        <w:tc>
          <w:tcPr>
            <w:tcW w:w="900" w:type="dxa"/>
            <w:tcBorders>
              <w:bottom w:val="single" w:sz="4" w:space="0" w:color="000000"/>
            </w:tcBorders>
          </w:tcPr>
          <w:p>
            <w:pPr>
              <w:pStyle w:val="TableParagraph"/>
              <w:rPr>
                <w:rFonts w:ascii="Times New Roman"/>
                <w:sz w:val="14"/>
              </w:rPr>
            </w:pPr>
          </w:p>
        </w:tc>
        <w:tc>
          <w:tcPr>
            <w:tcW w:w="895" w:type="dxa"/>
            <w:tcBorders>
              <w:bottom w:val="single" w:sz="4" w:space="0" w:color="000000"/>
            </w:tcBorders>
          </w:tcPr>
          <w:p>
            <w:pPr>
              <w:pStyle w:val="TableParagraph"/>
              <w:spacing w:line="189" w:lineRule="exact"/>
              <w:ind w:left="10" w:right="5"/>
              <w:jc w:val="center"/>
              <w:rPr>
                <w:sz w:val="18"/>
              </w:rPr>
            </w:pPr>
            <w:r>
              <w:rPr>
                <w:spacing w:val="-4"/>
                <w:sz w:val="18"/>
              </w:rPr>
              <w:t>9620</w:t>
            </w:r>
          </w:p>
        </w:tc>
        <w:tc>
          <w:tcPr>
            <w:tcW w:w="1085" w:type="dxa"/>
            <w:tcBorders>
              <w:bottom w:val="single" w:sz="4" w:space="0" w:color="000000"/>
            </w:tcBorders>
          </w:tcPr>
          <w:p>
            <w:pPr>
              <w:pStyle w:val="TableParagraph"/>
              <w:spacing w:line="189" w:lineRule="exact"/>
              <w:ind w:left="12"/>
              <w:jc w:val="center"/>
              <w:rPr>
                <w:sz w:val="18"/>
              </w:rPr>
            </w:pPr>
            <w:r>
              <w:rPr>
                <w:spacing w:val="-4"/>
                <w:sz w:val="18"/>
              </w:rPr>
              <w:t>9878</w:t>
            </w:r>
          </w:p>
        </w:tc>
        <w:tc>
          <w:tcPr>
            <w:tcW w:w="1080" w:type="dxa"/>
            <w:tcBorders>
              <w:bottom w:val="single" w:sz="4" w:space="0" w:color="000000"/>
            </w:tcBorders>
          </w:tcPr>
          <w:p>
            <w:pPr>
              <w:pStyle w:val="TableParagraph"/>
              <w:spacing w:line="189" w:lineRule="exact"/>
              <w:ind w:left="12"/>
              <w:jc w:val="center"/>
              <w:rPr>
                <w:sz w:val="18"/>
              </w:rPr>
            </w:pPr>
            <w:r>
              <w:rPr>
                <w:spacing w:val="-2"/>
                <w:sz w:val="18"/>
              </w:rPr>
              <w:t>10241</w:t>
            </w:r>
          </w:p>
        </w:tc>
        <w:tc>
          <w:tcPr>
            <w:tcW w:w="1126" w:type="dxa"/>
            <w:tcBorders>
              <w:bottom w:val="single" w:sz="4" w:space="0" w:color="000000"/>
            </w:tcBorders>
          </w:tcPr>
          <w:p>
            <w:pPr>
              <w:pStyle w:val="TableParagraph"/>
              <w:rPr>
                <w:rFonts w:ascii="Times New Roman"/>
                <w:sz w:val="14"/>
              </w:rPr>
            </w:pPr>
          </w:p>
        </w:tc>
        <w:tc>
          <w:tcPr>
            <w:tcW w:w="1214" w:type="dxa"/>
            <w:tcBorders>
              <w:bottom w:val="single" w:sz="4" w:space="0" w:color="000000"/>
              <w:right w:val="single" w:sz="4" w:space="0" w:color="000000"/>
            </w:tcBorders>
          </w:tcPr>
          <w:p>
            <w:pPr>
              <w:pStyle w:val="TableParagraph"/>
              <w:rPr>
                <w:rFonts w:ascii="Times New Roman"/>
                <w:sz w:val="14"/>
              </w:rPr>
            </w:pPr>
          </w:p>
        </w:tc>
      </w:tr>
      <w:tr>
        <w:trPr>
          <w:trHeight w:val="318" w:hRule="atLeast"/>
        </w:trPr>
        <w:tc>
          <w:tcPr>
            <w:tcW w:w="14224" w:type="dxa"/>
            <w:gridSpan w:val="12"/>
            <w:tcBorders>
              <w:top w:val="single" w:sz="4" w:space="0" w:color="000000"/>
              <w:left w:val="single" w:sz="4" w:space="0" w:color="000000"/>
              <w:right w:val="single" w:sz="4" w:space="0" w:color="000000"/>
            </w:tcBorders>
          </w:tcPr>
          <w:p>
            <w:pPr>
              <w:pStyle w:val="TableParagraph"/>
              <w:spacing w:line="170" w:lineRule="exact" w:before="128"/>
              <w:ind w:left="8807"/>
              <w:rPr>
                <w:sz w:val="18"/>
              </w:rPr>
            </w:pPr>
            <w:r>
              <w:rPr>
                <w:spacing w:val="-2"/>
                <w:sz w:val="18"/>
              </w:rPr>
              <w:t>SESSIONS</w:t>
            </w:r>
          </w:p>
        </w:tc>
      </w:tr>
      <w:tr>
        <w:trPr>
          <w:trHeight w:val="645" w:hRule="atLeast"/>
        </w:trPr>
        <w:tc>
          <w:tcPr>
            <w:tcW w:w="2660" w:type="dxa"/>
            <w:tcBorders>
              <w:top w:val="single" w:sz="6" w:space="0" w:color="000000"/>
              <w:left w:val="single" w:sz="4" w:space="0" w:color="000000"/>
              <w:bottom w:val="single" w:sz="4" w:space="0" w:color="000000"/>
            </w:tcBorders>
          </w:tcPr>
          <w:p>
            <w:pPr>
              <w:pStyle w:val="TableParagraph"/>
              <w:spacing w:before="11"/>
              <w:ind w:left="806" w:right="8"/>
              <w:jc w:val="center"/>
              <w:rPr>
                <w:sz w:val="18"/>
              </w:rPr>
            </w:pPr>
            <w:r>
              <w:rPr>
                <w:spacing w:val="-2"/>
                <w:sz w:val="18"/>
              </w:rPr>
              <w:t>HALLS</w:t>
            </w:r>
          </w:p>
          <w:p>
            <w:pPr>
              <w:pStyle w:val="TableParagraph"/>
              <w:spacing w:line="180" w:lineRule="exact" w:before="61"/>
              <w:ind w:left="110"/>
              <w:rPr>
                <w:sz w:val="18"/>
              </w:rPr>
            </w:pPr>
            <w:r>
              <w:rPr>
                <w:spacing w:val="-4"/>
                <w:sz w:val="18"/>
              </w:rPr>
              <w:t>S/No</w:t>
            </w:r>
          </w:p>
          <w:p>
            <w:pPr>
              <w:pStyle w:val="TableParagraph"/>
              <w:spacing w:line="165" w:lineRule="exact"/>
              <w:ind w:left="806"/>
              <w:jc w:val="center"/>
              <w:rPr>
                <w:sz w:val="18"/>
              </w:rPr>
            </w:pPr>
            <w:r>
              <w:rPr>
                <w:sz w:val="18"/>
              </w:rPr>
              <w:t>Kongo</w:t>
            </w:r>
            <w:r>
              <w:rPr>
                <w:spacing w:val="1"/>
                <w:sz w:val="18"/>
              </w:rPr>
              <w:t> </w:t>
            </w:r>
            <w:r>
              <w:rPr>
                <w:spacing w:val="-2"/>
                <w:sz w:val="18"/>
              </w:rPr>
              <w:t>Campus</w:t>
            </w:r>
          </w:p>
        </w:tc>
        <w:tc>
          <w:tcPr>
            <w:tcW w:w="1666" w:type="dxa"/>
            <w:tcBorders>
              <w:top w:val="single" w:sz="6" w:space="0" w:color="000000"/>
              <w:bottom w:val="single" w:sz="4" w:space="0" w:color="000000"/>
            </w:tcBorders>
          </w:tcPr>
          <w:p>
            <w:pPr>
              <w:pStyle w:val="TableParagraph"/>
              <w:spacing w:before="6"/>
              <w:rPr>
                <w:rFonts w:ascii="Arial"/>
                <w:b/>
                <w:sz w:val="18"/>
              </w:rPr>
            </w:pPr>
          </w:p>
          <w:p>
            <w:pPr>
              <w:pStyle w:val="TableParagraph"/>
              <w:spacing w:line="206" w:lineRule="exact"/>
              <w:ind w:left="152"/>
              <w:rPr>
                <w:sz w:val="18"/>
              </w:rPr>
            </w:pPr>
            <w:r>
              <w:rPr>
                <w:spacing w:val="-4"/>
                <w:sz w:val="18"/>
              </w:rPr>
              <w:t>YEAR </w:t>
            </w:r>
            <w:r>
              <w:rPr>
                <w:spacing w:val="-2"/>
                <w:sz w:val="18"/>
              </w:rPr>
              <w:t>ESTABLISHED</w:t>
            </w:r>
          </w:p>
        </w:tc>
        <w:tc>
          <w:tcPr>
            <w:tcW w:w="898" w:type="dxa"/>
            <w:tcBorders>
              <w:top w:val="single" w:sz="4" w:space="0" w:color="000000"/>
              <w:bottom w:val="single" w:sz="4" w:space="0" w:color="000000"/>
            </w:tcBorders>
          </w:tcPr>
          <w:p>
            <w:pPr>
              <w:pStyle w:val="TableParagraph"/>
              <w:rPr>
                <w:rFonts w:ascii="Arial"/>
                <w:b/>
                <w:sz w:val="18"/>
              </w:rPr>
            </w:pPr>
          </w:p>
          <w:p>
            <w:pPr>
              <w:pStyle w:val="TableParagraph"/>
              <w:spacing w:before="19"/>
              <w:rPr>
                <w:rFonts w:ascii="Arial"/>
                <w:b/>
                <w:sz w:val="18"/>
              </w:rPr>
            </w:pPr>
          </w:p>
          <w:p>
            <w:pPr>
              <w:pStyle w:val="TableParagraph"/>
              <w:spacing w:line="192" w:lineRule="exact"/>
              <w:ind w:left="8" w:right="1"/>
              <w:jc w:val="center"/>
              <w:rPr>
                <w:sz w:val="18"/>
              </w:rPr>
            </w:pPr>
            <w:r>
              <w:rPr>
                <w:spacing w:val="-2"/>
                <w:sz w:val="18"/>
              </w:rPr>
              <w:t>1993/94</w:t>
            </w:r>
          </w:p>
        </w:tc>
        <w:tc>
          <w:tcPr>
            <w:tcW w:w="900" w:type="dxa"/>
            <w:tcBorders>
              <w:top w:val="single" w:sz="4" w:space="0" w:color="000000"/>
              <w:bottom w:val="single" w:sz="4" w:space="0" w:color="000000"/>
            </w:tcBorders>
          </w:tcPr>
          <w:p>
            <w:pPr>
              <w:pStyle w:val="TableParagraph"/>
              <w:rPr>
                <w:rFonts w:ascii="Arial"/>
                <w:b/>
                <w:sz w:val="18"/>
              </w:rPr>
            </w:pPr>
          </w:p>
          <w:p>
            <w:pPr>
              <w:pStyle w:val="TableParagraph"/>
              <w:spacing w:before="19"/>
              <w:rPr>
                <w:rFonts w:ascii="Arial"/>
                <w:b/>
                <w:sz w:val="18"/>
              </w:rPr>
            </w:pPr>
          </w:p>
          <w:p>
            <w:pPr>
              <w:pStyle w:val="TableParagraph"/>
              <w:spacing w:line="192" w:lineRule="exact"/>
              <w:ind w:left="9" w:right="4"/>
              <w:jc w:val="center"/>
              <w:rPr>
                <w:sz w:val="18"/>
              </w:rPr>
            </w:pPr>
            <w:r>
              <w:rPr>
                <w:spacing w:val="-2"/>
                <w:sz w:val="18"/>
              </w:rPr>
              <w:t>1994/95</w:t>
            </w:r>
          </w:p>
        </w:tc>
        <w:tc>
          <w:tcPr>
            <w:tcW w:w="900" w:type="dxa"/>
            <w:tcBorders>
              <w:top w:val="single" w:sz="4" w:space="0" w:color="000000"/>
              <w:bottom w:val="single" w:sz="4" w:space="0" w:color="000000"/>
            </w:tcBorders>
          </w:tcPr>
          <w:p>
            <w:pPr>
              <w:pStyle w:val="TableParagraph"/>
              <w:rPr>
                <w:rFonts w:ascii="Arial"/>
                <w:b/>
                <w:sz w:val="18"/>
              </w:rPr>
            </w:pPr>
          </w:p>
          <w:p>
            <w:pPr>
              <w:pStyle w:val="TableParagraph"/>
              <w:spacing w:before="19"/>
              <w:rPr>
                <w:rFonts w:ascii="Arial"/>
                <w:b/>
                <w:sz w:val="18"/>
              </w:rPr>
            </w:pPr>
          </w:p>
          <w:p>
            <w:pPr>
              <w:pStyle w:val="TableParagraph"/>
              <w:spacing w:line="192" w:lineRule="exact"/>
              <w:ind w:left="11" w:right="2"/>
              <w:jc w:val="center"/>
              <w:rPr>
                <w:sz w:val="18"/>
              </w:rPr>
            </w:pPr>
            <w:r>
              <w:rPr>
                <w:spacing w:val="-2"/>
                <w:sz w:val="18"/>
              </w:rPr>
              <w:t>1995/96</w:t>
            </w:r>
          </w:p>
        </w:tc>
        <w:tc>
          <w:tcPr>
            <w:tcW w:w="900" w:type="dxa"/>
            <w:tcBorders>
              <w:top w:val="single" w:sz="4" w:space="0" w:color="000000"/>
              <w:bottom w:val="single" w:sz="4" w:space="0" w:color="000000"/>
            </w:tcBorders>
          </w:tcPr>
          <w:p>
            <w:pPr>
              <w:pStyle w:val="TableParagraph"/>
              <w:rPr>
                <w:rFonts w:ascii="Arial"/>
                <w:b/>
                <w:sz w:val="18"/>
              </w:rPr>
            </w:pPr>
          </w:p>
          <w:p>
            <w:pPr>
              <w:pStyle w:val="TableParagraph"/>
              <w:spacing w:before="19"/>
              <w:rPr>
                <w:rFonts w:ascii="Arial"/>
                <w:b/>
                <w:sz w:val="18"/>
              </w:rPr>
            </w:pPr>
          </w:p>
          <w:p>
            <w:pPr>
              <w:pStyle w:val="TableParagraph"/>
              <w:spacing w:line="192" w:lineRule="exact"/>
              <w:ind w:left="9" w:right="4"/>
              <w:jc w:val="center"/>
              <w:rPr>
                <w:sz w:val="18"/>
              </w:rPr>
            </w:pPr>
            <w:r>
              <w:rPr>
                <w:spacing w:val="-2"/>
                <w:sz w:val="18"/>
              </w:rPr>
              <w:t>1996/97</w:t>
            </w:r>
          </w:p>
        </w:tc>
        <w:tc>
          <w:tcPr>
            <w:tcW w:w="900" w:type="dxa"/>
            <w:tcBorders>
              <w:top w:val="single" w:sz="4" w:space="0" w:color="000000"/>
              <w:bottom w:val="single" w:sz="4" w:space="0" w:color="000000"/>
            </w:tcBorders>
          </w:tcPr>
          <w:p>
            <w:pPr>
              <w:pStyle w:val="TableParagraph"/>
              <w:rPr>
                <w:rFonts w:ascii="Arial"/>
                <w:b/>
                <w:sz w:val="18"/>
              </w:rPr>
            </w:pPr>
          </w:p>
          <w:p>
            <w:pPr>
              <w:pStyle w:val="TableParagraph"/>
              <w:spacing w:before="19"/>
              <w:rPr>
                <w:rFonts w:ascii="Arial"/>
                <w:b/>
                <w:sz w:val="18"/>
              </w:rPr>
            </w:pPr>
          </w:p>
          <w:p>
            <w:pPr>
              <w:pStyle w:val="TableParagraph"/>
              <w:spacing w:line="192" w:lineRule="exact"/>
              <w:ind w:left="11" w:right="2"/>
              <w:jc w:val="center"/>
              <w:rPr>
                <w:sz w:val="18"/>
              </w:rPr>
            </w:pPr>
            <w:r>
              <w:rPr>
                <w:spacing w:val="-2"/>
                <w:sz w:val="18"/>
              </w:rPr>
              <w:t>1997/98</w:t>
            </w:r>
          </w:p>
        </w:tc>
        <w:tc>
          <w:tcPr>
            <w:tcW w:w="895" w:type="dxa"/>
            <w:tcBorders>
              <w:top w:val="single" w:sz="4" w:space="0" w:color="000000"/>
              <w:bottom w:val="single" w:sz="4" w:space="0" w:color="000000"/>
            </w:tcBorders>
          </w:tcPr>
          <w:p>
            <w:pPr>
              <w:pStyle w:val="TableParagraph"/>
              <w:rPr>
                <w:rFonts w:ascii="Arial"/>
                <w:b/>
                <w:sz w:val="18"/>
              </w:rPr>
            </w:pPr>
          </w:p>
          <w:p>
            <w:pPr>
              <w:pStyle w:val="TableParagraph"/>
              <w:spacing w:before="19"/>
              <w:rPr>
                <w:rFonts w:ascii="Arial"/>
                <w:b/>
                <w:sz w:val="18"/>
              </w:rPr>
            </w:pPr>
          </w:p>
          <w:p>
            <w:pPr>
              <w:pStyle w:val="TableParagraph"/>
              <w:spacing w:line="192" w:lineRule="exact"/>
              <w:ind w:left="10"/>
              <w:jc w:val="center"/>
              <w:rPr>
                <w:sz w:val="18"/>
              </w:rPr>
            </w:pPr>
            <w:r>
              <w:rPr>
                <w:spacing w:val="-2"/>
                <w:sz w:val="18"/>
              </w:rPr>
              <w:t>1998/99</w:t>
            </w:r>
          </w:p>
        </w:tc>
        <w:tc>
          <w:tcPr>
            <w:tcW w:w="1085" w:type="dxa"/>
            <w:tcBorders>
              <w:top w:val="single" w:sz="4" w:space="0" w:color="000000"/>
              <w:bottom w:val="single" w:sz="4" w:space="0" w:color="000000"/>
            </w:tcBorders>
          </w:tcPr>
          <w:p>
            <w:pPr>
              <w:pStyle w:val="TableParagraph"/>
              <w:rPr>
                <w:rFonts w:ascii="Arial"/>
                <w:b/>
                <w:sz w:val="18"/>
              </w:rPr>
            </w:pPr>
          </w:p>
          <w:p>
            <w:pPr>
              <w:pStyle w:val="TableParagraph"/>
              <w:spacing w:before="19"/>
              <w:rPr>
                <w:rFonts w:ascii="Arial"/>
                <w:b/>
                <w:sz w:val="18"/>
              </w:rPr>
            </w:pPr>
          </w:p>
          <w:p>
            <w:pPr>
              <w:pStyle w:val="TableParagraph"/>
              <w:spacing w:line="192" w:lineRule="exact"/>
              <w:ind w:left="12"/>
              <w:jc w:val="center"/>
              <w:rPr>
                <w:sz w:val="18"/>
              </w:rPr>
            </w:pPr>
            <w:r>
              <w:rPr>
                <w:spacing w:val="-2"/>
                <w:sz w:val="18"/>
              </w:rPr>
              <w:t>1999/2000</w:t>
            </w:r>
          </w:p>
        </w:tc>
        <w:tc>
          <w:tcPr>
            <w:tcW w:w="1080" w:type="dxa"/>
            <w:tcBorders>
              <w:top w:val="single" w:sz="4" w:space="0" w:color="000000"/>
              <w:bottom w:val="single" w:sz="4" w:space="0" w:color="000000"/>
            </w:tcBorders>
          </w:tcPr>
          <w:p>
            <w:pPr>
              <w:pStyle w:val="TableParagraph"/>
              <w:rPr>
                <w:rFonts w:ascii="Arial"/>
                <w:b/>
                <w:sz w:val="18"/>
              </w:rPr>
            </w:pPr>
          </w:p>
          <w:p>
            <w:pPr>
              <w:pStyle w:val="TableParagraph"/>
              <w:spacing w:before="19"/>
              <w:rPr>
                <w:rFonts w:ascii="Arial"/>
                <w:b/>
                <w:sz w:val="18"/>
              </w:rPr>
            </w:pPr>
          </w:p>
          <w:p>
            <w:pPr>
              <w:pStyle w:val="TableParagraph"/>
              <w:spacing w:line="192" w:lineRule="exact"/>
              <w:ind w:left="12" w:right="5"/>
              <w:jc w:val="center"/>
              <w:rPr>
                <w:sz w:val="18"/>
              </w:rPr>
            </w:pPr>
            <w:r>
              <w:rPr>
                <w:spacing w:val="-2"/>
                <w:sz w:val="18"/>
              </w:rPr>
              <w:t>2000/2001</w:t>
            </w:r>
          </w:p>
        </w:tc>
        <w:tc>
          <w:tcPr>
            <w:tcW w:w="1126" w:type="dxa"/>
            <w:tcBorders>
              <w:top w:val="single" w:sz="4" w:space="0" w:color="000000"/>
              <w:bottom w:val="single" w:sz="4" w:space="0" w:color="000000"/>
            </w:tcBorders>
          </w:tcPr>
          <w:p>
            <w:pPr>
              <w:pStyle w:val="TableParagraph"/>
              <w:rPr>
                <w:rFonts w:ascii="Arial"/>
                <w:b/>
                <w:sz w:val="18"/>
              </w:rPr>
            </w:pPr>
          </w:p>
          <w:p>
            <w:pPr>
              <w:pStyle w:val="TableParagraph"/>
              <w:spacing w:before="19"/>
              <w:rPr>
                <w:rFonts w:ascii="Arial"/>
                <w:b/>
                <w:sz w:val="18"/>
              </w:rPr>
            </w:pPr>
          </w:p>
          <w:p>
            <w:pPr>
              <w:pStyle w:val="TableParagraph"/>
              <w:spacing w:line="192" w:lineRule="exact"/>
              <w:ind w:right="36"/>
              <w:jc w:val="center"/>
              <w:rPr>
                <w:sz w:val="18"/>
              </w:rPr>
            </w:pPr>
            <w:r>
              <w:rPr>
                <w:spacing w:val="-2"/>
                <w:sz w:val="18"/>
              </w:rPr>
              <w:t>2001/2002</w:t>
            </w:r>
          </w:p>
        </w:tc>
        <w:tc>
          <w:tcPr>
            <w:tcW w:w="1214" w:type="dxa"/>
            <w:tcBorders>
              <w:top w:val="single" w:sz="4" w:space="0" w:color="000000"/>
              <w:bottom w:val="single" w:sz="4" w:space="0" w:color="000000"/>
              <w:right w:val="single" w:sz="4" w:space="0" w:color="000000"/>
            </w:tcBorders>
          </w:tcPr>
          <w:p>
            <w:pPr>
              <w:pStyle w:val="TableParagraph"/>
              <w:rPr>
                <w:rFonts w:ascii="Arial"/>
                <w:b/>
                <w:sz w:val="18"/>
              </w:rPr>
            </w:pPr>
          </w:p>
          <w:p>
            <w:pPr>
              <w:pStyle w:val="TableParagraph"/>
              <w:spacing w:before="19"/>
              <w:rPr>
                <w:rFonts w:ascii="Arial"/>
                <w:b/>
                <w:sz w:val="18"/>
              </w:rPr>
            </w:pPr>
          </w:p>
          <w:p>
            <w:pPr>
              <w:pStyle w:val="TableParagraph"/>
              <w:spacing w:line="192" w:lineRule="exact"/>
              <w:ind w:right="28"/>
              <w:jc w:val="center"/>
              <w:rPr>
                <w:sz w:val="18"/>
              </w:rPr>
            </w:pPr>
            <w:r>
              <w:rPr>
                <w:spacing w:val="-2"/>
                <w:sz w:val="18"/>
              </w:rPr>
              <w:t>2002/2003</w:t>
            </w:r>
          </w:p>
        </w:tc>
      </w:tr>
      <w:tr>
        <w:trPr>
          <w:trHeight w:val="365" w:hRule="atLeast"/>
        </w:trPr>
        <w:tc>
          <w:tcPr>
            <w:tcW w:w="2660" w:type="dxa"/>
            <w:tcBorders>
              <w:top w:val="single" w:sz="4" w:space="0" w:color="000000"/>
              <w:left w:val="single" w:sz="4" w:space="0" w:color="000000"/>
            </w:tcBorders>
          </w:tcPr>
          <w:p>
            <w:pPr>
              <w:pStyle w:val="TableParagraph"/>
              <w:tabs>
                <w:tab w:pos="863" w:val="left" w:leader="none"/>
              </w:tabs>
              <w:spacing w:line="198" w:lineRule="exact" w:before="147"/>
              <w:ind w:left="302"/>
              <w:rPr>
                <w:sz w:val="18"/>
              </w:rPr>
            </w:pPr>
            <w:r>
              <w:rPr>
                <w:spacing w:val="-5"/>
                <w:sz w:val="18"/>
              </w:rPr>
              <w:t>1.</w:t>
            </w:r>
            <w:r>
              <w:rPr>
                <w:sz w:val="18"/>
              </w:rPr>
              <w:tab/>
            </w:r>
            <w:r>
              <w:rPr>
                <w:spacing w:val="-2"/>
                <w:sz w:val="18"/>
              </w:rPr>
              <w:t>Bedde</w:t>
            </w:r>
          </w:p>
        </w:tc>
        <w:tc>
          <w:tcPr>
            <w:tcW w:w="1666" w:type="dxa"/>
            <w:tcBorders>
              <w:top w:val="single" w:sz="4" w:space="0" w:color="000000"/>
            </w:tcBorders>
          </w:tcPr>
          <w:p>
            <w:pPr>
              <w:pStyle w:val="TableParagraph"/>
              <w:spacing w:line="198" w:lineRule="exact" w:before="147"/>
              <w:ind w:left="70" w:right="28"/>
              <w:jc w:val="center"/>
              <w:rPr>
                <w:sz w:val="18"/>
              </w:rPr>
            </w:pPr>
            <w:r>
              <w:rPr>
                <w:spacing w:val="-4"/>
                <w:sz w:val="18"/>
              </w:rPr>
              <w:t>1962</w:t>
            </w:r>
          </w:p>
        </w:tc>
        <w:tc>
          <w:tcPr>
            <w:tcW w:w="898" w:type="dxa"/>
            <w:vMerge w:val="restart"/>
            <w:tcBorders>
              <w:top w:val="single" w:sz="4" w:space="0" w:color="000000"/>
              <w:bottom w:val="single" w:sz="4" w:space="0" w:color="000000"/>
            </w:tcBorders>
          </w:tcPr>
          <w:p>
            <w:pPr>
              <w:pStyle w:val="TableParagraph"/>
              <w:rPr>
                <w:rFonts w:ascii="Times New Roman"/>
                <w:sz w:val="18"/>
              </w:rPr>
            </w:pPr>
          </w:p>
        </w:tc>
        <w:tc>
          <w:tcPr>
            <w:tcW w:w="900" w:type="dxa"/>
            <w:tcBorders>
              <w:top w:val="single" w:sz="4" w:space="0" w:color="000000"/>
            </w:tcBorders>
          </w:tcPr>
          <w:p>
            <w:pPr>
              <w:pStyle w:val="TableParagraph"/>
              <w:spacing w:line="198" w:lineRule="exact" w:before="147"/>
              <w:ind w:left="9" w:right="7"/>
              <w:jc w:val="center"/>
              <w:rPr>
                <w:sz w:val="18"/>
              </w:rPr>
            </w:pPr>
            <w:r>
              <w:rPr>
                <w:spacing w:val="-10"/>
                <w:sz w:val="18"/>
              </w:rPr>
              <w:t>-</w:t>
            </w:r>
          </w:p>
        </w:tc>
        <w:tc>
          <w:tcPr>
            <w:tcW w:w="900" w:type="dxa"/>
            <w:vMerge w:val="restart"/>
            <w:tcBorders>
              <w:top w:val="single" w:sz="4" w:space="0" w:color="000000"/>
              <w:bottom w:val="single" w:sz="4" w:space="0" w:color="000000"/>
            </w:tcBorders>
          </w:tcPr>
          <w:p>
            <w:pPr>
              <w:pStyle w:val="TableParagraph"/>
              <w:rPr>
                <w:rFonts w:ascii="Times New Roman"/>
                <w:sz w:val="18"/>
              </w:rPr>
            </w:pPr>
          </w:p>
        </w:tc>
        <w:tc>
          <w:tcPr>
            <w:tcW w:w="900" w:type="dxa"/>
            <w:vMerge w:val="restart"/>
            <w:tcBorders>
              <w:top w:val="single" w:sz="4" w:space="0" w:color="000000"/>
              <w:bottom w:val="single" w:sz="4" w:space="0" w:color="000000"/>
            </w:tcBorders>
          </w:tcPr>
          <w:p>
            <w:pPr>
              <w:pStyle w:val="TableParagraph"/>
              <w:rPr>
                <w:rFonts w:ascii="Times New Roman"/>
                <w:sz w:val="18"/>
              </w:rPr>
            </w:pPr>
          </w:p>
        </w:tc>
        <w:tc>
          <w:tcPr>
            <w:tcW w:w="900" w:type="dxa"/>
            <w:vMerge w:val="restart"/>
            <w:tcBorders>
              <w:top w:val="single" w:sz="4" w:space="0" w:color="000000"/>
              <w:bottom w:val="single" w:sz="4" w:space="0" w:color="000000"/>
            </w:tcBorders>
          </w:tcPr>
          <w:p>
            <w:pPr>
              <w:pStyle w:val="TableParagraph"/>
              <w:rPr>
                <w:rFonts w:ascii="Times New Roman"/>
                <w:sz w:val="18"/>
              </w:rPr>
            </w:pPr>
          </w:p>
        </w:tc>
        <w:tc>
          <w:tcPr>
            <w:tcW w:w="895" w:type="dxa"/>
            <w:tcBorders>
              <w:top w:val="single" w:sz="4" w:space="0" w:color="000000"/>
            </w:tcBorders>
          </w:tcPr>
          <w:p>
            <w:pPr>
              <w:pStyle w:val="TableParagraph"/>
              <w:spacing w:line="198" w:lineRule="exact" w:before="147"/>
              <w:ind w:left="10" w:right="10"/>
              <w:jc w:val="center"/>
              <w:rPr>
                <w:sz w:val="18"/>
              </w:rPr>
            </w:pPr>
            <w:r>
              <w:rPr>
                <w:spacing w:val="-5"/>
                <w:sz w:val="18"/>
              </w:rPr>
              <w:t>224</w:t>
            </w:r>
          </w:p>
        </w:tc>
        <w:tc>
          <w:tcPr>
            <w:tcW w:w="1085" w:type="dxa"/>
            <w:vMerge w:val="restart"/>
            <w:tcBorders>
              <w:top w:val="single" w:sz="4" w:space="0" w:color="000000"/>
              <w:bottom w:val="single" w:sz="4" w:space="0" w:color="000000"/>
            </w:tcBorders>
          </w:tcPr>
          <w:p>
            <w:pPr>
              <w:pStyle w:val="TableParagraph"/>
              <w:rPr>
                <w:rFonts w:ascii="Times New Roman"/>
                <w:sz w:val="18"/>
              </w:rPr>
            </w:pPr>
          </w:p>
        </w:tc>
        <w:tc>
          <w:tcPr>
            <w:tcW w:w="1080" w:type="dxa"/>
            <w:vMerge w:val="restart"/>
            <w:tcBorders>
              <w:top w:val="single" w:sz="4" w:space="0" w:color="000000"/>
              <w:bottom w:val="single" w:sz="4" w:space="0" w:color="000000"/>
            </w:tcBorders>
          </w:tcPr>
          <w:p>
            <w:pPr>
              <w:pStyle w:val="TableParagraph"/>
              <w:rPr>
                <w:rFonts w:ascii="Times New Roman"/>
                <w:sz w:val="18"/>
              </w:rPr>
            </w:pPr>
          </w:p>
        </w:tc>
        <w:tc>
          <w:tcPr>
            <w:tcW w:w="1126" w:type="dxa"/>
            <w:vMerge w:val="restart"/>
            <w:tcBorders>
              <w:top w:val="single" w:sz="4" w:space="0" w:color="000000"/>
              <w:bottom w:val="single" w:sz="4" w:space="0" w:color="000000"/>
            </w:tcBorders>
          </w:tcPr>
          <w:p>
            <w:pPr>
              <w:pStyle w:val="TableParagraph"/>
              <w:rPr>
                <w:rFonts w:ascii="Times New Roman"/>
                <w:sz w:val="18"/>
              </w:rPr>
            </w:pPr>
          </w:p>
        </w:tc>
        <w:tc>
          <w:tcPr>
            <w:tcW w:w="1214" w:type="dxa"/>
            <w:vMerge w:val="restart"/>
            <w:tcBorders>
              <w:top w:val="single" w:sz="4" w:space="0" w:color="000000"/>
              <w:bottom w:val="single" w:sz="4" w:space="0" w:color="000000"/>
              <w:right w:val="single" w:sz="4" w:space="0" w:color="000000"/>
            </w:tcBorders>
          </w:tcPr>
          <w:p>
            <w:pPr>
              <w:pStyle w:val="TableParagraph"/>
              <w:rPr>
                <w:rFonts w:ascii="Times New Roman"/>
                <w:sz w:val="18"/>
              </w:rPr>
            </w:pPr>
          </w:p>
        </w:tc>
      </w:tr>
      <w:tr>
        <w:trPr>
          <w:trHeight w:val="210" w:hRule="atLeast"/>
        </w:trPr>
        <w:tc>
          <w:tcPr>
            <w:tcW w:w="2660" w:type="dxa"/>
            <w:tcBorders>
              <w:left w:val="single" w:sz="4" w:space="0" w:color="000000"/>
            </w:tcBorders>
          </w:tcPr>
          <w:p>
            <w:pPr>
              <w:pStyle w:val="TableParagraph"/>
              <w:tabs>
                <w:tab w:pos="863" w:val="left" w:leader="none"/>
              </w:tabs>
              <w:spacing w:line="184" w:lineRule="exact" w:before="7"/>
              <w:ind w:left="302"/>
              <w:rPr>
                <w:sz w:val="18"/>
              </w:rPr>
            </w:pPr>
            <w:r>
              <w:rPr>
                <w:spacing w:val="-5"/>
                <w:sz w:val="18"/>
              </w:rPr>
              <w:t>2.</w:t>
            </w:r>
            <w:r>
              <w:rPr>
                <w:sz w:val="18"/>
              </w:rPr>
              <w:tab/>
              <w:t>Hostel</w:t>
            </w:r>
            <w:r>
              <w:rPr>
                <w:spacing w:val="-4"/>
                <w:sz w:val="18"/>
              </w:rPr>
              <w:t> </w:t>
            </w:r>
            <w:r>
              <w:rPr>
                <w:spacing w:val="-10"/>
                <w:sz w:val="18"/>
              </w:rPr>
              <w:t>I</w:t>
            </w:r>
          </w:p>
        </w:tc>
        <w:tc>
          <w:tcPr>
            <w:tcW w:w="1666" w:type="dxa"/>
          </w:tcPr>
          <w:p>
            <w:pPr>
              <w:pStyle w:val="TableParagraph"/>
              <w:spacing w:line="184" w:lineRule="exact" w:before="7"/>
              <w:ind w:left="70" w:right="28"/>
              <w:jc w:val="center"/>
              <w:rPr>
                <w:sz w:val="18"/>
              </w:rPr>
            </w:pPr>
            <w:r>
              <w:rPr>
                <w:spacing w:val="-4"/>
                <w:sz w:val="18"/>
              </w:rPr>
              <w:t>1962</w:t>
            </w:r>
          </w:p>
        </w:tc>
        <w:tc>
          <w:tcPr>
            <w:tcW w:w="898" w:type="dxa"/>
            <w:vMerge/>
            <w:tcBorders>
              <w:top w:val="nil"/>
              <w:bottom w:val="single" w:sz="4" w:space="0" w:color="000000"/>
            </w:tcBorders>
          </w:tcPr>
          <w:p>
            <w:pPr>
              <w:rPr>
                <w:sz w:val="2"/>
                <w:szCs w:val="2"/>
              </w:rPr>
            </w:pPr>
          </w:p>
        </w:tc>
        <w:tc>
          <w:tcPr>
            <w:tcW w:w="900" w:type="dxa"/>
          </w:tcPr>
          <w:p>
            <w:pPr>
              <w:pStyle w:val="TableParagraph"/>
              <w:spacing w:line="184" w:lineRule="exact" w:before="7"/>
              <w:ind w:left="9" w:right="7"/>
              <w:jc w:val="center"/>
              <w:rPr>
                <w:sz w:val="18"/>
              </w:rPr>
            </w:pPr>
            <w:r>
              <w:rPr>
                <w:spacing w:val="-10"/>
                <w:sz w:val="18"/>
              </w:rPr>
              <w:t>-</w:t>
            </w:r>
          </w:p>
        </w:tc>
        <w:tc>
          <w:tcPr>
            <w:tcW w:w="900" w:type="dxa"/>
            <w:vMerge/>
            <w:tcBorders>
              <w:top w:val="nil"/>
              <w:bottom w:val="single" w:sz="4" w:space="0" w:color="000000"/>
            </w:tcBorders>
          </w:tcPr>
          <w:p>
            <w:pPr>
              <w:rPr>
                <w:sz w:val="2"/>
                <w:szCs w:val="2"/>
              </w:rPr>
            </w:pPr>
          </w:p>
        </w:tc>
        <w:tc>
          <w:tcPr>
            <w:tcW w:w="900" w:type="dxa"/>
            <w:vMerge/>
            <w:tcBorders>
              <w:top w:val="nil"/>
              <w:bottom w:val="single" w:sz="4" w:space="0" w:color="000000"/>
            </w:tcBorders>
          </w:tcPr>
          <w:p>
            <w:pPr>
              <w:rPr>
                <w:sz w:val="2"/>
                <w:szCs w:val="2"/>
              </w:rPr>
            </w:pPr>
          </w:p>
        </w:tc>
        <w:tc>
          <w:tcPr>
            <w:tcW w:w="900" w:type="dxa"/>
            <w:vMerge/>
            <w:tcBorders>
              <w:top w:val="nil"/>
              <w:bottom w:val="single" w:sz="4" w:space="0" w:color="000000"/>
            </w:tcBorders>
          </w:tcPr>
          <w:p>
            <w:pPr>
              <w:rPr>
                <w:sz w:val="2"/>
                <w:szCs w:val="2"/>
              </w:rPr>
            </w:pPr>
          </w:p>
        </w:tc>
        <w:tc>
          <w:tcPr>
            <w:tcW w:w="895" w:type="dxa"/>
          </w:tcPr>
          <w:p>
            <w:pPr>
              <w:pStyle w:val="TableParagraph"/>
              <w:spacing w:line="184" w:lineRule="exact" w:before="7"/>
              <w:ind w:left="10" w:right="10"/>
              <w:jc w:val="center"/>
              <w:rPr>
                <w:sz w:val="18"/>
              </w:rPr>
            </w:pPr>
            <w:r>
              <w:rPr>
                <w:spacing w:val="-5"/>
                <w:sz w:val="18"/>
              </w:rPr>
              <w:t>238</w:t>
            </w:r>
          </w:p>
        </w:tc>
        <w:tc>
          <w:tcPr>
            <w:tcW w:w="1085" w:type="dxa"/>
            <w:vMerge/>
            <w:tcBorders>
              <w:top w:val="nil"/>
              <w:bottom w:val="single" w:sz="4" w:space="0" w:color="000000"/>
            </w:tcBorders>
          </w:tcPr>
          <w:p>
            <w:pPr>
              <w:rPr>
                <w:sz w:val="2"/>
                <w:szCs w:val="2"/>
              </w:rPr>
            </w:pPr>
          </w:p>
        </w:tc>
        <w:tc>
          <w:tcPr>
            <w:tcW w:w="1080" w:type="dxa"/>
            <w:vMerge/>
            <w:tcBorders>
              <w:top w:val="nil"/>
              <w:bottom w:val="single" w:sz="4" w:space="0" w:color="000000"/>
            </w:tcBorders>
          </w:tcPr>
          <w:p>
            <w:pPr>
              <w:rPr>
                <w:sz w:val="2"/>
                <w:szCs w:val="2"/>
              </w:rPr>
            </w:pPr>
          </w:p>
        </w:tc>
        <w:tc>
          <w:tcPr>
            <w:tcW w:w="1126" w:type="dxa"/>
            <w:vMerge/>
            <w:tcBorders>
              <w:top w:val="nil"/>
              <w:bottom w:val="single" w:sz="4" w:space="0" w:color="000000"/>
            </w:tcBorders>
          </w:tcPr>
          <w:p>
            <w:pPr>
              <w:rPr>
                <w:sz w:val="2"/>
                <w:szCs w:val="2"/>
              </w:rPr>
            </w:pPr>
          </w:p>
        </w:tc>
        <w:tc>
          <w:tcPr>
            <w:tcW w:w="1214" w:type="dxa"/>
            <w:vMerge/>
            <w:tcBorders>
              <w:top w:val="nil"/>
              <w:bottom w:val="single" w:sz="4" w:space="0" w:color="000000"/>
              <w:right w:val="single" w:sz="4" w:space="0" w:color="000000"/>
            </w:tcBorders>
          </w:tcPr>
          <w:p>
            <w:pPr>
              <w:rPr>
                <w:sz w:val="2"/>
                <w:szCs w:val="2"/>
              </w:rPr>
            </w:pPr>
          </w:p>
        </w:tc>
      </w:tr>
      <w:tr>
        <w:trPr>
          <w:trHeight w:val="196" w:hRule="atLeast"/>
        </w:trPr>
        <w:tc>
          <w:tcPr>
            <w:tcW w:w="2660" w:type="dxa"/>
            <w:tcBorders>
              <w:left w:val="single" w:sz="4" w:space="0" w:color="000000"/>
            </w:tcBorders>
          </w:tcPr>
          <w:p>
            <w:pPr>
              <w:pStyle w:val="TableParagraph"/>
              <w:tabs>
                <w:tab w:pos="863" w:val="left" w:leader="none"/>
              </w:tabs>
              <w:spacing w:line="176" w:lineRule="exact"/>
              <w:ind w:left="302"/>
              <w:rPr>
                <w:sz w:val="18"/>
              </w:rPr>
            </w:pPr>
            <w:r>
              <w:rPr>
                <w:spacing w:val="-5"/>
                <w:sz w:val="18"/>
              </w:rPr>
              <w:t>3.</w:t>
            </w:r>
            <w:r>
              <w:rPr>
                <w:sz w:val="18"/>
              </w:rPr>
              <w:tab/>
              <w:t>Hostel</w:t>
            </w:r>
            <w:r>
              <w:rPr>
                <w:spacing w:val="-1"/>
                <w:sz w:val="18"/>
              </w:rPr>
              <w:t> </w:t>
            </w:r>
            <w:r>
              <w:rPr>
                <w:sz w:val="18"/>
              </w:rPr>
              <w:t>II</w:t>
            </w:r>
            <w:r>
              <w:rPr>
                <w:spacing w:val="-1"/>
                <w:sz w:val="18"/>
              </w:rPr>
              <w:t> </w:t>
            </w:r>
            <w:r>
              <w:rPr>
                <w:sz w:val="18"/>
              </w:rPr>
              <w:t>&amp;</w:t>
            </w:r>
            <w:r>
              <w:rPr>
                <w:spacing w:val="-4"/>
                <w:sz w:val="18"/>
              </w:rPr>
              <w:t> Ext.</w:t>
            </w:r>
          </w:p>
        </w:tc>
        <w:tc>
          <w:tcPr>
            <w:tcW w:w="1666" w:type="dxa"/>
          </w:tcPr>
          <w:p>
            <w:pPr>
              <w:pStyle w:val="TableParagraph"/>
              <w:spacing w:line="176" w:lineRule="exact"/>
              <w:ind w:left="70" w:right="28"/>
              <w:jc w:val="center"/>
              <w:rPr>
                <w:sz w:val="18"/>
              </w:rPr>
            </w:pPr>
            <w:r>
              <w:rPr>
                <w:spacing w:val="-4"/>
                <w:sz w:val="18"/>
              </w:rPr>
              <w:t>1962</w:t>
            </w:r>
          </w:p>
        </w:tc>
        <w:tc>
          <w:tcPr>
            <w:tcW w:w="898" w:type="dxa"/>
            <w:vMerge/>
            <w:tcBorders>
              <w:top w:val="nil"/>
              <w:bottom w:val="single" w:sz="4" w:space="0" w:color="000000"/>
            </w:tcBorders>
          </w:tcPr>
          <w:p>
            <w:pPr>
              <w:rPr>
                <w:sz w:val="2"/>
                <w:szCs w:val="2"/>
              </w:rPr>
            </w:pPr>
          </w:p>
        </w:tc>
        <w:tc>
          <w:tcPr>
            <w:tcW w:w="900" w:type="dxa"/>
          </w:tcPr>
          <w:p>
            <w:pPr>
              <w:pStyle w:val="TableParagraph"/>
              <w:spacing w:line="176" w:lineRule="exact"/>
              <w:ind w:left="9" w:right="7"/>
              <w:jc w:val="center"/>
              <w:rPr>
                <w:sz w:val="18"/>
              </w:rPr>
            </w:pPr>
            <w:r>
              <w:rPr>
                <w:spacing w:val="-10"/>
                <w:sz w:val="18"/>
              </w:rPr>
              <w:t>-</w:t>
            </w:r>
          </w:p>
        </w:tc>
        <w:tc>
          <w:tcPr>
            <w:tcW w:w="900" w:type="dxa"/>
            <w:vMerge/>
            <w:tcBorders>
              <w:top w:val="nil"/>
              <w:bottom w:val="single" w:sz="4" w:space="0" w:color="000000"/>
            </w:tcBorders>
          </w:tcPr>
          <w:p>
            <w:pPr>
              <w:rPr>
                <w:sz w:val="2"/>
                <w:szCs w:val="2"/>
              </w:rPr>
            </w:pPr>
          </w:p>
        </w:tc>
        <w:tc>
          <w:tcPr>
            <w:tcW w:w="900" w:type="dxa"/>
            <w:vMerge/>
            <w:tcBorders>
              <w:top w:val="nil"/>
              <w:bottom w:val="single" w:sz="4" w:space="0" w:color="000000"/>
            </w:tcBorders>
          </w:tcPr>
          <w:p>
            <w:pPr>
              <w:rPr>
                <w:sz w:val="2"/>
                <w:szCs w:val="2"/>
              </w:rPr>
            </w:pPr>
          </w:p>
        </w:tc>
        <w:tc>
          <w:tcPr>
            <w:tcW w:w="900" w:type="dxa"/>
            <w:vMerge/>
            <w:tcBorders>
              <w:top w:val="nil"/>
              <w:bottom w:val="single" w:sz="4" w:space="0" w:color="000000"/>
            </w:tcBorders>
          </w:tcPr>
          <w:p>
            <w:pPr>
              <w:rPr>
                <w:sz w:val="2"/>
                <w:szCs w:val="2"/>
              </w:rPr>
            </w:pPr>
          </w:p>
        </w:tc>
        <w:tc>
          <w:tcPr>
            <w:tcW w:w="895" w:type="dxa"/>
          </w:tcPr>
          <w:p>
            <w:pPr>
              <w:pStyle w:val="TableParagraph"/>
              <w:spacing w:line="176" w:lineRule="exact"/>
              <w:ind w:left="10" w:right="10"/>
              <w:jc w:val="center"/>
              <w:rPr>
                <w:sz w:val="18"/>
              </w:rPr>
            </w:pPr>
            <w:r>
              <w:rPr>
                <w:spacing w:val="-5"/>
                <w:sz w:val="18"/>
              </w:rPr>
              <w:t>300</w:t>
            </w:r>
          </w:p>
        </w:tc>
        <w:tc>
          <w:tcPr>
            <w:tcW w:w="1085" w:type="dxa"/>
            <w:vMerge/>
            <w:tcBorders>
              <w:top w:val="nil"/>
              <w:bottom w:val="single" w:sz="4" w:space="0" w:color="000000"/>
            </w:tcBorders>
          </w:tcPr>
          <w:p>
            <w:pPr>
              <w:rPr>
                <w:sz w:val="2"/>
                <w:szCs w:val="2"/>
              </w:rPr>
            </w:pPr>
          </w:p>
        </w:tc>
        <w:tc>
          <w:tcPr>
            <w:tcW w:w="1080" w:type="dxa"/>
            <w:vMerge/>
            <w:tcBorders>
              <w:top w:val="nil"/>
              <w:bottom w:val="single" w:sz="4" w:space="0" w:color="000000"/>
            </w:tcBorders>
          </w:tcPr>
          <w:p>
            <w:pPr>
              <w:rPr>
                <w:sz w:val="2"/>
                <w:szCs w:val="2"/>
              </w:rPr>
            </w:pPr>
          </w:p>
        </w:tc>
        <w:tc>
          <w:tcPr>
            <w:tcW w:w="1126" w:type="dxa"/>
            <w:vMerge/>
            <w:tcBorders>
              <w:top w:val="nil"/>
              <w:bottom w:val="single" w:sz="4" w:space="0" w:color="000000"/>
            </w:tcBorders>
          </w:tcPr>
          <w:p>
            <w:pPr>
              <w:rPr>
                <w:sz w:val="2"/>
                <w:szCs w:val="2"/>
              </w:rPr>
            </w:pPr>
          </w:p>
        </w:tc>
        <w:tc>
          <w:tcPr>
            <w:tcW w:w="1214" w:type="dxa"/>
            <w:vMerge/>
            <w:tcBorders>
              <w:top w:val="nil"/>
              <w:bottom w:val="single" w:sz="4" w:space="0" w:color="000000"/>
              <w:right w:val="single" w:sz="4" w:space="0" w:color="000000"/>
            </w:tcBorders>
          </w:tcPr>
          <w:p>
            <w:pPr>
              <w:rPr>
                <w:sz w:val="2"/>
                <w:szCs w:val="2"/>
              </w:rPr>
            </w:pPr>
          </w:p>
        </w:tc>
      </w:tr>
      <w:tr>
        <w:trPr>
          <w:trHeight w:val="196" w:hRule="atLeast"/>
        </w:trPr>
        <w:tc>
          <w:tcPr>
            <w:tcW w:w="2660" w:type="dxa"/>
            <w:tcBorders>
              <w:left w:val="single" w:sz="4" w:space="0" w:color="000000"/>
            </w:tcBorders>
          </w:tcPr>
          <w:p>
            <w:pPr>
              <w:pStyle w:val="TableParagraph"/>
              <w:tabs>
                <w:tab w:pos="863" w:val="left" w:leader="none"/>
              </w:tabs>
              <w:spacing w:line="176" w:lineRule="exact"/>
              <w:ind w:left="302"/>
              <w:rPr>
                <w:sz w:val="18"/>
              </w:rPr>
            </w:pPr>
            <w:r>
              <w:rPr>
                <w:spacing w:val="-5"/>
                <w:sz w:val="18"/>
              </w:rPr>
              <w:t>4.</w:t>
            </w:r>
            <w:r>
              <w:rPr>
                <w:sz w:val="18"/>
              </w:rPr>
              <w:tab/>
              <w:t>Hostel</w:t>
            </w:r>
            <w:r>
              <w:rPr>
                <w:spacing w:val="-2"/>
                <w:sz w:val="18"/>
              </w:rPr>
              <w:t> </w:t>
            </w:r>
            <w:r>
              <w:rPr>
                <w:sz w:val="18"/>
              </w:rPr>
              <w:t>III</w:t>
            </w:r>
            <w:r>
              <w:rPr>
                <w:spacing w:val="-2"/>
                <w:sz w:val="18"/>
              </w:rPr>
              <w:t> </w:t>
            </w:r>
            <w:r>
              <w:rPr>
                <w:sz w:val="18"/>
              </w:rPr>
              <w:t>&amp;</w:t>
            </w:r>
            <w:r>
              <w:rPr>
                <w:spacing w:val="-1"/>
                <w:sz w:val="18"/>
              </w:rPr>
              <w:t> </w:t>
            </w:r>
            <w:r>
              <w:rPr>
                <w:spacing w:val="-4"/>
                <w:sz w:val="18"/>
              </w:rPr>
              <w:t>Ext.</w:t>
            </w:r>
          </w:p>
        </w:tc>
        <w:tc>
          <w:tcPr>
            <w:tcW w:w="1666" w:type="dxa"/>
          </w:tcPr>
          <w:p>
            <w:pPr>
              <w:pStyle w:val="TableParagraph"/>
              <w:spacing w:line="176" w:lineRule="exact"/>
              <w:ind w:left="70" w:right="28"/>
              <w:jc w:val="center"/>
              <w:rPr>
                <w:sz w:val="18"/>
              </w:rPr>
            </w:pPr>
            <w:r>
              <w:rPr>
                <w:spacing w:val="-4"/>
                <w:sz w:val="18"/>
              </w:rPr>
              <w:t>1962</w:t>
            </w:r>
          </w:p>
        </w:tc>
        <w:tc>
          <w:tcPr>
            <w:tcW w:w="898" w:type="dxa"/>
            <w:vMerge/>
            <w:tcBorders>
              <w:top w:val="nil"/>
              <w:bottom w:val="single" w:sz="4" w:space="0" w:color="000000"/>
            </w:tcBorders>
          </w:tcPr>
          <w:p>
            <w:pPr>
              <w:rPr>
                <w:sz w:val="2"/>
                <w:szCs w:val="2"/>
              </w:rPr>
            </w:pPr>
          </w:p>
        </w:tc>
        <w:tc>
          <w:tcPr>
            <w:tcW w:w="900" w:type="dxa"/>
          </w:tcPr>
          <w:p>
            <w:pPr>
              <w:pStyle w:val="TableParagraph"/>
              <w:spacing w:line="176" w:lineRule="exact"/>
              <w:ind w:left="9" w:right="7"/>
              <w:jc w:val="center"/>
              <w:rPr>
                <w:sz w:val="18"/>
              </w:rPr>
            </w:pPr>
            <w:r>
              <w:rPr>
                <w:spacing w:val="-10"/>
                <w:sz w:val="18"/>
              </w:rPr>
              <w:t>-</w:t>
            </w:r>
          </w:p>
        </w:tc>
        <w:tc>
          <w:tcPr>
            <w:tcW w:w="900" w:type="dxa"/>
            <w:vMerge/>
            <w:tcBorders>
              <w:top w:val="nil"/>
              <w:bottom w:val="single" w:sz="4" w:space="0" w:color="000000"/>
            </w:tcBorders>
          </w:tcPr>
          <w:p>
            <w:pPr>
              <w:rPr>
                <w:sz w:val="2"/>
                <w:szCs w:val="2"/>
              </w:rPr>
            </w:pPr>
          </w:p>
        </w:tc>
        <w:tc>
          <w:tcPr>
            <w:tcW w:w="900" w:type="dxa"/>
            <w:vMerge/>
            <w:tcBorders>
              <w:top w:val="nil"/>
              <w:bottom w:val="single" w:sz="4" w:space="0" w:color="000000"/>
            </w:tcBorders>
          </w:tcPr>
          <w:p>
            <w:pPr>
              <w:rPr>
                <w:sz w:val="2"/>
                <w:szCs w:val="2"/>
              </w:rPr>
            </w:pPr>
          </w:p>
        </w:tc>
        <w:tc>
          <w:tcPr>
            <w:tcW w:w="900" w:type="dxa"/>
            <w:vMerge/>
            <w:tcBorders>
              <w:top w:val="nil"/>
              <w:bottom w:val="single" w:sz="4" w:space="0" w:color="000000"/>
            </w:tcBorders>
          </w:tcPr>
          <w:p>
            <w:pPr>
              <w:rPr>
                <w:sz w:val="2"/>
                <w:szCs w:val="2"/>
              </w:rPr>
            </w:pPr>
          </w:p>
        </w:tc>
        <w:tc>
          <w:tcPr>
            <w:tcW w:w="895" w:type="dxa"/>
          </w:tcPr>
          <w:p>
            <w:pPr>
              <w:pStyle w:val="TableParagraph"/>
              <w:spacing w:line="176" w:lineRule="exact"/>
              <w:ind w:left="10" w:right="10"/>
              <w:jc w:val="center"/>
              <w:rPr>
                <w:sz w:val="18"/>
              </w:rPr>
            </w:pPr>
            <w:r>
              <w:rPr>
                <w:spacing w:val="-5"/>
                <w:sz w:val="18"/>
              </w:rPr>
              <w:t>222</w:t>
            </w:r>
          </w:p>
        </w:tc>
        <w:tc>
          <w:tcPr>
            <w:tcW w:w="1085" w:type="dxa"/>
            <w:vMerge/>
            <w:tcBorders>
              <w:top w:val="nil"/>
              <w:bottom w:val="single" w:sz="4" w:space="0" w:color="000000"/>
            </w:tcBorders>
          </w:tcPr>
          <w:p>
            <w:pPr>
              <w:rPr>
                <w:sz w:val="2"/>
                <w:szCs w:val="2"/>
              </w:rPr>
            </w:pPr>
          </w:p>
        </w:tc>
        <w:tc>
          <w:tcPr>
            <w:tcW w:w="1080" w:type="dxa"/>
            <w:vMerge/>
            <w:tcBorders>
              <w:top w:val="nil"/>
              <w:bottom w:val="single" w:sz="4" w:space="0" w:color="000000"/>
            </w:tcBorders>
          </w:tcPr>
          <w:p>
            <w:pPr>
              <w:rPr>
                <w:sz w:val="2"/>
                <w:szCs w:val="2"/>
              </w:rPr>
            </w:pPr>
          </w:p>
        </w:tc>
        <w:tc>
          <w:tcPr>
            <w:tcW w:w="1126" w:type="dxa"/>
            <w:vMerge/>
            <w:tcBorders>
              <w:top w:val="nil"/>
              <w:bottom w:val="single" w:sz="4" w:space="0" w:color="000000"/>
            </w:tcBorders>
          </w:tcPr>
          <w:p>
            <w:pPr>
              <w:rPr>
                <w:sz w:val="2"/>
                <w:szCs w:val="2"/>
              </w:rPr>
            </w:pPr>
          </w:p>
        </w:tc>
        <w:tc>
          <w:tcPr>
            <w:tcW w:w="1214" w:type="dxa"/>
            <w:vMerge/>
            <w:tcBorders>
              <w:top w:val="nil"/>
              <w:bottom w:val="single" w:sz="4" w:space="0" w:color="000000"/>
              <w:right w:val="single" w:sz="4" w:space="0" w:color="000000"/>
            </w:tcBorders>
          </w:tcPr>
          <w:p>
            <w:pPr>
              <w:rPr>
                <w:sz w:val="2"/>
                <w:szCs w:val="2"/>
              </w:rPr>
            </w:pPr>
          </w:p>
        </w:tc>
      </w:tr>
      <w:tr>
        <w:trPr>
          <w:trHeight w:val="210" w:hRule="atLeast"/>
        </w:trPr>
        <w:tc>
          <w:tcPr>
            <w:tcW w:w="2660" w:type="dxa"/>
            <w:tcBorders>
              <w:left w:val="single" w:sz="4" w:space="0" w:color="000000"/>
            </w:tcBorders>
          </w:tcPr>
          <w:p>
            <w:pPr>
              <w:pStyle w:val="TableParagraph"/>
              <w:tabs>
                <w:tab w:pos="863" w:val="left" w:leader="none"/>
              </w:tabs>
              <w:spacing w:line="191" w:lineRule="exact"/>
              <w:ind w:left="302"/>
              <w:rPr>
                <w:sz w:val="18"/>
              </w:rPr>
            </w:pPr>
            <w:r>
              <w:rPr>
                <w:spacing w:val="-5"/>
                <w:sz w:val="18"/>
              </w:rPr>
              <w:t>5.</w:t>
            </w:r>
            <w:r>
              <w:rPr>
                <w:sz w:val="18"/>
              </w:rPr>
              <w:tab/>
              <w:t>Hostel</w:t>
            </w:r>
            <w:r>
              <w:rPr>
                <w:spacing w:val="-4"/>
                <w:sz w:val="18"/>
              </w:rPr>
              <w:t> </w:t>
            </w:r>
            <w:r>
              <w:rPr>
                <w:spacing w:val="-5"/>
                <w:sz w:val="18"/>
              </w:rPr>
              <w:t>IV</w:t>
            </w:r>
          </w:p>
        </w:tc>
        <w:tc>
          <w:tcPr>
            <w:tcW w:w="1666" w:type="dxa"/>
          </w:tcPr>
          <w:p>
            <w:pPr>
              <w:pStyle w:val="TableParagraph"/>
              <w:spacing w:line="191" w:lineRule="exact"/>
              <w:ind w:left="70" w:right="28"/>
              <w:jc w:val="center"/>
              <w:rPr>
                <w:sz w:val="18"/>
              </w:rPr>
            </w:pPr>
            <w:r>
              <w:rPr>
                <w:spacing w:val="-4"/>
                <w:sz w:val="18"/>
              </w:rPr>
              <w:t>1962</w:t>
            </w:r>
          </w:p>
        </w:tc>
        <w:tc>
          <w:tcPr>
            <w:tcW w:w="898" w:type="dxa"/>
            <w:vMerge/>
            <w:tcBorders>
              <w:top w:val="nil"/>
              <w:bottom w:val="single" w:sz="4" w:space="0" w:color="000000"/>
            </w:tcBorders>
          </w:tcPr>
          <w:p>
            <w:pPr>
              <w:rPr>
                <w:sz w:val="2"/>
                <w:szCs w:val="2"/>
              </w:rPr>
            </w:pPr>
          </w:p>
        </w:tc>
        <w:tc>
          <w:tcPr>
            <w:tcW w:w="900" w:type="dxa"/>
          </w:tcPr>
          <w:p>
            <w:pPr>
              <w:pStyle w:val="TableParagraph"/>
              <w:spacing w:line="191" w:lineRule="exact"/>
              <w:ind w:left="9" w:right="7"/>
              <w:jc w:val="center"/>
              <w:rPr>
                <w:sz w:val="18"/>
              </w:rPr>
            </w:pPr>
            <w:r>
              <w:rPr>
                <w:spacing w:val="-10"/>
                <w:sz w:val="18"/>
              </w:rPr>
              <w:t>-</w:t>
            </w:r>
          </w:p>
        </w:tc>
        <w:tc>
          <w:tcPr>
            <w:tcW w:w="900" w:type="dxa"/>
            <w:vMerge/>
            <w:tcBorders>
              <w:top w:val="nil"/>
              <w:bottom w:val="single" w:sz="4" w:space="0" w:color="000000"/>
            </w:tcBorders>
          </w:tcPr>
          <w:p>
            <w:pPr>
              <w:rPr>
                <w:sz w:val="2"/>
                <w:szCs w:val="2"/>
              </w:rPr>
            </w:pPr>
          </w:p>
        </w:tc>
        <w:tc>
          <w:tcPr>
            <w:tcW w:w="900" w:type="dxa"/>
            <w:vMerge/>
            <w:tcBorders>
              <w:top w:val="nil"/>
              <w:bottom w:val="single" w:sz="4" w:space="0" w:color="000000"/>
            </w:tcBorders>
          </w:tcPr>
          <w:p>
            <w:pPr>
              <w:rPr>
                <w:sz w:val="2"/>
                <w:szCs w:val="2"/>
              </w:rPr>
            </w:pPr>
          </w:p>
        </w:tc>
        <w:tc>
          <w:tcPr>
            <w:tcW w:w="900" w:type="dxa"/>
            <w:vMerge/>
            <w:tcBorders>
              <w:top w:val="nil"/>
              <w:bottom w:val="single" w:sz="4" w:space="0" w:color="000000"/>
            </w:tcBorders>
          </w:tcPr>
          <w:p>
            <w:pPr>
              <w:rPr>
                <w:sz w:val="2"/>
                <w:szCs w:val="2"/>
              </w:rPr>
            </w:pPr>
          </w:p>
        </w:tc>
        <w:tc>
          <w:tcPr>
            <w:tcW w:w="895" w:type="dxa"/>
          </w:tcPr>
          <w:p>
            <w:pPr>
              <w:pStyle w:val="TableParagraph"/>
              <w:spacing w:line="191" w:lineRule="exact"/>
              <w:ind w:left="10" w:right="5"/>
              <w:jc w:val="center"/>
              <w:rPr>
                <w:sz w:val="18"/>
              </w:rPr>
            </w:pPr>
            <w:r>
              <w:rPr>
                <w:spacing w:val="-5"/>
                <w:sz w:val="18"/>
              </w:rPr>
              <w:t>88</w:t>
            </w:r>
          </w:p>
        </w:tc>
        <w:tc>
          <w:tcPr>
            <w:tcW w:w="1085" w:type="dxa"/>
            <w:vMerge/>
            <w:tcBorders>
              <w:top w:val="nil"/>
              <w:bottom w:val="single" w:sz="4" w:space="0" w:color="000000"/>
            </w:tcBorders>
          </w:tcPr>
          <w:p>
            <w:pPr>
              <w:rPr>
                <w:sz w:val="2"/>
                <w:szCs w:val="2"/>
              </w:rPr>
            </w:pPr>
          </w:p>
        </w:tc>
        <w:tc>
          <w:tcPr>
            <w:tcW w:w="1080" w:type="dxa"/>
            <w:vMerge/>
            <w:tcBorders>
              <w:top w:val="nil"/>
              <w:bottom w:val="single" w:sz="4" w:space="0" w:color="000000"/>
            </w:tcBorders>
          </w:tcPr>
          <w:p>
            <w:pPr>
              <w:rPr>
                <w:sz w:val="2"/>
                <w:szCs w:val="2"/>
              </w:rPr>
            </w:pPr>
          </w:p>
        </w:tc>
        <w:tc>
          <w:tcPr>
            <w:tcW w:w="1126" w:type="dxa"/>
            <w:vMerge/>
            <w:tcBorders>
              <w:top w:val="nil"/>
              <w:bottom w:val="single" w:sz="4" w:space="0" w:color="000000"/>
            </w:tcBorders>
          </w:tcPr>
          <w:p>
            <w:pPr>
              <w:rPr>
                <w:sz w:val="2"/>
                <w:szCs w:val="2"/>
              </w:rPr>
            </w:pPr>
          </w:p>
        </w:tc>
        <w:tc>
          <w:tcPr>
            <w:tcW w:w="1214" w:type="dxa"/>
            <w:vMerge/>
            <w:tcBorders>
              <w:top w:val="nil"/>
              <w:bottom w:val="single" w:sz="4" w:space="0" w:color="000000"/>
              <w:right w:val="single" w:sz="4" w:space="0" w:color="000000"/>
            </w:tcBorders>
          </w:tcPr>
          <w:p>
            <w:pPr>
              <w:rPr>
                <w:sz w:val="2"/>
                <w:szCs w:val="2"/>
              </w:rPr>
            </w:pPr>
          </w:p>
        </w:tc>
      </w:tr>
      <w:tr>
        <w:trPr>
          <w:trHeight w:val="210" w:hRule="atLeast"/>
        </w:trPr>
        <w:tc>
          <w:tcPr>
            <w:tcW w:w="2660" w:type="dxa"/>
            <w:tcBorders>
              <w:left w:val="single" w:sz="4" w:space="0" w:color="000000"/>
            </w:tcBorders>
          </w:tcPr>
          <w:p>
            <w:pPr>
              <w:pStyle w:val="TableParagraph"/>
              <w:tabs>
                <w:tab w:pos="863" w:val="left" w:leader="none"/>
              </w:tabs>
              <w:spacing w:line="184" w:lineRule="exact" w:before="7"/>
              <w:ind w:left="302"/>
              <w:rPr>
                <w:sz w:val="18"/>
              </w:rPr>
            </w:pPr>
            <w:r>
              <w:rPr>
                <w:spacing w:val="-5"/>
                <w:sz w:val="18"/>
              </w:rPr>
              <w:t>6.</w:t>
            </w:r>
            <w:r>
              <w:rPr>
                <w:sz w:val="18"/>
              </w:rPr>
              <w:tab/>
            </w:r>
            <w:r>
              <w:rPr>
                <w:spacing w:val="-2"/>
                <w:sz w:val="18"/>
              </w:rPr>
              <w:t>Sardauna</w:t>
            </w:r>
          </w:p>
        </w:tc>
        <w:tc>
          <w:tcPr>
            <w:tcW w:w="1666" w:type="dxa"/>
          </w:tcPr>
          <w:p>
            <w:pPr>
              <w:pStyle w:val="TableParagraph"/>
              <w:spacing w:line="184" w:lineRule="exact" w:before="7"/>
              <w:ind w:left="70" w:right="28"/>
              <w:jc w:val="center"/>
              <w:rPr>
                <w:sz w:val="18"/>
              </w:rPr>
            </w:pPr>
            <w:r>
              <w:rPr>
                <w:spacing w:val="-4"/>
                <w:sz w:val="18"/>
              </w:rPr>
              <w:t>1964</w:t>
            </w:r>
          </w:p>
        </w:tc>
        <w:tc>
          <w:tcPr>
            <w:tcW w:w="898" w:type="dxa"/>
            <w:vMerge/>
            <w:tcBorders>
              <w:top w:val="nil"/>
              <w:bottom w:val="single" w:sz="4" w:space="0" w:color="000000"/>
            </w:tcBorders>
          </w:tcPr>
          <w:p>
            <w:pPr>
              <w:rPr>
                <w:sz w:val="2"/>
                <w:szCs w:val="2"/>
              </w:rPr>
            </w:pPr>
          </w:p>
        </w:tc>
        <w:tc>
          <w:tcPr>
            <w:tcW w:w="900" w:type="dxa"/>
          </w:tcPr>
          <w:p>
            <w:pPr>
              <w:pStyle w:val="TableParagraph"/>
              <w:spacing w:line="184" w:lineRule="exact" w:before="7"/>
              <w:ind w:left="9" w:right="7"/>
              <w:jc w:val="center"/>
              <w:rPr>
                <w:sz w:val="18"/>
              </w:rPr>
            </w:pPr>
            <w:r>
              <w:rPr>
                <w:spacing w:val="-10"/>
                <w:sz w:val="18"/>
              </w:rPr>
              <w:t>-</w:t>
            </w:r>
          </w:p>
        </w:tc>
        <w:tc>
          <w:tcPr>
            <w:tcW w:w="900" w:type="dxa"/>
            <w:vMerge/>
            <w:tcBorders>
              <w:top w:val="nil"/>
              <w:bottom w:val="single" w:sz="4" w:space="0" w:color="000000"/>
            </w:tcBorders>
          </w:tcPr>
          <w:p>
            <w:pPr>
              <w:rPr>
                <w:sz w:val="2"/>
                <w:szCs w:val="2"/>
              </w:rPr>
            </w:pPr>
          </w:p>
        </w:tc>
        <w:tc>
          <w:tcPr>
            <w:tcW w:w="900" w:type="dxa"/>
            <w:vMerge/>
            <w:tcBorders>
              <w:top w:val="nil"/>
              <w:bottom w:val="single" w:sz="4" w:space="0" w:color="000000"/>
            </w:tcBorders>
          </w:tcPr>
          <w:p>
            <w:pPr>
              <w:rPr>
                <w:sz w:val="2"/>
                <w:szCs w:val="2"/>
              </w:rPr>
            </w:pPr>
          </w:p>
        </w:tc>
        <w:tc>
          <w:tcPr>
            <w:tcW w:w="900" w:type="dxa"/>
            <w:vMerge/>
            <w:tcBorders>
              <w:top w:val="nil"/>
              <w:bottom w:val="single" w:sz="4" w:space="0" w:color="000000"/>
            </w:tcBorders>
          </w:tcPr>
          <w:p>
            <w:pPr>
              <w:rPr>
                <w:sz w:val="2"/>
                <w:szCs w:val="2"/>
              </w:rPr>
            </w:pPr>
          </w:p>
        </w:tc>
        <w:tc>
          <w:tcPr>
            <w:tcW w:w="895" w:type="dxa"/>
          </w:tcPr>
          <w:p>
            <w:pPr>
              <w:pStyle w:val="TableParagraph"/>
              <w:spacing w:line="184" w:lineRule="exact" w:before="7"/>
              <w:ind w:left="10" w:right="10"/>
              <w:jc w:val="center"/>
              <w:rPr>
                <w:sz w:val="18"/>
              </w:rPr>
            </w:pPr>
            <w:r>
              <w:rPr>
                <w:spacing w:val="-5"/>
                <w:sz w:val="18"/>
              </w:rPr>
              <w:t>216</w:t>
            </w:r>
          </w:p>
        </w:tc>
        <w:tc>
          <w:tcPr>
            <w:tcW w:w="1085" w:type="dxa"/>
            <w:vMerge/>
            <w:tcBorders>
              <w:top w:val="nil"/>
              <w:bottom w:val="single" w:sz="4" w:space="0" w:color="000000"/>
            </w:tcBorders>
          </w:tcPr>
          <w:p>
            <w:pPr>
              <w:rPr>
                <w:sz w:val="2"/>
                <w:szCs w:val="2"/>
              </w:rPr>
            </w:pPr>
          </w:p>
        </w:tc>
        <w:tc>
          <w:tcPr>
            <w:tcW w:w="1080" w:type="dxa"/>
            <w:vMerge/>
            <w:tcBorders>
              <w:top w:val="nil"/>
              <w:bottom w:val="single" w:sz="4" w:space="0" w:color="000000"/>
            </w:tcBorders>
          </w:tcPr>
          <w:p>
            <w:pPr>
              <w:rPr>
                <w:sz w:val="2"/>
                <w:szCs w:val="2"/>
              </w:rPr>
            </w:pPr>
          </w:p>
        </w:tc>
        <w:tc>
          <w:tcPr>
            <w:tcW w:w="1126" w:type="dxa"/>
            <w:vMerge/>
            <w:tcBorders>
              <w:top w:val="nil"/>
              <w:bottom w:val="single" w:sz="4" w:space="0" w:color="000000"/>
            </w:tcBorders>
          </w:tcPr>
          <w:p>
            <w:pPr>
              <w:rPr>
                <w:sz w:val="2"/>
                <w:szCs w:val="2"/>
              </w:rPr>
            </w:pPr>
          </w:p>
        </w:tc>
        <w:tc>
          <w:tcPr>
            <w:tcW w:w="1214" w:type="dxa"/>
            <w:vMerge/>
            <w:tcBorders>
              <w:top w:val="nil"/>
              <w:bottom w:val="single" w:sz="4" w:space="0" w:color="000000"/>
              <w:right w:val="single" w:sz="4" w:space="0" w:color="000000"/>
            </w:tcBorders>
          </w:tcPr>
          <w:p>
            <w:pPr>
              <w:rPr>
                <w:sz w:val="2"/>
                <w:szCs w:val="2"/>
              </w:rPr>
            </w:pPr>
          </w:p>
        </w:tc>
      </w:tr>
      <w:tr>
        <w:trPr>
          <w:trHeight w:val="196" w:hRule="atLeast"/>
        </w:trPr>
        <w:tc>
          <w:tcPr>
            <w:tcW w:w="2660" w:type="dxa"/>
            <w:tcBorders>
              <w:left w:val="single" w:sz="4" w:space="0" w:color="000000"/>
            </w:tcBorders>
          </w:tcPr>
          <w:p>
            <w:pPr>
              <w:pStyle w:val="TableParagraph"/>
              <w:tabs>
                <w:tab w:pos="863" w:val="left" w:leader="none"/>
              </w:tabs>
              <w:spacing w:line="176" w:lineRule="exact"/>
              <w:ind w:left="302"/>
              <w:rPr>
                <w:sz w:val="18"/>
              </w:rPr>
            </w:pPr>
            <w:r>
              <w:rPr>
                <w:spacing w:val="-5"/>
                <w:sz w:val="18"/>
              </w:rPr>
              <w:t>7.</w:t>
            </w:r>
            <w:r>
              <w:rPr>
                <w:sz w:val="18"/>
              </w:rPr>
              <w:tab/>
              <w:t>Tafawa</w:t>
            </w:r>
            <w:r>
              <w:rPr>
                <w:spacing w:val="-4"/>
                <w:sz w:val="18"/>
              </w:rPr>
              <w:t> </w:t>
            </w:r>
            <w:r>
              <w:rPr>
                <w:spacing w:val="-2"/>
                <w:sz w:val="18"/>
              </w:rPr>
              <w:t>Balewa</w:t>
            </w:r>
          </w:p>
        </w:tc>
        <w:tc>
          <w:tcPr>
            <w:tcW w:w="1666" w:type="dxa"/>
          </w:tcPr>
          <w:p>
            <w:pPr>
              <w:pStyle w:val="TableParagraph"/>
              <w:spacing w:line="176" w:lineRule="exact"/>
              <w:ind w:left="70" w:right="28"/>
              <w:jc w:val="center"/>
              <w:rPr>
                <w:sz w:val="18"/>
              </w:rPr>
            </w:pPr>
            <w:r>
              <w:rPr>
                <w:spacing w:val="-4"/>
                <w:sz w:val="18"/>
              </w:rPr>
              <w:t>1979</w:t>
            </w:r>
          </w:p>
        </w:tc>
        <w:tc>
          <w:tcPr>
            <w:tcW w:w="898" w:type="dxa"/>
            <w:vMerge/>
            <w:tcBorders>
              <w:top w:val="nil"/>
              <w:bottom w:val="single" w:sz="4" w:space="0" w:color="000000"/>
            </w:tcBorders>
          </w:tcPr>
          <w:p>
            <w:pPr>
              <w:rPr>
                <w:sz w:val="2"/>
                <w:szCs w:val="2"/>
              </w:rPr>
            </w:pPr>
          </w:p>
        </w:tc>
        <w:tc>
          <w:tcPr>
            <w:tcW w:w="900" w:type="dxa"/>
          </w:tcPr>
          <w:p>
            <w:pPr>
              <w:pStyle w:val="TableParagraph"/>
              <w:spacing w:line="176" w:lineRule="exact"/>
              <w:ind w:left="9" w:right="7"/>
              <w:jc w:val="center"/>
              <w:rPr>
                <w:sz w:val="18"/>
              </w:rPr>
            </w:pPr>
            <w:r>
              <w:rPr>
                <w:spacing w:val="-10"/>
                <w:sz w:val="18"/>
              </w:rPr>
              <w:t>-</w:t>
            </w:r>
          </w:p>
        </w:tc>
        <w:tc>
          <w:tcPr>
            <w:tcW w:w="900" w:type="dxa"/>
            <w:vMerge/>
            <w:tcBorders>
              <w:top w:val="nil"/>
              <w:bottom w:val="single" w:sz="4" w:space="0" w:color="000000"/>
            </w:tcBorders>
          </w:tcPr>
          <w:p>
            <w:pPr>
              <w:rPr>
                <w:sz w:val="2"/>
                <w:szCs w:val="2"/>
              </w:rPr>
            </w:pPr>
          </w:p>
        </w:tc>
        <w:tc>
          <w:tcPr>
            <w:tcW w:w="900" w:type="dxa"/>
            <w:vMerge/>
            <w:tcBorders>
              <w:top w:val="nil"/>
              <w:bottom w:val="single" w:sz="4" w:space="0" w:color="000000"/>
            </w:tcBorders>
          </w:tcPr>
          <w:p>
            <w:pPr>
              <w:rPr>
                <w:sz w:val="2"/>
                <w:szCs w:val="2"/>
              </w:rPr>
            </w:pPr>
          </w:p>
        </w:tc>
        <w:tc>
          <w:tcPr>
            <w:tcW w:w="900" w:type="dxa"/>
            <w:vMerge/>
            <w:tcBorders>
              <w:top w:val="nil"/>
              <w:bottom w:val="single" w:sz="4" w:space="0" w:color="000000"/>
            </w:tcBorders>
          </w:tcPr>
          <w:p>
            <w:pPr>
              <w:rPr>
                <w:sz w:val="2"/>
                <w:szCs w:val="2"/>
              </w:rPr>
            </w:pPr>
          </w:p>
        </w:tc>
        <w:tc>
          <w:tcPr>
            <w:tcW w:w="895" w:type="dxa"/>
          </w:tcPr>
          <w:p>
            <w:pPr>
              <w:pStyle w:val="TableParagraph"/>
              <w:spacing w:line="176" w:lineRule="exact"/>
              <w:ind w:left="10" w:right="10"/>
              <w:jc w:val="center"/>
              <w:rPr>
                <w:sz w:val="18"/>
              </w:rPr>
            </w:pPr>
            <w:r>
              <w:rPr>
                <w:spacing w:val="-5"/>
                <w:sz w:val="18"/>
              </w:rPr>
              <w:t>552</w:t>
            </w:r>
          </w:p>
        </w:tc>
        <w:tc>
          <w:tcPr>
            <w:tcW w:w="1085" w:type="dxa"/>
            <w:vMerge/>
            <w:tcBorders>
              <w:top w:val="nil"/>
              <w:bottom w:val="single" w:sz="4" w:space="0" w:color="000000"/>
            </w:tcBorders>
          </w:tcPr>
          <w:p>
            <w:pPr>
              <w:rPr>
                <w:sz w:val="2"/>
                <w:szCs w:val="2"/>
              </w:rPr>
            </w:pPr>
          </w:p>
        </w:tc>
        <w:tc>
          <w:tcPr>
            <w:tcW w:w="1080" w:type="dxa"/>
            <w:vMerge/>
            <w:tcBorders>
              <w:top w:val="nil"/>
              <w:bottom w:val="single" w:sz="4" w:space="0" w:color="000000"/>
            </w:tcBorders>
          </w:tcPr>
          <w:p>
            <w:pPr>
              <w:rPr>
                <w:sz w:val="2"/>
                <w:szCs w:val="2"/>
              </w:rPr>
            </w:pPr>
          </w:p>
        </w:tc>
        <w:tc>
          <w:tcPr>
            <w:tcW w:w="1126" w:type="dxa"/>
            <w:vMerge/>
            <w:tcBorders>
              <w:top w:val="nil"/>
              <w:bottom w:val="single" w:sz="4" w:space="0" w:color="000000"/>
            </w:tcBorders>
          </w:tcPr>
          <w:p>
            <w:pPr>
              <w:rPr>
                <w:sz w:val="2"/>
                <w:szCs w:val="2"/>
              </w:rPr>
            </w:pPr>
          </w:p>
        </w:tc>
        <w:tc>
          <w:tcPr>
            <w:tcW w:w="1214" w:type="dxa"/>
            <w:vMerge/>
            <w:tcBorders>
              <w:top w:val="nil"/>
              <w:bottom w:val="single" w:sz="4" w:space="0" w:color="000000"/>
              <w:right w:val="single" w:sz="4" w:space="0" w:color="000000"/>
            </w:tcBorders>
          </w:tcPr>
          <w:p>
            <w:pPr>
              <w:rPr>
                <w:sz w:val="2"/>
                <w:szCs w:val="2"/>
              </w:rPr>
            </w:pPr>
          </w:p>
        </w:tc>
      </w:tr>
      <w:tr>
        <w:trPr>
          <w:trHeight w:val="196" w:hRule="atLeast"/>
        </w:trPr>
        <w:tc>
          <w:tcPr>
            <w:tcW w:w="2660" w:type="dxa"/>
            <w:tcBorders>
              <w:left w:val="single" w:sz="4" w:space="0" w:color="000000"/>
            </w:tcBorders>
          </w:tcPr>
          <w:p>
            <w:pPr>
              <w:pStyle w:val="TableParagraph"/>
              <w:tabs>
                <w:tab w:pos="863" w:val="left" w:leader="none"/>
              </w:tabs>
              <w:spacing w:line="176" w:lineRule="exact"/>
              <w:ind w:left="302"/>
              <w:rPr>
                <w:sz w:val="18"/>
              </w:rPr>
            </w:pPr>
            <w:r>
              <w:rPr>
                <w:spacing w:val="-5"/>
                <w:sz w:val="18"/>
              </w:rPr>
              <w:t>8.</w:t>
            </w:r>
            <w:r>
              <w:rPr>
                <w:sz w:val="18"/>
              </w:rPr>
              <w:tab/>
              <w:t>Ali</w:t>
            </w:r>
            <w:r>
              <w:rPr>
                <w:spacing w:val="2"/>
                <w:sz w:val="18"/>
              </w:rPr>
              <w:t> </w:t>
            </w:r>
            <w:r>
              <w:rPr>
                <w:spacing w:val="-2"/>
                <w:sz w:val="18"/>
              </w:rPr>
              <w:t>Akilu</w:t>
            </w:r>
          </w:p>
        </w:tc>
        <w:tc>
          <w:tcPr>
            <w:tcW w:w="1666" w:type="dxa"/>
          </w:tcPr>
          <w:p>
            <w:pPr>
              <w:pStyle w:val="TableParagraph"/>
              <w:spacing w:line="176" w:lineRule="exact"/>
              <w:ind w:left="70" w:right="28"/>
              <w:jc w:val="center"/>
              <w:rPr>
                <w:sz w:val="18"/>
              </w:rPr>
            </w:pPr>
            <w:r>
              <w:rPr>
                <w:spacing w:val="-4"/>
                <w:sz w:val="18"/>
              </w:rPr>
              <w:t>1981</w:t>
            </w:r>
          </w:p>
        </w:tc>
        <w:tc>
          <w:tcPr>
            <w:tcW w:w="898" w:type="dxa"/>
            <w:vMerge/>
            <w:tcBorders>
              <w:top w:val="nil"/>
              <w:bottom w:val="single" w:sz="4" w:space="0" w:color="000000"/>
            </w:tcBorders>
          </w:tcPr>
          <w:p>
            <w:pPr>
              <w:rPr>
                <w:sz w:val="2"/>
                <w:szCs w:val="2"/>
              </w:rPr>
            </w:pPr>
          </w:p>
        </w:tc>
        <w:tc>
          <w:tcPr>
            <w:tcW w:w="900" w:type="dxa"/>
          </w:tcPr>
          <w:p>
            <w:pPr>
              <w:pStyle w:val="TableParagraph"/>
              <w:spacing w:line="176" w:lineRule="exact"/>
              <w:ind w:left="9" w:right="7"/>
              <w:jc w:val="center"/>
              <w:rPr>
                <w:sz w:val="18"/>
              </w:rPr>
            </w:pPr>
            <w:r>
              <w:rPr>
                <w:spacing w:val="-10"/>
                <w:sz w:val="18"/>
              </w:rPr>
              <w:t>-</w:t>
            </w:r>
          </w:p>
        </w:tc>
        <w:tc>
          <w:tcPr>
            <w:tcW w:w="900" w:type="dxa"/>
            <w:vMerge/>
            <w:tcBorders>
              <w:top w:val="nil"/>
              <w:bottom w:val="single" w:sz="4" w:space="0" w:color="000000"/>
            </w:tcBorders>
          </w:tcPr>
          <w:p>
            <w:pPr>
              <w:rPr>
                <w:sz w:val="2"/>
                <w:szCs w:val="2"/>
              </w:rPr>
            </w:pPr>
          </w:p>
        </w:tc>
        <w:tc>
          <w:tcPr>
            <w:tcW w:w="900" w:type="dxa"/>
            <w:vMerge/>
            <w:tcBorders>
              <w:top w:val="nil"/>
              <w:bottom w:val="single" w:sz="4" w:space="0" w:color="000000"/>
            </w:tcBorders>
          </w:tcPr>
          <w:p>
            <w:pPr>
              <w:rPr>
                <w:sz w:val="2"/>
                <w:szCs w:val="2"/>
              </w:rPr>
            </w:pPr>
          </w:p>
        </w:tc>
        <w:tc>
          <w:tcPr>
            <w:tcW w:w="900" w:type="dxa"/>
            <w:vMerge/>
            <w:tcBorders>
              <w:top w:val="nil"/>
              <w:bottom w:val="single" w:sz="4" w:space="0" w:color="000000"/>
            </w:tcBorders>
          </w:tcPr>
          <w:p>
            <w:pPr>
              <w:rPr>
                <w:sz w:val="2"/>
                <w:szCs w:val="2"/>
              </w:rPr>
            </w:pPr>
          </w:p>
        </w:tc>
        <w:tc>
          <w:tcPr>
            <w:tcW w:w="895" w:type="dxa"/>
          </w:tcPr>
          <w:p>
            <w:pPr>
              <w:pStyle w:val="TableParagraph"/>
              <w:spacing w:line="176" w:lineRule="exact"/>
              <w:ind w:left="10" w:right="10"/>
              <w:jc w:val="center"/>
              <w:rPr>
                <w:sz w:val="18"/>
              </w:rPr>
            </w:pPr>
            <w:r>
              <w:rPr>
                <w:spacing w:val="-5"/>
                <w:sz w:val="18"/>
              </w:rPr>
              <w:t>796</w:t>
            </w:r>
          </w:p>
        </w:tc>
        <w:tc>
          <w:tcPr>
            <w:tcW w:w="1085" w:type="dxa"/>
            <w:vMerge/>
            <w:tcBorders>
              <w:top w:val="nil"/>
              <w:bottom w:val="single" w:sz="4" w:space="0" w:color="000000"/>
            </w:tcBorders>
          </w:tcPr>
          <w:p>
            <w:pPr>
              <w:rPr>
                <w:sz w:val="2"/>
                <w:szCs w:val="2"/>
              </w:rPr>
            </w:pPr>
          </w:p>
        </w:tc>
        <w:tc>
          <w:tcPr>
            <w:tcW w:w="1080" w:type="dxa"/>
            <w:vMerge/>
            <w:tcBorders>
              <w:top w:val="nil"/>
              <w:bottom w:val="single" w:sz="4" w:space="0" w:color="000000"/>
            </w:tcBorders>
          </w:tcPr>
          <w:p>
            <w:pPr>
              <w:rPr>
                <w:sz w:val="2"/>
                <w:szCs w:val="2"/>
              </w:rPr>
            </w:pPr>
          </w:p>
        </w:tc>
        <w:tc>
          <w:tcPr>
            <w:tcW w:w="1126" w:type="dxa"/>
            <w:vMerge/>
            <w:tcBorders>
              <w:top w:val="nil"/>
              <w:bottom w:val="single" w:sz="4" w:space="0" w:color="000000"/>
            </w:tcBorders>
          </w:tcPr>
          <w:p>
            <w:pPr>
              <w:rPr>
                <w:sz w:val="2"/>
                <w:szCs w:val="2"/>
              </w:rPr>
            </w:pPr>
          </w:p>
        </w:tc>
        <w:tc>
          <w:tcPr>
            <w:tcW w:w="1214" w:type="dxa"/>
            <w:vMerge/>
            <w:tcBorders>
              <w:top w:val="nil"/>
              <w:bottom w:val="single" w:sz="4" w:space="0" w:color="000000"/>
              <w:right w:val="single" w:sz="4" w:space="0" w:color="000000"/>
            </w:tcBorders>
          </w:tcPr>
          <w:p>
            <w:pPr>
              <w:rPr>
                <w:sz w:val="2"/>
                <w:szCs w:val="2"/>
              </w:rPr>
            </w:pPr>
          </w:p>
        </w:tc>
      </w:tr>
      <w:tr>
        <w:trPr>
          <w:trHeight w:val="204" w:hRule="atLeast"/>
        </w:trPr>
        <w:tc>
          <w:tcPr>
            <w:tcW w:w="2660" w:type="dxa"/>
            <w:tcBorders>
              <w:left w:val="single" w:sz="4" w:space="0" w:color="000000"/>
              <w:bottom w:val="single" w:sz="4" w:space="0" w:color="000000"/>
            </w:tcBorders>
          </w:tcPr>
          <w:p>
            <w:pPr>
              <w:pStyle w:val="TableParagraph"/>
              <w:rPr>
                <w:rFonts w:ascii="Times New Roman"/>
                <w:sz w:val="14"/>
              </w:rPr>
            </w:pPr>
          </w:p>
        </w:tc>
        <w:tc>
          <w:tcPr>
            <w:tcW w:w="1666" w:type="dxa"/>
            <w:tcBorders>
              <w:bottom w:val="single" w:sz="4" w:space="0" w:color="000000"/>
            </w:tcBorders>
          </w:tcPr>
          <w:p>
            <w:pPr>
              <w:pStyle w:val="TableParagraph"/>
              <w:spacing w:line="184" w:lineRule="exact"/>
              <w:ind w:left="460"/>
              <w:rPr>
                <w:sz w:val="18"/>
              </w:rPr>
            </w:pPr>
            <w:r>
              <w:rPr>
                <w:sz w:val="18"/>
              </w:rPr>
              <w:t>SUB</w:t>
            </w:r>
            <w:r>
              <w:rPr>
                <w:spacing w:val="-6"/>
                <w:sz w:val="18"/>
              </w:rPr>
              <w:t> </w:t>
            </w:r>
            <w:r>
              <w:rPr>
                <w:spacing w:val="-2"/>
                <w:sz w:val="18"/>
              </w:rPr>
              <w:t>TOTAL</w:t>
            </w:r>
          </w:p>
        </w:tc>
        <w:tc>
          <w:tcPr>
            <w:tcW w:w="898" w:type="dxa"/>
            <w:vMerge/>
            <w:tcBorders>
              <w:top w:val="nil"/>
              <w:bottom w:val="single" w:sz="4" w:space="0" w:color="000000"/>
            </w:tcBorders>
          </w:tcPr>
          <w:p>
            <w:pPr>
              <w:rPr>
                <w:sz w:val="2"/>
                <w:szCs w:val="2"/>
              </w:rPr>
            </w:pPr>
          </w:p>
        </w:tc>
        <w:tc>
          <w:tcPr>
            <w:tcW w:w="900" w:type="dxa"/>
            <w:tcBorders>
              <w:bottom w:val="single" w:sz="4" w:space="0" w:color="000000"/>
            </w:tcBorders>
          </w:tcPr>
          <w:p>
            <w:pPr>
              <w:pStyle w:val="TableParagraph"/>
              <w:spacing w:line="184" w:lineRule="exact"/>
              <w:ind w:left="9" w:right="7"/>
              <w:jc w:val="center"/>
              <w:rPr>
                <w:sz w:val="18"/>
              </w:rPr>
            </w:pPr>
            <w:r>
              <w:rPr>
                <w:spacing w:val="-10"/>
                <w:sz w:val="18"/>
              </w:rPr>
              <w:t>-</w:t>
            </w:r>
          </w:p>
        </w:tc>
        <w:tc>
          <w:tcPr>
            <w:tcW w:w="900" w:type="dxa"/>
            <w:vMerge/>
            <w:tcBorders>
              <w:top w:val="nil"/>
              <w:bottom w:val="single" w:sz="4" w:space="0" w:color="000000"/>
            </w:tcBorders>
          </w:tcPr>
          <w:p>
            <w:pPr>
              <w:rPr>
                <w:sz w:val="2"/>
                <w:szCs w:val="2"/>
              </w:rPr>
            </w:pPr>
          </w:p>
        </w:tc>
        <w:tc>
          <w:tcPr>
            <w:tcW w:w="900" w:type="dxa"/>
            <w:vMerge/>
            <w:tcBorders>
              <w:top w:val="nil"/>
              <w:bottom w:val="single" w:sz="4" w:space="0" w:color="000000"/>
            </w:tcBorders>
          </w:tcPr>
          <w:p>
            <w:pPr>
              <w:rPr>
                <w:sz w:val="2"/>
                <w:szCs w:val="2"/>
              </w:rPr>
            </w:pPr>
          </w:p>
        </w:tc>
        <w:tc>
          <w:tcPr>
            <w:tcW w:w="900" w:type="dxa"/>
            <w:vMerge/>
            <w:tcBorders>
              <w:top w:val="nil"/>
              <w:bottom w:val="single" w:sz="4" w:space="0" w:color="000000"/>
            </w:tcBorders>
          </w:tcPr>
          <w:p>
            <w:pPr>
              <w:rPr>
                <w:sz w:val="2"/>
                <w:szCs w:val="2"/>
              </w:rPr>
            </w:pPr>
          </w:p>
        </w:tc>
        <w:tc>
          <w:tcPr>
            <w:tcW w:w="895" w:type="dxa"/>
            <w:tcBorders>
              <w:bottom w:val="single" w:sz="4" w:space="0" w:color="000000"/>
            </w:tcBorders>
          </w:tcPr>
          <w:p>
            <w:pPr>
              <w:pStyle w:val="TableParagraph"/>
              <w:spacing w:line="184" w:lineRule="exact"/>
              <w:ind w:left="10" w:right="5"/>
              <w:jc w:val="center"/>
              <w:rPr>
                <w:sz w:val="18"/>
              </w:rPr>
            </w:pPr>
            <w:r>
              <w:rPr>
                <w:spacing w:val="-4"/>
                <w:sz w:val="18"/>
              </w:rPr>
              <w:t>2636</w:t>
            </w:r>
          </w:p>
        </w:tc>
        <w:tc>
          <w:tcPr>
            <w:tcW w:w="1085" w:type="dxa"/>
            <w:vMerge/>
            <w:tcBorders>
              <w:top w:val="nil"/>
              <w:bottom w:val="single" w:sz="4" w:space="0" w:color="000000"/>
            </w:tcBorders>
          </w:tcPr>
          <w:p>
            <w:pPr>
              <w:rPr>
                <w:sz w:val="2"/>
                <w:szCs w:val="2"/>
              </w:rPr>
            </w:pPr>
          </w:p>
        </w:tc>
        <w:tc>
          <w:tcPr>
            <w:tcW w:w="1080" w:type="dxa"/>
            <w:vMerge/>
            <w:tcBorders>
              <w:top w:val="nil"/>
              <w:bottom w:val="single" w:sz="4" w:space="0" w:color="000000"/>
            </w:tcBorders>
          </w:tcPr>
          <w:p>
            <w:pPr>
              <w:rPr>
                <w:sz w:val="2"/>
                <w:szCs w:val="2"/>
              </w:rPr>
            </w:pPr>
          </w:p>
        </w:tc>
        <w:tc>
          <w:tcPr>
            <w:tcW w:w="1126" w:type="dxa"/>
            <w:vMerge/>
            <w:tcBorders>
              <w:top w:val="nil"/>
              <w:bottom w:val="single" w:sz="4" w:space="0" w:color="000000"/>
            </w:tcBorders>
          </w:tcPr>
          <w:p>
            <w:pPr>
              <w:rPr>
                <w:sz w:val="2"/>
                <w:szCs w:val="2"/>
              </w:rPr>
            </w:pPr>
          </w:p>
        </w:tc>
        <w:tc>
          <w:tcPr>
            <w:tcW w:w="1214" w:type="dxa"/>
            <w:vMerge/>
            <w:tcBorders>
              <w:top w:val="nil"/>
              <w:bottom w:val="single" w:sz="4" w:space="0" w:color="000000"/>
              <w:right w:val="single" w:sz="4" w:space="0" w:color="000000"/>
            </w:tcBorders>
          </w:tcPr>
          <w:p>
            <w:pPr>
              <w:rPr>
                <w:sz w:val="2"/>
                <w:szCs w:val="2"/>
              </w:rPr>
            </w:pPr>
          </w:p>
        </w:tc>
      </w:tr>
      <w:tr>
        <w:trPr>
          <w:trHeight w:val="337" w:hRule="atLeast"/>
        </w:trPr>
        <w:tc>
          <w:tcPr>
            <w:tcW w:w="14224" w:type="dxa"/>
            <w:gridSpan w:val="12"/>
            <w:tcBorders>
              <w:top w:val="single" w:sz="4" w:space="0" w:color="000000"/>
              <w:left w:val="single" w:sz="4" w:space="0" w:color="000000"/>
              <w:right w:val="single" w:sz="4" w:space="0" w:color="000000"/>
            </w:tcBorders>
          </w:tcPr>
          <w:p>
            <w:pPr>
              <w:pStyle w:val="TableParagraph"/>
              <w:spacing w:line="189" w:lineRule="exact" w:before="128"/>
              <w:ind w:left="8807"/>
              <w:rPr>
                <w:sz w:val="18"/>
              </w:rPr>
            </w:pPr>
            <w:r>
              <w:rPr>
                <w:spacing w:val="-2"/>
                <w:sz w:val="18"/>
              </w:rPr>
              <w:t>SESSIONS</w:t>
            </w:r>
          </w:p>
        </w:tc>
      </w:tr>
      <w:tr>
        <w:trPr>
          <w:trHeight w:val="424" w:hRule="atLeast"/>
        </w:trPr>
        <w:tc>
          <w:tcPr>
            <w:tcW w:w="4326" w:type="dxa"/>
            <w:gridSpan w:val="2"/>
            <w:tcBorders>
              <w:top w:val="single" w:sz="6" w:space="0" w:color="000000"/>
              <w:left w:val="single" w:sz="4" w:space="0" w:color="000000"/>
              <w:bottom w:val="single" w:sz="4" w:space="0" w:color="000000"/>
            </w:tcBorders>
          </w:tcPr>
          <w:p>
            <w:pPr>
              <w:pStyle w:val="TableParagraph"/>
              <w:tabs>
                <w:tab w:pos="2807" w:val="left" w:leader="none"/>
              </w:tabs>
              <w:spacing w:line="237" w:lineRule="exact"/>
              <w:ind w:left="110"/>
              <w:rPr>
                <w:sz w:val="18"/>
              </w:rPr>
            </w:pPr>
            <w:r>
              <w:rPr>
                <w:spacing w:val="-2"/>
                <w:sz w:val="18"/>
              </w:rPr>
              <w:t>S/No.</w:t>
            </w:r>
            <w:r>
              <w:rPr>
                <w:sz w:val="18"/>
              </w:rPr>
              <w:tab/>
            </w:r>
            <w:r>
              <w:rPr>
                <w:spacing w:val="-4"/>
                <w:position w:val="6"/>
                <w:sz w:val="18"/>
              </w:rPr>
              <w:t>YEAR</w:t>
            </w:r>
          </w:p>
          <w:p>
            <w:pPr>
              <w:pStyle w:val="TableParagraph"/>
              <w:tabs>
                <w:tab w:pos="2807" w:val="left" w:leader="none"/>
              </w:tabs>
              <w:spacing w:line="168" w:lineRule="exact"/>
              <w:ind w:left="1439"/>
              <w:rPr>
                <w:sz w:val="18"/>
              </w:rPr>
            </w:pPr>
            <w:r>
              <w:rPr>
                <w:spacing w:val="-2"/>
                <w:sz w:val="18"/>
              </w:rPr>
              <w:t>HALLS</w:t>
            </w:r>
            <w:r>
              <w:rPr>
                <w:sz w:val="18"/>
              </w:rPr>
              <w:tab/>
            </w:r>
            <w:r>
              <w:rPr>
                <w:spacing w:val="-2"/>
                <w:sz w:val="18"/>
              </w:rPr>
              <w:t>ESTABLISHED</w:t>
            </w:r>
          </w:p>
        </w:tc>
        <w:tc>
          <w:tcPr>
            <w:tcW w:w="898" w:type="dxa"/>
            <w:tcBorders>
              <w:top w:val="single" w:sz="4" w:space="0" w:color="000000"/>
              <w:bottom w:val="single" w:sz="4" w:space="0" w:color="000000"/>
            </w:tcBorders>
          </w:tcPr>
          <w:p>
            <w:pPr>
              <w:pStyle w:val="TableParagraph"/>
              <w:rPr>
                <w:rFonts w:ascii="Arial"/>
                <w:b/>
                <w:sz w:val="18"/>
              </w:rPr>
            </w:pPr>
          </w:p>
          <w:p>
            <w:pPr>
              <w:pStyle w:val="TableParagraph"/>
              <w:spacing w:line="197" w:lineRule="exact"/>
              <w:ind w:left="8" w:right="1"/>
              <w:jc w:val="center"/>
              <w:rPr>
                <w:sz w:val="18"/>
              </w:rPr>
            </w:pPr>
            <w:r>
              <w:rPr>
                <w:spacing w:val="-2"/>
                <w:sz w:val="18"/>
              </w:rPr>
              <w:t>1993/94</w:t>
            </w:r>
          </w:p>
        </w:tc>
        <w:tc>
          <w:tcPr>
            <w:tcW w:w="900" w:type="dxa"/>
            <w:tcBorders>
              <w:top w:val="single" w:sz="4" w:space="0" w:color="000000"/>
              <w:bottom w:val="single" w:sz="4" w:space="0" w:color="000000"/>
            </w:tcBorders>
          </w:tcPr>
          <w:p>
            <w:pPr>
              <w:pStyle w:val="TableParagraph"/>
              <w:rPr>
                <w:rFonts w:ascii="Arial"/>
                <w:b/>
                <w:sz w:val="18"/>
              </w:rPr>
            </w:pPr>
          </w:p>
          <w:p>
            <w:pPr>
              <w:pStyle w:val="TableParagraph"/>
              <w:spacing w:line="197" w:lineRule="exact"/>
              <w:ind w:left="9" w:right="4"/>
              <w:jc w:val="center"/>
              <w:rPr>
                <w:sz w:val="18"/>
              </w:rPr>
            </w:pPr>
            <w:r>
              <w:rPr>
                <w:spacing w:val="-2"/>
                <w:sz w:val="18"/>
              </w:rPr>
              <w:t>1994/95</w:t>
            </w:r>
          </w:p>
        </w:tc>
        <w:tc>
          <w:tcPr>
            <w:tcW w:w="900" w:type="dxa"/>
            <w:tcBorders>
              <w:top w:val="single" w:sz="4" w:space="0" w:color="000000"/>
              <w:bottom w:val="single" w:sz="4" w:space="0" w:color="000000"/>
            </w:tcBorders>
          </w:tcPr>
          <w:p>
            <w:pPr>
              <w:pStyle w:val="TableParagraph"/>
              <w:rPr>
                <w:rFonts w:ascii="Arial"/>
                <w:b/>
                <w:sz w:val="18"/>
              </w:rPr>
            </w:pPr>
          </w:p>
          <w:p>
            <w:pPr>
              <w:pStyle w:val="TableParagraph"/>
              <w:spacing w:line="197" w:lineRule="exact"/>
              <w:ind w:left="11" w:right="2"/>
              <w:jc w:val="center"/>
              <w:rPr>
                <w:sz w:val="18"/>
              </w:rPr>
            </w:pPr>
            <w:r>
              <w:rPr>
                <w:spacing w:val="-2"/>
                <w:sz w:val="18"/>
              </w:rPr>
              <w:t>1995/96</w:t>
            </w:r>
          </w:p>
        </w:tc>
        <w:tc>
          <w:tcPr>
            <w:tcW w:w="900" w:type="dxa"/>
            <w:tcBorders>
              <w:top w:val="single" w:sz="4" w:space="0" w:color="000000"/>
              <w:bottom w:val="single" w:sz="4" w:space="0" w:color="000000"/>
            </w:tcBorders>
          </w:tcPr>
          <w:p>
            <w:pPr>
              <w:pStyle w:val="TableParagraph"/>
              <w:rPr>
                <w:rFonts w:ascii="Arial"/>
                <w:b/>
                <w:sz w:val="18"/>
              </w:rPr>
            </w:pPr>
          </w:p>
          <w:p>
            <w:pPr>
              <w:pStyle w:val="TableParagraph"/>
              <w:spacing w:line="197" w:lineRule="exact"/>
              <w:ind w:left="9" w:right="4"/>
              <w:jc w:val="center"/>
              <w:rPr>
                <w:sz w:val="18"/>
              </w:rPr>
            </w:pPr>
            <w:r>
              <w:rPr>
                <w:spacing w:val="-2"/>
                <w:sz w:val="18"/>
              </w:rPr>
              <w:t>1996/97</w:t>
            </w:r>
          </w:p>
        </w:tc>
        <w:tc>
          <w:tcPr>
            <w:tcW w:w="900" w:type="dxa"/>
            <w:tcBorders>
              <w:top w:val="single" w:sz="4" w:space="0" w:color="000000"/>
              <w:bottom w:val="single" w:sz="4" w:space="0" w:color="000000"/>
            </w:tcBorders>
          </w:tcPr>
          <w:p>
            <w:pPr>
              <w:pStyle w:val="TableParagraph"/>
              <w:rPr>
                <w:rFonts w:ascii="Arial"/>
                <w:b/>
                <w:sz w:val="18"/>
              </w:rPr>
            </w:pPr>
          </w:p>
          <w:p>
            <w:pPr>
              <w:pStyle w:val="TableParagraph"/>
              <w:spacing w:line="197" w:lineRule="exact"/>
              <w:ind w:left="11" w:right="2"/>
              <w:jc w:val="center"/>
              <w:rPr>
                <w:sz w:val="18"/>
              </w:rPr>
            </w:pPr>
            <w:r>
              <w:rPr>
                <w:spacing w:val="-2"/>
                <w:sz w:val="18"/>
              </w:rPr>
              <w:t>1997/98</w:t>
            </w:r>
          </w:p>
        </w:tc>
        <w:tc>
          <w:tcPr>
            <w:tcW w:w="895" w:type="dxa"/>
            <w:tcBorders>
              <w:top w:val="single" w:sz="4" w:space="0" w:color="000000"/>
              <w:bottom w:val="single" w:sz="4" w:space="0" w:color="000000"/>
            </w:tcBorders>
          </w:tcPr>
          <w:p>
            <w:pPr>
              <w:pStyle w:val="TableParagraph"/>
              <w:rPr>
                <w:rFonts w:ascii="Arial"/>
                <w:b/>
                <w:sz w:val="18"/>
              </w:rPr>
            </w:pPr>
          </w:p>
          <w:p>
            <w:pPr>
              <w:pStyle w:val="TableParagraph"/>
              <w:spacing w:line="197" w:lineRule="exact"/>
              <w:ind w:left="10"/>
              <w:jc w:val="center"/>
              <w:rPr>
                <w:sz w:val="18"/>
              </w:rPr>
            </w:pPr>
            <w:r>
              <w:rPr>
                <w:spacing w:val="-2"/>
                <w:sz w:val="18"/>
              </w:rPr>
              <w:t>1998/99</w:t>
            </w:r>
          </w:p>
        </w:tc>
        <w:tc>
          <w:tcPr>
            <w:tcW w:w="1085" w:type="dxa"/>
            <w:tcBorders>
              <w:top w:val="single" w:sz="4" w:space="0" w:color="000000"/>
              <w:bottom w:val="single" w:sz="4" w:space="0" w:color="000000"/>
            </w:tcBorders>
          </w:tcPr>
          <w:p>
            <w:pPr>
              <w:pStyle w:val="TableParagraph"/>
              <w:rPr>
                <w:rFonts w:ascii="Arial"/>
                <w:b/>
                <w:sz w:val="18"/>
              </w:rPr>
            </w:pPr>
          </w:p>
          <w:p>
            <w:pPr>
              <w:pStyle w:val="TableParagraph"/>
              <w:spacing w:line="197" w:lineRule="exact"/>
              <w:ind w:left="12"/>
              <w:jc w:val="center"/>
              <w:rPr>
                <w:sz w:val="18"/>
              </w:rPr>
            </w:pPr>
            <w:r>
              <w:rPr>
                <w:spacing w:val="-2"/>
                <w:sz w:val="18"/>
              </w:rPr>
              <w:t>1999/2000</w:t>
            </w:r>
          </w:p>
        </w:tc>
        <w:tc>
          <w:tcPr>
            <w:tcW w:w="1080" w:type="dxa"/>
            <w:tcBorders>
              <w:top w:val="single" w:sz="4" w:space="0" w:color="000000"/>
              <w:bottom w:val="single" w:sz="4" w:space="0" w:color="000000"/>
            </w:tcBorders>
          </w:tcPr>
          <w:p>
            <w:pPr>
              <w:pStyle w:val="TableParagraph"/>
              <w:rPr>
                <w:rFonts w:ascii="Arial"/>
                <w:b/>
                <w:sz w:val="18"/>
              </w:rPr>
            </w:pPr>
          </w:p>
          <w:p>
            <w:pPr>
              <w:pStyle w:val="TableParagraph"/>
              <w:spacing w:line="197" w:lineRule="exact"/>
              <w:ind w:left="12" w:right="5"/>
              <w:jc w:val="center"/>
              <w:rPr>
                <w:sz w:val="18"/>
              </w:rPr>
            </w:pPr>
            <w:r>
              <w:rPr>
                <w:spacing w:val="-2"/>
                <w:sz w:val="18"/>
              </w:rPr>
              <w:t>2000/2001</w:t>
            </w:r>
          </w:p>
        </w:tc>
        <w:tc>
          <w:tcPr>
            <w:tcW w:w="1126" w:type="dxa"/>
            <w:tcBorders>
              <w:top w:val="single" w:sz="4" w:space="0" w:color="000000"/>
              <w:bottom w:val="single" w:sz="4" w:space="0" w:color="000000"/>
            </w:tcBorders>
          </w:tcPr>
          <w:p>
            <w:pPr>
              <w:pStyle w:val="TableParagraph"/>
              <w:rPr>
                <w:rFonts w:ascii="Arial"/>
                <w:b/>
                <w:sz w:val="18"/>
              </w:rPr>
            </w:pPr>
          </w:p>
          <w:p>
            <w:pPr>
              <w:pStyle w:val="TableParagraph"/>
              <w:spacing w:line="197" w:lineRule="exact"/>
              <w:ind w:right="36"/>
              <w:jc w:val="center"/>
              <w:rPr>
                <w:sz w:val="18"/>
              </w:rPr>
            </w:pPr>
            <w:r>
              <w:rPr>
                <w:spacing w:val="-2"/>
                <w:sz w:val="18"/>
              </w:rPr>
              <w:t>2001/2002</w:t>
            </w:r>
          </w:p>
        </w:tc>
        <w:tc>
          <w:tcPr>
            <w:tcW w:w="1214" w:type="dxa"/>
            <w:tcBorders>
              <w:top w:val="single" w:sz="4" w:space="0" w:color="000000"/>
              <w:bottom w:val="single" w:sz="4" w:space="0" w:color="000000"/>
              <w:right w:val="single" w:sz="4" w:space="0" w:color="000000"/>
            </w:tcBorders>
          </w:tcPr>
          <w:p>
            <w:pPr>
              <w:pStyle w:val="TableParagraph"/>
              <w:rPr>
                <w:rFonts w:ascii="Arial"/>
                <w:b/>
                <w:sz w:val="18"/>
              </w:rPr>
            </w:pPr>
          </w:p>
          <w:p>
            <w:pPr>
              <w:pStyle w:val="TableParagraph"/>
              <w:spacing w:line="197" w:lineRule="exact"/>
              <w:ind w:right="28"/>
              <w:jc w:val="center"/>
              <w:rPr>
                <w:sz w:val="18"/>
              </w:rPr>
            </w:pPr>
            <w:r>
              <w:rPr>
                <w:spacing w:val="-2"/>
                <w:sz w:val="18"/>
              </w:rPr>
              <w:t>2002/2003</w:t>
            </w:r>
          </w:p>
        </w:tc>
      </w:tr>
      <w:tr>
        <w:trPr>
          <w:trHeight w:val="710" w:hRule="atLeast"/>
        </w:trPr>
        <w:tc>
          <w:tcPr>
            <w:tcW w:w="4326" w:type="dxa"/>
            <w:gridSpan w:val="2"/>
            <w:tcBorders>
              <w:top w:val="single" w:sz="4" w:space="0" w:color="000000"/>
              <w:left w:val="single" w:sz="4" w:space="0" w:color="000000"/>
              <w:bottom w:val="single" w:sz="4" w:space="0" w:color="000000"/>
            </w:tcBorders>
          </w:tcPr>
          <w:p>
            <w:pPr>
              <w:pStyle w:val="TableParagraph"/>
              <w:tabs>
                <w:tab w:pos="1281" w:val="left" w:leader="none"/>
                <w:tab w:pos="3711" w:val="right" w:leader="none"/>
              </w:tabs>
              <w:spacing w:line="207" w:lineRule="exact" w:before="80"/>
              <w:ind w:left="302"/>
              <w:rPr>
                <w:sz w:val="18"/>
              </w:rPr>
            </w:pPr>
            <w:r>
              <w:rPr>
                <w:spacing w:val="-5"/>
                <w:sz w:val="18"/>
              </w:rPr>
              <w:t>1.</w:t>
            </w:r>
            <w:r>
              <w:rPr>
                <w:sz w:val="18"/>
              </w:rPr>
              <w:tab/>
              <w:t>Barau</w:t>
            </w:r>
            <w:r>
              <w:rPr>
                <w:spacing w:val="-2"/>
                <w:sz w:val="18"/>
              </w:rPr>
              <w:t> </w:t>
            </w:r>
            <w:r>
              <w:rPr>
                <w:spacing w:val="-4"/>
                <w:sz w:val="18"/>
              </w:rPr>
              <w:t>Diko</w:t>
            </w:r>
            <w:r>
              <w:rPr>
                <w:sz w:val="18"/>
              </w:rPr>
              <w:tab/>
            </w:r>
            <w:r>
              <w:rPr>
                <w:spacing w:val="-4"/>
                <w:sz w:val="18"/>
              </w:rPr>
              <w:t>1972</w:t>
            </w:r>
          </w:p>
          <w:p>
            <w:pPr>
              <w:pStyle w:val="TableParagraph"/>
              <w:spacing w:line="206" w:lineRule="exact"/>
              <w:ind w:left="1262" w:right="111" w:firstLine="1660"/>
              <w:rPr>
                <w:sz w:val="18"/>
              </w:rPr>
            </w:pPr>
            <w:r>
              <w:rPr>
                <w:sz w:val="18"/>
              </w:rPr>
              <w:t>GRAND</w:t>
            </w:r>
            <w:r>
              <w:rPr>
                <w:spacing w:val="-13"/>
                <w:sz w:val="18"/>
              </w:rPr>
              <w:t> </w:t>
            </w:r>
            <w:r>
              <w:rPr>
                <w:sz w:val="18"/>
              </w:rPr>
              <w:t>TOTAL TOTAL</w:t>
            </w:r>
            <w:r>
              <w:rPr>
                <w:spacing w:val="41"/>
                <w:sz w:val="18"/>
              </w:rPr>
              <w:t> </w:t>
            </w:r>
            <w:r>
              <w:rPr>
                <w:sz w:val="18"/>
              </w:rPr>
              <w:t>STUDENTS</w:t>
            </w:r>
            <w:r>
              <w:rPr>
                <w:spacing w:val="-4"/>
                <w:sz w:val="18"/>
              </w:rPr>
              <w:t> </w:t>
            </w:r>
            <w:r>
              <w:rPr>
                <w:spacing w:val="-2"/>
                <w:sz w:val="18"/>
              </w:rPr>
              <w:t>ENROLLMENT</w:t>
            </w:r>
          </w:p>
        </w:tc>
        <w:tc>
          <w:tcPr>
            <w:tcW w:w="898" w:type="dxa"/>
            <w:tcBorders>
              <w:top w:val="single" w:sz="4" w:space="0" w:color="000000"/>
              <w:bottom w:val="single" w:sz="4" w:space="0" w:color="000000"/>
            </w:tcBorders>
          </w:tcPr>
          <w:p>
            <w:pPr>
              <w:pStyle w:val="TableParagraph"/>
              <w:spacing w:before="80"/>
              <w:ind w:left="7" w:right="8"/>
              <w:jc w:val="center"/>
              <w:rPr>
                <w:sz w:val="18"/>
              </w:rPr>
            </w:pPr>
            <w:r>
              <w:rPr>
                <w:spacing w:val="-5"/>
                <w:sz w:val="18"/>
              </w:rPr>
              <w:t>389</w:t>
            </w:r>
          </w:p>
          <w:p>
            <w:pPr>
              <w:pStyle w:val="TableParagraph"/>
              <w:spacing w:line="197" w:lineRule="exact" w:before="206"/>
              <w:ind w:left="7" w:right="5"/>
              <w:jc w:val="center"/>
              <w:rPr>
                <w:sz w:val="18"/>
              </w:rPr>
            </w:pPr>
            <w:r>
              <w:rPr>
                <w:spacing w:val="-2"/>
                <w:sz w:val="18"/>
              </w:rPr>
              <w:t>24,035</w:t>
            </w:r>
          </w:p>
        </w:tc>
        <w:tc>
          <w:tcPr>
            <w:tcW w:w="900" w:type="dxa"/>
            <w:tcBorders>
              <w:top w:val="single" w:sz="4" w:space="0" w:color="000000"/>
              <w:bottom w:val="single" w:sz="4" w:space="0" w:color="000000"/>
            </w:tcBorders>
          </w:tcPr>
          <w:p>
            <w:pPr>
              <w:pStyle w:val="TableParagraph"/>
              <w:spacing w:before="80"/>
              <w:ind w:left="9" w:right="7"/>
              <w:jc w:val="center"/>
              <w:rPr>
                <w:sz w:val="18"/>
              </w:rPr>
            </w:pPr>
            <w:r>
              <w:rPr>
                <w:spacing w:val="-10"/>
                <w:sz w:val="18"/>
              </w:rPr>
              <w:t>-</w:t>
            </w:r>
          </w:p>
          <w:p>
            <w:pPr>
              <w:pStyle w:val="TableParagraph"/>
              <w:spacing w:line="197" w:lineRule="exact" w:before="206"/>
              <w:ind w:left="9" w:right="9"/>
              <w:jc w:val="center"/>
              <w:rPr>
                <w:sz w:val="18"/>
              </w:rPr>
            </w:pPr>
            <w:r>
              <w:rPr>
                <w:spacing w:val="-2"/>
                <w:sz w:val="18"/>
              </w:rPr>
              <w:t>23,000</w:t>
            </w:r>
          </w:p>
        </w:tc>
        <w:tc>
          <w:tcPr>
            <w:tcW w:w="900" w:type="dxa"/>
            <w:tcBorders>
              <w:top w:val="single" w:sz="4" w:space="0" w:color="000000"/>
              <w:bottom w:val="single" w:sz="4" w:space="0" w:color="000000"/>
            </w:tcBorders>
          </w:tcPr>
          <w:p>
            <w:pPr>
              <w:pStyle w:val="TableParagraph"/>
              <w:spacing w:before="80"/>
              <w:ind w:left="9" w:right="9"/>
              <w:jc w:val="center"/>
              <w:rPr>
                <w:sz w:val="18"/>
              </w:rPr>
            </w:pPr>
            <w:r>
              <w:rPr>
                <w:spacing w:val="-5"/>
                <w:sz w:val="18"/>
              </w:rPr>
              <w:t>389</w:t>
            </w:r>
          </w:p>
          <w:p>
            <w:pPr>
              <w:pStyle w:val="TableParagraph"/>
              <w:spacing w:line="197" w:lineRule="exact" w:before="206"/>
              <w:ind w:left="9" w:right="5"/>
              <w:jc w:val="center"/>
              <w:rPr>
                <w:sz w:val="18"/>
              </w:rPr>
            </w:pPr>
            <w:r>
              <w:rPr>
                <w:spacing w:val="-2"/>
                <w:sz w:val="18"/>
              </w:rPr>
              <w:t>20,230</w:t>
            </w:r>
          </w:p>
        </w:tc>
        <w:tc>
          <w:tcPr>
            <w:tcW w:w="900" w:type="dxa"/>
            <w:tcBorders>
              <w:top w:val="single" w:sz="4" w:space="0" w:color="000000"/>
              <w:bottom w:val="single" w:sz="4" w:space="0" w:color="000000"/>
            </w:tcBorders>
          </w:tcPr>
          <w:p>
            <w:pPr>
              <w:pStyle w:val="TableParagraph"/>
              <w:spacing w:before="80"/>
              <w:ind w:left="9" w:right="11"/>
              <w:jc w:val="center"/>
              <w:rPr>
                <w:sz w:val="18"/>
              </w:rPr>
            </w:pPr>
            <w:r>
              <w:rPr>
                <w:spacing w:val="-5"/>
                <w:sz w:val="18"/>
              </w:rPr>
              <w:t>389</w:t>
            </w:r>
          </w:p>
          <w:p>
            <w:pPr>
              <w:pStyle w:val="TableParagraph"/>
              <w:spacing w:line="197" w:lineRule="exact" w:before="206"/>
              <w:ind w:left="9" w:right="9"/>
              <w:jc w:val="center"/>
              <w:rPr>
                <w:sz w:val="18"/>
              </w:rPr>
            </w:pPr>
            <w:r>
              <w:rPr>
                <w:spacing w:val="-2"/>
                <w:sz w:val="18"/>
              </w:rPr>
              <w:t>17,200</w:t>
            </w:r>
          </w:p>
        </w:tc>
        <w:tc>
          <w:tcPr>
            <w:tcW w:w="900" w:type="dxa"/>
            <w:tcBorders>
              <w:top w:val="single" w:sz="4" w:space="0" w:color="000000"/>
              <w:bottom w:val="single" w:sz="4" w:space="0" w:color="000000"/>
            </w:tcBorders>
          </w:tcPr>
          <w:p>
            <w:pPr>
              <w:pStyle w:val="TableParagraph"/>
              <w:spacing w:before="80"/>
              <w:ind w:left="9" w:right="9"/>
              <w:jc w:val="center"/>
              <w:rPr>
                <w:sz w:val="18"/>
              </w:rPr>
            </w:pPr>
            <w:r>
              <w:rPr>
                <w:spacing w:val="-5"/>
                <w:sz w:val="18"/>
              </w:rPr>
              <w:t>405</w:t>
            </w:r>
          </w:p>
          <w:p>
            <w:pPr>
              <w:pStyle w:val="TableParagraph"/>
              <w:spacing w:line="197" w:lineRule="exact" w:before="206"/>
              <w:ind w:left="9" w:right="5"/>
              <w:jc w:val="center"/>
              <w:rPr>
                <w:sz w:val="18"/>
              </w:rPr>
            </w:pPr>
            <w:r>
              <w:rPr>
                <w:spacing w:val="-2"/>
                <w:sz w:val="18"/>
              </w:rPr>
              <w:t>17,536</w:t>
            </w:r>
          </w:p>
        </w:tc>
        <w:tc>
          <w:tcPr>
            <w:tcW w:w="895" w:type="dxa"/>
            <w:tcBorders>
              <w:top w:val="single" w:sz="4" w:space="0" w:color="000000"/>
              <w:bottom w:val="single" w:sz="4" w:space="0" w:color="000000"/>
            </w:tcBorders>
          </w:tcPr>
          <w:p>
            <w:pPr>
              <w:pStyle w:val="TableParagraph"/>
              <w:spacing w:before="80"/>
              <w:ind w:left="10" w:right="10"/>
              <w:jc w:val="center"/>
              <w:rPr>
                <w:sz w:val="18"/>
              </w:rPr>
            </w:pPr>
            <w:r>
              <w:rPr>
                <w:spacing w:val="-5"/>
                <w:sz w:val="18"/>
              </w:rPr>
              <w:t>405</w:t>
            </w:r>
          </w:p>
          <w:p>
            <w:pPr>
              <w:pStyle w:val="TableParagraph"/>
              <w:spacing w:line="197" w:lineRule="exact" w:before="206"/>
              <w:ind w:left="10" w:right="5"/>
              <w:jc w:val="center"/>
              <w:rPr>
                <w:sz w:val="18"/>
              </w:rPr>
            </w:pPr>
            <w:r>
              <w:rPr>
                <w:spacing w:val="-2"/>
                <w:sz w:val="18"/>
              </w:rPr>
              <w:t>18,831</w:t>
            </w:r>
          </w:p>
        </w:tc>
        <w:tc>
          <w:tcPr>
            <w:tcW w:w="1085" w:type="dxa"/>
            <w:tcBorders>
              <w:top w:val="single" w:sz="4" w:space="0" w:color="000000"/>
              <w:bottom w:val="single" w:sz="4" w:space="0" w:color="000000"/>
            </w:tcBorders>
          </w:tcPr>
          <w:p>
            <w:pPr>
              <w:pStyle w:val="TableParagraph"/>
              <w:rPr>
                <w:rFonts w:ascii="Arial"/>
                <w:b/>
                <w:sz w:val="18"/>
              </w:rPr>
            </w:pPr>
          </w:p>
          <w:p>
            <w:pPr>
              <w:pStyle w:val="TableParagraph"/>
              <w:spacing w:before="79"/>
              <w:rPr>
                <w:rFonts w:ascii="Arial"/>
                <w:b/>
                <w:sz w:val="18"/>
              </w:rPr>
            </w:pPr>
          </w:p>
          <w:p>
            <w:pPr>
              <w:pStyle w:val="TableParagraph"/>
              <w:spacing w:line="197" w:lineRule="exact"/>
              <w:ind w:left="12"/>
              <w:jc w:val="center"/>
              <w:rPr>
                <w:sz w:val="18"/>
              </w:rPr>
            </w:pPr>
            <w:r>
              <w:rPr>
                <w:spacing w:val="-2"/>
                <w:sz w:val="18"/>
              </w:rPr>
              <w:t>18,268</w:t>
            </w:r>
          </w:p>
        </w:tc>
        <w:tc>
          <w:tcPr>
            <w:tcW w:w="1080" w:type="dxa"/>
            <w:tcBorders>
              <w:top w:val="single" w:sz="4" w:space="0" w:color="000000"/>
              <w:bottom w:val="single" w:sz="4" w:space="0" w:color="000000"/>
            </w:tcBorders>
          </w:tcPr>
          <w:p>
            <w:pPr>
              <w:pStyle w:val="TableParagraph"/>
              <w:rPr>
                <w:rFonts w:ascii="Arial"/>
                <w:b/>
                <w:sz w:val="18"/>
              </w:rPr>
            </w:pPr>
          </w:p>
          <w:p>
            <w:pPr>
              <w:pStyle w:val="TableParagraph"/>
              <w:spacing w:before="79"/>
              <w:rPr>
                <w:rFonts w:ascii="Arial"/>
                <w:b/>
                <w:sz w:val="18"/>
              </w:rPr>
            </w:pPr>
          </w:p>
          <w:p>
            <w:pPr>
              <w:pStyle w:val="TableParagraph"/>
              <w:spacing w:line="197" w:lineRule="exact"/>
              <w:ind w:left="12" w:right="5"/>
              <w:jc w:val="center"/>
              <w:rPr>
                <w:sz w:val="18"/>
              </w:rPr>
            </w:pPr>
            <w:r>
              <w:rPr>
                <w:spacing w:val="-2"/>
                <w:sz w:val="18"/>
              </w:rPr>
              <w:t>19,111</w:t>
            </w:r>
          </w:p>
        </w:tc>
        <w:tc>
          <w:tcPr>
            <w:tcW w:w="1126" w:type="dxa"/>
            <w:tcBorders>
              <w:top w:val="single" w:sz="4" w:space="0" w:color="000000"/>
              <w:bottom w:val="single" w:sz="4" w:space="0" w:color="000000"/>
            </w:tcBorders>
          </w:tcPr>
          <w:p>
            <w:pPr>
              <w:pStyle w:val="TableParagraph"/>
              <w:rPr>
                <w:rFonts w:ascii="Arial"/>
                <w:b/>
                <w:sz w:val="18"/>
              </w:rPr>
            </w:pPr>
          </w:p>
          <w:p>
            <w:pPr>
              <w:pStyle w:val="TableParagraph"/>
              <w:spacing w:before="79"/>
              <w:rPr>
                <w:rFonts w:ascii="Arial"/>
                <w:b/>
                <w:sz w:val="18"/>
              </w:rPr>
            </w:pPr>
          </w:p>
          <w:p>
            <w:pPr>
              <w:pStyle w:val="TableParagraph"/>
              <w:spacing w:line="197" w:lineRule="exact"/>
              <w:ind w:right="36"/>
              <w:jc w:val="center"/>
              <w:rPr>
                <w:sz w:val="18"/>
              </w:rPr>
            </w:pPr>
            <w:r>
              <w:rPr>
                <w:spacing w:val="-2"/>
                <w:sz w:val="18"/>
              </w:rPr>
              <w:t>19,900</w:t>
            </w:r>
          </w:p>
        </w:tc>
        <w:tc>
          <w:tcPr>
            <w:tcW w:w="1214" w:type="dxa"/>
            <w:tcBorders>
              <w:top w:val="single" w:sz="4" w:space="0" w:color="000000"/>
              <w:bottom w:val="single" w:sz="4" w:space="0" w:color="000000"/>
              <w:right w:val="single" w:sz="4" w:space="0" w:color="000000"/>
            </w:tcBorders>
          </w:tcPr>
          <w:p>
            <w:pPr>
              <w:pStyle w:val="TableParagraph"/>
              <w:rPr>
                <w:rFonts w:ascii="Times New Roman"/>
                <w:sz w:val="18"/>
              </w:rPr>
            </w:pPr>
          </w:p>
        </w:tc>
      </w:tr>
    </w:tbl>
    <w:p>
      <w:pPr>
        <w:spacing w:before="9"/>
        <w:ind w:left="660" w:right="0" w:firstLine="0"/>
        <w:jc w:val="left"/>
        <w:rPr>
          <w:sz w:val="20"/>
        </w:rPr>
      </w:pPr>
      <w:r>
        <w:rPr>
          <w:sz w:val="20"/>
        </w:rPr>
        <w:t>Source:</w:t>
      </w:r>
      <w:r>
        <w:rPr>
          <w:spacing w:val="-9"/>
          <w:sz w:val="20"/>
        </w:rPr>
        <w:t> </w:t>
      </w:r>
      <w:r>
        <w:rPr>
          <w:sz w:val="20"/>
        </w:rPr>
        <w:t>Academic</w:t>
      </w:r>
      <w:r>
        <w:rPr>
          <w:spacing w:val="-11"/>
          <w:sz w:val="20"/>
        </w:rPr>
        <w:t> </w:t>
      </w:r>
      <w:r>
        <w:rPr>
          <w:sz w:val="20"/>
        </w:rPr>
        <w:t>Office;</w:t>
      </w:r>
      <w:r>
        <w:rPr>
          <w:spacing w:val="-10"/>
          <w:sz w:val="20"/>
        </w:rPr>
        <w:t> </w:t>
      </w:r>
      <w:r>
        <w:rPr>
          <w:sz w:val="20"/>
        </w:rPr>
        <w:t>Academic</w:t>
      </w:r>
      <w:r>
        <w:rPr>
          <w:spacing w:val="-10"/>
          <w:sz w:val="20"/>
        </w:rPr>
        <w:t> </w:t>
      </w:r>
      <w:r>
        <w:rPr>
          <w:sz w:val="20"/>
        </w:rPr>
        <w:t>Planning</w:t>
      </w:r>
      <w:r>
        <w:rPr>
          <w:spacing w:val="-9"/>
          <w:sz w:val="20"/>
        </w:rPr>
        <w:t> </w:t>
      </w:r>
      <w:r>
        <w:rPr>
          <w:sz w:val="20"/>
        </w:rPr>
        <w:t>and</w:t>
      </w:r>
      <w:r>
        <w:rPr>
          <w:spacing w:val="-12"/>
          <w:sz w:val="20"/>
        </w:rPr>
        <w:t> </w:t>
      </w:r>
      <w:r>
        <w:rPr>
          <w:sz w:val="20"/>
        </w:rPr>
        <w:t>Information</w:t>
      </w:r>
      <w:r>
        <w:rPr>
          <w:spacing w:val="-8"/>
          <w:sz w:val="20"/>
        </w:rPr>
        <w:t> </w:t>
      </w:r>
      <w:r>
        <w:rPr>
          <w:sz w:val="20"/>
        </w:rPr>
        <w:t>and</w:t>
      </w:r>
      <w:r>
        <w:rPr>
          <w:spacing w:val="-14"/>
          <w:sz w:val="20"/>
        </w:rPr>
        <w:t> </w:t>
      </w:r>
      <w:r>
        <w:rPr>
          <w:sz w:val="20"/>
        </w:rPr>
        <w:t>Management</w:t>
      </w:r>
      <w:r>
        <w:rPr>
          <w:spacing w:val="-10"/>
          <w:sz w:val="20"/>
        </w:rPr>
        <w:t> </w:t>
      </w:r>
      <w:r>
        <w:rPr>
          <w:sz w:val="20"/>
        </w:rPr>
        <w:t>Information</w:t>
      </w:r>
      <w:r>
        <w:rPr>
          <w:spacing w:val="-12"/>
          <w:sz w:val="20"/>
        </w:rPr>
        <w:t> </w:t>
      </w:r>
      <w:r>
        <w:rPr>
          <w:sz w:val="20"/>
        </w:rPr>
        <w:t>Section</w:t>
      </w:r>
      <w:r>
        <w:rPr>
          <w:spacing w:val="-9"/>
          <w:sz w:val="20"/>
        </w:rPr>
        <w:t> </w:t>
      </w:r>
      <w:r>
        <w:rPr>
          <w:sz w:val="20"/>
        </w:rPr>
        <w:t>(MIS)</w:t>
      </w:r>
      <w:r>
        <w:rPr>
          <w:spacing w:val="-10"/>
          <w:sz w:val="20"/>
        </w:rPr>
        <w:t> </w:t>
      </w:r>
      <w:r>
        <w:rPr>
          <w:sz w:val="20"/>
        </w:rPr>
        <w:t>Ahmadu</w:t>
      </w:r>
      <w:r>
        <w:rPr>
          <w:spacing w:val="-8"/>
          <w:sz w:val="20"/>
        </w:rPr>
        <w:t> </w:t>
      </w:r>
      <w:r>
        <w:rPr>
          <w:sz w:val="20"/>
        </w:rPr>
        <w:t>Bello</w:t>
      </w:r>
      <w:r>
        <w:rPr>
          <w:spacing w:val="-9"/>
          <w:sz w:val="20"/>
        </w:rPr>
        <w:t> </w:t>
      </w:r>
      <w:r>
        <w:rPr>
          <w:sz w:val="20"/>
        </w:rPr>
        <w:t>University,</w:t>
      </w:r>
      <w:r>
        <w:rPr>
          <w:spacing w:val="-9"/>
          <w:sz w:val="20"/>
        </w:rPr>
        <w:t> </w:t>
      </w:r>
      <w:r>
        <w:rPr>
          <w:spacing w:val="-2"/>
          <w:sz w:val="20"/>
        </w:rPr>
        <w:t>Zaria</w:t>
      </w:r>
    </w:p>
    <w:p>
      <w:pPr>
        <w:pStyle w:val="BodyText"/>
      </w:pPr>
    </w:p>
    <w:p>
      <w:pPr>
        <w:pStyle w:val="BodyText"/>
      </w:pPr>
    </w:p>
    <w:p>
      <w:pPr>
        <w:pStyle w:val="BodyText"/>
      </w:pPr>
    </w:p>
    <w:p>
      <w:pPr>
        <w:pStyle w:val="BodyText"/>
      </w:pPr>
    </w:p>
    <w:p>
      <w:pPr>
        <w:pStyle w:val="BodyText"/>
        <w:spacing w:before="14"/>
      </w:pPr>
    </w:p>
    <w:p>
      <w:pPr>
        <w:pStyle w:val="BodyText"/>
        <w:ind w:right="177"/>
        <w:jc w:val="center"/>
        <w:rPr>
          <w:rFonts w:ascii="Times New Roman"/>
        </w:rPr>
      </w:pPr>
      <w:r>
        <w:rPr>
          <w:rFonts w:ascii="Times New Roman"/>
          <w:spacing w:val="-5"/>
        </w:rPr>
        <w:t>73</w:t>
      </w:r>
    </w:p>
    <w:p>
      <w:pPr>
        <w:spacing w:after="0"/>
        <w:jc w:val="center"/>
        <w:rPr>
          <w:rFonts w:ascii="Times New Roman"/>
        </w:rPr>
        <w:sectPr>
          <w:headerReference w:type="default" r:id="rId128"/>
          <w:footerReference w:type="default" r:id="rId129"/>
          <w:pgSz w:w="15840" w:h="12240" w:orient="landscape"/>
          <w:pgMar w:header="0" w:footer="0" w:top="640" w:bottom="280" w:left="780" w:right="600"/>
        </w:sectPr>
      </w:pPr>
    </w:p>
    <w:p>
      <w:pPr>
        <w:pStyle w:val="BodyText"/>
        <w:spacing w:line="480" w:lineRule="auto" w:before="89"/>
        <w:ind w:left="820" w:right="116" w:firstLine="720"/>
        <w:jc w:val="both"/>
      </w:pPr>
      <w:r>
        <w:rPr/>
        <w:t>In Barau Diko the University has rented a block of storey building containing 326 bedspaces so as to reduce the accommodation shortages for clinical students. This arrangement was made in 1998 to date.</w:t>
      </w:r>
    </w:p>
    <w:p>
      <w:pPr>
        <w:pStyle w:val="BodyText"/>
        <w:spacing w:line="480" w:lineRule="auto"/>
        <w:ind w:left="820" w:right="115" w:firstLine="720"/>
        <w:jc w:val="both"/>
      </w:pPr>
      <w:r>
        <w:rPr/>
        <w:t>As for the University of Maiduguri it had undergraduate student population of 64 at the inception in 1975 as foundation students. The figure increased to 1,825 in 1979/80 session and to a total population of over 10,000 in the proceeding years. There were however six hostels namely: Murtala Muhammed, Sardauna, Tafawa Balewa and Ibrahim</w:t>
      </w:r>
      <w:r>
        <w:rPr>
          <w:spacing w:val="-4"/>
        </w:rPr>
        <w:t> </w:t>
      </w:r>
      <w:r>
        <w:rPr/>
        <w:t>Imam halls for male students while Aisha hall accommodated female students and Kashim Ibrahim hall was for clinical students. These halls were believed to have housed students adequately in the 1970s to early 1980s. But when student population increased to over twenty thousand</w:t>
      </w:r>
      <w:r>
        <w:rPr>
          <w:spacing w:val="40"/>
        </w:rPr>
        <w:t> </w:t>
      </w:r>
      <w:r>
        <w:rPr/>
        <w:t>(20,000) in the mid-1980s to present, the halls can no longer accommodate them. More seriously the hostel facilities like electrical, water, beddings etc have been overstretched to a state of collapse.</w:t>
      </w:r>
    </w:p>
    <w:p>
      <w:pPr>
        <w:pStyle w:val="BodyText"/>
        <w:spacing w:line="480" w:lineRule="auto"/>
        <w:ind w:left="820" w:right="115" w:firstLine="720"/>
        <w:jc w:val="both"/>
      </w:pPr>
      <w:r>
        <w:rPr/>
        <w:t>In Bayero University, Kano which also took off fully in 1977 as one of the second generation universities it had a student population of 846 in 1977/78 session, 68% of which was accommodated in the two hostels it had then. But as the population increased to over 20,000 in the 1990s and over 25,000 in the millennium the facilities could no longer be adequate.</w:t>
      </w:r>
    </w:p>
    <w:p>
      <w:pPr>
        <w:pStyle w:val="BodyText"/>
        <w:spacing w:line="480" w:lineRule="auto"/>
        <w:ind w:left="820" w:right="116" w:firstLine="720"/>
        <w:jc w:val="both"/>
      </w:pPr>
      <w:r>
        <w:rPr/>
        <w:t>The Usmanu Dan Fodiyo University, Sokoto which took off in 1975 along with</w:t>
      </w:r>
      <w:r>
        <w:rPr>
          <w:spacing w:val="2"/>
        </w:rPr>
        <w:t> </w:t>
      </w:r>
      <w:r>
        <w:rPr/>
        <w:t>other</w:t>
      </w:r>
      <w:r>
        <w:rPr>
          <w:spacing w:val="-2"/>
        </w:rPr>
        <w:t> </w:t>
      </w:r>
      <w:r>
        <w:rPr/>
        <w:t>second</w:t>
      </w:r>
      <w:r>
        <w:rPr>
          <w:spacing w:val="-2"/>
        </w:rPr>
        <w:t> </w:t>
      </w:r>
      <w:r>
        <w:rPr/>
        <w:t>generation</w:t>
      </w:r>
      <w:r>
        <w:rPr>
          <w:spacing w:val="-3"/>
        </w:rPr>
        <w:t> </w:t>
      </w:r>
      <w:r>
        <w:rPr/>
        <w:t>universities</w:t>
      </w:r>
      <w:r>
        <w:rPr>
          <w:spacing w:val="1"/>
        </w:rPr>
        <w:t> </w:t>
      </w:r>
      <w:r>
        <w:rPr/>
        <w:t>had</w:t>
      </w:r>
      <w:r>
        <w:rPr>
          <w:spacing w:val="-3"/>
        </w:rPr>
        <w:t> </w:t>
      </w:r>
      <w:r>
        <w:rPr/>
        <w:t>an</w:t>
      </w:r>
      <w:r>
        <w:rPr>
          <w:spacing w:val="-2"/>
        </w:rPr>
        <w:t> </w:t>
      </w:r>
      <w:r>
        <w:rPr/>
        <w:t>initial</w:t>
      </w:r>
      <w:r>
        <w:rPr>
          <w:spacing w:val="5"/>
        </w:rPr>
        <w:t> </w:t>
      </w:r>
      <w:r>
        <w:rPr/>
        <w:t>enrollment</w:t>
      </w:r>
      <w:r>
        <w:rPr>
          <w:spacing w:val="1"/>
        </w:rPr>
        <w:t> </w:t>
      </w:r>
      <w:r>
        <w:rPr/>
        <w:t>of</w:t>
      </w:r>
      <w:r>
        <w:rPr>
          <w:spacing w:val="1"/>
        </w:rPr>
        <w:t> </w:t>
      </w:r>
      <w:r>
        <w:rPr/>
        <w:t>ninety-</w:t>
      </w:r>
      <w:r>
        <w:rPr>
          <w:spacing w:val="-2"/>
        </w:rPr>
        <w:t>three</w:t>
      </w:r>
    </w:p>
    <w:p>
      <w:pPr>
        <w:pStyle w:val="BodyText"/>
        <w:spacing w:line="480" w:lineRule="auto" w:before="1"/>
        <w:ind w:left="820" w:right="116"/>
        <w:jc w:val="both"/>
      </w:pPr>
      <w:r>
        <w:rPr/>
        <w:t>(93) undergraduate students. The university did well in providing adequate accommodation</w:t>
      </w:r>
      <w:r>
        <w:rPr>
          <w:spacing w:val="17"/>
        </w:rPr>
        <w:t> </w:t>
      </w:r>
      <w:r>
        <w:rPr/>
        <w:t>for</w:t>
      </w:r>
      <w:r>
        <w:rPr>
          <w:spacing w:val="19"/>
        </w:rPr>
        <w:t> </w:t>
      </w:r>
      <w:r>
        <w:rPr/>
        <w:t>them</w:t>
      </w:r>
      <w:r>
        <w:rPr>
          <w:spacing w:val="10"/>
        </w:rPr>
        <w:t> </w:t>
      </w:r>
      <w:r>
        <w:rPr/>
        <w:t>as</w:t>
      </w:r>
      <w:r>
        <w:rPr>
          <w:spacing w:val="17"/>
        </w:rPr>
        <w:t> </w:t>
      </w:r>
      <w:r>
        <w:rPr/>
        <w:t>the</w:t>
      </w:r>
      <w:r>
        <w:rPr>
          <w:spacing w:val="18"/>
        </w:rPr>
        <w:t> </w:t>
      </w:r>
      <w:r>
        <w:rPr/>
        <w:t>number</w:t>
      </w:r>
      <w:r>
        <w:rPr>
          <w:spacing w:val="19"/>
        </w:rPr>
        <w:t> </w:t>
      </w:r>
      <w:r>
        <w:rPr/>
        <w:t>was</w:t>
      </w:r>
      <w:r>
        <w:rPr>
          <w:spacing w:val="22"/>
        </w:rPr>
        <w:t> </w:t>
      </w:r>
      <w:r>
        <w:rPr/>
        <w:t>manageable.</w:t>
      </w:r>
      <w:r>
        <w:rPr>
          <w:spacing w:val="17"/>
        </w:rPr>
        <w:t> </w:t>
      </w:r>
      <w:r>
        <w:rPr/>
        <w:t>But</w:t>
      </w:r>
      <w:r>
        <w:rPr>
          <w:spacing w:val="17"/>
        </w:rPr>
        <w:t> </w:t>
      </w:r>
      <w:r>
        <w:rPr/>
        <w:t>with</w:t>
      </w:r>
      <w:r>
        <w:rPr>
          <w:spacing w:val="13"/>
        </w:rPr>
        <w:t> </w:t>
      </w:r>
      <w:r>
        <w:rPr/>
        <w:t>the</w:t>
      </w:r>
      <w:r>
        <w:rPr>
          <w:spacing w:val="18"/>
        </w:rPr>
        <w:t> </w:t>
      </w:r>
      <w:r>
        <w:rPr>
          <w:spacing w:val="-2"/>
        </w:rPr>
        <w:t>gradual</w:t>
      </w:r>
    </w:p>
    <w:p>
      <w:pPr>
        <w:spacing w:after="0" w:line="480" w:lineRule="auto"/>
        <w:jc w:val="both"/>
        <w:sectPr>
          <w:headerReference w:type="default" r:id="rId130"/>
          <w:footerReference w:type="default" r:id="rId131"/>
          <w:pgSz w:w="12240" w:h="15840"/>
          <w:pgMar w:header="722" w:footer="791" w:top="1340" w:bottom="980" w:left="1340" w:right="1320"/>
          <w:pgNumType w:start="74"/>
        </w:sectPr>
      </w:pPr>
    </w:p>
    <w:p>
      <w:pPr>
        <w:pStyle w:val="BodyText"/>
        <w:spacing w:line="480" w:lineRule="auto" w:before="89"/>
        <w:ind w:left="820" w:right="114"/>
        <w:jc w:val="both"/>
      </w:pPr>
      <w:r>
        <w:rPr/>
        <w:t>increase up to over 16,000 presently the halls were chocked up and the facilities became over stretched.</w:t>
      </w:r>
    </w:p>
    <w:p>
      <w:pPr>
        <w:pStyle w:val="BodyText"/>
        <w:spacing w:line="480" w:lineRule="auto"/>
        <w:ind w:left="820" w:right="115" w:firstLine="720"/>
        <w:jc w:val="both"/>
      </w:pPr>
      <w:r>
        <w:rPr/>
        <w:t>At Jos University three campuses scattered</w:t>
      </w:r>
      <w:r>
        <w:rPr>
          <w:spacing w:val="-2"/>
        </w:rPr>
        <w:t> </w:t>
      </w:r>
      <w:r>
        <w:rPr/>
        <w:t>at</w:t>
      </w:r>
      <w:r>
        <w:rPr>
          <w:spacing w:val="-2"/>
        </w:rPr>
        <w:t> </w:t>
      </w:r>
      <w:r>
        <w:rPr/>
        <w:t>different</w:t>
      </w:r>
      <w:r>
        <w:rPr>
          <w:spacing w:val="-2"/>
        </w:rPr>
        <w:t> </w:t>
      </w:r>
      <w:r>
        <w:rPr/>
        <w:t>locations could not accommodate all students. Bulk of the students reside in Naraguta and students village which is about 1.5 kilometres apart from where they shuttle to the old site at Bauchi road about 2 kilometres from lecture halls. The medical and clinical students travel for four kilometers to Murtala Muhammad hospital in the heart of the city. Students are reported to have been spending </w:t>
      </w:r>
      <w:r>
        <w:rPr>
          <w:dstrike/>
        </w:rPr>
        <w:t>N</w:t>
      </w:r>
      <w:r>
        <w:rPr>
          <w:strike w:val="0"/>
        </w:rPr>
        <w:t>10.00 on transport per trip as at 1987 or even trek exhaustively</w:t>
      </w:r>
    </w:p>
    <w:p>
      <w:pPr>
        <w:pStyle w:val="BodyText"/>
        <w:spacing w:line="480" w:lineRule="auto"/>
        <w:ind w:left="820" w:right="113" w:firstLine="720"/>
        <w:jc w:val="both"/>
      </w:pPr>
      <w:r>
        <w:rPr/>
        <w:t>Relatively the general increase in students’ enrollment in all universities created acute shortage of Hostel accommodation which was a strange phenomenon to students who traditionally perceived admission as synonymous with accommodation. The</w:t>
      </w:r>
      <w:r>
        <w:rPr>
          <w:spacing w:val="-3"/>
        </w:rPr>
        <w:t> </w:t>
      </w:r>
      <w:r>
        <w:rPr/>
        <w:t>increase of</w:t>
      </w:r>
      <w:r>
        <w:rPr>
          <w:spacing w:val="-4"/>
        </w:rPr>
        <w:t> </w:t>
      </w:r>
      <w:r>
        <w:rPr/>
        <w:t>hostel fees by the</w:t>
      </w:r>
      <w:r>
        <w:rPr>
          <w:spacing w:val="-3"/>
        </w:rPr>
        <w:t> </w:t>
      </w:r>
      <w:r>
        <w:rPr/>
        <w:t>Federal Government too made matters worse. This led students to resort to either seeking for off campus accommodation or to squat with the privileged ones. A room officially meant for two persons in the 1970s accommodated three to four persons in most universities and became jam-packed with over ten occupants as the four legal occupants would squat two to three friends each. Based on records from Accommodation Office in Ahmadu Bello University for example 1993-2002, this development opened way for exertive and strangulating pressure from students</w:t>
      </w:r>
      <w:r>
        <w:rPr>
          <w:spacing w:val="40"/>
        </w:rPr>
        <w:t> </w:t>
      </w:r>
      <w:r>
        <w:rPr/>
        <w:t>to secure bed spaces which</w:t>
      </w:r>
      <w:r>
        <w:rPr>
          <w:spacing w:val="-2"/>
        </w:rPr>
        <w:t> </w:t>
      </w:r>
      <w:r>
        <w:rPr/>
        <w:t>they</w:t>
      </w:r>
      <w:r>
        <w:rPr>
          <w:spacing w:val="-3"/>
        </w:rPr>
        <w:t> </w:t>
      </w:r>
      <w:r>
        <w:rPr/>
        <w:t>eventually</w:t>
      </w:r>
      <w:r>
        <w:rPr>
          <w:spacing w:val="-3"/>
        </w:rPr>
        <w:t> </w:t>
      </w:r>
      <w:r>
        <w:rPr/>
        <w:t>commercialized. Apart from</w:t>
      </w:r>
      <w:r>
        <w:rPr>
          <w:spacing w:val="-6"/>
        </w:rPr>
        <w:t> </w:t>
      </w:r>
      <w:r>
        <w:rPr/>
        <w:t>extorting squatters, some students even sold their bed spaces at exploitative rate to desperate</w:t>
      </w:r>
      <w:r>
        <w:rPr>
          <w:spacing w:val="24"/>
        </w:rPr>
        <w:t> </w:t>
      </w:r>
      <w:r>
        <w:rPr/>
        <w:t>students</w:t>
      </w:r>
      <w:r>
        <w:rPr>
          <w:spacing w:val="23"/>
        </w:rPr>
        <w:t> </w:t>
      </w:r>
      <w:r>
        <w:rPr/>
        <w:t>only</w:t>
      </w:r>
      <w:r>
        <w:rPr>
          <w:spacing w:val="24"/>
        </w:rPr>
        <w:t> </w:t>
      </w:r>
      <w:r>
        <w:rPr/>
        <w:t>to</w:t>
      </w:r>
      <w:r>
        <w:rPr>
          <w:spacing w:val="24"/>
        </w:rPr>
        <w:t> </w:t>
      </w:r>
      <w:r>
        <w:rPr/>
        <w:t>squat</w:t>
      </w:r>
      <w:r>
        <w:rPr>
          <w:spacing w:val="24"/>
        </w:rPr>
        <w:t> </w:t>
      </w:r>
      <w:r>
        <w:rPr/>
        <w:t>with</w:t>
      </w:r>
      <w:r>
        <w:rPr>
          <w:spacing w:val="19"/>
        </w:rPr>
        <w:t> </w:t>
      </w:r>
      <w:r>
        <w:rPr/>
        <w:t>other</w:t>
      </w:r>
      <w:r>
        <w:rPr>
          <w:spacing w:val="21"/>
        </w:rPr>
        <w:t> </w:t>
      </w:r>
      <w:r>
        <w:rPr/>
        <w:t>friends</w:t>
      </w:r>
      <w:r>
        <w:rPr>
          <w:spacing w:val="19"/>
        </w:rPr>
        <w:t> </w:t>
      </w:r>
      <w:r>
        <w:rPr/>
        <w:t>later.</w:t>
      </w:r>
      <w:r>
        <w:rPr>
          <w:spacing w:val="23"/>
        </w:rPr>
        <w:t> </w:t>
      </w:r>
      <w:r>
        <w:rPr/>
        <w:t>This</w:t>
      </w:r>
      <w:r>
        <w:rPr>
          <w:spacing w:val="24"/>
        </w:rPr>
        <w:t> </w:t>
      </w:r>
      <w:r>
        <w:rPr/>
        <w:t>practice</w:t>
      </w:r>
      <w:r>
        <w:rPr>
          <w:spacing w:val="24"/>
        </w:rPr>
        <w:t> </w:t>
      </w:r>
      <w:r>
        <w:rPr>
          <w:spacing w:val="-2"/>
        </w:rPr>
        <w:t>became</w:t>
      </w:r>
    </w:p>
    <w:p>
      <w:pPr>
        <w:spacing w:after="0" w:line="480" w:lineRule="auto"/>
        <w:jc w:val="both"/>
        <w:sectPr>
          <w:headerReference w:type="default" r:id="rId132"/>
          <w:footerReference w:type="default" r:id="rId133"/>
          <w:pgSz w:w="12240" w:h="15840"/>
          <w:pgMar w:header="722" w:footer="791" w:top="1340" w:bottom="980" w:left="1340" w:right="1320"/>
        </w:sectPr>
      </w:pPr>
    </w:p>
    <w:p>
      <w:pPr>
        <w:pStyle w:val="BodyText"/>
        <w:spacing w:line="480" w:lineRule="auto" w:before="89"/>
        <w:ind w:left="820" w:right="115"/>
        <w:jc w:val="both"/>
      </w:pPr>
      <w:r>
        <w:rPr/>
        <w:t>rampant in the early 1990s. Although disciplinary measures were meted on the culprits who were caught by the university authorities by blacklisting them from subsequent allocation or by trying them before the students’ Disciplinary Committee, the verdict of which often earned</w:t>
      </w:r>
      <w:r>
        <w:rPr>
          <w:spacing w:val="-4"/>
        </w:rPr>
        <w:t> </w:t>
      </w:r>
      <w:r>
        <w:rPr/>
        <w:t>them</w:t>
      </w:r>
      <w:r>
        <w:rPr>
          <w:spacing w:val="-4"/>
        </w:rPr>
        <w:t> </w:t>
      </w:r>
      <w:r>
        <w:rPr/>
        <w:t>suspension or warning,</w:t>
      </w:r>
      <w:r>
        <w:rPr>
          <w:spacing w:val="-1"/>
        </w:rPr>
        <w:t> </w:t>
      </w:r>
      <w:r>
        <w:rPr/>
        <w:t>it was not easy to stop the practice completely. The excuse given by students for this behaviour was that they were either hungry and needed money for feeding or others were habitual rogues and fraudsters.</w:t>
      </w:r>
    </w:p>
    <w:p>
      <w:pPr>
        <w:pStyle w:val="BodyText"/>
        <w:spacing w:line="480" w:lineRule="auto"/>
        <w:ind w:left="820" w:right="113" w:firstLine="720"/>
        <w:jc w:val="both"/>
      </w:pPr>
      <w:r>
        <w:rPr/>
        <w:t>As this continued to mid-1990s, students openly and boldly engaged themselves in advertising for sale and buying of bedspaces, samples of the adverts can be seen in appendix B. Even some reckless staff who had the opportunity of requesting for a space and those close to the corridors of accommodation office were not left out. A bed space was reported to cost between </w:t>
      </w:r>
      <w:r>
        <w:rPr>
          <w:dstrike/>
        </w:rPr>
        <w:t>N</w:t>
      </w:r>
      <w:r>
        <w:rPr>
          <w:strike w:val="0"/>
        </w:rPr>
        <w:t>5,000 and </w:t>
      </w:r>
      <w:r>
        <w:rPr>
          <w:dstrike/>
        </w:rPr>
        <w:t>N</w:t>
      </w:r>
      <w:r>
        <w:rPr>
          <w:strike w:val="0"/>
        </w:rPr>
        <w:t>15,000 in Ahmadu Bello University, up to </w:t>
      </w:r>
      <w:r>
        <w:rPr>
          <w:dstrike/>
        </w:rPr>
        <w:t>N</w:t>
      </w:r>
      <w:r>
        <w:rPr>
          <w:strike w:val="0"/>
        </w:rPr>
        <w:t>20,000 in University of Maiduguri and University of Jos. In some universities according to Okebukola (2003:6) student resold a bedspace from </w:t>
      </w:r>
      <w:r>
        <w:rPr>
          <w:dstrike/>
        </w:rPr>
        <w:t>N</w:t>
      </w:r>
      <w:r>
        <w:rPr>
          <w:strike w:val="0"/>
        </w:rPr>
        <w:t>12,000 to </w:t>
      </w:r>
      <w:r>
        <w:rPr>
          <w:dstrike/>
        </w:rPr>
        <w:t>N</w:t>
      </w:r>
      <w:r>
        <w:rPr>
          <w:strike w:val="0"/>
        </w:rPr>
        <w:t>40,000. This development became very devastating to the students and the universities. For instance</w:t>
      </w:r>
      <w:r>
        <w:rPr>
          <w:strike w:val="0"/>
          <w:spacing w:val="-1"/>
        </w:rPr>
        <w:t> </w:t>
      </w:r>
      <w:r>
        <w:rPr>
          <w:strike w:val="0"/>
        </w:rPr>
        <w:t>the</w:t>
      </w:r>
      <w:r>
        <w:rPr>
          <w:strike w:val="0"/>
          <w:spacing w:val="-1"/>
        </w:rPr>
        <w:t> </w:t>
      </w:r>
      <w:r>
        <w:rPr>
          <w:strike w:val="0"/>
        </w:rPr>
        <w:t>year 1990-1995</w:t>
      </w:r>
      <w:r>
        <w:rPr>
          <w:strike w:val="0"/>
          <w:spacing w:val="-1"/>
        </w:rPr>
        <w:t> </w:t>
      </w:r>
      <w:r>
        <w:rPr>
          <w:strike w:val="0"/>
        </w:rPr>
        <w:t>was</w:t>
      </w:r>
      <w:r>
        <w:rPr>
          <w:strike w:val="0"/>
          <w:spacing w:val="-2"/>
        </w:rPr>
        <w:t> </w:t>
      </w:r>
      <w:r>
        <w:rPr>
          <w:strike w:val="0"/>
        </w:rPr>
        <w:t>a</w:t>
      </w:r>
      <w:r>
        <w:rPr>
          <w:strike w:val="0"/>
          <w:spacing w:val="-1"/>
        </w:rPr>
        <w:t> </w:t>
      </w:r>
      <w:r>
        <w:rPr>
          <w:strike w:val="0"/>
        </w:rPr>
        <w:t>trying</w:t>
      </w:r>
      <w:r>
        <w:rPr>
          <w:strike w:val="0"/>
          <w:spacing w:val="-1"/>
        </w:rPr>
        <w:t> </w:t>
      </w:r>
      <w:r>
        <w:rPr>
          <w:strike w:val="0"/>
        </w:rPr>
        <w:t>period</w:t>
      </w:r>
      <w:r>
        <w:rPr>
          <w:strike w:val="0"/>
          <w:spacing w:val="-1"/>
        </w:rPr>
        <w:t> </w:t>
      </w:r>
      <w:r>
        <w:rPr>
          <w:strike w:val="0"/>
        </w:rPr>
        <w:t>for Ahmadu</w:t>
      </w:r>
      <w:r>
        <w:rPr>
          <w:strike w:val="0"/>
          <w:spacing w:val="-1"/>
        </w:rPr>
        <w:t> </w:t>
      </w:r>
      <w:r>
        <w:rPr>
          <w:strike w:val="0"/>
        </w:rPr>
        <w:t>Bello</w:t>
      </w:r>
      <w:r>
        <w:rPr>
          <w:strike w:val="0"/>
          <w:spacing w:val="-1"/>
        </w:rPr>
        <w:t> </w:t>
      </w:r>
      <w:r>
        <w:rPr>
          <w:strike w:val="0"/>
        </w:rPr>
        <w:t>University</w:t>
      </w:r>
      <w:r>
        <w:rPr>
          <w:strike w:val="0"/>
          <w:spacing w:val="-2"/>
        </w:rPr>
        <w:t> </w:t>
      </w:r>
      <w:r>
        <w:rPr>
          <w:strike w:val="0"/>
        </w:rPr>
        <w:t>due to massive and indiscriminate admission of students without corresponding increase in the accommodation facilities. Students were uncontrollably over- populated which eventually plunged the university into a state of emergency and </w:t>
      </w:r>
      <w:r>
        <w:rPr>
          <w:strike w:val="0"/>
          <w:spacing w:val="-2"/>
        </w:rPr>
        <w:t>insecurity.</w:t>
      </w:r>
    </w:p>
    <w:p>
      <w:pPr>
        <w:spacing w:after="0" w:line="480" w:lineRule="auto"/>
        <w:jc w:val="both"/>
        <w:sectPr>
          <w:headerReference w:type="default" r:id="rId134"/>
          <w:footerReference w:type="default" r:id="rId135"/>
          <w:pgSz w:w="12240" w:h="15840"/>
          <w:pgMar w:header="722" w:footer="791" w:top="1340" w:bottom="980" w:left="1340" w:right="1320"/>
        </w:sectPr>
      </w:pPr>
    </w:p>
    <w:p>
      <w:pPr>
        <w:pStyle w:val="Heading2"/>
        <w:numPr>
          <w:ilvl w:val="3"/>
          <w:numId w:val="19"/>
        </w:numPr>
        <w:tabs>
          <w:tab w:pos="1028" w:val="left" w:leader="none"/>
        </w:tabs>
        <w:spacing w:line="240" w:lineRule="auto" w:before="85" w:after="0"/>
        <w:ind w:left="1028" w:right="0" w:hanging="928"/>
        <w:jc w:val="left"/>
      </w:pPr>
      <w:bookmarkStart w:name="_TOC_250046" w:id="22"/>
      <w:r>
        <w:rPr/>
        <w:t>Guidance</w:t>
      </w:r>
      <w:r>
        <w:rPr>
          <w:spacing w:val="-4"/>
        </w:rPr>
        <w:t> </w:t>
      </w:r>
      <w:r>
        <w:rPr/>
        <w:t>and</w:t>
      </w:r>
      <w:r>
        <w:rPr>
          <w:spacing w:val="-5"/>
        </w:rPr>
        <w:t> </w:t>
      </w:r>
      <w:bookmarkEnd w:id="22"/>
      <w:r>
        <w:rPr>
          <w:spacing w:val="-2"/>
        </w:rPr>
        <w:t>Counselling</w:t>
      </w:r>
    </w:p>
    <w:p>
      <w:pPr>
        <w:pStyle w:val="BodyText"/>
        <w:spacing w:before="3"/>
        <w:rPr>
          <w:rFonts w:ascii="Arial"/>
          <w:b/>
          <w:sz w:val="28"/>
        </w:rPr>
      </w:pPr>
    </w:p>
    <w:p>
      <w:pPr>
        <w:pStyle w:val="BodyText"/>
        <w:spacing w:line="480" w:lineRule="auto"/>
        <w:ind w:left="820" w:right="119" w:firstLine="720"/>
        <w:jc w:val="both"/>
      </w:pPr>
      <w:r>
        <w:rPr/>
        <w:t>Guidance and counselling has been defined in many ways by various authors. Okon, (1984:21) defines guidance as a total programme of “highly specialized activities implemented by all staff members to help individuals make wise and intelligent choices and decisions”.</w:t>
      </w:r>
    </w:p>
    <w:p>
      <w:pPr>
        <w:pStyle w:val="BodyText"/>
        <w:spacing w:line="480" w:lineRule="auto"/>
        <w:ind w:left="820" w:right="113" w:firstLine="720"/>
        <w:jc w:val="both"/>
      </w:pPr>
      <w:r>
        <w:rPr/>
        <w:t>Durojaiye (1972:8) views guidance and counseling in the context of total educational process as a “complex process which encompasses the total needs of the individual student to be directed or guided”. The guide is available to the individual in terms of educational, social, emotional, health, vocational and</w:t>
      </w:r>
      <w:r>
        <w:rPr>
          <w:spacing w:val="80"/>
        </w:rPr>
        <w:t> </w:t>
      </w:r>
      <w:r>
        <w:rPr/>
        <w:t>leisure time needs and for the individual’s preparation for a suitable occupation. That is the assistance may be educational, vocational, social, personal,</w:t>
      </w:r>
      <w:r>
        <w:rPr>
          <w:spacing w:val="40"/>
        </w:rPr>
        <w:t> </w:t>
      </w:r>
      <w:r>
        <w:rPr/>
        <w:t>emotional or moral and recreational aimed at helping individual to behave rationally and change his/her behaviour positively by solving their problems and full development through interaction with the counsellor who provides</w:t>
      </w:r>
      <w:r>
        <w:rPr>
          <w:spacing w:val="80"/>
        </w:rPr>
        <w:t> </w:t>
      </w:r>
      <w:r>
        <w:rPr>
          <w:spacing w:val="-2"/>
        </w:rPr>
        <w:t>information.</w:t>
      </w:r>
    </w:p>
    <w:p>
      <w:pPr>
        <w:pStyle w:val="BodyText"/>
        <w:spacing w:line="480" w:lineRule="auto"/>
        <w:ind w:left="820" w:right="115" w:firstLine="720"/>
        <w:jc w:val="both"/>
      </w:pPr>
      <w:r>
        <w:rPr/>
        <w:t>However, Guidance and Counselling combined is a professional-helping- relationship which is unique. The concern of the individual in guidance and counselling is how to help such individuals grow and develop in such a way that he is useful to himself and the society. It is also concerned with how the</w:t>
      </w:r>
      <w:r>
        <w:rPr>
          <w:spacing w:val="40"/>
        </w:rPr>
        <w:t> </w:t>
      </w:r>
      <w:r>
        <w:rPr/>
        <w:t>individual behaves rationally and intelligently for making wise and useful </w:t>
      </w:r>
      <w:r>
        <w:rPr>
          <w:spacing w:val="-2"/>
        </w:rPr>
        <w:t>decisions.</w:t>
      </w:r>
    </w:p>
    <w:p>
      <w:pPr>
        <w:pStyle w:val="BodyText"/>
        <w:spacing w:line="480" w:lineRule="auto" w:before="1"/>
        <w:ind w:left="820" w:right="118" w:firstLine="720"/>
        <w:jc w:val="both"/>
      </w:pPr>
      <w:r>
        <w:rPr/>
        <w:t>The inclusion of Guidance and Counselling as a programme in a school system</w:t>
      </w:r>
      <w:r>
        <w:rPr>
          <w:spacing w:val="7"/>
        </w:rPr>
        <w:t> </w:t>
      </w:r>
      <w:r>
        <w:rPr/>
        <w:t>is</w:t>
      </w:r>
      <w:r>
        <w:rPr>
          <w:spacing w:val="10"/>
        </w:rPr>
        <w:t> </w:t>
      </w:r>
      <w:r>
        <w:rPr/>
        <w:t>paramount</w:t>
      </w:r>
      <w:r>
        <w:rPr>
          <w:spacing w:val="11"/>
        </w:rPr>
        <w:t> </w:t>
      </w:r>
      <w:r>
        <w:rPr/>
        <w:t>as</w:t>
      </w:r>
      <w:r>
        <w:rPr>
          <w:spacing w:val="9"/>
        </w:rPr>
        <w:t> </w:t>
      </w:r>
      <w:r>
        <w:rPr/>
        <w:t>it</w:t>
      </w:r>
      <w:r>
        <w:rPr>
          <w:spacing w:val="11"/>
        </w:rPr>
        <w:t> </w:t>
      </w:r>
      <w:r>
        <w:rPr/>
        <w:t>will</w:t>
      </w:r>
      <w:r>
        <w:rPr>
          <w:spacing w:val="14"/>
        </w:rPr>
        <w:t> </w:t>
      </w:r>
      <w:r>
        <w:rPr/>
        <w:t>make</w:t>
      </w:r>
      <w:r>
        <w:rPr>
          <w:spacing w:val="11"/>
        </w:rPr>
        <w:t> </w:t>
      </w:r>
      <w:r>
        <w:rPr/>
        <w:t>students</w:t>
      </w:r>
      <w:r>
        <w:rPr>
          <w:spacing w:val="10"/>
        </w:rPr>
        <w:t> </w:t>
      </w:r>
      <w:r>
        <w:rPr/>
        <w:t>feel</w:t>
      </w:r>
      <w:r>
        <w:rPr>
          <w:spacing w:val="14"/>
        </w:rPr>
        <w:t> </w:t>
      </w:r>
      <w:r>
        <w:rPr/>
        <w:t>that</w:t>
      </w:r>
      <w:r>
        <w:rPr>
          <w:spacing w:val="11"/>
        </w:rPr>
        <w:t> </w:t>
      </w:r>
      <w:r>
        <w:rPr/>
        <w:t>they</w:t>
      </w:r>
      <w:r>
        <w:rPr>
          <w:spacing w:val="9"/>
        </w:rPr>
        <w:t> </w:t>
      </w:r>
      <w:r>
        <w:rPr/>
        <w:t>can</w:t>
      </w:r>
      <w:r>
        <w:rPr>
          <w:spacing w:val="11"/>
        </w:rPr>
        <w:t> </w:t>
      </w:r>
      <w:r>
        <w:rPr/>
        <w:t>be</w:t>
      </w:r>
      <w:r>
        <w:rPr>
          <w:spacing w:val="11"/>
        </w:rPr>
        <w:t> </w:t>
      </w:r>
      <w:r>
        <w:rPr>
          <w:spacing w:val="-2"/>
        </w:rPr>
        <w:t>appropriately</w:t>
      </w:r>
    </w:p>
    <w:p>
      <w:pPr>
        <w:spacing w:after="0" w:line="480" w:lineRule="auto"/>
        <w:jc w:val="both"/>
        <w:sectPr>
          <w:headerReference w:type="default" r:id="rId136"/>
          <w:footerReference w:type="default" r:id="rId137"/>
          <w:pgSz w:w="12240" w:h="15840"/>
          <w:pgMar w:header="722" w:footer="791" w:top="1340" w:bottom="980" w:left="1340" w:right="1320"/>
        </w:sectPr>
      </w:pPr>
    </w:p>
    <w:p>
      <w:pPr>
        <w:pStyle w:val="BodyText"/>
        <w:spacing w:line="480" w:lineRule="auto" w:before="89"/>
        <w:ind w:left="820" w:right="119"/>
        <w:jc w:val="both"/>
      </w:pPr>
      <w:r>
        <w:rPr/>
        <w:t>assisted by the administrators, lecturers, teachers, trained counsellors and other service staff interacting directly or indirectly with students for enhancing their </w:t>
      </w:r>
      <w:r>
        <w:rPr>
          <w:spacing w:val="-2"/>
        </w:rPr>
        <w:t>welfare.</w:t>
      </w:r>
    </w:p>
    <w:p>
      <w:pPr>
        <w:pStyle w:val="BodyText"/>
        <w:spacing w:line="480" w:lineRule="auto"/>
        <w:ind w:left="820" w:right="115" w:firstLine="720"/>
        <w:jc w:val="both"/>
      </w:pPr>
      <w:r>
        <w:rPr/>
        <w:t>In fact, the National Policy on Education (1981) has emphasized the inclusion of Guidance and Counselling programme as a compulsory service in both secondary and higher institutions of learning. Similarly, the Abisoye Panel following the 1986 ‘Ango Must Go crisis’ recommended the establishment of full Guidance and Counselling Unit in all higher institutions of learning and with particular emphasis on Ahmadu Bello University for the Unit to be under the Student Affairs Division.</w:t>
      </w:r>
    </w:p>
    <w:p>
      <w:pPr>
        <w:pStyle w:val="BodyText"/>
        <w:spacing w:line="480" w:lineRule="auto"/>
        <w:ind w:left="820" w:right="118" w:firstLine="720"/>
        <w:jc w:val="both"/>
      </w:pPr>
      <w:r>
        <w:rPr/>
        <w:t>Based on these recommendations Guidance and Counselling unit was fully established in all Nigerian Universities in 1986. Specifically, the unit has the mandate to cater for the</w:t>
      </w:r>
      <w:r>
        <w:rPr>
          <w:spacing w:val="-1"/>
        </w:rPr>
        <w:t> </w:t>
      </w:r>
      <w:r>
        <w:rPr/>
        <w:t>guidance</w:t>
      </w:r>
      <w:r>
        <w:rPr>
          <w:spacing w:val="-1"/>
        </w:rPr>
        <w:t> </w:t>
      </w:r>
      <w:r>
        <w:rPr/>
        <w:t>and counselling services as</w:t>
      </w:r>
      <w:r>
        <w:rPr>
          <w:spacing w:val="-2"/>
        </w:rPr>
        <w:t> </w:t>
      </w:r>
      <w:r>
        <w:rPr/>
        <w:t>part</w:t>
      </w:r>
      <w:r>
        <w:rPr>
          <w:spacing w:val="-2"/>
        </w:rPr>
        <w:t> </w:t>
      </w:r>
      <w:r>
        <w:rPr/>
        <w:t>of the</w:t>
      </w:r>
      <w:r>
        <w:rPr>
          <w:spacing w:val="-1"/>
        </w:rPr>
        <w:t> </w:t>
      </w:r>
      <w:r>
        <w:rPr/>
        <w:t>welfare package for the students as well as the university communities.</w:t>
      </w:r>
    </w:p>
    <w:p>
      <w:pPr>
        <w:pStyle w:val="BodyText"/>
        <w:spacing w:line="480" w:lineRule="auto"/>
        <w:ind w:left="820" w:right="117" w:firstLine="720"/>
        <w:jc w:val="both"/>
      </w:pPr>
      <w:r>
        <w:rPr/>
        <w:t>The center should provide wide range of counselling and psychological services for students so as to enable them behave positively and pursue their educational goals and obligations. In achieving their goals and objectives the Guidance and Counselling unit perform three broad functions. These are the rehabilitative, the preventive and the growth functions.</w:t>
      </w:r>
    </w:p>
    <w:p>
      <w:pPr>
        <w:pStyle w:val="BodyText"/>
        <w:spacing w:line="480" w:lineRule="auto"/>
        <w:ind w:left="820" w:right="114" w:firstLine="720"/>
        <w:jc w:val="both"/>
      </w:pPr>
      <w:r>
        <w:rPr/>
        <w:t>The rehabilitative function is to help students who experience difficulties, while the preventive function is to assist students who anticipate problems and forestall</w:t>
      </w:r>
      <w:r>
        <w:rPr>
          <w:spacing w:val="1"/>
        </w:rPr>
        <w:t> </w:t>
      </w:r>
      <w:r>
        <w:rPr/>
        <w:t>difficulties.</w:t>
      </w:r>
      <w:r>
        <w:rPr>
          <w:spacing w:val="-7"/>
        </w:rPr>
        <w:t> </w:t>
      </w:r>
      <w:r>
        <w:rPr/>
        <w:t>Then</w:t>
      </w:r>
      <w:r>
        <w:rPr>
          <w:spacing w:val="-5"/>
        </w:rPr>
        <w:t> </w:t>
      </w:r>
      <w:r>
        <w:rPr/>
        <w:t>the</w:t>
      </w:r>
      <w:r>
        <w:rPr>
          <w:spacing w:val="-2"/>
        </w:rPr>
        <w:t> </w:t>
      </w:r>
      <w:r>
        <w:rPr/>
        <w:t>growth</w:t>
      </w:r>
      <w:r>
        <w:rPr>
          <w:spacing w:val="-1"/>
        </w:rPr>
        <w:t> </w:t>
      </w:r>
      <w:r>
        <w:rPr/>
        <w:t>function</w:t>
      </w:r>
      <w:r>
        <w:rPr>
          <w:spacing w:val="-5"/>
        </w:rPr>
        <w:t> </w:t>
      </w:r>
      <w:r>
        <w:rPr/>
        <w:t>is</w:t>
      </w:r>
      <w:r>
        <w:rPr>
          <w:spacing w:val="-3"/>
        </w:rPr>
        <w:t> </w:t>
      </w:r>
      <w:r>
        <w:rPr/>
        <w:t>meant</w:t>
      </w:r>
      <w:r>
        <w:rPr>
          <w:spacing w:val="-2"/>
        </w:rPr>
        <w:t> </w:t>
      </w:r>
      <w:r>
        <w:rPr/>
        <w:t>to</w:t>
      </w:r>
      <w:r>
        <w:rPr>
          <w:spacing w:val="-1"/>
        </w:rPr>
        <w:t> </w:t>
      </w:r>
      <w:r>
        <w:rPr/>
        <w:t>help</w:t>
      </w:r>
      <w:r>
        <w:rPr>
          <w:spacing w:val="-1"/>
        </w:rPr>
        <w:t> </w:t>
      </w:r>
      <w:r>
        <w:rPr/>
        <w:t>the</w:t>
      </w:r>
      <w:r>
        <w:rPr>
          <w:spacing w:val="-6"/>
        </w:rPr>
        <w:t> </w:t>
      </w:r>
      <w:r>
        <w:rPr/>
        <w:t>students</w:t>
      </w:r>
      <w:r>
        <w:rPr>
          <w:spacing w:val="-2"/>
        </w:rPr>
        <w:t> derive</w:t>
      </w:r>
    </w:p>
    <w:p>
      <w:pPr>
        <w:spacing w:after="0" w:line="480" w:lineRule="auto"/>
        <w:jc w:val="both"/>
        <w:sectPr>
          <w:headerReference w:type="default" r:id="rId138"/>
          <w:footerReference w:type="default" r:id="rId139"/>
          <w:pgSz w:w="12240" w:h="15840"/>
          <w:pgMar w:header="722" w:footer="791" w:top="1340" w:bottom="980" w:left="1340" w:right="1320"/>
        </w:sectPr>
      </w:pPr>
    </w:p>
    <w:p>
      <w:pPr>
        <w:pStyle w:val="BodyText"/>
        <w:spacing w:line="480" w:lineRule="auto" w:before="89"/>
        <w:ind w:left="820" w:right="116"/>
        <w:jc w:val="both"/>
      </w:pPr>
      <w:r>
        <w:rPr/>
        <w:t>maximum benefit from their educational, social and vocational experiences to enable them discover and develop their potentials to the fullest.</w:t>
      </w:r>
    </w:p>
    <w:p>
      <w:pPr>
        <w:pStyle w:val="BodyText"/>
        <w:spacing w:line="480" w:lineRule="auto"/>
        <w:ind w:left="820" w:right="115" w:firstLine="720"/>
        <w:jc w:val="both"/>
      </w:pPr>
      <w:r>
        <w:rPr/>
        <w:t>Boraas, in Bello (1983:132) undertook a study of students’ problems in St. Olaifo College in USA and found that the transition from home to the dependant College life posed problems for them. They lacked people to confide in and no guidance counsellors to guide them in the selection of courses. As a result they became disturbed. Similarly, Blanton in Bello (1983:133) conducted a study in Minnesota University on students problems generally. It was found out that 50 percent of the students had emotional problems that could influence their higher performance negatively. He concluded that the most disturbing difficulties of students were very much connected with</w:t>
      </w:r>
      <w:r>
        <w:rPr>
          <w:spacing w:val="-2"/>
        </w:rPr>
        <w:t> </w:t>
      </w:r>
      <w:r>
        <w:rPr/>
        <w:t>lack</w:t>
      </w:r>
      <w:r>
        <w:rPr>
          <w:spacing w:val="-3"/>
        </w:rPr>
        <w:t> </w:t>
      </w:r>
      <w:r>
        <w:rPr/>
        <w:t>of proper guidance and counseling as well as lack of general students' welfare facilities. As a result students “resorted to suicide, erratic behaviour that brought notoriety, marital breakdown, subtle inconspicuous but pressing problems in the life of the individual student.</w:t>
      </w:r>
    </w:p>
    <w:p>
      <w:pPr>
        <w:pStyle w:val="BodyText"/>
        <w:spacing w:line="480" w:lineRule="auto"/>
        <w:ind w:left="820" w:right="115" w:firstLine="720"/>
        <w:jc w:val="both"/>
      </w:pPr>
      <w:r>
        <w:rPr/>
        <w:t>Bello (1983:14) quoting yet other earlier studies, supported the classification of 400 problems pertaining to 500 students under two headings.</w:t>
      </w:r>
      <w:r>
        <w:rPr>
          <w:spacing w:val="40"/>
        </w:rPr>
        <w:t> </w:t>
      </w:r>
      <w:r>
        <w:rPr/>
        <w:t>Out of the 18 generalised areas of experiences some were specifically counselling problems can be seen in table 2.3.</w:t>
      </w:r>
    </w:p>
    <w:p>
      <w:pPr>
        <w:spacing w:after="0" w:line="480" w:lineRule="auto"/>
        <w:jc w:val="both"/>
        <w:sectPr>
          <w:headerReference w:type="default" r:id="rId140"/>
          <w:footerReference w:type="default" r:id="rId141"/>
          <w:pgSz w:w="12240" w:h="15840"/>
          <w:pgMar w:header="722" w:footer="791" w:top="1340" w:bottom="980" w:left="1340" w:right="1320"/>
        </w:sectPr>
      </w:pPr>
    </w:p>
    <w:p>
      <w:pPr>
        <w:tabs>
          <w:tab w:pos="1611" w:val="left" w:leader="none"/>
        </w:tabs>
        <w:spacing w:before="85"/>
        <w:ind w:left="100" w:right="0" w:firstLine="0"/>
        <w:jc w:val="left"/>
        <w:rPr>
          <w:rFonts w:ascii="Arial"/>
          <w:b/>
          <w:sz w:val="24"/>
        </w:rPr>
      </w:pPr>
      <w:r>
        <w:rPr>
          <w:rFonts w:ascii="Arial"/>
          <w:b/>
          <w:sz w:val="28"/>
        </w:rPr>
        <w:t>Table</w:t>
      </w:r>
      <w:r>
        <w:rPr>
          <w:rFonts w:ascii="Arial"/>
          <w:b/>
          <w:spacing w:val="-7"/>
          <w:sz w:val="28"/>
        </w:rPr>
        <w:t> </w:t>
      </w:r>
      <w:r>
        <w:rPr>
          <w:rFonts w:ascii="Arial"/>
          <w:b/>
          <w:spacing w:val="-4"/>
          <w:sz w:val="28"/>
        </w:rPr>
        <w:t>2.3:</w:t>
      </w:r>
      <w:r>
        <w:rPr>
          <w:rFonts w:ascii="Arial"/>
          <w:b/>
          <w:sz w:val="28"/>
        </w:rPr>
        <w:tab/>
      </w:r>
      <w:r>
        <w:rPr>
          <w:rFonts w:ascii="Arial"/>
          <w:b/>
          <w:sz w:val="24"/>
        </w:rPr>
        <w:t>Lack</w:t>
      </w:r>
      <w:r>
        <w:rPr>
          <w:rFonts w:ascii="Arial"/>
          <w:b/>
          <w:spacing w:val="-6"/>
          <w:sz w:val="24"/>
        </w:rPr>
        <w:t> </w:t>
      </w:r>
      <w:r>
        <w:rPr>
          <w:rFonts w:ascii="Arial"/>
          <w:b/>
          <w:sz w:val="24"/>
        </w:rPr>
        <w:t>of</w:t>
      </w:r>
      <w:r>
        <w:rPr>
          <w:rFonts w:ascii="Arial"/>
          <w:b/>
          <w:spacing w:val="-4"/>
          <w:sz w:val="24"/>
        </w:rPr>
        <w:t> </w:t>
      </w:r>
      <w:r>
        <w:rPr>
          <w:rFonts w:ascii="Arial"/>
          <w:b/>
          <w:sz w:val="24"/>
        </w:rPr>
        <w:t>proper</w:t>
      </w:r>
      <w:r>
        <w:rPr>
          <w:rFonts w:ascii="Arial"/>
          <w:b/>
          <w:spacing w:val="-8"/>
          <w:sz w:val="24"/>
        </w:rPr>
        <w:t> </w:t>
      </w:r>
      <w:r>
        <w:rPr>
          <w:rFonts w:ascii="Arial"/>
          <w:b/>
          <w:sz w:val="24"/>
        </w:rPr>
        <w:t>guidance</w:t>
      </w:r>
      <w:r>
        <w:rPr>
          <w:rFonts w:ascii="Arial"/>
          <w:b/>
          <w:spacing w:val="-6"/>
          <w:sz w:val="24"/>
        </w:rPr>
        <w:t> </w:t>
      </w:r>
      <w:r>
        <w:rPr>
          <w:rFonts w:ascii="Arial"/>
          <w:b/>
          <w:sz w:val="24"/>
        </w:rPr>
        <w:t>and</w:t>
      </w:r>
      <w:r>
        <w:rPr>
          <w:rFonts w:ascii="Arial"/>
          <w:b/>
          <w:spacing w:val="-8"/>
          <w:sz w:val="24"/>
        </w:rPr>
        <w:t> </w:t>
      </w:r>
      <w:r>
        <w:rPr>
          <w:rFonts w:ascii="Arial"/>
          <w:b/>
          <w:spacing w:val="-2"/>
          <w:sz w:val="24"/>
        </w:rPr>
        <w:t>counseling</w:t>
      </w:r>
    </w:p>
    <w:p>
      <w:pPr>
        <w:pStyle w:val="BodyText"/>
        <w:spacing w:before="99"/>
        <w:rPr>
          <w:rFonts w:ascii="Arial"/>
          <w:b/>
          <w:sz w:val="20"/>
        </w:rPr>
      </w:pPr>
    </w:p>
    <w:tbl>
      <w:tblPr>
        <w:tblW w:w="0" w:type="auto"/>
        <w:jc w:val="left"/>
        <w:tblInd w:w="10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458"/>
      </w:tblGrid>
      <w:tr>
        <w:trPr>
          <w:trHeight w:val="412" w:hRule="atLeast"/>
        </w:trPr>
        <w:tc>
          <w:tcPr>
            <w:tcW w:w="8458" w:type="dxa"/>
          </w:tcPr>
          <w:p>
            <w:pPr>
              <w:pStyle w:val="TableParagraph"/>
              <w:tabs>
                <w:tab w:pos="3153" w:val="left" w:leader="none"/>
                <w:tab w:pos="6945" w:val="left" w:leader="none"/>
              </w:tabs>
              <w:spacing w:line="267" w:lineRule="exact"/>
              <w:ind w:left="105"/>
              <w:rPr>
                <w:rFonts w:ascii="Arial"/>
                <w:b/>
                <w:sz w:val="24"/>
              </w:rPr>
            </w:pPr>
            <w:r>
              <w:rPr>
                <w:rFonts w:ascii="Arial"/>
                <w:b/>
                <w:spacing w:val="-2"/>
                <w:sz w:val="24"/>
              </w:rPr>
              <w:t>S/No.</w:t>
            </w:r>
            <w:r>
              <w:rPr>
                <w:rFonts w:ascii="Arial"/>
                <w:b/>
                <w:sz w:val="24"/>
              </w:rPr>
              <w:tab/>
            </w:r>
            <w:r>
              <w:rPr>
                <w:rFonts w:ascii="Arial"/>
                <w:b/>
                <w:spacing w:val="-2"/>
                <w:sz w:val="24"/>
              </w:rPr>
              <w:t>Experiences</w:t>
            </w:r>
            <w:r>
              <w:rPr>
                <w:rFonts w:ascii="Arial"/>
                <w:b/>
                <w:sz w:val="24"/>
              </w:rPr>
              <w:tab/>
            </w:r>
            <w:r>
              <w:rPr>
                <w:rFonts w:ascii="Arial"/>
                <w:b/>
                <w:spacing w:val="-2"/>
                <w:sz w:val="24"/>
              </w:rPr>
              <w:t>Score</w:t>
            </w:r>
          </w:p>
        </w:tc>
      </w:tr>
      <w:tr>
        <w:trPr>
          <w:trHeight w:val="7454" w:hRule="atLeast"/>
        </w:trPr>
        <w:tc>
          <w:tcPr>
            <w:tcW w:w="8458" w:type="dxa"/>
          </w:tcPr>
          <w:p>
            <w:pPr>
              <w:pStyle w:val="TableParagraph"/>
              <w:numPr>
                <w:ilvl w:val="0"/>
                <w:numId w:val="24"/>
              </w:numPr>
              <w:tabs>
                <w:tab w:pos="1003" w:val="left" w:leader="none"/>
                <w:tab w:pos="2236" w:val="left" w:leader="none"/>
                <w:tab w:pos="3195" w:val="left" w:leader="none"/>
                <w:tab w:pos="3617" w:val="left" w:leader="none"/>
                <w:tab w:pos="4677" w:val="left" w:leader="none"/>
                <w:tab w:pos="5224" w:val="left" w:leader="none"/>
                <w:tab w:pos="6015" w:val="left" w:leader="none"/>
                <w:tab w:pos="7079" w:val="left" w:leader="none"/>
              </w:tabs>
              <w:spacing w:line="360" w:lineRule="auto" w:before="0" w:after="0"/>
              <w:ind w:left="1003" w:right="229" w:hanging="658"/>
              <w:jc w:val="left"/>
              <w:rPr>
                <w:sz w:val="24"/>
              </w:rPr>
            </w:pPr>
            <w:r>
              <w:rPr>
                <w:spacing w:val="-2"/>
                <w:sz w:val="24"/>
              </w:rPr>
              <w:t>Problems</w:t>
            </w:r>
            <w:r>
              <w:rPr>
                <w:sz w:val="24"/>
              </w:rPr>
              <w:tab/>
            </w:r>
            <w:r>
              <w:rPr>
                <w:spacing w:val="-2"/>
                <w:sz w:val="24"/>
              </w:rPr>
              <w:t>related</w:t>
            </w:r>
            <w:r>
              <w:rPr>
                <w:sz w:val="24"/>
              </w:rPr>
              <w:tab/>
            </w:r>
            <w:r>
              <w:rPr>
                <w:spacing w:val="-6"/>
                <w:sz w:val="24"/>
              </w:rPr>
              <w:t>to</w:t>
            </w:r>
            <w:r>
              <w:rPr>
                <w:sz w:val="24"/>
              </w:rPr>
              <w:tab/>
            </w:r>
            <w:r>
              <w:rPr>
                <w:spacing w:val="-2"/>
                <w:sz w:val="24"/>
              </w:rPr>
              <w:t>courses</w:t>
            </w:r>
            <w:r>
              <w:rPr>
                <w:sz w:val="24"/>
              </w:rPr>
              <w:tab/>
            </w:r>
            <w:r>
              <w:rPr>
                <w:spacing w:val="-4"/>
                <w:sz w:val="24"/>
              </w:rPr>
              <w:t>i.e.</w:t>
            </w:r>
            <w:r>
              <w:rPr>
                <w:sz w:val="24"/>
              </w:rPr>
              <w:tab/>
            </w:r>
            <w:r>
              <w:rPr>
                <w:spacing w:val="-4"/>
                <w:sz w:val="24"/>
              </w:rPr>
              <w:t>study</w:t>
            </w:r>
            <w:r>
              <w:rPr>
                <w:sz w:val="24"/>
              </w:rPr>
              <w:tab/>
            </w:r>
            <w:r>
              <w:rPr>
                <w:spacing w:val="-2"/>
                <w:sz w:val="24"/>
              </w:rPr>
              <w:t>habits,</w:t>
            </w:r>
            <w:r>
              <w:rPr>
                <w:sz w:val="24"/>
              </w:rPr>
              <w:tab/>
              <w:t>12</w:t>
            </w:r>
            <w:r>
              <w:rPr>
                <w:spacing w:val="-17"/>
                <w:sz w:val="24"/>
              </w:rPr>
              <w:t> </w:t>
            </w:r>
            <w:r>
              <w:rPr>
                <w:sz w:val="24"/>
              </w:rPr>
              <w:t>percent improper preparation and subject disabilities rate</w:t>
            </w:r>
          </w:p>
          <w:p>
            <w:pPr>
              <w:pStyle w:val="TableParagraph"/>
              <w:numPr>
                <w:ilvl w:val="0"/>
                <w:numId w:val="24"/>
              </w:numPr>
              <w:tabs>
                <w:tab w:pos="1002" w:val="left" w:leader="none"/>
                <w:tab w:pos="7079" w:val="left" w:leader="none"/>
              </w:tabs>
              <w:spacing w:line="274" w:lineRule="exact" w:before="0" w:after="0"/>
              <w:ind w:left="1002" w:right="0" w:hanging="657"/>
              <w:jc w:val="left"/>
              <w:rPr>
                <w:sz w:val="24"/>
              </w:rPr>
            </w:pPr>
            <w:r>
              <w:rPr>
                <w:sz w:val="24"/>
              </w:rPr>
              <w:t>Problems</w:t>
            </w:r>
            <w:r>
              <w:rPr>
                <w:spacing w:val="-9"/>
                <w:sz w:val="24"/>
              </w:rPr>
              <w:t> </w:t>
            </w:r>
            <w:r>
              <w:rPr>
                <w:sz w:val="24"/>
              </w:rPr>
              <w:t>involving</w:t>
            </w:r>
            <w:r>
              <w:rPr>
                <w:spacing w:val="-11"/>
                <w:sz w:val="24"/>
              </w:rPr>
              <w:t> </w:t>
            </w:r>
            <w:r>
              <w:rPr>
                <w:sz w:val="24"/>
              </w:rPr>
              <w:t>religious</w:t>
            </w:r>
            <w:r>
              <w:rPr>
                <w:spacing w:val="-13"/>
                <w:sz w:val="24"/>
              </w:rPr>
              <w:t> </w:t>
            </w:r>
            <w:r>
              <w:rPr>
                <w:spacing w:val="-2"/>
                <w:sz w:val="24"/>
              </w:rPr>
              <w:t>problems</w:t>
            </w:r>
            <w:r>
              <w:rPr>
                <w:sz w:val="24"/>
              </w:rPr>
              <w:tab/>
              <w:t>12</w:t>
            </w:r>
            <w:r>
              <w:rPr>
                <w:spacing w:val="-1"/>
                <w:sz w:val="24"/>
              </w:rPr>
              <w:t> </w:t>
            </w:r>
            <w:r>
              <w:rPr>
                <w:spacing w:val="-2"/>
                <w:sz w:val="24"/>
              </w:rPr>
              <w:t>percent</w:t>
            </w:r>
          </w:p>
          <w:p>
            <w:pPr>
              <w:pStyle w:val="TableParagraph"/>
              <w:numPr>
                <w:ilvl w:val="0"/>
                <w:numId w:val="24"/>
              </w:numPr>
              <w:tabs>
                <w:tab w:pos="1002" w:val="left" w:leader="none"/>
                <w:tab w:pos="7146" w:val="left" w:leader="none"/>
              </w:tabs>
              <w:spacing w:line="240" w:lineRule="auto" w:before="137" w:after="0"/>
              <w:ind w:left="1002" w:right="0" w:hanging="657"/>
              <w:jc w:val="left"/>
              <w:rPr>
                <w:sz w:val="24"/>
              </w:rPr>
            </w:pPr>
            <w:r>
              <w:rPr>
                <w:sz w:val="24"/>
              </w:rPr>
              <w:t>Problems</w:t>
            </w:r>
            <w:r>
              <w:rPr>
                <w:spacing w:val="-9"/>
                <w:sz w:val="24"/>
              </w:rPr>
              <w:t> </w:t>
            </w:r>
            <w:r>
              <w:rPr>
                <w:sz w:val="24"/>
              </w:rPr>
              <w:t>relating</w:t>
            </w:r>
            <w:r>
              <w:rPr>
                <w:spacing w:val="-6"/>
                <w:sz w:val="24"/>
              </w:rPr>
              <w:t> </w:t>
            </w:r>
            <w:r>
              <w:rPr>
                <w:sz w:val="24"/>
              </w:rPr>
              <w:t>to</w:t>
            </w:r>
            <w:r>
              <w:rPr>
                <w:spacing w:val="-9"/>
                <w:sz w:val="24"/>
              </w:rPr>
              <w:t> </w:t>
            </w:r>
            <w:r>
              <w:rPr>
                <w:spacing w:val="-2"/>
                <w:sz w:val="24"/>
              </w:rPr>
              <w:t>teachers</w:t>
            </w:r>
            <w:r>
              <w:rPr>
                <w:sz w:val="24"/>
              </w:rPr>
              <w:tab/>
              <w:t>8</w:t>
            </w:r>
            <w:r>
              <w:rPr>
                <w:spacing w:val="-1"/>
                <w:sz w:val="24"/>
              </w:rPr>
              <w:t> </w:t>
            </w:r>
            <w:r>
              <w:rPr>
                <w:spacing w:val="-2"/>
                <w:sz w:val="24"/>
              </w:rPr>
              <w:t>percent</w:t>
            </w:r>
          </w:p>
          <w:p>
            <w:pPr>
              <w:pStyle w:val="TableParagraph"/>
              <w:numPr>
                <w:ilvl w:val="0"/>
                <w:numId w:val="24"/>
              </w:numPr>
              <w:tabs>
                <w:tab w:pos="1002" w:val="left" w:leader="none"/>
                <w:tab w:pos="7146" w:val="left" w:leader="none"/>
              </w:tabs>
              <w:spacing w:line="240" w:lineRule="auto" w:before="141" w:after="0"/>
              <w:ind w:left="1002" w:right="0" w:hanging="657"/>
              <w:jc w:val="left"/>
              <w:rPr>
                <w:sz w:val="24"/>
              </w:rPr>
            </w:pPr>
            <w:r>
              <w:rPr>
                <w:sz w:val="24"/>
              </w:rPr>
              <w:t>Procedure</w:t>
            </w:r>
            <w:r>
              <w:rPr>
                <w:spacing w:val="-12"/>
                <w:sz w:val="24"/>
              </w:rPr>
              <w:t> </w:t>
            </w:r>
            <w:r>
              <w:rPr>
                <w:spacing w:val="-2"/>
                <w:sz w:val="24"/>
              </w:rPr>
              <w:t>expectations</w:t>
            </w:r>
            <w:r>
              <w:rPr>
                <w:sz w:val="24"/>
              </w:rPr>
              <w:tab/>
              <w:t>8</w:t>
            </w:r>
            <w:r>
              <w:rPr>
                <w:spacing w:val="-1"/>
                <w:sz w:val="24"/>
              </w:rPr>
              <w:t> </w:t>
            </w:r>
            <w:r>
              <w:rPr>
                <w:spacing w:val="-2"/>
                <w:sz w:val="24"/>
              </w:rPr>
              <w:t>percent</w:t>
            </w:r>
          </w:p>
          <w:p>
            <w:pPr>
              <w:pStyle w:val="TableParagraph"/>
              <w:numPr>
                <w:ilvl w:val="0"/>
                <w:numId w:val="24"/>
              </w:numPr>
              <w:tabs>
                <w:tab w:pos="1002" w:val="left" w:leader="none"/>
                <w:tab w:pos="7146" w:val="left" w:leader="none"/>
              </w:tabs>
              <w:spacing w:line="240" w:lineRule="auto" w:before="137" w:after="0"/>
              <w:ind w:left="1002" w:right="0" w:hanging="657"/>
              <w:jc w:val="left"/>
              <w:rPr>
                <w:sz w:val="24"/>
              </w:rPr>
            </w:pPr>
            <w:r>
              <w:rPr>
                <w:sz w:val="24"/>
              </w:rPr>
              <w:t>Economic</w:t>
            </w:r>
            <w:r>
              <w:rPr>
                <w:spacing w:val="-15"/>
                <w:sz w:val="24"/>
              </w:rPr>
              <w:t> </w:t>
            </w:r>
            <w:r>
              <w:rPr>
                <w:spacing w:val="-2"/>
                <w:sz w:val="24"/>
              </w:rPr>
              <w:t>problems</w:t>
            </w:r>
            <w:r>
              <w:rPr>
                <w:sz w:val="24"/>
              </w:rPr>
              <w:tab/>
              <w:t>7</w:t>
            </w:r>
            <w:r>
              <w:rPr>
                <w:spacing w:val="-1"/>
                <w:sz w:val="24"/>
              </w:rPr>
              <w:t> </w:t>
            </w:r>
            <w:r>
              <w:rPr>
                <w:spacing w:val="-2"/>
                <w:sz w:val="24"/>
              </w:rPr>
              <w:t>percent</w:t>
            </w:r>
          </w:p>
          <w:p>
            <w:pPr>
              <w:pStyle w:val="TableParagraph"/>
              <w:numPr>
                <w:ilvl w:val="0"/>
                <w:numId w:val="24"/>
              </w:numPr>
              <w:tabs>
                <w:tab w:pos="1002" w:val="left" w:leader="none"/>
                <w:tab w:pos="7146" w:val="left" w:leader="none"/>
              </w:tabs>
              <w:spacing w:line="240" w:lineRule="auto" w:before="137" w:after="0"/>
              <w:ind w:left="1002" w:right="0" w:hanging="657"/>
              <w:jc w:val="left"/>
              <w:rPr>
                <w:sz w:val="24"/>
              </w:rPr>
            </w:pPr>
            <w:r>
              <w:rPr>
                <w:sz w:val="24"/>
              </w:rPr>
              <w:t>Use</w:t>
            </w:r>
            <w:r>
              <w:rPr>
                <w:spacing w:val="-3"/>
                <w:sz w:val="24"/>
              </w:rPr>
              <w:t> </w:t>
            </w:r>
            <w:r>
              <w:rPr>
                <w:sz w:val="24"/>
              </w:rPr>
              <w:t>of</w:t>
            </w:r>
            <w:r>
              <w:rPr>
                <w:spacing w:val="-8"/>
                <w:sz w:val="24"/>
              </w:rPr>
              <w:t> </w:t>
            </w:r>
            <w:r>
              <w:rPr>
                <w:spacing w:val="-2"/>
                <w:sz w:val="24"/>
              </w:rPr>
              <w:t>library</w:t>
            </w:r>
            <w:r>
              <w:rPr>
                <w:sz w:val="24"/>
              </w:rPr>
              <w:tab/>
              <w:t>6</w:t>
            </w:r>
            <w:r>
              <w:rPr>
                <w:spacing w:val="-1"/>
                <w:sz w:val="24"/>
              </w:rPr>
              <w:t> </w:t>
            </w:r>
            <w:r>
              <w:rPr>
                <w:spacing w:val="-2"/>
                <w:sz w:val="24"/>
              </w:rPr>
              <w:t>percent</w:t>
            </w:r>
          </w:p>
          <w:p>
            <w:pPr>
              <w:pStyle w:val="TableParagraph"/>
              <w:numPr>
                <w:ilvl w:val="0"/>
                <w:numId w:val="24"/>
              </w:numPr>
              <w:tabs>
                <w:tab w:pos="1002" w:val="left" w:leader="none"/>
                <w:tab w:pos="7146" w:val="left" w:leader="none"/>
              </w:tabs>
              <w:spacing w:line="240" w:lineRule="auto" w:before="137" w:after="0"/>
              <w:ind w:left="1002" w:right="0" w:hanging="657"/>
              <w:jc w:val="left"/>
              <w:rPr>
                <w:sz w:val="24"/>
              </w:rPr>
            </w:pPr>
            <w:r>
              <w:rPr>
                <w:sz w:val="24"/>
              </w:rPr>
              <w:t>Educational</w:t>
            </w:r>
            <w:r>
              <w:rPr>
                <w:spacing w:val="-8"/>
                <w:sz w:val="24"/>
              </w:rPr>
              <w:t> </w:t>
            </w:r>
            <w:r>
              <w:rPr>
                <w:sz w:val="24"/>
              </w:rPr>
              <w:t>guidance</w:t>
            </w:r>
            <w:r>
              <w:rPr>
                <w:spacing w:val="-11"/>
                <w:sz w:val="24"/>
              </w:rPr>
              <w:t> </w:t>
            </w:r>
            <w:r>
              <w:rPr>
                <w:sz w:val="24"/>
              </w:rPr>
              <w:t>and</w:t>
            </w:r>
            <w:r>
              <w:rPr>
                <w:spacing w:val="-10"/>
                <w:sz w:val="24"/>
              </w:rPr>
              <w:t> </w:t>
            </w:r>
            <w:r>
              <w:rPr>
                <w:spacing w:val="-2"/>
                <w:sz w:val="24"/>
              </w:rPr>
              <w:t>control</w:t>
            </w:r>
            <w:r>
              <w:rPr>
                <w:sz w:val="24"/>
              </w:rPr>
              <w:tab/>
              <w:t>7</w:t>
            </w:r>
            <w:r>
              <w:rPr>
                <w:spacing w:val="-1"/>
                <w:sz w:val="24"/>
              </w:rPr>
              <w:t> </w:t>
            </w:r>
            <w:r>
              <w:rPr>
                <w:spacing w:val="-2"/>
                <w:sz w:val="24"/>
              </w:rPr>
              <w:t>percent</w:t>
            </w:r>
          </w:p>
          <w:p>
            <w:pPr>
              <w:pStyle w:val="TableParagraph"/>
              <w:numPr>
                <w:ilvl w:val="0"/>
                <w:numId w:val="24"/>
              </w:numPr>
              <w:tabs>
                <w:tab w:pos="1002" w:val="left" w:leader="none"/>
                <w:tab w:pos="7146" w:val="left" w:leader="none"/>
              </w:tabs>
              <w:spacing w:line="240" w:lineRule="auto" w:before="142" w:after="0"/>
              <w:ind w:left="1002" w:right="0" w:hanging="657"/>
              <w:jc w:val="left"/>
              <w:rPr>
                <w:sz w:val="24"/>
              </w:rPr>
            </w:pPr>
            <w:r>
              <w:rPr>
                <w:sz w:val="24"/>
              </w:rPr>
              <w:t>Personal</w:t>
            </w:r>
            <w:r>
              <w:rPr>
                <w:spacing w:val="-8"/>
                <w:sz w:val="24"/>
              </w:rPr>
              <w:t> </w:t>
            </w:r>
            <w:r>
              <w:rPr>
                <w:sz w:val="24"/>
              </w:rPr>
              <w:t>students</w:t>
            </w:r>
            <w:r>
              <w:rPr>
                <w:spacing w:val="-11"/>
                <w:sz w:val="24"/>
              </w:rPr>
              <w:t> </w:t>
            </w:r>
            <w:r>
              <w:rPr>
                <w:spacing w:val="-2"/>
                <w:sz w:val="24"/>
              </w:rPr>
              <w:t>relationship</w:t>
            </w:r>
            <w:r>
              <w:rPr>
                <w:sz w:val="24"/>
              </w:rPr>
              <w:tab/>
              <w:t>6</w:t>
            </w:r>
            <w:r>
              <w:rPr>
                <w:spacing w:val="-1"/>
                <w:sz w:val="24"/>
              </w:rPr>
              <w:t> </w:t>
            </w:r>
            <w:r>
              <w:rPr>
                <w:spacing w:val="-2"/>
                <w:sz w:val="24"/>
              </w:rPr>
              <w:t>percent</w:t>
            </w:r>
          </w:p>
          <w:p>
            <w:pPr>
              <w:pStyle w:val="TableParagraph"/>
              <w:numPr>
                <w:ilvl w:val="0"/>
                <w:numId w:val="24"/>
              </w:numPr>
              <w:tabs>
                <w:tab w:pos="1002" w:val="left" w:leader="none"/>
                <w:tab w:pos="7146" w:val="left" w:leader="none"/>
              </w:tabs>
              <w:spacing w:line="240" w:lineRule="auto" w:before="136" w:after="0"/>
              <w:ind w:left="1002" w:right="0" w:hanging="657"/>
              <w:jc w:val="left"/>
              <w:rPr>
                <w:sz w:val="24"/>
              </w:rPr>
            </w:pPr>
            <w:r>
              <w:rPr>
                <w:sz w:val="24"/>
              </w:rPr>
              <w:t>Athletics</w:t>
            </w:r>
            <w:r>
              <w:rPr>
                <w:spacing w:val="-7"/>
                <w:sz w:val="24"/>
              </w:rPr>
              <w:t> </w:t>
            </w:r>
            <w:r>
              <w:rPr>
                <w:spacing w:val="-2"/>
                <w:sz w:val="24"/>
              </w:rPr>
              <w:t>problems</w:t>
            </w:r>
            <w:r>
              <w:rPr>
                <w:sz w:val="24"/>
              </w:rPr>
              <w:tab/>
              <w:t>4</w:t>
            </w:r>
            <w:r>
              <w:rPr>
                <w:spacing w:val="-1"/>
                <w:sz w:val="24"/>
              </w:rPr>
              <w:t> </w:t>
            </w:r>
            <w:r>
              <w:rPr>
                <w:spacing w:val="-2"/>
                <w:sz w:val="24"/>
              </w:rPr>
              <w:t>percent</w:t>
            </w:r>
          </w:p>
          <w:p>
            <w:pPr>
              <w:pStyle w:val="TableParagraph"/>
              <w:numPr>
                <w:ilvl w:val="0"/>
                <w:numId w:val="24"/>
              </w:numPr>
              <w:tabs>
                <w:tab w:pos="1002" w:val="left" w:leader="none"/>
                <w:tab w:pos="7146" w:val="left" w:leader="none"/>
              </w:tabs>
              <w:spacing w:line="240" w:lineRule="auto" w:before="137" w:after="0"/>
              <w:ind w:left="1002" w:right="0" w:hanging="724"/>
              <w:jc w:val="left"/>
              <w:rPr>
                <w:sz w:val="24"/>
              </w:rPr>
            </w:pPr>
            <w:r>
              <w:rPr>
                <w:sz w:val="24"/>
              </w:rPr>
              <w:t>Vocational</w:t>
            </w:r>
            <w:r>
              <w:rPr>
                <w:spacing w:val="-12"/>
                <w:sz w:val="24"/>
              </w:rPr>
              <w:t> </w:t>
            </w:r>
            <w:r>
              <w:rPr>
                <w:spacing w:val="-2"/>
                <w:sz w:val="24"/>
              </w:rPr>
              <w:t>problems</w:t>
            </w:r>
            <w:r>
              <w:rPr>
                <w:sz w:val="24"/>
              </w:rPr>
              <w:tab/>
              <w:t>4</w:t>
            </w:r>
            <w:r>
              <w:rPr>
                <w:spacing w:val="-1"/>
                <w:sz w:val="24"/>
              </w:rPr>
              <w:t> </w:t>
            </w:r>
            <w:r>
              <w:rPr>
                <w:spacing w:val="-2"/>
                <w:sz w:val="24"/>
              </w:rPr>
              <w:t>percent</w:t>
            </w:r>
          </w:p>
          <w:p>
            <w:pPr>
              <w:pStyle w:val="TableParagraph"/>
              <w:numPr>
                <w:ilvl w:val="0"/>
                <w:numId w:val="24"/>
              </w:numPr>
              <w:tabs>
                <w:tab w:pos="1002" w:val="left" w:leader="none"/>
                <w:tab w:pos="7146" w:val="left" w:leader="none"/>
              </w:tabs>
              <w:spacing w:line="240" w:lineRule="auto" w:before="137" w:after="0"/>
              <w:ind w:left="1002" w:right="0" w:hanging="724"/>
              <w:jc w:val="left"/>
              <w:rPr>
                <w:sz w:val="24"/>
              </w:rPr>
            </w:pPr>
            <w:r>
              <w:rPr>
                <w:sz w:val="24"/>
              </w:rPr>
              <w:t>Rooming</w:t>
            </w:r>
            <w:r>
              <w:rPr>
                <w:spacing w:val="-15"/>
                <w:sz w:val="24"/>
              </w:rPr>
              <w:t> </w:t>
            </w:r>
            <w:r>
              <w:rPr>
                <w:sz w:val="24"/>
              </w:rPr>
              <w:t>(accommodation)</w:t>
            </w:r>
            <w:r>
              <w:rPr>
                <w:spacing w:val="-14"/>
                <w:sz w:val="24"/>
              </w:rPr>
              <w:t> </w:t>
            </w:r>
            <w:r>
              <w:rPr>
                <w:spacing w:val="-2"/>
                <w:sz w:val="24"/>
              </w:rPr>
              <w:t>problem</w:t>
            </w:r>
            <w:r>
              <w:rPr>
                <w:sz w:val="24"/>
              </w:rPr>
              <w:tab/>
              <w:t>8</w:t>
            </w:r>
            <w:r>
              <w:rPr>
                <w:spacing w:val="-1"/>
                <w:sz w:val="24"/>
              </w:rPr>
              <w:t> </w:t>
            </w:r>
            <w:r>
              <w:rPr>
                <w:spacing w:val="-2"/>
                <w:sz w:val="24"/>
              </w:rPr>
              <w:t>percent</w:t>
            </w:r>
          </w:p>
          <w:p>
            <w:pPr>
              <w:pStyle w:val="TableParagraph"/>
              <w:numPr>
                <w:ilvl w:val="0"/>
                <w:numId w:val="24"/>
              </w:numPr>
              <w:tabs>
                <w:tab w:pos="1002" w:val="left" w:leader="none"/>
                <w:tab w:pos="7146" w:val="left" w:leader="none"/>
              </w:tabs>
              <w:spacing w:line="240" w:lineRule="auto" w:before="137" w:after="0"/>
              <w:ind w:left="1002" w:right="0" w:hanging="724"/>
              <w:jc w:val="left"/>
              <w:rPr>
                <w:sz w:val="24"/>
              </w:rPr>
            </w:pPr>
            <w:r>
              <w:rPr>
                <w:sz w:val="24"/>
              </w:rPr>
              <w:t>Social</w:t>
            </w:r>
            <w:r>
              <w:rPr>
                <w:spacing w:val="-8"/>
                <w:sz w:val="24"/>
              </w:rPr>
              <w:t> </w:t>
            </w:r>
            <w:r>
              <w:rPr>
                <w:sz w:val="24"/>
              </w:rPr>
              <w:t>and</w:t>
            </w:r>
            <w:r>
              <w:rPr>
                <w:spacing w:val="-10"/>
                <w:sz w:val="24"/>
              </w:rPr>
              <w:t> </w:t>
            </w:r>
            <w:r>
              <w:rPr>
                <w:sz w:val="24"/>
              </w:rPr>
              <w:t>cultural</w:t>
            </w:r>
            <w:r>
              <w:rPr>
                <w:spacing w:val="-11"/>
                <w:sz w:val="24"/>
              </w:rPr>
              <w:t> </w:t>
            </w:r>
            <w:r>
              <w:rPr>
                <w:sz w:val="24"/>
              </w:rPr>
              <w:t>problems</w:t>
            </w:r>
            <w:r>
              <w:rPr>
                <w:spacing w:val="-11"/>
                <w:sz w:val="24"/>
              </w:rPr>
              <w:t> </w:t>
            </w:r>
            <w:r>
              <w:rPr>
                <w:spacing w:val="-2"/>
                <w:sz w:val="24"/>
              </w:rPr>
              <w:t>(Amusement)</w:t>
            </w:r>
            <w:r>
              <w:rPr>
                <w:sz w:val="24"/>
              </w:rPr>
              <w:tab/>
              <w:t>4</w:t>
            </w:r>
            <w:r>
              <w:rPr>
                <w:spacing w:val="-1"/>
                <w:sz w:val="24"/>
              </w:rPr>
              <w:t> </w:t>
            </w:r>
            <w:r>
              <w:rPr>
                <w:spacing w:val="-2"/>
                <w:sz w:val="24"/>
              </w:rPr>
              <w:t>percent</w:t>
            </w:r>
          </w:p>
          <w:p>
            <w:pPr>
              <w:pStyle w:val="TableParagraph"/>
              <w:numPr>
                <w:ilvl w:val="0"/>
                <w:numId w:val="24"/>
              </w:numPr>
              <w:tabs>
                <w:tab w:pos="1002" w:val="left" w:leader="none"/>
                <w:tab w:pos="7146" w:val="left" w:leader="none"/>
              </w:tabs>
              <w:spacing w:line="240" w:lineRule="auto" w:before="141" w:after="0"/>
              <w:ind w:left="1002" w:right="0" w:hanging="724"/>
              <w:jc w:val="left"/>
              <w:rPr>
                <w:sz w:val="24"/>
              </w:rPr>
            </w:pPr>
            <w:r>
              <w:rPr>
                <w:sz w:val="24"/>
              </w:rPr>
              <w:t>Problems</w:t>
            </w:r>
            <w:r>
              <w:rPr>
                <w:spacing w:val="-9"/>
                <w:sz w:val="24"/>
              </w:rPr>
              <w:t> </w:t>
            </w:r>
            <w:r>
              <w:rPr>
                <w:sz w:val="24"/>
              </w:rPr>
              <w:t>relating</w:t>
            </w:r>
            <w:r>
              <w:rPr>
                <w:spacing w:val="-7"/>
                <w:sz w:val="24"/>
              </w:rPr>
              <w:t> </w:t>
            </w:r>
            <w:r>
              <w:rPr>
                <w:sz w:val="24"/>
              </w:rPr>
              <w:t>to</w:t>
            </w:r>
            <w:r>
              <w:rPr>
                <w:spacing w:val="-11"/>
                <w:sz w:val="24"/>
              </w:rPr>
              <w:t> </w:t>
            </w:r>
            <w:r>
              <w:rPr>
                <w:sz w:val="24"/>
              </w:rPr>
              <w:t>other</w:t>
            </w:r>
            <w:r>
              <w:rPr>
                <w:spacing w:val="-6"/>
                <w:sz w:val="24"/>
              </w:rPr>
              <w:t> </w:t>
            </w:r>
            <w:r>
              <w:rPr>
                <w:sz w:val="24"/>
              </w:rPr>
              <w:t>colleagues,</w:t>
            </w:r>
            <w:r>
              <w:rPr>
                <w:spacing w:val="-9"/>
                <w:sz w:val="24"/>
              </w:rPr>
              <w:t> </w:t>
            </w:r>
            <w:r>
              <w:rPr>
                <w:sz w:val="24"/>
              </w:rPr>
              <w:t>races</w:t>
            </w:r>
            <w:r>
              <w:rPr>
                <w:spacing w:val="-8"/>
                <w:sz w:val="24"/>
              </w:rPr>
              <w:t> </w:t>
            </w:r>
            <w:r>
              <w:rPr>
                <w:spacing w:val="-5"/>
                <w:sz w:val="24"/>
              </w:rPr>
              <w:t>etc</w:t>
            </w:r>
            <w:r>
              <w:rPr>
                <w:sz w:val="24"/>
              </w:rPr>
              <w:tab/>
              <w:t>4</w:t>
            </w:r>
            <w:r>
              <w:rPr>
                <w:spacing w:val="-1"/>
                <w:sz w:val="24"/>
              </w:rPr>
              <w:t> </w:t>
            </w:r>
            <w:r>
              <w:rPr>
                <w:spacing w:val="-2"/>
                <w:sz w:val="24"/>
              </w:rPr>
              <w:t>percent</w:t>
            </w:r>
          </w:p>
          <w:p>
            <w:pPr>
              <w:pStyle w:val="TableParagraph"/>
              <w:numPr>
                <w:ilvl w:val="0"/>
                <w:numId w:val="24"/>
              </w:numPr>
              <w:tabs>
                <w:tab w:pos="1002" w:val="left" w:leader="none"/>
                <w:tab w:pos="7146" w:val="left" w:leader="none"/>
              </w:tabs>
              <w:spacing w:line="240" w:lineRule="auto" w:before="137" w:after="0"/>
              <w:ind w:left="1002" w:right="0" w:hanging="724"/>
              <w:jc w:val="left"/>
              <w:rPr>
                <w:sz w:val="24"/>
              </w:rPr>
            </w:pPr>
            <w:r>
              <w:rPr>
                <w:sz w:val="24"/>
              </w:rPr>
              <w:t>Parental</w:t>
            </w:r>
            <w:r>
              <w:rPr>
                <w:spacing w:val="-7"/>
                <w:sz w:val="24"/>
              </w:rPr>
              <w:t> </w:t>
            </w:r>
            <w:r>
              <w:rPr>
                <w:spacing w:val="-2"/>
                <w:sz w:val="24"/>
              </w:rPr>
              <w:t>relations</w:t>
            </w:r>
            <w:r>
              <w:rPr>
                <w:sz w:val="24"/>
              </w:rPr>
              <w:tab/>
              <w:t>4</w:t>
            </w:r>
            <w:r>
              <w:rPr>
                <w:spacing w:val="-1"/>
                <w:sz w:val="24"/>
              </w:rPr>
              <w:t> </w:t>
            </w:r>
            <w:r>
              <w:rPr>
                <w:spacing w:val="-2"/>
                <w:sz w:val="24"/>
              </w:rPr>
              <w:t>percent</w:t>
            </w:r>
          </w:p>
          <w:p>
            <w:pPr>
              <w:pStyle w:val="TableParagraph"/>
              <w:numPr>
                <w:ilvl w:val="0"/>
                <w:numId w:val="24"/>
              </w:numPr>
              <w:tabs>
                <w:tab w:pos="1002" w:val="left" w:leader="none"/>
                <w:tab w:pos="7146" w:val="left" w:leader="none"/>
              </w:tabs>
              <w:spacing w:line="240" w:lineRule="auto" w:before="137" w:after="0"/>
              <w:ind w:left="1002" w:right="0" w:hanging="724"/>
              <w:jc w:val="left"/>
              <w:rPr>
                <w:sz w:val="24"/>
              </w:rPr>
            </w:pPr>
            <w:r>
              <w:rPr>
                <w:sz w:val="24"/>
              </w:rPr>
              <w:t>Physical</w:t>
            </w:r>
            <w:r>
              <w:rPr>
                <w:spacing w:val="-7"/>
                <w:sz w:val="24"/>
              </w:rPr>
              <w:t> </w:t>
            </w:r>
            <w:r>
              <w:rPr>
                <w:sz w:val="24"/>
              </w:rPr>
              <w:t>and</w:t>
            </w:r>
            <w:r>
              <w:rPr>
                <w:spacing w:val="-9"/>
                <w:sz w:val="24"/>
              </w:rPr>
              <w:t> </w:t>
            </w:r>
            <w:r>
              <w:rPr>
                <w:sz w:val="24"/>
              </w:rPr>
              <w:t>mental</w:t>
            </w:r>
            <w:r>
              <w:rPr>
                <w:spacing w:val="-7"/>
                <w:sz w:val="24"/>
              </w:rPr>
              <w:t> </w:t>
            </w:r>
            <w:r>
              <w:rPr>
                <w:sz w:val="24"/>
              </w:rPr>
              <w:t>health</w:t>
            </w:r>
            <w:r>
              <w:rPr>
                <w:spacing w:val="-9"/>
                <w:sz w:val="24"/>
              </w:rPr>
              <w:t> </w:t>
            </w:r>
            <w:r>
              <w:rPr>
                <w:spacing w:val="-2"/>
                <w:sz w:val="24"/>
              </w:rPr>
              <w:t>problems</w:t>
            </w:r>
            <w:r>
              <w:rPr>
                <w:sz w:val="24"/>
              </w:rPr>
              <w:tab/>
              <w:t>3</w:t>
            </w:r>
            <w:r>
              <w:rPr>
                <w:spacing w:val="-1"/>
                <w:sz w:val="24"/>
              </w:rPr>
              <w:t> </w:t>
            </w:r>
            <w:r>
              <w:rPr>
                <w:spacing w:val="-2"/>
                <w:sz w:val="24"/>
              </w:rPr>
              <w:t>percent</w:t>
            </w:r>
          </w:p>
          <w:p>
            <w:pPr>
              <w:pStyle w:val="TableParagraph"/>
              <w:numPr>
                <w:ilvl w:val="0"/>
                <w:numId w:val="24"/>
              </w:numPr>
              <w:tabs>
                <w:tab w:pos="1002" w:val="left" w:leader="none"/>
                <w:tab w:pos="7146" w:val="left" w:leader="none"/>
              </w:tabs>
              <w:spacing w:line="240" w:lineRule="auto" w:before="137" w:after="0"/>
              <w:ind w:left="1002" w:right="0" w:hanging="724"/>
              <w:jc w:val="left"/>
              <w:rPr>
                <w:sz w:val="24"/>
              </w:rPr>
            </w:pPr>
            <w:r>
              <w:rPr>
                <w:sz w:val="24"/>
              </w:rPr>
              <w:t>Problems</w:t>
            </w:r>
            <w:r>
              <w:rPr>
                <w:spacing w:val="-9"/>
                <w:sz w:val="24"/>
              </w:rPr>
              <w:t> </w:t>
            </w:r>
            <w:r>
              <w:rPr>
                <w:sz w:val="24"/>
              </w:rPr>
              <w:t>related</w:t>
            </w:r>
            <w:r>
              <w:rPr>
                <w:spacing w:val="-7"/>
                <w:sz w:val="24"/>
              </w:rPr>
              <w:t> </w:t>
            </w:r>
            <w:r>
              <w:rPr>
                <w:sz w:val="24"/>
              </w:rPr>
              <w:t>to</w:t>
            </w:r>
            <w:r>
              <w:rPr>
                <w:spacing w:val="-8"/>
                <w:sz w:val="24"/>
              </w:rPr>
              <w:t> </w:t>
            </w:r>
            <w:r>
              <w:rPr>
                <w:sz w:val="24"/>
              </w:rPr>
              <w:t>special</w:t>
            </w:r>
            <w:r>
              <w:rPr>
                <w:spacing w:val="-5"/>
                <w:sz w:val="24"/>
              </w:rPr>
              <w:t> </w:t>
            </w:r>
            <w:r>
              <w:rPr>
                <w:sz w:val="24"/>
              </w:rPr>
              <w:t>ability</w:t>
            </w:r>
            <w:r>
              <w:rPr>
                <w:spacing w:val="-13"/>
                <w:sz w:val="24"/>
              </w:rPr>
              <w:t> </w:t>
            </w:r>
            <w:r>
              <w:rPr>
                <w:spacing w:val="-2"/>
                <w:sz w:val="24"/>
              </w:rPr>
              <w:t>group</w:t>
            </w:r>
            <w:r>
              <w:rPr>
                <w:sz w:val="24"/>
              </w:rPr>
              <w:tab/>
              <w:t>2</w:t>
            </w:r>
            <w:r>
              <w:rPr>
                <w:spacing w:val="-1"/>
                <w:sz w:val="24"/>
              </w:rPr>
              <w:t> </w:t>
            </w:r>
            <w:r>
              <w:rPr>
                <w:spacing w:val="-2"/>
                <w:sz w:val="24"/>
              </w:rPr>
              <w:t>percent</w:t>
            </w:r>
          </w:p>
          <w:p>
            <w:pPr>
              <w:pStyle w:val="TableParagraph"/>
              <w:numPr>
                <w:ilvl w:val="0"/>
                <w:numId w:val="24"/>
              </w:numPr>
              <w:tabs>
                <w:tab w:pos="1002" w:val="left" w:leader="none"/>
                <w:tab w:pos="7146" w:val="left" w:leader="none"/>
              </w:tabs>
              <w:spacing w:line="240" w:lineRule="auto" w:before="142" w:after="0"/>
              <w:ind w:left="1002" w:right="0" w:hanging="724"/>
              <w:jc w:val="left"/>
              <w:rPr>
                <w:sz w:val="24"/>
              </w:rPr>
            </w:pPr>
            <w:r>
              <w:rPr>
                <w:sz w:val="24"/>
              </w:rPr>
              <w:t>Problems</w:t>
            </w:r>
            <w:r>
              <w:rPr>
                <w:spacing w:val="-9"/>
                <w:sz w:val="24"/>
              </w:rPr>
              <w:t> </w:t>
            </w:r>
            <w:r>
              <w:rPr>
                <w:sz w:val="24"/>
              </w:rPr>
              <w:t>related</w:t>
            </w:r>
            <w:r>
              <w:rPr>
                <w:spacing w:val="-8"/>
                <w:sz w:val="24"/>
              </w:rPr>
              <w:t> </w:t>
            </w:r>
            <w:r>
              <w:rPr>
                <w:sz w:val="24"/>
              </w:rPr>
              <w:t>to</w:t>
            </w:r>
            <w:r>
              <w:rPr>
                <w:spacing w:val="-9"/>
                <w:sz w:val="24"/>
              </w:rPr>
              <w:t> </w:t>
            </w:r>
            <w:r>
              <w:rPr>
                <w:sz w:val="24"/>
              </w:rPr>
              <w:t>Departmental,</w:t>
            </w:r>
            <w:r>
              <w:rPr>
                <w:spacing w:val="-9"/>
                <w:sz w:val="24"/>
              </w:rPr>
              <w:t> </w:t>
            </w:r>
            <w:r>
              <w:rPr>
                <w:sz w:val="24"/>
              </w:rPr>
              <w:t>Pre,</w:t>
            </w:r>
            <w:r>
              <w:rPr>
                <w:spacing w:val="-8"/>
                <w:sz w:val="24"/>
              </w:rPr>
              <w:t> </w:t>
            </w:r>
            <w:r>
              <w:rPr>
                <w:spacing w:val="-2"/>
                <w:sz w:val="24"/>
              </w:rPr>
              <w:t>Professional</w:t>
            </w:r>
            <w:r>
              <w:rPr>
                <w:sz w:val="24"/>
              </w:rPr>
              <w:tab/>
              <w:t>1</w:t>
            </w:r>
            <w:r>
              <w:rPr>
                <w:spacing w:val="-1"/>
                <w:sz w:val="24"/>
              </w:rPr>
              <w:t> </w:t>
            </w:r>
            <w:r>
              <w:rPr>
                <w:spacing w:val="-2"/>
                <w:sz w:val="24"/>
              </w:rPr>
              <w:t>percent</w:t>
            </w:r>
          </w:p>
        </w:tc>
      </w:tr>
    </w:tbl>
    <w:p>
      <w:pPr>
        <w:pStyle w:val="BodyText"/>
        <w:spacing w:before="274"/>
        <w:ind w:left="1540"/>
      </w:pPr>
      <w:r>
        <w:rPr/>
        <w:t>Bello:</w:t>
      </w:r>
      <w:r>
        <w:rPr>
          <w:spacing w:val="-5"/>
        </w:rPr>
        <w:t> </w:t>
      </w:r>
      <w:r>
        <w:rPr>
          <w:spacing w:val="-2"/>
        </w:rPr>
        <w:t>(1983:14)</w:t>
      </w:r>
    </w:p>
    <w:p>
      <w:pPr>
        <w:pStyle w:val="BodyText"/>
      </w:pPr>
    </w:p>
    <w:p>
      <w:pPr>
        <w:pStyle w:val="BodyText"/>
        <w:spacing w:line="480" w:lineRule="auto"/>
        <w:ind w:left="820" w:right="114" w:firstLine="720"/>
        <w:jc w:val="both"/>
      </w:pPr>
      <w:r>
        <w:rPr/>
        <w:t>A cursory glance at the foregoing table shows that students suffered from very serious counselling problems which could mar their lives permanently or cause mental breakdown unless they are managed 'properly by guidance counsellors.'</w:t>
      </w:r>
      <w:r>
        <w:rPr>
          <w:spacing w:val="40"/>
        </w:rPr>
        <w:t> </w:t>
      </w:r>
      <w:r>
        <w:rPr/>
        <w:t>Similarly, the problem of Boarding and rooming (accommodation) which ranks to 8 percent and the financial problems which is part of their feeding accounting for 7 percent needed serious management as they could pose</w:t>
      </w:r>
      <w:r>
        <w:rPr>
          <w:spacing w:val="40"/>
        </w:rPr>
        <w:t> </w:t>
      </w:r>
      <w:r>
        <w:rPr/>
        <w:t>serious malfunction problem for students.</w:t>
      </w:r>
    </w:p>
    <w:p>
      <w:pPr>
        <w:spacing w:after="0" w:line="480" w:lineRule="auto"/>
        <w:jc w:val="both"/>
        <w:sectPr>
          <w:headerReference w:type="default" r:id="rId142"/>
          <w:footerReference w:type="default" r:id="rId143"/>
          <w:pgSz w:w="12240" w:h="15840"/>
          <w:pgMar w:header="722" w:footer="791" w:top="1340" w:bottom="980" w:left="1340" w:right="1320"/>
        </w:sectPr>
      </w:pPr>
    </w:p>
    <w:p>
      <w:pPr>
        <w:pStyle w:val="BodyText"/>
        <w:spacing w:line="480" w:lineRule="auto" w:before="89"/>
        <w:ind w:left="820" w:right="114" w:firstLine="720"/>
        <w:jc w:val="both"/>
      </w:pPr>
      <w:r>
        <w:rPr/>
        <w:t>With the problems posed by these strategies,</w:t>
      </w:r>
      <w:r>
        <w:rPr>
          <w:spacing w:val="-2"/>
        </w:rPr>
        <w:t> </w:t>
      </w:r>
      <w:r>
        <w:rPr/>
        <w:t>it becomes vital that the unit provides a wide range of psychological services for the students who are encountering difficulties in their private lives, in their relationship with others, in their pursuit of educational obligations and in their relationship with parents and families. According to Shertzer and Stone, (1976:38) guidance services are formalized actions when they are made operational and available to students. This can manifest by providing the guidance services to students through appraisal, informative, counselling, planning and placement, orientation and follow-up services. All services are provided to students based on their personal, interpersonal, social, educational and vocational needs as well as on their financial problems, courtship, accommodation, choice of room mates, and other related problems, so that at the end of the day all their undesirable behaviours could be changed positively and be self-actualized.</w:t>
      </w:r>
      <w:r>
        <w:rPr>
          <w:spacing w:val="80"/>
        </w:rPr>
        <w:t> </w:t>
      </w:r>
      <w:r>
        <w:rPr/>
        <w:t>For instance, information available from Internet website revealed that in Curtin and Sydney Universities, there are free standard counseling from 11am to 3pm.</w:t>
      </w:r>
      <w:r>
        <w:rPr>
          <w:spacing w:val="40"/>
        </w:rPr>
        <w:t> </w:t>
      </w:r>
      <w:r>
        <w:rPr/>
        <w:t>These assist students to fulfill their academic, individual and social goals.</w:t>
      </w:r>
      <w:r>
        <w:rPr>
          <w:spacing w:val="40"/>
        </w:rPr>
        <w:t> </w:t>
      </w:r>
      <w:r>
        <w:rPr/>
        <w:t>Speaking with Professional counselors is believed to help them see their problems clearly and try to move towards changing their habits for future success.</w:t>
      </w:r>
    </w:p>
    <w:p>
      <w:pPr>
        <w:pStyle w:val="BodyText"/>
        <w:spacing w:line="480" w:lineRule="auto"/>
        <w:ind w:left="820" w:right="116" w:firstLine="720"/>
        <w:jc w:val="both"/>
      </w:pPr>
      <w:r>
        <w:rPr/>
        <w:t>The Counseling Centres in the universities are not only expected to solve the problem but they should also keep tags with follow-up services through their lecturers, parents, partners adviser-advisee, religious leaders, as well as to give and coordinate career planning, career talks, recruitment interviews with public and</w:t>
      </w:r>
      <w:r>
        <w:rPr>
          <w:spacing w:val="69"/>
        </w:rPr>
        <w:t> </w:t>
      </w:r>
      <w:r>
        <w:rPr/>
        <w:t>private</w:t>
      </w:r>
      <w:r>
        <w:rPr>
          <w:spacing w:val="70"/>
        </w:rPr>
        <w:t> </w:t>
      </w:r>
      <w:r>
        <w:rPr/>
        <w:t>organizations</w:t>
      </w:r>
      <w:r>
        <w:rPr>
          <w:spacing w:val="69"/>
        </w:rPr>
        <w:t> </w:t>
      </w:r>
      <w:r>
        <w:rPr/>
        <w:t>such</w:t>
      </w:r>
      <w:r>
        <w:rPr>
          <w:spacing w:val="69"/>
        </w:rPr>
        <w:t> </w:t>
      </w:r>
      <w:r>
        <w:rPr/>
        <w:t>as</w:t>
      </w:r>
      <w:r>
        <w:rPr>
          <w:spacing w:val="69"/>
        </w:rPr>
        <w:t> </w:t>
      </w:r>
      <w:r>
        <w:rPr/>
        <w:t>oil</w:t>
      </w:r>
      <w:r>
        <w:rPr>
          <w:spacing w:val="73"/>
        </w:rPr>
        <w:t> </w:t>
      </w:r>
      <w:r>
        <w:rPr/>
        <w:t>companies</w:t>
      </w:r>
      <w:r>
        <w:rPr>
          <w:spacing w:val="68"/>
        </w:rPr>
        <w:t> </w:t>
      </w:r>
      <w:r>
        <w:rPr/>
        <w:t>and</w:t>
      </w:r>
      <w:r>
        <w:rPr>
          <w:spacing w:val="70"/>
        </w:rPr>
        <w:t> </w:t>
      </w:r>
      <w:r>
        <w:rPr/>
        <w:t>various</w:t>
      </w:r>
      <w:r>
        <w:rPr>
          <w:spacing w:val="69"/>
        </w:rPr>
        <w:t> </w:t>
      </w:r>
      <w:r>
        <w:rPr>
          <w:spacing w:val="-2"/>
        </w:rPr>
        <w:t>governmental</w:t>
      </w:r>
    </w:p>
    <w:p>
      <w:pPr>
        <w:spacing w:after="0" w:line="480" w:lineRule="auto"/>
        <w:jc w:val="both"/>
        <w:sectPr>
          <w:headerReference w:type="default" r:id="rId144"/>
          <w:footerReference w:type="default" r:id="rId145"/>
          <w:pgSz w:w="12240" w:h="15840"/>
          <w:pgMar w:header="722" w:footer="791" w:top="1340" w:bottom="980" w:left="1340" w:right="1320"/>
        </w:sectPr>
      </w:pPr>
    </w:p>
    <w:p>
      <w:pPr>
        <w:pStyle w:val="BodyText"/>
        <w:spacing w:line="480" w:lineRule="auto" w:before="89"/>
        <w:ind w:left="820" w:right="115"/>
        <w:jc w:val="both"/>
      </w:pPr>
      <w:r>
        <w:rPr/>
        <w:t>ministries for employment and for State, Federal and International Scholarships and Bursary awards, coordination of part-time jobs for students to enhance their welfare. By so doing the Guidance and Counselling</w:t>
      </w:r>
      <w:r>
        <w:rPr>
          <w:spacing w:val="-2"/>
        </w:rPr>
        <w:t> </w:t>
      </w:r>
      <w:r>
        <w:rPr/>
        <w:t>units</w:t>
      </w:r>
      <w:r>
        <w:rPr>
          <w:spacing w:val="-3"/>
        </w:rPr>
        <w:t> </w:t>
      </w:r>
      <w:r>
        <w:rPr/>
        <w:t>in the</w:t>
      </w:r>
      <w:r>
        <w:rPr>
          <w:spacing w:val="-2"/>
        </w:rPr>
        <w:t> </w:t>
      </w:r>
      <w:r>
        <w:rPr/>
        <w:t>university system will contribute immensely in moulding, disciplining and changing the lives of</w:t>
      </w:r>
      <w:r>
        <w:rPr>
          <w:spacing w:val="80"/>
        </w:rPr>
        <w:t> </w:t>
      </w:r>
      <w:r>
        <w:rPr/>
        <w:t>many students positively.</w:t>
      </w:r>
    </w:p>
    <w:p>
      <w:pPr>
        <w:pStyle w:val="Heading2"/>
        <w:numPr>
          <w:ilvl w:val="3"/>
          <w:numId w:val="19"/>
        </w:numPr>
        <w:tabs>
          <w:tab w:pos="1028" w:val="left" w:leader="none"/>
        </w:tabs>
        <w:spacing w:line="318" w:lineRule="exact" w:before="0" w:after="0"/>
        <w:ind w:left="1028" w:right="0" w:hanging="928"/>
        <w:jc w:val="left"/>
      </w:pPr>
      <w:bookmarkStart w:name="_TOC_250045" w:id="23"/>
      <w:r>
        <w:rPr/>
        <w:t>Sports</w:t>
      </w:r>
      <w:r>
        <w:rPr>
          <w:spacing w:val="-5"/>
        </w:rPr>
        <w:t> </w:t>
      </w:r>
      <w:r>
        <w:rPr/>
        <w:t>and</w:t>
      </w:r>
      <w:r>
        <w:rPr>
          <w:spacing w:val="-8"/>
        </w:rPr>
        <w:t> </w:t>
      </w:r>
      <w:bookmarkEnd w:id="23"/>
      <w:r>
        <w:rPr>
          <w:spacing w:val="-2"/>
        </w:rPr>
        <w:t>Recreation</w:t>
      </w:r>
    </w:p>
    <w:p>
      <w:pPr>
        <w:pStyle w:val="BodyText"/>
        <w:spacing w:line="480" w:lineRule="auto" w:before="281"/>
        <w:ind w:left="820" w:right="116" w:firstLine="720"/>
        <w:jc w:val="both"/>
      </w:pPr>
      <w:r>
        <w:rPr/>
        <w:t>While sports refer to a game or activity involving physical exercise especially out doors, in the fields, lanes, sky, mountains or water, recreation is a pleasurable occupation or amusement as Bulter in Lawal (1999:42) defines it as “an activity that is not consciously performed for the sake of any reward beyond itself,</w:t>
      </w:r>
      <w:r>
        <w:rPr>
          <w:spacing w:val="-1"/>
        </w:rPr>
        <w:t> </w:t>
      </w:r>
      <w:r>
        <w:rPr/>
        <w:t>which one usually</w:t>
      </w:r>
      <w:r>
        <w:rPr>
          <w:spacing w:val="-1"/>
        </w:rPr>
        <w:t> </w:t>
      </w:r>
      <w:r>
        <w:rPr/>
        <w:t>engages</w:t>
      </w:r>
      <w:r>
        <w:rPr>
          <w:spacing w:val="-1"/>
        </w:rPr>
        <w:t> </w:t>
      </w:r>
      <w:r>
        <w:rPr/>
        <w:t>in during</w:t>
      </w:r>
      <w:r>
        <w:rPr>
          <w:spacing w:val="-4"/>
        </w:rPr>
        <w:t> </w:t>
      </w:r>
      <w:r>
        <w:rPr/>
        <w:t>leisure and which offers</w:t>
      </w:r>
      <w:r>
        <w:rPr>
          <w:spacing w:val="-1"/>
        </w:rPr>
        <w:t> </w:t>
      </w:r>
      <w:r>
        <w:rPr/>
        <w:t>man an outlet for physical, mental, creative powers and in which he engages his inner desire and not because of outer compulsion”. Sports and Recreation have been as old as</w:t>
      </w:r>
      <w:r>
        <w:rPr>
          <w:spacing w:val="-3"/>
        </w:rPr>
        <w:t> </w:t>
      </w:r>
      <w:r>
        <w:rPr/>
        <w:t>man’s</w:t>
      </w:r>
      <w:r>
        <w:rPr>
          <w:spacing w:val="-3"/>
        </w:rPr>
        <w:t> </w:t>
      </w:r>
      <w:r>
        <w:rPr/>
        <w:t>creation.</w:t>
      </w:r>
      <w:r>
        <w:rPr>
          <w:spacing w:val="-3"/>
        </w:rPr>
        <w:t> </w:t>
      </w:r>
      <w:r>
        <w:rPr/>
        <w:t>Many</w:t>
      </w:r>
      <w:r>
        <w:rPr>
          <w:spacing w:val="-3"/>
        </w:rPr>
        <w:t> </w:t>
      </w:r>
      <w:r>
        <w:rPr/>
        <w:t>History</w:t>
      </w:r>
      <w:r>
        <w:rPr>
          <w:spacing w:val="-3"/>
        </w:rPr>
        <w:t> </w:t>
      </w:r>
      <w:r>
        <w:rPr/>
        <w:t>books</w:t>
      </w:r>
      <w:r>
        <w:rPr>
          <w:spacing w:val="-3"/>
        </w:rPr>
        <w:t> </w:t>
      </w:r>
      <w:r>
        <w:rPr/>
        <w:t>revealed</w:t>
      </w:r>
      <w:r>
        <w:rPr>
          <w:spacing w:val="-2"/>
        </w:rPr>
        <w:t> </w:t>
      </w:r>
      <w:r>
        <w:rPr/>
        <w:t>to</w:t>
      </w:r>
      <w:r>
        <w:rPr>
          <w:spacing w:val="-2"/>
        </w:rPr>
        <w:t> </w:t>
      </w:r>
      <w:r>
        <w:rPr/>
        <w:t>us</w:t>
      </w:r>
      <w:r>
        <w:rPr>
          <w:spacing w:val="-3"/>
        </w:rPr>
        <w:t> </w:t>
      </w:r>
      <w:r>
        <w:rPr/>
        <w:t>that</w:t>
      </w:r>
      <w:r>
        <w:rPr>
          <w:spacing w:val="-6"/>
        </w:rPr>
        <w:t> </w:t>
      </w:r>
      <w:r>
        <w:rPr/>
        <w:t>the</w:t>
      </w:r>
      <w:r>
        <w:rPr>
          <w:spacing w:val="-2"/>
        </w:rPr>
        <w:t> </w:t>
      </w:r>
      <w:r>
        <w:rPr/>
        <w:t>early</w:t>
      </w:r>
      <w:r>
        <w:rPr>
          <w:spacing w:val="-3"/>
        </w:rPr>
        <w:t> </w:t>
      </w:r>
      <w:r>
        <w:rPr/>
        <w:t>man</w:t>
      </w:r>
      <w:r>
        <w:rPr>
          <w:spacing w:val="-2"/>
        </w:rPr>
        <w:t> </w:t>
      </w:r>
      <w:r>
        <w:rPr/>
        <w:t>on</w:t>
      </w:r>
      <w:r>
        <w:rPr>
          <w:spacing w:val="-2"/>
        </w:rPr>
        <w:t> </w:t>
      </w:r>
      <w:r>
        <w:rPr/>
        <w:t>earth was a sportsman as he chased wild life and gathered leaves and berries for livelihood. The Roman’s and Spartans were great sportsmen, Kingfisher (1999:54-55). Apart from the role played in body building and physical fitness sports and recreation excite the mind. In line with this logic it is often said and believed that “An idle mind is the devil’s workshop” or “All work and no play makes Jack a dull boy”. These expressions preach and signify that neither inactivity nor excessive pressures, strains, stresses from the modern academic demand</w:t>
      </w:r>
      <w:r>
        <w:rPr>
          <w:spacing w:val="5"/>
        </w:rPr>
        <w:t> </w:t>
      </w:r>
      <w:r>
        <w:rPr/>
        <w:t>promotes</w:t>
      </w:r>
      <w:r>
        <w:rPr>
          <w:spacing w:val="3"/>
        </w:rPr>
        <w:t> </w:t>
      </w:r>
      <w:r>
        <w:rPr/>
        <w:t>positive</w:t>
      </w:r>
      <w:r>
        <w:rPr>
          <w:spacing w:val="5"/>
        </w:rPr>
        <w:t> </w:t>
      </w:r>
      <w:r>
        <w:rPr/>
        <w:t>wellbeing</w:t>
      </w:r>
      <w:r>
        <w:rPr>
          <w:spacing w:val="5"/>
        </w:rPr>
        <w:t> </w:t>
      </w:r>
      <w:r>
        <w:rPr/>
        <w:t>of</w:t>
      </w:r>
      <w:r>
        <w:rPr>
          <w:spacing w:val="4"/>
        </w:rPr>
        <w:t> </w:t>
      </w:r>
      <w:r>
        <w:rPr/>
        <w:t>the</w:t>
      </w:r>
      <w:r>
        <w:rPr>
          <w:spacing w:val="5"/>
        </w:rPr>
        <w:t> </w:t>
      </w:r>
      <w:r>
        <w:rPr/>
        <w:t>body</w:t>
      </w:r>
      <w:r>
        <w:rPr>
          <w:spacing w:val="4"/>
        </w:rPr>
        <w:t> </w:t>
      </w:r>
      <w:r>
        <w:rPr/>
        <w:t>and</w:t>
      </w:r>
      <w:r>
        <w:rPr>
          <w:spacing w:val="5"/>
        </w:rPr>
        <w:t> </w:t>
      </w:r>
      <w:r>
        <w:rPr/>
        <w:t>mind.</w:t>
      </w:r>
      <w:r>
        <w:rPr>
          <w:spacing w:val="4"/>
        </w:rPr>
        <w:t> </w:t>
      </w:r>
      <w:r>
        <w:rPr/>
        <w:t>Rather</w:t>
      </w:r>
      <w:r>
        <w:rPr>
          <w:spacing w:val="5"/>
        </w:rPr>
        <w:t> </w:t>
      </w:r>
      <w:r>
        <w:rPr/>
        <w:t>the</w:t>
      </w:r>
      <w:r>
        <w:rPr>
          <w:spacing w:val="1"/>
        </w:rPr>
        <w:t> </w:t>
      </w:r>
      <w:r>
        <w:rPr>
          <w:spacing w:val="-2"/>
        </w:rPr>
        <w:t>individual</w:t>
      </w:r>
    </w:p>
    <w:p>
      <w:pPr>
        <w:spacing w:after="0" w:line="480" w:lineRule="auto"/>
        <w:jc w:val="both"/>
        <w:sectPr>
          <w:headerReference w:type="default" r:id="rId146"/>
          <w:footerReference w:type="default" r:id="rId147"/>
          <w:pgSz w:w="12240" w:h="15840"/>
          <w:pgMar w:header="722" w:footer="791" w:top="1340" w:bottom="980" w:left="1340" w:right="1320"/>
        </w:sectPr>
      </w:pPr>
    </w:p>
    <w:p>
      <w:pPr>
        <w:pStyle w:val="BodyText"/>
        <w:spacing w:line="480" w:lineRule="auto" w:before="89"/>
        <w:ind w:left="820" w:right="114"/>
        <w:jc w:val="both"/>
      </w:pPr>
      <w:r>
        <w:rPr/>
        <w:t>becomes physically unfit or lured into emotional instability and all sorts of fraudulent behaviour.</w:t>
      </w:r>
    </w:p>
    <w:p>
      <w:pPr>
        <w:pStyle w:val="BodyText"/>
        <w:spacing w:line="480" w:lineRule="auto"/>
        <w:ind w:left="820" w:right="119" w:firstLine="720"/>
        <w:jc w:val="both"/>
      </w:pPr>
      <w:r>
        <w:rPr/>
        <w:t>In the effort to neutralize these negative traits and break the monotonous and boring conditions of academic work and the difficult life of students arising from</w:t>
      </w:r>
      <w:r>
        <w:rPr>
          <w:spacing w:val="-5"/>
        </w:rPr>
        <w:t> </w:t>
      </w:r>
      <w:r>
        <w:rPr/>
        <w:t>lack of</w:t>
      </w:r>
      <w:r>
        <w:rPr>
          <w:spacing w:val="-2"/>
        </w:rPr>
        <w:t> </w:t>
      </w:r>
      <w:r>
        <w:rPr/>
        <w:t>good</w:t>
      </w:r>
      <w:r>
        <w:rPr>
          <w:spacing w:val="-1"/>
        </w:rPr>
        <w:t> </w:t>
      </w:r>
      <w:r>
        <w:rPr/>
        <w:t>feeding, accommodation as</w:t>
      </w:r>
      <w:r>
        <w:rPr>
          <w:spacing w:val="-2"/>
        </w:rPr>
        <w:t> </w:t>
      </w:r>
      <w:r>
        <w:rPr/>
        <w:t>well as the strangeness of</w:t>
      </w:r>
      <w:r>
        <w:rPr>
          <w:spacing w:val="-1"/>
        </w:rPr>
        <w:t> </w:t>
      </w:r>
      <w:r>
        <w:rPr/>
        <w:t>the</w:t>
      </w:r>
      <w:r>
        <w:rPr>
          <w:spacing w:val="-1"/>
        </w:rPr>
        <w:t> </w:t>
      </w:r>
      <w:r>
        <w:rPr/>
        <w:t>new environment, all universities should establish and maintain a verile programme</w:t>
      </w:r>
      <w:r>
        <w:rPr>
          <w:spacing w:val="40"/>
        </w:rPr>
        <w:t> </w:t>
      </w:r>
      <w:r>
        <w:rPr/>
        <w:t>on sporting and recreational activities under the supervision of full-time coaches.</w:t>
      </w:r>
    </w:p>
    <w:p>
      <w:pPr>
        <w:pStyle w:val="BodyText"/>
        <w:spacing w:line="480" w:lineRule="auto"/>
        <w:ind w:left="820" w:right="113" w:firstLine="720"/>
        <w:jc w:val="both"/>
      </w:pPr>
      <w:r>
        <w:rPr/>
        <w:t>The sports offices of the universities are mostly located in the Students Affairs Division and the Sports Office</w:t>
      </w:r>
      <w:r>
        <w:rPr>
          <w:spacing w:val="-1"/>
        </w:rPr>
        <w:t> </w:t>
      </w:r>
      <w:r>
        <w:rPr/>
        <w:t>in each</w:t>
      </w:r>
      <w:r>
        <w:rPr>
          <w:spacing w:val="-1"/>
        </w:rPr>
        <w:t> </w:t>
      </w:r>
      <w:r>
        <w:rPr/>
        <w:t>university</w:t>
      </w:r>
      <w:r>
        <w:rPr>
          <w:spacing w:val="-2"/>
        </w:rPr>
        <w:t> </w:t>
      </w:r>
      <w:r>
        <w:rPr/>
        <w:t>is headed by the Director of Sports and many coaches whose duties are:</w:t>
      </w:r>
    </w:p>
    <w:p>
      <w:pPr>
        <w:pStyle w:val="ListParagraph"/>
        <w:numPr>
          <w:ilvl w:val="0"/>
          <w:numId w:val="25"/>
        </w:numPr>
        <w:tabs>
          <w:tab w:pos="2260" w:val="left" w:leader="none"/>
        </w:tabs>
        <w:spacing w:line="480" w:lineRule="auto" w:before="0" w:after="0"/>
        <w:ind w:left="2260" w:right="115" w:hanging="720"/>
        <w:jc w:val="both"/>
        <w:rPr>
          <w:sz w:val="24"/>
        </w:rPr>
      </w:pPr>
      <w:r>
        <w:rPr>
          <w:sz w:val="24"/>
        </w:rPr>
        <w:t>To be responsible for the arrangement of students participation in</w:t>
      </w:r>
      <w:r>
        <w:rPr>
          <w:spacing w:val="40"/>
          <w:sz w:val="24"/>
        </w:rPr>
        <w:t> </w:t>
      </w:r>
      <w:r>
        <w:rPr>
          <w:sz w:val="24"/>
        </w:rPr>
        <w:t>all sporting activities taking place internally, locally, nationally and </w:t>
      </w:r>
      <w:r>
        <w:rPr>
          <w:spacing w:val="-2"/>
          <w:sz w:val="24"/>
        </w:rPr>
        <w:t>internationally.</w:t>
      </w:r>
    </w:p>
    <w:p>
      <w:pPr>
        <w:pStyle w:val="ListParagraph"/>
        <w:numPr>
          <w:ilvl w:val="0"/>
          <w:numId w:val="25"/>
        </w:numPr>
        <w:tabs>
          <w:tab w:pos="2260" w:val="left" w:leader="none"/>
        </w:tabs>
        <w:spacing w:line="480" w:lineRule="auto" w:before="0" w:after="0"/>
        <w:ind w:left="2260" w:right="115" w:hanging="720"/>
        <w:jc w:val="both"/>
        <w:rPr>
          <w:sz w:val="24"/>
        </w:rPr>
      </w:pPr>
      <w:r>
        <w:rPr>
          <w:sz w:val="24"/>
        </w:rPr>
        <w:t>To advise the University Management on all aspects of sporting activities including the procurement and provision of sports equipment and facilities. There is also a sports Committees in all universities appointed by the Vice-Chancellors whose duties are to coordinate the sporting activities on the Campus and beyond. Similarly, there are the students’ sports Committees which play active part in organizing students for participation in various games and competitions</w:t>
      </w:r>
      <w:r>
        <w:rPr>
          <w:spacing w:val="-6"/>
          <w:sz w:val="24"/>
        </w:rPr>
        <w:t> </w:t>
      </w:r>
      <w:r>
        <w:rPr>
          <w:sz w:val="24"/>
        </w:rPr>
        <w:t>like</w:t>
      </w:r>
      <w:r>
        <w:rPr>
          <w:spacing w:val="-4"/>
          <w:sz w:val="24"/>
        </w:rPr>
        <w:t> </w:t>
      </w:r>
      <w:r>
        <w:rPr>
          <w:sz w:val="24"/>
        </w:rPr>
        <w:t>inter hall</w:t>
      </w:r>
      <w:r>
        <w:rPr>
          <w:spacing w:val="-1"/>
          <w:sz w:val="24"/>
        </w:rPr>
        <w:t> </w:t>
      </w:r>
      <w:r>
        <w:rPr>
          <w:sz w:val="24"/>
        </w:rPr>
        <w:t>and</w:t>
      </w:r>
      <w:r>
        <w:rPr>
          <w:spacing w:val="-4"/>
          <w:sz w:val="24"/>
        </w:rPr>
        <w:t> </w:t>
      </w:r>
      <w:r>
        <w:rPr>
          <w:sz w:val="24"/>
        </w:rPr>
        <w:t>inter faculty</w:t>
      </w:r>
      <w:r>
        <w:rPr>
          <w:spacing w:val="-1"/>
          <w:sz w:val="24"/>
        </w:rPr>
        <w:t> </w:t>
      </w:r>
      <w:r>
        <w:rPr>
          <w:sz w:val="24"/>
        </w:rPr>
        <w:t>sports</w:t>
      </w:r>
      <w:r>
        <w:rPr>
          <w:spacing w:val="-1"/>
          <w:sz w:val="24"/>
        </w:rPr>
        <w:t> </w:t>
      </w:r>
      <w:r>
        <w:rPr>
          <w:sz w:val="24"/>
        </w:rPr>
        <w:t>competitions.</w:t>
      </w:r>
    </w:p>
    <w:p>
      <w:pPr>
        <w:pStyle w:val="BodyText"/>
        <w:spacing w:line="480" w:lineRule="auto" w:before="1"/>
        <w:ind w:left="820" w:right="116" w:firstLine="720"/>
        <w:jc w:val="both"/>
      </w:pPr>
      <w:r>
        <w:rPr/>
        <w:t>The sports and recreation facilities for students in the universities are expected</w:t>
      </w:r>
      <w:r>
        <w:rPr>
          <w:spacing w:val="8"/>
        </w:rPr>
        <w:t> </w:t>
      </w:r>
      <w:r>
        <w:rPr/>
        <w:t>to</w:t>
      </w:r>
      <w:r>
        <w:rPr>
          <w:spacing w:val="8"/>
        </w:rPr>
        <w:t> </w:t>
      </w:r>
      <w:r>
        <w:rPr/>
        <w:t>cover</w:t>
      </w:r>
      <w:r>
        <w:rPr>
          <w:spacing w:val="4"/>
        </w:rPr>
        <w:t> </w:t>
      </w:r>
      <w:r>
        <w:rPr/>
        <w:t>a</w:t>
      </w:r>
      <w:r>
        <w:rPr>
          <w:spacing w:val="9"/>
        </w:rPr>
        <w:t> </w:t>
      </w:r>
      <w:r>
        <w:rPr/>
        <w:t>wide</w:t>
      </w:r>
      <w:r>
        <w:rPr>
          <w:spacing w:val="4"/>
        </w:rPr>
        <w:t> </w:t>
      </w:r>
      <w:r>
        <w:rPr/>
        <w:t>range</w:t>
      </w:r>
      <w:r>
        <w:rPr>
          <w:spacing w:val="8"/>
        </w:rPr>
        <w:t> </w:t>
      </w:r>
      <w:r>
        <w:rPr/>
        <w:t>of</w:t>
      </w:r>
      <w:r>
        <w:rPr>
          <w:spacing w:val="4"/>
        </w:rPr>
        <w:t> </w:t>
      </w:r>
      <w:r>
        <w:rPr/>
        <w:t>activities</w:t>
      </w:r>
      <w:r>
        <w:rPr>
          <w:spacing w:val="4"/>
        </w:rPr>
        <w:t> </w:t>
      </w:r>
      <w:r>
        <w:rPr/>
        <w:t>to</w:t>
      </w:r>
      <w:r>
        <w:rPr>
          <w:spacing w:val="8"/>
        </w:rPr>
        <w:t> </w:t>
      </w:r>
      <w:r>
        <w:rPr/>
        <w:t>satisfy</w:t>
      </w:r>
      <w:r>
        <w:rPr>
          <w:spacing w:val="7"/>
        </w:rPr>
        <w:t> </w:t>
      </w:r>
      <w:r>
        <w:rPr/>
        <w:t>the</w:t>
      </w:r>
      <w:r>
        <w:rPr>
          <w:spacing w:val="8"/>
        </w:rPr>
        <w:t> </w:t>
      </w:r>
      <w:r>
        <w:rPr/>
        <w:t>diverse</w:t>
      </w:r>
      <w:r>
        <w:rPr>
          <w:spacing w:val="5"/>
        </w:rPr>
        <w:t> </w:t>
      </w:r>
      <w:r>
        <w:rPr/>
        <w:t>tastes,</w:t>
      </w:r>
      <w:r>
        <w:rPr>
          <w:spacing w:val="3"/>
        </w:rPr>
        <w:t> </w:t>
      </w:r>
      <w:r>
        <w:rPr>
          <w:spacing w:val="-2"/>
        </w:rPr>
        <w:t>interest</w:t>
      </w:r>
    </w:p>
    <w:p>
      <w:pPr>
        <w:spacing w:after="0" w:line="480" w:lineRule="auto"/>
        <w:jc w:val="both"/>
        <w:sectPr>
          <w:headerReference w:type="default" r:id="rId148"/>
          <w:footerReference w:type="default" r:id="rId149"/>
          <w:pgSz w:w="12240" w:h="15840"/>
          <w:pgMar w:header="722" w:footer="791" w:top="1340" w:bottom="980" w:left="1340" w:right="1320"/>
        </w:sectPr>
      </w:pPr>
    </w:p>
    <w:p>
      <w:pPr>
        <w:pStyle w:val="BodyText"/>
        <w:spacing w:line="480" w:lineRule="auto" w:before="89"/>
        <w:ind w:left="820" w:right="116"/>
        <w:jc w:val="both"/>
      </w:pPr>
      <w:r>
        <w:rPr/>
        <w:t>and skills of students. These, are supposed to be distributed throughout the </w:t>
      </w:r>
      <w:r>
        <w:rPr>
          <w:spacing w:val="-2"/>
        </w:rPr>
        <w:t>campuses.</w:t>
      </w:r>
    </w:p>
    <w:p>
      <w:pPr>
        <w:pStyle w:val="BodyText"/>
        <w:spacing w:line="480" w:lineRule="auto"/>
        <w:ind w:left="820" w:right="114" w:firstLine="720"/>
        <w:jc w:val="both"/>
      </w:pPr>
      <w:r>
        <w:rPr/>
        <w:t>The sports complexes are usually supposed to have varieties of sports fields, squash racket, badminton, basketball and volley ball courts, athletics and track field. There are also Basket and Volley Ball courts, Swimming pool and Lawn Tennis Courts. There are athletics, soccer, hockey and cricket fields, Judo and Taekwando, Chess fields. The students’ halls of residence too should have sports and recreation facilities including table-tennis, badminton and indoor games like Ludo, Chess etcetera. These indoor games are usually encouraged as they offer good relaxation and recreational moments for less physically active </w:t>
      </w:r>
      <w:r>
        <w:rPr>
          <w:spacing w:val="-2"/>
        </w:rPr>
        <w:t>students.</w:t>
      </w:r>
    </w:p>
    <w:p>
      <w:pPr>
        <w:pStyle w:val="BodyText"/>
        <w:spacing w:line="480" w:lineRule="auto"/>
        <w:ind w:left="820" w:right="114" w:firstLine="720"/>
        <w:jc w:val="both"/>
      </w:pPr>
      <w:r>
        <w:rPr/>
        <w:t>In the recent years there has been the believe that television and satellite viewing services have replaced most of the indoor games and have reduced the attendance of cinema. Unfortunately this has at the same time led to the decline of academic work performance in most universities as the students have found themselves spending more time before the television sets in common rooms, in their rooms or in the student centers than before their teachers and books.</w:t>
      </w:r>
      <w:r>
        <w:rPr>
          <w:spacing w:val="40"/>
        </w:rPr>
        <w:t> </w:t>
      </w:r>
      <w:r>
        <w:rPr/>
        <w:t>During leisure times students are supposed to visit parks, gardens, lawns and dam areas where one exists for recreational relaxations.</w:t>
      </w:r>
    </w:p>
    <w:p>
      <w:pPr>
        <w:pStyle w:val="BodyText"/>
        <w:spacing w:line="480" w:lineRule="auto"/>
        <w:ind w:left="820" w:right="114" w:firstLine="720"/>
        <w:jc w:val="both"/>
      </w:pPr>
      <w:r>
        <w:rPr/>
        <w:t>It should be noted that apart from maintaining a bilateral annual friendly competitions</w:t>
      </w:r>
      <w:r>
        <w:rPr>
          <w:spacing w:val="-2"/>
        </w:rPr>
        <w:t> </w:t>
      </w:r>
      <w:r>
        <w:rPr/>
        <w:t>in sports within the universities,</w:t>
      </w:r>
      <w:r>
        <w:rPr>
          <w:spacing w:val="-2"/>
        </w:rPr>
        <w:t> </w:t>
      </w:r>
      <w:r>
        <w:rPr/>
        <w:t>Universities in the three geopolitical zones in the Northern part of Nigeria are also members of the West African University</w:t>
      </w:r>
      <w:r>
        <w:rPr>
          <w:spacing w:val="38"/>
        </w:rPr>
        <w:t> </w:t>
      </w:r>
      <w:r>
        <w:rPr/>
        <w:t>Games</w:t>
      </w:r>
      <w:r>
        <w:rPr>
          <w:spacing w:val="39"/>
        </w:rPr>
        <w:t> </w:t>
      </w:r>
      <w:r>
        <w:rPr/>
        <w:t>(WAUG)</w:t>
      </w:r>
      <w:r>
        <w:rPr>
          <w:spacing w:val="41"/>
        </w:rPr>
        <w:t> </w:t>
      </w:r>
      <w:r>
        <w:rPr/>
        <w:t>the</w:t>
      </w:r>
      <w:r>
        <w:rPr>
          <w:spacing w:val="36"/>
        </w:rPr>
        <w:t> </w:t>
      </w:r>
      <w:r>
        <w:rPr/>
        <w:t>Federation</w:t>
      </w:r>
      <w:r>
        <w:rPr>
          <w:spacing w:val="35"/>
        </w:rPr>
        <w:t> </w:t>
      </w:r>
      <w:r>
        <w:rPr/>
        <w:t>of</w:t>
      </w:r>
      <w:r>
        <w:rPr>
          <w:spacing w:val="40"/>
        </w:rPr>
        <w:t> </w:t>
      </w:r>
      <w:r>
        <w:rPr/>
        <w:t>African</w:t>
      </w:r>
      <w:r>
        <w:rPr>
          <w:spacing w:val="40"/>
        </w:rPr>
        <w:t> </w:t>
      </w:r>
      <w:r>
        <w:rPr/>
        <w:t>Universities</w:t>
      </w:r>
      <w:r>
        <w:rPr>
          <w:spacing w:val="34"/>
        </w:rPr>
        <w:t> </w:t>
      </w:r>
      <w:r>
        <w:rPr/>
        <w:t>(FASU)</w:t>
      </w:r>
      <w:r>
        <w:rPr>
          <w:spacing w:val="40"/>
        </w:rPr>
        <w:t> </w:t>
      </w:r>
      <w:r>
        <w:rPr>
          <w:spacing w:val="-5"/>
        </w:rPr>
        <w:t>and</w:t>
      </w:r>
    </w:p>
    <w:p>
      <w:pPr>
        <w:spacing w:after="0" w:line="480" w:lineRule="auto"/>
        <w:jc w:val="both"/>
        <w:sectPr>
          <w:headerReference w:type="default" r:id="rId150"/>
          <w:footerReference w:type="default" r:id="rId151"/>
          <w:pgSz w:w="12240" w:h="15840"/>
          <w:pgMar w:header="722" w:footer="791" w:top="1340" w:bottom="980" w:left="1340" w:right="1320"/>
        </w:sectPr>
      </w:pPr>
    </w:p>
    <w:p>
      <w:pPr>
        <w:pStyle w:val="BodyText"/>
        <w:spacing w:line="480" w:lineRule="auto" w:before="89"/>
        <w:ind w:left="820" w:right="116"/>
        <w:jc w:val="both"/>
      </w:pPr>
      <w:r>
        <w:rPr/>
        <w:t>Federation of International University Sports (FISU). These exposures and participation of students in sports open opportunities for them to win various scholarships and jobs after their graduations.</w:t>
      </w:r>
    </w:p>
    <w:p>
      <w:pPr>
        <w:pStyle w:val="BodyText"/>
        <w:spacing w:line="480" w:lineRule="auto"/>
        <w:ind w:left="820" w:right="119" w:firstLine="720"/>
        <w:jc w:val="both"/>
      </w:pPr>
      <w:r>
        <w:rPr/>
        <w:t>Thus with the important role sports has played in students’ development the University Management should give priority importance to their coordination and management.</w:t>
      </w:r>
    </w:p>
    <w:p>
      <w:pPr>
        <w:pStyle w:val="Heading2"/>
        <w:numPr>
          <w:ilvl w:val="3"/>
          <w:numId w:val="19"/>
        </w:numPr>
        <w:tabs>
          <w:tab w:pos="1028" w:val="left" w:leader="none"/>
        </w:tabs>
        <w:spacing w:line="318" w:lineRule="exact" w:before="0" w:after="0"/>
        <w:ind w:left="1028" w:right="0" w:hanging="928"/>
        <w:jc w:val="left"/>
      </w:pPr>
      <w:bookmarkStart w:name="_TOC_250044" w:id="24"/>
      <w:r>
        <w:rPr/>
        <w:t>Security</w:t>
      </w:r>
      <w:r>
        <w:rPr>
          <w:spacing w:val="-9"/>
        </w:rPr>
        <w:t> </w:t>
      </w:r>
      <w:bookmarkEnd w:id="24"/>
      <w:r>
        <w:rPr>
          <w:spacing w:val="-2"/>
        </w:rPr>
        <w:t>Matters</w:t>
      </w:r>
    </w:p>
    <w:p>
      <w:pPr>
        <w:pStyle w:val="BodyText"/>
        <w:spacing w:before="3"/>
        <w:rPr>
          <w:rFonts w:ascii="Arial"/>
          <w:b/>
          <w:sz w:val="28"/>
        </w:rPr>
      </w:pPr>
    </w:p>
    <w:p>
      <w:pPr>
        <w:pStyle w:val="BodyText"/>
        <w:spacing w:line="480" w:lineRule="auto"/>
        <w:ind w:left="820" w:right="114" w:firstLine="720"/>
        <w:jc w:val="both"/>
      </w:pPr>
      <w:r>
        <w:rPr/>
        <w:t>For the protection of lives and property of students and staff as well as to make the university campuses safe and conducive for teaching and learning, the services of security personnel are employed on all the campuses of the these Universities. As the structure of the universities is similar, the primary tradition of the security system and operation covered a wide range of responsibilities.</w:t>
      </w:r>
      <w:r>
        <w:rPr>
          <w:spacing w:val="40"/>
        </w:rPr>
        <w:t> </w:t>
      </w:r>
      <w:r>
        <w:rPr/>
        <w:t>These among others as spelt out in Student handbooks include;</w:t>
      </w:r>
    </w:p>
    <w:p>
      <w:pPr>
        <w:pStyle w:val="ListParagraph"/>
        <w:numPr>
          <w:ilvl w:val="0"/>
          <w:numId w:val="26"/>
        </w:numPr>
        <w:tabs>
          <w:tab w:pos="2260" w:val="left" w:leader="none"/>
        </w:tabs>
        <w:spacing w:line="480" w:lineRule="auto" w:before="0" w:after="0"/>
        <w:ind w:left="2260" w:right="125" w:hanging="360"/>
        <w:jc w:val="both"/>
        <w:rPr>
          <w:sz w:val="24"/>
        </w:rPr>
      </w:pPr>
      <w:r>
        <w:rPr>
          <w:sz w:val="24"/>
        </w:rPr>
        <w:t>Maintenance of law and order as well as sustenance of peaceful atmosphere that is conducive for the pursuit of academic activities.</w:t>
      </w:r>
    </w:p>
    <w:p>
      <w:pPr>
        <w:pStyle w:val="ListParagraph"/>
        <w:numPr>
          <w:ilvl w:val="0"/>
          <w:numId w:val="26"/>
        </w:numPr>
        <w:tabs>
          <w:tab w:pos="2260" w:val="left" w:leader="none"/>
        </w:tabs>
        <w:spacing w:line="480" w:lineRule="auto" w:before="0" w:after="0"/>
        <w:ind w:left="2260" w:right="127" w:hanging="360"/>
        <w:jc w:val="both"/>
        <w:rPr>
          <w:sz w:val="24"/>
        </w:rPr>
      </w:pPr>
      <w:r>
        <w:rPr>
          <w:sz w:val="24"/>
        </w:rPr>
        <w:t>Protection of lives and property and ensure that crime rate was brought to a manageable proportion.</w:t>
      </w:r>
    </w:p>
    <w:p>
      <w:pPr>
        <w:pStyle w:val="ListParagraph"/>
        <w:numPr>
          <w:ilvl w:val="0"/>
          <w:numId w:val="26"/>
        </w:numPr>
        <w:tabs>
          <w:tab w:pos="2260" w:val="left" w:leader="none"/>
        </w:tabs>
        <w:spacing w:line="480" w:lineRule="auto" w:before="0" w:after="0"/>
        <w:ind w:left="2260" w:right="118" w:hanging="360"/>
        <w:jc w:val="both"/>
        <w:rPr>
          <w:sz w:val="24"/>
        </w:rPr>
      </w:pPr>
      <w:r>
        <w:rPr>
          <w:sz w:val="24"/>
        </w:rPr>
        <w:t>Receiving reports and vital information on criminal activities and carryout investigations.</w:t>
      </w:r>
    </w:p>
    <w:p>
      <w:pPr>
        <w:pStyle w:val="ListParagraph"/>
        <w:numPr>
          <w:ilvl w:val="0"/>
          <w:numId w:val="26"/>
        </w:numPr>
        <w:tabs>
          <w:tab w:pos="2260" w:val="left" w:leader="none"/>
        </w:tabs>
        <w:spacing w:line="480" w:lineRule="auto" w:before="0" w:after="0"/>
        <w:ind w:left="2260" w:right="115" w:hanging="360"/>
        <w:jc w:val="both"/>
        <w:rPr>
          <w:sz w:val="24"/>
        </w:rPr>
      </w:pPr>
      <w:r>
        <w:rPr>
          <w:sz w:val="24"/>
        </w:rPr>
        <w:t>Issuance</w:t>
      </w:r>
      <w:r>
        <w:rPr>
          <w:spacing w:val="-3"/>
          <w:sz w:val="24"/>
        </w:rPr>
        <w:t> </w:t>
      </w:r>
      <w:r>
        <w:rPr>
          <w:sz w:val="24"/>
        </w:rPr>
        <w:t>of</w:t>
      </w:r>
      <w:r>
        <w:rPr>
          <w:spacing w:val="-4"/>
          <w:sz w:val="24"/>
        </w:rPr>
        <w:t> </w:t>
      </w:r>
      <w:r>
        <w:rPr>
          <w:sz w:val="24"/>
        </w:rPr>
        <w:t>identity cards to both staff and students, cover</w:t>
      </w:r>
      <w:r>
        <w:rPr>
          <w:spacing w:val="-2"/>
          <w:sz w:val="24"/>
        </w:rPr>
        <w:t> </w:t>
      </w:r>
      <w:r>
        <w:rPr>
          <w:sz w:val="24"/>
        </w:rPr>
        <w:t>notes</w:t>
      </w:r>
      <w:r>
        <w:rPr>
          <w:spacing w:val="-4"/>
          <w:sz w:val="24"/>
        </w:rPr>
        <w:t> </w:t>
      </w:r>
      <w:r>
        <w:rPr>
          <w:sz w:val="24"/>
        </w:rPr>
        <w:t>as records for lost items and documents as well as Gate Pass for lawful removal of genuine property through the university gates.</w:t>
      </w:r>
    </w:p>
    <w:p>
      <w:pPr>
        <w:spacing w:after="0" w:line="480" w:lineRule="auto"/>
        <w:jc w:val="both"/>
        <w:rPr>
          <w:sz w:val="24"/>
        </w:rPr>
        <w:sectPr>
          <w:headerReference w:type="default" r:id="rId152"/>
          <w:footerReference w:type="default" r:id="rId153"/>
          <w:pgSz w:w="12240" w:h="15840"/>
          <w:pgMar w:header="722" w:footer="791" w:top="1340" w:bottom="980" w:left="1340" w:right="1320"/>
        </w:sectPr>
      </w:pPr>
    </w:p>
    <w:p>
      <w:pPr>
        <w:pStyle w:val="ListParagraph"/>
        <w:numPr>
          <w:ilvl w:val="0"/>
          <w:numId w:val="26"/>
        </w:numPr>
        <w:tabs>
          <w:tab w:pos="2260" w:val="left" w:leader="none"/>
        </w:tabs>
        <w:spacing w:line="480" w:lineRule="auto" w:before="89" w:after="0"/>
        <w:ind w:left="2260" w:right="117" w:hanging="360"/>
        <w:jc w:val="both"/>
        <w:rPr>
          <w:sz w:val="24"/>
        </w:rPr>
      </w:pPr>
      <w:r>
        <w:rPr>
          <w:sz w:val="24"/>
        </w:rPr>
        <w:t>Taking lawful and temporary custody of private property and</w:t>
      </w:r>
      <w:r>
        <w:rPr>
          <w:spacing w:val="40"/>
          <w:sz w:val="24"/>
        </w:rPr>
        <w:t> </w:t>
      </w:r>
      <w:r>
        <w:rPr>
          <w:sz w:val="24"/>
        </w:rPr>
        <w:t>release of same when desired by the owners.</w:t>
      </w:r>
      <w:r>
        <w:rPr>
          <w:spacing w:val="-2"/>
          <w:sz w:val="24"/>
        </w:rPr>
        <w:t> </w:t>
      </w:r>
      <w:r>
        <w:rPr>
          <w:sz w:val="24"/>
        </w:rPr>
        <w:t>Seize stolen items or ones suspected to be stolen and to the rightful owners on proper </w:t>
      </w:r>
      <w:r>
        <w:rPr>
          <w:spacing w:val="-2"/>
          <w:sz w:val="24"/>
        </w:rPr>
        <w:t>identification.</w:t>
      </w:r>
    </w:p>
    <w:p>
      <w:pPr>
        <w:pStyle w:val="ListParagraph"/>
        <w:numPr>
          <w:ilvl w:val="0"/>
          <w:numId w:val="26"/>
        </w:numPr>
        <w:tabs>
          <w:tab w:pos="2259" w:val="left" w:leader="none"/>
        </w:tabs>
        <w:spacing w:line="240" w:lineRule="auto" w:before="0" w:after="0"/>
        <w:ind w:left="2259" w:right="0" w:hanging="359"/>
        <w:jc w:val="both"/>
        <w:rPr>
          <w:sz w:val="24"/>
        </w:rPr>
      </w:pPr>
      <w:r>
        <w:rPr>
          <w:sz w:val="24"/>
        </w:rPr>
        <w:t>Arrest</w:t>
      </w:r>
      <w:r>
        <w:rPr>
          <w:spacing w:val="-7"/>
          <w:sz w:val="24"/>
        </w:rPr>
        <w:t> </w:t>
      </w:r>
      <w:r>
        <w:rPr>
          <w:sz w:val="24"/>
        </w:rPr>
        <w:t>and</w:t>
      </w:r>
      <w:r>
        <w:rPr>
          <w:spacing w:val="-9"/>
          <w:sz w:val="24"/>
        </w:rPr>
        <w:t> </w:t>
      </w:r>
      <w:r>
        <w:rPr>
          <w:sz w:val="24"/>
        </w:rPr>
        <w:t>detain</w:t>
      </w:r>
      <w:r>
        <w:rPr>
          <w:spacing w:val="-6"/>
          <w:sz w:val="24"/>
        </w:rPr>
        <w:t> </w:t>
      </w:r>
      <w:r>
        <w:rPr>
          <w:sz w:val="24"/>
        </w:rPr>
        <w:t>suspects</w:t>
      </w:r>
      <w:r>
        <w:rPr>
          <w:spacing w:val="-6"/>
          <w:sz w:val="24"/>
        </w:rPr>
        <w:t> </w:t>
      </w:r>
      <w:r>
        <w:rPr>
          <w:sz w:val="24"/>
        </w:rPr>
        <w:t>and</w:t>
      </w:r>
      <w:r>
        <w:rPr>
          <w:spacing w:val="-6"/>
          <w:sz w:val="24"/>
        </w:rPr>
        <w:t> </w:t>
      </w:r>
      <w:r>
        <w:rPr>
          <w:sz w:val="24"/>
        </w:rPr>
        <w:t>criminals</w:t>
      </w:r>
      <w:r>
        <w:rPr>
          <w:spacing w:val="-6"/>
          <w:sz w:val="24"/>
        </w:rPr>
        <w:t> </w:t>
      </w:r>
      <w:r>
        <w:rPr>
          <w:sz w:val="24"/>
        </w:rPr>
        <w:t>for</w:t>
      </w:r>
      <w:r>
        <w:rPr>
          <w:spacing w:val="-9"/>
          <w:sz w:val="24"/>
        </w:rPr>
        <w:t> </w:t>
      </w:r>
      <w:r>
        <w:rPr>
          <w:spacing w:val="-2"/>
          <w:sz w:val="24"/>
        </w:rPr>
        <w:t>interrogations.</w:t>
      </w:r>
    </w:p>
    <w:p>
      <w:pPr>
        <w:pStyle w:val="BodyText"/>
      </w:pPr>
    </w:p>
    <w:p>
      <w:pPr>
        <w:pStyle w:val="ListParagraph"/>
        <w:numPr>
          <w:ilvl w:val="0"/>
          <w:numId w:val="26"/>
        </w:numPr>
        <w:tabs>
          <w:tab w:pos="2259" w:val="left" w:leader="none"/>
        </w:tabs>
        <w:spacing w:line="240" w:lineRule="auto" w:before="0" w:after="0"/>
        <w:ind w:left="2259" w:right="0" w:hanging="359"/>
        <w:jc w:val="both"/>
        <w:rPr>
          <w:sz w:val="24"/>
        </w:rPr>
      </w:pPr>
      <w:r>
        <w:rPr>
          <w:sz w:val="24"/>
        </w:rPr>
        <w:t>Fighting</w:t>
      </w:r>
      <w:r>
        <w:rPr>
          <w:spacing w:val="-6"/>
          <w:sz w:val="24"/>
        </w:rPr>
        <w:t> </w:t>
      </w:r>
      <w:r>
        <w:rPr>
          <w:sz w:val="24"/>
        </w:rPr>
        <w:t>fire</w:t>
      </w:r>
      <w:r>
        <w:rPr>
          <w:spacing w:val="-5"/>
          <w:sz w:val="24"/>
        </w:rPr>
        <w:t> </w:t>
      </w:r>
      <w:r>
        <w:rPr>
          <w:sz w:val="24"/>
        </w:rPr>
        <w:t>and</w:t>
      </w:r>
      <w:r>
        <w:rPr>
          <w:spacing w:val="-9"/>
          <w:sz w:val="24"/>
        </w:rPr>
        <w:t> </w:t>
      </w:r>
      <w:r>
        <w:rPr>
          <w:sz w:val="24"/>
        </w:rPr>
        <w:t>its</w:t>
      </w:r>
      <w:r>
        <w:rPr>
          <w:spacing w:val="-7"/>
          <w:sz w:val="24"/>
        </w:rPr>
        <w:t> </w:t>
      </w:r>
      <w:r>
        <w:rPr>
          <w:sz w:val="24"/>
        </w:rPr>
        <w:t>spread</w:t>
      </w:r>
      <w:r>
        <w:rPr>
          <w:spacing w:val="-5"/>
          <w:sz w:val="24"/>
        </w:rPr>
        <w:t> </w:t>
      </w:r>
      <w:r>
        <w:rPr>
          <w:sz w:val="24"/>
        </w:rPr>
        <w:t>within</w:t>
      </w:r>
      <w:r>
        <w:rPr>
          <w:spacing w:val="-5"/>
          <w:sz w:val="24"/>
        </w:rPr>
        <w:t> </w:t>
      </w:r>
      <w:r>
        <w:rPr>
          <w:sz w:val="24"/>
        </w:rPr>
        <w:t>the</w:t>
      </w:r>
      <w:r>
        <w:rPr>
          <w:spacing w:val="-6"/>
          <w:sz w:val="24"/>
        </w:rPr>
        <w:t> </w:t>
      </w:r>
      <w:r>
        <w:rPr>
          <w:sz w:val="24"/>
        </w:rPr>
        <w:t>campus</w:t>
      </w:r>
      <w:r>
        <w:rPr>
          <w:spacing w:val="-6"/>
          <w:sz w:val="24"/>
        </w:rPr>
        <w:t> </w:t>
      </w:r>
      <w:r>
        <w:rPr>
          <w:sz w:val="24"/>
        </w:rPr>
        <w:t>and</w:t>
      </w:r>
      <w:r>
        <w:rPr>
          <w:spacing w:val="-6"/>
          <w:sz w:val="24"/>
        </w:rPr>
        <w:t> </w:t>
      </w:r>
      <w:r>
        <w:rPr>
          <w:sz w:val="24"/>
        </w:rPr>
        <w:t>staff</w:t>
      </w:r>
      <w:r>
        <w:rPr>
          <w:spacing w:val="-10"/>
          <w:sz w:val="24"/>
        </w:rPr>
        <w:t> </w:t>
      </w:r>
      <w:r>
        <w:rPr>
          <w:spacing w:val="-2"/>
          <w:sz w:val="24"/>
        </w:rPr>
        <w:t>quarters.</w:t>
      </w:r>
    </w:p>
    <w:p>
      <w:pPr>
        <w:pStyle w:val="BodyText"/>
      </w:pPr>
    </w:p>
    <w:p>
      <w:pPr>
        <w:pStyle w:val="ListParagraph"/>
        <w:numPr>
          <w:ilvl w:val="0"/>
          <w:numId w:val="26"/>
        </w:numPr>
        <w:tabs>
          <w:tab w:pos="2259" w:val="left" w:leader="none"/>
        </w:tabs>
        <w:spacing w:line="240" w:lineRule="auto" w:before="0" w:after="0"/>
        <w:ind w:left="2259" w:right="0" w:hanging="359"/>
        <w:jc w:val="both"/>
        <w:rPr>
          <w:sz w:val="24"/>
        </w:rPr>
      </w:pPr>
      <w:r>
        <w:rPr>
          <w:sz w:val="24"/>
        </w:rPr>
        <w:t>Effective</w:t>
      </w:r>
      <w:r>
        <w:rPr>
          <w:spacing w:val="-9"/>
          <w:sz w:val="24"/>
        </w:rPr>
        <w:t> </w:t>
      </w:r>
      <w:r>
        <w:rPr>
          <w:sz w:val="24"/>
        </w:rPr>
        <w:t>patrol</w:t>
      </w:r>
      <w:r>
        <w:rPr>
          <w:spacing w:val="-7"/>
          <w:sz w:val="24"/>
        </w:rPr>
        <w:t> </w:t>
      </w:r>
      <w:r>
        <w:rPr>
          <w:sz w:val="24"/>
        </w:rPr>
        <w:t>of</w:t>
      </w:r>
      <w:r>
        <w:rPr>
          <w:spacing w:val="-6"/>
          <w:sz w:val="24"/>
        </w:rPr>
        <w:t> </w:t>
      </w:r>
      <w:r>
        <w:rPr>
          <w:sz w:val="24"/>
        </w:rPr>
        <w:t>the</w:t>
      </w:r>
      <w:r>
        <w:rPr>
          <w:spacing w:val="-5"/>
          <w:sz w:val="24"/>
        </w:rPr>
        <w:t> </w:t>
      </w:r>
      <w:r>
        <w:rPr>
          <w:sz w:val="24"/>
        </w:rPr>
        <w:t>campuses</w:t>
      </w:r>
      <w:r>
        <w:rPr>
          <w:spacing w:val="-6"/>
          <w:sz w:val="24"/>
        </w:rPr>
        <w:t> </w:t>
      </w:r>
      <w:r>
        <w:rPr>
          <w:sz w:val="24"/>
        </w:rPr>
        <w:t>to</w:t>
      </w:r>
      <w:r>
        <w:rPr>
          <w:spacing w:val="-5"/>
          <w:sz w:val="24"/>
        </w:rPr>
        <w:t> </w:t>
      </w:r>
      <w:r>
        <w:rPr>
          <w:sz w:val="24"/>
        </w:rPr>
        <w:t>detect</w:t>
      </w:r>
      <w:r>
        <w:rPr>
          <w:spacing w:val="-7"/>
          <w:sz w:val="24"/>
        </w:rPr>
        <w:t> </w:t>
      </w:r>
      <w:r>
        <w:rPr>
          <w:spacing w:val="-2"/>
          <w:sz w:val="24"/>
        </w:rPr>
        <w:t>crimes.</w:t>
      </w:r>
    </w:p>
    <w:p>
      <w:pPr>
        <w:pStyle w:val="BodyText"/>
      </w:pPr>
    </w:p>
    <w:p>
      <w:pPr>
        <w:pStyle w:val="BodyText"/>
        <w:spacing w:line="480" w:lineRule="auto"/>
        <w:ind w:left="820" w:right="118" w:firstLine="720"/>
        <w:jc w:val="both"/>
      </w:pPr>
      <w:r>
        <w:rPr/>
        <w:t>For effective security service on campus a well networked communication is essential. This package should have a free and favourable flow of information from the Management to the Security Division down to the students.</w:t>
      </w:r>
    </w:p>
    <w:p>
      <w:pPr>
        <w:pStyle w:val="BodyText"/>
        <w:spacing w:line="480" w:lineRule="auto"/>
        <w:ind w:left="820" w:right="117" w:firstLine="720"/>
        <w:jc w:val="both"/>
      </w:pPr>
      <w:r>
        <w:rPr/>
        <w:t>There should be usually twenty-four hour security service at important points or posts of the campus. At the gate there should be information centers from where visitors or new students introduce themselves to security men on</w:t>
      </w:r>
      <w:r>
        <w:rPr>
          <w:spacing w:val="40"/>
        </w:rPr>
        <w:t> </w:t>
      </w:r>
      <w:r>
        <w:rPr/>
        <w:t>duty for assistance, and guidance. And to promote the smooth effective and express communication, the universities should provide communication gadgets like walkie talkie, telephones and even handsets. This device make the security, the</w:t>
      </w:r>
      <w:r>
        <w:rPr>
          <w:spacing w:val="-1"/>
        </w:rPr>
        <w:t> </w:t>
      </w:r>
      <w:r>
        <w:rPr/>
        <w:t>student</w:t>
      </w:r>
      <w:r>
        <w:rPr>
          <w:spacing w:val="-2"/>
        </w:rPr>
        <w:t> </w:t>
      </w:r>
      <w:r>
        <w:rPr/>
        <w:t>and</w:t>
      </w:r>
      <w:r>
        <w:rPr>
          <w:spacing w:val="-1"/>
        </w:rPr>
        <w:t> </w:t>
      </w:r>
      <w:r>
        <w:rPr/>
        <w:t>staff</w:t>
      </w:r>
      <w:r>
        <w:rPr>
          <w:spacing w:val="-2"/>
        </w:rPr>
        <w:t> </w:t>
      </w:r>
      <w:r>
        <w:rPr/>
        <w:t>move</w:t>
      </w:r>
      <w:r>
        <w:rPr>
          <w:spacing w:val="-1"/>
        </w:rPr>
        <w:t> </w:t>
      </w:r>
      <w:r>
        <w:rPr/>
        <w:t>about</w:t>
      </w:r>
      <w:r>
        <w:rPr>
          <w:spacing w:val="-2"/>
        </w:rPr>
        <w:t> </w:t>
      </w:r>
      <w:r>
        <w:rPr/>
        <w:t>freer,</w:t>
      </w:r>
      <w:r>
        <w:rPr>
          <w:spacing w:val="-2"/>
        </w:rPr>
        <w:t> </w:t>
      </w:r>
      <w:r>
        <w:rPr/>
        <w:t>more</w:t>
      </w:r>
      <w:r>
        <w:rPr>
          <w:spacing w:val="-1"/>
        </w:rPr>
        <w:t> </w:t>
      </w:r>
      <w:r>
        <w:rPr/>
        <w:t>confident</w:t>
      </w:r>
      <w:r>
        <w:rPr>
          <w:spacing w:val="-2"/>
        </w:rPr>
        <w:t> </w:t>
      </w:r>
      <w:r>
        <w:rPr/>
        <w:t>and</w:t>
      </w:r>
      <w:r>
        <w:rPr>
          <w:spacing w:val="-1"/>
        </w:rPr>
        <w:t> </w:t>
      </w:r>
      <w:r>
        <w:rPr/>
        <w:t>enlightened</w:t>
      </w:r>
      <w:r>
        <w:rPr>
          <w:spacing w:val="-1"/>
        </w:rPr>
        <w:t> </w:t>
      </w:r>
      <w:r>
        <w:rPr/>
        <w:t>about</w:t>
      </w:r>
      <w:r>
        <w:rPr>
          <w:spacing w:val="-2"/>
        </w:rPr>
        <w:t> </w:t>
      </w:r>
      <w:r>
        <w:rPr/>
        <w:t>the campus life.</w:t>
      </w:r>
    </w:p>
    <w:p>
      <w:pPr>
        <w:pStyle w:val="Heading2"/>
        <w:numPr>
          <w:ilvl w:val="3"/>
          <w:numId w:val="19"/>
        </w:numPr>
        <w:tabs>
          <w:tab w:pos="1179" w:val="left" w:leader="none"/>
        </w:tabs>
        <w:spacing w:line="318" w:lineRule="exact" w:before="0" w:after="0"/>
        <w:ind w:left="1179" w:right="0" w:hanging="1079"/>
        <w:jc w:val="left"/>
      </w:pPr>
      <w:bookmarkStart w:name="_TOC_250043" w:id="25"/>
      <w:r>
        <w:rPr/>
        <w:t>Transportation</w:t>
      </w:r>
      <w:r>
        <w:rPr>
          <w:spacing w:val="-15"/>
        </w:rPr>
        <w:t> </w:t>
      </w:r>
      <w:bookmarkEnd w:id="25"/>
      <w:r>
        <w:rPr>
          <w:spacing w:val="-2"/>
        </w:rPr>
        <w:t>services</w:t>
      </w:r>
    </w:p>
    <w:p>
      <w:pPr>
        <w:pStyle w:val="BodyText"/>
        <w:spacing w:before="3"/>
        <w:rPr>
          <w:rFonts w:ascii="Arial"/>
          <w:b/>
          <w:sz w:val="28"/>
        </w:rPr>
      </w:pPr>
    </w:p>
    <w:p>
      <w:pPr>
        <w:pStyle w:val="BodyText"/>
        <w:spacing w:line="480" w:lineRule="auto"/>
        <w:ind w:left="820" w:right="118" w:firstLine="720"/>
        <w:jc w:val="both"/>
      </w:pPr>
      <w:r>
        <w:rPr/>
        <w:t>Transportation in the context of this study means all the necessary ways and means used to enable the students move from one place to another in the course of the pursuit of their studies. Most of the universities operate on two or more</w:t>
      </w:r>
      <w:r>
        <w:rPr>
          <w:spacing w:val="27"/>
        </w:rPr>
        <w:t> </w:t>
      </w:r>
      <w:r>
        <w:rPr/>
        <w:t>campus</w:t>
      </w:r>
      <w:r>
        <w:rPr>
          <w:spacing w:val="26"/>
        </w:rPr>
        <w:t> </w:t>
      </w:r>
      <w:r>
        <w:rPr/>
        <w:t>or</w:t>
      </w:r>
      <w:r>
        <w:rPr>
          <w:spacing w:val="27"/>
        </w:rPr>
        <w:t> </w:t>
      </w:r>
      <w:r>
        <w:rPr/>
        <w:t>a</w:t>
      </w:r>
      <w:r>
        <w:rPr>
          <w:spacing w:val="27"/>
        </w:rPr>
        <w:t> </w:t>
      </w:r>
      <w:r>
        <w:rPr/>
        <w:t>large</w:t>
      </w:r>
      <w:r>
        <w:rPr>
          <w:spacing w:val="28"/>
        </w:rPr>
        <w:t> </w:t>
      </w:r>
      <w:r>
        <w:rPr/>
        <w:t>campus</w:t>
      </w:r>
      <w:r>
        <w:rPr>
          <w:spacing w:val="31"/>
        </w:rPr>
        <w:t> </w:t>
      </w:r>
      <w:r>
        <w:rPr/>
        <w:t>where</w:t>
      </w:r>
      <w:r>
        <w:rPr>
          <w:spacing w:val="27"/>
        </w:rPr>
        <w:t> </w:t>
      </w:r>
      <w:r>
        <w:rPr/>
        <w:t>boarding</w:t>
      </w:r>
      <w:r>
        <w:rPr>
          <w:spacing w:val="27"/>
        </w:rPr>
        <w:t> </w:t>
      </w:r>
      <w:r>
        <w:rPr/>
        <w:t>areas</w:t>
      </w:r>
      <w:r>
        <w:rPr>
          <w:spacing w:val="26"/>
        </w:rPr>
        <w:t> </w:t>
      </w:r>
      <w:r>
        <w:rPr/>
        <w:t>are</w:t>
      </w:r>
      <w:r>
        <w:rPr>
          <w:spacing w:val="28"/>
        </w:rPr>
        <w:t> </w:t>
      </w:r>
      <w:r>
        <w:rPr/>
        <w:t>far</w:t>
      </w:r>
      <w:r>
        <w:rPr>
          <w:spacing w:val="27"/>
        </w:rPr>
        <w:t> </w:t>
      </w:r>
      <w:r>
        <w:rPr/>
        <w:t>from</w:t>
      </w:r>
      <w:r>
        <w:rPr>
          <w:spacing w:val="19"/>
        </w:rPr>
        <w:t> </w:t>
      </w:r>
      <w:r>
        <w:rPr>
          <w:spacing w:val="-2"/>
        </w:rPr>
        <w:t>academic</w:t>
      </w:r>
    </w:p>
    <w:p>
      <w:pPr>
        <w:spacing w:after="0" w:line="480" w:lineRule="auto"/>
        <w:jc w:val="both"/>
        <w:sectPr>
          <w:headerReference w:type="default" r:id="rId154"/>
          <w:footerReference w:type="default" r:id="rId155"/>
          <w:pgSz w:w="12240" w:h="15840"/>
          <w:pgMar w:header="722" w:footer="791" w:top="1340" w:bottom="980" w:left="1340" w:right="1320"/>
        </w:sectPr>
      </w:pPr>
    </w:p>
    <w:p>
      <w:pPr>
        <w:pStyle w:val="BodyText"/>
        <w:spacing w:line="480" w:lineRule="auto" w:before="89"/>
        <w:ind w:left="820" w:right="115"/>
        <w:jc w:val="both"/>
      </w:pPr>
      <w:r>
        <w:rPr/>
        <w:t>and other service buildings and students have fear of covering considerable distance to the academic areas.</w:t>
      </w:r>
    </w:p>
    <w:p>
      <w:pPr>
        <w:pStyle w:val="BodyText"/>
        <w:spacing w:line="480" w:lineRule="auto"/>
        <w:ind w:left="820" w:right="114" w:firstLine="720"/>
        <w:jc w:val="both"/>
      </w:pPr>
      <w:r>
        <w:rPr/>
        <w:t>Although as maintained by Usmanu Dan Fodiyo University, Sokoto (Students Handbook 2003:55), Nigerian Universities in general do not have sole responsibility of providing students’ transportation for movement within the campus and beyond. It is necessary that transportation arrangements are facilitated by the university to bring in private transport associations like the Okadas, Bus or Taxi service schemes/associations to operate on campuses with maximum control. Absence of such arrangement can likely cause unnecessary suffering to students. The crisis at University of Benin in 1976 according to Ojo (1995:19) was precipitated by the students’ dissatisfaction over the intra-campus bus service. For instance in the Usmanu Dan Fodiyo University, there is the University Bus Management Committee which coordinates students’ transport service in liaison with the University Transport Unit particularly, for field trips. Such arrangements should be made in other universities so that students can conduct their field practicals with less stress.</w:t>
      </w:r>
    </w:p>
    <w:p>
      <w:pPr>
        <w:pStyle w:val="BodyText"/>
        <w:spacing w:line="480" w:lineRule="auto"/>
        <w:ind w:left="820" w:right="116" w:firstLine="720"/>
        <w:jc w:val="both"/>
      </w:pPr>
      <w:r>
        <w:rPr/>
        <w:t>In Universities like the University of Western Sydney, based on Internet information, 2006.</w:t>
      </w:r>
      <w:r>
        <w:rPr>
          <w:spacing w:val="80"/>
        </w:rPr>
        <w:t> </w:t>
      </w:r>
      <w:r>
        <w:rPr/>
        <w:t>Students Unions organize and run shuttle buses on campuses. Time tables are usually provided at the student centers. Concession travels are also arranged for students wishing to travel by car, air and train outside the university.</w:t>
      </w:r>
    </w:p>
    <w:p>
      <w:pPr>
        <w:pStyle w:val="BodyText"/>
        <w:spacing w:line="480" w:lineRule="auto" w:before="1"/>
        <w:ind w:left="820" w:right="123" w:firstLine="720"/>
        <w:jc w:val="both"/>
      </w:pPr>
      <w:r>
        <w:rPr/>
        <w:t>Students who are from richer financial background often have their own cars,</w:t>
      </w:r>
      <w:r>
        <w:rPr>
          <w:spacing w:val="16"/>
        </w:rPr>
        <w:t> </w:t>
      </w:r>
      <w:r>
        <w:rPr/>
        <w:t>motorbikes</w:t>
      </w:r>
      <w:r>
        <w:rPr>
          <w:spacing w:val="16"/>
        </w:rPr>
        <w:t> </w:t>
      </w:r>
      <w:r>
        <w:rPr/>
        <w:t>and</w:t>
      </w:r>
      <w:r>
        <w:rPr>
          <w:spacing w:val="18"/>
        </w:rPr>
        <w:t> </w:t>
      </w:r>
      <w:r>
        <w:rPr/>
        <w:t>even</w:t>
      </w:r>
      <w:r>
        <w:rPr>
          <w:spacing w:val="17"/>
        </w:rPr>
        <w:t> </w:t>
      </w:r>
      <w:r>
        <w:rPr/>
        <w:t>bicycles,</w:t>
      </w:r>
      <w:r>
        <w:rPr>
          <w:spacing w:val="17"/>
        </w:rPr>
        <w:t> </w:t>
      </w:r>
      <w:r>
        <w:rPr/>
        <w:t>which</w:t>
      </w:r>
      <w:r>
        <w:rPr>
          <w:spacing w:val="17"/>
        </w:rPr>
        <w:t> </w:t>
      </w:r>
      <w:r>
        <w:rPr/>
        <w:t>they</w:t>
      </w:r>
      <w:r>
        <w:rPr>
          <w:spacing w:val="17"/>
        </w:rPr>
        <w:t> </w:t>
      </w:r>
      <w:r>
        <w:rPr/>
        <w:t>use</w:t>
      </w:r>
      <w:r>
        <w:rPr>
          <w:spacing w:val="17"/>
        </w:rPr>
        <w:t> </w:t>
      </w:r>
      <w:r>
        <w:rPr/>
        <w:t>for</w:t>
      </w:r>
      <w:r>
        <w:rPr>
          <w:spacing w:val="18"/>
        </w:rPr>
        <w:t> </w:t>
      </w:r>
      <w:r>
        <w:rPr/>
        <w:t>personal</w:t>
      </w:r>
      <w:r>
        <w:rPr>
          <w:spacing w:val="21"/>
        </w:rPr>
        <w:t> </w:t>
      </w:r>
      <w:r>
        <w:rPr>
          <w:spacing w:val="-2"/>
        </w:rPr>
        <w:t>transportation.</w:t>
      </w:r>
    </w:p>
    <w:p>
      <w:pPr>
        <w:spacing w:after="0" w:line="480" w:lineRule="auto"/>
        <w:jc w:val="both"/>
        <w:sectPr>
          <w:headerReference w:type="default" r:id="rId156"/>
          <w:footerReference w:type="default" r:id="rId157"/>
          <w:pgSz w:w="12240" w:h="15840"/>
          <w:pgMar w:header="722" w:footer="791" w:top="1340" w:bottom="980" w:left="1340" w:right="1320"/>
        </w:sectPr>
      </w:pPr>
    </w:p>
    <w:p>
      <w:pPr>
        <w:pStyle w:val="BodyText"/>
        <w:spacing w:line="480" w:lineRule="auto" w:before="89"/>
        <w:ind w:left="820" w:right="94"/>
      </w:pPr>
      <w:r>
        <w:rPr/>
        <w:t>To</w:t>
      </w:r>
      <w:r>
        <w:rPr>
          <w:spacing w:val="78"/>
        </w:rPr>
        <w:t> </w:t>
      </w:r>
      <w:r>
        <w:rPr/>
        <w:t>such</w:t>
      </w:r>
      <w:r>
        <w:rPr>
          <w:spacing w:val="74"/>
        </w:rPr>
        <w:t> </w:t>
      </w:r>
      <w:r>
        <w:rPr/>
        <w:t>persons</w:t>
      </w:r>
      <w:r>
        <w:rPr>
          <w:spacing w:val="77"/>
        </w:rPr>
        <w:t> </w:t>
      </w:r>
      <w:r>
        <w:rPr/>
        <w:t>the</w:t>
      </w:r>
      <w:r>
        <w:rPr>
          <w:spacing w:val="78"/>
        </w:rPr>
        <w:t> </w:t>
      </w:r>
      <w:r>
        <w:rPr/>
        <w:t>Universities</w:t>
      </w:r>
      <w:r>
        <w:rPr>
          <w:spacing w:val="72"/>
        </w:rPr>
        <w:t> </w:t>
      </w:r>
      <w:r>
        <w:rPr/>
        <w:t>do</w:t>
      </w:r>
      <w:r>
        <w:rPr>
          <w:spacing w:val="73"/>
        </w:rPr>
        <w:t> </w:t>
      </w:r>
      <w:r>
        <w:rPr/>
        <w:t>arrange</w:t>
      </w:r>
      <w:r>
        <w:rPr>
          <w:spacing w:val="78"/>
        </w:rPr>
        <w:t> </w:t>
      </w:r>
      <w:r>
        <w:rPr/>
        <w:t>for</w:t>
      </w:r>
      <w:r>
        <w:rPr>
          <w:spacing w:val="80"/>
        </w:rPr>
        <w:t> </w:t>
      </w:r>
      <w:r>
        <w:rPr/>
        <w:t>parking</w:t>
      </w:r>
      <w:r>
        <w:rPr>
          <w:spacing w:val="78"/>
        </w:rPr>
        <w:t> </w:t>
      </w:r>
      <w:r>
        <w:rPr/>
        <w:t>spaces</w:t>
      </w:r>
      <w:r>
        <w:rPr>
          <w:spacing w:val="77"/>
        </w:rPr>
        <w:t> </w:t>
      </w:r>
      <w:r>
        <w:rPr/>
        <w:t>for</w:t>
      </w:r>
      <w:r>
        <w:rPr>
          <w:spacing w:val="79"/>
        </w:rPr>
        <w:t> </w:t>
      </w:r>
      <w:r>
        <w:rPr/>
        <w:t>them, although at their own risks, should security surveillance fail.</w:t>
      </w:r>
    </w:p>
    <w:p>
      <w:pPr>
        <w:pStyle w:val="Heading2"/>
        <w:numPr>
          <w:ilvl w:val="3"/>
          <w:numId w:val="19"/>
        </w:numPr>
        <w:tabs>
          <w:tab w:pos="1105" w:val="left" w:leader="none"/>
        </w:tabs>
        <w:spacing w:line="318" w:lineRule="exact" w:before="0" w:after="0"/>
        <w:ind w:left="1105" w:right="0" w:hanging="1005"/>
        <w:jc w:val="left"/>
      </w:pPr>
      <w:bookmarkStart w:name="_TOC_250042" w:id="26"/>
      <w:r>
        <w:rPr/>
        <w:t>Religious</w:t>
      </w:r>
      <w:r>
        <w:rPr>
          <w:spacing w:val="-9"/>
        </w:rPr>
        <w:t> </w:t>
      </w:r>
      <w:bookmarkEnd w:id="26"/>
      <w:r>
        <w:rPr>
          <w:spacing w:val="-2"/>
        </w:rPr>
        <w:t>services</w:t>
      </w:r>
    </w:p>
    <w:p>
      <w:pPr>
        <w:pStyle w:val="BodyText"/>
        <w:spacing w:before="3"/>
        <w:rPr>
          <w:rFonts w:ascii="Arial"/>
          <w:b/>
          <w:sz w:val="28"/>
        </w:rPr>
      </w:pPr>
    </w:p>
    <w:p>
      <w:pPr>
        <w:pStyle w:val="BodyText"/>
        <w:spacing w:line="480" w:lineRule="auto"/>
        <w:ind w:left="820" w:right="114" w:firstLine="720"/>
        <w:jc w:val="both"/>
      </w:pPr>
      <w:r>
        <w:rPr/>
        <w:t>As Christianity</w:t>
      </w:r>
      <w:r>
        <w:rPr>
          <w:spacing w:val="-2"/>
        </w:rPr>
        <w:t> </w:t>
      </w:r>
      <w:r>
        <w:rPr/>
        <w:t>and Islam</w:t>
      </w:r>
      <w:r>
        <w:rPr>
          <w:spacing w:val="-5"/>
        </w:rPr>
        <w:t> </w:t>
      </w:r>
      <w:r>
        <w:rPr/>
        <w:t>are the predominantly recognized</w:t>
      </w:r>
      <w:r>
        <w:rPr>
          <w:spacing w:val="-1"/>
        </w:rPr>
        <w:t> </w:t>
      </w:r>
      <w:r>
        <w:rPr/>
        <w:t>beliefs</w:t>
      </w:r>
      <w:r>
        <w:rPr>
          <w:spacing w:val="-2"/>
        </w:rPr>
        <w:t> </w:t>
      </w:r>
      <w:r>
        <w:rPr/>
        <w:t>in most part of the three zones, the universities have also recognized the importance of religious beliefs in moulding the moral character of the individuals. Hence in the universities sampled for this study the respective management has allowed the full practice by providing the places of worship. These are Chapels, Churches for Christians and Mosques for Moslems with resident Chaplain and Imam. There</w:t>
      </w:r>
      <w:r>
        <w:rPr>
          <w:spacing w:val="40"/>
        </w:rPr>
        <w:t> </w:t>
      </w:r>
      <w:r>
        <w:rPr/>
        <w:t>are also religious societies as Christian Students’ Society (CSS) and Moslem Students’ Society (MSS) to which students become members. The universities have also included religious studies in the curriculum and students offer and major in them, at Bachelors and even Doctorate (Ph.D) level.</w:t>
      </w:r>
    </w:p>
    <w:p>
      <w:pPr>
        <w:pStyle w:val="Heading2"/>
        <w:numPr>
          <w:ilvl w:val="3"/>
          <w:numId w:val="19"/>
        </w:numPr>
        <w:tabs>
          <w:tab w:pos="1539" w:val="left" w:leader="none"/>
        </w:tabs>
        <w:spacing w:line="319" w:lineRule="exact" w:before="0" w:after="0"/>
        <w:ind w:left="1539" w:right="0" w:hanging="1439"/>
        <w:jc w:val="left"/>
      </w:pPr>
      <w:bookmarkStart w:name="_TOC_250041" w:id="27"/>
      <w:r>
        <w:rPr/>
        <w:t>Banking</w:t>
      </w:r>
      <w:r>
        <w:rPr>
          <w:spacing w:val="-6"/>
        </w:rPr>
        <w:t> </w:t>
      </w:r>
      <w:r>
        <w:rPr/>
        <w:t>and</w:t>
      </w:r>
      <w:r>
        <w:rPr>
          <w:spacing w:val="-6"/>
        </w:rPr>
        <w:t> </w:t>
      </w:r>
      <w:r>
        <w:rPr/>
        <w:t>other</w:t>
      </w:r>
      <w:r>
        <w:rPr>
          <w:spacing w:val="-3"/>
        </w:rPr>
        <w:t> </w:t>
      </w:r>
      <w:bookmarkEnd w:id="27"/>
      <w:r>
        <w:rPr>
          <w:spacing w:val="-2"/>
        </w:rPr>
        <w:t>services</w:t>
      </w:r>
    </w:p>
    <w:p>
      <w:pPr>
        <w:pStyle w:val="BodyText"/>
        <w:spacing w:before="3"/>
        <w:rPr>
          <w:rFonts w:ascii="Arial"/>
          <w:b/>
          <w:sz w:val="28"/>
        </w:rPr>
      </w:pPr>
    </w:p>
    <w:p>
      <w:pPr>
        <w:pStyle w:val="BodyText"/>
        <w:spacing w:line="480" w:lineRule="auto"/>
        <w:ind w:left="820" w:right="116" w:firstLine="720"/>
        <w:jc w:val="both"/>
      </w:pPr>
      <w:r>
        <w:rPr/>
        <w:t>To give students maximum monitoring, security and safeguard the university communities from rampant cases of theft and armed robbery, most universities have made provision for banking services on the campus. Some operate Community Banks while others have branches of the Nigerian conventional banks on or near their campus.</w:t>
      </w:r>
    </w:p>
    <w:p>
      <w:pPr>
        <w:pStyle w:val="BodyText"/>
        <w:spacing w:line="480" w:lineRule="auto"/>
        <w:ind w:left="820" w:right="117" w:firstLine="720"/>
        <w:jc w:val="both"/>
      </w:pPr>
      <w:r>
        <w:rPr/>
        <w:t>The students are encouraged to open savings accounts or bank transfer </w:t>
      </w:r>
      <w:r>
        <w:rPr>
          <w:spacing w:val="-2"/>
        </w:rPr>
        <w:t>facilities.</w:t>
      </w:r>
    </w:p>
    <w:p>
      <w:pPr>
        <w:pStyle w:val="BodyText"/>
        <w:spacing w:line="480" w:lineRule="auto"/>
        <w:ind w:left="820" w:right="114" w:firstLine="720"/>
        <w:jc w:val="both"/>
      </w:pPr>
      <w:r>
        <w:rPr/>
        <w:t>Other services such as Mail and Postal services, Shops, Clubs and Societies are also provided to students on most campuses.</w:t>
      </w:r>
    </w:p>
    <w:p>
      <w:pPr>
        <w:spacing w:after="0" w:line="480" w:lineRule="auto"/>
        <w:jc w:val="both"/>
        <w:sectPr>
          <w:headerReference w:type="default" r:id="rId158"/>
          <w:footerReference w:type="default" r:id="rId159"/>
          <w:pgSz w:w="12240" w:h="15840"/>
          <w:pgMar w:header="722" w:footer="791" w:top="1340" w:bottom="980" w:left="1340" w:right="1320"/>
        </w:sectPr>
      </w:pPr>
    </w:p>
    <w:p>
      <w:pPr>
        <w:pStyle w:val="Heading2"/>
        <w:numPr>
          <w:ilvl w:val="2"/>
          <w:numId w:val="19"/>
        </w:numPr>
        <w:tabs>
          <w:tab w:pos="817" w:val="left" w:leader="none"/>
        </w:tabs>
        <w:spacing w:line="240" w:lineRule="auto" w:before="85" w:after="0"/>
        <w:ind w:left="817" w:right="0" w:hanging="717"/>
        <w:jc w:val="left"/>
        <w:rPr>
          <w:rFonts w:ascii="Arial MT"/>
          <w:b w:val="0"/>
        </w:rPr>
      </w:pPr>
      <w:bookmarkStart w:name="_TOC_250040" w:id="28"/>
      <w:r>
        <w:rPr/>
        <w:t>Academic</w:t>
      </w:r>
      <w:r>
        <w:rPr>
          <w:spacing w:val="-11"/>
        </w:rPr>
        <w:t> </w:t>
      </w:r>
      <w:bookmarkEnd w:id="28"/>
      <w:r>
        <w:rPr>
          <w:spacing w:val="-2"/>
        </w:rPr>
        <w:t>Services</w:t>
      </w:r>
    </w:p>
    <w:p>
      <w:pPr>
        <w:pStyle w:val="BodyText"/>
        <w:spacing w:before="3"/>
        <w:rPr>
          <w:rFonts w:ascii="Arial"/>
          <w:b/>
          <w:sz w:val="28"/>
        </w:rPr>
      </w:pPr>
    </w:p>
    <w:p>
      <w:pPr>
        <w:pStyle w:val="BodyText"/>
        <w:spacing w:line="480" w:lineRule="auto"/>
        <w:ind w:left="820" w:right="115" w:firstLine="720"/>
        <w:jc w:val="both"/>
      </w:pPr>
      <w:r>
        <w:rPr/>
        <w:t>Academic services</w:t>
      </w:r>
      <w:r>
        <w:rPr>
          <w:spacing w:val="-4"/>
        </w:rPr>
        <w:t> </w:t>
      </w:r>
      <w:r>
        <w:rPr/>
        <w:t>include all programmed activities, intentions, buildings, consumable/perishable and permanent materials or facilities, conditions methodologies and actions performed or provided for effective teaching and learning in the universities . Since all the universities in Nigeria are coordinated and controlled by the National Universities Commission (NUC) the structure of</w:t>
      </w:r>
      <w:r>
        <w:rPr>
          <w:spacing w:val="40"/>
        </w:rPr>
        <w:t> </w:t>
      </w:r>
      <w:r>
        <w:rPr/>
        <w:t>the Universities</w:t>
      </w:r>
      <w:r>
        <w:rPr>
          <w:spacing w:val="-3"/>
        </w:rPr>
        <w:t> </w:t>
      </w:r>
      <w:r>
        <w:rPr/>
        <w:t>in the three</w:t>
      </w:r>
      <w:r>
        <w:rPr>
          <w:spacing w:val="-2"/>
        </w:rPr>
        <w:t> </w:t>
      </w:r>
      <w:r>
        <w:rPr/>
        <w:t>geopolitical zones in the Northern part of Nigeria can be said to be similar. All the academic programmes are approved and monitored. Basically the common academic services provided to students in the universities should include classrooms, lecture halls, laboratories, libraries, Information Technology Services (ITS), teaching and learning equipments, Bookshops and Printing Press and the real student-teacher relationship.</w:t>
      </w:r>
    </w:p>
    <w:p>
      <w:pPr>
        <w:pStyle w:val="Heading2"/>
        <w:numPr>
          <w:ilvl w:val="3"/>
          <w:numId w:val="19"/>
        </w:numPr>
        <w:tabs>
          <w:tab w:pos="1028" w:val="left" w:leader="none"/>
        </w:tabs>
        <w:spacing w:line="319" w:lineRule="exact" w:before="0" w:after="0"/>
        <w:ind w:left="1028" w:right="0" w:hanging="928"/>
        <w:jc w:val="left"/>
      </w:pPr>
      <w:bookmarkStart w:name="_TOC_250039" w:id="29"/>
      <w:r>
        <w:rPr/>
        <w:t>Library</w:t>
      </w:r>
      <w:r>
        <w:rPr>
          <w:spacing w:val="-5"/>
        </w:rPr>
        <w:t> </w:t>
      </w:r>
      <w:bookmarkEnd w:id="29"/>
      <w:r>
        <w:rPr>
          <w:spacing w:val="-2"/>
        </w:rPr>
        <w:t>service</w:t>
      </w:r>
    </w:p>
    <w:p>
      <w:pPr>
        <w:pStyle w:val="BodyText"/>
        <w:spacing w:before="3"/>
        <w:rPr>
          <w:rFonts w:ascii="Arial"/>
          <w:b/>
          <w:sz w:val="28"/>
        </w:rPr>
      </w:pPr>
    </w:p>
    <w:p>
      <w:pPr>
        <w:pStyle w:val="BodyText"/>
        <w:spacing w:line="480" w:lineRule="auto"/>
        <w:ind w:left="820" w:right="114" w:firstLine="720"/>
        <w:jc w:val="both"/>
      </w:pPr>
      <w:r>
        <w:rPr/>
        <w:t>A library</w:t>
      </w:r>
      <w:r>
        <w:rPr>
          <w:spacing w:val="-1"/>
        </w:rPr>
        <w:t> </w:t>
      </w:r>
      <w:r>
        <w:rPr/>
        <w:t>is popularly defined by</w:t>
      </w:r>
      <w:r>
        <w:rPr>
          <w:spacing w:val="-1"/>
        </w:rPr>
        <w:t> </w:t>
      </w:r>
      <w:r>
        <w:rPr/>
        <w:t>its users as a “store house of knowledge”, or “a wire house of printed and non-printed materials”. However it is generally defined as a place or building where printed and non-printed materials are kept for reading, consultation and research.</w:t>
      </w:r>
    </w:p>
    <w:p>
      <w:pPr>
        <w:pStyle w:val="BodyText"/>
        <w:spacing w:line="480" w:lineRule="auto"/>
        <w:ind w:left="820" w:right="116" w:firstLine="720"/>
        <w:jc w:val="both"/>
      </w:pPr>
      <w:r>
        <w:rPr/>
        <w:t>In his cardinal speech, Sir Ahmadu Bello said, “To attain the heights of academic standard and achievement” Libraries should be built in all Nigerian </w:t>
      </w:r>
      <w:r>
        <w:rPr>
          <w:spacing w:val="-2"/>
        </w:rPr>
        <w:t>Universities.</w:t>
      </w:r>
    </w:p>
    <w:p>
      <w:pPr>
        <w:pStyle w:val="BodyText"/>
        <w:spacing w:line="480" w:lineRule="auto"/>
        <w:ind w:left="820" w:right="120" w:firstLine="720"/>
        <w:jc w:val="both"/>
      </w:pPr>
      <w:r>
        <w:rPr/>
        <w:t>Assessing the importance of libraries in a newspaper article, Idachaba (1987:2 Col. 1) emphasized that in any academic establishment “the provision of a</w:t>
      </w:r>
      <w:r>
        <w:rPr>
          <w:spacing w:val="-5"/>
        </w:rPr>
        <w:t> </w:t>
      </w:r>
      <w:r>
        <w:rPr/>
        <w:t>library</w:t>
      </w:r>
      <w:r>
        <w:rPr>
          <w:spacing w:val="-5"/>
        </w:rPr>
        <w:t> </w:t>
      </w:r>
      <w:r>
        <w:rPr/>
        <w:t>manned</w:t>
      </w:r>
      <w:r>
        <w:rPr>
          <w:spacing w:val="-5"/>
        </w:rPr>
        <w:t> </w:t>
      </w:r>
      <w:r>
        <w:rPr/>
        <w:t>by</w:t>
      </w:r>
      <w:r>
        <w:rPr>
          <w:spacing w:val="-5"/>
        </w:rPr>
        <w:t> </w:t>
      </w:r>
      <w:r>
        <w:rPr/>
        <w:t>adequate</w:t>
      </w:r>
      <w:r>
        <w:rPr>
          <w:spacing w:val="-5"/>
        </w:rPr>
        <w:t> </w:t>
      </w:r>
      <w:r>
        <w:rPr/>
        <w:t>number</w:t>
      </w:r>
      <w:r>
        <w:rPr>
          <w:spacing w:val="-3"/>
        </w:rPr>
        <w:t> </w:t>
      </w:r>
      <w:r>
        <w:rPr/>
        <w:t>of</w:t>
      </w:r>
      <w:r>
        <w:rPr>
          <w:spacing w:val="-6"/>
        </w:rPr>
        <w:t> </w:t>
      </w:r>
      <w:r>
        <w:rPr/>
        <w:t>qualified</w:t>
      </w:r>
      <w:r>
        <w:rPr>
          <w:spacing w:val="-4"/>
        </w:rPr>
        <w:t> </w:t>
      </w:r>
      <w:r>
        <w:rPr/>
        <w:t>staff</w:t>
      </w:r>
      <w:r>
        <w:rPr>
          <w:spacing w:val="-5"/>
        </w:rPr>
        <w:t> </w:t>
      </w:r>
      <w:r>
        <w:rPr/>
        <w:t>to</w:t>
      </w:r>
      <w:r>
        <w:rPr>
          <w:spacing w:val="-5"/>
        </w:rPr>
        <w:t> </w:t>
      </w:r>
      <w:r>
        <w:rPr/>
        <w:t>take</w:t>
      </w:r>
      <w:r>
        <w:rPr>
          <w:spacing w:val="-4"/>
        </w:rPr>
        <w:t> </w:t>
      </w:r>
      <w:r>
        <w:rPr/>
        <w:t>charge</w:t>
      </w:r>
      <w:r>
        <w:rPr>
          <w:spacing w:val="-5"/>
        </w:rPr>
        <w:t> </w:t>
      </w:r>
      <w:r>
        <w:rPr/>
        <w:t>of</w:t>
      </w:r>
      <w:r>
        <w:rPr>
          <w:spacing w:val="-5"/>
        </w:rPr>
        <w:t> </w:t>
      </w:r>
      <w:r>
        <w:rPr>
          <w:spacing w:val="-2"/>
        </w:rPr>
        <w:t>carefully</w:t>
      </w:r>
    </w:p>
    <w:p>
      <w:pPr>
        <w:spacing w:after="0" w:line="480" w:lineRule="auto"/>
        <w:jc w:val="both"/>
        <w:sectPr>
          <w:headerReference w:type="default" r:id="rId160"/>
          <w:footerReference w:type="default" r:id="rId161"/>
          <w:pgSz w:w="12240" w:h="15840"/>
          <w:pgMar w:header="722" w:footer="791" w:top="1340" w:bottom="980" w:left="1340" w:right="1320"/>
        </w:sectPr>
      </w:pPr>
    </w:p>
    <w:p>
      <w:pPr>
        <w:pStyle w:val="BodyText"/>
        <w:spacing w:line="480" w:lineRule="auto" w:before="89"/>
        <w:ind w:left="820" w:right="114"/>
        <w:jc w:val="both"/>
      </w:pPr>
      <w:r>
        <w:rPr/>
        <w:t>selected collections to support teaching and research is a necessary requirement”. Hence he said ‘University libraries are described as store houses</w:t>
      </w:r>
      <w:r>
        <w:rPr>
          <w:spacing w:val="40"/>
        </w:rPr>
        <w:t> </w:t>
      </w:r>
      <w:r>
        <w:rPr/>
        <w:t>of knowledge, the university’s organ of academic body’.</w:t>
      </w:r>
    </w:p>
    <w:p>
      <w:pPr>
        <w:pStyle w:val="BodyText"/>
        <w:spacing w:line="480" w:lineRule="auto"/>
        <w:ind w:left="820" w:right="115" w:firstLine="720"/>
        <w:jc w:val="both"/>
      </w:pPr>
      <w:r>
        <w:rPr/>
        <w:t>To Okebukola (2002:1 – 11) libraries in the Universities under study just like all Universities in Nigeria have played a central role in the preservation and dissemination of cultural, historical and scientific information”. In fact apart from written and non-written materials there, are now “electronic words existing in bits and bytes in computer memories”. Internet technologies such as the internet world wide webs and telecommunication technologies, and</w:t>
      </w:r>
      <w:r>
        <w:rPr>
          <w:spacing w:val="-2"/>
        </w:rPr>
        <w:t> </w:t>
      </w:r>
      <w:r>
        <w:rPr/>
        <w:t>halls all teamed up to create liberation from classification and location of unlimited copies of written books. With the electronic word, “there exists now very advanced search techniques and world wide distribution at the click of the mouse”. He further expressed the fear that without the libraries the school or academic institutions are ‘dead’ in terms of knowledge generation and dissemination.</w:t>
      </w:r>
    </w:p>
    <w:p>
      <w:pPr>
        <w:pStyle w:val="BodyText"/>
        <w:spacing w:line="480" w:lineRule="auto"/>
        <w:ind w:left="820" w:right="115" w:firstLine="720"/>
        <w:jc w:val="both"/>
      </w:pPr>
      <w:r>
        <w:rPr/>
        <w:t>Stressing the importance of library in higher learning institutions he</w:t>
      </w:r>
      <w:r>
        <w:rPr>
          <w:spacing w:val="40"/>
        </w:rPr>
        <w:t> </w:t>
      </w:r>
      <w:r>
        <w:rPr/>
        <w:t>pointed out that “the Declaration of the 1998 World Conference on Higher Education emphasizes the important role of academic libraries in fostering relevance, quality, equity and access to higher education in the 21</w:t>
      </w:r>
      <w:r>
        <w:rPr>
          <w:vertAlign w:val="superscript"/>
        </w:rPr>
        <w:t>st</w:t>
      </w:r>
      <w:r>
        <w:rPr>
          <w:vertAlign w:val="baseline"/>
        </w:rPr>
        <w:t> Century”.</w:t>
      </w:r>
    </w:p>
    <w:p>
      <w:pPr>
        <w:pStyle w:val="BodyText"/>
        <w:spacing w:line="480" w:lineRule="auto"/>
        <w:ind w:left="820" w:right="117" w:firstLine="720"/>
        <w:jc w:val="both"/>
      </w:pPr>
      <w:r>
        <w:rPr/>
        <w:t>To actualize this there has been the focus on “development of libraries in the direction of Virtual System in response to globalisation to boost</w:t>
      </w:r>
      <w:r>
        <w:rPr>
          <w:spacing w:val="40"/>
        </w:rPr>
        <w:t> </w:t>
      </w:r>
      <w:r>
        <w:rPr/>
        <w:t>improvements in Information and Communication Technology (ICT) as obtained in developed world”.</w:t>
      </w:r>
    </w:p>
    <w:p>
      <w:pPr>
        <w:spacing w:after="0" w:line="480" w:lineRule="auto"/>
        <w:jc w:val="both"/>
        <w:sectPr>
          <w:headerReference w:type="default" r:id="rId162"/>
          <w:footerReference w:type="default" r:id="rId163"/>
          <w:pgSz w:w="12240" w:h="15840"/>
          <w:pgMar w:header="722" w:footer="791" w:top="1340" w:bottom="980" w:left="1340" w:right="1320"/>
        </w:sectPr>
      </w:pPr>
    </w:p>
    <w:p>
      <w:pPr>
        <w:pStyle w:val="BodyText"/>
        <w:spacing w:line="480" w:lineRule="auto" w:before="89"/>
        <w:ind w:left="820" w:right="122" w:firstLine="720"/>
        <w:jc w:val="both"/>
      </w:pPr>
      <w:r>
        <w:rPr/>
        <w:t>However, Nigerian Government has consequently recognized and started addressing the development of Virtual libraries in the University system in the right direction.</w:t>
      </w:r>
    </w:p>
    <w:p>
      <w:pPr>
        <w:pStyle w:val="BodyText"/>
        <w:spacing w:line="480" w:lineRule="auto"/>
        <w:ind w:left="820" w:right="114" w:firstLine="720"/>
        <w:jc w:val="both"/>
      </w:pPr>
      <w:r>
        <w:rPr/>
        <w:t>Ideally, every library is supposed to be equipped with books, non-books, media, computer (hard &amp; software) internet, postcards, calendars, photographs, charts, maps, slides, films, film strips, film loops, audio/video tapes. But unfortunately,</w:t>
      </w:r>
      <w:r>
        <w:rPr>
          <w:spacing w:val="-5"/>
        </w:rPr>
        <w:t> </w:t>
      </w:r>
      <w:r>
        <w:rPr/>
        <w:t>it</w:t>
      </w:r>
      <w:r>
        <w:rPr>
          <w:spacing w:val="-1"/>
        </w:rPr>
        <w:t> </w:t>
      </w:r>
      <w:r>
        <w:rPr/>
        <w:t>has</w:t>
      </w:r>
      <w:r>
        <w:rPr>
          <w:spacing w:val="-1"/>
        </w:rPr>
        <w:t> </w:t>
      </w:r>
      <w:r>
        <w:rPr/>
        <w:t>been observed that</w:t>
      </w:r>
      <w:r>
        <w:rPr>
          <w:spacing w:val="-1"/>
        </w:rPr>
        <w:t> </w:t>
      </w:r>
      <w:r>
        <w:rPr/>
        <w:t>Nigerian educational system</w:t>
      </w:r>
      <w:r>
        <w:rPr>
          <w:spacing w:val="-9"/>
        </w:rPr>
        <w:t> </w:t>
      </w:r>
      <w:r>
        <w:rPr/>
        <w:t>libraries</w:t>
      </w:r>
      <w:r>
        <w:rPr>
          <w:spacing w:val="-1"/>
        </w:rPr>
        <w:t> </w:t>
      </w:r>
      <w:r>
        <w:rPr/>
        <w:t>are in a deplorable state. In fact researches by UNESCO (1999) as reported by Okebukola (2002:1 App.C) revealed that although foreign interventions like the World Bank Assisted University Libraries Improvement Project have supplied such libraries with recent titles of books, most of the universities have backlog of poor quality, outdated books, journals and other materials. This has hampered researches due to “lack of awareness of current state of knowledge in the field and the use of date research paradigms and methodologies”. Furthermore, the contribution of Nigerian academics to world research output as documented by international journal, he lamented, has been declining steadily since 1988 as the consequence of outdated library resources.</w:t>
      </w:r>
    </w:p>
    <w:p>
      <w:pPr>
        <w:pStyle w:val="BodyText"/>
        <w:spacing w:line="480" w:lineRule="auto"/>
        <w:ind w:left="820" w:right="114" w:firstLine="720"/>
        <w:jc w:val="both"/>
      </w:pPr>
      <w:r>
        <w:rPr/>
        <w:t>Fortunately,</w:t>
      </w:r>
      <w:r>
        <w:rPr>
          <w:spacing w:val="-4"/>
        </w:rPr>
        <w:t> </w:t>
      </w:r>
      <w:r>
        <w:rPr/>
        <w:t>the</w:t>
      </w:r>
      <w:r>
        <w:rPr>
          <w:spacing w:val="-3"/>
        </w:rPr>
        <w:t> </w:t>
      </w:r>
      <w:r>
        <w:rPr/>
        <w:t>introduction</w:t>
      </w:r>
      <w:r>
        <w:rPr>
          <w:spacing w:val="-3"/>
        </w:rPr>
        <w:t> </w:t>
      </w:r>
      <w:r>
        <w:rPr/>
        <w:t>of the Virtual Library</w:t>
      </w:r>
      <w:r>
        <w:rPr>
          <w:spacing w:val="-4"/>
        </w:rPr>
        <w:t> </w:t>
      </w:r>
      <w:r>
        <w:rPr/>
        <w:t>in some of the University Library system which is right in the pipeline as initiated by the Honourable Minister of Education, Professor Aborishade Babalola marks a big stride to the advancement of knowledge and service for all. This unified and computerized electronic</w:t>
      </w:r>
      <w:r>
        <w:rPr>
          <w:spacing w:val="53"/>
        </w:rPr>
        <w:t> </w:t>
      </w:r>
      <w:r>
        <w:rPr/>
        <w:t>system</w:t>
      </w:r>
      <w:r>
        <w:rPr>
          <w:spacing w:val="51"/>
        </w:rPr>
        <w:t> </w:t>
      </w:r>
      <w:r>
        <w:rPr/>
        <w:t>will</w:t>
      </w:r>
      <w:r>
        <w:rPr>
          <w:spacing w:val="53"/>
        </w:rPr>
        <w:t> </w:t>
      </w:r>
      <w:r>
        <w:rPr/>
        <w:t>facilitate</w:t>
      </w:r>
      <w:r>
        <w:rPr>
          <w:spacing w:val="50"/>
        </w:rPr>
        <w:t> </w:t>
      </w:r>
      <w:r>
        <w:rPr/>
        <w:t>and</w:t>
      </w:r>
      <w:r>
        <w:rPr>
          <w:spacing w:val="49"/>
        </w:rPr>
        <w:t> </w:t>
      </w:r>
      <w:r>
        <w:rPr/>
        <w:t>provide</w:t>
      </w:r>
      <w:r>
        <w:rPr>
          <w:spacing w:val="50"/>
        </w:rPr>
        <w:t> </w:t>
      </w:r>
      <w:r>
        <w:rPr/>
        <w:t>multiple</w:t>
      </w:r>
      <w:r>
        <w:rPr>
          <w:spacing w:val="50"/>
        </w:rPr>
        <w:t> </w:t>
      </w:r>
      <w:r>
        <w:rPr/>
        <w:t>access</w:t>
      </w:r>
      <w:r>
        <w:rPr>
          <w:spacing w:val="54"/>
        </w:rPr>
        <w:t> </w:t>
      </w:r>
      <w:r>
        <w:rPr/>
        <w:t>to</w:t>
      </w:r>
      <w:r>
        <w:rPr>
          <w:spacing w:val="54"/>
        </w:rPr>
        <w:t> </w:t>
      </w:r>
      <w:r>
        <w:rPr/>
        <w:t>computer</w:t>
      </w:r>
      <w:r>
        <w:rPr>
          <w:spacing w:val="55"/>
        </w:rPr>
        <w:t> </w:t>
      </w:r>
      <w:r>
        <w:rPr>
          <w:spacing w:val="-5"/>
        </w:rPr>
        <w:t>and</w:t>
      </w:r>
    </w:p>
    <w:p>
      <w:pPr>
        <w:spacing w:after="0" w:line="480" w:lineRule="auto"/>
        <w:jc w:val="both"/>
        <w:sectPr>
          <w:headerReference w:type="default" r:id="rId164"/>
          <w:footerReference w:type="default" r:id="rId165"/>
          <w:pgSz w:w="12240" w:h="15840"/>
          <w:pgMar w:header="722" w:footer="791" w:top="1340" w:bottom="980" w:left="1340" w:right="1320"/>
        </w:sectPr>
      </w:pPr>
    </w:p>
    <w:p>
      <w:pPr>
        <w:pStyle w:val="BodyText"/>
        <w:spacing w:line="480" w:lineRule="auto" w:before="89"/>
        <w:ind w:left="820" w:right="116"/>
        <w:jc w:val="both"/>
      </w:pPr>
      <w:r>
        <w:rPr/>
        <w:t>telecommunication technologies with wide range of information resources, networked or digitalized for users in all universities.</w:t>
      </w:r>
    </w:p>
    <w:p>
      <w:pPr>
        <w:pStyle w:val="BodyText"/>
        <w:spacing w:line="480" w:lineRule="auto"/>
        <w:ind w:left="820" w:right="114" w:firstLine="720"/>
        <w:jc w:val="both"/>
      </w:pPr>
      <w:r>
        <w:rPr/>
        <w:t>The universities will also share group purchasing power for licensing</w:t>
      </w:r>
      <w:r>
        <w:rPr>
          <w:spacing w:val="40"/>
        </w:rPr>
        <w:t> </w:t>
      </w:r>
      <w:r>
        <w:rPr/>
        <w:t>digital resources as the case may be. They will as well have the advantage of sharing and strengthening resources, staff expertise and prospects and</w:t>
      </w:r>
      <w:r>
        <w:rPr>
          <w:spacing w:val="40"/>
        </w:rPr>
        <w:t> </w:t>
      </w:r>
      <w:r>
        <w:rPr>
          <w:spacing w:val="-2"/>
        </w:rPr>
        <w:t>problems.</w:t>
      </w:r>
    </w:p>
    <w:p>
      <w:pPr>
        <w:pStyle w:val="BodyText"/>
        <w:spacing w:line="480" w:lineRule="auto"/>
        <w:ind w:left="820" w:right="113" w:firstLine="720"/>
        <w:jc w:val="both"/>
      </w:pPr>
      <w:r>
        <w:rPr/>
        <w:t>When student are given proper service on the importance and use of library they will become very rich, well informed and better future scientists and </w:t>
      </w:r>
      <w:r>
        <w:rPr>
          <w:spacing w:val="-2"/>
        </w:rPr>
        <w:t>technologists.</w:t>
      </w:r>
    </w:p>
    <w:p>
      <w:pPr>
        <w:pStyle w:val="Heading2"/>
        <w:numPr>
          <w:ilvl w:val="3"/>
          <w:numId w:val="19"/>
        </w:numPr>
        <w:tabs>
          <w:tab w:pos="1027" w:val="left" w:leader="none"/>
          <w:tab w:pos="1050" w:val="left" w:leader="none"/>
        </w:tabs>
        <w:spacing w:line="240" w:lineRule="auto" w:before="0" w:after="0"/>
        <w:ind w:left="1050" w:right="1062" w:hanging="951"/>
        <w:jc w:val="left"/>
      </w:pPr>
      <w:bookmarkStart w:name="_TOC_250038" w:id="30"/>
      <w:r>
        <w:rPr/>
        <w:t>Classroom</w:t>
      </w:r>
      <w:r>
        <w:rPr>
          <w:spacing w:val="-4"/>
        </w:rPr>
        <w:t> </w:t>
      </w:r>
      <w:r>
        <w:rPr/>
        <w:t>(lecture</w:t>
      </w:r>
      <w:r>
        <w:rPr>
          <w:spacing w:val="-7"/>
        </w:rPr>
        <w:t> </w:t>
      </w:r>
      <w:r>
        <w:rPr/>
        <w:t>halls)</w:t>
      </w:r>
      <w:r>
        <w:rPr>
          <w:spacing w:val="-7"/>
        </w:rPr>
        <w:t> </w:t>
      </w:r>
      <w:r>
        <w:rPr/>
        <w:t>laboratories</w:t>
      </w:r>
      <w:r>
        <w:rPr>
          <w:spacing w:val="-11"/>
        </w:rPr>
        <w:t> </w:t>
      </w:r>
      <w:r>
        <w:rPr/>
        <w:t>and</w:t>
      </w:r>
      <w:r>
        <w:rPr>
          <w:spacing w:val="-7"/>
        </w:rPr>
        <w:t> </w:t>
      </w:r>
      <w:r>
        <w:rPr/>
        <w:t>technological </w:t>
      </w:r>
      <w:bookmarkEnd w:id="30"/>
      <w:r>
        <w:rPr>
          <w:spacing w:val="-2"/>
        </w:rPr>
        <w:t>workshops</w:t>
      </w:r>
    </w:p>
    <w:p>
      <w:pPr>
        <w:pStyle w:val="BodyText"/>
        <w:spacing w:line="480" w:lineRule="auto" w:before="278"/>
        <w:ind w:left="820" w:right="117" w:firstLine="720"/>
        <w:jc w:val="both"/>
      </w:pPr>
      <w:r>
        <w:rPr/>
        <w:t>In Ojo’s (1995:21) view the Universities anywhere are supposed to have adequate classrooms, facilities, science laboratories, lecture halls. “Proper academic environment has far-reaching effects on the learning process”. As its absence, he says “leads to the gradual decay of the symbolic things that help to pattern students behaviour”.</w:t>
      </w:r>
    </w:p>
    <w:p>
      <w:pPr>
        <w:pStyle w:val="BodyText"/>
        <w:spacing w:line="477" w:lineRule="auto"/>
        <w:ind w:left="820" w:right="117" w:firstLine="720"/>
        <w:jc w:val="both"/>
      </w:pPr>
      <w:r>
        <w:rPr/>
        <w:t>Students should have access to well ventilated classrooms or lecture</w:t>
      </w:r>
      <w:r>
        <w:rPr>
          <w:spacing w:val="40"/>
        </w:rPr>
        <w:t> </w:t>
      </w:r>
      <w:r>
        <w:rPr/>
        <w:t>halls, large enough to accommodate large number of students for large lectures. Science laboratories are supposed to be well equipped with science equipments for practicals.</w:t>
      </w:r>
    </w:p>
    <w:p>
      <w:pPr>
        <w:pStyle w:val="BodyText"/>
        <w:spacing w:line="480" w:lineRule="auto" w:before="6"/>
        <w:ind w:left="820" w:right="116" w:firstLine="720"/>
        <w:jc w:val="both"/>
      </w:pPr>
      <w:r>
        <w:rPr/>
        <w:t>According to</w:t>
      </w:r>
      <w:r>
        <w:rPr>
          <w:spacing w:val="-3"/>
        </w:rPr>
        <w:t> </w:t>
      </w:r>
      <w:r>
        <w:rPr/>
        <w:t>Okebukola (2002:19),</w:t>
      </w:r>
      <w:r>
        <w:rPr>
          <w:spacing w:val="-3"/>
        </w:rPr>
        <w:t> </w:t>
      </w:r>
      <w:r>
        <w:rPr/>
        <w:t>“because</w:t>
      </w:r>
      <w:r>
        <w:rPr>
          <w:spacing w:val="-3"/>
        </w:rPr>
        <w:t> </w:t>
      </w:r>
      <w:r>
        <w:rPr/>
        <w:t>of large</w:t>
      </w:r>
      <w:r>
        <w:rPr>
          <w:spacing w:val="-3"/>
        </w:rPr>
        <w:t> </w:t>
      </w:r>
      <w:r>
        <w:rPr/>
        <w:t>student numbers the space requirements for classrooms, lecture theatres,</w:t>
      </w:r>
      <w:r>
        <w:rPr>
          <w:spacing w:val="-4"/>
        </w:rPr>
        <w:t> </w:t>
      </w:r>
      <w:r>
        <w:rPr/>
        <w:t>laboratories and workshops are</w:t>
      </w:r>
      <w:r>
        <w:rPr>
          <w:spacing w:val="32"/>
        </w:rPr>
        <w:t> </w:t>
      </w:r>
      <w:r>
        <w:rPr/>
        <w:t>hardly</w:t>
      </w:r>
      <w:r>
        <w:rPr>
          <w:spacing w:val="32"/>
        </w:rPr>
        <w:t> </w:t>
      </w:r>
      <w:r>
        <w:rPr/>
        <w:t>met</w:t>
      </w:r>
      <w:r>
        <w:rPr>
          <w:spacing w:val="32"/>
        </w:rPr>
        <w:t> </w:t>
      </w:r>
      <w:r>
        <w:rPr/>
        <w:t>in</w:t>
      </w:r>
      <w:r>
        <w:rPr>
          <w:spacing w:val="28"/>
        </w:rPr>
        <w:t> </w:t>
      </w:r>
      <w:r>
        <w:rPr/>
        <w:t>over</w:t>
      </w:r>
      <w:r>
        <w:rPr>
          <w:spacing w:val="28"/>
        </w:rPr>
        <w:t> </w:t>
      </w:r>
      <w:r>
        <w:rPr/>
        <w:t>70%</w:t>
      </w:r>
      <w:r>
        <w:rPr>
          <w:spacing w:val="30"/>
        </w:rPr>
        <w:t> </w:t>
      </w:r>
      <w:r>
        <w:rPr/>
        <w:t>of</w:t>
      </w:r>
      <w:r>
        <w:rPr>
          <w:spacing w:val="32"/>
        </w:rPr>
        <w:t> </w:t>
      </w:r>
      <w:r>
        <w:rPr/>
        <w:t>the</w:t>
      </w:r>
      <w:r>
        <w:rPr>
          <w:spacing w:val="32"/>
        </w:rPr>
        <w:t> </w:t>
      </w:r>
      <w:r>
        <w:rPr/>
        <w:t>universities</w:t>
      </w:r>
      <w:r>
        <w:rPr>
          <w:spacing w:val="32"/>
        </w:rPr>
        <w:t> </w:t>
      </w:r>
      <w:r>
        <w:rPr/>
        <w:t>in</w:t>
      </w:r>
      <w:r>
        <w:rPr>
          <w:spacing w:val="33"/>
        </w:rPr>
        <w:t> </w:t>
      </w:r>
      <w:r>
        <w:rPr/>
        <w:t>Nigeria”.</w:t>
      </w:r>
      <w:r>
        <w:rPr>
          <w:spacing w:val="32"/>
        </w:rPr>
        <w:t> </w:t>
      </w:r>
      <w:r>
        <w:rPr/>
        <w:t>He</w:t>
      </w:r>
      <w:r>
        <w:rPr>
          <w:spacing w:val="28"/>
        </w:rPr>
        <w:t> </w:t>
      </w:r>
      <w:r>
        <w:rPr/>
        <w:t>further</w:t>
      </w:r>
      <w:r>
        <w:rPr>
          <w:spacing w:val="28"/>
        </w:rPr>
        <w:t> </w:t>
      </w:r>
      <w:r>
        <w:rPr>
          <w:spacing w:val="-2"/>
        </w:rPr>
        <w:t>presents</w:t>
      </w:r>
    </w:p>
    <w:p>
      <w:pPr>
        <w:spacing w:after="0" w:line="480" w:lineRule="auto"/>
        <w:jc w:val="both"/>
        <w:sectPr>
          <w:headerReference w:type="default" r:id="rId166"/>
          <w:footerReference w:type="default" r:id="rId167"/>
          <w:pgSz w:w="12240" w:h="15840"/>
          <w:pgMar w:header="722" w:footer="791" w:top="1340" w:bottom="980" w:left="1340" w:right="1320"/>
        </w:sectPr>
      </w:pPr>
    </w:p>
    <w:p>
      <w:pPr>
        <w:pStyle w:val="BodyText"/>
        <w:spacing w:line="480" w:lineRule="auto" w:before="89"/>
        <w:ind w:left="820" w:right="116"/>
        <w:jc w:val="both"/>
      </w:pPr>
      <w:r>
        <w:rPr/>
        <w:t>these facilities in the universities as “over-stretched, thus presenting a recipe for rapid decay in the face of dwindling funds for maintenance”.</w:t>
      </w:r>
    </w:p>
    <w:p>
      <w:pPr>
        <w:pStyle w:val="BodyText"/>
        <w:spacing w:line="480" w:lineRule="auto"/>
        <w:ind w:left="820" w:right="114" w:firstLine="720"/>
        <w:jc w:val="both"/>
      </w:pPr>
      <w:r>
        <w:rPr/>
        <w:t>Due to the poorly old fashioned equipment nature of the science and medical laboratories in the Universities, most people take the Nigerian Science graduates as ‘half-baked products’ compared to graduates from oversea universities. As elaborated by Okebukola (2002:51), Lack of access to current literature and replacement of obsolete equipment in the university laboratories “account for the rise of out-dated methodology in the conduct of research”. Many researchers he disclosed “are knowledgeable and skilled in only what they</w:t>
      </w:r>
      <w:r>
        <w:rPr>
          <w:spacing w:val="80"/>
        </w:rPr>
        <w:t> </w:t>
      </w:r>
      <w:r>
        <w:rPr/>
        <w:t>picked up during doctoral training in sophisticated laboratories overseas”.</w:t>
      </w:r>
    </w:p>
    <w:p>
      <w:pPr>
        <w:pStyle w:val="BodyText"/>
        <w:spacing w:line="480" w:lineRule="auto"/>
        <w:ind w:left="820" w:right="120" w:firstLine="720"/>
        <w:jc w:val="both"/>
      </w:pPr>
      <w:r>
        <w:rPr/>
        <w:t>To worsen the well functioning and performance of the laboratories and workshops in most Universities in Nigeria in general, the Nigerian Electric Power Authority (NEPA) supply is disappointingly unreliable and mean. They have even killed the zeal of the Nigerian Industry at large.</w:t>
      </w:r>
    </w:p>
    <w:p>
      <w:pPr>
        <w:pStyle w:val="Heading2"/>
        <w:numPr>
          <w:ilvl w:val="3"/>
          <w:numId w:val="19"/>
        </w:numPr>
        <w:tabs>
          <w:tab w:pos="1028" w:val="left" w:leader="none"/>
        </w:tabs>
        <w:spacing w:line="318" w:lineRule="exact" w:before="0" w:after="0"/>
        <w:ind w:left="1028" w:right="0" w:hanging="928"/>
        <w:jc w:val="left"/>
      </w:pPr>
      <w:bookmarkStart w:name="_TOC_250037" w:id="31"/>
      <w:r>
        <w:rPr/>
        <w:t>Information</w:t>
      </w:r>
      <w:r>
        <w:rPr>
          <w:spacing w:val="-6"/>
        </w:rPr>
        <w:t> </w:t>
      </w:r>
      <w:r>
        <w:rPr/>
        <w:t>and</w:t>
      </w:r>
      <w:r>
        <w:rPr>
          <w:spacing w:val="-6"/>
        </w:rPr>
        <w:t> </w:t>
      </w:r>
      <w:r>
        <w:rPr/>
        <w:t>Communication</w:t>
      </w:r>
      <w:r>
        <w:rPr>
          <w:spacing w:val="-6"/>
        </w:rPr>
        <w:t> </w:t>
      </w:r>
      <w:r>
        <w:rPr/>
        <w:t>Technology</w:t>
      </w:r>
      <w:r>
        <w:rPr>
          <w:spacing w:val="-14"/>
        </w:rPr>
        <w:t> </w:t>
      </w:r>
      <w:r>
        <w:rPr/>
        <w:t>Services</w:t>
      </w:r>
      <w:r>
        <w:rPr>
          <w:spacing w:val="-5"/>
        </w:rPr>
        <w:t> </w:t>
      </w:r>
      <w:bookmarkEnd w:id="31"/>
      <w:r>
        <w:rPr>
          <w:spacing w:val="-2"/>
        </w:rPr>
        <w:t>(ICTS)</w:t>
      </w:r>
    </w:p>
    <w:p>
      <w:pPr>
        <w:pStyle w:val="BodyText"/>
        <w:spacing w:before="3"/>
        <w:rPr>
          <w:rFonts w:ascii="Arial"/>
          <w:b/>
          <w:sz w:val="28"/>
        </w:rPr>
      </w:pPr>
    </w:p>
    <w:p>
      <w:pPr>
        <w:pStyle w:val="BodyText"/>
        <w:spacing w:line="480" w:lineRule="auto"/>
        <w:ind w:left="820" w:right="119" w:firstLine="720"/>
        <w:jc w:val="both"/>
      </w:pPr>
      <w:r>
        <w:rPr/>
        <w:t>Tied to the Library service is the mandate of all universities to provide access to Information and Communication Technology (ICTS) to students.</w:t>
      </w:r>
    </w:p>
    <w:p>
      <w:pPr>
        <w:pStyle w:val="BodyText"/>
        <w:spacing w:line="480" w:lineRule="auto"/>
        <w:ind w:left="820" w:right="113" w:firstLine="720"/>
        <w:jc w:val="both"/>
      </w:pPr>
      <w:r>
        <w:rPr/>
        <w:t>According to Burch and Grundnitski in Okwori and Boyi (1998:51), Information refers to “data that have been put into meaningful and useful context and communicated to a recipient who uses it to make decision. It consists of</w:t>
      </w:r>
      <w:r>
        <w:rPr>
          <w:spacing w:val="40"/>
        </w:rPr>
        <w:t> </w:t>
      </w:r>
      <w:r>
        <w:rPr/>
        <w:t>data, images, text document and voice organized in a meaningful context”.</w:t>
      </w:r>
    </w:p>
    <w:p>
      <w:pPr>
        <w:pStyle w:val="BodyText"/>
        <w:spacing w:line="480" w:lineRule="auto"/>
        <w:ind w:left="820" w:right="120" w:firstLine="720"/>
        <w:jc w:val="both"/>
      </w:pPr>
      <w:r>
        <w:rPr/>
        <w:t>To Thioune (2003:11), Information Communication Technology (ICT) refers</w:t>
      </w:r>
      <w:r>
        <w:rPr>
          <w:spacing w:val="17"/>
        </w:rPr>
        <w:t> </w:t>
      </w:r>
      <w:r>
        <w:rPr/>
        <w:t>to</w:t>
      </w:r>
      <w:r>
        <w:rPr>
          <w:spacing w:val="19"/>
        </w:rPr>
        <w:t> </w:t>
      </w:r>
      <w:r>
        <w:rPr/>
        <w:t>the</w:t>
      </w:r>
      <w:r>
        <w:rPr>
          <w:spacing w:val="19"/>
        </w:rPr>
        <w:t> </w:t>
      </w:r>
      <w:r>
        <w:rPr/>
        <w:t>use</w:t>
      </w:r>
      <w:r>
        <w:rPr>
          <w:spacing w:val="19"/>
        </w:rPr>
        <w:t> </w:t>
      </w:r>
      <w:r>
        <w:rPr/>
        <w:t>of</w:t>
      </w:r>
      <w:r>
        <w:rPr>
          <w:spacing w:val="18"/>
        </w:rPr>
        <w:t> </w:t>
      </w:r>
      <w:r>
        <w:rPr/>
        <w:t>computing</w:t>
      </w:r>
      <w:r>
        <w:rPr>
          <w:spacing w:val="19"/>
        </w:rPr>
        <w:t> </w:t>
      </w:r>
      <w:r>
        <w:rPr/>
        <w:t>power</w:t>
      </w:r>
      <w:r>
        <w:rPr>
          <w:spacing w:val="19"/>
        </w:rPr>
        <w:t> </w:t>
      </w:r>
      <w:r>
        <w:rPr/>
        <w:t>which</w:t>
      </w:r>
      <w:r>
        <w:rPr>
          <w:spacing w:val="15"/>
        </w:rPr>
        <w:t> </w:t>
      </w:r>
      <w:r>
        <w:rPr/>
        <w:t>involves</w:t>
      </w:r>
      <w:r>
        <w:rPr>
          <w:spacing w:val="18"/>
        </w:rPr>
        <w:t> </w:t>
      </w:r>
      <w:r>
        <w:rPr/>
        <w:t>the</w:t>
      </w:r>
      <w:r>
        <w:rPr>
          <w:spacing w:val="18"/>
        </w:rPr>
        <w:t> </w:t>
      </w:r>
      <w:r>
        <w:rPr/>
        <w:t>ability</w:t>
      </w:r>
      <w:r>
        <w:rPr>
          <w:spacing w:val="18"/>
        </w:rPr>
        <w:t> </w:t>
      </w:r>
      <w:r>
        <w:rPr/>
        <w:t>of</w:t>
      </w:r>
      <w:r>
        <w:rPr>
          <w:spacing w:val="18"/>
        </w:rPr>
        <w:t> </w:t>
      </w:r>
      <w:r>
        <w:rPr/>
        <w:t>computers</w:t>
      </w:r>
      <w:r>
        <w:rPr>
          <w:spacing w:val="18"/>
        </w:rPr>
        <w:t> </w:t>
      </w:r>
      <w:r>
        <w:rPr>
          <w:spacing w:val="-5"/>
        </w:rPr>
        <w:t>to</w:t>
      </w:r>
    </w:p>
    <w:p>
      <w:pPr>
        <w:spacing w:after="0" w:line="480" w:lineRule="auto"/>
        <w:jc w:val="both"/>
        <w:sectPr>
          <w:headerReference w:type="default" r:id="rId168"/>
          <w:footerReference w:type="default" r:id="rId169"/>
          <w:pgSz w:w="12240" w:h="15840"/>
          <w:pgMar w:header="722" w:footer="791" w:top="1340" w:bottom="980" w:left="1340" w:right="1320"/>
        </w:sectPr>
      </w:pPr>
    </w:p>
    <w:p>
      <w:pPr>
        <w:pStyle w:val="BodyText"/>
        <w:spacing w:line="480" w:lineRule="auto" w:before="89"/>
        <w:ind w:left="820" w:right="116"/>
        <w:jc w:val="both"/>
      </w:pPr>
      <w:r>
        <w:rPr/>
        <w:t>handle and store large amount of information in relatively small physical space and the ability to share the resources through a variety of communication device and network. This up-to-date technology and its associated methods and techniques reduce the time it takes for information to flow.</w:t>
      </w:r>
    </w:p>
    <w:p>
      <w:pPr>
        <w:pStyle w:val="BodyText"/>
        <w:spacing w:line="480" w:lineRule="auto"/>
        <w:ind w:left="820" w:right="116" w:firstLine="720"/>
        <w:jc w:val="both"/>
      </w:pPr>
      <w:r>
        <w:rPr/>
        <w:t>According to Okebukola (2002:9c), Many institutions of higher learning world wide have turned towards electronic networking in academic services. The establishment of NUNET in Nigeria is an example of such services. For</w:t>
      </w:r>
      <w:r>
        <w:rPr>
          <w:spacing w:val="40"/>
        </w:rPr>
        <w:t> </w:t>
      </w:r>
      <w:r>
        <w:rPr/>
        <w:t>maximum use of facilities and to take advantage of the information technology</w:t>
      </w:r>
      <w:r>
        <w:rPr>
          <w:spacing w:val="40"/>
        </w:rPr>
        <w:t> </w:t>
      </w:r>
      <w:r>
        <w:rPr/>
        <w:t>the establishment of an electronic library system across the universities will greatly enhance the provision of an enabling environment for the establishment</w:t>
      </w:r>
      <w:r>
        <w:rPr>
          <w:spacing w:val="40"/>
        </w:rPr>
        <w:t> </w:t>
      </w:r>
      <w:r>
        <w:rPr/>
        <w:t>of a Viral ICT-driven instructional and educational delivery system. It would also help promote use of information and communication technologies to deliver education to the doorsteps of those who yearn for it, particularly the students. That</w:t>
      </w:r>
      <w:r>
        <w:rPr>
          <w:spacing w:val="-6"/>
        </w:rPr>
        <w:t> </w:t>
      </w:r>
      <w:r>
        <w:rPr/>
        <w:t>is</w:t>
      </w:r>
      <w:r>
        <w:rPr>
          <w:spacing w:val="-2"/>
        </w:rPr>
        <w:t> </w:t>
      </w:r>
      <w:r>
        <w:rPr/>
        <w:t>to</w:t>
      </w:r>
      <w:r>
        <w:rPr>
          <w:spacing w:val="-1"/>
        </w:rPr>
        <w:t> </w:t>
      </w:r>
      <w:r>
        <w:rPr/>
        <w:t>say</w:t>
      </w:r>
      <w:r>
        <w:rPr>
          <w:spacing w:val="-2"/>
        </w:rPr>
        <w:t> </w:t>
      </w:r>
      <w:r>
        <w:rPr/>
        <w:t>the</w:t>
      </w:r>
      <w:r>
        <w:rPr>
          <w:spacing w:val="-1"/>
        </w:rPr>
        <w:t> </w:t>
      </w:r>
      <w:r>
        <w:rPr/>
        <w:t>establishment</w:t>
      </w:r>
      <w:r>
        <w:rPr>
          <w:spacing w:val="-2"/>
        </w:rPr>
        <w:t> </w:t>
      </w:r>
      <w:r>
        <w:rPr/>
        <w:t>of</w:t>
      </w:r>
      <w:r>
        <w:rPr>
          <w:spacing w:val="-2"/>
        </w:rPr>
        <w:t> </w:t>
      </w:r>
      <w:r>
        <w:rPr/>
        <w:t>Virtual Libraries</w:t>
      </w:r>
      <w:r>
        <w:rPr>
          <w:spacing w:val="-2"/>
        </w:rPr>
        <w:t> </w:t>
      </w:r>
      <w:r>
        <w:rPr/>
        <w:t>and</w:t>
      </w:r>
      <w:r>
        <w:rPr>
          <w:spacing w:val="-5"/>
        </w:rPr>
        <w:t> </w:t>
      </w:r>
      <w:r>
        <w:rPr/>
        <w:t>internet</w:t>
      </w:r>
      <w:r>
        <w:rPr>
          <w:spacing w:val="-2"/>
        </w:rPr>
        <w:t> </w:t>
      </w:r>
      <w:r>
        <w:rPr/>
        <w:t>centres</w:t>
      </w:r>
      <w:r>
        <w:rPr>
          <w:spacing w:val="-2"/>
        </w:rPr>
        <w:t> </w:t>
      </w:r>
      <w:r>
        <w:rPr/>
        <w:t>will serve as infrastructures to search, collect, organize, store and distribute cultural, historical, economic, scientific and any other useful information in text, or even visual images or sound in all universities networked together. This system will also make it possible for “electronic books and journals to be accessible to an unlimited audience like the ever increasing population of students in the Universities, at sametime, anytime anywhere”. (Okebukola (2002: 3c).</w:t>
      </w:r>
    </w:p>
    <w:p>
      <w:pPr>
        <w:pStyle w:val="BodyText"/>
        <w:spacing w:line="480" w:lineRule="auto"/>
        <w:ind w:left="820" w:right="113" w:firstLine="720"/>
        <w:jc w:val="both"/>
      </w:pPr>
      <w:r>
        <w:rPr/>
        <w:t>Other very important aspects of academic services for students include</w:t>
      </w:r>
      <w:r>
        <w:rPr>
          <w:spacing w:val="40"/>
        </w:rPr>
        <w:t> </w:t>
      </w:r>
      <w:r>
        <w:rPr/>
        <w:t>the provision of</w:t>
      </w:r>
      <w:r>
        <w:rPr>
          <w:spacing w:val="-3"/>
        </w:rPr>
        <w:t> </w:t>
      </w:r>
      <w:r>
        <w:rPr/>
        <w:t>adequate staff and</w:t>
      </w:r>
      <w:r>
        <w:rPr>
          <w:spacing w:val="-2"/>
        </w:rPr>
        <w:t> </w:t>
      </w:r>
      <w:r>
        <w:rPr/>
        <w:t>well stocked Bookshops</w:t>
      </w:r>
      <w:r>
        <w:rPr>
          <w:spacing w:val="-1"/>
        </w:rPr>
        <w:t> </w:t>
      </w:r>
      <w:r>
        <w:rPr/>
        <w:t>and Printing Presses on</w:t>
      </w:r>
      <w:r>
        <w:rPr>
          <w:spacing w:val="28"/>
        </w:rPr>
        <w:t>  </w:t>
      </w:r>
      <w:r>
        <w:rPr/>
        <w:t>every</w:t>
      </w:r>
      <w:r>
        <w:rPr>
          <w:spacing w:val="28"/>
        </w:rPr>
        <w:t>  </w:t>
      </w:r>
      <w:r>
        <w:rPr/>
        <w:t>campus</w:t>
      </w:r>
      <w:r>
        <w:rPr>
          <w:spacing w:val="28"/>
        </w:rPr>
        <w:t>  </w:t>
      </w:r>
      <w:r>
        <w:rPr/>
        <w:t>where</w:t>
      </w:r>
      <w:r>
        <w:rPr>
          <w:spacing w:val="29"/>
        </w:rPr>
        <w:t>  </w:t>
      </w:r>
      <w:r>
        <w:rPr/>
        <w:t>students</w:t>
      </w:r>
      <w:r>
        <w:rPr>
          <w:spacing w:val="28"/>
        </w:rPr>
        <w:t>  </w:t>
      </w:r>
      <w:r>
        <w:rPr/>
        <w:t>can</w:t>
      </w:r>
      <w:r>
        <w:rPr>
          <w:spacing w:val="26"/>
        </w:rPr>
        <w:t>  </w:t>
      </w:r>
      <w:r>
        <w:rPr/>
        <w:t>secure</w:t>
      </w:r>
      <w:r>
        <w:rPr>
          <w:spacing w:val="29"/>
        </w:rPr>
        <w:t>  </w:t>
      </w:r>
      <w:r>
        <w:rPr/>
        <w:t>materials</w:t>
      </w:r>
      <w:r>
        <w:rPr>
          <w:spacing w:val="28"/>
        </w:rPr>
        <w:t>  </w:t>
      </w:r>
      <w:r>
        <w:rPr/>
        <w:t>and</w:t>
      </w:r>
      <w:r>
        <w:rPr>
          <w:spacing w:val="28"/>
        </w:rPr>
        <w:t>  </w:t>
      </w:r>
      <w:r>
        <w:rPr/>
        <w:t>print</w:t>
      </w:r>
      <w:r>
        <w:rPr>
          <w:spacing w:val="29"/>
        </w:rPr>
        <w:t>  </w:t>
      </w:r>
      <w:r>
        <w:rPr>
          <w:spacing w:val="-2"/>
        </w:rPr>
        <w:t>their</w:t>
      </w:r>
    </w:p>
    <w:p>
      <w:pPr>
        <w:spacing w:after="0" w:line="480" w:lineRule="auto"/>
        <w:jc w:val="both"/>
        <w:sectPr>
          <w:headerReference w:type="default" r:id="rId170"/>
          <w:footerReference w:type="default" r:id="rId171"/>
          <w:pgSz w:w="12240" w:h="15840"/>
          <w:pgMar w:header="722" w:footer="791" w:top="1340" w:bottom="980" w:left="1340" w:right="1320"/>
        </w:sectPr>
      </w:pPr>
    </w:p>
    <w:p>
      <w:pPr>
        <w:pStyle w:val="BodyText"/>
        <w:spacing w:line="480" w:lineRule="auto" w:before="89"/>
        <w:ind w:left="820" w:right="115"/>
        <w:jc w:val="both"/>
      </w:pPr>
      <w:r>
        <w:rPr/>
        <w:t>manuscripts without stress. The availability of teaching and learning materials no doubt assist in improving or blending staff-students relationship by teaching and learning faster.</w:t>
      </w:r>
    </w:p>
    <w:p>
      <w:pPr>
        <w:pStyle w:val="BodyText"/>
        <w:spacing w:line="480" w:lineRule="auto"/>
        <w:ind w:left="820" w:right="116" w:firstLine="720"/>
        <w:jc w:val="both"/>
      </w:pPr>
      <w:r>
        <w:rPr/>
        <w:t>The poor student-teacher relationship often erupts out of frustration, poor work and study ethics propelled by lack of teaching and learning materials as</w:t>
      </w:r>
      <w:r>
        <w:rPr>
          <w:spacing w:val="40"/>
        </w:rPr>
        <w:t> </w:t>
      </w:r>
      <w:r>
        <w:rPr/>
        <w:t>well as broken staff welfare. When staff are not cared for adequately, the negative consequences of their frustration are</w:t>
      </w:r>
      <w:r>
        <w:rPr>
          <w:spacing w:val="-1"/>
        </w:rPr>
        <w:t> </w:t>
      </w:r>
      <w:r>
        <w:rPr/>
        <w:t>transferred on to students.</w:t>
      </w:r>
      <w:r>
        <w:rPr>
          <w:spacing w:val="-6"/>
        </w:rPr>
        <w:t> </w:t>
      </w:r>
      <w:r>
        <w:rPr/>
        <w:t>We are all living witnesses to most Staff Union (ASUU, NASU, SSANU) strikes which hinder students progress, graduation on schedule and result to unwarranted waste of resources.</w:t>
      </w:r>
    </w:p>
    <w:p>
      <w:pPr>
        <w:pStyle w:val="Heading2"/>
        <w:numPr>
          <w:ilvl w:val="2"/>
          <w:numId w:val="19"/>
        </w:numPr>
        <w:tabs>
          <w:tab w:pos="793" w:val="left" w:leader="none"/>
        </w:tabs>
        <w:spacing w:line="318" w:lineRule="exact" w:before="0" w:after="0"/>
        <w:ind w:left="793" w:right="0" w:hanging="693"/>
        <w:jc w:val="left"/>
        <w:rPr>
          <w:rFonts w:ascii="Arial MT"/>
          <w:b w:val="0"/>
        </w:rPr>
      </w:pPr>
      <w:bookmarkStart w:name="_TOC_250036" w:id="32"/>
      <w:r>
        <w:rPr/>
        <w:t>Medical</w:t>
      </w:r>
      <w:r>
        <w:rPr>
          <w:spacing w:val="-8"/>
        </w:rPr>
        <w:t> </w:t>
      </w:r>
      <w:bookmarkEnd w:id="32"/>
      <w:r>
        <w:rPr>
          <w:spacing w:val="-2"/>
        </w:rPr>
        <w:t>Services</w:t>
      </w:r>
    </w:p>
    <w:p>
      <w:pPr>
        <w:pStyle w:val="BodyText"/>
        <w:spacing w:before="3"/>
        <w:rPr>
          <w:rFonts w:ascii="Arial"/>
          <w:b/>
          <w:sz w:val="28"/>
        </w:rPr>
      </w:pPr>
    </w:p>
    <w:p>
      <w:pPr>
        <w:pStyle w:val="BodyText"/>
        <w:spacing w:line="480" w:lineRule="auto"/>
        <w:ind w:left="820" w:right="119" w:firstLine="720"/>
        <w:jc w:val="both"/>
      </w:pPr>
      <w:r>
        <w:rPr/>
        <w:t>Next in the series of important students’ welfare services which should be provided in the University system is Medical and Health services. Health is often said to be “next to godliness”. It</w:t>
      </w:r>
      <w:r>
        <w:rPr>
          <w:spacing w:val="-1"/>
        </w:rPr>
        <w:t> </w:t>
      </w:r>
      <w:r>
        <w:rPr/>
        <w:t>is a fundamental right of every individual, nation, community, people irrespective of religion, creed, sex, values and beliefs.</w:t>
      </w:r>
    </w:p>
    <w:p>
      <w:pPr>
        <w:pStyle w:val="BodyText"/>
        <w:spacing w:line="480" w:lineRule="auto"/>
        <w:ind w:left="820" w:right="119" w:firstLine="720"/>
        <w:jc w:val="both"/>
      </w:pPr>
      <w:r>
        <w:rPr/>
        <w:t>In a community like the university system where there are clusters of students and staff there has to be efficient and well coordinated team of Medical personnel entrusted with the responsibility of diagnosing, management, maintaining, preventing and curing the ever changing trend in disease</w:t>
      </w:r>
      <w:r>
        <w:rPr>
          <w:spacing w:val="40"/>
        </w:rPr>
        <w:t> </w:t>
      </w:r>
      <w:r>
        <w:rPr>
          <w:spacing w:val="-2"/>
        </w:rPr>
        <w:t>technology.</w:t>
      </w:r>
    </w:p>
    <w:p>
      <w:pPr>
        <w:pStyle w:val="BodyText"/>
        <w:spacing w:line="480" w:lineRule="auto"/>
        <w:ind w:left="820" w:right="114" w:firstLine="720"/>
        <w:jc w:val="both"/>
      </w:pPr>
      <w:r>
        <w:rPr/>
        <w:t>The researcher noticed that on most campuses of the</w:t>
      </w:r>
      <w:r>
        <w:rPr>
          <w:spacing w:val="40"/>
        </w:rPr>
        <w:t> </w:t>
      </w:r>
      <w:r>
        <w:rPr/>
        <w:t>Universities in the three geopolitical zones in the Northern part of Nigeria, there are health centers referred</w:t>
      </w:r>
      <w:r>
        <w:rPr>
          <w:spacing w:val="22"/>
        </w:rPr>
        <w:t> </w:t>
      </w:r>
      <w:r>
        <w:rPr/>
        <w:t>to</w:t>
      </w:r>
      <w:r>
        <w:rPr>
          <w:spacing w:val="22"/>
        </w:rPr>
        <w:t> </w:t>
      </w:r>
      <w:r>
        <w:rPr/>
        <w:t>as</w:t>
      </w:r>
      <w:r>
        <w:rPr>
          <w:spacing w:val="21"/>
        </w:rPr>
        <w:t> </w:t>
      </w:r>
      <w:r>
        <w:rPr/>
        <w:t>Sickbays,</w:t>
      </w:r>
      <w:r>
        <w:rPr>
          <w:spacing w:val="21"/>
        </w:rPr>
        <w:t> </w:t>
      </w:r>
      <w:r>
        <w:rPr/>
        <w:t>University</w:t>
      </w:r>
      <w:r>
        <w:rPr>
          <w:spacing w:val="21"/>
        </w:rPr>
        <w:t> </w:t>
      </w:r>
      <w:r>
        <w:rPr/>
        <w:t>Clinics,</w:t>
      </w:r>
      <w:r>
        <w:rPr>
          <w:spacing w:val="21"/>
        </w:rPr>
        <w:t> </w:t>
      </w:r>
      <w:r>
        <w:rPr/>
        <w:t>Medical</w:t>
      </w:r>
      <w:r>
        <w:rPr>
          <w:spacing w:val="25"/>
        </w:rPr>
        <w:t> </w:t>
      </w:r>
      <w:r>
        <w:rPr/>
        <w:t>and</w:t>
      </w:r>
      <w:r>
        <w:rPr>
          <w:spacing w:val="22"/>
        </w:rPr>
        <w:t> </w:t>
      </w:r>
      <w:r>
        <w:rPr/>
        <w:t>Health</w:t>
      </w:r>
      <w:r>
        <w:rPr>
          <w:spacing w:val="22"/>
        </w:rPr>
        <w:t> </w:t>
      </w:r>
      <w:r>
        <w:rPr/>
        <w:t>Services</w:t>
      </w:r>
      <w:r>
        <w:rPr>
          <w:spacing w:val="21"/>
        </w:rPr>
        <w:t> </w:t>
      </w:r>
      <w:r>
        <w:rPr/>
        <w:t>Unit</w:t>
      </w:r>
      <w:r>
        <w:rPr>
          <w:spacing w:val="21"/>
        </w:rPr>
        <w:t> </w:t>
      </w:r>
      <w:r>
        <w:rPr/>
        <w:t>or</w:t>
      </w:r>
    </w:p>
    <w:p>
      <w:pPr>
        <w:spacing w:after="0" w:line="480" w:lineRule="auto"/>
        <w:jc w:val="both"/>
        <w:sectPr>
          <w:headerReference w:type="default" r:id="rId172"/>
          <w:footerReference w:type="default" r:id="rId173"/>
          <w:pgSz w:w="12240" w:h="15840"/>
          <w:pgMar w:header="722" w:footer="791" w:top="1340" w:bottom="980" w:left="1340" w:right="1320"/>
        </w:sectPr>
      </w:pPr>
    </w:p>
    <w:p>
      <w:pPr>
        <w:pStyle w:val="BodyText"/>
        <w:spacing w:line="480" w:lineRule="auto" w:before="89"/>
        <w:ind w:left="820" w:right="116"/>
        <w:jc w:val="both"/>
      </w:pPr>
      <w:r>
        <w:rPr/>
        <w:t>Department, Hospitals as the case may be. The functions of the University</w:t>
      </w:r>
      <w:r>
        <w:rPr>
          <w:spacing w:val="80"/>
        </w:rPr>
        <w:t> </w:t>
      </w:r>
      <w:r>
        <w:rPr/>
        <w:t>Health Centres should be:</w:t>
      </w:r>
    </w:p>
    <w:p>
      <w:pPr>
        <w:pStyle w:val="ListParagraph"/>
        <w:numPr>
          <w:ilvl w:val="0"/>
          <w:numId w:val="27"/>
        </w:numPr>
        <w:tabs>
          <w:tab w:pos="1900" w:val="left" w:leader="none"/>
        </w:tabs>
        <w:spacing w:line="480" w:lineRule="auto" w:before="0" w:after="0"/>
        <w:ind w:left="1900" w:right="114" w:hanging="360"/>
        <w:jc w:val="both"/>
        <w:rPr>
          <w:sz w:val="24"/>
        </w:rPr>
      </w:pPr>
      <w:r>
        <w:rPr>
          <w:sz w:val="24"/>
        </w:rPr>
        <w:t>To provide comprehensive health centers equipped with sophisticated modern medical facilities for the promotion of comprehensive health care, high nutritional and recreational services as well as curative and preventive services.</w:t>
      </w:r>
    </w:p>
    <w:p>
      <w:pPr>
        <w:pStyle w:val="ListParagraph"/>
        <w:numPr>
          <w:ilvl w:val="0"/>
          <w:numId w:val="27"/>
        </w:numPr>
        <w:tabs>
          <w:tab w:pos="1900" w:val="left" w:leader="none"/>
        </w:tabs>
        <w:spacing w:line="480" w:lineRule="auto" w:before="0" w:after="0"/>
        <w:ind w:left="1900" w:right="116" w:hanging="360"/>
        <w:jc w:val="both"/>
        <w:rPr>
          <w:sz w:val="24"/>
        </w:rPr>
      </w:pPr>
      <w:r>
        <w:rPr>
          <w:sz w:val="24"/>
        </w:rPr>
        <w:t>To provide welfare and development services including standard environmental sanitation and Community services.</w:t>
      </w:r>
    </w:p>
    <w:p>
      <w:pPr>
        <w:pStyle w:val="ListParagraph"/>
        <w:numPr>
          <w:ilvl w:val="0"/>
          <w:numId w:val="27"/>
        </w:numPr>
        <w:tabs>
          <w:tab w:pos="1900" w:val="left" w:leader="none"/>
        </w:tabs>
        <w:spacing w:line="480" w:lineRule="auto" w:before="0" w:after="0"/>
        <w:ind w:left="1900" w:right="115" w:hanging="360"/>
        <w:jc w:val="both"/>
        <w:rPr>
          <w:sz w:val="24"/>
        </w:rPr>
      </w:pPr>
      <w:r>
        <w:rPr>
          <w:sz w:val="24"/>
        </w:rPr>
        <w:t>To propagate effective modern ornamental parks, flower gardens, orchards and tree protection strategies for good hygiene, sanitation, afforestation and tourist attraction.</w:t>
      </w:r>
    </w:p>
    <w:p>
      <w:pPr>
        <w:pStyle w:val="ListParagraph"/>
        <w:numPr>
          <w:ilvl w:val="0"/>
          <w:numId w:val="27"/>
        </w:numPr>
        <w:tabs>
          <w:tab w:pos="1900" w:val="left" w:leader="none"/>
        </w:tabs>
        <w:spacing w:line="480" w:lineRule="auto" w:before="0" w:after="0"/>
        <w:ind w:left="1900" w:right="115" w:hanging="360"/>
        <w:jc w:val="both"/>
        <w:rPr>
          <w:sz w:val="24"/>
        </w:rPr>
      </w:pPr>
      <w:r>
        <w:rPr>
          <w:sz w:val="24"/>
        </w:rPr>
        <w:t>The University Health Centres should also be fully committed to offer free medical care, medical examinations, ante-natal care, child welfare services, family planning services, eye and dental care, immunization, laboratory services, free dispensation of drugs from Pharmacy</w:t>
      </w:r>
      <w:r>
        <w:rPr>
          <w:spacing w:val="40"/>
          <w:sz w:val="24"/>
        </w:rPr>
        <w:t> </w:t>
      </w:r>
      <w:r>
        <w:rPr>
          <w:spacing w:val="-2"/>
          <w:sz w:val="24"/>
        </w:rPr>
        <w:t>sections.</w:t>
      </w:r>
    </w:p>
    <w:p>
      <w:pPr>
        <w:pStyle w:val="ListParagraph"/>
        <w:numPr>
          <w:ilvl w:val="0"/>
          <w:numId w:val="27"/>
        </w:numPr>
        <w:tabs>
          <w:tab w:pos="1900" w:val="left" w:leader="none"/>
        </w:tabs>
        <w:spacing w:line="480" w:lineRule="auto" w:before="0" w:after="0"/>
        <w:ind w:left="1900" w:right="116" w:hanging="360"/>
        <w:jc w:val="both"/>
        <w:rPr>
          <w:sz w:val="24"/>
        </w:rPr>
      </w:pPr>
      <w:r>
        <w:rPr>
          <w:sz w:val="24"/>
        </w:rPr>
        <w:t>University</w:t>
      </w:r>
      <w:r>
        <w:rPr>
          <w:spacing w:val="-3"/>
          <w:sz w:val="24"/>
        </w:rPr>
        <w:t> </w:t>
      </w:r>
      <w:r>
        <w:rPr>
          <w:sz w:val="24"/>
        </w:rPr>
        <w:t>Health</w:t>
      </w:r>
      <w:r>
        <w:rPr>
          <w:spacing w:val="-2"/>
          <w:sz w:val="24"/>
        </w:rPr>
        <w:t> </w:t>
      </w:r>
      <w:r>
        <w:rPr>
          <w:sz w:val="24"/>
        </w:rPr>
        <w:t>Centres</w:t>
      </w:r>
      <w:r>
        <w:rPr>
          <w:spacing w:val="-3"/>
          <w:sz w:val="24"/>
        </w:rPr>
        <w:t> </w:t>
      </w:r>
      <w:r>
        <w:rPr>
          <w:sz w:val="24"/>
        </w:rPr>
        <w:t>should</w:t>
      </w:r>
      <w:r>
        <w:rPr>
          <w:spacing w:val="-5"/>
          <w:sz w:val="24"/>
        </w:rPr>
        <w:t> </w:t>
      </w:r>
      <w:r>
        <w:rPr>
          <w:sz w:val="24"/>
        </w:rPr>
        <w:t>be</w:t>
      </w:r>
      <w:r>
        <w:rPr>
          <w:spacing w:val="-5"/>
          <w:sz w:val="24"/>
        </w:rPr>
        <w:t> </w:t>
      </w:r>
      <w:r>
        <w:rPr>
          <w:sz w:val="24"/>
        </w:rPr>
        <w:t>in</w:t>
      </w:r>
      <w:r>
        <w:rPr>
          <w:spacing w:val="-2"/>
          <w:sz w:val="24"/>
        </w:rPr>
        <w:t> </w:t>
      </w:r>
      <w:r>
        <w:rPr>
          <w:sz w:val="24"/>
        </w:rPr>
        <w:t>the</w:t>
      </w:r>
      <w:r>
        <w:rPr>
          <w:spacing w:val="-2"/>
          <w:sz w:val="24"/>
        </w:rPr>
        <w:t> </w:t>
      </w:r>
      <w:r>
        <w:rPr>
          <w:sz w:val="24"/>
        </w:rPr>
        <w:t>forefront</w:t>
      </w:r>
      <w:r>
        <w:rPr>
          <w:spacing w:val="-6"/>
          <w:sz w:val="24"/>
        </w:rPr>
        <w:t> </w:t>
      </w:r>
      <w:r>
        <w:rPr>
          <w:sz w:val="24"/>
        </w:rPr>
        <w:t>in</w:t>
      </w:r>
      <w:r>
        <w:rPr>
          <w:spacing w:val="-2"/>
          <w:sz w:val="24"/>
        </w:rPr>
        <w:t> </w:t>
      </w:r>
      <w:r>
        <w:rPr>
          <w:sz w:val="24"/>
        </w:rPr>
        <w:t>the</w:t>
      </w:r>
      <w:r>
        <w:rPr>
          <w:spacing w:val="-2"/>
          <w:sz w:val="24"/>
        </w:rPr>
        <w:t> </w:t>
      </w:r>
      <w:r>
        <w:rPr>
          <w:sz w:val="24"/>
        </w:rPr>
        <w:t>campaign</w:t>
      </w:r>
      <w:r>
        <w:rPr>
          <w:spacing w:val="-2"/>
          <w:sz w:val="24"/>
        </w:rPr>
        <w:t> </w:t>
      </w:r>
      <w:r>
        <w:rPr>
          <w:sz w:val="24"/>
        </w:rPr>
        <w:t>for preventive measures against epidemics and various diseases and habits such as:</w:t>
      </w:r>
    </w:p>
    <w:p>
      <w:pPr>
        <w:pStyle w:val="ListParagraph"/>
        <w:numPr>
          <w:ilvl w:val="1"/>
          <w:numId w:val="27"/>
        </w:numPr>
        <w:tabs>
          <w:tab w:pos="2620" w:val="left" w:leader="none"/>
        </w:tabs>
        <w:spacing w:line="480" w:lineRule="auto" w:before="0" w:after="0"/>
        <w:ind w:left="2620" w:right="120" w:hanging="360"/>
        <w:jc w:val="both"/>
        <w:rPr>
          <w:sz w:val="24"/>
        </w:rPr>
      </w:pPr>
      <w:r>
        <w:rPr>
          <w:sz w:val="24"/>
        </w:rPr>
        <w:t>Sexually Transmitted Diseases (STDs), which include Chlamydia infection, gonorrhea, genital herpes, syphilis, hepatitis, vaginitis and HIV/AIDS.</w:t>
      </w:r>
    </w:p>
    <w:p>
      <w:pPr>
        <w:spacing w:after="0" w:line="480" w:lineRule="auto"/>
        <w:jc w:val="both"/>
        <w:rPr>
          <w:sz w:val="24"/>
        </w:rPr>
        <w:sectPr>
          <w:headerReference w:type="default" r:id="rId174"/>
          <w:footerReference w:type="default" r:id="rId175"/>
          <w:pgSz w:w="12240" w:h="15840"/>
          <w:pgMar w:header="722" w:footer="791" w:top="1340" w:bottom="980" w:left="1340" w:right="1320"/>
        </w:sectPr>
      </w:pPr>
    </w:p>
    <w:p>
      <w:pPr>
        <w:pStyle w:val="ListParagraph"/>
        <w:numPr>
          <w:ilvl w:val="1"/>
          <w:numId w:val="27"/>
        </w:numPr>
        <w:tabs>
          <w:tab w:pos="2620" w:val="left" w:leader="none"/>
        </w:tabs>
        <w:spacing w:line="480" w:lineRule="auto" w:before="89" w:after="0"/>
        <w:ind w:left="2620" w:right="114" w:hanging="360"/>
        <w:jc w:val="both"/>
        <w:rPr>
          <w:sz w:val="24"/>
        </w:rPr>
      </w:pPr>
      <w:r>
        <w:rPr>
          <w:sz w:val="24"/>
        </w:rPr>
        <w:t>Drug addiction and alcoholism: all stimulants such as amphetamines, LSD, Indian Hemp, Cocaine, alcoholic drinks that lead to addiction.</w:t>
      </w:r>
    </w:p>
    <w:p>
      <w:pPr>
        <w:pStyle w:val="ListParagraph"/>
        <w:numPr>
          <w:ilvl w:val="1"/>
          <w:numId w:val="27"/>
        </w:numPr>
        <w:tabs>
          <w:tab w:pos="2620" w:val="left" w:leader="none"/>
        </w:tabs>
        <w:spacing w:line="480" w:lineRule="auto" w:before="0" w:after="0"/>
        <w:ind w:left="2620" w:right="114" w:hanging="360"/>
        <w:jc w:val="both"/>
        <w:rPr>
          <w:sz w:val="24"/>
        </w:rPr>
      </w:pPr>
      <w:r>
        <w:rPr>
          <w:sz w:val="24"/>
        </w:rPr>
        <w:t>Unwanted pregnancies, Personal hygiene and cleanliness in reducing exposure to mosquitoes, congested areas open and contaminated foods, water and immediate report to the medical centers on outbreak of any deadly disease such as Cerebrospinal meningitis, Cholera, Typhoid fever, Tuberculosis, Hypertension, Severe Acute Respiratory Syndrome (SARS), Chicken-pox and others.</w:t>
      </w:r>
    </w:p>
    <w:p>
      <w:pPr>
        <w:pStyle w:val="BodyText"/>
        <w:spacing w:line="480" w:lineRule="auto"/>
        <w:ind w:left="820" w:right="114" w:firstLine="720"/>
        <w:jc w:val="both"/>
      </w:pPr>
      <w:r>
        <w:rPr/>
        <w:t>There should also be a well-organized laboratory system with blood</w:t>
      </w:r>
      <w:r>
        <w:rPr>
          <w:spacing w:val="40"/>
        </w:rPr>
        <w:t> </w:t>
      </w:r>
      <w:r>
        <w:rPr/>
        <w:t>banks, functional operating theatres and good number of beds in well-ventilated admission rooms. The services rendered should also be on 24 hour basis with Doctors, Staff Nurses and Sisters always on Call Duty and on Shift basis.</w:t>
      </w:r>
    </w:p>
    <w:p>
      <w:pPr>
        <w:pStyle w:val="BodyText"/>
        <w:spacing w:line="480" w:lineRule="auto"/>
        <w:ind w:left="820" w:right="116" w:firstLine="720"/>
        <w:jc w:val="both"/>
      </w:pPr>
      <w:r>
        <w:rPr/>
        <w:t>Students do complain about poor medical services by the University</w:t>
      </w:r>
      <w:r>
        <w:rPr>
          <w:spacing w:val="40"/>
        </w:rPr>
        <w:t> </w:t>
      </w:r>
      <w:r>
        <w:rPr/>
        <w:t>health centers, despite the efforts the universities make towards meeting</w:t>
      </w:r>
      <w:r>
        <w:rPr>
          <w:spacing w:val="40"/>
        </w:rPr>
        <w:t> </w:t>
      </w:r>
      <w:r>
        <w:rPr/>
        <w:t>students medical expectations. As reported by Baba (1962-1967) the health center in Ahmadu Bello University for instance could boast of treating more than average</w:t>
      </w:r>
      <w:r>
        <w:rPr>
          <w:spacing w:val="-5"/>
        </w:rPr>
        <w:t> </w:t>
      </w:r>
      <w:r>
        <w:rPr/>
        <w:t>of</w:t>
      </w:r>
      <w:r>
        <w:rPr>
          <w:spacing w:val="-2"/>
        </w:rPr>
        <w:t> </w:t>
      </w:r>
      <w:r>
        <w:rPr/>
        <w:t>500</w:t>
      </w:r>
      <w:r>
        <w:rPr>
          <w:spacing w:val="-1"/>
        </w:rPr>
        <w:t> </w:t>
      </w:r>
      <w:r>
        <w:rPr/>
        <w:t>student</w:t>
      </w:r>
      <w:r>
        <w:rPr>
          <w:spacing w:val="-6"/>
        </w:rPr>
        <w:t> </w:t>
      </w:r>
      <w:r>
        <w:rPr/>
        <w:t>patients</w:t>
      </w:r>
      <w:r>
        <w:rPr>
          <w:spacing w:val="-2"/>
        </w:rPr>
        <w:t> </w:t>
      </w:r>
      <w:r>
        <w:rPr/>
        <w:t>daily</w:t>
      </w:r>
      <w:r>
        <w:rPr>
          <w:spacing w:val="-7"/>
        </w:rPr>
        <w:t> </w:t>
      </w:r>
      <w:r>
        <w:rPr/>
        <w:t>in</w:t>
      </w:r>
      <w:r>
        <w:rPr>
          <w:spacing w:val="-1"/>
        </w:rPr>
        <w:t> </w:t>
      </w:r>
      <w:r>
        <w:rPr/>
        <w:t>1972</w:t>
      </w:r>
      <w:r>
        <w:rPr>
          <w:spacing w:val="-5"/>
        </w:rPr>
        <w:t> </w:t>
      </w:r>
      <w:r>
        <w:rPr/>
        <w:t>to</w:t>
      </w:r>
      <w:r>
        <w:rPr>
          <w:spacing w:val="-1"/>
        </w:rPr>
        <w:t> </w:t>
      </w:r>
      <w:r>
        <w:rPr/>
        <w:t>1987</w:t>
      </w:r>
      <w:r>
        <w:rPr>
          <w:spacing w:val="-1"/>
        </w:rPr>
        <w:t> </w:t>
      </w:r>
      <w:r>
        <w:rPr/>
        <w:t>and</w:t>
      </w:r>
      <w:r>
        <w:rPr>
          <w:spacing w:val="-1"/>
        </w:rPr>
        <w:t> </w:t>
      </w:r>
      <w:r>
        <w:rPr/>
        <w:t>over</w:t>
      </w:r>
      <w:r>
        <w:rPr>
          <w:spacing w:val="-5"/>
        </w:rPr>
        <w:t> </w:t>
      </w:r>
      <w:r>
        <w:rPr/>
        <w:t>a</w:t>
      </w:r>
      <w:r>
        <w:rPr>
          <w:spacing w:val="-1"/>
        </w:rPr>
        <w:t> </w:t>
      </w:r>
      <w:r>
        <w:rPr/>
        <w:t>total of</w:t>
      </w:r>
      <w:r>
        <w:rPr>
          <w:spacing w:val="-2"/>
        </w:rPr>
        <w:t> </w:t>
      </w:r>
      <w:r>
        <w:rPr/>
        <w:t>139,</w:t>
      </w:r>
      <w:r>
        <w:rPr>
          <w:spacing w:val="-6"/>
        </w:rPr>
        <w:t> </w:t>
      </w:r>
      <w:r>
        <w:rPr/>
        <w:t>677 in all the six clinics in the University in 2001.</w:t>
      </w:r>
    </w:p>
    <w:p>
      <w:pPr>
        <w:pStyle w:val="BodyText"/>
        <w:spacing w:line="480" w:lineRule="auto"/>
        <w:ind w:left="820" w:right="118" w:firstLine="720"/>
        <w:jc w:val="both"/>
      </w:pPr>
      <w:r>
        <w:rPr/>
        <w:t>In University of Maiduguri an average of over 500 patients both staff and students have been estimated to be treated daily. The figure exceeds that when the session is in full operation.</w:t>
      </w:r>
    </w:p>
    <w:p>
      <w:pPr>
        <w:spacing w:after="0" w:line="480" w:lineRule="auto"/>
        <w:jc w:val="both"/>
        <w:sectPr>
          <w:headerReference w:type="default" r:id="rId176"/>
          <w:footerReference w:type="default" r:id="rId177"/>
          <w:pgSz w:w="12240" w:h="15840"/>
          <w:pgMar w:header="722" w:footer="791" w:top="1340" w:bottom="980" w:left="1340" w:right="1320"/>
        </w:sectPr>
      </w:pPr>
    </w:p>
    <w:p>
      <w:pPr>
        <w:pStyle w:val="BodyText"/>
        <w:spacing w:line="480" w:lineRule="auto" w:before="89"/>
        <w:ind w:left="820" w:right="120" w:firstLine="720"/>
        <w:jc w:val="both"/>
      </w:pPr>
      <w:r>
        <w:rPr/>
        <w:t>Due to the problems of general under-funding the centers no doubt face inadequate and outdated equipment, facilities and under utilization of manpower coupled with the "</w:t>
      </w:r>
      <w:r>
        <w:rPr>
          <w:u w:val="single"/>
        </w:rPr>
        <w:t>out-of-stock syndrome</w:t>
      </w:r>
      <w:r>
        <w:rPr/>
        <w:t>" in the pharmacy section of the health centres. That is to say there can be acute shortage of drugs, vaccines and </w:t>
      </w:r>
      <w:r>
        <w:rPr>
          <w:spacing w:val="-2"/>
        </w:rPr>
        <w:t>equipment.</w:t>
      </w:r>
    </w:p>
    <w:p>
      <w:pPr>
        <w:pStyle w:val="BodyText"/>
        <w:spacing w:line="480" w:lineRule="auto"/>
        <w:ind w:left="820" w:right="115" w:firstLine="720"/>
        <w:jc w:val="both"/>
      </w:pPr>
      <w:r>
        <w:rPr/>
        <w:t>Whenever the centers become bankrupt and empty, the prescription services should continue and complex or emergency cases such as physically, psychologically/emotionally/mentally handicapped should be usually referred to the University Teaching Hospitals, General or Specialist hospitals for treatment. These hospitals are expected to teach, research and treat students promptly. To ease the medical problems of the students, the University Health Centres in conjunction</w:t>
      </w:r>
      <w:r>
        <w:rPr>
          <w:spacing w:val="-3"/>
        </w:rPr>
        <w:t> </w:t>
      </w:r>
      <w:r>
        <w:rPr/>
        <w:t>with</w:t>
      </w:r>
      <w:r>
        <w:rPr>
          <w:spacing w:val="-3"/>
        </w:rPr>
        <w:t> </w:t>
      </w:r>
      <w:r>
        <w:rPr/>
        <w:t>the</w:t>
      </w:r>
      <w:r>
        <w:rPr>
          <w:spacing w:val="-3"/>
        </w:rPr>
        <w:t> </w:t>
      </w:r>
      <w:r>
        <w:rPr/>
        <w:t>Guidance</w:t>
      </w:r>
      <w:r>
        <w:rPr>
          <w:spacing w:val="-3"/>
        </w:rPr>
        <w:t> </w:t>
      </w:r>
      <w:r>
        <w:rPr/>
        <w:t>and</w:t>
      </w:r>
      <w:r>
        <w:rPr>
          <w:spacing w:val="-3"/>
        </w:rPr>
        <w:t> </w:t>
      </w:r>
      <w:r>
        <w:rPr/>
        <w:t>Counselling</w:t>
      </w:r>
      <w:r>
        <w:rPr>
          <w:spacing w:val="-3"/>
        </w:rPr>
        <w:t> </w:t>
      </w:r>
      <w:r>
        <w:rPr/>
        <w:t>Centre</w:t>
      </w:r>
      <w:r>
        <w:rPr>
          <w:spacing w:val="-3"/>
        </w:rPr>
        <w:t> </w:t>
      </w:r>
      <w:r>
        <w:rPr/>
        <w:t>make</w:t>
      </w:r>
      <w:r>
        <w:rPr>
          <w:spacing w:val="-3"/>
        </w:rPr>
        <w:t> </w:t>
      </w:r>
      <w:r>
        <w:rPr/>
        <w:t>joint</w:t>
      </w:r>
      <w:r>
        <w:rPr>
          <w:spacing w:val="-4"/>
        </w:rPr>
        <w:t> </w:t>
      </w:r>
      <w:r>
        <w:rPr/>
        <w:t>arrangement</w:t>
      </w:r>
      <w:r>
        <w:rPr>
          <w:spacing w:val="-4"/>
        </w:rPr>
        <w:t> </w:t>
      </w:r>
      <w:r>
        <w:rPr/>
        <w:t>to coordinate the students Emergency referral voucher particularly, for complicated medical cases to the Teaching Hospitals respectively, after which the University settles certain percentage of the medical charges incurred accordingly.</w:t>
      </w:r>
    </w:p>
    <w:p>
      <w:pPr>
        <w:pStyle w:val="BodyText"/>
        <w:spacing w:line="480" w:lineRule="auto"/>
        <w:ind w:left="820" w:right="115" w:firstLine="720"/>
        <w:jc w:val="both"/>
      </w:pPr>
      <w:r>
        <w:rPr/>
        <w:t>Moreover due to the ever growing population of students every year the University health centers face enormous problems of satisfying all the patients. As a result students in particular, become so temperamental, volatile, impatient and trouble shooters with their uncivilized belief that the health centres have</w:t>
      </w:r>
      <w:r>
        <w:rPr>
          <w:spacing w:val="40"/>
        </w:rPr>
        <w:t> </w:t>
      </w:r>
      <w:r>
        <w:rPr/>
        <w:t>been established for them and every other person should take secondary</w:t>
      </w:r>
      <w:r>
        <w:rPr>
          <w:spacing w:val="40"/>
        </w:rPr>
        <w:t> </w:t>
      </w:r>
      <w:r>
        <w:rPr/>
        <w:t>position in the consideration of rights and privileges. Hence less attention should be given to staff, “as students are the sustainers of the Health Centres”.</w:t>
      </w:r>
    </w:p>
    <w:p>
      <w:pPr>
        <w:spacing w:after="0" w:line="480" w:lineRule="auto"/>
        <w:jc w:val="both"/>
        <w:sectPr>
          <w:headerReference w:type="default" r:id="rId178"/>
          <w:footerReference w:type="default" r:id="rId179"/>
          <w:pgSz w:w="12240" w:h="15840"/>
          <w:pgMar w:header="722" w:footer="791" w:top="1340" w:bottom="980" w:left="1340" w:right="1320"/>
        </w:sectPr>
      </w:pPr>
    </w:p>
    <w:p>
      <w:pPr>
        <w:pStyle w:val="BodyText"/>
        <w:spacing w:line="480" w:lineRule="auto" w:before="89"/>
        <w:ind w:left="820" w:right="116" w:firstLine="720"/>
        <w:jc w:val="both"/>
      </w:pPr>
      <w:r>
        <w:rPr/>
        <w:t>As a result of this negative perception, they claim that they are forced to patronize the private clinics and chemists stores outside the university campus despite the high charges, high risk of fake drugs, unsterilized injection needles, unqualified doctors and personnel and the effect of hopeless, hazardous unhygienic state of the clinics. There is also the tendency for students to be pushed to self-medication without medical prescription, which can consequently lead to drug abuse and misuse.</w:t>
      </w:r>
    </w:p>
    <w:p>
      <w:pPr>
        <w:pStyle w:val="BodyText"/>
        <w:spacing w:line="480" w:lineRule="auto"/>
        <w:ind w:left="820" w:right="116" w:firstLine="720"/>
        <w:jc w:val="both"/>
      </w:pPr>
      <w:r>
        <w:rPr/>
        <w:t>In most Universities under study, the Health Centres are charged with the responsibility of sanitizing, beautifying and taking care of the general sanitary condition on the campus environment. Under this Unit there should be casual or permanent cleaners and labourers to do the cleaning jobs, planting and taking care of parks and gardens. This unit also should inspect the hygienic quality of food</w:t>
      </w:r>
      <w:r>
        <w:rPr>
          <w:spacing w:val="-1"/>
        </w:rPr>
        <w:t> </w:t>
      </w:r>
      <w:r>
        <w:rPr/>
        <w:t>items</w:t>
      </w:r>
      <w:r>
        <w:rPr>
          <w:spacing w:val="-2"/>
        </w:rPr>
        <w:t> </w:t>
      </w:r>
      <w:r>
        <w:rPr/>
        <w:t>prepared</w:t>
      </w:r>
      <w:r>
        <w:rPr>
          <w:spacing w:val="-1"/>
        </w:rPr>
        <w:t> </w:t>
      </w:r>
      <w:r>
        <w:rPr/>
        <w:t>in</w:t>
      </w:r>
      <w:r>
        <w:rPr>
          <w:spacing w:val="-1"/>
        </w:rPr>
        <w:t> </w:t>
      </w:r>
      <w:r>
        <w:rPr/>
        <w:t>the</w:t>
      </w:r>
      <w:r>
        <w:rPr>
          <w:spacing w:val="-1"/>
        </w:rPr>
        <w:t> </w:t>
      </w:r>
      <w:r>
        <w:rPr/>
        <w:t>Cafeterias,</w:t>
      </w:r>
      <w:r>
        <w:rPr>
          <w:spacing w:val="-2"/>
        </w:rPr>
        <w:t> </w:t>
      </w:r>
      <w:r>
        <w:rPr/>
        <w:t>Bukaterias,</w:t>
      </w:r>
      <w:r>
        <w:rPr>
          <w:spacing w:val="-2"/>
        </w:rPr>
        <w:t> </w:t>
      </w:r>
      <w:r>
        <w:rPr/>
        <w:t>Canteens</w:t>
      </w:r>
      <w:r>
        <w:rPr>
          <w:spacing w:val="-2"/>
        </w:rPr>
        <w:t> </w:t>
      </w:r>
      <w:r>
        <w:rPr/>
        <w:t>as</w:t>
      </w:r>
      <w:r>
        <w:rPr>
          <w:spacing w:val="-2"/>
        </w:rPr>
        <w:t> </w:t>
      </w:r>
      <w:r>
        <w:rPr/>
        <w:t>well as</w:t>
      </w:r>
      <w:r>
        <w:rPr>
          <w:spacing w:val="-2"/>
        </w:rPr>
        <w:t> </w:t>
      </w:r>
      <w:r>
        <w:rPr/>
        <w:t>the</w:t>
      </w:r>
      <w:r>
        <w:rPr>
          <w:spacing w:val="-1"/>
        </w:rPr>
        <w:t> </w:t>
      </w:r>
      <w:r>
        <w:rPr/>
        <w:t>health of the food handlers.</w:t>
      </w:r>
    </w:p>
    <w:p>
      <w:pPr>
        <w:pStyle w:val="Heading2"/>
        <w:numPr>
          <w:ilvl w:val="2"/>
          <w:numId w:val="19"/>
        </w:numPr>
        <w:tabs>
          <w:tab w:pos="817" w:val="left" w:leader="none"/>
        </w:tabs>
        <w:spacing w:line="318" w:lineRule="exact" w:before="0" w:after="0"/>
        <w:ind w:left="817" w:right="0" w:hanging="717"/>
        <w:jc w:val="left"/>
        <w:rPr>
          <w:rFonts w:ascii="Arial MT"/>
          <w:b w:val="0"/>
        </w:rPr>
      </w:pPr>
      <w:bookmarkStart w:name="_TOC_250035" w:id="33"/>
      <w:r>
        <w:rPr/>
        <w:t>Environmental</w:t>
      </w:r>
      <w:r>
        <w:rPr>
          <w:spacing w:val="-19"/>
        </w:rPr>
        <w:t> </w:t>
      </w:r>
      <w:bookmarkEnd w:id="33"/>
      <w:r>
        <w:rPr>
          <w:spacing w:val="-2"/>
        </w:rPr>
        <w:t>Services</w:t>
      </w:r>
    </w:p>
    <w:p>
      <w:pPr>
        <w:pStyle w:val="BodyText"/>
        <w:spacing w:before="3"/>
        <w:rPr>
          <w:rFonts w:ascii="Arial"/>
          <w:b/>
          <w:sz w:val="28"/>
        </w:rPr>
      </w:pPr>
    </w:p>
    <w:p>
      <w:pPr>
        <w:pStyle w:val="BodyText"/>
        <w:spacing w:line="480" w:lineRule="auto"/>
        <w:ind w:left="820" w:right="116" w:firstLine="720"/>
        <w:jc w:val="both"/>
      </w:pPr>
      <w:r>
        <w:rPr/>
        <w:t>The environmental services include the ‘tone’: the total atmospheric climate of the University, which permits conducive climate for students’</w:t>
      </w:r>
      <w:r>
        <w:rPr>
          <w:spacing w:val="40"/>
        </w:rPr>
        <w:t> </w:t>
      </w:r>
      <w:r>
        <w:rPr/>
        <w:t>“academic and other activities”. The University Campus is a unique environment and it should provide a rationale for attitudes and actions of students. It should most importantly provide intellectual atmosphere, which should liberate students from constraints of every day expectations and inculcate norms towards improving</w:t>
      </w:r>
      <w:r>
        <w:rPr>
          <w:spacing w:val="36"/>
        </w:rPr>
        <w:t> </w:t>
      </w:r>
      <w:r>
        <w:rPr/>
        <w:t>social</w:t>
      </w:r>
      <w:r>
        <w:rPr>
          <w:spacing w:val="36"/>
        </w:rPr>
        <w:t> </w:t>
      </w:r>
      <w:r>
        <w:rPr/>
        <w:t>intellectual</w:t>
      </w:r>
      <w:r>
        <w:rPr>
          <w:spacing w:val="40"/>
        </w:rPr>
        <w:t> </w:t>
      </w:r>
      <w:r>
        <w:rPr/>
        <w:t>and</w:t>
      </w:r>
      <w:r>
        <w:rPr>
          <w:spacing w:val="33"/>
        </w:rPr>
        <w:t> </w:t>
      </w:r>
      <w:r>
        <w:rPr/>
        <w:t>technological</w:t>
      </w:r>
      <w:r>
        <w:rPr>
          <w:spacing w:val="40"/>
        </w:rPr>
        <w:t> </w:t>
      </w:r>
      <w:r>
        <w:rPr/>
        <w:t>awareness.</w:t>
      </w:r>
      <w:r>
        <w:rPr>
          <w:spacing w:val="37"/>
        </w:rPr>
        <w:t> </w:t>
      </w:r>
      <w:r>
        <w:rPr/>
        <w:t>Campus</w:t>
      </w:r>
      <w:r>
        <w:rPr>
          <w:spacing w:val="35"/>
        </w:rPr>
        <w:t> </w:t>
      </w:r>
      <w:r>
        <w:rPr/>
        <w:t>life</w:t>
      </w:r>
      <w:r>
        <w:rPr>
          <w:spacing w:val="37"/>
        </w:rPr>
        <w:t> </w:t>
      </w:r>
      <w:r>
        <w:rPr>
          <w:spacing w:val="-2"/>
        </w:rPr>
        <w:t>should</w:t>
      </w:r>
    </w:p>
    <w:p>
      <w:pPr>
        <w:spacing w:after="0" w:line="480" w:lineRule="auto"/>
        <w:jc w:val="both"/>
        <w:sectPr>
          <w:headerReference w:type="default" r:id="rId180"/>
          <w:footerReference w:type="default" r:id="rId181"/>
          <w:pgSz w:w="12240" w:h="15840"/>
          <w:pgMar w:header="722" w:footer="791" w:top="1340" w:bottom="980" w:left="1340" w:right="1320"/>
        </w:sectPr>
      </w:pPr>
    </w:p>
    <w:p>
      <w:pPr>
        <w:pStyle w:val="BodyText"/>
        <w:spacing w:line="480" w:lineRule="auto" w:before="89"/>
        <w:ind w:left="820" w:right="116"/>
        <w:jc w:val="both"/>
      </w:pPr>
      <w:r>
        <w:rPr/>
        <w:t>instill idea of academic habits, critical thinking and excellence as well as satisfying students’ culture of intellectual curiosity.</w:t>
      </w:r>
    </w:p>
    <w:p>
      <w:pPr>
        <w:pStyle w:val="BodyText"/>
        <w:spacing w:line="480" w:lineRule="auto"/>
        <w:ind w:left="820" w:right="116" w:firstLine="720"/>
        <w:jc w:val="both"/>
      </w:pPr>
      <w:r>
        <w:rPr/>
        <w:t>According to Anderson (1971:55) teaching and learning do not take place smoothly in a campus that is infested with protests, demonstration, lack of adequate feeding, housing facilities and all what make up a good students’ campus. It is therefore important to save guard the peace, tranquility, free health and friendly environment conducive for teaching and learning.</w:t>
      </w:r>
    </w:p>
    <w:p>
      <w:pPr>
        <w:pStyle w:val="BodyText"/>
        <w:spacing w:line="480" w:lineRule="auto"/>
        <w:ind w:left="820" w:right="116" w:firstLine="720"/>
        <w:jc w:val="both"/>
      </w:pPr>
      <w:r>
        <w:rPr/>
        <w:t>The environmental services, which should be harnessed in the University campus, should normally include:</w:t>
      </w:r>
    </w:p>
    <w:p>
      <w:pPr>
        <w:pStyle w:val="ListParagraph"/>
        <w:numPr>
          <w:ilvl w:val="0"/>
          <w:numId w:val="28"/>
        </w:numPr>
        <w:tabs>
          <w:tab w:pos="2260" w:val="left" w:leader="none"/>
        </w:tabs>
        <w:spacing w:line="480" w:lineRule="auto" w:before="0" w:after="0"/>
        <w:ind w:left="2260" w:right="117" w:hanging="360"/>
        <w:jc w:val="both"/>
        <w:rPr>
          <w:sz w:val="24"/>
        </w:rPr>
      </w:pPr>
      <w:r>
        <w:rPr>
          <w:sz w:val="24"/>
        </w:rPr>
        <w:t>Conducive institutional climate that is to say peaceful, tranquil and suitable environment.</w:t>
      </w:r>
    </w:p>
    <w:p>
      <w:pPr>
        <w:pStyle w:val="ListParagraph"/>
        <w:numPr>
          <w:ilvl w:val="0"/>
          <w:numId w:val="28"/>
        </w:numPr>
        <w:tabs>
          <w:tab w:pos="2259" w:val="left" w:leader="none"/>
        </w:tabs>
        <w:spacing w:line="240" w:lineRule="auto" w:before="0" w:after="0"/>
        <w:ind w:left="2259" w:right="0" w:hanging="359"/>
        <w:jc w:val="both"/>
        <w:rPr>
          <w:sz w:val="24"/>
        </w:rPr>
      </w:pPr>
      <w:r>
        <w:rPr>
          <w:spacing w:val="-2"/>
          <w:sz w:val="24"/>
        </w:rPr>
        <w:t>Cordial</w:t>
      </w:r>
      <w:r>
        <w:rPr>
          <w:spacing w:val="14"/>
          <w:sz w:val="24"/>
        </w:rPr>
        <w:t> </w:t>
      </w:r>
      <w:r>
        <w:rPr>
          <w:spacing w:val="-2"/>
          <w:sz w:val="24"/>
        </w:rPr>
        <w:t>Student-Lecturer,</w:t>
      </w:r>
      <w:r>
        <w:rPr>
          <w:spacing w:val="5"/>
          <w:sz w:val="24"/>
        </w:rPr>
        <w:t> </w:t>
      </w:r>
      <w:r>
        <w:rPr>
          <w:spacing w:val="-2"/>
          <w:sz w:val="24"/>
        </w:rPr>
        <w:t>Advisor-Advisee</w:t>
      </w:r>
      <w:r>
        <w:rPr>
          <w:spacing w:val="7"/>
          <w:sz w:val="24"/>
        </w:rPr>
        <w:t> </w:t>
      </w:r>
      <w:r>
        <w:rPr>
          <w:spacing w:val="-2"/>
          <w:sz w:val="24"/>
        </w:rPr>
        <w:t>relationship.</w:t>
      </w:r>
    </w:p>
    <w:p>
      <w:pPr>
        <w:pStyle w:val="BodyText"/>
      </w:pPr>
    </w:p>
    <w:p>
      <w:pPr>
        <w:pStyle w:val="ListParagraph"/>
        <w:numPr>
          <w:ilvl w:val="0"/>
          <w:numId w:val="28"/>
        </w:numPr>
        <w:tabs>
          <w:tab w:pos="2260" w:val="left" w:leader="none"/>
        </w:tabs>
        <w:spacing w:line="480" w:lineRule="auto" w:before="0" w:after="0"/>
        <w:ind w:left="2260" w:right="120" w:hanging="360"/>
        <w:jc w:val="both"/>
        <w:rPr>
          <w:sz w:val="24"/>
        </w:rPr>
      </w:pPr>
      <w:r>
        <w:rPr>
          <w:sz w:val="24"/>
        </w:rPr>
        <w:t>An atmosphere of safety, confidence, adaptability and </w:t>
      </w:r>
      <w:r>
        <w:rPr>
          <w:spacing w:val="-2"/>
          <w:sz w:val="24"/>
        </w:rPr>
        <w:t>belongingness.</w:t>
      </w:r>
    </w:p>
    <w:p>
      <w:pPr>
        <w:pStyle w:val="ListParagraph"/>
        <w:numPr>
          <w:ilvl w:val="0"/>
          <w:numId w:val="28"/>
        </w:numPr>
        <w:tabs>
          <w:tab w:pos="2259" w:val="left" w:leader="none"/>
        </w:tabs>
        <w:spacing w:line="240" w:lineRule="auto" w:before="0" w:after="0"/>
        <w:ind w:left="2259" w:right="0" w:hanging="359"/>
        <w:jc w:val="both"/>
        <w:rPr>
          <w:sz w:val="24"/>
        </w:rPr>
      </w:pPr>
      <w:r>
        <w:rPr>
          <w:sz w:val="24"/>
        </w:rPr>
        <w:t>A</w:t>
      </w:r>
      <w:r>
        <w:rPr>
          <w:spacing w:val="-7"/>
          <w:sz w:val="24"/>
        </w:rPr>
        <w:t> </w:t>
      </w:r>
      <w:r>
        <w:rPr>
          <w:sz w:val="24"/>
        </w:rPr>
        <w:t>clean,</w:t>
      </w:r>
      <w:r>
        <w:rPr>
          <w:spacing w:val="-8"/>
          <w:sz w:val="24"/>
        </w:rPr>
        <w:t> </w:t>
      </w:r>
      <w:r>
        <w:rPr>
          <w:sz w:val="24"/>
        </w:rPr>
        <w:t>beautiful,</w:t>
      </w:r>
      <w:r>
        <w:rPr>
          <w:spacing w:val="-5"/>
          <w:sz w:val="24"/>
        </w:rPr>
        <w:t> </w:t>
      </w:r>
      <w:r>
        <w:rPr>
          <w:sz w:val="24"/>
        </w:rPr>
        <w:t>spacious</w:t>
      </w:r>
      <w:r>
        <w:rPr>
          <w:spacing w:val="-10"/>
          <w:sz w:val="24"/>
        </w:rPr>
        <w:t> </w:t>
      </w:r>
      <w:r>
        <w:rPr>
          <w:sz w:val="24"/>
        </w:rPr>
        <w:t>and</w:t>
      </w:r>
      <w:r>
        <w:rPr>
          <w:spacing w:val="-4"/>
          <w:sz w:val="24"/>
        </w:rPr>
        <w:t> </w:t>
      </w:r>
      <w:r>
        <w:rPr>
          <w:sz w:val="24"/>
        </w:rPr>
        <w:t>hazard</w:t>
      </w:r>
      <w:r>
        <w:rPr>
          <w:spacing w:val="-8"/>
          <w:sz w:val="24"/>
        </w:rPr>
        <w:t> </w:t>
      </w:r>
      <w:r>
        <w:rPr>
          <w:sz w:val="24"/>
        </w:rPr>
        <w:t>free</w:t>
      </w:r>
      <w:r>
        <w:rPr>
          <w:spacing w:val="-8"/>
          <w:sz w:val="24"/>
        </w:rPr>
        <w:t> </w:t>
      </w:r>
      <w:r>
        <w:rPr>
          <w:spacing w:val="-2"/>
          <w:sz w:val="24"/>
        </w:rPr>
        <w:t>environment.</w:t>
      </w:r>
    </w:p>
    <w:p>
      <w:pPr>
        <w:pStyle w:val="Heading2"/>
        <w:numPr>
          <w:ilvl w:val="3"/>
          <w:numId w:val="29"/>
        </w:numPr>
        <w:tabs>
          <w:tab w:pos="1179" w:val="left" w:leader="none"/>
        </w:tabs>
        <w:spacing w:line="240" w:lineRule="auto" w:before="272" w:after="0"/>
        <w:ind w:left="1179" w:right="0" w:hanging="1079"/>
        <w:jc w:val="left"/>
      </w:pPr>
      <w:r>
        <w:rPr/>
        <w:t>Conducive</w:t>
      </w:r>
      <w:r>
        <w:rPr>
          <w:spacing w:val="-11"/>
        </w:rPr>
        <w:t> </w:t>
      </w:r>
      <w:r>
        <w:rPr/>
        <w:t>Institutional</w:t>
      </w:r>
      <w:r>
        <w:rPr>
          <w:spacing w:val="-15"/>
        </w:rPr>
        <w:t> </w:t>
      </w:r>
      <w:r>
        <w:rPr>
          <w:spacing w:val="-2"/>
        </w:rPr>
        <w:t>Climate</w:t>
      </w:r>
    </w:p>
    <w:p>
      <w:pPr>
        <w:pStyle w:val="BodyText"/>
        <w:spacing w:before="3"/>
        <w:rPr>
          <w:rFonts w:ascii="Arial"/>
          <w:b/>
          <w:sz w:val="28"/>
        </w:rPr>
      </w:pPr>
    </w:p>
    <w:p>
      <w:pPr>
        <w:pStyle w:val="BodyText"/>
        <w:spacing w:line="480" w:lineRule="auto"/>
        <w:ind w:left="820" w:right="115" w:firstLine="720"/>
        <w:jc w:val="both"/>
      </w:pPr>
      <w:r>
        <w:rPr/>
        <w:t>Factors which could influence a conducive environment for students’ learning include school culture, the quality of staff, teachers expectation of students and vice versa, administrative policies, curriculum, peer influence and relationship. A peaceful tranquil and friendly campus environment is the most ideal and suitable for academic activities. Academic work is very challenging. Hence a healthy and friendly condition that can reduce tension and stress on students</w:t>
      </w:r>
      <w:r>
        <w:rPr>
          <w:spacing w:val="31"/>
        </w:rPr>
        <w:t> </w:t>
      </w:r>
      <w:r>
        <w:rPr/>
        <w:t>must</w:t>
      </w:r>
      <w:r>
        <w:rPr>
          <w:spacing w:val="32"/>
        </w:rPr>
        <w:t> </w:t>
      </w:r>
      <w:r>
        <w:rPr/>
        <w:t>be</w:t>
      </w:r>
      <w:r>
        <w:rPr>
          <w:spacing w:val="33"/>
        </w:rPr>
        <w:t> </w:t>
      </w:r>
      <w:r>
        <w:rPr/>
        <w:t>created.</w:t>
      </w:r>
      <w:r>
        <w:rPr>
          <w:spacing w:val="32"/>
        </w:rPr>
        <w:t> </w:t>
      </w:r>
      <w:r>
        <w:rPr/>
        <w:t>Usually</w:t>
      </w:r>
      <w:r>
        <w:rPr>
          <w:spacing w:val="27"/>
        </w:rPr>
        <w:t> </w:t>
      </w:r>
      <w:r>
        <w:rPr/>
        <w:t>in</w:t>
      </w:r>
      <w:r>
        <w:rPr>
          <w:spacing w:val="33"/>
        </w:rPr>
        <w:t> </w:t>
      </w:r>
      <w:r>
        <w:rPr/>
        <w:t>all</w:t>
      </w:r>
      <w:r>
        <w:rPr>
          <w:spacing w:val="36"/>
        </w:rPr>
        <w:t> </w:t>
      </w:r>
      <w:r>
        <w:rPr/>
        <w:t>universities</w:t>
      </w:r>
      <w:r>
        <w:rPr>
          <w:spacing w:val="32"/>
        </w:rPr>
        <w:t> </w:t>
      </w:r>
      <w:r>
        <w:rPr/>
        <w:t>under</w:t>
      </w:r>
      <w:r>
        <w:rPr>
          <w:spacing w:val="33"/>
        </w:rPr>
        <w:t> </w:t>
      </w:r>
      <w:r>
        <w:rPr/>
        <w:t>study</w:t>
      </w:r>
      <w:r>
        <w:rPr>
          <w:spacing w:val="32"/>
        </w:rPr>
        <w:t> </w:t>
      </w:r>
      <w:r>
        <w:rPr/>
        <w:t>or</w:t>
      </w:r>
      <w:r>
        <w:rPr>
          <w:spacing w:val="33"/>
        </w:rPr>
        <w:t> </w:t>
      </w:r>
      <w:r>
        <w:rPr>
          <w:spacing w:val="-2"/>
        </w:rPr>
        <w:t>elsewhere</w:t>
      </w:r>
    </w:p>
    <w:p>
      <w:pPr>
        <w:spacing w:after="0" w:line="480" w:lineRule="auto"/>
        <w:jc w:val="both"/>
        <w:sectPr>
          <w:headerReference w:type="default" r:id="rId182"/>
          <w:footerReference w:type="default" r:id="rId183"/>
          <w:pgSz w:w="12240" w:h="15840"/>
          <w:pgMar w:header="722" w:footer="791" w:top="1340" w:bottom="980" w:left="1340" w:right="1320"/>
        </w:sectPr>
      </w:pPr>
    </w:p>
    <w:p>
      <w:pPr>
        <w:pStyle w:val="BodyText"/>
        <w:spacing w:line="480" w:lineRule="auto" w:before="89"/>
        <w:ind w:left="820" w:right="118"/>
        <w:jc w:val="both"/>
      </w:pPr>
      <w:r>
        <w:rPr/>
        <w:t>students, staff and management are the determinants of the institutional climate. Quite often conflicts evolve from lack of tolerance from students or staff or administration. The confusion arising from the conflicts creates tension and the atmosphere on the campuses becomes unbearable.</w:t>
      </w:r>
    </w:p>
    <w:p>
      <w:pPr>
        <w:pStyle w:val="BodyText"/>
        <w:spacing w:line="480" w:lineRule="auto"/>
        <w:ind w:left="820" w:right="113" w:firstLine="720"/>
        <w:jc w:val="both"/>
      </w:pPr>
      <w:r>
        <w:rPr/>
        <w:t>For instance the students’ demonstration in 1973 over increase in school fees popularly tagged as ‘Ali Must Go’ then in 1976/1977 over the introduction of National Youth Service Corps (NYSC) during Gen. Gowon’s regime, ‘Ango Must Go’ of Ahmadu Bello University in 1986, Students’ participation in religious uprisings on campuses, religious sectarian clashes and clashes over elections,</w:t>
      </w:r>
      <w:r>
        <w:rPr>
          <w:spacing w:val="40"/>
        </w:rPr>
        <w:t> </w:t>
      </w:r>
      <w:r>
        <w:rPr/>
        <w:t>as well as the crisis from campus unions, the Academic Staff Union of Nigerian Universities (ASUU), the Senior Staff Association of Nigerian Universities (SSANU) and the Non-Academic Staff Union (NASU) are all examples of situations that breed violence, unfriendly atmosphere on campus. A more devastating violence that cannot be easily forgotten is the 1995-1996 Ahmadu Bello University Scenario which left the institution in an unbearable unconducive atmosphere for academic activities. This erupted mainly due to massive student admission and overblown student population. As a result students became insecure, staff became oversaturated, restive and violent. Instead of facing their primary duties, some of them engaged themselves in generating selfish political and ethnic vestages which made the University “degenerate into sustained paralysis”. The University to most staff and students was no longer a safe institution for academic excellence and pursuits, rather it became a battle field. Consequently,</w:t>
      </w:r>
      <w:r>
        <w:rPr>
          <w:spacing w:val="-3"/>
        </w:rPr>
        <w:t> </w:t>
      </w:r>
      <w:r>
        <w:rPr/>
        <w:t>the</w:t>
      </w:r>
      <w:r>
        <w:rPr>
          <w:spacing w:val="-2"/>
        </w:rPr>
        <w:t> </w:t>
      </w:r>
      <w:r>
        <w:rPr/>
        <w:t>tense</w:t>
      </w:r>
      <w:r>
        <w:rPr>
          <w:spacing w:val="-2"/>
        </w:rPr>
        <w:t> </w:t>
      </w:r>
      <w:r>
        <w:rPr/>
        <w:t>atmosphere</w:t>
      </w:r>
      <w:r>
        <w:rPr>
          <w:spacing w:val="-2"/>
        </w:rPr>
        <w:t> </w:t>
      </w:r>
      <w:r>
        <w:rPr/>
        <w:t>led</w:t>
      </w:r>
      <w:r>
        <w:rPr>
          <w:spacing w:val="-2"/>
        </w:rPr>
        <w:t> </w:t>
      </w:r>
      <w:r>
        <w:rPr/>
        <w:t>to</w:t>
      </w:r>
      <w:r>
        <w:rPr>
          <w:spacing w:val="-2"/>
        </w:rPr>
        <w:t> </w:t>
      </w:r>
      <w:r>
        <w:rPr/>
        <w:t>the</w:t>
      </w:r>
      <w:r>
        <w:rPr>
          <w:spacing w:val="-2"/>
        </w:rPr>
        <w:t> </w:t>
      </w:r>
      <w:r>
        <w:rPr/>
        <w:t>appointment</w:t>
      </w:r>
      <w:r>
        <w:rPr>
          <w:spacing w:val="-3"/>
        </w:rPr>
        <w:t> </w:t>
      </w:r>
      <w:r>
        <w:rPr/>
        <w:t>of</w:t>
      </w:r>
      <w:r>
        <w:rPr>
          <w:spacing w:val="-3"/>
        </w:rPr>
        <w:t> </w:t>
      </w:r>
      <w:r>
        <w:rPr/>
        <w:t>General Mamman</w:t>
      </w:r>
    </w:p>
    <w:p>
      <w:pPr>
        <w:spacing w:after="0" w:line="480" w:lineRule="auto"/>
        <w:jc w:val="both"/>
        <w:sectPr>
          <w:headerReference w:type="default" r:id="rId184"/>
          <w:footerReference w:type="default" r:id="rId185"/>
          <w:pgSz w:w="12240" w:h="15840"/>
          <w:pgMar w:header="722" w:footer="791" w:top="1340" w:bottom="980" w:left="1340" w:right="1320"/>
        </w:sectPr>
      </w:pPr>
    </w:p>
    <w:p>
      <w:pPr>
        <w:pStyle w:val="BodyText"/>
        <w:spacing w:line="480" w:lineRule="auto" w:before="89"/>
        <w:ind w:left="820" w:right="114"/>
        <w:jc w:val="both"/>
      </w:pPr>
      <w:r>
        <w:rPr/>
        <w:t>Kontagora (Rtd) a Military personnel as a Sole Administrator</w:t>
      </w:r>
      <w:r>
        <w:rPr>
          <w:spacing w:val="40"/>
        </w:rPr>
        <w:t> </w:t>
      </w:r>
      <w:r>
        <w:rPr/>
        <w:t>of the University in December, 1995. Although the general public was astonished by his</w:t>
      </w:r>
      <w:r>
        <w:rPr>
          <w:spacing w:val="40"/>
        </w:rPr>
        <w:t> </w:t>
      </w:r>
      <w:r>
        <w:rPr/>
        <w:t>appointment, he was able to restore peace and stability in the University. During his administration there ensued massive screening of students and massive retirements of staff. Admission figure was reduced by trimming student</w:t>
      </w:r>
      <w:r>
        <w:rPr>
          <w:spacing w:val="40"/>
        </w:rPr>
        <w:t> </w:t>
      </w:r>
      <w:r>
        <w:rPr/>
        <w:t>population from over 30,000 down to about 17,000 in 1998 to 24,000 in 2002, (M.I.S, 1998-2002). With this twist in events peace was once again restored and the environment became conducive for teaching, learning and even research.</w:t>
      </w:r>
    </w:p>
    <w:p>
      <w:pPr>
        <w:pStyle w:val="Heading2"/>
        <w:numPr>
          <w:ilvl w:val="3"/>
          <w:numId w:val="29"/>
        </w:numPr>
        <w:tabs>
          <w:tab w:pos="1179" w:val="left" w:leader="none"/>
        </w:tabs>
        <w:spacing w:line="318" w:lineRule="exact" w:before="0" w:after="0"/>
        <w:ind w:left="1179" w:right="0" w:hanging="1079"/>
        <w:jc w:val="left"/>
      </w:pPr>
      <w:r>
        <w:rPr/>
        <w:t>Cordial</w:t>
      </w:r>
      <w:r>
        <w:rPr>
          <w:spacing w:val="-15"/>
        </w:rPr>
        <w:t> </w:t>
      </w:r>
      <w:r>
        <w:rPr/>
        <w:t>Student-Lecturer,</w:t>
      </w:r>
      <w:r>
        <w:rPr>
          <w:spacing w:val="-9"/>
        </w:rPr>
        <w:t> </w:t>
      </w:r>
      <w:r>
        <w:rPr/>
        <w:t>Advisor-Advisee</w:t>
      </w:r>
      <w:r>
        <w:rPr>
          <w:spacing w:val="-15"/>
        </w:rPr>
        <w:t> </w:t>
      </w:r>
      <w:r>
        <w:rPr>
          <w:spacing w:val="-2"/>
        </w:rPr>
        <w:t>Relationship</w:t>
      </w:r>
    </w:p>
    <w:p>
      <w:pPr>
        <w:pStyle w:val="BodyText"/>
        <w:spacing w:before="3"/>
        <w:rPr>
          <w:rFonts w:ascii="Arial"/>
          <w:b/>
          <w:sz w:val="28"/>
        </w:rPr>
      </w:pPr>
    </w:p>
    <w:p>
      <w:pPr>
        <w:pStyle w:val="BodyText"/>
        <w:spacing w:line="480" w:lineRule="auto"/>
        <w:ind w:left="820" w:right="115" w:firstLine="720"/>
        <w:jc w:val="both"/>
      </w:pPr>
      <w:r>
        <w:rPr/>
        <w:t>The cordial Student-Lecturer and Advisor-Advisee system in the universities should be emphasized and maintained. This practice in the universities should be seen as extension of the students’ homes and parents.</w:t>
      </w:r>
      <w:r>
        <w:rPr>
          <w:spacing w:val="40"/>
        </w:rPr>
        <w:t> </w:t>
      </w:r>
      <w:r>
        <w:rPr/>
        <w:t>The University staff are not only</w:t>
      </w:r>
      <w:r>
        <w:rPr>
          <w:spacing w:val="-2"/>
        </w:rPr>
        <w:t> </w:t>
      </w:r>
      <w:r>
        <w:rPr/>
        <w:t>there</w:t>
      </w:r>
      <w:r>
        <w:rPr>
          <w:spacing w:val="-1"/>
        </w:rPr>
        <w:t> </w:t>
      </w:r>
      <w:r>
        <w:rPr/>
        <w:t>to teach students.</w:t>
      </w:r>
      <w:r>
        <w:rPr>
          <w:spacing w:val="-2"/>
        </w:rPr>
        <w:t> </w:t>
      </w:r>
      <w:r>
        <w:rPr/>
        <w:t>They should be seen as surrogates and ‘loco-parentis’.</w:t>
      </w:r>
      <w:r>
        <w:rPr>
          <w:spacing w:val="-2"/>
        </w:rPr>
        <w:t> </w:t>
      </w:r>
      <w:r>
        <w:rPr/>
        <w:t>As a new</w:t>
      </w:r>
      <w:r>
        <w:rPr>
          <w:spacing w:val="-3"/>
        </w:rPr>
        <w:t> </w:t>
      </w:r>
      <w:r>
        <w:rPr/>
        <w:t>environment to the students they</w:t>
      </w:r>
      <w:r>
        <w:rPr>
          <w:spacing w:val="-3"/>
        </w:rPr>
        <w:t> </w:t>
      </w:r>
      <w:r>
        <w:rPr/>
        <w:t>should be guided, advised and encouraged to adapt to positive norms in the University system particularly adapt to the new reading, learning habits, tolerance and </w:t>
      </w:r>
      <w:r>
        <w:rPr>
          <w:spacing w:val="-2"/>
        </w:rPr>
        <w:t>flexibility.</w:t>
      </w:r>
    </w:p>
    <w:p>
      <w:pPr>
        <w:pStyle w:val="BodyText"/>
        <w:spacing w:line="480" w:lineRule="auto"/>
        <w:ind w:left="820" w:right="117" w:firstLine="720"/>
        <w:jc w:val="both"/>
      </w:pPr>
      <w:r>
        <w:rPr/>
        <w:t>It is</w:t>
      </w:r>
      <w:r>
        <w:rPr>
          <w:spacing w:val="-3"/>
        </w:rPr>
        <w:t> </w:t>
      </w:r>
      <w:r>
        <w:rPr/>
        <w:t>the duty of the advisors to</w:t>
      </w:r>
      <w:r>
        <w:rPr>
          <w:spacing w:val="-2"/>
        </w:rPr>
        <w:t> </w:t>
      </w:r>
      <w:r>
        <w:rPr/>
        <w:t>assist students</w:t>
      </w:r>
      <w:r>
        <w:rPr>
          <w:spacing w:val="-3"/>
        </w:rPr>
        <w:t> </w:t>
      </w:r>
      <w:r>
        <w:rPr/>
        <w:t>to deal with</w:t>
      </w:r>
      <w:r>
        <w:rPr>
          <w:spacing w:val="-2"/>
        </w:rPr>
        <w:t> </w:t>
      </w:r>
      <w:r>
        <w:rPr/>
        <w:t>problems which may distract their attention from performing to expectation. Students should be properly guided on the choice of courses of study, study habits, time distribution, and social relationship.</w:t>
      </w:r>
    </w:p>
    <w:p>
      <w:pPr>
        <w:pStyle w:val="BodyText"/>
        <w:spacing w:line="480" w:lineRule="auto"/>
        <w:ind w:left="820" w:right="118" w:firstLine="720"/>
        <w:jc w:val="both"/>
      </w:pPr>
      <w:r>
        <w:rPr/>
        <w:t>Williams and Patterson in Bello (1983:16) conducted a study in which 278 faculty</w:t>
      </w:r>
      <w:r>
        <w:rPr>
          <w:spacing w:val="-2"/>
        </w:rPr>
        <w:t> </w:t>
      </w:r>
      <w:r>
        <w:rPr/>
        <w:t>advisors</w:t>
      </w:r>
      <w:r>
        <w:rPr>
          <w:spacing w:val="-6"/>
        </w:rPr>
        <w:t> </w:t>
      </w:r>
      <w:r>
        <w:rPr/>
        <w:t>consulted</w:t>
      </w:r>
      <w:r>
        <w:rPr>
          <w:spacing w:val="-1"/>
        </w:rPr>
        <w:t> </w:t>
      </w:r>
      <w:r>
        <w:rPr/>
        <w:t>with 1028</w:t>
      </w:r>
      <w:r>
        <w:rPr>
          <w:spacing w:val="-1"/>
        </w:rPr>
        <w:t> </w:t>
      </w:r>
      <w:r>
        <w:rPr/>
        <w:t>students</w:t>
      </w:r>
      <w:r>
        <w:rPr>
          <w:spacing w:val="-6"/>
        </w:rPr>
        <w:t> </w:t>
      </w:r>
      <w:r>
        <w:rPr/>
        <w:t>on</w:t>
      </w:r>
      <w:r>
        <w:rPr>
          <w:spacing w:val="-1"/>
        </w:rPr>
        <w:t> </w:t>
      </w:r>
      <w:r>
        <w:rPr/>
        <w:t>an average</w:t>
      </w:r>
      <w:r>
        <w:rPr>
          <w:spacing w:val="-5"/>
        </w:rPr>
        <w:t> </w:t>
      </w:r>
      <w:r>
        <w:rPr/>
        <w:t>of</w:t>
      </w:r>
      <w:r>
        <w:rPr>
          <w:spacing w:val="-2"/>
        </w:rPr>
        <w:t> </w:t>
      </w:r>
      <w:r>
        <w:rPr/>
        <w:t>3 times</w:t>
      </w:r>
      <w:r>
        <w:rPr>
          <w:spacing w:val="-2"/>
        </w:rPr>
        <w:t> </w:t>
      </w:r>
      <w:r>
        <w:rPr/>
        <w:t>each</w:t>
      </w:r>
      <w:r>
        <w:rPr>
          <w:spacing w:val="-1"/>
        </w:rPr>
        <w:t> </w:t>
      </w:r>
      <w:r>
        <w:rPr>
          <w:spacing w:val="-5"/>
        </w:rPr>
        <w:t>and</w:t>
      </w:r>
    </w:p>
    <w:p>
      <w:pPr>
        <w:spacing w:after="0" w:line="480" w:lineRule="auto"/>
        <w:jc w:val="both"/>
        <w:sectPr>
          <w:headerReference w:type="default" r:id="rId186"/>
          <w:footerReference w:type="default" r:id="rId187"/>
          <w:pgSz w:w="12240" w:h="15840"/>
          <w:pgMar w:header="722" w:footer="791" w:top="1340" w:bottom="980" w:left="1340" w:right="1320"/>
        </w:sectPr>
      </w:pPr>
    </w:p>
    <w:p>
      <w:pPr>
        <w:pStyle w:val="BodyText"/>
        <w:spacing w:line="480" w:lineRule="auto" w:before="89"/>
        <w:ind w:left="820"/>
      </w:pPr>
      <w:r>
        <w:rPr/>
        <w:t>isolated 3920 problems. In this study, it was revealed that 78 percent of the time spent by the</w:t>
      </w:r>
      <w:r>
        <w:rPr>
          <w:spacing w:val="1"/>
        </w:rPr>
        <w:t> </w:t>
      </w:r>
      <w:r>
        <w:rPr/>
        <w:t>advisors</w:t>
      </w:r>
      <w:r>
        <w:rPr>
          <w:spacing w:val="1"/>
        </w:rPr>
        <w:t> </w:t>
      </w:r>
      <w:r>
        <w:rPr/>
        <w:t>with</w:t>
      </w:r>
      <w:r>
        <w:rPr>
          <w:spacing w:val="1"/>
        </w:rPr>
        <w:t> </w:t>
      </w:r>
      <w:r>
        <w:rPr/>
        <w:t>the</w:t>
      </w:r>
      <w:r>
        <w:rPr>
          <w:spacing w:val="1"/>
        </w:rPr>
        <w:t> </w:t>
      </w:r>
      <w:r>
        <w:rPr/>
        <w:t>students was</w:t>
      </w:r>
      <w:r>
        <w:rPr>
          <w:spacing w:val="1"/>
        </w:rPr>
        <w:t> </w:t>
      </w:r>
      <w:r>
        <w:rPr/>
        <w:t>devoted</w:t>
      </w:r>
      <w:r>
        <w:rPr>
          <w:spacing w:val="1"/>
        </w:rPr>
        <w:t> </w:t>
      </w:r>
      <w:r>
        <w:rPr/>
        <w:t>to</w:t>
      </w:r>
      <w:r>
        <w:rPr>
          <w:spacing w:val="1"/>
        </w:rPr>
        <w:t> </w:t>
      </w:r>
      <w:r>
        <w:rPr/>
        <w:t>dealing</w:t>
      </w:r>
      <w:r>
        <w:rPr>
          <w:spacing w:val="2"/>
        </w:rPr>
        <w:t> </w:t>
      </w:r>
      <w:r>
        <w:rPr/>
        <w:t>with</w:t>
      </w:r>
      <w:r>
        <w:rPr>
          <w:spacing w:val="1"/>
        </w:rPr>
        <w:t> </w:t>
      </w:r>
      <w:r>
        <w:rPr/>
        <w:t>the</w:t>
      </w:r>
      <w:r>
        <w:rPr>
          <w:spacing w:val="1"/>
        </w:rPr>
        <w:t> </w:t>
      </w:r>
      <w:r>
        <w:rPr>
          <w:spacing w:val="-2"/>
        </w:rPr>
        <w:t>following</w:t>
      </w:r>
    </w:p>
    <w:p>
      <w:pPr>
        <w:spacing w:after="0" w:line="480" w:lineRule="auto"/>
        <w:sectPr>
          <w:headerReference w:type="default" r:id="rId188"/>
          <w:footerReference w:type="default" r:id="rId189"/>
          <w:pgSz w:w="12240" w:h="15840"/>
          <w:pgMar w:header="722" w:footer="791" w:top="1340" w:bottom="980" w:left="1340" w:right="1320"/>
        </w:sectPr>
      </w:pPr>
    </w:p>
    <w:p>
      <w:pPr>
        <w:pStyle w:val="BodyText"/>
        <w:ind w:left="820"/>
      </w:pPr>
      <w:r>
        <w:rPr>
          <w:spacing w:val="-2"/>
        </w:rPr>
        <w:t>problems:</w:t>
      </w:r>
    </w:p>
    <w:p>
      <w:pPr>
        <w:spacing w:line="240" w:lineRule="auto" w:before="0"/>
        <w:rPr>
          <w:sz w:val="24"/>
        </w:rPr>
      </w:pPr>
      <w:r>
        <w:rPr/>
        <w:br w:type="column"/>
      </w:r>
      <w:r>
        <w:rPr>
          <w:sz w:val="24"/>
        </w:rPr>
      </w:r>
    </w:p>
    <w:p>
      <w:pPr>
        <w:pStyle w:val="BodyText"/>
        <w:spacing w:before="2"/>
      </w:pPr>
    </w:p>
    <w:p>
      <w:pPr>
        <w:pStyle w:val="ListParagraph"/>
        <w:numPr>
          <w:ilvl w:val="0"/>
          <w:numId w:val="30"/>
        </w:numPr>
        <w:tabs>
          <w:tab w:pos="360" w:val="left" w:leader="none"/>
        </w:tabs>
        <w:spacing w:line="460" w:lineRule="auto" w:before="1" w:after="0"/>
        <w:ind w:left="360" w:right="117" w:hanging="360"/>
        <w:jc w:val="left"/>
        <w:rPr>
          <w:sz w:val="24"/>
        </w:rPr>
      </w:pPr>
      <w:r>
        <w:rPr>
          <w:sz w:val="24"/>
        </w:rPr>
        <w:t>Academic and school environment problems rated at 42.7 percent of the time</w:t>
      </w:r>
    </w:p>
    <w:p>
      <w:pPr>
        <w:pStyle w:val="ListParagraph"/>
        <w:numPr>
          <w:ilvl w:val="0"/>
          <w:numId w:val="30"/>
        </w:numPr>
        <w:tabs>
          <w:tab w:pos="359" w:val="left" w:leader="none"/>
        </w:tabs>
        <w:spacing w:line="240" w:lineRule="auto" w:before="24" w:after="0"/>
        <w:ind w:left="359" w:right="0" w:hanging="359"/>
        <w:jc w:val="left"/>
        <w:rPr>
          <w:sz w:val="24"/>
        </w:rPr>
      </w:pPr>
      <w:r>
        <w:rPr>
          <w:sz w:val="24"/>
        </w:rPr>
        <w:t>Extra</w:t>
      </w:r>
      <w:r>
        <w:rPr>
          <w:spacing w:val="-7"/>
          <w:sz w:val="24"/>
        </w:rPr>
        <w:t> </w:t>
      </w:r>
      <w:r>
        <w:rPr>
          <w:sz w:val="24"/>
        </w:rPr>
        <w:t>curricular</w:t>
      </w:r>
      <w:r>
        <w:rPr>
          <w:spacing w:val="-6"/>
          <w:sz w:val="24"/>
        </w:rPr>
        <w:t> </w:t>
      </w:r>
      <w:r>
        <w:rPr>
          <w:sz w:val="24"/>
        </w:rPr>
        <w:t>problems</w:t>
      </w:r>
      <w:r>
        <w:rPr>
          <w:spacing w:val="-7"/>
          <w:sz w:val="24"/>
        </w:rPr>
        <w:t> </w:t>
      </w:r>
      <w:r>
        <w:rPr>
          <w:sz w:val="24"/>
        </w:rPr>
        <w:t>accounted</w:t>
      </w:r>
      <w:r>
        <w:rPr>
          <w:spacing w:val="-7"/>
          <w:sz w:val="24"/>
        </w:rPr>
        <w:t> </w:t>
      </w:r>
      <w:r>
        <w:rPr>
          <w:sz w:val="24"/>
        </w:rPr>
        <w:t>for</w:t>
      </w:r>
      <w:r>
        <w:rPr>
          <w:spacing w:val="-6"/>
          <w:sz w:val="24"/>
        </w:rPr>
        <w:t> </w:t>
      </w:r>
      <w:r>
        <w:rPr>
          <w:sz w:val="24"/>
        </w:rPr>
        <w:t>8.9</w:t>
      </w:r>
      <w:r>
        <w:rPr>
          <w:spacing w:val="-6"/>
          <w:sz w:val="24"/>
        </w:rPr>
        <w:t> </w:t>
      </w:r>
      <w:r>
        <w:rPr>
          <w:sz w:val="24"/>
        </w:rPr>
        <w:t>percent</w:t>
      </w:r>
      <w:r>
        <w:rPr>
          <w:spacing w:val="-8"/>
          <w:sz w:val="24"/>
        </w:rPr>
        <w:t> </w:t>
      </w:r>
      <w:r>
        <w:rPr>
          <w:sz w:val="24"/>
        </w:rPr>
        <w:t>of</w:t>
      </w:r>
      <w:r>
        <w:rPr>
          <w:spacing w:val="-11"/>
          <w:sz w:val="24"/>
        </w:rPr>
        <w:t> </w:t>
      </w:r>
      <w:r>
        <w:rPr>
          <w:sz w:val="24"/>
        </w:rPr>
        <w:t>the</w:t>
      </w:r>
      <w:r>
        <w:rPr>
          <w:spacing w:val="-6"/>
          <w:sz w:val="24"/>
        </w:rPr>
        <w:t> </w:t>
      </w:r>
      <w:r>
        <w:rPr>
          <w:spacing w:val="-4"/>
          <w:sz w:val="24"/>
        </w:rPr>
        <w:t>time</w:t>
      </w:r>
    </w:p>
    <w:p>
      <w:pPr>
        <w:pStyle w:val="BodyText"/>
        <w:spacing w:before="1"/>
      </w:pPr>
    </w:p>
    <w:p>
      <w:pPr>
        <w:pStyle w:val="ListParagraph"/>
        <w:numPr>
          <w:ilvl w:val="0"/>
          <w:numId w:val="30"/>
        </w:numPr>
        <w:tabs>
          <w:tab w:pos="359" w:val="left" w:leader="none"/>
        </w:tabs>
        <w:spacing w:line="240" w:lineRule="auto" w:before="0" w:after="0"/>
        <w:ind w:left="359" w:right="0" w:hanging="359"/>
        <w:jc w:val="left"/>
        <w:rPr>
          <w:sz w:val="24"/>
        </w:rPr>
      </w:pPr>
      <w:r>
        <w:rPr>
          <w:sz w:val="24"/>
        </w:rPr>
        <w:t>Vocational</w:t>
      </w:r>
      <w:r>
        <w:rPr>
          <w:spacing w:val="-5"/>
          <w:sz w:val="24"/>
        </w:rPr>
        <w:t> </w:t>
      </w:r>
      <w:r>
        <w:rPr>
          <w:sz w:val="24"/>
        </w:rPr>
        <w:t>problems</w:t>
      </w:r>
      <w:r>
        <w:rPr>
          <w:spacing w:val="-8"/>
          <w:sz w:val="24"/>
        </w:rPr>
        <w:t> </w:t>
      </w:r>
      <w:r>
        <w:rPr>
          <w:sz w:val="24"/>
        </w:rPr>
        <w:t>accounted</w:t>
      </w:r>
      <w:r>
        <w:rPr>
          <w:spacing w:val="-7"/>
          <w:sz w:val="24"/>
        </w:rPr>
        <w:t> </w:t>
      </w:r>
      <w:r>
        <w:rPr>
          <w:sz w:val="24"/>
        </w:rPr>
        <w:t>for</w:t>
      </w:r>
      <w:r>
        <w:rPr>
          <w:spacing w:val="-10"/>
          <w:sz w:val="24"/>
        </w:rPr>
        <w:t> </w:t>
      </w:r>
      <w:r>
        <w:rPr>
          <w:sz w:val="24"/>
        </w:rPr>
        <w:t>8.4</w:t>
      </w:r>
      <w:r>
        <w:rPr>
          <w:spacing w:val="-7"/>
          <w:sz w:val="24"/>
        </w:rPr>
        <w:t> </w:t>
      </w:r>
      <w:r>
        <w:rPr>
          <w:sz w:val="24"/>
        </w:rPr>
        <w:t>percent</w:t>
      </w:r>
      <w:r>
        <w:rPr>
          <w:spacing w:val="-8"/>
          <w:sz w:val="24"/>
        </w:rPr>
        <w:t> </w:t>
      </w:r>
      <w:r>
        <w:rPr>
          <w:sz w:val="24"/>
        </w:rPr>
        <w:t>of</w:t>
      </w:r>
      <w:r>
        <w:rPr>
          <w:spacing w:val="-8"/>
          <w:sz w:val="24"/>
        </w:rPr>
        <w:t> </w:t>
      </w:r>
      <w:r>
        <w:rPr>
          <w:sz w:val="24"/>
        </w:rPr>
        <w:t>the</w:t>
      </w:r>
      <w:r>
        <w:rPr>
          <w:spacing w:val="-7"/>
          <w:sz w:val="24"/>
        </w:rPr>
        <w:t> </w:t>
      </w:r>
      <w:r>
        <w:rPr>
          <w:spacing w:val="-4"/>
          <w:sz w:val="24"/>
        </w:rPr>
        <w:t>time</w:t>
      </w:r>
    </w:p>
    <w:p>
      <w:pPr>
        <w:pStyle w:val="ListParagraph"/>
        <w:numPr>
          <w:ilvl w:val="0"/>
          <w:numId w:val="30"/>
        </w:numPr>
        <w:tabs>
          <w:tab w:pos="359" w:val="left" w:leader="none"/>
          <w:tab w:pos="4679" w:val="left" w:leader="none"/>
        </w:tabs>
        <w:spacing w:line="240" w:lineRule="auto" w:before="272" w:after="0"/>
        <w:ind w:left="359" w:right="0" w:hanging="359"/>
        <w:jc w:val="left"/>
        <w:rPr>
          <w:sz w:val="24"/>
        </w:rPr>
      </w:pPr>
      <w:r>
        <w:rPr>
          <w:sz w:val="24"/>
        </w:rPr>
        <w:t>Employment</w:t>
      </w:r>
      <w:r>
        <w:rPr>
          <w:spacing w:val="-12"/>
          <w:sz w:val="24"/>
        </w:rPr>
        <w:t> </w:t>
      </w:r>
      <w:r>
        <w:rPr>
          <w:sz w:val="24"/>
        </w:rPr>
        <w:t>problems</w:t>
      </w:r>
      <w:r>
        <w:rPr>
          <w:spacing w:val="-12"/>
          <w:sz w:val="24"/>
        </w:rPr>
        <w:t> </w:t>
      </w:r>
      <w:r>
        <w:rPr>
          <w:sz w:val="24"/>
        </w:rPr>
        <w:t>accounted</w:t>
      </w:r>
      <w:r>
        <w:rPr>
          <w:spacing w:val="-11"/>
          <w:sz w:val="24"/>
        </w:rPr>
        <w:t> </w:t>
      </w:r>
      <w:r>
        <w:rPr>
          <w:spacing w:val="-5"/>
          <w:sz w:val="24"/>
        </w:rPr>
        <w:t>for</w:t>
      </w:r>
      <w:r>
        <w:rPr>
          <w:sz w:val="24"/>
        </w:rPr>
        <w:tab/>
        <w:t>6.4</w:t>
      </w:r>
      <w:r>
        <w:rPr>
          <w:spacing w:val="-3"/>
          <w:sz w:val="24"/>
        </w:rPr>
        <w:t> </w:t>
      </w:r>
      <w:r>
        <w:rPr>
          <w:sz w:val="24"/>
        </w:rPr>
        <w:t>percent</w:t>
      </w:r>
      <w:r>
        <w:rPr>
          <w:spacing w:val="-3"/>
          <w:sz w:val="24"/>
        </w:rPr>
        <w:t> </w:t>
      </w:r>
      <w:r>
        <w:rPr>
          <w:sz w:val="24"/>
        </w:rPr>
        <w:t>of</w:t>
      </w:r>
      <w:r>
        <w:rPr>
          <w:spacing w:val="-8"/>
          <w:sz w:val="24"/>
        </w:rPr>
        <w:t> </w:t>
      </w:r>
      <w:r>
        <w:rPr>
          <w:sz w:val="24"/>
        </w:rPr>
        <w:t>the</w:t>
      </w:r>
      <w:r>
        <w:rPr>
          <w:spacing w:val="-2"/>
          <w:sz w:val="24"/>
        </w:rPr>
        <w:t> </w:t>
      </w:r>
      <w:r>
        <w:rPr>
          <w:spacing w:val="-4"/>
          <w:sz w:val="24"/>
        </w:rPr>
        <w:t>time</w:t>
      </w:r>
    </w:p>
    <w:p>
      <w:pPr>
        <w:pStyle w:val="ListParagraph"/>
        <w:numPr>
          <w:ilvl w:val="0"/>
          <w:numId w:val="30"/>
        </w:numPr>
        <w:tabs>
          <w:tab w:pos="359" w:val="left" w:leader="none"/>
        </w:tabs>
        <w:spacing w:line="240" w:lineRule="auto" w:before="273" w:after="0"/>
        <w:ind w:left="359" w:right="0" w:hanging="359"/>
        <w:jc w:val="left"/>
        <w:rPr>
          <w:sz w:val="24"/>
        </w:rPr>
      </w:pPr>
      <w:r>
        <w:rPr>
          <w:sz w:val="24"/>
        </w:rPr>
        <w:t>Graduate</w:t>
      </w:r>
      <w:r>
        <w:rPr>
          <w:spacing w:val="-6"/>
          <w:sz w:val="24"/>
        </w:rPr>
        <w:t> </w:t>
      </w:r>
      <w:r>
        <w:rPr>
          <w:sz w:val="24"/>
        </w:rPr>
        <w:t>work</w:t>
      </w:r>
      <w:r>
        <w:rPr>
          <w:spacing w:val="-7"/>
          <w:sz w:val="24"/>
        </w:rPr>
        <w:t> </w:t>
      </w:r>
      <w:r>
        <w:rPr>
          <w:sz w:val="24"/>
        </w:rPr>
        <w:t>accounted</w:t>
      </w:r>
      <w:r>
        <w:rPr>
          <w:spacing w:val="-6"/>
          <w:sz w:val="24"/>
        </w:rPr>
        <w:t> </w:t>
      </w:r>
      <w:r>
        <w:rPr>
          <w:sz w:val="24"/>
        </w:rPr>
        <w:t>for</w:t>
      </w:r>
      <w:r>
        <w:rPr>
          <w:spacing w:val="-9"/>
          <w:sz w:val="24"/>
        </w:rPr>
        <w:t> </w:t>
      </w:r>
      <w:r>
        <w:rPr>
          <w:sz w:val="24"/>
        </w:rPr>
        <w:t>5.8</w:t>
      </w:r>
      <w:r>
        <w:rPr>
          <w:spacing w:val="-6"/>
          <w:sz w:val="24"/>
        </w:rPr>
        <w:t> </w:t>
      </w:r>
      <w:r>
        <w:rPr>
          <w:sz w:val="24"/>
        </w:rPr>
        <w:t>percent</w:t>
      </w:r>
      <w:r>
        <w:rPr>
          <w:spacing w:val="-10"/>
          <w:sz w:val="24"/>
        </w:rPr>
        <w:t> </w:t>
      </w:r>
      <w:r>
        <w:rPr>
          <w:sz w:val="24"/>
        </w:rPr>
        <w:t>of</w:t>
      </w:r>
      <w:r>
        <w:rPr>
          <w:spacing w:val="-6"/>
          <w:sz w:val="24"/>
        </w:rPr>
        <w:t> </w:t>
      </w:r>
      <w:r>
        <w:rPr>
          <w:sz w:val="24"/>
        </w:rPr>
        <w:t>the</w:t>
      </w:r>
      <w:r>
        <w:rPr>
          <w:spacing w:val="-6"/>
          <w:sz w:val="24"/>
        </w:rPr>
        <w:t> </w:t>
      </w:r>
      <w:r>
        <w:rPr>
          <w:spacing w:val="-4"/>
          <w:sz w:val="24"/>
        </w:rPr>
        <w:t>time</w:t>
      </w:r>
    </w:p>
    <w:p>
      <w:pPr>
        <w:pStyle w:val="BodyText"/>
        <w:spacing w:before="1"/>
      </w:pPr>
    </w:p>
    <w:p>
      <w:pPr>
        <w:pStyle w:val="ListParagraph"/>
        <w:numPr>
          <w:ilvl w:val="0"/>
          <w:numId w:val="30"/>
        </w:numPr>
        <w:tabs>
          <w:tab w:pos="359" w:val="left" w:leader="none"/>
        </w:tabs>
        <w:spacing w:line="240" w:lineRule="auto" w:before="0" w:after="0"/>
        <w:ind w:left="359" w:right="0" w:hanging="359"/>
        <w:jc w:val="left"/>
        <w:rPr>
          <w:sz w:val="24"/>
        </w:rPr>
      </w:pPr>
      <w:r>
        <w:rPr>
          <w:sz w:val="24"/>
        </w:rPr>
        <w:t>Social</w:t>
      </w:r>
      <w:r>
        <w:rPr>
          <w:spacing w:val="-3"/>
          <w:sz w:val="24"/>
        </w:rPr>
        <w:t> </w:t>
      </w:r>
      <w:r>
        <w:rPr>
          <w:sz w:val="24"/>
        </w:rPr>
        <w:t>relationship</w:t>
      </w:r>
      <w:r>
        <w:rPr>
          <w:spacing w:val="-10"/>
          <w:sz w:val="24"/>
        </w:rPr>
        <w:t> </w:t>
      </w:r>
      <w:r>
        <w:rPr>
          <w:sz w:val="24"/>
        </w:rPr>
        <w:t>accounted</w:t>
      </w:r>
      <w:r>
        <w:rPr>
          <w:spacing w:val="-5"/>
          <w:sz w:val="24"/>
        </w:rPr>
        <w:t> </w:t>
      </w:r>
      <w:r>
        <w:rPr>
          <w:sz w:val="24"/>
        </w:rPr>
        <w:t>for</w:t>
      </w:r>
      <w:r>
        <w:rPr>
          <w:spacing w:val="-9"/>
          <w:sz w:val="24"/>
        </w:rPr>
        <w:t> </w:t>
      </w:r>
      <w:r>
        <w:rPr>
          <w:sz w:val="24"/>
        </w:rPr>
        <w:t>5.5</w:t>
      </w:r>
      <w:r>
        <w:rPr>
          <w:spacing w:val="-6"/>
          <w:sz w:val="24"/>
        </w:rPr>
        <w:t> </w:t>
      </w:r>
      <w:r>
        <w:rPr>
          <w:sz w:val="24"/>
        </w:rPr>
        <w:t>percent</w:t>
      </w:r>
      <w:r>
        <w:rPr>
          <w:spacing w:val="-15"/>
          <w:sz w:val="24"/>
        </w:rPr>
        <w:t> </w:t>
      </w:r>
      <w:r>
        <w:rPr>
          <w:sz w:val="24"/>
        </w:rPr>
        <w:t>of</w:t>
      </w:r>
      <w:r>
        <w:rPr>
          <w:spacing w:val="-6"/>
          <w:sz w:val="24"/>
        </w:rPr>
        <w:t> </w:t>
      </w:r>
      <w:r>
        <w:rPr>
          <w:sz w:val="24"/>
        </w:rPr>
        <w:t>the</w:t>
      </w:r>
      <w:r>
        <w:rPr>
          <w:spacing w:val="-6"/>
          <w:sz w:val="24"/>
        </w:rPr>
        <w:t> </w:t>
      </w:r>
      <w:r>
        <w:rPr>
          <w:spacing w:val="-4"/>
          <w:sz w:val="24"/>
        </w:rPr>
        <w:t>time</w:t>
      </w:r>
    </w:p>
    <w:p>
      <w:pPr>
        <w:spacing w:after="0" w:line="240" w:lineRule="auto"/>
        <w:jc w:val="left"/>
        <w:rPr>
          <w:sz w:val="24"/>
        </w:rPr>
        <w:sectPr>
          <w:type w:val="continuous"/>
          <w:pgSz w:w="12240" w:h="15840"/>
          <w:pgMar w:header="722" w:footer="791" w:top="1060" w:bottom="280" w:left="1340" w:right="1320"/>
          <w:cols w:num="2" w:equalWidth="0">
            <w:col w:w="1871" w:space="29"/>
            <w:col w:w="7680"/>
          </w:cols>
        </w:sectPr>
      </w:pPr>
    </w:p>
    <w:p>
      <w:pPr>
        <w:pStyle w:val="BodyText"/>
        <w:spacing w:line="480" w:lineRule="auto" w:before="269"/>
        <w:ind w:left="820" w:right="122" w:firstLine="720"/>
        <w:jc w:val="both"/>
      </w:pPr>
      <w:r>
        <w:rPr/>
        <w:t>It was however concluded that while over 50 percent of the students’ problems ranked as personality academic and social problems, 40 percent was associated with lack of adequate environmental welfare services.</w:t>
      </w:r>
    </w:p>
    <w:p>
      <w:pPr>
        <w:pStyle w:val="BodyText"/>
        <w:spacing w:line="480" w:lineRule="auto"/>
        <w:ind w:left="820" w:right="115" w:firstLine="720"/>
        <w:jc w:val="both"/>
      </w:pPr>
      <w:r>
        <w:rPr/>
        <w:t>The case of available students’ welfare services on the campus was also identified at Ohio State University in 1952 by Hood (1974:25). In this study students were provided with available information about various services in the campus. This information assisted them to solve some of their expressed problems so that they could settle down conveniently to face their studies and performed very well. The idea of freshmen orientation programmes for instance organized to assist students to be conversant with the daily activities, or movements in the university and acquaint themselves very well with the</w:t>
      </w:r>
      <w:r>
        <w:rPr>
          <w:spacing w:val="40"/>
        </w:rPr>
        <w:t> </w:t>
      </w:r>
      <w:r>
        <w:rPr/>
        <w:t>university environment and even beyond was emphasized by Hood's study.</w:t>
      </w:r>
    </w:p>
    <w:p>
      <w:pPr>
        <w:spacing w:after="0" w:line="480" w:lineRule="auto"/>
        <w:jc w:val="both"/>
        <w:sectPr>
          <w:type w:val="continuous"/>
          <w:pgSz w:w="12240" w:h="15840"/>
          <w:pgMar w:header="722" w:footer="791" w:top="1060" w:bottom="280" w:left="1340" w:right="1320"/>
        </w:sectPr>
      </w:pPr>
    </w:p>
    <w:p>
      <w:pPr>
        <w:pStyle w:val="Heading2"/>
        <w:numPr>
          <w:ilvl w:val="3"/>
          <w:numId w:val="29"/>
        </w:numPr>
        <w:tabs>
          <w:tab w:pos="1180" w:val="left" w:leader="none"/>
          <w:tab w:pos="1808" w:val="left" w:leader="none"/>
          <w:tab w:pos="3656" w:val="left" w:leader="none"/>
          <w:tab w:pos="4178" w:val="left" w:leader="none"/>
          <w:tab w:pos="5326" w:val="left" w:leader="none"/>
          <w:tab w:pos="7140" w:val="left" w:leader="none"/>
          <w:tab w:pos="8959" w:val="left" w:leader="none"/>
        </w:tabs>
        <w:spacing w:line="240" w:lineRule="auto" w:before="85" w:after="0"/>
        <w:ind w:left="1180" w:right="122" w:hanging="1080"/>
        <w:jc w:val="left"/>
      </w:pPr>
      <w:r>
        <w:rPr>
          <w:spacing w:val="-6"/>
        </w:rPr>
        <w:t>An</w:t>
      </w:r>
      <w:r>
        <w:rPr/>
        <w:tab/>
      </w:r>
      <w:r>
        <w:rPr>
          <w:spacing w:val="-2"/>
        </w:rPr>
        <w:t>atmosphere</w:t>
      </w:r>
      <w:r>
        <w:rPr/>
        <w:tab/>
      </w:r>
      <w:r>
        <w:rPr>
          <w:spacing w:val="-6"/>
        </w:rPr>
        <w:t>of</w:t>
      </w:r>
      <w:r>
        <w:rPr/>
        <w:tab/>
      </w:r>
      <w:r>
        <w:rPr>
          <w:spacing w:val="-2"/>
        </w:rPr>
        <w:t>safety,</w:t>
      </w:r>
      <w:r>
        <w:rPr/>
        <w:tab/>
      </w:r>
      <w:r>
        <w:rPr>
          <w:spacing w:val="-2"/>
        </w:rPr>
        <w:t>confidence,</w:t>
      </w:r>
      <w:r>
        <w:rPr/>
        <w:tab/>
      </w:r>
      <w:r>
        <w:rPr>
          <w:spacing w:val="-2"/>
        </w:rPr>
        <w:t>adaptability</w:t>
      </w:r>
      <w:r>
        <w:rPr/>
        <w:tab/>
      </w:r>
      <w:r>
        <w:rPr>
          <w:spacing w:val="-4"/>
        </w:rPr>
        <w:t>and </w:t>
      </w:r>
      <w:r>
        <w:rPr>
          <w:spacing w:val="-2"/>
        </w:rPr>
        <w:t>belongingness</w:t>
      </w:r>
    </w:p>
    <w:p>
      <w:pPr>
        <w:pStyle w:val="BodyText"/>
        <w:spacing w:before="2"/>
        <w:rPr>
          <w:rFonts w:ascii="Arial"/>
          <w:b/>
          <w:sz w:val="28"/>
        </w:rPr>
      </w:pPr>
    </w:p>
    <w:p>
      <w:pPr>
        <w:pStyle w:val="BodyText"/>
        <w:spacing w:line="480" w:lineRule="auto"/>
        <w:ind w:left="820" w:right="115" w:firstLine="720"/>
        <w:jc w:val="both"/>
      </w:pPr>
      <w:r>
        <w:rPr/>
        <w:t>There is a lot to learn about the university by a student particularly when he is very new to the environment. The most challenging one may be the</w:t>
      </w:r>
      <w:r>
        <w:rPr>
          <w:spacing w:val="40"/>
        </w:rPr>
        <w:t> </w:t>
      </w:r>
      <w:r>
        <w:rPr/>
        <w:t>physical adaptability and academic adjustment to the University life and community. A student has to know things around and orient himself and</w:t>
      </w:r>
      <w:r>
        <w:rPr>
          <w:spacing w:val="80"/>
        </w:rPr>
        <w:t> </w:t>
      </w:r>
      <w:r>
        <w:rPr/>
        <w:t>gradually gather self-confidence which makes him secure.</w:t>
      </w:r>
    </w:p>
    <w:p>
      <w:pPr>
        <w:pStyle w:val="BodyText"/>
        <w:spacing w:line="480" w:lineRule="auto" w:before="1"/>
        <w:ind w:left="820" w:right="115" w:firstLine="720"/>
        <w:jc w:val="both"/>
      </w:pPr>
      <w:r>
        <w:rPr/>
        <w:t>The concept of a university should be seen by all students as a place for pursuit of an advancement in learning. It is a place not only where one listens to lectures and takes notes or reads books but should also be seen as a place where one learns to live and share things with others and encounters social changes. He must feel part and parcel of the community and feels a sense of belongingness to the student body or group he identifies with, like positive peer groups, roommates, course mates, gender group and even religious clubs and State groups. This will give him full confidence and security when he interacts </w:t>
      </w:r>
      <w:r>
        <w:rPr>
          <w:spacing w:val="-2"/>
        </w:rPr>
        <w:t>freely.</w:t>
      </w:r>
    </w:p>
    <w:p>
      <w:pPr>
        <w:pStyle w:val="Heading2"/>
        <w:numPr>
          <w:ilvl w:val="3"/>
          <w:numId w:val="29"/>
        </w:numPr>
        <w:tabs>
          <w:tab w:pos="1179" w:val="left" w:leader="none"/>
        </w:tabs>
        <w:spacing w:line="318" w:lineRule="exact" w:before="0" w:after="0"/>
        <w:ind w:left="1179" w:right="0" w:hanging="1079"/>
        <w:jc w:val="left"/>
      </w:pPr>
      <w:r>
        <w:rPr/>
        <w:t>A</w:t>
      </w:r>
      <w:r>
        <w:rPr>
          <w:spacing w:val="-7"/>
        </w:rPr>
        <w:t> </w:t>
      </w:r>
      <w:r>
        <w:rPr/>
        <w:t>clean,</w:t>
      </w:r>
      <w:r>
        <w:rPr>
          <w:spacing w:val="-7"/>
        </w:rPr>
        <w:t> </w:t>
      </w:r>
      <w:r>
        <w:rPr/>
        <w:t>spacious,</w:t>
      </w:r>
      <w:r>
        <w:rPr>
          <w:spacing w:val="-3"/>
        </w:rPr>
        <w:t> </w:t>
      </w:r>
      <w:r>
        <w:rPr/>
        <w:t>beautiful</w:t>
      </w:r>
      <w:r>
        <w:rPr>
          <w:spacing w:val="-3"/>
        </w:rPr>
        <w:t> </w:t>
      </w:r>
      <w:r>
        <w:rPr/>
        <w:t>and</w:t>
      </w:r>
      <w:r>
        <w:rPr>
          <w:spacing w:val="-3"/>
        </w:rPr>
        <w:t> </w:t>
      </w:r>
      <w:r>
        <w:rPr/>
        <w:t>hazard</w:t>
      </w:r>
      <w:r>
        <w:rPr>
          <w:spacing w:val="-9"/>
        </w:rPr>
        <w:t> </w:t>
      </w:r>
      <w:r>
        <w:rPr/>
        <w:t>free</w:t>
      </w:r>
      <w:r>
        <w:rPr>
          <w:spacing w:val="-3"/>
        </w:rPr>
        <w:t> </w:t>
      </w:r>
      <w:r>
        <w:rPr>
          <w:spacing w:val="-2"/>
        </w:rPr>
        <w:t>environment</w:t>
      </w:r>
    </w:p>
    <w:p>
      <w:pPr>
        <w:pStyle w:val="BodyText"/>
        <w:spacing w:before="3"/>
        <w:rPr>
          <w:rFonts w:ascii="Arial"/>
          <w:b/>
          <w:sz w:val="28"/>
        </w:rPr>
      </w:pPr>
    </w:p>
    <w:p>
      <w:pPr>
        <w:pStyle w:val="BodyText"/>
        <w:spacing w:line="480" w:lineRule="auto"/>
        <w:ind w:left="820" w:right="114" w:firstLine="720"/>
        <w:jc w:val="both"/>
      </w:pPr>
      <w:r>
        <w:rPr/>
        <w:t>The choice of the site for establishing an</w:t>
      </w:r>
      <w:r>
        <w:rPr>
          <w:spacing w:val="-1"/>
        </w:rPr>
        <w:t> </w:t>
      </w:r>
      <w:r>
        <w:rPr/>
        <w:t>institution for</w:t>
      </w:r>
      <w:r>
        <w:rPr>
          <w:spacing w:val="-7"/>
        </w:rPr>
        <w:t> </w:t>
      </w:r>
      <w:r>
        <w:rPr/>
        <w:t>learning particularly a university must be influenced by a number of factors such as the site or location, availability of spacious land which can guarantee expansion and further developments, the topography or visual characteristics; not hilly, not swampy, of good soil type and free from</w:t>
      </w:r>
      <w:r>
        <w:rPr>
          <w:spacing w:val="-1"/>
        </w:rPr>
        <w:t> </w:t>
      </w:r>
      <w:r>
        <w:rPr/>
        <w:t>erosion. It must be accessible to safe distance from main highways, far from noisy areas like railway station, airport, markets, motor parks</w:t>
      </w:r>
      <w:r>
        <w:rPr>
          <w:spacing w:val="1"/>
        </w:rPr>
        <w:t> </w:t>
      </w:r>
      <w:r>
        <w:rPr/>
        <w:t>and</w:t>
      </w:r>
      <w:r>
        <w:rPr>
          <w:spacing w:val="-1"/>
        </w:rPr>
        <w:t> </w:t>
      </w:r>
      <w:r>
        <w:rPr/>
        <w:t>industries.</w:t>
      </w:r>
      <w:r>
        <w:rPr>
          <w:spacing w:val="2"/>
        </w:rPr>
        <w:t> </w:t>
      </w:r>
      <w:r>
        <w:rPr/>
        <w:t>There</w:t>
      </w:r>
      <w:r>
        <w:rPr>
          <w:spacing w:val="3"/>
        </w:rPr>
        <w:t> </w:t>
      </w:r>
      <w:r>
        <w:rPr/>
        <w:t>must</w:t>
      </w:r>
      <w:r>
        <w:rPr>
          <w:spacing w:val="2"/>
        </w:rPr>
        <w:t> </w:t>
      </w:r>
      <w:r>
        <w:rPr/>
        <w:t>be</w:t>
      </w:r>
      <w:r>
        <w:rPr>
          <w:spacing w:val="3"/>
        </w:rPr>
        <w:t> </w:t>
      </w:r>
      <w:r>
        <w:rPr/>
        <w:t>infrastructural</w:t>
      </w:r>
      <w:r>
        <w:rPr>
          <w:spacing w:val="6"/>
        </w:rPr>
        <w:t> </w:t>
      </w:r>
      <w:r>
        <w:rPr/>
        <w:t>connectivity</w:t>
      </w:r>
      <w:r>
        <w:rPr>
          <w:spacing w:val="2"/>
        </w:rPr>
        <w:t> </w:t>
      </w:r>
      <w:r>
        <w:rPr/>
        <w:t>(electricity,</w:t>
      </w:r>
      <w:r>
        <w:rPr>
          <w:spacing w:val="2"/>
        </w:rPr>
        <w:t> </w:t>
      </w:r>
      <w:r>
        <w:rPr>
          <w:spacing w:val="-2"/>
        </w:rPr>
        <w:t>water</w:t>
      </w:r>
    </w:p>
    <w:p>
      <w:pPr>
        <w:spacing w:after="0" w:line="480" w:lineRule="auto"/>
        <w:jc w:val="both"/>
        <w:sectPr>
          <w:headerReference w:type="default" r:id="rId190"/>
          <w:footerReference w:type="default" r:id="rId191"/>
          <w:pgSz w:w="12240" w:h="15840"/>
          <w:pgMar w:header="722" w:footer="791" w:top="1340" w:bottom="980" w:left="1340" w:right="1320"/>
        </w:sectPr>
      </w:pPr>
    </w:p>
    <w:p>
      <w:pPr>
        <w:pStyle w:val="BodyText"/>
        <w:spacing w:line="480" w:lineRule="auto" w:before="89"/>
        <w:ind w:left="820" w:right="117"/>
        <w:jc w:val="both"/>
      </w:pPr>
      <w:r>
        <w:rPr/>
        <w:t>supply and telecommunications). It must have potentials for natural beauty and other physical facilities to meet the taste of time.</w:t>
      </w:r>
    </w:p>
    <w:p>
      <w:pPr>
        <w:pStyle w:val="BodyText"/>
        <w:spacing w:line="480" w:lineRule="auto"/>
        <w:ind w:left="820" w:right="115" w:firstLine="720"/>
        <w:jc w:val="both"/>
      </w:pPr>
      <w:r>
        <w:rPr/>
        <w:t>The universities should also maintain a cordial relationship with its surrounding</w:t>
      </w:r>
      <w:r>
        <w:rPr>
          <w:spacing w:val="-2"/>
        </w:rPr>
        <w:t> </w:t>
      </w:r>
      <w:r>
        <w:rPr/>
        <w:t>neighbouring</w:t>
      </w:r>
      <w:r>
        <w:rPr>
          <w:spacing w:val="-2"/>
        </w:rPr>
        <w:t> </w:t>
      </w:r>
      <w:r>
        <w:rPr/>
        <w:t>communities</w:t>
      </w:r>
      <w:r>
        <w:rPr>
          <w:spacing w:val="-3"/>
        </w:rPr>
        <w:t> </w:t>
      </w:r>
      <w:r>
        <w:rPr/>
        <w:t>so</w:t>
      </w:r>
      <w:r>
        <w:rPr>
          <w:spacing w:val="-2"/>
        </w:rPr>
        <w:t> </w:t>
      </w:r>
      <w:r>
        <w:rPr/>
        <w:t>as</w:t>
      </w:r>
      <w:r>
        <w:rPr>
          <w:spacing w:val="-8"/>
        </w:rPr>
        <w:t> </w:t>
      </w:r>
      <w:r>
        <w:rPr/>
        <w:t>to</w:t>
      </w:r>
      <w:r>
        <w:rPr>
          <w:spacing w:val="-2"/>
        </w:rPr>
        <w:t> </w:t>
      </w:r>
      <w:r>
        <w:rPr/>
        <w:t>avert</w:t>
      </w:r>
      <w:r>
        <w:rPr>
          <w:spacing w:val="-3"/>
        </w:rPr>
        <w:t> </w:t>
      </w:r>
      <w:r>
        <w:rPr/>
        <w:t>unnecessary</w:t>
      </w:r>
      <w:r>
        <w:rPr>
          <w:spacing w:val="-3"/>
        </w:rPr>
        <w:t> </w:t>
      </w:r>
      <w:r>
        <w:rPr/>
        <w:t>conflict,</w:t>
      </w:r>
      <w:r>
        <w:rPr>
          <w:spacing w:val="-3"/>
        </w:rPr>
        <w:t> </w:t>
      </w:r>
      <w:r>
        <w:rPr/>
        <w:t>which can disturb the peaceful learning environment.</w:t>
      </w:r>
    </w:p>
    <w:p>
      <w:pPr>
        <w:pStyle w:val="Heading2"/>
        <w:numPr>
          <w:ilvl w:val="1"/>
          <w:numId w:val="19"/>
        </w:numPr>
        <w:tabs>
          <w:tab w:pos="819" w:val="left" w:leader="none"/>
        </w:tabs>
        <w:spacing w:line="318" w:lineRule="exact" w:before="0" w:after="0"/>
        <w:ind w:left="819" w:right="0" w:hanging="719"/>
        <w:jc w:val="left"/>
      </w:pPr>
      <w:bookmarkStart w:name="_TOC_250034" w:id="34"/>
      <w:r>
        <w:rPr/>
        <w:t>The</w:t>
      </w:r>
      <w:r>
        <w:rPr>
          <w:spacing w:val="-9"/>
        </w:rPr>
        <w:t> </w:t>
      </w:r>
      <w:r>
        <w:rPr/>
        <w:t>Management</w:t>
      </w:r>
      <w:r>
        <w:rPr>
          <w:spacing w:val="-5"/>
        </w:rPr>
        <w:t> </w:t>
      </w:r>
      <w:r>
        <w:rPr/>
        <w:t>strategies</w:t>
      </w:r>
      <w:r>
        <w:rPr>
          <w:spacing w:val="-6"/>
        </w:rPr>
        <w:t> </w:t>
      </w:r>
      <w:r>
        <w:rPr/>
        <w:t>for</w:t>
      </w:r>
      <w:r>
        <w:rPr>
          <w:spacing w:val="-6"/>
        </w:rPr>
        <w:t> </w:t>
      </w:r>
      <w:r>
        <w:rPr/>
        <w:t>Students'</w:t>
      </w:r>
      <w:r>
        <w:rPr>
          <w:spacing w:val="-7"/>
        </w:rPr>
        <w:t> </w:t>
      </w:r>
      <w:r>
        <w:rPr/>
        <w:t>Welfare</w:t>
      </w:r>
      <w:r>
        <w:rPr>
          <w:spacing w:val="-8"/>
        </w:rPr>
        <w:t> </w:t>
      </w:r>
      <w:bookmarkEnd w:id="34"/>
      <w:r>
        <w:rPr>
          <w:spacing w:val="-2"/>
        </w:rPr>
        <w:t>Services</w:t>
      </w:r>
    </w:p>
    <w:p>
      <w:pPr>
        <w:pStyle w:val="Heading2"/>
        <w:numPr>
          <w:ilvl w:val="2"/>
          <w:numId w:val="19"/>
        </w:numPr>
        <w:tabs>
          <w:tab w:pos="818" w:val="left" w:leader="none"/>
        </w:tabs>
        <w:spacing w:line="240" w:lineRule="auto" w:before="321" w:after="0"/>
        <w:ind w:left="818" w:right="0" w:hanging="718"/>
        <w:jc w:val="left"/>
        <w:rPr>
          <w:rFonts w:ascii="Arial MT"/>
          <w:b w:val="0"/>
        </w:rPr>
      </w:pPr>
      <w:bookmarkStart w:name="_TOC_250033" w:id="35"/>
      <w:r>
        <w:rPr/>
        <w:t>The</w:t>
      </w:r>
      <w:r>
        <w:rPr>
          <w:spacing w:val="-6"/>
        </w:rPr>
        <w:t> </w:t>
      </w:r>
      <w:r>
        <w:rPr/>
        <w:t>role</w:t>
      </w:r>
      <w:r>
        <w:rPr>
          <w:spacing w:val="-2"/>
        </w:rPr>
        <w:t> </w:t>
      </w:r>
      <w:r>
        <w:rPr/>
        <w:t>of</w:t>
      </w:r>
      <w:r>
        <w:rPr>
          <w:spacing w:val="-2"/>
        </w:rPr>
        <w:t> </w:t>
      </w:r>
      <w:r>
        <w:rPr/>
        <w:t>the</w:t>
      </w:r>
      <w:r>
        <w:rPr>
          <w:spacing w:val="-6"/>
        </w:rPr>
        <w:t> </w:t>
      </w:r>
      <w:r>
        <w:rPr/>
        <w:t>Government</w:t>
      </w:r>
      <w:r>
        <w:rPr>
          <w:spacing w:val="-5"/>
        </w:rPr>
        <w:t> </w:t>
      </w:r>
      <w:r>
        <w:rPr/>
        <w:t>and</w:t>
      </w:r>
      <w:r>
        <w:rPr>
          <w:spacing w:val="-2"/>
        </w:rPr>
        <w:t> </w:t>
      </w:r>
      <w:r>
        <w:rPr/>
        <w:t>University</w:t>
      </w:r>
      <w:r>
        <w:rPr>
          <w:spacing w:val="-10"/>
        </w:rPr>
        <w:t> </w:t>
      </w:r>
      <w:bookmarkEnd w:id="35"/>
      <w:r>
        <w:rPr>
          <w:spacing w:val="-2"/>
        </w:rPr>
        <w:t>Management</w:t>
      </w:r>
    </w:p>
    <w:p>
      <w:pPr>
        <w:pStyle w:val="BodyText"/>
        <w:spacing w:before="3"/>
        <w:rPr>
          <w:rFonts w:ascii="Arial"/>
          <w:b/>
          <w:sz w:val="28"/>
        </w:rPr>
      </w:pPr>
    </w:p>
    <w:p>
      <w:pPr>
        <w:pStyle w:val="BodyText"/>
        <w:spacing w:line="480" w:lineRule="auto"/>
        <w:ind w:left="820" w:right="114" w:firstLine="720"/>
        <w:jc w:val="both"/>
      </w:pPr>
      <w:r>
        <w:rPr/>
        <w:t>When people come to live together whether for common interest or complex entity, they have to be controlled, serviced and be satisfied. There has</w:t>
      </w:r>
      <w:r>
        <w:rPr>
          <w:spacing w:val="40"/>
        </w:rPr>
        <w:t> </w:t>
      </w:r>
      <w:r>
        <w:rPr/>
        <w:t>to be a method or strategy of defining and managing their activities or affairs relating to their needs, comfort, growth and survival by whoever is</w:t>
      </w:r>
      <w:r>
        <w:rPr>
          <w:spacing w:val="-2"/>
        </w:rPr>
        <w:t> </w:t>
      </w:r>
      <w:r>
        <w:rPr/>
        <w:t>in control. In a university set-up the authority must be fully concerned with the welfare of both</w:t>
      </w:r>
      <w:r>
        <w:rPr>
          <w:spacing w:val="40"/>
        </w:rPr>
        <w:t> </w:t>
      </w:r>
      <w:r>
        <w:rPr/>
        <w:t>the students, staff and whoever works in it with whatever resources available.</w:t>
      </w:r>
      <w:r>
        <w:rPr>
          <w:spacing w:val="40"/>
        </w:rPr>
        <w:t> </w:t>
      </w:r>
      <w:r>
        <w:rPr/>
        <w:t>The university should harness some management strategies or approaches for a workable system for production of better results. These approaches include provision of adequate funds, formulation of good policies, laws, statutes, rules and</w:t>
      </w:r>
      <w:r>
        <w:rPr>
          <w:spacing w:val="-1"/>
        </w:rPr>
        <w:t> </w:t>
      </w:r>
      <w:r>
        <w:rPr/>
        <w:t>regulations</w:t>
      </w:r>
      <w:r>
        <w:rPr>
          <w:spacing w:val="-2"/>
        </w:rPr>
        <w:t> </w:t>
      </w:r>
      <w:r>
        <w:rPr/>
        <w:t>to</w:t>
      </w:r>
      <w:r>
        <w:rPr>
          <w:spacing w:val="-1"/>
        </w:rPr>
        <w:t> </w:t>
      </w:r>
      <w:r>
        <w:rPr/>
        <w:t>facilitate</w:t>
      </w:r>
      <w:r>
        <w:rPr>
          <w:spacing w:val="-1"/>
        </w:rPr>
        <w:t> </w:t>
      </w:r>
      <w:r>
        <w:rPr/>
        <w:t>good</w:t>
      </w:r>
      <w:r>
        <w:rPr>
          <w:spacing w:val="-1"/>
        </w:rPr>
        <w:t> </w:t>
      </w:r>
      <w:r>
        <w:rPr/>
        <w:t>governance</w:t>
      </w:r>
      <w:r>
        <w:rPr>
          <w:spacing w:val="-5"/>
        </w:rPr>
        <w:t> </w:t>
      </w:r>
      <w:r>
        <w:rPr/>
        <w:t>and</w:t>
      </w:r>
      <w:r>
        <w:rPr>
          <w:spacing w:val="-1"/>
        </w:rPr>
        <w:t> </w:t>
      </w:r>
      <w:r>
        <w:rPr/>
        <w:t>realization</w:t>
      </w:r>
      <w:r>
        <w:rPr>
          <w:spacing w:val="-1"/>
        </w:rPr>
        <w:t> </w:t>
      </w:r>
      <w:r>
        <w:rPr/>
        <w:t>of</w:t>
      </w:r>
      <w:r>
        <w:rPr>
          <w:spacing w:val="-2"/>
        </w:rPr>
        <w:t> </w:t>
      </w:r>
      <w:r>
        <w:rPr/>
        <w:t>the</w:t>
      </w:r>
      <w:r>
        <w:rPr>
          <w:spacing w:val="-1"/>
        </w:rPr>
        <w:t> </w:t>
      </w:r>
      <w:r>
        <w:rPr/>
        <w:t>ultimate</w:t>
      </w:r>
      <w:r>
        <w:rPr>
          <w:spacing w:val="-1"/>
        </w:rPr>
        <w:t> </w:t>
      </w:r>
      <w:r>
        <w:rPr/>
        <w:t>goals and objectives of the university.</w:t>
      </w:r>
    </w:p>
    <w:p>
      <w:pPr>
        <w:pStyle w:val="Heading2"/>
        <w:numPr>
          <w:ilvl w:val="3"/>
          <w:numId w:val="19"/>
        </w:numPr>
        <w:tabs>
          <w:tab w:pos="1028" w:val="left" w:leader="none"/>
        </w:tabs>
        <w:spacing w:line="319" w:lineRule="exact" w:before="0" w:after="0"/>
        <w:ind w:left="1028" w:right="0" w:hanging="928"/>
        <w:jc w:val="left"/>
      </w:pPr>
      <w:bookmarkStart w:name="_TOC_250032" w:id="36"/>
      <w:bookmarkEnd w:id="36"/>
      <w:r>
        <w:rPr>
          <w:spacing w:val="-2"/>
        </w:rPr>
        <w:t>Funding</w:t>
      </w:r>
    </w:p>
    <w:p>
      <w:pPr>
        <w:pStyle w:val="BodyText"/>
        <w:spacing w:before="3"/>
        <w:rPr>
          <w:rFonts w:ascii="Arial"/>
          <w:b/>
          <w:sz w:val="28"/>
        </w:rPr>
      </w:pPr>
    </w:p>
    <w:p>
      <w:pPr>
        <w:pStyle w:val="BodyText"/>
        <w:spacing w:line="480" w:lineRule="auto"/>
        <w:ind w:left="820" w:right="115" w:firstLine="720"/>
        <w:jc w:val="both"/>
      </w:pPr>
      <w:r>
        <w:rPr/>
        <w:t>For the survival, management, execution and maintenance of any project in any organisation, availability of funds is the single most important resource. It</w:t>
      </w:r>
      <w:r>
        <w:rPr>
          <w:spacing w:val="40"/>
        </w:rPr>
        <w:t> </w:t>
      </w:r>
      <w:r>
        <w:rPr/>
        <w:t>is quite often said that “Get funding right and most other things will fall in place” Okebukola</w:t>
      </w:r>
      <w:r>
        <w:rPr>
          <w:spacing w:val="50"/>
        </w:rPr>
        <w:t> </w:t>
      </w:r>
      <w:r>
        <w:rPr/>
        <w:t>(2002:28).</w:t>
      </w:r>
      <w:r>
        <w:rPr>
          <w:spacing w:val="54"/>
        </w:rPr>
        <w:t> </w:t>
      </w:r>
      <w:r>
        <w:rPr/>
        <w:t>A</w:t>
      </w:r>
      <w:r>
        <w:rPr>
          <w:spacing w:val="54"/>
        </w:rPr>
        <w:t> </w:t>
      </w:r>
      <w:r>
        <w:rPr/>
        <w:t>major</w:t>
      </w:r>
      <w:r>
        <w:rPr>
          <w:spacing w:val="55"/>
        </w:rPr>
        <w:t> </w:t>
      </w:r>
      <w:r>
        <w:rPr/>
        <w:t>source</w:t>
      </w:r>
      <w:r>
        <w:rPr>
          <w:spacing w:val="55"/>
        </w:rPr>
        <w:t> </w:t>
      </w:r>
      <w:r>
        <w:rPr/>
        <w:t>of</w:t>
      </w:r>
      <w:r>
        <w:rPr>
          <w:spacing w:val="54"/>
        </w:rPr>
        <w:t> </w:t>
      </w:r>
      <w:r>
        <w:rPr/>
        <w:t>the</w:t>
      </w:r>
      <w:r>
        <w:rPr>
          <w:spacing w:val="56"/>
        </w:rPr>
        <w:t> </w:t>
      </w:r>
      <w:r>
        <w:rPr/>
        <w:t>Federal</w:t>
      </w:r>
      <w:r>
        <w:rPr>
          <w:spacing w:val="58"/>
        </w:rPr>
        <w:t> </w:t>
      </w:r>
      <w:r>
        <w:rPr/>
        <w:t>and</w:t>
      </w:r>
      <w:r>
        <w:rPr>
          <w:spacing w:val="56"/>
        </w:rPr>
        <w:t> </w:t>
      </w:r>
      <w:r>
        <w:rPr/>
        <w:t>State</w:t>
      </w:r>
      <w:r>
        <w:rPr>
          <w:spacing w:val="55"/>
        </w:rPr>
        <w:t> </w:t>
      </w:r>
      <w:r>
        <w:rPr>
          <w:spacing w:val="-2"/>
        </w:rPr>
        <w:t>Government</w:t>
      </w:r>
    </w:p>
    <w:p>
      <w:pPr>
        <w:spacing w:after="0" w:line="480" w:lineRule="auto"/>
        <w:jc w:val="both"/>
        <w:sectPr>
          <w:headerReference w:type="default" r:id="rId192"/>
          <w:footerReference w:type="default" r:id="rId193"/>
          <w:pgSz w:w="12240" w:h="15840"/>
          <w:pgMar w:header="722" w:footer="791" w:top="1340" w:bottom="980" w:left="1340" w:right="1320"/>
        </w:sectPr>
      </w:pPr>
    </w:p>
    <w:p>
      <w:pPr>
        <w:pStyle w:val="BodyText"/>
        <w:spacing w:line="480" w:lineRule="auto" w:before="89"/>
        <w:ind w:left="820" w:right="114"/>
        <w:jc w:val="both"/>
      </w:pPr>
      <w:r>
        <w:rPr/>
        <w:t>university</w:t>
      </w:r>
      <w:r>
        <w:rPr>
          <w:spacing w:val="-2"/>
        </w:rPr>
        <w:t> </w:t>
      </w:r>
      <w:r>
        <w:rPr/>
        <w:t>system</w:t>
      </w:r>
      <w:r>
        <w:rPr>
          <w:spacing w:val="-10"/>
        </w:rPr>
        <w:t> </w:t>
      </w:r>
      <w:r>
        <w:rPr/>
        <w:t>in</w:t>
      </w:r>
      <w:r>
        <w:rPr>
          <w:spacing w:val="-1"/>
        </w:rPr>
        <w:t> </w:t>
      </w:r>
      <w:r>
        <w:rPr/>
        <w:t>Nigeria</w:t>
      </w:r>
      <w:r>
        <w:rPr>
          <w:spacing w:val="-5"/>
        </w:rPr>
        <w:t> </w:t>
      </w:r>
      <w:r>
        <w:rPr/>
        <w:t>in</w:t>
      </w:r>
      <w:r>
        <w:rPr>
          <w:spacing w:val="-1"/>
        </w:rPr>
        <w:t> </w:t>
      </w:r>
      <w:r>
        <w:rPr/>
        <w:t>general</w:t>
      </w:r>
      <w:r>
        <w:rPr>
          <w:spacing w:val="-2"/>
        </w:rPr>
        <w:t> </w:t>
      </w:r>
      <w:r>
        <w:rPr/>
        <w:t>is</w:t>
      </w:r>
      <w:r>
        <w:rPr>
          <w:spacing w:val="-2"/>
        </w:rPr>
        <w:t> </w:t>
      </w:r>
      <w:r>
        <w:rPr/>
        <w:t>the</w:t>
      </w:r>
      <w:r>
        <w:rPr>
          <w:spacing w:val="-5"/>
        </w:rPr>
        <w:t> </w:t>
      </w:r>
      <w:r>
        <w:rPr/>
        <w:t>Government.</w:t>
      </w:r>
      <w:r>
        <w:rPr>
          <w:spacing w:val="-2"/>
        </w:rPr>
        <w:t> </w:t>
      </w:r>
      <w:r>
        <w:rPr/>
        <w:t>Funds</w:t>
      </w:r>
      <w:r>
        <w:rPr>
          <w:spacing w:val="-2"/>
        </w:rPr>
        <w:t> </w:t>
      </w:r>
      <w:r>
        <w:rPr/>
        <w:t>are</w:t>
      </w:r>
      <w:r>
        <w:rPr>
          <w:spacing w:val="-1"/>
        </w:rPr>
        <w:t> </w:t>
      </w:r>
      <w:r>
        <w:rPr/>
        <w:t>allocated</w:t>
      </w:r>
      <w:r>
        <w:rPr>
          <w:spacing w:val="-1"/>
        </w:rPr>
        <w:t> </w:t>
      </w:r>
      <w:r>
        <w:rPr/>
        <w:t>as Capital and Recurrent grants. Unfortunately allocations made are more of theory on paper that what actually gets to the universities. And because most universities do not generate their own resources, the story is always ‘no funds’, Universities are starved, “they are collapsing,” etc. However, from most indications, there is a general consensus by many writers that the unending controversial under-funding of the universities which has persisted without an improvement has been the greatest impediment for perfecting the management and governance in the University system, particularly, in the universities under study. Hence the commitment of the Government in general and the university in particular to the provision and management of the students’ welfare services is heavily dependable on the availability and provision of adequate funding by the Government to the Universities and/or the ability of the university to generate revenue to supplement Government's subvention. As observed by Kwanashie (1999:5). When there were fewer universities in the 1950 to 1960s, the Federal Government could provide adequate funds to sustain all the universities and the students’ welfare services were taken care of properly. But as Okebukola, (2003:7) alerted us the number of universities increased steadily, from the only one, University College, Ibadan, in 1948 to over thirty-one Federal and State universities</w:t>
      </w:r>
      <w:r>
        <w:rPr>
          <w:spacing w:val="-2"/>
        </w:rPr>
        <w:t> </w:t>
      </w:r>
      <w:r>
        <w:rPr/>
        <w:t>in</w:t>
      </w:r>
      <w:r>
        <w:rPr>
          <w:spacing w:val="-1"/>
        </w:rPr>
        <w:t> </w:t>
      </w:r>
      <w:r>
        <w:rPr/>
        <w:t>1975 with</w:t>
      </w:r>
      <w:r>
        <w:rPr>
          <w:spacing w:val="-1"/>
        </w:rPr>
        <w:t> </w:t>
      </w:r>
      <w:r>
        <w:rPr/>
        <w:t>a students</w:t>
      </w:r>
      <w:r>
        <w:rPr>
          <w:spacing w:val="-2"/>
        </w:rPr>
        <w:t> </w:t>
      </w:r>
      <w:r>
        <w:rPr/>
        <w:t>population of</w:t>
      </w:r>
      <w:r>
        <w:rPr>
          <w:spacing w:val="-2"/>
        </w:rPr>
        <w:t> </w:t>
      </w:r>
      <w:r>
        <w:rPr/>
        <w:t>23,817</w:t>
      </w:r>
      <w:r>
        <w:rPr>
          <w:spacing w:val="-1"/>
        </w:rPr>
        <w:t> </w:t>
      </w:r>
      <w:r>
        <w:rPr/>
        <w:t>and</w:t>
      </w:r>
      <w:r>
        <w:rPr>
          <w:spacing w:val="-5"/>
        </w:rPr>
        <w:t> </w:t>
      </w:r>
      <w:r>
        <w:rPr/>
        <w:t>in 2001</w:t>
      </w:r>
      <w:r>
        <w:rPr>
          <w:spacing w:val="-1"/>
        </w:rPr>
        <w:t> </w:t>
      </w:r>
      <w:r>
        <w:rPr/>
        <w:t>there was a total of twenty-four Federal Universities in the country with a total student population of 393,077. The funding of the university by the Government dropped drastically</w:t>
      </w:r>
      <w:r>
        <w:rPr>
          <w:spacing w:val="8"/>
        </w:rPr>
        <w:t> </w:t>
      </w:r>
      <w:r>
        <w:rPr/>
        <w:t>as</w:t>
      </w:r>
      <w:r>
        <w:rPr>
          <w:spacing w:val="8"/>
        </w:rPr>
        <w:t> </w:t>
      </w:r>
      <w:r>
        <w:rPr/>
        <w:t>the</w:t>
      </w:r>
      <w:r>
        <w:rPr>
          <w:spacing w:val="9"/>
        </w:rPr>
        <w:t> </w:t>
      </w:r>
      <w:r>
        <w:rPr/>
        <w:t>burden</w:t>
      </w:r>
      <w:r>
        <w:rPr>
          <w:spacing w:val="9"/>
        </w:rPr>
        <w:t> </w:t>
      </w:r>
      <w:r>
        <w:rPr/>
        <w:t>was</w:t>
      </w:r>
      <w:r>
        <w:rPr>
          <w:spacing w:val="8"/>
        </w:rPr>
        <w:t> </w:t>
      </w:r>
      <w:r>
        <w:rPr/>
        <w:t>too</w:t>
      </w:r>
      <w:r>
        <w:rPr>
          <w:spacing w:val="9"/>
        </w:rPr>
        <w:t> </w:t>
      </w:r>
      <w:r>
        <w:rPr/>
        <w:t>heavy</w:t>
      </w:r>
      <w:r>
        <w:rPr>
          <w:spacing w:val="8"/>
        </w:rPr>
        <w:t> </w:t>
      </w:r>
      <w:r>
        <w:rPr/>
        <w:t>on</w:t>
      </w:r>
      <w:r>
        <w:rPr>
          <w:spacing w:val="9"/>
        </w:rPr>
        <w:t> </w:t>
      </w:r>
      <w:r>
        <w:rPr/>
        <w:t>the</w:t>
      </w:r>
      <w:r>
        <w:rPr>
          <w:spacing w:val="9"/>
        </w:rPr>
        <w:t> </w:t>
      </w:r>
      <w:r>
        <w:rPr/>
        <w:t>already</w:t>
      </w:r>
      <w:r>
        <w:rPr>
          <w:spacing w:val="8"/>
        </w:rPr>
        <w:t> </w:t>
      </w:r>
      <w:r>
        <w:rPr/>
        <w:t>dwindling</w:t>
      </w:r>
      <w:r>
        <w:rPr>
          <w:spacing w:val="9"/>
        </w:rPr>
        <w:t> </w:t>
      </w:r>
      <w:r>
        <w:rPr/>
        <w:t>economy.</w:t>
      </w:r>
      <w:r>
        <w:rPr>
          <w:spacing w:val="9"/>
        </w:rPr>
        <w:t> </w:t>
      </w:r>
      <w:r>
        <w:rPr>
          <w:spacing w:val="-5"/>
        </w:rPr>
        <w:t>The</w:t>
      </w:r>
    </w:p>
    <w:p>
      <w:pPr>
        <w:spacing w:after="0" w:line="480" w:lineRule="auto"/>
        <w:jc w:val="both"/>
        <w:sectPr>
          <w:headerReference w:type="default" r:id="rId194"/>
          <w:footerReference w:type="default" r:id="rId195"/>
          <w:pgSz w:w="12240" w:h="15840"/>
          <w:pgMar w:header="722" w:footer="791" w:top="1340" w:bottom="980" w:left="1340" w:right="1320"/>
        </w:sectPr>
      </w:pPr>
    </w:p>
    <w:p>
      <w:pPr>
        <w:pStyle w:val="BodyText"/>
        <w:spacing w:line="480" w:lineRule="auto" w:before="89"/>
        <w:ind w:left="820" w:right="114"/>
        <w:jc w:val="both"/>
      </w:pPr>
      <w:r>
        <w:rPr/>
        <w:t>drop in the Government subvention and the inability of the universities to generate funds resulted to diminishing students’ welfare resources and services. Feeding could not continue, additional accommodation structures could not be feasible and even supply of teaching facilities became stagnant. Consenting on the collapsing condition of university funding, Kwanashie, (1999:6) further observed that</w:t>
      </w:r>
      <w:r>
        <w:rPr>
          <w:spacing w:val="-1"/>
        </w:rPr>
        <w:t> </w:t>
      </w:r>
      <w:r>
        <w:rPr/>
        <w:t>the crisis</w:t>
      </w:r>
      <w:r>
        <w:rPr>
          <w:spacing w:val="-1"/>
        </w:rPr>
        <w:t> </w:t>
      </w:r>
      <w:r>
        <w:rPr/>
        <w:t>of</w:t>
      </w:r>
      <w:r>
        <w:rPr>
          <w:spacing w:val="-1"/>
        </w:rPr>
        <w:t> </w:t>
      </w:r>
      <w:r>
        <w:rPr/>
        <w:t>funding is</w:t>
      </w:r>
      <w:r>
        <w:rPr>
          <w:spacing w:val="-1"/>
        </w:rPr>
        <w:t> </w:t>
      </w:r>
      <w:r>
        <w:rPr/>
        <w:t>one of</w:t>
      </w:r>
      <w:r>
        <w:rPr>
          <w:spacing w:val="-1"/>
        </w:rPr>
        <w:t> </w:t>
      </w:r>
      <w:r>
        <w:rPr/>
        <w:t>the major crisis</w:t>
      </w:r>
      <w:r>
        <w:rPr>
          <w:spacing w:val="-1"/>
        </w:rPr>
        <w:t> </w:t>
      </w:r>
      <w:r>
        <w:rPr/>
        <w:t>the</w:t>
      </w:r>
      <w:r>
        <w:rPr>
          <w:spacing w:val="40"/>
        </w:rPr>
        <w:t> </w:t>
      </w:r>
      <w:r>
        <w:rPr/>
        <w:t>Universities</w:t>
      </w:r>
      <w:r>
        <w:rPr>
          <w:spacing w:val="-1"/>
        </w:rPr>
        <w:t> </w:t>
      </w:r>
      <w:r>
        <w:rPr/>
        <w:t>have been facing.</w:t>
      </w:r>
      <w:r>
        <w:rPr>
          <w:spacing w:val="-2"/>
        </w:rPr>
        <w:t> </w:t>
      </w:r>
      <w:r>
        <w:rPr/>
        <w:t>The</w:t>
      </w:r>
      <w:r>
        <w:rPr>
          <w:spacing w:val="-1"/>
        </w:rPr>
        <w:t> </w:t>
      </w:r>
      <w:r>
        <w:rPr/>
        <w:t>cost of running</w:t>
      </w:r>
      <w:r>
        <w:rPr>
          <w:spacing w:val="-1"/>
        </w:rPr>
        <w:t> </w:t>
      </w:r>
      <w:r>
        <w:rPr/>
        <w:t>the</w:t>
      </w:r>
      <w:r>
        <w:rPr>
          <w:spacing w:val="-1"/>
        </w:rPr>
        <w:t> </w:t>
      </w:r>
      <w:r>
        <w:rPr/>
        <w:t>universities has</w:t>
      </w:r>
      <w:r>
        <w:rPr>
          <w:spacing w:val="-2"/>
        </w:rPr>
        <w:t> </w:t>
      </w:r>
      <w:r>
        <w:rPr/>
        <w:t>been</w:t>
      </w:r>
      <w:r>
        <w:rPr>
          <w:spacing w:val="-1"/>
        </w:rPr>
        <w:t> </w:t>
      </w:r>
      <w:r>
        <w:rPr/>
        <w:t>on the</w:t>
      </w:r>
      <w:r>
        <w:rPr>
          <w:spacing w:val="-1"/>
        </w:rPr>
        <w:t> </w:t>
      </w:r>
      <w:r>
        <w:rPr/>
        <w:t>increase</w:t>
      </w:r>
      <w:r>
        <w:rPr>
          <w:spacing w:val="-1"/>
        </w:rPr>
        <w:t> </w:t>
      </w:r>
      <w:r>
        <w:rPr/>
        <w:t>due</w:t>
      </w:r>
      <w:r>
        <w:rPr>
          <w:spacing w:val="-1"/>
        </w:rPr>
        <w:t> </w:t>
      </w:r>
      <w:r>
        <w:rPr/>
        <w:t>to the increase in the number of the universities and the population of students. Moreover the Government has continued to encourage the mush-rooming of more universities from a single University College Ibadan in 1948 to over forty- one universities in 1995, without an encouragement for corresponding increase</w:t>
      </w:r>
      <w:r>
        <w:rPr>
          <w:spacing w:val="80"/>
        </w:rPr>
        <w:t> </w:t>
      </w:r>
      <w:r>
        <w:rPr/>
        <w:t>in funding to cater for the infrastructure, maintenance of facilities and welfare of both staff and students.</w:t>
      </w:r>
    </w:p>
    <w:p>
      <w:pPr>
        <w:pStyle w:val="BodyText"/>
        <w:spacing w:line="480" w:lineRule="auto"/>
        <w:ind w:left="820" w:right="114" w:firstLine="720"/>
        <w:jc w:val="both"/>
      </w:pPr>
      <w:r>
        <w:rPr/>
        <w:t>Similarly,</w:t>
      </w:r>
      <w:r>
        <w:rPr>
          <w:spacing w:val="-2"/>
        </w:rPr>
        <w:t> </w:t>
      </w:r>
      <w:r>
        <w:rPr/>
        <w:t>Dogo</w:t>
      </w:r>
      <w:r>
        <w:rPr>
          <w:spacing w:val="-2"/>
        </w:rPr>
        <w:t> </w:t>
      </w:r>
      <w:r>
        <w:rPr/>
        <w:t>(1981:17)</w:t>
      </w:r>
      <w:r>
        <w:rPr>
          <w:spacing w:val="-1"/>
        </w:rPr>
        <w:t> </w:t>
      </w:r>
      <w:r>
        <w:rPr/>
        <w:t>opined</w:t>
      </w:r>
      <w:r>
        <w:rPr>
          <w:spacing w:val="-2"/>
        </w:rPr>
        <w:t> </w:t>
      </w:r>
      <w:r>
        <w:rPr/>
        <w:t>that</w:t>
      </w:r>
      <w:r>
        <w:rPr>
          <w:spacing w:val="-2"/>
        </w:rPr>
        <w:t> </w:t>
      </w:r>
      <w:r>
        <w:rPr/>
        <w:t>the</w:t>
      </w:r>
      <w:r>
        <w:rPr>
          <w:spacing w:val="-2"/>
        </w:rPr>
        <w:t> </w:t>
      </w:r>
      <w:r>
        <w:rPr/>
        <w:t>predicament of students’ welfare system in the university boils down to inadequacy of funds on one hand and the problem</w:t>
      </w:r>
      <w:r>
        <w:rPr>
          <w:spacing w:val="-1"/>
        </w:rPr>
        <w:t> </w:t>
      </w:r>
      <w:r>
        <w:rPr/>
        <w:t>of management of the scarce resources on the other. Based on this line of thought, some university authorities have been "accused of abuse of mismanagement of the meager resources allocated to them for disbursement, larger percentage of which are mostly diverted for selfish interest or allocated to areas of non-priority". That is to say that universities have not been making judicious use of the meager financial resources by prioritizing projects which benefit the students and the system. Sharing this view, unions in the Universities particularly</w:t>
      </w:r>
      <w:r>
        <w:rPr>
          <w:spacing w:val="-4"/>
        </w:rPr>
        <w:t> </w:t>
      </w:r>
      <w:r>
        <w:rPr/>
        <w:t>Academic</w:t>
      </w:r>
      <w:r>
        <w:rPr>
          <w:spacing w:val="-4"/>
        </w:rPr>
        <w:t> </w:t>
      </w:r>
      <w:r>
        <w:rPr/>
        <w:t>Staff</w:t>
      </w:r>
      <w:r>
        <w:rPr>
          <w:spacing w:val="-4"/>
        </w:rPr>
        <w:t> </w:t>
      </w:r>
      <w:r>
        <w:rPr/>
        <w:t>Union</w:t>
      </w:r>
      <w:r>
        <w:rPr>
          <w:spacing w:val="-3"/>
        </w:rPr>
        <w:t> </w:t>
      </w:r>
      <w:r>
        <w:rPr/>
        <w:t>of</w:t>
      </w:r>
      <w:r>
        <w:rPr>
          <w:spacing w:val="-4"/>
        </w:rPr>
        <w:t> </w:t>
      </w:r>
      <w:r>
        <w:rPr/>
        <w:t>Universities</w:t>
      </w:r>
      <w:r>
        <w:rPr>
          <w:spacing w:val="-4"/>
        </w:rPr>
        <w:t> </w:t>
      </w:r>
      <w:r>
        <w:rPr/>
        <w:t>(ASUU)</w:t>
      </w:r>
      <w:r>
        <w:rPr>
          <w:spacing w:val="-2"/>
        </w:rPr>
        <w:t> </w:t>
      </w:r>
      <w:r>
        <w:rPr/>
        <w:t>are</w:t>
      </w:r>
      <w:r>
        <w:rPr>
          <w:spacing w:val="-3"/>
        </w:rPr>
        <w:t> </w:t>
      </w:r>
      <w:r>
        <w:rPr/>
        <w:t>often</w:t>
      </w:r>
      <w:r>
        <w:rPr>
          <w:spacing w:val="-3"/>
        </w:rPr>
        <w:t> </w:t>
      </w:r>
      <w:r>
        <w:rPr/>
        <w:t>convinced</w:t>
      </w:r>
      <w:r>
        <w:rPr>
          <w:spacing w:val="-3"/>
        </w:rPr>
        <w:t> </w:t>
      </w:r>
      <w:r>
        <w:rPr/>
        <w:t>that</w:t>
      </w:r>
    </w:p>
    <w:p>
      <w:pPr>
        <w:spacing w:after="0" w:line="480" w:lineRule="auto"/>
        <w:jc w:val="both"/>
        <w:sectPr>
          <w:headerReference w:type="default" r:id="rId196"/>
          <w:footerReference w:type="default" r:id="rId197"/>
          <w:pgSz w:w="12240" w:h="15840"/>
          <w:pgMar w:header="722" w:footer="791" w:top="1340" w:bottom="980" w:left="1340" w:right="1320"/>
        </w:sectPr>
      </w:pPr>
    </w:p>
    <w:p>
      <w:pPr>
        <w:pStyle w:val="BodyText"/>
        <w:spacing w:line="480" w:lineRule="auto" w:before="89"/>
        <w:ind w:left="820" w:right="116"/>
        <w:jc w:val="both"/>
      </w:pPr>
      <w:r>
        <w:rPr/>
        <w:t>in many universities the problems faced are not solely that of lack of funds but that of misplacement of priority and wastage of resources. Quite often members of such union alert the authorities to address such problems for better management (Mahadi 1988:52-53).</w:t>
      </w:r>
    </w:p>
    <w:p>
      <w:pPr>
        <w:pStyle w:val="BodyText"/>
        <w:spacing w:line="480" w:lineRule="auto"/>
        <w:ind w:left="820" w:right="113" w:firstLine="720"/>
        <w:jc w:val="both"/>
      </w:pPr>
      <w:r>
        <w:rPr/>
        <w:t>According to the radical and conventional ASUU, the Government has starved the University system despite persistent hues and cries of Unions for Government to address the issue of providing enough Capital grant to the Universities for rehabilitation, stabilization and rehabilitation of adequate academic buildings like classrooms, laboratories, workshops, libraries, students’ hostels as well as for procurement of teaching, learning and research equipments, recreational, environmental sanitation and aesthetic facilities, water, electricity, roads and all that is needed to make up a conducive place for</w:t>
      </w:r>
      <w:r>
        <w:rPr>
          <w:spacing w:val="80"/>
        </w:rPr>
        <w:t> </w:t>
      </w:r>
      <w:r>
        <w:rPr/>
        <w:t>teaching and learning.</w:t>
      </w:r>
    </w:p>
    <w:p>
      <w:pPr>
        <w:pStyle w:val="BodyText"/>
        <w:spacing w:line="480" w:lineRule="auto"/>
        <w:ind w:left="820" w:right="113" w:firstLine="720"/>
        <w:jc w:val="both"/>
      </w:pPr>
      <w:r>
        <w:rPr/>
        <w:t>Hence ASUU’S opinion on Government’s idea to privatize students’ hostels in all Nigerian Universities, including the Universities under study was devastating and suicidal.</w:t>
      </w:r>
    </w:p>
    <w:p>
      <w:pPr>
        <w:pStyle w:val="BodyText"/>
        <w:spacing w:line="480" w:lineRule="auto"/>
        <w:ind w:left="820" w:right="114" w:firstLine="720"/>
        <w:jc w:val="both"/>
      </w:pPr>
      <w:r>
        <w:rPr/>
        <w:t>It is however expected that inspite of the persistent underfunding of Universities by the Federal Government, a University should have very solid foundation for powerful decision making body as the Council, Senate and Committees which should make positive, relevant and viable decisions particularly on the improvement of funding. Moreover, the University should revitalize the policy of improving and transforming students’ welfare services when</w:t>
      </w:r>
      <w:r>
        <w:rPr>
          <w:spacing w:val="75"/>
        </w:rPr>
        <w:t> </w:t>
      </w:r>
      <w:r>
        <w:rPr/>
        <w:t>there</w:t>
      </w:r>
      <w:r>
        <w:rPr>
          <w:spacing w:val="76"/>
        </w:rPr>
        <w:t> </w:t>
      </w:r>
      <w:r>
        <w:rPr/>
        <w:t>are</w:t>
      </w:r>
      <w:r>
        <w:rPr>
          <w:spacing w:val="75"/>
        </w:rPr>
        <w:t> </w:t>
      </w:r>
      <w:r>
        <w:rPr/>
        <w:t>enough</w:t>
      </w:r>
      <w:r>
        <w:rPr>
          <w:spacing w:val="71"/>
        </w:rPr>
        <w:t> </w:t>
      </w:r>
      <w:r>
        <w:rPr/>
        <w:t>funds.</w:t>
      </w:r>
      <w:r>
        <w:rPr>
          <w:spacing w:val="72"/>
        </w:rPr>
        <w:t> </w:t>
      </w:r>
      <w:r>
        <w:rPr/>
        <w:t>To</w:t>
      </w:r>
      <w:r>
        <w:rPr>
          <w:spacing w:val="71"/>
        </w:rPr>
        <w:t> </w:t>
      </w:r>
      <w:r>
        <w:rPr/>
        <w:t>improve</w:t>
      </w:r>
      <w:r>
        <w:rPr>
          <w:spacing w:val="75"/>
        </w:rPr>
        <w:t> </w:t>
      </w:r>
      <w:r>
        <w:rPr/>
        <w:t>the</w:t>
      </w:r>
      <w:r>
        <w:rPr>
          <w:spacing w:val="76"/>
        </w:rPr>
        <w:t> </w:t>
      </w:r>
      <w:r>
        <w:rPr/>
        <w:t>funding,</w:t>
      </w:r>
      <w:r>
        <w:rPr>
          <w:spacing w:val="74"/>
        </w:rPr>
        <w:t> </w:t>
      </w:r>
      <w:r>
        <w:rPr/>
        <w:t>universities</w:t>
      </w:r>
      <w:r>
        <w:rPr>
          <w:spacing w:val="75"/>
        </w:rPr>
        <w:t> </w:t>
      </w:r>
      <w:r>
        <w:rPr>
          <w:spacing w:val="-2"/>
        </w:rPr>
        <w:t>should</w:t>
      </w:r>
    </w:p>
    <w:p>
      <w:pPr>
        <w:spacing w:after="0" w:line="480" w:lineRule="auto"/>
        <w:jc w:val="both"/>
        <w:sectPr>
          <w:headerReference w:type="default" r:id="rId198"/>
          <w:footerReference w:type="default" r:id="rId199"/>
          <w:pgSz w:w="12240" w:h="15840"/>
          <w:pgMar w:header="722" w:footer="791" w:top="1340" w:bottom="980" w:left="1340" w:right="1320"/>
        </w:sectPr>
      </w:pPr>
    </w:p>
    <w:p>
      <w:pPr>
        <w:pStyle w:val="BodyText"/>
        <w:spacing w:line="480" w:lineRule="auto" w:before="89"/>
        <w:ind w:left="820" w:right="114"/>
        <w:jc w:val="both"/>
      </w:pPr>
      <w:r>
        <w:rPr/>
        <w:t>engage in rigorous revenue generation through linkages particularly with foreign organizations like Mc Author, Carnegie, the Netherlands, World Bank etc. which some universities have started enjoying their assistance.</w:t>
      </w:r>
      <w:r>
        <w:rPr>
          <w:spacing w:val="40"/>
        </w:rPr>
        <w:t> </w:t>
      </w:r>
      <w:r>
        <w:rPr/>
        <w:t>Donor Agencies in Nigeria and abroad such as banks, businessmen, States, MTN, Associations, Companies etc., Alumni base, most of whom are parents and top Managers in government and private parastatals.</w:t>
      </w:r>
      <w:r>
        <w:rPr>
          <w:spacing w:val="40"/>
        </w:rPr>
        <w:t> </w:t>
      </w:r>
      <w:r>
        <w:rPr/>
        <w:t>Universities should also use collaborative research and consultancies through which revenue can be generated internally</w:t>
      </w:r>
      <w:r>
        <w:rPr>
          <w:spacing w:val="80"/>
        </w:rPr>
        <w:t> </w:t>
      </w:r>
      <w:r>
        <w:rPr/>
        <w:t>to augment government subventions.</w:t>
      </w:r>
      <w:r>
        <w:rPr>
          <w:spacing w:val="40"/>
        </w:rPr>
        <w:t> </w:t>
      </w:r>
      <w:r>
        <w:rPr/>
        <w:t>The issue of introducing course or school fees should be handled with care and understanding and whatever is charged should glaringly be used to improve students’ wellbeing on the campus rather than mismanaging it.</w:t>
      </w:r>
    </w:p>
    <w:p>
      <w:pPr>
        <w:pStyle w:val="BodyText"/>
        <w:spacing w:line="480" w:lineRule="auto"/>
        <w:ind w:left="820" w:right="114" w:firstLine="720"/>
        <w:jc w:val="both"/>
      </w:pPr>
      <w:r>
        <w:rPr/>
        <w:t>For most effective management of students’ welfare services, a university should view the importance of constituting a high pioneered students’ welfare service Board with seasoned and qualified administrators and academic staff. Similarly, the appointment of highly qualified staff and personnel to handle students’ welfare is crucial.</w:t>
      </w:r>
      <w:r>
        <w:rPr>
          <w:spacing w:val="40"/>
        </w:rPr>
        <w:t> </w:t>
      </w:r>
      <w:r>
        <w:rPr/>
        <w:t>The appointment of highly experienced and competent Dean of Students in</w:t>
      </w:r>
      <w:r>
        <w:rPr>
          <w:spacing w:val="40"/>
        </w:rPr>
        <w:t> </w:t>
      </w:r>
      <w:r>
        <w:rPr/>
        <w:t>particular and the recruitment of coaches, guidance counselors,</w:t>
      </w:r>
      <w:r>
        <w:rPr>
          <w:spacing w:val="-3"/>
        </w:rPr>
        <w:t> </w:t>
      </w:r>
      <w:r>
        <w:rPr/>
        <w:t>library staff, securitymen and even the Doctors and Nurses is also vital and should be done with careful selection. The provision of quality and adequate modern materials like computers, television sets, communication gadgets such as telephone booths, cable satellites, mobile phones etcetera, in students’ halls of residence, academic areas, sports section, libraries and relevant</w:t>
      </w:r>
      <w:r>
        <w:rPr>
          <w:spacing w:val="-1"/>
        </w:rPr>
        <w:t> </w:t>
      </w:r>
      <w:r>
        <w:rPr/>
        <w:t>places</w:t>
      </w:r>
      <w:r>
        <w:rPr>
          <w:spacing w:val="-1"/>
        </w:rPr>
        <w:t> </w:t>
      </w:r>
      <w:r>
        <w:rPr/>
        <w:t>should</w:t>
      </w:r>
      <w:r>
        <w:rPr>
          <w:spacing w:val="-5"/>
        </w:rPr>
        <w:t> </w:t>
      </w:r>
      <w:r>
        <w:rPr/>
        <w:t>be the</w:t>
      </w:r>
      <w:r>
        <w:rPr>
          <w:spacing w:val="-4"/>
        </w:rPr>
        <w:t> </w:t>
      </w:r>
      <w:r>
        <w:rPr/>
        <w:t>priority</w:t>
      </w:r>
      <w:r>
        <w:rPr>
          <w:spacing w:val="-6"/>
        </w:rPr>
        <w:t> </w:t>
      </w:r>
      <w:r>
        <w:rPr/>
        <w:t>of</w:t>
      </w:r>
      <w:r>
        <w:rPr>
          <w:spacing w:val="-1"/>
        </w:rPr>
        <w:t> </w:t>
      </w:r>
      <w:r>
        <w:rPr/>
        <w:t>a University</w:t>
      </w:r>
      <w:r>
        <w:rPr>
          <w:spacing w:val="-1"/>
        </w:rPr>
        <w:t> </w:t>
      </w:r>
      <w:r>
        <w:rPr/>
        <w:t>authority.</w:t>
      </w:r>
      <w:r>
        <w:rPr>
          <w:spacing w:val="-1"/>
        </w:rPr>
        <w:t> </w:t>
      </w:r>
      <w:r>
        <w:rPr/>
        <w:t>For</w:t>
      </w:r>
      <w:r>
        <w:rPr>
          <w:spacing w:val="-3"/>
        </w:rPr>
        <w:t> </w:t>
      </w:r>
      <w:r>
        <w:rPr/>
        <w:t>instance,</w:t>
      </w:r>
      <w:r>
        <w:rPr>
          <w:spacing w:val="-1"/>
        </w:rPr>
        <w:t> </w:t>
      </w:r>
      <w:r>
        <w:rPr>
          <w:spacing w:val="-4"/>
        </w:rPr>
        <w:t>what</w:t>
      </w:r>
    </w:p>
    <w:p>
      <w:pPr>
        <w:spacing w:after="0" w:line="480" w:lineRule="auto"/>
        <w:jc w:val="both"/>
        <w:sectPr>
          <w:headerReference w:type="default" r:id="rId200"/>
          <w:footerReference w:type="default" r:id="rId201"/>
          <w:pgSz w:w="12240" w:h="15840"/>
          <w:pgMar w:header="722" w:footer="791" w:top="1340" w:bottom="980" w:left="1340" w:right="1320"/>
        </w:sectPr>
      </w:pPr>
    </w:p>
    <w:p>
      <w:pPr>
        <w:pStyle w:val="BodyText"/>
        <w:spacing w:line="480" w:lineRule="auto" w:before="89"/>
        <w:ind w:left="820" w:right="114"/>
        <w:jc w:val="both"/>
      </w:pPr>
      <w:r>
        <w:rPr/>
        <w:t>contributed to the huge success of the 2001 and 2002 Nigerian University</w:t>
      </w:r>
      <w:r>
        <w:rPr>
          <w:spacing w:val="80"/>
        </w:rPr>
        <w:t> </w:t>
      </w:r>
      <w:r>
        <w:rPr/>
        <w:t>Games Associations (NUGA) games, hosted by Ahmadu Bello University in April 2001 was due to the construction and commissioning of the new gymnasium complex with modern sports facilities of international standard, which became a pride to the students and the university in general. The recruitment of enough cleaners and casual labourers by the university authorities to clean the halls and the entire university environment is similarly of great importance. This will make the environment a conducive atmosphere for habitation and academic pursuit. Another most important mechanism for effective welfare of students is the ability of the university to provide adequate and regular supply of drinking water as well as for other purpose, particularly in students’ halls, academic areas and residential quarters. Good sewage system and regular supply of electricity are vital. These are part of the administrative strategies which a university is</w:t>
      </w:r>
      <w:r>
        <w:rPr>
          <w:spacing w:val="40"/>
        </w:rPr>
        <w:t> </w:t>
      </w:r>
      <w:r>
        <w:rPr/>
        <w:t>expected to employ to improve students’ welfare services so that they can feel more comfortable and happier to pursue their academic activities. With all the improved welfare services on the ground, students will be able to become relaxed, less hostile and dispirited which will divert their attention from antisocial behaviours</w:t>
      </w:r>
      <w:r>
        <w:rPr>
          <w:spacing w:val="-2"/>
        </w:rPr>
        <w:t> </w:t>
      </w:r>
      <w:r>
        <w:rPr/>
        <w:t>such as cultism, fraud, and armed robbery</w:t>
      </w:r>
      <w:r>
        <w:rPr>
          <w:spacing w:val="-2"/>
        </w:rPr>
        <w:t> </w:t>
      </w:r>
      <w:r>
        <w:rPr/>
        <w:t>to serious academic work.</w:t>
      </w:r>
    </w:p>
    <w:p>
      <w:pPr>
        <w:pStyle w:val="BodyText"/>
        <w:spacing w:line="480" w:lineRule="auto"/>
        <w:ind w:left="820" w:right="118" w:firstLine="720"/>
        <w:jc w:val="both"/>
      </w:pPr>
      <w:r>
        <w:rPr/>
        <w:t>Therefore, the Universities in three geopolitical zones in the Northern part of Nigeria should be committed to employ these administrative strategies for better results in students’ welfare services.</w:t>
      </w:r>
    </w:p>
    <w:p>
      <w:pPr>
        <w:spacing w:after="0" w:line="480" w:lineRule="auto"/>
        <w:jc w:val="both"/>
        <w:sectPr>
          <w:headerReference w:type="default" r:id="rId202"/>
          <w:footerReference w:type="default" r:id="rId203"/>
          <w:pgSz w:w="12240" w:h="15840"/>
          <w:pgMar w:header="722" w:footer="791" w:top="1340" w:bottom="980" w:left="1340" w:right="1320"/>
        </w:sectPr>
      </w:pPr>
    </w:p>
    <w:p>
      <w:pPr>
        <w:pStyle w:val="Heading2"/>
        <w:numPr>
          <w:ilvl w:val="2"/>
          <w:numId w:val="19"/>
        </w:numPr>
        <w:tabs>
          <w:tab w:pos="817" w:val="left" w:leader="none"/>
          <w:tab w:pos="820" w:val="left" w:leader="none"/>
        </w:tabs>
        <w:spacing w:line="240" w:lineRule="auto" w:before="85" w:after="0"/>
        <w:ind w:left="820" w:right="126" w:hanging="720"/>
        <w:jc w:val="left"/>
        <w:rPr>
          <w:rFonts w:ascii="Arial MT" w:hAnsi="Arial MT"/>
          <w:b w:val="0"/>
        </w:rPr>
      </w:pPr>
      <w:r>
        <w:rPr/>
        <w:t>The role of Student Affairs Division in Shaping students’ welfare </w:t>
      </w:r>
      <w:r>
        <w:rPr>
          <w:spacing w:val="-2"/>
        </w:rPr>
        <w:t>services</w:t>
      </w:r>
    </w:p>
    <w:p>
      <w:pPr>
        <w:pStyle w:val="BodyText"/>
        <w:spacing w:before="2"/>
        <w:rPr>
          <w:rFonts w:ascii="Arial"/>
          <w:b/>
          <w:sz w:val="28"/>
        </w:rPr>
      </w:pPr>
    </w:p>
    <w:p>
      <w:pPr>
        <w:pStyle w:val="BodyText"/>
        <w:spacing w:line="480" w:lineRule="auto"/>
        <w:ind w:left="820" w:right="114" w:firstLine="720"/>
        <w:jc w:val="both"/>
      </w:pPr>
      <w:r>
        <w:rPr/>
        <w:t>An effective Department of students’ affairs should exist in any university. It is this Department that usually articulates and translates students’ complaints and aspirations in a manner that would facilitate responsive and cost effective decisions by the University authority rather than just ignoring them.</w:t>
      </w:r>
    </w:p>
    <w:p>
      <w:pPr>
        <w:pStyle w:val="BodyText"/>
        <w:spacing w:line="480" w:lineRule="auto" w:before="1"/>
        <w:ind w:left="820" w:right="116" w:firstLine="720"/>
        <w:jc w:val="both"/>
      </w:pPr>
      <w:r>
        <w:rPr/>
        <w:t>As the Division is the custodian of the total welfare of the students, it demands a careful selection for the appointment of competent, dedicated, selfless</w:t>
      </w:r>
      <w:r>
        <w:rPr>
          <w:spacing w:val="-2"/>
        </w:rPr>
        <w:t> </w:t>
      </w:r>
      <w:r>
        <w:rPr/>
        <w:t>and</w:t>
      </w:r>
      <w:r>
        <w:rPr>
          <w:spacing w:val="-1"/>
        </w:rPr>
        <w:t> </w:t>
      </w:r>
      <w:r>
        <w:rPr/>
        <w:t>suitable</w:t>
      </w:r>
      <w:r>
        <w:rPr>
          <w:spacing w:val="-1"/>
        </w:rPr>
        <w:t> </w:t>
      </w:r>
      <w:r>
        <w:rPr/>
        <w:t>persons as</w:t>
      </w:r>
      <w:r>
        <w:rPr>
          <w:spacing w:val="-2"/>
        </w:rPr>
        <w:t> </w:t>
      </w:r>
      <w:r>
        <w:rPr/>
        <w:t>the</w:t>
      </w:r>
      <w:r>
        <w:rPr>
          <w:spacing w:val="-1"/>
        </w:rPr>
        <w:t> </w:t>
      </w:r>
      <w:r>
        <w:rPr/>
        <w:t>Dean</w:t>
      </w:r>
      <w:r>
        <w:rPr>
          <w:spacing w:val="-1"/>
        </w:rPr>
        <w:t> </w:t>
      </w:r>
      <w:r>
        <w:rPr/>
        <w:t>of</w:t>
      </w:r>
      <w:r>
        <w:rPr>
          <w:spacing w:val="-6"/>
        </w:rPr>
        <w:t> </w:t>
      </w:r>
      <w:r>
        <w:rPr/>
        <w:t>Students</w:t>
      </w:r>
      <w:r>
        <w:rPr>
          <w:spacing w:val="-2"/>
        </w:rPr>
        <w:t> </w:t>
      </w:r>
      <w:r>
        <w:rPr/>
        <w:t>by</w:t>
      </w:r>
      <w:r>
        <w:rPr>
          <w:spacing w:val="-2"/>
        </w:rPr>
        <w:t> </w:t>
      </w:r>
      <w:r>
        <w:rPr/>
        <w:t>the</w:t>
      </w:r>
      <w:r>
        <w:rPr>
          <w:spacing w:val="-1"/>
        </w:rPr>
        <w:t> </w:t>
      </w:r>
      <w:r>
        <w:rPr/>
        <w:t>University</w:t>
      </w:r>
      <w:r>
        <w:rPr>
          <w:spacing w:val="-2"/>
        </w:rPr>
        <w:t> </w:t>
      </w:r>
      <w:r>
        <w:rPr/>
        <w:t>authority. The Dean should be a father who listens to students and accommodates their </w:t>
      </w:r>
      <w:r>
        <w:rPr>
          <w:spacing w:val="-2"/>
        </w:rPr>
        <w:t>differences.</w:t>
      </w:r>
    </w:p>
    <w:p>
      <w:pPr>
        <w:pStyle w:val="BodyText"/>
        <w:spacing w:line="480" w:lineRule="auto"/>
        <w:ind w:left="820" w:right="113" w:firstLine="720"/>
        <w:jc w:val="both"/>
      </w:pPr>
      <w:r>
        <w:rPr/>
        <w:t>The Dean is responsible to the Top Executive (who is the Chairman of Students’ Welfare Management Board) on matters affecting the Division, particularly students’ matters. It is his responsibility to assign or delegate duties</w:t>
      </w:r>
      <w:r>
        <w:rPr>
          <w:spacing w:val="40"/>
        </w:rPr>
        <w:t> </w:t>
      </w:r>
      <w:r>
        <w:rPr/>
        <w:t>to able officers in the Division. Such important officers are the Accommodation Officer, the Career Officer, the Guidance Counsellor, the Finance Officer, the Sports Staff, Hall Supervisors, Store Officers, Maintenance Officers and Cleaners. He should also see that the right Private Caterers are recruited.</w:t>
      </w:r>
    </w:p>
    <w:p>
      <w:pPr>
        <w:pStyle w:val="BodyText"/>
        <w:spacing w:line="480" w:lineRule="auto"/>
        <w:ind w:left="820" w:right="114" w:firstLine="720"/>
        <w:jc w:val="both"/>
      </w:pPr>
      <w:r>
        <w:rPr/>
        <w:t>The Dean has to control, coordinate and supervise the procurement and provision of adequate and quality equipment and cleaning materials</w:t>
      </w:r>
      <w:r>
        <w:rPr>
          <w:spacing w:val="-4"/>
        </w:rPr>
        <w:t> </w:t>
      </w:r>
      <w:r>
        <w:rPr/>
        <w:t>in the sports section, students’ halls of residence, counselling centre and student union secretariat as may</w:t>
      </w:r>
      <w:r>
        <w:rPr>
          <w:spacing w:val="-1"/>
        </w:rPr>
        <w:t> </w:t>
      </w:r>
      <w:r>
        <w:rPr/>
        <w:t>be prescribed by</w:t>
      </w:r>
      <w:r>
        <w:rPr>
          <w:spacing w:val="-1"/>
        </w:rPr>
        <w:t> </w:t>
      </w:r>
      <w:r>
        <w:rPr/>
        <w:t>the Students’</w:t>
      </w:r>
      <w:r>
        <w:rPr>
          <w:spacing w:val="-6"/>
        </w:rPr>
        <w:t> </w:t>
      </w:r>
      <w:r>
        <w:rPr/>
        <w:t>Welfare Board.</w:t>
      </w:r>
      <w:r>
        <w:rPr>
          <w:spacing w:val="40"/>
        </w:rPr>
        <w:t> </w:t>
      </w:r>
      <w:r>
        <w:rPr/>
        <w:t>He also has</w:t>
      </w:r>
      <w:r>
        <w:rPr>
          <w:spacing w:val="-1"/>
        </w:rPr>
        <w:t> </w:t>
      </w:r>
      <w:r>
        <w:rPr/>
        <w:t>to coordinate</w:t>
      </w:r>
      <w:r>
        <w:rPr>
          <w:spacing w:val="24"/>
        </w:rPr>
        <w:t>  </w:t>
      </w:r>
      <w:r>
        <w:rPr/>
        <w:t>incentives</w:t>
      </w:r>
      <w:r>
        <w:rPr>
          <w:spacing w:val="24"/>
        </w:rPr>
        <w:t>  </w:t>
      </w:r>
      <w:r>
        <w:rPr/>
        <w:t>like</w:t>
      </w:r>
      <w:r>
        <w:rPr>
          <w:spacing w:val="25"/>
        </w:rPr>
        <w:t>  </w:t>
      </w:r>
      <w:r>
        <w:rPr/>
        <w:t>Government</w:t>
      </w:r>
      <w:r>
        <w:rPr>
          <w:spacing w:val="24"/>
        </w:rPr>
        <w:t>  </w:t>
      </w:r>
      <w:r>
        <w:rPr/>
        <w:t>and</w:t>
      </w:r>
      <w:r>
        <w:rPr>
          <w:spacing w:val="24"/>
        </w:rPr>
        <w:t>  </w:t>
      </w:r>
      <w:r>
        <w:rPr/>
        <w:t>Private</w:t>
      </w:r>
      <w:r>
        <w:rPr>
          <w:spacing w:val="25"/>
        </w:rPr>
        <w:t>  </w:t>
      </w:r>
      <w:r>
        <w:rPr/>
        <w:t>Scholarships,</w:t>
      </w:r>
      <w:r>
        <w:rPr>
          <w:spacing w:val="24"/>
        </w:rPr>
        <w:t>  </w:t>
      </w:r>
      <w:r>
        <w:rPr>
          <w:spacing w:val="-2"/>
        </w:rPr>
        <w:t>Bursary</w:t>
      </w:r>
    </w:p>
    <w:p>
      <w:pPr>
        <w:spacing w:after="0" w:line="480" w:lineRule="auto"/>
        <w:jc w:val="both"/>
        <w:sectPr>
          <w:headerReference w:type="default" r:id="rId204"/>
          <w:footerReference w:type="default" r:id="rId205"/>
          <w:pgSz w:w="12240" w:h="15840"/>
          <w:pgMar w:header="722" w:footer="791" w:top="1340" w:bottom="980" w:left="1340" w:right="1320"/>
        </w:sectPr>
      </w:pPr>
    </w:p>
    <w:p>
      <w:pPr>
        <w:pStyle w:val="BodyText"/>
        <w:spacing w:line="480" w:lineRule="auto" w:before="89"/>
        <w:ind w:left="820" w:right="123"/>
        <w:jc w:val="both"/>
      </w:pPr>
      <w:r>
        <w:rPr/>
        <w:t>Schemes, Medical Emergency referral voucher, student union matters, general sanitation and maintenance of the halls.</w:t>
      </w:r>
    </w:p>
    <w:p>
      <w:pPr>
        <w:pStyle w:val="BodyText"/>
        <w:spacing w:line="480" w:lineRule="auto"/>
        <w:ind w:left="820" w:right="118" w:firstLine="720"/>
        <w:jc w:val="both"/>
      </w:pPr>
      <w:r>
        <w:rPr/>
        <w:t>The successful management of the human and material resources in the Division therefore contributes immensely to the effective welfare services of the </w:t>
      </w:r>
      <w:r>
        <w:rPr>
          <w:spacing w:val="-2"/>
        </w:rPr>
        <w:t>students.</w:t>
      </w:r>
    </w:p>
    <w:p>
      <w:pPr>
        <w:pStyle w:val="Heading2"/>
        <w:numPr>
          <w:ilvl w:val="3"/>
          <w:numId w:val="19"/>
        </w:numPr>
        <w:tabs>
          <w:tab w:pos="1180" w:val="left" w:leader="none"/>
        </w:tabs>
        <w:spacing w:line="240" w:lineRule="auto" w:before="0" w:after="0"/>
        <w:ind w:left="1180" w:right="121" w:hanging="1080"/>
        <w:jc w:val="left"/>
      </w:pPr>
      <w:r>
        <w:rPr/>
        <w:t>The role of Committee System as a tool/strategy for effective Students’ Welfare Services</w:t>
      </w:r>
    </w:p>
    <w:p>
      <w:pPr>
        <w:pStyle w:val="BodyText"/>
        <w:spacing w:line="480" w:lineRule="auto" w:before="277"/>
        <w:ind w:left="820" w:right="119" w:firstLine="720"/>
        <w:jc w:val="both"/>
      </w:pPr>
      <w:r>
        <w:rPr/>
        <w:t>Hick</w:t>
      </w:r>
      <w:r>
        <w:rPr>
          <w:spacing w:val="-2"/>
        </w:rPr>
        <w:t> </w:t>
      </w:r>
      <w:r>
        <w:rPr/>
        <w:t>and</w:t>
      </w:r>
      <w:r>
        <w:rPr>
          <w:spacing w:val="-1"/>
        </w:rPr>
        <w:t> </w:t>
      </w:r>
      <w:r>
        <w:rPr/>
        <w:t>Gullet</w:t>
      </w:r>
      <w:r>
        <w:rPr>
          <w:spacing w:val="-2"/>
        </w:rPr>
        <w:t> </w:t>
      </w:r>
      <w:r>
        <w:rPr/>
        <w:t>in</w:t>
      </w:r>
      <w:r>
        <w:rPr>
          <w:spacing w:val="-1"/>
        </w:rPr>
        <w:t> </w:t>
      </w:r>
      <w:r>
        <w:rPr/>
        <w:t>Daku</w:t>
      </w:r>
      <w:r>
        <w:rPr>
          <w:spacing w:val="-1"/>
        </w:rPr>
        <w:t> </w:t>
      </w:r>
      <w:r>
        <w:rPr/>
        <w:t>(1999:32) define</w:t>
      </w:r>
      <w:r>
        <w:rPr>
          <w:spacing w:val="-1"/>
        </w:rPr>
        <w:t> </w:t>
      </w:r>
      <w:r>
        <w:rPr/>
        <w:t>Committee</w:t>
      </w:r>
      <w:r>
        <w:rPr>
          <w:spacing w:val="-1"/>
        </w:rPr>
        <w:t> </w:t>
      </w:r>
      <w:r>
        <w:rPr/>
        <w:t>as</w:t>
      </w:r>
      <w:r>
        <w:rPr>
          <w:spacing w:val="-2"/>
        </w:rPr>
        <w:t> </w:t>
      </w:r>
      <w:r>
        <w:rPr/>
        <w:t>"a</w:t>
      </w:r>
      <w:r>
        <w:rPr>
          <w:spacing w:val="-1"/>
        </w:rPr>
        <w:t> </w:t>
      </w:r>
      <w:r>
        <w:rPr/>
        <w:t>group</w:t>
      </w:r>
      <w:r>
        <w:rPr>
          <w:spacing w:val="-1"/>
        </w:rPr>
        <w:t> </w:t>
      </w:r>
      <w:r>
        <w:rPr/>
        <w:t>of</w:t>
      </w:r>
      <w:r>
        <w:rPr>
          <w:spacing w:val="-2"/>
        </w:rPr>
        <w:t> </w:t>
      </w:r>
      <w:r>
        <w:rPr/>
        <w:t>people who</w:t>
      </w:r>
      <w:r>
        <w:rPr>
          <w:spacing w:val="-1"/>
        </w:rPr>
        <w:t> </w:t>
      </w:r>
      <w:r>
        <w:rPr/>
        <w:t>are</w:t>
      </w:r>
      <w:r>
        <w:rPr>
          <w:spacing w:val="-1"/>
        </w:rPr>
        <w:t> </w:t>
      </w:r>
      <w:r>
        <w:rPr/>
        <w:t>appointed</w:t>
      </w:r>
      <w:r>
        <w:rPr>
          <w:spacing w:val="-1"/>
        </w:rPr>
        <w:t> </w:t>
      </w:r>
      <w:r>
        <w:rPr/>
        <w:t>to meet</w:t>
      </w:r>
      <w:r>
        <w:rPr>
          <w:spacing w:val="-2"/>
        </w:rPr>
        <w:t> </w:t>
      </w:r>
      <w:r>
        <w:rPr/>
        <w:t>by</w:t>
      </w:r>
      <w:r>
        <w:rPr>
          <w:spacing w:val="-2"/>
        </w:rPr>
        <w:t> </w:t>
      </w:r>
      <w:r>
        <w:rPr/>
        <w:t>plan</w:t>
      </w:r>
      <w:r>
        <w:rPr>
          <w:spacing w:val="-1"/>
        </w:rPr>
        <w:t> </w:t>
      </w:r>
      <w:r>
        <w:rPr/>
        <w:t>to</w:t>
      </w:r>
      <w:r>
        <w:rPr>
          <w:spacing w:val="-1"/>
        </w:rPr>
        <w:t> </w:t>
      </w:r>
      <w:r>
        <w:rPr/>
        <w:t>discuss</w:t>
      </w:r>
      <w:r>
        <w:rPr>
          <w:spacing w:val="-2"/>
        </w:rPr>
        <w:t> </w:t>
      </w:r>
      <w:r>
        <w:rPr/>
        <w:t>and</w:t>
      </w:r>
      <w:r>
        <w:rPr>
          <w:spacing w:val="-1"/>
        </w:rPr>
        <w:t> </w:t>
      </w:r>
      <w:r>
        <w:rPr/>
        <w:t>make</w:t>
      </w:r>
      <w:r>
        <w:rPr>
          <w:spacing w:val="-1"/>
        </w:rPr>
        <w:t> </w:t>
      </w:r>
      <w:r>
        <w:rPr/>
        <w:t>decisions</w:t>
      </w:r>
      <w:r>
        <w:rPr>
          <w:spacing w:val="-2"/>
        </w:rPr>
        <w:t> </w:t>
      </w:r>
      <w:r>
        <w:rPr/>
        <w:t>for a</w:t>
      </w:r>
      <w:r>
        <w:rPr>
          <w:spacing w:val="-1"/>
        </w:rPr>
        <w:t> </w:t>
      </w:r>
      <w:r>
        <w:rPr/>
        <w:t>particular subject”. They are charged with the responsibility of some defined aspect of managerial functions, which can be for informational and advisory purposes to promote the coordination and management of such functions and facilitate effective communications, operations, high morals and greater commitment.</w:t>
      </w:r>
    </w:p>
    <w:p>
      <w:pPr>
        <w:pStyle w:val="BodyText"/>
        <w:spacing w:line="480" w:lineRule="auto" w:before="1"/>
        <w:ind w:left="820" w:right="113" w:firstLine="720"/>
        <w:jc w:val="both"/>
      </w:pPr>
      <w:r>
        <w:rPr/>
        <w:t>For liberal and effective management of any modern organization therefore, the role played by the committee system cannot be overemphasized. Committee system is a useful and democratic device for achieving better and flexible coordination of activities and pooling, sharing, exchanging of ideas and information amongst various departments and members for better formulation of decisions and policies governing the effective running of the organizations,</w:t>
      </w:r>
      <w:r>
        <w:rPr>
          <w:spacing w:val="40"/>
        </w:rPr>
        <w:t> </w:t>
      </w:r>
      <w:r>
        <w:rPr/>
        <w:t>(Daku, 1999:32). Effective use of committee system helps the management to avoid imprudent action or to blur responsibility. Equally important for the best result</w:t>
      </w:r>
      <w:r>
        <w:rPr>
          <w:spacing w:val="-2"/>
        </w:rPr>
        <w:t> </w:t>
      </w:r>
      <w:r>
        <w:rPr/>
        <w:t>of</w:t>
      </w:r>
      <w:r>
        <w:rPr>
          <w:spacing w:val="-2"/>
        </w:rPr>
        <w:t> </w:t>
      </w:r>
      <w:r>
        <w:rPr/>
        <w:t>a</w:t>
      </w:r>
      <w:r>
        <w:rPr>
          <w:spacing w:val="-2"/>
        </w:rPr>
        <w:t> </w:t>
      </w:r>
      <w:r>
        <w:rPr/>
        <w:t>committee</w:t>
      </w:r>
      <w:r>
        <w:rPr>
          <w:spacing w:val="-2"/>
        </w:rPr>
        <w:t> </w:t>
      </w:r>
      <w:r>
        <w:rPr/>
        <w:t>structure</w:t>
      </w:r>
      <w:r>
        <w:rPr>
          <w:spacing w:val="-2"/>
        </w:rPr>
        <w:t> </w:t>
      </w:r>
      <w:r>
        <w:rPr/>
        <w:t>depends</w:t>
      </w:r>
      <w:r>
        <w:rPr>
          <w:spacing w:val="-2"/>
        </w:rPr>
        <w:t> </w:t>
      </w:r>
      <w:r>
        <w:rPr/>
        <w:t>on</w:t>
      </w:r>
      <w:r>
        <w:rPr>
          <w:spacing w:val="-2"/>
        </w:rPr>
        <w:t> </w:t>
      </w:r>
      <w:r>
        <w:rPr/>
        <w:t>the</w:t>
      </w:r>
      <w:r>
        <w:rPr>
          <w:spacing w:val="-2"/>
        </w:rPr>
        <w:t> </w:t>
      </w:r>
      <w:r>
        <w:rPr/>
        <w:t>subject matter</w:t>
      </w:r>
      <w:r>
        <w:rPr>
          <w:spacing w:val="-1"/>
        </w:rPr>
        <w:t> </w:t>
      </w:r>
      <w:r>
        <w:rPr/>
        <w:t>to</w:t>
      </w:r>
      <w:r>
        <w:rPr>
          <w:spacing w:val="-2"/>
        </w:rPr>
        <w:t> </w:t>
      </w:r>
      <w:r>
        <w:rPr/>
        <w:t>be</w:t>
      </w:r>
      <w:r>
        <w:rPr>
          <w:spacing w:val="-2"/>
        </w:rPr>
        <w:t> </w:t>
      </w:r>
      <w:r>
        <w:rPr/>
        <w:t>assigned</w:t>
      </w:r>
      <w:r>
        <w:rPr>
          <w:spacing w:val="-2"/>
        </w:rPr>
        <w:t> </w:t>
      </w:r>
      <w:r>
        <w:rPr/>
        <w:t>and judicious selection of qualified, intelligent, mature, skilful and versatile </w:t>
      </w:r>
      <w:r>
        <w:rPr>
          <w:spacing w:val="-2"/>
        </w:rPr>
        <w:t>membership.</w:t>
      </w:r>
    </w:p>
    <w:p>
      <w:pPr>
        <w:spacing w:after="0" w:line="480" w:lineRule="auto"/>
        <w:jc w:val="both"/>
        <w:sectPr>
          <w:headerReference w:type="default" r:id="rId206"/>
          <w:footerReference w:type="default" r:id="rId207"/>
          <w:pgSz w:w="12240" w:h="15840"/>
          <w:pgMar w:header="722" w:footer="791" w:top="1340" w:bottom="980" w:left="1340" w:right="1320"/>
        </w:sectPr>
      </w:pPr>
    </w:p>
    <w:p>
      <w:pPr>
        <w:pStyle w:val="BodyText"/>
        <w:spacing w:line="480" w:lineRule="auto" w:before="89"/>
        <w:ind w:left="820" w:right="123" w:firstLine="720"/>
        <w:jc w:val="both"/>
      </w:pPr>
      <w:r>
        <w:rPr/>
        <w:t>A</w:t>
      </w:r>
      <w:r>
        <w:rPr>
          <w:spacing w:val="-1"/>
        </w:rPr>
        <w:t> </w:t>
      </w:r>
      <w:r>
        <w:rPr/>
        <w:t>university</w:t>
      </w:r>
      <w:r>
        <w:rPr>
          <w:spacing w:val="-4"/>
        </w:rPr>
        <w:t> </w:t>
      </w:r>
      <w:r>
        <w:rPr/>
        <w:t>is expected to have relevant and</w:t>
      </w:r>
      <w:r>
        <w:rPr>
          <w:spacing w:val="-3"/>
        </w:rPr>
        <w:t> </w:t>
      </w:r>
      <w:r>
        <w:rPr/>
        <w:t>important committees, which directly relate to the management of students’ welfare services which may </w:t>
      </w:r>
      <w:r>
        <w:rPr>
          <w:spacing w:val="-2"/>
        </w:rPr>
        <w:t>include:</w:t>
      </w:r>
    </w:p>
    <w:p>
      <w:pPr>
        <w:pStyle w:val="Heading2"/>
        <w:numPr>
          <w:ilvl w:val="3"/>
          <w:numId w:val="19"/>
        </w:numPr>
        <w:tabs>
          <w:tab w:pos="1179" w:val="left" w:leader="none"/>
        </w:tabs>
        <w:spacing w:line="318" w:lineRule="exact" w:before="0" w:after="0"/>
        <w:ind w:left="1179" w:right="0" w:hanging="1079"/>
        <w:jc w:val="left"/>
      </w:pPr>
      <w:r>
        <w:rPr/>
        <w:t>University</w:t>
      </w:r>
      <w:r>
        <w:rPr>
          <w:spacing w:val="-12"/>
        </w:rPr>
        <w:t> </w:t>
      </w:r>
      <w:r>
        <w:rPr/>
        <w:t>Students’</w:t>
      </w:r>
      <w:r>
        <w:rPr>
          <w:spacing w:val="-7"/>
        </w:rPr>
        <w:t> </w:t>
      </w:r>
      <w:r>
        <w:rPr/>
        <w:t>Welfare</w:t>
      </w:r>
      <w:r>
        <w:rPr>
          <w:spacing w:val="-7"/>
        </w:rPr>
        <w:t> </w:t>
      </w:r>
      <w:r>
        <w:rPr/>
        <w:t>Management</w:t>
      </w:r>
      <w:r>
        <w:rPr>
          <w:spacing w:val="-7"/>
        </w:rPr>
        <w:t> </w:t>
      </w:r>
      <w:r>
        <w:rPr>
          <w:spacing w:val="-2"/>
        </w:rPr>
        <w:t>Board</w:t>
      </w:r>
    </w:p>
    <w:p>
      <w:pPr>
        <w:pStyle w:val="BodyText"/>
        <w:spacing w:line="480" w:lineRule="auto" w:before="281"/>
        <w:ind w:left="820" w:right="115" w:firstLine="720"/>
        <w:jc w:val="both"/>
      </w:pPr>
      <w:r>
        <w:rPr/>
        <w:t>The Council /Senate Committee should be responsible for advising and assisting the university in the formulation and making of policies and decisions relating to students' non-academic affairs in all sectors of the university. Specifically it advises on:</w:t>
      </w:r>
    </w:p>
    <w:p>
      <w:pPr>
        <w:pStyle w:val="ListParagraph"/>
        <w:numPr>
          <w:ilvl w:val="0"/>
          <w:numId w:val="31"/>
        </w:numPr>
        <w:tabs>
          <w:tab w:pos="1540" w:val="left" w:leader="none"/>
        </w:tabs>
        <w:spacing w:line="475" w:lineRule="auto" w:before="1" w:after="0"/>
        <w:ind w:left="1540" w:right="115" w:hanging="360"/>
        <w:jc w:val="both"/>
        <w:rPr>
          <w:sz w:val="24"/>
        </w:rPr>
      </w:pPr>
      <w:r>
        <w:rPr>
          <w:sz w:val="24"/>
        </w:rPr>
        <w:t>Procurement and provision of standard accommodation and catering service for students.</w:t>
      </w:r>
    </w:p>
    <w:p>
      <w:pPr>
        <w:pStyle w:val="ListParagraph"/>
        <w:numPr>
          <w:ilvl w:val="0"/>
          <w:numId w:val="31"/>
        </w:numPr>
        <w:tabs>
          <w:tab w:pos="1539" w:val="left" w:leader="none"/>
        </w:tabs>
        <w:spacing w:line="240" w:lineRule="auto" w:before="6" w:after="0"/>
        <w:ind w:left="1539" w:right="0" w:hanging="359"/>
        <w:jc w:val="both"/>
        <w:rPr>
          <w:sz w:val="24"/>
        </w:rPr>
      </w:pPr>
      <w:r>
        <w:rPr>
          <w:sz w:val="24"/>
        </w:rPr>
        <w:t>Provision</w:t>
      </w:r>
      <w:r>
        <w:rPr>
          <w:spacing w:val="-10"/>
          <w:sz w:val="24"/>
        </w:rPr>
        <w:t> </w:t>
      </w:r>
      <w:r>
        <w:rPr>
          <w:sz w:val="24"/>
        </w:rPr>
        <w:t>of</w:t>
      </w:r>
      <w:r>
        <w:rPr>
          <w:spacing w:val="-7"/>
          <w:sz w:val="24"/>
        </w:rPr>
        <w:t> </w:t>
      </w:r>
      <w:r>
        <w:rPr>
          <w:sz w:val="24"/>
        </w:rPr>
        <w:t>sports</w:t>
      </w:r>
      <w:r>
        <w:rPr>
          <w:spacing w:val="-8"/>
          <w:sz w:val="24"/>
        </w:rPr>
        <w:t> </w:t>
      </w:r>
      <w:r>
        <w:rPr>
          <w:sz w:val="24"/>
        </w:rPr>
        <w:t>and</w:t>
      </w:r>
      <w:r>
        <w:rPr>
          <w:spacing w:val="-9"/>
          <w:sz w:val="24"/>
        </w:rPr>
        <w:t> </w:t>
      </w:r>
      <w:r>
        <w:rPr>
          <w:sz w:val="24"/>
        </w:rPr>
        <w:t>recreational</w:t>
      </w:r>
      <w:r>
        <w:rPr>
          <w:spacing w:val="-7"/>
          <w:sz w:val="24"/>
        </w:rPr>
        <w:t> </w:t>
      </w:r>
      <w:r>
        <w:rPr>
          <w:spacing w:val="-2"/>
          <w:sz w:val="24"/>
        </w:rPr>
        <w:t>facilities.</w:t>
      </w:r>
    </w:p>
    <w:p>
      <w:pPr>
        <w:pStyle w:val="BodyText"/>
      </w:pPr>
    </w:p>
    <w:p>
      <w:pPr>
        <w:pStyle w:val="ListParagraph"/>
        <w:numPr>
          <w:ilvl w:val="0"/>
          <w:numId w:val="31"/>
        </w:numPr>
        <w:tabs>
          <w:tab w:pos="1540" w:val="left" w:leader="none"/>
        </w:tabs>
        <w:spacing w:line="480" w:lineRule="auto" w:before="0" w:after="0"/>
        <w:ind w:left="1540" w:right="116" w:hanging="360"/>
        <w:jc w:val="left"/>
        <w:rPr>
          <w:sz w:val="24"/>
        </w:rPr>
      </w:pPr>
      <w:r>
        <w:rPr>
          <w:sz w:val="24"/>
        </w:rPr>
        <w:t>Provision</w:t>
      </w:r>
      <w:r>
        <w:rPr>
          <w:spacing w:val="40"/>
          <w:sz w:val="24"/>
        </w:rPr>
        <w:t> </w:t>
      </w:r>
      <w:r>
        <w:rPr>
          <w:sz w:val="24"/>
        </w:rPr>
        <w:t>of</w:t>
      </w:r>
      <w:r>
        <w:rPr>
          <w:spacing w:val="40"/>
          <w:sz w:val="24"/>
        </w:rPr>
        <w:t> </w:t>
      </w:r>
      <w:r>
        <w:rPr>
          <w:sz w:val="24"/>
        </w:rPr>
        <w:t>other</w:t>
      </w:r>
      <w:r>
        <w:rPr>
          <w:spacing w:val="40"/>
          <w:sz w:val="24"/>
        </w:rPr>
        <w:t> </w:t>
      </w:r>
      <w:r>
        <w:rPr>
          <w:sz w:val="24"/>
        </w:rPr>
        <w:t>social</w:t>
      </w:r>
      <w:r>
        <w:rPr>
          <w:spacing w:val="40"/>
          <w:sz w:val="24"/>
        </w:rPr>
        <w:t> </w:t>
      </w:r>
      <w:r>
        <w:rPr>
          <w:sz w:val="24"/>
        </w:rPr>
        <w:t>amenities</w:t>
      </w:r>
      <w:r>
        <w:rPr>
          <w:spacing w:val="40"/>
          <w:sz w:val="24"/>
        </w:rPr>
        <w:t> </w:t>
      </w:r>
      <w:r>
        <w:rPr>
          <w:sz w:val="24"/>
        </w:rPr>
        <w:t>such</w:t>
      </w:r>
      <w:r>
        <w:rPr>
          <w:spacing w:val="40"/>
          <w:sz w:val="24"/>
        </w:rPr>
        <w:t> </w:t>
      </w:r>
      <w:r>
        <w:rPr>
          <w:sz w:val="24"/>
        </w:rPr>
        <w:t>as</w:t>
      </w:r>
      <w:r>
        <w:rPr>
          <w:spacing w:val="40"/>
          <w:sz w:val="24"/>
        </w:rPr>
        <w:t> </w:t>
      </w:r>
      <w:r>
        <w:rPr>
          <w:sz w:val="24"/>
        </w:rPr>
        <w:t>water,</w:t>
      </w:r>
      <w:r>
        <w:rPr>
          <w:spacing w:val="40"/>
          <w:sz w:val="24"/>
        </w:rPr>
        <w:t> </w:t>
      </w:r>
      <w:r>
        <w:rPr>
          <w:sz w:val="24"/>
        </w:rPr>
        <w:t>electricity,</w:t>
      </w:r>
      <w:r>
        <w:rPr>
          <w:spacing w:val="40"/>
          <w:sz w:val="24"/>
        </w:rPr>
        <w:t> </w:t>
      </w:r>
      <w:r>
        <w:rPr>
          <w:sz w:val="24"/>
        </w:rPr>
        <w:t>medical, security, and other social and religious activities.</w:t>
      </w:r>
    </w:p>
    <w:p>
      <w:pPr>
        <w:pStyle w:val="ListParagraph"/>
        <w:numPr>
          <w:ilvl w:val="0"/>
          <w:numId w:val="31"/>
        </w:numPr>
        <w:tabs>
          <w:tab w:pos="1540" w:val="left" w:leader="none"/>
        </w:tabs>
        <w:spacing w:line="480" w:lineRule="auto" w:before="0" w:after="0"/>
        <w:ind w:left="1540" w:right="119" w:hanging="360"/>
        <w:jc w:val="left"/>
        <w:rPr>
          <w:sz w:val="24"/>
        </w:rPr>
      </w:pPr>
      <w:r>
        <w:rPr>
          <w:sz w:val="24"/>
        </w:rPr>
        <w:t>Recognition of Students’ Union</w:t>
      </w:r>
      <w:r>
        <w:rPr>
          <w:spacing w:val="-2"/>
          <w:sz w:val="24"/>
        </w:rPr>
        <w:t> </w:t>
      </w:r>
      <w:r>
        <w:rPr>
          <w:sz w:val="24"/>
        </w:rPr>
        <w:t>including the</w:t>
      </w:r>
      <w:r>
        <w:rPr>
          <w:spacing w:val="-2"/>
          <w:sz w:val="24"/>
        </w:rPr>
        <w:t> </w:t>
      </w:r>
      <w:r>
        <w:rPr>
          <w:sz w:val="24"/>
        </w:rPr>
        <w:t>approval of their constitution, associations and forums.</w:t>
      </w:r>
    </w:p>
    <w:p>
      <w:pPr>
        <w:pStyle w:val="ListParagraph"/>
        <w:numPr>
          <w:ilvl w:val="0"/>
          <w:numId w:val="31"/>
        </w:numPr>
        <w:tabs>
          <w:tab w:pos="1540" w:val="left" w:leader="none"/>
        </w:tabs>
        <w:spacing w:line="480" w:lineRule="auto" w:before="0" w:after="0"/>
        <w:ind w:left="1540" w:right="119" w:hanging="360"/>
        <w:jc w:val="left"/>
        <w:rPr>
          <w:sz w:val="24"/>
        </w:rPr>
      </w:pPr>
      <w:r>
        <w:rPr>
          <w:sz w:val="24"/>
        </w:rPr>
        <w:t>Rules and procedure governing administration of finances and disciplinary powers at Campus and hall levels.</w:t>
      </w:r>
    </w:p>
    <w:p>
      <w:pPr>
        <w:pStyle w:val="Heading2"/>
        <w:numPr>
          <w:ilvl w:val="3"/>
          <w:numId w:val="19"/>
        </w:numPr>
        <w:tabs>
          <w:tab w:pos="1179" w:val="left" w:leader="none"/>
        </w:tabs>
        <w:spacing w:line="318" w:lineRule="exact" w:before="0" w:after="0"/>
        <w:ind w:left="1179" w:right="0" w:hanging="1079"/>
        <w:jc w:val="left"/>
      </w:pPr>
      <w:bookmarkStart w:name="_TOC_250031" w:id="37"/>
      <w:r>
        <w:rPr/>
        <w:t>Sports</w:t>
      </w:r>
      <w:r>
        <w:rPr>
          <w:spacing w:val="-8"/>
        </w:rPr>
        <w:t> </w:t>
      </w:r>
      <w:r>
        <w:rPr/>
        <w:t>and</w:t>
      </w:r>
      <w:r>
        <w:rPr>
          <w:spacing w:val="-8"/>
        </w:rPr>
        <w:t> </w:t>
      </w:r>
      <w:r>
        <w:rPr/>
        <w:t>Recreation</w:t>
      </w:r>
      <w:r>
        <w:rPr>
          <w:spacing w:val="-3"/>
        </w:rPr>
        <w:t> </w:t>
      </w:r>
      <w:bookmarkEnd w:id="37"/>
      <w:r>
        <w:rPr>
          <w:spacing w:val="-2"/>
        </w:rPr>
        <w:t>Committee</w:t>
      </w:r>
    </w:p>
    <w:p>
      <w:pPr>
        <w:pStyle w:val="BodyText"/>
        <w:spacing w:before="8"/>
        <w:rPr>
          <w:rFonts w:ascii="Arial"/>
          <w:b/>
          <w:sz w:val="28"/>
        </w:rPr>
      </w:pPr>
    </w:p>
    <w:p>
      <w:pPr>
        <w:pStyle w:val="BodyText"/>
        <w:spacing w:line="480" w:lineRule="auto"/>
        <w:ind w:left="820" w:right="114" w:firstLine="720"/>
        <w:jc w:val="both"/>
      </w:pPr>
      <w:r>
        <w:rPr/>
        <w:t>The Sports Committee has the mandate of formulating policies and</w:t>
      </w:r>
      <w:r>
        <w:rPr>
          <w:spacing w:val="40"/>
        </w:rPr>
        <w:t> </w:t>
      </w:r>
      <w:r>
        <w:rPr/>
        <w:t>making decisions for the development of sports and intramural, recreational programmes and related activities. This is to enhance the quality of students’ skills, spirit and development of their potentiality and interests in Campus and international</w:t>
      </w:r>
      <w:r>
        <w:rPr>
          <w:spacing w:val="26"/>
        </w:rPr>
        <w:t> </w:t>
      </w:r>
      <w:r>
        <w:rPr/>
        <w:t>games</w:t>
      </w:r>
      <w:r>
        <w:rPr>
          <w:spacing w:val="23"/>
        </w:rPr>
        <w:t> </w:t>
      </w:r>
      <w:r>
        <w:rPr/>
        <w:t>and</w:t>
      </w:r>
      <w:r>
        <w:rPr>
          <w:spacing w:val="24"/>
        </w:rPr>
        <w:t> </w:t>
      </w:r>
      <w:r>
        <w:rPr/>
        <w:t>sports.</w:t>
      </w:r>
      <w:r>
        <w:rPr>
          <w:spacing w:val="20"/>
        </w:rPr>
        <w:t> </w:t>
      </w:r>
      <w:r>
        <w:rPr/>
        <w:t>The</w:t>
      </w:r>
      <w:r>
        <w:rPr>
          <w:spacing w:val="24"/>
        </w:rPr>
        <w:t> </w:t>
      </w:r>
      <w:r>
        <w:rPr/>
        <w:t>Committee</w:t>
      </w:r>
      <w:r>
        <w:rPr>
          <w:spacing w:val="24"/>
        </w:rPr>
        <w:t> </w:t>
      </w:r>
      <w:r>
        <w:rPr/>
        <w:t>also</w:t>
      </w:r>
      <w:r>
        <w:rPr>
          <w:spacing w:val="24"/>
        </w:rPr>
        <w:t> </w:t>
      </w:r>
      <w:r>
        <w:rPr/>
        <w:t>makes</w:t>
      </w:r>
      <w:r>
        <w:rPr>
          <w:spacing w:val="23"/>
        </w:rPr>
        <w:t> </w:t>
      </w:r>
      <w:r>
        <w:rPr>
          <w:spacing w:val="-2"/>
        </w:rPr>
        <w:t>recommendations,</w:t>
      </w:r>
    </w:p>
    <w:p>
      <w:pPr>
        <w:spacing w:after="0" w:line="480" w:lineRule="auto"/>
        <w:jc w:val="both"/>
        <w:sectPr>
          <w:headerReference w:type="default" r:id="rId208"/>
          <w:footerReference w:type="default" r:id="rId209"/>
          <w:pgSz w:w="12240" w:h="15840"/>
          <w:pgMar w:header="722" w:footer="791" w:top="1340" w:bottom="980" w:left="1340" w:right="1320"/>
        </w:sectPr>
      </w:pPr>
    </w:p>
    <w:p>
      <w:pPr>
        <w:pStyle w:val="BodyText"/>
        <w:spacing w:line="480" w:lineRule="auto" w:before="89"/>
        <w:ind w:left="820" w:right="117"/>
        <w:jc w:val="both"/>
      </w:pPr>
      <w:r>
        <w:rPr/>
        <w:t>on the financial needs and the types of games and sports to be established as well as identifying and advising on the procurement and provision of sporting materials and facilities.</w:t>
      </w:r>
    </w:p>
    <w:p>
      <w:pPr>
        <w:pStyle w:val="Heading2"/>
        <w:numPr>
          <w:ilvl w:val="3"/>
          <w:numId w:val="19"/>
        </w:numPr>
        <w:tabs>
          <w:tab w:pos="1179" w:val="left" w:leader="none"/>
        </w:tabs>
        <w:spacing w:line="318" w:lineRule="exact" w:before="0" w:after="0"/>
        <w:ind w:left="1179" w:right="0" w:hanging="1079"/>
        <w:jc w:val="left"/>
      </w:pPr>
      <w:bookmarkStart w:name="_TOC_250030" w:id="38"/>
      <w:r>
        <w:rPr/>
        <w:t>The</w:t>
      </w:r>
      <w:r>
        <w:rPr>
          <w:spacing w:val="-11"/>
        </w:rPr>
        <w:t> </w:t>
      </w:r>
      <w:r>
        <w:rPr/>
        <w:t>Central</w:t>
      </w:r>
      <w:r>
        <w:rPr>
          <w:spacing w:val="-6"/>
        </w:rPr>
        <w:t> </w:t>
      </w:r>
      <w:r>
        <w:rPr/>
        <w:t>Accommodation</w:t>
      </w:r>
      <w:r>
        <w:rPr>
          <w:spacing w:val="-7"/>
        </w:rPr>
        <w:t> </w:t>
      </w:r>
      <w:r>
        <w:rPr/>
        <w:t>Allocation</w:t>
      </w:r>
      <w:r>
        <w:rPr>
          <w:spacing w:val="-8"/>
        </w:rPr>
        <w:t> </w:t>
      </w:r>
      <w:bookmarkEnd w:id="38"/>
      <w:r>
        <w:rPr>
          <w:spacing w:val="-2"/>
        </w:rPr>
        <w:t>Committee</w:t>
      </w:r>
    </w:p>
    <w:p>
      <w:pPr>
        <w:pStyle w:val="BodyText"/>
        <w:spacing w:before="3"/>
        <w:rPr>
          <w:rFonts w:ascii="Arial"/>
          <w:b/>
          <w:sz w:val="28"/>
        </w:rPr>
      </w:pPr>
    </w:p>
    <w:p>
      <w:pPr>
        <w:pStyle w:val="BodyText"/>
        <w:spacing w:line="480" w:lineRule="auto"/>
        <w:ind w:left="820" w:right="115" w:firstLine="360"/>
        <w:jc w:val="both"/>
      </w:pPr>
      <w:r>
        <w:rPr/>
        <w:t>This Committee is responsible for advising the Student Affairs Management on effective allocation of halls and bedspaces to bonafide students of the university.</w:t>
      </w:r>
      <w:r>
        <w:rPr>
          <w:spacing w:val="-3"/>
        </w:rPr>
        <w:t> </w:t>
      </w:r>
      <w:r>
        <w:rPr/>
        <w:t>It</w:t>
      </w:r>
      <w:r>
        <w:rPr>
          <w:spacing w:val="-3"/>
        </w:rPr>
        <w:t> </w:t>
      </w:r>
      <w:r>
        <w:rPr/>
        <w:t>also</w:t>
      </w:r>
      <w:r>
        <w:rPr>
          <w:spacing w:val="-5"/>
        </w:rPr>
        <w:t> </w:t>
      </w:r>
      <w:r>
        <w:rPr/>
        <w:t>advises</w:t>
      </w:r>
      <w:r>
        <w:rPr>
          <w:spacing w:val="-3"/>
        </w:rPr>
        <w:t> </w:t>
      </w:r>
      <w:r>
        <w:rPr/>
        <w:t>the</w:t>
      </w:r>
      <w:r>
        <w:rPr>
          <w:spacing w:val="-2"/>
        </w:rPr>
        <w:t> </w:t>
      </w:r>
      <w:r>
        <w:rPr/>
        <w:t>Dean</w:t>
      </w:r>
      <w:r>
        <w:rPr>
          <w:spacing w:val="-2"/>
        </w:rPr>
        <w:t> </w:t>
      </w:r>
      <w:r>
        <w:rPr/>
        <w:t>of</w:t>
      </w:r>
      <w:r>
        <w:rPr>
          <w:spacing w:val="-3"/>
        </w:rPr>
        <w:t> </w:t>
      </w:r>
      <w:r>
        <w:rPr/>
        <w:t>Students</w:t>
      </w:r>
      <w:r>
        <w:rPr>
          <w:spacing w:val="-3"/>
        </w:rPr>
        <w:t> </w:t>
      </w:r>
      <w:r>
        <w:rPr/>
        <w:t>on</w:t>
      </w:r>
      <w:r>
        <w:rPr>
          <w:spacing w:val="-2"/>
        </w:rPr>
        <w:t> </w:t>
      </w:r>
      <w:r>
        <w:rPr/>
        <w:t>the</w:t>
      </w:r>
      <w:r>
        <w:rPr>
          <w:spacing w:val="-2"/>
        </w:rPr>
        <w:t> </w:t>
      </w:r>
      <w:r>
        <w:rPr/>
        <w:t>coordination</w:t>
      </w:r>
      <w:r>
        <w:rPr>
          <w:spacing w:val="-5"/>
        </w:rPr>
        <w:t> </w:t>
      </w:r>
      <w:r>
        <w:rPr/>
        <w:t>of</w:t>
      </w:r>
      <w:r>
        <w:rPr>
          <w:spacing w:val="-3"/>
        </w:rPr>
        <w:t> </w:t>
      </w:r>
      <w:r>
        <w:rPr/>
        <w:t>procedures and guidelines,</w:t>
      </w:r>
      <w:r>
        <w:rPr>
          <w:spacing w:val="-3"/>
        </w:rPr>
        <w:t> </w:t>
      </w:r>
      <w:r>
        <w:rPr/>
        <w:t>general residency</w:t>
      </w:r>
      <w:r>
        <w:rPr>
          <w:spacing w:val="-3"/>
        </w:rPr>
        <w:t> </w:t>
      </w:r>
      <w:r>
        <w:rPr/>
        <w:t>regulation</w:t>
      </w:r>
      <w:r>
        <w:rPr>
          <w:spacing w:val="-2"/>
        </w:rPr>
        <w:t> </w:t>
      </w:r>
      <w:r>
        <w:rPr/>
        <w:t>and</w:t>
      </w:r>
      <w:r>
        <w:rPr>
          <w:spacing w:val="-2"/>
        </w:rPr>
        <w:t> </w:t>
      </w:r>
      <w:r>
        <w:rPr/>
        <w:t>living</w:t>
      </w:r>
      <w:r>
        <w:rPr>
          <w:spacing w:val="-2"/>
        </w:rPr>
        <w:t> </w:t>
      </w:r>
      <w:r>
        <w:rPr/>
        <w:t>arrangements in</w:t>
      </w:r>
      <w:r>
        <w:rPr>
          <w:spacing w:val="-2"/>
        </w:rPr>
        <w:t> </w:t>
      </w:r>
      <w:r>
        <w:rPr/>
        <w:t>the</w:t>
      </w:r>
      <w:r>
        <w:rPr>
          <w:spacing w:val="-2"/>
        </w:rPr>
        <w:t> </w:t>
      </w:r>
      <w:r>
        <w:rPr/>
        <w:t>halls. The Committee formulates the guidelines for allocating students into rooms</w:t>
      </w:r>
      <w:r>
        <w:rPr>
          <w:spacing w:val="40"/>
        </w:rPr>
        <w:t> </w:t>
      </w:r>
      <w:r>
        <w:rPr/>
        <w:t>based on quota allocated to each faculty and level of students.</w:t>
      </w:r>
    </w:p>
    <w:p>
      <w:pPr>
        <w:pStyle w:val="Heading2"/>
        <w:numPr>
          <w:ilvl w:val="3"/>
          <w:numId w:val="19"/>
        </w:numPr>
        <w:tabs>
          <w:tab w:pos="1179" w:val="left" w:leader="none"/>
        </w:tabs>
        <w:spacing w:line="318" w:lineRule="exact" w:before="0" w:after="0"/>
        <w:ind w:left="1179" w:right="0" w:hanging="1079"/>
        <w:jc w:val="left"/>
      </w:pPr>
      <w:bookmarkStart w:name="_TOC_250029" w:id="39"/>
      <w:r>
        <w:rPr/>
        <w:t>The</w:t>
      </w:r>
      <w:r>
        <w:rPr>
          <w:spacing w:val="-9"/>
        </w:rPr>
        <w:t> </w:t>
      </w:r>
      <w:r>
        <w:rPr/>
        <w:t>Catering</w:t>
      </w:r>
      <w:r>
        <w:rPr>
          <w:spacing w:val="-4"/>
        </w:rPr>
        <w:t> </w:t>
      </w:r>
      <w:r>
        <w:rPr/>
        <w:t>Service</w:t>
      </w:r>
      <w:r>
        <w:rPr>
          <w:spacing w:val="-5"/>
        </w:rPr>
        <w:t> </w:t>
      </w:r>
      <w:bookmarkEnd w:id="39"/>
      <w:r>
        <w:rPr>
          <w:spacing w:val="-2"/>
        </w:rPr>
        <w:t>Committee</w:t>
      </w:r>
    </w:p>
    <w:p>
      <w:pPr>
        <w:pStyle w:val="BodyText"/>
        <w:spacing w:before="3"/>
        <w:rPr>
          <w:rFonts w:ascii="Arial"/>
          <w:b/>
          <w:sz w:val="28"/>
        </w:rPr>
      </w:pPr>
    </w:p>
    <w:p>
      <w:pPr>
        <w:pStyle w:val="BodyText"/>
        <w:spacing w:line="480" w:lineRule="auto"/>
        <w:ind w:left="820" w:right="114" w:firstLine="720"/>
        <w:jc w:val="both"/>
      </w:pPr>
      <w:r>
        <w:rPr/>
        <w:t>Prior to the disengagement of the University from students’ feeding subsidy, this Committee had the responsibility of procuring and provision of foodstuff, utensils and other equipment used in all the cafeterias in all the Universities. This was considered as cumbersome and expensive.</w:t>
      </w:r>
    </w:p>
    <w:p>
      <w:pPr>
        <w:pStyle w:val="BodyText"/>
        <w:spacing w:line="480" w:lineRule="auto"/>
        <w:ind w:left="820" w:right="119" w:firstLine="720"/>
        <w:jc w:val="both"/>
      </w:pPr>
      <w:r>
        <w:rPr/>
        <w:t>With the withdrawal of meal subsidy and final transfer of the catering services to the private individuals the committee’s responsibilities have been eroded. The Committee has been left with the responsibility of recruitment of private</w:t>
      </w:r>
      <w:r>
        <w:rPr>
          <w:spacing w:val="-1"/>
        </w:rPr>
        <w:t> </w:t>
      </w:r>
      <w:r>
        <w:rPr/>
        <w:t>caterers</w:t>
      </w:r>
      <w:r>
        <w:rPr>
          <w:spacing w:val="-2"/>
        </w:rPr>
        <w:t> </w:t>
      </w:r>
      <w:r>
        <w:rPr/>
        <w:t>and</w:t>
      </w:r>
      <w:r>
        <w:rPr>
          <w:spacing w:val="-1"/>
        </w:rPr>
        <w:t> </w:t>
      </w:r>
      <w:r>
        <w:rPr/>
        <w:t>advising</w:t>
      </w:r>
      <w:r>
        <w:rPr>
          <w:spacing w:val="-1"/>
        </w:rPr>
        <w:t> </w:t>
      </w:r>
      <w:r>
        <w:rPr/>
        <w:t>them</w:t>
      </w:r>
      <w:r>
        <w:rPr>
          <w:spacing w:val="-10"/>
        </w:rPr>
        <w:t> </w:t>
      </w:r>
      <w:r>
        <w:rPr/>
        <w:t>on</w:t>
      </w:r>
      <w:r>
        <w:rPr>
          <w:spacing w:val="-1"/>
        </w:rPr>
        <w:t> </w:t>
      </w:r>
      <w:r>
        <w:rPr/>
        <w:t>the</w:t>
      </w:r>
      <w:r>
        <w:rPr>
          <w:spacing w:val="-1"/>
        </w:rPr>
        <w:t> </w:t>
      </w:r>
      <w:r>
        <w:rPr/>
        <w:t>sanitation,</w:t>
      </w:r>
      <w:r>
        <w:rPr>
          <w:spacing w:val="-2"/>
        </w:rPr>
        <w:t> </w:t>
      </w:r>
      <w:r>
        <w:rPr/>
        <w:t>types</w:t>
      </w:r>
      <w:r>
        <w:rPr>
          <w:spacing w:val="-2"/>
        </w:rPr>
        <w:t> </w:t>
      </w:r>
      <w:r>
        <w:rPr/>
        <w:t>of</w:t>
      </w:r>
      <w:r>
        <w:rPr>
          <w:spacing w:val="-2"/>
        </w:rPr>
        <w:t> </w:t>
      </w:r>
      <w:r>
        <w:rPr/>
        <w:t>menu</w:t>
      </w:r>
      <w:r>
        <w:rPr>
          <w:spacing w:val="-1"/>
        </w:rPr>
        <w:t> </w:t>
      </w:r>
      <w:r>
        <w:rPr/>
        <w:t>and</w:t>
      </w:r>
      <w:r>
        <w:rPr>
          <w:spacing w:val="-1"/>
        </w:rPr>
        <w:t> </w:t>
      </w:r>
      <w:r>
        <w:rPr/>
        <w:t>rates</w:t>
      </w:r>
      <w:r>
        <w:rPr>
          <w:spacing w:val="-2"/>
        </w:rPr>
        <w:t> </w:t>
      </w:r>
      <w:r>
        <w:rPr/>
        <w:t>per plate of food. This responsibility is usually shared with the University Market Management Committee.</w:t>
      </w:r>
    </w:p>
    <w:p>
      <w:pPr>
        <w:spacing w:after="0" w:line="480" w:lineRule="auto"/>
        <w:jc w:val="both"/>
        <w:sectPr>
          <w:headerReference w:type="default" r:id="rId210"/>
          <w:footerReference w:type="default" r:id="rId211"/>
          <w:pgSz w:w="12240" w:h="15840"/>
          <w:pgMar w:header="722" w:footer="791" w:top="1340" w:bottom="980" w:left="1340" w:right="1320"/>
        </w:sectPr>
      </w:pPr>
    </w:p>
    <w:p>
      <w:pPr>
        <w:pStyle w:val="Heading2"/>
        <w:numPr>
          <w:ilvl w:val="3"/>
          <w:numId w:val="19"/>
        </w:numPr>
        <w:tabs>
          <w:tab w:pos="1180" w:val="left" w:leader="none"/>
        </w:tabs>
        <w:spacing w:line="240" w:lineRule="auto" w:before="85" w:after="0"/>
        <w:ind w:left="1180" w:right="126" w:hanging="1080"/>
        <w:jc w:val="left"/>
      </w:pPr>
      <w:r>
        <w:rPr/>
        <w:t>Hall Management and Central Coordination Committee of Hall </w:t>
      </w:r>
      <w:r>
        <w:rPr>
          <w:spacing w:val="-2"/>
        </w:rPr>
        <w:t>Management</w:t>
      </w:r>
    </w:p>
    <w:p>
      <w:pPr>
        <w:pStyle w:val="BodyText"/>
        <w:spacing w:before="2"/>
        <w:rPr>
          <w:rFonts w:ascii="Arial"/>
          <w:b/>
          <w:sz w:val="28"/>
        </w:rPr>
      </w:pPr>
    </w:p>
    <w:p>
      <w:pPr>
        <w:pStyle w:val="BodyText"/>
        <w:spacing w:line="480" w:lineRule="auto"/>
        <w:ind w:left="820" w:right="117" w:firstLine="360"/>
        <w:jc w:val="both"/>
      </w:pPr>
      <w:r>
        <w:rPr/>
        <w:t>In each student’s hall of residence there should be Hall Management Committee (HMC), which is responsible for all matters of general policy, upkeep and administration of residential, social, athletic and intellectual activities in the halls. The Hall Committee “has powers to arrange its own social, cultural or intellectual activities designed to preserve, develop and enrich the traditions of the hall” and to make life interesting and worth-while to its residents.</w:t>
      </w:r>
    </w:p>
    <w:p>
      <w:pPr>
        <w:pStyle w:val="BodyText"/>
        <w:spacing w:line="480" w:lineRule="auto" w:before="1"/>
        <w:ind w:left="820" w:right="118" w:firstLine="360"/>
        <w:jc w:val="both"/>
      </w:pPr>
      <w:r>
        <w:rPr/>
        <w:t>For sustenance of uniformity in the policy formulation, the proceedings of</w:t>
      </w:r>
      <w:r>
        <w:rPr>
          <w:spacing w:val="40"/>
        </w:rPr>
        <w:t> </w:t>
      </w:r>
      <w:r>
        <w:rPr/>
        <w:t>each Hall Committee should be referred to the Central coordinating or Hall Management Committee of which the Dean must be the Chairman with Hall advisors, President of Students’ Union, Students’ Welfare Director and all Hall Administrators as members and Accommodation Officer as Secretary.</w:t>
      </w:r>
    </w:p>
    <w:p>
      <w:pPr>
        <w:pStyle w:val="Heading2"/>
        <w:numPr>
          <w:ilvl w:val="3"/>
          <w:numId w:val="19"/>
        </w:numPr>
        <w:tabs>
          <w:tab w:pos="1189" w:val="left" w:leader="none"/>
        </w:tabs>
        <w:spacing w:line="318" w:lineRule="exact" w:before="0" w:after="0"/>
        <w:ind w:left="1189" w:right="0" w:hanging="1089"/>
        <w:jc w:val="left"/>
      </w:pPr>
      <w:bookmarkStart w:name="_TOC_250028" w:id="40"/>
      <w:r>
        <w:rPr/>
        <w:t>The</w:t>
      </w:r>
      <w:r>
        <w:rPr>
          <w:spacing w:val="-8"/>
        </w:rPr>
        <w:t> </w:t>
      </w:r>
      <w:r>
        <w:rPr/>
        <w:t>Universities</w:t>
      </w:r>
      <w:r>
        <w:rPr>
          <w:spacing w:val="-8"/>
        </w:rPr>
        <w:t> </w:t>
      </w:r>
      <w:r>
        <w:rPr/>
        <w:t>Market</w:t>
      </w:r>
      <w:r>
        <w:rPr>
          <w:spacing w:val="-7"/>
        </w:rPr>
        <w:t> </w:t>
      </w:r>
      <w:r>
        <w:rPr/>
        <w:t>Management</w:t>
      </w:r>
      <w:r>
        <w:rPr>
          <w:spacing w:val="-8"/>
        </w:rPr>
        <w:t> </w:t>
      </w:r>
      <w:r>
        <w:rPr/>
        <w:t>Committee</w:t>
      </w:r>
      <w:r>
        <w:rPr>
          <w:spacing w:val="-3"/>
        </w:rPr>
        <w:t> </w:t>
      </w:r>
      <w:bookmarkEnd w:id="40"/>
      <w:r>
        <w:rPr>
          <w:spacing w:val="-2"/>
        </w:rPr>
        <w:t>(UMMC)</w:t>
      </w:r>
    </w:p>
    <w:p>
      <w:pPr>
        <w:pStyle w:val="BodyText"/>
        <w:spacing w:before="3"/>
        <w:rPr>
          <w:rFonts w:ascii="Arial"/>
          <w:b/>
          <w:sz w:val="28"/>
        </w:rPr>
      </w:pPr>
    </w:p>
    <w:p>
      <w:pPr>
        <w:pStyle w:val="BodyText"/>
        <w:spacing w:line="480" w:lineRule="auto"/>
        <w:ind w:left="820" w:right="113" w:firstLine="360"/>
        <w:jc w:val="both"/>
      </w:pPr>
      <w:r>
        <w:rPr/>
        <w:t>This Committee should be established in all Universities. It is one of the administrative strategies established to harness and promote students’ welfare services. It is specifically responsible for the allocation, coordination and management of market stalls, cafeterias, restaurants, buffets, kiosks, laundries, shops and all commercial facilities and activities outside students’ halls of residence. This Committee should also be charged with the responsibility of recommending the licencing of all persons or companies from outside who wish to operate commercial ventures in the campus. It is also to arrange for the maintenance</w:t>
      </w:r>
      <w:r>
        <w:rPr>
          <w:spacing w:val="-1"/>
        </w:rPr>
        <w:t> </w:t>
      </w:r>
      <w:r>
        <w:rPr/>
        <w:t>of</w:t>
      </w:r>
      <w:r>
        <w:rPr>
          <w:spacing w:val="-2"/>
        </w:rPr>
        <w:t> </w:t>
      </w:r>
      <w:r>
        <w:rPr/>
        <w:t>the</w:t>
      </w:r>
      <w:r>
        <w:rPr>
          <w:spacing w:val="-1"/>
        </w:rPr>
        <w:t> </w:t>
      </w:r>
      <w:r>
        <w:rPr/>
        <w:t>facilities,</w:t>
      </w:r>
      <w:r>
        <w:rPr>
          <w:spacing w:val="-2"/>
        </w:rPr>
        <w:t> </w:t>
      </w:r>
      <w:r>
        <w:rPr/>
        <w:t>waste</w:t>
      </w:r>
      <w:r>
        <w:rPr>
          <w:spacing w:val="-1"/>
        </w:rPr>
        <w:t> </w:t>
      </w:r>
      <w:r>
        <w:rPr/>
        <w:t>collection</w:t>
      </w:r>
      <w:r>
        <w:rPr>
          <w:spacing w:val="-5"/>
        </w:rPr>
        <w:t> </w:t>
      </w:r>
      <w:r>
        <w:rPr/>
        <w:t>and</w:t>
      </w:r>
      <w:r>
        <w:rPr>
          <w:spacing w:val="-1"/>
        </w:rPr>
        <w:t> </w:t>
      </w:r>
      <w:r>
        <w:rPr/>
        <w:t>disposal as</w:t>
      </w:r>
      <w:r>
        <w:rPr>
          <w:spacing w:val="-2"/>
        </w:rPr>
        <w:t> </w:t>
      </w:r>
      <w:r>
        <w:rPr/>
        <w:t>well as</w:t>
      </w:r>
      <w:r>
        <w:rPr>
          <w:spacing w:val="-7"/>
        </w:rPr>
        <w:t> </w:t>
      </w:r>
      <w:r>
        <w:rPr/>
        <w:t>liaising</w:t>
      </w:r>
      <w:r>
        <w:rPr>
          <w:spacing w:val="-1"/>
        </w:rPr>
        <w:t> </w:t>
      </w:r>
      <w:r>
        <w:rPr/>
        <w:t>with security</w:t>
      </w:r>
      <w:r>
        <w:rPr>
          <w:spacing w:val="61"/>
        </w:rPr>
        <w:t> </w:t>
      </w:r>
      <w:r>
        <w:rPr/>
        <w:t>for</w:t>
      </w:r>
      <w:r>
        <w:rPr>
          <w:spacing w:val="62"/>
        </w:rPr>
        <w:t> </w:t>
      </w:r>
      <w:r>
        <w:rPr/>
        <w:t>safeguarding</w:t>
      </w:r>
      <w:r>
        <w:rPr>
          <w:spacing w:val="62"/>
        </w:rPr>
        <w:t> </w:t>
      </w:r>
      <w:r>
        <w:rPr/>
        <w:t>of</w:t>
      </w:r>
      <w:r>
        <w:rPr>
          <w:spacing w:val="61"/>
        </w:rPr>
        <w:t> </w:t>
      </w:r>
      <w:r>
        <w:rPr/>
        <w:t>shops</w:t>
      </w:r>
      <w:r>
        <w:rPr>
          <w:spacing w:val="56"/>
        </w:rPr>
        <w:t> </w:t>
      </w:r>
      <w:r>
        <w:rPr/>
        <w:t>and</w:t>
      </w:r>
      <w:r>
        <w:rPr>
          <w:spacing w:val="57"/>
        </w:rPr>
        <w:t> </w:t>
      </w:r>
      <w:r>
        <w:rPr/>
        <w:t>all</w:t>
      </w:r>
      <w:r>
        <w:rPr>
          <w:spacing w:val="61"/>
        </w:rPr>
        <w:t> </w:t>
      </w:r>
      <w:r>
        <w:rPr/>
        <w:t>facilities.</w:t>
      </w:r>
      <w:r>
        <w:rPr>
          <w:spacing w:val="58"/>
        </w:rPr>
        <w:t> </w:t>
      </w:r>
      <w:r>
        <w:rPr/>
        <w:t>The</w:t>
      </w:r>
      <w:r>
        <w:rPr>
          <w:spacing w:val="57"/>
        </w:rPr>
        <w:t> </w:t>
      </w:r>
      <w:r>
        <w:rPr/>
        <w:t>role</w:t>
      </w:r>
      <w:r>
        <w:rPr>
          <w:spacing w:val="57"/>
        </w:rPr>
        <w:t> </w:t>
      </w:r>
      <w:r>
        <w:rPr/>
        <w:t>played</w:t>
      </w:r>
      <w:r>
        <w:rPr>
          <w:spacing w:val="57"/>
        </w:rPr>
        <w:t> </w:t>
      </w:r>
      <w:r>
        <w:rPr/>
        <w:t>by</w:t>
      </w:r>
      <w:r>
        <w:rPr>
          <w:spacing w:val="61"/>
        </w:rPr>
        <w:t> </w:t>
      </w:r>
      <w:r>
        <w:rPr>
          <w:spacing w:val="-4"/>
        </w:rPr>
        <w:t>this</w:t>
      </w:r>
    </w:p>
    <w:p>
      <w:pPr>
        <w:spacing w:after="0" w:line="480" w:lineRule="auto"/>
        <w:jc w:val="both"/>
        <w:sectPr>
          <w:headerReference w:type="default" r:id="rId212"/>
          <w:footerReference w:type="default" r:id="rId213"/>
          <w:pgSz w:w="12240" w:h="15840"/>
          <w:pgMar w:header="722" w:footer="791" w:top="1340" w:bottom="980" w:left="1340" w:right="1320"/>
        </w:sectPr>
      </w:pPr>
    </w:p>
    <w:p>
      <w:pPr>
        <w:pStyle w:val="BodyText"/>
        <w:spacing w:line="480" w:lineRule="auto" w:before="89"/>
        <w:ind w:left="820" w:right="118"/>
        <w:jc w:val="both"/>
      </w:pPr>
      <w:r>
        <w:rPr/>
        <w:t>Committee is supposed to contribute tremendously to the sanity, comfort and general effective welfare of students.</w:t>
      </w:r>
    </w:p>
    <w:p>
      <w:pPr>
        <w:pStyle w:val="BodyText"/>
        <w:spacing w:line="480" w:lineRule="auto"/>
        <w:ind w:left="820" w:right="115" w:firstLine="720"/>
        <w:jc w:val="both"/>
      </w:pPr>
      <w:r>
        <w:rPr/>
        <w:t>Also there should be other academic Committees like Faculty Boards, Examination Committee and adhoc Committees like the task force on Student Union Government, Health Committees, Sexual Harassment Committee, Students’ Victimization, Intimidation Committee as the case may be, which contribute immensely to the students’ welfare services. And most importantly students should be well represented on almost all the committees.</w:t>
      </w:r>
    </w:p>
    <w:p>
      <w:pPr>
        <w:pStyle w:val="Heading2"/>
        <w:ind w:left="973" w:hanging="874"/>
      </w:pPr>
      <w:r>
        <w:rPr>
          <w:rFonts w:ascii="Arial MT" w:hAnsi="Arial MT"/>
          <w:b w:val="0"/>
        </w:rPr>
        <w:t>2.4.4.3</w:t>
      </w:r>
      <w:r>
        <w:rPr>
          <w:rFonts w:ascii="Arial MT" w:hAnsi="Arial MT"/>
          <w:b w:val="0"/>
          <w:spacing w:val="-3"/>
        </w:rPr>
        <w:t> </w:t>
      </w:r>
      <w:r>
        <w:rPr/>
        <w:t>The</w:t>
      </w:r>
      <w:r>
        <w:rPr>
          <w:spacing w:val="-7"/>
        </w:rPr>
        <w:t> </w:t>
      </w:r>
      <w:r>
        <w:rPr/>
        <w:t>role</w:t>
      </w:r>
      <w:r>
        <w:rPr>
          <w:spacing w:val="-2"/>
        </w:rPr>
        <w:t> </w:t>
      </w:r>
      <w:r>
        <w:rPr/>
        <w:t>of</w:t>
      </w:r>
      <w:r>
        <w:rPr>
          <w:spacing w:val="-7"/>
        </w:rPr>
        <w:t> </w:t>
      </w:r>
      <w:r>
        <w:rPr/>
        <w:t>Students’</w:t>
      </w:r>
      <w:r>
        <w:rPr>
          <w:spacing w:val="-7"/>
        </w:rPr>
        <w:t> </w:t>
      </w:r>
      <w:r>
        <w:rPr/>
        <w:t>Union</w:t>
      </w:r>
      <w:r>
        <w:rPr>
          <w:spacing w:val="-3"/>
        </w:rPr>
        <w:t> </w:t>
      </w:r>
      <w:r>
        <w:rPr/>
        <w:t>Government</w:t>
      </w:r>
      <w:r>
        <w:rPr>
          <w:spacing w:val="-3"/>
        </w:rPr>
        <w:t> </w:t>
      </w:r>
      <w:r>
        <w:rPr/>
        <w:t>in</w:t>
      </w:r>
      <w:r>
        <w:rPr>
          <w:spacing w:val="-3"/>
        </w:rPr>
        <w:t> </w:t>
      </w:r>
      <w:r>
        <w:rPr/>
        <w:t>the</w:t>
      </w:r>
      <w:r>
        <w:rPr>
          <w:spacing w:val="-7"/>
        </w:rPr>
        <w:t> </w:t>
      </w:r>
      <w:r>
        <w:rPr/>
        <w:t>management</w:t>
      </w:r>
      <w:r>
        <w:rPr>
          <w:spacing w:val="-3"/>
        </w:rPr>
        <w:t> </w:t>
      </w:r>
      <w:r>
        <w:rPr/>
        <w:t>of effective students’ welfare services</w:t>
      </w:r>
    </w:p>
    <w:p>
      <w:pPr>
        <w:pStyle w:val="BodyText"/>
        <w:spacing w:line="480" w:lineRule="auto" w:before="278"/>
        <w:ind w:left="820" w:right="114" w:firstLine="720"/>
        <w:jc w:val="both"/>
      </w:pPr>
      <w:r>
        <w:rPr/>
        <w:t>The activities and behaviour of the students and students’ Union has an immense contribution on the welfare of the students’ body. For the University to carry students along for its effective survival, it is paramount to involve them in the deliberation and formulation of decisions at various Committees on affairs</w:t>
      </w:r>
      <w:r>
        <w:rPr>
          <w:spacing w:val="40"/>
        </w:rPr>
        <w:t> </w:t>
      </w:r>
      <w:r>
        <w:rPr/>
        <w:t>that directly affect them. This should be rooted directly or through the Students’ Union Government and/or through the Caretaker Committee whenever the Students’ Union Government is inactive.</w:t>
      </w:r>
    </w:p>
    <w:p>
      <w:pPr>
        <w:pStyle w:val="BodyText"/>
        <w:spacing w:line="480" w:lineRule="auto"/>
        <w:ind w:left="820" w:right="116" w:firstLine="720"/>
        <w:jc w:val="both"/>
      </w:pPr>
      <w:r>
        <w:rPr/>
        <w:t>The Students’ Union serves as</w:t>
      </w:r>
      <w:r>
        <w:rPr>
          <w:spacing w:val="-3"/>
        </w:rPr>
        <w:t> </w:t>
      </w:r>
      <w:r>
        <w:rPr/>
        <w:t>an</w:t>
      </w:r>
      <w:r>
        <w:rPr>
          <w:spacing w:val="-2"/>
        </w:rPr>
        <w:t> </w:t>
      </w:r>
      <w:r>
        <w:rPr/>
        <w:t>effective</w:t>
      </w:r>
      <w:r>
        <w:rPr>
          <w:spacing w:val="-2"/>
        </w:rPr>
        <w:t> </w:t>
      </w:r>
      <w:r>
        <w:rPr/>
        <w:t>nerve</w:t>
      </w:r>
      <w:r>
        <w:rPr>
          <w:spacing w:val="-2"/>
        </w:rPr>
        <w:t> </w:t>
      </w:r>
      <w:r>
        <w:rPr/>
        <w:t>in</w:t>
      </w:r>
      <w:r>
        <w:rPr>
          <w:spacing w:val="-2"/>
        </w:rPr>
        <w:t> </w:t>
      </w:r>
      <w:r>
        <w:rPr/>
        <w:t>coordinating</w:t>
      </w:r>
      <w:r>
        <w:rPr>
          <w:spacing w:val="-2"/>
        </w:rPr>
        <w:t> </w:t>
      </w:r>
      <w:r>
        <w:rPr/>
        <w:t>students’ involvement in the management of the university as well as a training for responsible leadership. Specifically the Students’ Union Government fosters and “manages the athletic intellectual, social and cultural interest of students” as well as “providing a forum of evolving policies that enhance students’ welfare”.</w:t>
      </w:r>
    </w:p>
    <w:p>
      <w:pPr>
        <w:pStyle w:val="BodyText"/>
        <w:spacing w:line="480" w:lineRule="auto"/>
        <w:ind w:left="820" w:right="119" w:firstLine="720"/>
        <w:jc w:val="both"/>
      </w:pPr>
      <w:r>
        <w:rPr/>
        <w:t>The</w:t>
      </w:r>
      <w:r>
        <w:rPr>
          <w:spacing w:val="-2"/>
        </w:rPr>
        <w:t> </w:t>
      </w:r>
      <w:r>
        <w:rPr/>
        <w:t>Union</w:t>
      </w:r>
      <w:r>
        <w:rPr>
          <w:spacing w:val="-2"/>
        </w:rPr>
        <w:t> </w:t>
      </w:r>
      <w:r>
        <w:rPr/>
        <w:t>should</w:t>
      </w:r>
      <w:r>
        <w:rPr>
          <w:spacing w:val="-2"/>
        </w:rPr>
        <w:t> </w:t>
      </w:r>
      <w:r>
        <w:rPr/>
        <w:t>be</w:t>
      </w:r>
      <w:r>
        <w:rPr>
          <w:spacing w:val="-2"/>
        </w:rPr>
        <w:t> </w:t>
      </w:r>
      <w:r>
        <w:rPr/>
        <w:t>guided</w:t>
      </w:r>
      <w:r>
        <w:rPr>
          <w:spacing w:val="-2"/>
        </w:rPr>
        <w:t> </w:t>
      </w:r>
      <w:r>
        <w:rPr/>
        <w:t>by</w:t>
      </w:r>
      <w:r>
        <w:rPr>
          <w:spacing w:val="-3"/>
        </w:rPr>
        <w:t> </w:t>
      </w:r>
      <w:r>
        <w:rPr/>
        <w:t>the</w:t>
      </w:r>
      <w:r>
        <w:rPr>
          <w:spacing w:val="-2"/>
        </w:rPr>
        <w:t> </w:t>
      </w:r>
      <w:r>
        <w:rPr/>
        <w:t>Constitution</w:t>
      </w:r>
      <w:r>
        <w:rPr>
          <w:spacing w:val="-2"/>
        </w:rPr>
        <w:t> </w:t>
      </w:r>
      <w:r>
        <w:rPr/>
        <w:t>the</w:t>
      </w:r>
      <w:r>
        <w:rPr>
          <w:spacing w:val="-2"/>
        </w:rPr>
        <w:t> </w:t>
      </w:r>
      <w:r>
        <w:rPr/>
        <w:t>aims</w:t>
      </w:r>
      <w:r>
        <w:rPr>
          <w:spacing w:val="-3"/>
        </w:rPr>
        <w:t> </w:t>
      </w:r>
      <w:r>
        <w:rPr/>
        <w:t>and</w:t>
      </w:r>
      <w:r>
        <w:rPr>
          <w:spacing w:val="-2"/>
        </w:rPr>
        <w:t> </w:t>
      </w:r>
      <w:r>
        <w:rPr/>
        <w:t>objectives</w:t>
      </w:r>
      <w:r>
        <w:rPr>
          <w:spacing w:val="-3"/>
        </w:rPr>
        <w:t> </w:t>
      </w:r>
      <w:r>
        <w:rPr/>
        <w:t>of which should be:</w:t>
      </w:r>
    </w:p>
    <w:p>
      <w:pPr>
        <w:spacing w:after="0" w:line="480" w:lineRule="auto"/>
        <w:jc w:val="both"/>
        <w:sectPr>
          <w:headerReference w:type="default" r:id="rId214"/>
          <w:footerReference w:type="default" r:id="rId215"/>
          <w:pgSz w:w="12240" w:h="15840"/>
          <w:pgMar w:header="722" w:footer="791" w:top="1340" w:bottom="980" w:left="1340" w:right="1320"/>
        </w:sectPr>
      </w:pPr>
    </w:p>
    <w:p>
      <w:pPr>
        <w:pStyle w:val="ListParagraph"/>
        <w:numPr>
          <w:ilvl w:val="0"/>
          <w:numId w:val="32"/>
        </w:numPr>
        <w:tabs>
          <w:tab w:pos="2618" w:val="left" w:leader="none"/>
          <w:tab w:pos="2620" w:val="left" w:leader="none"/>
        </w:tabs>
        <w:spacing w:line="480" w:lineRule="auto" w:before="89" w:after="0"/>
        <w:ind w:left="2620" w:right="116" w:hanging="720"/>
        <w:jc w:val="both"/>
        <w:rPr>
          <w:sz w:val="24"/>
        </w:rPr>
      </w:pPr>
      <w:r>
        <w:rPr>
          <w:sz w:val="24"/>
        </w:rPr>
        <w:t>To protect and promote interest of students by promoting intellectual, social, moral, and cultural activities.</w:t>
      </w:r>
    </w:p>
    <w:p>
      <w:pPr>
        <w:pStyle w:val="ListParagraph"/>
        <w:numPr>
          <w:ilvl w:val="0"/>
          <w:numId w:val="32"/>
        </w:numPr>
        <w:tabs>
          <w:tab w:pos="2618" w:val="left" w:leader="none"/>
          <w:tab w:pos="2620" w:val="left" w:leader="none"/>
        </w:tabs>
        <w:spacing w:line="480" w:lineRule="auto" w:before="0" w:after="0"/>
        <w:ind w:left="2620" w:right="116" w:hanging="720"/>
        <w:jc w:val="both"/>
        <w:rPr>
          <w:sz w:val="24"/>
        </w:rPr>
      </w:pPr>
      <w:r>
        <w:rPr>
          <w:sz w:val="24"/>
        </w:rPr>
        <w:t>To enhance the prestige of individual students and the </w:t>
      </w:r>
      <w:r>
        <w:rPr>
          <w:spacing w:val="-2"/>
          <w:sz w:val="24"/>
        </w:rPr>
        <w:t>university.</w:t>
      </w:r>
    </w:p>
    <w:p>
      <w:pPr>
        <w:pStyle w:val="ListParagraph"/>
        <w:numPr>
          <w:ilvl w:val="0"/>
          <w:numId w:val="32"/>
        </w:numPr>
        <w:tabs>
          <w:tab w:pos="2617" w:val="left" w:leader="none"/>
          <w:tab w:pos="2620" w:val="left" w:leader="none"/>
        </w:tabs>
        <w:spacing w:line="480" w:lineRule="auto" w:before="0" w:after="0"/>
        <w:ind w:left="2620" w:right="116" w:hanging="720"/>
        <w:jc w:val="both"/>
        <w:rPr>
          <w:sz w:val="24"/>
        </w:rPr>
      </w:pPr>
      <w:r>
        <w:rPr>
          <w:sz w:val="24"/>
        </w:rPr>
        <w:t>Serve as a channel of communication or their mouthpiece between the union, the staff and the authorities over matters of mutual interest.</w:t>
      </w:r>
    </w:p>
    <w:p>
      <w:pPr>
        <w:pStyle w:val="ListParagraph"/>
        <w:numPr>
          <w:ilvl w:val="0"/>
          <w:numId w:val="32"/>
        </w:numPr>
        <w:tabs>
          <w:tab w:pos="2620" w:val="left" w:leader="none"/>
        </w:tabs>
        <w:spacing w:line="480" w:lineRule="auto" w:before="0" w:after="0"/>
        <w:ind w:left="2620" w:right="119" w:hanging="720"/>
        <w:jc w:val="both"/>
        <w:rPr>
          <w:sz w:val="24"/>
        </w:rPr>
      </w:pPr>
      <w:r>
        <w:rPr>
          <w:sz w:val="24"/>
        </w:rPr>
        <w:t>To foster mutual co-existence and understanding amongst students and general public in order to promote and maintain national consciousness, unity, progress and independence.</w:t>
      </w:r>
    </w:p>
    <w:p>
      <w:pPr>
        <w:spacing w:before="0"/>
        <w:ind w:left="0" w:right="481" w:firstLine="0"/>
        <w:jc w:val="center"/>
        <w:rPr>
          <w:rFonts w:ascii="Arial"/>
          <w:i/>
          <w:sz w:val="24"/>
        </w:rPr>
      </w:pPr>
      <w:r>
        <w:rPr>
          <w:rFonts w:ascii="Arial"/>
          <w:i/>
          <w:sz w:val="24"/>
        </w:rPr>
        <w:t>Source:</w:t>
      </w:r>
      <w:r>
        <w:rPr>
          <w:rFonts w:ascii="Arial"/>
          <w:i/>
          <w:spacing w:val="-11"/>
          <w:sz w:val="24"/>
        </w:rPr>
        <w:t> </w:t>
      </w:r>
      <w:r>
        <w:rPr>
          <w:rFonts w:ascii="Arial"/>
          <w:i/>
          <w:sz w:val="24"/>
        </w:rPr>
        <w:t>Student</w:t>
      </w:r>
      <w:r>
        <w:rPr>
          <w:rFonts w:ascii="Arial"/>
          <w:i/>
          <w:spacing w:val="-14"/>
          <w:sz w:val="24"/>
        </w:rPr>
        <w:t> </w:t>
      </w:r>
      <w:r>
        <w:rPr>
          <w:rFonts w:ascii="Arial"/>
          <w:i/>
          <w:sz w:val="24"/>
        </w:rPr>
        <w:t>Union</w:t>
      </w:r>
      <w:r>
        <w:rPr>
          <w:rFonts w:ascii="Arial"/>
          <w:i/>
          <w:spacing w:val="-10"/>
          <w:sz w:val="24"/>
        </w:rPr>
        <w:t> </w:t>
      </w:r>
      <w:r>
        <w:rPr>
          <w:rFonts w:ascii="Arial"/>
          <w:i/>
          <w:sz w:val="24"/>
        </w:rPr>
        <w:t>Constitution</w:t>
      </w:r>
      <w:r>
        <w:rPr>
          <w:rFonts w:ascii="Arial"/>
          <w:i/>
          <w:spacing w:val="-10"/>
          <w:sz w:val="24"/>
        </w:rPr>
        <w:t> </w:t>
      </w:r>
      <w:r>
        <w:rPr>
          <w:rFonts w:ascii="Arial"/>
          <w:i/>
          <w:sz w:val="24"/>
        </w:rPr>
        <w:t>A.B.U</w:t>
      </w:r>
      <w:r>
        <w:rPr>
          <w:rFonts w:ascii="Arial"/>
          <w:i/>
          <w:spacing w:val="-11"/>
          <w:sz w:val="24"/>
        </w:rPr>
        <w:t> </w:t>
      </w:r>
      <w:r>
        <w:rPr>
          <w:rFonts w:ascii="Arial"/>
          <w:i/>
          <w:sz w:val="24"/>
        </w:rPr>
        <w:t>Zaria</w:t>
      </w:r>
      <w:r>
        <w:rPr>
          <w:rFonts w:ascii="Arial"/>
          <w:i/>
          <w:spacing w:val="-10"/>
          <w:sz w:val="24"/>
        </w:rPr>
        <w:t> </w:t>
      </w:r>
      <w:r>
        <w:rPr>
          <w:rFonts w:ascii="Arial"/>
          <w:i/>
          <w:spacing w:val="-2"/>
          <w:sz w:val="24"/>
        </w:rPr>
        <w:t>(2000:3)</w:t>
      </w:r>
    </w:p>
    <w:p>
      <w:pPr>
        <w:pStyle w:val="BodyText"/>
        <w:rPr>
          <w:rFonts w:ascii="Arial"/>
          <w:i/>
        </w:rPr>
      </w:pPr>
    </w:p>
    <w:p>
      <w:pPr>
        <w:pStyle w:val="BodyText"/>
        <w:spacing w:line="480" w:lineRule="auto"/>
        <w:ind w:left="820" w:right="115" w:firstLine="720"/>
        <w:jc w:val="both"/>
      </w:pPr>
      <w:r>
        <w:rPr/>
        <w:t>Within the Students’ Union Government there are executive organs and positions, associations and committees for easy delegation of duties. These are, the President, Vice President, Secretary General, Assistant Secretary General, the Treasurer, Finance Secretary, the Public Relations Officer, Director of Welfare, the Director of Social and cultural activities, the Director of Food, Director of Sports, the Student Representative Assembly (SRA), Members of Parliament, Congress and Standing Committees made up of Hall Committees, Faculty and School Committees, Welfare and Food Committees, Publication Publicity, Sales, Social and Cultural Committees, Union Service, Account and Auditors Committees, Departmental and Course based Committees. There are also religious and organization based committees.</w:t>
      </w:r>
    </w:p>
    <w:p>
      <w:pPr>
        <w:spacing w:after="0" w:line="480" w:lineRule="auto"/>
        <w:jc w:val="both"/>
        <w:sectPr>
          <w:headerReference w:type="default" r:id="rId216"/>
          <w:footerReference w:type="default" r:id="rId217"/>
          <w:pgSz w:w="12240" w:h="15840"/>
          <w:pgMar w:header="722" w:footer="791" w:top="1340" w:bottom="980" w:left="1340" w:right="1320"/>
        </w:sectPr>
      </w:pPr>
    </w:p>
    <w:p>
      <w:pPr>
        <w:pStyle w:val="BodyText"/>
        <w:spacing w:line="480" w:lineRule="auto" w:before="89"/>
        <w:ind w:left="820" w:right="115" w:firstLine="720"/>
        <w:jc w:val="both"/>
      </w:pPr>
      <w:r>
        <w:rPr/>
        <w:t>The functions of these committees are self-explanatory as their names imply. Generally, they are responsible for advising the union on the proper coordination enhancing, harnessing and promoting the management of activities relating to students' individual and general welfare services manifesting comfortable and relaxed atmosphere for their academic pursuit.</w:t>
      </w:r>
    </w:p>
    <w:p>
      <w:pPr>
        <w:pStyle w:val="Heading2"/>
        <w:numPr>
          <w:ilvl w:val="1"/>
          <w:numId w:val="19"/>
        </w:numPr>
        <w:tabs>
          <w:tab w:pos="819" w:val="left" w:leader="none"/>
        </w:tabs>
        <w:spacing w:line="318" w:lineRule="exact" w:before="0" w:after="0"/>
        <w:ind w:left="819" w:right="0" w:hanging="719"/>
        <w:jc w:val="left"/>
      </w:pPr>
      <w:bookmarkStart w:name="_TOC_250027" w:id="41"/>
      <w:bookmarkEnd w:id="41"/>
      <w:r>
        <w:rPr>
          <w:spacing w:val="-2"/>
        </w:rPr>
        <w:t>Summary</w:t>
      </w:r>
    </w:p>
    <w:p>
      <w:pPr>
        <w:pStyle w:val="BodyText"/>
        <w:spacing w:before="3"/>
        <w:rPr>
          <w:rFonts w:ascii="Arial"/>
          <w:b/>
          <w:sz w:val="28"/>
        </w:rPr>
      </w:pPr>
    </w:p>
    <w:p>
      <w:pPr>
        <w:pStyle w:val="BodyText"/>
        <w:spacing w:line="480" w:lineRule="auto"/>
        <w:ind w:left="820" w:right="114" w:firstLine="720"/>
        <w:jc w:val="both"/>
      </w:pPr>
      <w:r>
        <w:rPr/>
        <w:t>This chapter identified some important factors or variables which</w:t>
      </w:r>
      <w:r>
        <w:rPr>
          <w:spacing w:val="40"/>
        </w:rPr>
        <w:t> </w:t>
      </w:r>
      <w:r>
        <w:rPr/>
        <w:t>contribute to the problem</w:t>
      </w:r>
      <w:r>
        <w:rPr>
          <w:spacing w:val="-4"/>
        </w:rPr>
        <w:t> </w:t>
      </w:r>
      <w:r>
        <w:rPr/>
        <w:t>of effective management of students’ welfare service in the University system. The impact of each factor on the procurement, provision and management of the students’ welfare services in the Universities in three geopolitical zones in Northern part of Nigeria has also been discussed </w:t>
      </w:r>
      <w:r>
        <w:rPr>
          <w:spacing w:val="-2"/>
        </w:rPr>
        <w:t>extensively.</w:t>
      </w:r>
    </w:p>
    <w:p>
      <w:pPr>
        <w:pStyle w:val="BodyText"/>
        <w:spacing w:line="480" w:lineRule="auto"/>
        <w:ind w:left="820" w:right="116" w:firstLine="720"/>
        <w:jc w:val="both"/>
      </w:pPr>
      <w:r>
        <w:rPr/>
        <w:t>Relevant literature on the management of the welfare services to students in Post Primary, Universities and other institutions of higher learning in developing and developed countries with emphasis on Nigeria has been </w:t>
      </w:r>
      <w:r>
        <w:rPr>
          <w:spacing w:val="-2"/>
        </w:rPr>
        <w:t>reviewed.</w:t>
      </w:r>
    </w:p>
    <w:p>
      <w:pPr>
        <w:pStyle w:val="BodyText"/>
        <w:spacing w:line="480" w:lineRule="auto"/>
        <w:ind w:left="820" w:right="116" w:firstLine="720"/>
        <w:jc w:val="both"/>
      </w:pPr>
      <w:r>
        <w:rPr/>
        <w:t>The theoretical framework attempted to provide some definitions and concepts of management, concept and types of students’ welfare. The chapter also examined some administrative tools or strategies employed for effective management of the students’ welfare services in Universities, in three</w:t>
      </w:r>
      <w:r>
        <w:rPr>
          <w:spacing w:val="40"/>
        </w:rPr>
        <w:t> </w:t>
      </w:r>
      <w:r>
        <w:rPr/>
        <w:t>geopolitical zones in</w:t>
      </w:r>
      <w:r>
        <w:rPr>
          <w:spacing w:val="40"/>
        </w:rPr>
        <w:t> </w:t>
      </w:r>
      <w:r>
        <w:rPr/>
        <w:t>Northern part of Nigeria.</w:t>
      </w:r>
    </w:p>
    <w:p>
      <w:pPr>
        <w:spacing w:after="0" w:line="480" w:lineRule="auto"/>
        <w:jc w:val="both"/>
        <w:sectPr>
          <w:headerReference w:type="default" r:id="rId218"/>
          <w:footerReference w:type="default" r:id="rId219"/>
          <w:pgSz w:w="12240" w:h="15840"/>
          <w:pgMar w:header="722" w:footer="791" w:top="1340" w:bottom="980" w:left="1340" w:right="1320"/>
        </w:sectPr>
      </w:pPr>
    </w:p>
    <w:p>
      <w:pPr>
        <w:pStyle w:val="Heading1"/>
        <w:spacing w:before="81"/>
        <w:ind w:left="0" w:right="24"/>
      </w:pPr>
      <w:bookmarkStart w:name="_TOC_250026" w:id="42"/>
      <w:r>
        <w:rPr/>
        <w:t>CHAPTER</w:t>
      </w:r>
      <w:r>
        <w:rPr>
          <w:spacing w:val="-9"/>
        </w:rPr>
        <w:t> </w:t>
      </w:r>
      <w:bookmarkEnd w:id="42"/>
      <w:r>
        <w:rPr>
          <w:spacing w:val="-2"/>
        </w:rPr>
        <w:t>THREE</w:t>
      </w:r>
    </w:p>
    <w:p>
      <w:pPr>
        <w:pStyle w:val="BodyText"/>
        <w:spacing w:before="1"/>
        <w:rPr>
          <w:rFonts w:ascii="Arial"/>
          <w:b/>
          <w:sz w:val="32"/>
        </w:rPr>
      </w:pPr>
    </w:p>
    <w:p>
      <w:pPr>
        <w:pStyle w:val="Heading3"/>
        <w:ind w:left="463" w:right="481"/>
      </w:pPr>
      <w:bookmarkStart w:name="_TOC_250025" w:id="43"/>
      <w:r>
        <w:rPr/>
        <w:t>RESEARCH</w:t>
      </w:r>
      <w:r>
        <w:rPr>
          <w:spacing w:val="-14"/>
        </w:rPr>
        <w:t> </w:t>
      </w:r>
      <w:r>
        <w:rPr/>
        <w:t>DESIGN,</w:t>
      </w:r>
      <w:r>
        <w:rPr>
          <w:spacing w:val="-10"/>
        </w:rPr>
        <w:t> </w:t>
      </w:r>
      <w:r>
        <w:rPr/>
        <w:t>METHODOLOGY</w:t>
      </w:r>
      <w:r>
        <w:rPr>
          <w:spacing w:val="-15"/>
        </w:rPr>
        <w:t> </w:t>
      </w:r>
      <w:r>
        <w:rPr/>
        <w:t>AND</w:t>
      </w:r>
      <w:r>
        <w:rPr>
          <w:spacing w:val="-14"/>
        </w:rPr>
        <w:t> </w:t>
      </w:r>
      <w:bookmarkEnd w:id="43"/>
      <w:r>
        <w:rPr>
          <w:spacing w:val="-2"/>
        </w:rPr>
        <w:t>PROCEDURE</w:t>
      </w:r>
    </w:p>
    <w:p>
      <w:pPr>
        <w:pStyle w:val="BodyText"/>
        <w:spacing w:before="1"/>
        <w:rPr>
          <w:rFonts w:ascii="Arial"/>
          <w:b/>
        </w:rPr>
      </w:pPr>
    </w:p>
    <w:p>
      <w:pPr>
        <w:pStyle w:val="Heading2"/>
        <w:numPr>
          <w:ilvl w:val="1"/>
          <w:numId w:val="33"/>
        </w:numPr>
        <w:tabs>
          <w:tab w:pos="819" w:val="left" w:leader="none"/>
        </w:tabs>
        <w:spacing w:line="240" w:lineRule="auto" w:before="0" w:after="0"/>
        <w:ind w:left="819" w:right="0" w:hanging="719"/>
        <w:jc w:val="left"/>
        <w:rPr>
          <w:rFonts w:ascii="Arial MT"/>
          <w:b w:val="0"/>
        </w:rPr>
      </w:pPr>
      <w:bookmarkStart w:name="_TOC_250024" w:id="44"/>
      <w:bookmarkEnd w:id="44"/>
      <w:r>
        <w:rPr>
          <w:spacing w:val="-2"/>
        </w:rPr>
        <w:t>Introduction</w:t>
      </w:r>
    </w:p>
    <w:p>
      <w:pPr>
        <w:pStyle w:val="BodyText"/>
        <w:spacing w:before="3"/>
        <w:rPr>
          <w:rFonts w:ascii="Arial"/>
          <w:b/>
          <w:sz w:val="28"/>
        </w:rPr>
      </w:pPr>
    </w:p>
    <w:p>
      <w:pPr>
        <w:pStyle w:val="BodyText"/>
        <w:spacing w:line="480" w:lineRule="auto"/>
        <w:ind w:left="820" w:right="115" w:firstLine="720"/>
        <w:jc w:val="both"/>
      </w:pPr>
      <w:r>
        <w:rPr/>
        <w:t>This chapter describes the research methodology and procedure used for collecting and analysing data for the study. Specifically, the chapter discussed</w:t>
      </w:r>
      <w:r>
        <w:rPr>
          <w:spacing w:val="40"/>
        </w:rPr>
        <w:t> </w:t>
      </w:r>
      <w:r>
        <w:rPr/>
        <w:t>the research design, the population, the sampling procedure, administration of instruments and method of data analyses.</w:t>
      </w:r>
    </w:p>
    <w:p>
      <w:pPr>
        <w:pStyle w:val="Heading2"/>
        <w:numPr>
          <w:ilvl w:val="1"/>
          <w:numId w:val="33"/>
        </w:numPr>
        <w:tabs>
          <w:tab w:pos="819" w:val="left" w:leader="none"/>
        </w:tabs>
        <w:spacing w:line="318" w:lineRule="exact" w:before="0" w:after="0"/>
        <w:ind w:left="819" w:right="0" w:hanging="719"/>
        <w:jc w:val="left"/>
        <w:rPr>
          <w:rFonts w:ascii="Arial MT"/>
          <w:b w:val="0"/>
        </w:rPr>
      </w:pPr>
      <w:bookmarkStart w:name="_TOC_250023" w:id="45"/>
      <w:r>
        <w:rPr/>
        <w:t>Research</w:t>
      </w:r>
      <w:r>
        <w:rPr>
          <w:spacing w:val="-11"/>
        </w:rPr>
        <w:t> </w:t>
      </w:r>
      <w:bookmarkEnd w:id="45"/>
      <w:r>
        <w:rPr>
          <w:spacing w:val="-2"/>
        </w:rPr>
        <w:t>Design</w:t>
      </w:r>
    </w:p>
    <w:p>
      <w:pPr>
        <w:pStyle w:val="BodyText"/>
        <w:spacing w:before="8"/>
        <w:rPr>
          <w:rFonts w:ascii="Arial"/>
          <w:b/>
          <w:sz w:val="28"/>
        </w:rPr>
      </w:pPr>
    </w:p>
    <w:p>
      <w:pPr>
        <w:pStyle w:val="BodyText"/>
        <w:spacing w:line="480" w:lineRule="auto"/>
        <w:ind w:left="820" w:right="115" w:firstLine="720"/>
        <w:jc w:val="both"/>
      </w:pPr>
      <w:r>
        <w:rPr/>
        <w:t>The</w:t>
      </w:r>
      <w:r>
        <w:rPr>
          <w:spacing w:val="-2"/>
        </w:rPr>
        <w:t> </w:t>
      </w:r>
      <w:r>
        <w:rPr/>
        <w:t>descriptive</w:t>
      </w:r>
      <w:r>
        <w:rPr>
          <w:spacing w:val="-2"/>
        </w:rPr>
        <w:t> </w:t>
      </w:r>
      <w:r>
        <w:rPr/>
        <w:t>and</w:t>
      </w:r>
      <w:r>
        <w:rPr>
          <w:spacing w:val="-2"/>
        </w:rPr>
        <w:t> </w:t>
      </w:r>
      <w:r>
        <w:rPr/>
        <w:t>survey</w:t>
      </w:r>
      <w:r>
        <w:rPr>
          <w:spacing w:val="-3"/>
        </w:rPr>
        <w:t> </w:t>
      </w:r>
      <w:r>
        <w:rPr/>
        <w:t>methods</w:t>
      </w:r>
      <w:r>
        <w:rPr>
          <w:spacing w:val="-3"/>
        </w:rPr>
        <w:t> </w:t>
      </w:r>
      <w:r>
        <w:rPr/>
        <w:t>were</w:t>
      </w:r>
      <w:r>
        <w:rPr>
          <w:spacing w:val="-2"/>
        </w:rPr>
        <w:t> </w:t>
      </w:r>
      <w:r>
        <w:rPr/>
        <w:t>adopted</w:t>
      </w:r>
      <w:r>
        <w:rPr>
          <w:spacing w:val="-2"/>
        </w:rPr>
        <w:t> </w:t>
      </w:r>
      <w:r>
        <w:rPr/>
        <w:t>as</w:t>
      </w:r>
      <w:r>
        <w:rPr>
          <w:spacing w:val="-3"/>
        </w:rPr>
        <w:t> </w:t>
      </w:r>
      <w:r>
        <w:rPr/>
        <w:t>a</w:t>
      </w:r>
      <w:r>
        <w:rPr>
          <w:spacing w:val="-2"/>
        </w:rPr>
        <w:t> </w:t>
      </w:r>
      <w:r>
        <w:rPr/>
        <w:t>general method</w:t>
      </w:r>
      <w:r>
        <w:rPr>
          <w:spacing w:val="-2"/>
        </w:rPr>
        <w:t> </w:t>
      </w:r>
      <w:r>
        <w:rPr/>
        <w:t>of investigation, identification of population, selection of samples, collection of comparable data, quantifiable generalization and description of situations, problems and prospects of the students’ welfare services through the behaviour and opinion of the groups.</w:t>
      </w:r>
    </w:p>
    <w:p>
      <w:pPr>
        <w:pStyle w:val="BodyText"/>
        <w:spacing w:line="480" w:lineRule="auto"/>
        <w:ind w:left="820" w:right="113" w:firstLine="720"/>
        <w:jc w:val="both"/>
      </w:pPr>
      <w:r>
        <w:rPr/>
        <w:t>The one short-case-study design was also used. This design is symbolically represented as x…………o. Where 'x' denotes the questionnaire to be distributed to the subjects and 'o' is the responses of the subjects to the questionnaire. This method enabled the researcher to collect data by using questionnaire from</w:t>
      </w:r>
      <w:r>
        <w:rPr>
          <w:spacing w:val="-6"/>
        </w:rPr>
        <w:t> </w:t>
      </w:r>
      <w:r>
        <w:rPr/>
        <w:t>respondents</w:t>
      </w:r>
      <w:r>
        <w:rPr>
          <w:spacing w:val="-3"/>
        </w:rPr>
        <w:t> </w:t>
      </w:r>
      <w:r>
        <w:rPr/>
        <w:t>and</w:t>
      </w:r>
      <w:r>
        <w:rPr>
          <w:spacing w:val="-2"/>
        </w:rPr>
        <w:t> </w:t>
      </w:r>
      <w:r>
        <w:rPr/>
        <w:t>then</w:t>
      </w:r>
      <w:r>
        <w:rPr>
          <w:spacing w:val="-2"/>
        </w:rPr>
        <w:t> </w:t>
      </w:r>
      <w:r>
        <w:rPr/>
        <w:t>observation was followed by evaluating and analysing the opinions of the respondents. From the findings conclusions were drawn.</w:t>
      </w:r>
    </w:p>
    <w:p>
      <w:pPr>
        <w:pStyle w:val="Heading2"/>
        <w:numPr>
          <w:ilvl w:val="1"/>
          <w:numId w:val="33"/>
        </w:numPr>
        <w:tabs>
          <w:tab w:pos="819" w:val="left" w:leader="none"/>
        </w:tabs>
        <w:spacing w:line="314" w:lineRule="exact" w:before="0" w:after="0"/>
        <w:ind w:left="819" w:right="0" w:hanging="719"/>
        <w:jc w:val="left"/>
        <w:rPr>
          <w:rFonts w:ascii="Arial MT"/>
          <w:b w:val="0"/>
        </w:rPr>
      </w:pPr>
      <w:bookmarkStart w:name="_TOC_250022" w:id="46"/>
      <w:r>
        <w:rPr/>
        <w:t>The</w:t>
      </w:r>
      <w:r>
        <w:rPr>
          <w:spacing w:val="-7"/>
        </w:rPr>
        <w:t> </w:t>
      </w:r>
      <w:bookmarkEnd w:id="46"/>
      <w:r>
        <w:rPr>
          <w:spacing w:val="-2"/>
        </w:rPr>
        <w:t>Population</w:t>
      </w:r>
    </w:p>
    <w:p>
      <w:pPr>
        <w:pStyle w:val="BodyText"/>
        <w:spacing w:before="8"/>
        <w:rPr>
          <w:rFonts w:ascii="Arial"/>
          <w:b/>
          <w:sz w:val="28"/>
        </w:rPr>
      </w:pPr>
    </w:p>
    <w:p>
      <w:pPr>
        <w:pStyle w:val="BodyText"/>
        <w:spacing w:line="480" w:lineRule="auto"/>
        <w:ind w:left="820" w:right="117" w:firstLine="720"/>
        <w:jc w:val="both"/>
      </w:pPr>
      <w:r>
        <w:rPr/>
        <w:t>Sixteen (16) Federal and State Universities in the three Geo-political</w:t>
      </w:r>
      <w:r>
        <w:rPr>
          <w:spacing w:val="40"/>
        </w:rPr>
        <w:t> </w:t>
      </w:r>
      <w:r>
        <w:rPr/>
        <w:t>zones</w:t>
      </w:r>
      <w:r>
        <w:rPr>
          <w:spacing w:val="36"/>
        </w:rPr>
        <w:t> </w:t>
      </w:r>
      <w:r>
        <w:rPr/>
        <w:t>in</w:t>
      </w:r>
      <w:r>
        <w:rPr>
          <w:spacing w:val="42"/>
        </w:rPr>
        <w:t> </w:t>
      </w:r>
      <w:r>
        <w:rPr/>
        <w:t>Northern</w:t>
      </w:r>
      <w:r>
        <w:rPr>
          <w:spacing w:val="42"/>
        </w:rPr>
        <w:t> </w:t>
      </w:r>
      <w:r>
        <w:rPr/>
        <w:t>part</w:t>
      </w:r>
      <w:r>
        <w:rPr>
          <w:spacing w:val="37"/>
        </w:rPr>
        <w:t> </w:t>
      </w:r>
      <w:r>
        <w:rPr/>
        <w:t>of</w:t>
      </w:r>
      <w:r>
        <w:rPr>
          <w:spacing w:val="42"/>
        </w:rPr>
        <w:t> </w:t>
      </w:r>
      <w:r>
        <w:rPr/>
        <w:t>Nigeria</w:t>
      </w:r>
      <w:r>
        <w:rPr>
          <w:spacing w:val="42"/>
        </w:rPr>
        <w:t> </w:t>
      </w:r>
      <w:r>
        <w:rPr/>
        <w:t>were</w:t>
      </w:r>
      <w:r>
        <w:rPr>
          <w:spacing w:val="42"/>
        </w:rPr>
        <w:t> </w:t>
      </w:r>
      <w:r>
        <w:rPr/>
        <w:t>considered</w:t>
      </w:r>
      <w:r>
        <w:rPr>
          <w:spacing w:val="42"/>
        </w:rPr>
        <w:t> </w:t>
      </w:r>
      <w:r>
        <w:rPr/>
        <w:t>for</w:t>
      </w:r>
      <w:r>
        <w:rPr>
          <w:spacing w:val="38"/>
        </w:rPr>
        <w:t> </w:t>
      </w:r>
      <w:r>
        <w:rPr/>
        <w:t>the</w:t>
      </w:r>
      <w:r>
        <w:rPr>
          <w:spacing w:val="42"/>
        </w:rPr>
        <w:t> </w:t>
      </w:r>
      <w:r>
        <w:rPr/>
        <w:t>study.</w:t>
      </w:r>
      <w:r>
        <w:rPr>
          <w:spacing w:val="40"/>
        </w:rPr>
        <w:t>  </w:t>
      </w:r>
      <w:r>
        <w:rPr/>
        <w:t>The</w:t>
      </w:r>
      <w:r>
        <w:rPr>
          <w:spacing w:val="38"/>
        </w:rPr>
        <w:t> </w:t>
      </w:r>
      <w:r>
        <w:rPr>
          <w:spacing w:val="-2"/>
        </w:rPr>
        <w:t>Zones</w:t>
      </w:r>
    </w:p>
    <w:p>
      <w:pPr>
        <w:spacing w:after="0" w:line="480" w:lineRule="auto"/>
        <w:jc w:val="both"/>
        <w:sectPr>
          <w:headerReference w:type="default" r:id="rId220"/>
          <w:footerReference w:type="default" r:id="rId221"/>
          <w:pgSz w:w="12240" w:h="15840"/>
          <w:pgMar w:header="722" w:footer="791" w:top="1340" w:bottom="980" w:left="1340" w:right="1320"/>
        </w:sectPr>
      </w:pPr>
    </w:p>
    <w:p>
      <w:pPr>
        <w:pStyle w:val="BodyText"/>
        <w:spacing w:line="480" w:lineRule="auto" w:before="89"/>
        <w:ind w:left="820" w:right="117"/>
        <w:jc w:val="both"/>
      </w:pPr>
      <w:r>
        <w:rPr/>
        <w:t>include, North Eastern,</w:t>
      </w:r>
      <w:r>
        <w:rPr>
          <w:spacing w:val="40"/>
        </w:rPr>
        <w:t> </w:t>
      </w:r>
      <w:r>
        <w:rPr/>
        <w:t>North Central and North Western Zones.</w:t>
      </w:r>
      <w:r>
        <w:rPr>
          <w:spacing w:val="40"/>
        </w:rPr>
        <w:t> </w:t>
      </w:r>
      <w:r>
        <w:rPr/>
        <w:t>The total maximum population of subjects in the universities were estimated at 226,846 made up of 206,948 students, 19,448 service staff and 450 top management </w:t>
      </w:r>
      <w:r>
        <w:rPr>
          <w:spacing w:val="-2"/>
        </w:rPr>
        <w:t>staff.</w:t>
      </w:r>
    </w:p>
    <w:p>
      <w:pPr>
        <w:pStyle w:val="BodyText"/>
        <w:spacing w:line="480" w:lineRule="auto"/>
        <w:ind w:left="820" w:right="124" w:firstLine="720"/>
        <w:jc w:val="both"/>
      </w:pPr>
      <w:r>
        <w:rPr/>
        <w:t>The total population in the sampled universities stood at 113,208 ,made</w:t>
      </w:r>
      <w:r>
        <w:rPr>
          <w:spacing w:val="40"/>
        </w:rPr>
        <w:t> </w:t>
      </w:r>
      <w:r>
        <w:rPr/>
        <w:t>up of 109,774 students, 3,389 service staff and 45 top management.</w:t>
      </w:r>
    </w:p>
    <w:p>
      <w:pPr>
        <w:pStyle w:val="Heading4"/>
        <w:numPr>
          <w:ilvl w:val="1"/>
          <w:numId w:val="33"/>
        </w:numPr>
        <w:tabs>
          <w:tab w:pos="819" w:val="left" w:leader="none"/>
        </w:tabs>
        <w:spacing w:line="271" w:lineRule="exact" w:before="0" w:after="0"/>
        <w:ind w:left="819" w:right="0" w:hanging="719"/>
        <w:jc w:val="left"/>
      </w:pPr>
      <w:bookmarkStart w:name="_TOC_250021" w:id="47"/>
      <w:r>
        <w:rPr/>
        <w:t>Sample</w:t>
      </w:r>
      <w:r>
        <w:rPr>
          <w:spacing w:val="-10"/>
        </w:rPr>
        <w:t> </w:t>
      </w:r>
      <w:r>
        <w:rPr/>
        <w:t>and</w:t>
      </w:r>
      <w:r>
        <w:rPr>
          <w:spacing w:val="-8"/>
        </w:rPr>
        <w:t> </w:t>
      </w:r>
      <w:r>
        <w:rPr/>
        <w:t>Sampling</w:t>
      </w:r>
      <w:r>
        <w:rPr>
          <w:spacing w:val="-8"/>
        </w:rPr>
        <w:t> </w:t>
      </w:r>
      <w:bookmarkEnd w:id="47"/>
      <w:r>
        <w:rPr>
          <w:spacing w:val="-2"/>
        </w:rPr>
        <w:t>Procedure</w:t>
      </w:r>
    </w:p>
    <w:p>
      <w:pPr>
        <w:pStyle w:val="BodyText"/>
        <w:spacing w:before="4"/>
        <w:rPr>
          <w:rFonts w:ascii="Arial"/>
          <w:b/>
        </w:rPr>
      </w:pPr>
    </w:p>
    <w:p>
      <w:pPr>
        <w:pStyle w:val="BodyText"/>
        <w:spacing w:line="480" w:lineRule="auto" w:before="1"/>
        <w:ind w:left="820" w:right="114" w:firstLine="720"/>
        <w:jc w:val="both"/>
      </w:pPr>
      <w:r>
        <w:rPr/>
        <w:t>In view of the large population of the universities and the subjects, the Random Sampling Technique was adopted to select the five universities;</w:t>
      </w:r>
      <w:r>
        <w:rPr>
          <w:spacing w:val="40"/>
        </w:rPr>
        <w:t> </w:t>
      </w:r>
      <w:r>
        <w:rPr/>
        <w:t>Ahmadu Bello University, Zaria, Bayero University, Kano, University of Jos, University of Maiduguri and Usmanu DanFodiyo University, Sokoto.</w:t>
      </w:r>
      <w:r>
        <w:rPr>
          <w:spacing w:val="40"/>
        </w:rPr>
        <w:t> </w:t>
      </w:r>
      <w:r>
        <w:rPr/>
        <w:t>In this technique, two digits were assigned to the universities serially: 01, 02, 03, 04, 05 up to 16. The numbers were matched with random sampling table and five universities were finally selected to represent the whole universities. As all the Universities have hundred percent equal chance of being selected, the universities sampled took a high coincidence of being the conventional Federal Universities. This selection was appropriate because in all ramifications the Federal Universities are usually the most vulnerable to students’ welfare</w:t>
      </w:r>
      <w:r>
        <w:rPr>
          <w:spacing w:val="40"/>
        </w:rPr>
        <w:t> </w:t>
      </w:r>
      <w:r>
        <w:rPr/>
        <w:t>services. The hat-draw method was adopted to select the five Universities. This technique involved assigning of some individuals to each university so that they can pick ‘Yes’ or ‘No’ folded papers heaped in a hat or container. A</w:t>
      </w:r>
      <w:r>
        <w:rPr>
          <w:spacing w:val="40"/>
        </w:rPr>
        <w:t> </w:t>
      </w:r>
      <w:r>
        <w:rPr/>
        <w:t>representative of any university who picks ‘Yes’ makes that university selected. Tables 3.4.1a and b give details.</w:t>
      </w:r>
    </w:p>
    <w:p>
      <w:pPr>
        <w:spacing w:after="0" w:line="480" w:lineRule="auto"/>
        <w:jc w:val="both"/>
        <w:sectPr>
          <w:headerReference w:type="default" r:id="rId222"/>
          <w:footerReference w:type="default" r:id="rId223"/>
          <w:pgSz w:w="12240" w:h="15840"/>
          <w:pgMar w:header="722" w:footer="791" w:top="1340" w:bottom="980" w:left="1340" w:right="1320"/>
        </w:sectPr>
      </w:pPr>
    </w:p>
    <w:p>
      <w:pPr>
        <w:pStyle w:val="BodyText"/>
      </w:pPr>
    </w:p>
    <w:p>
      <w:pPr>
        <w:pStyle w:val="BodyText"/>
        <w:spacing w:before="88"/>
      </w:pPr>
    </w:p>
    <w:p>
      <w:pPr>
        <w:pStyle w:val="BodyText"/>
        <w:spacing w:line="480" w:lineRule="auto" w:before="1"/>
        <w:ind w:left="820" w:firstLine="720"/>
      </w:pPr>
      <w:r>
        <w:rPr/>
        <w:t>Table 3.4.1a) Random sampling of Universities from the three geopolitical zones in Northern part of Nigeria.</w:t>
      </w:r>
    </w:p>
    <w:p>
      <w:pPr>
        <w:pStyle w:val="ListParagraph"/>
        <w:numPr>
          <w:ilvl w:val="2"/>
          <w:numId w:val="33"/>
        </w:numPr>
        <w:tabs>
          <w:tab w:pos="3162" w:val="left" w:leader="none"/>
        </w:tabs>
        <w:spacing w:line="240" w:lineRule="auto" w:before="0" w:after="0"/>
        <w:ind w:left="3162" w:right="0" w:hanging="720"/>
        <w:jc w:val="left"/>
        <w:rPr>
          <w:sz w:val="24"/>
        </w:rPr>
      </w:pPr>
      <w:r>
        <w:rPr>
          <w:sz w:val="24"/>
        </w:rPr>
        <w:t>Ahmadu</w:t>
      </w:r>
      <w:r>
        <w:rPr>
          <w:spacing w:val="-10"/>
          <w:sz w:val="24"/>
        </w:rPr>
        <w:t> </w:t>
      </w:r>
      <w:r>
        <w:rPr>
          <w:sz w:val="24"/>
        </w:rPr>
        <w:t>Bello</w:t>
      </w:r>
      <w:r>
        <w:rPr>
          <w:spacing w:val="-10"/>
          <w:sz w:val="24"/>
        </w:rPr>
        <w:t> </w:t>
      </w:r>
      <w:r>
        <w:rPr>
          <w:sz w:val="24"/>
        </w:rPr>
        <w:t>University,</w:t>
      </w:r>
      <w:r>
        <w:rPr>
          <w:spacing w:val="-11"/>
          <w:sz w:val="24"/>
        </w:rPr>
        <w:t> </w:t>
      </w:r>
      <w:r>
        <w:rPr>
          <w:spacing w:val="-4"/>
          <w:sz w:val="24"/>
        </w:rPr>
        <w:t>Zaria</w:t>
      </w:r>
    </w:p>
    <w:p>
      <w:pPr>
        <w:pStyle w:val="BodyText"/>
      </w:pPr>
    </w:p>
    <w:p>
      <w:pPr>
        <w:pStyle w:val="ListParagraph"/>
        <w:numPr>
          <w:ilvl w:val="2"/>
          <w:numId w:val="33"/>
        </w:numPr>
        <w:tabs>
          <w:tab w:pos="3162" w:val="left" w:leader="none"/>
        </w:tabs>
        <w:spacing w:line="240" w:lineRule="auto" w:before="0" w:after="0"/>
        <w:ind w:left="3162" w:right="0" w:hanging="720"/>
        <w:jc w:val="left"/>
        <w:rPr>
          <w:sz w:val="24"/>
        </w:rPr>
      </w:pPr>
      <w:r>
        <w:rPr>
          <w:sz w:val="24"/>
        </w:rPr>
        <w:t>Abubakar</w:t>
      </w:r>
      <w:r>
        <w:rPr>
          <w:spacing w:val="-12"/>
          <w:sz w:val="24"/>
        </w:rPr>
        <w:t> </w:t>
      </w:r>
      <w:r>
        <w:rPr>
          <w:sz w:val="24"/>
        </w:rPr>
        <w:t>Tafawa</w:t>
      </w:r>
      <w:r>
        <w:rPr>
          <w:spacing w:val="-9"/>
          <w:sz w:val="24"/>
        </w:rPr>
        <w:t> </w:t>
      </w:r>
      <w:r>
        <w:rPr>
          <w:sz w:val="24"/>
        </w:rPr>
        <w:t>Balewa</w:t>
      </w:r>
      <w:r>
        <w:rPr>
          <w:spacing w:val="-8"/>
          <w:sz w:val="24"/>
        </w:rPr>
        <w:t> </w:t>
      </w:r>
      <w:r>
        <w:rPr>
          <w:sz w:val="24"/>
        </w:rPr>
        <w:t>University,</w:t>
      </w:r>
      <w:r>
        <w:rPr>
          <w:spacing w:val="-10"/>
          <w:sz w:val="24"/>
        </w:rPr>
        <w:t> </w:t>
      </w:r>
      <w:r>
        <w:rPr>
          <w:spacing w:val="-2"/>
          <w:sz w:val="24"/>
        </w:rPr>
        <w:t>Bauchi</w:t>
      </w:r>
    </w:p>
    <w:p>
      <w:pPr>
        <w:pStyle w:val="BodyText"/>
      </w:pPr>
    </w:p>
    <w:p>
      <w:pPr>
        <w:pStyle w:val="ListParagraph"/>
        <w:numPr>
          <w:ilvl w:val="2"/>
          <w:numId w:val="33"/>
        </w:numPr>
        <w:tabs>
          <w:tab w:pos="3162" w:val="left" w:leader="none"/>
        </w:tabs>
        <w:spacing w:line="240" w:lineRule="auto" w:before="0" w:after="0"/>
        <w:ind w:left="3162" w:right="0" w:hanging="720"/>
        <w:jc w:val="left"/>
        <w:rPr>
          <w:sz w:val="24"/>
        </w:rPr>
      </w:pPr>
      <w:r>
        <w:rPr>
          <w:sz w:val="24"/>
        </w:rPr>
        <w:t>Federal</w:t>
      </w:r>
      <w:r>
        <w:rPr>
          <w:spacing w:val="-9"/>
          <w:sz w:val="24"/>
        </w:rPr>
        <w:t> </w:t>
      </w:r>
      <w:r>
        <w:rPr>
          <w:sz w:val="24"/>
        </w:rPr>
        <w:t>University</w:t>
      </w:r>
      <w:r>
        <w:rPr>
          <w:spacing w:val="-8"/>
          <w:sz w:val="24"/>
        </w:rPr>
        <w:t> </w:t>
      </w:r>
      <w:r>
        <w:rPr>
          <w:sz w:val="24"/>
        </w:rPr>
        <w:t>of</w:t>
      </w:r>
      <w:r>
        <w:rPr>
          <w:spacing w:val="-9"/>
          <w:sz w:val="24"/>
        </w:rPr>
        <w:t> </w:t>
      </w:r>
      <w:r>
        <w:rPr>
          <w:sz w:val="24"/>
        </w:rPr>
        <w:t>Technology,</w:t>
      </w:r>
      <w:r>
        <w:rPr>
          <w:spacing w:val="-8"/>
          <w:sz w:val="24"/>
        </w:rPr>
        <w:t> </w:t>
      </w:r>
      <w:r>
        <w:rPr>
          <w:spacing w:val="-4"/>
          <w:sz w:val="24"/>
        </w:rPr>
        <w:t>Yola</w:t>
      </w:r>
    </w:p>
    <w:p>
      <w:pPr>
        <w:pStyle w:val="BodyText"/>
      </w:pPr>
    </w:p>
    <w:p>
      <w:pPr>
        <w:pStyle w:val="ListParagraph"/>
        <w:numPr>
          <w:ilvl w:val="2"/>
          <w:numId w:val="33"/>
        </w:numPr>
        <w:tabs>
          <w:tab w:pos="3162" w:val="left" w:leader="none"/>
        </w:tabs>
        <w:spacing w:line="240" w:lineRule="auto" w:before="0" w:after="0"/>
        <w:ind w:left="3162" w:right="0" w:hanging="720"/>
        <w:jc w:val="left"/>
        <w:rPr>
          <w:sz w:val="24"/>
        </w:rPr>
      </w:pPr>
      <w:r>
        <w:rPr>
          <w:sz w:val="24"/>
        </w:rPr>
        <w:t>Bayero</w:t>
      </w:r>
      <w:r>
        <w:rPr>
          <w:spacing w:val="-9"/>
          <w:sz w:val="24"/>
        </w:rPr>
        <w:t> </w:t>
      </w:r>
      <w:r>
        <w:rPr>
          <w:sz w:val="24"/>
        </w:rPr>
        <w:t>University,</w:t>
      </w:r>
      <w:r>
        <w:rPr>
          <w:spacing w:val="-10"/>
          <w:sz w:val="24"/>
        </w:rPr>
        <w:t> </w:t>
      </w:r>
      <w:r>
        <w:rPr>
          <w:spacing w:val="-4"/>
          <w:sz w:val="24"/>
        </w:rPr>
        <w:t>Kano</w:t>
      </w:r>
    </w:p>
    <w:p>
      <w:pPr>
        <w:pStyle w:val="BodyText"/>
      </w:pPr>
    </w:p>
    <w:p>
      <w:pPr>
        <w:pStyle w:val="ListParagraph"/>
        <w:numPr>
          <w:ilvl w:val="2"/>
          <w:numId w:val="33"/>
        </w:numPr>
        <w:tabs>
          <w:tab w:pos="3162" w:val="left" w:leader="none"/>
        </w:tabs>
        <w:spacing w:line="240" w:lineRule="auto" w:before="0" w:after="0"/>
        <w:ind w:left="3162" w:right="0" w:hanging="720"/>
        <w:jc w:val="left"/>
        <w:rPr>
          <w:sz w:val="24"/>
        </w:rPr>
      </w:pPr>
      <w:r>
        <w:rPr>
          <w:sz w:val="24"/>
        </w:rPr>
        <w:t>Federal</w:t>
      </w:r>
      <w:r>
        <w:rPr>
          <w:spacing w:val="-9"/>
          <w:sz w:val="24"/>
        </w:rPr>
        <w:t> </w:t>
      </w:r>
      <w:r>
        <w:rPr>
          <w:sz w:val="24"/>
        </w:rPr>
        <w:t>University</w:t>
      </w:r>
      <w:r>
        <w:rPr>
          <w:spacing w:val="-8"/>
          <w:sz w:val="24"/>
        </w:rPr>
        <w:t> </w:t>
      </w:r>
      <w:r>
        <w:rPr>
          <w:sz w:val="24"/>
        </w:rPr>
        <w:t>of</w:t>
      </w:r>
      <w:r>
        <w:rPr>
          <w:spacing w:val="-9"/>
          <w:sz w:val="24"/>
        </w:rPr>
        <w:t> </w:t>
      </w:r>
      <w:r>
        <w:rPr>
          <w:sz w:val="24"/>
        </w:rPr>
        <w:t>Technology,</w:t>
      </w:r>
      <w:r>
        <w:rPr>
          <w:spacing w:val="-8"/>
          <w:sz w:val="24"/>
        </w:rPr>
        <w:t> </w:t>
      </w:r>
      <w:r>
        <w:rPr>
          <w:spacing w:val="-4"/>
          <w:sz w:val="24"/>
        </w:rPr>
        <w:t>Minna</w:t>
      </w:r>
    </w:p>
    <w:p>
      <w:pPr>
        <w:pStyle w:val="BodyText"/>
      </w:pPr>
    </w:p>
    <w:p>
      <w:pPr>
        <w:pStyle w:val="ListParagraph"/>
        <w:numPr>
          <w:ilvl w:val="2"/>
          <w:numId w:val="33"/>
        </w:numPr>
        <w:tabs>
          <w:tab w:pos="3162" w:val="left" w:leader="none"/>
        </w:tabs>
        <w:spacing w:line="240" w:lineRule="auto" w:before="0" w:after="0"/>
        <w:ind w:left="3162" w:right="0" w:hanging="720"/>
        <w:jc w:val="left"/>
        <w:rPr>
          <w:sz w:val="24"/>
        </w:rPr>
      </w:pPr>
      <w:r>
        <w:rPr>
          <w:sz w:val="24"/>
        </w:rPr>
        <w:t>University</w:t>
      </w:r>
      <w:r>
        <w:rPr>
          <w:spacing w:val="-7"/>
          <w:sz w:val="24"/>
        </w:rPr>
        <w:t> </w:t>
      </w:r>
      <w:r>
        <w:rPr>
          <w:sz w:val="24"/>
        </w:rPr>
        <w:t>of</w:t>
      </w:r>
      <w:r>
        <w:rPr>
          <w:spacing w:val="-7"/>
          <w:sz w:val="24"/>
        </w:rPr>
        <w:t> </w:t>
      </w:r>
      <w:r>
        <w:rPr>
          <w:spacing w:val="-5"/>
          <w:sz w:val="24"/>
        </w:rPr>
        <w:t>Jos</w:t>
      </w:r>
    </w:p>
    <w:p>
      <w:pPr>
        <w:pStyle w:val="BodyText"/>
      </w:pPr>
    </w:p>
    <w:p>
      <w:pPr>
        <w:pStyle w:val="ListParagraph"/>
        <w:numPr>
          <w:ilvl w:val="2"/>
          <w:numId w:val="33"/>
        </w:numPr>
        <w:tabs>
          <w:tab w:pos="3162" w:val="left" w:leader="none"/>
        </w:tabs>
        <w:spacing w:line="240" w:lineRule="auto" w:before="0" w:after="0"/>
        <w:ind w:left="3162" w:right="0" w:hanging="720"/>
        <w:jc w:val="left"/>
        <w:rPr>
          <w:sz w:val="24"/>
        </w:rPr>
      </w:pPr>
      <w:r>
        <w:rPr>
          <w:sz w:val="24"/>
        </w:rPr>
        <w:t>University</w:t>
      </w:r>
      <w:r>
        <w:rPr>
          <w:spacing w:val="-7"/>
          <w:sz w:val="24"/>
        </w:rPr>
        <w:t> </w:t>
      </w:r>
      <w:r>
        <w:rPr>
          <w:sz w:val="24"/>
        </w:rPr>
        <w:t>of</w:t>
      </w:r>
      <w:r>
        <w:rPr>
          <w:spacing w:val="-7"/>
          <w:sz w:val="24"/>
        </w:rPr>
        <w:t> </w:t>
      </w:r>
      <w:r>
        <w:rPr>
          <w:spacing w:val="-4"/>
          <w:sz w:val="24"/>
        </w:rPr>
        <w:t>Abuja</w:t>
      </w:r>
    </w:p>
    <w:p>
      <w:pPr>
        <w:pStyle w:val="BodyText"/>
      </w:pPr>
    </w:p>
    <w:p>
      <w:pPr>
        <w:pStyle w:val="ListParagraph"/>
        <w:numPr>
          <w:ilvl w:val="2"/>
          <w:numId w:val="33"/>
        </w:numPr>
        <w:tabs>
          <w:tab w:pos="3162" w:val="left" w:leader="none"/>
        </w:tabs>
        <w:spacing w:line="240" w:lineRule="auto" w:before="0" w:after="0"/>
        <w:ind w:left="3162" w:right="0" w:hanging="720"/>
        <w:jc w:val="left"/>
        <w:rPr>
          <w:sz w:val="24"/>
        </w:rPr>
      </w:pPr>
      <w:r>
        <w:rPr>
          <w:sz w:val="24"/>
        </w:rPr>
        <w:t>University</w:t>
      </w:r>
      <w:r>
        <w:rPr>
          <w:spacing w:val="-7"/>
          <w:sz w:val="24"/>
        </w:rPr>
        <w:t> </w:t>
      </w:r>
      <w:r>
        <w:rPr>
          <w:sz w:val="24"/>
        </w:rPr>
        <w:t>of</w:t>
      </w:r>
      <w:r>
        <w:rPr>
          <w:spacing w:val="-7"/>
          <w:sz w:val="24"/>
        </w:rPr>
        <w:t> </w:t>
      </w:r>
      <w:r>
        <w:rPr>
          <w:spacing w:val="-2"/>
          <w:sz w:val="24"/>
        </w:rPr>
        <w:t>Ilorin</w:t>
      </w:r>
    </w:p>
    <w:p>
      <w:pPr>
        <w:pStyle w:val="BodyText"/>
      </w:pPr>
    </w:p>
    <w:p>
      <w:pPr>
        <w:pStyle w:val="ListParagraph"/>
        <w:numPr>
          <w:ilvl w:val="2"/>
          <w:numId w:val="33"/>
        </w:numPr>
        <w:tabs>
          <w:tab w:pos="3162" w:val="left" w:leader="none"/>
        </w:tabs>
        <w:spacing w:line="240" w:lineRule="auto" w:before="0" w:after="0"/>
        <w:ind w:left="3162" w:right="0" w:hanging="720"/>
        <w:jc w:val="left"/>
        <w:rPr>
          <w:sz w:val="24"/>
        </w:rPr>
      </w:pPr>
      <w:r>
        <w:rPr>
          <w:sz w:val="24"/>
        </w:rPr>
        <w:t>University</w:t>
      </w:r>
      <w:r>
        <w:rPr>
          <w:spacing w:val="-10"/>
          <w:sz w:val="24"/>
        </w:rPr>
        <w:t> </w:t>
      </w:r>
      <w:r>
        <w:rPr>
          <w:sz w:val="24"/>
        </w:rPr>
        <w:t>of</w:t>
      </w:r>
      <w:r>
        <w:rPr>
          <w:spacing w:val="-10"/>
          <w:sz w:val="24"/>
        </w:rPr>
        <w:t> </w:t>
      </w:r>
      <w:r>
        <w:rPr>
          <w:sz w:val="24"/>
        </w:rPr>
        <w:t>Agriculture,</w:t>
      </w:r>
      <w:r>
        <w:rPr>
          <w:spacing w:val="-9"/>
          <w:sz w:val="24"/>
        </w:rPr>
        <w:t> </w:t>
      </w:r>
      <w:r>
        <w:rPr>
          <w:spacing w:val="-2"/>
          <w:sz w:val="24"/>
        </w:rPr>
        <w:t>Makurdi</w:t>
      </w:r>
    </w:p>
    <w:p>
      <w:pPr>
        <w:pStyle w:val="BodyText"/>
      </w:pPr>
    </w:p>
    <w:p>
      <w:pPr>
        <w:pStyle w:val="ListParagraph"/>
        <w:numPr>
          <w:ilvl w:val="0"/>
          <w:numId w:val="34"/>
        </w:numPr>
        <w:tabs>
          <w:tab w:pos="3162" w:val="left" w:leader="none"/>
        </w:tabs>
        <w:spacing w:line="240" w:lineRule="auto" w:before="0" w:after="0"/>
        <w:ind w:left="3162" w:right="0" w:hanging="720"/>
        <w:jc w:val="left"/>
        <w:rPr>
          <w:sz w:val="24"/>
        </w:rPr>
      </w:pPr>
      <w:r>
        <w:rPr>
          <w:sz w:val="24"/>
        </w:rPr>
        <w:t>Benue</w:t>
      </w:r>
      <w:r>
        <w:rPr>
          <w:spacing w:val="-6"/>
          <w:sz w:val="24"/>
        </w:rPr>
        <w:t> </w:t>
      </w:r>
      <w:r>
        <w:rPr>
          <w:sz w:val="24"/>
        </w:rPr>
        <w:t>State</w:t>
      </w:r>
      <w:r>
        <w:rPr>
          <w:spacing w:val="-5"/>
          <w:sz w:val="24"/>
        </w:rPr>
        <w:t> </w:t>
      </w:r>
      <w:r>
        <w:rPr>
          <w:sz w:val="24"/>
        </w:rPr>
        <w:t>University</w:t>
      </w:r>
      <w:r>
        <w:rPr>
          <w:spacing w:val="-10"/>
          <w:sz w:val="24"/>
        </w:rPr>
        <w:t> </w:t>
      </w:r>
      <w:r>
        <w:rPr>
          <w:sz w:val="24"/>
        </w:rPr>
        <w:t>-</w:t>
      </w:r>
      <w:r>
        <w:rPr>
          <w:spacing w:val="-4"/>
          <w:sz w:val="24"/>
        </w:rPr>
        <w:t> </w:t>
      </w:r>
      <w:r>
        <w:rPr>
          <w:spacing w:val="-2"/>
          <w:sz w:val="24"/>
        </w:rPr>
        <w:t>Makurdi</w:t>
      </w:r>
    </w:p>
    <w:p>
      <w:pPr>
        <w:pStyle w:val="BodyText"/>
      </w:pPr>
    </w:p>
    <w:p>
      <w:pPr>
        <w:pStyle w:val="ListParagraph"/>
        <w:numPr>
          <w:ilvl w:val="0"/>
          <w:numId w:val="34"/>
        </w:numPr>
        <w:tabs>
          <w:tab w:pos="3162" w:val="left" w:leader="none"/>
        </w:tabs>
        <w:spacing w:line="240" w:lineRule="auto" w:before="0" w:after="0"/>
        <w:ind w:left="3162" w:right="0" w:hanging="720"/>
        <w:jc w:val="left"/>
        <w:rPr>
          <w:sz w:val="24"/>
        </w:rPr>
      </w:pPr>
      <w:r>
        <w:rPr>
          <w:sz w:val="24"/>
        </w:rPr>
        <w:t>University</w:t>
      </w:r>
      <w:r>
        <w:rPr>
          <w:spacing w:val="-7"/>
          <w:sz w:val="24"/>
        </w:rPr>
        <w:t> </w:t>
      </w:r>
      <w:r>
        <w:rPr>
          <w:sz w:val="24"/>
        </w:rPr>
        <w:t>of</w:t>
      </w:r>
      <w:r>
        <w:rPr>
          <w:spacing w:val="-7"/>
          <w:sz w:val="24"/>
        </w:rPr>
        <w:t> </w:t>
      </w:r>
      <w:r>
        <w:rPr>
          <w:spacing w:val="-2"/>
          <w:sz w:val="24"/>
        </w:rPr>
        <w:t>Maiduguri</w:t>
      </w:r>
    </w:p>
    <w:p>
      <w:pPr>
        <w:pStyle w:val="BodyText"/>
      </w:pPr>
    </w:p>
    <w:p>
      <w:pPr>
        <w:pStyle w:val="ListParagraph"/>
        <w:numPr>
          <w:ilvl w:val="0"/>
          <w:numId w:val="34"/>
        </w:numPr>
        <w:tabs>
          <w:tab w:pos="3162" w:val="left" w:leader="none"/>
        </w:tabs>
        <w:spacing w:line="240" w:lineRule="auto" w:before="0" w:after="0"/>
        <w:ind w:left="3162" w:right="0" w:hanging="720"/>
        <w:jc w:val="left"/>
        <w:rPr>
          <w:sz w:val="24"/>
        </w:rPr>
      </w:pPr>
      <w:r>
        <w:rPr>
          <w:sz w:val="24"/>
        </w:rPr>
        <w:t>Nigerian</w:t>
      </w:r>
      <w:r>
        <w:rPr>
          <w:spacing w:val="-9"/>
          <w:sz w:val="24"/>
        </w:rPr>
        <w:t> </w:t>
      </w:r>
      <w:r>
        <w:rPr>
          <w:sz w:val="24"/>
        </w:rPr>
        <w:t>Defence</w:t>
      </w:r>
      <w:r>
        <w:rPr>
          <w:spacing w:val="-9"/>
          <w:sz w:val="24"/>
        </w:rPr>
        <w:t> </w:t>
      </w:r>
      <w:r>
        <w:rPr>
          <w:sz w:val="24"/>
        </w:rPr>
        <w:t>Academy</w:t>
      </w:r>
      <w:r>
        <w:rPr>
          <w:spacing w:val="-10"/>
          <w:sz w:val="24"/>
        </w:rPr>
        <w:t> </w:t>
      </w:r>
      <w:r>
        <w:rPr>
          <w:sz w:val="24"/>
        </w:rPr>
        <w:t>-</w:t>
      </w:r>
      <w:r>
        <w:rPr>
          <w:spacing w:val="-8"/>
          <w:sz w:val="24"/>
        </w:rPr>
        <w:t> </w:t>
      </w:r>
      <w:r>
        <w:rPr>
          <w:spacing w:val="-2"/>
          <w:sz w:val="24"/>
        </w:rPr>
        <w:t>Kaduna</w:t>
      </w:r>
    </w:p>
    <w:p>
      <w:pPr>
        <w:pStyle w:val="BodyText"/>
      </w:pPr>
    </w:p>
    <w:p>
      <w:pPr>
        <w:pStyle w:val="ListParagraph"/>
        <w:numPr>
          <w:ilvl w:val="0"/>
          <w:numId w:val="34"/>
        </w:numPr>
        <w:tabs>
          <w:tab w:pos="3162" w:val="left" w:leader="none"/>
        </w:tabs>
        <w:spacing w:line="240" w:lineRule="auto" w:before="0" w:after="0"/>
        <w:ind w:left="3162" w:right="0" w:hanging="720"/>
        <w:jc w:val="left"/>
        <w:rPr>
          <w:sz w:val="24"/>
        </w:rPr>
      </w:pPr>
      <w:r>
        <w:rPr>
          <w:sz w:val="24"/>
        </w:rPr>
        <w:t>Nasarrawa</w:t>
      </w:r>
      <w:r>
        <w:rPr>
          <w:spacing w:val="-8"/>
          <w:sz w:val="24"/>
        </w:rPr>
        <w:t> </w:t>
      </w:r>
      <w:r>
        <w:rPr>
          <w:sz w:val="24"/>
        </w:rPr>
        <w:t>State</w:t>
      </w:r>
      <w:r>
        <w:rPr>
          <w:spacing w:val="-7"/>
          <w:sz w:val="24"/>
        </w:rPr>
        <w:t> </w:t>
      </w:r>
      <w:r>
        <w:rPr>
          <w:sz w:val="24"/>
        </w:rPr>
        <w:t>University</w:t>
      </w:r>
      <w:r>
        <w:rPr>
          <w:spacing w:val="-11"/>
          <w:sz w:val="24"/>
        </w:rPr>
        <w:t> </w:t>
      </w:r>
      <w:r>
        <w:rPr>
          <w:sz w:val="24"/>
        </w:rPr>
        <w:t>-</w:t>
      </w:r>
      <w:r>
        <w:rPr>
          <w:spacing w:val="-6"/>
          <w:sz w:val="24"/>
        </w:rPr>
        <w:t> </w:t>
      </w:r>
      <w:r>
        <w:rPr>
          <w:spacing w:val="-2"/>
          <w:sz w:val="24"/>
        </w:rPr>
        <w:t>Lafiya</w:t>
      </w:r>
    </w:p>
    <w:p>
      <w:pPr>
        <w:pStyle w:val="BodyText"/>
      </w:pPr>
    </w:p>
    <w:p>
      <w:pPr>
        <w:pStyle w:val="ListParagraph"/>
        <w:numPr>
          <w:ilvl w:val="0"/>
          <w:numId w:val="34"/>
        </w:numPr>
        <w:tabs>
          <w:tab w:pos="3162" w:val="left" w:leader="none"/>
        </w:tabs>
        <w:spacing w:line="240" w:lineRule="auto" w:before="0" w:after="0"/>
        <w:ind w:left="3162" w:right="0" w:hanging="720"/>
        <w:jc w:val="left"/>
        <w:rPr>
          <w:sz w:val="24"/>
        </w:rPr>
      </w:pPr>
      <w:r>
        <w:rPr>
          <w:sz w:val="24"/>
        </w:rPr>
        <w:t>Adamawa</w:t>
      </w:r>
      <w:r>
        <w:rPr>
          <w:spacing w:val="-11"/>
          <w:sz w:val="24"/>
        </w:rPr>
        <w:t> </w:t>
      </w:r>
      <w:r>
        <w:rPr>
          <w:sz w:val="24"/>
        </w:rPr>
        <w:t>State</w:t>
      </w:r>
      <w:r>
        <w:rPr>
          <w:spacing w:val="-10"/>
          <w:sz w:val="24"/>
        </w:rPr>
        <w:t> </w:t>
      </w:r>
      <w:r>
        <w:rPr>
          <w:sz w:val="24"/>
        </w:rPr>
        <w:t>University,</w:t>
      </w:r>
      <w:r>
        <w:rPr>
          <w:spacing w:val="-10"/>
          <w:sz w:val="24"/>
        </w:rPr>
        <w:t> </w:t>
      </w:r>
      <w:r>
        <w:rPr>
          <w:spacing w:val="-4"/>
          <w:sz w:val="24"/>
        </w:rPr>
        <w:t>Mubi</w:t>
      </w:r>
    </w:p>
    <w:p>
      <w:pPr>
        <w:pStyle w:val="BodyText"/>
      </w:pPr>
    </w:p>
    <w:p>
      <w:pPr>
        <w:pStyle w:val="ListParagraph"/>
        <w:numPr>
          <w:ilvl w:val="0"/>
          <w:numId w:val="34"/>
        </w:numPr>
        <w:tabs>
          <w:tab w:pos="3162" w:val="left" w:leader="none"/>
        </w:tabs>
        <w:spacing w:line="240" w:lineRule="auto" w:before="0" w:after="0"/>
        <w:ind w:left="3162" w:right="0" w:hanging="720"/>
        <w:jc w:val="left"/>
        <w:rPr>
          <w:sz w:val="24"/>
        </w:rPr>
      </w:pPr>
      <w:r>
        <w:rPr>
          <w:sz w:val="24"/>
        </w:rPr>
        <w:t>Usmanu</w:t>
      </w:r>
      <w:r>
        <w:rPr>
          <w:spacing w:val="-8"/>
          <w:sz w:val="24"/>
        </w:rPr>
        <w:t> </w:t>
      </w:r>
      <w:r>
        <w:rPr>
          <w:sz w:val="24"/>
        </w:rPr>
        <w:t>Dan</w:t>
      </w:r>
      <w:r>
        <w:rPr>
          <w:spacing w:val="-8"/>
          <w:sz w:val="24"/>
        </w:rPr>
        <w:t> </w:t>
      </w:r>
      <w:r>
        <w:rPr>
          <w:sz w:val="24"/>
        </w:rPr>
        <w:t>Fodiyo</w:t>
      </w:r>
      <w:r>
        <w:rPr>
          <w:spacing w:val="-8"/>
          <w:sz w:val="24"/>
        </w:rPr>
        <w:t> </w:t>
      </w:r>
      <w:r>
        <w:rPr>
          <w:sz w:val="24"/>
        </w:rPr>
        <w:t>University,</w:t>
      </w:r>
      <w:r>
        <w:rPr>
          <w:spacing w:val="-9"/>
          <w:sz w:val="24"/>
        </w:rPr>
        <w:t> </w:t>
      </w:r>
      <w:r>
        <w:rPr>
          <w:spacing w:val="-2"/>
          <w:sz w:val="24"/>
        </w:rPr>
        <w:t>Sokoto</w:t>
      </w:r>
    </w:p>
    <w:p>
      <w:pPr>
        <w:pStyle w:val="BodyText"/>
      </w:pPr>
    </w:p>
    <w:p>
      <w:pPr>
        <w:pStyle w:val="ListParagraph"/>
        <w:numPr>
          <w:ilvl w:val="0"/>
          <w:numId w:val="34"/>
        </w:numPr>
        <w:tabs>
          <w:tab w:pos="3162" w:val="left" w:leader="none"/>
        </w:tabs>
        <w:spacing w:line="480" w:lineRule="auto" w:before="0" w:after="0"/>
        <w:ind w:left="820" w:right="3292" w:firstLine="1622"/>
        <w:jc w:val="left"/>
        <w:rPr>
          <w:sz w:val="24"/>
        </w:rPr>
      </w:pPr>
      <w:r>
        <w:rPr>
          <w:sz w:val="24"/>
        </w:rPr>
        <w:t>Kogi</w:t>
      </w:r>
      <w:r>
        <w:rPr>
          <w:spacing w:val="-7"/>
          <w:sz w:val="24"/>
        </w:rPr>
        <w:t> </w:t>
      </w:r>
      <w:r>
        <w:rPr>
          <w:sz w:val="24"/>
        </w:rPr>
        <w:t>State</w:t>
      </w:r>
      <w:r>
        <w:rPr>
          <w:spacing w:val="-9"/>
          <w:sz w:val="24"/>
        </w:rPr>
        <w:t> </w:t>
      </w:r>
      <w:r>
        <w:rPr>
          <w:sz w:val="24"/>
        </w:rPr>
        <w:t>University</w:t>
      </w:r>
      <w:r>
        <w:rPr>
          <w:spacing w:val="-9"/>
          <w:sz w:val="24"/>
        </w:rPr>
        <w:t> </w:t>
      </w:r>
      <w:r>
        <w:rPr>
          <w:sz w:val="24"/>
        </w:rPr>
        <w:t>-</w:t>
      </w:r>
      <w:r>
        <w:rPr>
          <w:spacing w:val="-13"/>
          <w:sz w:val="24"/>
        </w:rPr>
        <w:t> </w:t>
      </w:r>
      <w:r>
        <w:rPr>
          <w:sz w:val="24"/>
        </w:rPr>
        <w:t>Ankpa Table 3.4 1b) – Sampled Universities</w:t>
      </w:r>
    </w:p>
    <w:p>
      <w:pPr>
        <w:pStyle w:val="BodyText"/>
        <w:tabs>
          <w:tab w:pos="2979" w:val="left" w:leader="none"/>
        </w:tabs>
        <w:spacing w:line="480" w:lineRule="auto"/>
        <w:ind w:left="2260" w:right="3301"/>
      </w:pPr>
      <w:r>
        <w:rPr>
          <w:spacing w:val="-6"/>
        </w:rPr>
        <w:t>01</w:t>
      </w:r>
      <w:r>
        <w:rPr/>
        <w:tab/>
        <w:t>Ahmadu</w:t>
      </w:r>
      <w:r>
        <w:rPr>
          <w:spacing w:val="-12"/>
        </w:rPr>
        <w:t> </w:t>
      </w:r>
      <w:r>
        <w:rPr/>
        <w:t>Bello</w:t>
      </w:r>
      <w:r>
        <w:rPr>
          <w:spacing w:val="-12"/>
        </w:rPr>
        <w:t> </w:t>
      </w:r>
      <w:r>
        <w:rPr/>
        <w:t>University,</w:t>
      </w:r>
      <w:r>
        <w:rPr>
          <w:spacing w:val="-13"/>
        </w:rPr>
        <w:t> </w:t>
      </w:r>
      <w:r>
        <w:rPr/>
        <w:t>Zaria </w:t>
      </w:r>
      <w:r>
        <w:rPr>
          <w:spacing w:val="-6"/>
        </w:rPr>
        <w:t>02</w:t>
      </w:r>
      <w:r>
        <w:rPr/>
        <w:tab/>
        <w:t>Bayero University, Kano</w:t>
      </w:r>
    </w:p>
    <w:p>
      <w:pPr>
        <w:pStyle w:val="ListParagraph"/>
        <w:numPr>
          <w:ilvl w:val="0"/>
          <w:numId w:val="35"/>
        </w:numPr>
        <w:tabs>
          <w:tab w:pos="2979" w:val="left" w:leader="none"/>
        </w:tabs>
        <w:spacing w:line="240" w:lineRule="auto" w:before="1" w:after="0"/>
        <w:ind w:left="2979" w:right="0" w:hanging="719"/>
        <w:jc w:val="left"/>
        <w:rPr>
          <w:sz w:val="24"/>
        </w:rPr>
      </w:pPr>
      <w:r>
        <w:rPr>
          <w:sz w:val="24"/>
        </w:rPr>
        <w:t>University</w:t>
      </w:r>
      <w:r>
        <w:rPr>
          <w:spacing w:val="-7"/>
          <w:sz w:val="24"/>
        </w:rPr>
        <w:t> </w:t>
      </w:r>
      <w:r>
        <w:rPr>
          <w:sz w:val="24"/>
        </w:rPr>
        <w:t>of</w:t>
      </w:r>
      <w:r>
        <w:rPr>
          <w:spacing w:val="-7"/>
          <w:sz w:val="24"/>
        </w:rPr>
        <w:t> </w:t>
      </w:r>
      <w:r>
        <w:rPr>
          <w:spacing w:val="-5"/>
          <w:sz w:val="24"/>
        </w:rPr>
        <w:t>Jos</w:t>
      </w:r>
    </w:p>
    <w:p>
      <w:pPr>
        <w:spacing w:after="0" w:line="240" w:lineRule="auto"/>
        <w:jc w:val="left"/>
        <w:rPr>
          <w:sz w:val="24"/>
        </w:rPr>
        <w:sectPr>
          <w:headerReference w:type="default" r:id="rId224"/>
          <w:footerReference w:type="default" r:id="rId225"/>
          <w:pgSz w:w="12240" w:h="15840"/>
          <w:pgMar w:header="722" w:footer="791" w:top="1340" w:bottom="980" w:left="1340" w:right="1320"/>
        </w:sectPr>
      </w:pPr>
    </w:p>
    <w:p>
      <w:pPr>
        <w:pStyle w:val="ListParagraph"/>
        <w:numPr>
          <w:ilvl w:val="0"/>
          <w:numId w:val="35"/>
        </w:numPr>
        <w:tabs>
          <w:tab w:pos="2979" w:val="left" w:leader="none"/>
        </w:tabs>
        <w:spacing w:line="240" w:lineRule="auto" w:before="89" w:after="0"/>
        <w:ind w:left="2979" w:right="0" w:hanging="719"/>
        <w:jc w:val="left"/>
        <w:rPr>
          <w:sz w:val="24"/>
        </w:rPr>
      </w:pPr>
      <w:r>
        <w:rPr>
          <w:sz w:val="24"/>
        </w:rPr>
        <w:t>University</w:t>
      </w:r>
      <w:r>
        <w:rPr>
          <w:spacing w:val="-7"/>
          <w:sz w:val="24"/>
        </w:rPr>
        <w:t> </w:t>
      </w:r>
      <w:r>
        <w:rPr>
          <w:sz w:val="24"/>
        </w:rPr>
        <w:t>of</w:t>
      </w:r>
      <w:r>
        <w:rPr>
          <w:spacing w:val="-7"/>
          <w:sz w:val="24"/>
        </w:rPr>
        <w:t> </w:t>
      </w:r>
      <w:r>
        <w:rPr>
          <w:spacing w:val="-2"/>
          <w:sz w:val="24"/>
        </w:rPr>
        <w:t>Maiduguri</w:t>
      </w:r>
    </w:p>
    <w:p>
      <w:pPr>
        <w:pStyle w:val="ListParagraph"/>
        <w:numPr>
          <w:ilvl w:val="0"/>
          <w:numId w:val="35"/>
        </w:numPr>
        <w:tabs>
          <w:tab w:pos="2979" w:val="left" w:leader="none"/>
        </w:tabs>
        <w:spacing w:line="240" w:lineRule="auto" w:before="276" w:after="0"/>
        <w:ind w:left="2979" w:right="0" w:hanging="719"/>
        <w:jc w:val="left"/>
        <w:rPr>
          <w:sz w:val="24"/>
        </w:rPr>
      </w:pPr>
      <w:r>
        <w:rPr>
          <w:sz w:val="24"/>
        </w:rPr>
        <w:t>Usmanu</w:t>
      </w:r>
      <w:r>
        <w:rPr>
          <w:spacing w:val="-6"/>
          <w:sz w:val="24"/>
        </w:rPr>
        <w:t> </w:t>
      </w:r>
      <w:r>
        <w:rPr>
          <w:sz w:val="24"/>
        </w:rPr>
        <w:t>Dan</w:t>
      </w:r>
      <w:r>
        <w:rPr>
          <w:spacing w:val="-6"/>
          <w:sz w:val="24"/>
        </w:rPr>
        <w:t> </w:t>
      </w:r>
      <w:r>
        <w:rPr>
          <w:sz w:val="24"/>
        </w:rPr>
        <w:t>Fodiyo</w:t>
      </w:r>
      <w:r>
        <w:rPr>
          <w:spacing w:val="-6"/>
          <w:sz w:val="24"/>
        </w:rPr>
        <w:t> </w:t>
      </w:r>
      <w:r>
        <w:rPr>
          <w:spacing w:val="-2"/>
          <w:sz w:val="24"/>
        </w:rPr>
        <w:t>University</w:t>
      </w:r>
    </w:p>
    <w:p>
      <w:pPr>
        <w:pStyle w:val="BodyText"/>
        <w:spacing w:line="480" w:lineRule="auto" w:before="276"/>
        <w:ind w:left="820" w:right="117" w:firstLine="720"/>
        <w:jc w:val="both"/>
      </w:pPr>
      <w:r>
        <w:rPr/>
        <w:t>For determining the sample size of the population of all the subjects in the sampled</w:t>
      </w:r>
      <w:r>
        <w:rPr>
          <w:spacing w:val="-3"/>
        </w:rPr>
        <w:t> </w:t>
      </w:r>
      <w:r>
        <w:rPr/>
        <w:t>universities,</w:t>
      </w:r>
      <w:r>
        <w:rPr>
          <w:spacing w:val="-4"/>
        </w:rPr>
        <w:t> </w:t>
      </w:r>
      <w:r>
        <w:rPr/>
        <w:t>Krejcie</w:t>
      </w:r>
      <w:r>
        <w:rPr>
          <w:spacing w:val="-3"/>
        </w:rPr>
        <w:t> </w:t>
      </w:r>
      <w:r>
        <w:rPr/>
        <w:t>and</w:t>
      </w:r>
      <w:r>
        <w:rPr>
          <w:spacing w:val="-3"/>
        </w:rPr>
        <w:t> </w:t>
      </w:r>
      <w:r>
        <w:rPr/>
        <w:t>Morgan’s</w:t>
      </w:r>
      <w:r>
        <w:rPr>
          <w:spacing w:val="-4"/>
        </w:rPr>
        <w:t> </w:t>
      </w:r>
      <w:r>
        <w:rPr/>
        <w:t>(1970).</w:t>
      </w:r>
      <w:r>
        <w:rPr>
          <w:spacing w:val="40"/>
        </w:rPr>
        <w:t> </w:t>
      </w:r>
      <w:r>
        <w:rPr/>
        <w:t>Table</w:t>
      </w:r>
      <w:r>
        <w:rPr>
          <w:spacing w:val="-3"/>
        </w:rPr>
        <w:t> </w:t>
      </w:r>
      <w:r>
        <w:rPr/>
        <w:t>for</w:t>
      </w:r>
      <w:r>
        <w:rPr>
          <w:spacing w:val="-6"/>
        </w:rPr>
        <w:t> </w:t>
      </w:r>
      <w:r>
        <w:rPr/>
        <w:t>determining</w:t>
      </w:r>
      <w:r>
        <w:rPr>
          <w:spacing w:val="-3"/>
        </w:rPr>
        <w:t> </w:t>
      </w:r>
      <w:r>
        <w:rPr/>
        <w:t>sample size was used for all the groups of respondents; students service staff and the</w:t>
      </w:r>
      <w:r>
        <w:rPr>
          <w:spacing w:val="40"/>
        </w:rPr>
        <w:t> </w:t>
      </w:r>
      <w:r>
        <w:rPr/>
        <w:t>top management staff.</w:t>
      </w:r>
    </w:p>
    <w:p>
      <w:pPr>
        <w:pStyle w:val="BodyText"/>
        <w:spacing w:line="480" w:lineRule="auto"/>
        <w:ind w:left="820" w:right="117" w:firstLine="720"/>
        <w:jc w:val="both"/>
      </w:pPr>
      <w:r>
        <w:rPr/>
        <w:t>Thus by Krejcie and Morgan’s (1970) Table any population up to 1,000,000 and above is 384. The sample size for the students respondents is therefore 384 while the sample size of service staff is 346. And the sample size for top management staff is 40.</w:t>
      </w:r>
    </w:p>
    <w:p>
      <w:pPr>
        <w:pStyle w:val="BodyText"/>
        <w:spacing w:line="480" w:lineRule="auto"/>
        <w:ind w:left="820" w:right="116" w:firstLine="720"/>
        <w:jc w:val="both"/>
      </w:pPr>
      <w:r>
        <w:rPr/>
        <w:t>To determine the sample size of students, service staff and top management staff in each university, proportionate sampling technique was applied. This technique was necessary to project the accurate representative figure of respondents as the students population in the universities ranged from 12,581 to 28,422, while the range for service staff is from 500 to 1,256 and for</w:t>
      </w:r>
      <w:r>
        <w:rPr>
          <w:spacing w:val="40"/>
        </w:rPr>
        <w:t> </w:t>
      </w:r>
      <w:r>
        <w:rPr/>
        <w:t>the top management the range is between 8 and 12. The respondents from sampled universities are shown in tables 3.4.2 to 3.4.4.</w:t>
      </w:r>
    </w:p>
    <w:p>
      <w:pPr>
        <w:spacing w:after="0" w:line="480" w:lineRule="auto"/>
        <w:jc w:val="both"/>
        <w:sectPr>
          <w:headerReference w:type="default" r:id="rId226"/>
          <w:footerReference w:type="default" r:id="rId227"/>
          <w:pgSz w:w="12240" w:h="15840"/>
          <w:pgMar w:header="722" w:footer="791" w:top="1340" w:bottom="980" w:left="1340" w:right="1320"/>
        </w:sectPr>
      </w:pPr>
    </w:p>
    <w:p>
      <w:pPr>
        <w:pStyle w:val="Heading2"/>
        <w:tabs>
          <w:tab w:pos="1147" w:val="left" w:leader="none"/>
          <w:tab w:pos="2088" w:val="left" w:leader="none"/>
          <w:tab w:pos="3369" w:val="left" w:leader="none"/>
          <w:tab w:pos="4094" w:val="left" w:leader="none"/>
          <w:tab w:pos="6278" w:val="left" w:leader="none"/>
        </w:tabs>
        <w:spacing w:line="242" w:lineRule="auto"/>
        <w:ind w:left="1761" w:right="2033" w:hanging="1570"/>
      </w:pPr>
      <w:r>
        <w:rPr>
          <w:spacing w:val="-2"/>
        </w:rPr>
        <w:t>Table</w:t>
      </w:r>
      <w:r>
        <w:rPr/>
        <w:tab/>
      </w:r>
      <w:r>
        <w:rPr>
          <w:spacing w:val="-2"/>
        </w:rPr>
        <w:t>3.4.2:</w:t>
      </w:r>
      <w:r>
        <w:rPr/>
        <w:tab/>
      </w:r>
      <w:r>
        <w:rPr>
          <w:spacing w:val="-2"/>
        </w:rPr>
        <w:t>Number</w:t>
      </w:r>
      <w:r>
        <w:rPr/>
        <w:tab/>
      </w:r>
      <w:r>
        <w:rPr>
          <w:spacing w:val="-4"/>
        </w:rPr>
        <w:t>and</w:t>
      </w:r>
      <w:r>
        <w:rPr/>
        <w:tab/>
      </w:r>
      <w:r>
        <w:rPr>
          <w:spacing w:val="-2"/>
        </w:rPr>
        <w:t>proportionate</w:t>
      </w:r>
      <w:r>
        <w:rPr/>
        <w:tab/>
        <w:t>sample</w:t>
      </w:r>
      <w:r>
        <w:rPr>
          <w:spacing w:val="-8"/>
        </w:rPr>
        <w:t> </w:t>
      </w:r>
      <w:r>
        <w:rPr/>
        <w:t>of</w:t>
      </w:r>
      <w:r>
        <w:rPr>
          <w:spacing w:val="-9"/>
        </w:rPr>
        <w:t> </w:t>
      </w:r>
      <w:r>
        <w:rPr/>
        <w:t>students</w:t>
      </w:r>
      <w:r>
        <w:rPr>
          <w:spacing w:val="-8"/>
        </w:rPr>
        <w:t> </w:t>
      </w:r>
      <w:r>
        <w:rPr/>
        <w:t>in</w:t>
      </w:r>
      <w:r>
        <w:rPr>
          <w:spacing w:val="-12"/>
        </w:rPr>
        <w:t> </w:t>
      </w:r>
      <w:r>
        <w:rPr/>
        <w:t>the</w:t>
      </w:r>
      <w:r>
        <w:rPr>
          <w:spacing w:val="-8"/>
        </w:rPr>
        <w:t> </w:t>
      </w:r>
      <w:r>
        <w:rPr/>
        <w:t>sampled </w:t>
      </w:r>
      <w:r>
        <w:rPr>
          <w:spacing w:val="-2"/>
        </w:rPr>
        <w:t>Universities</w:t>
      </w:r>
    </w:p>
    <w:p>
      <w:pPr>
        <w:pStyle w:val="BodyText"/>
        <w:spacing w:before="94" w:after="1"/>
        <w:rPr>
          <w:rFonts w:ascii="Arial"/>
          <w:b/>
          <w:sz w:val="20"/>
        </w:rPr>
      </w:pPr>
    </w:p>
    <w:tbl>
      <w:tblPr>
        <w:tblW w:w="0" w:type="auto"/>
        <w:jc w:val="left"/>
        <w:tblInd w:w="1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246"/>
        <w:gridCol w:w="2378"/>
        <w:gridCol w:w="3271"/>
        <w:gridCol w:w="1705"/>
      </w:tblGrid>
      <w:tr>
        <w:trPr>
          <w:trHeight w:val="412" w:hRule="atLeast"/>
        </w:trPr>
        <w:tc>
          <w:tcPr>
            <w:tcW w:w="5246" w:type="dxa"/>
            <w:tcBorders>
              <w:top w:val="single" w:sz="4" w:space="0" w:color="000000"/>
              <w:left w:val="single" w:sz="4" w:space="0" w:color="000000"/>
              <w:bottom w:val="single" w:sz="4" w:space="0" w:color="000000"/>
            </w:tcBorders>
          </w:tcPr>
          <w:p>
            <w:pPr>
              <w:pStyle w:val="TableParagraph"/>
              <w:tabs>
                <w:tab w:pos="2044" w:val="left" w:leader="none"/>
              </w:tabs>
              <w:spacing w:line="271" w:lineRule="exact"/>
              <w:ind w:left="148"/>
              <w:rPr>
                <w:sz w:val="24"/>
              </w:rPr>
            </w:pPr>
            <w:r>
              <w:rPr>
                <w:spacing w:val="-4"/>
                <w:sz w:val="24"/>
              </w:rPr>
              <w:t>S/No.</w:t>
            </w:r>
            <w:r>
              <w:rPr>
                <w:sz w:val="24"/>
              </w:rPr>
              <w:tab/>
              <w:t>Name</w:t>
            </w:r>
            <w:r>
              <w:rPr>
                <w:spacing w:val="-3"/>
                <w:sz w:val="24"/>
              </w:rPr>
              <w:t> </w:t>
            </w:r>
            <w:r>
              <w:rPr>
                <w:sz w:val="24"/>
              </w:rPr>
              <w:t>of</w:t>
            </w:r>
            <w:r>
              <w:rPr>
                <w:spacing w:val="-2"/>
                <w:sz w:val="24"/>
              </w:rPr>
              <w:t> University</w:t>
            </w:r>
          </w:p>
        </w:tc>
        <w:tc>
          <w:tcPr>
            <w:tcW w:w="2378" w:type="dxa"/>
            <w:tcBorders>
              <w:top w:val="single" w:sz="4" w:space="0" w:color="000000"/>
              <w:bottom w:val="single" w:sz="4" w:space="0" w:color="000000"/>
            </w:tcBorders>
          </w:tcPr>
          <w:p>
            <w:pPr>
              <w:pStyle w:val="TableParagraph"/>
              <w:spacing w:line="271" w:lineRule="exact"/>
              <w:ind w:left="4" w:right="82"/>
              <w:jc w:val="center"/>
              <w:rPr>
                <w:sz w:val="24"/>
              </w:rPr>
            </w:pPr>
            <w:r>
              <w:rPr>
                <w:sz w:val="24"/>
              </w:rPr>
              <w:t>Student</w:t>
            </w:r>
            <w:r>
              <w:rPr>
                <w:spacing w:val="-2"/>
                <w:sz w:val="24"/>
              </w:rPr>
              <w:t> Population</w:t>
            </w:r>
          </w:p>
        </w:tc>
        <w:tc>
          <w:tcPr>
            <w:tcW w:w="3271" w:type="dxa"/>
            <w:tcBorders>
              <w:top w:val="single" w:sz="4" w:space="0" w:color="000000"/>
              <w:bottom w:val="single" w:sz="4" w:space="0" w:color="000000"/>
            </w:tcBorders>
          </w:tcPr>
          <w:p>
            <w:pPr>
              <w:pStyle w:val="TableParagraph"/>
              <w:spacing w:line="271" w:lineRule="exact"/>
              <w:ind w:left="224"/>
              <w:rPr>
                <w:sz w:val="24"/>
              </w:rPr>
            </w:pPr>
            <w:r>
              <w:rPr>
                <w:sz w:val="24"/>
              </w:rPr>
              <w:t>Proportionate</w:t>
            </w:r>
            <w:r>
              <w:rPr>
                <w:spacing w:val="-7"/>
                <w:sz w:val="24"/>
              </w:rPr>
              <w:t> </w:t>
            </w:r>
            <w:r>
              <w:rPr>
                <w:sz w:val="24"/>
              </w:rPr>
              <w:t>Sample</w:t>
            </w:r>
            <w:r>
              <w:rPr>
                <w:spacing w:val="-6"/>
                <w:sz w:val="24"/>
              </w:rPr>
              <w:t> </w:t>
            </w:r>
            <w:r>
              <w:rPr>
                <w:spacing w:val="-4"/>
                <w:sz w:val="24"/>
              </w:rPr>
              <w:t>Size</w:t>
            </w:r>
          </w:p>
        </w:tc>
        <w:tc>
          <w:tcPr>
            <w:tcW w:w="1705" w:type="dxa"/>
            <w:tcBorders>
              <w:top w:val="single" w:sz="4" w:space="0" w:color="000000"/>
              <w:bottom w:val="single" w:sz="4" w:space="0" w:color="000000"/>
              <w:right w:val="single" w:sz="4" w:space="0" w:color="000000"/>
            </w:tcBorders>
          </w:tcPr>
          <w:p>
            <w:pPr>
              <w:pStyle w:val="TableParagraph"/>
              <w:spacing w:line="271" w:lineRule="exact"/>
              <w:ind w:left="197"/>
              <w:rPr>
                <w:sz w:val="24"/>
              </w:rPr>
            </w:pPr>
            <w:r>
              <w:rPr>
                <w:spacing w:val="-10"/>
                <w:sz w:val="24"/>
              </w:rPr>
              <w:t>%</w:t>
            </w:r>
          </w:p>
        </w:tc>
      </w:tr>
      <w:tr>
        <w:trPr>
          <w:trHeight w:val="343" w:hRule="atLeast"/>
        </w:trPr>
        <w:tc>
          <w:tcPr>
            <w:tcW w:w="5246" w:type="dxa"/>
            <w:tcBorders>
              <w:top w:val="single" w:sz="4" w:space="0" w:color="000000"/>
              <w:left w:val="single" w:sz="4" w:space="0" w:color="000000"/>
            </w:tcBorders>
          </w:tcPr>
          <w:p>
            <w:pPr>
              <w:pStyle w:val="TableParagraph"/>
              <w:tabs>
                <w:tab w:pos="1007" w:val="left" w:leader="none"/>
              </w:tabs>
              <w:spacing w:line="271" w:lineRule="exact"/>
              <w:ind w:left="350"/>
              <w:rPr>
                <w:sz w:val="24"/>
              </w:rPr>
            </w:pPr>
            <w:r>
              <w:rPr>
                <w:spacing w:val="-5"/>
                <w:sz w:val="24"/>
              </w:rPr>
              <w:t>1.</w:t>
            </w:r>
            <w:r>
              <w:rPr>
                <w:sz w:val="24"/>
              </w:rPr>
              <w:tab/>
              <w:t>Ahmadu</w:t>
            </w:r>
            <w:r>
              <w:rPr>
                <w:spacing w:val="-5"/>
                <w:sz w:val="24"/>
              </w:rPr>
              <w:t> </w:t>
            </w:r>
            <w:r>
              <w:rPr>
                <w:sz w:val="24"/>
              </w:rPr>
              <w:t>Bello</w:t>
            </w:r>
            <w:r>
              <w:rPr>
                <w:spacing w:val="-4"/>
                <w:sz w:val="24"/>
              </w:rPr>
              <w:t> </w:t>
            </w:r>
            <w:r>
              <w:rPr>
                <w:sz w:val="24"/>
              </w:rPr>
              <w:t>University,</w:t>
            </w:r>
            <w:r>
              <w:rPr>
                <w:spacing w:val="-4"/>
                <w:sz w:val="24"/>
              </w:rPr>
              <w:t> Zaria</w:t>
            </w:r>
          </w:p>
        </w:tc>
        <w:tc>
          <w:tcPr>
            <w:tcW w:w="2378" w:type="dxa"/>
            <w:tcBorders>
              <w:top w:val="single" w:sz="4" w:space="0" w:color="000000"/>
            </w:tcBorders>
          </w:tcPr>
          <w:p>
            <w:pPr>
              <w:pStyle w:val="TableParagraph"/>
              <w:spacing w:line="271" w:lineRule="exact"/>
              <w:ind w:right="82"/>
              <w:jc w:val="center"/>
              <w:rPr>
                <w:sz w:val="24"/>
              </w:rPr>
            </w:pPr>
            <w:r>
              <w:rPr>
                <w:spacing w:val="-2"/>
                <w:sz w:val="24"/>
              </w:rPr>
              <w:t>28,422</w:t>
            </w:r>
          </w:p>
        </w:tc>
        <w:tc>
          <w:tcPr>
            <w:tcW w:w="3271" w:type="dxa"/>
            <w:tcBorders>
              <w:top w:val="single" w:sz="4" w:space="0" w:color="000000"/>
            </w:tcBorders>
          </w:tcPr>
          <w:p>
            <w:pPr>
              <w:pStyle w:val="TableParagraph"/>
              <w:spacing w:line="271" w:lineRule="exact"/>
              <w:ind w:left="36"/>
              <w:jc w:val="center"/>
              <w:rPr>
                <w:sz w:val="24"/>
              </w:rPr>
            </w:pPr>
            <w:r>
              <w:rPr>
                <w:spacing w:val="-2"/>
                <w:sz w:val="24"/>
              </w:rPr>
              <w:t>99.42</w:t>
            </w:r>
          </w:p>
        </w:tc>
        <w:tc>
          <w:tcPr>
            <w:tcW w:w="1705" w:type="dxa"/>
            <w:tcBorders>
              <w:top w:val="single" w:sz="4" w:space="0" w:color="000000"/>
              <w:right w:val="single" w:sz="4" w:space="0" w:color="000000"/>
            </w:tcBorders>
          </w:tcPr>
          <w:p>
            <w:pPr>
              <w:pStyle w:val="TableParagraph"/>
              <w:spacing w:line="271" w:lineRule="exact"/>
              <w:ind w:left="197"/>
              <w:rPr>
                <w:sz w:val="24"/>
              </w:rPr>
            </w:pPr>
            <w:r>
              <w:rPr>
                <w:spacing w:val="-2"/>
                <w:sz w:val="24"/>
              </w:rPr>
              <w:t>25.89</w:t>
            </w:r>
          </w:p>
        </w:tc>
      </w:tr>
      <w:tr>
        <w:trPr>
          <w:trHeight w:val="415" w:hRule="atLeast"/>
        </w:trPr>
        <w:tc>
          <w:tcPr>
            <w:tcW w:w="5246" w:type="dxa"/>
            <w:tcBorders>
              <w:left w:val="single" w:sz="4" w:space="0" w:color="000000"/>
            </w:tcBorders>
          </w:tcPr>
          <w:p>
            <w:pPr>
              <w:pStyle w:val="TableParagraph"/>
              <w:tabs>
                <w:tab w:pos="1007" w:val="left" w:leader="none"/>
              </w:tabs>
              <w:spacing w:before="64"/>
              <w:ind w:left="350"/>
              <w:rPr>
                <w:sz w:val="24"/>
              </w:rPr>
            </w:pPr>
            <w:r>
              <w:rPr>
                <w:spacing w:val="-5"/>
                <w:sz w:val="24"/>
              </w:rPr>
              <w:t>2.</w:t>
            </w:r>
            <w:r>
              <w:rPr>
                <w:sz w:val="24"/>
              </w:rPr>
              <w:tab/>
              <w:t>Bayero</w:t>
            </w:r>
            <w:r>
              <w:rPr>
                <w:spacing w:val="-3"/>
                <w:sz w:val="24"/>
              </w:rPr>
              <w:t> </w:t>
            </w:r>
            <w:r>
              <w:rPr>
                <w:sz w:val="24"/>
              </w:rPr>
              <w:t>University,</w:t>
            </w:r>
            <w:r>
              <w:rPr>
                <w:spacing w:val="-2"/>
                <w:sz w:val="24"/>
              </w:rPr>
              <w:t> </w:t>
            </w:r>
            <w:r>
              <w:rPr>
                <w:spacing w:val="-4"/>
                <w:sz w:val="24"/>
              </w:rPr>
              <w:t>Kano</w:t>
            </w:r>
          </w:p>
        </w:tc>
        <w:tc>
          <w:tcPr>
            <w:tcW w:w="2378" w:type="dxa"/>
          </w:tcPr>
          <w:p>
            <w:pPr>
              <w:pStyle w:val="TableParagraph"/>
              <w:spacing w:before="64"/>
              <w:ind w:right="82"/>
              <w:jc w:val="center"/>
              <w:rPr>
                <w:sz w:val="24"/>
              </w:rPr>
            </w:pPr>
            <w:r>
              <w:rPr>
                <w:spacing w:val="-2"/>
                <w:sz w:val="24"/>
              </w:rPr>
              <w:t>25,247</w:t>
            </w:r>
          </w:p>
        </w:tc>
        <w:tc>
          <w:tcPr>
            <w:tcW w:w="3271" w:type="dxa"/>
          </w:tcPr>
          <w:p>
            <w:pPr>
              <w:pStyle w:val="TableParagraph"/>
              <w:spacing w:before="64"/>
              <w:ind w:left="36"/>
              <w:jc w:val="center"/>
              <w:rPr>
                <w:sz w:val="24"/>
              </w:rPr>
            </w:pPr>
            <w:r>
              <w:rPr>
                <w:spacing w:val="-2"/>
                <w:sz w:val="24"/>
              </w:rPr>
              <w:t>88.31</w:t>
            </w:r>
          </w:p>
        </w:tc>
        <w:tc>
          <w:tcPr>
            <w:tcW w:w="1705" w:type="dxa"/>
            <w:tcBorders>
              <w:right w:val="single" w:sz="4" w:space="0" w:color="000000"/>
            </w:tcBorders>
          </w:tcPr>
          <w:p>
            <w:pPr>
              <w:pStyle w:val="TableParagraph"/>
              <w:spacing w:before="64"/>
              <w:ind w:left="197"/>
              <w:rPr>
                <w:sz w:val="24"/>
              </w:rPr>
            </w:pPr>
            <w:r>
              <w:rPr>
                <w:spacing w:val="-2"/>
                <w:sz w:val="24"/>
              </w:rPr>
              <w:t>22.99</w:t>
            </w:r>
          </w:p>
        </w:tc>
      </w:tr>
      <w:tr>
        <w:trPr>
          <w:trHeight w:val="415" w:hRule="atLeast"/>
        </w:trPr>
        <w:tc>
          <w:tcPr>
            <w:tcW w:w="5246" w:type="dxa"/>
            <w:tcBorders>
              <w:left w:val="single" w:sz="4" w:space="0" w:color="000000"/>
            </w:tcBorders>
          </w:tcPr>
          <w:p>
            <w:pPr>
              <w:pStyle w:val="TableParagraph"/>
              <w:tabs>
                <w:tab w:pos="1007" w:val="left" w:leader="none"/>
              </w:tabs>
              <w:spacing w:before="67"/>
              <w:ind w:left="350"/>
              <w:rPr>
                <w:sz w:val="24"/>
              </w:rPr>
            </w:pPr>
            <w:r>
              <w:rPr>
                <w:spacing w:val="-5"/>
                <w:sz w:val="24"/>
              </w:rPr>
              <w:t>3.</w:t>
            </w:r>
            <w:r>
              <w:rPr>
                <w:sz w:val="24"/>
              </w:rPr>
              <w:tab/>
              <w:t>University</w:t>
            </w:r>
            <w:r>
              <w:rPr>
                <w:spacing w:val="-2"/>
                <w:sz w:val="24"/>
              </w:rPr>
              <w:t> </w:t>
            </w:r>
            <w:r>
              <w:rPr>
                <w:sz w:val="24"/>
              </w:rPr>
              <w:t>of</w:t>
            </w:r>
            <w:r>
              <w:rPr>
                <w:spacing w:val="-2"/>
                <w:sz w:val="24"/>
              </w:rPr>
              <w:t> </w:t>
            </w:r>
            <w:r>
              <w:rPr>
                <w:spacing w:val="-5"/>
                <w:sz w:val="24"/>
              </w:rPr>
              <w:t>Jos</w:t>
            </w:r>
          </w:p>
        </w:tc>
        <w:tc>
          <w:tcPr>
            <w:tcW w:w="2378" w:type="dxa"/>
          </w:tcPr>
          <w:p>
            <w:pPr>
              <w:pStyle w:val="TableParagraph"/>
              <w:spacing w:before="67"/>
              <w:ind w:right="82"/>
              <w:jc w:val="center"/>
              <w:rPr>
                <w:sz w:val="24"/>
              </w:rPr>
            </w:pPr>
            <w:r>
              <w:rPr>
                <w:spacing w:val="-2"/>
                <w:sz w:val="24"/>
              </w:rPr>
              <w:t>12,581</w:t>
            </w:r>
          </w:p>
        </w:tc>
        <w:tc>
          <w:tcPr>
            <w:tcW w:w="3271" w:type="dxa"/>
          </w:tcPr>
          <w:p>
            <w:pPr>
              <w:pStyle w:val="TableParagraph"/>
              <w:spacing w:before="67"/>
              <w:ind w:left="36"/>
              <w:jc w:val="center"/>
              <w:rPr>
                <w:sz w:val="24"/>
              </w:rPr>
            </w:pPr>
            <w:r>
              <w:rPr>
                <w:spacing w:val="-2"/>
                <w:sz w:val="24"/>
              </w:rPr>
              <w:t>44.00</w:t>
            </w:r>
          </w:p>
        </w:tc>
        <w:tc>
          <w:tcPr>
            <w:tcW w:w="1705" w:type="dxa"/>
            <w:tcBorders>
              <w:right w:val="single" w:sz="4" w:space="0" w:color="000000"/>
            </w:tcBorders>
          </w:tcPr>
          <w:p>
            <w:pPr>
              <w:pStyle w:val="TableParagraph"/>
              <w:spacing w:before="67"/>
              <w:ind w:left="197"/>
              <w:rPr>
                <w:sz w:val="24"/>
              </w:rPr>
            </w:pPr>
            <w:r>
              <w:rPr>
                <w:spacing w:val="-2"/>
                <w:sz w:val="24"/>
              </w:rPr>
              <w:t>11.45</w:t>
            </w:r>
          </w:p>
        </w:tc>
      </w:tr>
      <w:tr>
        <w:trPr>
          <w:trHeight w:val="412" w:hRule="atLeast"/>
        </w:trPr>
        <w:tc>
          <w:tcPr>
            <w:tcW w:w="5246" w:type="dxa"/>
            <w:tcBorders>
              <w:left w:val="single" w:sz="4" w:space="0" w:color="000000"/>
            </w:tcBorders>
          </w:tcPr>
          <w:p>
            <w:pPr>
              <w:pStyle w:val="TableParagraph"/>
              <w:tabs>
                <w:tab w:pos="1007" w:val="left" w:leader="none"/>
              </w:tabs>
              <w:spacing w:before="64"/>
              <w:ind w:left="350"/>
              <w:rPr>
                <w:sz w:val="24"/>
              </w:rPr>
            </w:pPr>
            <w:r>
              <w:rPr>
                <w:spacing w:val="-5"/>
                <w:sz w:val="24"/>
              </w:rPr>
              <w:t>4.</w:t>
            </w:r>
            <w:r>
              <w:rPr>
                <w:sz w:val="24"/>
              </w:rPr>
              <w:tab/>
              <w:t>University</w:t>
            </w:r>
            <w:r>
              <w:rPr>
                <w:spacing w:val="-2"/>
                <w:sz w:val="24"/>
              </w:rPr>
              <w:t> </w:t>
            </w:r>
            <w:r>
              <w:rPr>
                <w:sz w:val="24"/>
              </w:rPr>
              <w:t>of</w:t>
            </w:r>
            <w:r>
              <w:rPr>
                <w:spacing w:val="-2"/>
                <w:sz w:val="24"/>
              </w:rPr>
              <w:t> Maiduguri</w:t>
            </w:r>
          </w:p>
        </w:tc>
        <w:tc>
          <w:tcPr>
            <w:tcW w:w="2378" w:type="dxa"/>
          </w:tcPr>
          <w:p>
            <w:pPr>
              <w:pStyle w:val="TableParagraph"/>
              <w:spacing w:before="64"/>
              <w:ind w:right="82"/>
              <w:jc w:val="center"/>
              <w:rPr>
                <w:sz w:val="24"/>
              </w:rPr>
            </w:pPr>
            <w:r>
              <w:rPr>
                <w:spacing w:val="-2"/>
                <w:sz w:val="24"/>
              </w:rPr>
              <w:t>20,272</w:t>
            </w:r>
          </w:p>
        </w:tc>
        <w:tc>
          <w:tcPr>
            <w:tcW w:w="3271" w:type="dxa"/>
          </w:tcPr>
          <w:p>
            <w:pPr>
              <w:pStyle w:val="TableParagraph"/>
              <w:spacing w:before="64"/>
              <w:ind w:left="36"/>
              <w:jc w:val="center"/>
              <w:rPr>
                <w:sz w:val="24"/>
              </w:rPr>
            </w:pPr>
            <w:r>
              <w:rPr>
                <w:spacing w:val="-2"/>
                <w:sz w:val="24"/>
              </w:rPr>
              <w:t>70.91</w:t>
            </w:r>
          </w:p>
        </w:tc>
        <w:tc>
          <w:tcPr>
            <w:tcW w:w="1705" w:type="dxa"/>
            <w:tcBorders>
              <w:right w:val="single" w:sz="4" w:space="0" w:color="000000"/>
            </w:tcBorders>
          </w:tcPr>
          <w:p>
            <w:pPr>
              <w:pStyle w:val="TableParagraph"/>
              <w:spacing w:before="64"/>
              <w:ind w:left="197"/>
              <w:rPr>
                <w:sz w:val="24"/>
              </w:rPr>
            </w:pPr>
            <w:r>
              <w:rPr>
                <w:spacing w:val="-2"/>
                <w:sz w:val="24"/>
              </w:rPr>
              <w:t>18.46</w:t>
            </w:r>
          </w:p>
        </w:tc>
      </w:tr>
      <w:tr>
        <w:trPr>
          <w:trHeight w:val="412" w:hRule="atLeast"/>
        </w:trPr>
        <w:tc>
          <w:tcPr>
            <w:tcW w:w="5246" w:type="dxa"/>
            <w:tcBorders>
              <w:left w:val="single" w:sz="4" w:space="0" w:color="000000"/>
            </w:tcBorders>
          </w:tcPr>
          <w:p>
            <w:pPr>
              <w:pStyle w:val="TableParagraph"/>
              <w:tabs>
                <w:tab w:pos="657" w:val="left" w:leader="none"/>
                <w:tab w:pos="1862" w:val="left" w:leader="none"/>
                <w:tab w:pos="2610" w:val="left" w:leader="none"/>
                <w:tab w:pos="3647" w:val="left" w:leader="none"/>
              </w:tabs>
              <w:spacing w:before="64"/>
              <w:ind w:right="123"/>
              <w:jc w:val="right"/>
              <w:rPr>
                <w:sz w:val="24"/>
              </w:rPr>
            </w:pPr>
            <w:r>
              <w:rPr>
                <w:spacing w:val="-5"/>
                <w:sz w:val="24"/>
              </w:rPr>
              <w:t>5.</w:t>
            </w:r>
            <w:r>
              <w:rPr>
                <w:sz w:val="24"/>
              </w:rPr>
              <w:tab/>
            </w:r>
            <w:r>
              <w:rPr>
                <w:spacing w:val="-2"/>
                <w:sz w:val="24"/>
              </w:rPr>
              <w:t>Usmanu</w:t>
            </w:r>
            <w:r>
              <w:rPr>
                <w:sz w:val="24"/>
              </w:rPr>
              <w:tab/>
            </w:r>
            <w:r>
              <w:rPr>
                <w:spacing w:val="-5"/>
                <w:sz w:val="24"/>
              </w:rPr>
              <w:t>Dan</w:t>
            </w:r>
            <w:r>
              <w:rPr>
                <w:sz w:val="24"/>
              </w:rPr>
              <w:tab/>
            </w:r>
            <w:r>
              <w:rPr>
                <w:spacing w:val="-2"/>
                <w:sz w:val="24"/>
              </w:rPr>
              <w:t>Fodiyo</w:t>
            </w:r>
            <w:r>
              <w:rPr>
                <w:sz w:val="24"/>
              </w:rPr>
              <w:tab/>
            </w:r>
            <w:r>
              <w:rPr>
                <w:spacing w:val="-2"/>
                <w:sz w:val="24"/>
              </w:rPr>
              <w:t>University,</w:t>
            </w:r>
          </w:p>
        </w:tc>
        <w:tc>
          <w:tcPr>
            <w:tcW w:w="2378" w:type="dxa"/>
          </w:tcPr>
          <w:p>
            <w:pPr>
              <w:pStyle w:val="TableParagraph"/>
              <w:spacing w:before="64"/>
              <w:ind w:right="82"/>
              <w:jc w:val="center"/>
              <w:rPr>
                <w:sz w:val="24"/>
              </w:rPr>
            </w:pPr>
            <w:r>
              <w:rPr>
                <w:spacing w:val="-2"/>
                <w:sz w:val="24"/>
              </w:rPr>
              <w:t>23,252</w:t>
            </w:r>
          </w:p>
        </w:tc>
        <w:tc>
          <w:tcPr>
            <w:tcW w:w="3271" w:type="dxa"/>
          </w:tcPr>
          <w:p>
            <w:pPr>
              <w:pStyle w:val="TableParagraph"/>
              <w:spacing w:before="64"/>
              <w:ind w:left="36"/>
              <w:jc w:val="center"/>
              <w:rPr>
                <w:sz w:val="24"/>
              </w:rPr>
            </w:pPr>
            <w:r>
              <w:rPr>
                <w:spacing w:val="-2"/>
                <w:sz w:val="24"/>
              </w:rPr>
              <w:t>81.33</w:t>
            </w:r>
          </w:p>
        </w:tc>
        <w:tc>
          <w:tcPr>
            <w:tcW w:w="1705" w:type="dxa"/>
            <w:tcBorders>
              <w:right w:val="single" w:sz="4" w:space="0" w:color="000000"/>
            </w:tcBorders>
          </w:tcPr>
          <w:p>
            <w:pPr>
              <w:pStyle w:val="TableParagraph"/>
              <w:spacing w:before="64"/>
              <w:ind w:left="197"/>
              <w:rPr>
                <w:sz w:val="24"/>
              </w:rPr>
            </w:pPr>
            <w:r>
              <w:rPr>
                <w:spacing w:val="-2"/>
                <w:sz w:val="24"/>
              </w:rPr>
              <w:t>21.17</w:t>
            </w:r>
          </w:p>
        </w:tc>
      </w:tr>
      <w:tr>
        <w:trPr>
          <w:trHeight w:val="486" w:hRule="atLeast"/>
        </w:trPr>
        <w:tc>
          <w:tcPr>
            <w:tcW w:w="5246" w:type="dxa"/>
            <w:tcBorders>
              <w:left w:val="single" w:sz="4" w:space="0" w:color="000000"/>
              <w:bottom w:val="single" w:sz="4" w:space="0" w:color="000000"/>
            </w:tcBorders>
          </w:tcPr>
          <w:p>
            <w:pPr>
              <w:pStyle w:val="TableParagraph"/>
              <w:spacing w:before="64"/>
              <w:ind w:left="1007"/>
              <w:rPr>
                <w:sz w:val="24"/>
              </w:rPr>
            </w:pPr>
            <w:r>
              <w:rPr>
                <w:spacing w:val="-2"/>
                <w:sz w:val="24"/>
              </w:rPr>
              <w:t>Sokoto</w:t>
            </w:r>
          </w:p>
        </w:tc>
        <w:tc>
          <w:tcPr>
            <w:tcW w:w="2378" w:type="dxa"/>
            <w:tcBorders>
              <w:bottom w:val="single" w:sz="4" w:space="0" w:color="000000"/>
            </w:tcBorders>
          </w:tcPr>
          <w:p>
            <w:pPr>
              <w:pStyle w:val="TableParagraph"/>
              <w:rPr>
                <w:rFonts w:ascii="Times New Roman"/>
                <w:sz w:val="24"/>
              </w:rPr>
            </w:pPr>
          </w:p>
        </w:tc>
        <w:tc>
          <w:tcPr>
            <w:tcW w:w="3271" w:type="dxa"/>
            <w:tcBorders>
              <w:bottom w:val="single" w:sz="4" w:space="0" w:color="000000"/>
            </w:tcBorders>
          </w:tcPr>
          <w:p>
            <w:pPr>
              <w:pStyle w:val="TableParagraph"/>
              <w:rPr>
                <w:rFonts w:ascii="Times New Roman"/>
                <w:sz w:val="24"/>
              </w:rPr>
            </w:pPr>
          </w:p>
        </w:tc>
        <w:tc>
          <w:tcPr>
            <w:tcW w:w="1705" w:type="dxa"/>
            <w:tcBorders>
              <w:bottom w:val="single" w:sz="4" w:space="0" w:color="000000"/>
              <w:right w:val="single" w:sz="4" w:space="0" w:color="000000"/>
            </w:tcBorders>
          </w:tcPr>
          <w:p>
            <w:pPr>
              <w:pStyle w:val="TableParagraph"/>
              <w:rPr>
                <w:rFonts w:ascii="Times New Roman"/>
                <w:sz w:val="24"/>
              </w:rPr>
            </w:pPr>
          </w:p>
        </w:tc>
      </w:tr>
      <w:tr>
        <w:trPr>
          <w:trHeight w:val="412" w:hRule="atLeast"/>
        </w:trPr>
        <w:tc>
          <w:tcPr>
            <w:tcW w:w="5246" w:type="dxa"/>
            <w:tcBorders>
              <w:top w:val="single" w:sz="4" w:space="0" w:color="000000"/>
              <w:left w:val="single" w:sz="4" w:space="0" w:color="000000"/>
              <w:bottom w:val="single" w:sz="4" w:space="0" w:color="000000"/>
            </w:tcBorders>
          </w:tcPr>
          <w:p>
            <w:pPr>
              <w:pStyle w:val="TableParagraph"/>
              <w:spacing w:line="267" w:lineRule="exact"/>
              <w:ind w:right="219"/>
              <w:jc w:val="right"/>
              <w:rPr>
                <w:rFonts w:ascii="Arial"/>
                <w:b/>
                <w:sz w:val="24"/>
              </w:rPr>
            </w:pPr>
            <w:r>
              <w:rPr>
                <w:rFonts w:ascii="Arial"/>
                <w:b/>
                <w:spacing w:val="-2"/>
                <w:sz w:val="24"/>
              </w:rPr>
              <w:t>Total</w:t>
            </w:r>
          </w:p>
        </w:tc>
        <w:tc>
          <w:tcPr>
            <w:tcW w:w="2378" w:type="dxa"/>
            <w:tcBorders>
              <w:top w:val="single" w:sz="4" w:space="0" w:color="000000"/>
              <w:bottom w:val="single" w:sz="4" w:space="0" w:color="000000"/>
            </w:tcBorders>
          </w:tcPr>
          <w:p>
            <w:pPr>
              <w:pStyle w:val="TableParagraph"/>
              <w:spacing w:line="271" w:lineRule="exact"/>
              <w:ind w:right="82"/>
              <w:jc w:val="center"/>
              <w:rPr>
                <w:sz w:val="24"/>
              </w:rPr>
            </w:pPr>
            <w:r>
              <w:rPr>
                <w:spacing w:val="-2"/>
                <w:sz w:val="24"/>
              </w:rPr>
              <w:t>109,774</w:t>
            </w:r>
          </w:p>
        </w:tc>
        <w:tc>
          <w:tcPr>
            <w:tcW w:w="3271" w:type="dxa"/>
            <w:tcBorders>
              <w:top w:val="single" w:sz="4" w:space="0" w:color="000000"/>
              <w:bottom w:val="single" w:sz="4" w:space="0" w:color="000000"/>
            </w:tcBorders>
          </w:tcPr>
          <w:p>
            <w:pPr>
              <w:pStyle w:val="TableParagraph"/>
              <w:spacing w:line="271" w:lineRule="exact"/>
              <w:ind w:left="1275"/>
              <w:rPr>
                <w:sz w:val="24"/>
              </w:rPr>
            </w:pPr>
            <w:r>
              <w:rPr>
                <w:sz w:val="24"/>
              </w:rPr>
              <w:t>383.97</w:t>
            </w:r>
            <w:r>
              <w:rPr>
                <w:spacing w:val="57"/>
                <w:sz w:val="24"/>
              </w:rPr>
              <w:t> </w:t>
            </w:r>
            <w:r>
              <w:rPr>
                <w:spacing w:val="-4"/>
                <w:sz w:val="24"/>
              </w:rPr>
              <w:t>(384)</w:t>
            </w:r>
          </w:p>
        </w:tc>
        <w:tc>
          <w:tcPr>
            <w:tcW w:w="1705" w:type="dxa"/>
            <w:tcBorders>
              <w:top w:val="single" w:sz="4" w:space="0" w:color="000000"/>
              <w:bottom w:val="single" w:sz="4" w:space="0" w:color="000000"/>
              <w:right w:val="single" w:sz="4" w:space="0" w:color="000000"/>
            </w:tcBorders>
          </w:tcPr>
          <w:p>
            <w:pPr>
              <w:pStyle w:val="TableParagraph"/>
              <w:spacing w:line="271" w:lineRule="exact"/>
              <w:ind w:left="197"/>
              <w:rPr>
                <w:sz w:val="24"/>
              </w:rPr>
            </w:pPr>
            <w:r>
              <w:rPr>
                <w:sz w:val="24"/>
              </w:rPr>
              <w:t>99.96 </w:t>
            </w:r>
            <w:r>
              <w:rPr>
                <w:spacing w:val="-2"/>
                <w:sz w:val="24"/>
              </w:rPr>
              <w:t>(100)</w:t>
            </w:r>
          </w:p>
        </w:tc>
      </w:tr>
    </w:tbl>
    <w:p>
      <w:pPr>
        <w:pStyle w:val="BodyText"/>
        <w:spacing w:line="321" w:lineRule="exact"/>
        <w:ind w:left="191"/>
      </w:pPr>
      <w:r>
        <w:rPr>
          <w:rFonts w:ascii="Arial"/>
          <w:b/>
        </w:rPr>
        <w:t>Key:</w:t>
      </w:r>
      <w:r>
        <w:rPr>
          <w:rFonts w:ascii="Arial"/>
          <w:b/>
          <w:spacing w:val="-1"/>
        </w:rPr>
        <w:t> </w:t>
      </w:r>
      <w:r>
        <w:rPr/>
        <w:t>Sample</w:t>
      </w:r>
      <w:r>
        <w:rPr>
          <w:spacing w:val="-3"/>
        </w:rPr>
        <w:t> </w:t>
      </w:r>
      <w:r>
        <w:rPr/>
        <w:t>Population</w:t>
      </w:r>
      <w:r>
        <w:rPr>
          <w:spacing w:val="-3"/>
        </w:rPr>
        <w:t> </w:t>
      </w:r>
      <w:r>
        <w:rPr/>
        <w:t>of</w:t>
      </w:r>
      <w:r>
        <w:rPr>
          <w:spacing w:val="-2"/>
        </w:rPr>
        <w:t> </w:t>
      </w:r>
      <w:r>
        <w:rPr/>
        <w:t>student</w:t>
      </w:r>
      <w:r>
        <w:rPr>
          <w:spacing w:val="-3"/>
        </w:rPr>
        <w:t> </w:t>
      </w:r>
      <w:r>
        <w:rPr/>
        <w:t>=</w:t>
      </w:r>
      <w:r>
        <w:rPr>
          <w:spacing w:val="-1"/>
        </w:rPr>
        <w:t> </w:t>
      </w:r>
      <w:r>
        <w:rPr>
          <w:u w:val="single"/>
        </w:rPr>
        <w:t>No.</w:t>
      </w:r>
      <w:r>
        <w:rPr>
          <w:spacing w:val="-2"/>
          <w:u w:val="single"/>
        </w:rPr>
        <w:t> </w:t>
      </w:r>
      <w:r>
        <w:rPr>
          <w:u w:val="single"/>
        </w:rPr>
        <w:t>of</w:t>
      </w:r>
      <w:r>
        <w:rPr>
          <w:spacing w:val="-3"/>
          <w:u w:val="single"/>
        </w:rPr>
        <w:t> </w:t>
      </w:r>
      <w:r>
        <w:rPr>
          <w:u w:val="single"/>
        </w:rPr>
        <w:t>Student</w:t>
      </w:r>
      <w:r>
        <w:rPr>
          <w:spacing w:val="-7"/>
          <w:u w:val="single"/>
        </w:rPr>
        <w:t> </w:t>
      </w:r>
      <w:r>
        <w:rPr>
          <w:u w:val="single"/>
        </w:rPr>
        <w:t>in</w:t>
      </w:r>
      <w:r>
        <w:rPr>
          <w:spacing w:val="-2"/>
          <w:u w:val="single"/>
        </w:rPr>
        <w:t> </w:t>
      </w:r>
      <w:r>
        <w:rPr>
          <w:u w:val="single"/>
        </w:rPr>
        <w:t>Universities</w:t>
      </w:r>
      <w:r>
        <w:rPr>
          <w:spacing w:val="-1"/>
        </w:rPr>
        <w:t> </w:t>
      </w:r>
      <w:r>
        <w:rPr>
          <w:sz w:val="28"/>
        </w:rPr>
        <w:t>x</w:t>
      </w:r>
      <w:r>
        <w:rPr>
          <w:spacing w:val="-10"/>
          <w:sz w:val="28"/>
        </w:rPr>
        <w:t> </w:t>
      </w:r>
      <w:r>
        <w:rPr/>
        <w:t>Total</w:t>
      </w:r>
      <w:r>
        <w:rPr>
          <w:spacing w:val="1"/>
        </w:rPr>
        <w:t> </w:t>
      </w:r>
      <w:r>
        <w:rPr/>
        <w:t>Sample</w:t>
      </w:r>
      <w:r>
        <w:rPr>
          <w:spacing w:val="-2"/>
        </w:rPr>
        <w:t> </w:t>
      </w:r>
      <w:r>
        <w:rPr/>
        <w:t>e.g.</w:t>
      </w:r>
      <w:r>
        <w:rPr>
          <w:spacing w:val="-3"/>
        </w:rPr>
        <w:t> </w:t>
      </w:r>
      <w:r>
        <w:rPr/>
        <w:t>A.B.U</w:t>
      </w:r>
      <w:r>
        <w:rPr>
          <w:spacing w:val="-4"/>
        </w:rPr>
        <w:t> </w:t>
      </w:r>
      <w:r>
        <w:rPr/>
        <w:t>=</w:t>
      </w:r>
      <w:r>
        <w:rPr>
          <w:spacing w:val="-1"/>
        </w:rPr>
        <w:t> </w:t>
      </w:r>
      <w:r>
        <w:rPr>
          <w:u w:val="single"/>
        </w:rPr>
        <w:t>28,422</w:t>
      </w:r>
      <w:r>
        <w:rPr>
          <w:spacing w:val="-1"/>
        </w:rPr>
        <w:t> </w:t>
      </w:r>
      <w:r>
        <w:rPr>
          <w:sz w:val="28"/>
        </w:rPr>
        <w:t>x</w:t>
      </w:r>
      <w:r>
        <w:rPr>
          <w:spacing w:val="-10"/>
          <w:sz w:val="28"/>
        </w:rPr>
        <w:t> </w:t>
      </w:r>
      <w:r>
        <w:rPr/>
        <w:t>384</w:t>
      </w:r>
      <w:r>
        <w:rPr>
          <w:spacing w:val="-3"/>
        </w:rPr>
        <w:t> </w:t>
      </w:r>
      <w:r>
        <w:rPr/>
        <w:t>=</w:t>
      </w:r>
      <w:r>
        <w:rPr>
          <w:spacing w:val="-3"/>
        </w:rPr>
        <w:t> </w:t>
      </w:r>
      <w:r>
        <w:rPr>
          <w:spacing w:val="-2"/>
        </w:rPr>
        <w:t>99.42</w:t>
      </w:r>
    </w:p>
    <w:p>
      <w:pPr>
        <w:pStyle w:val="BodyText"/>
        <w:tabs>
          <w:tab w:pos="10339" w:val="left" w:leader="none"/>
        </w:tabs>
        <w:spacing w:line="275" w:lineRule="exact"/>
        <w:ind w:left="4459"/>
      </w:pPr>
      <w:r>
        <w:rPr/>
        <w:t>Total</w:t>
      </w:r>
      <w:r>
        <w:rPr>
          <w:spacing w:val="3"/>
        </w:rPr>
        <w:t> </w:t>
      </w:r>
      <w:r>
        <w:rPr/>
        <w:t>No.</w:t>
      </w:r>
      <w:r>
        <w:rPr>
          <w:spacing w:val="-4"/>
        </w:rPr>
        <w:t> </w:t>
      </w:r>
      <w:r>
        <w:rPr/>
        <w:t>in</w:t>
      </w:r>
      <w:r>
        <w:rPr>
          <w:spacing w:val="-4"/>
        </w:rPr>
        <w:t> </w:t>
      </w:r>
      <w:r>
        <w:rPr>
          <w:spacing w:val="-2"/>
        </w:rPr>
        <w:t>Universities</w:t>
      </w:r>
      <w:r>
        <w:rPr/>
        <w:tab/>
      </w:r>
      <w:r>
        <w:rPr>
          <w:spacing w:val="-2"/>
        </w:rPr>
        <w:t>109,774</w:t>
      </w:r>
    </w:p>
    <w:p>
      <w:pPr>
        <w:pStyle w:val="Heading2"/>
        <w:spacing w:before="272"/>
        <w:ind w:left="191"/>
      </w:pPr>
      <w:r>
        <w:rPr/>
        <w:t>Table</w:t>
      </w:r>
      <w:r>
        <w:rPr>
          <w:spacing w:val="-5"/>
        </w:rPr>
        <w:t> </w:t>
      </w:r>
      <w:r>
        <w:rPr/>
        <w:t>3.4.3:</w:t>
      </w:r>
      <w:r>
        <w:rPr>
          <w:spacing w:val="-5"/>
        </w:rPr>
        <w:t> </w:t>
      </w:r>
      <w:r>
        <w:rPr/>
        <w:t>Number</w:t>
      </w:r>
      <w:r>
        <w:rPr>
          <w:spacing w:val="-7"/>
        </w:rPr>
        <w:t> </w:t>
      </w:r>
      <w:r>
        <w:rPr/>
        <w:t>and</w:t>
      </w:r>
      <w:r>
        <w:rPr>
          <w:spacing w:val="-6"/>
        </w:rPr>
        <w:t> </w:t>
      </w:r>
      <w:r>
        <w:rPr/>
        <w:t>sample</w:t>
      </w:r>
      <w:r>
        <w:rPr>
          <w:spacing w:val="-5"/>
        </w:rPr>
        <w:t> </w:t>
      </w:r>
      <w:r>
        <w:rPr/>
        <w:t>size</w:t>
      </w:r>
      <w:r>
        <w:rPr>
          <w:spacing w:val="-4"/>
        </w:rPr>
        <w:t> </w:t>
      </w:r>
      <w:r>
        <w:rPr/>
        <w:t>of</w:t>
      </w:r>
      <w:r>
        <w:rPr>
          <w:spacing w:val="-6"/>
        </w:rPr>
        <w:t> </w:t>
      </w:r>
      <w:r>
        <w:rPr/>
        <w:t>service</w:t>
      </w:r>
      <w:r>
        <w:rPr>
          <w:spacing w:val="-10"/>
        </w:rPr>
        <w:t> </w:t>
      </w:r>
      <w:r>
        <w:rPr/>
        <w:t>staff</w:t>
      </w:r>
      <w:r>
        <w:rPr>
          <w:spacing w:val="-9"/>
        </w:rPr>
        <w:t> </w:t>
      </w:r>
      <w:r>
        <w:rPr/>
        <w:t>in</w:t>
      </w:r>
      <w:r>
        <w:rPr>
          <w:spacing w:val="-6"/>
        </w:rPr>
        <w:t> </w:t>
      </w:r>
      <w:r>
        <w:rPr/>
        <w:t>the</w:t>
      </w:r>
      <w:r>
        <w:rPr>
          <w:spacing w:val="-9"/>
        </w:rPr>
        <w:t> </w:t>
      </w:r>
      <w:r>
        <w:rPr/>
        <w:t>sample</w:t>
      </w:r>
      <w:r>
        <w:rPr>
          <w:spacing w:val="-6"/>
        </w:rPr>
        <w:t> </w:t>
      </w:r>
      <w:r>
        <w:rPr>
          <w:spacing w:val="-2"/>
        </w:rPr>
        <w:t>universities</w:t>
      </w:r>
    </w:p>
    <w:p>
      <w:pPr>
        <w:pStyle w:val="BodyText"/>
        <w:spacing w:before="56"/>
        <w:rPr>
          <w:rFonts w:ascii="Arial"/>
          <w:b/>
          <w:sz w:val="20"/>
        </w:rPr>
      </w:pPr>
    </w:p>
    <w:tbl>
      <w:tblPr>
        <w:tblW w:w="0" w:type="auto"/>
        <w:jc w:val="left"/>
        <w:tblInd w:w="1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12"/>
        <w:gridCol w:w="2040"/>
        <w:gridCol w:w="3693"/>
        <w:gridCol w:w="1456"/>
      </w:tblGrid>
      <w:tr>
        <w:trPr>
          <w:trHeight w:val="551" w:hRule="atLeast"/>
        </w:trPr>
        <w:tc>
          <w:tcPr>
            <w:tcW w:w="5412" w:type="dxa"/>
            <w:tcBorders>
              <w:top w:val="single" w:sz="4" w:space="0" w:color="000000"/>
              <w:left w:val="single" w:sz="4" w:space="0" w:color="000000"/>
              <w:bottom w:val="single" w:sz="4" w:space="0" w:color="000000"/>
            </w:tcBorders>
          </w:tcPr>
          <w:p>
            <w:pPr>
              <w:pStyle w:val="TableParagraph"/>
              <w:tabs>
                <w:tab w:pos="2044" w:val="left" w:leader="none"/>
              </w:tabs>
              <w:spacing w:line="271" w:lineRule="exact"/>
              <w:ind w:left="148"/>
              <w:rPr>
                <w:sz w:val="24"/>
              </w:rPr>
            </w:pPr>
            <w:r>
              <w:rPr>
                <w:spacing w:val="-4"/>
                <w:sz w:val="24"/>
              </w:rPr>
              <w:t>S/No.</w:t>
            </w:r>
            <w:r>
              <w:rPr>
                <w:sz w:val="24"/>
              </w:rPr>
              <w:tab/>
              <w:t>Name</w:t>
            </w:r>
            <w:r>
              <w:rPr>
                <w:spacing w:val="-3"/>
                <w:sz w:val="24"/>
              </w:rPr>
              <w:t> </w:t>
            </w:r>
            <w:r>
              <w:rPr>
                <w:sz w:val="24"/>
              </w:rPr>
              <w:t>of</w:t>
            </w:r>
            <w:r>
              <w:rPr>
                <w:spacing w:val="-2"/>
                <w:sz w:val="24"/>
              </w:rPr>
              <w:t> University</w:t>
            </w:r>
          </w:p>
        </w:tc>
        <w:tc>
          <w:tcPr>
            <w:tcW w:w="2040" w:type="dxa"/>
            <w:tcBorders>
              <w:top w:val="single" w:sz="4" w:space="0" w:color="000000"/>
              <w:bottom w:val="single" w:sz="4" w:space="0" w:color="000000"/>
            </w:tcBorders>
          </w:tcPr>
          <w:p>
            <w:pPr>
              <w:pStyle w:val="TableParagraph"/>
              <w:spacing w:line="274" w:lineRule="exact"/>
              <w:ind w:left="415" w:hanging="116"/>
              <w:rPr>
                <w:sz w:val="24"/>
              </w:rPr>
            </w:pPr>
            <w:r>
              <w:rPr>
                <w:sz w:val="24"/>
              </w:rPr>
              <w:t>Service</w:t>
            </w:r>
            <w:r>
              <w:rPr>
                <w:spacing w:val="-17"/>
                <w:sz w:val="24"/>
              </w:rPr>
              <w:t> </w:t>
            </w:r>
            <w:r>
              <w:rPr>
                <w:sz w:val="24"/>
              </w:rPr>
              <w:t>Staff </w:t>
            </w:r>
            <w:r>
              <w:rPr>
                <w:spacing w:val="-2"/>
                <w:sz w:val="24"/>
              </w:rPr>
              <w:t>Population</w:t>
            </w:r>
          </w:p>
        </w:tc>
        <w:tc>
          <w:tcPr>
            <w:tcW w:w="3693" w:type="dxa"/>
            <w:tcBorders>
              <w:top w:val="single" w:sz="4" w:space="0" w:color="000000"/>
              <w:bottom w:val="single" w:sz="4" w:space="0" w:color="000000"/>
            </w:tcBorders>
          </w:tcPr>
          <w:p>
            <w:pPr>
              <w:pStyle w:val="TableParagraph"/>
              <w:spacing w:line="274" w:lineRule="exact"/>
              <w:ind w:left="1149" w:hanging="764"/>
              <w:rPr>
                <w:sz w:val="24"/>
              </w:rPr>
            </w:pPr>
            <w:r>
              <w:rPr>
                <w:sz w:val="24"/>
              </w:rPr>
              <w:t>Service</w:t>
            </w:r>
            <w:r>
              <w:rPr>
                <w:spacing w:val="-17"/>
                <w:sz w:val="24"/>
              </w:rPr>
              <w:t> </w:t>
            </w:r>
            <w:r>
              <w:rPr>
                <w:sz w:val="24"/>
              </w:rPr>
              <w:t>Staff</w:t>
            </w:r>
            <w:r>
              <w:rPr>
                <w:spacing w:val="-17"/>
                <w:sz w:val="24"/>
              </w:rPr>
              <w:t> </w:t>
            </w:r>
            <w:r>
              <w:rPr>
                <w:sz w:val="24"/>
              </w:rPr>
              <w:t>Proportionate Sample Size</w:t>
            </w:r>
          </w:p>
        </w:tc>
        <w:tc>
          <w:tcPr>
            <w:tcW w:w="1456" w:type="dxa"/>
            <w:tcBorders>
              <w:top w:val="single" w:sz="4" w:space="0" w:color="000000"/>
              <w:bottom w:val="single" w:sz="4" w:space="0" w:color="000000"/>
              <w:right w:val="single" w:sz="4" w:space="0" w:color="000000"/>
            </w:tcBorders>
          </w:tcPr>
          <w:p>
            <w:pPr>
              <w:pStyle w:val="TableParagraph"/>
              <w:spacing w:line="271" w:lineRule="exact"/>
              <w:ind w:left="3" w:right="152"/>
              <w:jc w:val="center"/>
              <w:rPr>
                <w:sz w:val="24"/>
              </w:rPr>
            </w:pPr>
            <w:r>
              <w:rPr>
                <w:spacing w:val="-10"/>
                <w:sz w:val="24"/>
              </w:rPr>
              <w:t>%</w:t>
            </w:r>
          </w:p>
        </w:tc>
      </w:tr>
      <w:tr>
        <w:trPr>
          <w:trHeight w:val="343" w:hRule="atLeast"/>
        </w:trPr>
        <w:tc>
          <w:tcPr>
            <w:tcW w:w="5412" w:type="dxa"/>
            <w:tcBorders>
              <w:top w:val="single" w:sz="4" w:space="0" w:color="000000"/>
              <w:left w:val="single" w:sz="4" w:space="0" w:color="000000"/>
            </w:tcBorders>
          </w:tcPr>
          <w:p>
            <w:pPr>
              <w:pStyle w:val="TableParagraph"/>
              <w:tabs>
                <w:tab w:pos="1007" w:val="left" w:leader="none"/>
              </w:tabs>
              <w:spacing w:line="271" w:lineRule="exact"/>
              <w:ind w:left="350"/>
              <w:rPr>
                <w:sz w:val="24"/>
              </w:rPr>
            </w:pPr>
            <w:r>
              <w:rPr>
                <w:spacing w:val="-5"/>
                <w:sz w:val="24"/>
              </w:rPr>
              <w:t>1.</w:t>
            </w:r>
            <w:r>
              <w:rPr>
                <w:sz w:val="24"/>
              </w:rPr>
              <w:tab/>
              <w:t>Ahmadu</w:t>
            </w:r>
            <w:r>
              <w:rPr>
                <w:spacing w:val="-5"/>
                <w:sz w:val="24"/>
              </w:rPr>
              <w:t> </w:t>
            </w:r>
            <w:r>
              <w:rPr>
                <w:sz w:val="24"/>
              </w:rPr>
              <w:t>Bello</w:t>
            </w:r>
            <w:r>
              <w:rPr>
                <w:spacing w:val="-4"/>
                <w:sz w:val="24"/>
              </w:rPr>
              <w:t> </w:t>
            </w:r>
            <w:r>
              <w:rPr>
                <w:sz w:val="24"/>
              </w:rPr>
              <w:t>University,</w:t>
            </w:r>
            <w:r>
              <w:rPr>
                <w:spacing w:val="-4"/>
                <w:sz w:val="24"/>
              </w:rPr>
              <w:t> Zaria</w:t>
            </w:r>
          </w:p>
        </w:tc>
        <w:tc>
          <w:tcPr>
            <w:tcW w:w="2040" w:type="dxa"/>
            <w:tcBorders>
              <w:top w:val="single" w:sz="4" w:space="0" w:color="000000"/>
            </w:tcBorders>
          </w:tcPr>
          <w:p>
            <w:pPr>
              <w:pStyle w:val="TableParagraph"/>
              <w:spacing w:line="271" w:lineRule="exact"/>
              <w:ind w:right="755"/>
              <w:jc w:val="right"/>
              <w:rPr>
                <w:sz w:val="24"/>
              </w:rPr>
            </w:pPr>
            <w:r>
              <w:rPr>
                <w:spacing w:val="-2"/>
                <w:sz w:val="24"/>
              </w:rPr>
              <w:t>1,256</w:t>
            </w:r>
          </w:p>
        </w:tc>
        <w:tc>
          <w:tcPr>
            <w:tcW w:w="3693" w:type="dxa"/>
            <w:tcBorders>
              <w:top w:val="single" w:sz="4" w:space="0" w:color="000000"/>
            </w:tcBorders>
          </w:tcPr>
          <w:p>
            <w:pPr>
              <w:pStyle w:val="TableParagraph"/>
              <w:spacing w:line="271" w:lineRule="exact"/>
              <w:ind w:right="1798"/>
              <w:jc w:val="right"/>
              <w:rPr>
                <w:sz w:val="24"/>
              </w:rPr>
            </w:pPr>
            <w:r>
              <w:rPr>
                <w:spacing w:val="-5"/>
                <w:sz w:val="24"/>
              </w:rPr>
              <w:t>128</w:t>
            </w:r>
          </w:p>
        </w:tc>
        <w:tc>
          <w:tcPr>
            <w:tcW w:w="1456" w:type="dxa"/>
            <w:tcBorders>
              <w:top w:val="single" w:sz="4" w:space="0" w:color="000000"/>
              <w:right w:val="single" w:sz="4" w:space="0" w:color="000000"/>
            </w:tcBorders>
          </w:tcPr>
          <w:p>
            <w:pPr>
              <w:pStyle w:val="TableParagraph"/>
              <w:spacing w:line="271" w:lineRule="exact"/>
              <w:ind w:right="152"/>
              <w:jc w:val="center"/>
              <w:rPr>
                <w:sz w:val="24"/>
              </w:rPr>
            </w:pPr>
            <w:r>
              <w:rPr>
                <w:spacing w:val="-5"/>
                <w:sz w:val="24"/>
              </w:rPr>
              <w:t>37</w:t>
            </w:r>
          </w:p>
        </w:tc>
      </w:tr>
      <w:tr>
        <w:trPr>
          <w:trHeight w:val="412" w:hRule="atLeast"/>
        </w:trPr>
        <w:tc>
          <w:tcPr>
            <w:tcW w:w="5412" w:type="dxa"/>
            <w:tcBorders>
              <w:left w:val="single" w:sz="4" w:space="0" w:color="000000"/>
            </w:tcBorders>
          </w:tcPr>
          <w:p>
            <w:pPr>
              <w:pStyle w:val="TableParagraph"/>
              <w:tabs>
                <w:tab w:pos="1007" w:val="left" w:leader="none"/>
              </w:tabs>
              <w:spacing w:before="64"/>
              <w:ind w:left="350"/>
              <w:rPr>
                <w:sz w:val="24"/>
              </w:rPr>
            </w:pPr>
            <w:r>
              <w:rPr>
                <w:spacing w:val="-5"/>
                <w:sz w:val="24"/>
              </w:rPr>
              <w:t>2.</w:t>
            </w:r>
            <w:r>
              <w:rPr>
                <w:sz w:val="24"/>
              </w:rPr>
              <w:tab/>
              <w:t>Bayero</w:t>
            </w:r>
            <w:r>
              <w:rPr>
                <w:spacing w:val="-3"/>
                <w:sz w:val="24"/>
              </w:rPr>
              <w:t> </w:t>
            </w:r>
            <w:r>
              <w:rPr>
                <w:sz w:val="24"/>
              </w:rPr>
              <w:t>University,</w:t>
            </w:r>
            <w:r>
              <w:rPr>
                <w:spacing w:val="-2"/>
                <w:sz w:val="24"/>
              </w:rPr>
              <w:t> </w:t>
            </w:r>
            <w:r>
              <w:rPr>
                <w:spacing w:val="-4"/>
                <w:sz w:val="24"/>
              </w:rPr>
              <w:t>Kano</w:t>
            </w:r>
          </w:p>
        </w:tc>
        <w:tc>
          <w:tcPr>
            <w:tcW w:w="2040" w:type="dxa"/>
          </w:tcPr>
          <w:p>
            <w:pPr>
              <w:pStyle w:val="TableParagraph"/>
              <w:spacing w:before="64"/>
              <w:ind w:right="755"/>
              <w:jc w:val="right"/>
              <w:rPr>
                <w:sz w:val="24"/>
              </w:rPr>
            </w:pPr>
            <w:r>
              <w:rPr>
                <w:spacing w:val="-5"/>
                <w:sz w:val="24"/>
              </w:rPr>
              <w:t>500</w:t>
            </w:r>
          </w:p>
        </w:tc>
        <w:tc>
          <w:tcPr>
            <w:tcW w:w="3693" w:type="dxa"/>
          </w:tcPr>
          <w:p>
            <w:pPr>
              <w:pStyle w:val="TableParagraph"/>
              <w:spacing w:before="64"/>
              <w:ind w:right="1798"/>
              <w:jc w:val="right"/>
              <w:rPr>
                <w:sz w:val="24"/>
              </w:rPr>
            </w:pPr>
            <w:r>
              <w:rPr>
                <w:spacing w:val="-5"/>
                <w:sz w:val="24"/>
              </w:rPr>
              <w:t>51</w:t>
            </w:r>
          </w:p>
        </w:tc>
        <w:tc>
          <w:tcPr>
            <w:tcW w:w="1456" w:type="dxa"/>
            <w:tcBorders>
              <w:right w:val="single" w:sz="4" w:space="0" w:color="000000"/>
            </w:tcBorders>
          </w:tcPr>
          <w:p>
            <w:pPr>
              <w:pStyle w:val="TableParagraph"/>
              <w:spacing w:before="64"/>
              <w:ind w:right="152"/>
              <w:jc w:val="center"/>
              <w:rPr>
                <w:sz w:val="24"/>
              </w:rPr>
            </w:pPr>
            <w:r>
              <w:rPr>
                <w:spacing w:val="-5"/>
                <w:sz w:val="24"/>
              </w:rPr>
              <w:t>15</w:t>
            </w:r>
          </w:p>
        </w:tc>
      </w:tr>
      <w:tr>
        <w:trPr>
          <w:trHeight w:val="415" w:hRule="atLeast"/>
        </w:trPr>
        <w:tc>
          <w:tcPr>
            <w:tcW w:w="5412" w:type="dxa"/>
            <w:tcBorders>
              <w:left w:val="single" w:sz="4" w:space="0" w:color="000000"/>
            </w:tcBorders>
          </w:tcPr>
          <w:p>
            <w:pPr>
              <w:pStyle w:val="TableParagraph"/>
              <w:tabs>
                <w:tab w:pos="1007" w:val="left" w:leader="none"/>
              </w:tabs>
              <w:spacing w:before="64"/>
              <w:ind w:left="350"/>
              <w:rPr>
                <w:sz w:val="24"/>
              </w:rPr>
            </w:pPr>
            <w:r>
              <w:rPr>
                <w:spacing w:val="-5"/>
                <w:sz w:val="24"/>
              </w:rPr>
              <w:t>3.</w:t>
            </w:r>
            <w:r>
              <w:rPr>
                <w:sz w:val="24"/>
              </w:rPr>
              <w:tab/>
              <w:t>University</w:t>
            </w:r>
            <w:r>
              <w:rPr>
                <w:spacing w:val="-2"/>
                <w:sz w:val="24"/>
              </w:rPr>
              <w:t> </w:t>
            </w:r>
            <w:r>
              <w:rPr>
                <w:sz w:val="24"/>
              </w:rPr>
              <w:t>of</w:t>
            </w:r>
            <w:r>
              <w:rPr>
                <w:spacing w:val="-2"/>
                <w:sz w:val="24"/>
              </w:rPr>
              <w:t> </w:t>
            </w:r>
            <w:r>
              <w:rPr>
                <w:spacing w:val="-5"/>
                <w:sz w:val="24"/>
              </w:rPr>
              <w:t>Jos</w:t>
            </w:r>
          </w:p>
        </w:tc>
        <w:tc>
          <w:tcPr>
            <w:tcW w:w="2040" w:type="dxa"/>
          </w:tcPr>
          <w:p>
            <w:pPr>
              <w:pStyle w:val="TableParagraph"/>
              <w:spacing w:before="64"/>
              <w:ind w:right="755"/>
              <w:jc w:val="right"/>
              <w:rPr>
                <w:sz w:val="24"/>
              </w:rPr>
            </w:pPr>
            <w:r>
              <w:rPr>
                <w:spacing w:val="-5"/>
                <w:sz w:val="24"/>
              </w:rPr>
              <w:t>662</w:t>
            </w:r>
          </w:p>
        </w:tc>
        <w:tc>
          <w:tcPr>
            <w:tcW w:w="3693" w:type="dxa"/>
          </w:tcPr>
          <w:p>
            <w:pPr>
              <w:pStyle w:val="TableParagraph"/>
              <w:spacing w:before="64"/>
              <w:ind w:right="1798"/>
              <w:jc w:val="right"/>
              <w:rPr>
                <w:sz w:val="24"/>
              </w:rPr>
            </w:pPr>
            <w:r>
              <w:rPr>
                <w:spacing w:val="-5"/>
                <w:sz w:val="24"/>
              </w:rPr>
              <w:t>68</w:t>
            </w:r>
          </w:p>
        </w:tc>
        <w:tc>
          <w:tcPr>
            <w:tcW w:w="1456" w:type="dxa"/>
            <w:tcBorders>
              <w:right w:val="single" w:sz="4" w:space="0" w:color="000000"/>
            </w:tcBorders>
          </w:tcPr>
          <w:p>
            <w:pPr>
              <w:pStyle w:val="TableParagraph"/>
              <w:spacing w:before="64"/>
              <w:ind w:right="152"/>
              <w:jc w:val="center"/>
              <w:rPr>
                <w:sz w:val="24"/>
              </w:rPr>
            </w:pPr>
            <w:r>
              <w:rPr>
                <w:spacing w:val="-5"/>
                <w:sz w:val="24"/>
              </w:rPr>
              <w:t>19</w:t>
            </w:r>
          </w:p>
        </w:tc>
      </w:tr>
      <w:tr>
        <w:trPr>
          <w:trHeight w:val="415" w:hRule="atLeast"/>
        </w:trPr>
        <w:tc>
          <w:tcPr>
            <w:tcW w:w="5412" w:type="dxa"/>
            <w:tcBorders>
              <w:left w:val="single" w:sz="4" w:space="0" w:color="000000"/>
            </w:tcBorders>
          </w:tcPr>
          <w:p>
            <w:pPr>
              <w:pStyle w:val="TableParagraph"/>
              <w:tabs>
                <w:tab w:pos="1007" w:val="left" w:leader="none"/>
              </w:tabs>
              <w:spacing w:before="67"/>
              <w:ind w:left="350"/>
              <w:rPr>
                <w:sz w:val="24"/>
              </w:rPr>
            </w:pPr>
            <w:r>
              <w:rPr>
                <w:spacing w:val="-5"/>
                <w:sz w:val="24"/>
              </w:rPr>
              <w:t>4.</w:t>
            </w:r>
            <w:r>
              <w:rPr>
                <w:sz w:val="24"/>
              </w:rPr>
              <w:tab/>
              <w:t>University</w:t>
            </w:r>
            <w:r>
              <w:rPr>
                <w:spacing w:val="-2"/>
                <w:sz w:val="24"/>
              </w:rPr>
              <w:t> </w:t>
            </w:r>
            <w:r>
              <w:rPr>
                <w:sz w:val="24"/>
              </w:rPr>
              <w:t>of</w:t>
            </w:r>
            <w:r>
              <w:rPr>
                <w:spacing w:val="-2"/>
                <w:sz w:val="24"/>
              </w:rPr>
              <w:t> Maiduguri</w:t>
            </w:r>
          </w:p>
        </w:tc>
        <w:tc>
          <w:tcPr>
            <w:tcW w:w="2040" w:type="dxa"/>
          </w:tcPr>
          <w:p>
            <w:pPr>
              <w:pStyle w:val="TableParagraph"/>
              <w:spacing w:before="67"/>
              <w:ind w:right="755"/>
              <w:jc w:val="right"/>
              <w:rPr>
                <w:sz w:val="24"/>
              </w:rPr>
            </w:pPr>
            <w:r>
              <w:rPr>
                <w:spacing w:val="-5"/>
                <w:sz w:val="24"/>
              </w:rPr>
              <w:t>504</w:t>
            </w:r>
          </w:p>
        </w:tc>
        <w:tc>
          <w:tcPr>
            <w:tcW w:w="3693" w:type="dxa"/>
          </w:tcPr>
          <w:p>
            <w:pPr>
              <w:pStyle w:val="TableParagraph"/>
              <w:spacing w:before="67"/>
              <w:ind w:right="1798"/>
              <w:jc w:val="right"/>
              <w:rPr>
                <w:sz w:val="24"/>
              </w:rPr>
            </w:pPr>
            <w:r>
              <w:rPr>
                <w:spacing w:val="-5"/>
                <w:sz w:val="24"/>
              </w:rPr>
              <w:t>51</w:t>
            </w:r>
          </w:p>
        </w:tc>
        <w:tc>
          <w:tcPr>
            <w:tcW w:w="1456" w:type="dxa"/>
            <w:tcBorders>
              <w:right w:val="single" w:sz="4" w:space="0" w:color="000000"/>
            </w:tcBorders>
          </w:tcPr>
          <w:p>
            <w:pPr>
              <w:pStyle w:val="TableParagraph"/>
              <w:spacing w:before="67"/>
              <w:ind w:right="152"/>
              <w:jc w:val="center"/>
              <w:rPr>
                <w:sz w:val="24"/>
              </w:rPr>
            </w:pPr>
            <w:r>
              <w:rPr>
                <w:spacing w:val="-5"/>
                <w:sz w:val="24"/>
              </w:rPr>
              <w:t>15</w:t>
            </w:r>
          </w:p>
        </w:tc>
      </w:tr>
      <w:tr>
        <w:trPr>
          <w:trHeight w:val="412" w:hRule="atLeast"/>
        </w:trPr>
        <w:tc>
          <w:tcPr>
            <w:tcW w:w="5412" w:type="dxa"/>
            <w:tcBorders>
              <w:left w:val="single" w:sz="4" w:space="0" w:color="000000"/>
            </w:tcBorders>
          </w:tcPr>
          <w:p>
            <w:pPr>
              <w:pStyle w:val="TableParagraph"/>
              <w:tabs>
                <w:tab w:pos="657" w:val="left" w:leader="none"/>
                <w:tab w:pos="1862" w:val="left" w:leader="none"/>
                <w:tab w:pos="2610" w:val="left" w:leader="none"/>
                <w:tab w:pos="3647" w:val="left" w:leader="none"/>
              </w:tabs>
              <w:spacing w:before="64"/>
              <w:ind w:right="289"/>
              <w:jc w:val="right"/>
              <w:rPr>
                <w:sz w:val="24"/>
              </w:rPr>
            </w:pPr>
            <w:r>
              <w:rPr>
                <w:spacing w:val="-5"/>
                <w:sz w:val="24"/>
              </w:rPr>
              <w:t>5.</w:t>
            </w:r>
            <w:r>
              <w:rPr>
                <w:sz w:val="24"/>
              </w:rPr>
              <w:tab/>
            </w:r>
            <w:r>
              <w:rPr>
                <w:spacing w:val="-2"/>
                <w:sz w:val="24"/>
              </w:rPr>
              <w:t>Usmanu</w:t>
            </w:r>
            <w:r>
              <w:rPr>
                <w:sz w:val="24"/>
              </w:rPr>
              <w:tab/>
            </w:r>
            <w:r>
              <w:rPr>
                <w:spacing w:val="-5"/>
                <w:sz w:val="24"/>
              </w:rPr>
              <w:t>Dan</w:t>
            </w:r>
            <w:r>
              <w:rPr>
                <w:sz w:val="24"/>
              </w:rPr>
              <w:tab/>
            </w:r>
            <w:r>
              <w:rPr>
                <w:spacing w:val="-2"/>
                <w:sz w:val="24"/>
              </w:rPr>
              <w:t>Fodiyo</w:t>
            </w:r>
            <w:r>
              <w:rPr>
                <w:sz w:val="24"/>
              </w:rPr>
              <w:tab/>
            </w:r>
            <w:r>
              <w:rPr>
                <w:spacing w:val="-2"/>
                <w:sz w:val="24"/>
              </w:rPr>
              <w:t>University,</w:t>
            </w:r>
          </w:p>
        </w:tc>
        <w:tc>
          <w:tcPr>
            <w:tcW w:w="2040" w:type="dxa"/>
          </w:tcPr>
          <w:p>
            <w:pPr>
              <w:pStyle w:val="TableParagraph"/>
              <w:spacing w:before="64"/>
              <w:ind w:right="755"/>
              <w:jc w:val="right"/>
              <w:rPr>
                <w:sz w:val="24"/>
              </w:rPr>
            </w:pPr>
            <w:r>
              <w:rPr>
                <w:spacing w:val="-5"/>
                <w:sz w:val="24"/>
              </w:rPr>
              <w:t>467</w:t>
            </w:r>
          </w:p>
        </w:tc>
        <w:tc>
          <w:tcPr>
            <w:tcW w:w="3693" w:type="dxa"/>
          </w:tcPr>
          <w:p>
            <w:pPr>
              <w:pStyle w:val="TableParagraph"/>
              <w:spacing w:before="64"/>
              <w:ind w:right="1798"/>
              <w:jc w:val="right"/>
              <w:rPr>
                <w:sz w:val="24"/>
              </w:rPr>
            </w:pPr>
            <w:r>
              <w:rPr>
                <w:spacing w:val="-5"/>
                <w:sz w:val="24"/>
              </w:rPr>
              <w:t>48</w:t>
            </w:r>
          </w:p>
        </w:tc>
        <w:tc>
          <w:tcPr>
            <w:tcW w:w="1456" w:type="dxa"/>
            <w:tcBorders>
              <w:right w:val="single" w:sz="4" w:space="0" w:color="000000"/>
            </w:tcBorders>
          </w:tcPr>
          <w:p>
            <w:pPr>
              <w:pStyle w:val="TableParagraph"/>
              <w:spacing w:before="64"/>
              <w:ind w:right="152"/>
              <w:jc w:val="center"/>
              <w:rPr>
                <w:sz w:val="24"/>
              </w:rPr>
            </w:pPr>
            <w:r>
              <w:rPr>
                <w:spacing w:val="-5"/>
                <w:sz w:val="24"/>
              </w:rPr>
              <w:t>14</w:t>
            </w:r>
          </w:p>
        </w:tc>
      </w:tr>
      <w:tr>
        <w:trPr>
          <w:trHeight w:val="481" w:hRule="atLeast"/>
        </w:trPr>
        <w:tc>
          <w:tcPr>
            <w:tcW w:w="5412" w:type="dxa"/>
            <w:tcBorders>
              <w:left w:val="single" w:sz="4" w:space="0" w:color="000000"/>
              <w:bottom w:val="single" w:sz="4" w:space="0" w:color="000000"/>
            </w:tcBorders>
          </w:tcPr>
          <w:p>
            <w:pPr>
              <w:pStyle w:val="TableParagraph"/>
              <w:spacing w:before="64"/>
              <w:ind w:left="1007"/>
              <w:rPr>
                <w:sz w:val="24"/>
              </w:rPr>
            </w:pPr>
            <w:r>
              <w:rPr>
                <w:spacing w:val="-2"/>
                <w:sz w:val="24"/>
              </w:rPr>
              <w:t>Sokoto</w:t>
            </w:r>
          </w:p>
        </w:tc>
        <w:tc>
          <w:tcPr>
            <w:tcW w:w="2040" w:type="dxa"/>
            <w:tcBorders>
              <w:bottom w:val="single" w:sz="4" w:space="0" w:color="000000"/>
            </w:tcBorders>
          </w:tcPr>
          <w:p>
            <w:pPr>
              <w:pStyle w:val="TableParagraph"/>
              <w:rPr>
                <w:rFonts w:ascii="Times New Roman"/>
                <w:sz w:val="24"/>
              </w:rPr>
            </w:pPr>
          </w:p>
        </w:tc>
        <w:tc>
          <w:tcPr>
            <w:tcW w:w="3693" w:type="dxa"/>
            <w:tcBorders>
              <w:bottom w:val="single" w:sz="4" w:space="0" w:color="000000"/>
            </w:tcBorders>
          </w:tcPr>
          <w:p>
            <w:pPr>
              <w:pStyle w:val="TableParagraph"/>
              <w:rPr>
                <w:rFonts w:ascii="Times New Roman"/>
                <w:sz w:val="24"/>
              </w:rPr>
            </w:pPr>
          </w:p>
        </w:tc>
        <w:tc>
          <w:tcPr>
            <w:tcW w:w="1456" w:type="dxa"/>
            <w:tcBorders>
              <w:bottom w:val="single" w:sz="4" w:space="0" w:color="000000"/>
              <w:right w:val="single" w:sz="4" w:space="0" w:color="000000"/>
            </w:tcBorders>
          </w:tcPr>
          <w:p>
            <w:pPr>
              <w:pStyle w:val="TableParagraph"/>
              <w:rPr>
                <w:rFonts w:ascii="Times New Roman"/>
                <w:sz w:val="24"/>
              </w:rPr>
            </w:pPr>
          </w:p>
        </w:tc>
      </w:tr>
      <w:tr>
        <w:trPr>
          <w:trHeight w:val="417" w:hRule="atLeast"/>
        </w:trPr>
        <w:tc>
          <w:tcPr>
            <w:tcW w:w="5412" w:type="dxa"/>
            <w:tcBorders>
              <w:top w:val="single" w:sz="4" w:space="0" w:color="000000"/>
              <w:left w:val="single" w:sz="4" w:space="0" w:color="000000"/>
              <w:bottom w:val="single" w:sz="4" w:space="0" w:color="000000"/>
            </w:tcBorders>
          </w:tcPr>
          <w:p>
            <w:pPr>
              <w:pStyle w:val="TableParagraph"/>
              <w:spacing w:line="267" w:lineRule="exact"/>
              <w:ind w:right="385"/>
              <w:jc w:val="right"/>
              <w:rPr>
                <w:rFonts w:ascii="Arial"/>
                <w:b/>
                <w:sz w:val="24"/>
              </w:rPr>
            </w:pPr>
            <w:r>
              <w:rPr>
                <w:rFonts w:ascii="Arial"/>
                <w:b/>
                <w:spacing w:val="-2"/>
                <w:sz w:val="24"/>
              </w:rPr>
              <w:t>Total</w:t>
            </w:r>
          </w:p>
        </w:tc>
        <w:tc>
          <w:tcPr>
            <w:tcW w:w="2040" w:type="dxa"/>
            <w:tcBorders>
              <w:top w:val="single" w:sz="4" w:space="0" w:color="000000"/>
              <w:bottom w:val="single" w:sz="4" w:space="0" w:color="000000"/>
            </w:tcBorders>
          </w:tcPr>
          <w:p>
            <w:pPr>
              <w:pStyle w:val="TableParagraph"/>
              <w:spacing w:line="271" w:lineRule="exact"/>
              <w:ind w:right="755"/>
              <w:jc w:val="right"/>
              <w:rPr>
                <w:sz w:val="24"/>
              </w:rPr>
            </w:pPr>
            <w:r>
              <w:rPr>
                <w:spacing w:val="-2"/>
                <w:sz w:val="24"/>
              </w:rPr>
              <w:t>3,389</w:t>
            </w:r>
          </w:p>
        </w:tc>
        <w:tc>
          <w:tcPr>
            <w:tcW w:w="3693" w:type="dxa"/>
            <w:tcBorders>
              <w:top w:val="single" w:sz="4" w:space="0" w:color="000000"/>
              <w:bottom w:val="single" w:sz="4" w:space="0" w:color="000000"/>
            </w:tcBorders>
          </w:tcPr>
          <w:p>
            <w:pPr>
              <w:pStyle w:val="TableParagraph"/>
              <w:spacing w:line="271" w:lineRule="exact"/>
              <w:ind w:right="1798"/>
              <w:jc w:val="right"/>
              <w:rPr>
                <w:sz w:val="24"/>
              </w:rPr>
            </w:pPr>
            <w:r>
              <w:rPr>
                <w:spacing w:val="-5"/>
                <w:sz w:val="24"/>
              </w:rPr>
              <w:t>346</w:t>
            </w:r>
          </w:p>
        </w:tc>
        <w:tc>
          <w:tcPr>
            <w:tcW w:w="1456" w:type="dxa"/>
            <w:tcBorders>
              <w:top w:val="single" w:sz="4" w:space="0" w:color="000000"/>
              <w:bottom w:val="single" w:sz="4" w:space="0" w:color="000000"/>
              <w:right w:val="single" w:sz="4" w:space="0" w:color="000000"/>
            </w:tcBorders>
          </w:tcPr>
          <w:p>
            <w:pPr>
              <w:pStyle w:val="TableParagraph"/>
              <w:spacing w:line="271" w:lineRule="exact"/>
              <w:ind w:right="152"/>
              <w:jc w:val="center"/>
              <w:rPr>
                <w:sz w:val="24"/>
              </w:rPr>
            </w:pPr>
            <w:r>
              <w:rPr>
                <w:spacing w:val="-5"/>
                <w:sz w:val="24"/>
              </w:rPr>
              <w:t>100</w:t>
            </w:r>
          </w:p>
        </w:tc>
      </w:tr>
    </w:tbl>
    <w:p>
      <w:pPr>
        <w:pStyle w:val="BodyText"/>
        <w:spacing w:before="14"/>
        <w:rPr>
          <w:rFonts w:ascii="Arial"/>
          <w:b/>
          <w:sz w:val="28"/>
        </w:rPr>
      </w:pPr>
    </w:p>
    <w:p>
      <w:pPr>
        <w:pStyle w:val="BodyText"/>
        <w:ind w:left="269" w:right="609"/>
        <w:jc w:val="center"/>
        <w:rPr>
          <w:rFonts w:ascii="Times New Roman"/>
        </w:rPr>
      </w:pPr>
      <w:r>
        <w:rPr>
          <w:rFonts w:ascii="Times New Roman"/>
          <w:spacing w:val="-5"/>
        </w:rPr>
        <w:t>94</w:t>
      </w:r>
    </w:p>
    <w:p>
      <w:pPr>
        <w:spacing w:after="0"/>
        <w:jc w:val="center"/>
        <w:rPr>
          <w:rFonts w:ascii="Times New Roman"/>
        </w:rPr>
        <w:sectPr>
          <w:headerReference w:type="default" r:id="rId228"/>
          <w:footerReference w:type="default" r:id="rId229"/>
          <w:pgSz w:w="15840" w:h="12240" w:orient="landscape"/>
          <w:pgMar w:header="722" w:footer="791" w:top="980" w:bottom="980" w:left="1680" w:right="1260"/>
        </w:sectPr>
      </w:pPr>
    </w:p>
    <w:p>
      <w:pPr>
        <w:pStyle w:val="BodyText"/>
        <w:spacing w:before="115"/>
        <w:rPr>
          <w:rFonts w:ascii="Times New Roman"/>
          <w:sz w:val="28"/>
        </w:rPr>
      </w:pPr>
    </w:p>
    <w:p>
      <w:pPr>
        <w:pStyle w:val="Heading2"/>
        <w:ind w:left="100"/>
      </w:pPr>
      <w:r>
        <w:rPr/>
        <mc:AlternateContent>
          <mc:Choice Requires="wps">
            <w:drawing>
              <wp:anchor distT="0" distB="0" distL="0" distR="0" allowOverlap="1" layoutInCell="1" locked="0" behindDoc="1" simplePos="0" relativeHeight="466629120">
                <wp:simplePos x="0" y="0"/>
                <wp:positionH relativeFrom="page">
                  <wp:posOffset>4667206</wp:posOffset>
                </wp:positionH>
                <wp:positionV relativeFrom="paragraph">
                  <wp:posOffset>78159</wp:posOffset>
                </wp:positionV>
                <wp:extent cx="513715" cy="198120"/>
                <wp:effectExtent l="0" t="0" r="0" b="0"/>
                <wp:wrapNone/>
                <wp:docPr id="229" name="Textbox 229"/>
                <wp:cNvGraphicFramePr>
                  <a:graphicFrameLocks/>
                </wp:cNvGraphicFramePr>
                <a:graphic>
                  <a:graphicData uri="http://schemas.microsoft.com/office/word/2010/wordprocessingShape">
                    <wps:wsp>
                      <wps:cNvPr id="229" name="Textbox 229"/>
                      <wps:cNvSpPr txBox="1"/>
                      <wps:spPr>
                        <a:xfrm>
                          <a:off x="0" y="0"/>
                          <a:ext cx="513715" cy="198120"/>
                        </a:xfrm>
                        <a:prstGeom prst="rect">
                          <a:avLst/>
                        </a:prstGeom>
                      </wps:spPr>
                      <wps:txbx>
                        <w:txbxContent>
                          <w:p>
                            <w:pPr>
                              <w:spacing w:line="311" w:lineRule="exact" w:before="0"/>
                              <w:ind w:left="0" w:right="0" w:firstLine="0"/>
                              <w:jc w:val="left"/>
                              <w:rPr>
                                <w:rFonts w:ascii="Arial"/>
                                <w:b/>
                                <w:sz w:val="28"/>
                              </w:rPr>
                            </w:pPr>
                            <w:r>
                              <w:rPr>
                                <w:rFonts w:ascii="Arial"/>
                                <w:b/>
                                <w:sz w:val="28"/>
                              </w:rPr>
                              <w:t>p</w:t>
                            </w:r>
                            <w:r>
                              <w:rPr>
                                <w:rFonts w:ascii="Arial"/>
                                <w:b/>
                                <w:spacing w:val="-5"/>
                                <w:sz w:val="28"/>
                              </w:rPr>
                              <w:t> </w:t>
                            </w:r>
                            <w:r>
                              <w:rPr>
                                <w:rFonts w:ascii="Arial"/>
                                <w:b/>
                                <w:spacing w:val="-5"/>
                                <w:sz w:val="28"/>
                              </w:rPr>
                              <w:t>Man</w:t>
                            </w:r>
                          </w:p>
                        </w:txbxContent>
                      </wps:txbx>
                      <wps:bodyPr wrap="square" lIns="0" tIns="0" rIns="0" bIns="0" rtlCol="0">
                        <a:noAutofit/>
                      </wps:bodyPr>
                    </wps:wsp>
                  </a:graphicData>
                </a:graphic>
              </wp:anchor>
            </w:drawing>
          </mc:Choice>
          <mc:Fallback>
            <w:pict>
              <v:shape style="position:absolute;margin-left:367.496582pt;margin-top:6.154258pt;width:40.450pt;height:15.6pt;mso-position-horizontal-relative:page;mso-position-vertical-relative:paragraph;z-index:-36687360" type="#_x0000_t202" id="docshape229" filled="false" stroked="false">
                <v:textbox inset="0,0,0,0">
                  <w:txbxContent>
                    <w:p>
                      <w:pPr>
                        <w:spacing w:line="311" w:lineRule="exact" w:before="0"/>
                        <w:ind w:left="0" w:right="0" w:firstLine="0"/>
                        <w:jc w:val="left"/>
                        <w:rPr>
                          <w:rFonts w:ascii="Arial"/>
                          <w:b/>
                          <w:sz w:val="28"/>
                        </w:rPr>
                      </w:pPr>
                      <w:r>
                        <w:rPr>
                          <w:rFonts w:ascii="Arial"/>
                          <w:b/>
                          <w:sz w:val="28"/>
                        </w:rPr>
                        <w:t>p</w:t>
                      </w:r>
                      <w:r>
                        <w:rPr>
                          <w:rFonts w:ascii="Arial"/>
                          <w:b/>
                          <w:spacing w:val="-5"/>
                          <w:sz w:val="28"/>
                        </w:rPr>
                        <w:t> </w:t>
                      </w:r>
                      <w:r>
                        <w:rPr>
                          <w:rFonts w:ascii="Arial"/>
                          <w:b/>
                          <w:spacing w:val="-5"/>
                          <w:sz w:val="28"/>
                        </w:rPr>
                        <w:t>Man</w:t>
                      </w:r>
                    </w:p>
                  </w:txbxContent>
                </v:textbox>
                <w10:wrap type="none"/>
              </v:shape>
            </w:pict>
          </mc:Fallback>
        </mc:AlternateContent>
      </w:r>
      <w:r>
        <w:rPr/>
        <w:t>Table</w:t>
      </w:r>
      <w:r>
        <w:rPr>
          <w:spacing w:val="-5"/>
        </w:rPr>
        <w:t> </w:t>
      </w:r>
      <w:r>
        <w:rPr/>
        <w:t>3.4:4</w:t>
      </w:r>
      <w:r>
        <w:rPr>
          <w:spacing w:val="-10"/>
        </w:rPr>
        <w:t> </w:t>
      </w:r>
      <w:r>
        <w:rPr/>
        <w:t>Number</w:t>
      </w:r>
      <w:r>
        <w:rPr>
          <w:spacing w:val="-2"/>
        </w:rPr>
        <w:t> </w:t>
      </w:r>
      <w:r>
        <w:rPr/>
        <w:t>and</w:t>
      </w:r>
      <w:r>
        <w:rPr>
          <w:spacing w:val="-5"/>
        </w:rPr>
        <w:t> </w:t>
      </w:r>
      <w:r>
        <w:rPr/>
        <w:t>sample</w:t>
      </w:r>
      <w:r>
        <w:rPr>
          <w:spacing w:val="-5"/>
        </w:rPr>
        <w:t> </w:t>
      </w:r>
      <w:r>
        <w:rPr/>
        <w:t>size</w:t>
      </w:r>
      <w:r>
        <w:rPr>
          <w:spacing w:val="-5"/>
        </w:rPr>
        <w:t> </w:t>
      </w:r>
      <w:r>
        <w:rPr/>
        <w:t>of</w:t>
      </w:r>
      <w:r>
        <w:rPr>
          <w:spacing w:val="-5"/>
        </w:rPr>
        <w:t> </w:t>
      </w:r>
      <w:r>
        <w:rPr/>
        <w:t>To</w:t>
      </w:r>
      <w:r>
        <w:rPr>
          <w:spacing w:val="10"/>
        </w:rPr>
        <w:t> </w:t>
      </w:r>
      <w:r>
        <w:rPr>
          <w:spacing w:val="19"/>
          <w:position w:val="-15"/>
        </w:rPr>
        <w:drawing>
          <wp:inline distT="0" distB="0" distL="0" distR="0">
            <wp:extent cx="457200" cy="341375"/>
            <wp:effectExtent l="0" t="0" r="0" b="0"/>
            <wp:docPr id="230" name="Image 230"/>
            <wp:cNvGraphicFramePr>
              <a:graphicFrameLocks/>
            </wp:cNvGraphicFramePr>
            <a:graphic>
              <a:graphicData uri="http://schemas.openxmlformats.org/drawingml/2006/picture">
                <pic:pic>
                  <pic:nvPicPr>
                    <pic:cNvPr id="230" name="Image 230"/>
                    <pic:cNvPicPr/>
                  </pic:nvPicPr>
                  <pic:blipFill>
                    <a:blip r:embed="rId232" cstate="print"/>
                    <a:stretch>
                      <a:fillRect/>
                    </a:stretch>
                  </pic:blipFill>
                  <pic:spPr>
                    <a:xfrm>
                      <a:off x="0" y="0"/>
                      <a:ext cx="457200" cy="341375"/>
                    </a:xfrm>
                    <a:prstGeom prst="rect">
                      <a:avLst/>
                    </a:prstGeom>
                  </pic:spPr>
                </pic:pic>
              </a:graphicData>
            </a:graphic>
          </wp:inline>
        </w:drawing>
      </w:r>
      <w:r>
        <w:rPr>
          <w:spacing w:val="19"/>
          <w:position w:val="-15"/>
        </w:rPr>
      </w:r>
      <w:r>
        <w:rPr/>
        <w:t>agement</w:t>
      </w:r>
      <w:r>
        <w:rPr>
          <w:spacing w:val="-9"/>
        </w:rPr>
        <w:t> </w:t>
      </w:r>
      <w:r>
        <w:rPr/>
        <w:t>staff</w:t>
      </w:r>
      <w:r>
        <w:rPr>
          <w:spacing w:val="-6"/>
        </w:rPr>
        <w:t> </w:t>
      </w:r>
      <w:r>
        <w:rPr/>
        <w:t>in</w:t>
      </w:r>
      <w:r>
        <w:rPr>
          <w:spacing w:val="-5"/>
        </w:rPr>
        <w:t> </w:t>
      </w:r>
      <w:r>
        <w:rPr/>
        <w:t>the</w:t>
      </w:r>
      <w:r>
        <w:rPr>
          <w:spacing w:val="-5"/>
        </w:rPr>
        <w:t> </w:t>
      </w:r>
      <w:r>
        <w:rPr/>
        <w:t>sampled</w:t>
      </w:r>
      <w:r>
        <w:rPr>
          <w:spacing w:val="-10"/>
        </w:rPr>
        <w:t> </w:t>
      </w:r>
      <w:r>
        <w:rPr>
          <w:spacing w:val="-2"/>
        </w:rPr>
        <w:t>Universities</w:t>
      </w:r>
    </w:p>
    <w:p>
      <w:pPr>
        <w:pStyle w:val="BodyText"/>
        <w:spacing w:before="10"/>
        <w:rPr>
          <w:rFonts w:ascii="Arial"/>
          <w:b/>
          <w:sz w:val="15"/>
        </w:rPr>
      </w:pPr>
    </w:p>
    <w:tbl>
      <w:tblPr>
        <w:tblW w:w="0" w:type="auto"/>
        <w:jc w:val="left"/>
        <w:tblInd w:w="1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282"/>
        <w:gridCol w:w="2303"/>
        <w:gridCol w:w="3410"/>
        <w:gridCol w:w="1605"/>
      </w:tblGrid>
      <w:tr>
        <w:trPr>
          <w:trHeight w:val="551" w:hRule="atLeast"/>
        </w:trPr>
        <w:tc>
          <w:tcPr>
            <w:tcW w:w="5282" w:type="dxa"/>
            <w:tcBorders>
              <w:top w:val="single" w:sz="4" w:space="0" w:color="000000"/>
              <w:left w:val="single" w:sz="4" w:space="0" w:color="000000"/>
              <w:bottom w:val="single" w:sz="4" w:space="0" w:color="000000"/>
            </w:tcBorders>
          </w:tcPr>
          <w:p>
            <w:pPr>
              <w:pStyle w:val="TableParagraph"/>
              <w:tabs>
                <w:tab w:pos="2044" w:val="left" w:leader="none"/>
              </w:tabs>
              <w:spacing w:line="271" w:lineRule="exact"/>
              <w:ind w:left="148"/>
              <w:rPr>
                <w:sz w:val="24"/>
              </w:rPr>
            </w:pPr>
            <w:r>
              <w:rPr>
                <w:spacing w:val="-4"/>
                <w:sz w:val="24"/>
              </w:rPr>
              <w:t>S/No.</w:t>
            </w:r>
            <w:r>
              <w:rPr>
                <w:sz w:val="24"/>
              </w:rPr>
              <w:tab/>
              <w:t>Name</w:t>
            </w:r>
            <w:r>
              <w:rPr>
                <w:spacing w:val="-3"/>
                <w:sz w:val="24"/>
              </w:rPr>
              <w:t> </w:t>
            </w:r>
            <w:r>
              <w:rPr>
                <w:sz w:val="24"/>
              </w:rPr>
              <w:t>of</w:t>
            </w:r>
            <w:r>
              <w:rPr>
                <w:spacing w:val="-2"/>
                <w:sz w:val="24"/>
              </w:rPr>
              <w:t> University</w:t>
            </w:r>
          </w:p>
        </w:tc>
        <w:tc>
          <w:tcPr>
            <w:tcW w:w="2303" w:type="dxa"/>
            <w:tcBorders>
              <w:top w:val="single" w:sz="4" w:space="0" w:color="000000"/>
              <w:bottom w:val="single" w:sz="4" w:space="0" w:color="000000"/>
            </w:tcBorders>
          </w:tcPr>
          <w:p>
            <w:pPr>
              <w:pStyle w:val="TableParagraph"/>
              <w:spacing w:line="271" w:lineRule="exact"/>
              <w:ind w:left="170"/>
              <w:rPr>
                <w:sz w:val="24"/>
              </w:rPr>
            </w:pPr>
            <w:r>
              <w:rPr>
                <w:sz w:val="24"/>
              </w:rPr>
              <w:t>Top</w:t>
            </w:r>
            <w:r>
              <w:rPr>
                <w:spacing w:val="1"/>
                <w:sz w:val="24"/>
              </w:rPr>
              <w:t> </w:t>
            </w:r>
            <w:r>
              <w:rPr>
                <w:spacing w:val="-2"/>
                <w:sz w:val="24"/>
              </w:rPr>
              <w:t>Management</w:t>
            </w:r>
          </w:p>
          <w:p>
            <w:pPr>
              <w:pStyle w:val="TableParagraph"/>
              <w:spacing w:line="258" w:lineRule="exact" w:before="2"/>
              <w:ind w:left="261"/>
              <w:rPr>
                <w:sz w:val="24"/>
              </w:rPr>
            </w:pPr>
            <w:r>
              <w:rPr>
                <w:sz w:val="24"/>
              </w:rPr>
              <w:t>Staff</w:t>
            </w:r>
            <w:r>
              <w:rPr>
                <w:spacing w:val="-2"/>
                <w:sz w:val="24"/>
              </w:rPr>
              <w:t> Population</w:t>
            </w:r>
          </w:p>
        </w:tc>
        <w:tc>
          <w:tcPr>
            <w:tcW w:w="3410" w:type="dxa"/>
            <w:tcBorders>
              <w:top w:val="single" w:sz="4" w:space="0" w:color="000000"/>
              <w:bottom w:val="single" w:sz="4" w:space="0" w:color="000000"/>
            </w:tcBorders>
          </w:tcPr>
          <w:p>
            <w:pPr>
              <w:pStyle w:val="TableParagraph"/>
              <w:spacing w:line="271" w:lineRule="exact"/>
              <w:ind w:left="7" w:right="31"/>
              <w:jc w:val="center"/>
              <w:rPr>
                <w:sz w:val="24"/>
              </w:rPr>
            </w:pPr>
            <w:r>
              <w:rPr>
                <w:sz w:val="24"/>
              </w:rPr>
              <w:t>Proportionate</w:t>
            </w:r>
            <w:r>
              <w:rPr>
                <w:spacing w:val="-7"/>
                <w:sz w:val="24"/>
              </w:rPr>
              <w:t> </w:t>
            </w:r>
            <w:r>
              <w:rPr>
                <w:sz w:val="24"/>
              </w:rPr>
              <w:t>Sample</w:t>
            </w:r>
            <w:r>
              <w:rPr>
                <w:spacing w:val="-6"/>
                <w:sz w:val="24"/>
              </w:rPr>
              <w:t> </w:t>
            </w:r>
            <w:r>
              <w:rPr>
                <w:spacing w:val="-4"/>
                <w:sz w:val="24"/>
              </w:rPr>
              <w:t>Size</w:t>
            </w:r>
          </w:p>
        </w:tc>
        <w:tc>
          <w:tcPr>
            <w:tcW w:w="1605" w:type="dxa"/>
            <w:tcBorders>
              <w:top w:val="single" w:sz="4" w:space="0" w:color="000000"/>
              <w:bottom w:val="single" w:sz="4" w:space="0" w:color="000000"/>
              <w:right w:val="single" w:sz="4" w:space="0" w:color="000000"/>
            </w:tcBorders>
          </w:tcPr>
          <w:p>
            <w:pPr>
              <w:pStyle w:val="TableParagraph"/>
              <w:spacing w:line="271" w:lineRule="exact"/>
              <w:ind w:left="299"/>
              <w:rPr>
                <w:sz w:val="24"/>
              </w:rPr>
            </w:pPr>
            <w:r>
              <w:rPr>
                <w:spacing w:val="-10"/>
                <w:sz w:val="24"/>
              </w:rPr>
              <w:t>%</w:t>
            </w:r>
          </w:p>
        </w:tc>
      </w:tr>
      <w:tr>
        <w:trPr>
          <w:trHeight w:val="343" w:hRule="atLeast"/>
        </w:trPr>
        <w:tc>
          <w:tcPr>
            <w:tcW w:w="5282" w:type="dxa"/>
            <w:tcBorders>
              <w:top w:val="single" w:sz="4" w:space="0" w:color="000000"/>
              <w:left w:val="single" w:sz="4" w:space="0" w:color="000000"/>
            </w:tcBorders>
          </w:tcPr>
          <w:p>
            <w:pPr>
              <w:pStyle w:val="TableParagraph"/>
              <w:tabs>
                <w:tab w:pos="1007" w:val="left" w:leader="none"/>
              </w:tabs>
              <w:spacing w:line="271" w:lineRule="exact"/>
              <w:ind w:left="350"/>
              <w:rPr>
                <w:sz w:val="24"/>
              </w:rPr>
            </w:pPr>
            <w:r>
              <w:rPr>
                <w:spacing w:val="-5"/>
                <w:sz w:val="24"/>
              </w:rPr>
              <w:t>1.</w:t>
            </w:r>
            <w:r>
              <w:rPr>
                <w:sz w:val="24"/>
              </w:rPr>
              <w:tab/>
              <w:t>Ahmadu</w:t>
            </w:r>
            <w:r>
              <w:rPr>
                <w:spacing w:val="-5"/>
                <w:sz w:val="24"/>
              </w:rPr>
              <w:t> </w:t>
            </w:r>
            <w:r>
              <w:rPr>
                <w:sz w:val="24"/>
              </w:rPr>
              <w:t>Bello</w:t>
            </w:r>
            <w:r>
              <w:rPr>
                <w:spacing w:val="-4"/>
                <w:sz w:val="24"/>
              </w:rPr>
              <w:t> </w:t>
            </w:r>
            <w:r>
              <w:rPr>
                <w:sz w:val="24"/>
              </w:rPr>
              <w:t>University,</w:t>
            </w:r>
            <w:r>
              <w:rPr>
                <w:spacing w:val="-4"/>
                <w:sz w:val="24"/>
              </w:rPr>
              <w:t> Zaria</w:t>
            </w:r>
          </w:p>
        </w:tc>
        <w:tc>
          <w:tcPr>
            <w:tcW w:w="2303" w:type="dxa"/>
            <w:tcBorders>
              <w:top w:val="single" w:sz="4" w:space="0" w:color="000000"/>
            </w:tcBorders>
          </w:tcPr>
          <w:p>
            <w:pPr>
              <w:pStyle w:val="TableParagraph"/>
              <w:spacing w:line="271" w:lineRule="exact"/>
              <w:ind w:right="78"/>
              <w:jc w:val="center"/>
              <w:rPr>
                <w:sz w:val="24"/>
              </w:rPr>
            </w:pPr>
            <w:r>
              <w:rPr>
                <w:spacing w:val="-5"/>
                <w:sz w:val="24"/>
              </w:rPr>
              <w:t>12</w:t>
            </w:r>
          </w:p>
        </w:tc>
        <w:tc>
          <w:tcPr>
            <w:tcW w:w="3410" w:type="dxa"/>
            <w:tcBorders>
              <w:top w:val="single" w:sz="4" w:space="0" w:color="000000"/>
            </w:tcBorders>
          </w:tcPr>
          <w:p>
            <w:pPr>
              <w:pStyle w:val="TableParagraph"/>
              <w:spacing w:line="271" w:lineRule="exact"/>
              <w:ind w:right="31"/>
              <w:jc w:val="center"/>
              <w:rPr>
                <w:sz w:val="24"/>
              </w:rPr>
            </w:pPr>
            <w:r>
              <w:rPr>
                <w:spacing w:val="-5"/>
                <w:sz w:val="24"/>
              </w:rPr>
              <w:t>11</w:t>
            </w:r>
          </w:p>
        </w:tc>
        <w:tc>
          <w:tcPr>
            <w:tcW w:w="1605" w:type="dxa"/>
            <w:tcBorders>
              <w:top w:val="single" w:sz="4" w:space="0" w:color="000000"/>
              <w:right w:val="single" w:sz="4" w:space="0" w:color="000000"/>
            </w:tcBorders>
          </w:tcPr>
          <w:p>
            <w:pPr>
              <w:pStyle w:val="TableParagraph"/>
              <w:spacing w:line="271" w:lineRule="exact"/>
              <w:ind w:right="565"/>
              <w:jc w:val="right"/>
              <w:rPr>
                <w:sz w:val="24"/>
              </w:rPr>
            </w:pPr>
            <w:r>
              <w:rPr>
                <w:spacing w:val="-4"/>
                <w:sz w:val="24"/>
              </w:rPr>
              <w:t>27.5</w:t>
            </w:r>
          </w:p>
        </w:tc>
      </w:tr>
      <w:tr>
        <w:trPr>
          <w:trHeight w:val="415" w:hRule="atLeast"/>
        </w:trPr>
        <w:tc>
          <w:tcPr>
            <w:tcW w:w="5282" w:type="dxa"/>
            <w:tcBorders>
              <w:left w:val="single" w:sz="4" w:space="0" w:color="000000"/>
            </w:tcBorders>
          </w:tcPr>
          <w:p>
            <w:pPr>
              <w:pStyle w:val="TableParagraph"/>
              <w:tabs>
                <w:tab w:pos="1007" w:val="left" w:leader="none"/>
              </w:tabs>
              <w:spacing w:before="64"/>
              <w:ind w:left="350"/>
              <w:rPr>
                <w:sz w:val="24"/>
              </w:rPr>
            </w:pPr>
            <w:r>
              <w:rPr>
                <w:spacing w:val="-5"/>
                <w:sz w:val="24"/>
              </w:rPr>
              <w:t>2.</w:t>
            </w:r>
            <w:r>
              <w:rPr>
                <w:sz w:val="24"/>
              </w:rPr>
              <w:tab/>
              <w:t>Bayero</w:t>
            </w:r>
            <w:r>
              <w:rPr>
                <w:spacing w:val="-3"/>
                <w:sz w:val="24"/>
              </w:rPr>
              <w:t> </w:t>
            </w:r>
            <w:r>
              <w:rPr>
                <w:sz w:val="24"/>
              </w:rPr>
              <w:t>University,</w:t>
            </w:r>
            <w:r>
              <w:rPr>
                <w:spacing w:val="-2"/>
                <w:sz w:val="24"/>
              </w:rPr>
              <w:t> </w:t>
            </w:r>
            <w:r>
              <w:rPr>
                <w:spacing w:val="-4"/>
                <w:sz w:val="24"/>
              </w:rPr>
              <w:t>Kano</w:t>
            </w:r>
          </w:p>
        </w:tc>
        <w:tc>
          <w:tcPr>
            <w:tcW w:w="2303" w:type="dxa"/>
          </w:tcPr>
          <w:p>
            <w:pPr>
              <w:pStyle w:val="TableParagraph"/>
              <w:spacing w:before="64"/>
              <w:ind w:right="78"/>
              <w:jc w:val="center"/>
              <w:rPr>
                <w:sz w:val="24"/>
              </w:rPr>
            </w:pPr>
            <w:r>
              <w:rPr>
                <w:spacing w:val="-5"/>
                <w:sz w:val="24"/>
              </w:rPr>
              <w:t>08</w:t>
            </w:r>
          </w:p>
        </w:tc>
        <w:tc>
          <w:tcPr>
            <w:tcW w:w="3410" w:type="dxa"/>
          </w:tcPr>
          <w:p>
            <w:pPr>
              <w:pStyle w:val="TableParagraph"/>
              <w:spacing w:before="64"/>
              <w:ind w:right="31"/>
              <w:jc w:val="center"/>
              <w:rPr>
                <w:sz w:val="24"/>
              </w:rPr>
            </w:pPr>
            <w:r>
              <w:rPr>
                <w:spacing w:val="-10"/>
                <w:sz w:val="24"/>
              </w:rPr>
              <w:t>7</w:t>
            </w:r>
          </w:p>
        </w:tc>
        <w:tc>
          <w:tcPr>
            <w:tcW w:w="1605" w:type="dxa"/>
            <w:tcBorders>
              <w:right w:val="single" w:sz="4" w:space="0" w:color="000000"/>
            </w:tcBorders>
          </w:tcPr>
          <w:p>
            <w:pPr>
              <w:pStyle w:val="TableParagraph"/>
              <w:spacing w:before="64"/>
              <w:ind w:right="565"/>
              <w:jc w:val="right"/>
              <w:rPr>
                <w:sz w:val="24"/>
              </w:rPr>
            </w:pPr>
            <w:r>
              <w:rPr>
                <w:spacing w:val="-4"/>
                <w:sz w:val="24"/>
              </w:rPr>
              <w:t>17.5</w:t>
            </w:r>
          </w:p>
        </w:tc>
      </w:tr>
      <w:tr>
        <w:trPr>
          <w:trHeight w:val="415" w:hRule="atLeast"/>
        </w:trPr>
        <w:tc>
          <w:tcPr>
            <w:tcW w:w="5282" w:type="dxa"/>
            <w:tcBorders>
              <w:left w:val="single" w:sz="4" w:space="0" w:color="000000"/>
            </w:tcBorders>
          </w:tcPr>
          <w:p>
            <w:pPr>
              <w:pStyle w:val="TableParagraph"/>
              <w:tabs>
                <w:tab w:pos="1007" w:val="left" w:leader="none"/>
              </w:tabs>
              <w:spacing w:before="67"/>
              <w:ind w:left="350"/>
              <w:rPr>
                <w:sz w:val="24"/>
              </w:rPr>
            </w:pPr>
            <w:r>
              <w:rPr>
                <w:spacing w:val="-5"/>
                <w:sz w:val="24"/>
              </w:rPr>
              <w:t>3.</w:t>
            </w:r>
            <w:r>
              <w:rPr>
                <w:sz w:val="24"/>
              </w:rPr>
              <w:tab/>
              <w:t>University</w:t>
            </w:r>
            <w:r>
              <w:rPr>
                <w:spacing w:val="-2"/>
                <w:sz w:val="24"/>
              </w:rPr>
              <w:t> </w:t>
            </w:r>
            <w:r>
              <w:rPr>
                <w:sz w:val="24"/>
              </w:rPr>
              <w:t>of</w:t>
            </w:r>
            <w:r>
              <w:rPr>
                <w:spacing w:val="-2"/>
                <w:sz w:val="24"/>
              </w:rPr>
              <w:t> </w:t>
            </w:r>
            <w:r>
              <w:rPr>
                <w:spacing w:val="-5"/>
                <w:sz w:val="24"/>
              </w:rPr>
              <w:t>Jos</w:t>
            </w:r>
          </w:p>
        </w:tc>
        <w:tc>
          <w:tcPr>
            <w:tcW w:w="2303" w:type="dxa"/>
          </w:tcPr>
          <w:p>
            <w:pPr>
              <w:pStyle w:val="TableParagraph"/>
              <w:spacing w:before="67"/>
              <w:ind w:right="78"/>
              <w:jc w:val="center"/>
              <w:rPr>
                <w:sz w:val="24"/>
              </w:rPr>
            </w:pPr>
            <w:r>
              <w:rPr>
                <w:spacing w:val="-5"/>
                <w:sz w:val="24"/>
              </w:rPr>
              <w:t>08</w:t>
            </w:r>
          </w:p>
        </w:tc>
        <w:tc>
          <w:tcPr>
            <w:tcW w:w="3410" w:type="dxa"/>
          </w:tcPr>
          <w:p>
            <w:pPr>
              <w:pStyle w:val="TableParagraph"/>
              <w:spacing w:before="67"/>
              <w:ind w:right="31"/>
              <w:jc w:val="center"/>
              <w:rPr>
                <w:sz w:val="24"/>
              </w:rPr>
            </w:pPr>
            <w:r>
              <w:rPr>
                <w:spacing w:val="-10"/>
                <w:sz w:val="24"/>
              </w:rPr>
              <w:t>7</w:t>
            </w:r>
          </w:p>
        </w:tc>
        <w:tc>
          <w:tcPr>
            <w:tcW w:w="1605" w:type="dxa"/>
            <w:tcBorders>
              <w:right w:val="single" w:sz="4" w:space="0" w:color="000000"/>
            </w:tcBorders>
          </w:tcPr>
          <w:p>
            <w:pPr>
              <w:pStyle w:val="TableParagraph"/>
              <w:spacing w:before="67"/>
              <w:ind w:right="565"/>
              <w:jc w:val="right"/>
              <w:rPr>
                <w:sz w:val="24"/>
              </w:rPr>
            </w:pPr>
            <w:r>
              <w:rPr>
                <w:spacing w:val="-4"/>
                <w:sz w:val="24"/>
              </w:rPr>
              <w:t>17.5</w:t>
            </w:r>
          </w:p>
        </w:tc>
      </w:tr>
      <w:tr>
        <w:trPr>
          <w:trHeight w:val="412" w:hRule="atLeast"/>
        </w:trPr>
        <w:tc>
          <w:tcPr>
            <w:tcW w:w="5282" w:type="dxa"/>
            <w:tcBorders>
              <w:left w:val="single" w:sz="4" w:space="0" w:color="000000"/>
            </w:tcBorders>
          </w:tcPr>
          <w:p>
            <w:pPr>
              <w:pStyle w:val="TableParagraph"/>
              <w:tabs>
                <w:tab w:pos="1007" w:val="left" w:leader="none"/>
              </w:tabs>
              <w:spacing w:before="64"/>
              <w:ind w:left="350"/>
              <w:rPr>
                <w:sz w:val="24"/>
              </w:rPr>
            </w:pPr>
            <w:r>
              <w:rPr>
                <w:spacing w:val="-5"/>
                <w:sz w:val="24"/>
              </w:rPr>
              <w:t>4.</w:t>
            </w:r>
            <w:r>
              <w:rPr>
                <w:sz w:val="24"/>
              </w:rPr>
              <w:tab/>
              <w:t>University</w:t>
            </w:r>
            <w:r>
              <w:rPr>
                <w:spacing w:val="-2"/>
                <w:sz w:val="24"/>
              </w:rPr>
              <w:t> </w:t>
            </w:r>
            <w:r>
              <w:rPr>
                <w:sz w:val="24"/>
              </w:rPr>
              <w:t>of</w:t>
            </w:r>
            <w:r>
              <w:rPr>
                <w:spacing w:val="-2"/>
                <w:sz w:val="24"/>
              </w:rPr>
              <w:t> Maiduguri</w:t>
            </w:r>
          </w:p>
        </w:tc>
        <w:tc>
          <w:tcPr>
            <w:tcW w:w="2303" w:type="dxa"/>
          </w:tcPr>
          <w:p>
            <w:pPr>
              <w:pStyle w:val="TableParagraph"/>
              <w:spacing w:before="64"/>
              <w:ind w:right="78"/>
              <w:jc w:val="center"/>
              <w:rPr>
                <w:sz w:val="24"/>
              </w:rPr>
            </w:pPr>
            <w:r>
              <w:rPr>
                <w:spacing w:val="-5"/>
                <w:sz w:val="24"/>
              </w:rPr>
              <w:t>09</w:t>
            </w:r>
          </w:p>
        </w:tc>
        <w:tc>
          <w:tcPr>
            <w:tcW w:w="3410" w:type="dxa"/>
          </w:tcPr>
          <w:p>
            <w:pPr>
              <w:pStyle w:val="TableParagraph"/>
              <w:spacing w:before="64"/>
              <w:ind w:right="31"/>
              <w:jc w:val="center"/>
              <w:rPr>
                <w:sz w:val="24"/>
              </w:rPr>
            </w:pPr>
            <w:r>
              <w:rPr>
                <w:spacing w:val="-10"/>
                <w:sz w:val="24"/>
              </w:rPr>
              <w:t>8</w:t>
            </w:r>
          </w:p>
        </w:tc>
        <w:tc>
          <w:tcPr>
            <w:tcW w:w="1605" w:type="dxa"/>
            <w:tcBorders>
              <w:right w:val="single" w:sz="4" w:space="0" w:color="000000"/>
            </w:tcBorders>
          </w:tcPr>
          <w:p>
            <w:pPr>
              <w:pStyle w:val="TableParagraph"/>
              <w:spacing w:before="64"/>
              <w:ind w:right="565"/>
              <w:jc w:val="right"/>
              <w:rPr>
                <w:sz w:val="24"/>
              </w:rPr>
            </w:pPr>
            <w:r>
              <w:rPr>
                <w:spacing w:val="-4"/>
                <w:sz w:val="24"/>
              </w:rPr>
              <w:t>20.0</w:t>
            </w:r>
          </w:p>
        </w:tc>
      </w:tr>
      <w:tr>
        <w:trPr>
          <w:trHeight w:val="412" w:hRule="atLeast"/>
        </w:trPr>
        <w:tc>
          <w:tcPr>
            <w:tcW w:w="5282" w:type="dxa"/>
            <w:tcBorders>
              <w:left w:val="single" w:sz="4" w:space="0" w:color="000000"/>
            </w:tcBorders>
          </w:tcPr>
          <w:p>
            <w:pPr>
              <w:pStyle w:val="TableParagraph"/>
              <w:tabs>
                <w:tab w:pos="657" w:val="left" w:leader="none"/>
                <w:tab w:pos="1862" w:val="left" w:leader="none"/>
                <w:tab w:pos="2611" w:val="left" w:leader="none"/>
                <w:tab w:pos="3647" w:val="left" w:leader="none"/>
              </w:tabs>
              <w:spacing w:before="64"/>
              <w:ind w:right="158"/>
              <w:jc w:val="right"/>
              <w:rPr>
                <w:sz w:val="24"/>
              </w:rPr>
            </w:pPr>
            <w:r>
              <w:rPr>
                <w:spacing w:val="-5"/>
                <w:sz w:val="24"/>
              </w:rPr>
              <w:t>5.</w:t>
            </w:r>
            <w:r>
              <w:rPr>
                <w:sz w:val="24"/>
              </w:rPr>
              <w:tab/>
            </w:r>
            <w:r>
              <w:rPr>
                <w:spacing w:val="-2"/>
                <w:sz w:val="24"/>
              </w:rPr>
              <w:t>Usmanu</w:t>
            </w:r>
            <w:r>
              <w:rPr>
                <w:sz w:val="24"/>
              </w:rPr>
              <w:tab/>
            </w:r>
            <w:r>
              <w:rPr>
                <w:spacing w:val="-5"/>
                <w:sz w:val="24"/>
              </w:rPr>
              <w:t>Dan</w:t>
            </w:r>
            <w:r>
              <w:rPr>
                <w:sz w:val="24"/>
              </w:rPr>
              <w:tab/>
            </w:r>
            <w:r>
              <w:rPr>
                <w:spacing w:val="-2"/>
                <w:sz w:val="24"/>
              </w:rPr>
              <w:t>Fodiyo</w:t>
            </w:r>
            <w:r>
              <w:rPr>
                <w:sz w:val="24"/>
              </w:rPr>
              <w:tab/>
            </w:r>
            <w:r>
              <w:rPr>
                <w:spacing w:val="-2"/>
                <w:sz w:val="24"/>
              </w:rPr>
              <w:t>University,</w:t>
            </w:r>
          </w:p>
        </w:tc>
        <w:tc>
          <w:tcPr>
            <w:tcW w:w="2303" w:type="dxa"/>
          </w:tcPr>
          <w:p>
            <w:pPr>
              <w:pStyle w:val="TableParagraph"/>
              <w:spacing w:before="64"/>
              <w:ind w:right="78"/>
              <w:jc w:val="center"/>
              <w:rPr>
                <w:sz w:val="24"/>
              </w:rPr>
            </w:pPr>
            <w:r>
              <w:rPr>
                <w:spacing w:val="-5"/>
                <w:sz w:val="24"/>
              </w:rPr>
              <w:t>08</w:t>
            </w:r>
          </w:p>
        </w:tc>
        <w:tc>
          <w:tcPr>
            <w:tcW w:w="3410" w:type="dxa"/>
          </w:tcPr>
          <w:p>
            <w:pPr>
              <w:pStyle w:val="TableParagraph"/>
              <w:spacing w:before="64"/>
              <w:ind w:right="31"/>
              <w:jc w:val="center"/>
              <w:rPr>
                <w:sz w:val="24"/>
              </w:rPr>
            </w:pPr>
            <w:r>
              <w:rPr>
                <w:spacing w:val="-10"/>
                <w:sz w:val="24"/>
              </w:rPr>
              <w:t>7</w:t>
            </w:r>
          </w:p>
        </w:tc>
        <w:tc>
          <w:tcPr>
            <w:tcW w:w="1605" w:type="dxa"/>
            <w:tcBorders>
              <w:right w:val="single" w:sz="4" w:space="0" w:color="000000"/>
            </w:tcBorders>
          </w:tcPr>
          <w:p>
            <w:pPr>
              <w:pStyle w:val="TableParagraph"/>
              <w:spacing w:before="64"/>
              <w:ind w:right="565"/>
              <w:jc w:val="right"/>
              <w:rPr>
                <w:sz w:val="24"/>
              </w:rPr>
            </w:pPr>
            <w:r>
              <w:rPr>
                <w:spacing w:val="-4"/>
                <w:sz w:val="24"/>
              </w:rPr>
              <w:t>17.5</w:t>
            </w:r>
          </w:p>
        </w:tc>
      </w:tr>
      <w:tr>
        <w:trPr>
          <w:trHeight w:val="486" w:hRule="atLeast"/>
        </w:trPr>
        <w:tc>
          <w:tcPr>
            <w:tcW w:w="5282" w:type="dxa"/>
            <w:tcBorders>
              <w:left w:val="single" w:sz="4" w:space="0" w:color="000000"/>
              <w:bottom w:val="single" w:sz="4" w:space="0" w:color="000000"/>
            </w:tcBorders>
          </w:tcPr>
          <w:p>
            <w:pPr>
              <w:pStyle w:val="TableParagraph"/>
              <w:spacing w:before="64"/>
              <w:ind w:left="1007"/>
              <w:rPr>
                <w:sz w:val="24"/>
              </w:rPr>
            </w:pPr>
            <w:r>
              <w:rPr>
                <w:spacing w:val="-2"/>
                <w:sz w:val="24"/>
              </w:rPr>
              <w:t>Sokoto</w:t>
            </w:r>
          </w:p>
        </w:tc>
        <w:tc>
          <w:tcPr>
            <w:tcW w:w="2303" w:type="dxa"/>
            <w:tcBorders>
              <w:bottom w:val="single" w:sz="4" w:space="0" w:color="000000"/>
            </w:tcBorders>
          </w:tcPr>
          <w:p>
            <w:pPr>
              <w:pStyle w:val="TableParagraph"/>
              <w:rPr>
                <w:rFonts w:ascii="Times New Roman"/>
                <w:sz w:val="24"/>
              </w:rPr>
            </w:pPr>
          </w:p>
        </w:tc>
        <w:tc>
          <w:tcPr>
            <w:tcW w:w="3410" w:type="dxa"/>
            <w:tcBorders>
              <w:bottom w:val="single" w:sz="4" w:space="0" w:color="000000"/>
            </w:tcBorders>
          </w:tcPr>
          <w:p>
            <w:pPr>
              <w:pStyle w:val="TableParagraph"/>
              <w:rPr>
                <w:rFonts w:ascii="Times New Roman"/>
                <w:sz w:val="24"/>
              </w:rPr>
            </w:pPr>
          </w:p>
        </w:tc>
        <w:tc>
          <w:tcPr>
            <w:tcW w:w="1605" w:type="dxa"/>
            <w:tcBorders>
              <w:bottom w:val="single" w:sz="4" w:space="0" w:color="000000"/>
              <w:right w:val="single" w:sz="4" w:space="0" w:color="000000"/>
            </w:tcBorders>
          </w:tcPr>
          <w:p>
            <w:pPr>
              <w:pStyle w:val="TableParagraph"/>
              <w:rPr>
                <w:rFonts w:ascii="Times New Roman"/>
                <w:sz w:val="24"/>
              </w:rPr>
            </w:pPr>
          </w:p>
        </w:tc>
      </w:tr>
      <w:tr>
        <w:trPr>
          <w:trHeight w:val="412" w:hRule="atLeast"/>
        </w:trPr>
        <w:tc>
          <w:tcPr>
            <w:tcW w:w="5282" w:type="dxa"/>
            <w:tcBorders>
              <w:top w:val="single" w:sz="4" w:space="0" w:color="000000"/>
              <w:left w:val="single" w:sz="4" w:space="0" w:color="000000"/>
              <w:bottom w:val="single" w:sz="4" w:space="0" w:color="000000"/>
            </w:tcBorders>
          </w:tcPr>
          <w:p>
            <w:pPr>
              <w:pStyle w:val="TableParagraph"/>
              <w:spacing w:line="267" w:lineRule="exact"/>
              <w:ind w:right="255"/>
              <w:jc w:val="right"/>
              <w:rPr>
                <w:rFonts w:ascii="Arial"/>
                <w:b/>
                <w:sz w:val="24"/>
              </w:rPr>
            </w:pPr>
            <w:r>
              <w:rPr>
                <w:rFonts w:ascii="Arial"/>
                <w:b/>
                <w:spacing w:val="-2"/>
                <w:sz w:val="24"/>
              </w:rPr>
              <w:t>Total</w:t>
            </w:r>
          </w:p>
        </w:tc>
        <w:tc>
          <w:tcPr>
            <w:tcW w:w="2303" w:type="dxa"/>
            <w:tcBorders>
              <w:top w:val="single" w:sz="4" w:space="0" w:color="000000"/>
              <w:bottom w:val="single" w:sz="4" w:space="0" w:color="000000"/>
            </w:tcBorders>
          </w:tcPr>
          <w:p>
            <w:pPr>
              <w:pStyle w:val="TableParagraph"/>
              <w:spacing w:line="271" w:lineRule="exact"/>
              <w:ind w:right="78"/>
              <w:jc w:val="center"/>
              <w:rPr>
                <w:sz w:val="24"/>
              </w:rPr>
            </w:pPr>
            <w:r>
              <w:rPr>
                <w:spacing w:val="-5"/>
                <w:sz w:val="24"/>
              </w:rPr>
              <w:t>45</w:t>
            </w:r>
          </w:p>
        </w:tc>
        <w:tc>
          <w:tcPr>
            <w:tcW w:w="3410" w:type="dxa"/>
            <w:tcBorders>
              <w:top w:val="single" w:sz="4" w:space="0" w:color="000000"/>
              <w:bottom w:val="single" w:sz="4" w:space="0" w:color="000000"/>
            </w:tcBorders>
          </w:tcPr>
          <w:p>
            <w:pPr>
              <w:pStyle w:val="TableParagraph"/>
              <w:spacing w:line="271" w:lineRule="exact"/>
              <w:ind w:right="31"/>
              <w:jc w:val="center"/>
              <w:rPr>
                <w:sz w:val="24"/>
              </w:rPr>
            </w:pPr>
            <w:r>
              <w:rPr>
                <w:spacing w:val="-5"/>
                <w:sz w:val="24"/>
              </w:rPr>
              <w:t>40</w:t>
            </w:r>
          </w:p>
        </w:tc>
        <w:tc>
          <w:tcPr>
            <w:tcW w:w="1605" w:type="dxa"/>
            <w:tcBorders>
              <w:top w:val="single" w:sz="4" w:space="0" w:color="000000"/>
              <w:bottom w:val="single" w:sz="4" w:space="0" w:color="000000"/>
              <w:right w:val="single" w:sz="4" w:space="0" w:color="000000"/>
            </w:tcBorders>
          </w:tcPr>
          <w:p>
            <w:pPr>
              <w:pStyle w:val="TableParagraph"/>
              <w:spacing w:line="271" w:lineRule="exact"/>
              <w:ind w:right="598"/>
              <w:jc w:val="right"/>
              <w:rPr>
                <w:sz w:val="24"/>
              </w:rPr>
            </w:pPr>
            <w:r>
              <w:rPr>
                <w:spacing w:val="-5"/>
                <w:sz w:val="24"/>
              </w:rPr>
              <w:t>100</w:t>
            </w:r>
          </w:p>
        </w:tc>
      </w:tr>
    </w:tbl>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spacing w:before="226"/>
        <w:rPr>
          <w:rFonts w:ascii="Arial"/>
          <w:b/>
          <w:sz w:val="28"/>
        </w:rPr>
      </w:pPr>
    </w:p>
    <w:p>
      <w:pPr>
        <w:pStyle w:val="BodyText"/>
        <w:ind w:right="609"/>
        <w:jc w:val="center"/>
        <w:rPr>
          <w:rFonts w:ascii="Times New Roman"/>
        </w:rPr>
      </w:pPr>
      <w:r>
        <w:rPr>
          <w:rFonts w:ascii="Times New Roman"/>
          <w:spacing w:val="-5"/>
        </w:rPr>
        <w:t>95</w:t>
      </w:r>
    </w:p>
    <w:p>
      <w:pPr>
        <w:spacing w:after="0"/>
        <w:jc w:val="center"/>
        <w:rPr>
          <w:rFonts w:ascii="Times New Roman"/>
        </w:rPr>
        <w:sectPr>
          <w:headerReference w:type="default" r:id="rId230"/>
          <w:footerReference w:type="default" r:id="rId231"/>
          <w:pgSz w:w="15840" w:h="12240" w:orient="landscape"/>
          <w:pgMar w:header="722" w:footer="791" w:top="980" w:bottom="980" w:left="1680" w:right="1260"/>
        </w:sectPr>
      </w:pPr>
    </w:p>
    <w:p>
      <w:pPr>
        <w:pStyle w:val="BodyText"/>
        <w:spacing w:before="72"/>
        <w:ind w:right="763"/>
        <w:jc w:val="center"/>
        <w:rPr>
          <w:rFonts w:ascii="Times New Roman"/>
        </w:rPr>
      </w:pPr>
      <w:r>
        <w:rPr>
          <w:rFonts w:ascii="Times New Roman"/>
          <w:spacing w:val="-5"/>
        </w:rPr>
        <w:t>125</w:t>
      </w:r>
    </w:p>
    <w:p>
      <w:pPr>
        <w:pStyle w:val="BodyText"/>
        <w:spacing w:before="171"/>
        <w:rPr>
          <w:rFonts w:ascii="Times New Roman"/>
        </w:rPr>
      </w:pPr>
    </w:p>
    <w:p>
      <w:pPr>
        <w:pStyle w:val="BodyText"/>
        <w:ind w:left="1160"/>
      </w:pPr>
      <w:r>
        <w:rPr/>
        <w:t>The</w:t>
      </w:r>
      <w:r>
        <w:rPr>
          <w:spacing w:val="34"/>
        </w:rPr>
        <w:t> </w:t>
      </w:r>
      <w:r>
        <w:rPr/>
        <w:t>total</w:t>
      </w:r>
      <w:r>
        <w:rPr>
          <w:spacing w:val="37"/>
        </w:rPr>
        <w:t> </w:t>
      </w:r>
      <w:r>
        <w:rPr/>
        <w:t>sampled</w:t>
      </w:r>
      <w:r>
        <w:rPr>
          <w:spacing w:val="34"/>
        </w:rPr>
        <w:t> </w:t>
      </w:r>
      <w:r>
        <w:rPr/>
        <w:t>subjects</w:t>
      </w:r>
      <w:r>
        <w:rPr>
          <w:spacing w:val="34"/>
        </w:rPr>
        <w:t> </w:t>
      </w:r>
      <w:r>
        <w:rPr/>
        <w:t>for</w:t>
      </w:r>
      <w:r>
        <w:rPr>
          <w:spacing w:val="34"/>
        </w:rPr>
        <w:t> </w:t>
      </w:r>
      <w:r>
        <w:rPr/>
        <w:t>the</w:t>
      </w:r>
      <w:r>
        <w:rPr>
          <w:spacing w:val="34"/>
        </w:rPr>
        <w:t> </w:t>
      </w:r>
      <w:r>
        <w:rPr/>
        <w:t>study</w:t>
      </w:r>
      <w:r>
        <w:rPr>
          <w:spacing w:val="34"/>
        </w:rPr>
        <w:t> </w:t>
      </w:r>
      <w:r>
        <w:rPr/>
        <w:t>were</w:t>
      </w:r>
      <w:r>
        <w:rPr>
          <w:spacing w:val="34"/>
        </w:rPr>
        <w:t> </w:t>
      </w:r>
      <w:r>
        <w:rPr/>
        <w:t>as</w:t>
      </w:r>
      <w:r>
        <w:rPr>
          <w:spacing w:val="34"/>
        </w:rPr>
        <w:t> </w:t>
      </w:r>
      <w:r>
        <w:rPr/>
        <w:t>shown</w:t>
      </w:r>
      <w:r>
        <w:rPr>
          <w:spacing w:val="34"/>
        </w:rPr>
        <w:t> </w:t>
      </w:r>
      <w:r>
        <w:rPr/>
        <w:t>in</w:t>
      </w:r>
      <w:r>
        <w:rPr>
          <w:spacing w:val="34"/>
        </w:rPr>
        <w:t> </w:t>
      </w:r>
      <w:r>
        <w:rPr/>
        <w:t>Table</w:t>
      </w:r>
      <w:r>
        <w:rPr>
          <w:spacing w:val="35"/>
        </w:rPr>
        <w:t> </w:t>
      </w:r>
      <w:r>
        <w:rPr>
          <w:spacing w:val="-2"/>
        </w:rPr>
        <w:t>3.4.5</w:t>
      </w:r>
    </w:p>
    <w:p>
      <w:pPr>
        <w:pStyle w:val="BodyText"/>
      </w:pPr>
    </w:p>
    <w:p>
      <w:pPr>
        <w:pStyle w:val="BodyText"/>
        <w:ind w:left="440"/>
      </w:pPr>
      <w:r>
        <w:rPr>
          <w:spacing w:val="-2"/>
        </w:rPr>
        <w:t>below.</w:t>
      </w:r>
    </w:p>
    <w:p>
      <w:pPr>
        <w:pStyle w:val="Heading2"/>
        <w:spacing w:before="273"/>
        <w:ind w:left="440"/>
      </w:pPr>
      <w:r>
        <w:rPr/>
        <w:t>Table</w:t>
      </w:r>
      <w:r>
        <w:rPr>
          <w:spacing w:val="-6"/>
        </w:rPr>
        <w:t> </w:t>
      </w:r>
      <w:r>
        <w:rPr/>
        <w:t>3.4.5:</w:t>
      </w:r>
      <w:r>
        <w:rPr>
          <w:spacing w:val="-2"/>
        </w:rPr>
        <w:t> </w:t>
      </w:r>
      <w:r>
        <w:rPr/>
        <w:t>Total</w:t>
      </w:r>
      <w:r>
        <w:rPr>
          <w:spacing w:val="-5"/>
        </w:rPr>
        <w:t> </w:t>
      </w:r>
      <w:r>
        <w:rPr/>
        <w:t>sampled</w:t>
      </w:r>
      <w:r>
        <w:rPr>
          <w:spacing w:val="-6"/>
        </w:rPr>
        <w:t> </w:t>
      </w:r>
      <w:r>
        <w:rPr>
          <w:spacing w:val="-2"/>
        </w:rPr>
        <w:t>subjects</w:t>
      </w:r>
    </w:p>
    <w:p>
      <w:pPr>
        <w:pStyle w:val="BodyText"/>
        <w:spacing w:before="99"/>
        <w:rPr>
          <w:rFonts w:ascii="Arial"/>
          <w:b/>
          <w:sz w:val="20"/>
        </w:rPr>
      </w:pPr>
    </w:p>
    <w:tbl>
      <w:tblPr>
        <w:tblW w:w="0" w:type="auto"/>
        <w:jc w:val="left"/>
        <w:tblInd w:w="4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560"/>
        <w:gridCol w:w="958"/>
        <w:gridCol w:w="2365"/>
        <w:gridCol w:w="3115"/>
      </w:tblGrid>
      <w:tr>
        <w:trPr>
          <w:trHeight w:val="551" w:hRule="atLeast"/>
        </w:trPr>
        <w:tc>
          <w:tcPr>
            <w:tcW w:w="2560" w:type="dxa"/>
            <w:tcBorders>
              <w:top w:val="single" w:sz="4" w:space="0" w:color="000000"/>
              <w:left w:val="single" w:sz="4" w:space="0" w:color="000000"/>
              <w:bottom w:val="single" w:sz="4" w:space="0" w:color="000000"/>
            </w:tcBorders>
          </w:tcPr>
          <w:p>
            <w:pPr>
              <w:pStyle w:val="TableParagraph"/>
              <w:spacing w:line="271" w:lineRule="exact"/>
              <w:ind w:left="1156"/>
              <w:rPr>
                <w:sz w:val="24"/>
              </w:rPr>
            </w:pPr>
            <w:r>
              <w:rPr>
                <w:spacing w:val="-2"/>
                <w:sz w:val="24"/>
              </w:rPr>
              <w:t>Subjects</w:t>
            </w:r>
          </w:p>
        </w:tc>
        <w:tc>
          <w:tcPr>
            <w:tcW w:w="958" w:type="dxa"/>
            <w:tcBorders>
              <w:top w:val="single" w:sz="4" w:space="0" w:color="000000"/>
              <w:bottom w:val="single" w:sz="4" w:space="0" w:color="000000"/>
            </w:tcBorders>
          </w:tcPr>
          <w:p>
            <w:pPr>
              <w:pStyle w:val="TableParagraph"/>
              <w:rPr>
                <w:rFonts w:ascii="Times New Roman"/>
                <w:sz w:val="24"/>
              </w:rPr>
            </w:pPr>
          </w:p>
        </w:tc>
        <w:tc>
          <w:tcPr>
            <w:tcW w:w="2365" w:type="dxa"/>
            <w:tcBorders>
              <w:top w:val="single" w:sz="4" w:space="0" w:color="000000"/>
              <w:bottom w:val="single" w:sz="4" w:space="0" w:color="000000"/>
            </w:tcBorders>
          </w:tcPr>
          <w:p>
            <w:pPr>
              <w:pStyle w:val="TableParagraph"/>
              <w:spacing w:line="271" w:lineRule="exact"/>
              <w:ind w:left="418"/>
              <w:rPr>
                <w:sz w:val="24"/>
              </w:rPr>
            </w:pPr>
            <w:r>
              <w:rPr>
                <w:spacing w:val="-2"/>
                <w:sz w:val="24"/>
              </w:rPr>
              <w:t>Population</w:t>
            </w:r>
          </w:p>
        </w:tc>
        <w:tc>
          <w:tcPr>
            <w:tcW w:w="3115" w:type="dxa"/>
            <w:tcBorders>
              <w:top w:val="single" w:sz="4" w:space="0" w:color="000000"/>
              <w:bottom w:val="single" w:sz="4" w:space="0" w:color="000000"/>
              <w:right w:val="single" w:sz="4" w:space="0" w:color="000000"/>
            </w:tcBorders>
          </w:tcPr>
          <w:p>
            <w:pPr>
              <w:pStyle w:val="TableParagraph"/>
              <w:spacing w:line="271" w:lineRule="exact"/>
              <w:ind w:left="822"/>
              <w:rPr>
                <w:sz w:val="24"/>
              </w:rPr>
            </w:pPr>
            <w:r>
              <w:rPr>
                <w:sz w:val="24"/>
              </w:rPr>
              <w:t>Sample</w:t>
            </w:r>
            <w:r>
              <w:rPr>
                <w:spacing w:val="-8"/>
                <w:sz w:val="24"/>
              </w:rPr>
              <w:t> </w:t>
            </w:r>
            <w:r>
              <w:rPr>
                <w:spacing w:val="-4"/>
                <w:sz w:val="24"/>
              </w:rPr>
              <w:t>Size</w:t>
            </w:r>
          </w:p>
        </w:tc>
      </w:tr>
      <w:tr>
        <w:trPr>
          <w:trHeight w:val="408" w:hRule="atLeast"/>
        </w:trPr>
        <w:tc>
          <w:tcPr>
            <w:tcW w:w="2560" w:type="dxa"/>
            <w:tcBorders>
              <w:top w:val="single" w:sz="4" w:space="0" w:color="000000"/>
              <w:left w:val="single" w:sz="4" w:space="0" w:color="000000"/>
            </w:tcBorders>
          </w:tcPr>
          <w:p>
            <w:pPr>
              <w:pStyle w:val="TableParagraph"/>
              <w:spacing w:line="271" w:lineRule="exact"/>
              <w:ind w:left="105"/>
              <w:rPr>
                <w:sz w:val="24"/>
              </w:rPr>
            </w:pPr>
            <w:r>
              <w:rPr>
                <w:spacing w:val="-2"/>
                <w:sz w:val="24"/>
              </w:rPr>
              <w:t>Students</w:t>
            </w:r>
          </w:p>
        </w:tc>
        <w:tc>
          <w:tcPr>
            <w:tcW w:w="958" w:type="dxa"/>
            <w:vMerge w:val="restart"/>
            <w:tcBorders>
              <w:top w:val="single" w:sz="4" w:space="0" w:color="000000"/>
              <w:bottom w:val="single" w:sz="4" w:space="0" w:color="000000"/>
            </w:tcBorders>
          </w:tcPr>
          <w:p>
            <w:pPr>
              <w:pStyle w:val="TableParagraph"/>
              <w:rPr>
                <w:rFonts w:ascii="Times New Roman"/>
                <w:sz w:val="24"/>
              </w:rPr>
            </w:pPr>
          </w:p>
        </w:tc>
        <w:tc>
          <w:tcPr>
            <w:tcW w:w="2365" w:type="dxa"/>
            <w:tcBorders>
              <w:top w:val="single" w:sz="4" w:space="0" w:color="000000"/>
            </w:tcBorders>
          </w:tcPr>
          <w:p>
            <w:pPr>
              <w:pStyle w:val="TableParagraph"/>
              <w:spacing w:line="271" w:lineRule="exact"/>
              <w:ind w:left="547"/>
              <w:rPr>
                <w:sz w:val="24"/>
              </w:rPr>
            </w:pPr>
            <w:r>
              <w:rPr>
                <w:spacing w:val="-2"/>
                <w:sz w:val="24"/>
              </w:rPr>
              <w:t>109,774</w:t>
            </w:r>
          </w:p>
        </w:tc>
        <w:tc>
          <w:tcPr>
            <w:tcW w:w="3115" w:type="dxa"/>
            <w:tcBorders>
              <w:top w:val="single" w:sz="4" w:space="0" w:color="000000"/>
              <w:right w:val="single" w:sz="4" w:space="0" w:color="000000"/>
            </w:tcBorders>
          </w:tcPr>
          <w:p>
            <w:pPr>
              <w:pStyle w:val="TableParagraph"/>
              <w:spacing w:line="271" w:lineRule="exact"/>
              <w:ind w:left="89" w:right="199"/>
              <w:jc w:val="center"/>
              <w:rPr>
                <w:sz w:val="24"/>
              </w:rPr>
            </w:pPr>
            <w:r>
              <w:rPr>
                <w:spacing w:val="-5"/>
                <w:sz w:val="24"/>
              </w:rPr>
              <w:t>384</w:t>
            </w:r>
          </w:p>
        </w:tc>
      </w:tr>
      <w:tr>
        <w:trPr>
          <w:trHeight w:val="541" w:hRule="atLeast"/>
        </w:trPr>
        <w:tc>
          <w:tcPr>
            <w:tcW w:w="2560" w:type="dxa"/>
            <w:tcBorders>
              <w:left w:val="single" w:sz="4" w:space="0" w:color="000000"/>
            </w:tcBorders>
          </w:tcPr>
          <w:p>
            <w:pPr>
              <w:pStyle w:val="TableParagraph"/>
              <w:spacing w:before="129"/>
              <w:ind w:left="105"/>
              <w:rPr>
                <w:sz w:val="24"/>
              </w:rPr>
            </w:pPr>
            <w:r>
              <w:rPr>
                <w:sz w:val="24"/>
              </w:rPr>
              <w:t>Service</w:t>
            </w:r>
            <w:r>
              <w:rPr>
                <w:spacing w:val="-7"/>
                <w:sz w:val="24"/>
              </w:rPr>
              <w:t> </w:t>
            </w:r>
            <w:r>
              <w:rPr>
                <w:spacing w:val="-4"/>
                <w:sz w:val="24"/>
              </w:rPr>
              <w:t>Staff</w:t>
            </w:r>
          </w:p>
        </w:tc>
        <w:tc>
          <w:tcPr>
            <w:tcW w:w="958" w:type="dxa"/>
            <w:vMerge/>
            <w:tcBorders>
              <w:top w:val="nil"/>
              <w:bottom w:val="single" w:sz="4" w:space="0" w:color="000000"/>
            </w:tcBorders>
          </w:tcPr>
          <w:p>
            <w:pPr>
              <w:rPr>
                <w:sz w:val="2"/>
                <w:szCs w:val="2"/>
              </w:rPr>
            </w:pPr>
          </w:p>
        </w:tc>
        <w:tc>
          <w:tcPr>
            <w:tcW w:w="2365" w:type="dxa"/>
          </w:tcPr>
          <w:p>
            <w:pPr>
              <w:pStyle w:val="TableParagraph"/>
              <w:spacing w:before="129"/>
              <w:ind w:left="207" w:right="333"/>
              <w:jc w:val="center"/>
              <w:rPr>
                <w:sz w:val="24"/>
              </w:rPr>
            </w:pPr>
            <w:r>
              <w:rPr>
                <w:spacing w:val="-2"/>
                <w:sz w:val="24"/>
              </w:rPr>
              <w:t>3,389</w:t>
            </w:r>
          </w:p>
        </w:tc>
        <w:tc>
          <w:tcPr>
            <w:tcW w:w="3115" w:type="dxa"/>
            <w:tcBorders>
              <w:right w:val="single" w:sz="4" w:space="0" w:color="000000"/>
            </w:tcBorders>
          </w:tcPr>
          <w:p>
            <w:pPr>
              <w:pStyle w:val="TableParagraph"/>
              <w:spacing w:before="129"/>
              <w:ind w:left="89" w:right="199"/>
              <w:jc w:val="center"/>
              <w:rPr>
                <w:sz w:val="24"/>
              </w:rPr>
            </w:pPr>
            <w:r>
              <w:rPr>
                <w:spacing w:val="-5"/>
                <w:sz w:val="24"/>
              </w:rPr>
              <w:t>346</w:t>
            </w:r>
          </w:p>
        </w:tc>
      </w:tr>
      <w:tr>
        <w:trPr>
          <w:trHeight w:val="771" w:hRule="atLeast"/>
        </w:trPr>
        <w:tc>
          <w:tcPr>
            <w:tcW w:w="2560" w:type="dxa"/>
            <w:tcBorders>
              <w:left w:val="single" w:sz="4" w:space="0" w:color="000000"/>
              <w:bottom w:val="single" w:sz="4" w:space="0" w:color="000000"/>
            </w:tcBorders>
          </w:tcPr>
          <w:p>
            <w:pPr>
              <w:pStyle w:val="TableParagraph"/>
              <w:spacing w:before="129"/>
              <w:ind w:left="105"/>
              <w:rPr>
                <w:sz w:val="24"/>
              </w:rPr>
            </w:pPr>
            <w:r>
              <w:rPr>
                <w:sz w:val="24"/>
              </w:rPr>
              <w:t>Top</w:t>
            </w:r>
            <w:r>
              <w:rPr>
                <w:spacing w:val="-9"/>
                <w:sz w:val="24"/>
              </w:rPr>
              <w:t> </w:t>
            </w:r>
            <w:r>
              <w:rPr>
                <w:sz w:val="24"/>
              </w:rPr>
              <w:t>Management</w:t>
            </w:r>
            <w:r>
              <w:rPr>
                <w:spacing w:val="-10"/>
                <w:sz w:val="24"/>
              </w:rPr>
              <w:t> </w:t>
            </w:r>
            <w:r>
              <w:rPr>
                <w:spacing w:val="-4"/>
                <w:sz w:val="24"/>
              </w:rPr>
              <w:t>Staff</w:t>
            </w:r>
          </w:p>
        </w:tc>
        <w:tc>
          <w:tcPr>
            <w:tcW w:w="958" w:type="dxa"/>
            <w:vMerge/>
            <w:tcBorders>
              <w:top w:val="nil"/>
              <w:bottom w:val="single" w:sz="4" w:space="0" w:color="000000"/>
            </w:tcBorders>
          </w:tcPr>
          <w:p>
            <w:pPr>
              <w:rPr>
                <w:sz w:val="2"/>
                <w:szCs w:val="2"/>
              </w:rPr>
            </w:pPr>
          </w:p>
        </w:tc>
        <w:tc>
          <w:tcPr>
            <w:tcW w:w="2365" w:type="dxa"/>
            <w:tcBorders>
              <w:bottom w:val="single" w:sz="4" w:space="0" w:color="000000"/>
            </w:tcBorders>
          </w:tcPr>
          <w:p>
            <w:pPr>
              <w:pStyle w:val="TableParagraph"/>
              <w:spacing w:before="129"/>
              <w:ind w:left="333" w:right="126"/>
              <w:jc w:val="center"/>
              <w:rPr>
                <w:sz w:val="24"/>
              </w:rPr>
            </w:pPr>
            <w:r>
              <w:rPr>
                <w:spacing w:val="-5"/>
                <w:sz w:val="24"/>
              </w:rPr>
              <w:t>45</w:t>
            </w:r>
          </w:p>
        </w:tc>
        <w:tc>
          <w:tcPr>
            <w:tcW w:w="3115" w:type="dxa"/>
            <w:tcBorders>
              <w:bottom w:val="single" w:sz="4" w:space="0" w:color="000000"/>
              <w:right w:val="single" w:sz="4" w:space="0" w:color="000000"/>
            </w:tcBorders>
          </w:tcPr>
          <w:p>
            <w:pPr>
              <w:pStyle w:val="TableParagraph"/>
              <w:spacing w:before="129"/>
              <w:ind w:left="199" w:right="110"/>
              <w:jc w:val="center"/>
              <w:rPr>
                <w:sz w:val="24"/>
              </w:rPr>
            </w:pPr>
            <w:r>
              <w:rPr>
                <w:spacing w:val="-5"/>
                <w:sz w:val="24"/>
              </w:rPr>
              <w:t>40</w:t>
            </w:r>
          </w:p>
        </w:tc>
      </w:tr>
      <w:tr>
        <w:trPr>
          <w:trHeight w:val="551" w:hRule="atLeast"/>
        </w:trPr>
        <w:tc>
          <w:tcPr>
            <w:tcW w:w="2560" w:type="dxa"/>
            <w:tcBorders>
              <w:top w:val="single" w:sz="4" w:space="0" w:color="000000"/>
              <w:left w:val="single" w:sz="4" w:space="0" w:color="000000"/>
              <w:bottom w:val="single" w:sz="4" w:space="0" w:color="000000"/>
            </w:tcBorders>
          </w:tcPr>
          <w:p>
            <w:pPr>
              <w:pStyle w:val="TableParagraph"/>
              <w:rPr>
                <w:rFonts w:ascii="Times New Roman"/>
                <w:sz w:val="24"/>
              </w:rPr>
            </w:pPr>
          </w:p>
        </w:tc>
        <w:tc>
          <w:tcPr>
            <w:tcW w:w="958" w:type="dxa"/>
            <w:tcBorders>
              <w:top w:val="single" w:sz="4" w:space="0" w:color="000000"/>
              <w:bottom w:val="single" w:sz="4" w:space="0" w:color="000000"/>
            </w:tcBorders>
          </w:tcPr>
          <w:p>
            <w:pPr>
              <w:pStyle w:val="TableParagraph"/>
              <w:spacing w:line="271" w:lineRule="exact"/>
              <w:ind w:left="17"/>
              <w:rPr>
                <w:sz w:val="24"/>
              </w:rPr>
            </w:pPr>
            <w:r>
              <w:rPr>
                <w:spacing w:val="-2"/>
                <w:sz w:val="24"/>
              </w:rPr>
              <w:t>Total</w:t>
            </w:r>
          </w:p>
        </w:tc>
        <w:tc>
          <w:tcPr>
            <w:tcW w:w="2365" w:type="dxa"/>
            <w:tcBorders>
              <w:top w:val="single" w:sz="4" w:space="0" w:color="000000"/>
              <w:bottom w:val="single" w:sz="4" w:space="0" w:color="000000"/>
            </w:tcBorders>
          </w:tcPr>
          <w:p>
            <w:pPr>
              <w:pStyle w:val="TableParagraph"/>
              <w:spacing w:line="271" w:lineRule="exact"/>
              <w:ind w:left="547"/>
              <w:rPr>
                <w:sz w:val="24"/>
              </w:rPr>
            </w:pPr>
            <w:r>
              <w:rPr>
                <w:spacing w:val="-2"/>
                <w:sz w:val="24"/>
              </w:rPr>
              <w:t>113,208</w:t>
            </w:r>
          </w:p>
        </w:tc>
        <w:tc>
          <w:tcPr>
            <w:tcW w:w="3115" w:type="dxa"/>
            <w:tcBorders>
              <w:top w:val="single" w:sz="4" w:space="0" w:color="000000"/>
              <w:bottom w:val="single" w:sz="4" w:space="0" w:color="000000"/>
              <w:right w:val="single" w:sz="4" w:space="0" w:color="000000"/>
            </w:tcBorders>
          </w:tcPr>
          <w:p>
            <w:pPr>
              <w:pStyle w:val="TableParagraph"/>
              <w:spacing w:line="271" w:lineRule="exact"/>
              <w:ind w:left="131" w:right="110"/>
              <w:jc w:val="center"/>
              <w:rPr>
                <w:sz w:val="24"/>
              </w:rPr>
            </w:pPr>
            <w:r>
              <w:rPr>
                <w:spacing w:val="-5"/>
                <w:sz w:val="24"/>
              </w:rPr>
              <w:t>770</w:t>
            </w:r>
          </w:p>
        </w:tc>
      </w:tr>
    </w:tbl>
    <w:p>
      <w:pPr>
        <w:pStyle w:val="BodyText"/>
        <w:spacing w:before="228"/>
        <w:rPr>
          <w:rFonts w:ascii="Arial"/>
          <w:b/>
          <w:sz w:val="28"/>
        </w:rPr>
      </w:pPr>
    </w:p>
    <w:p>
      <w:pPr>
        <w:pStyle w:val="BodyText"/>
        <w:spacing w:line="480" w:lineRule="auto"/>
        <w:ind w:left="440" w:right="473" w:firstLine="720"/>
        <w:jc w:val="both"/>
      </w:pPr>
      <w:r>
        <w:rPr/>
        <w:t>To determine the sample size of students’ respondents in each university, random sampling technique was used to select representative faculties. By this technique,</w:t>
      </w:r>
      <w:r>
        <w:rPr>
          <w:spacing w:val="-2"/>
        </w:rPr>
        <w:t> </w:t>
      </w:r>
      <w:r>
        <w:rPr/>
        <w:t>names of faculties</w:t>
      </w:r>
      <w:r>
        <w:rPr>
          <w:spacing w:val="-3"/>
        </w:rPr>
        <w:t> </w:t>
      </w:r>
      <w:r>
        <w:rPr/>
        <w:t>in</w:t>
      </w:r>
      <w:r>
        <w:rPr>
          <w:spacing w:val="-2"/>
        </w:rPr>
        <w:t> </w:t>
      </w:r>
      <w:r>
        <w:rPr/>
        <w:t>each University were written on pieces</w:t>
      </w:r>
      <w:r>
        <w:rPr>
          <w:spacing w:val="-3"/>
        </w:rPr>
        <w:t> </w:t>
      </w:r>
      <w:r>
        <w:rPr/>
        <w:t>of papers with</w:t>
      </w:r>
      <w:r>
        <w:rPr>
          <w:spacing w:val="-1"/>
        </w:rPr>
        <w:t> </w:t>
      </w:r>
      <w:r>
        <w:rPr/>
        <w:t>‘Yes’</w:t>
      </w:r>
      <w:r>
        <w:rPr>
          <w:spacing w:val="-2"/>
        </w:rPr>
        <w:t> </w:t>
      </w:r>
      <w:r>
        <w:rPr/>
        <w:t>or ‘No’</w:t>
      </w:r>
      <w:r>
        <w:rPr>
          <w:spacing w:val="-2"/>
        </w:rPr>
        <w:t> </w:t>
      </w:r>
      <w:r>
        <w:rPr/>
        <w:t>against</w:t>
      </w:r>
      <w:r>
        <w:rPr>
          <w:spacing w:val="-2"/>
        </w:rPr>
        <w:t> </w:t>
      </w:r>
      <w:r>
        <w:rPr/>
        <w:t>the</w:t>
      </w:r>
      <w:r>
        <w:rPr>
          <w:spacing w:val="-1"/>
        </w:rPr>
        <w:t> </w:t>
      </w:r>
      <w:r>
        <w:rPr/>
        <w:t>faculties.</w:t>
      </w:r>
      <w:r>
        <w:rPr>
          <w:spacing w:val="-2"/>
        </w:rPr>
        <w:t> </w:t>
      </w:r>
      <w:r>
        <w:rPr/>
        <w:t>One</w:t>
      </w:r>
      <w:r>
        <w:rPr>
          <w:spacing w:val="-1"/>
        </w:rPr>
        <w:t> </w:t>
      </w:r>
      <w:r>
        <w:rPr/>
        <w:t>third</w:t>
      </w:r>
      <w:r>
        <w:rPr>
          <w:spacing w:val="-1"/>
        </w:rPr>
        <w:t> </w:t>
      </w:r>
      <w:r>
        <w:rPr/>
        <w:t>of</w:t>
      </w:r>
      <w:r>
        <w:rPr>
          <w:spacing w:val="-2"/>
        </w:rPr>
        <w:t> </w:t>
      </w:r>
      <w:r>
        <w:rPr/>
        <w:t>the</w:t>
      </w:r>
      <w:r>
        <w:rPr>
          <w:spacing w:val="-1"/>
        </w:rPr>
        <w:t> </w:t>
      </w:r>
      <w:r>
        <w:rPr/>
        <w:t>faculties</w:t>
      </w:r>
      <w:r>
        <w:rPr>
          <w:spacing w:val="-6"/>
        </w:rPr>
        <w:t> </w:t>
      </w:r>
      <w:r>
        <w:rPr/>
        <w:t>in</w:t>
      </w:r>
      <w:r>
        <w:rPr>
          <w:spacing w:val="-1"/>
        </w:rPr>
        <w:t> </w:t>
      </w:r>
      <w:r>
        <w:rPr/>
        <w:t>each</w:t>
      </w:r>
      <w:r>
        <w:rPr>
          <w:spacing w:val="-1"/>
        </w:rPr>
        <w:t> </w:t>
      </w:r>
      <w:r>
        <w:rPr/>
        <w:t>university was considered as shown in Table 3.4.6.</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15"/>
      </w:pPr>
    </w:p>
    <w:p>
      <w:pPr>
        <w:pStyle w:val="BodyText"/>
        <w:spacing w:before="1"/>
        <w:ind w:right="763"/>
        <w:jc w:val="center"/>
        <w:rPr>
          <w:rFonts w:ascii="Times New Roman"/>
        </w:rPr>
      </w:pPr>
      <w:r>
        <w:rPr>
          <w:rFonts w:ascii="Times New Roman"/>
          <w:spacing w:val="-5"/>
        </w:rPr>
        <w:t>125</w:t>
      </w:r>
    </w:p>
    <w:p>
      <w:pPr>
        <w:spacing w:after="0"/>
        <w:jc w:val="center"/>
        <w:rPr>
          <w:rFonts w:ascii="Times New Roman"/>
        </w:rPr>
        <w:sectPr>
          <w:headerReference w:type="default" r:id="rId233"/>
          <w:footerReference w:type="default" r:id="rId234"/>
          <w:pgSz w:w="12240" w:h="15840"/>
          <w:pgMar w:header="0" w:footer="0" w:top="640" w:bottom="280" w:left="1720" w:right="960"/>
        </w:sectPr>
      </w:pPr>
    </w:p>
    <w:p>
      <w:pPr>
        <w:pStyle w:val="BodyText"/>
        <w:spacing w:before="72"/>
        <w:ind w:left="3" w:right="433"/>
        <w:jc w:val="center"/>
        <w:rPr>
          <w:rFonts w:ascii="Times New Roman"/>
        </w:rPr>
      </w:pPr>
      <w:r>
        <w:rPr>
          <w:rFonts w:ascii="Times New Roman"/>
          <w:spacing w:val="-5"/>
        </w:rPr>
        <w:t>126</w:t>
      </w:r>
    </w:p>
    <w:p>
      <w:pPr>
        <w:pStyle w:val="BodyText"/>
        <w:spacing w:before="121"/>
        <w:rPr>
          <w:rFonts w:ascii="Times New Roman"/>
          <w:sz w:val="28"/>
        </w:rPr>
      </w:pPr>
    </w:p>
    <w:p>
      <w:pPr>
        <w:pStyle w:val="Heading2"/>
        <w:spacing w:before="1"/>
        <w:ind w:left="0" w:right="433"/>
        <w:jc w:val="center"/>
      </w:pPr>
      <w:r>
        <w:rPr/>
        <w:t>Table</w:t>
      </w:r>
      <w:r>
        <w:rPr>
          <w:spacing w:val="-7"/>
        </w:rPr>
        <w:t> </w:t>
      </w:r>
      <w:r>
        <w:rPr/>
        <w:t>3.4.6:</w:t>
      </w:r>
      <w:r>
        <w:rPr>
          <w:spacing w:val="-2"/>
        </w:rPr>
        <w:t> </w:t>
      </w:r>
      <w:r>
        <w:rPr/>
        <w:t>The</w:t>
      </w:r>
      <w:r>
        <w:rPr>
          <w:spacing w:val="-11"/>
        </w:rPr>
        <w:t> </w:t>
      </w:r>
      <w:r>
        <w:rPr/>
        <w:t>Faculties</w:t>
      </w:r>
      <w:r>
        <w:rPr>
          <w:spacing w:val="-10"/>
        </w:rPr>
        <w:t> </w:t>
      </w:r>
      <w:r>
        <w:rPr/>
        <w:t>sampled</w:t>
      </w:r>
      <w:r>
        <w:rPr>
          <w:spacing w:val="-7"/>
        </w:rPr>
        <w:t> </w:t>
      </w:r>
      <w:r>
        <w:rPr/>
        <w:t>in</w:t>
      </w:r>
      <w:r>
        <w:rPr>
          <w:spacing w:val="-11"/>
        </w:rPr>
        <w:t> </w:t>
      </w:r>
      <w:r>
        <w:rPr/>
        <w:t>each</w:t>
      </w:r>
      <w:r>
        <w:rPr>
          <w:spacing w:val="-10"/>
        </w:rPr>
        <w:t> </w:t>
      </w:r>
      <w:r>
        <w:rPr/>
        <w:t>University</w:t>
      </w:r>
      <w:r>
        <w:rPr>
          <w:spacing w:val="-11"/>
        </w:rPr>
        <w:t> </w:t>
      </w:r>
      <w:r>
        <w:rPr/>
        <w:t>showing</w:t>
      </w:r>
      <w:r>
        <w:rPr>
          <w:spacing w:val="-10"/>
        </w:rPr>
        <w:t> </w:t>
      </w:r>
      <w:r>
        <w:rPr>
          <w:spacing w:val="-2"/>
        </w:rPr>
        <w:t>respondents</w:t>
      </w:r>
    </w:p>
    <w:p>
      <w:pPr>
        <w:pStyle w:val="BodyText"/>
        <w:spacing w:before="99"/>
        <w:rPr>
          <w:rFonts w:ascii="Arial"/>
          <w:b/>
          <w:sz w:val="20"/>
        </w:rPr>
      </w:pPr>
    </w:p>
    <w:tbl>
      <w:tblPr>
        <w:tblW w:w="0" w:type="auto"/>
        <w:jc w:val="left"/>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52"/>
        <w:gridCol w:w="1391"/>
        <w:gridCol w:w="1494"/>
        <w:gridCol w:w="1387"/>
        <w:gridCol w:w="1487"/>
        <w:gridCol w:w="1394"/>
        <w:gridCol w:w="1488"/>
        <w:gridCol w:w="1393"/>
        <w:gridCol w:w="1315"/>
        <w:gridCol w:w="1467"/>
      </w:tblGrid>
      <w:tr>
        <w:trPr>
          <w:trHeight w:val="508" w:hRule="atLeast"/>
        </w:trPr>
        <w:tc>
          <w:tcPr>
            <w:tcW w:w="14768" w:type="dxa"/>
            <w:gridSpan w:val="10"/>
          </w:tcPr>
          <w:p>
            <w:pPr>
              <w:pStyle w:val="TableParagraph"/>
              <w:tabs>
                <w:tab w:pos="3244" w:val="left" w:leader="none"/>
                <w:tab w:pos="6479" w:val="left" w:leader="none"/>
                <w:tab w:pos="9023" w:val="left" w:leader="none"/>
                <w:tab w:pos="11971" w:val="left" w:leader="none"/>
              </w:tabs>
              <w:spacing w:line="243" w:lineRule="exact"/>
              <w:ind w:right="283"/>
              <w:jc w:val="right"/>
              <w:rPr>
                <w:rFonts w:ascii="Arial"/>
                <w:b/>
                <w:sz w:val="22"/>
              </w:rPr>
            </w:pPr>
            <w:r>
              <w:rPr>
                <w:rFonts w:ascii="Arial"/>
                <w:b/>
                <w:sz w:val="22"/>
              </w:rPr>
              <w:t>Ahmadu</w:t>
            </w:r>
            <w:r>
              <w:rPr>
                <w:rFonts w:ascii="Arial"/>
                <w:b/>
                <w:spacing w:val="-9"/>
                <w:sz w:val="22"/>
              </w:rPr>
              <w:t> </w:t>
            </w:r>
            <w:r>
              <w:rPr>
                <w:rFonts w:ascii="Arial"/>
                <w:b/>
                <w:sz w:val="22"/>
              </w:rPr>
              <w:t>Bello</w:t>
            </w:r>
            <w:r>
              <w:rPr>
                <w:rFonts w:ascii="Arial"/>
                <w:b/>
                <w:spacing w:val="-3"/>
                <w:sz w:val="22"/>
              </w:rPr>
              <w:t> </w:t>
            </w:r>
            <w:r>
              <w:rPr>
                <w:rFonts w:ascii="Arial"/>
                <w:b/>
                <w:spacing w:val="-2"/>
                <w:sz w:val="22"/>
              </w:rPr>
              <w:t>University,</w:t>
            </w:r>
            <w:r>
              <w:rPr>
                <w:rFonts w:ascii="Arial"/>
                <w:b/>
                <w:sz w:val="22"/>
              </w:rPr>
              <w:tab/>
              <w:t>Bayero</w:t>
            </w:r>
            <w:r>
              <w:rPr>
                <w:rFonts w:ascii="Arial"/>
                <w:b/>
                <w:spacing w:val="-13"/>
                <w:sz w:val="22"/>
              </w:rPr>
              <w:t> </w:t>
            </w:r>
            <w:r>
              <w:rPr>
                <w:rFonts w:ascii="Arial"/>
                <w:b/>
                <w:sz w:val="22"/>
              </w:rPr>
              <w:t>University,</w:t>
            </w:r>
            <w:r>
              <w:rPr>
                <w:rFonts w:ascii="Arial"/>
                <w:b/>
                <w:spacing w:val="-10"/>
                <w:sz w:val="22"/>
              </w:rPr>
              <w:t> </w:t>
            </w:r>
            <w:r>
              <w:rPr>
                <w:rFonts w:ascii="Arial"/>
                <w:b/>
                <w:spacing w:val="-4"/>
                <w:sz w:val="22"/>
              </w:rPr>
              <w:t>Kano</w:t>
            </w:r>
            <w:r>
              <w:rPr>
                <w:rFonts w:ascii="Arial"/>
                <w:b/>
                <w:sz w:val="22"/>
              </w:rPr>
              <w:tab/>
              <w:t>University</w:t>
            </w:r>
            <w:r>
              <w:rPr>
                <w:rFonts w:ascii="Arial"/>
                <w:b/>
                <w:spacing w:val="-9"/>
                <w:sz w:val="22"/>
              </w:rPr>
              <w:t> </w:t>
            </w:r>
            <w:r>
              <w:rPr>
                <w:rFonts w:ascii="Arial"/>
                <w:b/>
                <w:sz w:val="22"/>
              </w:rPr>
              <w:t>of</w:t>
            </w:r>
            <w:r>
              <w:rPr>
                <w:rFonts w:ascii="Arial"/>
                <w:b/>
                <w:spacing w:val="-6"/>
                <w:sz w:val="22"/>
              </w:rPr>
              <w:t> </w:t>
            </w:r>
            <w:r>
              <w:rPr>
                <w:rFonts w:ascii="Arial"/>
                <w:b/>
                <w:spacing w:val="-5"/>
                <w:sz w:val="22"/>
              </w:rPr>
              <w:t>Jos</w:t>
            </w:r>
            <w:r>
              <w:rPr>
                <w:rFonts w:ascii="Arial"/>
                <w:b/>
                <w:sz w:val="22"/>
              </w:rPr>
              <w:tab/>
              <w:t>University</w:t>
            </w:r>
            <w:r>
              <w:rPr>
                <w:rFonts w:ascii="Arial"/>
                <w:b/>
                <w:spacing w:val="-9"/>
                <w:sz w:val="22"/>
              </w:rPr>
              <w:t> </w:t>
            </w:r>
            <w:r>
              <w:rPr>
                <w:rFonts w:ascii="Arial"/>
                <w:b/>
                <w:sz w:val="22"/>
              </w:rPr>
              <w:t>of</w:t>
            </w:r>
            <w:r>
              <w:rPr>
                <w:rFonts w:ascii="Arial"/>
                <w:b/>
                <w:spacing w:val="-6"/>
                <w:sz w:val="22"/>
              </w:rPr>
              <w:t> </w:t>
            </w:r>
            <w:r>
              <w:rPr>
                <w:rFonts w:ascii="Arial"/>
                <w:b/>
                <w:spacing w:val="-2"/>
                <w:sz w:val="22"/>
              </w:rPr>
              <w:t>Maiduguri</w:t>
            </w:r>
            <w:r>
              <w:rPr>
                <w:rFonts w:ascii="Arial"/>
                <w:b/>
                <w:sz w:val="22"/>
              </w:rPr>
              <w:tab/>
              <w:t>Usmanu</w:t>
            </w:r>
            <w:r>
              <w:rPr>
                <w:rFonts w:ascii="Arial"/>
                <w:b/>
                <w:spacing w:val="-8"/>
                <w:sz w:val="22"/>
              </w:rPr>
              <w:t> </w:t>
            </w:r>
            <w:r>
              <w:rPr>
                <w:rFonts w:ascii="Arial"/>
                <w:b/>
                <w:sz w:val="22"/>
              </w:rPr>
              <w:t>Dan</w:t>
            </w:r>
            <w:r>
              <w:rPr>
                <w:rFonts w:ascii="Arial"/>
                <w:b/>
                <w:spacing w:val="-6"/>
                <w:sz w:val="22"/>
              </w:rPr>
              <w:t> </w:t>
            </w:r>
            <w:r>
              <w:rPr>
                <w:rFonts w:ascii="Arial"/>
                <w:b/>
                <w:spacing w:val="-2"/>
                <w:sz w:val="22"/>
              </w:rPr>
              <w:t>Fodiyo</w:t>
            </w:r>
          </w:p>
          <w:p>
            <w:pPr>
              <w:pStyle w:val="TableParagraph"/>
              <w:tabs>
                <w:tab w:pos="11001" w:val="left" w:leader="none"/>
              </w:tabs>
              <w:spacing w:line="244" w:lineRule="exact" w:before="1"/>
              <w:ind w:right="374"/>
              <w:jc w:val="right"/>
              <w:rPr>
                <w:rFonts w:ascii="Arial"/>
                <w:b/>
                <w:sz w:val="22"/>
              </w:rPr>
            </w:pPr>
            <w:r>
              <w:rPr>
                <w:rFonts w:ascii="Arial"/>
                <w:b/>
                <w:spacing w:val="-2"/>
                <w:sz w:val="22"/>
              </w:rPr>
              <w:t>Zaria</w:t>
            </w:r>
            <w:r>
              <w:rPr>
                <w:rFonts w:ascii="Arial"/>
                <w:b/>
                <w:sz w:val="22"/>
              </w:rPr>
              <w:tab/>
              <w:t>University,</w:t>
            </w:r>
            <w:r>
              <w:rPr>
                <w:rFonts w:ascii="Arial"/>
                <w:b/>
                <w:spacing w:val="-12"/>
                <w:sz w:val="22"/>
              </w:rPr>
              <w:t> </w:t>
            </w:r>
            <w:r>
              <w:rPr>
                <w:rFonts w:ascii="Arial"/>
                <w:b/>
                <w:spacing w:val="-2"/>
                <w:sz w:val="22"/>
              </w:rPr>
              <w:t>Sokoto</w:t>
            </w:r>
          </w:p>
        </w:tc>
      </w:tr>
      <w:tr>
        <w:trPr>
          <w:trHeight w:val="412" w:hRule="atLeast"/>
        </w:trPr>
        <w:tc>
          <w:tcPr>
            <w:tcW w:w="1952" w:type="dxa"/>
            <w:tcBorders>
              <w:right w:val="nil"/>
            </w:tcBorders>
          </w:tcPr>
          <w:p>
            <w:pPr>
              <w:pStyle w:val="TableParagraph"/>
              <w:tabs>
                <w:tab w:pos="652" w:val="left" w:leader="none"/>
              </w:tabs>
              <w:spacing w:line="192" w:lineRule="exact" w:before="200"/>
              <w:ind w:left="119"/>
              <w:rPr>
                <w:sz w:val="18"/>
              </w:rPr>
            </w:pPr>
            <w:r>
              <w:rPr>
                <w:spacing w:val="-5"/>
                <w:sz w:val="18"/>
              </w:rPr>
              <w:t>S/N</w:t>
            </w:r>
            <w:r>
              <w:rPr>
                <w:sz w:val="18"/>
              </w:rPr>
              <w:tab/>
              <w:t>Faculties</w:t>
            </w:r>
            <w:r>
              <w:rPr>
                <w:spacing w:val="-6"/>
                <w:sz w:val="18"/>
              </w:rPr>
              <w:t> </w:t>
            </w:r>
            <w:r>
              <w:rPr>
                <w:spacing w:val="-4"/>
                <w:sz w:val="18"/>
              </w:rPr>
              <w:t>(12)</w:t>
            </w:r>
          </w:p>
        </w:tc>
        <w:tc>
          <w:tcPr>
            <w:tcW w:w="1391" w:type="dxa"/>
            <w:tcBorders>
              <w:left w:val="nil"/>
              <w:right w:val="nil"/>
            </w:tcBorders>
          </w:tcPr>
          <w:p>
            <w:pPr>
              <w:pStyle w:val="TableParagraph"/>
              <w:spacing w:line="192" w:lineRule="exact" w:before="200"/>
              <w:ind w:left="120" w:right="156"/>
              <w:jc w:val="center"/>
              <w:rPr>
                <w:sz w:val="18"/>
              </w:rPr>
            </w:pPr>
            <w:r>
              <w:rPr>
                <w:spacing w:val="-2"/>
                <w:sz w:val="18"/>
              </w:rPr>
              <w:t>Respondents</w:t>
            </w:r>
          </w:p>
        </w:tc>
        <w:tc>
          <w:tcPr>
            <w:tcW w:w="1494" w:type="dxa"/>
            <w:tcBorders>
              <w:left w:val="nil"/>
              <w:right w:val="nil"/>
            </w:tcBorders>
          </w:tcPr>
          <w:p>
            <w:pPr>
              <w:pStyle w:val="TableParagraph"/>
              <w:spacing w:line="192" w:lineRule="exact" w:before="200"/>
              <w:ind w:left="194"/>
              <w:rPr>
                <w:sz w:val="18"/>
              </w:rPr>
            </w:pPr>
            <w:r>
              <w:rPr>
                <w:sz w:val="18"/>
              </w:rPr>
              <w:t>Faculties</w:t>
            </w:r>
            <w:r>
              <w:rPr>
                <w:spacing w:val="-6"/>
                <w:sz w:val="18"/>
              </w:rPr>
              <w:t> </w:t>
            </w:r>
            <w:r>
              <w:rPr>
                <w:spacing w:val="-5"/>
                <w:sz w:val="18"/>
              </w:rPr>
              <w:t>(8)</w:t>
            </w:r>
          </w:p>
        </w:tc>
        <w:tc>
          <w:tcPr>
            <w:tcW w:w="1387" w:type="dxa"/>
            <w:tcBorders>
              <w:left w:val="nil"/>
              <w:right w:val="nil"/>
            </w:tcBorders>
          </w:tcPr>
          <w:p>
            <w:pPr>
              <w:pStyle w:val="TableParagraph"/>
              <w:spacing w:line="192" w:lineRule="exact" w:before="200"/>
              <w:ind w:left="140"/>
              <w:rPr>
                <w:sz w:val="18"/>
              </w:rPr>
            </w:pPr>
            <w:r>
              <w:rPr>
                <w:spacing w:val="-2"/>
                <w:sz w:val="18"/>
              </w:rPr>
              <w:t>Respondents</w:t>
            </w:r>
          </w:p>
        </w:tc>
        <w:tc>
          <w:tcPr>
            <w:tcW w:w="1487" w:type="dxa"/>
            <w:tcBorders>
              <w:left w:val="nil"/>
              <w:right w:val="nil"/>
            </w:tcBorders>
          </w:tcPr>
          <w:p>
            <w:pPr>
              <w:pStyle w:val="TableParagraph"/>
              <w:spacing w:line="192" w:lineRule="exact" w:before="200"/>
              <w:ind w:left="193"/>
              <w:rPr>
                <w:sz w:val="18"/>
              </w:rPr>
            </w:pPr>
            <w:r>
              <w:rPr>
                <w:sz w:val="18"/>
              </w:rPr>
              <w:t>Faculties</w:t>
            </w:r>
            <w:r>
              <w:rPr>
                <w:spacing w:val="-6"/>
                <w:sz w:val="18"/>
              </w:rPr>
              <w:t> </w:t>
            </w:r>
            <w:r>
              <w:rPr>
                <w:spacing w:val="-5"/>
                <w:sz w:val="18"/>
              </w:rPr>
              <w:t>(6)</w:t>
            </w:r>
          </w:p>
        </w:tc>
        <w:tc>
          <w:tcPr>
            <w:tcW w:w="1394" w:type="dxa"/>
            <w:tcBorders>
              <w:left w:val="nil"/>
              <w:right w:val="nil"/>
            </w:tcBorders>
          </w:tcPr>
          <w:p>
            <w:pPr>
              <w:pStyle w:val="TableParagraph"/>
              <w:spacing w:line="192" w:lineRule="exact" w:before="200"/>
              <w:ind w:left="121" w:right="158"/>
              <w:jc w:val="center"/>
              <w:rPr>
                <w:sz w:val="18"/>
              </w:rPr>
            </w:pPr>
            <w:r>
              <w:rPr>
                <w:spacing w:val="-2"/>
                <w:sz w:val="18"/>
              </w:rPr>
              <w:t>Respondents</w:t>
            </w:r>
          </w:p>
        </w:tc>
        <w:tc>
          <w:tcPr>
            <w:tcW w:w="1488" w:type="dxa"/>
            <w:tcBorders>
              <w:left w:val="nil"/>
              <w:right w:val="nil"/>
            </w:tcBorders>
          </w:tcPr>
          <w:p>
            <w:pPr>
              <w:pStyle w:val="TableParagraph"/>
              <w:spacing w:line="192" w:lineRule="exact" w:before="200"/>
              <w:ind w:left="192"/>
              <w:rPr>
                <w:sz w:val="18"/>
              </w:rPr>
            </w:pPr>
            <w:r>
              <w:rPr>
                <w:sz w:val="18"/>
              </w:rPr>
              <w:t>Faculties</w:t>
            </w:r>
            <w:r>
              <w:rPr>
                <w:spacing w:val="-6"/>
                <w:sz w:val="18"/>
              </w:rPr>
              <w:t> </w:t>
            </w:r>
            <w:r>
              <w:rPr>
                <w:spacing w:val="-4"/>
                <w:sz w:val="18"/>
              </w:rPr>
              <w:t>(10)</w:t>
            </w:r>
          </w:p>
        </w:tc>
        <w:tc>
          <w:tcPr>
            <w:tcW w:w="1393" w:type="dxa"/>
            <w:tcBorders>
              <w:left w:val="nil"/>
              <w:right w:val="nil"/>
            </w:tcBorders>
          </w:tcPr>
          <w:p>
            <w:pPr>
              <w:pStyle w:val="TableParagraph"/>
              <w:spacing w:line="192" w:lineRule="exact" w:before="200"/>
              <w:ind w:left="144"/>
              <w:rPr>
                <w:sz w:val="18"/>
              </w:rPr>
            </w:pPr>
            <w:r>
              <w:rPr>
                <w:spacing w:val="-2"/>
                <w:sz w:val="18"/>
              </w:rPr>
              <w:t>Respondents</w:t>
            </w:r>
          </w:p>
        </w:tc>
        <w:tc>
          <w:tcPr>
            <w:tcW w:w="1315" w:type="dxa"/>
            <w:tcBorders>
              <w:left w:val="nil"/>
              <w:right w:val="nil"/>
            </w:tcBorders>
          </w:tcPr>
          <w:p>
            <w:pPr>
              <w:pStyle w:val="TableParagraph"/>
              <w:spacing w:line="192" w:lineRule="exact" w:before="200"/>
              <w:ind w:left="191"/>
              <w:rPr>
                <w:sz w:val="18"/>
              </w:rPr>
            </w:pPr>
            <w:r>
              <w:rPr>
                <w:sz w:val="18"/>
              </w:rPr>
              <w:t>Faculties</w:t>
            </w:r>
            <w:r>
              <w:rPr>
                <w:spacing w:val="-6"/>
                <w:sz w:val="18"/>
              </w:rPr>
              <w:t> </w:t>
            </w:r>
            <w:r>
              <w:rPr>
                <w:spacing w:val="-5"/>
                <w:sz w:val="18"/>
              </w:rPr>
              <w:t>(7)</w:t>
            </w:r>
          </w:p>
        </w:tc>
        <w:tc>
          <w:tcPr>
            <w:tcW w:w="1467" w:type="dxa"/>
            <w:tcBorders>
              <w:left w:val="nil"/>
            </w:tcBorders>
          </w:tcPr>
          <w:p>
            <w:pPr>
              <w:pStyle w:val="TableParagraph"/>
              <w:spacing w:line="192" w:lineRule="exact" w:before="200"/>
              <w:ind w:left="134"/>
              <w:rPr>
                <w:sz w:val="18"/>
              </w:rPr>
            </w:pPr>
            <w:r>
              <w:rPr>
                <w:spacing w:val="-2"/>
                <w:sz w:val="18"/>
              </w:rPr>
              <w:t>Respondents</w:t>
            </w:r>
          </w:p>
        </w:tc>
      </w:tr>
      <w:tr>
        <w:trPr>
          <w:trHeight w:val="3724" w:hRule="atLeast"/>
        </w:trPr>
        <w:tc>
          <w:tcPr>
            <w:tcW w:w="1952" w:type="dxa"/>
            <w:tcBorders>
              <w:right w:val="nil"/>
            </w:tcBorders>
          </w:tcPr>
          <w:p>
            <w:pPr>
              <w:pStyle w:val="TableParagraph"/>
              <w:numPr>
                <w:ilvl w:val="0"/>
                <w:numId w:val="36"/>
              </w:numPr>
              <w:tabs>
                <w:tab w:pos="652" w:val="left" w:leader="none"/>
              </w:tabs>
              <w:spacing w:line="362" w:lineRule="auto" w:before="0" w:after="0"/>
              <w:ind w:left="652" w:right="144" w:hanging="456"/>
              <w:jc w:val="left"/>
              <w:rPr>
                <w:sz w:val="18"/>
              </w:rPr>
            </w:pPr>
            <w:r>
              <w:rPr>
                <w:sz w:val="18"/>
              </w:rPr>
              <w:t>Faculty of </w:t>
            </w:r>
            <w:r>
              <w:rPr>
                <w:spacing w:val="-2"/>
                <w:sz w:val="18"/>
              </w:rPr>
              <w:t>Administration</w:t>
            </w:r>
          </w:p>
          <w:p>
            <w:pPr>
              <w:pStyle w:val="TableParagraph"/>
              <w:rPr>
                <w:rFonts w:ascii="Arial"/>
                <w:b/>
                <w:sz w:val="18"/>
              </w:rPr>
            </w:pPr>
          </w:p>
          <w:p>
            <w:pPr>
              <w:pStyle w:val="TableParagraph"/>
              <w:spacing w:before="193"/>
              <w:rPr>
                <w:rFonts w:ascii="Arial"/>
                <w:b/>
                <w:sz w:val="18"/>
              </w:rPr>
            </w:pPr>
          </w:p>
          <w:p>
            <w:pPr>
              <w:pStyle w:val="TableParagraph"/>
              <w:numPr>
                <w:ilvl w:val="0"/>
                <w:numId w:val="36"/>
              </w:numPr>
              <w:tabs>
                <w:tab w:pos="652" w:val="left" w:leader="none"/>
              </w:tabs>
              <w:spacing w:line="355" w:lineRule="auto" w:before="0" w:after="0"/>
              <w:ind w:left="652" w:right="484" w:hanging="456"/>
              <w:jc w:val="left"/>
              <w:rPr>
                <w:sz w:val="18"/>
              </w:rPr>
            </w:pPr>
            <w:r>
              <w:rPr>
                <w:sz w:val="18"/>
              </w:rPr>
              <w:t>Faculty</w:t>
            </w:r>
            <w:r>
              <w:rPr>
                <w:spacing w:val="-10"/>
                <w:sz w:val="18"/>
              </w:rPr>
              <w:t> </w:t>
            </w:r>
            <w:r>
              <w:rPr>
                <w:sz w:val="18"/>
              </w:rPr>
              <w:t>of </w:t>
            </w:r>
            <w:r>
              <w:rPr>
                <w:spacing w:val="-2"/>
                <w:sz w:val="18"/>
              </w:rPr>
              <w:t>Education</w:t>
            </w:r>
          </w:p>
          <w:p>
            <w:pPr>
              <w:pStyle w:val="TableParagraph"/>
              <w:spacing w:before="112"/>
              <w:rPr>
                <w:rFonts w:ascii="Arial"/>
                <w:b/>
                <w:sz w:val="18"/>
              </w:rPr>
            </w:pPr>
          </w:p>
          <w:p>
            <w:pPr>
              <w:pStyle w:val="TableParagraph"/>
              <w:numPr>
                <w:ilvl w:val="0"/>
                <w:numId w:val="36"/>
              </w:numPr>
              <w:tabs>
                <w:tab w:pos="652" w:val="left" w:leader="none"/>
              </w:tabs>
              <w:spacing w:line="360" w:lineRule="auto" w:before="0" w:after="0"/>
              <w:ind w:left="652" w:right="506" w:hanging="456"/>
              <w:jc w:val="left"/>
              <w:rPr>
                <w:sz w:val="18"/>
              </w:rPr>
            </w:pPr>
            <w:r>
              <w:rPr>
                <w:sz w:val="18"/>
              </w:rPr>
              <w:t>Faculty</w:t>
            </w:r>
            <w:r>
              <w:rPr>
                <w:spacing w:val="-13"/>
                <w:sz w:val="18"/>
              </w:rPr>
              <w:t> </w:t>
            </w:r>
            <w:r>
              <w:rPr>
                <w:sz w:val="18"/>
              </w:rPr>
              <w:t>of </w:t>
            </w:r>
            <w:r>
              <w:rPr>
                <w:spacing w:val="-2"/>
                <w:sz w:val="18"/>
              </w:rPr>
              <w:t>Social Sciences</w:t>
            </w:r>
          </w:p>
          <w:p>
            <w:pPr>
              <w:pStyle w:val="TableParagraph"/>
              <w:numPr>
                <w:ilvl w:val="0"/>
                <w:numId w:val="36"/>
              </w:numPr>
              <w:tabs>
                <w:tab w:pos="652" w:val="left" w:leader="none"/>
              </w:tabs>
              <w:spacing w:line="207" w:lineRule="exact" w:before="0" w:after="0"/>
              <w:ind w:left="652" w:right="0" w:hanging="456"/>
              <w:jc w:val="left"/>
              <w:rPr>
                <w:sz w:val="18"/>
              </w:rPr>
            </w:pPr>
            <w:r>
              <w:rPr>
                <w:sz w:val="18"/>
              </w:rPr>
              <w:t>Faculty</w:t>
            </w:r>
            <w:r>
              <w:rPr>
                <w:spacing w:val="-5"/>
                <w:sz w:val="18"/>
              </w:rPr>
              <w:t> of</w:t>
            </w:r>
          </w:p>
          <w:p>
            <w:pPr>
              <w:pStyle w:val="TableParagraph"/>
              <w:spacing w:before="105"/>
              <w:ind w:left="652"/>
              <w:rPr>
                <w:sz w:val="18"/>
              </w:rPr>
            </w:pPr>
            <w:r>
              <w:rPr>
                <w:spacing w:val="-2"/>
                <w:sz w:val="18"/>
              </w:rPr>
              <w:t>Engineering</w:t>
            </w:r>
          </w:p>
        </w:tc>
        <w:tc>
          <w:tcPr>
            <w:tcW w:w="1391" w:type="dxa"/>
            <w:tcBorders>
              <w:left w:val="nil"/>
              <w:right w:val="nil"/>
            </w:tcBorders>
          </w:tcPr>
          <w:p>
            <w:pPr>
              <w:pStyle w:val="TableParagraph"/>
              <w:spacing w:line="196" w:lineRule="exact"/>
              <w:ind w:left="120"/>
              <w:jc w:val="center"/>
              <w:rPr>
                <w:sz w:val="18"/>
              </w:rPr>
            </w:pPr>
            <w:r>
              <w:rPr>
                <w:spacing w:val="-5"/>
                <w:sz w:val="18"/>
              </w:rPr>
              <w:t>25</w:t>
            </w:r>
          </w:p>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spacing w:before="1"/>
              <w:rPr>
                <w:rFonts w:ascii="Arial"/>
                <w:b/>
                <w:sz w:val="18"/>
              </w:rPr>
            </w:pPr>
          </w:p>
          <w:p>
            <w:pPr>
              <w:pStyle w:val="TableParagraph"/>
              <w:ind w:left="120"/>
              <w:jc w:val="center"/>
              <w:rPr>
                <w:sz w:val="18"/>
              </w:rPr>
            </w:pPr>
            <w:r>
              <w:rPr>
                <w:spacing w:val="-5"/>
                <w:sz w:val="18"/>
              </w:rPr>
              <w:t>25</w:t>
            </w:r>
          </w:p>
          <w:p>
            <w:pPr>
              <w:pStyle w:val="TableParagraph"/>
              <w:rPr>
                <w:rFonts w:ascii="Arial"/>
                <w:b/>
                <w:sz w:val="18"/>
              </w:rPr>
            </w:pPr>
          </w:p>
          <w:p>
            <w:pPr>
              <w:pStyle w:val="TableParagraph"/>
              <w:rPr>
                <w:rFonts w:ascii="Arial"/>
                <w:b/>
                <w:sz w:val="18"/>
              </w:rPr>
            </w:pPr>
          </w:p>
          <w:p>
            <w:pPr>
              <w:pStyle w:val="TableParagraph"/>
              <w:spacing w:before="103"/>
              <w:rPr>
                <w:rFonts w:ascii="Arial"/>
                <w:b/>
                <w:sz w:val="18"/>
              </w:rPr>
            </w:pPr>
          </w:p>
          <w:p>
            <w:pPr>
              <w:pStyle w:val="TableParagraph"/>
              <w:ind w:left="120"/>
              <w:jc w:val="center"/>
              <w:rPr>
                <w:sz w:val="18"/>
              </w:rPr>
            </w:pPr>
            <w:r>
              <w:rPr>
                <w:spacing w:val="-5"/>
                <w:sz w:val="18"/>
              </w:rPr>
              <w:t>25</w:t>
            </w:r>
          </w:p>
          <w:p>
            <w:pPr>
              <w:pStyle w:val="TableParagraph"/>
              <w:rPr>
                <w:rFonts w:ascii="Arial"/>
                <w:b/>
                <w:sz w:val="18"/>
              </w:rPr>
            </w:pPr>
          </w:p>
          <w:p>
            <w:pPr>
              <w:pStyle w:val="TableParagraph"/>
              <w:rPr>
                <w:rFonts w:ascii="Arial"/>
                <w:b/>
                <w:sz w:val="18"/>
              </w:rPr>
            </w:pPr>
          </w:p>
          <w:p>
            <w:pPr>
              <w:pStyle w:val="TableParagraph"/>
              <w:spacing w:before="103"/>
              <w:rPr>
                <w:rFonts w:ascii="Arial"/>
                <w:b/>
                <w:sz w:val="18"/>
              </w:rPr>
            </w:pPr>
          </w:p>
          <w:p>
            <w:pPr>
              <w:pStyle w:val="TableParagraph"/>
              <w:spacing w:before="1"/>
              <w:ind w:left="120"/>
              <w:jc w:val="center"/>
              <w:rPr>
                <w:sz w:val="18"/>
              </w:rPr>
            </w:pPr>
            <w:r>
              <w:rPr>
                <w:spacing w:val="-5"/>
                <w:sz w:val="18"/>
              </w:rPr>
              <w:t>25</w:t>
            </w:r>
          </w:p>
        </w:tc>
        <w:tc>
          <w:tcPr>
            <w:tcW w:w="1494" w:type="dxa"/>
            <w:tcBorders>
              <w:left w:val="nil"/>
              <w:right w:val="nil"/>
            </w:tcBorders>
          </w:tcPr>
          <w:p>
            <w:pPr>
              <w:pStyle w:val="TableParagraph"/>
              <w:spacing w:line="360" w:lineRule="auto"/>
              <w:ind w:left="194" w:right="76"/>
              <w:rPr>
                <w:sz w:val="18"/>
              </w:rPr>
            </w:pPr>
            <w:r>
              <w:rPr>
                <w:sz w:val="18"/>
              </w:rPr>
              <w:t>Faculty</w:t>
            </w:r>
            <w:r>
              <w:rPr>
                <w:spacing w:val="-15"/>
                <w:sz w:val="18"/>
              </w:rPr>
              <w:t> </w:t>
            </w:r>
            <w:r>
              <w:rPr>
                <w:sz w:val="18"/>
              </w:rPr>
              <w:t>of</w:t>
            </w:r>
            <w:r>
              <w:rPr>
                <w:spacing w:val="-12"/>
                <w:sz w:val="18"/>
              </w:rPr>
              <w:t> </w:t>
            </w:r>
            <w:r>
              <w:rPr>
                <w:sz w:val="18"/>
              </w:rPr>
              <w:t>Arts &amp; Islamic </w:t>
            </w:r>
            <w:r>
              <w:rPr>
                <w:spacing w:val="-2"/>
                <w:sz w:val="18"/>
              </w:rPr>
              <w:t>Studies</w:t>
            </w:r>
          </w:p>
          <w:p>
            <w:pPr>
              <w:pStyle w:val="TableParagraph"/>
              <w:spacing w:before="94"/>
              <w:rPr>
                <w:rFonts w:ascii="Arial"/>
                <w:b/>
                <w:sz w:val="18"/>
              </w:rPr>
            </w:pPr>
          </w:p>
          <w:p>
            <w:pPr>
              <w:pStyle w:val="TableParagraph"/>
              <w:ind w:left="117" w:right="53"/>
              <w:jc w:val="center"/>
              <w:rPr>
                <w:sz w:val="18"/>
              </w:rPr>
            </w:pPr>
            <w:r>
              <w:rPr>
                <w:sz w:val="18"/>
              </w:rPr>
              <w:t>Faculty</w:t>
            </w:r>
            <w:r>
              <w:rPr>
                <w:spacing w:val="-4"/>
                <w:sz w:val="18"/>
              </w:rPr>
              <w:t> </w:t>
            </w:r>
            <w:r>
              <w:rPr>
                <w:sz w:val="18"/>
              </w:rPr>
              <w:t>of</w:t>
            </w:r>
            <w:r>
              <w:rPr>
                <w:spacing w:val="-1"/>
                <w:sz w:val="18"/>
              </w:rPr>
              <w:t> </w:t>
            </w:r>
            <w:r>
              <w:rPr>
                <w:spacing w:val="-5"/>
                <w:sz w:val="18"/>
              </w:rPr>
              <w:t>Law</w:t>
            </w:r>
          </w:p>
          <w:p>
            <w:pPr>
              <w:pStyle w:val="TableParagraph"/>
              <w:rPr>
                <w:rFonts w:ascii="Arial"/>
                <w:b/>
                <w:sz w:val="18"/>
              </w:rPr>
            </w:pPr>
          </w:p>
          <w:p>
            <w:pPr>
              <w:pStyle w:val="TableParagraph"/>
              <w:rPr>
                <w:rFonts w:ascii="Arial"/>
                <w:b/>
                <w:sz w:val="18"/>
              </w:rPr>
            </w:pPr>
          </w:p>
          <w:p>
            <w:pPr>
              <w:pStyle w:val="TableParagraph"/>
              <w:spacing w:before="103"/>
              <w:rPr>
                <w:rFonts w:ascii="Arial"/>
                <w:b/>
                <w:sz w:val="18"/>
              </w:rPr>
            </w:pPr>
          </w:p>
          <w:p>
            <w:pPr>
              <w:pStyle w:val="TableParagraph"/>
              <w:spacing w:line="360" w:lineRule="auto"/>
              <w:ind w:left="194"/>
              <w:rPr>
                <w:sz w:val="18"/>
              </w:rPr>
            </w:pPr>
            <w:r>
              <w:rPr>
                <w:sz w:val="18"/>
              </w:rPr>
              <w:t>Faculty of </w:t>
            </w:r>
            <w:r>
              <w:rPr>
                <w:spacing w:val="-2"/>
                <w:sz w:val="18"/>
              </w:rPr>
              <w:t>Management Sciences</w:t>
            </w:r>
          </w:p>
          <w:p>
            <w:pPr>
              <w:pStyle w:val="TableParagraph"/>
              <w:spacing w:before="105"/>
              <w:rPr>
                <w:rFonts w:ascii="Arial"/>
                <w:b/>
                <w:sz w:val="18"/>
              </w:rPr>
            </w:pPr>
          </w:p>
          <w:p>
            <w:pPr>
              <w:pStyle w:val="TableParagraph"/>
              <w:ind w:left="117"/>
              <w:jc w:val="center"/>
              <w:rPr>
                <w:sz w:val="18"/>
              </w:rPr>
            </w:pPr>
            <w:r>
              <w:rPr>
                <w:spacing w:val="-10"/>
                <w:sz w:val="18"/>
              </w:rPr>
              <w:t>-</w:t>
            </w:r>
          </w:p>
        </w:tc>
        <w:tc>
          <w:tcPr>
            <w:tcW w:w="1387" w:type="dxa"/>
            <w:tcBorders>
              <w:left w:val="nil"/>
              <w:right w:val="nil"/>
            </w:tcBorders>
          </w:tcPr>
          <w:p>
            <w:pPr>
              <w:pStyle w:val="TableParagraph"/>
              <w:spacing w:line="196" w:lineRule="exact"/>
              <w:ind w:left="116" w:right="2"/>
              <w:jc w:val="center"/>
              <w:rPr>
                <w:sz w:val="18"/>
              </w:rPr>
            </w:pPr>
            <w:r>
              <w:rPr>
                <w:spacing w:val="-5"/>
                <w:sz w:val="18"/>
              </w:rPr>
              <w:t>29</w:t>
            </w:r>
          </w:p>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spacing w:before="1"/>
              <w:rPr>
                <w:rFonts w:ascii="Arial"/>
                <w:b/>
                <w:sz w:val="18"/>
              </w:rPr>
            </w:pPr>
          </w:p>
          <w:p>
            <w:pPr>
              <w:pStyle w:val="TableParagraph"/>
              <w:ind w:left="116" w:right="2"/>
              <w:jc w:val="center"/>
              <w:rPr>
                <w:sz w:val="18"/>
              </w:rPr>
            </w:pPr>
            <w:r>
              <w:rPr>
                <w:spacing w:val="-5"/>
                <w:sz w:val="18"/>
              </w:rPr>
              <w:t>29</w:t>
            </w:r>
          </w:p>
          <w:p>
            <w:pPr>
              <w:pStyle w:val="TableParagraph"/>
              <w:rPr>
                <w:rFonts w:ascii="Arial"/>
                <w:b/>
                <w:sz w:val="18"/>
              </w:rPr>
            </w:pPr>
          </w:p>
          <w:p>
            <w:pPr>
              <w:pStyle w:val="TableParagraph"/>
              <w:rPr>
                <w:rFonts w:ascii="Arial"/>
                <w:b/>
                <w:sz w:val="18"/>
              </w:rPr>
            </w:pPr>
          </w:p>
          <w:p>
            <w:pPr>
              <w:pStyle w:val="TableParagraph"/>
              <w:spacing w:before="103"/>
              <w:rPr>
                <w:rFonts w:ascii="Arial"/>
                <w:b/>
                <w:sz w:val="18"/>
              </w:rPr>
            </w:pPr>
          </w:p>
          <w:p>
            <w:pPr>
              <w:pStyle w:val="TableParagraph"/>
              <w:ind w:left="116" w:right="2"/>
              <w:jc w:val="center"/>
              <w:rPr>
                <w:sz w:val="18"/>
              </w:rPr>
            </w:pPr>
            <w:r>
              <w:rPr>
                <w:spacing w:val="-5"/>
                <w:sz w:val="18"/>
              </w:rPr>
              <w:t>30</w:t>
            </w:r>
          </w:p>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spacing w:before="1"/>
              <w:rPr>
                <w:rFonts w:ascii="Arial"/>
                <w:b/>
                <w:sz w:val="18"/>
              </w:rPr>
            </w:pPr>
          </w:p>
          <w:p>
            <w:pPr>
              <w:pStyle w:val="TableParagraph"/>
              <w:spacing w:before="1"/>
              <w:ind w:left="116"/>
              <w:jc w:val="center"/>
              <w:rPr>
                <w:sz w:val="18"/>
              </w:rPr>
            </w:pPr>
            <w:r>
              <w:rPr>
                <w:spacing w:val="-10"/>
                <w:sz w:val="18"/>
              </w:rPr>
              <w:t>-</w:t>
            </w:r>
          </w:p>
        </w:tc>
        <w:tc>
          <w:tcPr>
            <w:tcW w:w="1487" w:type="dxa"/>
            <w:tcBorders>
              <w:left w:val="nil"/>
              <w:right w:val="nil"/>
            </w:tcBorders>
          </w:tcPr>
          <w:p>
            <w:pPr>
              <w:pStyle w:val="TableParagraph"/>
              <w:spacing w:line="360" w:lineRule="auto"/>
              <w:ind w:left="193"/>
              <w:rPr>
                <w:sz w:val="18"/>
              </w:rPr>
            </w:pPr>
            <w:r>
              <w:rPr>
                <w:sz w:val="18"/>
              </w:rPr>
              <w:t>Faculty</w:t>
            </w:r>
            <w:r>
              <w:rPr>
                <w:spacing w:val="-13"/>
                <w:sz w:val="18"/>
              </w:rPr>
              <w:t> </w:t>
            </w:r>
            <w:r>
              <w:rPr>
                <w:sz w:val="18"/>
              </w:rPr>
              <w:t>of </w:t>
            </w:r>
            <w:r>
              <w:rPr>
                <w:spacing w:val="-2"/>
                <w:sz w:val="18"/>
              </w:rPr>
              <w:t>Medical Sciences</w:t>
            </w:r>
          </w:p>
          <w:p>
            <w:pPr>
              <w:pStyle w:val="TableParagraph"/>
              <w:spacing w:before="94"/>
              <w:rPr>
                <w:rFonts w:ascii="Arial"/>
                <w:b/>
                <w:sz w:val="18"/>
              </w:rPr>
            </w:pPr>
          </w:p>
          <w:p>
            <w:pPr>
              <w:pStyle w:val="TableParagraph"/>
              <w:spacing w:line="360" w:lineRule="auto"/>
              <w:ind w:left="193"/>
              <w:rPr>
                <w:sz w:val="18"/>
              </w:rPr>
            </w:pPr>
            <w:r>
              <w:rPr>
                <w:sz w:val="18"/>
              </w:rPr>
              <w:t>Faculty of </w:t>
            </w:r>
            <w:r>
              <w:rPr>
                <w:spacing w:val="-2"/>
                <w:sz w:val="18"/>
              </w:rPr>
              <w:t>Environmental Sciences</w:t>
            </w:r>
          </w:p>
          <w:p>
            <w:pPr>
              <w:pStyle w:val="TableParagraph"/>
              <w:spacing w:before="104"/>
              <w:rPr>
                <w:rFonts w:ascii="Arial"/>
                <w:b/>
                <w:sz w:val="18"/>
              </w:rPr>
            </w:pPr>
          </w:p>
          <w:p>
            <w:pPr>
              <w:pStyle w:val="TableParagraph"/>
              <w:spacing w:before="1"/>
              <w:ind w:left="122"/>
              <w:jc w:val="center"/>
              <w:rPr>
                <w:sz w:val="18"/>
              </w:rPr>
            </w:pPr>
            <w:r>
              <w:rPr>
                <w:spacing w:val="-10"/>
                <w:sz w:val="18"/>
              </w:rPr>
              <w:t>-</w:t>
            </w:r>
          </w:p>
          <w:p>
            <w:pPr>
              <w:pStyle w:val="TableParagraph"/>
              <w:rPr>
                <w:rFonts w:ascii="Arial"/>
                <w:b/>
                <w:sz w:val="18"/>
              </w:rPr>
            </w:pPr>
          </w:p>
          <w:p>
            <w:pPr>
              <w:pStyle w:val="TableParagraph"/>
              <w:rPr>
                <w:rFonts w:ascii="Arial"/>
                <w:b/>
                <w:sz w:val="18"/>
              </w:rPr>
            </w:pPr>
          </w:p>
          <w:p>
            <w:pPr>
              <w:pStyle w:val="TableParagraph"/>
              <w:spacing w:before="103"/>
              <w:rPr>
                <w:rFonts w:ascii="Arial"/>
                <w:b/>
                <w:sz w:val="18"/>
              </w:rPr>
            </w:pPr>
          </w:p>
          <w:p>
            <w:pPr>
              <w:pStyle w:val="TableParagraph"/>
              <w:ind w:left="122"/>
              <w:jc w:val="center"/>
              <w:rPr>
                <w:sz w:val="18"/>
              </w:rPr>
            </w:pPr>
            <w:r>
              <w:rPr>
                <w:spacing w:val="-10"/>
                <w:sz w:val="18"/>
              </w:rPr>
              <w:t>-</w:t>
            </w:r>
          </w:p>
        </w:tc>
        <w:tc>
          <w:tcPr>
            <w:tcW w:w="1394" w:type="dxa"/>
            <w:tcBorders>
              <w:left w:val="nil"/>
              <w:right w:val="nil"/>
            </w:tcBorders>
          </w:tcPr>
          <w:p>
            <w:pPr>
              <w:pStyle w:val="TableParagraph"/>
              <w:spacing w:line="196" w:lineRule="exact"/>
              <w:ind w:left="119"/>
              <w:jc w:val="center"/>
              <w:rPr>
                <w:sz w:val="18"/>
              </w:rPr>
            </w:pPr>
            <w:r>
              <w:rPr>
                <w:spacing w:val="-5"/>
                <w:sz w:val="18"/>
              </w:rPr>
              <w:t>22</w:t>
            </w:r>
          </w:p>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spacing w:before="1"/>
              <w:rPr>
                <w:rFonts w:ascii="Arial"/>
                <w:b/>
                <w:sz w:val="18"/>
              </w:rPr>
            </w:pPr>
          </w:p>
          <w:p>
            <w:pPr>
              <w:pStyle w:val="TableParagraph"/>
              <w:ind w:left="119"/>
              <w:jc w:val="center"/>
              <w:rPr>
                <w:sz w:val="18"/>
              </w:rPr>
            </w:pPr>
            <w:r>
              <w:rPr>
                <w:spacing w:val="-5"/>
                <w:sz w:val="18"/>
              </w:rPr>
              <w:t>22</w:t>
            </w:r>
          </w:p>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spacing w:before="1"/>
              <w:rPr>
                <w:rFonts w:ascii="Arial"/>
                <w:b/>
                <w:sz w:val="18"/>
              </w:rPr>
            </w:pPr>
          </w:p>
          <w:p>
            <w:pPr>
              <w:pStyle w:val="TableParagraph"/>
              <w:ind w:left="121"/>
              <w:jc w:val="center"/>
              <w:rPr>
                <w:sz w:val="18"/>
              </w:rPr>
            </w:pPr>
            <w:r>
              <w:rPr>
                <w:spacing w:val="-10"/>
                <w:sz w:val="18"/>
              </w:rPr>
              <w:t>-</w:t>
            </w:r>
          </w:p>
          <w:p>
            <w:pPr>
              <w:pStyle w:val="TableParagraph"/>
              <w:rPr>
                <w:rFonts w:ascii="Arial"/>
                <w:b/>
                <w:sz w:val="18"/>
              </w:rPr>
            </w:pPr>
          </w:p>
          <w:p>
            <w:pPr>
              <w:pStyle w:val="TableParagraph"/>
              <w:rPr>
                <w:rFonts w:ascii="Arial"/>
                <w:b/>
                <w:sz w:val="18"/>
              </w:rPr>
            </w:pPr>
          </w:p>
          <w:p>
            <w:pPr>
              <w:pStyle w:val="TableParagraph"/>
              <w:spacing w:before="103"/>
              <w:rPr>
                <w:rFonts w:ascii="Arial"/>
                <w:b/>
                <w:sz w:val="18"/>
              </w:rPr>
            </w:pPr>
          </w:p>
          <w:p>
            <w:pPr>
              <w:pStyle w:val="TableParagraph"/>
              <w:spacing w:before="1"/>
              <w:ind w:left="121"/>
              <w:jc w:val="center"/>
              <w:rPr>
                <w:sz w:val="18"/>
              </w:rPr>
            </w:pPr>
            <w:r>
              <w:rPr>
                <w:spacing w:val="-10"/>
                <w:sz w:val="18"/>
              </w:rPr>
              <w:t>-</w:t>
            </w:r>
          </w:p>
        </w:tc>
        <w:tc>
          <w:tcPr>
            <w:tcW w:w="1488" w:type="dxa"/>
            <w:tcBorders>
              <w:left w:val="nil"/>
              <w:right w:val="nil"/>
            </w:tcBorders>
          </w:tcPr>
          <w:p>
            <w:pPr>
              <w:pStyle w:val="TableParagraph"/>
              <w:spacing w:line="196" w:lineRule="exact"/>
              <w:ind w:left="192"/>
              <w:rPr>
                <w:sz w:val="18"/>
              </w:rPr>
            </w:pPr>
            <w:r>
              <w:rPr>
                <w:sz w:val="18"/>
              </w:rPr>
              <w:t>Faculty</w:t>
            </w:r>
            <w:r>
              <w:rPr>
                <w:spacing w:val="-4"/>
                <w:sz w:val="18"/>
              </w:rPr>
              <w:t> </w:t>
            </w:r>
            <w:r>
              <w:rPr>
                <w:sz w:val="18"/>
              </w:rPr>
              <w:t>of</w:t>
            </w:r>
            <w:r>
              <w:rPr>
                <w:spacing w:val="-1"/>
                <w:sz w:val="18"/>
              </w:rPr>
              <w:t> </w:t>
            </w:r>
            <w:r>
              <w:rPr>
                <w:spacing w:val="-4"/>
                <w:sz w:val="18"/>
              </w:rPr>
              <w:t>Arts</w:t>
            </w:r>
          </w:p>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spacing w:before="1"/>
              <w:rPr>
                <w:rFonts w:ascii="Arial"/>
                <w:b/>
                <w:sz w:val="18"/>
              </w:rPr>
            </w:pPr>
          </w:p>
          <w:p>
            <w:pPr>
              <w:pStyle w:val="TableParagraph"/>
              <w:spacing w:line="355" w:lineRule="auto"/>
              <w:ind w:left="192"/>
              <w:rPr>
                <w:sz w:val="18"/>
              </w:rPr>
            </w:pPr>
            <w:r>
              <w:rPr>
                <w:sz w:val="18"/>
              </w:rPr>
              <w:t>Faculty</w:t>
            </w:r>
            <w:r>
              <w:rPr>
                <w:spacing w:val="-10"/>
                <w:sz w:val="18"/>
              </w:rPr>
              <w:t> </w:t>
            </w:r>
            <w:r>
              <w:rPr>
                <w:sz w:val="18"/>
              </w:rPr>
              <w:t>of </w:t>
            </w:r>
            <w:r>
              <w:rPr>
                <w:spacing w:val="-2"/>
                <w:sz w:val="18"/>
              </w:rPr>
              <w:t>Education</w:t>
            </w:r>
          </w:p>
          <w:p>
            <w:pPr>
              <w:pStyle w:val="TableParagraph"/>
              <w:spacing w:before="111"/>
              <w:rPr>
                <w:rFonts w:ascii="Arial"/>
                <w:b/>
                <w:sz w:val="18"/>
              </w:rPr>
            </w:pPr>
          </w:p>
          <w:p>
            <w:pPr>
              <w:pStyle w:val="TableParagraph"/>
              <w:spacing w:line="362" w:lineRule="auto" w:before="1"/>
              <w:ind w:left="192"/>
              <w:rPr>
                <w:sz w:val="18"/>
              </w:rPr>
            </w:pPr>
            <w:r>
              <w:rPr>
                <w:sz w:val="18"/>
              </w:rPr>
              <w:t>Faculty of </w:t>
            </w:r>
            <w:r>
              <w:rPr>
                <w:spacing w:val="-2"/>
                <w:sz w:val="18"/>
              </w:rPr>
              <w:t>Engineering</w:t>
            </w:r>
          </w:p>
          <w:p>
            <w:pPr>
              <w:pStyle w:val="TableParagraph"/>
              <w:rPr>
                <w:rFonts w:ascii="Arial"/>
                <w:b/>
                <w:sz w:val="18"/>
              </w:rPr>
            </w:pPr>
          </w:p>
          <w:p>
            <w:pPr>
              <w:pStyle w:val="TableParagraph"/>
              <w:spacing w:before="204"/>
              <w:rPr>
                <w:rFonts w:ascii="Arial"/>
                <w:b/>
                <w:sz w:val="18"/>
              </w:rPr>
            </w:pPr>
          </w:p>
          <w:p>
            <w:pPr>
              <w:pStyle w:val="TableParagraph"/>
              <w:ind w:left="119"/>
              <w:jc w:val="center"/>
              <w:rPr>
                <w:sz w:val="18"/>
              </w:rPr>
            </w:pPr>
            <w:r>
              <w:rPr>
                <w:spacing w:val="-10"/>
                <w:sz w:val="18"/>
              </w:rPr>
              <w:t>-</w:t>
            </w:r>
          </w:p>
        </w:tc>
        <w:tc>
          <w:tcPr>
            <w:tcW w:w="1393" w:type="dxa"/>
            <w:tcBorders>
              <w:left w:val="nil"/>
              <w:right w:val="nil"/>
            </w:tcBorders>
          </w:tcPr>
          <w:p>
            <w:pPr>
              <w:pStyle w:val="TableParagraph"/>
              <w:spacing w:line="196" w:lineRule="exact"/>
              <w:ind w:left="125" w:right="9"/>
              <w:jc w:val="center"/>
              <w:rPr>
                <w:sz w:val="18"/>
              </w:rPr>
            </w:pPr>
            <w:r>
              <w:rPr>
                <w:spacing w:val="-5"/>
                <w:sz w:val="18"/>
              </w:rPr>
              <w:t>24</w:t>
            </w:r>
          </w:p>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spacing w:before="1"/>
              <w:rPr>
                <w:rFonts w:ascii="Arial"/>
                <w:b/>
                <w:sz w:val="18"/>
              </w:rPr>
            </w:pPr>
          </w:p>
          <w:p>
            <w:pPr>
              <w:pStyle w:val="TableParagraph"/>
              <w:ind w:left="125" w:right="9"/>
              <w:jc w:val="center"/>
              <w:rPr>
                <w:sz w:val="18"/>
              </w:rPr>
            </w:pPr>
            <w:r>
              <w:rPr>
                <w:spacing w:val="-5"/>
                <w:sz w:val="18"/>
              </w:rPr>
              <w:t>23</w:t>
            </w:r>
          </w:p>
          <w:p>
            <w:pPr>
              <w:pStyle w:val="TableParagraph"/>
              <w:rPr>
                <w:rFonts w:ascii="Arial"/>
                <w:b/>
                <w:sz w:val="18"/>
              </w:rPr>
            </w:pPr>
          </w:p>
          <w:p>
            <w:pPr>
              <w:pStyle w:val="TableParagraph"/>
              <w:rPr>
                <w:rFonts w:ascii="Arial"/>
                <w:b/>
                <w:sz w:val="18"/>
              </w:rPr>
            </w:pPr>
          </w:p>
          <w:p>
            <w:pPr>
              <w:pStyle w:val="TableParagraph"/>
              <w:spacing w:before="103"/>
              <w:rPr>
                <w:rFonts w:ascii="Arial"/>
                <w:b/>
                <w:sz w:val="18"/>
              </w:rPr>
            </w:pPr>
          </w:p>
          <w:p>
            <w:pPr>
              <w:pStyle w:val="TableParagraph"/>
              <w:ind w:left="125" w:right="9"/>
              <w:jc w:val="center"/>
              <w:rPr>
                <w:sz w:val="18"/>
              </w:rPr>
            </w:pPr>
            <w:r>
              <w:rPr>
                <w:spacing w:val="-5"/>
                <w:sz w:val="18"/>
              </w:rPr>
              <w:t>24</w:t>
            </w:r>
          </w:p>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spacing w:before="1"/>
              <w:rPr>
                <w:rFonts w:ascii="Arial"/>
                <w:b/>
                <w:sz w:val="18"/>
              </w:rPr>
            </w:pPr>
          </w:p>
          <w:p>
            <w:pPr>
              <w:pStyle w:val="TableParagraph"/>
              <w:spacing w:before="1"/>
              <w:ind w:left="125" w:right="7"/>
              <w:jc w:val="center"/>
              <w:rPr>
                <w:sz w:val="18"/>
              </w:rPr>
            </w:pPr>
            <w:r>
              <w:rPr>
                <w:spacing w:val="-10"/>
                <w:sz w:val="18"/>
              </w:rPr>
              <w:t>-</w:t>
            </w:r>
          </w:p>
        </w:tc>
        <w:tc>
          <w:tcPr>
            <w:tcW w:w="1315" w:type="dxa"/>
            <w:tcBorders>
              <w:left w:val="nil"/>
              <w:right w:val="nil"/>
            </w:tcBorders>
          </w:tcPr>
          <w:p>
            <w:pPr>
              <w:pStyle w:val="TableParagraph"/>
              <w:spacing w:line="360" w:lineRule="auto"/>
              <w:ind w:left="191" w:right="107"/>
              <w:rPr>
                <w:sz w:val="18"/>
              </w:rPr>
            </w:pPr>
            <w:r>
              <w:rPr>
                <w:sz w:val="18"/>
              </w:rPr>
              <w:t>Faculty of Arts &amp; </w:t>
            </w:r>
            <w:r>
              <w:rPr>
                <w:spacing w:val="-2"/>
                <w:sz w:val="18"/>
              </w:rPr>
              <w:t>Islamic Studies </w:t>
            </w:r>
            <w:r>
              <w:rPr>
                <w:sz w:val="18"/>
              </w:rPr>
              <w:t>Faculty of </w:t>
            </w:r>
            <w:r>
              <w:rPr>
                <w:spacing w:val="-2"/>
                <w:sz w:val="18"/>
              </w:rPr>
              <w:t>Veterinary Medicine</w:t>
            </w:r>
          </w:p>
          <w:p>
            <w:pPr>
              <w:pStyle w:val="TableParagraph"/>
              <w:spacing w:before="95"/>
              <w:rPr>
                <w:rFonts w:ascii="Arial"/>
                <w:b/>
                <w:sz w:val="18"/>
              </w:rPr>
            </w:pPr>
          </w:p>
          <w:p>
            <w:pPr>
              <w:pStyle w:val="TableParagraph"/>
              <w:ind w:left="108"/>
              <w:jc w:val="center"/>
              <w:rPr>
                <w:sz w:val="18"/>
              </w:rPr>
            </w:pPr>
            <w:r>
              <w:rPr>
                <w:spacing w:val="-10"/>
                <w:sz w:val="18"/>
              </w:rPr>
              <w:t>-</w:t>
            </w:r>
          </w:p>
          <w:p>
            <w:pPr>
              <w:pStyle w:val="TableParagraph"/>
              <w:rPr>
                <w:rFonts w:ascii="Arial"/>
                <w:b/>
                <w:sz w:val="18"/>
              </w:rPr>
            </w:pPr>
          </w:p>
          <w:p>
            <w:pPr>
              <w:pStyle w:val="TableParagraph"/>
              <w:rPr>
                <w:rFonts w:ascii="Arial"/>
                <w:b/>
                <w:sz w:val="18"/>
              </w:rPr>
            </w:pPr>
          </w:p>
          <w:p>
            <w:pPr>
              <w:pStyle w:val="TableParagraph"/>
              <w:spacing w:before="103"/>
              <w:rPr>
                <w:rFonts w:ascii="Arial"/>
                <w:b/>
                <w:sz w:val="18"/>
              </w:rPr>
            </w:pPr>
          </w:p>
          <w:p>
            <w:pPr>
              <w:pStyle w:val="TableParagraph"/>
              <w:ind w:left="108"/>
              <w:jc w:val="center"/>
              <w:rPr>
                <w:sz w:val="18"/>
              </w:rPr>
            </w:pPr>
            <w:r>
              <w:rPr>
                <w:spacing w:val="-10"/>
                <w:sz w:val="18"/>
              </w:rPr>
              <w:t>-</w:t>
            </w:r>
          </w:p>
        </w:tc>
        <w:tc>
          <w:tcPr>
            <w:tcW w:w="1467" w:type="dxa"/>
            <w:tcBorders>
              <w:left w:val="nil"/>
            </w:tcBorders>
          </w:tcPr>
          <w:p>
            <w:pPr>
              <w:pStyle w:val="TableParagraph"/>
              <w:spacing w:line="196" w:lineRule="exact"/>
              <w:ind w:left="103" w:right="77"/>
              <w:jc w:val="center"/>
              <w:rPr>
                <w:sz w:val="18"/>
              </w:rPr>
            </w:pPr>
            <w:r>
              <w:rPr>
                <w:spacing w:val="-5"/>
                <w:sz w:val="18"/>
              </w:rPr>
              <w:t>41</w:t>
            </w:r>
          </w:p>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spacing w:before="1"/>
              <w:rPr>
                <w:rFonts w:ascii="Arial"/>
                <w:b/>
                <w:sz w:val="18"/>
              </w:rPr>
            </w:pPr>
          </w:p>
          <w:p>
            <w:pPr>
              <w:pStyle w:val="TableParagraph"/>
              <w:ind w:left="103" w:right="77"/>
              <w:jc w:val="center"/>
              <w:rPr>
                <w:sz w:val="18"/>
              </w:rPr>
            </w:pPr>
            <w:r>
              <w:rPr>
                <w:spacing w:val="-5"/>
                <w:sz w:val="18"/>
              </w:rPr>
              <w:t>40</w:t>
            </w:r>
          </w:p>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spacing w:before="1"/>
              <w:rPr>
                <w:rFonts w:ascii="Arial"/>
                <w:b/>
                <w:sz w:val="18"/>
              </w:rPr>
            </w:pPr>
          </w:p>
          <w:p>
            <w:pPr>
              <w:pStyle w:val="TableParagraph"/>
              <w:ind w:left="103" w:right="75"/>
              <w:jc w:val="center"/>
              <w:rPr>
                <w:sz w:val="18"/>
              </w:rPr>
            </w:pPr>
            <w:r>
              <w:rPr>
                <w:spacing w:val="-10"/>
                <w:sz w:val="18"/>
              </w:rPr>
              <w:t>-</w:t>
            </w:r>
          </w:p>
          <w:p>
            <w:pPr>
              <w:pStyle w:val="TableParagraph"/>
              <w:rPr>
                <w:rFonts w:ascii="Arial"/>
                <w:b/>
                <w:sz w:val="18"/>
              </w:rPr>
            </w:pPr>
          </w:p>
          <w:p>
            <w:pPr>
              <w:pStyle w:val="TableParagraph"/>
              <w:rPr>
                <w:rFonts w:ascii="Arial"/>
                <w:b/>
                <w:sz w:val="18"/>
              </w:rPr>
            </w:pPr>
          </w:p>
          <w:p>
            <w:pPr>
              <w:pStyle w:val="TableParagraph"/>
              <w:spacing w:before="103"/>
              <w:rPr>
                <w:rFonts w:ascii="Arial"/>
                <w:b/>
                <w:sz w:val="18"/>
              </w:rPr>
            </w:pPr>
          </w:p>
          <w:p>
            <w:pPr>
              <w:pStyle w:val="TableParagraph"/>
              <w:spacing w:before="1"/>
              <w:ind w:left="103" w:right="75"/>
              <w:jc w:val="center"/>
              <w:rPr>
                <w:sz w:val="18"/>
              </w:rPr>
            </w:pPr>
            <w:r>
              <w:rPr>
                <w:spacing w:val="-10"/>
                <w:sz w:val="18"/>
              </w:rPr>
              <w:t>-</w:t>
            </w:r>
          </w:p>
        </w:tc>
      </w:tr>
      <w:tr>
        <w:trPr>
          <w:trHeight w:val="350" w:hRule="atLeast"/>
        </w:trPr>
        <w:tc>
          <w:tcPr>
            <w:tcW w:w="1952" w:type="dxa"/>
            <w:tcBorders>
              <w:right w:val="nil"/>
            </w:tcBorders>
          </w:tcPr>
          <w:p>
            <w:pPr>
              <w:pStyle w:val="TableParagraph"/>
              <w:spacing w:line="196" w:lineRule="exact"/>
              <w:ind w:right="133"/>
              <w:jc w:val="right"/>
              <w:rPr>
                <w:sz w:val="18"/>
              </w:rPr>
            </w:pPr>
            <w:r>
              <w:rPr>
                <w:spacing w:val="-2"/>
                <w:sz w:val="18"/>
              </w:rPr>
              <w:t>Total</w:t>
            </w:r>
          </w:p>
        </w:tc>
        <w:tc>
          <w:tcPr>
            <w:tcW w:w="1391" w:type="dxa"/>
            <w:tcBorders>
              <w:left w:val="nil"/>
              <w:right w:val="nil"/>
            </w:tcBorders>
          </w:tcPr>
          <w:p>
            <w:pPr>
              <w:pStyle w:val="TableParagraph"/>
              <w:spacing w:line="196" w:lineRule="exact"/>
              <w:ind w:left="120" w:right="111"/>
              <w:jc w:val="center"/>
              <w:rPr>
                <w:rFonts w:ascii="Arial"/>
                <w:b/>
                <w:sz w:val="18"/>
              </w:rPr>
            </w:pPr>
            <w:r>
              <w:rPr>
                <w:rFonts w:ascii="Arial"/>
                <w:b/>
                <w:spacing w:val="-5"/>
                <w:sz w:val="18"/>
              </w:rPr>
              <w:t>100</w:t>
            </w:r>
          </w:p>
        </w:tc>
        <w:tc>
          <w:tcPr>
            <w:tcW w:w="1494" w:type="dxa"/>
            <w:tcBorders>
              <w:left w:val="nil"/>
              <w:right w:val="nil"/>
            </w:tcBorders>
          </w:tcPr>
          <w:p>
            <w:pPr>
              <w:pStyle w:val="TableParagraph"/>
              <w:rPr>
                <w:rFonts w:ascii="Times New Roman"/>
                <w:sz w:val="18"/>
              </w:rPr>
            </w:pPr>
          </w:p>
        </w:tc>
        <w:tc>
          <w:tcPr>
            <w:tcW w:w="1387" w:type="dxa"/>
            <w:tcBorders>
              <w:left w:val="nil"/>
              <w:right w:val="nil"/>
            </w:tcBorders>
          </w:tcPr>
          <w:p>
            <w:pPr>
              <w:pStyle w:val="TableParagraph"/>
              <w:spacing w:line="196" w:lineRule="exact"/>
              <w:ind w:left="116" w:right="26"/>
              <w:jc w:val="center"/>
              <w:rPr>
                <w:rFonts w:ascii="Arial"/>
                <w:b/>
                <w:sz w:val="18"/>
              </w:rPr>
            </w:pPr>
            <w:r>
              <w:rPr>
                <w:rFonts w:ascii="Arial"/>
                <w:b/>
                <w:spacing w:val="-5"/>
                <w:sz w:val="18"/>
              </w:rPr>
              <w:t>88</w:t>
            </w:r>
          </w:p>
        </w:tc>
        <w:tc>
          <w:tcPr>
            <w:tcW w:w="1487" w:type="dxa"/>
            <w:tcBorders>
              <w:left w:val="nil"/>
              <w:right w:val="nil"/>
            </w:tcBorders>
          </w:tcPr>
          <w:p>
            <w:pPr>
              <w:pStyle w:val="TableParagraph"/>
              <w:rPr>
                <w:rFonts w:ascii="Times New Roman"/>
                <w:sz w:val="18"/>
              </w:rPr>
            </w:pPr>
          </w:p>
        </w:tc>
        <w:tc>
          <w:tcPr>
            <w:tcW w:w="1394" w:type="dxa"/>
            <w:tcBorders>
              <w:left w:val="nil"/>
              <w:right w:val="nil"/>
            </w:tcBorders>
          </w:tcPr>
          <w:p>
            <w:pPr>
              <w:pStyle w:val="TableParagraph"/>
              <w:spacing w:line="196" w:lineRule="exact"/>
              <w:ind w:left="121" w:right="89"/>
              <w:jc w:val="center"/>
              <w:rPr>
                <w:rFonts w:ascii="Arial"/>
                <w:b/>
                <w:sz w:val="18"/>
              </w:rPr>
            </w:pPr>
            <w:r>
              <w:rPr>
                <w:rFonts w:ascii="Arial"/>
                <w:b/>
                <w:spacing w:val="-5"/>
                <w:sz w:val="18"/>
              </w:rPr>
              <w:t>44</w:t>
            </w:r>
          </w:p>
        </w:tc>
        <w:tc>
          <w:tcPr>
            <w:tcW w:w="1488" w:type="dxa"/>
            <w:tcBorders>
              <w:left w:val="nil"/>
              <w:right w:val="nil"/>
            </w:tcBorders>
          </w:tcPr>
          <w:p>
            <w:pPr>
              <w:pStyle w:val="TableParagraph"/>
              <w:rPr>
                <w:rFonts w:ascii="Times New Roman"/>
                <w:sz w:val="18"/>
              </w:rPr>
            </w:pPr>
          </w:p>
        </w:tc>
        <w:tc>
          <w:tcPr>
            <w:tcW w:w="1393" w:type="dxa"/>
            <w:tcBorders>
              <w:left w:val="nil"/>
              <w:right w:val="nil"/>
            </w:tcBorders>
          </w:tcPr>
          <w:p>
            <w:pPr>
              <w:pStyle w:val="TableParagraph"/>
              <w:spacing w:line="196" w:lineRule="exact"/>
              <w:ind w:left="125"/>
              <w:jc w:val="center"/>
              <w:rPr>
                <w:rFonts w:ascii="Arial"/>
                <w:b/>
                <w:sz w:val="18"/>
              </w:rPr>
            </w:pPr>
            <w:r>
              <w:rPr>
                <w:rFonts w:ascii="Arial"/>
                <w:b/>
                <w:spacing w:val="-5"/>
                <w:sz w:val="18"/>
              </w:rPr>
              <w:t>71</w:t>
            </w:r>
          </w:p>
        </w:tc>
        <w:tc>
          <w:tcPr>
            <w:tcW w:w="1315" w:type="dxa"/>
            <w:tcBorders>
              <w:left w:val="nil"/>
              <w:right w:val="nil"/>
            </w:tcBorders>
          </w:tcPr>
          <w:p>
            <w:pPr>
              <w:pStyle w:val="TableParagraph"/>
              <w:rPr>
                <w:rFonts w:ascii="Times New Roman"/>
                <w:sz w:val="18"/>
              </w:rPr>
            </w:pPr>
          </w:p>
        </w:tc>
        <w:tc>
          <w:tcPr>
            <w:tcW w:w="1467" w:type="dxa"/>
            <w:tcBorders>
              <w:left w:val="nil"/>
            </w:tcBorders>
          </w:tcPr>
          <w:p>
            <w:pPr>
              <w:pStyle w:val="TableParagraph"/>
              <w:spacing w:line="196" w:lineRule="exact"/>
              <w:ind w:left="103"/>
              <w:jc w:val="center"/>
              <w:rPr>
                <w:rFonts w:ascii="Arial"/>
                <w:b/>
                <w:sz w:val="18"/>
              </w:rPr>
            </w:pPr>
            <w:r>
              <w:rPr>
                <w:rFonts w:ascii="Arial"/>
                <w:b/>
                <w:spacing w:val="-5"/>
                <w:sz w:val="18"/>
              </w:rPr>
              <w:t>81</w:t>
            </w:r>
          </w:p>
        </w:tc>
      </w:tr>
    </w:tbl>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spacing w:before="247"/>
        <w:rPr>
          <w:rFonts w:ascii="Arial"/>
          <w:b/>
          <w:sz w:val="28"/>
        </w:rPr>
      </w:pPr>
    </w:p>
    <w:p>
      <w:pPr>
        <w:pStyle w:val="BodyText"/>
        <w:ind w:left="3" w:right="433"/>
        <w:jc w:val="center"/>
        <w:rPr>
          <w:rFonts w:ascii="Times New Roman"/>
        </w:rPr>
      </w:pPr>
      <w:r>
        <w:rPr>
          <w:rFonts w:ascii="Times New Roman"/>
          <w:spacing w:val="-5"/>
        </w:rPr>
        <w:t>126</w:t>
      </w:r>
    </w:p>
    <w:p>
      <w:pPr>
        <w:spacing w:after="0"/>
        <w:jc w:val="center"/>
        <w:rPr>
          <w:rFonts w:ascii="Times New Roman"/>
        </w:rPr>
        <w:sectPr>
          <w:headerReference w:type="default" r:id="rId235"/>
          <w:footerReference w:type="default" r:id="rId236"/>
          <w:pgSz w:w="15840" w:h="12240" w:orient="landscape"/>
          <w:pgMar w:header="0" w:footer="0" w:top="640" w:bottom="280" w:left="500" w:right="360"/>
        </w:sectPr>
      </w:pPr>
    </w:p>
    <w:p>
      <w:pPr>
        <w:pStyle w:val="BodyText"/>
        <w:spacing w:before="72"/>
        <w:ind w:right="403"/>
        <w:jc w:val="center"/>
        <w:rPr>
          <w:rFonts w:ascii="Times New Roman"/>
        </w:rPr>
      </w:pPr>
      <w:r>
        <w:rPr>
          <w:rFonts w:ascii="Times New Roman"/>
          <w:spacing w:val="-5"/>
        </w:rPr>
        <w:t>127</w:t>
      </w:r>
    </w:p>
    <w:p>
      <w:pPr>
        <w:pStyle w:val="BodyText"/>
        <w:spacing w:before="171"/>
        <w:rPr>
          <w:rFonts w:ascii="Times New Roman"/>
        </w:rPr>
      </w:pPr>
    </w:p>
    <w:p>
      <w:pPr>
        <w:pStyle w:val="BodyText"/>
        <w:spacing w:line="480" w:lineRule="auto"/>
        <w:ind w:left="440" w:right="114" w:firstLine="720"/>
        <w:jc w:val="both"/>
      </w:pPr>
      <w:r>
        <w:rPr/>
        <w:t>To determine the sample sizes of Service staff and Top Management respondents in each service units of each university, the proportionate sampling technique was applied. This technique brought out the accurate representative figure of the respondents in this category as shown in Table 3.4.7 and Table 3.4.8, respectively.</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56"/>
      </w:pPr>
    </w:p>
    <w:p>
      <w:pPr>
        <w:pStyle w:val="BodyText"/>
        <w:ind w:right="403"/>
        <w:jc w:val="center"/>
        <w:rPr>
          <w:rFonts w:ascii="Times New Roman"/>
        </w:rPr>
      </w:pPr>
      <w:r>
        <w:rPr>
          <w:rFonts w:ascii="Times New Roman"/>
          <w:spacing w:val="-5"/>
        </w:rPr>
        <w:t>127</w:t>
      </w:r>
    </w:p>
    <w:p>
      <w:pPr>
        <w:spacing w:after="0"/>
        <w:jc w:val="center"/>
        <w:rPr>
          <w:rFonts w:ascii="Times New Roman"/>
        </w:rPr>
        <w:sectPr>
          <w:headerReference w:type="default" r:id="rId237"/>
          <w:footerReference w:type="default" r:id="rId238"/>
          <w:pgSz w:w="12240" w:h="15840"/>
          <w:pgMar w:header="0" w:footer="0" w:top="640" w:bottom="280" w:left="1720" w:right="1320"/>
        </w:sectPr>
      </w:pPr>
    </w:p>
    <w:p>
      <w:pPr>
        <w:pStyle w:val="BodyText"/>
        <w:spacing w:before="72"/>
        <w:ind w:left="283"/>
        <w:jc w:val="center"/>
        <w:rPr>
          <w:rFonts w:ascii="Times New Roman"/>
        </w:rPr>
      </w:pPr>
      <w:r>
        <w:rPr>
          <w:rFonts w:ascii="Times New Roman"/>
          <w:spacing w:val="-5"/>
        </w:rPr>
        <w:t>128</w:t>
      </w:r>
    </w:p>
    <w:p>
      <w:pPr>
        <w:pStyle w:val="BodyText"/>
        <w:spacing w:before="121"/>
        <w:rPr>
          <w:rFonts w:ascii="Times New Roman"/>
          <w:sz w:val="28"/>
        </w:rPr>
      </w:pPr>
    </w:p>
    <w:p>
      <w:pPr>
        <w:pStyle w:val="Heading2"/>
        <w:spacing w:before="1" w:after="8"/>
        <w:ind w:left="840"/>
      </w:pPr>
      <w:r>
        <w:rPr/>
        <w:t>Table</w:t>
      </w:r>
      <w:r>
        <w:rPr>
          <w:spacing w:val="-6"/>
        </w:rPr>
        <w:t> </w:t>
      </w:r>
      <w:r>
        <w:rPr/>
        <w:t>3.4.7:</w:t>
      </w:r>
      <w:r>
        <w:rPr>
          <w:spacing w:val="-6"/>
        </w:rPr>
        <w:t> </w:t>
      </w:r>
      <w:r>
        <w:rPr/>
        <w:t>No.</w:t>
      </w:r>
      <w:r>
        <w:rPr>
          <w:spacing w:val="-5"/>
        </w:rPr>
        <w:t> </w:t>
      </w:r>
      <w:r>
        <w:rPr/>
        <w:t>of</w:t>
      </w:r>
      <w:r>
        <w:rPr>
          <w:spacing w:val="-10"/>
        </w:rPr>
        <w:t> </w:t>
      </w:r>
      <w:r>
        <w:rPr/>
        <w:t>respondents</w:t>
      </w:r>
      <w:r>
        <w:rPr>
          <w:spacing w:val="-6"/>
        </w:rPr>
        <w:t> </w:t>
      </w:r>
      <w:r>
        <w:rPr/>
        <w:t>in</w:t>
      </w:r>
      <w:r>
        <w:rPr>
          <w:spacing w:val="-6"/>
        </w:rPr>
        <w:t> </w:t>
      </w:r>
      <w:r>
        <w:rPr/>
        <w:t>each</w:t>
      </w:r>
      <w:r>
        <w:rPr>
          <w:spacing w:val="-7"/>
        </w:rPr>
        <w:t> </w:t>
      </w:r>
      <w:r>
        <w:rPr/>
        <w:t>service</w:t>
      </w:r>
      <w:r>
        <w:rPr>
          <w:spacing w:val="-6"/>
        </w:rPr>
        <w:t> </w:t>
      </w:r>
      <w:r>
        <w:rPr/>
        <w:t>units</w:t>
      </w:r>
      <w:r>
        <w:rPr>
          <w:spacing w:val="-5"/>
        </w:rPr>
        <w:t> </w:t>
      </w:r>
      <w:r>
        <w:rPr/>
        <w:t>of</w:t>
      </w:r>
      <w:r>
        <w:rPr>
          <w:spacing w:val="-7"/>
        </w:rPr>
        <w:t> </w:t>
      </w:r>
      <w:r>
        <w:rPr/>
        <w:t>the</w:t>
      </w:r>
      <w:r>
        <w:rPr>
          <w:spacing w:val="-11"/>
        </w:rPr>
        <w:t> </w:t>
      </w:r>
      <w:r>
        <w:rPr/>
        <w:t>sampled</w:t>
      </w:r>
      <w:r>
        <w:rPr>
          <w:spacing w:val="-11"/>
        </w:rPr>
        <w:t> </w:t>
      </w:r>
      <w:r>
        <w:rPr>
          <w:spacing w:val="-2"/>
        </w:rPr>
        <w:t>universities</w:t>
      </w:r>
    </w:p>
    <w:tbl>
      <w:tblPr>
        <w:tblW w:w="0" w:type="auto"/>
        <w:jc w:val="left"/>
        <w:tblInd w:w="6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325"/>
        <w:gridCol w:w="763"/>
        <w:gridCol w:w="626"/>
        <w:gridCol w:w="815"/>
        <w:gridCol w:w="672"/>
        <w:gridCol w:w="996"/>
        <w:gridCol w:w="450"/>
        <w:gridCol w:w="731"/>
        <w:gridCol w:w="626"/>
        <w:gridCol w:w="1081"/>
        <w:gridCol w:w="452"/>
        <w:gridCol w:w="762"/>
        <w:gridCol w:w="665"/>
      </w:tblGrid>
      <w:tr>
        <w:trPr>
          <w:trHeight w:val="460" w:hRule="atLeast"/>
        </w:trPr>
        <w:tc>
          <w:tcPr>
            <w:tcW w:w="4325" w:type="dxa"/>
            <w:vMerge w:val="restart"/>
            <w:tcBorders>
              <w:right w:val="nil"/>
            </w:tcBorders>
          </w:tcPr>
          <w:p>
            <w:pPr>
              <w:pStyle w:val="TableParagraph"/>
              <w:spacing w:before="225"/>
              <w:rPr>
                <w:rFonts w:ascii="Arial"/>
                <w:b/>
                <w:sz w:val="20"/>
              </w:rPr>
            </w:pPr>
          </w:p>
          <w:p>
            <w:pPr>
              <w:pStyle w:val="TableParagraph"/>
              <w:tabs>
                <w:tab w:pos="830" w:val="left" w:leader="none"/>
              </w:tabs>
              <w:ind w:left="110"/>
              <w:rPr>
                <w:sz w:val="20"/>
              </w:rPr>
            </w:pPr>
            <w:r>
              <w:rPr>
                <w:spacing w:val="-2"/>
                <w:sz w:val="20"/>
              </w:rPr>
              <w:t>S/No.</w:t>
            </w:r>
            <w:r>
              <w:rPr>
                <w:sz w:val="20"/>
              </w:rPr>
              <w:tab/>
              <w:t>Name</w:t>
            </w:r>
            <w:r>
              <w:rPr>
                <w:spacing w:val="-4"/>
                <w:sz w:val="20"/>
              </w:rPr>
              <w:t> </w:t>
            </w:r>
            <w:r>
              <w:rPr>
                <w:sz w:val="20"/>
              </w:rPr>
              <w:t>of </w:t>
            </w:r>
            <w:r>
              <w:rPr>
                <w:spacing w:val="-2"/>
                <w:sz w:val="20"/>
              </w:rPr>
              <w:t>University</w:t>
            </w:r>
          </w:p>
          <w:p>
            <w:pPr>
              <w:pStyle w:val="TableParagraph"/>
              <w:numPr>
                <w:ilvl w:val="0"/>
                <w:numId w:val="37"/>
              </w:numPr>
              <w:tabs>
                <w:tab w:pos="830" w:val="left" w:leader="none"/>
              </w:tabs>
              <w:spacing w:line="240" w:lineRule="auto" w:before="111" w:after="0"/>
              <w:ind w:left="830" w:right="0" w:hanging="552"/>
              <w:jc w:val="left"/>
              <w:rPr>
                <w:sz w:val="20"/>
              </w:rPr>
            </w:pPr>
            <w:r>
              <w:rPr>
                <w:sz w:val="20"/>
              </w:rPr>
              <w:t>Ahmadu</w:t>
            </w:r>
            <w:r>
              <w:rPr>
                <w:spacing w:val="-9"/>
                <w:sz w:val="20"/>
              </w:rPr>
              <w:t> </w:t>
            </w:r>
            <w:r>
              <w:rPr>
                <w:sz w:val="20"/>
              </w:rPr>
              <w:t>Bello</w:t>
            </w:r>
            <w:r>
              <w:rPr>
                <w:spacing w:val="-8"/>
                <w:sz w:val="20"/>
              </w:rPr>
              <w:t> </w:t>
            </w:r>
            <w:r>
              <w:rPr>
                <w:sz w:val="20"/>
              </w:rPr>
              <w:t>University,</w:t>
            </w:r>
            <w:r>
              <w:rPr>
                <w:spacing w:val="-10"/>
                <w:sz w:val="20"/>
              </w:rPr>
              <w:t> </w:t>
            </w:r>
            <w:r>
              <w:rPr>
                <w:spacing w:val="-4"/>
                <w:sz w:val="20"/>
              </w:rPr>
              <w:t>Zaria</w:t>
            </w:r>
          </w:p>
          <w:p>
            <w:pPr>
              <w:pStyle w:val="TableParagraph"/>
              <w:spacing w:before="1"/>
              <w:rPr>
                <w:rFonts w:ascii="Arial"/>
                <w:b/>
                <w:sz w:val="20"/>
              </w:rPr>
            </w:pPr>
          </w:p>
          <w:p>
            <w:pPr>
              <w:pStyle w:val="TableParagraph"/>
              <w:numPr>
                <w:ilvl w:val="0"/>
                <w:numId w:val="37"/>
              </w:numPr>
              <w:tabs>
                <w:tab w:pos="830" w:val="left" w:leader="none"/>
              </w:tabs>
              <w:spacing w:line="240" w:lineRule="auto" w:before="0" w:after="0"/>
              <w:ind w:left="830" w:right="0" w:hanging="552"/>
              <w:jc w:val="left"/>
              <w:rPr>
                <w:sz w:val="20"/>
              </w:rPr>
            </w:pPr>
            <w:r>
              <w:rPr>
                <w:sz w:val="20"/>
              </w:rPr>
              <w:t>Bayero</w:t>
            </w:r>
            <w:r>
              <w:rPr>
                <w:spacing w:val="-9"/>
                <w:sz w:val="20"/>
              </w:rPr>
              <w:t> </w:t>
            </w:r>
            <w:r>
              <w:rPr>
                <w:sz w:val="20"/>
              </w:rPr>
              <w:t>University,</w:t>
            </w:r>
            <w:r>
              <w:rPr>
                <w:spacing w:val="-10"/>
                <w:sz w:val="20"/>
              </w:rPr>
              <w:t> </w:t>
            </w:r>
            <w:r>
              <w:rPr>
                <w:spacing w:val="-4"/>
                <w:sz w:val="20"/>
              </w:rPr>
              <w:t>Kano</w:t>
            </w:r>
          </w:p>
          <w:p>
            <w:pPr>
              <w:pStyle w:val="TableParagraph"/>
              <w:rPr>
                <w:rFonts w:ascii="Arial"/>
                <w:b/>
                <w:sz w:val="20"/>
              </w:rPr>
            </w:pPr>
          </w:p>
          <w:p>
            <w:pPr>
              <w:pStyle w:val="TableParagraph"/>
              <w:numPr>
                <w:ilvl w:val="0"/>
                <w:numId w:val="37"/>
              </w:numPr>
              <w:tabs>
                <w:tab w:pos="830" w:val="left" w:leader="none"/>
              </w:tabs>
              <w:spacing w:line="240" w:lineRule="auto" w:before="1" w:after="0"/>
              <w:ind w:left="830" w:right="0" w:hanging="552"/>
              <w:jc w:val="left"/>
              <w:rPr>
                <w:sz w:val="20"/>
              </w:rPr>
            </w:pPr>
            <w:r>
              <w:rPr>
                <w:sz w:val="20"/>
              </w:rPr>
              <w:t>University</w:t>
            </w:r>
            <w:r>
              <w:rPr>
                <w:spacing w:val="-9"/>
                <w:sz w:val="20"/>
              </w:rPr>
              <w:t> </w:t>
            </w:r>
            <w:r>
              <w:rPr>
                <w:sz w:val="20"/>
              </w:rPr>
              <w:t>of</w:t>
            </w:r>
            <w:r>
              <w:rPr>
                <w:spacing w:val="2"/>
                <w:sz w:val="20"/>
              </w:rPr>
              <w:t> </w:t>
            </w:r>
            <w:r>
              <w:rPr>
                <w:spacing w:val="-5"/>
                <w:sz w:val="20"/>
              </w:rPr>
              <w:t>Jos</w:t>
            </w:r>
          </w:p>
          <w:p>
            <w:pPr>
              <w:pStyle w:val="TableParagraph"/>
              <w:rPr>
                <w:rFonts w:ascii="Arial"/>
                <w:b/>
                <w:sz w:val="20"/>
              </w:rPr>
            </w:pPr>
          </w:p>
          <w:p>
            <w:pPr>
              <w:pStyle w:val="TableParagraph"/>
              <w:numPr>
                <w:ilvl w:val="0"/>
                <w:numId w:val="37"/>
              </w:numPr>
              <w:tabs>
                <w:tab w:pos="830" w:val="left" w:leader="none"/>
              </w:tabs>
              <w:spacing w:line="240" w:lineRule="auto" w:before="0" w:after="0"/>
              <w:ind w:left="830" w:right="0" w:hanging="552"/>
              <w:jc w:val="left"/>
              <w:rPr>
                <w:sz w:val="20"/>
              </w:rPr>
            </w:pPr>
            <w:r>
              <w:rPr>
                <w:sz w:val="20"/>
              </w:rPr>
              <w:t>University</w:t>
            </w:r>
            <w:r>
              <w:rPr>
                <w:spacing w:val="-9"/>
                <w:sz w:val="20"/>
              </w:rPr>
              <w:t> </w:t>
            </w:r>
            <w:r>
              <w:rPr>
                <w:sz w:val="20"/>
              </w:rPr>
              <w:t>of</w:t>
            </w:r>
            <w:r>
              <w:rPr>
                <w:spacing w:val="-3"/>
                <w:sz w:val="20"/>
              </w:rPr>
              <w:t> </w:t>
            </w:r>
            <w:r>
              <w:rPr>
                <w:spacing w:val="-2"/>
                <w:sz w:val="20"/>
              </w:rPr>
              <w:t>Maiduguri</w:t>
            </w:r>
          </w:p>
          <w:p>
            <w:pPr>
              <w:pStyle w:val="TableParagraph"/>
              <w:numPr>
                <w:ilvl w:val="0"/>
                <w:numId w:val="37"/>
              </w:numPr>
              <w:tabs>
                <w:tab w:pos="830" w:val="left" w:leader="none"/>
                <w:tab w:pos="1818" w:val="left" w:leader="none"/>
                <w:tab w:pos="2428" w:val="left" w:leader="none"/>
                <w:tab w:pos="3278" w:val="left" w:leader="none"/>
              </w:tabs>
              <w:spacing w:line="230" w:lineRule="atLeast" w:before="217" w:after="0"/>
              <w:ind w:left="830" w:right="99" w:hanging="552"/>
              <w:jc w:val="left"/>
              <w:rPr>
                <w:sz w:val="20"/>
              </w:rPr>
            </w:pPr>
            <w:r>
              <w:rPr>
                <w:spacing w:val="-2"/>
                <w:sz w:val="20"/>
              </w:rPr>
              <w:t>Usmanu</w:t>
            </w:r>
            <w:r>
              <w:rPr>
                <w:sz w:val="20"/>
              </w:rPr>
              <w:tab/>
            </w:r>
            <w:r>
              <w:rPr>
                <w:spacing w:val="-4"/>
                <w:sz w:val="20"/>
              </w:rPr>
              <w:t>Dan</w:t>
            </w:r>
            <w:r>
              <w:rPr>
                <w:sz w:val="20"/>
              </w:rPr>
              <w:tab/>
            </w:r>
            <w:r>
              <w:rPr>
                <w:spacing w:val="-2"/>
                <w:sz w:val="20"/>
              </w:rPr>
              <w:t>Fodiyo</w:t>
            </w:r>
            <w:r>
              <w:rPr>
                <w:sz w:val="20"/>
              </w:rPr>
              <w:tab/>
            </w:r>
            <w:r>
              <w:rPr>
                <w:spacing w:val="-2"/>
                <w:sz w:val="20"/>
              </w:rPr>
              <w:t>University, Sokoto</w:t>
            </w:r>
          </w:p>
        </w:tc>
        <w:tc>
          <w:tcPr>
            <w:tcW w:w="1389" w:type="dxa"/>
            <w:gridSpan w:val="2"/>
            <w:tcBorders>
              <w:left w:val="nil"/>
              <w:right w:val="nil"/>
            </w:tcBorders>
          </w:tcPr>
          <w:p>
            <w:pPr>
              <w:pStyle w:val="TableParagraph"/>
              <w:spacing w:line="220" w:lineRule="exact"/>
              <w:ind w:left="383"/>
              <w:rPr>
                <w:rFonts w:ascii="Arial"/>
                <w:b/>
                <w:sz w:val="20"/>
              </w:rPr>
            </w:pPr>
            <w:r>
              <w:rPr>
                <w:rFonts w:ascii="Arial"/>
                <w:b/>
                <w:spacing w:val="-2"/>
                <w:sz w:val="20"/>
              </w:rPr>
              <w:t>Library</w:t>
            </w:r>
          </w:p>
        </w:tc>
        <w:tc>
          <w:tcPr>
            <w:tcW w:w="1487" w:type="dxa"/>
            <w:gridSpan w:val="2"/>
            <w:tcBorders>
              <w:left w:val="nil"/>
              <w:right w:val="nil"/>
            </w:tcBorders>
          </w:tcPr>
          <w:p>
            <w:pPr>
              <w:pStyle w:val="TableParagraph"/>
              <w:spacing w:line="220" w:lineRule="exact"/>
              <w:ind w:left="396"/>
              <w:rPr>
                <w:rFonts w:ascii="Arial"/>
                <w:b/>
                <w:sz w:val="20"/>
              </w:rPr>
            </w:pPr>
            <w:r>
              <w:rPr>
                <w:rFonts w:ascii="Arial"/>
                <w:b/>
                <w:spacing w:val="-2"/>
                <w:sz w:val="20"/>
              </w:rPr>
              <w:t>Student</w:t>
            </w:r>
          </w:p>
          <w:p>
            <w:pPr>
              <w:pStyle w:val="TableParagraph"/>
              <w:spacing w:line="220" w:lineRule="exact"/>
              <w:ind w:left="454"/>
              <w:rPr>
                <w:rFonts w:ascii="Arial"/>
                <w:b/>
                <w:sz w:val="20"/>
              </w:rPr>
            </w:pPr>
            <w:r>
              <w:rPr>
                <w:rFonts w:ascii="Arial"/>
                <w:b/>
                <w:spacing w:val="-2"/>
                <w:sz w:val="20"/>
              </w:rPr>
              <w:t>Affairs</w:t>
            </w:r>
          </w:p>
        </w:tc>
        <w:tc>
          <w:tcPr>
            <w:tcW w:w="996" w:type="dxa"/>
            <w:tcBorders>
              <w:left w:val="nil"/>
              <w:right w:val="nil"/>
            </w:tcBorders>
          </w:tcPr>
          <w:p>
            <w:pPr>
              <w:pStyle w:val="TableParagraph"/>
              <w:spacing w:line="220" w:lineRule="exact"/>
              <w:ind w:left="512"/>
              <w:rPr>
                <w:rFonts w:ascii="Arial"/>
                <w:b/>
                <w:sz w:val="20"/>
              </w:rPr>
            </w:pPr>
            <w:r>
              <w:rPr>
                <w:rFonts w:ascii="Arial"/>
                <w:b/>
                <w:spacing w:val="-5"/>
                <w:sz w:val="20"/>
              </w:rPr>
              <w:t>UHS</w:t>
            </w:r>
          </w:p>
        </w:tc>
        <w:tc>
          <w:tcPr>
            <w:tcW w:w="450" w:type="dxa"/>
            <w:tcBorders>
              <w:left w:val="nil"/>
              <w:right w:val="nil"/>
            </w:tcBorders>
          </w:tcPr>
          <w:p>
            <w:pPr>
              <w:pStyle w:val="TableParagraph"/>
              <w:rPr>
                <w:rFonts w:ascii="Times New Roman"/>
                <w:sz w:val="20"/>
              </w:rPr>
            </w:pPr>
          </w:p>
        </w:tc>
        <w:tc>
          <w:tcPr>
            <w:tcW w:w="1357" w:type="dxa"/>
            <w:gridSpan w:val="2"/>
            <w:tcBorders>
              <w:left w:val="nil"/>
              <w:right w:val="nil"/>
            </w:tcBorders>
          </w:tcPr>
          <w:p>
            <w:pPr>
              <w:pStyle w:val="TableParagraph"/>
              <w:spacing w:line="220" w:lineRule="exact"/>
              <w:ind w:left="232"/>
              <w:rPr>
                <w:rFonts w:ascii="Arial"/>
                <w:b/>
                <w:sz w:val="20"/>
              </w:rPr>
            </w:pPr>
            <w:r>
              <w:rPr>
                <w:rFonts w:ascii="Arial"/>
                <w:b/>
                <w:spacing w:val="-2"/>
                <w:sz w:val="20"/>
              </w:rPr>
              <w:t>Security</w:t>
            </w:r>
          </w:p>
        </w:tc>
        <w:tc>
          <w:tcPr>
            <w:tcW w:w="1081" w:type="dxa"/>
            <w:tcBorders>
              <w:left w:val="nil"/>
              <w:right w:val="nil"/>
            </w:tcBorders>
          </w:tcPr>
          <w:p>
            <w:pPr>
              <w:pStyle w:val="TableParagraph"/>
              <w:spacing w:line="220" w:lineRule="exact"/>
              <w:ind w:left="407"/>
              <w:rPr>
                <w:rFonts w:ascii="Arial"/>
                <w:b/>
                <w:sz w:val="20"/>
              </w:rPr>
            </w:pPr>
            <w:r>
              <w:rPr>
                <w:rFonts w:ascii="Arial"/>
                <w:b/>
                <w:spacing w:val="-2"/>
                <w:sz w:val="20"/>
              </w:rPr>
              <w:t>Estate</w:t>
            </w:r>
          </w:p>
        </w:tc>
        <w:tc>
          <w:tcPr>
            <w:tcW w:w="452" w:type="dxa"/>
            <w:tcBorders>
              <w:left w:val="nil"/>
              <w:right w:val="nil"/>
            </w:tcBorders>
          </w:tcPr>
          <w:p>
            <w:pPr>
              <w:pStyle w:val="TableParagraph"/>
              <w:rPr>
                <w:rFonts w:ascii="Times New Roman"/>
                <w:sz w:val="20"/>
              </w:rPr>
            </w:pPr>
          </w:p>
        </w:tc>
        <w:tc>
          <w:tcPr>
            <w:tcW w:w="1427" w:type="dxa"/>
            <w:gridSpan w:val="2"/>
            <w:tcBorders>
              <w:left w:val="nil"/>
            </w:tcBorders>
          </w:tcPr>
          <w:p>
            <w:pPr>
              <w:pStyle w:val="TableParagraph"/>
              <w:spacing w:line="220" w:lineRule="exact"/>
              <w:ind w:left="467"/>
              <w:rPr>
                <w:rFonts w:ascii="Arial"/>
                <w:b/>
                <w:sz w:val="20"/>
              </w:rPr>
            </w:pPr>
            <w:r>
              <w:rPr>
                <w:rFonts w:ascii="Arial"/>
                <w:b/>
                <w:spacing w:val="-2"/>
                <w:sz w:val="20"/>
              </w:rPr>
              <w:t>Total</w:t>
            </w:r>
          </w:p>
        </w:tc>
      </w:tr>
      <w:tr>
        <w:trPr>
          <w:trHeight w:val="321" w:hRule="atLeast"/>
        </w:trPr>
        <w:tc>
          <w:tcPr>
            <w:tcW w:w="4325" w:type="dxa"/>
            <w:vMerge/>
            <w:tcBorders>
              <w:top w:val="nil"/>
              <w:right w:val="nil"/>
            </w:tcBorders>
          </w:tcPr>
          <w:p>
            <w:pPr>
              <w:rPr>
                <w:sz w:val="2"/>
                <w:szCs w:val="2"/>
              </w:rPr>
            </w:pPr>
          </w:p>
        </w:tc>
        <w:tc>
          <w:tcPr>
            <w:tcW w:w="763" w:type="dxa"/>
            <w:tcBorders>
              <w:left w:val="nil"/>
              <w:right w:val="nil"/>
            </w:tcBorders>
          </w:tcPr>
          <w:p>
            <w:pPr>
              <w:pStyle w:val="TableParagraph"/>
              <w:spacing w:line="225" w:lineRule="exact"/>
              <w:ind w:left="153"/>
              <w:rPr>
                <w:sz w:val="20"/>
              </w:rPr>
            </w:pPr>
            <w:r>
              <w:rPr>
                <w:spacing w:val="-4"/>
                <w:sz w:val="20"/>
              </w:rPr>
              <w:t>Pop.</w:t>
            </w:r>
          </w:p>
        </w:tc>
        <w:tc>
          <w:tcPr>
            <w:tcW w:w="626" w:type="dxa"/>
            <w:tcBorders>
              <w:left w:val="nil"/>
              <w:right w:val="nil"/>
            </w:tcBorders>
          </w:tcPr>
          <w:p>
            <w:pPr>
              <w:pStyle w:val="TableParagraph"/>
              <w:spacing w:line="225" w:lineRule="exact"/>
              <w:ind w:left="20" w:right="13"/>
              <w:jc w:val="center"/>
              <w:rPr>
                <w:sz w:val="20"/>
              </w:rPr>
            </w:pPr>
            <w:r>
              <w:rPr>
                <w:spacing w:val="-10"/>
                <w:sz w:val="20"/>
              </w:rPr>
              <w:t>S</w:t>
            </w:r>
          </w:p>
        </w:tc>
        <w:tc>
          <w:tcPr>
            <w:tcW w:w="815" w:type="dxa"/>
            <w:tcBorders>
              <w:left w:val="nil"/>
              <w:right w:val="nil"/>
            </w:tcBorders>
          </w:tcPr>
          <w:p>
            <w:pPr>
              <w:pStyle w:val="TableParagraph"/>
              <w:spacing w:line="225" w:lineRule="exact"/>
              <w:ind w:left="204"/>
              <w:rPr>
                <w:sz w:val="20"/>
              </w:rPr>
            </w:pPr>
            <w:r>
              <w:rPr>
                <w:spacing w:val="-4"/>
                <w:sz w:val="20"/>
              </w:rPr>
              <w:t>Pop.</w:t>
            </w:r>
          </w:p>
        </w:tc>
        <w:tc>
          <w:tcPr>
            <w:tcW w:w="672" w:type="dxa"/>
            <w:tcBorders>
              <w:left w:val="nil"/>
              <w:right w:val="nil"/>
            </w:tcBorders>
          </w:tcPr>
          <w:p>
            <w:pPr>
              <w:pStyle w:val="TableParagraph"/>
              <w:spacing w:line="225" w:lineRule="exact"/>
              <w:ind w:left="58" w:right="96"/>
              <w:jc w:val="center"/>
              <w:rPr>
                <w:sz w:val="20"/>
              </w:rPr>
            </w:pPr>
            <w:r>
              <w:rPr>
                <w:spacing w:val="-10"/>
                <w:sz w:val="20"/>
              </w:rPr>
              <w:t>S</w:t>
            </w:r>
          </w:p>
        </w:tc>
        <w:tc>
          <w:tcPr>
            <w:tcW w:w="996" w:type="dxa"/>
            <w:tcBorders>
              <w:left w:val="nil"/>
              <w:right w:val="nil"/>
            </w:tcBorders>
          </w:tcPr>
          <w:p>
            <w:pPr>
              <w:pStyle w:val="TableParagraph"/>
              <w:spacing w:line="225" w:lineRule="exact"/>
              <w:ind w:left="248"/>
              <w:rPr>
                <w:sz w:val="20"/>
              </w:rPr>
            </w:pPr>
            <w:r>
              <w:rPr>
                <w:spacing w:val="-4"/>
                <w:sz w:val="20"/>
              </w:rPr>
              <w:t>Pop.</w:t>
            </w:r>
          </w:p>
        </w:tc>
        <w:tc>
          <w:tcPr>
            <w:tcW w:w="450" w:type="dxa"/>
            <w:tcBorders>
              <w:left w:val="nil"/>
              <w:right w:val="nil"/>
            </w:tcBorders>
          </w:tcPr>
          <w:p>
            <w:pPr>
              <w:pStyle w:val="TableParagraph"/>
              <w:spacing w:line="225" w:lineRule="exact"/>
              <w:ind w:left="106"/>
              <w:rPr>
                <w:sz w:val="20"/>
              </w:rPr>
            </w:pPr>
            <w:r>
              <w:rPr>
                <w:spacing w:val="-10"/>
                <w:sz w:val="20"/>
              </w:rPr>
              <w:t>S</w:t>
            </w:r>
          </w:p>
        </w:tc>
        <w:tc>
          <w:tcPr>
            <w:tcW w:w="731" w:type="dxa"/>
            <w:tcBorders>
              <w:left w:val="nil"/>
              <w:right w:val="nil"/>
            </w:tcBorders>
          </w:tcPr>
          <w:p>
            <w:pPr>
              <w:pStyle w:val="TableParagraph"/>
              <w:spacing w:line="225" w:lineRule="exact"/>
              <w:ind w:left="161"/>
              <w:rPr>
                <w:sz w:val="20"/>
              </w:rPr>
            </w:pPr>
            <w:r>
              <w:rPr>
                <w:spacing w:val="-4"/>
                <w:sz w:val="20"/>
              </w:rPr>
              <w:t>Pop.</w:t>
            </w:r>
          </w:p>
        </w:tc>
        <w:tc>
          <w:tcPr>
            <w:tcW w:w="626" w:type="dxa"/>
            <w:tcBorders>
              <w:left w:val="nil"/>
              <w:right w:val="nil"/>
            </w:tcBorders>
          </w:tcPr>
          <w:p>
            <w:pPr>
              <w:pStyle w:val="TableParagraph"/>
              <w:spacing w:line="225" w:lineRule="exact"/>
              <w:ind w:left="202"/>
              <w:rPr>
                <w:sz w:val="20"/>
              </w:rPr>
            </w:pPr>
            <w:r>
              <w:rPr>
                <w:spacing w:val="-10"/>
                <w:sz w:val="20"/>
              </w:rPr>
              <w:t>S</w:t>
            </w:r>
          </w:p>
        </w:tc>
        <w:tc>
          <w:tcPr>
            <w:tcW w:w="1081" w:type="dxa"/>
            <w:tcBorders>
              <w:left w:val="nil"/>
              <w:right w:val="nil"/>
            </w:tcBorders>
          </w:tcPr>
          <w:p>
            <w:pPr>
              <w:pStyle w:val="TableParagraph"/>
              <w:spacing w:line="225" w:lineRule="exact"/>
              <w:ind w:left="244"/>
              <w:rPr>
                <w:sz w:val="20"/>
              </w:rPr>
            </w:pPr>
            <w:r>
              <w:rPr>
                <w:spacing w:val="-4"/>
                <w:sz w:val="20"/>
              </w:rPr>
              <w:t>Pop.</w:t>
            </w:r>
          </w:p>
        </w:tc>
        <w:tc>
          <w:tcPr>
            <w:tcW w:w="452" w:type="dxa"/>
            <w:tcBorders>
              <w:left w:val="nil"/>
              <w:right w:val="nil"/>
            </w:tcBorders>
          </w:tcPr>
          <w:p>
            <w:pPr>
              <w:pStyle w:val="TableParagraph"/>
              <w:spacing w:line="225" w:lineRule="exact"/>
              <w:ind w:left="113"/>
              <w:rPr>
                <w:sz w:val="20"/>
              </w:rPr>
            </w:pPr>
            <w:r>
              <w:rPr>
                <w:spacing w:val="-10"/>
                <w:sz w:val="20"/>
              </w:rPr>
              <w:t>S</w:t>
            </w:r>
          </w:p>
        </w:tc>
        <w:tc>
          <w:tcPr>
            <w:tcW w:w="762" w:type="dxa"/>
            <w:tcBorders>
              <w:left w:val="nil"/>
              <w:right w:val="nil"/>
            </w:tcBorders>
          </w:tcPr>
          <w:p>
            <w:pPr>
              <w:pStyle w:val="TableParagraph"/>
              <w:spacing w:line="225" w:lineRule="exact"/>
              <w:ind w:left="170"/>
              <w:rPr>
                <w:sz w:val="20"/>
              </w:rPr>
            </w:pPr>
            <w:r>
              <w:rPr>
                <w:spacing w:val="-4"/>
                <w:sz w:val="20"/>
              </w:rPr>
              <w:t>Pop.</w:t>
            </w:r>
          </w:p>
        </w:tc>
        <w:tc>
          <w:tcPr>
            <w:tcW w:w="665" w:type="dxa"/>
            <w:tcBorders>
              <w:left w:val="nil"/>
            </w:tcBorders>
          </w:tcPr>
          <w:p>
            <w:pPr>
              <w:pStyle w:val="TableParagraph"/>
              <w:spacing w:line="225" w:lineRule="exact"/>
              <w:jc w:val="center"/>
              <w:rPr>
                <w:sz w:val="20"/>
              </w:rPr>
            </w:pPr>
            <w:r>
              <w:rPr>
                <w:spacing w:val="-10"/>
                <w:sz w:val="20"/>
              </w:rPr>
              <w:t>S</w:t>
            </w:r>
          </w:p>
        </w:tc>
      </w:tr>
      <w:tr>
        <w:trPr>
          <w:trHeight w:val="2303" w:hRule="atLeast"/>
        </w:trPr>
        <w:tc>
          <w:tcPr>
            <w:tcW w:w="4325" w:type="dxa"/>
            <w:vMerge/>
            <w:tcBorders>
              <w:top w:val="nil"/>
              <w:right w:val="nil"/>
            </w:tcBorders>
          </w:tcPr>
          <w:p>
            <w:pPr>
              <w:rPr>
                <w:sz w:val="2"/>
                <w:szCs w:val="2"/>
              </w:rPr>
            </w:pPr>
          </w:p>
        </w:tc>
        <w:tc>
          <w:tcPr>
            <w:tcW w:w="763" w:type="dxa"/>
            <w:tcBorders>
              <w:left w:val="nil"/>
              <w:right w:val="nil"/>
            </w:tcBorders>
          </w:tcPr>
          <w:p>
            <w:pPr>
              <w:pStyle w:val="TableParagraph"/>
              <w:spacing w:line="225" w:lineRule="exact"/>
              <w:ind w:left="191"/>
              <w:rPr>
                <w:sz w:val="20"/>
              </w:rPr>
            </w:pPr>
            <w:r>
              <w:rPr>
                <w:spacing w:val="-5"/>
                <w:sz w:val="20"/>
              </w:rPr>
              <w:t>340</w:t>
            </w:r>
          </w:p>
          <w:p>
            <w:pPr>
              <w:pStyle w:val="TableParagraph"/>
              <w:rPr>
                <w:rFonts w:ascii="Arial"/>
                <w:b/>
                <w:sz w:val="20"/>
              </w:rPr>
            </w:pPr>
          </w:p>
          <w:p>
            <w:pPr>
              <w:pStyle w:val="TableParagraph"/>
              <w:spacing w:before="1"/>
              <w:ind w:left="191"/>
              <w:rPr>
                <w:sz w:val="20"/>
              </w:rPr>
            </w:pPr>
            <w:r>
              <w:rPr>
                <w:spacing w:val="-5"/>
                <w:sz w:val="20"/>
              </w:rPr>
              <w:t>110</w:t>
            </w:r>
          </w:p>
          <w:p>
            <w:pPr>
              <w:pStyle w:val="TableParagraph"/>
              <w:rPr>
                <w:rFonts w:ascii="Arial"/>
                <w:b/>
                <w:sz w:val="20"/>
              </w:rPr>
            </w:pPr>
          </w:p>
          <w:p>
            <w:pPr>
              <w:pStyle w:val="TableParagraph"/>
              <w:ind w:left="191"/>
              <w:rPr>
                <w:sz w:val="20"/>
              </w:rPr>
            </w:pPr>
            <w:r>
              <w:rPr>
                <w:spacing w:val="-5"/>
                <w:sz w:val="20"/>
              </w:rPr>
              <w:t>140</w:t>
            </w:r>
          </w:p>
          <w:p>
            <w:pPr>
              <w:pStyle w:val="TableParagraph"/>
              <w:spacing w:before="1"/>
              <w:rPr>
                <w:rFonts w:ascii="Arial"/>
                <w:b/>
                <w:sz w:val="20"/>
              </w:rPr>
            </w:pPr>
          </w:p>
          <w:p>
            <w:pPr>
              <w:pStyle w:val="TableParagraph"/>
              <w:ind w:left="191"/>
              <w:rPr>
                <w:sz w:val="20"/>
              </w:rPr>
            </w:pPr>
            <w:r>
              <w:rPr>
                <w:spacing w:val="-5"/>
                <w:sz w:val="20"/>
              </w:rPr>
              <w:t>118</w:t>
            </w:r>
          </w:p>
          <w:p>
            <w:pPr>
              <w:pStyle w:val="TableParagraph"/>
              <w:spacing w:before="1"/>
              <w:rPr>
                <w:rFonts w:ascii="Arial"/>
                <w:b/>
                <w:sz w:val="20"/>
              </w:rPr>
            </w:pPr>
          </w:p>
          <w:p>
            <w:pPr>
              <w:pStyle w:val="TableParagraph"/>
              <w:ind w:left="191"/>
              <w:rPr>
                <w:sz w:val="20"/>
              </w:rPr>
            </w:pPr>
            <w:r>
              <w:rPr>
                <w:spacing w:val="-5"/>
                <w:sz w:val="20"/>
              </w:rPr>
              <w:t>109</w:t>
            </w:r>
          </w:p>
        </w:tc>
        <w:tc>
          <w:tcPr>
            <w:tcW w:w="626" w:type="dxa"/>
            <w:tcBorders>
              <w:left w:val="nil"/>
              <w:right w:val="nil"/>
            </w:tcBorders>
          </w:tcPr>
          <w:p>
            <w:pPr>
              <w:pStyle w:val="TableParagraph"/>
              <w:spacing w:line="225" w:lineRule="exact"/>
              <w:ind w:left="206"/>
              <w:rPr>
                <w:sz w:val="20"/>
              </w:rPr>
            </w:pPr>
            <w:r>
              <w:rPr>
                <w:spacing w:val="-5"/>
                <w:sz w:val="20"/>
              </w:rPr>
              <w:t>35</w:t>
            </w:r>
          </w:p>
          <w:p>
            <w:pPr>
              <w:pStyle w:val="TableParagraph"/>
              <w:rPr>
                <w:rFonts w:ascii="Arial"/>
                <w:b/>
                <w:sz w:val="20"/>
              </w:rPr>
            </w:pPr>
          </w:p>
          <w:p>
            <w:pPr>
              <w:pStyle w:val="TableParagraph"/>
              <w:spacing w:before="1"/>
              <w:ind w:left="206"/>
              <w:rPr>
                <w:sz w:val="20"/>
              </w:rPr>
            </w:pPr>
            <w:r>
              <w:rPr>
                <w:spacing w:val="-5"/>
                <w:sz w:val="20"/>
              </w:rPr>
              <w:t>11</w:t>
            </w:r>
          </w:p>
          <w:p>
            <w:pPr>
              <w:pStyle w:val="TableParagraph"/>
              <w:rPr>
                <w:rFonts w:ascii="Arial"/>
                <w:b/>
                <w:sz w:val="20"/>
              </w:rPr>
            </w:pPr>
          </w:p>
          <w:p>
            <w:pPr>
              <w:pStyle w:val="TableParagraph"/>
              <w:ind w:left="206"/>
              <w:rPr>
                <w:sz w:val="20"/>
              </w:rPr>
            </w:pPr>
            <w:r>
              <w:rPr>
                <w:spacing w:val="-5"/>
                <w:sz w:val="20"/>
              </w:rPr>
              <w:t>14</w:t>
            </w:r>
          </w:p>
          <w:p>
            <w:pPr>
              <w:pStyle w:val="TableParagraph"/>
              <w:spacing w:before="1"/>
              <w:rPr>
                <w:rFonts w:ascii="Arial"/>
                <w:b/>
                <w:sz w:val="20"/>
              </w:rPr>
            </w:pPr>
          </w:p>
          <w:p>
            <w:pPr>
              <w:pStyle w:val="TableParagraph"/>
              <w:ind w:left="206"/>
              <w:rPr>
                <w:sz w:val="20"/>
              </w:rPr>
            </w:pPr>
            <w:r>
              <w:rPr>
                <w:spacing w:val="-5"/>
                <w:sz w:val="20"/>
              </w:rPr>
              <w:t>12</w:t>
            </w:r>
          </w:p>
          <w:p>
            <w:pPr>
              <w:pStyle w:val="TableParagraph"/>
              <w:spacing w:before="1"/>
              <w:rPr>
                <w:rFonts w:ascii="Arial"/>
                <w:b/>
                <w:sz w:val="20"/>
              </w:rPr>
            </w:pPr>
          </w:p>
          <w:p>
            <w:pPr>
              <w:pStyle w:val="TableParagraph"/>
              <w:ind w:left="206"/>
              <w:rPr>
                <w:sz w:val="20"/>
              </w:rPr>
            </w:pPr>
            <w:r>
              <w:rPr>
                <w:spacing w:val="-5"/>
                <w:sz w:val="20"/>
              </w:rPr>
              <w:t>11</w:t>
            </w:r>
          </w:p>
        </w:tc>
        <w:tc>
          <w:tcPr>
            <w:tcW w:w="815" w:type="dxa"/>
            <w:tcBorders>
              <w:left w:val="nil"/>
              <w:right w:val="nil"/>
            </w:tcBorders>
          </w:tcPr>
          <w:p>
            <w:pPr>
              <w:pStyle w:val="TableParagraph"/>
              <w:spacing w:line="225" w:lineRule="exact"/>
              <w:ind w:left="242"/>
              <w:rPr>
                <w:sz w:val="20"/>
              </w:rPr>
            </w:pPr>
            <w:r>
              <w:rPr>
                <w:spacing w:val="-5"/>
                <w:sz w:val="20"/>
              </w:rPr>
              <w:t>432</w:t>
            </w:r>
          </w:p>
          <w:p>
            <w:pPr>
              <w:pStyle w:val="TableParagraph"/>
              <w:rPr>
                <w:rFonts w:ascii="Arial"/>
                <w:b/>
                <w:sz w:val="20"/>
              </w:rPr>
            </w:pPr>
          </w:p>
          <w:p>
            <w:pPr>
              <w:pStyle w:val="TableParagraph"/>
              <w:spacing w:before="1"/>
              <w:ind w:left="242"/>
              <w:rPr>
                <w:sz w:val="20"/>
              </w:rPr>
            </w:pPr>
            <w:r>
              <w:rPr>
                <w:spacing w:val="-5"/>
                <w:sz w:val="20"/>
              </w:rPr>
              <w:t>106</w:t>
            </w:r>
          </w:p>
          <w:p>
            <w:pPr>
              <w:pStyle w:val="TableParagraph"/>
              <w:rPr>
                <w:rFonts w:ascii="Arial"/>
                <w:b/>
                <w:sz w:val="20"/>
              </w:rPr>
            </w:pPr>
          </w:p>
          <w:p>
            <w:pPr>
              <w:pStyle w:val="TableParagraph"/>
              <w:ind w:left="242"/>
              <w:rPr>
                <w:sz w:val="20"/>
              </w:rPr>
            </w:pPr>
            <w:r>
              <w:rPr>
                <w:spacing w:val="-5"/>
                <w:sz w:val="20"/>
              </w:rPr>
              <w:t>142</w:t>
            </w:r>
          </w:p>
          <w:p>
            <w:pPr>
              <w:pStyle w:val="TableParagraph"/>
              <w:spacing w:before="1"/>
              <w:rPr>
                <w:rFonts w:ascii="Arial"/>
                <w:b/>
                <w:sz w:val="20"/>
              </w:rPr>
            </w:pPr>
          </w:p>
          <w:p>
            <w:pPr>
              <w:pStyle w:val="TableParagraph"/>
              <w:ind w:left="242"/>
              <w:rPr>
                <w:sz w:val="20"/>
              </w:rPr>
            </w:pPr>
            <w:r>
              <w:rPr>
                <w:spacing w:val="-5"/>
                <w:sz w:val="20"/>
              </w:rPr>
              <w:t>101</w:t>
            </w:r>
          </w:p>
          <w:p>
            <w:pPr>
              <w:pStyle w:val="TableParagraph"/>
              <w:spacing w:before="1"/>
              <w:rPr>
                <w:rFonts w:ascii="Arial"/>
                <w:b/>
                <w:sz w:val="20"/>
              </w:rPr>
            </w:pPr>
          </w:p>
          <w:p>
            <w:pPr>
              <w:pStyle w:val="TableParagraph"/>
              <w:ind w:left="242"/>
              <w:rPr>
                <w:sz w:val="20"/>
              </w:rPr>
            </w:pPr>
            <w:r>
              <w:rPr>
                <w:spacing w:val="-5"/>
                <w:sz w:val="20"/>
              </w:rPr>
              <w:t>132</w:t>
            </w:r>
          </w:p>
        </w:tc>
        <w:tc>
          <w:tcPr>
            <w:tcW w:w="672" w:type="dxa"/>
            <w:tcBorders>
              <w:left w:val="nil"/>
              <w:right w:val="nil"/>
            </w:tcBorders>
          </w:tcPr>
          <w:p>
            <w:pPr>
              <w:pStyle w:val="TableParagraph"/>
              <w:spacing w:line="225" w:lineRule="exact"/>
              <w:ind w:left="205"/>
              <w:rPr>
                <w:sz w:val="20"/>
              </w:rPr>
            </w:pPr>
            <w:r>
              <w:rPr>
                <w:spacing w:val="-5"/>
                <w:sz w:val="20"/>
              </w:rPr>
              <w:t>44</w:t>
            </w:r>
          </w:p>
          <w:p>
            <w:pPr>
              <w:pStyle w:val="TableParagraph"/>
              <w:rPr>
                <w:rFonts w:ascii="Arial"/>
                <w:b/>
                <w:sz w:val="20"/>
              </w:rPr>
            </w:pPr>
          </w:p>
          <w:p>
            <w:pPr>
              <w:pStyle w:val="TableParagraph"/>
              <w:spacing w:before="1"/>
              <w:ind w:left="205"/>
              <w:rPr>
                <w:sz w:val="20"/>
              </w:rPr>
            </w:pPr>
            <w:r>
              <w:rPr>
                <w:spacing w:val="-5"/>
                <w:sz w:val="20"/>
              </w:rPr>
              <w:t>11</w:t>
            </w:r>
          </w:p>
          <w:p>
            <w:pPr>
              <w:pStyle w:val="TableParagraph"/>
              <w:rPr>
                <w:rFonts w:ascii="Arial"/>
                <w:b/>
                <w:sz w:val="20"/>
              </w:rPr>
            </w:pPr>
          </w:p>
          <w:p>
            <w:pPr>
              <w:pStyle w:val="TableParagraph"/>
              <w:ind w:left="205"/>
              <w:rPr>
                <w:sz w:val="20"/>
              </w:rPr>
            </w:pPr>
            <w:r>
              <w:rPr>
                <w:spacing w:val="-5"/>
                <w:sz w:val="20"/>
              </w:rPr>
              <w:t>14</w:t>
            </w:r>
          </w:p>
          <w:p>
            <w:pPr>
              <w:pStyle w:val="TableParagraph"/>
              <w:spacing w:before="1"/>
              <w:rPr>
                <w:rFonts w:ascii="Arial"/>
                <w:b/>
                <w:sz w:val="20"/>
              </w:rPr>
            </w:pPr>
          </w:p>
          <w:p>
            <w:pPr>
              <w:pStyle w:val="TableParagraph"/>
              <w:ind w:left="205"/>
              <w:rPr>
                <w:sz w:val="20"/>
              </w:rPr>
            </w:pPr>
            <w:r>
              <w:rPr>
                <w:spacing w:val="-5"/>
                <w:sz w:val="20"/>
              </w:rPr>
              <w:t>10</w:t>
            </w:r>
          </w:p>
          <w:p>
            <w:pPr>
              <w:pStyle w:val="TableParagraph"/>
              <w:spacing w:before="1"/>
              <w:rPr>
                <w:rFonts w:ascii="Arial"/>
                <w:b/>
                <w:sz w:val="20"/>
              </w:rPr>
            </w:pPr>
          </w:p>
          <w:p>
            <w:pPr>
              <w:pStyle w:val="TableParagraph"/>
              <w:ind w:left="205"/>
              <w:rPr>
                <w:sz w:val="20"/>
              </w:rPr>
            </w:pPr>
            <w:r>
              <w:rPr>
                <w:spacing w:val="-5"/>
                <w:sz w:val="20"/>
              </w:rPr>
              <w:t>13</w:t>
            </w:r>
          </w:p>
        </w:tc>
        <w:tc>
          <w:tcPr>
            <w:tcW w:w="996" w:type="dxa"/>
            <w:tcBorders>
              <w:left w:val="nil"/>
              <w:right w:val="nil"/>
            </w:tcBorders>
          </w:tcPr>
          <w:p>
            <w:pPr>
              <w:pStyle w:val="TableParagraph"/>
              <w:spacing w:line="225" w:lineRule="exact"/>
              <w:ind w:right="86"/>
              <w:jc w:val="center"/>
              <w:rPr>
                <w:sz w:val="20"/>
              </w:rPr>
            </w:pPr>
            <w:r>
              <w:rPr>
                <w:spacing w:val="-5"/>
                <w:sz w:val="20"/>
              </w:rPr>
              <w:t>244</w:t>
            </w:r>
          </w:p>
          <w:p>
            <w:pPr>
              <w:pStyle w:val="TableParagraph"/>
              <w:rPr>
                <w:rFonts w:ascii="Arial"/>
                <w:b/>
                <w:sz w:val="20"/>
              </w:rPr>
            </w:pPr>
          </w:p>
          <w:p>
            <w:pPr>
              <w:pStyle w:val="TableParagraph"/>
              <w:spacing w:before="1"/>
              <w:ind w:left="5" w:right="86"/>
              <w:jc w:val="center"/>
              <w:rPr>
                <w:sz w:val="20"/>
              </w:rPr>
            </w:pPr>
            <w:r>
              <w:rPr>
                <w:spacing w:val="-5"/>
                <w:sz w:val="20"/>
              </w:rPr>
              <w:t>19</w:t>
            </w:r>
          </w:p>
          <w:p>
            <w:pPr>
              <w:pStyle w:val="TableParagraph"/>
              <w:rPr>
                <w:rFonts w:ascii="Arial"/>
                <w:b/>
                <w:sz w:val="20"/>
              </w:rPr>
            </w:pPr>
          </w:p>
          <w:p>
            <w:pPr>
              <w:pStyle w:val="TableParagraph"/>
              <w:ind w:left="5" w:right="86"/>
              <w:jc w:val="center"/>
              <w:rPr>
                <w:sz w:val="20"/>
              </w:rPr>
            </w:pPr>
            <w:r>
              <w:rPr>
                <w:spacing w:val="-5"/>
                <w:sz w:val="20"/>
              </w:rPr>
              <w:t>94</w:t>
            </w:r>
          </w:p>
          <w:p>
            <w:pPr>
              <w:pStyle w:val="TableParagraph"/>
              <w:spacing w:before="1"/>
              <w:rPr>
                <w:rFonts w:ascii="Arial"/>
                <w:b/>
                <w:sz w:val="20"/>
              </w:rPr>
            </w:pPr>
          </w:p>
          <w:p>
            <w:pPr>
              <w:pStyle w:val="TableParagraph"/>
              <w:ind w:left="5" w:right="86"/>
              <w:jc w:val="center"/>
              <w:rPr>
                <w:sz w:val="20"/>
              </w:rPr>
            </w:pPr>
            <w:r>
              <w:rPr>
                <w:spacing w:val="-5"/>
                <w:sz w:val="20"/>
              </w:rPr>
              <w:t>63</w:t>
            </w:r>
          </w:p>
          <w:p>
            <w:pPr>
              <w:pStyle w:val="TableParagraph"/>
              <w:spacing w:before="1"/>
              <w:rPr>
                <w:rFonts w:ascii="Arial"/>
                <w:b/>
                <w:sz w:val="20"/>
              </w:rPr>
            </w:pPr>
          </w:p>
          <w:p>
            <w:pPr>
              <w:pStyle w:val="TableParagraph"/>
              <w:ind w:left="5" w:right="86"/>
              <w:jc w:val="center"/>
              <w:rPr>
                <w:sz w:val="20"/>
              </w:rPr>
            </w:pPr>
            <w:r>
              <w:rPr>
                <w:spacing w:val="-5"/>
                <w:sz w:val="20"/>
              </w:rPr>
              <w:t>25</w:t>
            </w:r>
          </w:p>
        </w:tc>
        <w:tc>
          <w:tcPr>
            <w:tcW w:w="450" w:type="dxa"/>
            <w:tcBorders>
              <w:left w:val="nil"/>
              <w:right w:val="nil"/>
            </w:tcBorders>
          </w:tcPr>
          <w:p>
            <w:pPr>
              <w:pStyle w:val="TableParagraph"/>
              <w:spacing w:line="225" w:lineRule="exact"/>
              <w:ind w:left="63"/>
              <w:rPr>
                <w:sz w:val="20"/>
              </w:rPr>
            </w:pPr>
            <w:r>
              <w:rPr>
                <w:spacing w:val="-5"/>
                <w:sz w:val="20"/>
              </w:rPr>
              <w:t>25</w:t>
            </w:r>
          </w:p>
          <w:p>
            <w:pPr>
              <w:pStyle w:val="TableParagraph"/>
              <w:rPr>
                <w:rFonts w:ascii="Arial"/>
                <w:b/>
                <w:sz w:val="20"/>
              </w:rPr>
            </w:pPr>
          </w:p>
          <w:p>
            <w:pPr>
              <w:pStyle w:val="TableParagraph"/>
              <w:spacing w:before="1"/>
              <w:ind w:left="20"/>
              <w:jc w:val="center"/>
              <w:rPr>
                <w:sz w:val="20"/>
              </w:rPr>
            </w:pPr>
            <w:r>
              <w:rPr>
                <w:spacing w:val="-10"/>
                <w:sz w:val="20"/>
              </w:rPr>
              <w:t>2</w:t>
            </w:r>
          </w:p>
          <w:p>
            <w:pPr>
              <w:pStyle w:val="TableParagraph"/>
              <w:rPr>
                <w:rFonts w:ascii="Arial"/>
                <w:b/>
                <w:sz w:val="20"/>
              </w:rPr>
            </w:pPr>
          </w:p>
          <w:p>
            <w:pPr>
              <w:pStyle w:val="TableParagraph"/>
              <w:ind w:left="20"/>
              <w:jc w:val="center"/>
              <w:rPr>
                <w:sz w:val="20"/>
              </w:rPr>
            </w:pPr>
            <w:r>
              <w:rPr>
                <w:spacing w:val="-10"/>
                <w:sz w:val="20"/>
              </w:rPr>
              <w:t>9</w:t>
            </w:r>
          </w:p>
          <w:p>
            <w:pPr>
              <w:pStyle w:val="TableParagraph"/>
              <w:spacing w:before="1"/>
              <w:rPr>
                <w:rFonts w:ascii="Arial"/>
                <w:b/>
                <w:sz w:val="20"/>
              </w:rPr>
            </w:pPr>
          </w:p>
          <w:p>
            <w:pPr>
              <w:pStyle w:val="TableParagraph"/>
              <w:ind w:left="20"/>
              <w:jc w:val="center"/>
              <w:rPr>
                <w:sz w:val="20"/>
              </w:rPr>
            </w:pPr>
            <w:r>
              <w:rPr>
                <w:spacing w:val="-10"/>
                <w:sz w:val="20"/>
              </w:rPr>
              <w:t>7</w:t>
            </w:r>
          </w:p>
          <w:p>
            <w:pPr>
              <w:pStyle w:val="TableParagraph"/>
              <w:spacing w:before="1"/>
              <w:rPr>
                <w:rFonts w:ascii="Arial"/>
                <w:b/>
                <w:sz w:val="20"/>
              </w:rPr>
            </w:pPr>
          </w:p>
          <w:p>
            <w:pPr>
              <w:pStyle w:val="TableParagraph"/>
              <w:ind w:left="20"/>
              <w:jc w:val="center"/>
              <w:rPr>
                <w:sz w:val="20"/>
              </w:rPr>
            </w:pPr>
            <w:r>
              <w:rPr>
                <w:spacing w:val="-10"/>
                <w:sz w:val="20"/>
              </w:rPr>
              <w:t>3</w:t>
            </w:r>
          </w:p>
        </w:tc>
        <w:tc>
          <w:tcPr>
            <w:tcW w:w="731" w:type="dxa"/>
            <w:tcBorders>
              <w:left w:val="nil"/>
              <w:right w:val="nil"/>
            </w:tcBorders>
          </w:tcPr>
          <w:p>
            <w:pPr>
              <w:pStyle w:val="TableParagraph"/>
              <w:spacing w:line="225" w:lineRule="exact"/>
              <w:ind w:left="199"/>
              <w:rPr>
                <w:sz w:val="20"/>
              </w:rPr>
            </w:pPr>
            <w:r>
              <w:rPr>
                <w:spacing w:val="-5"/>
                <w:sz w:val="20"/>
              </w:rPr>
              <w:t>140</w:t>
            </w:r>
          </w:p>
          <w:p>
            <w:pPr>
              <w:pStyle w:val="TableParagraph"/>
              <w:rPr>
                <w:rFonts w:ascii="Arial"/>
                <w:b/>
                <w:sz w:val="20"/>
              </w:rPr>
            </w:pPr>
          </w:p>
          <w:p>
            <w:pPr>
              <w:pStyle w:val="TableParagraph"/>
              <w:spacing w:before="1"/>
              <w:ind w:left="199"/>
              <w:rPr>
                <w:sz w:val="20"/>
              </w:rPr>
            </w:pPr>
            <w:r>
              <w:rPr>
                <w:spacing w:val="-5"/>
                <w:sz w:val="20"/>
              </w:rPr>
              <w:t>158</w:t>
            </w:r>
          </w:p>
          <w:p>
            <w:pPr>
              <w:pStyle w:val="TableParagraph"/>
              <w:rPr>
                <w:rFonts w:ascii="Arial"/>
                <w:b/>
                <w:sz w:val="20"/>
              </w:rPr>
            </w:pPr>
          </w:p>
          <w:p>
            <w:pPr>
              <w:pStyle w:val="TableParagraph"/>
              <w:ind w:left="199"/>
              <w:rPr>
                <w:sz w:val="20"/>
              </w:rPr>
            </w:pPr>
            <w:r>
              <w:rPr>
                <w:spacing w:val="-5"/>
                <w:sz w:val="20"/>
              </w:rPr>
              <w:t>231</w:t>
            </w:r>
          </w:p>
          <w:p>
            <w:pPr>
              <w:pStyle w:val="TableParagraph"/>
              <w:spacing w:before="1"/>
              <w:rPr>
                <w:rFonts w:ascii="Arial"/>
                <w:b/>
                <w:sz w:val="20"/>
              </w:rPr>
            </w:pPr>
          </w:p>
          <w:p>
            <w:pPr>
              <w:pStyle w:val="TableParagraph"/>
              <w:ind w:left="199"/>
              <w:rPr>
                <w:sz w:val="20"/>
              </w:rPr>
            </w:pPr>
            <w:r>
              <w:rPr>
                <w:spacing w:val="-5"/>
                <w:sz w:val="20"/>
              </w:rPr>
              <w:t>142</w:t>
            </w:r>
          </w:p>
          <w:p>
            <w:pPr>
              <w:pStyle w:val="TableParagraph"/>
              <w:spacing w:before="1"/>
              <w:rPr>
                <w:rFonts w:ascii="Arial"/>
                <w:b/>
                <w:sz w:val="20"/>
              </w:rPr>
            </w:pPr>
          </w:p>
          <w:p>
            <w:pPr>
              <w:pStyle w:val="TableParagraph"/>
              <w:ind w:left="199"/>
              <w:rPr>
                <w:sz w:val="20"/>
              </w:rPr>
            </w:pPr>
            <w:r>
              <w:rPr>
                <w:spacing w:val="-5"/>
                <w:sz w:val="20"/>
              </w:rPr>
              <w:t>151</w:t>
            </w:r>
          </w:p>
        </w:tc>
        <w:tc>
          <w:tcPr>
            <w:tcW w:w="626" w:type="dxa"/>
            <w:tcBorders>
              <w:left w:val="nil"/>
              <w:right w:val="nil"/>
            </w:tcBorders>
          </w:tcPr>
          <w:p>
            <w:pPr>
              <w:pStyle w:val="TableParagraph"/>
              <w:spacing w:line="225" w:lineRule="exact"/>
              <w:ind w:left="159"/>
              <w:rPr>
                <w:sz w:val="20"/>
              </w:rPr>
            </w:pPr>
            <w:r>
              <w:rPr>
                <w:spacing w:val="-5"/>
                <w:sz w:val="20"/>
              </w:rPr>
              <w:t>14</w:t>
            </w:r>
          </w:p>
          <w:p>
            <w:pPr>
              <w:pStyle w:val="TableParagraph"/>
              <w:rPr>
                <w:rFonts w:ascii="Arial"/>
                <w:b/>
                <w:sz w:val="20"/>
              </w:rPr>
            </w:pPr>
          </w:p>
          <w:p>
            <w:pPr>
              <w:pStyle w:val="TableParagraph"/>
              <w:spacing w:before="1"/>
              <w:ind w:left="159"/>
              <w:rPr>
                <w:sz w:val="20"/>
              </w:rPr>
            </w:pPr>
            <w:r>
              <w:rPr>
                <w:spacing w:val="-5"/>
                <w:sz w:val="20"/>
              </w:rPr>
              <w:t>16</w:t>
            </w:r>
          </w:p>
          <w:p>
            <w:pPr>
              <w:pStyle w:val="TableParagraph"/>
              <w:rPr>
                <w:rFonts w:ascii="Arial"/>
                <w:b/>
                <w:sz w:val="20"/>
              </w:rPr>
            </w:pPr>
          </w:p>
          <w:p>
            <w:pPr>
              <w:pStyle w:val="TableParagraph"/>
              <w:ind w:left="159"/>
              <w:rPr>
                <w:sz w:val="20"/>
              </w:rPr>
            </w:pPr>
            <w:r>
              <w:rPr>
                <w:spacing w:val="-5"/>
                <w:sz w:val="20"/>
              </w:rPr>
              <w:t>24</w:t>
            </w:r>
          </w:p>
          <w:p>
            <w:pPr>
              <w:pStyle w:val="TableParagraph"/>
              <w:spacing w:before="1"/>
              <w:rPr>
                <w:rFonts w:ascii="Arial"/>
                <w:b/>
                <w:sz w:val="20"/>
              </w:rPr>
            </w:pPr>
          </w:p>
          <w:p>
            <w:pPr>
              <w:pStyle w:val="TableParagraph"/>
              <w:ind w:left="159"/>
              <w:rPr>
                <w:sz w:val="20"/>
              </w:rPr>
            </w:pPr>
            <w:r>
              <w:rPr>
                <w:spacing w:val="-5"/>
                <w:sz w:val="20"/>
              </w:rPr>
              <w:t>14</w:t>
            </w:r>
          </w:p>
          <w:p>
            <w:pPr>
              <w:pStyle w:val="TableParagraph"/>
              <w:spacing w:before="1"/>
              <w:rPr>
                <w:rFonts w:ascii="Arial"/>
                <w:b/>
                <w:sz w:val="20"/>
              </w:rPr>
            </w:pPr>
          </w:p>
          <w:p>
            <w:pPr>
              <w:pStyle w:val="TableParagraph"/>
              <w:ind w:left="159"/>
              <w:rPr>
                <w:sz w:val="20"/>
              </w:rPr>
            </w:pPr>
            <w:r>
              <w:rPr>
                <w:spacing w:val="-5"/>
                <w:sz w:val="20"/>
              </w:rPr>
              <w:t>15</w:t>
            </w:r>
          </w:p>
        </w:tc>
        <w:tc>
          <w:tcPr>
            <w:tcW w:w="1081" w:type="dxa"/>
            <w:tcBorders>
              <w:left w:val="nil"/>
              <w:right w:val="nil"/>
            </w:tcBorders>
          </w:tcPr>
          <w:p>
            <w:pPr>
              <w:pStyle w:val="TableParagraph"/>
              <w:spacing w:line="225" w:lineRule="exact"/>
              <w:ind w:left="282"/>
              <w:rPr>
                <w:sz w:val="20"/>
              </w:rPr>
            </w:pPr>
            <w:r>
              <w:rPr>
                <w:spacing w:val="-5"/>
                <w:sz w:val="20"/>
              </w:rPr>
              <w:t>100</w:t>
            </w:r>
          </w:p>
          <w:p>
            <w:pPr>
              <w:pStyle w:val="TableParagraph"/>
              <w:rPr>
                <w:rFonts w:ascii="Arial"/>
                <w:b/>
                <w:sz w:val="20"/>
              </w:rPr>
            </w:pPr>
          </w:p>
          <w:p>
            <w:pPr>
              <w:pStyle w:val="TableParagraph"/>
              <w:spacing w:before="1"/>
              <w:ind w:left="282"/>
              <w:rPr>
                <w:sz w:val="20"/>
              </w:rPr>
            </w:pPr>
            <w:r>
              <w:rPr>
                <w:spacing w:val="-5"/>
                <w:sz w:val="20"/>
              </w:rPr>
              <w:t>107</w:t>
            </w:r>
          </w:p>
          <w:p>
            <w:pPr>
              <w:pStyle w:val="TableParagraph"/>
              <w:rPr>
                <w:rFonts w:ascii="Arial"/>
                <w:b/>
                <w:sz w:val="20"/>
              </w:rPr>
            </w:pPr>
          </w:p>
          <w:p>
            <w:pPr>
              <w:pStyle w:val="TableParagraph"/>
              <w:ind w:left="340"/>
              <w:rPr>
                <w:sz w:val="20"/>
              </w:rPr>
            </w:pPr>
            <w:r>
              <w:rPr>
                <w:spacing w:val="-5"/>
                <w:sz w:val="20"/>
              </w:rPr>
              <w:t>55</w:t>
            </w:r>
          </w:p>
          <w:p>
            <w:pPr>
              <w:pStyle w:val="TableParagraph"/>
              <w:spacing w:before="1"/>
              <w:rPr>
                <w:rFonts w:ascii="Arial"/>
                <w:b/>
                <w:sz w:val="20"/>
              </w:rPr>
            </w:pPr>
          </w:p>
          <w:p>
            <w:pPr>
              <w:pStyle w:val="TableParagraph"/>
              <w:ind w:left="340"/>
              <w:rPr>
                <w:sz w:val="20"/>
              </w:rPr>
            </w:pPr>
            <w:r>
              <w:rPr>
                <w:spacing w:val="-5"/>
                <w:sz w:val="20"/>
              </w:rPr>
              <w:t>80</w:t>
            </w:r>
          </w:p>
          <w:p>
            <w:pPr>
              <w:pStyle w:val="TableParagraph"/>
              <w:spacing w:before="1"/>
              <w:rPr>
                <w:rFonts w:ascii="Arial"/>
                <w:b/>
                <w:sz w:val="20"/>
              </w:rPr>
            </w:pPr>
          </w:p>
          <w:p>
            <w:pPr>
              <w:pStyle w:val="TableParagraph"/>
              <w:ind w:left="340"/>
              <w:rPr>
                <w:sz w:val="20"/>
              </w:rPr>
            </w:pPr>
            <w:r>
              <w:rPr>
                <w:spacing w:val="-5"/>
                <w:sz w:val="20"/>
              </w:rPr>
              <w:t>50</w:t>
            </w:r>
          </w:p>
        </w:tc>
        <w:tc>
          <w:tcPr>
            <w:tcW w:w="452" w:type="dxa"/>
            <w:tcBorders>
              <w:left w:val="nil"/>
              <w:right w:val="nil"/>
            </w:tcBorders>
          </w:tcPr>
          <w:p>
            <w:pPr>
              <w:pStyle w:val="TableParagraph"/>
              <w:spacing w:line="225" w:lineRule="exact"/>
              <w:ind w:left="70"/>
              <w:rPr>
                <w:sz w:val="20"/>
              </w:rPr>
            </w:pPr>
            <w:r>
              <w:rPr>
                <w:spacing w:val="-5"/>
                <w:sz w:val="20"/>
              </w:rPr>
              <w:t>10</w:t>
            </w:r>
          </w:p>
          <w:p>
            <w:pPr>
              <w:pStyle w:val="TableParagraph"/>
              <w:rPr>
                <w:rFonts w:ascii="Arial"/>
                <w:b/>
                <w:sz w:val="20"/>
              </w:rPr>
            </w:pPr>
          </w:p>
          <w:p>
            <w:pPr>
              <w:pStyle w:val="TableParagraph"/>
              <w:spacing w:before="1"/>
              <w:ind w:right="156"/>
              <w:jc w:val="right"/>
              <w:rPr>
                <w:sz w:val="20"/>
              </w:rPr>
            </w:pPr>
            <w:r>
              <w:rPr>
                <w:spacing w:val="-5"/>
                <w:sz w:val="20"/>
              </w:rPr>
              <w:t>11</w:t>
            </w:r>
          </w:p>
          <w:p>
            <w:pPr>
              <w:pStyle w:val="TableParagraph"/>
              <w:rPr>
                <w:rFonts w:ascii="Arial"/>
                <w:b/>
                <w:sz w:val="20"/>
              </w:rPr>
            </w:pPr>
          </w:p>
          <w:p>
            <w:pPr>
              <w:pStyle w:val="TableParagraph"/>
              <w:ind w:right="152"/>
              <w:jc w:val="right"/>
              <w:rPr>
                <w:sz w:val="20"/>
              </w:rPr>
            </w:pPr>
            <w:r>
              <w:rPr>
                <w:spacing w:val="-10"/>
                <w:sz w:val="20"/>
              </w:rPr>
              <w:t>6</w:t>
            </w:r>
          </w:p>
          <w:p>
            <w:pPr>
              <w:pStyle w:val="TableParagraph"/>
              <w:spacing w:before="1"/>
              <w:rPr>
                <w:rFonts w:ascii="Arial"/>
                <w:b/>
                <w:sz w:val="20"/>
              </w:rPr>
            </w:pPr>
          </w:p>
          <w:p>
            <w:pPr>
              <w:pStyle w:val="TableParagraph"/>
              <w:ind w:right="152"/>
              <w:jc w:val="right"/>
              <w:rPr>
                <w:sz w:val="20"/>
              </w:rPr>
            </w:pPr>
            <w:r>
              <w:rPr>
                <w:spacing w:val="-10"/>
                <w:sz w:val="20"/>
              </w:rPr>
              <w:t>8</w:t>
            </w:r>
          </w:p>
          <w:p>
            <w:pPr>
              <w:pStyle w:val="TableParagraph"/>
              <w:spacing w:before="1"/>
              <w:rPr>
                <w:rFonts w:ascii="Arial"/>
                <w:b/>
                <w:sz w:val="20"/>
              </w:rPr>
            </w:pPr>
          </w:p>
          <w:p>
            <w:pPr>
              <w:pStyle w:val="TableParagraph"/>
              <w:ind w:right="152"/>
              <w:jc w:val="right"/>
              <w:rPr>
                <w:sz w:val="20"/>
              </w:rPr>
            </w:pPr>
            <w:r>
              <w:rPr>
                <w:spacing w:val="-10"/>
                <w:sz w:val="20"/>
              </w:rPr>
              <w:t>5</w:t>
            </w:r>
          </w:p>
        </w:tc>
        <w:tc>
          <w:tcPr>
            <w:tcW w:w="762" w:type="dxa"/>
            <w:tcBorders>
              <w:left w:val="nil"/>
              <w:right w:val="nil"/>
            </w:tcBorders>
          </w:tcPr>
          <w:p>
            <w:pPr>
              <w:pStyle w:val="TableParagraph"/>
              <w:spacing w:line="225" w:lineRule="exact"/>
              <w:ind w:left="151"/>
              <w:rPr>
                <w:sz w:val="20"/>
              </w:rPr>
            </w:pPr>
            <w:r>
              <w:rPr>
                <w:spacing w:val="-4"/>
                <w:sz w:val="20"/>
              </w:rPr>
              <w:t>1256</w:t>
            </w:r>
          </w:p>
          <w:p>
            <w:pPr>
              <w:pStyle w:val="TableParagraph"/>
              <w:rPr>
                <w:rFonts w:ascii="Arial"/>
                <w:b/>
                <w:sz w:val="20"/>
              </w:rPr>
            </w:pPr>
          </w:p>
          <w:p>
            <w:pPr>
              <w:pStyle w:val="TableParagraph"/>
              <w:spacing w:before="1"/>
              <w:ind w:left="208"/>
              <w:rPr>
                <w:sz w:val="20"/>
              </w:rPr>
            </w:pPr>
            <w:r>
              <w:rPr>
                <w:spacing w:val="-5"/>
                <w:sz w:val="20"/>
              </w:rPr>
              <w:t>500</w:t>
            </w:r>
          </w:p>
          <w:p>
            <w:pPr>
              <w:pStyle w:val="TableParagraph"/>
              <w:rPr>
                <w:rFonts w:ascii="Arial"/>
                <w:b/>
                <w:sz w:val="20"/>
              </w:rPr>
            </w:pPr>
          </w:p>
          <w:p>
            <w:pPr>
              <w:pStyle w:val="TableParagraph"/>
              <w:ind w:left="208"/>
              <w:rPr>
                <w:sz w:val="20"/>
              </w:rPr>
            </w:pPr>
            <w:r>
              <w:rPr>
                <w:spacing w:val="-5"/>
                <w:sz w:val="20"/>
              </w:rPr>
              <w:t>662</w:t>
            </w:r>
          </w:p>
          <w:p>
            <w:pPr>
              <w:pStyle w:val="TableParagraph"/>
              <w:spacing w:before="1"/>
              <w:rPr>
                <w:rFonts w:ascii="Arial"/>
                <w:b/>
                <w:sz w:val="20"/>
              </w:rPr>
            </w:pPr>
          </w:p>
          <w:p>
            <w:pPr>
              <w:pStyle w:val="TableParagraph"/>
              <w:ind w:left="208"/>
              <w:rPr>
                <w:sz w:val="20"/>
              </w:rPr>
            </w:pPr>
            <w:r>
              <w:rPr>
                <w:spacing w:val="-5"/>
                <w:sz w:val="20"/>
              </w:rPr>
              <w:t>504</w:t>
            </w:r>
          </w:p>
          <w:p>
            <w:pPr>
              <w:pStyle w:val="TableParagraph"/>
              <w:spacing w:before="1"/>
              <w:rPr>
                <w:rFonts w:ascii="Arial"/>
                <w:b/>
                <w:sz w:val="20"/>
              </w:rPr>
            </w:pPr>
          </w:p>
          <w:p>
            <w:pPr>
              <w:pStyle w:val="TableParagraph"/>
              <w:ind w:left="208"/>
              <w:rPr>
                <w:sz w:val="20"/>
              </w:rPr>
            </w:pPr>
            <w:r>
              <w:rPr>
                <w:spacing w:val="-5"/>
                <w:sz w:val="20"/>
              </w:rPr>
              <w:t>467</w:t>
            </w:r>
          </w:p>
        </w:tc>
        <w:tc>
          <w:tcPr>
            <w:tcW w:w="665" w:type="dxa"/>
            <w:tcBorders>
              <w:left w:val="nil"/>
            </w:tcBorders>
          </w:tcPr>
          <w:p>
            <w:pPr>
              <w:pStyle w:val="TableParagraph"/>
              <w:spacing w:line="225" w:lineRule="exact"/>
              <w:ind w:left="161"/>
              <w:rPr>
                <w:sz w:val="20"/>
              </w:rPr>
            </w:pPr>
            <w:r>
              <w:rPr>
                <w:spacing w:val="-5"/>
                <w:sz w:val="20"/>
              </w:rPr>
              <w:t>128</w:t>
            </w:r>
          </w:p>
          <w:p>
            <w:pPr>
              <w:pStyle w:val="TableParagraph"/>
              <w:rPr>
                <w:rFonts w:ascii="Arial"/>
                <w:b/>
                <w:sz w:val="20"/>
              </w:rPr>
            </w:pPr>
          </w:p>
          <w:p>
            <w:pPr>
              <w:pStyle w:val="TableParagraph"/>
              <w:spacing w:before="1"/>
              <w:ind w:left="219"/>
              <w:rPr>
                <w:sz w:val="20"/>
              </w:rPr>
            </w:pPr>
            <w:r>
              <w:rPr>
                <w:spacing w:val="-5"/>
                <w:sz w:val="20"/>
              </w:rPr>
              <w:t>51</w:t>
            </w:r>
          </w:p>
          <w:p>
            <w:pPr>
              <w:pStyle w:val="TableParagraph"/>
              <w:rPr>
                <w:rFonts w:ascii="Arial"/>
                <w:b/>
                <w:sz w:val="20"/>
              </w:rPr>
            </w:pPr>
          </w:p>
          <w:p>
            <w:pPr>
              <w:pStyle w:val="TableParagraph"/>
              <w:ind w:left="219"/>
              <w:rPr>
                <w:sz w:val="20"/>
              </w:rPr>
            </w:pPr>
            <w:r>
              <w:rPr>
                <w:spacing w:val="-5"/>
                <w:sz w:val="20"/>
              </w:rPr>
              <w:t>68</w:t>
            </w:r>
          </w:p>
          <w:p>
            <w:pPr>
              <w:pStyle w:val="TableParagraph"/>
              <w:spacing w:before="1"/>
              <w:rPr>
                <w:rFonts w:ascii="Arial"/>
                <w:b/>
                <w:sz w:val="20"/>
              </w:rPr>
            </w:pPr>
          </w:p>
          <w:p>
            <w:pPr>
              <w:pStyle w:val="TableParagraph"/>
              <w:ind w:left="219"/>
              <w:rPr>
                <w:sz w:val="20"/>
              </w:rPr>
            </w:pPr>
            <w:r>
              <w:rPr>
                <w:spacing w:val="-5"/>
                <w:sz w:val="20"/>
              </w:rPr>
              <w:t>51</w:t>
            </w:r>
          </w:p>
          <w:p>
            <w:pPr>
              <w:pStyle w:val="TableParagraph"/>
              <w:spacing w:before="1"/>
              <w:rPr>
                <w:rFonts w:ascii="Arial"/>
                <w:b/>
                <w:sz w:val="20"/>
              </w:rPr>
            </w:pPr>
          </w:p>
          <w:p>
            <w:pPr>
              <w:pStyle w:val="TableParagraph"/>
              <w:ind w:left="219"/>
              <w:rPr>
                <w:sz w:val="20"/>
              </w:rPr>
            </w:pPr>
            <w:r>
              <w:rPr>
                <w:spacing w:val="-5"/>
                <w:sz w:val="20"/>
              </w:rPr>
              <w:t>48</w:t>
            </w:r>
          </w:p>
        </w:tc>
      </w:tr>
    </w:tbl>
    <w:p>
      <w:pPr>
        <w:tabs>
          <w:tab w:pos="7651" w:val="left" w:leader="none"/>
          <w:tab w:pos="9575" w:val="left" w:leader="none"/>
        </w:tabs>
        <w:spacing w:before="0"/>
        <w:ind w:left="840" w:right="0" w:firstLine="0"/>
        <w:jc w:val="left"/>
        <w:rPr>
          <w:sz w:val="22"/>
        </w:rPr>
      </w:pPr>
      <w:r>
        <w:rPr>
          <w:rFonts w:ascii="Arial"/>
          <w:b/>
          <w:sz w:val="22"/>
        </w:rPr>
        <w:t>Key:</w:t>
      </w:r>
      <w:r>
        <w:rPr>
          <w:rFonts w:ascii="Arial"/>
          <w:b/>
          <w:spacing w:val="-5"/>
          <w:sz w:val="22"/>
        </w:rPr>
        <w:t> </w:t>
      </w:r>
      <w:r>
        <w:rPr>
          <w:sz w:val="22"/>
        </w:rPr>
        <w:t>Proportionate</w:t>
      </w:r>
      <w:r>
        <w:rPr>
          <w:spacing w:val="-3"/>
          <w:sz w:val="22"/>
        </w:rPr>
        <w:t> </w:t>
      </w:r>
      <w:r>
        <w:rPr>
          <w:sz w:val="22"/>
        </w:rPr>
        <w:t>sample</w:t>
      </w:r>
      <w:r>
        <w:rPr>
          <w:spacing w:val="-8"/>
          <w:sz w:val="22"/>
        </w:rPr>
        <w:t> </w:t>
      </w:r>
      <w:r>
        <w:rPr>
          <w:sz w:val="22"/>
        </w:rPr>
        <w:t>size</w:t>
      </w:r>
      <w:r>
        <w:rPr>
          <w:spacing w:val="-7"/>
          <w:sz w:val="22"/>
        </w:rPr>
        <w:t> </w:t>
      </w:r>
      <w:r>
        <w:rPr>
          <w:sz w:val="22"/>
        </w:rPr>
        <w:t>for</w:t>
      </w:r>
      <w:r>
        <w:rPr>
          <w:spacing w:val="-7"/>
          <w:sz w:val="22"/>
        </w:rPr>
        <w:t> </w:t>
      </w:r>
      <w:r>
        <w:rPr>
          <w:sz w:val="22"/>
        </w:rPr>
        <w:t>service</w:t>
      </w:r>
      <w:r>
        <w:rPr>
          <w:spacing w:val="-4"/>
          <w:sz w:val="22"/>
        </w:rPr>
        <w:t> </w:t>
      </w:r>
      <w:r>
        <w:rPr>
          <w:sz w:val="22"/>
        </w:rPr>
        <w:t>staff</w:t>
      </w:r>
      <w:r>
        <w:rPr>
          <w:spacing w:val="-4"/>
          <w:sz w:val="22"/>
        </w:rPr>
        <w:t> </w:t>
      </w:r>
      <w:r>
        <w:rPr>
          <w:sz w:val="22"/>
        </w:rPr>
        <w:t>of</w:t>
      </w:r>
      <w:r>
        <w:rPr>
          <w:spacing w:val="-8"/>
          <w:sz w:val="22"/>
        </w:rPr>
        <w:t> </w:t>
      </w:r>
      <w:r>
        <w:rPr>
          <w:sz w:val="22"/>
        </w:rPr>
        <w:t>each</w:t>
      </w:r>
      <w:r>
        <w:rPr>
          <w:spacing w:val="-3"/>
          <w:sz w:val="22"/>
        </w:rPr>
        <w:t> </w:t>
      </w:r>
      <w:r>
        <w:rPr>
          <w:spacing w:val="-2"/>
          <w:sz w:val="22"/>
        </w:rPr>
        <w:t>University:</w:t>
      </w:r>
      <w:r>
        <w:rPr>
          <w:sz w:val="22"/>
        </w:rPr>
        <w:tab/>
      </w:r>
      <w:r>
        <w:rPr>
          <w:rFonts w:ascii="Arial"/>
          <w:b/>
          <w:sz w:val="22"/>
        </w:rPr>
        <w:t>P</w:t>
      </w:r>
      <w:r>
        <w:rPr>
          <w:rFonts w:ascii="Arial"/>
          <w:b/>
          <w:spacing w:val="57"/>
          <w:sz w:val="22"/>
        </w:rPr>
        <w:t> </w:t>
      </w:r>
      <w:r>
        <w:rPr>
          <w:rFonts w:ascii="Arial"/>
          <w:b/>
          <w:sz w:val="22"/>
        </w:rPr>
        <w:t>=</w:t>
      </w:r>
      <w:r>
        <w:rPr>
          <w:rFonts w:ascii="Arial"/>
          <w:b/>
          <w:spacing w:val="59"/>
          <w:sz w:val="22"/>
        </w:rPr>
        <w:t> </w:t>
      </w:r>
      <w:r>
        <w:rPr>
          <w:spacing w:val="-2"/>
          <w:sz w:val="22"/>
        </w:rPr>
        <w:t>Population</w:t>
      </w:r>
      <w:r>
        <w:rPr>
          <w:sz w:val="22"/>
        </w:rPr>
        <w:tab/>
      </w:r>
      <w:r>
        <w:rPr>
          <w:rFonts w:ascii="Arial"/>
          <w:b/>
          <w:sz w:val="22"/>
        </w:rPr>
        <w:t>S</w:t>
      </w:r>
      <w:r>
        <w:rPr>
          <w:rFonts w:ascii="Arial"/>
          <w:b/>
          <w:spacing w:val="58"/>
          <w:sz w:val="22"/>
        </w:rPr>
        <w:t> </w:t>
      </w:r>
      <w:r>
        <w:rPr>
          <w:sz w:val="22"/>
        </w:rPr>
        <w:t>=</w:t>
      </w:r>
      <w:r>
        <w:rPr>
          <w:spacing w:val="1"/>
          <w:sz w:val="22"/>
        </w:rPr>
        <w:t> </w:t>
      </w:r>
      <w:r>
        <w:rPr>
          <w:spacing w:val="-2"/>
          <w:sz w:val="22"/>
        </w:rPr>
        <w:t>Sample</w:t>
      </w:r>
    </w:p>
    <w:p>
      <w:pPr>
        <w:tabs>
          <w:tab w:pos="3734" w:val="left" w:leader="none"/>
          <w:tab w:pos="5375" w:val="left" w:leader="none"/>
        </w:tabs>
        <w:spacing w:before="247"/>
        <w:ind w:left="2908" w:right="8102" w:firstLine="91"/>
        <w:jc w:val="left"/>
        <w:rPr>
          <w:sz w:val="22"/>
        </w:rPr>
      </w:pPr>
      <w:r>
        <w:rPr>
          <w:sz w:val="22"/>
          <w:u w:val="single"/>
        </w:rPr>
        <w:tab/>
        <w:t>Pop. In Unit</w:t>
        <w:tab/>
      </w:r>
      <w:r>
        <w:rPr>
          <w:spacing w:val="80"/>
          <w:sz w:val="22"/>
        </w:rPr>
        <w:t> </w:t>
      </w:r>
      <w:r>
        <w:rPr>
          <w:sz w:val="22"/>
        </w:rPr>
        <w:t>x</w:t>
      </w:r>
      <w:r>
        <w:rPr>
          <w:spacing w:val="40"/>
          <w:sz w:val="22"/>
        </w:rPr>
        <w:t> </w:t>
      </w:r>
      <w:r>
        <w:rPr>
          <w:sz w:val="22"/>
        </w:rPr>
        <w:t>Sample Total Pop. In University</w:t>
      </w:r>
    </w:p>
    <w:p>
      <w:pPr>
        <w:pStyle w:val="Heading2"/>
        <w:spacing w:before="249" w:after="8"/>
        <w:ind w:left="840"/>
      </w:pPr>
      <w:r>
        <w:rPr/>
        <w:t>Table</w:t>
      </w:r>
      <w:r>
        <w:rPr>
          <w:spacing w:val="-6"/>
        </w:rPr>
        <w:t> </w:t>
      </w:r>
      <w:r>
        <w:rPr/>
        <w:t>3.4.8:</w:t>
      </w:r>
      <w:r>
        <w:rPr>
          <w:spacing w:val="-6"/>
        </w:rPr>
        <w:t> </w:t>
      </w:r>
      <w:r>
        <w:rPr/>
        <w:t>No.</w:t>
      </w:r>
      <w:r>
        <w:rPr>
          <w:spacing w:val="-5"/>
        </w:rPr>
        <w:t> </w:t>
      </w:r>
      <w:r>
        <w:rPr/>
        <w:t>of</w:t>
      </w:r>
      <w:r>
        <w:rPr>
          <w:spacing w:val="-11"/>
        </w:rPr>
        <w:t> </w:t>
      </w:r>
      <w:r>
        <w:rPr/>
        <w:t>respondents</w:t>
      </w:r>
      <w:r>
        <w:rPr>
          <w:spacing w:val="-5"/>
        </w:rPr>
        <w:t> </w:t>
      </w:r>
      <w:r>
        <w:rPr/>
        <w:t>in</w:t>
      </w:r>
      <w:r>
        <w:rPr>
          <w:spacing w:val="-7"/>
        </w:rPr>
        <w:t> </w:t>
      </w:r>
      <w:r>
        <w:rPr/>
        <w:t>each</w:t>
      </w:r>
      <w:r>
        <w:rPr>
          <w:spacing w:val="-7"/>
        </w:rPr>
        <w:t> </w:t>
      </w:r>
      <w:r>
        <w:rPr/>
        <w:t>Top</w:t>
      </w:r>
      <w:r>
        <w:rPr>
          <w:spacing w:val="-10"/>
        </w:rPr>
        <w:t> </w:t>
      </w:r>
      <w:r>
        <w:rPr/>
        <w:t>Management</w:t>
      </w:r>
      <w:r>
        <w:rPr>
          <w:spacing w:val="-7"/>
        </w:rPr>
        <w:t> </w:t>
      </w:r>
      <w:r>
        <w:rPr/>
        <w:t>unit</w:t>
      </w:r>
      <w:r>
        <w:rPr>
          <w:spacing w:val="-7"/>
        </w:rPr>
        <w:t> </w:t>
      </w:r>
      <w:r>
        <w:rPr/>
        <w:t>of</w:t>
      </w:r>
      <w:r>
        <w:rPr>
          <w:spacing w:val="-7"/>
        </w:rPr>
        <w:t> </w:t>
      </w:r>
      <w:r>
        <w:rPr/>
        <w:t>the</w:t>
      </w:r>
      <w:r>
        <w:rPr>
          <w:spacing w:val="-6"/>
        </w:rPr>
        <w:t> </w:t>
      </w:r>
      <w:r>
        <w:rPr/>
        <w:t>sampled</w:t>
      </w:r>
      <w:r>
        <w:rPr>
          <w:spacing w:val="-6"/>
        </w:rPr>
        <w:t> </w:t>
      </w:r>
      <w:r>
        <w:rPr>
          <w:spacing w:val="-2"/>
        </w:rPr>
        <w:t>universities</w:t>
      </w:r>
    </w:p>
    <w:tbl>
      <w:tblPr>
        <w:tblW w:w="0" w:type="auto"/>
        <w:jc w:val="left"/>
        <w:tblInd w:w="1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801"/>
        <w:gridCol w:w="720"/>
        <w:gridCol w:w="490"/>
        <w:gridCol w:w="767"/>
        <w:gridCol w:w="493"/>
        <w:gridCol w:w="746"/>
        <w:gridCol w:w="433"/>
        <w:gridCol w:w="715"/>
        <w:gridCol w:w="460"/>
        <w:gridCol w:w="732"/>
        <w:gridCol w:w="436"/>
        <w:gridCol w:w="773"/>
        <w:gridCol w:w="563"/>
        <w:gridCol w:w="835"/>
        <w:gridCol w:w="659"/>
        <w:gridCol w:w="1020"/>
        <w:gridCol w:w="765"/>
      </w:tblGrid>
      <w:tr>
        <w:trPr>
          <w:trHeight w:val="690" w:hRule="atLeast"/>
        </w:trPr>
        <w:tc>
          <w:tcPr>
            <w:tcW w:w="14408" w:type="dxa"/>
            <w:gridSpan w:val="17"/>
            <w:tcBorders>
              <w:top w:val="single" w:sz="4" w:space="0" w:color="000000"/>
              <w:left w:val="single" w:sz="4" w:space="0" w:color="000000"/>
              <w:bottom w:val="single" w:sz="12" w:space="0" w:color="000000"/>
              <w:right w:val="single" w:sz="4" w:space="0" w:color="000000"/>
            </w:tcBorders>
          </w:tcPr>
          <w:p>
            <w:pPr>
              <w:pStyle w:val="TableParagraph"/>
              <w:tabs>
                <w:tab w:pos="5289" w:val="left" w:leader="none"/>
                <w:tab w:pos="6666" w:val="left" w:leader="none"/>
                <w:tab w:pos="7650" w:val="left" w:leader="none"/>
                <w:tab w:pos="8913" w:val="left" w:leader="none"/>
                <w:tab w:pos="9969" w:val="left" w:leader="none"/>
                <w:tab w:pos="11582" w:val="left" w:leader="none"/>
                <w:tab w:pos="13257" w:val="left" w:leader="none"/>
              </w:tabs>
              <w:ind w:left="5351" w:right="655" w:hanging="1282"/>
              <w:rPr>
                <w:rFonts w:ascii="Arial" w:hAnsi="Arial"/>
                <w:b/>
                <w:sz w:val="20"/>
              </w:rPr>
            </w:pPr>
            <w:r>
              <w:rPr>
                <w:rFonts w:ascii="Arial" w:hAnsi="Arial"/>
                <w:b/>
                <w:spacing w:val="-2"/>
                <w:sz w:val="20"/>
              </w:rPr>
              <w:t>Library</w:t>
            </w:r>
            <w:r>
              <w:rPr>
                <w:rFonts w:ascii="Arial" w:hAnsi="Arial"/>
                <w:b/>
                <w:sz w:val="20"/>
              </w:rPr>
              <w:tab/>
            </w:r>
            <w:r>
              <w:rPr>
                <w:rFonts w:ascii="Arial" w:hAnsi="Arial"/>
                <w:b/>
                <w:spacing w:val="-2"/>
                <w:sz w:val="20"/>
              </w:rPr>
              <w:t>Student</w:t>
            </w:r>
            <w:r>
              <w:rPr>
                <w:rFonts w:ascii="Arial" w:hAnsi="Arial"/>
                <w:b/>
                <w:sz w:val="20"/>
              </w:rPr>
              <w:tab/>
            </w:r>
            <w:r>
              <w:rPr>
                <w:rFonts w:ascii="Arial" w:hAnsi="Arial"/>
                <w:b/>
                <w:spacing w:val="-4"/>
                <w:sz w:val="20"/>
              </w:rPr>
              <w:t>UHS</w:t>
            </w:r>
            <w:r>
              <w:rPr>
                <w:rFonts w:ascii="Arial" w:hAnsi="Arial"/>
                <w:b/>
                <w:sz w:val="20"/>
              </w:rPr>
              <w:tab/>
            </w:r>
            <w:r>
              <w:rPr>
                <w:rFonts w:ascii="Arial" w:hAnsi="Arial"/>
                <w:b/>
                <w:spacing w:val="-2"/>
                <w:sz w:val="20"/>
              </w:rPr>
              <w:t>Security</w:t>
            </w:r>
            <w:r>
              <w:rPr>
                <w:rFonts w:ascii="Arial" w:hAnsi="Arial"/>
                <w:b/>
                <w:sz w:val="20"/>
              </w:rPr>
              <w:tab/>
            </w:r>
            <w:r>
              <w:rPr>
                <w:rFonts w:ascii="Arial" w:hAnsi="Arial"/>
                <w:b/>
                <w:spacing w:val="-2"/>
                <w:sz w:val="20"/>
              </w:rPr>
              <w:t>Estate</w:t>
            </w:r>
            <w:r>
              <w:rPr>
                <w:rFonts w:ascii="Arial" w:hAnsi="Arial"/>
                <w:b/>
                <w:sz w:val="20"/>
              </w:rPr>
              <w:tab/>
              <w:t>VC’s Office</w:t>
              <w:tab/>
            </w:r>
            <w:r>
              <w:rPr>
                <w:rFonts w:ascii="Arial" w:hAnsi="Arial"/>
                <w:b/>
                <w:spacing w:val="-2"/>
                <w:sz w:val="20"/>
              </w:rPr>
              <w:t>Others</w:t>
            </w:r>
            <w:r>
              <w:rPr>
                <w:rFonts w:ascii="Arial" w:hAnsi="Arial"/>
                <w:b/>
                <w:sz w:val="20"/>
              </w:rPr>
              <w:tab/>
            </w:r>
            <w:r>
              <w:rPr>
                <w:rFonts w:ascii="Arial" w:hAnsi="Arial"/>
                <w:b/>
                <w:spacing w:val="-2"/>
                <w:sz w:val="20"/>
              </w:rPr>
              <w:t>Total Affairs</w:t>
            </w:r>
          </w:p>
          <w:p>
            <w:pPr>
              <w:pStyle w:val="TableParagraph"/>
              <w:spacing w:line="220" w:lineRule="exact"/>
              <w:ind w:left="5481"/>
              <w:rPr>
                <w:rFonts w:ascii="Arial"/>
                <w:b/>
                <w:sz w:val="20"/>
              </w:rPr>
            </w:pPr>
            <w:r>
              <w:rPr>
                <w:rFonts w:ascii="Arial"/>
                <w:b/>
                <w:spacing w:val="-4"/>
                <w:sz w:val="20"/>
              </w:rPr>
              <w:t>Div.</w:t>
            </w:r>
          </w:p>
        </w:tc>
      </w:tr>
      <w:tr>
        <w:trPr>
          <w:trHeight w:val="301" w:hRule="atLeast"/>
        </w:trPr>
        <w:tc>
          <w:tcPr>
            <w:tcW w:w="3801" w:type="dxa"/>
            <w:tcBorders>
              <w:top w:val="single" w:sz="6" w:space="0" w:color="000000"/>
              <w:left w:val="single" w:sz="4" w:space="0" w:color="000000"/>
              <w:bottom w:val="single" w:sz="4" w:space="0" w:color="000000"/>
            </w:tcBorders>
          </w:tcPr>
          <w:p>
            <w:pPr>
              <w:pStyle w:val="TableParagraph"/>
              <w:tabs>
                <w:tab w:pos="1804" w:val="left" w:leader="none"/>
              </w:tabs>
              <w:spacing w:line="195" w:lineRule="exact"/>
              <w:ind w:left="105"/>
              <w:rPr>
                <w:sz w:val="20"/>
              </w:rPr>
            </w:pPr>
            <w:r>
              <w:rPr>
                <w:spacing w:val="-2"/>
                <w:sz w:val="20"/>
              </w:rPr>
              <w:t>S/No.</w:t>
            </w:r>
            <w:r>
              <w:rPr>
                <w:sz w:val="20"/>
              </w:rPr>
              <w:tab/>
            </w:r>
            <w:r>
              <w:rPr>
                <w:spacing w:val="-2"/>
                <w:sz w:val="20"/>
              </w:rPr>
              <w:t>University</w:t>
            </w:r>
          </w:p>
        </w:tc>
        <w:tc>
          <w:tcPr>
            <w:tcW w:w="720" w:type="dxa"/>
            <w:tcBorders>
              <w:top w:val="single" w:sz="4" w:space="0" w:color="000000"/>
              <w:bottom w:val="single" w:sz="4" w:space="0" w:color="000000"/>
            </w:tcBorders>
          </w:tcPr>
          <w:p>
            <w:pPr>
              <w:pStyle w:val="TableParagraph"/>
              <w:spacing w:line="205" w:lineRule="exact"/>
              <w:ind w:left="67" w:right="103"/>
              <w:jc w:val="center"/>
              <w:rPr>
                <w:sz w:val="20"/>
              </w:rPr>
            </w:pPr>
            <w:r>
              <w:rPr>
                <w:spacing w:val="-4"/>
                <w:sz w:val="20"/>
              </w:rPr>
              <w:t>Pop.</w:t>
            </w:r>
          </w:p>
        </w:tc>
        <w:tc>
          <w:tcPr>
            <w:tcW w:w="490" w:type="dxa"/>
            <w:tcBorders>
              <w:top w:val="single" w:sz="4" w:space="0" w:color="000000"/>
              <w:bottom w:val="single" w:sz="4" w:space="0" w:color="000000"/>
            </w:tcBorders>
          </w:tcPr>
          <w:p>
            <w:pPr>
              <w:pStyle w:val="TableParagraph"/>
              <w:spacing w:line="205" w:lineRule="exact"/>
              <w:ind w:left="17" w:right="7"/>
              <w:jc w:val="center"/>
              <w:rPr>
                <w:sz w:val="20"/>
              </w:rPr>
            </w:pPr>
            <w:r>
              <w:rPr>
                <w:spacing w:val="-10"/>
                <w:sz w:val="20"/>
              </w:rPr>
              <w:t>S</w:t>
            </w:r>
          </w:p>
        </w:tc>
        <w:tc>
          <w:tcPr>
            <w:tcW w:w="767" w:type="dxa"/>
            <w:tcBorders>
              <w:top w:val="single" w:sz="4" w:space="0" w:color="000000"/>
              <w:bottom w:val="single" w:sz="4" w:space="0" w:color="000000"/>
            </w:tcBorders>
          </w:tcPr>
          <w:p>
            <w:pPr>
              <w:pStyle w:val="TableParagraph"/>
              <w:spacing w:line="205" w:lineRule="exact"/>
              <w:ind w:left="17" w:right="8"/>
              <w:jc w:val="center"/>
              <w:rPr>
                <w:sz w:val="20"/>
              </w:rPr>
            </w:pPr>
            <w:r>
              <w:rPr>
                <w:spacing w:val="-4"/>
                <w:sz w:val="20"/>
              </w:rPr>
              <w:t>Pop.</w:t>
            </w:r>
          </w:p>
        </w:tc>
        <w:tc>
          <w:tcPr>
            <w:tcW w:w="493" w:type="dxa"/>
            <w:tcBorders>
              <w:top w:val="single" w:sz="4" w:space="0" w:color="000000"/>
              <w:bottom w:val="single" w:sz="4" w:space="0" w:color="000000"/>
            </w:tcBorders>
          </w:tcPr>
          <w:p>
            <w:pPr>
              <w:pStyle w:val="TableParagraph"/>
              <w:spacing w:line="205" w:lineRule="exact"/>
              <w:ind w:left="15" w:right="7"/>
              <w:jc w:val="center"/>
              <w:rPr>
                <w:sz w:val="20"/>
              </w:rPr>
            </w:pPr>
            <w:r>
              <w:rPr>
                <w:spacing w:val="-10"/>
                <w:sz w:val="20"/>
              </w:rPr>
              <w:t>S</w:t>
            </w:r>
          </w:p>
        </w:tc>
        <w:tc>
          <w:tcPr>
            <w:tcW w:w="746" w:type="dxa"/>
            <w:tcBorders>
              <w:top w:val="single" w:sz="4" w:space="0" w:color="000000"/>
              <w:bottom w:val="single" w:sz="4" w:space="0" w:color="000000"/>
            </w:tcBorders>
          </w:tcPr>
          <w:p>
            <w:pPr>
              <w:pStyle w:val="TableParagraph"/>
              <w:spacing w:line="205" w:lineRule="exact"/>
              <w:ind w:left="43" w:right="8"/>
              <w:jc w:val="center"/>
              <w:rPr>
                <w:sz w:val="20"/>
              </w:rPr>
            </w:pPr>
            <w:r>
              <w:rPr>
                <w:spacing w:val="-4"/>
                <w:sz w:val="20"/>
              </w:rPr>
              <w:t>Pop.</w:t>
            </w:r>
          </w:p>
        </w:tc>
        <w:tc>
          <w:tcPr>
            <w:tcW w:w="433" w:type="dxa"/>
            <w:tcBorders>
              <w:top w:val="single" w:sz="4" w:space="0" w:color="000000"/>
              <w:bottom w:val="single" w:sz="4" w:space="0" w:color="000000"/>
            </w:tcBorders>
          </w:tcPr>
          <w:p>
            <w:pPr>
              <w:pStyle w:val="TableParagraph"/>
              <w:spacing w:line="205" w:lineRule="exact"/>
              <w:ind w:left="19"/>
              <w:jc w:val="center"/>
              <w:rPr>
                <w:sz w:val="20"/>
              </w:rPr>
            </w:pPr>
            <w:r>
              <w:rPr>
                <w:spacing w:val="-10"/>
                <w:sz w:val="20"/>
              </w:rPr>
              <w:t>S</w:t>
            </w:r>
          </w:p>
        </w:tc>
        <w:tc>
          <w:tcPr>
            <w:tcW w:w="715" w:type="dxa"/>
            <w:tcBorders>
              <w:top w:val="single" w:sz="4" w:space="0" w:color="000000"/>
              <w:bottom w:val="single" w:sz="4" w:space="0" w:color="000000"/>
            </w:tcBorders>
          </w:tcPr>
          <w:p>
            <w:pPr>
              <w:pStyle w:val="TableParagraph"/>
              <w:spacing w:line="205" w:lineRule="exact"/>
              <w:ind w:left="61" w:right="65"/>
              <w:jc w:val="center"/>
              <w:rPr>
                <w:sz w:val="20"/>
              </w:rPr>
            </w:pPr>
            <w:r>
              <w:rPr>
                <w:spacing w:val="-4"/>
                <w:sz w:val="20"/>
              </w:rPr>
              <w:t>Pop.</w:t>
            </w:r>
          </w:p>
        </w:tc>
        <w:tc>
          <w:tcPr>
            <w:tcW w:w="460" w:type="dxa"/>
            <w:tcBorders>
              <w:top w:val="single" w:sz="4" w:space="0" w:color="000000"/>
              <w:bottom w:val="single" w:sz="4" w:space="0" w:color="000000"/>
            </w:tcBorders>
          </w:tcPr>
          <w:p>
            <w:pPr>
              <w:pStyle w:val="TableParagraph"/>
              <w:spacing w:line="205" w:lineRule="exact"/>
              <w:jc w:val="center"/>
              <w:rPr>
                <w:sz w:val="20"/>
              </w:rPr>
            </w:pPr>
            <w:r>
              <w:rPr>
                <w:spacing w:val="-10"/>
                <w:sz w:val="20"/>
              </w:rPr>
              <w:t>S</w:t>
            </w:r>
          </w:p>
        </w:tc>
        <w:tc>
          <w:tcPr>
            <w:tcW w:w="732" w:type="dxa"/>
            <w:tcBorders>
              <w:top w:val="single" w:sz="4" w:space="0" w:color="000000"/>
              <w:bottom w:val="single" w:sz="4" w:space="0" w:color="000000"/>
            </w:tcBorders>
          </w:tcPr>
          <w:p>
            <w:pPr>
              <w:pStyle w:val="TableParagraph"/>
              <w:spacing w:line="205" w:lineRule="exact"/>
              <w:ind w:left="58" w:right="42"/>
              <w:jc w:val="center"/>
              <w:rPr>
                <w:sz w:val="20"/>
              </w:rPr>
            </w:pPr>
            <w:r>
              <w:rPr>
                <w:spacing w:val="-4"/>
                <w:sz w:val="20"/>
              </w:rPr>
              <w:t>Pop.</w:t>
            </w:r>
          </w:p>
        </w:tc>
        <w:tc>
          <w:tcPr>
            <w:tcW w:w="436" w:type="dxa"/>
            <w:tcBorders>
              <w:top w:val="single" w:sz="4" w:space="0" w:color="000000"/>
              <w:bottom w:val="single" w:sz="4" w:space="0" w:color="000000"/>
            </w:tcBorders>
          </w:tcPr>
          <w:p>
            <w:pPr>
              <w:pStyle w:val="TableParagraph"/>
              <w:spacing w:line="205" w:lineRule="exact"/>
              <w:ind w:left="11"/>
              <w:jc w:val="center"/>
              <w:rPr>
                <w:sz w:val="20"/>
              </w:rPr>
            </w:pPr>
            <w:r>
              <w:rPr>
                <w:spacing w:val="-10"/>
                <w:sz w:val="20"/>
              </w:rPr>
              <w:t>S</w:t>
            </w:r>
          </w:p>
        </w:tc>
        <w:tc>
          <w:tcPr>
            <w:tcW w:w="773" w:type="dxa"/>
            <w:tcBorders>
              <w:top w:val="single" w:sz="4" w:space="0" w:color="000000"/>
              <w:bottom w:val="single" w:sz="4" w:space="0" w:color="000000"/>
            </w:tcBorders>
          </w:tcPr>
          <w:p>
            <w:pPr>
              <w:pStyle w:val="TableParagraph"/>
              <w:spacing w:line="205" w:lineRule="exact"/>
              <w:ind w:left="2" w:right="65"/>
              <w:jc w:val="center"/>
              <w:rPr>
                <w:sz w:val="20"/>
              </w:rPr>
            </w:pPr>
            <w:r>
              <w:rPr>
                <w:spacing w:val="-4"/>
                <w:sz w:val="20"/>
              </w:rPr>
              <w:t>Pop.</w:t>
            </w:r>
          </w:p>
        </w:tc>
        <w:tc>
          <w:tcPr>
            <w:tcW w:w="563" w:type="dxa"/>
            <w:tcBorders>
              <w:top w:val="single" w:sz="4" w:space="0" w:color="000000"/>
              <w:bottom w:val="single" w:sz="4" w:space="0" w:color="000000"/>
            </w:tcBorders>
          </w:tcPr>
          <w:p>
            <w:pPr>
              <w:pStyle w:val="TableParagraph"/>
              <w:spacing w:line="205" w:lineRule="exact"/>
              <w:ind w:left="7" w:right="6"/>
              <w:jc w:val="center"/>
              <w:rPr>
                <w:sz w:val="20"/>
              </w:rPr>
            </w:pPr>
            <w:r>
              <w:rPr>
                <w:spacing w:val="-10"/>
                <w:sz w:val="20"/>
              </w:rPr>
              <w:t>S</w:t>
            </w:r>
          </w:p>
        </w:tc>
        <w:tc>
          <w:tcPr>
            <w:tcW w:w="835" w:type="dxa"/>
            <w:tcBorders>
              <w:top w:val="single" w:sz="4" w:space="0" w:color="000000"/>
              <w:bottom w:val="single" w:sz="4" w:space="0" w:color="000000"/>
            </w:tcBorders>
          </w:tcPr>
          <w:p>
            <w:pPr>
              <w:pStyle w:val="TableParagraph"/>
              <w:spacing w:line="205" w:lineRule="exact"/>
              <w:ind w:left="4" w:right="1"/>
              <w:jc w:val="center"/>
              <w:rPr>
                <w:sz w:val="20"/>
              </w:rPr>
            </w:pPr>
            <w:r>
              <w:rPr>
                <w:spacing w:val="-4"/>
                <w:sz w:val="20"/>
              </w:rPr>
              <w:t>Pop.</w:t>
            </w:r>
          </w:p>
        </w:tc>
        <w:tc>
          <w:tcPr>
            <w:tcW w:w="659" w:type="dxa"/>
            <w:tcBorders>
              <w:top w:val="single" w:sz="4" w:space="0" w:color="000000"/>
              <w:bottom w:val="single" w:sz="4" w:space="0" w:color="000000"/>
            </w:tcBorders>
          </w:tcPr>
          <w:p>
            <w:pPr>
              <w:pStyle w:val="TableParagraph"/>
              <w:spacing w:line="205" w:lineRule="exact"/>
              <w:ind w:left="208"/>
              <w:rPr>
                <w:sz w:val="20"/>
              </w:rPr>
            </w:pPr>
            <w:r>
              <w:rPr>
                <w:spacing w:val="-10"/>
                <w:sz w:val="20"/>
              </w:rPr>
              <w:t>S</w:t>
            </w:r>
          </w:p>
        </w:tc>
        <w:tc>
          <w:tcPr>
            <w:tcW w:w="1020" w:type="dxa"/>
            <w:tcBorders>
              <w:top w:val="single" w:sz="4" w:space="0" w:color="000000"/>
              <w:bottom w:val="single" w:sz="4" w:space="0" w:color="000000"/>
            </w:tcBorders>
          </w:tcPr>
          <w:p>
            <w:pPr>
              <w:pStyle w:val="TableParagraph"/>
              <w:spacing w:line="205" w:lineRule="exact"/>
              <w:ind w:left="140" w:right="123"/>
              <w:jc w:val="center"/>
              <w:rPr>
                <w:sz w:val="20"/>
              </w:rPr>
            </w:pPr>
            <w:r>
              <w:rPr>
                <w:spacing w:val="-4"/>
                <w:sz w:val="20"/>
              </w:rPr>
              <w:t>Pop.</w:t>
            </w:r>
          </w:p>
        </w:tc>
        <w:tc>
          <w:tcPr>
            <w:tcW w:w="765" w:type="dxa"/>
            <w:tcBorders>
              <w:top w:val="single" w:sz="4" w:space="0" w:color="000000"/>
              <w:bottom w:val="single" w:sz="4" w:space="0" w:color="000000"/>
              <w:right w:val="single" w:sz="4" w:space="0" w:color="000000"/>
            </w:tcBorders>
          </w:tcPr>
          <w:p>
            <w:pPr>
              <w:pStyle w:val="TableParagraph"/>
              <w:spacing w:line="205" w:lineRule="exact"/>
              <w:ind w:left="107" w:right="64"/>
              <w:jc w:val="center"/>
              <w:rPr>
                <w:sz w:val="20"/>
              </w:rPr>
            </w:pPr>
            <w:r>
              <w:rPr>
                <w:spacing w:val="-10"/>
                <w:sz w:val="20"/>
              </w:rPr>
              <w:t>S</w:t>
            </w:r>
          </w:p>
        </w:tc>
      </w:tr>
      <w:tr>
        <w:trPr>
          <w:trHeight w:val="345" w:hRule="atLeast"/>
        </w:trPr>
        <w:tc>
          <w:tcPr>
            <w:tcW w:w="3801" w:type="dxa"/>
            <w:tcBorders>
              <w:top w:val="single" w:sz="4" w:space="0" w:color="000000"/>
              <w:left w:val="single" w:sz="4" w:space="0" w:color="000000"/>
            </w:tcBorders>
          </w:tcPr>
          <w:p>
            <w:pPr>
              <w:pStyle w:val="TableParagraph"/>
              <w:tabs>
                <w:tab w:pos="825" w:val="left" w:leader="none"/>
              </w:tabs>
              <w:spacing w:line="229" w:lineRule="exact"/>
              <w:ind w:left="273"/>
              <w:rPr>
                <w:sz w:val="20"/>
              </w:rPr>
            </w:pPr>
            <w:r>
              <w:rPr>
                <w:spacing w:val="-5"/>
                <w:sz w:val="20"/>
              </w:rPr>
              <w:t>1.</w:t>
            </w:r>
            <w:r>
              <w:rPr>
                <w:sz w:val="20"/>
              </w:rPr>
              <w:tab/>
              <w:t>Ahmadu</w:t>
            </w:r>
            <w:r>
              <w:rPr>
                <w:spacing w:val="-9"/>
                <w:sz w:val="20"/>
              </w:rPr>
              <w:t> </w:t>
            </w:r>
            <w:r>
              <w:rPr>
                <w:sz w:val="20"/>
              </w:rPr>
              <w:t>Bello</w:t>
            </w:r>
            <w:r>
              <w:rPr>
                <w:spacing w:val="-8"/>
                <w:sz w:val="20"/>
              </w:rPr>
              <w:t> </w:t>
            </w:r>
            <w:r>
              <w:rPr>
                <w:sz w:val="20"/>
              </w:rPr>
              <w:t>University,</w:t>
            </w:r>
            <w:r>
              <w:rPr>
                <w:spacing w:val="-10"/>
                <w:sz w:val="20"/>
              </w:rPr>
              <w:t> </w:t>
            </w:r>
            <w:r>
              <w:rPr>
                <w:spacing w:val="-4"/>
                <w:sz w:val="20"/>
              </w:rPr>
              <w:t>Zaria</w:t>
            </w:r>
          </w:p>
        </w:tc>
        <w:tc>
          <w:tcPr>
            <w:tcW w:w="720" w:type="dxa"/>
            <w:tcBorders>
              <w:top w:val="single" w:sz="4" w:space="0" w:color="000000"/>
            </w:tcBorders>
          </w:tcPr>
          <w:p>
            <w:pPr>
              <w:pStyle w:val="TableParagraph"/>
              <w:spacing w:line="229" w:lineRule="exact"/>
              <w:ind w:left="67" w:right="95"/>
              <w:jc w:val="center"/>
              <w:rPr>
                <w:sz w:val="20"/>
              </w:rPr>
            </w:pPr>
            <w:r>
              <w:rPr>
                <w:spacing w:val="-10"/>
                <w:sz w:val="20"/>
              </w:rPr>
              <w:t>1</w:t>
            </w:r>
          </w:p>
        </w:tc>
        <w:tc>
          <w:tcPr>
            <w:tcW w:w="490" w:type="dxa"/>
            <w:tcBorders>
              <w:top w:val="single" w:sz="4" w:space="0" w:color="000000"/>
            </w:tcBorders>
          </w:tcPr>
          <w:p>
            <w:pPr>
              <w:pStyle w:val="TableParagraph"/>
              <w:spacing w:line="229" w:lineRule="exact"/>
              <w:ind w:left="17"/>
              <w:jc w:val="center"/>
              <w:rPr>
                <w:sz w:val="20"/>
              </w:rPr>
            </w:pPr>
            <w:r>
              <w:rPr>
                <w:spacing w:val="-10"/>
                <w:sz w:val="20"/>
              </w:rPr>
              <w:t>1</w:t>
            </w:r>
          </w:p>
        </w:tc>
        <w:tc>
          <w:tcPr>
            <w:tcW w:w="767" w:type="dxa"/>
            <w:tcBorders>
              <w:top w:val="single" w:sz="4" w:space="0" w:color="000000"/>
            </w:tcBorders>
          </w:tcPr>
          <w:p>
            <w:pPr>
              <w:pStyle w:val="TableParagraph"/>
              <w:spacing w:line="229" w:lineRule="exact"/>
              <w:ind w:left="17"/>
              <w:jc w:val="center"/>
              <w:rPr>
                <w:sz w:val="20"/>
              </w:rPr>
            </w:pPr>
            <w:r>
              <w:rPr>
                <w:spacing w:val="-10"/>
                <w:sz w:val="20"/>
              </w:rPr>
              <w:t>1</w:t>
            </w:r>
          </w:p>
        </w:tc>
        <w:tc>
          <w:tcPr>
            <w:tcW w:w="493" w:type="dxa"/>
            <w:tcBorders>
              <w:top w:val="single" w:sz="4" w:space="0" w:color="000000"/>
            </w:tcBorders>
          </w:tcPr>
          <w:p>
            <w:pPr>
              <w:pStyle w:val="TableParagraph"/>
              <w:spacing w:line="229" w:lineRule="exact"/>
              <w:ind w:left="15"/>
              <w:jc w:val="center"/>
              <w:rPr>
                <w:sz w:val="20"/>
              </w:rPr>
            </w:pPr>
            <w:r>
              <w:rPr>
                <w:spacing w:val="-10"/>
                <w:sz w:val="20"/>
              </w:rPr>
              <w:t>1</w:t>
            </w:r>
          </w:p>
        </w:tc>
        <w:tc>
          <w:tcPr>
            <w:tcW w:w="746" w:type="dxa"/>
            <w:tcBorders>
              <w:top w:val="single" w:sz="4" w:space="0" w:color="000000"/>
            </w:tcBorders>
          </w:tcPr>
          <w:p>
            <w:pPr>
              <w:pStyle w:val="TableParagraph"/>
              <w:spacing w:line="229" w:lineRule="exact"/>
              <w:ind w:left="43"/>
              <w:jc w:val="center"/>
              <w:rPr>
                <w:sz w:val="20"/>
              </w:rPr>
            </w:pPr>
            <w:r>
              <w:rPr>
                <w:spacing w:val="-10"/>
                <w:sz w:val="20"/>
              </w:rPr>
              <w:t>1</w:t>
            </w:r>
          </w:p>
        </w:tc>
        <w:tc>
          <w:tcPr>
            <w:tcW w:w="433" w:type="dxa"/>
            <w:tcBorders>
              <w:top w:val="single" w:sz="4" w:space="0" w:color="000000"/>
            </w:tcBorders>
          </w:tcPr>
          <w:p>
            <w:pPr>
              <w:pStyle w:val="TableParagraph"/>
              <w:spacing w:line="229" w:lineRule="exact"/>
              <w:ind w:left="19" w:right="3"/>
              <w:jc w:val="center"/>
              <w:rPr>
                <w:sz w:val="20"/>
              </w:rPr>
            </w:pPr>
            <w:r>
              <w:rPr>
                <w:spacing w:val="-10"/>
                <w:sz w:val="20"/>
              </w:rPr>
              <w:t>1</w:t>
            </w:r>
          </w:p>
        </w:tc>
        <w:tc>
          <w:tcPr>
            <w:tcW w:w="715" w:type="dxa"/>
            <w:tcBorders>
              <w:top w:val="single" w:sz="4" w:space="0" w:color="000000"/>
            </w:tcBorders>
          </w:tcPr>
          <w:p>
            <w:pPr>
              <w:pStyle w:val="TableParagraph"/>
              <w:spacing w:line="229" w:lineRule="exact"/>
              <w:ind w:left="59" w:right="65"/>
              <w:jc w:val="center"/>
              <w:rPr>
                <w:sz w:val="20"/>
              </w:rPr>
            </w:pPr>
            <w:r>
              <w:rPr>
                <w:spacing w:val="-10"/>
                <w:sz w:val="20"/>
              </w:rPr>
              <w:t>1</w:t>
            </w:r>
          </w:p>
        </w:tc>
        <w:tc>
          <w:tcPr>
            <w:tcW w:w="460" w:type="dxa"/>
            <w:tcBorders>
              <w:top w:val="single" w:sz="4" w:space="0" w:color="000000"/>
            </w:tcBorders>
          </w:tcPr>
          <w:p>
            <w:pPr>
              <w:pStyle w:val="TableParagraph"/>
              <w:spacing w:line="229" w:lineRule="exact"/>
              <w:jc w:val="center"/>
              <w:rPr>
                <w:sz w:val="20"/>
              </w:rPr>
            </w:pPr>
            <w:r>
              <w:rPr>
                <w:spacing w:val="-10"/>
                <w:sz w:val="20"/>
              </w:rPr>
              <w:t>1</w:t>
            </w:r>
          </w:p>
        </w:tc>
        <w:tc>
          <w:tcPr>
            <w:tcW w:w="732" w:type="dxa"/>
            <w:tcBorders>
              <w:top w:val="single" w:sz="4" w:space="0" w:color="000000"/>
            </w:tcBorders>
          </w:tcPr>
          <w:p>
            <w:pPr>
              <w:pStyle w:val="TableParagraph"/>
              <w:spacing w:line="229" w:lineRule="exact"/>
              <w:ind w:left="58" w:right="34"/>
              <w:jc w:val="center"/>
              <w:rPr>
                <w:sz w:val="20"/>
              </w:rPr>
            </w:pPr>
            <w:r>
              <w:rPr>
                <w:spacing w:val="-10"/>
                <w:sz w:val="20"/>
              </w:rPr>
              <w:t>1</w:t>
            </w:r>
          </w:p>
        </w:tc>
        <w:tc>
          <w:tcPr>
            <w:tcW w:w="436" w:type="dxa"/>
            <w:tcBorders>
              <w:top w:val="single" w:sz="4" w:space="0" w:color="000000"/>
            </w:tcBorders>
          </w:tcPr>
          <w:p>
            <w:pPr>
              <w:pStyle w:val="TableParagraph"/>
              <w:spacing w:line="229" w:lineRule="exact"/>
              <w:ind w:left="11" w:right="3"/>
              <w:jc w:val="center"/>
              <w:rPr>
                <w:sz w:val="20"/>
              </w:rPr>
            </w:pPr>
            <w:r>
              <w:rPr>
                <w:spacing w:val="-10"/>
                <w:sz w:val="20"/>
              </w:rPr>
              <w:t>1</w:t>
            </w:r>
          </w:p>
        </w:tc>
        <w:tc>
          <w:tcPr>
            <w:tcW w:w="773" w:type="dxa"/>
            <w:tcBorders>
              <w:top w:val="single" w:sz="4" w:space="0" w:color="000000"/>
            </w:tcBorders>
          </w:tcPr>
          <w:p>
            <w:pPr>
              <w:pStyle w:val="TableParagraph"/>
              <w:spacing w:line="229" w:lineRule="exact"/>
              <w:ind w:left="1" w:right="66"/>
              <w:jc w:val="center"/>
              <w:rPr>
                <w:sz w:val="20"/>
              </w:rPr>
            </w:pPr>
            <w:r>
              <w:rPr>
                <w:spacing w:val="-10"/>
                <w:sz w:val="20"/>
              </w:rPr>
              <w:t>3</w:t>
            </w:r>
          </w:p>
        </w:tc>
        <w:tc>
          <w:tcPr>
            <w:tcW w:w="563" w:type="dxa"/>
            <w:tcBorders>
              <w:top w:val="single" w:sz="4" w:space="0" w:color="000000"/>
            </w:tcBorders>
          </w:tcPr>
          <w:p>
            <w:pPr>
              <w:pStyle w:val="TableParagraph"/>
              <w:spacing w:line="229" w:lineRule="exact"/>
              <w:ind w:left="7"/>
              <w:jc w:val="center"/>
              <w:rPr>
                <w:sz w:val="20"/>
              </w:rPr>
            </w:pPr>
            <w:r>
              <w:rPr>
                <w:spacing w:val="-10"/>
                <w:sz w:val="20"/>
              </w:rPr>
              <w:t>2</w:t>
            </w:r>
          </w:p>
        </w:tc>
        <w:tc>
          <w:tcPr>
            <w:tcW w:w="835" w:type="dxa"/>
            <w:tcBorders>
              <w:top w:val="single" w:sz="4" w:space="0" w:color="000000"/>
            </w:tcBorders>
          </w:tcPr>
          <w:p>
            <w:pPr>
              <w:pStyle w:val="TableParagraph"/>
              <w:spacing w:line="229" w:lineRule="exact"/>
              <w:ind w:left="4" w:right="3"/>
              <w:jc w:val="center"/>
              <w:rPr>
                <w:sz w:val="20"/>
              </w:rPr>
            </w:pPr>
            <w:r>
              <w:rPr>
                <w:spacing w:val="-10"/>
                <w:sz w:val="20"/>
              </w:rPr>
              <w:t>4</w:t>
            </w:r>
          </w:p>
        </w:tc>
        <w:tc>
          <w:tcPr>
            <w:tcW w:w="659" w:type="dxa"/>
            <w:tcBorders>
              <w:top w:val="single" w:sz="4" w:space="0" w:color="000000"/>
            </w:tcBorders>
          </w:tcPr>
          <w:p>
            <w:pPr>
              <w:pStyle w:val="TableParagraph"/>
              <w:spacing w:line="229" w:lineRule="exact"/>
              <w:ind w:left="223"/>
              <w:rPr>
                <w:sz w:val="20"/>
              </w:rPr>
            </w:pPr>
            <w:r>
              <w:rPr>
                <w:spacing w:val="-10"/>
                <w:sz w:val="20"/>
              </w:rPr>
              <w:t>3</w:t>
            </w:r>
          </w:p>
        </w:tc>
        <w:tc>
          <w:tcPr>
            <w:tcW w:w="1020" w:type="dxa"/>
            <w:tcBorders>
              <w:top w:val="single" w:sz="4" w:space="0" w:color="000000"/>
            </w:tcBorders>
          </w:tcPr>
          <w:p>
            <w:pPr>
              <w:pStyle w:val="TableParagraph"/>
              <w:spacing w:line="229" w:lineRule="exact"/>
              <w:ind w:left="140" w:right="120"/>
              <w:jc w:val="center"/>
              <w:rPr>
                <w:sz w:val="20"/>
              </w:rPr>
            </w:pPr>
            <w:r>
              <w:rPr>
                <w:spacing w:val="-5"/>
                <w:sz w:val="20"/>
              </w:rPr>
              <w:t>12</w:t>
            </w:r>
          </w:p>
        </w:tc>
        <w:tc>
          <w:tcPr>
            <w:tcW w:w="765" w:type="dxa"/>
            <w:tcBorders>
              <w:top w:val="single" w:sz="4" w:space="0" w:color="000000"/>
              <w:right w:val="single" w:sz="4" w:space="0" w:color="000000"/>
            </w:tcBorders>
          </w:tcPr>
          <w:p>
            <w:pPr>
              <w:pStyle w:val="TableParagraph"/>
              <w:spacing w:line="229" w:lineRule="exact"/>
              <w:ind w:left="107" w:right="62"/>
              <w:jc w:val="center"/>
              <w:rPr>
                <w:sz w:val="20"/>
              </w:rPr>
            </w:pPr>
            <w:r>
              <w:rPr>
                <w:spacing w:val="-5"/>
                <w:sz w:val="20"/>
              </w:rPr>
              <w:t>11</w:t>
            </w:r>
          </w:p>
        </w:tc>
      </w:tr>
      <w:tr>
        <w:trPr>
          <w:trHeight w:val="398" w:hRule="atLeast"/>
        </w:trPr>
        <w:tc>
          <w:tcPr>
            <w:tcW w:w="3801" w:type="dxa"/>
            <w:tcBorders>
              <w:left w:val="single" w:sz="4" w:space="0" w:color="000000"/>
            </w:tcBorders>
          </w:tcPr>
          <w:p>
            <w:pPr>
              <w:pStyle w:val="TableParagraph"/>
              <w:tabs>
                <w:tab w:pos="825" w:val="left" w:leader="none"/>
              </w:tabs>
              <w:spacing w:before="110"/>
              <w:ind w:left="273"/>
              <w:rPr>
                <w:sz w:val="20"/>
              </w:rPr>
            </w:pPr>
            <w:r>
              <w:rPr>
                <w:spacing w:val="-5"/>
                <w:sz w:val="20"/>
              </w:rPr>
              <w:t>2.</w:t>
            </w:r>
            <w:r>
              <w:rPr>
                <w:sz w:val="20"/>
              </w:rPr>
              <w:tab/>
              <w:t>Bayero</w:t>
            </w:r>
            <w:r>
              <w:rPr>
                <w:spacing w:val="-9"/>
                <w:sz w:val="20"/>
              </w:rPr>
              <w:t> </w:t>
            </w:r>
            <w:r>
              <w:rPr>
                <w:sz w:val="20"/>
              </w:rPr>
              <w:t>University,</w:t>
            </w:r>
            <w:r>
              <w:rPr>
                <w:spacing w:val="-10"/>
                <w:sz w:val="20"/>
              </w:rPr>
              <w:t> </w:t>
            </w:r>
            <w:r>
              <w:rPr>
                <w:spacing w:val="-4"/>
                <w:sz w:val="20"/>
              </w:rPr>
              <w:t>Kano</w:t>
            </w:r>
          </w:p>
        </w:tc>
        <w:tc>
          <w:tcPr>
            <w:tcW w:w="720" w:type="dxa"/>
          </w:tcPr>
          <w:p>
            <w:pPr>
              <w:pStyle w:val="TableParagraph"/>
              <w:spacing w:before="110"/>
              <w:ind w:left="67" w:right="95"/>
              <w:jc w:val="center"/>
              <w:rPr>
                <w:sz w:val="20"/>
              </w:rPr>
            </w:pPr>
            <w:r>
              <w:rPr>
                <w:spacing w:val="-10"/>
                <w:sz w:val="20"/>
              </w:rPr>
              <w:t>1</w:t>
            </w:r>
          </w:p>
        </w:tc>
        <w:tc>
          <w:tcPr>
            <w:tcW w:w="490" w:type="dxa"/>
          </w:tcPr>
          <w:p>
            <w:pPr>
              <w:pStyle w:val="TableParagraph"/>
              <w:spacing w:before="110"/>
              <w:ind w:left="17"/>
              <w:jc w:val="center"/>
              <w:rPr>
                <w:sz w:val="20"/>
              </w:rPr>
            </w:pPr>
            <w:r>
              <w:rPr>
                <w:spacing w:val="-10"/>
                <w:sz w:val="20"/>
              </w:rPr>
              <w:t>1</w:t>
            </w:r>
          </w:p>
        </w:tc>
        <w:tc>
          <w:tcPr>
            <w:tcW w:w="767" w:type="dxa"/>
          </w:tcPr>
          <w:p>
            <w:pPr>
              <w:pStyle w:val="TableParagraph"/>
              <w:spacing w:before="110"/>
              <w:ind w:left="17"/>
              <w:jc w:val="center"/>
              <w:rPr>
                <w:sz w:val="20"/>
              </w:rPr>
            </w:pPr>
            <w:r>
              <w:rPr>
                <w:spacing w:val="-10"/>
                <w:sz w:val="20"/>
              </w:rPr>
              <w:t>2</w:t>
            </w:r>
          </w:p>
        </w:tc>
        <w:tc>
          <w:tcPr>
            <w:tcW w:w="493" w:type="dxa"/>
          </w:tcPr>
          <w:p>
            <w:pPr>
              <w:pStyle w:val="TableParagraph"/>
              <w:spacing w:before="110"/>
              <w:ind w:left="15"/>
              <w:jc w:val="center"/>
              <w:rPr>
                <w:sz w:val="20"/>
              </w:rPr>
            </w:pPr>
            <w:r>
              <w:rPr>
                <w:spacing w:val="-10"/>
                <w:sz w:val="20"/>
              </w:rPr>
              <w:t>1</w:t>
            </w:r>
          </w:p>
        </w:tc>
        <w:tc>
          <w:tcPr>
            <w:tcW w:w="746" w:type="dxa"/>
          </w:tcPr>
          <w:p>
            <w:pPr>
              <w:pStyle w:val="TableParagraph"/>
              <w:spacing w:before="110"/>
              <w:ind w:left="43"/>
              <w:jc w:val="center"/>
              <w:rPr>
                <w:sz w:val="20"/>
              </w:rPr>
            </w:pPr>
            <w:r>
              <w:rPr>
                <w:spacing w:val="-10"/>
                <w:sz w:val="20"/>
              </w:rPr>
              <w:t>1</w:t>
            </w:r>
          </w:p>
        </w:tc>
        <w:tc>
          <w:tcPr>
            <w:tcW w:w="433" w:type="dxa"/>
          </w:tcPr>
          <w:p>
            <w:pPr>
              <w:pStyle w:val="TableParagraph"/>
              <w:spacing w:before="110"/>
              <w:ind w:left="19" w:right="3"/>
              <w:jc w:val="center"/>
              <w:rPr>
                <w:sz w:val="20"/>
              </w:rPr>
            </w:pPr>
            <w:r>
              <w:rPr>
                <w:spacing w:val="-10"/>
                <w:sz w:val="20"/>
              </w:rPr>
              <w:t>1</w:t>
            </w:r>
          </w:p>
        </w:tc>
        <w:tc>
          <w:tcPr>
            <w:tcW w:w="715" w:type="dxa"/>
          </w:tcPr>
          <w:p>
            <w:pPr>
              <w:pStyle w:val="TableParagraph"/>
              <w:spacing w:before="110"/>
              <w:ind w:left="59" w:right="65"/>
              <w:jc w:val="center"/>
              <w:rPr>
                <w:sz w:val="20"/>
              </w:rPr>
            </w:pPr>
            <w:r>
              <w:rPr>
                <w:spacing w:val="-10"/>
                <w:sz w:val="20"/>
              </w:rPr>
              <w:t>1</w:t>
            </w:r>
          </w:p>
        </w:tc>
        <w:tc>
          <w:tcPr>
            <w:tcW w:w="460" w:type="dxa"/>
          </w:tcPr>
          <w:p>
            <w:pPr>
              <w:pStyle w:val="TableParagraph"/>
              <w:spacing w:before="110"/>
              <w:jc w:val="center"/>
              <w:rPr>
                <w:sz w:val="20"/>
              </w:rPr>
            </w:pPr>
            <w:r>
              <w:rPr>
                <w:spacing w:val="-10"/>
                <w:sz w:val="20"/>
              </w:rPr>
              <w:t>1</w:t>
            </w:r>
          </w:p>
        </w:tc>
        <w:tc>
          <w:tcPr>
            <w:tcW w:w="732" w:type="dxa"/>
          </w:tcPr>
          <w:p>
            <w:pPr>
              <w:pStyle w:val="TableParagraph"/>
              <w:spacing w:before="110"/>
              <w:ind w:left="58" w:right="34"/>
              <w:jc w:val="center"/>
              <w:rPr>
                <w:sz w:val="20"/>
              </w:rPr>
            </w:pPr>
            <w:r>
              <w:rPr>
                <w:spacing w:val="-10"/>
                <w:sz w:val="20"/>
              </w:rPr>
              <w:t>1</w:t>
            </w:r>
          </w:p>
        </w:tc>
        <w:tc>
          <w:tcPr>
            <w:tcW w:w="436" w:type="dxa"/>
          </w:tcPr>
          <w:p>
            <w:pPr>
              <w:pStyle w:val="TableParagraph"/>
              <w:spacing w:before="110"/>
              <w:ind w:left="11" w:right="3"/>
              <w:jc w:val="center"/>
              <w:rPr>
                <w:sz w:val="20"/>
              </w:rPr>
            </w:pPr>
            <w:r>
              <w:rPr>
                <w:spacing w:val="-10"/>
                <w:sz w:val="20"/>
              </w:rPr>
              <w:t>1</w:t>
            </w:r>
          </w:p>
        </w:tc>
        <w:tc>
          <w:tcPr>
            <w:tcW w:w="773" w:type="dxa"/>
          </w:tcPr>
          <w:p>
            <w:pPr>
              <w:pStyle w:val="TableParagraph"/>
              <w:spacing w:before="110"/>
              <w:ind w:left="1" w:right="66"/>
              <w:jc w:val="center"/>
              <w:rPr>
                <w:sz w:val="20"/>
              </w:rPr>
            </w:pPr>
            <w:r>
              <w:rPr>
                <w:spacing w:val="-10"/>
                <w:sz w:val="20"/>
              </w:rPr>
              <w:t>3</w:t>
            </w:r>
          </w:p>
        </w:tc>
        <w:tc>
          <w:tcPr>
            <w:tcW w:w="563" w:type="dxa"/>
          </w:tcPr>
          <w:p>
            <w:pPr>
              <w:pStyle w:val="TableParagraph"/>
              <w:spacing w:before="110"/>
              <w:ind w:left="7"/>
              <w:jc w:val="center"/>
              <w:rPr>
                <w:sz w:val="20"/>
              </w:rPr>
            </w:pPr>
            <w:r>
              <w:rPr>
                <w:spacing w:val="-10"/>
                <w:sz w:val="20"/>
              </w:rPr>
              <w:t>2</w:t>
            </w:r>
          </w:p>
        </w:tc>
        <w:tc>
          <w:tcPr>
            <w:tcW w:w="835" w:type="dxa"/>
          </w:tcPr>
          <w:p>
            <w:pPr>
              <w:pStyle w:val="TableParagraph"/>
              <w:spacing w:before="110"/>
              <w:ind w:left="4"/>
              <w:jc w:val="center"/>
              <w:rPr>
                <w:sz w:val="20"/>
              </w:rPr>
            </w:pPr>
            <w:r>
              <w:rPr>
                <w:spacing w:val="-10"/>
                <w:sz w:val="20"/>
              </w:rPr>
              <w:t>-</w:t>
            </w:r>
          </w:p>
        </w:tc>
        <w:tc>
          <w:tcPr>
            <w:tcW w:w="659" w:type="dxa"/>
          </w:tcPr>
          <w:p>
            <w:pPr>
              <w:pStyle w:val="TableParagraph"/>
              <w:spacing w:before="110"/>
              <w:ind w:left="242"/>
              <w:rPr>
                <w:sz w:val="20"/>
              </w:rPr>
            </w:pPr>
            <w:r>
              <w:rPr>
                <w:spacing w:val="-10"/>
                <w:sz w:val="20"/>
              </w:rPr>
              <w:t>-</w:t>
            </w:r>
          </w:p>
        </w:tc>
        <w:tc>
          <w:tcPr>
            <w:tcW w:w="1020" w:type="dxa"/>
          </w:tcPr>
          <w:p>
            <w:pPr>
              <w:pStyle w:val="TableParagraph"/>
              <w:spacing w:before="110"/>
              <w:ind w:left="140"/>
              <w:jc w:val="center"/>
              <w:rPr>
                <w:sz w:val="20"/>
              </w:rPr>
            </w:pPr>
            <w:r>
              <w:rPr>
                <w:spacing w:val="-10"/>
                <w:sz w:val="20"/>
              </w:rPr>
              <w:t>8</w:t>
            </w:r>
          </w:p>
        </w:tc>
        <w:tc>
          <w:tcPr>
            <w:tcW w:w="765" w:type="dxa"/>
            <w:tcBorders>
              <w:right w:val="single" w:sz="4" w:space="0" w:color="000000"/>
            </w:tcBorders>
          </w:tcPr>
          <w:p>
            <w:pPr>
              <w:pStyle w:val="TableParagraph"/>
              <w:spacing w:before="110"/>
              <w:ind w:left="107" w:right="9"/>
              <w:jc w:val="center"/>
              <w:rPr>
                <w:sz w:val="20"/>
              </w:rPr>
            </w:pPr>
            <w:r>
              <w:rPr>
                <w:spacing w:val="-10"/>
                <w:sz w:val="20"/>
              </w:rPr>
              <w:t>7</w:t>
            </w:r>
          </w:p>
        </w:tc>
      </w:tr>
      <w:tr>
        <w:trPr>
          <w:trHeight w:val="400" w:hRule="atLeast"/>
        </w:trPr>
        <w:tc>
          <w:tcPr>
            <w:tcW w:w="3801" w:type="dxa"/>
            <w:tcBorders>
              <w:left w:val="single" w:sz="4" w:space="0" w:color="000000"/>
            </w:tcBorders>
          </w:tcPr>
          <w:p>
            <w:pPr>
              <w:pStyle w:val="TableParagraph"/>
              <w:tabs>
                <w:tab w:pos="825" w:val="left" w:leader="none"/>
              </w:tabs>
              <w:spacing w:before="52"/>
              <w:ind w:left="273"/>
              <w:rPr>
                <w:sz w:val="20"/>
              </w:rPr>
            </w:pPr>
            <w:r>
              <w:rPr>
                <w:spacing w:val="-5"/>
                <w:sz w:val="20"/>
              </w:rPr>
              <w:t>3.</w:t>
            </w:r>
            <w:r>
              <w:rPr>
                <w:sz w:val="20"/>
              </w:rPr>
              <w:tab/>
              <w:t>University</w:t>
            </w:r>
            <w:r>
              <w:rPr>
                <w:spacing w:val="-9"/>
                <w:sz w:val="20"/>
              </w:rPr>
              <w:t> </w:t>
            </w:r>
            <w:r>
              <w:rPr>
                <w:sz w:val="20"/>
              </w:rPr>
              <w:t>of</w:t>
            </w:r>
            <w:r>
              <w:rPr>
                <w:spacing w:val="2"/>
                <w:sz w:val="20"/>
              </w:rPr>
              <w:t> </w:t>
            </w:r>
            <w:r>
              <w:rPr>
                <w:spacing w:val="-5"/>
                <w:sz w:val="20"/>
              </w:rPr>
              <w:t>Jos</w:t>
            </w:r>
          </w:p>
        </w:tc>
        <w:tc>
          <w:tcPr>
            <w:tcW w:w="720" w:type="dxa"/>
          </w:tcPr>
          <w:p>
            <w:pPr>
              <w:pStyle w:val="TableParagraph"/>
              <w:spacing w:before="52"/>
              <w:ind w:left="67" w:right="95"/>
              <w:jc w:val="center"/>
              <w:rPr>
                <w:sz w:val="20"/>
              </w:rPr>
            </w:pPr>
            <w:r>
              <w:rPr>
                <w:spacing w:val="-10"/>
                <w:sz w:val="20"/>
              </w:rPr>
              <w:t>1</w:t>
            </w:r>
          </w:p>
        </w:tc>
        <w:tc>
          <w:tcPr>
            <w:tcW w:w="490" w:type="dxa"/>
          </w:tcPr>
          <w:p>
            <w:pPr>
              <w:pStyle w:val="TableParagraph"/>
              <w:spacing w:before="52"/>
              <w:ind w:left="17"/>
              <w:jc w:val="center"/>
              <w:rPr>
                <w:sz w:val="20"/>
              </w:rPr>
            </w:pPr>
            <w:r>
              <w:rPr>
                <w:spacing w:val="-10"/>
                <w:sz w:val="20"/>
              </w:rPr>
              <w:t>1</w:t>
            </w:r>
          </w:p>
        </w:tc>
        <w:tc>
          <w:tcPr>
            <w:tcW w:w="767" w:type="dxa"/>
          </w:tcPr>
          <w:p>
            <w:pPr>
              <w:pStyle w:val="TableParagraph"/>
              <w:spacing w:before="52"/>
              <w:ind w:left="17"/>
              <w:jc w:val="center"/>
              <w:rPr>
                <w:sz w:val="20"/>
              </w:rPr>
            </w:pPr>
            <w:r>
              <w:rPr>
                <w:spacing w:val="-10"/>
                <w:sz w:val="20"/>
              </w:rPr>
              <w:t>2</w:t>
            </w:r>
          </w:p>
        </w:tc>
        <w:tc>
          <w:tcPr>
            <w:tcW w:w="493" w:type="dxa"/>
          </w:tcPr>
          <w:p>
            <w:pPr>
              <w:pStyle w:val="TableParagraph"/>
              <w:spacing w:before="52"/>
              <w:ind w:left="15"/>
              <w:jc w:val="center"/>
              <w:rPr>
                <w:sz w:val="20"/>
              </w:rPr>
            </w:pPr>
            <w:r>
              <w:rPr>
                <w:spacing w:val="-10"/>
                <w:sz w:val="20"/>
              </w:rPr>
              <w:t>1</w:t>
            </w:r>
          </w:p>
        </w:tc>
        <w:tc>
          <w:tcPr>
            <w:tcW w:w="746" w:type="dxa"/>
          </w:tcPr>
          <w:p>
            <w:pPr>
              <w:pStyle w:val="TableParagraph"/>
              <w:spacing w:before="52"/>
              <w:ind w:left="43"/>
              <w:jc w:val="center"/>
              <w:rPr>
                <w:sz w:val="20"/>
              </w:rPr>
            </w:pPr>
            <w:r>
              <w:rPr>
                <w:spacing w:val="-10"/>
                <w:sz w:val="20"/>
              </w:rPr>
              <w:t>1</w:t>
            </w:r>
          </w:p>
        </w:tc>
        <w:tc>
          <w:tcPr>
            <w:tcW w:w="433" w:type="dxa"/>
          </w:tcPr>
          <w:p>
            <w:pPr>
              <w:pStyle w:val="TableParagraph"/>
              <w:spacing w:before="52"/>
              <w:ind w:left="19" w:right="3"/>
              <w:jc w:val="center"/>
              <w:rPr>
                <w:sz w:val="20"/>
              </w:rPr>
            </w:pPr>
            <w:r>
              <w:rPr>
                <w:spacing w:val="-10"/>
                <w:sz w:val="20"/>
              </w:rPr>
              <w:t>1</w:t>
            </w:r>
          </w:p>
        </w:tc>
        <w:tc>
          <w:tcPr>
            <w:tcW w:w="715" w:type="dxa"/>
          </w:tcPr>
          <w:p>
            <w:pPr>
              <w:pStyle w:val="TableParagraph"/>
              <w:spacing w:before="52"/>
              <w:ind w:left="59" w:right="65"/>
              <w:jc w:val="center"/>
              <w:rPr>
                <w:sz w:val="20"/>
              </w:rPr>
            </w:pPr>
            <w:r>
              <w:rPr>
                <w:spacing w:val="-10"/>
                <w:sz w:val="20"/>
              </w:rPr>
              <w:t>1</w:t>
            </w:r>
          </w:p>
        </w:tc>
        <w:tc>
          <w:tcPr>
            <w:tcW w:w="460" w:type="dxa"/>
          </w:tcPr>
          <w:p>
            <w:pPr>
              <w:pStyle w:val="TableParagraph"/>
              <w:spacing w:before="52"/>
              <w:jc w:val="center"/>
              <w:rPr>
                <w:sz w:val="20"/>
              </w:rPr>
            </w:pPr>
            <w:r>
              <w:rPr>
                <w:spacing w:val="-10"/>
                <w:sz w:val="20"/>
              </w:rPr>
              <w:t>1</w:t>
            </w:r>
          </w:p>
        </w:tc>
        <w:tc>
          <w:tcPr>
            <w:tcW w:w="732" w:type="dxa"/>
          </w:tcPr>
          <w:p>
            <w:pPr>
              <w:pStyle w:val="TableParagraph"/>
              <w:spacing w:before="52"/>
              <w:ind w:left="58" w:right="34"/>
              <w:jc w:val="center"/>
              <w:rPr>
                <w:sz w:val="20"/>
              </w:rPr>
            </w:pPr>
            <w:r>
              <w:rPr>
                <w:spacing w:val="-10"/>
                <w:sz w:val="20"/>
              </w:rPr>
              <w:t>1</w:t>
            </w:r>
          </w:p>
        </w:tc>
        <w:tc>
          <w:tcPr>
            <w:tcW w:w="436" w:type="dxa"/>
          </w:tcPr>
          <w:p>
            <w:pPr>
              <w:pStyle w:val="TableParagraph"/>
              <w:spacing w:before="52"/>
              <w:ind w:left="11" w:right="3"/>
              <w:jc w:val="center"/>
              <w:rPr>
                <w:sz w:val="20"/>
              </w:rPr>
            </w:pPr>
            <w:r>
              <w:rPr>
                <w:spacing w:val="-10"/>
                <w:sz w:val="20"/>
              </w:rPr>
              <w:t>1</w:t>
            </w:r>
          </w:p>
        </w:tc>
        <w:tc>
          <w:tcPr>
            <w:tcW w:w="773" w:type="dxa"/>
          </w:tcPr>
          <w:p>
            <w:pPr>
              <w:pStyle w:val="TableParagraph"/>
              <w:spacing w:before="52"/>
              <w:ind w:left="1" w:right="66"/>
              <w:jc w:val="center"/>
              <w:rPr>
                <w:sz w:val="20"/>
              </w:rPr>
            </w:pPr>
            <w:r>
              <w:rPr>
                <w:spacing w:val="-10"/>
                <w:sz w:val="20"/>
              </w:rPr>
              <w:t>3</w:t>
            </w:r>
          </w:p>
        </w:tc>
        <w:tc>
          <w:tcPr>
            <w:tcW w:w="563" w:type="dxa"/>
          </w:tcPr>
          <w:p>
            <w:pPr>
              <w:pStyle w:val="TableParagraph"/>
              <w:spacing w:before="52"/>
              <w:ind w:left="7"/>
              <w:jc w:val="center"/>
              <w:rPr>
                <w:sz w:val="20"/>
              </w:rPr>
            </w:pPr>
            <w:r>
              <w:rPr>
                <w:spacing w:val="-10"/>
                <w:sz w:val="20"/>
              </w:rPr>
              <w:t>2</w:t>
            </w:r>
          </w:p>
        </w:tc>
        <w:tc>
          <w:tcPr>
            <w:tcW w:w="835" w:type="dxa"/>
          </w:tcPr>
          <w:p>
            <w:pPr>
              <w:pStyle w:val="TableParagraph"/>
              <w:spacing w:before="52"/>
              <w:ind w:left="4"/>
              <w:jc w:val="center"/>
              <w:rPr>
                <w:sz w:val="20"/>
              </w:rPr>
            </w:pPr>
            <w:r>
              <w:rPr>
                <w:spacing w:val="-10"/>
                <w:sz w:val="20"/>
              </w:rPr>
              <w:t>-</w:t>
            </w:r>
          </w:p>
        </w:tc>
        <w:tc>
          <w:tcPr>
            <w:tcW w:w="659" w:type="dxa"/>
          </w:tcPr>
          <w:p>
            <w:pPr>
              <w:pStyle w:val="TableParagraph"/>
              <w:spacing w:before="52"/>
              <w:ind w:left="242"/>
              <w:rPr>
                <w:sz w:val="20"/>
              </w:rPr>
            </w:pPr>
            <w:r>
              <w:rPr>
                <w:spacing w:val="-10"/>
                <w:sz w:val="20"/>
              </w:rPr>
              <w:t>-</w:t>
            </w:r>
          </w:p>
        </w:tc>
        <w:tc>
          <w:tcPr>
            <w:tcW w:w="1020" w:type="dxa"/>
          </w:tcPr>
          <w:p>
            <w:pPr>
              <w:pStyle w:val="TableParagraph"/>
              <w:spacing w:before="52"/>
              <w:ind w:left="140"/>
              <w:jc w:val="center"/>
              <w:rPr>
                <w:sz w:val="20"/>
              </w:rPr>
            </w:pPr>
            <w:r>
              <w:rPr>
                <w:spacing w:val="-10"/>
                <w:sz w:val="20"/>
              </w:rPr>
              <w:t>8</w:t>
            </w:r>
          </w:p>
        </w:tc>
        <w:tc>
          <w:tcPr>
            <w:tcW w:w="765" w:type="dxa"/>
            <w:tcBorders>
              <w:right w:val="single" w:sz="4" w:space="0" w:color="000000"/>
            </w:tcBorders>
          </w:tcPr>
          <w:p>
            <w:pPr>
              <w:pStyle w:val="TableParagraph"/>
              <w:spacing w:before="52"/>
              <w:ind w:left="107" w:right="9"/>
              <w:jc w:val="center"/>
              <w:rPr>
                <w:sz w:val="20"/>
              </w:rPr>
            </w:pPr>
            <w:r>
              <w:rPr>
                <w:spacing w:val="-10"/>
                <w:sz w:val="20"/>
              </w:rPr>
              <w:t>7</w:t>
            </w:r>
          </w:p>
        </w:tc>
      </w:tr>
      <w:tr>
        <w:trPr>
          <w:trHeight w:val="460" w:hRule="atLeast"/>
        </w:trPr>
        <w:tc>
          <w:tcPr>
            <w:tcW w:w="3801" w:type="dxa"/>
            <w:tcBorders>
              <w:left w:val="single" w:sz="4" w:space="0" w:color="000000"/>
            </w:tcBorders>
          </w:tcPr>
          <w:p>
            <w:pPr>
              <w:pStyle w:val="TableParagraph"/>
              <w:tabs>
                <w:tab w:pos="825" w:val="left" w:leader="none"/>
              </w:tabs>
              <w:spacing w:before="112"/>
              <w:ind w:left="273"/>
              <w:rPr>
                <w:sz w:val="20"/>
              </w:rPr>
            </w:pPr>
            <w:r>
              <w:rPr>
                <w:spacing w:val="-5"/>
                <w:sz w:val="20"/>
              </w:rPr>
              <w:t>4.</w:t>
            </w:r>
            <w:r>
              <w:rPr>
                <w:sz w:val="20"/>
              </w:rPr>
              <w:tab/>
              <w:t>University</w:t>
            </w:r>
            <w:r>
              <w:rPr>
                <w:spacing w:val="-9"/>
                <w:sz w:val="20"/>
              </w:rPr>
              <w:t> </w:t>
            </w:r>
            <w:r>
              <w:rPr>
                <w:sz w:val="20"/>
              </w:rPr>
              <w:t>of</w:t>
            </w:r>
            <w:r>
              <w:rPr>
                <w:spacing w:val="-3"/>
                <w:sz w:val="20"/>
              </w:rPr>
              <w:t> </w:t>
            </w:r>
            <w:r>
              <w:rPr>
                <w:spacing w:val="-2"/>
                <w:sz w:val="20"/>
              </w:rPr>
              <w:t>Maiduguri</w:t>
            </w:r>
          </w:p>
        </w:tc>
        <w:tc>
          <w:tcPr>
            <w:tcW w:w="720" w:type="dxa"/>
          </w:tcPr>
          <w:p>
            <w:pPr>
              <w:pStyle w:val="TableParagraph"/>
              <w:spacing w:before="112"/>
              <w:ind w:left="67" w:right="95"/>
              <w:jc w:val="center"/>
              <w:rPr>
                <w:sz w:val="20"/>
              </w:rPr>
            </w:pPr>
            <w:r>
              <w:rPr>
                <w:spacing w:val="-10"/>
                <w:sz w:val="20"/>
              </w:rPr>
              <w:t>1</w:t>
            </w:r>
          </w:p>
        </w:tc>
        <w:tc>
          <w:tcPr>
            <w:tcW w:w="490" w:type="dxa"/>
          </w:tcPr>
          <w:p>
            <w:pPr>
              <w:pStyle w:val="TableParagraph"/>
              <w:spacing w:before="112"/>
              <w:ind w:left="17"/>
              <w:jc w:val="center"/>
              <w:rPr>
                <w:sz w:val="20"/>
              </w:rPr>
            </w:pPr>
            <w:r>
              <w:rPr>
                <w:spacing w:val="-10"/>
                <w:sz w:val="20"/>
              </w:rPr>
              <w:t>1</w:t>
            </w:r>
          </w:p>
        </w:tc>
        <w:tc>
          <w:tcPr>
            <w:tcW w:w="767" w:type="dxa"/>
          </w:tcPr>
          <w:p>
            <w:pPr>
              <w:pStyle w:val="TableParagraph"/>
              <w:spacing w:before="112"/>
              <w:ind w:left="17"/>
              <w:jc w:val="center"/>
              <w:rPr>
                <w:sz w:val="20"/>
              </w:rPr>
            </w:pPr>
            <w:r>
              <w:rPr>
                <w:spacing w:val="-10"/>
                <w:sz w:val="20"/>
              </w:rPr>
              <w:t>2</w:t>
            </w:r>
          </w:p>
        </w:tc>
        <w:tc>
          <w:tcPr>
            <w:tcW w:w="493" w:type="dxa"/>
          </w:tcPr>
          <w:p>
            <w:pPr>
              <w:pStyle w:val="TableParagraph"/>
              <w:spacing w:before="112"/>
              <w:ind w:left="15"/>
              <w:jc w:val="center"/>
              <w:rPr>
                <w:sz w:val="20"/>
              </w:rPr>
            </w:pPr>
            <w:r>
              <w:rPr>
                <w:spacing w:val="-10"/>
                <w:sz w:val="20"/>
              </w:rPr>
              <w:t>1</w:t>
            </w:r>
          </w:p>
        </w:tc>
        <w:tc>
          <w:tcPr>
            <w:tcW w:w="746" w:type="dxa"/>
          </w:tcPr>
          <w:p>
            <w:pPr>
              <w:pStyle w:val="TableParagraph"/>
              <w:spacing w:before="112"/>
              <w:ind w:left="43"/>
              <w:jc w:val="center"/>
              <w:rPr>
                <w:sz w:val="20"/>
              </w:rPr>
            </w:pPr>
            <w:r>
              <w:rPr>
                <w:spacing w:val="-10"/>
                <w:sz w:val="20"/>
              </w:rPr>
              <w:t>1</w:t>
            </w:r>
          </w:p>
        </w:tc>
        <w:tc>
          <w:tcPr>
            <w:tcW w:w="433" w:type="dxa"/>
          </w:tcPr>
          <w:p>
            <w:pPr>
              <w:pStyle w:val="TableParagraph"/>
              <w:spacing w:before="112"/>
              <w:ind w:left="19" w:right="3"/>
              <w:jc w:val="center"/>
              <w:rPr>
                <w:sz w:val="20"/>
              </w:rPr>
            </w:pPr>
            <w:r>
              <w:rPr>
                <w:spacing w:val="-10"/>
                <w:sz w:val="20"/>
              </w:rPr>
              <w:t>1</w:t>
            </w:r>
          </w:p>
        </w:tc>
        <w:tc>
          <w:tcPr>
            <w:tcW w:w="715" w:type="dxa"/>
          </w:tcPr>
          <w:p>
            <w:pPr>
              <w:pStyle w:val="TableParagraph"/>
              <w:spacing w:before="112"/>
              <w:ind w:left="59" w:right="65"/>
              <w:jc w:val="center"/>
              <w:rPr>
                <w:sz w:val="20"/>
              </w:rPr>
            </w:pPr>
            <w:r>
              <w:rPr>
                <w:spacing w:val="-10"/>
                <w:sz w:val="20"/>
              </w:rPr>
              <w:t>1</w:t>
            </w:r>
          </w:p>
        </w:tc>
        <w:tc>
          <w:tcPr>
            <w:tcW w:w="460" w:type="dxa"/>
          </w:tcPr>
          <w:p>
            <w:pPr>
              <w:pStyle w:val="TableParagraph"/>
              <w:spacing w:before="112"/>
              <w:jc w:val="center"/>
              <w:rPr>
                <w:sz w:val="20"/>
              </w:rPr>
            </w:pPr>
            <w:r>
              <w:rPr>
                <w:spacing w:val="-10"/>
                <w:sz w:val="20"/>
              </w:rPr>
              <w:t>1</w:t>
            </w:r>
          </w:p>
        </w:tc>
        <w:tc>
          <w:tcPr>
            <w:tcW w:w="732" w:type="dxa"/>
          </w:tcPr>
          <w:p>
            <w:pPr>
              <w:pStyle w:val="TableParagraph"/>
              <w:spacing w:before="112"/>
              <w:ind w:left="58" w:right="34"/>
              <w:jc w:val="center"/>
              <w:rPr>
                <w:sz w:val="20"/>
              </w:rPr>
            </w:pPr>
            <w:r>
              <w:rPr>
                <w:spacing w:val="-10"/>
                <w:sz w:val="20"/>
              </w:rPr>
              <w:t>1</w:t>
            </w:r>
          </w:p>
        </w:tc>
        <w:tc>
          <w:tcPr>
            <w:tcW w:w="436" w:type="dxa"/>
          </w:tcPr>
          <w:p>
            <w:pPr>
              <w:pStyle w:val="TableParagraph"/>
              <w:spacing w:before="112"/>
              <w:ind w:left="11" w:right="3"/>
              <w:jc w:val="center"/>
              <w:rPr>
                <w:sz w:val="20"/>
              </w:rPr>
            </w:pPr>
            <w:r>
              <w:rPr>
                <w:spacing w:val="-10"/>
                <w:sz w:val="20"/>
              </w:rPr>
              <w:t>1</w:t>
            </w:r>
          </w:p>
        </w:tc>
        <w:tc>
          <w:tcPr>
            <w:tcW w:w="773" w:type="dxa"/>
          </w:tcPr>
          <w:p>
            <w:pPr>
              <w:pStyle w:val="TableParagraph"/>
              <w:spacing w:before="112"/>
              <w:ind w:left="1" w:right="66"/>
              <w:jc w:val="center"/>
              <w:rPr>
                <w:sz w:val="20"/>
              </w:rPr>
            </w:pPr>
            <w:r>
              <w:rPr>
                <w:spacing w:val="-10"/>
                <w:sz w:val="20"/>
              </w:rPr>
              <w:t>3</w:t>
            </w:r>
          </w:p>
        </w:tc>
        <w:tc>
          <w:tcPr>
            <w:tcW w:w="563" w:type="dxa"/>
          </w:tcPr>
          <w:p>
            <w:pPr>
              <w:pStyle w:val="TableParagraph"/>
              <w:spacing w:before="112"/>
              <w:ind w:left="7"/>
              <w:jc w:val="center"/>
              <w:rPr>
                <w:sz w:val="20"/>
              </w:rPr>
            </w:pPr>
            <w:r>
              <w:rPr>
                <w:spacing w:val="-10"/>
                <w:sz w:val="20"/>
              </w:rPr>
              <w:t>2</w:t>
            </w:r>
          </w:p>
        </w:tc>
        <w:tc>
          <w:tcPr>
            <w:tcW w:w="835" w:type="dxa"/>
          </w:tcPr>
          <w:p>
            <w:pPr>
              <w:pStyle w:val="TableParagraph"/>
              <w:spacing w:before="112"/>
              <w:ind w:left="4" w:right="3"/>
              <w:jc w:val="center"/>
              <w:rPr>
                <w:sz w:val="20"/>
              </w:rPr>
            </w:pPr>
            <w:r>
              <w:rPr>
                <w:spacing w:val="-10"/>
                <w:sz w:val="20"/>
              </w:rPr>
              <w:t>1</w:t>
            </w:r>
          </w:p>
        </w:tc>
        <w:tc>
          <w:tcPr>
            <w:tcW w:w="659" w:type="dxa"/>
          </w:tcPr>
          <w:p>
            <w:pPr>
              <w:pStyle w:val="TableParagraph"/>
              <w:spacing w:before="112"/>
              <w:ind w:left="223"/>
              <w:rPr>
                <w:sz w:val="20"/>
              </w:rPr>
            </w:pPr>
            <w:r>
              <w:rPr>
                <w:spacing w:val="-10"/>
                <w:sz w:val="20"/>
              </w:rPr>
              <w:t>1</w:t>
            </w:r>
          </w:p>
        </w:tc>
        <w:tc>
          <w:tcPr>
            <w:tcW w:w="1020" w:type="dxa"/>
          </w:tcPr>
          <w:p>
            <w:pPr>
              <w:pStyle w:val="TableParagraph"/>
              <w:spacing w:before="112"/>
              <w:ind w:left="140"/>
              <w:jc w:val="center"/>
              <w:rPr>
                <w:sz w:val="20"/>
              </w:rPr>
            </w:pPr>
            <w:r>
              <w:rPr>
                <w:spacing w:val="-10"/>
                <w:sz w:val="20"/>
              </w:rPr>
              <w:t>9</w:t>
            </w:r>
          </w:p>
        </w:tc>
        <w:tc>
          <w:tcPr>
            <w:tcW w:w="765" w:type="dxa"/>
            <w:tcBorders>
              <w:right w:val="single" w:sz="4" w:space="0" w:color="000000"/>
            </w:tcBorders>
          </w:tcPr>
          <w:p>
            <w:pPr>
              <w:pStyle w:val="TableParagraph"/>
              <w:spacing w:before="112"/>
              <w:ind w:left="107" w:right="9"/>
              <w:jc w:val="center"/>
              <w:rPr>
                <w:sz w:val="20"/>
              </w:rPr>
            </w:pPr>
            <w:r>
              <w:rPr>
                <w:spacing w:val="-10"/>
                <w:sz w:val="20"/>
              </w:rPr>
              <w:t>8</w:t>
            </w:r>
          </w:p>
        </w:tc>
      </w:tr>
      <w:tr>
        <w:trPr>
          <w:trHeight w:val="345" w:hRule="atLeast"/>
        </w:trPr>
        <w:tc>
          <w:tcPr>
            <w:tcW w:w="3801" w:type="dxa"/>
            <w:tcBorders>
              <w:left w:val="single" w:sz="4" w:space="0" w:color="000000"/>
            </w:tcBorders>
          </w:tcPr>
          <w:p>
            <w:pPr>
              <w:pStyle w:val="TableParagraph"/>
              <w:tabs>
                <w:tab w:pos="825" w:val="left" w:leader="none"/>
              </w:tabs>
              <w:spacing w:line="213" w:lineRule="exact" w:before="112"/>
              <w:ind w:left="273"/>
              <w:rPr>
                <w:sz w:val="20"/>
              </w:rPr>
            </w:pPr>
            <w:r>
              <w:rPr>
                <w:spacing w:val="-5"/>
                <w:sz w:val="20"/>
              </w:rPr>
              <w:t>5.</w:t>
            </w:r>
            <w:r>
              <w:rPr>
                <w:sz w:val="20"/>
              </w:rPr>
              <w:tab/>
              <w:t>Usmanu</w:t>
            </w:r>
            <w:r>
              <w:rPr>
                <w:spacing w:val="4"/>
                <w:sz w:val="20"/>
              </w:rPr>
              <w:t> </w:t>
            </w:r>
            <w:r>
              <w:rPr>
                <w:sz w:val="20"/>
              </w:rPr>
              <w:t>Dan</w:t>
            </w:r>
            <w:r>
              <w:rPr>
                <w:spacing w:val="5"/>
                <w:sz w:val="20"/>
              </w:rPr>
              <w:t> </w:t>
            </w:r>
            <w:r>
              <w:rPr>
                <w:sz w:val="20"/>
              </w:rPr>
              <w:t>Fodiyo</w:t>
            </w:r>
            <w:r>
              <w:rPr>
                <w:spacing w:val="5"/>
                <w:sz w:val="20"/>
              </w:rPr>
              <w:t> </w:t>
            </w:r>
            <w:r>
              <w:rPr>
                <w:spacing w:val="-2"/>
                <w:sz w:val="20"/>
              </w:rPr>
              <w:t>University,</w:t>
            </w:r>
          </w:p>
        </w:tc>
        <w:tc>
          <w:tcPr>
            <w:tcW w:w="720" w:type="dxa"/>
          </w:tcPr>
          <w:p>
            <w:pPr>
              <w:pStyle w:val="TableParagraph"/>
              <w:spacing w:line="213" w:lineRule="exact" w:before="112"/>
              <w:ind w:left="67" w:right="95"/>
              <w:jc w:val="center"/>
              <w:rPr>
                <w:sz w:val="20"/>
              </w:rPr>
            </w:pPr>
            <w:r>
              <w:rPr>
                <w:spacing w:val="-10"/>
                <w:sz w:val="20"/>
              </w:rPr>
              <w:t>1</w:t>
            </w:r>
          </w:p>
        </w:tc>
        <w:tc>
          <w:tcPr>
            <w:tcW w:w="490" w:type="dxa"/>
          </w:tcPr>
          <w:p>
            <w:pPr>
              <w:pStyle w:val="TableParagraph"/>
              <w:spacing w:line="213" w:lineRule="exact" w:before="112"/>
              <w:ind w:left="17"/>
              <w:jc w:val="center"/>
              <w:rPr>
                <w:sz w:val="20"/>
              </w:rPr>
            </w:pPr>
            <w:r>
              <w:rPr>
                <w:spacing w:val="-10"/>
                <w:sz w:val="20"/>
              </w:rPr>
              <w:t>1</w:t>
            </w:r>
          </w:p>
        </w:tc>
        <w:tc>
          <w:tcPr>
            <w:tcW w:w="767" w:type="dxa"/>
          </w:tcPr>
          <w:p>
            <w:pPr>
              <w:pStyle w:val="TableParagraph"/>
              <w:spacing w:line="213" w:lineRule="exact" w:before="112"/>
              <w:ind w:left="17"/>
              <w:jc w:val="center"/>
              <w:rPr>
                <w:sz w:val="20"/>
              </w:rPr>
            </w:pPr>
            <w:r>
              <w:rPr>
                <w:spacing w:val="-10"/>
                <w:sz w:val="20"/>
              </w:rPr>
              <w:t>2</w:t>
            </w:r>
          </w:p>
        </w:tc>
        <w:tc>
          <w:tcPr>
            <w:tcW w:w="493" w:type="dxa"/>
          </w:tcPr>
          <w:p>
            <w:pPr>
              <w:pStyle w:val="TableParagraph"/>
              <w:spacing w:line="213" w:lineRule="exact" w:before="112"/>
              <w:ind w:left="15"/>
              <w:jc w:val="center"/>
              <w:rPr>
                <w:sz w:val="20"/>
              </w:rPr>
            </w:pPr>
            <w:r>
              <w:rPr>
                <w:spacing w:val="-10"/>
                <w:sz w:val="20"/>
              </w:rPr>
              <w:t>1</w:t>
            </w:r>
          </w:p>
        </w:tc>
        <w:tc>
          <w:tcPr>
            <w:tcW w:w="746" w:type="dxa"/>
          </w:tcPr>
          <w:p>
            <w:pPr>
              <w:pStyle w:val="TableParagraph"/>
              <w:spacing w:line="213" w:lineRule="exact" w:before="112"/>
              <w:ind w:left="43"/>
              <w:jc w:val="center"/>
              <w:rPr>
                <w:sz w:val="20"/>
              </w:rPr>
            </w:pPr>
            <w:r>
              <w:rPr>
                <w:spacing w:val="-10"/>
                <w:sz w:val="20"/>
              </w:rPr>
              <w:t>1</w:t>
            </w:r>
          </w:p>
        </w:tc>
        <w:tc>
          <w:tcPr>
            <w:tcW w:w="433" w:type="dxa"/>
          </w:tcPr>
          <w:p>
            <w:pPr>
              <w:pStyle w:val="TableParagraph"/>
              <w:spacing w:line="213" w:lineRule="exact" w:before="112"/>
              <w:ind w:left="19" w:right="3"/>
              <w:jc w:val="center"/>
              <w:rPr>
                <w:sz w:val="20"/>
              </w:rPr>
            </w:pPr>
            <w:r>
              <w:rPr>
                <w:spacing w:val="-10"/>
                <w:sz w:val="20"/>
              </w:rPr>
              <w:t>1</w:t>
            </w:r>
          </w:p>
        </w:tc>
        <w:tc>
          <w:tcPr>
            <w:tcW w:w="715" w:type="dxa"/>
          </w:tcPr>
          <w:p>
            <w:pPr>
              <w:pStyle w:val="TableParagraph"/>
              <w:spacing w:line="213" w:lineRule="exact" w:before="112"/>
              <w:ind w:left="59" w:right="65"/>
              <w:jc w:val="center"/>
              <w:rPr>
                <w:sz w:val="20"/>
              </w:rPr>
            </w:pPr>
            <w:r>
              <w:rPr>
                <w:spacing w:val="-10"/>
                <w:sz w:val="20"/>
              </w:rPr>
              <w:t>1</w:t>
            </w:r>
          </w:p>
        </w:tc>
        <w:tc>
          <w:tcPr>
            <w:tcW w:w="460" w:type="dxa"/>
          </w:tcPr>
          <w:p>
            <w:pPr>
              <w:pStyle w:val="TableParagraph"/>
              <w:spacing w:line="213" w:lineRule="exact" w:before="112"/>
              <w:jc w:val="center"/>
              <w:rPr>
                <w:sz w:val="20"/>
              </w:rPr>
            </w:pPr>
            <w:r>
              <w:rPr>
                <w:spacing w:val="-10"/>
                <w:sz w:val="20"/>
              </w:rPr>
              <w:t>1</w:t>
            </w:r>
          </w:p>
        </w:tc>
        <w:tc>
          <w:tcPr>
            <w:tcW w:w="732" w:type="dxa"/>
          </w:tcPr>
          <w:p>
            <w:pPr>
              <w:pStyle w:val="TableParagraph"/>
              <w:spacing w:line="213" w:lineRule="exact" w:before="112"/>
              <w:ind w:left="58" w:right="34"/>
              <w:jc w:val="center"/>
              <w:rPr>
                <w:sz w:val="20"/>
              </w:rPr>
            </w:pPr>
            <w:r>
              <w:rPr>
                <w:spacing w:val="-10"/>
                <w:sz w:val="20"/>
              </w:rPr>
              <w:t>1</w:t>
            </w:r>
          </w:p>
        </w:tc>
        <w:tc>
          <w:tcPr>
            <w:tcW w:w="436" w:type="dxa"/>
          </w:tcPr>
          <w:p>
            <w:pPr>
              <w:pStyle w:val="TableParagraph"/>
              <w:spacing w:line="213" w:lineRule="exact" w:before="112"/>
              <w:ind w:left="11" w:right="3"/>
              <w:jc w:val="center"/>
              <w:rPr>
                <w:sz w:val="20"/>
              </w:rPr>
            </w:pPr>
            <w:r>
              <w:rPr>
                <w:spacing w:val="-10"/>
                <w:sz w:val="20"/>
              </w:rPr>
              <w:t>1</w:t>
            </w:r>
          </w:p>
        </w:tc>
        <w:tc>
          <w:tcPr>
            <w:tcW w:w="773" w:type="dxa"/>
          </w:tcPr>
          <w:p>
            <w:pPr>
              <w:pStyle w:val="TableParagraph"/>
              <w:spacing w:line="213" w:lineRule="exact" w:before="112"/>
              <w:ind w:left="1" w:right="66"/>
              <w:jc w:val="center"/>
              <w:rPr>
                <w:sz w:val="20"/>
              </w:rPr>
            </w:pPr>
            <w:r>
              <w:rPr>
                <w:spacing w:val="-10"/>
                <w:sz w:val="20"/>
              </w:rPr>
              <w:t>3</w:t>
            </w:r>
          </w:p>
        </w:tc>
        <w:tc>
          <w:tcPr>
            <w:tcW w:w="563" w:type="dxa"/>
          </w:tcPr>
          <w:p>
            <w:pPr>
              <w:pStyle w:val="TableParagraph"/>
              <w:spacing w:line="213" w:lineRule="exact" w:before="112"/>
              <w:ind w:left="7"/>
              <w:jc w:val="center"/>
              <w:rPr>
                <w:sz w:val="20"/>
              </w:rPr>
            </w:pPr>
            <w:r>
              <w:rPr>
                <w:spacing w:val="-10"/>
                <w:sz w:val="20"/>
              </w:rPr>
              <w:t>2</w:t>
            </w:r>
          </w:p>
        </w:tc>
        <w:tc>
          <w:tcPr>
            <w:tcW w:w="835" w:type="dxa"/>
          </w:tcPr>
          <w:p>
            <w:pPr>
              <w:pStyle w:val="TableParagraph"/>
              <w:spacing w:line="213" w:lineRule="exact" w:before="112"/>
              <w:ind w:left="4"/>
              <w:jc w:val="center"/>
              <w:rPr>
                <w:sz w:val="20"/>
              </w:rPr>
            </w:pPr>
            <w:r>
              <w:rPr>
                <w:spacing w:val="-10"/>
                <w:sz w:val="20"/>
              </w:rPr>
              <w:t>-</w:t>
            </w:r>
          </w:p>
        </w:tc>
        <w:tc>
          <w:tcPr>
            <w:tcW w:w="659" w:type="dxa"/>
          </w:tcPr>
          <w:p>
            <w:pPr>
              <w:pStyle w:val="TableParagraph"/>
              <w:spacing w:line="213" w:lineRule="exact" w:before="112"/>
              <w:ind w:left="242"/>
              <w:rPr>
                <w:sz w:val="20"/>
              </w:rPr>
            </w:pPr>
            <w:r>
              <w:rPr>
                <w:spacing w:val="-10"/>
                <w:sz w:val="20"/>
              </w:rPr>
              <w:t>-</w:t>
            </w:r>
          </w:p>
        </w:tc>
        <w:tc>
          <w:tcPr>
            <w:tcW w:w="1020" w:type="dxa"/>
          </w:tcPr>
          <w:p>
            <w:pPr>
              <w:pStyle w:val="TableParagraph"/>
              <w:spacing w:line="213" w:lineRule="exact" w:before="112"/>
              <w:ind w:left="140"/>
              <w:jc w:val="center"/>
              <w:rPr>
                <w:sz w:val="20"/>
              </w:rPr>
            </w:pPr>
            <w:r>
              <w:rPr>
                <w:spacing w:val="-10"/>
                <w:sz w:val="20"/>
              </w:rPr>
              <w:t>8</w:t>
            </w:r>
          </w:p>
        </w:tc>
        <w:tc>
          <w:tcPr>
            <w:tcW w:w="765" w:type="dxa"/>
            <w:tcBorders>
              <w:right w:val="single" w:sz="4" w:space="0" w:color="000000"/>
            </w:tcBorders>
          </w:tcPr>
          <w:p>
            <w:pPr>
              <w:pStyle w:val="TableParagraph"/>
              <w:spacing w:line="213" w:lineRule="exact" w:before="112"/>
              <w:ind w:left="107" w:right="9"/>
              <w:jc w:val="center"/>
              <w:rPr>
                <w:sz w:val="20"/>
              </w:rPr>
            </w:pPr>
            <w:r>
              <w:rPr>
                <w:spacing w:val="-10"/>
                <w:sz w:val="20"/>
              </w:rPr>
              <w:t>7</w:t>
            </w:r>
          </w:p>
        </w:tc>
      </w:tr>
      <w:tr>
        <w:trPr>
          <w:trHeight w:val="232" w:hRule="atLeast"/>
        </w:trPr>
        <w:tc>
          <w:tcPr>
            <w:tcW w:w="3801" w:type="dxa"/>
            <w:tcBorders>
              <w:left w:val="single" w:sz="4" w:space="0" w:color="000000"/>
              <w:bottom w:val="single" w:sz="4" w:space="0" w:color="000000"/>
            </w:tcBorders>
          </w:tcPr>
          <w:p>
            <w:pPr>
              <w:pStyle w:val="TableParagraph"/>
              <w:spacing w:line="213" w:lineRule="exact"/>
              <w:ind w:left="825"/>
              <w:rPr>
                <w:sz w:val="20"/>
              </w:rPr>
            </w:pPr>
            <w:r>
              <w:rPr>
                <w:spacing w:val="-2"/>
                <w:sz w:val="20"/>
              </w:rPr>
              <w:t>Sokoto</w:t>
            </w:r>
          </w:p>
        </w:tc>
        <w:tc>
          <w:tcPr>
            <w:tcW w:w="720" w:type="dxa"/>
            <w:tcBorders>
              <w:bottom w:val="single" w:sz="4" w:space="0" w:color="000000"/>
            </w:tcBorders>
          </w:tcPr>
          <w:p>
            <w:pPr>
              <w:pStyle w:val="TableParagraph"/>
              <w:rPr>
                <w:rFonts w:ascii="Times New Roman"/>
                <w:sz w:val="16"/>
              </w:rPr>
            </w:pPr>
          </w:p>
        </w:tc>
        <w:tc>
          <w:tcPr>
            <w:tcW w:w="490" w:type="dxa"/>
            <w:tcBorders>
              <w:bottom w:val="single" w:sz="4" w:space="0" w:color="000000"/>
            </w:tcBorders>
          </w:tcPr>
          <w:p>
            <w:pPr>
              <w:pStyle w:val="TableParagraph"/>
              <w:rPr>
                <w:rFonts w:ascii="Times New Roman"/>
                <w:sz w:val="16"/>
              </w:rPr>
            </w:pPr>
          </w:p>
        </w:tc>
        <w:tc>
          <w:tcPr>
            <w:tcW w:w="767" w:type="dxa"/>
            <w:tcBorders>
              <w:bottom w:val="single" w:sz="4" w:space="0" w:color="000000"/>
            </w:tcBorders>
          </w:tcPr>
          <w:p>
            <w:pPr>
              <w:pStyle w:val="TableParagraph"/>
              <w:rPr>
                <w:rFonts w:ascii="Times New Roman"/>
                <w:sz w:val="16"/>
              </w:rPr>
            </w:pPr>
          </w:p>
        </w:tc>
        <w:tc>
          <w:tcPr>
            <w:tcW w:w="493" w:type="dxa"/>
            <w:tcBorders>
              <w:bottom w:val="single" w:sz="4" w:space="0" w:color="000000"/>
            </w:tcBorders>
          </w:tcPr>
          <w:p>
            <w:pPr>
              <w:pStyle w:val="TableParagraph"/>
              <w:rPr>
                <w:rFonts w:ascii="Times New Roman"/>
                <w:sz w:val="16"/>
              </w:rPr>
            </w:pPr>
          </w:p>
        </w:tc>
        <w:tc>
          <w:tcPr>
            <w:tcW w:w="746" w:type="dxa"/>
            <w:tcBorders>
              <w:bottom w:val="single" w:sz="4" w:space="0" w:color="000000"/>
            </w:tcBorders>
          </w:tcPr>
          <w:p>
            <w:pPr>
              <w:pStyle w:val="TableParagraph"/>
              <w:rPr>
                <w:rFonts w:ascii="Times New Roman"/>
                <w:sz w:val="16"/>
              </w:rPr>
            </w:pPr>
          </w:p>
        </w:tc>
        <w:tc>
          <w:tcPr>
            <w:tcW w:w="433" w:type="dxa"/>
            <w:tcBorders>
              <w:bottom w:val="single" w:sz="4" w:space="0" w:color="000000"/>
            </w:tcBorders>
          </w:tcPr>
          <w:p>
            <w:pPr>
              <w:pStyle w:val="TableParagraph"/>
              <w:rPr>
                <w:rFonts w:ascii="Times New Roman"/>
                <w:sz w:val="16"/>
              </w:rPr>
            </w:pPr>
          </w:p>
        </w:tc>
        <w:tc>
          <w:tcPr>
            <w:tcW w:w="715" w:type="dxa"/>
            <w:tcBorders>
              <w:bottom w:val="single" w:sz="4" w:space="0" w:color="000000"/>
            </w:tcBorders>
          </w:tcPr>
          <w:p>
            <w:pPr>
              <w:pStyle w:val="TableParagraph"/>
              <w:rPr>
                <w:rFonts w:ascii="Times New Roman"/>
                <w:sz w:val="16"/>
              </w:rPr>
            </w:pPr>
          </w:p>
        </w:tc>
        <w:tc>
          <w:tcPr>
            <w:tcW w:w="460" w:type="dxa"/>
            <w:tcBorders>
              <w:bottom w:val="single" w:sz="4" w:space="0" w:color="000000"/>
            </w:tcBorders>
          </w:tcPr>
          <w:p>
            <w:pPr>
              <w:pStyle w:val="TableParagraph"/>
              <w:rPr>
                <w:rFonts w:ascii="Times New Roman"/>
                <w:sz w:val="16"/>
              </w:rPr>
            </w:pPr>
          </w:p>
        </w:tc>
        <w:tc>
          <w:tcPr>
            <w:tcW w:w="732" w:type="dxa"/>
            <w:tcBorders>
              <w:bottom w:val="single" w:sz="4" w:space="0" w:color="000000"/>
            </w:tcBorders>
          </w:tcPr>
          <w:p>
            <w:pPr>
              <w:pStyle w:val="TableParagraph"/>
              <w:rPr>
                <w:rFonts w:ascii="Times New Roman"/>
                <w:sz w:val="16"/>
              </w:rPr>
            </w:pPr>
          </w:p>
        </w:tc>
        <w:tc>
          <w:tcPr>
            <w:tcW w:w="436" w:type="dxa"/>
            <w:tcBorders>
              <w:bottom w:val="single" w:sz="4" w:space="0" w:color="000000"/>
            </w:tcBorders>
          </w:tcPr>
          <w:p>
            <w:pPr>
              <w:pStyle w:val="TableParagraph"/>
              <w:rPr>
                <w:rFonts w:ascii="Times New Roman"/>
                <w:sz w:val="16"/>
              </w:rPr>
            </w:pPr>
          </w:p>
        </w:tc>
        <w:tc>
          <w:tcPr>
            <w:tcW w:w="773" w:type="dxa"/>
            <w:tcBorders>
              <w:bottom w:val="single" w:sz="4" w:space="0" w:color="000000"/>
            </w:tcBorders>
          </w:tcPr>
          <w:p>
            <w:pPr>
              <w:pStyle w:val="TableParagraph"/>
              <w:rPr>
                <w:rFonts w:ascii="Times New Roman"/>
                <w:sz w:val="16"/>
              </w:rPr>
            </w:pPr>
          </w:p>
        </w:tc>
        <w:tc>
          <w:tcPr>
            <w:tcW w:w="563" w:type="dxa"/>
            <w:tcBorders>
              <w:bottom w:val="single" w:sz="4" w:space="0" w:color="000000"/>
            </w:tcBorders>
          </w:tcPr>
          <w:p>
            <w:pPr>
              <w:pStyle w:val="TableParagraph"/>
              <w:rPr>
                <w:rFonts w:ascii="Times New Roman"/>
                <w:sz w:val="16"/>
              </w:rPr>
            </w:pPr>
          </w:p>
        </w:tc>
        <w:tc>
          <w:tcPr>
            <w:tcW w:w="835" w:type="dxa"/>
            <w:tcBorders>
              <w:bottom w:val="single" w:sz="4" w:space="0" w:color="000000"/>
            </w:tcBorders>
          </w:tcPr>
          <w:p>
            <w:pPr>
              <w:pStyle w:val="TableParagraph"/>
              <w:rPr>
                <w:rFonts w:ascii="Times New Roman"/>
                <w:sz w:val="16"/>
              </w:rPr>
            </w:pPr>
          </w:p>
        </w:tc>
        <w:tc>
          <w:tcPr>
            <w:tcW w:w="659" w:type="dxa"/>
            <w:tcBorders>
              <w:bottom w:val="single" w:sz="4" w:space="0" w:color="000000"/>
            </w:tcBorders>
          </w:tcPr>
          <w:p>
            <w:pPr>
              <w:pStyle w:val="TableParagraph"/>
              <w:rPr>
                <w:rFonts w:ascii="Times New Roman"/>
                <w:sz w:val="16"/>
              </w:rPr>
            </w:pPr>
          </w:p>
        </w:tc>
        <w:tc>
          <w:tcPr>
            <w:tcW w:w="1020" w:type="dxa"/>
            <w:tcBorders>
              <w:bottom w:val="single" w:sz="4" w:space="0" w:color="000000"/>
            </w:tcBorders>
          </w:tcPr>
          <w:p>
            <w:pPr>
              <w:pStyle w:val="TableParagraph"/>
              <w:rPr>
                <w:rFonts w:ascii="Times New Roman"/>
                <w:sz w:val="16"/>
              </w:rPr>
            </w:pPr>
          </w:p>
        </w:tc>
        <w:tc>
          <w:tcPr>
            <w:tcW w:w="765" w:type="dxa"/>
            <w:tcBorders>
              <w:bottom w:val="single" w:sz="4" w:space="0" w:color="000000"/>
              <w:right w:val="single" w:sz="4" w:space="0" w:color="000000"/>
            </w:tcBorders>
          </w:tcPr>
          <w:p>
            <w:pPr>
              <w:pStyle w:val="TableParagraph"/>
              <w:rPr>
                <w:rFonts w:ascii="Times New Roman"/>
                <w:sz w:val="16"/>
              </w:rPr>
            </w:pPr>
          </w:p>
        </w:tc>
      </w:tr>
    </w:tbl>
    <w:p>
      <w:pPr>
        <w:tabs>
          <w:tab w:pos="8371" w:val="left" w:leader="none"/>
          <w:tab w:pos="10295" w:val="left" w:leader="none"/>
        </w:tabs>
        <w:spacing w:before="0"/>
        <w:ind w:left="1560" w:right="0" w:firstLine="0"/>
        <w:jc w:val="left"/>
        <w:rPr>
          <w:sz w:val="22"/>
        </w:rPr>
      </w:pPr>
      <w:r>
        <w:rPr>
          <w:rFonts w:ascii="Arial"/>
          <w:b/>
          <w:sz w:val="22"/>
        </w:rPr>
        <w:t>Key:</w:t>
      </w:r>
      <w:r>
        <w:rPr>
          <w:rFonts w:ascii="Arial"/>
          <w:b/>
          <w:spacing w:val="-5"/>
          <w:sz w:val="22"/>
        </w:rPr>
        <w:t> </w:t>
      </w:r>
      <w:r>
        <w:rPr>
          <w:sz w:val="22"/>
        </w:rPr>
        <w:t>Proportionate</w:t>
      </w:r>
      <w:r>
        <w:rPr>
          <w:spacing w:val="-3"/>
          <w:sz w:val="22"/>
        </w:rPr>
        <w:t> </w:t>
      </w:r>
      <w:r>
        <w:rPr>
          <w:sz w:val="22"/>
        </w:rPr>
        <w:t>sample</w:t>
      </w:r>
      <w:r>
        <w:rPr>
          <w:spacing w:val="-8"/>
          <w:sz w:val="22"/>
        </w:rPr>
        <w:t> </w:t>
      </w:r>
      <w:r>
        <w:rPr>
          <w:sz w:val="22"/>
        </w:rPr>
        <w:t>size</w:t>
      </w:r>
      <w:r>
        <w:rPr>
          <w:spacing w:val="-7"/>
          <w:sz w:val="22"/>
        </w:rPr>
        <w:t> </w:t>
      </w:r>
      <w:r>
        <w:rPr>
          <w:sz w:val="22"/>
        </w:rPr>
        <w:t>for</w:t>
      </w:r>
      <w:r>
        <w:rPr>
          <w:spacing w:val="-7"/>
          <w:sz w:val="22"/>
        </w:rPr>
        <w:t> </w:t>
      </w:r>
      <w:r>
        <w:rPr>
          <w:sz w:val="22"/>
        </w:rPr>
        <w:t>service</w:t>
      </w:r>
      <w:r>
        <w:rPr>
          <w:spacing w:val="-4"/>
          <w:sz w:val="22"/>
        </w:rPr>
        <w:t> </w:t>
      </w:r>
      <w:r>
        <w:rPr>
          <w:sz w:val="22"/>
        </w:rPr>
        <w:t>staff</w:t>
      </w:r>
      <w:r>
        <w:rPr>
          <w:spacing w:val="-4"/>
          <w:sz w:val="22"/>
        </w:rPr>
        <w:t> </w:t>
      </w:r>
      <w:r>
        <w:rPr>
          <w:sz w:val="22"/>
        </w:rPr>
        <w:t>of</w:t>
      </w:r>
      <w:r>
        <w:rPr>
          <w:spacing w:val="-8"/>
          <w:sz w:val="22"/>
        </w:rPr>
        <w:t> </w:t>
      </w:r>
      <w:r>
        <w:rPr>
          <w:sz w:val="22"/>
        </w:rPr>
        <w:t>each</w:t>
      </w:r>
      <w:r>
        <w:rPr>
          <w:spacing w:val="-3"/>
          <w:sz w:val="22"/>
        </w:rPr>
        <w:t> </w:t>
      </w:r>
      <w:r>
        <w:rPr>
          <w:spacing w:val="-2"/>
          <w:sz w:val="22"/>
        </w:rPr>
        <w:t>University:</w:t>
      </w:r>
      <w:r>
        <w:rPr>
          <w:sz w:val="22"/>
        </w:rPr>
        <w:tab/>
      </w:r>
      <w:r>
        <w:rPr>
          <w:rFonts w:ascii="Arial"/>
          <w:b/>
          <w:sz w:val="22"/>
        </w:rPr>
        <w:t>P</w:t>
      </w:r>
      <w:r>
        <w:rPr>
          <w:rFonts w:ascii="Arial"/>
          <w:b/>
          <w:spacing w:val="57"/>
          <w:sz w:val="22"/>
        </w:rPr>
        <w:t> </w:t>
      </w:r>
      <w:r>
        <w:rPr>
          <w:rFonts w:ascii="Arial"/>
          <w:b/>
          <w:sz w:val="22"/>
        </w:rPr>
        <w:t>=</w:t>
      </w:r>
      <w:r>
        <w:rPr>
          <w:rFonts w:ascii="Arial"/>
          <w:b/>
          <w:spacing w:val="59"/>
          <w:sz w:val="22"/>
        </w:rPr>
        <w:t> </w:t>
      </w:r>
      <w:r>
        <w:rPr>
          <w:spacing w:val="-2"/>
          <w:sz w:val="22"/>
        </w:rPr>
        <w:t>Population</w:t>
      </w:r>
      <w:r>
        <w:rPr>
          <w:sz w:val="22"/>
        </w:rPr>
        <w:tab/>
      </w:r>
      <w:r>
        <w:rPr>
          <w:rFonts w:ascii="Arial"/>
          <w:b/>
          <w:sz w:val="22"/>
        </w:rPr>
        <w:t>S</w:t>
      </w:r>
      <w:r>
        <w:rPr>
          <w:rFonts w:ascii="Arial"/>
          <w:b/>
          <w:spacing w:val="58"/>
          <w:sz w:val="22"/>
        </w:rPr>
        <w:t> </w:t>
      </w:r>
      <w:r>
        <w:rPr>
          <w:sz w:val="22"/>
        </w:rPr>
        <w:t>=</w:t>
      </w:r>
      <w:r>
        <w:rPr>
          <w:spacing w:val="1"/>
          <w:sz w:val="22"/>
        </w:rPr>
        <w:t> </w:t>
      </w:r>
      <w:r>
        <w:rPr>
          <w:spacing w:val="-2"/>
          <w:sz w:val="22"/>
        </w:rPr>
        <w:t>Sample</w:t>
      </w:r>
    </w:p>
    <w:p>
      <w:pPr>
        <w:tabs>
          <w:tab w:pos="4886" w:val="left" w:leader="none"/>
          <w:tab w:pos="6355" w:val="left" w:leader="none"/>
          <w:tab w:pos="9790" w:val="right" w:leader="none"/>
        </w:tabs>
        <w:spacing w:before="250"/>
        <w:ind w:left="2836" w:right="2970" w:firstLine="163"/>
        <w:jc w:val="left"/>
        <w:rPr>
          <w:sz w:val="22"/>
        </w:rPr>
      </w:pPr>
      <w:r>
        <w:rPr>
          <w:spacing w:val="80"/>
          <w:w w:val="150"/>
          <w:sz w:val="22"/>
          <w:u w:val="single"/>
        </w:rPr>
        <w:t> </w:t>
      </w:r>
      <w:r>
        <w:rPr>
          <w:sz w:val="22"/>
          <w:u w:val="single"/>
        </w:rPr>
        <w:t>Pop. In Unit</w:t>
        <w:tab/>
      </w:r>
      <w:r>
        <w:rPr>
          <w:spacing w:val="80"/>
          <w:sz w:val="22"/>
        </w:rPr>
        <w:t> </w:t>
      </w:r>
      <w:r>
        <w:rPr>
          <w:sz w:val="22"/>
        </w:rPr>
        <w:t>x</w:t>
      </w:r>
      <w:r>
        <w:rPr>
          <w:spacing w:val="40"/>
          <w:sz w:val="22"/>
        </w:rPr>
        <w:t> </w:t>
      </w:r>
      <w:r>
        <w:rPr>
          <w:sz w:val="22"/>
        </w:rPr>
        <w:t>Sample</w:t>
        <w:tab/>
        <w:t>(Example</w:t>
      </w:r>
      <w:r>
        <w:rPr>
          <w:spacing w:val="-4"/>
          <w:sz w:val="22"/>
        </w:rPr>
        <w:t> </w:t>
      </w:r>
      <w:r>
        <w:rPr>
          <w:sz w:val="22"/>
        </w:rPr>
        <w:t>for</w:t>
      </w:r>
      <w:r>
        <w:rPr>
          <w:spacing w:val="-3"/>
          <w:sz w:val="22"/>
        </w:rPr>
        <w:t> </w:t>
      </w:r>
      <w:r>
        <w:rPr>
          <w:sz w:val="22"/>
        </w:rPr>
        <w:t>ABU</w:t>
      </w:r>
      <w:r>
        <w:rPr>
          <w:spacing w:val="-2"/>
          <w:sz w:val="22"/>
        </w:rPr>
        <w:t> </w:t>
      </w:r>
      <w:r>
        <w:rPr>
          <w:sz w:val="22"/>
        </w:rPr>
        <w:t>VC’s</w:t>
      </w:r>
      <w:r>
        <w:rPr>
          <w:spacing w:val="-1"/>
          <w:sz w:val="22"/>
        </w:rPr>
        <w:t> </w:t>
      </w:r>
      <w:r>
        <w:rPr>
          <w:sz w:val="22"/>
        </w:rPr>
        <w:t>Office</w:t>
      </w:r>
      <w:r>
        <w:rPr>
          <w:spacing w:val="-4"/>
          <w:sz w:val="22"/>
        </w:rPr>
        <w:t> </w:t>
      </w:r>
      <w:r>
        <w:rPr>
          <w:sz w:val="22"/>
        </w:rPr>
        <w:t>=</w:t>
      </w:r>
      <w:r>
        <w:rPr>
          <w:spacing w:val="40"/>
          <w:sz w:val="22"/>
          <w:u w:val="single"/>
        </w:rPr>
        <w:t> </w:t>
      </w:r>
      <w:r>
        <w:rPr>
          <w:sz w:val="22"/>
          <w:u w:val="single"/>
        </w:rPr>
        <w:t>3</w:t>
      </w:r>
      <w:r>
        <w:rPr>
          <w:spacing w:val="57"/>
          <w:sz w:val="22"/>
          <w:u w:val="single"/>
        </w:rPr>
        <w:t> </w:t>
      </w:r>
      <w:r>
        <w:rPr>
          <w:spacing w:val="80"/>
          <w:sz w:val="22"/>
        </w:rPr>
        <w:t> </w:t>
      </w:r>
      <w:r>
        <w:rPr>
          <w:sz w:val="22"/>
        </w:rPr>
        <w:t>x</w:t>
      </w:r>
      <w:r>
        <w:rPr>
          <w:spacing w:val="40"/>
          <w:sz w:val="22"/>
        </w:rPr>
        <w:t> </w:t>
      </w:r>
      <w:r>
        <w:rPr>
          <w:sz w:val="22"/>
        </w:rPr>
        <w:t>11</w:t>
      </w:r>
      <w:r>
        <w:rPr>
          <w:spacing w:val="40"/>
          <w:sz w:val="22"/>
        </w:rPr>
        <w:t> </w:t>
      </w:r>
      <w:r>
        <w:rPr>
          <w:sz w:val="22"/>
        </w:rPr>
        <w:t>=</w:t>
      </w:r>
      <w:r>
        <w:rPr>
          <w:spacing w:val="-6"/>
          <w:sz w:val="22"/>
        </w:rPr>
        <w:t> </w:t>
      </w:r>
      <w:r>
        <w:rPr>
          <w:sz w:val="22"/>
        </w:rPr>
        <w:t>2.35</w:t>
      </w:r>
      <w:r>
        <w:rPr>
          <w:spacing w:val="40"/>
          <w:sz w:val="22"/>
        </w:rPr>
        <w:t> </w:t>
      </w:r>
      <w:r>
        <w:rPr>
          <w:sz w:val="22"/>
        </w:rPr>
        <w:t>=</w:t>
      </w:r>
      <w:r>
        <w:rPr>
          <w:spacing w:val="-1"/>
          <w:sz w:val="22"/>
        </w:rPr>
        <w:t> </w:t>
      </w:r>
      <w:r>
        <w:rPr>
          <w:sz w:val="22"/>
        </w:rPr>
        <w:t>2 Total Pop. In University</w:t>
        <w:tab/>
        <w:tab/>
      </w:r>
      <w:r>
        <w:rPr>
          <w:spacing w:val="-6"/>
          <w:sz w:val="22"/>
        </w:rPr>
        <w:t>12</w:t>
      </w:r>
    </w:p>
    <w:p>
      <w:pPr>
        <w:pStyle w:val="BodyText"/>
        <w:spacing w:before="528"/>
        <w:ind w:left="283"/>
        <w:jc w:val="center"/>
        <w:rPr>
          <w:rFonts w:ascii="Times New Roman"/>
        </w:rPr>
      </w:pPr>
      <w:r>
        <w:rPr>
          <w:rFonts w:ascii="Times New Roman"/>
          <w:spacing w:val="-5"/>
        </w:rPr>
        <w:t>128</w:t>
      </w:r>
    </w:p>
    <w:p>
      <w:pPr>
        <w:spacing w:after="0"/>
        <w:jc w:val="center"/>
        <w:rPr>
          <w:rFonts w:ascii="Times New Roman"/>
        </w:rPr>
        <w:sectPr>
          <w:headerReference w:type="default" r:id="rId239"/>
          <w:footerReference w:type="default" r:id="rId240"/>
          <w:pgSz w:w="15840" w:h="12240" w:orient="landscape"/>
          <w:pgMar w:header="0" w:footer="0" w:top="640" w:bottom="280" w:left="600" w:right="600"/>
        </w:sectPr>
      </w:pPr>
    </w:p>
    <w:p>
      <w:pPr>
        <w:pStyle w:val="Heading2"/>
        <w:numPr>
          <w:ilvl w:val="1"/>
          <w:numId w:val="33"/>
        </w:numPr>
        <w:tabs>
          <w:tab w:pos="819" w:val="left" w:leader="none"/>
        </w:tabs>
        <w:spacing w:line="240" w:lineRule="auto" w:before="79" w:after="0"/>
        <w:ind w:left="819" w:right="0" w:hanging="719"/>
        <w:jc w:val="left"/>
        <w:rPr>
          <w:rFonts w:ascii="Arial MT"/>
          <w:b w:val="0"/>
        </w:rPr>
      </w:pPr>
      <w:bookmarkStart w:name="_TOC_250020" w:id="48"/>
      <w:bookmarkEnd w:id="48"/>
      <w:r>
        <w:rPr>
          <w:spacing w:val="-2"/>
        </w:rPr>
        <w:t>Instrumentation</w:t>
      </w:r>
    </w:p>
    <w:p>
      <w:pPr>
        <w:pStyle w:val="BodyText"/>
        <w:spacing w:line="480" w:lineRule="auto" w:before="282"/>
        <w:ind w:left="820" w:right="117" w:firstLine="720"/>
        <w:jc w:val="both"/>
      </w:pPr>
      <w:r>
        <w:rPr/>
        <w:t>Likert’s summated Rating Scale was constructed and administered. This design was to reduce the likelihood of missing information. It also eased the problem of tabulation classification, interpretation and summary since the group was relatively very large. The same questionnaire was developed for three categories. Category 'A' for students, randomly selected from each university using their proportionate samples.</w:t>
      </w:r>
    </w:p>
    <w:p>
      <w:pPr>
        <w:pStyle w:val="BodyText"/>
        <w:spacing w:line="480" w:lineRule="auto"/>
        <w:ind w:left="820" w:right="118" w:firstLine="720"/>
        <w:jc w:val="both"/>
      </w:pPr>
      <w:r>
        <w:rPr/>
        <w:t>Category 'B' was answered by the University</w:t>
      </w:r>
      <w:r>
        <w:rPr>
          <w:spacing w:val="-2"/>
        </w:rPr>
        <w:t> </w:t>
      </w:r>
      <w:r>
        <w:rPr/>
        <w:t>service units i.e. the relevant units in Universities:</w:t>
      </w:r>
    </w:p>
    <w:p>
      <w:pPr>
        <w:pStyle w:val="BodyText"/>
        <w:spacing w:line="271" w:lineRule="exact"/>
        <w:ind w:left="1540"/>
      </w:pPr>
      <w:r>
        <w:rPr/>
        <w:t>Category</w:t>
      </w:r>
      <w:r>
        <w:rPr>
          <w:spacing w:val="-10"/>
        </w:rPr>
        <w:t> </w:t>
      </w:r>
      <w:r>
        <w:rPr/>
        <w:t>'C'.</w:t>
      </w:r>
      <w:r>
        <w:rPr>
          <w:spacing w:val="-8"/>
        </w:rPr>
        <w:t> </w:t>
      </w:r>
      <w:r>
        <w:rPr/>
        <w:t>This</w:t>
      </w:r>
      <w:r>
        <w:rPr>
          <w:spacing w:val="-5"/>
        </w:rPr>
        <w:t> </w:t>
      </w:r>
      <w:r>
        <w:rPr/>
        <w:t>was</w:t>
      </w:r>
      <w:r>
        <w:rPr>
          <w:spacing w:val="-4"/>
        </w:rPr>
        <w:t> </w:t>
      </w:r>
      <w:r>
        <w:rPr/>
        <w:t>for</w:t>
      </w:r>
      <w:r>
        <w:rPr>
          <w:spacing w:val="-3"/>
        </w:rPr>
        <w:t> </w:t>
      </w:r>
      <w:r>
        <w:rPr/>
        <w:t>the</w:t>
      </w:r>
      <w:r>
        <w:rPr>
          <w:spacing w:val="-7"/>
        </w:rPr>
        <w:t> </w:t>
      </w:r>
      <w:r>
        <w:rPr/>
        <w:t>Top</w:t>
      </w:r>
      <w:r>
        <w:rPr>
          <w:spacing w:val="-8"/>
        </w:rPr>
        <w:t> </w:t>
      </w:r>
      <w:r>
        <w:rPr/>
        <w:t>Management</w:t>
      </w:r>
      <w:r>
        <w:rPr>
          <w:spacing w:val="-4"/>
        </w:rPr>
        <w:t> </w:t>
      </w:r>
      <w:r>
        <w:rPr/>
        <w:t>Staff</w:t>
      </w:r>
      <w:r>
        <w:rPr>
          <w:spacing w:val="-5"/>
        </w:rPr>
        <w:t> </w:t>
      </w:r>
      <w:r>
        <w:rPr/>
        <w:t>of</w:t>
      </w:r>
      <w:r>
        <w:rPr>
          <w:spacing w:val="-4"/>
        </w:rPr>
        <w:t> </w:t>
      </w:r>
      <w:r>
        <w:rPr/>
        <w:t>the</w:t>
      </w:r>
      <w:r>
        <w:rPr>
          <w:spacing w:val="-4"/>
        </w:rPr>
        <w:t> </w:t>
      </w:r>
      <w:r>
        <w:rPr>
          <w:spacing w:val="-2"/>
        </w:rPr>
        <w:t>Universities.</w:t>
      </w:r>
    </w:p>
    <w:p>
      <w:pPr>
        <w:pStyle w:val="BodyText"/>
      </w:pPr>
    </w:p>
    <w:p>
      <w:pPr>
        <w:pStyle w:val="BodyText"/>
        <w:spacing w:line="480" w:lineRule="auto"/>
        <w:ind w:left="820" w:right="116" w:firstLine="720"/>
        <w:jc w:val="both"/>
      </w:pPr>
      <w:r>
        <w:rPr/>
        <w:t>Likerts</w:t>
      </w:r>
      <w:r>
        <w:rPr>
          <w:spacing w:val="-4"/>
        </w:rPr>
        <w:t> </w:t>
      </w:r>
      <w:r>
        <w:rPr/>
        <w:t>summated</w:t>
      </w:r>
      <w:r>
        <w:rPr>
          <w:spacing w:val="-3"/>
        </w:rPr>
        <w:t> </w:t>
      </w:r>
      <w:r>
        <w:rPr/>
        <w:t>Rating</w:t>
      </w:r>
      <w:r>
        <w:rPr>
          <w:spacing w:val="-3"/>
        </w:rPr>
        <w:t> </w:t>
      </w:r>
      <w:r>
        <w:rPr/>
        <w:t>method</w:t>
      </w:r>
      <w:r>
        <w:rPr>
          <w:spacing w:val="-3"/>
        </w:rPr>
        <w:t> </w:t>
      </w:r>
      <w:r>
        <w:rPr/>
        <w:t>involves</w:t>
      </w:r>
      <w:r>
        <w:rPr>
          <w:spacing w:val="-4"/>
        </w:rPr>
        <w:t> </w:t>
      </w:r>
      <w:r>
        <w:rPr/>
        <w:t>the</w:t>
      </w:r>
      <w:r>
        <w:rPr>
          <w:spacing w:val="-7"/>
        </w:rPr>
        <w:t> </w:t>
      </w:r>
      <w:r>
        <w:rPr/>
        <w:t>ordinal scale</w:t>
      </w:r>
      <w:r>
        <w:rPr>
          <w:spacing w:val="-3"/>
        </w:rPr>
        <w:t> </w:t>
      </w:r>
      <w:r>
        <w:rPr/>
        <w:t>which</w:t>
      </w:r>
      <w:r>
        <w:rPr>
          <w:spacing w:val="-3"/>
        </w:rPr>
        <w:t> </w:t>
      </w:r>
      <w:r>
        <w:rPr/>
        <w:t>contains a large number of both positive and negative statements regarding the opinions of the subjects on the factors affecting the procurement, provision and management of the students welfare services in the Universities in the three geopolitical zones in the Northern part of Nigeria.</w:t>
      </w:r>
    </w:p>
    <w:p>
      <w:pPr>
        <w:pStyle w:val="BodyText"/>
        <w:tabs>
          <w:tab w:pos="3680" w:val="left" w:leader="none"/>
          <w:tab w:pos="6112" w:val="left" w:leader="none"/>
        </w:tabs>
        <w:spacing w:line="480" w:lineRule="auto" w:before="1"/>
        <w:ind w:left="820" w:right="113" w:firstLine="720"/>
        <w:jc w:val="both"/>
      </w:pPr>
      <w:r>
        <w:rPr/>
        <w:t>The subjects indicated their position on each statement or question by inserting one of the alternative answers against the statements or questions. The questionnaire was in sequential order starting with personal data; 1) Name of </w:t>
      </w:r>
      <w:r>
        <w:rPr>
          <w:spacing w:val="-2"/>
        </w:rPr>
        <w:t>University:</w:t>
      </w:r>
      <w:r>
        <w:rPr>
          <w:u w:val="single"/>
        </w:rPr>
        <w:tab/>
      </w:r>
      <w:r>
        <w:rPr/>
        <w:t>, 2) Status: Student</w:t>
      </w:r>
      <w:r>
        <w:rPr>
          <w:spacing w:val="40"/>
        </w:rPr>
        <w:t> </w:t>
      </w:r>
      <w:r>
        <w:rPr/>
        <w:t>(</w:t>
      </w:r>
      <w:r>
        <w:rPr>
          <w:spacing w:val="40"/>
        </w:rPr>
        <w:t> </w:t>
      </w:r>
      <w:r>
        <w:rPr/>
        <w:t>), Service Staff</w:t>
      </w:r>
      <w:r>
        <w:rPr>
          <w:spacing w:val="40"/>
        </w:rPr>
        <w:t> </w:t>
      </w:r>
      <w:r>
        <w:rPr/>
        <w:t>(</w:t>
      </w:r>
      <w:r>
        <w:rPr>
          <w:spacing w:val="40"/>
        </w:rPr>
        <w:t> </w:t>
      </w:r>
      <w:r>
        <w:rPr/>
        <w:t>), Top Management Staff</w:t>
      </w:r>
      <w:r>
        <w:rPr>
          <w:spacing w:val="80"/>
          <w:w w:val="150"/>
        </w:rPr>
        <w:t> </w:t>
      </w:r>
      <w:r>
        <w:rPr/>
        <w:t>(</w:t>
      </w:r>
      <w:r>
        <w:rPr>
          <w:spacing w:val="80"/>
        </w:rPr>
        <w:t> </w:t>
      </w:r>
      <w:r>
        <w:rPr/>
        <w:t>), 3) Course</w:t>
      </w:r>
      <w:r>
        <w:rPr>
          <w:u w:val="single"/>
        </w:rPr>
        <w:tab/>
      </w:r>
      <w:r>
        <w:rPr/>
        <w:t>, 4) Section where you work in the University.</w:t>
      </w:r>
    </w:p>
    <w:p>
      <w:pPr>
        <w:pStyle w:val="BodyText"/>
        <w:spacing w:line="480" w:lineRule="auto"/>
        <w:ind w:left="1540" w:right="2448"/>
        <w:jc w:val="both"/>
      </w:pPr>
      <w:r>
        <w:rPr/>
        <w:t>The</w:t>
      </w:r>
      <w:r>
        <w:rPr>
          <w:spacing w:val="-3"/>
        </w:rPr>
        <w:t> </w:t>
      </w:r>
      <w:r>
        <w:rPr/>
        <w:t>question</w:t>
      </w:r>
      <w:r>
        <w:rPr>
          <w:spacing w:val="-3"/>
        </w:rPr>
        <w:t> </w:t>
      </w:r>
      <w:r>
        <w:rPr/>
        <w:t>was</w:t>
      </w:r>
      <w:r>
        <w:rPr>
          <w:spacing w:val="-4"/>
        </w:rPr>
        <w:t> </w:t>
      </w:r>
      <w:r>
        <w:rPr/>
        <w:t>in</w:t>
      </w:r>
      <w:r>
        <w:rPr>
          <w:spacing w:val="-7"/>
        </w:rPr>
        <w:t> </w:t>
      </w:r>
      <w:r>
        <w:rPr/>
        <w:t>4</w:t>
      </w:r>
      <w:r>
        <w:rPr>
          <w:spacing w:val="-3"/>
        </w:rPr>
        <w:t> </w:t>
      </w:r>
      <w:r>
        <w:rPr/>
        <w:t>point-scale</w:t>
      </w:r>
      <w:r>
        <w:rPr>
          <w:spacing w:val="-3"/>
        </w:rPr>
        <w:t> </w:t>
      </w:r>
      <w:r>
        <w:rPr/>
        <w:t>for</w:t>
      </w:r>
      <w:r>
        <w:rPr>
          <w:spacing w:val="-2"/>
        </w:rPr>
        <w:t> </w:t>
      </w:r>
      <w:r>
        <w:rPr/>
        <w:t>part</w:t>
      </w:r>
      <w:r>
        <w:rPr>
          <w:spacing w:val="-4"/>
        </w:rPr>
        <w:t> </w:t>
      </w:r>
      <w:r>
        <w:rPr/>
        <w:t>II</w:t>
      </w:r>
      <w:r>
        <w:rPr>
          <w:spacing w:val="-8"/>
        </w:rPr>
        <w:t> </w:t>
      </w:r>
      <w:r>
        <w:rPr/>
        <w:t>rated</w:t>
      </w:r>
      <w:r>
        <w:rPr>
          <w:spacing w:val="-3"/>
        </w:rPr>
        <w:t> </w:t>
      </w:r>
      <w:r>
        <w:rPr/>
        <w:t>as: Very Adequate</w:t>
      </w:r>
      <w:r>
        <w:rPr>
          <w:spacing w:val="80"/>
        </w:rPr>
        <w:t>   </w:t>
      </w:r>
      <w:r>
        <w:rPr/>
        <w:t>4</w:t>
      </w:r>
    </w:p>
    <w:p>
      <w:pPr>
        <w:spacing w:after="0" w:line="480" w:lineRule="auto"/>
        <w:jc w:val="both"/>
        <w:sectPr>
          <w:headerReference w:type="default" r:id="rId241"/>
          <w:footerReference w:type="default" r:id="rId242"/>
          <w:pgSz w:w="12240" w:h="15840"/>
          <w:pgMar w:header="722" w:footer="791" w:top="1340" w:bottom="980" w:left="1340" w:right="1320"/>
          <w:pgNumType w:start="129"/>
        </w:sectPr>
      </w:pPr>
    </w:p>
    <w:p>
      <w:pPr>
        <w:pStyle w:val="BodyText"/>
        <w:spacing w:before="10"/>
        <w:rPr>
          <w:sz w:val="7"/>
        </w:rPr>
      </w:pPr>
    </w:p>
    <w:tbl>
      <w:tblPr>
        <w:tblW w:w="0" w:type="auto"/>
        <w:jc w:val="left"/>
        <w:tblInd w:w="14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66"/>
        <w:gridCol w:w="527"/>
      </w:tblGrid>
      <w:tr>
        <w:trPr>
          <w:trHeight w:val="410" w:hRule="atLeast"/>
        </w:trPr>
        <w:tc>
          <w:tcPr>
            <w:tcW w:w="1866" w:type="dxa"/>
          </w:tcPr>
          <w:p>
            <w:pPr>
              <w:pStyle w:val="TableParagraph"/>
              <w:spacing w:line="268" w:lineRule="exact"/>
              <w:ind w:left="50"/>
              <w:rPr>
                <w:sz w:val="24"/>
              </w:rPr>
            </w:pPr>
            <w:r>
              <w:rPr>
                <w:spacing w:val="-2"/>
                <w:sz w:val="24"/>
              </w:rPr>
              <w:t>Adequate</w:t>
            </w:r>
          </w:p>
        </w:tc>
        <w:tc>
          <w:tcPr>
            <w:tcW w:w="527" w:type="dxa"/>
          </w:tcPr>
          <w:p>
            <w:pPr>
              <w:pStyle w:val="TableParagraph"/>
              <w:spacing w:line="268" w:lineRule="exact"/>
              <w:ind w:right="47"/>
              <w:jc w:val="right"/>
              <w:rPr>
                <w:sz w:val="24"/>
              </w:rPr>
            </w:pPr>
            <w:r>
              <w:rPr>
                <w:spacing w:val="-10"/>
                <w:sz w:val="24"/>
              </w:rPr>
              <w:t>3</w:t>
            </w:r>
          </w:p>
        </w:tc>
      </w:tr>
      <w:tr>
        <w:trPr>
          <w:trHeight w:val="552" w:hRule="atLeast"/>
        </w:trPr>
        <w:tc>
          <w:tcPr>
            <w:tcW w:w="1866" w:type="dxa"/>
          </w:tcPr>
          <w:p>
            <w:pPr>
              <w:pStyle w:val="TableParagraph"/>
              <w:spacing w:before="134"/>
              <w:ind w:left="50"/>
              <w:rPr>
                <w:sz w:val="24"/>
              </w:rPr>
            </w:pPr>
            <w:r>
              <w:rPr>
                <w:sz w:val="24"/>
              </w:rPr>
              <w:t>Not</w:t>
            </w:r>
            <w:r>
              <w:rPr>
                <w:spacing w:val="-4"/>
                <w:sz w:val="24"/>
              </w:rPr>
              <w:t> </w:t>
            </w:r>
            <w:r>
              <w:rPr>
                <w:spacing w:val="-2"/>
                <w:sz w:val="24"/>
              </w:rPr>
              <w:t>Adequate</w:t>
            </w:r>
          </w:p>
        </w:tc>
        <w:tc>
          <w:tcPr>
            <w:tcW w:w="527" w:type="dxa"/>
          </w:tcPr>
          <w:p>
            <w:pPr>
              <w:pStyle w:val="TableParagraph"/>
              <w:spacing w:before="134"/>
              <w:ind w:right="47"/>
              <w:jc w:val="right"/>
              <w:rPr>
                <w:sz w:val="24"/>
              </w:rPr>
            </w:pPr>
            <w:r>
              <w:rPr>
                <w:spacing w:val="-10"/>
                <w:sz w:val="24"/>
              </w:rPr>
              <w:t>2</w:t>
            </w:r>
          </w:p>
        </w:tc>
      </w:tr>
      <w:tr>
        <w:trPr>
          <w:trHeight w:val="410" w:hRule="atLeast"/>
        </w:trPr>
        <w:tc>
          <w:tcPr>
            <w:tcW w:w="1866" w:type="dxa"/>
          </w:tcPr>
          <w:p>
            <w:pPr>
              <w:pStyle w:val="TableParagraph"/>
              <w:spacing w:line="256" w:lineRule="exact" w:before="134"/>
              <w:ind w:left="50"/>
              <w:rPr>
                <w:sz w:val="24"/>
              </w:rPr>
            </w:pPr>
            <w:r>
              <w:rPr>
                <w:sz w:val="24"/>
              </w:rPr>
              <w:t>Not</w:t>
            </w:r>
            <w:r>
              <w:rPr>
                <w:spacing w:val="-4"/>
                <w:sz w:val="24"/>
              </w:rPr>
              <w:t> </w:t>
            </w:r>
            <w:r>
              <w:rPr>
                <w:spacing w:val="-2"/>
                <w:sz w:val="24"/>
              </w:rPr>
              <w:t>provided</w:t>
            </w:r>
          </w:p>
        </w:tc>
        <w:tc>
          <w:tcPr>
            <w:tcW w:w="527" w:type="dxa"/>
          </w:tcPr>
          <w:p>
            <w:pPr>
              <w:pStyle w:val="TableParagraph"/>
              <w:spacing w:line="256" w:lineRule="exact" w:before="134"/>
              <w:ind w:right="47"/>
              <w:jc w:val="right"/>
              <w:rPr>
                <w:sz w:val="24"/>
              </w:rPr>
            </w:pPr>
            <w:r>
              <w:rPr>
                <w:spacing w:val="-10"/>
                <w:sz w:val="24"/>
              </w:rPr>
              <w:t>1</w:t>
            </w:r>
          </w:p>
        </w:tc>
      </w:tr>
    </w:tbl>
    <w:p>
      <w:pPr>
        <w:pStyle w:val="BodyText"/>
      </w:pPr>
    </w:p>
    <w:p>
      <w:pPr>
        <w:pStyle w:val="BodyText"/>
        <w:ind w:left="1540"/>
      </w:pPr>
      <w:r>
        <w:rPr/>
        <w:t>And</w:t>
      </w:r>
      <w:r>
        <w:rPr>
          <w:spacing w:val="-3"/>
        </w:rPr>
        <w:t> </w:t>
      </w:r>
      <w:r>
        <w:rPr/>
        <w:t>5</w:t>
      </w:r>
      <w:r>
        <w:rPr>
          <w:spacing w:val="-3"/>
        </w:rPr>
        <w:t> </w:t>
      </w:r>
      <w:r>
        <w:rPr/>
        <w:t>point</w:t>
      </w:r>
      <w:r>
        <w:rPr>
          <w:spacing w:val="-3"/>
        </w:rPr>
        <w:t> </w:t>
      </w:r>
      <w:r>
        <w:rPr/>
        <w:t>scale</w:t>
      </w:r>
      <w:r>
        <w:rPr>
          <w:spacing w:val="-7"/>
        </w:rPr>
        <w:t> </w:t>
      </w:r>
      <w:r>
        <w:rPr/>
        <w:t>for</w:t>
      </w:r>
      <w:r>
        <w:rPr>
          <w:spacing w:val="-6"/>
        </w:rPr>
        <w:t> </w:t>
      </w:r>
      <w:r>
        <w:rPr/>
        <w:t>parts</w:t>
      </w:r>
      <w:r>
        <w:rPr>
          <w:spacing w:val="-3"/>
        </w:rPr>
        <w:t> </w:t>
      </w:r>
      <w:r>
        <w:rPr/>
        <w:t>III</w:t>
      </w:r>
      <w:r>
        <w:rPr>
          <w:spacing w:val="-4"/>
        </w:rPr>
        <w:t> </w:t>
      </w:r>
      <w:r>
        <w:rPr/>
        <w:t>&amp;</w:t>
      </w:r>
      <w:r>
        <w:rPr>
          <w:spacing w:val="-5"/>
        </w:rPr>
        <w:t> </w:t>
      </w:r>
      <w:r>
        <w:rPr/>
        <w:t>IV</w:t>
      </w:r>
      <w:r>
        <w:rPr>
          <w:spacing w:val="-4"/>
        </w:rPr>
        <w:t> </w:t>
      </w:r>
      <w:r>
        <w:rPr/>
        <w:t>rated</w:t>
      </w:r>
      <w:r>
        <w:rPr>
          <w:spacing w:val="-6"/>
        </w:rPr>
        <w:t> </w:t>
      </w:r>
      <w:r>
        <w:rPr>
          <w:spacing w:val="-5"/>
        </w:rPr>
        <w:t>as:</w:t>
      </w:r>
    </w:p>
    <w:p>
      <w:pPr>
        <w:pStyle w:val="BodyText"/>
        <w:spacing w:before="54"/>
        <w:rPr>
          <w:sz w:val="20"/>
        </w:rPr>
      </w:pPr>
    </w:p>
    <w:tbl>
      <w:tblPr>
        <w:tblW w:w="0" w:type="auto"/>
        <w:jc w:val="left"/>
        <w:tblInd w:w="14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65"/>
        <w:gridCol w:w="328"/>
      </w:tblGrid>
      <w:tr>
        <w:trPr>
          <w:trHeight w:val="410" w:hRule="atLeast"/>
        </w:trPr>
        <w:tc>
          <w:tcPr>
            <w:tcW w:w="2065" w:type="dxa"/>
          </w:tcPr>
          <w:p>
            <w:pPr>
              <w:pStyle w:val="TableParagraph"/>
              <w:spacing w:line="268" w:lineRule="exact"/>
              <w:ind w:left="50"/>
              <w:rPr>
                <w:sz w:val="24"/>
              </w:rPr>
            </w:pPr>
            <w:r>
              <w:rPr>
                <w:sz w:val="24"/>
              </w:rPr>
              <w:t>Strongly</w:t>
            </w:r>
            <w:r>
              <w:rPr>
                <w:spacing w:val="-8"/>
                <w:sz w:val="24"/>
              </w:rPr>
              <w:t> </w:t>
            </w:r>
            <w:r>
              <w:rPr>
                <w:spacing w:val="-2"/>
                <w:sz w:val="24"/>
              </w:rPr>
              <w:t>Agree</w:t>
            </w:r>
          </w:p>
        </w:tc>
        <w:tc>
          <w:tcPr>
            <w:tcW w:w="328" w:type="dxa"/>
          </w:tcPr>
          <w:p>
            <w:pPr>
              <w:pStyle w:val="TableParagraph"/>
              <w:spacing w:line="268" w:lineRule="exact"/>
              <w:ind w:right="47"/>
              <w:jc w:val="right"/>
              <w:rPr>
                <w:sz w:val="24"/>
              </w:rPr>
            </w:pPr>
            <w:r>
              <w:rPr>
                <w:spacing w:val="-10"/>
                <w:sz w:val="24"/>
              </w:rPr>
              <w:t>4</w:t>
            </w:r>
          </w:p>
        </w:tc>
      </w:tr>
      <w:tr>
        <w:trPr>
          <w:trHeight w:val="551" w:hRule="atLeast"/>
        </w:trPr>
        <w:tc>
          <w:tcPr>
            <w:tcW w:w="2065" w:type="dxa"/>
          </w:tcPr>
          <w:p>
            <w:pPr>
              <w:pStyle w:val="TableParagraph"/>
              <w:spacing w:before="134"/>
              <w:ind w:left="50"/>
              <w:rPr>
                <w:sz w:val="24"/>
              </w:rPr>
            </w:pPr>
            <w:r>
              <w:rPr>
                <w:spacing w:val="-2"/>
                <w:sz w:val="24"/>
              </w:rPr>
              <w:t>Agree</w:t>
            </w:r>
          </w:p>
        </w:tc>
        <w:tc>
          <w:tcPr>
            <w:tcW w:w="328" w:type="dxa"/>
          </w:tcPr>
          <w:p>
            <w:pPr>
              <w:pStyle w:val="TableParagraph"/>
              <w:spacing w:before="134"/>
              <w:ind w:right="47"/>
              <w:jc w:val="right"/>
              <w:rPr>
                <w:sz w:val="24"/>
              </w:rPr>
            </w:pPr>
            <w:r>
              <w:rPr>
                <w:spacing w:val="-10"/>
                <w:sz w:val="24"/>
              </w:rPr>
              <w:t>3</w:t>
            </w:r>
          </w:p>
        </w:tc>
      </w:tr>
      <w:tr>
        <w:trPr>
          <w:trHeight w:val="552" w:hRule="atLeast"/>
        </w:trPr>
        <w:tc>
          <w:tcPr>
            <w:tcW w:w="2065" w:type="dxa"/>
          </w:tcPr>
          <w:p>
            <w:pPr>
              <w:pStyle w:val="TableParagraph"/>
              <w:spacing w:before="134"/>
              <w:ind w:left="50"/>
              <w:rPr>
                <w:sz w:val="24"/>
              </w:rPr>
            </w:pPr>
            <w:r>
              <w:rPr>
                <w:spacing w:val="-2"/>
                <w:sz w:val="24"/>
              </w:rPr>
              <w:t>Undecided</w:t>
            </w:r>
          </w:p>
        </w:tc>
        <w:tc>
          <w:tcPr>
            <w:tcW w:w="328" w:type="dxa"/>
          </w:tcPr>
          <w:p>
            <w:pPr>
              <w:pStyle w:val="TableParagraph"/>
              <w:spacing w:before="134"/>
              <w:ind w:right="47"/>
              <w:jc w:val="right"/>
              <w:rPr>
                <w:sz w:val="24"/>
              </w:rPr>
            </w:pPr>
            <w:r>
              <w:rPr>
                <w:spacing w:val="-10"/>
                <w:sz w:val="24"/>
              </w:rPr>
              <w:t>3</w:t>
            </w:r>
          </w:p>
        </w:tc>
      </w:tr>
      <w:tr>
        <w:trPr>
          <w:trHeight w:val="551" w:hRule="atLeast"/>
        </w:trPr>
        <w:tc>
          <w:tcPr>
            <w:tcW w:w="2065" w:type="dxa"/>
          </w:tcPr>
          <w:p>
            <w:pPr>
              <w:pStyle w:val="TableParagraph"/>
              <w:spacing w:before="134"/>
              <w:ind w:left="50"/>
              <w:rPr>
                <w:sz w:val="24"/>
              </w:rPr>
            </w:pPr>
            <w:r>
              <w:rPr>
                <w:spacing w:val="-2"/>
                <w:sz w:val="24"/>
              </w:rPr>
              <w:t>Disagree</w:t>
            </w:r>
          </w:p>
        </w:tc>
        <w:tc>
          <w:tcPr>
            <w:tcW w:w="328" w:type="dxa"/>
          </w:tcPr>
          <w:p>
            <w:pPr>
              <w:pStyle w:val="TableParagraph"/>
              <w:spacing w:before="134"/>
              <w:ind w:right="47"/>
              <w:jc w:val="right"/>
              <w:rPr>
                <w:sz w:val="24"/>
              </w:rPr>
            </w:pPr>
            <w:r>
              <w:rPr>
                <w:spacing w:val="-10"/>
                <w:sz w:val="24"/>
              </w:rPr>
              <w:t>2</w:t>
            </w:r>
          </w:p>
        </w:tc>
      </w:tr>
      <w:tr>
        <w:trPr>
          <w:trHeight w:val="410" w:hRule="atLeast"/>
        </w:trPr>
        <w:tc>
          <w:tcPr>
            <w:tcW w:w="2065" w:type="dxa"/>
          </w:tcPr>
          <w:p>
            <w:pPr>
              <w:pStyle w:val="TableParagraph"/>
              <w:spacing w:line="256" w:lineRule="exact" w:before="134"/>
              <w:ind w:left="50"/>
              <w:rPr>
                <w:sz w:val="24"/>
              </w:rPr>
            </w:pPr>
            <w:r>
              <w:rPr>
                <w:sz w:val="24"/>
              </w:rPr>
              <w:t>Strongly</w:t>
            </w:r>
            <w:r>
              <w:rPr>
                <w:spacing w:val="-8"/>
                <w:sz w:val="24"/>
              </w:rPr>
              <w:t> </w:t>
            </w:r>
            <w:r>
              <w:rPr>
                <w:spacing w:val="-2"/>
                <w:sz w:val="24"/>
              </w:rPr>
              <w:t>disagree</w:t>
            </w:r>
          </w:p>
        </w:tc>
        <w:tc>
          <w:tcPr>
            <w:tcW w:w="328" w:type="dxa"/>
          </w:tcPr>
          <w:p>
            <w:pPr>
              <w:pStyle w:val="TableParagraph"/>
              <w:spacing w:line="256" w:lineRule="exact" w:before="134"/>
              <w:ind w:right="47"/>
              <w:jc w:val="right"/>
              <w:rPr>
                <w:sz w:val="24"/>
              </w:rPr>
            </w:pPr>
            <w:r>
              <w:rPr>
                <w:spacing w:val="-10"/>
                <w:sz w:val="24"/>
              </w:rPr>
              <w:t>1</w:t>
            </w:r>
          </w:p>
        </w:tc>
      </w:tr>
    </w:tbl>
    <w:p>
      <w:pPr>
        <w:pStyle w:val="Heading2"/>
        <w:numPr>
          <w:ilvl w:val="1"/>
          <w:numId w:val="33"/>
        </w:numPr>
        <w:tabs>
          <w:tab w:pos="819" w:val="left" w:leader="none"/>
        </w:tabs>
        <w:spacing w:line="240" w:lineRule="auto" w:before="274" w:after="0"/>
        <w:ind w:left="819" w:right="0" w:hanging="719"/>
        <w:jc w:val="left"/>
        <w:rPr>
          <w:rFonts w:ascii="Arial MT"/>
          <w:b w:val="0"/>
        </w:rPr>
      </w:pPr>
      <w:bookmarkStart w:name="_TOC_250019" w:id="49"/>
      <w:r>
        <w:rPr/>
        <w:t>Validation</w:t>
      </w:r>
      <w:r>
        <w:rPr>
          <w:spacing w:val="-8"/>
        </w:rPr>
        <w:t> </w:t>
      </w:r>
      <w:r>
        <w:rPr/>
        <w:t>and</w:t>
      </w:r>
      <w:r>
        <w:rPr>
          <w:spacing w:val="-7"/>
        </w:rPr>
        <w:t> </w:t>
      </w:r>
      <w:r>
        <w:rPr/>
        <w:t>reliability</w:t>
      </w:r>
      <w:r>
        <w:rPr>
          <w:spacing w:val="-6"/>
        </w:rPr>
        <w:t> </w:t>
      </w:r>
      <w:r>
        <w:rPr/>
        <w:t>of</w:t>
      </w:r>
      <w:r>
        <w:rPr>
          <w:spacing w:val="-3"/>
        </w:rPr>
        <w:t> </w:t>
      </w:r>
      <w:bookmarkEnd w:id="49"/>
      <w:r>
        <w:rPr>
          <w:spacing w:val="-2"/>
        </w:rPr>
        <w:t>Instrument</w:t>
      </w:r>
    </w:p>
    <w:p>
      <w:pPr>
        <w:pStyle w:val="BodyText"/>
        <w:spacing w:before="3"/>
        <w:rPr>
          <w:rFonts w:ascii="Arial"/>
          <w:b/>
          <w:sz w:val="28"/>
        </w:rPr>
      </w:pPr>
    </w:p>
    <w:p>
      <w:pPr>
        <w:pStyle w:val="BodyText"/>
        <w:spacing w:line="480" w:lineRule="auto"/>
        <w:ind w:left="820" w:right="115" w:firstLine="720"/>
        <w:jc w:val="both"/>
      </w:pPr>
      <w:r>
        <w:rPr/>
        <w:t>The method of instrumental validity has been recommended by Kerlinger (1973:457) and Gray (1976:88) that the contents of instrument should be subjected to experts’ vetting so as to make it valid and reliable. Also Fox (1969:370) argues that the content validity is best done when experts are requested to critically examine the draft of the instrument so that corrections, adjustments, modifications and amendments can be made for valid and reliable instrument before it is used.</w:t>
      </w:r>
    </w:p>
    <w:p>
      <w:pPr>
        <w:pStyle w:val="BodyText"/>
        <w:spacing w:line="480" w:lineRule="auto"/>
        <w:ind w:left="820" w:right="116" w:firstLine="720"/>
        <w:jc w:val="both"/>
      </w:pPr>
      <w:r>
        <w:rPr/>
        <w:t>Based on these opinions and recommendations, the instruments for this study were given</w:t>
      </w:r>
      <w:r>
        <w:rPr>
          <w:spacing w:val="-2"/>
        </w:rPr>
        <w:t> </w:t>
      </w:r>
      <w:r>
        <w:rPr/>
        <w:t>to experts for critical examination and necessary corrections. In addition, the instrument was subjected to Pilot study.</w:t>
      </w:r>
    </w:p>
    <w:p>
      <w:pPr>
        <w:spacing w:after="0" w:line="480" w:lineRule="auto"/>
        <w:jc w:val="both"/>
        <w:sectPr>
          <w:headerReference w:type="default" r:id="rId243"/>
          <w:footerReference w:type="default" r:id="rId244"/>
          <w:pgSz w:w="12240" w:h="15840"/>
          <w:pgMar w:header="722" w:footer="791" w:top="1340" w:bottom="980" w:left="1340" w:right="1320"/>
        </w:sectPr>
      </w:pPr>
    </w:p>
    <w:p>
      <w:pPr>
        <w:pStyle w:val="Heading2"/>
        <w:numPr>
          <w:ilvl w:val="1"/>
          <w:numId w:val="33"/>
        </w:numPr>
        <w:tabs>
          <w:tab w:pos="819" w:val="left" w:leader="none"/>
        </w:tabs>
        <w:spacing w:line="240" w:lineRule="auto" w:before="79" w:after="0"/>
        <w:ind w:left="819" w:right="0" w:hanging="719"/>
        <w:jc w:val="left"/>
        <w:rPr>
          <w:rFonts w:ascii="Arial MT"/>
          <w:b w:val="0"/>
        </w:rPr>
      </w:pPr>
      <w:bookmarkStart w:name="_TOC_250018" w:id="50"/>
      <w:r>
        <w:rPr/>
        <w:t>Pilot</w:t>
      </w:r>
      <w:r>
        <w:rPr>
          <w:spacing w:val="-8"/>
        </w:rPr>
        <w:t> </w:t>
      </w:r>
      <w:bookmarkEnd w:id="50"/>
      <w:r>
        <w:rPr>
          <w:spacing w:val="-2"/>
        </w:rPr>
        <w:t>Study</w:t>
      </w:r>
    </w:p>
    <w:p>
      <w:pPr>
        <w:pStyle w:val="BodyText"/>
        <w:spacing w:before="3"/>
        <w:rPr>
          <w:rFonts w:ascii="Arial"/>
          <w:b/>
          <w:sz w:val="28"/>
        </w:rPr>
      </w:pPr>
    </w:p>
    <w:p>
      <w:pPr>
        <w:pStyle w:val="BodyText"/>
        <w:spacing w:line="480" w:lineRule="auto"/>
        <w:ind w:left="820" w:right="116" w:firstLine="720"/>
        <w:jc w:val="both"/>
      </w:pPr>
      <w:r>
        <w:rPr/>
        <w:t>A Pilot study was conducted for 25 Bachelor of Education (B.Ed) students and five service staff and Provost of the Federal College of Education (FCE)</w:t>
      </w:r>
      <w:r>
        <w:rPr>
          <w:spacing w:val="40"/>
        </w:rPr>
        <w:t> </w:t>
      </w:r>
      <w:r>
        <w:rPr/>
        <w:t>Zaria affiliated to ABU Zaria. The purpose of the pilot study was to practically:</w:t>
      </w:r>
    </w:p>
    <w:p>
      <w:pPr>
        <w:pStyle w:val="ListParagraph"/>
        <w:numPr>
          <w:ilvl w:val="0"/>
          <w:numId w:val="38"/>
        </w:numPr>
        <w:tabs>
          <w:tab w:pos="2260" w:val="left" w:leader="none"/>
        </w:tabs>
        <w:spacing w:line="480" w:lineRule="auto" w:before="0" w:after="0"/>
        <w:ind w:left="2260" w:right="121" w:hanging="720"/>
        <w:jc w:val="both"/>
        <w:rPr>
          <w:sz w:val="24"/>
        </w:rPr>
      </w:pPr>
      <w:r>
        <w:rPr>
          <w:sz w:val="24"/>
        </w:rPr>
        <w:t>validate</w:t>
      </w:r>
      <w:r>
        <w:rPr>
          <w:spacing w:val="-3"/>
          <w:sz w:val="24"/>
        </w:rPr>
        <w:t> </w:t>
      </w:r>
      <w:r>
        <w:rPr>
          <w:sz w:val="24"/>
        </w:rPr>
        <w:t>the</w:t>
      </w:r>
      <w:r>
        <w:rPr>
          <w:spacing w:val="-7"/>
          <w:sz w:val="24"/>
        </w:rPr>
        <w:t> </w:t>
      </w:r>
      <w:r>
        <w:rPr>
          <w:sz w:val="24"/>
        </w:rPr>
        <w:t>instrument</w:t>
      </w:r>
      <w:r>
        <w:rPr>
          <w:spacing w:val="-4"/>
          <w:sz w:val="24"/>
        </w:rPr>
        <w:t> </w:t>
      </w:r>
      <w:r>
        <w:rPr>
          <w:sz w:val="24"/>
        </w:rPr>
        <w:t>especially</w:t>
      </w:r>
      <w:r>
        <w:rPr>
          <w:spacing w:val="-4"/>
          <w:sz w:val="24"/>
        </w:rPr>
        <w:t> </w:t>
      </w:r>
      <w:r>
        <w:rPr>
          <w:sz w:val="24"/>
        </w:rPr>
        <w:t>the</w:t>
      </w:r>
      <w:r>
        <w:rPr>
          <w:spacing w:val="-3"/>
          <w:sz w:val="24"/>
        </w:rPr>
        <w:t> </w:t>
      </w:r>
      <w:r>
        <w:rPr>
          <w:sz w:val="24"/>
        </w:rPr>
        <w:t>suitability</w:t>
      </w:r>
      <w:r>
        <w:rPr>
          <w:spacing w:val="-4"/>
          <w:sz w:val="24"/>
        </w:rPr>
        <w:t> </w:t>
      </w:r>
      <w:r>
        <w:rPr>
          <w:sz w:val="24"/>
        </w:rPr>
        <w:t>of</w:t>
      </w:r>
      <w:r>
        <w:rPr>
          <w:spacing w:val="-4"/>
          <w:sz w:val="24"/>
        </w:rPr>
        <w:t> </w:t>
      </w:r>
      <w:r>
        <w:rPr>
          <w:sz w:val="24"/>
        </w:rPr>
        <w:t>the</w:t>
      </w:r>
      <w:r>
        <w:rPr>
          <w:spacing w:val="-3"/>
          <w:sz w:val="24"/>
        </w:rPr>
        <w:t> </w:t>
      </w:r>
      <w:r>
        <w:rPr>
          <w:sz w:val="24"/>
        </w:rPr>
        <w:t>instrument</w:t>
      </w:r>
      <w:r>
        <w:rPr>
          <w:spacing w:val="-4"/>
          <w:sz w:val="24"/>
        </w:rPr>
        <w:t> </w:t>
      </w:r>
      <w:r>
        <w:rPr>
          <w:sz w:val="24"/>
        </w:rPr>
        <w:t>for both students, as the recipients of the welfare service and the service and top management staff.</w:t>
      </w:r>
    </w:p>
    <w:p>
      <w:pPr>
        <w:pStyle w:val="ListParagraph"/>
        <w:numPr>
          <w:ilvl w:val="0"/>
          <w:numId w:val="38"/>
        </w:numPr>
        <w:tabs>
          <w:tab w:pos="2260" w:val="left" w:leader="none"/>
        </w:tabs>
        <w:spacing w:line="480" w:lineRule="auto" w:before="1" w:after="0"/>
        <w:ind w:left="2260" w:right="114" w:hanging="720"/>
        <w:jc w:val="both"/>
        <w:rPr>
          <w:sz w:val="24"/>
        </w:rPr>
      </w:pPr>
      <w:r>
        <w:rPr>
          <w:sz w:val="24"/>
        </w:rPr>
        <w:t>to acquaint the researcher with the procedure involved in the administration, collection and analysis of data.</w:t>
      </w:r>
    </w:p>
    <w:p>
      <w:pPr>
        <w:pStyle w:val="ListParagraph"/>
        <w:numPr>
          <w:ilvl w:val="0"/>
          <w:numId w:val="38"/>
        </w:numPr>
        <w:tabs>
          <w:tab w:pos="2260" w:val="left" w:leader="none"/>
        </w:tabs>
        <w:spacing w:line="480" w:lineRule="auto" w:before="0" w:after="0"/>
        <w:ind w:left="2260" w:right="116" w:hanging="720"/>
        <w:jc w:val="both"/>
        <w:rPr>
          <w:sz w:val="24"/>
        </w:rPr>
      </w:pPr>
      <w:r>
        <w:rPr>
          <w:sz w:val="24"/>
        </w:rPr>
        <w:t>to determine the reliability, adequacy, consistency in the questions and opinions of the subjects.</w:t>
      </w:r>
    </w:p>
    <w:p>
      <w:pPr>
        <w:pStyle w:val="BodyText"/>
        <w:spacing w:line="480" w:lineRule="auto"/>
        <w:ind w:left="820" w:right="115" w:firstLine="720"/>
        <w:jc w:val="both"/>
      </w:pPr>
      <w:r>
        <w:rPr/>
        <w:t>The result of</w:t>
      </w:r>
      <w:r>
        <w:rPr>
          <w:spacing w:val="-2"/>
        </w:rPr>
        <w:t> </w:t>
      </w:r>
      <w:r>
        <w:rPr/>
        <w:t>the Pilot study</w:t>
      </w:r>
      <w:r>
        <w:rPr>
          <w:spacing w:val="-2"/>
        </w:rPr>
        <w:t> </w:t>
      </w:r>
      <w:r>
        <w:rPr/>
        <w:t>indicated that</w:t>
      </w:r>
      <w:r>
        <w:rPr>
          <w:spacing w:val="-1"/>
        </w:rPr>
        <w:t> </w:t>
      </w:r>
      <w:r>
        <w:rPr/>
        <w:t>the</w:t>
      </w:r>
      <w:r>
        <w:rPr>
          <w:spacing w:val="-1"/>
        </w:rPr>
        <w:t> </w:t>
      </w:r>
      <w:r>
        <w:rPr/>
        <w:t>use of ANOVA slated to</w:t>
      </w:r>
      <w:r>
        <w:rPr>
          <w:spacing w:val="-1"/>
        </w:rPr>
        <w:t> </w:t>
      </w:r>
      <w:r>
        <w:rPr/>
        <w:t>test the Null hypotheses was suitable for comparing the scores in the opinions of the three groups of respondents for testing all the Null Hypotheses. The instruments were subjected to item analysis test via difficulty index. Here each item was scored over 4 or 5 points using Likert Summated Scale technique and the</w:t>
      </w:r>
      <w:r>
        <w:rPr>
          <w:spacing w:val="40"/>
        </w:rPr>
        <w:t> </w:t>
      </w:r>
      <w:r>
        <w:rPr/>
        <w:t>number of respondents who scored at least 3 out of 4 or 5 was a proportion of</w:t>
      </w:r>
      <w:r>
        <w:rPr>
          <w:spacing w:val="40"/>
        </w:rPr>
        <w:t> </w:t>
      </w:r>
      <w:r>
        <w:rPr/>
        <w:t>the overall respondents to get the item validity.</w:t>
      </w:r>
    </w:p>
    <w:p>
      <w:pPr>
        <w:pStyle w:val="BodyText"/>
        <w:spacing w:line="480" w:lineRule="auto"/>
        <w:ind w:left="820" w:right="114" w:firstLine="720"/>
        <w:jc w:val="both"/>
      </w:pPr>
      <w:r>
        <w:rPr/>
        <w:t>Items which scored below 30% were either discarded or readjusted. The final result however showed very high reliability co-efficient of 0.08. The instrument was therefore considered reliable and very safe for the use of the </w:t>
      </w:r>
      <w:r>
        <w:rPr>
          <w:spacing w:val="-2"/>
        </w:rPr>
        <w:t>study.</w:t>
      </w:r>
    </w:p>
    <w:p>
      <w:pPr>
        <w:spacing w:after="0" w:line="480" w:lineRule="auto"/>
        <w:jc w:val="both"/>
        <w:sectPr>
          <w:headerReference w:type="default" r:id="rId245"/>
          <w:footerReference w:type="default" r:id="rId246"/>
          <w:pgSz w:w="12240" w:h="15840"/>
          <w:pgMar w:header="722" w:footer="791" w:top="1340" w:bottom="980" w:left="1340" w:right="1320"/>
        </w:sectPr>
      </w:pPr>
    </w:p>
    <w:p>
      <w:pPr>
        <w:pStyle w:val="Heading2"/>
        <w:numPr>
          <w:ilvl w:val="1"/>
          <w:numId w:val="33"/>
        </w:numPr>
        <w:tabs>
          <w:tab w:pos="819" w:val="left" w:leader="none"/>
        </w:tabs>
        <w:spacing w:line="240" w:lineRule="auto" w:before="79" w:after="0"/>
        <w:ind w:left="819" w:right="0" w:hanging="719"/>
        <w:jc w:val="left"/>
        <w:rPr>
          <w:rFonts w:ascii="Arial MT"/>
          <w:b w:val="0"/>
        </w:rPr>
      </w:pPr>
      <w:bookmarkStart w:name="_TOC_250017" w:id="51"/>
      <w:r>
        <w:rPr/>
        <w:t>Administration</w:t>
      </w:r>
      <w:r>
        <w:rPr>
          <w:spacing w:val="-11"/>
        </w:rPr>
        <w:t> </w:t>
      </w:r>
      <w:r>
        <w:rPr/>
        <w:t>of</w:t>
      </w:r>
      <w:r>
        <w:rPr>
          <w:spacing w:val="-9"/>
        </w:rPr>
        <w:t> </w:t>
      </w:r>
      <w:bookmarkEnd w:id="51"/>
      <w:r>
        <w:rPr>
          <w:spacing w:val="-2"/>
        </w:rPr>
        <w:t>Instrument</w:t>
      </w:r>
    </w:p>
    <w:p>
      <w:pPr>
        <w:pStyle w:val="BodyText"/>
        <w:spacing w:before="3"/>
        <w:rPr>
          <w:rFonts w:ascii="Arial"/>
          <w:b/>
          <w:sz w:val="28"/>
        </w:rPr>
      </w:pPr>
    </w:p>
    <w:p>
      <w:pPr>
        <w:pStyle w:val="BodyText"/>
        <w:spacing w:line="480" w:lineRule="auto"/>
        <w:ind w:left="820" w:right="117" w:firstLine="720"/>
        <w:jc w:val="both"/>
      </w:pPr>
      <w:r>
        <w:rPr/>
        <w:t>The questionnaires were distributed personally with the assistance of the Deans of Faculties or Heads of Departments and Units concerned. The administration of questionnaire was carried out at alternative or separate days and time.</w:t>
      </w:r>
    </w:p>
    <w:p>
      <w:pPr>
        <w:pStyle w:val="Heading2"/>
        <w:numPr>
          <w:ilvl w:val="1"/>
          <w:numId w:val="33"/>
        </w:numPr>
        <w:tabs>
          <w:tab w:pos="819" w:val="left" w:leader="none"/>
        </w:tabs>
        <w:spacing w:line="318" w:lineRule="exact" w:before="0" w:after="0"/>
        <w:ind w:left="819" w:right="0" w:hanging="719"/>
        <w:jc w:val="left"/>
        <w:rPr>
          <w:rFonts w:ascii="Arial MT"/>
          <w:b w:val="0"/>
        </w:rPr>
      </w:pPr>
      <w:bookmarkStart w:name="_TOC_250016" w:id="52"/>
      <w:r>
        <w:rPr/>
        <w:t>Method</w:t>
      </w:r>
      <w:r>
        <w:rPr>
          <w:spacing w:val="-4"/>
        </w:rPr>
        <w:t> </w:t>
      </w:r>
      <w:r>
        <w:rPr/>
        <w:t>of</w:t>
      </w:r>
      <w:r>
        <w:rPr>
          <w:spacing w:val="-7"/>
        </w:rPr>
        <w:t> </w:t>
      </w:r>
      <w:r>
        <w:rPr/>
        <w:t>Data</w:t>
      </w:r>
      <w:r>
        <w:rPr>
          <w:spacing w:val="-3"/>
        </w:rPr>
        <w:t> </w:t>
      </w:r>
      <w:bookmarkEnd w:id="52"/>
      <w:r>
        <w:rPr>
          <w:spacing w:val="-2"/>
        </w:rPr>
        <w:t>Analysis</w:t>
      </w:r>
    </w:p>
    <w:p>
      <w:pPr>
        <w:pStyle w:val="BodyText"/>
        <w:spacing w:before="3"/>
        <w:rPr>
          <w:rFonts w:ascii="Arial"/>
          <w:b/>
          <w:sz w:val="28"/>
        </w:rPr>
      </w:pPr>
    </w:p>
    <w:p>
      <w:pPr>
        <w:pStyle w:val="BodyText"/>
        <w:spacing w:line="480" w:lineRule="auto"/>
        <w:ind w:left="820" w:right="117" w:firstLine="720"/>
        <w:jc w:val="both"/>
      </w:pPr>
      <w:r>
        <w:rPr/>
        <w:t>The data on management of students’ welfare services from students, of the universities, staff of the welfare service departments and top management in all universities were collected, tabulated, coded, described and analyzed manually and by computer.</w:t>
      </w:r>
    </w:p>
    <w:p>
      <w:pPr>
        <w:pStyle w:val="BodyText"/>
        <w:spacing w:line="480" w:lineRule="auto" w:before="1"/>
        <w:ind w:left="820" w:right="116" w:firstLine="720"/>
        <w:jc w:val="both"/>
      </w:pPr>
      <w:r>
        <w:rPr/>
        <w:t>The One Way Analysis of Variance (ANOVA) was used to test the Null Hypotheses at 0.05 level of significance so as to determine whether or not the responses of the subjects on the variable were related. The choice of ANOVA was appropriate as prominent statisticians like Borg and Gall (1983), Steel and Torrie (1960) are of the view that it is useful for determining whether or not the groups differ significantly among themselves in their opinions</w:t>
      </w:r>
    </w:p>
    <w:p>
      <w:pPr>
        <w:pStyle w:val="BodyText"/>
        <w:spacing w:line="480" w:lineRule="auto"/>
        <w:ind w:left="820" w:right="113" w:firstLine="720"/>
        <w:jc w:val="both"/>
      </w:pPr>
      <w:r>
        <w:rPr/>
        <w:t>Other statistical measurement used to present the data included Scheffe’s test, frequency distribution, mean computations and percentages.</w:t>
      </w:r>
    </w:p>
    <w:p>
      <w:pPr>
        <w:pStyle w:val="Heading2"/>
        <w:spacing w:line="318" w:lineRule="exact"/>
        <w:ind w:left="100"/>
      </w:pPr>
      <w:r>
        <w:rPr>
          <w:rFonts w:ascii="Arial MT"/>
          <w:b w:val="0"/>
        </w:rPr>
        <w:t>3.11.</w:t>
      </w:r>
      <w:r>
        <w:rPr>
          <w:rFonts w:ascii="Arial MT"/>
          <w:b w:val="0"/>
          <w:spacing w:val="16"/>
        </w:rPr>
        <w:t> </w:t>
      </w:r>
      <w:r>
        <w:rPr/>
        <w:t>Rate</w:t>
      </w:r>
      <w:r>
        <w:rPr>
          <w:spacing w:val="-2"/>
        </w:rPr>
        <w:t> </w:t>
      </w:r>
      <w:r>
        <w:rPr/>
        <w:t>of</w:t>
      </w:r>
      <w:r>
        <w:rPr>
          <w:spacing w:val="-7"/>
        </w:rPr>
        <w:t> </w:t>
      </w:r>
      <w:r>
        <w:rPr/>
        <w:t>Return</w:t>
      </w:r>
      <w:r>
        <w:rPr>
          <w:spacing w:val="-2"/>
        </w:rPr>
        <w:t> </w:t>
      </w:r>
      <w:r>
        <w:rPr/>
        <w:t>of</w:t>
      </w:r>
      <w:r>
        <w:rPr>
          <w:spacing w:val="-3"/>
        </w:rPr>
        <w:t> </w:t>
      </w:r>
      <w:r>
        <w:rPr>
          <w:spacing w:val="-2"/>
        </w:rPr>
        <w:t>Questionnaire</w:t>
      </w:r>
    </w:p>
    <w:p>
      <w:pPr>
        <w:pStyle w:val="BodyText"/>
        <w:spacing w:before="3"/>
        <w:rPr>
          <w:rFonts w:ascii="Arial"/>
          <w:b/>
          <w:sz w:val="28"/>
        </w:rPr>
      </w:pPr>
    </w:p>
    <w:p>
      <w:pPr>
        <w:pStyle w:val="BodyText"/>
        <w:spacing w:line="480" w:lineRule="auto"/>
        <w:ind w:left="820" w:right="113" w:firstLine="720"/>
        <w:jc w:val="both"/>
      </w:pPr>
      <w:r>
        <w:rPr/>
        <w:t>Though the detailed presentation and discussion of data will be presented in chapter four, the raw data indicating the rate of return of questionnaire administered and Bio-data of respondents are presented in Table 3.10.1 as </w:t>
      </w:r>
      <w:r>
        <w:rPr>
          <w:spacing w:val="-2"/>
        </w:rPr>
        <w:t>follows:</w:t>
      </w:r>
    </w:p>
    <w:p>
      <w:pPr>
        <w:spacing w:after="0" w:line="480" w:lineRule="auto"/>
        <w:jc w:val="both"/>
        <w:sectPr>
          <w:headerReference w:type="default" r:id="rId247"/>
          <w:footerReference w:type="default" r:id="rId248"/>
          <w:pgSz w:w="12240" w:h="15840"/>
          <w:pgMar w:header="722" w:footer="791" w:top="1340" w:bottom="980" w:left="1340" w:right="1320"/>
        </w:sectPr>
      </w:pPr>
    </w:p>
    <w:p>
      <w:pPr>
        <w:pStyle w:val="BodyText"/>
        <w:spacing w:before="72"/>
        <w:ind w:left="2089" w:right="2163"/>
        <w:jc w:val="center"/>
        <w:rPr>
          <w:rFonts w:ascii="Times New Roman"/>
        </w:rPr>
      </w:pPr>
      <w:r>
        <w:rPr>
          <w:rFonts w:ascii="Times New Roman"/>
          <w:spacing w:val="-5"/>
        </w:rPr>
        <w:t>133</w:t>
      </w:r>
    </w:p>
    <w:p>
      <w:pPr>
        <w:pStyle w:val="BodyText"/>
        <w:spacing w:before="121"/>
        <w:rPr>
          <w:rFonts w:ascii="Times New Roman"/>
          <w:sz w:val="28"/>
        </w:rPr>
      </w:pPr>
    </w:p>
    <w:p>
      <w:pPr>
        <w:pStyle w:val="Heading2"/>
        <w:spacing w:before="1"/>
        <w:ind w:left="840"/>
      </w:pPr>
      <w:r>
        <w:rPr/>
        <w:t>Table</w:t>
      </w:r>
      <w:r>
        <w:rPr>
          <w:spacing w:val="-6"/>
        </w:rPr>
        <w:t> </w:t>
      </w:r>
      <w:r>
        <w:rPr/>
        <w:t>3.10.1:</w:t>
      </w:r>
      <w:r>
        <w:rPr>
          <w:spacing w:val="-6"/>
        </w:rPr>
        <w:t> </w:t>
      </w:r>
      <w:r>
        <w:rPr/>
        <w:t>Showing</w:t>
      </w:r>
      <w:r>
        <w:rPr>
          <w:spacing w:val="-6"/>
        </w:rPr>
        <w:t> </w:t>
      </w:r>
      <w:r>
        <w:rPr/>
        <w:t>the</w:t>
      </w:r>
      <w:r>
        <w:rPr>
          <w:spacing w:val="-11"/>
        </w:rPr>
        <w:t> </w:t>
      </w:r>
      <w:r>
        <w:rPr/>
        <w:t>rate</w:t>
      </w:r>
      <w:r>
        <w:rPr>
          <w:spacing w:val="-5"/>
        </w:rPr>
        <w:t> </w:t>
      </w:r>
      <w:r>
        <w:rPr/>
        <w:t>of</w:t>
      </w:r>
      <w:r>
        <w:rPr>
          <w:spacing w:val="-6"/>
        </w:rPr>
        <w:t> </w:t>
      </w:r>
      <w:r>
        <w:rPr/>
        <w:t>return</w:t>
      </w:r>
      <w:r>
        <w:rPr>
          <w:spacing w:val="-6"/>
        </w:rPr>
        <w:t> </w:t>
      </w:r>
      <w:r>
        <w:rPr/>
        <w:t>of</w:t>
      </w:r>
      <w:r>
        <w:rPr>
          <w:spacing w:val="-7"/>
        </w:rPr>
        <w:t> </w:t>
      </w:r>
      <w:r>
        <w:rPr/>
        <w:t>questionnaire</w:t>
      </w:r>
      <w:r>
        <w:rPr>
          <w:spacing w:val="-6"/>
        </w:rPr>
        <w:t> </w:t>
      </w:r>
      <w:r>
        <w:rPr/>
        <w:t>by</w:t>
      </w:r>
      <w:r>
        <w:rPr>
          <w:spacing w:val="-10"/>
        </w:rPr>
        <w:t> </w:t>
      </w:r>
      <w:r>
        <w:rPr/>
        <w:t>groups</w:t>
      </w:r>
      <w:r>
        <w:rPr>
          <w:spacing w:val="-6"/>
        </w:rPr>
        <w:t> </w:t>
      </w:r>
      <w:r>
        <w:rPr/>
        <w:t>and</w:t>
      </w:r>
      <w:r>
        <w:rPr>
          <w:spacing w:val="-6"/>
        </w:rPr>
        <w:t> </w:t>
      </w:r>
      <w:r>
        <w:rPr/>
        <w:t>by</w:t>
      </w:r>
      <w:r>
        <w:rPr>
          <w:spacing w:val="-10"/>
        </w:rPr>
        <w:t> </w:t>
      </w:r>
      <w:r>
        <w:rPr>
          <w:spacing w:val="-2"/>
        </w:rPr>
        <w:t>universities</w:t>
      </w:r>
    </w:p>
    <w:p>
      <w:pPr>
        <w:pStyle w:val="BodyText"/>
        <w:spacing w:before="99"/>
        <w:rPr>
          <w:rFonts w:ascii="Arial"/>
          <w:b/>
          <w:sz w:val="20"/>
        </w:rPr>
      </w:pPr>
    </w:p>
    <w:tbl>
      <w:tblPr>
        <w:tblW w:w="0" w:type="auto"/>
        <w:jc w:val="left"/>
        <w:tblInd w:w="1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960"/>
        <w:gridCol w:w="743"/>
        <w:gridCol w:w="1060"/>
        <w:gridCol w:w="907"/>
        <w:gridCol w:w="707"/>
        <w:gridCol w:w="1075"/>
        <w:gridCol w:w="920"/>
        <w:gridCol w:w="705"/>
        <w:gridCol w:w="1075"/>
        <w:gridCol w:w="922"/>
        <w:gridCol w:w="707"/>
        <w:gridCol w:w="1075"/>
        <w:gridCol w:w="910"/>
      </w:tblGrid>
      <w:tr>
        <w:trPr>
          <w:trHeight w:val="239" w:hRule="atLeast"/>
        </w:trPr>
        <w:tc>
          <w:tcPr>
            <w:tcW w:w="3960" w:type="dxa"/>
            <w:vMerge w:val="restart"/>
            <w:tcBorders>
              <w:top w:val="single" w:sz="4" w:space="0" w:color="000000"/>
              <w:left w:val="single" w:sz="4" w:space="0" w:color="000000"/>
              <w:bottom w:val="single" w:sz="4" w:space="0" w:color="000000"/>
            </w:tcBorders>
          </w:tcPr>
          <w:p>
            <w:pPr>
              <w:pStyle w:val="TableParagraph"/>
              <w:spacing w:before="225"/>
              <w:rPr>
                <w:rFonts w:ascii="Arial"/>
                <w:b/>
                <w:sz w:val="20"/>
              </w:rPr>
            </w:pPr>
          </w:p>
          <w:p>
            <w:pPr>
              <w:pStyle w:val="TableParagraph"/>
              <w:tabs>
                <w:tab w:pos="825" w:val="left" w:leader="none"/>
              </w:tabs>
              <w:ind w:left="105"/>
              <w:rPr>
                <w:sz w:val="20"/>
              </w:rPr>
            </w:pPr>
            <w:r>
              <w:rPr>
                <w:spacing w:val="-2"/>
                <w:sz w:val="20"/>
              </w:rPr>
              <w:t>S/No.</w:t>
            </w:r>
            <w:r>
              <w:rPr>
                <w:sz w:val="20"/>
              </w:rPr>
              <w:tab/>
              <w:t>Name</w:t>
            </w:r>
            <w:r>
              <w:rPr>
                <w:spacing w:val="-4"/>
                <w:sz w:val="20"/>
              </w:rPr>
              <w:t> </w:t>
            </w:r>
            <w:r>
              <w:rPr>
                <w:sz w:val="20"/>
              </w:rPr>
              <w:t>of </w:t>
            </w:r>
            <w:r>
              <w:rPr>
                <w:spacing w:val="-2"/>
                <w:sz w:val="20"/>
              </w:rPr>
              <w:t>University</w:t>
            </w:r>
          </w:p>
        </w:tc>
        <w:tc>
          <w:tcPr>
            <w:tcW w:w="10806" w:type="dxa"/>
            <w:gridSpan w:val="12"/>
            <w:tcBorders>
              <w:top w:val="single" w:sz="4" w:space="0" w:color="000000"/>
              <w:bottom w:val="single" w:sz="4" w:space="0" w:color="000000"/>
              <w:right w:val="single" w:sz="4" w:space="0" w:color="000000"/>
            </w:tcBorders>
          </w:tcPr>
          <w:p>
            <w:pPr>
              <w:pStyle w:val="TableParagraph"/>
              <w:tabs>
                <w:tab w:pos="3446" w:val="left" w:leader="none"/>
                <w:tab w:pos="5927" w:val="left" w:leader="none"/>
                <w:tab w:pos="9211" w:val="left" w:leader="none"/>
              </w:tabs>
              <w:spacing w:line="220" w:lineRule="exact"/>
              <w:ind w:left="921"/>
              <w:rPr>
                <w:rFonts w:ascii="Arial"/>
                <w:b/>
                <w:sz w:val="20"/>
              </w:rPr>
            </w:pPr>
            <w:r>
              <w:rPr>
                <w:rFonts w:ascii="Arial"/>
                <w:b/>
                <w:spacing w:val="-2"/>
                <w:sz w:val="20"/>
              </w:rPr>
              <w:t>Students</w:t>
            </w:r>
            <w:r>
              <w:rPr>
                <w:rFonts w:ascii="Arial"/>
                <w:b/>
                <w:sz w:val="20"/>
              </w:rPr>
              <w:tab/>
              <w:t>Service</w:t>
            </w:r>
            <w:r>
              <w:rPr>
                <w:rFonts w:ascii="Arial"/>
                <w:b/>
                <w:spacing w:val="-8"/>
                <w:sz w:val="20"/>
              </w:rPr>
              <w:t> </w:t>
            </w:r>
            <w:r>
              <w:rPr>
                <w:rFonts w:ascii="Arial"/>
                <w:b/>
                <w:spacing w:val="-4"/>
                <w:sz w:val="20"/>
              </w:rPr>
              <w:t>Staff</w:t>
            </w:r>
            <w:r>
              <w:rPr>
                <w:rFonts w:ascii="Arial"/>
                <w:b/>
                <w:sz w:val="20"/>
              </w:rPr>
              <w:tab/>
              <w:t>Top</w:t>
            </w:r>
            <w:r>
              <w:rPr>
                <w:rFonts w:ascii="Arial"/>
                <w:b/>
                <w:spacing w:val="-2"/>
                <w:sz w:val="20"/>
              </w:rPr>
              <w:t> Management</w:t>
            </w:r>
            <w:r>
              <w:rPr>
                <w:rFonts w:ascii="Arial"/>
                <w:b/>
                <w:sz w:val="20"/>
              </w:rPr>
              <w:tab/>
            </w:r>
            <w:r>
              <w:rPr>
                <w:rFonts w:ascii="Arial"/>
                <w:b/>
                <w:spacing w:val="-2"/>
                <w:sz w:val="20"/>
              </w:rPr>
              <w:t>Total</w:t>
            </w:r>
          </w:p>
        </w:tc>
      </w:tr>
      <w:tr>
        <w:trPr>
          <w:trHeight w:val="623" w:hRule="atLeast"/>
        </w:trPr>
        <w:tc>
          <w:tcPr>
            <w:tcW w:w="3960" w:type="dxa"/>
            <w:vMerge/>
            <w:tcBorders>
              <w:top w:val="nil"/>
              <w:left w:val="single" w:sz="4" w:space="0" w:color="000000"/>
              <w:bottom w:val="single" w:sz="4" w:space="0" w:color="000000"/>
            </w:tcBorders>
          </w:tcPr>
          <w:p>
            <w:pPr>
              <w:rPr>
                <w:sz w:val="2"/>
                <w:szCs w:val="2"/>
              </w:rPr>
            </w:pPr>
          </w:p>
        </w:tc>
        <w:tc>
          <w:tcPr>
            <w:tcW w:w="743" w:type="dxa"/>
            <w:tcBorders>
              <w:top w:val="single" w:sz="4" w:space="0" w:color="000000"/>
              <w:bottom w:val="single" w:sz="4" w:space="0" w:color="000000"/>
            </w:tcBorders>
          </w:tcPr>
          <w:p>
            <w:pPr>
              <w:pStyle w:val="TableParagraph"/>
              <w:ind w:left="206" w:right="162" w:firstLine="43"/>
              <w:rPr>
                <w:sz w:val="18"/>
              </w:rPr>
            </w:pPr>
            <w:r>
              <w:rPr>
                <w:spacing w:val="-4"/>
                <w:sz w:val="18"/>
              </w:rPr>
              <w:t>No. Sent</w:t>
            </w:r>
          </w:p>
        </w:tc>
        <w:tc>
          <w:tcPr>
            <w:tcW w:w="1060" w:type="dxa"/>
            <w:tcBorders>
              <w:top w:val="single" w:sz="4" w:space="0" w:color="000000"/>
              <w:bottom w:val="single" w:sz="4" w:space="0" w:color="000000"/>
            </w:tcBorders>
          </w:tcPr>
          <w:p>
            <w:pPr>
              <w:pStyle w:val="TableParagraph"/>
              <w:spacing w:line="201" w:lineRule="exact"/>
              <w:ind w:left="38" w:right="9"/>
              <w:jc w:val="center"/>
              <w:rPr>
                <w:sz w:val="18"/>
              </w:rPr>
            </w:pPr>
            <w:r>
              <w:rPr>
                <w:spacing w:val="-5"/>
                <w:sz w:val="18"/>
              </w:rPr>
              <w:t>No.</w:t>
            </w:r>
          </w:p>
          <w:p>
            <w:pPr>
              <w:pStyle w:val="TableParagraph"/>
              <w:spacing w:line="207" w:lineRule="exact"/>
              <w:ind w:left="38" w:right="1"/>
              <w:jc w:val="center"/>
              <w:rPr>
                <w:sz w:val="18"/>
              </w:rPr>
            </w:pPr>
            <w:r>
              <w:rPr>
                <w:spacing w:val="-2"/>
                <w:sz w:val="18"/>
              </w:rPr>
              <w:t>Returned</w:t>
            </w:r>
          </w:p>
        </w:tc>
        <w:tc>
          <w:tcPr>
            <w:tcW w:w="907" w:type="dxa"/>
            <w:tcBorders>
              <w:top w:val="single" w:sz="4" w:space="0" w:color="000000"/>
              <w:bottom w:val="single" w:sz="4" w:space="0" w:color="000000"/>
            </w:tcBorders>
          </w:tcPr>
          <w:p>
            <w:pPr>
              <w:pStyle w:val="TableParagraph"/>
              <w:ind w:left="371" w:right="158" w:hanging="221"/>
              <w:rPr>
                <w:sz w:val="18"/>
              </w:rPr>
            </w:pPr>
            <w:r>
              <w:rPr>
                <w:sz w:val="18"/>
              </w:rPr>
              <w:t>%</w:t>
            </w:r>
            <w:r>
              <w:rPr>
                <w:spacing w:val="-13"/>
                <w:sz w:val="18"/>
              </w:rPr>
              <w:t> </w:t>
            </w:r>
            <w:r>
              <w:rPr>
                <w:sz w:val="18"/>
              </w:rPr>
              <w:t>Rate </w:t>
            </w:r>
            <w:r>
              <w:rPr>
                <w:spacing w:val="-6"/>
                <w:sz w:val="18"/>
              </w:rPr>
              <w:t>of</w:t>
            </w:r>
          </w:p>
          <w:p>
            <w:pPr>
              <w:pStyle w:val="TableParagraph"/>
              <w:spacing w:line="192" w:lineRule="exact"/>
              <w:ind w:left="174"/>
              <w:rPr>
                <w:sz w:val="18"/>
              </w:rPr>
            </w:pPr>
            <w:r>
              <w:rPr>
                <w:spacing w:val="-2"/>
                <w:sz w:val="18"/>
              </w:rPr>
              <w:t>Return</w:t>
            </w:r>
          </w:p>
        </w:tc>
        <w:tc>
          <w:tcPr>
            <w:tcW w:w="707" w:type="dxa"/>
            <w:tcBorders>
              <w:top w:val="single" w:sz="4" w:space="0" w:color="000000"/>
              <w:bottom w:val="single" w:sz="4" w:space="0" w:color="000000"/>
            </w:tcBorders>
          </w:tcPr>
          <w:p>
            <w:pPr>
              <w:pStyle w:val="TableParagraph"/>
              <w:ind w:left="170" w:right="162" w:firstLine="43"/>
              <w:rPr>
                <w:sz w:val="18"/>
              </w:rPr>
            </w:pPr>
            <w:r>
              <w:rPr>
                <w:spacing w:val="-4"/>
                <w:sz w:val="18"/>
              </w:rPr>
              <w:t>No. Sent</w:t>
            </w:r>
          </w:p>
        </w:tc>
        <w:tc>
          <w:tcPr>
            <w:tcW w:w="1075" w:type="dxa"/>
            <w:tcBorders>
              <w:top w:val="single" w:sz="4" w:space="0" w:color="000000"/>
              <w:bottom w:val="single" w:sz="4" w:space="0" w:color="000000"/>
            </w:tcBorders>
          </w:tcPr>
          <w:p>
            <w:pPr>
              <w:pStyle w:val="TableParagraph"/>
              <w:spacing w:line="201" w:lineRule="exact"/>
              <w:ind w:left="22" w:right="9"/>
              <w:jc w:val="center"/>
              <w:rPr>
                <w:sz w:val="18"/>
              </w:rPr>
            </w:pPr>
            <w:r>
              <w:rPr>
                <w:spacing w:val="-5"/>
                <w:sz w:val="18"/>
              </w:rPr>
              <w:t>No.</w:t>
            </w:r>
          </w:p>
          <w:p>
            <w:pPr>
              <w:pStyle w:val="TableParagraph"/>
              <w:spacing w:line="207" w:lineRule="exact"/>
              <w:ind w:left="22" w:right="1"/>
              <w:jc w:val="center"/>
              <w:rPr>
                <w:sz w:val="18"/>
              </w:rPr>
            </w:pPr>
            <w:r>
              <w:rPr>
                <w:spacing w:val="-2"/>
                <w:sz w:val="18"/>
              </w:rPr>
              <w:t>Returned</w:t>
            </w:r>
          </w:p>
        </w:tc>
        <w:tc>
          <w:tcPr>
            <w:tcW w:w="920" w:type="dxa"/>
            <w:tcBorders>
              <w:top w:val="single" w:sz="4" w:space="0" w:color="000000"/>
              <w:bottom w:val="single" w:sz="4" w:space="0" w:color="000000"/>
            </w:tcBorders>
          </w:tcPr>
          <w:p>
            <w:pPr>
              <w:pStyle w:val="TableParagraph"/>
              <w:ind w:left="384" w:right="61" w:hanging="221"/>
              <w:rPr>
                <w:sz w:val="18"/>
              </w:rPr>
            </w:pPr>
            <w:r>
              <w:rPr>
                <w:sz w:val="18"/>
              </w:rPr>
              <w:t>%</w:t>
            </w:r>
            <w:r>
              <w:rPr>
                <w:spacing w:val="-13"/>
                <w:sz w:val="18"/>
              </w:rPr>
              <w:t> </w:t>
            </w:r>
            <w:r>
              <w:rPr>
                <w:sz w:val="18"/>
              </w:rPr>
              <w:t>Rate </w:t>
            </w:r>
            <w:r>
              <w:rPr>
                <w:spacing w:val="-6"/>
                <w:sz w:val="18"/>
              </w:rPr>
              <w:t>of</w:t>
            </w:r>
          </w:p>
          <w:p>
            <w:pPr>
              <w:pStyle w:val="TableParagraph"/>
              <w:spacing w:line="192" w:lineRule="exact"/>
              <w:ind w:left="187"/>
              <w:rPr>
                <w:sz w:val="18"/>
              </w:rPr>
            </w:pPr>
            <w:r>
              <w:rPr>
                <w:spacing w:val="-2"/>
                <w:sz w:val="18"/>
              </w:rPr>
              <w:t>Return</w:t>
            </w:r>
          </w:p>
        </w:tc>
        <w:tc>
          <w:tcPr>
            <w:tcW w:w="705" w:type="dxa"/>
            <w:tcBorders>
              <w:top w:val="single" w:sz="4" w:space="0" w:color="000000"/>
              <w:bottom w:val="single" w:sz="4" w:space="0" w:color="000000"/>
            </w:tcBorders>
          </w:tcPr>
          <w:p>
            <w:pPr>
              <w:pStyle w:val="TableParagraph"/>
              <w:ind w:left="165" w:right="165" w:firstLine="43"/>
              <w:rPr>
                <w:sz w:val="18"/>
              </w:rPr>
            </w:pPr>
            <w:r>
              <w:rPr>
                <w:spacing w:val="-4"/>
                <w:sz w:val="18"/>
              </w:rPr>
              <w:t>No. Sent</w:t>
            </w:r>
          </w:p>
        </w:tc>
        <w:tc>
          <w:tcPr>
            <w:tcW w:w="1075" w:type="dxa"/>
            <w:tcBorders>
              <w:top w:val="single" w:sz="4" w:space="0" w:color="000000"/>
              <w:bottom w:val="single" w:sz="4" w:space="0" w:color="000000"/>
            </w:tcBorders>
          </w:tcPr>
          <w:p>
            <w:pPr>
              <w:pStyle w:val="TableParagraph"/>
              <w:spacing w:line="201" w:lineRule="exact"/>
              <w:ind w:left="22" w:right="13"/>
              <w:jc w:val="center"/>
              <w:rPr>
                <w:sz w:val="18"/>
              </w:rPr>
            </w:pPr>
            <w:r>
              <w:rPr>
                <w:spacing w:val="-5"/>
                <w:sz w:val="18"/>
              </w:rPr>
              <w:t>No.</w:t>
            </w:r>
          </w:p>
          <w:p>
            <w:pPr>
              <w:pStyle w:val="TableParagraph"/>
              <w:spacing w:line="207" w:lineRule="exact"/>
              <w:ind w:left="22" w:right="6"/>
              <w:jc w:val="center"/>
              <w:rPr>
                <w:sz w:val="18"/>
              </w:rPr>
            </w:pPr>
            <w:r>
              <w:rPr>
                <w:spacing w:val="-2"/>
                <w:sz w:val="18"/>
              </w:rPr>
              <w:t>Returned</w:t>
            </w:r>
          </w:p>
        </w:tc>
        <w:tc>
          <w:tcPr>
            <w:tcW w:w="922" w:type="dxa"/>
            <w:tcBorders>
              <w:top w:val="single" w:sz="4" w:space="0" w:color="000000"/>
              <w:bottom w:val="single" w:sz="4" w:space="0" w:color="000000"/>
            </w:tcBorders>
          </w:tcPr>
          <w:p>
            <w:pPr>
              <w:pStyle w:val="TableParagraph"/>
              <w:ind w:left="382" w:right="162" w:hanging="221"/>
              <w:rPr>
                <w:sz w:val="18"/>
              </w:rPr>
            </w:pPr>
            <w:r>
              <w:rPr>
                <w:sz w:val="18"/>
              </w:rPr>
              <w:t>%</w:t>
            </w:r>
            <w:r>
              <w:rPr>
                <w:spacing w:val="-13"/>
                <w:sz w:val="18"/>
              </w:rPr>
              <w:t> </w:t>
            </w:r>
            <w:r>
              <w:rPr>
                <w:sz w:val="18"/>
              </w:rPr>
              <w:t>Rate </w:t>
            </w:r>
            <w:r>
              <w:rPr>
                <w:spacing w:val="-6"/>
                <w:sz w:val="18"/>
              </w:rPr>
              <w:t>of</w:t>
            </w:r>
          </w:p>
          <w:p>
            <w:pPr>
              <w:pStyle w:val="TableParagraph"/>
              <w:spacing w:line="192" w:lineRule="exact"/>
              <w:ind w:left="185"/>
              <w:rPr>
                <w:sz w:val="18"/>
              </w:rPr>
            </w:pPr>
            <w:r>
              <w:rPr>
                <w:spacing w:val="-2"/>
                <w:sz w:val="18"/>
              </w:rPr>
              <w:t>Return</w:t>
            </w:r>
          </w:p>
        </w:tc>
        <w:tc>
          <w:tcPr>
            <w:tcW w:w="707" w:type="dxa"/>
            <w:tcBorders>
              <w:top w:val="single" w:sz="4" w:space="0" w:color="000000"/>
              <w:bottom w:val="single" w:sz="4" w:space="0" w:color="000000"/>
            </w:tcBorders>
          </w:tcPr>
          <w:p>
            <w:pPr>
              <w:pStyle w:val="TableParagraph"/>
              <w:ind w:left="165" w:right="167" w:firstLine="43"/>
              <w:rPr>
                <w:sz w:val="18"/>
              </w:rPr>
            </w:pPr>
            <w:r>
              <w:rPr>
                <w:spacing w:val="-4"/>
                <w:sz w:val="18"/>
              </w:rPr>
              <w:t>No. Sent</w:t>
            </w:r>
          </w:p>
        </w:tc>
        <w:tc>
          <w:tcPr>
            <w:tcW w:w="1075" w:type="dxa"/>
            <w:tcBorders>
              <w:top w:val="single" w:sz="4" w:space="0" w:color="000000"/>
              <w:bottom w:val="single" w:sz="4" w:space="0" w:color="000000"/>
            </w:tcBorders>
          </w:tcPr>
          <w:p>
            <w:pPr>
              <w:pStyle w:val="TableParagraph"/>
              <w:spacing w:line="201" w:lineRule="exact"/>
              <w:ind w:left="22" w:right="17"/>
              <w:jc w:val="center"/>
              <w:rPr>
                <w:sz w:val="18"/>
              </w:rPr>
            </w:pPr>
            <w:r>
              <w:rPr>
                <w:spacing w:val="-5"/>
                <w:sz w:val="18"/>
              </w:rPr>
              <w:t>No.</w:t>
            </w:r>
          </w:p>
          <w:p>
            <w:pPr>
              <w:pStyle w:val="TableParagraph"/>
              <w:spacing w:line="207" w:lineRule="exact"/>
              <w:ind w:left="22" w:right="9"/>
              <w:jc w:val="center"/>
              <w:rPr>
                <w:sz w:val="18"/>
              </w:rPr>
            </w:pPr>
            <w:r>
              <w:rPr>
                <w:spacing w:val="-2"/>
                <w:sz w:val="18"/>
              </w:rPr>
              <w:t>Returned</w:t>
            </w:r>
          </w:p>
        </w:tc>
        <w:tc>
          <w:tcPr>
            <w:tcW w:w="910" w:type="dxa"/>
            <w:tcBorders>
              <w:top w:val="single" w:sz="4" w:space="0" w:color="000000"/>
              <w:bottom w:val="single" w:sz="4" w:space="0" w:color="000000"/>
              <w:right w:val="single" w:sz="4" w:space="0" w:color="000000"/>
            </w:tcBorders>
          </w:tcPr>
          <w:p>
            <w:pPr>
              <w:pStyle w:val="TableParagraph"/>
              <w:ind w:left="380" w:right="50" w:hanging="221"/>
              <w:rPr>
                <w:sz w:val="18"/>
              </w:rPr>
            </w:pPr>
            <w:r>
              <w:rPr>
                <w:sz w:val="18"/>
              </w:rPr>
              <w:t>%</w:t>
            </w:r>
            <w:r>
              <w:rPr>
                <w:spacing w:val="-13"/>
                <w:sz w:val="18"/>
              </w:rPr>
              <w:t> </w:t>
            </w:r>
            <w:r>
              <w:rPr>
                <w:sz w:val="18"/>
              </w:rPr>
              <w:t>Rate </w:t>
            </w:r>
            <w:r>
              <w:rPr>
                <w:spacing w:val="-6"/>
                <w:sz w:val="18"/>
              </w:rPr>
              <w:t>of</w:t>
            </w:r>
          </w:p>
          <w:p>
            <w:pPr>
              <w:pStyle w:val="TableParagraph"/>
              <w:spacing w:line="192" w:lineRule="exact"/>
              <w:ind w:left="183"/>
              <w:rPr>
                <w:sz w:val="18"/>
              </w:rPr>
            </w:pPr>
            <w:r>
              <w:rPr>
                <w:spacing w:val="-2"/>
                <w:sz w:val="18"/>
              </w:rPr>
              <w:t>Return</w:t>
            </w:r>
          </w:p>
        </w:tc>
      </w:tr>
      <w:tr>
        <w:trPr>
          <w:trHeight w:val="342" w:hRule="atLeast"/>
        </w:trPr>
        <w:tc>
          <w:tcPr>
            <w:tcW w:w="3960" w:type="dxa"/>
            <w:tcBorders>
              <w:top w:val="single" w:sz="4" w:space="0" w:color="000000"/>
              <w:left w:val="single" w:sz="4" w:space="0" w:color="000000"/>
            </w:tcBorders>
          </w:tcPr>
          <w:p>
            <w:pPr>
              <w:pStyle w:val="TableParagraph"/>
              <w:tabs>
                <w:tab w:pos="825" w:val="left" w:leader="none"/>
              </w:tabs>
              <w:spacing w:line="225" w:lineRule="exact"/>
              <w:ind w:left="273"/>
              <w:rPr>
                <w:sz w:val="20"/>
              </w:rPr>
            </w:pPr>
            <w:r>
              <w:rPr>
                <w:spacing w:val="-5"/>
                <w:sz w:val="20"/>
              </w:rPr>
              <w:t>1.</w:t>
            </w:r>
            <w:r>
              <w:rPr>
                <w:sz w:val="20"/>
              </w:rPr>
              <w:tab/>
              <w:t>Ahmadu</w:t>
            </w:r>
            <w:r>
              <w:rPr>
                <w:spacing w:val="-9"/>
                <w:sz w:val="20"/>
              </w:rPr>
              <w:t> </w:t>
            </w:r>
            <w:r>
              <w:rPr>
                <w:sz w:val="20"/>
              </w:rPr>
              <w:t>Bello</w:t>
            </w:r>
            <w:r>
              <w:rPr>
                <w:spacing w:val="-8"/>
                <w:sz w:val="20"/>
              </w:rPr>
              <w:t> </w:t>
            </w:r>
            <w:r>
              <w:rPr>
                <w:sz w:val="20"/>
              </w:rPr>
              <w:t>University,</w:t>
            </w:r>
            <w:r>
              <w:rPr>
                <w:spacing w:val="-10"/>
                <w:sz w:val="20"/>
              </w:rPr>
              <w:t> </w:t>
            </w:r>
            <w:r>
              <w:rPr>
                <w:spacing w:val="-4"/>
                <w:sz w:val="20"/>
              </w:rPr>
              <w:t>Zaria</w:t>
            </w:r>
          </w:p>
        </w:tc>
        <w:tc>
          <w:tcPr>
            <w:tcW w:w="743" w:type="dxa"/>
            <w:tcBorders>
              <w:top w:val="single" w:sz="4" w:space="0" w:color="000000"/>
            </w:tcBorders>
          </w:tcPr>
          <w:p>
            <w:pPr>
              <w:pStyle w:val="TableParagraph"/>
              <w:spacing w:line="225" w:lineRule="exact"/>
              <w:ind w:left="84" w:right="53"/>
              <w:jc w:val="center"/>
              <w:rPr>
                <w:sz w:val="20"/>
              </w:rPr>
            </w:pPr>
            <w:r>
              <w:rPr>
                <w:spacing w:val="-5"/>
                <w:sz w:val="20"/>
              </w:rPr>
              <w:t>100</w:t>
            </w:r>
          </w:p>
        </w:tc>
        <w:tc>
          <w:tcPr>
            <w:tcW w:w="1060" w:type="dxa"/>
            <w:tcBorders>
              <w:top w:val="single" w:sz="4" w:space="0" w:color="000000"/>
            </w:tcBorders>
          </w:tcPr>
          <w:p>
            <w:pPr>
              <w:pStyle w:val="TableParagraph"/>
              <w:spacing w:line="225" w:lineRule="exact"/>
              <w:ind w:left="38"/>
              <w:jc w:val="center"/>
              <w:rPr>
                <w:sz w:val="20"/>
              </w:rPr>
            </w:pPr>
            <w:r>
              <w:rPr>
                <w:spacing w:val="-5"/>
                <w:sz w:val="20"/>
              </w:rPr>
              <w:t>80</w:t>
            </w:r>
          </w:p>
        </w:tc>
        <w:tc>
          <w:tcPr>
            <w:tcW w:w="907" w:type="dxa"/>
            <w:tcBorders>
              <w:top w:val="single" w:sz="4" w:space="0" w:color="000000"/>
            </w:tcBorders>
          </w:tcPr>
          <w:p>
            <w:pPr>
              <w:pStyle w:val="TableParagraph"/>
              <w:spacing w:line="225" w:lineRule="exact"/>
              <w:ind w:right="6"/>
              <w:jc w:val="center"/>
              <w:rPr>
                <w:sz w:val="20"/>
              </w:rPr>
            </w:pPr>
            <w:r>
              <w:rPr>
                <w:spacing w:val="-5"/>
                <w:sz w:val="20"/>
              </w:rPr>
              <w:t>80</w:t>
            </w:r>
          </w:p>
        </w:tc>
        <w:tc>
          <w:tcPr>
            <w:tcW w:w="707" w:type="dxa"/>
            <w:tcBorders>
              <w:top w:val="single" w:sz="4" w:space="0" w:color="000000"/>
            </w:tcBorders>
          </w:tcPr>
          <w:p>
            <w:pPr>
              <w:pStyle w:val="TableParagraph"/>
              <w:spacing w:line="225" w:lineRule="exact"/>
              <w:ind w:left="64" w:right="66"/>
              <w:jc w:val="center"/>
              <w:rPr>
                <w:sz w:val="20"/>
              </w:rPr>
            </w:pPr>
            <w:r>
              <w:rPr>
                <w:spacing w:val="-5"/>
                <w:sz w:val="20"/>
              </w:rPr>
              <w:t>128</w:t>
            </w:r>
          </w:p>
        </w:tc>
        <w:tc>
          <w:tcPr>
            <w:tcW w:w="1075" w:type="dxa"/>
            <w:tcBorders>
              <w:top w:val="single" w:sz="4" w:space="0" w:color="000000"/>
            </w:tcBorders>
          </w:tcPr>
          <w:p>
            <w:pPr>
              <w:pStyle w:val="TableParagraph"/>
              <w:spacing w:line="225" w:lineRule="exact"/>
              <w:ind w:left="22"/>
              <w:jc w:val="center"/>
              <w:rPr>
                <w:sz w:val="20"/>
              </w:rPr>
            </w:pPr>
            <w:r>
              <w:rPr>
                <w:spacing w:val="-5"/>
                <w:sz w:val="20"/>
              </w:rPr>
              <w:t>78</w:t>
            </w:r>
          </w:p>
        </w:tc>
        <w:tc>
          <w:tcPr>
            <w:tcW w:w="920" w:type="dxa"/>
            <w:tcBorders>
              <w:top w:val="single" w:sz="4" w:space="0" w:color="000000"/>
            </w:tcBorders>
          </w:tcPr>
          <w:p>
            <w:pPr>
              <w:pStyle w:val="TableParagraph"/>
              <w:spacing w:line="225" w:lineRule="exact"/>
              <w:ind w:left="5"/>
              <w:jc w:val="center"/>
              <w:rPr>
                <w:sz w:val="20"/>
              </w:rPr>
            </w:pPr>
            <w:r>
              <w:rPr>
                <w:spacing w:val="-5"/>
                <w:sz w:val="20"/>
              </w:rPr>
              <w:t>61</w:t>
            </w:r>
          </w:p>
        </w:tc>
        <w:tc>
          <w:tcPr>
            <w:tcW w:w="705" w:type="dxa"/>
            <w:tcBorders>
              <w:top w:val="single" w:sz="4" w:space="0" w:color="000000"/>
            </w:tcBorders>
          </w:tcPr>
          <w:p>
            <w:pPr>
              <w:pStyle w:val="TableParagraph"/>
              <w:spacing w:line="225" w:lineRule="exact"/>
              <w:ind w:right="4"/>
              <w:jc w:val="center"/>
              <w:rPr>
                <w:sz w:val="20"/>
              </w:rPr>
            </w:pPr>
            <w:r>
              <w:rPr>
                <w:spacing w:val="-5"/>
                <w:sz w:val="20"/>
              </w:rPr>
              <w:t>11</w:t>
            </w:r>
          </w:p>
        </w:tc>
        <w:tc>
          <w:tcPr>
            <w:tcW w:w="1075" w:type="dxa"/>
            <w:tcBorders>
              <w:top w:val="single" w:sz="4" w:space="0" w:color="000000"/>
            </w:tcBorders>
          </w:tcPr>
          <w:p>
            <w:pPr>
              <w:pStyle w:val="TableParagraph"/>
              <w:spacing w:line="225" w:lineRule="exact"/>
              <w:ind w:left="22" w:right="10"/>
              <w:jc w:val="center"/>
              <w:rPr>
                <w:sz w:val="20"/>
              </w:rPr>
            </w:pPr>
            <w:r>
              <w:rPr>
                <w:spacing w:val="-10"/>
                <w:sz w:val="20"/>
              </w:rPr>
              <w:t>7</w:t>
            </w:r>
          </w:p>
        </w:tc>
        <w:tc>
          <w:tcPr>
            <w:tcW w:w="922" w:type="dxa"/>
            <w:tcBorders>
              <w:top w:val="single" w:sz="4" w:space="0" w:color="000000"/>
            </w:tcBorders>
          </w:tcPr>
          <w:p>
            <w:pPr>
              <w:pStyle w:val="TableParagraph"/>
              <w:spacing w:line="225" w:lineRule="exact"/>
              <w:ind w:right="1"/>
              <w:jc w:val="center"/>
              <w:rPr>
                <w:sz w:val="20"/>
              </w:rPr>
            </w:pPr>
            <w:r>
              <w:rPr>
                <w:spacing w:val="-5"/>
                <w:sz w:val="20"/>
              </w:rPr>
              <w:t>64</w:t>
            </w:r>
          </w:p>
        </w:tc>
        <w:tc>
          <w:tcPr>
            <w:tcW w:w="707" w:type="dxa"/>
            <w:tcBorders>
              <w:top w:val="single" w:sz="4" w:space="0" w:color="000000"/>
            </w:tcBorders>
          </w:tcPr>
          <w:p>
            <w:pPr>
              <w:pStyle w:val="TableParagraph"/>
              <w:spacing w:line="225" w:lineRule="exact"/>
              <w:ind w:left="64" w:right="74"/>
              <w:jc w:val="center"/>
              <w:rPr>
                <w:sz w:val="20"/>
              </w:rPr>
            </w:pPr>
            <w:r>
              <w:rPr>
                <w:spacing w:val="-5"/>
                <w:sz w:val="20"/>
              </w:rPr>
              <w:t>239</w:t>
            </w:r>
          </w:p>
        </w:tc>
        <w:tc>
          <w:tcPr>
            <w:tcW w:w="1075" w:type="dxa"/>
            <w:tcBorders>
              <w:top w:val="single" w:sz="4" w:space="0" w:color="000000"/>
            </w:tcBorders>
          </w:tcPr>
          <w:p>
            <w:pPr>
              <w:pStyle w:val="TableParagraph"/>
              <w:spacing w:line="225" w:lineRule="exact"/>
              <w:ind w:left="22" w:right="13"/>
              <w:jc w:val="center"/>
              <w:rPr>
                <w:sz w:val="20"/>
              </w:rPr>
            </w:pPr>
            <w:r>
              <w:rPr>
                <w:spacing w:val="-5"/>
                <w:sz w:val="20"/>
              </w:rPr>
              <w:t>165</w:t>
            </w:r>
          </w:p>
        </w:tc>
        <w:tc>
          <w:tcPr>
            <w:tcW w:w="910" w:type="dxa"/>
            <w:tcBorders>
              <w:top w:val="single" w:sz="4" w:space="0" w:color="000000"/>
              <w:right w:val="single" w:sz="4" w:space="0" w:color="000000"/>
            </w:tcBorders>
          </w:tcPr>
          <w:p>
            <w:pPr>
              <w:pStyle w:val="TableParagraph"/>
              <w:spacing w:line="225" w:lineRule="exact"/>
              <w:ind w:left="16" w:right="4"/>
              <w:jc w:val="center"/>
              <w:rPr>
                <w:sz w:val="20"/>
              </w:rPr>
            </w:pPr>
            <w:r>
              <w:rPr>
                <w:spacing w:val="-5"/>
                <w:sz w:val="20"/>
              </w:rPr>
              <w:t>69</w:t>
            </w:r>
          </w:p>
        </w:tc>
      </w:tr>
      <w:tr>
        <w:trPr>
          <w:trHeight w:val="458" w:hRule="atLeast"/>
        </w:trPr>
        <w:tc>
          <w:tcPr>
            <w:tcW w:w="3960" w:type="dxa"/>
            <w:tcBorders>
              <w:left w:val="single" w:sz="4" w:space="0" w:color="000000"/>
            </w:tcBorders>
          </w:tcPr>
          <w:p>
            <w:pPr>
              <w:pStyle w:val="TableParagraph"/>
              <w:tabs>
                <w:tab w:pos="825" w:val="left" w:leader="none"/>
              </w:tabs>
              <w:spacing w:before="112"/>
              <w:ind w:left="273"/>
              <w:rPr>
                <w:sz w:val="20"/>
              </w:rPr>
            </w:pPr>
            <w:r>
              <w:rPr>
                <w:spacing w:val="-5"/>
                <w:sz w:val="20"/>
              </w:rPr>
              <w:t>2.</w:t>
            </w:r>
            <w:r>
              <w:rPr>
                <w:sz w:val="20"/>
              </w:rPr>
              <w:tab/>
              <w:t>Bayero</w:t>
            </w:r>
            <w:r>
              <w:rPr>
                <w:spacing w:val="-9"/>
                <w:sz w:val="20"/>
              </w:rPr>
              <w:t> </w:t>
            </w:r>
            <w:r>
              <w:rPr>
                <w:sz w:val="20"/>
              </w:rPr>
              <w:t>University,</w:t>
            </w:r>
            <w:r>
              <w:rPr>
                <w:spacing w:val="-10"/>
                <w:sz w:val="20"/>
              </w:rPr>
              <w:t> </w:t>
            </w:r>
            <w:r>
              <w:rPr>
                <w:spacing w:val="-4"/>
                <w:sz w:val="20"/>
              </w:rPr>
              <w:t>Kano</w:t>
            </w:r>
          </w:p>
        </w:tc>
        <w:tc>
          <w:tcPr>
            <w:tcW w:w="743" w:type="dxa"/>
          </w:tcPr>
          <w:p>
            <w:pPr>
              <w:pStyle w:val="TableParagraph"/>
              <w:spacing w:before="112"/>
              <w:ind w:left="89" w:right="53"/>
              <w:jc w:val="center"/>
              <w:rPr>
                <w:sz w:val="20"/>
              </w:rPr>
            </w:pPr>
            <w:r>
              <w:rPr>
                <w:spacing w:val="-5"/>
                <w:sz w:val="20"/>
              </w:rPr>
              <w:t>88</w:t>
            </w:r>
          </w:p>
        </w:tc>
        <w:tc>
          <w:tcPr>
            <w:tcW w:w="1060" w:type="dxa"/>
          </w:tcPr>
          <w:p>
            <w:pPr>
              <w:pStyle w:val="TableParagraph"/>
              <w:spacing w:before="112"/>
              <w:ind w:left="38"/>
              <w:jc w:val="center"/>
              <w:rPr>
                <w:sz w:val="20"/>
              </w:rPr>
            </w:pPr>
            <w:r>
              <w:rPr>
                <w:spacing w:val="-5"/>
                <w:sz w:val="20"/>
              </w:rPr>
              <w:t>52</w:t>
            </w:r>
          </w:p>
        </w:tc>
        <w:tc>
          <w:tcPr>
            <w:tcW w:w="907" w:type="dxa"/>
          </w:tcPr>
          <w:p>
            <w:pPr>
              <w:pStyle w:val="TableParagraph"/>
              <w:spacing w:before="112"/>
              <w:ind w:right="6"/>
              <w:jc w:val="center"/>
              <w:rPr>
                <w:sz w:val="20"/>
              </w:rPr>
            </w:pPr>
            <w:r>
              <w:rPr>
                <w:spacing w:val="-5"/>
                <w:sz w:val="20"/>
              </w:rPr>
              <w:t>59</w:t>
            </w:r>
          </w:p>
        </w:tc>
        <w:tc>
          <w:tcPr>
            <w:tcW w:w="707" w:type="dxa"/>
          </w:tcPr>
          <w:p>
            <w:pPr>
              <w:pStyle w:val="TableParagraph"/>
              <w:spacing w:before="112"/>
              <w:ind w:left="64" w:right="64"/>
              <w:jc w:val="center"/>
              <w:rPr>
                <w:sz w:val="20"/>
              </w:rPr>
            </w:pPr>
            <w:r>
              <w:rPr>
                <w:spacing w:val="-5"/>
                <w:sz w:val="20"/>
              </w:rPr>
              <w:t>51</w:t>
            </w:r>
          </w:p>
        </w:tc>
        <w:tc>
          <w:tcPr>
            <w:tcW w:w="1075" w:type="dxa"/>
          </w:tcPr>
          <w:p>
            <w:pPr>
              <w:pStyle w:val="TableParagraph"/>
              <w:spacing w:before="112"/>
              <w:ind w:left="22"/>
              <w:jc w:val="center"/>
              <w:rPr>
                <w:sz w:val="20"/>
              </w:rPr>
            </w:pPr>
            <w:r>
              <w:rPr>
                <w:spacing w:val="-5"/>
                <w:sz w:val="20"/>
              </w:rPr>
              <w:t>26</w:t>
            </w:r>
          </w:p>
        </w:tc>
        <w:tc>
          <w:tcPr>
            <w:tcW w:w="920" w:type="dxa"/>
          </w:tcPr>
          <w:p>
            <w:pPr>
              <w:pStyle w:val="TableParagraph"/>
              <w:spacing w:before="112"/>
              <w:ind w:left="5"/>
              <w:jc w:val="center"/>
              <w:rPr>
                <w:sz w:val="20"/>
              </w:rPr>
            </w:pPr>
            <w:r>
              <w:rPr>
                <w:spacing w:val="-5"/>
                <w:sz w:val="20"/>
              </w:rPr>
              <w:t>51</w:t>
            </w:r>
          </w:p>
        </w:tc>
        <w:tc>
          <w:tcPr>
            <w:tcW w:w="705" w:type="dxa"/>
          </w:tcPr>
          <w:p>
            <w:pPr>
              <w:pStyle w:val="TableParagraph"/>
              <w:spacing w:before="112"/>
              <w:ind w:left="4" w:right="4"/>
              <w:jc w:val="center"/>
              <w:rPr>
                <w:sz w:val="20"/>
              </w:rPr>
            </w:pPr>
            <w:r>
              <w:rPr>
                <w:spacing w:val="-10"/>
                <w:sz w:val="20"/>
              </w:rPr>
              <w:t>7</w:t>
            </w:r>
          </w:p>
        </w:tc>
        <w:tc>
          <w:tcPr>
            <w:tcW w:w="1075" w:type="dxa"/>
          </w:tcPr>
          <w:p>
            <w:pPr>
              <w:pStyle w:val="TableParagraph"/>
              <w:spacing w:before="112"/>
              <w:ind w:left="22" w:right="10"/>
              <w:jc w:val="center"/>
              <w:rPr>
                <w:sz w:val="20"/>
              </w:rPr>
            </w:pPr>
            <w:r>
              <w:rPr>
                <w:spacing w:val="-10"/>
                <w:sz w:val="20"/>
              </w:rPr>
              <w:t>4</w:t>
            </w:r>
          </w:p>
        </w:tc>
        <w:tc>
          <w:tcPr>
            <w:tcW w:w="922" w:type="dxa"/>
          </w:tcPr>
          <w:p>
            <w:pPr>
              <w:pStyle w:val="TableParagraph"/>
              <w:spacing w:before="112"/>
              <w:ind w:right="1"/>
              <w:jc w:val="center"/>
              <w:rPr>
                <w:sz w:val="20"/>
              </w:rPr>
            </w:pPr>
            <w:r>
              <w:rPr>
                <w:spacing w:val="-5"/>
                <w:sz w:val="20"/>
              </w:rPr>
              <w:t>57</w:t>
            </w:r>
          </w:p>
        </w:tc>
        <w:tc>
          <w:tcPr>
            <w:tcW w:w="707" w:type="dxa"/>
          </w:tcPr>
          <w:p>
            <w:pPr>
              <w:pStyle w:val="TableParagraph"/>
              <w:spacing w:before="112"/>
              <w:ind w:left="64" w:right="74"/>
              <w:jc w:val="center"/>
              <w:rPr>
                <w:sz w:val="20"/>
              </w:rPr>
            </w:pPr>
            <w:r>
              <w:rPr>
                <w:spacing w:val="-5"/>
                <w:sz w:val="20"/>
              </w:rPr>
              <w:t>146</w:t>
            </w:r>
          </w:p>
        </w:tc>
        <w:tc>
          <w:tcPr>
            <w:tcW w:w="1075" w:type="dxa"/>
          </w:tcPr>
          <w:p>
            <w:pPr>
              <w:pStyle w:val="TableParagraph"/>
              <w:spacing w:before="112"/>
              <w:ind w:left="22" w:right="8"/>
              <w:jc w:val="center"/>
              <w:rPr>
                <w:sz w:val="20"/>
              </w:rPr>
            </w:pPr>
            <w:r>
              <w:rPr>
                <w:spacing w:val="-5"/>
                <w:sz w:val="20"/>
              </w:rPr>
              <w:t>82</w:t>
            </w:r>
          </w:p>
        </w:tc>
        <w:tc>
          <w:tcPr>
            <w:tcW w:w="910" w:type="dxa"/>
            <w:tcBorders>
              <w:right w:val="single" w:sz="4" w:space="0" w:color="000000"/>
            </w:tcBorders>
          </w:tcPr>
          <w:p>
            <w:pPr>
              <w:pStyle w:val="TableParagraph"/>
              <w:spacing w:before="112"/>
              <w:ind w:left="16" w:right="4"/>
              <w:jc w:val="center"/>
              <w:rPr>
                <w:sz w:val="20"/>
              </w:rPr>
            </w:pPr>
            <w:r>
              <w:rPr>
                <w:spacing w:val="-5"/>
                <w:sz w:val="20"/>
              </w:rPr>
              <w:t>56</w:t>
            </w:r>
          </w:p>
        </w:tc>
      </w:tr>
      <w:tr>
        <w:trPr>
          <w:trHeight w:val="458" w:hRule="atLeast"/>
        </w:trPr>
        <w:tc>
          <w:tcPr>
            <w:tcW w:w="3960" w:type="dxa"/>
            <w:tcBorders>
              <w:left w:val="single" w:sz="4" w:space="0" w:color="000000"/>
            </w:tcBorders>
          </w:tcPr>
          <w:p>
            <w:pPr>
              <w:pStyle w:val="TableParagraph"/>
              <w:tabs>
                <w:tab w:pos="825" w:val="left" w:leader="none"/>
              </w:tabs>
              <w:spacing w:before="110"/>
              <w:ind w:left="273"/>
              <w:rPr>
                <w:sz w:val="20"/>
              </w:rPr>
            </w:pPr>
            <w:r>
              <w:rPr>
                <w:spacing w:val="-5"/>
                <w:sz w:val="20"/>
              </w:rPr>
              <w:t>3.</w:t>
            </w:r>
            <w:r>
              <w:rPr>
                <w:sz w:val="20"/>
              </w:rPr>
              <w:tab/>
              <w:t>University</w:t>
            </w:r>
            <w:r>
              <w:rPr>
                <w:spacing w:val="-9"/>
                <w:sz w:val="20"/>
              </w:rPr>
              <w:t> </w:t>
            </w:r>
            <w:r>
              <w:rPr>
                <w:sz w:val="20"/>
              </w:rPr>
              <w:t>of</w:t>
            </w:r>
            <w:r>
              <w:rPr>
                <w:spacing w:val="2"/>
                <w:sz w:val="20"/>
              </w:rPr>
              <w:t> </w:t>
            </w:r>
            <w:r>
              <w:rPr>
                <w:spacing w:val="-5"/>
                <w:sz w:val="20"/>
              </w:rPr>
              <w:t>Jos</w:t>
            </w:r>
          </w:p>
        </w:tc>
        <w:tc>
          <w:tcPr>
            <w:tcW w:w="743" w:type="dxa"/>
          </w:tcPr>
          <w:p>
            <w:pPr>
              <w:pStyle w:val="TableParagraph"/>
              <w:spacing w:before="110"/>
              <w:ind w:left="89" w:right="53"/>
              <w:jc w:val="center"/>
              <w:rPr>
                <w:sz w:val="20"/>
              </w:rPr>
            </w:pPr>
            <w:r>
              <w:rPr>
                <w:spacing w:val="-5"/>
                <w:sz w:val="20"/>
              </w:rPr>
              <w:t>44</w:t>
            </w:r>
          </w:p>
        </w:tc>
        <w:tc>
          <w:tcPr>
            <w:tcW w:w="1060" w:type="dxa"/>
          </w:tcPr>
          <w:p>
            <w:pPr>
              <w:pStyle w:val="TableParagraph"/>
              <w:spacing w:before="110"/>
              <w:ind w:left="38"/>
              <w:jc w:val="center"/>
              <w:rPr>
                <w:sz w:val="20"/>
              </w:rPr>
            </w:pPr>
            <w:r>
              <w:rPr>
                <w:spacing w:val="-5"/>
                <w:sz w:val="20"/>
              </w:rPr>
              <w:t>19</w:t>
            </w:r>
          </w:p>
        </w:tc>
        <w:tc>
          <w:tcPr>
            <w:tcW w:w="907" w:type="dxa"/>
          </w:tcPr>
          <w:p>
            <w:pPr>
              <w:pStyle w:val="TableParagraph"/>
              <w:spacing w:before="110"/>
              <w:ind w:right="6"/>
              <w:jc w:val="center"/>
              <w:rPr>
                <w:sz w:val="20"/>
              </w:rPr>
            </w:pPr>
            <w:r>
              <w:rPr>
                <w:spacing w:val="-5"/>
                <w:sz w:val="20"/>
              </w:rPr>
              <w:t>43</w:t>
            </w:r>
          </w:p>
        </w:tc>
        <w:tc>
          <w:tcPr>
            <w:tcW w:w="707" w:type="dxa"/>
          </w:tcPr>
          <w:p>
            <w:pPr>
              <w:pStyle w:val="TableParagraph"/>
              <w:spacing w:before="110"/>
              <w:ind w:left="64" w:right="64"/>
              <w:jc w:val="center"/>
              <w:rPr>
                <w:sz w:val="20"/>
              </w:rPr>
            </w:pPr>
            <w:r>
              <w:rPr>
                <w:spacing w:val="-5"/>
                <w:sz w:val="20"/>
              </w:rPr>
              <w:t>68</w:t>
            </w:r>
          </w:p>
        </w:tc>
        <w:tc>
          <w:tcPr>
            <w:tcW w:w="1075" w:type="dxa"/>
          </w:tcPr>
          <w:p>
            <w:pPr>
              <w:pStyle w:val="TableParagraph"/>
              <w:spacing w:before="110"/>
              <w:ind w:left="22"/>
              <w:jc w:val="center"/>
              <w:rPr>
                <w:sz w:val="20"/>
              </w:rPr>
            </w:pPr>
            <w:r>
              <w:rPr>
                <w:spacing w:val="-5"/>
                <w:sz w:val="20"/>
              </w:rPr>
              <w:t>37</w:t>
            </w:r>
          </w:p>
        </w:tc>
        <w:tc>
          <w:tcPr>
            <w:tcW w:w="920" w:type="dxa"/>
          </w:tcPr>
          <w:p>
            <w:pPr>
              <w:pStyle w:val="TableParagraph"/>
              <w:spacing w:before="110"/>
              <w:ind w:left="5"/>
              <w:jc w:val="center"/>
              <w:rPr>
                <w:sz w:val="20"/>
              </w:rPr>
            </w:pPr>
            <w:r>
              <w:rPr>
                <w:spacing w:val="-5"/>
                <w:sz w:val="20"/>
              </w:rPr>
              <w:t>54</w:t>
            </w:r>
          </w:p>
        </w:tc>
        <w:tc>
          <w:tcPr>
            <w:tcW w:w="705" w:type="dxa"/>
          </w:tcPr>
          <w:p>
            <w:pPr>
              <w:pStyle w:val="TableParagraph"/>
              <w:spacing w:before="110"/>
              <w:ind w:left="4" w:right="4"/>
              <w:jc w:val="center"/>
              <w:rPr>
                <w:sz w:val="20"/>
              </w:rPr>
            </w:pPr>
            <w:r>
              <w:rPr>
                <w:spacing w:val="-10"/>
                <w:sz w:val="20"/>
              </w:rPr>
              <w:t>7</w:t>
            </w:r>
          </w:p>
        </w:tc>
        <w:tc>
          <w:tcPr>
            <w:tcW w:w="1075" w:type="dxa"/>
          </w:tcPr>
          <w:p>
            <w:pPr>
              <w:pStyle w:val="TableParagraph"/>
              <w:spacing w:before="110"/>
              <w:ind w:left="22" w:right="10"/>
              <w:jc w:val="center"/>
              <w:rPr>
                <w:sz w:val="20"/>
              </w:rPr>
            </w:pPr>
            <w:r>
              <w:rPr>
                <w:spacing w:val="-10"/>
                <w:sz w:val="20"/>
              </w:rPr>
              <w:t>4</w:t>
            </w:r>
          </w:p>
        </w:tc>
        <w:tc>
          <w:tcPr>
            <w:tcW w:w="922" w:type="dxa"/>
          </w:tcPr>
          <w:p>
            <w:pPr>
              <w:pStyle w:val="TableParagraph"/>
              <w:spacing w:before="110"/>
              <w:ind w:right="1"/>
              <w:jc w:val="center"/>
              <w:rPr>
                <w:sz w:val="20"/>
              </w:rPr>
            </w:pPr>
            <w:r>
              <w:rPr>
                <w:spacing w:val="-5"/>
                <w:sz w:val="20"/>
              </w:rPr>
              <w:t>57</w:t>
            </w:r>
          </w:p>
        </w:tc>
        <w:tc>
          <w:tcPr>
            <w:tcW w:w="707" w:type="dxa"/>
          </w:tcPr>
          <w:p>
            <w:pPr>
              <w:pStyle w:val="TableParagraph"/>
              <w:spacing w:before="110"/>
              <w:ind w:left="64" w:right="74"/>
              <w:jc w:val="center"/>
              <w:rPr>
                <w:sz w:val="20"/>
              </w:rPr>
            </w:pPr>
            <w:r>
              <w:rPr>
                <w:spacing w:val="-5"/>
                <w:sz w:val="20"/>
              </w:rPr>
              <w:t>119</w:t>
            </w:r>
          </w:p>
        </w:tc>
        <w:tc>
          <w:tcPr>
            <w:tcW w:w="1075" w:type="dxa"/>
          </w:tcPr>
          <w:p>
            <w:pPr>
              <w:pStyle w:val="TableParagraph"/>
              <w:spacing w:before="110"/>
              <w:ind w:left="22" w:right="8"/>
              <w:jc w:val="center"/>
              <w:rPr>
                <w:sz w:val="20"/>
              </w:rPr>
            </w:pPr>
            <w:r>
              <w:rPr>
                <w:spacing w:val="-5"/>
                <w:sz w:val="20"/>
              </w:rPr>
              <w:t>60</w:t>
            </w:r>
          </w:p>
        </w:tc>
        <w:tc>
          <w:tcPr>
            <w:tcW w:w="910" w:type="dxa"/>
            <w:tcBorders>
              <w:right w:val="single" w:sz="4" w:space="0" w:color="000000"/>
            </w:tcBorders>
          </w:tcPr>
          <w:p>
            <w:pPr>
              <w:pStyle w:val="TableParagraph"/>
              <w:spacing w:before="110"/>
              <w:ind w:left="16" w:right="4"/>
              <w:jc w:val="center"/>
              <w:rPr>
                <w:sz w:val="20"/>
              </w:rPr>
            </w:pPr>
            <w:r>
              <w:rPr>
                <w:spacing w:val="-5"/>
                <w:sz w:val="20"/>
              </w:rPr>
              <w:t>50</w:t>
            </w:r>
          </w:p>
        </w:tc>
      </w:tr>
      <w:tr>
        <w:trPr>
          <w:trHeight w:val="460" w:hRule="atLeast"/>
        </w:trPr>
        <w:tc>
          <w:tcPr>
            <w:tcW w:w="3960" w:type="dxa"/>
            <w:tcBorders>
              <w:left w:val="single" w:sz="4" w:space="0" w:color="000000"/>
            </w:tcBorders>
          </w:tcPr>
          <w:p>
            <w:pPr>
              <w:pStyle w:val="TableParagraph"/>
              <w:tabs>
                <w:tab w:pos="825" w:val="left" w:leader="none"/>
              </w:tabs>
              <w:spacing w:before="112"/>
              <w:ind w:left="273"/>
              <w:rPr>
                <w:sz w:val="20"/>
              </w:rPr>
            </w:pPr>
            <w:r>
              <w:rPr>
                <w:spacing w:val="-5"/>
                <w:sz w:val="20"/>
              </w:rPr>
              <w:t>4.</w:t>
            </w:r>
            <w:r>
              <w:rPr>
                <w:sz w:val="20"/>
              </w:rPr>
              <w:tab/>
              <w:t>University</w:t>
            </w:r>
            <w:r>
              <w:rPr>
                <w:spacing w:val="-9"/>
                <w:sz w:val="20"/>
              </w:rPr>
              <w:t> </w:t>
            </w:r>
            <w:r>
              <w:rPr>
                <w:sz w:val="20"/>
              </w:rPr>
              <w:t>of</w:t>
            </w:r>
            <w:r>
              <w:rPr>
                <w:spacing w:val="-3"/>
                <w:sz w:val="20"/>
              </w:rPr>
              <w:t> </w:t>
            </w:r>
            <w:r>
              <w:rPr>
                <w:spacing w:val="-2"/>
                <w:sz w:val="20"/>
              </w:rPr>
              <w:t>Maiduguri</w:t>
            </w:r>
          </w:p>
        </w:tc>
        <w:tc>
          <w:tcPr>
            <w:tcW w:w="743" w:type="dxa"/>
          </w:tcPr>
          <w:p>
            <w:pPr>
              <w:pStyle w:val="TableParagraph"/>
              <w:spacing w:before="112"/>
              <w:ind w:left="89" w:right="53"/>
              <w:jc w:val="center"/>
              <w:rPr>
                <w:sz w:val="20"/>
              </w:rPr>
            </w:pPr>
            <w:r>
              <w:rPr>
                <w:spacing w:val="-5"/>
                <w:sz w:val="20"/>
              </w:rPr>
              <w:t>71</w:t>
            </w:r>
          </w:p>
        </w:tc>
        <w:tc>
          <w:tcPr>
            <w:tcW w:w="1060" w:type="dxa"/>
          </w:tcPr>
          <w:p>
            <w:pPr>
              <w:pStyle w:val="TableParagraph"/>
              <w:spacing w:before="112"/>
              <w:ind w:left="38"/>
              <w:jc w:val="center"/>
              <w:rPr>
                <w:sz w:val="20"/>
              </w:rPr>
            </w:pPr>
            <w:r>
              <w:rPr>
                <w:spacing w:val="-5"/>
                <w:sz w:val="20"/>
              </w:rPr>
              <w:t>31</w:t>
            </w:r>
          </w:p>
        </w:tc>
        <w:tc>
          <w:tcPr>
            <w:tcW w:w="907" w:type="dxa"/>
          </w:tcPr>
          <w:p>
            <w:pPr>
              <w:pStyle w:val="TableParagraph"/>
              <w:spacing w:before="112"/>
              <w:ind w:right="6"/>
              <w:jc w:val="center"/>
              <w:rPr>
                <w:sz w:val="20"/>
              </w:rPr>
            </w:pPr>
            <w:r>
              <w:rPr>
                <w:spacing w:val="-5"/>
                <w:sz w:val="20"/>
              </w:rPr>
              <w:t>44</w:t>
            </w:r>
          </w:p>
        </w:tc>
        <w:tc>
          <w:tcPr>
            <w:tcW w:w="707" w:type="dxa"/>
          </w:tcPr>
          <w:p>
            <w:pPr>
              <w:pStyle w:val="TableParagraph"/>
              <w:spacing w:before="112"/>
              <w:ind w:left="64" w:right="64"/>
              <w:jc w:val="center"/>
              <w:rPr>
                <w:sz w:val="20"/>
              </w:rPr>
            </w:pPr>
            <w:r>
              <w:rPr>
                <w:spacing w:val="-5"/>
                <w:sz w:val="20"/>
              </w:rPr>
              <w:t>51</w:t>
            </w:r>
          </w:p>
        </w:tc>
        <w:tc>
          <w:tcPr>
            <w:tcW w:w="1075" w:type="dxa"/>
          </w:tcPr>
          <w:p>
            <w:pPr>
              <w:pStyle w:val="TableParagraph"/>
              <w:spacing w:before="112"/>
              <w:ind w:left="22"/>
              <w:jc w:val="center"/>
              <w:rPr>
                <w:sz w:val="20"/>
              </w:rPr>
            </w:pPr>
            <w:r>
              <w:rPr>
                <w:spacing w:val="-5"/>
                <w:sz w:val="20"/>
              </w:rPr>
              <w:t>34</w:t>
            </w:r>
          </w:p>
        </w:tc>
        <w:tc>
          <w:tcPr>
            <w:tcW w:w="920" w:type="dxa"/>
          </w:tcPr>
          <w:p>
            <w:pPr>
              <w:pStyle w:val="TableParagraph"/>
              <w:spacing w:before="112"/>
              <w:ind w:left="5"/>
              <w:jc w:val="center"/>
              <w:rPr>
                <w:sz w:val="20"/>
              </w:rPr>
            </w:pPr>
            <w:r>
              <w:rPr>
                <w:spacing w:val="-5"/>
                <w:sz w:val="20"/>
              </w:rPr>
              <w:t>67</w:t>
            </w:r>
          </w:p>
        </w:tc>
        <w:tc>
          <w:tcPr>
            <w:tcW w:w="705" w:type="dxa"/>
          </w:tcPr>
          <w:p>
            <w:pPr>
              <w:pStyle w:val="TableParagraph"/>
              <w:spacing w:before="112"/>
              <w:ind w:left="4" w:right="4"/>
              <w:jc w:val="center"/>
              <w:rPr>
                <w:sz w:val="20"/>
              </w:rPr>
            </w:pPr>
            <w:r>
              <w:rPr>
                <w:spacing w:val="-10"/>
                <w:sz w:val="20"/>
              </w:rPr>
              <w:t>8</w:t>
            </w:r>
          </w:p>
        </w:tc>
        <w:tc>
          <w:tcPr>
            <w:tcW w:w="1075" w:type="dxa"/>
          </w:tcPr>
          <w:p>
            <w:pPr>
              <w:pStyle w:val="TableParagraph"/>
              <w:spacing w:before="112"/>
              <w:ind w:left="22" w:right="10"/>
              <w:jc w:val="center"/>
              <w:rPr>
                <w:sz w:val="20"/>
              </w:rPr>
            </w:pPr>
            <w:r>
              <w:rPr>
                <w:spacing w:val="-10"/>
                <w:sz w:val="20"/>
              </w:rPr>
              <w:t>6</w:t>
            </w:r>
          </w:p>
        </w:tc>
        <w:tc>
          <w:tcPr>
            <w:tcW w:w="922" w:type="dxa"/>
          </w:tcPr>
          <w:p>
            <w:pPr>
              <w:pStyle w:val="TableParagraph"/>
              <w:spacing w:before="112"/>
              <w:ind w:right="1"/>
              <w:jc w:val="center"/>
              <w:rPr>
                <w:sz w:val="20"/>
              </w:rPr>
            </w:pPr>
            <w:r>
              <w:rPr>
                <w:spacing w:val="-5"/>
                <w:sz w:val="20"/>
              </w:rPr>
              <w:t>75</w:t>
            </w:r>
          </w:p>
        </w:tc>
        <w:tc>
          <w:tcPr>
            <w:tcW w:w="707" w:type="dxa"/>
          </w:tcPr>
          <w:p>
            <w:pPr>
              <w:pStyle w:val="TableParagraph"/>
              <w:spacing w:before="112"/>
              <w:ind w:left="64" w:right="74"/>
              <w:jc w:val="center"/>
              <w:rPr>
                <w:sz w:val="20"/>
              </w:rPr>
            </w:pPr>
            <w:r>
              <w:rPr>
                <w:spacing w:val="-5"/>
                <w:sz w:val="20"/>
              </w:rPr>
              <w:t>130</w:t>
            </w:r>
          </w:p>
        </w:tc>
        <w:tc>
          <w:tcPr>
            <w:tcW w:w="1075" w:type="dxa"/>
          </w:tcPr>
          <w:p>
            <w:pPr>
              <w:pStyle w:val="TableParagraph"/>
              <w:spacing w:before="112"/>
              <w:ind w:left="22" w:right="8"/>
              <w:jc w:val="center"/>
              <w:rPr>
                <w:sz w:val="20"/>
              </w:rPr>
            </w:pPr>
            <w:r>
              <w:rPr>
                <w:spacing w:val="-5"/>
                <w:sz w:val="20"/>
              </w:rPr>
              <w:t>73</w:t>
            </w:r>
          </w:p>
        </w:tc>
        <w:tc>
          <w:tcPr>
            <w:tcW w:w="910" w:type="dxa"/>
            <w:tcBorders>
              <w:right w:val="single" w:sz="4" w:space="0" w:color="000000"/>
            </w:tcBorders>
          </w:tcPr>
          <w:p>
            <w:pPr>
              <w:pStyle w:val="TableParagraph"/>
              <w:spacing w:before="112"/>
              <w:ind w:left="16" w:right="4"/>
              <w:jc w:val="center"/>
              <w:rPr>
                <w:sz w:val="20"/>
              </w:rPr>
            </w:pPr>
            <w:r>
              <w:rPr>
                <w:spacing w:val="-5"/>
                <w:sz w:val="20"/>
              </w:rPr>
              <w:t>56</w:t>
            </w:r>
          </w:p>
        </w:tc>
      </w:tr>
      <w:tr>
        <w:trPr>
          <w:trHeight w:val="345" w:hRule="atLeast"/>
        </w:trPr>
        <w:tc>
          <w:tcPr>
            <w:tcW w:w="3960" w:type="dxa"/>
            <w:tcBorders>
              <w:left w:val="single" w:sz="4" w:space="0" w:color="000000"/>
            </w:tcBorders>
          </w:tcPr>
          <w:p>
            <w:pPr>
              <w:pStyle w:val="TableParagraph"/>
              <w:tabs>
                <w:tab w:pos="825" w:val="left" w:leader="none"/>
              </w:tabs>
              <w:spacing w:line="213" w:lineRule="exact" w:before="112"/>
              <w:ind w:left="273"/>
              <w:rPr>
                <w:sz w:val="20"/>
              </w:rPr>
            </w:pPr>
            <w:r>
              <w:rPr>
                <w:spacing w:val="-5"/>
                <w:sz w:val="20"/>
              </w:rPr>
              <w:t>5.</w:t>
            </w:r>
            <w:r>
              <w:rPr>
                <w:sz w:val="20"/>
              </w:rPr>
              <w:tab/>
              <w:t>Usman</w:t>
            </w:r>
            <w:r>
              <w:rPr>
                <w:spacing w:val="73"/>
                <w:w w:val="150"/>
                <w:sz w:val="20"/>
              </w:rPr>
              <w:t> </w:t>
            </w:r>
            <w:r>
              <w:rPr>
                <w:sz w:val="20"/>
              </w:rPr>
              <w:t>Dan</w:t>
            </w:r>
            <w:r>
              <w:rPr>
                <w:spacing w:val="74"/>
                <w:w w:val="150"/>
                <w:sz w:val="20"/>
              </w:rPr>
              <w:t> </w:t>
            </w:r>
            <w:r>
              <w:rPr>
                <w:sz w:val="20"/>
              </w:rPr>
              <w:t>Fodiyo</w:t>
            </w:r>
            <w:r>
              <w:rPr>
                <w:spacing w:val="74"/>
                <w:w w:val="150"/>
                <w:sz w:val="20"/>
              </w:rPr>
              <w:t> </w:t>
            </w:r>
            <w:r>
              <w:rPr>
                <w:spacing w:val="-2"/>
                <w:sz w:val="20"/>
              </w:rPr>
              <w:t>University,</w:t>
            </w:r>
          </w:p>
        </w:tc>
        <w:tc>
          <w:tcPr>
            <w:tcW w:w="743" w:type="dxa"/>
          </w:tcPr>
          <w:p>
            <w:pPr>
              <w:pStyle w:val="TableParagraph"/>
              <w:spacing w:line="213" w:lineRule="exact" w:before="112"/>
              <w:ind w:left="89" w:right="53"/>
              <w:jc w:val="center"/>
              <w:rPr>
                <w:sz w:val="20"/>
              </w:rPr>
            </w:pPr>
            <w:r>
              <w:rPr>
                <w:spacing w:val="-5"/>
                <w:sz w:val="20"/>
              </w:rPr>
              <w:t>81</w:t>
            </w:r>
          </w:p>
        </w:tc>
        <w:tc>
          <w:tcPr>
            <w:tcW w:w="1060" w:type="dxa"/>
          </w:tcPr>
          <w:p>
            <w:pPr>
              <w:pStyle w:val="TableParagraph"/>
              <w:spacing w:line="213" w:lineRule="exact" w:before="112"/>
              <w:ind w:left="38"/>
              <w:jc w:val="center"/>
              <w:rPr>
                <w:sz w:val="20"/>
              </w:rPr>
            </w:pPr>
            <w:r>
              <w:rPr>
                <w:spacing w:val="-5"/>
                <w:sz w:val="20"/>
              </w:rPr>
              <w:t>53</w:t>
            </w:r>
          </w:p>
        </w:tc>
        <w:tc>
          <w:tcPr>
            <w:tcW w:w="907" w:type="dxa"/>
          </w:tcPr>
          <w:p>
            <w:pPr>
              <w:pStyle w:val="TableParagraph"/>
              <w:spacing w:line="213" w:lineRule="exact" w:before="112"/>
              <w:ind w:right="6"/>
              <w:jc w:val="center"/>
              <w:rPr>
                <w:sz w:val="20"/>
              </w:rPr>
            </w:pPr>
            <w:r>
              <w:rPr>
                <w:spacing w:val="-5"/>
                <w:sz w:val="20"/>
              </w:rPr>
              <w:t>65</w:t>
            </w:r>
          </w:p>
        </w:tc>
        <w:tc>
          <w:tcPr>
            <w:tcW w:w="707" w:type="dxa"/>
          </w:tcPr>
          <w:p>
            <w:pPr>
              <w:pStyle w:val="TableParagraph"/>
              <w:spacing w:line="213" w:lineRule="exact" w:before="112"/>
              <w:ind w:left="64" w:right="64"/>
              <w:jc w:val="center"/>
              <w:rPr>
                <w:sz w:val="20"/>
              </w:rPr>
            </w:pPr>
            <w:r>
              <w:rPr>
                <w:spacing w:val="-5"/>
                <w:sz w:val="20"/>
              </w:rPr>
              <w:t>48</w:t>
            </w:r>
          </w:p>
        </w:tc>
        <w:tc>
          <w:tcPr>
            <w:tcW w:w="1075" w:type="dxa"/>
          </w:tcPr>
          <w:p>
            <w:pPr>
              <w:pStyle w:val="TableParagraph"/>
              <w:spacing w:line="213" w:lineRule="exact" w:before="112"/>
              <w:ind w:left="22"/>
              <w:jc w:val="center"/>
              <w:rPr>
                <w:sz w:val="20"/>
              </w:rPr>
            </w:pPr>
            <w:r>
              <w:rPr>
                <w:spacing w:val="-5"/>
                <w:sz w:val="20"/>
              </w:rPr>
              <w:t>28</w:t>
            </w:r>
          </w:p>
        </w:tc>
        <w:tc>
          <w:tcPr>
            <w:tcW w:w="920" w:type="dxa"/>
          </w:tcPr>
          <w:p>
            <w:pPr>
              <w:pStyle w:val="TableParagraph"/>
              <w:spacing w:line="213" w:lineRule="exact" w:before="112"/>
              <w:ind w:left="5"/>
              <w:jc w:val="center"/>
              <w:rPr>
                <w:sz w:val="20"/>
              </w:rPr>
            </w:pPr>
            <w:r>
              <w:rPr>
                <w:spacing w:val="-5"/>
                <w:sz w:val="20"/>
              </w:rPr>
              <w:t>58</w:t>
            </w:r>
          </w:p>
        </w:tc>
        <w:tc>
          <w:tcPr>
            <w:tcW w:w="705" w:type="dxa"/>
          </w:tcPr>
          <w:p>
            <w:pPr>
              <w:pStyle w:val="TableParagraph"/>
              <w:spacing w:line="213" w:lineRule="exact" w:before="112"/>
              <w:ind w:left="4" w:right="4"/>
              <w:jc w:val="center"/>
              <w:rPr>
                <w:sz w:val="20"/>
              </w:rPr>
            </w:pPr>
            <w:r>
              <w:rPr>
                <w:spacing w:val="-10"/>
                <w:sz w:val="20"/>
              </w:rPr>
              <w:t>7</w:t>
            </w:r>
          </w:p>
        </w:tc>
        <w:tc>
          <w:tcPr>
            <w:tcW w:w="1075" w:type="dxa"/>
          </w:tcPr>
          <w:p>
            <w:pPr>
              <w:pStyle w:val="TableParagraph"/>
              <w:spacing w:line="213" w:lineRule="exact" w:before="112"/>
              <w:ind w:left="22" w:right="10"/>
              <w:jc w:val="center"/>
              <w:rPr>
                <w:sz w:val="20"/>
              </w:rPr>
            </w:pPr>
            <w:r>
              <w:rPr>
                <w:spacing w:val="-10"/>
                <w:sz w:val="20"/>
              </w:rPr>
              <w:t>2</w:t>
            </w:r>
          </w:p>
        </w:tc>
        <w:tc>
          <w:tcPr>
            <w:tcW w:w="922" w:type="dxa"/>
          </w:tcPr>
          <w:p>
            <w:pPr>
              <w:pStyle w:val="TableParagraph"/>
              <w:spacing w:line="213" w:lineRule="exact" w:before="112"/>
              <w:ind w:right="1"/>
              <w:jc w:val="center"/>
              <w:rPr>
                <w:sz w:val="20"/>
              </w:rPr>
            </w:pPr>
            <w:r>
              <w:rPr>
                <w:spacing w:val="-5"/>
                <w:sz w:val="20"/>
              </w:rPr>
              <w:t>29</w:t>
            </w:r>
          </w:p>
        </w:tc>
        <w:tc>
          <w:tcPr>
            <w:tcW w:w="707" w:type="dxa"/>
          </w:tcPr>
          <w:p>
            <w:pPr>
              <w:pStyle w:val="TableParagraph"/>
              <w:spacing w:line="213" w:lineRule="exact" w:before="112"/>
              <w:ind w:left="64" w:right="74"/>
              <w:jc w:val="center"/>
              <w:rPr>
                <w:sz w:val="20"/>
              </w:rPr>
            </w:pPr>
            <w:r>
              <w:rPr>
                <w:spacing w:val="-5"/>
                <w:sz w:val="20"/>
              </w:rPr>
              <w:t>136</w:t>
            </w:r>
          </w:p>
        </w:tc>
        <w:tc>
          <w:tcPr>
            <w:tcW w:w="1075" w:type="dxa"/>
          </w:tcPr>
          <w:p>
            <w:pPr>
              <w:pStyle w:val="TableParagraph"/>
              <w:spacing w:line="213" w:lineRule="exact" w:before="112"/>
              <w:ind w:left="22" w:right="8"/>
              <w:jc w:val="center"/>
              <w:rPr>
                <w:sz w:val="20"/>
              </w:rPr>
            </w:pPr>
            <w:r>
              <w:rPr>
                <w:spacing w:val="-5"/>
                <w:sz w:val="20"/>
              </w:rPr>
              <w:t>83</w:t>
            </w:r>
          </w:p>
        </w:tc>
        <w:tc>
          <w:tcPr>
            <w:tcW w:w="910" w:type="dxa"/>
            <w:tcBorders>
              <w:right w:val="single" w:sz="4" w:space="0" w:color="000000"/>
            </w:tcBorders>
          </w:tcPr>
          <w:p>
            <w:pPr>
              <w:pStyle w:val="TableParagraph"/>
              <w:spacing w:line="213" w:lineRule="exact" w:before="112"/>
              <w:ind w:left="16" w:right="4"/>
              <w:jc w:val="center"/>
              <w:rPr>
                <w:sz w:val="20"/>
              </w:rPr>
            </w:pPr>
            <w:r>
              <w:rPr>
                <w:spacing w:val="-5"/>
                <w:sz w:val="20"/>
              </w:rPr>
              <w:t>61</w:t>
            </w:r>
          </w:p>
        </w:tc>
      </w:tr>
      <w:tr>
        <w:trPr>
          <w:trHeight w:val="232" w:hRule="atLeast"/>
        </w:trPr>
        <w:tc>
          <w:tcPr>
            <w:tcW w:w="3960" w:type="dxa"/>
            <w:tcBorders>
              <w:left w:val="single" w:sz="4" w:space="0" w:color="000000"/>
              <w:bottom w:val="single" w:sz="4" w:space="0" w:color="000000"/>
            </w:tcBorders>
          </w:tcPr>
          <w:p>
            <w:pPr>
              <w:pStyle w:val="TableParagraph"/>
              <w:spacing w:line="213" w:lineRule="exact"/>
              <w:ind w:left="825"/>
              <w:rPr>
                <w:sz w:val="20"/>
              </w:rPr>
            </w:pPr>
            <w:r>
              <w:rPr>
                <w:spacing w:val="-2"/>
                <w:sz w:val="20"/>
              </w:rPr>
              <w:t>Sokoto</w:t>
            </w:r>
          </w:p>
        </w:tc>
        <w:tc>
          <w:tcPr>
            <w:tcW w:w="743" w:type="dxa"/>
            <w:tcBorders>
              <w:bottom w:val="single" w:sz="4" w:space="0" w:color="000000"/>
            </w:tcBorders>
          </w:tcPr>
          <w:p>
            <w:pPr>
              <w:pStyle w:val="TableParagraph"/>
              <w:rPr>
                <w:rFonts w:ascii="Times New Roman"/>
                <w:sz w:val="16"/>
              </w:rPr>
            </w:pPr>
          </w:p>
        </w:tc>
        <w:tc>
          <w:tcPr>
            <w:tcW w:w="1060" w:type="dxa"/>
            <w:tcBorders>
              <w:bottom w:val="single" w:sz="4" w:space="0" w:color="000000"/>
            </w:tcBorders>
          </w:tcPr>
          <w:p>
            <w:pPr>
              <w:pStyle w:val="TableParagraph"/>
              <w:rPr>
                <w:rFonts w:ascii="Times New Roman"/>
                <w:sz w:val="16"/>
              </w:rPr>
            </w:pPr>
          </w:p>
        </w:tc>
        <w:tc>
          <w:tcPr>
            <w:tcW w:w="907" w:type="dxa"/>
            <w:tcBorders>
              <w:bottom w:val="single" w:sz="4" w:space="0" w:color="000000"/>
            </w:tcBorders>
          </w:tcPr>
          <w:p>
            <w:pPr>
              <w:pStyle w:val="TableParagraph"/>
              <w:rPr>
                <w:rFonts w:ascii="Times New Roman"/>
                <w:sz w:val="16"/>
              </w:rPr>
            </w:pPr>
          </w:p>
        </w:tc>
        <w:tc>
          <w:tcPr>
            <w:tcW w:w="707" w:type="dxa"/>
            <w:tcBorders>
              <w:bottom w:val="single" w:sz="4" w:space="0" w:color="000000"/>
            </w:tcBorders>
          </w:tcPr>
          <w:p>
            <w:pPr>
              <w:pStyle w:val="TableParagraph"/>
              <w:rPr>
                <w:rFonts w:ascii="Times New Roman"/>
                <w:sz w:val="16"/>
              </w:rPr>
            </w:pPr>
          </w:p>
        </w:tc>
        <w:tc>
          <w:tcPr>
            <w:tcW w:w="1075" w:type="dxa"/>
            <w:tcBorders>
              <w:bottom w:val="single" w:sz="4" w:space="0" w:color="000000"/>
            </w:tcBorders>
          </w:tcPr>
          <w:p>
            <w:pPr>
              <w:pStyle w:val="TableParagraph"/>
              <w:rPr>
                <w:rFonts w:ascii="Times New Roman"/>
                <w:sz w:val="16"/>
              </w:rPr>
            </w:pPr>
          </w:p>
        </w:tc>
        <w:tc>
          <w:tcPr>
            <w:tcW w:w="920" w:type="dxa"/>
            <w:tcBorders>
              <w:bottom w:val="single" w:sz="4" w:space="0" w:color="000000"/>
            </w:tcBorders>
          </w:tcPr>
          <w:p>
            <w:pPr>
              <w:pStyle w:val="TableParagraph"/>
              <w:rPr>
                <w:rFonts w:ascii="Times New Roman"/>
                <w:sz w:val="16"/>
              </w:rPr>
            </w:pPr>
          </w:p>
        </w:tc>
        <w:tc>
          <w:tcPr>
            <w:tcW w:w="705" w:type="dxa"/>
            <w:tcBorders>
              <w:bottom w:val="single" w:sz="4" w:space="0" w:color="000000"/>
            </w:tcBorders>
          </w:tcPr>
          <w:p>
            <w:pPr>
              <w:pStyle w:val="TableParagraph"/>
              <w:rPr>
                <w:rFonts w:ascii="Times New Roman"/>
                <w:sz w:val="16"/>
              </w:rPr>
            </w:pPr>
          </w:p>
        </w:tc>
        <w:tc>
          <w:tcPr>
            <w:tcW w:w="1075" w:type="dxa"/>
            <w:tcBorders>
              <w:bottom w:val="single" w:sz="4" w:space="0" w:color="000000"/>
            </w:tcBorders>
          </w:tcPr>
          <w:p>
            <w:pPr>
              <w:pStyle w:val="TableParagraph"/>
              <w:rPr>
                <w:rFonts w:ascii="Times New Roman"/>
                <w:sz w:val="16"/>
              </w:rPr>
            </w:pPr>
          </w:p>
        </w:tc>
        <w:tc>
          <w:tcPr>
            <w:tcW w:w="922" w:type="dxa"/>
            <w:tcBorders>
              <w:bottom w:val="single" w:sz="4" w:space="0" w:color="000000"/>
            </w:tcBorders>
          </w:tcPr>
          <w:p>
            <w:pPr>
              <w:pStyle w:val="TableParagraph"/>
              <w:rPr>
                <w:rFonts w:ascii="Times New Roman"/>
                <w:sz w:val="16"/>
              </w:rPr>
            </w:pPr>
          </w:p>
        </w:tc>
        <w:tc>
          <w:tcPr>
            <w:tcW w:w="707" w:type="dxa"/>
            <w:tcBorders>
              <w:bottom w:val="single" w:sz="4" w:space="0" w:color="000000"/>
            </w:tcBorders>
          </w:tcPr>
          <w:p>
            <w:pPr>
              <w:pStyle w:val="TableParagraph"/>
              <w:rPr>
                <w:rFonts w:ascii="Times New Roman"/>
                <w:sz w:val="16"/>
              </w:rPr>
            </w:pPr>
          </w:p>
        </w:tc>
        <w:tc>
          <w:tcPr>
            <w:tcW w:w="1075" w:type="dxa"/>
            <w:tcBorders>
              <w:bottom w:val="single" w:sz="4" w:space="0" w:color="000000"/>
            </w:tcBorders>
          </w:tcPr>
          <w:p>
            <w:pPr>
              <w:pStyle w:val="TableParagraph"/>
              <w:rPr>
                <w:rFonts w:ascii="Times New Roman"/>
                <w:sz w:val="16"/>
              </w:rPr>
            </w:pPr>
          </w:p>
        </w:tc>
        <w:tc>
          <w:tcPr>
            <w:tcW w:w="910" w:type="dxa"/>
            <w:tcBorders>
              <w:bottom w:val="single" w:sz="4" w:space="0" w:color="000000"/>
              <w:right w:val="single" w:sz="4" w:space="0" w:color="000000"/>
            </w:tcBorders>
          </w:tcPr>
          <w:p>
            <w:pPr>
              <w:pStyle w:val="TableParagraph"/>
              <w:rPr>
                <w:rFonts w:ascii="Times New Roman"/>
                <w:sz w:val="16"/>
              </w:rPr>
            </w:pPr>
          </w:p>
        </w:tc>
      </w:tr>
      <w:tr>
        <w:trPr>
          <w:trHeight w:val="441" w:hRule="atLeast"/>
        </w:trPr>
        <w:tc>
          <w:tcPr>
            <w:tcW w:w="3960" w:type="dxa"/>
            <w:tcBorders>
              <w:top w:val="single" w:sz="4" w:space="0" w:color="000000"/>
              <w:left w:val="single" w:sz="4" w:space="0" w:color="000000"/>
              <w:bottom w:val="single" w:sz="4" w:space="0" w:color="000000"/>
            </w:tcBorders>
          </w:tcPr>
          <w:p>
            <w:pPr>
              <w:pStyle w:val="TableParagraph"/>
              <w:spacing w:line="220" w:lineRule="exact"/>
              <w:ind w:right="254"/>
              <w:jc w:val="right"/>
              <w:rPr>
                <w:rFonts w:ascii="Arial"/>
                <w:b/>
                <w:sz w:val="20"/>
              </w:rPr>
            </w:pPr>
            <w:r>
              <w:rPr>
                <w:rFonts w:ascii="Arial"/>
                <w:b/>
                <w:spacing w:val="-2"/>
                <w:sz w:val="20"/>
              </w:rPr>
              <w:t>Total</w:t>
            </w:r>
          </w:p>
        </w:tc>
        <w:tc>
          <w:tcPr>
            <w:tcW w:w="743" w:type="dxa"/>
            <w:tcBorders>
              <w:top w:val="single" w:sz="4" w:space="0" w:color="000000"/>
              <w:bottom w:val="single" w:sz="4" w:space="0" w:color="000000"/>
            </w:tcBorders>
          </w:tcPr>
          <w:p>
            <w:pPr>
              <w:pStyle w:val="TableParagraph"/>
              <w:spacing w:line="225" w:lineRule="exact"/>
              <w:ind w:left="84" w:right="53"/>
              <w:jc w:val="center"/>
              <w:rPr>
                <w:sz w:val="20"/>
              </w:rPr>
            </w:pPr>
            <w:r>
              <w:rPr>
                <w:spacing w:val="-5"/>
                <w:sz w:val="20"/>
              </w:rPr>
              <w:t>384</w:t>
            </w:r>
          </w:p>
        </w:tc>
        <w:tc>
          <w:tcPr>
            <w:tcW w:w="1060" w:type="dxa"/>
            <w:tcBorders>
              <w:top w:val="single" w:sz="4" w:space="0" w:color="000000"/>
              <w:bottom w:val="single" w:sz="4" w:space="0" w:color="000000"/>
            </w:tcBorders>
          </w:tcPr>
          <w:p>
            <w:pPr>
              <w:pStyle w:val="TableParagraph"/>
              <w:spacing w:line="225" w:lineRule="exact"/>
              <w:ind w:left="38" w:right="5"/>
              <w:jc w:val="center"/>
              <w:rPr>
                <w:sz w:val="20"/>
              </w:rPr>
            </w:pPr>
            <w:r>
              <w:rPr>
                <w:spacing w:val="-5"/>
                <w:sz w:val="20"/>
              </w:rPr>
              <w:t>235</w:t>
            </w:r>
          </w:p>
        </w:tc>
        <w:tc>
          <w:tcPr>
            <w:tcW w:w="907" w:type="dxa"/>
            <w:tcBorders>
              <w:top w:val="single" w:sz="4" w:space="0" w:color="000000"/>
              <w:bottom w:val="single" w:sz="4" w:space="0" w:color="000000"/>
            </w:tcBorders>
          </w:tcPr>
          <w:p>
            <w:pPr>
              <w:pStyle w:val="TableParagraph"/>
              <w:spacing w:line="225" w:lineRule="exact"/>
              <w:ind w:right="6"/>
              <w:jc w:val="center"/>
              <w:rPr>
                <w:sz w:val="20"/>
              </w:rPr>
            </w:pPr>
            <w:r>
              <w:rPr>
                <w:spacing w:val="-5"/>
                <w:sz w:val="20"/>
              </w:rPr>
              <w:t>61</w:t>
            </w:r>
          </w:p>
        </w:tc>
        <w:tc>
          <w:tcPr>
            <w:tcW w:w="707" w:type="dxa"/>
            <w:tcBorders>
              <w:top w:val="single" w:sz="4" w:space="0" w:color="000000"/>
              <w:bottom w:val="single" w:sz="4" w:space="0" w:color="000000"/>
            </w:tcBorders>
          </w:tcPr>
          <w:p>
            <w:pPr>
              <w:pStyle w:val="TableParagraph"/>
              <w:spacing w:line="225" w:lineRule="exact"/>
              <w:ind w:left="64" w:right="66"/>
              <w:jc w:val="center"/>
              <w:rPr>
                <w:sz w:val="20"/>
              </w:rPr>
            </w:pPr>
            <w:r>
              <w:rPr>
                <w:spacing w:val="-5"/>
                <w:sz w:val="20"/>
              </w:rPr>
              <w:t>346</w:t>
            </w:r>
          </w:p>
        </w:tc>
        <w:tc>
          <w:tcPr>
            <w:tcW w:w="1075" w:type="dxa"/>
            <w:tcBorders>
              <w:top w:val="single" w:sz="4" w:space="0" w:color="000000"/>
              <w:bottom w:val="single" w:sz="4" w:space="0" w:color="000000"/>
            </w:tcBorders>
          </w:tcPr>
          <w:p>
            <w:pPr>
              <w:pStyle w:val="TableParagraph"/>
              <w:spacing w:line="225" w:lineRule="exact"/>
              <w:ind w:left="22" w:right="5"/>
              <w:jc w:val="center"/>
              <w:rPr>
                <w:sz w:val="20"/>
              </w:rPr>
            </w:pPr>
            <w:r>
              <w:rPr>
                <w:spacing w:val="-5"/>
                <w:sz w:val="20"/>
              </w:rPr>
              <w:t>203</w:t>
            </w:r>
          </w:p>
        </w:tc>
        <w:tc>
          <w:tcPr>
            <w:tcW w:w="920" w:type="dxa"/>
            <w:tcBorders>
              <w:top w:val="single" w:sz="4" w:space="0" w:color="000000"/>
              <w:bottom w:val="single" w:sz="4" w:space="0" w:color="000000"/>
            </w:tcBorders>
          </w:tcPr>
          <w:p>
            <w:pPr>
              <w:pStyle w:val="TableParagraph"/>
              <w:spacing w:line="225" w:lineRule="exact"/>
              <w:ind w:left="5"/>
              <w:jc w:val="center"/>
              <w:rPr>
                <w:sz w:val="20"/>
              </w:rPr>
            </w:pPr>
            <w:r>
              <w:rPr>
                <w:spacing w:val="-5"/>
                <w:sz w:val="20"/>
              </w:rPr>
              <w:t>45</w:t>
            </w:r>
          </w:p>
        </w:tc>
        <w:tc>
          <w:tcPr>
            <w:tcW w:w="705" w:type="dxa"/>
            <w:tcBorders>
              <w:top w:val="single" w:sz="4" w:space="0" w:color="000000"/>
              <w:bottom w:val="single" w:sz="4" w:space="0" w:color="000000"/>
            </w:tcBorders>
          </w:tcPr>
          <w:p>
            <w:pPr>
              <w:pStyle w:val="TableParagraph"/>
              <w:spacing w:line="225" w:lineRule="exact"/>
              <w:ind w:right="4"/>
              <w:jc w:val="center"/>
              <w:rPr>
                <w:sz w:val="20"/>
              </w:rPr>
            </w:pPr>
            <w:r>
              <w:rPr>
                <w:spacing w:val="-5"/>
                <w:sz w:val="20"/>
              </w:rPr>
              <w:t>40</w:t>
            </w:r>
          </w:p>
        </w:tc>
        <w:tc>
          <w:tcPr>
            <w:tcW w:w="1075" w:type="dxa"/>
            <w:tcBorders>
              <w:top w:val="single" w:sz="4" w:space="0" w:color="000000"/>
              <w:bottom w:val="single" w:sz="4" w:space="0" w:color="000000"/>
            </w:tcBorders>
          </w:tcPr>
          <w:p>
            <w:pPr>
              <w:pStyle w:val="TableParagraph"/>
              <w:spacing w:line="225" w:lineRule="exact"/>
              <w:ind w:left="22" w:right="5"/>
              <w:jc w:val="center"/>
              <w:rPr>
                <w:sz w:val="20"/>
              </w:rPr>
            </w:pPr>
            <w:r>
              <w:rPr>
                <w:spacing w:val="-5"/>
                <w:sz w:val="20"/>
              </w:rPr>
              <w:t>23</w:t>
            </w:r>
          </w:p>
        </w:tc>
        <w:tc>
          <w:tcPr>
            <w:tcW w:w="922" w:type="dxa"/>
            <w:tcBorders>
              <w:top w:val="single" w:sz="4" w:space="0" w:color="000000"/>
              <w:bottom w:val="single" w:sz="4" w:space="0" w:color="000000"/>
            </w:tcBorders>
          </w:tcPr>
          <w:p>
            <w:pPr>
              <w:pStyle w:val="TableParagraph"/>
              <w:spacing w:line="225" w:lineRule="exact"/>
              <w:ind w:right="1"/>
              <w:jc w:val="center"/>
              <w:rPr>
                <w:sz w:val="20"/>
              </w:rPr>
            </w:pPr>
            <w:r>
              <w:rPr>
                <w:spacing w:val="-5"/>
                <w:sz w:val="20"/>
              </w:rPr>
              <w:t>58</w:t>
            </w:r>
          </w:p>
        </w:tc>
        <w:tc>
          <w:tcPr>
            <w:tcW w:w="707" w:type="dxa"/>
            <w:tcBorders>
              <w:top w:val="single" w:sz="4" w:space="0" w:color="000000"/>
              <w:bottom w:val="single" w:sz="4" w:space="0" w:color="000000"/>
            </w:tcBorders>
          </w:tcPr>
          <w:p>
            <w:pPr>
              <w:pStyle w:val="TableParagraph"/>
              <w:spacing w:line="225" w:lineRule="exact"/>
              <w:ind w:left="64" w:right="74"/>
              <w:jc w:val="center"/>
              <w:rPr>
                <w:sz w:val="20"/>
              </w:rPr>
            </w:pPr>
            <w:r>
              <w:rPr>
                <w:spacing w:val="-5"/>
                <w:sz w:val="20"/>
              </w:rPr>
              <w:t>770</w:t>
            </w:r>
          </w:p>
        </w:tc>
        <w:tc>
          <w:tcPr>
            <w:tcW w:w="1075" w:type="dxa"/>
            <w:tcBorders>
              <w:top w:val="single" w:sz="4" w:space="0" w:color="000000"/>
              <w:bottom w:val="single" w:sz="4" w:space="0" w:color="000000"/>
            </w:tcBorders>
          </w:tcPr>
          <w:p>
            <w:pPr>
              <w:pStyle w:val="TableParagraph"/>
              <w:spacing w:line="225" w:lineRule="exact"/>
              <w:ind w:left="22" w:right="13"/>
              <w:jc w:val="center"/>
              <w:rPr>
                <w:sz w:val="20"/>
              </w:rPr>
            </w:pPr>
            <w:r>
              <w:rPr>
                <w:spacing w:val="-5"/>
                <w:sz w:val="20"/>
              </w:rPr>
              <w:t>463</w:t>
            </w:r>
          </w:p>
        </w:tc>
        <w:tc>
          <w:tcPr>
            <w:tcW w:w="910" w:type="dxa"/>
            <w:tcBorders>
              <w:top w:val="single" w:sz="4" w:space="0" w:color="000000"/>
              <w:bottom w:val="single" w:sz="4" w:space="0" w:color="000000"/>
              <w:right w:val="single" w:sz="4" w:space="0" w:color="000000"/>
            </w:tcBorders>
          </w:tcPr>
          <w:p>
            <w:pPr>
              <w:pStyle w:val="TableParagraph"/>
              <w:spacing w:line="225" w:lineRule="exact"/>
              <w:ind w:left="16" w:right="4"/>
              <w:jc w:val="center"/>
              <w:rPr>
                <w:sz w:val="20"/>
              </w:rPr>
            </w:pPr>
            <w:r>
              <w:rPr>
                <w:spacing w:val="-5"/>
                <w:sz w:val="20"/>
              </w:rPr>
              <w:t>60</w:t>
            </w:r>
          </w:p>
        </w:tc>
      </w:tr>
    </w:tbl>
    <w:p>
      <w:pPr>
        <w:pStyle w:val="Heading4"/>
        <w:ind w:left="840"/>
      </w:pPr>
      <w:r>
        <w:rPr>
          <w:spacing w:val="-4"/>
        </w:rPr>
        <w:t>Key:</w:t>
      </w:r>
    </w:p>
    <w:p>
      <w:pPr>
        <w:pStyle w:val="BodyText"/>
        <w:rPr>
          <w:rFonts w:ascii="Arial"/>
          <w:b/>
        </w:rPr>
      </w:pPr>
    </w:p>
    <w:p>
      <w:pPr>
        <w:pStyle w:val="BodyText"/>
        <w:tabs>
          <w:tab w:pos="4343" w:val="left" w:leader="none"/>
          <w:tab w:pos="5091" w:val="left" w:leader="none"/>
        </w:tabs>
        <w:spacing w:line="275" w:lineRule="exact"/>
        <w:ind w:left="840"/>
      </w:pPr>
      <w:r>
        <w:rPr/>
        <w:t>%</w:t>
      </w:r>
      <w:r>
        <w:rPr>
          <w:spacing w:val="-1"/>
        </w:rPr>
        <w:t> </w:t>
      </w:r>
      <w:r>
        <w:rPr/>
        <w:t>Rate of Return (%</w:t>
      </w:r>
      <w:r>
        <w:rPr>
          <w:spacing w:val="-1"/>
        </w:rPr>
        <w:t> </w:t>
      </w:r>
      <w:r>
        <w:rPr/>
        <w:t>RR) = </w:t>
      </w:r>
      <w:r>
        <w:rPr>
          <w:u w:val="single"/>
        </w:rPr>
        <w:tab/>
      </w:r>
      <w:r>
        <w:rPr>
          <w:spacing w:val="-5"/>
          <w:u w:val="single"/>
        </w:rPr>
        <w:t>RR</w:t>
      </w:r>
      <w:r>
        <w:rPr>
          <w:u w:val="single"/>
        </w:rPr>
        <w:tab/>
      </w:r>
    </w:p>
    <w:p>
      <w:pPr>
        <w:pStyle w:val="BodyText"/>
        <w:spacing w:line="275" w:lineRule="exact"/>
        <w:ind w:left="3787"/>
      </w:pPr>
      <w:r>
        <w:rPr/>
        <w:t>Group</w:t>
      </w:r>
      <w:r>
        <w:rPr>
          <w:spacing w:val="-7"/>
        </w:rPr>
        <w:t> </w:t>
      </w:r>
      <w:r>
        <w:rPr/>
        <w:t>Total</w:t>
      </w:r>
      <w:r>
        <w:rPr>
          <w:spacing w:val="69"/>
        </w:rPr>
        <w:t> </w:t>
      </w:r>
      <w:r>
        <w:rPr/>
        <w:t>x</w:t>
      </w:r>
      <w:r>
        <w:rPr>
          <w:spacing w:val="61"/>
        </w:rPr>
        <w:t> </w:t>
      </w:r>
      <w:r>
        <w:rPr>
          <w:spacing w:val="-5"/>
        </w:rPr>
        <w:t>100</w:t>
      </w:r>
    </w:p>
    <w:p>
      <w:pPr>
        <w:pStyle w:val="BodyText"/>
      </w:pPr>
    </w:p>
    <w:p>
      <w:pPr>
        <w:pStyle w:val="BodyText"/>
        <w:ind w:left="840"/>
      </w:pPr>
      <w:r>
        <w:rPr/>
        <w:t>i.e</w:t>
      </w:r>
      <w:r>
        <w:rPr>
          <w:spacing w:val="-5"/>
        </w:rPr>
        <w:t> </w:t>
      </w:r>
      <w:r>
        <w:rPr/>
        <w:t>For</w:t>
      </w:r>
      <w:r>
        <w:rPr>
          <w:spacing w:val="1"/>
        </w:rPr>
        <w:t> </w:t>
      </w:r>
      <w:r>
        <w:rPr/>
        <w:t>Students</w:t>
      </w:r>
      <w:r>
        <w:rPr>
          <w:spacing w:val="67"/>
        </w:rPr>
        <w:t> </w:t>
      </w:r>
      <w:r>
        <w:rPr/>
        <w:t>=</w:t>
      </w:r>
      <w:r>
        <w:rPr>
          <w:spacing w:val="66"/>
        </w:rPr>
        <w:t> </w:t>
      </w:r>
      <w:r>
        <w:rPr>
          <w:spacing w:val="62"/>
          <w:u w:val="single"/>
        </w:rPr>
        <w:t> </w:t>
      </w:r>
      <w:r>
        <w:rPr>
          <w:u w:val="single"/>
        </w:rPr>
        <w:t>80</w:t>
      </w:r>
      <w:r>
        <w:rPr>
          <w:spacing w:val="1"/>
          <w:u w:val="single"/>
        </w:rPr>
        <w:t> </w:t>
      </w:r>
      <w:r>
        <w:rPr/>
        <w:t> x</w:t>
      </w:r>
      <w:r>
        <w:rPr>
          <w:spacing w:val="62"/>
        </w:rPr>
        <w:t> </w:t>
      </w:r>
      <w:r>
        <w:rPr/>
        <w:t>100</w:t>
      </w:r>
      <w:r>
        <w:rPr>
          <w:spacing w:val="66"/>
        </w:rPr>
        <w:t> </w:t>
      </w:r>
      <w:r>
        <w:rPr/>
        <w:t>=</w:t>
      </w:r>
      <w:r>
        <w:rPr>
          <w:spacing w:val="65"/>
        </w:rPr>
        <w:t> </w:t>
      </w:r>
      <w:r>
        <w:rPr>
          <w:spacing w:val="-5"/>
        </w:rPr>
        <w:t>80%</w:t>
      </w:r>
    </w:p>
    <w:p>
      <w:pPr>
        <w:pStyle w:val="BodyText"/>
        <w:spacing w:line="275" w:lineRule="exact" w:before="3"/>
        <w:ind w:left="2952"/>
      </w:pPr>
      <w:r>
        <w:rPr>
          <w:spacing w:val="-5"/>
        </w:rPr>
        <w:t>100</w:t>
      </w:r>
    </w:p>
    <w:p>
      <w:pPr>
        <w:pStyle w:val="BodyText"/>
        <w:spacing w:line="275" w:lineRule="exact"/>
        <w:ind w:left="840"/>
      </w:pPr>
      <w:r>
        <w:rPr/>
        <w:t>for</w:t>
      </w:r>
      <w:r>
        <w:rPr>
          <w:spacing w:val="-1"/>
        </w:rPr>
        <w:t> </w:t>
      </w:r>
      <w:r>
        <w:rPr/>
        <w:t>%</w:t>
      </w:r>
      <w:r>
        <w:rPr>
          <w:spacing w:val="-4"/>
        </w:rPr>
        <w:t> </w:t>
      </w:r>
      <w:r>
        <w:rPr/>
        <w:t>Rate</w:t>
      </w:r>
      <w:r>
        <w:rPr>
          <w:spacing w:val="-2"/>
        </w:rPr>
        <w:t> </w:t>
      </w:r>
      <w:r>
        <w:rPr/>
        <w:t>of</w:t>
      </w:r>
      <w:r>
        <w:rPr>
          <w:spacing w:val="-1"/>
        </w:rPr>
        <w:t> </w:t>
      </w:r>
      <w:r>
        <w:rPr/>
        <w:t>Return</w:t>
      </w:r>
      <w:r>
        <w:rPr>
          <w:spacing w:val="-6"/>
        </w:rPr>
        <w:t> </w:t>
      </w:r>
      <w:r>
        <w:rPr/>
        <w:t>of</w:t>
      </w:r>
      <w:r>
        <w:rPr>
          <w:spacing w:val="-1"/>
        </w:rPr>
        <w:t> </w:t>
      </w:r>
      <w:r>
        <w:rPr/>
        <w:t>students</w:t>
      </w:r>
      <w:r>
        <w:rPr>
          <w:spacing w:val="-6"/>
        </w:rPr>
        <w:t> </w:t>
      </w:r>
      <w:r>
        <w:rPr/>
        <w:t>in</w:t>
      </w:r>
      <w:r>
        <w:rPr>
          <w:spacing w:val="-2"/>
        </w:rPr>
        <w:t> </w:t>
      </w:r>
      <w:r>
        <w:rPr/>
        <w:t>Universities</w:t>
      </w:r>
      <w:r>
        <w:rPr>
          <w:spacing w:val="64"/>
        </w:rPr>
        <w:t> </w:t>
      </w:r>
      <w:r>
        <w:rPr/>
        <w:t>=</w:t>
      </w:r>
      <w:r>
        <w:rPr>
          <w:spacing w:val="65"/>
        </w:rPr>
        <w:t> </w:t>
      </w:r>
      <w:r>
        <w:rPr>
          <w:u w:val="single"/>
        </w:rPr>
        <w:t>Total</w:t>
      </w:r>
      <w:r>
        <w:rPr>
          <w:spacing w:val="67"/>
          <w:u w:val="single"/>
        </w:rPr>
        <w:t> </w:t>
      </w:r>
      <w:r>
        <w:rPr>
          <w:u w:val="single"/>
        </w:rPr>
        <w:t>RR</w:t>
      </w:r>
      <w:r>
        <w:rPr>
          <w:spacing w:val="64"/>
        </w:rPr>
        <w:t> </w:t>
      </w:r>
      <w:r>
        <w:rPr/>
        <w:t>x</w:t>
      </w:r>
      <w:r>
        <w:rPr>
          <w:spacing w:val="59"/>
        </w:rPr>
        <w:t> </w:t>
      </w:r>
      <w:r>
        <w:rPr>
          <w:spacing w:val="-5"/>
        </w:rPr>
        <w:t>100</w:t>
      </w:r>
    </w:p>
    <w:p>
      <w:pPr>
        <w:pStyle w:val="BodyText"/>
        <w:spacing w:before="2"/>
        <w:ind w:left="6547"/>
      </w:pPr>
      <w:r>
        <w:rPr>
          <w:spacing w:val="-2"/>
        </w:rPr>
        <w:t>Total</w:t>
      </w:r>
    </w:p>
    <w:p>
      <w:pPr>
        <w:pStyle w:val="BodyText"/>
      </w:pPr>
    </w:p>
    <w:p>
      <w:pPr>
        <w:pStyle w:val="BodyText"/>
        <w:spacing w:line="275" w:lineRule="exact"/>
        <w:ind w:left="1279" w:right="2163"/>
        <w:jc w:val="center"/>
      </w:pPr>
      <w:r>
        <w:rPr/>
        <w:t>=</w:t>
      </w:r>
      <w:r>
        <w:rPr>
          <w:spacing w:val="65"/>
        </w:rPr>
        <w:t> </w:t>
      </w:r>
      <w:r>
        <w:rPr>
          <w:u w:val="single"/>
        </w:rPr>
        <w:t>235</w:t>
      </w:r>
      <w:r>
        <w:rPr>
          <w:spacing w:val="68"/>
        </w:rPr>
        <w:t> </w:t>
      </w:r>
      <w:r>
        <w:rPr/>
        <w:t>x</w:t>
      </w:r>
      <w:r>
        <w:rPr>
          <w:spacing w:val="62"/>
        </w:rPr>
        <w:t> </w:t>
      </w:r>
      <w:r>
        <w:rPr/>
        <w:t>100</w:t>
      </w:r>
      <w:r>
        <w:rPr>
          <w:spacing w:val="67"/>
        </w:rPr>
        <w:t> </w:t>
      </w:r>
      <w:r>
        <w:rPr/>
        <w:t>=</w:t>
      </w:r>
      <w:r>
        <w:rPr>
          <w:spacing w:val="65"/>
        </w:rPr>
        <w:t> </w:t>
      </w:r>
      <w:r>
        <w:rPr>
          <w:spacing w:val="-5"/>
        </w:rPr>
        <w:t>61%</w:t>
      </w:r>
    </w:p>
    <w:p>
      <w:pPr>
        <w:pStyle w:val="BodyText"/>
        <w:spacing w:line="275" w:lineRule="exact"/>
        <w:ind w:left="483" w:right="2646"/>
        <w:jc w:val="center"/>
      </w:pPr>
      <w:r>
        <w:rPr>
          <w:spacing w:val="-5"/>
        </w:rPr>
        <w:t>384</w:t>
      </w:r>
    </w:p>
    <w:p>
      <w:pPr>
        <w:pStyle w:val="BodyText"/>
      </w:pPr>
    </w:p>
    <w:p>
      <w:pPr>
        <w:pStyle w:val="BodyText"/>
        <w:ind w:left="840"/>
      </w:pPr>
      <w:r>
        <w:rPr/>
        <w:t>For</w:t>
      </w:r>
      <w:r>
        <w:rPr>
          <w:spacing w:val="-2"/>
        </w:rPr>
        <w:t> </w:t>
      </w:r>
      <w:r>
        <w:rPr/>
        <w:t>%</w:t>
      </w:r>
      <w:r>
        <w:rPr>
          <w:spacing w:val="-5"/>
        </w:rPr>
        <w:t> </w:t>
      </w:r>
      <w:r>
        <w:rPr/>
        <w:t>Rate</w:t>
      </w:r>
      <w:r>
        <w:rPr>
          <w:spacing w:val="-2"/>
        </w:rPr>
        <w:t> </w:t>
      </w:r>
      <w:r>
        <w:rPr/>
        <w:t>of</w:t>
      </w:r>
      <w:r>
        <w:rPr>
          <w:spacing w:val="-2"/>
        </w:rPr>
        <w:t> </w:t>
      </w:r>
      <w:r>
        <w:rPr/>
        <w:t>Return</w:t>
      </w:r>
      <w:r>
        <w:rPr>
          <w:spacing w:val="-2"/>
        </w:rPr>
        <w:t> </w:t>
      </w:r>
      <w:r>
        <w:rPr/>
        <w:t>of</w:t>
      </w:r>
      <w:r>
        <w:rPr>
          <w:spacing w:val="-2"/>
        </w:rPr>
        <w:t> </w:t>
      </w:r>
      <w:r>
        <w:rPr/>
        <w:t>all</w:t>
      </w:r>
      <w:r>
        <w:rPr>
          <w:spacing w:val="2"/>
        </w:rPr>
        <w:t> </w:t>
      </w:r>
      <w:r>
        <w:rPr/>
        <w:t>groups</w:t>
      </w:r>
      <w:r>
        <w:rPr>
          <w:spacing w:val="-7"/>
        </w:rPr>
        <w:t> </w:t>
      </w:r>
      <w:r>
        <w:rPr/>
        <w:t>in</w:t>
      </w:r>
      <w:r>
        <w:rPr>
          <w:spacing w:val="-2"/>
        </w:rPr>
        <w:t> </w:t>
      </w:r>
      <w:r>
        <w:rPr/>
        <w:t>each</w:t>
      </w:r>
      <w:r>
        <w:rPr>
          <w:spacing w:val="-2"/>
        </w:rPr>
        <w:t> </w:t>
      </w:r>
      <w:r>
        <w:rPr/>
        <w:t>University</w:t>
      </w:r>
      <w:r>
        <w:rPr>
          <w:spacing w:val="63"/>
        </w:rPr>
        <w:t> </w:t>
      </w:r>
      <w:r>
        <w:rPr/>
        <w:t>=</w:t>
      </w:r>
      <w:r>
        <w:rPr>
          <w:spacing w:val="63"/>
        </w:rPr>
        <w:t> </w:t>
      </w:r>
      <w:r>
        <w:rPr>
          <w:u w:val="single"/>
        </w:rPr>
        <w:t>Total</w:t>
      </w:r>
      <w:r>
        <w:rPr>
          <w:spacing w:val="2"/>
          <w:u w:val="single"/>
        </w:rPr>
        <w:t> </w:t>
      </w:r>
      <w:r>
        <w:rPr>
          <w:u w:val="single"/>
        </w:rPr>
        <w:t>RR</w:t>
      </w:r>
      <w:r>
        <w:rPr>
          <w:spacing w:val="63"/>
        </w:rPr>
        <w:t> </w:t>
      </w:r>
      <w:r>
        <w:rPr/>
        <w:t>x</w:t>
      </w:r>
      <w:r>
        <w:rPr>
          <w:spacing w:val="58"/>
        </w:rPr>
        <w:t> </w:t>
      </w:r>
      <w:r>
        <w:rPr>
          <w:spacing w:val="-5"/>
        </w:rPr>
        <w:t>100</w:t>
      </w:r>
    </w:p>
    <w:p>
      <w:pPr>
        <w:pStyle w:val="BodyText"/>
        <w:spacing w:before="3"/>
        <w:ind w:left="1835" w:right="2163"/>
        <w:jc w:val="center"/>
      </w:pPr>
      <w:r>
        <w:rPr>
          <w:spacing w:val="-2"/>
        </w:rPr>
        <w:t>Total</w:t>
      </w:r>
    </w:p>
    <w:p>
      <w:pPr>
        <w:pStyle w:val="BodyText"/>
        <w:spacing w:line="274" w:lineRule="exact"/>
        <w:ind w:left="907"/>
      </w:pPr>
      <w:r>
        <w:rPr/>
        <w:t>Rate</w:t>
      </w:r>
      <w:r>
        <w:rPr>
          <w:spacing w:val="-1"/>
        </w:rPr>
        <w:t> </w:t>
      </w:r>
      <w:r>
        <w:rPr/>
        <w:t>for Students</w:t>
      </w:r>
      <w:r>
        <w:rPr>
          <w:spacing w:val="66"/>
        </w:rPr>
        <w:t> </w:t>
      </w:r>
      <w:r>
        <w:rPr/>
        <w:t>=</w:t>
      </w:r>
      <w:r>
        <w:rPr>
          <w:spacing w:val="62"/>
        </w:rPr>
        <w:t> </w:t>
      </w:r>
      <w:r>
        <w:rPr>
          <w:u w:val="single"/>
        </w:rPr>
        <w:t>165</w:t>
      </w:r>
      <w:r>
        <w:rPr>
          <w:spacing w:val="67"/>
        </w:rPr>
        <w:t> </w:t>
      </w:r>
      <w:r>
        <w:rPr/>
        <w:t>x</w:t>
      </w:r>
      <w:r>
        <w:rPr>
          <w:spacing w:val="60"/>
        </w:rPr>
        <w:t> </w:t>
      </w:r>
      <w:r>
        <w:rPr/>
        <w:t>100</w:t>
      </w:r>
      <w:r>
        <w:rPr>
          <w:spacing w:val="66"/>
        </w:rPr>
        <w:t> </w:t>
      </w:r>
      <w:r>
        <w:rPr/>
        <w:t>=</w:t>
      </w:r>
      <w:r>
        <w:rPr>
          <w:spacing w:val="64"/>
        </w:rPr>
        <w:t> </w:t>
      </w:r>
      <w:r>
        <w:rPr>
          <w:spacing w:val="-5"/>
        </w:rPr>
        <w:t>69%</w:t>
      </w:r>
    </w:p>
    <w:p>
      <w:pPr>
        <w:pStyle w:val="BodyText"/>
        <w:spacing w:before="2"/>
        <w:ind w:left="3216"/>
      </w:pPr>
      <w:r>
        <w:rPr>
          <w:spacing w:val="-5"/>
        </w:rPr>
        <w:t>239</w:t>
      </w:r>
    </w:p>
    <w:p>
      <w:pPr>
        <w:pStyle w:val="BodyText"/>
      </w:pPr>
    </w:p>
    <w:p>
      <w:pPr>
        <w:pStyle w:val="BodyText"/>
        <w:spacing w:before="263"/>
      </w:pPr>
    </w:p>
    <w:p>
      <w:pPr>
        <w:pStyle w:val="BodyText"/>
        <w:ind w:left="2089" w:right="2163"/>
        <w:jc w:val="center"/>
        <w:rPr>
          <w:rFonts w:ascii="Times New Roman"/>
        </w:rPr>
      </w:pPr>
      <w:r>
        <w:rPr>
          <w:rFonts w:ascii="Times New Roman"/>
          <w:spacing w:val="-5"/>
        </w:rPr>
        <w:t>133</w:t>
      </w:r>
    </w:p>
    <w:p>
      <w:pPr>
        <w:spacing w:after="0"/>
        <w:jc w:val="center"/>
        <w:rPr>
          <w:rFonts w:ascii="Times New Roman"/>
        </w:rPr>
        <w:sectPr>
          <w:headerReference w:type="default" r:id="rId249"/>
          <w:footerReference w:type="default" r:id="rId250"/>
          <w:pgSz w:w="15840" w:h="12240" w:orient="landscape"/>
          <w:pgMar w:header="0" w:footer="0" w:top="640" w:bottom="280" w:left="600" w:right="240"/>
        </w:sectPr>
      </w:pPr>
    </w:p>
    <w:p>
      <w:pPr>
        <w:pStyle w:val="BodyText"/>
        <w:spacing w:line="480" w:lineRule="auto" w:before="89"/>
        <w:ind w:left="820" w:right="600" w:firstLine="720"/>
        <w:jc w:val="both"/>
      </w:pPr>
      <w:r>
        <w:rPr/>
        <w:t>There were 770 copies of questionnaire sent out to the field to be administered. The figure was based on the number of respondents in the five sampled Universities in the three geopolitical zones of Northern part of Nigeria.</w:t>
      </w:r>
    </w:p>
    <w:p>
      <w:pPr>
        <w:pStyle w:val="BodyText"/>
        <w:spacing w:line="480" w:lineRule="auto"/>
        <w:ind w:left="820" w:right="594" w:firstLine="720"/>
        <w:jc w:val="both"/>
      </w:pPr>
      <w:r>
        <w:rPr/>
        <w:t>As can be seen from the Table, 384 copies were to be answered by students in the five universities. Of the 100 copies administered</w:t>
      </w:r>
      <w:r>
        <w:rPr>
          <w:spacing w:val="-1"/>
        </w:rPr>
        <w:t> </w:t>
      </w:r>
      <w:r>
        <w:rPr/>
        <w:t>in Ahmadu Bello University, Zaria 80 copies representing 80 percent were received while 52 copies out of 88 representing 59 percent were received from Bayero University. 44 copies were sent to University of Jos, out of which only 19 representing 43 percent were returned. Of the 71 copies administered at University of Maiduguri 31</w:t>
      </w:r>
      <w:r>
        <w:rPr>
          <w:spacing w:val="-1"/>
        </w:rPr>
        <w:t> </w:t>
      </w:r>
      <w:r>
        <w:rPr/>
        <w:t>representing</w:t>
      </w:r>
      <w:r>
        <w:rPr>
          <w:spacing w:val="-1"/>
        </w:rPr>
        <w:t> </w:t>
      </w:r>
      <w:r>
        <w:rPr/>
        <w:t>44</w:t>
      </w:r>
      <w:r>
        <w:rPr>
          <w:spacing w:val="-1"/>
        </w:rPr>
        <w:t> </w:t>
      </w:r>
      <w:r>
        <w:rPr/>
        <w:t>percent</w:t>
      </w:r>
      <w:r>
        <w:rPr>
          <w:spacing w:val="-2"/>
        </w:rPr>
        <w:t> </w:t>
      </w:r>
      <w:r>
        <w:rPr/>
        <w:t>were</w:t>
      </w:r>
      <w:r>
        <w:rPr>
          <w:spacing w:val="-1"/>
        </w:rPr>
        <w:t> </w:t>
      </w:r>
      <w:r>
        <w:rPr/>
        <w:t>returned.</w:t>
      </w:r>
      <w:r>
        <w:rPr>
          <w:spacing w:val="-2"/>
        </w:rPr>
        <w:t> </w:t>
      </w:r>
      <w:r>
        <w:rPr/>
        <w:t>81</w:t>
      </w:r>
      <w:r>
        <w:rPr>
          <w:spacing w:val="-5"/>
        </w:rPr>
        <w:t> </w:t>
      </w:r>
      <w:r>
        <w:rPr/>
        <w:t>copies</w:t>
      </w:r>
      <w:r>
        <w:rPr>
          <w:spacing w:val="-2"/>
        </w:rPr>
        <w:t> </w:t>
      </w:r>
      <w:r>
        <w:rPr/>
        <w:t>were</w:t>
      </w:r>
      <w:r>
        <w:rPr>
          <w:spacing w:val="-1"/>
        </w:rPr>
        <w:t> </w:t>
      </w:r>
      <w:r>
        <w:rPr/>
        <w:t>dispatched</w:t>
      </w:r>
      <w:r>
        <w:rPr>
          <w:spacing w:val="-1"/>
        </w:rPr>
        <w:t> </w:t>
      </w:r>
      <w:r>
        <w:rPr/>
        <w:t>to</w:t>
      </w:r>
      <w:r>
        <w:rPr>
          <w:spacing w:val="-1"/>
        </w:rPr>
        <w:t> </w:t>
      </w:r>
      <w:r>
        <w:rPr/>
        <w:t>Usmanu Dan Fodiyo and 53 representing 65 percent were returned. A total of 235 questionnaires representing 61 percent were returned.</w:t>
      </w:r>
    </w:p>
    <w:p>
      <w:pPr>
        <w:pStyle w:val="BodyText"/>
        <w:spacing w:line="480" w:lineRule="auto"/>
        <w:ind w:left="820" w:right="594" w:firstLine="720"/>
        <w:jc w:val="both"/>
      </w:pPr>
      <w:r>
        <w:rPr/>
        <w:t>As for service staff in all Universities, a total of 346 copies of questionnaires were supposed to be answered. Only 203 representing 45</w:t>
      </w:r>
      <w:r>
        <w:rPr>
          <w:spacing w:val="40"/>
        </w:rPr>
        <w:t> </w:t>
      </w:r>
      <w:r>
        <w:rPr/>
        <w:t>percent were actually answered and returned. 128 copies were administered in Ahmadu Bello University, Zaria and 78 representing 61 percent were returned.</w:t>
      </w:r>
      <w:r>
        <w:rPr>
          <w:spacing w:val="80"/>
        </w:rPr>
        <w:t> </w:t>
      </w:r>
      <w:r>
        <w:rPr/>
        <w:t>51</w:t>
      </w:r>
      <w:r>
        <w:rPr>
          <w:spacing w:val="-2"/>
        </w:rPr>
        <w:t> </w:t>
      </w:r>
      <w:r>
        <w:rPr/>
        <w:t>were</w:t>
      </w:r>
      <w:r>
        <w:rPr>
          <w:spacing w:val="-2"/>
        </w:rPr>
        <w:t> </w:t>
      </w:r>
      <w:r>
        <w:rPr/>
        <w:t>administered</w:t>
      </w:r>
      <w:r>
        <w:rPr>
          <w:spacing w:val="-6"/>
        </w:rPr>
        <w:t> </w:t>
      </w:r>
      <w:r>
        <w:rPr/>
        <w:t>in</w:t>
      </w:r>
      <w:r>
        <w:rPr>
          <w:spacing w:val="-2"/>
        </w:rPr>
        <w:t> </w:t>
      </w:r>
      <w:r>
        <w:rPr/>
        <w:t>Bayero</w:t>
      </w:r>
      <w:r>
        <w:rPr>
          <w:spacing w:val="-2"/>
        </w:rPr>
        <w:t> </w:t>
      </w:r>
      <w:r>
        <w:rPr/>
        <w:t>University,</w:t>
      </w:r>
      <w:r>
        <w:rPr>
          <w:spacing w:val="-3"/>
        </w:rPr>
        <w:t> </w:t>
      </w:r>
      <w:r>
        <w:rPr/>
        <w:t>Kano</w:t>
      </w:r>
      <w:r>
        <w:rPr>
          <w:spacing w:val="-2"/>
        </w:rPr>
        <w:t> </w:t>
      </w:r>
      <w:r>
        <w:rPr/>
        <w:t>only</w:t>
      </w:r>
      <w:r>
        <w:rPr>
          <w:spacing w:val="-3"/>
        </w:rPr>
        <w:t> </w:t>
      </w:r>
      <w:r>
        <w:rPr/>
        <w:t>26</w:t>
      </w:r>
      <w:r>
        <w:rPr>
          <w:spacing w:val="-2"/>
        </w:rPr>
        <w:t> </w:t>
      </w:r>
      <w:r>
        <w:rPr/>
        <w:t>representing</w:t>
      </w:r>
      <w:r>
        <w:rPr>
          <w:spacing w:val="-2"/>
        </w:rPr>
        <w:t> </w:t>
      </w:r>
      <w:r>
        <w:rPr/>
        <w:t>51</w:t>
      </w:r>
      <w:r>
        <w:rPr>
          <w:spacing w:val="-2"/>
        </w:rPr>
        <w:t> </w:t>
      </w:r>
      <w:r>
        <w:rPr/>
        <w:t>percent were returned. Out of 68 copies sent to University of Jos, 37 copies representing 54 percent were received. Out of 51 copies sent to University of Maiduguri, 34 copies representing 67 percent were returned and 28 out of 48 copies representing 58 percent were returned by Usmanu Dan Fodiyo University, </w:t>
      </w:r>
      <w:r>
        <w:rPr>
          <w:spacing w:val="-2"/>
        </w:rPr>
        <w:t>Sokoto.</w:t>
      </w:r>
    </w:p>
    <w:p>
      <w:pPr>
        <w:spacing w:after="0" w:line="480" w:lineRule="auto"/>
        <w:jc w:val="both"/>
        <w:sectPr>
          <w:headerReference w:type="default" r:id="rId251"/>
          <w:footerReference w:type="default" r:id="rId252"/>
          <w:pgSz w:w="12240" w:h="15840"/>
          <w:pgMar w:header="722" w:footer="791" w:top="1340" w:bottom="980" w:left="1340" w:right="840"/>
          <w:pgNumType w:start="134"/>
        </w:sectPr>
      </w:pPr>
    </w:p>
    <w:p>
      <w:pPr>
        <w:pStyle w:val="BodyText"/>
        <w:spacing w:line="480" w:lineRule="auto" w:before="89"/>
        <w:ind w:left="820" w:right="37" w:firstLine="720"/>
      </w:pPr>
      <w:r>
        <w:rPr/>
        <w:t>Out</w:t>
      </w:r>
      <w:r>
        <w:rPr>
          <w:spacing w:val="40"/>
        </w:rPr>
        <w:t> </w:t>
      </w:r>
      <w:r>
        <w:rPr/>
        <w:t>of</w:t>
      </w:r>
      <w:r>
        <w:rPr>
          <w:spacing w:val="40"/>
        </w:rPr>
        <w:t> </w:t>
      </w:r>
      <w:r>
        <w:rPr/>
        <w:t>the</w:t>
      </w:r>
      <w:r>
        <w:rPr>
          <w:spacing w:val="40"/>
        </w:rPr>
        <w:t> </w:t>
      </w:r>
      <w:r>
        <w:rPr/>
        <w:t>40</w:t>
      </w:r>
      <w:r>
        <w:rPr>
          <w:spacing w:val="40"/>
        </w:rPr>
        <w:t> </w:t>
      </w:r>
      <w:r>
        <w:rPr/>
        <w:t>copies</w:t>
      </w:r>
      <w:r>
        <w:rPr>
          <w:spacing w:val="40"/>
        </w:rPr>
        <w:t> </w:t>
      </w:r>
      <w:r>
        <w:rPr/>
        <w:t>administered</w:t>
      </w:r>
      <w:r>
        <w:rPr>
          <w:spacing w:val="40"/>
        </w:rPr>
        <w:t> </w:t>
      </w:r>
      <w:r>
        <w:rPr/>
        <w:t>to</w:t>
      </w:r>
      <w:r>
        <w:rPr>
          <w:spacing w:val="40"/>
        </w:rPr>
        <w:t> </w:t>
      </w:r>
      <w:r>
        <w:rPr/>
        <w:t>top</w:t>
      </w:r>
      <w:r>
        <w:rPr>
          <w:spacing w:val="40"/>
        </w:rPr>
        <w:t> </w:t>
      </w:r>
      <w:r>
        <w:rPr/>
        <w:t>Management</w:t>
      </w:r>
      <w:r>
        <w:rPr>
          <w:spacing w:val="40"/>
        </w:rPr>
        <w:t> </w:t>
      </w:r>
      <w:r>
        <w:rPr/>
        <w:t>respondents</w:t>
      </w:r>
      <w:r>
        <w:rPr>
          <w:spacing w:val="40"/>
        </w:rPr>
        <w:t> </w:t>
      </w:r>
      <w:r>
        <w:rPr/>
        <w:t>23 copies representing 58 percent were answered and returned.</w:t>
      </w:r>
    </w:p>
    <w:p>
      <w:pPr>
        <w:pStyle w:val="BodyText"/>
        <w:spacing w:line="480" w:lineRule="auto"/>
        <w:ind w:left="820" w:right="593" w:firstLine="720"/>
        <w:jc w:val="right"/>
      </w:pPr>
      <w:r>
        <w:rPr/>
        <w:t>Out of 11 copies administered in Ahmadu Bello University, Zaria 7 copies representing</w:t>
      </w:r>
      <w:r>
        <w:rPr>
          <w:spacing w:val="80"/>
          <w:w w:val="150"/>
        </w:rPr>
        <w:t> </w:t>
      </w:r>
      <w:r>
        <w:rPr/>
        <w:t>57</w:t>
      </w:r>
      <w:r>
        <w:rPr>
          <w:spacing w:val="80"/>
          <w:w w:val="150"/>
        </w:rPr>
        <w:t> </w:t>
      </w:r>
      <w:r>
        <w:rPr/>
        <w:t>percent</w:t>
      </w:r>
      <w:r>
        <w:rPr>
          <w:spacing w:val="80"/>
          <w:w w:val="150"/>
        </w:rPr>
        <w:t> </w:t>
      </w:r>
      <w:r>
        <w:rPr/>
        <w:t>were</w:t>
      </w:r>
      <w:r>
        <w:rPr>
          <w:spacing w:val="80"/>
          <w:w w:val="150"/>
        </w:rPr>
        <w:t> </w:t>
      </w:r>
      <w:r>
        <w:rPr/>
        <w:t>returned.</w:t>
      </w:r>
      <w:r>
        <w:rPr>
          <w:spacing w:val="80"/>
        </w:rPr>
        <w:t> </w:t>
      </w:r>
      <w:r>
        <w:rPr/>
        <w:t>At</w:t>
      </w:r>
      <w:r>
        <w:rPr>
          <w:spacing w:val="80"/>
          <w:w w:val="150"/>
        </w:rPr>
        <w:t> </w:t>
      </w:r>
      <w:r>
        <w:rPr/>
        <w:t>Bayero</w:t>
      </w:r>
      <w:r>
        <w:rPr>
          <w:spacing w:val="80"/>
          <w:w w:val="150"/>
        </w:rPr>
        <w:t> </w:t>
      </w:r>
      <w:r>
        <w:rPr/>
        <w:t>University,</w:t>
      </w:r>
      <w:r>
        <w:rPr>
          <w:spacing w:val="80"/>
          <w:w w:val="150"/>
        </w:rPr>
        <w:t> </w:t>
      </w:r>
      <w:r>
        <w:rPr/>
        <w:t>Kano</w:t>
      </w:r>
      <w:r>
        <w:rPr>
          <w:spacing w:val="80"/>
          <w:w w:val="150"/>
        </w:rPr>
        <w:t> </w:t>
      </w:r>
      <w:r>
        <w:rPr/>
        <w:t>and University of Jos 7 copies each were administered and 4 copies representing 57 percent</w:t>
      </w:r>
      <w:r>
        <w:rPr>
          <w:spacing w:val="-2"/>
        </w:rPr>
        <w:t> </w:t>
      </w:r>
      <w:r>
        <w:rPr/>
        <w:t>respectively</w:t>
      </w:r>
      <w:r>
        <w:rPr>
          <w:spacing w:val="-2"/>
        </w:rPr>
        <w:t> </w:t>
      </w:r>
      <w:r>
        <w:rPr/>
        <w:t>were returned.</w:t>
      </w:r>
      <w:r>
        <w:rPr>
          <w:spacing w:val="-1"/>
        </w:rPr>
        <w:t> </w:t>
      </w:r>
      <w:r>
        <w:rPr/>
        <w:t>8 copies</w:t>
      </w:r>
      <w:r>
        <w:rPr>
          <w:spacing w:val="-7"/>
        </w:rPr>
        <w:t> </w:t>
      </w:r>
      <w:r>
        <w:rPr/>
        <w:t>were sent to University of Maiduguri and</w:t>
      </w:r>
      <w:r>
        <w:rPr>
          <w:spacing w:val="70"/>
        </w:rPr>
        <w:t> </w:t>
      </w:r>
      <w:r>
        <w:rPr/>
        <w:t>6</w:t>
      </w:r>
      <w:r>
        <w:rPr>
          <w:spacing w:val="66"/>
        </w:rPr>
        <w:t> </w:t>
      </w:r>
      <w:r>
        <w:rPr/>
        <w:t>representing</w:t>
      </w:r>
      <w:r>
        <w:rPr>
          <w:spacing w:val="66"/>
        </w:rPr>
        <w:t> </w:t>
      </w:r>
      <w:r>
        <w:rPr/>
        <w:t>75</w:t>
      </w:r>
      <w:r>
        <w:rPr>
          <w:spacing w:val="70"/>
        </w:rPr>
        <w:t> </w:t>
      </w:r>
      <w:r>
        <w:rPr/>
        <w:t>percent</w:t>
      </w:r>
      <w:r>
        <w:rPr>
          <w:spacing w:val="65"/>
        </w:rPr>
        <w:t> </w:t>
      </w:r>
      <w:r>
        <w:rPr/>
        <w:t>were</w:t>
      </w:r>
      <w:r>
        <w:rPr>
          <w:spacing w:val="70"/>
        </w:rPr>
        <w:t> </w:t>
      </w:r>
      <w:r>
        <w:rPr/>
        <w:t>received,</w:t>
      </w:r>
      <w:r>
        <w:rPr>
          <w:spacing w:val="70"/>
        </w:rPr>
        <w:t> </w:t>
      </w:r>
      <w:r>
        <w:rPr/>
        <w:t>and</w:t>
      </w:r>
      <w:r>
        <w:rPr>
          <w:spacing w:val="66"/>
        </w:rPr>
        <w:t> </w:t>
      </w:r>
      <w:r>
        <w:rPr/>
        <w:t>out</w:t>
      </w:r>
      <w:r>
        <w:rPr>
          <w:spacing w:val="65"/>
        </w:rPr>
        <w:t> </w:t>
      </w:r>
      <w:r>
        <w:rPr/>
        <w:t>of</w:t>
      </w:r>
      <w:r>
        <w:rPr>
          <w:spacing w:val="70"/>
        </w:rPr>
        <w:t> </w:t>
      </w:r>
      <w:r>
        <w:rPr/>
        <w:t>7</w:t>
      </w:r>
      <w:r>
        <w:rPr>
          <w:spacing w:val="70"/>
        </w:rPr>
        <w:t> </w:t>
      </w:r>
      <w:r>
        <w:rPr/>
        <w:t>copies</w:t>
      </w:r>
      <w:r>
        <w:rPr>
          <w:spacing w:val="69"/>
        </w:rPr>
        <w:t> </w:t>
      </w:r>
      <w:r>
        <w:rPr/>
        <w:t>sent</w:t>
      </w:r>
      <w:r>
        <w:rPr>
          <w:spacing w:val="70"/>
        </w:rPr>
        <w:t> </w:t>
      </w:r>
      <w:r>
        <w:rPr/>
        <w:t>to Usmanu Dan Fodiyo University,</w:t>
      </w:r>
      <w:r>
        <w:rPr>
          <w:spacing w:val="-1"/>
        </w:rPr>
        <w:t> </w:t>
      </w:r>
      <w:r>
        <w:rPr/>
        <w:t>Sokoto 2 representing 29</w:t>
      </w:r>
      <w:r>
        <w:rPr>
          <w:spacing w:val="-4"/>
        </w:rPr>
        <w:t> </w:t>
      </w:r>
      <w:r>
        <w:rPr/>
        <w:t>percent</w:t>
      </w:r>
      <w:r>
        <w:rPr>
          <w:spacing w:val="-1"/>
        </w:rPr>
        <w:t> </w:t>
      </w:r>
      <w:r>
        <w:rPr/>
        <w:t>were returned. On</w:t>
      </w:r>
      <w:r>
        <w:rPr>
          <w:spacing w:val="80"/>
        </w:rPr>
        <w:t> </w:t>
      </w:r>
      <w:r>
        <w:rPr/>
        <w:t>the</w:t>
      </w:r>
      <w:r>
        <w:rPr>
          <w:spacing w:val="80"/>
        </w:rPr>
        <w:t> </w:t>
      </w:r>
      <w:r>
        <w:rPr/>
        <w:t>whole</w:t>
      </w:r>
      <w:r>
        <w:rPr>
          <w:spacing w:val="80"/>
        </w:rPr>
        <w:t> </w:t>
      </w:r>
      <w:r>
        <w:rPr/>
        <w:t>the</w:t>
      </w:r>
      <w:r>
        <w:rPr>
          <w:spacing w:val="80"/>
        </w:rPr>
        <w:t> </w:t>
      </w:r>
      <w:r>
        <w:rPr/>
        <w:t>rate</w:t>
      </w:r>
      <w:r>
        <w:rPr>
          <w:spacing w:val="80"/>
        </w:rPr>
        <w:t> </w:t>
      </w:r>
      <w:r>
        <w:rPr/>
        <w:t>of</w:t>
      </w:r>
      <w:r>
        <w:rPr>
          <w:spacing w:val="80"/>
        </w:rPr>
        <w:t> </w:t>
      </w:r>
      <w:r>
        <w:rPr/>
        <w:t>return</w:t>
      </w:r>
      <w:r>
        <w:rPr>
          <w:spacing w:val="80"/>
        </w:rPr>
        <w:t> </w:t>
      </w:r>
      <w:r>
        <w:rPr/>
        <w:t>shows</w:t>
      </w:r>
      <w:r>
        <w:rPr>
          <w:spacing w:val="80"/>
        </w:rPr>
        <w:t> </w:t>
      </w:r>
      <w:r>
        <w:rPr/>
        <w:t>that</w:t>
      </w:r>
      <w:r>
        <w:rPr>
          <w:spacing w:val="80"/>
        </w:rPr>
        <w:t> </w:t>
      </w:r>
      <w:r>
        <w:rPr/>
        <w:t>the</w:t>
      </w:r>
      <w:r>
        <w:rPr>
          <w:spacing w:val="80"/>
        </w:rPr>
        <w:t> </w:t>
      </w:r>
      <w:r>
        <w:rPr/>
        <w:t>highest</w:t>
      </w:r>
      <w:r>
        <w:rPr>
          <w:spacing w:val="80"/>
        </w:rPr>
        <w:t> </w:t>
      </w:r>
      <w:r>
        <w:rPr/>
        <w:t>number</w:t>
      </w:r>
      <w:r>
        <w:rPr>
          <w:spacing w:val="80"/>
        </w:rPr>
        <w:t> </w:t>
      </w:r>
      <w:r>
        <w:rPr/>
        <w:t>of respondents is from Ahmadu Bello University, Zaria and the students’ group tops the</w:t>
      </w:r>
      <w:r>
        <w:rPr>
          <w:spacing w:val="40"/>
        </w:rPr>
        <w:t> </w:t>
      </w:r>
      <w:r>
        <w:rPr/>
        <w:t>highest.</w:t>
      </w:r>
      <w:r>
        <w:rPr>
          <w:spacing w:val="40"/>
        </w:rPr>
        <w:t> </w:t>
      </w:r>
      <w:r>
        <w:rPr/>
        <w:t>While</w:t>
      </w:r>
      <w:r>
        <w:rPr>
          <w:spacing w:val="40"/>
        </w:rPr>
        <w:t> </w:t>
      </w:r>
      <w:r>
        <w:rPr/>
        <w:t>the</w:t>
      </w:r>
      <w:r>
        <w:rPr>
          <w:spacing w:val="40"/>
        </w:rPr>
        <w:t> </w:t>
      </w:r>
      <w:r>
        <w:rPr/>
        <w:t>lowest</w:t>
      </w:r>
      <w:r>
        <w:rPr>
          <w:spacing w:val="40"/>
        </w:rPr>
        <w:t> </w:t>
      </w:r>
      <w:r>
        <w:rPr/>
        <w:t>is</w:t>
      </w:r>
      <w:r>
        <w:rPr>
          <w:spacing w:val="40"/>
        </w:rPr>
        <w:t> </w:t>
      </w:r>
      <w:r>
        <w:rPr/>
        <w:t>from</w:t>
      </w:r>
      <w:r>
        <w:rPr>
          <w:spacing w:val="40"/>
        </w:rPr>
        <w:t> </w:t>
      </w:r>
      <w:r>
        <w:rPr/>
        <w:t>the</w:t>
      </w:r>
      <w:r>
        <w:rPr>
          <w:spacing w:val="40"/>
        </w:rPr>
        <w:t> </w:t>
      </w:r>
      <w:r>
        <w:rPr/>
        <w:t>top</w:t>
      </w:r>
      <w:r>
        <w:rPr>
          <w:spacing w:val="40"/>
        </w:rPr>
        <w:t> </w:t>
      </w:r>
      <w:r>
        <w:rPr/>
        <w:t>Management,</w:t>
      </w:r>
      <w:r>
        <w:rPr>
          <w:spacing w:val="40"/>
        </w:rPr>
        <w:t> </w:t>
      </w:r>
      <w:r>
        <w:rPr/>
        <w:t>particularly,</w:t>
      </w:r>
      <w:r>
        <w:rPr>
          <w:spacing w:val="40"/>
        </w:rPr>
        <w:t> </w:t>
      </w:r>
      <w:r>
        <w:rPr/>
        <w:t>from Usmanu</w:t>
      </w:r>
      <w:r>
        <w:rPr>
          <w:spacing w:val="79"/>
        </w:rPr>
        <w:t> </w:t>
      </w:r>
      <w:r>
        <w:rPr/>
        <w:t>Dan</w:t>
      </w:r>
      <w:r>
        <w:rPr>
          <w:spacing w:val="79"/>
        </w:rPr>
        <w:t> </w:t>
      </w:r>
      <w:r>
        <w:rPr/>
        <w:t>Fodiyo</w:t>
      </w:r>
      <w:r>
        <w:rPr>
          <w:spacing w:val="79"/>
        </w:rPr>
        <w:t> </w:t>
      </w:r>
      <w:r>
        <w:rPr/>
        <w:t>University,</w:t>
      </w:r>
      <w:r>
        <w:rPr>
          <w:spacing w:val="78"/>
        </w:rPr>
        <w:t> </w:t>
      </w:r>
      <w:r>
        <w:rPr/>
        <w:t>Sokoto.</w:t>
      </w:r>
      <w:r>
        <w:rPr>
          <w:spacing w:val="74"/>
        </w:rPr>
        <w:t> </w:t>
      </w:r>
      <w:r>
        <w:rPr/>
        <w:t>This</w:t>
      </w:r>
      <w:r>
        <w:rPr>
          <w:spacing w:val="73"/>
        </w:rPr>
        <w:t> </w:t>
      </w:r>
      <w:r>
        <w:rPr/>
        <w:t>lowest</w:t>
      </w:r>
      <w:r>
        <w:rPr>
          <w:spacing w:val="78"/>
        </w:rPr>
        <w:t> </w:t>
      </w:r>
      <w:r>
        <w:rPr/>
        <w:t>rate</w:t>
      </w:r>
      <w:r>
        <w:rPr>
          <w:spacing w:val="79"/>
        </w:rPr>
        <w:t> </w:t>
      </w:r>
      <w:r>
        <w:rPr/>
        <w:t>of</w:t>
      </w:r>
      <w:r>
        <w:rPr>
          <w:spacing w:val="74"/>
        </w:rPr>
        <w:t> </w:t>
      </w:r>
      <w:r>
        <w:rPr/>
        <w:t>return</w:t>
      </w:r>
      <w:r>
        <w:rPr>
          <w:spacing w:val="79"/>
        </w:rPr>
        <w:t> </w:t>
      </w:r>
      <w:r>
        <w:rPr/>
        <w:t>can</w:t>
      </w:r>
      <w:r>
        <w:rPr>
          <w:spacing w:val="79"/>
        </w:rPr>
        <w:t> </w:t>
      </w:r>
      <w:r>
        <w:rPr/>
        <w:t>be attributed</w:t>
      </w:r>
      <w:r>
        <w:rPr>
          <w:spacing w:val="14"/>
        </w:rPr>
        <w:t> </w:t>
      </w:r>
      <w:r>
        <w:rPr/>
        <w:t>to</w:t>
      </w:r>
      <w:r>
        <w:rPr>
          <w:spacing w:val="14"/>
        </w:rPr>
        <w:t> </w:t>
      </w:r>
      <w:r>
        <w:rPr/>
        <w:t>the</w:t>
      </w:r>
      <w:r>
        <w:rPr>
          <w:spacing w:val="9"/>
        </w:rPr>
        <w:t> </w:t>
      </w:r>
      <w:r>
        <w:rPr/>
        <w:t>low</w:t>
      </w:r>
      <w:r>
        <w:rPr>
          <w:spacing w:val="8"/>
        </w:rPr>
        <w:t> </w:t>
      </w:r>
      <w:r>
        <w:rPr/>
        <w:t>number</w:t>
      </w:r>
      <w:r>
        <w:rPr>
          <w:spacing w:val="15"/>
        </w:rPr>
        <w:t> </w:t>
      </w:r>
      <w:r>
        <w:rPr/>
        <w:t>of</w:t>
      </w:r>
      <w:r>
        <w:rPr>
          <w:spacing w:val="14"/>
        </w:rPr>
        <w:t> </w:t>
      </w:r>
      <w:r>
        <w:rPr/>
        <w:t>respondents</w:t>
      </w:r>
      <w:r>
        <w:rPr>
          <w:spacing w:val="9"/>
        </w:rPr>
        <w:t> </w:t>
      </w:r>
      <w:r>
        <w:rPr/>
        <w:t>in</w:t>
      </w:r>
      <w:r>
        <w:rPr>
          <w:spacing w:val="14"/>
        </w:rPr>
        <w:t> </w:t>
      </w:r>
      <w:r>
        <w:rPr/>
        <w:t>top</w:t>
      </w:r>
      <w:r>
        <w:rPr>
          <w:spacing w:val="14"/>
        </w:rPr>
        <w:t> </w:t>
      </w:r>
      <w:r>
        <w:rPr/>
        <w:t>Management</w:t>
      </w:r>
      <w:r>
        <w:rPr>
          <w:spacing w:val="14"/>
        </w:rPr>
        <w:t> </w:t>
      </w:r>
      <w:r>
        <w:rPr/>
        <w:t>group</w:t>
      </w:r>
      <w:r>
        <w:rPr>
          <w:spacing w:val="14"/>
        </w:rPr>
        <w:t> </w:t>
      </w:r>
      <w:r>
        <w:rPr/>
        <w:t>and</w:t>
      </w:r>
      <w:r>
        <w:rPr>
          <w:spacing w:val="14"/>
        </w:rPr>
        <w:t> </w:t>
      </w:r>
      <w:r>
        <w:rPr>
          <w:spacing w:val="-4"/>
        </w:rPr>
        <w:t>also</w:t>
      </w:r>
    </w:p>
    <w:p>
      <w:pPr>
        <w:pStyle w:val="BodyText"/>
        <w:ind w:left="820"/>
      </w:pPr>
      <w:r>
        <w:rPr/>
        <w:t>the</w:t>
      </w:r>
      <w:r>
        <w:rPr>
          <w:spacing w:val="-9"/>
        </w:rPr>
        <w:t> </w:t>
      </w:r>
      <w:r>
        <w:rPr/>
        <w:t>low</w:t>
      </w:r>
      <w:r>
        <w:rPr>
          <w:spacing w:val="-10"/>
        </w:rPr>
        <w:t> </w:t>
      </w:r>
      <w:r>
        <w:rPr/>
        <w:t>number</w:t>
      </w:r>
      <w:r>
        <w:rPr>
          <w:spacing w:val="-4"/>
        </w:rPr>
        <w:t> </w:t>
      </w:r>
      <w:r>
        <w:rPr/>
        <w:t>of</w:t>
      </w:r>
      <w:r>
        <w:rPr>
          <w:spacing w:val="-6"/>
        </w:rPr>
        <w:t> </w:t>
      </w:r>
      <w:r>
        <w:rPr/>
        <w:t>students,</w:t>
      </w:r>
      <w:r>
        <w:rPr>
          <w:spacing w:val="-6"/>
        </w:rPr>
        <w:t> </w:t>
      </w:r>
      <w:r>
        <w:rPr/>
        <w:t>particularly</w:t>
      </w:r>
      <w:r>
        <w:rPr>
          <w:spacing w:val="-10"/>
        </w:rPr>
        <w:t> </w:t>
      </w:r>
      <w:r>
        <w:rPr/>
        <w:t>in</w:t>
      </w:r>
      <w:r>
        <w:rPr>
          <w:spacing w:val="-9"/>
        </w:rPr>
        <w:t> </w:t>
      </w:r>
      <w:r>
        <w:rPr/>
        <w:t>University</w:t>
      </w:r>
      <w:r>
        <w:rPr>
          <w:spacing w:val="-6"/>
        </w:rPr>
        <w:t> </w:t>
      </w:r>
      <w:r>
        <w:rPr/>
        <w:t>of</w:t>
      </w:r>
      <w:r>
        <w:rPr>
          <w:spacing w:val="-5"/>
        </w:rPr>
        <w:t> </w:t>
      </w:r>
      <w:r>
        <w:rPr>
          <w:spacing w:val="-4"/>
        </w:rPr>
        <w:t>Jos.</w:t>
      </w:r>
    </w:p>
    <w:p>
      <w:pPr>
        <w:spacing w:after="0"/>
        <w:sectPr>
          <w:headerReference w:type="default" r:id="rId253"/>
          <w:footerReference w:type="default" r:id="rId254"/>
          <w:pgSz w:w="12240" w:h="15840"/>
          <w:pgMar w:header="722" w:footer="791" w:top="1340" w:bottom="980" w:left="1340" w:right="840"/>
        </w:sectPr>
      </w:pPr>
    </w:p>
    <w:p>
      <w:pPr>
        <w:pStyle w:val="Heading1"/>
        <w:spacing w:before="81"/>
        <w:ind w:left="11" w:right="507"/>
      </w:pPr>
      <w:bookmarkStart w:name="_TOC_250015" w:id="53"/>
      <w:r>
        <w:rPr/>
        <w:t>CHAPTER</w:t>
      </w:r>
      <w:r>
        <w:rPr>
          <w:spacing w:val="-9"/>
        </w:rPr>
        <w:t> </w:t>
      </w:r>
      <w:bookmarkEnd w:id="53"/>
      <w:r>
        <w:rPr>
          <w:spacing w:val="-4"/>
        </w:rPr>
        <w:t>FOUR</w:t>
      </w:r>
    </w:p>
    <w:p>
      <w:pPr>
        <w:pStyle w:val="BodyText"/>
        <w:spacing w:before="2"/>
        <w:rPr>
          <w:rFonts w:ascii="Arial"/>
          <w:b/>
          <w:sz w:val="32"/>
        </w:rPr>
      </w:pPr>
    </w:p>
    <w:p>
      <w:pPr>
        <w:pStyle w:val="Heading2"/>
        <w:ind w:left="0" w:right="507"/>
        <w:jc w:val="center"/>
      </w:pPr>
      <w:bookmarkStart w:name="_TOC_250014" w:id="54"/>
      <w:r>
        <w:rPr/>
        <w:t>PRESENTATION,</w:t>
      </w:r>
      <w:r>
        <w:rPr>
          <w:spacing w:val="-8"/>
        </w:rPr>
        <w:t> </w:t>
      </w:r>
      <w:r>
        <w:rPr/>
        <w:t>ANALYSIS</w:t>
      </w:r>
      <w:r>
        <w:rPr>
          <w:spacing w:val="-6"/>
        </w:rPr>
        <w:t> </w:t>
      </w:r>
      <w:r>
        <w:rPr/>
        <w:t>AND</w:t>
      </w:r>
      <w:r>
        <w:rPr>
          <w:spacing w:val="-12"/>
        </w:rPr>
        <w:t> </w:t>
      </w:r>
      <w:r>
        <w:rPr/>
        <w:t>DISCUSSION</w:t>
      </w:r>
      <w:r>
        <w:rPr>
          <w:spacing w:val="-11"/>
        </w:rPr>
        <w:t> </w:t>
      </w:r>
      <w:r>
        <w:rPr/>
        <w:t>OF</w:t>
      </w:r>
      <w:r>
        <w:rPr>
          <w:spacing w:val="-13"/>
        </w:rPr>
        <w:t> </w:t>
      </w:r>
      <w:bookmarkEnd w:id="54"/>
      <w:r>
        <w:rPr>
          <w:spacing w:val="-4"/>
        </w:rPr>
        <w:t>DATA</w:t>
      </w:r>
    </w:p>
    <w:p>
      <w:pPr>
        <w:pStyle w:val="Heading2"/>
        <w:numPr>
          <w:ilvl w:val="1"/>
          <w:numId w:val="39"/>
        </w:numPr>
        <w:tabs>
          <w:tab w:pos="819" w:val="left" w:leader="none"/>
        </w:tabs>
        <w:spacing w:line="240" w:lineRule="auto" w:before="321" w:after="0"/>
        <w:ind w:left="819" w:right="0" w:hanging="719"/>
        <w:jc w:val="left"/>
        <w:rPr>
          <w:rFonts w:ascii="Arial MT"/>
          <w:b w:val="0"/>
        </w:rPr>
      </w:pPr>
      <w:bookmarkStart w:name="_TOC_250013" w:id="55"/>
      <w:bookmarkEnd w:id="55"/>
      <w:r>
        <w:rPr>
          <w:spacing w:val="-2"/>
        </w:rPr>
        <w:t>Introduction</w:t>
      </w:r>
    </w:p>
    <w:p>
      <w:pPr>
        <w:pStyle w:val="BodyText"/>
        <w:spacing w:before="8"/>
        <w:rPr>
          <w:rFonts w:ascii="Arial"/>
          <w:b/>
          <w:sz w:val="28"/>
        </w:rPr>
      </w:pPr>
    </w:p>
    <w:p>
      <w:pPr>
        <w:pStyle w:val="BodyText"/>
        <w:spacing w:line="480" w:lineRule="auto"/>
        <w:ind w:left="820" w:right="37" w:firstLine="720"/>
      </w:pPr>
      <w:r>
        <w:rPr/>
        <w:t>This</w:t>
      </w:r>
      <w:r>
        <w:rPr>
          <w:spacing w:val="30"/>
        </w:rPr>
        <w:t> </w:t>
      </w:r>
      <w:r>
        <w:rPr/>
        <w:t>chapter</w:t>
      </w:r>
      <w:r>
        <w:rPr>
          <w:spacing w:val="28"/>
        </w:rPr>
        <w:t> </w:t>
      </w:r>
      <w:r>
        <w:rPr/>
        <w:t>presents</w:t>
      </w:r>
      <w:r>
        <w:rPr>
          <w:spacing w:val="30"/>
        </w:rPr>
        <w:t> </w:t>
      </w:r>
      <w:r>
        <w:rPr/>
        <w:t>the</w:t>
      </w:r>
      <w:r>
        <w:rPr>
          <w:spacing w:val="31"/>
        </w:rPr>
        <w:t> </w:t>
      </w:r>
      <w:r>
        <w:rPr/>
        <w:t>analysis and</w:t>
      </w:r>
      <w:r>
        <w:rPr>
          <w:spacing w:val="27"/>
        </w:rPr>
        <w:t> </w:t>
      </w:r>
      <w:r>
        <w:rPr/>
        <w:t>discussion</w:t>
      </w:r>
      <w:r>
        <w:rPr>
          <w:spacing w:val="27"/>
        </w:rPr>
        <w:t> </w:t>
      </w:r>
      <w:r>
        <w:rPr/>
        <w:t>of data</w:t>
      </w:r>
      <w:r>
        <w:rPr>
          <w:spacing w:val="27"/>
        </w:rPr>
        <w:t> </w:t>
      </w:r>
      <w:r>
        <w:rPr/>
        <w:t>related</w:t>
      </w:r>
      <w:r>
        <w:rPr>
          <w:spacing w:val="31"/>
        </w:rPr>
        <w:t> </w:t>
      </w:r>
      <w:r>
        <w:rPr/>
        <w:t>to</w:t>
      </w:r>
      <w:r>
        <w:rPr>
          <w:spacing w:val="27"/>
        </w:rPr>
        <w:t> </w:t>
      </w:r>
      <w:r>
        <w:rPr/>
        <w:t>the issues raised in Chapter one. The issues were:</w:t>
      </w:r>
    </w:p>
    <w:p>
      <w:pPr>
        <w:pStyle w:val="ListParagraph"/>
        <w:numPr>
          <w:ilvl w:val="0"/>
          <w:numId w:val="40"/>
        </w:numPr>
        <w:tabs>
          <w:tab w:pos="2260" w:val="left" w:leader="none"/>
        </w:tabs>
        <w:spacing w:line="480" w:lineRule="auto" w:before="0" w:after="0"/>
        <w:ind w:left="2260" w:right="595" w:hanging="360"/>
        <w:jc w:val="left"/>
        <w:rPr>
          <w:sz w:val="24"/>
        </w:rPr>
      </w:pPr>
      <w:r>
        <w:rPr>
          <w:sz w:val="24"/>
        </w:rPr>
        <w:t>The</w:t>
      </w:r>
      <w:r>
        <w:rPr>
          <w:spacing w:val="80"/>
          <w:sz w:val="24"/>
        </w:rPr>
        <w:t> </w:t>
      </w:r>
      <w:r>
        <w:rPr>
          <w:sz w:val="24"/>
        </w:rPr>
        <w:t>availability</w:t>
      </w:r>
      <w:r>
        <w:rPr>
          <w:spacing w:val="80"/>
          <w:sz w:val="24"/>
        </w:rPr>
        <w:t> </w:t>
      </w:r>
      <w:r>
        <w:rPr>
          <w:sz w:val="24"/>
        </w:rPr>
        <w:t>and</w:t>
      </w:r>
      <w:r>
        <w:rPr>
          <w:spacing w:val="78"/>
          <w:sz w:val="24"/>
        </w:rPr>
        <w:t> </w:t>
      </w:r>
      <w:r>
        <w:rPr>
          <w:sz w:val="24"/>
        </w:rPr>
        <w:t>types</w:t>
      </w:r>
      <w:r>
        <w:rPr>
          <w:spacing w:val="77"/>
          <w:sz w:val="24"/>
        </w:rPr>
        <w:t> </w:t>
      </w:r>
      <w:r>
        <w:rPr>
          <w:sz w:val="24"/>
        </w:rPr>
        <w:t>of</w:t>
      </w:r>
      <w:r>
        <w:rPr>
          <w:spacing w:val="80"/>
          <w:sz w:val="24"/>
        </w:rPr>
        <w:t> </w:t>
      </w:r>
      <w:r>
        <w:rPr>
          <w:sz w:val="24"/>
        </w:rPr>
        <w:t>students’</w:t>
      </w:r>
      <w:r>
        <w:rPr>
          <w:spacing w:val="80"/>
          <w:sz w:val="24"/>
        </w:rPr>
        <w:t> </w:t>
      </w:r>
      <w:r>
        <w:rPr>
          <w:sz w:val="24"/>
        </w:rPr>
        <w:t>welfare</w:t>
      </w:r>
      <w:r>
        <w:rPr>
          <w:spacing w:val="80"/>
          <w:sz w:val="24"/>
        </w:rPr>
        <w:t> </w:t>
      </w:r>
      <w:r>
        <w:rPr>
          <w:sz w:val="24"/>
        </w:rPr>
        <w:t>services</w:t>
      </w:r>
      <w:r>
        <w:rPr>
          <w:spacing w:val="77"/>
          <w:sz w:val="24"/>
        </w:rPr>
        <w:t> </w:t>
      </w:r>
      <w:r>
        <w:rPr>
          <w:sz w:val="24"/>
        </w:rPr>
        <w:t>in</w:t>
      </w:r>
      <w:r>
        <w:rPr>
          <w:spacing w:val="80"/>
          <w:sz w:val="24"/>
        </w:rPr>
        <w:t> </w:t>
      </w:r>
      <w:r>
        <w:rPr>
          <w:sz w:val="24"/>
        </w:rPr>
        <w:t>the Universities in three geopolitical zones in Northern part of Nigeria.</w:t>
      </w:r>
    </w:p>
    <w:p>
      <w:pPr>
        <w:pStyle w:val="ListParagraph"/>
        <w:numPr>
          <w:ilvl w:val="0"/>
          <w:numId w:val="40"/>
        </w:numPr>
        <w:tabs>
          <w:tab w:pos="2260" w:val="left" w:leader="none"/>
        </w:tabs>
        <w:spacing w:line="480" w:lineRule="auto" w:before="0" w:after="0"/>
        <w:ind w:left="2260" w:right="597" w:hanging="360"/>
        <w:jc w:val="left"/>
        <w:rPr>
          <w:sz w:val="24"/>
        </w:rPr>
      </w:pPr>
      <w:r>
        <w:rPr>
          <w:sz w:val="24"/>
        </w:rPr>
        <w:t>The</w:t>
      </w:r>
      <w:r>
        <w:rPr>
          <w:spacing w:val="-2"/>
          <w:sz w:val="24"/>
        </w:rPr>
        <w:t> </w:t>
      </w:r>
      <w:r>
        <w:rPr>
          <w:sz w:val="24"/>
        </w:rPr>
        <w:t>impact</w:t>
      </w:r>
      <w:r>
        <w:rPr>
          <w:spacing w:val="-3"/>
          <w:sz w:val="24"/>
        </w:rPr>
        <w:t> </w:t>
      </w:r>
      <w:r>
        <w:rPr>
          <w:sz w:val="24"/>
        </w:rPr>
        <w:t>and</w:t>
      </w:r>
      <w:r>
        <w:rPr>
          <w:spacing w:val="-2"/>
          <w:sz w:val="24"/>
        </w:rPr>
        <w:t> </w:t>
      </w:r>
      <w:r>
        <w:rPr>
          <w:sz w:val="24"/>
        </w:rPr>
        <w:t>influence</w:t>
      </w:r>
      <w:r>
        <w:rPr>
          <w:spacing w:val="-2"/>
          <w:sz w:val="24"/>
        </w:rPr>
        <w:t> </w:t>
      </w:r>
      <w:r>
        <w:rPr>
          <w:sz w:val="24"/>
        </w:rPr>
        <w:t>of</w:t>
      </w:r>
      <w:r>
        <w:rPr>
          <w:spacing w:val="-3"/>
          <w:sz w:val="24"/>
        </w:rPr>
        <w:t> </w:t>
      </w:r>
      <w:r>
        <w:rPr>
          <w:sz w:val="24"/>
        </w:rPr>
        <w:t>the</w:t>
      </w:r>
      <w:r>
        <w:rPr>
          <w:spacing w:val="-2"/>
          <w:sz w:val="24"/>
        </w:rPr>
        <w:t> </w:t>
      </w:r>
      <w:r>
        <w:rPr>
          <w:sz w:val="24"/>
        </w:rPr>
        <w:t>social services</w:t>
      </w:r>
      <w:r>
        <w:rPr>
          <w:spacing w:val="-3"/>
          <w:sz w:val="24"/>
        </w:rPr>
        <w:t> </w:t>
      </w:r>
      <w:r>
        <w:rPr>
          <w:sz w:val="24"/>
        </w:rPr>
        <w:t>on</w:t>
      </w:r>
      <w:r>
        <w:rPr>
          <w:spacing w:val="-2"/>
          <w:sz w:val="24"/>
        </w:rPr>
        <w:t> </w:t>
      </w:r>
      <w:r>
        <w:rPr>
          <w:sz w:val="24"/>
        </w:rPr>
        <w:t>students’</w:t>
      </w:r>
      <w:r>
        <w:rPr>
          <w:spacing w:val="-3"/>
          <w:sz w:val="24"/>
        </w:rPr>
        <w:t> </w:t>
      </w:r>
      <w:r>
        <w:rPr>
          <w:sz w:val="24"/>
        </w:rPr>
        <w:t>welfare and behaviour in the Universities under study.</w:t>
      </w:r>
    </w:p>
    <w:p>
      <w:pPr>
        <w:pStyle w:val="ListParagraph"/>
        <w:numPr>
          <w:ilvl w:val="0"/>
          <w:numId w:val="40"/>
        </w:numPr>
        <w:tabs>
          <w:tab w:pos="2260" w:val="left" w:leader="none"/>
        </w:tabs>
        <w:spacing w:line="480" w:lineRule="auto" w:before="1" w:after="0"/>
        <w:ind w:left="2260" w:right="592" w:hanging="360"/>
        <w:jc w:val="left"/>
        <w:rPr>
          <w:sz w:val="24"/>
        </w:rPr>
      </w:pPr>
      <w:r>
        <w:rPr>
          <w:sz w:val="24"/>
        </w:rPr>
        <w:t>The</w:t>
      </w:r>
      <w:r>
        <w:rPr>
          <w:spacing w:val="80"/>
          <w:sz w:val="24"/>
        </w:rPr>
        <w:t> </w:t>
      </w:r>
      <w:r>
        <w:rPr>
          <w:sz w:val="24"/>
        </w:rPr>
        <w:t>impact</w:t>
      </w:r>
      <w:r>
        <w:rPr>
          <w:spacing w:val="80"/>
          <w:sz w:val="24"/>
        </w:rPr>
        <w:t> </w:t>
      </w:r>
      <w:r>
        <w:rPr>
          <w:sz w:val="24"/>
        </w:rPr>
        <w:t>and</w:t>
      </w:r>
      <w:r>
        <w:rPr>
          <w:spacing w:val="80"/>
          <w:sz w:val="24"/>
        </w:rPr>
        <w:t> </w:t>
      </w:r>
      <w:r>
        <w:rPr>
          <w:sz w:val="24"/>
        </w:rPr>
        <w:t>influence</w:t>
      </w:r>
      <w:r>
        <w:rPr>
          <w:spacing w:val="80"/>
          <w:sz w:val="24"/>
        </w:rPr>
        <w:t> </w:t>
      </w:r>
      <w:r>
        <w:rPr>
          <w:sz w:val="24"/>
        </w:rPr>
        <w:t>of</w:t>
      </w:r>
      <w:r>
        <w:rPr>
          <w:spacing w:val="80"/>
          <w:sz w:val="24"/>
        </w:rPr>
        <w:t> </w:t>
      </w:r>
      <w:r>
        <w:rPr>
          <w:sz w:val="24"/>
        </w:rPr>
        <w:t>Academic</w:t>
      </w:r>
      <w:r>
        <w:rPr>
          <w:spacing w:val="80"/>
          <w:sz w:val="24"/>
        </w:rPr>
        <w:t> </w:t>
      </w:r>
      <w:r>
        <w:rPr>
          <w:sz w:val="24"/>
        </w:rPr>
        <w:t>services</w:t>
      </w:r>
      <w:r>
        <w:rPr>
          <w:spacing w:val="80"/>
          <w:sz w:val="24"/>
        </w:rPr>
        <w:t> </w:t>
      </w:r>
      <w:r>
        <w:rPr>
          <w:sz w:val="24"/>
        </w:rPr>
        <w:t>on</w:t>
      </w:r>
      <w:r>
        <w:rPr>
          <w:spacing w:val="80"/>
          <w:sz w:val="24"/>
        </w:rPr>
        <w:t> </w:t>
      </w:r>
      <w:r>
        <w:rPr>
          <w:sz w:val="24"/>
        </w:rPr>
        <w:t>students’ welfare services in these Universities.</w:t>
      </w:r>
    </w:p>
    <w:p>
      <w:pPr>
        <w:pStyle w:val="ListParagraph"/>
        <w:numPr>
          <w:ilvl w:val="0"/>
          <w:numId w:val="40"/>
        </w:numPr>
        <w:tabs>
          <w:tab w:pos="2260" w:val="left" w:leader="none"/>
        </w:tabs>
        <w:spacing w:line="480" w:lineRule="auto" w:before="0" w:after="0"/>
        <w:ind w:left="2260" w:right="594" w:hanging="360"/>
        <w:jc w:val="left"/>
        <w:rPr>
          <w:sz w:val="24"/>
        </w:rPr>
      </w:pPr>
      <w:r>
        <w:rPr>
          <w:sz w:val="24"/>
        </w:rPr>
        <w:t>The</w:t>
      </w:r>
      <w:r>
        <w:rPr>
          <w:spacing w:val="80"/>
          <w:sz w:val="24"/>
        </w:rPr>
        <w:t> </w:t>
      </w:r>
      <w:r>
        <w:rPr>
          <w:sz w:val="24"/>
        </w:rPr>
        <w:t>impact</w:t>
      </w:r>
      <w:r>
        <w:rPr>
          <w:spacing w:val="80"/>
          <w:sz w:val="24"/>
        </w:rPr>
        <w:t> </w:t>
      </w:r>
      <w:r>
        <w:rPr>
          <w:sz w:val="24"/>
        </w:rPr>
        <w:t>and</w:t>
      </w:r>
      <w:r>
        <w:rPr>
          <w:spacing w:val="80"/>
          <w:sz w:val="24"/>
        </w:rPr>
        <w:t> </w:t>
      </w:r>
      <w:r>
        <w:rPr>
          <w:sz w:val="24"/>
        </w:rPr>
        <w:t>influence</w:t>
      </w:r>
      <w:r>
        <w:rPr>
          <w:spacing w:val="80"/>
          <w:sz w:val="24"/>
        </w:rPr>
        <w:t> </w:t>
      </w:r>
      <w:r>
        <w:rPr>
          <w:sz w:val="24"/>
        </w:rPr>
        <w:t>of</w:t>
      </w:r>
      <w:r>
        <w:rPr>
          <w:spacing w:val="80"/>
          <w:sz w:val="24"/>
        </w:rPr>
        <w:t> </w:t>
      </w:r>
      <w:r>
        <w:rPr>
          <w:sz w:val="24"/>
        </w:rPr>
        <w:t>medical</w:t>
      </w:r>
      <w:r>
        <w:rPr>
          <w:spacing w:val="80"/>
          <w:sz w:val="24"/>
        </w:rPr>
        <w:t> </w:t>
      </w:r>
      <w:r>
        <w:rPr>
          <w:sz w:val="24"/>
        </w:rPr>
        <w:t>and</w:t>
      </w:r>
      <w:r>
        <w:rPr>
          <w:spacing w:val="80"/>
          <w:sz w:val="24"/>
        </w:rPr>
        <w:t> </w:t>
      </w:r>
      <w:r>
        <w:rPr>
          <w:sz w:val="24"/>
        </w:rPr>
        <w:t>health</w:t>
      </w:r>
      <w:r>
        <w:rPr>
          <w:spacing w:val="80"/>
          <w:sz w:val="24"/>
        </w:rPr>
        <w:t> </w:t>
      </w:r>
      <w:r>
        <w:rPr>
          <w:sz w:val="24"/>
        </w:rPr>
        <w:t>services</w:t>
      </w:r>
      <w:r>
        <w:rPr>
          <w:spacing w:val="80"/>
          <w:sz w:val="24"/>
        </w:rPr>
        <w:t> </w:t>
      </w:r>
      <w:r>
        <w:rPr>
          <w:sz w:val="24"/>
        </w:rPr>
        <w:t>on students’ welfare and behaviour in these Universities.</w:t>
      </w:r>
    </w:p>
    <w:p>
      <w:pPr>
        <w:pStyle w:val="ListParagraph"/>
        <w:numPr>
          <w:ilvl w:val="0"/>
          <w:numId w:val="40"/>
        </w:numPr>
        <w:tabs>
          <w:tab w:pos="2260" w:val="left" w:leader="none"/>
        </w:tabs>
        <w:spacing w:line="480" w:lineRule="auto" w:before="0" w:after="0"/>
        <w:ind w:left="2260" w:right="596" w:hanging="360"/>
        <w:jc w:val="left"/>
        <w:rPr>
          <w:sz w:val="24"/>
        </w:rPr>
      </w:pPr>
      <w:r>
        <w:rPr>
          <w:sz w:val="24"/>
        </w:rPr>
        <w:t>The</w:t>
      </w:r>
      <w:r>
        <w:rPr>
          <w:spacing w:val="40"/>
          <w:sz w:val="24"/>
        </w:rPr>
        <w:t> </w:t>
      </w:r>
      <w:r>
        <w:rPr>
          <w:sz w:val="24"/>
        </w:rPr>
        <w:t>impact</w:t>
      </w:r>
      <w:r>
        <w:rPr>
          <w:spacing w:val="40"/>
          <w:sz w:val="24"/>
        </w:rPr>
        <w:t> </w:t>
      </w:r>
      <w:r>
        <w:rPr>
          <w:sz w:val="24"/>
        </w:rPr>
        <w:t>and</w:t>
      </w:r>
      <w:r>
        <w:rPr>
          <w:spacing w:val="35"/>
          <w:sz w:val="24"/>
        </w:rPr>
        <w:t> </w:t>
      </w:r>
      <w:r>
        <w:rPr>
          <w:sz w:val="24"/>
        </w:rPr>
        <w:t>influence</w:t>
      </w:r>
      <w:r>
        <w:rPr>
          <w:spacing w:val="40"/>
          <w:sz w:val="24"/>
        </w:rPr>
        <w:t> </w:t>
      </w:r>
      <w:r>
        <w:rPr>
          <w:sz w:val="24"/>
        </w:rPr>
        <w:t>of</w:t>
      </w:r>
      <w:r>
        <w:rPr>
          <w:spacing w:val="39"/>
          <w:sz w:val="24"/>
        </w:rPr>
        <w:t> </w:t>
      </w:r>
      <w:r>
        <w:rPr>
          <w:sz w:val="24"/>
        </w:rPr>
        <w:t>environmental</w:t>
      </w:r>
      <w:r>
        <w:rPr>
          <w:spacing w:val="40"/>
          <w:sz w:val="24"/>
        </w:rPr>
        <w:t> </w:t>
      </w:r>
      <w:r>
        <w:rPr>
          <w:sz w:val="24"/>
        </w:rPr>
        <w:t>services</w:t>
      </w:r>
      <w:r>
        <w:rPr>
          <w:spacing w:val="40"/>
          <w:sz w:val="24"/>
        </w:rPr>
        <w:t> </w:t>
      </w:r>
      <w:r>
        <w:rPr>
          <w:sz w:val="24"/>
        </w:rPr>
        <w:t>on</w:t>
      </w:r>
      <w:r>
        <w:rPr>
          <w:spacing w:val="40"/>
          <w:sz w:val="24"/>
        </w:rPr>
        <w:t> </w:t>
      </w:r>
      <w:r>
        <w:rPr>
          <w:sz w:val="24"/>
        </w:rPr>
        <w:t>students’ welfare and behaviour in these Universities.</w:t>
      </w:r>
    </w:p>
    <w:p>
      <w:pPr>
        <w:pStyle w:val="ListParagraph"/>
        <w:numPr>
          <w:ilvl w:val="0"/>
          <w:numId w:val="40"/>
        </w:numPr>
        <w:tabs>
          <w:tab w:pos="2260" w:val="left" w:leader="none"/>
        </w:tabs>
        <w:spacing w:line="480" w:lineRule="auto" w:before="0" w:after="0"/>
        <w:ind w:left="2260" w:right="597" w:hanging="360"/>
        <w:jc w:val="left"/>
        <w:rPr>
          <w:sz w:val="24"/>
        </w:rPr>
      </w:pPr>
      <w:r>
        <w:rPr>
          <w:sz w:val="24"/>
        </w:rPr>
        <w:t>The effect of the application of management strategies on students’ welfare services in the these Universities.</w:t>
      </w:r>
    </w:p>
    <w:p>
      <w:pPr>
        <w:pStyle w:val="BodyText"/>
        <w:spacing w:line="480" w:lineRule="auto"/>
        <w:ind w:left="820" w:right="37" w:firstLine="720"/>
      </w:pPr>
      <w:r>
        <w:rPr/>
        <w:t>The</w:t>
      </w:r>
      <w:r>
        <w:rPr>
          <w:spacing w:val="80"/>
          <w:w w:val="150"/>
        </w:rPr>
        <w:t> </w:t>
      </w:r>
      <w:r>
        <w:rPr/>
        <w:t>total</w:t>
      </w:r>
      <w:r>
        <w:rPr>
          <w:spacing w:val="80"/>
          <w:w w:val="150"/>
        </w:rPr>
        <w:t> </w:t>
      </w:r>
      <w:r>
        <w:rPr/>
        <w:t>summary</w:t>
      </w:r>
      <w:r>
        <w:rPr>
          <w:spacing w:val="80"/>
          <w:w w:val="150"/>
        </w:rPr>
        <w:t> </w:t>
      </w:r>
      <w:r>
        <w:rPr/>
        <w:t>of</w:t>
      </w:r>
      <w:r>
        <w:rPr>
          <w:spacing w:val="80"/>
          <w:w w:val="150"/>
        </w:rPr>
        <w:t> </w:t>
      </w:r>
      <w:r>
        <w:rPr/>
        <w:t>data</w:t>
      </w:r>
      <w:r>
        <w:rPr>
          <w:spacing w:val="80"/>
          <w:w w:val="150"/>
        </w:rPr>
        <w:t> </w:t>
      </w:r>
      <w:r>
        <w:rPr/>
        <w:t>using</w:t>
      </w:r>
      <w:r>
        <w:rPr>
          <w:spacing w:val="80"/>
        </w:rPr>
        <w:t> </w:t>
      </w:r>
      <w:r>
        <w:rPr/>
        <w:t>descriptive</w:t>
      </w:r>
      <w:r>
        <w:rPr>
          <w:spacing w:val="80"/>
        </w:rPr>
        <w:t> </w:t>
      </w:r>
      <w:r>
        <w:rPr/>
        <w:t>statistics</w:t>
      </w:r>
      <w:r>
        <w:rPr>
          <w:spacing w:val="80"/>
        </w:rPr>
        <w:t> </w:t>
      </w:r>
      <w:r>
        <w:rPr/>
        <w:t>is</w:t>
      </w:r>
      <w:r>
        <w:rPr>
          <w:spacing w:val="80"/>
          <w:w w:val="150"/>
        </w:rPr>
        <w:t> </w:t>
      </w:r>
      <w:r>
        <w:rPr/>
        <w:t>however presented in table 4.1.1.</w:t>
      </w:r>
    </w:p>
    <w:p>
      <w:pPr>
        <w:spacing w:after="0" w:line="480" w:lineRule="auto"/>
        <w:sectPr>
          <w:headerReference w:type="default" r:id="rId255"/>
          <w:footerReference w:type="default" r:id="rId256"/>
          <w:pgSz w:w="12240" w:h="15840"/>
          <w:pgMar w:header="722" w:footer="791" w:top="1340" w:bottom="980" w:left="1340" w:right="840"/>
        </w:sectPr>
      </w:pPr>
    </w:p>
    <w:p>
      <w:pPr>
        <w:tabs>
          <w:tab w:pos="1596" w:val="left" w:leader="none"/>
        </w:tabs>
        <w:spacing w:before="84"/>
        <w:ind w:left="100" w:right="0" w:firstLine="0"/>
        <w:jc w:val="left"/>
        <w:rPr>
          <w:rFonts w:ascii="Arial"/>
          <w:b/>
          <w:sz w:val="24"/>
        </w:rPr>
      </w:pPr>
      <w:r>
        <w:rPr>
          <w:rFonts w:ascii="Arial"/>
          <w:b/>
          <w:sz w:val="24"/>
        </w:rPr>
        <w:t>Table</w:t>
      </w:r>
      <w:r>
        <w:rPr>
          <w:rFonts w:ascii="Arial"/>
          <w:b/>
          <w:spacing w:val="-5"/>
          <w:sz w:val="24"/>
        </w:rPr>
        <w:t> </w:t>
      </w:r>
      <w:r>
        <w:rPr>
          <w:rFonts w:ascii="Arial"/>
          <w:b/>
          <w:spacing w:val="-2"/>
          <w:sz w:val="24"/>
        </w:rPr>
        <w:t>4.1.1</w:t>
      </w:r>
      <w:r>
        <w:rPr>
          <w:rFonts w:ascii="Arial"/>
          <w:b/>
          <w:sz w:val="24"/>
        </w:rPr>
        <w:tab/>
        <w:t>Descriptive</w:t>
      </w:r>
      <w:r>
        <w:rPr>
          <w:rFonts w:ascii="Arial"/>
          <w:b/>
          <w:spacing w:val="-12"/>
          <w:sz w:val="24"/>
        </w:rPr>
        <w:t> </w:t>
      </w:r>
      <w:r>
        <w:rPr>
          <w:rFonts w:ascii="Arial"/>
          <w:b/>
          <w:sz w:val="24"/>
        </w:rPr>
        <w:t>Summary</w:t>
      </w:r>
      <w:r>
        <w:rPr>
          <w:rFonts w:ascii="Arial"/>
          <w:b/>
          <w:spacing w:val="-14"/>
          <w:sz w:val="24"/>
        </w:rPr>
        <w:t> </w:t>
      </w:r>
      <w:r>
        <w:rPr>
          <w:rFonts w:ascii="Arial"/>
          <w:b/>
          <w:sz w:val="24"/>
        </w:rPr>
        <w:t>of</w:t>
      </w:r>
      <w:r>
        <w:rPr>
          <w:rFonts w:ascii="Arial"/>
          <w:b/>
          <w:spacing w:val="-11"/>
          <w:sz w:val="24"/>
        </w:rPr>
        <w:t> </w:t>
      </w:r>
      <w:r>
        <w:rPr>
          <w:rFonts w:ascii="Arial"/>
          <w:b/>
          <w:spacing w:val="-4"/>
          <w:sz w:val="24"/>
        </w:rPr>
        <w:t>Data</w:t>
      </w:r>
    </w:p>
    <w:p>
      <w:pPr>
        <w:pStyle w:val="BodyText"/>
        <w:spacing w:before="55"/>
        <w:rPr>
          <w:rFonts w:ascii="Arial"/>
          <w:b/>
          <w:sz w:val="20"/>
        </w:rPr>
      </w:pPr>
    </w:p>
    <w:tbl>
      <w:tblPr>
        <w:tblW w:w="0" w:type="auto"/>
        <w:jc w:val="left"/>
        <w:tblInd w:w="9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42"/>
        <w:gridCol w:w="1840"/>
        <w:gridCol w:w="967"/>
        <w:gridCol w:w="1104"/>
        <w:gridCol w:w="1848"/>
        <w:gridCol w:w="1443"/>
      </w:tblGrid>
      <w:tr>
        <w:trPr>
          <w:trHeight w:val="388" w:hRule="atLeast"/>
        </w:trPr>
        <w:tc>
          <w:tcPr>
            <w:tcW w:w="1842" w:type="dxa"/>
            <w:tcBorders>
              <w:top w:val="single" w:sz="4" w:space="0" w:color="000000"/>
              <w:left w:val="single" w:sz="4" w:space="0" w:color="000000"/>
              <w:bottom w:val="single" w:sz="4" w:space="0" w:color="000000"/>
            </w:tcBorders>
          </w:tcPr>
          <w:p>
            <w:pPr>
              <w:pStyle w:val="TableParagraph"/>
              <w:spacing w:line="263" w:lineRule="exact" w:before="106"/>
              <w:ind w:left="163"/>
              <w:rPr>
                <w:sz w:val="24"/>
              </w:rPr>
            </w:pPr>
            <w:r>
              <w:rPr>
                <w:spacing w:val="-2"/>
                <w:sz w:val="24"/>
              </w:rPr>
              <w:t>VARIABLES</w:t>
            </w:r>
          </w:p>
        </w:tc>
        <w:tc>
          <w:tcPr>
            <w:tcW w:w="1840" w:type="dxa"/>
            <w:tcBorders>
              <w:top w:val="single" w:sz="4" w:space="0" w:color="000000"/>
              <w:bottom w:val="single" w:sz="4" w:space="0" w:color="000000"/>
            </w:tcBorders>
          </w:tcPr>
          <w:p>
            <w:pPr>
              <w:pStyle w:val="TableParagraph"/>
              <w:spacing w:line="263" w:lineRule="exact" w:before="106"/>
              <w:ind w:left="351"/>
              <w:rPr>
                <w:sz w:val="24"/>
              </w:rPr>
            </w:pPr>
            <w:r>
              <w:rPr>
                <w:spacing w:val="-2"/>
                <w:sz w:val="24"/>
              </w:rPr>
              <w:t>Group</w:t>
            </w:r>
          </w:p>
        </w:tc>
        <w:tc>
          <w:tcPr>
            <w:tcW w:w="967" w:type="dxa"/>
            <w:tcBorders>
              <w:top w:val="single" w:sz="4" w:space="0" w:color="000000"/>
              <w:bottom w:val="single" w:sz="4" w:space="0" w:color="000000"/>
            </w:tcBorders>
          </w:tcPr>
          <w:p>
            <w:pPr>
              <w:pStyle w:val="TableParagraph"/>
              <w:spacing w:line="263" w:lineRule="exact" w:before="106"/>
              <w:ind w:left="474"/>
              <w:rPr>
                <w:sz w:val="24"/>
              </w:rPr>
            </w:pPr>
            <w:r>
              <w:rPr>
                <w:spacing w:val="-10"/>
                <w:sz w:val="24"/>
              </w:rPr>
              <w:t>N</w:t>
            </w:r>
          </w:p>
        </w:tc>
        <w:tc>
          <w:tcPr>
            <w:tcW w:w="1104" w:type="dxa"/>
            <w:tcBorders>
              <w:top w:val="single" w:sz="4" w:space="0" w:color="000000"/>
              <w:bottom w:val="single" w:sz="4" w:space="0" w:color="000000"/>
            </w:tcBorders>
          </w:tcPr>
          <w:p>
            <w:pPr>
              <w:pStyle w:val="TableParagraph"/>
              <w:spacing w:line="263" w:lineRule="exact" w:before="106"/>
              <w:ind w:left="46"/>
              <w:jc w:val="center"/>
              <w:rPr>
                <w:sz w:val="24"/>
              </w:rPr>
            </w:pPr>
            <w:r>
              <w:rPr>
                <w:spacing w:val="-4"/>
                <w:sz w:val="24"/>
              </w:rPr>
              <w:t>Mean</w:t>
            </w:r>
          </w:p>
        </w:tc>
        <w:tc>
          <w:tcPr>
            <w:tcW w:w="1848" w:type="dxa"/>
            <w:tcBorders>
              <w:top w:val="single" w:sz="4" w:space="0" w:color="000000"/>
              <w:bottom w:val="single" w:sz="4" w:space="0" w:color="000000"/>
            </w:tcBorders>
          </w:tcPr>
          <w:p>
            <w:pPr>
              <w:pStyle w:val="TableParagraph"/>
              <w:spacing w:line="263" w:lineRule="exact" w:before="106"/>
              <w:ind w:right="19"/>
              <w:jc w:val="center"/>
              <w:rPr>
                <w:sz w:val="24"/>
              </w:rPr>
            </w:pPr>
            <w:r>
              <w:rPr>
                <w:sz w:val="24"/>
              </w:rPr>
              <w:t>Std.</w:t>
            </w:r>
            <w:r>
              <w:rPr>
                <w:spacing w:val="-6"/>
                <w:sz w:val="24"/>
              </w:rPr>
              <w:t> </w:t>
            </w:r>
            <w:r>
              <w:rPr>
                <w:spacing w:val="-2"/>
                <w:sz w:val="24"/>
              </w:rPr>
              <w:t>Deviation</w:t>
            </w:r>
          </w:p>
        </w:tc>
        <w:tc>
          <w:tcPr>
            <w:tcW w:w="1443" w:type="dxa"/>
            <w:tcBorders>
              <w:top w:val="single" w:sz="4" w:space="0" w:color="000000"/>
              <w:bottom w:val="single" w:sz="4" w:space="0" w:color="000000"/>
              <w:right w:val="single" w:sz="4" w:space="0" w:color="000000"/>
            </w:tcBorders>
          </w:tcPr>
          <w:p>
            <w:pPr>
              <w:pStyle w:val="TableParagraph"/>
              <w:spacing w:line="263" w:lineRule="exact" w:before="106"/>
              <w:ind w:left="4" w:right="21"/>
              <w:jc w:val="center"/>
              <w:rPr>
                <w:sz w:val="24"/>
              </w:rPr>
            </w:pPr>
            <w:r>
              <w:rPr>
                <w:sz w:val="24"/>
              </w:rPr>
              <w:t>Std.</w:t>
            </w:r>
            <w:r>
              <w:rPr>
                <w:spacing w:val="-6"/>
                <w:sz w:val="24"/>
              </w:rPr>
              <w:t> </w:t>
            </w:r>
            <w:r>
              <w:rPr>
                <w:spacing w:val="-2"/>
                <w:sz w:val="24"/>
              </w:rPr>
              <w:t>Error</w:t>
            </w:r>
          </w:p>
        </w:tc>
      </w:tr>
      <w:tr>
        <w:trPr>
          <w:trHeight w:val="274" w:hRule="atLeast"/>
        </w:trPr>
        <w:tc>
          <w:tcPr>
            <w:tcW w:w="1842" w:type="dxa"/>
            <w:tcBorders>
              <w:top w:val="single" w:sz="4" w:space="0" w:color="000000"/>
              <w:left w:val="single" w:sz="4" w:space="0" w:color="000000"/>
            </w:tcBorders>
          </w:tcPr>
          <w:p>
            <w:pPr>
              <w:pStyle w:val="TableParagraph"/>
              <w:spacing w:line="254" w:lineRule="exact"/>
              <w:ind w:left="95"/>
              <w:rPr>
                <w:sz w:val="24"/>
              </w:rPr>
            </w:pPr>
            <w:r>
              <w:rPr>
                <w:spacing w:val="-2"/>
                <w:sz w:val="24"/>
              </w:rPr>
              <w:t>Social</w:t>
            </w:r>
          </w:p>
        </w:tc>
        <w:tc>
          <w:tcPr>
            <w:tcW w:w="1840" w:type="dxa"/>
            <w:tcBorders>
              <w:top w:val="single" w:sz="4" w:space="0" w:color="000000"/>
            </w:tcBorders>
          </w:tcPr>
          <w:p>
            <w:pPr>
              <w:pStyle w:val="TableParagraph"/>
              <w:spacing w:line="254" w:lineRule="exact"/>
              <w:ind w:left="351"/>
              <w:rPr>
                <w:sz w:val="24"/>
              </w:rPr>
            </w:pPr>
            <w:r>
              <w:rPr>
                <w:spacing w:val="-2"/>
                <w:sz w:val="24"/>
              </w:rPr>
              <w:t>Student</w:t>
            </w:r>
          </w:p>
        </w:tc>
        <w:tc>
          <w:tcPr>
            <w:tcW w:w="967" w:type="dxa"/>
            <w:tcBorders>
              <w:top w:val="single" w:sz="4" w:space="0" w:color="000000"/>
            </w:tcBorders>
          </w:tcPr>
          <w:p>
            <w:pPr>
              <w:pStyle w:val="TableParagraph"/>
              <w:spacing w:line="254" w:lineRule="exact"/>
              <w:ind w:left="364"/>
              <w:rPr>
                <w:sz w:val="24"/>
              </w:rPr>
            </w:pPr>
            <w:r>
              <w:rPr>
                <w:spacing w:val="-5"/>
                <w:sz w:val="24"/>
              </w:rPr>
              <w:t>234</w:t>
            </w:r>
          </w:p>
        </w:tc>
        <w:tc>
          <w:tcPr>
            <w:tcW w:w="1104" w:type="dxa"/>
            <w:tcBorders>
              <w:top w:val="single" w:sz="4" w:space="0" w:color="000000"/>
            </w:tcBorders>
          </w:tcPr>
          <w:p>
            <w:pPr>
              <w:pStyle w:val="TableParagraph"/>
              <w:spacing w:line="254" w:lineRule="exact"/>
              <w:ind w:left="51"/>
              <w:jc w:val="center"/>
              <w:rPr>
                <w:sz w:val="24"/>
              </w:rPr>
            </w:pPr>
            <w:r>
              <w:rPr>
                <w:spacing w:val="-4"/>
                <w:sz w:val="24"/>
              </w:rPr>
              <w:t>2.31</w:t>
            </w:r>
          </w:p>
        </w:tc>
        <w:tc>
          <w:tcPr>
            <w:tcW w:w="1848" w:type="dxa"/>
            <w:tcBorders>
              <w:top w:val="single" w:sz="4" w:space="0" w:color="000000"/>
            </w:tcBorders>
          </w:tcPr>
          <w:p>
            <w:pPr>
              <w:pStyle w:val="TableParagraph"/>
              <w:spacing w:line="254" w:lineRule="exact"/>
              <w:ind w:left="1" w:right="19"/>
              <w:jc w:val="center"/>
              <w:rPr>
                <w:sz w:val="24"/>
              </w:rPr>
            </w:pPr>
            <w:r>
              <w:rPr>
                <w:spacing w:val="-4"/>
                <w:sz w:val="24"/>
              </w:rPr>
              <w:t>.468</w:t>
            </w:r>
          </w:p>
        </w:tc>
        <w:tc>
          <w:tcPr>
            <w:tcW w:w="1443" w:type="dxa"/>
            <w:tcBorders>
              <w:top w:val="single" w:sz="4" w:space="0" w:color="000000"/>
              <w:right w:val="single" w:sz="4" w:space="0" w:color="000000"/>
            </w:tcBorders>
          </w:tcPr>
          <w:p>
            <w:pPr>
              <w:pStyle w:val="TableParagraph"/>
              <w:spacing w:line="254" w:lineRule="exact"/>
              <w:ind w:right="21"/>
              <w:jc w:val="center"/>
              <w:rPr>
                <w:sz w:val="24"/>
              </w:rPr>
            </w:pPr>
            <w:r>
              <w:rPr>
                <w:spacing w:val="-4"/>
                <w:sz w:val="24"/>
              </w:rPr>
              <w:t>.031</w:t>
            </w:r>
          </w:p>
        </w:tc>
      </w:tr>
      <w:tr>
        <w:trPr>
          <w:trHeight w:val="276" w:hRule="atLeast"/>
        </w:trPr>
        <w:tc>
          <w:tcPr>
            <w:tcW w:w="1842" w:type="dxa"/>
            <w:tcBorders>
              <w:left w:val="single" w:sz="4" w:space="0" w:color="000000"/>
            </w:tcBorders>
          </w:tcPr>
          <w:p>
            <w:pPr>
              <w:pStyle w:val="TableParagraph"/>
              <w:rPr>
                <w:rFonts w:ascii="Times New Roman"/>
                <w:sz w:val="20"/>
              </w:rPr>
            </w:pPr>
          </w:p>
        </w:tc>
        <w:tc>
          <w:tcPr>
            <w:tcW w:w="1840" w:type="dxa"/>
          </w:tcPr>
          <w:p>
            <w:pPr>
              <w:pStyle w:val="TableParagraph"/>
              <w:spacing w:line="256" w:lineRule="exact"/>
              <w:ind w:left="351"/>
              <w:rPr>
                <w:sz w:val="24"/>
              </w:rPr>
            </w:pPr>
            <w:r>
              <w:rPr>
                <w:spacing w:val="-4"/>
                <w:sz w:val="24"/>
              </w:rPr>
              <w:t>Staff</w:t>
            </w:r>
          </w:p>
        </w:tc>
        <w:tc>
          <w:tcPr>
            <w:tcW w:w="967" w:type="dxa"/>
          </w:tcPr>
          <w:p>
            <w:pPr>
              <w:pStyle w:val="TableParagraph"/>
              <w:spacing w:line="256" w:lineRule="exact"/>
              <w:ind w:left="364"/>
              <w:rPr>
                <w:sz w:val="24"/>
              </w:rPr>
            </w:pPr>
            <w:r>
              <w:rPr>
                <w:spacing w:val="-5"/>
                <w:sz w:val="24"/>
              </w:rPr>
              <w:t>200</w:t>
            </w:r>
          </w:p>
        </w:tc>
        <w:tc>
          <w:tcPr>
            <w:tcW w:w="1104" w:type="dxa"/>
          </w:tcPr>
          <w:p>
            <w:pPr>
              <w:pStyle w:val="TableParagraph"/>
              <w:spacing w:line="256" w:lineRule="exact"/>
              <w:ind w:left="51"/>
              <w:jc w:val="center"/>
              <w:rPr>
                <w:sz w:val="24"/>
              </w:rPr>
            </w:pPr>
            <w:r>
              <w:rPr>
                <w:spacing w:val="-4"/>
                <w:sz w:val="24"/>
              </w:rPr>
              <w:t>2.26</w:t>
            </w:r>
          </w:p>
        </w:tc>
        <w:tc>
          <w:tcPr>
            <w:tcW w:w="1848" w:type="dxa"/>
          </w:tcPr>
          <w:p>
            <w:pPr>
              <w:pStyle w:val="TableParagraph"/>
              <w:spacing w:line="256" w:lineRule="exact"/>
              <w:ind w:left="1" w:right="19"/>
              <w:jc w:val="center"/>
              <w:rPr>
                <w:sz w:val="24"/>
              </w:rPr>
            </w:pPr>
            <w:r>
              <w:rPr>
                <w:spacing w:val="-4"/>
                <w:sz w:val="24"/>
              </w:rPr>
              <w:t>.526</w:t>
            </w:r>
          </w:p>
        </w:tc>
        <w:tc>
          <w:tcPr>
            <w:tcW w:w="1443" w:type="dxa"/>
            <w:tcBorders>
              <w:right w:val="single" w:sz="4" w:space="0" w:color="000000"/>
            </w:tcBorders>
          </w:tcPr>
          <w:p>
            <w:pPr>
              <w:pStyle w:val="TableParagraph"/>
              <w:spacing w:line="256" w:lineRule="exact"/>
              <w:ind w:right="21"/>
              <w:jc w:val="center"/>
              <w:rPr>
                <w:sz w:val="24"/>
              </w:rPr>
            </w:pPr>
            <w:r>
              <w:rPr>
                <w:spacing w:val="-4"/>
                <w:sz w:val="24"/>
              </w:rPr>
              <w:t>.037</w:t>
            </w:r>
          </w:p>
        </w:tc>
      </w:tr>
      <w:tr>
        <w:trPr>
          <w:trHeight w:val="275" w:hRule="atLeast"/>
        </w:trPr>
        <w:tc>
          <w:tcPr>
            <w:tcW w:w="1842" w:type="dxa"/>
            <w:tcBorders>
              <w:left w:val="single" w:sz="4" w:space="0" w:color="000000"/>
              <w:bottom w:val="single" w:sz="4" w:space="0" w:color="000000"/>
            </w:tcBorders>
          </w:tcPr>
          <w:p>
            <w:pPr>
              <w:pStyle w:val="TableParagraph"/>
              <w:rPr>
                <w:rFonts w:ascii="Times New Roman"/>
                <w:sz w:val="20"/>
              </w:rPr>
            </w:pPr>
          </w:p>
        </w:tc>
        <w:tc>
          <w:tcPr>
            <w:tcW w:w="1840" w:type="dxa"/>
            <w:tcBorders>
              <w:bottom w:val="single" w:sz="4" w:space="0" w:color="000000"/>
            </w:tcBorders>
          </w:tcPr>
          <w:p>
            <w:pPr>
              <w:pStyle w:val="TableParagraph"/>
              <w:spacing w:line="255" w:lineRule="exact"/>
              <w:ind w:left="351"/>
              <w:rPr>
                <w:sz w:val="24"/>
              </w:rPr>
            </w:pPr>
            <w:r>
              <w:rPr>
                <w:spacing w:val="-2"/>
                <w:sz w:val="24"/>
              </w:rPr>
              <w:t>Managmet</w:t>
            </w:r>
          </w:p>
        </w:tc>
        <w:tc>
          <w:tcPr>
            <w:tcW w:w="967" w:type="dxa"/>
            <w:tcBorders>
              <w:bottom w:val="single" w:sz="4" w:space="0" w:color="000000"/>
            </w:tcBorders>
          </w:tcPr>
          <w:p>
            <w:pPr>
              <w:pStyle w:val="TableParagraph"/>
              <w:spacing w:line="255" w:lineRule="exact"/>
              <w:ind w:left="426"/>
              <w:rPr>
                <w:sz w:val="24"/>
              </w:rPr>
            </w:pPr>
            <w:r>
              <w:rPr>
                <w:spacing w:val="-5"/>
                <w:sz w:val="24"/>
              </w:rPr>
              <w:t>23</w:t>
            </w:r>
          </w:p>
        </w:tc>
        <w:tc>
          <w:tcPr>
            <w:tcW w:w="1104" w:type="dxa"/>
            <w:tcBorders>
              <w:bottom w:val="single" w:sz="4" w:space="0" w:color="000000"/>
            </w:tcBorders>
          </w:tcPr>
          <w:p>
            <w:pPr>
              <w:pStyle w:val="TableParagraph"/>
              <w:spacing w:line="255" w:lineRule="exact"/>
              <w:ind w:left="51"/>
              <w:jc w:val="center"/>
              <w:rPr>
                <w:sz w:val="24"/>
              </w:rPr>
            </w:pPr>
            <w:r>
              <w:rPr>
                <w:spacing w:val="-4"/>
                <w:sz w:val="24"/>
              </w:rPr>
              <w:t>2.25</w:t>
            </w:r>
          </w:p>
        </w:tc>
        <w:tc>
          <w:tcPr>
            <w:tcW w:w="1848" w:type="dxa"/>
            <w:tcBorders>
              <w:bottom w:val="single" w:sz="4" w:space="0" w:color="000000"/>
            </w:tcBorders>
          </w:tcPr>
          <w:p>
            <w:pPr>
              <w:pStyle w:val="TableParagraph"/>
              <w:spacing w:line="255" w:lineRule="exact"/>
              <w:ind w:left="1" w:right="19"/>
              <w:jc w:val="center"/>
              <w:rPr>
                <w:sz w:val="24"/>
              </w:rPr>
            </w:pPr>
            <w:r>
              <w:rPr>
                <w:spacing w:val="-4"/>
                <w:sz w:val="24"/>
              </w:rPr>
              <w:t>.444</w:t>
            </w:r>
          </w:p>
        </w:tc>
        <w:tc>
          <w:tcPr>
            <w:tcW w:w="1443" w:type="dxa"/>
            <w:tcBorders>
              <w:bottom w:val="single" w:sz="4" w:space="0" w:color="000000"/>
              <w:right w:val="single" w:sz="4" w:space="0" w:color="000000"/>
            </w:tcBorders>
          </w:tcPr>
          <w:p>
            <w:pPr>
              <w:pStyle w:val="TableParagraph"/>
              <w:spacing w:line="255" w:lineRule="exact"/>
              <w:ind w:right="21"/>
              <w:jc w:val="center"/>
              <w:rPr>
                <w:sz w:val="24"/>
              </w:rPr>
            </w:pPr>
            <w:r>
              <w:rPr>
                <w:spacing w:val="-4"/>
                <w:sz w:val="24"/>
              </w:rPr>
              <w:t>.093</w:t>
            </w:r>
          </w:p>
        </w:tc>
      </w:tr>
      <w:tr>
        <w:trPr>
          <w:trHeight w:val="277" w:hRule="atLeast"/>
        </w:trPr>
        <w:tc>
          <w:tcPr>
            <w:tcW w:w="1842"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1840" w:type="dxa"/>
            <w:tcBorders>
              <w:top w:val="single" w:sz="4" w:space="0" w:color="000000"/>
              <w:bottom w:val="single" w:sz="4" w:space="0" w:color="000000"/>
            </w:tcBorders>
          </w:tcPr>
          <w:p>
            <w:pPr>
              <w:pStyle w:val="TableParagraph"/>
              <w:spacing w:line="258" w:lineRule="exact"/>
              <w:ind w:left="351"/>
              <w:rPr>
                <w:sz w:val="24"/>
              </w:rPr>
            </w:pPr>
            <w:r>
              <w:rPr>
                <w:spacing w:val="-2"/>
                <w:sz w:val="24"/>
              </w:rPr>
              <w:t>Total</w:t>
            </w:r>
          </w:p>
        </w:tc>
        <w:tc>
          <w:tcPr>
            <w:tcW w:w="967" w:type="dxa"/>
            <w:tcBorders>
              <w:top w:val="single" w:sz="4" w:space="0" w:color="000000"/>
              <w:bottom w:val="single" w:sz="4" w:space="0" w:color="000000"/>
            </w:tcBorders>
          </w:tcPr>
          <w:p>
            <w:pPr>
              <w:pStyle w:val="TableParagraph"/>
              <w:spacing w:line="258" w:lineRule="exact"/>
              <w:ind w:left="364"/>
              <w:rPr>
                <w:sz w:val="24"/>
              </w:rPr>
            </w:pPr>
            <w:r>
              <w:rPr>
                <w:spacing w:val="-5"/>
                <w:sz w:val="24"/>
              </w:rPr>
              <w:t>457</w:t>
            </w:r>
          </w:p>
        </w:tc>
        <w:tc>
          <w:tcPr>
            <w:tcW w:w="1104" w:type="dxa"/>
            <w:tcBorders>
              <w:top w:val="single" w:sz="4" w:space="0" w:color="000000"/>
              <w:bottom w:val="single" w:sz="4" w:space="0" w:color="000000"/>
            </w:tcBorders>
          </w:tcPr>
          <w:p>
            <w:pPr>
              <w:pStyle w:val="TableParagraph"/>
              <w:spacing w:line="258" w:lineRule="exact"/>
              <w:ind w:left="51"/>
              <w:jc w:val="center"/>
              <w:rPr>
                <w:sz w:val="24"/>
              </w:rPr>
            </w:pPr>
            <w:r>
              <w:rPr>
                <w:spacing w:val="-4"/>
                <w:sz w:val="24"/>
              </w:rPr>
              <w:t>2.29</w:t>
            </w:r>
          </w:p>
        </w:tc>
        <w:tc>
          <w:tcPr>
            <w:tcW w:w="1848" w:type="dxa"/>
            <w:tcBorders>
              <w:top w:val="single" w:sz="4" w:space="0" w:color="000000"/>
              <w:bottom w:val="single" w:sz="4" w:space="0" w:color="000000"/>
            </w:tcBorders>
          </w:tcPr>
          <w:p>
            <w:pPr>
              <w:pStyle w:val="TableParagraph"/>
              <w:spacing w:line="258" w:lineRule="exact"/>
              <w:ind w:left="1" w:right="19"/>
              <w:jc w:val="center"/>
              <w:rPr>
                <w:sz w:val="24"/>
              </w:rPr>
            </w:pPr>
            <w:r>
              <w:rPr>
                <w:spacing w:val="-4"/>
                <w:sz w:val="24"/>
              </w:rPr>
              <w:t>.493</w:t>
            </w:r>
          </w:p>
        </w:tc>
        <w:tc>
          <w:tcPr>
            <w:tcW w:w="1443" w:type="dxa"/>
            <w:tcBorders>
              <w:top w:val="single" w:sz="4" w:space="0" w:color="000000"/>
              <w:bottom w:val="single" w:sz="4" w:space="0" w:color="000000"/>
              <w:right w:val="single" w:sz="4" w:space="0" w:color="000000"/>
            </w:tcBorders>
          </w:tcPr>
          <w:p>
            <w:pPr>
              <w:pStyle w:val="TableParagraph"/>
              <w:spacing w:line="258" w:lineRule="exact"/>
              <w:ind w:right="21"/>
              <w:jc w:val="center"/>
              <w:rPr>
                <w:sz w:val="24"/>
              </w:rPr>
            </w:pPr>
            <w:r>
              <w:rPr>
                <w:spacing w:val="-4"/>
                <w:sz w:val="24"/>
              </w:rPr>
              <w:t>.023</w:t>
            </w:r>
          </w:p>
        </w:tc>
      </w:tr>
      <w:tr>
        <w:trPr>
          <w:trHeight w:val="276" w:hRule="atLeast"/>
        </w:trPr>
        <w:tc>
          <w:tcPr>
            <w:tcW w:w="1842" w:type="dxa"/>
            <w:tcBorders>
              <w:top w:val="single" w:sz="4" w:space="0" w:color="000000"/>
              <w:left w:val="single" w:sz="4" w:space="0" w:color="000000"/>
            </w:tcBorders>
          </w:tcPr>
          <w:p>
            <w:pPr>
              <w:pStyle w:val="TableParagraph"/>
              <w:spacing w:line="257" w:lineRule="exact"/>
              <w:ind w:left="95"/>
              <w:rPr>
                <w:sz w:val="24"/>
              </w:rPr>
            </w:pPr>
            <w:r>
              <w:rPr>
                <w:spacing w:val="-2"/>
                <w:sz w:val="24"/>
              </w:rPr>
              <w:t>Academ</w:t>
            </w:r>
          </w:p>
        </w:tc>
        <w:tc>
          <w:tcPr>
            <w:tcW w:w="1840" w:type="dxa"/>
            <w:tcBorders>
              <w:top w:val="single" w:sz="4" w:space="0" w:color="000000"/>
            </w:tcBorders>
          </w:tcPr>
          <w:p>
            <w:pPr>
              <w:pStyle w:val="TableParagraph"/>
              <w:spacing w:line="257" w:lineRule="exact"/>
              <w:ind w:left="351"/>
              <w:rPr>
                <w:sz w:val="24"/>
              </w:rPr>
            </w:pPr>
            <w:r>
              <w:rPr>
                <w:spacing w:val="-2"/>
                <w:sz w:val="24"/>
              </w:rPr>
              <w:t>Student</w:t>
            </w:r>
          </w:p>
        </w:tc>
        <w:tc>
          <w:tcPr>
            <w:tcW w:w="967" w:type="dxa"/>
            <w:tcBorders>
              <w:top w:val="single" w:sz="4" w:space="0" w:color="000000"/>
            </w:tcBorders>
          </w:tcPr>
          <w:p>
            <w:pPr>
              <w:pStyle w:val="TableParagraph"/>
              <w:spacing w:line="257" w:lineRule="exact"/>
              <w:ind w:left="364"/>
              <w:rPr>
                <w:sz w:val="24"/>
              </w:rPr>
            </w:pPr>
            <w:r>
              <w:rPr>
                <w:spacing w:val="-5"/>
                <w:sz w:val="24"/>
              </w:rPr>
              <w:t>235</w:t>
            </w:r>
          </w:p>
        </w:tc>
        <w:tc>
          <w:tcPr>
            <w:tcW w:w="1104" w:type="dxa"/>
            <w:tcBorders>
              <w:top w:val="single" w:sz="4" w:space="0" w:color="000000"/>
            </w:tcBorders>
          </w:tcPr>
          <w:p>
            <w:pPr>
              <w:pStyle w:val="TableParagraph"/>
              <w:spacing w:line="257" w:lineRule="exact"/>
              <w:ind w:left="51"/>
              <w:jc w:val="center"/>
              <w:rPr>
                <w:sz w:val="24"/>
              </w:rPr>
            </w:pPr>
            <w:r>
              <w:rPr>
                <w:spacing w:val="-4"/>
                <w:sz w:val="24"/>
              </w:rPr>
              <w:t>2.37</w:t>
            </w:r>
          </w:p>
        </w:tc>
        <w:tc>
          <w:tcPr>
            <w:tcW w:w="1848" w:type="dxa"/>
            <w:tcBorders>
              <w:top w:val="single" w:sz="4" w:space="0" w:color="000000"/>
            </w:tcBorders>
          </w:tcPr>
          <w:p>
            <w:pPr>
              <w:pStyle w:val="TableParagraph"/>
              <w:spacing w:line="257" w:lineRule="exact"/>
              <w:ind w:left="1" w:right="19"/>
              <w:jc w:val="center"/>
              <w:rPr>
                <w:sz w:val="24"/>
              </w:rPr>
            </w:pPr>
            <w:r>
              <w:rPr>
                <w:spacing w:val="-4"/>
                <w:sz w:val="24"/>
              </w:rPr>
              <w:t>.553</w:t>
            </w:r>
          </w:p>
        </w:tc>
        <w:tc>
          <w:tcPr>
            <w:tcW w:w="1443" w:type="dxa"/>
            <w:tcBorders>
              <w:top w:val="single" w:sz="4" w:space="0" w:color="000000"/>
              <w:right w:val="single" w:sz="4" w:space="0" w:color="000000"/>
            </w:tcBorders>
          </w:tcPr>
          <w:p>
            <w:pPr>
              <w:pStyle w:val="TableParagraph"/>
              <w:spacing w:line="257" w:lineRule="exact"/>
              <w:ind w:right="21"/>
              <w:jc w:val="center"/>
              <w:rPr>
                <w:sz w:val="24"/>
              </w:rPr>
            </w:pPr>
            <w:r>
              <w:rPr>
                <w:spacing w:val="-4"/>
                <w:sz w:val="24"/>
              </w:rPr>
              <w:t>.036</w:t>
            </w:r>
          </w:p>
        </w:tc>
      </w:tr>
      <w:tr>
        <w:trPr>
          <w:trHeight w:val="275" w:hRule="atLeast"/>
        </w:trPr>
        <w:tc>
          <w:tcPr>
            <w:tcW w:w="1842" w:type="dxa"/>
            <w:tcBorders>
              <w:left w:val="single" w:sz="4" w:space="0" w:color="000000"/>
            </w:tcBorders>
          </w:tcPr>
          <w:p>
            <w:pPr>
              <w:pStyle w:val="TableParagraph"/>
              <w:rPr>
                <w:rFonts w:ascii="Times New Roman"/>
                <w:sz w:val="20"/>
              </w:rPr>
            </w:pPr>
          </w:p>
        </w:tc>
        <w:tc>
          <w:tcPr>
            <w:tcW w:w="1840" w:type="dxa"/>
          </w:tcPr>
          <w:p>
            <w:pPr>
              <w:pStyle w:val="TableParagraph"/>
              <w:spacing w:line="256" w:lineRule="exact"/>
              <w:ind w:left="351"/>
              <w:rPr>
                <w:sz w:val="24"/>
              </w:rPr>
            </w:pPr>
            <w:r>
              <w:rPr>
                <w:spacing w:val="-4"/>
                <w:sz w:val="24"/>
              </w:rPr>
              <w:t>Staff</w:t>
            </w:r>
          </w:p>
        </w:tc>
        <w:tc>
          <w:tcPr>
            <w:tcW w:w="967" w:type="dxa"/>
          </w:tcPr>
          <w:p>
            <w:pPr>
              <w:pStyle w:val="TableParagraph"/>
              <w:spacing w:line="256" w:lineRule="exact"/>
              <w:ind w:left="364"/>
              <w:rPr>
                <w:sz w:val="24"/>
              </w:rPr>
            </w:pPr>
            <w:r>
              <w:rPr>
                <w:spacing w:val="-5"/>
                <w:sz w:val="24"/>
              </w:rPr>
              <w:t>198</w:t>
            </w:r>
          </w:p>
        </w:tc>
        <w:tc>
          <w:tcPr>
            <w:tcW w:w="1104" w:type="dxa"/>
          </w:tcPr>
          <w:p>
            <w:pPr>
              <w:pStyle w:val="TableParagraph"/>
              <w:spacing w:line="256" w:lineRule="exact"/>
              <w:ind w:left="51"/>
              <w:jc w:val="center"/>
              <w:rPr>
                <w:sz w:val="24"/>
              </w:rPr>
            </w:pPr>
            <w:r>
              <w:rPr>
                <w:spacing w:val="-4"/>
                <w:sz w:val="24"/>
              </w:rPr>
              <w:t>2.32</w:t>
            </w:r>
          </w:p>
        </w:tc>
        <w:tc>
          <w:tcPr>
            <w:tcW w:w="1848" w:type="dxa"/>
          </w:tcPr>
          <w:p>
            <w:pPr>
              <w:pStyle w:val="TableParagraph"/>
              <w:spacing w:line="256" w:lineRule="exact"/>
              <w:ind w:left="1" w:right="19"/>
              <w:jc w:val="center"/>
              <w:rPr>
                <w:sz w:val="24"/>
              </w:rPr>
            </w:pPr>
            <w:r>
              <w:rPr>
                <w:spacing w:val="-4"/>
                <w:sz w:val="24"/>
              </w:rPr>
              <w:t>.572</w:t>
            </w:r>
          </w:p>
        </w:tc>
        <w:tc>
          <w:tcPr>
            <w:tcW w:w="1443" w:type="dxa"/>
            <w:tcBorders>
              <w:right w:val="single" w:sz="4" w:space="0" w:color="000000"/>
            </w:tcBorders>
          </w:tcPr>
          <w:p>
            <w:pPr>
              <w:pStyle w:val="TableParagraph"/>
              <w:spacing w:line="256" w:lineRule="exact"/>
              <w:ind w:right="21"/>
              <w:jc w:val="center"/>
              <w:rPr>
                <w:sz w:val="24"/>
              </w:rPr>
            </w:pPr>
            <w:r>
              <w:rPr>
                <w:spacing w:val="-4"/>
                <w:sz w:val="24"/>
              </w:rPr>
              <w:t>.041</w:t>
            </w:r>
          </w:p>
        </w:tc>
      </w:tr>
      <w:tr>
        <w:trPr>
          <w:trHeight w:val="277" w:hRule="atLeast"/>
        </w:trPr>
        <w:tc>
          <w:tcPr>
            <w:tcW w:w="1842" w:type="dxa"/>
            <w:tcBorders>
              <w:left w:val="single" w:sz="4" w:space="0" w:color="000000"/>
              <w:bottom w:val="single" w:sz="4" w:space="0" w:color="000000"/>
            </w:tcBorders>
          </w:tcPr>
          <w:p>
            <w:pPr>
              <w:pStyle w:val="TableParagraph"/>
              <w:rPr>
                <w:rFonts w:ascii="Times New Roman"/>
                <w:sz w:val="20"/>
              </w:rPr>
            </w:pPr>
          </w:p>
        </w:tc>
        <w:tc>
          <w:tcPr>
            <w:tcW w:w="1840" w:type="dxa"/>
            <w:tcBorders>
              <w:bottom w:val="single" w:sz="4" w:space="0" w:color="000000"/>
            </w:tcBorders>
          </w:tcPr>
          <w:p>
            <w:pPr>
              <w:pStyle w:val="TableParagraph"/>
              <w:spacing w:line="257" w:lineRule="exact"/>
              <w:ind w:left="351"/>
              <w:rPr>
                <w:sz w:val="24"/>
              </w:rPr>
            </w:pPr>
            <w:r>
              <w:rPr>
                <w:spacing w:val="-2"/>
                <w:sz w:val="24"/>
              </w:rPr>
              <w:t>Managmet</w:t>
            </w:r>
          </w:p>
        </w:tc>
        <w:tc>
          <w:tcPr>
            <w:tcW w:w="967" w:type="dxa"/>
            <w:tcBorders>
              <w:bottom w:val="single" w:sz="4" w:space="0" w:color="000000"/>
            </w:tcBorders>
          </w:tcPr>
          <w:p>
            <w:pPr>
              <w:pStyle w:val="TableParagraph"/>
              <w:spacing w:line="257" w:lineRule="exact"/>
              <w:ind w:left="426"/>
              <w:rPr>
                <w:sz w:val="24"/>
              </w:rPr>
            </w:pPr>
            <w:r>
              <w:rPr>
                <w:spacing w:val="-5"/>
                <w:sz w:val="24"/>
              </w:rPr>
              <w:t>23</w:t>
            </w:r>
          </w:p>
        </w:tc>
        <w:tc>
          <w:tcPr>
            <w:tcW w:w="1104" w:type="dxa"/>
            <w:tcBorders>
              <w:bottom w:val="single" w:sz="4" w:space="0" w:color="000000"/>
            </w:tcBorders>
          </w:tcPr>
          <w:p>
            <w:pPr>
              <w:pStyle w:val="TableParagraph"/>
              <w:spacing w:line="257" w:lineRule="exact"/>
              <w:ind w:left="51"/>
              <w:jc w:val="center"/>
              <w:rPr>
                <w:sz w:val="24"/>
              </w:rPr>
            </w:pPr>
            <w:r>
              <w:rPr>
                <w:spacing w:val="-4"/>
                <w:sz w:val="24"/>
              </w:rPr>
              <w:t>2.32</w:t>
            </w:r>
          </w:p>
        </w:tc>
        <w:tc>
          <w:tcPr>
            <w:tcW w:w="1848" w:type="dxa"/>
            <w:tcBorders>
              <w:bottom w:val="single" w:sz="4" w:space="0" w:color="000000"/>
            </w:tcBorders>
          </w:tcPr>
          <w:p>
            <w:pPr>
              <w:pStyle w:val="TableParagraph"/>
              <w:spacing w:line="257" w:lineRule="exact"/>
              <w:ind w:left="1" w:right="19"/>
              <w:jc w:val="center"/>
              <w:rPr>
                <w:sz w:val="24"/>
              </w:rPr>
            </w:pPr>
            <w:r>
              <w:rPr>
                <w:spacing w:val="-4"/>
                <w:sz w:val="24"/>
              </w:rPr>
              <w:t>.580</w:t>
            </w:r>
          </w:p>
        </w:tc>
        <w:tc>
          <w:tcPr>
            <w:tcW w:w="1443" w:type="dxa"/>
            <w:tcBorders>
              <w:bottom w:val="single" w:sz="4" w:space="0" w:color="000000"/>
              <w:right w:val="single" w:sz="4" w:space="0" w:color="000000"/>
            </w:tcBorders>
          </w:tcPr>
          <w:p>
            <w:pPr>
              <w:pStyle w:val="TableParagraph"/>
              <w:spacing w:line="257" w:lineRule="exact"/>
              <w:ind w:right="21"/>
              <w:jc w:val="center"/>
              <w:rPr>
                <w:sz w:val="24"/>
              </w:rPr>
            </w:pPr>
            <w:r>
              <w:rPr>
                <w:spacing w:val="-4"/>
                <w:sz w:val="24"/>
              </w:rPr>
              <w:t>.121</w:t>
            </w:r>
          </w:p>
        </w:tc>
      </w:tr>
      <w:tr>
        <w:trPr>
          <w:trHeight w:val="273" w:hRule="atLeast"/>
        </w:trPr>
        <w:tc>
          <w:tcPr>
            <w:tcW w:w="1842"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1840" w:type="dxa"/>
            <w:tcBorders>
              <w:top w:val="single" w:sz="4" w:space="0" w:color="000000"/>
              <w:bottom w:val="single" w:sz="4" w:space="0" w:color="000000"/>
            </w:tcBorders>
          </w:tcPr>
          <w:p>
            <w:pPr>
              <w:pStyle w:val="TableParagraph"/>
              <w:spacing w:line="253" w:lineRule="exact"/>
              <w:ind w:left="351"/>
              <w:rPr>
                <w:sz w:val="24"/>
              </w:rPr>
            </w:pPr>
            <w:r>
              <w:rPr>
                <w:spacing w:val="-2"/>
                <w:sz w:val="24"/>
              </w:rPr>
              <w:t>Total</w:t>
            </w:r>
          </w:p>
        </w:tc>
        <w:tc>
          <w:tcPr>
            <w:tcW w:w="967" w:type="dxa"/>
            <w:tcBorders>
              <w:top w:val="single" w:sz="4" w:space="0" w:color="000000"/>
              <w:bottom w:val="single" w:sz="4" w:space="0" w:color="000000"/>
            </w:tcBorders>
          </w:tcPr>
          <w:p>
            <w:pPr>
              <w:pStyle w:val="TableParagraph"/>
              <w:spacing w:line="253" w:lineRule="exact"/>
              <w:ind w:left="364"/>
              <w:rPr>
                <w:sz w:val="24"/>
              </w:rPr>
            </w:pPr>
            <w:r>
              <w:rPr>
                <w:spacing w:val="-5"/>
                <w:sz w:val="24"/>
              </w:rPr>
              <w:t>456</w:t>
            </w:r>
          </w:p>
        </w:tc>
        <w:tc>
          <w:tcPr>
            <w:tcW w:w="1104" w:type="dxa"/>
            <w:tcBorders>
              <w:top w:val="single" w:sz="4" w:space="0" w:color="000000"/>
              <w:bottom w:val="single" w:sz="4" w:space="0" w:color="000000"/>
            </w:tcBorders>
          </w:tcPr>
          <w:p>
            <w:pPr>
              <w:pStyle w:val="TableParagraph"/>
              <w:spacing w:line="253" w:lineRule="exact"/>
              <w:ind w:left="51"/>
              <w:jc w:val="center"/>
              <w:rPr>
                <w:sz w:val="24"/>
              </w:rPr>
            </w:pPr>
            <w:r>
              <w:rPr>
                <w:spacing w:val="-4"/>
                <w:sz w:val="24"/>
              </w:rPr>
              <w:t>2.35</w:t>
            </w:r>
          </w:p>
        </w:tc>
        <w:tc>
          <w:tcPr>
            <w:tcW w:w="1848" w:type="dxa"/>
            <w:tcBorders>
              <w:top w:val="single" w:sz="4" w:space="0" w:color="000000"/>
              <w:bottom w:val="single" w:sz="4" w:space="0" w:color="000000"/>
            </w:tcBorders>
          </w:tcPr>
          <w:p>
            <w:pPr>
              <w:pStyle w:val="TableParagraph"/>
              <w:spacing w:line="253" w:lineRule="exact"/>
              <w:ind w:left="1" w:right="19"/>
              <w:jc w:val="center"/>
              <w:rPr>
                <w:sz w:val="24"/>
              </w:rPr>
            </w:pPr>
            <w:r>
              <w:rPr>
                <w:spacing w:val="-4"/>
                <w:sz w:val="24"/>
              </w:rPr>
              <w:t>.562</w:t>
            </w:r>
          </w:p>
        </w:tc>
        <w:tc>
          <w:tcPr>
            <w:tcW w:w="1443" w:type="dxa"/>
            <w:tcBorders>
              <w:top w:val="single" w:sz="4" w:space="0" w:color="000000"/>
              <w:bottom w:val="single" w:sz="4" w:space="0" w:color="000000"/>
              <w:right w:val="single" w:sz="4" w:space="0" w:color="000000"/>
            </w:tcBorders>
          </w:tcPr>
          <w:p>
            <w:pPr>
              <w:pStyle w:val="TableParagraph"/>
              <w:spacing w:line="253" w:lineRule="exact"/>
              <w:ind w:right="21"/>
              <w:jc w:val="center"/>
              <w:rPr>
                <w:sz w:val="24"/>
              </w:rPr>
            </w:pPr>
            <w:r>
              <w:rPr>
                <w:spacing w:val="-4"/>
                <w:sz w:val="24"/>
              </w:rPr>
              <w:t>.026</w:t>
            </w:r>
          </w:p>
        </w:tc>
      </w:tr>
      <w:tr>
        <w:trPr>
          <w:trHeight w:val="276" w:hRule="atLeast"/>
        </w:trPr>
        <w:tc>
          <w:tcPr>
            <w:tcW w:w="1842" w:type="dxa"/>
            <w:tcBorders>
              <w:top w:val="single" w:sz="4" w:space="0" w:color="000000"/>
              <w:left w:val="single" w:sz="4" w:space="0" w:color="000000"/>
            </w:tcBorders>
          </w:tcPr>
          <w:p>
            <w:pPr>
              <w:pStyle w:val="TableParagraph"/>
              <w:spacing w:line="257" w:lineRule="exact"/>
              <w:ind w:left="95"/>
              <w:rPr>
                <w:sz w:val="24"/>
              </w:rPr>
            </w:pPr>
            <w:r>
              <w:rPr>
                <w:spacing w:val="-2"/>
                <w:sz w:val="24"/>
              </w:rPr>
              <w:t>Medical</w:t>
            </w:r>
          </w:p>
        </w:tc>
        <w:tc>
          <w:tcPr>
            <w:tcW w:w="1840" w:type="dxa"/>
            <w:tcBorders>
              <w:top w:val="single" w:sz="4" w:space="0" w:color="000000"/>
            </w:tcBorders>
          </w:tcPr>
          <w:p>
            <w:pPr>
              <w:pStyle w:val="TableParagraph"/>
              <w:spacing w:line="257" w:lineRule="exact"/>
              <w:ind w:left="351"/>
              <w:rPr>
                <w:sz w:val="24"/>
              </w:rPr>
            </w:pPr>
            <w:r>
              <w:rPr>
                <w:spacing w:val="-2"/>
                <w:sz w:val="24"/>
              </w:rPr>
              <w:t>Student</w:t>
            </w:r>
          </w:p>
        </w:tc>
        <w:tc>
          <w:tcPr>
            <w:tcW w:w="967" w:type="dxa"/>
            <w:tcBorders>
              <w:top w:val="single" w:sz="4" w:space="0" w:color="000000"/>
            </w:tcBorders>
          </w:tcPr>
          <w:p>
            <w:pPr>
              <w:pStyle w:val="TableParagraph"/>
              <w:spacing w:line="257" w:lineRule="exact"/>
              <w:ind w:left="364"/>
              <w:rPr>
                <w:sz w:val="24"/>
              </w:rPr>
            </w:pPr>
            <w:r>
              <w:rPr>
                <w:spacing w:val="-5"/>
                <w:sz w:val="24"/>
              </w:rPr>
              <w:t>234</w:t>
            </w:r>
          </w:p>
        </w:tc>
        <w:tc>
          <w:tcPr>
            <w:tcW w:w="1104" w:type="dxa"/>
            <w:tcBorders>
              <w:top w:val="single" w:sz="4" w:space="0" w:color="000000"/>
            </w:tcBorders>
          </w:tcPr>
          <w:p>
            <w:pPr>
              <w:pStyle w:val="TableParagraph"/>
              <w:spacing w:line="257" w:lineRule="exact"/>
              <w:ind w:left="51"/>
              <w:jc w:val="center"/>
              <w:rPr>
                <w:sz w:val="24"/>
              </w:rPr>
            </w:pPr>
            <w:r>
              <w:rPr>
                <w:spacing w:val="-4"/>
                <w:sz w:val="24"/>
              </w:rPr>
              <w:t>2.59</w:t>
            </w:r>
          </w:p>
        </w:tc>
        <w:tc>
          <w:tcPr>
            <w:tcW w:w="1848" w:type="dxa"/>
            <w:tcBorders>
              <w:top w:val="single" w:sz="4" w:space="0" w:color="000000"/>
            </w:tcBorders>
          </w:tcPr>
          <w:p>
            <w:pPr>
              <w:pStyle w:val="TableParagraph"/>
              <w:spacing w:line="257" w:lineRule="exact"/>
              <w:ind w:left="1" w:right="19"/>
              <w:jc w:val="center"/>
              <w:rPr>
                <w:sz w:val="24"/>
              </w:rPr>
            </w:pPr>
            <w:r>
              <w:rPr>
                <w:spacing w:val="-4"/>
                <w:sz w:val="24"/>
              </w:rPr>
              <w:t>.630</w:t>
            </w:r>
          </w:p>
        </w:tc>
        <w:tc>
          <w:tcPr>
            <w:tcW w:w="1443" w:type="dxa"/>
            <w:tcBorders>
              <w:top w:val="single" w:sz="4" w:space="0" w:color="000000"/>
              <w:right w:val="single" w:sz="4" w:space="0" w:color="000000"/>
            </w:tcBorders>
          </w:tcPr>
          <w:p>
            <w:pPr>
              <w:pStyle w:val="TableParagraph"/>
              <w:spacing w:line="257" w:lineRule="exact"/>
              <w:ind w:right="21"/>
              <w:jc w:val="center"/>
              <w:rPr>
                <w:sz w:val="24"/>
              </w:rPr>
            </w:pPr>
            <w:r>
              <w:rPr>
                <w:spacing w:val="-4"/>
                <w:sz w:val="24"/>
              </w:rPr>
              <w:t>.041</w:t>
            </w:r>
          </w:p>
        </w:tc>
      </w:tr>
      <w:tr>
        <w:trPr>
          <w:trHeight w:val="276" w:hRule="atLeast"/>
        </w:trPr>
        <w:tc>
          <w:tcPr>
            <w:tcW w:w="1842" w:type="dxa"/>
            <w:tcBorders>
              <w:left w:val="single" w:sz="4" w:space="0" w:color="000000"/>
            </w:tcBorders>
          </w:tcPr>
          <w:p>
            <w:pPr>
              <w:pStyle w:val="TableParagraph"/>
              <w:rPr>
                <w:rFonts w:ascii="Times New Roman"/>
                <w:sz w:val="20"/>
              </w:rPr>
            </w:pPr>
          </w:p>
        </w:tc>
        <w:tc>
          <w:tcPr>
            <w:tcW w:w="1840" w:type="dxa"/>
          </w:tcPr>
          <w:p>
            <w:pPr>
              <w:pStyle w:val="TableParagraph"/>
              <w:spacing w:line="256" w:lineRule="exact"/>
              <w:ind w:left="351"/>
              <w:rPr>
                <w:sz w:val="24"/>
              </w:rPr>
            </w:pPr>
            <w:r>
              <w:rPr>
                <w:spacing w:val="-4"/>
                <w:sz w:val="24"/>
              </w:rPr>
              <w:t>Staff</w:t>
            </w:r>
          </w:p>
        </w:tc>
        <w:tc>
          <w:tcPr>
            <w:tcW w:w="967" w:type="dxa"/>
          </w:tcPr>
          <w:p>
            <w:pPr>
              <w:pStyle w:val="TableParagraph"/>
              <w:spacing w:line="256" w:lineRule="exact"/>
              <w:ind w:left="364"/>
              <w:rPr>
                <w:sz w:val="24"/>
              </w:rPr>
            </w:pPr>
            <w:r>
              <w:rPr>
                <w:spacing w:val="-5"/>
                <w:sz w:val="24"/>
              </w:rPr>
              <w:t>199</w:t>
            </w:r>
          </w:p>
        </w:tc>
        <w:tc>
          <w:tcPr>
            <w:tcW w:w="1104" w:type="dxa"/>
          </w:tcPr>
          <w:p>
            <w:pPr>
              <w:pStyle w:val="TableParagraph"/>
              <w:spacing w:line="256" w:lineRule="exact"/>
              <w:ind w:left="51"/>
              <w:jc w:val="center"/>
              <w:rPr>
                <w:sz w:val="24"/>
              </w:rPr>
            </w:pPr>
            <w:r>
              <w:rPr>
                <w:spacing w:val="-4"/>
                <w:sz w:val="24"/>
              </w:rPr>
              <w:t>2.44</w:t>
            </w:r>
          </w:p>
        </w:tc>
        <w:tc>
          <w:tcPr>
            <w:tcW w:w="1848" w:type="dxa"/>
          </w:tcPr>
          <w:p>
            <w:pPr>
              <w:pStyle w:val="TableParagraph"/>
              <w:spacing w:line="256" w:lineRule="exact"/>
              <w:ind w:left="1" w:right="19"/>
              <w:jc w:val="center"/>
              <w:rPr>
                <w:sz w:val="24"/>
              </w:rPr>
            </w:pPr>
            <w:r>
              <w:rPr>
                <w:spacing w:val="-4"/>
                <w:sz w:val="24"/>
              </w:rPr>
              <w:t>.678</w:t>
            </w:r>
          </w:p>
        </w:tc>
        <w:tc>
          <w:tcPr>
            <w:tcW w:w="1443" w:type="dxa"/>
            <w:tcBorders>
              <w:right w:val="single" w:sz="4" w:space="0" w:color="000000"/>
            </w:tcBorders>
          </w:tcPr>
          <w:p>
            <w:pPr>
              <w:pStyle w:val="TableParagraph"/>
              <w:spacing w:line="256" w:lineRule="exact"/>
              <w:ind w:right="21"/>
              <w:jc w:val="center"/>
              <w:rPr>
                <w:sz w:val="24"/>
              </w:rPr>
            </w:pPr>
            <w:r>
              <w:rPr>
                <w:spacing w:val="-4"/>
                <w:sz w:val="24"/>
              </w:rPr>
              <w:t>.048</w:t>
            </w:r>
          </w:p>
        </w:tc>
      </w:tr>
      <w:tr>
        <w:trPr>
          <w:trHeight w:val="277" w:hRule="atLeast"/>
        </w:trPr>
        <w:tc>
          <w:tcPr>
            <w:tcW w:w="1842" w:type="dxa"/>
            <w:tcBorders>
              <w:left w:val="single" w:sz="4" w:space="0" w:color="000000"/>
              <w:bottom w:val="single" w:sz="4" w:space="0" w:color="000000"/>
            </w:tcBorders>
          </w:tcPr>
          <w:p>
            <w:pPr>
              <w:pStyle w:val="TableParagraph"/>
              <w:rPr>
                <w:rFonts w:ascii="Times New Roman"/>
                <w:sz w:val="20"/>
              </w:rPr>
            </w:pPr>
          </w:p>
        </w:tc>
        <w:tc>
          <w:tcPr>
            <w:tcW w:w="1840" w:type="dxa"/>
            <w:tcBorders>
              <w:bottom w:val="single" w:sz="4" w:space="0" w:color="000000"/>
            </w:tcBorders>
          </w:tcPr>
          <w:p>
            <w:pPr>
              <w:pStyle w:val="TableParagraph"/>
              <w:spacing w:line="257" w:lineRule="exact"/>
              <w:ind w:left="351"/>
              <w:rPr>
                <w:sz w:val="24"/>
              </w:rPr>
            </w:pPr>
            <w:r>
              <w:rPr>
                <w:spacing w:val="-2"/>
                <w:sz w:val="24"/>
              </w:rPr>
              <w:t>Managmet</w:t>
            </w:r>
          </w:p>
        </w:tc>
        <w:tc>
          <w:tcPr>
            <w:tcW w:w="967" w:type="dxa"/>
            <w:tcBorders>
              <w:bottom w:val="single" w:sz="4" w:space="0" w:color="000000"/>
            </w:tcBorders>
          </w:tcPr>
          <w:p>
            <w:pPr>
              <w:pStyle w:val="TableParagraph"/>
              <w:spacing w:line="257" w:lineRule="exact"/>
              <w:ind w:left="426"/>
              <w:rPr>
                <w:sz w:val="24"/>
              </w:rPr>
            </w:pPr>
            <w:r>
              <w:rPr>
                <w:spacing w:val="-5"/>
                <w:sz w:val="24"/>
              </w:rPr>
              <w:t>23</w:t>
            </w:r>
          </w:p>
        </w:tc>
        <w:tc>
          <w:tcPr>
            <w:tcW w:w="1104" w:type="dxa"/>
            <w:tcBorders>
              <w:bottom w:val="single" w:sz="4" w:space="0" w:color="000000"/>
            </w:tcBorders>
          </w:tcPr>
          <w:p>
            <w:pPr>
              <w:pStyle w:val="TableParagraph"/>
              <w:spacing w:line="257" w:lineRule="exact"/>
              <w:ind w:left="51"/>
              <w:jc w:val="center"/>
              <w:rPr>
                <w:sz w:val="24"/>
              </w:rPr>
            </w:pPr>
            <w:r>
              <w:rPr>
                <w:spacing w:val="-4"/>
                <w:sz w:val="24"/>
              </w:rPr>
              <w:t>2.47</w:t>
            </w:r>
          </w:p>
        </w:tc>
        <w:tc>
          <w:tcPr>
            <w:tcW w:w="1848" w:type="dxa"/>
            <w:tcBorders>
              <w:bottom w:val="single" w:sz="4" w:space="0" w:color="000000"/>
            </w:tcBorders>
          </w:tcPr>
          <w:p>
            <w:pPr>
              <w:pStyle w:val="TableParagraph"/>
              <w:spacing w:line="257" w:lineRule="exact"/>
              <w:ind w:left="1" w:right="19"/>
              <w:jc w:val="center"/>
              <w:rPr>
                <w:sz w:val="24"/>
              </w:rPr>
            </w:pPr>
            <w:r>
              <w:rPr>
                <w:spacing w:val="-4"/>
                <w:sz w:val="24"/>
              </w:rPr>
              <w:t>.686</w:t>
            </w:r>
          </w:p>
        </w:tc>
        <w:tc>
          <w:tcPr>
            <w:tcW w:w="1443" w:type="dxa"/>
            <w:tcBorders>
              <w:bottom w:val="single" w:sz="4" w:space="0" w:color="000000"/>
              <w:right w:val="single" w:sz="4" w:space="0" w:color="000000"/>
            </w:tcBorders>
          </w:tcPr>
          <w:p>
            <w:pPr>
              <w:pStyle w:val="TableParagraph"/>
              <w:spacing w:line="257" w:lineRule="exact"/>
              <w:ind w:right="21"/>
              <w:jc w:val="center"/>
              <w:rPr>
                <w:sz w:val="24"/>
              </w:rPr>
            </w:pPr>
            <w:r>
              <w:rPr>
                <w:spacing w:val="-4"/>
                <w:sz w:val="24"/>
              </w:rPr>
              <w:t>.143</w:t>
            </w:r>
          </w:p>
        </w:tc>
      </w:tr>
      <w:tr>
        <w:trPr>
          <w:trHeight w:val="273" w:hRule="atLeast"/>
        </w:trPr>
        <w:tc>
          <w:tcPr>
            <w:tcW w:w="1842"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1840" w:type="dxa"/>
            <w:tcBorders>
              <w:top w:val="single" w:sz="4" w:space="0" w:color="000000"/>
              <w:bottom w:val="single" w:sz="4" w:space="0" w:color="000000"/>
            </w:tcBorders>
          </w:tcPr>
          <w:p>
            <w:pPr>
              <w:pStyle w:val="TableParagraph"/>
              <w:spacing w:line="253" w:lineRule="exact"/>
              <w:ind w:left="351"/>
              <w:rPr>
                <w:sz w:val="24"/>
              </w:rPr>
            </w:pPr>
            <w:r>
              <w:rPr>
                <w:spacing w:val="-2"/>
                <w:sz w:val="24"/>
              </w:rPr>
              <w:t>Total</w:t>
            </w:r>
          </w:p>
        </w:tc>
        <w:tc>
          <w:tcPr>
            <w:tcW w:w="967" w:type="dxa"/>
            <w:tcBorders>
              <w:top w:val="single" w:sz="4" w:space="0" w:color="000000"/>
              <w:bottom w:val="single" w:sz="4" w:space="0" w:color="000000"/>
            </w:tcBorders>
          </w:tcPr>
          <w:p>
            <w:pPr>
              <w:pStyle w:val="TableParagraph"/>
              <w:spacing w:line="253" w:lineRule="exact"/>
              <w:ind w:left="364"/>
              <w:rPr>
                <w:sz w:val="24"/>
              </w:rPr>
            </w:pPr>
            <w:r>
              <w:rPr>
                <w:spacing w:val="-5"/>
                <w:sz w:val="24"/>
              </w:rPr>
              <w:t>456</w:t>
            </w:r>
          </w:p>
        </w:tc>
        <w:tc>
          <w:tcPr>
            <w:tcW w:w="1104" w:type="dxa"/>
            <w:tcBorders>
              <w:top w:val="single" w:sz="4" w:space="0" w:color="000000"/>
              <w:bottom w:val="single" w:sz="4" w:space="0" w:color="000000"/>
            </w:tcBorders>
          </w:tcPr>
          <w:p>
            <w:pPr>
              <w:pStyle w:val="TableParagraph"/>
              <w:spacing w:line="253" w:lineRule="exact"/>
              <w:ind w:left="51"/>
              <w:jc w:val="center"/>
              <w:rPr>
                <w:sz w:val="24"/>
              </w:rPr>
            </w:pPr>
            <w:r>
              <w:rPr>
                <w:spacing w:val="-4"/>
                <w:sz w:val="24"/>
              </w:rPr>
              <w:t>2.52</w:t>
            </w:r>
          </w:p>
        </w:tc>
        <w:tc>
          <w:tcPr>
            <w:tcW w:w="1848" w:type="dxa"/>
            <w:tcBorders>
              <w:top w:val="single" w:sz="4" w:space="0" w:color="000000"/>
              <w:bottom w:val="single" w:sz="4" w:space="0" w:color="000000"/>
            </w:tcBorders>
          </w:tcPr>
          <w:p>
            <w:pPr>
              <w:pStyle w:val="TableParagraph"/>
              <w:spacing w:line="253" w:lineRule="exact"/>
              <w:ind w:left="1" w:right="19"/>
              <w:jc w:val="center"/>
              <w:rPr>
                <w:sz w:val="24"/>
              </w:rPr>
            </w:pPr>
            <w:r>
              <w:rPr>
                <w:spacing w:val="-4"/>
                <w:sz w:val="24"/>
              </w:rPr>
              <w:t>.657</w:t>
            </w:r>
          </w:p>
        </w:tc>
        <w:tc>
          <w:tcPr>
            <w:tcW w:w="1443" w:type="dxa"/>
            <w:tcBorders>
              <w:top w:val="single" w:sz="4" w:space="0" w:color="000000"/>
              <w:bottom w:val="single" w:sz="4" w:space="0" w:color="000000"/>
              <w:right w:val="single" w:sz="4" w:space="0" w:color="000000"/>
            </w:tcBorders>
          </w:tcPr>
          <w:p>
            <w:pPr>
              <w:pStyle w:val="TableParagraph"/>
              <w:spacing w:line="253" w:lineRule="exact"/>
              <w:ind w:right="21"/>
              <w:jc w:val="center"/>
              <w:rPr>
                <w:sz w:val="24"/>
              </w:rPr>
            </w:pPr>
            <w:r>
              <w:rPr>
                <w:spacing w:val="-4"/>
                <w:sz w:val="24"/>
              </w:rPr>
              <w:t>.031</w:t>
            </w:r>
          </w:p>
        </w:tc>
      </w:tr>
      <w:tr>
        <w:trPr>
          <w:trHeight w:val="276" w:hRule="atLeast"/>
        </w:trPr>
        <w:tc>
          <w:tcPr>
            <w:tcW w:w="1842" w:type="dxa"/>
            <w:tcBorders>
              <w:top w:val="single" w:sz="4" w:space="0" w:color="000000"/>
              <w:left w:val="single" w:sz="4" w:space="0" w:color="000000"/>
            </w:tcBorders>
          </w:tcPr>
          <w:p>
            <w:pPr>
              <w:pStyle w:val="TableParagraph"/>
              <w:spacing w:line="257" w:lineRule="exact"/>
              <w:ind w:left="95"/>
              <w:rPr>
                <w:sz w:val="24"/>
              </w:rPr>
            </w:pPr>
            <w:r>
              <w:rPr>
                <w:spacing w:val="-2"/>
                <w:sz w:val="24"/>
              </w:rPr>
              <w:t>Environment</w:t>
            </w:r>
          </w:p>
        </w:tc>
        <w:tc>
          <w:tcPr>
            <w:tcW w:w="1840" w:type="dxa"/>
            <w:tcBorders>
              <w:top w:val="single" w:sz="4" w:space="0" w:color="000000"/>
            </w:tcBorders>
          </w:tcPr>
          <w:p>
            <w:pPr>
              <w:pStyle w:val="TableParagraph"/>
              <w:spacing w:line="257" w:lineRule="exact"/>
              <w:ind w:left="351"/>
              <w:rPr>
                <w:sz w:val="24"/>
              </w:rPr>
            </w:pPr>
            <w:r>
              <w:rPr>
                <w:spacing w:val="-2"/>
                <w:sz w:val="24"/>
              </w:rPr>
              <w:t>Student</w:t>
            </w:r>
          </w:p>
        </w:tc>
        <w:tc>
          <w:tcPr>
            <w:tcW w:w="967" w:type="dxa"/>
            <w:tcBorders>
              <w:top w:val="single" w:sz="4" w:space="0" w:color="000000"/>
            </w:tcBorders>
          </w:tcPr>
          <w:p>
            <w:pPr>
              <w:pStyle w:val="TableParagraph"/>
              <w:spacing w:line="257" w:lineRule="exact"/>
              <w:ind w:left="364"/>
              <w:rPr>
                <w:sz w:val="24"/>
              </w:rPr>
            </w:pPr>
            <w:r>
              <w:rPr>
                <w:spacing w:val="-5"/>
                <w:sz w:val="24"/>
              </w:rPr>
              <w:t>232</w:t>
            </w:r>
          </w:p>
        </w:tc>
        <w:tc>
          <w:tcPr>
            <w:tcW w:w="1104" w:type="dxa"/>
            <w:tcBorders>
              <w:top w:val="single" w:sz="4" w:space="0" w:color="000000"/>
            </w:tcBorders>
          </w:tcPr>
          <w:p>
            <w:pPr>
              <w:pStyle w:val="TableParagraph"/>
              <w:spacing w:line="257" w:lineRule="exact"/>
              <w:ind w:left="51"/>
              <w:jc w:val="center"/>
              <w:rPr>
                <w:sz w:val="24"/>
              </w:rPr>
            </w:pPr>
            <w:r>
              <w:rPr>
                <w:spacing w:val="-4"/>
                <w:sz w:val="24"/>
              </w:rPr>
              <w:t>2.37</w:t>
            </w:r>
          </w:p>
        </w:tc>
        <w:tc>
          <w:tcPr>
            <w:tcW w:w="1848" w:type="dxa"/>
            <w:tcBorders>
              <w:top w:val="single" w:sz="4" w:space="0" w:color="000000"/>
            </w:tcBorders>
          </w:tcPr>
          <w:p>
            <w:pPr>
              <w:pStyle w:val="TableParagraph"/>
              <w:spacing w:line="257" w:lineRule="exact"/>
              <w:ind w:left="1" w:right="19"/>
              <w:jc w:val="center"/>
              <w:rPr>
                <w:sz w:val="24"/>
              </w:rPr>
            </w:pPr>
            <w:r>
              <w:rPr>
                <w:spacing w:val="-4"/>
                <w:sz w:val="24"/>
              </w:rPr>
              <w:t>.597</w:t>
            </w:r>
          </w:p>
        </w:tc>
        <w:tc>
          <w:tcPr>
            <w:tcW w:w="1443" w:type="dxa"/>
            <w:tcBorders>
              <w:top w:val="single" w:sz="4" w:space="0" w:color="000000"/>
              <w:right w:val="single" w:sz="4" w:space="0" w:color="000000"/>
            </w:tcBorders>
          </w:tcPr>
          <w:p>
            <w:pPr>
              <w:pStyle w:val="TableParagraph"/>
              <w:spacing w:line="257" w:lineRule="exact"/>
              <w:ind w:right="21"/>
              <w:jc w:val="center"/>
              <w:rPr>
                <w:sz w:val="24"/>
              </w:rPr>
            </w:pPr>
            <w:r>
              <w:rPr>
                <w:spacing w:val="-4"/>
                <w:sz w:val="24"/>
              </w:rPr>
              <w:t>.039</w:t>
            </w:r>
          </w:p>
        </w:tc>
      </w:tr>
      <w:tr>
        <w:trPr>
          <w:trHeight w:val="275" w:hRule="atLeast"/>
        </w:trPr>
        <w:tc>
          <w:tcPr>
            <w:tcW w:w="1842" w:type="dxa"/>
            <w:tcBorders>
              <w:left w:val="single" w:sz="4" w:space="0" w:color="000000"/>
            </w:tcBorders>
          </w:tcPr>
          <w:p>
            <w:pPr>
              <w:pStyle w:val="TableParagraph"/>
              <w:rPr>
                <w:rFonts w:ascii="Times New Roman"/>
                <w:sz w:val="20"/>
              </w:rPr>
            </w:pPr>
          </w:p>
        </w:tc>
        <w:tc>
          <w:tcPr>
            <w:tcW w:w="1840" w:type="dxa"/>
          </w:tcPr>
          <w:p>
            <w:pPr>
              <w:pStyle w:val="TableParagraph"/>
              <w:spacing w:line="256" w:lineRule="exact"/>
              <w:ind w:left="351"/>
              <w:rPr>
                <w:sz w:val="24"/>
              </w:rPr>
            </w:pPr>
            <w:r>
              <w:rPr>
                <w:spacing w:val="-4"/>
                <w:sz w:val="24"/>
              </w:rPr>
              <w:t>Staff</w:t>
            </w:r>
          </w:p>
        </w:tc>
        <w:tc>
          <w:tcPr>
            <w:tcW w:w="967" w:type="dxa"/>
          </w:tcPr>
          <w:p>
            <w:pPr>
              <w:pStyle w:val="TableParagraph"/>
              <w:spacing w:line="256" w:lineRule="exact"/>
              <w:ind w:left="364"/>
              <w:rPr>
                <w:sz w:val="24"/>
              </w:rPr>
            </w:pPr>
            <w:r>
              <w:rPr>
                <w:spacing w:val="-5"/>
                <w:sz w:val="24"/>
              </w:rPr>
              <w:t>197</w:t>
            </w:r>
          </w:p>
        </w:tc>
        <w:tc>
          <w:tcPr>
            <w:tcW w:w="1104" w:type="dxa"/>
          </w:tcPr>
          <w:p>
            <w:pPr>
              <w:pStyle w:val="TableParagraph"/>
              <w:spacing w:line="256" w:lineRule="exact"/>
              <w:ind w:left="51"/>
              <w:jc w:val="center"/>
              <w:rPr>
                <w:sz w:val="24"/>
              </w:rPr>
            </w:pPr>
            <w:r>
              <w:rPr>
                <w:spacing w:val="-4"/>
                <w:sz w:val="24"/>
              </w:rPr>
              <w:t>2.16</w:t>
            </w:r>
          </w:p>
        </w:tc>
        <w:tc>
          <w:tcPr>
            <w:tcW w:w="1848" w:type="dxa"/>
          </w:tcPr>
          <w:p>
            <w:pPr>
              <w:pStyle w:val="TableParagraph"/>
              <w:spacing w:line="256" w:lineRule="exact"/>
              <w:ind w:left="1" w:right="19"/>
              <w:jc w:val="center"/>
              <w:rPr>
                <w:sz w:val="24"/>
              </w:rPr>
            </w:pPr>
            <w:r>
              <w:rPr>
                <w:spacing w:val="-4"/>
                <w:sz w:val="24"/>
              </w:rPr>
              <w:t>.650</w:t>
            </w:r>
          </w:p>
        </w:tc>
        <w:tc>
          <w:tcPr>
            <w:tcW w:w="1443" w:type="dxa"/>
            <w:tcBorders>
              <w:right w:val="single" w:sz="4" w:space="0" w:color="000000"/>
            </w:tcBorders>
          </w:tcPr>
          <w:p>
            <w:pPr>
              <w:pStyle w:val="TableParagraph"/>
              <w:spacing w:line="256" w:lineRule="exact"/>
              <w:ind w:right="21"/>
              <w:jc w:val="center"/>
              <w:rPr>
                <w:sz w:val="24"/>
              </w:rPr>
            </w:pPr>
            <w:r>
              <w:rPr>
                <w:spacing w:val="-4"/>
                <w:sz w:val="24"/>
              </w:rPr>
              <w:t>.046</w:t>
            </w:r>
          </w:p>
        </w:tc>
      </w:tr>
      <w:tr>
        <w:trPr>
          <w:trHeight w:val="277" w:hRule="atLeast"/>
        </w:trPr>
        <w:tc>
          <w:tcPr>
            <w:tcW w:w="1842" w:type="dxa"/>
            <w:tcBorders>
              <w:left w:val="single" w:sz="4" w:space="0" w:color="000000"/>
              <w:bottom w:val="single" w:sz="4" w:space="0" w:color="000000"/>
            </w:tcBorders>
          </w:tcPr>
          <w:p>
            <w:pPr>
              <w:pStyle w:val="TableParagraph"/>
              <w:rPr>
                <w:rFonts w:ascii="Times New Roman"/>
                <w:sz w:val="20"/>
              </w:rPr>
            </w:pPr>
          </w:p>
        </w:tc>
        <w:tc>
          <w:tcPr>
            <w:tcW w:w="1840" w:type="dxa"/>
            <w:tcBorders>
              <w:bottom w:val="single" w:sz="4" w:space="0" w:color="000000"/>
            </w:tcBorders>
          </w:tcPr>
          <w:p>
            <w:pPr>
              <w:pStyle w:val="TableParagraph"/>
              <w:spacing w:line="257" w:lineRule="exact"/>
              <w:ind w:left="351"/>
              <w:rPr>
                <w:sz w:val="24"/>
              </w:rPr>
            </w:pPr>
            <w:r>
              <w:rPr>
                <w:spacing w:val="-2"/>
                <w:sz w:val="24"/>
              </w:rPr>
              <w:t>Managmet</w:t>
            </w:r>
          </w:p>
        </w:tc>
        <w:tc>
          <w:tcPr>
            <w:tcW w:w="967" w:type="dxa"/>
            <w:tcBorders>
              <w:bottom w:val="single" w:sz="4" w:space="0" w:color="000000"/>
            </w:tcBorders>
          </w:tcPr>
          <w:p>
            <w:pPr>
              <w:pStyle w:val="TableParagraph"/>
              <w:spacing w:line="257" w:lineRule="exact"/>
              <w:ind w:left="426"/>
              <w:rPr>
                <w:sz w:val="24"/>
              </w:rPr>
            </w:pPr>
            <w:r>
              <w:rPr>
                <w:spacing w:val="-5"/>
                <w:sz w:val="24"/>
              </w:rPr>
              <w:t>23</w:t>
            </w:r>
          </w:p>
        </w:tc>
        <w:tc>
          <w:tcPr>
            <w:tcW w:w="1104" w:type="dxa"/>
            <w:tcBorders>
              <w:bottom w:val="single" w:sz="4" w:space="0" w:color="000000"/>
            </w:tcBorders>
          </w:tcPr>
          <w:p>
            <w:pPr>
              <w:pStyle w:val="TableParagraph"/>
              <w:spacing w:line="257" w:lineRule="exact"/>
              <w:ind w:left="51"/>
              <w:jc w:val="center"/>
              <w:rPr>
                <w:sz w:val="24"/>
              </w:rPr>
            </w:pPr>
            <w:r>
              <w:rPr>
                <w:spacing w:val="-4"/>
                <w:sz w:val="24"/>
              </w:rPr>
              <w:t>2.10</w:t>
            </w:r>
          </w:p>
        </w:tc>
        <w:tc>
          <w:tcPr>
            <w:tcW w:w="1848" w:type="dxa"/>
            <w:tcBorders>
              <w:bottom w:val="single" w:sz="4" w:space="0" w:color="000000"/>
            </w:tcBorders>
          </w:tcPr>
          <w:p>
            <w:pPr>
              <w:pStyle w:val="TableParagraph"/>
              <w:spacing w:line="257" w:lineRule="exact"/>
              <w:ind w:left="1" w:right="19"/>
              <w:jc w:val="center"/>
              <w:rPr>
                <w:sz w:val="24"/>
              </w:rPr>
            </w:pPr>
            <w:r>
              <w:rPr>
                <w:spacing w:val="-4"/>
                <w:sz w:val="24"/>
              </w:rPr>
              <w:t>.594</w:t>
            </w:r>
          </w:p>
        </w:tc>
        <w:tc>
          <w:tcPr>
            <w:tcW w:w="1443" w:type="dxa"/>
            <w:tcBorders>
              <w:bottom w:val="single" w:sz="4" w:space="0" w:color="000000"/>
              <w:right w:val="single" w:sz="4" w:space="0" w:color="000000"/>
            </w:tcBorders>
          </w:tcPr>
          <w:p>
            <w:pPr>
              <w:pStyle w:val="TableParagraph"/>
              <w:spacing w:line="257" w:lineRule="exact"/>
              <w:ind w:right="21"/>
              <w:jc w:val="center"/>
              <w:rPr>
                <w:sz w:val="24"/>
              </w:rPr>
            </w:pPr>
            <w:r>
              <w:rPr>
                <w:spacing w:val="-4"/>
                <w:sz w:val="24"/>
              </w:rPr>
              <w:t>.124</w:t>
            </w:r>
          </w:p>
        </w:tc>
      </w:tr>
      <w:tr>
        <w:trPr>
          <w:trHeight w:val="273" w:hRule="atLeast"/>
        </w:trPr>
        <w:tc>
          <w:tcPr>
            <w:tcW w:w="1842"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1840" w:type="dxa"/>
            <w:tcBorders>
              <w:top w:val="single" w:sz="4" w:space="0" w:color="000000"/>
              <w:bottom w:val="single" w:sz="4" w:space="0" w:color="000000"/>
            </w:tcBorders>
          </w:tcPr>
          <w:p>
            <w:pPr>
              <w:pStyle w:val="TableParagraph"/>
              <w:spacing w:line="253" w:lineRule="exact"/>
              <w:ind w:left="351"/>
              <w:rPr>
                <w:sz w:val="24"/>
              </w:rPr>
            </w:pPr>
            <w:r>
              <w:rPr>
                <w:spacing w:val="-2"/>
                <w:sz w:val="24"/>
              </w:rPr>
              <w:t>Total</w:t>
            </w:r>
          </w:p>
        </w:tc>
        <w:tc>
          <w:tcPr>
            <w:tcW w:w="967" w:type="dxa"/>
            <w:tcBorders>
              <w:top w:val="single" w:sz="4" w:space="0" w:color="000000"/>
              <w:bottom w:val="single" w:sz="4" w:space="0" w:color="000000"/>
            </w:tcBorders>
          </w:tcPr>
          <w:p>
            <w:pPr>
              <w:pStyle w:val="TableParagraph"/>
              <w:spacing w:line="253" w:lineRule="exact"/>
              <w:ind w:left="364"/>
              <w:rPr>
                <w:sz w:val="24"/>
              </w:rPr>
            </w:pPr>
            <w:r>
              <w:rPr>
                <w:spacing w:val="-5"/>
                <w:sz w:val="24"/>
              </w:rPr>
              <w:t>452</w:t>
            </w:r>
          </w:p>
        </w:tc>
        <w:tc>
          <w:tcPr>
            <w:tcW w:w="1104" w:type="dxa"/>
            <w:tcBorders>
              <w:top w:val="single" w:sz="4" w:space="0" w:color="000000"/>
              <w:bottom w:val="single" w:sz="4" w:space="0" w:color="000000"/>
            </w:tcBorders>
          </w:tcPr>
          <w:p>
            <w:pPr>
              <w:pStyle w:val="TableParagraph"/>
              <w:spacing w:line="253" w:lineRule="exact"/>
              <w:ind w:left="51"/>
              <w:jc w:val="center"/>
              <w:rPr>
                <w:sz w:val="24"/>
              </w:rPr>
            </w:pPr>
            <w:r>
              <w:rPr>
                <w:spacing w:val="-4"/>
                <w:sz w:val="24"/>
              </w:rPr>
              <w:t>2.26</w:t>
            </w:r>
          </w:p>
        </w:tc>
        <w:tc>
          <w:tcPr>
            <w:tcW w:w="1848" w:type="dxa"/>
            <w:tcBorders>
              <w:top w:val="single" w:sz="4" w:space="0" w:color="000000"/>
              <w:bottom w:val="single" w:sz="4" w:space="0" w:color="000000"/>
            </w:tcBorders>
          </w:tcPr>
          <w:p>
            <w:pPr>
              <w:pStyle w:val="TableParagraph"/>
              <w:spacing w:line="253" w:lineRule="exact"/>
              <w:ind w:left="1" w:right="19"/>
              <w:jc w:val="center"/>
              <w:rPr>
                <w:sz w:val="24"/>
              </w:rPr>
            </w:pPr>
            <w:r>
              <w:rPr>
                <w:spacing w:val="-4"/>
                <w:sz w:val="24"/>
              </w:rPr>
              <w:t>.629</w:t>
            </w:r>
          </w:p>
        </w:tc>
        <w:tc>
          <w:tcPr>
            <w:tcW w:w="1443" w:type="dxa"/>
            <w:tcBorders>
              <w:top w:val="single" w:sz="4" w:space="0" w:color="000000"/>
              <w:bottom w:val="single" w:sz="4" w:space="0" w:color="000000"/>
              <w:right w:val="single" w:sz="4" w:space="0" w:color="000000"/>
            </w:tcBorders>
          </w:tcPr>
          <w:p>
            <w:pPr>
              <w:pStyle w:val="TableParagraph"/>
              <w:spacing w:line="253" w:lineRule="exact"/>
              <w:ind w:right="21"/>
              <w:jc w:val="center"/>
              <w:rPr>
                <w:sz w:val="24"/>
              </w:rPr>
            </w:pPr>
            <w:r>
              <w:rPr>
                <w:spacing w:val="-4"/>
                <w:sz w:val="24"/>
              </w:rPr>
              <w:t>.030</w:t>
            </w:r>
          </w:p>
        </w:tc>
      </w:tr>
      <w:tr>
        <w:trPr>
          <w:trHeight w:val="278" w:hRule="atLeast"/>
        </w:trPr>
        <w:tc>
          <w:tcPr>
            <w:tcW w:w="1842" w:type="dxa"/>
            <w:tcBorders>
              <w:top w:val="single" w:sz="4" w:space="0" w:color="000000"/>
              <w:left w:val="single" w:sz="4" w:space="0" w:color="000000"/>
            </w:tcBorders>
          </w:tcPr>
          <w:p>
            <w:pPr>
              <w:pStyle w:val="TableParagraph"/>
              <w:spacing w:line="259" w:lineRule="exact"/>
              <w:ind w:left="95"/>
              <w:rPr>
                <w:sz w:val="24"/>
              </w:rPr>
            </w:pPr>
            <w:r>
              <w:rPr>
                <w:spacing w:val="-2"/>
                <w:sz w:val="24"/>
              </w:rPr>
              <w:t>Impact1</w:t>
            </w:r>
          </w:p>
        </w:tc>
        <w:tc>
          <w:tcPr>
            <w:tcW w:w="1840" w:type="dxa"/>
            <w:tcBorders>
              <w:top w:val="single" w:sz="4" w:space="0" w:color="000000"/>
            </w:tcBorders>
          </w:tcPr>
          <w:p>
            <w:pPr>
              <w:pStyle w:val="TableParagraph"/>
              <w:spacing w:line="259" w:lineRule="exact"/>
              <w:ind w:left="351"/>
              <w:rPr>
                <w:sz w:val="24"/>
              </w:rPr>
            </w:pPr>
            <w:r>
              <w:rPr>
                <w:spacing w:val="-2"/>
                <w:sz w:val="24"/>
              </w:rPr>
              <w:t>Student</w:t>
            </w:r>
          </w:p>
        </w:tc>
        <w:tc>
          <w:tcPr>
            <w:tcW w:w="967" w:type="dxa"/>
            <w:tcBorders>
              <w:top w:val="single" w:sz="4" w:space="0" w:color="000000"/>
            </w:tcBorders>
          </w:tcPr>
          <w:p>
            <w:pPr>
              <w:pStyle w:val="TableParagraph"/>
              <w:spacing w:line="259" w:lineRule="exact"/>
              <w:ind w:left="364"/>
              <w:rPr>
                <w:sz w:val="24"/>
              </w:rPr>
            </w:pPr>
            <w:r>
              <w:rPr>
                <w:spacing w:val="-5"/>
                <w:sz w:val="24"/>
              </w:rPr>
              <w:t>235</w:t>
            </w:r>
          </w:p>
        </w:tc>
        <w:tc>
          <w:tcPr>
            <w:tcW w:w="1104" w:type="dxa"/>
            <w:tcBorders>
              <w:top w:val="single" w:sz="4" w:space="0" w:color="000000"/>
            </w:tcBorders>
          </w:tcPr>
          <w:p>
            <w:pPr>
              <w:pStyle w:val="TableParagraph"/>
              <w:spacing w:line="259" w:lineRule="exact"/>
              <w:ind w:left="51"/>
              <w:jc w:val="center"/>
              <w:rPr>
                <w:sz w:val="24"/>
              </w:rPr>
            </w:pPr>
            <w:r>
              <w:rPr>
                <w:spacing w:val="-2"/>
                <w:sz w:val="24"/>
              </w:rPr>
              <w:t>3.654</w:t>
            </w:r>
          </w:p>
        </w:tc>
        <w:tc>
          <w:tcPr>
            <w:tcW w:w="1848" w:type="dxa"/>
            <w:tcBorders>
              <w:top w:val="single" w:sz="4" w:space="0" w:color="000000"/>
            </w:tcBorders>
          </w:tcPr>
          <w:p>
            <w:pPr>
              <w:pStyle w:val="TableParagraph"/>
              <w:spacing w:line="259" w:lineRule="exact"/>
              <w:ind w:left="1" w:right="19"/>
              <w:jc w:val="center"/>
              <w:rPr>
                <w:sz w:val="24"/>
              </w:rPr>
            </w:pPr>
            <w:r>
              <w:rPr>
                <w:spacing w:val="-2"/>
                <w:sz w:val="24"/>
              </w:rPr>
              <w:t>.6066</w:t>
            </w:r>
          </w:p>
        </w:tc>
        <w:tc>
          <w:tcPr>
            <w:tcW w:w="1443" w:type="dxa"/>
            <w:tcBorders>
              <w:top w:val="single" w:sz="4" w:space="0" w:color="000000"/>
              <w:right w:val="single" w:sz="4" w:space="0" w:color="000000"/>
            </w:tcBorders>
          </w:tcPr>
          <w:p>
            <w:pPr>
              <w:pStyle w:val="TableParagraph"/>
              <w:spacing w:line="259" w:lineRule="exact"/>
              <w:ind w:right="21"/>
              <w:jc w:val="center"/>
              <w:rPr>
                <w:sz w:val="24"/>
              </w:rPr>
            </w:pPr>
            <w:r>
              <w:rPr>
                <w:spacing w:val="-2"/>
                <w:sz w:val="24"/>
              </w:rPr>
              <w:t>.0396</w:t>
            </w:r>
          </w:p>
        </w:tc>
      </w:tr>
      <w:tr>
        <w:trPr>
          <w:trHeight w:val="276" w:hRule="atLeast"/>
        </w:trPr>
        <w:tc>
          <w:tcPr>
            <w:tcW w:w="1842" w:type="dxa"/>
            <w:tcBorders>
              <w:left w:val="single" w:sz="4" w:space="0" w:color="000000"/>
            </w:tcBorders>
          </w:tcPr>
          <w:p>
            <w:pPr>
              <w:pStyle w:val="TableParagraph"/>
              <w:rPr>
                <w:rFonts w:ascii="Times New Roman"/>
                <w:sz w:val="20"/>
              </w:rPr>
            </w:pPr>
          </w:p>
        </w:tc>
        <w:tc>
          <w:tcPr>
            <w:tcW w:w="1840" w:type="dxa"/>
          </w:tcPr>
          <w:p>
            <w:pPr>
              <w:pStyle w:val="TableParagraph"/>
              <w:spacing w:line="256" w:lineRule="exact"/>
              <w:ind w:left="351"/>
              <w:rPr>
                <w:sz w:val="24"/>
              </w:rPr>
            </w:pPr>
            <w:r>
              <w:rPr>
                <w:spacing w:val="-4"/>
                <w:sz w:val="24"/>
              </w:rPr>
              <w:t>Staff</w:t>
            </w:r>
          </w:p>
        </w:tc>
        <w:tc>
          <w:tcPr>
            <w:tcW w:w="967" w:type="dxa"/>
          </w:tcPr>
          <w:p>
            <w:pPr>
              <w:pStyle w:val="TableParagraph"/>
              <w:spacing w:line="256" w:lineRule="exact"/>
              <w:ind w:left="364"/>
              <w:rPr>
                <w:sz w:val="24"/>
              </w:rPr>
            </w:pPr>
            <w:r>
              <w:rPr>
                <w:spacing w:val="-5"/>
                <w:sz w:val="24"/>
              </w:rPr>
              <w:t>201</w:t>
            </w:r>
          </w:p>
        </w:tc>
        <w:tc>
          <w:tcPr>
            <w:tcW w:w="1104" w:type="dxa"/>
          </w:tcPr>
          <w:p>
            <w:pPr>
              <w:pStyle w:val="TableParagraph"/>
              <w:spacing w:line="256" w:lineRule="exact"/>
              <w:ind w:left="51"/>
              <w:jc w:val="center"/>
              <w:rPr>
                <w:sz w:val="24"/>
              </w:rPr>
            </w:pPr>
            <w:r>
              <w:rPr>
                <w:spacing w:val="-2"/>
                <w:sz w:val="24"/>
              </w:rPr>
              <w:t>3.504</w:t>
            </w:r>
          </w:p>
        </w:tc>
        <w:tc>
          <w:tcPr>
            <w:tcW w:w="1848" w:type="dxa"/>
          </w:tcPr>
          <w:p>
            <w:pPr>
              <w:pStyle w:val="TableParagraph"/>
              <w:spacing w:line="256" w:lineRule="exact"/>
              <w:ind w:left="1" w:right="19"/>
              <w:jc w:val="center"/>
              <w:rPr>
                <w:sz w:val="24"/>
              </w:rPr>
            </w:pPr>
            <w:r>
              <w:rPr>
                <w:spacing w:val="-2"/>
                <w:sz w:val="24"/>
              </w:rPr>
              <w:t>.6431</w:t>
            </w:r>
          </w:p>
        </w:tc>
        <w:tc>
          <w:tcPr>
            <w:tcW w:w="1443" w:type="dxa"/>
            <w:tcBorders>
              <w:right w:val="single" w:sz="4" w:space="0" w:color="000000"/>
            </w:tcBorders>
          </w:tcPr>
          <w:p>
            <w:pPr>
              <w:pStyle w:val="TableParagraph"/>
              <w:spacing w:line="256" w:lineRule="exact"/>
              <w:ind w:right="21"/>
              <w:jc w:val="center"/>
              <w:rPr>
                <w:sz w:val="24"/>
              </w:rPr>
            </w:pPr>
            <w:r>
              <w:rPr>
                <w:spacing w:val="-2"/>
                <w:sz w:val="24"/>
              </w:rPr>
              <w:t>.0454</w:t>
            </w:r>
          </w:p>
        </w:tc>
      </w:tr>
      <w:tr>
        <w:trPr>
          <w:trHeight w:val="275" w:hRule="atLeast"/>
        </w:trPr>
        <w:tc>
          <w:tcPr>
            <w:tcW w:w="1842" w:type="dxa"/>
            <w:tcBorders>
              <w:left w:val="single" w:sz="4" w:space="0" w:color="000000"/>
              <w:bottom w:val="single" w:sz="4" w:space="0" w:color="000000"/>
            </w:tcBorders>
          </w:tcPr>
          <w:p>
            <w:pPr>
              <w:pStyle w:val="TableParagraph"/>
              <w:rPr>
                <w:rFonts w:ascii="Times New Roman"/>
                <w:sz w:val="20"/>
              </w:rPr>
            </w:pPr>
          </w:p>
        </w:tc>
        <w:tc>
          <w:tcPr>
            <w:tcW w:w="1840" w:type="dxa"/>
            <w:tcBorders>
              <w:bottom w:val="single" w:sz="4" w:space="0" w:color="000000"/>
            </w:tcBorders>
          </w:tcPr>
          <w:p>
            <w:pPr>
              <w:pStyle w:val="TableParagraph"/>
              <w:spacing w:line="255" w:lineRule="exact"/>
              <w:ind w:left="351"/>
              <w:rPr>
                <w:sz w:val="24"/>
              </w:rPr>
            </w:pPr>
            <w:r>
              <w:rPr>
                <w:spacing w:val="-2"/>
                <w:sz w:val="24"/>
              </w:rPr>
              <w:t>Managmet</w:t>
            </w:r>
          </w:p>
        </w:tc>
        <w:tc>
          <w:tcPr>
            <w:tcW w:w="967" w:type="dxa"/>
            <w:tcBorders>
              <w:bottom w:val="single" w:sz="4" w:space="0" w:color="000000"/>
            </w:tcBorders>
          </w:tcPr>
          <w:p>
            <w:pPr>
              <w:pStyle w:val="TableParagraph"/>
              <w:spacing w:line="255" w:lineRule="exact"/>
              <w:ind w:left="426"/>
              <w:rPr>
                <w:sz w:val="24"/>
              </w:rPr>
            </w:pPr>
            <w:r>
              <w:rPr>
                <w:spacing w:val="-5"/>
                <w:sz w:val="24"/>
              </w:rPr>
              <w:t>23</w:t>
            </w:r>
          </w:p>
        </w:tc>
        <w:tc>
          <w:tcPr>
            <w:tcW w:w="1104" w:type="dxa"/>
            <w:tcBorders>
              <w:bottom w:val="single" w:sz="4" w:space="0" w:color="000000"/>
            </w:tcBorders>
          </w:tcPr>
          <w:p>
            <w:pPr>
              <w:pStyle w:val="TableParagraph"/>
              <w:spacing w:line="255" w:lineRule="exact"/>
              <w:ind w:left="51"/>
              <w:jc w:val="center"/>
              <w:rPr>
                <w:sz w:val="24"/>
              </w:rPr>
            </w:pPr>
            <w:r>
              <w:rPr>
                <w:spacing w:val="-2"/>
                <w:sz w:val="24"/>
              </w:rPr>
              <w:t>3.783</w:t>
            </w:r>
          </w:p>
        </w:tc>
        <w:tc>
          <w:tcPr>
            <w:tcW w:w="1848" w:type="dxa"/>
            <w:tcBorders>
              <w:bottom w:val="single" w:sz="4" w:space="0" w:color="000000"/>
            </w:tcBorders>
          </w:tcPr>
          <w:p>
            <w:pPr>
              <w:pStyle w:val="TableParagraph"/>
              <w:spacing w:line="255" w:lineRule="exact"/>
              <w:ind w:left="1" w:right="19"/>
              <w:jc w:val="center"/>
              <w:rPr>
                <w:sz w:val="24"/>
              </w:rPr>
            </w:pPr>
            <w:r>
              <w:rPr>
                <w:spacing w:val="-2"/>
                <w:sz w:val="24"/>
              </w:rPr>
              <w:t>.5424</w:t>
            </w:r>
          </w:p>
        </w:tc>
        <w:tc>
          <w:tcPr>
            <w:tcW w:w="1443" w:type="dxa"/>
            <w:tcBorders>
              <w:bottom w:val="single" w:sz="4" w:space="0" w:color="000000"/>
              <w:right w:val="single" w:sz="4" w:space="0" w:color="000000"/>
            </w:tcBorders>
          </w:tcPr>
          <w:p>
            <w:pPr>
              <w:pStyle w:val="TableParagraph"/>
              <w:spacing w:line="255" w:lineRule="exact"/>
              <w:ind w:right="21"/>
              <w:jc w:val="center"/>
              <w:rPr>
                <w:sz w:val="24"/>
              </w:rPr>
            </w:pPr>
            <w:r>
              <w:rPr>
                <w:spacing w:val="-2"/>
                <w:sz w:val="24"/>
              </w:rPr>
              <w:t>.1131</w:t>
            </w:r>
          </w:p>
        </w:tc>
      </w:tr>
      <w:tr>
        <w:trPr>
          <w:trHeight w:val="278" w:hRule="atLeast"/>
        </w:trPr>
        <w:tc>
          <w:tcPr>
            <w:tcW w:w="1842"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1840" w:type="dxa"/>
            <w:tcBorders>
              <w:top w:val="single" w:sz="4" w:space="0" w:color="000000"/>
              <w:bottom w:val="single" w:sz="4" w:space="0" w:color="000000"/>
            </w:tcBorders>
          </w:tcPr>
          <w:p>
            <w:pPr>
              <w:pStyle w:val="TableParagraph"/>
              <w:spacing w:line="258" w:lineRule="exact"/>
              <w:ind w:left="351"/>
              <w:rPr>
                <w:sz w:val="24"/>
              </w:rPr>
            </w:pPr>
            <w:r>
              <w:rPr>
                <w:spacing w:val="-2"/>
                <w:sz w:val="24"/>
              </w:rPr>
              <w:t>Total</w:t>
            </w:r>
          </w:p>
        </w:tc>
        <w:tc>
          <w:tcPr>
            <w:tcW w:w="967" w:type="dxa"/>
            <w:tcBorders>
              <w:top w:val="single" w:sz="4" w:space="0" w:color="000000"/>
              <w:bottom w:val="single" w:sz="4" w:space="0" w:color="000000"/>
            </w:tcBorders>
          </w:tcPr>
          <w:p>
            <w:pPr>
              <w:pStyle w:val="TableParagraph"/>
              <w:spacing w:line="258" w:lineRule="exact"/>
              <w:ind w:left="364"/>
              <w:rPr>
                <w:sz w:val="24"/>
              </w:rPr>
            </w:pPr>
            <w:r>
              <w:rPr>
                <w:spacing w:val="-5"/>
                <w:sz w:val="24"/>
              </w:rPr>
              <w:t>459</w:t>
            </w:r>
          </w:p>
        </w:tc>
        <w:tc>
          <w:tcPr>
            <w:tcW w:w="1104" w:type="dxa"/>
            <w:tcBorders>
              <w:top w:val="single" w:sz="4" w:space="0" w:color="000000"/>
              <w:bottom w:val="single" w:sz="4" w:space="0" w:color="000000"/>
            </w:tcBorders>
          </w:tcPr>
          <w:p>
            <w:pPr>
              <w:pStyle w:val="TableParagraph"/>
              <w:spacing w:line="258" w:lineRule="exact"/>
              <w:ind w:left="51"/>
              <w:jc w:val="center"/>
              <w:rPr>
                <w:sz w:val="24"/>
              </w:rPr>
            </w:pPr>
            <w:r>
              <w:rPr>
                <w:spacing w:val="-2"/>
                <w:sz w:val="24"/>
              </w:rPr>
              <w:t>3.595</w:t>
            </w:r>
          </w:p>
        </w:tc>
        <w:tc>
          <w:tcPr>
            <w:tcW w:w="1848" w:type="dxa"/>
            <w:tcBorders>
              <w:top w:val="single" w:sz="4" w:space="0" w:color="000000"/>
              <w:bottom w:val="single" w:sz="4" w:space="0" w:color="000000"/>
            </w:tcBorders>
          </w:tcPr>
          <w:p>
            <w:pPr>
              <w:pStyle w:val="TableParagraph"/>
              <w:spacing w:line="258" w:lineRule="exact"/>
              <w:ind w:left="1" w:right="19"/>
              <w:jc w:val="center"/>
              <w:rPr>
                <w:sz w:val="24"/>
              </w:rPr>
            </w:pPr>
            <w:r>
              <w:rPr>
                <w:spacing w:val="-2"/>
                <w:sz w:val="24"/>
              </w:rPr>
              <w:t>.6244</w:t>
            </w:r>
          </w:p>
        </w:tc>
        <w:tc>
          <w:tcPr>
            <w:tcW w:w="1443" w:type="dxa"/>
            <w:tcBorders>
              <w:top w:val="single" w:sz="4" w:space="0" w:color="000000"/>
              <w:bottom w:val="single" w:sz="4" w:space="0" w:color="000000"/>
              <w:right w:val="single" w:sz="4" w:space="0" w:color="000000"/>
            </w:tcBorders>
          </w:tcPr>
          <w:p>
            <w:pPr>
              <w:pStyle w:val="TableParagraph"/>
              <w:spacing w:line="258" w:lineRule="exact"/>
              <w:ind w:right="21"/>
              <w:jc w:val="center"/>
              <w:rPr>
                <w:sz w:val="24"/>
              </w:rPr>
            </w:pPr>
            <w:r>
              <w:rPr>
                <w:spacing w:val="-2"/>
                <w:sz w:val="24"/>
              </w:rPr>
              <w:t>.0291</w:t>
            </w:r>
          </w:p>
        </w:tc>
      </w:tr>
      <w:tr>
        <w:trPr>
          <w:trHeight w:val="274" w:hRule="atLeast"/>
        </w:trPr>
        <w:tc>
          <w:tcPr>
            <w:tcW w:w="1842" w:type="dxa"/>
            <w:tcBorders>
              <w:top w:val="single" w:sz="4" w:space="0" w:color="000000"/>
              <w:left w:val="single" w:sz="4" w:space="0" w:color="000000"/>
            </w:tcBorders>
          </w:tcPr>
          <w:p>
            <w:pPr>
              <w:pStyle w:val="TableParagraph"/>
              <w:spacing w:line="254" w:lineRule="exact"/>
              <w:ind w:left="95"/>
              <w:rPr>
                <w:sz w:val="24"/>
              </w:rPr>
            </w:pPr>
            <w:r>
              <w:rPr>
                <w:spacing w:val="-2"/>
                <w:sz w:val="24"/>
              </w:rPr>
              <w:t>Impact2</w:t>
            </w:r>
          </w:p>
        </w:tc>
        <w:tc>
          <w:tcPr>
            <w:tcW w:w="1840" w:type="dxa"/>
            <w:tcBorders>
              <w:top w:val="single" w:sz="4" w:space="0" w:color="000000"/>
            </w:tcBorders>
          </w:tcPr>
          <w:p>
            <w:pPr>
              <w:pStyle w:val="TableParagraph"/>
              <w:spacing w:line="254" w:lineRule="exact"/>
              <w:ind w:left="351"/>
              <w:rPr>
                <w:sz w:val="24"/>
              </w:rPr>
            </w:pPr>
            <w:r>
              <w:rPr>
                <w:spacing w:val="-2"/>
                <w:sz w:val="24"/>
              </w:rPr>
              <w:t>Student</w:t>
            </w:r>
          </w:p>
        </w:tc>
        <w:tc>
          <w:tcPr>
            <w:tcW w:w="967" w:type="dxa"/>
            <w:tcBorders>
              <w:top w:val="single" w:sz="4" w:space="0" w:color="000000"/>
            </w:tcBorders>
          </w:tcPr>
          <w:p>
            <w:pPr>
              <w:pStyle w:val="TableParagraph"/>
              <w:spacing w:line="254" w:lineRule="exact"/>
              <w:ind w:left="364"/>
              <w:rPr>
                <w:sz w:val="24"/>
              </w:rPr>
            </w:pPr>
            <w:r>
              <w:rPr>
                <w:spacing w:val="-5"/>
                <w:sz w:val="24"/>
              </w:rPr>
              <w:t>234</w:t>
            </w:r>
          </w:p>
        </w:tc>
        <w:tc>
          <w:tcPr>
            <w:tcW w:w="1104" w:type="dxa"/>
            <w:tcBorders>
              <w:top w:val="single" w:sz="4" w:space="0" w:color="000000"/>
            </w:tcBorders>
          </w:tcPr>
          <w:p>
            <w:pPr>
              <w:pStyle w:val="TableParagraph"/>
              <w:spacing w:line="254" w:lineRule="exact"/>
              <w:ind w:left="51"/>
              <w:jc w:val="center"/>
              <w:rPr>
                <w:sz w:val="24"/>
              </w:rPr>
            </w:pPr>
            <w:r>
              <w:rPr>
                <w:spacing w:val="-2"/>
                <w:sz w:val="24"/>
              </w:rPr>
              <w:t>4.117</w:t>
            </w:r>
          </w:p>
        </w:tc>
        <w:tc>
          <w:tcPr>
            <w:tcW w:w="1848" w:type="dxa"/>
            <w:tcBorders>
              <w:top w:val="single" w:sz="4" w:space="0" w:color="000000"/>
            </w:tcBorders>
          </w:tcPr>
          <w:p>
            <w:pPr>
              <w:pStyle w:val="TableParagraph"/>
              <w:spacing w:line="254" w:lineRule="exact"/>
              <w:ind w:left="1" w:right="19"/>
              <w:jc w:val="center"/>
              <w:rPr>
                <w:sz w:val="24"/>
              </w:rPr>
            </w:pPr>
            <w:r>
              <w:rPr>
                <w:spacing w:val="-2"/>
                <w:sz w:val="24"/>
              </w:rPr>
              <w:t>.5133</w:t>
            </w:r>
          </w:p>
        </w:tc>
        <w:tc>
          <w:tcPr>
            <w:tcW w:w="1443" w:type="dxa"/>
            <w:tcBorders>
              <w:top w:val="single" w:sz="4" w:space="0" w:color="000000"/>
              <w:right w:val="single" w:sz="4" w:space="0" w:color="000000"/>
            </w:tcBorders>
          </w:tcPr>
          <w:p>
            <w:pPr>
              <w:pStyle w:val="TableParagraph"/>
              <w:spacing w:line="254" w:lineRule="exact"/>
              <w:ind w:right="21"/>
              <w:jc w:val="center"/>
              <w:rPr>
                <w:sz w:val="24"/>
              </w:rPr>
            </w:pPr>
            <w:r>
              <w:rPr>
                <w:spacing w:val="-2"/>
                <w:sz w:val="24"/>
              </w:rPr>
              <w:t>.0336</w:t>
            </w:r>
          </w:p>
        </w:tc>
      </w:tr>
      <w:tr>
        <w:trPr>
          <w:trHeight w:val="276" w:hRule="atLeast"/>
        </w:trPr>
        <w:tc>
          <w:tcPr>
            <w:tcW w:w="1842" w:type="dxa"/>
            <w:tcBorders>
              <w:left w:val="single" w:sz="4" w:space="0" w:color="000000"/>
            </w:tcBorders>
          </w:tcPr>
          <w:p>
            <w:pPr>
              <w:pStyle w:val="TableParagraph"/>
              <w:rPr>
                <w:rFonts w:ascii="Times New Roman"/>
                <w:sz w:val="20"/>
              </w:rPr>
            </w:pPr>
          </w:p>
        </w:tc>
        <w:tc>
          <w:tcPr>
            <w:tcW w:w="1840" w:type="dxa"/>
          </w:tcPr>
          <w:p>
            <w:pPr>
              <w:pStyle w:val="TableParagraph"/>
              <w:spacing w:line="256" w:lineRule="exact"/>
              <w:ind w:left="351"/>
              <w:rPr>
                <w:sz w:val="24"/>
              </w:rPr>
            </w:pPr>
            <w:r>
              <w:rPr>
                <w:spacing w:val="-4"/>
                <w:sz w:val="24"/>
              </w:rPr>
              <w:t>Staff</w:t>
            </w:r>
          </w:p>
        </w:tc>
        <w:tc>
          <w:tcPr>
            <w:tcW w:w="967" w:type="dxa"/>
          </w:tcPr>
          <w:p>
            <w:pPr>
              <w:pStyle w:val="TableParagraph"/>
              <w:spacing w:line="256" w:lineRule="exact"/>
              <w:ind w:left="364"/>
              <w:rPr>
                <w:sz w:val="24"/>
              </w:rPr>
            </w:pPr>
            <w:r>
              <w:rPr>
                <w:spacing w:val="-5"/>
                <w:sz w:val="24"/>
              </w:rPr>
              <w:t>196</w:t>
            </w:r>
          </w:p>
        </w:tc>
        <w:tc>
          <w:tcPr>
            <w:tcW w:w="1104" w:type="dxa"/>
          </w:tcPr>
          <w:p>
            <w:pPr>
              <w:pStyle w:val="TableParagraph"/>
              <w:spacing w:line="256" w:lineRule="exact"/>
              <w:ind w:left="51"/>
              <w:jc w:val="center"/>
              <w:rPr>
                <w:sz w:val="24"/>
              </w:rPr>
            </w:pPr>
            <w:r>
              <w:rPr>
                <w:spacing w:val="-2"/>
                <w:sz w:val="24"/>
              </w:rPr>
              <w:t>3.989</w:t>
            </w:r>
          </w:p>
        </w:tc>
        <w:tc>
          <w:tcPr>
            <w:tcW w:w="1848" w:type="dxa"/>
          </w:tcPr>
          <w:p>
            <w:pPr>
              <w:pStyle w:val="TableParagraph"/>
              <w:spacing w:line="256" w:lineRule="exact"/>
              <w:ind w:left="1" w:right="19"/>
              <w:jc w:val="center"/>
              <w:rPr>
                <w:sz w:val="24"/>
              </w:rPr>
            </w:pPr>
            <w:r>
              <w:rPr>
                <w:spacing w:val="-2"/>
                <w:sz w:val="24"/>
              </w:rPr>
              <w:t>.5871</w:t>
            </w:r>
          </w:p>
        </w:tc>
        <w:tc>
          <w:tcPr>
            <w:tcW w:w="1443" w:type="dxa"/>
            <w:tcBorders>
              <w:right w:val="single" w:sz="4" w:space="0" w:color="000000"/>
            </w:tcBorders>
          </w:tcPr>
          <w:p>
            <w:pPr>
              <w:pStyle w:val="TableParagraph"/>
              <w:spacing w:line="256" w:lineRule="exact"/>
              <w:ind w:right="21"/>
              <w:jc w:val="center"/>
              <w:rPr>
                <w:sz w:val="24"/>
              </w:rPr>
            </w:pPr>
            <w:r>
              <w:rPr>
                <w:spacing w:val="-2"/>
                <w:sz w:val="24"/>
              </w:rPr>
              <w:t>.0419</w:t>
            </w:r>
          </w:p>
        </w:tc>
      </w:tr>
      <w:tr>
        <w:trPr>
          <w:trHeight w:val="275" w:hRule="atLeast"/>
        </w:trPr>
        <w:tc>
          <w:tcPr>
            <w:tcW w:w="1842" w:type="dxa"/>
            <w:tcBorders>
              <w:left w:val="single" w:sz="4" w:space="0" w:color="000000"/>
              <w:bottom w:val="single" w:sz="4" w:space="0" w:color="000000"/>
            </w:tcBorders>
          </w:tcPr>
          <w:p>
            <w:pPr>
              <w:pStyle w:val="TableParagraph"/>
              <w:rPr>
                <w:rFonts w:ascii="Times New Roman"/>
                <w:sz w:val="20"/>
              </w:rPr>
            </w:pPr>
          </w:p>
        </w:tc>
        <w:tc>
          <w:tcPr>
            <w:tcW w:w="1840" w:type="dxa"/>
            <w:tcBorders>
              <w:bottom w:val="single" w:sz="4" w:space="0" w:color="000000"/>
            </w:tcBorders>
          </w:tcPr>
          <w:p>
            <w:pPr>
              <w:pStyle w:val="TableParagraph"/>
              <w:spacing w:line="255" w:lineRule="exact"/>
              <w:ind w:left="351"/>
              <w:rPr>
                <w:sz w:val="24"/>
              </w:rPr>
            </w:pPr>
            <w:r>
              <w:rPr>
                <w:spacing w:val="-2"/>
                <w:sz w:val="24"/>
              </w:rPr>
              <w:t>Managmet</w:t>
            </w:r>
          </w:p>
        </w:tc>
        <w:tc>
          <w:tcPr>
            <w:tcW w:w="967" w:type="dxa"/>
            <w:tcBorders>
              <w:bottom w:val="single" w:sz="4" w:space="0" w:color="000000"/>
            </w:tcBorders>
          </w:tcPr>
          <w:p>
            <w:pPr>
              <w:pStyle w:val="TableParagraph"/>
              <w:spacing w:line="255" w:lineRule="exact"/>
              <w:ind w:left="426"/>
              <w:rPr>
                <w:sz w:val="24"/>
              </w:rPr>
            </w:pPr>
            <w:r>
              <w:rPr>
                <w:spacing w:val="-5"/>
                <w:sz w:val="24"/>
              </w:rPr>
              <w:t>23</w:t>
            </w:r>
          </w:p>
        </w:tc>
        <w:tc>
          <w:tcPr>
            <w:tcW w:w="1104" w:type="dxa"/>
            <w:tcBorders>
              <w:bottom w:val="single" w:sz="4" w:space="0" w:color="000000"/>
            </w:tcBorders>
          </w:tcPr>
          <w:p>
            <w:pPr>
              <w:pStyle w:val="TableParagraph"/>
              <w:spacing w:line="255" w:lineRule="exact"/>
              <w:ind w:left="51"/>
              <w:jc w:val="center"/>
              <w:rPr>
                <w:sz w:val="24"/>
              </w:rPr>
            </w:pPr>
            <w:r>
              <w:rPr>
                <w:spacing w:val="-2"/>
                <w:sz w:val="24"/>
              </w:rPr>
              <w:t>4.104</w:t>
            </w:r>
          </w:p>
        </w:tc>
        <w:tc>
          <w:tcPr>
            <w:tcW w:w="1848" w:type="dxa"/>
            <w:tcBorders>
              <w:bottom w:val="single" w:sz="4" w:space="0" w:color="000000"/>
            </w:tcBorders>
          </w:tcPr>
          <w:p>
            <w:pPr>
              <w:pStyle w:val="TableParagraph"/>
              <w:spacing w:line="255" w:lineRule="exact"/>
              <w:ind w:left="1" w:right="19"/>
              <w:jc w:val="center"/>
              <w:rPr>
                <w:sz w:val="24"/>
              </w:rPr>
            </w:pPr>
            <w:r>
              <w:rPr>
                <w:spacing w:val="-2"/>
                <w:sz w:val="24"/>
              </w:rPr>
              <w:t>.5423</w:t>
            </w:r>
          </w:p>
        </w:tc>
        <w:tc>
          <w:tcPr>
            <w:tcW w:w="1443" w:type="dxa"/>
            <w:tcBorders>
              <w:bottom w:val="single" w:sz="4" w:space="0" w:color="000000"/>
              <w:right w:val="single" w:sz="4" w:space="0" w:color="000000"/>
            </w:tcBorders>
          </w:tcPr>
          <w:p>
            <w:pPr>
              <w:pStyle w:val="TableParagraph"/>
              <w:spacing w:line="255" w:lineRule="exact"/>
              <w:ind w:right="21"/>
              <w:jc w:val="center"/>
              <w:rPr>
                <w:sz w:val="24"/>
              </w:rPr>
            </w:pPr>
            <w:r>
              <w:rPr>
                <w:spacing w:val="-2"/>
                <w:sz w:val="24"/>
              </w:rPr>
              <w:t>.1131</w:t>
            </w:r>
          </w:p>
        </w:tc>
      </w:tr>
      <w:tr>
        <w:trPr>
          <w:trHeight w:val="277" w:hRule="atLeast"/>
        </w:trPr>
        <w:tc>
          <w:tcPr>
            <w:tcW w:w="1842"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1840" w:type="dxa"/>
            <w:tcBorders>
              <w:top w:val="single" w:sz="4" w:space="0" w:color="000000"/>
              <w:bottom w:val="single" w:sz="4" w:space="0" w:color="000000"/>
            </w:tcBorders>
          </w:tcPr>
          <w:p>
            <w:pPr>
              <w:pStyle w:val="TableParagraph"/>
              <w:spacing w:line="258" w:lineRule="exact"/>
              <w:ind w:left="351"/>
              <w:rPr>
                <w:sz w:val="24"/>
              </w:rPr>
            </w:pPr>
            <w:r>
              <w:rPr>
                <w:spacing w:val="-2"/>
                <w:sz w:val="24"/>
              </w:rPr>
              <w:t>Total</w:t>
            </w:r>
          </w:p>
        </w:tc>
        <w:tc>
          <w:tcPr>
            <w:tcW w:w="967" w:type="dxa"/>
            <w:tcBorders>
              <w:top w:val="single" w:sz="4" w:space="0" w:color="000000"/>
              <w:bottom w:val="single" w:sz="4" w:space="0" w:color="000000"/>
            </w:tcBorders>
          </w:tcPr>
          <w:p>
            <w:pPr>
              <w:pStyle w:val="TableParagraph"/>
              <w:spacing w:line="258" w:lineRule="exact"/>
              <w:ind w:left="364"/>
              <w:rPr>
                <w:sz w:val="24"/>
              </w:rPr>
            </w:pPr>
            <w:r>
              <w:rPr>
                <w:spacing w:val="-5"/>
                <w:sz w:val="24"/>
              </w:rPr>
              <w:t>453</w:t>
            </w:r>
          </w:p>
        </w:tc>
        <w:tc>
          <w:tcPr>
            <w:tcW w:w="1104" w:type="dxa"/>
            <w:tcBorders>
              <w:top w:val="single" w:sz="4" w:space="0" w:color="000000"/>
              <w:bottom w:val="single" w:sz="4" w:space="0" w:color="000000"/>
            </w:tcBorders>
          </w:tcPr>
          <w:p>
            <w:pPr>
              <w:pStyle w:val="TableParagraph"/>
              <w:spacing w:line="258" w:lineRule="exact"/>
              <w:ind w:left="51"/>
              <w:jc w:val="center"/>
              <w:rPr>
                <w:sz w:val="24"/>
              </w:rPr>
            </w:pPr>
            <w:r>
              <w:rPr>
                <w:spacing w:val="-2"/>
                <w:sz w:val="24"/>
              </w:rPr>
              <w:t>4.061</w:t>
            </w:r>
          </w:p>
        </w:tc>
        <w:tc>
          <w:tcPr>
            <w:tcW w:w="1848" w:type="dxa"/>
            <w:tcBorders>
              <w:top w:val="single" w:sz="4" w:space="0" w:color="000000"/>
              <w:bottom w:val="single" w:sz="4" w:space="0" w:color="000000"/>
            </w:tcBorders>
          </w:tcPr>
          <w:p>
            <w:pPr>
              <w:pStyle w:val="TableParagraph"/>
              <w:spacing w:line="258" w:lineRule="exact"/>
              <w:ind w:left="1" w:right="19"/>
              <w:jc w:val="center"/>
              <w:rPr>
                <w:sz w:val="24"/>
              </w:rPr>
            </w:pPr>
            <w:r>
              <w:rPr>
                <w:spacing w:val="-2"/>
                <w:sz w:val="24"/>
              </w:rPr>
              <w:t>.5503</w:t>
            </w:r>
          </w:p>
        </w:tc>
        <w:tc>
          <w:tcPr>
            <w:tcW w:w="1443" w:type="dxa"/>
            <w:tcBorders>
              <w:top w:val="single" w:sz="4" w:space="0" w:color="000000"/>
              <w:bottom w:val="single" w:sz="4" w:space="0" w:color="000000"/>
              <w:right w:val="single" w:sz="4" w:space="0" w:color="000000"/>
            </w:tcBorders>
          </w:tcPr>
          <w:p>
            <w:pPr>
              <w:pStyle w:val="TableParagraph"/>
              <w:spacing w:line="258" w:lineRule="exact"/>
              <w:ind w:right="21"/>
              <w:jc w:val="center"/>
              <w:rPr>
                <w:sz w:val="24"/>
              </w:rPr>
            </w:pPr>
            <w:r>
              <w:rPr>
                <w:spacing w:val="-2"/>
                <w:sz w:val="24"/>
              </w:rPr>
              <w:t>.0259</w:t>
            </w:r>
          </w:p>
        </w:tc>
      </w:tr>
      <w:tr>
        <w:trPr>
          <w:trHeight w:val="274" w:hRule="atLeast"/>
        </w:trPr>
        <w:tc>
          <w:tcPr>
            <w:tcW w:w="1842" w:type="dxa"/>
            <w:tcBorders>
              <w:top w:val="single" w:sz="4" w:space="0" w:color="000000"/>
              <w:left w:val="single" w:sz="4" w:space="0" w:color="000000"/>
            </w:tcBorders>
          </w:tcPr>
          <w:p>
            <w:pPr>
              <w:pStyle w:val="TableParagraph"/>
              <w:spacing w:line="254" w:lineRule="exact"/>
              <w:ind w:left="95"/>
              <w:rPr>
                <w:sz w:val="24"/>
              </w:rPr>
            </w:pPr>
            <w:r>
              <w:rPr>
                <w:spacing w:val="-2"/>
                <w:sz w:val="24"/>
              </w:rPr>
              <w:t>Impact3</w:t>
            </w:r>
          </w:p>
        </w:tc>
        <w:tc>
          <w:tcPr>
            <w:tcW w:w="1840" w:type="dxa"/>
            <w:tcBorders>
              <w:top w:val="single" w:sz="4" w:space="0" w:color="000000"/>
            </w:tcBorders>
          </w:tcPr>
          <w:p>
            <w:pPr>
              <w:pStyle w:val="TableParagraph"/>
              <w:spacing w:line="254" w:lineRule="exact"/>
              <w:ind w:left="351"/>
              <w:rPr>
                <w:sz w:val="24"/>
              </w:rPr>
            </w:pPr>
            <w:r>
              <w:rPr>
                <w:spacing w:val="-2"/>
                <w:sz w:val="24"/>
              </w:rPr>
              <w:t>Student</w:t>
            </w:r>
          </w:p>
        </w:tc>
        <w:tc>
          <w:tcPr>
            <w:tcW w:w="967" w:type="dxa"/>
            <w:tcBorders>
              <w:top w:val="single" w:sz="4" w:space="0" w:color="000000"/>
            </w:tcBorders>
          </w:tcPr>
          <w:p>
            <w:pPr>
              <w:pStyle w:val="TableParagraph"/>
              <w:spacing w:line="254" w:lineRule="exact"/>
              <w:ind w:left="364"/>
              <w:rPr>
                <w:sz w:val="24"/>
              </w:rPr>
            </w:pPr>
            <w:r>
              <w:rPr>
                <w:spacing w:val="-5"/>
                <w:sz w:val="24"/>
              </w:rPr>
              <w:t>235</w:t>
            </w:r>
          </w:p>
        </w:tc>
        <w:tc>
          <w:tcPr>
            <w:tcW w:w="1104" w:type="dxa"/>
            <w:tcBorders>
              <w:top w:val="single" w:sz="4" w:space="0" w:color="000000"/>
            </w:tcBorders>
          </w:tcPr>
          <w:p>
            <w:pPr>
              <w:pStyle w:val="TableParagraph"/>
              <w:spacing w:line="254" w:lineRule="exact"/>
              <w:ind w:left="51"/>
              <w:jc w:val="center"/>
              <w:rPr>
                <w:sz w:val="24"/>
              </w:rPr>
            </w:pPr>
            <w:r>
              <w:rPr>
                <w:spacing w:val="-4"/>
                <w:sz w:val="24"/>
              </w:rPr>
              <w:t>3.83</w:t>
            </w:r>
          </w:p>
        </w:tc>
        <w:tc>
          <w:tcPr>
            <w:tcW w:w="1848" w:type="dxa"/>
            <w:tcBorders>
              <w:top w:val="single" w:sz="4" w:space="0" w:color="000000"/>
            </w:tcBorders>
          </w:tcPr>
          <w:p>
            <w:pPr>
              <w:pStyle w:val="TableParagraph"/>
              <w:spacing w:line="254" w:lineRule="exact"/>
              <w:ind w:left="1" w:right="19"/>
              <w:jc w:val="center"/>
              <w:rPr>
                <w:sz w:val="24"/>
              </w:rPr>
            </w:pPr>
            <w:r>
              <w:rPr>
                <w:spacing w:val="-4"/>
                <w:sz w:val="24"/>
              </w:rPr>
              <w:t>.700</w:t>
            </w:r>
          </w:p>
        </w:tc>
        <w:tc>
          <w:tcPr>
            <w:tcW w:w="1443" w:type="dxa"/>
            <w:tcBorders>
              <w:top w:val="single" w:sz="4" w:space="0" w:color="000000"/>
              <w:right w:val="single" w:sz="4" w:space="0" w:color="000000"/>
            </w:tcBorders>
          </w:tcPr>
          <w:p>
            <w:pPr>
              <w:pStyle w:val="TableParagraph"/>
              <w:spacing w:line="254" w:lineRule="exact"/>
              <w:ind w:right="21"/>
              <w:jc w:val="center"/>
              <w:rPr>
                <w:sz w:val="24"/>
              </w:rPr>
            </w:pPr>
            <w:r>
              <w:rPr>
                <w:spacing w:val="-4"/>
                <w:sz w:val="24"/>
              </w:rPr>
              <w:t>.046</w:t>
            </w:r>
          </w:p>
        </w:tc>
      </w:tr>
      <w:tr>
        <w:trPr>
          <w:trHeight w:val="275" w:hRule="atLeast"/>
        </w:trPr>
        <w:tc>
          <w:tcPr>
            <w:tcW w:w="1842" w:type="dxa"/>
            <w:tcBorders>
              <w:left w:val="single" w:sz="4" w:space="0" w:color="000000"/>
            </w:tcBorders>
          </w:tcPr>
          <w:p>
            <w:pPr>
              <w:pStyle w:val="TableParagraph"/>
              <w:rPr>
                <w:rFonts w:ascii="Times New Roman"/>
                <w:sz w:val="20"/>
              </w:rPr>
            </w:pPr>
          </w:p>
        </w:tc>
        <w:tc>
          <w:tcPr>
            <w:tcW w:w="1840" w:type="dxa"/>
          </w:tcPr>
          <w:p>
            <w:pPr>
              <w:pStyle w:val="TableParagraph"/>
              <w:spacing w:line="256" w:lineRule="exact"/>
              <w:ind w:left="351"/>
              <w:rPr>
                <w:sz w:val="24"/>
              </w:rPr>
            </w:pPr>
            <w:r>
              <w:rPr>
                <w:spacing w:val="-4"/>
                <w:sz w:val="24"/>
              </w:rPr>
              <w:t>Staff</w:t>
            </w:r>
          </w:p>
        </w:tc>
        <w:tc>
          <w:tcPr>
            <w:tcW w:w="967" w:type="dxa"/>
          </w:tcPr>
          <w:p>
            <w:pPr>
              <w:pStyle w:val="TableParagraph"/>
              <w:spacing w:line="256" w:lineRule="exact"/>
              <w:ind w:left="364"/>
              <w:rPr>
                <w:sz w:val="24"/>
              </w:rPr>
            </w:pPr>
            <w:r>
              <w:rPr>
                <w:spacing w:val="-5"/>
                <w:sz w:val="24"/>
              </w:rPr>
              <w:t>197</w:t>
            </w:r>
          </w:p>
        </w:tc>
        <w:tc>
          <w:tcPr>
            <w:tcW w:w="1104" w:type="dxa"/>
          </w:tcPr>
          <w:p>
            <w:pPr>
              <w:pStyle w:val="TableParagraph"/>
              <w:spacing w:line="256" w:lineRule="exact"/>
              <w:ind w:left="51"/>
              <w:jc w:val="center"/>
              <w:rPr>
                <w:sz w:val="24"/>
              </w:rPr>
            </w:pPr>
            <w:r>
              <w:rPr>
                <w:spacing w:val="-4"/>
                <w:sz w:val="24"/>
              </w:rPr>
              <w:t>3.85</w:t>
            </w:r>
          </w:p>
        </w:tc>
        <w:tc>
          <w:tcPr>
            <w:tcW w:w="1848" w:type="dxa"/>
          </w:tcPr>
          <w:p>
            <w:pPr>
              <w:pStyle w:val="TableParagraph"/>
              <w:spacing w:line="256" w:lineRule="exact"/>
              <w:ind w:left="1" w:right="19"/>
              <w:jc w:val="center"/>
              <w:rPr>
                <w:sz w:val="24"/>
              </w:rPr>
            </w:pPr>
            <w:r>
              <w:rPr>
                <w:spacing w:val="-4"/>
                <w:sz w:val="24"/>
              </w:rPr>
              <w:t>.639</w:t>
            </w:r>
          </w:p>
        </w:tc>
        <w:tc>
          <w:tcPr>
            <w:tcW w:w="1443" w:type="dxa"/>
            <w:tcBorders>
              <w:right w:val="single" w:sz="4" w:space="0" w:color="000000"/>
            </w:tcBorders>
          </w:tcPr>
          <w:p>
            <w:pPr>
              <w:pStyle w:val="TableParagraph"/>
              <w:spacing w:line="256" w:lineRule="exact"/>
              <w:ind w:right="21"/>
              <w:jc w:val="center"/>
              <w:rPr>
                <w:sz w:val="24"/>
              </w:rPr>
            </w:pPr>
            <w:r>
              <w:rPr>
                <w:spacing w:val="-4"/>
                <w:sz w:val="24"/>
              </w:rPr>
              <w:t>.046</w:t>
            </w:r>
          </w:p>
        </w:tc>
      </w:tr>
      <w:tr>
        <w:trPr>
          <w:trHeight w:val="275" w:hRule="atLeast"/>
        </w:trPr>
        <w:tc>
          <w:tcPr>
            <w:tcW w:w="1842" w:type="dxa"/>
            <w:tcBorders>
              <w:left w:val="single" w:sz="4" w:space="0" w:color="000000"/>
              <w:bottom w:val="single" w:sz="4" w:space="0" w:color="000000"/>
            </w:tcBorders>
          </w:tcPr>
          <w:p>
            <w:pPr>
              <w:pStyle w:val="TableParagraph"/>
              <w:rPr>
                <w:rFonts w:ascii="Times New Roman"/>
                <w:sz w:val="20"/>
              </w:rPr>
            </w:pPr>
          </w:p>
        </w:tc>
        <w:tc>
          <w:tcPr>
            <w:tcW w:w="1840" w:type="dxa"/>
            <w:tcBorders>
              <w:bottom w:val="single" w:sz="4" w:space="0" w:color="000000"/>
            </w:tcBorders>
          </w:tcPr>
          <w:p>
            <w:pPr>
              <w:pStyle w:val="TableParagraph"/>
              <w:spacing w:line="255" w:lineRule="exact"/>
              <w:ind w:left="351"/>
              <w:rPr>
                <w:sz w:val="24"/>
              </w:rPr>
            </w:pPr>
            <w:r>
              <w:rPr>
                <w:spacing w:val="-2"/>
                <w:sz w:val="24"/>
              </w:rPr>
              <w:t>Managmet</w:t>
            </w:r>
          </w:p>
        </w:tc>
        <w:tc>
          <w:tcPr>
            <w:tcW w:w="967" w:type="dxa"/>
            <w:tcBorders>
              <w:bottom w:val="single" w:sz="4" w:space="0" w:color="000000"/>
            </w:tcBorders>
          </w:tcPr>
          <w:p>
            <w:pPr>
              <w:pStyle w:val="TableParagraph"/>
              <w:spacing w:line="255" w:lineRule="exact"/>
              <w:ind w:left="426"/>
              <w:rPr>
                <w:sz w:val="24"/>
              </w:rPr>
            </w:pPr>
            <w:r>
              <w:rPr>
                <w:spacing w:val="-5"/>
                <w:sz w:val="24"/>
              </w:rPr>
              <w:t>23</w:t>
            </w:r>
          </w:p>
        </w:tc>
        <w:tc>
          <w:tcPr>
            <w:tcW w:w="1104" w:type="dxa"/>
            <w:tcBorders>
              <w:bottom w:val="single" w:sz="4" w:space="0" w:color="000000"/>
            </w:tcBorders>
          </w:tcPr>
          <w:p>
            <w:pPr>
              <w:pStyle w:val="TableParagraph"/>
              <w:spacing w:line="255" w:lineRule="exact"/>
              <w:ind w:left="51"/>
              <w:jc w:val="center"/>
              <w:rPr>
                <w:sz w:val="24"/>
              </w:rPr>
            </w:pPr>
            <w:r>
              <w:rPr>
                <w:spacing w:val="-4"/>
                <w:sz w:val="24"/>
              </w:rPr>
              <w:t>3.93</w:t>
            </w:r>
          </w:p>
        </w:tc>
        <w:tc>
          <w:tcPr>
            <w:tcW w:w="1848" w:type="dxa"/>
            <w:tcBorders>
              <w:bottom w:val="single" w:sz="4" w:space="0" w:color="000000"/>
            </w:tcBorders>
          </w:tcPr>
          <w:p>
            <w:pPr>
              <w:pStyle w:val="TableParagraph"/>
              <w:spacing w:line="255" w:lineRule="exact"/>
              <w:ind w:left="1" w:right="19"/>
              <w:jc w:val="center"/>
              <w:rPr>
                <w:sz w:val="24"/>
              </w:rPr>
            </w:pPr>
            <w:r>
              <w:rPr>
                <w:spacing w:val="-4"/>
                <w:sz w:val="24"/>
              </w:rPr>
              <w:t>.561</w:t>
            </w:r>
          </w:p>
        </w:tc>
        <w:tc>
          <w:tcPr>
            <w:tcW w:w="1443" w:type="dxa"/>
            <w:tcBorders>
              <w:bottom w:val="single" w:sz="4" w:space="0" w:color="000000"/>
              <w:right w:val="single" w:sz="4" w:space="0" w:color="000000"/>
            </w:tcBorders>
          </w:tcPr>
          <w:p>
            <w:pPr>
              <w:pStyle w:val="TableParagraph"/>
              <w:spacing w:line="255" w:lineRule="exact"/>
              <w:ind w:right="21"/>
              <w:jc w:val="center"/>
              <w:rPr>
                <w:sz w:val="24"/>
              </w:rPr>
            </w:pPr>
            <w:r>
              <w:rPr>
                <w:spacing w:val="-4"/>
                <w:sz w:val="24"/>
              </w:rPr>
              <w:t>.117</w:t>
            </w:r>
          </w:p>
        </w:tc>
      </w:tr>
      <w:tr>
        <w:trPr>
          <w:trHeight w:val="278" w:hRule="atLeast"/>
        </w:trPr>
        <w:tc>
          <w:tcPr>
            <w:tcW w:w="1842"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1840" w:type="dxa"/>
            <w:tcBorders>
              <w:top w:val="single" w:sz="4" w:space="0" w:color="000000"/>
              <w:bottom w:val="single" w:sz="4" w:space="0" w:color="000000"/>
            </w:tcBorders>
          </w:tcPr>
          <w:p>
            <w:pPr>
              <w:pStyle w:val="TableParagraph"/>
              <w:spacing w:line="258" w:lineRule="exact"/>
              <w:ind w:left="351"/>
              <w:rPr>
                <w:sz w:val="24"/>
              </w:rPr>
            </w:pPr>
            <w:r>
              <w:rPr>
                <w:spacing w:val="-2"/>
                <w:sz w:val="24"/>
              </w:rPr>
              <w:t>Total</w:t>
            </w:r>
          </w:p>
        </w:tc>
        <w:tc>
          <w:tcPr>
            <w:tcW w:w="967" w:type="dxa"/>
            <w:tcBorders>
              <w:top w:val="single" w:sz="4" w:space="0" w:color="000000"/>
              <w:bottom w:val="single" w:sz="4" w:space="0" w:color="000000"/>
            </w:tcBorders>
          </w:tcPr>
          <w:p>
            <w:pPr>
              <w:pStyle w:val="TableParagraph"/>
              <w:spacing w:line="258" w:lineRule="exact"/>
              <w:ind w:left="364"/>
              <w:rPr>
                <w:sz w:val="24"/>
              </w:rPr>
            </w:pPr>
            <w:r>
              <w:rPr>
                <w:spacing w:val="-5"/>
                <w:sz w:val="24"/>
              </w:rPr>
              <w:t>455</w:t>
            </w:r>
          </w:p>
        </w:tc>
        <w:tc>
          <w:tcPr>
            <w:tcW w:w="1104" w:type="dxa"/>
            <w:tcBorders>
              <w:top w:val="single" w:sz="4" w:space="0" w:color="000000"/>
              <w:bottom w:val="single" w:sz="4" w:space="0" w:color="000000"/>
            </w:tcBorders>
          </w:tcPr>
          <w:p>
            <w:pPr>
              <w:pStyle w:val="TableParagraph"/>
              <w:spacing w:line="258" w:lineRule="exact"/>
              <w:ind w:left="51"/>
              <w:jc w:val="center"/>
              <w:rPr>
                <w:sz w:val="24"/>
              </w:rPr>
            </w:pPr>
            <w:r>
              <w:rPr>
                <w:spacing w:val="-4"/>
                <w:sz w:val="24"/>
              </w:rPr>
              <w:t>3.84</w:t>
            </w:r>
          </w:p>
        </w:tc>
        <w:tc>
          <w:tcPr>
            <w:tcW w:w="1848" w:type="dxa"/>
            <w:tcBorders>
              <w:top w:val="single" w:sz="4" w:space="0" w:color="000000"/>
              <w:bottom w:val="single" w:sz="4" w:space="0" w:color="000000"/>
            </w:tcBorders>
          </w:tcPr>
          <w:p>
            <w:pPr>
              <w:pStyle w:val="TableParagraph"/>
              <w:spacing w:line="258" w:lineRule="exact"/>
              <w:ind w:left="1" w:right="19"/>
              <w:jc w:val="center"/>
              <w:rPr>
                <w:sz w:val="24"/>
              </w:rPr>
            </w:pPr>
            <w:r>
              <w:rPr>
                <w:spacing w:val="-4"/>
                <w:sz w:val="24"/>
              </w:rPr>
              <w:t>.667</w:t>
            </w:r>
          </w:p>
        </w:tc>
        <w:tc>
          <w:tcPr>
            <w:tcW w:w="1443" w:type="dxa"/>
            <w:tcBorders>
              <w:top w:val="single" w:sz="4" w:space="0" w:color="000000"/>
              <w:bottom w:val="single" w:sz="4" w:space="0" w:color="000000"/>
              <w:right w:val="single" w:sz="4" w:space="0" w:color="000000"/>
            </w:tcBorders>
          </w:tcPr>
          <w:p>
            <w:pPr>
              <w:pStyle w:val="TableParagraph"/>
              <w:spacing w:line="258" w:lineRule="exact"/>
              <w:ind w:right="21"/>
              <w:jc w:val="center"/>
              <w:rPr>
                <w:sz w:val="24"/>
              </w:rPr>
            </w:pPr>
            <w:r>
              <w:rPr>
                <w:spacing w:val="-4"/>
                <w:sz w:val="24"/>
              </w:rPr>
              <w:t>.031</w:t>
            </w:r>
          </w:p>
        </w:tc>
      </w:tr>
      <w:tr>
        <w:trPr>
          <w:trHeight w:val="276" w:hRule="atLeast"/>
        </w:trPr>
        <w:tc>
          <w:tcPr>
            <w:tcW w:w="1842" w:type="dxa"/>
            <w:tcBorders>
              <w:top w:val="single" w:sz="4" w:space="0" w:color="000000"/>
              <w:left w:val="single" w:sz="4" w:space="0" w:color="000000"/>
            </w:tcBorders>
          </w:tcPr>
          <w:p>
            <w:pPr>
              <w:pStyle w:val="TableParagraph"/>
              <w:spacing w:line="257" w:lineRule="exact"/>
              <w:ind w:left="95"/>
              <w:rPr>
                <w:sz w:val="24"/>
              </w:rPr>
            </w:pPr>
            <w:r>
              <w:rPr>
                <w:spacing w:val="-2"/>
                <w:sz w:val="24"/>
              </w:rPr>
              <w:t>Impact4</w:t>
            </w:r>
          </w:p>
        </w:tc>
        <w:tc>
          <w:tcPr>
            <w:tcW w:w="1840" w:type="dxa"/>
            <w:tcBorders>
              <w:top w:val="single" w:sz="4" w:space="0" w:color="000000"/>
            </w:tcBorders>
          </w:tcPr>
          <w:p>
            <w:pPr>
              <w:pStyle w:val="TableParagraph"/>
              <w:spacing w:line="257" w:lineRule="exact"/>
              <w:ind w:left="351"/>
              <w:rPr>
                <w:sz w:val="24"/>
              </w:rPr>
            </w:pPr>
            <w:r>
              <w:rPr>
                <w:spacing w:val="-2"/>
                <w:sz w:val="24"/>
              </w:rPr>
              <w:t>Student</w:t>
            </w:r>
          </w:p>
        </w:tc>
        <w:tc>
          <w:tcPr>
            <w:tcW w:w="967" w:type="dxa"/>
            <w:tcBorders>
              <w:top w:val="single" w:sz="4" w:space="0" w:color="000000"/>
            </w:tcBorders>
          </w:tcPr>
          <w:p>
            <w:pPr>
              <w:pStyle w:val="TableParagraph"/>
              <w:spacing w:line="257" w:lineRule="exact"/>
              <w:ind w:left="364"/>
              <w:rPr>
                <w:sz w:val="24"/>
              </w:rPr>
            </w:pPr>
            <w:r>
              <w:rPr>
                <w:spacing w:val="-5"/>
                <w:sz w:val="24"/>
              </w:rPr>
              <w:t>233</w:t>
            </w:r>
          </w:p>
        </w:tc>
        <w:tc>
          <w:tcPr>
            <w:tcW w:w="1104" w:type="dxa"/>
            <w:tcBorders>
              <w:top w:val="single" w:sz="4" w:space="0" w:color="000000"/>
            </w:tcBorders>
          </w:tcPr>
          <w:p>
            <w:pPr>
              <w:pStyle w:val="TableParagraph"/>
              <w:spacing w:line="257" w:lineRule="exact"/>
              <w:ind w:left="51"/>
              <w:jc w:val="center"/>
              <w:rPr>
                <w:sz w:val="24"/>
              </w:rPr>
            </w:pPr>
            <w:r>
              <w:rPr>
                <w:spacing w:val="-2"/>
                <w:sz w:val="24"/>
              </w:rPr>
              <w:t>3.8368</w:t>
            </w:r>
          </w:p>
        </w:tc>
        <w:tc>
          <w:tcPr>
            <w:tcW w:w="1848" w:type="dxa"/>
            <w:tcBorders>
              <w:top w:val="single" w:sz="4" w:space="0" w:color="000000"/>
            </w:tcBorders>
          </w:tcPr>
          <w:p>
            <w:pPr>
              <w:pStyle w:val="TableParagraph"/>
              <w:spacing w:line="257" w:lineRule="exact"/>
              <w:ind w:left="1" w:right="19"/>
              <w:jc w:val="center"/>
              <w:rPr>
                <w:sz w:val="24"/>
              </w:rPr>
            </w:pPr>
            <w:r>
              <w:rPr>
                <w:spacing w:val="-2"/>
                <w:sz w:val="24"/>
              </w:rPr>
              <w:t>.60461</w:t>
            </w:r>
          </w:p>
        </w:tc>
        <w:tc>
          <w:tcPr>
            <w:tcW w:w="1443" w:type="dxa"/>
            <w:tcBorders>
              <w:top w:val="single" w:sz="4" w:space="0" w:color="000000"/>
              <w:right w:val="single" w:sz="4" w:space="0" w:color="000000"/>
            </w:tcBorders>
          </w:tcPr>
          <w:p>
            <w:pPr>
              <w:pStyle w:val="TableParagraph"/>
              <w:spacing w:line="257" w:lineRule="exact"/>
              <w:ind w:right="21"/>
              <w:jc w:val="center"/>
              <w:rPr>
                <w:sz w:val="24"/>
              </w:rPr>
            </w:pPr>
            <w:r>
              <w:rPr>
                <w:spacing w:val="-2"/>
                <w:sz w:val="24"/>
              </w:rPr>
              <w:t>.03961</w:t>
            </w:r>
          </w:p>
        </w:tc>
      </w:tr>
      <w:tr>
        <w:trPr>
          <w:trHeight w:val="275" w:hRule="atLeast"/>
        </w:trPr>
        <w:tc>
          <w:tcPr>
            <w:tcW w:w="1842" w:type="dxa"/>
            <w:tcBorders>
              <w:left w:val="single" w:sz="4" w:space="0" w:color="000000"/>
            </w:tcBorders>
          </w:tcPr>
          <w:p>
            <w:pPr>
              <w:pStyle w:val="TableParagraph"/>
              <w:rPr>
                <w:rFonts w:ascii="Times New Roman"/>
                <w:sz w:val="20"/>
              </w:rPr>
            </w:pPr>
          </w:p>
        </w:tc>
        <w:tc>
          <w:tcPr>
            <w:tcW w:w="1840" w:type="dxa"/>
          </w:tcPr>
          <w:p>
            <w:pPr>
              <w:pStyle w:val="TableParagraph"/>
              <w:spacing w:line="256" w:lineRule="exact"/>
              <w:ind w:left="351"/>
              <w:rPr>
                <w:sz w:val="24"/>
              </w:rPr>
            </w:pPr>
            <w:r>
              <w:rPr>
                <w:spacing w:val="-4"/>
                <w:sz w:val="24"/>
              </w:rPr>
              <w:t>Staff</w:t>
            </w:r>
          </w:p>
        </w:tc>
        <w:tc>
          <w:tcPr>
            <w:tcW w:w="967" w:type="dxa"/>
          </w:tcPr>
          <w:p>
            <w:pPr>
              <w:pStyle w:val="TableParagraph"/>
              <w:spacing w:line="256" w:lineRule="exact"/>
              <w:ind w:left="364"/>
              <w:rPr>
                <w:sz w:val="24"/>
              </w:rPr>
            </w:pPr>
            <w:r>
              <w:rPr>
                <w:spacing w:val="-5"/>
                <w:sz w:val="24"/>
              </w:rPr>
              <w:t>196</w:t>
            </w:r>
          </w:p>
        </w:tc>
        <w:tc>
          <w:tcPr>
            <w:tcW w:w="1104" w:type="dxa"/>
          </w:tcPr>
          <w:p>
            <w:pPr>
              <w:pStyle w:val="TableParagraph"/>
              <w:spacing w:line="256" w:lineRule="exact"/>
              <w:ind w:left="51"/>
              <w:jc w:val="center"/>
              <w:rPr>
                <w:sz w:val="24"/>
              </w:rPr>
            </w:pPr>
            <w:r>
              <w:rPr>
                <w:spacing w:val="-2"/>
                <w:sz w:val="24"/>
              </w:rPr>
              <w:t>3.8997</w:t>
            </w:r>
          </w:p>
        </w:tc>
        <w:tc>
          <w:tcPr>
            <w:tcW w:w="1848" w:type="dxa"/>
          </w:tcPr>
          <w:p>
            <w:pPr>
              <w:pStyle w:val="TableParagraph"/>
              <w:spacing w:line="256" w:lineRule="exact"/>
              <w:ind w:left="1" w:right="19"/>
              <w:jc w:val="center"/>
              <w:rPr>
                <w:sz w:val="24"/>
              </w:rPr>
            </w:pPr>
            <w:r>
              <w:rPr>
                <w:spacing w:val="-2"/>
                <w:sz w:val="24"/>
              </w:rPr>
              <w:t>.63147</w:t>
            </w:r>
          </w:p>
        </w:tc>
        <w:tc>
          <w:tcPr>
            <w:tcW w:w="1443" w:type="dxa"/>
            <w:tcBorders>
              <w:right w:val="single" w:sz="4" w:space="0" w:color="000000"/>
            </w:tcBorders>
          </w:tcPr>
          <w:p>
            <w:pPr>
              <w:pStyle w:val="TableParagraph"/>
              <w:spacing w:line="256" w:lineRule="exact"/>
              <w:ind w:right="21"/>
              <w:jc w:val="center"/>
              <w:rPr>
                <w:sz w:val="24"/>
              </w:rPr>
            </w:pPr>
            <w:r>
              <w:rPr>
                <w:spacing w:val="-2"/>
                <w:sz w:val="24"/>
              </w:rPr>
              <w:t>.04511</w:t>
            </w:r>
          </w:p>
        </w:tc>
      </w:tr>
      <w:tr>
        <w:trPr>
          <w:trHeight w:val="277" w:hRule="atLeast"/>
        </w:trPr>
        <w:tc>
          <w:tcPr>
            <w:tcW w:w="1842" w:type="dxa"/>
            <w:tcBorders>
              <w:left w:val="single" w:sz="4" w:space="0" w:color="000000"/>
              <w:bottom w:val="single" w:sz="4" w:space="0" w:color="000000"/>
            </w:tcBorders>
          </w:tcPr>
          <w:p>
            <w:pPr>
              <w:pStyle w:val="TableParagraph"/>
              <w:rPr>
                <w:rFonts w:ascii="Times New Roman"/>
                <w:sz w:val="20"/>
              </w:rPr>
            </w:pPr>
          </w:p>
        </w:tc>
        <w:tc>
          <w:tcPr>
            <w:tcW w:w="1840" w:type="dxa"/>
            <w:tcBorders>
              <w:bottom w:val="single" w:sz="4" w:space="0" w:color="000000"/>
            </w:tcBorders>
          </w:tcPr>
          <w:p>
            <w:pPr>
              <w:pStyle w:val="TableParagraph"/>
              <w:spacing w:line="257" w:lineRule="exact"/>
              <w:ind w:left="351"/>
              <w:rPr>
                <w:sz w:val="24"/>
              </w:rPr>
            </w:pPr>
            <w:r>
              <w:rPr>
                <w:spacing w:val="-2"/>
                <w:sz w:val="24"/>
              </w:rPr>
              <w:t>Managmet</w:t>
            </w:r>
          </w:p>
        </w:tc>
        <w:tc>
          <w:tcPr>
            <w:tcW w:w="967" w:type="dxa"/>
            <w:tcBorders>
              <w:bottom w:val="single" w:sz="4" w:space="0" w:color="000000"/>
            </w:tcBorders>
          </w:tcPr>
          <w:p>
            <w:pPr>
              <w:pStyle w:val="TableParagraph"/>
              <w:spacing w:line="257" w:lineRule="exact"/>
              <w:ind w:left="426"/>
              <w:rPr>
                <w:sz w:val="24"/>
              </w:rPr>
            </w:pPr>
            <w:r>
              <w:rPr>
                <w:spacing w:val="-5"/>
                <w:sz w:val="24"/>
              </w:rPr>
              <w:t>23</w:t>
            </w:r>
          </w:p>
        </w:tc>
        <w:tc>
          <w:tcPr>
            <w:tcW w:w="1104" w:type="dxa"/>
            <w:tcBorders>
              <w:bottom w:val="single" w:sz="4" w:space="0" w:color="000000"/>
            </w:tcBorders>
          </w:tcPr>
          <w:p>
            <w:pPr>
              <w:pStyle w:val="TableParagraph"/>
              <w:spacing w:line="257" w:lineRule="exact"/>
              <w:ind w:left="51"/>
              <w:jc w:val="center"/>
              <w:rPr>
                <w:sz w:val="24"/>
              </w:rPr>
            </w:pPr>
            <w:r>
              <w:rPr>
                <w:spacing w:val="-2"/>
                <w:sz w:val="24"/>
              </w:rPr>
              <w:t>3.9570</w:t>
            </w:r>
          </w:p>
        </w:tc>
        <w:tc>
          <w:tcPr>
            <w:tcW w:w="1848" w:type="dxa"/>
            <w:tcBorders>
              <w:bottom w:val="single" w:sz="4" w:space="0" w:color="000000"/>
            </w:tcBorders>
          </w:tcPr>
          <w:p>
            <w:pPr>
              <w:pStyle w:val="TableParagraph"/>
              <w:spacing w:line="257" w:lineRule="exact"/>
              <w:ind w:left="1" w:right="19"/>
              <w:jc w:val="center"/>
              <w:rPr>
                <w:sz w:val="24"/>
              </w:rPr>
            </w:pPr>
            <w:r>
              <w:rPr>
                <w:spacing w:val="-2"/>
                <w:sz w:val="24"/>
              </w:rPr>
              <w:t>.55125</w:t>
            </w:r>
          </w:p>
        </w:tc>
        <w:tc>
          <w:tcPr>
            <w:tcW w:w="1443" w:type="dxa"/>
            <w:tcBorders>
              <w:bottom w:val="single" w:sz="4" w:space="0" w:color="000000"/>
              <w:right w:val="single" w:sz="4" w:space="0" w:color="000000"/>
            </w:tcBorders>
          </w:tcPr>
          <w:p>
            <w:pPr>
              <w:pStyle w:val="TableParagraph"/>
              <w:spacing w:line="257" w:lineRule="exact"/>
              <w:ind w:right="21"/>
              <w:jc w:val="center"/>
              <w:rPr>
                <w:sz w:val="24"/>
              </w:rPr>
            </w:pPr>
            <w:r>
              <w:rPr>
                <w:spacing w:val="-2"/>
                <w:sz w:val="24"/>
              </w:rPr>
              <w:t>.11494</w:t>
            </w:r>
          </w:p>
        </w:tc>
      </w:tr>
      <w:tr>
        <w:trPr>
          <w:trHeight w:val="273" w:hRule="atLeast"/>
        </w:trPr>
        <w:tc>
          <w:tcPr>
            <w:tcW w:w="1842"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1840" w:type="dxa"/>
            <w:tcBorders>
              <w:top w:val="single" w:sz="4" w:space="0" w:color="000000"/>
              <w:bottom w:val="single" w:sz="4" w:space="0" w:color="000000"/>
            </w:tcBorders>
          </w:tcPr>
          <w:p>
            <w:pPr>
              <w:pStyle w:val="TableParagraph"/>
              <w:spacing w:line="253" w:lineRule="exact"/>
              <w:ind w:left="351"/>
              <w:rPr>
                <w:sz w:val="24"/>
              </w:rPr>
            </w:pPr>
            <w:r>
              <w:rPr>
                <w:spacing w:val="-2"/>
                <w:sz w:val="24"/>
              </w:rPr>
              <w:t>Total</w:t>
            </w:r>
          </w:p>
        </w:tc>
        <w:tc>
          <w:tcPr>
            <w:tcW w:w="967" w:type="dxa"/>
            <w:tcBorders>
              <w:top w:val="single" w:sz="4" w:space="0" w:color="000000"/>
              <w:bottom w:val="single" w:sz="4" w:space="0" w:color="000000"/>
            </w:tcBorders>
          </w:tcPr>
          <w:p>
            <w:pPr>
              <w:pStyle w:val="TableParagraph"/>
              <w:spacing w:line="253" w:lineRule="exact"/>
              <w:ind w:left="364"/>
              <w:rPr>
                <w:sz w:val="24"/>
              </w:rPr>
            </w:pPr>
            <w:r>
              <w:rPr>
                <w:spacing w:val="-5"/>
                <w:sz w:val="24"/>
              </w:rPr>
              <w:t>452</w:t>
            </w:r>
          </w:p>
        </w:tc>
        <w:tc>
          <w:tcPr>
            <w:tcW w:w="1104" w:type="dxa"/>
            <w:tcBorders>
              <w:top w:val="single" w:sz="4" w:space="0" w:color="000000"/>
              <w:bottom w:val="single" w:sz="4" w:space="0" w:color="000000"/>
            </w:tcBorders>
          </w:tcPr>
          <w:p>
            <w:pPr>
              <w:pStyle w:val="TableParagraph"/>
              <w:spacing w:line="253" w:lineRule="exact"/>
              <w:ind w:left="51"/>
              <w:jc w:val="center"/>
              <w:rPr>
                <w:sz w:val="24"/>
              </w:rPr>
            </w:pPr>
            <w:r>
              <w:rPr>
                <w:spacing w:val="-2"/>
                <w:sz w:val="24"/>
              </w:rPr>
              <w:t>3.8702</w:t>
            </w:r>
          </w:p>
        </w:tc>
        <w:tc>
          <w:tcPr>
            <w:tcW w:w="1848" w:type="dxa"/>
            <w:tcBorders>
              <w:top w:val="single" w:sz="4" w:space="0" w:color="000000"/>
              <w:bottom w:val="single" w:sz="4" w:space="0" w:color="000000"/>
            </w:tcBorders>
          </w:tcPr>
          <w:p>
            <w:pPr>
              <w:pStyle w:val="TableParagraph"/>
              <w:spacing w:line="253" w:lineRule="exact"/>
              <w:ind w:left="1" w:right="19"/>
              <w:jc w:val="center"/>
              <w:rPr>
                <w:sz w:val="24"/>
              </w:rPr>
            </w:pPr>
            <w:r>
              <w:rPr>
                <w:spacing w:val="-2"/>
                <w:sz w:val="24"/>
              </w:rPr>
              <w:t>.61369</w:t>
            </w:r>
          </w:p>
        </w:tc>
        <w:tc>
          <w:tcPr>
            <w:tcW w:w="1443" w:type="dxa"/>
            <w:tcBorders>
              <w:top w:val="single" w:sz="4" w:space="0" w:color="000000"/>
              <w:bottom w:val="single" w:sz="4" w:space="0" w:color="000000"/>
              <w:right w:val="single" w:sz="4" w:space="0" w:color="000000"/>
            </w:tcBorders>
          </w:tcPr>
          <w:p>
            <w:pPr>
              <w:pStyle w:val="TableParagraph"/>
              <w:spacing w:line="253" w:lineRule="exact"/>
              <w:ind w:right="21"/>
              <w:jc w:val="center"/>
              <w:rPr>
                <w:sz w:val="24"/>
              </w:rPr>
            </w:pPr>
            <w:r>
              <w:rPr>
                <w:spacing w:val="-2"/>
                <w:sz w:val="24"/>
              </w:rPr>
              <w:t>.02887</w:t>
            </w:r>
          </w:p>
        </w:tc>
      </w:tr>
      <w:tr>
        <w:trPr>
          <w:trHeight w:val="276" w:hRule="atLeast"/>
        </w:trPr>
        <w:tc>
          <w:tcPr>
            <w:tcW w:w="1842" w:type="dxa"/>
            <w:tcBorders>
              <w:top w:val="single" w:sz="4" w:space="0" w:color="000000"/>
              <w:left w:val="single" w:sz="4" w:space="0" w:color="000000"/>
            </w:tcBorders>
          </w:tcPr>
          <w:p>
            <w:pPr>
              <w:pStyle w:val="TableParagraph"/>
              <w:spacing w:line="257" w:lineRule="exact"/>
              <w:ind w:left="95"/>
              <w:rPr>
                <w:sz w:val="24"/>
              </w:rPr>
            </w:pPr>
            <w:r>
              <w:rPr>
                <w:spacing w:val="-2"/>
                <w:sz w:val="24"/>
              </w:rPr>
              <w:t>Impact5</w:t>
            </w:r>
          </w:p>
        </w:tc>
        <w:tc>
          <w:tcPr>
            <w:tcW w:w="1840" w:type="dxa"/>
            <w:tcBorders>
              <w:top w:val="single" w:sz="4" w:space="0" w:color="000000"/>
            </w:tcBorders>
          </w:tcPr>
          <w:p>
            <w:pPr>
              <w:pStyle w:val="TableParagraph"/>
              <w:spacing w:line="257" w:lineRule="exact"/>
              <w:ind w:left="351"/>
              <w:rPr>
                <w:sz w:val="24"/>
              </w:rPr>
            </w:pPr>
            <w:r>
              <w:rPr>
                <w:spacing w:val="-2"/>
                <w:sz w:val="24"/>
              </w:rPr>
              <w:t>Student</w:t>
            </w:r>
          </w:p>
        </w:tc>
        <w:tc>
          <w:tcPr>
            <w:tcW w:w="967" w:type="dxa"/>
            <w:tcBorders>
              <w:top w:val="single" w:sz="4" w:space="0" w:color="000000"/>
            </w:tcBorders>
          </w:tcPr>
          <w:p>
            <w:pPr>
              <w:pStyle w:val="TableParagraph"/>
              <w:spacing w:line="257" w:lineRule="exact"/>
              <w:ind w:left="364"/>
              <w:rPr>
                <w:sz w:val="24"/>
              </w:rPr>
            </w:pPr>
            <w:r>
              <w:rPr>
                <w:spacing w:val="-5"/>
                <w:sz w:val="24"/>
              </w:rPr>
              <w:t>234</w:t>
            </w:r>
          </w:p>
        </w:tc>
        <w:tc>
          <w:tcPr>
            <w:tcW w:w="1104" w:type="dxa"/>
            <w:tcBorders>
              <w:top w:val="single" w:sz="4" w:space="0" w:color="000000"/>
            </w:tcBorders>
          </w:tcPr>
          <w:p>
            <w:pPr>
              <w:pStyle w:val="TableParagraph"/>
              <w:spacing w:line="257" w:lineRule="exact"/>
              <w:ind w:left="51"/>
              <w:jc w:val="center"/>
              <w:rPr>
                <w:sz w:val="24"/>
              </w:rPr>
            </w:pPr>
            <w:r>
              <w:rPr>
                <w:spacing w:val="-2"/>
                <w:sz w:val="24"/>
              </w:rPr>
              <w:t>3.345</w:t>
            </w:r>
          </w:p>
        </w:tc>
        <w:tc>
          <w:tcPr>
            <w:tcW w:w="1848" w:type="dxa"/>
            <w:tcBorders>
              <w:top w:val="single" w:sz="4" w:space="0" w:color="000000"/>
            </w:tcBorders>
          </w:tcPr>
          <w:p>
            <w:pPr>
              <w:pStyle w:val="TableParagraph"/>
              <w:spacing w:line="257" w:lineRule="exact"/>
              <w:ind w:left="1" w:right="19"/>
              <w:jc w:val="center"/>
              <w:rPr>
                <w:sz w:val="24"/>
              </w:rPr>
            </w:pPr>
            <w:r>
              <w:rPr>
                <w:spacing w:val="-2"/>
                <w:sz w:val="24"/>
              </w:rPr>
              <w:t>.8556</w:t>
            </w:r>
          </w:p>
        </w:tc>
        <w:tc>
          <w:tcPr>
            <w:tcW w:w="1443" w:type="dxa"/>
            <w:tcBorders>
              <w:top w:val="single" w:sz="4" w:space="0" w:color="000000"/>
              <w:right w:val="single" w:sz="4" w:space="0" w:color="000000"/>
            </w:tcBorders>
          </w:tcPr>
          <w:p>
            <w:pPr>
              <w:pStyle w:val="TableParagraph"/>
              <w:spacing w:line="257" w:lineRule="exact"/>
              <w:ind w:right="21"/>
              <w:jc w:val="center"/>
              <w:rPr>
                <w:sz w:val="24"/>
              </w:rPr>
            </w:pPr>
            <w:r>
              <w:rPr>
                <w:spacing w:val="-2"/>
                <w:sz w:val="24"/>
              </w:rPr>
              <w:t>.0559</w:t>
            </w:r>
          </w:p>
        </w:tc>
      </w:tr>
      <w:tr>
        <w:trPr>
          <w:trHeight w:val="276" w:hRule="atLeast"/>
        </w:trPr>
        <w:tc>
          <w:tcPr>
            <w:tcW w:w="1842" w:type="dxa"/>
            <w:tcBorders>
              <w:left w:val="single" w:sz="4" w:space="0" w:color="000000"/>
            </w:tcBorders>
          </w:tcPr>
          <w:p>
            <w:pPr>
              <w:pStyle w:val="TableParagraph"/>
              <w:rPr>
                <w:rFonts w:ascii="Times New Roman"/>
                <w:sz w:val="20"/>
              </w:rPr>
            </w:pPr>
          </w:p>
        </w:tc>
        <w:tc>
          <w:tcPr>
            <w:tcW w:w="1840" w:type="dxa"/>
          </w:tcPr>
          <w:p>
            <w:pPr>
              <w:pStyle w:val="TableParagraph"/>
              <w:spacing w:line="256" w:lineRule="exact"/>
              <w:ind w:left="351"/>
              <w:rPr>
                <w:sz w:val="24"/>
              </w:rPr>
            </w:pPr>
            <w:r>
              <w:rPr>
                <w:spacing w:val="-4"/>
                <w:sz w:val="24"/>
              </w:rPr>
              <w:t>Staff</w:t>
            </w:r>
          </w:p>
        </w:tc>
        <w:tc>
          <w:tcPr>
            <w:tcW w:w="967" w:type="dxa"/>
          </w:tcPr>
          <w:p>
            <w:pPr>
              <w:pStyle w:val="TableParagraph"/>
              <w:spacing w:line="256" w:lineRule="exact"/>
              <w:ind w:left="364"/>
              <w:rPr>
                <w:sz w:val="24"/>
              </w:rPr>
            </w:pPr>
            <w:r>
              <w:rPr>
                <w:spacing w:val="-5"/>
                <w:sz w:val="24"/>
              </w:rPr>
              <w:t>197</w:t>
            </w:r>
          </w:p>
        </w:tc>
        <w:tc>
          <w:tcPr>
            <w:tcW w:w="1104" w:type="dxa"/>
          </w:tcPr>
          <w:p>
            <w:pPr>
              <w:pStyle w:val="TableParagraph"/>
              <w:spacing w:line="256" w:lineRule="exact"/>
              <w:ind w:left="51"/>
              <w:jc w:val="center"/>
              <w:rPr>
                <w:sz w:val="24"/>
              </w:rPr>
            </w:pPr>
            <w:r>
              <w:rPr>
                <w:spacing w:val="-2"/>
                <w:sz w:val="24"/>
              </w:rPr>
              <w:t>3.256</w:t>
            </w:r>
          </w:p>
        </w:tc>
        <w:tc>
          <w:tcPr>
            <w:tcW w:w="1848" w:type="dxa"/>
          </w:tcPr>
          <w:p>
            <w:pPr>
              <w:pStyle w:val="TableParagraph"/>
              <w:spacing w:line="256" w:lineRule="exact"/>
              <w:ind w:left="1" w:right="19"/>
              <w:jc w:val="center"/>
              <w:rPr>
                <w:sz w:val="24"/>
              </w:rPr>
            </w:pPr>
            <w:r>
              <w:rPr>
                <w:spacing w:val="-2"/>
                <w:sz w:val="24"/>
              </w:rPr>
              <w:t>.7543</w:t>
            </w:r>
          </w:p>
        </w:tc>
        <w:tc>
          <w:tcPr>
            <w:tcW w:w="1443" w:type="dxa"/>
            <w:tcBorders>
              <w:right w:val="single" w:sz="4" w:space="0" w:color="000000"/>
            </w:tcBorders>
          </w:tcPr>
          <w:p>
            <w:pPr>
              <w:pStyle w:val="TableParagraph"/>
              <w:spacing w:line="256" w:lineRule="exact"/>
              <w:ind w:right="21"/>
              <w:jc w:val="center"/>
              <w:rPr>
                <w:sz w:val="24"/>
              </w:rPr>
            </w:pPr>
            <w:r>
              <w:rPr>
                <w:spacing w:val="-2"/>
                <w:sz w:val="24"/>
              </w:rPr>
              <w:t>.0537</w:t>
            </w:r>
          </w:p>
        </w:tc>
      </w:tr>
      <w:tr>
        <w:trPr>
          <w:trHeight w:val="277" w:hRule="atLeast"/>
        </w:trPr>
        <w:tc>
          <w:tcPr>
            <w:tcW w:w="1842" w:type="dxa"/>
            <w:tcBorders>
              <w:left w:val="single" w:sz="4" w:space="0" w:color="000000"/>
              <w:bottom w:val="single" w:sz="4" w:space="0" w:color="000000"/>
            </w:tcBorders>
          </w:tcPr>
          <w:p>
            <w:pPr>
              <w:pStyle w:val="TableParagraph"/>
              <w:rPr>
                <w:rFonts w:ascii="Times New Roman"/>
                <w:sz w:val="20"/>
              </w:rPr>
            </w:pPr>
          </w:p>
        </w:tc>
        <w:tc>
          <w:tcPr>
            <w:tcW w:w="1840" w:type="dxa"/>
            <w:tcBorders>
              <w:bottom w:val="single" w:sz="4" w:space="0" w:color="000000"/>
            </w:tcBorders>
          </w:tcPr>
          <w:p>
            <w:pPr>
              <w:pStyle w:val="TableParagraph"/>
              <w:spacing w:line="257" w:lineRule="exact"/>
              <w:ind w:left="351"/>
              <w:rPr>
                <w:sz w:val="24"/>
              </w:rPr>
            </w:pPr>
            <w:r>
              <w:rPr>
                <w:spacing w:val="-2"/>
                <w:sz w:val="24"/>
              </w:rPr>
              <w:t>Managmet</w:t>
            </w:r>
          </w:p>
        </w:tc>
        <w:tc>
          <w:tcPr>
            <w:tcW w:w="967" w:type="dxa"/>
            <w:tcBorders>
              <w:bottom w:val="single" w:sz="4" w:space="0" w:color="000000"/>
            </w:tcBorders>
          </w:tcPr>
          <w:p>
            <w:pPr>
              <w:pStyle w:val="TableParagraph"/>
              <w:spacing w:line="257" w:lineRule="exact"/>
              <w:ind w:left="426"/>
              <w:rPr>
                <w:sz w:val="24"/>
              </w:rPr>
            </w:pPr>
            <w:r>
              <w:rPr>
                <w:spacing w:val="-5"/>
                <w:sz w:val="24"/>
              </w:rPr>
              <w:t>23</w:t>
            </w:r>
          </w:p>
        </w:tc>
        <w:tc>
          <w:tcPr>
            <w:tcW w:w="1104" w:type="dxa"/>
            <w:tcBorders>
              <w:bottom w:val="single" w:sz="4" w:space="0" w:color="000000"/>
            </w:tcBorders>
          </w:tcPr>
          <w:p>
            <w:pPr>
              <w:pStyle w:val="TableParagraph"/>
              <w:spacing w:line="257" w:lineRule="exact"/>
              <w:ind w:left="51"/>
              <w:jc w:val="center"/>
              <w:rPr>
                <w:sz w:val="24"/>
              </w:rPr>
            </w:pPr>
            <w:r>
              <w:rPr>
                <w:spacing w:val="-2"/>
                <w:sz w:val="24"/>
              </w:rPr>
              <w:t>3.565</w:t>
            </w:r>
          </w:p>
        </w:tc>
        <w:tc>
          <w:tcPr>
            <w:tcW w:w="1848" w:type="dxa"/>
            <w:tcBorders>
              <w:bottom w:val="single" w:sz="4" w:space="0" w:color="000000"/>
            </w:tcBorders>
          </w:tcPr>
          <w:p>
            <w:pPr>
              <w:pStyle w:val="TableParagraph"/>
              <w:spacing w:line="257" w:lineRule="exact"/>
              <w:ind w:left="1" w:right="19"/>
              <w:jc w:val="center"/>
              <w:rPr>
                <w:sz w:val="24"/>
              </w:rPr>
            </w:pPr>
            <w:r>
              <w:rPr>
                <w:spacing w:val="-2"/>
                <w:sz w:val="24"/>
              </w:rPr>
              <w:t>.6513</w:t>
            </w:r>
          </w:p>
        </w:tc>
        <w:tc>
          <w:tcPr>
            <w:tcW w:w="1443" w:type="dxa"/>
            <w:tcBorders>
              <w:bottom w:val="single" w:sz="4" w:space="0" w:color="000000"/>
              <w:right w:val="single" w:sz="4" w:space="0" w:color="000000"/>
            </w:tcBorders>
          </w:tcPr>
          <w:p>
            <w:pPr>
              <w:pStyle w:val="TableParagraph"/>
              <w:spacing w:line="257" w:lineRule="exact"/>
              <w:ind w:right="21"/>
              <w:jc w:val="center"/>
              <w:rPr>
                <w:sz w:val="24"/>
              </w:rPr>
            </w:pPr>
            <w:r>
              <w:rPr>
                <w:spacing w:val="-2"/>
                <w:sz w:val="24"/>
              </w:rPr>
              <w:t>.1358</w:t>
            </w:r>
          </w:p>
        </w:tc>
      </w:tr>
      <w:tr>
        <w:trPr>
          <w:trHeight w:val="273" w:hRule="atLeast"/>
        </w:trPr>
        <w:tc>
          <w:tcPr>
            <w:tcW w:w="1842"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1840" w:type="dxa"/>
            <w:tcBorders>
              <w:top w:val="single" w:sz="4" w:space="0" w:color="000000"/>
              <w:bottom w:val="single" w:sz="4" w:space="0" w:color="000000"/>
            </w:tcBorders>
          </w:tcPr>
          <w:p>
            <w:pPr>
              <w:pStyle w:val="TableParagraph"/>
              <w:spacing w:line="253" w:lineRule="exact"/>
              <w:ind w:left="351"/>
              <w:rPr>
                <w:sz w:val="24"/>
              </w:rPr>
            </w:pPr>
            <w:r>
              <w:rPr>
                <w:spacing w:val="-2"/>
                <w:sz w:val="24"/>
              </w:rPr>
              <w:t>Total</w:t>
            </w:r>
          </w:p>
        </w:tc>
        <w:tc>
          <w:tcPr>
            <w:tcW w:w="967" w:type="dxa"/>
            <w:tcBorders>
              <w:top w:val="single" w:sz="4" w:space="0" w:color="000000"/>
              <w:bottom w:val="single" w:sz="4" w:space="0" w:color="000000"/>
            </w:tcBorders>
          </w:tcPr>
          <w:p>
            <w:pPr>
              <w:pStyle w:val="TableParagraph"/>
              <w:spacing w:line="253" w:lineRule="exact"/>
              <w:ind w:left="364"/>
              <w:rPr>
                <w:sz w:val="24"/>
              </w:rPr>
            </w:pPr>
            <w:r>
              <w:rPr>
                <w:spacing w:val="-5"/>
                <w:sz w:val="24"/>
              </w:rPr>
              <w:t>454</w:t>
            </w:r>
          </w:p>
        </w:tc>
        <w:tc>
          <w:tcPr>
            <w:tcW w:w="1104" w:type="dxa"/>
            <w:tcBorders>
              <w:top w:val="single" w:sz="4" w:space="0" w:color="000000"/>
              <w:bottom w:val="single" w:sz="4" w:space="0" w:color="000000"/>
            </w:tcBorders>
          </w:tcPr>
          <w:p>
            <w:pPr>
              <w:pStyle w:val="TableParagraph"/>
              <w:spacing w:line="253" w:lineRule="exact"/>
              <w:ind w:left="51"/>
              <w:jc w:val="center"/>
              <w:rPr>
                <w:sz w:val="24"/>
              </w:rPr>
            </w:pPr>
            <w:r>
              <w:rPr>
                <w:spacing w:val="-2"/>
                <w:sz w:val="24"/>
              </w:rPr>
              <w:t>3.318</w:t>
            </w:r>
          </w:p>
        </w:tc>
        <w:tc>
          <w:tcPr>
            <w:tcW w:w="1848" w:type="dxa"/>
            <w:tcBorders>
              <w:top w:val="single" w:sz="4" w:space="0" w:color="000000"/>
              <w:bottom w:val="single" w:sz="4" w:space="0" w:color="000000"/>
            </w:tcBorders>
          </w:tcPr>
          <w:p>
            <w:pPr>
              <w:pStyle w:val="TableParagraph"/>
              <w:spacing w:line="253" w:lineRule="exact"/>
              <w:ind w:left="1" w:right="19"/>
              <w:jc w:val="center"/>
              <w:rPr>
                <w:sz w:val="24"/>
              </w:rPr>
            </w:pPr>
            <w:r>
              <w:rPr>
                <w:spacing w:val="-2"/>
                <w:sz w:val="24"/>
              </w:rPr>
              <w:t>.8053</w:t>
            </w:r>
          </w:p>
        </w:tc>
        <w:tc>
          <w:tcPr>
            <w:tcW w:w="1443" w:type="dxa"/>
            <w:tcBorders>
              <w:top w:val="single" w:sz="4" w:space="0" w:color="000000"/>
              <w:bottom w:val="single" w:sz="4" w:space="0" w:color="000000"/>
              <w:right w:val="single" w:sz="4" w:space="0" w:color="000000"/>
            </w:tcBorders>
          </w:tcPr>
          <w:p>
            <w:pPr>
              <w:pStyle w:val="TableParagraph"/>
              <w:spacing w:line="253" w:lineRule="exact"/>
              <w:ind w:right="21"/>
              <w:jc w:val="center"/>
              <w:rPr>
                <w:sz w:val="24"/>
              </w:rPr>
            </w:pPr>
            <w:r>
              <w:rPr>
                <w:spacing w:val="-2"/>
                <w:sz w:val="24"/>
              </w:rPr>
              <w:t>.0378</w:t>
            </w:r>
          </w:p>
        </w:tc>
      </w:tr>
    </w:tbl>
    <w:p>
      <w:pPr>
        <w:spacing w:after="0" w:line="253" w:lineRule="exact"/>
        <w:jc w:val="center"/>
        <w:rPr>
          <w:sz w:val="24"/>
        </w:rPr>
        <w:sectPr>
          <w:headerReference w:type="default" r:id="rId257"/>
          <w:footerReference w:type="default" r:id="rId258"/>
          <w:pgSz w:w="12240" w:h="15840"/>
          <w:pgMar w:header="722" w:footer="791" w:top="1340" w:bottom="980" w:left="1340" w:right="840"/>
        </w:sectPr>
      </w:pPr>
    </w:p>
    <w:p>
      <w:pPr>
        <w:pStyle w:val="BodyText"/>
        <w:spacing w:before="7" w:after="1"/>
        <w:rPr>
          <w:rFonts w:ascii="Arial"/>
          <w:b/>
          <w:sz w:val="7"/>
        </w:rPr>
      </w:pPr>
    </w:p>
    <w:tbl>
      <w:tblPr>
        <w:tblW w:w="0" w:type="auto"/>
        <w:jc w:val="left"/>
        <w:tblInd w:w="7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12"/>
        <w:gridCol w:w="2066"/>
        <w:gridCol w:w="966"/>
        <w:gridCol w:w="1290"/>
        <w:gridCol w:w="1540"/>
        <w:gridCol w:w="1565"/>
      </w:tblGrid>
      <w:tr>
        <w:trPr>
          <w:trHeight w:val="274" w:hRule="atLeast"/>
        </w:trPr>
        <w:tc>
          <w:tcPr>
            <w:tcW w:w="1612" w:type="dxa"/>
            <w:tcBorders>
              <w:left w:val="single" w:sz="4" w:space="0" w:color="000000"/>
            </w:tcBorders>
          </w:tcPr>
          <w:p>
            <w:pPr>
              <w:pStyle w:val="TableParagraph"/>
              <w:spacing w:line="254" w:lineRule="exact"/>
              <w:ind w:left="91"/>
              <w:rPr>
                <w:sz w:val="24"/>
              </w:rPr>
            </w:pPr>
            <w:r>
              <w:rPr>
                <w:spacing w:val="-2"/>
                <w:sz w:val="24"/>
              </w:rPr>
              <w:t>Transpot</w:t>
            </w:r>
          </w:p>
        </w:tc>
        <w:tc>
          <w:tcPr>
            <w:tcW w:w="2066" w:type="dxa"/>
          </w:tcPr>
          <w:p>
            <w:pPr>
              <w:pStyle w:val="TableParagraph"/>
              <w:spacing w:line="254" w:lineRule="exact"/>
              <w:ind w:left="576"/>
              <w:rPr>
                <w:sz w:val="24"/>
              </w:rPr>
            </w:pPr>
            <w:r>
              <w:rPr>
                <w:spacing w:val="-2"/>
                <w:sz w:val="24"/>
              </w:rPr>
              <w:t>Student</w:t>
            </w:r>
          </w:p>
        </w:tc>
        <w:tc>
          <w:tcPr>
            <w:tcW w:w="966" w:type="dxa"/>
          </w:tcPr>
          <w:p>
            <w:pPr>
              <w:pStyle w:val="TableParagraph"/>
              <w:spacing w:line="254" w:lineRule="exact"/>
              <w:ind w:left="172"/>
              <w:jc w:val="center"/>
              <w:rPr>
                <w:sz w:val="24"/>
              </w:rPr>
            </w:pPr>
            <w:r>
              <w:rPr>
                <w:spacing w:val="-5"/>
                <w:sz w:val="24"/>
              </w:rPr>
              <w:t>234</w:t>
            </w:r>
          </w:p>
        </w:tc>
        <w:tc>
          <w:tcPr>
            <w:tcW w:w="1290" w:type="dxa"/>
          </w:tcPr>
          <w:p>
            <w:pPr>
              <w:pStyle w:val="TableParagraph"/>
              <w:spacing w:line="254" w:lineRule="exact"/>
              <w:ind w:right="132"/>
              <w:jc w:val="center"/>
              <w:rPr>
                <w:sz w:val="24"/>
              </w:rPr>
            </w:pPr>
            <w:r>
              <w:rPr>
                <w:spacing w:val="-2"/>
                <w:sz w:val="24"/>
              </w:rPr>
              <w:t>4.0759</w:t>
            </w:r>
          </w:p>
        </w:tc>
        <w:tc>
          <w:tcPr>
            <w:tcW w:w="1540" w:type="dxa"/>
          </w:tcPr>
          <w:p>
            <w:pPr>
              <w:pStyle w:val="TableParagraph"/>
              <w:spacing w:line="254" w:lineRule="exact"/>
              <w:ind w:right="82"/>
              <w:jc w:val="center"/>
              <w:rPr>
                <w:sz w:val="24"/>
              </w:rPr>
            </w:pPr>
            <w:r>
              <w:rPr>
                <w:spacing w:val="-2"/>
                <w:sz w:val="24"/>
              </w:rPr>
              <w:t>.66396</w:t>
            </w:r>
          </w:p>
        </w:tc>
        <w:tc>
          <w:tcPr>
            <w:tcW w:w="1565" w:type="dxa"/>
            <w:tcBorders>
              <w:right w:val="single" w:sz="4" w:space="0" w:color="000000"/>
            </w:tcBorders>
          </w:tcPr>
          <w:p>
            <w:pPr>
              <w:pStyle w:val="TableParagraph"/>
              <w:spacing w:line="254" w:lineRule="exact"/>
              <w:ind w:left="98"/>
              <w:jc w:val="center"/>
              <w:rPr>
                <w:sz w:val="24"/>
              </w:rPr>
            </w:pPr>
            <w:r>
              <w:rPr>
                <w:spacing w:val="-2"/>
                <w:sz w:val="24"/>
              </w:rPr>
              <w:t>.04340</w:t>
            </w:r>
          </w:p>
        </w:tc>
      </w:tr>
      <w:tr>
        <w:trPr>
          <w:trHeight w:val="276" w:hRule="atLeast"/>
        </w:trPr>
        <w:tc>
          <w:tcPr>
            <w:tcW w:w="1612" w:type="dxa"/>
            <w:tcBorders>
              <w:left w:val="single" w:sz="4" w:space="0" w:color="000000"/>
            </w:tcBorders>
          </w:tcPr>
          <w:p>
            <w:pPr>
              <w:pStyle w:val="TableParagraph"/>
              <w:rPr>
                <w:rFonts w:ascii="Times New Roman"/>
                <w:sz w:val="20"/>
              </w:rPr>
            </w:pPr>
          </w:p>
        </w:tc>
        <w:tc>
          <w:tcPr>
            <w:tcW w:w="2066" w:type="dxa"/>
          </w:tcPr>
          <w:p>
            <w:pPr>
              <w:pStyle w:val="TableParagraph"/>
              <w:spacing w:line="256" w:lineRule="exact"/>
              <w:ind w:left="576"/>
              <w:rPr>
                <w:sz w:val="24"/>
              </w:rPr>
            </w:pPr>
            <w:r>
              <w:rPr>
                <w:spacing w:val="-4"/>
                <w:sz w:val="24"/>
              </w:rPr>
              <w:t>Staff</w:t>
            </w:r>
          </w:p>
        </w:tc>
        <w:tc>
          <w:tcPr>
            <w:tcW w:w="966" w:type="dxa"/>
          </w:tcPr>
          <w:p>
            <w:pPr>
              <w:pStyle w:val="TableParagraph"/>
              <w:spacing w:line="256" w:lineRule="exact"/>
              <w:ind w:left="172"/>
              <w:jc w:val="center"/>
              <w:rPr>
                <w:sz w:val="24"/>
              </w:rPr>
            </w:pPr>
            <w:r>
              <w:rPr>
                <w:spacing w:val="-5"/>
                <w:sz w:val="24"/>
              </w:rPr>
              <w:t>197</w:t>
            </w:r>
          </w:p>
        </w:tc>
        <w:tc>
          <w:tcPr>
            <w:tcW w:w="1290" w:type="dxa"/>
          </w:tcPr>
          <w:p>
            <w:pPr>
              <w:pStyle w:val="TableParagraph"/>
              <w:spacing w:line="256" w:lineRule="exact"/>
              <w:ind w:right="132"/>
              <w:jc w:val="center"/>
              <w:rPr>
                <w:sz w:val="24"/>
              </w:rPr>
            </w:pPr>
            <w:r>
              <w:rPr>
                <w:spacing w:val="-2"/>
                <w:sz w:val="24"/>
              </w:rPr>
              <w:t>4.0495</w:t>
            </w:r>
          </w:p>
        </w:tc>
        <w:tc>
          <w:tcPr>
            <w:tcW w:w="1540" w:type="dxa"/>
          </w:tcPr>
          <w:p>
            <w:pPr>
              <w:pStyle w:val="TableParagraph"/>
              <w:spacing w:line="256" w:lineRule="exact"/>
              <w:ind w:right="82"/>
              <w:jc w:val="center"/>
              <w:rPr>
                <w:sz w:val="24"/>
              </w:rPr>
            </w:pPr>
            <w:r>
              <w:rPr>
                <w:spacing w:val="-2"/>
                <w:sz w:val="24"/>
              </w:rPr>
              <w:t>.66223</w:t>
            </w:r>
          </w:p>
        </w:tc>
        <w:tc>
          <w:tcPr>
            <w:tcW w:w="1565" w:type="dxa"/>
            <w:tcBorders>
              <w:right w:val="single" w:sz="4" w:space="0" w:color="000000"/>
            </w:tcBorders>
          </w:tcPr>
          <w:p>
            <w:pPr>
              <w:pStyle w:val="TableParagraph"/>
              <w:spacing w:line="256" w:lineRule="exact"/>
              <w:ind w:left="98"/>
              <w:jc w:val="center"/>
              <w:rPr>
                <w:sz w:val="24"/>
              </w:rPr>
            </w:pPr>
            <w:r>
              <w:rPr>
                <w:spacing w:val="-2"/>
                <w:sz w:val="24"/>
              </w:rPr>
              <w:t>.04718</w:t>
            </w:r>
          </w:p>
        </w:tc>
      </w:tr>
      <w:tr>
        <w:trPr>
          <w:trHeight w:val="275" w:hRule="atLeast"/>
        </w:trPr>
        <w:tc>
          <w:tcPr>
            <w:tcW w:w="1612" w:type="dxa"/>
            <w:tcBorders>
              <w:left w:val="single" w:sz="4" w:space="0" w:color="000000"/>
              <w:bottom w:val="single" w:sz="4" w:space="0" w:color="000000"/>
            </w:tcBorders>
          </w:tcPr>
          <w:p>
            <w:pPr>
              <w:pStyle w:val="TableParagraph"/>
              <w:rPr>
                <w:rFonts w:ascii="Times New Roman"/>
                <w:sz w:val="20"/>
              </w:rPr>
            </w:pPr>
          </w:p>
        </w:tc>
        <w:tc>
          <w:tcPr>
            <w:tcW w:w="2066" w:type="dxa"/>
            <w:tcBorders>
              <w:bottom w:val="single" w:sz="4" w:space="0" w:color="000000"/>
            </w:tcBorders>
          </w:tcPr>
          <w:p>
            <w:pPr>
              <w:pStyle w:val="TableParagraph"/>
              <w:spacing w:line="255" w:lineRule="exact"/>
              <w:ind w:left="576"/>
              <w:rPr>
                <w:sz w:val="24"/>
              </w:rPr>
            </w:pPr>
            <w:r>
              <w:rPr>
                <w:spacing w:val="-2"/>
                <w:sz w:val="24"/>
              </w:rPr>
              <w:t>Managmet</w:t>
            </w:r>
          </w:p>
        </w:tc>
        <w:tc>
          <w:tcPr>
            <w:tcW w:w="966" w:type="dxa"/>
            <w:tcBorders>
              <w:bottom w:val="single" w:sz="4" w:space="0" w:color="000000"/>
            </w:tcBorders>
          </w:tcPr>
          <w:p>
            <w:pPr>
              <w:pStyle w:val="TableParagraph"/>
              <w:spacing w:line="255" w:lineRule="exact"/>
              <w:ind w:left="172" w:right="9"/>
              <w:jc w:val="center"/>
              <w:rPr>
                <w:sz w:val="24"/>
              </w:rPr>
            </w:pPr>
            <w:r>
              <w:rPr>
                <w:spacing w:val="-5"/>
                <w:sz w:val="24"/>
              </w:rPr>
              <w:t>23</w:t>
            </w:r>
          </w:p>
        </w:tc>
        <w:tc>
          <w:tcPr>
            <w:tcW w:w="1290" w:type="dxa"/>
            <w:tcBorders>
              <w:bottom w:val="single" w:sz="4" w:space="0" w:color="000000"/>
            </w:tcBorders>
          </w:tcPr>
          <w:p>
            <w:pPr>
              <w:pStyle w:val="TableParagraph"/>
              <w:spacing w:line="255" w:lineRule="exact"/>
              <w:ind w:right="132"/>
              <w:jc w:val="center"/>
              <w:rPr>
                <w:sz w:val="24"/>
              </w:rPr>
            </w:pPr>
            <w:r>
              <w:rPr>
                <w:spacing w:val="-2"/>
                <w:sz w:val="24"/>
              </w:rPr>
              <w:t>4.1304</w:t>
            </w:r>
          </w:p>
        </w:tc>
        <w:tc>
          <w:tcPr>
            <w:tcW w:w="1540" w:type="dxa"/>
            <w:tcBorders>
              <w:bottom w:val="single" w:sz="4" w:space="0" w:color="000000"/>
            </w:tcBorders>
          </w:tcPr>
          <w:p>
            <w:pPr>
              <w:pStyle w:val="TableParagraph"/>
              <w:spacing w:line="255" w:lineRule="exact"/>
              <w:ind w:right="82"/>
              <w:jc w:val="center"/>
              <w:rPr>
                <w:sz w:val="24"/>
              </w:rPr>
            </w:pPr>
            <w:r>
              <w:rPr>
                <w:spacing w:val="-2"/>
                <w:sz w:val="24"/>
              </w:rPr>
              <w:t>.39793</w:t>
            </w:r>
          </w:p>
        </w:tc>
        <w:tc>
          <w:tcPr>
            <w:tcW w:w="1565" w:type="dxa"/>
            <w:tcBorders>
              <w:bottom w:val="single" w:sz="4" w:space="0" w:color="000000"/>
              <w:right w:val="single" w:sz="4" w:space="0" w:color="000000"/>
            </w:tcBorders>
          </w:tcPr>
          <w:p>
            <w:pPr>
              <w:pStyle w:val="TableParagraph"/>
              <w:spacing w:line="255" w:lineRule="exact"/>
              <w:ind w:left="98"/>
              <w:jc w:val="center"/>
              <w:rPr>
                <w:sz w:val="24"/>
              </w:rPr>
            </w:pPr>
            <w:r>
              <w:rPr>
                <w:spacing w:val="-2"/>
                <w:sz w:val="24"/>
              </w:rPr>
              <w:t>.08297</w:t>
            </w:r>
          </w:p>
        </w:tc>
      </w:tr>
      <w:tr>
        <w:trPr>
          <w:trHeight w:val="277" w:hRule="atLeast"/>
        </w:trPr>
        <w:tc>
          <w:tcPr>
            <w:tcW w:w="1612"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2066" w:type="dxa"/>
            <w:tcBorders>
              <w:top w:val="single" w:sz="4" w:space="0" w:color="000000"/>
              <w:bottom w:val="single" w:sz="4" w:space="0" w:color="000000"/>
            </w:tcBorders>
          </w:tcPr>
          <w:p>
            <w:pPr>
              <w:pStyle w:val="TableParagraph"/>
              <w:spacing w:line="258" w:lineRule="exact"/>
              <w:ind w:left="576"/>
              <w:rPr>
                <w:sz w:val="24"/>
              </w:rPr>
            </w:pPr>
            <w:r>
              <w:rPr>
                <w:spacing w:val="-2"/>
                <w:sz w:val="24"/>
              </w:rPr>
              <w:t>Total</w:t>
            </w:r>
          </w:p>
        </w:tc>
        <w:tc>
          <w:tcPr>
            <w:tcW w:w="966" w:type="dxa"/>
            <w:tcBorders>
              <w:top w:val="single" w:sz="4" w:space="0" w:color="000000"/>
              <w:bottom w:val="single" w:sz="4" w:space="0" w:color="000000"/>
            </w:tcBorders>
          </w:tcPr>
          <w:p>
            <w:pPr>
              <w:pStyle w:val="TableParagraph"/>
              <w:spacing w:line="258" w:lineRule="exact"/>
              <w:ind w:left="172"/>
              <w:jc w:val="center"/>
              <w:rPr>
                <w:sz w:val="24"/>
              </w:rPr>
            </w:pPr>
            <w:r>
              <w:rPr>
                <w:spacing w:val="-5"/>
                <w:sz w:val="24"/>
              </w:rPr>
              <w:t>454</w:t>
            </w:r>
          </w:p>
        </w:tc>
        <w:tc>
          <w:tcPr>
            <w:tcW w:w="1290" w:type="dxa"/>
            <w:tcBorders>
              <w:top w:val="single" w:sz="4" w:space="0" w:color="000000"/>
              <w:bottom w:val="single" w:sz="4" w:space="0" w:color="000000"/>
            </w:tcBorders>
          </w:tcPr>
          <w:p>
            <w:pPr>
              <w:pStyle w:val="TableParagraph"/>
              <w:spacing w:line="258" w:lineRule="exact"/>
              <w:ind w:right="132"/>
              <w:jc w:val="center"/>
              <w:rPr>
                <w:sz w:val="24"/>
              </w:rPr>
            </w:pPr>
            <w:r>
              <w:rPr>
                <w:spacing w:val="-2"/>
                <w:sz w:val="24"/>
              </w:rPr>
              <w:t>4.0672</w:t>
            </w:r>
          </w:p>
        </w:tc>
        <w:tc>
          <w:tcPr>
            <w:tcW w:w="1540" w:type="dxa"/>
            <w:tcBorders>
              <w:top w:val="single" w:sz="4" w:space="0" w:color="000000"/>
              <w:bottom w:val="single" w:sz="4" w:space="0" w:color="000000"/>
            </w:tcBorders>
          </w:tcPr>
          <w:p>
            <w:pPr>
              <w:pStyle w:val="TableParagraph"/>
              <w:spacing w:line="258" w:lineRule="exact"/>
              <w:ind w:right="82"/>
              <w:jc w:val="center"/>
              <w:rPr>
                <w:sz w:val="24"/>
              </w:rPr>
            </w:pPr>
            <w:r>
              <w:rPr>
                <w:spacing w:val="-2"/>
                <w:sz w:val="24"/>
              </w:rPr>
              <w:t>.65158</w:t>
            </w:r>
          </w:p>
        </w:tc>
        <w:tc>
          <w:tcPr>
            <w:tcW w:w="1565" w:type="dxa"/>
            <w:tcBorders>
              <w:top w:val="single" w:sz="4" w:space="0" w:color="000000"/>
              <w:bottom w:val="single" w:sz="4" w:space="0" w:color="000000"/>
              <w:right w:val="single" w:sz="4" w:space="0" w:color="000000"/>
            </w:tcBorders>
          </w:tcPr>
          <w:p>
            <w:pPr>
              <w:pStyle w:val="TableParagraph"/>
              <w:spacing w:line="258" w:lineRule="exact"/>
              <w:ind w:left="98"/>
              <w:jc w:val="center"/>
              <w:rPr>
                <w:sz w:val="24"/>
              </w:rPr>
            </w:pPr>
            <w:r>
              <w:rPr>
                <w:spacing w:val="-2"/>
                <w:sz w:val="24"/>
              </w:rPr>
              <w:t>.03058</w:t>
            </w:r>
          </w:p>
        </w:tc>
      </w:tr>
      <w:tr>
        <w:trPr>
          <w:trHeight w:val="276" w:hRule="atLeast"/>
        </w:trPr>
        <w:tc>
          <w:tcPr>
            <w:tcW w:w="1612" w:type="dxa"/>
            <w:tcBorders>
              <w:top w:val="single" w:sz="4" w:space="0" w:color="000000"/>
              <w:left w:val="single" w:sz="4" w:space="0" w:color="000000"/>
            </w:tcBorders>
          </w:tcPr>
          <w:p>
            <w:pPr>
              <w:pStyle w:val="TableParagraph"/>
              <w:spacing w:line="257" w:lineRule="exact"/>
              <w:ind w:left="91"/>
              <w:rPr>
                <w:sz w:val="24"/>
              </w:rPr>
            </w:pPr>
            <w:r>
              <w:rPr>
                <w:spacing w:val="-2"/>
                <w:sz w:val="24"/>
              </w:rPr>
              <w:t>Religion</w:t>
            </w:r>
          </w:p>
        </w:tc>
        <w:tc>
          <w:tcPr>
            <w:tcW w:w="2066" w:type="dxa"/>
            <w:tcBorders>
              <w:top w:val="single" w:sz="4" w:space="0" w:color="000000"/>
            </w:tcBorders>
          </w:tcPr>
          <w:p>
            <w:pPr>
              <w:pStyle w:val="TableParagraph"/>
              <w:spacing w:line="257" w:lineRule="exact"/>
              <w:ind w:left="576"/>
              <w:rPr>
                <w:sz w:val="24"/>
              </w:rPr>
            </w:pPr>
            <w:r>
              <w:rPr>
                <w:spacing w:val="-2"/>
                <w:sz w:val="24"/>
              </w:rPr>
              <w:t>Student</w:t>
            </w:r>
          </w:p>
        </w:tc>
        <w:tc>
          <w:tcPr>
            <w:tcW w:w="966" w:type="dxa"/>
            <w:tcBorders>
              <w:top w:val="single" w:sz="4" w:space="0" w:color="000000"/>
            </w:tcBorders>
          </w:tcPr>
          <w:p>
            <w:pPr>
              <w:pStyle w:val="TableParagraph"/>
              <w:spacing w:line="257" w:lineRule="exact"/>
              <w:ind w:left="172"/>
              <w:jc w:val="center"/>
              <w:rPr>
                <w:sz w:val="24"/>
              </w:rPr>
            </w:pPr>
            <w:r>
              <w:rPr>
                <w:spacing w:val="-5"/>
                <w:sz w:val="24"/>
              </w:rPr>
              <w:t>235</w:t>
            </w:r>
          </w:p>
        </w:tc>
        <w:tc>
          <w:tcPr>
            <w:tcW w:w="1290" w:type="dxa"/>
            <w:tcBorders>
              <w:top w:val="single" w:sz="4" w:space="0" w:color="000000"/>
            </w:tcBorders>
          </w:tcPr>
          <w:p>
            <w:pPr>
              <w:pStyle w:val="TableParagraph"/>
              <w:spacing w:line="257" w:lineRule="exact"/>
              <w:ind w:right="132"/>
              <w:jc w:val="center"/>
              <w:rPr>
                <w:sz w:val="24"/>
              </w:rPr>
            </w:pPr>
            <w:r>
              <w:rPr>
                <w:spacing w:val="-2"/>
                <w:sz w:val="24"/>
              </w:rPr>
              <w:t>4.003</w:t>
            </w:r>
          </w:p>
        </w:tc>
        <w:tc>
          <w:tcPr>
            <w:tcW w:w="1540" w:type="dxa"/>
            <w:tcBorders>
              <w:top w:val="single" w:sz="4" w:space="0" w:color="000000"/>
            </w:tcBorders>
          </w:tcPr>
          <w:p>
            <w:pPr>
              <w:pStyle w:val="TableParagraph"/>
              <w:spacing w:line="257" w:lineRule="exact"/>
              <w:ind w:right="82"/>
              <w:jc w:val="center"/>
              <w:rPr>
                <w:sz w:val="24"/>
              </w:rPr>
            </w:pPr>
            <w:r>
              <w:rPr>
                <w:spacing w:val="-2"/>
                <w:sz w:val="24"/>
              </w:rPr>
              <w:t>.5187</w:t>
            </w:r>
          </w:p>
        </w:tc>
        <w:tc>
          <w:tcPr>
            <w:tcW w:w="1565" w:type="dxa"/>
            <w:tcBorders>
              <w:top w:val="single" w:sz="4" w:space="0" w:color="000000"/>
              <w:right w:val="single" w:sz="4" w:space="0" w:color="000000"/>
            </w:tcBorders>
          </w:tcPr>
          <w:p>
            <w:pPr>
              <w:pStyle w:val="TableParagraph"/>
              <w:spacing w:line="257" w:lineRule="exact"/>
              <w:ind w:left="98"/>
              <w:jc w:val="center"/>
              <w:rPr>
                <w:sz w:val="24"/>
              </w:rPr>
            </w:pPr>
            <w:r>
              <w:rPr>
                <w:spacing w:val="-2"/>
                <w:sz w:val="24"/>
              </w:rPr>
              <w:t>.0338</w:t>
            </w:r>
          </w:p>
        </w:tc>
      </w:tr>
      <w:tr>
        <w:trPr>
          <w:trHeight w:val="275" w:hRule="atLeast"/>
        </w:trPr>
        <w:tc>
          <w:tcPr>
            <w:tcW w:w="1612" w:type="dxa"/>
            <w:tcBorders>
              <w:left w:val="single" w:sz="4" w:space="0" w:color="000000"/>
            </w:tcBorders>
          </w:tcPr>
          <w:p>
            <w:pPr>
              <w:pStyle w:val="TableParagraph"/>
              <w:rPr>
                <w:rFonts w:ascii="Times New Roman"/>
                <w:sz w:val="20"/>
              </w:rPr>
            </w:pPr>
          </w:p>
        </w:tc>
        <w:tc>
          <w:tcPr>
            <w:tcW w:w="2066" w:type="dxa"/>
          </w:tcPr>
          <w:p>
            <w:pPr>
              <w:pStyle w:val="TableParagraph"/>
              <w:spacing w:line="256" w:lineRule="exact"/>
              <w:ind w:left="576"/>
              <w:rPr>
                <w:sz w:val="24"/>
              </w:rPr>
            </w:pPr>
            <w:r>
              <w:rPr>
                <w:spacing w:val="-4"/>
                <w:sz w:val="24"/>
              </w:rPr>
              <w:t>Staff</w:t>
            </w:r>
          </w:p>
        </w:tc>
        <w:tc>
          <w:tcPr>
            <w:tcW w:w="966" w:type="dxa"/>
          </w:tcPr>
          <w:p>
            <w:pPr>
              <w:pStyle w:val="TableParagraph"/>
              <w:spacing w:line="256" w:lineRule="exact"/>
              <w:ind w:left="172"/>
              <w:jc w:val="center"/>
              <w:rPr>
                <w:sz w:val="24"/>
              </w:rPr>
            </w:pPr>
            <w:r>
              <w:rPr>
                <w:spacing w:val="-5"/>
                <w:sz w:val="24"/>
              </w:rPr>
              <w:t>197</w:t>
            </w:r>
          </w:p>
        </w:tc>
        <w:tc>
          <w:tcPr>
            <w:tcW w:w="1290" w:type="dxa"/>
          </w:tcPr>
          <w:p>
            <w:pPr>
              <w:pStyle w:val="TableParagraph"/>
              <w:spacing w:line="256" w:lineRule="exact"/>
              <w:ind w:right="132"/>
              <w:jc w:val="center"/>
              <w:rPr>
                <w:sz w:val="24"/>
              </w:rPr>
            </w:pPr>
            <w:r>
              <w:rPr>
                <w:spacing w:val="-2"/>
                <w:sz w:val="24"/>
              </w:rPr>
              <w:t>3.892</w:t>
            </w:r>
          </w:p>
        </w:tc>
        <w:tc>
          <w:tcPr>
            <w:tcW w:w="1540" w:type="dxa"/>
          </w:tcPr>
          <w:p>
            <w:pPr>
              <w:pStyle w:val="TableParagraph"/>
              <w:spacing w:line="256" w:lineRule="exact"/>
              <w:ind w:right="82"/>
              <w:jc w:val="center"/>
              <w:rPr>
                <w:sz w:val="24"/>
              </w:rPr>
            </w:pPr>
            <w:r>
              <w:rPr>
                <w:spacing w:val="-2"/>
                <w:sz w:val="24"/>
              </w:rPr>
              <w:t>.5950</w:t>
            </w:r>
          </w:p>
        </w:tc>
        <w:tc>
          <w:tcPr>
            <w:tcW w:w="1565" w:type="dxa"/>
            <w:tcBorders>
              <w:right w:val="single" w:sz="4" w:space="0" w:color="000000"/>
            </w:tcBorders>
          </w:tcPr>
          <w:p>
            <w:pPr>
              <w:pStyle w:val="TableParagraph"/>
              <w:spacing w:line="256" w:lineRule="exact"/>
              <w:ind w:left="98"/>
              <w:jc w:val="center"/>
              <w:rPr>
                <w:sz w:val="24"/>
              </w:rPr>
            </w:pPr>
            <w:r>
              <w:rPr>
                <w:spacing w:val="-2"/>
                <w:sz w:val="24"/>
              </w:rPr>
              <w:t>.0424</w:t>
            </w:r>
          </w:p>
        </w:tc>
      </w:tr>
      <w:tr>
        <w:trPr>
          <w:trHeight w:val="277" w:hRule="atLeast"/>
        </w:trPr>
        <w:tc>
          <w:tcPr>
            <w:tcW w:w="1612" w:type="dxa"/>
            <w:tcBorders>
              <w:left w:val="single" w:sz="4" w:space="0" w:color="000000"/>
              <w:bottom w:val="single" w:sz="4" w:space="0" w:color="000000"/>
            </w:tcBorders>
          </w:tcPr>
          <w:p>
            <w:pPr>
              <w:pStyle w:val="TableParagraph"/>
              <w:rPr>
                <w:rFonts w:ascii="Times New Roman"/>
                <w:sz w:val="20"/>
              </w:rPr>
            </w:pPr>
          </w:p>
        </w:tc>
        <w:tc>
          <w:tcPr>
            <w:tcW w:w="2066" w:type="dxa"/>
            <w:tcBorders>
              <w:bottom w:val="single" w:sz="4" w:space="0" w:color="000000"/>
            </w:tcBorders>
          </w:tcPr>
          <w:p>
            <w:pPr>
              <w:pStyle w:val="TableParagraph"/>
              <w:spacing w:line="257" w:lineRule="exact"/>
              <w:ind w:left="576"/>
              <w:rPr>
                <w:sz w:val="24"/>
              </w:rPr>
            </w:pPr>
            <w:r>
              <w:rPr>
                <w:spacing w:val="-2"/>
                <w:sz w:val="24"/>
              </w:rPr>
              <w:t>Managmet</w:t>
            </w:r>
          </w:p>
        </w:tc>
        <w:tc>
          <w:tcPr>
            <w:tcW w:w="966" w:type="dxa"/>
            <w:tcBorders>
              <w:bottom w:val="single" w:sz="4" w:space="0" w:color="000000"/>
            </w:tcBorders>
          </w:tcPr>
          <w:p>
            <w:pPr>
              <w:pStyle w:val="TableParagraph"/>
              <w:spacing w:line="257" w:lineRule="exact"/>
              <w:ind w:left="172" w:right="9"/>
              <w:jc w:val="center"/>
              <w:rPr>
                <w:sz w:val="24"/>
              </w:rPr>
            </w:pPr>
            <w:r>
              <w:rPr>
                <w:spacing w:val="-5"/>
                <w:sz w:val="24"/>
              </w:rPr>
              <w:t>23</w:t>
            </w:r>
          </w:p>
        </w:tc>
        <w:tc>
          <w:tcPr>
            <w:tcW w:w="1290" w:type="dxa"/>
            <w:tcBorders>
              <w:bottom w:val="single" w:sz="4" w:space="0" w:color="000000"/>
            </w:tcBorders>
          </w:tcPr>
          <w:p>
            <w:pPr>
              <w:pStyle w:val="TableParagraph"/>
              <w:spacing w:line="257" w:lineRule="exact"/>
              <w:ind w:right="132"/>
              <w:jc w:val="center"/>
              <w:rPr>
                <w:sz w:val="24"/>
              </w:rPr>
            </w:pPr>
            <w:r>
              <w:rPr>
                <w:spacing w:val="-2"/>
                <w:sz w:val="24"/>
              </w:rPr>
              <w:t>4.165</w:t>
            </w:r>
          </w:p>
        </w:tc>
        <w:tc>
          <w:tcPr>
            <w:tcW w:w="1540" w:type="dxa"/>
            <w:tcBorders>
              <w:bottom w:val="single" w:sz="4" w:space="0" w:color="000000"/>
            </w:tcBorders>
          </w:tcPr>
          <w:p>
            <w:pPr>
              <w:pStyle w:val="TableParagraph"/>
              <w:spacing w:line="257" w:lineRule="exact"/>
              <w:ind w:right="82"/>
              <w:jc w:val="center"/>
              <w:rPr>
                <w:sz w:val="24"/>
              </w:rPr>
            </w:pPr>
            <w:r>
              <w:rPr>
                <w:spacing w:val="-2"/>
                <w:sz w:val="24"/>
              </w:rPr>
              <w:t>.3601</w:t>
            </w:r>
          </w:p>
        </w:tc>
        <w:tc>
          <w:tcPr>
            <w:tcW w:w="1565" w:type="dxa"/>
            <w:tcBorders>
              <w:bottom w:val="single" w:sz="4" w:space="0" w:color="000000"/>
              <w:right w:val="single" w:sz="4" w:space="0" w:color="000000"/>
            </w:tcBorders>
          </w:tcPr>
          <w:p>
            <w:pPr>
              <w:pStyle w:val="TableParagraph"/>
              <w:spacing w:line="257" w:lineRule="exact"/>
              <w:ind w:left="98"/>
              <w:jc w:val="center"/>
              <w:rPr>
                <w:sz w:val="24"/>
              </w:rPr>
            </w:pPr>
            <w:r>
              <w:rPr>
                <w:spacing w:val="-2"/>
                <w:sz w:val="24"/>
              </w:rPr>
              <w:t>.0751</w:t>
            </w:r>
          </w:p>
        </w:tc>
      </w:tr>
      <w:tr>
        <w:trPr>
          <w:trHeight w:val="273" w:hRule="atLeast"/>
        </w:trPr>
        <w:tc>
          <w:tcPr>
            <w:tcW w:w="1612"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2066" w:type="dxa"/>
            <w:tcBorders>
              <w:top w:val="single" w:sz="4" w:space="0" w:color="000000"/>
              <w:bottom w:val="single" w:sz="4" w:space="0" w:color="000000"/>
            </w:tcBorders>
          </w:tcPr>
          <w:p>
            <w:pPr>
              <w:pStyle w:val="TableParagraph"/>
              <w:spacing w:line="253" w:lineRule="exact"/>
              <w:ind w:left="576"/>
              <w:rPr>
                <w:sz w:val="24"/>
              </w:rPr>
            </w:pPr>
            <w:r>
              <w:rPr>
                <w:spacing w:val="-2"/>
                <w:sz w:val="24"/>
              </w:rPr>
              <w:t>Total</w:t>
            </w:r>
          </w:p>
        </w:tc>
        <w:tc>
          <w:tcPr>
            <w:tcW w:w="966" w:type="dxa"/>
            <w:tcBorders>
              <w:top w:val="single" w:sz="4" w:space="0" w:color="000000"/>
              <w:bottom w:val="single" w:sz="4" w:space="0" w:color="000000"/>
            </w:tcBorders>
          </w:tcPr>
          <w:p>
            <w:pPr>
              <w:pStyle w:val="TableParagraph"/>
              <w:spacing w:line="253" w:lineRule="exact"/>
              <w:ind w:left="172"/>
              <w:jc w:val="center"/>
              <w:rPr>
                <w:sz w:val="24"/>
              </w:rPr>
            </w:pPr>
            <w:r>
              <w:rPr>
                <w:spacing w:val="-5"/>
                <w:sz w:val="24"/>
              </w:rPr>
              <w:t>455</w:t>
            </w:r>
          </w:p>
        </w:tc>
        <w:tc>
          <w:tcPr>
            <w:tcW w:w="1290" w:type="dxa"/>
            <w:tcBorders>
              <w:top w:val="single" w:sz="4" w:space="0" w:color="000000"/>
              <w:bottom w:val="single" w:sz="4" w:space="0" w:color="000000"/>
            </w:tcBorders>
          </w:tcPr>
          <w:p>
            <w:pPr>
              <w:pStyle w:val="TableParagraph"/>
              <w:spacing w:line="253" w:lineRule="exact"/>
              <w:ind w:right="132"/>
              <w:jc w:val="center"/>
              <w:rPr>
                <w:sz w:val="24"/>
              </w:rPr>
            </w:pPr>
            <w:r>
              <w:rPr>
                <w:spacing w:val="-2"/>
                <w:sz w:val="24"/>
              </w:rPr>
              <w:t>3.964</w:t>
            </w:r>
          </w:p>
        </w:tc>
        <w:tc>
          <w:tcPr>
            <w:tcW w:w="1540" w:type="dxa"/>
            <w:tcBorders>
              <w:top w:val="single" w:sz="4" w:space="0" w:color="000000"/>
              <w:bottom w:val="single" w:sz="4" w:space="0" w:color="000000"/>
            </w:tcBorders>
          </w:tcPr>
          <w:p>
            <w:pPr>
              <w:pStyle w:val="TableParagraph"/>
              <w:spacing w:line="253" w:lineRule="exact"/>
              <w:ind w:right="82"/>
              <w:jc w:val="center"/>
              <w:rPr>
                <w:sz w:val="24"/>
              </w:rPr>
            </w:pPr>
            <w:r>
              <w:rPr>
                <w:spacing w:val="-2"/>
                <w:sz w:val="24"/>
              </w:rPr>
              <w:t>.5504</w:t>
            </w:r>
          </w:p>
        </w:tc>
        <w:tc>
          <w:tcPr>
            <w:tcW w:w="1565" w:type="dxa"/>
            <w:tcBorders>
              <w:top w:val="single" w:sz="4" w:space="0" w:color="000000"/>
              <w:bottom w:val="single" w:sz="4" w:space="0" w:color="000000"/>
              <w:right w:val="single" w:sz="4" w:space="0" w:color="000000"/>
            </w:tcBorders>
          </w:tcPr>
          <w:p>
            <w:pPr>
              <w:pStyle w:val="TableParagraph"/>
              <w:spacing w:line="253" w:lineRule="exact"/>
              <w:ind w:left="98"/>
              <w:jc w:val="center"/>
              <w:rPr>
                <w:sz w:val="24"/>
              </w:rPr>
            </w:pPr>
            <w:r>
              <w:rPr>
                <w:spacing w:val="-2"/>
                <w:sz w:val="24"/>
              </w:rPr>
              <w:t>.0258</w:t>
            </w:r>
          </w:p>
        </w:tc>
      </w:tr>
      <w:tr>
        <w:trPr>
          <w:trHeight w:val="276" w:hRule="atLeast"/>
        </w:trPr>
        <w:tc>
          <w:tcPr>
            <w:tcW w:w="1612" w:type="dxa"/>
            <w:tcBorders>
              <w:top w:val="single" w:sz="4" w:space="0" w:color="000000"/>
              <w:left w:val="single" w:sz="4" w:space="0" w:color="000000"/>
            </w:tcBorders>
          </w:tcPr>
          <w:p>
            <w:pPr>
              <w:pStyle w:val="TableParagraph"/>
              <w:spacing w:line="257" w:lineRule="exact"/>
              <w:ind w:left="91"/>
              <w:rPr>
                <w:sz w:val="24"/>
              </w:rPr>
            </w:pPr>
            <w:r>
              <w:rPr>
                <w:spacing w:val="-2"/>
                <w:sz w:val="24"/>
              </w:rPr>
              <w:t>Banking</w:t>
            </w:r>
          </w:p>
        </w:tc>
        <w:tc>
          <w:tcPr>
            <w:tcW w:w="2066" w:type="dxa"/>
            <w:tcBorders>
              <w:top w:val="single" w:sz="4" w:space="0" w:color="000000"/>
            </w:tcBorders>
          </w:tcPr>
          <w:p>
            <w:pPr>
              <w:pStyle w:val="TableParagraph"/>
              <w:spacing w:line="257" w:lineRule="exact"/>
              <w:ind w:left="576"/>
              <w:rPr>
                <w:sz w:val="24"/>
              </w:rPr>
            </w:pPr>
            <w:r>
              <w:rPr>
                <w:spacing w:val="-2"/>
                <w:sz w:val="24"/>
              </w:rPr>
              <w:t>Student</w:t>
            </w:r>
          </w:p>
        </w:tc>
        <w:tc>
          <w:tcPr>
            <w:tcW w:w="966" w:type="dxa"/>
            <w:tcBorders>
              <w:top w:val="single" w:sz="4" w:space="0" w:color="000000"/>
            </w:tcBorders>
          </w:tcPr>
          <w:p>
            <w:pPr>
              <w:pStyle w:val="TableParagraph"/>
              <w:spacing w:line="257" w:lineRule="exact"/>
              <w:ind w:left="172"/>
              <w:jc w:val="center"/>
              <w:rPr>
                <w:sz w:val="24"/>
              </w:rPr>
            </w:pPr>
            <w:r>
              <w:rPr>
                <w:spacing w:val="-5"/>
                <w:sz w:val="24"/>
              </w:rPr>
              <w:t>235</w:t>
            </w:r>
          </w:p>
        </w:tc>
        <w:tc>
          <w:tcPr>
            <w:tcW w:w="1290" w:type="dxa"/>
            <w:tcBorders>
              <w:top w:val="single" w:sz="4" w:space="0" w:color="000000"/>
            </w:tcBorders>
          </w:tcPr>
          <w:p>
            <w:pPr>
              <w:pStyle w:val="TableParagraph"/>
              <w:spacing w:line="257" w:lineRule="exact"/>
              <w:ind w:right="132"/>
              <w:jc w:val="center"/>
              <w:rPr>
                <w:sz w:val="24"/>
              </w:rPr>
            </w:pPr>
            <w:r>
              <w:rPr>
                <w:spacing w:val="-2"/>
                <w:sz w:val="24"/>
              </w:rPr>
              <w:t>4.031</w:t>
            </w:r>
          </w:p>
        </w:tc>
        <w:tc>
          <w:tcPr>
            <w:tcW w:w="1540" w:type="dxa"/>
            <w:tcBorders>
              <w:top w:val="single" w:sz="4" w:space="0" w:color="000000"/>
            </w:tcBorders>
          </w:tcPr>
          <w:p>
            <w:pPr>
              <w:pStyle w:val="TableParagraph"/>
              <w:spacing w:line="257" w:lineRule="exact"/>
              <w:ind w:right="82"/>
              <w:jc w:val="center"/>
              <w:rPr>
                <w:sz w:val="24"/>
              </w:rPr>
            </w:pPr>
            <w:r>
              <w:rPr>
                <w:spacing w:val="-2"/>
                <w:sz w:val="24"/>
              </w:rPr>
              <w:t>.5020</w:t>
            </w:r>
          </w:p>
        </w:tc>
        <w:tc>
          <w:tcPr>
            <w:tcW w:w="1565" w:type="dxa"/>
            <w:tcBorders>
              <w:top w:val="single" w:sz="4" w:space="0" w:color="000000"/>
              <w:right w:val="single" w:sz="4" w:space="0" w:color="000000"/>
            </w:tcBorders>
          </w:tcPr>
          <w:p>
            <w:pPr>
              <w:pStyle w:val="TableParagraph"/>
              <w:spacing w:line="257" w:lineRule="exact"/>
              <w:ind w:left="98"/>
              <w:jc w:val="center"/>
              <w:rPr>
                <w:sz w:val="24"/>
              </w:rPr>
            </w:pPr>
            <w:r>
              <w:rPr>
                <w:spacing w:val="-2"/>
                <w:sz w:val="24"/>
              </w:rPr>
              <w:t>.0327</w:t>
            </w:r>
          </w:p>
        </w:tc>
      </w:tr>
      <w:tr>
        <w:trPr>
          <w:trHeight w:val="276" w:hRule="atLeast"/>
        </w:trPr>
        <w:tc>
          <w:tcPr>
            <w:tcW w:w="1612" w:type="dxa"/>
            <w:tcBorders>
              <w:left w:val="single" w:sz="4" w:space="0" w:color="000000"/>
            </w:tcBorders>
          </w:tcPr>
          <w:p>
            <w:pPr>
              <w:pStyle w:val="TableParagraph"/>
              <w:rPr>
                <w:rFonts w:ascii="Times New Roman"/>
                <w:sz w:val="20"/>
              </w:rPr>
            </w:pPr>
          </w:p>
        </w:tc>
        <w:tc>
          <w:tcPr>
            <w:tcW w:w="2066" w:type="dxa"/>
          </w:tcPr>
          <w:p>
            <w:pPr>
              <w:pStyle w:val="TableParagraph"/>
              <w:spacing w:line="256" w:lineRule="exact"/>
              <w:ind w:left="576"/>
              <w:rPr>
                <w:sz w:val="24"/>
              </w:rPr>
            </w:pPr>
            <w:r>
              <w:rPr>
                <w:spacing w:val="-4"/>
                <w:sz w:val="24"/>
              </w:rPr>
              <w:t>Staff</w:t>
            </w:r>
          </w:p>
        </w:tc>
        <w:tc>
          <w:tcPr>
            <w:tcW w:w="966" w:type="dxa"/>
          </w:tcPr>
          <w:p>
            <w:pPr>
              <w:pStyle w:val="TableParagraph"/>
              <w:spacing w:line="256" w:lineRule="exact"/>
              <w:ind w:left="172"/>
              <w:jc w:val="center"/>
              <w:rPr>
                <w:sz w:val="24"/>
              </w:rPr>
            </w:pPr>
            <w:r>
              <w:rPr>
                <w:spacing w:val="-5"/>
                <w:sz w:val="24"/>
              </w:rPr>
              <w:t>197</w:t>
            </w:r>
          </w:p>
        </w:tc>
        <w:tc>
          <w:tcPr>
            <w:tcW w:w="1290" w:type="dxa"/>
          </w:tcPr>
          <w:p>
            <w:pPr>
              <w:pStyle w:val="TableParagraph"/>
              <w:spacing w:line="256" w:lineRule="exact"/>
              <w:ind w:right="132"/>
              <w:jc w:val="center"/>
              <w:rPr>
                <w:sz w:val="24"/>
              </w:rPr>
            </w:pPr>
            <w:r>
              <w:rPr>
                <w:spacing w:val="-2"/>
                <w:sz w:val="24"/>
              </w:rPr>
              <w:t>4.009</w:t>
            </w:r>
          </w:p>
        </w:tc>
        <w:tc>
          <w:tcPr>
            <w:tcW w:w="1540" w:type="dxa"/>
          </w:tcPr>
          <w:p>
            <w:pPr>
              <w:pStyle w:val="TableParagraph"/>
              <w:spacing w:line="256" w:lineRule="exact"/>
              <w:ind w:right="82"/>
              <w:jc w:val="center"/>
              <w:rPr>
                <w:sz w:val="24"/>
              </w:rPr>
            </w:pPr>
            <w:r>
              <w:rPr>
                <w:spacing w:val="-2"/>
                <w:sz w:val="24"/>
              </w:rPr>
              <w:t>.5312</w:t>
            </w:r>
          </w:p>
        </w:tc>
        <w:tc>
          <w:tcPr>
            <w:tcW w:w="1565" w:type="dxa"/>
            <w:tcBorders>
              <w:right w:val="single" w:sz="4" w:space="0" w:color="000000"/>
            </w:tcBorders>
          </w:tcPr>
          <w:p>
            <w:pPr>
              <w:pStyle w:val="TableParagraph"/>
              <w:spacing w:line="256" w:lineRule="exact"/>
              <w:ind w:left="98"/>
              <w:jc w:val="center"/>
              <w:rPr>
                <w:sz w:val="24"/>
              </w:rPr>
            </w:pPr>
            <w:r>
              <w:rPr>
                <w:spacing w:val="-2"/>
                <w:sz w:val="24"/>
              </w:rPr>
              <w:t>.0378</w:t>
            </w:r>
          </w:p>
        </w:tc>
      </w:tr>
      <w:tr>
        <w:trPr>
          <w:trHeight w:val="277" w:hRule="atLeast"/>
        </w:trPr>
        <w:tc>
          <w:tcPr>
            <w:tcW w:w="1612" w:type="dxa"/>
            <w:tcBorders>
              <w:left w:val="single" w:sz="4" w:space="0" w:color="000000"/>
              <w:bottom w:val="single" w:sz="4" w:space="0" w:color="000000"/>
            </w:tcBorders>
          </w:tcPr>
          <w:p>
            <w:pPr>
              <w:pStyle w:val="TableParagraph"/>
              <w:rPr>
                <w:rFonts w:ascii="Times New Roman"/>
                <w:sz w:val="20"/>
              </w:rPr>
            </w:pPr>
          </w:p>
        </w:tc>
        <w:tc>
          <w:tcPr>
            <w:tcW w:w="2066" w:type="dxa"/>
            <w:tcBorders>
              <w:bottom w:val="single" w:sz="4" w:space="0" w:color="000000"/>
            </w:tcBorders>
          </w:tcPr>
          <w:p>
            <w:pPr>
              <w:pStyle w:val="TableParagraph"/>
              <w:spacing w:line="257" w:lineRule="exact"/>
              <w:ind w:left="576"/>
              <w:rPr>
                <w:sz w:val="24"/>
              </w:rPr>
            </w:pPr>
            <w:r>
              <w:rPr>
                <w:spacing w:val="-2"/>
                <w:sz w:val="24"/>
              </w:rPr>
              <w:t>Managmet</w:t>
            </w:r>
          </w:p>
        </w:tc>
        <w:tc>
          <w:tcPr>
            <w:tcW w:w="966" w:type="dxa"/>
            <w:tcBorders>
              <w:bottom w:val="single" w:sz="4" w:space="0" w:color="000000"/>
            </w:tcBorders>
          </w:tcPr>
          <w:p>
            <w:pPr>
              <w:pStyle w:val="TableParagraph"/>
              <w:spacing w:line="257" w:lineRule="exact"/>
              <w:ind w:left="172" w:right="9"/>
              <w:jc w:val="center"/>
              <w:rPr>
                <w:sz w:val="24"/>
              </w:rPr>
            </w:pPr>
            <w:r>
              <w:rPr>
                <w:spacing w:val="-5"/>
                <w:sz w:val="24"/>
              </w:rPr>
              <w:t>23</w:t>
            </w:r>
          </w:p>
        </w:tc>
        <w:tc>
          <w:tcPr>
            <w:tcW w:w="1290" w:type="dxa"/>
            <w:tcBorders>
              <w:bottom w:val="single" w:sz="4" w:space="0" w:color="000000"/>
            </w:tcBorders>
          </w:tcPr>
          <w:p>
            <w:pPr>
              <w:pStyle w:val="TableParagraph"/>
              <w:spacing w:line="257" w:lineRule="exact"/>
              <w:ind w:right="132"/>
              <w:jc w:val="center"/>
              <w:rPr>
                <w:sz w:val="24"/>
              </w:rPr>
            </w:pPr>
            <w:r>
              <w:rPr>
                <w:spacing w:val="-2"/>
                <w:sz w:val="24"/>
              </w:rPr>
              <w:t>4.174</w:t>
            </w:r>
          </w:p>
        </w:tc>
        <w:tc>
          <w:tcPr>
            <w:tcW w:w="1540" w:type="dxa"/>
            <w:tcBorders>
              <w:bottom w:val="single" w:sz="4" w:space="0" w:color="000000"/>
            </w:tcBorders>
          </w:tcPr>
          <w:p>
            <w:pPr>
              <w:pStyle w:val="TableParagraph"/>
              <w:spacing w:line="257" w:lineRule="exact"/>
              <w:ind w:right="82"/>
              <w:jc w:val="center"/>
              <w:rPr>
                <w:sz w:val="24"/>
              </w:rPr>
            </w:pPr>
            <w:r>
              <w:rPr>
                <w:spacing w:val="-2"/>
                <w:sz w:val="24"/>
              </w:rPr>
              <w:t>.5056</w:t>
            </w:r>
          </w:p>
        </w:tc>
        <w:tc>
          <w:tcPr>
            <w:tcW w:w="1565" w:type="dxa"/>
            <w:tcBorders>
              <w:bottom w:val="single" w:sz="4" w:space="0" w:color="000000"/>
              <w:right w:val="single" w:sz="4" w:space="0" w:color="000000"/>
            </w:tcBorders>
          </w:tcPr>
          <w:p>
            <w:pPr>
              <w:pStyle w:val="TableParagraph"/>
              <w:spacing w:line="257" w:lineRule="exact"/>
              <w:ind w:left="98"/>
              <w:jc w:val="center"/>
              <w:rPr>
                <w:sz w:val="24"/>
              </w:rPr>
            </w:pPr>
            <w:r>
              <w:rPr>
                <w:spacing w:val="-2"/>
                <w:sz w:val="24"/>
              </w:rPr>
              <w:t>.1054</w:t>
            </w:r>
          </w:p>
        </w:tc>
      </w:tr>
      <w:tr>
        <w:trPr>
          <w:trHeight w:val="273" w:hRule="atLeast"/>
        </w:trPr>
        <w:tc>
          <w:tcPr>
            <w:tcW w:w="1612"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2066" w:type="dxa"/>
            <w:tcBorders>
              <w:top w:val="single" w:sz="4" w:space="0" w:color="000000"/>
              <w:bottom w:val="single" w:sz="4" w:space="0" w:color="000000"/>
            </w:tcBorders>
          </w:tcPr>
          <w:p>
            <w:pPr>
              <w:pStyle w:val="TableParagraph"/>
              <w:spacing w:line="253" w:lineRule="exact"/>
              <w:ind w:left="576"/>
              <w:rPr>
                <w:sz w:val="24"/>
              </w:rPr>
            </w:pPr>
            <w:r>
              <w:rPr>
                <w:spacing w:val="-2"/>
                <w:sz w:val="24"/>
              </w:rPr>
              <w:t>Total</w:t>
            </w:r>
          </w:p>
        </w:tc>
        <w:tc>
          <w:tcPr>
            <w:tcW w:w="966" w:type="dxa"/>
            <w:tcBorders>
              <w:top w:val="single" w:sz="4" w:space="0" w:color="000000"/>
              <w:bottom w:val="single" w:sz="4" w:space="0" w:color="000000"/>
            </w:tcBorders>
          </w:tcPr>
          <w:p>
            <w:pPr>
              <w:pStyle w:val="TableParagraph"/>
              <w:spacing w:line="253" w:lineRule="exact"/>
              <w:ind w:left="172"/>
              <w:jc w:val="center"/>
              <w:rPr>
                <w:sz w:val="24"/>
              </w:rPr>
            </w:pPr>
            <w:r>
              <w:rPr>
                <w:spacing w:val="-5"/>
                <w:sz w:val="24"/>
              </w:rPr>
              <w:t>455</w:t>
            </w:r>
          </w:p>
        </w:tc>
        <w:tc>
          <w:tcPr>
            <w:tcW w:w="1290" w:type="dxa"/>
            <w:tcBorders>
              <w:top w:val="single" w:sz="4" w:space="0" w:color="000000"/>
              <w:bottom w:val="single" w:sz="4" w:space="0" w:color="000000"/>
            </w:tcBorders>
          </w:tcPr>
          <w:p>
            <w:pPr>
              <w:pStyle w:val="TableParagraph"/>
              <w:spacing w:line="253" w:lineRule="exact"/>
              <w:ind w:right="132"/>
              <w:jc w:val="center"/>
              <w:rPr>
                <w:sz w:val="24"/>
              </w:rPr>
            </w:pPr>
            <w:r>
              <w:rPr>
                <w:spacing w:val="-2"/>
                <w:sz w:val="24"/>
              </w:rPr>
              <w:t>4.029</w:t>
            </w:r>
          </w:p>
        </w:tc>
        <w:tc>
          <w:tcPr>
            <w:tcW w:w="1540" w:type="dxa"/>
            <w:tcBorders>
              <w:top w:val="single" w:sz="4" w:space="0" w:color="000000"/>
              <w:bottom w:val="single" w:sz="4" w:space="0" w:color="000000"/>
            </w:tcBorders>
          </w:tcPr>
          <w:p>
            <w:pPr>
              <w:pStyle w:val="TableParagraph"/>
              <w:spacing w:line="253" w:lineRule="exact"/>
              <w:ind w:right="82"/>
              <w:jc w:val="center"/>
              <w:rPr>
                <w:sz w:val="24"/>
              </w:rPr>
            </w:pPr>
            <w:r>
              <w:rPr>
                <w:spacing w:val="-2"/>
                <w:sz w:val="24"/>
              </w:rPr>
              <w:t>.5151</w:t>
            </w:r>
          </w:p>
        </w:tc>
        <w:tc>
          <w:tcPr>
            <w:tcW w:w="1565" w:type="dxa"/>
            <w:tcBorders>
              <w:top w:val="single" w:sz="4" w:space="0" w:color="000000"/>
              <w:bottom w:val="single" w:sz="4" w:space="0" w:color="000000"/>
              <w:right w:val="single" w:sz="4" w:space="0" w:color="000000"/>
            </w:tcBorders>
          </w:tcPr>
          <w:p>
            <w:pPr>
              <w:pStyle w:val="TableParagraph"/>
              <w:spacing w:line="253" w:lineRule="exact"/>
              <w:ind w:left="98"/>
              <w:jc w:val="center"/>
              <w:rPr>
                <w:sz w:val="24"/>
              </w:rPr>
            </w:pPr>
            <w:r>
              <w:rPr>
                <w:spacing w:val="-2"/>
                <w:sz w:val="24"/>
              </w:rPr>
              <w:t>.0241</w:t>
            </w:r>
          </w:p>
        </w:tc>
      </w:tr>
      <w:tr>
        <w:trPr>
          <w:trHeight w:val="276" w:hRule="atLeast"/>
        </w:trPr>
        <w:tc>
          <w:tcPr>
            <w:tcW w:w="1612" w:type="dxa"/>
            <w:tcBorders>
              <w:top w:val="single" w:sz="4" w:space="0" w:color="000000"/>
              <w:left w:val="single" w:sz="4" w:space="0" w:color="000000"/>
            </w:tcBorders>
          </w:tcPr>
          <w:p>
            <w:pPr>
              <w:pStyle w:val="TableParagraph"/>
              <w:spacing w:line="257" w:lineRule="exact"/>
              <w:ind w:left="91"/>
              <w:rPr>
                <w:sz w:val="24"/>
              </w:rPr>
            </w:pPr>
            <w:r>
              <w:rPr>
                <w:spacing w:val="-2"/>
                <w:sz w:val="24"/>
              </w:rPr>
              <w:t>Library</w:t>
            </w:r>
          </w:p>
        </w:tc>
        <w:tc>
          <w:tcPr>
            <w:tcW w:w="2066" w:type="dxa"/>
            <w:tcBorders>
              <w:top w:val="single" w:sz="4" w:space="0" w:color="000000"/>
            </w:tcBorders>
          </w:tcPr>
          <w:p>
            <w:pPr>
              <w:pStyle w:val="TableParagraph"/>
              <w:spacing w:line="257" w:lineRule="exact"/>
              <w:ind w:left="576"/>
              <w:rPr>
                <w:sz w:val="24"/>
              </w:rPr>
            </w:pPr>
            <w:r>
              <w:rPr>
                <w:spacing w:val="-2"/>
                <w:sz w:val="24"/>
              </w:rPr>
              <w:t>Student</w:t>
            </w:r>
          </w:p>
        </w:tc>
        <w:tc>
          <w:tcPr>
            <w:tcW w:w="966" w:type="dxa"/>
            <w:tcBorders>
              <w:top w:val="single" w:sz="4" w:space="0" w:color="000000"/>
            </w:tcBorders>
          </w:tcPr>
          <w:p>
            <w:pPr>
              <w:pStyle w:val="TableParagraph"/>
              <w:spacing w:line="257" w:lineRule="exact"/>
              <w:ind w:left="172"/>
              <w:jc w:val="center"/>
              <w:rPr>
                <w:sz w:val="24"/>
              </w:rPr>
            </w:pPr>
            <w:r>
              <w:rPr>
                <w:spacing w:val="-5"/>
                <w:sz w:val="24"/>
              </w:rPr>
              <w:t>231</w:t>
            </w:r>
          </w:p>
        </w:tc>
        <w:tc>
          <w:tcPr>
            <w:tcW w:w="1290" w:type="dxa"/>
            <w:tcBorders>
              <w:top w:val="single" w:sz="4" w:space="0" w:color="000000"/>
            </w:tcBorders>
          </w:tcPr>
          <w:p>
            <w:pPr>
              <w:pStyle w:val="TableParagraph"/>
              <w:spacing w:line="257" w:lineRule="exact"/>
              <w:ind w:right="132"/>
              <w:jc w:val="center"/>
              <w:rPr>
                <w:sz w:val="24"/>
              </w:rPr>
            </w:pPr>
            <w:r>
              <w:rPr>
                <w:spacing w:val="-2"/>
                <w:sz w:val="24"/>
              </w:rPr>
              <w:t>3.873</w:t>
            </w:r>
          </w:p>
        </w:tc>
        <w:tc>
          <w:tcPr>
            <w:tcW w:w="1540" w:type="dxa"/>
            <w:tcBorders>
              <w:top w:val="single" w:sz="4" w:space="0" w:color="000000"/>
            </w:tcBorders>
          </w:tcPr>
          <w:p>
            <w:pPr>
              <w:pStyle w:val="TableParagraph"/>
              <w:spacing w:line="257" w:lineRule="exact"/>
              <w:ind w:right="82"/>
              <w:jc w:val="center"/>
              <w:rPr>
                <w:sz w:val="24"/>
              </w:rPr>
            </w:pPr>
            <w:r>
              <w:rPr>
                <w:spacing w:val="-2"/>
                <w:sz w:val="24"/>
              </w:rPr>
              <w:t>.4906</w:t>
            </w:r>
          </w:p>
        </w:tc>
        <w:tc>
          <w:tcPr>
            <w:tcW w:w="1565" w:type="dxa"/>
            <w:tcBorders>
              <w:top w:val="single" w:sz="4" w:space="0" w:color="000000"/>
              <w:right w:val="single" w:sz="4" w:space="0" w:color="000000"/>
            </w:tcBorders>
          </w:tcPr>
          <w:p>
            <w:pPr>
              <w:pStyle w:val="TableParagraph"/>
              <w:spacing w:line="257" w:lineRule="exact"/>
              <w:ind w:left="98"/>
              <w:jc w:val="center"/>
              <w:rPr>
                <w:sz w:val="24"/>
              </w:rPr>
            </w:pPr>
            <w:r>
              <w:rPr>
                <w:spacing w:val="-2"/>
                <w:sz w:val="24"/>
              </w:rPr>
              <w:t>.0323</w:t>
            </w:r>
          </w:p>
        </w:tc>
      </w:tr>
      <w:tr>
        <w:trPr>
          <w:trHeight w:val="275" w:hRule="atLeast"/>
        </w:trPr>
        <w:tc>
          <w:tcPr>
            <w:tcW w:w="1612" w:type="dxa"/>
            <w:tcBorders>
              <w:left w:val="single" w:sz="4" w:space="0" w:color="000000"/>
            </w:tcBorders>
          </w:tcPr>
          <w:p>
            <w:pPr>
              <w:pStyle w:val="TableParagraph"/>
              <w:rPr>
                <w:rFonts w:ascii="Times New Roman"/>
                <w:sz w:val="20"/>
              </w:rPr>
            </w:pPr>
          </w:p>
        </w:tc>
        <w:tc>
          <w:tcPr>
            <w:tcW w:w="2066" w:type="dxa"/>
          </w:tcPr>
          <w:p>
            <w:pPr>
              <w:pStyle w:val="TableParagraph"/>
              <w:spacing w:line="256" w:lineRule="exact"/>
              <w:ind w:left="576"/>
              <w:rPr>
                <w:sz w:val="24"/>
              </w:rPr>
            </w:pPr>
            <w:r>
              <w:rPr>
                <w:spacing w:val="-4"/>
                <w:sz w:val="24"/>
              </w:rPr>
              <w:t>Staff</w:t>
            </w:r>
          </w:p>
        </w:tc>
        <w:tc>
          <w:tcPr>
            <w:tcW w:w="966" w:type="dxa"/>
          </w:tcPr>
          <w:p>
            <w:pPr>
              <w:pStyle w:val="TableParagraph"/>
              <w:spacing w:line="256" w:lineRule="exact"/>
              <w:ind w:left="172"/>
              <w:jc w:val="center"/>
              <w:rPr>
                <w:sz w:val="24"/>
              </w:rPr>
            </w:pPr>
            <w:r>
              <w:rPr>
                <w:spacing w:val="-5"/>
                <w:sz w:val="24"/>
              </w:rPr>
              <w:t>199</w:t>
            </w:r>
          </w:p>
        </w:tc>
        <w:tc>
          <w:tcPr>
            <w:tcW w:w="1290" w:type="dxa"/>
          </w:tcPr>
          <w:p>
            <w:pPr>
              <w:pStyle w:val="TableParagraph"/>
              <w:spacing w:line="256" w:lineRule="exact"/>
              <w:ind w:right="132"/>
              <w:jc w:val="center"/>
              <w:rPr>
                <w:sz w:val="24"/>
              </w:rPr>
            </w:pPr>
            <w:r>
              <w:rPr>
                <w:spacing w:val="-2"/>
                <w:sz w:val="24"/>
              </w:rPr>
              <w:t>3.702</w:t>
            </w:r>
          </w:p>
        </w:tc>
        <w:tc>
          <w:tcPr>
            <w:tcW w:w="1540" w:type="dxa"/>
          </w:tcPr>
          <w:p>
            <w:pPr>
              <w:pStyle w:val="TableParagraph"/>
              <w:spacing w:line="256" w:lineRule="exact"/>
              <w:ind w:right="82"/>
              <w:jc w:val="center"/>
              <w:rPr>
                <w:sz w:val="24"/>
              </w:rPr>
            </w:pPr>
            <w:r>
              <w:rPr>
                <w:spacing w:val="-2"/>
                <w:sz w:val="24"/>
              </w:rPr>
              <w:t>.5188</w:t>
            </w:r>
          </w:p>
        </w:tc>
        <w:tc>
          <w:tcPr>
            <w:tcW w:w="1565" w:type="dxa"/>
            <w:tcBorders>
              <w:right w:val="single" w:sz="4" w:space="0" w:color="000000"/>
            </w:tcBorders>
          </w:tcPr>
          <w:p>
            <w:pPr>
              <w:pStyle w:val="TableParagraph"/>
              <w:spacing w:line="256" w:lineRule="exact"/>
              <w:ind w:left="98"/>
              <w:jc w:val="center"/>
              <w:rPr>
                <w:sz w:val="24"/>
              </w:rPr>
            </w:pPr>
            <w:r>
              <w:rPr>
                <w:spacing w:val="-2"/>
                <w:sz w:val="24"/>
              </w:rPr>
              <w:t>.0368</w:t>
            </w:r>
          </w:p>
        </w:tc>
      </w:tr>
      <w:tr>
        <w:trPr>
          <w:trHeight w:val="277" w:hRule="atLeast"/>
        </w:trPr>
        <w:tc>
          <w:tcPr>
            <w:tcW w:w="1612" w:type="dxa"/>
            <w:tcBorders>
              <w:left w:val="single" w:sz="4" w:space="0" w:color="000000"/>
              <w:bottom w:val="single" w:sz="4" w:space="0" w:color="000000"/>
            </w:tcBorders>
          </w:tcPr>
          <w:p>
            <w:pPr>
              <w:pStyle w:val="TableParagraph"/>
              <w:rPr>
                <w:rFonts w:ascii="Times New Roman"/>
                <w:sz w:val="20"/>
              </w:rPr>
            </w:pPr>
          </w:p>
        </w:tc>
        <w:tc>
          <w:tcPr>
            <w:tcW w:w="2066" w:type="dxa"/>
            <w:tcBorders>
              <w:bottom w:val="single" w:sz="4" w:space="0" w:color="000000"/>
            </w:tcBorders>
          </w:tcPr>
          <w:p>
            <w:pPr>
              <w:pStyle w:val="TableParagraph"/>
              <w:spacing w:line="257" w:lineRule="exact"/>
              <w:ind w:left="576"/>
              <w:rPr>
                <w:sz w:val="24"/>
              </w:rPr>
            </w:pPr>
            <w:r>
              <w:rPr>
                <w:spacing w:val="-2"/>
                <w:sz w:val="24"/>
              </w:rPr>
              <w:t>Managmet</w:t>
            </w:r>
          </w:p>
        </w:tc>
        <w:tc>
          <w:tcPr>
            <w:tcW w:w="966" w:type="dxa"/>
            <w:tcBorders>
              <w:bottom w:val="single" w:sz="4" w:space="0" w:color="000000"/>
            </w:tcBorders>
          </w:tcPr>
          <w:p>
            <w:pPr>
              <w:pStyle w:val="TableParagraph"/>
              <w:spacing w:line="257" w:lineRule="exact"/>
              <w:ind w:left="172" w:right="9"/>
              <w:jc w:val="center"/>
              <w:rPr>
                <w:sz w:val="24"/>
              </w:rPr>
            </w:pPr>
            <w:r>
              <w:rPr>
                <w:spacing w:val="-5"/>
                <w:sz w:val="24"/>
              </w:rPr>
              <w:t>23</w:t>
            </w:r>
          </w:p>
        </w:tc>
        <w:tc>
          <w:tcPr>
            <w:tcW w:w="1290" w:type="dxa"/>
            <w:tcBorders>
              <w:bottom w:val="single" w:sz="4" w:space="0" w:color="000000"/>
            </w:tcBorders>
          </w:tcPr>
          <w:p>
            <w:pPr>
              <w:pStyle w:val="TableParagraph"/>
              <w:spacing w:line="257" w:lineRule="exact"/>
              <w:ind w:right="132"/>
              <w:jc w:val="center"/>
              <w:rPr>
                <w:sz w:val="24"/>
              </w:rPr>
            </w:pPr>
            <w:r>
              <w:rPr>
                <w:spacing w:val="-2"/>
                <w:sz w:val="24"/>
              </w:rPr>
              <w:t>3.826</w:t>
            </w:r>
          </w:p>
        </w:tc>
        <w:tc>
          <w:tcPr>
            <w:tcW w:w="1540" w:type="dxa"/>
            <w:tcBorders>
              <w:bottom w:val="single" w:sz="4" w:space="0" w:color="000000"/>
            </w:tcBorders>
          </w:tcPr>
          <w:p>
            <w:pPr>
              <w:pStyle w:val="TableParagraph"/>
              <w:spacing w:line="257" w:lineRule="exact"/>
              <w:ind w:right="82"/>
              <w:jc w:val="center"/>
              <w:rPr>
                <w:sz w:val="24"/>
              </w:rPr>
            </w:pPr>
            <w:r>
              <w:rPr>
                <w:spacing w:val="-2"/>
                <w:sz w:val="24"/>
              </w:rPr>
              <w:t>.7286</w:t>
            </w:r>
          </w:p>
        </w:tc>
        <w:tc>
          <w:tcPr>
            <w:tcW w:w="1565" w:type="dxa"/>
            <w:tcBorders>
              <w:bottom w:val="single" w:sz="4" w:space="0" w:color="000000"/>
              <w:right w:val="single" w:sz="4" w:space="0" w:color="000000"/>
            </w:tcBorders>
          </w:tcPr>
          <w:p>
            <w:pPr>
              <w:pStyle w:val="TableParagraph"/>
              <w:spacing w:line="257" w:lineRule="exact"/>
              <w:ind w:left="98"/>
              <w:jc w:val="center"/>
              <w:rPr>
                <w:sz w:val="24"/>
              </w:rPr>
            </w:pPr>
            <w:r>
              <w:rPr>
                <w:spacing w:val="-2"/>
                <w:sz w:val="24"/>
              </w:rPr>
              <w:t>.1519</w:t>
            </w:r>
          </w:p>
        </w:tc>
      </w:tr>
      <w:tr>
        <w:trPr>
          <w:trHeight w:val="277" w:hRule="atLeast"/>
        </w:trPr>
        <w:tc>
          <w:tcPr>
            <w:tcW w:w="1612"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2066" w:type="dxa"/>
            <w:tcBorders>
              <w:top w:val="single" w:sz="4" w:space="0" w:color="000000"/>
              <w:bottom w:val="single" w:sz="4" w:space="0" w:color="000000"/>
            </w:tcBorders>
          </w:tcPr>
          <w:p>
            <w:pPr>
              <w:pStyle w:val="TableParagraph"/>
              <w:spacing w:line="258" w:lineRule="exact"/>
              <w:ind w:left="576"/>
              <w:rPr>
                <w:sz w:val="24"/>
              </w:rPr>
            </w:pPr>
            <w:r>
              <w:rPr>
                <w:spacing w:val="-2"/>
                <w:sz w:val="24"/>
              </w:rPr>
              <w:t>Total</w:t>
            </w:r>
          </w:p>
        </w:tc>
        <w:tc>
          <w:tcPr>
            <w:tcW w:w="966" w:type="dxa"/>
            <w:tcBorders>
              <w:top w:val="single" w:sz="4" w:space="0" w:color="000000"/>
              <w:bottom w:val="single" w:sz="4" w:space="0" w:color="000000"/>
            </w:tcBorders>
          </w:tcPr>
          <w:p>
            <w:pPr>
              <w:pStyle w:val="TableParagraph"/>
              <w:spacing w:line="258" w:lineRule="exact"/>
              <w:ind w:left="172"/>
              <w:jc w:val="center"/>
              <w:rPr>
                <w:sz w:val="24"/>
              </w:rPr>
            </w:pPr>
            <w:r>
              <w:rPr>
                <w:spacing w:val="-5"/>
                <w:sz w:val="24"/>
              </w:rPr>
              <w:t>453</w:t>
            </w:r>
          </w:p>
        </w:tc>
        <w:tc>
          <w:tcPr>
            <w:tcW w:w="1290" w:type="dxa"/>
            <w:tcBorders>
              <w:top w:val="single" w:sz="4" w:space="0" w:color="000000"/>
              <w:bottom w:val="single" w:sz="4" w:space="0" w:color="000000"/>
            </w:tcBorders>
          </w:tcPr>
          <w:p>
            <w:pPr>
              <w:pStyle w:val="TableParagraph"/>
              <w:spacing w:line="258" w:lineRule="exact"/>
              <w:ind w:right="132"/>
              <w:jc w:val="center"/>
              <w:rPr>
                <w:sz w:val="24"/>
              </w:rPr>
            </w:pPr>
            <w:r>
              <w:rPr>
                <w:spacing w:val="-2"/>
                <w:sz w:val="24"/>
              </w:rPr>
              <w:t>3.796</w:t>
            </w:r>
          </w:p>
        </w:tc>
        <w:tc>
          <w:tcPr>
            <w:tcW w:w="1540" w:type="dxa"/>
            <w:tcBorders>
              <w:top w:val="single" w:sz="4" w:space="0" w:color="000000"/>
              <w:bottom w:val="single" w:sz="4" w:space="0" w:color="000000"/>
            </w:tcBorders>
          </w:tcPr>
          <w:p>
            <w:pPr>
              <w:pStyle w:val="TableParagraph"/>
              <w:spacing w:line="258" w:lineRule="exact"/>
              <w:ind w:right="82"/>
              <w:jc w:val="center"/>
              <w:rPr>
                <w:sz w:val="24"/>
              </w:rPr>
            </w:pPr>
            <w:r>
              <w:rPr>
                <w:spacing w:val="-2"/>
                <w:sz w:val="24"/>
              </w:rPr>
              <w:t>.5227</w:t>
            </w:r>
          </w:p>
        </w:tc>
        <w:tc>
          <w:tcPr>
            <w:tcW w:w="1565" w:type="dxa"/>
            <w:tcBorders>
              <w:top w:val="single" w:sz="4" w:space="0" w:color="000000"/>
              <w:bottom w:val="single" w:sz="4" w:space="0" w:color="000000"/>
              <w:right w:val="single" w:sz="4" w:space="0" w:color="000000"/>
            </w:tcBorders>
          </w:tcPr>
          <w:p>
            <w:pPr>
              <w:pStyle w:val="TableParagraph"/>
              <w:spacing w:line="258" w:lineRule="exact"/>
              <w:ind w:left="98"/>
              <w:jc w:val="center"/>
              <w:rPr>
                <w:sz w:val="24"/>
              </w:rPr>
            </w:pPr>
            <w:r>
              <w:rPr>
                <w:spacing w:val="-2"/>
                <w:sz w:val="24"/>
              </w:rPr>
              <w:t>.0246</w:t>
            </w:r>
          </w:p>
        </w:tc>
      </w:tr>
      <w:tr>
        <w:trPr>
          <w:trHeight w:val="274" w:hRule="atLeast"/>
        </w:trPr>
        <w:tc>
          <w:tcPr>
            <w:tcW w:w="1612" w:type="dxa"/>
            <w:tcBorders>
              <w:top w:val="single" w:sz="4" w:space="0" w:color="000000"/>
              <w:left w:val="single" w:sz="4" w:space="0" w:color="000000"/>
            </w:tcBorders>
          </w:tcPr>
          <w:p>
            <w:pPr>
              <w:pStyle w:val="TableParagraph"/>
              <w:spacing w:line="254" w:lineRule="exact"/>
              <w:ind w:left="91"/>
              <w:rPr>
                <w:sz w:val="24"/>
              </w:rPr>
            </w:pPr>
            <w:r>
              <w:rPr>
                <w:spacing w:val="-2"/>
                <w:sz w:val="24"/>
              </w:rPr>
              <w:t>Classi</w:t>
            </w:r>
          </w:p>
        </w:tc>
        <w:tc>
          <w:tcPr>
            <w:tcW w:w="2066" w:type="dxa"/>
            <w:tcBorders>
              <w:top w:val="single" w:sz="4" w:space="0" w:color="000000"/>
            </w:tcBorders>
          </w:tcPr>
          <w:p>
            <w:pPr>
              <w:pStyle w:val="TableParagraph"/>
              <w:spacing w:line="254" w:lineRule="exact"/>
              <w:ind w:left="576"/>
              <w:rPr>
                <w:sz w:val="24"/>
              </w:rPr>
            </w:pPr>
            <w:r>
              <w:rPr>
                <w:spacing w:val="-2"/>
                <w:sz w:val="24"/>
              </w:rPr>
              <w:t>Student</w:t>
            </w:r>
          </w:p>
        </w:tc>
        <w:tc>
          <w:tcPr>
            <w:tcW w:w="966" w:type="dxa"/>
            <w:tcBorders>
              <w:top w:val="single" w:sz="4" w:space="0" w:color="000000"/>
            </w:tcBorders>
          </w:tcPr>
          <w:p>
            <w:pPr>
              <w:pStyle w:val="TableParagraph"/>
              <w:spacing w:line="254" w:lineRule="exact"/>
              <w:ind w:left="172"/>
              <w:jc w:val="center"/>
              <w:rPr>
                <w:sz w:val="24"/>
              </w:rPr>
            </w:pPr>
            <w:r>
              <w:rPr>
                <w:spacing w:val="-5"/>
                <w:sz w:val="24"/>
              </w:rPr>
              <w:t>233</w:t>
            </w:r>
          </w:p>
        </w:tc>
        <w:tc>
          <w:tcPr>
            <w:tcW w:w="1290" w:type="dxa"/>
            <w:tcBorders>
              <w:top w:val="single" w:sz="4" w:space="0" w:color="000000"/>
            </w:tcBorders>
          </w:tcPr>
          <w:p>
            <w:pPr>
              <w:pStyle w:val="TableParagraph"/>
              <w:spacing w:line="254" w:lineRule="exact"/>
              <w:ind w:right="132"/>
              <w:jc w:val="center"/>
              <w:rPr>
                <w:sz w:val="24"/>
              </w:rPr>
            </w:pPr>
            <w:r>
              <w:rPr>
                <w:spacing w:val="-2"/>
                <w:sz w:val="24"/>
              </w:rPr>
              <w:t>4.246</w:t>
            </w:r>
          </w:p>
        </w:tc>
        <w:tc>
          <w:tcPr>
            <w:tcW w:w="1540" w:type="dxa"/>
            <w:tcBorders>
              <w:top w:val="single" w:sz="4" w:space="0" w:color="000000"/>
            </w:tcBorders>
          </w:tcPr>
          <w:p>
            <w:pPr>
              <w:pStyle w:val="TableParagraph"/>
              <w:spacing w:line="254" w:lineRule="exact"/>
              <w:ind w:right="82"/>
              <w:jc w:val="center"/>
              <w:rPr>
                <w:sz w:val="24"/>
              </w:rPr>
            </w:pPr>
            <w:r>
              <w:rPr>
                <w:spacing w:val="-2"/>
                <w:sz w:val="24"/>
              </w:rPr>
              <w:t>.7063</w:t>
            </w:r>
          </w:p>
        </w:tc>
        <w:tc>
          <w:tcPr>
            <w:tcW w:w="1565" w:type="dxa"/>
            <w:tcBorders>
              <w:top w:val="single" w:sz="4" w:space="0" w:color="000000"/>
              <w:right w:val="single" w:sz="4" w:space="0" w:color="000000"/>
            </w:tcBorders>
          </w:tcPr>
          <w:p>
            <w:pPr>
              <w:pStyle w:val="TableParagraph"/>
              <w:spacing w:line="254" w:lineRule="exact"/>
              <w:ind w:left="98"/>
              <w:jc w:val="center"/>
              <w:rPr>
                <w:sz w:val="24"/>
              </w:rPr>
            </w:pPr>
            <w:r>
              <w:rPr>
                <w:spacing w:val="-2"/>
                <w:sz w:val="24"/>
              </w:rPr>
              <w:t>.0463</w:t>
            </w:r>
          </w:p>
        </w:tc>
      </w:tr>
      <w:tr>
        <w:trPr>
          <w:trHeight w:val="276" w:hRule="atLeast"/>
        </w:trPr>
        <w:tc>
          <w:tcPr>
            <w:tcW w:w="1612" w:type="dxa"/>
            <w:tcBorders>
              <w:left w:val="single" w:sz="4" w:space="0" w:color="000000"/>
            </w:tcBorders>
          </w:tcPr>
          <w:p>
            <w:pPr>
              <w:pStyle w:val="TableParagraph"/>
              <w:rPr>
                <w:rFonts w:ascii="Times New Roman"/>
                <w:sz w:val="20"/>
              </w:rPr>
            </w:pPr>
          </w:p>
        </w:tc>
        <w:tc>
          <w:tcPr>
            <w:tcW w:w="2066" w:type="dxa"/>
          </w:tcPr>
          <w:p>
            <w:pPr>
              <w:pStyle w:val="TableParagraph"/>
              <w:spacing w:line="256" w:lineRule="exact"/>
              <w:ind w:left="576"/>
              <w:rPr>
                <w:sz w:val="24"/>
              </w:rPr>
            </w:pPr>
            <w:r>
              <w:rPr>
                <w:spacing w:val="-4"/>
                <w:sz w:val="24"/>
              </w:rPr>
              <w:t>Staff</w:t>
            </w:r>
          </w:p>
        </w:tc>
        <w:tc>
          <w:tcPr>
            <w:tcW w:w="966" w:type="dxa"/>
          </w:tcPr>
          <w:p>
            <w:pPr>
              <w:pStyle w:val="TableParagraph"/>
              <w:spacing w:line="256" w:lineRule="exact"/>
              <w:ind w:left="172"/>
              <w:jc w:val="center"/>
              <w:rPr>
                <w:sz w:val="24"/>
              </w:rPr>
            </w:pPr>
            <w:r>
              <w:rPr>
                <w:spacing w:val="-5"/>
                <w:sz w:val="24"/>
              </w:rPr>
              <w:t>196</w:t>
            </w:r>
          </w:p>
        </w:tc>
        <w:tc>
          <w:tcPr>
            <w:tcW w:w="1290" w:type="dxa"/>
          </w:tcPr>
          <w:p>
            <w:pPr>
              <w:pStyle w:val="TableParagraph"/>
              <w:spacing w:line="256" w:lineRule="exact"/>
              <w:ind w:right="132"/>
              <w:jc w:val="center"/>
              <w:rPr>
                <w:sz w:val="24"/>
              </w:rPr>
            </w:pPr>
            <w:r>
              <w:rPr>
                <w:spacing w:val="-2"/>
                <w:sz w:val="24"/>
              </w:rPr>
              <w:t>4.158</w:t>
            </w:r>
          </w:p>
        </w:tc>
        <w:tc>
          <w:tcPr>
            <w:tcW w:w="1540" w:type="dxa"/>
          </w:tcPr>
          <w:p>
            <w:pPr>
              <w:pStyle w:val="TableParagraph"/>
              <w:spacing w:line="256" w:lineRule="exact"/>
              <w:ind w:right="82"/>
              <w:jc w:val="center"/>
              <w:rPr>
                <w:sz w:val="24"/>
              </w:rPr>
            </w:pPr>
            <w:r>
              <w:rPr>
                <w:spacing w:val="-2"/>
                <w:sz w:val="24"/>
              </w:rPr>
              <w:t>.7267</w:t>
            </w:r>
          </w:p>
        </w:tc>
        <w:tc>
          <w:tcPr>
            <w:tcW w:w="1565" w:type="dxa"/>
            <w:tcBorders>
              <w:right w:val="single" w:sz="4" w:space="0" w:color="000000"/>
            </w:tcBorders>
          </w:tcPr>
          <w:p>
            <w:pPr>
              <w:pStyle w:val="TableParagraph"/>
              <w:spacing w:line="256" w:lineRule="exact"/>
              <w:ind w:left="98"/>
              <w:jc w:val="center"/>
              <w:rPr>
                <w:sz w:val="24"/>
              </w:rPr>
            </w:pPr>
            <w:r>
              <w:rPr>
                <w:spacing w:val="-2"/>
                <w:sz w:val="24"/>
              </w:rPr>
              <w:t>.0519</w:t>
            </w:r>
          </w:p>
        </w:tc>
      </w:tr>
      <w:tr>
        <w:trPr>
          <w:trHeight w:val="275" w:hRule="atLeast"/>
        </w:trPr>
        <w:tc>
          <w:tcPr>
            <w:tcW w:w="1612" w:type="dxa"/>
            <w:tcBorders>
              <w:left w:val="single" w:sz="4" w:space="0" w:color="000000"/>
              <w:bottom w:val="single" w:sz="4" w:space="0" w:color="000000"/>
            </w:tcBorders>
          </w:tcPr>
          <w:p>
            <w:pPr>
              <w:pStyle w:val="TableParagraph"/>
              <w:rPr>
                <w:rFonts w:ascii="Times New Roman"/>
                <w:sz w:val="20"/>
              </w:rPr>
            </w:pPr>
          </w:p>
        </w:tc>
        <w:tc>
          <w:tcPr>
            <w:tcW w:w="2066" w:type="dxa"/>
            <w:tcBorders>
              <w:bottom w:val="single" w:sz="4" w:space="0" w:color="000000"/>
            </w:tcBorders>
          </w:tcPr>
          <w:p>
            <w:pPr>
              <w:pStyle w:val="TableParagraph"/>
              <w:spacing w:line="255" w:lineRule="exact"/>
              <w:ind w:left="576"/>
              <w:rPr>
                <w:sz w:val="24"/>
              </w:rPr>
            </w:pPr>
            <w:r>
              <w:rPr>
                <w:spacing w:val="-2"/>
                <w:sz w:val="24"/>
              </w:rPr>
              <w:t>Managmet</w:t>
            </w:r>
          </w:p>
        </w:tc>
        <w:tc>
          <w:tcPr>
            <w:tcW w:w="966" w:type="dxa"/>
            <w:tcBorders>
              <w:bottom w:val="single" w:sz="4" w:space="0" w:color="000000"/>
            </w:tcBorders>
          </w:tcPr>
          <w:p>
            <w:pPr>
              <w:pStyle w:val="TableParagraph"/>
              <w:spacing w:line="255" w:lineRule="exact"/>
              <w:ind w:left="172" w:right="9"/>
              <w:jc w:val="center"/>
              <w:rPr>
                <w:sz w:val="24"/>
              </w:rPr>
            </w:pPr>
            <w:r>
              <w:rPr>
                <w:spacing w:val="-5"/>
                <w:sz w:val="24"/>
              </w:rPr>
              <w:t>23</w:t>
            </w:r>
          </w:p>
        </w:tc>
        <w:tc>
          <w:tcPr>
            <w:tcW w:w="1290" w:type="dxa"/>
            <w:tcBorders>
              <w:bottom w:val="single" w:sz="4" w:space="0" w:color="000000"/>
            </w:tcBorders>
          </w:tcPr>
          <w:p>
            <w:pPr>
              <w:pStyle w:val="TableParagraph"/>
              <w:spacing w:line="255" w:lineRule="exact"/>
              <w:ind w:right="132"/>
              <w:jc w:val="center"/>
              <w:rPr>
                <w:sz w:val="24"/>
              </w:rPr>
            </w:pPr>
            <w:r>
              <w:rPr>
                <w:spacing w:val="-2"/>
                <w:sz w:val="24"/>
              </w:rPr>
              <w:t>4.380</w:t>
            </w:r>
          </w:p>
        </w:tc>
        <w:tc>
          <w:tcPr>
            <w:tcW w:w="1540" w:type="dxa"/>
            <w:tcBorders>
              <w:bottom w:val="single" w:sz="4" w:space="0" w:color="000000"/>
            </w:tcBorders>
          </w:tcPr>
          <w:p>
            <w:pPr>
              <w:pStyle w:val="TableParagraph"/>
              <w:spacing w:line="255" w:lineRule="exact"/>
              <w:ind w:right="82"/>
              <w:jc w:val="center"/>
              <w:rPr>
                <w:sz w:val="24"/>
              </w:rPr>
            </w:pPr>
            <w:r>
              <w:rPr>
                <w:spacing w:val="-2"/>
                <w:sz w:val="24"/>
              </w:rPr>
              <w:t>.4188</w:t>
            </w:r>
          </w:p>
        </w:tc>
        <w:tc>
          <w:tcPr>
            <w:tcW w:w="1565" w:type="dxa"/>
            <w:tcBorders>
              <w:bottom w:val="single" w:sz="4" w:space="0" w:color="000000"/>
              <w:right w:val="single" w:sz="4" w:space="0" w:color="000000"/>
            </w:tcBorders>
          </w:tcPr>
          <w:p>
            <w:pPr>
              <w:pStyle w:val="TableParagraph"/>
              <w:spacing w:line="255" w:lineRule="exact"/>
              <w:ind w:left="98"/>
              <w:jc w:val="center"/>
              <w:rPr>
                <w:sz w:val="24"/>
              </w:rPr>
            </w:pPr>
            <w:r>
              <w:rPr>
                <w:spacing w:val="-2"/>
                <w:sz w:val="24"/>
              </w:rPr>
              <w:t>.0873</w:t>
            </w:r>
          </w:p>
        </w:tc>
      </w:tr>
      <w:tr>
        <w:trPr>
          <w:trHeight w:val="278" w:hRule="atLeast"/>
        </w:trPr>
        <w:tc>
          <w:tcPr>
            <w:tcW w:w="1612"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2066" w:type="dxa"/>
            <w:tcBorders>
              <w:top w:val="single" w:sz="4" w:space="0" w:color="000000"/>
              <w:bottom w:val="single" w:sz="4" w:space="0" w:color="000000"/>
            </w:tcBorders>
          </w:tcPr>
          <w:p>
            <w:pPr>
              <w:pStyle w:val="TableParagraph"/>
              <w:spacing w:line="258" w:lineRule="exact"/>
              <w:ind w:left="576"/>
              <w:rPr>
                <w:sz w:val="24"/>
              </w:rPr>
            </w:pPr>
            <w:r>
              <w:rPr>
                <w:spacing w:val="-2"/>
                <w:sz w:val="24"/>
              </w:rPr>
              <w:t>Total</w:t>
            </w:r>
          </w:p>
        </w:tc>
        <w:tc>
          <w:tcPr>
            <w:tcW w:w="966" w:type="dxa"/>
            <w:tcBorders>
              <w:top w:val="single" w:sz="4" w:space="0" w:color="000000"/>
              <w:bottom w:val="single" w:sz="4" w:space="0" w:color="000000"/>
            </w:tcBorders>
          </w:tcPr>
          <w:p>
            <w:pPr>
              <w:pStyle w:val="TableParagraph"/>
              <w:spacing w:line="258" w:lineRule="exact"/>
              <w:ind w:left="172"/>
              <w:jc w:val="center"/>
              <w:rPr>
                <w:sz w:val="24"/>
              </w:rPr>
            </w:pPr>
            <w:r>
              <w:rPr>
                <w:spacing w:val="-5"/>
                <w:sz w:val="24"/>
              </w:rPr>
              <w:t>452</w:t>
            </w:r>
          </w:p>
        </w:tc>
        <w:tc>
          <w:tcPr>
            <w:tcW w:w="1290" w:type="dxa"/>
            <w:tcBorders>
              <w:top w:val="single" w:sz="4" w:space="0" w:color="000000"/>
              <w:bottom w:val="single" w:sz="4" w:space="0" w:color="000000"/>
            </w:tcBorders>
          </w:tcPr>
          <w:p>
            <w:pPr>
              <w:pStyle w:val="TableParagraph"/>
              <w:spacing w:line="258" w:lineRule="exact"/>
              <w:ind w:right="132"/>
              <w:jc w:val="center"/>
              <w:rPr>
                <w:sz w:val="24"/>
              </w:rPr>
            </w:pPr>
            <w:r>
              <w:rPr>
                <w:spacing w:val="-2"/>
                <w:sz w:val="24"/>
              </w:rPr>
              <w:t>4.215</w:t>
            </w:r>
          </w:p>
        </w:tc>
        <w:tc>
          <w:tcPr>
            <w:tcW w:w="1540" w:type="dxa"/>
            <w:tcBorders>
              <w:top w:val="single" w:sz="4" w:space="0" w:color="000000"/>
              <w:bottom w:val="single" w:sz="4" w:space="0" w:color="000000"/>
            </w:tcBorders>
          </w:tcPr>
          <w:p>
            <w:pPr>
              <w:pStyle w:val="TableParagraph"/>
              <w:spacing w:line="258" w:lineRule="exact"/>
              <w:ind w:right="82"/>
              <w:jc w:val="center"/>
              <w:rPr>
                <w:sz w:val="24"/>
              </w:rPr>
            </w:pPr>
            <w:r>
              <w:rPr>
                <w:spacing w:val="-2"/>
                <w:sz w:val="24"/>
              </w:rPr>
              <w:t>.7048</w:t>
            </w:r>
          </w:p>
        </w:tc>
        <w:tc>
          <w:tcPr>
            <w:tcW w:w="1565" w:type="dxa"/>
            <w:tcBorders>
              <w:top w:val="single" w:sz="4" w:space="0" w:color="000000"/>
              <w:bottom w:val="single" w:sz="4" w:space="0" w:color="000000"/>
              <w:right w:val="single" w:sz="4" w:space="0" w:color="000000"/>
            </w:tcBorders>
          </w:tcPr>
          <w:p>
            <w:pPr>
              <w:pStyle w:val="TableParagraph"/>
              <w:spacing w:line="258" w:lineRule="exact"/>
              <w:ind w:left="98"/>
              <w:jc w:val="center"/>
              <w:rPr>
                <w:sz w:val="24"/>
              </w:rPr>
            </w:pPr>
            <w:r>
              <w:rPr>
                <w:spacing w:val="-2"/>
                <w:sz w:val="24"/>
              </w:rPr>
              <w:t>.0332</w:t>
            </w:r>
          </w:p>
        </w:tc>
      </w:tr>
      <w:tr>
        <w:trPr>
          <w:trHeight w:val="274" w:hRule="atLeast"/>
        </w:trPr>
        <w:tc>
          <w:tcPr>
            <w:tcW w:w="1612" w:type="dxa"/>
            <w:tcBorders>
              <w:top w:val="single" w:sz="4" w:space="0" w:color="000000"/>
              <w:left w:val="single" w:sz="4" w:space="0" w:color="000000"/>
            </w:tcBorders>
          </w:tcPr>
          <w:p>
            <w:pPr>
              <w:pStyle w:val="TableParagraph"/>
              <w:spacing w:line="254" w:lineRule="exact"/>
              <w:ind w:left="91"/>
              <w:rPr>
                <w:sz w:val="24"/>
              </w:rPr>
            </w:pPr>
            <w:r>
              <w:rPr>
                <w:spacing w:val="-2"/>
                <w:sz w:val="24"/>
              </w:rPr>
              <w:t>Infotech</w:t>
            </w:r>
          </w:p>
        </w:tc>
        <w:tc>
          <w:tcPr>
            <w:tcW w:w="2066" w:type="dxa"/>
            <w:tcBorders>
              <w:top w:val="single" w:sz="4" w:space="0" w:color="000000"/>
            </w:tcBorders>
          </w:tcPr>
          <w:p>
            <w:pPr>
              <w:pStyle w:val="TableParagraph"/>
              <w:spacing w:line="254" w:lineRule="exact"/>
              <w:ind w:left="576"/>
              <w:rPr>
                <w:sz w:val="24"/>
              </w:rPr>
            </w:pPr>
            <w:r>
              <w:rPr>
                <w:spacing w:val="-2"/>
                <w:sz w:val="24"/>
              </w:rPr>
              <w:t>Student</w:t>
            </w:r>
          </w:p>
        </w:tc>
        <w:tc>
          <w:tcPr>
            <w:tcW w:w="966" w:type="dxa"/>
            <w:tcBorders>
              <w:top w:val="single" w:sz="4" w:space="0" w:color="000000"/>
            </w:tcBorders>
          </w:tcPr>
          <w:p>
            <w:pPr>
              <w:pStyle w:val="TableParagraph"/>
              <w:spacing w:line="254" w:lineRule="exact"/>
              <w:ind w:left="172"/>
              <w:jc w:val="center"/>
              <w:rPr>
                <w:sz w:val="24"/>
              </w:rPr>
            </w:pPr>
            <w:r>
              <w:rPr>
                <w:spacing w:val="-5"/>
                <w:sz w:val="24"/>
              </w:rPr>
              <w:t>233</w:t>
            </w:r>
          </w:p>
        </w:tc>
        <w:tc>
          <w:tcPr>
            <w:tcW w:w="1290" w:type="dxa"/>
            <w:tcBorders>
              <w:top w:val="single" w:sz="4" w:space="0" w:color="000000"/>
            </w:tcBorders>
          </w:tcPr>
          <w:p>
            <w:pPr>
              <w:pStyle w:val="TableParagraph"/>
              <w:spacing w:line="254" w:lineRule="exact"/>
              <w:ind w:right="132"/>
              <w:jc w:val="center"/>
              <w:rPr>
                <w:sz w:val="24"/>
              </w:rPr>
            </w:pPr>
            <w:r>
              <w:rPr>
                <w:spacing w:val="-2"/>
                <w:sz w:val="24"/>
              </w:rPr>
              <w:t>4.1277</w:t>
            </w:r>
          </w:p>
        </w:tc>
        <w:tc>
          <w:tcPr>
            <w:tcW w:w="1540" w:type="dxa"/>
            <w:tcBorders>
              <w:top w:val="single" w:sz="4" w:space="0" w:color="000000"/>
            </w:tcBorders>
          </w:tcPr>
          <w:p>
            <w:pPr>
              <w:pStyle w:val="TableParagraph"/>
              <w:spacing w:line="254" w:lineRule="exact"/>
              <w:ind w:right="82"/>
              <w:jc w:val="center"/>
              <w:rPr>
                <w:sz w:val="24"/>
              </w:rPr>
            </w:pPr>
            <w:r>
              <w:rPr>
                <w:spacing w:val="-2"/>
                <w:sz w:val="24"/>
              </w:rPr>
              <w:t>.53645</w:t>
            </w:r>
          </w:p>
        </w:tc>
        <w:tc>
          <w:tcPr>
            <w:tcW w:w="1565" w:type="dxa"/>
            <w:tcBorders>
              <w:top w:val="single" w:sz="4" w:space="0" w:color="000000"/>
              <w:right w:val="single" w:sz="4" w:space="0" w:color="000000"/>
            </w:tcBorders>
          </w:tcPr>
          <w:p>
            <w:pPr>
              <w:pStyle w:val="TableParagraph"/>
              <w:spacing w:line="254" w:lineRule="exact"/>
              <w:ind w:left="98"/>
              <w:jc w:val="center"/>
              <w:rPr>
                <w:sz w:val="24"/>
              </w:rPr>
            </w:pPr>
            <w:r>
              <w:rPr>
                <w:spacing w:val="-2"/>
                <w:sz w:val="24"/>
              </w:rPr>
              <w:t>.03514</w:t>
            </w:r>
          </w:p>
        </w:tc>
      </w:tr>
      <w:tr>
        <w:trPr>
          <w:trHeight w:val="276" w:hRule="atLeast"/>
        </w:trPr>
        <w:tc>
          <w:tcPr>
            <w:tcW w:w="1612" w:type="dxa"/>
            <w:tcBorders>
              <w:left w:val="single" w:sz="4" w:space="0" w:color="000000"/>
            </w:tcBorders>
          </w:tcPr>
          <w:p>
            <w:pPr>
              <w:pStyle w:val="TableParagraph"/>
              <w:rPr>
                <w:rFonts w:ascii="Times New Roman"/>
                <w:sz w:val="20"/>
              </w:rPr>
            </w:pPr>
          </w:p>
        </w:tc>
        <w:tc>
          <w:tcPr>
            <w:tcW w:w="2066" w:type="dxa"/>
          </w:tcPr>
          <w:p>
            <w:pPr>
              <w:pStyle w:val="TableParagraph"/>
              <w:spacing w:line="256" w:lineRule="exact"/>
              <w:ind w:left="576"/>
              <w:rPr>
                <w:sz w:val="24"/>
              </w:rPr>
            </w:pPr>
            <w:r>
              <w:rPr>
                <w:spacing w:val="-4"/>
                <w:sz w:val="24"/>
              </w:rPr>
              <w:t>Staff</w:t>
            </w:r>
          </w:p>
        </w:tc>
        <w:tc>
          <w:tcPr>
            <w:tcW w:w="966" w:type="dxa"/>
          </w:tcPr>
          <w:p>
            <w:pPr>
              <w:pStyle w:val="TableParagraph"/>
              <w:spacing w:line="256" w:lineRule="exact"/>
              <w:ind w:left="172"/>
              <w:jc w:val="center"/>
              <w:rPr>
                <w:sz w:val="24"/>
              </w:rPr>
            </w:pPr>
            <w:r>
              <w:rPr>
                <w:spacing w:val="-5"/>
                <w:sz w:val="24"/>
              </w:rPr>
              <w:t>198</w:t>
            </w:r>
          </w:p>
        </w:tc>
        <w:tc>
          <w:tcPr>
            <w:tcW w:w="1290" w:type="dxa"/>
          </w:tcPr>
          <w:p>
            <w:pPr>
              <w:pStyle w:val="TableParagraph"/>
              <w:spacing w:line="256" w:lineRule="exact"/>
              <w:ind w:right="132"/>
              <w:jc w:val="center"/>
              <w:rPr>
                <w:sz w:val="24"/>
              </w:rPr>
            </w:pPr>
            <w:r>
              <w:rPr>
                <w:spacing w:val="-2"/>
                <w:sz w:val="24"/>
              </w:rPr>
              <w:t>3.9874</w:t>
            </w:r>
          </w:p>
        </w:tc>
        <w:tc>
          <w:tcPr>
            <w:tcW w:w="1540" w:type="dxa"/>
          </w:tcPr>
          <w:p>
            <w:pPr>
              <w:pStyle w:val="TableParagraph"/>
              <w:spacing w:line="256" w:lineRule="exact"/>
              <w:ind w:right="82"/>
              <w:jc w:val="center"/>
              <w:rPr>
                <w:sz w:val="24"/>
              </w:rPr>
            </w:pPr>
            <w:r>
              <w:rPr>
                <w:spacing w:val="-2"/>
                <w:sz w:val="24"/>
              </w:rPr>
              <w:t>.54595</w:t>
            </w:r>
          </w:p>
        </w:tc>
        <w:tc>
          <w:tcPr>
            <w:tcW w:w="1565" w:type="dxa"/>
            <w:tcBorders>
              <w:right w:val="single" w:sz="4" w:space="0" w:color="000000"/>
            </w:tcBorders>
          </w:tcPr>
          <w:p>
            <w:pPr>
              <w:pStyle w:val="TableParagraph"/>
              <w:spacing w:line="256" w:lineRule="exact"/>
              <w:ind w:left="98"/>
              <w:jc w:val="center"/>
              <w:rPr>
                <w:sz w:val="24"/>
              </w:rPr>
            </w:pPr>
            <w:r>
              <w:rPr>
                <w:spacing w:val="-2"/>
                <w:sz w:val="24"/>
              </w:rPr>
              <w:t>.03880</w:t>
            </w:r>
          </w:p>
        </w:tc>
      </w:tr>
      <w:tr>
        <w:trPr>
          <w:trHeight w:val="275" w:hRule="atLeast"/>
        </w:trPr>
        <w:tc>
          <w:tcPr>
            <w:tcW w:w="1612" w:type="dxa"/>
            <w:tcBorders>
              <w:left w:val="single" w:sz="4" w:space="0" w:color="000000"/>
              <w:bottom w:val="single" w:sz="4" w:space="0" w:color="000000"/>
            </w:tcBorders>
          </w:tcPr>
          <w:p>
            <w:pPr>
              <w:pStyle w:val="TableParagraph"/>
              <w:rPr>
                <w:rFonts w:ascii="Times New Roman"/>
                <w:sz w:val="20"/>
              </w:rPr>
            </w:pPr>
          </w:p>
        </w:tc>
        <w:tc>
          <w:tcPr>
            <w:tcW w:w="2066" w:type="dxa"/>
            <w:tcBorders>
              <w:bottom w:val="single" w:sz="4" w:space="0" w:color="000000"/>
            </w:tcBorders>
          </w:tcPr>
          <w:p>
            <w:pPr>
              <w:pStyle w:val="TableParagraph"/>
              <w:spacing w:line="255" w:lineRule="exact"/>
              <w:ind w:left="576"/>
              <w:rPr>
                <w:sz w:val="24"/>
              </w:rPr>
            </w:pPr>
            <w:r>
              <w:rPr>
                <w:spacing w:val="-2"/>
                <w:sz w:val="24"/>
              </w:rPr>
              <w:t>Managmet</w:t>
            </w:r>
          </w:p>
        </w:tc>
        <w:tc>
          <w:tcPr>
            <w:tcW w:w="966" w:type="dxa"/>
            <w:tcBorders>
              <w:bottom w:val="single" w:sz="4" w:space="0" w:color="000000"/>
            </w:tcBorders>
          </w:tcPr>
          <w:p>
            <w:pPr>
              <w:pStyle w:val="TableParagraph"/>
              <w:spacing w:line="255" w:lineRule="exact"/>
              <w:ind w:left="172" w:right="9"/>
              <w:jc w:val="center"/>
              <w:rPr>
                <w:sz w:val="24"/>
              </w:rPr>
            </w:pPr>
            <w:r>
              <w:rPr>
                <w:spacing w:val="-5"/>
                <w:sz w:val="24"/>
              </w:rPr>
              <w:t>23</w:t>
            </w:r>
          </w:p>
        </w:tc>
        <w:tc>
          <w:tcPr>
            <w:tcW w:w="1290" w:type="dxa"/>
            <w:tcBorders>
              <w:bottom w:val="single" w:sz="4" w:space="0" w:color="000000"/>
            </w:tcBorders>
          </w:tcPr>
          <w:p>
            <w:pPr>
              <w:pStyle w:val="TableParagraph"/>
              <w:spacing w:line="255" w:lineRule="exact"/>
              <w:ind w:right="132"/>
              <w:jc w:val="center"/>
              <w:rPr>
                <w:sz w:val="24"/>
              </w:rPr>
            </w:pPr>
            <w:r>
              <w:rPr>
                <w:spacing w:val="-2"/>
                <w:sz w:val="24"/>
              </w:rPr>
              <w:t>4.0761</w:t>
            </w:r>
          </w:p>
        </w:tc>
        <w:tc>
          <w:tcPr>
            <w:tcW w:w="1540" w:type="dxa"/>
            <w:tcBorders>
              <w:bottom w:val="single" w:sz="4" w:space="0" w:color="000000"/>
            </w:tcBorders>
          </w:tcPr>
          <w:p>
            <w:pPr>
              <w:pStyle w:val="TableParagraph"/>
              <w:spacing w:line="255" w:lineRule="exact"/>
              <w:ind w:right="82"/>
              <w:jc w:val="center"/>
              <w:rPr>
                <w:sz w:val="24"/>
              </w:rPr>
            </w:pPr>
            <w:r>
              <w:rPr>
                <w:spacing w:val="-2"/>
                <w:sz w:val="24"/>
              </w:rPr>
              <w:t>.42929</w:t>
            </w:r>
          </w:p>
        </w:tc>
        <w:tc>
          <w:tcPr>
            <w:tcW w:w="1565" w:type="dxa"/>
            <w:tcBorders>
              <w:bottom w:val="single" w:sz="4" w:space="0" w:color="000000"/>
              <w:right w:val="single" w:sz="4" w:space="0" w:color="000000"/>
            </w:tcBorders>
          </w:tcPr>
          <w:p>
            <w:pPr>
              <w:pStyle w:val="TableParagraph"/>
              <w:spacing w:line="255" w:lineRule="exact"/>
              <w:ind w:left="98"/>
              <w:jc w:val="center"/>
              <w:rPr>
                <w:sz w:val="24"/>
              </w:rPr>
            </w:pPr>
            <w:r>
              <w:rPr>
                <w:spacing w:val="-2"/>
                <w:sz w:val="24"/>
              </w:rPr>
              <w:t>.08951</w:t>
            </w:r>
          </w:p>
        </w:tc>
      </w:tr>
      <w:tr>
        <w:trPr>
          <w:trHeight w:val="277" w:hRule="atLeast"/>
        </w:trPr>
        <w:tc>
          <w:tcPr>
            <w:tcW w:w="1612"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2066" w:type="dxa"/>
            <w:tcBorders>
              <w:top w:val="single" w:sz="4" w:space="0" w:color="000000"/>
              <w:bottom w:val="single" w:sz="4" w:space="0" w:color="000000"/>
            </w:tcBorders>
          </w:tcPr>
          <w:p>
            <w:pPr>
              <w:pStyle w:val="TableParagraph"/>
              <w:spacing w:line="258" w:lineRule="exact"/>
              <w:ind w:left="576"/>
              <w:rPr>
                <w:sz w:val="24"/>
              </w:rPr>
            </w:pPr>
            <w:r>
              <w:rPr>
                <w:spacing w:val="-2"/>
                <w:sz w:val="24"/>
              </w:rPr>
              <w:t>Total</w:t>
            </w:r>
          </w:p>
        </w:tc>
        <w:tc>
          <w:tcPr>
            <w:tcW w:w="966" w:type="dxa"/>
            <w:tcBorders>
              <w:top w:val="single" w:sz="4" w:space="0" w:color="000000"/>
              <w:bottom w:val="single" w:sz="4" w:space="0" w:color="000000"/>
            </w:tcBorders>
          </w:tcPr>
          <w:p>
            <w:pPr>
              <w:pStyle w:val="TableParagraph"/>
              <w:spacing w:line="258" w:lineRule="exact"/>
              <w:ind w:left="172"/>
              <w:jc w:val="center"/>
              <w:rPr>
                <w:sz w:val="24"/>
              </w:rPr>
            </w:pPr>
            <w:r>
              <w:rPr>
                <w:spacing w:val="-5"/>
                <w:sz w:val="24"/>
              </w:rPr>
              <w:t>454</w:t>
            </w:r>
          </w:p>
        </w:tc>
        <w:tc>
          <w:tcPr>
            <w:tcW w:w="1290" w:type="dxa"/>
            <w:tcBorders>
              <w:top w:val="single" w:sz="4" w:space="0" w:color="000000"/>
              <w:bottom w:val="single" w:sz="4" w:space="0" w:color="000000"/>
            </w:tcBorders>
          </w:tcPr>
          <w:p>
            <w:pPr>
              <w:pStyle w:val="TableParagraph"/>
              <w:spacing w:line="258" w:lineRule="exact"/>
              <w:ind w:right="132"/>
              <w:jc w:val="center"/>
              <w:rPr>
                <w:sz w:val="24"/>
              </w:rPr>
            </w:pPr>
            <w:r>
              <w:rPr>
                <w:spacing w:val="-2"/>
                <w:sz w:val="24"/>
              </w:rPr>
              <w:t>4.0639</w:t>
            </w:r>
          </w:p>
        </w:tc>
        <w:tc>
          <w:tcPr>
            <w:tcW w:w="1540" w:type="dxa"/>
            <w:tcBorders>
              <w:top w:val="single" w:sz="4" w:space="0" w:color="000000"/>
              <w:bottom w:val="single" w:sz="4" w:space="0" w:color="000000"/>
            </w:tcBorders>
          </w:tcPr>
          <w:p>
            <w:pPr>
              <w:pStyle w:val="TableParagraph"/>
              <w:spacing w:line="258" w:lineRule="exact"/>
              <w:ind w:right="82"/>
              <w:jc w:val="center"/>
              <w:rPr>
                <w:sz w:val="24"/>
              </w:rPr>
            </w:pPr>
            <w:r>
              <w:rPr>
                <w:spacing w:val="-2"/>
                <w:sz w:val="24"/>
              </w:rPr>
              <w:t>.53909</w:t>
            </w:r>
          </w:p>
        </w:tc>
        <w:tc>
          <w:tcPr>
            <w:tcW w:w="1565" w:type="dxa"/>
            <w:tcBorders>
              <w:top w:val="single" w:sz="4" w:space="0" w:color="000000"/>
              <w:bottom w:val="single" w:sz="4" w:space="0" w:color="000000"/>
              <w:right w:val="single" w:sz="4" w:space="0" w:color="000000"/>
            </w:tcBorders>
          </w:tcPr>
          <w:p>
            <w:pPr>
              <w:pStyle w:val="TableParagraph"/>
              <w:spacing w:line="258" w:lineRule="exact"/>
              <w:ind w:left="98"/>
              <w:jc w:val="center"/>
              <w:rPr>
                <w:sz w:val="24"/>
              </w:rPr>
            </w:pPr>
            <w:r>
              <w:rPr>
                <w:spacing w:val="-2"/>
                <w:sz w:val="24"/>
              </w:rPr>
              <w:t>.02530</w:t>
            </w:r>
          </w:p>
        </w:tc>
      </w:tr>
      <w:tr>
        <w:trPr>
          <w:trHeight w:val="274" w:hRule="atLeast"/>
        </w:trPr>
        <w:tc>
          <w:tcPr>
            <w:tcW w:w="1612" w:type="dxa"/>
            <w:tcBorders>
              <w:top w:val="single" w:sz="4" w:space="0" w:color="000000"/>
              <w:left w:val="single" w:sz="4" w:space="0" w:color="000000"/>
            </w:tcBorders>
          </w:tcPr>
          <w:p>
            <w:pPr>
              <w:pStyle w:val="TableParagraph"/>
              <w:spacing w:line="254" w:lineRule="exact"/>
              <w:ind w:left="91"/>
              <w:rPr>
                <w:sz w:val="24"/>
              </w:rPr>
            </w:pPr>
            <w:r>
              <w:rPr>
                <w:spacing w:val="-2"/>
                <w:sz w:val="24"/>
              </w:rPr>
              <w:t>Health</w:t>
            </w:r>
          </w:p>
        </w:tc>
        <w:tc>
          <w:tcPr>
            <w:tcW w:w="2066" w:type="dxa"/>
            <w:tcBorders>
              <w:top w:val="single" w:sz="4" w:space="0" w:color="000000"/>
            </w:tcBorders>
          </w:tcPr>
          <w:p>
            <w:pPr>
              <w:pStyle w:val="TableParagraph"/>
              <w:spacing w:line="254" w:lineRule="exact"/>
              <w:ind w:left="576"/>
              <w:rPr>
                <w:sz w:val="24"/>
              </w:rPr>
            </w:pPr>
            <w:r>
              <w:rPr>
                <w:spacing w:val="-2"/>
                <w:sz w:val="24"/>
              </w:rPr>
              <w:t>Student</w:t>
            </w:r>
          </w:p>
        </w:tc>
        <w:tc>
          <w:tcPr>
            <w:tcW w:w="966" w:type="dxa"/>
            <w:tcBorders>
              <w:top w:val="single" w:sz="4" w:space="0" w:color="000000"/>
            </w:tcBorders>
          </w:tcPr>
          <w:p>
            <w:pPr>
              <w:pStyle w:val="TableParagraph"/>
              <w:spacing w:line="254" w:lineRule="exact"/>
              <w:ind w:left="172"/>
              <w:jc w:val="center"/>
              <w:rPr>
                <w:sz w:val="24"/>
              </w:rPr>
            </w:pPr>
            <w:r>
              <w:rPr>
                <w:spacing w:val="-5"/>
                <w:sz w:val="24"/>
              </w:rPr>
              <w:t>234</w:t>
            </w:r>
          </w:p>
        </w:tc>
        <w:tc>
          <w:tcPr>
            <w:tcW w:w="1290" w:type="dxa"/>
            <w:tcBorders>
              <w:top w:val="single" w:sz="4" w:space="0" w:color="000000"/>
            </w:tcBorders>
          </w:tcPr>
          <w:p>
            <w:pPr>
              <w:pStyle w:val="TableParagraph"/>
              <w:spacing w:line="254" w:lineRule="exact"/>
              <w:ind w:right="132"/>
              <w:jc w:val="center"/>
              <w:rPr>
                <w:sz w:val="24"/>
              </w:rPr>
            </w:pPr>
            <w:r>
              <w:rPr>
                <w:spacing w:val="-4"/>
                <w:sz w:val="24"/>
              </w:rPr>
              <w:t>3.30</w:t>
            </w:r>
          </w:p>
        </w:tc>
        <w:tc>
          <w:tcPr>
            <w:tcW w:w="1540" w:type="dxa"/>
            <w:tcBorders>
              <w:top w:val="single" w:sz="4" w:space="0" w:color="000000"/>
            </w:tcBorders>
          </w:tcPr>
          <w:p>
            <w:pPr>
              <w:pStyle w:val="TableParagraph"/>
              <w:spacing w:line="254" w:lineRule="exact"/>
              <w:ind w:right="82"/>
              <w:jc w:val="center"/>
              <w:rPr>
                <w:sz w:val="24"/>
              </w:rPr>
            </w:pPr>
            <w:r>
              <w:rPr>
                <w:spacing w:val="-4"/>
                <w:sz w:val="24"/>
              </w:rPr>
              <w:t>.688</w:t>
            </w:r>
          </w:p>
        </w:tc>
        <w:tc>
          <w:tcPr>
            <w:tcW w:w="1565" w:type="dxa"/>
            <w:tcBorders>
              <w:top w:val="single" w:sz="4" w:space="0" w:color="000000"/>
              <w:right w:val="single" w:sz="4" w:space="0" w:color="000000"/>
            </w:tcBorders>
          </w:tcPr>
          <w:p>
            <w:pPr>
              <w:pStyle w:val="TableParagraph"/>
              <w:spacing w:line="254" w:lineRule="exact"/>
              <w:ind w:left="98"/>
              <w:jc w:val="center"/>
              <w:rPr>
                <w:sz w:val="24"/>
              </w:rPr>
            </w:pPr>
            <w:r>
              <w:rPr>
                <w:spacing w:val="-4"/>
                <w:sz w:val="24"/>
              </w:rPr>
              <w:t>.045</w:t>
            </w:r>
          </w:p>
        </w:tc>
      </w:tr>
      <w:tr>
        <w:trPr>
          <w:trHeight w:val="275" w:hRule="atLeast"/>
        </w:trPr>
        <w:tc>
          <w:tcPr>
            <w:tcW w:w="1612" w:type="dxa"/>
            <w:tcBorders>
              <w:left w:val="single" w:sz="4" w:space="0" w:color="000000"/>
            </w:tcBorders>
          </w:tcPr>
          <w:p>
            <w:pPr>
              <w:pStyle w:val="TableParagraph"/>
              <w:rPr>
                <w:rFonts w:ascii="Times New Roman"/>
                <w:sz w:val="20"/>
              </w:rPr>
            </w:pPr>
          </w:p>
        </w:tc>
        <w:tc>
          <w:tcPr>
            <w:tcW w:w="2066" w:type="dxa"/>
          </w:tcPr>
          <w:p>
            <w:pPr>
              <w:pStyle w:val="TableParagraph"/>
              <w:spacing w:line="256" w:lineRule="exact"/>
              <w:ind w:left="576"/>
              <w:rPr>
                <w:sz w:val="24"/>
              </w:rPr>
            </w:pPr>
            <w:r>
              <w:rPr>
                <w:spacing w:val="-4"/>
                <w:sz w:val="24"/>
              </w:rPr>
              <w:t>Staff</w:t>
            </w:r>
          </w:p>
        </w:tc>
        <w:tc>
          <w:tcPr>
            <w:tcW w:w="966" w:type="dxa"/>
          </w:tcPr>
          <w:p>
            <w:pPr>
              <w:pStyle w:val="TableParagraph"/>
              <w:spacing w:line="256" w:lineRule="exact"/>
              <w:ind w:left="172"/>
              <w:jc w:val="center"/>
              <w:rPr>
                <w:sz w:val="24"/>
              </w:rPr>
            </w:pPr>
            <w:r>
              <w:rPr>
                <w:spacing w:val="-5"/>
                <w:sz w:val="24"/>
              </w:rPr>
              <w:t>196</w:t>
            </w:r>
          </w:p>
        </w:tc>
        <w:tc>
          <w:tcPr>
            <w:tcW w:w="1290" w:type="dxa"/>
          </w:tcPr>
          <w:p>
            <w:pPr>
              <w:pStyle w:val="TableParagraph"/>
              <w:spacing w:line="256" w:lineRule="exact"/>
              <w:ind w:right="132"/>
              <w:jc w:val="center"/>
              <w:rPr>
                <w:sz w:val="24"/>
              </w:rPr>
            </w:pPr>
            <w:r>
              <w:rPr>
                <w:spacing w:val="-4"/>
                <w:sz w:val="24"/>
              </w:rPr>
              <w:t>3.27</w:t>
            </w:r>
          </w:p>
        </w:tc>
        <w:tc>
          <w:tcPr>
            <w:tcW w:w="1540" w:type="dxa"/>
          </w:tcPr>
          <w:p>
            <w:pPr>
              <w:pStyle w:val="TableParagraph"/>
              <w:spacing w:line="256" w:lineRule="exact"/>
              <w:ind w:right="82"/>
              <w:jc w:val="center"/>
              <w:rPr>
                <w:sz w:val="24"/>
              </w:rPr>
            </w:pPr>
            <w:r>
              <w:rPr>
                <w:spacing w:val="-4"/>
                <w:sz w:val="24"/>
              </w:rPr>
              <w:t>.668</w:t>
            </w:r>
          </w:p>
        </w:tc>
        <w:tc>
          <w:tcPr>
            <w:tcW w:w="1565" w:type="dxa"/>
            <w:tcBorders>
              <w:right w:val="single" w:sz="4" w:space="0" w:color="000000"/>
            </w:tcBorders>
          </w:tcPr>
          <w:p>
            <w:pPr>
              <w:pStyle w:val="TableParagraph"/>
              <w:spacing w:line="256" w:lineRule="exact"/>
              <w:ind w:left="98"/>
              <w:jc w:val="center"/>
              <w:rPr>
                <w:sz w:val="24"/>
              </w:rPr>
            </w:pPr>
            <w:r>
              <w:rPr>
                <w:spacing w:val="-4"/>
                <w:sz w:val="24"/>
              </w:rPr>
              <w:t>.048</w:t>
            </w:r>
          </w:p>
        </w:tc>
      </w:tr>
      <w:tr>
        <w:trPr>
          <w:trHeight w:val="275" w:hRule="atLeast"/>
        </w:trPr>
        <w:tc>
          <w:tcPr>
            <w:tcW w:w="1612" w:type="dxa"/>
            <w:tcBorders>
              <w:left w:val="single" w:sz="4" w:space="0" w:color="000000"/>
              <w:bottom w:val="single" w:sz="4" w:space="0" w:color="000000"/>
            </w:tcBorders>
          </w:tcPr>
          <w:p>
            <w:pPr>
              <w:pStyle w:val="TableParagraph"/>
              <w:rPr>
                <w:rFonts w:ascii="Times New Roman"/>
                <w:sz w:val="20"/>
              </w:rPr>
            </w:pPr>
          </w:p>
        </w:tc>
        <w:tc>
          <w:tcPr>
            <w:tcW w:w="2066" w:type="dxa"/>
            <w:tcBorders>
              <w:bottom w:val="single" w:sz="4" w:space="0" w:color="000000"/>
            </w:tcBorders>
          </w:tcPr>
          <w:p>
            <w:pPr>
              <w:pStyle w:val="TableParagraph"/>
              <w:spacing w:line="255" w:lineRule="exact"/>
              <w:ind w:left="576"/>
              <w:rPr>
                <w:sz w:val="24"/>
              </w:rPr>
            </w:pPr>
            <w:r>
              <w:rPr>
                <w:spacing w:val="-2"/>
                <w:sz w:val="24"/>
              </w:rPr>
              <w:t>Managmet</w:t>
            </w:r>
          </w:p>
        </w:tc>
        <w:tc>
          <w:tcPr>
            <w:tcW w:w="966" w:type="dxa"/>
            <w:tcBorders>
              <w:bottom w:val="single" w:sz="4" w:space="0" w:color="000000"/>
            </w:tcBorders>
          </w:tcPr>
          <w:p>
            <w:pPr>
              <w:pStyle w:val="TableParagraph"/>
              <w:spacing w:line="255" w:lineRule="exact"/>
              <w:ind w:left="172" w:right="9"/>
              <w:jc w:val="center"/>
              <w:rPr>
                <w:sz w:val="24"/>
              </w:rPr>
            </w:pPr>
            <w:r>
              <w:rPr>
                <w:spacing w:val="-5"/>
                <w:sz w:val="24"/>
              </w:rPr>
              <w:t>23</w:t>
            </w:r>
          </w:p>
        </w:tc>
        <w:tc>
          <w:tcPr>
            <w:tcW w:w="1290" w:type="dxa"/>
            <w:tcBorders>
              <w:bottom w:val="single" w:sz="4" w:space="0" w:color="000000"/>
            </w:tcBorders>
          </w:tcPr>
          <w:p>
            <w:pPr>
              <w:pStyle w:val="TableParagraph"/>
              <w:spacing w:line="255" w:lineRule="exact"/>
              <w:ind w:right="132"/>
              <w:jc w:val="center"/>
              <w:rPr>
                <w:sz w:val="24"/>
              </w:rPr>
            </w:pPr>
            <w:r>
              <w:rPr>
                <w:spacing w:val="-4"/>
                <w:sz w:val="24"/>
              </w:rPr>
              <w:t>3.45</w:t>
            </w:r>
          </w:p>
        </w:tc>
        <w:tc>
          <w:tcPr>
            <w:tcW w:w="1540" w:type="dxa"/>
            <w:tcBorders>
              <w:bottom w:val="single" w:sz="4" w:space="0" w:color="000000"/>
            </w:tcBorders>
          </w:tcPr>
          <w:p>
            <w:pPr>
              <w:pStyle w:val="TableParagraph"/>
              <w:spacing w:line="255" w:lineRule="exact"/>
              <w:ind w:right="82"/>
              <w:jc w:val="center"/>
              <w:rPr>
                <w:sz w:val="24"/>
              </w:rPr>
            </w:pPr>
            <w:r>
              <w:rPr>
                <w:spacing w:val="-4"/>
                <w:sz w:val="24"/>
              </w:rPr>
              <w:t>.808</w:t>
            </w:r>
          </w:p>
        </w:tc>
        <w:tc>
          <w:tcPr>
            <w:tcW w:w="1565" w:type="dxa"/>
            <w:tcBorders>
              <w:bottom w:val="single" w:sz="4" w:space="0" w:color="000000"/>
              <w:right w:val="single" w:sz="4" w:space="0" w:color="000000"/>
            </w:tcBorders>
          </w:tcPr>
          <w:p>
            <w:pPr>
              <w:pStyle w:val="TableParagraph"/>
              <w:spacing w:line="255" w:lineRule="exact"/>
              <w:ind w:left="98"/>
              <w:jc w:val="center"/>
              <w:rPr>
                <w:sz w:val="24"/>
              </w:rPr>
            </w:pPr>
            <w:r>
              <w:rPr>
                <w:spacing w:val="-4"/>
                <w:sz w:val="24"/>
              </w:rPr>
              <w:t>.169</w:t>
            </w:r>
          </w:p>
        </w:tc>
      </w:tr>
      <w:tr>
        <w:trPr>
          <w:trHeight w:val="278" w:hRule="atLeast"/>
        </w:trPr>
        <w:tc>
          <w:tcPr>
            <w:tcW w:w="1612"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2066" w:type="dxa"/>
            <w:tcBorders>
              <w:top w:val="single" w:sz="4" w:space="0" w:color="000000"/>
              <w:bottom w:val="single" w:sz="4" w:space="0" w:color="000000"/>
            </w:tcBorders>
          </w:tcPr>
          <w:p>
            <w:pPr>
              <w:pStyle w:val="TableParagraph"/>
              <w:spacing w:line="258" w:lineRule="exact"/>
              <w:ind w:left="576"/>
              <w:rPr>
                <w:sz w:val="24"/>
              </w:rPr>
            </w:pPr>
            <w:r>
              <w:rPr>
                <w:spacing w:val="-2"/>
                <w:sz w:val="24"/>
              </w:rPr>
              <w:t>Total</w:t>
            </w:r>
          </w:p>
        </w:tc>
        <w:tc>
          <w:tcPr>
            <w:tcW w:w="966" w:type="dxa"/>
            <w:tcBorders>
              <w:top w:val="single" w:sz="4" w:space="0" w:color="000000"/>
              <w:bottom w:val="single" w:sz="4" w:space="0" w:color="000000"/>
            </w:tcBorders>
          </w:tcPr>
          <w:p>
            <w:pPr>
              <w:pStyle w:val="TableParagraph"/>
              <w:spacing w:line="258" w:lineRule="exact"/>
              <w:ind w:left="172"/>
              <w:jc w:val="center"/>
              <w:rPr>
                <w:sz w:val="24"/>
              </w:rPr>
            </w:pPr>
            <w:r>
              <w:rPr>
                <w:spacing w:val="-5"/>
                <w:sz w:val="24"/>
              </w:rPr>
              <w:t>453</w:t>
            </w:r>
          </w:p>
        </w:tc>
        <w:tc>
          <w:tcPr>
            <w:tcW w:w="1290" w:type="dxa"/>
            <w:tcBorders>
              <w:top w:val="single" w:sz="4" w:space="0" w:color="000000"/>
              <w:bottom w:val="single" w:sz="4" w:space="0" w:color="000000"/>
            </w:tcBorders>
          </w:tcPr>
          <w:p>
            <w:pPr>
              <w:pStyle w:val="TableParagraph"/>
              <w:spacing w:line="258" w:lineRule="exact"/>
              <w:ind w:right="132"/>
              <w:jc w:val="center"/>
              <w:rPr>
                <w:sz w:val="24"/>
              </w:rPr>
            </w:pPr>
            <w:r>
              <w:rPr>
                <w:spacing w:val="-4"/>
                <w:sz w:val="24"/>
              </w:rPr>
              <w:t>3.29</w:t>
            </w:r>
          </w:p>
        </w:tc>
        <w:tc>
          <w:tcPr>
            <w:tcW w:w="1540" w:type="dxa"/>
            <w:tcBorders>
              <w:top w:val="single" w:sz="4" w:space="0" w:color="000000"/>
              <w:bottom w:val="single" w:sz="4" w:space="0" w:color="000000"/>
            </w:tcBorders>
          </w:tcPr>
          <w:p>
            <w:pPr>
              <w:pStyle w:val="TableParagraph"/>
              <w:spacing w:line="258" w:lineRule="exact"/>
              <w:ind w:right="82"/>
              <w:jc w:val="center"/>
              <w:rPr>
                <w:sz w:val="24"/>
              </w:rPr>
            </w:pPr>
            <w:r>
              <w:rPr>
                <w:spacing w:val="-4"/>
                <w:sz w:val="24"/>
              </w:rPr>
              <w:t>.685</w:t>
            </w:r>
          </w:p>
        </w:tc>
        <w:tc>
          <w:tcPr>
            <w:tcW w:w="1565" w:type="dxa"/>
            <w:tcBorders>
              <w:top w:val="single" w:sz="4" w:space="0" w:color="000000"/>
              <w:bottom w:val="single" w:sz="4" w:space="0" w:color="000000"/>
              <w:right w:val="single" w:sz="4" w:space="0" w:color="000000"/>
            </w:tcBorders>
          </w:tcPr>
          <w:p>
            <w:pPr>
              <w:pStyle w:val="TableParagraph"/>
              <w:spacing w:line="258" w:lineRule="exact"/>
              <w:ind w:left="98"/>
              <w:jc w:val="center"/>
              <w:rPr>
                <w:sz w:val="24"/>
              </w:rPr>
            </w:pPr>
            <w:r>
              <w:rPr>
                <w:spacing w:val="-4"/>
                <w:sz w:val="24"/>
              </w:rPr>
              <w:t>.032</w:t>
            </w:r>
          </w:p>
        </w:tc>
      </w:tr>
      <w:tr>
        <w:trPr>
          <w:trHeight w:val="276" w:hRule="atLeast"/>
        </w:trPr>
        <w:tc>
          <w:tcPr>
            <w:tcW w:w="1612" w:type="dxa"/>
            <w:tcBorders>
              <w:top w:val="single" w:sz="4" w:space="0" w:color="000000"/>
              <w:left w:val="single" w:sz="4" w:space="0" w:color="000000"/>
            </w:tcBorders>
          </w:tcPr>
          <w:p>
            <w:pPr>
              <w:pStyle w:val="TableParagraph"/>
              <w:spacing w:line="257" w:lineRule="exact"/>
              <w:ind w:left="91"/>
              <w:rPr>
                <w:sz w:val="24"/>
              </w:rPr>
            </w:pPr>
            <w:r>
              <w:rPr>
                <w:spacing w:val="-2"/>
                <w:sz w:val="24"/>
              </w:rPr>
              <w:t>Enviromt</w:t>
            </w:r>
          </w:p>
        </w:tc>
        <w:tc>
          <w:tcPr>
            <w:tcW w:w="2066" w:type="dxa"/>
            <w:tcBorders>
              <w:top w:val="single" w:sz="4" w:space="0" w:color="000000"/>
            </w:tcBorders>
          </w:tcPr>
          <w:p>
            <w:pPr>
              <w:pStyle w:val="TableParagraph"/>
              <w:spacing w:line="257" w:lineRule="exact"/>
              <w:ind w:left="576"/>
              <w:rPr>
                <w:sz w:val="24"/>
              </w:rPr>
            </w:pPr>
            <w:r>
              <w:rPr>
                <w:spacing w:val="-2"/>
                <w:sz w:val="24"/>
              </w:rPr>
              <w:t>Student</w:t>
            </w:r>
          </w:p>
        </w:tc>
        <w:tc>
          <w:tcPr>
            <w:tcW w:w="966" w:type="dxa"/>
            <w:tcBorders>
              <w:top w:val="single" w:sz="4" w:space="0" w:color="000000"/>
            </w:tcBorders>
          </w:tcPr>
          <w:p>
            <w:pPr>
              <w:pStyle w:val="TableParagraph"/>
              <w:spacing w:line="257" w:lineRule="exact"/>
              <w:ind w:left="172"/>
              <w:jc w:val="center"/>
              <w:rPr>
                <w:sz w:val="24"/>
              </w:rPr>
            </w:pPr>
            <w:r>
              <w:rPr>
                <w:spacing w:val="-5"/>
                <w:sz w:val="24"/>
              </w:rPr>
              <w:t>233</w:t>
            </w:r>
          </w:p>
        </w:tc>
        <w:tc>
          <w:tcPr>
            <w:tcW w:w="1290" w:type="dxa"/>
            <w:tcBorders>
              <w:top w:val="single" w:sz="4" w:space="0" w:color="000000"/>
            </w:tcBorders>
          </w:tcPr>
          <w:p>
            <w:pPr>
              <w:pStyle w:val="TableParagraph"/>
              <w:spacing w:line="257" w:lineRule="exact"/>
              <w:ind w:right="132"/>
              <w:jc w:val="center"/>
              <w:rPr>
                <w:sz w:val="24"/>
              </w:rPr>
            </w:pPr>
            <w:r>
              <w:rPr>
                <w:spacing w:val="-2"/>
                <w:sz w:val="24"/>
              </w:rPr>
              <w:t>4.413</w:t>
            </w:r>
          </w:p>
        </w:tc>
        <w:tc>
          <w:tcPr>
            <w:tcW w:w="1540" w:type="dxa"/>
            <w:tcBorders>
              <w:top w:val="single" w:sz="4" w:space="0" w:color="000000"/>
            </w:tcBorders>
          </w:tcPr>
          <w:p>
            <w:pPr>
              <w:pStyle w:val="TableParagraph"/>
              <w:spacing w:line="257" w:lineRule="exact"/>
              <w:ind w:right="82"/>
              <w:jc w:val="center"/>
              <w:rPr>
                <w:sz w:val="24"/>
              </w:rPr>
            </w:pPr>
            <w:r>
              <w:rPr>
                <w:spacing w:val="-2"/>
                <w:sz w:val="24"/>
              </w:rPr>
              <w:t>.5475</w:t>
            </w:r>
          </w:p>
        </w:tc>
        <w:tc>
          <w:tcPr>
            <w:tcW w:w="1565" w:type="dxa"/>
            <w:tcBorders>
              <w:top w:val="single" w:sz="4" w:space="0" w:color="000000"/>
              <w:right w:val="single" w:sz="4" w:space="0" w:color="000000"/>
            </w:tcBorders>
          </w:tcPr>
          <w:p>
            <w:pPr>
              <w:pStyle w:val="TableParagraph"/>
              <w:spacing w:line="257" w:lineRule="exact"/>
              <w:ind w:left="98"/>
              <w:jc w:val="center"/>
              <w:rPr>
                <w:sz w:val="24"/>
              </w:rPr>
            </w:pPr>
            <w:r>
              <w:rPr>
                <w:spacing w:val="-2"/>
                <w:sz w:val="24"/>
              </w:rPr>
              <w:t>.0359</w:t>
            </w:r>
          </w:p>
        </w:tc>
      </w:tr>
      <w:tr>
        <w:trPr>
          <w:trHeight w:val="275" w:hRule="atLeast"/>
        </w:trPr>
        <w:tc>
          <w:tcPr>
            <w:tcW w:w="1612" w:type="dxa"/>
            <w:tcBorders>
              <w:left w:val="single" w:sz="4" w:space="0" w:color="000000"/>
            </w:tcBorders>
          </w:tcPr>
          <w:p>
            <w:pPr>
              <w:pStyle w:val="TableParagraph"/>
              <w:rPr>
                <w:rFonts w:ascii="Times New Roman"/>
                <w:sz w:val="20"/>
              </w:rPr>
            </w:pPr>
          </w:p>
        </w:tc>
        <w:tc>
          <w:tcPr>
            <w:tcW w:w="2066" w:type="dxa"/>
          </w:tcPr>
          <w:p>
            <w:pPr>
              <w:pStyle w:val="TableParagraph"/>
              <w:spacing w:line="256" w:lineRule="exact"/>
              <w:ind w:left="576"/>
              <w:rPr>
                <w:sz w:val="24"/>
              </w:rPr>
            </w:pPr>
            <w:r>
              <w:rPr>
                <w:spacing w:val="-4"/>
                <w:sz w:val="24"/>
              </w:rPr>
              <w:t>Staff</w:t>
            </w:r>
          </w:p>
        </w:tc>
        <w:tc>
          <w:tcPr>
            <w:tcW w:w="966" w:type="dxa"/>
          </w:tcPr>
          <w:p>
            <w:pPr>
              <w:pStyle w:val="TableParagraph"/>
              <w:spacing w:line="256" w:lineRule="exact"/>
              <w:ind w:left="172"/>
              <w:jc w:val="center"/>
              <w:rPr>
                <w:sz w:val="24"/>
              </w:rPr>
            </w:pPr>
            <w:r>
              <w:rPr>
                <w:spacing w:val="-5"/>
                <w:sz w:val="24"/>
              </w:rPr>
              <w:t>199</w:t>
            </w:r>
          </w:p>
        </w:tc>
        <w:tc>
          <w:tcPr>
            <w:tcW w:w="1290" w:type="dxa"/>
          </w:tcPr>
          <w:p>
            <w:pPr>
              <w:pStyle w:val="TableParagraph"/>
              <w:spacing w:line="256" w:lineRule="exact"/>
              <w:ind w:right="132"/>
              <w:jc w:val="center"/>
              <w:rPr>
                <w:sz w:val="24"/>
              </w:rPr>
            </w:pPr>
            <w:r>
              <w:rPr>
                <w:spacing w:val="-2"/>
                <w:sz w:val="24"/>
              </w:rPr>
              <w:t>4.373</w:t>
            </w:r>
          </w:p>
        </w:tc>
        <w:tc>
          <w:tcPr>
            <w:tcW w:w="1540" w:type="dxa"/>
          </w:tcPr>
          <w:p>
            <w:pPr>
              <w:pStyle w:val="TableParagraph"/>
              <w:spacing w:line="256" w:lineRule="exact"/>
              <w:ind w:right="82"/>
              <w:jc w:val="center"/>
              <w:rPr>
                <w:sz w:val="24"/>
              </w:rPr>
            </w:pPr>
            <w:r>
              <w:rPr>
                <w:spacing w:val="-2"/>
                <w:sz w:val="24"/>
              </w:rPr>
              <w:t>.5822</w:t>
            </w:r>
          </w:p>
        </w:tc>
        <w:tc>
          <w:tcPr>
            <w:tcW w:w="1565" w:type="dxa"/>
            <w:tcBorders>
              <w:right w:val="single" w:sz="4" w:space="0" w:color="000000"/>
            </w:tcBorders>
          </w:tcPr>
          <w:p>
            <w:pPr>
              <w:pStyle w:val="TableParagraph"/>
              <w:spacing w:line="256" w:lineRule="exact"/>
              <w:ind w:left="98"/>
              <w:jc w:val="center"/>
              <w:rPr>
                <w:sz w:val="24"/>
              </w:rPr>
            </w:pPr>
            <w:r>
              <w:rPr>
                <w:spacing w:val="-2"/>
                <w:sz w:val="24"/>
              </w:rPr>
              <w:t>.0413</w:t>
            </w:r>
          </w:p>
        </w:tc>
      </w:tr>
      <w:tr>
        <w:trPr>
          <w:trHeight w:val="277" w:hRule="atLeast"/>
        </w:trPr>
        <w:tc>
          <w:tcPr>
            <w:tcW w:w="1612" w:type="dxa"/>
            <w:tcBorders>
              <w:left w:val="single" w:sz="4" w:space="0" w:color="000000"/>
              <w:bottom w:val="single" w:sz="4" w:space="0" w:color="000000"/>
            </w:tcBorders>
          </w:tcPr>
          <w:p>
            <w:pPr>
              <w:pStyle w:val="TableParagraph"/>
              <w:rPr>
                <w:rFonts w:ascii="Times New Roman"/>
                <w:sz w:val="20"/>
              </w:rPr>
            </w:pPr>
          </w:p>
        </w:tc>
        <w:tc>
          <w:tcPr>
            <w:tcW w:w="2066" w:type="dxa"/>
            <w:tcBorders>
              <w:bottom w:val="single" w:sz="4" w:space="0" w:color="000000"/>
            </w:tcBorders>
          </w:tcPr>
          <w:p>
            <w:pPr>
              <w:pStyle w:val="TableParagraph"/>
              <w:spacing w:line="257" w:lineRule="exact"/>
              <w:ind w:left="576"/>
              <w:rPr>
                <w:sz w:val="24"/>
              </w:rPr>
            </w:pPr>
            <w:r>
              <w:rPr>
                <w:spacing w:val="-2"/>
                <w:sz w:val="24"/>
              </w:rPr>
              <w:t>Managmet</w:t>
            </w:r>
          </w:p>
        </w:tc>
        <w:tc>
          <w:tcPr>
            <w:tcW w:w="966" w:type="dxa"/>
            <w:tcBorders>
              <w:bottom w:val="single" w:sz="4" w:space="0" w:color="000000"/>
            </w:tcBorders>
          </w:tcPr>
          <w:p>
            <w:pPr>
              <w:pStyle w:val="TableParagraph"/>
              <w:spacing w:line="257" w:lineRule="exact"/>
              <w:ind w:left="172" w:right="9"/>
              <w:jc w:val="center"/>
              <w:rPr>
                <w:sz w:val="24"/>
              </w:rPr>
            </w:pPr>
            <w:r>
              <w:rPr>
                <w:spacing w:val="-5"/>
                <w:sz w:val="24"/>
              </w:rPr>
              <w:t>23</w:t>
            </w:r>
          </w:p>
        </w:tc>
        <w:tc>
          <w:tcPr>
            <w:tcW w:w="1290" w:type="dxa"/>
            <w:tcBorders>
              <w:bottom w:val="single" w:sz="4" w:space="0" w:color="000000"/>
            </w:tcBorders>
          </w:tcPr>
          <w:p>
            <w:pPr>
              <w:pStyle w:val="TableParagraph"/>
              <w:spacing w:line="257" w:lineRule="exact"/>
              <w:ind w:right="132"/>
              <w:jc w:val="center"/>
              <w:rPr>
                <w:sz w:val="24"/>
              </w:rPr>
            </w:pPr>
            <w:r>
              <w:rPr>
                <w:spacing w:val="-2"/>
                <w:sz w:val="24"/>
              </w:rPr>
              <w:t>4.348</w:t>
            </w:r>
          </w:p>
        </w:tc>
        <w:tc>
          <w:tcPr>
            <w:tcW w:w="1540" w:type="dxa"/>
            <w:tcBorders>
              <w:bottom w:val="single" w:sz="4" w:space="0" w:color="000000"/>
            </w:tcBorders>
          </w:tcPr>
          <w:p>
            <w:pPr>
              <w:pStyle w:val="TableParagraph"/>
              <w:spacing w:line="257" w:lineRule="exact"/>
              <w:ind w:right="82"/>
              <w:jc w:val="center"/>
              <w:rPr>
                <w:sz w:val="24"/>
              </w:rPr>
            </w:pPr>
            <w:r>
              <w:rPr>
                <w:spacing w:val="-2"/>
                <w:sz w:val="24"/>
              </w:rPr>
              <w:t>.6939</w:t>
            </w:r>
          </w:p>
        </w:tc>
        <w:tc>
          <w:tcPr>
            <w:tcW w:w="1565" w:type="dxa"/>
            <w:tcBorders>
              <w:bottom w:val="single" w:sz="4" w:space="0" w:color="000000"/>
              <w:right w:val="single" w:sz="4" w:space="0" w:color="000000"/>
            </w:tcBorders>
          </w:tcPr>
          <w:p>
            <w:pPr>
              <w:pStyle w:val="TableParagraph"/>
              <w:spacing w:line="257" w:lineRule="exact"/>
              <w:ind w:left="98"/>
              <w:jc w:val="center"/>
              <w:rPr>
                <w:sz w:val="24"/>
              </w:rPr>
            </w:pPr>
            <w:r>
              <w:rPr>
                <w:spacing w:val="-2"/>
                <w:sz w:val="24"/>
              </w:rPr>
              <w:t>.1447</w:t>
            </w:r>
          </w:p>
        </w:tc>
      </w:tr>
      <w:tr>
        <w:trPr>
          <w:trHeight w:val="273" w:hRule="atLeast"/>
        </w:trPr>
        <w:tc>
          <w:tcPr>
            <w:tcW w:w="1612"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2066" w:type="dxa"/>
            <w:tcBorders>
              <w:top w:val="single" w:sz="4" w:space="0" w:color="000000"/>
              <w:bottom w:val="single" w:sz="4" w:space="0" w:color="000000"/>
            </w:tcBorders>
          </w:tcPr>
          <w:p>
            <w:pPr>
              <w:pStyle w:val="TableParagraph"/>
              <w:spacing w:line="253" w:lineRule="exact"/>
              <w:ind w:left="576"/>
              <w:rPr>
                <w:sz w:val="24"/>
              </w:rPr>
            </w:pPr>
            <w:r>
              <w:rPr>
                <w:spacing w:val="-2"/>
                <w:sz w:val="24"/>
              </w:rPr>
              <w:t>Total</w:t>
            </w:r>
          </w:p>
        </w:tc>
        <w:tc>
          <w:tcPr>
            <w:tcW w:w="966" w:type="dxa"/>
            <w:tcBorders>
              <w:top w:val="single" w:sz="4" w:space="0" w:color="000000"/>
              <w:bottom w:val="single" w:sz="4" w:space="0" w:color="000000"/>
            </w:tcBorders>
          </w:tcPr>
          <w:p>
            <w:pPr>
              <w:pStyle w:val="TableParagraph"/>
              <w:spacing w:line="253" w:lineRule="exact"/>
              <w:ind w:left="172"/>
              <w:jc w:val="center"/>
              <w:rPr>
                <w:sz w:val="24"/>
              </w:rPr>
            </w:pPr>
            <w:r>
              <w:rPr>
                <w:spacing w:val="-5"/>
                <w:sz w:val="24"/>
              </w:rPr>
              <w:t>455</w:t>
            </w:r>
          </w:p>
        </w:tc>
        <w:tc>
          <w:tcPr>
            <w:tcW w:w="1290" w:type="dxa"/>
            <w:tcBorders>
              <w:top w:val="single" w:sz="4" w:space="0" w:color="000000"/>
              <w:bottom w:val="single" w:sz="4" w:space="0" w:color="000000"/>
            </w:tcBorders>
          </w:tcPr>
          <w:p>
            <w:pPr>
              <w:pStyle w:val="TableParagraph"/>
              <w:spacing w:line="253" w:lineRule="exact"/>
              <w:ind w:right="132"/>
              <w:jc w:val="center"/>
              <w:rPr>
                <w:sz w:val="24"/>
              </w:rPr>
            </w:pPr>
            <w:r>
              <w:rPr>
                <w:spacing w:val="-2"/>
                <w:sz w:val="24"/>
              </w:rPr>
              <w:t>4.392</w:t>
            </w:r>
          </w:p>
        </w:tc>
        <w:tc>
          <w:tcPr>
            <w:tcW w:w="1540" w:type="dxa"/>
            <w:tcBorders>
              <w:top w:val="single" w:sz="4" w:space="0" w:color="000000"/>
              <w:bottom w:val="single" w:sz="4" w:space="0" w:color="000000"/>
            </w:tcBorders>
          </w:tcPr>
          <w:p>
            <w:pPr>
              <w:pStyle w:val="TableParagraph"/>
              <w:spacing w:line="253" w:lineRule="exact"/>
              <w:ind w:right="82"/>
              <w:jc w:val="center"/>
              <w:rPr>
                <w:sz w:val="24"/>
              </w:rPr>
            </w:pPr>
            <w:r>
              <w:rPr>
                <w:spacing w:val="-2"/>
                <w:sz w:val="24"/>
              </w:rPr>
              <w:t>.5699</w:t>
            </w:r>
          </w:p>
        </w:tc>
        <w:tc>
          <w:tcPr>
            <w:tcW w:w="1565" w:type="dxa"/>
            <w:tcBorders>
              <w:top w:val="single" w:sz="4" w:space="0" w:color="000000"/>
              <w:bottom w:val="single" w:sz="4" w:space="0" w:color="000000"/>
              <w:right w:val="single" w:sz="4" w:space="0" w:color="000000"/>
            </w:tcBorders>
          </w:tcPr>
          <w:p>
            <w:pPr>
              <w:pStyle w:val="TableParagraph"/>
              <w:spacing w:line="253" w:lineRule="exact"/>
              <w:ind w:left="98"/>
              <w:jc w:val="center"/>
              <w:rPr>
                <w:sz w:val="24"/>
              </w:rPr>
            </w:pPr>
            <w:r>
              <w:rPr>
                <w:spacing w:val="-2"/>
                <w:sz w:val="24"/>
              </w:rPr>
              <w:t>.0267</w:t>
            </w:r>
          </w:p>
        </w:tc>
      </w:tr>
      <w:tr>
        <w:trPr>
          <w:trHeight w:val="276" w:hRule="atLeast"/>
        </w:trPr>
        <w:tc>
          <w:tcPr>
            <w:tcW w:w="1612" w:type="dxa"/>
            <w:tcBorders>
              <w:top w:val="single" w:sz="4" w:space="0" w:color="000000"/>
              <w:left w:val="single" w:sz="4" w:space="0" w:color="000000"/>
            </w:tcBorders>
          </w:tcPr>
          <w:p>
            <w:pPr>
              <w:pStyle w:val="TableParagraph"/>
              <w:spacing w:line="257" w:lineRule="exact"/>
              <w:ind w:left="91"/>
              <w:rPr>
                <w:sz w:val="24"/>
              </w:rPr>
            </w:pPr>
            <w:r>
              <w:rPr>
                <w:spacing w:val="-2"/>
                <w:sz w:val="24"/>
              </w:rPr>
              <w:t>Strategy</w:t>
            </w:r>
          </w:p>
        </w:tc>
        <w:tc>
          <w:tcPr>
            <w:tcW w:w="2066" w:type="dxa"/>
            <w:tcBorders>
              <w:top w:val="single" w:sz="4" w:space="0" w:color="000000"/>
            </w:tcBorders>
          </w:tcPr>
          <w:p>
            <w:pPr>
              <w:pStyle w:val="TableParagraph"/>
              <w:spacing w:line="257" w:lineRule="exact"/>
              <w:ind w:left="576"/>
              <w:rPr>
                <w:sz w:val="24"/>
              </w:rPr>
            </w:pPr>
            <w:r>
              <w:rPr>
                <w:spacing w:val="-2"/>
                <w:sz w:val="24"/>
              </w:rPr>
              <w:t>Student</w:t>
            </w:r>
          </w:p>
        </w:tc>
        <w:tc>
          <w:tcPr>
            <w:tcW w:w="966" w:type="dxa"/>
            <w:tcBorders>
              <w:top w:val="single" w:sz="4" w:space="0" w:color="000000"/>
            </w:tcBorders>
          </w:tcPr>
          <w:p>
            <w:pPr>
              <w:pStyle w:val="TableParagraph"/>
              <w:spacing w:line="257" w:lineRule="exact"/>
              <w:ind w:left="172"/>
              <w:jc w:val="center"/>
              <w:rPr>
                <w:sz w:val="24"/>
              </w:rPr>
            </w:pPr>
            <w:r>
              <w:rPr>
                <w:spacing w:val="-5"/>
                <w:sz w:val="24"/>
              </w:rPr>
              <w:t>229</w:t>
            </w:r>
          </w:p>
        </w:tc>
        <w:tc>
          <w:tcPr>
            <w:tcW w:w="1290" w:type="dxa"/>
            <w:tcBorders>
              <w:top w:val="single" w:sz="4" w:space="0" w:color="000000"/>
            </w:tcBorders>
          </w:tcPr>
          <w:p>
            <w:pPr>
              <w:pStyle w:val="TableParagraph"/>
              <w:spacing w:line="257" w:lineRule="exact"/>
              <w:ind w:right="132"/>
              <w:jc w:val="center"/>
              <w:rPr>
                <w:sz w:val="24"/>
              </w:rPr>
            </w:pPr>
            <w:r>
              <w:rPr>
                <w:spacing w:val="-4"/>
                <w:sz w:val="24"/>
              </w:rPr>
              <w:t>3.72</w:t>
            </w:r>
          </w:p>
        </w:tc>
        <w:tc>
          <w:tcPr>
            <w:tcW w:w="1540" w:type="dxa"/>
            <w:tcBorders>
              <w:top w:val="single" w:sz="4" w:space="0" w:color="000000"/>
            </w:tcBorders>
          </w:tcPr>
          <w:p>
            <w:pPr>
              <w:pStyle w:val="TableParagraph"/>
              <w:spacing w:line="257" w:lineRule="exact"/>
              <w:ind w:right="82"/>
              <w:jc w:val="center"/>
              <w:rPr>
                <w:sz w:val="24"/>
              </w:rPr>
            </w:pPr>
            <w:r>
              <w:rPr>
                <w:spacing w:val="-4"/>
                <w:sz w:val="24"/>
              </w:rPr>
              <w:t>.602</w:t>
            </w:r>
          </w:p>
        </w:tc>
        <w:tc>
          <w:tcPr>
            <w:tcW w:w="1565" w:type="dxa"/>
            <w:tcBorders>
              <w:top w:val="single" w:sz="4" w:space="0" w:color="000000"/>
              <w:right w:val="single" w:sz="4" w:space="0" w:color="000000"/>
            </w:tcBorders>
          </w:tcPr>
          <w:p>
            <w:pPr>
              <w:pStyle w:val="TableParagraph"/>
              <w:spacing w:line="257" w:lineRule="exact"/>
              <w:ind w:left="98"/>
              <w:jc w:val="center"/>
              <w:rPr>
                <w:sz w:val="24"/>
              </w:rPr>
            </w:pPr>
            <w:r>
              <w:rPr>
                <w:spacing w:val="-4"/>
                <w:sz w:val="24"/>
              </w:rPr>
              <w:t>.040</w:t>
            </w:r>
          </w:p>
        </w:tc>
      </w:tr>
      <w:tr>
        <w:trPr>
          <w:trHeight w:val="276" w:hRule="atLeast"/>
        </w:trPr>
        <w:tc>
          <w:tcPr>
            <w:tcW w:w="1612" w:type="dxa"/>
            <w:tcBorders>
              <w:left w:val="single" w:sz="4" w:space="0" w:color="000000"/>
            </w:tcBorders>
          </w:tcPr>
          <w:p>
            <w:pPr>
              <w:pStyle w:val="TableParagraph"/>
              <w:rPr>
                <w:rFonts w:ascii="Times New Roman"/>
                <w:sz w:val="20"/>
              </w:rPr>
            </w:pPr>
          </w:p>
        </w:tc>
        <w:tc>
          <w:tcPr>
            <w:tcW w:w="2066" w:type="dxa"/>
          </w:tcPr>
          <w:p>
            <w:pPr>
              <w:pStyle w:val="TableParagraph"/>
              <w:spacing w:line="256" w:lineRule="exact"/>
              <w:ind w:left="576"/>
              <w:rPr>
                <w:sz w:val="24"/>
              </w:rPr>
            </w:pPr>
            <w:r>
              <w:rPr>
                <w:spacing w:val="-4"/>
                <w:sz w:val="24"/>
              </w:rPr>
              <w:t>Staff</w:t>
            </w:r>
          </w:p>
        </w:tc>
        <w:tc>
          <w:tcPr>
            <w:tcW w:w="966" w:type="dxa"/>
          </w:tcPr>
          <w:p>
            <w:pPr>
              <w:pStyle w:val="TableParagraph"/>
              <w:spacing w:line="256" w:lineRule="exact"/>
              <w:ind w:left="172"/>
              <w:jc w:val="center"/>
              <w:rPr>
                <w:sz w:val="24"/>
              </w:rPr>
            </w:pPr>
            <w:r>
              <w:rPr>
                <w:spacing w:val="-5"/>
                <w:sz w:val="24"/>
              </w:rPr>
              <w:t>195</w:t>
            </w:r>
          </w:p>
        </w:tc>
        <w:tc>
          <w:tcPr>
            <w:tcW w:w="1290" w:type="dxa"/>
          </w:tcPr>
          <w:p>
            <w:pPr>
              <w:pStyle w:val="TableParagraph"/>
              <w:spacing w:line="256" w:lineRule="exact"/>
              <w:ind w:right="132"/>
              <w:jc w:val="center"/>
              <w:rPr>
                <w:sz w:val="24"/>
              </w:rPr>
            </w:pPr>
            <w:r>
              <w:rPr>
                <w:spacing w:val="-4"/>
                <w:sz w:val="24"/>
              </w:rPr>
              <w:t>3.86</w:t>
            </w:r>
          </w:p>
        </w:tc>
        <w:tc>
          <w:tcPr>
            <w:tcW w:w="1540" w:type="dxa"/>
          </w:tcPr>
          <w:p>
            <w:pPr>
              <w:pStyle w:val="TableParagraph"/>
              <w:spacing w:line="256" w:lineRule="exact"/>
              <w:ind w:right="82"/>
              <w:jc w:val="center"/>
              <w:rPr>
                <w:sz w:val="24"/>
              </w:rPr>
            </w:pPr>
            <w:r>
              <w:rPr>
                <w:spacing w:val="-4"/>
                <w:sz w:val="24"/>
              </w:rPr>
              <w:t>.568</w:t>
            </w:r>
          </w:p>
        </w:tc>
        <w:tc>
          <w:tcPr>
            <w:tcW w:w="1565" w:type="dxa"/>
            <w:tcBorders>
              <w:right w:val="single" w:sz="4" w:space="0" w:color="000000"/>
            </w:tcBorders>
          </w:tcPr>
          <w:p>
            <w:pPr>
              <w:pStyle w:val="TableParagraph"/>
              <w:spacing w:line="256" w:lineRule="exact"/>
              <w:ind w:left="98"/>
              <w:jc w:val="center"/>
              <w:rPr>
                <w:sz w:val="24"/>
              </w:rPr>
            </w:pPr>
            <w:r>
              <w:rPr>
                <w:spacing w:val="-4"/>
                <w:sz w:val="24"/>
              </w:rPr>
              <w:t>.041</w:t>
            </w:r>
          </w:p>
        </w:tc>
      </w:tr>
      <w:tr>
        <w:trPr>
          <w:trHeight w:val="277" w:hRule="atLeast"/>
        </w:trPr>
        <w:tc>
          <w:tcPr>
            <w:tcW w:w="1612" w:type="dxa"/>
            <w:tcBorders>
              <w:left w:val="single" w:sz="4" w:space="0" w:color="000000"/>
              <w:bottom w:val="single" w:sz="4" w:space="0" w:color="000000"/>
            </w:tcBorders>
          </w:tcPr>
          <w:p>
            <w:pPr>
              <w:pStyle w:val="TableParagraph"/>
              <w:rPr>
                <w:rFonts w:ascii="Times New Roman"/>
                <w:sz w:val="20"/>
              </w:rPr>
            </w:pPr>
          </w:p>
        </w:tc>
        <w:tc>
          <w:tcPr>
            <w:tcW w:w="2066" w:type="dxa"/>
            <w:tcBorders>
              <w:bottom w:val="single" w:sz="4" w:space="0" w:color="000000"/>
            </w:tcBorders>
          </w:tcPr>
          <w:p>
            <w:pPr>
              <w:pStyle w:val="TableParagraph"/>
              <w:spacing w:line="257" w:lineRule="exact"/>
              <w:ind w:left="576"/>
              <w:rPr>
                <w:sz w:val="24"/>
              </w:rPr>
            </w:pPr>
            <w:r>
              <w:rPr>
                <w:spacing w:val="-2"/>
                <w:sz w:val="24"/>
              </w:rPr>
              <w:t>Managmet</w:t>
            </w:r>
          </w:p>
        </w:tc>
        <w:tc>
          <w:tcPr>
            <w:tcW w:w="966" w:type="dxa"/>
            <w:tcBorders>
              <w:bottom w:val="single" w:sz="4" w:space="0" w:color="000000"/>
            </w:tcBorders>
          </w:tcPr>
          <w:p>
            <w:pPr>
              <w:pStyle w:val="TableParagraph"/>
              <w:spacing w:line="257" w:lineRule="exact"/>
              <w:ind w:left="172" w:right="9"/>
              <w:jc w:val="center"/>
              <w:rPr>
                <w:sz w:val="24"/>
              </w:rPr>
            </w:pPr>
            <w:r>
              <w:rPr>
                <w:spacing w:val="-5"/>
                <w:sz w:val="24"/>
              </w:rPr>
              <w:t>22</w:t>
            </w:r>
          </w:p>
        </w:tc>
        <w:tc>
          <w:tcPr>
            <w:tcW w:w="1290" w:type="dxa"/>
            <w:tcBorders>
              <w:bottom w:val="single" w:sz="4" w:space="0" w:color="000000"/>
            </w:tcBorders>
          </w:tcPr>
          <w:p>
            <w:pPr>
              <w:pStyle w:val="TableParagraph"/>
              <w:spacing w:line="257" w:lineRule="exact"/>
              <w:ind w:right="132"/>
              <w:jc w:val="center"/>
              <w:rPr>
                <w:sz w:val="24"/>
              </w:rPr>
            </w:pPr>
            <w:r>
              <w:rPr>
                <w:spacing w:val="-4"/>
                <w:sz w:val="24"/>
              </w:rPr>
              <w:t>4.04</w:t>
            </w:r>
          </w:p>
        </w:tc>
        <w:tc>
          <w:tcPr>
            <w:tcW w:w="1540" w:type="dxa"/>
            <w:tcBorders>
              <w:bottom w:val="single" w:sz="4" w:space="0" w:color="000000"/>
            </w:tcBorders>
          </w:tcPr>
          <w:p>
            <w:pPr>
              <w:pStyle w:val="TableParagraph"/>
              <w:spacing w:line="257" w:lineRule="exact"/>
              <w:ind w:right="82"/>
              <w:jc w:val="center"/>
              <w:rPr>
                <w:sz w:val="24"/>
              </w:rPr>
            </w:pPr>
            <w:r>
              <w:rPr>
                <w:spacing w:val="-4"/>
                <w:sz w:val="24"/>
              </w:rPr>
              <w:t>.498</w:t>
            </w:r>
          </w:p>
        </w:tc>
        <w:tc>
          <w:tcPr>
            <w:tcW w:w="1565" w:type="dxa"/>
            <w:tcBorders>
              <w:bottom w:val="single" w:sz="4" w:space="0" w:color="000000"/>
              <w:right w:val="single" w:sz="4" w:space="0" w:color="000000"/>
            </w:tcBorders>
          </w:tcPr>
          <w:p>
            <w:pPr>
              <w:pStyle w:val="TableParagraph"/>
              <w:spacing w:line="257" w:lineRule="exact"/>
              <w:ind w:left="98"/>
              <w:jc w:val="center"/>
              <w:rPr>
                <w:sz w:val="24"/>
              </w:rPr>
            </w:pPr>
            <w:r>
              <w:rPr>
                <w:spacing w:val="-4"/>
                <w:sz w:val="24"/>
              </w:rPr>
              <w:t>.106</w:t>
            </w:r>
          </w:p>
        </w:tc>
      </w:tr>
      <w:tr>
        <w:trPr>
          <w:trHeight w:val="273" w:hRule="atLeast"/>
        </w:trPr>
        <w:tc>
          <w:tcPr>
            <w:tcW w:w="1612"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2066" w:type="dxa"/>
            <w:tcBorders>
              <w:top w:val="single" w:sz="4" w:space="0" w:color="000000"/>
              <w:bottom w:val="single" w:sz="4" w:space="0" w:color="000000"/>
            </w:tcBorders>
          </w:tcPr>
          <w:p>
            <w:pPr>
              <w:pStyle w:val="TableParagraph"/>
              <w:spacing w:line="253" w:lineRule="exact"/>
              <w:ind w:left="576"/>
              <w:rPr>
                <w:sz w:val="24"/>
              </w:rPr>
            </w:pPr>
            <w:r>
              <w:rPr>
                <w:spacing w:val="-2"/>
                <w:sz w:val="24"/>
              </w:rPr>
              <w:t>Total</w:t>
            </w:r>
          </w:p>
        </w:tc>
        <w:tc>
          <w:tcPr>
            <w:tcW w:w="966" w:type="dxa"/>
            <w:tcBorders>
              <w:top w:val="single" w:sz="4" w:space="0" w:color="000000"/>
              <w:bottom w:val="single" w:sz="4" w:space="0" w:color="000000"/>
            </w:tcBorders>
          </w:tcPr>
          <w:p>
            <w:pPr>
              <w:pStyle w:val="TableParagraph"/>
              <w:spacing w:line="253" w:lineRule="exact"/>
              <w:ind w:left="172"/>
              <w:jc w:val="center"/>
              <w:rPr>
                <w:sz w:val="24"/>
              </w:rPr>
            </w:pPr>
            <w:r>
              <w:rPr>
                <w:spacing w:val="-5"/>
                <w:sz w:val="24"/>
              </w:rPr>
              <w:t>446</w:t>
            </w:r>
          </w:p>
        </w:tc>
        <w:tc>
          <w:tcPr>
            <w:tcW w:w="1290" w:type="dxa"/>
            <w:tcBorders>
              <w:top w:val="single" w:sz="4" w:space="0" w:color="000000"/>
              <w:bottom w:val="single" w:sz="4" w:space="0" w:color="000000"/>
            </w:tcBorders>
          </w:tcPr>
          <w:p>
            <w:pPr>
              <w:pStyle w:val="TableParagraph"/>
              <w:spacing w:line="253" w:lineRule="exact"/>
              <w:ind w:right="132"/>
              <w:jc w:val="center"/>
              <w:rPr>
                <w:sz w:val="24"/>
              </w:rPr>
            </w:pPr>
            <w:r>
              <w:rPr>
                <w:spacing w:val="-4"/>
                <w:sz w:val="24"/>
              </w:rPr>
              <w:t>3.79</w:t>
            </w:r>
          </w:p>
        </w:tc>
        <w:tc>
          <w:tcPr>
            <w:tcW w:w="1540" w:type="dxa"/>
            <w:tcBorders>
              <w:top w:val="single" w:sz="4" w:space="0" w:color="000000"/>
              <w:bottom w:val="single" w:sz="4" w:space="0" w:color="000000"/>
            </w:tcBorders>
          </w:tcPr>
          <w:p>
            <w:pPr>
              <w:pStyle w:val="TableParagraph"/>
              <w:spacing w:line="253" w:lineRule="exact"/>
              <w:ind w:right="82"/>
              <w:jc w:val="center"/>
              <w:rPr>
                <w:sz w:val="24"/>
              </w:rPr>
            </w:pPr>
            <w:r>
              <w:rPr>
                <w:spacing w:val="-4"/>
                <w:sz w:val="24"/>
              </w:rPr>
              <w:t>.588</w:t>
            </w:r>
          </w:p>
        </w:tc>
        <w:tc>
          <w:tcPr>
            <w:tcW w:w="1565" w:type="dxa"/>
            <w:tcBorders>
              <w:top w:val="single" w:sz="4" w:space="0" w:color="000000"/>
              <w:bottom w:val="single" w:sz="4" w:space="0" w:color="000000"/>
              <w:right w:val="single" w:sz="4" w:space="0" w:color="000000"/>
            </w:tcBorders>
          </w:tcPr>
          <w:p>
            <w:pPr>
              <w:pStyle w:val="TableParagraph"/>
              <w:spacing w:line="253" w:lineRule="exact"/>
              <w:ind w:left="98"/>
              <w:jc w:val="center"/>
              <w:rPr>
                <w:sz w:val="24"/>
              </w:rPr>
            </w:pPr>
            <w:r>
              <w:rPr>
                <w:spacing w:val="-4"/>
                <w:sz w:val="24"/>
              </w:rPr>
              <w:t>.028</w:t>
            </w:r>
          </w:p>
        </w:tc>
      </w:tr>
      <w:tr>
        <w:trPr>
          <w:trHeight w:val="276" w:hRule="atLeast"/>
        </w:trPr>
        <w:tc>
          <w:tcPr>
            <w:tcW w:w="1612" w:type="dxa"/>
            <w:tcBorders>
              <w:top w:val="single" w:sz="4" w:space="0" w:color="000000"/>
              <w:left w:val="single" w:sz="4" w:space="0" w:color="000000"/>
            </w:tcBorders>
          </w:tcPr>
          <w:p>
            <w:pPr>
              <w:pStyle w:val="TableParagraph"/>
              <w:spacing w:line="257" w:lineRule="exact"/>
              <w:ind w:left="91"/>
              <w:rPr>
                <w:sz w:val="24"/>
              </w:rPr>
            </w:pPr>
            <w:r>
              <w:rPr>
                <w:spacing w:val="-2"/>
                <w:sz w:val="24"/>
              </w:rPr>
              <w:t>Services</w:t>
            </w:r>
          </w:p>
        </w:tc>
        <w:tc>
          <w:tcPr>
            <w:tcW w:w="2066" w:type="dxa"/>
            <w:tcBorders>
              <w:top w:val="single" w:sz="4" w:space="0" w:color="000000"/>
            </w:tcBorders>
          </w:tcPr>
          <w:p>
            <w:pPr>
              <w:pStyle w:val="TableParagraph"/>
              <w:spacing w:line="257" w:lineRule="exact"/>
              <w:ind w:left="576"/>
              <w:rPr>
                <w:sz w:val="24"/>
              </w:rPr>
            </w:pPr>
            <w:r>
              <w:rPr>
                <w:spacing w:val="-2"/>
                <w:sz w:val="24"/>
              </w:rPr>
              <w:t>Student</w:t>
            </w:r>
          </w:p>
        </w:tc>
        <w:tc>
          <w:tcPr>
            <w:tcW w:w="966" w:type="dxa"/>
            <w:tcBorders>
              <w:top w:val="single" w:sz="4" w:space="0" w:color="000000"/>
            </w:tcBorders>
          </w:tcPr>
          <w:p>
            <w:pPr>
              <w:pStyle w:val="TableParagraph"/>
              <w:spacing w:line="257" w:lineRule="exact"/>
              <w:ind w:left="172"/>
              <w:jc w:val="center"/>
              <w:rPr>
                <w:sz w:val="24"/>
              </w:rPr>
            </w:pPr>
            <w:r>
              <w:rPr>
                <w:spacing w:val="-5"/>
                <w:sz w:val="24"/>
              </w:rPr>
              <w:t>235</w:t>
            </w:r>
          </w:p>
        </w:tc>
        <w:tc>
          <w:tcPr>
            <w:tcW w:w="1290" w:type="dxa"/>
            <w:tcBorders>
              <w:top w:val="single" w:sz="4" w:space="0" w:color="000000"/>
            </w:tcBorders>
          </w:tcPr>
          <w:p>
            <w:pPr>
              <w:pStyle w:val="TableParagraph"/>
              <w:spacing w:line="257" w:lineRule="exact"/>
              <w:ind w:right="132"/>
              <w:jc w:val="center"/>
              <w:rPr>
                <w:sz w:val="24"/>
              </w:rPr>
            </w:pPr>
            <w:r>
              <w:rPr>
                <w:spacing w:val="-2"/>
                <w:sz w:val="24"/>
              </w:rPr>
              <w:t>2.3979</w:t>
            </w:r>
          </w:p>
        </w:tc>
        <w:tc>
          <w:tcPr>
            <w:tcW w:w="1540" w:type="dxa"/>
            <w:tcBorders>
              <w:top w:val="single" w:sz="4" w:space="0" w:color="000000"/>
            </w:tcBorders>
          </w:tcPr>
          <w:p>
            <w:pPr>
              <w:pStyle w:val="TableParagraph"/>
              <w:spacing w:line="257" w:lineRule="exact"/>
              <w:ind w:right="82"/>
              <w:jc w:val="center"/>
              <w:rPr>
                <w:sz w:val="24"/>
              </w:rPr>
            </w:pPr>
            <w:r>
              <w:rPr>
                <w:spacing w:val="-2"/>
                <w:sz w:val="24"/>
              </w:rPr>
              <w:t>.46574</w:t>
            </w:r>
          </w:p>
        </w:tc>
        <w:tc>
          <w:tcPr>
            <w:tcW w:w="1565" w:type="dxa"/>
            <w:tcBorders>
              <w:top w:val="single" w:sz="4" w:space="0" w:color="000000"/>
              <w:right w:val="single" w:sz="4" w:space="0" w:color="000000"/>
            </w:tcBorders>
          </w:tcPr>
          <w:p>
            <w:pPr>
              <w:pStyle w:val="TableParagraph"/>
              <w:spacing w:line="257" w:lineRule="exact"/>
              <w:ind w:left="98"/>
              <w:jc w:val="center"/>
              <w:rPr>
                <w:sz w:val="24"/>
              </w:rPr>
            </w:pPr>
            <w:r>
              <w:rPr>
                <w:spacing w:val="-2"/>
                <w:sz w:val="24"/>
              </w:rPr>
              <w:t>.03038</w:t>
            </w:r>
          </w:p>
        </w:tc>
      </w:tr>
      <w:tr>
        <w:trPr>
          <w:trHeight w:val="275" w:hRule="atLeast"/>
        </w:trPr>
        <w:tc>
          <w:tcPr>
            <w:tcW w:w="1612" w:type="dxa"/>
            <w:tcBorders>
              <w:left w:val="single" w:sz="4" w:space="0" w:color="000000"/>
            </w:tcBorders>
          </w:tcPr>
          <w:p>
            <w:pPr>
              <w:pStyle w:val="TableParagraph"/>
              <w:rPr>
                <w:rFonts w:ascii="Times New Roman"/>
                <w:sz w:val="20"/>
              </w:rPr>
            </w:pPr>
          </w:p>
        </w:tc>
        <w:tc>
          <w:tcPr>
            <w:tcW w:w="2066" w:type="dxa"/>
          </w:tcPr>
          <w:p>
            <w:pPr>
              <w:pStyle w:val="TableParagraph"/>
              <w:spacing w:line="256" w:lineRule="exact"/>
              <w:ind w:left="576"/>
              <w:rPr>
                <w:sz w:val="24"/>
              </w:rPr>
            </w:pPr>
            <w:r>
              <w:rPr>
                <w:spacing w:val="-4"/>
                <w:sz w:val="24"/>
              </w:rPr>
              <w:t>Staff</w:t>
            </w:r>
          </w:p>
        </w:tc>
        <w:tc>
          <w:tcPr>
            <w:tcW w:w="966" w:type="dxa"/>
          </w:tcPr>
          <w:p>
            <w:pPr>
              <w:pStyle w:val="TableParagraph"/>
              <w:spacing w:line="256" w:lineRule="exact"/>
              <w:ind w:left="172"/>
              <w:jc w:val="center"/>
              <w:rPr>
                <w:sz w:val="24"/>
              </w:rPr>
            </w:pPr>
            <w:r>
              <w:rPr>
                <w:spacing w:val="-5"/>
                <w:sz w:val="24"/>
              </w:rPr>
              <w:t>202</w:t>
            </w:r>
          </w:p>
        </w:tc>
        <w:tc>
          <w:tcPr>
            <w:tcW w:w="1290" w:type="dxa"/>
          </w:tcPr>
          <w:p>
            <w:pPr>
              <w:pStyle w:val="TableParagraph"/>
              <w:spacing w:line="256" w:lineRule="exact"/>
              <w:ind w:right="132"/>
              <w:jc w:val="center"/>
              <w:rPr>
                <w:sz w:val="24"/>
              </w:rPr>
            </w:pPr>
            <w:r>
              <w:rPr>
                <w:spacing w:val="-2"/>
                <w:sz w:val="24"/>
              </w:rPr>
              <w:t>2.2527</w:t>
            </w:r>
          </w:p>
        </w:tc>
        <w:tc>
          <w:tcPr>
            <w:tcW w:w="1540" w:type="dxa"/>
          </w:tcPr>
          <w:p>
            <w:pPr>
              <w:pStyle w:val="TableParagraph"/>
              <w:spacing w:line="256" w:lineRule="exact"/>
              <w:ind w:right="82"/>
              <w:jc w:val="center"/>
              <w:rPr>
                <w:sz w:val="24"/>
              </w:rPr>
            </w:pPr>
            <w:r>
              <w:rPr>
                <w:spacing w:val="-2"/>
                <w:sz w:val="24"/>
              </w:rPr>
              <w:t>.56969</w:t>
            </w:r>
          </w:p>
        </w:tc>
        <w:tc>
          <w:tcPr>
            <w:tcW w:w="1565" w:type="dxa"/>
            <w:tcBorders>
              <w:right w:val="single" w:sz="4" w:space="0" w:color="000000"/>
            </w:tcBorders>
          </w:tcPr>
          <w:p>
            <w:pPr>
              <w:pStyle w:val="TableParagraph"/>
              <w:spacing w:line="256" w:lineRule="exact"/>
              <w:ind w:left="98"/>
              <w:jc w:val="center"/>
              <w:rPr>
                <w:sz w:val="24"/>
              </w:rPr>
            </w:pPr>
            <w:r>
              <w:rPr>
                <w:spacing w:val="-2"/>
                <w:sz w:val="24"/>
              </w:rPr>
              <w:t>.04008</w:t>
            </w:r>
          </w:p>
        </w:tc>
      </w:tr>
      <w:tr>
        <w:trPr>
          <w:trHeight w:val="277" w:hRule="atLeast"/>
        </w:trPr>
        <w:tc>
          <w:tcPr>
            <w:tcW w:w="1612" w:type="dxa"/>
            <w:tcBorders>
              <w:left w:val="single" w:sz="4" w:space="0" w:color="000000"/>
              <w:bottom w:val="single" w:sz="4" w:space="0" w:color="000000"/>
            </w:tcBorders>
          </w:tcPr>
          <w:p>
            <w:pPr>
              <w:pStyle w:val="TableParagraph"/>
              <w:rPr>
                <w:rFonts w:ascii="Times New Roman"/>
                <w:sz w:val="20"/>
              </w:rPr>
            </w:pPr>
          </w:p>
        </w:tc>
        <w:tc>
          <w:tcPr>
            <w:tcW w:w="2066" w:type="dxa"/>
            <w:tcBorders>
              <w:bottom w:val="single" w:sz="4" w:space="0" w:color="000000"/>
            </w:tcBorders>
          </w:tcPr>
          <w:p>
            <w:pPr>
              <w:pStyle w:val="TableParagraph"/>
              <w:spacing w:line="257" w:lineRule="exact"/>
              <w:ind w:left="576"/>
              <w:rPr>
                <w:sz w:val="24"/>
              </w:rPr>
            </w:pPr>
            <w:r>
              <w:rPr>
                <w:spacing w:val="-2"/>
                <w:sz w:val="24"/>
              </w:rPr>
              <w:t>Managmet</w:t>
            </w:r>
          </w:p>
        </w:tc>
        <w:tc>
          <w:tcPr>
            <w:tcW w:w="966" w:type="dxa"/>
            <w:tcBorders>
              <w:bottom w:val="single" w:sz="4" w:space="0" w:color="000000"/>
            </w:tcBorders>
          </w:tcPr>
          <w:p>
            <w:pPr>
              <w:pStyle w:val="TableParagraph"/>
              <w:spacing w:line="257" w:lineRule="exact"/>
              <w:ind w:left="172" w:right="9"/>
              <w:jc w:val="center"/>
              <w:rPr>
                <w:sz w:val="24"/>
              </w:rPr>
            </w:pPr>
            <w:r>
              <w:rPr>
                <w:spacing w:val="-5"/>
                <w:sz w:val="24"/>
              </w:rPr>
              <w:t>23</w:t>
            </w:r>
          </w:p>
        </w:tc>
        <w:tc>
          <w:tcPr>
            <w:tcW w:w="1290" w:type="dxa"/>
            <w:tcBorders>
              <w:bottom w:val="single" w:sz="4" w:space="0" w:color="000000"/>
            </w:tcBorders>
          </w:tcPr>
          <w:p>
            <w:pPr>
              <w:pStyle w:val="TableParagraph"/>
              <w:spacing w:line="257" w:lineRule="exact"/>
              <w:ind w:right="132"/>
              <w:jc w:val="center"/>
              <w:rPr>
                <w:sz w:val="24"/>
              </w:rPr>
            </w:pPr>
            <w:r>
              <w:rPr>
                <w:spacing w:val="-2"/>
                <w:sz w:val="24"/>
              </w:rPr>
              <w:t>2.2848</w:t>
            </w:r>
          </w:p>
        </w:tc>
        <w:tc>
          <w:tcPr>
            <w:tcW w:w="1540" w:type="dxa"/>
            <w:tcBorders>
              <w:bottom w:val="single" w:sz="4" w:space="0" w:color="000000"/>
            </w:tcBorders>
          </w:tcPr>
          <w:p>
            <w:pPr>
              <w:pStyle w:val="TableParagraph"/>
              <w:spacing w:line="257" w:lineRule="exact"/>
              <w:ind w:right="82"/>
              <w:jc w:val="center"/>
              <w:rPr>
                <w:sz w:val="24"/>
              </w:rPr>
            </w:pPr>
            <w:r>
              <w:rPr>
                <w:spacing w:val="-2"/>
                <w:sz w:val="24"/>
              </w:rPr>
              <w:t>.42672</w:t>
            </w:r>
          </w:p>
        </w:tc>
        <w:tc>
          <w:tcPr>
            <w:tcW w:w="1565" w:type="dxa"/>
            <w:tcBorders>
              <w:bottom w:val="single" w:sz="4" w:space="0" w:color="000000"/>
              <w:right w:val="single" w:sz="4" w:space="0" w:color="000000"/>
            </w:tcBorders>
          </w:tcPr>
          <w:p>
            <w:pPr>
              <w:pStyle w:val="TableParagraph"/>
              <w:spacing w:line="257" w:lineRule="exact"/>
              <w:ind w:left="98"/>
              <w:jc w:val="center"/>
              <w:rPr>
                <w:sz w:val="24"/>
              </w:rPr>
            </w:pPr>
            <w:r>
              <w:rPr>
                <w:spacing w:val="-2"/>
                <w:sz w:val="24"/>
              </w:rPr>
              <w:t>.08898</w:t>
            </w:r>
          </w:p>
        </w:tc>
      </w:tr>
      <w:tr>
        <w:trPr>
          <w:trHeight w:val="273" w:hRule="atLeast"/>
        </w:trPr>
        <w:tc>
          <w:tcPr>
            <w:tcW w:w="1612"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2066" w:type="dxa"/>
            <w:tcBorders>
              <w:top w:val="single" w:sz="4" w:space="0" w:color="000000"/>
              <w:bottom w:val="single" w:sz="4" w:space="0" w:color="000000"/>
            </w:tcBorders>
          </w:tcPr>
          <w:p>
            <w:pPr>
              <w:pStyle w:val="TableParagraph"/>
              <w:spacing w:line="253" w:lineRule="exact"/>
              <w:ind w:left="576"/>
              <w:rPr>
                <w:sz w:val="24"/>
              </w:rPr>
            </w:pPr>
            <w:r>
              <w:rPr>
                <w:spacing w:val="-2"/>
                <w:sz w:val="24"/>
              </w:rPr>
              <w:t>Total</w:t>
            </w:r>
          </w:p>
        </w:tc>
        <w:tc>
          <w:tcPr>
            <w:tcW w:w="966" w:type="dxa"/>
            <w:tcBorders>
              <w:top w:val="single" w:sz="4" w:space="0" w:color="000000"/>
              <w:bottom w:val="single" w:sz="4" w:space="0" w:color="000000"/>
            </w:tcBorders>
          </w:tcPr>
          <w:p>
            <w:pPr>
              <w:pStyle w:val="TableParagraph"/>
              <w:spacing w:line="253" w:lineRule="exact"/>
              <w:ind w:left="172"/>
              <w:jc w:val="center"/>
              <w:rPr>
                <w:sz w:val="24"/>
              </w:rPr>
            </w:pPr>
            <w:r>
              <w:rPr>
                <w:spacing w:val="-5"/>
                <w:sz w:val="24"/>
              </w:rPr>
              <w:t>460</w:t>
            </w:r>
          </w:p>
        </w:tc>
        <w:tc>
          <w:tcPr>
            <w:tcW w:w="1290" w:type="dxa"/>
            <w:tcBorders>
              <w:top w:val="single" w:sz="4" w:space="0" w:color="000000"/>
              <w:bottom w:val="single" w:sz="4" w:space="0" w:color="000000"/>
            </w:tcBorders>
          </w:tcPr>
          <w:p>
            <w:pPr>
              <w:pStyle w:val="TableParagraph"/>
              <w:spacing w:line="253" w:lineRule="exact"/>
              <w:ind w:right="132"/>
              <w:jc w:val="center"/>
              <w:rPr>
                <w:sz w:val="24"/>
              </w:rPr>
            </w:pPr>
            <w:r>
              <w:rPr>
                <w:spacing w:val="-2"/>
                <w:sz w:val="24"/>
              </w:rPr>
              <w:t>2.3285</w:t>
            </w:r>
          </w:p>
        </w:tc>
        <w:tc>
          <w:tcPr>
            <w:tcW w:w="1540" w:type="dxa"/>
            <w:tcBorders>
              <w:top w:val="single" w:sz="4" w:space="0" w:color="000000"/>
              <w:bottom w:val="single" w:sz="4" w:space="0" w:color="000000"/>
            </w:tcBorders>
          </w:tcPr>
          <w:p>
            <w:pPr>
              <w:pStyle w:val="TableParagraph"/>
              <w:spacing w:line="253" w:lineRule="exact"/>
              <w:ind w:right="82"/>
              <w:jc w:val="center"/>
              <w:rPr>
                <w:sz w:val="24"/>
              </w:rPr>
            </w:pPr>
            <w:r>
              <w:rPr>
                <w:spacing w:val="-2"/>
                <w:sz w:val="24"/>
              </w:rPr>
              <w:t>.51627</w:t>
            </w:r>
          </w:p>
        </w:tc>
        <w:tc>
          <w:tcPr>
            <w:tcW w:w="1565" w:type="dxa"/>
            <w:tcBorders>
              <w:top w:val="single" w:sz="4" w:space="0" w:color="000000"/>
              <w:bottom w:val="single" w:sz="4" w:space="0" w:color="000000"/>
              <w:right w:val="single" w:sz="4" w:space="0" w:color="000000"/>
            </w:tcBorders>
          </w:tcPr>
          <w:p>
            <w:pPr>
              <w:pStyle w:val="TableParagraph"/>
              <w:spacing w:line="253" w:lineRule="exact"/>
              <w:ind w:left="98"/>
              <w:jc w:val="center"/>
              <w:rPr>
                <w:sz w:val="24"/>
              </w:rPr>
            </w:pPr>
            <w:r>
              <w:rPr>
                <w:spacing w:val="-2"/>
                <w:sz w:val="24"/>
              </w:rPr>
              <w:t>.02407</w:t>
            </w:r>
          </w:p>
        </w:tc>
      </w:tr>
      <w:tr>
        <w:trPr>
          <w:trHeight w:val="276" w:hRule="atLeast"/>
        </w:trPr>
        <w:tc>
          <w:tcPr>
            <w:tcW w:w="1612" w:type="dxa"/>
            <w:tcBorders>
              <w:top w:val="single" w:sz="4" w:space="0" w:color="000000"/>
              <w:left w:val="single" w:sz="4" w:space="0" w:color="000000"/>
            </w:tcBorders>
          </w:tcPr>
          <w:p>
            <w:pPr>
              <w:pStyle w:val="TableParagraph"/>
              <w:spacing w:line="257" w:lineRule="exact"/>
              <w:ind w:left="91"/>
              <w:rPr>
                <w:sz w:val="24"/>
              </w:rPr>
            </w:pPr>
            <w:r>
              <w:rPr>
                <w:spacing w:val="-2"/>
                <w:sz w:val="24"/>
              </w:rPr>
              <w:t>Impacts</w:t>
            </w:r>
          </w:p>
        </w:tc>
        <w:tc>
          <w:tcPr>
            <w:tcW w:w="2066" w:type="dxa"/>
            <w:tcBorders>
              <w:top w:val="single" w:sz="4" w:space="0" w:color="000000"/>
            </w:tcBorders>
          </w:tcPr>
          <w:p>
            <w:pPr>
              <w:pStyle w:val="TableParagraph"/>
              <w:spacing w:line="257" w:lineRule="exact"/>
              <w:ind w:left="576"/>
              <w:rPr>
                <w:sz w:val="24"/>
              </w:rPr>
            </w:pPr>
            <w:r>
              <w:rPr>
                <w:spacing w:val="-2"/>
                <w:sz w:val="24"/>
              </w:rPr>
              <w:t>Student</w:t>
            </w:r>
          </w:p>
        </w:tc>
        <w:tc>
          <w:tcPr>
            <w:tcW w:w="966" w:type="dxa"/>
            <w:tcBorders>
              <w:top w:val="single" w:sz="4" w:space="0" w:color="000000"/>
            </w:tcBorders>
          </w:tcPr>
          <w:p>
            <w:pPr>
              <w:pStyle w:val="TableParagraph"/>
              <w:spacing w:line="257" w:lineRule="exact"/>
              <w:ind w:left="172"/>
              <w:jc w:val="center"/>
              <w:rPr>
                <w:sz w:val="24"/>
              </w:rPr>
            </w:pPr>
            <w:r>
              <w:rPr>
                <w:spacing w:val="-5"/>
                <w:sz w:val="24"/>
              </w:rPr>
              <w:t>235</w:t>
            </w:r>
          </w:p>
        </w:tc>
        <w:tc>
          <w:tcPr>
            <w:tcW w:w="1290" w:type="dxa"/>
            <w:tcBorders>
              <w:top w:val="single" w:sz="4" w:space="0" w:color="000000"/>
            </w:tcBorders>
          </w:tcPr>
          <w:p>
            <w:pPr>
              <w:pStyle w:val="TableParagraph"/>
              <w:spacing w:line="257" w:lineRule="exact"/>
              <w:ind w:right="132"/>
              <w:jc w:val="center"/>
              <w:rPr>
                <w:sz w:val="24"/>
              </w:rPr>
            </w:pPr>
            <w:r>
              <w:rPr>
                <w:spacing w:val="-2"/>
                <w:sz w:val="24"/>
              </w:rPr>
              <w:t>3.7344</w:t>
            </w:r>
          </w:p>
        </w:tc>
        <w:tc>
          <w:tcPr>
            <w:tcW w:w="1540" w:type="dxa"/>
            <w:tcBorders>
              <w:top w:val="single" w:sz="4" w:space="0" w:color="000000"/>
            </w:tcBorders>
          </w:tcPr>
          <w:p>
            <w:pPr>
              <w:pStyle w:val="TableParagraph"/>
              <w:spacing w:line="257" w:lineRule="exact"/>
              <w:ind w:right="82"/>
              <w:jc w:val="center"/>
              <w:rPr>
                <w:sz w:val="24"/>
              </w:rPr>
            </w:pPr>
            <w:r>
              <w:rPr>
                <w:spacing w:val="-2"/>
                <w:sz w:val="24"/>
              </w:rPr>
              <w:t>.32867</w:t>
            </w:r>
          </w:p>
        </w:tc>
        <w:tc>
          <w:tcPr>
            <w:tcW w:w="1565" w:type="dxa"/>
            <w:tcBorders>
              <w:top w:val="single" w:sz="4" w:space="0" w:color="000000"/>
              <w:right w:val="single" w:sz="4" w:space="0" w:color="000000"/>
            </w:tcBorders>
          </w:tcPr>
          <w:p>
            <w:pPr>
              <w:pStyle w:val="TableParagraph"/>
              <w:spacing w:line="257" w:lineRule="exact"/>
              <w:ind w:left="98"/>
              <w:jc w:val="center"/>
              <w:rPr>
                <w:sz w:val="24"/>
              </w:rPr>
            </w:pPr>
            <w:r>
              <w:rPr>
                <w:spacing w:val="-2"/>
                <w:sz w:val="24"/>
              </w:rPr>
              <w:t>.02144</w:t>
            </w:r>
          </w:p>
        </w:tc>
      </w:tr>
      <w:tr>
        <w:trPr>
          <w:trHeight w:val="276" w:hRule="atLeast"/>
        </w:trPr>
        <w:tc>
          <w:tcPr>
            <w:tcW w:w="1612" w:type="dxa"/>
            <w:tcBorders>
              <w:left w:val="single" w:sz="4" w:space="0" w:color="000000"/>
            </w:tcBorders>
          </w:tcPr>
          <w:p>
            <w:pPr>
              <w:pStyle w:val="TableParagraph"/>
              <w:rPr>
                <w:rFonts w:ascii="Times New Roman"/>
                <w:sz w:val="20"/>
              </w:rPr>
            </w:pPr>
          </w:p>
        </w:tc>
        <w:tc>
          <w:tcPr>
            <w:tcW w:w="2066" w:type="dxa"/>
          </w:tcPr>
          <w:p>
            <w:pPr>
              <w:pStyle w:val="TableParagraph"/>
              <w:spacing w:line="256" w:lineRule="exact"/>
              <w:ind w:left="576"/>
              <w:rPr>
                <w:sz w:val="24"/>
              </w:rPr>
            </w:pPr>
            <w:r>
              <w:rPr>
                <w:spacing w:val="-4"/>
                <w:sz w:val="24"/>
              </w:rPr>
              <w:t>Staff</w:t>
            </w:r>
          </w:p>
        </w:tc>
        <w:tc>
          <w:tcPr>
            <w:tcW w:w="966" w:type="dxa"/>
          </w:tcPr>
          <w:p>
            <w:pPr>
              <w:pStyle w:val="TableParagraph"/>
              <w:spacing w:line="256" w:lineRule="exact"/>
              <w:ind w:left="172"/>
              <w:jc w:val="center"/>
              <w:rPr>
                <w:sz w:val="24"/>
              </w:rPr>
            </w:pPr>
            <w:r>
              <w:rPr>
                <w:spacing w:val="-5"/>
                <w:sz w:val="24"/>
              </w:rPr>
              <w:t>203</w:t>
            </w:r>
          </w:p>
        </w:tc>
        <w:tc>
          <w:tcPr>
            <w:tcW w:w="1290" w:type="dxa"/>
          </w:tcPr>
          <w:p>
            <w:pPr>
              <w:pStyle w:val="TableParagraph"/>
              <w:spacing w:line="256" w:lineRule="exact"/>
              <w:ind w:right="132"/>
              <w:jc w:val="center"/>
              <w:rPr>
                <w:sz w:val="24"/>
              </w:rPr>
            </w:pPr>
            <w:r>
              <w:rPr>
                <w:spacing w:val="-2"/>
                <w:sz w:val="24"/>
              </w:rPr>
              <w:t>3.5661</w:t>
            </w:r>
          </w:p>
        </w:tc>
        <w:tc>
          <w:tcPr>
            <w:tcW w:w="1540" w:type="dxa"/>
          </w:tcPr>
          <w:p>
            <w:pPr>
              <w:pStyle w:val="TableParagraph"/>
              <w:spacing w:line="256" w:lineRule="exact"/>
              <w:ind w:right="82"/>
              <w:jc w:val="center"/>
              <w:rPr>
                <w:sz w:val="24"/>
              </w:rPr>
            </w:pPr>
            <w:r>
              <w:rPr>
                <w:spacing w:val="-2"/>
                <w:sz w:val="24"/>
              </w:rPr>
              <w:t>.60255</w:t>
            </w:r>
          </w:p>
        </w:tc>
        <w:tc>
          <w:tcPr>
            <w:tcW w:w="1565" w:type="dxa"/>
            <w:tcBorders>
              <w:right w:val="single" w:sz="4" w:space="0" w:color="000000"/>
            </w:tcBorders>
          </w:tcPr>
          <w:p>
            <w:pPr>
              <w:pStyle w:val="TableParagraph"/>
              <w:spacing w:line="256" w:lineRule="exact"/>
              <w:ind w:left="98"/>
              <w:jc w:val="center"/>
              <w:rPr>
                <w:sz w:val="24"/>
              </w:rPr>
            </w:pPr>
            <w:r>
              <w:rPr>
                <w:spacing w:val="-2"/>
                <w:sz w:val="24"/>
              </w:rPr>
              <w:t>.04229</w:t>
            </w:r>
          </w:p>
        </w:tc>
      </w:tr>
      <w:tr>
        <w:trPr>
          <w:trHeight w:val="277" w:hRule="atLeast"/>
        </w:trPr>
        <w:tc>
          <w:tcPr>
            <w:tcW w:w="1612" w:type="dxa"/>
            <w:tcBorders>
              <w:left w:val="single" w:sz="4" w:space="0" w:color="000000"/>
              <w:bottom w:val="single" w:sz="4" w:space="0" w:color="000000"/>
            </w:tcBorders>
          </w:tcPr>
          <w:p>
            <w:pPr>
              <w:pStyle w:val="TableParagraph"/>
              <w:rPr>
                <w:rFonts w:ascii="Times New Roman"/>
                <w:sz w:val="20"/>
              </w:rPr>
            </w:pPr>
          </w:p>
        </w:tc>
        <w:tc>
          <w:tcPr>
            <w:tcW w:w="2066" w:type="dxa"/>
            <w:tcBorders>
              <w:bottom w:val="single" w:sz="4" w:space="0" w:color="000000"/>
            </w:tcBorders>
          </w:tcPr>
          <w:p>
            <w:pPr>
              <w:pStyle w:val="TableParagraph"/>
              <w:spacing w:line="257" w:lineRule="exact"/>
              <w:ind w:left="576"/>
              <w:rPr>
                <w:sz w:val="24"/>
              </w:rPr>
            </w:pPr>
            <w:r>
              <w:rPr>
                <w:spacing w:val="-2"/>
                <w:sz w:val="24"/>
              </w:rPr>
              <w:t>Managmet</w:t>
            </w:r>
          </w:p>
        </w:tc>
        <w:tc>
          <w:tcPr>
            <w:tcW w:w="966" w:type="dxa"/>
            <w:tcBorders>
              <w:bottom w:val="single" w:sz="4" w:space="0" w:color="000000"/>
            </w:tcBorders>
          </w:tcPr>
          <w:p>
            <w:pPr>
              <w:pStyle w:val="TableParagraph"/>
              <w:spacing w:line="257" w:lineRule="exact"/>
              <w:ind w:left="172" w:right="9"/>
              <w:jc w:val="center"/>
              <w:rPr>
                <w:sz w:val="24"/>
              </w:rPr>
            </w:pPr>
            <w:r>
              <w:rPr>
                <w:spacing w:val="-5"/>
                <w:sz w:val="24"/>
              </w:rPr>
              <w:t>23</w:t>
            </w:r>
          </w:p>
        </w:tc>
        <w:tc>
          <w:tcPr>
            <w:tcW w:w="1290" w:type="dxa"/>
            <w:tcBorders>
              <w:bottom w:val="single" w:sz="4" w:space="0" w:color="000000"/>
            </w:tcBorders>
          </w:tcPr>
          <w:p>
            <w:pPr>
              <w:pStyle w:val="TableParagraph"/>
              <w:spacing w:line="257" w:lineRule="exact"/>
              <w:ind w:right="132"/>
              <w:jc w:val="center"/>
              <w:rPr>
                <w:sz w:val="24"/>
              </w:rPr>
            </w:pPr>
            <w:r>
              <w:rPr>
                <w:spacing w:val="-2"/>
                <w:sz w:val="24"/>
              </w:rPr>
              <w:t>3.8174</w:t>
            </w:r>
          </w:p>
        </w:tc>
        <w:tc>
          <w:tcPr>
            <w:tcW w:w="1540" w:type="dxa"/>
            <w:tcBorders>
              <w:bottom w:val="single" w:sz="4" w:space="0" w:color="000000"/>
            </w:tcBorders>
          </w:tcPr>
          <w:p>
            <w:pPr>
              <w:pStyle w:val="TableParagraph"/>
              <w:spacing w:line="257" w:lineRule="exact"/>
              <w:ind w:right="82"/>
              <w:jc w:val="center"/>
              <w:rPr>
                <w:sz w:val="24"/>
              </w:rPr>
            </w:pPr>
            <w:r>
              <w:rPr>
                <w:spacing w:val="-2"/>
                <w:sz w:val="24"/>
              </w:rPr>
              <w:t>.29953</w:t>
            </w:r>
          </w:p>
        </w:tc>
        <w:tc>
          <w:tcPr>
            <w:tcW w:w="1565" w:type="dxa"/>
            <w:tcBorders>
              <w:bottom w:val="single" w:sz="4" w:space="0" w:color="000000"/>
              <w:right w:val="single" w:sz="4" w:space="0" w:color="000000"/>
            </w:tcBorders>
          </w:tcPr>
          <w:p>
            <w:pPr>
              <w:pStyle w:val="TableParagraph"/>
              <w:spacing w:line="257" w:lineRule="exact"/>
              <w:ind w:left="98"/>
              <w:jc w:val="center"/>
              <w:rPr>
                <w:sz w:val="24"/>
              </w:rPr>
            </w:pPr>
            <w:r>
              <w:rPr>
                <w:spacing w:val="-2"/>
                <w:sz w:val="24"/>
              </w:rPr>
              <w:t>.06246</w:t>
            </w:r>
          </w:p>
        </w:tc>
      </w:tr>
      <w:tr>
        <w:trPr>
          <w:trHeight w:val="278" w:hRule="atLeast"/>
        </w:trPr>
        <w:tc>
          <w:tcPr>
            <w:tcW w:w="1612"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2066" w:type="dxa"/>
            <w:tcBorders>
              <w:top w:val="single" w:sz="4" w:space="0" w:color="000000"/>
              <w:bottom w:val="single" w:sz="4" w:space="0" w:color="000000"/>
            </w:tcBorders>
          </w:tcPr>
          <w:p>
            <w:pPr>
              <w:pStyle w:val="TableParagraph"/>
              <w:spacing w:line="258" w:lineRule="exact"/>
              <w:ind w:left="576"/>
              <w:rPr>
                <w:sz w:val="24"/>
              </w:rPr>
            </w:pPr>
            <w:r>
              <w:rPr>
                <w:spacing w:val="-2"/>
                <w:sz w:val="24"/>
              </w:rPr>
              <w:t>Total</w:t>
            </w:r>
          </w:p>
        </w:tc>
        <w:tc>
          <w:tcPr>
            <w:tcW w:w="966" w:type="dxa"/>
            <w:tcBorders>
              <w:top w:val="single" w:sz="4" w:space="0" w:color="000000"/>
              <w:bottom w:val="single" w:sz="4" w:space="0" w:color="000000"/>
            </w:tcBorders>
          </w:tcPr>
          <w:p>
            <w:pPr>
              <w:pStyle w:val="TableParagraph"/>
              <w:spacing w:line="258" w:lineRule="exact"/>
              <w:ind w:left="172"/>
              <w:jc w:val="center"/>
              <w:rPr>
                <w:sz w:val="24"/>
              </w:rPr>
            </w:pPr>
            <w:r>
              <w:rPr>
                <w:spacing w:val="-5"/>
                <w:sz w:val="24"/>
              </w:rPr>
              <w:t>461</w:t>
            </w:r>
          </w:p>
        </w:tc>
        <w:tc>
          <w:tcPr>
            <w:tcW w:w="1290" w:type="dxa"/>
            <w:tcBorders>
              <w:top w:val="single" w:sz="4" w:space="0" w:color="000000"/>
              <w:bottom w:val="single" w:sz="4" w:space="0" w:color="000000"/>
            </w:tcBorders>
          </w:tcPr>
          <w:p>
            <w:pPr>
              <w:pStyle w:val="TableParagraph"/>
              <w:spacing w:line="258" w:lineRule="exact"/>
              <w:ind w:right="132"/>
              <w:jc w:val="center"/>
              <w:rPr>
                <w:sz w:val="24"/>
              </w:rPr>
            </w:pPr>
            <w:r>
              <w:rPr>
                <w:spacing w:val="-2"/>
                <w:sz w:val="24"/>
              </w:rPr>
              <w:t>3.6644</w:t>
            </w:r>
          </w:p>
        </w:tc>
        <w:tc>
          <w:tcPr>
            <w:tcW w:w="1540" w:type="dxa"/>
            <w:tcBorders>
              <w:top w:val="single" w:sz="4" w:space="0" w:color="000000"/>
              <w:bottom w:val="single" w:sz="4" w:space="0" w:color="000000"/>
            </w:tcBorders>
          </w:tcPr>
          <w:p>
            <w:pPr>
              <w:pStyle w:val="TableParagraph"/>
              <w:spacing w:line="258" w:lineRule="exact"/>
              <w:ind w:right="82"/>
              <w:jc w:val="center"/>
              <w:rPr>
                <w:sz w:val="24"/>
              </w:rPr>
            </w:pPr>
            <w:r>
              <w:rPr>
                <w:spacing w:val="-2"/>
                <w:sz w:val="24"/>
              </w:rPr>
              <w:t>.47603</w:t>
            </w:r>
          </w:p>
        </w:tc>
        <w:tc>
          <w:tcPr>
            <w:tcW w:w="1565" w:type="dxa"/>
            <w:tcBorders>
              <w:top w:val="single" w:sz="4" w:space="0" w:color="000000"/>
              <w:bottom w:val="single" w:sz="4" w:space="0" w:color="000000"/>
              <w:right w:val="single" w:sz="4" w:space="0" w:color="000000"/>
            </w:tcBorders>
          </w:tcPr>
          <w:p>
            <w:pPr>
              <w:pStyle w:val="TableParagraph"/>
              <w:spacing w:line="258" w:lineRule="exact"/>
              <w:ind w:left="98"/>
              <w:jc w:val="center"/>
              <w:rPr>
                <w:sz w:val="24"/>
              </w:rPr>
            </w:pPr>
            <w:r>
              <w:rPr>
                <w:spacing w:val="-2"/>
                <w:sz w:val="24"/>
              </w:rPr>
              <w:t>.02217</w:t>
            </w:r>
          </w:p>
        </w:tc>
      </w:tr>
    </w:tbl>
    <w:p>
      <w:pPr>
        <w:spacing w:after="0" w:line="258" w:lineRule="exact"/>
        <w:jc w:val="center"/>
        <w:rPr>
          <w:sz w:val="24"/>
        </w:rPr>
        <w:sectPr>
          <w:headerReference w:type="default" r:id="rId259"/>
          <w:footerReference w:type="default" r:id="rId260"/>
          <w:pgSz w:w="12240" w:h="15840"/>
          <w:pgMar w:header="722" w:footer="791" w:top="1340" w:bottom="980" w:left="1340" w:right="840"/>
        </w:sectPr>
      </w:pPr>
    </w:p>
    <w:p>
      <w:pPr>
        <w:pStyle w:val="Heading2"/>
        <w:numPr>
          <w:ilvl w:val="1"/>
          <w:numId w:val="39"/>
        </w:numPr>
        <w:tabs>
          <w:tab w:pos="818" w:val="left" w:leader="none"/>
          <w:tab w:pos="820" w:val="left" w:leader="none"/>
        </w:tabs>
        <w:spacing w:line="240" w:lineRule="auto" w:before="85" w:after="0"/>
        <w:ind w:left="820" w:right="606" w:hanging="720"/>
        <w:jc w:val="both"/>
        <w:rPr>
          <w:rFonts w:ascii="Arial MT" w:hAnsi="Arial MT"/>
          <w:b w:val="0"/>
        </w:rPr>
      </w:pPr>
      <w:r>
        <w:rPr/>
        <w:t>Types of students’ welfare services in the Universities under </w:t>
      </w:r>
      <w:r>
        <w:rPr>
          <w:spacing w:val="-2"/>
        </w:rPr>
        <w:t>study</w:t>
      </w:r>
    </w:p>
    <w:p>
      <w:pPr>
        <w:pStyle w:val="BodyText"/>
        <w:spacing w:line="480" w:lineRule="auto" w:before="281"/>
        <w:ind w:left="820" w:right="595" w:firstLine="720"/>
        <w:jc w:val="both"/>
      </w:pPr>
      <w:r>
        <w:rPr/>
        <w:t>This section carried the analyses of the responses of the three categories of respondents using frequency tables and simple percentages. The responses</w:t>
      </w:r>
      <w:r>
        <w:rPr>
          <w:spacing w:val="40"/>
        </w:rPr>
        <w:t> </w:t>
      </w:r>
      <w:r>
        <w:rPr/>
        <w:t>of the respondents were based on the 32 items identified which serve as students’ welfare services in the Universities.</w:t>
      </w:r>
    </w:p>
    <w:p>
      <w:pPr>
        <w:pStyle w:val="BodyText"/>
        <w:ind w:left="1540"/>
        <w:jc w:val="both"/>
      </w:pPr>
      <w:r>
        <w:rPr/>
        <w:t>The</w:t>
      </w:r>
      <w:r>
        <w:rPr>
          <w:spacing w:val="16"/>
        </w:rPr>
        <w:t> </w:t>
      </w:r>
      <w:r>
        <w:rPr/>
        <w:t>services</w:t>
      </w:r>
      <w:r>
        <w:rPr>
          <w:spacing w:val="15"/>
        </w:rPr>
        <w:t> </w:t>
      </w:r>
      <w:r>
        <w:rPr/>
        <w:t>were</w:t>
      </w:r>
      <w:r>
        <w:rPr>
          <w:spacing w:val="16"/>
        </w:rPr>
        <w:t> </w:t>
      </w:r>
      <w:r>
        <w:rPr/>
        <w:t>grouped</w:t>
      </w:r>
      <w:r>
        <w:rPr>
          <w:spacing w:val="12"/>
        </w:rPr>
        <w:t> </w:t>
      </w:r>
      <w:r>
        <w:rPr/>
        <w:t>into</w:t>
      </w:r>
      <w:r>
        <w:rPr>
          <w:spacing w:val="16"/>
        </w:rPr>
        <w:t> </w:t>
      </w:r>
      <w:r>
        <w:rPr/>
        <w:t>four</w:t>
      </w:r>
      <w:r>
        <w:rPr>
          <w:spacing w:val="18"/>
        </w:rPr>
        <w:t> </w:t>
      </w:r>
      <w:r>
        <w:rPr/>
        <w:t>categories</w:t>
      </w:r>
      <w:r>
        <w:rPr>
          <w:spacing w:val="20"/>
        </w:rPr>
        <w:t> </w:t>
      </w:r>
      <w:r>
        <w:rPr/>
        <w:t>marked</w:t>
      </w:r>
      <w:r>
        <w:rPr>
          <w:spacing w:val="16"/>
        </w:rPr>
        <w:t> </w:t>
      </w:r>
      <w:r>
        <w:rPr/>
        <w:t>1,2,3,4.</w:t>
      </w:r>
      <w:r>
        <w:rPr>
          <w:spacing w:val="15"/>
        </w:rPr>
        <w:t> </w:t>
      </w:r>
      <w:r>
        <w:rPr/>
        <w:t>Items</w:t>
      </w:r>
      <w:r>
        <w:rPr>
          <w:spacing w:val="16"/>
        </w:rPr>
        <w:t> </w:t>
      </w:r>
      <w:r>
        <w:rPr>
          <w:spacing w:val="-5"/>
        </w:rPr>
        <w:t>1-</w:t>
      </w:r>
    </w:p>
    <w:p>
      <w:pPr>
        <w:pStyle w:val="BodyText"/>
      </w:pPr>
    </w:p>
    <w:p>
      <w:pPr>
        <w:pStyle w:val="BodyText"/>
        <w:spacing w:line="480" w:lineRule="auto"/>
        <w:ind w:left="820" w:right="594"/>
        <w:jc w:val="both"/>
      </w:pPr>
      <w:r>
        <w:rPr/>
        <w:t>12 under category 1, Social Welfare services attempted to establish the availability and level of adequacy of the services to students in the universities. Items 13 to 19 fell under Academic services. The researcher desired to find out whether or not the academic services such as classrooms, lecture halls, library facilities, teaching staff, laboratories, information technology gadgets and information dissemination facilities were available and their level of adequacy in the universities.</w:t>
      </w:r>
    </w:p>
    <w:p>
      <w:pPr>
        <w:pStyle w:val="BodyText"/>
        <w:spacing w:line="480" w:lineRule="auto" w:before="1"/>
        <w:ind w:left="820" w:right="593" w:firstLine="720"/>
        <w:jc w:val="both"/>
      </w:pPr>
      <w:r>
        <w:rPr/>
        <w:t>Items 21 to 27 in category 4 sought to establish the availability and the level of adequacy of Medical welfare services provided to students in the Universities under review. Lastly, items 28 to 32 under category 5 enabled the researcher to confirm whether or not the Environmental services were available and how adequately provided they were to students in these Universities.</w:t>
      </w:r>
    </w:p>
    <w:p>
      <w:pPr>
        <w:pStyle w:val="Heading2"/>
        <w:numPr>
          <w:ilvl w:val="2"/>
          <w:numId w:val="39"/>
        </w:numPr>
        <w:tabs>
          <w:tab w:pos="817" w:val="left" w:leader="none"/>
          <w:tab w:pos="820" w:val="left" w:leader="none"/>
        </w:tabs>
        <w:spacing w:line="242" w:lineRule="auto" w:before="0" w:after="0"/>
        <w:ind w:left="820" w:right="602" w:hanging="720"/>
        <w:jc w:val="both"/>
        <w:rPr>
          <w:rFonts w:ascii="Arial MT"/>
          <w:b w:val="0"/>
        </w:rPr>
      </w:pPr>
      <w:r>
        <w:rPr/>
        <w:t>Responses of respondents on the availability and degree of adequacy of Social Welfare services provided by the</w:t>
      </w:r>
      <w:r>
        <w:rPr>
          <w:spacing w:val="40"/>
        </w:rPr>
        <w:t> </w:t>
      </w:r>
      <w:r>
        <w:rPr/>
        <w:t>Universities to students</w:t>
      </w:r>
    </w:p>
    <w:p>
      <w:pPr>
        <w:pStyle w:val="BodyText"/>
        <w:spacing w:line="480" w:lineRule="auto" w:before="263"/>
        <w:ind w:left="820" w:right="596" w:firstLine="720"/>
        <w:jc w:val="both"/>
      </w:pPr>
      <w:r>
        <w:rPr/>
        <w:t>To explore and achieve the findings on the social services identified in chapter</w:t>
      </w:r>
      <w:r>
        <w:rPr>
          <w:spacing w:val="-1"/>
        </w:rPr>
        <w:t> </w:t>
      </w:r>
      <w:r>
        <w:rPr/>
        <w:t>one</w:t>
      </w:r>
      <w:r>
        <w:rPr>
          <w:spacing w:val="-2"/>
        </w:rPr>
        <w:t> </w:t>
      </w:r>
      <w:r>
        <w:rPr/>
        <w:t>the</w:t>
      </w:r>
      <w:r>
        <w:rPr>
          <w:spacing w:val="-2"/>
        </w:rPr>
        <w:t> </w:t>
      </w:r>
      <w:r>
        <w:rPr/>
        <w:t>researcher</w:t>
      </w:r>
      <w:r>
        <w:rPr>
          <w:spacing w:val="-1"/>
        </w:rPr>
        <w:t> </w:t>
      </w:r>
      <w:r>
        <w:rPr/>
        <w:t>collected</w:t>
      </w:r>
      <w:r>
        <w:rPr>
          <w:spacing w:val="-2"/>
        </w:rPr>
        <w:t> </w:t>
      </w:r>
      <w:r>
        <w:rPr/>
        <w:t>and</w:t>
      </w:r>
      <w:r>
        <w:rPr>
          <w:spacing w:val="-2"/>
        </w:rPr>
        <w:t> </w:t>
      </w:r>
      <w:r>
        <w:rPr/>
        <w:t>analyzed</w:t>
      </w:r>
      <w:r>
        <w:rPr>
          <w:spacing w:val="-2"/>
        </w:rPr>
        <w:t> </w:t>
      </w:r>
      <w:r>
        <w:rPr/>
        <w:t>the</w:t>
      </w:r>
      <w:r>
        <w:rPr>
          <w:spacing w:val="-2"/>
        </w:rPr>
        <w:t> </w:t>
      </w:r>
      <w:r>
        <w:rPr/>
        <w:t>responses</w:t>
      </w:r>
      <w:r>
        <w:rPr>
          <w:spacing w:val="-3"/>
        </w:rPr>
        <w:t> </w:t>
      </w:r>
      <w:r>
        <w:rPr/>
        <w:t>of</w:t>
      </w:r>
      <w:r>
        <w:rPr>
          <w:spacing w:val="-3"/>
        </w:rPr>
        <w:t> </w:t>
      </w:r>
      <w:r>
        <w:rPr/>
        <w:t>respondents as presented in Table 4.2.1</w:t>
      </w:r>
    </w:p>
    <w:p>
      <w:pPr>
        <w:spacing w:after="0" w:line="480" w:lineRule="auto"/>
        <w:jc w:val="both"/>
        <w:sectPr>
          <w:headerReference w:type="default" r:id="rId261"/>
          <w:footerReference w:type="default" r:id="rId262"/>
          <w:pgSz w:w="12240" w:h="15840"/>
          <w:pgMar w:header="722" w:footer="791" w:top="1340" w:bottom="980" w:left="1340" w:right="840"/>
        </w:sectPr>
      </w:pPr>
    </w:p>
    <w:p>
      <w:pPr>
        <w:pStyle w:val="Heading2"/>
        <w:spacing w:before="79"/>
        <w:ind w:left="2245" w:right="2377" w:hanging="1594"/>
      </w:pPr>
      <w:r>
        <w:rPr/>
        <w:t>Table</w:t>
      </w:r>
      <w:r>
        <w:rPr>
          <w:spacing w:val="-1"/>
        </w:rPr>
        <w:t> </w:t>
      </w:r>
      <w:r>
        <w:rPr/>
        <w:t>4.2.1:</w:t>
      </w:r>
      <w:r>
        <w:rPr>
          <w:spacing w:val="-1"/>
        </w:rPr>
        <w:t> </w:t>
      </w:r>
      <w:r>
        <w:rPr/>
        <w:t>Opinions</w:t>
      </w:r>
      <w:r>
        <w:rPr>
          <w:spacing w:val="-6"/>
        </w:rPr>
        <w:t> </w:t>
      </w:r>
      <w:r>
        <w:rPr/>
        <w:t>of</w:t>
      </w:r>
      <w:r>
        <w:rPr>
          <w:spacing w:val="-6"/>
        </w:rPr>
        <w:t> </w:t>
      </w:r>
      <w:r>
        <w:rPr/>
        <w:t>respondents</w:t>
      </w:r>
      <w:r>
        <w:rPr>
          <w:spacing w:val="-6"/>
        </w:rPr>
        <w:t> </w:t>
      </w:r>
      <w:r>
        <w:rPr/>
        <w:t>on</w:t>
      </w:r>
      <w:r>
        <w:rPr>
          <w:spacing w:val="-2"/>
        </w:rPr>
        <w:t> </w:t>
      </w:r>
      <w:r>
        <w:rPr/>
        <w:t>the</w:t>
      </w:r>
      <w:r>
        <w:rPr>
          <w:spacing w:val="-6"/>
        </w:rPr>
        <w:t> </w:t>
      </w:r>
      <w:r>
        <w:rPr/>
        <w:t>social services</w:t>
      </w:r>
      <w:r>
        <w:rPr>
          <w:spacing w:val="-6"/>
        </w:rPr>
        <w:t> </w:t>
      </w:r>
      <w:r>
        <w:rPr/>
        <w:t>for</w:t>
      </w:r>
      <w:r>
        <w:rPr>
          <w:spacing w:val="-3"/>
        </w:rPr>
        <w:t> </w:t>
      </w:r>
      <w:r>
        <w:rPr/>
        <w:t>students</w:t>
      </w:r>
      <w:r>
        <w:rPr>
          <w:spacing w:val="-1"/>
        </w:rPr>
        <w:t> </w:t>
      </w:r>
      <w:r>
        <w:rPr/>
        <w:t>in</w:t>
      </w:r>
      <w:r>
        <w:rPr>
          <w:spacing w:val="-2"/>
        </w:rPr>
        <w:t> </w:t>
      </w:r>
      <w:r>
        <w:rPr/>
        <w:t>the Universities under study.</w:t>
      </w:r>
    </w:p>
    <w:p>
      <w:pPr>
        <w:pStyle w:val="BodyText"/>
        <w:spacing w:before="99"/>
        <w:rPr>
          <w:rFonts w:ascii="Arial"/>
          <w:b/>
          <w:sz w:val="20"/>
        </w:rPr>
      </w:pPr>
    </w:p>
    <w:tbl>
      <w:tblPr>
        <w:tblW w:w="0" w:type="auto"/>
        <w:jc w:val="left"/>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707"/>
        <w:gridCol w:w="2417"/>
        <w:gridCol w:w="675"/>
        <w:gridCol w:w="758"/>
        <w:gridCol w:w="547"/>
        <w:gridCol w:w="732"/>
        <w:gridCol w:w="742"/>
        <w:gridCol w:w="848"/>
        <w:gridCol w:w="740"/>
        <w:gridCol w:w="774"/>
        <w:gridCol w:w="628"/>
        <w:gridCol w:w="772"/>
        <w:gridCol w:w="693"/>
        <w:gridCol w:w="740"/>
      </w:tblGrid>
      <w:tr>
        <w:trPr>
          <w:trHeight w:val="277" w:hRule="atLeast"/>
        </w:trPr>
        <w:tc>
          <w:tcPr>
            <w:tcW w:w="3707" w:type="dxa"/>
            <w:vMerge w:val="restart"/>
            <w:tcBorders>
              <w:top w:val="single" w:sz="4" w:space="0" w:color="000000"/>
              <w:left w:val="single" w:sz="4" w:space="0" w:color="000000"/>
              <w:bottom w:val="single" w:sz="4" w:space="0" w:color="000000"/>
            </w:tcBorders>
          </w:tcPr>
          <w:p>
            <w:pPr>
              <w:pStyle w:val="TableParagraph"/>
              <w:rPr>
                <w:rFonts w:ascii="Arial"/>
                <w:b/>
                <w:sz w:val="20"/>
              </w:rPr>
            </w:pPr>
          </w:p>
          <w:p>
            <w:pPr>
              <w:pStyle w:val="TableParagraph"/>
              <w:spacing w:before="221"/>
              <w:rPr>
                <w:rFonts w:ascii="Arial"/>
                <w:b/>
                <w:sz w:val="20"/>
              </w:rPr>
            </w:pPr>
          </w:p>
          <w:p>
            <w:pPr>
              <w:pStyle w:val="TableParagraph"/>
              <w:tabs>
                <w:tab w:pos="1478" w:val="left" w:leader="none"/>
              </w:tabs>
              <w:ind w:left="134"/>
              <w:rPr>
                <w:rFonts w:ascii="Arial"/>
                <w:b/>
                <w:sz w:val="20"/>
              </w:rPr>
            </w:pPr>
            <w:r>
              <w:rPr>
                <w:rFonts w:ascii="Arial"/>
                <w:b/>
                <w:spacing w:val="-4"/>
                <w:sz w:val="20"/>
              </w:rPr>
              <w:t>S/No</w:t>
            </w:r>
            <w:r>
              <w:rPr>
                <w:rFonts w:ascii="Arial"/>
                <w:b/>
                <w:sz w:val="20"/>
              </w:rPr>
              <w:tab/>
              <w:t>Item</w:t>
            </w:r>
            <w:r>
              <w:rPr>
                <w:rFonts w:ascii="Arial"/>
                <w:b/>
                <w:spacing w:val="-2"/>
                <w:sz w:val="20"/>
              </w:rPr>
              <w:t> Statements</w:t>
            </w:r>
          </w:p>
        </w:tc>
        <w:tc>
          <w:tcPr>
            <w:tcW w:w="2417" w:type="dxa"/>
            <w:vMerge w:val="restart"/>
            <w:tcBorders>
              <w:top w:val="single" w:sz="4" w:space="0" w:color="000000"/>
              <w:bottom w:val="single" w:sz="4" w:space="0" w:color="000000"/>
              <w:right w:val="single" w:sz="4" w:space="0" w:color="000000"/>
            </w:tcBorders>
          </w:tcPr>
          <w:p>
            <w:pPr>
              <w:pStyle w:val="TableParagraph"/>
              <w:rPr>
                <w:rFonts w:ascii="Arial"/>
                <w:b/>
                <w:sz w:val="20"/>
              </w:rPr>
            </w:pPr>
          </w:p>
          <w:p>
            <w:pPr>
              <w:pStyle w:val="TableParagraph"/>
              <w:spacing w:before="221"/>
              <w:rPr>
                <w:rFonts w:ascii="Arial"/>
                <w:b/>
                <w:sz w:val="20"/>
              </w:rPr>
            </w:pPr>
          </w:p>
          <w:p>
            <w:pPr>
              <w:pStyle w:val="TableParagraph"/>
              <w:ind w:left="190" w:right="945"/>
              <w:rPr>
                <w:rFonts w:ascii="Arial"/>
                <w:b/>
                <w:sz w:val="20"/>
              </w:rPr>
            </w:pPr>
            <w:r>
              <w:rPr>
                <w:rFonts w:ascii="Arial"/>
                <w:b/>
                <w:sz w:val="20"/>
              </w:rPr>
              <w:t>Category of </w:t>
            </w:r>
            <w:r>
              <w:rPr>
                <w:rFonts w:ascii="Arial"/>
                <w:b/>
                <w:spacing w:val="-2"/>
                <w:sz w:val="20"/>
              </w:rPr>
              <w:t>Respondents</w:t>
            </w:r>
          </w:p>
        </w:tc>
        <w:tc>
          <w:tcPr>
            <w:tcW w:w="8649" w:type="dxa"/>
            <w:gridSpan w:val="12"/>
            <w:tcBorders>
              <w:top w:val="single" w:sz="4" w:space="0" w:color="000000"/>
              <w:left w:val="single" w:sz="4" w:space="0" w:color="000000"/>
              <w:bottom w:val="single" w:sz="4" w:space="0" w:color="000000"/>
              <w:right w:val="single" w:sz="4" w:space="0" w:color="000000"/>
            </w:tcBorders>
          </w:tcPr>
          <w:p>
            <w:pPr>
              <w:pStyle w:val="TableParagraph"/>
              <w:spacing w:line="258" w:lineRule="exact"/>
              <w:ind w:right="1380"/>
              <w:jc w:val="center"/>
              <w:rPr>
                <w:rFonts w:ascii="Arial"/>
                <w:b/>
                <w:sz w:val="24"/>
              </w:rPr>
            </w:pPr>
            <w:r>
              <w:rPr>
                <w:rFonts w:ascii="Arial"/>
                <w:b/>
                <w:spacing w:val="-2"/>
                <w:sz w:val="24"/>
              </w:rPr>
              <w:t>Responses</w:t>
            </w:r>
          </w:p>
        </w:tc>
      </w:tr>
      <w:tr>
        <w:trPr>
          <w:trHeight w:val="690" w:hRule="atLeast"/>
        </w:trPr>
        <w:tc>
          <w:tcPr>
            <w:tcW w:w="3707" w:type="dxa"/>
            <w:vMerge/>
            <w:tcBorders>
              <w:top w:val="nil"/>
              <w:left w:val="single" w:sz="4" w:space="0" w:color="000000"/>
              <w:bottom w:val="single" w:sz="4" w:space="0" w:color="000000"/>
            </w:tcBorders>
          </w:tcPr>
          <w:p>
            <w:pPr>
              <w:rPr>
                <w:sz w:val="2"/>
                <w:szCs w:val="2"/>
              </w:rPr>
            </w:pPr>
          </w:p>
        </w:tc>
        <w:tc>
          <w:tcPr>
            <w:tcW w:w="2417" w:type="dxa"/>
            <w:vMerge/>
            <w:tcBorders>
              <w:top w:val="nil"/>
              <w:bottom w:val="single" w:sz="4" w:space="0" w:color="000000"/>
              <w:right w:val="single" w:sz="4" w:space="0" w:color="000000"/>
            </w:tcBorders>
          </w:tcPr>
          <w:p>
            <w:pPr>
              <w:rPr>
                <w:sz w:val="2"/>
                <w:szCs w:val="2"/>
              </w:rPr>
            </w:pPr>
          </w:p>
        </w:tc>
        <w:tc>
          <w:tcPr>
            <w:tcW w:w="8649" w:type="dxa"/>
            <w:gridSpan w:val="12"/>
            <w:tcBorders>
              <w:top w:val="single" w:sz="4" w:space="0" w:color="000000"/>
              <w:left w:val="single" w:sz="4" w:space="0" w:color="000000"/>
              <w:bottom w:val="single" w:sz="4" w:space="0" w:color="000000"/>
              <w:right w:val="single" w:sz="4" w:space="0" w:color="000000"/>
            </w:tcBorders>
          </w:tcPr>
          <w:p>
            <w:pPr>
              <w:pStyle w:val="TableParagraph"/>
              <w:tabs>
                <w:tab w:pos="1608" w:val="left" w:leader="none"/>
                <w:tab w:pos="1848" w:val="left" w:leader="none"/>
                <w:tab w:pos="3062" w:val="left" w:leader="none"/>
                <w:tab w:pos="4598" w:val="left" w:leader="none"/>
                <w:tab w:pos="4886" w:val="left" w:leader="none"/>
                <w:tab w:pos="6058" w:val="left" w:leader="none"/>
                <w:tab w:pos="6317" w:val="left" w:leader="none"/>
                <w:tab w:pos="7675" w:val="left" w:leader="none"/>
              </w:tabs>
              <w:ind w:left="336" w:right="478" w:firstLine="96"/>
              <w:rPr>
                <w:rFonts w:ascii="Arial"/>
                <w:b/>
                <w:sz w:val="20"/>
              </w:rPr>
            </w:pPr>
            <w:r>
              <w:rPr>
                <w:rFonts w:ascii="Arial"/>
                <w:b/>
                <w:sz w:val="20"/>
              </w:rPr>
              <w:t>No. of</w:t>
              <w:tab/>
              <w:tab/>
            </w:r>
            <w:r>
              <w:rPr>
                <w:rFonts w:ascii="Arial"/>
                <w:b/>
                <w:spacing w:val="-4"/>
                <w:sz w:val="20"/>
              </w:rPr>
              <w:t>Very</w:t>
            </w:r>
            <w:r>
              <w:rPr>
                <w:rFonts w:ascii="Arial"/>
                <w:b/>
                <w:sz w:val="20"/>
              </w:rPr>
              <w:tab/>
            </w:r>
            <w:r>
              <w:rPr>
                <w:rFonts w:ascii="Arial"/>
                <w:b/>
                <w:spacing w:val="-2"/>
                <w:sz w:val="20"/>
              </w:rPr>
              <w:t>Adequate</w:t>
            </w:r>
            <w:r>
              <w:rPr>
                <w:rFonts w:ascii="Arial"/>
                <w:b/>
                <w:sz w:val="20"/>
              </w:rPr>
              <w:tab/>
              <w:tab/>
            </w:r>
            <w:r>
              <w:rPr>
                <w:rFonts w:ascii="Arial"/>
                <w:b/>
                <w:spacing w:val="-4"/>
                <w:sz w:val="20"/>
              </w:rPr>
              <w:t>Not</w:t>
            </w:r>
            <w:r>
              <w:rPr>
                <w:rFonts w:ascii="Arial"/>
                <w:b/>
                <w:sz w:val="20"/>
              </w:rPr>
              <w:tab/>
              <w:tab/>
            </w:r>
            <w:r>
              <w:rPr>
                <w:rFonts w:ascii="Arial"/>
                <w:b/>
                <w:spacing w:val="-4"/>
                <w:sz w:val="20"/>
              </w:rPr>
              <w:t>Not</w:t>
            </w:r>
            <w:r>
              <w:rPr>
                <w:rFonts w:ascii="Arial"/>
                <w:b/>
                <w:sz w:val="20"/>
              </w:rPr>
              <w:tab/>
            </w:r>
            <w:r>
              <w:rPr>
                <w:rFonts w:ascii="Arial"/>
                <w:b/>
                <w:spacing w:val="-2"/>
                <w:sz w:val="20"/>
              </w:rPr>
              <w:t>Total missing</w:t>
            </w:r>
            <w:r>
              <w:rPr>
                <w:rFonts w:ascii="Arial"/>
                <w:b/>
                <w:sz w:val="20"/>
              </w:rPr>
              <w:tab/>
            </w:r>
            <w:r>
              <w:rPr>
                <w:rFonts w:ascii="Arial"/>
                <w:b/>
                <w:spacing w:val="-2"/>
                <w:sz w:val="20"/>
              </w:rPr>
              <w:t>Adequate</w:t>
            </w:r>
            <w:r>
              <w:rPr>
                <w:rFonts w:ascii="Arial"/>
                <w:b/>
                <w:sz w:val="20"/>
              </w:rPr>
              <w:tab/>
              <w:tab/>
            </w:r>
            <w:r>
              <w:rPr>
                <w:rFonts w:ascii="Arial"/>
                <w:b/>
                <w:spacing w:val="-2"/>
                <w:sz w:val="20"/>
              </w:rPr>
              <w:t>Adequate</w:t>
            </w:r>
            <w:r>
              <w:rPr>
                <w:rFonts w:ascii="Arial"/>
                <w:b/>
                <w:sz w:val="20"/>
              </w:rPr>
              <w:tab/>
            </w:r>
            <w:r>
              <w:rPr>
                <w:rFonts w:ascii="Arial"/>
                <w:b/>
                <w:spacing w:val="-2"/>
                <w:sz w:val="20"/>
              </w:rPr>
              <w:t>Provided</w:t>
            </w:r>
          </w:p>
          <w:p>
            <w:pPr>
              <w:pStyle w:val="TableParagraph"/>
              <w:spacing w:line="220" w:lineRule="exact"/>
              <w:ind w:left="149"/>
              <w:rPr>
                <w:rFonts w:ascii="Arial"/>
                <w:b/>
                <w:sz w:val="20"/>
              </w:rPr>
            </w:pPr>
            <w:r>
              <w:rPr>
                <w:rFonts w:ascii="Arial"/>
                <w:b/>
                <w:spacing w:val="-2"/>
                <w:sz w:val="20"/>
              </w:rPr>
              <w:t>observation</w:t>
            </w:r>
          </w:p>
        </w:tc>
      </w:tr>
      <w:tr>
        <w:trPr>
          <w:trHeight w:val="316" w:hRule="atLeast"/>
        </w:trPr>
        <w:tc>
          <w:tcPr>
            <w:tcW w:w="3707" w:type="dxa"/>
            <w:vMerge/>
            <w:tcBorders>
              <w:top w:val="nil"/>
              <w:left w:val="single" w:sz="4" w:space="0" w:color="000000"/>
              <w:bottom w:val="single" w:sz="4" w:space="0" w:color="000000"/>
            </w:tcBorders>
          </w:tcPr>
          <w:p>
            <w:pPr>
              <w:rPr>
                <w:sz w:val="2"/>
                <w:szCs w:val="2"/>
              </w:rPr>
            </w:pPr>
          </w:p>
        </w:tc>
        <w:tc>
          <w:tcPr>
            <w:tcW w:w="2417" w:type="dxa"/>
            <w:vMerge/>
            <w:tcBorders>
              <w:top w:val="nil"/>
              <w:bottom w:val="single" w:sz="4" w:space="0" w:color="000000"/>
              <w:right w:val="single" w:sz="4" w:space="0" w:color="000000"/>
            </w:tcBorders>
          </w:tcPr>
          <w:p>
            <w:pPr>
              <w:rPr>
                <w:sz w:val="2"/>
                <w:szCs w:val="2"/>
              </w:rPr>
            </w:pPr>
          </w:p>
        </w:tc>
        <w:tc>
          <w:tcPr>
            <w:tcW w:w="675" w:type="dxa"/>
            <w:tcBorders>
              <w:top w:val="single" w:sz="4" w:space="0" w:color="000000"/>
              <w:left w:val="single" w:sz="4" w:space="0" w:color="000000"/>
              <w:bottom w:val="single" w:sz="4" w:space="0" w:color="000000"/>
            </w:tcBorders>
          </w:tcPr>
          <w:p>
            <w:pPr>
              <w:pStyle w:val="TableParagraph"/>
              <w:spacing w:line="220" w:lineRule="exact"/>
              <w:ind w:left="49"/>
              <w:jc w:val="center"/>
              <w:rPr>
                <w:rFonts w:ascii="Arial"/>
                <w:b/>
                <w:sz w:val="20"/>
              </w:rPr>
            </w:pPr>
            <w:r>
              <w:rPr>
                <w:rFonts w:ascii="Arial"/>
                <w:b/>
                <w:spacing w:val="-10"/>
                <w:sz w:val="20"/>
              </w:rPr>
              <w:t>F</w:t>
            </w:r>
          </w:p>
        </w:tc>
        <w:tc>
          <w:tcPr>
            <w:tcW w:w="758" w:type="dxa"/>
            <w:tcBorders>
              <w:top w:val="single" w:sz="4" w:space="0" w:color="000000"/>
              <w:bottom w:val="single" w:sz="4" w:space="0" w:color="000000"/>
            </w:tcBorders>
          </w:tcPr>
          <w:p>
            <w:pPr>
              <w:pStyle w:val="TableParagraph"/>
              <w:spacing w:line="220" w:lineRule="exact"/>
              <w:ind w:left="60"/>
              <w:jc w:val="center"/>
              <w:rPr>
                <w:rFonts w:ascii="Arial"/>
                <w:b/>
                <w:sz w:val="20"/>
              </w:rPr>
            </w:pPr>
            <w:r>
              <w:rPr>
                <w:rFonts w:ascii="Arial"/>
                <w:b/>
                <w:spacing w:val="-10"/>
                <w:sz w:val="20"/>
              </w:rPr>
              <w:t>%</w:t>
            </w:r>
          </w:p>
        </w:tc>
        <w:tc>
          <w:tcPr>
            <w:tcW w:w="547" w:type="dxa"/>
            <w:tcBorders>
              <w:top w:val="single" w:sz="4" w:space="0" w:color="000000"/>
              <w:bottom w:val="single" w:sz="4" w:space="0" w:color="000000"/>
            </w:tcBorders>
          </w:tcPr>
          <w:p>
            <w:pPr>
              <w:pStyle w:val="TableParagraph"/>
              <w:spacing w:line="220" w:lineRule="exact"/>
              <w:ind w:left="87" w:right="73"/>
              <w:jc w:val="center"/>
              <w:rPr>
                <w:rFonts w:ascii="Arial"/>
                <w:b/>
                <w:sz w:val="20"/>
              </w:rPr>
            </w:pPr>
            <w:r>
              <w:rPr>
                <w:rFonts w:ascii="Arial"/>
                <w:b/>
                <w:spacing w:val="-10"/>
                <w:sz w:val="20"/>
              </w:rPr>
              <w:t>F</w:t>
            </w:r>
          </w:p>
        </w:tc>
        <w:tc>
          <w:tcPr>
            <w:tcW w:w="732" w:type="dxa"/>
            <w:tcBorders>
              <w:top w:val="single" w:sz="4" w:space="0" w:color="000000"/>
              <w:bottom w:val="single" w:sz="4" w:space="0" w:color="000000"/>
            </w:tcBorders>
          </w:tcPr>
          <w:p>
            <w:pPr>
              <w:pStyle w:val="TableParagraph"/>
              <w:spacing w:line="220" w:lineRule="exact"/>
              <w:ind w:left="58" w:right="57"/>
              <w:jc w:val="center"/>
              <w:rPr>
                <w:rFonts w:ascii="Arial"/>
                <w:b/>
                <w:sz w:val="20"/>
              </w:rPr>
            </w:pPr>
            <w:r>
              <w:rPr>
                <w:rFonts w:ascii="Arial"/>
                <w:b/>
                <w:spacing w:val="-10"/>
                <w:sz w:val="20"/>
              </w:rPr>
              <w:t>%</w:t>
            </w:r>
          </w:p>
        </w:tc>
        <w:tc>
          <w:tcPr>
            <w:tcW w:w="742" w:type="dxa"/>
            <w:tcBorders>
              <w:top w:val="single" w:sz="4" w:space="0" w:color="000000"/>
              <w:bottom w:val="single" w:sz="4" w:space="0" w:color="000000"/>
            </w:tcBorders>
          </w:tcPr>
          <w:p>
            <w:pPr>
              <w:pStyle w:val="TableParagraph"/>
              <w:spacing w:line="220" w:lineRule="exact"/>
              <w:ind w:left="13" w:right="42"/>
              <w:jc w:val="center"/>
              <w:rPr>
                <w:rFonts w:ascii="Arial"/>
                <w:b/>
                <w:sz w:val="20"/>
              </w:rPr>
            </w:pPr>
            <w:r>
              <w:rPr>
                <w:rFonts w:ascii="Arial"/>
                <w:b/>
                <w:spacing w:val="-10"/>
                <w:sz w:val="20"/>
              </w:rPr>
              <w:t>F</w:t>
            </w:r>
          </w:p>
        </w:tc>
        <w:tc>
          <w:tcPr>
            <w:tcW w:w="848" w:type="dxa"/>
            <w:tcBorders>
              <w:top w:val="single" w:sz="4" w:space="0" w:color="000000"/>
              <w:bottom w:val="single" w:sz="4" w:space="0" w:color="000000"/>
            </w:tcBorders>
          </w:tcPr>
          <w:p>
            <w:pPr>
              <w:pStyle w:val="TableParagraph"/>
              <w:spacing w:line="220" w:lineRule="exact"/>
              <w:ind w:left="32" w:right="14"/>
              <w:jc w:val="center"/>
              <w:rPr>
                <w:rFonts w:ascii="Arial"/>
                <w:b/>
                <w:sz w:val="20"/>
              </w:rPr>
            </w:pPr>
            <w:r>
              <w:rPr>
                <w:rFonts w:ascii="Arial"/>
                <w:b/>
                <w:spacing w:val="-10"/>
                <w:sz w:val="20"/>
              </w:rPr>
              <w:t>%</w:t>
            </w:r>
          </w:p>
        </w:tc>
        <w:tc>
          <w:tcPr>
            <w:tcW w:w="740" w:type="dxa"/>
            <w:tcBorders>
              <w:top w:val="single" w:sz="4" w:space="0" w:color="000000"/>
              <w:bottom w:val="single" w:sz="4" w:space="0" w:color="000000"/>
            </w:tcBorders>
          </w:tcPr>
          <w:p>
            <w:pPr>
              <w:pStyle w:val="TableParagraph"/>
              <w:spacing w:line="220" w:lineRule="exact"/>
              <w:ind w:left="64"/>
              <w:jc w:val="center"/>
              <w:rPr>
                <w:rFonts w:ascii="Arial"/>
                <w:b/>
                <w:sz w:val="20"/>
              </w:rPr>
            </w:pPr>
            <w:r>
              <w:rPr>
                <w:rFonts w:ascii="Arial"/>
                <w:b/>
                <w:spacing w:val="-10"/>
                <w:sz w:val="20"/>
              </w:rPr>
              <w:t>F</w:t>
            </w:r>
          </w:p>
        </w:tc>
        <w:tc>
          <w:tcPr>
            <w:tcW w:w="774" w:type="dxa"/>
            <w:tcBorders>
              <w:top w:val="single" w:sz="4" w:space="0" w:color="000000"/>
              <w:bottom w:val="single" w:sz="4" w:space="0" w:color="000000"/>
            </w:tcBorders>
          </w:tcPr>
          <w:p>
            <w:pPr>
              <w:pStyle w:val="TableParagraph"/>
              <w:spacing w:line="220" w:lineRule="exact"/>
              <w:ind w:left="6" w:right="15"/>
              <w:jc w:val="center"/>
              <w:rPr>
                <w:rFonts w:ascii="Arial"/>
                <w:b/>
                <w:sz w:val="20"/>
              </w:rPr>
            </w:pPr>
            <w:r>
              <w:rPr>
                <w:rFonts w:ascii="Arial"/>
                <w:b/>
                <w:spacing w:val="-10"/>
                <w:sz w:val="20"/>
              </w:rPr>
              <w:t>%</w:t>
            </w:r>
          </w:p>
        </w:tc>
        <w:tc>
          <w:tcPr>
            <w:tcW w:w="628" w:type="dxa"/>
            <w:tcBorders>
              <w:top w:val="single" w:sz="4" w:space="0" w:color="000000"/>
              <w:bottom w:val="single" w:sz="4" w:space="0" w:color="000000"/>
            </w:tcBorders>
          </w:tcPr>
          <w:p>
            <w:pPr>
              <w:pStyle w:val="TableParagraph"/>
              <w:spacing w:line="220" w:lineRule="exact"/>
              <w:ind w:left="27" w:right="19"/>
              <w:jc w:val="center"/>
              <w:rPr>
                <w:rFonts w:ascii="Arial"/>
                <w:b/>
                <w:sz w:val="20"/>
              </w:rPr>
            </w:pPr>
            <w:r>
              <w:rPr>
                <w:rFonts w:ascii="Arial"/>
                <w:b/>
                <w:spacing w:val="-10"/>
                <w:sz w:val="20"/>
              </w:rPr>
              <w:t>F</w:t>
            </w:r>
          </w:p>
        </w:tc>
        <w:tc>
          <w:tcPr>
            <w:tcW w:w="772" w:type="dxa"/>
            <w:tcBorders>
              <w:top w:val="single" w:sz="4" w:space="0" w:color="000000"/>
              <w:bottom w:val="single" w:sz="4" w:space="0" w:color="000000"/>
            </w:tcBorders>
          </w:tcPr>
          <w:p>
            <w:pPr>
              <w:pStyle w:val="TableParagraph"/>
              <w:spacing w:line="220" w:lineRule="exact"/>
              <w:ind w:left="28"/>
              <w:jc w:val="center"/>
              <w:rPr>
                <w:rFonts w:ascii="Arial"/>
                <w:b/>
                <w:sz w:val="20"/>
              </w:rPr>
            </w:pPr>
            <w:r>
              <w:rPr>
                <w:rFonts w:ascii="Arial"/>
                <w:b/>
                <w:spacing w:val="-10"/>
                <w:sz w:val="20"/>
              </w:rPr>
              <w:t>%</w:t>
            </w:r>
          </w:p>
        </w:tc>
        <w:tc>
          <w:tcPr>
            <w:tcW w:w="693" w:type="dxa"/>
            <w:tcBorders>
              <w:top w:val="single" w:sz="4" w:space="0" w:color="000000"/>
              <w:bottom w:val="single" w:sz="4" w:space="0" w:color="000000"/>
            </w:tcBorders>
          </w:tcPr>
          <w:p>
            <w:pPr>
              <w:pStyle w:val="TableParagraph"/>
              <w:spacing w:line="220" w:lineRule="exact"/>
              <w:ind w:left="30" w:right="26"/>
              <w:jc w:val="center"/>
              <w:rPr>
                <w:rFonts w:ascii="Arial"/>
                <w:b/>
                <w:sz w:val="20"/>
              </w:rPr>
            </w:pPr>
            <w:r>
              <w:rPr>
                <w:rFonts w:ascii="Arial"/>
                <w:b/>
                <w:spacing w:val="-10"/>
                <w:sz w:val="20"/>
              </w:rPr>
              <w:t>F</w:t>
            </w:r>
          </w:p>
        </w:tc>
        <w:tc>
          <w:tcPr>
            <w:tcW w:w="740" w:type="dxa"/>
            <w:tcBorders>
              <w:top w:val="single" w:sz="4" w:space="0" w:color="000000"/>
              <w:bottom w:val="single" w:sz="4" w:space="0" w:color="000000"/>
              <w:right w:val="single" w:sz="4" w:space="0" w:color="000000"/>
            </w:tcBorders>
          </w:tcPr>
          <w:p>
            <w:pPr>
              <w:pStyle w:val="TableParagraph"/>
              <w:spacing w:line="220" w:lineRule="exact"/>
              <w:ind w:left="15"/>
              <w:jc w:val="center"/>
              <w:rPr>
                <w:rFonts w:ascii="Arial"/>
                <w:b/>
                <w:sz w:val="20"/>
              </w:rPr>
            </w:pPr>
            <w:r>
              <w:rPr>
                <w:rFonts w:ascii="Arial"/>
                <w:b/>
                <w:spacing w:val="-10"/>
                <w:sz w:val="20"/>
              </w:rPr>
              <w:t>%</w:t>
            </w:r>
          </w:p>
        </w:tc>
      </w:tr>
      <w:tr>
        <w:trPr>
          <w:trHeight w:val="457" w:hRule="atLeast"/>
        </w:trPr>
        <w:tc>
          <w:tcPr>
            <w:tcW w:w="3707" w:type="dxa"/>
            <w:tcBorders>
              <w:top w:val="single" w:sz="4" w:space="0" w:color="000000"/>
              <w:left w:val="single" w:sz="4" w:space="0" w:color="000000"/>
            </w:tcBorders>
          </w:tcPr>
          <w:p>
            <w:pPr>
              <w:pStyle w:val="TableParagraph"/>
              <w:tabs>
                <w:tab w:pos="1156" w:val="left" w:leader="none"/>
              </w:tabs>
              <w:spacing w:line="267" w:lineRule="exact"/>
              <w:ind w:left="287"/>
              <w:rPr>
                <w:rFonts w:ascii="Arial"/>
                <w:b/>
                <w:sz w:val="24"/>
              </w:rPr>
            </w:pPr>
            <w:r>
              <w:rPr>
                <w:rFonts w:ascii="Arial"/>
                <w:b/>
                <w:spacing w:val="-10"/>
                <w:position w:val="4"/>
                <w:sz w:val="20"/>
              </w:rPr>
              <w:t>A</w:t>
            </w:r>
            <w:r>
              <w:rPr>
                <w:rFonts w:ascii="Arial"/>
                <w:b/>
                <w:position w:val="4"/>
                <w:sz w:val="20"/>
              </w:rPr>
              <w:tab/>
            </w:r>
            <w:r>
              <w:rPr>
                <w:rFonts w:ascii="Arial"/>
                <w:b/>
                <w:sz w:val="24"/>
                <w:u w:val="single"/>
              </w:rPr>
              <w:t>SOCIAL</w:t>
            </w:r>
            <w:r>
              <w:rPr>
                <w:rFonts w:ascii="Arial"/>
                <w:b/>
                <w:spacing w:val="-8"/>
                <w:sz w:val="24"/>
                <w:u w:val="single"/>
              </w:rPr>
              <w:t> </w:t>
            </w:r>
            <w:r>
              <w:rPr>
                <w:rFonts w:ascii="Arial"/>
                <w:b/>
                <w:spacing w:val="-2"/>
                <w:sz w:val="24"/>
                <w:u w:val="single"/>
              </w:rPr>
              <w:t>SERVICES</w:t>
            </w:r>
          </w:p>
        </w:tc>
        <w:tc>
          <w:tcPr>
            <w:tcW w:w="2417" w:type="dxa"/>
            <w:tcBorders>
              <w:top w:val="single" w:sz="4" w:space="0" w:color="000000"/>
            </w:tcBorders>
          </w:tcPr>
          <w:p>
            <w:pPr>
              <w:pStyle w:val="TableParagraph"/>
              <w:spacing w:line="225" w:lineRule="exact"/>
              <w:ind w:left="190"/>
              <w:rPr>
                <w:sz w:val="20"/>
              </w:rPr>
            </w:pPr>
            <w:r>
              <w:rPr>
                <w:sz w:val="20"/>
              </w:rPr>
              <w:t>No.</w:t>
            </w:r>
            <w:r>
              <w:rPr>
                <w:spacing w:val="-5"/>
                <w:sz w:val="20"/>
              </w:rPr>
              <w:t> </w:t>
            </w:r>
            <w:r>
              <w:rPr>
                <w:sz w:val="20"/>
              </w:rPr>
              <w:t>of</w:t>
            </w:r>
            <w:r>
              <w:rPr>
                <w:spacing w:val="-2"/>
                <w:sz w:val="20"/>
              </w:rPr>
              <w:t> missing</w:t>
            </w:r>
          </w:p>
          <w:p>
            <w:pPr>
              <w:pStyle w:val="TableParagraph"/>
              <w:spacing w:line="213" w:lineRule="exact"/>
              <w:ind w:left="190"/>
              <w:rPr>
                <w:sz w:val="20"/>
              </w:rPr>
            </w:pPr>
            <w:r>
              <w:rPr>
                <w:spacing w:val="-2"/>
                <w:sz w:val="20"/>
              </w:rPr>
              <w:t>observations</w:t>
            </w:r>
          </w:p>
        </w:tc>
        <w:tc>
          <w:tcPr>
            <w:tcW w:w="675" w:type="dxa"/>
            <w:tcBorders>
              <w:top w:val="single" w:sz="4" w:space="0" w:color="000000"/>
            </w:tcBorders>
          </w:tcPr>
          <w:p>
            <w:pPr>
              <w:pStyle w:val="TableParagraph"/>
              <w:spacing w:line="213" w:lineRule="exact" w:before="225"/>
              <w:ind w:left="53" w:right="7"/>
              <w:jc w:val="center"/>
              <w:rPr>
                <w:sz w:val="20"/>
              </w:rPr>
            </w:pPr>
            <w:r>
              <w:rPr>
                <w:spacing w:val="-10"/>
                <w:sz w:val="20"/>
              </w:rPr>
              <w:t>-</w:t>
            </w:r>
          </w:p>
        </w:tc>
        <w:tc>
          <w:tcPr>
            <w:tcW w:w="758" w:type="dxa"/>
            <w:tcBorders>
              <w:top w:val="single" w:sz="4" w:space="0" w:color="000000"/>
            </w:tcBorders>
          </w:tcPr>
          <w:p>
            <w:pPr>
              <w:pStyle w:val="TableParagraph"/>
              <w:spacing w:line="213" w:lineRule="exact" w:before="225"/>
              <w:ind w:left="60" w:right="7"/>
              <w:jc w:val="center"/>
              <w:rPr>
                <w:sz w:val="20"/>
              </w:rPr>
            </w:pPr>
            <w:r>
              <w:rPr>
                <w:spacing w:val="-10"/>
                <w:sz w:val="20"/>
              </w:rPr>
              <w:t>-</w:t>
            </w:r>
          </w:p>
        </w:tc>
        <w:tc>
          <w:tcPr>
            <w:tcW w:w="547" w:type="dxa"/>
            <w:tcBorders>
              <w:top w:val="single" w:sz="4" w:space="0" w:color="000000"/>
            </w:tcBorders>
          </w:tcPr>
          <w:p>
            <w:pPr>
              <w:pStyle w:val="TableParagraph"/>
              <w:spacing w:line="213" w:lineRule="exact" w:before="225"/>
              <w:ind w:left="87" w:right="81"/>
              <w:jc w:val="center"/>
              <w:rPr>
                <w:sz w:val="20"/>
              </w:rPr>
            </w:pPr>
            <w:r>
              <w:rPr>
                <w:spacing w:val="-10"/>
                <w:sz w:val="20"/>
              </w:rPr>
              <w:t>-</w:t>
            </w:r>
          </w:p>
        </w:tc>
        <w:tc>
          <w:tcPr>
            <w:tcW w:w="732" w:type="dxa"/>
            <w:tcBorders>
              <w:top w:val="single" w:sz="4" w:space="0" w:color="000000"/>
            </w:tcBorders>
          </w:tcPr>
          <w:p>
            <w:pPr>
              <w:pStyle w:val="TableParagraph"/>
              <w:spacing w:line="213" w:lineRule="exact" w:before="225"/>
              <w:ind w:left="58" w:right="61"/>
              <w:jc w:val="center"/>
              <w:rPr>
                <w:sz w:val="20"/>
              </w:rPr>
            </w:pPr>
            <w:r>
              <w:rPr>
                <w:spacing w:val="-10"/>
                <w:sz w:val="20"/>
              </w:rPr>
              <w:t>-</w:t>
            </w:r>
          </w:p>
        </w:tc>
        <w:tc>
          <w:tcPr>
            <w:tcW w:w="742" w:type="dxa"/>
            <w:tcBorders>
              <w:top w:val="single" w:sz="4" w:space="0" w:color="000000"/>
            </w:tcBorders>
          </w:tcPr>
          <w:p>
            <w:pPr>
              <w:pStyle w:val="TableParagraph"/>
              <w:spacing w:line="213" w:lineRule="exact" w:before="225"/>
              <w:ind w:left="12" w:right="42"/>
              <w:jc w:val="center"/>
              <w:rPr>
                <w:sz w:val="20"/>
              </w:rPr>
            </w:pPr>
            <w:r>
              <w:rPr>
                <w:spacing w:val="-10"/>
                <w:sz w:val="20"/>
              </w:rPr>
              <w:t>1</w:t>
            </w:r>
          </w:p>
        </w:tc>
        <w:tc>
          <w:tcPr>
            <w:tcW w:w="848" w:type="dxa"/>
            <w:tcBorders>
              <w:top w:val="single" w:sz="4" w:space="0" w:color="000000"/>
            </w:tcBorders>
          </w:tcPr>
          <w:p>
            <w:pPr>
              <w:pStyle w:val="TableParagraph"/>
              <w:spacing w:line="213" w:lineRule="exact" w:before="225"/>
              <w:ind w:left="32" w:right="14"/>
              <w:jc w:val="center"/>
              <w:rPr>
                <w:sz w:val="20"/>
              </w:rPr>
            </w:pPr>
            <w:r>
              <w:rPr>
                <w:spacing w:val="-4"/>
                <w:sz w:val="20"/>
              </w:rPr>
              <w:t>50.0</w:t>
            </w:r>
          </w:p>
        </w:tc>
        <w:tc>
          <w:tcPr>
            <w:tcW w:w="740" w:type="dxa"/>
            <w:tcBorders>
              <w:top w:val="single" w:sz="4" w:space="0" w:color="000000"/>
            </w:tcBorders>
          </w:tcPr>
          <w:p>
            <w:pPr>
              <w:pStyle w:val="TableParagraph"/>
              <w:spacing w:line="213" w:lineRule="exact" w:before="225"/>
              <w:ind w:left="64" w:right="8"/>
              <w:jc w:val="center"/>
              <w:rPr>
                <w:sz w:val="20"/>
              </w:rPr>
            </w:pPr>
            <w:r>
              <w:rPr>
                <w:spacing w:val="-10"/>
                <w:sz w:val="20"/>
              </w:rPr>
              <w:t>-</w:t>
            </w:r>
          </w:p>
        </w:tc>
        <w:tc>
          <w:tcPr>
            <w:tcW w:w="774" w:type="dxa"/>
            <w:tcBorders>
              <w:top w:val="single" w:sz="4" w:space="0" w:color="000000"/>
            </w:tcBorders>
          </w:tcPr>
          <w:p>
            <w:pPr>
              <w:pStyle w:val="TableParagraph"/>
              <w:spacing w:line="213" w:lineRule="exact" w:before="225"/>
              <w:ind w:right="15"/>
              <w:jc w:val="center"/>
              <w:rPr>
                <w:sz w:val="20"/>
              </w:rPr>
            </w:pPr>
            <w:r>
              <w:rPr>
                <w:spacing w:val="-10"/>
                <w:sz w:val="20"/>
              </w:rPr>
              <w:t>-</w:t>
            </w:r>
          </w:p>
        </w:tc>
        <w:tc>
          <w:tcPr>
            <w:tcW w:w="628" w:type="dxa"/>
            <w:tcBorders>
              <w:top w:val="single" w:sz="4" w:space="0" w:color="000000"/>
            </w:tcBorders>
          </w:tcPr>
          <w:p>
            <w:pPr>
              <w:pStyle w:val="TableParagraph"/>
              <w:spacing w:line="213" w:lineRule="exact" w:before="225"/>
              <w:ind w:left="26" w:right="19"/>
              <w:jc w:val="center"/>
              <w:rPr>
                <w:sz w:val="20"/>
              </w:rPr>
            </w:pPr>
            <w:r>
              <w:rPr>
                <w:spacing w:val="-10"/>
                <w:sz w:val="20"/>
              </w:rPr>
              <w:t>1</w:t>
            </w:r>
          </w:p>
        </w:tc>
        <w:tc>
          <w:tcPr>
            <w:tcW w:w="772" w:type="dxa"/>
            <w:tcBorders>
              <w:top w:val="single" w:sz="4" w:space="0" w:color="000000"/>
            </w:tcBorders>
          </w:tcPr>
          <w:p>
            <w:pPr>
              <w:pStyle w:val="TableParagraph"/>
              <w:spacing w:line="213" w:lineRule="exact" w:before="225"/>
              <w:ind w:left="28"/>
              <w:jc w:val="center"/>
              <w:rPr>
                <w:sz w:val="20"/>
              </w:rPr>
            </w:pPr>
            <w:r>
              <w:rPr>
                <w:spacing w:val="-4"/>
                <w:sz w:val="20"/>
              </w:rPr>
              <w:t>50.0</w:t>
            </w:r>
          </w:p>
        </w:tc>
        <w:tc>
          <w:tcPr>
            <w:tcW w:w="693" w:type="dxa"/>
            <w:tcBorders>
              <w:top w:val="single" w:sz="4" w:space="0" w:color="000000"/>
            </w:tcBorders>
          </w:tcPr>
          <w:p>
            <w:pPr>
              <w:pStyle w:val="TableParagraph"/>
              <w:spacing w:line="213" w:lineRule="exact" w:before="225"/>
              <w:ind w:left="29" w:right="26"/>
              <w:jc w:val="center"/>
              <w:rPr>
                <w:sz w:val="20"/>
              </w:rPr>
            </w:pPr>
            <w:r>
              <w:rPr>
                <w:spacing w:val="-10"/>
                <w:sz w:val="20"/>
              </w:rPr>
              <w:t>2</w:t>
            </w:r>
          </w:p>
        </w:tc>
        <w:tc>
          <w:tcPr>
            <w:tcW w:w="740" w:type="dxa"/>
            <w:tcBorders>
              <w:top w:val="single" w:sz="4" w:space="0" w:color="000000"/>
              <w:right w:val="single" w:sz="4" w:space="0" w:color="000000"/>
            </w:tcBorders>
          </w:tcPr>
          <w:p>
            <w:pPr>
              <w:pStyle w:val="TableParagraph"/>
              <w:spacing w:line="213" w:lineRule="exact" w:before="225"/>
              <w:ind w:left="15" w:right="5"/>
              <w:jc w:val="center"/>
              <w:rPr>
                <w:sz w:val="20"/>
              </w:rPr>
            </w:pPr>
            <w:r>
              <w:rPr>
                <w:spacing w:val="-5"/>
                <w:sz w:val="20"/>
              </w:rPr>
              <w:t>0.4</w:t>
            </w:r>
          </w:p>
        </w:tc>
      </w:tr>
      <w:tr>
        <w:trPr>
          <w:trHeight w:val="691" w:hRule="atLeast"/>
        </w:trPr>
        <w:tc>
          <w:tcPr>
            <w:tcW w:w="3707" w:type="dxa"/>
            <w:tcBorders>
              <w:left w:val="single" w:sz="4" w:space="0" w:color="000000"/>
            </w:tcBorders>
          </w:tcPr>
          <w:p>
            <w:pPr>
              <w:pStyle w:val="TableParagraph"/>
              <w:tabs>
                <w:tab w:pos="830" w:val="left" w:leader="none"/>
              </w:tabs>
              <w:ind w:left="830" w:right="178" w:hanging="552"/>
              <w:rPr>
                <w:sz w:val="20"/>
              </w:rPr>
            </w:pPr>
            <w:r>
              <w:rPr>
                <w:spacing w:val="-6"/>
                <w:position w:val="5"/>
                <w:sz w:val="20"/>
              </w:rPr>
              <w:t>1.</w:t>
            </w:r>
            <w:r>
              <w:rPr>
                <w:position w:val="5"/>
                <w:sz w:val="20"/>
              </w:rPr>
              <w:tab/>
            </w:r>
            <w:r>
              <w:rPr>
                <w:sz w:val="20"/>
              </w:rPr>
              <w:t>Catering,</w:t>
            </w:r>
            <w:r>
              <w:rPr>
                <w:spacing w:val="-14"/>
                <w:sz w:val="20"/>
              </w:rPr>
              <w:t> </w:t>
            </w:r>
            <w:r>
              <w:rPr>
                <w:sz w:val="20"/>
              </w:rPr>
              <w:t>Cafeteria,</w:t>
            </w:r>
            <w:r>
              <w:rPr>
                <w:spacing w:val="-14"/>
                <w:sz w:val="20"/>
              </w:rPr>
              <w:t> </w:t>
            </w:r>
            <w:r>
              <w:rPr>
                <w:sz w:val="20"/>
              </w:rPr>
              <w:t>Bukateria, Canteens, Restaurant</w:t>
            </w:r>
          </w:p>
        </w:tc>
        <w:tc>
          <w:tcPr>
            <w:tcW w:w="2417" w:type="dxa"/>
          </w:tcPr>
          <w:p>
            <w:pPr>
              <w:pStyle w:val="TableParagraph"/>
              <w:ind w:left="190" w:right="1087"/>
              <w:rPr>
                <w:sz w:val="20"/>
              </w:rPr>
            </w:pPr>
            <w:r>
              <w:rPr>
                <w:spacing w:val="-2"/>
                <w:sz w:val="20"/>
              </w:rPr>
              <w:t>Students </w:t>
            </w:r>
            <w:r>
              <w:rPr>
                <w:sz w:val="20"/>
              </w:rPr>
              <w:t>Service</w:t>
            </w:r>
            <w:r>
              <w:rPr>
                <w:spacing w:val="-14"/>
                <w:sz w:val="20"/>
              </w:rPr>
              <w:t> </w:t>
            </w:r>
            <w:r>
              <w:rPr>
                <w:sz w:val="20"/>
              </w:rPr>
              <w:t>Staff</w:t>
            </w:r>
          </w:p>
          <w:p>
            <w:pPr>
              <w:pStyle w:val="TableParagraph"/>
              <w:spacing w:line="213" w:lineRule="exact"/>
              <w:ind w:left="190"/>
              <w:rPr>
                <w:sz w:val="20"/>
              </w:rPr>
            </w:pPr>
            <w:r>
              <w:rPr>
                <w:sz w:val="20"/>
              </w:rPr>
              <w:t>Top</w:t>
            </w:r>
            <w:r>
              <w:rPr>
                <w:spacing w:val="-1"/>
                <w:sz w:val="20"/>
              </w:rPr>
              <w:t> </w:t>
            </w:r>
            <w:r>
              <w:rPr>
                <w:spacing w:val="-2"/>
                <w:sz w:val="20"/>
              </w:rPr>
              <w:t>Management</w:t>
            </w:r>
          </w:p>
        </w:tc>
        <w:tc>
          <w:tcPr>
            <w:tcW w:w="675" w:type="dxa"/>
          </w:tcPr>
          <w:p>
            <w:pPr>
              <w:pStyle w:val="TableParagraph"/>
              <w:spacing w:line="227" w:lineRule="exact"/>
              <w:ind w:left="53" w:right="5"/>
              <w:jc w:val="center"/>
              <w:rPr>
                <w:sz w:val="20"/>
              </w:rPr>
            </w:pPr>
            <w:r>
              <w:rPr>
                <w:spacing w:val="-5"/>
                <w:sz w:val="20"/>
              </w:rPr>
              <w:t>44</w:t>
            </w:r>
          </w:p>
          <w:p>
            <w:pPr>
              <w:pStyle w:val="TableParagraph"/>
              <w:ind w:left="53" w:right="5"/>
              <w:jc w:val="center"/>
              <w:rPr>
                <w:sz w:val="20"/>
              </w:rPr>
            </w:pPr>
            <w:r>
              <w:rPr>
                <w:spacing w:val="-5"/>
                <w:sz w:val="20"/>
              </w:rPr>
              <w:t>33</w:t>
            </w:r>
          </w:p>
          <w:p>
            <w:pPr>
              <w:pStyle w:val="TableParagraph"/>
              <w:spacing w:line="213" w:lineRule="exact" w:before="1"/>
              <w:ind w:left="53"/>
              <w:jc w:val="center"/>
              <w:rPr>
                <w:sz w:val="20"/>
              </w:rPr>
            </w:pPr>
            <w:r>
              <w:rPr>
                <w:spacing w:val="-10"/>
                <w:sz w:val="20"/>
              </w:rPr>
              <w:t>9</w:t>
            </w:r>
          </w:p>
        </w:tc>
        <w:tc>
          <w:tcPr>
            <w:tcW w:w="758" w:type="dxa"/>
          </w:tcPr>
          <w:p>
            <w:pPr>
              <w:pStyle w:val="TableParagraph"/>
              <w:spacing w:line="227" w:lineRule="exact"/>
              <w:ind w:left="213"/>
              <w:rPr>
                <w:sz w:val="20"/>
              </w:rPr>
            </w:pPr>
            <w:r>
              <w:rPr>
                <w:spacing w:val="-4"/>
                <w:sz w:val="20"/>
              </w:rPr>
              <w:t>18.7</w:t>
            </w:r>
          </w:p>
          <w:p>
            <w:pPr>
              <w:pStyle w:val="TableParagraph"/>
              <w:ind w:left="213"/>
              <w:rPr>
                <w:sz w:val="20"/>
              </w:rPr>
            </w:pPr>
            <w:r>
              <w:rPr>
                <w:spacing w:val="-4"/>
                <w:sz w:val="20"/>
              </w:rPr>
              <w:t>16.3</w:t>
            </w:r>
          </w:p>
          <w:p>
            <w:pPr>
              <w:pStyle w:val="TableParagraph"/>
              <w:spacing w:line="213" w:lineRule="exact" w:before="1"/>
              <w:ind w:left="213"/>
              <w:rPr>
                <w:sz w:val="20"/>
              </w:rPr>
            </w:pPr>
            <w:r>
              <w:rPr>
                <w:spacing w:val="-4"/>
                <w:sz w:val="20"/>
              </w:rPr>
              <w:t>39.1</w:t>
            </w:r>
          </w:p>
        </w:tc>
        <w:tc>
          <w:tcPr>
            <w:tcW w:w="547" w:type="dxa"/>
          </w:tcPr>
          <w:p>
            <w:pPr>
              <w:pStyle w:val="TableParagraph"/>
              <w:spacing w:line="227" w:lineRule="exact"/>
              <w:ind w:left="87" w:right="79"/>
              <w:jc w:val="center"/>
              <w:rPr>
                <w:sz w:val="20"/>
              </w:rPr>
            </w:pPr>
            <w:r>
              <w:rPr>
                <w:spacing w:val="-5"/>
                <w:sz w:val="20"/>
              </w:rPr>
              <w:t>25</w:t>
            </w:r>
          </w:p>
          <w:p>
            <w:pPr>
              <w:pStyle w:val="TableParagraph"/>
              <w:ind w:left="87" w:right="79"/>
              <w:jc w:val="center"/>
              <w:rPr>
                <w:sz w:val="20"/>
              </w:rPr>
            </w:pPr>
            <w:r>
              <w:rPr>
                <w:spacing w:val="-5"/>
                <w:sz w:val="20"/>
              </w:rPr>
              <w:t>30</w:t>
            </w:r>
          </w:p>
          <w:p>
            <w:pPr>
              <w:pStyle w:val="TableParagraph"/>
              <w:spacing w:line="213" w:lineRule="exact" w:before="1"/>
              <w:ind w:left="87" w:right="75"/>
              <w:jc w:val="center"/>
              <w:rPr>
                <w:sz w:val="20"/>
              </w:rPr>
            </w:pPr>
            <w:r>
              <w:rPr>
                <w:spacing w:val="-10"/>
                <w:sz w:val="20"/>
              </w:rPr>
              <w:t>2</w:t>
            </w:r>
          </w:p>
        </w:tc>
        <w:tc>
          <w:tcPr>
            <w:tcW w:w="732" w:type="dxa"/>
          </w:tcPr>
          <w:p>
            <w:pPr>
              <w:pStyle w:val="TableParagraph"/>
              <w:spacing w:line="227" w:lineRule="exact"/>
              <w:ind w:left="171"/>
              <w:rPr>
                <w:sz w:val="20"/>
              </w:rPr>
            </w:pPr>
            <w:r>
              <w:rPr>
                <w:spacing w:val="-4"/>
                <w:sz w:val="20"/>
              </w:rPr>
              <w:t>10.6</w:t>
            </w:r>
          </w:p>
          <w:p>
            <w:pPr>
              <w:pStyle w:val="TableParagraph"/>
              <w:ind w:left="171"/>
              <w:rPr>
                <w:sz w:val="20"/>
              </w:rPr>
            </w:pPr>
            <w:r>
              <w:rPr>
                <w:spacing w:val="-4"/>
                <w:sz w:val="20"/>
              </w:rPr>
              <w:t>14.8</w:t>
            </w:r>
          </w:p>
          <w:p>
            <w:pPr>
              <w:pStyle w:val="TableParagraph"/>
              <w:spacing w:line="213" w:lineRule="exact" w:before="1"/>
              <w:ind w:left="224"/>
              <w:rPr>
                <w:sz w:val="20"/>
              </w:rPr>
            </w:pPr>
            <w:r>
              <w:rPr>
                <w:spacing w:val="-5"/>
                <w:sz w:val="20"/>
              </w:rPr>
              <w:t>8.7</w:t>
            </w:r>
          </w:p>
        </w:tc>
        <w:tc>
          <w:tcPr>
            <w:tcW w:w="742" w:type="dxa"/>
          </w:tcPr>
          <w:p>
            <w:pPr>
              <w:pStyle w:val="TableParagraph"/>
              <w:spacing w:line="227" w:lineRule="exact"/>
              <w:ind w:left="7" w:right="42"/>
              <w:jc w:val="center"/>
              <w:rPr>
                <w:sz w:val="20"/>
              </w:rPr>
            </w:pPr>
            <w:r>
              <w:rPr>
                <w:spacing w:val="-5"/>
                <w:sz w:val="20"/>
              </w:rPr>
              <w:t>65</w:t>
            </w:r>
          </w:p>
          <w:p>
            <w:pPr>
              <w:pStyle w:val="TableParagraph"/>
              <w:ind w:left="7" w:right="42"/>
              <w:jc w:val="center"/>
              <w:rPr>
                <w:sz w:val="20"/>
              </w:rPr>
            </w:pPr>
            <w:r>
              <w:rPr>
                <w:spacing w:val="-5"/>
                <w:sz w:val="20"/>
              </w:rPr>
              <w:t>55</w:t>
            </w:r>
          </w:p>
          <w:p>
            <w:pPr>
              <w:pStyle w:val="TableParagraph"/>
              <w:spacing w:line="213" w:lineRule="exact" w:before="1"/>
              <w:ind w:left="12" w:right="42"/>
              <w:jc w:val="center"/>
              <w:rPr>
                <w:sz w:val="20"/>
              </w:rPr>
            </w:pPr>
            <w:r>
              <w:rPr>
                <w:spacing w:val="-10"/>
                <w:sz w:val="20"/>
              </w:rPr>
              <w:t>4</w:t>
            </w:r>
          </w:p>
        </w:tc>
        <w:tc>
          <w:tcPr>
            <w:tcW w:w="848" w:type="dxa"/>
          </w:tcPr>
          <w:p>
            <w:pPr>
              <w:pStyle w:val="TableParagraph"/>
              <w:spacing w:line="227" w:lineRule="exact"/>
              <w:ind w:left="237"/>
              <w:rPr>
                <w:sz w:val="20"/>
              </w:rPr>
            </w:pPr>
            <w:r>
              <w:rPr>
                <w:spacing w:val="-4"/>
                <w:sz w:val="20"/>
              </w:rPr>
              <w:t>27.7</w:t>
            </w:r>
          </w:p>
          <w:p>
            <w:pPr>
              <w:pStyle w:val="TableParagraph"/>
              <w:ind w:left="237"/>
              <w:rPr>
                <w:sz w:val="20"/>
              </w:rPr>
            </w:pPr>
            <w:r>
              <w:rPr>
                <w:spacing w:val="-4"/>
                <w:sz w:val="20"/>
              </w:rPr>
              <w:t>27.1</w:t>
            </w:r>
          </w:p>
          <w:p>
            <w:pPr>
              <w:pStyle w:val="TableParagraph"/>
              <w:spacing w:line="213" w:lineRule="exact" w:before="1"/>
              <w:ind w:left="237"/>
              <w:rPr>
                <w:sz w:val="20"/>
              </w:rPr>
            </w:pPr>
            <w:r>
              <w:rPr>
                <w:spacing w:val="-4"/>
                <w:sz w:val="20"/>
              </w:rPr>
              <w:t>17.4</w:t>
            </w:r>
          </w:p>
        </w:tc>
        <w:tc>
          <w:tcPr>
            <w:tcW w:w="740" w:type="dxa"/>
          </w:tcPr>
          <w:p>
            <w:pPr>
              <w:pStyle w:val="TableParagraph"/>
              <w:spacing w:line="227" w:lineRule="exact"/>
              <w:ind w:left="64" w:right="6"/>
              <w:jc w:val="center"/>
              <w:rPr>
                <w:sz w:val="20"/>
              </w:rPr>
            </w:pPr>
            <w:r>
              <w:rPr>
                <w:spacing w:val="-5"/>
                <w:sz w:val="20"/>
              </w:rPr>
              <w:t>79</w:t>
            </w:r>
          </w:p>
          <w:p>
            <w:pPr>
              <w:pStyle w:val="TableParagraph"/>
              <w:ind w:left="64" w:right="6"/>
              <w:jc w:val="center"/>
              <w:rPr>
                <w:sz w:val="20"/>
              </w:rPr>
            </w:pPr>
            <w:r>
              <w:rPr>
                <w:spacing w:val="-5"/>
                <w:sz w:val="20"/>
              </w:rPr>
              <w:t>66</w:t>
            </w:r>
          </w:p>
          <w:p>
            <w:pPr>
              <w:pStyle w:val="TableParagraph"/>
              <w:spacing w:line="213" w:lineRule="exact" w:before="1"/>
              <w:ind w:left="64" w:right="2"/>
              <w:jc w:val="center"/>
              <w:rPr>
                <w:sz w:val="20"/>
              </w:rPr>
            </w:pPr>
            <w:r>
              <w:rPr>
                <w:spacing w:val="-10"/>
                <w:sz w:val="20"/>
              </w:rPr>
              <w:t>7</w:t>
            </w:r>
          </w:p>
        </w:tc>
        <w:tc>
          <w:tcPr>
            <w:tcW w:w="774" w:type="dxa"/>
          </w:tcPr>
          <w:p>
            <w:pPr>
              <w:pStyle w:val="TableParagraph"/>
              <w:spacing w:line="227" w:lineRule="exact"/>
              <w:ind w:left="186"/>
              <w:rPr>
                <w:sz w:val="20"/>
              </w:rPr>
            </w:pPr>
            <w:r>
              <w:rPr>
                <w:spacing w:val="-4"/>
                <w:sz w:val="20"/>
              </w:rPr>
              <w:t>33.6</w:t>
            </w:r>
          </w:p>
          <w:p>
            <w:pPr>
              <w:pStyle w:val="TableParagraph"/>
              <w:ind w:left="186"/>
              <w:rPr>
                <w:sz w:val="20"/>
              </w:rPr>
            </w:pPr>
            <w:r>
              <w:rPr>
                <w:spacing w:val="-4"/>
                <w:sz w:val="20"/>
              </w:rPr>
              <w:t>32.5</w:t>
            </w:r>
          </w:p>
          <w:p>
            <w:pPr>
              <w:pStyle w:val="TableParagraph"/>
              <w:spacing w:line="213" w:lineRule="exact" w:before="1"/>
              <w:ind w:left="186"/>
              <w:rPr>
                <w:sz w:val="20"/>
              </w:rPr>
            </w:pPr>
            <w:r>
              <w:rPr>
                <w:spacing w:val="-4"/>
                <w:sz w:val="20"/>
              </w:rPr>
              <w:t>30.4</w:t>
            </w:r>
          </w:p>
        </w:tc>
        <w:tc>
          <w:tcPr>
            <w:tcW w:w="628" w:type="dxa"/>
          </w:tcPr>
          <w:p>
            <w:pPr>
              <w:pStyle w:val="TableParagraph"/>
              <w:spacing w:line="227" w:lineRule="exact"/>
              <w:ind w:left="21" w:right="19"/>
              <w:jc w:val="center"/>
              <w:rPr>
                <w:sz w:val="20"/>
              </w:rPr>
            </w:pPr>
            <w:r>
              <w:rPr>
                <w:spacing w:val="-5"/>
                <w:sz w:val="20"/>
              </w:rPr>
              <w:t>22</w:t>
            </w:r>
          </w:p>
          <w:p>
            <w:pPr>
              <w:pStyle w:val="TableParagraph"/>
              <w:ind w:left="21" w:right="19"/>
              <w:jc w:val="center"/>
              <w:rPr>
                <w:sz w:val="20"/>
              </w:rPr>
            </w:pPr>
            <w:r>
              <w:rPr>
                <w:spacing w:val="-5"/>
                <w:sz w:val="20"/>
              </w:rPr>
              <w:t>19</w:t>
            </w:r>
          </w:p>
          <w:p>
            <w:pPr>
              <w:pStyle w:val="TableParagraph"/>
              <w:spacing w:line="213" w:lineRule="exact" w:before="1"/>
              <w:ind w:left="26" w:right="19"/>
              <w:jc w:val="center"/>
              <w:rPr>
                <w:sz w:val="20"/>
              </w:rPr>
            </w:pPr>
            <w:r>
              <w:rPr>
                <w:spacing w:val="-10"/>
                <w:sz w:val="20"/>
              </w:rPr>
              <w:t>1</w:t>
            </w:r>
          </w:p>
        </w:tc>
        <w:tc>
          <w:tcPr>
            <w:tcW w:w="772" w:type="dxa"/>
          </w:tcPr>
          <w:p>
            <w:pPr>
              <w:pStyle w:val="TableParagraph"/>
              <w:spacing w:line="227" w:lineRule="exact"/>
              <w:ind w:left="257"/>
              <w:rPr>
                <w:sz w:val="20"/>
              </w:rPr>
            </w:pPr>
            <w:r>
              <w:rPr>
                <w:spacing w:val="-5"/>
                <w:sz w:val="20"/>
              </w:rPr>
              <w:t>9.4</w:t>
            </w:r>
          </w:p>
          <w:p>
            <w:pPr>
              <w:pStyle w:val="TableParagraph"/>
              <w:ind w:left="257"/>
              <w:rPr>
                <w:sz w:val="20"/>
              </w:rPr>
            </w:pPr>
            <w:r>
              <w:rPr>
                <w:spacing w:val="-5"/>
                <w:sz w:val="20"/>
              </w:rPr>
              <w:t>9.4</w:t>
            </w:r>
          </w:p>
          <w:p>
            <w:pPr>
              <w:pStyle w:val="TableParagraph"/>
              <w:spacing w:line="213" w:lineRule="exact" w:before="1"/>
              <w:ind w:left="257"/>
              <w:rPr>
                <w:sz w:val="20"/>
              </w:rPr>
            </w:pPr>
            <w:r>
              <w:rPr>
                <w:spacing w:val="-5"/>
                <w:sz w:val="20"/>
              </w:rPr>
              <w:t>4.3</w:t>
            </w:r>
          </w:p>
        </w:tc>
        <w:tc>
          <w:tcPr>
            <w:tcW w:w="693" w:type="dxa"/>
          </w:tcPr>
          <w:p>
            <w:pPr>
              <w:pStyle w:val="TableParagraph"/>
              <w:spacing w:line="227" w:lineRule="exact"/>
              <w:ind w:left="22" w:right="26"/>
              <w:jc w:val="center"/>
              <w:rPr>
                <w:sz w:val="20"/>
              </w:rPr>
            </w:pPr>
            <w:r>
              <w:rPr>
                <w:spacing w:val="-5"/>
                <w:sz w:val="20"/>
              </w:rPr>
              <w:t>235</w:t>
            </w:r>
          </w:p>
          <w:p>
            <w:pPr>
              <w:pStyle w:val="TableParagraph"/>
              <w:ind w:left="22" w:right="26"/>
              <w:jc w:val="center"/>
              <w:rPr>
                <w:sz w:val="20"/>
              </w:rPr>
            </w:pPr>
            <w:r>
              <w:rPr>
                <w:spacing w:val="-5"/>
                <w:sz w:val="20"/>
              </w:rPr>
              <w:t>203</w:t>
            </w:r>
          </w:p>
          <w:p>
            <w:pPr>
              <w:pStyle w:val="TableParagraph"/>
              <w:spacing w:line="213" w:lineRule="exact" w:before="1"/>
              <w:ind w:left="25" w:right="26"/>
              <w:jc w:val="center"/>
              <w:rPr>
                <w:sz w:val="20"/>
              </w:rPr>
            </w:pPr>
            <w:r>
              <w:rPr>
                <w:spacing w:val="-5"/>
                <w:sz w:val="20"/>
              </w:rPr>
              <w:t>23</w:t>
            </w:r>
          </w:p>
        </w:tc>
        <w:tc>
          <w:tcPr>
            <w:tcW w:w="740" w:type="dxa"/>
            <w:tcBorders>
              <w:right w:val="single" w:sz="4" w:space="0" w:color="000000"/>
            </w:tcBorders>
          </w:tcPr>
          <w:p>
            <w:pPr>
              <w:pStyle w:val="TableParagraph"/>
              <w:spacing w:line="227" w:lineRule="exact"/>
              <w:ind w:left="179"/>
              <w:rPr>
                <w:sz w:val="20"/>
              </w:rPr>
            </w:pPr>
            <w:r>
              <w:rPr>
                <w:spacing w:val="-4"/>
                <w:sz w:val="20"/>
              </w:rPr>
              <w:t>50.8</w:t>
            </w:r>
          </w:p>
          <w:p>
            <w:pPr>
              <w:pStyle w:val="TableParagraph"/>
              <w:ind w:left="179"/>
              <w:rPr>
                <w:sz w:val="20"/>
              </w:rPr>
            </w:pPr>
            <w:r>
              <w:rPr>
                <w:spacing w:val="-4"/>
                <w:sz w:val="20"/>
              </w:rPr>
              <w:t>43.8</w:t>
            </w:r>
          </w:p>
          <w:p>
            <w:pPr>
              <w:pStyle w:val="TableParagraph"/>
              <w:spacing w:line="213" w:lineRule="exact" w:before="1"/>
              <w:ind w:left="232"/>
              <w:rPr>
                <w:sz w:val="20"/>
              </w:rPr>
            </w:pPr>
            <w:r>
              <w:rPr>
                <w:spacing w:val="-5"/>
                <w:sz w:val="20"/>
              </w:rPr>
              <w:t>5.0</w:t>
            </w:r>
          </w:p>
        </w:tc>
      </w:tr>
      <w:tr>
        <w:trPr>
          <w:trHeight w:val="230" w:hRule="atLeast"/>
        </w:trPr>
        <w:tc>
          <w:tcPr>
            <w:tcW w:w="3707" w:type="dxa"/>
            <w:tcBorders>
              <w:left w:val="single" w:sz="4" w:space="0" w:color="000000"/>
            </w:tcBorders>
          </w:tcPr>
          <w:p>
            <w:pPr>
              <w:pStyle w:val="TableParagraph"/>
              <w:tabs>
                <w:tab w:pos="830" w:val="left" w:leader="none"/>
              </w:tabs>
              <w:spacing w:line="210" w:lineRule="exact"/>
              <w:ind w:left="278"/>
              <w:rPr>
                <w:sz w:val="20"/>
              </w:rPr>
            </w:pPr>
            <w:r>
              <w:rPr>
                <w:spacing w:val="-5"/>
                <w:sz w:val="20"/>
              </w:rPr>
              <w:t>2.</w:t>
            </w:r>
            <w:r>
              <w:rPr>
                <w:sz w:val="20"/>
              </w:rPr>
              <w:tab/>
              <w:t>Hostel</w:t>
            </w:r>
            <w:r>
              <w:rPr>
                <w:spacing w:val="-5"/>
                <w:sz w:val="20"/>
              </w:rPr>
              <w:t> </w:t>
            </w:r>
            <w:r>
              <w:rPr>
                <w:spacing w:val="-2"/>
                <w:sz w:val="20"/>
              </w:rPr>
              <w:t>Accommodation</w:t>
            </w:r>
          </w:p>
        </w:tc>
        <w:tc>
          <w:tcPr>
            <w:tcW w:w="2417" w:type="dxa"/>
          </w:tcPr>
          <w:p>
            <w:pPr>
              <w:pStyle w:val="TableParagraph"/>
              <w:spacing w:line="210" w:lineRule="exact"/>
              <w:ind w:left="190"/>
              <w:rPr>
                <w:sz w:val="20"/>
              </w:rPr>
            </w:pPr>
            <w:r>
              <w:rPr>
                <w:sz w:val="20"/>
              </w:rPr>
              <w:t>No.</w:t>
            </w:r>
            <w:r>
              <w:rPr>
                <w:spacing w:val="-5"/>
                <w:sz w:val="20"/>
              </w:rPr>
              <w:t> </w:t>
            </w:r>
            <w:r>
              <w:rPr>
                <w:sz w:val="20"/>
              </w:rPr>
              <w:t>of</w:t>
            </w:r>
            <w:r>
              <w:rPr>
                <w:spacing w:val="-2"/>
                <w:sz w:val="20"/>
              </w:rPr>
              <w:t> missing</w:t>
            </w:r>
          </w:p>
        </w:tc>
        <w:tc>
          <w:tcPr>
            <w:tcW w:w="675" w:type="dxa"/>
          </w:tcPr>
          <w:p>
            <w:pPr>
              <w:pStyle w:val="TableParagraph"/>
              <w:rPr>
                <w:rFonts w:ascii="Times New Roman"/>
                <w:sz w:val="16"/>
              </w:rPr>
            </w:pPr>
          </w:p>
        </w:tc>
        <w:tc>
          <w:tcPr>
            <w:tcW w:w="758" w:type="dxa"/>
          </w:tcPr>
          <w:p>
            <w:pPr>
              <w:pStyle w:val="TableParagraph"/>
              <w:rPr>
                <w:rFonts w:ascii="Times New Roman"/>
                <w:sz w:val="16"/>
              </w:rPr>
            </w:pPr>
          </w:p>
        </w:tc>
        <w:tc>
          <w:tcPr>
            <w:tcW w:w="547" w:type="dxa"/>
          </w:tcPr>
          <w:p>
            <w:pPr>
              <w:pStyle w:val="TableParagraph"/>
              <w:rPr>
                <w:rFonts w:ascii="Times New Roman"/>
                <w:sz w:val="16"/>
              </w:rPr>
            </w:pPr>
          </w:p>
        </w:tc>
        <w:tc>
          <w:tcPr>
            <w:tcW w:w="732" w:type="dxa"/>
          </w:tcPr>
          <w:p>
            <w:pPr>
              <w:pStyle w:val="TableParagraph"/>
              <w:rPr>
                <w:rFonts w:ascii="Times New Roman"/>
                <w:sz w:val="16"/>
              </w:rPr>
            </w:pPr>
          </w:p>
        </w:tc>
        <w:tc>
          <w:tcPr>
            <w:tcW w:w="742" w:type="dxa"/>
          </w:tcPr>
          <w:p>
            <w:pPr>
              <w:pStyle w:val="TableParagraph"/>
              <w:rPr>
                <w:rFonts w:ascii="Times New Roman"/>
                <w:sz w:val="16"/>
              </w:rPr>
            </w:pPr>
          </w:p>
        </w:tc>
        <w:tc>
          <w:tcPr>
            <w:tcW w:w="848" w:type="dxa"/>
          </w:tcPr>
          <w:p>
            <w:pPr>
              <w:pStyle w:val="TableParagraph"/>
              <w:rPr>
                <w:rFonts w:ascii="Times New Roman"/>
                <w:sz w:val="16"/>
              </w:rPr>
            </w:pPr>
          </w:p>
        </w:tc>
        <w:tc>
          <w:tcPr>
            <w:tcW w:w="740" w:type="dxa"/>
          </w:tcPr>
          <w:p>
            <w:pPr>
              <w:pStyle w:val="TableParagraph"/>
              <w:rPr>
                <w:rFonts w:ascii="Times New Roman"/>
                <w:sz w:val="16"/>
              </w:rPr>
            </w:pPr>
          </w:p>
        </w:tc>
        <w:tc>
          <w:tcPr>
            <w:tcW w:w="774" w:type="dxa"/>
          </w:tcPr>
          <w:p>
            <w:pPr>
              <w:pStyle w:val="TableParagraph"/>
              <w:rPr>
                <w:rFonts w:ascii="Times New Roman"/>
                <w:sz w:val="16"/>
              </w:rPr>
            </w:pPr>
          </w:p>
        </w:tc>
        <w:tc>
          <w:tcPr>
            <w:tcW w:w="628" w:type="dxa"/>
          </w:tcPr>
          <w:p>
            <w:pPr>
              <w:pStyle w:val="TableParagraph"/>
              <w:rPr>
                <w:rFonts w:ascii="Times New Roman"/>
                <w:sz w:val="16"/>
              </w:rPr>
            </w:pPr>
          </w:p>
        </w:tc>
        <w:tc>
          <w:tcPr>
            <w:tcW w:w="772" w:type="dxa"/>
          </w:tcPr>
          <w:p>
            <w:pPr>
              <w:pStyle w:val="TableParagraph"/>
              <w:rPr>
                <w:rFonts w:ascii="Times New Roman"/>
                <w:sz w:val="16"/>
              </w:rPr>
            </w:pPr>
          </w:p>
        </w:tc>
        <w:tc>
          <w:tcPr>
            <w:tcW w:w="693" w:type="dxa"/>
          </w:tcPr>
          <w:p>
            <w:pPr>
              <w:pStyle w:val="TableParagraph"/>
              <w:rPr>
                <w:rFonts w:ascii="Times New Roman"/>
                <w:sz w:val="16"/>
              </w:rPr>
            </w:pPr>
          </w:p>
        </w:tc>
        <w:tc>
          <w:tcPr>
            <w:tcW w:w="740" w:type="dxa"/>
            <w:tcBorders>
              <w:right w:val="single" w:sz="4" w:space="0" w:color="000000"/>
            </w:tcBorders>
          </w:tcPr>
          <w:p>
            <w:pPr>
              <w:pStyle w:val="TableParagraph"/>
              <w:rPr>
                <w:rFonts w:ascii="Times New Roman"/>
                <w:sz w:val="16"/>
              </w:rPr>
            </w:pPr>
          </w:p>
        </w:tc>
      </w:tr>
      <w:tr>
        <w:trPr>
          <w:trHeight w:val="230" w:hRule="atLeast"/>
        </w:trPr>
        <w:tc>
          <w:tcPr>
            <w:tcW w:w="3707" w:type="dxa"/>
            <w:tcBorders>
              <w:left w:val="single" w:sz="4" w:space="0" w:color="000000"/>
            </w:tcBorders>
          </w:tcPr>
          <w:p>
            <w:pPr>
              <w:pStyle w:val="TableParagraph"/>
              <w:rPr>
                <w:rFonts w:ascii="Times New Roman"/>
                <w:sz w:val="16"/>
              </w:rPr>
            </w:pPr>
          </w:p>
        </w:tc>
        <w:tc>
          <w:tcPr>
            <w:tcW w:w="2417" w:type="dxa"/>
          </w:tcPr>
          <w:p>
            <w:pPr>
              <w:pStyle w:val="TableParagraph"/>
              <w:spacing w:line="210" w:lineRule="exact"/>
              <w:ind w:left="190"/>
              <w:rPr>
                <w:sz w:val="20"/>
              </w:rPr>
            </w:pPr>
            <w:r>
              <w:rPr>
                <w:spacing w:val="-2"/>
                <w:sz w:val="20"/>
              </w:rPr>
              <w:t>observations</w:t>
            </w:r>
          </w:p>
        </w:tc>
        <w:tc>
          <w:tcPr>
            <w:tcW w:w="675" w:type="dxa"/>
          </w:tcPr>
          <w:p>
            <w:pPr>
              <w:pStyle w:val="TableParagraph"/>
              <w:spacing w:line="210" w:lineRule="exact"/>
              <w:ind w:left="53" w:right="7"/>
              <w:jc w:val="center"/>
              <w:rPr>
                <w:sz w:val="20"/>
              </w:rPr>
            </w:pPr>
            <w:r>
              <w:rPr>
                <w:spacing w:val="-10"/>
                <w:sz w:val="20"/>
              </w:rPr>
              <w:t>-</w:t>
            </w:r>
          </w:p>
        </w:tc>
        <w:tc>
          <w:tcPr>
            <w:tcW w:w="758" w:type="dxa"/>
          </w:tcPr>
          <w:p>
            <w:pPr>
              <w:pStyle w:val="TableParagraph"/>
              <w:spacing w:line="210" w:lineRule="exact"/>
              <w:ind w:left="60" w:right="7"/>
              <w:jc w:val="center"/>
              <w:rPr>
                <w:sz w:val="20"/>
              </w:rPr>
            </w:pPr>
            <w:r>
              <w:rPr>
                <w:spacing w:val="-10"/>
                <w:sz w:val="20"/>
              </w:rPr>
              <w:t>-</w:t>
            </w:r>
          </w:p>
        </w:tc>
        <w:tc>
          <w:tcPr>
            <w:tcW w:w="547" w:type="dxa"/>
          </w:tcPr>
          <w:p>
            <w:pPr>
              <w:pStyle w:val="TableParagraph"/>
              <w:spacing w:line="210" w:lineRule="exact"/>
              <w:ind w:left="87" w:right="81"/>
              <w:jc w:val="center"/>
              <w:rPr>
                <w:sz w:val="20"/>
              </w:rPr>
            </w:pPr>
            <w:r>
              <w:rPr>
                <w:spacing w:val="-10"/>
                <w:sz w:val="20"/>
              </w:rPr>
              <w:t>-</w:t>
            </w:r>
          </w:p>
        </w:tc>
        <w:tc>
          <w:tcPr>
            <w:tcW w:w="732" w:type="dxa"/>
          </w:tcPr>
          <w:p>
            <w:pPr>
              <w:pStyle w:val="TableParagraph"/>
              <w:spacing w:line="210" w:lineRule="exact"/>
              <w:ind w:left="58" w:right="61"/>
              <w:jc w:val="center"/>
              <w:rPr>
                <w:sz w:val="20"/>
              </w:rPr>
            </w:pPr>
            <w:r>
              <w:rPr>
                <w:spacing w:val="-10"/>
                <w:sz w:val="20"/>
              </w:rPr>
              <w:t>-</w:t>
            </w:r>
          </w:p>
        </w:tc>
        <w:tc>
          <w:tcPr>
            <w:tcW w:w="742" w:type="dxa"/>
          </w:tcPr>
          <w:p>
            <w:pPr>
              <w:pStyle w:val="TableParagraph"/>
              <w:spacing w:line="210" w:lineRule="exact"/>
              <w:ind w:left="12" w:right="42"/>
              <w:jc w:val="center"/>
              <w:rPr>
                <w:sz w:val="20"/>
              </w:rPr>
            </w:pPr>
            <w:r>
              <w:rPr>
                <w:spacing w:val="-10"/>
                <w:sz w:val="20"/>
              </w:rPr>
              <w:t>1</w:t>
            </w:r>
          </w:p>
        </w:tc>
        <w:tc>
          <w:tcPr>
            <w:tcW w:w="848" w:type="dxa"/>
          </w:tcPr>
          <w:p>
            <w:pPr>
              <w:pStyle w:val="TableParagraph"/>
              <w:spacing w:line="210" w:lineRule="exact"/>
              <w:ind w:left="32" w:right="14"/>
              <w:jc w:val="center"/>
              <w:rPr>
                <w:sz w:val="20"/>
              </w:rPr>
            </w:pPr>
            <w:r>
              <w:rPr>
                <w:spacing w:val="-4"/>
                <w:sz w:val="20"/>
              </w:rPr>
              <w:t>50.0</w:t>
            </w:r>
          </w:p>
        </w:tc>
        <w:tc>
          <w:tcPr>
            <w:tcW w:w="740" w:type="dxa"/>
          </w:tcPr>
          <w:p>
            <w:pPr>
              <w:pStyle w:val="TableParagraph"/>
              <w:spacing w:line="210" w:lineRule="exact"/>
              <w:ind w:left="64" w:right="8"/>
              <w:jc w:val="center"/>
              <w:rPr>
                <w:sz w:val="20"/>
              </w:rPr>
            </w:pPr>
            <w:r>
              <w:rPr>
                <w:spacing w:val="-10"/>
                <w:sz w:val="20"/>
              </w:rPr>
              <w:t>-</w:t>
            </w:r>
          </w:p>
        </w:tc>
        <w:tc>
          <w:tcPr>
            <w:tcW w:w="774" w:type="dxa"/>
          </w:tcPr>
          <w:p>
            <w:pPr>
              <w:pStyle w:val="TableParagraph"/>
              <w:spacing w:line="210" w:lineRule="exact"/>
              <w:ind w:right="15"/>
              <w:jc w:val="center"/>
              <w:rPr>
                <w:sz w:val="20"/>
              </w:rPr>
            </w:pPr>
            <w:r>
              <w:rPr>
                <w:spacing w:val="-10"/>
                <w:sz w:val="20"/>
              </w:rPr>
              <w:t>-</w:t>
            </w:r>
          </w:p>
        </w:tc>
        <w:tc>
          <w:tcPr>
            <w:tcW w:w="628" w:type="dxa"/>
          </w:tcPr>
          <w:p>
            <w:pPr>
              <w:pStyle w:val="TableParagraph"/>
              <w:spacing w:line="210" w:lineRule="exact"/>
              <w:ind w:left="26" w:right="19"/>
              <w:jc w:val="center"/>
              <w:rPr>
                <w:sz w:val="20"/>
              </w:rPr>
            </w:pPr>
            <w:r>
              <w:rPr>
                <w:spacing w:val="-10"/>
                <w:sz w:val="20"/>
              </w:rPr>
              <w:t>1</w:t>
            </w:r>
          </w:p>
        </w:tc>
        <w:tc>
          <w:tcPr>
            <w:tcW w:w="772" w:type="dxa"/>
          </w:tcPr>
          <w:p>
            <w:pPr>
              <w:pStyle w:val="TableParagraph"/>
              <w:spacing w:line="210" w:lineRule="exact"/>
              <w:ind w:left="28"/>
              <w:jc w:val="center"/>
              <w:rPr>
                <w:sz w:val="20"/>
              </w:rPr>
            </w:pPr>
            <w:r>
              <w:rPr>
                <w:spacing w:val="-4"/>
                <w:sz w:val="20"/>
              </w:rPr>
              <w:t>50.0</w:t>
            </w:r>
          </w:p>
        </w:tc>
        <w:tc>
          <w:tcPr>
            <w:tcW w:w="693" w:type="dxa"/>
          </w:tcPr>
          <w:p>
            <w:pPr>
              <w:pStyle w:val="TableParagraph"/>
              <w:spacing w:line="210" w:lineRule="exact"/>
              <w:ind w:left="29" w:right="26"/>
              <w:jc w:val="center"/>
              <w:rPr>
                <w:sz w:val="20"/>
              </w:rPr>
            </w:pPr>
            <w:r>
              <w:rPr>
                <w:spacing w:val="-10"/>
                <w:sz w:val="20"/>
              </w:rPr>
              <w:t>2</w:t>
            </w:r>
          </w:p>
        </w:tc>
        <w:tc>
          <w:tcPr>
            <w:tcW w:w="740" w:type="dxa"/>
            <w:tcBorders>
              <w:right w:val="single" w:sz="4" w:space="0" w:color="000000"/>
            </w:tcBorders>
          </w:tcPr>
          <w:p>
            <w:pPr>
              <w:pStyle w:val="TableParagraph"/>
              <w:spacing w:line="210" w:lineRule="exact"/>
              <w:ind w:left="15" w:right="5"/>
              <w:jc w:val="center"/>
              <w:rPr>
                <w:sz w:val="20"/>
              </w:rPr>
            </w:pPr>
            <w:r>
              <w:rPr>
                <w:spacing w:val="-5"/>
                <w:sz w:val="20"/>
              </w:rPr>
              <w:t>0.4</w:t>
            </w:r>
          </w:p>
        </w:tc>
      </w:tr>
      <w:tr>
        <w:trPr>
          <w:trHeight w:val="230" w:hRule="atLeast"/>
        </w:trPr>
        <w:tc>
          <w:tcPr>
            <w:tcW w:w="3707" w:type="dxa"/>
            <w:tcBorders>
              <w:left w:val="single" w:sz="4" w:space="0" w:color="000000"/>
            </w:tcBorders>
          </w:tcPr>
          <w:p>
            <w:pPr>
              <w:pStyle w:val="TableParagraph"/>
              <w:rPr>
                <w:rFonts w:ascii="Times New Roman"/>
                <w:sz w:val="16"/>
              </w:rPr>
            </w:pPr>
          </w:p>
        </w:tc>
        <w:tc>
          <w:tcPr>
            <w:tcW w:w="2417" w:type="dxa"/>
          </w:tcPr>
          <w:p>
            <w:pPr>
              <w:pStyle w:val="TableParagraph"/>
              <w:spacing w:line="210" w:lineRule="exact"/>
              <w:ind w:left="190"/>
              <w:rPr>
                <w:sz w:val="20"/>
              </w:rPr>
            </w:pPr>
            <w:r>
              <w:rPr>
                <w:spacing w:val="-2"/>
                <w:sz w:val="20"/>
              </w:rPr>
              <w:t>Students</w:t>
            </w:r>
          </w:p>
        </w:tc>
        <w:tc>
          <w:tcPr>
            <w:tcW w:w="675" w:type="dxa"/>
          </w:tcPr>
          <w:p>
            <w:pPr>
              <w:pStyle w:val="TableParagraph"/>
              <w:spacing w:line="210" w:lineRule="exact"/>
              <w:ind w:left="53"/>
              <w:jc w:val="center"/>
              <w:rPr>
                <w:sz w:val="20"/>
              </w:rPr>
            </w:pPr>
            <w:r>
              <w:rPr>
                <w:spacing w:val="-10"/>
                <w:sz w:val="20"/>
              </w:rPr>
              <w:t>2</w:t>
            </w:r>
          </w:p>
        </w:tc>
        <w:tc>
          <w:tcPr>
            <w:tcW w:w="758" w:type="dxa"/>
          </w:tcPr>
          <w:p>
            <w:pPr>
              <w:pStyle w:val="TableParagraph"/>
              <w:spacing w:line="210" w:lineRule="exact"/>
              <w:ind w:left="60" w:right="5"/>
              <w:jc w:val="center"/>
              <w:rPr>
                <w:sz w:val="20"/>
              </w:rPr>
            </w:pPr>
            <w:r>
              <w:rPr>
                <w:spacing w:val="-5"/>
                <w:sz w:val="20"/>
              </w:rPr>
              <w:t>0.9</w:t>
            </w:r>
          </w:p>
        </w:tc>
        <w:tc>
          <w:tcPr>
            <w:tcW w:w="547" w:type="dxa"/>
          </w:tcPr>
          <w:p>
            <w:pPr>
              <w:pStyle w:val="TableParagraph"/>
              <w:spacing w:line="210" w:lineRule="exact"/>
              <w:ind w:left="87" w:right="75"/>
              <w:jc w:val="center"/>
              <w:rPr>
                <w:sz w:val="20"/>
              </w:rPr>
            </w:pPr>
            <w:r>
              <w:rPr>
                <w:spacing w:val="-10"/>
                <w:sz w:val="20"/>
              </w:rPr>
              <w:t>3</w:t>
            </w:r>
          </w:p>
        </w:tc>
        <w:tc>
          <w:tcPr>
            <w:tcW w:w="732" w:type="dxa"/>
          </w:tcPr>
          <w:p>
            <w:pPr>
              <w:pStyle w:val="TableParagraph"/>
              <w:spacing w:line="210" w:lineRule="exact"/>
              <w:ind w:left="58" w:right="59"/>
              <w:jc w:val="center"/>
              <w:rPr>
                <w:sz w:val="20"/>
              </w:rPr>
            </w:pPr>
            <w:r>
              <w:rPr>
                <w:spacing w:val="-5"/>
                <w:sz w:val="20"/>
              </w:rPr>
              <w:t>1.3</w:t>
            </w:r>
          </w:p>
        </w:tc>
        <w:tc>
          <w:tcPr>
            <w:tcW w:w="742" w:type="dxa"/>
          </w:tcPr>
          <w:p>
            <w:pPr>
              <w:pStyle w:val="TableParagraph"/>
              <w:spacing w:line="210" w:lineRule="exact"/>
              <w:ind w:left="2" w:right="42"/>
              <w:jc w:val="center"/>
              <w:rPr>
                <w:sz w:val="20"/>
              </w:rPr>
            </w:pPr>
            <w:r>
              <w:rPr>
                <w:spacing w:val="-5"/>
                <w:sz w:val="20"/>
              </w:rPr>
              <w:t>158</w:t>
            </w:r>
          </w:p>
        </w:tc>
        <w:tc>
          <w:tcPr>
            <w:tcW w:w="848" w:type="dxa"/>
          </w:tcPr>
          <w:p>
            <w:pPr>
              <w:pStyle w:val="TableParagraph"/>
              <w:spacing w:line="210" w:lineRule="exact"/>
              <w:ind w:left="32" w:right="14"/>
              <w:jc w:val="center"/>
              <w:rPr>
                <w:sz w:val="20"/>
              </w:rPr>
            </w:pPr>
            <w:r>
              <w:rPr>
                <w:spacing w:val="-4"/>
                <w:sz w:val="20"/>
              </w:rPr>
              <w:t>67.2</w:t>
            </w:r>
          </w:p>
        </w:tc>
        <w:tc>
          <w:tcPr>
            <w:tcW w:w="740" w:type="dxa"/>
          </w:tcPr>
          <w:p>
            <w:pPr>
              <w:pStyle w:val="TableParagraph"/>
              <w:spacing w:line="210" w:lineRule="exact"/>
              <w:ind w:left="64" w:right="6"/>
              <w:jc w:val="center"/>
              <w:rPr>
                <w:sz w:val="20"/>
              </w:rPr>
            </w:pPr>
            <w:r>
              <w:rPr>
                <w:spacing w:val="-5"/>
                <w:sz w:val="20"/>
              </w:rPr>
              <w:t>49</w:t>
            </w:r>
          </w:p>
        </w:tc>
        <w:tc>
          <w:tcPr>
            <w:tcW w:w="774" w:type="dxa"/>
          </w:tcPr>
          <w:p>
            <w:pPr>
              <w:pStyle w:val="TableParagraph"/>
              <w:spacing w:line="210" w:lineRule="exact"/>
              <w:ind w:left="6" w:right="15"/>
              <w:jc w:val="center"/>
              <w:rPr>
                <w:sz w:val="20"/>
              </w:rPr>
            </w:pPr>
            <w:r>
              <w:rPr>
                <w:spacing w:val="-4"/>
                <w:sz w:val="20"/>
              </w:rPr>
              <w:t>20.9</w:t>
            </w:r>
          </w:p>
        </w:tc>
        <w:tc>
          <w:tcPr>
            <w:tcW w:w="628" w:type="dxa"/>
          </w:tcPr>
          <w:p>
            <w:pPr>
              <w:pStyle w:val="TableParagraph"/>
              <w:spacing w:line="210" w:lineRule="exact"/>
              <w:ind w:left="21" w:right="19"/>
              <w:jc w:val="center"/>
              <w:rPr>
                <w:sz w:val="20"/>
              </w:rPr>
            </w:pPr>
            <w:r>
              <w:rPr>
                <w:spacing w:val="-5"/>
                <w:sz w:val="20"/>
              </w:rPr>
              <w:t>23</w:t>
            </w:r>
          </w:p>
        </w:tc>
        <w:tc>
          <w:tcPr>
            <w:tcW w:w="772" w:type="dxa"/>
          </w:tcPr>
          <w:p>
            <w:pPr>
              <w:pStyle w:val="TableParagraph"/>
              <w:spacing w:line="210" w:lineRule="exact"/>
              <w:ind w:left="28" w:right="5"/>
              <w:jc w:val="center"/>
              <w:rPr>
                <w:sz w:val="20"/>
              </w:rPr>
            </w:pPr>
            <w:r>
              <w:rPr>
                <w:spacing w:val="-5"/>
                <w:sz w:val="20"/>
              </w:rPr>
              <w:t>9.8</w:t>
            </w:r>
          </w:p>
        </w:tc>
        <w:tc>
          <w:tcPr>
            <w:tcW w:w="693" w:type="dxa"/>
          </w:tcPr>
          <w:p>
            <w:pPr>
              <w:pStyle w:val="TableParagraph"/>
              <w:spacing w:line="210" w:lineRule="exact"/>
              <w:ind w:left="22" w:right="26"/>
              <w:jc w:val="center"/>
              <w:rPr>
                <w:sz w:val="20"/>
              </w:rPr>
            </w:pPr>
            <w:r>
              <w:rPr>
                <w:spacing w:val="-5"/>
                <w:sz w:val="20"/>
              </w:rPr>
              <w:t>235</w:t>
            </w:r>
          </w:p>
        </w:tc>
        <w:tc>
          <w:tcPr>
            <w:tcW w:w="740" w:type="dxa"/>
            <w:tcBorders>
              <w:right w:val="single" w:sz="4" w:space="0" w:color="000000"/>
            </w:tcBorders>
          </w:tcPr>
          <w:p>
            <w:pPr>
              <w:pStyle w:val="TableParagraph"/>
              <w:spacing w:line="210" w:lineRule="exact"/>
              <w:ind w:left="15"/>
              <w:jc w:val="center"/>
              <w:rPr>
                <w:sz w:val="20"/>
              </w:rPr>
            </w:pPr>
            <w:r>
              <w:rPr>
                <w:spacing w:val="-4"/>
                <w:sz w:val="20"/>
              </w:rPr>
              <w:t>50.8</w:t>
            </w:r>
          </w:p>
        </w:tc>
      </w:tr>
      <w:tr>
        <w:trPr>
          <w:trHeight w:val="230" w:hRule="atLeast"/>
        </w:trPr>
        <w:tc>
          <w:tcPr>
            <w:tcW w:w="3707" w:type="dxa"/>
            <w:tcBorders>
              <w:left w:val="single" w:sz="4" w:space="0" w:color="000000"/>
            </w:tcBorders>
          </w:tcPr>
          <w:p>
            <w:pPr>
              <w:pStyle w:val="TableParagraph"/>
              <w:rPr>
                <w:rFonts w:ascii="Times New Roman"/>
                <w:sz w:val="16"/>
              </w:rPr>
            </w:pPr>
          </w:p>
        </w:tc>
        <w:tc>
          <w:tcPr>
            <w:tcW w:w="2417" w:type="dxa"/>
          </w:tcPr>
          <w:p>
            <w:pPr>
              <w:pStyle w:val="TableParagraph"/>
              <w:spacing w:line="210" w:lineRule="exact"/>
              <w:ind w:left="190"/>
              <w:rPr>
                <w:sz w:val="20"/>
              </w:rPr>
            </w:pPr>
            <w:r>
              <w:rPr>
                <w:sz w:val="20"/>
              </w:rPr>
              <w:t>Service</w:t>
            </w:r>
            <w:r>
              <w:rPr>
                <w:spacing w:val="-9"/>
                <w:sz w:val="20"/>
              </w:rPr>
              <w:t> </w:t>
            </w:r>
            <w:r>
              <w:rPr>
                <w:spacing w:val="-2"/>
                <w:sz w:val="20"/>
              </w:rPr>
              <w:t>Staff</w:t>
            </w:r>
          </w:p>
        </w:tc>
        <w:tc>
          <w:tcPr>
            <w:tcW w:w="675" w:type="dxa"/>
          </w:tcPr>
          <w:p>
            <w:pPr>
              <w:pStyle w:val="TableParagraph"/>
              <w:spacing w:line="210" w:lineRule="exact"/>
              <w:ind w:left="53"/>
              <w:jc w:val="center"/>
              <w:rPr>
                <w:sz w:val="20"/>
              </w:rPr>
            </w:pPr>
            <w:r>
              <w:rPr>
                <w:spacing w:val="-10"/>
                <w:sz w:val="20"/>
              </w:rPr>
              <w:t>8</w:t>
            </w:r>
          </w:p>
        </w:tc>
        <w:tc>
          <w:tcPr>
            <w:tcW w:w="758" w:type="dxa"/>
          </w:tcPr>
          <w:p>
            <w:pPr>
              <w:pStyle w:val="TableParagraph"/>
              <w:spacing w:line="210" w:lineRule="exact"/>
              <w:ind w:left="60" w:right="5"/>
              <w:jc w:val="center"/>
              <w:rPr>
                <w:sz w:val="20"/>
              </w:rPr>
            </w:pPr>
            <w:r>
              <w:rPr>
                <w:spacing w:val="-5"/>
                <w:sz w:val="20"/>
              </w:rPr>
              <w:t>3.9</w:t>
            </w:r>
          </w:p>
        </w:tc>
        <w:tc>
          <w:tcPr>
            <w:tcW w:w="547" w:type="dxa"/>
          </w:tcPr>
          <w:p>
            <w:pPr>
              <w:pStyle w:val="TableParagraph"/>
              <w:spacing w:line="210" w:lineRule="exact"/>
              <w:ind w:left="87" w:right="75"/>
              <w:jc w:val="center"/>
              <w:rPr>
                <w:sz w:val="20"/>
              </w:rPr>
            </w:pPr>
            <w:r>
              <w:rPr>
                <w:spacing w:val="-10"/>
                <w:sz w:val="20"/>
              </w:rPr>
              <w:t>5</w:t>
            </w:r>
          </w:p>
        </w:tc>
        <w:tc>
          <w:tcPr>
            <w:tcW w:w="732" w:type="dxa"/>
          </w:tcPr>
          <w:p>
            <w:pPr>
              <w:pStyle w:val="TableParagraph"/>
              <w:spacing w:line="210" w:lineRule="exact"/>
              <w:ind w:left="58" w:right="59"/>
              <w:jc w:val="center"/>
              <w:rPr>
                <w:sz w:val="20"/>
              </w:rPr>
            </w:pPr>
            <w:r>
              <w:rPr>
                <w:spacing w:val="-5"/>
                <w:sz w:val="20"/>
              </w:rPr>
              <w:t>2.5</w:t>
            </w:r>
          </w:p>
        </w:tc>
        <w:tc>
          <w:tcPr>
            <w:tcW w:w="742" w:type="dxa"/>
          </w:tcPr>
          <w:p>
            <w:pPr>
              <w:pStyle w:val="TableParagraph"/>
              <w:spacing w:line="210" w:lineRule="exact"/>
              <w:ind w:left="2" w:right="42"/>
              <w:jc w:val="center"/>
              <w:rPr>
                <w:sz w:val="20"/>
              </w:rPr>
            </w:pPr>
            <w:r>
              <w:rPr>
                <w:spacing w:val="-5"/>
                <w:sz w:val="20"/>
              </w:rPr>
              <w:t>119</w:t>
            </w:r>
          </w:p>
        </w:tc>
        <w:tc>
          <w:tcPr>
            <w:tcW w:w="848" w:type="dxa"/>
          </w:tcPr>
          <w:p>
            <w:pPr>
              <w:pStyle w:val="TableParagraph"/>
              <w:spacing w:line="210" w:lineRule="exact"/>
              <w:ind w:left="32" w:right="14"/>
              <w:jc w:val="center"/>
              <w:rPr>
                <w:sz w:val="20"/>
              </w:rPr>
            </w:pPr>
            <w:r>
              <w:rPr>
                <w:spacing w:val="-4"/>
                <w:sz w:val="20"/>
              </w:rPr>
              <w:t>58.6</w:t>
            </w:r>
          </w:p>
        </w:tc>
        <w:tc>
          <w:tcPr>
            <w:tcW w:w="740" w:type="dxa"/>
          </w:tcPr>
          <w:p>
            <w:pPr>
              <w:pStyle w:val="TableParagraph"/>
              <w:spacing w:line="210" w:lineRule="exact"/>
              <w:ind w:left="64" w:right="6"/>
              <w:jc w:val="center"/>
              <w:rPr>
                <w:sz w:val="20"/>
              </w:rPr>
            </w:pPr>
            <w:r>
              <w:rPr>
                <w:spacing w:val="-5"/>
                <w:sz w:val="20"/>
              </w:rPr>
              <w:t>53</w:t>
            </w:r>
          </w:p>
        </w:tc>
        <w:tc>
          <w:tcPr>
            <w:tcW w:w="774" w:type="dxa"/>
          </w:tcPr>
          <w:p>
            <w:pPr>
              <w:pStyle w:val="TableParagraph"/>
              <w:spacing w:line="210" w:lineRule="exact"/>
              <w:ind w:left="6" w:right="15"/>
              <w:jc w:val="center"/>
              <w:rPr>
                <w:sz w:val="20"/>
              </w:rPr>
            </w:pPr>
            <w:r>
              <w:rPr>
                <w:spacing w:val="-4"/>
                <w:sz w:val="20"/>
              </w:rPr>
              <w:t>26.1</w:t>
            </w:r>
          </w:p>
        </w:tc>
        <w:tc>
          <w:tcPr>
            <w:tcW w:w="628" w:type="dxa"/>
          </w:tcPr>
          <w:p>
            <w:pPr>
              <w:pStyle w:val="TableParagraph"/>
              <w:spacing w:line="210" w:lineRule="exact"/>
              <w:ind w:left="21" w:right="19"/>
              <w:jc w:val="center"/>
              <w:rPr>
                <w:sz w:val="20"/>
              </w:rPr>
            </w:pPr>
            <w:r>
              <w:rPr>
                <w:spacing w:val="-5"/>
                <w:sz w:val="20"/>
              </w:rPr>
              <w:t>18</w:t>
            </w:r>
          </w:p>
        </w:tc>
        <w:tc>
          <w:tcPr>
            <w:tcW w:w="772" w:type="dxa"/>
          </w:tcPr>
          <w:p>
            <w:pPr>
              <w:pStyle w:val="TableParagraph"/>
              <w:spacing w:line="210" w:lineRule="exact"/>
              <w:ind w:left="28" w:right="5"/>
              <w:jc w:val="center"/>
              <w:rPr>
                <w:sz w:val="20"/>
              </w:rPr>
            </w:pPr>
            <w:r>
              <w:rPr>
                <w:spacing w:val="-5"/>
                <w:sz w:val="20"/>
              </w:rPr>
              <w:t>8.9</w:t>
            </w:r>
          </w:p>
        </w:tc>
        <w:tc>
          <w:tcPr>
            <w:tcW w:w="693" w:type="dxa"/>
          </w:tcPr>
          <w:p>
            <w:pPr>
              <w:pStyle w:val="TableParagraph"/>
              <w:spacing w:line="210" w:lineRule="exact"/>
              <w:ind w:left="22" w:right="26"/>
              <w:jc w:val="center"/>
              <w:rPr>
                <w:sz w:val="20"/>
              </w:rPr>
            </w:pPr>
            <w:r>
              <w:rPr>
                <w:spacing w:val="-5"/>
                <w:sz w:val="20"/>
              </w:rPr>
              <w:t>203</w:t>
            </w:r>
          </w:p>
        </w:tc>
        <w:tc>
          <w:tcPr>
            <w:tcW w:w="740" w:type="dxa"/>
            <w:tcBorders>
              <w:right w:val="single" w:sz="4" w:space="0" w:color="000000"/>
            </w:tcBorders>
          </w:tcPr>
          <w:p>
            <w:pPr>
              <w:pStyle w:val="TableParagraph"/>
              <w:spacing w:line="210" w:lineRule="exact"/>
              <w:ind w:left="15"/>
              <w:jc w:val="center"/>
              <w:rPr>
                <w:sz w:val="20"/>
              </w:rPr>
            </w:pPr>
            <w:r>
              <w:rPr>
                <w:spacing w:val="-4"/>
                <w:sz w:val="20"/>
              </w:rPr>
              <w:t>43.8</w:t>
            </w:r>
          </w:p>
        </w:tc>
      </w:tr>
      <w:tr>
        <w:trPr>
          <w:trHeight w:val="254" w:hRule="atLeast"/>
        </w:trPr>
        <w:tc>
          <w:tcPr>
            <w:tcW w:w="3707" w:type="dxa"/>
            <w:tcBorders>
              <w:left w:val="single" w:sz="4" w:space="0" w:color="000000"/>
            </w:tcBorders>
          </w:tcPr>
          <w:p>
            <w:pPr>
              <w:pStyle w:val="TableParagraph"/>
              <w:rPr>
                <w:rFonts w:ascii="Times New Roman"/>
                <w:sz w:val="18"/>
              </w:rPr>
            </w:pPr>
          </w:p>
        </w:tc>
        <w:tc>
          <w:tcPr>
            <w:tcW w:w="2417" w:type="dxa"/>
          </w:tcPr>
          <w:p>
            <w:pPr>
              <w:pStyle w:val="TableParagraph"/>
              <w:spacing w:line="227" w:lineRule="exact"/>
              <w:ind w:left="190"/>
              <w:rPr>
                <w:sz w:val="20"/>
              </w:rPr>
            </w:pPr>
            <w:r>
              <w:rPr>
                <w:sz w:val="20"/>
              </w:rPr>
              <w:t>Top</w:t>
            </w:r>
            <w:r>
              <w:rPr>
                <w:spacing w:val="-1"/>
                <w:sz w:val="20"/>
              </w:rPr>
              <w:t> </w:t>
            </w:r>
            <w:r>
              <w:rPr>
                <w:spacing w:val="-2"/>
                <w:sz w:val="20"/>
              </w:rPr>
              <w:t>Management</w:t>
            </w:r>
          </w:p>
        </w:tc>
        <w:tc>
          <w:tcPr>
            <w:tcW w:w="675" w:type="dxa"/>
          </w:tcPr>
          <w:p>
            <w:pPr>
              <w:pStyle w:val="TableParagraph"/>
              <w:spacing w:line="227" w:lineRule="exact"/>
              <w:ind w:left="53"/>
              <w:jc w:val="center"/>
              <w:rPr>
                <w:sz w:val="20"/>
              </w:rPr>
            </w:pPr>
            <w:r>
              <w:rPr>
                <w:spacing w:val="-10"/>
                <w:sz w:val="20"/>
              </w:rPr>
              <w:t>2</w:t>
            </w:r>
          </w:p>
        </w:tc>
        <w:tc>
          <w:tcPr>
            <w:tcW w:w="758" w:type="dxa"/>
          </w:tcPr>
          <w:p>
            <w:pPr>
              <w:pStyle w:val="TableParagraph"/>
              <w:spacing w:line="227" w:lineRule="exact"/>
              <w:ind w:left="60" w:right="5"/>
              <w:jc w:val="center"/>
              <w:rPr>
                <w:sz w:val="20"/>
              </w:rPr>
            </w:pPr>
            <w:r>
              <w:rPr>
                <w:spacing w:val="-5"/>
                <w:sz w:val="20"/>
              </w:rPr>
              <w:t>8.7</w:t>
            </w:r>
          </w:p>
        </w:tc>
        <w:tc>
          <w:tcPr>
            <w:tcW w:w="547" w:type="dxa"/>
          </w:tcPr>
          <w:p>
            <w:pPr>
              <w:pStyle w:val="TableParagraph"/>
              <w:spacing w:line="227" w:lineRule="exact"/>
              <w:ind w:left="87" w:right="81"/>
              <w:jc w:val="center"/>
              <w:rPr>
                <w:sz w:val="20"/>
              </w:rPr>
            </w:pPr>
            <w:r>
              <w:rPr>
                <w:spacing w:val="-10"/>
                <w:sz w:val="20"/>
              </w:rPr>
              <w:t>-</w:t>
            </w:r>
          </w:p>
        </w:tc>
        <w:tc>
          <w:tcPr>
            <w:tcW w:w="732" w:type="dxa"/>
          </w:tcPr>
          <w:p>
            <w:pPr>
              <w:pStyle w:val="TableParagraph"/>
              <w:spacing w:line="227" w:lineRule="exact"/>
              <w:ind w:left="58" w:right="61"/>
              <w:jc w:val="center"/>
              <w:rPr>
                <w:sz w:val="20"/>
              </w:rPr>
            </w:pPr>
            <w:r>
              <w:rPr>
                <w:spacing w:val="-10"/>
                <w:sz w:val="20"/>
              </w:rPr>
              <w:t>-</w:t>
            </w:r>
          </w:p>
        </w:tc>
        <w:tc>
          <w:tcPr>
            <w:tcW w:w="742" w:type="dxa"/>
          </w:tcPr>
          <w:p>
            <w:pPr>
              <w:pStyle w:val="TableParagraph"/>
              <w:spacing w:line="227" w:lineRule="exact"/>
              <w:ind w:left="7" w:right="42"/>
              <w:jc w:val="center"/>
              <w:rPr>
                <w:sz w:val="20"/>
              </w:rPr>
            </w:pPr>
            <w:r>
              <w:rPr>
                <w:spacing w:val="-5"/>
                <w:sz w:val="20"/>
              </w:rPr>
              <w:t>13</w:t>
            </w:r>
          </w:p>
        </w:tc>
        <w:tc>
          <w:tcPr>
            <w:tcW w:w="848" w:type="dxa"/>
          </w:tcPr>
          <w:p>
            <w:pPr>
              <w:pStyle w:val="TableParagraph"/>
              <w:spacing w:line="227" w:lineRule="exact"/>
              <w:ind w:left="32" w:right="14"/>
              <w:jc w:val="center"/>
              <w:rPr>
                <w:sz w:val="20"/>
              </w:rPr>
            </w:pPr>
            <w:r>
              <w:rPr>
                <w:spacing w:val="-4"/>
                <w:sz w:val="20"/>
              </w:rPr>
              <w:t>56.5</w:t>
            </w:r>
          </w:p>
        </w:tc>
        <w:tc>
          <w:tcPr>
            <w:tcW w:w="740" w:type="dxa"/>
          </w:tcPr>
          <w:p>
            <w:pPr>
              <w:pStyle w:val="TableParagraph"/>
              <w:spacing w:line="227" w:lineRule="exact"/>
              <w:ind w:left="64" w:right="2"/>
              <w:jc w:val="center"/>
              <w:rPr>
                <w:sz w:val="20"/>
              </w:rPr>
            </w:pPr>
            <w:r>
              <w:rPr>
                <w:spacing w:val="-10"/>
                <w:sz w:val="20"/>
              </w:rPr>
              <w:t>5</w:t>
            </w:r>
          </w:p>
        </w:tc>
        <w:tc>
          <w:tcPr>
            <w:tcW w:w="774" w:type="dxa"/>
          </w:tcPr>
          <w:p>
            <w:pPr>
              <w:pStyle w:val="TableParagraph"/>
              <w:spacing w:line="227" w:lineRule="exact"/>
              <w:ind w:left="6" w:right="15"/>
              <w:jc w:val="center"/>
              <w:rPr>
                <w:sz w:val="20"/>
              </w:rPr>
            </w:pPr>
            <w:r>
              <w:rPr>
                <w:spacing w:val="-4"/>
                <w:sz w:val="20"/>
              </w:rPr>
              <w:t>21.7</w:t>
            </w:r>
          </w:p>
        </w:tc>
        <w:tc>
          <w:tcPr>
            <w:tcW w:w="628" w:type="dxa"/>
          </w:tcPr>
          <w:p>
            <w:pPr>
              <w:pStyle w:val="TableParagraph"/>
              <w:spacing w:line="227" w:lineRule="exact"/>
              <w:ind w:left="26" w:right="19"/>
              <w:jc w:val="center"/>
              <w:rPr>
                <w:sz w:val="20"/>
              </w:rPr>
            </w:pPr>
            <w:r>
              <w:rPr>
                <w:spacing w:val="-10"/>
                <w:sz w:val="20"/>
              </w:rPr>
              <w:t>3</w:t>
            </w:r>
          </w:p>
        </w:tc>
        <w:tc>
          <w:tcPr>
            <w:tcW w:w="772" w:type="dxa"/>
          </w:tcPr>
          <w:p>
            <w:pPr>
              <w:pStyle w:val="TableParagraph"/>
              <w:spacing w:line="227" w:lineRule="exact"/>
              <w:ind w:left="28"/>
              <w:jc w:val="center"/>
              <w:rPr>
                <w:sz w:val="20"/>
              </w:rPr>
            </w:pPr>
            <w:r>
              <w:rPr>
                <w:spacing w:val="-4"/>
                <w:sz w:val="20"/>
              </w:rPr>
              <w:t>13.0</w:t>
            </w:r>
          </w:p>
        </w:tc>
        <w:tc>
          <w:tcPr>
            <w:tcW w:w="693" w:type="dxa"/>
          </w:tcPr>
          <w:p>
            <w:pPr>
              <w:pStyle w:val="TableParagraph"/>
              <w:spacing w:line="227" w:lineRule="exact"/>
              <w:ind w:left="25" w:right="26"/>
              <w:jc w:val="center"/>
              <w:rPr>
                <w:sz w:val="20"/>
              </w:rPr>
            </w:pPr>
            <w:r>
              <w:rPr>
                <w:spacing w:val="-5"/>
                <w:sz w:val="20"/>
              </w:rPr>
              <w:t>23</w:t>
            </w:r>
          </w:p>
        </w:tc>
        <w:tc>
          <w:tcPr>
            <w:tcW w:w="740" w:type="dxa"/>
            <w:tcBorders>
              <w:right w:val="single" w:sz="4" w:space="0" w:color="000000"/>
            </w:tcBorders>
          </w:tcPr>
          <w:p>
            <w:pPr>
              <w:pStyle w:val="TableParagraph"/>
              <w:spacing w:line="227" w:lineRule="exact"/>
              <w:ind w:left="15" w:right="5"/>
              <w:jc w:val="center"/>
              <w:rPr>
                <w:sz w:val="20"/>
              </w:rPr>
            </w:pPr>
            <w:r>
              <w:rPr>
                <w:spacing w:val="-5"/>
                <w:sz w:val="20"/>
              </w:rPr>
              <w:t>5.0</w:t>
            </w:r>
          </w:p>
        </w:tc>
      </w:tr>
      <w:tr>
        <w:trPr>
          <w:trHeight w:val="254" w:hRule="atLeast"/>
        </w:trPr>
        <w:tc>
          <w:tcPr>
            <w:tcW w:w="3707" w:type="dxa"/>
            <w:tcBorders>
              <w:left w:val="single" w:sz="4" w:space="0" w:color="000000"/>
            </w:tcBorders>
          </w:tcPr>
          <w:p>
            <w:pPr>
              <w:pStyle w:val="TableParagraph"/>
              <w:tabs>
                <w:tab w:pos="830" w:val="left" w:leader="none"/>
              </w:tabs>
              <w:spacing w:line="213" w:lineRule="exact" w:before="21"/>
              <w:ind w:left="278"/>
              <w:rPr>
                <w:sz w:val="20"/>
              </w:rPr>
            </w:pPr>
            <w:r>
              <w:rPr>
                <w:spacing w:val="-5"/>
                <w:sz w:val="20"/>
              </w:rPr>
              <w:t>3.</w:t>
            </w:r>
            <w:r>
              <w:rPr>
                <w:sz w:val="20"/>
              </w:rPr>
              <w:tab/>
              <w:t>Guidance</w:t>
            </w:r>
            <w:r>
              <w:rPr>
                <w:spacing w:val="-5"/>
                <w:sz w:val="20"/>
              </w:rPr>
              <w:t> </w:t>
            </w:r>
            <w:r>
              <w:rPr>
                <w:sz w:val="20"/>
              </w:rPr>
              <w:t>and</w:t>
            </w:r>
            <w:r>
              <w:rPr>
                <w:spacing w:val="-4"/>
                <w:sz w:val="20"/>
              </w:rPr>
              <w:t> </w:t>
            </w:r>
            <w:r>
              <w:rPr>
                <w:spacing w:val="-2"/>
                <w:sz w:val="20"/>
              </w:rPr>
              <w:t>Counseling</w:t>
            </w:r>
          </w:p>
        </w:tc>
        <w:tc>
          <w:tcPr>
            <w:tcW w:w="2417" w:type="dxa"/>
          </w:tcPr>
          <w:p>
            <w:pPr>
              <w:pStyle w:val="TableParagraph"/>
              <w:spacing w:line="213" w:lineRule="exact" w:before="21"/>
              <w:ind w:left="190"/>
              <w:rPr>
                <w:sz w:val="20"/>
              </w:rPr>
            </w:pPr>
            <w:r>
              <w:rPr>
                <w:sz w:val="20"/>
              </w:rPr>
              <w:t>No.</w:t>
            </w:r>
            <w:r>
              <w:rPr>
                <w:spacing w:val="-5"/>
                <w:sz w:val="20"/>
              </w:rPr>
              <w:t> </w:t>
            </w:r>
            <w:r>
              <w:rPr>
                <w:sz w:val="20"/>
              </w:rPr>
              <w:t>of</w:t>
            </w:r>
            <w:r>
              <w:rPr>
                <w:spacing w:val="-2"/>
                <w:sz w:val="20"/>
              </w:rPr>
              <w:t> missing</w:t>
            </w:r>
          </w:p>
        </w:tc>
        <w:tc>
          <w:tcPr>
            <w:tcW w:w="675" w:type="dxa"/>
          </w:tcPr>
          <w:p>
            <w:pPr>
              <w:pStyle w:val="TableParagraph"/>
              <w:rPr>
                <w:rFonts w:ascii="Times New Roman"/>
                <w:sz w:val="18"/>
              </w:rPr>
            </w:pPr>
          </w:p>
        </w:tc>
        <w:tc>
          <w:tcPr>
            <w:tcW w:w="758" w:type="dxa"/>
          </w:tcPr>
          <w:p>
            <w:pPr>
              <w:pStyle w:val="TableParagraph"/>
              <w:rPr>
                <w:rFonts w:ascii="Times New Roman"/>
                <w:sz w:val="18"/>
              </w:rPr>
            </w:pPr>
          </w:p>
        </w:tc>
        <w:tc>
          <w:tcPr>
            <w:tcW w:w="547" w:type="dxa"/>
          </w:tcPr>
          <w:p>
            <w:pPr>
              <w:pStyle w:val="TableParagraph"/>
              <w:rPr>
                <w:rFonts w:ascii="Times New Roman"/>
                <w:sz w:val="18"/>
              </w:rPr>
            </w:pPr>
          </w:p>
        </w:tc>
        <w:tc>
          <w:tcPr>
            <w:tcW w:w="732" w:type="dxa"/>
          </w:tcPr>
          <w:p>
            <w:pPr>
              <w:pStyle w:val="TableParagraph"/>
              <w:rPr>
                <w:rFonts w:ascii="Times New Roman"/>
                <w:sz w:val="18"/>
              </w:rPr>
            </w:pPr>
          </w:p>
        </w:tc>
        <w:tc>
          <w:tcPr>
            <w:tcW w:w="742" w:type="dxa"/>
          </w:tcPr>
          <w:p>
            <w:pPr>
              <w:pStyle w:val="TableParagraph"/>
              <w:rPr>
                <w:rFonts w:ascii="Times New Roman"/>
                <w:sz w:val="18"/>
              </w:rPr>
            </w:pPr>
          </w:p>
        </w:tc>
        <w:tc>
          <w:tcPr>
            <w:tcW w:w="848" w:type="dxa"/>
          </w:tcPr>
          <w:p>
            <w:pPr>
              <w:pStyle w:val="TableParagraph"/>
              <w:rPr>
                <w:rFonts w:ascii="Times New Roman"/>
                <w:sz w:val="18"/>
              </w:rPr>
            </w:pPr>
          </w:p>
        </w:tc>
        <w:tc>
          <w:tcPr>
            <w:tcW w:w="740" w:type="dxa"/>
          </w:tcPr>
          <w:p>
            <w:pPr>
              <w:pStyle w:val="TableParagraph"/>
              <w:rPr>
                <w:rFonts w:ascii="Times New Roman"/>
                <w:sz w:val="18"/>
              </w:rPr>
            </w:pPr>
          </w:p>
        </w:tc>
        <w:tc>
          <w:tcPr>
            <w:tcW w:w="774" w:type="dxa"/>
          </w:tcPr>
          <w:p>
            <w:pPr>
              <w:pStyle w:val="TableParagraph"/>
              <w:rPr>
                <w:rFonts w:ascii="Times New Roman"/>
                <w:sz w:val="18"/>
              </w:rPr>
            </w:pPr>
          </w:p>
        </w:tc>
        <w:tc>
          <w:tcPr>
            <w:tcW w:w="628" w:type="dxa"/>
          </w:tcPr>
          <w:p>
            <w:pPr>
              <w:pStyle w:val="TableParagraph"/>
              <w:rPr>
                <w:rFonts w:ascii="Times New Roman"/>
                <w:sz w:val="18"/>
              </w:rPr>
            </w:pPr>
          </w:p>
        </w:tc>
        <w:tc>
          <w:tcPr>
            <w:tcW w:w="772" w:type="dxa"/>
          </w:tcPr>
          <w:p>
            <w:pPr>
              <w:pStyle w:val="TableParagraph"/>
              <w:rPr>
                <w:rFonts w:ascii="Times New Roman"/>
                <w:sz w:val="18"/>
              </w:rPr>
            </w:pPr>
          </w:p>
        </w:tc>
        <w:tc>
          <w:tcPr>
            <w:tcW w:w="693" w:type="dxa"/>
          </w:tcPr>
          <w:p>
            <w:pPr>
              <w:pStyle w:val="TableParagraph"/>
              <w:rPr>
                <w:rFonts w:ascii="Times New Roman"/>
                <w:sz w:val="18"/>
              </w:rPr>
            </w:pPr>
          </w:p>
        </w:tc>
        <w:tc>
          <w:tcPr>
            <w:tcW w:w="740" w:type="dxa"/>
            <w:tcBorders>
              <w:right w:val="single" w:sz="4" w:space="0" w:color="000000"/>
            </w:tcBorders>
          </w:tcPr>
          <w:p>
            <w:pPr>
              <w:pStyle w:val="TableParagraph"/>
              <w:rPr>
                <w:rFonts w:ascii="Times New Roman"/>
                <w:sz w:val="18"/>
              </w:rPr>
            </w:pPr>
          </w:p>
        </w:tc>
      </w:tr>
      <w:tr>
        <w:trPr>
          <w:trHeight w:val="230" w:hRule="atLeast"/>
        </w:trPr>
        <w:tc>
          <w:tcPr>
            <w:tcW w:w="3707" w:type="dxa"/>
            <w:tcBorders>
              <w:left w:val="single" w:sz="4" w:space="0" w:color="000000"/>
            </w:tcBorders>
          </w:tcPr>
          <w:p>
            <w:pPr>
              <w:pStyle w:val="TableParagraph"/>
              <w:spacing w:line="210" w:lineRule="exact"/>
              <w:ind w:left="830"/>
              <w:rPr>
                <w:sz w:val="20"/>
              </w:rPr>
            </w:pPr>
            <w:r>
              <w:rPr>
                <w:spacing w:val="-2"/>
                <w:sz w:val="20"/>
              </w:rPr>
              <w:t>Services</w:t>
            </w:r>
          </w:p>
        </w:tc>
        <w:tc>
          <w:tcPr>
            <w:tcW w:w="2417" w:type="dxa"/>
          </w:tcPr>
          <w:p>
            <w:pPr>
              <w:pStyle w:val="TableParagraph"/>
              <w:spacing w:line="210" w:lineRule="exact"/>
              <w:ind w:left="190"/>
              <w:rPr>
                <w:sz w:val="20"/>
              </w:rPr>
            </w:pPr>
            <w:r>
              <w:rPr>
                <w:spacing w:val="-2"/>
                <w:sz w:val="20"/>
              </w:rPr>
              <w:t>observations</w:t>
            </w:r>
          </w:p>
        </w:tc>
        <w:tc>
          <w:tcPr>
            <w:tcW w:w="675" w:type="dxa"/>
          </w:tcPr>
          <w:p>
            <w:pPr>
              <w:pStyle w:val="TableParagraph"/>
              <w:spacing w:line="210" w:lineRule="exact"/>
              <w:ind w:left="53"/>
              <w:jc w:val="center"/>
              <w:rPr>
                <w:sz w:val="20"/>
              </w:rPr>
            </w:pPr>
            <w:r>
              <w:rPr>
                <w:spacing w:val="-10"/>
                <w:sz w:val="20"/>
              </w:rPr>
              <w:t>1</w:t>
            </w:r>
          </w:p>
        </w:tc>
        <w:tc>
          <w:tcPr>
            <w:tcW w:w="758" w:type="dxa"/>
          </w:tcPr>
          <w:p>
            <w:pPr>
              <w:pStyle w:val="TableParagraph"/>
              <w:spacing w:line="210" w:lineRule="exact"/>
              <w:ind w:left="60"/>
              <w:jc w:val="center"/>
              <w:rPr>
                <w:sz w:val="20"/>
              </w:rPr>
            </w:pPr>
            <w:r>
              <w:rPr>
                <w:spacing w:val="-4"/>
                <w:sz w:val="20"/>
              </w:rPr>
              <w:t>50.0</w:t>
            </w:r>
          </w:p>
        </w:tc>
        <w:tc>
          <w:tcPr>
            <w:tcW w:w="547" w:type="dxa"/>
          </w:tcPr>
          <w:p>
            <w:pPr>
              <w:pStyle w:val="TableParagraph"/>
              <w:spacing w:line="210" w:lineRule="exact"/>
              <w:ind w:left="87" w:right="81"/>
              <w:jc w:val="center"/>
              <w:rPr>
                <w:sz w:val="20"/>
              </w:rPr>
            </w:pPr>
            <w:r>
              <w:rPr>
                <w:spacing w:val="-10"/>
                <w:sz w:val="20"/>
              </w:rPr>
              <w:t>-</w:t>
            </w:r>
          </w:p>
        </w:tc>
        <w:tc>
          <w:tcPr>
            <w:tcW w:w="732" w:type="dxa"/>
          </w:tcPr>
          <w:p>
            <w:pPr>
              <w:pStyle w:val="TableParagraph"/>
              <w:spacing w:line="210" w:lineRule="exact"/>
              <w:ind w:left="58" w:right="61"/>
              <w:jc w:val="center"/>
              <w:rPr>
                <w:sz w:val="20"/>
              </w:rPr>
            </w:pPr>
            <w:r>
              <w:rPr>
                <w:spacing w:val="-10"/>
                <w:sz w:val="20"/>
              </w:rPr>
              <w:t>-</w:t>
            </w:r>
          </w:p>
        </w:tc>
        <w:tc>
          <w:tcPr>
            <w:tcW w:w="742" w:type="dxa"/>
          </w:tcPr>
          <w:p>
            <w:pPr>
              <w:pStyle w:val="TableParagraph"/>
              <w:spacing w:line="210" w:lineRule="exact"/>
              <w:ind w:left="5" w:right="42"/>
              <w:jc w:val="center"/>
              <w:rPr>
                <w:sz w:val="20"/>
              </w:rPr>
            </w:pPr>
            <w:r>
              <w:rPr>
                <w:spacing w:val="-10"/>
                <w:sz w:val="20"/>
              </w:rPr>
              <w:t>-</w:t>
            </w:r>
          </w:p>
        </w:tc>
        <w:tc>
          <w:tcPr>
            <w:tcW w:w="848" w:type="dxa"/>
          </w:tcPr>
          <w:p>
            <w:pPr>
              <w:pStyle w:val="TableParagraph"/>
              <w:spacing w:line="210" w:lineRule="exact"/>
              <w:ind w:left="32" w:right="20"/>
              <w:jc w:val="center"/>
              <w:rPr>
                <w:sz w:val="20"/>
              </w:rPr>
            </w:pPr>
            <w:r>
              <w:rPr>
                <w:spacing w:val="-10"/>
                <w:sz w:val="20"/>
              </w:rPr>
              <w:t>-</w:t>
            </w:r>
          </w:p>
        </w:tc>
        <w:tc>
          <w:tcPr>
            <w:tcW w:w="740" w:type="dxa"/>
          </w:tcPr>
          <w:p>
            <w:pPr>
              <w:pStyle w:val="TableParagraph"/>
              <w:spacing w:line="210" w:lineRule="exact"/>
              <w:ind w:left="64" w:right="8"/>
              <w:jc w:val="center"/>
              <w:rPr>
                <w:sz w:val="20"/>
              </w:rPr>
            </w:pPr>
            <w:r>
              <w:rPr>
                <w:spacing w:val="-10"/>
                <w:sz w:val="20"/>
              </w:rPr>
              <w:t>-</w:t>
            </w:r>
          </w:p>
        </w:tc>
        <w:tc>
          <w:tcPr>
            <w:tcW w:w="774" w:type="dxa"/>
          </w:tcPr>
          <w:p>
            <w:pPr>
              <w:pStyle w:val="TableParagraph"/>
              <w:spacing w:line="210" w:lineRule="exact"/>
              <w:ind w:right="15"/>
              <w:jc w:val="center"/>
              <w:rPr>
                <w:sz w:val="20"/>
              </w:rPr>
            </w:pPr>
            <w:r>
              <w:rPr>
                <w:spacing w:val="-10"/>
                <w:sz w:val="20"/>
              </w:rPr>
              <w:t>-</w:t>
            </w:r>
          </w:p>
        </w:tc>
        <w:tc>
          <w:tcPr>
            <w:tcW w:w="628" w:type="dxa"/>
          </w:tcPr>
          <w:p>
            <w:pPr>
              <w:pStyle w:val="TableParagraph"/>
              <w:spacing w:line="210" w:lineRule="exact"/>
              <w:ind w:left="26" w:right="19"/>
              <w:jc w:val="center"/>
              <w:rPr>
                <w:sz w:val="20"/>
              </w:rPr>
            </w:pPr>
            <w:r>
              <w:rPr>
                <w:spacing w:val="-10"/>
                <w:sz w:val="20"/>
              </w:rPr>
              <w:t>1</w:t>
            </w:r>
          </w:p>
        </w:tc>
        <w:tc>
          <w:tcPr>
            <w:tcW w:w="772" w:type="dxa"/>
          </w:tcPr>
          <w:p>
            <w:pPr>
              <w:pStyle w:val="TableParagraph"/>
              <w:spacing w:line="210" w:lineRule="exact"/>
              <w:ind w:left="28"/>
              <w:jc w:val="center"/>
              <w:rPr>
                <w:sz w:val="20"/>
              </w:rPr>
            </w:pPr>
            <w:r>
              <w:rPr>
                <w:spacing w:val="-4"/>
                <w:sz w:val="20"/>
              </w:rPr>
              <w:t>50.0</w:t>
            </w:r>
          </w:p>
        </w:tc>
        <w:tc>
          <w:tcPr>
            <w:tcW w:w="693" w:type="dxa"/>
          </w:tcPr>
          <w:p>
            <w:pPr>
              <w:pStyle w:val="TableParagraph"/>
              <w:spacing w:line="210" w:lineRule="exact"/>
              <w:ind w:left="29" w:right="26"/>
              <w:jc w:val="center"/>
              <w:rPr>
                <w:sz w:val="20"/>
              </w:rPr>
            </w:pPr>
            <w:r>
              <w:rPr>
                <w:spacing w:val="-10"/>
                <w:sz w:val="20"/>
              </w:rPr>
              <w:t>2</w:t>
            </w:r>
          </w:p>
        </w:tc>
        <w:tc>
          <w:tcPr>
            <w:tcW w:w="740" w:type="dxa"/>
            <w:tcBorders>
              <w:right w:val="single" w:sz="4" w:space="0" w:color="000000"/>
            </w:tcBorders>
          </w:tcPr>
          <w:p>
            <w:pPr>
              <w:pStyle w:val="TableParagraph"/>
              <w:spacing w:line="210" w:lineRule="exact"/>
              <w:ind w:left="15" w:right="5"/>
              <w:jc w:val="center"/>
              <w:rPr>
                <w:sz w:val="20"/>
              </w:rPr>
            </w:pPr>
            <w:r>
              <w:rPr>
                <w:spacing w:val="-5"/>
                <w:sz w:val="20"/>
              </w:rPr>
              <w:t>0.4</w:t>
            </w:r>
          </w:p>
        </w:tc>
      </w:tr>
      <w:tr>
        <w:trPr>
          <w:trHeight w:val="254" w:hRule="atLeast"/>
        </w:trPr>
        <w:tc>
          <w:tcPr>
            <w:tcW w:w="3707" w:type="dxa"/>
            <w:tcBorders>
              <w:left w:val="single" w:sz="4" w:space="0" w:color="000000"/>
            </w:tcBorders>
          </w:tcPr>
          <w:p>
            <w:pPr>
              <w:pStyle w:val="TableParagraph"/>
              <w:rPr>
                <w:rFonts w:ascii="Times New Roman"/>
                <w:sz w:val="18"/>
              </w:rPr>
            </w:pPr>
          </w:p>
        </w:tc>
        <w:tc>
          <w:tcPr>
            <w:tcW w:w="2417" w:type="dxa"/>
          </w:tcPr>
          <w:p>
            <w:pPr>
              <w:pStyle w:val="TableParagraph"/>
              <w:spacing w:line="227" w:lineRule="exact"/>
              <w:ind w:left="190"/>
              <w:rPr>
                <w:sz w:val="20"/>
              </w:rPr>
            </w:pPr>
            <w:r>
              <w:rPr>
                <w:spacing w:val="-2"/>
                <w:sz w:val="20"/>
              </w:rPr>
              <w:t>Students</w:t>
            </w:r>
          </w:p>
        </w:tc>
        <w:tc>
          <w:tcPr>
            <w:tcW w:w="675" w:type="dxa"/>
          </w:tcPr>
          <w:p>
            <w:pPr>
              <w:pStyle w:val="TableParagraph"/>
              <w:spacing w:line="227" w:lineRule="exact"/>
              <w:ind w:left="53"/>
              <w:jc w:val="center"/>
              <w:rPr>
                <w:sz w:val="20"/>
              </w:rPr>
            </w:pPr>
            <w:r>
              <w:rPr>
                <w:spacing w:val="-10"/>
                <w:sz w:val="20"/>
              </w:rPr>
              <w:t>8</w:t>
            </w:r>
          </w:p>
        </w:tc>
        <w:tc>
          <w:tcPr>
            <w:tcW w:w="758" w:type="dxa"/>
          </w:tcPr>
          <w:p>
            <w:pPr>
              <w:pStyle w:val="TableParagraph"/>
              <w:spacing w:line="227" w:lineRule="exact"/>
              <w:ind w:left="60" w:right="5"/>
              <w:jc w:val="center"/>
              <w:rPr>
                <w:sz w:val="20"/>
              </w:rPr>
            </w:pPr>
            <w:r>
              <w:rPr>
                <w:spacing w:val="-5"/>
                <w:sz w:val="20"/>
              </w:rPr>
              <w:t>3.4</w:t>
            </w:r>
          </w:p>
        </w:tc>
        <w:tc>
          <w:tcPr>
            <w:tcW w:w="547" w:type="dxa"/>
          </w:tcPr>
          <w:p>
            <w:pPr>
              <w:pStyle w:val="TableParagraph"/>
              <w:spacing w:line="227" w:lineRule="exact"/>
              <w:ind w:left="87" w:right="79"/>
              <w:jc w:val="center"/>
              <w:rPr>
                <w:sz w:val="20"/>
              </w:rPr>
            </w:pPr>
            <w:r>
              <w:rPr>
                <w:spacing w:val="-5"/>
                <w:sz w:val="20"/>
              </w:rPr>
              <w:t>23</w:t>
            </w:r>
          </w:p>
        </w:tc>
        <w:tc>
          <w:tcPr>
            <w:tcW w:w="732" w:type="dxa"/>
          </w:tcPr>
          <w:p>
            <w:pPr>
              <w:pStyle w:val="TableParagraph"/>
              <w:spacing w:line="227" w:lineRule="exact"/>
              <w:ind w:left="58" w:right="59"/>
              <w:jc w:val="center"/>
              <w:rPr>
                <w:sz w:val="20"/>
              </w:rPr>
            </w:pPr>
            <w:r>
              <w:rPr>
                <w:spacing w:val="-5"/>
                <w:sz w:val="20"/>
              </w:rPr>
              <w:t>9.8</w:t>
            </w:r>
          </w:p>
        </w:tc>
        <w:tc>
          <w:tcPr>
            <w:tcW w:w="742" w:type="dxa"/>
          </w:tcPr>
          <w:p>
            <w:pPr>
              <w:pStyle w:val="TableParagraph"/>
              <w:spacing w:line="227" w:lineRule="exact"/>
              <w:ind w:left="7" w:right="42"/>
              <w:jc w:val="center"/>
              <w:rPr>
                <w:sz w:val="20"/>
              </w:rPr>
            </w:pPr>
            <w:r>
              <w:rPr>
                <w:spacing w:val="-5"/>
                <w:sz w:val="20"/>
              </w:rPr>
              <w:t>92</w:t>
            </w:r>
          </w:p>
        </w:tc>
        <w:tc>
          <w:tcPr>
            <w:tcW w:w="848" w:type="dxa"/>
          </w:tcPr>
          <w:p>
            <w:pPr>
              <w:pStyle w:val="TableParagraph"/>
              <w:spacing w:line="227" w:lineRule="exact"/>
              <w:ind w:left="32" w:right="14"/>
              <w:jc w:val="center"/>
              <w:rPr>
                <w:sz w:val="20"/>
              </w:rPr>
            </w:pPr>
            <w:r>
              <w:rPr>
                <w:spacing w:val="-4"/>
                <w:sz w:val="20"/>
              </w:rPr>
              <w:t>39.1</w:t>
            </w:r>
          </w:p>
        </w:tc>
        <w:tc>
          <w:tcPr>
            <w:tcW w:w="740" w:type="dxa"/>
          </w:tcPr>
          <w:p>
            <w:pPr>
              <w:pStyle w:val="TableParagraph"/>
              <w:spacing w:line="227" w:lineRule="exact"/>
              <w:ind w:left="64" w:right="6"/>
              <w:jc w:val="center"/>
              <w:rPr>
                <w:sz w:val="20"/>
              </w:rPr>
            </w:pPr>
            <w:r>
              <w:rPr>
                <w:spacing w:val="-5"/>
                <w:sz w:val="20"/>
              </w:rPr>
              <w:t>83</w:t>
            </w:r>
          </w:p>
        </w:tc>
        <w:tc>
          <w:tcPr>
            <w:tcW w:w="774" w:type="dxa"/>
          </w:tcPr>
          <w:p>
            <w:pPr>
              <w:pStyle w:val="TableParagraph"/>
              <w:spacing w:line="227" w:lineRule="exact"/>
              <w:ind w:left="6" w:right="15"/>
              <w:jc w:val="center"/>
              <w:rPr>
                <w:sz w:val="20"/>
              </w:rPr>
            </w:pPr>
            <w:r>
              <w:rPr>
                <w:spacing w:val="-4"/>
                <w:sz w:val="20"/>
              </w:rPr>
              <w:t>35.3</w:t>
            </w:r>
          </w:p>
        </w:tc>
        <w:tc>
          <w:tcPr>
            <w:tcW w:w="628" w:type="dxa"/>
          </w:tcPr>
          <w:p>
            <w:pPr>
              <w:pStyle w:val="TableParagraph"/>
              <w:spacing w:line="227" w:lineRule="exact"/>
              <w:ind w:left="21" w:right="19"/>
              <w:jc w:val="center"/>
              <w:rPr>
                <w:sz w:val="20"/>
              </w:rPr>
            </w:pPr>
            <w:r>
              <w:rPr>
                <w:spacing w:val="-5"/>
                <w:sz w:val="20"/>
              </w:rPr>
              <w:t>29</w:t>
            </w:r>
          </w:p>
        </w:tc>
        <w:tc>
          <w:tcPr>
            <w:tcW w:w="772" w:type="dxa"/>
          </w:tcPr>
          <w:p>
            <w:pPr>
              <w:pStyle w:val="TableParagraph"/>
              <w:spacing w:line="227" w:lineRule="exact"/>
              <w:ind w:left="28"/>
              <w:jc w:val="center"/>
              <w:rPr>
                <w:sz w:val="20"/>
              </w:rPr>
            </w:pPr>
            <w:r>
              <w:rPr>
                <w:spacing w:val="-4"/>
                <w:sz w:val="20"/>
              </w:rPr>
              <w:t>12.3</w:t>
            </w:r>
          </w:p>
        </w:tc>
        <w:tc>
          <w:tcPr>
            <w:tcW w:w="693" w:type="dxa"/>
          </w:tcPr>
          <w:p>
            <w:pPr>
              <w:pStyle w:val="TableParagraph"/>
              <w:spacing w:line="227" w:lineRule="exact"/>
              <w:ind w:left="22" w:right="26"/>
              <w:jc w:val="center"/>
              <w:rPr>
                <w:sz w:val="20"/>
              </w:rPr>
            </w:pPr>
            <w:r>
              <w:rPr>
                <w:spacing w:val="-5"/>
                <w:sz w:val="20"/>
              </w:rPr>
              <w:t>235</w:t>
            </w:r>
          </w:p>
        </w:tc>
        <w:tc>
          <w:tcPr>
            <w:tcW w:w="740" w:type="dxa"/>
            <w:tcBorders>
              <w:right w:val="single" w:sz="4" w:space="0" w:color="000000"/>
            </w:tcBorders>
          </w:tcPr>
          <w:p>
            <w:pPr>
              <w:pStyle w:val="TableParagraph"/>
              <w:spacing w:line="227" w:lineRule="exact"/>
              <w:ind w:left="15"/>
              <w:jc w:val="center"/>
              <w:rPr>
                <w:sz w:val="20"/>
              </w:rPr>
            </w:pPr>
            <w:r>
              <w:rPr>
                <w:spacing w:val="-4"/>
                <w:sz w:val="20"/>
              </w:rPr>
              <w:t>50.8</w:t>
            </w:r>
          </w:p>
        </w:tc>
      </w:tr>
      <w:tr>
        <w:trPr>
          <w:trHeight w:val="254" w:hRule="atLeast"/>
        </w:trPr>
        <w:tc>
          <w:tcPr>
            <w:tcW w:w="3707" w:type="dxa"/>
            <w:tcBorders>
              <w:left w:val="single" w:sz="4" w:space="0" w:color="000000"/>
            </w:tcBorders>
          </w:tcPr>
          <w:p>
            <w:pPr>
              <w:pStyle w:val="TableParagraph"/>
              <w:rPr>
                <w:rFonts w:ascii="Times New Roman"/>
                <w:sz w:val="18"/>
              </w:rPr>
            </w:pPr>
          </w:p>
        </w:tc>
        <w:tc>
          <w:tcPr>
            <w:tcW w:w="2417" w:type="dxa"/>
          </w:tcPr>
          <w:p>
            <w:pPr>
              <w:pStyle w:val="TableParagraph"/>
              <w:spacing w:line="213" w:lineRule="exact" w:before="21"/>
              <w:ind w:left="190"/>
              <w:rPr>
                <w:sz w:val="20"/>
              </w:rPr>
            </w:pPr>
            <w:r>
              <w:rPr>
                <w:sz w:val="20"/>
              </w:rPr>
              <w:t>Service</w:t>
            </w:r>
            <w:r>
              <w:rPr>
                <w:spacing w:val="-9"/>
                <w:sz w:val="20"/>
              </w:rPr>
              <w:t> </w:t>
            </w:r>
            <w:r>
              <w:rPr>
                <w:spacing w:val="-2"/>
                <w:sz w:val="20"/>
              </w:rPr>
              <w:t>Staff</w:t>
            </w:r>
          </w:p>
        </w:tc>
        <w:tc>
          <w:tcPr>
            <w:tcW w:w="675" w:type="dxa"/>
          </w:tcPr>
          <w:p>
            <w:pPr>
              <w:pStyle w:val="TableParagraph"/>
              <w:spacing w:line="213" w:lineRule="exact" w:before="21"/>
              <w:ind w:left="53" w:right="5"/>
              <w:jc w:val="center"/>
              <w:rPr>
                <w:sz w:val="20"/>
              </w:rPr>
            </w:pPr>
            <w:r>
              <w:rPr>
                <w:spacing w:val="-5"/>
                <w:sz w:val="20"/>
              </w:rPr>
              <w:t>17</w:t>
            </w:r>
          </w:p>
        </w:tc>
        <w:tc>
          <w:tcPr>
            <w:tcW w:w="758" w:type="dxa"/>
          </w:tcPr>
          <w:p>
            <w:pPr>
              <w:pStyle w:val="TableParagraph"/>
              <w:spacing w:line="213" w:lineRule="exact" w:before="21"/>
              <w:ind w:left="60" w:right="5"/>
              <w:jc w:val="center"/>
              <w:rPr>
                <w:sz w:val="20"/>
              </w:rPr>
            </w:pPr>
            <w:r>
              <w:rPr>
                <w:spacing w:val="-5"/>
                <w:sz w:val="20"/>
              </w:rPr>
              <w:t>8.4</w:t>
            </w:r>
          </w:p>
        </w:tc>
        <w:tc>
          <w:tcPr>
            <w:tcW w:w="547" w:type="dxa"/>
          </w:tcPr>
          <w:p>
            <w:pPr>
              <w:pStyle w:val="TableParagraph"/>
              <w:spacing w:line="213" w:lineRule="exact" w:before="21"/>
              <w:ind w:left="87" w:right="75"/>
              <w:jc w:val="center"/>
              <w:rPr>
                <w:sz w:val="20"/>
              </w:rPr>
            </w:pPr>
            <w:r>
              <w:rPr>
                <w:spacing w:val="-10"/>
                <w:sz w:val="20"/>
              </w:rPr>
              <w:t>7</w:t>
            </w:r>
          </w:p>
        </w:tc>
        <w:tc>
          <w:tcPr>
            <w:tcW w:w="732" w:type="dxa"/>
          </w:tcPr>
          <w:p>
            <w:pPr>
              <w:pStyle w:val="TableParagraph"/>
              <w:spacing w:line="213" w:lineRule="exact" w:before="21"/>
              <w:ind w:left="58" w:right="59"/>
              <w:jc w:val="center"/>
              <w:rPr>
                <w:sz w:val="20"/>
              </w:rPr>
            </w:pPr>
            <w:r>
              <w:rPr>
                <w:spacing w:val="-5"/>
                <w:sz w:val="20"/>
              </w:rPr>
              <w:t>3.4</w:t>
            </w:r>
          </w:p>
        </w:tc>
        <w:tc>
          <w:tcPr>
            <w:tcW w:w="742" w:type="dxa"/>
          </w:tcPr>
          <w:p>
            <w:pPr>
              <w:pStyle w:val="TableParagraph"/>
              <w:spacing w:line="213" w:lineRule="exact" w:before="21"/>
              <w:ind w:left="7" w:right="42"/>
              <w:jc w:val="center"/>
              <w:rPr>
                <w:sz w:val="20"/>
              </w:rPr>
            </w:pPr>
            <w:r>
              <w:rPr>
                <w:spacing w:val="-5"/>
                <w:sz w:val="20"/>
              </w:rPr>
              <w:t>71</w:t>
            </w:r>
          </w:p>
        </w:tc>
        <w:tc>
          <w:tcPr>
            <w:tcW w:w="848" w:type="dxa"/>
          </w:tcPr>
          <w:p>
            <w:pPr>
              <w:pStyle w:val="TableParagraph"/>
              <w:spacing w:line="213" w:lineRule="exact" w:before="21"/>
              <w:ind w:left="32" w:right="14"/>
              <w:jc w:val="center"/>
              <w:rPr>
                <w:sz w:val="20"/>
              </w:rPr>
            </w:pPr>
            <w:r>
              <w:rPr>
                <w:spacing w:val="-4"/>
                <w:sz w:val="20"/>
              </w:rPr>
              <w:t>35.0</w:t>
            </w:r>
          </w:p>
        </w:tc>
        <w:tc>
          <w:tcPr>
            <w:tcW w:w="740" w:type="dxa"/>
          </w:tcPr>
          <w:p>
            <w:pPr>
              <w:pStyle w:val="TableParagraph"/>
              <w:spacing w:line="213" w:lineRule="exact" w:before="21"/>
              <w:ind w:left="64" w:right="6"/>
              <w:jc w:val="center"/>
              <w:rPr>
                <w:sz w:val="20"/>
              </w:rPr>
            </w:pPr>
            <w:r>
              <w:rPr>
                <w:spacing w:val="-5"/>
                <w:sz w:val="20"/>
              </w:rPr>
              <w:t>78</w:t>
            </w:r>
          </w:p>
        </w:tc>
        <w:tc>
          <w:tcPr>
            <w:tcW w:w="774" w:type="dxa"/>
          </w:tcPr>
          <w:p>
            <w:pPr>
              <w:pStyle w:val="TableParagraph"/>
              <w:spacing w:line="213" w:lineRule="exact" w:before="21"/>
              <w:ind w:left="6" w:right="15"/>
              <w:jc w:val="center"/>
              <w:rPr>
                <w:sz w:val="20"/>
              </w:rPr>
            </w:pPr>
            <w:r>
              <w:rPr>
                <w:spacing w:val="-4"/>
                <w:sz w:val="20"/>
              </w:rPr>
              <w:t>38.4</w:t>
            </w:r>
          </w:p>
        </w:tc>
        <w:tc>
          <w:tcPr>
            <w:tcW w:w="628" w:type="dxa"/>
          </w:tcPr>
          <w:p>
            <w:pPr>
              <w:pStyle w:val="TableParagraph"/>
              <w:spacing w:line="213" w:lineRule="exact" w:before="21"/>
              <w:ind w:left="21" w:right="19"/>
              <w:jc w:val="center"/>
              <w:rPr>
                <w:sz w:val="20"/>
              </w:rPr>
            </w:pPr>
            <w:r>
              <w:rPr>
                <w:spacing w:val="-5"/>
                <w:sz w:val="20"/>
              </w:rPr>
              <w:t>30</w:t>
            </w:r>
          </w:p>
        </w:tc>
        <w:tc>
          <w:tcPr>
            <w:tcW w:w="772" w:type="dxa"/>
          </w:tcPr>
          <w:p>
            <w:pPr>
              <w:pStyle w:val="TableParagraph"/>
              <w:spacing w:line="213" w:lineRule="exact" w:before="21"/>
              <w:ind w:left="28"/>
              <w:jc w:val="center"/>
              <w:rPr>
                <w:sz w:val="20"/>
              </w:rPr>
            </w:pPr>
            <w:r>
              <w:rPr>
                <w:spacing w:val="-4"/>
                <w:sz w:val="20"/>
              </w:rPr>
              <w:t>14.8</w:t>
            </w:r>
          </w:p>
        </w:tc>
        <w:tc>
          <w:tcPr>
            <w:tcW w:w="693" w:type="dxa"/>
          </w:tcPr>
          <w:p>
            <w:pPr>
              <w:pStyle w:val="TableParagraph"/>
              <w:spacing w:line="213" w:lineRule="exact" w:before="21"/>
              <w:ind w:left="22" w:right="26"/>
              <w:jc w:val="center"/>
              <w:rPr>
                <w:sz w:val="20"/>
              </w:rPr>
            </w:pPr>
            <w:r>
              <w:rPr>
                <w:spacing w:val="-5"/>
                <w:sz w:val="20"/>
              </w:rPr>
              <w:t>203</w:t>
            </w:r>
          </w:p>
        </w:tc>
        <w:tc>
          <w:tcPr>
            <w:tcW w:w="740" w:type="dxa"/>
            <w:tcBorders>
              <w:right w:val="single" w:sz="4" w:space="0" w:color="000000"/>
            </w:tcBorders>
          </w:tcPr>
          <w:p>
            <w:pPr>
              <w:pStyle w:val="TableParagraph"/>
              <w:spacing w:line="213" w:lineRule="exact" w:before="21"/>
              <w:ind w:left="15"/>
              <w:jc w:val="center"/>
              <w:rPr>
                <w:sz w:val="20"/>
              </w:rPr>
            </w:pPr>
            <w:r>
              <w:rPr>
                <w:spacing w:val="-4"/>
                <w:sz w:val="20"/>
              </w:rPr>
              <w:t>43.8</w:t>
            </w:r>
          </w:p>
        </w:tc>
      </w:tr>
      <w:tr>
        <w:trPr>
          <w:trHeight w:val="237" w:hRule="atLeast"/>
        </w:trPr>
        <w:tc>
          <w:tcPr>
            <w:tcW w:w="3707" w:type="dxa"/>
            <w:tcBorders>
              <w:left w:val="single" w:sz="4" w:space="0" w:color="000000"/>
            </w:tcBorders>
          </w:tcPr>
          <w:p>
            <w:pPr>
              <w:pStyle w:val="TableParagraph"/>
              <w:rPr>
                <w:rFonts w:ascii="Times New Roman"/>
                <w:sz w:val="16"/>
              </w:rPr>
            </w:pPr>
          </w:p>
        </w:tc>
        <w:tc>
          <w:tcPr>
            <w:tcW w:w="2417" w:type="dxa"/>
          </w:tcPr>
          <w:p>
            <w:pPr>
              <w:pStyle w:val="TableParagraph"/>
              <w:spacing w:line="218" w:lineRule="exact"/>
              <w:ind w:left="190"/>
              <w:rPr>
                <w:sz w:val="20"/>
              </w:rPr>
            </w:pPr>
            <w:r>
              <w:rPr>
                <w:sz w:val="20"/>
              </w:rPr>
              <w:t>Top</w:t>
            </w:r>
            <w:r>
              <w:rPr>
                <w:spacing w:val="-1"/>
                <w:sz w:val="20"/>
              </w:rPr>
              <w:t> </w:t>
            </w:r>
            <w:r>
              <w:rPr>
                <w:spacing w:val="-2"/>
                <w:sz w:val="20"/>
              </w:rPr>
              <w:t>Management</w:t>
            </w:r>
          </w:p>
        </w:tc>
        <w:tc>
          <w:tcPr>
            <w:tcW w:w="675" w:type="dxa"/>
          </w:tcPr>
          <w:p>
            <w:pPr>
              <w:pStyle w:val="TableParagraph"/>
              <w:spacing w:line="218" w:lineRule="exact"/>
              <w:ind w:left="53" w:right="7"/>
              <w:jc w:val="center"/>
              <w:rPr>
                <w:sz w:val="20"/>
              </w:rPr>
            </w:pPr>
            <w:r>
              <w:rPr>
                <w:spacing w:val="-10"/>
                <w:sz w:val="20"/>
              </w:rPr>
              <w:t>-</w:t>
            </w:r>
          </w:p>
        </w:tc>
        <w:tc>
          <w:tcPr>
            <w:tcW w:w="758" w:type="dxa"/>
          </w:tcPr>
          <w:p>
            <w:pPr>
              <w:pStyle w:val="TableParagraph"/>
              <w:spacing w:line="218" w:lineRule="exact"/>
              <w:ind w:left="60" w:right="7"/>
              <w:jc w:val="center"/>
              <w:rPr>
                <w:sz w:val="20"/>
              </w:rPr>
            </w:pPr>
            <w:r>
              <w:rPr>
                <w:spacing w:val="-10"/>
                <w:sz w:val="20"/>
              </w:rPr>
              <w:t>-</w:t>
            </w:r>
          </w:p>
        </w:tc>
        <w:tc>
          <w:tcPr>
            <w:tcW w:w="547" w:type="dxa"/>
          </w:tcPr>
          <w:p>
            <w:pPr>
              <w:pStyle w:val="TableParagraph"/>
              <w:spacing w:line="218" w:lineRule="exact"/>
              <w:ind w:left="87" w:right="75"/>
              <w:jc w:val="center"/>
              <w:rPr>
                <w:sz w:val="20"/>
              </w:rPr>
            </w:pPr>
            <w:r>
              <w:rPr>
                <w:spacing w:val="-10"/>
                <w:sz w:val="20"/>
              </w:rPr>
              <w:t>1</w:t>
            </w:r>
          </w:p>
        </w:tc>
        <w:tc>
          <w:tcPr>
            <w:tcW w:w="732" w:type="dxa"/>
          </w:tcPr>
          <w:p>
            <w:pPr>
              <w:pStyle w:val="TableParagraph"/>
              <w:spacing w:line="218" w:lineRule="exact"/>
              <w:ind w:left="58" w:right="59"/>
              <w:jc w:val="center"/>
              <w:rPr>
                <w:sz w:val="20"/>
              </w:rPr>
            </w:pPr>
            <w:r>
              <w:rPr>
                <w:spacing w:val="-5"/>
                <w:sz w:val="20"/>
              </w:rPr>
              <w:t>4.3</w:t>
            </w:r>
          </w:p>
        </w:tc>
        <w:tc>
          <w:tcPr>
            <w:tcW w:w="742" w:type="dxa"/>
          </w:tcPr>
          <w:p>
            <w:pPr>
              <w:pStyle w:val="TableParagraph"/>
              <w:spacing w:line="218" w:lineRule="exact"/>
              <w:ind w:left="7" w:right="42"/>
              <w:jc w:val="center"/>
              <w:rPr>
                <w:sz w:val="20"/>
              </w:rPr>
            </w:pPr>
            <w:r>
              <w:rPr>
                <w:spacing w:val="-5"/>
                <w:sz w:val="20"/>
              </w:rPr>
              <w:t>10</w:t>
            </w:r>
          </w:p>
        </w:tc>
        <w:tc>
          <w:tcPr>
            <w:tcW w:w="848" w:type="dxa"/>
          </w:tcPr>
          <w:p>
            <w:pPr>
              <w:pStyle w:val="TableParagraph"/>
              <w:spacing w:line="218" w:lineRule="exact"/>
              <w:ind w:left="32" w:right="14"/>
              <w:jc w:val="center"/>
              <w:rPr>
                <w:sz w:val="20"/>
              </w:rPr>
            </w:pPr>
            <w:r>
              <w:rPr>
                <w:spacing w:val="-4"/>
                <w:sz w:val="20"/>
              </w:rPr>
              <w:t>43.5</w:t>
            </w:r>
          </w:p>
        </w:tc>
        <w:tc>
          <w:tcPr>
            <w:tcW w:w="740" w:type="dxa"/>
          </w:tcPr>
          <w:p>
            <w:pPr>
              <w:pStyle w:val="TableParagraph"/>
              <w:spacing w:line="218" w:lineRule="exact"/>
              <w:ind w:left="64" w:right="6"/>
              <w:jc w:val="center"/>
              <w:rPr>
                <w:sz w:val="20"/>
              </w:rPr>
            </w:pPr>
            <w:r>
              <w:rPr>
                <w:spacing w:val="-5"/>
                <w:sz w:val="20"/>
              </w:rPr>
              <w:t>10</w:t>
            </w:r>
          </w:p>
        </w:tc>
        <w:tc>
          <w:tcPr>
            <w:tcW w:w="774" w:type="dxa"/>
          </w:tcPr>
          <w:p>
            <w:pPr>
              <w:pStyle w:val="TableParagraph"/>
              <w:spacing w:line="218" w:lineRule="exact"/>
              <w:ind w:left="6" w:right="15"/>
              <w:jc w:val="center"/>
              <w:rPr>
                <w:sz w:val="20"/>
              </w:rPr>
            </w:pPr>
            <w:r>
              <w:rPr>
                <w:spacing w:val="-4"/>
                <w:sz w:val="20"/>
              </w:rPr>
              <w:t>43.5</w:t>
            </w:r>
          </w:p>
        </w:tc>
        <w:tc>
          <w:tcPr>
            <w:tcW w:w="628" w:type="dxa"/>
          </w:tcPr>
          <w:p>
            <w:pPr>
              <w:pStyle w:val="TableParagraph"/>
              <w:spacing w:line="218" w:lineRule="exact"/>
              <w:ind w:left="26" w:right="19"/>
              <w:jc w:val="center"/>
              <w:rPr>
                <w:sz w:val="20"/>
              </w:rPr>
            </w:pPr>
            <w:r>
              <w:rPr>
                <w:spacing w:val="-10"/>
                <w:sz w:val="20"/>
              </w:rPr>
              <w:t>2</w:t>
            </w:r>
          </w:p>
        </w:tc>
        <w:tc>
          <w:tcPr>
            <w:tcW w:w="772" w:type="dxa"/>
          </w:tcPr>
          <w:p>
            <w:pPr>
              <w:pStyle w:val="TableParagraph"/>
              <w:spacing w:line="218" w:lineRule="exact"/>
              <w:ind w:left="28" w:right="5"/>
              <w:jc w:val="center"/>
              <w:rPr>
                <w:sz w:val="20"/>
              </w:rPr>
            </w:pPr>
            <w:r>
              <w:rPr>
                <w:spacing w:val="-5"/>
                <w:sz w:val="20"/>
              </w:rPr>
              <w:t>8.7</w:t>
            </w:r>
          </w:p>
        </w:tc>
        <w:tc>
          <w:tcPr>
            <w:tcW w:w="693" w:type="dxa"/>
          </w:tcPr>
          <w:p>
            <w:pPr>
              <w:pStyle w:val="TableParagraph"/>
              <w:spacing w:line="218" w:lineRule="exact"/>
              <w:ind w:left="25" w:right="26"/>
              <w:jc w:val="center"/>
              <w:rPr>
                <w:sz w:val="20"/>
              </w:rPr>
            </w:pPr>
            <w:r>
              <w:rPr>
                <w:spacing w:val="-5"/>
                <w:sz w:val="20"/>
              </w:rPr>
              <w:t>23</w:t>
            </w:r>
          </w:p>
        </w:tc>
        <w:tc>
          <w:tcPr>
            <w:tcW w:w="740" w:type="dxa"/>
            <w:tcBorders>
              <w:right w:val="single" w:sz="4" w:space="0" w:color="000000"/>
            </w:tcBorders>
          </w:tcPr>
          <w:p>
            <w:pPr>
              <w:pStyle w:val="TableParagraph"/>
              <w:spacing w:line="218" w:lineRule="exact"/>
              <w:ind w:left="15" w:right="5"/>
              <w:jc w:val="center"/>
              <w:rPr>
                <w:sz w:val="20"/>
              </w:rPr>
            </w:pPr>
            <w:r>
              <w:rPr>
                <w:spacing w:val="-5"/>
                <w:sz w:val="20"/>
              </w:rPr>
              <w:t>5.0</w:t>
            </w:r>
          </w:p>
        </w:tc>
      </w:tr>
      <w:tr>
        <w:trPr>
          <w:trHeight w:val="235" w:hRule="atLeast"/>
        </w:trPr>
        <w:tc>
          <w:tcPr>
            <w:tcW w:w="3707" w:type="dxa"/>
            <w:tcBorders>
              <w:left w:val="single" w:sz="4" w:space="0" w:color="000000"/>
            </w:tcBorders>
          </w:tcPr>
          <w:p>
            <w:pPr>
              <w:pStyle w:val="TableParagraph"/>
              <w:tabs>
                <w:tab w:pos="830" w:val="left" w:leader="none"/>
              </w:tabs>
              <w:spacing w:line="211" w:lineRule="exact" w:before="4"/>
              <w:ind w:left="278"/>
              <w:rPr>
                <w:sz w:val="20"/>
              </w:rPr>
            </w:pPr>
            <w:r>
              <w:rPr>
                <w:spacing w:val="-5"/>
                <w:sz w:val="20"/>
              </w:rPr>
              <w:t>4.</w:t>
            </w:r>
            <w:r>
              <w:rPr>
                <w:sz w:val="20"/>
              </w:rPr>
              <w:tab/>
              <w:t>Sports</w:t>
            </w:r>
            <w:r>
              <w:rPr>
                <w:spacing w:val="-7"/>
                <w:sz w:val="20"/>
              </w:rPr>
              <w:t> </w:t>
            </w:r>
            <w:r>
              <w:rPr>
                <w:sz w:val="20"/>
              </w:rPr>
              <w:t>and</w:t>
            </w:r>
            <w:r>
              <w:rPr>
                <w:spacing w:val="-4"/>
                <w:sz w:val="20"/>
              </w:rPr>
              <w:t> </w:t>
            </w:r>
            <w:r>
              <w:rPr>
                <w:spacing w:val="-2"/>
                <w:sz w:val="20"/>
              </w:rPr>
              <w:t>Recreational</w:t>
            </w:r>
          </w:p>
        </w:tc>
        <w:tc>
          <w:tcPr>
            <w:tcW w:w="2417" w:type="dxa"/>
          </w:tcPr>
          <w:p>
            <w:pPr>
              <w:pStyle w:val="TableParagraph"/>
              <w:spacing w:line="211" w:lineRule="exact" w:before="4"/>
              <w:ind w:left="190"/>
              <w:rPr>
                <w:sz w:val="20"/>
              </w:rPr>
            </w:pPr>
            <w:r>
              <w:rPr>
                <w:sz w:val="20"/>
              </w:rPr>
              <w:t>No.</w:t>
            </w:r>
            <w:r>
              <w:rPr>
                <w:spacing w:val="-5"/>
                <w:sz w:val="20"/>
              </w:rPr>
              <w:t> </w:t>
            </w:r>
            <w:r>
              <w:rPr>
                <w:sz w:val="20"/>
              </w:rPr>
              <w:t>of</w:t>
            </w:r>
            <w:r>
              <w:rPr>
                <w:spacing w:val="-2"/>
                <w:sz w:val="20"/>
              </w:rPr>
              <w:t> missing</w:t>
            </w:r>
          </w:p>
        </w:tc>
        <w:tc>
          <w:tcPr>
            <w:tcW w:w="675" w:type="dxa"/>
          </w:tcPr>
          <w:p>
            <w:pPr>
              <w:pStyle w:val="TableParagraph"/>
              <w:rPr>
                <w:rFonts w:ascii="Times New Roman"/>
                <w:sz w:val="16"/>
              </w:rPr>
            </w:pPr>
          </w:p>
        </w:tc>
        <w:tc>
          <w:tcPr>
            <w:tcW w:w="758" w:type="dxa"/>
          </w:tcPr>
          <w:p>
            <w:pPr>
              <w:pStyle w:val="TableParagraph"/>
              <w:rPr>
                <w:rFonts w:ascii="Times New Roman"/>
                <w:sz w:val="16"/>
              </w:rPr>
            </w:pPr>
          </w:p>
        </w:tc>
        <w:tc>
          <w:tcPr>
            <w:tcW w:w="547" w:type="dxa"/>
          </w:tcPr>
          <w:p>
            <w:pPr>
              <w:pStyle w:val="TableParagraph"/>
              <w:rPr>
                <w:rFonts w:ascii="Times New Roman"/>
                <w:sz w:val="16"/>
              </w:rPr>
            </w:pPr>
          </w:p>
        </w:tc>
        <w:tc>
          <w:tcPr>
            <w:tcW w:w="732" w:type="dxa"/>
          </w:tcPr>
          <w:p>
            <w:pPr>
              <w:pStyle w:val="TableParagraph"/>
              <w:rPr>
                <w:rFonts w:ascii="Times New Roman"/>
                <w:sz w:val="16"/>
              </w:rPr>
            </w:pPr>
          </w:p>
        </w:tc>
        <w:tc>
          <w:tcPr>
            <w:tcW w:w="742" w:type="dxa"/>
          </w:tcPr>
          <w:p>
            <w:pPr>
              <w:pStyle w:val="TableParagraph"/>
              <w:rPr>
                <w:rFonts w:ascii="Times New Roman"/>
                <w:sz w:val="16"/>
              </w:rPr>
            </w:pPr>
          </w:p>
        </w:tc>
        <w:tc>
          <w:tcPr>
            <w:tcW w:w="848" w:type="dxa"/>
          </w:tcPr>
          <w:p>
            <w:pPr>
              <w:pStyle w:val="TableParagraph"/>
              <w:rPr>
                <w:rFonts w:ascii="Times New Roman"/>
                <w:sz w:val="16"/>
              </w:rPr>
            </w:pPr>
          </w:p>
        </w:tc>
        <w:tc>
          <w:tcPr>
            <w:tcW w:w="740" w:type="dxa"/>
          </w:tcPr>
          <w:p>
            <w:pPr>
              <w:pStyle w:val="TableParagraph"/>
              <w:rPr>
                <w:rFonts w:ascii="Times New Roman"/>
                <w:sz w:val="16"/>
              </w:rPr>
            </w:pPr>
          </w:p>
        </w:tc>
        <w:tc>
          <w:tcPr>
            <w:tcW w:w="774" w:type="dxa"/>
          </w:tcPr>
          <w:p>
            <w:pPr>
              <w:pStyle w:val="TableParagraph"/>
              <w:rPr>
                <w:rFonts w:ascii="Times New Roman"/>
                <w:sz w:val="16"/>
              </w:rPr>
            </w:pPr>
          </w:p>
        </w:tc>
        <w:tc>
          <w:tcPr>
            <w:tcW w:w="628" w:type="dxa"/>
          </w:tcPr>
          <w:p>
            <w:pPr>
              <w:pStyle w:val="TableParagraph"/>
              <w:rPr>
                <w:rFonts w:ascii="Times New Roman"/>
                <w:sz w:val="16"/>
              </w:rPr>
            </w:pPr>
          </w:p>
        </w:tc>
        <w:tc>
          <w:tcPr>
            <w:tcW w:w="772" w:type="dxa"/>
          </w:tcPr>
          <w:p>
            <w:pPr>
              <w:pStyle w:val="TableParagraph"/>
              <w:rPr>
                <w:rFonts w:ascii="Times New Roman"/>
                <w:sz w:val="16"/>
              </w:rPr>
            </w:pPr>
          </w:p>
        </w:tc>
        <w:tc>
          <w:tcPr>
            <w:tcW w:w="693" w:type="dxa"/>
          </w:tcPr>
          <w:p>
            <w:pPr>
              <w:pStyle w:val="TableParagraph"/>
              <w:rPr>
                <w:rFonts w:ascii="Times New Roman"/>
                <w:sz w:val="16"/>
              </w:rPr>
            </w:pPr>
          </w:p>
        </w:tc>
        <w:tc>
          <w:tcPr>
            <w:tcW w:w="740" w:type="dxa"/>
            <w:tcBorders>
              <w:right w:val="single" w:sz="4" w:space="0" w:color="000000"/>
            </w:tcBorders>
          </w:tcPr>
          <w:p>
            <w:pPr>
              <w:pStyle w:val="TableParagraph"/>
              <w:rPr>
                <w:rFonts w:ascii="Times New Roman"/>
                <w:sz w:val="16"/>
              </w:rPr>
            </w:pPr>
          </w:p>
        </w:tc>
      </w:tr>
      <w:tr>
        <w:trPr>
          <w:trHeight w:val="228" w:hRule="atLeast"/>
        </w:trPr>
        <w:tc>
          <w:tcPr>
            <w:tcW w:w="3707" w:type="dxa"/>
            <w:tcBorders>
              <w:left w:val="single" w:sz="4" w:space="0" w:color="000000"/>
            </w:tcBorders>
          </w:tcPr>
          <w:p>
            <w:pPr>
              <w:pStyle w:val="TableParagraph"/>
              <w:spacing w:line="208" w:lineRule="exact"/>
              <w:ind w:left="830"/>
              <w:rPr>
                <w:sz w:val="20"/>
              </w:rPr>
            </w:pPr>
            <w:r>
              <w:rPr>
                <w:spacing w:val="-2"/>
                <w:sz w:val="20"/>
              </w:rPr>
              <w:t>facilities</w:t>
            </w:r>
          </w:p>
        </w:tc>
        <w:tc>
          <w:tcPr>
            <w:tcW w:w="2417" w:type="dxa"/>
          </w:tcPr>
          <w:p>
            <w:pPr>
              <w:pStyle w:val="TableParagraph"/>
              <w:spacing w:line="208" w:lineRule="exact"/>
              <w:ind w:left="190"/>
              <w:rPr>
                <w:sz w:val="20"/>
              </w:rPr>
            </w:pPr>
            <w:r>
              <w:rPr>
                <w:spacing w:val="-2"/>
                <w:sz w:val="20"/>
              </w:rPr>
              <w:t>observations</w:t>
            </w:r>
          </w:p>
        </w:tc>
        <w:tc>
          <w:tcPr>
            <w:tcW w:w="675" w:type="dxa"/>
          </w:tcPr>
          <w:p>
            <w:pPr>
              <w:pStyle w:val="TableParagraph"/>
              <w:spacing w:line="208" w:lineRule="exact"/>
              <w:ind w:left="53" w:right="7"/>
              <w:jc w:val="center"/>
              <w:rPr>
                <w:sz w:val="20"/>
              </w:rPr>
            </w:pPr>
            <w:r>
              <w:rPr>
                <w:spacing w:val="-10"/>
                <w:sz w:val="20"/>
              </w:rPr>
              <w:t>-</w:t>
            </w:r>
          </w:p>
        </w:tc>
        <w:tc>
          <w:tcPr>
            <w:tcW w:w="758" w:type="dxa"/>
          </w:tcPr>
          <w:p>
            <w:pPr>
              <w:pStyle w:val="TableParagraph"/>
              <w:spacing w:line="208" w:lineRule="exact"/>
              <w:ind w:left="60" w:right="7"/>
              <w:jc w:val="center"/>
              <w:rPr>
                <w:sz w:val="20"/>
              </w:rPr>
            </w:pPr>
            <w:r>
              <w:rPr>
                <w:spacing w:val="-10"/>
                <w:sz w:val="20"/>
              </w:rPr>
              <w:t>-</w:t>
            </w:r>
          </w:p>
        </w:tc>
        <w:tc>
          <w:tcPr>
            <w:tcW w:w="547" w:type="dxa"/>
          </w:tcPr>
          <w:p>
            <w:pPr>
              <w:pStyle w:val="TableParagraph"/>
              <w:spacing w:line="208" w:lineRule="exact"/>
              <w:ind w:left="87" w:right="81"/>
              <w:jc w:val="center"/>
              <w:rPr>
                <w:sz w:val="20"/>
              </w:rPr>
            </w:pPr>
            <w:r>
              <w:rPr>
                <w:spacing w:val="-10"/>
                <w:sz w:val="20"/>
              </w:rPr>
              <w:t>-</w:t>
            </w:r>
          </w:p>
        </w:tc>
        <w:tc>
          <w:tcPr>
            <w:tcW w:w="732" w:type="dxa"/>
          </w:tcPr>
          <w:p>
            <w:pPr>
              <w:pStyle w:val="TableParagraph"/>
              <w:spacing w:line="208" w:lineRule="exact"/>
              <w:ind w:left="58" w:right="61"/>
              <w:jc w:val="center"/>
              <w:rPr>
                <w:sz w:val="20"/>
              </w:rPr>
            </w:pPr>
            <w:r>
              <w:rPr>
                <w:spacing w:val="-10"/>
                <w:sz w:val="20"/>
              </w:rPr>
              <w:t>-</w:t>
            </w:r>
          </w:p>
        </w:tc>
        <w:tc>
          <w:tcPr>
            <w:tcW w:w="742" w:type="dxa"/>
          </w:tcPr>
          <w:p>
            <w:pPr>
              <w:pStyle w:val="TableParagraph"/>
              <w:spacing w:line="208" w:lineRule="exact"/>
              <w:ind w:left="12" w:right="42"/>
              <w:jc w:val="center"/>
              <w:rPr>
                <w:sz w:val="20"/>
              </w:rPr>
            </w:pPr>
            <w:r>
              <w:rPr>
                <w:spacing w:val="-10"/>
                <w:sz w:val="20"/>
              </w:rPr>
              <w:t>1</w:t>
            </w:r>
          </w:p>
        </w:tc>
        <w:tc>
          <w:tcPr>
            <w:tcW w:w="848" w:type="dxa"/>
          </w:tcPr>
          <w:p>
            <w:pPr>
              <w:pStyle w:val="TableParagraph"/>
              <w:spacing w:line="208" w:lineRule="exact"/>
              <w:ind w:left="32" w:right="14"/>
              <w:jc w:val="center"/>
              <w:rPr>
                <w:sz w:val="20"/>
              </w:rPr>
            </w:pPr>
            <w:r>
              <w:rPr>
                <w:spacing w:val="-4"/>
                <w:sz w:val="20"/>
              </w:rPr>
              <w:t>50.0</w:t>
            </w:r>
          </w:p>
        </w:tc>
        <w:tc>
          <w:tcPr>
            <w:tcW w:w="740" w:type="dxa"/>
          </w:tcPr>
          <w:p>
            <w:pPr>
              <w:pStyle w:val="TableParagraph"/>
              <w:spacing w:line="208" w:lineRule="exact"/>
              <w:ind w:left="64" w:right="2"/>
              <w:jc w:val="center"/>
              <w:rPr>
                <w:sz w:val="20"/>
              </w:rPr>
            </w:pPr>
            <w:r>
              <w:rPr>
                <w:spacing w:val="-10"/>
                <w:sz w:val="20"/>
              </w:rPr>
              <w:t>1</w:t>
            </w:r>
          </w:p>
        </w:tc>
        <w:tc>
          <w:tcPr>
            <w:tcW w:w="774" w:type="dxa"/>
          </w:tcPr>
          <w:p>
            <w:pPr>
              <w:pStyle w:val="TableParagraph"/>
              <w:spacing w:line="208" w:lineRule="exact"/>
              <w:ind w:left="6" w:right="15"/>
              <w:jc w:val="center"/>
              <w:rPr>
                <w:sz w:val="20"/>
              </w:rPr>
            </w:pPr>
            <w:r>
              <w:rPr>
                <w:spacing w:val="-4"/>
                <w:sz w:val="20"/>
              </w:rPr>
              <w:t>50.0</w:t>
            </w:r>
          </w:p>
        </w:tc>
        <w:tc>
          <w:tcPr>
            <w:tcW w:w="628" w:type="dxa"/>
          </w:tcPr>
          <w:p>
            <w:pPr>
              <w:pStyle w:val="TableParagraph"/>
              <w:spacing w:line="208" w:lineRule="exact"/>
              <w:ind w:left="19" w:right="19"/>
              <w:jc w:val="center"/>
              <w:rPr>
                <w:sz w:val="20"/>
              </w:rPr>
            </w:pPr>
            <w:r>
              <w:rPr>
                <w:spacing w:val="-10"/>
                <w:sz w:val="20"/>
              </w:rPr>
              <w:t>-</w:t>
            </w:r>
          </w:p>
        </w:tc>
        <w:tc>
          <w:tcPr>
            <w:tcW w:w="772" w:type="dxa"/>
          </w:tcPr>
          <w:p>
            <w:pPr>
              <w:pStyle w:val="TableParagraph"/>
              <w:spacing w:line="208" w:lineRule="exact"/>
              <w:ind w:left="28" w:right="7"/>
              <w:jc w:val="center"/>
              <w:rPr>
                <w:sz w:val="20"/>
              </w:rPr>
            </w:pPr>
            <w:r>
              <w:rPr>
                <w:spacing w:val="-10"/>
                <w:sz w:val="20"/>
              </w:rPr>
              <w:t>-</w:t>
            </w:r>
          </w:p>
        </w:tc>
        <w:tc>
          <w:tcPr>
            <w:tcW w:w="693" w:type="dxa"/>
          </w:tcPr>
          <w:p>
            <w:pPr>
              <w:pStyle w:val="TableParagraph"/>
              <w:spacing w:line="208" w:lineRule="exact"/>
              <w:ind w:left="29" w:right="26"/>
              <w:jc w:val="center"/>
              <w:rPr>
                <w:sz w:val="20"/>
              </w:rPr>
            </w:pPr>
            <w:r>
              <w:rPr>
                <w:spacing w:val="-10"/>
                <w:sz w:val="20"/>
              </w:rPr>
              <w:t>2</w:t>
            </w:r>
          </w:p>
        </w:tc>
        <w:tc>
          <w:tcPr>
            <w:tcW w:w="740" w:type="dxa"/>
            <w:tcBorders>
              <w:right w:val="single" w:sz="4" w:space="0" w:color="000000"/>
            </w:tcBorders>
          </w:tcPr>
          <w:p>
            <w:pPr>
              <w:pStyle w:val="TableParagraph"/>
              <w:spacing w:line="208" w:lineRule="exact"/>
              <w:ind w:left="15" w:right="5"/>
              <w:jc w:val="center"/>
              <w:rPr>
                <w:sz w:val="20"/>
              </w:rPr>
            </w:pPr>
            <w:r>
              <w:rPr>
                <w:spacing w:val="-5"/>
                <w:sz w:val="20"/>
              </w:rPr>
              <w:t>0.4</w:t>
            </w:r>
          </w:p>
        </w:tc>
      </w:tr>
      <w:tr>
        <w:trPr>
          <w:trHeight w:val="235" w:hRule="atLeast"/>
        </w:trPr>
        <w:tc>
          <w:tcPr>
            <w:tcW w:w="3707" w:type="dxa"/>
            <w:tcBorders>
              <w:left w:val="single" w:sz="4" w:space="0" w:color="000000"/>
            </w:tcBorders>
          </w:tcPr>
          <w:p>
            <w:pPr>
              <w:pStyle w:val="TableParagraph"/>
              <w:rPr>
                <w:rFonts w:ascii="Times New Roman"/>
                <w:sz w:val="16"/>
              </w:rPr>
            </w:pPr>
          </w:p>
        </w:tc>
        <w:tc>
          <w:tcPr>
            <w:tcW w:w="2417" w:type="dxa"/>
          </w:tcPr>
          <w:p>
            <w:pPr>
              <w:pStyle w:val="TableParagraph"/>
              <w:spacing w:line="215" w:lineRule="exact"/>
              <w:ind w:left="190"/>
              <w:rPr>
                <w:sz w:val="20"/>
              </w:rPr>
            </w:pPr>
            <w:r>
              <w:rPr>
                <w:spacing w:val="-2"/>
                <w:sz w:val="20"/>
              </w:rPr>
              <w:t>Students</w:t>
            </w:r>
          </w:p>
        </w:tc>
        <w:tc>
          <w:tcPr>
            <w:tcW w:w="675" w:type="dxa"/>
          </w:tcPr>
          <w:p>
            <w:pPr>
              <w:pStyle w:val="TableParagraph"/>
              <w:spacing w:line="215" w:lineRule="exact"/>
              <w:ind w:left="53"/>
              <w:jc w:val="center"/>
              <w:rPr>
                <w:sz w:val="20"/>
              </w:rPr>
            </w:pPr>
            <w:r>
              <w:rPr>
                <w:spacing w:val="-10"/>
                <w:sz w:val="20"/>
              </w:rPr>
              <w:t>3</w:t>
            </w:r>
          </w:p>
        </w:tc>
        <w:tc>
          <w:tcPr>
            <w:tcW w:w="758" w:type="dxa"/>
          </w:tcPr>
          <w:p>
            <w:pPr>
              <w:pStyle w:val="TableParagraph"/>
              <w:spacing w:line="215" w:lineRule="exact"/>
              <w:ind w:left="60" w:right="5"/>
              <w:jc w:val="center"/>
              <w:rPr>
                <w:sz w:val="20"/>
              </w:rPr>
            </w:pPr>
            <w:r>
              <w:rPr>
                <w:spacing w:val="-5"/>
                <w:sz w:val="20"/>
              </w:rPr>
              <w:t>1.3</w:t>
            </w:r>
          </w:p>
        </w:tc>
        <w:tc>
          <w:tcPr>
            <w:tcW w:w="547" w:type="dxa"/>
          </w:tcPr>
          <w:p>
            <w:pPr>
              <w:pStyle w:val="TableParagraph"/>
              <w:spacing w:line="215" w:lineRule="exact"/>
              <w:ind w:left="87" w:right="75"/>
              <w:jc w:val="center"/>
              <w:rPr>
                <w:sz w:val="20"/>
              </w:rPr>
            </w:pPr>
            <w:r>
              <w:rPr>
                <w:spacing w:val="-10"/>
                <w:sz w:val="20"/>
              </w:rPr>
              <w:t>5</w:t>
            </w:r>
          </w:p>
        </w:tc>
        <w:tc>
          <w:tcPr>
            <w:tcW w:w="732" w:type="dxa"/>
          </w:tcPr>
          <w:p>
            <w:pPr>
              <w:pStyle w:val="TableParagraph"/>
              <w:spacing w:line="215" w:lineRule="exact"/>
              <w:ind w:left="58" w:right="59"/>
              <w:jc w:val="center"/>
              <w:rPr>
                <w:sz w:val="20"/>
              </w:rPr>
            </w:pPr>
            <w:r>
              <w:rPr>
                <w:spacing w:val="-5"/>
                <w:sz w:val="20"/>
              </w:rPr>
              <w:t>2.1</w:t>
            </w:r>
          </w:p>
        </w:tc>
        <w:tc>
          <w:tcPr>
            <w:tcW w:w="742" w:type="dxa"/>
          </w:tcPr>
          <w:p>
            <w:pPr>
              <w:pStyle w:val="TableParagraph"/>
              <w:spacing w:line="215" w:lineRule="exact"/>
              <w:ind w:left="2" w:right="42"/>
              <w:jc w:val="center"/>
              <w:rPr>
                <w:sz w:val="20"/>
              </w:rPr>
            </w:pPr>
            <w:r>
              <w:rPr>
                <w:spacing w:val="-5"/>
                <w:sz w:val="20"/>
              </w:rPr>
              <w:t>108</w:t>
            </w:r>
          </w:p>
        </w:tc>
        <w:tc>
          <w:tcPr>
            <w:tcW w:w="848" w:type="dxa"/>
          </w:tcPr>
          <w:p>
            <w:pPr>
              <w:pStyle w:val="TableParagraph"/>
              <w:spacing w:line="215" w:lineRule="exact"/>
              <w:ind w:left="32" w:right="14"/>
              <w:jc w:val="center"/>
              <w:rPr>
                <w:sz w:val="20"/>
              </w:rPr>
            </w:pPr>
            <w:r>
              <w:rPr>
                <w:spacing w:val="-4"/>
                <w:sz w:val="20"/>
              </w:rPr>
              <w:t>46.0</w:t>
            </w:r>
          </w:p>
        </w:tc>
        <w:tc>
          <w:tcPr>
            <w:tcW w:w="740" w:type="dxa"/>
          </w:tcPr>
          <w:p>
            <w:pPr>
              <w:pStyle w:val="TableParagraph"/>
              <w:spacing w:line="215" w:lineRule="exact"/>
              <w:ind w:left="64" w:right="6"/>
              <w:jc w:val="center"/>
              <w:rPr>
                <w:sz w:val="20"/>
              </w:rPr>
            </w:pPr>
            <w:r>
              <w:rPr>
                <w:spacing w:val="-5"/>
                <w:sz w:val="20"/>
              </w:rPr>
              <w:t>83</w:t>
            </w:r>
          </w:p>
        </w:tc>
        <w:tc>
          <w:tcPr>
            <w:tcW w:w="774" w:type="dxa"/>
          </w:tcPr>
          <w:p>
            <w:pPr>
              <w:pStyle w:val="TableParagraph"/>
              <w:spacing w:line="215" w:lineRule="exact"/>
              <w:ind w:left="6" w:right="15"/>
              <w:jc w:val="center"/>
              <w:rPr>
                <w:sz w:val="20"/>
              </w:rPr>
            </w:pPr>
            <w:r>
              <w:rPr>
                <w:spacing w:val="-4"/>
                <w:sz w:val="20"/>
              </w:rPr>
              <w:t>35.3</w:t>
            </w:r>
          </w:p>
        </w:tc>
        <w:tc>
          <w:tcPr>
            <w:tcW w:w="628" w:type="dxa"/>
          </w:tcPr>
          <w:p>
            <w:pPr>
              <w:pStyle w:val="TableParagraph"/>
              <w:spacing w:line="215" w:lineRule="exact"/>
              <w:ind w:left="21" w:right="19"/>
              <w:jc w:val="center"/>
              <w:rPr>
                <w:sz w:val="20"/>
              </w:rPr>
            </w:pPr>
            <w:r>
              <w:rPr>
                <w:spacing w:val="-5"/>
                <w:sz w:val="20"/>
              </w:rPr>
              <w:t>36</w:t>
            </w:r>
          </w:p>
        </w:tc>
        <w:tc>
          <w:tcPr>
            <w:tcW w:w="772" w:type="dxa"/>
          </w:tcPr>
          <w:p>
            <w:pPr>
              <w:pStyle w:val="TableParagraph"/>
              <w:spacing w:line="215" w:lineRule="exact"/>
              <w:ind w:left="28"/>
              <w:jc w:val="center"/>
              <w:rPr>
                <w:sz w:val="20"/>
              </w:rPr>
            </w:pPr>
            <w:r>
              <w:rPr>
                <w:spacing w:val="-4"/>
                <w:sz w:val="20"/>
              </w:rPr>
              <w:t>15.3</w:t>
            </w:r>
          </w:p>
        </w:tc>
        <w:tc>
          <w:tcPr>
            <w:tcW w:w="693" w:type="dxa"/>
          </w:tcPr>
          <w:p>
            <w:pPr>
              <w:pStyle w:val="TableParagraph"/>
              <w:spacing w:line="215" w:lineRule="exact"/>
              <w:ind w:left="22" w:right="26"/>
              <w:jc w:val="center"/>
              <w:rPr>
                <w:sz w:val="20"/>
              </w:rPr>
            </w:pPr>
            <w:r>
              <w:rPr>
                <w:spacing w:val="-5"/>
                <w:sz w:val="20"/>
              </w:rPr>
              <w:t>235</w:t>
            </w:r>
          </w:p>
        </w:tc>
        <w:tc>
          <w:tcPr>
            <w:tcW w:w="740" w:type="dxa"/>
            <w:tcBorders>
              <w:right w:val="single" w:sz="4" w:space="0" w:color="000000"/>
            </w:tcBorders>
          </w:tcPr>
          <w:p>
            <w:pPr>
              <w:pStyle w:val="TableParagraph"/>
              <w:spacing w:line="215" w:lineRule="exact"/>
              <w:ind w:left="15"/>
              <w:jc w:val="center"/>
              <w:rPr>
                <w:sz w:val="20"/>
              </w:rPr>
            </w:pPr>
            <w:r>
              <w:rPr>
                <w:spacing w:val="-4"/>
                <w:sz w:val="20"/>
              </w:rPr>
              <w:t>50.8</w:t>
            </w:r>
          </w:p>
        </w:tc>
      </w:tr>
      <w:tr>
        <w:trPr>
          <w:trHeight w:val="235" w:hRule="atLeast"/>
        </w:trPr>
        <w:tc>
          <w:tcPr>
            <w:tcW w:w="3707" w:type="dxa"/>
            <w:tcBorders>
              <w:left w:val="single" w:sz="4" w:space="0" w:color="000000"/>
            </w:tcBorders>
          </w:tcPr>
          <w:p>
            <w:pPr>
              <w:pStyle w:val="TableParagraph"/>
              <w:rPr>
                <w:rFonts w:ascii="Times New Roman"/>
                <w:sz w:val="16"/>
              </w:rPr>
            </w:pPr>
          </w:p>
        </w:tc>
        <w:tc>
          <w:tcPr>
            <w:tcW w:w="2417" w:type="dxa"/>
          </w:tcPr>
          <w:p>
            <w:pPr>
              <w:pStyle w:val="TableParagraph"/>
              <w:spacing w:line="213" w:lineRule="exact" w:before="2"/>
              <w:ind w:left="190"/>
              <w:rPr>
                <w:sz w:val="20"/>
              </w:rPr>
            </w:pPr>
            <w:r>
              <w:rPr>
                <w:sz w:val="20"/>
              </w:rPr>
              <w:t>Service</w:t>
            </w:r>
            <w:r>
              <w:rPr>
                <w:spacing w:val="-9"/>
                <w:sz w:val="20"/>
              </w:rPr>
              <w:t> </w:t>
            </w:r>
            <w:r>
              <w:rPr>
                <w:spacing w:val="-2"/>
                <w:sz w:val="20"/>
              </w:rPr>
              <w:t>Staff</w:t>
            </w:r>
          </w:p>
        </w:tc>
        <w:tc>
          <w:tcPr>
            <w:tcW w:w="675" w:type="dxa"/>
          </w:tcPr>
          <w:p>
            <w:pPr>
              <w:pStyle w:val="TableParagraph"/>
              <w:spacing w:line="213" w:lineRule="exact" w:before="2"/>
              <w:ind w:left="53" w:right="5"/>
              <w:jc w:val="center"/>
              <w:rPr>
                <w:sz w:val="20"/>
              </w:rPr>
            </w:pPr>
            <w:r>
              <w:rPr>
                <w:spacing w:val="-5"/>
                <w:sz w:val="20"/>
              </w:rPr>
              <w:t>10</w:t>
            </w:r>
          </w:p>
        </w:tc>
        <w:tc>
          <w:tcPr>
            <w:tcW w:w="758" w:type="dxa"/>
          </w:tcPr>
          <w:p>
            <w:pPr>
              <w:pStyle w:val="TableParagraph"/>
              <w:spacing w:line="213" w:lineRule="exact" w:before="2"/>
              <w:ind w:left="60" w:right="5"/>
              <w:jc w:val="center"/>
              <w:rPr>
                <w:sz w:val="20"/>
              </w:rPr>
            </w:pPr>
            <w:r>
              <w:rPr>
                <w:spacing w:val="-5"/>
                <w:sz w:val="20"/>
              </w:rPr>
              <w:t>4.9</w:t>
            </w:r>
          </w:p>
        </w:tc>
        <w:tc>
          <w:tcPr>
            <w:tcW w:w="547" w:type="dxa"/>
          </w:tcPr>
          <w:p>
            <w:pPr>
              <w:pStyle w:val="TableParagraph"/>
              <w:spacing w:line="213" w:lineRule="exact" w:before="2"/>
              <w:ind w:left="87" w:right="75"/>
              <w:jc w:val="center"/>
              <w:rPr>
                <w:sz w:val="20"/>
              </w:rPr>
            </w:pPr>
            <w:r>
              <w:rPr>
                <w:spacing w:val="-10"/>
                <w:sz w:val="20"/>
              </w:rPr>
              <w:t>3</w:t>
            </w:r>
          </w:p>
        </w:tc>
        <w:tc>
          <w:tcPr>
            <w:tcW w:w="732" w:type="dxa"/>
          </w:tcPr>
          <w:p>
            <w:pPr>
              <w:pStyle w:val="TableParagraph"/>
              <w:spacing w:line="213" w:lineRule="exact" w:before="2"/>
              <w:ind w:left="58" w:right="59"/>
              <w:jc w:val="center"/>
              <w:rPr>
                <w:sz w:val="20"/>
              </w:rPr>
            </w:pPr>
            <w:r>
              <w:rPr>
                <w:spacing w:val="-5"/>
                <w:sz w:val="20"/>
              </w:rPr>
              <w:t>1.5</w:t>
            </w:r>
          </w:p>
        </w:tc>
        <w:tc>
          <w:tcPr>
            <w:tcW w:w="742" w:type="dxa"/>
          </w:tcPr>
          <w:p>
            <w:pPr>
              <w:pStyle w:val="TableParagraph"/>
              <w:spacing w:line="213" w:lineRule="exact" w:before="2"/>
              <w:ind w:left="7" w:right="42"/>
              <w:jc w:val="center"/>
              <w:rPr>
                <w:sz w:val="20"/>
              </w:rPr>
            </w:pPr>
            <w:r>
              <w:rPr>
                <w:spacing w:val="-5"/>
                <w:sz w:val="20"/>
              </w:rPr>
              <w:t>69</w:t>
            </w:r>
          </w:p>
        </w:tc>
        <w:tc>
          <w:tcPr>
            <w:tcW w:w="848" w:type="dxa"/>
          </w:tcPr>
          <w:p>
            <w:pPr>
              <w:pStyle w:val="TableParagraph"/>
              <w:spacing w:line="213" w:lineRule="exact" w:before="2"/>
              <w:ind w:left="32" w:right="14"/>
              <w:jc w:val="center"/>
              <w:rPr>
                <w:sz w:val="20"/>
              </w:rPr>
            </w:pPr>
            <w:r>
              <w:rPr>
                <w:spacing w:val="-4"/>
                <w:sz w:val="20"/>
              </w:rPr>
              <w:t>34.0</w:t>
            </w:r>
          </w:p>
        </w:tc>
        <w:tc>
          <w:tcPr>
            <w:tcW w:w="740" w:type="dxa"/>
          </w:tcPr>
          <w:p>
            <w:pPr>
              <w:pStyle w:val="TableParagraph"/>
              <w:spacing w:line="213" w:lineRule="exact" w:before="2"/>
              <w:ind w:left="64" w:right="6"/>
              <w:jc w:val="center"/>
              <w:rPr>
                <w:sz w:val="20"/>
              </w:rPr>
            </w:pPr>
            <w:r>
              <w:rPr>
                <w:spacing w:val="-5"/>
                <w:sz w:val="20"/>
              </w:rPr>
              <w:t>89</w:t>
            </w:r>
          </w:p>
        </w:tc>
        <w:tc>
          <w:tcPr>
            <w:tcW w:w="774" w:type="dxa"/>
          </w:tcPr>
          <w:p>
            <w:pPr>
              <w:pStyle w:val="TableParagraph"/>
              <w:spacing w:line="213" w:lineRule="exact" w:before="2"/>
              <w:ind w:left="6" w:right="15"/>
              <w:jc w:val="center"/>
              <w:rPr>
                <w:sz w:val="20"/>
              </w:rPr>
            </w:pPr>
            <w:r>
              <w:rPr>
                <w:spacing w:val="-4"/>
                <w:sz w:val="20"/>
              </w:rPr>
              <w:t>43.8</w:t>
            </w:r>
          </w:p>
        </w:tc>
        <w:tc>
          <w:tcPr>
            <w:tcW w:w="628" w:type="dxa"/>
          </w:tcPr>
          <w:p>
            <w:pPr>
              <w:pStyle w:val="TableParagraph"/>
              <w:spacing w:line="213" w:lineRule="exact" w:before="2"/>
              <w:ind w:left="21" w:right="19"/>
              <w:jc w:val="center"/>
              <w:rPr>
                <w:sz w:val="20"/>
              </w:rPr>
            </w:pPr>
            <w:r>
              <w:rPr>
                <w:spacing w:val="-5"/>
                <w:sz w:val="20"/>
              </w:rPr>
              <w:t>32</w:t>
            </w:r>
          </w:p>
        </w:tc>
        <w:tc>
          <w:tcPr>
            <w:tcW w:w="772" w:type="dxa"/>
          </w:tcPr>
          <w:p>
            <w:pPr>
              <w:pStyle w:val="TableParagraph"/>
              <w:spacing w:line="213" w:lineRule="exact" w:before="2"/>
              <w:ind w:left="28"/>
              <w:jc w:val="center"/>
              <w:rPr>
                <w:sz w:val="20"/>
              </w:rPr>
            </w:pPr>
            <w:r>
              <w:rPr>
                <w:spacing w:val="-4"/>
                <w:sz w:val="20"/>
              </w:rPr>
              <w:t>15.8</w:t>
            </w:r>
          </w:p>
        </w:tc>
        <w:tc>
          <w:tcPr>
            <w:tcW w:w="693" w:type="dxa"/>
          </w:tcPr>
          <w:p>
            <w:pPr>
              <w:pStyle w:val="TableParagraph"/>
              <w:spacing w:line="213" w:lineRule="exact" w:before="2"/>
              <w:ind w:left="22" w:right="26"/>
              <w:jc w:val="center"/>
              <w:rPr>
                <w:sz w:val="20"/>
              </w:rPr>
            </w:pPr>
            <w:r>
              <w:rPr>
                <w:spacing w:val="-5"/>
                <w:sz w:val="20"/>
              </w:rPr>
              <w:t>203</w:t>
            </w:r>
          </w:p>
        </w:tc>
        <w:tc>
          <w:tcPr>
            <w:tcW w:w="740" w:type="dxa"/>
            <w:tcBorders>
              <w:right w:val="single" w:sz="4" w:space="0" w:color="000000"/>
            </w:tcBorders>
          </w:tcPr>
          <w:p>
            <w:pPr>
              <w:pStyle w:val="TableParagraph"/>
              <w:spacing w:line="213" w:lineRule="exact" w:before="2"/>
              <w:ind w:left="15"/>
              <w:jc w:val="center"/>
              <w:rPr>
                <w:sz w:val="20"/>
              </w:rPr>
            </w:pPr>
            <w:r>
              <w:rPr>
                <w:spacing w:val="-4"/>
                <w:sz w:val="20"/>
              </w:rPr>
              <w:t>43.8</w:t>
            </w:r>
          </w:p>
        </w:tc>
      </w:tr>
      <w:tr>
        <w:trPr>
          <w:trHeight w:val="230" w:hRule="atLeast"/>
        </w:trPr>
        <w:tc>
          <w:tcPr>
            <w:tcW w:w="3707" w:type="dxa"/>
            <w:tcBorders>
              <w:left w:val="single" w:sz="4" w:space="0" w:color="000000"/>
            </w:tcBorders>
          </w:tcPr>
          <w:p>
            <w:pPr>
              <w:pStyle w:val="TableParagraph"/>
              <w:rPr>
                <w:rFonts w:ascii="Times New Roman"/>
                <w:sz w:val="16"/>
              </w:rPr>
            </w:pPr>
          </w:p>
        </w:tc>
        <w:tc>
          <w:tcPr>
            <w:tcW w:w="2417" w:type="dxa"/>
          </w:tcPr>
          <w:p>
            <w:pPr>
              <w:pStyle w:val="TableParagraph"/>
              <w:spacing w:line="210" w:lineRule="exact"/>
              <w:ind w:left="190"/>
              <w:rPr>
                <w:sz w:val="20"/>
              </w:rPr>
            </w:pPr>
            <w:r>
              <w:rPr>
                <w:sz w:val="20"/>
              </w:rPr>
              <w:t>Top</w:t>
            </w:r>
            <w:r>
              <w:rPr>
                <w:spacing w:val="-1"/>
                <w:sz w:val="20"/>
              </w:rPr>
              <w:t> </w:t>
            </w:r>
            <w:r>
              <w:rPr>
                <w:spacing w:val="-2"/>
                <w:sz w:val="20"/>
              </w:rPr>
              <w:t>Management</w:t>
            </w:r>
          </w:p>
        </w:tc>
        <w:tc>
          <w:tcPr>
            <w:tcW w:w="675" w:type="dxa"/>
          </w:tcPr>
          <w:p>
            <w:pPr>
              <w:pStyle w:val="TableParagraph"/>
              <w:spacing w:line="210" w:lineRule="exact"/>
              <w:ind w:left="53"/>
              <w:jc w:val="center"/>
              <w:rPr>
                <w:sz w:val="20"/>
              </w:rPr>
            </w:pPr>
            <w:r>
              <w:rPr>
                <w:spacing w:val="-10"/>
                <w:sz w:val="20"/>
              </w:rPr>
              <w:t>1</w:t>
            </w:r>
          </w:p>
        </w:tc>
        <w:tc>
          <w:tcPr>
            <w:tcW w:w="758" w:type="dxa"/>
          </w:tcPr>
          <w:p>
            <w:pPr>
              <w:pStyle w:val="TableParagraph"/>
              <w:spacing w:line="210" w:lineRule="exact"/>
              <w:ind w:left="60" w:right="5"/>
              <w:jc w:val="center"/>
              <w:rPr>
                <w:sz w:val="20"/>
              </w:rPr>
            </w:pPr>
            <w:r>
              <w:rPr>
                <w:spacing w:val="-5"/>
                <w:sz w:val="20"/>
              </w:rPr>
              <w:t>4.3</w:t>
            </w:r>
          </w:p>
        </w:tc>
        <w:tc>
          <w:tcPr>
            <w:tcW w:w="547" w:type="dxa"/>
          </w:tcPr>
          <w:p>
            <w:pPr>
              <w:pStyle w:val="TableParagraph"/>
              <w:spacing w:line="210" w:lineRule="exact"/>
              <w:ind w:left="87" w:right="75"/>
              <w:jc w:val="center"/>
              <w:rPr>
                <w:sz w:val="20"/>
              </w:rPr>
            </w:pPr>
            <w:r>
              <w:rPr>
                <w:spacing w:val="-10"/>
                <w:sz w:val="20"/>
              </w:rPr>
              <w:t>2</w:t>
            </w:r>
          </w:p>
        </w:tc>
        <w:tc>
          <w:tcPr>
            <w:tcW w:w="732" w:type="dxa"/>
          </w:tcPr>
          <w:p>
            <w:pPr>
              <w:pStyle w:val="TableParagraph"/>
              <w:spacing w:line="210" w:lineRule="exact"/>
              <w:ind w:left="58" w:right="59"/>
              <w:jc w:val="center"/>
              <w:rPr>
                <w:sz w:val="20"/>
              </w:rPr>
            </w:pPr>
            <w:r>
              <w:rPr>
                <w:spacing w:val="-5"/>
                <w:sz w:val="20"/>
              </w:rPr>
              <w:t>8.7</w:t>
            </w:r>
          </w:p>
        </w:tc>
        <w:tc>
          <w:tcPr>
            <w:tcW w:w="742" w:type="dxa"/>
          </w:tcPr>
          <w:p>
            <w:pPr>
              <w:pStyle w:val="TableParagraph"/>
              <w:spacing w:line="210" w:lineRule="exact"/>
              <w:ind w:left="12" w:right="42"/>
              <w:jc w:val="center"/>
              <w:rPr>
                <w:sz w:val="20"/>
              </w:rPr>
            </w:pPr>
            <w:r>
              <w:rPr>
                <w:spacing w:val="-10"/>
                <w:sz w:val="20"/>
              </w:rPr>
              <w:t>5</w:t>
            </w:r>
          </w:p>
        </w:tc>
        <w:tc>
          <w:tcPr>
            <w:tcW w:w="848" w:type="dxa"/>
          </w:tcPr>
          <w:p>
            <w:pPr>
              <w:pStyle w:val="TableParagraph"/>
              <w:spacing w:line="210" w:lineRule="exact"/>
              <w:ind w:left="32" w:right="14"/>
              <w:jc w:val="center"/>
              <w:rPr>
                <w:sz w:val="20"/>
              </w:rPr>
            </w:pPr>
            <w:r>
              <w:rPr>
                <w:spacing w:val="-4"/>
                <w:sz w:val="20"/>
              </w:rPr>
              <w:t>21.7</w:t>
            </w:r>
          </w:p>
        </w:tc>
        <w:tc>
          <w:tcPr>
            <w:tcW w:w="740" w:type="dxa"/>
          </w:tcPr>
          <w:p>
            <w:pPr>
              <w:pStyle w:val="TableParagraph"/>
              <w:spacing w:line="210" w:lineRule="exact"/>
              <w:ind w:left="64" w:right="6"/>
              <w:jc w:val="center"/>
              <w:rPr>
                <w:sz w:val="20"/>
              </w:rPr>
            </w:pPr>
            <w:r>
              <w:rPr>
                <w:spacing w:val="-5"/>
                <w:sz w:val="20"/>
              </w:rPr>
              <w:t>12</w:t>
            </w:r>
          </w:p>
        </w:tc>
        <w:tc>
          <w:tcPr>
            <w:tcW w:w="774" w:type="dxa"/>
          </w:tcPr>
          <w:p>
            <w:pPr>
              <w:pStyle w:val="TableParagraph"/>
              <w:spacing w:line="210" w:lineRule="exact"/>
              <w:ind w:left="6" w:right="15"/>
              <w:jc w:val="center"/>
              <w:rPr>
                <w:sz w:val="20"/>
              </w:rPr>
            </w:pPr>
            <w:r>
              <w:rPr>
                <w:spacing w:val="-4"/>
                <w:sz w:val="20"/>
              </w:rPr>
              <w:t>52.2</w:t>
            </w:r>
          </w:p>
        </w:tc>
        <w:tc>
          <w:tcPr>
            <w:tcW w:w="628" w:type="dxa"/>
          </w:tcPr>
          <w:p>
            <w:pPr>
              <w:pStyle w:val="TableParagraph"/>
              <w:spacing w:line="210" w:lineRule="exact"/>
              <w:ind w:left="26" w:right="19"/>
              <w:jc w:val="center"/>
              <w:rPr>
                <w:sz w:val="20"/>
              </w:rPr>
            </w:pPr>
            <w:r>
              <w:rPr>
                <w:spacing w:val="-10"/>
                <w:sz w:val="20"/>
              </w:rPr>
              <w:t>3</w:t>
            </w:r>
          </w:p>
        </w:tc>
        <w:tc>
          <w:tcPr>
            <w:tcW w:w="772" w:type="dxa"/>
          </w:tcPr>
          <w:p>
            <w:pPr>
              <w:pStyle w:val="TableParagraph"/>
              <w:spacing w:line="210" w:lineRule="exact"/>
              <w:ind w:left="28"/>
              <w:jc w:val="center"/>
              <w:rPr>
                <w:sz w:val="20"/>
              </w:rPr>
            </w:pPr>
            <w:r>
              <w:rPr>
                <w:spacing w:val="-4"/>
                <w:sz w:val="20"/>
              </w:rPr>
              <w:t>13.0</w:t>
            </w:r>
          </w:p>
        </w:tc>
        <w:tc>
          <w:tcPr>
            <w:tcW w:w="693" w:type="dxa"/>
          </w:tcPr>
          <w:p>
            <w:pPr>
              <w:pStyle w:val="TableParagraph"/>
              <w:spacing w:line="210" w:lineRule="exact"/>
              <w:ind w:left="25" w:right="26"/>
              <w:jc w:val="center"/>
              <w:rPr>
                <w:sz w:val="20"/>
              </w:rPr>
            </w:pPr>
            <w:r>
              <w:rPr>
                <w:spacing w:val="-5"/>
                <w:sz w:val="20"/>
              </w:rPr>
              <w:t>23</w:t>
            </w:r>
          </w:p>
        </w:tc>
        <w:tc>
          <w:tcPr>
            <w:tcW w:w="740" w:type="dxa"/>
            <w:tcBorders>
              <w:right w:val="single" w:sz="4" w:space="0" w:color="000000"/>
            </w:tcBorders>
          </w:tcPr>
          <w:p>
            <w:pPr>
              <w:pStyle w:val="TableParagraph"/>
              <w:spacing w:line="210" w:lineRule="exact"/>
              <w:ind w:left="15" w:right="5"/>
              <w:jc w:val="center"/>
              <w:rPr>
                <w:sz w:val="20"/>
              </w:rPr>
            </w:pPr>
            <w:r>
              <w:rPr>
                <w:spacing w:val="-5"/>
                <w:sz w:val="20"/>
              </w:rPr>
              <w:t>5.0</w:t>
            </w:r>
          </w:p>
        </w:tc>
      </w:tr>
      <w:tr>
        <w:trPr>
          <w:trHeight w:val="230" w:hRule="atLeast"/>
        </w:trPr>
        <w:tc>
          <w:tcPr>
            <w:tcW w:w="3707" w:type="dxa"/>
            <w:tcBorders>
              <w:left w:val="single" w:sz="4" w:space="0" w:color="000000"/>
            </w:tcBorders>
          </w:tcPr>
          <w:p>
            <w:pPr>
              <w:pStyle w:val="TableParagraph"/>
              <w:tabs>
                <w:tab w:pos="830" w:val="left" w:leader="none"/>
              </w:tabs>
              <w:spacing w:line="210" w:lineRule="exact"/>
              <w:ind w:left="278"/>
              <w:rPr>
                <w:sz w:val="20"/>
              </w:rPr>
            </w:pPr>
            <w:r>
              <w:rPr>
                <w:spacing w:val="-5"/>
                <w:sz w:val="20"/>
              </w:rPr>
              <w:t>5.</w:t>
            </w:r>
            <w:r>
              <w:rPr>
                <w:sz w:val="20"/>
              </w:rPr>
              <w:tab/>
              <w:t>Security</w:t>
            </w:r>
            <w:r>
              <w:rPr>
                <w:spacing w:val="-6"/>
                <w:sz w:val="20"/>
              </w:rPr>
              <w:t> </w:t>
            </w:r>
            <w:r>
              <w:rPr>
                <w:spacing w:val="-2"/>
                <w:sz w:val="20"/>
              </w:rPr>
              <w:t>Matters</w:t>
            </w:r>
          </w:p>
        </w:tc>
        <w:tc>
          <w:tcPr>
            <w:tcW w:w="2417" w:type="dxa"/>
          </w:tcPr>
          <w:p>
            <w:pPr>
              <w:pStyle w:val="TableParagraph"/>
              <w:spacing w:line="210" w:lineRule="exact"/>
              <w:ind w:left="190"/>
              <w:rPr>
                <w:sz w:val="20"/>
              </w:rPr>
            </w:pPr>
            <w:r>
              <w:rPr>
                <w:sz w:val="20"/>
              </w:rPr>
              <w:t>No.</w:t>
            </w:r>
            <w:r>
              <w:rPr>
                <w:spacing w:val="-5"/>
                <w:sz w:val="20"/>
              </w:rPr>
              <w:t> </w:t>
            </w:r>
            <w:r>
              <w:rPr>
                <w:sz w:val="20"/>
              </w:rPr>
              <w:t>of</w:t>
            </w:r>
            <w:r>
              <w:rPr>
                <w:spacing w:val="-2"/>
                <w:sz w:val="20"/>
              </w:rPr>
              <w:t> missing</w:t>
            </w:r>
          </w:p>
        </w:tc>
        <w:tc>
          <w:tcPr>
            <w:tcW w:w="675" w:type="dxa"/>
          </w:tcPr>
          <w:p>
            <w:pPr>
              <w:pStyle w:val="TableParagraph"/>
              <w:rPr>
                <w:rFonts w:ascii="Times New Roman"/>
                <w:sz w:val="16"/>
              </w:rPr>
            </w:pPr>
          </w:p>
        </w:tc>
        <w:tc>
          <w:tcPr>
            <w:tcW w:w="758" w:type="dxa"/>
          </w:tcPr>
          <w:p>
            <w:pPr>
              <w:pStyle w:val="TableParagraph"/>
              <w:rPr>
                <w:rFonts w:ascii="Times New Roman"/>
                <w:sz w:val="16"/>
              </w:rPr>
            </w:pPr>
          </w:p>
        </w:tc>
        <w:tc>
          <w:tcPr>
            <w:tcW w:w="547" w:type="dxa"/>
          </w:tcPr>
          <w:p>
            <w:pPr>
              <w:pStyle w:val="TableParagraph"/>
              <w:rPr>
                <w:rFonts w:ascii="Times New Roman"/>
                <w:sz w:val="16"/>
              </w:rPr>
            </w:pPr>
          </w:p>
        </w:tc>
        <w:tc>
          <w:tcPr>
            <w:tcW w:w="732" w:type="dxa"/>
          </w:tcPr>
          <w:p>
            <w:pPr>
              <w:pStyle w:val="TableParagraph"/>
              <w:rPr>
                <w:rFonts w:ascii="Times New Roman"/>
                <w:sz w:val="16"/>
              </w:rPr>
            </w:pPr>
          </w:p>
        </w:tc>
        <w:tc>
          <w:tcPr>
            <w:tcW w:w="742" w:type="dxa"/>
          </w:tcPr>
          <w:p>
            <w:pPr>
              <w:pStyle w:val="TableParagraph"/>
              <w:rPr>
                <w:rFonts w:ascii="Times New Roman"/>
                <w:sz w:val="16"/>
              </w:rPr>
            </w:pPr>
          </w:p>
        </w:tc>
        <w:tc>
          <w:tcPr>
            <w:tcW w:w="848" w:type="dxa"/>
          </w:tcPr>
          <w:p>
            <w:pPr>
              <w:pStyle w:val="TableParagraph"/>
              <w:rPr>
                <w:rFonts w:ascii="Times New Roman"/>
                <w:sz w:val="16"/>
              </w:rPr>
            </w:pPr>
          </w:p>
        </w:tc>
        <w:tc>
          <w:tcPr>
            <w:tcW w:w="740" w:type="dxa"/>
          </w:tcPr>
          <w:p>
            <w:pPr>
              <w:pStyle w:val="TableParagraph"/>
              <w:rPr>
                <w:rFonts w:ascii="Times New Roman"/>
                <w:sz w:val="16"/>
              </w:rPr>
            </w:pPr>
          </w:p>
        </w:tc>
        <w:tc>
          <w:tcPr>
            <w:tcW w:w="774" w:type="dxa"/>
          </w:tcPr>
          <w:p>
            <w:pPr>
              <w:pStyle w:val="TableParagraph"/>
              <w:rPr>
                <w:rFonts w:ascii="Times New Roman"/>
                <w:sz w:val="16"/>
              </w:rPr>
            </w:pPr>
          </w:p>
        </w:tc>
        <w:tc>
          <w:tcPr>
            <w:tcW w:w="628" w:type="dxa"/>
          </w:tcPr>
          <w:p>
            <w:pPr>
              <w:pStyle w:val="TableParagraph"/>
              <w:rPr>
                <w:rFonts w:ascii="Times New Roman"/>
                <w:sz w:val="16"/>
              </w:rPr>
            </w:pPr>
          </w:p>
        </w:tc>
        <w:tc>
          <w:tcPr>
            <w:tcW w:w="772" w:type="dxa"/>
          </w:tcPr>
          <w:p>
            <w:pPr>
              <w:pStyle w:val="TableParagraph"/>
              <w:rPr>
                <w:rFonts w:ascii="Times New Roman"/>
                <w:sz w:val="16"/>
              </w:rPr>
            </w:pPr>
          </w:p>
        </w:tc>
        <w:tc>
          <w:tcPr>
            <w:tcW w:w="693" w:type="dxa"/>
          </w:tcPr>
          <w:p>
            <w:pPr>
              <w:pStyle w:val="TableParagraph"/>
              <w:rPr>
                <w:rFonts w:ascii="Times New Roman"/>
                <w:sz w:val="16"/>
              </w:rPr>
            </w:pPr>
          </w:p>
        </w:tc>
        <w:tc>
          <w:tcPr>
            <w:tcW w:w="740" w:type="dxa"/>
            <w:tcBorders>
              <w:right w:val="single" w:sz="4" w:space="0" w:color="000000"/>
            </w:tcBorders>
          </w:tcPr>
          <w:p>
            <w:pPr>
              <w:pStyle w:val="TableParagraph"/>
              <w:rPr>
                <w:rFonts w:ascii="Times New Roman"/>
                <w:sz w:val="16"/>
              </w:rPr>
            </w:pPr>
          </w:p>
        </w:tc>
      </w:tr>
      <w:tr>
        <w:trPr>
          <w:trHeight w:val="230" w:hRule="atLeast"/>
        </w:trPr>
        <w:tc>
          <w:tcPr>
            <w:tcW w:w="3707" w:type="dxa"/>
            <w:tcBorders>
              <w:left w:val="single" w:sz="4" w:space="0" w:color="000000"/>
            </w:tcBorders>
          </w:tcPr>
          <w:p>
            <w:pPr>
              <w:pStyle w:val="TableParagraph"/>
              <w:rPr>
                <w:rFonts w:ascii="Times New Roman"/>
                <w:sz w:val="16"/>
              </w:rPr>
            </w:pPr>
          </w:p>
        </w:tc>
        <w:tc>
          <w:tcPr>
            <w:tcW w:w="2417" w:type="dxa"/>
          </w:tcPr>
          <w:p>
            <w:pPr>
              <w:pStyle w:val="TableParagraph"/>
              <w:spacing w:line="210" w:lineRule="exact"/>
              <w:ind w:left="190"/>
              <w:rPr>
                <w:sz w:val="20"/>
              </w:rPr>
            </w:pPr>
            <w:r>
              <w:rPr>
                <w:spacing w:val="-2"/>
                <w:sz w:val="20"/>
              </w:rPr>
              <w:t>observations</w:t>
            </w:r>
          </w:p>
        </w:tc>
        <w:tc>
          <w:tcPr>
            <w:tcW w:w="675" w:type="dxa"/>
          </w:tcPr>
          <w:p>
            <w:pPr>
              <w:pStyle w:val="TableParagraph"/>
              <w:spacing w:line="210" w:lineRule="exact"/>
              <w:ind w:left="53" w:right="7"/>
              <w:jc w:val="center"/>
              <w:rPr>
                <w:sz w:val="20"/>
              </w:rPr>
            </w:pPr>
            <w:r>
              <w:rPr>
                <w:spacing w:val="-10"/>
                <w:sz w:val="20"/>
              </w:rPr>
              <w:t>-</w:t>
            </w:r>
          </w:p>
        </w:tc>
        <w:tc>
          <w:tcPr>
            <w:tcW w:w="758" w:type="dxa"/>
          </w:tcPr>
          <w:p>
            <w:pPr>
              <w:pStyle w:val="TableParagraph"/>
              <w:spacing w:line="210" w:lineRule="exact"/>
              <w:ind w:left="60" w:right="7"/>
              <w:jc w:val="center"/>
              <w:rPr>
                <w:sz w:val="20"/>
              </w:rPr>
            </w:pPr>
            <w:r>
              <w:rPr>
                <w:spacing w:val="-10"/>
                <w:sz w:val="20"/>
              </w:rPr>
              <w:t>-</w:t>
            </w:r>
          </w:p>
        </w:tc>
        <w:tc>
          <w:tcPr>
            <w:tcW w:w="547" w:type="dxa"/>
          </w:tcPr>
          <w:p>
            <w:pPr>
              <w:pStyle w:val="TableParagraph"/>
              <w:spacing w:line="210" w:lineRule="exact"/>
              <w:ind w:left="87" w:right="81"/>
              <w:jc w:val="center"/>
              <w:rPr>
                <w:sz w:val="20"/>
              </w:rPr>
            </w:pPr>
            <w:r>
              <w:rPr>
                <w:spacing w:val="-10"/>
                <w:sz w:val="20"/>
              </w:rPr>
              <w:t>-</w:t>
            </w:r>
          </w:p>
        </w:tc>
        <w:tc>
          <w:tcPr>
            <w:tcW w:w="732" w:type="dxa"/>
          </w:tcPr>
          <w:p>
            <w:pPr>
              <w:pStyle w:val="TableParagraph"/>
              <w:spacing w:line="210" w:lineRule="exact"/>
              <w:ind w:left="58" w:right="61"/>
              <w:jc w:val="center"/>
              <w:rPr>
                <w:sz w:val="20"/>
              </w:rPr>
            </w:pPr>
            <w:r>
              <w:rPr>
                <w:spacing w:val="-10"/>
                <w:sz w:val="20"/>
              </w:rPr>
              <w:t>-</w:t>
            </w:r>
          </w:p>
        </w:tc>
        <w:tc>
          <w:tcPr>
            <w:tcW w:w="742" w:type="dxa"/>
          </w:tcPr>
          <w:p>
            <w:pPr>
              <w:pStyle w:val="TableParagraph"/>
              <w:spacing w:line="210" w:lineRule="exact"/>
              <w:ind w:left="5" w:right="42"/>
              <w:jc w:val="center"/>
              <w:rPr>
                <w:sz w:val="20"/>
              </w:rPr>
            </w:pPr>
            <w:r>
              <w:rPr>
                <w:spacing w:val="-10"/>
                <w:sz w:val="20"/>
              </w:rPr>
              <w:t>-</w:t>
            </w:r>
          </w:p>
        </w:tc>
        <w:tc>
          <w:tcPr>
            <w:tcW w:w="848" w:type="dxa"/>
          </w:tcPr>
          <w:p>
            <w:pPr>
              <w:pStyle w:val="TableParagraph"/>
              <w:spacing w:line="210" w:lineRule="exact"/>
              <w:ind w:left="32" w:right="20"/>
              <w:jc w:val="center"/>
              <w:rPr>
                <w:sz w:val="20"/>
              </w:rPr>
            </w:pPr>
            <w:r>
              <w:rPr>
                <w:spacing w:val="-10"/>
                <w:sz w:val="20"/>
              </w:rPr>
              <w:t>-</w:t>
            </w:r>
          </w:p>
        </w:tc>
        <w:tc>
          <w:tcPr>
            <w:tcW w:w="740" w:type="dxa"/>
          </w:tcPr>
          <w:p>
            <w:pPr>
              <w:pStyle w:val="TableParagraph"/>
              <w:spacing w:line="210" w:lineRule="exact"/>
              <w:ind w:left="64" w:right="2"/>
              <w:jc w:val="center"/>
              <w:rPr>
                <w:sz w:val="20"/>
              </w:rPr>
            </w:pPr>
            <w:r>
              <w:rPr>
                <w:spacing w:val="-10"/>
                <w:sz w:val="20"/>
              </w:rPr>
              <w:t>1</w:t>
            </w:r>
          </w:p>
        </w:tc>
        <w:tc>
          <w:tcPr>
            <w:tcW w:w="774" w:type="dxa"/>
          </w:tcPr>
          <w:p>
            <w:pPr>
              <w:pStyle w:val="TableParagraph"/>
              <w:spacing w:line="210" w:lineRule="exact"/>
              <w:ind w:left="6" w:right="15"/>
              <w:jc w:val="center"/>
              <w:rPr>
                <w:sz w:val="20"/>
              </w:rPr>
            </w:pPr>
            <w:r>
              <w:rPr>
                <w:spacing w:val="-4"/>
                <w:sz w:val="20"/>
              </w:rPr>
              <w:t>50.0</w:t>
            </w:r>
          </w:p>
        </w:tc>
        <w:tc>
          <w:tcPr>
            <w:tcW w:w="628" w:type="dxa"/>
          </w:tcPr>
          <w:p>
            <w:pPr>
              <w:pStyle w:val="TableParagraph"/>
              <w:spacing w:line="210" w:lineRule="exact"/>
              <w:ind w:left="26" w:right="19"/>
              <w:jc w:val="center"/>
              <w:rPr>
                <w:sz w:val="20"/>
              </w:rPr>
            </w:pPr>
            <w:r>
              <w:rPr>
                <w:spacing w:val="-10"/>
                <w:sz w:val="20"/>
              </w:rPr>
              <w:t>1</w:t>
            </w:r>
          </w:p>
        </w:tc>
        <w:tc>
          <w:tcPr>
            <w:tcW w:w="772" w:type="dxa"/>
          </w:tcPr>
          <w:p>
            <w:pPr>
              <w:pStyle w:val="TableParagraph"/>
              <w:spacing w:line="210" w:lineRule="exact"/>
              <w:ind w:left="28"/>
              <w:jc w:val="center"/>
              <w:rPr>
                <w:sz w:val="20"/>
              </w:rPr>
            </w:pPr>
            <w:r>
              <w:rPr>
                <w:spacing w:val="-4"/>
                <w:sz w:val="20"/>
              </w:rPr>
              <w:t>50.0</w:t>
            </w:r>
          </w:p>
        </w:tc>
        <w:tc>
          <w:tcPr>
            <w:tcW w:w="693" w:type="dxa"/>
          </w:tcPr>
          <w:p>
            <w:pPr>
              <w:pStyle w:val="TableParagraph"/>
              <w:spacing w:line="210" w:lineRule="exact"/>
              <w:ind w:left="29" w:right="26"/>
              <w:jc w:val="center"/>
              <w:rPr>
                <w:sz w:val="20"/>
              </w:rPr>
            </w:pPr>
            <w:r>
              <w:rPr>
                <w:spacing w:val="-10"/>
                <w:sz w:val="20"/>
              </w:rPr>
              <w:t>2</w:t>
            </w:r>
          </w:p>
        </w:tc>
        <w:tc>
          <w:tcPr>
            <w:tcW w:w="740" w:type="dxa"/>
            <w:tcBorders>
              <w:right w:val="single" w:sz="4" w:space="0" w:color="000000"/>
            </w:tcBorders>
          </w:tcPr>
          <w:p>
            <w:pPr>
              <w:pStyle w:val="TableParagraph"/>
              <w:spacing w:line="210" w:lineRule="exact"/>
              <w:ind w:left="15" w:right="5"/>
              <w:jc w:val="center"/>
              <w:rPr>
                <w:sz w:val="20"/>
              </w:rPr>
            </w:pPr>
            <w:r>
              <w:rPr>
                <w:spacing w:val="-5"/>
                <w:sz w:val="20"/>
              </w:rPr>
              <w:t>0.4</w:t>
            </w:r>
          </w:p>
        </w:tc>
      </w:tr>
      <w:tr>
        <w:trPr>
          <w:trHeight w:val="230" w:hRule="atLeast"/>
        </w:trPr>
        <w:tc>
          <w:tcPr>
            <w:tcW w:w="3707" w:type="dxa"/>
            <w:tcBorders>
              <w:left w:val="single" w:sz="4" w:space="0" w:color="000000"/>
            </w:tcBorders>
          </w:tcPr>
          <w:p>
            <w:pPr>
              <w:pStyle w:val="TableParagraph"/>
              <w:rPr>
                <w:rFonts w:ascii="Times New Roman"/>
                <w:sz w:val="16"/>
              </w:rPr>
            </w:pPr>
          </w:p>
        </w:tc>
        <w:tc>
          <w:tcPr>
            <w:tcW w:w="2417" w:type="dxa"/>
          </w:tcPr>
          <w:p>
            <w:pPr>
              <w:pStyle w:val="TableParagraph"/>
              <w:spacing w:line="210" w:lineRule="exact"/>
              <w:ind w:left="190"/>
              <w:rPr>
                <w:sz w:val="20"/>
              </w:rPr>
            </w:pPr>
            <w:r>
              <w:rPr>
                <w:spacing w:val="-2"/>
                <w:sz w:val="20"/>
              </w:rPr>
              <w:t>Students</w:t>
            </w:r>
          </w:p>
        </w:tc>
        <w:tc>
          <w:tcPr>
            <w:tcW w:w="675" w:type="dxa"/>
          </w:tcPr>
          <w:p>
            <w:pPr>
              <w:pStyle w:val="TableParagraph"/>
              <w:spacing w:line="210" w:lineRule="exact"/>
              <w:ind w:left="53"/>
              <w:jc w:val="center"/>
              <w:rPr>
                <w:sz w:val="20"/>
              </w:rPr>
            </w:pPr>
            <w:r>
              <w:rPr>
                <w:spacing w:val="-10"/>
                <w:sz w:val="20"/>
              </w:rPr>
              <w:t>5</w:t>
            </w:r>
          </w:p>
        </w:tc>
        <w:tc>
          <w:tcPr>
            <w:tcW w:w="758" w:type="dxa"/>
          </w:tcPr>
          <w:p>
            <w:pPr>
              <w:pStyle w:val="TableParagraph"/>
              <w:spacing w:line="210" w:lineRule="exact"/>
              <w:ind w:left="60" w:right="5"/>
              <w:jc w:val="center"/>
              <w:rPr>
                <w:sz w:val="20"/>
              </w:rPr>
            </w:pPr>
            <w:r>
              <w:rPr>
                <w:spacing w:val="-5"/>
                <w:sz w:val="20"/>
              </w:rPr>
              <w:t>2.1</w:t>
            </w:r>
          </w:p>
        </w:tc>
        <w:tc>
          <w:tcPr>
            <w:tcW w:w="547" w:type="dxa"/>
          </w:tcPr>
          <w:p>
            <w:pPr>
              <w:pStyle w:val="TableParagraph"/>
              <w:spacing w:line="210" w:lineRule="exact"/>
              <w:ind w:left="87" w:right="75"/>
              <w:jc w:val="center"/>
              <w:rPr>
                <w:sz w:val="20"/>
              </w:rPr>
            </w:pPr>
            <w:r>
              <w:rPr>
                <w:spacing w:val="-10"/>
                <w:sz w:val="20"/>
              </w:rPr>
              <w:t>2</w:t>
            </w:r>
          </w:p>
        </w:tc>
        <w:tc>
          <w:tcPr>
            <w:tcW w:w="732" w:type="dxa"/>
          </w:tcPr>
          <w:p>
            <w:pPr>
              <w:pStyle w:val="TableParagraph"/>
              <w:spacing w:line="210" w:lineRule="exact"/>
              <w:ind w:left="58" w:right="59"/>
              <w:jc w:val="center"/>
              <w:rPr>
                <w:sz w:val="20"/>
              </w:rPr>
            </w:pPr>
            <w:r>
              <w:rPr>
                <w:spacing w:val="-5"/>
                <w:sz w:val="20"/>
              </w:rPr>
              <w:t>0.9</w:t>
            </w:r>
          </w:p>
        </w:tc>
        <w:tc>
          <w:tcPr>
            <w:tcW w:w="742" w:type="dxa"/>
          </w:tcPr>
          <w:p>
            <w:pPr>
              <w:pStyle w:val="TableParagraph"/>
              <w:spacing w:line="210" w:lineRule="exact"/>
              <w:ind w:left="7" w:right="42"/>
              <w:jc w:val="center"/>
              <w:rPr>
                <w:sz w:val="20"/>
              </w:rPr>
            </w:pPr>
            <w:r>
              <w:rPr>
                <w:spacing w:val="-5"/>
                <w:sz w:val="20"/>
              </w:rPr>
              <w:t>81</w:t>
            </w:r>
          </w:p>
        </w:tc>
        <w:tc>
          <w:tcPr>
            <w:tcW w:w="848" w:type="dxa"/>
          </w:tcPr>
          <w:p>
            <w:pPr>
              <w:pStyle w:val="TableParagraph"/>
              <w:spacing w:line="210" w:lineRule="exact"/>
              <w:ind w:left="32" w:right="14"/>
              <w:jc w:val="center"/>
              <w:rPr>
                <w:sz w:val="20"/>
              </w:rPr>
            </w:pPr>
            <w:r>
              <w:rPr>
                <w:spacing w:val="-4"/>
                <w:sz w:val="20"/>
              </w:rPr>
              <w:t>34.5</w:t>
            </w:r>
          </w:p>
        </w:tc>
        <w:tc>
          <w:tcPr>
            <w:tcW w:w="740" w:type="dxa"/>
          </w:tcPr>
          <w:p>
            <w:pPr>
              <w:pStyle w:val="TableParagraph"/>
              <w:spacing w:line="210" w:lineRule="exact"/>
              <w:ind w:left="64" w:right="11"/>
              <w:jc w:val="center"/>
              <w:rPr>
                <w:sz w:val="20"/>
              </w:rPr>
            </w:pPr>
            <w:r>
              <w:rPr>
                <w:spacing w:val="-5"/>
                <w:sz w:val="20"/>
              </w:rPr>
              <w:t>107</w:t>
            </w:r>
          </w:p>
        </w:tc>
        <w:tc>
          <w:tcPr>
            <w:tcW w:w="774" w:type="dxa"/>
          </w:tcPr>
          <w:p>
            <w:pPr>
              <w:pStyle w:val="TableParagraph"/>
              <w:spacing w:line="210" w:lineRule="exact"/>
              <w:ind w:left="6" w:right="15"/>
              <w:jc w:val="center"/>
              <w:rPr>
                <w:sz w:val="20"/>
              </w:rPr>
            </w:pPr>
            <w:r>
              <w:rPr>
                <w:spacing w:val="-4"/>
                <w:sz w:val="20"/>
              </w:rPr>
              <w:t>45.5</w:t>
            </w:r>
          </w:p>
        </w:tc>
        <w:tc>
          <w:tcPr>
            <w:tcW w:w="628" w:type="dxa"/>
          </w:tcPr>
          <w:p>
            <w:pPr>
              <w:pStyle w:val="TableParagraph"/>
              <w:spacing w:line="210" w:lineRule="exact"/>
              <w:ind w:left="21" w:right="19"/>
              <w:jc w:val="center"/>
              <w:rPr>
                <w:sz w:val="20"/>
              </w:rPr>
            </w:pPr>
            <w:r>
              <w:rPr>
                <w:spacing w:val="-5"/>
                <w:sz w:val="20"/>
              </w:rPr>
              <w:t>40</w:t>
            </w:r>
          </w:p>
        </w:tc>
        <w:tc>
          <w:tcPr>
            <w:tcW w:w="772" w:type="dxa"/>
          </w:tcPr>
          <w:p>
            <w:pPr>
              <w:pStyle w:val="TableParagraph"/>
              <w:spacing w:line="210" w:lineRule="exact"/>
              <w:ind w:left="28"/>
              <w:jc w:val="center"/>
              <w:rPr>
                <w:sz w:val="20"/>
              </w:rPr>
            </w:pPr>
            <w:r>
              <w:rPr>
                <w:spacing w:val="-4"/>
                <w:sz w:val="20"/>
              </w:rPr>
              <w:t>17.0</w:t>
            </w:r>
          </w:p>
        </w:tc>
        <w:tc>
          <w:tcPr>
            <w:tcW w:w="693" w:type="dxa"/>
          </w:tcPr>
          <w:p>
            <w:pPr>
              <w:pStyle w:val="TableParagraph"/>
              <w:spacing w:line="210" w:lineRule="exact"/>
              <w:ind w:left="22" w:right="26"/>
              <w:jc w:val="center"/>
              <w:rPr>
                <w:sz w:val="20"/>
              </w:rPr>
            </w:pPr>
            <w:r>
              <w:rPr>
                <w:spacing w:val="-5"/>
                <w:sz w:val="20"/>
              </w:rPr>
              <w:t>235</w:t>
            </w:r>
          </w:p>
        </w:tc>
        <w:tc>
          <w:tcPr>
            <w:tcW w:w="740" w:type="dxa"/>
            <w:tcBorders>
              <w:right w:val="single" w:sz="4" w:space="0" w:color="000000"/>
            </w:tcBorders>
          </w:tcPr>
          <w:p>
            <w:pPr>
              <w:pStyle w:val="TableParagraph"/>
              <w:spacing w:line="210" w:lineRule="exact"/>
              <w:ind w:left="15"/>
              <w:jc w:val="center"/>
              <w:rPr>
                <w:sz w:val="20"/>
              </w:rPr>
            </w:pPr>
            <w:r>
              <w:rPr>
                <w:spacing w:val="-4"/>
                <w:sz w:val="20"/>
              </w:rPr>
              <w:t>50.8</w:t>
            </w:r>
          </w:p>
        </w:tc>
      </w:tr>
      <w:tr>
        <w:trPr>
          <w:trHeight w:val="230" w:hRule="atLeast"/>
        </w:trPr>
        <w:tc>
          <w:tcPr>
            <w:tcW w:w="3707" w:type="dxa"/>
            <w:tcBorders>
              <w:left w:val="single" w:sz="4" w:space="0" w:color="000000"/>
            </w:tcBorders>
          </w:tcPr>
          <w:p>
            <w:pPr>
              <w:pStyle w:val="TableParagraph"/>
              <w:rPr>
                <w:rFonts w:ascii="Times New Roman"/>
                <w:sz w:val="16"/>
              </w:rPr>
            </w:pPr>
          </w:p>
        </w:tc>
        <w:tc>
          <w:tcPr>
            <w:tcW w:w="2417" w:type="dxa"/>
          </w:tcPr>
          <w:p>
            <w:pPr>
              <w:pStyle w:val="TableParagraph"/>
              <w:spacing w:line="210" w:lineRule="exact"/>
              <w:ind w:left="190"/>
              <w:rPr>
                <w:sz w:val="20"/>
              </w:rPr>
            </w:pPr>
            <w:r>
              <w:rPr>
                <w:sz w:val="20"/>
              </w:rPr>
              <w:t>Service</w:t>
            </w:r>
            <w:r>
              <w:rPr>
                <w:spacing w:val="-9"/>
                <w:sz w:val="20"/>
              </w:rPr>
              <w:t> </w:t>
            </w:r>
            <w:r>
              <w:rPr>
                <w:spacing w:val="-2"/>
                <w:sz w:val="20"/>
              </w:rPr>
              <w:t>Staff</w:t>
            </w:r>
          </w:p>
        </w:tc>
        <w:tc>
          <w:tcPr>
            <w:tcW w:w="675" w:type="dxa"/>
          </w:tcPr>
          <w:p>
            <w:pPr>
              <w:pStyle w:val="TableParagraph"/>
              <w:spacing w:line="210" w:lineRule="exact"/>
              <w:ind w:left="53"/>
              <w:jc w:val="center"/>
              <w:rPr>
                <w:sz w:val="20"/>
              </w:rPr>
            </w:pPr>
            <w:r>
              <w:rPr>
                <w:spacing w:val="-10"/>
                <w:sz w:val="20"/>
              </w:rPr>
              <w:t>9</w:t>
            </w:r>
          </w:p>
        </w:tc>
        <w:tc>
          <w:tcPr>
            <w:tcW w:w="758" w:type="dxa"/>
          </w:tcPr>
          <w:p>
            <w:pPr>
              <w:pStyle w:val="TableParagraph"/>
              <w:spacing w:line="210" w:lineRule="exact"/>
              <w:ind w:left="60" w:right="5"/>
              <w:jc w:val="center"/>
              <w:rPr>
                <w:sz w:val="20"/>
              </w:rPr>
            </w:pPr>
            <w:r>
              <w:rPr>
                <w:spacing w:val="-5"/>
                <w:sz w:val="20"/>
              </w:rPr>
              <w:t>4.4</w:t>
            </w:r>
          </w:p>
        </w:tc>
        <w:tc>
          <w:tcPr>
            <w:tcW w:w="547" w:type="dxa"/>
          </w:tcPr>
          <w:p>
            <w:pPr>
              <w:pStyle w:val="TableParagraph"/>
              <w:spacing w:line="210" w:lineRule="exact"/>
              <w:ind w:left="87" w:right="75"/>
              <w:jc w:val="center"/>
              <w:rPr>
                <w:sz w:val="20"/>
              </w:rPr>
            </w:pPr>
            <w:r>
              <w:rPr>
                <w:spacing w:val="-10"/>
                <w:sz w:val="20"/>
              </w:rPr>
              <w:t>6</w:t>
            </w:r>
          </w:p>
        </w:tc>
        <w:tc>
          <w:tcPr>
            <w:tcW w:w="732" w:type="dxa"/>
          </w:tcPr>
          <w:p>
            <w:pPr>
              <w:pStyle w:val="TableParagraph"/>
              <w:spacing w:line="210" w:lineRule="exact"/>
              <w:ind w:left="58" w:right="59"/>
              <w:jc w:val="center"/>
              <w:rPr>
                <w:sz w:val="20"/>
              </w:rPr>
            </w:pPr>
            <w:r>
              <w:rPr>
                <w:spacing w:val="-5"/>
                <w:sz w:val="20"/>
              </w:rPr>
              <w:t>3.0</w:t>
            </w:r>
          </w:p>
        </w:tc>
        <w:tc>
          <w:tcPr>
            <w:tcW w:w="742" w:type="dxa"/>
          </w:tcPr>
          <w:p>
            <w:pPr>
              <w:pStyle w:val="TableParagraph"/>
              <w:spacing w:line="210" w:lineRule="exact"/>
              <w:ind w:left="7" w:right="42"/>
              <w:jc w:val="center"/>
              <w:rPr>
                <w:sz w:val="20"/>
              </w:rPr>
            </w:pPr>
            <w:r>
              <w:rPr>
                <w:spacing w:val="-5"/>
                <w:sz w:val="20"/>
              </w:rPr>
              <w:t>68</w:t>
            </w:r>
          </w:p>
        </w:tc>
        <w:tc>
          <w:tcPr>
            <w:tcW w:w="848" w:type="dxa"/>
          </w:tcPr>
          <w:p>
            <w:pPr>
              <w:pStyle w:val="TableParagraph"/>
              <w:spacing w:line="210" w:lineRule="exact"/>
              <w:ind w:left="32" w:right="14"/>
              <w:jc w:val="center"/>
              <w:rPr>
                <w:sz w:val="20"/>
              </w:rPr>
            </w:pPr>
            <w:r>
              <w:rPr>
                <w:spacing w:val="-4"/>
                <w:sz w:val="20"/>
              </w:rPr>
              <w:t>33.5</w:t>
            </w:r>
          </w:p>
        </w:tc>
        <w:tc>
          <w:tcPr>
            <w:tcW w:w="740" w:type="dxa"/>
          </w:tcPr>
          <w:p>
            <w:pPr>
              <w:pStyle w:val="TableParagraph"/>
              <w:spacing w:line="210" w:lineRule="exact"/>
              <w:ind w:left="64" w:right="6"/>
              <w:jc w:val="center"/>
              <w:rPr>
                <w:sz w:val="20"/>
              </w:rPr>
            </w:pPr>
            <w:r>
              <w:rPr>
                <w:spacing w:val="-5"/>
                <w:sz w:val="20"/>
              </w:rPr>
              <w:t>91</w:t>
            </w:r>
          </w:p>
        </w:tc>
        <w:tc>
          <w:tcPr>
            <w:tcW w:w="774" w:type="dxa"/>
          </w:tcPr>
          <w:p>
            <w:pPr>
              <w:pStyle w:val="TableParagraph"/>
              <w:spacing w:line="210" w:lineRule="exact"/>
              <w:ind w:left="6" w:right="15"/>
              <w:jc w:val="center"/>
              <w:rPr>
                <w:sz w:val="20"/>
              </w:rPr>
            </w:pPr>
            <w:r>
              <w:rPr>
                <w:spacing w:val="-4"/>
                <w:sz w:val="20"/>
              </w:rPr>
              <w:t>44.8</w:t>
            </w:r>
          </w:p>
        </w:tc>
        <w:tc>
          <w:tcPr>
            <w:tcW w:w="628" w:type="dxa"/>
          </w:tcPr>
          <w:p>
            <w:pPr>
              <w:pStyle w:val="TableParagraph"/>
              <w:spacing w:line="210" w:lineRule="exact"/>
              <w:ind w:left="21" w:right="19"/>
              <w:jc w:val="center"/>
              <w:rPr>
                <w:sz w:val="20"/>
              </w:rPr>
            </w:pPr>
            <w:r>
              <w:rPr>
                <w:spacing w:val="-5"/>
                <w:sz w:val="20"/>
              </w:rPr>
              <w:t>29</w:t>
            </w:r>
          </w:p>
        </w:tc>
        <w:tc>
          <w:tcPr>
            <w:tcW w:w="772" w:type="dxa"/>
          </w:tcPr>
          <w:p>
            <w:pPr>
              <w:pStyle w:val="TableParagraph"/>
              <w:spacing w:line="210" w:lineRule="exact"/>
              <w:ind w:left="28"/>
              <w:jc w:val="center"/>
              <w:rPr>
                <w:sz w:val="20"/>
              </w:rPr>
            </w:pPr>
            <w:r>
              <w:rPr>
                <w:spacing w:val="-4"/>
                <w:sz w:val="20"/>
              </w:rPr>
              <w:t>14.3</w:t>
            </w:r>
          </w:p>
        </w:tc>
        <w:tc>
          <w:tcPr>
            <w:tcW w:w="693" w:type="dxa"/>
          </w:tcPr>
          <w:p>
            <w:pPr>
              <w:pStyle w:val="TableParagraph"/>
              <w:spacing w:line="210" w:lineRule="exact"/>
              <w:ind w:left="22" w:right="26"/>
              <w:jc w:val="center"/>
              <w:rPr>
                <w:sz w:val="20"/>
              </w:rPr>
            </w:pPr>
            <w:r>
              <w:rPr>
                <w:spacing w:val="-5"/>
                <w:sz w:val="20"/>
              </w:rPr>
              <w:t>203</w:t>
            </w:r>
          </w:p>
        </w:tc>
        <w:tc>
          <w:tcPr>
            <w:tcW w:w="740" w:type="dxa"/>
            <w:tcBorders>
              <w:right w:val="single" w:sz="4" w:space="0" w:color="000000"/>
            </w:tcBorders>
          </w:tcPr>
          <w:p>
            <w:pPr>
              <w:pStyle w:val="TableParagraph"/>
              <w:spacing w:line="210" w:lineRule="exact"/>
              <w:ind w:left="15"/>
              <w:jc w:val="center"/>
              <w:rPr>
                <w:sz w:val="20"/>
              </w:rPr>
            </w:pPr>
            <w:r>
              <w:rPr>
                <w:spacing w:val="-4"/>
                <w:sz w:val="20"/>
              </w:rPr>
              <w:t>43.8</w:t>
            </w:r>
          </w:p>
        </w:tc>
      </w:tr>
      <w:tr>
        <w:trPr>
          <w:trHeight w:val="273" w:hRule="atLeast"/>
        </w:trPr>
        <w:tc>
          <w:tcPr>
            <w:tcW w:w="3707" w:type="dxa"/>
            <w:tcBorders>
              <w:left w:val="single" w:sz="4" w:space="0" w:color="000000"/>
            </w:tcBorders>
          </w:tcPr>
          <w:p>
            <w:pPr>
              <w:pStyle w:val="TableParagraph"/>
              <w:rPr>
                <w:rFonts w:ascii="Times New Roman"/>
                <w:sz w:val="20"/>
              </w:rPr>
            </w:pPr>
          </w:p>
        </w:tc>
        <w:tc>
          <w:tcPr>
            <w:tcW w:w="2417" w:type="dxa"/>
          </w:tcPr>
          <w:p>
            <w:pPr>
              <w:pStyle w:val="TableParagraph"/>
              <w:spacing w:line="227" w:lineRule="exact"/>
              <w:ind w:left="190"/>
              <w:rPr>
                <w:sz w:val="20"/>
              </w:rPr>
            </w:pPr>
            <w:r>
              <w:rPr>
                <w:sz w:val="20"/>
              </w:rPr>
              <w:t>Top</w:t>
            </w:r>
            <w:r>
              <w:rPr>
                <w:spacing w:val="-1"/>
                <w:sz w:val="20"/>
              </w:rPr>
              <w:t> </w:t>
            </w:r>
            <w:r>
              <w:rPr>
                <w:spacing w:val="-2"/>
                <w:sz w:val="20"/>
              </w:rPr>
              <w:t>Management</w:t>
            </w:r>
          </w:p>
        </w:tc>
        <w:tc>
          <w:tcPr>
            <w:tcW w:w="675" w:type="dxa"/>
          </w:tcPr>
          <w:p>
            <w:pPr>
              <w:pStyle w:val="TableParagraph"/>
              <w:spacing w:line="227" w:lineRule="exact"/>
              <w:ind w:left="53" w:right="7"/>
              <w:jc w:val="center"/>
              <w:rPr>
                <w:sz w:val="20"/>
              </w:rPr>
            </w:pPr>
            <w:r>
              <w:rPr>
                <w:spacing w:val="-10"/>
                <w:sz w:val="20"/>
              </w:rPr>
              <w:t>-</w:t>
            </w:r>
          </w:p>
        </w:tc>
        <w:tc>
          <w:tcPr>
            <w:tcW w:w="758" w:type="dxa"/>
          </w:tcPr>
          <w:p>
            <w:pPr>
              <w:pStyle w:val="TableParagraph"/>
              <w:spacing w:line="227" w:lineRule="exact"/>
              <w:ind w:left="60" w:right="7"/>
              <w:jc w:val="center"/>
              <w:rPr>
                <w:sz w:val="20"/>
              </w:rPr>
            </w:pPr>
            <w:r>
              <w:rPr>
                <w:spacing w:val="-10"/>
                <w:sz w:val="20"/>
              </w:rPr>
              <w:t>-</w:t>
            </w:r>
          </w:p>
        </w:tc>
        <w:tc>
          <w:tcPr>
            <w:tcW w:w="547" w:type="dxa"/>
          </w:tcPr>
          <w:p>
            <w:pPr>
              <w:pStyle w:val="TableParagraph"/>
              <w:spacing w:line="227" w:lineRule="exact"/>
              <w:ind w:left="87" w:right="75"/>
              <w:jc w:val="center"/>
              <w:rPr>
                <w:sz w:val="20"/>
              </w:rPr>
            </w:pPr>
            <w:r>
              <w:rPr>
                <w:spacing w:val="-10"/>
                <w:sz w:val="20"/>
              </w:rPr>
              <w:t>1</w:t>
            </w:r>
          </w:p>
        </w:tc>
        <w:tc>
          <w:tcPr>
            <w:tcW w:w="732" w:type="dxa"/>
          </w:tcPr>
          <w:p>
            <w:pPr>
              <w:pStyle w:val="TableParagraph"/>
              <w:spacing w:line="227" w:lineRule="exact"/>
              <w:ind w:left="58" w:right="59"/>
              <w:jc w:val="center"/>
              <w:rPr>
                <w:sz w:val="20"/>
              </w:rPr>
            </w:pPr>
            <w:r>
              <w:rPr>
                <w:spacing w:val="-5"/>
                <w:sz w:val="20"/>
              </w:rPr>
              <w:t>4.3</w:t>
            </w:r>
          </w:p>
        </w:tc>
        <w:tc>
          <w:tcPr>
            <w:tcW w:w="742" w:type="dxa"/>
          </w:tcPr>
          <w:p>
            <w:pPr>
              <w:pStyle w:val="TableParagraph"/>
              <w:spacing w:line="227" w:lineRule="exact"/>
              <w:ind w:left="12" w:right="42"/>
              <w:jc w:val="center"/>
              <w:rPr>
                <w:sz w:val="20"/>
              </w:rPr>
            </w:pPr>
            <w:r>
              <w:rPr>
                <w:spacing w:val="-10"/>
                <w:sz w:val="20"/>
              </w:rPr>
              <w:t>6</w:t>
            </w:r>
          </w:p>
        </w:tc>
        <w:tc>
          <w:tcPr>
            <w:tcW w:w="848" w:type="dxa"/>
          </w:tcPr>
          <w:p>
            <w:pPr>
              <w:pStyle w:val="TableParagraph"/>
              <w:spacing w:line="227" w:lineRule="exact"/>
              <w:ind w:left="32" w:right="14"/>
              <w:jc w:val="center"/>
              <w:rPr>
                <w:sz w:val="20"/>
              </w:rPr>
            </w:pPr>
            <w:r>
              <w:rPr>
                <w:spacing w:val="-4"/>
                <w:sz w:val="20"/>
              </w:rPr>
              <w:t>26.1</w:t>
            </w:r>
          </w:p>
        </w:tc>
        <w:tc>
          <w:tcPr>
            <w:tcW w:w="740" w:type="dxa"/>
          </w:tcPr>
          <w:p>
            <w:pPr>
              <w:pStyle w:val="TableParagraph"/>
              <w:spacing w:line="227" w:lineRule="exact"/>
              <w:ind w:left="64" w:right="6"/>
              <w:jc w:val="center"/>
              <w:rPr>
                <w:sz w:val="20"/>
              </w:rPr>
            </w:pPr>
            <w:r>
              <w:rPr>
                <w:spacing w:val="-5"/>
                <w:sz w:val="20"/>
              </w:rPr>
              <w:t>14</w:t>
            </w:r>
          </w:p>
        </w:tc>
        <w:tc>
          <w:tcPr>
            <w:tcW w:w="774" w:type="dxa"/>
          </w:tcPr>
          <w:p>
            <w:pPr>
              <w:pStyle w:val="TableParagraph"/>
              <w:spacing w:line="227" w:lineRule="exact"/>
              <w:ind w:left="6" w:right="15"/>
              <w:jc w:val="center"/>
              <w:rPr>
                <w:sz w:val="20"/>
              </w:rPr>
            </w:pPr>
            <w:r>
              <w:rPr>
                <w:spacing w:val="-4"/>
                <w:sz w:val="20"/>
              </w:rPr>
              <w:t>60.9</w:t>
            </w:r>
          </w:p>
        </w:tc>
        <w:tc>
          <w:tcPr>
            <w:tcW w:w="628" w:type="dxa"/>
          </w:tcPr>
          <w:p>
            <w:pPr>
              <w:pStyle w:val="TableParagraph"/>
              <w:spacing w:line="227" w:lineRule="exact"/>
              <w:ind w:left="26" w:right="19"/>
              <w:jc w:val="center"/>
              <w:rPr>
                <w:sz w:val="20"/>
              </w:rPr>
            </w:pPr>
            <w:r>
              <w:rPr>
                <w:spacing w:val="-10"/>
                <w:sz w:val="20"/>
              </w:rPr>
              <w:t>2</w:t>
            </w:r>
          </w:p>
        </w:tc>
        <w:tc>
          <w:tcPr>
            <w:tcW w:w="772" w:type="dxa"/>
          </w:tcPr>
          <w:p>
            <w:pPr>
              <w:pStyle w:val="TableParagraph"/>
              <w:spacing w:line="227" w:lineRule="exact"/>
              <w:ind w:left="28" w:right="5"/>
              <w:jc w:val="center"/>
              <w:rPr>
                <w:sz w:val="20"/>
              </w:rPr>
            </w:pPr>
            <w:r>
              <w:rPr>
                <w:spacing w:val="-5"/>
                <w:sz w:val="20"/>
              </w:rPr>
              <w:t>8.7</w:t>
            </w:r>
          </w:p>
        </w:tc>
        <w:tc>
          <w:tcPr>
            <w:tcW w:w="693" w:type="dxa"/>
          </w:tcPr>
          <w:p>
            <w:pPr>
              <w:pStyle w:val="TableParagraph"/>
              <w:spacing w:line="227" w:lineRule="exact"/>
              <w:ind w:left="25" w:right="26"/>
              <w:jc w:val="center"/>
              <w:rPr>
                <w:sz w:val="20"/>
              </w:rPr>
            </w:pPr>
            <w:r>
              <w:rPr>
                <w:spacing w:val="-5"/>
                <w:sz w:val="20"/>
              </w:rPr>
              <w:t>23</w:t>
            </w:r>
          </w:p>
        </w:tc>
        <w:tc>
          <w:tcPr>
            <w:tcW w:w="740" w:type="dxa"/>
            <w:tcBorders>
              <w:right w:val="single" w:sz="4" w:space="0" w:color="000000"/>
            </w:tcBorders>
          </w:tcPr>
          <w:p>
            <w:pPr>
              <w:pStyle w:val="TableParagraph"/>
              <w:spacing w:line="227" w:lineRule="exact"/>
              <w:ind w:left="15" w:right="5"/>
              <w:jc w:val="center"/>
              <w:rPr>
                <w:sz w:val="20"/>
              </w:rPr>
            </w:pPr>
            <w:r>
              <w:rPr>
                <w:spacing w:val="-5"/>
                <w:sz w:val="20"/>
              </w:rPr>
              <w:t>5.0</w:t>
            </w:r>
          </w:p>
        </w:tc>
      </w:tr>
      <w:tr>
        <w:trPr>
          <w:trHeight w:val="273" w:hRule="atLeast"/>
        </w:trPr>
        <w:tc>
          <w:tcPr>
            <w:tcW w:w="3707" w:type="dxa"/>
            <w:tcBorders>
              <w:left w:val="single" w:sz="4" w:space="0" w:color="000000"/>
            </w:tcBorders>
          </w:tcPr>
          <w:p>
            <w:pPr>
              <w:pStyle w:val="TableParagraph"/>
              <w:tabs>
                <w:tab w:pos="830" w:val="left" w:leader="none"/>
              </w:tabs>
              <w:spacing w:line="213" w:lineRule="exact" w:before="40"/>
              <w:ind w:left="278"/>
              <w:rPr>
                <w:sz w:val="20"/>
              </w:rPr>
            </w:pPr>
            <w:r>
              <w:rPr>
                <w:spacing w:val="-5"/>
                <w:sz w:val="20"/>
              </w:rPr>
              <w:t>6.</w:t>
            </w:r>
            <w:r>
              <w:rPr>
                <w:sz w:val="20"/>
              </w:rPr>
              <w:tab/>
              <w:t>Transport</w:t>
            </w:r>
            <w:r>
              <w:rPr>
                <w:spacing w:val="-10"/>
                <w:sz w:val="20"/>
              </w:rPr>
              <w:t> </w:t>
            </w:r>
            <w:r>
              <w:rPr>
                <w:spacing w:val="-2"/>
                <w:sz w:val="20"/>
              </w:rPr>
              <w:t>Services</w:t>
            </w:r>
          </w:p>
        </w:tc>
        <w:tc>
          <w:tcPr>
            <w:tcW w:w="2417" w:type="dxa"/>
          </w:tcPr>
          <w:p>
            <w:pPr>
              <w:pStyle w:val="TableParagraph"/>
              <w:spacing w:line="213" w:lineRule="exact" w:before="40"/>
              <w:ind w:left="190"/>
              <w:rPr>
                <w:sz w:val="20"/>
              </w:rPr>
            </w:pPr>
            <w:r>
              <w:rPr>
                <w:sz w:val="20"/>
              </w:rPr>
              <w:t>No.</w:t>
            </w:r>
            <w:r>
              <w:rPr>
                <w:spacing w:val="-5"/>
                <w:sz w:val="20"/>
              </w:rPr>
              <w:t> </w:t>
            </w:r>
            <w:r>
              <w:rPr>
                <w:sz w:val="20"/>
              </w:rPr>
              <w:t>of</w:t>
            </w:r>
            <w:r>
              <w:rPr>
                <w:spacing w:val="-2"/>
                <w:sz w:val="20"/>
              </w:rPr>
              <w:t> missing</w:t>
            </w:r>
          </w:p>
        </w:tc>
        <w:tc>
          <w:tcPr>
            <w:tcW w:w="675" w:type="dxa"/>
          </w:tcPr>
          <w:p>
            <w:pPr>
              <w:pStyle w:val="TableParagraph"/>
              <w:rPr>
                <w:rFonts w:ascii="Times New Roman"/>
                <w:sz w:val="20"/>
              </w:rPr>
            </w:pPr>
          </w:p>
        </w:tc>
        <w:tc>
          <w:tcPr>
            <w:tcW w:w="758" w:type="dxa"/>
          </w:tcPr>
          <w:p>
            <w:pPr>
              <w:pStyle w:val="TableParagraph"/>
              <w:rPr>
                <w:rFonts w:ascii="Times New Roman"/>
                <w:sz w:val="20"/>
              </w:rPr>
            </w:pPr>
          </w:p>
        </w:tc>
        <w:tc>
          <w:tcPr>
            <w:tcW w:w="547" w:type="dxa"/>
          </w:tcPr>
          <w:p>
            <w:pPr>
              <w:pStyle w:val="TableParagraph"/>
              <w:rPr>
                <w:rFonts w:ascii="Times New Roman"/>
                <w:sz w:val="20"/>
              </w:rPr>
            </w:pPr>
          </w:p>
        </w:tc>
        <w:tc>
          <w:tcPr>
            <w:tcW w:w="732" w:type="dxa"/>
          </w:tcPr>
          <w:p>
            <w:pPr>
              <w:pStyle w:val="TableParagraph"/>
              <w:rPr>
                <w:rFonts w:ascii="Times New Roman"/>
                <w:sz w:val="20"/>
              </w:rPr>
            </w:pPr>
          </w:p>
        </w:tc>
        <w:tc>
          <w:tcPr>
            <w:tcW w:w="742" w:type="dxa"/>
          </w:tcPr>
          <w:p>
            <w:pPr>
              <w:pStyle w:val="TableParagraph"/>
              <w:rPr>
                <w:rFonts w:ascii="Times New Roman"/>
                <w:sz w:val="20"/>
              </w:rPr>
            </w:pPr>
          </w:p>
        </w:tc>
        <w:tc>
          <w:tcPr>
            <w:tcW w:w="848" w:type="dxa"/>
          </w:tcPr>
          <w:p>
            <w:pPr>
              <w:pStyle w:val="TableParagraph"/>
              <w:rPr>
                <w:rFonts w:ascii="Times New Roman"/>
                <w:sz w:val="20"/>
              </w:rPr>
            </w:pPr>
          </w:p>
        </w:tc>
        <w:tc>
          <w:tcPr>
            <w:tcW w:w="740" w:type="dxa"/>
          </w:tcPr>
          <w:p>
            <w:pPr>
              <w:pStyle w:val="TableParagraph"/>
              <w:rPr>
                <w:rFonts w:ascii="Times New Roman"/>
                <w:sz w:val="20"/>
              </w:rPr>
            </w:pPr>
          </w:p>
        </w:tc>
        <w:tc>
          <w:tcPr>
            <w:tcW w:w="774" w:type="dxa"/>
          </w:tcPr>
          <w:p>
            <w:pPr>
              <w:pStyle w:val="TableParagraph"/>
              <w:rPr>
                <w:rFonts w:ascii="Times New Roman"/>
                <w:sz w:val="20"/>
              </w:rPr>
            </w:pPr>
          </w:p>
        </w:tc>
        <w:tc>
          <w:tcPr>
            <w:tcW w:w="628" w:type="dxa"/>
          </w:tcPr>
          <w:p>
            <w:pPr>
              <w:pStyle w:val="TableParagraph"/>
              <w:rPr>
                <w:rFonts w:ascii="Times New Roman"/>
                <w:sz w:val="20"/>
              </w:rPr>
            </w:pPr>
          </w:p>
        </w:tc>
        <w:tc>
          <w:tcPr>
            <w:tcW w:w="772" w:type="dxa"/>
          </w:tcPr>
          <w:p>
            <w:pPr>
              <w:pStyle w:val="TableParagraph"/>
              <w:rPr>
                <w:rFonts w:ascii="Times New Roman"/>
                <w:sz w:val="20"/>
              </w:rPr>
            </w:pPr>
          </w:p>
        </w:tc>
        <w:tc>
          <w:tcPr>
            <w:tcW w:w="693" w:type="dxa"/>
          </w:tcPr>
          <w:p>
            <w:pPr>
              <w:pStyle w:val="TableParagraph"/>
              <w:rPr>
                <w:rFonts w:ascii="Times New Roman"/>
                <w:sz w:val="20"/>
              </w:rPr>
            </w:pPr>
          </w:p>
        </w:tc>
        <w:tc>
          <w:tcPr>
            <w:tcW w:w="740" w:type="dxa"/>
            <w:tcBorders>
              <w:right w:val="single" w:sz="4" w:space="0" w:color="000000"/>
            </w:tcBorders>
          </w:tcPr>
          <w:p>
            <w:pPr>
              <w:pStyle w:val="TableParagraph"/>
              <w:rPr>
                <w:rFonts w:ascii="Times New Roman"/>
                <w:sz w:val="20"/>
              </w:rPr>
            </w:pPr>
          </w:p>
        </w:tc>
      </w:tr>
      <w:tr>
        <w:trPr>
          <w:trHeight w:val="230" w:hRule="atLeast"/>
        </w:trPr>
        <w:tc>
          <w:tcPr>
            <w:tcW w:w="3707" w:type="dxa"/>
            <w:tcBorders>
              <w:left w:val="single" w:sz="4" w:space="0" w:color="000000"/>
            </w:tcBorders>
          </w:tcPr>
          <w:p>
            <w:pPr>
              <w:pStyle w:val="TableParagraph"/>
              <w:rPr>
                <w:rFonts w:ascii="Times New Roman"/>
                <w:sz w:val="16"/>
              </w:rPr>
            </w:pPr>
          </w:p>
        </w:tc>
        <w:tc>
          <w:tcPr>
            <w:tcW w:w="2417" w:type="dxa"/>
          </w:tcPr>
          <w:p>
            <w:pPr>
              <w:pStyle w:val="TableParagraph"/>
              <w:spacing w:line="210" w:lineRule="exact"/>
              <w:ind w:left="190"/>
              <w:rPr>
                <w:sz w:val="20"/>
              </w:rPr>
            </w:pPr>
            <w:r>
              <w:rPr>
                <w:spacing w:val="-2"/>
                <w:sz w:val="20"/>
              </w:rPr>
              <w:t>observations</w:t>
            </w:r>
          </w:p>
        </w:tc>
        <w:tc>
          <w:tcPr>
            <w:tcW w:w="675" w:type="dxa"/>
          </w:tcPr>
          <w:p>
            <w:pPr>
              <w:pStyle w:val="TableParagraph"/>
              <w:spacing w:line="210" w:lineRule="exact"/>
              <w:ind w:left="53"/>
              <w:jc w:val="center"/>
              <w:rPr>
                <w:sz w:val="20"/>
              </w:rPr>
            </w:pPr>
            <w:r>
              <w:rPr>
                <w:spacing w:val="-10"/>
                <w:sz w:val="20"/>
              </w:rPr>
              <w:t>1</w:t>
            </w:r>
          </w:p>
        </w:tc>
        <w:tc>
          <w:tcPr>
            <w:tcW w:w="758" w:type="dxa"/>
          </w:tcPr>
          <w:p>
            <w:pPr>
              <w:pStyle w:val="TableParagraph"/>
              <w:spacing w:line="210" w:lineRule="exact"/>
              <w:ind w:left="60"/>
              <w:jc w:val="center"/>
              <w:rPr>
                <w:sz w:val="20"/>
              </w:rPr>
            </w:pPr>
            <w:r>
              <w:rPr>
                <w:spacing w:val="-4"/>
                <w:sz w:val="20"/>
              </w:rPr>
              <w:t>50.0</w:t>
            </w:r>
          </w:p>
        </w:tc>
        <w:tc>
          <w:tcPr>
            <w:tcW w:w="547" w:type="dxa"/>
          </w:tcPr>
          <w:p>
            <w:pPr>
              <w:pStyle w:val="TableParagraph"/>
              <w:spacing w:line="210" w:lineRule="exact"/>
              <w:ind w:left="87" w:right="81"/>
              <w:jc w:val="center"/>
              <w:rPr>
                <w:sz w:val="20"/>
              </w:rPr>
            </w:pPr>
            <w:r>
              <w:rPr>
                <w:spacing w:val="-10"/>
                <w:sz w:val="20"/>
              </w:rPr>
              <w:t>-</w:t>
            </w:r>
          </w:p>
        </w:tc>
        <w:tc>
          <w:tcPr>
            <w:tcW w:w="732" w:type="dxa"/>
          </w:tcPr>
          <w:p>
            <w:pPr>
              <w:pStyle w:val="TableParagraph"/>
              <w:spacing w:line="210" w:lineRule="exact"/>
              <w:ind w:left="58" w:right="61"/>
              <w:jc w:val="center"/>
              <w:rPr>
                <w:sz w:val="20"/>
              </w:rPr>
            </w:pPr>
            <w:r>
              <w:rPr>
                <w:spacing w:val="-10"/>
                <w:sz w:val="20"/>
              </w:rPr>
              <w:t>-</w:t>
            </w:r>
          </w:p>
        </w:tc>
        <w:tc>
          <w:tcPr>
            <w:tcW w:w="742" w:type="dxa"/>
          </w:tcPr>
          <w:p>
            <w:pPr>
              <w:pStyle w:val="TableParagraph"/>
              <w:spacing w:line="210" w:lineRule="exact"/>
              <w:ind w:left="12" w:right="42"/>
              <w:jc w:val="center"/>
              <w:rPr>
                <w:sz w:val="20"/>
              </w:rPr>
            </w:pPr>
            <w:r>
              <w:rPr>
                <w:spacing w:val="-10"/>
                <w:sz w:val="20"/>
              </w:rPr>
              <w:t>1</w:t>
            </w:r>
          </w:p>
        </w:tc>
        <w:tc>
          <w:tcPr>
            <w:tcW w:w="848" w:type="dxa"/>
          </w:tcPr>
          <w:p>
            <w:pPr>
              <w:pStyle w:val="TableParagraph"/>
              <w:spacing w:line="210" w:lineRule="exact"/>
              <w:ind w:left="32" w:right="14"/>
              <w:jc w:val="center"/>
              <w:rPr>
                <w:sz w:val="20"/>
              </w:rPr>
            </w:pPr>
            <w:r>
              <w:rPr>
                <w:spacing w:val="-4"/>
                <w:sz w:val="20"/>
              </w:rPr>
              <w:t>50.0</w:t>
            </w:r>
          </w:p>
        </w:tc>
        <w:tc>
          <w:tcPr>
            <w:tcW w:w="740" w:type="dxa"/>
          </w:tcPr>
          <w:p>
            <w:pPr>
              <w:pStyle w:val="TableParagraph"/>
              <w:spacing w:line="210" w:lineRule="exact"/>
              <w:ind w:left="64" w:right="8"/>
              <w:jc w:val="center"/>
              <w:rPr>
                <w:sz w:val="20"/>
              </w:rPr>
            </w:pPr>
            <w:r>
              <w:rPr>
                <w:spacing w:val="-10"/>
                <w:sz w:val="20"/>
              </w:rPr>
              <w:t>-</w:t>
            </w:r>
          </w:p>
        </w:tc>
        <w:tc>
          <w:tcPr>
            <w:tcW w:w="774" w:type="dxa"/>
          </w:tcPr>
          <w:p>
            <w:pPr>
              <w:pStyle w:val="TableParagraph"/>
              <w:spacing w:line="210" w:lineRule="exact"/>
              <w:ind w:right="15"/>
              <w:jc w:val="center"/>
              <w:rPr>
                <w:sz w:val="20"/>
              </w:rPr>
            </w:pPr>
            <w:r>
              <w:rPr>
                <w:spacing w:val="-10"/>
                <w:sz w:val="20"/>
              </w:rPr>
              <w:t>-</w:t>
            </w:r>
          </w:p>
        </w:tc>
        <w:tc>
          <w:tcPr>
            <w:tcW w:w="628" w:type="dxa"/>
          </w:tcPr>
          <w:p>
            <w:pPr>
              <w:pStyle w:val="TableParagraph"/>
              <w:spacing w:line="210" w:lineRule="exact"/>
              <w:ind w:left="19" w:right="19"/>
              <w:jc w:val="center"/>
              <w:rPr>
                <w:sz w:val="20"/>
              </w:rPr>
            </w:pPr>
            <w:r>
              <w:rPr>
                <w:spacing w:val="-10"/>
                <w:sz w:val="20"/>
              </w:rPr>
              <w:t>-</w:t>
            </w:r>
          </w:p>
        </w:tc>
        <w:tc>
          <w:tcPr>
            <w:tcW w:w="772" w:type="dxa"/>
          </w:tcPr>
          <w:p>
            <w:pPr>
              <w:pStyle w:val="TableParagraph"/>
              <w:spacing w:line="210" w:lineRule="exact"/>
              <w:ind w:left="28" w:right="7"/>
              <w:jc w:val="center"/>
              <w:rPr>
                <w:sz w:val="20"/>
              </w:rPr>
            </w:pPr>
            <w:r>
              <w:rPr>
                <w:spacing w:val="-10"/>
                <w:sz w:val="20"/>
              </w:rPr>
              <w:t>-</w:t>
            </w:r>
          </w:p>
        </w:tc>
        <w:tc>
          <w:tcPr>
            <w:tcW w:w="693" w:type="dxa"/>
          </w:tcPr>
          <w:p>
            <w:pPr>
              <w:pStyle w:val="TableParagraph"/>
              <w:spacing w:line="210" w:lineRule="exact"/>
              <w:ind w:left="29" w:right="26"/>
              <w:jc w:val="center"/>
              <w:rPr>
                <w:sz w:val="20"/>
              </w:rPr>
            </w:pPr>
            <w:r>
              <w:rPr>
                <w:spacing w:val="-10"/>
                <w:sz w:val="20"/>
              </w:rPr>
              <w:t>2</w:t>
            </w:r>
          </w:p>
        </w:tc>
        <w:tc>
          <w:tcPr>
            <w:tcW w:w="740" w:type="dxa"/>
            <w:tcBorders>
              <w:right w:val="single" w:sz="4" w:space="0" w:color="000000"/>
            </w:tcBorders>
          </w:tcPr>
          <w:p>
            <w:pPr>
              <w:pStyle w:val="TableParagraph"/>
              <w:spacing w:line="210" w:lineRule="exact"/>
              <w:ind w:left="15" w:right="5"/>
              <w:jc w:val="center"/>
              <w:rPr>
                <w:sz w:val="20"/>
              </w:rPr>
            </w:pPr>
            <w:r>
              <w:rPr>
                <w:spacing w:val="-5"/>
                <w:sz w:val="20"/>
              </w:rPr>
              <w:t>0.4</w:t>
            </w:r>
          </w:p>
        </w:tc>
      </w:tr>
      <w:tr>
        <w:trPr>
          <w:trHeight w:val="230" w:hRule="atLeast"/>
        </w:trPr>
        <w:tc>
          <w:tcPr>
            <w:tcW w:w="3707" w:type="dxa"/>
            <w:tcBorders>
              <w:left w:val="single" w:sz="4" w:space="0" w:color="000000"/>
            </w:tcBorders>
          </w:tcPr>
          <w:p>
            <w:pPr>
              <w:pStyle w:val="TableParagraph"/>
              <w:rPr>
                <w:rFonts w:ascii="Times New Roman"/>
                <w:sz w:val="16"/>
              </w:rPr>
            </w:pPr>
          </w:p>
        </w:tc>
        <w:tc>
          <w:tcPr>
            <w:tcW w:w="2417" w:type="dxa"/>
          </w:tcPr>
          <w:p>
            <w:pPr>
              <w:pStyle w:val="TableParagraph"/>
              <w:spacing w:line="210" w:lineRule="exact"/>
              <w:ind w:left="190"/>
              <w:rPr>
                <w:sz w:val="20"/>
              </w:rPr>
            </w:pPr>
            <w:r>
              <w:rPr>
                <w:spacing w:val="-2"/>
                <w:sz w:val="20"/>
              </w:rPr>
              <w:t>Students</w:t>
            </w:r>
          </w:p>
        </w:tc>
        <w:tc>
          <w:tcPr>
            <w:tcW w:w="675" w:type="dxa"/>
          </w:tcPr>
          <w:p>
            <w:pPr>
              <w:pStyle w:val="TableParagraph"/>
              <w:spacing w:line="210" w:lineRule="exact"/>
              <w:ind w:left="53"/>
              <w:jc w:val="center"/>
              <w:rPr>
                <w:sz w:val="20"/>
              </w:rPr>
            </w:pPr>
            <w:r>
              <w:rPr>
                <w:spacing w:val="-10"/>
                <w:sz w:val="20"/>
              </w:rPr>
              <w:t>4</w:t>
            </w:r>
          </w:p>
        </w:tc>
        <w:tc>
          <w:tcPr>
            <w:tcW w:w="758" w:type="dxa"/>
          </w:tcPr>
          <w:p>
            <w:pPr>
              <w:pStyle w:val="TableParagraph"/>
              <w:spacing w:line="210" w:lineRule="exact"/>
              <w:ind w:left="60" w:right="5"/>
              <w:jc w:val="center"/>
              <w:rPr>
                <w:sz w:val="20"/>
              </w:rPr>
            </w:pPr>
            <w:r>
              <w:rPr>
                <w:spacing w:val="-5"/>
                <w:sz w:val="20"/>
              </w:rPr>
              <w:t>1.7</w:t>
            </w:r>
          </w:p>
        </w:tc>
        <w:tc>
          <w:tcPr>
            <w:tcW w:w="547" w:type="dxa"/>
          </w:tcPr>
          <w:p>
            <w:pPr>
              <w:pStyle w:val="TableParagraph"/>
              <w:spacing w:line="210" w:lineRule="exact"/>
              <w:ind w:left="87" w:right="79"/>
              <w:jc w:val="center"/>
              <w:rPr>
                <w:sz w:val="20"/>
              </w:rPr>
            </w:pPr>
            <w:r>
              <w:rPr>
                <w:spacing w:val="-5"/>
                <w:sz w:val="20"/>
              </w:rPr>
              <w:t>23</w:t>
            </w:r>
          </w:p>
        </w:tc>
        <w:tc>
          <w:tcPr>
            <w:tcW w:w="732" w:type="dxa"/>
          </w:tcPr>
          <w:p>
            <w:pPr>
              <w:pStyle w:val="TableParagraph"/>
              <w:spacing w:line="210" w:lineRule="exact"/>
              <w:ind w:left="58" w:right="59"/>
              <w:jc w:val="center"/>
              <w:rPr>
                <w:sz w:val="20"/>
              </w:rPr>
            </w:pPr>
            <w:r>
              <w:rPr>
                <w:spacing w:val="-5"/>
                <w:sz w:val="20"/>
              </w:rPr>
              <w:t>9.8</w:t>
            </w:r>
          </w:p>
        </w:tc>
        <w:tc>
          <w:tcPr>
            <w:tcW w:w="742" w:type="dxa"/>
          </w:tcPr>
          <w:p>
            <w:pPr>
              <w:pStyle w:val="TableParagraph"/>
              <w:spacing w:line="210" w:lineRule="exact"/>
              <w:ind w:left="2" w:right="42"/>
              <w:jc w:val="center"/>
              <w:rPr>
                <w:sz w:val="20"/>
              </w:rPr>
            </w:pPr>
            <w:r>
              <w:rPr>
                <w:spacing w:val="-5"/>
                <w:sz w:val="20"/>
              </w:rPr>
              <w:t>123</w:t>
            </w:r>
          </w:p>
        </w:tc>
        <w:tc>
          <w:tcPr>
            <w:tcW w:w="848" w:type="dxa"/>
          </w:tcPr>
          <w:p>
            <w:pPr>
              <w:pStyle w:val="TableParagraph"/>
              <w:spacing w:line="210" w:lineRule="exact"/>
              <w:ind w:left="32" w:right="14"/>
              <w:jc w:val="center"/>
              <w:rPr>
                <w:sz w:val="20"/>
              </w:rPr>
            </w:pPr>
            <w:r>
              <w:rPr>
                <w:spacing w:val="-4"/>
                <w:sz w:val="20"/>
              </w:rPr>
              <w:t>52.3</w:t>
            </w:r>
          </w:p>
        </w:tc>
        <w:tc>
          <w:tcPr>
            <w:tcW w:w="740" w:type="dxa"/>
          </w:tcPr>
          <w:p>
            <w:pPr>
              <w:pStyle w:val="TableParagraph"/>
              <w:spacing w:line="210" w:lineRule="exact"/>
              <w:ind w:left="64" w:right="6"/>
              <w:jc w:val="center"/>
              <w:rPr>
                <w:sz w:val="20"/>
              </w:rPr>
            </w:pPr>
            <w:r>
              <w:rPr>
                <w:spacing w:val="-5"/>
                <w:sz w:val="20"/>
              </w:rPr>
              <w:t>67</w:t>
            </w:r>
          </w:p>
        </w:tc>
        <w:tc>
          <w:tcPr>
            <w:tcW w:w="774" w:type="dxa"/>
          </w:tcPr>
          <w:p>
            <w:pPr>
              <w:pStyle w:val="TableParagraph"/>
              <w:spacing w:line="210" w:lineRule="exact"/>
              <w:ind w:left="6" w:right="15"/>
              <w:jc w:val="center"/>
              <w:rPr>
                <w:sz w:val="20"/>
              </w:rPr>
            </w:pPr>
            <w:r>
              <w:rPr>
                <w:spacing w:val="-4"/>
                <w:sz w:val="20"/>
              </w:rPr>
              <w:t>28.5</w:t>
            </w:r>
          </w:p>
        </w:tc>
        <w:tc>
          <w:tcPr>
            <w:tcW w:w="628" w:type="dxa"/>
          </w:tcPr>
          <w:p>
            <w:pPr>
              <w:pStyle w:val="TableParagraph"/>
              <w:spacing w:line="210" w:lineRule="exact"/>
              <w:ind w:left="21" w:right="19"/>
              <w:jc w:val="center"/>
              <w:rPr>
                <w:sz w:val="20"/>
              </w:rPr>
            </w:pPr>
            <w:r>
              <w:rPr>
                <w:spacing w:val="-5"/>
                <w:sz w:val="20"/>
              </w:rPr>
              <w:t>18</w:t>
            </w:r>
          </w:p>
        </w:tc>
        <w:tc>
          <w:tcPr>
            <w:tcW w:w="772" w:type="dxa"/>
          </w:tcPr>
          <w:p>
            <w:pPr>
              <w:pStyle w:val="TableParagraph"/>
              <w:spacing w:line="210" w:lineRule="exact"/>
              <w:ind w:left="28" w:right="5"/>
              <w:jc w:val="center"/>
              <w:rPr>
                <w:sz w:val="20"/>
              </w:rPr>
            </w:pPr>
            <w:r>
              <w:rPr>
                <w:spacing w:val="-5"/>
                <w:sz w:val="20"/>
              </w:rPr>
              <w:t>7.7</w:t>
            </w:r>
          </w:p>
        </w:tc>
        <w:tc>
          <w:tcPr>
            <w:tcW w:w="693" w:type="dxa"/>
          </w:tcPr>
          <w:p>
            <w:pPr>
              <w:pStyle w:val="TableParagraph"/>
              <w:spacing w:line="210" w:lineRule="exact"/>
              <w:ind w:left="22" w:right="26"/>
              <w:jc w:val="center"/>
              <w:rPr>
                <w:sz w:val="20"/>
              </w:rPr>
            </w:pPr>
            <w:r>
              <w:rPr>
                <w:spacing w:val="-5"/>
                <w:sz w:val="20"/>
              </w:rPr>
              <w:t>235</w:t>
            </w:r>
          </w:p>
        </w:tc>
        <w:tc>
          <w:tcPr>
            <w:tcW w:w="740" w:type="dxa"/>
            <w:tcBorders>
              <w:right w:val="single" w:sz="4" w:space="0" w:color="000000"/>
            </w:tcBorders>
          </w:tcPr>
          <w:p>
            <w:pPr>
              <w:pStyle w:val="TableParagraph"/>
              <w:spacing w:line="210" w:lineRule="exact"/>
              <w:ind w:left="15"/>
              <w:jc w:val="center"/>
              <w:rPr>
                <w:sz w:val="20"/>
              </w:rPr>
            </w:pPr>
            <w:r>
              <w:rPr>
                <w:spacing w:val="-4"/>
                <w:sz w:val="20"/>
              </w:rPr>
              <w:t>50.8</w:t>
            </w:r>
          </w:p>
        </w:tc>
      </w:tr>
      <w:tr>
        <w:trPr>
          <w:trHeight w:val="230" w:hRule="atLeast"/>
        </w:trPr>
        <w:tc>
          <w:tcPr>
            <w:tcW w:w="3707" w:type="dxa"/>
            <w:tcBorders>
              <w:left w:val="single" w:sz="4" w:space="0" w:color="000000"/>
            </w:tcBorders>
          </w:tcPr>
          <w:p>
            <w:pPr>
              <w:pStyle w:val="TableParagraph"/>
              <w:rPr>
                <w:rFonts w:ascii="Times New Roman"/>
                <w:sz w:val="16"/>
              </w:rPr>
            </w:pPr>
          </w:p>
        </w:tc>
        <w:tc>
          <w:tcPr>
            <w:tcW w:w="2417" w:type="dxa"/>
          </w:tcPr>
          <w:p>
            <w:pPr>
              <w:pStyle w:val="TableParagraph"/>
              <w:spacing w:line="210" w:lineRule="exact"/>
              <w:ind w:left="190"/>
              <w:rPr>
                <w:sz w:val="20"/>
              </w:rPr>
            </w:pPr>
            <w:r>
              <w:rPr>
                <w:sz w:val="20"/>
              </w:rPr>
              <w:t>Service</w:t>
            </w:r>
            <w:r>
              <w:rPr>
                <w:spacing w:val="-9"/>
                <w:sz w:val="20"/>
              </w:rPr>
              <w:t> </w:t>
            </w:r>
            <w:r>
              <w:rPr>
                <w:spacing w:val="-2"/>
                <w:sz w:val="20"/>
              </w:rPr>
              <w:t>Staff</w:t>
            </w:r>
          </w:p>
        </w:tc>
        <w:tc>
          <w:tcPr>
            <w:tcW w:w="675" w:type="dxa"/>
          </w:tcPr>
          <w:p>
            <w:pPr>
              <w:pStyle w:val="TableParagraph"/>
              <w:spacing w:line="210" w:lineRule="exact"/>
              <w:ind w:left="53"/>
              <w:jc w:val="center"/>
              <w:rPr>
                <w:sz w:val="20"/>
              </w:rPr>
            </w:pPr>
            <w:r>
              <w:rPr>
                <w:spacing w:val="-10"/>
                <w:sz w:val="20"/>
              </w:rPr>
              <w:t>8</w:t>
            </w:r>
          </w:p>
        </w:tc>
        <w:tc>
          <w:tcPr>
            <w:tcW w:w="758" w:type="dxa"/>
          </w:tcPr>
          <w:p>
            <w:pPr>
              <w:pStyle w:val="TableParagraph"/>
              <w:spacing w:line="210" w:lineRule="exact"/>
              <w:ind w:left="60" w:right="5"/>
              <w:jc w:val="center"/>
              <w:rPr>
                <w:sz w:val="20"/>
              </w:rPr>
            </w:pPr>
            <w:r>
              <w:rPr>
                <w:spacing w:val="-5"/>
                <w:sz w:val="20"/>
              </w:rPr>
              <w:t>3.9</w:t>
            </w:r>
          </w:p>
        </w:tc>
        <w:tc>
          <w:tcPr>
            <w:tcW w:w="547" w:type="dxa"/>
          </w:tcPr>
          <w:p>
            <w:pPr>
              <w:pStyle w:val="TableParagraph"/>
              <w:spacing w:line="210" w:lineRule="exact"/>
              <w:ind w:left="87" w:right="79"/>
              <w:jc w:val="center"/>
              <w:rPr>
                <w:sz w:val="20"/>
              </w:rPr>
            </w:pPr>
            <w:r>
              <w:rPr>
                <w:spacing w:val="-5"/>
                <w:sz w:val="20"/>
              </w:rPr>
              <w:t>27</w:t>
            </w:r>
          </w:p>
        </w:tc>
        <w:tc>
          <w:tcPr>
            <w:tcW w:w="732" w:type="dxa"/>
          </w:tcPr>
          <w:p>
            <w:pPr>
              <w:pStyle w:val="TableParagraph"/>
              <w:spacing w:line="210" w:lineRule="exact"/>
              <w:ind w:left="58" w:right="57"/>
              <w:jc w:val="center"/>
              <w:rPr>
                <w:sz w:val="20"/>
              </w:rPr>
            </w:pPr>
            <w:r>
              <w:rPr>
                <w:spacing w:val="-4"/>
                <w:sz w:val="20"/>
              </w:rPr>
              <w:t>13.3</w:t>
            </w:r>
          </w:p>
        </w:tc>
        <w:tc>
          <w:tcPr>
            <w:tcW w:w="742" w:type="dxa"/>
          </w:tcPr>
          <w:p>
            <w:pPr>
              <w:pStyle w:val="TableParagraph"/>
              <w:spacing w:line="210" w:lineRule="exact"/>
              <w:ind w:left="2" w:right="42"/>
              <w:jc w:val="center"/>
              <w:rPr>
                <w:sz w:val="20"/>
              </w:rPr>
            </w:pPr>
            <w:r>
              <w:rPr>
                <w:spacing w:val="-5"/>
                <w:sz w:val="20"/>
              </w:rPr>
              <w:t>106</w:t>
            </w:r>
          </w:p>
        </w:tc>
        <w:tc>
          <w:tcPr>
            <w:tcW w:w="848" w:type="dxa"/>
          </w:tcPr>
          <w:p>
            <w:pPr>
              <w:pStyle w:val="TableParagraph"/>
              <w:spacing w:line="210" w:lineRule="exact"/>
              <w:ind w:left="32" w:right="14"/>
              <w:jc w:val="center"/>
              <w:rPr>
                <w:sz w:val="20"/>
              </w:rPr>
            </w:pPr>
            <w:r>
              <w:rPr>
                <w:spacing w:val="-4"/>
                <w:sz w:val="20"/>
              </w:rPr>
              <w:t>52.2</w:t>
            </w:r>
          </w:p>
        </w:tc>
        <w:tc>
          <w:tcPr>
            <w:tcW w:w="740" w:type="dxa"/>
          </w:tcPr>
          <w:p>
            <w:pPr>
              <w:pStyle w:val="TableParagraph"/>
              <w:spacing w:line="210" w:lineRule="exact"/>
              <w:ind w:left="64" w:right="6"/>
              <w:jc w:val="center"/>
              <w:rPr>
                <w:sz w:val="20"/>
              </w:rPr>
            </w:pPr>
            <w:r>
              <w:rPr>
                <w:spacing w:val="-5"/>
                <w:sz w:val="20"/>
              </w:rPr>
              <w:t>51</w:t>
            </w:r>
          </w:p>
        </w:tc>
        <w:tc>
          <w:tcPr>
            <w:tcW w:w="774" w:type="dxa"/>
          </w:tcPr>
          <w:p>
            <w:pPr>
              <w:pStyle w:val="TableParagraph"/>
              <w:spacing w:line="210" w:lineRule="exact"/>
              <w:ind w:left="6" w:right="15"/>
              <w:jc w:val="center"/>
              <w:rPr>
                <w:sz w:val="20"/>
              </w:rPr>
            </w:pPr>
            <w:r>
              <w:rPr>
                <w:spacing w:val="-4"/>
                <w:sz w:val="20"/>
              </w:rPr>
              <w:t>25.1</w:t>
            </w:r>
          </w:p>
        </w:tc>
        <w:tc>
          <w:tcPr>
            <w:tcW w:w="628" w:type="dxa"/>
          </w:tcPr>
          <w:p>
            <w:pPr>
              <w:pStyle w:val="TableParagraph"/>
              <w:spacing w:line="210" w:lineRule="exact"/>
              <w:ind w:left="21" w:right="19"/>
              <w:jc w:val="center"/>
              <w:rPr>
                <w:sz w:val="20"/>
              </w:rPr>
            </w:pPr>
            <w:r>
              <w:rPr>
                <w:spacing w:val="-5"/>
                <w:sz w:val="20"/>
              </w:rPr>
              <w:t>11</w:t>
            </w:r>
          </w:p>
        </w:tc>
        <w:tc>
          <w:tcPr>
            <w:tcW w:w="772" w:type="dxa"/>
          </w:tcPr>
          <w:p>
            <w:pPr>
              <w:pStyle w:val="TableParagraph"/>
              <w:spacing w:line="210" w:lineRule="exact"/>
              <w:ind w:left="28" w:right="5"/>
              <w:jc w:val="center"/>
              <w:rPr>
                <w:sz w:val="20"/>
              </w:rPr>
            </w:pPr>
            <w:r>
              <w:rPr>
                <w:spacing w:val="-5"/>
                <w:sz w:val="20"/>
              </w:rPr>
              <w:t>5.4</w:t>
            </w:r>
          </w:p>
        </w:tc>
        <w:tc>
          <w:tcPr>
            <w:tcW w:w="693" w:type="dxa"/>
          </w:tcPr>
          <w:p>
            <w:pPr>
              <w:pStyle w:val="TableParagraph"/>
              <w:spacing w:line="210" w:lineRule="exact"/>
              <w:ind w:left="22" w:right="26"/>
              <w:jc w:val="center"/>
              <w:rPr>
                <w:sz w:val="20"/>
              </w:rPr>
            </w:pPr>
            <w:r>
              <w:rPr>
                <w:spacing w:val="-5"/>
                <w:sz w:val="20"/>
              </w:rPr>
              <w:t>203</w:t>
            </w:r>
          </w:p>
        </w:tc>
        <w:tc>
          <w:tcPr>
            <w:tcW w:w="740" w:type="dxa"/>
            <w:tcBorders>
              <w:right w:val="single" w:sz="4" w:space="0" w:color="000000"/>
            </w:tcBorders>
          </w:tcPr>
          <w:p>
            <w:pPr>
              <w:pStyle w:val="TableParagraph"/>
              <w:spacing w:line="210" w:lineRule="exact"/>
              <w:ind w:left="15"/>
              <w:jc w:val="center"/>
              <w:rPr>
                <w:sz w:val="20"/>
              </w:rPr>
            </w:pPr>
            <w:r>
              <w:rPr>
                <w:spacing w:val="-4"/>
                <w:sz w:val="20"/>
              </w:rPr>
              <w:t>43.8</w:t>
            </w:r>
          </w:p>
        </w:tc>
      </w:tr>
      <w:tr>
        <w:trPr>
          <w:trHeight w:val="232" w:hRule="atLeast"/>
        </w:trPr>
        <w:tc>
          <w:tcPr>
            <w:tcW w:w="3707" w:type="dxa"/>
            <w:tcBorders>
              <w:left w:val="single" w:sz="4" w:space="0" w:color="000000"/>
              <w:bottom w:val="single" w:sz="4" w:space="0" w:color="000000"/>
            </w:tcBorders>
          </w:tcPr>
          <w:p>
            <w:pPr>
              <w:pStyle w:val="TableParagraph"/>
              <w:rPr>
                <w:rFonts w:ascii="Times New Roman"/>
                <w:sz w:val="16"/>
              </w:rPr>
            </w:pPr>
          </w:p>
        </w:tc>
        <w:tc>
          <w:tcPr>
            <w:tcW w:w="2417" w:type="dxa"/>
            <w:tcBorders>
              <w:bottom w:val="single" w:sz="4" w:space="0" w:color="000000"/>
            </w:tcBorders>
          </w:tcPr>
          <w:p>
            <w:pPr>
              <w:pStyle w:val="TableParagraph"/>
              <w:spacing w:line="213" w:lineRule="exact"/>
              <w:ind w:left="190"/>
              <w:rPr>
                <w:sz w:val="20"/>
              </w:rPr>
            </w:pPr>
            <w:r>
              <w:rPr>
                <w:sz w:val="20"/>
              </w:rPr>
              <w:t>Top</w:t>
            </w:r>
            <w:r>
              <w:rPr>
                <w:spacing w:val="-1"/>
                <w:sz w:val="20"/>
              </w:rPr>
              <w:t> </w:t>
            </w:r>
            <w:r>
              <w:rPr>
                <w:spacing w:val="-2"/>
                <w:sz w:val="20"/>
              </w:rPr>
              <w:t>Management</w:t>
            </w:r>
          </w:p>
        </w:tc>
        <w:tc>
          <w:tcPr>
            <w:tcW w:w="675" w:type="dxa"/>
            <w:tcBorders>
              <w:bottom w:val="single" w:sz="4" w:space="0" w:color="000000"/>
            </w:tcBorders>
          </w:tcPr>
          <w:p>
            <w:pPr>
              <w:pStyle w:val="TableParagraph"/>
              <w:spacing w:line="213" w:lineRule="exact"/>
              <w:ind w:left="53"/>
              <w:jc w:val="center"/>
              <w:rPr>
                <w:sz w:val="20"/>
              </w:rPr>
            </w:pPr>
            <w:r>
              <w:rPr>
                <w:spacing w:val="-10"/>
                <w:sz w:val="20"/>
              </w:rPr>
              <w:t>1</w:t>
            </w:r>
          </w:p>
        </w:tc>
        <w:tc>
          <w:tcPr>
            <w:tcW w:w="758" w:type="dxa"/>
            <w:tcBorders>
              <w:bottom w:val="single" w:sz="4" w:space="0" w:color="000000"/>
            </w:tcBorders>
          </w:tcPr>
          <w:p>
            <w:pPr>
              <w:pStyle w:val="TableParagraph"/>
              <w:spacing w:line="213" w:lineRule="exact"/>
              <w:ind w:left="60" w:right="5"/>
              <w:jc w:val="center"/>
              <w:rPr>
                <w:sz w:val="20"/>
              </w:rPr>
            </w:pPr>
            <w:r>
              <w:rPr>
                <w:spacing w:val="-5"/>
                <w:sz w:val="20"/>
              </w:rPr>
              <w:t>4.3</w:t>
            </w:r>
          </w:p>
        </w:tc>
        <w:tc>
          <w:tcPr>
            <w:tcW w:w="547" w:type="dxa"/>
            <w:tcBorders>
              <w:bottom w:val="single" w:sz="4" w:space="0" w:color="000000"/>
            </w:tcBorders>
          </w:tcPr>
          <w:p>
            <w:pPr>
              <w:pStyle w:val="TableParagraph"/>
              <w:spacing w:line="213" w:lineRule="exact"/>
              <w:ind w:left="87" w:right="75"/>
              <w:jc w:val="center"/>
              <w:rPr>
                <w:sz w:val="20"/>
              </w:rPr>
            </w:pPr>
            <w:r>
              <w:rPr>
                <w:spacing w:val="-10"/>
                <w:sz w:val="20"/>
              </w:rPr>
              <w:t>2</w:t>
            </w:r>
          </w:p>
        </w:tc>
        <w:tc>
          <w:tcPr>
            <w:tcW w:w="732" w:type="dxa"/>
            <w:tcBorders>
              <w:bottom w:val="single" w:sz="4" w:space="0" w:color="000000"/>
            </w:tcBorders>
          </w:tcPr>
          <w:p>
            <w:pPr>
              <w:pStyle w:val="TableParagraph"/>
              <w:spacing w:line="213" w:lineRule="exact"/>
              <w:ind w:left="58" w:right="59"/>
              <w:jc w:val="center"/>
              <w:rPr>
                <w:sz w:val="20"/>
              </w:rPr>
            </w:pPr>
            <w:r>
              <w:rPr>
                <w:spacing w:val="-5"/>
                <w:sz w:val="20"/>
              </w:rPr>
              <w:t>8.7</w:t>
            </w:r>
          </w:p>
        </w:tc>
        <w:tc>
          <w:tcPr>
            <w:tcW w:w="742" w:type="dxa"/>
            <w:tcBorders>
              <w:bottom w:val="single" w:sz="4" w:space="0" w:color="000000"/>
            </w:tcBorders>
          </w:tcPr>
          <w:p>
            <w:pPr>
              <w:pStyle w:val="TableParagraph"/>
              <w:spacing w:line="213" w:lineRule="exact"/>
              <w:ind w:left="7" w:right="42"/>
              <w:jc w:val="center"/>
              <w:rPr>
                <w:sz w:val="20"/>
              </w:rPr>
            </w:pPr>
            <w:r>
              <w:rPr>
                <w:spacing w:val="-5"/>
                <w:sz w:val="20"/>
              </w:rPr>
              <w:t>10</w:t>
            </w:r>
          </w:p>
        </w:tc>
        <w:tc>
          <w:tcPr>
            <w:tcW w:w="848" w:type="dxa"/>
            <w:tcBorders>
              <w:bottom w:val="single" w:sz="4" w:space="0" w:color="000000"/>
            </w:tcBorders>
          </w:tcPr>
          <w:p>
            <w:pPr>
              <w:pStyle w:val="TableParagraph"/>
              <w:spacing w:line="213" w:lineRule="exact"/>
              <w:ind w:left="32" w:right="14"/>
              <w:jc w:val="center"/>
              <w:rPr>
                <w:sz w:val="20"/>
              </w:rPr>
            </w:pPr>
            <w:r>
              <w:rPr>
                <w:spacing w:val="-4"/>
                <w:sz w:val="20"/>
              </w:rPr>
              <w:t>43.5</w:t>
            </w:r>
          </w:p>
        </w:tc>
        <w:tc>
          <w:tcPr>
            <w:tcW w:w="740" w:type="dxa"/>
            <w:tcBorders>
              <w:bottom w:val="single" w:sz="4" w:space="0" w:color="000000"/>
            </w:tcBorders>
          </w:tcPr>
          <w:p>
            <w:pPr>
              <w:pStyle w:val="TableParagraph"/>
              <w:spacing w:line="213" w:lineRule="exact"/>
              <w:ind w:left="64" w:right="2"/>
              <w:jc w:val="center"/>
              <w:rPr>
                <w:sz w:val="20"/>
              </w:rPr>
            </w:pPr>
            <w:r>
              <w:rPr>
                <w:spacing w:val="-10"/>
                <w:sz w:val="20"/>
              </w:rPr>
              <w:t>7</w:t>
            </w:r>
          </w:p>
        </w:tc>
        <w:tc>
          <w:tcPr>
            <w:tcW w:w="774" w:type="dxa"/>
            <w:tcBorders>
              <w:bottom w:val="single" w:sz="4" w:space="0" w:color="000000"/>
            </w:tcBorders>
          </w:tcPr>
          <w:p>
            <w:pPr>
              <w:pStyle w:val="TableParagraph"/>
              <w:spacing w:line="213" w:lineRule="exact"/>
              <w:ind w:left="6" w:right="15"/>
              <w:jc w:val="center"/>
              <w:rPr>
                <w:sz w:val="20"/>
              </w:rPr>
            </w:pPr>
            <w:r>
              <w:rPr>
                <w:spacing w:val="-4"/>
                <w:sz w:val="20"/>
              </w:rPr>
              <w:t>30.4</w:t>
            </w:r>
          </w:p>
        </w:tc>
        <w:tc>
          <w:tcPr>
            <w:tcW w:w="628" w:type="dxa"/>
            <w:tcBorders>
              <w:bottom w:val="single" w:sz="4" w:space="0" w:color="000000"/>
            </w:tcBorders>
          </w:tcPr>
          <w:p>
            <w:pPr>
              <w:pStyle w:val="TableParagraph"/>
              <w:spacing w:line="213" w:lineRule="exact"/>
              <w:ind w:left="26" w:right="19"/>
              <w:jc w:val="center"/>
              <w:rPr>
                <w:sz w:val="20"/>
              </w:rPr>
            </w:pPr>
            <w:r>
              <w:rPr>
                <w:spacing w:val="-10"/>
                <w:sz w:val="20"/>
              </w:rPr>
              <w:t>3</w:t>
            </w:r>
          </w:p>
        </w:tc>
        <w:tc>
          <w:tcPr>
            <w:tcW w:w="772" w:type="dxa"/>
            <w:tcBorders>
              <w:bottom w:val="single" w:sz="4" w:space="0" w:color="000000"/>
            </w:tcBorders>
          </w:tcPr>
          <w:p>
            <w:pPr>
              <w:pStyle w:val="TableParagraph"/>
              <w:spacing w:line="213" w:lineRule="exact"/>
              <w:ind w:left="28"/>
              <w:jc w:val="center"/>
              <w:rPr>
                <w:sz w:val="20"/>
              </w:rPr>
            </w:pPr>
            <w:r>
              <w:rPr>
                <w:spacing w:val="-4"/>
                <w:sz w:val="20"/>
              </w:rPr>
              <w:t>13.0</w:t>
            </w:r>
          </w:p>
        </w:tc>
        <w:tc>
          <w:tcPr>
            <w:tcW w:w="693" w:type="dxa"/>
            <w:tcBorders>
              <w:bottom w:val="single" w:sz="4" w:space="0" w:color="000000"/>
            </w:tcBorders>
          </w:tcPr>
          <w:p>
            <w:pPr>
              <w:pStyle w:val="TableParagraph"/>
              <w:spacing w:line="213" w:lineRule="exact"/>
              <w:ind w:left="25" w:right="26"/>
              <w:jc w:val="center"/>
              <w:rPr>
                <w:sz w:val="20"/>
              </w:rPr>
            </w:pPr>
            <w:r>
              <w:rPr>
                <w:spacing w:val="-5"/>
                <w:sz w:val="20"/>
              </w:rPr>
              <w:t>23</w:t>
            </w:r>
          </w:p>
        </w:tc>
        <w:tc>
          <w:tcPr>
            <w:tcW w:w="740" w:type="dxa"/>
            <w:tcBorders>
              <w:bottom w:val="single" w:sz="4" w:space="0" w:color="000000"/>
              <w:right w:val="single" w:sz="4" w:space="0" w:color="000000"/>
            </w:tcBorders>
          </w:tcPr>
          <w:p>
            <w:pPr>
              <w:pStyle w:val="TableParagraph"/>
              <w:spacing w:line="213" w:lineRule="exact"/>
              <w:ind w:left="15" w:right="5"/>
              <w:jc w:val="center"/>
              <w:rPr>
                <w:sz w:val="20"/>
              </w:rPr>
            </w:pPr>
            <w:r>
              <w:rPr>
                <w:spacing w:val="-5"/>
                <w:sz w:val="20"/>
              </w:rPr>
              <w:t>5.0</w:t>
            </w:r>
          </w:p>
        </w:tc>
      </w:tr>
    </w:tbl>
    <w:p>
      <w:pPr>
        <w:spacing w:after="0" w:line="213" w:lineRule="exact"/>
        <w:jc w:val="center"/>
        <w:rPr>
          <w:sz w:val="20"/>
        </w:rPr>
        <w:sectPr>
          <w:headerReference w:type="default" r:id="rId263"/>
          <w:footerReference w:type="default" r:id="rId264"/>
          <w:pgSz w:w="15840" w:h="12240" w:orient="landscape"/>
          <w:pgMar w:header="722" w:footer="791" w:top="1340" w:bottom="980" w:left="500" w:right="360"/>
        </w:sectPr>
      </w:pPr>
    </w:p>
    <w:p>
      <w:pPr>
        <w:pStyle w:val="BodyText"/>
        <w:spacing w:before="7"/>
        <w:rPr>
          <w:rFonts w:ascii="Arial"/>
          <w:b/>
          <w:sz w:val="7"/>
        </w:rPr>
      </w:pPr>
    </w:p>
    <w:tbl>
      <w:tblPr>
        <w:tblW w:w="0" w:type="auto"/>
        <w:jc w:val="left"/>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497"/>
        <w:gridCol w:w="2627"/>
        <w:gridCol w:w="701"/>
        <w:gridCol w:w="702"/>
        <w:gridCol w:w="575"/>
        <w:gridCol w:w="731"/>
        <w:gridCol w:w="741"/>
        <w:gridCol w:w="847"/>
        <w:gridCol w:w="739"/>
        <w:gridCol w:w="773"/>
        <w:gridCol w:w="627"/>
        <w:gridCol w:w="771"/>
        <w:gridCol w:w="692"/>
        <w:gridCol w:w="739"/>
      </w:tblGrid>
      <w:tr>
        <w:trPr>
          <w:trHeight w:val="277" w:hRule="atLeast"/>
        </w:trPr>
        <w:tc>
          <w:tcPr>
            <w:tcW w:w="3497" w:type="dxa"/>
            <w:vMerge w:val="restart"/>
            <w:tcBorders>
              <w:top w:val="single" w:sz="4" w:space="0" w:color="000000"/>
              <w:left w:val="single" w:sz="4" w:space="0" w:color="000000"/>
              <w:bottom w:val="single" w:sz="4" w:space="0" w:color="000000"/>
            </w:tcBorders>
          </w:tcPr>
          <w:p>
            <w:pPr>
              <w:pStyle w:val="TableParagraph"/>
              <w:rPr>
                <w:rFonts w:ascii="Arial"/>
                <w:b/>
                <w:sz w:val="20"/>
              </w:rPr>
            </w:pPr>
          </w:p>
          <w:p>
            <w:pPr>
              <w:pStyle w:val="TableParagraph"/>
              <w:spacing w:before="221"/>
              <w:rPr>
                <w:rFonts w:ascii="Arial"/>
                <w:b/>
                <w:sz w:val="20"/>
              </w:rPr>
            </w:pPr>
          </w:p>
          <w:p>
            <w:pPr>
              <w:pStyle w:val="TableParagraph"/>
              <w:tabs>
                <w:tab w:pos="830" w:val="left" w:leader="none"/>
              </w:tabs>
              <w:ind w:left="134"/>
              <w:rPr>
                <w:rFonts w:ascii="Arial"/>
                <w:b/>
                <w:sz w:val="20"/>
              </w:rPr>
            </w:pPr>
            <w:r>
              <w:rPr>
                <w:rFonts w:ascii="Arial"/>
                <w:b/>
                <w:spacing w:val="-4"/>
                <w:sz w:val="20"/>
              </w:rPr>
              <w:t>S/No</w:t>
            </w:r>
            <w:r>
              <w:rPr>
                <w:rFonts w:ascii="Arial"/>
                <w:b/>
                <w:sz w:val="20"/>
              </w:rPr>
              <w:tab/>
              <w:t>Item</w:t>
            </w:r>
            <w:r>
              <w:rPr>
                <w:rFonts w:ascii="Arial"/>
                <w:b/>
                <w:spacing w:val="-2"/>
                <w:sz w:val="20"/>
              </w:rPr>
              <w:t> Statements</w:t>
            </w:r>
          </w:p>
        </w:tc>
        <w:tc>
          <w:tcPr>
            <w:tcW w:w="2627" w:type="dxa"/>
            <w:vMerge w:val="restart"/>
            <w:tcBorders>
              <w:top w:val="single" w:sz="4" w:space="0" w:color="000000"/>
              <w:bottom w:val="single" w:sz="4" w:space="0" w:color="000000"/>
              <w:right w:val="single" w:sz="4" w:space="0" w:color="000000"/>
            </w:tcBorders>
          </w:tcPr>
          <w:p>
            <w:pPr>
              <w:pStyle w:val="TableParagraph"/>
              <w:rPr>
                <w:rFonts w:ascii="Arial"/>
                <w:b/>
                <w:sz w:val="20"/>
              </w:rPr>
            </w:pPr>
          </w:p>
          <w:p>
            <w:pPr>
              <w:pStyle w:val="TableParagraph"/>
              <w:spacing w:before="221"/>
              <w:rPr>
                <w:rFonts w:ascii="Arial"/>
                <w:b/>
                <w:sz w:val="20"/>
              </w:rPr>
            </w:pPr>
          </w:p>
          <w:p>
            <w:pPr>
              <w:pStyle w:val="TableParagraph"/>
              <w:ind w:left="400" w:right="945"/>
              <w:rPr>
                <w:rFonts w:ascii="Arial"/>
                <w:b/>
                <w:sz w:val="20"/>
              </w:rPr>
            </w:pPr>
            <w:r>
              <w:rPr>
                <w:rFonts w:ascii="Arial"/>
                <w:b/>
                <w:sz w:val="20"/>
              </w:rPr>
              <w:t>Category of </w:t>
            </w:r>
            <w:r>
              <w:rPr>
                <w:rFonts w:ascii="Arial"/>
                <w:b/>
                <w:spacing w:val="-2"/>
                <w:sz w:val="20"/>
              </w:rPr>
              <w:t>Respondents</w:t>
            </w:r>
          </w:p>
        </w:tc>
        <w:tc>
          <w:tcPr>
            <w:tcW w:w="8638" w:type="dxa"/>
            <w:gridSpan w:val="12"/>
            <w:tcBorders>
              <w:top w:val="single" w:sz="4" w:space="0" w:color="000000"/>
              <w:left w:val="single" w:sz="4" w:space="0" w:color="000000"/>
              <w:bottom w:val="single" w:sz="4" w:space="0" w:color="000000"/>
              <w:right w:val="single" w:sz="4" w:space="0" w:color="000000"/>
            </w:tcBorders>
          </w:tcPr>
          <w:p>
            <w:pPr>
              <w:pStyle w:val="TableParagraph"/>
              <w:spacing w:line="258" w:lineRule="exact"/>
              <w:ind w:right="1369"/>
              <w:jc w:val="center"/>
              <w:rPr>
                <w:rFonts w:ascii="Arial"/>
                <w:b/>
                <w:sz w:val="24"/>
              </w:rPr>
            </w:pPr>
            <w:r>
              <w:rPr>
                <w:rFonts w:ascii="Arial"/>
                <w:b/>
                <w:spacing w:val="-2"/>
                <w:sz w:val="24"/>
              </w:rPr>
              <w:t>Responses</w:t>
            </w:r>
          </w:p>
        </w:tc>
      </w:tr>
      <w:tr>
        <w:trPr>
          <w:trHeight w:val="686" w:hRule="atLeast"/>
        </w:trPr>
        <w:tc>
          <w:tcPr>
            <w:tcW w:w="3497" w:type="dxa"/>
            <w:vMerge/>
            <w:tcBorders>
              <w:top w:val="nil"/>
              <w:left w:val="single" w:sz="4" w:space="0" w:color="000000"/>
              <w:bottom w:val="single" w:sz="4" w:space="0" w:color="000000"/>
            </w:tcBorders>
          </w:tcPr>
          <w:p>
            <w:pPr>
              <w:rPr>
                <w:sz w:val="2"/>
                <w:szCs w:val="2"/>
              </w:rPr>
            </w:pPr>
          </w:p>
        </w:tc>
        <w:tc>
          <w:tcPr>
            <w:tcW w:w="2627" w:type="dxa"/>
            <w:vMerge/>
            <w:tcBorders>
              <w:top w:val="nil"/>
              <w:bottom w:val="single" w:sz="4" w:space="0" w:color="000000"/>
              <w:right w:val="single" w:sz="4" w:space="0" w:color="000000"/>
            </w:tcBorders>
          </w:tcPr>
          <w:p>
            <w:pPr>
              <w:rPr>
                <w:sz w:val="2"/>
                <w:szCs w:val="2"/>
              </w:rPr>
            </w:pPr>
          </w:p>
        </w:tc>
        <w:tc>
          <w:tcPr>
            <w:tcW w:w="8638" w:type="dxa"/>
            <w:gridSpan w:val="12"/>
            <w:tcBorders>
              <w:top w:val="single" w:sz="4" w:space="0" w:color="000000"/>
              <w:left w:val="single" w:sz="4" w:space="0" w:color="000000"/>
              <w:bottom w:val="single" w:sz="4" w:space="0" w:color="000000"/>
              <w:right w:val="single" w:sz="4" w:space="0" w:color="000000"/>
            </w:tcBorders>
          </w:tcPr>
          <w:p>
            <w:pPr>
              <w:pStyle w:val="TableParagraph"/>
              <w:tabs>
                <w:tab w:pos="1608" w:val="left" w:leader="none"/>
                <w:tab w:pos="1848" w:val="left" w:leader="none"/>
                <w:tab w:pos="3062" w:val="left" w:leader="none"/>
                <w:tab w:pos="4598" w:val="left" w:leader="none"/>
                <w:tab w:pos="4886" w:val="left" w:leader="none"/>
                <w:tab w:pos="6058" w:val="left" w:leader="none"/>
                <w:tab w:pos="6317" w:val="left" w:leader="none"/>
                <w:tab w:pos="7675" w:val="left" w:leader="none"/>
              </w:tabs>
              <w:ind w:left="336" w:right="467" w:firstLine="96"/>
              <w:rPr>
                <w:rFonts w:ascii="Arial"/>
                <w:b/>
                <w:sz w:val="20"/>
              </w:rPr>
            </w:pPr>
            <w:r>
              <w:rPr>
                <w:rFonts w:ascii="Arial"/>
                <w:b/>
                <w:sz w:val="20"/>
              </w:rPr>
              <w:t>No. of</w:t>
              <w:tab/>
              <w:tab/>
            </w:r>
            <w:r>
              <w:rPr>
                <w:rFonts w:ascii="Arial"/>
                <w:b/>
                <w:spacing w:val="-4"/>
                <w:sz w:val="20"/>
              </w:rPr>
              <w:t>Very</w:t>
            </w:r>
            <w:r>
              <w:rPr>
                <w:rFonts w:ascii="Arial"/>
                <w:b/>
                <w:sz w:val="20"/>
              </w:rPr>
              <w:tab/>
            </w:r>
            <w:r>
              <w:rPr>
                <w:rFonts w:ascii="Arial"/>
                <w:b/>
                <w:spacing w:val="-2"/>
                <w:sz w:val="20"/>
              </w:rPr>
              <w:t>Adequate</w:t>
            </w:r>
            <w:r>
              <w:rPr>
                <w:rFonts w:ascii="Arial"/>
                <w:b/>
                <w:sz w:val="20"/>
              </w:rPr>
              <w:tab/>
              <w:tab/>
            </w:r>
            <w:r>
              <w:rPr>
                <w:rFonts w:ascii="Arial"/>
                <w:b/>
                <w:spacing w:val="-4"/>
                <w:sz w:val="20"/>
              </w:rPr>
              <w:t>Not</w:t>
            </w:r>
            <w:r>
              <w:rPr>
                <w:rFonts w:ascii="Arial"/>
                <w:b/>
                <w:sz w:val="20"/>
              </w:rPr>
              <w:tab/>
              <w:tab/>
            </w:r>
            <w:r>
              <w:rPr>
                <w:rFonts w:ascii="Arial"/>
                <w:b/>
                <w:spacing w:val="-4"/>
                <w:sz w:val="20"/>
              </w:rPr>
              <w:t>Not</w:t>
            </w:r>
            <w:r>
              <w:rPr>
                <w:rFonts w:ascii="Arial"/>
                <w:b/>
                <w:sz w:val="20"/>
              </w:rPr>
              <w:tab/>
            </w:r>
            <w:r>
              <w:rPr>
                <w:rFonts w:ascii="Arial"/>
                <w:b/>
                <w:spacing w:val="-2"/>
                <w:sz w:val="20"/>
              </w:rPr>
              <w:t>Total missing</w:t>
            </w:r>
            <w:r>
              <w:rPr>
                <w:rFonts w:ascii="Arial"/>
                <w:b/>
                <w:sz w:val="20"/>
              </w:rPr>
              <w:tab/>
            </w:r>
            <w:r>
              <w:rPr>
                <w:rFonts w:ascii="Arial"/>
                <w:b/>
                <w:spacing w:val="-2"/>
                <w:sz w:val="20"/>
              </w:rPr>
              <w:t>Adequate</w:t>
            </w:r>
            <w:r>
              <w:rPr>
                <w:rFonts w:ascii="Arial"/>
                <w:b/>
                <w:sz w:val="20"/>
              </w:rPr>
              <w:tab/>
              <w:tab/>
            </w:r>
            <w:r>
              <w:rPr>
                <w:rFonts w:ascii="Arial"/>
                <w:b/>
                <w:spacing w:val="-2"/>
                <w:sz w:val="20"/>
              </w:rPr>
              <w:t>Adequate</w:t>
            </w:r>
            <w:r>
              <w:rPr>
                <w:rFonts w:ascii="Arial"/>
                <w:b/>
                <w:sz w:val="20"/>
              </w:rPr>
              <w:tab/>
            </w:r>
            <w:r>
              <w:rPr>
                <w:rFonts w:ascii="Arial"/>
                <w:b/>
                <w:spacing w:val="-2"/>
                <w:sz w:val="20"/>
              </w:rPr>
              <w:t>Provided</w:t>
            </w:r>
          </w:p>
          <w:p>
            <w:pPr>
              <w:pStyle w:val="TableParagraph"/>
              <w:spacing w:line="216" w:lineRule="exact"/>
              <w:ind w:left="149"/>
              <w:rPr>
                <w:rFonts w:ascii="Arial"/>
                <w:b/>
                <w:sz w:val="20"/>
              </w:rPr>
            </w:pPr>
            <w:r>
              <w:rPr>
                <w:rFonts w:ascii="Arial"/>
                <w:b/>
                <w:spacing w:val="-2"/>
                <w:sz w:val="20"/>
              </w:rPr>
              <w:t>observation</w:t>
            </w:r>
          </w:p>
        </w:tc>
      </w:tr>
      <w:tr>
        <w:trPr>
          <w:trHeight w:val="321" w:hRule="atLeast"/>
        </w:trPr>
        <w:tc>
          <w:tcPr>
            <w:tcW w:w="3497" w:type="dxa"/>
            <w:vMerge/>
            <w:tcBorders>
              <w:top w:val="nil"/>
              <w:left w:val="single" w:sz="4" w:space="0" w:color="000000"/>
              <w:bottom w:val="single" w:sz="4" w:space="0" w:color="000000"/>
            </w:tcBorders>
          </w:tcPr>
          <w:p>
            <w:pPr>
              <w:rPr>
                <w:sz w:val="2"/>
                <w:szCs w:val="2"/>
              </w:rPr>
            </w:pPr>
          </w:p>
        </w:tc>
        <w:tc>
          <w:tcPr>
            <w:tcW w:w="2627" w:type="dxa"/>
            <w:vMerge/>
            <w:tcBorders>
              <w:top w:val="nil"/>
              <w:bottom w:val="single" w:sz="4" w:space="0" w:color="000000"/>
              <w:right w:val="single" w:sz="4" w:space="0" w:color="000000"/>
            </w:tcBorders>
          </w:tcPr>
          <w:p>
            <w:pPr>
              <w:rPr>
                <w:sz w:val="2"/>
                <w:szCs w:val="2"/>
              </w:rPr>
            </w:pPr>
          </w:p>
        </w:tc>
        <w:tc>
          <w:tcPr>
            <w:tcW w:w="701" w:type="dxa"/>
            <w:tcBorders>
              <w:top w:val="single" w:sz="4" w:space="0" w:color="000000"/>
              <w:left w:val="single" w:sz="4" w:space="0" w:color="000000"/>
              <w:bottom w:val="single" w:sz="4" w:space="0" w:color="000000"/>
            </w:tcBorders>
          </w:tcPr>
          <w:p>
            <w:pPr>
              <w:pStyle w:val="TableParagraph"/>
              <w:spacing w:line="220" w:lineRule="exact"/>
              <w:ind w:left="23"/>
              <w:jc w:val="center"/>
              <w:rPr>
                <w:rFonts w:ascii="Arial"/>
                <w:b/>
                <w:sz w:val="20"/>
              </w:rPr>
            </w:pPr>
            <w:r>
              <w:rPr>
                <w:rFonts w:ascii="Arial"/>
                <w:b/>
                <w:spacing w:val="-10"/>
                <w:sz w:val="20"/>
              </w:rPr>
              <w:t>F</w:t>
            </w:r>
          </w:p>
        </w:tc>
        <w:tc>
          <w:tcPr>
            <w:tcW w:w="702" w:type="dxa"/>
            <w:tcBorders>
              <w:top w:val="single" w:sz="4" w:space="0" w:color="000000"/>
              <w:bottom w:val="single" w:sz="4" w:space="0" w:color="000000"/>
            </w:tcBorders>
          </w:tcPr>
          <w:p>
            <w:pPr>
              <w:pStyle w:val="TableParagraph"/>
              <w:spacing w:line="220" w:lineRule="exact"/>
              <w:ind w:left="64"/>
              <w:jc w:val="center"/>
              <w:rPr>
                <w:rFonts w:ascii="Arial"/>
                <w:b/>
                <w:sz w:val="20"/>
              </w:rPr>
            </w:pPr>
            <w:r>
              <w:rPr>
                <w:rFonts w:ascii="Arial"/>
                <w:b/>
                <w:spacing w:val="-10"/>
                <w:sz w:val="20"/>
              </w:rPr>
              <w:t>%</w:t>
            </w:r>
          </w:p>
        </w:tc>
        <w:tc>
          <w:tcPr>
            <w:tcW w:w="575" w:type="dxa"/>
            <w:tcBorders>
              <w:top w:val="single" w:sz="4" w:space="0" w:color="000000"/>
              <w:bottom w:val="single" w:sz="4" w:space="0" w:color="000000"/>
            </w:tcBorders>
          </w:tcPr>
          <w:p>
            <w:pPr>
              <w:pStyle w:val="TableParagraph"/>
              <w:spacing w:line="220" w:lineRule="exact"/>
              <w:ind w:left="46"/>
              <w:jc w:val="center"/>
              <w:rPr>
                <w:rFonts w:ascii="Arial"/>
                <w:b/>
                <w:sz w:val="20"/>
              </w:rPr>
            </w:pPr>
            <w:r>
              <w:rPr>
                <w:rFonts w:ascii="Arial"/>
                <w:b/>
                <w:spacing w:val="-10"/>
                <w:sz w:val="20"/>
              </w:rPr>
              <w:t>F</w:t>
            </w:r>
          </w:p>
        </w:tc>
        <w:tc>
          <w:tcPr>
            <w:tcW w:w="731" w:type="dxa"/>
            <w:tcBorders>
              <w:top w:val="single" w:sz="4" w:space="0" w:color="000000"/>
              <w:bottom w:val="single" w:sz="4" w:space="0" w:color="000000"/>
            </w:tcBorders>
          </w:tcPr>
          <w:p>
            <w:pPr>
              <w:pStyle w:val="TableParagraph"/>
              <w:spacing w:line="220" w:lineRule="exact"/>
              <w:ind w:left="69" w:right="63"/>
              <w:jc w:val="center"/>
              <w:rPr>
                <w:rFonts w:ascii="Arial"/>
                <w:b/>
                <w:sz w:val="20"/>
              </w:rPr>
            </w:pPr>
            <w:r>
              <w:rPr>
                <w:rFonts w:ascii="Arial"/>
                <w:b/>
                <w:spacing w:val="-10"/>
                <w:sz w:val="20"/>
              </w:rPr>
              <w:t>%</w:t>
            </w:r>
          </w:p>
        </w:tc>
        <w:tc>
          <w:tcPr>
            <w:tcW w:w="741" w:type="dxa"/>
            <w:tcBorders>
              <w:top w:val="single" w:sz="4" w:space="0" w:color="000000"/>
              <w:bottom w:val="single" w:sz="4" w:space="0" w:color="000000"/>
            </w:tcBorders>
          </w:tcPr>
          <w:p>
            <w:pPr>
              <w:pStyle w:val="TableParagraph"/>
              <w:spacing w:line="220" w:lineRule="exact"/>
              <w:ind w:left="11" w:right="33"/>
              <w:jc w:val="center"/>
              <w:rPr>
                <w:rFonts w:ascii="Arial"/>
                <w:b/>
                <w:sz w:val="20"/>
              </w:rPr>
            </w:pPr>
            <w:r>
              <w:rPr>
                <w:rFonts w:ascii="Arial"/>
                <w:b/>
                <w:spacing w:val="-10"/>
                <w:sz w:val="20"/>
              </w:rPr>
              <w:t>F</w:t>
            </w:r>
          </w:p>
        </w:tc>
        <w:tc>
          <w:tcPr>
            <w:tcW w:w="847" w:type="dxa"/>
            <w:tcBorders>
              <w:top w:val="single" w:sz="4" w:space="0" w:color="000000"/>
              <w:bottom w:val="single" w:sz="4" w:space="0" w:color="000000"/>
            </w:tcBorders>
          </w:tcPr>
          <w:p>
            <w:pPr>
              <w:pStyle w:val="TableParagraph"/>
              <w:spacing w:line="220" w:lineRule="exact"/>
              <w:ind w:left="27"/>
              <w:jc w:val="center"/>
              <w:rPr>
                <w:rFonts w:ascii="Arial"/>
                <w:b/>
                <w:sz w:val="20"/>
              </w:rPr>
            </w:pPr>
            <w:r>
              <w:rPr>
                <w:rFonts w:ascii="Arial"/>
                <w:b/>
                <w:spacing w:val="-10"/>
                <w:sz w:val="20"/>
              </w:rPr>
              <w:t>%</w:t>
            </w:r>
          </w:p>
        </w:tc>
        <w:tc>
          <w:tcPr>
            <w:tcW w:w="739" w:type="dxa"/>
            <w:tcBorders>
              <w:top w:val="single" w:sz="4" w:space="0" w:color="000000"/>
              <w:bottom w:val="single" w:sz="4" w:space="0" w:color="000000"/>
            </w:tcBorders>
          </w:tcPr>
          <w:p>
            <w:pPr>
              <w:pStyle w:val="TableParagraph"/>
              <w:spacing w:line="220" w:lineRule="exact"/>
              <w:ind w:left="75"/>
              <w:jc w:val="center"/>
              <w:rPr>
                <w:rFonts w:ascii="Arial"/>
                <w:b/>
                <w:sz w:val="20"/>
              </w:rPr>
            </w:pPr>
            <w:r>
              <w:rPr>
                <w:rFonts w:ascii="Arial"/>
                <w:b/>
                <w:spacing w:val="-10"/>
                <w:sz w:val="20"/>
              </w:rPr>
              <w:t>F</w:t>
            </w:r>
          </w:p>
        </w:tc>
        <w:tc>
          <w:tcPr>
            <w:tcW w:w="773" w:type="dxa"/>
            <w:tcBorders>
              <w:top w:val="single" w:sz="4" w:space="0" w:color="000000"/>
              <w:bottom w:val="single" w:sz="4" w:space="0" w:color="000000"/>
            </w:tcBorders>
          </w:tcPr>
          <w:p>
            <w:pPr>
              <w:pStyle w:val="TableParagraph"/>
              <w:spacing w:line="220" w:lineRule="exact"/>
              <w:ind w:left="66" w:right="65"/>
              <w:jc w:val="center"/>
              <w:rPr>
                <w:rFonts w:ascii="Arial"/>
                <w:b/>
                <w:sz w:val="20"/>
              </w:rPr>
            </w:pPr>
            <w:r>
              <w:rPr>
                <w:rFonts w:ascii="Arial"/>
                <w:b/>
                <w:spacing w:val="-10"/>
                <w:sz w:val="20"/>
              </w:rPr>
              <w:t>%</w:t>
            </w:r>
          </w:p>
        </w:tc>
        <w:tc>
          <w:tcPr>
            <w:tcW w:w="627" w:type="dxa"/>
            <w:tcBorders>
              <w:top w:val="single" w:sz="4" w:space="0" w:color="000000"/>
              <w:bottom w:val="single" w:sz="4" w:space="0" w:color="000000"/>
            </w:tcBorders>
          </w:tcPr>
          <w:p>
            <w:pPr>
              <w:pStyle w:val="TableParagraph"/>
              <w:spacing w:line="220" w:lineRule="exact"/>
              <w:ind w:left="33" w:right="10"/>
              <w:jc w:val="center"/>
              <w:rPr>
                <w:rFonts w:ascii="Arial"/>
                <w:b/>
                <w:sz w:val="20"/>
              </w:rPr>
            </w:pPr>
            <w:r>
              <w:rPr>
                <w:rFonts w:ascii="Arial"/>
                <w:b/>
                <w:spacing w:val="-10"/>
                <w:sz w:val="20"/>
              </w:rPr>
              <w:t>F</w:t>
            </w:r>
          </w:p>
        </w:tc>
        <w:tc>
          <w:tcPr>
            <w:tcW w:w="771" w:type="dxa"/>
            <w:tcBorders>
              <w:top w:val="single" w:sz="4" w:space="0" w:color="000000"/>
              <w:bottom w:val="single" w:sz="4" w:space="0" w:color="000000"/>
            </w:tcBorders>
          </w:tcPr>
          <w:p>
            <w:pPr>
              <w:pStyle w:val="TableParagraph"/>
              <w:spacing w:line="220" w:lineRule="exact"/>
              <w:ind w:left="59" w:right="14"/>
              <w:jc w:val="center"/>
              <w:rPr>
                <w:rFonts w:ascii="Arial"/>
                <w:b/>
                <w:sz w:val="20"/>
              </w:rPr>
            </w:pPr>
            <w:r>
              <w:rPr>
                <w:rFonts w:ascii="Arial"/>
                <w:b/>
                <w:spacing w:val="-10"/>
                <w:sz w:val="20"/>
              </w:rPr>
              <w:t>%</w:t>
            </w:r>
          </w:p>
        </w:tc>
        <w:tc>
          <w:tcPr>
            <w:tcW w:w="692" w:type="dxa"/>
            <w:tcBorders>
              <w:top w:val="single" w:sz="4" w:space="0" w:color="000000"/>
              <w:bottom w:val="single" w:sz="4" w:space="0" w:color="000000"/>
            </w:tcBorders>
          </w:tcPr>
          <w:p>
            <w:pPr>
              <w:pStyle w:val="TableParagraph"/>
              <w:spacing w:line="220" w:lineRule="exact"/>
              <w:ind w:left="36" w:right="13"/>
              <w:jc w:val="center"/>
              <w:rPr>
                <w:rFonts w:ascii="Arial"/>
                <w:b/>
                <w:sz w:val="20"/>
              </w:rPr>
            </w:pPr>
            <w:r>
              <w:rPr>
                <w:rFonts w:ascii="Arial"/>
                <w:b/>
                <w:spacing w:val="-10"/>
                <w:sz w:val="20"/>
              </w:rPr>
              <w:t>F</w:t>
            </w:r>
          </w:p>
        </w:tc>
        <w:tc>
          <w:tcPr>
            <w:tcW w:w="739" w:type="dxa"/>
            <w:tcBorders>
              <w:top w:val="single" w:sz="4" w:space="0" w:color="000000"/>
              <w:bottom w:val="single" w:sz="4" w:space="0" w:color="000000"/>
              <w:right w:val="single" w:sz="4" w:space="0" w:color="000000"/>
            </w:tcBorders>
          </w:tcPr>
          <w:p>
            <w:pPr>
              <w:pStyle w:val="TableParagraph"/>
              <w:spacing w:line="220" w:lineRule="exact"/>
              <w:ind w:left="38" w:right="2"/>
              <w:jc w:val="center"/>
              <w:rPr>
                <w:rFonts w:ascii="Arial"/>
                <w:b/>
                <w:sz w:val="20"/>
              </w:rPr>
            </w:pPr>
            <w:r>
              <w:rPr>
                <w:rFonts w:ascii="Arial"/>
                <w:b/>
                <w:spacing w:val="-10"/>
                <w:sz w:val="20"/>
              </w:rPr>
              <w:t>%</w:t>
            </w:r>
          </w:p>
        </w:tc>
      </w:tr>
      <w:tr>
        <w:trPr>
          <w:trHeight w:val="222" w:hRule="atLeast"/>
        </w:trPr>
        <w:tc>
          <w:tcPr>
            <w:tcW w:w="3497" w:type="dxa"/>
            <w:vMerge w:val="restart"/>
            <w:tcBorders>
              <w:top w:val="single" w:sz="4" w:space="0" w:color="000000"/>
              <w:left w:val="single" w:sz="4" w:space="0" w:color="000000"/>
              <w:bottom w:val="single" w:sz="4" w:space="0" w:color="000000"/>
            </w:tcBorders>
          </w:tcPr>
          <w:p>
            <w:pPr>
              <w:pStyle w:val="TableParagraph"/>
              <w:numPr>
                <w:ilvl w:val="0"/>
                <w:numId w:val="41"/>
              </w:numPr>
              <w:tabs>
                <w:tab w:pos="830" w:val="left" w:leader="none"/>
              </w:tabs>
              <w:spacing w:line="240" w:lineRule="auto" w:before="225" w:after="0"/>
              <w:ind w:left="830" w:right="0" w:hanging="552"/>
              <w:jc w:val="left"/>
              <w:rPr>
                <w:sz w:val="20"/>
              </w:rPr>
            </w:pPr>
            <w:r>
              <w:rPr>
                <w:spacing w:val="-2"/>
                <w:sz w:val="20"/>
              </w:rPr>
              <w:t>Banking</w:t>
            </w:r>
          </w:p>
          <w:p>
            <w:pPr>
              <w:pStyle w:val="TableParagraph"/>
              <w:rPr>
                <w:rFonts w:ascii="Arial"/>
                <w:b/>
                <w:sz w:val="20"/>
              </w:rPr>
            </w:pPr>
          </w:p>
          <w:p>
            <w:pPr>
              <w:pStyle w:val="TableParagraph"/>
              <w:rPr>
                <w:rFonts w:ascii="Arial"/>
                <w:b/>
                <w:sz w:val="20"/>
              </w:rPr>
            </w:pPr>
          </w:p>
          <w:p>
            <w:pPr>
              <w:pStyle w:val="TableParagraph"/>
              <w:spacing w:before="49"/>
              <w:rPr>
                <w:rFonts w:ascii="Arial"/>
                <w:b/>
                <w:sz w:val="20"/>
              </w:rPr>
            </w:pPr>
          </w:p>
          <w:p>
            <w:pPr>
              <w:pStyle w:val="TableParagraph"/>
              <w:numPr>
                <w:ilvl w:val="0"/>
                <w:numId w:val="41"/>
              </w:numPr>
              <w:tabs>
                <w:tab w:pos="830" w:val="left" w:leader="none"/>
              </w:tabs>
              <w:spacing w:line="240" w:lineRule="auto" w:before="0" w:after="0"/>
              <w:ind w:left="830" w:right="0" w:hanging="552"/>
              <w:jc w:val="left"/>
              <w:rPr>
                <w:sz w:val="20"/>
              </w:rPr>
            </w:pPr>
            <w:r>
              <w:rPr>
                <w:sz w:val="20"/>
              </w:rPr>
              <w:t>Religious</w:t>
            </w:r>
            <w:r>
              <w:rPr>
                <w:spacing w:val="-9"/>
                <w:sz w:val="20"/>
              </w:rPr>
              <w:t> </w:t>
            </w:r>
            <w:r>
              <w:rPr>
                <w:spacing w:val="-2"/>
                <w:sz w:val="20"/>
              </w:rPr>
              <w:t>Services</w:t>
            </w:r>
          </w:p>
          <w:p>
            <w:pPr>
              <w:pStyle w:val="TableParagraph"/>
              <w:rPr>
                <w:rFonts w:ascii="Arial"/>
                <w:b/>
                <w:sz w:val="20"/>
              </w:rPr>
            </w:pPr>
          </w:p>
          <w:p>
            <w:pPr>
              <w:pStyle w:val="TableParagraph"/>
              <w:rPr>
                <w:rFonts w:ascii="Arial"/>
                <w:b/>
                <w:sz w:val="20"/>
              </w:rPr>
            </w:pPr>
          </w:p>
          <w:p>
            <w:pPr>
              <w:pStyle w:val="TableParagraph"/>
              <w:rPr>
                <w:rFonts w:ascii="Arial"/>
                <w:b/>
                <w:sz w:val="20"/>
              </w:rPr>
            </w:pPr>
          </w:p>
          <w:p>
            <w:pPr>
              <w:pStyle w:val="TableParagraph"/>
              <w:spacing w:before="50"/>
              <w:rPr>
                <w:rFonts w:ascii="Arial"/>
                <w:b/>
                <w:sz w:val="20"/>
              </w:rPr>
            </w:pPr>
          </w:p>
          <w:p>
            <w:pPr>
              <w:pStyle w:val="TableParagraph"/>
              <w:numPr>
                <w:ilvl w:val="0"/>
                <w:numId w:val="41"/>
              </w:numPr>
              <w:tabs>
                <w:tab w:pos="830" w:val="left" w:leader="none"/>
              </w:tabs>
              <w:spacing w:line="240" w:lineRule="auto" w:before="0" w:after="0"/>
              <w:ind w:left="830" w:right="833" w:hanging="552"/>
              <w:jc w:val="left"/>
              <w:rPr>
                <w:sz w:val="20"/>
              </w:rPr>
            </w:pPr>
            <w:r>
              <w:rPr>
                <w:sz w:val="20"/>
              </w:rPr>
              <w:t>Clubs,</w:t>
            </w:r>
            <w:r>
              <w:rPr>
                <w:spacing w:val="-14"/>
                <w:sz w:val="20"/>
              </w:rPr>
              <w:t> </w:t>
            </w:r>
            <w:r>
              <w:rPr>
                <w:sz w:val="20"/>
              </w:rPr>
              <w:t>Societies</w:t>
            </w:r>
            <w:r>
              <w:rPr>
                <w:spacing w:val="-14"/>
                <w:sz w:val="20"/>
              </w:rPr>
              <w:t> </w:t>
            </w:r>
            <w:r>
              <w:rPr>
                <w:sz w:val="20"/>
              </w:rPr>
              <w:t>and </w:t>
            </w:r>
            <w:r>
              <w:rPr>
                <w:spacing w:val="-2"/>
                <w:sz w:val="20"/>
              </w:rPr>
              <w:t>Associations</w:t>
            </w:r>
          </w:p>
          <w:p>
            <w:pPr>
              <w:pStyle w:val="TableParagraph"/>
              <w:rPr>
                <w:rFonts w:ascii="Arial"/>
                <w:b/>
                <w:sz w:val="20"/>
              </w:rPr>
            </w:pPr>
          </w:p>
          <w:p>
            <w:pPr>
              <w:pStyle w:val="TableParagraph"/>
              <w:rPr>
                <w:rFonts w:ascii="Arial"/>
                <w:b/>
                <w:sz w:val="20"/>
              </w:rPr>
            </w:pPr>
          </w:p>
          <w:p>
            <w:pPr>
              <w:pStyle w:val="TableParagraph"/>
              <w:spacing w:before="65"/>
              <w:rPr>
                <w:rFonts w:ascii="Arial"/>
                <w:b/>
                <w:sz w:val="20"/>
              </w:rPr>
            </w:pPr>
          </w:p>
          <w:p>
            <w:pPr>
              <w:pStyle w:val="TableParagraph"/>
              <w:numPr>
                <w:ilvl w:val="0"/>
                <w:numId w:val="41"/>
              </w:numPr>
              <w:tabs>
                <w:tab w:pos="830" w:val="left" w:leader="none"/>
              </w:tabs>
              <w:spacing w:line="240" w:lineRule="auto" w:before="0" w:after="0"/>
              <w:ind w:left="830" w:right="388" w:hanging="610"/>
              <w:jc w:val="left"/>
              <w:rPr>
                <w:sz w:val="20"/>
              </w:rPr>
            </w:pPr>
            <w:r>
              <w:rPr>
                <w:sz w:val="20"/>
              </w:rPr>
              <w:t>Shopping and Marketing facilities,</w:t>
            </w:r>
            <w:r>
              <w:rPr>
                <w:spacing w:val="-14"/>
                <w:sz w:val="20"/>
              </w:rPr>
              <w:t> </w:t>
            </w:r>
            <w:r>
              <w:rPr>
                <w:sz w:val="20"/>
              </w:rPr>
              <w:t>Student</w:t>
            </w:r>
            <w:r>
              <w:rPr>
                <w:spacing w:val="-14"/>
                <w:sz w:val="20"/>
              </w:rPr>
              <w:t> </w:t>
            </w:r>
            <w:r>
              <w:rPr>
                <w:sz w:val="20"/>
              </w:rPr>
              <w:t>Centres</w:t>
            </w:r>
          </w:p>
          <w:p>
            <w:pPr>
              <w:pStyle w:val="TableParagraph"/>
              <w:rPr>
                <w:rFonts w:ascii="Arial"/>
                <w:b/>
                <w:sz w:val="20"/>
              </w:rPr>
            </w:pPr>
          </w:p>
          <w:p>
            <w:pPr>
              <w:pStyle w:val="TableParagraph"/>
              <w:rPr>
                <w:rFonts w:ascii="Arial"/>
                <w:b/>
                <w:sz w:val="20"/>
              </w:rPr>
            </w:pPr>
          </w:p>
          <w:p>
            <w:pPr>
              <w:pStyle w:val="TableParagraph"/>
              <w:spacing w:before="7"/>
              <w:rPr>
                <w:rFonts w:ascii="Arial"/>
                <w:b/>
                <w:sz w:val="20"/>
              </w:rPr>
            </w:pPr>
          </w:p>
          <w:p>
            <w:pPr>
              <w:pStyle w:val="TableParagraph"/>
              <w:numPr>
                <w:ilvl w:val="0"/>
                <w:numId w:val="41"/>
              </w:numPr>
              <w:tabs>
                <w:tab w:pos="830" w:val="left" w:leader="none"/>
              </w:tabs>
              <w:spacing w:line="240" w:lineRule="auto" w:before="0" w:after="0"/>
              <w:ind w:left="830" w:right="0" w:hanging="610"/>
              <w:jc w:val="left"/>
              <w:rPr>
                <w:sz w:val="20"/>
              </w:rPr>
            </w:pPr>
            <w:r>
              <w:rPr>
                <w:sz w:val="20"/>
              </w:rPr>
              <w:t>Electricity</w:t>
            </w:r>
            <w:r>
              <w:rPr>
                <w:spacing w:val="-6"/>
                <w:sz w:val="20"/>
              </w:rPr>
              <w:t> </w:t>
            </w:r>
            <w:r>
              <w:rPr>
                <w:spacing w:val="-2"/>
                <w:sz w:val="20"/>
              </w:rPr>
              <w:t>Supplies</w:t>
            </w:r>
          </w:p>
          <w:p>
            <w:pPr>
              <w:pStyle w:val="TableParagraph"/>
              <w:rPr>
                <w:rFonts w:ascii="Arial"/>
                <w:b/>
                <w:sz w:val="20"/>
              </w:rPr>
            </w:pPr>
          </w:p>
          <w:p>
            <w:pPr>
              <w:pStyle w:val="TableParagraph"/>
              <w:rPr>
                <w:rFonts w:ascii="Arial"/>
                <w:b/>
                <w:sz w:val="20"/>
              </w:rPr>
            </w:pPr>
          </w:p>
          <w:p>
            <w:pPr>
              <w:pStyle w:val="TableParagraph"/>
              <w:rPr>
                <w:rFonts w:ascii="Arial"/>
                <w:b/>
                <w:sz w:val="20"/>
              </w:rPr>
            </w:pPr>
          </w:p>
          <w:p>
            <w:pPr>
              <w:pStyle w:val="TableParagraph"/>
              <w:spacing w:before="64"/>
              <w:rPr>
                <w:rFonts w:ascii="Arial"/>
                <w:b/>
                <w:sz w:val="20"/>
              </w:rPr>
            </w:pPr>
          </w:p>
          <w:p>
            <w:pPr>
              <w:pStyle w:val="TableParagraph"/>
              <w:numPr>
                <w:ilvl w:val="0"/>
                <w:numId w:val="41"/>
              </w:numPr>
              <w:tabs>
                <w:tab w:pos="830" w:val="left" w:leader="none"/>
              </w:tabs>
              <w:spacing w:line="240" w:lineRule="auto" w:before="0" w:after="0"/>
              <w:ind w:left="830" w:right="0" w:hanging="610"/>
              <w:jc w:val="left"/>
              <w:rPr>
                <w:sz w:val="20"/>
              </w:rPr>
            </w:pPr>
            <w:r>
              <w:rPr>
                <w:sz w:val="20"/>
              </w:rPr>
              <w:t>Water</w:t>
            </w:r>
            <w:r>
              <w:rPr>
                <w:spacing w:val="-5"/>
                <w:sz w:val="20"/>
              </w:rPr>
              <w:t> </w:t>
            </w:r>
            <w:r>
              <w:rPr>
                <w:spacing w:val="-2"/>
                <w:sz w:val="20"/>
              </w:rPr>
              <w:t>Supplies</w:t>
            </w:r>
          </w:p>
        </w:tc>
        <w:tc>
          <w:tcPr>
            <w:tcW w:w="2627" w:type="dxa"/>
            <w:tcBorders>
              <w:top w:val="single" w:sz="4" w:space="0" w:color="000000"/>
            </w:tcBorders>
          </w:tcPr>
          <w:p>
            <w:pPr>
              <w:pStyle w:val="TableParagraph"/>
              <w:spacing w:line="203" w:lineRule="exact"/>
              <w:ind w:left="400"/>
              <w:rPr>
                <w:sz w:val="20"/>
              </w:rPr>
            </w:pPr>
            <w:r>
              <w:rPr>
                <w:sz w:val="20"/>
              </w:rPr>
              <w:t>No.</w:t>
            </w:r>
            <w:r>
              <w:rPr>
                <w:spacing w:val="-5"/>
                <w:sz w:val="20"/>
              </w:rPr>
              <w:t> </w:t>
            </w:r>
            <w:r>
              <w:rPr>
                <w:sz w:val="20"/>
              </w:rPr>
              <w:t>of</w:t>
            </w:r>
            <w:r>
              <w:rPr>
                <w:spacing w:val="-2"/>
                <w:sz w:val="20"/>
              </w:rPr>
              <w:t> missing</w:t>
            </w:r>
          </w:p>
        </w:tc>
        <w:tc>
          <w:tcPr>
            <w:tcW w:w="701" w:type="dxa"/>
            <w:tcBorders>
              <w:top w:val="single" w:sz="4" w:space="0" w:color="000000"/>
            </w:tcBorders>
          </w:tcPr>
          <w:p>
            <w:pPr>
              <w:pStyle w:val="TableParagraph"/>
              <w:rPr>
                <w:rFonts w:ascii="Times New Roman"/>
                <w:sz w:val="14"/>
              </w:rPr>
            </w:pPr>
          </w:p>
        </w:tc>
        <w:tc>
          <w:tcPr>
            <w:tcW w:w="702" w:type="dxa"/>
            <w:tcBorders>
              <w:top w:val="single" w:sz="4" w:space="0" w:color="000000"/>
            </w:tcBorders>
          </w:tcPr>
          <w:p>
            <w:pPr>
              <w:pStyle w:val="TableParagraph"/>
              <w:rPr>
                <w:rFonts w:ascii="Times New Roman"/>
                <w:sz w:val="14"/>
              </w:rPr>
            </w:pPr>
          </w:p>
        </w:tc>
        <w:tc>
          <w:tcPr>
            <w:tcW w:w="575" w:type="dxa"/>
            <w:tcBorders>
              <w:top w:val="single" w:sz="4" w:space="0" w:color="000000"/>
            </w:tcBorders>
          </w:tcPr>
          <w:p>
            <w:pPr>
              <w:pStyle w:val="TableParagraph"/>
              <w:rPr>
                <w:rFonts w:ascii="Times New Roman"/>
                <w:sz w:val="14"/>
              </w:rPr>
            </w:pPr>
          </w:p>
        </w:tc>
        <w:tc>
          <w:tcPr>
            <w:tcW w:w="731" w:type="dxa"/>
            <w:tcBorders>
              <w:top w:val="single" w:sz="4" w:space="0" w:color="000000"/>
            </w:tcBorders>
          </w:tcPr>
          <w:p>
            <w:pPr>
              <w:pStyle w:val="TableParagraph"/>
              <w:rPr>
                <w:rFonts w:ascii="Times New Roman"/>
                <w:sz w:val="14"/>
              </w:rPr>
            </w:pPr>
          </w:p>
        </w:tc>
        <w:tc>
          <w:tcPr>
            <w:tcW w:w="741" w:type="dxa"/>
            <w:tcBorders>
              <w:top w:val="single" w:sz="4" w:space="0" w:color="000000"/>
            </w:tcBorders>
          </w:tcPr>
          <w:p>
            <w:pPr>
              <w:pStyle w:val="TableParagraph"/>
              <w:rPr>
                <w:rFonts w:ascii="Times New Roman"/>
                <w:sz w:val="14"/>
              </w:rPr>
            </w:pPr>
          </w:p>
        </w:tc>
        <w:tc>
          <w:tcPr>
            <w:tcW w:w="847" w:type="dxa"/>
            <w:tcBorders>
              <w:top w:val="single" w:sz="4" w:space="0" w:color="000000"/>
            </w:tcBorders>
          </w:tcPr>
          <w:p>
            <w:pPr>
              <w:pStyle w:val="TableParagraph"/>
              <w:rPr>
                <w:rFonts w:ascii="Times New Roman"/>
                <w:sz w:val="14"/>
              </w:rPr>
            </w:pPr>
          </w:p>
        </w:tc>
        <w:tc>
          <w:tcPr>
            <w:tcW w:w="739" w:type="dxa"/>
            <w:tcBorders>
              <w:top w:val="single" w:sz="4" w:space="0" w:color="000000"/>
            </w:tcBorders>
          </w:tcPr>
          <w:p>
            <w:pPr>
              <w:pStyle w:val="TableParagraph"/>
              <w:rPr>
                <w:rFonts w:ascii="Times New Roman"/>
                <w:sz w:val="14"/>
              </w:rPr>
            </w:pPr>
          </w:p>
        </w:tc>
        <w:tc>
          <w:tcPr>
            <w:tcW w:w="773" w:type="dxa"/>
            <w:tcBorders>
              <w:top w:val="single" w:sz="4" w:space="0" w:color="000000"/>
            </w:tcBorders>
          </w:tcPr>
          <w:p>
            <w:pPr>
              <w:pStyle w:val="TableParagraph"/>
              <w:rPr>
                <w:rFonts w:ascii="Times New Roman"/>
                <w:sz w:val="14"/>
              </w:rPr>
            </w:pPr>
          </w:p>
        </w:tc>
        <w:tc>
          <w:tcPr>
            <w:tcW w:w="627" w:type="dxa"/>
            <w:tcBorders>
              <w:top w:val="single" w:sz="4" w:space="0" w:color="000000"/>
            </w:tcBorders>
          </w:tcPr>
          <w:p>
            <w:pPr>
              <w:pStyle w:val="TableParagraph"/>
              <w:rPr>
                <w:rFonts w:ascii="Times New Roman"/>
                <w:sz w:val="14"/>
              </w:rPr>
            </w:pPr>
          </w:p>
        </w:tc>
        <w:tc>
          <w:tcPr>
            <w:tcW w:w="771" w:type="dxa"/>
            <w:tcBorders>
              <w:top w:val="single" w:sz="4" w:space="0" w:color="000000"/>
            </w:tcBorders>
          </w:tcPr>
          <w:p>
            <w:pPr>
              <w:pStyle w:val="TableParagraph"/>
              <w:rPr>
                <w:rFonts w:ascii="Times New Roman"/>
                <w:sz w:val="14"/>
              </w:rPr>
            </w:pPr>
          </w:p>
        </w:tc>
        <w:tc>
          <w:tcPr>
            <w:tcW w:w="692" w:type="dxa"/>
            <w:tcBorders>
              <w:top w:val="single" w:sz="4" w:space="0" w:color="000000"/>
            </w:tcBorders>
          </w:tcPr>
          <w:p>
            <w:pPr>
              <w:pStyle w:val="TableParagraph"/>
              <w:rPr>
                <w:rFonts w:ascii="Times New Roman"/>
                <w:sz w:val="14"/>
              </w:rPr>
            </w:pPr>
          </w:p>
        </w:tc>
        <w:tc>
          <w:tcPr>
            <w:tcW w:w="739" w:type="dxa"/>
            <w:tcBorders>
              <w:top w:val="single" w:sz="4" w:space="0" w:color="000000"/>
              <w:right w:val="single" w:sz="4" w:space="0" w:color="000000"/>
            </w:tcBorders>
          </w:tcPr>
          <w:p>
            <w:pPr>
              <w:pStyle w:val="TableParagraph"/>
              <w:rPr>
                <w:rFonts w:ascii="Times New Roman"/>
                <w:sz w:val="14"/>
              </w:rPr>
            </w:pPr>
          </w:p>
        </w:tc>
      </w:tr>
      <w:tr>
        <w:trPr>
          <w:trHeight w:val="220"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00" w:lineRule="exact"/>
              <w:ind w:left="400"/>
              <w:rPr>
                <w:sz w:val="20"/>
              </w:rPr>
            </w:pPr>
            <w:r>
              <w:rPr>
                <w:spacing w:val="-2"/>
                <w:sz w:val="20"/>
              </w:rPr>
              <w:t>observations</w:t>
            </w:r>
          </w:p>
        </w:tc>
        <w:tc>
          <w:tcPr>
            <w:tcW w:w="701" w:type="dxa"/>
          </w:tcPr>
          <w:p>
            <w:pPr>
              <w:pStyle w:val="TableParagraph"/>
              <w:spacing w:line="200" w:lineRule="exact"/>
              <w:ind w:left="27" w:right="7"/>
              <w:jc w:val="center"/>
              <w:rPr>
                <w:sz w:val="20"/>
              </w:rPr>
            </w:pPr>
            <w:r>
              <w:rPr>
                <w:spacing w:val="-10"/>
                <w:sz w:val="20"/>
              </w:rPr>
              <w:t>-</w:t>
            </w:r>
          </w:p>
        </w:tc>
        <w:tc>
          <w:tcPr>
            <w:tcW w:w="702" w:type="dxa"/>
          </w:tcPr>
          <w:p>
            <w:pPr>
              <w:pStyle w:val="TableParagraph"/>
              <w:spacing w:line="200" w:lineRule="exact"/>
              <w:ind w:left="64" w:right="7"/>
              <w:jc w:val="center"/>
              <w:rPr>
                <w:sz w:val="20"/>
              </w:rPr>
            </w:pPr>
            <w:r>
              <w:rPr>
                <w:spacing w:val="-10"/>
                <w:sz w:val="20"/>
              </w:rPr>
              <w:t>-</w:t>
            </w:r>
          </w:p>
        </w:tc>
        <w:tc>
          <w:tcPr>
            <w:tcW w:w="575" w:type="dxa"/>
          </w:tcPr>
          <w:p>
            <w:pPr>
              <w:pStyle w:val="TableParagraph"/>
              <w:spacing w:line="200" w:lineRule="exact"/>
              <w:ind w:left="46" w:right="8"/>
              <w:jc w:val="center"/>
              <w:rPr>
                <w:sz w:val="20"/>
              </w:rPr>
            </w:pPr>
            <w:r>
              <w:rPr>
                <w:spacing w:val="-10"/>
                <w:sz w:val="20"/>
              </w:rPr>
              <w:t>-</w:t>
            </w:r>
          </w:p>
        </w:tc>
        <w:tc>
          <w:tcPr>
            <w:tcW w:w="731" w:type="dxa"/>
          </w:tcPr>
          <w:p>
            <w:pPr>
              <w:pStyle w:val="TableParagraph"/>
              <w:spacing w:line="200" w:lineRule="exact"/>
              <w:ind w:left="69" w:right="69"/>
              <w:jc w:val="center"/>
              <w:rPr>
                <w:sz w:val="20"/>
              </w:rPr>
            </w:pPr>
            <w:r>
              <w:rPr>
                <w:spacing w:val="-10"/>
                <w:sz w:val="20"/>
              </w:rPr>
              <w:t>-</w:t>
            </w:r>
          </w:p>
        </w:tc>
        <w:tc>
          <w:tcPr>
            <w:tcW w:w="741" w:type="dxa"/>
          </w:tcPr>
          <w:p>
            <w:pPr>
              <w:pStyle w:val="TableParagraph"/>
              <w:spacing w:line="200" w:lineRule="exact"/>
              <w:ind w:left="3" w:right="33"/>
              <w:jc w:val="center"/>
              <w:rPr>
                <w:sz w:val="20"/>
              </w:rPr>
            </w:pPr>
            <w:r>
              <w:rPr>
                <w:spacing w:val="-10"/>
                <w:sz w:val="20"/>
              </w:rPr>
              <w:t>-</w:t>
            </w:r>
          </w:p>
        </w:tc>
        <w:tc>
          <w:tcPr>
            <w:tcW w:w="847" w:type="dxa"/>
          </w:tcPr>
          <w:p>
            <w:pPr>
              <w:pStyle w:val="TableParagraph"/>
              <w:spacing w:line="200" w:lineRule="exact"/>
              <w:ind w:left="27" w:right="6"/>
              <w:jc w:val="center"/>
              <w:rPr>
                <w:sz w:val="20"/>
              </w:rPr>
            </w:pPr>
            <w:r>
              <w:rPr>
                <w:spacing w:val="-10"/>
                <w:sz w:val="20"/>
              </w:rPr>
              <w:t>-</w:t>
            </w:r>
          </w:p>
        </w:tc>
        <w:tc>
          <w:tcPr>
            <w:tcW w:w="739" w:type="dxa"/>
          </w:tcPr>
          <w:p>
            <w:pPr>
              <w:pStyle w:val="TableParagraph"/>
              <w:spacing w:line="200" w:lineRule="exact"/>
              <w:ind w:left="75" w:right="2"/>
              <w:jc w:val="center"/>
              <w:rPr>
                <w:sz w:val="20"/>
              </w:rPr>
            </w:pPr>
            <w:r>
              <w:rPr>
                <w:spacing w:val="-10"/>
                <w:sz w:val="20"/>
              </w:rPr>
              <w:t>1</w:t>
            </w:r>
          </w:p>
        </w:tc>
        <w:tc>
          <w:tcPr>
            <w:tcW w:w="773" w:type="dxa"/>
          </w:tcPr>
          <w:p>
            <w:pPr>
              <w:pStyle w:val="TableParagraph"/>
              <w:spacing w:line="200" w:lineRule="exact"/>
              <w:ind w:left="66" w:right="65"/>
              <w:jc w:val="center"/>
              <w:rPr>
                <w:sz w:val="20"/>
              </w:rPr>
            </w:pPr>
            <w:r>
              <w:rPr>
                <w:spacing w:val="-4"/>
                <w:sz w:val="20"/>
              </w:rPr>
              <w:t>50.0</w:t>
            </w:r>
          </w:p>
        </w:tc>
        <w:tc>
          <w:tcPr>
            <w:tcW w:w="627" w:type="dxa"/>
          </w:tcPr>
          <w:p>
            <w:pPr>
              <w:pStyle w:val="TableParagraph"/>
              <w:spacing w:line="200" w:lineRule="exact"/>
              <w:ind w:left="32" w:right="10"/>
              <w:jc w:val="center"/>
              <w:rPr>
                <w:sz w:val="20"/>
              </w:rPr>
            </w:pPr>
            <w:r>
              <w:rPr>
                <w:spacing w:val="-10"/>
                <w:sz w:val="20"/>
              </w:rPr>
              <w:t>1</w:t>
            </w:r>
          </w:p>
        </w:tc>
        <w:tc>
          <w:tcPr>
            <w:tcW w:w="771" w:type="dxa"/>
          </w:tcPr>
          <w:p>
            <w:pPr>
              <w:pStyle w:val="TableParagraph"/>
              <w:spacing w:line="200" w:lineRule="exact"/>
              <w:ind w:left="59" w:right="14"/>
              <w:jc w:val="center"/>
              <w:rPr>
                <w:sz w:val="20"/>
              </w:rPr>
            </w:pPr>
            <w:r>
              <w:rPr>
                <w:spacing w:val="-4"/>
                <w:sz w:val="20"/>
              </w:rPr>
              <w:t>50.0</w:t>
            </w:r>
          </w:p>
        </w:tc>
        <w:tc>
          <w:tcPr>
            <w:tcW w:w="692" w:type="dxa"/>
          </w:tcPr>
          <w:p>
            <w:pPr>
              <w:pStyle w:val="TableParagraph"/>
              <w:spacing w:line="200" w:lineRule="exact"/>
              <w:ind w:left="35" w:right="13"/>
              <w:jc w:val="center"/>
              <w:rPr>
                <w:sz w:val="20"/>
              </w:rPr>
            </w:pPr>
            <w:r>
              <w:rPr>
                <w:spacing w:val="-10"/>
                <w:sz w:val="20"/>
              </w:rPr>
              <w:t>2</w:t>
            </w:r>
          </w:p>
        </w:tc>
        <w:tc>
          <w:tcPr>
            <w:tcW w:w="739" w:type="dxa"/>
            <w:tcBorders>
              <w:right w:val="single" w:sz="4" w:space="0" w:color="000000"/>
            </w:tcBorders>
          </w:tcPr>
          <w:p>
            <w:pPr>
              <w:pStyle w:val="TableParagraph"/>
              <w:spacing w:line="200" w:lineRule="exact"/>
              <w:ind w:left="36" w:right="5"/>
              <w:jc w:val="center"/>
              <w:rPr>
                <w:sz w:val="20"/>
              </w:rPr>
            </w:pPr>
            <w:r>
              <w:rPr>
                <w:spacing w:val="-5"/>
                <w:sz w:val="20"/>
              </w:rPr>
              <w:t>0.4</w:t>
            </w:r>
          </w:p>
        </w:tc>
      </w:tr>
      <w:tr>
        <w:trPr>
          <w:trHeight w:val="220"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00" w:lineRule="exact"/>
              <w:ind w:left="400"/>
              <w:rPr>
                <w:sz w:val="20"/>
              </w:rPr>
            </w:pPr>
            <w:r>
              <w:rPr>
                <w:spacing w:val="-2"/>
                <w:sz w:val="20"/>
              </w:rPr>
              <w:t>Students</w:t>
            </w:r>
          </w:p>
        </w:tc>
        <w:tc>
          <w:tcPr>
            <w:tcW w:w="701" w:type="dxa"/>
          </w:tcPr>
          <w:p>
            <w:pPr>
              <w:pStyle w:val="TableParagraph"/>
              <w:spacing w:line="200" w:lineRule="exact"/>
              <w:ind w:left="27"/>
              <w:jc w:val="center"/>
              <w:rPr>
                <w:sz w:val="20"/>
              </w:rPr>
            </w:pPr>
            <w:r>
              <w:rPr>
                <w:spacing w:val="-10"/>
                <w:sz w:val="20"/>
              </w:rPr>
              <w:t>6</w:t>
            </w:r>
          </w:p>
        </w:tc>
        <w:tc>
          <w:tcPr>
            <w:tcW w:w="702" w:type="dxa"/>
          </w:tcPr>
          <w:p>
            <w:pPr>
              <w:pStyle w:val="TableParagraph"/>
              <w:spacing w:line="200" w:lineRule="exact"/>
              <w:ind w:left="64" w:right="5"/>
              <w:jc w:val="center"/>
              <w:rPr>
                <w:sz w:val="20"/>
              </w:rPr>
            </w:pPr>
            <w:r>
              <w:rPr>
                <w:spacing w:val="-5"/>
                <w:sz w:val="20"/>
              </w:rPr>
              <w:t>2.6</w:t>
            </w:r>
          </w:p>
        </w:tc>
        <w:tc>
          <w:tcPr>
            <w:tcW w:w="575" w:type="dxa"/>
          </w:tcPr>
          <w:p>
            <w:pPr>
              <w:pStyle w:val="TableParagraph"/>
              <w:spacing w:line="200" w:lineRule="exact"/>
              <w:ind w:left="46" w:right="6"/>
              <w:jc w:val="center"/>
              <w:rPr>
                <w:sz w:val="20"/>
              </w:rPr>
            </w:pPr>
            <w:r>
              <w:rPr>
                <w:spacing w:val="-5"/>
                <w:sz w:val="20"/>
              </w:rPr>
              <w:t>29</w:t>
            </w:r>
          </w:p>
        </w:tc>
        <w:tc>
          <w:tcPr>
            <w:tcW w:w="731" w:type="dxa"/>
          </w:tcPr>
          <w:p>
            <w:pPr>
              <w:pStyle w:val="TableParagraph"/>
              <w:spacing w:line="200" w:lineRule="exact"/>
              <w:ind w:left="69" w:right="63"/>
              <w:jc w:val="center"/>
              <w:rPr>
                <w:sz w:val="20"/>
              </w:rPr>
            </w:pPr>
            <w:r>
              <w:rPr>
                <w:spacing w:val="-4"/>
                <w:sz w:val="20"/>
              </w:rPr>
              <w:t>12.3</w:t>
            </w:r>
          </w:p>
        </w:tc>
        <w:tc>
          <w:tcPr>
            <w:tcW w:w="741" w:type="dxa"/>
          </w:tcPr>
          <w:p>
            <w:pPr>
              <w:pStyle w:val="TableParagraph"/>
              <w:spacing w:line="200" w:lineRule="exact"/>
              <w:ind w:left="5" w:right="33"/>
              <w:jc w:val="center"/>
              <w:rPr>
                <w:sz w:val="20"/>
              </w:rPr>
            </w:pPr>
            <w:r>
              <w:rPr>
                <w:spacing w:val="-5"/>
                <w:sz w:val="20"/>
              </w:rPr>
              <w:t>84</w:t>
            </w:r>
          </w:p>
        </w:tc>
        <w:tc>
          <w:tcPr>
            <w:tcW w:w="847" w:type="dxa"/>
          </w:tcPr>
          <w:p>
            <w:pPr>
              <w:pStyle w:val="TableParagraph"/>
              <w:spacing w:line="200" w:lineRule="exact"/>
              <w:ind w:left="27"/>
              <w:jc w:val="center"/>
              <w:rPr>
                <w:sz w:val="20"/>
              </w:rPr>
            </w:pPr>
            <w:r>
              <w:rPr>
                <w:spacing w:val="-4"/>
                <w:sz w:val="20"/>
              </w:rPr>
              <w:t>35.7</w:t>
            </w:r>
          </w:p>
        </w:tc>
        <w:tc>
          <w:tcPr>
            <w:tcW w:w="739" w:type="dxa"/>
          </w:tcPr>
          <w:p>
            <w:pPr>
              <w:pStyle w:val="TableParagraph"/>
              <w:spacing w:line="200" w:lineRule="exact"/>
              <w:ind w:left="75" w:right="6"/>
              <w:jc w:val="center"/>
              <w:rPr>
                <w:sz w:val="20"/>
              </w:rPr>
            </w:pPr>
            <w:r>
              <w:rPr>
                <w:spacing w:val="-5"/>
                <w:sz w:val="20"/>
              </w:rPr>
              <w:t>89</w:t>
            </w:r>
          </w:p>
        </w:tc>
        <w:tc>
          <w:tcPr>
            <w:tcW w:w="773" w:type="dxa"/>
          </w:tcPr>
          <w:p>
            <w:pPr>
              <w:pStyle w:val="TableParagraph"/>
              <w:spacing w:line="200" w:lineRule="exact"/>
              <w:ind w:left="66" w:right="65"/>
              <w:jc w:val="center"/>
              <w:rPr>
                <w:sz w:val="20"/>
              </w:rPr>
            </w:pPr>
            <w:r>
              <w:rPr>
                <w:spacing w:val="-4"/>
                <w:sz w:val="20"/>
              </w:rPr>
              <w:t>37.9</w:t>
            </w:r>
          </w:p>
        </w:tc>
        <w:tc>
          <w:tcPr>
            <w:tcW w:w="627" w:type="dxa"/>
          </w:tcPr>
          <w:p>
            <w:pPr>
              <w:pStyle w:val="TableParagraph"/>
              <w:spacing w:line="200" w:lineRule="exact"/>
              <w:ind w:left="27" w:right="10"/>
              <w:jc w:val="center"/>
              <w:rPr>
                <w:sz w:val="20"/>
              </w:rPr>
            </w:pPr>
            <w:r>
              <w:rPr>
                <w:spacing w:val="-5"/>
                <w:sz w:val="20"/>
              </w:rPr>
              <w:t>27</w:t>
            </w:r>
          </w:p>
        </w:tc>
        <w:tc>
          <w:tcPr>
            <w:tcW w:w="771" w:type="dxa"/>
          </w:tcPr>
          <w:p>
            <w:pPr>
              <w:pStyle w:val="TableParagraph"/>
              <w:spacing w:line="200" w:lineRule="exact"/>
              <w:ind w:left="59" w:right="14"/>
              <w:jc w:val="center"/>
              <w:rPr>
                <w:sz w:val="20"/>
              </w:rPr>
            </w:pPr>
            <w:r>
              <w:rPr>
                <w:spacing w:val="-4"/>
                <w:sz w:val="20"/>
              </w:rPr>
              <w:t>11.5</w:t>
            </w:r>
          </w:p>
        </w:tc>
        <w:tc>
          <w:tcPr>
            <w:tcW w:w="692" w:type="dxa"/>
          </w:tcPr>
          <w:p>
            <w:pPr>
              <w:pStyle w:val="TableParagraph"/>
              <w:spacing w:line="200" w:lineRule="exact"/>
              <w:ind w:left="25" w:right="13"/>
              <w:jc w:val="center"/>
              <w:rPr>
                <w:sz w:val="20"/>
              </w:rPr>
            </w:pPr>
            <w:r>
              <w:rPr>
                <w:spacing w:val="-5"/>
                <w:sz w:val="20"/>
              </w:rPr>
              <w:t>235</w:t>
            </w:r>
          </w:p>
        </w:tc>
        <w:tc>
          <w:tcPr>
            <w:tcW w:w="739" w:type="dxa"/>
            <w:tcBorders>
              <w:right w:val="single" w:sz="4" w:space="0" w:color="000000"/>
            </w:tcBorders>
          </w:tcPr>
          <w:p>
            <w:pPr>
              <w:pStyle w:val="TableParagraph"/>
              <w:spacing w:line="200" w:lineRule="exact"/>
              <w:ind w:left="38" w:right="2"/>
              <w:jc w:val="center"/>
              <w:rPr>
                <w:sz w:val="20"/>
              </w:rPr>
            </w:pPr>
            <w:r>
              <w:rPr>
                <w:spacing w:val="-4"/>
                <w:sz w:val="20"/>
              </w:rPr>
              <w:t>50.8</w:t>
            </w:r>
          </w:p>
        </w:tc>
      </w:tr>
      <w:tr>
        <w:trPr>
          <w:trHeight w:val="220"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00" w:lineRule="exact"/>
              <w:ind w:left="400"/>
              <w:rPr>
                <w:sz w:val="20"/>
              </w:rPr>
            </w:pPr>
            <w:r>
              <w:rPr>
                <w:sz w:val="20"/>
              </w:rPr>
              <w:t>Service</w:t>
            </w:r>
            <w:r>
              <w:rPr>
                <w:spacing w:val="-9"/>
                <w:sz w:val="20"/>
              </w:rPr>
              <w:t> </w:t>
            </w:r>
            <w:r>
              <w:rPr>
                <w:spacing w:val="-2"/>
                <w:sz w:val="20"/>
              </w:rPr>
              <w:t>Staff</w:t>
            </w:r>
          </w:p>
        </w:tc>
        <w:tc>
          <w:tcPr>
            <w:tcW w:w="701" w:type="dxa"/>
          </w:tcPr>
          <w:p>
            <w:pPr>
              <w:pStyle w:val="TableParagraph"/>
              <w:spacing w:line="200" w:lineRule="exact"/>
              <w:ind w:left="27" w:right="5"/>
              <w:jc w:val="center"/>
              <w:rPr>
                <w:sz w:val="20"/>
              </w:rPr>
            </w:pPr>
            <w:r>
              <w:rPr>
                <w:spacing w:val="-5"/>
                <w:sz w:val="20"/>
              </w:rPr>
              <w:t>11</w:t>
            </w:r>
          </w:p>
        </w:tc>
        <w:tc>
          <w:tcPr>
            <w:tcW w:w="702" w:type="dxa"/>
          </w:tcPr>
          <w:p>
            <w:pPr>
              <w:pStyle w:val="TableParagraph"/>
              <w:spacing w:line="200" w:lineRule="exact"/>
              <w:ind w:left="64" w:right="5"/>
              <w:jc w:val="center"/>
              <w:rPr>
                <w:sz w:val="20"/>
              </w:rPr>
            </w:pPr>
            <w:r>
              <w:rPr>
                <w:spacing w:val="-5"/>
                <w:sz w:val="20"/>
              </w:rPr>
              <w:t>5.4</w:t>
            </w:r>
          </w:p>
        </w:tc>
        <w:tc>
          <w:tcPr>
            <w:tcW w:w="575" w:type="dxa"/>
          </w:tcPr>
          <w:p>
            <w:pPr>
              <w:pStyle w:val="TableParagraph"/>
              <w:spacing w:line="200" w:lineRule="exact"/>
              <w:ind w:left="46" w:right="6"/>
              <w:jc w:val="center"/>
              <w:rPr>
                <w:sz w:val="20"/>
              </w:rPr>
            </w:pPr>
            <w:r>
              <w:rPr>
                <w:spacing w:val="-5"/>
                <w:sz w:val="20"/>
              </w:rPr>
              <w:t>26</w:t>
            </w:r>
          </w:p>
        </w:tc>
        <w:tc>
          <w:tcPr>
            <w:tcW w:w="731" w:type="dxa"/>
          </w:tcPr>
          <w:p>
            <w:pPr>
              <w:pStyle w:val="TableParagraph"/>
              <w:spacing w:line="200" w:lineRule="exact"/>
              <w:ind w:left="69" w:right="63"/>
              <w:jc w:val="center"/>
              <w:rPr>
                <w:sz w:val="20"/>
              </w:rPr>
            </w:pPr>
            <w:r>
              <w:rPr>
                <w:spacing w:val="-4"/>
                <w:sz w:val="20"/>
              </w:rPr>
              <w:t>12.8</w:t>
            </w:r>
          </w:p>
        </w:tc>
        <w:tc>
          <w:tcPr>
            <w:tcW w:w="741" w:type="dxa"/>
          </w:tcPr>
          <w:p>
            <w:pPr>
              <w:pStyle w:val="TableParagraph"/>
              <w:spacing w:line="200" w:lineRule="exact"/>
              <w:ind w:left="5" w:right="33"/>
              <w:jc w:val="center"/>
              <w:rPr>
                <w:sz w:val="20"/>
              </w:rPr>
            </w:pPr>
            <w:r>
              <w:rPr>
                <w:spacing w:val="-5"/>
                <w:sz w:val="20"/>
              </w:rPr>
              <w:t>64</w:t>
            </w:r>
          </w:p>
        </w:tc>
        <w:tc>
          <w:tcPr>
            <w:tcW w:w="847" w:type="dxa"/>
          </w:tcPr>
          <w:p>
            <w:pPr>
              <w:pStyle w:val="TableParagraph"/>
              <w:spacing w:line="200" w:lineRule="exact"/>
              <w:ind w:left="27"/>
              <w:jc w:val="center"/>
              <w:rPr>
                <w:sz w:val="20"/>
              </w:rPr>
            </w:pPr>
            <w:r>
              <w:rPr>
                <w:spacing w:val="-4"/>
                <w:sz w:val="20"/>
              </w:rPr>
              <w:t>31.5</w:t>
            </w:r>
          </w:p>
        </w:tc>
        <w:tc>
          <w:tcPr>
            <w:tcW w:w="739" w:type="dxa"/>
          </w:tcPr>
          <w:p>
            <w:pPr>
              <w:pStyle w:val="TableParagraph"/>
              <w:spacing w:line="200" w:lineRule="exact"/>
              <w:ind w:left="75" w:right="6"/>
              <w:jc w:val="center"/>
              <w:rPr>
                <w:sz w:val="20"/>
              </w:rPr>
            </w:pPr>
            <w:r>
              <w:rPr>
                <w:spacing w:val="-5"/>
                <w:sz w:val="20"/>
              </w:rPr>
              <w:t>83</w:t>
            </w:r>
          </w:p>
        </w:tc>
        <w:tc>
          <w:tcPr>
            <w:tcW w:w="773" w:type="dxa"/>
          </w:tcPr>
          <w:p>
            <w:pPr>
              <w:pStyle w:val="TableParagraph"/>
              <w:spacing w:line="200" w:lineRule="exact"/>
              <w:ind w:left="66" w:right="65"/>
              <w:jc w:val="center"/>
              <w:rPr>
                <w:sz w:val="20"/>
              </w:rPr>
            </w:pPr>
            <w:r>
              <w:rPr>
                <w:spacing w:val="-4"/>
                <w:sz w:val="20"/>
              </w:rPr>
              <w:t>40.9</w:t>
            </w:r>
          </w:p>
        </w:tc>
        <w:tc>
          <w:tcPr>
            <w:tcW w:w="627" w:type="dxa"/>
          </w:tcPr>
          <w:p>
            <w:pPr>
              <w:pStyle w:val="TableParagraph"/>
              <w:spacing w:line="200" w:lineRule="exact"/>
              <w:ind w:left="27" w:right="10"/>
              <w:jc w:val="center"/>
              <w:rPr>
                <w:sz w:val="20"/>
              </w:rPr>
            </w:pPr>
            <w:r>
              <w:rPr>
                <w:spacing w:val="-5"/>
                <w:sz w:val="20"/>
              </w:rPr>
              <w:t>19</w:t>
            </w:r>
          </w:p>
        </w:tc>
        <w:tc>
          <w:tcPr>
            <w:tcW w:w="771" w:type="dxa"/>
          </w:tcPr>
          <w:p>
            <w:pPr>
              <w:pStyle w:val="TableParagraph"/>
              <w:spacing w:line="200" w:lineRule="exact"/>
              <w:ind w:left="54" w:right="14"/>
              <w:jc w:val="center"/>
              <w:rPr>
                <w:sz w:val="20"/>
              </w:rPr>
            </w:pPr>
            <w:r>
              <w:rPr>
                <w:spacing w:val="-5"/>
                <w:sz w:val="20"/>
              </w:rPr>
              <w:t>9.4</w:t>
            </w:r>
          </w:p>
        </w:tc>
        <w:tc>
          <w:tcPr>
            <w:tcW w:w="692" w:type="dxa"/>
          </w:tcPr>
          <w:p>
            <w:pPr>
              <w:pStyle w:val="TableParagraph"/>
              <w:spacing w:line="200" w:lineRule="exact"/>
              <w:ind w:left="25" w:right="13"/>
              <w:jc w:val="center"/>
              <w:rPr>
                <w:sz w:val="20"/>
              </w:rPr>
            </w:pPr>
            <w:r>
              <w:rPr>
                <w:spacing w:val="-5"/>
                <w:sz w:val="20"/>
              </w:rPr>
              <w:t>203</w:t>
            </w:r>
          </w:p>
        </w:tc>
        <w:tc>
          <w:tcPr>
            <w:tcW w:w="739" w:type="dxa"/>
            <w:tcBorders>
              <w:right w:val="single" w:sz="4" w:space="0" w:color="000000"/>
            </w:tcBorders>
          </w:tcPr>
          <w:p>
            <w:pPr>
              <w:pStyle w:val="TableParagraph"/>
              <w:spacing w:line="200" w:lineRule="exact"/>
              <w:ind w:left="38" w:right="2"/>
              <w:jc w:val="center"/>
              <w:rPr>
                <w:sz w:val="20"/>
              </w:rPr>
            </w:pPr>
            <w:r>
              <w:rPr>
                <w:spacing w:val="-4"/>
                <w:sz w:val="20"/>
              </w:rPr>
              <w:t>43.8</w:t>
            </w:r>
          </w:p>
        </w:tc>
      </w:tr>
      <w:tr>
        <w:trPr>
          <w:trHeight w:val="244"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22" w:lineRule="exact"/>
              <w:ind w:left="400"/>
              <w:rPr>
                <w:sz w:val="20"/>
              </w:rPr>
            </w:pPr>
            <w:r>
              <w:rPr>
                <w:sz w:val="20"/>
              </w:rPr>
              <w:t>Top</w:t>
            </w:r>
            <w:r>
              <w:rPr>
                <w:spacing w:val="-1"/>
                <w:sz w:val="20"/>
              </w:rPr>
              <w:t> </w:t>
            </w:r>
            <w:r>
              <w:rPr>
                <w:spacing w:val="-2"/>
                <w:sz w:val="20"/>
              </w:rPr>
              <w:t>Management</w:t>
            </w:r>
          </w:p>
        </w:tc>
        <w:tc>
          <w:tcPr>
            <w:tcW w:w="701" w:type="dxa"/>
          </w:tcPr>
          <w:p>
            <w:pPr>
              <w:pStyle w:val="TableParagraph"/>
              <w:spacing w:line="222" w:lineRule="exact"/>
              <w:ind w:left="27"/>
              <w:jc w:val="center"/>
              <w:rPr>
                <w:sz w:val="20"/>
              </w:rPr>
            </w:pPr>
            <w:r>
              <w:rPr>
                <w:spacing w:val="-10"/>
                <w:sz w:val="20"/>
              </w:rPr>
              <w:t>1</w:t>
            </w:r>
          </w:p>
        </w:tc>
        <w:tc>
          <w:tcPr>
            <w:tcW w:w="702" w:type="dxa"/>
          </w:tcPr>
          <w:p>
            <w:pPr>
              <w:pStyle w:val="TableParagraph"/>
              <w:spacing w:line="222" w:lineRule="exact"/>
              <w:ind w:left="64" w:right="5"/>
              <w:jc w:val="center"/>
              <w:rPr>
                <w:sz w:val="20"/>
              </w:rPr>
            </w:pPr>
            <w:r>
              <w:rPr>
                <w:spacing w:val="-5"/>
                <w:sz w:val="20"/>
              </w:rPr>
              <w:t>4.3</w:t>
            </w:r>
          </w:p>
        </w:tc>
        <w:tc>
          <w:tcPr>
            <w:tcW w:w="575" w:type="dxa"/>
          </w:tcPr>
          <w:p>
            <w:pPr>
              <w:pStyle w:val="TableParagraph"/>
              <w:spacing w:line="222" w:lineRule="exact"/>
              <w:ind w:left="46" w:right="2"/>
              <w:jc w:val="center"/>
              <w:rPr>
                <w:sz w:val="20"/>
              </w:rPr>
            </w:pPr>
            <w:r>
              <w:rPr>
                <w:spacing w:val="-10"/>
                <w:sz w:val="20"/>
              </w:rPr>
              <w:t>1</w:t>
            </w:r>
          </w:p>
        </w:tc>
        <w:tc>
          <w:tcPr>
            <w:tcW w:w="731" w:type="dxa"/>
          </w:tcPr>
          <w:p>
            <w:pPr>
              <w:pStyle w:val="TableParagraph"/>
              <w:spacing w:line="222" w:lineRule="exact"/>
              <w:ind w:left="69" w:right="68"/>
              <w:jc w:val="center"/>
              <w:rPr>
                <w:sz w:val="20"/>
              </w:rPr>
            </w:pPr>
            <w:r>
              <w:rPr>
                <w:spacing w:val="-5"/>
                <w:sz w:val="20"/>
              </w:rPr>
              <w:t>4.3</w:t>
            </w:r>
          </w:p>
        </w:tc>
        <w:tc>
          <w:tcPr>
            <w:tcW w:w="741" w:type="dxa"/>
          </w:tcPr>
          <w:p>
            <w:pPr>
              <w:pStyle w:val="TableParagraph"/>
              <w:spacing w:line="222" w:lineRule="exact"/>
              <w:ind w:left="10" w:right="33"/>
              <w:jc w:val="center"/>
              <w:rPr>
                <w:sz w:val="20"/>
              </w:rPr>
            </w:pPr>
            <w:r>
              <w:rPr>
                <w:spacing w:val="-10"/>
                <w:sz w:val="20"/>
              </w:rPr>
              <w:t>9</w:t>
            </w:r>
          </w:p>
        </w:tc>
        <w:tc>
          <w:tcPr>
            <w:tcW w:w="847" w:type="dxa"/>
          </w:tcPr>
          <w:p>
            <w:pPr>
              <w:pStyle w:val="TableParagraph"/>
              <w:spacing w:line="222" w:lineRule="exact"/>
              <w:ind w:left="27"/>
              <w:jc w:val="center"/>
              <w:rPr>
                <w:sz w:val="20"/>
              </w:rPr>
            </w:pPr>
            <w:r>
              <w:rPr>
                <w:spacing w:val="-4"/>
                <w:sz w:val="20"/>
              </w:rPr>
              <w:t>39.1</w:t>
            </w:r>
          </w:p>
        </w:tc>
        <w:tc>
          <w:tcPr>
            <w:tcW w:w="739" w:type="dxa"/>
          </w:tcPr>
          <w:p>
            <w:pPr>
              <w:pStyle w:val="TableParagraph"/>
              <w:spacing w:line="222" w:lineRule="exact"/>
              <w:ind w:left="75" w:right="6"/>
              <w:jc w:val="center"/>
              <w:rPr>
                <w:sz w:val="20"/>
              </w:rPr>
            </w:pPr>
            <w:r>
              <w:rPr>
                <w:spacing w:val="-5"/>
                <w:sz w:val="20"/>
              </w:rPr>
              <w:t>12</w:t>
            </w:r>
          </w:p>
        </w:tc>
        <w:tc>
          <w:tcPr>
            <w:tcW w:w="773" w:type="dxa"/>
          </w:tcPr>
          <w:p>
            <w:pPr>
              <w:pStyle w:val="TableParagraph"/>
              <w:spacing w:line="222" w:lineRule="exact"/>
              <w:ind w:left="66" w:right="65"/>
              <w:jc w:val="center"/>
              <w:rPr>
                <w:sz w:val="20"/>
              </w:rPr>
            </w:pPr>
            <w:r>
              <w:rPr>
                <w:spacing w:val="-4"/>
                <w:sz w:val="20"/>
              </w:rPr>
              <w:t>52.2</w:t>
            </w:r>
          </w:p>
        </w:tc>
        <w:tc>
          <w:tcPr>
            <w:tcW w:w="627" w:type="dxa"/>
          </w:tcPr>
          <w:p>
            <w:pPr>
              <w:pStyle w:val="TableParagraph"/>
              <w:spacing w:line="222" w:lineRule="exact"/>
              <w:ind w:left="25" w:right="10"/>
              <w:jc w:val="center"/>
              <w:rPr>
                <w:sz w:val="20"/>
              </w:rPr>
            </w:pPr>
            <w:r>
              <w:rPr>
                <w:spacing w:val="-10"/>
                <w:sz w:val="20"/>
              </w:rPr>
              <w:t>-</w:t>
            </w:r>
          </w:p>
        </w:tc>
        <w:tc>
          <w:tcPr>
            <w:tcW w:w="771" w:type="dxa"/>
          </w:tcPr>
          <w:p>
            <w:pPr>
              <w:pStyle w:val="TableParagraph"/>
              <w:spacing w:line="222" w:lineRule="exact"/>
              <w:ind w:left="52" w:right="14"/>
              <w:jc w:val="center"/>
              <w:rPr>
                <w:sz w:val="20"/>
              </w:rPr>
            </w:pPr>
            <w:r>
              <w:rPr>
                <w:spacing w:val="-10"/>
                <w:sz w:val="20"/>
              </w:rPr>
              <w:t>-</w:t>
            </w:r>
          </w:p>
        </w:tc>
        <w:tc>
          <w:tcPr>
            <w:tcW w:w="692" w:type="dxa"/>
          </w:tcPr>
          <w:p>
            <w:pPr>
              <w:pStyle w:val="TableParagraph"/>
              <w:spacing w:line="222" w:lineRule="exact"/>
              <w:ind w:left="30" w:right="13"/>
              <w:jc w:val="center"/>
              <w:rPr>
                <w:sz w:val="20"/>
              </w:rPr>
            </w:pPr>
            <w:r>
              <w:rPr>
                <w:spacing w:val="-5"/>
                <w:sz w:val="20"/>
              </w:rPr>
              <w:t>23</w:t>
            </w:r>
          </w:p>
        </w:tc>
        <w:tc>
          <w:tcPr>
            <w:tcW w:w="739" w:type="dxa"/>
            <w:tcBorders>
              <w:right w:val="single" w:sz="4" w:space="0" w:color="000000"/>
            </w:tcBorders>
          </w:tcPr>
          <w:p>
            <w:pPr>
              <w:pStyle w:val="TableParagraph"/>
              <w:spacing w:line="222" w:lineRule="exact"/>
              <w:ind w:left="36" w:right="5"/>
              <w:jc w:val="center"/>
              <w:rPr>
                <w:sz w:val="20"/>
              </w:rPr>
            </w:pPr>
            <w:r>
              <w:rPr>
                <w:spacing w:val="-5"/>
                <w:sz w:val="20"/>
              </w:rPr>
              <w:t>5.0</w:t>
            </w:r>
          </w:p>
        </w:tc>
      </w:tr>
      <w:tr>
        <w:trPr>
          <w:trHeight w:val="244"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08" w:lineRule="exact" w:before="16"/>
              <w:ind w:left="400"/>
              <w:rPr>
                <w:sz w:val="20"/>
              </w:rPr>
            </w:pPr>
            <w:r>
              <w:rPr>
                <w:sz w:val="20"/>
              </w:rPr>
              <w:t>No.</w:t>
            </w:r>
            <w:r>
              <w:rPr>
                <w:spacing w:val="-5"/>
                <w:sz w:val="20"/>
              </w:rPr>
              <w:t> </w:t>
            </w:r>
            <w:r>
              <w:rPr>
                <w:sz w:val="20"/>
              </w:rPr>
              <w:t>of</w:t>
            </w:r>
            <w:r>
              <w:rPr>
                <w:spacing w:val="-2"/>
                <w:sz w:val="20"/>
              </w:rPr>
              <w:t> missing</w:t>
            </w:r>
          </w:p>
        </w:tc>
        <w:tc>
          <w:tcPr>
            <w:tcW w:w="701" w:type="dxa"/>
          </w:tcPr>
          <w:p>
            <w:pPr>
              <w:pStyle w:val="TableParagraph"/>
              <w:rPr>
                <w:rFonts w:ascii="Times New Roman"/>
                <w:sz w:val="16"/>
              </w:rPr>
            </w:pPr>
          </w:p>
        </w:tc>
        <w:tc>
          <w:tcPr>
            <w:tcW w:w="702" w:type="dxa"/>
          </w:tcPr>
          <w:p>
            <w:pPr>
              <w:pStyle w:val="TableParagraph"/>
              <w:rPr>
                <w:rFonts w:ascii="Times New Roman"/>
                <w:sz w:val="16"/>
              </w:rPr>
            </w:pPr>
          </w:p>
        </w:tc>
        <w:tc>
          <w:tcPr>
            <w:tcW w:w="575" w:type="dxa"/>
          </w:tcPr>
          <w:p>
            <w:pPr>
              <w:pStyle w:val="TableParagraph"/>
              <w:rPr>
                <w:rFonts w:ascii="Times New Roman"/>
                <w:sz w:val="16"/>
              </w:rPr>
            </w:pPr>
          </w:p>
        </w:tc>
        <w:tc>
          <w:tcPr>
            <w:tcW w:w="731" w:type="dxa"/>
          </w:tcPr>
          <w:p>
            <w:pPr>
              <w:pStyle w:val="TableParagraph"/>
              <w:rPr>
                <w:rFonts w:ascii="Times New Roman"/>
                <w:sz w:val="16"/>
              </w:rPr>
            </w:pPr>
          </w:p>
        </w:tc>
        <w:tc>
          <w:tcPr>
            <w:tcW w:w="741" w:type="dxa"/>
          </w:tcPr>
          <w:p>
            <w:pPr>
              <w:pStyle w:val="TableParagraph"/>
              <w:rPr>
                <w:rFonts w:ascii="Times New Roman"/>
                <w:sz w:val="16"/>
              </w:rPr>
            </w:pPr>
          </w:p>
        </w:tc>
        <w:tc>
          <w:tcPr>
            <w:tcW w:w="847" w:type="dxa"/>
          </w:tcPr>
          <w:p>
            <w:pPr>
              <w:pStyle w:val="TableParagraph"/>
              <w:rPr>
                <w:rFonts w:ascii="Times New Roman"/>
                <w:sz w:val="16"/>
              </w:rPr>
            </w:pPr>
          </w:p>
        </w:tc>
        <w:tc>
          <w:tcPr>
            <w:tcW w:w="739" w:type="dxa"/>
          </w:tcPr>
          <w:p>
            <w:pPr>
              <w:pStyle w:val="TableParagraph"/>
              <w:rPr>
                <w:rFonts w:ascii="Times New Roman"/>
                <w:sz w:val="16"/>
              </w:rPr>
            </w:pPr>
          </w:p>
        </w:tc>
        <w:tc>
          <w:tcPr>
            <w:tcW w:w="773" w:type="dxa"/>
          </w:tcPr>
          <w:p>
            <w:pPr>
              <w:pStyle w:val="TableParagraph"/>
              <w:rPr>
                <w:rFonts w:ascii="Times New Roman"/>
                <w:sz w:val="16"/>
              </w:rPr>
            </w:pPr>
          </w:p>
        </w:tc>
        <w:tc>
          <w:tcPr>
            <w:tcW w:w="627" w:type="dxa"/>
          </w:tcPr>
          <w:p>
            <w:pPr>
              <w:pStyle w:val="TableParagraph"/>
              <w:rPr>
                <w:rFonts w:ascii="Times New Roman"/>
                <w:sz w:val="16"/>
              </w:rPr>
            </w:pPr>
          </w:p>
        </w:tc>
        <w:tc>
          <w:tcPr>
            <w:tcW w:w="771" w:type="dxa"/>
          </w:tcPr>
          <w:p>
            <w:pPr>
              <w:pStyle w:val="TableParagraph"/>
              <w:rPr>
                <w:rFonts w:ascii="Times New Roman"/>
                <w:sz w:val="16"/>
              </w:rPr>
            </w:pPr>
          </w:p>
        </w:tc>
        <w:tc>
          <w:tcPr>
            <w:tcW w:w="692"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20"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00" w:lineRule="exact"/>
              <w:ind w:left="400"/>
              <w:rPr>
                <w:sz w:val="20"/>
              </w:rPr>
            </w:pPr>
            <w:r>
              <w:rPr>
                <w:spacing w:val="-2"/>
                <w:sz w:val="20"/>
              </w:rPr>
              <w:t>observations</w:t>
            </w:r>
          </w:p>
        </w:tc>
        <w:tc>
          <w:tcPr>
            <w:tcW w:w="701" w:type="dxa"/>
          </w:tcPr>
          <w:p>
            <w:pPr>
              <w:pStyle w:val="TableParagraph"/>
              <w:spacing w:line="200" w:lineRule="exact"/>
              <w:ind w:left="27" w:right="7"/>
              <w:jc w:val="center"/>
              <w:rPr>
                <w:sz w:val="20"/>
              </w:rPr>
            </w:pPr>
            <w:r>
              <w:rPr>
                <w:spacing w:val="-10"/>
                <w:sz w:val="20"/>
              </w:rPr>
              <w:t>-</w:t>
            </w:r>
          </w:p>
        </w:tc>
        <w:tc>
          <w:tcPr>
            <w:tcW w:w="702" w:type="dxa"/>
          </w:tcPr>
          <w:p>
            <w:pPr>
              <w:pStyle w:val="TableParagraph"/>
              <w:spacing w:line="200" w:lineRule="exact"/>
              <w:ind w:left="64" w:right="7"/>
              <w:jc w:val="center"/>
              <w:rPr>
                <w:sz w:val="20"/>
              </w:rPr>
            </w:pPr>
            <w:r>
              <w:rPr>
                <w:spacing w:val="-10"/>
                <w:sz w:val="20"/>
              </w:rPr>
              <w:t>-</w:t>
            </w:r>
          </w:p>
        </w:tc>
        <w:tc>
          <w:tcPr>
            <w:tcW w:w="575" w:type="dxa"/>
          </w:tcPr>
          <w:p>
            <w:pPr>
              <w:pStyle w:val="TableParagraph"/>
              <w:spacing w:line="200" w:lineRule="exact"/>
              <w:ind w:left="46" w:right="8"/>
              <w:jc w:val="center"/>
              <w:rPr>
                <w:sz w:val="20"/>
              </w:rPr>
            </w:pPr>
            <w:r>
              <w:rPr>
                <w:spacing w:val="-10"/>
                <w:sz w:val="20"/>
              </w:rPr>
              <w:t>-</w:t>
            </w:r>
          </w:p>
        </w:tc>
        <w:tc>
          <w:tcPr>
            <w:tcW w:w="731" w:type="dxa"/>
          </w:tcPr>
          <w:p>
            <w:pPr>
              <w:pStyle w:val="TableParagraph"/>
              <w:spacing w:line="200" w:lineRule="exact"/>
              <w:ind w:left="69" w:right="69"/>
              <w:jc w:val="center"/>
              <w:rPr>
                <w:sz w:val="20"/>
              </w:rPr>
            </w:pPr>
            <w:r>
              <w:rPr>
                <w:spacing w:val="-10"/>
                <w:sz w:val="20"/>
              </w:rPr>
              <w:t>-</w:t>
            </w:r>
          </w:p>
        </w:tc>
        <w:tc>
          <w:tcPr>
            <w:tcW w:w="741" w:type="dxa"/>
          </w:tcPr>
          <w:p>
            <w:pPr>
              <w:pStyle w:val="TableParagraph"/>
              <w:spacing w:line="200" w:lineRule="exact"/>
              <w:ind w:left="3" w:right="33"/>
              <w:jc w:val="center"/>
              <w:rPr>
                <w:sz w:val="20"/>
              </w:rPr>
            </w:pPr>
            <w:r>
              <w:rPr>
                <w:spacing w:val="-10"/>
                <w:sz w:val="20"/>
              </w:rPr>
              <w:t>-</w:t>
            </w:r>
          </w:p>
        </w:tc>
        <w:tc>
          <w:tcPr>
            <w:tcW w:w="847" w:type="dxa"/>
          </w:tcPr>
          <w:p>
            <w:pPr>
              <w:pStyle w:val="TableParagraph"/>
              <w:spacing w:line="200" w:lineRule="exact"/>
              <w:ind w:left="27" w:right="6"/>
              <w:jc w:val="center"/>
              <w:rPr>
                <w:sz w:val="20"/>
              </w:rPr>
            </w:pPr>
            <w:r>
              <w:rPr>
                <w:spacing w:val="-10"/>
                <w:sz w:val="20"/>
              </w:rPr>
              <w:t>-</w:t>
            </w:r>
          </w:p>
        </w:tc>
        <w:tc>
          <w:tcPr>
            <w:tcW w:w="739" w:type="dxa"/>
          </w:tcPr>
          <w:p>
            <w:pPr>
              <w:pStyle w:val="TableParagraph"/>
              <w:spacing w:line="200" w:lineRule="exact"/>
              <w:ind w:left="75" w:right="2"/>
              <w:jc w:val="center"/>
              <w:rPr>
                <w:sz w:val="20"/>
              </w:rPr>
            </w:pPr>
            <w:r>
              <w:rPr>
                <w:spacing w:val="-10"/>
                <w:sz w:val="20"/>
              </w:rPr>
              <w:t>1</w:t>
            </w:r>
          </w:p>
        </w:tc>
        <w:tc>
          <w:tcPr>
            <w:tcW w:w="773" w:type="dxa"/>
          </w:tcPr>
          <w:p>
            <w:pPr>
              <w:pStyle w:val="TableParagraph"/>
              <w:spacing w:line="200" w:lineRule="exact"/>
              <w:ind w:left="66" w:right="65"/>
              <w:jc w:val="center"/>
              <w:rPr>
                <w:sz w:val="20"/>
              </w:rPr>
            </w:pPr>
            <w:r>
              <w:rPr>
                <w:spacing w:val="-4"/>
                <w:sz w:val="20"/>
              </w:rPr>
              <w:t>50.0</w:t>
            </w:r>
          </w:p>
        </w:tc>
        <w:tc>
          <w:tcPr>
            <w:tcW w:w="627" w:type="dxa"/>
          </w:tcPr>
          <w:p>
            <w:pPr>
              <w:pStyle w:val="TableParagraph"/>
              <w:spacing w:line="200" w:lineRule="exact"/>
              <w:ind w:left="32" w:right="10"/>
              <w:jc w:val="center"/>
              <w:rPr>
                <w:sz w:val="20"/>
              </w:rPr>
            </w:pPr>
            <w:r>
              <w:rPr>
                <w:spacing w:val="-10"/>
                <w:sz w:val="20"/>
              </w:rPr>
              <w:t>1</w:t>
            </w:r>
          </w:p>
        </w:tc>
        <w:tc>
          <w:tcPr>
            <w:tcW w:w="771" w:type="dxa"/>
          </w:tcPr>
          <w:p>
            <w:pPr>
              <w:pStyle w:val="TableParagraph"/>
              <w:spacing w:line="200" w:lineRule="exact"/>
              <w:ind w:left="59" w:right="14"/>
              <w:jc w:val="center"/>
              <w:rPr>
                <w:sz w:val="20"/>
              </w:rPr>
            </w:pPr>
            <w:r>
              <w:rPr>
                <w:spacing w:val="-4"/>
                <w:sz w:val="20"/>
              </w:rPr>
              <w:t>50.0</w:t>
            </w:r>
          </w:p>
        </w:tc>
        <w:tc>
          <w:tcPr>
            <w:tcW w:w="692" w:type="dxa"/>
          </w:tcPr>
          <w:p>
            <w:pPr>
              <w:pStyle w:val="TableParagraph"/>
              <w:spacing w:line="200" w:lineRule="exact"/>
              <w:ind w:left="35" w:right="13"/>
              <w:jc w:val="center"/>
              <w:rPr>
                <w:sz w:val="20"/>
              </w:rPr>
            </w:pPr>
            <w:r>
              <w:rPr>
                <w:spacing w:val="-10"/>
                <w:sz w:val="20"/>
              </w:rPr>
              <w:t>2</w:t>
            </w:r>
          </w:p>
        </w:tc>
        <w:tc>
          <w:tcPr>
            <w:tcW w:w="739" w:type="dxa"/>
            <w:tcBorders>
              <w:right w:val="single" w:sz="4" w:space="0" w:color="000000"/>
            </w:tcBorders>
          </w:tcPr>
          <w:p>
            <w:pPr>
              <w:pStyle w:val="TableParagraph"/>
              <w:spacing w:line="200" w:lineRule="exact"/>
              <w:ind w:left="36" w:right="5"/>
              <w:jc w:val="center"/>
              <w:rPr>
                <w:sz w:val="20"/>
              </w:rPr>
            </w:pPr>
            <w:r>
              <w:rPr>
                <w:spacing w:val="-5"/>
                <w:sz w:val="20"/>
              </w:rPr>
              <w:t>0.4</w:t>
            </w:r>
          </w:p>
        </w:tc>
      </w:tr>
      <w:tr>
        <w:trPr>
          <w:trHeight w:val="220"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00" w:lineRule="exact"/>
              <w:ind w:left="400"/>
              <w:rPr>
                <w:sz w:val="20"/>
              </w:rPr>
            </w:pPr>
            <w:r>
              <w:rPr>
                <w:spacing w:val="-2"/>
                <w:sz w:val="20"/>
              </w:rPr>
              <w:t>Students</w:t>
            </w:r>
          </w:p>
        </w:tc>
        <w:tc>
          <w:tcPr>
            <w:tcW w:w="701" w:type="dxa"/>
          </w:tcPr>
          <w:p>
            <w:pPr>
              <w:pStyle w:val="TableParagraph"/>
              <w:spacing w:line="200" w:lineRule="exact"/>
              <w:ind w:left="27"/>
              <w:jc w:val="center"/>
              <w:rPr>
                <w:sz w:val="20"/>
              </w:rPr>
            </w:pPr>
            <w:r>
              <w:rPr>
                <w:spacing w:val="-10"/>
                <w:sz w:val="20"/>
              </w:rPr>
              <w:t>4</w:t>
            </w:r>
          </w:p>
        </w:tc>
        <w:tc>
          <w:tcPr>
            <w:tcW w:w="702" w:type="dxa"/>
          </w:tcPr>
          <w:p>
            <w:pPr>
              <w:pStyle w:val="TableParagraph"/>
              <w:spacing w:line="200" w:lineRule="exact"/>
              <w:ind w:left="64" w:right="5"/>
              <w:jc w:val="center"/>
              <w:rPr>
                <w:sz w:val="20"/>
              </w:rPr>
            </w:pPr>
            <w:r>
              <w:rPr>
                <w:spacing w:val="-5"/>
                <w:sz w:val="20"/>
              </w:rPr>
              <w:t>1.7</w:t>
            </w:r>
          </w:p>
        </w:tc>
        <w:tc>
          <w:tcPr>
            <w:tcW w:w="575" w:type="dxa"/>
          </w:tcPr>
          <w:p>
            <w:pPr>
              <w:pStyle w:val="TableParagraph"/>
              <w:spacing w:line="200" w:lineRule="exact"/>
              <w:ind w:left="46" w:right="2"/>
              <w:jc w:val="center"/>
              <w:rPr>
                <w:sz w:val="20"/>
              </w:rPr>
            </w:pPr>
            <w:r>
              <w:rPr>
                <w:spacing w:val="-10"/>
                <w:sz w:val="20"/>
              </w:rPr>
              <w:t>3</w:t>
            </w:r>
          </w:p>
        </w:tc>
        <w:tc>
          <w:tcPr>
            <w:tcW w:w="731" w:type="dxa"/>
          </w:tcPr>
          <w:p>
            <w:pPr>
              <w:pStyle w:val="TableParagraph"/>
              <w:spacing w:line="200" w:lineRule="exact"/>
              <w:ind w:left="69" w:right="68"/>
              <w:jc w:val="center"/>
              <w:rPr>
                <w:sz w:val="20"/>
              </w:rPr>
            </w:pPr>
            <w:r>
              <w:rPr>
                <w:spacing w:val="-5"/>
                <w:sz w:val="20"/>
              </w:rPr>
              <w:t>1.3</w:t>
            </w:r>
          </w:p>
        </w:tc>
        <w:tc>
          <w:tcPr>
            <w:tcW w:w="741" w:type="dxa"/>
          </w:tcPr>
          <w:p>
            <w:pPr>
              <w:pStyle w:val="TableParagraph"/>
              <w:spacing w:line="200" w:lineRule="exact"/>
              <w:ind w:left="5" w:right="33"/>
              <w:jc w:val="center"/>
              <w:rPr>
                <w:sz w:val="20"/>
              </w:rPr>
            </w:pPr>
            <w:r>
              <w:rPr>
                <w:spacing w:val="-5"/>
                <w:sz w:val="20"/>
              </w:rPr>
              <w:t>22</w:t>
            </w:r>
          </w:p>
        </w:tc>
        <w:tc>
          <w:tcPr>
            <w:tcW w:w="847" w:type="dxa"/>
          </w:tcPr>
          <w:p>
            <w:pPr>
              <w:pStyle w:val="TableParagraph"/>
              <w:spacing w:line="200" w:lineRule="exact"/>
              <w:ind w:left="27" w:right="5"/>
              <w:jc w:val="center"/>
              <w:rPr>
                <w:sz w:val="20"/>
              </w:rPr>
            </w:pPr>
            <w:r>
              <w:rPr>
                <w:spacing w:val="-5"/>
                <w:sz w:val="20"/>
              </w:rPr>
              <w:t>9.4</w:t>
            </w:r>
          </w:p>
        </w:tc>
        <w:tc>
          <w:tcPr>
            <w:tcW w:w="739" w:type="dxa"/>
          </w:tcPr>
          <w:p>
            <w:pPr>
              <w:pStyle w:val="TableParagraph"/>
              <w:spacing w:line="200" w:lineRule="exact"/>
              <w:ind w:left="75" w:right="11"/>
              <w:jc w:val="center"/>
              <w:rPr>
                <w:sz w:val="20"/>
              </w:rPr>
            </w:pPr>
            <w:r>
              <w:rPr>
                <w:spacing w:val="-5"/>
                <w:sz w:val="20"/>
              </w:rPr>
              <w:t>124</w:t>
            </w:r>
          </w:p>
        </w:tc>
        <w:tc>
          <w:tcPr>
            <w:tcW w:w="773" w:type="dxa"/>
          </w:tcPr>
          <w:p>
            <w:pPr>
              <w:pStyle w:val="TableParagraph"/>
              <w:spacing w:line="200" w:lineRule="exact"/>
              <w:ind w:left="66" w:right="65"/>
              <w:jc w:val="center"/>
              <w:rPr>
                <w:sz w:val="20"/>
              </w:rPr>
            </w:pPr>
            <w:r>
              <w:rPr>
                <w:spacing w:val="-4"/>
                <w:sz w:val="20"/>
              </w:rPr>
              <w:t>52.8</w:t>
            </w:r>
          </w:p>
        </w:tc>
        <w:tc>
          <w:tcPr>
            <w:tcW w:w="627" w:type="dxa"/>
          </w:tcPr>
          <w:p>
            <w:pPr>
              <w:pStyle w:val="TableParagraph"/>
              <w:spacing w:line="200" w:lineRule="exact"/>
              <w:ind w:left="27" w:right="10"/>
              <w:jc w:val="center"/>
              <w:rPr>
                <w:sz w:val="20"/>
              </w:rPr>
            </w:pPr>
            <w:r>
              <w:rPr>
                <w:spacing w:val="-5"/>
                <w:sz w:val="20"/>
              </w:rPr>
              <w:t>82</w:t>
            </w:r>
          </w:p>
        </w:tc>
        <w:tc>
          <w:tcPr>
            <w:tcW w:w="771" w:type="dxa"/>
          </w:tcPr>
          <w:p>
            <w:pPr>
              <w:pStyle w:val="TableParagraph"/>
              <w:spacing w:line="200" w:lineRule="exact"/>
              <w:ind w:left="59" w:right="14"/>
              <w:jc w:val="center"/>
              <w:rPr>
                <w:sz w:val="20"/>
              </w:rPr>
            </w:pPr>
            <w:r>
              <w:rPr>
                <w:spacing w:val="-4"/>
                <w:sz w:val="20"/>
              </w:rPr>
              <w:t>34.9</w:t>
            </w:r>
          </w:p>
        </w:tc>
        <w:tc>
          <w:tcPr>
            <w:tcW w:w="692" w:type="dxa"/>
          </w:tcPr>
          <w:p>
            <w:pPr>
              <w:pStyle w:val="TableParagraph"/>
              <w:spacing w:line="200" w:lineRule="exact"/>
              <w:ind w:left="25" w:right="13"/>
              <w:jc w:val="center"/>
              <w:rPr>
                <w:sz w:val="20"/>
              </w:rPr>
            </w:pPr>
            <w:r>
              <w:rPr>
                <w:spacing w:val="-5"/>
                <w:sz w:val="20"/>
              </w:rPr>
              <w:t>235</w:t>
            </w:r>
          </w:p>
        </w:tc>
        <w:tc>
          <w:tcPr>
            <w:tcW w:w="739" w:type="dxa"/>
            <w:tcBorders>
              <w:right w:val="single" w:sz="4" w:space="0" w:color="000000"/>
            </w:tcBorders>
          </w:tcPr>
          <w:p>
            <w:pPr>
              <w:pStyle w:val="TableParagraph"/>
              <w:spacing w:line="200" w:lineRule="exact"/>
              <w:ind w:left="38" w:right="2"/>
              <w:jc w:val="center"/>
              <w:rPr>
                <w:sz w:val="20"/>
              </w:rPr>
            </w:pPr>
            <w:r>
              <w:rPr>
                <w:spacing w:val="-4"/>
                <w:sz w:val="20"/>
              </w:rPr>
              <w:t>50.8</w:t>
            </w:r>
          </w:p>
        </w:tc>
      </w:tr>
      <w:tr>
        <w:trPr>
          <w:trHeight w:val="220"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00" w:lineRule="exact"/>
              <w:ind w:left="400"/>
              <w:rPr>
                <w:sz w:val="20"/>
              </w:rPr>
            </w:pPr>
            <w:r>
              <w:rPr>
                <w:sz w:val="20"/>
              </w:rPr>
              <w:t>Service</w:t>
            </w:r>
            <w:r>
              <w:rPr>
                <w:spacing w:val="-9"/>
                <w:sz w:val="20"/>
              </w:rPr>
              <w:t> </w:t>
            </w:r>
            <w:r>
              <w:rPr>
                <w:spacing w:val="-2"/>
                <w:sz w:val="20"/>
              </w:rPr>
              <w:t>Staff</w:t>
            </w:r>
          </w:p>
        </w:tc>
        <w:tc>
          <w:tcPr>
            <w:tcW w:w="701" w:type="dxa"/>
          </w:tcPr>
          <w:p>
            <w:pPr>
              <w:pStyle w:val="TableParagraph"/>
              <w:spacing w:line="200" w:lineRule="exact"/>
              <w:ind w:left="27"/>
              <w:jc w:val="center"/>
              <w:rPr>
                <w:sz w:val="20"/>
              </w:rPr>
            </w:pPr>
            <w:r>
              <w:rPr>
                <w:spacing w:val="-10"/>
                <w:sz w:val="20"/>
              </w:rPr>
              <w:t>6</w:t>
            </w:r>
          </w:p>
        </w:tc>
        <w:tc>
          <w:tcPr>
            <w:tcW w:w="702" w:type="dxa"/>
          </w:tcPr>
          <w:p>
            <w:pPr>
              <w:pStyle w:val="TableParagraph"/>
              <w:spacing w:line="200" w:lineRule="exact"/>
              <w:ind w:left="64" w:right="5"/>
              <w:jc w:val="center"/>
              <w:rPr>
                <w:sz w:val="20"/>
              </w:rPr>
            </w:pPr>
            <w:r>
              <w:rPr>
                <w:spacing w:val="-5"/>
                <w:sz w:val="20"/>
              </w:rPr>
              <w:t>3.0</w:t>
            </w:r>
          </w:p>
        </w:tc>
        <w:tc>
          <w:tcPr>
            <w:tcW w:w="575" w:type="dxa"/>
          </w:tcPr>
          <w:p>
            <w:pPr>
              <w:pStyle w:val="TableParagraph"/>
              <w:spacing w:line="200" w:lineRule="exact"/>
              <w:ind w:left="46" w:right="2"/>
              <w:jc w:val="center"/>
              <w:rPr>
                <w:sz w:val="20"/>
              </w:rPr>
            </w:pPr>
            <w:r>
              <w:rPr>
                <w:spacing w:val="-10"/>
                <w:sz w:val="20"/>
              </w:rPr>
              <w:t>4</w:t>
            </w:r>
          </w:p>
        </w:tc>
        <w:tc>
          <w:tcPr>
            <w:tcW w:w="731" w:type="dxa"/>
          </w:tcPr>
          <w:p>
            <w:pPr>
              <w:pStyle w:val="TableParagraph"/>
              <w:spacing w:line="200" w:lineRule="exact"/>
              <w:ind w:left="69" w:right="68"/>
              <w:jc w:val="center"/>
              <w:rPr>
                <w:sz w:val="20"/>
              </w:rPr>
            </w:pPr>
            <w:r>
              <w:rPr>
                <w:spacing w:val="-5"/>
                <w:sz w:val="20"/>
              </w:rPr>
              <w:t>2.0</w:t>
            </w:r>
          </w:p>
        </w:tc>
        <w:tc>
          <w:tcPr>
            <w:tcW w:w="741" w:type="dxa"/>
          </w:tcPr>
          <w:p>
            <w:pPr>
              <w:pStyle w:val="TableParagraph"/>
              <w:spacing w:line="200" w:lineRule="exact"/>
              <w:ind w:left="5" w:right="33"/>
              <w:jc w:val="center"/>
              <w:rPr>
                <w:sz w:val="20"/>
              </w:rPr>
            </w:pPr>
            <w:r>
              <w:rPr>
                <w:spacing w:val="-5"/>
                <w:sz w:val="20"/>
              </w:rPr>
              <w:t>22</w:t>
            </w:r>
          </w:p>
        </w:tc>
        <w:tc>
          <w:tcPr>
            <w:tcW w:w="847" w:type="dxa"/>
          </w:tcPr>
          <w:p>
            <w:pPr>
              <w:pStyle w:val="TableParagraph"/>
              <w:spacing w:line="200" w:lineRule="exact"/>
              <w:ind w:left="27"/>
              <w:jc w:val="center"/>
              <w:rPr>
                <w:sz w:val="20"/>
              </w:rPr>
            </w:pPr>
            <w:r>
              <w:rPr>
                <w:spacing w:val="-4"/>
                <w:sz w:val="20"/>
              </w:rPr>
              <w:t>10.8</w:t>
            </w:r>
          </w:p>
        </w:tc>
        <w:tc>
          <w:tcPr>
            <w:tcW w:w="739" w:type="dxa"/>
          </w:tcPr>
          <w:p>
            <w:pPr>
              <w:pStyle w:val="TableParagraph"/>
              <w:spacing w:line="200" w:lineRule="exact"/>
              <w:ind w:left="75" w:right="11"/>
              <w:jc w:val="center"/>
              <w:rPr>
                <w:sz w:val="20"/>
              </w:rPr>
            </w:pPr>
            <w:r>
              <w:rPr>
                <w:spacing w:val="-5"/>
                <w:sz w:val="20"/>
              </w:rPr>
              <w:t>108</w:t>
            </w:r>
          </w:p>
        </w:tc>
        <w:tc>
          <w:tcPr>
            <w:tcW w:w="773" w:type="dxa"/>
          </w:tcPr>
          <w:p>
            <w:pPr>
              <w:pStyle w:val="TableParagraph"/>
              <w:spacing w:line="200" w:lineRule="exact"/>
              <w:ind w:left="66" w:right="65"/>
              <w:jc w:val="center"/>
              <w:rPr>
                <w:sz w:val="20"/>
              </w:rPr>
            </w:pPr>
            <w:r>
              <w:rPr>
                <w:spacing w:val="-4"/>
                <w:sz w:val="20"/>
              </w:rPr>
              <w:t>53.2</w:t>
            </w:r>
          </w:p>
        </w:tc>
        <w:tc>
          <w:tcPr>
            <w:tcW w:w="627" w:type="dxa"/>
          </w:tcPr>
          <w:p>
            <w:pPr>
              <w:pStyle w:val="TableParagraph"/>
              <w:spacing w:line="200" w:lineRule="exact"/>
              <w:ind w:left="27" w:right="10"/>
              <w:jc w:val="center"/>
              <w:rPr>
                <w:sz w:val="20"/>
              </w:rPr>
            </w:pPr>
            <w:r>
              <w:rPr>
                <w:spacing w:val="-5"/>
                <w:sz w:val="20"/>
              </w:rPr>
              <w:t>63</w:t>
            </w:r>
          </w:p>
        </w:tc>
        <w:tc>
          <w:tcPr>
            <w:tcW w:w="771" w:type="dxa"/>
          </w:tcPr>
          <w:p>
            <w:pPr>
              <w:pStyle w:val="TableParagraph"/>
              <w:spacing w:line="200" w:lineRule="exact"/>
              <w:ind w:left="59" w:right="14"/>
              <w:jc w:val="center"/>
              <w:rPr>
                <w:sz w:val="20"/>
              </w:rPr>
            </w:pPr>
            <w:r>
              <w:rPr>
                <w:spacing w:val="-4"/>
                <w:sz w:val="20"/>
              </w:rPr>
              <w:t>31.0</w:t>
            </w:r>
          </w:p>
        </w:tc>
        <w:tc>
          <w:tcPr>
            <w:tcW w:w="692" w:type="dxa"/>
          </w:tcPr>
          <w:p>
            <w:pPr>
              <w:pStyle w:val="TableParagraph"/>
              <w:spacing w:line="200" w:lineRule="exact"/>
              <w:ind w:left="25" w:right="13"/>
              <w:jc w:val="center"/>
              <w:rPr>
                <w:sz w:val="20"/>
              </w:rPr>
            </w:pPr>
            <w:r>
              <w:rPr>
                <w:spacing w:val="-5"/>
                <w:sz w:val="20"/>
              </w:rPr>
              <w:t>203</w:t>
            </w:r>
          </w:p>
        </w:tc>
        <w:tc>
          <w:tcPr>
            <w:tcW w:w="739" w:type="dxa"/>
            <w:tcBorders>
              <w:right w:val="single" w:sz="4" w:space="0" w:color="000000"/>
            </w:tcBorders>
          </w:tcPr>
          <w:p>
            <w:pPr>
              <w:pStyle w:val="TableParagraph"/>
              <w:spacing w:line="200" w:lineRule="exact"/>
              <w:ind w:left="38" w:right="2"/>
              <w:jc w:val="center"/>
              <w:rPr>
                <w:sz w:val="20"/>
              </w:rPr>
            </w:pPr>
            <w:r>
              <w:rPr>
                <w:spacing w:val="-4"/>
                <w:sz w:val="20"/>
              </w:rPr>
              <w:t>43.8</w:t>
            </w:r>
          </w:p>
        </w:tc>
      </w:tr>
      <w:tr>
        <w:trPr>
          <w:trHeight w:val="244"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22" w:lineRule="exact"/>
              <w:ind w:left="400"/>
              <w:rPr>
                <w:sz w:val="20"/>
              </w:rPr>
            </w:pPr>
            <w:r>
              <w:rPr>
                <w:sz w:val="20"/>
              </w:rPr>
              <w:t>Top</w:t>
            </w:r>
            <w:r>
              <w:rPr>
                <w:spacing w:val="-1"/>
                <w:sz w:val="20"/>
              </w:rPr>
              <w:t> </w:t>
            </w:r>
            <w:r>
              <w:rPr>
                <w:spacing w:val="-2"/>
                <w:sz w:val="20"/>
              </w:rPr>
              <w:t>Management</w:t>
            </w:r>
          </w:p>
        </w:tc>
        <w:tc>
          <w:tcPr>
            <w:tcW w:w="701" w:type="dxa"/>
          </w:tcPr>
          <w:p>
            <w:pPr>
              <w:pStyle w:val="TableParagraph"/>
              <w:spacing w:line="222" w:lineRule="exact"/>
              <w:ind w:left="27" w:right="7"/>
              <w:jc w:val="center"/>
              <w:rPr>
                <w:sz w:val="20"/>
              </w:rPr>
            </w:pPr>
            <w:r>
              <w:rPr>
                <w:spacing w:val="-10"/>
                <w:sz w:val="20"/>
              </w:rPr>
              <w:t>-</w:t>
            </w:r>
          </w:p>
        </w:tc>
        <w:tc>
          <w:tcPr>
            <w:tcW w:w="702" w:type="dxa"/>
          </w:tcPr>
          <w:p>
            <w:pPr>
              <w:pStyle w:val="TableParagraph"/>
              <w:spacing w:line="222" w:lineRule="exact"/>
              <w:ind w:left="64" w:right="7"/>
              <w:jc w:val="center"/>
              <w:rPr>
                <w:sz w:val="20"/>
              </w:rPr>
            </w:pPr>
            <w:r>
              <w:rPr>
                <w:spacing w:val="-10"/>
                <w:sz w:val="20"/>
              </w:rPr>
              <w:t>-</w:t>
            </w:r>
          </w:p>
        </w:tc>
        <w:tc>
          <w:tcPr>
            <w:tcW w:w="575" w:type="dxa"/>
          </w:tcPr>
          <w:p>
            <w:pPr>
              <w:pStyle w:val="TableParagraph"/>
              <w:spacing w:line="222" w:lineRule="exact"/>
              <w:ind w:left="46" w:right="2"/>
              <w:jc w:val="center"/>
              <w:rPr>
                <w:sz w:val="20"/>
              </w:rPr>
            </w:pPr>
            <w:r>
              <w:rPr>
                <w:spacing w:val="-10"/>
                <w:sz w:val="20"/>
              </w:rPr>
              <w:t>2</w:t>
            </w:r>
          </w:p>
        </w:tc>
        <w:tc>
          <w:tcPr>
            <w:tcW w:w="731" w:type="dxa"/>
          </w:tcPr>
          <w:p>
            <w:pPr>
              <w:pStyle w:val="TableParagraph"/>
              <w:spacing w:line="222" w:lineRule="exact"/>
              <w:ind w:left="69" w:right="68"/>
              <w:jc w:val="center"/>
              <w:rPr>
                <w:sz w:val="20"/>
              </w:rPr>
            </w:pPr>
            <w:r>
              <w:rPr>
                <w:spacing w:val="-5"/>
                <w:sz w:val="20"/>
              </w:rPr>
              <w:t>8.7</w:t>
            </w:r>
          </w:p>
        </w:tc>
        <w:tc>
          <w:tcPr>
            <w:tcW w:w="741" w:type="dxa"/>
          </w:tcPr>
          <w:p>
            <w:pPr>
              <w:pStyle w:val="TableParagraph"/>
              <w:spacing w:line="222" w:lineRule="exact"/>
              <w:ind w:left="5" w:right="33"/>
              <w:jc w:val="center"/>
              <w:rPr>
                <w:sz w:val="20"/>
              </w:rPr>
            </w:pPr>
            <w:r>
              <w:rPr>
                <w:spacing w:val="-5"/>
                <w:sz w:val="20"/>
              </w:rPr>
              <w:t>19</w:t>
            </w:r>
          </w:p>
        </w:tc>
        <w:tc>
          <w:tcPr>
            <w:tcW w:w="847" w:type="dxa"/>
          </w:tcPr>
          <w:p>
            <w:pPr>
              <w:pStyle w:val="TableParagraph"/>
              <w:spacing w:line="222" w:lineRule="exact"/>
              <w:ind w:left="27"/>
              <w:jc w:val="center"/>
              <w:rPr>
                <w:sz w:val="20"/>
              </w:rPr>
            </w:pPr>
            <w:r>
              <w:rPr>
                <w:spacing w:val="-4"/>
                <w:sz w:val="20"/>
              </w:rPr>
              <w:t>82.6</w:t>
            </w:r>
          </w:p>
        </w:tc>
        <w:tc>
          <w:tcPr>
            <w:tcW w:w="739" w:type="dxa"/>
          </w:tcPr>
          <w:p>
            <w:pPr>
              <w:pStyle w:val="TableParagraph"/>
              <w:spacing w:line="222" w:lineRule="exact"/>
              <w:ind w:left="75" w:right="2"/>
              <w:jc w:val="center"/>
              <w:rPr>
                <w:sz w:val="20"/>
              </w:rPr>
            </w:pPr>
            <w:r>
              <w:rPr>
                <w:spacing w:val="-10"/>
                <w:sz w:val="20"/>
              </w:rPr>
              <w:t>2</w:t>
            </w:r>
          </w:p>
        </w:tc>
        <w:tc>
          <w:tcPr>
            <w:tcW w:w="773" w:type="dxa"/>
          </w:tcPr>
          <w:p>
            <w:pPr>
              <w:pStyle w:val="TableParagraph"/>
              <w:spacing w:line="222" w:lineRule="exact"/>
              <w:ind w:left="64" w:right="65"/>
              <w:jc w:val="center"/>
              <w:rPr>
                <w:sz w:val="20"/>
              </w:rPr>
            </w:pPr>
            <w:r>
              <w:rPr>
                <w:spacing w:val="-5"/>
                <w:sz w:val="20"/>
              </w:rPr>
              <w:t>8.7</w:t>
            </w:r>
          </w:p>
        </w:tc>
        <w:tc>
          <w:tcPr>
            <w:tcW w:w="627" w:type="dxa"/>
          </w:tcPr>
          <w:p>
            <w:pPr>
              <w:pStyle w:val="TableParagraph"/>
              <w:spacing w:line="222" w:lineRule="exact"/>
              <w:ind w:left="25" w:right="10"/>
              <w:jc w:val="center"/>
              <w:rPr>
                <w:sz w:val="20"/>
              </w:rPr>
            </w:pPr>
            <w:r>
              <w:rPr>
                <w:spacing w:val="-10"/>
                <w:sz w:val="20"/>
              </w:rPr>
              <w:t>-</w:t>
            </w:r>
          </w:p>
        </w:tc>
        <w:tc>
          <w:tcPr>
            <w:tcW w:w="771" w:type="dxa"/>
          </w:tcPr>
          <w:p>
            <w:pPr>
              <w:pStyle w:val="TableParagraph"/>
              <w:spacing w:line="222" w:lineRule="exact"/>
              <w:ind w:left="52" w:right="14"/>
              <w:jc w:val="center"/>
              <w:rPr>
                <w:sz w:val="20"/>
              </w:rPr>
            </w:pPr>
            <w:r>
              <w:rPr>
                <w:spacing w:val="-10"/>
                <w:sz w:val="20"/>
              </w:rPr>
              <w:t>-</w:t>
            </w:r>
          </w:p>
        </w:tc>
        <w:tc>
          <w:tcPr>
            <w:tcW w:w="692" w:type="dxa"/>
          </w:tcPr>
          <w:p>
            <w:pPr>
              <w:pStyle w:val="TableParagraph"/>
              <w:spacing w:line="222" w:lineRule="exact"/>
              <w:ind w:left="30" w:right="13"/>
              <w:jc w:val="center"/>
              <w:rPr>
                <w:sz w:val="20"/>
              </w:rPr>
            </w:pPr>
            <w:r>
              <w:rPr>
                <w:spacing w:val="-5"/>
                <w:sz w:val="20"/>
              </w:rPr>
              <w:t>23</w:t>
            </w:r>
          </w:p>
        </w:tc>
        <w:tc>
          <w:tcPr>
            <w:tcW w:w="739" w:type="dxa"/>
            <w:tcBorders>
              <w:right w:val="single" w:sz="4" w:space="0" w:color="000000"/>
            </w:tcBorders>
          </w:tcPr>
          <w:p>
            <w:pPr>
              <w:pStyle w:val="TableParagraph"/>
              <w:spacing w:line="222" w:lineRule="exact"/>
              <w:ind w:left="36" w:right="5"/>
              <w:jc w:val="center"/>
              <w:rPr>
                <w:sz w:val="20"/>
              </w:rPr>
            </w:pPr>
            <w:r>
              <w:rPr>
                <w:spacing w:val="-5"/>
                <w:sz w:val="20"/>
              </w:rPr>
              <w:t>5.0</w:t>
            </w:r>
          </w:p>
        </w:tc>
      </w:tr>
      <w:tr>
        <w:trPr>
          <w:trHeight w:val="244"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08" w:lineRule="exact" w:before="16"/>
              <w:ind w:left="400"/>
              <w:rPr>
                <w:sz w:val="20"/>
              </w:rPr>
            </w:pPr>
            <w:r>
              <w:rPr>
                <w:sz w:val="20"/>
              </w:rPr>
              <w:t>No.</w:t>
            </w:r>
            <w:r>
              <w:rPr>
                <w:spacing w:val="-5"/>
                <w:sz w:val="20"/>
              </w:rPr>
              <w:t> </w:t>
            </w:r>
            <w:r>
              <w:rPr>
                <w:sz w:val="20"/>
              </w:rPr>
              <w:t>of</w:t>
            </w:r>
            <w:r>
              <w:rPr>
                <w:spacing w:val="-2"/>
                <w:sz w:val="20"/>
              </w:rPr>
              <w:t> missing</w:t>
            </w:r>
          </w:p>
        </w:tc>
        <w:tc>
          <w:tcPr>
            <w:tcW w:w="701" w:type="dxa"/>
          </w:tcPr>
          <w:p>
            <w:pPr>
              <w:pStyle w:val="TableParagraph"/>
              <w:rPr>
                <w:rFonts w:ascii="Times New Roman"/>
                <w:sz w:val="16"/>
              </w:rPr>
            </w:pPr>
          </w:p>
        </w:tc>
        <w:tc>
          <w:tcPr>
            <w:tcW w:w="702" w:type="dxa"/>
          </w:tcPr>
          <w:p>
            <w:pPr>
              <w:pStyle w:val="TableParagraph"/>
              <w:rPr>
                <w:rFonts w:ascii="Times New Roman"/>
                <w:sz w:val="16"/>
              </w:rPr>
            </w:pPr>
          </w:p>
        </w:tc>
        <w:tc>
          <w:tcPr>
            <w:tcW w:w="575" w:type="dxa"/>
          </w:tcPr>
          <w:p>
            <w:pPr>
              <w:pStyle w:val="TableParagraph"/>
              <w:rPr>
                <w:rFonts w:ascii="Times New Roman"/>
                <w:sz w:val="16"/>
              </w:rPr>
            </w:pPr>
          </w:p>
        </w:tc>
        <w:tc>
          <w:tcPr>
            <w:tcW w:w="731" w:type="dxa"/>
          </w:tcPr>
          <w:p>
            <w:pPr>
              <w:pStyle w:val="TableParagraph"/>
              <w:rPr>
                <w:rFonts w:ascii="Times New Roman"/>
                <w:sz w:val="16"/>
              </w:rPr>
            </w:pPr>
          </w:p>
        </w:tc>
        <w:tc>
          <w:tcPr>
            <w:tcW w:w="741" w:type="dxa"/>
          </w:tcPr>
          <w:p>
            <w:pPr>
              <w:pStyle w:val="TableParagraph"/>
              <w:rPr>
                <w:rFonts w:ascii="Times New Roman"/>
                <w:sz w:val="16"/>
              </w:rPr>
            </w:pPr>
          </w:p>
        </w:tc>
        <w:tc>
          <w:tcPr>
            <w:tcW w:w="847" w:type="dxa"/>
          </w:tcPr>
          <w:p>
            <w:pPr>
              <w:pStyle w:val="TableParagraph"/>
              <w:rPr>
                <w:rFonts w:ascii="Times New Roman"/>
                <w:sz w:val="16"/>
              </w:rPr>
            </w:pPr>
          </w:p>
        </w:tc>
        <w:tc>
          <w:tcPr>
            <w:tcW w:w="739" w:type="dxa"/>
          </w:tcPr>
          <w:p>
            <w:pPr>
              <w:pStyle w:val="TableParagraph"/>
              <w:rPr>
                <w:rFonts w:ascii="Times New Roman"/>
                <w:sz w:val="16"/>
              </w:rPr>
            </w:pPr>
          </w:p>
        </w:tc>
        <w:tc>
          <w:tcPr>
            <w:tcW w:w="773" w:type="dxa"/>
          </w:tcPr>
          <w:p>
            <w:pPr>
              <w:pStyle w:val="TableParagraph"/>
              <w:rPr>
                <w:rFonts w:ascii="Times New Roman"/>
                <w:sz w:val="16"/>
              </w:rPr>
            </w:pPr>
          </w:p>
        </w:tc>
        <w:tc>
          <w:tcPr>
            <w:tcW w:w="627" w:type="dxa"/>
          </w:tcPr>
          <w:p>
            <w:pPr>
              <w:pStyle w:val="TableParagraph"/>
              <w:rPr>
                <w:rFonts w:ascii="Times New Roman"/>
                <w:sz w:val="16"/>
              </w:rPr>
            </w:pPr>
          </w:p>
        </w:tc>
        <w:tc>
          <w:tcPr>
            <w:tcW w:w="771" w:type="dxa"/>
          </w:tcPr>
          <w:p>
            <w:pPr>
              <w:pStyle w:val="TableParagraph"/>
              <w:rPr>
                <w:rFonts w:ascii="Times New Roman"/>
                <w:sz w:val="16"/>
              </w:rPr>
            </w:pPr>
          </w:p>
        </w:tc>
        <w:tc>
          <w:tcPr>
            <w:tcW w:w="692"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20"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00" w:lineRule="exact"/>
              <w:ind w:left="400"/>
              <w:rPr>
                <w:sz w:val="20"/>
              </w:rPr>
            </w:pPr>
            <w:r>
              <w:rPr>
                <w:spacing w:val="-2"/>
                <w:sz w:val="20"/>
              </w:rPr>
              <w:t>observations</w:t>
            </w:r>
          </w:p>
        </w:tc>
        <w:tc>
          <w:tcPr>
            <w:tcW w:w="701" w:type="dxa"/>
          </w:tcPr>
          <w:p>
            <w:pPr>
              <w:pStyle w:val="TableParagraph"/>
              <w:spacing w:line="200" w:lineRule="exact"/>
              <w:ind w:left="27" w:right="7"/>
              <w:jc w:val="center"/>
              <w:rPr>
                <w:sz w:val="20"/>
              </w:rPr>
            </w:pPr>
            <w:r>
              <w:rPr>
                <w:spacing w:val="-10"/>
                <w:sz w:val="20"/>
              </w:rPr>
              <w:t>-</w:t>
            </w:r>
          </w:p>
        </w:tc>
        <w:tc>
          <w:tcPr>
            <w:tcW w:w="702" w:type="dxa"/>
          </w:tcPr>
          <w:p>
            <w:pPr>
              <w:pStyle w:val="TableParagraph"/>
              <w:spacing w:line="200" w:lineRule="exact"/>
              <w:ind w:left="64" w:right="7"/>
              <w:jc w:val="center"/>
              <w:rPr>
                <w:sz w:val="20"/>
              </w:rPr>
            </w:pPr>
            <w:r>
              <w:rPr>
                <w:spacing w:val="-10"/>
                <w:sz w:val="20"/>
              </w:rPr>
              <w:t>-</w:t>
            </w:r>
          </w:p>
        </w:tc>
        <w:tc>
          <w:tcPr>
            <w:tcW w:w="575" w:type="dxa"/>
          </w:tcPr>
          <w:p>
            <w:pPr>
              <w:pStyle w:val="TableParagraph"/>
              <w:spacing w:line="200" w:lineRule="exact"/>
              <w:ind w:left="46" w:right="8"/>
              <w:jc w:val="center"/>
              <w:rPr>
                <w:sz w:val="20"/>
              </w:rPr>
            </w:pPr>
            <w:r>
              <w:rPr>
                <w:spacing w:val="-10"/>
                <w:sz w:val="20"/>
              </w:rPr>
              <w:t>-</w:t>
            </w:r>
          </w:p>
        </w:tc>
        <w:tc>
          <w:tcPr>
            <w:tcW w:w="731" w:type="dxa"/>
          </w:tcPr>
          <w:p>
            <w:pPr>
              <w:pStyle w:val="TableParagraph"/>
              <w:spacing w:line="200" w:lineRule="exact"/>
              <w:ind w:left="69" w:right="69"/>
              <w:jc w:val="center"/>
              <w:rPr>
                <w:sz w:val="20"/>
              </w:rPr>
            </w:pPr>
            <w:r>
              <w:rPr>
                <w:spacing w:val="-10"/>
                <w:sz w:val="20"/>
              </w:rPr>
              <w:t>-</w:t>
            </w:r>
          </w:p>
        </w:tc>
        <w:tc>
          <w:tcPr>
            <w:tcW w:w="741" w:type="dxa"/>
          </w:tcPr>
          <w:p>
            <w:pPr>
              <w:pStyle w:val="TableParagraph"/>
              <w:spacing w:line="200" w:lineRule="exact"/>
              <w:ind w:left="10" w:right="33"/>
              <w:jc w:val="center"/>
              <w:rPr>
                <w:sz w:val="20"/>
              </w:rPr>
            </w:pPr>
            <w:r>
              <w:rPr>
                <w:spacing w:val="-10"/>
                <w:sz w:val="20"/>
              </w:rPr>
              <w:t>1</w:t>
            </w:r>
          </w:p>
        </w:tc>
        <w:tc>
          <w:tcPr>
            <w:tcW w:w="847" w:type="dxa"/>
          </w:tcPr>
          <w:p>
            <w:pPr>
              <w:pStyle w:val="TableParagraph"/>
              <w:spacing w:line="200" w:lineRule="exact"/>
              <w:ind w:left="27"/>
              <w:jc w:val="center"/>
              <w:rPr>
                <w:sz w:val="20"/>
              </w:rPr>
            </w:pPr>
            <w:r>
              <w:rPr>
                <w:spacing w:val="-4"/>
                <w:sz w:val="20"/>
              </w:rPr>
              <w:t>50.0</w:t>
            </w:r>
          </w:p>
        </w:tc>
        <w:tc>
          <w:tcPr>
            <w:tcW w:w="739" w:type="dxa"/>
          </w:tcPr>
          <w:p>
            <w:pPr>
              <w:pStyle w:val="TableParagraph"/>
              <w:spacing w:line="200" w:lineRule="exact"/>
              <w:ind w:left="75" w:right="8"/>
              <w:jc w:val="center"/>
              <w:rPr>
                <w:sz w:val="20"/>
              </w:rPr>
            </w:pPr>
            <w:r>
              <w:rPr>
                <w:spacing w:val="-10"/>
                <w:sz w:val="20"/>
              </w:rPr>
              <w:t>-</w:t>
            </w:r>
          </w:p>
        </w:tc>
        <w:tc>
          <w:tcPr>
            <w:tcW w:w="773" w:type="dxa"/>
          </w:tcPr>
          <w:p>
            <w:pPr>
              <w:pStyle w:val="TableParagraph"/>
              <w:spacing w:line="200" w:lineRule="exact"/>
              <w:ind w:left="63" w:right="65"/>
              <w:jc w:val="center"/>
              <w:rPr>
                <w:sz w:val="20"/>
              </w:rPr>
            </w:pPr>
            <w:r>
              <w:rPr>
                <w:spacing w:val="-10"/>
                <w:sz w:val="20"/>
              </w:rPr>
              <w:t>-</w:t>
            </w:r>
          </w:p>
        </w:tc>
        <w:tc>
          <w:tcPr>
            <w:tcW w:w="627" w:type="dxa"/>
          </w:tcPr>
          <w:p>
            <w:pPr>
              <w:pStyle w:val="TableParagraph"/>
              <w:spacing w:line="200" w:lineRule="exact"/>
              <w:ind w:left="32" w:right="10"/>
              <w:jc w:val="center"/>
              <w:rPr>
                <w:sz w:val="20"/>
              </w:rPr>
            </w:pPr>
            <w:r>
              <w:rPr>
                <w:spacing w:val="-10"/>
                <w:sz w:val="20"/>
              </w:rPr>
              <w:t>1</w:t>
            </w:r>
          </w:p>
        </w:tc>
        <w:tc>
          <w:tcPr>
            <w:tcW w:w="771" w:type="dxa"/>
          </w:tcPr>
          <w:p>
            <w:pPr>
              <w:pStyle w:val="TableParagraph"/>
              <w:spacing w:line="200" w:lineRule="exact"/>
              <w:ind w:left="59" w:right="14"/>
              <w:jc w:val="center"/>
              <w:rPr>
                <w:sz w:val="20"/>
              </w:rPr>
            </w:pPr>
            <w:r>
              <w:rPr>
                <w:spacing w:val="-4"/>
                <w:sz w:val="20"/>
              </w:rPr>
              <w:t>50.0</w:t>
            </w:r>
          </w:p>
        </w:tc>
        <w:tc>
          <w:tcPr>
            <w:tcW w:w="692" w:type="dxa"/>
          </w:tcPr>
          <w:p>
            <w:pPr>
              <w:pStyle w:val="TableParagraph"/>
              <w:spacing w:line="200" w:lineRule="exact"/>
              <w:ind w:left="35" w:right="13"/>
              <w:jc w:val="center"/>
              <w:rPr>
                <w:sz w:val="20"/>
              </w:rPr>
            </w:pPr>
            <w:r>
              <w:rPr>
                <w:spacing w:val="-10"/>
                <w:sz w:val="20"/>
              </w:rPr>
              <w:t>2</w:t>
            </w:r>
          </w:p>
        </w:tc>
        <w:tc>
          <w:tcPr>
            <w:tcW w:w="739" w:type="dxa"/>
            <w:tcBorders>
              <w:right w:val="single" w:sz="4" w:space="0" w:color="000000"/>
            </w:tcBorders>
          </w:tcPr>
          <w:p>
            <w:pPr>
              <w:pStyle w:val="TableParagraph"/>
              <w:spacing w:line="200" w:lineRule="exact"/>
              <w:ind w:left="36" w:right="5"/>
              <w:jc w:val="center"/>
              <w:rPr>
                <w:sz w:val="20"/>
              </w:rPr>
            </w:pPr>
            <w:r>
              <w:rPr>
                <w:spacing w:val="-5"/>
                <w:sz w:val="20"/>
              </w:rPr>
              <w:t>0.4</w:t>
            </w:r>
          </w:p>
        </w:tc>
      </w:tr>
      <w:tr>
        <w:trPr>
          <w:trHeight w:val="244"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22" w:lineRule="exact"/>
              <w:ind w:left="400"/>
              <w:rPr>
                <w:sz w:val="20"/>
              </w:rPr>
            </w:pPr>
            <w:r>
              <w:rPr>
                <w:spacing w:val="-2"/>
                <w:sz w:val="20"/>
              </w:rPr>
              <w:t>Students</w:t>
            </w:r>
          </w:p>
        </w:tc>
        <w:tc>
          <w:tcPr>
            <w:tcW w:w="701" w:type="dxa"/>
          </w:tcPr>
          <w:p>
            <w:pPr>
              <w:pStyle w:val="TableParagraph"/>
              <w:spacing w:line="222" w:lineRule="exact"/>
              <w:ind w:left="27"/>
              <w:jc w:val="center"/>
              <w:rPr>
                <w:sz w:val="20"/>
              </w:rPr>
            </w:pPr>
            <w:r>
              <w:rPr>
                <w:spacing w:val="-10"/>
                <w:sz w:val="20"/>
              </w:rPr>
              <w:t>9</w:t>
            </w:r>
          </w:p>
        </w:tc>
        <w:tc>
          <w:tcPr>
            <w:tcW w:w="702" w:type="dxa"/>
          </w:tcPr>
          <w:p>
            <w:pPr>
              <w:pStyle w:val="TableParagraph"/>
              <w:spacing w:line="222" w:lineRule="exact"/>
              <w:ind w:left="64" w:right="5"/>
              <w:jc w:val="center"/>
              <w:rPr>
                <w:sz w:val="20"/>
              </w:rPr>
            </w:pPr>
            <w:r>
              <w:rPr>
                <w:spacing w:val="-5"/>
                <w:sz w:val="20"/>
              </w:rPr>
              <w:t>3.8</w:t>
            </w:r>
          </w:p>
        </w:tc>
        <w:tc>
          <w:tcPr>
            <w:tcW w:w="575" w:type="dxa"/>
          </w:tcPr>
          <w:p>
            <w:pPr>
              <w:pStyle w:val="TableParagraph"/>
              <w:spacing w:line="222" w:lineRule="exact"/>
              <w:ind w:left="46" w:right="2"/>
              <w:jc w:val="center"/>
              <w:rPr>
                <w:sz w:val="20"/>
              </w:rPr>
            </w:pPr>
            <w:r>
              <w:rPr>
                <w:spacing w:val="-10"/>
                <w:sz w:val="20"/>
              </w:rPr>
              <w:t>8</w:t>
            </w:r>
          </w:p>
        </w:tc>
        <w:tc>
          <w:tcPr>
            <w:tcW w:w="731" w:type="dxa"/>
          </w:tcPr>
          <w:p>
            <w:pPr>
              <w:pStyle w:val="TableParagraph"/>
              <w:spacing w:line="222" w:lineRule="exact"/>
              <w:ind w:left="69" w:right="68"/>
              <w:jc w:val="center"/>
              <w:rPr>
                <w:sz w:val="20"/>
              </w:rPr>
            </w:pPr>
            <w:r>
              <w:rPr>
                <w:spacing w:val="-5"/>
                <w:sz w:val="20"/>
              </w:rPr>
              <w:t>3.4</w:t>
            </w:r>
          </w:p>
        </w:tc>
        <w:tc>
          <w:tcPr>
            <w:tcW w:w="741" w:type="dxa"/>
          </w:tcPr>
          <w:p>
            <w:pPr>
              <w:pStyle w:val="TableParagraph"/>
              <w:spacing w:line="222" w:lineRule="exact"/>
              <w:ind w:left="5" w:right="33"/>
              <w:jc w:val="center"/>
              <w:rPr>
                <w:sz w:val="20"/>
              </w:rPr>
            </w:pPr>
            <w:r>
              <w:rPr>
                <w:spacing w:val="-5"/>
                <w:sz w:val="20"/>
              </w:rPr>
              <w:t>36</w:t>
            </w:r>
          </w:p>
        </w:tc>
        <w:tc>
          <w:tcPr>
            <w:tcW w:w="847" w:type="dxa"/>
          </w:tcPr>
          <w:p>
            <w:pPr>
              <w:pStyle w:val="TableParagraph"/>
              <w:spacing w:line="222" w:lineRule="exact"/>
              <w:ind w:left="27"/>
              <w:jc w:val="center"/>
              <w:rPr>
                <w:sz w:val="20"/>
              </w:rPr>
            </w:pPr>
            <w:r>
              <w:rPr>
                <w:spacing w:val="-4"/>
                <w:sz w:val="20"/>
              </w:rPr>
              <w:t>15.3</w:t>
            </w:r>
          </w:p>
        </w:tc>
        <w:tc>
          <w:tcPr>
            <w:tcW w:w="739" w:type="dxa"/>
          </w:tcPr>
          <w:p>
            <w:pPr>
              <w:pStyle w:val="TableParagraph"/>
              <w:spacing w:line="222" w:lineRule="exact"/>
              <w:ind w:left="75" w:right="11"/>
              <w:jc w:val="center"/>
              <w:rPr>
                <w:sz w:val="20"/>
              </w:rPr>
            </w:pPr>
            <w:r>
              <w:rPr>
                <w:spacing w:val="-5"/>
                <w:sz w:val="20"/>
              </w:rPr>
              <w:t>130</w:t>
            </w:r>
          </w:p>
        </w:tc>
        <w:tc>
          <w:tcPr>
            <w:tcW w:w="773" w:type="dxa"/>
          </w:tcPr>
          <w:p>
            <w:pPr>
              <w:pStyle w:val="TableParagraph"/>
              <w:spacing w:line="222" w:lineRule="exact"/>
              <w:ind w:left="66" w:right="65"/>
              <w:jc w:val="center"/>
              <w:rPr>
                <w:sz w:val="20"/>
              </w:rPr>
            </w:pPr>
            <w:r>
              <w:rPr>
                <w:spacing w:val="-4"/>
                <w:sz w:val="20"/>
              </w:rPr>
              <w:t>55.3</w:t>
            </w:r>
          </w:p>
        </w:tc>
        <w:tc>
          <w:tcPr>
            <w:tcW w:w="627" w:type="dxa"/>
          </w:tcPr>
          <w:p>
            <w:pPr>
              <w:pStyle w:val="TableParagraph"/>
              <w:spacing w:line="222" w:lineRule="exact"/>
              <w:ind w:left="27" w:right="10"/>
              <w:jc w:val="center"/>
              <w:rPr>
                <w:sz w:val="20"/>
              </w:rPr>
            </w:pPr>
            <w:r>
              <w:rPr>
                <w:spacing w:val="-5"/>
                <w:sz w:val="20"/>
              </w:rPr>
              <w:t>52</w:t>
            </w:r>
          </w:p>
        </w:tc>
        <w:tc>
          <w:tcPr>
            <w:tcW w:w="771" w:type="dxa"/>
          </w:tcPr>
          <w:p>
            <w:pPr>
              <w:pStyle w:val="TableParagraph"/>
              <w:spacing w:line="222" w:lineRule="exact"/>
              <w:ind w:left="59" w:right="14"/>
              <w:jc w:val="center"/>
              <w:rPr>
                <w:sz w:val="20"/>
              </w:rPr>
            </w:pPr>
            <w:r>
              <w:rPr>
                <w:spacing w:val="-4"/>
                <w:sz w:val="20"/>
              </w:rPr>
              <w:t>22.1</w:t>
            </w:r>
          </w:p>
        </w:tc>
        <w:tc>
          <w:tcPr>
            <w:tcW w:w="692" w:type="dxa"/>
          </w:tcPr>
          <w:p>
            <w:pPr>
              <w:pStyle w:val="TableParagraph"/>
              <w:spacing w:line="222" w:lineRule="exact"/>
              <w:ind w:left="25" w:right="13"/>
              <w:jc w:val="center"/>
              <w:rPr>
                <w:sz w:val="20"/>
              </w:rPr>
            </w:pPr>
            <w:r>
              <w:rPr>
                <w:spacing w:val="-5"/>
                <w:sz w:val="20"/>
              </w:rPr>
              <w:t>235</w:t>
            </w:r>
          </w:p>
        </w:tc>
        <w:tc>
          <w:tcPr>
            <w:tcW w:w="739" w:type="dxa"/>
            <w:tcBorders>
              <w:right w:val="single" w:sz="4" w:space="0" w:color="000000"/>
            </w:tcBorders>
          </w:tcPr>
          <w:p>
            <w:pPr>
              <w:pStyle w:val="TableParagraph"/>
              <w:spacing w:line="222" w:lineRule="exact"/>
              <w:ind w:left="38" w:right="2"/>
              <w:jc w:val="center"/>
              <w:rPr>
                <w:sz w:val="20"/>
              </w:rPr>
            </w:pPr>
            <w:r>
              <w:rPr>
                <w:spacing w:val="-4"/>
                <w:sz w:val="20"/>
              </w:rPr>
              <w:t>50.8</w:t>
            </w:r>
          </w:p>
        </w:tc>
      </w:tr>
      <w:tr>
        <w:trPr>
          <w:trHeight w:val="244"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08" w:lineRule="exact" w:before="16"/>
              <w:ind w:left="400"/>
              <w:rPr>
                <w:sz w:val="20"/>
              </w:rPr>
            </w:pPr>
            <w:r>
              <w:rPr>
                <w:sz w:val="20"/>
              </w:rPr>
              <w:t>Service</w:t>
            </w:r>
            <w:r>
              <w:rPr>
                <w:spacing w:val="-9"/>
                <w:sz w:val="20"/>
              </w:rPr>
              <w:t> </w:t>
            </w:r>
            <w:r>
              <w:rPr>
                <w:spacing w:val="-2"/>
                <w:sz w:val="20"/>
              </w:rPr>
              <w:t>Staff</w:t>
            </w:r>
          </w:p>
        </w:tc>
        <w:tc>
          <w:tcPr>
            <w:tcW w:w="701" w:type="dxa"/>
          </w:tcPr>
          <w:p>
            <w:pPr>
              <w:pStyle w:val="TableParagraph"/>
              <w:spacing w:line="208" w:lineRule="exact" w:before="16"/>
              <w:ind w:left="27" w:right="5"/>
              <w:jc w:val="center"/>
              <w:rPr>
                <w:sz w:val="20"/>
              </w:rPr>
            </w:pPr>
            <w:r>
              <w:rPr>
                <w:spacing w:val="-5"/>
                <w:sz w:val="20"/>
              </w:rPr>
              <w:t>14</w:t>
            </w:r>
          </w:p>
        </w:tc>
        <w:tc>
          <w:tcPr>
            <w:tcW w:w="702" w:type="dxa"/>
          </w:tcPr>
          <w:p>
            <w:pPr>
              <w:pStyle w:val="TableParagraph"/>
              <w:spacing w:line="208" w:lineRule="exact" w:before="16"/>
              <w:ind w:left="64" w:right="5"/>
              <w:jc w:val="center"/>
              <w:rPr>
                <w:sz w:val="20"/>
              </w:rPr>
            </w:pPr>
            <w:r>
              <w:rPr>
                <w:spacing w:val="-5"/>
                <w:sz w:val="20"/>
              </w:rPr>
              <w:t>6.9</w:t>
            </w:r>
          </w:p>
        </w:tc>
        <w:tc>
          <w:tcPr>
            <w:tcW w:w="575" w:type="dxa"/>
          </w:tcPr>
          <w:p>
            <w:pPr>
              <w:pStyle w:val="TableParagraph"/>
              <w:spacing w:line="208" w:lineRule="exact" w:before="16"/>
              <w:ind w:left="46" w:right="6"/>
              <w:jc w:val="center"/>
              <w:rPr>
                <w:sz w:val="20"/>
              </w:rPr>
            </w:pPr>
            <w:r>
              <w:rPr>
                <w:spacing w:val="-5"/>
                <w:sz w:val="20"/>
              </w:rPr>
              <w:t>10</w:t>
            </w:r>
          </w:p>
        </w:tc>
        <w:tc>
          <w:tcPr>
            <w:tcW w:w="731" w:type="dxa"/>
          </w:tcPr>
          <w:p>
            <w:pPr>
              <w:pStyle w:val="TableParagraph"/>
              <w:spacing w:line="208" w:lineRule="exact" w:before="16"/>
              <w:ind w:left="69" w:right="68"/>
              <w:jc w:val="center"/>
              <w:rPr>
                <w:sz w:val="20"/>
              </w:rPr>
            </w:pPr>
            <w:r>
              <w:rPr>
                <w:spacing w:val="-5"/>
                <w:sz w:val="20"/>
              </w:rPr>
              <w:t>4.9</w:t>
            </w:r>
          </w:p>
        </w:tc>
        <w:tc>
          <w:tcPr>
            <w:tcW w:w="741" w:type="dxa"/>
          </w:tcPr>
          <w:p>
            <w:pPr>
              <w:pStyle w:val="TableParagraph"/>
              <w:spacing w:line="208" w:lineRule="exact" w:before="16"/>
              <w:ind w:left="5" w:right="33"/>
              <w:jc w:val="center"/>
              <w:rPr>
                <w:sz w:val="20"/>
              </w:rPr>
            </w:pPr>
            <w:r>
              <w:rPr>
                <w:spacing w:val="-5"/>
                <w:sz w:val="20"/>
              </w:rPr>
              <w:t>41</w:t>
            </w:r>
          </w:p>
        </w:tc>
        <w:tc>
          <w:tcPr>
            <w:tcW w:w="847" w:type="dxa"/>
          </w:tcPr>
          <w:p>
            <w:pPr>
              <w:pStyle w:val="TableParagraph"/>
              <w:spacing w:line="208" w:lineRule="exact" w:before="16"/>
              <w:ind w:left="27"/>
              <w:jc w:val="center"/>
              <w:rPr>
                <w:sz w:val="20"/>
              </w:rPr>
            </w:pPr>
            <w:r>
              <w:rPr>
                <w:spacing w:val="-4"/>
                <w:sz w:val="20"/>
              </w:rPr>
              <w:t>20.2</w:t>
            </w:r>
          </w:p>
        </w:tc>
        <w:tc>
          <w:tcPr>
            <w:tcW w:w="739" w:type="dxa"/>
          </w:tcPr>
          <w:p>
            <w:pPr>
              <w:pStyle w:val="TableParagraph"/>
              <w:spacing w:line="208" w:lineRule="exact" w:before="16"/>
              <w:ind w:left="75" w:right="6"/>
              <w:jc w:val="center"/>
              <w:rPr>
                <w:sz w:val="20"/>
              </w:rPr>
            </w:pPr>
            <w:r>
              <w:rPr>
                <w:spacing w:val="-5"/>
                <w:sz w:val="20"/>
              </w:rPr>
              <w:t>91</w:t>
            </w:r>
          </w:p>
        </w:tc>
        <w:tc>
          <w:tcPr>
            <w:tcW w:w="773" w:type="dxa"/>
          </w:tcPr>
          <w:p>
            <w:pPr>
              <w:pStyle w:val="TableParagraph"/>
              <w:spacing w:line="208" w:lineRule="exact" w:before="16"/>
              <w:ind w:left="66" w:right="65"/>
              <w:jc w:val="center"/>
              <w:rPr>
                <w:sz w:val="20"/>
              </w:rPr>
            </w:pPr>
            <w:r>
              <w:rPr>
                <w:spacing w:val="-4"/>
                <w:sz w:val="20"/>
              </w:rPr>
              <w:t>44.8</w:t>
            </w:r>
          </w:p>
        </w:tc>
        <w:tc>
          <w:tcPr>
            <w:tcW w:w="627" w:type="dxa"/>
          </w:tcPr>
          <w:p>
            <w:pPr>
              <w:pStyle w:val="TableParagraph"/>
              <w:spacing w:line="208" w:lineRule="exact" w:before="16"/>
              <w:ind w:left="27" w:right="10"/>
              <w:jc w:val="center"/>
              <w:rPr>
                <w:sz w:val="20"/>
              </w:rPr>
            </w:pPr>
            <w:r>
              <w:rPr>
                <w:spacing w:val="-5"/>
                <w:sz w:val="20"/>
              </w:rPr>
              <w:t>47</w:t>
            </w:r>
          </w:p>
        </w:tc>
        <w:tc>
          <w:tcPr>
            <w:tcW w:w="771" w:type="dxa"/>
          </w:tcPr>
          <w:p>
            <w:pPr>
              <w:pStyle w:val="TableParagraph"/>
              <w:spacing w:line="208" w:lineRule="exact" w:before="16"/>
              <w:ind w:left="59" w:right="14"/>
              <w:jc w:val="center"/>
              <w:rPr>
                <w:sz w:val="20"/>
              </w:rPr>
            </w:pPr>
            <w:r>
              <w:rPr>
                <w:spacing w:val="-4"/>
                <w:sz w:val="20"/>
              </w:rPr>
              <w:t>23.2</w:t>
            </w:r>
          </w:p>
        </w:tc>
        <w:tc>
          <w:tcPr>
            <w:tcW w:w="692" w:type="dxa"/>
          </w:tcPr>
          <w:p>
            <w:pPr>
              <w:pStyle w:val="TableParagraph"/>
              <w:spacing w:line="208" w:lineRule="exact" w:before="16"/>
              <w:ind w:left="25" w:right="13"/>
              <w:jc w:val="center"/>
              <w:rPr>
                <w:sz w:val="20"/>
              </w:rPr>
            </w:pPr>
            <w:r>
              <w:rPr>
                <w:spacing w:val="-5"/>
                <w:sz w:val="20"/>
              </w:rPr>
              <w:t>203</w:t>
            </w:r>
          </w:p>
        </w:tc>
        <w:tc>
          <w:tcPr>
            <w:tcW w:w="739" w:type="dxa"/>
            <w:tcBorders>
              <w:right w:val="single" w:sz="4" w:space="0" w:color="000000"/>
            </w:tcBorders>
          </w:tcPr>
          <w:p>
            <w:pPr>
              <w:pStyle w:val="TableParagraph"/>
              <w:spacing w:line="208" w:lineRule="exact" w:before="16"/>
              <w:ind w:left="38" w:right="2"/>
              <w:jc w:val="center"/>
              <w:rPr>
                <w:sz w:val="20"/>
              </w:rPr>
            </w:pPr>
            <w:r>
              <w:rPr>
                <w:spacing w:val="-4"/>
                <w:sz w:val="20"/>
              </w:rPr>
              <w:t>43.8</w:t>
            </w:r>
          </w:p>
        </w:tc>
      </w:tr>
      <w:tr>
        <w:trPr>
          <w:trHeight w:val="227"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08" w:lineRule="exact"/>
              <w:ind w:left="400"/>
              <w:rPr>
                <w:sz w:val="20"/>
              </w:rPr>
            </w:pPr>
            <w:r>
              <w:rPr>
                <w:sz w:val="20"/>
              </w:rPr>
              <w:t>Top</w:t>
            </w:r>
            <w:r>
              <w:rPr>
                <w:spacing w:val="-1"/>
                <w:sz w:val="20"/>
              </w:rPr>
              <w:t> </w:t>
            </w:r>
            <w:r>
              <w:rPr>
                <w:spacing w:val="-2"/>
                <w:sz w:val="20"/>
              </w:rPr>
              <w:t>Management</w:t>
            </w:r>
          </w:p>
        </w:tc>
        <w:tc>
          <w:tcPr>
            <w:tcW w:w="701" w:type="dxa"/>
          </w:tcPr>
          <w:p>
            <w:pPr>
              <w:pStyle w:val="TableParagraph"/>
              <w:spacing w:line="208" w:lineRule="exact"/>
              <w:ind w:left="27"/>
              <w:jc w:val="center"/>
              <w:rPr>
                <w:sz w:val="20"/>
              </w:rPr>
            </w:pPr>
            <w:r>
              <w:rPr>
                <w:spacing w:val="-10"/>
                <w:sz w:val="20"/>
              </w:rPr>
              <w:t>1</w:t>
            </w:r>
          </w:p>
        </w:tc>
        <w:tc>
          <w:tcPr>
            <w:tcW w:w="702" w:type="dxa"/>
          </w:tcPr>
          <w:p>
            <w:pPr>
              <w:pStyle w:val="TableParagraph"/>
              <w:spacing w:line="208" w:lineRule="exact"/>
              <w:ind w:left="64" w:right="5"/>
              <w:jc w:val="center"/>
              <w:rPr>
                <w:sz w:val="20"/>
              </w:rPr>
            </w:pPr>
            <w:r>
              <w:rPr>
                <w:spacing w:val="-5"/>
                <w:sz w:val="20"/>
              </w:rPr>
              <w:t>4.3</w:t>
            </w:r>
          </w:p>
        </w:tc>
        <w:tc>
          <w:tcPr>
            <w:tcW w:w="575" w:type="dxa"/>
          </w:tcPr>
          <w:p>
            <w:pPr>
              <w:pStyle w:val="TableParagraph"/>
              <w:spacing w:line="208" w:lineRule="exact"/>
              <w:ind w:left="46" w:right="8"/>
              <w:jc w:val="center"/>
              <w:rPr>
                <w:sz w:val="20"/>
              </w:rPr>
            </w:pPr>
            <w:r>
              <w:rPr>
                <w:spacing w:val="-10"/>
                <w:sz w:val="20"/>
              </w:rPr>
              <w:t>-</w:t>
            </w:r>
          </w:p>
        </w:tc>
        <w:tc>
          <w:tcPr>
            <w:tcW w:w="731" w:type="dxa"/>
          </w:tcPr>
          <w:p>
            <w:pPr>
              <w:pStyle w:val="TableParagraph"/>
              <w:spacing w:line="208" w:lineRule="exact"/>
              <w:ind w:left="69" w:right="69"/>
              <w:jc w:val="center"/>
              <w:rPr>
                <w:sz w:val="20"/>
              </w:rPr>
            </w:pPr>
            <w:r>
              <w:rPr>
                <w:spacing w:val="-10"/>
                <w:sz w:val="20"/>
              </w:rPr>
              <w:t>-</w:t>
            </w:r>
          </w:p>
        </w:tc>
        <w:tc>
          <w:tcPr>
            <w:tcW w:w="741" w:type="dxa"/>
          </w:tcPr>
          <w:p>
            <w:pPr>
              <w:pStyle w:val="TableParagraph"/>
              <w:spacing w:line="208" w:lineRule="exact"/>
              <w:ind w:left="10" w:right="33"/>
              <w:jc w:val="center"/>
              <w:rPr>
                <w:sz w:val="20"/>
              </w:rPr>
            </w:pPr>
            <w:r>
              <w:rPr>
                <w:spacing w:val="-10"/>
                <w:sz w:val="20"/>
              </w:rPr>
              <w:t>6</w:t>
            </w:r>
          </w:p>
        </w:tc>
        <w:tc>
          <w:tcPr>
            <w:tcW w:w="847" w:type="dxa"/>
          </w:tcPr>
          <w:p>
            <w:pPr>
              <w:pStyle w:val="TableParagraph"/>
              <w:spacing w:line="208" w:lineRule="exact"/>
              <w:ind w:left="27"/>
              <w:jc w:val="center"/>
              <w:rPr>
                <w:sz w:val="20"/>
              </w:rPr>
            </w:pPr>
            <w:r>
              <w:rPr>
                <w:spacing w:val="-4"/>
                <w:sz w:val="20"/>
              </w:rPr>
              <w:t>26.1</w:t>
            </w:r>
          </w:p>
        </w:tc>
        <w:tc>
          <w:tcPr>
            <w:tcW w:w="739" w:type="dxa"/>
          </w:tcPr>
          <w:p>
            <w:pPr>
              <w:pStyle w:val="TableParagraph"/>
              <w:spacing w:line="208" w:lineRule="exact"/>
              <w:ind w:left="75" w:right="6"/>
              <w:jc w:val="center"/>
              <w:rPr>
                <w:sz w:val="20"/>
              </w:rPr>
            </w:pPr>
            <w:r>
              <w:rPr>
                <w:spacing w:val="-5"/>
                <w:sz w:val="20"/>
              </w:rPr>
              <w:t>14</w:t>
            </w:r>
          </w:p>
        </w:tc>
        <w:tc>
          <w:tcPr>
            <w:tcW w:w="773" w:type="dxa"/>
          </w:tcPr>
          <w:p>
            <w:pPr>
              <w:pStyle w:val="TableParagraph"/>
              <w:spacing w:line="208" w:lineRule="exact"/>
              <w:ind w:left="66" w:right="65"/>
              <w:jc w:val="center"/>
              <w:rPr>
                <w:sz w:val="20"/>
              </w:rPr>
            </w:pPr>
            <w:r>
              <w:rPr>
                <w:spacing w:val="-4"/>
                <w:sz w:val="20"/>
              </w:rPr>
              <w:t>60.9</w:t>
            </w:r>
          </w:p>
        </w:tc>
        <w:tc>
          <w:tcPr>
            <w:tcW w:w="627" w:type="dxa"/>
          </w:tcPr>
          <w:p>
            <w:pPr>
              <w:pStyle w:val="TableParagraph"/>
              <w:spacing w:line="208" w:lineRule="exact"/>
              <w:ind w:left="32" w:right="10"/>
              <w:jc w:val="center"/>
              <w:rPr>
                <w:sz w:val="20"/>
              </w:rPr>
            </w:pPr>
            <w:r>
              <w:rPr>
                <w:spacing w:val="-10"/>
                <w:sz w:val="20"/>
              </w:rPr>
              <w:t>2</w:t>
            </w:r>
          </w:p>
        </w:tc>
        <w:tc>
          <w:tcPr>
            <w:tcW w:w="771" w:type="dxa"/>
          </w:tcPr>
          <w:p>
            <w:pPr>
              <w:pStyle w:val="TableParagraph"/>
              <w:spacing w:line="208" w:lineRule="exact"/>
              <w:ind w:left="54" w:right="14"/>
              <w:jc w:val="center"/>
              <w:rPr>
                <w:sz w:val="20"/>
              </w:rPr>
            </w:pPr>
            <w:r>
              <w:rPr>
                <w:spacing w:val="-5"/>
                <w:sz w:val="20"/>
              </w:rPr>
              <w:t>8.7</w:t>
            </w:r>
          </w:p>
        </w:tc>
        <w:tc>
          <w:tcPr>
            <w:tcW w:w="692" w:type="dxa"/>
          </w:tcPr>
          <w:p>
            <w:pPr>
              <w:pStyle w:val="TableParagraph"/>
              <w:spacing w:line="208" w:lineRule="exact"/>
              <w:ind w:left="30" w:right="13"/>
              <w:jc w:val="center"/>
              <w:rPr>
                <w:sz w:val="20"/>
              </w:rPr>
            </w:pPr>
            <w:r>
              <w:rPr>
                <w:spacing w:val="-5"/>
                <w:sz w:val="20"/>
              </w:rPr>
              <w:t>23</w:t>
            </w:r>
          </w:p>
        </w:tc>
        <w:tc>
          <w:tcPr>
            <w:tcW w:w="739" w:type="dxa"/>
            <w:tcBorders>
              <w:right w:val="single" w:sz="4" w:space="0" w:color="000000"/>
            </w:tcBorders>
          </w:tcPr>
          <w:p>
            <w:pPr>
              <w:pStyle w:val="TableParagraph"/>
              <w:spacing w:line="208" w:lineRule="exact"/>
              <w:ind w:left="36" w:right="5"/>
              <w:jc w:val="center"/>
              <w:rPr>
                <w:sz w:val="20"/>
              </w:rPr>
            </w:pPr>
            <w:r>
              <w:rPr>
                <w:spacing w:val="-5"/>
                <w:sz w:val="20"/>
              </w:rPr>
              <w:t>5.0</w:t>
            </w:r>
          </w:p>
        </w:tc>
      </w:tr>
      <w:tr>
        <w:trPr>
          <w:trHeight w:val="227"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08" w:lineRule="exact"/>
              <w:ind w:left="400"/>
              <w:rPr>
                <w:sz w:val="20"/>
              </w:rPr>
            </w:pPr>
            <w:r>
              <w:rPr>
                <w:sz w:val="20"/>
              </w:rPr>
              <w:t>No.</w:t>
            </w:r>
            <w:r>
              <w:rPr>
                <w:spacing w:val="-5"/>
                <w:sz w:val="20"/>
              </w:rPr>
              <w:t> </w:t>
            </w:r>
            <w:r>
              <w:rPr>
                <w:sz w:val="20"/>
              </w:rPr>
              <w:t>of</w:t>
            </w:r>
            <w:r>
              <w:rPr>
                <w:spacing w:val="-2"/>
                <w:sz w:val="20"/>
              </w:rPr>
              <w:t> missing</w:t>
            </w:r>
          </w:p>
        </w:tc>
        <w:tc>
          <w:tcPr>
            <w:tcW w:w="701" w:type="dxa"/>
          </w:tcPr>
          <w:p>
            <w:pPr>
              <w:pStyle w:val="TableParagraph"/>
              <w:rPr>
                <w:rFonts w:ascii="Times New Roman"/>
                <w:sz w:val="16"/>
              </w:rPr>
            </w:pPr>
          </w:p>
        </w:tc>
        <w:tc>
          <w:tcPr>
            <w:tcW w:w="702" w:type="dxa"/>
          </w:tcPr>
          <w:p>
            <w:pPr>
              <w:pStyle w:val="TableParagraph"/>
              <w:rPr>
                <w:rFonts w:ascii="Times New Roman"/>
                <w:sz w:val="16"/>
              </w:rPr>
            </w:pPr>
          </w:p>
        </w:tc>
        <w:tc>
          <w:tcPr>
            <w:tcW w:w="575" w:type="dxa"/>
          </w:tcPr>
          <w:p>
            <w:pPr>
              <w:pStyle w:val="TableParagraph"/>
              <w:rPr>
                <w:rFonts w:ascii="Times New Roman"/>
                <w:sz w:val="16"/>
              </w:rPr>
            </w:pPr>
          </w:p>
        </w:tc>
        <w:tc>
          <w:tcPr>
            <w:tcW w:w="731" w:type="dxa"/>
          </w:tcPr>
          <w:p>
            <w:pPr>
              <w:pStyle w:val="TableParagraph"/>
              <w:rPr>
                <w:rFonts w:ascii="Times New Roman"/>
                <w:sz w:val="16"/>
              </w:rPr>
            </w:pPr>
          </w:p>
        </w:tc>
        <w:tc>
          <w:tcPr>
            <w:tcW w:w="741" w:type="dxa"/>
          </w:tcPr>
          <w:p>
            <w:pPr>
              <w:pStyle w:val="TableParagraph"/>
              <w:rPr>
                <w:rFonts w:ascii="Times New Roman"/>
                <w:sz w:val="16"/>
              </w:rPr>
            </w:pPr>
          </w:p>
        </w:tc>
        <w:tc>
          <w:tcPr>
            <w:tcW w:w="847" w:type="dxa"/>
          </w:tcPr>
          <w:p>
            <w:pPr>
              <w:pStyle w:val="TableParagraph"/>
              <w:rPr>
                <w:rFonts w:ascii="Times New Roman"/>
                <w:sz w:val="16"/>
              </w:rPr>
            </w:pPr>
          </w:p>
        </w:tc>
        <w:tc>
          <w:tcPr>
            <w:tcW w:w="739" w:type="dxa"/>
          </w:tcPr>
          <w:p>
            <w:pPr>
              <w:pStyle w:val="TableParagraph"/>
              <w:rPr>
                <w:rFonts w:ascii="Times New Roman"/>
                <w:sz w:val="16"/>
              </w:rPr>
            </w:pPr>
          </w:p>
        </w:tc>
        <w:tc>
          <w:tcPr>
            <w:tcW w:w="773" w:type="dxa"/>
          </w:tcPr>
          <w:p>
            <w:pPr>
              <w:pStyle w:val="TableParagraph"/>
              <w:rPr>
                <w:rFonts w:ascii="Times New Roman"/>
                <w:sz w:val="16"/>
              </w:rPr>
            </w:pPr>
          </w:p>
        </w:tc>
        <w:tc>
          <w:tcPr>
            <w:tcW w:w="627" w:type="dxa"/>
          </w:tcPr>
          <w:p>
            <w:pPr>
              <w:pStyle w:val="TableParagraph"/>
              <w:rPr>
                <w:rFonts w:ascii="Times New Roman"/>
                <w:sz w:val="16"/>
              </w:rPr>
            </w:pPr>
          </w:p>
        </w:tc>
        <w:tc>
          <w:tcPr>
            <w:tcW w:w="771" w:type="dxa"/>
          </w:tcPr>
          <w:p>
            <w:pPr>
              <w:pStyle w:val="TableParagraph"/>
              <w:rPr>
                <w:rFonts w:ascii="Times New Roman"/>
                <w:sz w:val="16"/>
              </w:rPr>
            </w:pPr>
          </w:p>
        </w:tc>
        <w:tc>
          <w:tcPr>
            <w:tcW w:w="692"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20"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00" w:lineRule="exact"/>
              <w:ind w:left="400"/>
              <w:rPr>
                <w:sz w:val="20"/>
              </w:rPr>
            </w:pPr>
            <w:r>
              <w:rPr>
                <w:spacing w:val="-2"/>
                <w:sz w:val="20"/>
              </w:rPr>
              <w:t>observations</w:t>
            </w:r>
          </w:p>
        </w:tc>
        <w:tc>
          <w:tcPr>
            <w:tcW w:w="701" w:type="dxa"/>
          </w:tcPr>
          <w:p>
            <w:pPr>
              <w:pStyle w:val="TableParagraph"/>
              <w:spacing w:line="200" w:lineRule="exact"/>
              <w:ind w:left="27" w:right="7"/>
              <w:jc w:val="center"/>
              <w:rPr>
                <w:sz w:val="20"/>
              </w:rPr>
            </w:pPr>
            <w:r>
              <w:rPr>
                <w:spacing w:val="-10"/>
                <w:sz w:val="20"/>
              </w:rPr>
              <w:t>-</w:t>
            </w:r>
          </w:p>
        </w:tc>
        <w:tc>
          <w:tcPr>
            <w:tcW w:w="702" w:type="dxa"/>
          </w:tcPr>
          <w:p>
            <w:pPr>
              <w:pStyle w:val="TableParagraph"/>
              <w:spacing w:line="200" w:lineRule="exact"/>
              <w:ind w:left="64" w:right="7"/>
              <w:jc w:val="center"/>
              <w:rPr>
                <w:sz w:val="20"/>
              </w:rPr>
            </w:pPr>
            <w:r>
              <w:rPr>
                <w:spacing w:val="-10"/>
                <w:sz w:val="20"/>
              </w:rPr>
              <w:t>-</w:t>
            </w:r>
          </w:p>
        </w:tc>
        <w:tc>
          <w:tcPr>
            <w:tcW w:w="575" w:type="dxa"/>
          </w:tcPr>
          <w:p>
            <w:pPr>
              <w:pStyle w:val="TableParagraph"/>
              <w:spacing w:line="200" w:lineRule="exact"/>
              <w:ind w:left="46" w:right="8"/>
              <w:jc w:val="center"/>
              <w:rPr>
                <w:sz w:val="20"/>
              </w:rPr>
            </w:pPr>
            <w:r>
              <w:rPr>
                <w:spacing w:val="-10"/>
                <w:sz w:val="20"/>
              </w:rPr>
              <w:t>-</w:t>
            </w:r>
          </w:p>
        </w:tc>
        <w:tc>
          <w:tcPr>
            <w:tcW w:w="731" w:type="dxa"/>
          </w:tcPr>
          <w:p>
            <w:pPr>
              <w:pStyle w:val="TableParagraph"/>
              <w:spacing w:line="200" w:lineRule="exact"/>
              <w:ind w:left="69" w:right="69"/>
              <w:jc w:val="center"/>
              <w:rPr>
                <w:sz w:val="20"/>
              </w:rPr>
            </w:pPr>
            <w:r>
              <w:rPr>
                <w:spacing w:val="-10"/>
                <w:sz w:val="20"/>
              </w:rPr>
              <w:t>-</w:t>
            </w:r>
          </w:p>
        </w:tc>
        <w:tc>
          <w:tcPr>
            <w:tcW w:w="741" w:type="dxa"/>
          </w:tcPr>
          <w:p>
            <w:pPr>
              <w:pStyle w:val="TableParagraph"/>
              <w:spacing w:line="200" w:lineRule="exact"/>
              <w:ind w:left="3" w:right="33"/>
              <w:jc w:val="center"/>
              <w:rPr>
                <w:sz w:val="20"/>
              </w:rPr>
            </w:pPr>
            <w:r>
              <w:rPr>
                <w:spacing w:val="-10"/>
                <w:sz w:val="20"/>
              </w:rPr>
              <w:t>-</w:t>
            </w:r>
          </w:p>
        </w:tc>
        <w:tc>
          <w:tcPr>
            <w:tcW w:w="847" w:type="dxa"/>
          </w:tcPr>
          <w:p>
            <w:pPr>
              <w:pStyle w:val="TableParagraph"/>
              <w:spacing w:line="200" w:lineRule="exact"/>
              <w:ind w:left="27" w:right="6"/>
              <w:jc w:val="center"/>
              <w:rPr>
                <w:sz w:val="20"/>
              </w:rPr>
            </w:pPr>
            <w:r>
              <w:rPr>
                <w:spacing w:val="-10"/>
                <w:sz w:val="20"/>
              </w:rPr>
              <w:t>-</w:t>
            </w:r>
          </w:p>
        </w:tc>
        <w:tc>
          <w:tcPr>
            <w:tcW w:w="739" w:type="dxa"/>
          </w:tcPr>
          <w:p>
            <w:pPr>
              <w:pStyle w:val="TableParagraph"/>
              <w:spacing w:line="200" w:lineRule="exact"/>
              <w:ind w:left="75" w:right="2"/>
              <w:jc w:val="center"/>
              <w:rPr>
                <w:sz w:val="20"/>
              </w:rPr>
            </w:pPr>
            <w:r>
              <w:rPr>
                <w:spacing w:val="-10"/>
                <w:sz w:val="20"/>
              </w:rPr>
              <w:t>1</w:t>
            </w:r>
          </w:p>
        </w:tc>
        <w:tc>
          <w:tcPr>
            <w:tcW w:w="773" w:type="dxa"/>
          </w:tcPr>
          <w:p>
            <w:pPr>
              <w:pStyle w:val="TableParagraph"/>
              <w:spacing w:line="200" w:lineRule="exact"/>
              <w:ind w:left="66" w:right="65"/>
              <w:jc w:val="center"/>
              <w:rPr>
                <w:sz w:val="20"/>
              </w:rPr>
            </w:pPr>
            <w:r>
              <w:rPr>
                <w:spacing w:val="-4"/>
                <w:sz w:val="20"/>
              </w:rPr>
              <w:t>50.0</w:t>
            </w:r>
          </w:p>
        </w:tc>
        <w:tc>
          <w:tcPr>
            <w:tcW w:w="627" w:type="dxa"/>
          </w:tcPr>
          <w:p>
            <w:pPr>
              <w:pStyle w:val="TableParagraph"/>
              <w:spacing w:line="200" w:lineRule="exact"/>
              <w:ind w:left="32" w:right="10"/>
              <w:jc w:val="center"/>
              <w:rPr>
                <w:sz w:val="20"/>
              </w:rPr>
            </w:pPr>
            <w:r>
              <w:rPr>
                <w:spacing w:val="-10"/>
                <w:sz w:val="20"/>
              </w:rPr>
              <w:t>1</w:t>
            </w:r>
          </w:p>
        </w:tc>
        <w:tc>
          <w:tcPr>
            <w:tcW w:w="771" w:type="dxa"/>
          </w:tcPr>
          <w:p>
            <w:pPr>
              <w:pStyle w:val="TableParagraph"/>
              <w:spacing w:line="200" w:lineRule="exact"/>
              <w:ind w:left="59" w:right="14"/>
              <w:jc w:val="center"/>
              <w:rPr>
                <w:sz w:val="20"/>
              </w:rPr>
            </w:pPr>
            <w:r>
              <w:rPr>
                <w:spacing w:val="-4"/>
                <w:sz w:val="20"/>
              </w:rPr>
              <w:t>50.0</w:t>
            </w:r>
          </w:p>
        </w:tc>
        <w:tc>
          <w:tcPr>
            <w:tcW w:w="692" w:type="dxa"/>
          </w:tcPr>
          <w:p>
            <w:pPr>
              <w:pStyle w:val="TableParagraph"/>
              <w:spacing w:line="200" w:lineRule="exact"/>
              <w:ind w:left="35" w:right="13"/>
              <w:jc w:val="center"/>
              <w:rPr>
                <w:sz w:val="20"/>
              </w:rPr>
            </w:pPr>
            <w:r>
              <w:rPr>
                <w:spacing w:val="-10"/>
                <w:sz w:val="20"/>
              </w:rPr>
              <w:t>2</w:t>
            </w:r>
          </w:p>
        </w:tc>
        <w:tc>
          <w:tcPr>
            <w:tcW w:w="739" w:type="dxa"/>
            <w:tcBorders>
              <w:right w:val="single" w:sz="4" w:space="0" w:color="000000"/>
            </w:tcBorders>
          </w:tcPr>
          <w:p>
            <w:pPr>
              <w:pStyle w:val="TableParagraph"/>
              <w:spacing w:line="200" w:lineRule="exact"/>
              <w:ind w:left="36" w:right="5"/>
              <w:jc w:val="center"/>
              <w:rPr>
                <w:sz w:val="20"/>
              </w:rPr>
            </w:pPr>
            <w:r>
              <w:rPr>
                <w:spacing w:val="-5"/>
                <w:sz w:val="20"/>
              </w:rPr>
              <w:t>0.4</w:t>
            </w:r>
          </w:p>
        </w:tc>
      </w:tr>
      <w:tr>
        <w:trPr>
          <w:trHeight w:val="225"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05" w:lineRule="exact"/>
              <w:ind w:left="400"/>
              <w:rPr>
                <w:sz w:val="20"/>
              </w:rPr>
            </w:pPr>
            <w:r>
              <w:rPr>
                <w:spacing w:val="-2"/>
                <w:sz w:val="20"/>
              </w:rPr>
              <w:t>Students</w:t>
            </w:r>
          </w:p>
        </w:tc>
        <w:tc>
          <w:tcPr>
            <w:tcW w:w="701" w:type="dxa"/>
          </w:tcPr>
          <w:p>
            <w:pPr>
              <w:pStyle w:val="TableParagraph"/>
              <w:spacing w:line="205" w:lineRule="exact"/>
              <w:ind w:left="27"/>
              <w:jc w:val="center"/>
              <w:rPr>
                <w:sz w:val="20"/>
              </w:rPr>
            </w:pPr>
            <w:r>
              <w:rPr>
                <w:spacing w:val="-10"/>
                <w:sz w:val="20"/>
              </w:rPr>
              <w:t>7</w:t>
            </w:r>
          </w:p>
        </w:tc>
        <w:tc>
          <w:tcPr>
            <w:tcW w:w="702" w:type="dxa"/>
          </w:tcPr>
          <w:p>
            <w:pPr>
              <w:pStyle w:val="TableParagraph"/>
              <w:spacing w:line="205" w:lineRule="exact"/>
              <w:ind w:left="64" w:right="5"/>
              <w:jc w:val="center"/>
              <w:rPr>
                <w:sz w:val="20"/>
              </w:rPr>
            </w:pPr>
            <w:r>
              <w:rPr>
                <w:spacing w:val="-5"/>
                <w:sz w:val="20"/>
              </w:rPr>
              <w:t>3.0</w:t>
            </w:r>
          </w:p>
        </w:tc>
        <w:tc>
          <w:tcPr>
            <w:tcW w:w="575" w:type="dxa"/>
          </w:tcPr>
          <w:p>
            <w:pPr>
              <w:pStyle w:val="TableParagraph"/>
              <w:spacing w:line="205" w:lineRule="exact"/>
              <w:ind w:left="46" w:right="6"/>
              <w:jc w:val="center"/>
              <w:rPr>
                <w:sz w:val="20"/>
              </w:rPr>
            </w:pPr>
            <w:r>
              <w:rPr>
                <w:spacing w:val="-5"/>
                <w:sz w:val="20"/>
              </w:rPr>
              <w:t>12</w:t>
            </w:r>
          </w:p>
        </w:tc>
        <w:tc>
          <w:tcPr>
            <w:tcW w:w="731" w:type="dxa"/>
          </w:tcPr>
          <w:p>
            <w:pPr>
              <w:pStyle w:val="TableParagraph"/>
              <w:spacing w:line="205" w:lineRule="exact"/>
              <w:ind w:left="69" w:right="68"/>
              <w:jc w:val="center"/>
              <w:rPr>
                <w:sz w:val="20"/>
              </w:rPr>
            </w:pPr>
            <w:r>
              <w:rPr>
                <w:spacing w:val="-5"/>
                <w:sz w:val="20"/>
              </w:rPr>
              <w:t>5.1</w:t>
            </w:r>
          </w:p>
        </w:tc>
        <w:tc>
          <w:tcPr>
            <w:tcW w:w="741" w:type="dxa"/>
          </w:tcPr>
          <w:p>
            <w:pPr>
              <w:pStyle w:val="TableParagraph"/>
              <w:spacing w:line="205" w:lineRule="exact"/>
              <w:ind w:left="5" w:right="33"/>
              <w:jc w:val="center"/>
              <w:rPr>
                <w:sz w:val="20"/>
              </w:rPr>
            </w:pPr>
            <w:r>
              <w:rPr>
                <w:spacing w:val="-5"/>
                <w:sz w:val="20"/>
              </w:rPr>
              <w:t>86</w:t>
            </w:r>
          </w:p>
        </w:tc>
        <w:tc>
          <w:tcPr>
            <w:tcW w:w="847" w:type="dxa"/>
          </w:tcPr>
          <w:p>
            <w:pPr>
              <w:pStyle w:val="TableParagraph"/>
              <w:spacing w:line="205" w:lineRule="exact"/>
              <w:ind w:left="27"/>
              <w:jc w:val="center"/>
              <w:rPr>
                <w:sz w:val="20"/>
              </w:rPr>
            </w:pPr>
            <w:r>
              <w:rPr>
                <w:spacing w:val="-4"/>
                <w:sz w:val="20"/>
              </w:rPr>
              <w:t>36.6</w:t>
            </w:r>
          </w:p>
        </w:tc>
        <w:tc>
          <w:tcPr>
            <w:tcW w:w="739" w:type="dxa"/>
          </w:tcPr>
          <w:p>
            <w:pPr>
              <w:pStyle w:val="TableParagraph"/>
              <w:spacing w:line="205" w:lineRule="exact"/>
              <w:ind w:left="75" w:right="6"/>
              <w:jc w:val="center"/>
              <w:rPr>
                <w:sz w:val="20"/>
              </w:rPr>
            </w:pPr>
            <w:r>
              <w:rPr>
                <w:spacing w:val="-5"/>
                <w:sz w:val="20"/>
              </w:rPr>
              <w:t>92</w:t>
            </w:r>
          </w:p>
        </w:tc>
        <w:tc>
          <w:tcPr>
            <w:tcW w:w="773" w:type="dxa"/>
          </w:tcPr>
          <w:p>
            <w:pPr>
              <w:pStyle w:val="TableParagraph"/>
              <w:spacing w:line="205" w:lineRule="exact"/>
              <w:ind w:left="66" w:right="65"/>
              <w:jc w:val="center"/>
              <w:rPr>
                <w:sz w:val="20"/>
              </w:rPr>
            </w:pPr>
            <w:r>
              <w:rPr>
                <w:spacing w:val="-4"/>
                <w:sz w:val="20"/>
              </w:rPr>
              <w:t>39.1</w:t>
            </w:r>
          </w:p>
        </w:tc>
        <w:tc>
          <w:tcPr>
            <w:tcW w:w="627" w:type="dxa"/>
          </w:tcPr>
          <w:p>
            <w:pPr>
              <w:pStyle w:val="TableParagraph"/>
              <w:spacing w:line="205" w:lineRule="exact"/>
              <w:ind w:left="27" w:right="10"/>
              <w:jc w:val="center"/>
              <w:rPr>
                <w:sz w:val="20"/>
              </w:rPr>
            </w:pPr>
            <w:r>
              <w:rPr>
                <w:spacing w:val="-5"/>
                <w:sz w:val="20"/>
              </w:rPr>
              <w:t>38</w:t>
            </w:r>
          </w:p>
        </w:tc>
        <w:tc>
          <w:tcPr>
            <w:tcW w:w="771" w:type="dxa"/>
          </w:tcPr>
          <w:p>
            <w:pPr>
              <w:pStyle w:val="TableParagraph"/>
              <w:spacing w:line="205" w:lineRule="exact"/>
              <w:ind w:left="59" w:right="14"/>
              <w:jc w:val="center"/>
              <w:rPr>
                <w:sz w:val="20"/>
              </w:rPr>
            </w:pPr>
            <w:r>
              <w:rPr>
                <w:spacing w:val="-4"/>
                <w:sz w:val="20"/>
              </w:rPr>
              <w:t>16.2</w:t>
            </w:r>
          </w:p>
        </w:tc>
        <w:tc>
          <w:tcPr>
            <w:tcW w:w="692" w:type="dxa"/>
          </w:tcPr>
          <w:p>
            <w:pPr>
              <w:pStyle w:val="TableParagraph"/>
              <w:spacing w:line="205" w:lineRule="exact"/>
              <w:ind w:left="25" w:right="13"/>
              <w:jc w:val="center"/>
              <w:rPr>
                <w:sz w:val="20"/>
              </w:rPr>
            </w:pPr>
            <w:r>
              <w:rPr>
                <w:spacing w:val="-5"/>
                <w:sz w:val="20"/>
              </w:rPr>
              <w:t>235</w:t>
            </w:r>
          </w:p>
        </w:tc>
        <w:tc>
          <w:tcPr>
            <w:tcW w:w="739" w:type="dxa"/>
            <w:tcBorders>
              <w:right w:val="single" w:sz="4" w:space="0" w:color="000000"/>
            </w:tcBorders>
          </w:tcPr>
          <w:p>
            <w:pPr>
              <w:pStyle w:val="TableParagraph"/>
              <w:spacing w:line="205" w:lineRule="exact"/>
              <w:ind w:left="38" w:right="2"/>
              <w:jc w:val="center"/>
              <w:rPr>
                <w:sz w:val="20"/>
              </w:rPr>
            </w:pPr>
            <w:r>
              <w:rPr>
                <w:spacing w:val="-4"/>
                <w:sz w:val="20"/>
              </w:rPr>
              <w:t>50.8</w:t>
            </w:r>
          </w:p>
        </w:tc>
      </w:tr>
      <w:tr>
        <w:trPr>
          <w:trHeight w:val="222"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03" w:lineRule="exact"/>
              <w:ind w:left="400"/>
              <w:rPr>
                <w:sz w:val="20"/>
              </w:rPr>
            </w:pPr>
            <w:r>
              <w:rPr>
                <w:sz w:val="20"/>
              </w:rPr>
              <w:t>Service</w:t>
            </w:r>
            <w:r>
              <w:rPr>
                <w:spacing w:val="-9"/>
                <w:sz w:val="20"/>
              </w:rPr>
              <w:t> </w:t>
            </w:r>
            <w:r>
              <w:rPr>
                <w:spacing w:val="-2"/>
                <w:sz w:val="20"/>
              </w:rPr>
              <w:t>Staff</w:t>
            </w:r>
          </w:p>
        </w:tc>
        <w:tc>
          <w:tcPr>
            <w:tcW w:w="701" w:type="dxa"/>
          </w:tcPr>
          <w:p>
            <w:pPr>
              <w:pStyle w:val="TableParagraph"/>
              <w:spacing w:line="203" w:lineRule="exact"/>
              <w:ind w:left="27"/>
              <w:jc w:val="center"/>
              <w:rPr>
                <w:sz w:val="20"/>
              </w:rPr>
            </w:pPr>
            <w:r>
              <w:rPr>
                <w:spacing w:val="-10"/>
                <w:sz w:val="20"/>
              </w:rPr>
              <w:t>6</w:t>
            </w:r>
          </w:p>
        </w:tc>
        <w:tc>
          <w:tcPr>
            <w:tcW w:w="702" w:type="dxa"/>
          </w:tcPr>
          <w:p>
            <w:pPr>
              <w:pStyle w:val="TableParagraph"/>
              <w:spacing w:line="203" w:lineRule="exact"/>
              <w:ind w:left="64" w:right="5"/>
              <w:jc w:val="center"/>
              <w:rPr>
                <w:sz w:val="20"/>
              </w:rPr>
            </w:pPr>
            <w:r>
              <w:rPr>
                <w:spacing w:val="-5"/>
                <w:sz w:val="20"/>
              </w:rPr>
              <w:t>3.0</w:t>
            </w:r>
          </w:p>
        </w:tc>
        <w:tc>
          <w:tcPr>
            <w:tcW w:w="575" w:type="dxa"/>
          </w:tcPr>
          <w:p>
            <w:pPr>
              <w:pStyle w:val="TableParagraph"/>
              <w:spacing w:line="203" w:lineRule="exact"/>
              <w:ind w:left="46" w:right="2"/>
              <w:jc w:val="center"/>
              <w:rPr>
                <w:sz w:val="20"/>
              </w:rPr>
            </w:pPr>
            <w:r>
              <w:rPr>
                <w:spacing w:val="-10"/>
                <w:sz w:val="20"/>
              </w:rPr>
              <w:t>9</w:t>
            </w:r>
          </w:p>
        </w:tc>
        <w:tc>
          <w:tcPr>
            <w:tcW w:w="731" w:type="dxa"/>
          </w:tcPr>
          <w:p>
            <w:pPr>
              <w:pStyle w:val="TableParagraph"/>
              <w:spacing w:line="203" w:lineRule="exact"/>
              <w:ind w:left="69" w:right="68"/>
              <w:jc w:val="center"/>
              <w:rPr>
                <w:sz w:val="20"/>
              </w:rPr>
            </w:pPr>
            <w:r>
              <w:rPr>
                <w:spacing w:val="-5"/>
                <w:sz w:val="20"/>
              </w:rPr>
              <w:t>4.4</w:t>
            </w:r>
          </w:p>
        </w:tc>
        <w:tc>
          <w:tcPr>
            <w:tcW w:w="741" w:type="dxa"/>
          </w:tcPr>
          <w:p>
            <w:pPr>
              <w:pStyle w:val="TableParagraph"/>
              <w:spacing w:line="203" w:lineRule="exact"/>
              <w:ind w:left="5" w:right="33"/>
              <w:jc w:val="center"/>
              <w:rPr>
                <w:sz w:val="20"/>
              </w:rPr>
            </w:pPr>
            <w:r>
              <w:rPr>
                <w:spacing w:val="-5"/>
                <w:sz w:val="20"/>
              </w:rPr>
              <w:t>52</w:t>
            </w:r>
          </w:p>
        </w:tc>
        <w:tc>
          <w:tcPr>
            <w:tcW w:w="847" w:type="dxa"/>
          </w:tcPr>
          <w:p>
            <w:pPr>
              <w:pStyle w:val="TableParagraph"/>
              <w:spacing w:line="203" w:lineRule="exact"/>
              <w:ind w:left="27"/>
              <w:jc w:val="center"/>
              <w:rPr>
                <w:sz w:val="20"/>
              </w:rPr>
            </w:pPr>
            <w:r>
              <w:rPr>
                <w:spacing w:val="-4"/>
                <w:sz w:val="20"/>
              </w:rPr>
              <w:t>25.6</w:t>
            </w:r>
          </w:p>
        </w:tc>
        <w:tc>
          <w:tcPr>
            <w:tcW w:w="739" w:type="dxa"/>
          </w:tcPr>
          <w:p>
            <w:pPr>
              <w:pStyle w:val="TableParagraph"/>
              <w:spacing w:line="203" w:lineRule="exact"/>
              <w:ind w:left="75" w:right="6"/>
              <w:jc w:val="center"/>
              <w:rPr>
                <w:sz w:val="20"/>
              </w:rPr>
            </w:pPr>
            <w:r>
              <w:rPr>
                <w:spacing w:val="-5"/>
                <w:sz w:val="20"/>
              </w:rPr>
              <w:t>87</w:t>
            </w:r>
          </w:p>
        </w:tc>
        <w:tc>
          <w:tcPr>
            <w:tcW w:w="773" w:type="dxa"/>
          </w:tcPr>
          <w:p>
            <w:pPr>
              <w:pStyle w:val="TableParagraph"/>
              <w:spacing w:line="203" w:lineRule="exact"/>
              <w:ind w:left="66" w:right="65"/>
              <w:jc w:val="center"/>
              <w:rPr>
                <w:sz w:val="20"/>
              </w:rPr>
            </w:pPr>
            <w:r>
              <w:rPr>
                <w:spacing w:val="-4"/>
                <w:sz w:val="20"/>
              </w:rPr>
              <w:t>42.9</w:t>
            </w:r>
          </w:p>
        </w:tc>
        <w:tc>
          <w:tcPr>
            <w:tcW w:w="627" w:type="dxa"/>
          </w:tcPr>
          <w:p>
            <w:pPr>
              <w:pStyle w:val="TableParagraph"/>
              <w:spacing w:line="203" w:lineRule="exact"/>
              <w:ind w:left="27" w:right="10"/>
              <w:jc w:val="center"/>
              <w:rPr>
                <w:sz w:val="20"/>
              </w:rPr>
            </w:pPr>
            <w:r>
              <w:rPr>
                <w:spacing w:val="-5"/>
                <w:sz w:val="20"/>
              </w:rPr>
              <w:t>49</w:t>
            </w:r>
          </w:p>
        </w:tc>
        <w:tc>
          <w:tcPr>
            <w:tcW w:w="771" w:type="dxa"/>
          </w:tcPr>
          <w:p>
            <w:pPr>
              <w:pStyle w:val="TableParagraph"/>
              <w:spacing w:line="203" w:lineRule="exact"/>
              <w:ind w:left="59" w:right="14"/>
              <w:jc w:val="center"/>
              <w:rPr>
                <w:sz w:val="20"/>
              </w:rPr>
            </w:pPr>
            <w:r>
              <w:rPr>
                <w:spacing w:val="-4"/>
                <w:sz w:val="20"/>
              </w:rPr>
              <w:t>24.1</w:t>
            </w:r>
          </w:p>
        </w:tc>
        <w:tc>
          <w:tcPr>
            <w:tcW w:w="692" w:type="dxa"/>
          </w:tcPr>
          <w:p>
            <w:pPr>
              <w:pStyle w:val="TableParagraph"/>
              <w:spacing w:line="203" w:lineRule="exact"/>
              <w:ind w:left="25" w:right="13"/>
              <w:jc w:val="center"/>
              <w:rPr>
                <w:sz w:val="20"/>
              </w:rPr>
            </w:pPr>
            <w:r>
              <w:rPr>
                <w:spacing w:val="-5"/>
                <w:sz w:val="20"/>
              </w:rPr>
              <w:t>203</w:t>
            </w:r>
          </w:p>
        </w:tc>
        <w:tc>
          <w:tcPr>
            <w:tcW w:w="739" w:type="dxa"/>
            <w:tcBorders>
              <w:right w:val="single" w:sz="4" w:space="0" w:color="000000"/>
            </w:tcBorders>
          </w:tcPr>
          <w:p>
            <w:pPr>
              <w:pStyle w:val="TableParagraph"/>
              <w:spacing w:line="203" w:lineRule="exact"/>
              <w:ind w:left="38" w:right="2"/>
              <w:jc w:val="center"/>
              <w:rPr>
                <w:sz w:val="20"/>
              </w:rPr>
            </w:pPr>
            <w:r>
              <w:rPr>
                <w:spacing w:val="-4"/>
                <w:sz w:val="20"/>
              </w:rPr>
              <w:t>43.8</w:t>
            </w:r>
          </w:p>
        </w:tc>
      </w:tr>
      <w:tr>
        <w:trPr>
          <w:trHeight w:val="218"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198" w:lineRule="exact"/>
              <w:ind w:left="400"/>
              <w:rPr>
                <w:sz w:val="20"/>
              </w:rPr>
            </w:pPr>
            <w:r>
              <w:rPr>
                <w:sz w:val="20"/>
              </w:rPr>
              <w:t>Top</w:t>
            </w:r>
            <w:r>
              <w:rPr>
                <w:spacing w:val="-1"/>
                <w:sz w:val="20"/>
              </w:rPr>
              <w:t> </w:t>
            </w:r>
            <w:r>
              <w:rPr>
                <w:spacing w:val="-2"/>
                <w:sz w:val="20"/>
              </w:rPr>
              <w:t>Management</w:t>
            </w:r>
          </w:p>
        </w:tc>
        <w:tc>
          <w:tcPr>
            <w:tcW w:w="701" w:type="dxa"/>
          </w:tcPr>
          <w:p>
            <w:pPr>
              <w:pStyle w:val="TableParagraph"/>
              <w:spacing w:line="198" w:lineRule="exact"/>
              <w:ind w:left="27" w:right="7"/>
              <w:jc w:val="center"/>
              <w:rPr>
                <w:sz w:val="20"/>
              </w:rPr>
            </w:pPr>
            <w:r>
              <w:rPr>
                <w:spacing w:val="-10"/>
                <w:sz w:val="20"/>
              </w:rPr>
              <w:t>-</w:t>
            </w:r>
          </w:p>
        </w:tc>
        <w:tc>
          <w:tcPr>
            <w:tcW w:w="702" w:type="dxa"/>
          </w:tcPr>
          <w:p>
            <w:pPr>
              <w:pStyle w:val="TableParagraph"/>
              <w:spacing w:line="198" w:lineRule="exact"/>
              <w:ind w:left="64" w:right="7"/>
              <w:jc w:val="center"/>
              <w:rPr>
                <w:sz w:val="20"/>
              </w:rPr>
            </w:pPr>
            <w:r>
              <w:rPr>
                <w:spacing w:val="-10"/>
                <w:sz w:val="20"/>
              </w:rPr>
              <w:t>-</w:t>
            </w:r>
          </w:p>
        </w:tc>
        <w:tc>
          <w:tcPr>
            <w:tcW w:w="575" w:type="dxa"/>
          </w:tcPr>
          <w:p>
            <w:pPr>
              <w:pStyle w:val="TableParagraph"/>
              <w:spacing w:line="198" w:lineRule="exact"/>
              <w:ind w:left="46" w:right="2"/>
              <w:jc w:val="center"/>
              <w:rPr>
                <w:sz w:val="20"/>
              </w:rPr>
            </w:pPr>
            <w:r>
              <w:rPr>
                <w:spacing w:val="-10"/>
                <w:sz w:val="20"/>
              </w:rPr>
              <w:t>1</w:t>
            </w:r>
          </w:p>
        </w:tc>
        <w:tc>
          <w:tcPr>
            <w:tcW w:w="731" w:type="dxa"/>
          </w:tcPr>
          <w:p>
            <w:pPr>
              <w:pStyle w:val="TableParagraph"/>
              <w:spacing w:line="198" w:lineRule="exact"/>
              <w:ind w:left="69" w:right="68"/>
              <w:jc w:val="center"/>
              <w:rPr>
                <w:sz w:val="20"/>
              </w:rPr>
            </w:pPr>
            <w:r>
              <w:rPr>
                <w:spacing w:val="-5"/>
                <w:sz w:val="20"/>
              </w:rPr>
              <w:t>4.3</w:t>
            </w:r>
          </w:p>
        </w:tc>
        <w:tc>
          <w:tcPr>
            <w:tcW w:w="741" w:type="dxa"/>
          </w:tcPr>
          <w:p>
            <w:pPr>
              <w:pStyle w:val="TableParagraph"/>
              <w:spacing w:line="198" w:lineRule="exact"/>
              <w:ind w:left="10" w:right="33"/>
              <w:jc w:val="center"/>
              <w:rPr>
                <w:sz w:val="20"/>
              </w:rPr>
            </w:pPr>
            <w:r>
              <w:rPr>
                <w:spacing w:val="-10"/>
                <w:sz w:val="20"/>
              </w:rPr>
              <w:t>8</w:t>
            </w:r>
          </w:p>
        </w:tc>
        <w:tc>
          <w:tcPr>
            <w:tcW w:w="847" w:type="dxa"/>
          </w:tcPr>
          <w:p>
            <w:pPr>
              <w:pStyle w:val="TableParagraph"/>
              <w:spacing w:line="198" w:lineRule="exact"/>
              <w:ind w:left="27"/>
              <w:jc w:val="center"/>
              <w:rPr>
                <w:sz w:val="20"/>
              </w:rPr>
            </w:pPr>
            <w:r>
              <w:rPr>
                <w:spacing w:val="-4"/>
                <w:sz w:val="20"/>
              </w:rPr>
              <w:t>34.8</w:t>
            </w:r>
          </w:p>
        </w:tc>
        <w:tc>
          <w:tcPr>
            <w:tcW w:w="739" w:type="dxa"/>
          </w:tcPr>
          <w:p>
            <w:pPr>
              <w:pStyle w:val="TableParagraph"/>
              <w:spacing w:line="198" w:lineRule="exact"/>
              <w:ind w:left="75" w:right="6"/>
              <w:jc w:val="center"/>
              <w:rPr>
                <w:sz w:val="20"/>
              </w:rPr>
            </w:pPr>
            <w:r>
              <w:rPr>
                <w:spacing w:val="-5"/>
                <w:sz w:val="20"/>
              </w:rPr>
              <w:t>11</w:t>
            </w:r>
          </w:p>
        </w:tc>
        <w:tc>
          <w:tcPr>
            <w:tcW w:w="773" w:type="dxa"/>
          </w:tcPr>
          <w:p>
            <w:pPr>
              <w:pStyle w:val="TableParagraph"/>
              <w:spacing w:line="198" w:lineRule="exact"/>
              <w:ind w:left="66" w:right="65"/>
              <w:jc w:val="center"/>
              <w:rPr>
                <w:sz w:val="20"/>
              </w:rPr>
            </w:pPr>
            <w:r>
              <w:rPr>
                <w:spacing w:val="-4"/>
                <w:sz w:val="20"/>
              </w:rPr>
              <w:t>47.8</w:t>
            </w:r>
          </w:p>
        </w:tc>
        <w:tc>
          <w:tcPr>
            <w:tcW w:w="627" w:type="dxa"/>
          </w:tcPr>
          <w:p>
            <w:pPr>
              <w:pStyle w:val="TableParagraph"/>
              <w:spacing w:line="198" w:lineRule="exact"/>
              <w:ind w:left="32" w:right="10"/>
              <w:jc w:val="center"/>
              <w:rPr>
                <w:sz w:val="20"/>
              </w:rPr>
            </w:pPr>
            <w:r>
              <w:rPr>
                <w:spacing w:val="-10"/>
                <w:sz w:val="20"/>
              </w:rPr>
              <w:t>3</w:t>
            </w:r>
          </w:p>
        </w:tc>
        <w:tc>
          <w:tcPr>
            <w:tcW w:w="771" w:type="dxa"/>
          </w:tcPr>
          <w:p>
            <w:pPr>
              <w:pStyle w:val="TableParagraph"/>
              <w:spacing w:line="198" w:lineRule="exact"/>
              <w:ind w:left="59" w:right="14"/>
              <w:jc w:val="center"/>
              <w:rPr>
                <w:sz w:val="20"/>
              </w:rPr>
            </w:pPr>
            <w:r>
              <w:rPr>
                <w:spacing w:val="-4"/>
                <w:sz w:val="20"/>
              </w:rPr>
              <w:t>13.0</w:t>
            </w:r>
          </w:p>
        </w:tc>
        <w:tc>
          <w:tcPr>
            <w:tcW w:w="692" w:type="dxa"/>
          </w:tcPr>
          <w:p>
            <w:pPr>
              <w:pStyle w:val="TableParagraph"/>
              <w:spacing w:line="198" w:lineRule="exact"/>
              <w:ind w:left="30" w:right="13"/>
              <w:jc w:val="center"/>
              <w:rPr>
                <w:sz w:val="20"/>
              </w:rPr>
            </w:pPr>
            <w:r>
              <w:rPr>
                <w:spacing w:val="-5"/>
                <w:sz w:val="20"/>
              </w:rPr>
              <w:t>23</w:t>
            </w:r>
          </w:p>
        </w:tc>
        <w:tc>
          <w:tcPr>
            <w:tcW w:w="739" w:type="dxa"/>
            <w:tcBorders>
              <w:right w:val="single" w:sz="4" w:space="0" w:color="000000"/>
            </w:tcBorders>
          </w:tcPr>
          <w:p>
            <w:pPr>
              <w:pStyle w:val="TableParagraph"/>
              <w:spacing w:line="198" w:lineRule="exact"/>
              <w:ind w:left="36" w:right="5"/>
              <w:jc w:val="center"/>
              <w:rPr>
                <w:sz w:val="20"/>
              </w:rPr>
            </w:pPr>
            <w:r>
              <w:rPr>
                <w:spacing w:val="-5"/>
                <w:sz w:val="20"/>
              </w:rPr>
              <w:t>5.0</w:t>
            </w:r>
          </w:p>
        </w:tc>
      </w:tr>
      <w:tr>
        <w:trPr>
          <w:trHeight w:val="220"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00" w:lineRule="exact"/>
              <w:ind w:left="400"/>
              <w:rPr>
                <w:sz w:val="20"/>
              </w:rPr>
            </w:pPr>
            <w:r>
              <w:rPr>
                <w:sz w:val="20"/>
              </w:rPr>
              <w:t>No.</w:t>
            </w:r>
            <w:r>
              <w:rPr>
                <w:spacing w:val="-5"/>
                <w:sz w:val="20"/>
              </w:rPr>
              <w:t> </w:t>
            </w:r>
            <w:r>
              <w:rPr>
                <w:sz w:val="20"/>
              </w:rPr>
              <w:t>of</w:t>
            </w:r>
            <w:r>
              <w:rPr>
                <w:spacing w:val="-2"/>
                <w:sz w:val="20"/>
              </w:rPr>
              <w:t> missing</w:t>
            </w:r>
          </w:p>
        </w:tc>
        <w:tc>
          <w:tcPr>
            <w:tcW w:w="701" w:type="dxa"/>
          </w:tcPr>
          <w:p>
            <w:pPr>
              <w:pStyle w:val="TableParagraph"/>
              <w:rPr>
                <w:rFonts w:ascii="Times New Roman"/>
                <w:sz w:val="14"/>
              </w:rPr>
            </w:pPr>
          </w:p>
        </w:tc>
        <w:tc>
          <w:tcPr>
            <w:tcW w:w="702" w:type="dxa"/>
          </w:tcPr>
          <w:p>
            <w:pPr>
              <w:pStyle w:val="TableParagraph"/>
              <w:rPr>
                <w:rFonts w:ascii="Times New Roman"/>
                <w:sz w:val="14"/>
              </w:rPr>
            </w:pPr>
          </w:p>
        </w:tc>
        <w:tc>
          <w:tcPr>
            <w:tcW w:w="575" w:type="dxa"/>
          </w:tcPr>
          <w:p>
            <w:pPr>
              <w:pStyle w:val="TableParagraph"/>
              <w:rPr>
                <w:rFonts w:ascii="Times New Roman"/>
                <w:sz w:val="14"/>
              </w:rPr>
            </w:pPr>
          </w:p>
        </w:tc>
        <w:tc>
          <w:tcPr>
            <w:tcW w:w="731" w:type="dxa"/>
          </w:tcPr>
          <w:p>
            <w:pPr>
              <w:pStyle w:val="TableParagraph"/>
              <w:rPr>
                <w:rFonts w:ascii="Times New Roman"/>
                <w:sz w:val="14"/>
              </w:rPr>
            </w:pPr>
          </w:p>
        </w:tc>
        <w:tc>
          <w:tcPr>
            <w:tcW w:w="741" w:type="dxa"/>
          </w:tcPr>
          <w:p>
            <w:pPr>
              <w:pStyle w:val="TableParagraph"/>
              <w:rPr>
                <w:rFonts w:ascii="Times New Roman"/>
                <w:sz w:val="14"/>
              </w:rPr>
            </w:pPr>
          </w:p>
        </w:tc>
        <w:tc>
          <w:tcPr>
            <w:tcW w:w="847" w:type="dxa"/>
          </w:tcPr>
          <w:p>
            <w:pPr>
              <w:pStyle w:val="TableParagraph"/>
              <w:rPr>
                <w:rFonts w:ascii="Times New Roman"/>
                <w:sz w:val="14"/>
              </w:rPr>
            </w:pPr>
          </w:p>
        </w:tc>
        <w:tc>
          <w:tcPr>
            <w:tcW w:w="739" w:type="dxa"/>
          </w:tcPr>
          <w:p>
            <w:pPr>
              <w:pStyle w:val="TableParagraph"/>
              <w:rPr>
                <w:rFonts w:ascii="Times New Roman"/>
                <w:sz w:val="14"/>
              </w:rPr>
            </w:pPr>
          </w:p>
        </w:tc>
        <w:tc>
          <w:tcPr>
            <w:tcW w:w="773" w:type="dxa"/>
          </w:tcPr>
          <w:p>
            <w:pPr>
              <w:pStyle w:val="TableParagraph"/>
              <w:rPr>
                <w:rFonts w:ascii="Times New Roman"/>
                <w:sz w:val="14"/>
              </w:rPr>
            </w:pPr>
          </w:p>
        </w:tc>
        <w:tc>
          <w:tcPr>
            <w:tcW w:w="627" w:type="dxa"/>
          </w:tcPr>
          <w:p>
            <w:pPr>
              <w:pStyle w:val="TableParagraph"/>
              <w:rPr>
                <w:rFonts w:ascii="Times New Roman"/>
                <w:sz w:val="14"/>
              </w:rPr>
            </w:pPr>
          </w:p>
        </w:tc>
        <w:tc>
          <w:tcPr>
            <w:tcW w:w="771" w:type="dxa"/>
          </w:tcPr>
          <w:p>
            <w:pPr>
              <w:pStyle w:val="TableParagraph"/>
              <w:rPr>
                <w:rFonts w:ascii="Times New Roman"/>
                <w:sz w:val="14"/>
              </w:rPr>
            </w:pPr>
          </w:p>
        </w:tc>
        <w:tc>
          <w:tcPr>
            <w:tcW w:w="692" w:type="dxa"/>
          </w:tcPr>
          <w:p>
            <w:pPr>
              <w:pStyle w:val="TableParagraph"/>
              <w:rPr>
                <w:rFonts w:ascii="Times New Roman"/>
                <w:sz w:val="14"/>
              </w:rPr>
            </w:pPr>
          </w:p>
        </w:tc>
        <w:tc>
          <w:tcPr>
            <w:tcW w:w="739" w:type="dxa"/>
            <w:tcBorders>
              <w:right w:val="single" w:sz="4" w:space="0" w:color="000000"/>
            </w:tcBorders>
          </w:tcPr>
          <w:p>
            <w:pPr>
              <w:pStyle w:val="TableParagraph"/>
              <w:rPr>
                <w:rFonts w:ascii="Times New Roman"/>
                <w:sz w:val="14"/>
              </w:rPr>
            </w:pPr>
          </w:p>
        </w:tc>
      </w:tr>
      <w:tr>
        <w:trPr>
          <w:trHeight w:val="220"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00" w:lineRule="exact"/>
              <w:ind w:left="400"/>
              <w:rPr>
                <w:sz w:val="20"/>
              </w:rPr>
            </w:pPr>
            <w:r>
              <w:rPr>
                <w:spacing w:val="-2"/>
                <w:sz w:val="20"/>
              </w:rPr>
              <w:t>observations</w:t>
            </w:r>
          </w:p>
        </w:tc>
        <w:tc>
          <w:tcPr>
            <w:tcW w:w="701" w:type="dxa"/>
          </w:tcPr>
          <w:p>
            <w:pPr>
              <w:pStyle w:val="TableParagraph"/>
              <w:spacing w:line="200" w:lineRule="exact"/>
              <w:ind w:left="27" w:right="7"/>
              <w:jc w:val="center"/>
              <w:rPr>
                <w:sz w:val="20"/>
              </w:rPr>
            </w:pPr>
            <w:r>
              <w:rPr>
                <w:spacing w:val="-10"/>
                <w:sz w:val="20"/>
              </w:rPr>
              <w:t>-</w:t>
            </w:r>
          </w:p>
        </w:tc>
        <w:tc>
          <w:tcPr>
            <w:tcW w:w="702" w:type="dxa"/>
          </w:tcPr>
          <w:p>
            <w:pPr>
              <w:pStyle w:val="TableParagraph"/>
              <w:spacing w:line="200" w:lineRule="exact"/>
              <w:ind w:left="64" w:right="7"/>
              <w:jc w:val="center"/>
              <w:rPr>
                <w:sz w:val="20"/>
              </w:rPr>
            </w:pPr>
            <w:r>
              <w:rPr>
                <w:spacing w:val="-10"/>
                <w:sz w:val="20"/>
              </w:rPr>
              <w:t>-</w:t>
            </w:r>
          </w:p>
        </w:tc>
        <w:tc>
          <w:tcPr>
            <w:tcW w:w="575" w:type="dxa"/>
          </w:tcPr>
          <w:p>
            <w:pPr>
              <w:pStyle w:val="TableParagraph"/>
              <w:spacing w:line="200" w:lineRule="exact"/>
              <w:ind w:left="46" w:right="8"/>
              <w:jc w:val="center"/>
              <w:rPr>
                <w:sz w:val="20"/>
              </w:rPr>
            </w:pPr>
            <w:r>
              <w:rPr>
                <w:spacing w:val="-10"/>
                <w:sz w:val="20"/>
              </w:rPr>
              <w:t>-</w:t>
            </w:r>
          </w:p>
        </w:tc>
        <w:tc>
          <w:tcPr>
            <w:tcW w:w="731" w:type="dxa"/>
          </w:tcPr>
          <w:p>
            <w:pPr>
              <w:pStyle w:val="TableParagraph"/>
              <w:spacing w:line="200" w:lineRule="exact"/>
              <w:ind w:left="69" w:right="69"/>
              <w:jc w:val="center"/>
              <w:rPr>
                <w:sz w:val="20"/>
              </w:rPr>
            </w:pPr>
            <w:r>
              <w:rPr>
                <w:spacing w:val="-10"/>
                <w:sz w:val="20"/>
              </w:rPr>
              <w:t>-</w:t>
            </w:r>
          </w:p>
        </w:tc>
        <w:tc>
          <w:tcPr>
            <w:tcW w:w="741" w:type="dxa"/>
          </w:tcPr>
          <w:p>
            <w:pPr>
              <w:pStyle w:val="TableParagraph"/>
              <w:spacing w:line="200" w:lineRule="exact"/>
              <w:ind w:left="10" w:right="33"/>
              <w:jc w:val="center"/>
              <w:rPr>
                <w:sz w:val="20"/>
              </w:rPr>
            </w:pPr>
            <w:r>
              <w:rPr>
                <w:spacing w:val="-10"/>
                <w:sz w:val="20"/>
              </w:rPr>
              <w:t>1</w:t>
            </w:r>
          </w:p>
        </w:tc>
        <w:tc>
          <w:tcPr>
            <w:tcW w:w="847" w:type="dxa"/>
          </w:tcPr>
          <w:p>
            <w:pPr>
              <w:pStyle w:val="TableParagraph"/>
              <w:spacing w:line="200" w:lineRule="exact"/>
              <w:ind w:left="27"/>
              <w:jc w:val="center"/>
              <w:rPr>
                <w:sz w:val="20"/>
              </w:rPr>
            </w:pPr>
            <w:r>
              <w:rPr>
                <w:spacing w:val="-4"/>
                <w:sz w:val="20"/>
              </w:rPr>
              <w:t>50.0</w:t>
            </w:r>
          </w:p>
        </w:tc>
        <w:tc>
          <w:tcPr>
            <w:tcW w:w="739" w:type="dxa"/>
          </w:tcPr>
          <w:p>
            <w:pPr>
              <w:pStyle w:val="TableParagraph"/>
              <w:spacing w:line="200" w:lineRule="exact"/>
              <w:ind w:left="75" w:right="8"/>
              <w:jc w:val="center"/>
              <w:rPr>
                <w:sz w:val="20"/>
              </w:rPr>
            </w:pPr>
            <w:r>
              <w:rPr>
                <w:spacing w:val="-10"/>
                <w:sz w:val="20"/>
              </w:rPr>
              <w:t>-</w:t>
            </w:r>
          </w:p>
        </w:tc>
        <w:tc>
          <w:tcPr>
            <w:tcW w:w="773" w:type="dxa"/>
          </w:tcPr>
          <w:p>
            <w:pPr>
              <w:pStyle w:val="TableParagraph"/>
              <w:spacing w:line="200" w:lineRule="exact"/>
              <w:ind w:left="63" w:right="65"/>
              <w:jc w:val="center"/>
              <w:rPr>
                <w:sz w:val="20"/>
              </w:rPr>
            </w:pPr>
            <w:r>
              <w:rPr>
                <w:spacing w:val="-10"/>
                <w:sz w:val="20"/>
              </w:rPr>
              <w:t>-</w:t>
            </w:r>
          </w:p>
        </w:tc>
        <w:tc>
          <w:tcPr>
            <w:tcW w:w="627" w:type="dxa"/>
          </w:tcPr>
          <w:p>
            <w:pPr>
              <w:pStyle w:val="TableParagraph"/>
              <w:spacing w:line="200" w:lineRule="exact"/>
              <w:ind w:left="32" w:right="10"/>
              <w:jc w:val="center"/>
              <w:rPr>
                <w:sz w:val="20"/>
              </w:rPr>
            </w:pPr>
            <w:r>
              <w:rPr>
                <w:spacing w:val="-10"/>
                <w:sz w:val="20"/>
              </w:rPr>
              <w:t>1</w:t>
            </w:r>
          </w:p>
        </w:tc>
        <w:tc>
          <w:tcPr>
            <w:tcW w:w="771" w:type="dxa"/>
          </w:tcPr>
          <w:p>
            <w:pPr>
              <w:pStyle w:val="TableParagraph"/>
              <w:spacing w:line="200" w:lineRule="exact"/>
              <w:ind w:left="59" w:right="14"/>
              <w:jc w:val="center"/>
              <w:rPr>
                <w:sz w:val="20"/>
              </w:rPr>
            </w:pPr>
            <w:r>
              <w:rPr>
                <w:spacing w:val="-4"/>
                <w:sz w:val="20"/>
              </w:rPr>
              <w:t>50.0</w:t>
            </w:r>
          </w:p>
        </w:tc>
        <w:tc>
          <w:tcPr>
            <w:tcW w:w="692" w:type="dxa"/>
          </w:tcPr>
          <w:p>
            <w:pPr>
              <w:pStyle w:val="TableParagraph"/>
              <w:spacing w:line="200" w:lineRule="exact"/>
              <w:ind w:left="35" w:right="13"/>
              <w:jc w:val="center"/>
              <w:rPr>
                <w:sz w:val="20"/>
              </w:rPr>
            </w:pPr>
            <w:r>
              <w:rPr>
                <w:spacing w:val="-10"/>
                <w:sz w:val="20"/>
              </w:rPr>
              <w:t>2</w:t>
            </w:r>
          </w:p>
        </w:tc>
        <w:tc>
          <w:tcPr>
            <w:tcW w:w="739" w:type="dxa"/>
            <w:tcBorders>
              <w:right w:val="single" w:sz="4" w:space="0" w:color="000000"/>
            </w:tcBorders>
          </w:tcPr>
          <w:p>
            <w:pPr>
              <w:pStyle w:val="TableParagraph"/>
              <w:spacing w:line="200" w:lineRule="exact"/>
              <w:ind w:left="36" w:right="5"/>
              <w:jc w:val="center"/>
              <w:rPr>
                <w:sz w:val="20"/>
              </w:rPr>
            </w:pPr>
            <w:r>
              <w:rPr>
                <w:spacing w:val="-5"/>
                <w:sz w:val="20"/>
              </w:rPr>
              <w:t>0.4</w:t>
            </w:r>
          </w:p>
        </w:tc>
      </w:tr>
      <w:tr>
        <w:trPr>
          <w:trHeight w:val="244"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22" w:lineRule="exact"/>
              <w:ind w:left="400"/>
              <w:rPr>
                <w:sz w:val="20"/>
              </w:rPr>
            </w:pPr>
            <w:r>
              <w:rPr>
                <w:spacing w:val="-2"/>
                <w:sz w:val="20"/>
              </w:rPr>
              <w:t>Students</w:t>
            </w:r>
          </w:p>
        </w:tc>
        <w:tc>
          <w:tcPr>
            <w:tcW w:w="701" w:type="dxa"/>
          </w:tcPr>
          <w:p>
            <w:pPr>
              <w:pStyle w:val="TableParagraph"/>
              <w:spacing w:line="222" w:lineRule="exact"/>
              <w:ind w:left="27"/>
              <w:jc w:val="center"/>
              <w:rPr>
                <w:sz w:val="20"/>
              </w:rPr>
            </w:pPr>
            <w:r>
              <w:rPr>
                <w:spacing w:val="-10"/>
                <w:sz w:val="20"/>
              </w:rPr>
              <w:t>3</w:t>
            </w:r>
          </w:p>
        </w:tc>
        <w:tc>
          <w:tcPr>
            <w:tcW w:w="702" w:type="dxa"/>
          </w:tcPr>
          <w:p>
            <w:pPr>
              <w:pStyle w:val="TableParagraph"/>
              <w:spacing w:line="222" w:lineRule="exact"/>
              <w:ind w:left="64" w:right="5"/>
              <w:jc w:val="center"/>
              <w:rPr>
                <w:sz w:val="20"/>
              </w:rPr>
            </w:pPr>
            <w:r>
              <w:rPr>
                <w:spacing w:val="-5"/>
                <w:sz w:val="20"/>
              </w:rPr>
              <w:t>1.3</w:t>
            </w:r>
          </w:p>
        </w:tc>
        <w:tc>
          <w:tcPr>
            <w:tcW w:w="575" w:type="dxa"/>
          </w:tcPr>
          <w:p>
            <w:pPr>
              <w:pStyle w:val="TableParagraph"/>
              <w:spacing w:line="222" w:lineRule="exact"/>
              <w:ind w:left="46" w:right="2"/>
              <w:jc w:val="center"/>
              <w:rPr>
                <w:sz w:val="20"/>
              </w:rPr>
            </w:pPr>
            <w:r>
              <w:rPr>
                <w:spacing w:val="-10"/>
                <w:sz w:val="20"/>
              </w:rPr>
              <w:t>6</w:t>
            </w:r>
          </w:p>
        </w:tc>
        <w:tc>
          <w:tcPr>
            <w:tcW w:w="731" w:type="dxa"/>
          </w:tcPr>
          <w:p>
            <w:pPr>
              <w:pStyle w:val="TableParagraph"/>
              <w:spacing w:line="222" w:lineRule="exact"/>
              <w:ind w:left="69" w:right="68"/>
              <w:jc w:val="center"/>
              <w:rPr>
                <w:sz w:val="20"/>
              </w:rPr>
            </w:pPr>
            <w:r>
              <w:rPr>
                <w:spacing w:val="-5"/>
                <w:sz w:val="20"/>
              </w:rPr>
              <w:t>2.6</w:t>
            </w:r>
          </w:p>
        </w:tc>
        <w:tc>
          <w:tcPr>
            <w:tcW w:w="741" w:type="dxa"/>
          </w:tcPr>
          <w:p>
            <w:pPr>
              <w:pStyle w:val="TableParagraph"/>
              <w:spacing w:line="222" w:lineRule="exact"/>
              <w:ind w:right="33"/>
              <w:jc w:val="center"/>
              <w:rPr>
                <w:sz w:val="20"/>
              </w:rPr>
            </w:pPr>
            <w:r>
              <w:rPr>
                <w:spacing w:val="-5"/>
                <w:sz w:val="20"/>
              </w:rPr>
              <w:t>165</w:t>
            </w:r>
          </w:p>
        </w:tc>
        <w:tc>
          <w:tcPr>
            <w:tcW w:w="847" w:type="dxa"/>
          </w:tcPr>
          <w:p>
            <w:pPr>
              <w:pStyle w:val="TableParagraph"/>
              <w:spacing w:line="222" w:lineRule="exact"/>
              <w:ind w:left="27"/>
              <w:jc w:val="center"/>
              <w:rPr>
                <w:sz w:val="20"/>
              </w:rPr>
            </w:pPr>
            <w:r>
              <w:rPr>
                <w:spacing w:val="-4"/>
                <w:sz w:val="20"/>
              </w:rPr>
              <w:t>70.2</w:t>
            </w:r>
          </w:p>
        </w:tc>
        <w:tc>
          <w:tcPr>
            <w:tcW w:w="739" w:type="dxa"/>
          </w:tcPr>
          <w:p>
            <w:pPr>
              <w:pStyle w:val="TableParagraph"/>
              <w:spacing w:line="222" w:lineRule="exact"/>
              <w:ind w:left="75" w:right="6"/>
              <w:jc w:val="center"/>
              <w:rPr>
                <w:sz w:val="20"/>
              </w:rPr>
            </w:pPr>
            <w:r>
              <w:rPr>
                <w:spacing w:val="-5"/>
                <w:sz w:val="20"/>
              </w:rPr>
              <w:t>47</w:t>
            </w:r>
          </w:p>
        </w:tc>
        <w:tc>
          <w:tcPr>
            <w:tcW w:w="773" w:type="dxa"/>
          </w:tcPr>
          <w:p>
            <w:pPr>
              <w:pStyle w:val="TableParagraph"/>
              <w:spacing w:line="222" w:lineRule="exact"/>
              <w:ind w:left="66" w:right="65"/>
              <w:jc w:val="center"/>
              <w:rPr>
                <w:sz w:val="20"/>
              </w:rPr>
            </w:pPr>
            <w:r>
              <w:rPr>
                <w:spacing w:val="-4"/>
                <w:sz w:val="20"/>
              </w:rPr>
              <w:t>20.0</w:t>
            </w:r>
          </w:p>
        </w:tc>
        <w:tc>
          <w:tcPr>
            <w:tcW w:w="627" w:type="dxa"/>
          </w:tcPr>
          <w:p>
            <w:pPr>
              <w:pStyle w:val="TableParagraph"/>
              <w:spacing w:line="222" w:lineRule="exact"/>
              <w:ind w:left="27" w:right="10"/>
              <w:jc w:val="center"/>
              <w:rPr>
                <w:sz w:val="20"/>
              </w:rPr>
            </w:pPr>
            <w:r>
              <w:rPr>
                <w:spacing w:val="-5"/>
                <w:sz w:val="20"/>
              </w:rPr>
              <w:t>14</w:t>
            </w:r>
          </w:p>
        </w:tc>
        <w:tc>
          <w:tcPr>
            <w:tcW w:w="771" w:type="dxa"/>
          </w:tcPr>
          <w:p>
            <w:pPr>
              <w:pStyle w:val="TableParagraph"/>
              <w:spacing w:line="222" w:lineRule="exact"/>
              <w:ind w:left="54" w:right="14"/>
              <w:jc w:val="center"/>
              <w:rPr>
                <w:sz w:val="20"/>
              </w:rPr>
            </w:pPr>
            <w:r>
              <w:rPr>
                <w:spacing w:val="-5"/>
                <w:sz w:val="20"/>
              </w:rPr>
              <w:t>6.0</w:t>
            </w:r>
          </w:p>
        </w:tc>
        <w:tc>
          <w:tcPr>
            <w:tcW w:w="692" w:type="dxa"/>
          </w:tcPr>
          <w:p>
            <w:pPr>
              <w:pStyle w:val="TableParagraph"/>
              <w:spacing w:line="222" w:lineRule="exact"/>
              <w:ind w:left="25" w:right="13"/>
              <w:jc w:val="center"/>
              <w:rPr>
                <w:sz w:val="20"/>
              </w:rPr>
            </w:pPr>
            <w:r>
              <w:rPr>
                <w:spacing w:val="-5"/>
                <w:sz w:val="20"/>
              </w:rPr>
              <w:t>235</w:t>
            </w:r>
          </w:p>
        </w:tc>
        <w:tc>
          <w:tcPr>
            <w:tcW w:w="739" w:type="dxa"/>
            <w:tcBorders>
              <w:right w:val="single" w:sz="4" w:space="0" w:color="000000"/>
            </w:tcBorders>
          </w:tcPr>
          <w:p>
            <w:pPr>
              <w:pStyle w:val="TableParagraph"/>
              <w:spacing w:line="222" w:lineRule="exact"/>
              <w:ind w:left="38" w:right="2"/>
              <w:jc w:val="center"/>
              <w:rPr>
                <w:sz w:val="20"/>
              </w:rPr>
            </w:pPr>
            <w:r>
              <w:rPr>
                <w:spacing w:val="-4"/>
                <w:sz w:val="20"/>
              </w:rPr>
              <w:t>50.8</w:t>
            </w:r>
          </w:p>
        </w:tc>
      </w:tr>
      <w:tr>
        <w:trPr>
          <w:trHeight w:val="244"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08" w:lineRule="exact" w:before="16"/>
              <w:ind w:left="400"/>
              <w:rPr>
                <w:sz w:val="20"/>
              </w:rPr>
            </w:pPr>
            <w:r>
              <w:rPr>
                <w:sz w:val="20"/>
              </w:rPr>
              <w:t>Service</w:t>
            </w:r>
            <w:r>
              <w:rPr>
                <w:spacing w:val="-9"/>
                <w:sz w:val="20"/>
              </w:rPr>
              <w:t> </w:t>
            </w:r>
            <w:r>
              <w:rPr>
                <w:spacing w:val="-2"/>
                <w:sz w:val="20"/>
              </w:rPr>
              <w:t>Staff</w:t>
            </w:r>
          </w:p>
        </w:tc>
        <w:tc>
          <w:tcPr>
            <w:tcW w:w="701" w:type="dxa"/>
          </w:tcPr>
          <w:p>
            <w:pPr>
              <w:pStyle w:val="TableParagraph"/>
              <w:spacing w:line="208" w:lineRule="exact" w:before="16"/>
              <w:ind w:left="27"/>
              <w:jc w:val="center"/>
              <w:rPr>
                <w:sz w:val="20"/>
              </w:rPr>
            </w:pPr>
            <w:r>
              <w:rPr>
                <w:spacing w:val="-10"/>
                <w:sz w:val="20"/>
              </w:rPr>
              <w:t>5</w:t>
            </w:r>
          </w:p>
        </w:tc>
        <w:tc>
          <w:tcPr>
            <w:tcW w:w="702" w:type="dxa"/>
          </w:tcPr>
          <w:p>
            <w:pPr>
              <w:pStyle w:val="TableParagraph"/>
              <w:spacing w:line="208" w:lineRule="exact" w:before="16"/>
              <w:ind w:left="64" w:right="5"/>
              <w:jc w:val="center"/>
              <w:rPr>
                <w:sz w:val="20"/>
              </w:rPr>
            </w:pPr>
            <w:r>
              <w:rPr>
                <w:spacing w:val="-5"/>
                <w:sz w:val="20"/>
              </w:rPr>
              <w:t>2.5</w:t>
            </w:r>
          </w:p>
        </w:tc>
        <w:tc>
          <w:tcPr>
            <w:tcW w:w="575" w:type="dxa"/>
          </w:tcPr>
          <w:p>
            <w:pPr>
              <w:pStyle w:val="TableParagraph"/>
              <w:spacing w:line="208" w:lineRule="exact" w:before="16"/>
              <w:ind w:left="46" w:right="2"/>
              <w:jc w:val="center"/>
              <w:rPr>
                <w:sz w:val="20"/>
              </w:rPr>
            </w:pPr>
            <w:r>
              <w:rPr>
                <w:spacing w:val="-10"/>
                <w:sz w:val="20"/>
              </w:rPr>
              <w:t>3</w:t>
            </w:r>
          </w:p>
        </w:tc>
        <w:tc>
          <w:tcPr>
            <w:tcW w:w="731" w:type="dxa"/>
          </w:tcPr>
          <w:p>
            <w:pPr>
              <w:pStyle w:val="TableParagraph"/>
              <w:spacing w:line="208" w:lineRule="exact" w:before="16"/>
              <w:ind w:left="69" w:right="68"/>
              <w:jc w:val="center"/>
              <w:rPr>
                <w:sz w:val="20"/>
              </w:rPr>
            </w:pPr>
            <w:r>
              <w:rPr>
                <w:spacing w:val="-5"/>
                <w:sz w:val="20"/>
              </w:rPr>
              <w:t>1.5</w:t>
            </w:r>
          </w:p>
        </w:tc>
        <w:tc>
          <w:tcPr>
            <w:tcW w:w="741" w:type="dxa"/>
          </w:tcPr>
          <w:p>
            <w:pPr>
              <w:pStyle w:val="TableParagraph"/>
              <w:spacing w:line="208" w:lineRule="exact" w:before="16"/>
              <w:ind w:right="33"/>
              <w:jc w:val="center"/>
              <w:rPr>
                <w:sz w:val="20"/>
              </w:rPr>
            </w:pPr>
            <w:r>
              <w:rPr>
                <w:spacing w:val="-5"/>
                <w:sz w:val="20"/>
              </w:rPr>
              <w:t>128</w:t>
            </w:r>
          </w:p>
        </w:tc>
        <w:tc>
          <w:tcPr>
            <w:tcW w:w="847" w:type="dxa"/>
          </w:tcPr>
          <w:p>
            <w:pPr>
              <w:pStyle w:val="TableParagraph"/>
              <w:spacing w:line="208" w:lineRule="exact" w:before="16"/>
              <w:ind w:left="27"/>
              <w:jc w:val="center"/>
              <w:rPr>
                <w:sz w:val="20"/>
              </w:rPr>
            </w:pPr>
            <w:r>
              <w:rPr>
                <w:spacing w:val="-4"/>
                <w:sz w:val="20"/>
              </w:rPr>
              <w:t>63.1</w:t>
            </w:r>
          </w:p>
        </w:tc>
        <w:tc>
          <w:tcPr>
            <w:tcW w:w="739" w:type="dxa"/>
          </w:tcPr>
          <w:p>
            <w:pPr>
              <w:pStyle w:val="TableParagraph"/>
              <w:spacing w:line="208" w:lineRule="exact" w:before="16"/>
              <w:ind w:left="75" w:right="6"/>
              <w:jc w:val="center"/>
              <w:rPr>
                <w:sz w:val="20"/>
              </w:rPr>
            </w:pPr>
            <w:r>
              <w:rPr>
                <w:spacing w:val="-5"/>
                <w:sz w:val="20"/>
              </w:rPr>
              <w:t>44</w:t>
            </w:r>
          </w:p>
        </w:tc>
        <w:tc>
          <w:tcPr>
            <w:tcW w:w="773" w:type="dxa"/>
          </w:tcPr>
          <w:p>
            <w:pPr>
              <w:pStyle w:val="TableParagraph"/>
              <w:spacing w:line="208" w:lineRule="exact" w:before="16"/>
              <w:ind w:left="66" w:right="65"/>
              <w:jc w:val="center"/>
              <w:rPr>
                <w:sz w:val="20"/>
              </w:rPr>
            </w:pPr>
            <w:r>
              <w:rPr>
                <w:spacing w:val="-4"/>
                <w:sz w:val="20"/>
              </w:rPr>
              <w:t>21.7</w:t>
            </w:r>
          </w:p>
        </w:tc>
        <w:tc>
          <w:tcPr>
            <w:tcW w:w="627" w:type="dxa"/>
          </w:tcPr>
          <w:p>
            <w:pPr>
              <w:pStyle w:val="TableParagraph"/>
              <w:spacing w:line="208" w:lineRule="exact" w:before="16"/>
              <w:ind w:left="27" w:right="10"/>
              <w:jc w:val="center"/>
              <w:rPr>
                <w:sz w:val="20"/>
              </w:rPr>
            </w:pPr>
            <w:r>
              <w:rPr>
                <w:spacing w:val="-5"/>
                <w:sz w:val="20"/>
              </w:rPr>
              <w:t>23</w:t>
            </w:r>
          </w:p>
        </w:tc>
        <w:tc>
          <w:tcPr>
            <w:tcW w:w="771" w:type="dxa"/>
          </w:tcPr>
          <w:p>
            <w:pPr>
              <w:pStyle w:val="TableParagraph"/>
              <w:spacing w:line="208" w:lineRule="exact" w:before="16"/>
              <w:ind w:left="59" w:right="14"/>
              <w:jc w:val="center"/>
              <w:rPr>
                <w:sz w:val="20"/>
              </w:rPr>
            </w:pPr>
            <w:r>
              <w:rPr>
                <w:spacing w:val="-4"/>
                <w:sz w:val="20"/>
              </w:rPr>
              <w:t>11.3</w:t>
            </w:r>
          </w:p>
        </w:tc>
        <w:tc>
          <w:tcPr>
            <w:tcW w:w="692" w:type="dxa"/>
          </w:tcPr>
          <w:p>
            <w:pPr>
              <w:pStyle w:val="TableParagraph"/>
              <w:spacing w:line="208" w:lineRule="exact" w:before="16"/>
              <w:ind w:left="25" w:right="13"/>
              <w:jc w:val="center"/>
              <w:rPr>
                <w:sz w:val="20"/>
              </w:rPr>
            </w:pPr>
            <w:r>
              <w:rPr>
                <w:spacing w:val="-5"/>
                <w:sz w:val="20"/>
              </w:rPr>
              <w:t>203</w:t>
            </w:r>
          </w:p>
        </w:tc>
        <w:tc>
          <w:tcPr>
            <w:tcW w:w="739" w:type="dxa"/>
            <w:tcBorders>
              <w:right w:val="single" w:sz="4" w:space="0" w:color="000000"/>
            </w:tcBorders>
          </w:tcPr>
          <w:p>
            <w:pPr>
              <w:pStyle w:val="TableParagraph"/>
              <w:spacing w:line="208" w:lineRule="exact" w:before="16"/>
              <w:ind w:left="38" w:right="2"/>
              <w:jc w:val="center"/>
              <w:rPr>
                <w:sz w:val="20"/>
              </w:rPr>
            </w:pPr>
            <w:r>
              <w:rPr>
                <w:spacing w:val="-4"/>
                <w:sz w:val="20"/>
              </w:rPr>
              <w:t>43.8</w:t>
            </w:r>
          </w:p>
        </w:tc>
      </w:tr>
      <w:tr>
        <w:trPr>
          <w:trHeight w:val="227"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08" w:lineRule="exact"/>
              <w:ind w:left="400"/>
              <w:rPr>
                <w:sz w:val="20"/>
              </w:rPr>
            </w:pPr>
            <w:r>
              <w:rPr>
                <w:sz w:val="20"/>
              </w:rPr>
              <w:t>Top</w:t>
            </w:r>
            <w:r>
              <w:rPr>
                <w:spacing w:val="-1"/>
                <w:sz w:val="20"/>
              </w:rPr>
              <w:t> </w:t>
            </w:r>
            <w:r>
              <w:rPr>
                <w:spacing w:val="-2"/>
                <w:sz w:val="20"/>
              </w:rPr>
              <w:t>Management</w:t>
            </w:r>
          </w:p>
        </w:tc>
        <w:tc>
          <w:tcPr>
            <w:tcW w:w="701" w:type="dxa"/>
          </w:tcPr>
          <w:p>
            <w:pPr>
              <w:pStyle w:val="TableParagraph"/>
              <w:spacing w:line="208" w:lineRule="exact"/>
              <w:ind w:left="27" w:right="7"/>
              <w:jc w:val="center"/>
              <w:rPr>
                <w:sz w:val="20"/>
              </w:rPr>
            </w:pPr>
            <w:r>
              <w:rPr>
                <w:spacing w:val="-10"/>
                <w:sz w:val="20"/>
              </w:rPr>
              <w:t>-</w:t>
            </w:r>
          </w:p>
        </w:tc>
        <w:tc>
          <w:tcPr>
            <w:tcW w:w="702" w:type="dxa"/>
          </w:tcPr>
          <w:p>
            <w:pPr>
              <w:pStyle w:val="TableParagraph"/>
              <w:spacing w:line="208" w:lineRule="exact"/>
              <w:ind w:left="64" w:right="7"/>
              <w:jc w:val="center"/>
              <w:rPr>
                <w:sz w:val="20"/>
              </w:rPr>
            </w:pPr>
            <w:r>
              <w:rPr>
                <w:spacing w:val="-10"/>
                <w:sz w:val="20"/>
              </w:rPr>
              <w:t>-</w:t>
            </w:r>
          </w:p>
        </w:tc>
        <w:tc>
          <w:tcPr>
            <w:tcW w:w="575" w:type="dxa"/>
          </w:tcPr>
          <w:p>
            <w:pPr>
              <w:pStyle w:val="TableParagraph"/>
              <w:spacing w:line="208" w:lineRule="exact"/>
              <w:ind w:left="46" w:right="2"/>
              <w:jc w:val="center"/>
              <w:rPr>
                <w:sz w:val="20"/>
              </w:rPr>
            </w:pPr>
            <w:r>
              <w:rPr>
                <w:spacing w:val="-10"/>
                <w:sz w:val="20"/>
              </w:rPr>
              <w:t>1</w:t>
            </w:r>
          </w:p>
        </w:tc>
        <w:tc>
          <w:tcPr>
            <w:tcW w:w="731" w:type="dxa"/>
          </w:tcPr>
          <w:p>
            <w:pPr>
              <w:pStyle w:val="TableParagraph"/>
              <w:spacing w:line="208" w:lineRule="exact"/>
              <w:ind w:left="69" w:right="68"/>
              <w:jc w:val="center"/>
              <w:rPr>
                <w:sz w:val="20"/>
              </w:rPr>
            </w:pPr>
            <w:r>
              <w:rPr>
                <w:spacing w:val="-5"/>
                <w:sz w:val="20"/>
              </w:rPr>
              <w:t>4.3</w:t>
            </w:r>
          </w:p>
        </w:tc>
        <w:tc>
          <w:tcPr>
            <w:tcW w:w="741" w:type="dxa"/>
          </w:tcPr>
          <w:p>
            <w:pPr>
              <w:pStyle w:val="TableParagraph"/>
              <w:spacing w:line="208" w:lineRule="exact"/>
              <w:ind w:left="5" w:right="33"/>
              <w:jc w:val="center"/>
              <w:rPr>
                <w:sz w:val="20"/>
              </w:rPr>
            </w:pPr>
            <w:r>
              <w:rPr>
                <w:spacing w:val="-5"/>
                <w:sz w:val="20"/>
              </w:rPr>
              <w:t>15</w:t>
            </w:r>
          </w:p>
        </w:tc>
        <w:tc>
          <w:tcPr>
            <w:tcW w:w="847" w:type="dxa"/>
          </w:tcPr>
          <w:p>
            <w:pPr>
              <w:pStyle w:val="TableParagraph"/>
              <w:spacing w:line="208" w:lineRule="exact"/>
              <w:ind w:left="27"/>
              <w:jc w:val="center"/>
              <w:rPr>
                <w:sz w:val="20"/>
              </w:rPr>
            </w:pPr>
            <w:r>
              <w:rPr>
                <w:spacing w:val="-4"/>
                <w:sz w:val="20"/>
              </w:rPr>
              <w:t>65.2</w:t>
            </w:r>
          </w:p>
        </w:tc>
        <w:tc>
          <w:tcPr>
            <w:tcW w:w="739" w:type="dxa"/>
          </w:tcPr>
          <w:p>
            <w:pPr>
              <w:pStyle w:val="TableParagraph"/>
              <w:spacing w:line="208" w:lineRule="exact"/>
              <w:ind w:left="75" w:right="2"/>
              <w:jc w:val="center"/>
              <w:rPr>
                <w:sz w:val="20"/>
              </w:rPr>
            </w:pPr>
            <w:r>
              <w:rPr>
                <w:spacing w:val="-10"/>
                <w:sz w:val="20"/>
              </w:rPr>
              <w:t>5</w:t>
            </w:r>
          </w:p>
        </w:tc>
        <w:tc>
          <w:tcPr>
            <w:tcW w:w="773" w:type="dxa"/>
          </w:tcPr>
          <w:p>
            <w:pPr>
              <w:pStyle w:val="TableParagraph"/>
              <w:spacing w:line="208" w:lineRule="exact"/>
              <w:ind w:left="66" w:right="65"/>
              <w:jc w:val="center"/>
              <w:rPr>
                <w:sz w:val="20"/>
              </w:rPr>
            </w:pPr>
            <w:r>
              <w:rPr>
                <w:spacing w:val="-4"/>
                <w:sz w:val="20"/>
              </w:rPr>
              <w:t>21.7</w:t>
            </w:r>
          </w:p>
        </w:tc>
        <w:tc>
          <w:tcPr>
            <w:tcW w:w="627" w:type="dxa"/>
          </w:tcPr>
          <w:p>
            <w:pPr>
              <w:pStyle w:val="TableParagraph"/>
              <w:spacing w:line="208" w:lineRule="exact"/>
              <w:ind w:left="32" w:right="10"/>
              <w:jc w:val="center"/>
              <w:rPr>
                <w:sz w:val="20"/>
              </w:rPr>
            </w:pPr>
            <w:r>
              <w:rPr>
                <w:spacing w:val="-10"/>
                <w:sz w:val="20"/>
              </w:rPr>
              <w:t>2</w:t>
            </w:r>
          </w:p>
        </w:tc>
        <w:tc>
          <w:tcPr>
            <w:tcW w:w="771" w:type="dxa"/>
          </w:tcPr>
          <w:p>
            <w:pPr>
              <w:pStyle w:val="TableParagraph"/>
              <w:spacing w:line="208" w:lineRule="exact"/>
              <w:ind w:left="54" w:right="14"/>
              <w:jc w:val="center"/>
              <w:rPr>
                <w:sz w:val="20"/>
              </w:rPr>
            </w:pPr>
            <w:r>
              <w:rPr>
                <w:spacing w:val="-5"/>
                <w:sz w:val="20"/>
              </w:rPr>
              <w:t>8.7</w:t>
            </w:r>
          </w:p>
        </w:tc>
        <w:tc>
          <w:tcPr>
            <w:tcW w:w="692" w:type="dxa"/>
          </w:tcPr>
          <w:p>
            <w:pPr>
              <w:pStyle w:val="TableParagraph"/>
              <w:spacing w:line="208" w:lineRule="exact"/>
              <w:ind w:left="30" w:right="13"/>
              <w:jc w:val="center"/>
              <w:rPr>
                <w:sz w:val="20"/>
              </w:rPr>
            </w:pPr>
            <w:r>
              <w:rPr>
                <w:spacing w:val="-5"/>
                <w:sz w:val="20"/>
              </w:rPr>
              <w:t>23</w:t>
            </w:r>
          </w:p>
        </w:tc>
        <w:tc>
          <w:tcPr>
            <w:tcW w:w="739" w:type="dxa"/>
            <w:tcBorders>
              <w:right w:val="single" w:sz="4" w:space="0" w:color="000000"/>
            </w:tcBorders>
          </w:tcPr>
          <w:p>
            <w:pPr>
              <w:pStyle w:val="TableParagraph"/>
              <w:spacing w:line="208" w:lineRule="exact"/>
              <w:ind w:left="36" w:right="5"/>
              <w:jc w:val="center"/>
              <w:rPr>
                <w:sz w:val="20"/>
              </w:rPr>
            </w:pPr>
            <w:r>
              <w:rPr>
                <w:spacing w:val="-5"/>
                <w:sz w:val="20"/>
              </w:rPr>
              <w:t>5.0</w:t>
            </w:r>
          </w:p>
        </w:tc>
      </w:tr>
      <w:tr>
        <w:trPr>
          <w:trHeight w:val="227"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08" w:lineRule="exact"/>
              <w:ind w:left="400"/>
              <w:rPr>
                <w:sz w:val="20"/>
              </w:rPr>
            </w:pPr>
            <w:r>
              <w:rPr>
                <w:sz w:val="20"/>
              </w:rPr>
              <w:t>No.</w:t>
            </w:r>
            <w:r>
              <w:rPr>
                <w:spacing w:val="-5"/>
                <w:sz w:val="20"/>
              </w:rPr>
              <w:t> </w:t>
            </w:r>
            <w:r>
              <w:rPr>
                <w:sz w:val="20"/>
              </w:rPr>
              <w:t>of</w:t>
            </w:r>
            <w:r>
              <w:rPr>
                <w:spacing w:val="-2"/>
                <w:sz w:val="20"/>
              </w:rPr>
              <w:t> missing</w:t>
            </w:r>
          </w:p>
        </w:tc>
        <w:tc>
          <w:tcPr>
            <w:tcW w:w="701" w:type="dxa"/>
          </w:tcPr>
          <w:p>
            <w:pPr>
              <w:pStyle w:val="TableParagraph"/>
              <w:rPr>
                <w:rFonts w:ascii="Times New Roman"/>
                <w:sz w:val="16"/>
              </w:rPr>
            </w:pPr>
          </w:p>
        </w:tc>
        <w:tc>
          <w:tcPr>
            <w:tcW w:w="702" w:type="dxa"/>
          </w:tcPr>
          <w:p>
            <w:pPr>
              <w:pStyle w:val="TableParagraph"/>
              <w:rPr>
                <w:rFonts w:ascii="Times New Roman"/>
                <w:sz w:val="16"/>
              </w:rPr>
            </w:pPr>
          </w:p>
        </w:tc>
        <w:tc>
          <w:tcPr>
            <w:tcW w:w="575" w:type="dxa"/>
          </w:tcPr>
          <w:p>
            <w:pPr>
              <w:pStyle w:val="TableParagraph"/>
              <w:rPr>
                <w:rFonts w:ascii="Times New Roman"/>
                <w:sz w:val="16"/>
              </w:rPr>
            </w:pPr>
          </w:p>
        </w:tc>
        <w:tc>
          <w:tcPr>
            <w:tcW w:w="731" w:type="dxa"/>
          </w:tcPr>
          <w:p>
            <w:pPr>
              <w:pStyle w:val="TableParagraph"/>
              <w:rPr>
                <w:rFonts w:ascii="Times New Roman"/>
                <w:sz w:val="16"/>
              </w:rPr>
            </w:pPr>
          </w:p>
        </w:tc>
        <w:tc>
          <w:tcPr>
            <w:tcW w:w="741" w:type="dxa"/>
          </w:tcPr>
          <w:p>
            <w:pPr>
              <w:pStyle w:val="TableParagraph"/>
              <w:rPr>
                <w:rFonts w:ascii="Times New Roman"/>
                <w:sz w:val="16"/>
              </w:rPr>
            </w:pPr>
          </w:p>
        </w:tc>
        <w:tc>
          <w:tcPr>
            <w:tcW w:w="847" w:type="dxa"/>
          </w:tcPr>
          <w:p>
            <w:pPr>
              <w:pStyle w:val="TableParagraph"/>
              <w:rPr>
                <w:rFonts w:ascii="Times New Roman"/>
                <w:sz w:val="16"/>
              </w:rPr>
            </w:pPr>
          </w:p>
        </w:tc>
        <w:tc>
          <w:tcPr>
            <w:tcW w:w="739" w:type="dxa"/>
          </w:tcPr>
          <w:p>
            <w:pPr>
              <w:pStyle w:val="TableParagraph"/>
              <w:rPr>
                <w:rFonts w:ascii="Times New Roman"/>
                <w:sz w:val="16"/>
              </w:rPr>
            </w:pPr>
          </w:p>
        </w:tc>
        <w:tc>
          <w:tcPr>
            <w:tcW w:w="773" w:type="dxa"/>
          </w:tcPr>
          <w:p>
            <w:pPr>
              <w:pStyle w:val="TableParagraph"/>
              <w:rPr>
                <w:rFonts w:ascii="Times New Roman"/>
                <w:sz w:val="16"/>
              </w:rPr>
            </w:pPr>
          </w:p>
        </w:tc>
        <w:tc>
          <w:tcPr>
            <w:tcW w:w="627" w:type="dxa"/>
          </w:tcPr>
          <w:p>
            <w:pPr>
              <w:pStyle w:val="TableParagraph"/>
              <w:rPr>
                <w:rFonts w:ascii="Times New Roman"/>
                <w:sz w:val="16"/>
              </w:rPr>
            </w:pPr>
          </w:p>
        </w:tc>
        <w:tc>
          <w:tcPr>
            <w:tcW w:w="771" w:type="dxa"/>
          </w:tcPr>
          <w:p>
            <w:pPr>
              <w:pStyle w:val="TableParagraph"/>
              <w:rPr>
                <w:rFonts w:ascii="Times New Roman"/>
                <w:sz w:val="16"/>
              </w:rPr>
            </w:pPr>
          </w:p>
        </w:tc>
        <w:tc>
          <w:tcPr>
            <w:tcW w:w="692"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20"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00" w:lineRule="exact"/>
              <w:ind w:left="400"/>
              <w:rPr>
                <w:sz w:val="20"/>
              </w:rPr>
            </w:pPr>
            <w:r>
              <w:rPr>
                <w:spacing w:val="-2"/>
                <w:sz w:val="20"/>
              </w:rPr>
              <w:t>observations</w:t>
            </w:r>
          </w:p>
        </w:tc>
        <w:tc>
          <w:tcPr>
            <w:tcW w:w="701" w:type="dxa"/>
          </w:tcPr>
          <w:p>
            <w:pPr>
              <w:pStyle w:val="TableParagraph"/>
              <w:spacing w:line="200" w:lineRule="exact"/>
              <w:ind w:left="27" w:right="7"/>
              <w:jc w:val="center"/>
              <w:rPr>
                <w:sz w:val="20"/>
              </w:rPr>
            </w:pPr>
            <w:r>
              <w:rPr>
                <w:spacing w:val="-10"/>
                <w:sz w:val="20"/>
              </w:rPr>
              <w:t>-</w:t>
            </w:r>
          </w:p>
        </w:tc>
        <w:tc>
          <w:tcPr>
            <w:tcW w:w="702" w:type="dxa"/>
          </w:tcPr>
          <w:p>
            <w:pPr>
              <w:pStyle w:val="TableParagraph"/>
              <w:spacing w:line="200" w:lineRule="exact"/>
              <w:ind w:left="64" w:right="7"/>
              <w:jc w:val="center"/>
              <w:rPr>
                <w:sz w:val="20"/>
              </w:rPr>
            </w:pPr>
            <w:r>
              <w:rPr>
                <w:spacing w:val="-10"/>
                <w:sz w:val="20"/>
              </w:rPr>
              <w:t>-</w:t>
            </w:r>
          </w:p>
        </w:tc>
        <w:tc>
          <w:tcPr>
            <w:tcW w:w="575" w:type="dxa"/>
          </w:tcPr>
          <w:p>
            <w:pPr>
              <w:pStyle w:val="TableParagraph"/>
              <w:spacing w:line="200" w:lineRule="exact"/>
              <w:ind w:left="46" w:right="8"/>
              <w:jc w:val="center"/>
              <w:rPr>
                <w:sz w:val="20"/>
              </w:rPr>
            </w:pPr>
            <w:r>
              <w:rPr>
                <w:spacing w:val="-10"/>
                <w:sz w:val="20"/>
              </w:rPr>
              <w:t>-</w:t>
            </w:r>
          </w:p>
        </w:tc>
        <w:tc>
          <w:tcPr>
            <w:tcW w:w="731" w:type="dxa"/>
          </w:tcPr>
          <w:p>
            <w:pPr>
              <w:pStyle w:val="TableParagraph"/>
              <w:spacing w:line="200" w:lineRule="exact"/>
              <w:ind w:left="69" w:right="69"/>
              <w:jc w:val="center"/>
              <w:rPr>
                <w:sz w:val="20"/>
              </w:rPr>
            </w:pPr>
            <w:r>
              <w:rPr>
                <w:spacing w:val="-10"/>
                <w:sz w:val="20"/>
              </w:rPr>
              <w:t>-</w:t>
            </w:r>
          </w:p>
        </w:tc>
        <w:tc>
          <w:tcPr>
            <w:tcW w:w="741" w:type="dxa"/>
          </w:tcPr>
          <w:p>
            <w:pPr>
              <w:pStyle w:val="TableParagraph"/>
              <w:spacing w:line="200" w:lineRule="exact"/>
              <w:ind w:left="10" w:right="33"/>
              <w:jc w:val="center"/>
              <w:rPr>
                <w:sz w:val="20"/>
              </w:rPr>
            </w:pPr>
            <w:r>
              <w:rPr>
                <w:spacing w:val="-10"/>
                <w:sz w:val="20"/>
              </w:rPr>
              <w:t>1</w:t>
            </w:r>
          </w:p>
        </w:tc>
        <w:tc>
          <w:tcPr>
            <w:tcW w:w="847" w:type="dxa"/>
          </w:tcPr>
          <w:p>
            <w:pPr>
              <w:pStyle w:val="TableParagraph"/>
              <w:spacing w:line="200" w:lineRule="exact"/>
              <w:ind w:left="27"/>
              <w:jc w:val="center"/>
              <w:rPr>
                <w:sz w:val="20"/>
              </w:rPr>
            </w:pPr>
            <w:r>
              <w:rPr>
                <w:spacing w:val="-4"/>
                <w:sz w:val="20"/>
              </w:rPr>
              <w:t>50.0</w:t>
            </w:r>
          </w:p>
        </w:tc>
        <w:tc>
          <w:tcPr>
            <w:tcW w:w="739" w:type="dxa"/>
          </w:tcPr>
          <w:p>
            <w:pPr>
              <w:pStyle w:val="TableParagraph"/>
              <w:spacing w:line="200" w:lineRule="exact"/>
              <w:ind w:left="75" w:right="8"/>
              <w:jc w:val="center"/>
              <w:rPr>
                <w:sz w:val="20"/>
              </w:rPr>
            </w:pPr>
            <w:r>
              <w:rPr>
                <w:spacing w:val="-10"/>
                <w:sz w:val="20"/>
              </w:rPr>
              <w:t>-</w:t>
            </w:r>
          </w:p>
        </w:tc>
        <w:tc>
          <w:tcPr>
            <w:tcW w:w="773" w:type="dxa"/>
          </w:tcPr>
          <w:p>
            <w:pPr>
              <w:pStyle w:val="TableParagraph"/>
              <w:spacing w:line="200" w:lineRule="exact"/>
              <w:ind w:left="63" w:right="65"/>
              <w:jc w:val="center"/>
              <w:rPr>
                <w:sz w:val="20"/>
              </w:rPr>
            </w:pPr>
            <w:r>
              <w:rPr>
                <w:spacing w:val="-10"/>
                <w:sz w:val="20"/>
              </w:rPr>
              <w:t>-</w:t>
            </w:r>
          </w:p>
        </w:tc>
        <w:tc>
          <w:tcPr>
            <w:tcW w:w="627" w:type="dxa"/>
          </w:tcPr>
          <w:p>
            <w:pPr>
              <w:pStyle w:val="TableParagraph"/>
              <w:spacing w:line="200" w:lineRule="exact"/>
              <w:ind w:left="32" w:right="10"/>
              <w:jc w:val="center"/>
              <w:rPr>
                <w:sz w:val="20"/>
              </w:rPr>
            </w:pPr>
            <w:r>
              <w:rPr>
                <w:spacing w:val="-10"/>
                <w:sz w:val="20"/>
              </w:rPr>
              <w:t>1</w:t>
            </w:r>
          </w:p>
        </w:tc>
        <w:tc>
          <w:tcPr>
            <w:tcW w:w="771" w:type="dxa"/>
          </w:tcPr>
          <w:p>
            <w:pPr>
              <w:pStyle w:val="TableParagraph"/>
              <w:spacing w:line="200" w:lineRule="exact"/>
              <w:ind w:left="59" w:right="14"/>
              <w:jc w:val="center"/>
              <w:rPr>
                <w:sz w:val="20"/>
              </w:rPr>
            </w:pPr>
            <w:r>
              <w:rPr>
                <w:spacing w:val="-4"/>
                <w:sz w:val="20"/>
              </w:rPr>
              <w:t>50.0</w:t>
            </w:r>
          </w:p>
        </w:tc>
        <w:tc>
          <w:tcPr>
            <w:tcW w:w="692" w:type="dxa"/>
          </w:tcPr>
          <w:p>
            <w:pPr>
              <w:pStyle w:val="TableParagraph"/>
              <w:spacing w:line="200" w:lineRule="exact"/>
              <w:ind w:left="35" w:right="13"/>
              <w:jc w:val="center"/>
              <w:rPr>
                <w:sz w:val="20"/>
              </w:rPr>
            </w:pPr>
            <w:r>
              <w:rPr>
                <w:spacing w:val="-10"/>
                <w:sz w:val="20"/>
              </w:rPr>
              <w:t>2</w:t>
            </w:r>
          </w:p>
        </w:tc>
        <w:tc>
          <w:tcPr>
            <w:tcW w:w="739" w:type="dxa"/>
            <w:tcBorders>
              <w:right w:val="single" w:sz="4" w:space="0" w:color="000000"/>
            </w:tcBorders>
          </w:tcPr>
          <w:p>
            <w:pPr>
              <w:pStyle w:val="TableParagraph"/>
              <w:spacing w:line="200" w:lineRule="exact"/>
              <w:ind w:left="36" w:right="5"/>
              <w:jc w:val="center"/>
              <w:rPr>
                <w:sz w:val="20"/>
              </w:rPr>
            </w:pPr>
            <w:r>
              <w:rPr>
                <w:spacing w:val="-5"/>
                <w:sz w:val="20"/>
              </w:rPr>
              <w:t>0.4</w:t>
            </w:r>
          </w:p>
        </w:tc>
      </w:tr>
      <w:tr>
        <w:trPr>
          <w:trHeight w:val="225"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05" w:lineRule="exact"/>
              <w:ind w:left="400"/>
              <w:rPr>
                <w:sz w:val="20"/>
              </w:rPr>
            </w:pPr>
            <w:r>
              <w:rPr>
                <w:spacing w:val="-2"/>
                <w:sz w:val="20"/>
              </w:rPr>
              <w:t>Students</w:t>
            </w:r>
          </w:p>
        </w:tc>
        <w:tc>
          <w:tcPr>
            <w:tcW w:w="701" w:type="dxa"/>
          </w:tcPr>
          <w:p>
            <w:pPr>
              <w:pStyle w:val="TableParagraph"/>
              <w:spacing w:line="205" w:lineRule="exact"/>
              <w:ind w:left="27"/>
              <w:jc w:val="center"/>
              <w:rPr>
                <w:sz w:val="20"/>
              </w:rPr>
            </w:pPr>
            <w:r>
              <w:rPr>
                <w:spacing w:val="-10"/>
                <w:sz w:val="20"/>
              </w:rPr>
              <w:t>5</w:t>
            </w:r>
          </w:p>
        </w:tc>
        <w:tc>
          <w:tcPr>
            <w:tcW w:w="702" w:type="dxa"/>
          </w:tcPr>
          <w:p>
            <w:pPr>
              <w:pStyle w:val="TableParagraph"/>
              <w:spacing w:line="205" w:lineRule="exact"/>
              <w:ind w:left="64" w:right="5"/>
              <w:jc w:val="center"/>
              <w:rPr>
                <w:sz w:val="20"/>
              </w:rPr>
            </w:pPr>
            <w:r>
              <w:rPr>
                <w:spacing w:val="-5"/>
                <w:sz w:val="20"/>
              </w:rPr>
              <w:t>2.1</w:t>
            </w:r>
          </w:p>
        </w:tc>
        <w:tc>
          <w:tcPr>
            <w:tcW w:w="575" w:type="dxa"/>
          </w:tcPr>
          <w:p>
            <w:pPr>
              <w:pStyle w:val="TableParagraph"/>
              <w:spacing w:line="205" w:lineRule="exact"/>
              <w:ind w:left="46" w:right="2"/>
              <w:jc w:val="center"/>
              <w:rPr>
                <w:sz w:val="20"/>
              </w:rPr>
            </w:pPr>
            <w:r>
              <w:rPr>
                <w:spacing w:val="-10"/>
                <w:sz w:val="20"/>
              </w:rPr>
              <w:t>4</w:t>
            </w:r>
          </w:p>
        </w:tc>
        <w:tc>
          <w:tcPr>
            <w:tcW w:w="731" w:type="dxa"/>
          </w:tcPr>
          <w:p>
            <w:pPr>
              <w:pStyle w:val="TableParagraph"/>
              <w:spacing w:line="205" w:lineRule="exact"/>
              <w:ind w:left="69" w:right="68"/>
              <w:jc w:val="center"/>
              <w:rPr>
                <w:sz w:val="20"/>
              </w:rPr>
            </w:pPr>
            <w:r>
              <w:rPr>
                <w:spacing w:val="-5"/>
                <w:sz w:val="20"/>
              </w:rPr>
              <w:t>1.7</w:t>
            </w:r>
          </w:p>
        </w:tc>
        <w:tc>
          <w:tcPr>
            <w:tcW w:w="741" w:type="dxa"/>
          </w:tcPr>
          <w:p>
            <w:pPr>
              <w:pStyle w:val="TableParagraph"/>
              <w:spacing w:line="205" w:lineRule="exact"/>
              <w:ind w:right="33"/>
              <w:jc w:val="center"/>
              <w:rPr>
                <w:sz w:val="20"/>
              </w:rPr>
            </w:pPr>
            <w:r>
              <w:rPr>
                <w:spacing w:val="-5"/>
                <w:sz w:val="20"/>
              </w:rPr>
              <w:t>137</w:t>
            </w:r>
          </w:p>
        </w:tc>
        <w:tc>
          <w:tcPr>
            <w:tcW w:w="847" w:type="dxa"/>
          </w:tcPr>
          <w:p>
            <w:pPr>
              <w:pStyle w:val="TableParagraph"/>
              <w:spacing w:line="205" w:lineRule="exact"/>
              <w:ind w:left="27"/>
              <w:jc w:val="center"/>
              <w:rPr>
                <w:sz w:val="20"/>
              </w:rPr>
            </w:pPr>
            <w:r>
              <w:rPr>
                <w:spacing w:val="-4"/>
                <w:sz w:val="20"/>
              </w:rPr>
              <w:t>58.3</w:t>
            </w:r>
          </w:p>
        </w:tc>
        <w:tc>
          <w:tcPr>
            <w:tcW w:w="739" w:type="dxa"/>
          </w:tcPr>
          <w:p>
            <w:pPr>
              <w:pStyle w:val="TableParagraph"/>
              <w:spacing w:line="205" w:lineRule="exact"/>
              <w:ind w:left="75" w:right="6"/>
              <w:jc w:val="center"/>
              <w:rPr>
                <w:sz w:val="20"/>
              </w:rPr>
            </w:pPr>
            <w:r>
              <w:rPr>
                <w:spacing w:val="-5"/>
                <w:sz w:val="20"/>
              </w:rPr>
              <w:t>71</w:t>
            </w:r>
          </w:p>
        </w:tc>
        <w:tc>
          <w:tcPr>
            <w:tcW w:w="773" w:type="dxa"/>
          </w:tcPr>
          <w:p>
            <w:pPr>
              <w:pStyle w:val="TableParagraph"/>
              <w:spacing w:line="205" w:lineRule="exact"/>
              <w:ind w:left="66" w:right="65"/>
              <w:jc w:val="center"/>
              <w:rPr>
                <w:sz w:val="20"/>
              </w:rPr>
            </w:pPr>
            <w:r>
              <w:rPr>
                <w:spacing w:val="-4"/>
                <w:sz w:val="20"/>
              </w:rPr>
              <w:t>30.2</w:t>
            </w:r>
          </w:p>
        </w:tc>
        <w:tc>
          <w:tcPr>
            <w:tcW w:w="627" w:type="dxa"/>
          </w:tcPr>
          <w:p>
            <w:pPr>
              <w:pStyle w:val="TableParagraph"/>
              <w:spacing w:line="205" w:lineRule="exact"/>
              <w:ind w:left="27" w:right="10"/>
              <w:jc w:val="center"/>
              <w:rPr>
                <w:sz w:val="20"/>
              </w:rPr>
            </w:pPr>
            <w:r>
              <w:rPr>
                <w:spacing w:val="-5"/>
                <w:sz w:val="20"/>
              </w:rPr>
              <w:t>18</w:t>
            </w:r>
          </w:p>
        </w:tc>
        <w:tc>
          <w:tcPr>
            <w:tcW w:w="771" w:type="dxa"/>
          </w:tcPr>
          <w:p>
            <w:pPr>
              <w:pStyle w:val="TableParagraph"/>
              <w:spacing w:line="205" w:lineRule="exact"/>
              <w:ind w:left="54" w:right="14"/>
              <w:jc w:val="center"/>
              <w:rPr>
                <w:sz w:val="20"/>
              </w:rPr>
            </w:pPr>
            <w:r>
              <w:rPr>
                <w:spacing w:val="-5"/>
                <w:sz w:val="20"/>
              </w:rPr>
              <w:t>7.7</w:t>
            </w:r>
          </w:p>
        </w:tc>
        <w:tc>
          <w:tcPr>
            <w:tcW w:w="692" w:type="dxa"/>
          </w:tcPr>
          <w:p>
            <w:pPr>
              <w:pStyle w:val="TableParagraph"/>
              <w:spacing w:line="205" w:lineRule="exact"/>
              <w:ind w:left="25" w:right="13"/>
              <w:jc w:val="center"/>
              <w:rPr>
                <w:sz w:val="20"/>
              </w:rPr>
            </w:pPr>
            <w:r>
              <w:rPr>
                <w:spacing w:val="-5"/>
                <w:sz w:val="20"/>
              </w:rPr>
              <w:t>235</w:t>
            </w:r>
          </w:p>
        </w:tc>
        <w:tc>
          <w:tcPr>
            <w:tcW w:w="739" w:type="dxa"/>
            <w:tcBorders>
              <w:right w:val="single" w:sz="4" w:space="0" w:color="000000"/>
            </w:tcBorders>
          </w:tcPr>
          <w:p>
            <w:pPr>
              <w:pStyle w:val="TableParagraph"/>
              <w:spacing w:line="205" w:lineRule="exact"/>
              <w:ind w:left="38" w:right="2"/>
              <w:jc w:val="center"/>
              <w:rPr>
                <w:sz w:val="20"/>
              </w:rPr>
            </w:pPr>
            <w:r>
              <w:rPr>
                <w:spacing w:val="-4"/>
                <w:sz w:val="20"/>
              </w:rPr>
              <w:t>50.8</w:t>
            </w:r>
          </w:p>
        </w:tc>
      </w:tr>
      <w:tr>
        <w:trPr>
          <w:trHeight w:val="225" w:hRule="atLeast"/>
        </w:trPr>
        <w:tc>
          <w:tcPr>
            <w:tcW w:w="3497" w:type="dxa"/>
            <w:vMerge/>
            <w:tcBorders>
              <w:top w:val="nil"/>
              <w:left w:val="single" w:sz="4" w:space="0" w:color="000000"/>
              <w:bottom w:val="single" w:sz="4" w:space="0" w:color="000000"/>
            </w:tcBorders>
          </w:tcPr>
          <w:p>
            <w:pPr>
              <w:rPr>
                <w:sz w:val="2"/>
                <w:szCs w:val="2"/>
              </w:rPr>
            </w:pPr>
          </w:p>
        </w:tc>
        <w:tc>
          <w:tcPr>
            <w:tcW w:w="2627" w:type="dxa"/>
          </w:tcPr>
          <w:p>
            <w:pPr>
              <w:pStyle w:val="TableParagraph"/>
              <w:spacing w:line="205" w:lineRule="exact"/>
              <w:ind w:left="400"/>
              <w:rPr>
                <w:sz w:val="20"/>
              </w:rPr>
            </w:pPr>
            <w:r>
              <w:rPr>
                <w:sz w:val="20"/>
              </w:rPr>
              <w:t>Service</w:t>
            </w:r>
            <w:r>
              <w:rPr>
                <w:spacing w:val="-9"/>
                <w:sz w:val="20"/>
              </w:rPr>
              <w:t> </w:t>
            </w:r>
            <w:r>
              <w:rPr>
                <w:spacing w:val="-2"/>
                <w:sz w:val="20"/>
              </w:rPr>
              <w:t>Staff</w:t>
            </w:r>
          </w:p>
        </w:tc>
        <w:tc>
          <w:tcPr>
            <w:tcW w:w="701" w:type="dxa"/>
          </w:tcPr>
          <w:p>
            <w:pPr>
              <w:pStyle w:val="TableParagraph"/>
              <w:spacing w:line="205" w:lineRule="exact"/>
              <w:ind w:left="27"/>
              <w:jc w:val="center"/>
              <w:rPr>
                <w:sz w:val="20"/>
              </w:rPr>
            </w:pPr>
            <w:r>
              <w:rPr>
                <w:spacing w:val="-10"/>
                <w:sz w:val="20"/>
              </w:rPr>
              <w:t>7</w:t>
            </w:r>
          </w:p>
        </w:tc>
        <w:tc>
          <w:tcPr>
            <w:tcW w:w="702" w:type="dxa"/>
          </w:tcPr>
          <w:p>
            <w:pPr>
              <w:pStyle w:val="TableParagraph"/>
              <w:spacing w:line="205" w:lineRule="exact"/>
              <w:ind w:left="64" w:right="5"/>
              <w:jc w:val="center"/>
              <w:rPr>
                <w:sz w:val="20"/>
              </w:rPr>
            </w:pPr>
            <w:r>
              <w:rPr>
                <w:spacing w:val="-5"/>
                <w:sz w:val="20"/>
              </w:rPr>
              <w:t>3.4</w:t>
            </w:r>
          </w:p>
        </w:tc>
        <w:tc>
          <w:tcPr>
            <w:tcW w:w="575" w:type="dxa"/>
          </w:tcPr>
          <w:p>
            <w:pPr>
              <w:pStyle w:val="TableParagraph"/>
              <w:spacing w:line="205" w:lineRule="exact"/>
              <w:ind w:left="46" w:right="2"/>
              <w:jc w:val="center"/>
              <w:rPr>
                <w:sz w:val="20"/>
              </w:rPr>
            </w:pPr>
            <w:r>
              <w:rPr>
                <w:spacing w:val="-10"/>
                <w:sz w:val="20"/>
              </w:rPr>
              <w:t>4</w:t>
            </w:r>
          </w:p>
        </w:tc>
        <w:tc>
          <w:tcPr>
            <w:tcW w:w="731" w:type="dxa"/>
          </w:tcPr>
          <w:p>
            <w:pPr>
              <w:pStyle w:val="TableParagraph"/>
              <w:spacing w:line="205" w:lineRule="exact"/>
              <w:ind w:left="69" w:right="68"/>
              <w:jc w:val="center"/>
              <w:rPr>
                <w:sz w:val="20"/>
              </w:rPr>
            </w:pPr>
            <w:r>
              <w:rPr>
                <w:spacing w:val="-5"/>
                <w:sz w:val="20"/>
              </w:rPr>
              <w:t>2.0</w:t>
            </w:r>
          </w:p>
        </w:tc>
        <w:tc>
          <w:tcPr>
            <w:tcW w:w="741" w:type="dxa"/>
          </w:tcPr>
          <w:p>
            <w:pPr>
              <w:pStyle w:val="TableParagraph"/>
              <w:spacing w:line="205" w:lineRule="exact"/>
              <w:ind w:right="33"/>
              <w:jc w:val="center"/>
              <w:rPr>
                <w:sz w:val="20"/>
              </w:rPr>
            </w:pPr>
            <w:r>
              <w:rPr>
                <w:spacing w:val="-5"/>
                <w:sz w:val="20"/>
              </w:rPr>
              <w:t>111</w:t>
            </w:r>
          </w:p>
        </w:tc>
        <w:tc>
          <w:tcPr>
            <w:tcW w:w="847" w:type="dxa"/>
          </w:tcPr>
          <w:p>
            <w:pPr>
              <w:pStyle w:val="TableParagraph"/>
              <w:spacing w:line="205" w:lineRule="exact"/>
              <w:ind w:left="27"/>
              <w:jc w:val="center"/>
              <w:rPr>
                <w:sz w:val="20"/>
              </w:rPr>
            </w:pPr>
            <w:r>
              <w:rPr>
                <w:spacing w:val="-4"/>
                <w:sz w:val="20"/>
              </w:rPr>
              <w:t>54.7</w:t>
            </w:r>
          </w:p>
        </w:tc>
        <w:tc>
          <w:tcPr>
            <w:tcW w:w="739" w:type="dxa"/>
          </w:tcPr>
          <w:p>
            <w:pPr>
              <w:pStyle w:val="TableParagraph"/>
              <w:spacing w:line="205" w:lineRule="exact"/>
              <w:ind w:left="75" w:right="6"/>
              <w:jc w:val="center"/>
              <w:rPr>
                <w:sz w:val="20"/>
              </w:rPr>
            </w:pPr>
            <w:r>
              <w:rPr>
                <w:spacing w:val="-5"/>
                <w:sz w:val="20"/>
              </w:rPr>
              <w:t>57</w:t>
            </w:r>
          </w:p>
        </w:tc>
        <w:tc>
          <w:tcPr>
            <w:tcW w:w="773" w:type="dxa"/>
          </w:tcPr>
          <w:p>
            <w:pPr>
              <w:pStyle w:val="TableParagraph"/>
              <w:spacing w:line="205" w:lineRule="exact"/>
              <w:ind w:left="66" w:right="65"/>
              <w:jc w:val="center"/>
              <w:rPr>
                <w:sz w:val="20"/>
              </w:rPr>
            </w:pPr>
            <w:r>
              <w:rPr>
                <w:spacing w:val="-4"/>
                <w:sz w:val="20"/>
              </w:rPr>
              <w:t>28.1</w:t>
            </w:r>
          </w:p>
        </w:tc>
        <w:tc>
          <w:tcPr>
            <w:tcW w:w="627" w:type="dxa"/>
          </w:tcPr>
          <w:p>
            <w:pPr>
              <w:pStyle w:val="TableParagraph"/>
              <w:spacing w:line="205" w:lineRule="exact"/>
              <w:ind w:left="27" w:right="10"/>
              <w:jc w:val="center"/>
              <w:rPr>
                <w:sz w:val="20"/>
              </w:rPr>
            </w:pPr>
            <w:r>
              <w:rPr>
                <w:spacing w:val="-5"/>
                <w:sz w:val="20"/>
              </w:rPr>
              <w:t>24</w:t>
            </w:r>
          </w:p>
        </w:tc>
        <w:tc>
          <w:tcPr>
            <w:tcW w:w="771" w:type="dxa"/>
          </w:tcPr>
          <w:p>
            <w:pPr>
              <w:pStyle w:val="TableParagraph"/>
              <w:spacing w:line="205" w:lineRule="exact"/>
              <w:ind w:left="59" w:right="14"/>
              <w:jc w:val="center"/>
              <w:rPr>
                <w:sz w:val="20"/>
              </w:rPr>
            </w:pPr>
            <w:r>
              <w:rPr>
                <w:spacing w:val="-4"/>
                <w:sz w:val="20"/>
              </w:rPr>
              <w:t>11.8</w:t>
            </w:r>
          </w:p>
        </w:tc>
        <w:tc>
          <w:tcPr>
            <w:tcW w:w="692" w:type="dxa"/>
          </w:tcPr>
          <w:p>
            <w:pPr>
              <w:pStyle w:val="TableParagraph"/>
              <w:spacing w:line="205" w:lineRule="exact"/>
              <w:ind w:left="25" w:right="13"/>
              <w:jc w:val="center"/>
              <w:rPr>
                <w:sz w:val="20"/>
              </w:rPr>
            </w:pPr>
            <w:r>
              <w:rPr>
                <w:spacing w:val="-5"/>
                <w:sz w:val="20"/>
              </w:rPr>
              <w:t>203</w:t>
            </w:r>
          </w:p>
        </w:tc>
        <w:tc>
          <w:tcPr>
            <w:tcW w:w="739" w:type="dxa"/>
            <w:tcBorders>
              <w:right w:val="single" w:sz="4" w:space="0" w:color="000000"/>
            </w:tcBorders>
          </w:tcPr>
          <w:p>
            <w:pPr>
              <w:pStyle w:val="TableParagraph"/>
              <w:spacing w:line="205" w:lineRule="exact"/>
              <w:ind w:left="38" w:right="2"/>
              <w:jc w:val="center"/>
              <w:rPr>
                <w:sz w:val="20"/>
              </w:rPr>
            </w:pPr>
            <w:r>
              <w:rPr>
                <w:spacing w:val="-4"/>
                <w:sz w:val="20"/>
              </w:rPr>
              <w:t>43.8</w:t>
            </w:r>
          </w:p>
        </w:tc>
      </w:tr>
      <w:tr>
        <w:trPr>
          <w:trHeight w:val="227" w:hRule="atLeast"/>
        </w:trPr>
        <w:tc>
          <w:tcPr>
            <w:tcW w:w="3497" w:type="dxa"/>
            <w:vMerge/>
            <w:tcBorders>
              <w:top w:val="nil"/>
              <w:left w:val="single" w:sz="4" w:space="0" w:color="000000"/>
              <w:bottom w:val="single" w:sz="4" w:space="0" w:color="000000"/>
            </w:tcBorders>
          </w:tcPr>
          <w:p>
            <w:pPr>
              <w:rPr>
                <w:sz w:val="2"/>
                <w:szCs w:val="2"/>
              </w:rPr>
            </w:pPr>
          </w:p>
        </w:tc>
        <w:tc>
          <w:tcPr>
            <w:tcW w:w="2627" w:type="dxa"/>
            <w:tcBorders>
              <w:bottom w:val="single" w:sz="4" w:space="0" w:color="000000"/>
            </w:tcBorders>
          </w:tcPr>
          <w:p>
            <w:pPr>
              <w:pStyle w:val="TableParagraph"/>
              <w:spacing w:line="208" w:lineRule="exact"/>
              <w:ind w:left="400"/>
              <w:rPr>
                <w:sz w:val="20"/>
              </w:rPr>
            </w:pPr>
            <w:r>
              <w:rPr>
                <w:sz w:val="20"/>
              </w:rPr>
              <w:t>Top</w:t>
            </w:r>
            <w:r>
              <w:rPr>
                <w:spacing w:val="-1"/>
                <w:sz w:val="20"/>
              </w:rPr>
              <w:t> </w:t>
            </w:r>
            <w:r>
              <w:rPr>
                <w:spacing w:val="-2"/>
                <w:sz w:val="20"/>
              </w:rPr>
              <w:t>Management</w:t>
            </w:r>
          </w:p>
        </w:tc>
        <w:tc>
          <w:tcPr>
            <w:tcW w:w="701" w:type="dxa"/>
            <w:tcBorders>
              <w:bottom w:val="single" w:sz="4" w:space="0" w:color="000000"/>
            </w:tcBorders>
          </w:tcPr>
          <w:p>
            <w:pPr>
              <w:pStyle w:val="TableParagraph"/>
              <w:spacing w:line="208" w:lineRule="exact"/>
              <w:ind w:left="27" w:right="7"/>
              <w:jc w:val="center"/>
              <w:rPr>
                <w:sz w:val="20"/>
              </w:rPr>
            </w:pPr>
            <w:r>
              <w:rPr>
                <w:spacing w:val="-10"/>
                <w:sz w:val="20"/>
              </w:rPr>
              <w:t>-</w:t>
            </w:r>
          </w:p>
        </w:tc>
        <w:tc>
          <w:tcPr>
            <w:tcW w:w="702" w:type="dxa"/>
            <w:tcBorders>
              <w:bottom w:val="single" w:sz="4" w:space="0" w:color="000000"/>
            </w:tcBorders>
          </w:tcPr>
          <w:p>
            <w:pPr>
              <w:pStyle w:val="TableParagraph"/>
              <w:spacing w:line="208" w:lineRule="exact"/>
              <w:ind w:left="64" w:right="7"/>
              <w:jc w:val="center"/>
              <w:rPr>
                <w:sz w:val="20"/>
              </w:rPr>
            </w:pPr>
            <w:r>
              <w:rPr>
                <w:spacing w:val="-10"/>
                <w:sz w:val="20"/>
              </w:rPr>
              <w:t>-</w:t>
            </w:r>
          </w:p>
        </w:tc>
        <w:tc>
          <w:tcPr>
            <w:tcW w:w="575" w:type="dxa"/>
            <w:tcBorders>
              <w:bottom w:val="single" w:sz="4" w:space="0" w:color="000000"/>
            </w:tcBorders>
          </w:tcPr>
          <w:p>
            <w:pPr>
              <w:pStyle w:val="TableParagraph"/>
              <w:spacing w:line="208" w:lineRule="exact"/>
              <w:ind w:left="46" w:right="2"/>
              <w:jc w:val="center"/>
              <w:rPr>
                <w:sz w:val="20"/>
              </w:rPr>
            </w:pPr>
            <w:r>
              <w:rPr>
                <w:spacing w:val="-10"/>
                <w:sz w:val="20"/>
              </w:rPr>
              <w:t>1</w:t>
            </w:r>
          </w:p>
        </w:tc>
        <w:tc>
          <w:tcPr>
            <w:tcW w:w="731" w:type="dxa"/>
            <w:tcBorders>
              <w:bottom w:val="single" w:sz="4" w:space="0" w:color="000000"/>
            </w:tcBorders>
          </w:tcPr>
          <w:p>
            <w:pPr>
              <w:pStyle w:val="TableParagraph"/>
              <w:spacing w:line="208" w:lineRule="exact"/>
              <w:ind w:left="69" w:right="68"/>
              <w:jc w:val="center"/>
              <w:rPr>
                <w:sz w:val="20"/>
              </w:rPr>
            </w:pPr>
            <w:r>
              <w:rPr>
                <w:spacing w:val="-5"/>
                <w:sz w:val="20"/>
              </w:rPr>
              <w:t>4.3</w:t>
            </w:r>
          </w:p>
        </w:tc>
        <w:tc>
          <w:tcPr>
            <w:tcW w:w="741" w:type="dxa"/>
            <w:tcBorders>
              <w:bottom w:val="single" w:sz="4" w:space="0" w:color="000000"/>
            </w:tcBorders>
          </w:tcPr>
          <w:p>
            <w:pPr>
              <w:pStyle w:val="TableParagraph"/>
              <w:spacing w:line="208" w:lineRule="exact"/>
              <w:ind w:left="5" w:right="33"/>
              <w:jc w:val="center"/>
              <w:rPr>
                <w:sz w:val="20"/>
              </w:rPr>
            </w:pPr>
            <w:r>
              <w:rPr>
                <w:spacing w:val="-5"/>
                <w:sz w:val="20"/>
              </w:rPr>
              <w:t>15</w:t>
            </w:r>
          </w:p>
        </w:tc>
        <w:tc>
          <w:tcPr>
            <w:tcW w:w="847" w:type="dxa"/>
            <w:tcBorders>
              <w:bottom w:val="single" w:sz="4" w:space="0" w:color="000000"/>
            </w:tcBorders>
          </w:tcPr>
          <w:p>
            <w:pPr>
              <w:pStyle w:val="TableParagraph"/>
              <w:spacing w:line="208" w:lineRule="exact"/>
              <w:ind w:left="27"/>
              <w:jc w:val="center"/>
              <w:rPr>
                <w:sz w:val="20"/>
              </w:rPr>
            </w:pPr>
            <w:r>
              <w:rPr>
                <w:spacing w:val="-4"/>
                <w:sz w:val="20"/>
              </w:rPr>
              <w:t>65.2</w:t>
            </w:r>
          </w:p>
        </w:tc>
        <w:tc>
          <w:tcPr>
            <w:tcW w:w="739" w:type="dxa"/>
            <w:tcBorders>
              <w:bottom w:val="single" w:sz="4" w:space="0" w:color="000000"/>
            </w:tcBorders>
          </w:tcPr>
          <w:p>
            <w:pPr>
              <w:pStyle w:val="TableParagraph"/>
              <w:spacing w:line="208" w:lineRule="exact"/>
              <w:ind w:left="75" w:right="2"/>
              <w:jc w:val="center"/>
              <w:rPr>
                <w:sz w:val="20"/>
              </w:rPr>
            </w:pPr>
            <w:r>
              <w:rPr>
                <w:spacing w:val="-10"/>
                <w:sz w:val="20"/>
              </w:rPr>
              <w:t>3</w:t>
            </w:r>
          </w:p>
        </w:tc>
        <w:tc>
          <w:tcPr>
            <w:tcW w:w="773" w:type="dxa"/>
            <w:tcBorders>
              <w:bottom w:val="single" w:sz="4" w:space="0" w:color="000000"/>
            </w:tcBorders>
          </w:tcPr>
          <w:p>
            <w:pPr>
              <w:pStyle w:val="TableParagraph"/>
              <w:spacing w:line="208" w:lineRule="exact"/>
              <w:ind w:left="66" w:right="65"/>
              <w:jc w:val="center"/>
              <w:rPr>
                <w:sz w:val="20"/>
              </w:rPr>
            </w:pPr>
            <w:r>
              <w:rPr>
                <w:spacing w:val="-4"/>
                <w:sz w:val="20"/>
              </w:rPr>
              <w:t>13.0</w:t>
            </w:r>
          </w:p>
        </w:tc>
        <w:tc>
          <w:tcPr>
            <w:tcW w:w="627" w:type="dxa"/>
            <w:tcBorders>
              <w:bottom w:val="single" w:sz="4" w:space="0" w:color="000000"/>
            </w:tcBorders>
          </w:tcPr>
          <w:p>
            <w:pPr>
              <w:pStyle w:val="TableParagraph"/>
              <w:spacing w:line="208" w:lineRule="exact"/>
              <w:ind w:left="32" w:right="10"/>
              <w:jc w:val="center"/>
              <w:rPr>
                <w:sz w:val="20"/>
              </w:rPr>
            </w:pPr>
            <w:r>
              <w:rPr>
                <w:spacing w:val="-10"/>
                <w:sz w:val="20"/>
              </w:rPr>
              <w:t>4</w:t>
            </w:r>
          </w:p>
        </w:tc>
        <w:tc>
          <w:tcPr>
            <w:tcW w:w="771" w:type="dxa"/>
            <w:tcBorders>
              <w:bottom w:val="single" w:sz="4" w:space="0" w:color="000000"/>
            </w:tcBorders>
          </w:tcPr>
          <w:p>
            <w:pPr>
              <w:pStyle w:val="TableParagraph"/>
              <w:spacing w:line="208" w:lineRule="exact"/>
              <w:ind w:left="59" w:right="14"/>
              <w:jc w:val="center"/>
              <w:rPr>
                <w:sz w:val="20"/>
              </w:rPr>
            </w:pPr>
            <w:r>
              <w:rPr>
                <w:spacing w:val="-4"/>
                <w:sz w:val="20"/>
              </w:rPr>
              <w:t>17.4</w:t>
            </w:r>
          </w:p>
        </w:tc>
        <w:tc>
          <w:tcPr>
            <w:tcW w:w="692" w:type="dxa"/>
            <w:tcBorders>
              <w:bottom w:val="single" w:sz="4" w:space="0" w:color="000000"/>
            </w:tcBorders>
          </w:tcPr>
          <w:p>
            <w:pPr>
              <w:pStyle w:val="TableParagraph"/>
              <w:spacing w:line="208" w:lineRule="exact"/>
              <w:ind w:left="30" w:right="13"/>
              <w:jc w:val="center"/>
              <w:rPr>
                <w:sz w:val="20"/>
              </w:rPr>
            </w:pPr>
            <w:r>
              <w:rPr>
                <w:spacing w:val="-5"/>
                <w:sz w:val="20"/>
              </w:rPr>
              <w:t>23</w:t>
            </w:r>
          </w:p>
        </w:tc>
        <w:tc>
          <w:tcPr>
            <w:tcW w:w="739" w:type="dxa"/>
            <w:tcBorders>
              <w:bottom w:val="single" w:sz="4" w:space="0" w:color="000000"/>
              <w:right w:val="single" w:sz="4" w:space="0" w:color="000000"/>
            </w:tcBorders>
          </w:tcPr>
          <w:p>
            <w:pPr>
              <w:pStyle w:val="TableParagraph"/>
              <w:spacing w:line="208" w:lineRule="exact"/>
              <w:ind w:left="36" w:right="5"/>
              <w:jc w:val="center"/>
              <w:rPr>
                <w:sz w:val="20"/>
              </w:rPr>
            </w:pPr>
            <w:r>
              <w:rPr>
                <w:spacing w:val="-5"/>
                <w:sz w:val="20"/>
              </w:rPr>
              <w:t>5.0</w:t>
            </w:r>
          </w:p>
        </w:tc>
      </w:tr>
    </w:tbl>
    <w:p>
      <w:pPr>
        <w:spacing w:after="0" w:line="208" w:lineRule="exact"/>
        <w:jc w:val="center"/>
        <w:rPr>
          <w:sz w:val="20"/>
        </w:rPr>
        <w:sectPr>
          <w:headerReference w:type="default" r:id="rId265"/>
          <w:footerReference w:type="default" r:id="rId266"/>
          <w:pgSz w:w="15840" w:h="12240" w:orient="landscape"/>
          <w:pgMar w:header="722" w:footer="791" w:top="1340" w:bottom="980" w:left="500" w:right="360"/>
        </w:sectPr>
      </w:pPr>
    </w:p>
    <w:p>
      <w:pPr>
        <w:pStyle w:val="BodyText"/>
        <w:spacing w:line="480" w:lineRule="auto" w:before="82"/>
        <w:ind w:left="831" w:right="113" w:firstLine="720"/>
        <w:jc w:val="both"/>
      </w:pPr>
      <w:r>
        <w:rPr/>
        <w:t>On whether or not catering services existed and how adequate they were, two groups of respondents upheld that Catering, Cafeteria, Bukateria, Canteen and restaurants were adequately available in the universities. This was obtained in the consensus between the students and service staff with 38.6 percent and 41.9 percent, respectively. However, this view was not shared by 33.6 percent, 32.5 percent and 30.4 percent of students, service staff and top management; respectively. The 30.4 percent which agreed that cafeteria services were not adequate might be attributed to more catering joints introduced by Private individuals on the campuses.</w:t>
      </w:r>
    </w:p>
    <w:p>
      <w:pPr>
        <w:pStyle w:val="BodyText"/>
        <w:spacing w:line="480" w:lineRule="auto"/>
        <w:ind w:left="831" w:right="114" w:firstLine="720"/>
        <w:jc w:val="both"/>
      </w:pPr>
      <w:r>
        <w:rPr/>
        <w:t>As to whether or not university accommodation were adequately available, there was a general concur that hostel accommodation were adequate. This is shown by the 68.5 percent of students, 61.1 percent of service staff and 21.7 percent of top management staff who were in agreement. On the other hand 20.0 percent, 26.1 percent and 21,7 percent of students, service staff and top management staff respectively did not share this view. While 9.8 percent, 8.9 percent and 13.0 percent expressed the view that such facility did not exist in the universities. This might be attributed to the fact that some of the Universities did not provide hostel accommodation rather they were managed by Private individuals.</w:t>
      </w:r>
    </w:p>
    <w:p>
      <w:pPr>
        <w:pStyle w:val="BodyText"/>
        <w:spacing w:line="480" w:lineRule="auto" w:before="1"/>
        <w:ind w:left="831" w:right="117" w:firstLine="720"/>
        <w:jc w:val="both"/>
      </w:pPr>
      <w:r>
        <w:rPr/>
        <w:t>The opinion of the majority of respondents on the availability and adequacy</w:t>
      </w:r>
      <w:r>
        <w:rPr>
          <w:spacing w:val="40"/>
        </w:rPr>
        <w:t> </w:t>
      </w:r>
      <w:r>
        <w:rPr/>
        <w:t>of Guidance and Counselling in the university showed that Universities in the three geopolitical zones in the Northern part of Nigeria had seen the need for students’ Guidance and Counselling as a means for giving students useful directions. This was revealed</w:t>
      </w:r>
      <w:r>
        <w:rPr>
          <w:spacing w:val="2"/>
        </w:rPr>
        <w:t> </w:t>
      </w:r>
      <w:r>
        <w:rPr/>
        <w:t>by</w:t>
      </w:r>
      <w:r>
        <w:rPr>
          <w:spacing w:val="-3"/>
        </w:rPr>
        <w:t> </w:t>
      </w:r>
      <w:r>
        <w:rPr/>
        <w:t>the</w:t>
      </w:r>
      <w:r>
        <w:rPr>
          <w:spacing w:val="-2"/>
        </w:rPr>
        <w:t> </w:t>
      </w:r>
      <w:r>
        <w:rPr/>
        <w:t>consensus of</w:t>
      </w:r>
      <w:r>
        <w:rPr>
          <w:spacing w:val="1"/>
        </w:rPr>
        <w:t> </w:t>
      </w:r>
      <w:r>
        <w:rPr/>
        <w:t>respondents</w:t>
      </w:r>
      <w:r>
        <w:rPr>
          <w:spacing w:val="1"/>
        </w:rPr>
        <w:t> </w:t>
      </w:r>
      <w:r>
        <w:rPr/>
        <w:t>with</w:t>
      </w:r>
      <w:r>
        <w:rPr>
          <w:spacing w:val="2"/>
        </w:rPr>
        <w:t> </w:t>
      </w:r>
      <w:r>
        <w:rPr/>
        <w:t>48.9</w:t>
      </w:r>
      <w:r>
        <w:rPr>
          <w:spacing w:val="2"/>
        </w:rPr>
        <w:t> </w:t>
      </w:r>
      <w:r>
        <w:rPr/>
        <w:t>percent,</w:t>
      </w:r>
      <w:r>
        <w:rPr>
          <w:spacing w:val="1"/>
        </w:rPr>
        <w:t> </w:t>
      </w:r>
      <w:r>
        <w:rPr/>
        <w:t>38.4</w:t>
      </w:r>
      <w:r>
        <w:rPr>
          <w:spacing w:val="2"/>
        </w:rPr>
        <w:t> </w:t>
      </w:r>
      <w:r>
        <w:rPr/>
        <w:t>percent</w:t>
      </w:r>
      <w:r>
        <w:rPr>
          <w:spacing w:val="-3"/>
        </w:rPr>
        <w:t> </w:t>
      </w:r>
      <w:r>
        <w:rPr>
          <w:spacing w:val="-5"/>
        </w:rPr>
        <w:t>and</w:t>
      </w:r>
    </w:p>
    <w:p>
      <w:pPr>
        <w:spacing w:after="0" w:line="480" w:lineRule="auto"/>
        <w:jc w:val="both"/>
        <w:sectPr>
          <w:headerReference w:type="default" r:id="rId267"/>
          <w:footerReference w:type="default" r:id="rId268"/>
          <w:pgSz w:w="12240" w:h="15840"/>
          <w:pgMar w:header="722" w:footer="791" w:top="1340" w:bottom="980" w:left="1040" w:right="1320"/>
          <w:pgNumType w:start="113"/>
        </w:sectPr>
      </w:pPr>
    </w:p>
    <w:p>
      <w:pPr>
        <w:pStyle w:val="BodyText"/>
        <w:spacing w:before="82"/>
        <w:ind w:left="831"/>
        <w:jc w:val="both"/>
      </w:pPr>
      <w:r>
        <w:rPr/>
        <w:t>47.8</w:t>
      </w:r>
      <w:r>
        <w:rPr>
          <w:spacing w:val="10"/>
        </w:rPr>
        <w:t> </w:t>
      </w:r>
      <w:r>
        <w:rPr/>
        <w:t>percent</w:t>
      </w:r>
      <w:r>
        <w:rPr>
          <w:spacing w:val="11"/>
        </w:rPr>
        <w:t> </w:t>
      </w:r>
      <w:r>
        <w:rPr/>
        <w:t>of</w:t>
      </w:r>
      <w:r>
        <w:rPr>
          <w:spacing w:val="11"/>
        </w:rPr>
        <w:t> </w:t>
      </w:r>
      <w:r>
        <w:rPr/>
        <w:t>students,</w:t>
      </w:r>
      <w:r>
        <w:rPr>
          <w:spacing w:val="11"/>
        </w:rPr>
        <w:t> </w:t>
      </w:r>
      <w:r>
        <w:rPr/>
        <w:t>service</w:t>
      </w:r>
      <w:r>
        <w:rPr>
          <w:spacing w:val="11"/>
        </w:rPr>
        <w:t> </w:t>
      </w:r>
      <w:r>
        <w:rPr/>
        <w:t>staff</w:t>
      </w:r>
      <w:r>
        <w:rPr>
          <w:spacing w:val="6"/>
        </w:rPr>
        <w:t> </w:t>
      </w:r>
      <w:r>
        <w:rPr/>
        <w:t>and</w:t>
      </w:r>
      <w:r>
        <w:rPr>
          <w:spacing w:val="11"/>
        </w:rPr>
        <w:t> </w:t>
      </w:r>
      <w:r>
        <w:rPr/>
        <w:t>top</w:t>
      </w:r>
      <w:r>
        <w:rPr>
          <w:spacing w:val="11"/>
        </w:rPr>
        <w:t> </w:t>
      </w:r>
      <w:r>
        <w:rPr/>
        <w:t>management</w:t>
      </w:r>
      <w:r>
        <w:rPr>
          <w:spacing w:val="10"/>
        </w:rPr>
        <w:t> </w:t>
      </w:r>
      <w:r>
        <w:rPr/>
        <w:t>respectively.</w:t>
      </w:r>
      <w:r>
        <w:rPr>
          <w:spacing w:val="11"/>
        </w:rPr>
        <w:t> </w:t>
      </w:r>
      <w:r>
        <w:rPr>
          <w:spacing w:val="-2"/>
        </w:rPr>
        <w:t>Although</w:t>
      </w:r>
    </w:p>
    <w:p>
      <w:pPr>
        <w:pStyle w:val="BodyText"/>
      </w:pPr>
    </w:p>
    <w:p>
      <w:pPr>
        <w:pStyle w:val="BodyText"/>
        <w:spacing w:line="480" w:lineRule="auto"/>
        <w:ind w:left="831" w:right="116"/>
        <w:jc w:val="both"/>
      </w:pPr>
      <w:r>
        <w:rPr/>
        <w:t>35.5 percent, 38.4 percent and 43.5 percent of students, service staff and top management</w:t>
      </w:r>
      <w:r>
        <w:rPr>
          <w:spacing w:val="24"/>
        </w:rPr>
        <w:t> </w:t>
      </w:r>
      <w:r>
        <w:rPr/>
        <w:t>staff</w:t>
      </w:r>
      <w:r>
        <w:rPr>
          <w:spacing w:val="25"/>
        </w:rPr>
        <w:t> </w:t>
      </w:r>
      <w:r>
        <w:rPr/>
        <w:t>expressed</w:t>
      </w:r>
      <w:r>
        <w:rPr>
          <w:spacing w:val="25"/>
        </w:rPr>
        <w:t> </w:t>
      </w:r>
      <w:r>
        <w:rPr/>
        <w:t>the</w:t>
      </w:r>
      <w:r>
        <w:rPr>
          <w:spacing w:val="22"/>
        </w:rPr>
        <w:t> </w:t>
      </w:r>
      <w:r>
        <w:rPr/>
        <w:t>inadequacy</w:t>
      </w:r>
      <w:r>
        <w:rPr>
          <w:spacing w:val="24"/>
        </w:rPr>
        <w:t> </w:t>
      </w:r>
      <w:r>
        <w:rPr/>
        <w:t>and</w:t>
      </w:r>
      <w:r>
        <w:rPr>
          <w:spacing w:val="26"/>
        </w:rPr>
        <w:t> </w:t>
      </w:r>
      <w:r>
        <w:rPr/>
        <w:t>12.3</w:t>
      </w:r>
      <w:r>
        <w:rPr>
          <w:spacing w:val="25"/>
        </w:rPr>
        <w:t> </w:t>
      </w:r>
      <w:r>
        <w:rPr/>
        <w:t>percent,</w:t>
      </w:r>
      <w:r>
        <w:rPr>
          <w:spacing w:val="25"/>
        </w:rPr>
        <w:t> </w:t>
      </w:r>
      <w:r>
        <w:rPr/>
        <w:t>14.8</w:t>
      </w:r>
      <w:r>
        <w:rPr>
          <w:spacing w:val="25"/>
        </w:rPr>
        <w:t> </w:t>
      </w:r>
      <w:r>
        <w:rPr/>
        <w:t>percent</w:t>
      </w:r>
      <w:r>
        <w:rPr>
          <w:spacing w:val="21"/>
        </w:rPr>
        <w:t> </w:t>
      </w:r>
      <w:r>
        <w:rPr>
          <w:spacing w:val="-5"/>
        </w:rPr>
        <w:t>and</w:t>
      </w:r>
    </w:p>
    <w:p>
      <w:pPr>
        <w:pStyle w:val="BodyText"/>
        <w:spacing w:line="480" w:lineRule="auto"/>
        <w:ind w:left="831" w:right="118"/>
        <w:jc w:val="both"/>
      </w:pPr>
      <w:r>
        <w:rPr/>
        <w:t>8.7 percent revealed the non-availability of catering services, it is obvious from</w:t>
      </w:r>
      <w:r>
        <w:rPr>
          <w:spacing w:val="40"/>
        </w:rPr>
        <w:t> </w:t>
      </w:r>
      <w:r>
        <w:rPr/>
        <w:t>those on positive posture that most universities had adequate guidance counselling </w:t>
      </w:r>
      <w:r>
        <w:rPr>
          <w:spacing w:val="-2"/>
        </w:rPr>
        <w:t>units.</w:t>
      </w:r>
    </w:p>
    <w:p>
      <w:pPr>
        <w:pStyle w:val="BodyText"/>
        <w:spacing w:line="480" w:lineRule="auto"/>
        <w:ind w:left="831" w:right="113" w:firstLine="720"/>
        <w:jc w:val="both"/>
      </w:pPr>
      <w:r>
        <w:rPr/>
        <w:t>With the divergent opinions of respondents on the adequacy, inadequacy</w:t>
      </w:r>
      <w:r>
        <w:rPr>
          <w:spacing w:val="40"/>
        </w:rPr>
        <w:t> </w:t>
      </w:r>
      <w:r>
        <w:rPr/>
        <w:t>and non-availability</w:t>
      </w:r>
      <w:r>
        <w:rPr>
          <w:spacing w:val="-1"/>
        </w:rPr>
        <w:t> </w:t>
      </w:r>
      <w:r>
        <w:rPr/>
        <w:t>of</w:t>
      </w:r>
      <w:r>
        <w:rPr>
          <w:spacing w:val="-1"/>
        </w:rPr>
        <w:t> </w:t>
      </w:r>
      <w:r>
        <w:rPr/>
        <w:t>sports</w:t>
      </w:r>
      <w:r>
        <w:rPr>
          <w:spacing w:val="-1"/>
        </w:rPr>
        <w:t> </w:t>
      </w:r>
      <w:r>
        <w:rPr/>
        <w:t>and recreational</w:t>
      </w:r>
      <w:r>
        <w:rPr>
          <w:spacing w:val="-1"/>
        </w:rPr>
        <w:t> </w:t>
      </w:r>
      <w:r>
        <w:rPr/>
        <w:t>facilities</w:t>
      </w:r>
      <w:r>
        <w:rPr>
          <w:spacing w:val="-6"/>
        </w:rPr>
        <w:t> </w:t>
      </w:r>
      <w:r>
        <w:rPr/>
        <w:t>in the universities,</w:t>
      </w:r>
      <w:r>
        <w:rPr>
          <w:spacing w:val="-1"/>
        </w:rPr>
        <w:t> </w:t>
      </w:r>
      <w:r>
        <w:rPr/>
        <w:t>some new games and sports in the contemporary world of sports might not have been introduced due to cost implications, trained expertise and novelty. This divergence of opinions was revealed by only 48.1 percent of students who expressed its availability and adequacy while 43.8 percent and 52.2 percent of service staff and Management staff respectively disagreed that the games and sports facilities were not adequate. Yet 15.3 percent, 15.8 percent and 13.0 percent of the students, service staff and top management claimed the non-existence of the facilities.</w:t>
      </w:r>
    </w:p>
    <w:p>
      <w:pPr>
        <w:pStyle w:val="BodyText"/>
        <w:spacing w:line="480" w:lineRule="auto" w:before="1"/>
        <w:ind w:left="831" w:right="130" w:firstLine="720"/>
        <w:jc w:val="both"/>
      </w:pPr>
      <w:r>
        <w:rPr/>
        <w:t>It can be concluded that some sports and games facilities were yet to be introduced and made adequate in the universities.</w:t>
      </w:r>
    </w:p>
    <w:p>
      <w:pPr>
        <w:pStyle w:val="BodyText"/>
        <w:spacing w:line="480" w:lineRule="auto"/>
        <w:ind w:left="831" w:right="118" w:firstLine="720"/>
        <w:jc w:val="both"/>
      </w:pPr>
      <w:r>
        <w:rPr/>
        <w:t>On Security as an important protective measure in any organization, there was a general consensus in the opinions of the respondents that it was not adequate in the system. This was revealed by 45.5 percent, 44.8 percent and 60.9 percent of the students, service staff and top management, respectively. Only 35.4 percent,</w:t>
      </w:r>
      <w:r>
        <w:rPr>
          <w:spacing w:val="49"/>
        </w:rPr>
        <w:t> </w:t>
      </w:r>
      <w:r>
        <w:rPr/>
        <w:t>36.5</w:t>
      </w:r>
      <w:r>
        <w:rPr>
          <w:spacing w:val="51"/>
        </w:rPr>
        <w:t> </w:t>
      </w:r>
      <w:r>
        <w:rPr/>
        <w:t>and</w:t>
      </w:r>
      <w:r>
        <w:rPr>
          <w:spacing w:val="51"/>
        </w:rPr>
        <w:t> </w:t>
      </w:r>
      <w:r>
        <w:rPr/>
        <w:t>30.4</w:t>
      </w:r>
      <w:r>
        <w:rPr>
          <w:spacing w:val="51"/>
        </w:rPr>
        <w:t> </w:t>
      </w:r>
      <w:r>
        <w:rPr/>
        <w:t>of</w:t>
      </w:r>
      <w:r>
        <w:rPr>
          <w:spacing w:val="50"/>
        </w:rPr>
        <w:t> </w:t>
      </w:r>
      <w:r>
        <w:rPr/>
        <w:t>students,</w:t>
      </w:r>
      <w:r>
        <w:rPr>
          <w:spacing w:val="50"/>
        </w:rPr>
        <w:t> </w:t>
      </w:r>
      <w:r>
        <w:rPr/>
        <w:t>service</w:t>
      </w:r>
      <w:r>
        <w:rPr>
          <w:spacing w:val="46"/>
        </w:rPr>
        <w:t> </w:t>
      </w:r>
      <w:r>
        <w:rPr/>
        <w:t>staff</w:t>
      </w:r>
      <w:r>
        <w:rPr>
          <w:spacing w:val="50"/>
        </w:rPr>
        <w:t> </w:t>
      </w:r>
      <w:r>
        <w:rPr/>
        <w:t>and</w:t>
      </w:r>
      <w:r>
        <w:rPr>
          <w:spacing w:val="51"/>
        </w:rPr>
        <w:t> </w:t>
      </w:r>
      <w:r>
        <w:rPr/>
        <w:t>top</w:t>
      </w:r>
      <w:r>
        <w:rPr>
          <w:spacing w:val="51"/>
        </w:rPr>
        <w:t> </w:t>
      </w:r>
      <w:r>
        <w:rPr/>
        <w:t>management</w:t>
      </w:r>
      <w:r>
        <w:rPr>
          <w:spacing w:val="50"/>
        </w:rPr>
        <w:t> </w:t>
      </w:r>
      <w:r>
        <w:rPr>
          <w:spacing w:val="-2"/>
        </w:rPr>
        <w:t>claimed</w:t>
      </w:r>
    </w:p>
    <w:p>
      <w:pPr>
        <w:spacing w:after="0" w:line="480" w:lineRule="auto"/>
        <w:jc w:val="both"/>
        <w:sectPr>
          <w:headerReference w:type="default" r:id="rId269"/>
          <w:footerReference w:type="default" r:id="rId270"/>
          <w:pgSz w:w="12240" w:h="15840"/>
          <w:pgMar w:header="722" w:footer="791" w:top="1340" w:bottom="980" w:left="1040" w:right="1320"/>
        </w:sectPr>
      </w:pPr>
    </w:p>
    <w:p>
      <w:pPr>
        <w:pStyle w:val="BodyText"/>
        <w:spacing w:line="480" w:lineRule="auto" w:before="82"/>
        <w:ind w:left="831" w:right="121"/>
        <w:jc w:val="both"/>
      </w:pPr>
      <w:r>
        <w:rPr/>
        <w:t>adequacy while 17.0 percent, 14.3 percent and 8.7 percent revealed that the security was not provided.</w:t>
      </w:r>
    </w:p>
    <w:p>
      <w:pPr>
        <w:pStyle w:val="BodyText"/>
        <w:spacing w:line="480" w:lineRule="auto"/>
        <w:ind w:left="831" w:right="115" w:firstLine="720"/>
        <w:jc w:val="both"/>
      </w:pPr>
      <w:r>
        <w:rPr/>
        <w:t>Transportation services were believed to be available and adequate in the universities</w:t>
      </w:r>
      <w:r>
        <w:rPr>
          <w:spacing w:val="-1"/>
        </w:rPr>
        <w:t> </w:t>
      </w:r>
      <w:r>
        <w:rPr/>
        <w:t>as</w:t>
      </w:r>
      <w:r>
        <w:rPr>
          <w:spacing w:val="-1"/>
        </w:rPr>
        <w:t> </w:t>
      </w:r>
      <w:r>
        <w:rPr/>
        <w:t>agreed</w:t>
      </w:r>
      <w:r>
        <w:rPr>
          <w:spacing w:val="-1"/>
        </w:rPr>
        <w:t> </w:t>
      </w:r>
      <w:r>
        <w:rPr/>
        <w:t>by</w:t>
      </w:r>
      <w:r>
        <w:rPr>
          <w:spacing w:val="-1"/>
        </w:rPr>
        <w:t> </w:t>
      </w:r>
      <w:r>
        <w:rPr/>
        <w:t>62.1 percent</w:t>
      </w:r>
      <w:r>
        <w:rPr>
          <w:spacing w:val="-1"/>
        </w:rPr>
        <w:t> </w:t>
      </w:r>
      <w:r>
        <w:rPr/>
        <w:t>of</w:t>
      </w:r>
      <w:r>
        <w:rPr>
          <w:spacing w:val="-1"/>
        </w:rPr>
        <w:t> </w:t>
      </w:r>
      <w:r>
        <w:rPr/>
        <w:t>students,</w:t>
      </w:r>
      <w:r>
        <w:rPr>
          <w:spacing w:val="-1"/>
        </w:rPr>
        <w:t> </w:t>
      </w:r>
      <w:r>
        <w:rPr/>
        <w:t>65.5 percent</w:t>
      </w:r>
      <w:r>
        <w:rPr>
          <w:spacing w:val="-1"/>
        </w:rPr>
        <w:t> </w:t>
      </w:r>
      <w:r>
        <w:rPr/>
        <w:t>of</w:t>
      </w:r>
      <w:r>
        <w:rPr>
          <w:spacing w:val="-1"/>
        </w:rPr>
        <w:t> </w:t>
      </w:r>
      <w:r>
        <w:rPr/>
        <w:t>service</w:t>
      </w:r>
      <w:r>
        <w:rPr>
          <w:spacing w:val="5"/>
        </w:rPr>
        <w:t> </w:t>
      </w:r>
      <w:r>
        <w:rPr/>
        <w:t>staff</w:t>
      </w:r>
      <w:r>
        <w:rPr>
          <w:spacing w:val="-1"/>
        </w:rPr>
        <w:t> </w:t>
      </w:r>
      <w:r>
        <w:rPr>
          <w:spacing w:val="-5"/>
        </w:rPr>
        <w:t>and</w:t>
      </w:r>
    </w:p>
    <w:p>
      <w:pPr>
        <w:pStyle w:val="BodyText"/>
        <w:spacing w:line="480" w:lineRule="auto"/>
        <w:ind w:left="831" w:right="117"/>
        <w:jc w:val="both"/>
      </w:pPr>
      <w:r>
        <w:rPr/>
        <w:t>52.4 percent of top management. However 28.5 percent, 25.1 percent and 30.4 of students, service staff and top management, respectively were of the view that transportation was inadequate. Those that expressed the complete absence of this facility were negligible as represented by 2.7 percent, 5.4 percent and 13.0 percent of students, service staff and top management respectively. It is likely to be concluded that most universities have transportation facilities.</w:t>
      </w:r>
    </w:p>
    <w:p>
      <w:pPr>
        <w:pStyle w:val="BodyText"/>
        <w:spacing w:line="480" w:lineRule="auto"/>
        <w:ind w:left="831" w:right="114" w:firstLine="720"/>
        <w:jc w:val="both"/>
      </w:pPr>
      <w:r>
        <w:rPr/>
        <w:t>As to whether or not Banking services were available and adequately provided to students there was an agreement in the opinions of the students and service staff that this facility is adequately available. 48.0 percent and 44.3 percent of students and service staff seemed to confirm this while 52.2 percent of the top management</w:t>
      </w:r>
      <w:r>
        <w:rPr>
          <w:spacing w:val="-3"/>
        </w:rPr>
        <w:t> </w:t>
      </w:r>
      <w:r>
        <w:rPr/>
        <w:t>disputed</w:t>
      </w:r>
      <w:r>
        <w:rPr>
          <w:spacing w:val="-2"/>
        </w:rPr>
        <w:t> </w:t>
      </w:r>
      <w:r>
        <w:rPr/>
        <w:t>the</w:t>
      </w:r>
      <w:r>
        <w:rPr>
          <w:spacing w:val="-2"/>
        </w:rPr>
        <w:t> </w:t>
      </w:r>
      <w:r>
        <w:rPr/>
        <w:t>claim, while</w:t>
      </w:r>
      <w:r>
        <w:rPr>
          <w:spacing w:val="-2"/>
        </w:rPr>
        <w:t> </w:t>
      </w:r>
      <w:r>
        <w:rPr/>
        <w:t>11.5</w:t>
      </w:r>
      <w:r>
        <w:rPr>
          <w:spacing w:val="-6"/>
        </w:rPr>
        <w:t> </w:t>
      </w:r>
      <w:r>
        <w:rPr/>
        <w:t>percent</w:t>
      </w:r>
      <w:r>
        <w:rPr>
          <w:spacing w:val="-3"/>
        </w:rPr>
        <w:t> </w:t>
      </w:r>
      <w:r>
        <w:rPr/>
        <w:t>and</w:t>
      </w:r>
      <w:r>
        <w:rPr>
          <w:spacing w:val="-2"/>
        </w:rPr>
        <w:t> </w:t>
      </w:r>
      <w:r>
        <w:rPr/>
        <w:t>9.4</w:t>
      </w:r>
      <w:r>
        <w:rPr>
          <w:spacing w:val="-6"/>
        </w:rPr>
        <w:t> </w:t>
      </w:r>
      <w:r>
        <w:rPr/>
        <w:t>percent</w:t>
      </w:r>
      <w:r>
        <w:rPr>
          <w:spacing w:val="-3"/>
        </w:rPr>
        <w:t> </w:t>
      </w:r>
      <w:r>
        <w:rPr/>
        <w:t>of</w:t>
      </w:r>
      <w:r>
        <w:rPr>
          <w:spacing w:val="-3"/>
        </w:rPr>
        <w:t> </w:t>
      </w:r>
      <w:r>
        <w:rPr/>
        <w:t>students</w:t>
      </w:r>
      <w:r>
        <w:rPr>
          <w:spacing w:val="-3"/>
        </w:rPr>
        <w:t> </w:t>
      </w:r>
      <w:r>
        <w:rPr/>
        <w:t>and service staff expressed not provided.</w:t>
      </w:r>
    </w:p>
    <w:p>
      <w:pPr>
        <w:pStyle w:val="BodyText"/>
        <w:spacing w:line="480" w:lineRule="auto" w:before="1"/>
        <w:ind w:left="831" w:right="115" w:firstLine="720"/>
        <w:jc w:val="both"/>
      </w:pPr>
      <w:r>
        <w:rPr/>
        <w:t>Item 8, which sought to find out the availability and adequacy of religious services to students as a welfare package. 52.8 percent and 53.2 percent of students and service staff were in complete agreement on the inadequacy of this facility. 91.3 percent of top management however, were of different view as they claimed that religious services were pretty adequate. 34.9 percent and 31.0 percent of students and service staff showed that religious services were absent in some </w:t>
      </w:r>
      <w:r>
        <w:rPr>
          <w:spacing w:val="-2"/>
        </w:rPr>
        <w:t>universities.</w:t>
      </w:r>
    </w:p>
    <w:p>
      <w:pPr>
        <w:spacing w:after="0" w:line="480" w:lineRule="auto"/>
        <w:jc w:val="both"/>
        <w:sectPr>
          <w:headerReference w:type="default" r:id="rId271"/>
          <w:footerReference w:type="default" r:id="rId272"/>
          <w:pgSz w:w="12240" w:h="15840"/>
          <w:pgMar w:header="722" w:footer="791" w:top="1340" w:bottom="980" w:left="1040" w:right="1320"/>
        </w:sectPr>
      </w:pPr>
    </w:p>
    <w:p>
      <w:pPr>
        <w:pStyle w:val="BodyText"/>
        <w:spacing w:line="480" w:lineRule="auto" w:before="82"/>
        <w:ind w:left="831" w:right="116" w:firstLine="720"/>
        <w:jc w:val="both"/>
      </w:pPr>
      <w:r>
        <w:rPr/>
        <w:t>On whether or not clubs, societies and associations were provided and how adequate,</w:t>
      </w:r>
      <w:r>
        <w:rPr>
          <w:spacing w:val="-3"/>
        </w:rPr>
        <w:t> </w:t>
      </w:r>
      <w:r>
        <w:rPr/>
        <w:t>55.3</w:t>
      </w:r>
      <w:r>
        <w:rPr>
          <w:spacing w:val="-6"/>
        </w:rPr>
        <w:t> </w:t>
      </w:r>
      <w:r>
        <w:rPr/>
        <w:t>percent,</w:t>
      </w:r>
      <w:r>
        <w:rPr>
          <w:spacing w:val="-3"/>
        </w:rPr>
        <w:t> </w:t>
      </w:r>
      <w:r>
        <w:rPr/>
        <w:t>44.8</w:t>
      </w:r>
      <w:r>
        <w:rPr>
          <w:spacing w:val="-2"/>
        </w:rPr>
        <w:t> </w:t>
      </w:r>
      <w:r>
        <w:rPr/>
        <w:t>percent</w:t>
      </w:r>
      <w:r>
        <w:rPr>
          <w:spacing w:val="-3"/>
        </w:rPr>
        <w:t> </w:t>
      </w:r>
      <w:r>
        <w:rPr/>
        <w:t>and</w:t>
      </w:r>
      <w:r>
        <w:rPr>
          <w:spacing w:val="-2"/>
        </w:rPr>
        <w:t> </w:t>
      </w:r>
      <w:r>
        <w:rPr/>
        <w:t>60.9</w:t>
      </w:r>
      <w:r>
        <w:rPr>
          <w:spacing w:val="-2"/>
        </w:rPr>
        <w:t> </w:t>
      </w:r>
      <w:r>
        <w:rPr/>
        <w:t>percent</w:t>
      </w:r>
      <w:r>
        <w:rPr>
          <w:spacing w:val="-3"/>
        </w:rPr>
        <w:t> </w:t>
      </w:r>
      <w:r>
        <w:rPr/>
        <w:t>of</w:t>
      </w:r>
      <w:r>
        <w:rPr>
          <w:spacing w:val="-3"/>
        </w:rPr>
        <w:t> </w:t>
      </w:r>
      <w:r>
        <w:rPr/>
        <w:t>students,</w:t>
      </w:r>
      <w:r>
        <w:rPr>
          <w:spacing w:val="-3"/>
        </w:rPr>
        <w:t> </w:t>
      </w:r>
      <w:r>
        <w:rPr/>
        <w:t>service</w:t>
      </w:r>
      <w:r>
        <w:rPr>
          <w:spacing w:val="-2"/>
        </w:rPr>
        <w:t> </w:t>
      </w:r>
      <w:r>
        <w:rPr/>
        <w:t>staff</w:t>
      </w:r>
      <w:r>
        <w:rPr>
          <w:spacing w:val="-7"/>
        </w:rPr>
        <w:t> </w:t>
      </w:r>
      <w:r>
        <w:rPr/>
        <w:t>and top</w:t>
      </w:r>
      <w:r>
        <w:rPr>
          <w:spacing w:val="8"/>
        </w:rPr>
        <w:t> </w:t>
      </w:r>
      <w:r>
        <w:rPr/>
        <w:t>management</w:t>
      </w:r>
      <w:r>
        <w:rPr>
          <w:spacing w:val="4"/>
        </w:rPr>
        <w:t> </w:t>
      </w:r>
      <w:r>
        <w:rPr/>
        <w:t>showed</w:t>
      </w:r>
      <w:r>
        <w:rPr>
          <w:spacing w:val="5"/>
        </w:rPr>
        <w:t> </w:t>
      </w:r>
      <w:r>
        <w:rPr/>
        <w:t>that</w:t>
      </w:r>
      <w:r>
        <w:rPr>
          <w:spacing w:val="5"/>
        </w:rPr>
        <w:t> </w:t>
      </w:r>
      <w:r>
        <w:rPr/>
        <w:t>such</w:t>
      </w:r>
      <w:r>
        <w:rPr>
          <w:spacing w:val="5"/>
        </w:rPr>
        <w:t> </w:t>
      </w:r>
      <w:r>
        <w:rPr/>
        <w:t>facilities</w:t>
      </w:r>
      <w:r>
        <w:rPr>
          <w:spacing w:val="-1"/>
        </w:rPr>
        <w:t> </w:t>
      </w:r>
      <w:r>
        <w:rPr/>
        <w:t>were</w:t>
      </w:r>
      <w:r>
        <w:rPr>
          <w:spacing w:val="5"/>
        </w:rPr>
        <w:t> </w:t>
      </w:r>
      <w:r>
        <w:rPr/>
        <w:t>not</w:t>
      </w:r>
      <w:r>
        <w:rPr>
          <w:spacing w:val="4"/>
        </w:rPr>
        <w:t> </w:t>
      </w:r>
      <w:r>
        <w:rPr/>
        <w:t>adequate</w:t>
      </w:r>
      <w:r>
        <w:rPr>
          <w:spacing w:val="5"/>
        </w:rPr>
        <w:t> </w:t>
      </w:r>
      <w:r>
        <w:rPr/>
        <w:t>while</w:t>
      </w:r>
      <w:r>
        <w:rPr>
          <w:spacing w:val="6"/>
        </w:rPr>
        <w:t> </w:t>
      </w:r>
      <w:r>
        <w:rPr/>
        <w:t>22.1</w:t>
      </w:r>
      <w:r>
        <w:rPr>
          <w:spacing w:val="5"/>
        </w:rPr>
        <w:t> </w:t>
      </w:r>
      <w:r>
        <w:rPr>
          <w:spacing w:val="-2"/>
        </w:rPr>
        <w:t>percent,</w:t>
      </w:r>
    </w:p>
    <w:p>
      <w:pPr>
        <w:pStyle w:val="BodyText"/>
        <w:spacing w:line="480" w:lineRule="auto"/>
        <w:ind w:left="831" w:right="126"/>
        <w:jc w:val="both"/>
      </w:pPr>
      <w:r>
        <w:rPr/>
        <w:t>23.2 percent and 8.7 percent of students, service staff and top management respectively expressed not provided.</w:t>
      </w:r>
    </w:p>
    <w:p>
      <w:pPr>
        <w:pStyle w:val="BodyText"/>
        <w:spacing w:line="480" w:lineRule="auto"/>
        <w:ind w:left="831" w:right="116" w:firstLine="720"/>
        <w:jc w:val="both"/>
      </w:pPr>
      <w:r>
        <w:rPr/>
        <w:t>Item 10, which sought to know the provision and adequacy of shopping and marketing facilities, 47.7 percent of students, expressed its adequacy, while 42.9 percent and 47.8 percent of service staff and top management had same</w:t>
      </w:r>
      <w:r>
        <w:rPr>
          <w:spacing w:val="40"/>
        </w:rPr>
        <w:t> </w:t>
      </w:r>
      <w:r>
        <w:rPr/>
        <w:t>agreement on its inadequacy. However, 16.2 percent, 24.1 percent and 13 percent of students, staff and top management respectively revealed that shopping and marketing facilities were not provided.</w:t>
      </w:r>
    </w:p>
    <w:p>
      <w:pPr>
        <w:pStyle w:val="BodyText"/>
        <w:spacing w:line="480" w:lineRule="auto"/>
        <w:ind w:left="831" w:right="117" w:firstLine="720"/>
        <w:jc w:val="both"/>
      </w:pPr>
      <w:r>
        <w:rPr/>
        <w:t>In item 11, the availability and mode of provision of electricity, all the three groups agreed that it was adequately provided as shown by 72.8 percent, 64.6 percent and 69.5 percent of students, service staff and top management staff respectively. However, 20.0 percent, 21.7 percent and 21.7 percent of students, service staff and top management respectively did not share the opinion while 6.0 percent, 11.3 percent and 8.7 percent of the groups claimed that it was not</w:t>
      </w:r>
      <w:r>
        <w:rPr>
          <w:spacing w:val="40"/>
        </w:rPr>
        <w:t> </w:t>
      </w:r>
      <w:r>
        <w:rPr>
          <w:spacing w:val="-2"/>
        </w:rPr>
        <w:t>provided.</w:t>
      </w:r>
    </w:p>
    <w:p>
      <w:pPr>
        <w:pStyle w:val="BodyText"/>
        <w:spacing w:line="480" w:lineRule="auto" w:before="1"/>
        <w:ind w:left="831" w:right="114" w:firstLine="720"/>
        <w:jc w:val="both"/>
      </w:pPr>
      <w:r>
        <w:rPr/>
        <w:t>On whether or not water supply services were</w:t>
      </w:r>
      <w:r>
        <w:rPr>
          <w:spacing w:val="-1"/>
        </w:rPr>
        <w:t> </w:t>
      </w:r>
      <w:r>
        <w:rPr/>
        <w:t>available and the degree of</w:t>
      </w:r>
      <w:r>
        <w:rPr>
          <w:spacing w:val="-2"/>
        </w:rPr>
        <w:t> </w:t>
      </w:r>
      <w:r>
        <w:rPr/>
        <w:t>its adequacy, of its supply as raised in item 12, 60.0 percent of students, 56.7 percent of service staff and 69.5 percent of top management staff shared same view that</w:t>
      </w:r>
      <w:r>
        <w:rPr>
          <w:spacing w:val="40"/>
        </w:rPr>
        <w:t> </w:t>
      </w:r>
      <w:r>
        <w:rPr/>
        <w:t>the supply was adequate. While 30.2 percent, 28.1 percent and 13.0 percent of students,</w:t>
      </w:r>
      <w:r>
        <w:rPr>
          <w:spacing w:val="46"/>
        </w:rPr>
        <w:t> </w:t>
      </w:r>
      <w:r>
        <w:rPr/>
        <w:t>service</w:t>
      </w:r>
      <w:r>
        <w:rPr>
          <w:spacing w:val="46"/>
        </w:rPr>
        <w:t> </w:t>
      </w:r>
      <w:r>
        <w:rPr/>
        <w:t>staff</w:t>
      </w:r>
      <w:r>
        <w:rPr>
          <w:spacing w:val="46"/>
        </w:rPr>
        <w:t> </w:t>
      </w:r>
      <w:r>
        <w:rPr/>
        <w:t>and</w:t>
      </w:r>
      <w:r>
        <w:rPr>
          <w:spacing w:val="46"/>
        </w:rPr>
        <w:t> </w:t>
      </w:r>
      <w:r>
        <w:rPr/>
        <w:t>top</w:t>
      </w:r>
      <w:r>
        <w:rPr>
          <w:spacing w:val="46"/>
        </w:rPr>
        <w:t> </w:t>
      </w:r>
      <w:r>
        <w:rPr/>
        <w:t>management</w:t>
      </w:r>
      <w:r>
        <w:rPr>
          <w:spacing w:val="50"/>
        </w:rPr>
        <w:t> </w:t>
      </w:r>
      <w:r>
        <w:rPr/>
        <w:t>staff</w:t>
      </w:r>
      <w:r>
        <w:rPr>
          <w:spacing w:val="46"/>
        </w:rPr>
        <w:t> </w:t>
      </w:r>
      <w:r>
        <w:rPr/>
        <w:t>expressed</w:t>
      </w:r>
      <w:r>
        <w:rPr>
          <w:spacing w:val="50"/>
        </w:rPr>
        <w:t> </w:t>
      </w:r>
      <w:r>
        <w:rPr/>
        <w:t>the</w:t>
      </w:r>
      <w:r>
        <w:rPr>
          <w:spacing w:val="51"/>
        </w:rPr>
        <w:t> </w:t>
      </w:r>
      <w:r>
        <w:rPr/>
        <w:t>opinion</w:t>
      </w:r>
      <w:r>
        <w:rPr>
          <w:spacing w:val="46"/>
        </w:rPr>
        <w:t> </w:t>
      </w:r>
      <w:r>
        <w:rPr/>
        <w:t>as</w:t>
      </w:r>
      <w:r>
        <w:rPr>
          <w:spacing w:val="50"/>
        </w:rPr>
        <w:t> </w:t>
      </w:r>
      <w:r>
        <w:rPr>
          <w:spacing w:val="-5"/>
        </w:rPr>
        <w:t>not</w:t>
      </w:r>
    </w:p>
    <w:p>
      <w:pPr>
        <w:spacing w:after="0" w:line="480" w:lineRule="auto"/>
        <w:jc w:val="both"/>
        <w:sectPr>
          <w:headerReference w:type="default" r:id="rId273"/>
          <w:footerReference w:type="default" r:id="rId274"/>
          <w:pgSz w:w="12240" w:h="15840"/>
          <w:pgMar w:header="722" w:footer="791" w:top="1340" w:bottom="980" w:left="1040" w:right="1320"/>
        </w:sectPr>
      </w:pPr>
    </w:p>
    <w:p>
      <w:pPr>
        <w:pStyle w:val="BodyText"/>
        <w:spacing w:line="480" w:lineRule="auto" w:before="82"/>
        <w:ind w:left="831" w:right="120"/>
        <w:jc w:val="both"/>
      </w:pPr>
      <w:r>
        <w:rPr/>
        <w:t>adequate. However, 7.7 percent of students, 11.8 percent of service staff and 17.4 percent top management revealed that water supply services were not provided on the campus.</w:t>
      </w:r>
    </w:p>
    <w:p>
      <w:pPr>
        <w:pStyle w:val="BodyText"/>
        <w:spacing w:line="480" w:lineRule="auto"/>
        <w:ind w:left="831" w:right="117" w:firstLine="720"/>
        <w:jc w:val="both"/>
      </w:pPr>
      <w:r>
        <w:rPr/>
        <w:t>Water supply as basic amenity could not be said to be absent from campuses. It is possible to conclude that students were left at the mercy of wells, streams, which</w:t>
      </w:r>
      <w:r>
        <w:rPr>
          <w:spacing w:val="-2"/>
        </w:rPr>
        <w:t> </w:t>
      </w:r>
      <w:r>
        <w:rPr/>
        <w:t>they</w:t>
      </w:r>
      <w:r>
        <w:rPr>
          <w:spacing w:val="-3"/>
        </w:rPr>
        <w:t> </w:t>
      </w:r>
      <w:r>
        <w:rPr/>
        <w:t>shared</w:t>
      </w:r>
      <w:r>
        <w:rPr>
          <w:spacing w:val="-2"/>
        </w:rPr>
        <w:t> </w:t>
      </w:r>
      <w:r>
        <w:rPr/>
        <w:t>with</w:t>
      </w:r>
      <w:r>
        <w:rPr>
          <w:spacing w:val="-2"/>
        </w:rPr>
        <w:t> </w:t>
      </w:r>
      <w:r>
        <w:rPr/>
        <w:t>public</w:t>
      </w:r>
      <w:r>
        <w:rPr>
          <w:spacing w:val="-3"/>
        </w:rPr>
        <w:t> </w:t>
      </w:r>
      <w:r>
        <w:rPr/>
        <w:t>and</w:t>
      </w:r>
      <w:r>
        <w:rPr>
          <w:spacing w:val="-2"/>
        </w:rPr>
        <w:t> </w:t>
      </w:r>
      <w:r>
        <w:rPr/>
        <w:t>not</w:t>
      </w:r>
      <w:r>
        <w:rPr>
          <w:spacing w:val="-3"/>
        </w:rPr>
        <w:t> </w:t>
      </w:r>
      <w:r>
        <w:rPr/>
        <w:t>specifically</w:t>
      </w:r>
      <w:r>
        <w:rPr>
          <w:spacing w:val="-3"/>
        </w:rPr>
        <w:t> </w:t>
      </w:r>
      <w:r>
        <w:rPr/>
        <w:t>provided</w:t>
      </w:r>
      <w:r>
        <w:rPr>
          <w:spacing w:val="-2"/>
        </w:rPr>
        <w:t> </w:t>
      </w:r>
      <w:r>
        <w:rPr/>
        <w:t>for</w:t>
      </w:r>
      <w:r>
        <w:rPr>
          <w:spacing w:val="-1"/>
        </w:rPr>
        <w:t> </w:t>
      </w:r>
      <w:r>
        <w:rPr/>
        <w:t>the</w:t>
      </w:r>
      <w:r>
        <w:rPr>
          <w:spacing w:val="-2"/>
        </w:rPr>
        <w:t> </w:t>
      </w:r>
      <w:r>
        <w:rPr/>
        <w:t>students by the universities.</w:t>
      </w:r>
    </w:p>
    <w:p>
      <w:pPr>
        <w:pStyle w:val="Heading2"/>
        <w:numPr>
          <w:ilvl w:val="2"/>
          <w:numId w:val="39"/>
        </w:numPr>
        <w:tabs>
          <w:tab w:pos="828" w:val="left" w:leader="none"/>
          <w:tab w:pos="831" w:val="left" w:leader="none"/>
        </w:tabs>
        <w:spacing w:line="240" w:lineRule="auto" w:before="0" w:after="0"/>
        <w:ind w:left="831" w:right="127" w:hanging="720"/>
        <w:jc w:val="left"/>
        <w:rPr>
          <w:rFonts w:ascii="Arial MT"/>
          <w:b w:val="0"/>
        </w:rPr>
      </w:pPr>
      <w:r>
        <w:rPr/>
        <w:t>Responses</w:t>
      </w:r>
      <w:r>
        <w:rPr>
          <w:spacing w:val="-3"/>
        </w:rPr>
        <w:t> </w:t>
      </w:r>
      <w:r>
        <w:rPr/>
        <w:t>on</w:t>
      </w:r>
      <w:r>
        <w:rPr>
          <w:spacing w:val="-4"/>
        </w:rPr>
        <w:t> </w:t>
      </w:r>
      <w:r>
        <w:rPr/>
        <w:t>the</w:t>
      </w:r>
      <w:r>
        <w:rPr>
          <w:spacing w:val="-4"/>
        </w:rPr>
        <w:t> </w:t>
      </w:r>
      <w:r>
        <w:rPr/>
        <w:t>availability</w:t>
      </w:r>
      <w:r>
        <w:rPr>
          <w:spacing w:val="-8"/>
        </w:rPr>
        <w:t> </w:t>
      </w:r>
      <w:r>
        <w:rPr/>
        <w:t>and</w:t>
      </w:r>
      <w:r>
        <w:rPr>
          <w:spacing w:val="-4"/>
        </w:rPr>
        <w:t> </w:t>
      </w:r>
      <w:r>
        <w:rPr/>
        <w:t>degree</w:t>
      </w:r>
      <w:r>
        <w:rPr>
          <w:spacing w:val="-3"/>
        </w:rPr>
        <w:t> </w:t>
      </w:r>
      <w:r>
        <w:rPr/>
        <w:t>of</w:t>
      </w:r>
      <w:r>
        <w:rPr>
          <w:spacing w:val="-4"/>
        </w:rPr>
        <w:t> </w:t>
      </w:r>
      <w:r>
        <w:rPr/>
        <w:t>provision</w:t>
      </w:r>
      <w:r>
        <w:rPr>
          <w:spacing w:val="-4"/>
        </w:rPr>
        <w:t> </w:t>
      </w:r>
      <w:r>
        <w:rPr/>
        <w:t>of Academic Welfare Services to students in the Universities</w:t>
      </w:r>
    </w:p>
    <w:p>
      <w:pPr>
        <w:pStyle w:val="BodyText"/>
        <w:spacing w:line="480" w:lineRule="auto" w:before="278"/>
        <w:ind w:left="831" w:right="113" w:firstLine="720"/>
        <w:jc w:val="both"/>
      </w:pPr>
      <w:r>
        <w:rPr/>
        <w:t>This section presented analysis of responses of the three groups of respondents obtained from items 13 to 20, featuring exclusively on facilities tagged as academic services which were actually the main mandate of the universities anywhere.</w:t>
      </w:r>
      <w:r>
        <w:rPr>
          <w:spacing w:val="-2"/>
        </w:rPr>
        <w:t> </w:t>
      </w:r>
      <w:r>
        <w:rPr/>
        <w:t>The</w:t>
      </w:r>
      <w:r>
        <w:rPr>
          <w:spacing w:val="-1"/>
        </w:rPr>
        <w:t> </w:t>
      </w:r>
      <w:r>
        <w:rPr/>
        <w:t>items attempted</w:t>
      </w:r>
      <w:r>
        <w:rPr>
          <w:spacing w:val="-1"/>
        </w:rPr>
        <w:t> </w:t>
      </w:r>
      <w:r>
        <w:rPr/>
        <w:t>to</w:t>
      </w:r>
      <w:r>
        <w:rPr>
          <w:spacing w:val="-1"/>
        </w:rPr>
        <w:t> </w:t>
      </w:r>
      <w:r>
        <w:rPr/>
        <w:t>ascertain</w:t>
      </w:r>
      <w:r>
        <w:rPr>
          <w:spacing w:val="-1"/>
        </w:rPr>
        <w:t> </w:t>
      </w:r>
      <w:r>
        <w:rPr/>
        <w:t>the</w:t>
      </w:r>
      <w:r>
        <w:rPr>
          <w:spacing w:val="-1"/>
        </w:rPr>
        <w:t> </w:t>
      </w:r>
      <w:r>
        <w:rPr/>
        <w:t>availability</w:t>
      </w:r>
      <w:r>
        <w:rPr>
          <w:spacing w:val="-2"/>
        </w:rPr>
        <w:t> </w:t>
      </w:r>
      <w:r>
        <w:rPr/>
        <w:t>and</w:t>
      </w:r>
      <w:r>
        <w:rPr>
          <w:spacing w:val="-1"/>
        </w:rPr>
        <w:t> </w:t>
      </w:r>
      <w:r>
        <w:rPr/>
        <w:t>degree</w:t>
      </w:r>
      <w:r>
        <w:rPr>
          <w:spacing w:val="-1"/>
        </w:rPr>
        <w:t> </w:t>
      </w:r>
      <w:r>
        <w:rPr/>
        <w:t>of</w:t>
      </w:r>
      <w:r>
        <w:rPr>
          <w:spacing w:val="-2"/>
        </w:rPr>
        <w:t> </w:t>
      </w:r>
      <w:r>
        <w:rPr/>
        <w:t>adequacy of the academic facilities provided by the universities to students. To achieve this, responses</w:t>
      </w:r>
      <w:r>
        <w:rPr>
          <w:spacing w:val="70"/>
          <w:w w:val="150"/>
        </w:rPr>
        <w:t> </w:t>
      </w:r>
      <w:r>
        <w:rPr/>
        <w:t>of</w:t>
      </w:r>
      <w:r>
        <w:rPr>
          <w:spacing w:val="70"/>
          <w:w w:val="150"/>
        </w:rPr>
        <w:t> </w:t>
      </w:r>
      <w:r>
        <w:rPr/>
        <w:t>all</w:t>
      </w:r>
      <w:r>
        <w:rPr>
          <w:spacing w:val="74"/>
          <w:w w:val="150"/>
        </w:rPr>
        <w:t> </w:t>
      </w:r>
      <w:r>
        <w:rPr/>
        <w:t>respondents</w:t>
      </w:r>
      <w:r>
        <w:rPr>
          <w:spacing w:val="70"/>
          <w:w w:val="150"/>
        </w:rPr>
        <w:t> </w:t>
      </w:r>
      <w:r>
        <w:rPr/>
        <w:t>were</w:t>
      </w:r>
      <w:r>
        <w:rPr>
          <w:spacing w:val="71"/>
          <w:w w:val="150"/>
        </w:rPr>
        <w:t> </w:t>
      </w:r>
      <w:r>
        <w:rPr/>
        <w:t>analyzed</w:t>
      </w:r>
      <w:r>
        <w:rPr>
          <w:spacing w:val="71"/>
          <w:w w:val="150"/>
        </w:rPr>
        <w:t> </w:t>
      </w:r>
      <w:r>
        <w:rPr/>
        <w:t>and</w:t>
      </w:r>
      <w:r>
        <w:rPr>
          <w:spacing w:val="72"/>
          <w:w w:val="150"/>
        </w:rPr>
        <w:t> </w:t>
      </w:r>
      <w:r>
        <w:rPr/>
        <w:t>presented</w:t>
      </w:r>
      <w:r>
        <w:rPr>
          <w:spacing w:val="66"/>
          <w:w w:val="150"/>
        </w:rPr>
        <w:t> </w:t>
      </w:r>
      <w:r>
        <w:rPr/>
        <w:t>in</w:t>
      </w:r>
      <w:r>
        <w:rPr>
          <w:spacing w:val="74"/>
          <w:w w:val="150"/>
        </w:rPr>
        <w:t> </w:t>
      </w:r>
      <w:r>
        <w:rPr/>
        <w:t>Table</w:t>
      </w:r>
      <w:r>
        <w:rPr>
          <w:spacing w:val="71"/>
          <w:w w:val="150"/>
        </w:rPr>
        <w:t> </w:t>
      </w:r>
      <w:r>
        <w:rPr>
          <w:spacing w:val="-2"/>
        </w:rPr>
        <w:t>4.2.2</w:t>
      </w:r>
    </w:p>
    <w:p>
      <w:pPr>
        <w:spacing w:after="0" w:line="480" w:lineRule="auto"/>
        <w:jc w:val="both"/>
        <w:sectPr>
          <w:headerReference w:type="default" r:id="rId275"/>
          <w:footerReference w:type="default" r:id="rId276"/>
          <w:pgSz w:w="12240" w:h="15840"/>
          <w:pgMar w:header="722" w:footer="791" w:top="1340" w:bottom="980" w:left="1040" w:right="1320"/>
        </w:sectPr>
      </w:pPr>
    </w:p>
    <w:p>
      <w:pPr>
        <w:pStyle w:val="Heading2"/>
        <w:spacing w:before="79" w:after="8"/>
        <w:ind w:left="2253" w:right="2535" w:hanging="1594"/>
      </w:pPr>
      <w:r>
        <w:rPr/>
        <w:t>Table</w:t>
      </w:r>
      <w:r>
        <w:rPr>
          <w:spacing w:val="-1"/>
        </w:rPr>
        <w:t> </w:t>
      </w:r>
      <w:r>
        <w:rPr/>
        <w:t>4.2.2:</w:t>
      </w:r>
      <w:r>
        <w:rPr>
          <w:spacing w:val="-1"/>
        </w:rPr>
        <w:t> </w:t>
      </w:r>
      <w:r>
        <w:rPr/>
        <w:t>Opinions</w:t>
      </w:r>
      <w:r>
        <w:rPr>
          <w:spacing w:val="-6"/>
        </w:rPr>
        <w:t> </w:t>
      </w:r>
      <w:r>
        <w:rPr/>
        <w:t>of</w:t>
      </w:r>
      <w:r>
        <w:rPr>
          <w:spacing w:val="-6"/>
        </w:rPr>
        <w:t> </w:t>
      </w:r>
      <w:r>
        <w:rPr/>
        <w:t>respondents</w:t>
      </w:r>
      <w:r>
        <w:rPr>
          <w:spacing w:val="-6"/>
        </w:rPr>
        <w:t> </w:t>
      </w:r>
      <w:r>
        <w:rPr/>
        <w:t>on</w:t>
      </w:r>
      <w:r>
        <w:rPr>
          <w:spacing w:val="-2"/>
        </w:rPr>
        <w:t> </w:t>
      </w:r>
      <w:r>
        <w:rPr/>
        <w:t>the</w:t>
      </w:r>
      <w:r>
        <w:rPr>
          <w:spacing w:val="-6"/>
        </w:rPr>
        <w:t> </w:t>
      </w:r>
      <w:r>
        <w:rPr/>
        <w:t>academic</w:t>
      </w:r>
      <w:r>
        <w:rPr>
          <w:spacing w:val="-6"/>
        </w:rPr>
        <w:t> </w:t>
      </w:r>
      <w:r>
        <w:rPr/>
        <w:t>services</w:t>
      </w:r>
      <w:r>
        <w:rPr>
          <w:spacing w:val="-1"/>
        </w:rPr>
        <w:t> </w:t>
      </w:r>
      <w:r>
        <w:rPr/>
        <w:t>for</w:t>
      </w:r>
      <w:r>
        <w:rPr>
          <w:spacing w:val="-3"/>
        </w:rPr>
        <w:t> </w:t>
      </w:r>
      <w:r>
        <w:rPr/>
        <w:t>students</w:t>
      </w:r>
      <w:r>
        <w:rPr>
          <w:spacing w:val="-1"/>
        </w:rPr>
        <w:t> </w:t>
      </w:r>
      <w:r>
        <w:rPr/>
        <w:t>in</w:t>
      </w:r>
      <w:r>
        <w:rPr>
          <w:spacing w:val="-6"/>
        </w:rPr>
        <w:t> </w:t>
      </w:r>
      <w:r>
        <w:rPr/>
        <w:t>the </w:t>
      </w:r>
      <w:r>
        <w:rPr>
          <w:spacing w:val="-2"/>
        </w:rPr>
        <w:t>Universities</w:t>
      </w:r>
    </w:p>
    <w:tbl>
      <w:tblPr>
        <w:tblW w:w="0" w:type="auto"/>
        <w:jc w:val="left"/>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727"/>
        <w:gridCol w:w="1855"/>
        <w:gridCol w:w="529"/>
        <w:gridCol w:w="569"/>
        <w:gridCol w:w="559"/>
        <w:gridCol w:w="677"/>
        <w:gridCol w:w="771"/>
        <w:gridCol w:w="879"/>
        <w:gridCol w:w="687"/>
        <w:gridCol w:w="800"/>
        <w:gridCol w:w="627"/>
        <w:gridCol w:w="771"/>
        <w:gridCol w:w="692"/>
        <w:gridCol w:w="734"/>
      </w:tblGrid>
      <w:tr>
        <w:trPr>
          <w:trHeight w:val="278" w:hRule="atLeast"/>
        </w:trPr>
        <w:tc>
          <w:tcPr>
            <w:tcW w:w="3727" w:type="dxa"/>
            <w:vMerge w:val="restart"/>
            <w:tcBorders>
              <w:top w:val="single" w:sz="4" w:space="0" w:color="000000"/>
              <w:left w:val="single" w:sz="4" w:space="0" w:color="000000"/>
              <w:bottom w:val="single" w:sz="4" w:space="0" w:color="000000"/>
            </w:tcBorders>
          </w:tcPr>
          <w:p>
            <w:pPr>
              <w:pStyle w:val="TableParagraph"/>
              <w:rPr>
                <w:rFonts w:ascii="Arial"/>
                <w:b/>
                <w:sz w:val="20"/>
              </w:rPr>
            </w:pPr>
          </w:p>
          <w:p>
            <w:pPr>
              <w:pStyle w:val="TableParagraph"/>
              <w:spacing w:before="221"/>
              <w:rPr>
                <w:rFonts w:ascii="Arial"/>
                <w:b/>
                <w:sz w:val="20"/>
              </w:rPr>
            </w:pPr>
          </w:p>
          <w:p>
            <w:pPr>
              <w:pStyle w:val="TableParagraph"/>
              <w:tabs>
                <w:tab w:pos="830" w:val="left" w:leader="none"/>
              </w:tabs>
              <w:ind w:left="134"/>
              <w:rPr>
                <w:rFonts w:ascii="Arial"/>
                <w:b/>
                <w:sz w:val="20"/>
              </w:rPr>
            </w:pPr>
            <w:r>
              <w:rPr>
                <w:rFonts w:ascii="Arial"/>
                <w:b/>
                <w:spacing w:val="-4"/>
                <w:sz w:val="20"/>
              </w:rPr>
              <w:t>S/No</w:t>
            </w:r>
            <w:r>
              <w:rPr>
                <w:rFonts w:ascii="Arial"/>
                <w:b/>
                <w:sz w:val="20"/>
              </w:rPr>
              <w:tab/>
              <w:t>Item</w:t>
            </w:r>
            <w:r>
              <w:rPr>
                <w:rFonts w:ascii="Arial"/>
                <w:b/>
                <w:spacing w:val="-2"/>
                <w:sz w:val="20"/>
              </w:rPr>
              <w:t> Statements</w:t>
            </w:r>
          </w:p>
        </w:tc>
        <w:tc>
          <w:tcPr>
            <w:tcW w:w="1855" w:type="dxa"/>
            <w:vMerge w:val="restart"/>
            <w:tcBorders>
              <w:top w:val="single" w:sz="4" w:space="0" w:color="000000"/>
              <w:bottom w:val="single" w:sz="4" w:space="0" w:color="000000"/>
              <w:right w:val="single" w:sz="4" w:space="0" w:color="000000"/>
            </w:tcBorders>
          </w:tcPr>
          <w:p>
            <w:pPr>
              <w:pStyle w:val="TableParagraph"/>
              <w:rPr>
                <w:rFonts w:ascii="Arial"/>
                <w:b/>
                <w:sz w:val="20"/>
              </w:rPr>
            </w:pPr>
          </w:p>
          <w:p>
            <w:pPr>
              <w:pStyle w:val="TableParagraph"/>
              <w:spacing w:before="221"/>
              <w:rPr>
                <w:rFonts w:ascii="Arial"/>
                <w:b/>
                <w:sz w:val="20"/>
              </w:rPr>
            </w:pPr>
          </w:p>
          <w:p>
            <w:pPr>
              <w:pStyle w:val="TableParagraph"/>
              <w:ind w:left="165" w:right="408"/>
              <w:rPr>
                <w:rFonts w:ascii="Arial"/>
                <w:b/>
                <w:sz w:val="20"/>
              </w:rPr>
            </w:pPr>
            <w:r>
              <w:rPr>
                <w:rFonts w:ascii="Arial"/>
                <w:b/>
                <w:sz w:val="20"/>
              </w:rPr>
              <w:t>Category of </w:t>
            </w:r>
            <w:r>
              <w:rPr>
                <w:rFonts w:ascii="Arial"/>
                <w:b/>
                <w:spacing w:val="-2"/>
                <w:sz w:val="20"/>
              </w:rPr>
              <w:t>Respondents</w:t>
            </w:r>
          </w:p>
        </w:tc>
        <w:tc>
          <w:tcPr>
            <w:tcW w:w="8295" w:type="dxa"/>
            <w:gridSpan w:val="12"/>
            <w:tcBorders>
              <w:top w:val="single" w:sz="4" w:space="0" w:color="000000"/>
              <w:left w:val="single" w:sz="4" w:space="0" w:color="000000"/>
              <w:bottom w:val="single" w:sz="4" w:space="0" w:color="000000"/>
              <w:right w:val="single" w:sz="4" w:space="0" w:color="000000"/>
            </w:tcBorders>
          </w:tcPr>
          <w:p>
            <w:pPr>
              <w:pStyle w:val="TableParagraph"/>
              <w:spacing w:line="258" w:lineRule="exact"/>
              <w:ind w:right="1026"/>
              <w:jc w:val="center"/>
              <w:rPr>
                <w:rFonts w:ascii="Arial"/>
                <w:b/>
                <w:sz w:val="24"/>
              </w:rPr>
            </w:pPr>
            <w:r>
              <w:rPr>
                <w:rFonts w:ascii="Arial"/>
                <w:b/>
                <w:spacing w:val="-2"/>
                <w:sz w:val="24"/>
              </w:rPr>
              <w:t>Responses</w:t>
            </w:r>
          </w:p>
        </w:tc>
      </w:tr>
      <w:tr>
        <w:trPr>
          <w:trHeight w:val="916" w:hRule="atLeast"/>
        </w:trPr>
        <w:tc>
          <w:tcPr>
            <w:tcW w:w="3727" w:type="dxa"/>
            <w:vMerge/>
            <w:tcBorders>
              <w:top w:val="nil"/>
              <w:left w:val="single" w:sz="4" w:space="0" w:color="000000"/>
              <w:bottom w:val="single" w:sz="4" w:space="0" w:color="000000"/>
            </w:tcBorders>
          </w:tcPr>
          <w:p>
            <w:pPr>
              <w:rPr>
                <w:sz w:val="2"/>
                <w:szCs w:val="2"/>
              </w:rPr>
            </w:pPr>
          </w:p>
        </w:tc>
        <w:tc>
          <w:tcPr>
            <w:tcW w:w="1855" w:type="dxa"/>
            <w:vMerge/>
            <w:tcBorders>
              <w:top w:val="nil"/>
              <w:bottom w:val="single" w:sz="4" w:space="0" w:color="000000"/>
              <w:right w:val="single" w:sz="4" w:space="0" w:color="000000"/>
            </w:tcBorders>
          </w:tcPr>
          <w:p>
            <w:pPr>
              <w:rPr>
                <w:sz w:val="2"/>
                <w:szCs w:val="2"/>
              </w:rPr>
            </w:pPr>
          </w:p>
        </w:tc>
        <w:tc>
          <w:tcPr>
            <w:tcW w:w="8295" w:type="dxa"/>
            <w:gridSpan w:val="12"/>
            <w:tcBorders>
              <w:top w:val="single" w:sz="4" w:space="0" w:color="000000"/>
              <w:left w:val="single" w:sz="4" w:space="0" w:color="000000"/>
              <w:bottom w:val="single" w:sz="4" w:space="0" w:color="000000"/>
              <w:right w:val="single" w:sz="4" w:space="0" w:color="000000"/>
            </w:tcBorders>
          </w:tcPr>
          <w:p>
            <w:pPr>
              <w:pStyle w:val="TableParagraph"/>
              <w:tabs>
                <w:tab w:pos="1257" w:val="left" w:leader="none"/>
                <w:tab w:pos="1497" w:val="left" w:leader="none"/>
                <w:tab w:pos="2712" w:val="left" w:leader="none"/>
                <w:tab w:pos="4252" w:val="left" w:leader="none"/>
                <w:tab w:pos="4540" w:val="left" w:leader="none"/>
                <w:tab w:pos="5712" w:val="left" w:leader="none"/>
                <w:tab w:pos="5971" w:val="left" w:leader="none"/>
                <w:tab w:pos="7329" w:val="left" w:leader="none"/>
              </w:tabs>
              <w:ind w:left="158" w:right="470" w:firstLine="91"/>
              <w:rPr>
                <w:rFonts w:ascii="Arial"/>
                <w:b/>
                <w:sz w:val="20"/>
              </w:rPr>
            </w:pPr>
            <w:r>
              <w:rPr>
                <w:rFonts w:ascii="Arial"/>
                <w:b/>
                <w:sz w:val="20"/>
              </w:rPr>
              <w:t>No. of</w:t>
              <w:tab/>
              <w:tab/>
            </w:r>
            <w:r>
              <w:rPr>
                <w:rFonts w:ascii="Arial"/>
                <w:b/>
                <w:spacing w:val="-4"/>
                <w:sz w:val="20"/>
              </w:rPr>
              <w:t>Very</w:t>
            </w:r>
            <w:r>
              <w:rPr>
                <w:rFonts w:ascii="Arial"/>
                <w:b/>
                <w:sz w:val="20"/>
              </w:rPr>
              <w:tab/>
            </w:r>
            <w:r>
              <w:rPr>
                <w:rFonts w:ascii="Arial"/>
                <w:b/>
                <w:spacing w:val="-2"/>
                <w:sz w:val="20"/>
              </w:rPr>
              <w:t>Adequate</w:t>
            </w:r>
            <w:r>
              <w:rPr>
                <w:rFonts w:ascii="Arial"/>
                <w:b/>
                <w:sz w:val="20"/>
              </w:rPr>
              <w:tab/>
              <w:tab/>
            </w:r>
            <w:r>
              <w:rPr>
                <w:rFonts w:ascii="Arial"/>
                <w:b/>
                <w:spacing w:val="-4"/>
                <w:sz w:val="20"/>
              </w:rPr>
              <w:t>Not</w:t>
            </w:r>
            <w:r>
              <w:rPr>
                <w:rFonts w:ascii="Arial"/>
                <w:b/>
                <w:sz w:val="20"/>
              </w:rPr>
              <w:tab/>
              <w:tab/>
            </w:r>
            <w:r>
              <w:rPr>
                <w:rFonts w:ascii="Arial"/>
                <w:b/>
                <w:spacing w:val="-4"/>
                <w:sz w:val="20"/>
              </w:rPr>
              <w:t>Not</w:t>
            </w:r>
            <w:r>
              <w:rPr>
                <w:rFonts w:ascii="Arial"/>
                <w:b/>
                <w:sz w:val="20"/>
              </w:rPr>
              <w:tab/>
            </w:r>
            <w:r>
              <w:rPr>
                <w:rFonts w:ascii="Arial"/>
                <w:b/>
                <w:spacing w:val="-2"/>
                <w:sz w:val="20"/>
              </w:rPr>
              <w:t>Total missing</w:t>
            </w:r>
            <w:r>
              <w:rPr>
                <w:rFonts w:ascii="Arial"/>
                <w:b/>
                <w:sz w:val="20"/>
              </w:rPr>
              <w:tab/>
            </w:r>
            <w:r>
              <w:rPr>
                <w:rFonts w:ascii="Arial"/>
                <w:b/>
                <w:spacing w:val="-2"/>
                <w:sz w:val="20"/>
              </w:rPr>
              <w:t>Adequate</w:t>
            </w:r>
            <w:r>
              <w:rPr>
                <w:rFonts w:ascii="Arial"/>
                <w:b/>
                <w:sz w:val="20"/>
              </w:rPr>
              <w:tab/>
              <w:tab/>
            </w:r>
            <w:r>
              <w:rPr>
                <w:rFonts w:ascii="Arial"/>
                <w:b/>
                <w:spacing w:val="-2"/>
                <w:sz w:val="20"/>
              </w:rPr>
              <w:t>Adequate</w:t>
            </w:r>
            <w:r>
              <w:rPr>
                <w:rFonts w:ascii="Arial"/>
                <w:b/>
                <w:sz w:val="20"/>
              </w:rPr>
              <w:tab/>
            </w:r>
            <w:r>
              <w:rPr>
                <w:rFonts w:ascii="Arial"/>
                <w:b/>
                <w:spacing w:val="-2"/>
                <w:sz w:val="20"/>
              </w:rPr>
              <w:t>Provided</w:t>
            </w:r>
          </w:p>
          <w:p>
            <w:pPr>
              <w:pStyle w:val="TableParagraph"/>
              <w:spacing w:line="230" w:lineRule="atLeast"/>
              <w:ind w:left="388" w:right="7080" w:hanging="269"/>
              <w:rPr>
                <w:rFonts w:ascii="Arial"/>
                <w:b/>
                <w:sz w:val="20"/>
              </w:rPr>
            </w:pPr>
            <w:r>
              <w:rPr>
                <w:rFonts w:ascii="Arial"/>
                <w:b/>
                <w:spacing w:val="-2"/>
                <w:sz w:val="20"/>
              </w:rPr>
              <w:t>observat </w:t>
            </w:r>
            <w:r>
              <w:rPr>
                <w:rFonts w:ascii="Arial"/>
                <w:b/>
                <w:spacing w:val="-4"/>
                <w:sz w:val="20"/>
              </w:rPr>
              <w:t>ion</w:t>
            </w:r>
          </w:p>
        </w:tc>
      </w:tr>
      <w:tr>
        <w:trPr>
          <w:trHeight w:val="317" w:hRule="atLeast"/>
        </w:trPr>
        <w:tc>
          <w:tcPr>
            <w:tcW w:w="3727" w:type="dxa"/>
            <w:vMerge/>
            <w:tcBorders>
              <w:top w:val="nil"/>
              <w:left w:val="single" w:sz="4" w:space="0" w:color="000000"/>
              <w:bottom w:val="single" w:sz="4" w:space="0" w:color="000000"/>
            </w:tcBorders>
          </w:tcPr>
          <w:p>
            <w:pPr>
              <w:rPr>
                <w:sz w:val="2"/>
                <w:szCs w:val="2"/>
              </w:rPr>
            </w:pPr>
          </w:p>
        </w:tc>
        <w:tc>
          <w:tcPr>
            <w:tcW w:w="1855" w:type="dxa"/>
            <w:vMerge/>
            <w:tcBorders>
              <w:top w:val="nil"/>
              <w:bottom w:val="single" w:sz="4" w:space="0" w:color="000000"/>
              <w:right w:val="single" w:sz="4" w:space="0" w:color="000000"/>
            </w:tcBorders>
          </w:tcPr>
          <w:p>
            <w:pPr>
              <w:rPr>
                <w:sz w:val="2"/>
                <w:szCs w:val="2"/>
              </w:rPr>
            </w:pPr>
          </w:p>
        </w:tc>
        <w:tc>
          <w:tcPr>
            <w:tcW w:w="529" w:type="dxa"/>
            <w:tcBorders>
              <w:top w:val="single" w:sz="4" w:space="0" w:color="000000"/>
              <w:left w:val="single" w:sz="4" w:space="0" w:color="000000"/>
              <w:bottom w:val="single" w:sz="4" w:space="0" w:color="000000"/>
            </w:tcBorders>
          </w:tcPr>
          <w:p>
            <w:pPr>
              <w:pStyle w:val="TableParagraph"/>
              <w:spacing w:line="221" w:lineRule="exact"/>
              <w:ind w:left="22"/>
              <w:jc w:val="center"/>
              <w:rPr>
                <w:rFonts w:ascii="Arial"/>
                <w:b/>
                <w:sz w:val="20"/>
              </w:rPr>
            </w:pPr>
            <w:r>
              <w:rPr>
                <w:rFonts w:ascii="Arial"/>
                <w:b/>
                <w:spacing w:val="-10"/>
                <w:sz w:val="20"/>
              </w:rPr>
              <w:t>F</w:t>
            </w:r>
          </w:p>
        </w:tc>
        <w:tc>
          <w:tcPr>
            <w:tcW w:w="569" w:type="dxa"/>
            <w:tcBorders>
              <w:top w:val="single" w:sz="4" w:space="0" w:color="000000"/>
              <w:bottom w:val="single" w:sz="4" w:space="0" w:color="000000"/>
            </w:tcBorders>
          </w:tcPr>
          <w:p>
            <w:pPr>
              <w:pStyle w:val="TableParagraph"/>
              <w:spacing w:line="221" w:lineRule="exact"/>
              <w:ind w:right="186"/>
              <w:jc w:val="right"/>
              <w:rPr>
                <w:rFonts w:ascii="Arial"/>
                <w:b/>
                <w:sz w:val="20"/>
              </w:rPr>
            </w:pPr>
            <w:r>
              <w:rPr>
                <w:rFonts w:ascii="Arial"/>
                <w:b/>
                <w:spacing w:val="-10"/>
                <w:sz w:val="20"/>
              </w:rPr>
              <w:t>%</w:t>
            </w:r>
          </w:p>
        </w:tc>
        <w:tc>
          <w:tcPr>
            <w:tcW w:w="559" w:type="dxa"/>
            <w:tcBorders>
              <w:top w:val="single" w:sz="4" w:space="0" w:color="000000"/>
              <w:bottom w:val="single" w:sz="4" w:space="0" w:color="000000"/>
            </w:tcBorders>
          </w:tcPr>
          <w:p>
            <w:pPr>
              <w:pStyle w:val="TableParagraph"/>
              <w:spacing w:line="221" w:lineRule="exact"/>
              <w:ind w:left="2" w:right="38"/>
              <w:jc w:val="center"/>
              <w:rPr>
                <w:rFonts w:ascii="Arial"/>
                <w:b/>
                <w:sz w:val="20"/>
              </w:rPr>
            </w:pPr>
            <w:r>
              <w:rPr>
                <w:rFonts w:ascii="Arial"/>
                <w:b/>
                <w:spacing w:val="-10"/>
                <w:sz w:val="20"/>
              </w:rPr>
              <w:t>F</w:t>
            </w:r>
          </w:p>
        </w:tc>
        <w:tc>
          <w:tcPr>
            <w:tcW w:w="677" w:type="dxa"/>
            <w:tcBorders>
              <w:top w:val="single" w:sz="4" w:space="0" w:color="000000"/>
              <w:bottom w:val="single" w:sz="4" w:space="0" w:color="000000"/>
            </w:tcBorders>
          </w:tcPr>
          <w:p>
            <w:pPr>
              <w:pStyle w:val="TableParagraph"/>
              <w:spacing w:line="221" w:lineRule="exact"/>
              <w:ind w:left="62" w:right="62"/>
              <w:jc w:val="center"/>
              <w:rPr>
                <w:rFonts w:ascii="Arial"/>
                <w:b/>
                <w:sz w:val="20"/>
              </w:rPr>
            </w:pPr>
            <w:r>
              <w:rPr>
                <w:rFonts w:ascii="Arial"/>
                <w:b/>
                <w:spacing w:val="-10"/>
                <w:sz w:val="20"/>
              </w:rPr>
              <w:t>%</w:t>
            </w:r>
          </w:p>
        </w:tc>
        <w:tc>
          <w:tcPr>
            <w:tcW w:w="771" w:type="dxa"/>
            <w:tcBorders>
              <w:top w:val="single" w:sz="4" w:space="0" w:color="000000"/>
              <w:bottom w:val="single" w:sz="4" w:space="0" w:color="000000"/>
            </w:tcBorders>
          </w:tcPr>
          <w:p>
            <w:pPr>
              <w:pStyle w:val="TableParagraph"/>
              <w:spacing w:line="221" w:lineRule="exact"/>
              <w:ind w:left="45" w:right="49"/>
              <w:jc w:val="center"/>
              <w:rPr>
                <w:rFonts w:ascii="Arial"/>
                <w:b/>
                <w:sz w:val="20"/>
              </w:rPr>
            </w:pPr>
            <w:r>
              <w:rPr>
                <w:rFonts w:ascii="Arial"/>
                <w:b/>
                <w:spacing w:val="-10"/>
                <w:sz w:val="20"/>
              </w:rPr>
              <w:t>F</w:t>
            </w:r>
          </w:p>
        </w:tc>
        <w:tc>
          <w:tcPr>
            <w:tcW w:w="879" w:type="dxa"/>
            <w:tcBorders>
              <w:top w:val="single" w:sz="4" w:space="0" w:color="000000"/>
              <w:bottom w:val="single" w:sz="4" w:space="0" w:color="000000"/>
            </w:tcBorders>
          </w:tcPr>
          <w:p>
            <w:pPr>
              <w:pStyle w:val="TableParagraph"/>
              <w:spacing w:line="221" w:lineRule="exact"/>
              <w:ind w:left="7" w:right="20"/>
              <w:jc w:val="center"/>
              <w:rPr>
                <w:rFonts w:ascii="Arial"/>
                <w:b/>
                <w:sz w:val="20"/>
              </w:rPr>
            </w:pPr>
            <w:r>
              <w:rPr>
                <w:rFonts w:ascii="Arial"/>
                <w:b/>
                <w:spacing w:val="-10"/>
                <w:sz w:val="20"/>
              </w:rPr>
              <w:t>%</w:t>
            </w:r>
          </w:p>
        </w:tc>
        <w:tc>
          <w:tcPr>
            <w:tcW w:w="687" w:type="dxa"/>
            <w:tcBorders>
              <w:top w:val="single" w:sz="4" w:space="0" w:color="000000"/>
              <w:bottom w:val="single" w:sz="4" w:space="0" w:color="000000"/>
            </w:tcBorders>
          </w:tcPr>
          <w:p>
            <w:pPr>
              <w:pStyle w:val="TableParagraph"/>
              <w:spacing w:line="221" w:lineRule="exact"/>
              <w:ind w:left="109" w:right="48"/>
              <w:jc w:val="center"/>
              <w:rPr>
                <w:rFonts w:ascii="Arial"/>
                <w:b/>
                <w:sz w:val="20"/>
              </w:rPr>
            </w:pPr>
            <w:r>
              <w:rPr>
                <w:rFonts w:ascii="Arial"/>
                <w:b/>
                <w:spacing w:val="-10"/>
                <w:sz w:val="20"/>
              </w:rPr>
              <w:t>F</w:t>
            </w:r>
          </w:p>
        </w:tc>
        <w:tc>
          <w:tcPr>
            <w:tcW w:w="800" w:type="dxa"/>
            <w:tcBorders>
              <w:top w:val="single" w:sz="4" w:space="0" w:color="000000"/>
              <w:bottom w:val="single" w:sz="4" w:space="0" w:color="000000"/>
            </w:tcBorders>
          </w:tcPr>
          <w:p>
            <w:pPr>
              <w:pStyle w:val="TableParagraph"/>
              <w:spacing w:line="221" w:lineRule="exact"/>
              <w:ind w:left="18" w:right="6"/>
              <w:jc w:val="center"/>
              <w:rPr>
                <w:rFonts w:ascii="Arial"/>
                <w:b/>
                <w:sz w:val="20"/>
              </w:rPr>
            </w:pPr>
            <w:r>
              <w:rPr>
                <w:rFonts w:ascii="Arial"/>
                <w:b/>
                <w:spacing w:val="-10"/>
                <w:sz w:val="20"/>
              </w:rPr>
              <w:t>%</w:t>
            </w:r>
          </w:p>
        </w:tc>
        <w:tc>
          <w:tcPr>
            <w:tcW w:w="627" w:type="dxa"/>
            <w:tcBorders>
              <w:top w:val="single" w:sz="4" w:space="0" w:color="000000"/>
              <w:bottom w:val="single" w:sz="4" w:space="0" w:color="000000"/>
            </w:tcBorders>
          </w:tcPr>
          <w:p>
            <w:pPr>
              <w:pStyle w:val="TableParagraph"/>
              <w:spacing w:line="221" w:lineRule="exact"/>
              <w:ind w:left="23" w:right="16"/>
              <w:jc w:val="center"/>
              <w:rPr>
                <w:rFonts w:ascii="Arial"/>
                <w:b/>
                <w:sz w:val="20"/>
              </w:rPr>
            </w:pPr>
            <w:r>
              <w:rPr>
                <w:rFonts w:ascii="Arial"/>
                <w:b/>
                <w:spacing w:val="-10"/>
                <w:sz w:val="20"/>
              </w:rPr>
              <w:t>F</w:t>
            </w:r>
          </w:p>
        </w:tc>
        <w:tc>
          <w:tcPr>
            <w:tcW w:w="771" w:type="dxa"/>
            <w:tcBorders>
              <w:top w:val="single" w:sz="4" w:space="0" w:color="000000"/>
              <w:bottom w:val="single" w:sz="4" w:space="0" w:color="000000"/>
            </w:tcBorders>
          </w:tcPr>
          <w:p>
            <w:pPr>
              <w:pStyle w:val="TableParagraph"/>
              <w:spacing w:line="221" w:lineRule="exact"/>
              <w:ind w:left="45" w:right="16"/>
              <w:jc w:val="center"/>
              <w:rPr>
                <w:rFonts w:ascii="Arial"/>
                <w:b/>
                <w:sz w:val="20"/>
              </w:rPr>
            </w:pPr>
            <w:r>
              <w:rPr>
                <w:rFonts w:ascii="Arial"/>
                <w:b/>
                <w:spacing w:val="-10"/>
                <w:sz w:val="20"/>
              </w:rPr>
              <w:t>%</w:t>
            </w:r>
          </w:p>
        </w:tc>
        <w:tc>
          <w:tcPr>
            <w:tcW w:w="692" w:type="dxa"/>
            <w:tcBorders>
              <w:top w:val="single" w:sz="4" w:space="0" w:color="000000"/>
              <w:bottom w:val="single" w:sz="4" w:space="0" w:color="000000"/>
            </w:tcBorders>
          </w:tcPr>
          <w:p>
            <w:pPr>
              <w:pStyle w:val="TableParagraph"/>
              <w:spacing w:line="221" w:lineRule="exact"/>
              <w:ind w:left="23" w:right="16"/>
              <w:jc w:val="center"/>
              <w:rPr>
                <w:rFonts w:ascii="Arial"/>
                <w:b/>
                <w:sz w:val="20"/>
              </w:rPr>
            </w:pPr>
            <w:r>
              <w:rPr>
                <w:rFonts w:ascii="Arial"/>
                <w:b/>
                <w:spacing w:val="-10"/>
                <w:sz w:val="20"/>
              </w:rPr>
              <w:t>F</w:t>
            </w:r>
          </w:p>
        </w:tc>
        <w:tc>
          <w:tcPr>
            <w:tcW w:w="734" w:type="dxa"/>
            <w:tcBorders>
              <w:top w:val="single" w:sz="4" w:space="0" w:color="000000"/>
              <w:bottom w:val="single" w:sz="4" w:space="0" w:color="000000"/>
              <w:right w:val="single" w:sz="4" w:space="0" w:color="000000"/>
            </w:tcBorders>
          </w:tcPr>
          <w:p>
            <w:pPr>
              <w:pStyle w:val="TableParagraph"/>
              <w:spacing w:line="221" w:lineRule="exact"/>
              <w:ind w:left="85" w:right="60"/>
              <w:jc w:val="center"/>
              <w:rPr>
                <w:rFonts w:ascii="Arial"/>
                <w:b/>
                <w:sz w:val="20"/>
              </w:rPr>
            </w:pPr>
            <w:r>
              <w:rPr>
                <w:rFonts w:ascii="Arial"/>
                <w:b/>
                <w:spacing w:val="-10"/>
                <w:sz w:val="20"/>
              </w:rPr>
              <w:t>%</w:t>
            </w:r>
          </w:p>
        </w:tc>
      </w:tr>
      <w:tr>
        <w:trPr>
          <w:trHeight w:val="227" w:hRule="atLeast"/>
        </w:trPr>
        <w:tc>
          <w:tcPr>
            <w:tcW w:w="3727" w:type="dxa"/>
            <w:tcBorders>
              <w:top w:val="single" w:sz="4" w:space="0" w:color="000000"/>
              <w:left w:val="single" w:sz="4" w:space="0" w:color="000000"/>
            </w:tcBorders>
          </w:tcPr>
          <w:p>
            <w:pPr>
              <w:pStyle w:val="TableParagraph"/>
              <w:tabs>
                <w:tab w:pos="1175" w:val="left" w:leader="none"/>
              </w:tabs>
              <w:spacing w:line="208" w:lineRule="exact"/>
              <w:ind w:left="287"/>
              <w:rPr>
                <w:rFonts w:ascii="Arial"/>
                <w:b/>
                <w:sz w:val="20"/>
              </w:rPr>
            </w:pPr>
            <w:r>
              <w:rPr>
                <w:rFonts w:ascii="Arial"/>
                <w:b/>
                <w:spacing w:val="-10"/>
                <w:sz w:val="20"/>
              </w:rPr>
              <w:t>B</w:t>
            </w:r>
            <w:r>
              <w:rPr>
                <w:rFonts w:ascii="Arial"/>
                <w:b/>
                <w:sz w:val="20"/>
              </w:rPr>
              <w:tab/>
            </w:r>
            <w:r>
              <w:rPr>
                <w:rFonts w:ascii="Arial"/>
                <w:b/>
                <w:spacing w:val="-2"/>
                <w:sz w:val="20"/>
                <w:u w:val="single"/>
              </w:rPr>
              <w:t>ACADEMIC</w:t>
            </w:r>
            <w:r>
              <w:rPr>
                <w:rFonts w:ascii="Arial"/>
                <w:b/>
                <w:spacing w:val="1"/>
                <w:sz w:val="20"/>
                <w:u w:val="single"/>
              </w:rPr>
              <w:t> </w:t>
            </w:r>
            <w:r>
              <w:rPr>
                <w:rFonts w:ascii="Arial"/>
                <w:b/>
                <w:spacing w:val="-2"/>
                <w:sz w:val="20"/>
                <w:u w:val="single"/>
              </w:rPr>
              <w:t>SERVICES</w:t>
            </w:r>
          </w:p>
        </w:tc>
        <w:tc>
          <w:tcPr>
            <w:tcW w:w="1855" w:type="dxa"/>
            <w:tcBorders>
              <w:top w:val="single" w:sz="4" w:space="0" w:color="000000"/>
            </w:tcBorders>
          </w:tcPr>
          <w:p>
            <w:pPr>
              <w:pStyle w:val="TableParagraph"/>
              <w:spacing w:line="208" w:lineRule="exact"/>
              <w:ind w:left="165"/>
              <w:rPr>
                <w:sz w:val="20"/>
              </w:rPr>
            </w:pPr>
            <w:r>
              <w:rPr>
                <w:sz w:val="20"/>
              </w:rPr>
              <w:t>No.</w:t>
            </w:r>
            <w:r>
              <w:rPr>
                <w:spacing w:val="-5"/>
                <w:sz w:val="20"/>
              </w:rPr>
              <w:t> </w:t>
            </w:r>
            <w:r>
              <w:rPr>
                <w:sz w:val="20"/>
              </w:rPr>
              <w:t>of</w:t>
            </w:r>
            <w:r>
              <w:rPr>
                <w:spacing w:val="-2"/>
                <w:sz w:val="20"/>
              </w:rPr>
              <w:t> missing</w:t>
            </w:r>
          </w:p>
        </w:tc>
        <w:tc>
          <w:tcPr>
            <w:tcW w:w="529" w:type="dxa"/>
            <w:tcBorders>
              <w:top w:val="single" w:sz="4" w:space="0" w:color="000000"/>
            </w:tcBorders>
          </w:tcPr>
          <w:p>
            <w:pPr>
              <w:pStyle w:val="TableParagraph"/>
              <w:rPr>
                <w:rFonts w:ascii="Times New Roman"/>
                <w:sz w:val="16"/>
              </w:rPr>
            </w:pPr>
          </w:p>
        </w:tc>
        <w:tc>
          <w:tcPr>
            <w:tcW w:w="569" w:type="dxa"/>
            <w:tcBorders>
              <w:top w:val="single" w:sz="4" w:space="0" w:color="000000"/>
            </w:tcBorders>
          </w:tcPr>
          <w:p>
            <w:pPr>
              <w:pStyle w:val="TableParagraph"/>
              <w:rPr>
                <w:rFonts w:ascii="Times New Roman"/>
                <w:sz w:val="16"/>
              </w:rPr>
            </w:pPr>
          </w:p>
        </w:tc>
        <w:tc>
          <w:tcPr>
            <w:tcW w:w="559" w:type="dxa"/>
            <w:tcBorders>
              <w:top w:val="single" w:sz="4" w:space="0" w:color="000000"/>
            </w:tcBorders>
          </w:tcPr>
          <w:p>
            <w:pPr>
              <w:pStyle w:val="TableParagraph"/>
              <w:rPr>
                <w:rFonts w:ascii="Times New Roman"/>
                <w:sz w:val="16"/>
              </w:rPr>
            </w:pPr>
          </w:p>
        </w:tc>
        <w:tc>
          <w:tcPr>
            <w:tcW w:w="677" w:type="dxa"/>
            <w:tcBorders>
              <w:top w:val="single" w:sz="4" w:space="0" w:color="000000"/>
            </w:tcBorders>
          </w:tcPr>
          <w:p>
            <w:pPr>
              <w:pStyle w:val="TableParagraph"/>
              <w:rPr>
                <w:rFonts w:ascii="Times New Roman"/>
                <w:sz w:val="16"/>
              </w:rPr>
            </w:pPr>
          </w:p>
        </w:tc>
        <w:tc>
          <w:tcPr>
            <w:tcW w:w="771" w:type="dxa"/>
            <w:tcBorders>
              <w:top w:val="single" w:sz="4" w:space="0" w:color="000000"/>
            </w:tcBorders>
          </w:tcPr>
          <w:p>
            <w:pPr>
              <w:pStyle w:val="TableParagraph"/>
              <w:rPr>
                <w:rFonts w:ascii="Times New Roman"/>
                <w:sz w:val="16"/>
              </w:rPr>
            </w:pPr>
          </w:p>
        </w:tc>
        <w:tc>
          <w:tcPr>
            <w:tcW w:w="879" w:type="dxa"/>
            <w:tcBorders>
              <w:top w:val="single" w:sz="4" w:space="0" w:color="000000"/>
            </w:tcBorders>
          </w:tcPr>
          <w:p>
            <w:pPr>
              <w:pStyle w:val="TableParagraph"/>
              <w:rPr>
                <w:rFonts w:ascii="Times New Roman"/>
                <w:sz w:val="16"/>
              </w:rPr>
            </w:pPr>
          </w:p>
        </w:tc>
        <w:tc>
          <w:tcPr>
            <w:tcW w:w="687" w:type="dxa"/>
            <w:tcBorders>
              <w:top w:val="single" w:sz="4" w:space="0" w:color="000000"/>
            </w:tcBorders>
          </w:tcPr>
          <w:p>
            <w:pPr>
              <w:pStyle w:val="TableParagraph"/>
              <w:rPr>
                <w:rFonts w:ascii="Times New Roman"/>
                <w:sz w:val="16"/>
              </w:rPr>
            </w:pPr>
          </w:p>
        </w:tc>
        <w:tc>
          <w:tcPr>
            <w:tcW w:w="800" w:type="dxa"/>
            <w:tcBorders>
              <w:top w:val="single" w:sz="4" w:space="0" w:color="000000"/>
            </w:tcBorders>
          </w:tcPr>
          <w:p>
            <w:pPr>
              <w:pStyle w:val="TableParagraph"/>
              <w:rPr>
                <w:rFonts w:ascii="Times New Roman"/>
                <w:sz w:val="16"/>
              </w:rPr>
            </w:pPr>
          </w:p>
        </w:tc>
        <w:tc>
          <w:tcPr>
            <w:tcW w:w="627" w:type="dxa"/>
            <w:tcBorders>
              <w:top w:val="single" w:sz="4" w:space="0" w:color="000000"/>
            </w:tcBorders>
          </w:tcPr>
          <w:p>
            <w:pPr>
              <w:pStyle w:val="TableParagraph"/>
              <w:rPr>
                <w:rFonts w:ascii="Times New Roman"/>
                <w:sz w:val="16"/>
              </w:rPr>
            </w:pPr>
          </w:p>
        </w:tc>
        <w:tc>
          <w:tcPr>
            <w:tcW w:w="771" w:type="dxa"/>
            <w:tcBorders>
              <w:top w:val="single" w:sz="4" w:space="0" w:color="000000"/>
            </w:tcBorders>
          </w:tcPr>
          <w:p>
            <w:pPr>
              <w:pStyle w:val="TableParagraph"/>
              <w:rPr>
                <w:rFonts w:ascii="Times New Roman"/>
                <w:sz w:val="16"/>
              </w:rPr>
            </w:pPr>
          </w:p>
        </w:tc>
        <w:tc>
          <w:tcPr>
            <w:tcW w:w="692" w:type="dxa"/>
            <w:tcBorders>
              <w:top w:val="single" w:sz="4" w:space="0" w:color="000000"/>
            </w:tcBorders>
          </w:tcPr>
          <w:p>
            <w:pPr>
              <w:pStyle w:val="TableParagraph"/>
              <w:rPr>
                <w:rFonts w:ascii="Times New Roman"/>
                <w:sz w:val="16"/>
              </w:rPr>
            </w:pPr>
          </w:p>
        </w:tc>
        <w:tc>
          <w:tcPr>
            <w:tcW w:w="734" w:type="dxa"/>
            <w:tcBorders>
              <w:top w:val="single" w:sz="4" w:space="0" w:color="000000"/>
              <w:right w:val="single" w:sz="4" w:space="0" w:color="000000"/>
            </w:tcBorders>
          </w:tcPr>
          <w:p>
            <w:pPr>
              <w:pStyle w:val="TableParagraph"/>
              <w:rPr>
                <w:rFonts w:ascii="Times New Roman"/>
                <w:sz w:val="16"/>
              </w:rPr>
            </w:pPr>
          </w:p>
        </w:tc>
      </w:tr>
      <w:tr>
        <w:trPr>
          <w:trHeight w:val="230" w:hRule="atLeast"/>
        </w:trPr>
        <w:tc>
          <w:tcPr>
            <w:tcW w:w="3727" w:type="dxa"/>
            <w:tcBorders>
              <w:left w:val="single" w:sz="4" w:space="0" w:color="000000"/>
            </w:tcBorders>
          </w:tcPr>
          <w:p>
            <w:pPr>
              <w:pStyle w:val="TableParagraph"/>
              <w:rPr>
                <w:rFonts w:ascii="Times New Roman"/>
                <w:sz w:val="16"/>
              </w:rPr>
            </w:pPr>
          </w:p>
        </w:tc>
        <w:tc>
          <w:tcPr>
            <w:tcW w:w="1855" w:type="dxa"/>
          </w:tcPr>
          <w:p>
            <w:pPr>
              <w:pStyle w:val="TableParagraph"/>
              <w:spacing w:line="210" w:lineRule="exact"/>
              <w:ind w:left="165"/>
              <w:rPr>
                <w:sz w:val="20"/>
              </w:rPr>
            </w:pPr>
            <w:r>
              <w:rPr>
                <w:spacing w:val="-2"/>
                <w:sz w:val="20"/>
              </w:rPr>
              <w:t>observations</w:t>
            </w:r>
          </w:p>
        </w:tc>
        <w:tc>
          <w:tcPr>
            <w:tcW w:w="529" w:type="dxa"/>
          </w:tcPr>
          <w:p>
            <w:pPr>
              <w:pStyle w:val="TableParagraph"/>
              <w:spacing w:line="210" w:lineRule="exact"/>
              <w:ind w:left="30" w:right="2"/>
              <w:jc w:val="center"/>
              <w:rPr>
                <w:sz w:val="20"/>
              </w:rPr>
            </w:pPr>
            <w:r>
              <w:rPr>
                <w:spacing w:val="-10"/>
                <w:sz w:val="20"/>
              </w:rPr>
              <w:t>-</w:t>
            </w:r>
          </w:p>
        </w:tc>
        <w:tc>
          <w:tcPr>
            <w:tcW w:w="569" w:type="dxa"/>
          </w:tcPr>
          <w:p>
            <w:pPr>
              <w:pStyle w:val="TableParagraph"/>
              <w:spacing w:line="210" w:lineRule="exact"/>
              <w:ind w:right="245"/>
              <w:jc w:val="right"/>
              <w:rPr>
                <w:sz w:val="20"/>
              </w:rPr>
            </w:pPr>
            <w:r>
              <w:rPr>
                <w:spacing w:val="-10"/>
                <w:sz w:val="20"/>
              </w:rPr>
              <w:t>-</w:t>
            </w:r>
          </w:p>
        </w:tc>
        <w:tc>
          <w:tcPr>
            <w:tcW w:w="559" w:type="dxa"/>
          </w:tcPr>
          <w:p>
            <w:pPr>
              <w:pStyle w:val="TableParagraph"/>
              <w:spacing w:line="210" w:lineRule="exact"/>
              <w:ind w:left="3" w:right="38"/>
              <w:jc w:val="center"/>
              <w:rPr>
                <w:sz w:val="20"/>
              </w:rPr>
            </w:pPr>
            <w:r>
              <w:rPr>
                <w:spacing w:val="-10"/>
                <w:sz w:val="20"/>
              </w:rPr>
              <w:t>-</w:t>
            </w:r>
          </w:p>
        </w:tc>
        <w:tc>
          <w:tcPr>
            <w:tcW w:w="677" w:type="dxa"/>
          </w:tcPr>
          <w:p>
            <w:pPr>
              <w:pStyle w:val="TableParagraph"/>
              <w:spacing w:line="210" w:lineRule="exact"/>
              <w:ind w:left="62" w:right="66"/>
              <w:jc w:val="center"/>
              <w:rPr>
                <w:sz w:val="20"/>
              </w:rPr>
            </w:pPr>
            <w:r>
              <w:rPr>
                <w:spacing w:val="-10"/>
                <w:sz w:val="20"/>
              </w:rPr>
              <w:t>-</w:t>
            </w:r>
          </w:p>
        </w:tc>
        <w:tc>
          <w:tcPr>
            <w:tcW w:w="771" w:type="dxa"/>
          </w:tcPr>
          <w:p>
            <w:pPr>
              <w:pStyle w:val="TableParagraph"/>
              <w:spacing w:line="210" w:lineRule="exact"/>
              <w:ind w:left="45" w:right="50"/>
              <w:jc w:val="center"/>
              <w:rPr>
                <w:sz w:val="20"/>
              </w:rPr>
            </w:pPr>
            <w:r>
              <w:rPr>
                <w:spacing w:val="-10"/>
                <w:sz w:val="20"/>
              </w:rPr>
              <w:t>1</w:t>
            </w:r>
          </w:p>
        </w:tc>
        <w:tc>
          <w:tcPr>
            <w:tcW w:w="879" w:type="dxa"/>
          </w:tcPr>
          <w:p>
            <w:pPr>
              <w:pStyle w:val="TableParagraph"/>
              <w:spacing w:line="210" w:lineRule="exact"/>
              <w:ind w:left="7" w:right="20"/>
              <w:jc w:val="center"/>
              <w:rPr>
                <w:sz w:val="20"/>
              </w:rPr>
            </w:pPr>
            <w:r>
              <w:rPr>
                <w:spacing w:val="-4"/>
                <w:sz w:val="20"/>
              </w:rPr>
              <w:t>50.0</w:t>
            </w:r>
          </w:p>
        </w:tc>
        <w:tc>
          <w:tcPr>
            <w:tcW w:w="687" w:type="dxa"/>
          </w:tcPr>
          <w:p>
            <w:pPr>
              <w:pStyle w:val="TableParagraph"/>
              <w:spacing w:line="210" w:lineRule="exact"/>
              <w:ind w:left="107" w:right="48"/>
              <w:jc w:val="center"/>
              <w:rPr>
                <w:sz w:val="20"/>
              </w:rPr>
            </w:pPr>
            <w:r>
              <w:rPr>
                <w:spacing w:val="-10"/>
                <w:sz w:val="20"/>
              </w:rPr>
              <w:t>1</w:t>
            </w:r>
          </w:p>
        </w:tc>
        <w:tc>
          <w:tcPr>
            <w:tcW w:w="800" w:type="dxa"/>
          </w:tcPr>
          <w:p>
            <w:pPr>
              <w:pStyle w:val="TableParagraph"/>
              <w:spacing w:line="210" w:lineRule="exact"/>
              <w:ind w:left="18" w:right="6"/>
              <w:jc w:val="center"/>
              <w:rPr>
                <w:sz w:val="20"/>
              </w:rPr>
            </w:pPr>
            <w:r>
              <w:rPr>
                <w:spacing w:val="-4"/>
                <w:sz w:val="20"/>
              </w:rPr>
              <w:t>50.0</w:t>
            </w:r>
          </w:p>
        </w:tc>
        <w:tc>
          <w:tcPr>
            <w:tcW w:w="627" w:type="dxa"/>
          </w:tcPr>
          <w:p>
            <w:pPr>
              <w:pStyle w:val="TableParagraph"/>
              <w:spacing w:line="210" w:lineRule="exact"/>
              <w:ind w:left="23" w:right="23"/>
              <w:jc w:val="center"/>
              <w:rPr>
                <w:sz w:val="20"/>
              </w:rPr>
            </w:pPr>
            <w:r>
              <w:rPr>
                <w:spacing w:val="-10"/>
                <w:sz w:val="20"/>
              </w:rPr>
              <w:t>-</w:t>
            </w:r>
          </w:p>
        </w:tc>
        <w:tc>
          <w:tcPr>
            <w:tcW w:w="771" w:type="dxa"/>
          </w:tcPr>
          <w:p>
            <w:pPr>
              <w:pStyle w:val="TableParagraph"/>
              <w:spacing w:line="210" w:lineRule="exact"/>
              <w:ind w:left="45" w:right="23"/>
              <w:jc w:val="center"/>
              <w:rPr>
                <w:sz w:val="20"/>
              </w:rPr>
            </w:pPr>
            <w:r>
              <w:rPr>
                <w:spacing w:val="-10"/>
                <w:sz w:val="20"/>
              </w:rPr>
              <w:t>-</w:t>
            </w:r>
          </w:p>
        </w:tc>
        <w:tc>
          <w:tcPr>
            <w:tcW w:w="692" w:type="dxa"/>
          </w:tcPr>
          <w:p>
            <w:pPr>
              <w:pStyle w:val="TableParagraph"/>
              <w:spacing w:line="210" w:lineRule="exact"/>
              <w:ind w:left="23" w:right="17"/>
              <w:jc w:val="center"/>
              <w:rPr>
                <w:sz w:val="20"/>
              </w:rPr>
            </w:pPr>
            <w:r>
              <w:rPr>
                <w:spacing w:val="-10"/>
                <w:sz w:val="20"/>
              </w:rPr>
              <w:t>2</w:t>
            </w:r>
          </w:p>
        </w:tc>
        <w:tc>
          <w:tcPr>
            <w:tcW w:w="734" w:type="dxa"/>
            <w:tcBorders>
              <w:right w:val="single" w:sz="4" w:space="0" w:color="000000"/>
            </w:tcBorders>
          </w:tcPr>
          <w:p>
            <w:pPr>
              <w:pStyle w:val="TableParagraph"/>
              <w:spacing w:line="210" w:lineRule="exact"/>
              <w:ind w:left="85" w:right="65"/>
              <w:jc w:val="center"/>
              <w:rPr>
                <w:sz w:val="20"/>
              </w:rPr>
            </w:pPr>
            <w:r>
              <w:rPr>
                <w:spacing w:val="-5"/>
                <w:sz w:val="20"/>
              </w:rPr>
              <w:t>0.4</w:t>
            </w:r>
          </w:p>
        </w:tc>
      </w:tr>
      <w:tr>
        <w:trPr>
          <w:trHeight w:val="230" w:hRule="atLeast"/>
        </w:trPr>
        <w:tc>
          <w:tcPr>
            <w:tcW w:w="3727" w:type="dxa"/>
            <w:tcBorders>
              <w:left w:val="single" w:sz="4" w:space="0" w:color="000000"/>
            </w:tcBorders>
          </w:tcPr>
          <w:p>
            <w:pPr>
              <w:pStyle w:val="TableParagraph"/>
              <w:tabs>
                <w:tab w:pos="830" w:val="left" w:leader="none"/>
              </w:tabs>
              <w:spacing w:line="210" w:lineRule="exact"/>
              <w:ind w:left="220"/>
              <w:rPr>
                <w:sz w:val="20"/>
              </w:rPr>
            </w:pPr>
            <w:r>
              <w:rPr>
                <w:spacing w:val="-5"/>
                <w:sz w:val="20"/>
              </w:rPr>
              <w:t>13.</w:t>
            </w:r>
            <w:r>
              <w:rPr>
                <w:sz w:val="20"/>
              </w:rPr>
              <w:tab/>
            </w:r>
            <w:r>
              <w:rPr>
                <w:spacing w:val="-2"/>
                <w:sz w:val="20"/>
              </w:rPr>
              <w:t>Classroom/Lecture</w:t>
            </w:r>
            <w:r>
              <w:rPr>
                <w:spacing w:val="17"/>
                <w:sz w:val="20"/>
              </w:rPr>
              <w:t> </w:t>
            </w:r>
            <w:r>
              <w:rPr>
                <w:spacing w:val="-4"/>
                <w:sz w:val="20"/>
              </w:rPr>
              <w:t>hall</w:t>
            </w:r>
          </w:p>
        </w:tc>
        <w:tc>
          <w:tcPr>
            <w:tcW w:w="1855" w:type="dxa"/>
          </w:tcPr>
          <w:p>
            <w:pPr>
              <w:pStyle w:val="TableParagraph"/>
              <w:spacing w:line="210" w:lineRule="exact"/>
              <w:ind w:left="165"/>
              <w:rPr>
                <w:sz w:val="20"/>
              </w:rPr>
            </w:pPr>
            <w:r>
              <w:rPr>
                <w:spacing w:val="-2"/>
                <w:sz w:val="20"/>
              </w:rPr>
              <w:t>Students</w:t>
            </w:r>
          </w:p>
        </w:tc>
        <w:tc>
          <w:tcPr>
            <w:tcW w:w="529" w:type="dxa"/>
          </w:tcPr>
          <w:p>
            <w:pPr>
              <w:pStyle w:val="TableParagraph"/>
              <w:spacing w:line="210" w:lineRule="exact"/>
              <w:ind w:left="30" w:right="5"/>
              <w:jc w:val="center"/>
              <w:rPr>
                <w:sz w:val="20"/>
              </w:rPr>
            </w:pPr>
            <w:r>
              <w:rPr>
                <w:spacing w:val="-10"/>
                <w:sz w:val="20"/>
              </w:rPr>
              <w:t>1</w:t>
            </w:r>
          </w:p>
        </w:tc>
        <w:tc>
          <w:tcPr>
            <w:tcW w:w="569" w:type="dxa"/>
          </w:tcPr>
          <w:p>
            <w:pPr>
              <w:pStyle w:val="TableParagraph"/>
              <w:spacing w:line="210" w:lineRule="exact"/>
              <w:ind w:right="138"/>
              <w:jc w:val="right"/>
              <w:rPr>
                <w:sz w:val="20"/>
              </w:rPr>
            </w:pPr>
            <w:r>
              <w:rPr>
                <w:spacing w:val="-5"/>
                <w:sz w:val="20"/>
              </w:rPr>
              <w:t>0.4</w:t>
            </w:r>
          </w:p>
        </w:tc>
        <w:tc>
          <w:tcPr>
            <w:tcW w:w="559" w:type="dxa"/>
          </w:tcPr>
          <w:p>
            <w:pPr>
              <w:pStyle w:val="TableParagraph"/>
              <w:spacing w:line="210" w:lineRule="exact"/>
              <w:ind w:right="38"/>
              <w:jc w:val="center"/>
              <w:rPr>
                <w:sz w:val="20"/>
              </w:rPr>
            </w:pPr>
            <w:r>
              <w:rPr>
                <w:spacing w:val="-10"/>
                <w:sz w:val="20"/>
              </w:rPr>
              <w:t>2</w:t>
            </w:r>
          </w:p>
        </w:tc>
        <w:tc>
          <w:tcPr>
            <w:tcW w:w="677" w:type="dxa"/>
          </w:tcPr>
          <w:p>
            <w:pPr>
              <w:pStyle w:val="TableParagraph"/>
              <w:spacing w:line="210" w:lineRule="exact"/>
              <w:ind w:left="62" w:right="64"/>
              <w:jc w:val="center"/>
              <w:rPr>
                <w:sz w:val="20"/>
              </w:rPr>
            </w:pPr>
            <w:r>
              <w:rPr>
                <w:spacing w:val="-5"/>
                <w:sz w:val="20"/>
              </w:rPr>
              <w:t>0.9</w:t>
            </w:r>
          </w:p>
        </w:tc>
        <w:tc>
          <w:tcPr>
            <w:tcW w:w="771" w:type="dxa"/>
          </w:tcPr>
          <w:p>
            <w:pPr>
              <w:pStyle w:val="TableParagraph"/>
              <w:spacing w:line="210" w:lineRule="exact"/>
              <w:ind w:left="45" w:right="59"/>
              <w:jc w:val="center"/>
              <w:rPr>
                <w:sz w:val="20"/>
              </w:rPr>
            </w:pPr>
            <w:r>
              <w:rPr>
                <w:spacing w:val="-5"/>
                <w:sz w:val="20"/>
              </w:rPr>
              <w:t>157</w:t>
            </w:r>
          </w:p>
        </w:tc>
        <w:tc>
          <w:tcPr>
            <w:tcW w:w="879" w:type="dxa"/>
          </w:tcPr>
          <w:p>
            <w:pPr>
              <w:pStyle w:val="TableParagraph"/>
              <w:spacing w:line="210" w:lineRule="exact"/>
              <w:ind w:left="7" w:right="20"/>
              <w:jc w:val="center"/>
              <w:rPr>
                <w:sz w:val="20"/>
              </w:rPr>
            </w:pPr>
            <w:r>
              <w:rPr>
                <w:spacing w:val="-4"/>
                <w:sz w:val="20"/>
              </w:rPr>
              <w:t>66.8</w:t>
            </w:r>
          </w:p>
        </w:tc>
        <w:tc>
          <w:tcPr>
            <w:tcW w:w="687" w:type="dxa"/>
          </w:tcPr>
          <w:p>
            <w:pPr>
              <w:pStyle w:val="TableParagraph"/>
              <w:spacing w:line="210" w:lineRule="exact"/>
              <w:ind w:left="103" w:right="48"/>
              <w:jc w:val="center"/>
              <w:rPr>
                <w:sz w:val="20"/>
              </w:rPr>
            </w:pPr>
            <w:r>
              <w:rPr>
                <w:spacing w:val="-5"/>
                <w:sz w:val="20"/>
              </w:rPr>
              <w:t>56</w:t>
            </w:r>
          </w:p>
        </w:tc>
        <w:tc>
          <w:tcPr>
            <w:tcW w:w="800" w:type="dxa"/>
          </w:tcPr>
          <w:p>
            <w:pPr>
              <w:pStyle w:val="TableParagraph"/>
              <w:spacing w:line="210" w:lineRule="exact"/>
              <w:ind w:left="18" w:right="6"/>
              <w:jc w:val="center"/>
              <w:rPr>
                <w:sz w:val="20"/>
              </w:rPr>
            </w:pPr>
            <w:r>
              <w:rPr>
                <w:spacing w:val="-4"/>
                <w:sz w:val="20"/>
              </w:rPr>
              <w:t>23.8</w:t>
            </w:r>
          </w:p>
        </w:tc>
        <w:tc>
          <w:tcPr>
            <w:tcW w:w="627" w:type="dxa"/>
          </w:tcPr>
          <w:p>
            <w:pPr>
              <w:pStyle w:val="TableParagraph"/>
              <w:spacing w:line="210" w:lineRule="exact"/>
              <w:ind w:left="23" w:right="22"/>
              <w:jc w:val="center"/>
              <w:rPr>
                <w:sz w:val="20"/>
              </w:rPr>
            </w:pPr>
            <w:r>
              <w:rPr>
                <w:spacing w:val="-5"/>
                <w:sz w:val="20"/>
              </w:rPr>
              <w:t>19</w:t>
            </w:r>
          </w:p>
        </w:tc>
        <w:tc>
          <w:tcPr>
            <w:tcW w:w="771" w:type="dxa"/>
          </w:tcPr>
          <w:p>
            <w:pPr>
              <w:pStyle w:val="TableParagraph"/>
              <w:spacing w:line="210" w:lineRule="exact"/>
              <w:ind w:left="45" w:right="21"/>
              <w:jc w:val="center"/>
              <w:rPr>
                <w:sz w:val="20"/>
              </w:rPr>
            </w:pPr>
            <w:r>
              <w:rPr>
                <w:spacing w:val="-5"/>
                <w:sz w:val="20"/>
              </w:rPr>
              <w:t>8.1</w:t>
            </w:r>
          </w:p>
        </w:tc>
        <w:tc>
          <w:tcPr>
            <w:tcW w:w="692" w:type="dxa"/>
          </w:tcPr>
          <w:p>
            <w:pPr>
              <w:pStyle w:val="TableParagraph"/>
              <w:spacing w:line="210" w:lineRule="exact"/>
              <w:ind w:left="23" w:right="24"/>
              <w:jc w:val="center"/>
              <w:rPr>
                <w:sz w:val="20"/>
              </w:rPr>
            </w:pPr>
            <w:r>
              <w:rPr>
                <w:spacing w:val="-5"/>
                <w:sz w:val="20"/>
              </w:rPr>
              <w:t>235</w:t>
            </w:r>
          </w:p>
        </w:tc>
        <w:tc>
          <w:tcPr>
            <w:tcW w:w="734" w:type="dxa"/>
            <w:tcBorders>
              <w:right w:val="single" w:sz="4" w:space="0" w:color="000000"/>
            </w:tcBorders>
          </w:tcPr>
          <w:p>
            <w:pPr>
              <w:pStyle w:val="TableParagraph"/>
              <w:spacing w:line="210" w:lineRule="exact"/>
              <w:ind w:left="85" w:right="60"/>
              <w:jc w:val="center"/>
              <w:rPr>
                <w:sz w:val="20"/>
              </w:rPr>
            </w:pPr>
            <w:r>
              <w:rPr>
                <w:spacing w:val="-4"/>
                <w:sz w:val="20"/>
              </w:rPr>
              <w:t>50.8</w:t>
            </w:r>
          </w:p>
        </w:tc>
      </w:tr>
      <w:tr>
        <w:trPr>
          <w:trHeight w:val="230" w:hRule="atLeast"/>
        </w:trPr>
        <w:tc>
          <w:tcPr>
            <w:tcW w:w="3727" w:type="dxa"/>
            <w:tcBorders>
              <w:left w:val="single" w:sz="4" w:space="0" w:color="000000"/>
            </w:tcBorders>
          </w:tcPr>
          <w:p>
            <w:pPr>
              <w:pStyle w:val="TableParagraph"/>
              <w:spacing w:line="210" w:lineRule="exact"/>
              <w:ind w:left="830"/>
              <w:rPr>
                <w:sz w:val="20"/>
              </w:rPr>
            </w:pPr>
            <w:r>
              <w:rPr>
                <w:spacing w:val="-2"/>
                <w:sz w:val="20"/>
              </w:rPr>
              <w:t>accommodation</w:t>
            </w:r>
          </w:p>
        </w:tc>
        <w:tc>
          <w:tcPr>
            <w:tcW w:w="1855" w:type="dxa"/>
          </w:tcPr>
          <w:p>
            <w:pPr>
              <w:pStyle w:val="TableParagraph"/>
              <w:spacing w:line="210" w:lineRule="exact"/>
              <w:ind w:left="165"/>
              <w:rPr>
                <w:sz w:val="20"/>
              </w:rPr>
            </w:pPr>
            <w:r>
              <w:rPr>
                <w:sz w:val="20"/>
              </w:rPr>
              <w:t>Service</w:t>
            </w:r>
            <w:r>
              <w:rPr>
                <w:spacing w:val="-9"/>
                <w:sz w:val="20"/>
              </w:rPr>
              <w:t> </w:t>
            </w:r>
            <w:r>
              <w:rPr>
                <w:spacing w:val="-2"/>
                <w:sz w:val="20"/>
              </w:rPr>
              <w:t>Staff</w:t>
            </w:r>
          </w:p>
        </w:tc>
        <w:tc>
          <w:tcPr>
            <w:tcW w:w="529" w:type="dxa"/>
          </w:tcPr>
          <w:p>
            <w:pPr>
              <w:pStyle w:val="TableParagraph"/>
              <w:spacing w:line="210" w:lineRule="exact"/>
              <w:ind w:left="30" w:right="5"/>
              <w:jc w:val="center"/>
              <w:rPr>
                <w:sz w:val="20"/>
              </w:rPr>
            </w:pPr>
            <w:r>
              <w:rPr>
                <w:spacing w:val="-10"/>
                <w:sz w:val="20"/>
              </w:rPr>
              <w:t>8</w:t>
            </w:r>
          </w:p>
        </w:tc>
        <w:tc>
          <w:tcPr>
            <w:tcW w:w="569" w:type="dxa"/>
          </w:tcPr>
          <w:p>
            <w:pPr>
              <w:pStyle w:val="TableParagraph"/>
              <w:spacing w:line="210" w:lineRule="exact"/>
              <w:ind w:right="138"/>
              <w:jc w:val="right"/>
              <w:rPr>
                <w:sz w:val="20"/>
              </w:rPr>
            </w:pPr>
            <w:r>
              <w:rPr>
                <w:spacing w:val="-5"/>
                <w:sz w:val="20"/>
              </w:rPr>
              <w:t>3.9</w:t>
            </w:r>
          </w:p>
        </w:tc>
        <w:tc>
          <w:tcPr>
            <w:tcW w:w="559" w:type="dxa"/>
          </w:tcPr>
          <w:p>
            <w:pPr>
              <w:pStyle w:val="TableParagraph"/>
              <w:spacing w:line="210" w:lineRule="exact"/>
              <w:ind w:right="38"/>
              <w:jc w:val="center"/>
              <w:rPr>
                <w:sz w:val="20"/>
              </w:rPr>
            </w:pPr>
            <w:r>
              <w:rPr>
                <w:spacing w:val="-10"/>
                <w:sz w:val="20"/>
              </w:rPr>
              <w:t>4</w:t>
            </w:r>
          </w:p>
        </w:tc>
        <w:tc>
          <w:tcPr>
            <w:tcW w:w="677" w:type="dxa"/>
          </w:tcPr>
          <w:p>
            <w:pPr>
              <w:pStyle w:val="TableParagraph"/>
              <w:spacing w:line="210" w:lineRule="exact"/>
              <w:ind w:left="62" w:right="64"/>
              <w:jc w:val="center"/>
              <w:rPr>
                <w:sz w:val="20"/>
              </w:rPr>
            </w:pPr>
            <w:r>
              <w:rPr>
                <w:spacing w:val="-5"/>
                <w:sz w:val="20"/>
              </w:rPr>
              <w:t>2.0</w:t>
            </w:r>
          </w:p>
        </w:tc>
        <w:tc>
          <w:tcPr>
            <w:tcW w:w="771" w:type="dxa"/>
          </w:tcPr>
          <w:p>
            <w:pPr>
              <w:pStyle w:val="TableParagraph"/>
              <w:spacing w:line="210" w:lineRule="exact"/>
              <w:ind w:left="45" w:right="59"/>
              <w:jc w:val="center"/>
              <w:rPr>
                <w:sz w:val="20"/>
              </w:rPr>
            </w:pPr>
            <w:r>
              <w:rPr>
                <w:spacing w:val="-5"/>
                <w:sz w:val="20"/>
              </w:rPr>
              <w:t>113</w:t>
            </w:r>
          </w:p>
        </w:tc>
        <w:tc>
          <w:tcPr>
            <w:tcW w:w="879" w:type="dxa"/>
          </w:tcPr>
          <w:p>
            <w:pPr>
              <w:pStyle w:val="TableParagraph"/>
              <w:spacing w:line="210" w:lineRule="exact"/>
              <w:ind w:left="7" w:right="20"/>
              <w:jc w:val="center"/>
              <w:rPr>
                <w:sz w:val="20"/>
              </w:rPr>
            </w:pPr>
            <w:r>
              <w:rPr>
                <w:spacing w:val="-4"/>
                <w:sz w:val="20"/>
              </w:rPr>
              <w:t>55.7</w:t>
            </w:r>
          </w:p>
        </w:tc>
        <w:tc>
          <w:tcPr>
            <w:tcW w:w="687" w:type="dxa"/>
          </w:tcPr>
          <w:p>
            <w:pPr>
              <w:pStyle w:val="TableParagraph"/>
              <w:spacing w:line="210" w:lineRule="exact"/>
              <w:ind w:left="103" w:right="48"/>
              <w:jc w:val="center"/>
              <w:rPr>
                <w:sz w:val="20"/>
              </w:rPr>
            </w:pPr>
            <w:r>
              <w:rPr>
                <w:spacing w:val="-5"/>
                <w:sz w:val="20"/>
              </w:rPr>
              <w:t>56</w:t>
            </w:r>
          </w:p>
        </w:tc>
        <w:tc>
          <w:tcPr>
            <w:tcW w:w="800" w:type="dxa"/>
          </w:tcPr>
          <w:p>
            <w:pPr>
              <w:pStyle w:val="TableParagraph"/>
              <w:spacing w:line="210" w:lineRule="exact"/>
              <w:ind w:left="18" w:right="6"/>
              <w:jc w:val="center"/>
              <w:rPr>
                <w:sz w:val="20"/>
              </w:rPr>
            </w:pPr>
            <w:r>
              <w:rPr>
                <w:spacing w:val="-4"/>
                <w:sz w:val="20"/>
              </w:rPr>
              <w:t>27.6</w:t>
            </w:r>
          </w:p>
        </w:tc>
        <w:tc>
          <w:tcPr>
            <w:tcW w:w="627" w:type="dxa"/>
          </w:tcPr>
          <w:p>
            <w:pPr>
              <w:pStyle w:val="TableParagraph"/>
              <w:spacing w:line="210" w:lineRule="exact"/>
              <w:ind w:left="23" w:right="22"/>
              <w:jc w:val="center"/>
              <w:rPr>
                <w:sz w:val="20"/>
              </w:rPr>
            </w:pPr>
            <w:r>
              <w:rPr>
                <w:spacing w:val="-5"/>
                <w:sz w:val="20"/>
              </w:rPr>
              <w:t>22</w:t>
            </w:r>
          </w:p>
        </w:tc>
        <w:tc>
          <w:tcPr>
            <w:tcW w:w="771" w:type="dxa"/>
          </w:tcPr>
          <w:p>
            <w:pPr>
              <w:pStyle w:val="TableParagraph"/>
              <w:spacing w:line="210" w:lineRule="exact"/>
              <w:ind w:left="45" w:right="16"/>
              <w:jc w:val="center"/>
              <w:rPr>
                <w:sz w:val="20"/>
              </w:rPr>
            </w:pPr>
            <w:r>
              <w:rPr>
                <w:spacing w:val="-4"/>
                <w:sz w:val="20"/>
              </w:rPr>
              <w:t>10.8</w:t>
            </w:r>
          </w:p>
        </w:tc>
        <w:tc>
          <w:tcPr>
            <w:tcW w:w="692" w:type="dxa"/>
          </w:tcPr>
          <w:p>
            <w:pPr>
              <w:pStyle w:val="TableParagraph"/>
              <w:spacing w:line="210" w:lineRule="exact"/>
              <w:ind w:left="23" w:right="24"/>
              <w:jc w:val="center"/>
              <w:rPr>
                <w:sz w:val="20"/>
              </w:rPr>
            </w:pPr>
            <w:r>
              <w:rPr>
                <w:spacing w:val="-5"/>
                <w:sz w:val="20"/>
              </w:rPr>
              <w:t>203</w:t>
            </w:r>
          </w:p>
        </w:tc>
        <w:tc>
          <w:tcPr>
            <w:tcW w:w="734" w:type="dxa"/>
            <w:tcBorders>
              <w:right w:val="single" w:sz="4" w:space="0" w:color="000000"/>
            </w:tcBorders>
          </w:tcPr>
          <w:p>
            <w:pPr>
              <w:pStyle w:val="TableParagraph"/>
              <w:spacing w:line="210" w:lineRule="exact"/>
              <w:ind w:left="85" w:right="60"/>
              <w:jc w:val="center"/>
              <w:rPr>
                <w:sz w:val="20"/>
              </w:rPr>
            </w:pPr>
            <w:r>
              <w:rPr>
                <w:spacing w:val="-4"/>
                <w:sz w:val="20"/>
              </w:rPr>
              <w:t>43.8</w:t>
            </w:r>
          </w:p>
        </w:tc>
      </w:tr>
      <w:tr>
        <w:trPr>
          <w:trHeight w:val="230" w:hRule="atLeast"/>
        </w:trPr>
        <w:tc>
          <w:tcPr>
            <w:tcW w:w="3727" w:type="dxa"/>
            <w:tcBorders>
              <w:left w:val="single" w:sz="4" w:space="0" w:color="000000"/>
            </w:tcBorders>
          </w:tcPr>
          <w:p>
            <w:pPr>
              <w:pStyle w:val="TableParagraph"/>
              <w:rPr>
                <w:rFonts w:ascii="Times New Roman"/>
                <w:sz w:val="16"/>
              </w:rPr>
            </w:pPr>
          </w:p>
        </w:tc>
        <w:tc>
          <w:tcPr>
            <w:tcW w:w="1855" w:type="dxa"/>
          </w:tcPr>
          <w:p>
            <w:pPr>
              <w:pStyle w:val="TableParagraph"/>
              <w:spacing w:line="210" w:lineRule="exact"/>
              <w:ind w:left="165"/>
              <w:rPr>
                <w:sz w:val="20"/>
              </w:rPr>
            </w:pPr>
            <w:r>
              <w:rPr>
                <w:sz w:val="20"/>
              </w:rPr>
              <w:t>Top</w:t>
            </w:r>
            <w:r>
              <w:rPr>
                <w:spacing w:val="-1"/>
                <w:sz w:val="20"/>
              </w:rPr>
              <w:t> </w:t>
            </w:r>
            <w:r>
              <w:rPr>
                <w:spacing w:val="-2"/>
                <w:sz w:val="20"/>
              </w:rPr>
              <w:t>Management</w:t>
            </w:r>
          </w:p>
        </w:tc>
        <w:tc>
          <w:tcPr>
            <w:tcW w:w="529" w:type="dxa"/>
          </w:tcPr>
          <w:p>
            <w:pPr>
              <w:pStyle w:val="TableParagraph"/>
              <w:spacing w:line="210" w:lineRule="exact"/>
              <w:ind w:left="30" w:right="5"/>
              <w:jc w:val="center"/>
              <w:rPr>
                <w:sz w:val="20"/>
              </w:rPr>
            </w:pPr>
            <w:r>
              <w:rPr>
                <w:spacing w:val="-10"/>
                <w:sz w:val="20"/>
              </w:rPr>
              <w:t>1</w:t>
            </w:r>
          </w:p>
        </w:tc>
        <w:tc>
          <w:tcPr>
            <w:tcW w:w="569" w:type="dxa"/>
          </w:tcPr>
          <w:p>
            <w:pPr>
              <w:pStyle w:val="TableParagraph"/>
              <w:spacing w:line="210" w:lineRule="exact"/>
              <w:ind w:right="138"/>
              <w:jc w:val="right"/>
              <w:rPr>
                <w:sz w:val="20"/>
              </w:rPr>
            </w:pPr>
            <w:r>
              <w:rPr>
                <w:spacing w:val="-5"/>
                <w:sz w:val="20"/>
              </w:rPr>
              <w:t>4.3</w:t>
            </w:r>
          </w:p>
        </w:tc>
        <w:tc>
          <w:tcPr>
            <w:tcW w:w="559" w:type="dxa"/>
          </w:tcPr>
          <w:p>
            <w:pPr>
              <w:pStyle w:val="TableParagraph"/>
              <w:spacing w:line="210" w:lineRule="exact"/>
              <w:ind w:right="38"/>
              <w:jc w:val="center"/>
              <w:rPr>
                <w:sz w:val="20"/>
              </w:rPr>
            </w:pPr>
            <w:r>
              <w:rPr>
                <w:spacing w:val="-10"/>
                <w:sz w:val="20"/>
              </w:rPr>
              <w:t>1</w:t>
            </w:r>
          </w:p>
        </w:tc>
        <w:tc>
          <w:tcPr>
            <w:tcW w:w="677" w:type="dxa"/>
          </w:tcPr>
          <w:p>
            <w:pPr>
              <w:pStyle w:val="TableParagraph"/>
              <w:spacing w:line="210" w:lineRule="exact"/>
              <w:ind w:left="62" w:right="64"/>
              <w:jc w:val="center"/>
              <w:rPr>
                <w:sz w:val="20"/>
              </w:rPr>
            </w:pPr>
            <w:r>
              <w:rPr>
                <w:spacing w:val="-5"/>
                <w:sz w:val="20"/>
              </w:rPr>
              <w:t>4.3</w:t>
            </w:r>
          </w:p>
        </w:tc>
        <w:tc>
          <w:tcPr>
            <w:tcW w:w="771" w:type="dxa"/>
          </w:tcPr>
          <w:p>
            <w:pPr>
              <w:pStyle w:val="TableParagraph"/>
              <w:spacing w:line="210" w:lineRule="exact"/>
              <w:ind w:left="45" w:right="55"/>
              <w:jc w:val="center"/>
              <w:rPr>
                <w:sz w:val="20"/>
              </w:rPr>
            </w:pPr>
            <w:r>
              <w:rPr>
                <w:spacing w:val="-5"/>
                <w:sz w:val="20"/>
              </w:rPr>
              <w:t>11</w:t>
            </w:r>
          </w:p>
        </w:tc>
        <w:tc>
          <w:tcPr>
            <w:tcW w:w="879" w:type="dxa"/>
          </w:tcPr>
          <w:p>
            <w:pPr>
              <w:pStyle w:val="TableParagraph"/>
              <w:spacing w:line="210" w:lineRule="exact"/>
              <w:ind w:left="7" w:right="20"/>
              <w:jc w:val="center"/>
              <w:rPr>
                <w:sz w:val="20"/>
              </w:rPr>
            </w:pPr>
            <w:r>
              <w:rPr>
                <w:spacing w:val="-4"/>
                <w:sz w:val="20"/>
              </w:rPr>
              <w:t>47.8</w:t>
            </w:r>
          </w:p>
        </w:tc>
        <w:tc>
          <w:tcPr>
            <w:tcW w:w="687" w:type="dxa"/>
          </w:tcPr>
          <w:p>
            <w:pPr>
              <w:pStyle w:val="TableParagraph"/>
              <w:spacing w:line="210" w:lineRule="exact"/>
              <w:ind w:left="107" w:right="48"/>
              <w:jc w:val="center"/>
              <w:rPr>
                <w:sz w:val="20"/>
              </w:rPr>
            </w:pPr>
            <w:r>
              <w:rPr>
                <w:spacing w:val="-10"/>
                <w:sz w:val="20"/>
              </w:rPr>
              <w:t>8</w:t>
            </w:r>
          </w:p>
        </w:tc>
        <w:tc>
          <w:tcPr>
            <w:tcW w:w="800" w:type="dxa"/>
          </w:tcPr>
          <w:p>
            <w:pPr>
              <w:pStyle w:val="TableParagraph"/>
              <w:spacing w:line="210" w:lineRule="exact"/>
              <w:ind w:left="18" w:right="6"/>
              <w:jc w:val="center"/>
              <w:rPr>
                <w:sz w:val="20"/>
              </w:rPr>
            </w:pPr>
            <w:r>
              <w:rPr>
                <w:spacing w:val="-4"/>
                <w:sz w:val="20"/>
              </w:rPr>
              <w:t>34.8</w:t>
            </w:r>
          </w:p>
        </w:tc>
        <w:tc>
          <w:tcPr>
            <w:tcW w:w="627" w:type="dxa"/>
          </w:tcPr>
          <w:p>
            <w:pPr>
              <w:pStyle w:val="TableParagraph"/>
              <w:spacing w:line="210" w:lineRule="exact"/>
              <w:ind w:left="23" w:right="17"/>
              <w:jc w:val="center"/>
              <w:rPr>
                <w:sz w:val="20"/>
              </w:rPr>
            </w:pPr>
            <w:r>
              <w:rPr>
                <w:spacing w:val="-10"/>
                <w:sz w:val="20"/>
              </w:rPr>
              <w:t>2</w:t>
            </w:r>
          </w:p>
        </w:tc>
        <w:tc>
          <w:tcPr>
            <w:tcW w:w="771" w:type="dxa"/>
          </w:tcPr>
          <w:p>
            <w:pPr>
              <w:pStyle w:val="TableParagraph"/>
              <w:spacing w:line="210" w:lineRule="exact"/>
              <w:ind w:left="45" w:right="21"/>
              <w:jc w:val="center"/>
              <w:rPr>
                <w:sz w:val="20"/>
              </w:rPr>
            </w:pPr>
            <w:r>
              <w:rPr>
                <w:spacing w:val="-5"/>
                <w:sz w:val="20"/>
              </w:rPr>
              <w:t>8.7</w:t>
            </w:r>
          </w:p>
        </w:tc>
        <w:tc>
          <w:tcPr>
            <w:tcW w:w="692" w:type="dxa"/>
          </w:tcPr>
          <w:p>
            <w:pPr>
              <w:pStyle w:val="TableParagraph"/>
              <w:spacing w:line="210" w:lineRule="exact"/>
              <w:ind w:left="23" w:right="22"/>
              <w:jc w:val="center"/>
              <w:rPr>
                <w:sz w:val="20"/>
              </w:rPr>
            </w:pPr>
            <w:r>
              <w:rPr>
                <w:spacing w:val="-5"/>
                <w:sz w:val="20"/>
              </w:rPr>
              <w:t>23</w:t>
            </w:r>
          </w:p>
        </w:tc>
        <w:tc>
          <w:tcPr>
            <w:tcW w:w="734" w:type="dxa"/>
            <w:tcBorders>
              <w:right w:val="single" w:sz="4" w:space="0" w:color="000000"/>
            </w:tcBorders>
          </w:tcPr>
          <w:p>
            <w:pPr>
              <w:pStyle w:val="TableParagraph"/>
              <w:spacing w:line="210" w:lineRule="exact"/>
              <w:ind w:left="85" w:right="65"/>
              <w:jc w:val="center"/>
              <w:rPr>
                <w:sz w:val="20"/>
              </w:rPr>
            </w:pPr>
            <w:r>
              <w:rPr>
                <w:spacing w:val="-5"/>
                <w:sz w:val="20"/>
              </w:rPr>
              <w:t>5.0</w:t>
            </w:r>
          </w:p>
        </w:tc>
      </w:tr>
      <w:tr>
        <w:trPr>
          <w:trHeight w:val="230" w:hRule="atLeast"/>
        </w:trPr>
        <w:tc>
          <w:tcPr>
            <w:tcW w:w="3727" w:type="dxa"/>
            <w:tcBorders>
              <w:left w:val="single" w:sz="4" w:space="0" w:color="000000"/>
            </w:tcBorders>
          </w:tcPr>
          <w:p>
            <w:pPr>
              <w:pStyle w:val="TableParagraph"/>
              <w:tabs>
                <w:tab w:pos="830" w:val="left" w:leader="none"/>
              </w:tabs>
              <w:spacing w:line="210" w:lineRule="exact"/>
              <w:ind w:left="220"/>
              <w:rPr>
                <w:sz w:val="20"/>
              </w:rPr>
            </w:pPr>
            <w:r>
              <w:rPr>
                <w:spacing w:val="-5"/>
                <w:sz w:val="20"/>
              </w:rPr>
              <w:t>14.</w:t>
            </w:r>
            <w:r>
              <w:rPr>
                <w:sz w:val="20"/>
              </w:rPr>
              <w:tab/>
              <w:t>Library</w:t>
            </w:r>
            <w:r>
              <w:rPr>
                <w:spacing w:val="-10"/>
                <w:sz w:val="20"/>
              </w:rPr>
              <w:t> </w:t>
            </w:r>
            <w:r>
              <w:rPr>
                <w:sz w:val="20"/>
              </w:rPr>
              <w:t>facilities</w:t>
            </w:r>
            <w:r>
              <w:rPr>
                <w:spacing w:val="-9"/>
                <w:sz w:val="20"/>
              </w:rPr>
              <w:t> </w:t>
            </w:r>
            <w:r>
              <w:rPr>
                <w:sz w:val="20"/>
              </w:rPr>
              <w:t>(Books,</w:t>
            </w:r>
            <w:r>
              <w:rPr>
                <w:spacing w:val="-4"/>
                <w:sz w:val="20"/>
              </w:rPr>
              <w:t> </w:t>
            </w:r>
            <w:r>
              <w:rPr>
                <w:spacing w:val="-2"/>
                <w:sz w:val="20"/>
              </w:rPr>
              <w:t>Seats,</w:t>
            </w:r>
          </w:p>
        </w:tc>
        <w:tc>
          <w:tcPr>
            <w:tcW w:w="1855" w:type="dxa"/>
          </w:tcPr>
          <w:p>
            <w:pPr>
              <w:pStyle w:val="TableParagraph"/>
              <w:spacing w:line="210" w:lineRule="exact"/>
              <w:ind w:left="165"/>
              <w:rPr>
                <w:sz w:val="20"/>
              </w:rPr>
            </w:pPr>
            <w:r>
              <w:rPr>
                <w:sz w:val="20"/>
              </w:rPr>
              <w:t>No.</w:t>
            </w:r>
            <w:r>
              <w:rPr>
                <w:spacing w:val="-5"/>
                <w:sz w:val="20"/>
              </w:rPr>
              <w:t> </w:t>
            </w:r>
            <w:r>
              <w:rPr>
                <w:sz w:val="20"/>
              </w:rPr>
              <w:t>of</w:t>
            </w:r>
            <w:r>
              <w:rPr>
                <w:spacing w:val="-2"/>
                <w:sz w:val="20"/>
              </w:rPr>
              <w:t> missing</w:t>
            </w:r>
          </w:p>
        </w:tc>
        <w:tc>
          <w:tcPr>
            <w:tcW w:w="529" w:type="dxa"/>
          </w:tcPr>
          <w:p>
            <w:pPr>
              <w:pStyle w:val="TableParagraph"/>
              <w:rPr>
                <w:rFonts w:ascii="Times New Roman"/>
                <w:sz w:val="16"/>
              </w:rPr>
            </w:pPr>
          </w:p>
        </w:tc>
        <w:tc>
          <w:tcPr>
            <w:tcW w:w="569" w:type="dxa"/>
          </w:tcPr>
          <w:p>
            <w:pPr>
              <w:pStyle w:val="TableParagraph"/>
              <w:rPr>
                <w:rFonts w:ascii="Times New Roman"/>
                <w:sz w:val="16"/>
              </w:rPr>
            </w:pPr>
          </w:p>
        </w:tc>
        <w:tc>
          <w:tcPr>
            <w:tcW w:w="559" w:type="dxa"/>
          </w:tcPr>
          <w:p>
            <w:pPr>
              <w:pStyle w:val="TableParagraph"/>
              <w:rPr>
                <w:rFonts w:ascii="Times New Roman"/>
                <w:sz w:val="16"/>
              </w:rPr>
            </w:pPr>
          </w:p>
        </w:tc>
        <w:tc>
          <w:tcPr>
            <w:tcW w:w="677" w:type="dxa"/>
          </w:tcPr>
          <w:p>
            <w:pPr>
              <w:pStyle w:val="TableParagraph"/>
              <w:rPr>
                <w:rFonts w:ascii="Times New Roman"/>
                <w:sz w:val="16"/>
              </w:rPr>
            </w:pPr>
          </w:p>
        </w:tc>
        <w:tc>
          <w:tcPr>
            <w:tcW w:w="771" w:type="dxa"/>
          </w:tcPr>
          <w:p>
            <w:pPr>
              <w:pStyle w:val="TableParagraph"/>
              <w:rPr>
                <w:rFonts w:ascii="Times New Roman"/>
                <w:sz w:val="16"/>
              </w:rPr>
            </w:pPr>
          </w:p>
        </w:tc>
        <w:tc>
          <w:tcPr>
            <w:tcW w:w="879" w:type="dxa"/>
          </w:tcPr>
          <w:p>
            <w:pPr>
              <w:pStyle w:val="TableParagraph"/>
              <w:rPr>
                <w:rFonts w:ascii="Times New Roman"/>
                <w:sz w:val="16"/>
              </w:rPr>
            </w:pPr>
          </w:p>
        </w:tc>
        <w:tc>
          <w:tcPr>
            <w:tcW w:w="687" w:type="dxa"/>
          </w:tcPr>
          <w:p>
            <w:pPr>
              <w:pStyle w:val="TableParagraph"/>
              <w:rPr>
                <w:rFonts w:ascii="Times New Roman"/>
                <w:sz w:val="16"/>
              </w:rPr>
            </w:pPr>
          </w:p>
        </w:tc>
        <w:tc>
          <w:tcPr>
            <w:tcW w:w="800" w:type="dxa"/>
          </w:tcPr>
          <w:p>
            <w:pPr>
              <w:pStyle w:val="TableParagraph"/>
              <w:rPr>
                <w:rFonts w:ascii="Times New Roman"/>
                <w:sz w:val="16"/>
              </w:rPr>
            </w:pPr>
          </w:p>
        </w:tc>
        <w:tc>
          <w:tcPr>
            <w:tcW w:w="627" w:type="dxa"/>
          </w:tcPr>
          <w:p>
            <w:pPr>
              <w:pStyle w:val="TableParagraph"/>
              <w:rPr>
                <w:rFonts w:ascii="Times New Roman"/>
                <w:sz w:val="16"/>
              </w:rPr>
            </w:pPr>
          </w:p>
        </w:tc>
        <w:tc>
          <w:tcPr>
            <w:tcW w:w="771" w:type="dxa"/>
          </w:tcPr>
          <w:p>
            <w:pPr>
              <w:pStyle w:val="TableParagraph"/>
              <w:rPr>
                <w:rFonts w:ascii="Times New Roman"/>
                <w:sz w:val="16"/>
              </w:rPr>
            </w:pPr>
          </w:p>
        </w:tc>
        <w:tc>
          <w:tcPr>
            <w:tcW w:w="692" w:type="dxa"/>
          </w:tcPr>
          <w:p>
            <w:pPr>
              <w:pStyle w:val="TableParagraph"/>
              <w:rPr>
                <w:rFonts w:ascii="Times New Roman"/>
                <w:sz w:val="16"/>
              </w:rPr>
            </w:pPr>
          </w:p>
        </w:tc>
        <w:tc>
          <w:tcPr>
            <w:tcW w:w="734" w:type="dxa"/>
            <w:tcBorders>
              <w:right w:val="single" w:sz="4" w:space="0" w:color="000000"/>
            </w:tcBorders>
          </w:tcPr>
          <w:p>
            <w:pPr>
              <w:pStyle w:val="TableParagraph"/>
              <w:rPr>
                <w:rFonts w:ascii="Times New Roman"/>
                <w:sz w:val="16"/>
              </w:rPr>
            </w:pPr>
          </w:p>
        </w:tc>
      </w:tr>
      <w:tr>
        <w:trPr>
          <w:trHeight w:val="230" w:hRule="atLeast"/>
        </w:trPr>
        <w:tc>
          <w:tcPr>
            <w:tcW w:w="3727" w:type="dxa"/>
            <w:tcBorders>
              <w:left w:val="single" w:sz="4" w:space="0" w:color="000000"/>
            </w:tcBorders>
          </w:tcPr>
          <w:p>
            <w:pPr>
              <w:pStyle w:val="TableParagraph"/>
              <w:spacing w:line="210" w:lineRule="exact"/>
              <w:ind w:left="830"/>
              <w:rPr>
                <w:sz w:val="20"/>
              </w:rPr>
            </w:pPr>
            <w:r>
              <w:rPr>
                <w:sz w:val="20"/>
              </w:rPr>
              <w:t>Materials</w:t>
            </w:r>
            <w:r>
              <w:rPr>
                <w:spacing w:val="-11"/>
                <w:sz w:val="20"/>
              </w:rPr>
              <w:t> </w:t>
            </w:r>
            <w:r>
              <w:rPr>
                <w:spacing w:val="-4"/>
                <w:sz w:val="20"/>
              </w:rPr>
              <w:t>etc)</w:t>
            </w:r>
          </w:p>
        </w:tc>
        <w:tc>
          <w:tcPr>
            <w:tcW w:w="1855" w:type="dxa"/>
          </w:tcPr>
          <w:p>
            <w:pPr>
              <w:pStyle w:val="TableParagraph"/>
              <w:spacing w:line="210" w:lineRule="exact"/>
              <w:ind w:left="165"/>
              <w:rPr>
                <w:sz w:val="20"/>
              </w:rPr>
            </w:pPr>
            <w:r>
              <w:rPr>
                <w:spacing w:val="-2"/>
                <w:sz w:val="20"/>
              </w:rPr>
              <w:t>observations</w:t>
            </w:r>
          </w:p>
        </w:tc>
        <w:tc>
          <w:tcPr>
            <w:tcW w:w="529" w:type="dxa"/>
          </w:tcPr>
          <w:p>
            <w:pPr>
              <w:pStyle w:val="TableParagraph"/>
              <w:spacing w:line="210" w:lineRule="exact"/>
              <w:ind w:left="30" w:right="2"/>
              <w:jc w:val="center"/>
              <w:rPr>
                <w:sz w:val="20"/>
              </w:rPr>
            </w:pPr>
            <w:r>
              <w:rPr>
                <w:spacing w:val="-10"/>
                <w:sz w:val="20"/>
              </w:rPr>
              <w:t>-</w:t>
            </w:r>
          </w:p>
        </w:tc>
        <w:tc>
          <w:tcPr>
            <w:tcW w:w="569" w:type="dxa"/>
          </w:tcPr>
          <w:p>
            <w:pPr>
              <w:pStyle w:val="TableParagraph"/>
              <w:spacing w:line="210" w:lineRule="exact"/>
              <w:ind w:right="245"/>
              <w:jc w:val="right"/>
              <w:rPr>
                <w:sz w:val="20"/>
              </w:rPr>
            </w:pPr>
            <w:r>
              <w:rPr>
                <w:spacing w:val="-10"/>
                <w:sz w:val="20"/>
              </w:rPr>
              <w:t>-</w:t>
            </w:r>
          </w:p>
        </w:tc>
        <w:tc>
          <w:tcPr>
            <w:tcW w:w="559" w:type="dxa"/>
          </w:tcPr>
          <w:p>
            <w:pPr>
              <w:pStyle w:val="TableParagraph"/>
              <w:spacing w:line="210" w:lineRule="exact"/>
              <w:ind w:left="3" w:right="38"/>
              <w:jc w:val="center"/>
              <w:rPr>
                <w:sz w:val="20"/>
              </w:rPr>
            </w:pPr>
            <w:r>
              <w:rPr>
                <w:spacing w:val="-10"/>
                <w:sz w:val="20"/>
              </w:rPr>
              <w:t>-</w:t>
            </w:r>
          </w:p>
        </w:tc>
        <w:tc>
          <w:tcPr>
            <w:tcW w:w="677" w:type="dxa"/>
          </w:tcPr>
          <w:p>
            <w:pPr>
              <w:pStyle w:val="TableParagraph"/>
              <w:spacing w:line="210" w:lineRule="exact"/>
              <w:ind w:left="62" w:right="66"/>
              <w:jc w:val="center"/>
              <w:rPr>
                <w:sz w:val="20"/>
              </w:rPr>
            </w:pPr>
            <w:r>
              <w:rPr>
                <w:spacing w:val="-10"/>
                <w:sz w:val="20"/>
              </w:rPr>
              <w:t>-</w:t>
            </w:r>
          </w:p>
        </w:tc>
        <w:tc>
          <w:tcPr>
            <w:tcW w:w="771" w:type="dxa"/>
          </w:tcPr>
          <w:p>
            <w:pPr>
              <w:pStyle w:val="TableParagraph"/>
              <w:spacing w:line="210" w:lineRule="exact"/>
              <w:ind w:left="45" w:right="50"/>
              <w:jc w:val="center"/>
              <w:rPr>
                <w:sz w:val="20"/>
              </w:rPr>
            </w:pPr>
            <w:r>
              <w:rPr>
                <w:spacing w:val="-10"/>
                <w:sz w:val="20"/>
              </w:rPr>
              <w:t>1</w:t>
            </w:r>
          </w:p>
        </w:tc>
        <w:tc>
          <w:tcPr>
            <w:tcW w:w="879" w:type="dxa"/>
          </w:tcPr>
          <w:p>
            <w:pPr>
              <w:pStyle w:val="TableParagraph"/>
              <w:spacing w:line="210" w:lineRule="exact"/>
              <w:ind w:left="7" w:right="20"/>
              <w:jc w:val="center"/>
              <w:rPr>
                <w:sz w:val="20"/>
              </w:rPr>
            </w:pPr>
            <w:r>
              <w:rPr>
                <w:spacing w:val="-4"/>
                <w:sz w:val="20"/>
              </w:rPr>
              <w:t>50.0</w:t>
            </w:r>
          </w:p>
        </w:tc>
        <w:tc>
          <w:tcPr>
            <w:tcW w:w="687" w:type="dxa"/>
          </w:tcPr>
          <w:p>
            <w:pPr>
              <w:pStyle w:val="TableParagraph"/>
              <w:spacing w:line="210" w:lineRule="exact"/>
              <w:ind w:left="107" w:right="48"/>
              <w:jc w:val="center"/>
              <w:rPr>
                <w:sz w:val="20"/>
              </w:rPr>
            </w:pPr>
            <w:r>
              <w:rPr>
                <w:spacing w:val="-10"/>
                <w:sz w:val="20"/>
              </w:rPr>
              <w:t>1</w:t>
            </w:r>
          </w:p>
        </w:tc>
        <w:tc>
          <w:tcPr>
            <w:tcW w:w="800" w:type="dxa"/>
          </w:tcPr>
          <w:p>
            <w:pPr>
              <w:pStyle w:val="TableParagraph"/>
              <w:spacing w:line="210" w:lineRule="exact"/>
              <w:ind w:left="18" w:right="6"/>
              <w:jc w:val="center"/>
              <w:rPr>
                <w:sz w:val="20"/>
              </w:rPr>
            </w:pPr>
            <w:r>
              <w:rPr>
                <w:spacing w:val="-4"/>
                <w:sz w:val="20"/>
              </w:rPr>
              <w:t>50.0</w:t>
            </w:r>
          </w:p>
        </w:tc>
        <w:tc>
          <w:tcPr>
            <w:tcW w:w="627" w:type="dxa"/>
          </w:tcPr>
          <w:p>
            <w:pPr>
              <w:pStyle w:val="TableParagraph"/>
              <w:spacing w:line="210" w:lineRule="exact"/>
              <w:ind w:left="23" w:right="23"/>
              <w:jc w:val="center"/>
              <w:rPr>
                <w:sz w:val="20"/>
              </w:rPr>
            </w:pPr>
            <w:r>
              <w:rPr>
                <w:spacing w:val="-10"/>
                <w:sz w:val="20"/>
              </w:rPr>
              <w:t>-</w:t>
            </w:r>
          </w:p>
        </w:tc>
        <w:tc>
          <w:tcPr>
            <w:tcW w:w="771" w:type="dxa"/>
          </w:tcPr>
          <w:p>
            <w:pPr>
              <w:pStyle w:val="TableParagraph"/>
              <w:spacing w:line="210" w:lineRule="exact"/>
              <w:ind w:left="45" w:right="23"/>
              <w:jc w:val="center"/>
              <w:rPr>
                <w:sz w:val="20"/>
              </w:rPr>
            </w:pPr>
            <w:r>
              <w:rPr>
                <w:spacing w:val="-10"/>
                <w:sz w:val="20"/>
              </w:rPr>
              <w:t>-</w:t>
            </w:r>
          </w:p>
        </w:tc>
        <w:tc>
          <w:tcPr>
            <w:tcW w:w="692" w:type="dxa"/>
          </w:tcPr>
          <w:p>
            <w:pPr>
              <w:pStyle w:val="TableParagraph"/>
              <w:spacing w:line="210" w:lineRule="exact"/>
              <w:ind w:left="23" w:right="17"/>
              <w:jc w:val="center"/>
              <w:rPr>
                <w:sz w:val="20"/>
              </w:rPr>
            </w:pPr>
            <w:r>
              <w:rPr>
                <w:spacing w:val="-10"/>
                <w:sz w:val="20"/>
              </w:rPr>
              <w:t>2</w:t>
            </w:r>
          </w:p>
        </w:tc>
        <w:tc>
          <w:tcPr>
            <w:tcW w:w="734" w:type="dxa"/>
            <w:tcBorders>
              <w:right w:val="single" w:sz="4" w:space="0" w:color="000000"/>
            </w:tcBorders>
          </w:tcPr>
          <w:p>
            <w:pPr>
              <w:pStyle w:val="TableParagraph"/>
              <w:spacing w:line="210" w:lineRule="exact"/>
              <w:ind w:left="85" w:right="65"/>
              <w:jc w:val="center"/>
              <w:rPr>
                <w:sz w:val="20"/>
              </w:rPr>
            </w:pPr>
            <w:r>
              <w:rPr>
                <w:spacing w:val="-5"/>
                <w:sz w:val="20"/>
              </w:rPr>
              <w:t>0.4</w:t>
            </w:r>
          </w:p>
        </w:tc>
      </w:tr>
      <w:tr>
        <w:trPr>
          <w:trHeight w:val="230" w:hRule="atLeast"/>
        </w:trPr>
        <w:tc>
          <w:tcPr>
            <w:tcW w:w="3727" w:type="dxa"/>
            <w:tcBorders>
              <w:left w:val="single" w:sz="4" w:space="0" w:color="000000"/>
            </w:tcBorders>
          </w:tcPr>
          <w:p>
            <w:pPr>
              <w:pStyle w:val="TableParagraph"/>
              <w:rPr>
                <w:rFonts w:ascii="Times New Roman"/>
                <w:sz w:val="16"/>
              </w:rPr>
            </w:pPr>
          </w:p>
        </w:tc>
        <w:tc>
          <w:tcPr>
            <w:tcW w:w="1855" w:type="dxa"/>
          </w:tcPr>
          <w:p>
            <w:pPr>
              <w:pStyle w:val="TableParagraph"/>
              <w:spacing w:line="210" w:lineRule="exact"/>
              <w:ind w:left="165"/>
              <w:rPr>
                <w:sz w:val="20"/>
              </w:rPr>
            </w:pPr>
            <w:r>
              <w:rPr>
                <w:spacing w:val="-2"/>
                <w:sz w:val="20"/>
              </w:rPr>
              <w:t>Students</w:t>
            </w:r>
          </w:p>
        </w:tc>
        <w:tc>
          <w:tcPr>
            <w:tcW w:w="529" w:type="dxa"/>
          </w:tcPr>
          <w:p>
            <w:pPr>
              <w:pStyle w:val="TableParagraph"/>
              <w:spacing w:line="210" w:lineRule="exact"/>
              <w:ind w:left="30" w:right="2"/>
              <w:jc w:val="center"/>
              <w:rPr>
                <w:sz w:val="20"/>
              </w:rPr>
            </w:pPr>
            <w:r>
              <w:rPr>
                <w:spacing w:val="-10"/>
                <w:sz w:val="20"/>
              </w:rPr>
              <w:t>-</w:t>
            </w:r>
          </w:p>
        </w:tc>
        <w:tc>
          <w:tcPr>
            <w:tcW w:w="569" w:type="dxa"/>
          </w:tcPr>
          <w:p>
            <w:pPr>
              <w:pStyle w:val="TableParagraph"/>
              <w:spacing w:line="210" w:lineRule="exact"/>
              <w:ind w:right="245"/>
              <w:jc w:val="right"/>
              <w:rPr>
                <w:sz w:val="20"/>
              </w:rPr>
            </w:pPr>
            <w:r>
              <w:rPr>
                <w:spacing w:val="-10"/>
                <w:sz w:val="20"/>
              </w:rPr>
              <w:t>-</w:t>
            </w:r>
          </w:p>
        </w:tc>
        <w:tc>
          <w:tcPr>
            <w:tcW w:w="559" w:type="dxa"/>
          </w:tcPr>
          <w:p>
            <w:pPr>
              <w:pStyle w:val="TableParagraph"/>
              <w:spacing w:line="210" w:lineRule="exact"/>
              <w:ind w:right="38"/>
              <w:jc w:val="center"/>
              <w:rPr>
                <w:sz w:val="20"/>
              </w:rPr>
            </w:pPr>
            <w:r>
              <w:rPr>
                <w:spacing w:val="-10"/>
                <w:sz w:val="20"/>
              </w:rPr>
              <w:t>4</w:t>
            </w:r>
          </w:p>
        </w:tc>
        <w:tc>
          <w:tcPr>
            <w:tcW w:w="677" w:type="dxa"/>
          </w:tcPr>
          <w:p>
            <w:pPr>
              <w:pStyle w:val="TableParagraph"/>
              <w:spacing w:line="210" w:lineRule="exact"/>
              <w:ind w:left="62" w:right="64"/>
              <w:jc w:val="center"/>
              <w:rPr>
                <w:sz w:val="20"/>
              </w:rPr>
            </w:pPr>
            <w:r>
              <w:rPr>
                <w:spacing w:val="-5"/>
                <w:sz w:val="20"/>
              </w:rPr>
              <w:t>1.7</w:t>
            </w:r>
          </w:p>
        </w:tc>
        <w:tc>
          <w:tcPr>
            <w:tcW w:w="771" w:type="dxa"/>
          </w:tcPr>
          <w:p>
            <w:pPr>
              <w:pStyle w:val="TableParagraph"/>
              <w:spacing w:line="210" w:lineRule="exact"/>
              <w:ind w:left="45" w:right="59"/>
              <w:jc w:val="center"/>
              <w:rPr>
                <w:sz w:val="20"/>
              </w:rPr>
            </w:pPr>
            <w:r>
              <w:rPr>
                <w:spacing w:val="-5"/>
                <w:sz w:val="20"/>
              </w:rPr>
              <w:t>101</w:t>
            </w:r>
          </w:p>
        </w:tc>
        <w:tc>
          <w:tcPr>
            <w:tcW w:w="879" w:type="dxa"/>
          </w:tcPr>
          <w:p>
            <w:pPr>
              <w:pStyle w:val="TableParagraph"/>
              <w:spacing w:line="210" w:lineRule="exact"/>
              <w:ind w:left="7" w:right="20"/>
              <w:jc w:val="center"/>
              <w:rPr>
                <w:sz w:val="20"/>
              </w:rPr>
            </w:pPr>
            <w:r>
              <w:rPr>
                <w:spacing w:val="-4"/>
                <w:sz w:val="20"/>
              </w:rPr>
              <w:t>43.0</w:t>
            </w:r>
          </w:p>
        </w:tc>
        <w:tc>
          <w:tcPr>
            <w:tcW w:w="687" w:type="dxa"/>
          </w:tcPr>
          <w:p>
            <w:pPr>
              <w:pStyle w:val="TableParagraph"/>
              <w:spacing w:line="210" w:lineRule="exact"/>
              <w:ind w:left="103" w:right="48"/>
              <w:jc w:val="center"/>
              <w:rPr>
                <w:sz w:val="20"/>
              </w:rPr>
            </w:pPr>
            <w:r>
              <w:rPr>
                <w:spacing w:val="-5"/>
                <w:sz w:val="20"/>
              </w:rPr>
              <w:t>97</w:t>
            </w:r>
          </w:p>
        </w:tc>
        <w:tc>
          <w:tcPr>
            <w:tcW w:w="800" w:type="dxa"/>
          </w:tcPr>
          <w:p>
            <w:pPr>
              <w:pStyle w:val="TableParagraph"/>
              <w:spacing w:line="210" w:lineRule="exact"/>
              <w:ind w:left="18" w:right="6"/>
              <w:jc w:val="center"/>
              <w:rPr>
                <w:sz w:val="20"/>
              </w:rPr>
            </w:pPr>
            <w:r>
              <w:rPr>
                <w:spacing w:val="-4"/>
                <w:sz w:val="20"/>
              </w:rPr>
              <w:t>41.3</w:t>
            </w:r>
          </w:p>
        </w:tc>
        <w:tc>
          <w:tcPr>
            <w:tcW w:w="627" w:type="dxa"/>
          </w:tcPr>
          <w:p>
            <w:pPr>
              <w:pStyle w:val="TableParagraph"/>
              <w:spacing w:line="210" w:lineRule="exact"/>
              <w:ind w:left="23" w:right="22"/>
              <w:jc w:val="center"/>
              <w:rPr>
                <w:sz w:val="20"/>
              </w:rPr>
            </w:pPr>
            <w:r>
              <w:rPr>
                <w:spacing w:val="-5"/>
                <w:sz w:val="20"/>
              </w:rPr>
              <w:t>33</w:t>
            </w:r>
          </w:p>
        </w:tc>
        <w:tc>
          <w:tcPr>
            <w:tcW w:w="771" w:type="dxa"/>
          </w:tcPr>
          <w:p>
            <w:pPr>
              <w:pStyle w:val="TableParagraph"/>
              <w:spacing w:line="210" w:lineRule="exact"/>
              <w:ind w:left="45" w:right="16"/>
              <w:jc w:val="center"/>
              <w:rPr>
                <w:sz w:val="20"/>
              </w:rPr>
            </w:pPr>
            <w:r>
              <w:rPr>
                <w:spacing w:val="-4"/>
                <w:sz w:val="20"/>
              </w:rPr>
              <w:t>14.0</w:t>
            </w:r>
          </w:p>
        </w:tc>
        <w:tc>
          <w:tcPr>
            <w:tcW w:w="692" w:type="dxa"/>
          </w:tcPr>
          <w:p>
            <w:pPr>
              <w:pStyle w:val="TableParagraph"/>
              <w:spacing w:line="210" w:lineRule="exact"/>
              <w:ind w:left="23" w:right="24"/>
              <w:jc w:val="center"/>
              <w:rPr>
                <w:sz w:val="20"/>
              </w:rPr>
            </w:pPr>
            <w:r>
              <w:rPr>
                <w:spacing w:val="-5"/>
                <w:sz w:val="20"/>
              </w:rPr>
              <w:t>235</w:t>
            </w:r>
          </w:p>
        </w:tc>
        <w:tc>
          <w:tcPr>
            <w:tcW w:w="734" w:type="dxa"/>
            <w:tcBorders>
              <w:right w:val="single" w:sz="4" w:space="0" w:color="000000"/>
            </w:tcBorders>
          </w:tcPr>
          <w:p>
            <w:pPr>
              <w:pStyle w:val="TableParagraph"/>
              <w:spacing w:line="210" w:lineRule="exact"/>
              <w:ind w:left="85" w:right="60"/>
              <w:jc w:val="center"/>
              <w:rPr>
                <w:sz w:val="20"/>
              </w:rPr>
            </w:pPr>
            <w:r>
              <w:rPr>
                <w:spacing w:val="-4"/>
                <w:sz w:val="20"/>
              </w:rPr>
              <w:t>50.8</w:t>
            </w:r>
          </w:p>
        </w:tc>
      </w:tr>
      <w:tr>
        <w:trPr>
          <w:trHeight w:val="230" w:hRule="atLeast"/>
        </w:trPr>
        <w:tc>
          <w:tcPr>
            <w:tcW w:w="3727" w:type="dxa"/>
            <w:tcBorders>
              <w:left w:val="single" w:sz="4" w:space="0" w:color="000000"/>
            </w:tcBorders>
          </w:tcPr>
          <w:p>
            <w:pPr>
              <w:pStyle w:val="TableParagraph"/>
              <w:rPr>
                <w:rFonts w:ascii="Times New Roman"/>
                <w:sz w:val="16"/>
              </w:rPr>
            </w:pPr>
          </w:p>
        </w:tc>
        <w:tc>
          <w:tcPr>
            <w:tcW w:w="1855" w:type="dxa"/>
          </w:tcPr>
          <w:p>
            <w:pPr>
              <w:pStyle w:val="TableParagraph"/>
              <w:spacing w:line="210" w:lineRule="exact"/>
              <w:ind w:left="165"/>
              <w:rPr>
                <w:sz w:val="20"/>
              </w:rPr>
            </w:pPr>
            <w:r>
              <w:rPr>
                <w:sz w:val="20"/>
              </w:rPr>
              <w:t>Service</w:t>
            </w:r>
            <w:r>
              <w:rPr>
                <w:spacing w:val="-9"/>
                <w:sz w:val="20"/>
              </w:rPr>
              <w:t> </w:t>
            </w:r>
            <w:r>
              <w:rPr>
                <w:spacing w:val="-2"/>
                <w:sz w:val="20"/>
              </w:rPr>
              <w:t>Staff</w:t>
            </w:r>
          </w:p>
        </w:tc>
        <w:tc>
          <w:tcPr>
            <w:tcW w:w="529" w:type="dxa"/>
          </w:tcPr>
          <w:p>
            <w:pPr>
              <w:pStyle w:val="TableParagraph"/>
              <w:spacing w:line="210" w:lineRule="exact"/>
              <w:ind w:left="30" w:right="5"/>
              <w:jc w:val="center"/>
              <w:rPr>
                <w:sz w:val="20"/>
              </w:rPr>
            </w:pPr>
            <w:r>
              <w:rPr>
                <w:spacing w:val="-10"/>
                <w:sz w:val="20"/>
              </w:rPr>
              <w:t>7</w:t>
            </w:r>
          </w:p>
        </w:tc>
        <w:tc>
          <w:tcPr>
            <w:tcW w:w="569" w:type="dxa"/>
          </w:tcPr>
          <w:p>
            <w:pPr>
              <w:pStyle w:val="TableParagraph"/>
              <w:spacing w:line="210" w:lineRule="exact"/>
              <w:ind w:right="138"/>
              <w:jc w:val="right"/>
              <w:rPr>
                <w:sz w:val="20"/>
              </w:rPr>
            </w:pPr>
            <w:r>
              <w:rPr>
                <w:spacing w:val="-5"/>
                <w:sz w:val="20"/>
              </w:rPr>
              <w:t>3.4</w:t>
            </w:r>
          </w:p>
        </w:tc>
        <w:tc>
          <w:tcPr>
            <w:tcW w:w="559" w:type="dxa"/>
          </w:tcPr>
          <w:p>
            <w:pPr>
              <w:pStyle w:val="TableParagraph"/>
              <w:spacing w:line="210" w:lineRule="exact"/>
              <w:ind w:right="38"/>
              <w:jc w:val="center"/>
              <w:rPr>
                <w:sz w:val="20"/>
              </w:rPr>
            </w:pPr>
            <w:r>
              <w:rPr>
                <w:spacing w:val="-10"/>
                <w:sz w:val="20"/>
              </w:rPr>
              <w:t>3</w:t>
            </w:r>
          </w:p>
        </w:tc>
        <w:tc>
          <w:tcPr>
            <w:tcW w:w="677" w:type="dxa"/>
          </w:tcPr>
          <w:p>
            <w:pPr>
              <w:pStyle w:val="TableParagraph"/>
              <w:spacing w:line="210" w:lineRule="exact"/>
              <w:ind w:left="62" w:right="64"/>
              <w:jc w:val="center"/>
              <w:rPr>
                <w:sz w:val="20"/>
              </w:rPr>
            </w:pPr>
            <w:r>
              <w:rPr>
                <w:spacing w:val="-5"/>
                <w:sz w:val="20"/>
              </w:rPr>
              <w:t>1.5</w:t>
            </w:r>
          </w:p>
        </w:tc>
        <w:tc>
          <w:tcPr>
            <w:tcW w:w="771" w:type="dxa"/>
          </w:tcPr>
          <w:p>
            <w:pPr>
              <w:pStyle w:val="TableParagraph"/>
              <w:spacing w:line="210" w:lineRule="exact"/>
              <w:ind w:left="45" w:right="55"/>
              <w:jc w:val="center"/>
              <w:rPr>
                <w:sz w:val="20"/>
              </w:rPr>
            </w:pPr>
            <w:r>
              <w:rPr>
                <w:spacing w:val="-5"/>
                <w:sz w:val="20"/>
              </w:rPr>
              <w:t>74</w:t>
            </w:r>
          </w:p>
        </w:tc>
        <w:tc>
          <w:tcPr>
            <w:tcW w:w="879" w:type="dxa"/>
          </w:tcPr>
          <w:p>
            <w:pPr>
              <w:pStyle w:val="TableParagraph"/>
              <w:spacing w:line="210" w:lineRule="exact"/>
              <w:ind w:left="7" w:right="20"/>
              <w:jc w:val="center"/>
              <w:rPr>
                <w:sz w:val="20"/>
              </w:rPr>
            </w:pPr>
            <w:r>
              <w:rPr>
                <w:spacing w:val="-4"/>
                <w:sz w:val="20"/>
              </w:rPr>
              <w:t>36.5</w:t>
            </w:r>
          </w:p>
        </w:tc>
        <w:tc>
          <w:tcPr>
            <w:tcW w:w="687" w:type="dxa"/>
          </w:tcPr>
          <w:p>
            <w:pPr>
              <w:pStyle w:val="TableParagraph"/>
              <w:spacing w:line="210" w:lineRule="exact"/>
              <w:ind w:left="103" w:right="48"/>
              <w:jc w:val="center"/>
              <w:rPr>
                <w:sz w:val="20"/>
              </w:rPr>
            </w:pPr>
            <w:r>
              <w:rPr>
                <w:spacing w:val="-5"/>
                <w:sz w:val="20"/>
              </w:rPr>
              <w:t>82</w:t>
            </w:r>
          </w:p>
        </w:tc>
        <w:tc>
          <w:tcPr>
            <w:tcW w:w="800" w:type="dxa"/>
          </w:tcPr>
          <w:p>
            <w:pPr>
              <w:pStyle w:val="TableParagraph"/>
              <w:spacing w:line="210" w:lineRule="exact"/>
              <w:ind w:left="18" w:right="6"/>
              <w:jc w:val="center"/>
              <w:rPr>
                <w:sz w:val="20"/>
              </w:rPr>
            </w:pPr>
            <w:r>
              <w:rPr>
                <w:spacing w:val="-4"/>
                <w:sz w:val="20"/>
              </w:rPr>
              <w:t>40.4</w:t>
            </w:r>
          </w:p>
        </w:tc>
        <w:tc>
          <w:tcPr>
            <w:tcW w:w="627" w:type="dxa"/>
          </w:tcPr>
          <w:p>
            <w:pPr>
              <w:pStyle w:val="TableParagraph"/>
              <w:spacing w:line="210" w:lineRule="exact"/>
              <w:ind w:left="23" w:right="22"/>
              <w:jc w:val="center"/>
              <w:rPr>
                <w:sz w:val="20"/>
              </w:rPr>
            </w:pPr>
            <w:r>
              <w:rPr>
                <w:spacing w:val="-5"/>
                <w:sz w:val="20"/>
              </w:rPr>
              <w:t>37</w:t>
            </w:r>
          </w:p>
        </w:tc>
        <w:tc>
          <w:tcPr>
            <w:tcW w:w="771" w:type="dxa"/>
          </w:tcPr>
          <w:p>
            <w:pPr>
              <w:pStyle w:val="TableParagraph"/>
              <w:spacing w:line="210" w:lineRule="exact"/>
              <w:ind w:left="45" w:right="16"/>
              <w:jc w:val="center"/>
              <w:rPr>
                <w:sz w:val="20"/>
              </w:rPr>
            </w:pPr>
            <w:r>
              <w:rPr>
                <w:spacing w:val="-4"/>
                <w:sz w:val="20"/>
              </w:rPr>
              <w:t>18.2</w:t>
            </w:r>
          </w:p>
        </w:tc>
        <w:tc>
          <w:tcPr>
            <w:tcW w:w="692" w:type="dxa"/>
          </w:tcPr>
          <w:p>
            <w:pPr>
              <w:pStyle w:val="TableParagraph"/>
              <w:spacing w:line="210" w:lineRule="exact"/>
              <w:ind w:left="23" w:right="24"/>
              <w:jc w:val="center"/>
              <w:rPr>
                <w:sz w:val="20"/>
              </w:rPr>
            </w:pPr>
            <w:r>
              <w:rPr>
                <w:spacing w:val="-5"/>
                <w:sz w:val="20"/>
              </w:rPr>
              <w:t>203</w:t>
            </w:r>
          </w:p>
        </w:tc>
        <w:tc>
          <w:tcPr>
            <w:tcW w:w="734" w:type="dxa"/>
            <w:tcBorders>
              <w:right w:val="single" w:sz="4" w:space="0" w:color="000000"/>
            </w:tcBorders>
          </w:tcPr>
          <w:p>
            <w:pPr>
              <w:pStyle w:val="TableParagraph"/>
              <w:spacing w:line="210" w:lineRule="exact"/>
              <w:ind w:left="85" w:right="60"/>
              <w:jc w:val="center"/>
              <w:rPr>
                <w:sz w:val="20"/>
              </w:rPr>
            </w:pPr>
            <w:r>
              <w:rPr>
                <w:spacing w:val="-4"/>
                <w:sz w:val="20"/>
              </w:rPr>
              <w:t>43.8</w:t>
            </w:r>
          </w:p>
        </w:tc>
      </w:tr>
      <w:tr>
        <w:trPr>
          <w:trHeight w:val="254" w:hRule="atLeast"/>
        </w:trPr>
        <w:tc>
          <w:tcPr>
            <w:tcW w:w="3727" w:type="dxa"/>
            <w:tcBorders>
              <w:left w:val="single" w:sz="4" w:space="0" w:color="000000"/>
            </w:tcBorders>
          </w:tcPr>
          <w:p>
            <w:pPr>
              <w:pStyle w:val="TableParagraph"/>
              <w:rPr>
                <w:rFonts w:ascii="Times New Roman"/>
                <w:sz w:val="18"/>
              </w:rPr>
            </w:pPr>
          </w:p>
        </w:tc>
        <w:tc>
          <w:tcPr>
            <w:tcW w:w="1855" w:type="dxa"/>
          </w:tcPr>
          <w:p>
            <w:pPr>
              <w:pStyle w:val="TableParagraph"/>
              <w:spacing w:line="227" w:lineRule="exact"/>
              <w:ind w:left="165"/>
              <w:rPr>
                <w:sz w:val="20"/>
              </w:rPr>
            </w:pPr>
            <w:r>
              <w:rPr>
                <w:sz w:val="20"/>
              </w:rPr>
              <w:t>Top</w:t>
            </w:r>
            <w:r>
              <w:rPr>
                <w:spacing w:val="-1"/>
                <w:sz w:val="20"/>
              </w:rPr>
              <w:t> </w:t>
            </w:r>
            <w:r>
              <w:rPr>
                <w:spacing w:val="-2"/>
                <w:sz w:val="20"/>
              </w:rPr>
              <w:t>Management</w:t>
            </w:r>
          </w:p>
        </w:tc>
        <w:tc>
          <w:tcPr>
            <w:tcW w:w="529" w:type="dxa"/>
          </w:tcPr>
          <w:p>
            <w:pPr>
              <w:pStyle w:val="TableParagraph"/>
              <w:spacing w:line="227" w:lineRule="exact"/>
              <w:ind w:left="30" w:right="5"/>
              <w:jc w:val="center"/>
              <w:rPr>
                <w:sz w:val="20"/>
              </w:rPr>
            </w:pPr>
            <w:r>
              <w:rPr>
                <w:spacing w:val="-10"/>
                <w:sz w:val="20"/>
              </w:rPr>
              <w:t>2</w:t>
            </w:r>
          </w:p>
        </w:tc>
        <w:tc>
          <w:tcPr>
            <w:tcW w:w="569" w:type="dxa"/>
          </w:tcPr>
          <w:p>
            <w:pPr>
              <w:pStyle w:val="TableParagraph"/>
              <w:spacing w:line="227" w:lineRule="exact"/>
              <w:ind w:right="138"/>
              <w:jc w:val="right"/>
              <w:rPr>
                <w:sz w:val="20"/>
              </w:rPr>
            </w:pPr>
            <w:r>
              <w:rPr>
                <w:spacing w:val="-5"/>
                <w:sz w:val="20"/>
              </w:rPr>
              <w:t>8.7</w:t>
            </w:r>
          </w:p>
        </w:tc>
        <w:tc>
          <w:tcPr>
            <w:tcW w:w="559" w:type="dxa"/>
          </w:tcPr>
          <w:p>
            <w:pPr>
              <w:pStyle w:val="TableParagraph"/>
              <w:spacing w:line="227" w:lineRule="exact"/>
              <w:ind w:left="3" w:right="38"/>
              <w:jc w:val="center"/>
              <w:rPr>
                <w:sz w:val="20"/>
              </w:rPr>
            </w:pPr>
            <w:r>
              <w:rPr>
                <w:spacing w:val="-10"/>
                <w:sz w:val="20"/>
              </w:rPr>
              <w:t>-</w:t>
            </w:r>
          </w:p>
        </w:tc>
        <w:tc>
          <w:tcPr>
            <w:tcW w:w="677" w:type="dxa"/>
          </w:tcPr>
          <w:p>
            <w:pPr>
              <w:pStyle w:val="TableParagraph"/>
              <w:spacing w:line="227" w:lineRule="exact"/>
              <w:ind w:left="62" w:right="66"/>
              <w:jc w:val="center"/>
              <w:rPr>
                <w:sz w:val="20"/>
              </w:rPr>
            </w:pPr>
            <w:r>
              <w:rPr>
                <w:spacing w:val="-10"/>
                <w:sz w:val="20"/>
              </w:rPr>
              <w:t>-</w:t>
            </w:r>
          </w:p>
        </w:tc>
        <w:tc>
          <w:tcPr>
            <w:tcW w:w="771" w:type="dxa"/>
          </w:tcPr>
          <w:p>
            <w:pPr>
              <w:pStyle w:val="TableParagraph"/>
              <w:spacing w:line="227" w:lineRule="exact"/>
              <w:ind w:left="45" w:right="55"/>
              <w:jc w:val="center"/>
              <w:rPr>
                <w:sz w:val="20"/>
              </w:rPr>
            </w:pPr>
            <w:r>
              <w:rPr>
                <w:spacing w:val="-5"/>
                <w:sz w:val="20"/>
              </w:rPr>
              <w:t>11</w:t>
            </w:r>
          </w:p>
        </w:tc>
        <w:tc>
          <w:tcPr>
            <w:tcW w:w="879" w:type="dxa"/>
          </w:tcPr>
          <w:p>
            <w:pPr>
              <w:pStyle w:val="TableParagraph"/>
              <w:spacing w:line="227" w:lineRule="exact"/>
              <w:ind w:left="7" w:right="20"/>
              <w:jc w:val="center"/>
              <w:rPr>
                <w:sz w:val="20"/>
              </w:rPr>
            </w:pPr>
            <w:r>
              <w:rPr>
                <w:spacing w:val="-4"/>
                <w:sz w:val="20"/>
              </w:rPr>
              <w:t>47.8</w:t>
            </w:r>
          </w:p>
        </w:tc>
        <w:tc>
          <w:tcPr>
            <w:tcW w:w="687" w:type="dxa"/>
          </w:tcPr>
          <w:p>
            <w:pPr>
              <w:pStyle w:val="TableParagraph"/>
              <w:spacing w:line="227" w:lineRule="exact"/>
              <w:ind w:left="107" w:right="48"/>
              <w:jc w:val="center"/>
              <w:rPr>
                <w:sz w:val="20"/>
              </w:rPr>
            </w:pPr>
            <w:r>
              <w:rPr>
                <w:spacing w:val="-10"/>
                <w:sz w:val="20"/>
              </w:rPr>
              <w:t>6</w:t>
            </w:r>
          </w:p>
        </w:tc>
        <w:tc>
          <w:tcPr>
            <w:tcW w:w="800" w:type="dxa"/>
          </w:tcPr>
          <w:p>
            <w:pPr>
              <w:pStyle w:val="TableParagraph"/>
              <w:spacing w:line="227" w:lineRule="exact"/>
              <w:ind w:left="18" w:right="6"/>
              <w:jc w:val="center"/>
              <w:rPr>
                <w:sz w:val="20"/>
              </w:rPr>
            </w:pPr>
            <w:r>
              <w:rPr>
                <w:spacing w:val="-4"/>
                <w:sz w:val="20"/>
              </w:rPr>
              <w:t>26.1</w:t>
            </w:r>
          </w:p>
        </w:tc>
        <w:tc>
          <w:tcPr>
            <w:tcW w:w="627" w:type="dxa"/>
          </w:tcPr>
          <w:p>
            <w:pPr>
              <w:pStyle w:val="TableParagraph"/>
              <w:spacing w:line="227" w:lineRule="exact"/>
              <w:ind w:left="23" w:right="17"/>
              <w:jc w:val="center"/>
              <w:rPr>
                <w:sz w:val="20"/>
              </w:rPr>
            </w:pPr>
            <w:r>
              <w:rPr>
                <w:spacing w:val="-10"/>
                <w:sz w:val="20"/>
              </w:rPr>
              <w:t>4</w:t>
            </w:r>
          </w:p>
        </w:tc>
        <w:tc>
          <w:tcPr>
            <w:tcW w:w="771" w:type="dxa"/>
          </w:tcPr>
          <w:p>
            <w:pPr>
              <w:pStyle w:val="TableParagraph"/>
              <w:spacing w:line="227" w:lineRule="exact"/>
              <w:ind w:left="45" w:right="16"/>
              <w:jc w:val="center"/>
              <w:rPr>
                <w:sz w:val="20"/>
              </w:rPr>
            </w:pPr>
            <w:r>
              <w:rPr>
                <w:spacing w:val="-4"/>
                <w:sz w:val="20"/>
              </w:rPr>
              <w:t>17.4</w:t>
            </w:r>
          </w:p>
        </w:tc>
        <w:tc>
          <w:tcPr>
            <w:tcW w:w="692" w:type="dxa"/>
          </w:tcPr>
          <w:p>
            <w:pPr>
              <w:pStyle w:val="TableParagraph"/>
              <w:spacing w:line="227" w:lineRule="exact"/>
              <w:ind w:left="23" w:right="22"/>
              <w:jc w:val="center"/>
              <w:rPr>
                <w:sz w:val="20"/>
              </w:rPr>
            </w:pPr>
            <w:r>
              <w:rPr>
                <w:spacing w:val="-5"/>
                <w:sz w:val="20"/>
              </w:rPr>
              <w:t>23</w:t>
            </w:r>
          </w:p>
        </w:tc>
        <w:tc>
          <w:tcPr>
            <w:tcW w:w="734" w:type="dxa"/>
            <w:tcBorders>
              <w:right w:val="single" w:sz="4" w:space="0" w:color="000000"/>
            </w:tcBorders>
          </w:tcPr>
          <w:p>
            <w:pPr>
              <w:pStyle w:val="TableParagraph"/>
              <w:spacing w:line="227" w:lineRule="exact"/>
              <w:ind w:left="85" w:right="65"/>
              <w:jc w:val="center"/>
              <w:rPr>
                <w:sz w:val="20"/>
              </w:rPr>
            </w:pPr>
            <w:r>
              <w:rPr>
                <w:spacing w:val="-5"/>
                <w:sz w:val="20"/>
              </w:rPr>
              <w:t>5.0</w:t>
            </w:r>
          </w:p>
        </w:tc>
      </w:tr>
      <w:tr>
        <w:trPr>
          <w:trHeight w:val="254" w:hRule="atLeast"/>
        </w:trPr>
        <w:tc>
          <w:tcPr>
            <w:tcW w:w="3727" w:type="dxa"/>
            <w:tcBorders>
              <w:left w:val="single" w:sz="4" w:space="0" w:color="000000"/>
            </w:tcBorders>
          </w:tcPr>
          <w:p>
            <w:pPr>
              <w:pStyle w:val="TableParagraph"/>
              <w:tabs>
                <w:tab w:pos="830" w:val="left" w:leader="none"/>
              </w:tabs>
              <w:spacing w:line="213" w:lineRule="exact" w:before="21"/>
              <w:ind w:left="220"/>
              <w:rPr>
                <w:sz w:val="20"/>
              </w:rPr>
            </w:pPr>
            <w:r>
              <w:rPr>
                <w:spacing w:val="-5"/>
                <w:sz w:val="20"/>
              </w:rPr>
              <w:t>15.</w:t>
            </w:r>
            <w:r>
              <w:rPr>
                <w:sz w:val="20"/>
              </w:rPr>
              <w:tab/>
              <w:t>Teaching</w:t>
            </w:r>
            <w:r>
              <w:rPr>
                <w:spacing w:val="-7"/>
                <w:sz w:val="20"/>
              </w:rPr>
              <w:t> </w:t>
            </w:r>
            <w:r>
              <w:rPr>
                <w:spacing w:val="-4"/>
                <w:sz w:val="20"/>
              </w:rPr>
              <w:t>Staff</w:t>
            </w:r>
          </w:p>
        </w:tc>
        <w:tc>
          <w:tcPr>
            <w:tcW w:w="1855" w:type="dxa"/>
          </w:tcPr>
          <w:p>
            <w:pPr>
              <w:pStyle w:val="TableParagraph"/>
              <w:spacing w:line="213" w:lineRule="exact" w:before="21"/>
              <w:ind w:left="165"/>
              <w:rPr>
                <w:sz w:val="20"/>
              </w:rPr>
            </w:pPr>
            <w:r>
              <w:rPr>
                <w:sz w:val="20"/>
              </w:rPr>
              <w:t>No.</w:t>
            </w:r>
            <w:r>
              <w:rPr>
                <w:spacing w:val="-5"/>
                <w:sz w:val="20"/>
              </w:rPr>
              <w:t> </w:t>
            </w:r>
            <w:r>
              <w:rPr>
                <w:sz w:val="20"/>
              </w:rPr>
              <w:t>of</w:t>
            </w:r>
            <w:r>
              <w:rPr>
                <w:spacing w:val="-2"/>
                <w:sz w:val="20"/>
              </w:rPr>
              <w:t> missing</w:t>
            </w:r>
          </w:p>
        </w:tc>
        <w:tc>
          <w:tcPr>
            <w:tcW w:w="529" w:type="dxa"/>
          </w:tcPr>
          <w:p>
            <w:pPr>
              <w:pStyle w:val="TableParagraph"/>
              <w:rPr>
                <w:rFonts w:ascii="Times New Roman"/>
                <w:sz w:val="18"/>
              </w:rPr>
            </w:pPr>
          </w:p>
        </w:tc>
        <w:tc>
          <w:tcPr>
            <w:tcW w:w="569" w:type="dxa"/>
          </w:tcPr>
          <w:p>
            <w:pPr>
              <w:pStyle w:val="TableParagraph"/>
              <w:rPr>
                <w:rFonts w:ascii="Times New Roman"/>
                <w:sz w:val="18"/>
              </w:rPr>
            </w:pPr>
          </w:p>
        </w:tc>
        <w:tc>
          <w:tcPr>
            <w:tcW w:w="559" w:type="dxa"/>
          </w:tcPr>
          <w:p>
            <w:pPr>
              <w:pStyle w:val="TableParagraph"/>
              <w:rPr>
                <w:rFonts w:ascii="Times New Roman"/>
                <w:sz w:val="18"/>
              </w:rPr>
            </w:pPr>
          </w:p>
        </w:tc>
        <w:tc>
          <w:tcPr>
            <w:tcW w:w="677" w:type="dxa"/>
          </w:tcPr>
          <w:p>
            <w:pPr>
              <w:pStyle w:val="TableParagraph"/>
              <w:rPr>
                <w:rFonts w:ascii="Times New Roman"/>
                <w:sz w:val="18"/>
              </w:rPr>
            </w:pPr>
          </w:p>
        </w:tc>
        <w:tc>
          <w:tcPr>
            <w:tcW w:w="771" w:type="dxa"/>
          </w:tcPr>
          <w:p>
            <w:pPr>
              <w:pStyle w:val="TableParagraph"/>
              <w:rPr>
                <w:rFonts w:ascii="Times New Roman"/>
                <w:sz w:val="18"/>
              </w:rPr>
            </w:pPr>
          </w:p>
        </w:tc>
        <w:tc>
          <w:tcPr>
            <w:tcW w:w="879" w:type="dxa"/>
          </w:tcPr>
          <w:p>
            <w:pPr>
              <w:pStyle w:val="TableParagraph"/>
              <w:rPr>
                <w:rFonts w:ascii="Times New Roman"/>
                <w:sz w:val="18"/>
              </w:rPr>
            </w:pPr>
          </w:p>
        </w:tc>
        <w:tc>
          <w:tcPr>
            <w:tcW w:w="687" w:type="dxa"/>
          </w:tcPr>
          <w:p>
            <w:pPr>
              <w:pStyle w:val="TableParagraph"/>
              <w:rPr>
                <w:rFonts w:ascii="Times New Roman"/>
                <w:sz w:val="18"/>
              </w:rPr>
            </w:pPr>
          </w:p>
        </w:tc>
        <w:tc>
          <w:tcPr>
            <w:tcW w:w="800" w:type="dxa"/>
          </w:tcPr>
          <w:p>
            <w:pPr>
              <w:pStyle w:val="TableParagraph"/>
              <w:rPr>
                <w:rFonts w:ascii="Times New Roman"/>
                <w:sz w:val="18"/>
              </w:rPr>
            </w:pPr>
          </w:p>
        </w:tc>
        <w:tc>
          <w:tcPr>
            <w:tcW w:w="627" w:type="dxa"/>
          </w:tcPr>
          <w:p>
            <w:pPr>
              <w:pStyle w:val="TableParagraph"/>
              <w:rPr>
                <w:rFonts w:ascii="Times New Roman"/>
                <w:sz w:val="18"/>
              </w:rPr>
            </w:pPr>
          </w:p>
        </w:tc>
        <w:tc>
          <w:tcPr>
            <w:tcW w:w="771" w:type="dxa"/>
          </w:tcPr>
          <w:p>
            <w:pPr>
              <w:pStyle w:val="TableParagraph"/>
              <w:rPr>
                <w:rFonts w:ascii="Times New Roman"/>
                <w:sz w:val="18"/>
              </w:rPr>
            </w:pPr>
          </w:p>
        </w:tc>
        <w:tc>
          <w:tcPr>
            <w:tcW w:w="692" w:type="dxa"/>
          </w:tcPr>
          <w:p>
            <w:pPr>
              <w:pStyle w:val="TableParagraph"/>
              <w:rPr>
                <w:rFonts w:ascii="Times New Roman"/>
                <w:sz w:val="18"/>
              </w:rPr>
            </w:pPr>
          </w:p>
        </w:tc>
        <w:tc>
          <w:tcPr>
            <w:tcW w:w="734" w:type="dxa"/>
            <w:tcBorders>
              <w:right w:val="single" w:sz="4" w:space="0" w:color="000000"/>
            </w:tcBorders>
          </w:tcPr>
          <w:p>
            <w:pPr>
              <w:pStyle w:val="TableParagraph"/>
              <w:rPr>
                <w:rFonts w:ascii="Times New Roman"/>
                <w:sz w:val="18"/>
              </w:rPr>
            </w:pPr>
          </w:p>
        </w:tc>
      </w:tr>
      <w:tr>
        <w:trPr>
          <w:trHeight w:val="230" w:hRule="atLeast"/>
        </w:trPr>
        <w:tc>
          <w:tcPr>
            <w:tcW w:w="3727" w:type="dxa"/>
            <w:tcBorders>
              <w:left w:val="single" w:sz="4" w:space="0" w:color="000000"/>
            </w:tcBorders>
          </w:tcPr>
          <w:p>
            <w:pPr>
              <w:pStyle w:val="TableParagraph"/>
              <w:rPr>
                <w:rFonts w:ascii="Times New Roman"/>
                <w:sz w:val="16"/>
              </w:rPr>
            </w:pPr>
          </w:p>
        </w:tc>
        <w:tc>
          <w:tcPr>
            <w:tcW w:w="1855" w:type="dxa"/>
          </w:tcPr>
          <w:p>
            <w:pPr>
              <w:pStyle w:val="TableParagraph"/>
              <w:spacing w:line="210" w:lineRule="exact"/>
              <w:ind w:left="165"/>
              <w:rPr>
                <w:sz w:val="20"/>
              </w:rPr>
            </w:pPr>
            <w:r>
              <w:rPr>
                <w:spacing w:val="-2"/>
                <w:sz w:val="20"/>
              </w:rPr>
              <w:t>observations</w:t>
            </w:r>
          </w:p>
        </w:tc>
        <w:tc>
          <w:tcPr>
            <w:tcW w:w="529" w:type="dxa"/>
          </w:tcPr>
          <w:p>
            <w:pPr>
              <w:pStyle w:val="TableParagraph"/>
              <w:spacing w:line="210" w:lineRule="exact"/>
              <w:ind w:left="30" w:right="2"/>
              <w:jc w:val="center"/>
              <w:rPr>
                <w:sz w:val="20"/>
              </w:rPr>
            </w:pPr>
            <w:r>
              <w:rPr>
                <w:spacing w:val="-10"/>
                <w:sz w:val="20"/>
              </w:rPr>
              <w:t>-</w:t>
            </w:r>
          </w:p>
        </w:tc>
        <w:tc>
          <w:tcPr>
            <w:tcW w:w="569" w:type="dxa"/>
          </w:tcPr>
          <w:p>
            <w:pPr>
              <w:pStyle w:val="TableParagraph"/>
              <w:spacing w:line="210" w:lineRule="exact"/>
              <w:ind w:right="245"/>
              <w:jc w:val="right"/>
              <w:rPr>
                <w:sz w:val="20"/>
              </w:rPr>
            </w:pPr>
            <w:r>
              <w:rPr>
                <w:spacing w:val="-10"/>
                <w:sz w:val="20"/>
              </w:rPr>
              <w:t>-</w:t>
            </w:r>
          </w:p>
        </w:tc>
        <w:tc>
          <w:tcPr>
            <w:tcW w:w="559" w:type="dxa"/>
          </w:tcPr>
          <w:p>
            <w:pPr>
              <w:pStyle w:val="TableParagraph"/>
              <w:spacing w:line="210" w:lineRule="exact"/>
              <w:ind w:left="3" w:right="38"/>
              <w:jc w:val="center"/>
              <w:rPr>
                <w:sz w:val="20"/>
              </w:rPr>
            </w:pPr>
            <w:r>
              <w:rPr>
                <w:spacing w:val="-10"/>
                <w:sz w:val="20"/>
              </w:rPr>
              <w:t>-</w:t>
            </w:r>
          </w:p>
        </w:tc>
        <w:tc>
          <w:tcPr>
            <w:tcW w:w="677" w:type="dxa"/>
          </w:tcPr>
          <w:p>
            <w:pPr>
              <w:pStyle w:val="TableParagraph"/>
              <w:spacing w:line="210" w:lineRule="exact"/>
              <w:ind w:left="62" w:right="66"/>
              <w:jc w:val="center"/>
              <w:rPr>
                <w:sz w:val="20"/>
              </w:rPr>
            </w:pPr>
            <w:r>
              <w:rPr>
                <w:spacing w:val="-10"/>
                <w:sz w:val="20"/>
              </w:rPr>
              <w:t>-</w:t>
            </w:r>
          </w:p>
        </w:tc>
        <w:tc>
          <w:tcPr>
            <w:tcW w:w="771" w:type="dxa"/>
          </w:tcPr>
          <w:p>
            <w:pPr>
              <w:pStyle w:val="TableParagraph"/>
              <w:spacing w:line="210" w:lineRule="exact"/>
              <w:ind w:left="45" w:right="50"/>
              <w:jc w:val="center"/>
              <w:rPr>
                <w:sz w:val="20"/>
              </w:rPr>
            </w:pPr>
            <w:r>
              <w:rPr>
                <w:spacing w:val="-10"/>
                <w:sz w:val="20"/>
              </w:rPr>
              <w:t>1</w:t>
            </w:r>
          </w:p>
        </w:tc>
        <w:tc>
          <w:tcPr>
            <w:tcW w:w="879" w:type="dxa"/>
          </w:tcPr>
          <w:p>
            <w:pPr>
              <w:pStyle w:val="TableParagraph"/>
              <w:spacing w:line="210" w:lineRule="exact"/>
              <w:ind w:left="7" w:right="20"/>
              <w:jc w:val="center"/>
              <w:rPr>
                <w:sz w:val="20"/>
              </w:rPr>
            </w:pPr>
            <w:r>
              <w:rPr>
                <w:spacing w:val="-4"/>
                <w:sz w:val="20"/>
              </w:rPr>
              <w:t>50.0</w:t>
            </w:r>
          </w:p>
        </w:tc>
        <w:tc>
          <w:tcPr>
            <w:tcW w:w="687" w:type="dxa"/>
          </w:tcPr>
          <w:p>
            <w:pPr>
              <w:pStyle w:val="TableParagraph"/>
              <w:spacing w:line="210" w:lineRule="exact"/>
              <w:ind w:left="107" w:right="48"/>
              <w:jc w:val="center"/>
              <w:rPr>
                <w:sz w:val="20"/>
              </w:rPr>
            </w:pPr>
            <w:r>
              <w:rPr>
                <w:spacing w:val="-10"/>
                <w:sz w:val="20"/>
              </w:rPr>
              <w:t>1</w:t>
            </w:r>
          </w:p>
        </w:tc>
        <w:tc>
          <w:tcPr>
            <w:tcW w:w="800" w:type="dxa"/>
          </w:tcPr>
          <w:p>
            <w:pPr>
              <w:pStyle w:val="TableParagraph"/>
              <w:spacing w:line="210" w:lineRule="exact"/>
              <w:ind w:left="18" w:right="6"/>
              <w:jc w:val="center"/>
              <w:rPr>
                <w:sz w:val="20"/>
              </w:rPr>
            </w:pPr>
            <w:r>
              <w:rPr>
                <w:spacing w:val="-4"/>
                <w:sz w:val="20"/>
              </w:rPr>
              <w:t>50.0</w:t>
            </w:r>
          </w:p>
        </w:tc>
        <w:tc>
          <w:tcPr>
            <w:tcW w:w="627" w:type="dxa"/>
          </w:tcPr>
          <w:p>
            <w:pPr>
              <w:pStyle w:val="TableParagraph"/>
              <w:spacing w:line="210" w:lineRule="exact"/>
              <w:ind w:left="23" w:right="23"/>
              <w:jc w:val="center"/>
              <w:rPr>
                <w:sz w:val="20"/>
              </w:rPr>
            </w:pPr>
            <w:r>
              <w:rPr>
                <w:spacing w:val="-10"/>
                <w:sz w:val="20"/>
              </w:rPr>
              <w:t>-</w:t>
            </w:r>
          </w:p>
        </w:tc>
        <w:tc>
          <w:tcPr>
            <w:tcW w:w="771" w:type="dxa"/>
          </w:tcPr>
          <w:p>
            <w:pPr>
              <w:pStyle w:val="TableParagraph"/>
              <w:spacing w:line="210" w:lineRule="exact"/>
              <w:ind w:left="45" w:right="23"/>
              <w:jc w:val="center"/>
              <w:rPr>
                <w:sz w:val="20"/>
              </w:rPr>
            </w:pPr>
            <w:r>
              <w:rPr>
                <w:spacing w:val="-10"/>
                <w:sz w:val="20"/>
              </w:rPr>
              <w:t>-</w:t>
            </w:r>
          </w:p>
        </w:tc>
        <w:tc>
          <w:tcPr>
            <w:tcW w:w="692" w:type="dxa"/>
          </w:tcPr>
          <w:p>
            <w:pPr>
              <w:pStyle w:val="TableParagraph"/>
              <w:spacing w:line="210" w:lineRule="exact"/>
              <w:ind w:left="23" w:right="17"/>
              <w:jc w:val="center"/>
              <w:rPr>
                <w:sz w:val="20"/>
              </w:rPr>
            </w:pPr>
            <w:r>
              <w:rPr>
                <w:spacing w:val="-10"/>
                <w:sz w:val="20"/>
              </w:rPr>
              <w:t>2</w:t>
            </w:r>
          </w:p>
        </w:tc>
        <w:tc>
          <w:tcPr>
            <w:tcW w:w="734" w:type="dxa"/>
            <w:tcBorders>
              <w:right w:val="single" w:sz="4" w:space="0" w:color="000000"/>
            </w:tcBorders>
          </w:tcPr>
          <w:p>
            <w:pPr>
              <w:pStyle w:val="TableParagraph"/>
              <w:spacing w:line="210" w:lineRule="exact"/>
              <w:ind w:left="85" w:right="65"/>
              <w:jc w:val="center"/>
              <w:rPr>
                <w:sz w:val="20"/>
              </w:rPr>
            </w:pPr>
            <w:r>
              <w:rPr>
                <w:spacing w:val="-5"/>
                <w:sz w:val="20"/>
              </w:rPr>
              <w:t>0.4</w:t>
            </w:r>
          </w:p>
        </w:tc>
      </w:tr>
      <w:tr>
        <w:trPr>
          <w:trHeight w:val="254" w:hRule="atLeast"/>
        </w:trPr>
        <w:tc>
          <w:tcPr>
            <w:tcW w:w="3727" w:type="dxa"/>
            <w:tcBorders>
              <w:left w:val="single" w:sz="4" w:space="0" w:color="000000"/>
            </w:tcBorders>
          </w:tcPr>
          <w:p>
            <w:pPr>
              <w:pStyle w:val="TableParagraph"/>
              <w:rPr>
                <w:rFonts w:ascii="Times New Roman"/>
                <w:sz w:val="18"/>
              </w:rPr>
            </w:pPr>
          </w:p>
        </w:tc>
        <w:tc>
          <w:tcPr>
            <w:tcW w:w="1855" w:type="dxa"/>
          </w:tcPr>
          <w:p>
            <w:pPr>
              <w:pStyle w:val="TableParagraph"/>
              <w:spacing w:line="227" w:lineRule="exact"/>
              <w:ind w:left="165"/>
              <w:rPr>
                <w:sz w:val="20"/>
              </w:rPr>
            </w:pPr>
            <w:r>
              <w:rPr>
                <w:spacing w:val="-2"/>
                <w:sz w:val="20"/>
              </w:rPr>
              <w:t>Students</w:t>
            </w:r>
          </w:p>
        </w:tc>
        <w:tc>
          <w:tcPr>
            <w:tcW w:w="529" w:type="dxa"/>
          </w:tcPr>
          <w:p>
            <w:pPr>
              <w:pStyle w:val="TableParagraph"/>
              <w:spacing w:line="227" w:lineRule="exact"/>
              <w:ind w:left="30" w:right="5"/>
              <w:jc w:val="center"/>
              <w:rPr>
                <w:sz w:val="20"/>
              </w:rPr>
            </w:pPr>
            <w:r>
              <w:rPr>
                <w:spacing w:val="-10"/>
                <w:sz w:val="20"/>
              </w:rPr>
              <w:t>4</w:t>
            </w:r>
          </w:p>
        </w:tc>
        <w:tc>
          <w:tcPr>
            <w:tcW w:w="569" w:type="dxa"/>
          </w:tcPr>
          <w:p>
            <w:pPr>
              <w:pStyle w:val="TableParagraph"/>
              <w:spacing w:line="227" w:lineRule="exact"/>
              <w:ind w:right="138"/>
              <w:jc w:val="right"/>
              <w:rPr>
                <w:sz w:val="20"/>
              </w:rPr>
            </w:pPr>
            <w:r>
              <w:rPr>
                <w:spacing w:val="-5"/>
                <w:sz w:val="20"/>
              </w:rPr>
              <w:t>1.7</w:t>
            </w:r>
          </w:p>
        </w:tc>
        <w:tc>
          <w:tcPr>
            <w:tcW w:w="559" w:type="dxa"/>
          </w:tcPr>
          <w:p>
            <w:pPr>
              <w:pStyle w:val="TableParagraph"/>
              <w:spacing w:line="227" w:lineRule="exact"/>
              <w:ind w:right="38"/>
              <w:jc w:val="center"/>
              <w:rPr>
                <w:sz w:val="20"/>
              </w:rPr>
            </w:pPr>
            <w:r>
              <w:rPr>
                <w:spacing w:val="-10"/>
                <w:sz w:val="20"/>
              </w:rPr>
              <w:t>2</w:t>
            </w:r>
          </w:p>
        </w:tc>
        <w:tc>
          <w:tcPr>
            <w:tcW w:w="677" w:type="dxa"/>
          </w:tcPr>
          <w:p>
            <w:pPr>
              <w:pStyle w:val="TableParagraph"/>
              <w:spacing w:line="227" w:lineRule="exact"/>
              <w:ind w:left="62" w:right="64"/>
              <w:jc w:val="center"/>
              <w:rPr>
                <w:sz w:val="20"/>
              </w:rPr>
            </w:pPr>
            <w:r>
              <w:rPr>
                <w:spacing w:val="-5"/>
                <w:sz w:val="20"/>
              </w:rPr>
              <w:t>0.9</w:t>
            </w:r>
          </w:p>
        </w:tc>
        <w:tc>
          <w:tcPr>
            <w:tcW w:w="771" w:type="dxa"/>
          </w:tcPr>
          <w:p>
            <w:pPr>
              <w:pStyle w:val="TableParagraph"/>
              <w:spacing w:line="227" w:lineRule="exact"/>
              <w:ind w:left="45" w:right="59"/>
              <w:jc w:val="center"/>
              <w:rPr>
                <w:sz w:val="20"/>
              </w:rPr>
            </w:pPr>
            <w:r>
              <w:rPr>
                <w:spacing w:val="-5"/>
                <w:sz w:val="20"/>
              </w:rPr>
              <w:t>113</w:t>
            </w:r>
          </w:p>
        </w:tc>
        <w:tc>
          <w:tcPr>
            <w:tcW w:w="879" w:type="dxa"/>
          </w:tcPr>
          <w:p>
            <w:pPr>
              <w:pStyle w:val="TableParagraph"/>
              <w:spacing w:line="227" w:lineRule="exact"/>
              <w:ind w:left="7" w:right="20"/>
              <w:jc w:val="center"/>
              <w:rPr>
                <w:sz w:val="20"/>
              </w:rPr>
            </w:pPr>
            <w:r>
              <w:rPr>
                <w:spacing w:val="-4"/>
                <w:sz w:val="20"/>
              </w:rPr>
              <w:t>48.1</w:t>
            </w:r>
          </w:p>
        </w:tc>
        <w:tc>
          <w:tcPr>
            <w:tcW w:w="687" w:type="dxa"/>
          </w:tcPr>
          <w:p>
            <w:pPr>
              <w:pStyle w:val="TableParagraph"/>
              <w:spacing w:line="227" w:lineRule="exact"/>
              <w:ind w:left="103" w:right="48"/>
              <w:jc w:val="center"/>
              <w:rPr>
                <w:sz w:val="20"/>
              </w:rPr>
            </w:pPr>
            <w:r>
              <w:rPr>
                <w:spacing w:val="-5"/>
                <w:sz w:val="20"/>
              </w:rPr>
              <w:t>79</w:t>
            </w:r>
          </w:p>
        </w:tc>
        <w:tc>
          <w:tcPr>
            <w:tcW w:w="800" w:type="dxa"/>
          </w:tcPr>
          <w:p>
            <w:pPr>
              <w:pStyle w:val="TableParagraph"/>
              <w:spacing w:line="227" w:lineRule="exact"/>
              <w:ind w:left="18" w:right="6"/>
              <w:jc w:val="center"/>
              <w:rPr>
                <w:sz w:val="20"/>
              </w:rPr>
            </w:pPr>
            <w:r>
              <w:rPr>
                <w:spacing w:val="-4"/>
                <w:sz w:val="20"/>
              </w:rPr>
              <w:t>33.6</w:t>
            </w:r>
          </w:p>
        </w:tc>
        <w:tc>
          <w:tcPr>
            <w:tcW w:w="627" w:type="dxa"/>
          </w:tcPr>
          <w:p>
            <w:pPr>
              <w:pStyle w:val="TableParagraph"/>
              <w:spacing w:line="227" w:lineRule="exact"/>
              <w:ind w:left="23" w:right="22"/>
              <w:jc w:val="center"/>
              <w:rPr>
                <w:sz w:val="20"/>
              </w:rPr>
            </w:pPr>
            <w:r>
              <w:rPr>
                <w:spacing w:val="-5"/>
                <w:sz w:val="20"/>
              </w:rPr>
              <w:t>37</w:t>
            </w:r>
          </w:p>
        </w:tc>
        <w:tc>
          <w:tcPr>
            <w:tcW w:w="771" w:type="dxa"/>
          </w:tcPr>
          <w:p>
            <w:pPr>
              <w:pStyle w:val="TableParagraph"/>
              <w:spacing w:line="227" w:lineRule="exact"/>
              <w:ind w:left="45" w:right="16"/>
              <w:jc w:val="center"/>
              <w:rPr>
                <w:sz w:val="20"/>
              </w:rPr>
            </w:pPr>
            <w:r>
              <w:rPr>
                <w:spacing w:val="-4"/>
                <w:sz w:val="20"/>
              </w:rPr>
              <w:t>15.7</w:t>
            </w:r>
          </w:p>
        </w:tc>
        <w:tc>
          <w:tcPr>
            <w:tcW w:w="692" w:type="dxa"/>
          </w:tcPr>
          <w:p>
            <w:pPr>
              <w:pStyle w:val="TableParagraph"/>
              <w:spacing w:line="227" w:lineRule="exact"/>
              <w:ind w:left="23" w:right="24"/>
              <w:jc w:val="center"/>
              <w:rPr>
                <w:sz w:val="20"/>
              </w:rPr>
            </w:pPr>
            <w:r>
              <w:rPr>
                <w:spacing w:val="-5"/>
                <w:sz w:val="20"/>
              </w:rPr>
              <w:t>235</w:t>
            </w:r>
          </w:p>
        </w:tc>
        <w:tc>
          <w:tcPr>
            <w:tcW w:w="734" w:type="dxa"/>
            <w:tcBorders>
              <w:right w:val="single" w:sz="4" w:space="0" w:color="000000"/>
            </w:tcBorders>
          </w:tcPr>
          <w:p>
            <w:pPr>
              <w:pStyle w:val="TableParagraph"/>
              <w:spacing w:line="227" w:lineRule="exact"/>
              <w:ind w:left="85" w:right="60"/>
              <w:jc w:val="center"/>
              <w:rPr>
                <w:sz w:val="20"/>
              </w:rPr>
            </w:pPr>
            <w:r>
              <w:rPr>
                <w:spacing w:val="-4"/>
                <w:sz w:val="20"/>
              </w:rPr>
              <w:t>50.8</w:t>
            </w:r>
          </w:p>
        </w:tc>
      </w:tr>
      <w:tr>
        <w:trPr>
          <w:trHeight w:val="254" w:hRule="atLeast"/>
        </w:trPr>
        <w:tc>
          <w:tcPr>
            <w:tcW w:w="3727" w:type="dxa"/>
            <w:tcBorders>
              <w:left w:val="single" w:sz="4" w:space="0" w:color="000000"/>
            </w:tcBorders>
          </w:tcPr>
          <w:p>
            <w:pPr>
              <w:pStyle w:val="TableParagraph"/>
              <w:rPr>
                <w:rFonts w:ascii="Times New Roman"/>
                <w:sz w:val="18"/>
              </w:rPr>
            </w:pPr>
          </w:p>
        </w:tc>
        <w:tc>
          <w:tcPr>
            <w:tcW w:w="1855" w:type="dxa"/>
          </w:tcPr>
          <w:p>
            <w:pPr>
              <w:pStyle w:val="TableParagraph"/>
              <w:spacing w:line="213" w:lineRule="exact" w:before="21"/>
              <w:ind w:left="165"/>
              <w:rPr>
                <w:sz w:val="20"/>
              </w:rPr>
            </w:pPr>
            <w:r>
              <w:rPr>
                <w:sz w:val="20"/>
              </w:rPr>
              <w:t>Service</w:t>
            </w:r>
            <w:r>
              <w:rPr>
                <w:spacing w:val="-9"/>
                <w:sz w:val="20"/>
              </w:rPr>
              <w:t> </w:t>
            </w:r>
            <w:r>
              <w:rPr>
                <w:spacing w:val="-2"/>
                <w:sz w:val="20"/>
              </w:rPr>
              <w:t>Staff</w:t>
            </w:r>
          </w:p>
        </w:tc>
        <w:tc>
          <w:tcPr>
            <w:tcW w:w="529" w:type="dxa"/>
          </w:tcPr>
          <w:p>
            <w:pPr>
              <w:pStyle w:val="TableParagraph"/>
              <w:spacing w:line="213" w:lineRule="exact" w:before="21"/>
              <w:ind w:left="30"/>
              <w:jc w:val="center"/>
              <w:rPr>
                <w:sz w:val="20"/>
              </w:rPr>
            </w:pPr>
            <w:r>
              <w:rPr>
                <w:spacing w:val="-5"/>
                <w:sz w:val="20"/>
              </w:rPr>
              <w:t>13</w:t>
            </w:r>
          </w:p>
        </w:tc>
        <w:tc>
          <w:tcPr>
            <w:tcW w:w="569" w:type="dxa"/>
          </w:tcPr>
          <w:p>
            <w:pPr>
              <w:pStyle w:val="TableParagraph"/>
              <w:spacing w:line="213" w:lineRule="exact" w:before="21"/>
              <w:ind w:right="138"/>
              <w:jc w:val="right"/>
              <w:rPr>
                <w:sz w:val="20"/>
              </w:rPr>
            </w:pPr>
            <w:r>
              <w:rPr>
                <w:spacing w:val="-5"/>
                <w:sz w:val="20"/>
              </w:rPr>
              <w:t>6.4</w:t>
            </w:r>
          </w:p>
        </w:tc>
        <w:tc>
          <w:tcPr>
            <w:tcW w:w="559" w:type="dxa"/>
          </w:tcPr>
          <w:p>
            <w:pPr>
              <w:pStyle w:val="TableParagraph"/>
              <w:spacing w:line="213" w:lineRule="exact" w:before="21"/>
              <w:ind w:right="38"/>
              <w:jc w:val="center"/>
              <w:rPr>
                <w:sz w:val="20"/>
              </w:rPr>
            </w:pPr>
            <w:r>
              <w:rPr>
                <w:spacing w:val="-10"/>
                <w:sz w:val="20"/>
              </w:rPr>
              <w:t>3</w:t>
            </w:r>
          </w:p>
        </w:tc>
        <w:tc>
          <w:tcPr>
            <w:tcW w:w="677" w:type="dxa"/>
          </w:tcPr>
          <w:p>
            <w:pPr>
              <w:pStyle w:val="TableParagraph"/>
              <w:spacing w:line="213" w:lineRule="exact" w:before="21"/>
              <w:ind w:left="62" w:right="64"/>
              <w:jc w:val="center"/>
              <w:rPr>
                <w:sz w:val="20"/>
              </w:rPr>
            </w:pPr>
            <w:r>
              <w:rPr>
                <w:spacing w:val="-5"/>
                <w:sz w:val="20"/>
              </w:rPr>
              <w:t>1.5</w:t>
            </w:r>
          </w:p>
        </w:tc>
        <w:tc>
          <w:tcPr>
            <w:tcW w:w="771" w:type="dxa"/>
          </w:tcPr>
          <w:p>
            <w:pPr>
              <w:pStyle w:val="TableParagraph"/>
              <w:spacing w:line="213" w:lineRule="exact" w:before="21"/>
              <w:ind w:left="45" w:right="55"/>
              <w:jc w:val="center"/>
              <w:rPr>
                <w:sz w:val="20"/>
              </w:rPr>
            </w:pPr>
            <w:r>
              <w:rPr>
                <w:spacing w:val="-5"/>
                <w:sz w:val="20"/>
              </w:rPr>
              <w:t>78</w:t>
            </w:r>
          </w:p>
        </w:tc>
        <w:tc>
          <w:tcPr>
            <w:tcW w:w="879" w:type="dxa"/>
          </w:tcPr>
          <w:p>
            <w:pPr>
              <w:pStyle w:val="TableParagraph"/>
              <w:spacing w:line="213" w:lineRule="exact" w:before="21"/>
              <w:ind w:left="7" w:right="20"/>
              <w:jc w:val="center"/>
              <w:rPr>
                <w:sz w:val="20"/>
              </w:rPr>
            </w:pPr>
            <w:r>
              <w:rPr>
                <w:spacing w:val="-4"/>
                <w:sz w:val="20"/>
              </w:rPr>
              <w:t>38.4</w:t>
            </w:r>
          </w:p>
        </w:tc>
        <w:tc>
          <w:tcPr>
            <w:tcW w:w="687" w:type="dxa"/>
          </w:tcPr>
          <w:p>
            <w:pPr>
              <w:pStyle w:val="TableParagraph"/>
              <w:spacing w:line="213" w:lineRule="exact" w:before="21"/>
              <w:ind w:left="103" w:right="48"/>
              <w:jc w:val="center"/>
              <w:rPr>
                <w:sz w:val="20"/>
              </w:rPr>
            </w:pPr>
            <w:r>
              <w:rPr>
                <w:spacing w:val="-5"/>
                <w:sz w:val="20"/>
              </w:rPr>
              <w:t>84</w:t>
            </w:r>
          </w:p>
        </w:tc>
        <w:tc>
          <w:tcPr>
            <w:tcW w:w="800" w:type="dxa"/>
          </w:tcPr>
          <w:p>
            <w:pPr>
              <w:pStyle w:val="TableParagraph"/>
              <w:spacing w:line="213" w:lineRule="exact" w:before="21"/>
              <w:ind w:left="18" w:right="6"/>
              <w:jc w:val="center"/>
              <w:rPr>
                <w:sz w:val="20"/>
              </w:rPr>
            </w:pPr>
            <w:r>
              <w:rPr>
                <w:spacing w:val="-4"/>
                <w:sz w:val="20"/>
              </w:rPr>
              <w:t>41.4</w:t>
            </w:r>
          </w:p>
        </w:tc>
        <w:tc>
          <w:tcPr>
            <w:tcW w:w="627" w:type="dxa"/>
          </w:tcPr>
          <w:p>
            <w:pPr>
              <w:pStyle w:val="TableParagraph"/>
              <w:spacing w:line="213" w:lineRule="exact" w:before="21"/>
              <w:ind w:left="23" w:right="22"/>
              <w:jc w:val="center"/>
              <w:rPr>
                <w:sz w:val="20"/>
              </w:rPr>
            </w:pPr>
            <w:r>
              <w:rPr>
                <w:spacing w:val="-5"/>
                <w:sz w:val="20"/>
              </w:rPr>
              <w:t>25</w:t>
            </w:r>
          </w:p>
        </w:tc>
        <w:tc>
          <w:tcPr>
            <w:tcW w:w="771" w:type="dxa"/>
          </w:tcPr>
          <w:p>
            <w:pPr>
              <w:pStyle w:val="TableParagraph"/>
              <w:spacing w:line="213" w:lineRule="exact" w:before="21"/>
              <w:ind w:left="45" w:right="16"/>
              <w:jc w:val="center"/>
              <w:rPr>
                <w:sz w:val="20"/>
              </w:rPr>
            </w:pPr>
            <w:r>
              <w:rPr>
                <w:spacing w:val="-4"/>
                <w:sz w:val="20"/>
              </w:rPr>
              <w:t>12.3</w:t>
            </w:r>
          </w:p>
        </w:tc>
        <w:tc>
          <w:tcPr>
            <w:tcW w:w="692" w:type="dxa"/>
          </w:tcPr>
          <w:p>
            <w:pPr>
              <w:pStyle w:val="TableParagraph"/>
              <w:spacing w:line="213" w:lineRule="exact" w:before="21"/>
              <w:ind w:left="23" w:right="24"/>
              <w:jc w:val="center"/>
              <w:rPr>
                <w:sz w:val="20"/>
              </w:rPr>
            </w:pPr>
            <w:r>
              <w:rPr>
                <w:spacing w:val="-5"/>
                <w:sz w:val="20"/>
              </w:rPr>
              <w:t>203</w:t>
            </w:r>
          </w:p>
        </w:tc>
        <w:tc>
          <w:tcPr>
            <w:tcW w:w="734" w:type="dxa"/>
            <w:tcBorders>
              <w:right w:val="single" w:sz="4" w:space="0" w:color="000000"/>
            </w:tcBorders>
          </w:tcPr>
          <w:p>
            <w:pPr>
              <w:pStyle w:val="TableParagraph"/>
              <w:spacing w:line="213" w:lineRule="exact" w:before="21"/>
              <w:ind w:left="85" w:right="60"/>
              <w:jc w:val="center"/>
              <w:rPr>
                <w:sz w:val="20"/>
              </w:rPr>
            </w:pPr>
            <w:r>
              <w:rPr>
                <w:spacing w:val="-4"/>
                <w:sz w:val="20"/>
              </w:rPr>
              <w:t>43.8</w:t>
            </w:r>
          </w:p>
        </w:tc>
      </w:tr>
      <w:tr>
        <w:trPr>
          <w:trHeight w:val="235" w:hRule="atLeast"/>
        </w:trPr>
        <w:tc>
          <w:tcPr>
            <w:tcW w:w="3727" w:type="dxa"/>
            <w:tcBorders>
              <w:left w:val="single" w:sz="4" w:space="0" w:color="000000"/>
            </w:tcBorders>
          </w:tcPr>
          <w:p>
            <w:pPr>
              <w:pStyle w:val="TableParagraph"/>
              <w:rPr>
                <w:rFonts w:ascii="Times New Roman"/>
                <w:sz w:val="16"/>
              </w:rPr>
            </w:pPr>
          </w:p>
        </w:tc>
        <w:tc>
          <w:tcPr>
            <w:tcW w:w="1855" w:type="dxa"/>
          </w:tcPr>
          <w:p>
            <w:pPr>
              <w:pStyle w:val="TableParagraph"/>
              <w:spacing w:line="215" w:lineRule="exact"/>
              <w:ind w:left="165"/>
              <w:rPr>
                <w:sz w:val="20"/>
              </w:rPr>
            </w:pPr>
            <w:r>
              <w:rPr>
                <w:sz w:val="20"/>
              </w:rPr>
              <w:t>Top</w:t>
            </w:r>
            <w:r>
              <w:rPr>
                <w:spacing w:val="-1"/>
                <w:sz w:val="20"/>
              </w:rPr>
              <w:t> </w:t>
            </w:r>
            <w:r>
              <w:rPr>
                <w:spacing w:val="-2"/>
                <w:sz w:val="20"/>
              </w:rPr>
              <w:t>Management</w:t>
            </w:r>
          </w:p>
        </w:tc>
        <w:tc>
          <w:tcPr>
            <w:tcW w:w="529" w:type="dxa"/>
          </w:tcPr>
          <w:p>
            <w:pPr>
              <w:pStyle w:val="TableParagraph"/>
              <w:spacing w:line="215" w:lineRule="exact"/>
              <w:ind w:left="30" w:right="5"/>
              <w:jc w:val="center"/>
              <w:rPr>
                <w:sz w:val="20"/>
              </w:rPr>
            </w:pPr>
            <w:r>
              <w:rPr>
                <w:spacing w:val="-10"/>
                <w:sz w:val="20"/>
              </w:rPr>
              <w:t>1</w:t>
            </w:r>
          </w:p>
        </w:tc>
        <w:tc>
          <w:tcPr>
            <w:tcW w:w="569" w:type="dxa"/>
          </w:tcPr>
          <w:p>
            <w:pPr>
              <w:pStyle w:val="TableParagraph"/>
              <w:spacing w:line="215" w:lineRule="exact"/>
              <w:ind w:right="138"/>
              <w:jc w:val="right"/>
              <w:rPr>
                <w:sz w:val="20"/>
              </w:rPr>
            </w:pPr>
            <w:r>
              <w:rPr>
                <w:spacing w:val="-5"/>
                <w:sz w:val="20"/>
              </w:rPr>
              <w:t>4.3</w:t>
            </w:r>
          </w:p>
        </w:tc>
        <w:tc>
          <w:tcPr>
            <w:tcW w:w="559" w:type="dxa"/>
          </w:tcPr>
          <w:p>
            <w:pPr>
              <w:pStyle w:val="TableParagraph"/>
              <w:spacing w:line="215" w:lineRule="exact"/>
              <w:ind w:left="3" w:right="38"/>
              <w:jc w:val="center"/>
              <w:rPr>
                <w:sz w:val="20"/>
              </w:rPr>
            </w:pPr>
            <w:r>
              <w:rPr>
                <w:spacing w:val="-10"/>
                <w:sz w:val="20"/>
              </w:rPr>
              <w:t>-</w:t>
            </w:r>
          </w:p>
        </w:tc>
        <w:tc>
          <w:tcPr>
            <w:tcW w:w="677" w:type="dxa"/>
          </w:tcPr>
          <w:p>
            <w:pPr>
              <w:pStyle w:val="TableParagraph"/>
              <w:spacing w:line="215" w:lineRule="exact"/>
              <w:ind w:left="62" w:right="66"/>
              <w:jc w:val="center"/>
              <w:rPr>
                <w:sz w:val="20"/>
              </w:rPr>
            </w:pPr>
            <w:r>
              <w:rPr>
                <w:spacing w:val="-10"/>
                <w:sz w:val="20"/>
              </w:rPr>
              <w:t>-</w:t>
            </w:r>
          </w:p>
        </w:tc>
        <w:tc>
          <w:tcPr>
            <w:tcW w:w="771" w:type="dxa"/>
          </w:tcPr>
          <w:p>
            <w:pPr>
              <w:pStyle w:val="TableParagraph"/>
              <w:spacing w:line="215" w:lineRule="exact"/>
              <w:ind w:left="45" w:right="55"/>
              <w:jc w:val="center"/>
              <w:rPr>
                <w:sz w:val="20"/>
              </w:rPr>
            </w:pPr>
            <w:r>
              <w:rPr>
                <w:spacing w:val="-5"/>
                <w:sz w:val="20"/>
              </w:rPr>
              <w:t>10</w:t>
            </w:r>
          </w:p>
        </w:tc>
        <w:tc>
          <w:tcPr>
            <w:tcW w:w="879" w:type="dxa"/>
          </w:tcPr>
          <w:p>
            <w:pPr>
              <w:pStyle w:val="TableParagraph"/>
              <w:spacing w:line="215" w:lineRule="exact"/>
              <w:ind w:left="7" w:right="20"/>
              <w:jc w:val="center"/>
              <w:rPr>
                <w:sz w:val="20"/>
              </w:rPr>
            </w:pPr>
            <w:r>
              <w:rPr>
                <w:spacing w:val="-4"/>
                <w:sz w:val="20"/>
              </w:rPr>
              <w:t>43.5</w:t>
            </w:r>
          </w:p>
        </w:tc>
        <w:tc>
          <w:tcPr>
            <w:tcW w:w="687" w:type="dxa"/>
          </w:tcPr>
          <w:p>
            <w:pPr>
              <w:pStyle w:val="TableParagraph"/>
              <w:spacing w:line="215" w:lineRule="exact"/>
              <w:ind w:left="107" w:right="48"/>
              <w:jc w:val="center"/>
              <w:rPr>
                <w:sz w:val="20"/>
              </w:rPr>
            </w:pPr>
            <w:r>
              <w:rPr>
                <w:spacing w:val="-10"/>
                <w:sz w:val="20"/>
              </w:rPr>
              <w:t>9</w:t>
            </w:r>
          </w:p>
        </w:tc>
        <w:tc>
          <w:tcPr>
            <w:tcW w:w="800" w:type="dxa"/>
          </w:tcPr>
          <w:p>
            <w:pPr>
              <w:pStyle w:val="TableParagraph"/>
              <w:spacing w:line="215" w:lineRule="exact"/>
              <w:ind w:left="18" w:right="6"/>
              <w:jc w:val="center"/>
              <w:rPr>
                <w:sz w:val="20"/>
              </w:rPr>
            </w:pPr>
            <w:r>
              <w:rPr>
                <w:spacing w:val="-4"/>
                <w:sz w:val="20"/>
              </w:rPr>
              <w:t>39.1</w:t>
            </w:r>
          </w:p>
        </w:tc>
        <w:tc>
          <w:tcPr>
            <w:tcW w:w="627" w:type="dxa"/>
          </w:tcPr>
          <w:p>
            <w:pPr>
              <w:pStyle w:val="TableParagraph"/>
              <w:spacing w:line="215" w:lineRule="exact"/>
              <w:ind w:left="23" w:right="17"/>
              <w:jc w:val="center"/>
              <w:rPr>
                <w:sz w:val="20"/>
              </w:rPr>
            </w:pPr>
            <w:r>
              <w:rPr>
                <w:spacing w:val="-10"/>
                <w:sz w:val="20"/>
              </w:rPr>
              <w:t>3</w:t>
            </w:r>
          </w:p>
        </w:tc>
        <w:tc>
          <w:tcPr>
            <w:tcW w:w="771" w:type="dxa"/>
          </w:tcPr>
          <w:p>
            <w:pPr>
              <w:pStyle w:val="TableParagraph"/>
              <w:spacing w:line="215" w:lineRule="exact"/>
              <w:ind w:left="45" w:right="16"/>
              <w:jc w:val="center"/>
              <w:rPr>
                <w:sz w:val="20"/>
              </w:rPr>
            </w:pPr>
            <w:r>
              <w:rPr>
                <w:spacing w:val="-4"/>
                <w:sz w:val="20"/>
              </w:rPr>
              <w:t>13.0</w:t>
            </w:r>
          </w:p>
        </w:tc>
        <w:tc>
          <w:tcPr>
            <w:tcW w:w="692" w:type="dxa"/>
          </w:tcPr>
          <w:p>
            <w:pPr>
              <w:pStyle w:val="TableParagraph"/>
              <w:spacing w:line="215" w:lineRule="exact"/>
              <w:ind w:left="23" w:right="22"/>
              <w:jc w:val="center"/>
              <w:rPr>
                <w:sz w:val="20"/>
              </w:rPr>
            </w:pPr>
            <w:r>
              <w:rPr>
                <w:spacing w:val="-5"/>
                <w:sz w:val="20"/>
              </w:rPr>
              <w:t>23</w:t>
            </w:r>
          </w:p>
        </w:tc>
        <w:tc>
          <w:tcPr>
            <w:tcW w:w="734" w:type="dxa"/>
            <w:tcBorders>
              <w:right w:val="single" w:sz="4" w:space="0" w:color="000000"/>
            </w:tcBorders>
          </w:tcPr>
          <w:p>
            <w:pPr>
              <w:pStyle w:val="TableParagraph"/>
              <w:spacing w:line="215" w:lineRule="exact"/>
              <w:ind w:left="85" w:right="65"/>
              <w:jc w:val="center"/>
              <w:rPr>
                <w:sz w:val="20"/>
              </w:rPr>
            </w:pPr>
            <w:r>
              <w:rPr>
                <w:spacing w:val="-5"/>
                <w:sz w:val="20"/>
              </w:rPr>
              <w:t>5.0</w:t>
            </w:r>
          </w:p>
        </w:tc>
      </w:tr>
      <w:tr>
        <w:trPr>
          <w:trHeight w:val="235" w:hRule="atLeast"/>
        </w:trPr>
        <w:tc>
          <w:tcPr>
            <w:tcW w:w="3727" w:type="dxa"/>
            <w:tcBorders>
              <w:left w:val="single" w:sz="4" w:space="0" w:color="000000"/>
            </w:tcBorders>
          </w:tcPr>
          <w:p>
            <w:pPr>
              <w:pStyle w:val="TableParagraph"/>
              <w:tabs>
                <w:tab w:pos="830" w:val="left" w:leader="none"/>
              </w:tabs>
              <w:spacing w:line="213" w:lineRule="exact" w:before="2"/>
              <w:ind w:left="220"/>
              <w:rPr>
                <w:sz w:val="20"/>
              </w:rPr>
            </w:pPr>
            <w:r>
              <w:rPr>
                <w:spacing w:val="-5"/>
                <w:sz w:val="20"/>
              </w:rPr>
              <w:t>16.</w:t>
            </w:r>
            <w:r>
              <w:rPr>
                <w:sz w:val="20"/>
              </w:rPr>
              <w:tab/>
              <w:t>Theatres</w:t>
            </w:r>
            <w:r>
              <w:rPr>
                <w:spacing w:val="-9"/>
                <w:sz w:val="20"/>
              </w:rPr>
              <w:t> </w:t>
            </w:r>
            <w:r>
              <w:rPr>
                <w:sz w:val="20"/>
              </w:rPr>
              <w:t>and</w:t>
            </w:r>
            <w:r>
              <w:rPr>
                <w:spacing w:val="-5"/>
                <w:sz w:val="20"/>
              </w:rPr>
              <w:t> </w:t>
            </w:r>
            <w:r>
              <w:rPr>
                <w:spacing w:val="-2"/>
                <w:sz w:val="20"/>
              </w:rPr>
              <w:t>Laboratories</w:t>
            </w:r>
          </w:p>
        </w:tc>
        <w:tc>
          <w:tcPr>
            <w:tcW w:w="1855" w:type="dxa"/>
          </w:tcPr>
          <w:p>
            <w:pPr>
              <w:pStyle w:val="TableParagraph"/>
              <w:spacing w:line="213" w:lineRule="exact" w:before="2"/>
              <w:ind w:left="165"/>
              <w:rPr>
                <w:sz w:val="20"/>
              </w:rPr>
            </w:pPr>
            <w:r>
              <w:rPr>
                <w:sz w:val="20"/>
              </w:rPr>
              <w:t>No.</w:t>
            </w:r>
            <w:r>
              <w:rPr>
                <w:spacing w:val="-5"/>
                <w:sz w:val="20"/>
              </w:rPr>
              <w:t> </w:t>
            </w:r>
            <w:r>
              <w:rPr>
                <w:sz w:val="20"/>
              </w:rPr>
              <w:t>of</w:t>
            </w:r>
            <w:r>
              <w:rPr>
                <w:spacing w:val="-2"/>
                <w:sz w:val="20"/>
              </w:rPr>
              <w:t> missing</w:t>
            </w:r>
          </w:p>
        </w:tc>
        <w:tc>
          <w:tcPr>
            <w:tcW w:w="529" w:type="dxa"/>
          </w:tcPr>
          <w:p>
            <w:pPr>
              <w:pStyle w:val="TableParagraph"/>
              <w:rPr>
                <w:rFonts w:ascii="Times New Roman"/>
                <w:sz w:val="16"/>
              </w:rPr>
            </w:pPr>
          </w:p>
        </w:tc>
        <w:tc>
          <w:tcPr>
            <w:tcW w:w="569" w:type="dxa"/>
          </w:tcPr>
          <w:p>
            <w:pPr>
              <w:pStyle w:val="TableParagraph"/>
              <w:rPr>
                <w:rFonts w:ascii="Times New Roman"/>
                <w:sz w:val="16"/>
              </w:rPr>
            </w:pPr>
          </w:p>
        </w:tc>
        <w:tc>
          <w:tcPr>
            <w:tcW w:w="559" w:type="dxa"/>
          </w:tcPr>
          <w:p>
            <w:pPr>
              <w:pStyle w:val="TableParagraph"/>
              <w:rPr>
                <w:rFonts w:ascii="Times New Roman"/>
                <w:sz w:val="16"/>
              </w:rPr>
            </w:pPr>
          </w:p>
        </w:tc>
        <w:tc>
          <w:tcPr>
            <w:tcW w:w="677" w:type="dxa"/>
          </w:tcPr>
          <w:p>
            <w:pPr>
              <w:pStyle w:val="TableParagraph"/>
              <w:rPr>
                <w:rFonts w:ascii="Times New Roman"/>
                <w:sz w:val="16"/>
              </w:rPr>
            </w:pPr>
          </w:p>
        </w:tc>
        <w:tc>
          <w:tcPr>
            <w:tcW w:w="771" w:type="dxa"/>
          </w:tcPr>
          <w:p>
            <w:pPr>
              <w:pStyle w:val="TableParagraph"/>
              <w:rPr>
                <w:rFonts w:ascii="Times New Roman"/>
                <w:sz w:val="16"/>
              </w:rPr>
            </w:pPr>
          </w:p>
        </w:tc>
        <w:tc>
          <w:tcPr>
            <w:tcW w:w="879" w:type="dxa"/>
          </w:tcPr>
          <w:p>
            <w:pPr>
              <w:pStyle w:val="TableParagraph"/>
              <w:rPr>
                <w:rFonts w:ascii="Times New Roman"/>
                <w:sz w:val="16"/>
              </w:rPr>
            </w:pPr>
          </w:p>
        </w:tc>
        <w:tc>
          <w:tcPr>
            <w:tcW w:w="687" w:type="dxa"/>
          </w:tcPr>
          <w:p>
            <w:pPr>
              <w:pStyle w:val="TableParagraph"/>
              <w:rPr>
                <w:rFonts w:ascii="Times New Roman"/>
                <w:sz w:val="16"/>
              </w:rPr>
            </w:pPr>
          </w:p>
        </w:tc>
        <w:tc>
          <w:tcPr>
            <w:tcW w:w="800" w:type="dxa"/>
          </w:tcPr>
          <w:p>
            <w:pPr>
              <w:pStyle w:val="TableParagraph"/>
              <w:rPr>
                <w:rFonts w:ascii="Times New Roman"/>
                <w:sz w:val="16"/>
              </w:rPr>
            </w:pPr>
          </w:p>
        </w:tc>
        <w:tc>
          <w:tcPr>
            <w:tcW w:w="627" w:type="dxa"/>
          </w:tcPr>
          <w:p>
            <w:pPr>
              <w:pStyle w:val="TableParagraph"/>
              <w:rPr>
                <w:rFonts w:ascii="Times New Roman"/>
                <w:sz w:val="16"/>
              </w:rPr>
            </w:pPr>
          </w:p>
        </w:tc>
        <w:tc>
          <w:tcPr>
            <w:tcW w:w="771" w:type="dxa"/>
          </w:tcPr>
          <w:p>
            <w:pPr>
              <w:pStyle w:val="TableParagraph"/>
              <w:rPr>
                <w:rFonts w:ascii="Times New Roman"/>
                <w:sz w:val="16"/>
              </w:rPr>
            </w:pPr>
          </w:p>
        </w:tc>
        <w:tc>
          <w:tcPr>
            <w:tcW w:w="692" w:type="dxa"/>
          </w:tcPr>
          <w:p>
            <w:pPr>
              <w:pStyle w:val="TableParagraph"/>
              <w:rPr>
                <w:rFonts w:ascii="Times New Roman"/>
                <w:sz w:val="16"/>
              </w:rPr>
            </w:pPr>
          </w:p>
        </w:tc>
        <w:tc>
          <w:tcPr>
            <w:tcW w:w="734" w:type="dxa"/>
            <w:tcBorders>
              <w:right w:val="single" w:sz="4" w:space="0" w:color="000000"/>
            </w:tcBorders>
          </w:tcPr>
          <w:p>
            <w:pPr>
              <w:pStyle w:val="TableParagraph"/>
              <w:rPr>
                <w:rFonts w:ascii="Times New Roman"/>
                <w:sz w:val="16"/>
              </w:rPr>
            </w:pPr>
          </w:p>
        </w:tc>
      </w:tr>
      <w:tr>
        <w:trPr>
          <w:trHeight w:val="230" w:hRule="atLeast"/>
        </w:trPr>
        <w:tc>
          <w:tcPr>
            <w:tcW w:w="3727" w:type="dxa"/>
            <w:tcBorders>
              <w:left w:val="single" w:sz="4" w:space="0" w:color="000000"/>
            </w:tcBorders>
          </w:tcPr>
          <w:p>
            <w:pPr>
              <w:pStyle w:val="TableParagraph"/>
              <w:rPr>
                <w:rFonts w:ascii="Times New Roman"/>
                <w:sz w:val="16"/>
              </w:rPr>
            </w:pPr>
          </w:p>
        </w:tc>
        <w:tc>
          <w:tcPr>
            <w:tcW w:w="1855" w:type="dxa"/>
          </w:tcPr>
          <w:p>
            <w:pPr>
              <w:pStyle w:val="TableParagraph"/>
              <w:spacing w:line="210" w:lineRule="exact"/>
              <w:ind w:left="165"/>
              <w:rPr>
                <w:sz w:val="20"/>
              </w:rPr>
            </w:pPr>
            <w:r>
              <w:rPr>
                <w:spacing w:val="-2"/>
                <w:sz w:val="20"/>
              </w:rPr>
              <w:t>observations</w:t>
            </w:r>
          </w:p>
        </w:tc>
        <w:tc>
          <w:tcPr>
            <w:tcW w:w="529" w:type="dxa"/>
          </w:tcPr>
          <w:p>
            <w:pPr>
              <w:pStyle w:val="TableParagraph"/>
              <w:spacing w:line="210" w:lineRule="exact"/>
              <w:ind w:left="30" w:right="2"/>
              <w:jc w:val="center"/>
              <w:rPr>
                <w:sz w:val="20"/>
              </w:rPr>
            </w:pPr>
            <w:r>
              <w:rPr>
                <w:spacing w:val="-10"/>
                <w:sz w:val="20"/>
              </w:rPr>
              <w:t>-</w:t>
            </w:r>
          </w:p>
        </w:tc>
        <w:tc>
          <w:tcPr>
            <w:tcW w:w="569" w:type="dxa"/>
          </w:tcPr>
          <w:p>
            <w:pPr>
              <w:pStyle w:val="TableParagraph"/>
              <w:spacing w:line="210" w:lineRule="exact"/>
              <w:ind w:right="245"/>
              <w:jc w:val="right"/>
              <w:rPr>
                <w:sz w:val="20"/>
              </w:rPr>
            </w:pPr>
            <w:r>
              <w:rPr>
                <w:spacing w:val="-10"/>
                <w:sz w:val="20"/>
              </w:rPr>
              <w:t>-</w:t>
            </w:r>
          </w:p>
        </w:tc>
        <w:tc>
          <w:tcPr>
            <w:tcW w:w="559" w:type="dxa"/>
          </w:tcPr>
          <w:p>
            <w:pPr>
              <w:pStyle w:val="TableParagraph"/>
              <w:spacing w:line="210" w:lineRule="exact"/>
              <w:ind w:left="3" w:right="38"/>
              <w:jc w:val="center"/>
              <w:rPr>
                <w:sz w:val="20"/>
              </w:rPr>
            </w:pPr>
            <w:r>
              <w:rPr>
                <w:spacing w:val="-10"/>
                <w:sz w:val="20"/>
              </w:rPr>
              <w:t>-</w:t>
            </w:r>
          </w:p>
        </w:tc>
        <w:tc>
          <w:tcPr>
            <w:tcW w:w="677" w:type="dxa"/>
          </w:tcPr>
          <w:p>
            <w:pPr>
              <w:pStyle w:val="TableParagraph"/>
              <w:spacing w:line="210" w:lineRule="exact"/>
              <w:ind w:left="62" w:right="66"/>
              <w:jc w:val="center"/>
              <w:rPr>
                <w:sz w:val="20"/>
              </w:rPr>
            </w:pPr>
            <w:r>
              <w:rPr>
                <w:spacing w:val="-10"/>
                <w:sz w:val="20"/>
              </w:rPr>
              <w:t>-</w:t>
            </w:r>
          </w:p>
        </w:tc>
        <w:tc>
          <w:tcPr>
            <w:tcW w:w="771" w:type="dxa"/>
          </w:tcPr>
          <w:p>
            <w:pPr>
              <w:pStyle w:val="TableParagraph"/>
              <w:spacing w:line="210" w:lineRule="exact"/>
              <w:ind w:left="45" w:right="50"/>
              <w:jc w:val="center"/>
              <w:rPr>
                <w:sz w:val="20"/>
              </w:rPr>
            </w:pPr>
            <w:r>
              <w:rPr>
                <w:spacing w:val="-10"/>
                <w:sz w:val="20"/>
              </w:rPr>
              <w:t>1</w:t>
            </w:r>
          </w:p>
        </w:tc>
        <w:tc>
          <w:tcPr>
            <w:tcW w:w="879" w:type="dxa"/>
          </w:tcPr>
          <w:p>
            <w:pPr>
              <w:pStyle w:val="TableParagraph"/>
              <w:spacing w:line="210" w:lineRule="exact"/>
              <w:ind w:left="7" w:right="20"/>
              <w:jc w:val="center"/>
              <w:rPr>
                <w:sz w:val="20"/>
              </w:rPr>
            </w:pPr>
            <w:r>
              <w:rPr>
                <w:spacing w:val="-4"/>
                <w:sz w:val="20"/>
              </w:rPr>
              <w:t>50.0</w:t>
            </w:r>
          </w:p>
        </w:tc>
        <w:tc>
          <w:tcPr>
            <w:tcW w:w="687" w:type="dxa"/>
          </w:tcPr>
          <w:p>
            <w:pPr>
              <w:pStyle w:val="TableParagraph"/>
              <w:spacing w:line="210" w:lineRule="exact"/>
              <w:ind w:left="107" w:right="48"/>
              <w:jc w:val="center"/>
              <w:rPr>
                <w:sz w:val="20"/>
              </w:rPr>
            </w:pPr>
            <w:r>
              <w:rPr>
                <w:spacing w:val="-10"/>
                <w:sz w:val="20"/>
              </w:rPr>
              <w:t>1</w:t>
            </w:r>
          </w:p>
        </w:tc>
        <w:tc>
          <w:tcPr>
            <w:tcW w:w="800" w:type="dxa"/>
          </w:tcPr>
          <w:p>
            <w:pPr>
              <w:pStyle w:val="TableParagraph"/>
              <w:spacing w:line="210" w:lineRule="exact"/>
              <w:ind w:left="18" w:right="6"/>
              <w:jc w:val="center"/>
              <w:rPr>
                <w:sz w:val="20"/>
              </w:rPr>
            </w:pPr>
            <w:r>
              <w:rPr>
                <w:spacing w:val="-4"/>
                <w:sz w:val="20"/>
              </w:rPr>
              <w:t>50.0</w:t>
            </w:r>
          </w:p>
        </w:tc>
        <w:tc>
          <w:tcPr>
            <w:tcW w:w="627" w:type="dxa"/>
          </w:tcPr>
          <w:p>
            <w:pPr>
              <w:pStyle w:val="TableParagraph"/>
              <w:spacing w:line="210" w:lineRule="exact"/>
              <w:ind w:left="23" w:right="23"/>
              <w:jc w:val="center"/>
              <w:rPr>
                <w:sz w:val="20"/>
              </w:rPr>
            </w:pPr>
            <w:r>
              <w:rPr>
                <w:spacing w:val="-10"/>
                <w:sz w:val="20"/>
              </w:rPr>
              <w:t>-</w:t>
            </w:r>
          </w:p>
        </w:tc>
        <w:tc>
          <w:tcPr>
            <w:tcW w:w="771" w:type="dxa"/>
          </w:tcPr>
          <w:p>
            <w:pPr>
              <w:pStyle w:val="TableParagraph"/>
              <w:spacing w:line="210" w:lineRule="exact"/>
              <w:ind w:left="45" w:right="23"/>
              <w:jc w:val="center"/>
              <w:rPr>
                <w:sz w:val="20"/>
              </w:rPr>
            </w:pPr>
            <w:r>
              <w:rPr>
                <w:spacing w:val="-10"/>
                <w:sz w:val="20"/>
              </w:rPr>
              <w:t>-</w:t>
            </w:r>
          </w:p>
        </w:tc>
        <w:tc>
          <w:tcPr>
            <w:tcW w:w="692" w:type="dxa"/>
          </w:tcPr>
          <w:p>
            <w:pPr>
              <w:pStyle w:val="TableParagraph"/>
              <w:spacing w:line="210" w:lineRule="exact"/>
              <w:ind w:left="23" w:right="17"/>
              <w:jc w:val="center"/>
              <w:rPr>
                <w:sz w:val="20"/>
              </w:rPr>
            </w:pPr>
            <w:r>
              <w:rPr>
                <w:spacing w:val="-10"/>
                <w:sz w:val="20"/>
              </w:rPr>
              <w:t>2</w:t>
            </w:r>
          </w:p>
        </w:tc>
        <w:tc>
          <w:tcPr>
            <w:tcW w:w="734" w:type="dxa"/>
            <w:tcBorders>
              <w:right w:val="single" w:sz="4" w:space="0" w:color="000000"/>
            </w:tcBorders>
          </w:tcPr>
          <w:p>
            <w:pPr>
              <w:pStyle w:val="TableParagraph"/>
              <w:spacing w:line="210" w:lineRule="exact"/>
              <w:ind w:left="85" w:right="65"/>
              <w:jc w:val="center"/>
              <w:rPr>
                <w:sz w:val="20"/>
              </w:rPr>
            </w:pPr>
            <w:r>
              <w:rPr>
                <w:spacing w:val="-5"/>
                <w:sz w:val="20"/>
              </w:rPr>
              <w:t>0.4</w:t>
            </w:r>
          </w:p>
        </w:tc>
      </w:tr>
      <w:tr>
        <w:trPr>
          <w:trHeight w:val="235" w:hRule="atLeast"/>
        </w:trPr>
        <w:tc>
          <w:tcPr>
            <w:tcW w:w="3727" w:type="dxa"/>
            <w:tcBorders>
              <w:left w:val="single" w:sz="4" w:space="0" w:color="000000"/>
            </w:tcBorders>
          </w:tcPr>
          <w:p>
            <w:pPr>
              <w:pStyle w:val="TableParagraph"/>
              <w:rPr>
                <w:rFonts w:ascii="Times New Roman"/>
                <w:sz w:val="16"/>
              </w:rPr>
            </w:pPr>
          </w:p>
        </w:tc>
        <w:tc>
          <w:tcPr>
            <w:tcW w:w="1855" w:type="dxa"/>
          </w:tcPr>
          <w:p>
            <w:pPr>
              <w:pStyle w:val="TableParagraph"/>
              <w:spacing w:line="215" w:lineRule="exact"/>
              <w:ind w:left="165"/>
              <w:rPr>
                <w:sz w:val="20"/>
              </w:rPr>
            </w:pPr>
            <w:r>
              <w:rPr>
                <w:spacing w:val="-2"/>
                <w:sz w:val="20"/>
              </w:rPr>
              <w:t>Students</w:t>
            </w:r>
          </w:p>
        </w:tc>
        <w:tc>
          <w:tcPr>
            <w:tcW w:w="529" w:type="dxa"/>
          </w:tcPr>
          <w:p>
            <w:pPr>
              <w:pStyle w:val="TableParagraph"/>
              <w:spacing w:line="215" w:lineRule="exact"/>
              <w:ind w:left="30"/>
              <w:jc w:val="center"/>
              <w:rPr>
                <w:sz w:val="20"/>
              </w:rPr>
            </w:pPr>
            <w:r>
              <w:rPr>
                <w:spacing w:val="-5"/>
                <w:sz w:val="20"/>
              </w:rPr>
              <w:t>11</w:t>
            </w:r>
          </w:p>
        </w:tc>
        <w:tc>
          <w:tcPr>
            <w:tcW w:w="569" w:type="dxa"/>
          </w:tcPr>
          <w:p>
            <w:pPr>
              <w:pStyle w:val="TableParagraph"/>
              <w:spacing w:line="215" w:lineRule="exact"/>
              <w:ind w:right="138"/>
              <w:jc w:val="right"/>
              <w:rPr>
                <w:sz w:val="20"/>
              </w:rPr>
            </w:pPr>
            <w:r>
              <w:rPr>
                <w:spacing w:val="-5"/>
                <w:sz w:val="20"/>
              </w:rPr>
              <w:t>4.7</w:t>
            </w:r>
          </w:p>
        </w:tc>
        <w:tc>
          <w:tcPr>
            <w:tcW w:w="559" w:type="dxa"/>
          </w:tcPr>
          <w:p>
            <w:pPr>
              <w:pStyle w:val="TableParagraph"/>
              <w:spacing w:line="215" w:lineRule="exact"/>
              <w:ind w:right="38"/>
              <w:jc w:val="center"/>
              <w:rPr>
                <w:sz w:val="20"/>
              </w:rPr>
            </w:pPr>
            <w:r>
              <w:rPr>
                <w:spacing w:val="-10"/>
                <w:sz w:val="20"/>
              </w:rPr>
              <w:t>6</w:t>
            </w:r>
          </w:p>
        </w:tc>
        <w:tc>
          <w:tcPr>
            <w:tcW w:w="677" w:type="dxa"/>
          </w:tcPr>
          <w:p>
            <w:pPr>
              <w:pStyle w:val="TableParagraph"/>
              <w:spacing w:line="215" w:lineRule="exact"/>
              <w:ind w:left="62" w:right="64"/>
              <w:jc w:val="center"/>
              <w:rPr>
                <w:sz w:val="20"/>
              </w:rPr>
            </w:pPr>
            <w:r>
              <w:rPr>
                <w:spacing w:val="-5"/>
                <w:sz w:val="20"/>
              </w:rPr>
              <w:t>2.6</w:t>
            </w:r>
          </w:p>
        </w:tc>
        <w:tc>
          <w:tcPr>
            <w:tcW w:w="771" w:type="dxa"/>
          </w:tcPr>
          <w:p>
            <w:pPr>
              <w:pStyle w:val="TableParagraph"/>
              <w:spacing w:line="215" w:lineRule="exact"/>
              <w:ind w:left="45" w:right="59"/>
              <w:jc w:val="center"/>
              <w:rPr>
                <w:sz w:val="20"/>
              </w:rPr>
            </w:pPr>
            <w:r>
              <w:rPr>
                <w:spacing w:val="-5"/>
                <w:sz w:val="20"/>
              </w:rPr>
              <w:t>131</w:t>
            </w:r>
          </w:p>
        </w:tc>
        <w:tc>
          <w:tcPr>
            <w:tcW w:w="879" w:type="dxa"/>
          </w:tcPr>
          <w:p>
            <w:pPr>
              <w:pStyle w:val="TableParagraph"/>
              <w:spacing w:line="215" w:lineRule="exact"/>
              <w:ind w:left="7" w:right="20"/>
              <w:jc w:val="center"/>
              <w:rPr>
                <w:sz w:val="20"/>
              </w:rPr>
            </w:pPr>
            <w:r>
              <w:rPr>
                <w:spacing w:val="-4"/>
                <w:sz w:val="20"/>
              </w:rPr>
              <w:t>55.7</w:t>
            </w:r>
          </w:p>
        </w:tc>
        <w:tc>
          <w:tcPr>
            <w:tcW w:w="687" w:type="dxa"/>
          </w:tcPr>
          <w:p>
            <w:pPr>
              <w:pStyle w:val="TableParagraph"/>
              <w:spacing w:line="215" w:lineRule="exact"/>
              <w:ind w:left="103" w:right="48"/>
              <w:jc w:val="center"/>
              <w:rPr>
                <w:sz w:val="20"/>
              </w:rPr>
            </w:pPr>
            <w:r>
              <w:rPr>
                <w:spacing w:val="-5"/>
                <w:sz w:val="20"/>
              </w:rPr>
              <w:t>69</w:t>
            </w:r>
          </w:p>
        </w:tc>
        <w:tc>
          <w:tcPr>
            <w:tcW w:w="800" w:type="dxa"/>
          </w:tcPr>
          <w:p>
            <w:pPr>
              <w:pStyle w:val="TableParagraph"/>
              <w:spacing w:line="215" w:lineRule="exact"/>
              <w:ind w:left="18" w:right="6"/>
              <w:jc w:val="center"/>
              <w:rPr>
                <w:sz w:val="20"/>
              </w:rPr>
            </w:pPr>
            <w:r>
              <w:rPr>
                <w:spacing w:val="-4"/>
                <w:sz w:val="20"/>
              </w:rPr>
              <w:t>29.4</w:t>
            </w:r>
          </w:p>
        </w:tc>
        <w:tc>
          <w:tcPr>
            <w:tcW w:w="627" w:type="dxa"/>
          </w:tcPr>
          <w:p>
            <w:pPr>
              <w:pStyle w:val="TableParagraph"/>
              <w:spacing w:line="215" w:lineRule="exact"/>
              <w:ind w:left="23" w:right="22"/>
              <w:jc w:val="center"/>
              <w:rPr>
                <w:sz w:val="20"/>
              </w:rPr>
            </w:pPr>
            <w:r>
              <w:rPr>
                <w:spacing w:val="-5"/>
                <w:sz w:val="20"/>
              </w:rPr>
              <w:t>18</w:t>
            </w:r>
          </w:p>
        </w:tc>
        <w:tc>
          <w:tcPr>
            <w:tcW w:w="771" w:type="dxa"/>
          </w:tcPr>
          <w:p>
            <w:pPr>
              <w:pStyle w:val="TableParagraph"/>
              <w:spacing w:line="215" w:lineRule="exact"/>
              <w:ind w:left="45" w:right="21"/>
              <w:jc w:val="center"/>
              <w:rPr>
                <w:sz w:val="20"/>
              </w:rPr>
            </w:pPr>
            <w:r>
              <w:rPr>
                <w:spacing w:val="-5"/>
                <w:sz w:val="20"/>
              </w:rPr>
              <w:t>7.7</w:t>
            </w:r>
          </w:p>
        </w:tc>
        <w:tc>
          <w:tcPr>
            <w:tcW w:w="692" w:type="dxa"/>
          </w:tcPr>
          <w:p>
            <w:pPr>
              <w:pStyle w:val="TableParagraph"/>
              <w:spacing w:line="215" w:lineRule="exact"/>
              <w:ind w:left="23" w:right="24"/>
              <w:jc w:val="center"/>
              <w:rPr>
                <w:sz w:val="20"/>
              </w:rPr>
            </w:pPr>
            <w:r>
              <w:rPr>
                <w:spacing w:val="-5"/>
                <w:sz w:val="20"/>
              </w:rPr>
              <w:t>235</w:t>
            </w:r>
          </w:p>
        </w:tc>
        <w:tc>
          <w:tcPr>
            <w:tcW w:w="734" w:type="dxa"/>
            <w:tcBorders>
              <w:right w:val="single" w:sz="4" w:space="0" w:color="000000"/>
            </w:tcBorders>
          </w:tcPr>
          <w:p>
            <w:pPr>
              <w:pStyle w:val="TableParagraph"/>
              <w:spacing w:line="215" w:lineRule="exact"/>
              <w:ind w:left="85" w:right="60"/>
              <w:jc w:val="center"/>
              <w:rPr>
                <w:sz w:val="20"/>
              </w:rPr>
            </w:pPr>
            <w:r>
              <w:rPr>
                <w:spacing w:val="-4"/>
                <w:sz w:val="20"/>
              </w:rPr>
              <w:t>50.8</w:t>
            </w:r>
          </w:p>
        </w:tc>
      </w:tr>
      <w:tr>
        <w:trPr>
          <w:trHeight w:val="235" w:hRule="atLeast"/>
        </w:trPr>
        <w:tc>
          <w:tcPr>
            <w:tcW w:w="3727" w:type="dxa"/>
            <w:tcBorders>
              <w:left w:val="single" w:sz="4" w:space="0" w:color="000000"/>
            </w:tcBorders>
          </w:tcPr>
          <w:p>
            <w:pPr>
              <w:pStyle w:val="TableParagraph"/>
              <w:rPr>
                <w:rFonts w:ascii="Times New Roman"/>
                <w:sz w:val="16"/>
              </w:rPr>
            </w:pPr>
          </w:p>
        </w:tc>
        <w:tc>
          <w:tcPr>
            <w:tcW w:w="1855" w:type="dxa"/>
          </w:tcPr>
          <w:p>
            <w:pPr>
              <w:pStyle w:val="TableParagraph"/>
              <w:spacing w:line="213" w:lineRule="exact" w:before="2"/>
              <w:ind w:left="165"/>
              <w:rPr>
                <w:sz w:val="20"/>
              </w:rPr>
            </w:pPr>
            <w:r>
              <w:rPr>
                <w:sz w:val="20"/>
              </w:rPr>
              <w:t>Service</w:t>
            </w:r>
            <w:r>
              <w:rPr>
                <w:spacing w:val="-9"/>
                <w:sz w:val="20"/>
              </w:rPr>
              <w:t> </w:t>
            </w:r>
            <w:r>
              <w:rPr>
                <w:spacing w:val="-2"/>
                <w:sz w:val="20"/>
              </w:rPr>
              <w:t>Staff</w:t>
            </w:r>
          </w:p>
        </w:tc>
        <w:tc>
          <w:tcPr>
            <w:tcW w:w="529" w:type="dxa"/>
          </w:tcPr>
          <w:p>
            <w:pPr>
              <w:pStyle w:val="TableParagraph"/>
              <w:spacing w:line="213" w:lineRule="exact" w:before="2"/>
              <w:ind w:left="30"/>
              <w:jc w:val="center"/>
              <w:rPr>
                <w:sz w:val="20"/>
              </w:rPr>
            </w:pPr>
            <w:r>
              <w:rPr>
                <w:spacing w:val="-5"/>
                <w:sz w:val="20"/>
              </w:rPr>
              <w:t>13</w:t>
            </w:r>
          </w:p>
        </w:tc>
        <w:tc>
          <w:tcPr>
            <w:tcW w:w="569" w:type="dxa"/>
          </w:tcPr>
          <w:p>
            <w:pPr>
              <w:pStyle w:val="TableParagraph"/>
              <w:spacing w:line="213" w:lineRule="exact" w:before="2"/>
              <w:ind w:right="138"/>
              <w:jc w:val="right"/>
              <w:rPr>
                <w:sz w:val="20"/>
              </w:rPr>
            </w:pPr>
            <w:r>
              <w:rPr>
                <w:spacing w:val="-5"/>
                <w:sz w:val="20"/>
              </w:rPr>
              <w:t>6.4</w:t>
            </w:r>
          </w:p>
        </w:tc>
        <w:tc>
          <w:tcPr>
            <w:tcW w:w="559" w:type="dxa"/>
          </w:tcPr>
          <w:p>
            <w:pPr>
              <w:pStyle w:val="TableParagraph"/>
              <w:spacing w:line="213" w:lineRule="exact" w:before="2"/>
              <w:ind w:right="38"/>
              <w:jc w:val="center"/>
              <w:rPr>
                <w:sz w:val="20"/>
              </w:rPr>
            </w:pPr>
            <w:r>
              <w:rPr>
                <w:spacing w:val="-10"/>
                <w:sz w:val="20"/>
              </w:rPr>
              <w:t>4</w:t>
            </w:r>
          </w:p>
        </w:tc>
        <w:tc>
          <w:tcPr>
            <w:tcW w:w="677" w:type="dxa"/>
          </w:tcPr>
          <w:p>
            <w:pPr>
              <w:pStyle w:val="TableParagraph"/>
              <w:spacing w:line="213" w:lineRule="exact" w:before="2"/>
              <w:ind w:left="62" w:right="64"/>
              <w:jc w:val="center"/>
              <w:rPr>
                <w:sz w:val="20"/>
              </w:rPr>
            </w:pPr>
            <w:r>
              <w:rPr>
                <w:spacing w:val="-5"/>
                <w:sz w:val="20"/>
              </w:rPr>
              <w:t>2.0</w:t>
            </w:r>
          </w:p>
        </w:tc>
        <w:tc>
          <w:tcPr>
            <w:tcW w:w="771" w:type="dxa"/>
          </w:tcPr>
          <w:p>
            <w:pPr>
              <w:pStyle w:val="TableParagraph"/>
              <w:spacing w:line="213" w:lineRule="exact" w:before="2"/>
              <w:ind w:left="45" w:right="59"/>
              <w:jc w:val="center"/>
              <w:rPr>
                <w:sz w:val="20"/>
              </w:rPr>
            </w:pPr>
            <w:r>
              <w:rPr>
                <w:spacing w:val="-5"/>
                <w:sz w:val="20"/>
              </w:rPr>
              <w:t>107</w:t>
            </w:r>
          </w:p>
        </w:tc>
        <w:tc>
          <w:tcPr>
            <w:tcW w:w="879" w:type="dxa"/>
          </w:tcPr>
          <w:p>
            <w:pPr>
              <w:pStyle w:val="TableParagraph"/>
              <w:spacing w:line="213" w:lineRule="exact" w:before="2"/>
              <w:ind w:left="7" w:right="20"/>
              <w:jc w:val="center"/>
              <w:rPr>
                <w:sz w:val="20"/>
              </w:rPr>
            </w:pPr>
            <w:r>
              <w:rPr>
                <w:spacing w:val="-4"/>
                <w:sz w:val="20"/>
              </w:rPr>
              <w:t>52.7</w:t>
            </w:r>
          </w:p>
        </w:tc>
        <w:tc>
          <w:tcPr>
            <w:tcW w:w="687" w:type="dxa"/>
          </w:tcPr>
          <w:p>
            <w:pPr>
              <w:pStyle w:val="TableParagraph"/>
              <w:spacing w:line="213" w:lineRule="exact" w:before="2"/>
              <w:ind w:left="103" w:right="48"/>
              <w:jc w:val="center"/>
              <w:rPr>
                <w:sz w:val="20"/>
              </w:rPr>
            </w:pPr>
            <w:r>
              <w:rPr>
                <w:spacing w:val="-5"/>
                <w:sz w:val="20"/>
              </w:rPr>
              <w:t>61</w:t>
            </w:r>
          </w:p>
        </w:tc>
        <w:tc>
          <w:tcPr>
            <w:tcW w:w="800" w:type="dxa"/>
          </w:tcPr>
          <w:p>
            <w:pPr>
              <w:pStyle w:val="TableParagraph"/>
              <w:spacing w:line="213" w:lineRule="exact" w:before="2"/>
              <w:ind w:left="18" w:right="6"/>
              <w:jc w:val="center"/>
              <w:rPr>
                <w:sz w:val="20"/>
              </w:rPr>
            </w:pPr>
            <w:r>
              <w:rPr>
                <w:spacing w:val="-4"/>
                <w:sz w:val="20"/>
              </w:rPr>
              <w:t>30.0</w:t>
            </w:r>
          </w:p>
        </w:tc>
        <w:tc>
          <w:tcPr>
            <w:tcW w:w="627" w:type="dxa"/>
          </w:tcPr>
          <w:p>
            <w:pPr>
              <w:pStyle w:val="TableParagraph"/>
              <w:spacing w:line="213" w:lineRule="exact" w:before="2"/>
              <w:ind w:left="23" w:right="22"/>
              <w:jc w:val="center"/>
              <w:rPr>
                <w:sz w:val="20"/>
              </w:rPr>
            </w:pPr>
            <w:r>
              <w:rPr>
                <w:spacing w:val="-5"/>
                <w:sz w:val="20"/>
              </w:rPr>
              <w:t>18</w:t>
            </w:r>
          </w:p>
        </w:tc>
        <w:tc>
          <w:tcPr>
            <w:tcW w:w="771" w:type="dxa"/>
          </w:tcPr>
          <w:p>
            <w:pPr>
              <w:pStyle w:val="TableParagraph"/>
              <w:spacing w:line="213" w:lineRule="exact" w:before="2"/>
              <w:ind w:left="45" w:right="21"/>
              <w:jc w:val="center"/>
              <w:rPr>
                <w:sz w:val="20"/>
              </w:rPr>
            </w:pPr>
            <w:r>
              <w:rPr>
                <w:spacing w:val="-5"/>
                <w:sz w:val="20"/>
              </w:rPr>
              <w:t>8.9</w:t>
            </w:r>
          </w:p>
        </w:tc>
        <w:tc>
          <w:tcPr>
            <w:tcW w:w="692" w:type="dxa"/>
          </w:tcPr>
          <w:p>
            <w:pPr>
              <w:pStyle w:val="TableParagraph"/>
              <w:spacing w:line="213" w:lineRule="exact" w:before="2"/>
              <w:ind w:left="23" w:right="24"/>
              <w:jc w:val="center"/>
              <w:rPr>
                <w:sz w:val="20"/>
              </w:rPr>
            </w:pPr>
            <w:r>
              <w:rPr>
                <w:spacing w:val="-5"/>
                <w:sz w:val="20"/>
              </w:rPr>
              <w:t>203</w:t>
            </w:r>
          </w:p>
        </w:tc>
        <w:tc>
          <w:tcPr>
            <w:tcW w:w="734" w:type="dxa"/>
            <w:tcBorders>
              <w:right w:val="single" w:sz="4" w:space="0" w:color="000000"/>
            </w:tcBorders>
          </w:tcPr>
          <w:p>
            <w:pPr>
              <w:pStyle w:val="TableParagraph"/>
              <w:spacing w:line="213" w:lineRule="exact" w:before="2"/>
              <w:ind w:left="85" w:right="60"/>
              <w:jc w:val="center"/>
              <w:rPr>
                <w:sz w:val="20"/>
              </w:rPr>
            </w:pPr>
            <w:r>
              <w:rPr>
                <w:spacing w:val="-4"/>
                <w:sz w:val="20"/>
              </w:rPr>
              <w:t>43.8</w:t>
            </w:r>
          </w:p>
        </w:tc>
      </w:tr>
      <w:tr>
        <w:trPr>
          <w:trHeight w:val="230" w:hRule="atLeast"/>
        </w:trPr>
        <w:tc>
          <w:tcPr>
            <w:tcW w:w="3727" w:type="dxa"/>
            <w:tcBorders>
              <w:left w:val="single" w:sz="4" w:space="0" w:color="000000"/>
            </w:tcBorders>
          </w:tcPr>
          <w:p>
            <w:pPr>
              <w:pStyle w:val="TableParagraph"/>
              <w:rPr>
                <w:rFonts w:ascii="Times New Roman"/>
                <w:sz w:val="16"/>
              </w:rPr>
            </w:pPr>
          </w:p>
        </w:tc>
        <w:tc>
          <w:tcPr>
            <w:tcW w:w="1855" w:type="dxa"/>
          </w:tcPr>
          <w:p>
            <w:pPr>
              <w:pStyle w:val="TableParagraph"/>
              <w:spacing w:line="210" w:lineRule="exact"/>
              <w:ind w:left="165"/>
              <w:rPr>
                <w:sz w:val="20"/>
              </w:rPr>
            </w:pPr>
            <w:r>
              <w:rPr>
                <w:sz w:val="20"/>
              </w:rPr>
              <w:t>Top</w:t>
            </w:r>
            <w:r>
              <w:rPr>
                <w:spacing w:val="-1"/>
                <w:sz w:val="20"/>
              </w:rPr>
              <w:t> </w:t>
            </w:r>
            <w:r>
              <w:rPr>
                <w:spacing w:val="-2"/>
                <w:sz w:val="20"/>
              </w:rPr>
              <w:t>Management</w:t>
            </w:r>
          </w:p>
        </w:tc>
        <w:tc>
          <w:tcPr>
            <w:tcW w:w="529" w:type="dxa"/>
          </w:tcPr>
          <w:p>
            <w:pPr>
              <w:pStyle w:val="TableParagraph"/>
              <w:spacing w:line="210" w:lineRule="exact"/>
              <w:ind w:left="30" w:right="5"/>
              <w:jc w:val="center"/>
              <w:rPr>
                <w:sz w:val="20"/>
              </w:rPr>
            </w:pPr>
            <w:r>
              <w:rPr>
                <w:spacing w:val="-10"/>
                <w:sz w:val="20"/>
              </w:rPr>
              <w:t>1</w:t>
            </w:r>
          </w:p>
        </w:tc>
        <w:tc>
          <w:tcPr>
            <w:tcW w:w="569" w:type="dxa"/>
          </w:tcPr>
          <w:p>
            <w:pPr>
              <w:pStyle w:val="TableParagraph"/>
              <w:spacing w:line="210" w:lineRule="exact"/>
              <w:ind w:right="138"/>
              <w:jc w:val="right"/>
              <w:rPr>
                <w:sz w:val="20"/>
              </w:rPr>
            </w:pPr>
            <w:r>
              <w:rPr>
                <w:spacing w:val="-5"/>
                <w:sz w:val="20"/>
              </w:rPr>
              <w:t>4.3</w:t>
            </w:r>
          </w:p>
        </w:tc>
        <w:tc>
          <w:tcPr>
            <w:tcW w:w="559" w:type="dxa"/>
          </w:tcPr>
          <w:p>
            <w:pPr>
              <w:pStyle w:val="TableParagraph"/>
              <w:spacing w:line="210" w:lineRule="exact"/>
              <w:ind w:right="38"/>
              <w:jc w:val="center"/>
              <w:rPr>
                <w:sz w:val="20"/>
              </w:rPr>
            </w:pPr>
            <w:r>
              <w:rPr>
                <w:spacing w:val="-10"/>
                <w:sz w:val="20"/>
              </w:rPr>
              <w:t>2</w:t>
            </w:r>
          </w:p>
        </w:tc>
        <w:tc>
          <w:tcPr>
            <w:tcW w:w="677" w:type="dxa"/>
          </w:tcPr>
          <w:p>
            <w:pPr>
              <w:pStyle w:val="TableParagraph"/>
              <w:spacing w:line="210" w:lineRule="exact"/>
              <w:ind w:left="62" w:right="64"/>
              <w:jc w:val="center"/>
              <w:rPr>
                <w:sz w:val="20"/>
              </w:rPr>
            </w:pPr>
            <w:r>
              <w:rPr>
                <w:spacing w:val="-5"/>
                <w:sz w:val="20"/>
              </w:rPr>
              <w:t>8.7</w:t>
            </w:r>
          </w:p>
        </w:tc>
        <w:tc>
          <w:tcPr>
            <w:tcW w:w="771" w:type="dxa"/>
          </w:tcPr>
          <w:p>
            <w:pPr>
              <w:pStyle w:val="TableParagraph"/>
              <w:spacing w:line="210" w:lineRule="exact"/>
              <w:ind w:left="45" w:right="50"/>
              <w:jc w:val="center"/>
              <w:rPr>
                <w:sz w:val="20"/>
              </w:rPr>
            </w:pPr>
            <w:r>
              <w:rPr>
                <w:spacing w:val="-10"/>
                <w:sz w:val="20"/>
              </w:rPr>
              <w:t>9</w:t>
            </w:r>
          </w:p>
        </w:tc>
        <w:tc>
          <w:tcPr>
            <w:tcW w:w="879" w:type="dxa"/>
          </w:tcPr>
          <w:p>
            <w:pPr>
              <w:pStyle w:val="TableParagraph"/>
              <w:spacing w:line="210" w:lineRule="exact"/>
              <w:ind w:left="7" w:right="20"/>
              <w:jc w:val="center"/>
              <w:rPr>
                <w:sz w:val="20"/>
              </w:rPr>
            </w:pPr>
            <w:r>
              <w:rPr>
                <w:spacing w:val="-4"/>
                <w:sz w:val="20"/>
              </w:rPr>
              <w:t>39.1</w:t>
            </w:r>
          </w:p>
        </w:tc>
        <w:tc>
          <w:tcPr>
            <w:tcW w:w="687" w:type="dxa"/>
          </w:tcPr>
          <w:p>
            <w:pPr>
              <w:pStyle w:val="TableParagraph"/>
              <w:spacing w:line="210" w:lineRule="exact"/>
              <w:ind w:left="103" w:right="48"/>
              <w:jc w:val="center"/>
              <w:rPr>
                <w:sz w:val="20"/>
              </w:rPr>
            </w:pPr>
            <w:r>
              <w:rPr>
                <w:spacing w:val="-5"/>
                <w:sz w:val="20"/>
              </w:rPr>
              <w:t>10</w:t>
            </w:r>
          </w:p>
        </w:tc>
        <w:tc>
          <w:tcPr>
            <w:tcW w:w="800" w:type="dxa"/>
          </w:tcPr>
          <w:p>
            <w:pPr>
              <w:pStyle w:val="TableParagraph"/>
              <w:spacing w:line="210" w:lineRule="exact"/>
              <w:ind w:left="18" w:right="6"/>
              <w:jc w:val="center"/>
              <w:rPr>
                <w:sz w:val="20"/>
              </w:rPr>
            </w:pPr>
            <w:r>
              <w:rPr>
                <w:spacing w:val="-4"/>
                <w:sz w:val="20"/>
              </w:rPr>
              <w:t>43.5</w:t>
            </w:r>
          </w:p>
        </w:tc>
        <w:tc>
          <w:tcPr>
            <w:tcW w:w="627" w:type="dxa"/>
          </w:tcPr>
          <w:p>
            <w:pPr>
              <w:pStyle w:val="TableParagraph"/>
              <w:spacing w:line="210" w:lineRule="exact"/>
              <w:ind w:left="23" w:right="17"/>
              <w:jc w:val="center"/>
              <w:rPr>
                <w:sz w:val="20"/>
              </w:rPr>
            </w:pPr>
            <w:r>
              <w:rPr>
                <w:spacing w:val="-10"/>
                <w:sz w:val="20"/>
              </w:rPr>
              <w:t>1</w:t>
            </w:r>
          </w:p>
        </w:tc>
        <w:tc>
          <w:tcPr>
            <w:tcW w:w="771" w:type="dxa"/>
          </w:tcPr>
          <w:p>
            <w:pPr>
              <w:pStyle w:val="TableParagraph"/>
              <w:spacing w:line="210" w:lineRule="exact"/>
              <w:ind w:left="45" w:right="21"/>
              <w:jc w:val="center"/>
              <w:rPr>
                <w:sz w:val="20"/>
              </w:rPr>
            </w:pPr>
            <w:r>
              <w:rPr>
                <w:spacing w:val="-5"/>
                <w:sz w:val="20"/>
              </w:rPr>
              <w:t>4.3</w:t>
            </w:r>
          </w:p>
        </w:tc>
        <w:tc>
          <w:tcPr>
            <w:tcW w:w="692" w:type="dxa"/>
          </w:tcPr>
          <w:p>
            <w:pPr>
              <w:pStyle w:val="TableParagraph"/>
              <w:spacing w:line="210" w:lineRule="exact"/>
              <w:ind w:left="23" w:right="22"/>
              <w:jc w:val="center"/>
              <w:rPr>
                <w:sz w:val="20"/>
              </w:rPr>
            </w:pPr>
            <w:r>
              <w:rPr>
                <w:spacing w:val="-5"/>
                <w:sz w:val="20"/>
              </w:rPr>
              <w:t>23</w:t>
            </w:r>
          </w:p>
        </w:tc>
        <w:tc>
          <w:tcPr>
            <w:tcW w:w="734" w:type="dxa"/>
            <w:tcBorders>
              <w:right w:val="single" w:sz="4" w:space="0" w:color="000000"/>
            </w:tcBorders>
          </w:tcPr>
          <w:p>
            <w:pPr>
              <w:pStyle w:val="TableParagraph"/>
              <w:spacing w:line="210" w:lineRule="exact"/>
              <w:ind w:left="85" w:right="65"/>
              <w:jc w:val="center"/>
              <w:rPr>
                <w:sz w:val="20"/>
              </w:rPr>
            </w:pPr>
            <w:r>
              <w:rPr>
                <w:spacing w:val="-5"/>
                <w:sz w:val="20"/>
              </w:rPr>
              <w:t>5.0</w:t>
            </w:r>
          </w:p>
        </w:tc>
      </w:tr>
      <w:tr>
        <w:trPr>
          <w:trHeight w:val="230" w:hRule="atLeast"/>
        </w:trPr>
        <w:tc>
          <w:tcPr>
            <w:tcW w:w="3727" w:type="dxa"/>
            <w:tcBorders>
              <w:left w:val="single" w:sz="4" w:space="0" w:color="000000"/>
            </w:tcBorders>
          </w:tcPr>
          <w:p>
            <w:pPr>
              <w:pStyle w:val="TableParagraph"/>
              <w:tabs>
                <w:tab w:pos="830" w:val="left" w:leader="none"/>
              </w:tabs>
              <w:spacing w:line="210" w:lineRule="exact"/>
              <w:ind w:left="220"/>
              <w:rPr>
                <w:sz w:val="20"/>
              </w:rPr>
            </w:pPr>
            <w:r>
              <w:rPr>
                <w:spacing w:val="-5"/>
                <w:sz w:val="20"/>
              </w:rPr>
              <w:t>17.</w:t>
            </w:r>
            <w:r>
              <w:rPr>
                <w:sz w:val="20"/>
              </w:rPr>
              <w:tab/>
              <w:t>Information</w:t>
            </w:r>
            <w:r>
              <w:rPr>
                <w:spacing w:val="-13"/>
                <w:sz w:val="20"/>
              </w:rPr>
              <w:t> </w:t>
            </w:r>
            <w:r>
              <w:rPr>
                <w:spacing w:val="-2"/>
                <w:sz w:val="20"/>
              </w:rPr>
              <w:t>Technology</w:t>
            </w:r>
          </w:p>
        </w:tc>
        <w:tc>
          <w:tcPr>
            <w:tcW w:w="1855" w:type="dxa"/>
          </w:tcPr>
          <w:p>
            <w:pPr>
              <w:pStyle w:val="TableParagraph"/>
              <w:spacing w:line="210" w:lineRule="exact"/>
              <w:ind w:left="165"/>
              <w:rPr>
                <w:sz w:val="20"/>
              </w:rPr>
            </w:pPr>
            <w:r>
              <w:rPr>
                <w:sz w:val="20"/>
              </w:rPr>
              <w:t>No.</w:t>
            </w:r>
            <w:r>
              <w:rPr>
                <w:spacing w:val="-5"/>
                <w:sz w:val="20"/>
              </w:rPr>
              <w:t> </w:t>
            </w:r>
            <w:r>
              <w:rPr>
                <w:sz w:val="20"/>
              </w:rPr>
              <w:t>of</w:t>
            </w:r>
            <w:r>
              <w:rPr>
                <w:spacing w:val="-2"/>
                <w:sz w:val="20"/>
              </w:rPr>
              <w:t> missing</w:t>
            </w:r>
          </w:p>
        </w:tc>
        <w:tc>
          <w:tcPr>
            <w:tcW w:w="529" w:type="dxa"/>
          </w:tcPr>
          <w:p>
            <w:pPr>
              <w:pStyle w:val="TableParagraph"/>
              <w:rPr>
                <w:rFonts w:ascii="Times New Roman"/>
                <w:sz w:val="16"/>
              </w:rPr>
            </w:pPr>
          </w:p>
        </w:tc>
        <w:tc>
          <w:tcPr>
            <w:tcW w:w="569" w:type="dxa"/>
          </w:tcPr>
          <w:p>
            <w:pPr>
              <w:pStyle w:val="TableParagraph"/>
              <w:rPr>
                <w:rFonts w:ascii="Times New Roman"/>
                <w:sz w:val="16"/>
              </w:rPr>
            </w:pPr>
          </w:p>
        </w:tc>
        <w:tc>
          <w:tcPr>
            <w:tcW w:w="559" w:type="dxa"/>
          </w:tcPr>
          <w:p>
            <w:pPr>
              <w:pStyle w:val="TableParagraph"/>
              <w:rPr>
                <w:rFonts w:ascii="Times New Roman"/>
                <w:sz w:val="16"/>
              </w:rPr>
            </w:pPr>
          </w:p>
        </w:tc>
        <w:tc>
          <w:tcPr>
            <w:tcW w:w="677" w:type="dxa"/>
          </w:tcPr>
          <w:p>
            <w:pPr>
              <w:pStyle w:val="TableParagraph"/>
              <w:rPr>
                <w:rFonts w:ascii="Times New Roman"/>
                <w:sz w:val="16"/>
              </w:rPr>
            </w:pPr>
          </w:p>
        </w:tc>
        <w:tc>
          <w:tcPr>
            <w:tcW w:w="771" w:type="dxa"/>
          </w:tcPr>
          <w:p>
            <w:pPr>
              <w:pStyle w:val="TableParagraph"/>
              <w:rPr>
                <w:rFonts w:ascii="Times New Roman"/>
                <w:sz w:val="16"/>
              </w:rPr>
            </w:pPr>
          </w:p>
        </w:tc>
        <w:tc>
          <w:tcPr>
            <w:tcW w:w="879" w:type="dxa"/>
          </w:tcPr>
          <w:p>
            <w:pPr>
              <w:pStyle w:val="TableParagraph"/>
              <w:rPr>
                <w:rFonts w:ascii="Times New Roman"/>
                <w:sz w:val="16"/>
              </w:rPr>
            </w:pPr>
          </w:p>
        </w:tc>
        <w:tc>
          <w:tcPr>
            <w:tcW w:w="687" w:type="dxa"/>
          </w:tcPr>
          <w:p>
            <w:pPr>
              <w:pStyle w:val="TableParagraph"/>
              <w:rPr>
                <w:rFonts w:ascii="Times New Roman"/>
                <w:sz w:val="16"/>
              </w:rPr>
            </w:pPr>
          </w:p>
        </w:tc>
        <w:tc>
          <w:tcPr>
            <w:tcW w:w="800" w:type="dxa"/>
          </w:tcPr>
          <w:p>
            <w:pPr>
              <w:pStyle w:val="TableParagraph"/>
              <w:rPr>
                <w:rFonts w:ascii="Times New Roman"/>
                <w:sz w:val="16"/>
              </w:rPr>
            </w:pPr>
          </w:p>
        </w:tc>
        <w:tc>
          <w:tcPr>
            <w:tcW w:w="627" w:type="dxa"/>
          </w:tcPr>
          <w:p>
            <w:pPr>
              <w:pStyle w:val="TableParagraph"/>
              <w:rPr>
                <w:rFonts w:ascii="Times New Roman"/>
                <w:sz w:val="16"/>
              </w:rPr>
            </w:pPr>
          </w:p>
        </w:tc>
        <w:tc>
          <w:tcPr>
            <w:tcW w:w="771" w:type="dxa"/>
          </w:tcPr>
          <w:p>
            <w:pPr>
              <w:pStyle w:val="TableParagraph"/>
              <w:rPr>
                <w:rFonts w:ascii="Times New Roman"/>
                <w:sz w:val="16"/>
              </w:rPr>
            </w:pPr>
          </w:p>
        </w:tc>
        <w:tc>
          <w:tcPr>
            <w:tcW w:w="692" w:type="dxa"/>
          </w:tcPr>
          <w:p>
            <w:pPr>
              <w:pStyle w:val="TableParagraph"/>
              <w:rPr>
                <w:rFonts w:ascii="Times New Roman"/>
                <w:sz w:val="16"/>
              </w:rPr>
            </w:pPr>
          </w:p>
        </w:tc>
        <w:tc>
          <w:tcPr>
            <w:tcW w:w="734" w:type="dxa"/>
            <w:tcBorders>
              <w:right w:val="single" w:sz="4" w:space="0" w:color="000000"/>
            </w:tcBorders>
          </w:tcPr>
          <w:p>
            <w:pPr>
              <w:pStyle w:val="TableParagraph"/>
              <w:rPr>
                <w:rFonts w:ascii="Times New Roman"/>
                <w:sz w:val="16"/>
              </w:rPr>
            </w:pPr>
          </w:p>
        </w:tc>
      </w:tr>
      <w:tr>
        <w:trPr>
          <w:trHeight w:val="230" w:hRule="atLeast"/>
        </w:trPr>
        <w:tc>
          <w:tcPr>
            <w:tcW w:w="3727" w:type="dxa"/>
            <w:tcBorders>
              <w:left w:val="single" w:sz="4" w:space="0" w:color="000000"/>
            </w:tcBorders>
          </w:tcPr>
          <w:p>
            <w:pPr>
              <w:pStyle w:val="TableParagraph"/>
              <w:spacing w:line="210" w:lineRule="exact"/>
              <w:ind w:left="830"/>
              <w:rPr>
                <w:sz w:val="20"/>
              </w:rPr>
            </w:pPr>
            <w:r>
              <w:rPr>
                <w:sz w:val="20"/>
              </w:rPr>
              <w:t>services,</w:t>
            </w:r>
            <w:r>
              <w:rPr>
                <w:spacing w:val="-5"/>
                <w:sz w:val="20"/>
              </w:rPr>
              <w:t> </w:t>
            </w:r>
            <w:r>
              <w:rPr>
                <w:spacing w:val="-2"/>
                <w:sz w:val="20"/>
              </w:rPr>
              <w:t>Computers,</w:t>
            </w:r>
          </w:p>
        </w:tc>
        <w:tc>
          <w:tcPr>
            <w:tcW w:w="1855" w:type="dxa"/>
          </w:tcPr>
          <w:p>
            <w:pPr>
              <w:pStyle w:val="TableParagraph"/>
              <w:spacing w:line="210" w:lineRule="exact"/>
              <w:ind w:left="165"/>
              <w:rPr>
                <w:sz w:val="20"/>
              </w:rPr>
            </w:pPr>
            <w:r>
              <w:rPr>
                <w:spacing w:val="-2"/>
                <w:sz w:val="20"/>
              </w:rPr>
              <w:t>observations</w:t>
            </w:r>
          </w:p>
        </w:tc>
        <w:tc>
          <w:tcPr>
            <w:tcW w:w="529" w:type="dxa"/>
          </w:tcPr>
          <w:p>
            <w:pPr>
              <w:pStyle w:val="TableParagraph"/>
              <w:spacing w:line="210" w:lineRule="exact"/>
              <w:ind w:left="30" w:right="2"/>
              <w:jc w:val="center"/>
              <w:rPr>
                <w:sz w:val="20"/>
              </w:rPr>
            </w:pPr>
            <w:r>
              <w:rPr>
                <w:spacing w:val="-10"/>
                <w:sz w:val="20"/>
              </w:rPr>
              <w:t>-</w:t>
            </w:r>
          </w:p>
        </w:tc>
        <w:tc>
          <w:tcPr>
            <w:tcW w:w="569" w:type="dxa"/>
          </w:tcPr>
          <w:p>
            <w:pPr>
              <w:pStyle w:val="TableParagraph"/>
              <w:spacing w:line="210" w:lineRule="exact"/>
              <w:ind w:right="245"/>
              <w:jc w:val="right"/>
              <w:rPr>
                <w:sz w:val="20"/>
              </w:rPr>
            </w:pPr>
            <w:r>
              <w:rPr>
                <w:spacing w:val="-10"/>
                <w:sz w:val="20"/>
              </w:rPr>
              <w:t>-</w:t>
            </w:r>
          </w:p>
        </w:tc>
        <w:tc>
          <w:tcPr>
            <w:tcW w:w="559" w:type="dxa"/>
          </w:tcPr>
          <w:p>
            <w:pPr>
              <w:pStyle w:val="TableParagraph"/>
              <w:spacing w:line="210" w:lineRule="exact"/>
              <w:ind w:left="3" w:right="38"/>
              <w:jc w:val="center"/>
              <w:rPr>
                <w:sz w:val="20"/>
              </w:rPr>
            </w:pPr>
            <w:r>
              <w:rPr>
                <w:spacing w:val="-10"/>
                <w:sz w:val="20"/>
              </w:rPr>
              <w:t>-</w:t>
            </w:r>
          </w:p>
        </w:tc>
        <w:tc>
          <w:tcPr>
            <w:tcW w:w="677" w:type="dxa"/>
          </w:tcPr>
          <w:p>
            <w:pPr>
              <w:pStyle w:val="TableParagraph"/>
              <w:spacing w:line="210" w:lineRule="exact"/>
              <w:ind w:left="62" w:right="66"/>
              <w:jc w:val="center"/>
              <w:rPr>
                <w:sz w:val="20"/>
              </w:rPr>
            </w:pPr>
            <w:r>
              <w:rPr>
                <w:spacing w:val="-10"/>
                <w:sz w:val="20"/>
              </w:rPr>
              <w:t>-</w:t>
            </w:r>
          </w:p>
        </w:tc>
        <w:tc>
          <w:tcPr>
            <w:tcW w:w="771" w:type="dxa"/>
          </w:tcPr>
          <w:p>
            <w:pPr>
              <w:pStyle w:val="TableParagraph"/>
              <w:spacing w:line="210" w:lineRule="exact"/>
              <w:ind w:left="45" w:right="50"/>
              <w:jc w:val="center"/>
              <w:rPr>
                <w:sz w:val="20"/>
              </w:rPr>
            </w:pPr>
            <w:r>
              <w:rPr>
                <w:spacing w:val="-10"/>
                <w:sz w:val="20"/>
              </w:rPr>
              <w:t>1</w:t>
            </w:r>
          </w:p>
        </w:tc>
        <w:tc>
          <w:tcPr>
            <w:tcW w:w="879" w:type="dxa"/>
          </w:tcPr>
          <w:p>
            <w:pPr>
              <w:pStyle w:val="TableParagraph"/>
              <w:spacing w:line="210" w:lineRule="exact"/>
              <w:ind w:left="7" w:right="20"/>
              <w:jc w:val="center"/>
              <w:rPr>
                <w:sz w:val="20"/>
              </w:rPr>
            </w:pPr>
            <w:r>
              <w:rPr>
                <w:spacing w:val="-4"/>
                <w:sz w:val="20"/>
              </w:rPr>
              <w:t>50.0</w:t>
            </w:r>
          </w:p>
        </w:tc>
        <w:tc>
          <w:tcPr>
            <w:tcW w:w="687" w:type="dxa"/>
          </w:tcPr>
          <w:p>
            <w:pPr>
              <w:pStyle w:val="TableParagraph"/>
              <w:spacing w:line="210" w:lineRule="exact"/>
              <w:ind w:left="107" w:right="48"/>
              <w:jc w:val="center"/>
              <w:rPr>
                <w:sz w:val="20"/>
              </w:rPr>
            </w:pPr>
            <w:r>
              <w:rPr>
                <w:spacing w:val="-10"/>
                <w:sz w:val="20"/>
              </w:rPr>
              <w:t>1</w:t>
            </w:r>
          </w:p>
        </w:tc>
        <w:tc>
          <w:tcPr>
            <w:tcW w:w="800" w:type="dxa"/>
          </w:tcPr>
          <w:p>
            <w:pPr>
              <w:pStyle w:val="TableParagraph"/>
              <w:spacing w:line="210" w:lineRule="exact"/>
              <w:ind w:left="18" w:right="6"/>
              <w:jc w:val="center"/>
              <w:rPr>
                <w:sz w:val="20"/>
              </w:rPr>
            </w:pPr>
            <w:r>
              <w:rPr>
                <w:spacing w:val="-4"/>
                <w:sz w:val="20"/>
              </w:rPr>
              <w:t>50.0</w:t>
            </w:r>
          </w:p>
        </w:tc>
        <w:tc>
          <w:tcPr>
            <w:tcW w:w="627" w:type="dxa"/>
          </w:tcPr>
          <w:p>
            <w:pPr>
              <w:pStyle w:val="TableParagraph"/>
              <w:spacing w:line="210" w:lineRule="exact"/>
              <w:ind w:left="23" w:right="23"/>
              <w:jc w:val="center"/>
              <w:rPr>
                <w:sz w:val="20"/>
              </w:rPr>
            </w:pPr>
            <w:r>
              <w:rPr>
                <w:spacing w:val="-10"/>
                <w:sz w:val="20"/>
              </w:rPr>
              <w:t>-</w:t>
            </w:r>
          </w:p>
        </w:tc>
        <w:tc>
          <w:tcPr>
            <w:tcW w:w="771" w:type="dxa"/>
          </w:tcPr>
          <w:p>
            <w:pPr>
              <w:pStyle w:val="TableParagraph"/>
              <w:spacing w:line="210" w:lineRule="exact"/>
              <w:ind w:left="45" w:right="23"/>
              <w:jc w:val="center"/>
              <w:rPr>
                <w:sz w:val="20"/>
              </w:rPr>
            </w:pPr>
            <w:r>
              <w:rPr>
                <w:spacing w:val="-10"/>
                <w:sz w:val="20"/>
              </w:rPr>
              <w:t>-</w:t>
            </w:r>
          </w:p>
        </w:tc>
        <w:tc>
          <w:tcPr>
            <w:tcW w:w="692" w:type="dxa"/>
          </w:tcPr>
          <w:p>
            <w:pPr>
              <w:pStyle w:val="TableParagraph"/>
              <w:spacing w:line="210" w:lineRule="exact"/>
              <w:ind w:left="23" w:right="17"/>
              <w:jc w:val="center"/>
              <w:rPr>
                <w:sz w:val="20"/>
              </w:rPr>
            </w:pPr>
            <w:r>
              <w:rPr>
                <w:spacing w:val="-10"/>
                <w:sz w:val="20"/>
              </w:rPr>
              <w:t>2</w:t>
            </w:r>
          </w:p>
        </w:tc>
        <w:tc>
          <w:tcPr>
            <w:tcW w:w="734" w:type="dxa"/>
            <w:tcBorders>
              <w:right w:val="single" w:sz="4" w:space="0" w:color="000000"/>
            </w:tcBorders>
          </w:tcPr>
          <w:p>
            <w:pPr>
              <w:pStyle w:val="TableParagraph"/>
              <w:spacing w:line="210" w:lineRule="exact"/>
              <w:ind w:left="85" w:right="65"/>
              <w:jc w:val="center"/>
              <w:rPr>
                <w:sz w:val="20"/>
              </w:rPr>
            </w:pPr>
            <w:r>
              <w:rPr>
                <w:spacing w:val="-5"/>
                <w:sz w:val="20"/>
              </w:rPr>
              <w:t>0.4</w:t>
            </w:r>
          </w:p>
        </w:tc>
      </w:tr>
      <w:tr>
        <w:trPr>
          <w:trHeight w:val="230" w:hRule="atLeast"/>
        </w:trPr>
        <w:tc>
          <w:tcPr>
            <w:tcW w:w="3727" w:type="dxa"/>
            <w:tcBorders>
              <w:left w:val="single" w:sz="4" w:space="0" w:color="000000"/>
            </w:tcBorders>
          </w:tcPr>
          <w:p>
            <w:pPr>
              <w:pStyle w:val="TableParagraph"/>
              <w:spacing w:line="210" w:lineRule="exact"/>
              <w:ind w:left="830"/>
              <w:rPr>
                <w:sz w:val="20"/>
              </w:rPr>
            </w:pPr>
            <w:r>
              <w:rPr>
                <w:sz w:val="20"/>
              </w:rPr>
              <w:t>Telephone</w:t>
            </w:r>
            <w:r>
              <w:rPr>
                <w:spacing w:val="-9"/>
                <w:sz w:val="20"/>
              </w:rPr>
              <w:t> </w:t>
            </w:r>
            <w:r>
              <w:rPr>
                <w:sz w:val="20"/>
              </w:rPr>
              <w:t>system,</w:t>
            </w:r>
            <w:r>
              <w:rPr>
                <w:spacing w:val="-13"/>
                <w:sz w:val="20"/>
              </w:rPr>
              <w:t> </w:t>
            </w:r>
            <w:r>
              <w:rPr>
                <w:spacing w:val="-2"/>
                <w:sz w:val="20"/>
              </w:rPr>
              <w:t>Websites,</w:t>
            </w:r>
          </w:p>
        </w:tc>
        <w:tc>
          <w:tcPr>
            <w:tcW w:w="1855" w:type="dxa"/>
          </w:tcPr>
          <w:p>
            <w:pPr>
              <w:pStyle w:val="TableParagraph"/>
              <w:spacing w:line="210" w:lineRule="exact"/>
              <w:ind w:left="165"/>
              <w:rPr>
                <w:sz w:val="20"/>
              </w:rPr>
            </w:pPr>
            <w:r>
              <w:rPr>
                <w:spacing w:val="-2"/>
                <w:sz w:val="20"/>
              </w:rPr>
              <w:t>Students</w:t>
            </w:r>
          </w:p>
        </w:tc>
        <w:tc>
          <w:tcPr>
            <w:tcW w:w="529" w:type="dxa"/>
          </w:tcPr>
          <w:p>
            <w:pPr>
              <w:pStyle w:val="TableParagraph"/>
              <w:spacing w:line="210" w:lineRule="exact"/>
              <w:ind w:left="30" w:right="5"/>
              <w:jc w:val="center"/>
              <w:rPr>
                <w:sz w:val="20"/>
              </w:rPr>
            </w:pPr>
            <w:r>
              <w:rPr>
                <w:spacing w:val="-10"/>
                <w:sz w:val="20"/>
              </w:rPr>
              <w:t>8</w:t>
            </w:r>
          </w:p>
        </w:tc>
        <w:tc>
          <w:tcPr>
            <w:tcW w:w="569" w:type="dxa"/>
          </w:tcPr>
          <w:p>
            <w:pPr>
              <w:pStyle w:val="TableParagraph"/>
              <w:spacing w:line="210" w:lineRule="exact"/>
              <w:ind w:right="138"/>
              <w:jc w:val="right"/>
              <w:rPr>
                <w:sz w:val="20"/>
              </w:rPr>
            </w:pPr>
            <w:r>
              <w:rPr>
                <w:spacing w:val="-5"/>
                <w:sz w:val="20"/>
              </w:rPr>
              <w:t>3.4</w:t>
            </w:r>
          </w:p>
        </w:tc>
        <w:tc>
          <w:tcPr>
            <w:tcW w:w="559" w:type="dxa"/>
          </w:tcPr>
          <w:p>
            <w:pPr>
              <w:pStyle w:val="TableParagraph"/>
              <w:spacing w:line="210" w:lineRule="exact"/>
              <w:ind w:left="5" w:right="38"/>
              <w:jc w:val="center"/>
              <w:rPr>
                <w:sz w:val="20"/>
              </w:rPr>
            </w:pPr>
            <w:r>
              <w:rPr>
                <w:spacing w:val="-5"/>
                <w:sz w:val="20"/>
              </w:rPr>
              <w:t>21</w:t>
            </w:r>
          </w:p>
        </w:tc>
        <w:tc>
          <w:tcPr>
            <w:tcW w:w="677" w:type="dxa"/>
          </w:tcPr>
          <w:p>
            <w:pPr>
              <w:pStyle w:val="TableParagraph"/>
              <w:spacing w:line="210" w:lineRule="exact"/>
              <w:ind w:left="62" w:right="64"/>
              <w:jc w:val="center"/>
              <w:rPr>
                <w:sz w:val="20"/>
              </w:rPr>
            </w:pPr>
            <w:r>
              <w:rPr>
                <w:spacing w:val="-5"/>
                <w:sz w:val="20"/>
              </w:rPr>
              <w:t>8.9</w:t>
            </w:r>
          </w:p>
        </w:tc>
        <w:tc>
          <w:tcPr>
            <w:tcW w:w="771" w:type="dxa"/>
          </w:tcPr>
          <w:p>
            <w:pPr>
              <w:pStyle w:val="TableParagraph"/>
              <w:spacing w:line="210" w:lineRule="exact"/>
              <w:ind w:left="45" w:right="59"/>
              <w:jc w:val="center"/>
              <w:rPr>
                <w:sz w:val="20"/>
              </w:rPr>
            </w:pPr>
            <w:r>
              <w:rPr>
                <w:spacing w:val="-5"/>
                <w:sz w:val="20"/>
              </w:rPr>
              <w:t>112</w:t>
            </w:r>
          </w:p>
        </w:tc>
        <w:tc>
          <w:tcPr>
            <w:tcW w:w="879" w:type="dxa"/>
          </w:tcPr>
          <w:p>
            <w:pPr>
              <w:pStyle w:val="TableParagraph"/>
              <w:spacing w:line="210" w:lineRule="exact"/>
              <w:ind w:left="7" w:right="20"/>
              <w:jc w:val="center"/>
              <w:rPr>
                <w:sz w:val="20"/>
              </w:rPr>
            </w:pPr>
            <w:r>
              <w:rPr>
                <w:spacing w:val="-4"/>
                <w:sz w:val="20"/>
              </w:rPr>
              <w:t>47.7</w:t>
            </w:r>
          </w:p>
        </w:tc>
        <w:tc>
          <w:tcPr>
            <w:tcW w:w="687" w:type="dxa"/>
          </w:tcPr>
          <w:p>
            <w:pPr>
              <w:pStyle w:val="TableParagraph"/>
              <w:spacing w:line="210" w:lineRule="exact"/>
              <w:ind w:left="103" w:right="48"/>
              <w:jc w:val="center"/>
              <w:rPr>
                <w:sz w:val="20"/>
              </w:rPr>
            </w:pPr>
            <w:r>
              <w:rPr>
                <w:spacing w:val="-5"/>
                <w:sz w:val="20"/>
              </w:rPr>
              <w:t>69</w:t>
            </w:r>
          </w:p>
        </w:tc>
        <w:tc>
          <w:tcPr>
            <w:tcW w:w="800" w:type="dxa"/>
          </w:tcPr>
          <w:p>
            <w:pPr>
              <w:pStyle w:val="TableParagraph"/>
              <w:spacing w:line="210" w:lineRule="exact"/>
              <w:ind w:left="18" w:right="6"/>
              <w:jc w:val="center"/>
              <w:rPr>
                <w:sz w:val="20"/>
              </w:rPr>
            </w:pPr>
            <w:r>
              <w:rPr>
                <w:spacing w:val="-4"/>
                <w:sz w:val="20"/>
              </w:rPr>
              <w:t>29.4</w:t>
            </w:r>
          </w:p>
        </w:tc>
        <w:tc>
          <w:tcPr>
            <w:tcW w:w="627" w:type="dxa"/>
          </w:tcPr>
          <w:p>
            <w:pPr>
              <w:pStyle w:val="TableParagraph"/>
              <w:spacing w:line="210" w:lineRule="exact"/>
              <w:ind w:left="23" w:right="22"/>
              <w:jc w:val="center"/>
              <w:rPr>
                <w:sz w:val="20"/>
              </w:rPr>
            </w:pPr>
            <w:r>
              <w:rPr>
                <w:spacing w:val="-5"/>
                <w:sz w:val="20"/>
              </w:rPr>
              <w:t>25</w:t>
            </w:r>
          </w:p>
        </w:tc>
        <w:tc>
          <w:tcPr>
            <w:tcW w:w="771" w:type="dxa"/>
          </w:tcPr>
          <w:p>
            <w:pPr>
              <w:pStyle w:val="TableParagraph"/>
              <w:spacing w:line="210" w:lineRule="exact"/>
              <w:ind w:left="45" w:right="16"/>
              <w:jc w:val="center"/>
              <w:rPr>
                <w:sz w:val="20"/>
              </w:rPr>
            </w:pPr>
            <w:r>
              <w:rPr>
                <w:spacing w:val="-4"/>
                <w:sz w:val="20"/>
              </w:rPr>
              <w:t>10.6</w:t>
            </w:r>
          </w:p>
        </w:tc>
        <w:tc>
          <w:tcPr>
            <w:tcW w:w="692" w:type="dxa"/>
          </w:tcPr>
          <w:p>
            <w:pPr>
              <w:pStyle w:val="TableParagraph"/>
              <w:spacing w:line="210" w:lineRule="exact"/>
              <w:ind w:left="23" w:right="24"/>
              <w:jc w:val="center"/>
              <w:rPr>
                <w:sz w:val="20"/>
              </w:rPr>
            </w:pPr>
            <w:r>
              <w:rPr>
                <w:spacing w:val="-5"/>
                <w:sz w:val="20"/>
              </w:rPr>
              <w:t>235</w:t>
            </w:r>
          </w:p>
        </w:tc>
        <w:tc>
          <w:tcPr>
            <w:tcW w:w="734" w:type="dxa"/>
            <w:tcBorders>
              <w:right w:val="single" w:sz="4" w:space="0" w:color="000000"/>
            </w:tcBorders>
          </w:tcPr>
          <w:p>
            <w:pPr>
              <w:pStyle w:val="TableParagraph"/>
              <w:spacing w:line="210" w:lineRule="exact"/>
              <w:ind w:left="85" w:right="60"/>
              <w:jc w:val="center"/>
              <w:rPr>
                <w:sz w:val="20"/>
              </w:rPr>
            </w:pPr>
            <w:r>
              <w:rPr>
                <w:spacing w:val="-4"/>
                <w:sz w:val="20"/>
              </w:rPr>
              <w:t>50.8</w:t>
            </w:r>
          </w:p>
        </w:tc>
      </w:tr>
      <w:tr>
        <w:trPr>
          <w:trHeight w:val="230" w:hRule="atLeast"/>
        </w:trPr>
        <w:tc>
          <w:tcPr>
            <w:tcW w:w="3727" w:type="dxa"/>
            <w:tcBorders>
              <w:left w:val="single" w:sz="4" w:space="0" w:color="000000"/>
            </w:tcBorders>
          </w:tcPr>
          <w:p>
            <w:pPr>
              <w:pStyle w:val="TableParagraph"/>
              <w:spacing w:line="210" w:lineRule="exact"/>
              <w:ind w:left="830"/>
              <w:rPr>
                <w:sz w:val="20"/>
              </w:rPr>
            </w:pPr>
            <w:r>
              <w:rPr>
                <w:sz w:val="20"/>
              </w:rPr>
              <w:t>Internet,</w:t>
            </w:r>
            <w:r>
              <w:rPr>
                <w:spacing w:val="-10"/>
                <w:sz w:val="20"/>
              </w:rPr>
              <w:t> </w:t>
            </w:r>
            <w:r>
              <w:rPr>
                <w:sz w:val="20"/>
              </w:rPr>
              <w:t>E-mail</w:t>
            </w:r>
            <w:r>
              <w:rPr>
                <w:spacing w:val="-4"/>
                <w:sz w:val="20"/>
              </w:rPr>
              <w:t> </w:t>
            </w:r>
            <w:r>
              <w:rPr>
                <w:spacing w:val="-5"/>
                <w:sz w:val="20"/>
              </w:rPr>
              <w:t>etc</w:t>
            </w:r>
          </w:p>
        </w:tc>
        <w:tc>
          <w:tcPr>
            <w:tcW w:w="1855" w:type="dxa"/>
          </w:tcPr>
          <w:p>
            <w:pPr>
              <w:pStyle w:val="TableParagraph"/>
              <w:spacing w:line="210" w:lineRule="exact"/>
              <w:ind w:left="165"/>
              <w:rPr>
                <w:sz w:val="20"/>
              </w:rPr>
            </w:pPr>
            <w:r>
              <w:rPr>
                <w:sz w:val="20"/>
              </w:rPr>
              <w:t>Service</w:t>
            </w:r>
            <w:r>
              <w:rPr>
                <w:spacing w:val="-9"/>
                <w:sz w:val="20"/>
              </w:rPr>
              <w:t> </w:t>
            </w:r>
            <w:r>
              <w:rPr>
                <w:spacing w:val="-2"/>
                <w:sz w:val="20"/>
              </w:rPr>
              <w:t>Staff</w:t>
            </w:r>
          </w:p>
        </w:tc>
        <w:tc>
          <w:tcPr>
            <w:tcW w:w="529" w:type="dxa"/>
          </w:tcPr>
          <w:p>
            <w:pPr>
              <w:pStyle w:val="TableParagraph"/>
              <w:spacing w:line="210" w:lineRule="exact"/>
              <w:ind w:left="30" w:right="5"/>
              <w:jc w:val="center"/>
              <w:rPr>
                <w:sz w:val="20"/>
              </w:rPr>
            </w:pPr>
            <w:r>
              <w:rPr>
                <w:spacing w:val="-10"/>
                <w:sz w:val="20"/>
              </w:rPr>
              <w:t>9</w:t>
            </w:r>
          </w:p>
        </w:tc>
        <w:tc>
          <w:tcPr>
            <w:tcW w:w="569" w:type="dxa"/>
          </w:tcPr>
          <w:p>
            <w:pPr>
              <w:pStyle w:val="TableParagraph"/>
              <w:spacing w:line="210" w:lineRule="exact"/>
              <w:ind w:right="138"/>
              <w:jc w:val="right"/>
              <w:rPr>
                <w:sz w:val="20"/>
              </w:rPr>
            </w:pPr>
            <w:r>
              <w:rPr>
                <w:spacing w:val="-5"/>
                <w:sz w:val="20"/>
              </w:rPr>
              <w:t>4.4</w:t>
            </w:r>
          </w:p>
        </w:tc>
        <w:tc>
          <w:tcPr>
            <w:tcW w:w="559" w:type="dxa"/>
          </w:tcPr>
          <w:p>
            <w:pPr>
              <w:pStyle w:val="TableParagraph"/>
              <w:spacing w:line="210" w:lineRule="exact"/>
              <w:ind w:left="5" w:right="38"/>
              <w:jc w:val="center"/>
              <w:rPr>
                <w:sz w:val="20"/>
              </w:rPr>
            </w:pPr>
            <w:r>
              <w:rPr>
                <w:spacing w:val="-5"/>
                <w:sz w:val="20"/>
              </w:rPr>
              <w:t>14</w:t>
            </w:r>
          </w:p>
        </w:tc>
        <w:tc>
          <w:tcPr>
            <w:tcW w:w="677" w:type="dxa"/>
          </w:tcPr>
          <w:p>
            <w:pPr>
              <w:pStyle w:val="TableParagraph"/>
              <w:spacing w:line="210" w:lineRule="exact"/>
              <w:ind w:left="62" w:right="64"/>
              <w:jc w:val="center"/>
              <w:rPr>
                <w:sz w:val="20"/>
              </w:rPr>
            </w:pPr>
            <w:r>
              <w:rPr>
                <w:spacing w:val="-5"/>
                <w:sz w:val="20"/>
              </w:rPr>
              <w:t>6.9</w:t>
            </w:r>
          </w:p>
        </w:tc>
        <w:tc>
          <w:tcPr>
            <w:tcW w:w="771" w:type="dxa"/>
          </w:tcPr>
          <w:p>
            <w:pPr>
              <w:pStyle w:val="TableParagraph"/>
              <w:spacing w:line="210" w:lineRule="exact"/>
              <w:ind w:left="45" w:right="55"/>
              <w:jc w:val="center"/>
              <w:rPr>
                <w:sz w:val="20"/>
              </w:rPr>
            </w:pPr>
            <w:r>
              <w:rPr>
                <w:spacing w:val="-5"/>
                <w:sz w:val="20"/>
              </w:rPr>
              <w:t>82</w:t>
            </w:r>
          </w:p>
        </w:tc>
        <w:tc>
          <w:tcPr>
            <w:tcW w:w="879" w:type="dxa"/>
          </w:tcPr>
          <w:p>
            <w:pPr>
              <w:pStyle w:val="TableParagraph"/>
              <w:spacing w:line="210" w:lineRule="exact"/>
              <w:ind w:left="7" w:right="20"/>
              <w:jc w:val="center"/>
              <w:rPr>
                <w:sz w:val="20"/>
              </w:rPr>
            </w:pPr>
            <w:r>
              <w:rPr>
                <w:spacing w:val="-4"/>
                <w:sz w:val="20"/>
              </w:rPr>
              <w:t>40.4</w:t>
            </w:r>
          </w:p>
        </w:tc>
        <w:tc>
          <w:tcPr>
            <w:tcW w:w="687" w:type="dxa"/>
          </w:tcPr>
          <w:p>
            <w:pPr>
              <w:pStyle w:val="TableParagraph"/>
              <w:spacing w:line="210" w:lineRule="exact"/>
              <w:ind w:left="103" w:right="48"/>
              <w:jc w:val="center"/>
              <w:rPr>
                <w:sz w:val="20"/>
              </w:rPr>
            </w:pPr>
            <w:r>
              <w:rPr>
                <w:spacing w:val="-5"/>
                <w:sz w:val="20"/>
              </w:rPr>
              <w:t>72</w:t>
            </w:r>
          </w:p>
        </w:tc>
        <w:tc>
          <w:tcPr>
            <w:tcW w:w="800" w:type="dxa"/>
          </w:tcPr>
          <w:p>
            <w:pPr>
              <w:pStyle w:val="TableParagraph"/>
              <w:spacing w:line="210" w:lineRule="exact"/>
              <w:ind w:left="18" w:right="6"/>
              <w:jc w:val="center"/>
              <w:rPr>
                <w:sz w:val="20"/>
              </w:rPr>
            </w:pPr>
            <w:r>
              <w:rPr>
                <w:spacing w:val="-4"/>
                <w:sz w:val="20"/>
              </w:rPr>
              <w:t>35.5</w:t>
            </w:r>
          </w:p>
        </w:tc>
        <w:tc>
          <w:tcPr>
            <w:tcW w:w="627" w:type="dxa"/>
          </w:tcPr>
          <w:p>
            <w:pPr>
              <w:pStyle w:val="TableParagraph"/>
              <w:spacing w:line="210" w:lineRule="exact"/>
              <w:ind w:left="23" w:right="22"/>
              <w:jc w:val="center"/>
              <w:rPr>
                <w:sz w:val="20"/>
              </w:rPr>
            </w:pPr>
            <w:r>
              <w:rPr>
                <w:spacing w:val="-5"/>
                <w:sz w:val="20"/>
              </w:rPr>
              <w:t>26</w:t>
            </w:r>
          </w:p>
        </w:tc>
        <w:tc>
          <w:tcPr>
            <w:tcW w:w="771" w:type="dxa"/>
          </w:tcPr>
          <w:p>
            <w:pPr>
              <w:pStyle w:val="TableParagraph"/>
              <w:spacing w:line="210" w:lineRule="exact"/>
              <w:ind w:left="45" w:right="16"/>
              <w:jc w:val="center"/>
              <w:rPr>
                <w:sz w:val="20"/>
              </w:rPr>
            </w:pPr>
            <w:r>
              <w:rPr>
                <w:spacing w:val="-4"/>
                <w:sz w:val="20"/>
              </w:rPr>
              <w:t>12.8</w:t>
            </w:r>
          </w:p>
        </w:tc>
        <w:tc>
          <w:tcPr>
            <w:tcW w:w="692" w:type="dxa"/>
          </w:tcPr>
          <w:p>
            <w:pPr>
              <w:pStyle w:val="TableParagraph"/>
              <w:spacing w:line="210" w:lineRule="exact"/>
              <w:ind w:left="23" w:right="24"/>
              <w:jc w:val="center"/>
              <w:rPr>
                <w:sz w:val="20"/>
              </w:rPr>
            </w:pPr>
            <w:r>
              <w:rPr>
                <w:spacing w:val="-5"/>
                <w:sz w:val="20"/>
              </w:rPr>
              <w:t>203</w:t>
            </w:r>
          </w:p>
        </w:tc>
        <w:tc>
          <w:tcPr>
            <w:tcW w:w="734" w:type="dxa"/>
            <w:tcBorders>
              <w:right w:val="single" w:sz="4" w:space="0" w:color="000000"/>
            </w:tcBorders>
          </w:tcPr>
          <w:p>
            <w:pPr>
              <w:pStyle w:val="TableParagraph"/>
              <w:spacing w:line="210" w:lineRule="exact"/>
              <w:ind w:left="85" w:right="60"/>
              <w:jc w:val="center"/>
              <w:rPr>
                <w:sz w:val="20"/>
              </w:rPr>
            </w:pPr>
            <w:r>
              <w:rPr>
                <w:spacing w:val="-4"/>
                <w:sz w:val="20"/>
              </w:rPr>
              <w:t>43.8</w:t>
            </w:r>
          </w:p>
        </w:tc>
      </w:tr>
      <w:tr>
        <w:trPr>
          <w:trHeight w:val="273" w:hRule="atLeast"/>
        </w:trPr>
        <w:tc>
          <w:tcPr>
            <w:tcW w:w="3727" w:type="dxa"/>
            <w:tcBorders>
              <w:left w:val="single" w:sz="4" w:space="0" w:color="000000"/>
            </w:tcBorders>
          </w:tcPr>
          <w:p>
            <w:pPr>
              <w:pStyle w:val="TableParagraph"/>
              <w:rPr>
                <w:rFonts w:ascii="Times New Roman"/>
                <w:sz w:val="20"/>
              </w:rPr>
            </w:pPr>
          </w:p>
        </w:tc>
        <w:tc>
          <w:tcPr>
            <w:tcW w:w="1855" w:type="dxa"/>
          </w:tcPr>
          <w:p>
            <w:pPr>
              <w:pStyle w:val="TableParagraph"/>
              <w:spacing w:line="227" w:lineRule="exact"/>
              <w:ind w:left="165"/>
              <w:rPr>
                <w:sz w:val="20"/>
              </w:rPr>
            </w:pPr>
            <w:r>
              <w:rPr>
                <w:sz w:val="20"/>
              </w:rPr>
              <w:t>Top</w:t>
            </w:r>
            <w:r>
              <w:rPr>
                <w:spacing w:val="-1"/>
                <w:sz w:val="20"/>
              </w:rPr>
              <w:t> </w:t>
            </w:r>
            <w:r>
              <w:rPr>
                <w:spacing w:val="-2"/>
                <w:sz w:val="20"/>
              </w:rPr>
              <w:t>Management</w:t>
            </w:r>
          </w:p>
        </w:tc>
        <w:tc>
          <w:tcPr>
            <w:tcW w:w="529" w:type="dxa"/>
          </w:tcPr>
          <w:p>
            <w:pPr>
              <w:pStyle w:val="TableParagraph"/>
              <w:spacing w:line="227" w:lineRule="exact"/>
              <w:ind w:left="30" w:right="5"/>
              <w:jc w:val="center"/>
              <w:rPr>
                <w:sz w:val="20"/>
              </w:rPr>
            </w:pPr>
            <w:r>
              <w:rPr>
                <w:spacing w:val="-10"/>
                <w:sz w:val="20"/>
              </w:rPr>
              <w:t>1</w:t>
            </w:r>
          </w:p>
        </w:tc>
        <w:tc>
          <w:tcPr>
            <w:tcW w:w="569" w:type="dxa"/>
          </w:tcPr>
          <w:p>
            <w:pPr>
              <w:pStyle w:val="TableParagraph"/>
              <w:spacing w:line="227" w:lineRule="exact"/>
              <w:ind w:right="138"/>
              <w:jc w:val="right"/>
              <w:rPr>
                <w:sz w:val="20"/>
              </w:rPr>
            </w:pPr>
            <w:r>
              <w:rPr>
                <w:spacing w:val="-5"/>
                <w:sz w:val="20"/>
              </w:rPr>
              <w:t>4.3</w:t>
            </w:r>
          </w:p>
        </w:tc>
        <w:tc>
          <w:tcPr>
            <w:tcW w:w="559" w:type="dxa"/>
          </w:tcPr>
          <w:p>
            <w:pPr>
              <w:pStyle w:val="TableParagraph"/>
              <w:spacing w:line="227" w:lineRule="exact"/>
              <w:ind w:right="38"/>
              <w:jc w:val="center"/>
              <w:rPr>
                <w:sz w:val="20"/>
              </w:rPr>
            </w:pPr>
            <w:r>
              <w:rPr>
                <w:spacing w:val="-10"/>
                <w:sz w:val="20"/>
              </w:rPr>
              <w:t>1</w:t>
            </w:r>
          </w:p>
        </w:tc>
        <w:tc>
          <w:tcPr>
            <w:tcW w:w="677" w:type="dxa"/>
          </w:tcPr>
          <w:p>
            <w:pPr>
              <w:pStyle w:val="TableParagraph"/>
              <w:spacing w:line="227" w:lineRule="exact"/>
              <w:ind w:left="62" w:right="64"/>
              <w:jc w:val="center"/>
              <w:rPr>
                <w:sz w:val="20"/>
              </w:rPr>
            </w:pPr>
            <w:r>
              <w:rPr>
                <w:spacing w:val="-5"/>
                <w:sz w:val="20"/>
              </w:rPr>
              <w:t>4.3</w:t>
            </w:r>
          </w:p>
        </w:tc>
        <w:tc>
          <w:tcPr>
            <w:tcW w:w="771" w:type="dxa"/>
          </w:tcPr>
          <w:p>
            <w:pPr>
              <w:pStyle w:val="TableParagraph"/>
              <w:spacing w:line="227" w:lineRule="exact"/>
              <w:ind w:left="45" w:right="55"/>
              <w:jc w:val="center"/>
              <w:rPr>
                <w:sz w:val="20"/>
              </w:rPr>
            </w:pPr>
            <w:r>
              <w:rPr>
                <w:spacing w:val="-5"/>
                <w:sz w:val="20"/>
              </w:rPr>
              <w:t>12</w:t>
            </w:r>
          </w:p>
        </w:tc>
        <w:tc>
          <w:tcPr>
            <w:tcW w:w="879" w:type="dxa"/>
          </w:tcPr>
          <w:p>
            <w:pPr>
              <w:pStyle w:val="TableParagraph"/>
              <w:spacing w:line="227" w:lineRule="exact"/>
              <w:ind w:left="7" w:right="20"/>
              <w:jc w:val="center"/>
              <w:rPr>
                <w:sz w:val="20"/>
              </w:rPr>
            </w:pPr>
            <w:r>
              <w:rPr>
                <w:spacing w:val="-4"/>
                <w:sz w:val="20"/>
              </w:rPr>
              <w:t>52.2</w:t>
            </w:r>
          </w:p>
        </w:tc>
        <w:tc>
          <w:tcPr>
            <w:tcW w:w="687" w:type="dxa"/>
          </w:tcPr>
          <w:p>
            <w:pPr>
              <w:pStyle w:val="TableParagraph"/>
              <w:spacing w:line="227" w:lineRule="exact"/>
              <w:ind w:left="107" w:right="48"/>
              <w:jc w:val="center"/>
              <w:rPr>
                <w:sz w:val="20"/>
              </w:rPr>
            </w:pPr>
            <w:r>
              <w:rPr>
                <w:spacing w:val="-10"/>
                <w:sz w:val="20"/>
              </w:rPr>
              <w:t>5</w:t>
            </w:r>
          </w:p>
        </w:tc>
        <w:tc>
          <w:tcPr>
            <w:tcW w:w="800" w:type="dxa"/>
          </w:tcPr>
          <w:p>
            <w:pPr>
              <w:pStyle w:val="TableParagraph"/>
              <w:spacing w:line="227" w:lineRule="exact"/>
              <w:ind w:left="18" w:right="6"/>
              <w:jc w:val="center"/>
              <w:rPr>
                <w:sz w:val="20"/>
              </w:rPr>
            </w:pPr>
            <w:r>
              <w:rPr>
                <w:spacing w:val="-4"/>
                <w:sz w:val="20"/>
              </w:rPr>
              <w:t>21.7</w:t>
            </w:r>
          </w:p>
        </w:tc>
        <w:tc>
          <w:tcPr>
            <w:tcW w:w="627" w:type="dxa"/>
          </w:tcPr>
          <w:p>
            <w:pPr>
              <w:pStyle w:val="TableParagraph"/>
              <w:spacing w:line="227" w:lineRule="exact"/>
              <w:ind w:left="23" w:right="17"/>
              <w:jc w:val="center"/>
              <w:rPr>
                <w:sz w:val="20"/>
              </w:rPr>
            </w:pPr>
            <w:r>
              <w:rPr>
                <w:spacing w:val="-10"/>
                <w:sz w:val="20"/>
              </w:rPr>
              <w:t>4</w:t>
            </w:r>
          </w:p>
        </w:tc>
        <w:tc>
          <w:tcPr>
            <w:tcW w:w="771" w:type="dxa"/>
          </w:tcPr>
          <w:p>
            <w:pPr>
              <w:pStyle w:val="TableParagraph"/>
              <w:spacing w:line="227" w:lineRule="exact"/>
              <w:ind w:left="45" w:right="16"/>
              <w:jc w:val="center"/>
              <w:rPr>
                <w:sz w:val="20"/>
              </w:rPr>
            </w:pPr>
            <w:r>
              <w:rPr>
                <w:spacing w:val="-4"/>
                <w:sz w:val="20"/>
              </w:rPr>
              <w:t>17.4</w:t>
            </w:r>
          </w:p>
        </w:tc>
        <w:tc>
          <w:tcPr>
            <w:tcW w:w="692" w:type="dxa"/>
          </w:tcPr>
          <w:p>
            <w:pPr>
              <w:pStyle w:val="TableParagraph"/>
              <w:spacing w:line="227" w:lineRule="exact"/>
              <w:ind w:left="23" w:right="22"/>
              <w:jc w:val="center"/>
              <w:rPr>
                <w:sz w:val="20"/>
              </w:rPr>
            </w:pPr>
            <w:r>
              <w:rPr>
                <w:spacing w:val="-5"/>
                <w:sz w:val="20"/>
              </w:rPr>
              <w:t>23</w:t>
            </w:r>
          </w:p>
        </w:tc>
        <w:tc>
          <w:tcPr>
            <w:tcW w:w="734" w:type="dxa"/>
            <w:tcBorders>
              <w:right w:val="single" w:sz="4" w:space="0" w:color="000000"/>
            </w:tcBorders>
          </w:tcPr>
          <w:p>
            <w:pPr>
              <w:pStyle w:val="TableParagraph"/>
              <w:spacing w:line="227" w:lineRule="exact"/>
              <w:ind w:left="85" w:right="65"/>
              <w:jc w:val="center"/>
              <w:rPr>
                <w:sz w:val="20"/>
              </w:rPr>
            </w:pPr>
            <w:r>
              <w:rPr>
                <w:spacing w:val="-5"/>
                <w:sz w:val="20"/>
              </w:rPr>
              <w:t>5.0</w:t>
            </w:r>
          </w:p>
        </w:tc>
      </w:tr>
      <w:tr>
        <w:trPr>
          <w:trHeight w:val="273" w:hRule="atLeast"/>
        </w:trPr>
        <w:tc>
          <w:tcPr>
            <w:tcW w:w="3727" w:type="dxa"/>
            <w:tcBorders>
              <w:left w:val="single" w:sz="4" w:space="0" w:color="000000"/>
            </w:tcBorders>
          </w:tcPr>
          <w:p>
            <w:pPr>
              <w:pStyle w:val="TableParagraph"/>
              <w:tabs>
                <w:tab w:pos="830" w:val="left" w:leader="none"/>
              </w:tabs>
              <w:spacing w:line="213" w:lineRule="exact" w:before="40"/>
              <w:ind w:left="220"/>
              <w:rPr>
                <w:sz w:val="20"/>
              </w:rPr>
            </w:pPr>
            <w:r>
              <w:rPr>
                <w:spacing w:val="-5"/>
                <w:sz w:val="20"/>
              </w:rPr>
              <w:t>18.</w:t>
            </w:r>
            <w:r>
              <w:rPr>
                <w:sz w:val="20"/>
              </w:rPr>
              <w:tab/>
              <w:t>Information</w:t>
            </w:r>
            <w:r>
              <w:rPr>
                <w:spacing w:val="-12"/>
                <w:sz w:val="20"/>
              </w:rPr>
              <w:t> </w:t>
            </w:r>
            <w:r>
              <w:rPr>
                <w:sz w:val="20"/>
              </w:rPr>
              <w:t>dissemination</w:t>
            </w:r>
            <w:r>
              <w:rPr>
                <w:spacing w:val="-12"/>
                <w:sz w:val="20"/>
              </w:rPr>
              <w:t> </w:t>
            </w:r>
            <w:r>
              <w:rPr>
                <w:spacing w:val="-4"/>
                <w:sz w:val="20"/>
              </w:rPr>
              <w:t>like</w:t>
            </w:r>
          </w:p>
        </w:tc>
        <w:tc>
          <w:tcPr>
            <w:tcW w:w="1855" w:type="dxa"/>
          </w:tcPr>
          <w:p>
            <w:pPr>
              <w:pStyle w:val="TableParagraph"/>
              <w:spacing w:line="213" w:lineRule="exact" w:before="40"/>
              <w:ind w:left="165"/>
              <w:rPr>
                <w:sz w:val="20"/>
              </w:rPr>
            </w:pPr>
            <w:r>
              <w:rPr>
                <w:sz w:val="20"/>
              </w:rPr>
              <w:t>No.</w:t>
            </w:r>
            <w:r>
              <w:rPr>
                <w:spacing w:val="-5"/>
                <w:sz w:val="20"/>
              </w:rPr>
              <w:t> </w:t>
            </w:r>
            <w:r>
              <w:rPr>
                <w:sz w:val="20"/>
              </w:rPr>
              <w:t>of</w:t>
            </w:r>
            <w:r>
              <w:rPr>
                <w:spacing w:val="-2"/>
                <w:sz w:val="20"/>
              </w:rPr>
              <w:t> missing</w:t>
            </w:r>
          </w:p>
        </w:tc>
        <w:tc>
          <w:tcPr>
            <w:tcW w:w="529" w:type="dxa"/>
          </w:tcPr>
          <w:p>
            <w:pPr>
              <w:pStyle w:val="TableParagraph"/>
              <w:rPr>
                <w:rFonts w:ascii="Times New Roman"/>
                <w:sz w:val="20"/>
              </w:rPr>
            </w:pPr>
          </w:p>
        </w:tc>
        <w:tc>
          <w:tcPr>
            <w:tcW w:w="569" w:type="dxa"/>
          </w:tcPr>
          <w:p>
            <w:pPr>
              <w:pStyle w:val="TableParagraph"/>
              <w:rPr>
                <w:rFonts w:ascii="Times New Roman"/>
                <w:sz w:val="20"/>
              </w:rPr>
            </w:pPr>
          </w:p>
        </w:tc>
        <w:tc>
          <w:tcPr>
            <w:tcW w:w="559" w:type="dxa"/>
          </w:tcPr>
          <w:p>
            <w:pPr>
              <w:pStyle w:val="TableParagraph"/>
              <w:rPr>
                <w:rFonts w:ascii="Times New Roman"/>
                <w:sz w:val="20"/>
              </w:rPr>
            </w:pPr>
          </w:p>
        </w:tc>
        <w:tc>
          <w:tcPr>
            <w:tcW w:w="677" w:type="dxa"/>
          </w:tcPr>
          <w:p>
            <w:pPr>
              <w:pStyle w:val="TableParagraph"/>
              <w:rPr>
                <w:rFonts w:ascii="Times New Roman"/>
                <w:sz w:val="20"/>
              </w:rPr>
            </w:pPr>
          </w:p>
        </w:tc>
        <w:tc>
          <w:tcPr>
            <w:tcW w:w="771" w:type="dxa"/>
          </w:tcPr>
          <w:p>
            <w:pPr>
              <w:pStyle w:val="TableParagraph"/>
              <w:rPr>
                <w:rFonts w:ascii="Times New Roman"/>
                <w:sz w:val="20"/>
              </w:rPr>
            </w:pPr>
          </w:p>
        </w:tc>
        <w:tc>
          <w:tcPr>
            <w:tcW w:w="879" w:type="dxa"/>
          </w:tcPr>
          <w:p>
            <w:pPr>
              <w:pStyle w:val="TableParagraph"/>
              <w:rPr>
                <w:rFonts w:ascii="Times New Roman"/>
                <w:sz w:val="20"/>
              </w:rPr>
            </w:pPr>
          </w:p>
        </w:tc>
        <w:tc>
          <w:tcPr>
            <w:tcW w:w="687" w:type="dxa"/>
          </w:tcPr>
          <w:p>
            <w:pPr>
              <w:pStyle w:val="TableParagraph"/>
              <w:rPr>
                <w:rFonts w:ascii="Times New Roman"/>
                <w:sz w:val="20"/>
              </w:rPr>
            </w:pPr>
          </w:p>
        </w:tc>
        <w:tc>
          <w:tcPr>
            <w:tcW w:w="800" w:type="dxa"/>
          </w:tcPr>
          <w:p>
            <w:pPr>
              <w:pStyle w:val="TableParagraph"/>
              <w:rPr>
                <w:rFonts w:ascii="Times New Roman"/>
                <w:sz w:val="20"/>
              </w:rPr>
            </w:pPr>
          </w:p>
        </w:tc>
        <w:tc>
          <w:tcPr>
            <w:tcW w:w="627" w:type="dxa"/>
          </w:tcPr>
          <w:p>
            <w:pPr>
              <w:pStyle w:val="TableParagraph"/>
              <w:rPr>
                <w:rFonts w:ascii="Times New Roman"/>
                <w:sz w:val="20"/>
              </w:rPr>
            </w:pPr>
          </w:p>
        </w:tc>
        <w:tc>
          <w:tcPr>
            <w:tcW w:w="771" w:type="dxa"/>
          </w:tcPr>
          <w:p>
            <w:pPr>
              <w:pStyle w:val="TableParagraph"/>
              <w:rPr>
                <w:rFonts w:ascii="Times New Roman"/>
                <w:sz w:val="20"/>
              </w:rPr>
            </w:pPr>
          </w:p>
        </w:tc>
        <w:tc>
          <w:tcPr>
            <w:tcW w:w="692" w:type="dxa"/>
          </w:tcPr>
          <w:p>
            <w:pPr>
              <w:pStyle w:val="TableParagraph"/>
              <w:rPr>
                <w:rFonts w:ascii="Times New Roman"/>
                <w:sz w:val="20"/>
              </w:rPr>
            </w:pPr>
          </w:p>
        </w:tc>
        <w:tc>
          <w:tcPr>
            <w:tcW w:w="734" w:type="dxa"/>
            <w:tcBorders>
              <w:right w:val="single" w:sz="4" w:space="0" w:color="000000"/>
            </w:tcBorders>
          </w:tcPr>
          <w:p>
            <w:pPr>
              <w:pStyle w:val="TableParagraph"/>
              <w:rPr>
                <w:rFonts w:ascii="Times New Roman"/>
                <w:sz w:val="20"/>
              </w:rPr>
            </w:pPr>
          </w:p>
        </w:tc>
      </w:tr>
      <w:tr>
        <w:trPr>
          <w:trHeight w:val="230" w:hRule="atLeast"/>
        </w:trPr>
        <w:tc>
          <w:tcPr>
            <w:tcW w:w="3727" w:type="dxa"/>
            <w:tcBorders>
              <w:left w:val="single" w:sz="4" w:space="0" w:color="000000"/>
            </w:tcBorders>
          </w:tcPr>
          <w:p>
            <w:pPr>
              <w:pStyle w:val="TableParagraph"/>
              <w:spacing w:line="210" w:lineRule="exact"/>
              <w:ind w:left="830"/>
              <w:rPr>
                <w:sz w:val="20"/>
              </w:rPr>
            </w:pPr>
            <w:r>
              <w:rPr>
                <w:sz w:val="20"/>
              </w:rPr>
              <w:t>Bulletin,</w:t>
            </w:r>
            <w:r>
              <w:rPr>
                <w:spacing w:val="-10"/>
                <w:sz w:val="20"/>
              </w:rPr>
              <w:t> </w:t>
            </w:r>
            <w:r>
              <w:rPr>
                <w:sz w:val="20"/>
              </w:rPr>
              <w:t>Titwits,</w:t>
            </w:r>
            <w:r>
              <w:rPr>
                <w:spacing w:val="-4"/>
                <w:sz w:val="20"/>
              </w:rPr>
              <w:t> </w:t>
            </w:r>
            <w:r>
              <w:rPr>
                <w:spacing w:val="-2"/>
                <w:sz w:val="20"/>
              </w:rPr>
              <w:t>Newsletters,</w:t>
            </w:r>
          </w:p>
        </w:tc>
        <w:tc>
          <w:tcPr>
            <w:tcW w:w="1855" w:type="dxa"/>
          </w:tcPr>
          <w:p>
            <w:pPr>
              <w:pStyle w:val="TableParagraph"/>
              <w:spacing w:line="210" w:lineRule="exact"/>
              <w:ind w:left="165"/>
              <w:rPr>
                <w:sz w:val="20"/>
              </w:rPr>
            </w:pPr>
            <w:r>
              <w:rPr>
                <w:spacing w:val="-2"/>
                <w:sz w:val="20"/>
              </w:rPr>
              <w:t>observations</w:t>
            </w:r>
          </w:p>
        </w:tc>
        <w:tc>
          <w:tcPr>
            <w:tcW w:w="529" w:type="dxa"/>
          </w:tcPr>
          <w:p>
            <w:pPr>
              <w:pStyle w:val="TableParagraph"/>
              <w:spacing w:line="210" w:lineRule="exact"/>
              <w:ind w:left="30" w:right="5"/>
              <w:jc w:val="center"/>
              <w:rPr>
                <w:sz w:val="20"/>
              </w:rPr>
            </w:pPr>
            <w:r>
              <w:rPr>
                <w:spacing w:val="-10"/>
                <w:sz w:val="20"/>
              </w:rPr>
              <w:t>1</w:t>
            </w:r>
          </w:p>
        </w:tc>
        <w:tc>
          <w:tcPr>
            <w:tcW w:w="569" w:type="dxa"/>
          </w:tcPr>
          <w:p>
            <w:pPr>
              <w:pStyle w:val="TableParagraph"/>
              <w:spacing w:line="210" w:lineRule="exact"/>
              <w:ind w:right="138"/>
              <w:jc w:val="right"/>
              <w:rPr>
                <w:sz w:val="20"/>
              </w:rPr>
            </w:pPr>
            <w:r>
              <w:rPr>
                <w:spacing w:val="-5"/>
                <w:sz w:val="20"/>
              </w:rPr>
              <w:t>5.0</w:t>
            </w:r>
          </w:p>
        </w:tc>
        <w:tc>
          <w:tcPr>
            <w:tcW w:w="559" w:type="dxa"/>
          </w:tcPr>
          <w:p>
            <w:pPr>
              <w:pStyle w:val="TableParagraph"/>
              <w:spacing w:line="210" w:lineRule="exact"/>
              <w:ind w:left="3" w:right="38"/>
              <w:jc w:val="center"/>
              <w:rPr>
                <w:sz w:val="20"/>
              </w:rPr>
            </w:pPr>
            <w:r>
              <w:rPr>
                <w:spacing w:val="-10"/>
                <w:sz w:val="20"/>
              </w:rPr>
              <w:t>-</w:t>
            </w:r>
          </w:p>
        </w:tc>
        <w:tc>
          <w:tcPr>
            <w:tcW w:w="677" w:type="dxa"/>
          </w:tcPr>
          <w:p>
            <w:pPr>
              <w:pStyle w:val="TableParagraph"/>
              <w:spacing w:line="210" w:lineRule="exact"/>
              <w:ind w:left="62" w:right="66"/>
              <w:jc w:val="center"/>
              <w:rPr>
                <w:sz w:val="20"/>
              </w:rPr>
            </w:pPr>
            <w:r>
              <w:rPr>
                <w:spacing w:val="-10"/>
                <w:sz w:val="20"/>
              </w:rPr>
              <w:t>-</w:t>
            </w:r>
          </w:p>
        </w:tc>
        <w:tc>
          <w:tcPr>
            <w:tcW w:w="771" w:type="dxa"/>
          </w:tcPr>
          <w:p>
            <w:pPr>
              <w:pStyle w:val="TableParagraph"/>
              <w:spacing w:line="210" w:lineRule="exact"/>
              <w:ind w:left="45" w:right="57"/>
              <w:jc w:val="center"/>
              <w:rPr>
                <w:sz w:val="20"/>
              </w:rPr>
            </w:pPr>
            <w:r>
              <w:rPr>
                <w:spacing w:val="-10"/>
                <w:sz w:val="20"/>
              </w:rPr>
              <w:t>-</w:t>
            </w:r>
          </w:p>
        </w:tc>
        <w:tc>
          <w:tcPr>
            <w:tcW w:w="879" w:type="dxa"/>
          </w:tcPr>
          <w:p>
            <w:pPr>
              <w:pStyle w:val="TableParagraph"/>
              <w:spacing w:line="210" w:lineRule="exact"/>
              <w:ind w:right="20"/>
              <w:jc w:val="center"/>
              <w:rPr>
                <w:sz w:val="20"/>
              </w:rPr>
            </w:pPr>
            <w:r>
              <w:rPr>
                <w:spacing w:val="-10"/>
                <w:sz w:val="20"/>
              </w:rPr>
              <w:t>-</w:t>
            </w:r>
          </w:p>
        </w:tc>
        <w:tc>
          <w:tcPr>
            <w:tcW w:w="687" w:type="dxa"/>
          </w:tcPr>
          <w:p>
            <w:pPr>
              <w:pStyle w:val="TableParagraph"/>
              <w:spacing w:line="210" w:lineRule="exact"/>
              <w:ind w:left="107" w:right="48"/>
              <w:jc w:val="center"/>
              <w:rPr>
                <w:sz w:val="20"/>
              </w:rPr>
            </w:pPr>
            <w:r>
              <w:rPr>
                <w:spacing w:val="-10"/>
                <w:sz w:val="20"/>
              </w:rPr>
              <w:t>1</w:t>
            </w:r>
          </w:p>
        </w:tc>
        <w:tc>
          <w:tcPr>
            <w:tcW w:w="800" w:type="dxa"/>
          </w:tcPr>
          <w:p>
            <w:pPr>
              <w:pStyle w:val="TableParagraph"/>
              <w:spacing w:line="210" w:lineRule="exact"/>
              <w:ind w:left="18" w:right="6"/>
              <w:jc w:val="center"/>
              <w:rPr>
                <w:sz w:val="20"/>
              </w:rPr>
            </w:pPr>
            <w:r>
              <w:rPr>
                <w:spacing w:val="-4"/>
                <w:sz w:val="20"/>
              </w:rPr>
              <w:t>50.0</w:t>
            </w:r>
          </w:p>
        </w:tc>
        <w:tc>
          <w:tcPr>
            <w:tcW w:w="627" w:type="dxa"/>
          </w:tcPr>
          <w:p>
            <w:pPr>
              <w:pStyle w:val="TableParagraph"/>
              <w:spacing w:line="210" w:lineRule="exact"/>
              <w:ind w:left="23" w:right="23"/>
              <w:jc w:val="center"/>
              <w:rPr>
                <w:sz w:val="20"/>
              </w:rPr>
            </w:pPr>
            <w:r>
              <w:rPr>
                <w:spacing w:val="-10"/>
                <w:sz w:val="20"/>
              </w:rPr>
              <w:t>-</w:t>
            </w:r>
          </w:p>
        </w:tc>
        <w:tc>
          <w:tcPr>
            <w:tcW w:w="771" w:type="dxa"/>
          </w:tcPr>
          <w:p>
            <w:pPr>
              <w:pStyle w:val="TableParagraph"/>
              <w:spacing w:line="210" w:lineRule="exact"/>
              <w:ind w:left="45" w:right="23"/>
              <w:jc w:val="center"/>
              <w:rPr>
                <w:sz w:val="20"/>
              </w:rPr>
            </w:pPr>
            <w:r>
              <w:rPr>
                <w:spacing w:val="-10"/>
                <w:sz w:val="20"/>
              </w:rPr>
              <w:t>-</w:t>
            </w:r>
          </w:p>
        </w:tc>
        <w:tc>
          <w:tcPr>
            <w:tcW w:w="692" w:type="dxa"/>
          </w:tcPr>
          <w:p>
            <w:pPr>
              <w:pStyle w:val="TableParagraph"/>
              <w:spacing w:line="210" w:lineRule="exact"/>
              <w:ind w:left="23" w:right="17"/>
              <w:jc w:val="center"/>
              <w:rPr>
                <w:sz w:val="20"/>
              </w:rPr>
            </w:pPr>
            <w:r>
              <w:rPr>
                <w:spacing w:val="-10"/>
                <w:sz w:val="20"/>
              </w:rPr>
              <w:t>2</w:t>
            </w:r>
          </w:p>
        </w:tc>
        <w:tc>
          <w:tcPr>
            <w:tcW w:w="734" w:type="dxa"/>
            <w:tcBorders>
              <w:right w:val="single" w:sz="4" w:space="0" w:color="000000"/>
            </w:tcBorders>
          </w:tcPr>
          <w:p>
            <w:pPr>
              <w:pStyle w:val="TableParagraph"/>
              <w:spacing w:line="210" w:lineRule="exact"/>
              <w:ind w:left="85" w:right="65"/>
              <w:jc w:val="center"/>
              <w:rPr>
                <w:sz w:val="20"/>
              </w:rPr>
            </w:pPr>
            <w:r>
              <w:rPr>
                <w:spacing w:val="-5"/>
                <w:sz w:val="20"/>
              </w:rPr>
              <w:t>0.4</w:t>
            </w:r>
          </w:p>
        </w:tc>
      </w:tr>
      <w:tr>
        <w:trPr>
          <w:trHeight w:val="230" w:hRule="atLeast"/>
        </w:trPr>
        <w:tc>
          <w:tcPr>
            <w:tcW w:w="3727" w:type="dxa"/>
            <w:tcBorders>
              <w:left w:val="single" w:sz="4" w:space="0" w:color="000000"/>
            </w:tcBorders>
          </w:tcPr>
          <w:p>
            <w:pPr>
              <w:pStyle w:val="TableParagraph"/>
              <w:spacing w:line="210" w:lineRule="exact"/>
              <w:ind w:left="830"/>
              <w:rPr>
                <w:sz w:val="20"/>
              </w:rPr>
            </w:pPr>
            <w:r>
              <w:rPr>
                <w:sz w:val="20"/>
              </w:rPr>
              <w:t>Notice</w:t>
            </w:r>
            <w:r>
              <w:rPr>
                <w:spacing w:val="-12"/>
                <w:sz w:val="20"/>
              </w:rPr>
              <w:t> </w:t>
            </w:r>
            <w:r>
              <w:rPr>
                <w:sz w:val="20"/>
              </w:rPr>
              <w:t>Boards,</w:t>
            </w:r>
            <w:r>
              <w:rPr>
                <w:spacing w:val="-4"/>
                <w:sz w:val="20"/>
              </w:rPr>
              <w:t> </w:t>
            </w:r>
            <w:r>
              <w:rPr>
                <w:spacing w:val="-2"/>
                <w:sz w:val="20"/>
              </w:rPr>
              <w:t>Campus</w:t>
            </w:r>
          </w:p>
        </w:tc>
        <w:tc>
          <w:tcPr>
            <w:tcW w:w="1855" w:type="dxa"/>
          </w:tcPr>
          <w:p>
            <w:pPr>
              <w:pStyle w:val="TableParagraph"/>
              <w:spacing w:line="210" w:lineRule="exact"/>
              <w:ind w:left="165"/>
              <w:rPr>
                <w:sz w:val="20"/>
              </w:rPr>
            </w:pPr>
            <w:r>
              <w:rPr>
                <w:spacing w:val="-2"/>
                <w:sz w:val="20"/>
              </w:rPr>
              <w:t>Students</w:t>
            </w:r>
          </w:p>
        </w:tc>
        <w:tc>
          <w:tcPr>
            <w:tcW w:w="529" w:type="dxa"/>
          </w:tcPr>
          <w:p>
            <w:pPr>
              <w:pStyle w:val="TableParagraph"/>
              <w:spacing w:line="210" w:lineRule="exact"/>
              <w:ind w:left="30" w:right="5"/>
              <w:jc w:val="center"/>
              <w:rPr>
                <w:sz w:val="20"/>
              </w:rPr>
            </w:pPr>
            <w:r>
              <w:rPr>
                <w:spacing w:val="-10"/>
                <w:sz w:val="20"/>
              </w:rPr>
              <w:t>5</w:t>
            </w:r>
          </w:p>
        </w:tc>
        <w:tc>
          <w:tcPr>
            <w:tcW w:w="569" w:type="dxa"/>
          </w:tcPr>
          <w:p>
            <w:pPr>
              <w:pStyle w:val="TableParagraph"/>
              <w:spacing w:line="210" w:lineRule="exact"/>
              <w:ind w:right="138"/>
              <w:jc w:val="right"/>
              <w:rPr>
                <w:sz w:val="20"/>
              </w:rPr>
            </w:pPr>
            <w:r>
              <w:rPr>
                <w:spacing w:val="-5"/>
                <w:sz w:val="20"/>
              </w:rPr>
              <w:t>2.1</w:t>
            </w:r>
          </w:p>
        </w:tc>
        <w:tc>
          <w:tcPr>
            <w:tcW w:w="559" w:type="dxa"/>
          </w:tcPr>
          <w:p>
            <w:pPr>
              <w:pStyle w:val="TableParagraph"/>
              <w:spacing w:line="210" w:lineRule="exact"/>
              <w:ind w:right="38"/>
              <w:jc w:val="center"/>
              <w:rPr>
                <w:sz w:val="20"/>
              </w:rPr>
            </w:pPr>
            <w:r>
              <w:rPr>
                <w:spacing w:val="-10"/>
                <w:sz w:val="20"/>
              </w:rPr>
              <w:t>8</w:t>
            </w:r>
          </w:p>
        </w:tc>
        <w:tc>
          <w:tcPr>
            <w:tcW w:w="677" w:type="dxa"/>
          </w:tcPr>
          <w:p>
            <w:pPr>
              <w:pStyle w:val="TableParagraph"/>
              <w:spacing w:line="210" w:lineRule="exact"/>
              <w:ind w:left="62" w:right="64"/>
              <w:jc w:val="center"/>
              <w:rPr>
                <w:sz w:val="20"/>
              </w:rPr>
            </w:pPr>
            <w:r>
              <w:rPr>
                <w:spacing w:val="-5"/>
                <w:sz w:val="20"/>
              </w:rPr>
              <w:t>3.4</w:t>
            </w:r>
          </w:p>
        </w:tc>
        <w:tc>
          <w:tcPr>
            <w:tcW w:w="771" w:type="dxa"/>
          </w:tcPr>
          <w:p>
            <w:pPr>
              <w:pStyle w:val="TableParagraph"/>
              <w:spacing w:line="210" w:lineRule="exact"/>
              <w:ind w:left="45" w:right="55"/>
              <w:jc w:val="center"/>
              <w:rPr>
                <w:sz w:val="20"/>
              </w:rPr>
            </w:pPr>
            <w:r>
              <w:rPr>
                <w:spacing w:val="-5"/>
                <w:sz w:val="20"/>
              </w:rPr>
              <w:t>88</w:t>
            </w:r>
          </w:p>
        </w:tc>
        <w:tc>
          <w:tcPr>
            <w:tcW w:w="879" w:type="dxa"/>
          </w:tcPr>
          <w:p>
            <w:pPr>
              <w:pStyle w:val="TableParagraph"/>
              <w:spacing w:line="210" w:lineRule="exact"/>
              <w:ind w:left="7" w:right="20"/>
              <w:jc w:val="center"/>
              <w:rPr>
                <w:sz w:val="20"/>
              </w:rPr>
            </w:pPr>
            <w:r>
              <w:rPr>
                <w:spacing w:val="-4"/>
                <w:sz w:val="20"/>
              </w:rPr>
              <w:t>37.4</w:t>
            </w:r>
          </w:p>
        </w:tc>
        <w:tc>
          <w:tcPr>
            <w:tcW w:w="687" w:type="dxa"/>
          </w:tcPr>
          <w:p>
            <w:pPr>
              <w:pStyle w:val="TableParagraph"/>
              <w:spacing w:line="210" w:lineRule="exact"/>
              <w:ind w:left="103" w:right="48"/>
              <w:jc w:val="center"/>
              <w:rPr>
                <w:sz w:val="20"/>
              </w:rPr>
            </w:pPr>
            <w:r>
              <w:rPr>
                <w:spacing w:val="-5"/>
                <w:sz w:val="20"/>
              </w:rPr>
              <w:t>95</w:t>
            </w:r>
          </w:p>
        </w:tc>
        <w:tc>
          <w:tcPr>
            <w:tcW w:w="800" w:type="dxa"/>
          </w:tcPr>
          <w:p>
            <w:pPr>
              <w:pStyle w:val="TableParagraph"/>
              <w:spacing w:line="210" w:lineRule="exact"/>
              <w:ind w:left="18" w:right="6"/>
              <w:jc w:val="center"/>
              <w:rPr>
                <w:sz w:val="20"/>
              </w:rPr>
            </w:pPr>
            <w:r>
              <w:rPr>
                <w:spacing w:val="-4"/>
                <w:sz w:val="20"/>
              </w:rPr>
              <w:t>40.4</w:t>
            </w:r>
          </w:p>
        </w:tc>
        <w:tc>
          <w:tcPr>
            <w:tcW w:w="627" w:type="dxa"/>
          </w:tcPr>
          <w:p>
            <w:pPr>
              <w:pStyle w:val="TableParagraph"/>
              <w:spacing w:line="210" w:lineRule="exact"/>
              <w:ind w:left="23" w:right="22"/>
              <w:jc w:val="center"/>
              <w:rPr>
                <w:sz w:val="20"/>
              </w:rPr>
            </w:pPr>
            <w:r>
              <w:rPr>
                <w:spacing w:val="-5"/>
                <w:sz w:val="20"/>
              </w:rPr>
              <w:t>39</w:t>
            </w:r>
          </w:p>
        </w:tc>
        <w:tc>
          <w:tcPr>
            <w:tcW w:w="771" w:type="dxa"/>
          </w:tcPr>
          <w:p>
            <w:pPr>
              <w:pStyle w:val="TableParagraph"/>
              <w:spacing w:line="210" w:lineRule="exact"/>
              <w:ind w:left="45" w:right="16"/>
              <w:jc w:val="center"/>
              <w:rPr>
                <w:sz w:val="20"/>
              </w:rPr>
            </w:pPr>
            <w:r>
              <w:rPr>
                <w:spacing w:val="-4"/>
                <w:sz w:val="20"/>
              </w:rPr>
              <w:t>16.6</w:t>
            </w:r>
          </w:p>
        </w:tc>
        <w:tc>
          <w:tcPr>
            <w:tcW w:w="692" w:type="dxa"/>
          </w:tcPr>
          <w:p>
            <w:pPr>
              <w:pStyle w:val="TableParagraph"/>
              <w:spacing w:line="210" w:lineRule="exact"/>
              <w:ind w:left="23" w:right="24"/>
              <w:jc w:val="center"/>
              <w:rPr>
                <w:sz w:val="20"/>
              </w:rPr>
            </w:pPr>
            <w:r>
              <w:rPr>
                <w:spacing w:val="-5"/>
                <w:sz w:val="20"/>
              </w:rPr>
              <w:t>235</w:t>
            </w:r>
          </w:p>
        </w:tc>
        <w:tc>
          <w:tcPr>
            <w:tcW w:w="734" w:type="dxa"/>
            <w:tcBorders>
              <w:right w:val="single" w:sz="4" w:space="0" w:color="000000"/>
            </w:tcBorders>
          </w:tcPr>
          <w:p>
            <w:pPr>
              <w:pStyle w:val="TableParagraph"/>
              <w:spacing w:line="210" w:lineRule="exact"/>
              <w:ind w:left="85" w:right="60"/>
              <w:jc w:val="center"/>
              <w:rPr>
                <w:sz w:val="20"/>
              </w:rPr>
            </w:pPr>
            <w:r>
              <w:rPr>
                <w:spacing w:val="-4"/>
                <w:sz w:val="20"/>
              </w:rPr>
              <w:t>50.8</w:t>
            </w:r>
          </w:p>
        </w:tc>
      </w:tr>
      <w:tr>
        <w:trPr>
          <w:trHeight w:val="230" w:hRule="atLeast"/>
        </w:trPr>
        <w:tc>
          <w:tcPr>
            <w:tcW w:w="3727" w:type="dxa"/>
            <w:tcBorders>
              <w:left w:val="single" w:sz="4" w:space="0" w:color="000000"/>
            </w:tcBorders>
          </w:tcPr>
          <w:p>
            <w:pPr>
              <w:pStyle w:val="TableParagraph"/>
              <w:spacing w:line="210" w:lineRule="exact"/>
              <w:ind w:left="830"/>
              <w:rPr>
                <w:sz w:val="20"/>
              </w:rPr>
            </w:pPr>
            <w:r>
              <w:rPr>
                <w:spacing w:val="-2"/>
                <w:sz w:val="20"/>
              </w:rPr>
              <w:t>Magazines</w:t>
            </w:r>
          </w:p>
        </w:tc>
        <w:tc>
          <w:tcPr>
            <w:tcW w:w="1855" w:type="dxa"/>
          </w:tcPr>
          <w:p>
            <w:pPr>
              <w:pStyle w:val="TableParagraph"/>
              <w:spacing w:line="210" w:lineRule="exact"/>
              <w:ind w:left="165"/>
              <w:rPr>
                <w:sz w:val="20"/>
              </w:rPr>
            </w:pPr>
            <w:r>
              <w:rPr>
                <w:sz w:val="20"/>
              </w:rPr>
              <w:t>Service</w:t>
            </w:r>
            <w:r>
              <w:rPr>
                <w:spacing w:val="-9"/>
                <w:sz w:val="20"/>
              </w:rPr>
              <w:t> </w:t>
            </w:r>
            <w:r>
              <w:rPr>
                <w:spacing w:val="-2"/>
                <w:sz w:val="20"/>
              </w:rPr>
              <w:t>Staff</w:t>
            </w:r>
          </w:p>
        </w:tc>
        <w:tc>
          <w:tcPr>
            <w:tcW w:w="529" w:type="dxa"/>
          </w:tcPr>
          <w:p>
            <w:pPr>
              <w:pStyle w:val="TableParagraph"/>
              <w:spacing w:line="210" w:lineRule="exact"/>
              <w:ind w:left="30"/>
              <w:jc w:val="center"/>
              <w:rPr>
                <w:sz w:val="20"/>
              </w:rPr>
            </w:pPr>
            <w:r>
              <w:rPr>
                <w:spacing w:val="-5"/>
                <w:sz w:val="20"/>
              </w:rPr>
              <w:t>10</w:t>
            </w:r>
          </w:p>
        </w:tc>
        <w:tc>
          <w:tcPr>
            <w:tcW w:w="569" w:type="dxa"/>
          </w:tcPr>
          <w:p>
            <w:pPr>
              <w:pStyle w:val="TableParagraph"/>
              <w:spacing w:line="210" w:lineRule="exact"/>
              <w:ind w:right="138"/>
              <w:jc w:val="right"/>
              <w:rPr>
                <w:sz w:val="20"/>
              </w:rPr>
            </w:pPr>
            <w:r>
              <w:rPr>
                <w:spacing w:val="-5"/>
                <w:sz w:val="20"/>
              </w:rPr>
              <w:t>4.9</w:t>
            </w:r>
          </w:p>
        </w:tc>
        <w:tc>
          <w:tcPr>
            <w:tcW w:w="559" w:type="dxa"/>
          </w:tcPr>
          <w:p>
            <w:pPr>
              <w:pStyle w:val="TableParagraph"/>
              <w:spacing w:line="210" w:lineRule="exact"/>
              <w:ind w:right="38"/>
              <w:jc w:val="center"/>
              <w:rPr>
                <w:sz w:val="20"/>
              </w:rPr>
            </w:pPr>
            <w:r>
              <w:rPr>
                <w:spacing w:val="-10"/>
                <w:sz w:val="20"/>
              </w:rPr>
              <w:t>8</w:t>
            </w:r>
          </w:p>
        </w:tc>
        <w:tc>
          <w:tcPr>
            <w:tcW w:w="677" w:type="dxa"/>
          </w:tcPr>
          <w:p>
            <w:pPr>
              <w:pStyle w:val="TableParagraph"/>
              <w:spacing w:line="210" w:lineRule="exact"/>
              <w:ind w:left="62" w:right="64"/>
              <w:jc w:val="center"/>
              <w:rPr>
                <w:sz w:val="20"/>
              </w:rPr>
            </w:pPr>
            <w:r>
              <w:rPr>
                <w:spacing w:val="-5"/>
                <w:sz w:val="20"/>
              </w:rPr>
              <w:t>3.9</w:t>
            </w:r>
          </w:p>
        </w:tc>
        <w:tc>
          <w:tcPr>
            <w:tcW w:w="771" w:type="dxa"/>
          </w:tcPr>
          <w:p>
            <w:pPr>
              <w:pStyle w:val="TableParagraph"/>
              <w:spacing w:line="210" w:lineRule="exact"/>
              <w:ind w:left="45" w:right="55"/>
              <w:jc w:val="center"/>
              <w:rPr>
                <w:sz w:val="20"/>
              </w:rPr>
            </w:pPr>
            <w:r>
              <w:rPr>
                <w:spacing w:val="-5"/>
                <w:sz w:val="20"/>
              </w:rPr>
              <w:t>82</w:t>
            </w:r>
          </w:p>
        </w:tc>
        <w:tc>
          <w:tcPr>
            <w:tcW w:w="879" w:type="dxa"/>
          </w:tcPr>
          <w:p>
            <w:pPr>
              <w:pStyle w:val="TableParagraph"/>
              <w:spacing w:line="210" w:lineRule="exact"/>
              <w:ind w:left="7" w:right="20"/>
              <w:jc w:val="center"/>
              <w:rPr>
                <w:sz w:val="20"/>
              </w:rPr>
            </w:pPr>
            <w:r>
              <w:rPr>
                <w:spacing w:val="-4"/>
                <w:sz w:val="20"/>
              </w:rPr>
              <w:t>40.4</w:t>
            </w:r>
          </w:p>
        </w:tc>
        <w:tc>
          <w:tcPr>
            <w:tcW w:w="687" w:type="dxa"/>
          </w:tcPr>
          <w:p>
            <w:pPr>
              <w:pStyle w:val="TableParagraph"/>
              <w:spacing w:line="210" w:lineRule="exact"/>
              <w:ind w:left="103" w:right="48"/>
              <w:jc w:val="center"/>
              <w:rPr>
                <w:sz w:val="20"/>
              </w:rPr>
            </w:pPr>
            <w:r>
              <w:rPr>
                <w:spacing w:val="-5"/>
                <w:sz w:val="20"/>
              </w:rPr>
              <w:t>78</w:t>
            </w:r>
          </w:p>
        </w:tc>
        <w:tc>
          <w:tcPr>
            <w:tcW w:w="800" w:type="dxa"/>
          </w:tcPr>
          <w:p>
            <w:pPr>
              <w:pStyle w:val="TableParagraph"/>
              <w:spacing w:line="210" w:lineRule="exact"/>
              <w:ind w:left="18" w:right="6"/>
              <w:jc w:val="center"/>
              <w:rPr>
                <w:sz w:val="20"/>
              </w:rPr>
            </w:pPr>
            <w:r>
              <w:rPr>
                <w:spacing w:val="-4"/>
                <w:sz w:val="20"/>
              </w:rPr>
              <w:t>38.4</w:t>
            </w:r>
          </w:p>
        </w:tc>
        <w:tc>
          <w:tcPr>
            <w:tcW w:w="627" w:type="dxa"/>
          </w:tcPr>
          <w:p>
            <w:pPr>
              <w:pStyle w:val="TableParagraph"/>
              <w:spacing w:line="210" w:lineRule="exact"/>
              <w:ind w:left="23" w:right="22"/>
              <w:jc w:val="center"/>
              <w:rPr>
                <w:sz w:val="20"/>
              </w:rPr>
            </w:pPr>
            <w:r>
              <w:rPr>
                <w:spacing w:val="-5"/>
                <w:sz w:val="20"/>
              </w:rPr>
              <w:t>25</w:t>
            </w:r>
          </w:p>
        </w:tc>
        <w:tc>
          <w:tcPr>
            <w:tcW w:w="771" w:type="dxa"/>
          </w:tcPr>
          <w:p>
            <w:pPr>
              <w:pStyle w:val="TableParagraph"/>
              <w:spacing w:line="210" w:lineRule="exact"/>
              <w:ind w:left="45" w:right="16"/>
              <w:jc w:val="center"/>
              <w:rPr>
                <w:sz w:val="20"/>
              </w:rPr>
            </w:pPr>
            <w:r>
              <w:rPr>
                <w:spacing w:val="-4"/>
                <w:sz w:val="20"/>
              </w:rPr>
              <w:t>12.3</w:t>
            </w:r>
          </w:p>
        </w:tc>
        <w:tc>
          <w:tcPr>
            <w:tcW w:w="692" w:type="dxa"/>
          </w:tcPr>
          <w:p>
            <w:pPr>
              <w:pStyle w:val="TableParagraph"/>
              <w:spacing w:line="210" w:lineRule="exact"/>
              <w:ind w:left="23" w:right="24"/>
              <w:jc w:val="center"/>
              <w:rPr>
                <w:sz w:val="20"/>
              </w:rPr>
            </w:pPr>
            <w:r>
              <w:rPr>
                <w:spacing w:val="-5"/>
                <w:sz w:val="20"/>
              </w:rPr>
              <w:t>203</w:t>
            </w:r>
          </w:p>
        </w:tc>
        <w:tc>
          <w:tcPr>
            <w:tcW w:w="734" w:type="dxa"/>
            <w:tcBorders>
              <w:right w:val="single" w:sz="4" w:space="0" w:color="000000"/>
            </w:tcBorders>
          </w:tcPr>
          <w:p>
            <w:pPr>
              <w:pStyle w:val="TableParagraph"/>
              <w:spacing w:line="210" w:lineRule="exact"/>
              <w:ind w:left="85" w:right="60"/>
              <w:jc w:val="center"/>
              <w:rPr>
                <w:sz w:val="20"/>
              </w:rPr>
            </w:pPr>
            <w:r>
              <w:rPr>
                <w:spacing w:val="-4"/>
                <w:sz w:val="20"/>
              </w:rPr>
              <w:t>43.8</w:t>
            </w:r>
          </w:p>
        </w:tc>
      </w:tr>
      <w:tr>
        <w:trPr>
          <w:trHeight w:val="232" w:hRule="atLeast"/>
        </w:trPr>
        <w:tc>
          <w:tcPr>
            <w:tcW w:w="3727" w:type="dxa"/>
            <w:tcBorders>
              <w:left w:val="single" w:sz="4" w:space="0" w:color="000000"/>
              <w:bottom w:val="single" w:sz="4" w:space="0" w:color="000000"/>
            </w:tcBorders>
          </w:tcPr>
          <w:p>
            <w:pPr>
              <w:pStyle w:val="TableParagraph"/>
              <w:rPr>
                <w:rFonts w:ascii="Times New Roman"/>
                <w:sz w:val="16"/>
              </w:rPr>
            </w:pPr>
          </w:p>
        </w:tc>
        <w:tc>
          <w:tcPr>
            <w:tcW w:w="1855" w:type="dxa"/>
            <w:tcBorders>
              <w:bottom w:val="single" w:sz="4" w:space="0" w:color="000000"/>
            </w:tcBorders>
          </w:tcPr>
          <w:p>
            <w:pPr>
              <w:pStyle w:val="TableParagraph"/>
              <w:spacing w:line="213" w:lineRule="exact"/>
              <w:ind w:left="165"/>
              <w:rPr>
                <w:sz w:val="20"/>
              </w:rPr>
            </w:pPr>
            <w:r>
              <w:rPr>
                <w:sz w:val="20"/>
              </w:rPr>
              <w:t>Top</w:t>
            </w:r>
            <w:r>
              <w:rPr>
                <w:spacing w:val="-1"/>
                <w:sz w:val="20"/>
              </w:rPr>
              <w:t> </w:t>
            </w:r>
            <w:r>
              <w:rPr>
                <w:spacing w:val="-2"/>
                <w:sz w:val="20"/>
              </w:rPr>
              <w:t>Management</w:t>
            </w:r>
          </w:p>
        </w:tc>
        <w:tc>
          <w:tcPr>
            <w:tcW w:w="529" w:type="dxa"/>
            <w:tcBorders>
              <w:bottom w:val="single" w:sz="4" w:space="0" w:color="000000"/>
            </w:tcBorders>
          </w:tcPr>
          <w:p>
            <w:pPr>
              <w:pStyle w:val="TableParagraph"/>
              <w:spacing w:line="213" w:lineRule="exact"/>
              <w:ind w:left="30" w:right="2"/>
              <w:jc w:val="center"/>
              <w:rPr>
                <w:sz w:val="20"/>
              </w:rPr>
            </w:pPr>
            <w:r>
              <w:rPr>
                <w:spacing w:val="-10"/>
                <w:sz w:val="20"/>
              </w:rPr>
              <w:t>-</w:t>
            </w:r>
          </w:p>
        </w:tc>
        <w:tc>
          <w:tcPr>
            <w:tcW w:w="569" w:type="dxa"/>
            <w:tcBorders>
              <w:bottom w:val="single" w:sz="4" w:space="0" w:color="000000"/>
            </w:tcBorders>
          </w:tcPr>
          <w:p>
            <w:pPr>
              <w:pStyle w:val="TableParagraph"/>
              <w:spacing w:line="213" w:lineRule="exact"/>
              <w:ind w:right="245"/>
              <w:jc w:val="right"/>
              <w:rPr>
                <w:sz w:val="20"/>
              </w:rPr>
            </w:pPr>
            <w:r>
              <w:rPr>
                <w:spacing w:val="-10"/>
                <w:sz w:val="20"/>
              </w:rPr>
              <w:t>-</w:t>
            </w:r>
          </w:p>
        </w:tc>
        <w:tc>
          <w:tcPr>
            <w:tcW w:w="559" w:type="dxa"/>
            <w:tcBorders>
              <w:bottom w:val="single" w:sz="4" w:space="0" w:color="000000"/>
            </w:tcBorders>
          </w:tcPr>
          <w:p>
            <w:pPr>
              <w:pStyle w:val="TableParagraph"/>
              <w:spacing w:line="213" w:lineRule="exact"/>
              <w:ind w:right="38"/>
              <w:jc w:val="center"/>
              <w:rPr>
                <w:sz w:val="20"/>
              </w:rPr>
            </w:pPr>
            <w:r>
              <w:rPr>
                <w:spacing w:val="-10"/>
                <w:sz w:val="20"/>
              </w:rPr>
              <w:t>1</w:t>
            </w:r>
          </w:p>
        </w:tc>
        <w:tc>
          <w:tcPr>
            <w:tcW w:w="677" w:type="dxa"/>
            <w:tcBorders>
              <w:bottom w:val="single" w:sz="4" w:space="0" w:color="000000"/>
            </w:tcBorders>
          </w:tcPr>
          <w:p>
            <w:pPr>
              <w:pStyle w:val="TableParagraph"/>
              <w:spacing w:line="213" w:lineRule="exact"/>
              <w:ind w:left="62" w:right="64"/>
              <w:jc w:val="center"/>
              <w:rPr>
                <w:sz w:val="20"/>
              </w:rPr>
            </w:pPr>
            <w:r>
              <w:rPr>
                <w:spacing w:val="-5"/>
                <w:sz w:val="20"/>
              </w:rPr>
              <w:t>4.3</w:t>
            </w:r>
          </w:p>
        </w:tc>
        <w:tc>
          <w:tcPr>
            <w:tcW w:w="771" w:type="dxa"/>
            <w:tcBorders>
              <w:bottom w:val="single" w:sz="4" w:space="0" w:color="000000"/>
            </w:tcBorders>
          </w:tcPr>
          <w:p>
            <w:pPr>
              <w:pStyle w:val="TableParagraph"/>
              <w:spacing w:line="213" w:lineRule="exact"/>
              <w:ind w:left="45" w:right="50"/>
              <w:jc w:val="center"/>
              <w:rPr>
                <w:sz w:val="20"/>
              </w:rPr>
            </w:pPr>
            <w:r>
              <w:rPr>
                <w:spacing w:val="-10"/>
                <w:sz w:val="20"/>
              </w:rPr>
              <w:t>7</w:t>
            </w:r>
          </w:p>
        </w:tc>
        <w:tc>
          <w:tcPr>
            <w:tcW w:w="879" w:type="dxa"/>
            <w:tcBorders>
              <w:bottom w:val="single" w:sz="4" w:space="0" w:color="000000"/>
            </w:tcBorders>
          </w:tcPr>
          <w:p>
            <w:pPr>
              <w:pStyle w:val="TableParagraph"/>
              <w:spacing w:line="213" w:lineRule="exact"/>
              <w:ind w:left="7" w:right="20"/>
              <w:jc w:val="center"/>
              <w:rPr>
                <w:sz w:val="20"/>
              </w:rPr>
            </w:pPr>
            <w:r>
              <w:rPr>
                <w:spacing w:val="-4"/>
                <w:sz w:val="20"/>
              </w:rPr>
              <w:t>30.4</w:t>
            </w:r>
          </w:p>
        </w:tc>
        <w:tc>
          <w:tcPr>
            <w:tcW w:w="687" w:type="dxa"/>
            <w:tcBorders>
              <w:bottom w:val="single" w:sz="4" w:space="0" w:color="000000"/>
            </w:tcBorders>
          </w:tcPr>
          <w:p>
            <w:pPr>
              <w:pStyle w:val="TableParagraph"/>
              <w:spacing w:line="213" w:lineRule="exact"/>
              <w:ind w:left="103" w:right="48"/>
              <w:jc w:val="center"/>
              <w:rPr>
                <w:sz w:val="20"/>
              </w:rPr>
            </w:pPr>
            <w:r>
              <w:rPr>
                <w:spacing w:val="-5"/>
                <w:sz w:val="20"/>
              </w:rPr>
              <w:t>10</w:t>
            </w:r>
          </w:p>
        </w:tc>
        <w:tc>
          <w:tcPr>
            <w:tcW w:w="800" w:type="dxa"/>
            <w:tcBorders>
              <w:bottom w:val="single" w:sz="4" w:space="0" w:color="000000"/>
            </w:tcBorders>
          </w:tcPr>
          <w:p>
            <w:pPr>
              <w:pStyle w:val="TableParagraph"/>
              <w:spacing w:line="213" w:lineRule="exact"/>
              <w:ind w:left="18" w:right="6"/>
              <w:jc w:val="center"/>
              <w:rPr>
                <w:sz w:val="20"/>
              </w:rPr>
            </w:pPr>
            <w:r>
              <w:rPr>
                <w:spacing w:val="-4"/>
                <w:sz w:val="20"/>
              </w:rPr>
              <w:t>43.5</w:t>
            </w:r>
          </w:p>
        </w:tc>
        <w:tc>
          <w:tcPr>
            <w:tcW w:w="627" w:type="dxa"/>
            <w:tcBorders>
              <w:bottom w:val="single" w:sz="4" w:space="0" w:color="000000"/>
            </w:tcBorders>
          </w:tcPr>
          <w:p>
            <w:pPr>
              <w:pStyle w:val="TableParagraph"/>
              <w:spacing w:line="213" w:lineRule="exact"/>
              <w:ind w:left="23" w:right="17"/>
              <w:jc w:val="center"/>
              <w:rPr>
                <w:sz w:val="20"/>
              </w:rPr>
            </w:pPr>
            <w:r>
              <w:rPr>
                <w:spacing w:val="-10"/>
                <w:sz w:val="20"/>
              </w:rPr>
              <w:t>5</w:t>
            </w:r>
          </w:p>
        </w:tc>
        <w:tc>
          <w:tcPr>
            <w:tcW w:w="771" w:type="dxa"/>
            <w:tcBorders>
              <w:bottom w:val="single" w:sz="4" w:space="0" w:color="000000"/>
            </w:tcBorders>
          </w:tcPr>
          <w:p>
            <w:pPr>
              <w:pStyle w:val="TableParagraph"/>
              <w:spacing w:line="213" w:lineRule="exact"/>
              <w:ind w:left="45" w:right="16"/>
              <w:jc w:val="center"/>
              <w:rPr>
                <w:sz w:val="20"/>
              </w:rPr>
            </w:pPr>
            <w:r>
              <w:rPr>
                <w:spacing w:val="-4"/>
                <w:sz w:val="20"/>
              </w:rPr>
              <w:t>21.7</w:t>
            </w:r>
          </w:p>
        </w:tc>
        <w:tc>
          <w:tcPr>
            <w:tcW w:w="692" w:type="dxa"/>
            <w:tcBorders>
              <w:bottom w:val="single" w:sz="4" w:space="0" w:color="000000"/>
            </w:tcBorders>
          </w:tcPr>
          <w:p>
            <w:pPr>
              <w:pStyle w:val="TableParagraph"/>
              <w:spacing w:line="213" w:lineRule="exact"/>
              <w:ind w:left="23" w:right="22"/>
              <w:jc w:val="center"/>
              <w:rPr>
                <w:sz w:val="20"/>
              </w:rPr>
            </w:pPr>
            <w:r>
              <w:rPr>
                <w:spacing w:val="-5"/>
                <w:sz w:val="20"/>
              </w:rPr>
              <w:t>23</w:t>
            </w:r>
          </w:p>
        </w:tc>
        <w:tc>
          <w:tcPr>
            <w:tcW w:w="734" w:type="dxa"/>
            <w:tcBorders>
              <w:bottom w:val="single" w:sz="4" w:space="0" w:color="000000"/>
              <w:right w:val="single" w:sz="4" w:space="0" w:color="000000"/>
            </w:tcBorders>
          </w:tcPr>
          <w:p>
            <w:pPr>
              <w:pStyle w:val="TableParagraph"/>
              <w:spacing w:line="213" w:lineRule="exact"/>
              <w:ind w:left="85" w:right="65"/>
              <w:jc w:val="center"/>
              <w:rPr>
                <w:sz w:val="20"/>
              </w:rPr>
            </w:pPr>
            <w:r>
              <w:rPr>
                <w:spacing w:val="-5"/>
                <w:sz w:val="20"/>
              </w:rPr>
              <w:t>5.0</w:t>
            </w:r>
          </w:p>
        </w:tc>
      </w:tr>
    </w:tbl>
    <w:p>
      <w:pPr>
        <w:spacing w:after="0" w:line="213" w:lineRule="exact"/>
        <w:jc w:val="center"/>
        <w:rPr>
          <w:sz w:val="20"/>
        </w:rPr>
        <w:sectPr>
          <w:headerReference w:type="default" r:id="rId277"/>
          <w:footerReference w:type="default" r:id="rId278"/>
          <w:pgSz w:w="15840" w:h="12240" w:orient="landscape"/>
          <w:pgMar w:header="722" w:footer="791" w:top="1340" w:bottom="980" w:left="780" w:right="960"/>
        </w:sectPr>
      </w:pPr>
    </w:p>
    <w:p>
      <w:pPr>
        <w:pStyle w:val="BodyText"/>
        <w:spacing w:before="7"/>
        <w:rPr>
          <w:rFonts w:ascii="Arial"/>
          <w:b/>
          <w:sz w:val="7"/>
        </w:rPr>
      </w:pPr>
    </w:p>
    <w:tbl>
      <w:tblPr>
        <w:tblW w:w="0" w:type="auto"/>
        <w:jc w:val="left"/>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25"/>
        <w:gridCol w:w="2914"/>
        <w:gridCol w:w="1943"/>
        <w:gridCol w:w="529"/>
        <w:gridCol w:w="569"/>
        <w:gridCol w:w="559"/>
        <w:gridCol w:w="677"/>
        <w:gridCol w:w="771"/>
        <w:gridCol w:w="879"/>
        <w:gridCol w:w="687"/>
        <w:gridCol w:w="800"/>
        <w:gridCol w:w="627"/>
        <w:gridCol w:w="771"/>
        <w:gridCol w:w="692"/>
        <w:gridCol w:w="734"/>
      </w:tblGrid>
      <w:tr>
        <w:trPr>
          <w:trHeight w:val="277" w:hRule="atLeast"/>
        </w:trPr>
        <w:tc>
          <w:tcPr>
            <w:tcW w:w="3639" w:type="dxa"/>
            <w:gridSpan w:val="2"/>
            <w:vMerge w:val="restart"/>
            <w:tcBorders>
              <w:top w:val="single" w:sz="4" w:space="0" w:color="000000"/>
              <w:left w:val="single" w:sz="4" w:space="0" w:color="000000"/>
              <w:bottom w:val="single" w:sz="4" w:space="0" w:color="000000"/>
            </w:tcBorders>
          </w:tcPr>
          <w:p>
            <w:pPr>
              <w:pStyle w:val="TableParagraph"/>
              <w:rPr>
                <w:rFonts w:ascii="Arial"/>
                <w:b/>
                <w:sz w:val="20"/>
              </w:rPr>
            </w:pPr>
          </w:p>
          <w:p>
            <w:pPr>
              <w:pStyle w:val="TableParagraph"/>
              <w:spacing w:before="221"/>
              <w:rPr>
                <w:rFonts w:ascii="Arial"/>
                <w:b/>
                <w:sz w:val="20"/>
              </w:rPr>
            </w:pPr>
          </w:p>
          <w:p>
            <w:pPr>
              <w:pStyle w:val="TableParagraph"/>
              <w:tabs>
                <w:tab w:pos="830" w:val="left" w:leader="none"/>
              </w:tabs>
              <w:ind w:left="134"/>
              <w:rPr>
                <w:rFonts w:ascii="Arial"/>
                <w:b/>
                <w:sz w:val="20"/>
              </w:rPr>
            </w:pPr>
            <w:r>
              <w:rPr>
                <w:rFonts w:ascii="Arial"/>
                <w:b/>
                <w:spacing w:val="-4"/>
                <w:sz w:val="20"/>
              </w:rPr>
              <w:t>S/No</w:t>
            </w:r>
            <w:r>
              <w:rPr>
                <w:rFonts w:ascii="Arial"/>
                <w:b/>
                <w:sz w:val="20"/>
              </w:rPr>
              <w:tab/>
              <w:t>Item</w:t>
            </w:r>
            <w:r>
              <w:rPr>
                <w:rFonts w:ascii="Arial"/>
                <w:b/>
                <w:spacing w:val="-2"/>
                <w:sz w:val="20"/>
              </w:rPr>
              <w:t> Statements</w:t>
            </w:r>
          </w:p>
        </w:tc>
        <w:tc>
          <w:tcPr>
            <w:tcW w:w="1943" w:type="dxa"/>
            <w:vMerge w:val="restart"/>
            <w:tcBorders>
              <w:top w:val="single" w:sz="4" w:space="0" w:color="000000"/>
              <w:bottom w:val="single" w:sz="4" w:space="0" w:color="000000"/>
              <w:right w:val="single" w:sz="4" w:space="0" w:color="000000"/>
            </w:tcBorders>
          </w:tcPr>
          <w:p>
            <w:pPr>
              <w:pStyle w:val="TableParagraph"/>
              <w:rPr>
                <w:rFonts w:ascii="Arial"/>
                <w:b/>
                <w:sz w:val="20"/>
              </w:rPr>
            </w:pPr>
          </w:p>
          <w:p>
            <w:pPr>
              <w:pStyle w:val="TableParagraph"/>
              <w:spacing w:before="221"/>
              <w:rPr>
                <w:rFonts w:ascii="Arial"/>
                <w:b/>
                <w:sz w:val="20"/>
              </w:rPr>
            </w:pPr>
          </w:p>
          <w:p>
            <w:pPr>
              <w:pStyle w:val="TableParagraph"/>
              <w:ind w:left="253" w:right="408"/>
              <w:rPr>
                <w:rFonts w:ascii="Arial"/>
                <w:b/>
                <w:sz w:val="20"/>
              </w:rPr>
            </w:pPr>
            <w:r>
              <w:rPr>
                <w:rFonts w:ascii="Arial"/>
                <w:b/>
                <w:sz w:val="20"/>
              </w:rPr>
              <w:t>Category of </w:t>
            </w:r>
            <w:r>
              <w:rPr>
                <w:rFonts w:ascii="Arial"/>
                <w:b/>
                <w:spacing w:val="-2"/>
                <w:sz w:val="20"/>
              </w:rPr>
              <w:t>Respondents</w:t>
            </w:r>
          </w:p>
        </w:tc>
        <w:tc>
          <w:tcPr>
            <w:tcW w:w="8295" w:type="dxa"/>
            <w:gridSpan w:val="12"/>
            <w:tcBorders>
              <w:top w:val="single" w:sz="4" w:space="0" w:color="000000"/>
              <w:left w:val="single" w:sz="4" w:space="0" w:color="000000"/>
              <w:bottom w:val="single" w:sz="4" w:space="0" w:color="000000"/>
              <w:right w:val="single" w:sz="4" w:space="0" w:color="000000"/>
            </w:tcBorders>
          </w:tcPr>
          <w:p>
            <w:pPr>
              <w:pStyle w:val="TableParagraph"/>
              <w:spacing w:line="258" w:lineRule="exact"/>
              <w:ind w:right="1026"/>
              <w:jc w:val="center"/>
              <w:rPr>
                <w:rFonts w:ascii="Arial"/>
                <w:b/>
                <w:sz w:val="24"/>
              </w:rPr>
            </w:pPr>
            <w:r>
              <w:rPr>
                <w:rFonts w:ascii="Arial"/>
                <w:b/>
                <w:spacing w:val="-2"/>
                <w:sz w:val="24"/>
              </w:rPr>
              <w:t>Responses</w:t>
            </w:r>
          </w:p>
        </w:tc>
      </w:tr>
      <w:tr>
        <w:trPr>
          <w:trHeight w:val="916" w:hRule="atLeast"/>
        </w:trPr>
        <w:tc>
          <w:tcPr>
            <w:tcW w:w="3639" w:type="dxa"/>
            <w:gridSpan w:val="2"/>
            <w:vMerge/>
            <w:tcBorders>
              <w:top w:val="nil"/>
              <w:left w:val="single" w:sz="4" w:space="0" w:color="000000"/>
              <w:bottom w:val="single" w:sz="4" w:space="0" w:color="000000"/>
            </w:tcBorders>
          </w:tcPr>
          <w:p>
            <w:pPr>
              <w:rPr>
                <w:sz w:val="2"/>
                <w:szCs w:val="2"/>
              </w:rPr>
            </w:pPr>
          </w:p>
        </w:tc>
        <w:tc>
          <w:tcPr>
            <w:tcW w:w="1943" w:type="dxa"/>
            <w:vMerge/>
            <w:tcBorders>
              <w:top w:val="nil"/>
              <w:bottom w:val="single" w:sz="4" w:space="0" w:color="000000"/>
              <w:right w:val="single" w:sz="4" w:space="0" w:color="000000"/>
            </w:tcBorders>
          </w:tcPr>
          <w:p>
            <w:pPr>
              <w:rPr>
                <w:sz w:val="2"/>
                <w:szCs w:val="2"/>
              </w:rPr>
            </w:pPr>
          </w:p>
        </w:tc>
        <w:tc>
          <w:tcPr>
            <w:tcW w:w="8295" w:type="dxa"/>
            <w:gridSpan w:val="12"/>
            <w:tcBorders>
              <w:top w:val="single" w:sz="4" w:space="0" w:color="000000"/>
              <w:left w:val="single" w:sz="4" w:space="0" w:color="000000"/>
              <w:bottom w:val="single" w:sz="4" w:space="0" w:color="000000"/>
              <w:right w:val="single" w:sz="4" w:space="0" w:color="000000"/>
            </w:tcBorders>
          </w:tcPr>
          <w:p>
            <w:pPr>
              <w:pStyle w:val="TableParagraph"/>
              <w:tabs>
                <w:tab w:pos="1257" w:val="left" w:leader="none"/>
                <w:tab w:pos="1497" w:val="left" w:leader="none"/>
                <w:tab w:pos="2712" w:val="left" w:leader="none"/>
                <w:tab w:pos="4252" w:val="left" w:leader="none"/>
                <w:tab w:pos="4540" w:val="left" w:leader="none"/>
                <w:tab w:pos="5712" w:val="left" w:leader="none"/>
                <w:tab w:pos="5971" w:val="left" w:leader="none"/>
                <w:tab w:pos="7329" w:val="left" w:leader="none"/>
              </w:tabs>
              <w:ind w:left="158" w:right="470" w:firstLine="91"/>
              <w:rPr>
                <w:rFonts w:ascii="Arial"/>
                <w:b/>
                <w:sz w:val="20"/>
              </w:rPr>
            </w:pPr>
            <w:r>
              <w:rPr>
                <w:rFonts w:ascii="Arial"/>
                <w:b/>
                <w:sz w:val="20"/>
              </w:rPr>
              <w:t>No. of</w:t>
              <w:tab/>
              <w:tab/>
            </w:r>
            <w:r>
              <w:rPr>
                <w:rFonts w:ascii="Arial"/>
                <w:b/>
                <w:spacing w:val="-4"/>
                <w:sz w:val="20"/>
              </w:rPr>
              <w:t>Very</w:t>
            </w:r>
            <w:r>
              <w:rPr>
                <w:rFonts w:ascii="Arial"/>
                <w:b/>
                <w:sz w:val="20"/>
              </w:rPr>
              <w:tab/>
            </w:r>
            <w:r>
              <w:rPr>
                <w:rFonts w:ascii="Arial"/>
                <w:b/>
                <w:spacing w:val="-2"/>
                <w:sz w:val="20"/>
              </w:rPr>
              <w:t>Adequate</w:t>
            </w:r>
            <w:r>
              <w:rPr>
                <w:rFonts w:ascii="Arial"/>
                <w:b/>
                <w:sz w:val="20"/>
              </w:rPr>
              <w:tab/>
              <w:tab/>
            </w:r>
            <w:r>
              <w:rPr>
                <w:rFonts w:ascii="Arial"/>
                <w:b/>
                <w:spacing w:val="-4"/>
                <w:sz w:val="20"/>
              </w:rPr>
              <w:t>Not</w:t>
            </w:r>
            <w:r>
              <w:rPr>
                <w:rFonts w:ascii="Arial"/>
                <w:b/>
                <w:sz w:val="20"/>
              </w:rPr>
              <w:tab/>
              <w:tab/>
            </w:r>
            <w:r>
              <w:rPr>
                <w:rFonts w:ascii="Arial"/>
                <w:b/>
                <w:spacing w:val="-4"/>
                <w:sz w:val="20"/>
              </w:rPr>
              <w:t>Not</w:t>
            </w:r>
            <w:r>
              <w:rPr>
                <w:rFonts w:ascii="Arial"/>
                <w:b/>
                <w:sz w:val="20"/>
              </w:rPr>
              <w:tab/>
            </w:r>
            <w:r>
              <w:rPr>
                <w:rFonts w:ascii="Arial"/>
                <w:b/>
                <w:spacing w:val="-2"/>
                <w:sz w:val="20"/>
              </w:rPr>
              <w:t>Total missing</w:t>
            </w:r>
            <w:r>
              <w:rPr>
                <w:rFonts w:ascii="Arial"/>
                <w:b/>
                <w:sz w:val="20"/>
              </w:rPr>
              <w:tab/>
            </w:r>
            <w:r>
              <w:rPr>
                <w:rFonts w:ascii="Arial"/>
                <w:b/>
                <w:spacing w:val="-2"/>
                <w:sz w:val="20"/>
              </w:rPr>
              <w:t>Adequate</w:t>
            </w:r>
            <w:r>
              <w:rPr>
                <w:rFonts w:ascii="Arial"/>
                <w:b/>
                <w:sz w:val="20"/>
              </w:rPr>
              <w:tab/>
              <w:tab/>
            </w:r>
            <w:r>
              <w:rPr>
                <w:rFonts w:ascii="Arial"/>
                <w:b/>
                <w:spacing w:val="-2"/>
                <w:sz w:val="20"/>
              </w:rPr>
              <w:t>Adequate</w:t>
            </w:r>
            <w:r>
              <w:rPr>
                <w:rFonts w:ascii="Arial"/>
                <w:b/>
                <w:sz w:val="20"/>
              </w:rPr>
              <w:tab/>
            </w:r>
            <w:r>
              <w:rPr>
                <w:rFonts w:ascii="Arial"/>
                <w:b/>
                <w:spacing w:val="-2"/>
                <w:sz w:val="20"/>
              </w:rPr>
              <w:t>Provided</w:t>
            </w:r>
          </w:p>
          <w:p>
            <w:pPr>
              <w:pStyle w:val="TableParagraph"/>
              <w:spacing w:line="226" w:lineRule="exact"/>
              <w:ind w:right="7207"/>
              <w:jc w:val="center"/>
              <w:rPr>
                <w:rFonts w:ascii="Arial"/>
                <w:b/>
                <w:sz w:val="20"/>
              </w:rPr>
            </w:pPr>
            <w:r>
              <w:rPr>
                <w:rFonts w:ascii="Arial"/>
                <w:b/>
                <w:spacing w:val="-2"/>
                <w:sz w:val="20"/>
              </w:rPr>
              <w:t>observat</w:t>
            </w:r>
          </w:p>
          <w:p>
            <w:pPr>
              <w:pStyle w:val="TableParagraph"/>
              <w:spacing w:line="220" w:lineRule="exact"/>
              <w:ind w:left="4" w:right="7207"/>
              <w:jc w:val="center"/>
              <w:rPr>
                <w:rFonts w:ascii="Arial"/>
                <w:b/>
                <w:sz w:val="20"/>
              </w:rPr>
            </w:pPr>
            <w:r>
              <w:rPr>
                <w:rFonts w:ascii="Arial"/>
                <w:b/>
                <w:spacing w:val="-5"/>
                <w:sz w:val="20"/>
              </w:rPr>
              <w:t>ion</w:t>
            </w:r>
          </w:p>
        </w:tc>
      </w:tr>
      <w:tr>
        <w:trPr>
          <w:trHeight w:val="321" w:hRule="atLeast"/>
        </w:trPr>
        <w:tc>
          <w:tcPr>
            <w:tcW w:w="3639" w:type="dxa"/>
            <w:gridSpan w:val="2"/>
            <w:vMerge/>
            <w:tcBorders>
              <w:top w:val="nil"/>
              <w:left w:val="single" w:sz="4" w:space="0" w:color="000000"/>
              <w:bottom w:val="single" w:sz="4" w:space="0" w:color="000000"/>
            </w:tcBorders>
          </w:tcPr>
          <w:p>
            <w:pPr>
              <w:rPr>
                <w:sz w:val="2"/>
                <w:szCs w:val="2"/>
              </w:rPr>
            </w:pPr>
          </w:p>
        </w:tc>
        <w:tc>
          <w:tcPr>
            <w:tcW w:w="1943" w:type="dxa"/>
            <w:vMerge/>
            <w:tcBorders>
              <w:top w:val="nil"/>
              <w:bottom w:val="single" w:sz="4" w:space="0" w:color="000000"/>
              <w:right w:val="single" w:sz="4" w:space="0" w:color="000000"/>
            </w:tcBorders>
          </w:tcPr>
          <w:p>
            <w:pPr>
              <w:rPr>
                <w:sz w:val="2"/>
                <w:szCs w:val="2"/>
              </w:rPr>
            </w:pPr>
          </w:p>
        </w:tc>
        <w:tc>
          <w:tcPr>
            <w:tcW w:w="529" w:type="dxa"/>
            <w:tcBorders>
              <w:top w:val="single" w:sz="4" w:space="0" w:color="000000"/>
              <w:left w:val="single" w:sz="4" w:space="0" w:color="000000"/>
              <w:bottom w:val="single" w:sz="4" w:space="0" w:color="000000"/>
            </w:tcBorders>
          </w:tcPr>
          <w:p>
            <w:pPr>
              <w:pStyle w:val="TableParagraph"/>
              <w:spacing w:line="220" w:lineRule="exact"/>
              <w:ind w:left="22"/>
              <w:jc w:val="center"/>
              <w:rPr>
                <w:rFonts w:ascii="Arial"/>
                <w:b/>
                <w:sz w:val="20"/>
              </w:rPr>
            </w:pPr>
            <w:r>
              <w:rPr>
                <w:rFonts w:ascii="Arial"/>
                <w:b/>
                <w:spacing w:val="-10"/>
                <w:sz w:val="20"/>
              </w:rPr>
              <w:t>F</w:t>
            </w:r>
          </w:p>
        </w:tc>
        <w:tc>
          <w:tcPr>
            <w:tcW w:w="569" w:type="dxa"/>
            <w:tcBorders>
              <w:top w:val="single" w:sz="4" w:space="0" w:color="000000"/>
              <w:bottom w:val="single" w:sz="4" w:space="0" w:color="000000"/>
            </w:tcBorders>
          </w:tcPr>
          <w:p>
            <w:pPr>
              <w:pStyle w:val="TableParagraph"/>
              <w:spacing w:line="220" w:lineRule="exact"/>
              <w:ind w:left="201"/>
              <w:rPr>
                <w:rFonts w:ascii="Arial"/>
                <w:b/>
                <w:sz w:val="20"/>
              </w:rPr>
            </w:pPr>
            <w:r>
              <w:rPr>
                <w:rFonts w:ascii="Arial"/>
                <w:b/>
                <w:spacing w:val="-10"/>
                <w:sz w:val="20"/>
              </w:rPr>
              <w:t>%</w:t>
            </w:r>
          </w:p>
        </w:tc>
        <w:tc>
          <w:tcPr>
            <w:tcW w:w="559" w:type="dxa"/>
            <w:tcBorders>
              <w:top w:val="single" w:sz="4" w:space="0" w:color="000000"/>
              <w:bottom w:val="single" w:sz="4" w:space="0" w:color="000000"/>
            </w:tcBorders>
          </w:tcPr>
          <w:p>
            <w:pPr>
              <w:pStyle w:val="TableParagraph"/>
              <w:spacing w:line="220" w:lineRule="exact"/>
              <w:ind w:left="2" w:right="38"/>
              <w:jc w:val="center"/>
              <w:rPr>
                <w:rFonts w:ascii="Arial"/>
                <w:b/>
                <w:sz w:val="20"/>
              </w:rPr>
            </w:pPr>
            <w:r>
              <w:rPr>
                <w:rFonts w:ascii="Arial"/>
                <w:b/>
                <w:spacing w:val="-10"/>
                <w:sz w:val="20"/>
              </w:rPr>
              <w:t>F</w:t>
            </w:r>
          </w:p>
        </w:tc>
        <w:tc>
          <w:tcPr>
            <w:tcW w:w="677" w:type="dxa"/>
            <w:tcBorders>
              <w:top w:val="single" w:sz="4" w:space="0" w:color="000000"/>
              <w:bottom w:val="single" w:sz="4" w:space="0" w:color="000000"/>
            </w:tcBorders>
          </w:tcPr>
          <w:p>
            <w:pPr>
              <w:pStyle w:val="TableParagraph"/>
              <w:spacing w:line="220" w:lineRule="exact"/>
              <w:ind w:left="62" w:right="62"/>
              <w:jc w:val="center"/>
              <w:rPr>
                <w:rFonts w:ascii="Arial"/>
                <w:b/>
                <w:sz w:val="20"/>
              </w:rPr>
            </w:pPr>
            <w:r>
              <w:rPr>
                <w:rFonts w:ascii="Arial"/>
                <w:b/>
                <w:spacing w:val="-10"/>
                <w:sz w:val="20"/>
              </w:rPr>
              <w:t>%</w:t>
            </w:r>
          </w:p>
        </w:tc>
        <w:tc>
          <w:tcPr>
            <w:tcW w:w="771" w:type="dxa"/>
            <w:tcBorders>
              <w:top w:val="single" w:sz="4" w:space="0" w:color="000000"/>
              <w:bottom w:val="single" w:sz="4" w:space="0" w:color="000000"/>
            </w:tcBorders>
          </w:tcPr>
          <w:p>
            <w:pPr>
              <w:pStyle w:val="TableParagraph"/>
              <w:spacing w:line="220" w:lineRule="exact"/>
              <w:ind w:left="45" w:right="49"/>
              <w:jc w:val="center"/>
              <w:rPr>
                <w:rFonts w:ascii="Arial"/>
                <w:b/>
                <w:sz w:val="20"/>
              </w:rPr>
            </w:pPr>
            <w:r>
              <w:rPr>
                <w:rFonts w:ascii="Arial"/>
                <w:b/>
                <w:spacing w:val="-10"/>
                <w:sz w:val="20"/>
              </w:rPr>
              <w:t>F</w:t>
            </w:r>
          </w:p>
        </w:tc>
        <w:tc>
          <w:tcPr>
            <w:tcW w:w="879" w:type="dxa"/>
            <w:tcBorders>
              <w:top w:val="single" w:sz="4" w:space="0" w:color="000000"/>
              <w:bottom w:val="single" w:sz="4" w:space="0" w:color="000000"/>
            </w:tcBorders>
          </w:tcPr>
          <w:p>
            <w:pPr>
              <w:pStyle w:val="TableParagraph"/>
              <w:spacing w:line="220" w:lineRule="exact"/>
              <w:ind w:left="7" w:right="20"/>
              <w:jc w:val="center"/>
              <w:rPr>
                <w:rFonts w:ascii="Arial"/>
                <w:b/>
                <w:sz w:val="20"/>
              </w:rPr>
            </w:pPr>
            <w:r>
              <w:rPr>
                <w:rFonts w:ascii="Arial"/>
                <w:b/>
                <w:spacing w:val="-10"/>
                <w:sz w:val="20"/>
              </w:rPr>
              <w:t>%</w:t>
            </w:r>
          </w:p>
        </w:tc>
        <w:tc>
          <w:tcPr>
            <w:tcW w:w="687" w:type="dxa"/>
            <w:tcBorders>
              <w:top w:val="single" w:sz="4" w:space="0" w:color="000000"/>
              <w:bottom w:val="single" w:sz="4" w:space="0" w:color="000000"/>
            </w:tcBorders>
          </w:tcPr>
          <w:p>
            <w:pPr>
              <w:pStyle w:val="TableParagraph"/>
              <w:spacing w:line="220" w:lineRule="exact"/>
              <w:ind w:left="109" w:right="48"/>
              <w:jc w:val="center"/>
              <w:rPr>
                <w:rFonts w:ascii="Arial"/>
                <w:b/>
                <w:sz w:val="20"/>
              </w:rPr>
            </w:pPr>
            <w:r>
              <w:rPr>
                <w:rFonts w:ascii="Arial"/>
                <w:b/>
                <w:spacing w:val="-10"/>
                <w:sz w:val="20"/>
              </w:rPr>
              <w:t>F</w:t>
            </w:r>
          </w:p>
        </w:tc>
        <w:tc>
          <w:tcPr>
            <w:tcW w:w="800" w:type="dxa"/>
            <w:tcBorders>
              <w:top w:val="single" w:sz="4" w:space="0" w:color="000000"/>
              <w:bottom w:val="single" w:sz="4" w:space="0" w:color="000000"/>
            </w:tcBorders>
          </w:tcPr>
          <w:p>
            <w:pPr>
              <w:pStyle w:val="TableParagraph"/>
              <w:spacing w:line="220" w:lineRule="exact"/>
              <w:ind w:left="18" w:right="6"/>
              <w:jc w:val="center"/>
              <w:rPr>
                <w:rFonts w:ascii="Arial"/>
                <w:b/>
                <w:sz w:val="20"/>
              </w:rPr>
            </w:pPr>
            <w:r>
              <w:rPr>
                <w:rFonts w:ascii="Arial"/>
                <w:b/>
                <w:spacing w:val="-10"/>
                <w:sz w:val="20"/>
              </w:rPr>
              <w:t>%</w:t>
            </w:r>
          </w:p>
        </w:tc>
        <w:tc>
          <w:tcPr>
            <w:tcW w:w="627" w:type="dxa"/>
            <w:tcBorders>
              <w:top w:val="single" w:sz="4" w:space="0" w:color="000000"/>
              <w:bottom w:val="single" w:sz="4" w:space="0" w:color="000000"/>
            </w:tcBorders>
          </w:tcPr>
          <w:p>
            <w:pPr>
              <w:pStyle w:val="TableParagraph"/>
              <w:spacing w:line="220" w:lineRule="exact"/>
              <w:ind w:left="23" w:right="16"/>
              <w:jc w:val="center"/>
              <w:rPr>
                <w:rFonts w:ascii="Arial"/>
                <w:b/>
                <w:sz w:val="20"/>
              </w:rPr>
            </w:pPr>
            <w:r>
              <w:rPr>
                <w:rFonts w:ascii="Arial"/>
                <w:b/>
                <w:spacing w:val="-10"/>
                <w:sz w:val="20"/>
              </w:rPr>
              <w:t>F</w:t>
            </w:r>
          </w:p>
        </w:tc>
        <w:tc>
          <w:tcPr>
            <w:tcW w:w="771" w:type="dxa"/>
            <w:tcBorders>
              <w:top w:val="single" w:sz="4" w:space="0" w:color="000000"/>
              <w:bottom w:val="single" w:sz="4" w:space="0" w:color="000000"/>
            </w:tcBorders>
          </w:tcPr>
          <w:p>
            <w:pPr>
              <w:pStyle w:val="TableParagraph"/>
              <w:spacing w:line="220" w:lineRule="exact"/>
              <w:ind w:left="45" w:right="16"/>
              <w:jc w:val="center"/>
              <w:rPr>
                <w:rFonts w:ascii="Arial"/>
                <w:b/>
                <w:sz w:val="20"/>
              </w:rPr>
            </w:pPr>
            <w:r>
              <w:rPr>
                <w:rFonts w:ascii="Arial"/>
                <w:b/>
                <w:spacing w:val="-10"/>
                <w:sz w:val="20"/>
              </w:rPr>
              <w:t>%</w:t>
            </w:r>
          </w:p>
        </w:tc>
        <w:tc>
          <w:tcPr>
            <w:tcW w:w="692" w:type="dxa"/>
            <w:tcBorders>
              <w:top w:val="single" w:sz="4" w:space="0" w:color="000000"/>
              <w:bottom w:val="single" w:sz="4" w:space="0" w:color="000000"/>
            </w:tcBorders>
          </w:tcPr>
          <w:p>
            <w:pPr>
              <w:pStyle w:val="TableParagraph"/>
              <w:spacing w:line="220" w:lineRule="exact"/>
              <w:ind w:left="23" w:right="16"/>
              <w:jc w:val="center"/>
              <w:rPr>
                <w:rFonts w:ascii="Arial"/>
                <w:b/>
                <w:sz w:val="20"/>
              </w:rPr>
            </w:pPr>
            <w:r>
              <w:rPr>
                <w:rFonts w:ascii="Arial"/>
                <w:b/>
                <w:spacing w:val="-10"/>
                <w:sz w:val="20"/>
              </w:rPr>
              <w:t>F</w:t>
            </w:r>
          </w:p>
        </w:tc>
        <w:tc>
          <w:tcPr>
            <w:tcW w:w="734" w:type="dxa"/>
            <w:tcBorders>
              <w:top w:val="single" w:sz="4" w:space="0" w:color="000000"/>
              <w:bottom w:val="single" w:sz="4" w:space="0" w:color="000000"/>
              <w:right w:val="single" w:sz="4" w:space="0" w:color="000000"/>
            </w:tcBorders>
          </w:tcPr>
          <w:p>
            <w:pPr>
              <w:pStyle w:val="TableParagraph"/>
              <w:spacing w:line="220" w:lineRule="exact"/>
              <w:ind w:left="85" w:right="60"/>
              <w:jc w:val="center"/>
              <w:rPr>
                <w:rFonts w:ascii="Arial"/>
                <w:b/>
                <w:sz w:val="20"/>
              </w:rPr>
            </w:pPr>
            <w:r>
              <w:rPr>
                <w:rFonts w:ascii="Arial"/>
                <w:b/>
                <w:spacing w:val="-10"/>
                <w:sz w:val="20"/>
              </w:rPr>
              <w:t>%</w:t>
            </w:r>
          </w:p>
        </w:tc>
      </w:tr>
      <w:tr>
        <w:trPr>
          <w:trHeight w:val="1228" w:hRule="atLeast"/>
        </w:trPr>
        <w:tc>
          <w:tcPr>
            <w:tcW w:w="725" w:type="dxa"/>
            <w:tcBorders>
              <w:left w:val="single" w:sz="4" w:space="0" w:color="000000"/>
              <w:right w:val="single" w:sz="4" w:space="0" w:color="000000"/>
            </w:tcBorders>
          </w:tcPr>
          <w:p>
            <w:pPr>
              <w:pStyle w:val="TableParagraph"/>
              <w:spacing w:line="225" w:lineRule="exact"/>
              <w:ind w:left="220"/>
              <w:rPr>
                <w:sz w:val="20"/>
              </w:rPr>
            </w:pPr>
            <w:r>
              <w:rPr>
                <w:spacing w:val="-5"/>
                <w:sz w:val="20"/>
              </w:rPr>
              <w:t>19.</w:t>
            </w:r>
          </w:p>
        </w:tc>
        <w:tc>
          <w:tcPr>
            <w:tcW w:w="2914" w:type="dxa"/>
            <w:tcBorders>
              <w:top w:val="single" w:sz="4" w:space="0" w:color="000000"/>
              <w:left w:val="single" w:sz="4" w:space="0" w:color="000000"/>
            </w:tcBorders>
          </w:tcPr>
          <w:p>
            <w:pPr>
              <w:pStyle w:val="TableParagraph"/>
              <w:ind w:left="105" w:right="242"/>
              <w:rPr>
                <w:sz w:val="20"/>
              </w:rPr>
            </w:pPr>
            <w:r>
              <w:rPr>
                <w:sz w:val="20"/>
              </w:rPr>
              <w:t>Teaching</w:t>
            </w:r>
            <w:r>
              <w:rPr>
                <w:spacing w:val="-1"/>
                <w:sz w:val="20"/>
              </w:rPr>
              <w:t> </w:t>
            </w:r>
            <w:r>
              <w:rPr>
                <w:sz w:val="20"/>
              </w:rPr>
              <w:t>learning</w:t>
            </w:r>
            <w:r>
              <w:rPr>
                <w:spacing w:val="-1"/>
                <w:sz w:val="20"/>
              </w:rPr>
              <w:t> </w:t>
            </w:r>
            <w:r>
              <w:rPr>
                <w:sz w:val="20"/>
              </w:rPr>
              <w:t>facilities – assignments, field trips, debates, symposiums, Teaching</w:t>
            </w:r>
            <w:r>
              <w:rPr>
                <w:spacing w:val="-12"/>
                <w:sz w:val="20"/>
              </w:rPr>
              <w:t> </w:t>
            </w:r>
            <w:r>
              <w:rPr>
                <w:sz w:val="20"/>
              </w:rPr>
              <w:t>Practice,</w:t>
            </w:r>
            <w:r>
              <w:rPr>
                <w:spacing w:val="-13"/>
                <w:sz w:val="20"/>
              </w:rPr>
              <w:t> </w:t>
            </w:r>
            <w:r>
              <w:rPr>
                <w:sz w:val="20"/>
              </w:rPr>
              <w:t>field</w:t>
            </w:r>
            <w:r>
              <w:rPr>
                <w:spacing w:val="-12"/>
                <w:sz w:val="20"/>
              </w:rPr>
              <w:t> </w:t>
            </w:r>
            <w:r>
              <w:rPr>
                <w:sz w:val="20"/>
              </w:rPr>
              <w:t>work </w:t>
            </w:r>
            <w:r>
              <w:rPr>
                <w:spacing w:val="-4"/>
                <w:sz w:val="20"/>
              </w:rPr>
              <w:t>etc</w:t>
            </w:r>
          </w:p>
        </w:tc>
        <w:tc>
          <w:tcPr>
            <w:tcW w:w="1943" w:type="dxa"/>
            <w:tcBorders>
              <w:top w:val="single" w:sz="4" w:space="0" w:color="000000"/>
            </w:tcBorders>
          </w:tcPr>
          <w:p>
            <w:pPr>
              <w:pStyle w:val="TableParagraph"/>
              <w:spacing w:line="247" w:lineRule="auto"/>
              <w:ind w:left="253" w:right="269"/>
              <w:rPr>
                <w:sz w:val="20"/>
              </w:rPr>
            </w:pPr>
            <w:r>
              <w:rPr>
                <w:sz w:val="20"/>
              </w:rPr>
              <w:t>No.</w:t>
            </w:r>
            <w:r>
              <w:rPr>
                <w:spacing w:val="-14"/>
                <w:sz w:val="20"/>
              </w:rPr>
              <w:t> </w:t>
            </w:r>
            <w:r>
              <w:rPr>
                <w:sz w:val="20"/>
              </w:rPr>
              <w:t>of</w:t>
            </w:r>
            <w:r>
              <w:rPr>
                <w:spacing w:val="-14"/>
                <w:sz w:val="20"/>
              </w:rPr>
              <w:t> </w:t>
            </w:r>
            <w:r>
              <w:rPr>
                <w:sz w:val="20"/>
              </w:rPr>
              <w:t>missing </w:t>
            </w:r>
            <w:r>
              <w:rPr>
                <w:spacing w:val="-2"/>
                <w:sz w:val="20"/>
              </w:rPr>
              <w:t>observations Students </w:t>
            </w:r>
            <w:r>
              <w:rPr>
                <w:sz w:val="20"/>
              </w:rPr>
              <w:t>Service Staff</w:t>
            </w:r>
          </w:p>
          <w:p>
            <w:pPr>
              <w:pStyle w:val="TableParagraph"/>
              <w:ind w:left="253"/>
              <w:rPr>
                <w:sz w:val="20"/>
              </w:rPr>
            </w:pPr>
            <w:r>
              <w:rPr>
                <w:sz w:val="20"/>
              </w:rPr>
              <w:t>Top</w:t>
            </w:r>
            <w:r>
              <w:rPr>
                <w:spacing w:val="-1"/>
                <w:sz w:val="20"/>
              </w:rPr>
              <w:t> </w:t>
            </w:r>
            <w:r>
              <w:rPr>
                <w:spacing w:val="-2"/>
                <w:sz w:val="20"/>
              </w:rPr>
              <w:t>Management</w:t>
            </w:r>
          </w:p>
        </w:tc>
        <w:tc>
          <w:tcPr>
            <w:tcW w:w="529" w:type="dxa"/>
            <w:tcBorders>
              <w:top w:val="single" w:sz="4" w:space="0" w:color="000000"/>
            </w:tcBorders>
          </w:tcPr>
          <w:p>
            <w:pPr>
              <w:pStyle w:val="TableParagraph"/>
              <w:spacing w:line="249" w:lineRule="auto" w:before="225"/>
              <w:ind w:left="221" w:right="193" w:firstLine="2"/>
              <w:jc w:val="center"/>
              <w:rPr>
                <w:sz w:val="20"/>
              </w:rPr>
            </w:pPr>
            <w:r>
              <w:rPr>
                <w:spacing w:val="-10"/>
                <w:sz w:val="20"/>
              </w:rPr>
              <w:t>- 5</w:t>
            </w:r>
          </w:p>
          <w:p>
            <w:pPr>
              <w:pStyle w:val="TableParagraph"/>
              <w:spacing w:before="1"/>
              <w:ind w:left="30"/>
              <w:jc w:val="center"/>
              <w:rPr>
                <w:sz w:val="20"/>
              </w:rPr>
            </w:pPr>
            <w:r>
              <w:rPr>
                <w:spacing w:val="-5"/>
                <w:sz w:val="20"/>
              </w:rPr>
              <w:t>15</w:t>
            </w:r>
          </w:p>
          <w:p>
            <w:pPr>
              <w:pStyle w:val="TableParagraph"/>
              <w:spacing w:before="10"/>
              <w:ind w:left="30" w:right="2"/>
              <w:jc w:val="center"/>
              <w:rPr>
                <w:sz w:val="20"/>
              </w:rPr>
            </w:pPr>
            <w:r>
              <w:rPr>
                <w:spacing w:val="-10"/>
                <w:sz w:val="20"/>
              </w:rPr>
              <w:t>-</w:t>
            </w:r>
          </w:p>
        </w:tc>
        <w:tc>
          <w:tcPr>
            <w:tcW w:w="569" w:type="dxa"/>
            <w:tcBorders>
              <w:top w:val="single" w:sz="4" w:space="0" w:color="000000"/>
            </w:tcBorders>
          </w:tcPr>
          <w:p>
            <w:pPr>
              <w:pStyle w:val="TableParagraph"/>
              <w:spacing w:before="225"/>
              <w:ind w:left="7" w:right="2"/>
              <w:jc w:val="center"/>
              <w:rPr>
                <w:sz w:val="20"/>
              </w:rPr>
            </w:pPr>
            <w:r>
              <w:rPr>
                <w:spacing w:val="-10"/>
                <w:sz w:val="20"/>
              </w:rPr>
              <w:t>-</w:t>
            </w:r>
          </w:p>
          <w:p>
            <w:pPr>
              <w:pStyle w:val="TableParagraph"/>
              <w:spacing w:before="10"/>
              <w:ind w:left="7"/>
              <w:jc w:val="center"/>
              <w:rPr>
                <w:sz w:val="20"/>
              </w:rPr>
            </w:pPr>
            <w:r>
              <w:rPr>
                <w:spacing w:val="-5"/>
                <w:sz w:val="20"/>
              </w:rPr>
              <w:t>2.1</w:t>
            </w:r>
          </w:p>
          <w:p>
            <w:pPr>
              <w:pStyle w:val="TableParagraph"/>
              <w:spacing w:before="10"/>
              <w:ind w:left="7"/>
              <w:jc w:val="center"/>
              <w:rPr>
                <w:sz w:val="20"/>
              </w:rPr>
            </w:pPr>
            <w:r>
              <w:rPr>
                <w:spacing w:val="-5"/>
                <w:sz w:val="20"/>
              </w:rPr>
              <w:t>7.4</w:t>
            </w:r>
          </w:p>
          <w:p>
            <w:pPr>
              <w:pStyle w:val="TableParagraph"/>
              <w:spacing w:before="10"/>
              <w:ind w:left="7" w:right="2"/>
              <w:jc w:val="center"/>
              <w:rPr>
                <w:sz w:val="20"/>
              </w:rPr>
            </w:pPr>
            <w:r>
              <w:rPr>
                <w:spacing w:val="-10"/>
                <w:sz w:val="20"/>
              </w:rPr>
              <w:t>-</w:t>
            </w:r>
          </w:p>
        </w:tc>
        <w:tc>
          <w:tcPr>
            <w:tcW w:w="559" w:type="dxa"/>
            <w:tcBorders>
              <w:top w:val="single" w:sz="4" w:space="0" w:color="000000"/>
            </w:tcBorders>
          </w:tcPr>
          <w:p>
            <w:pPr>
              <w:pStyle w:val="TableParagraph"/>
              <w:spacing w:line="249" w:lineRule="auto" w:before="225"/>
              <w:ind w:left="203" w:right="241" w:firstLine="2"/>
              <w:jc w:val="center"/>
              <w:rPr>
                <w:sz w:val="20"/>
              </w:rPr>
            </w:pPr>
            <w:r>
              <w:rPr>
                <w:spacing w:val="-10"/>
                <w:sz w:val="20"/>
              </w:rPr>
              <w:t>- 8</w:t>
            </w:r>
          </w:p>
          <w:p>
            <w:pPr>
              <w:pStyle w:val="TableParagraph"/>
              <w:spacing w:before="1"/>
              <w:ind w:right="38"/>
              <w:jc w:val="center"/>
              <w:rPr>
                <w:sz w:val="20"/>
              </w:rPr>
            </w:pPr>
            <w:r>
              <w:rPr>
                <w:spacing w:val="-10"/>
                <w:sz w:val="20"/>
              </w:rPr>
              <w:t>4</w:t>
            </w:r>
          </w:p>
          <w:p>
            <w:pPr>
              <w:pStyle w:val="TableParagraph"/>
              <w:spacing w:before="10"/>
              <w:ind w:right="38"/>
              <w:jc w:val="center"/>
              <w:rPr>
                <w:sz w:val="20"/>
              </w:rPr>
            </w:pPr>
            <w:r>
              <w:rPr>
                <w:spacing w:val="-10"/>
                <w:sz w:val="20"/>
              </w:rPr>
              <w:t>1</w:t>
            </w:r>
          </w:p>
        </w:tc>
        <w:tc>
          <w:tcPr>
            <w:tcW w:w="677" w:type="dxa"/>
            <w:tcBorders>
              <w:top w:val="single" w:sz="4" w:space="0" w:color="000000"/>
            </w:tcBorders>
          </w:tcPr>
          <w:p>
            <w:pPr>
              <w:pStyle w:val="TableParagraph"/>
              <w:spacing w:before="225"/>
              <w:ind w:left="62" w:right="66"/>
              <w:jc w:val="center"/>
              <w:rPr>
                <w:sz w:val="20"/>
              </w:rPr>
            </w:pPr>
            <w:r>
              <w:rPr>
                <w:spacing w:val="-10"/>
                <w:sz w:val="20"/>
              </w:rPr>
              <w:t>-</w:t>
            </w:r>
          </w:p>
          <w:p>
            <w:pPr>
              <w:pStyle w:val="TableParagraph"/>
              <w:spacing w:before="10"/>
              <w:ind w:left="62" w:right="64"/>
              <w:jc w:val="center"/>
              <w:rPr>
                <w:sz w:val="20"/>
              </w:rPr>
            </w:pPr>
            <w:r>
              <w:rPr>
                <w:spacing w:val="-5"/>
                <w:sz w:val="20"/>
              </w:rPr>
              <w:t>3.4</w:t>
            </w:r>
          </w:p>
          <w:p>
            <w:pPr>
              <w:pStyle w:val="TableParagraph"/>
              <w:spacing w:before="10"/>
              <w:ind w:left="62" w:right="64"/>
              <w:jc w:val="center"/>
              <w:rPr>
                <w:sz w:val="20"/>
              </w:rPr>
            </w:pPr>
            <w:r>
              <w:rPr>
                <w:spacing w:val="-5"/>
                <w:sz w:val="20"/>
              </w:rPr>
              <w:t>2.0</w:t>
            </w:r>
          </w:p>
          <w:p>
            <w:pPr>
              <w:pStyle w:val="TableParagraph"/>
              <w:spacing w:before="10"/>
              <w:ind w:left="62" w:right="64"/>
              <w:jc w:val="center"/>
              <w:rPr>
                <w:sz w:val="20"/>
              </w:rPr>
            </w:pPr>
            <w:r>
              <w:rPr>
                <w:spacing w:val="-5"/>
                <w:sz w:val="20"/>
              </w:rPr>
              <w:t>4.3</w:t>
            </w:r>
          </w:p>
        </w:tc>
        <w:tc>
          <w:tcPr>
            <w:tcW w:w="771" w:type="dxa"/>
            <w:tcBorders>
              <w:top w:val="single" w:sz="4" w:space="0" w:color="000000"/>
            </w:tcBorders>
          </w:tcPr>
          <w:p>
            <w:pPr>
              <w:pStyle w:val="TableParagraph"/>
              <w:spacing w:before="225"/>
              <w:ind w:left="45" w:right="50"/>
              <w:jc w:val="center"/>
              <w:rPr>
                <w:sz w:val="20"/>
              </w:rPr>
            </w:pPr>
            <w:r>
              <w:rPr>
                <w:spacing w:val="-10"/>
                <w:sz w:val="20"/>
              </w:rPr>
              <w:t>1</w:t>
            </w:r>
          </w:p>
          <w:p>
            <w:pPr>
              <w:pStyle w:val="TableParagraph"/>
              <w:spacing w:before="10"/>
              <w:ind w:left="45" w:right="59"/>
              <w:jc w:val="center"/>
              <w:rPr>
                <w:sz w:val="20"/>
              </w:rPr>
            </w:pPr>
            <w:r>
              <w:rPr>
                <w:spacing w:val="-5"/>
                <w:sz w:val="20"/>
              </w:rPr>
              <w:t>105</w:t>
            </w:r>
          </w:p>
          <w:p>
            <w:pPr>
              <w:pStyle w:val="TableParagraph"/>
              <w:spacing w:before="10"/>
              <w:ind w:left="45" w:right="55"/>
              <w:jc w:val="center"/>
              <w:rPr>
                <w:sz w:val="20"/>
              </w:rPr>
            </w:pPr>
            <w:r>
              <w:rPr>
                <w:spacing w:val="-5"/>
                <w:sz w:val="20"/>
              </w:rPr>
              <w:t>83</w:t>
            </w:r>
          </w:p>
          <w:p>
            <w:pPr>
              <w:pStyle w:val="TableParagraph"/>
              <w:spacing w:before="10"/>
              <w:ind w:left="45" w:right="55"/>
              <w:jc w:val="center"/>
              <w:rPr>
                <w:sz w:val="20"/>
              </w:rPr>
            </w:pPr>
            <w:r>
              <w:rPr>
                <w:spacing w:val="-5"/>
                <w:sz w:val="20"/>
              </w:rPr>
              <w:t>10</w:t>
            </w:r>
          </w:p>
        </w:tc>
        <w:tc>
          <w:tcPr>
            <w:tcW w:w="879" w:type="dxa"/>
            <w:tcBorders>
              <w:top w:val="single" w:sz="4" w:space="0" w:color="000000"/>
            </w:tcBorders>
          </w:tcPr>
          <w:p>
            <w:pPr>
              <w:pStyle w:val="TableParagraph"/>
              <w:spacing w:before="225"/>
              <w:ind w:left="236"/>
              <w:rPr>
                <w:sz w:val="20"/>
              </w:rPr>
            </w:pPr>
            <w:r>
              <w:rPr>
                <w:spacing w:val="-4"/>
                <w:sz w:val="20"/>
              </w:rPr>
              <w:t>50.0</w:t>
            </w:r>
          </w:p>
          <w:p>
            <w:pPr>
              <w:pStyle w:val="TableParagraph"/>
              <w:spacing w:before="10"/>
              <w:ind w:left="236"/>
              <w:rPr>
                <w:sz w:val="20"/>
              </w:rPr>
            </w:pPr>
            <w:r>
              <w:rPr>
                <w:spacing w:val="-4"/>
                <w:sz w:val="20"/>
              </w:rPr>
              <w:t>44.7</w:t>
            </w:r>
          </w:p>
          <w:p>
            <w:pPr>
              <w:pStyle w:val="TableParagraph"/>
              <w:spacing w:before="10"/>
              <w:ind w:left="236"/>
              <w:rPr>
                <w:sz w:val="20"/>
              </w:rPr>
            </w:pPr>
            <w:r>
              <w:rPr>
                <w:spacing w:val="-4"/>
                <w:sz w:val="20"/>
              </w:rPr>
              <w:t>40.9</w:t>
            </w:r>
          </w:p>
          <w:p>
            <w:pPr>
              <w:pStyle w:val="TableParagraph"/>
              <w:spacing w:before="10"/>
              <w:ind w:left="236"/>
              <w:rPr>
                <w:sz w:val="20"/>
              </w:rPr>
            </w:pPr>
            <w:r>
              <w:rPr>
                <w:spacing w:val="-4"/>
                <w:sz w:val="20"/>
              </w:rPr>
              <w:t>43.5</w:t>
            </w:r>
          </w:p>
        </w:tc>
        <w:tc>
          <w:tcPr>
            <w:tcW w:w="687" w:type="dxa"/>
            <w:tcBorders>
              <w:top w:val="single" w:sz="4" w:space="0" w:color="000000"/>
            </w:tcBorders>
          </w:tcPr>
          <w:p>
            <w:pPr>
              <w:pStyle w:val="TableParagraph"/>
              <w:spacing w:before="225"/>
              <w:ind w:left="107" w:right="48"/>
              <w:jc w:val="center"/>
              <w:rPr>
                <w:sz w:val="20"/>
              </w:rPr>
            </w:pPr>
            <w:r>
              <w:rPr>
                <w:spacing w:val="-10"/>
                <w:sz w:val="20"/>
              </w:rPr>
              <w:t>1</w:t>
            </w:r>
          </w:p>
          <w:p>
            <w:pPr>
              <w:pStyle w:val="TableParagraph"/>
              <w:spacing w:before="10"/>
              <w:ind w:left="103" w:right="48"/>
              <w:jc w:val="center"/>
              <w:rPr>
                <w:sz w:val="20"/>
              </w:rPr>
            </w:pPr>
            <w:r>
              <w:rPr>
                <w:spacing w:val="-5"/>
                <w:sz w:val="20"/>
              </w:rPr>
              <w:t>86</w:t>
            </w:r>
          </w:p>
          <w:p>
            <w:pPr>
              <w:pStyle w:val="TableParagraph"/>
              <w:spacing w:before="10"/>
              <w:ind w:left="103" w:right="48"/>
              <w:jc w:val="center"/>
              <w:rPr>
                <w:sz w:val="20"/>
              </w:rPr>
            </w:pPr>
            <w:r>
              <w:rPr>
                <w:spacing w:val="-5"/>
                <w:sz w:val="20"/>
              </w:rPr>
              <w:t>80</w:t>
            </w:r>
          </w:p>
          <w:p>
            <w:pPr>
              <w:pStyle w:val="TableParagraph"/>
              <w:spacing w:before="10"/>
              <w:ind w:left="107" w:right="48"/>
              <w:jc w:val="center"/>
              <w:rPr>
                <w:sz w:val="20"/>
              </w:rPr>
            </w:pPr>
            <w:r>
              <w:rPr>
                <w:spacing w:val="-10"/>
                <w:sz w:val="20"/>
              </w:rPr>
              <w:t>9</w:t>
            </w:r>
          </w:p>
        </w:tc>
        <w:tc>
          <w:tcPr>
            <w:tcW w:w="800" w:type="dxa"/>
            <w:tcBorders>
              <w:top w:val="single" w:sz="4" w:space="0" w:color="000000"/>
            </w:tcBorders>
          </w:tcPr>
          <w:p>
            <w:pPr>
              <w:pStyle w:val="TableParagraph"/>
              <w:spacing w:before="225"/>
              <w:ind w:left="210"/>
              <w:rPr>
                <w:sz w:val="20"/>
              </w:rPr>
            </w:pPr>
            <w:r>
              <w:rPr>
                <w:spacing w:val="-4"/>
                <w:sz w:val="20"/>
              </w:rPr>
              <w:t>50.0</w:t>
            </w:r>
          </w:p>
          <w:p>
            <w:pPr>
              <w:pStyle w:val="TableParagraph"/>
              <w:spacing w:before="10"/>
              <w:ind w:left="210"/>
              <w:rPr>
                <w:sz w:val="20"/>
              </w:rPr>
            </w:pPr>
            <w:r>
              <w:rPr>
                <w:spacing w:val="-4"/>
                <w:sz w:val="20"/>
              </w:rPr>
              <w:t>36.6</w:t>
            </w:r>
          </w:p>
          <w:p>
            <w:pPr>
              <w:pStyle w:val="TableParagraph"/>
              <w:spacing w:before="10"/>
              <w:ind w:left="210"/>
              <w:rPr>
                <w:sz w:val="20"/>
              </w:rPr>
            </w:pPr>
            <w:r>
              <w:rPr>
                <w:spacing w:val="-4"/>
                <w:sz w:val="20"/>
              </w:rPr>
              <w:t>39.4</w:t>
            </w:r>
          </w:p>
          <w:p>
            <w:pPr>
              <w:pStyle w:val="TableParagraph"/>
              <w:spacing w:before="10"/>
              <w:ind w:left="210"/>
              <w:rPr>
                <w:sz w:val="20"/>
              </w:rPr>
            </w:pPr>
            <w:r>
              <w:rPr>
                <w:spacing w:val="-4"/>
                <w:sz w:val="20"/>
              </w:rPr>
              <w:t>39.1</w:t>
            </w:r>
          </w:p>
        </w:tc>
        <w:tc>
          <w:tcPr>
            <w:tcW w:w="627" w:type="dxa"/>
            <w:tcBorders>
              <w:top w:val="single" w:sz="4" w:space="0" w:color="000000"/>
            </w:tcBorders>
          </w:tcPr>
          <w:p>
            <w:pPr>
              <w:pStyle w:val="TableParagraph"/>
              <w:spacing w:line="249" w:lineRule="auto" w:before="225"/>
              <w:ind w:left="202" w:right="199" w:hanging="2"/>
              <w:jc w:val="center"/>
              <w:rPr>
                <w:sz w:val="20"/>
              </w:rPr>
            </w:pPr>
            <w:r>
              <w:rPr>
                <w:spacing w:val="-10"/>
                <w:sz w:val="20"/>
              </w:rPr>
              <w:t>- </w:t>
            </w:r>
            <w:r>
              <w:rPr>
                <w:spacing w:val="-5"/>
                <w:sz w:val="20"/>
              </w:rPr>
              <w:t>31</w:t>
            </w:r>
          </w:p>
          <w:p>
            <w:pPr>
              <w:pStyle w:val="TableParagraph"/>
              <w:spacing w:before="1"/>
              <w:ind w:left="23" w:right="22"/>
              <w:jc w:val="center"/>
              <w:rPr>
                <w:sz w:val="20"/>
              </w:rPr>
            </w:pPr>
            <w:r>
              <w:rPr>
                <w:spacing w:val="-5"/>
                <w:sz w:val="20"/>
              </w:rPr>
              <w:t>21</w:t>
            </w:r>
          </w:p>
          <w:p>
            <w:pPr>
              <w:pStyle w:val="TableParagraph"/>
              <w:spacing w:before="10"/>
              <w:ind w:left="23" w:right="17"/>
              <w:jc w:val="center"/>
              <w:rPr>
                <w:sz w:val="20"/>
              </w:rPr>
            </w:pPr>
            <w:r>
              <w:rPr>
                <w:spacing w:val="-10"/>
                <w:sz w:val="20"/>
              </w:rPr>
              <w:t>3</w:t>
            </w:r>
          </w:p>
        </w:tc>
        <w:tc>
          <w:tcPr>
            <w:tcW w:w="771" w:type="dxa"/>
            <w:tcBorders>
              <w:top w:val="single" w:sz="4" w:space="0" w:color="000000"/>
            </w:tcBorders>
          </w:tcPr>
          <w:p>
            <w:pPr>
              <w:pStyle w:val="TableParagraph"/>
              <w:spacing w:line="249" w:lineRule="auto" w:before="225"/>
              <w:ind w:left="204" w:firstLine="158"/>
              <w:rPr>
                <w:sz w:val="20"/>
              </w:rPr>
            </w:pPr>
            <w:r>
              <w:rPr>
                <w:spacing w:val="-10"/>
                <w:sz w:val="20"/>
              </w:rPr>
              <w:t>- </w:t>
            </w:r>
            <w:r>
              <w:rPr>
                <w:spacing w:val="-4"/>
                <w:sz w:val="20"/>
              </w:rPr>
              <w:t>13.2</w:t>
            </w:r>
          </w:p>
          <w:p>
            <w:pPr>
              <w:pStyle w:val="TableParagraph"/>
              <w:spacing w:before="1"/>
              <w:ind w:left="204"/>
              <w:rPr>
                <w:sz w:val="20"/>
              </w:rPr>
            </w:pPr>
            <w:r>
              <w:rPr>
                <w:spacing w:val="-4"/>
                <w:sz w:val="20"/>
              </w:rPr>
              <w:t>10.3</w:t>
            </w:r>
          </w:p>
          <w:p>
            <w:pPr>
              <w:pStyle w:val="TableParagraph"/>
              <w:spacing w:before="10"/>
              <w:ind w:left="204"/>
              <w:rPr>
                <w:sz w:val="20"/>
              </w:rPr>
            </w:pPr>
            <w:r>
              <w:rPr>
                <w:spacing w:val="-4"/>
                <w:sz w:val="20"/>
              </w:rPr>
              <w:t>13.0</w:t>
            </w:r>
          </w:p>
        </w:tc>
        <w:tc>
          <w:tcPr>
            <w:tcW w:w="692" w:type="dxa"/>
            <w:tcBorders>
              <w:top w:val="single" w:sz="4" w:space="0" w:color="000000"/>
            </w:tcBorders>
          </w:tcPr>
          <w:p>
            <w:pPr>
              <w:pStyle w:val="TableParagraph"/>
              <w:spacing w:before="225"/>
              <w:ind w:left="23" w:right="17"/>
              <w:jc w:val="center"/>
              <w:rPr>
                <w:sz w:val="20"/>
              </w:rPr>
            </w:pPr>
            <w:r>
              <w:rPr>
                <w:spacing w:val="-10"/>
                <w:sz w:val="20"/>
              </w:rPr>
              <w:t>2</w:t>
            </w:r>
          </w:p>
          <w:p>
            <w:pPr>
              <w:pStyle w:val="TableParagraph"/>
              <w:spacing w:before="10"/>
              <w:ind w:left="23" w:right="24"/>
              <w:jc w:val="center"/>
              <w:rPr>
                <w:sz w:val="20"/>
              </w:rPr>
            </w:pPr>
            <w:r>
              <w:rPr>
                <w:spacing w:val="-5"/>
                <w:sz w:val="20"/>
              </w:rPr>
              <w:t>235</w:t>
            </w:r>
          </w:p>
          <w:p>
            <w:pPr>
              <w:pStyle w:val="TableParagraph"/>
              <w:spacing w:before="10"/>
              <w:ind w:left="23" w:right="24"/>
              <w:jc w:val="center"/>
              <w:rPr>
                <w:sz w:val="20"/>
              </w:rPr>
            </w:pPr>
            <w:r>
              <w:rPr>
                <w:spacing w:val="-5"/>
                <w:sz w:val="20"/>
              </w:rPr>
              <w:t>203</w:t>
            </w:r>
          </w:p>
          <w:p>
            <w:pPr>
              <w:pStyle w:val="TableParagraph"/>
              <w:spacing w:before="10"/>
              <w:ind w:left="23" w:right="22"/>
              <w:jc w:val="center"/>
              <w:rPr>
                <w:sz w:val="20"/>
              </w:rPr>
            </w:pPr>
            <w:r>
              <w:rPr>
                <w:spacing w:val="-5"/>
                <w:sz w:val="20"/>
              </w:rPr>
              <w:t>23</w:t>
            </w:r>
          </w:p>
        </w:tc>
        <w:tc>
          <w:tcPr>
            <w:tcW w:w="734" w:type="dxa"/>
            <w:tcBorders>
              <w:top w:val="single" w:sz="4" w:space="0" w:color="000000"/>
              <w:right w:val="single" w:sz="4" w:space="0" w:color="000000"/>
            </w:tcBorders>
          </w:tcPr>
          <w:p>
            <w:pPr>
              <w:pStyle w:val="TableParagraph"/>
              <w:spacing w:before="225"/>
              <w:ind w:left="234"/>
              <w:rPr>
                <w:sz w:val="20"/>
              </w:rPr>
            </w:pPr>
            <w:r>
              <w:rPr>
                <w:spacing w:val="-5"/>
                <w:sz w:val="20"/>
              </w:rPr>
              <w:t>0.4</w:t>
            </w:r>
          </w:p>
          <w:p>
            <w:pPr>
              <w:pStyle w:val="TableParagraph"/>
              <w:spacing w:before="10"/>
              <w:ind w:left="181"/>
              <w:rPr>
                <w:sz w:val="20"/>
              </w:rPr>
            </w:pPr>
            <w:r>
              <w:rPr>
                <w:spacing w:val="-4"/>
                <w:sz w:val="20"/>
              </w:rPr>
              <w:t>50.8</w:t>
            </w:r>
          </w:p>
          <w:p>
            <w:pPr>
              <w:pStyle w:val="TableParagraph"/>
              <w:spacing w:before="10"/>
              <w:ind w:left="181"/>
              <w:rPr>
                <w:sz w:val="20"/>
              </w:rPr>
            </w:pPr>
            <w:r>
              <w:rPr>
                <w:spacing w:val="-4"/>
                <w:sz w:val="20"/>
              </w:rPr>
              <w:t>43.8</w:t>
            </w:r>
          </w:p>
          <w:p>
            <w:pPr>
              <w:pStyle w:val="TableParagraph"/>
              <w:spacing w:before="10"/>
              <w:ind w:left="234"/>
              <w:rPr>
                <w:sz w:val="20"/>
              </w:rPr>
            </w:pPr>
            <w:r>
              <w:rPr>
                <w:spacing w:val="-5"/>
                <w:sz w:val="20"/>
              </w:rPr>
              <w:t>5.0</w:t>
            </w:r>
          </w:p>
        </w:tc>
      </w:tr>
      <w:tr>
        <w:trPr>
          <w:trHeight w:val="1233" w:hRule="atLeast"/>
        </w:trPr>
        <w:tc>
          <w:tcPr>
            <w:tcW w:w="3639" w:type="dxa"/>
            <w:gridSpan w:val="2"/>
            <w:tcBorders>
              <w:left w:val="single" w:sz="4" w:space="0" w:color="000000"/>
              <w:bottom w:val="single" w:sz="4" w:space="0" w:color="000000"/>
            </w:tcBorders>
          </w:tcPr>
          <w:p>
            <w:pPr>
              <w:pStyle w:val="TableParagraph"/>
              <w:tabs>
                <w:tab w:pos="830" w:val="left" w:leader="none"/>
              </w:tabs>
              <w:ind w:left="830" w:right="715" w:hanging="610"/>
              <w:rPr>
                <w:sz w:val="20"/>
              </w:rPr>
            </w:pPr>
            <w:r>
              <w:rPr>
                <w:spacing w:val="-4"/>
                <w:sz w:val="20"/>
              </w:rPr>
              <w:t>20.</w:t>
            </w:r>
            <w:r>
              <w:rPr>
                <w:sz w:val="20"/>
              </w:rPr>
              <w:tab/>
              <w:t>Bookshops,</w:t>
            </w:r>
            <w:r>
              <w:rPr>
                <w:spacing w:val="-14"/>
                <w:sz w:val="20"/>
              </w:rPr>
              <w:t> </w:t>
            </w:r>
            <w:r>
              <w:rPr>
                <w:sz w:val="20"/>
              </w:rPr>
              <w:t>Publicatio</w:t>
            </w:r>
            <w:r>
              <w:rPr>
                <w:sz w:val="20"/>
              </w:rPr>
              <w:t>n facilities, Photocopiers</w:t>
            </w:r>
          </w:p>
        </w:tc>
        <w:tc>
          <w:tcPr>
            <w:tcW w:w="1943" w:type="dxa"/>
            <w:tcBorders>
              <w:bottom w:val="single" w:sz="4" w:space="0" w:color="000000"/>
            </w:tcBorders>
          </w:tcPr>
          <w:p>
            <w:pPr>
              <w:pStyle w:val="TableParagraph"/>
              <w:spacing w:line="247" w:lineRule="auto"/>
              <w:ind w:left="253" w:right="269"/>
              <w:rPr>
                <w:sz w:val="20"/>
              </w:rPr>
            </w:pPr>
            <w:r>
              <w:rPr>
                <w:sz w:val="20"/>
              </w:rPr>
              <w:t>No.</w:t>
            </w:r>
            <w:r>
              <w:rPr>
                <w:spacing w:val="-14"/>
                <w:sz w:val="20"/>
              </w:rPr>
              <w:t> </w:t>
            </w:r>
            <w:r>
              <w:rPr>
                <w:sz w:val="20"/>
              </w:rPr>
              <w:t>of</w:t>
            </w:r>
            <w:r>
              <w:rPr>
                <w:spacing w:val="-14"/>
                <w:sz w:val="20"/>
              </w:rPr>
              <w:t> </w:t>
            </w:r>
            <w:r>
              <w:rPr>
                <w:sz w:val="20"/>
              </w:rPr>
              <w:t>missing </w:t>
            </w:r>
            <w:r>
              <w:rPr>
                <w:spacing w:val="-2"/>
                <w:sz w:val="20"/>
              </w:rPr>
              <w:t>observations Students </w:t>
            </w:r>
            <w:r>
              <w:rPr>
                <w:sz w:val="20"/>
              </w:rPr>
              <w:t>Service Staff</w:t>
            </w:r>
          </w:p>
          <w:p>
            <w:pPr>
              <w:pStyle w:val="TableParagraph"/>
              <w:ind w:left="253"/>
              <w:rPr>
                <w:sz w:val="20"/>
              </w:rPr>
            </w:pPr>
            <w:r>
              <w:rPr>
                <w:sz w:val="20"/>
              </w:rPr>
              <w:t>Top</w:t>
            </w:r>
            <w:r>
              <w:rPr>
                <w:spacing w:val="-1"/>
                <w:sz w:val="20"/>
              </w:rPr>
              <w:t> </w:t>
            </w:r>
            <w:r>
              <w:rPr>
                <w:spacing w:val="-2"/>
                <w:sz w:val="20"/>
              </w:rPr>
              <w:t>Management</w:t>
            </w:r>
          </w:p>
        </w:tc>
        <w:tc>
          <w:tcPr>
            <w:tcW w:w="529" w:type="dxa"/>
            <w:tcBorders>
              <w:bottom w:val="single" w:sz="4" w:space="0" w:color="000000"/>
            </w:tcBorders>
          </w:tcPr>
          <w:p>
            <w:pPr>
              <w:pStyle w:val="TableParagraph"/>
              <w:spacing w:line="249" w:lineRule="auto" w:before="225"/>
              <w:ind w:left="221" w:right="193" w:firstLine="2"/>
              <w:jc w:val="center"/>
              <w:rPr>
                <w:sz w:val="20"/>
              </w:rPr>
            </w:pPr>
            <w:r>
              <w:rPr>
                <w:spacing w:val="-10"/>
                <w:sz w:val="20"/>
              </w:rPr>
              <w:t>- 8</w:t>
            </w:r>
          </w:p>
          <w:p>
            <w:pPr>
              <w:pStyle w:val="TableParagraph"/>
              <w:spacing w:before="2"/>
              <w:ind w:left="30"/>
              <w:jc w:val="center"/>
              <w:rPr>
                <w:sz w:val="20"/>
              </w:rPr>
            </w:pPr>
            <w:r>
              <w:rPr>
                <w:spacing w:val="-5"/>
                <w:sz w:val="20"/>
              </w:rPr>
              <w:t>11</w:t>
            </w:r>
          </w:p>
          <w:p>
            <w:pPr>
              <w:pStyle w:val="TableParagraph"/>
              <w:spacing w:before="10"/>
              <w:ind w:left="30" w:right="2"/>
              <w:jc w:val="center"/>
              <w:rPr>
                <w:sz w:val="20"/>
              </w:rPr>
            </w:pPr>
            <w:r>
              <w:rPr>
                <w:spacing w:val="-10"/>
                <w:sz w:val="20"/>
              </w:rPr>
              <w:t>-</w:t>
            </w:r>
          </w:p>
        </w:tc>
        <w:tc>
          <w:tcPr>
            <w:tcW w:w="569" w:type="dxa"/>
            <w:tcBorders>
              <w:bottom w:val="single" w:sz="4" w:space="0" w:color="000000"/>
            </w:tcBorders>
          </w:tcPr>
          <w:p>
            <w:pPr>
              <w:pStyle w:val="TableParagraph"/>
              <w:spacing w:before="225"/>
              <w:ind w:left="7" w:right="2"/>
              <w:jc w:val="center"/>
              <w:rPr>
                <w:sz w:val="20"/>
              </w:rPr>
            </w:pPr>
            <w:r>
              <w:rPr>
                <w:spacing w:val="-10"/>
                <w:sz w:val="20"/>
              </w:rPr>
              <w:t>-</w:t>
            </w:r>
          </w:p>
          <w:p>
            <w:pPr>
              <w:pStyle w:val="TableParagraph"/>
              <w:spacing w:before="10"/>
              <w:ind w:left="7"/>
              <w:jc w:val="center"/>
              <w:rPr>
                <w:sz w:val="20"/>
              </w:rPr>
            </w:pPr>
            <w:r>
              <w:rPr>
                <w:spacing w:val="-5"/>
                <w:sz w:val="20"/>
              </w:rPr>
              <w:t>3.4</w:t>
            </w:r>
          </w:p>
          <w:p>
            <w:pPr>
              <w:pStyle w:val="TableParagraph"/>
              <w:spacing w:before="10"/>
              <w:ind w:left="7"/>
              <w:jc w:val="center"/>
              <w:rPr>
                <w:sz w:val="20"/>
              </w:rPr>
            </w:pPr>
            <w:r>
              <w:rPr>
                <w:spacing w:val="-5"/>
                <w:sz w:val="20"/>
              </w:rPr>
              <w:t>5.4</w:t>
            </w:r>
          </w:p>
          <w:p>
            <w:pPr>
              <w:pStyle w:val="TableParagraph"/>
              <w:spacing w:before="10"/>
              <w:ind w:left="7" w:right="2"/>
              <w:jc w:val="center"/>
              <w:rPr>
                <w:sz w:val="20"/>
              </w:rPr>
            </w:pPr>
            <w:r>
              <w:rPr>
                <w:spacing w:val="-10"/>
                <w:sz w:val="20"/>
              </w:rPr>
              <w:t>-</w:t>
            </w:r>
          </w:p>
        </w:tc>
        <w:tc>
          <w:tcPr>
            <w:tcW w:w="559" w:type="dxa"/>
            <w:tcBorders>
              <w:bottom w:val="single" w:sz="4" w:space="0" w:color="000000"/>
            </w:tcBorders>
          </w:tcPr>
          <w:p>
            <w:pPr>
              <w:pStyle w:val="TableParagraph"/>
              <w:spacing w:line="249" w:lineRule="auto" w:before="225"/>
              <w:ind w:left="150" w:right="183" w:hanging="2"/>
              <w:jc w:val="center"/>
              <w:rPr>
                <w:sz w:val="20"/>
              </w:rPr>
            </w:pPr>
            <w:r>
              <w:rPr>
                <w:spacing w:val="-10"/>
                <w:sz w:val="20"/>
              </w:rPr>
              <w:t>- </w:t>
            </w:r>
            <w:r>
              <w:rPr>
                <w:spacing w:val="-6"/>
                <w:sz w:val="20"/>
              </w:rPr>
              <w:t>13</w:t>
            </w:r>
          </w:p>
          <w:p>
            <w:pPr>
              <w:pStyle w:val="TableParagraph"/>
              <w:spacing w:before="2"/>
              <w:ind w:right="38"/>
              <w:jc w:val="center"/>
              <w:rPr>
                <w:sz w:val="20"/>
              </w:rPr>
            </w:pPr>
            <w:r>
              <w:rPr>
                <w:spacing w:val="-10"/>
                <w:sz w:val="20"/>
              </w:rPr>
              <w:t>3</w:t>
            </w:r>
          </w:p>
          <w:p>
            <w:pPr>
              <w:pStyle w:val="TableParagraph"/>
              <w:spacing w:before="10"/>
              <w:ind w:right="38"/>
              <w:jc w:val="center"/>
              <w:rPr>
                <w:sz w:val="20"/>
              </w:rPr>
            </w:pPr>
            <w:r>
              <w:rPr>
                <w:spacing w:val="-10"/>
                <w:sz w:val="20"/>
              </w:rPr>
              <w:t>1</w:t>
            </w:r>
          </w:p>
        </w:tc>
        <w:tc>
          <w:tcPr>
            <w:tcW w:w="677" w:type="dxa"/>
            <w:tcBorders>
              <w:bottom w:val="single" w:sz="4" w:space="0" w:color="000000"/>
            </w:tcBorders>
          </w:tcPr>
          <w:p>
            <w:pPr>
              <w:pStyle w:val="TableParagraph"/>
              <w:spacing w:before="225"/>
              <w:ind w:left="62" w:right="66"/>
              <w:jc w:val="center"/>
              <w:rPr>
                <w:sz w:val="20"/>
              </w:rPr>
            </w:pPr>
            <w:r>
              <w:rPr>
                <w:spacing w:val="-10"/>
                <w:sz w:val="20"/>
              </w:rPr>
              <w:t>-</w:t>
            </w:r>
          </w:p>
          <w:p>
            <w:pPr>
              <w:pStyle w:val="TableParagraph"/>
              <w:spacing w:before="10"/>
              <w:ind w:left="62" w:right="64"/>
              <w:jc w:val="center"/>
              <w:rPr>
                <w:sz w:val="20"/>
              </w:rPr>
            </w:pPr>
            <w:r>
              <w:rPr>
                <w:spacing w:val="-5"/>
                <w:sz w:val="20"/>
              </w:rPr>
              <w:t>5.5</w:t>
            </w:r>
          </w:p>
          <w:p>
            <w:pPr>
              <w:pStyle w:val="TableParagraph"/>
              <w:spacing w:before="10"/>
              <w:ind w:left="62" w:right="64"/>
              <w:jc w:val="center"/>
              <w:rPr>
                <w:sz w:val="20"/>
              </w:rPr>
            </w:pPr>
            <w:r>
              <w:rPr>
                <w:spacing w:val="-5"/>
                <w:sz w:val="20"/>
              </w:rPr>
              <w:t>1.5</w:t>
            </w:r>
          </w:p>
          <w:p>
            <w:pPr>
              <w:pStyle w:val="TableParagraph"/>
              <w:spacing w:before="10"/>
              <w:ind w:left="62" w:right="64"/>
              <w:jc w:val="center"/>
              <w:rPr>
                <w:sz w:val="20"/>
              </w:rPr>
            </w:pPr>
            <w:r>
              <w:rPr>
                <w:spacing w:val="-5"/>
                <w:sz w:val="20"/>
              </w:rPr>
              <w:t>4.5</w:t>
            </w:r>
          </w:p>
        </w:tc>
        <w:tc>
          <w:tcPr>
            <w:tcW w:w="771" w:type="dxa"/>
            <w:tcBorders>
              <w:bottom w:val="single" w:sz="4" w:space="0" w:color="000000"/>
            </w:tcBorders>
          </w:tcPr>
          <w:p>
            <w:pPr>
              <w:pStyle w:val="TableParagraph"/>
              <w:spacing w:before="225"/>
              <w:ind w:left="45" w:right="50"/>
              <w:jc w:val="center"/>
              <w:rPr>
                <w:sz w:val="20"/>
              </w:rPr>
            </w:pPr>
            <w:r>
              <w:rPr>
                <w:spacing w:val="-10"/>
                <w:sz w:val="20"/>
              </w:rPr>
              <w:t>1</w:t>
            </w:r>
          </w:p>
          <w:p>
            <w:pPr>
              <w:pStyle w:val="TableParagraph"/>
              <w:spacing w:before="10"/>
              <w:ind w:left="45" w:right="55"/>
              <w:jc w:val="center"/>
              <w:rPr>
                <w:sz w:val="20"/>
              </w:rPr>
            </w:pPr>
            <w:r>
              <w:rPr>
                <w:spacing w:val="-5"/>
                <w:sz w:val="20"/>
              </w:rPr>
              <w:t>83</w:t>
            </w:r>
          </w:p>
          <w:p>
            <w:pPr>
              <w:pStyle w:val="TableParagraph"/>
              <w:spacing w:before="10"/>
              <w:ind w:left="45" w:right="55"/>
              <w:jc w:val="center"/>
              <w:rPr>
                <w:sz w:val="20"/>
              </w:rPr>
            </w:pPr>
            <w:r>
              <w:rPr>
                <w:spacing w:val="-5"/>
                <w:sz w:val="20"/>
              </w:rPr>
              <w:t>86</w:t>
            </w:r>
          </w:p>
          <w:p>
            <w:pPr>
              <w:pStyle w:val="TableParagraph"/>
              <w:spacing w:before="10"/>
              <w:ind w:left="45" w:right="55"/>
              <w:jc w:val="center"/>
              <w:rPr>
                <w:sz w:val="20"/>
              </w:rPr>
            </w:pPr>
            <w:r>
              <w:rPr>
                <w:spacing w:val="-5"/>
                <w:sz w:val="20"/>
              </w:rPr>
              <w:t>10</w:t>
            </w:r>
          </w:p>
        </w:tc>
        <w:tc>
          <w:tcPr>
            <w:tcW w:w="879" w:type="dxa"/>
            <w:tcBorders>
              <w:bottom w:val="single" w:sz="4" w:space="0" w:color="000000"/>
            </w:tcBorders>
          </w:tcPr>
          <w:p>
            <w:pPr>
              <w:pStyle w:val="TableParagraph"/>
              <w:spacing w:before="225"/>
              <w:ind w:left="236"/>
              <w:rPr>
                <w:sz w:val="20"/>
              </w:rPr>
            </w:pPr>
            <w:r>
              <w:rPr>
                <w:spacing w:val="-4"/>
                <w:sz w:val="20"/>
              </w:rPr>
              <w:t>50.0</w:t>
            </w:r>
          </w:p>
          <w:p>
            <w:pPr>
              <w:pStyle w:val="TableParagraph"/>
              <w:spacing w:before="10"/>
              <w:ind w:left="236"/>
              <w:rPr>
                <w:sz w:val="20"/>
              </w:rPr>
            </w:pPr>
            <w:r>
              <w:rPr>
                <w:spacing w:val="-4"/>
                <w:sz w:val="20"/>
              </w:rPr>
              <w:t>35.3</w:t>
            </w:r>
          </w:p>
          <w:p>
            <w:pPr>
              <w:pStyle w:val="TableParagraph"/>
              <w:spacing w:before="10"/>
              <w:ind w:left="236"/>
              <w:rPr>
                <w:sz w:val="20"/>
              </w:rPr>
            </w:pPr>
            <w:r>
              <w:rPr>
                <w:spacing w:val="-4"/>
                <w:sz w:val="20"/>
              </w:rPr>
              <w:t>42.4</w:t>
            </w:r>
          </w:p>
          <w:p>
            <w:pPr>
              <w:pStyle w:val="TableParagraph"/>
              <w:spacing w:before="10"/>
              <w:ind w:left="236"/>
              <w:rPr>
                <w:sz w:val="20"/>
              </w:rPr>
            </w:pPr>
            <w:r>
              <w:rPr>
                <w:spacing w:val="-4"/>
                <w:sz w:val="20"/>
              </w:rPr>
              <w:t>43.5</w:t>
            </w:r>
          </w:p>
        </w:tc>
        <w:tc>
          <w:tcPr>
            <w:tcW w:w="687" w:type="dxa"/>
            <w:tcBorders>
              <w:bottom w:val="single" w:sz="4" w:space="0" w:color="000000"/>
            </w:tcBorders>
          </w:tcPr>
          <w:p>
            <w:pPr>
              <w:pStyle w:val="TableParagraph"/>
              <w:spacing w:before="225"/>
              <w:ind w:left="107" w:right="48"/>
              <w:jc w:val="center"/>
              <w:rPr>
                <w:sz w:val="20"/>
              </w:rPr>
            </w:pPr>
            <w:r>
              <w:rPr>
                <w:spacing w:val="-10"/>
                <w:sz w:val="20"/>
              </w:rPr>
              <w:t>1</w:t>
            </w:r>
          </w:p>
          <w:p>
            <w:pPr>
              <w:pStyle w:val="TableParagraph"/>
              <w:spacing w:before="10"/>
              <w:ind w:left="103" w:right="48"/>
              <w:jc w:val="center"/>
              <w:rPr>
                <w:sz w:val="20"/>
              </w:rPr>
            </w:pPr>
            <w:r>
              <w:rPr>
                <w:spacing w:val="-5"/>
                <w:sz w:val="20"/>
              </w:rPr>
              <w:t>92</w:t>
            </w:r>
          </w:p>
          <w:p>
            <w:pPr>
              <w:pStyle w:val="TableParagraph"/>
              <w:spacing w:before="10"/>
              <w:ind w:left="103" w:right="48"/>
              <w:jc w:val="center"/>
              <w:rPr>
                <w:sz w:val="20"/>
              </w:rPr>
            </w:pPr>
            <w:r>
              <w:rPr>
                <w:spacing w:val="-5"/>
                <w:sz w:val="20"/>
              </w:rPr>
              <w:t>76</w:t>
            </w:r>
          </w:p>
          <w:p>
            <w:pPr>
              <w:pStyle w:val="TableParagraph"/>
              <w:spacing w:before="10"/>
              <w:ind w:left="107" w:right="48"/>
              <w:jc w:val="center"/>
              <w:rPr>
                <w:sz w:val="20"/>
              </w:rPr>
            </w:pPr>
            <w:r>
              <w:rPr>
                <w:spacing w:val="-10"/>
                <w:sz w:val="20"/>
              </w:rPr>
              <w:t>8</w:t>
            </w:r>
          </w:p>
        </w:tc>
        <w:tc>
          <w:tcPr>
            <w:tcW w:w="800" w:type="dxa"/>
            <w:tcBorders>
              <w:bottom w:val="single" w:sz="4" w:space="0" w:color="000000"/>
            </w:tcBorders>
          </w:tcPr>
          <w:p>
            <w:pPr>
              <w:pStyle w:val="TableParagraph"/>
              <w:spacing w:before="225"/>
              <w:ind w:left="210"/>
              <w:rPr>
                <w:sz w:val="20"/>
              </w:rPr>
            </w:pPr>
            <w:r>
              <w:rPr>
                <w:spacing w:val="-4"/>
                <w:sz w:val="20"/>
              </w:rPr>
              <w:t>50.0</w:t>
            </w:r>
          </w:p>
          <w:p>
            <w:pPr>
              <w:pStyle w:val="TableParagraph"/>
              <w:spacing w:before="10"/>
              <w:ind w:left="210"/>
              <w:rPr>
                <w:sz w:val="20"/>
              </w:rPr>
            </w:pPr>
            <w:r>
              <w:rPr>
                <w:spacing w:val="-4"/>
                <w:sz w:val="20"/>
              </w:rPr>
              <w:t>39.1</w:t>
            </w:r>
          </w:p>
          <w:p>
            <w:pPr>
              <w:pStyle w:val="TableParagraph"/>
              <w:spacing w:before="10"/>
              <w:ind w:left="210"/>
              <w:rPr>
                <w:sz w:val="20"/>
              </w:rPr>
            </w:pPr>
            <w:r>
              <w:rPr>
                <w:spacing w:val="-4"/>
                <w:sz w:val="20"/>
              </w:rPr>
              <w:t>37.4</w:t>
            </w:r>
          </w:p>
          <w:p>
            <w:pPr>
              <w:pStyle w:val="TableParagraph"/>
              <w:spacing w:before="10"/>
              <w:ind w:left="210"/>
              <w:rPr>
                <w:sz w:val="20"/>
              </w:rPr>
            </w:pPr>
            <w:r>
              <w:rPr>
                <w:spacing w:val="-4"/>
                <w:sz w:val="20"/>
              </w:rPr>
              <w:t>34.8</w:t>
            </w:r>
          </w:p>
        </w:tc>
        <w:tc>
          <w:tcPr>
            <w:tcW w:w="627" w:type="dxa"/>
            <w:tcBorders>
              <w:bottom w:val="single" w:sz="4" w:space="0" w:color="000000"/>
            </w:tcBorders>
          </w:tcPr>
          <w:p>
            <w:pPr>
              <w:pStyle w:val="TableParagraph"/>
              <w:spacing w:line="249" w:lineRule="auto" w:before="225"/>
              <w:ind w:left="202" w:right="199" w:hanging="2"/>
              <w:jc w:val="center"/>
              <w:rPr>
                <w:sz w:val="20"/>
              </w:rPr>
            </w:pPr>
            <w:r>
              <w:rPr>
                <w:spacing w:val="-10"/>
                <w:sz w:val="20"/>
              </w:rPr>
              <w:t>- </w:t>
            </w:r>
            <w:r>
              <w:rPr>
                <w:spacing w:val="-5"/>
                <w:sz w:val="20"/>
              </w:rPr>
              <w:t>39</w:t>
            </w:r>
          </w:p>
          <w:p>
            <w:pPr>
              <w:pStyle w:val="TableParagraph"/>
              <w:spacing w:before="2"/>
              <w:ind w:left="23" w:right="22"/>
              <w:jc w:val="center"/>
              <w:rPr>
                <w:sz w:val="20"/>
              </w:rPr>
            </w:pPr>
            <w:r>
              <w:rPr>
                <w:spacing w:val="-5"/>
                <w:sz w:val="20"/>
              </w:rPr>
              <w:t>27</w:t>
            </w:r>
          </w:p>
          <w:p>
            <w:pPr>
              <w:pStyle w:val="TableParagraph"/>
              <w:spacing w:before="10"/>
              <w:ind w:left="23" w:right="17"/>
              <w:jc w:val="center"/>
              <w:rPr>
                <w:sz w:val="20"/>
              </w:rPr>
            </w:pPr>
            <w:r>
              <w:rPr>
                <w:spacing w:val="-10"/>
                <w:sz w:val="20"/>
              </w:rPr>
              <w:t>4</w:t>
            </w:r>
          </w:p>
        </w:tc>
        <w:tc>
          <w:tcPr>
            <w:tcW w:w="771" w:type="dxa"/>
            <w:tcBorders>
              <w:bottom w:val="single" w:sz="4" w:space="0" w:color="000000"/>
            </w:tcBorders>
          </w:tcPr>
          <w:p>
            <w:pPr>
              <w:pStyle w:val="TableParagraph"/>
              <w:spacing w:line="249" w:lineRule="auto" w:before="225"/>
              <w:ind w:left="204" w:firstLine="158"/>
              <w:rPr>
                <w:sz w:val="20"/>
              </w:rPr>
            </w:pPr>
            <w:r>
              <w:rPr>
                <w:spacing w:val="-10"/>
                <w:sz w:val="20"/>
              </w:rPr>
              <w:t>- </w:t>
            </w:r>
            <w:r>
              <w:rPr>
                <w:spacing w:val="-4"/>
                <w:sz w:val="20"/>
              </w:rPr>
              <w:t>16.6</w:t>
            </w:r>
          </w:p>
          <w:p>
            <w:pPr>
              <w:pStyle w:val="TableParagraph"/>
              <w:spacing w:before="2"/>
              <w:ind w:left="204"/>
              <w:rPr>
                <w:sz w:val="20"/>
              </w:rPr>
            </w:pPr>
            <w:r>
              <w:rPr>
                <w:spacing w:val="-4"/>
                <w:sz w:val="20"/>
              </w:rPr>
              <w:t>13.3</w:t>
            </w:r>
          </w:p>
          <w:p>
            <w:pPr>
              <w:pStyle w:val="TableParagraph"/>
              <w:spacing w:before="10"/>
              <w:ind w:left="204"/>
              <w:rPr>
                <w:sz w:val="20"/>
              </w:rPr>
            </w:pPr>
            <w:r>
              <w:rPr>
                <w:spacing w:val="-4"/>
                <w:sz w:val="20"/>
              </w:rPr>
              <w:t>17.4</w:t>
            </w:r>
          </w:p>
        </w:tc>
        <w:tc>
          <w:tcPr>
            <w:tcW w:w="692" w:type="dxa"/>
            <w:tcBorders>
              <w:bottom w:val="single" w:sz="4" w:space="0" w:color="000000"/>
            </w:tcBorders>
          </w:tcPr>
          <w:p>
            <w:pPr>
              <w:pStyle w:val="TableParagraph"/>
              <w:spacing w:before="225"/>
              <w:ind w:left="23" w:right="17"/>
              <w:jc w:val="center"/>
              <w:rPr>
                <w:sz w:val="20"/>
              </w:rPr>
            </w:pPr>
            <w:r>
              <w:rPr>
                <w:spacing w:val="-10"/>
                <w:sz w:val="20"/>
              </w:rPr>
              <w:t>2</w:t>
            </w:r>
          </w:p>
          <w:p>
            <w:pPr>
              <w:pStyle w:val="TableParagraph"/>
              <w:spacing w:before="10"/>
              <w:ind w:left="23" w:right="24"/>
              <w:jc w:val="center"/>
              <w:rPr>
                <w:sz w:val="20"/>
              </w:rPr>
            </w:pPr>
            <w:r>
              <w:rPr>
                <w:spacing w:val="-5"/>
                <w:sz w:val="20"/>
              </w:rPr>
              <w:t>235</w:t>
            </w:r>
          </w:p>
          <w:p>
            <w:pPr>
              <w:pStyle w:val="TableParagraph"/>
              <w:spacing w:before="10"/>
              <w:ind w:left="23" w:right="24"/>
              <w:jc w:val="center"/>
              <w:rPr>
                <w:sz w:val="20"/>
              </w:rPr>
            </w:pPr>
            <w:r>
              <w:rPr>
                <w:spacing w:val="-5"/>
                <w:sz w:val="20"/>
              </w:rPr>
              <w:t>203</w:t>
            </w:r>
          </w:p>
          <w:p>
            <w:pPr>
              <w:pStyle w:val="TableParagraph"/>
              <w:spacing w:before="10"/>
              <w:ind w:left="23" w:right="22"/>
              <w:jc w:val="center"/>
              <w:rPr>
                <w:sz w:val="20"/>
              </w:rPr>
            </w:pPr>
            <w:r>
              <w:rPr>
                <w:spacing w:val="-5"/>
                <w:sz w:val="20"/>
              </w:rPr>
              <w:t>23</w:t>
            </w:r>
          </w:p>
        </w:tc>
        <w:tc>
          <w:tcPr>
            <w:tcW w:w="734" w:type="dxa"/>
            <w:tcBorders>
              <w:bottom w:val="single" w:sz="4" w:space="0" w:color="000000"/>
              <w:right w:val="single" w:sz="4" w:space="0" w:color="000000"/>
            </w:tcBorders>
          </w:tcPr>
          <w:p>
            <w:pPr>
              <w:pStyle w:val="TableParagraph"/>
              <w:spacing w:before="225"/>
              <w:ind w:left="234"/>
              <w:rPr>
                <w:sz w:val="20"/>
              </w:rPr>
            </w:pPr>
            <w:r>
              <w:rPr>
                <w:spacing w:val="-5"/>
                <w:sz w:val="20"/>
              </w:rPr>
              <w:t>0.4</w:t>
            </w:r>
          </w:p>
          <w:p>
            <w:pPr>
              <w:pStyle w:val="TableParagraph"/>
              <w:spacing w:before="10"/>
              <w:ind w:left="181"/>
              <w:rPr>
                <w:sz w:val="20"/>
              </w:rPr>
            </w:pPr>
            <w:r>
              <w:rPr>
                <w:spacing w:val="-4"/>
                <w:sz w:val="20"/>
              </w:rPr>
              <w:t>50.8</w:t>
            </w:r>
          </w:p>
          <w:p>
            <w:pPr>
              <w:pStyle w:val="TableParagraph"/>
              <w:spacing w:before="10"/>
              <w:ind w:left="181"/>
              <w:rPr>
                <w:sz w:val="20"/>
              </w:rPr>
            </w:pPr>
            <w:r>
              <w:rPr>
                <w:spacing w:val="-4"/>
                <w:sz w:val="20"/>
              </w:rPr>
              <w:t>43.8</w:t>
            </w:r>
          </w:p>
          <w:p>
            <w:pPr>
              <w:pStyle w:val="TableParagraph"/>
              <w:spacing w:before="10"/>
              <w:ind w:left="234"/>
              <w:rPr>
                <w:sz w:val="20"/>
              </w:rPr>
            </w:pPr>
            <w:r>
              <w:rPr>
                <w:spacing w:val="-5"/>
                <w:sz w:val="20"/>
              </w:rPr>
              <w:t>5.0</w:t>
            </w:r>
          </w:p>
        </w:tc>
      </w:tr>
    </w:tbl>
    <w:p>
      <w:pPr>
        <w:spacing w:after="0"/>
        <w:rPr>
          <w:sz w:val="20"/>
        </w:rPr>
        <w:sectPr>
          <w:headerReference w:type="default" r:id="rId279"/>
          <w:footerReference w:type="default" r:id="rId280"/>
          <w:pgSz w:w="15840" w:h="12240" w:orient="landscape"/>
          <w:pgMar w:header="722" w:footer="791" w:top="1340" w:bottom="980" w:left="780" w:right="960"/>
        </w:sectPr>
      </w:pPr>
    </w:p>
    <w:p>
      <w:pPr>
        <w:pStyle w:val="BodyText"/>
        <w:spacing w:line="480" w:lineRule="auto" w:before="82"/>
        <w:ind w:left="820" w:right="114" w:firstLine="720"/>
        <w:jc w:val="both"/>
      </w:pPr>
      <w:r>
        <w:rPr/>
        <w:t>From the opinion of the three groups of respondents on item 13, it could</w:t>
      </w:r>
      <w:r>
        <w:rPr>
          <w:spacing w:val="40"/>
        </w:rPr>
        <w:t> </w:t>
      </w:r>
      <w:r>
        <w:rPr/>
        <w:t>be concluded that classrooms or lecture hall accommodation as an important segment of academic welfare service for students were adequately provided by the universities</w:t>
      </w:r>
      <w:r>
        <w:rPr>
          <w:spacing w:val="-6"/>
        </w:rPr>
        <w:t> </w:t>
      </w:r>
      <w:r>
        <w:rPr/>
        <w:t>in the three geopolitical zones</w:t>
      </w:r>
      <w:r>
        <w:rPr>
          <w:spacing w:val="-6"/>
        </w:rPr>
        <w:t> </w:t>
      </w:r>
      <w:r>
        <w:rPr/>
        <w:t>in Northern part</w:t>
      </w:r>
      <w:r>
        <w:rPr>
          <w:spacing w:val="-1"/>
        </w:rPr>
        <w:t> </w:t>
      </w:r>
      <w:r>
        <w:rPr/>
        <w:t>of</w:t>
      </w:r>
      <w:r>
        <w:rPr>
          <w:spacing w:val="-1"/>
        </w:rPr>
        <w:t> </w:t>
      </w:r>
      <w:r>
        <w:rPr/>
        <w:t>Nigeria unlike</w:t>
      </w:r>
      <w:r>
        <w:rPr>
          <w:spacing w:val="-4"/>
        </w:rPr>
        <w:t> </w:t>
      </w:r>
      <w:r>
        <w:rPr/>
        <w:t>in the 1980</w:t>
      </w:r>
      <w:r>
        <w:rPr>
          <w:vertAlign w:val="superscript"/>
        </w:rPr>
        <w:t>s</w:t>
      </w:r>
      <w:r>
        <w:rPr>
          <w:vertAlign w:val="baseline"/>
        </w:rPr>
        <w:t> when there was a general outcry and glaring experiences of inadequacy of the facilities. This positive conclusion was drawn by the general consensus of 67.7 percent of students, 57.7 percent of service staff and 52.2 percent of top management staff. However, 23.8 percent of students, 27.6 percent</w:t>
      </w:r>
      <w:r>
        <w:rPr>
          <w:spacing w:val="-2"/>
          <w:vertAlign w:val="baseline"/>
        </w:rPr>
        <w:t> </w:t>
      </w:r>
      <w:r>
        <w:rPr>
          <w:vertAlign w:val="baseline"/>
        </w:rPr>
        <w:t>of</w:t>
      </w:r>
      <w:r>
        <w:rPr>
          <w:spacing w:val="-2"/>
          <w:vertAlign w:val="baseline"/>
        </w:rPr>
        <w:t> </w:t>
      </w:r>
      <w:r>
        <w:rPr>
          <w:vertAlign w:val="baseline"/>
        </w:rPr>
        <w:t>service</w:t>
      </w:r>
      <w:r>
        <w:rPr>
          <w:spacing w:val="-1"/>
          <w:vertAlign w:val="baseline"/>
        </w:rPr>
        <w:t> </w:t>
      </w:r>
      <w:r>
        <w:rPr>
          <w:vertAlign w:val="baseline"/>
        </w:rPr>
        <w:t>staff</w:t>
      </w:r>
      <w:r>
        <w:rPr>
          <w:spacing w:val="-2"/>
          <w:vertAlign w:val="baseline"/>
        </w:rPr>
        <w:t> </w:t>
      </w:r>
      <w:r>
        <w:rPr>
          <w:vertAlign w:val="baseline"/>
        </w:rPr>
        <w:t>and</w:t>
      </w:r>
      <w:r>
        <w:rPr>
          <w:spacing w:val="-1"/>
          <w:vertAlign w:val="baseline"/>
        </w:rPr>
        <w:t> </w:t>
      </w:r>
      <w:r>
        <w:rPr>
          <w:vertAlign w:val="baseline"/>
        </w:rPr>
        <w:t>34.8</w:t>
      </w:r>
      <w:r>
        <w:rPr>
          <w:spacing w:val="-1"/>
          <w:vertAlign w:val="baseline"/>
        </w:rPr>
        <w:t> </w:t>
      </w:r>
      <w:r>
        <w:rPr>
          <w:vertAlign w:val="baseline"/>
        </w:rPr>
        <w:t>percent</w:t>
      </w:r>
      <w:r>
        <w:rPr>
          <w:spacing w:val="-2"/>
          <w:vertAlign w:val="baseline"/>
        </w:rPr>
        <w:t> </w:t>
      </w:r>
      <w:r>
        <w:rPr>
          <w:vertAlign w:val="baseline"/>
        </w:rPr>
        <w:t>of</w:t>
      </w:r>
      <w:r>
        <w:rPr>
          <w:spacing w:val="-2"/>
          <w:vertAlign w:val="baseline"/>
        </w:rPr>
        <w:t> </w:t>
      </w:r>
      <w:r>
        <w:rPr>
          <w:vertAlign w:val="baseline"/>
        </w:rPr>
        <w:t>the</w:t>
      </w:r>
      <w:r>
        <w:rPr>
          <w:spacing w:val="-1"/>
          <w:vertAlign w:val="baseline"/>
        </w:rPr>
        <w:t> </w:t>
      </w:r>
      <w:r>
        <w:rPr>
          <w:vertAlign w:val="baseline"/>
        </w:rPr>
        <w:t>top management</w:t>
      </w:r>
      <w:r>
        <w:rPr>
          <w:spacing w:val="-2"/>
          <w:vertAlign w:val="baseline"/>
        </w:rPr>
        <w:t> </w:t>
      </w:r>
      <w:r>
        <w:rPr>
          <w:vertAlign w:val="baseline"/>
        </w:rPr>
        <w:t>staff</w:t>
      </w:r>
      <w:r>
        <w:rPr>
          <w:spacing w:val="-2"/>
          <w:vertAlign w:val="baseline"/>
        </w:rPr>
        <w:t> </w:t>
      </w:r>
      <w:r>
        <w:rPr>
          <w:vertAlign w:val="baseline"/>
        </w:rPr>
        <w:t>which were very negligible refused to share the popular view. They claimed that the facilities were not adequately provided. It was also evident that 8.1 percent, 10.8 percent and 8.7 percent of students, service staff and management staff, respectively claimed ignorance of the availability of the facilities in the system.</w:t>
      </w:r>
    </w:p>
    <w:p>
      <w:pPr>
        <w:pStyle w:val="BodyText"/>
        <w:spacing w:line="480" w:lineRule="auto"/>
        <w:ind w:left="820" w:right="116" w:firstLine="720"/>
        <w:jc w:val="both"/>
      </w:pPr>
      <w:r>
        <w:rPr/>
        <w:t>Item 14 which sought to explore whether or not library facilities were available and provided in the Universities, 44.7 percent of students and 47.8 percent of top management staff expressed positive consensus while majority of service staff group with 40.4 percent had divergent opinion. On the other hand the opinions of 14.0 percent of students, 18.2 percent of service staff and 17.4 percent of top management staff showed that library facilities were absent from the campuses. One wonders as to whether or not the respondents in this group were conversant with the location of the facilities which was presumed to be one of the most essential aspects of the academic activities.</w:t>
      </w:r>
    </w:p>
    <w:p>
      <w:pPr>
        <w:pStyle w:val="BodyText"/>
        <w:spacing w:line="480" w:lineRule="auto" w:before="1"/>
        <w:ind w:left="820" w:right="119" w:firstLine="720"/>
        <w:jc w:val="both"/>
      </w:pPr>
      <w:r>
        <w:rPr/>
        <w:t>From</w:t>
      </w:r>
      <w:r>
        <w:rPr>
          <w:spacing w:val="-4"/>
        </w:rPr>
        <w:t> </w:t>
      </w:r>
      <w:r>
        <w:rPr/>
        <w:t>the submissions of the three groups</w:t>
      </w:r>
      <w:r>
        <w:rPr>
          <w:spacing w:val="-1"/>
        </w:rPr>
        <w:t> </w:t>
      </w:r>
      <w:r>
        <w:rPr/>
        <w:t>of respondents</w:t>
      </w:r>
      <w:r>
        <w:rPr>
          <w:spacing w:val="-1"/>
        </w:rPr>
        <w:t> </w:t>
      </w:r>
      <w:r>
        <w:rPr/>
        <w:t>on item</w:t>
      </w:r>
      <w:r>
        <w:rPr>
          <w:spacing w:val="-4"/>
        </w:rPr>
        <w:t> </w:t>
      </w:r>
      <w:r>
        <w:rPr/>
        <w:t>15 as to whether</w:t>
      </w:r>
      <w:r>
        <w:rPr>
          <w:spacing w:val="67"/>
        </w:rPr>
        <w:t> </w:t>
      </w:r>
      <w:r>
        <w:rPr/>
        <w:t>or</w:t>
      </w:r>
      <w:r>
        <w:rPr>
          <w:spacing w:val="68"/>
        </w:rPr>
        <w:t> </w:t>
      </w:r>
      <w:r>
        <w:rPr/>
        <w:t>not</w:t>
      </w:r>
      <w:r>
        <w:rPr>
          <w:spacing w:val="66"/>
        </w:rPr>
        <w:t> </w:t>
      </w:r>
      <w:r>
        <w:rPr/>
        <w:t>teaching</w:t>
      </w:r>
      <w:r>
        <w:rPr>
          <w:spacing w:val="67"/>
        </w:rPr>
        <w:t> </w:t>
      </w:r>
      <w:r>
        <w:rPr/>
        <w:t>staff</w:t>
      </w:r>
      <w:r>
        <w:rPr>
          <w:spacing w:val="67"/>
        </w:rPr>
        <w:t> </w:t>
      </w:r>
      <w:r>
        <w:rPr/>
        <w:t>were</w:t>
      </w:r>
      <w:r>
        <w:rPr>
          <w:spacing w:val="66"/>
        </w:rPr>
        <w:t> </w:t>
      </w:r>
      <w:r>
        <w:rPr/>
        <w:t>adequately</w:t>
      </w:r>
      <w:r>
        <w:rPr>
          <w:spacing w:val="66"/>
        </w:rPr>
        <w:t> </w:t>
      </w:r>
      <w:r>
        <w:rPr/>
        <w:t>provided,</w:t>
      </w:r>
      <w:r>
        <w:rPr>
          <w:spacing w:val="67"/>
        </w:rPr>
        <w:t> </w:t>
      </w:r>
      <w:r>
        <w:rPr/>
        <w:t>the</w:t>
      </w:r>
      <w:r>
        <w:rPr>
          <w:spacing w:val="66"/>
        </w:rPr>
        <w:t> </w:t>
      </w:r>
      <w:r>
        <w:rPr/>
        <w:t>two</w:t>
      </w:r>
      <w:r>
        <w:rPr>
          <w:spacing w:val="67"/>
        </w:rPr>
        <w:t> </w:t>
      </w:r>
      <w:r>
        <w:rPr/>
        <w:t>groups</w:t>
      </w:r>
      <w:r>
        <w:rPr>
          <w:spacing w:val="66"/>
        </w:rPr>
        <w:t> </w:t>
      </w:r>
      <w:r>
        <w:rPr>
          <w:spacing w:val="-5"/>
        </w:rPr>
        <w:t>of</w:t>
      </w:r>
    </w:p>
    <w:p>
      <w:pPr>
        <w:spacing w:after="0" w:line="480" w:lineRule="auto"/>
        <w:jc w:val="both"/>
        <w:sectPr>
          <w:headerReference w:type="default" r:id="rId281"/>
          <w:footerReference w:type="default" r:id="rId282"/>
          <w:pgSz w:w="12240" w:h="15840"/>
          <w:pgMar w:header="722" w:footer="791" w:top="1340" w:bottom="980" w:left="1340" w:right="1320"/>
        </w:sectPr>
      </w:pPr>
    </w:p>
    <w:p>
      <w:pPr>
        <w:pStyle w:val="BodyText"/>
        <w:spacing w:line="480" w:lineRule="auto" w:before="82"/>
        <w:ind w:left="820" w:right="113"/>
        <w:jc w:val="both"/>
      </w:pPr>
      <w:r>
        <w:rPr/>
        <w:t>respondents; students with 49.0 percent and top management with 43.5 expressed consensus of opinions that teaching staff were adequately provided</w:t>
      </w:r>
      <w:r>
        <w:rPr>
          <w:spacing w:val="80"/>
        </w:rPr>
        <w:t> </w:t>
      </w:r>
      <w:r>
        <w:rPr/>
        <w:t>by the</w:t>
      </w:r>
      <w:r>
        <w:rPr>
          <w:spacing w:val="40"/>
        </w:rPr>
        <w:t> </w:t>
      </w:r>
      <w:r>
        <w:rPr/>
        <w:t>Universities. While majority opinion of the service staff with 41.4 percent refuted this stance. A negligible percent of students, service staff and top management</w:t>
      </w:r>
      <w:r>
        <w:rPr>
          <w:spacing w:val="-3"/>
        </w:rPr>
        <w:t> </w:t>
      </w:r>
      <w:r>
        <w:rPr/>
        <w:t>staff</w:t>
      </w:r>
      <w:r>
        <w:rPr>
          <w:spacing w:val="-3"/>
        </w:rPr>
        <w:t> </w:t>
      </w:r>
      <w:r>
        <w:rPr/>
        <w:t>who</w:t>
      </w:r>
      <w:r>
        <w:rPr>
          <w:spacing w:val="-2"/>
        </w:rPr>
        <w:t> </w:t>
      </w:r>
      <w:r>
        <w:rPr/>
        <w:t>claimed</w:t>
      </w:r>
      <w:r>
        <w:rPr>
          <w:spacing w:val="-2"/>
        </w:rPr>
        <w:t> </w:t>
      </w:r>
      <w:r>
        <w:rPr/>
        <w:t>ignorance</w:t>
      </w:r>
      <w:r>
        <w:rPr>
          <w:spacing w:val="-2"/>
        </w:rPr>
        <w:t> </w:t>
      </w:r>
      <w:r>
        <w:rPr/>
        <w:t>of</w:t>
      </w:r>
      <w:r>
        <w:rPr>
          <w:spacing w:val="-3"/>
        </w:rPr>
        <w:t> </w:t>
      </w:r>
      <w:r>
        <w:rPr/>
        <w:t>the</w:t>
      </w:r>
      <w:r>
        <w:rPr>
          <w:spacing w:val="-2"/>
        </w:rPr>
        <w:t> </w:t>
      </w:r>
      <w:r>
        <w:rPr/>
        <w:t>provision</w:t>
      </w:r>
      <w:r>
        <w:rPr>
          <w:spacing w:val="-2"/>
        </w:rPr>
        <w:t> </w:t>
      </w:r>
      <w:r>
        <w:rPr/>
        <w:t>of</w:t>
      </w:r>
      <w:r>
        <w:rPr>
          <w:spacing w:val="-3"/>
        </w:rPr>
        <w:t> </w:t>
      </w:r>
      <w:r>
        <w:rPr/>
        <w:t>this</w:t>
      </w:r>
      <w:r>
        <w:rPr>
          <w:spacing w:val="-3"/>
        </w:rPr>
        <w:t> </w:t>
      </w:r>
      <w:r>
        <w:rPr/>
        <w:t>facility</w:t>
      </w:r>
      <w:r>
        <w:rPr>
          <w:spacing w:val="-3"/>
        </w:rPr>
        <w:t> </w:t>
      </w:r>
      <w:r>
        <w:rPr/>
        <w:t>might</w:t>
      </w:r>
      <w:r>
        <w:rPr>
          <w:spacing w:val="-3"/>
        </w:rPr>
        <w:t> </w:t>
      </w:r>
      <w:r>
        <w:rPr/>
        <w:t>not be sincerely serious in their opinion which negated the availability of staff in the university system. It might be acceptable to infer that particular or relevant programmes to them were not run due to lack of qualified staff.</w:t>
      </w:r>
    </w:p>
    <w:p>
      <w:pPr>
        <w:pStyle w:val="BodyText"/>
        <w:spacing w:line="480" w:lineRule="auto"/>
        <w:ind w:left="820" w:right="115" w:firstLine="720"/>
        <w:jc w:val="both"/>
      </w:pPr>
      <w:r>
        <w:rPr/>
        <w:t>Responses on item 16 revealed high congruity in the opinions of students with 58.3 percent. Service staff with 54.7 and top management staff with 47.8</w:t>
      </w:r>
      <w:r>
        <w:rPr>
          <w:spacing w:val="40"/>
        </w:rPr>
        <w:t> </w:t>
      </w:r>
      <w:r>
        <w:rPr/>
        <w:t>that theatres and laboratories were available and adequate in the Universities. However, very small percentage of respondents revealed the opposite view.</w:t>
      </w:r>
    </w:p>
    <w:p>
      <w:pPr>
        <w:pStyle w:val="BodyText"/>
        <w:ind w:left="1540"/>
        <w:jc w:val="both"/>
      </w:pPr>
      <w:r>
        <w:rPr/>
        <w:t>As</w:t>
      </w:r>
      <w:r>
        <w:rPr>
          <w:spacing w:val="13"/>
        </w:rPr>
        <w:t> </w:t>
      </w:r>
      <w:r>
        <w:rPr/>
        <w:t>to</w:t>
      </w:r>
      <w:r>
        <w:rPr>
          <w:spacing w:val="14"/>
        </w:rPr>
        <w:t> </w:t>
      </w:r>
      <w:r>
        <w:rPr/>
        <w:t>whether</w:t>
      </w:r>
      <w:r>
        <w:rPr>
          <w:spacing w:val="16"/>
        </w:rPr>
        <w:t> </w:t>
      </w:r>
      <w:r>
        <w:rPr/>
        <w:t>or</w:t>
      </w:r>
      <w:r>
        <w:rPr>
          <w:spacing w:val="15"/>
        </w:rPr>
        <w:t> </w:t>
      </w:r>
      <w:r>
        <w:rPr/>
        <w:t>not</w:t>
      </w:r>
      <w:r>
        <w:rPr>
          <w:spacing w:val="10"/>
        </w:rPr>
        <w:t> </w:t>
      </w:r>
      <w:r>
        <w:rPr/>
        <w:t>information</w:t>
      </w:r>
      <w:r>
        <w:rPr>
          <w:spacing w:val="14"/>
        </w:rPr>
        <w:t> </w:t>
      </w:r>
      <w:r>
        <w:rPr/>
        <w:t>technology</w:t>
      </w:r>
      <w:r>
        <w:rPr>
          <w:spacing w:val="9"/>
        </w:rPr>
        <w:t> </w:t>
      </w:r>
      <w:r>
        <w:rPr/>
        <w:t>services</w:t>
      </w:r>
      <w:r>
        <w:rPr>
          <w:spacing w:val="14"/>
        </w:rPr>
        <w:t> </w:t>
      </w:r>
      <w:r>
        <w:rPr/>
        <w:t>as</w:t>
      </w:r>
      <w:r>
        <w:rPr>
          <w:spacing w:val="9"/>
        </w:rPr>
        <w:t> </w:t>
      </w:r>
      <w:r>
        <w:rPr/>
        <w:t>identified</w:t>
      </w:r>
      <w:r>
        <w:rPr>
          <w:spacing w:val="14"/>
        </w:rPr>
        <w:t> </w:t>
      </w:r>
      <w:r>
        <w:rPr/>
        <w:t>in</w:t>
      </w:r>
      <w:r>
        <w:rPr>
          <w:spacing w:val="14"/>
        </w:rPr>
        <w:t> </w:t>
      </w:r>
      <w:r>
        <w:rPr>
          <w:spacing w:val="-4"/>
        </w:rPr>
        <w:t>item</w:t>
      </w:r>
    </w:p>
    <w:p>
      <w:pPr>
        <w:pStyle w:val="BodyText"/>
      </w:pPr>
    </w:p>
    <w:p>
      <w:pPr>
        <w:pStyle w:val="BodyText"/>
        <w:spacing w:line="480" w:lineRule="auto"/>
        <w:ind w:left="820" w:right="115"/>
        <w:jc w:val="both"/>
      </w:pPr>
      <w:r>
        <w:rPr/>
        <w:t>17 were available and adequately provided in these Universities, the three</w:t>
      </w:r>
      <w:r>
        <w:rPr>
          <w:spacing w:val="40"/>
        </w:rPr>
        <w:t> </w:t>
      </w:r>
      <w:r>
        <w:rPr/>
        <w:t>groups were resolute in their opinions that computers, telephones, websites internet, E-mail and handsets were available and provided on the campuses of the Universities. Although the opinions of 29.4 percent of the students, 35.5 percent of the service staff and 21.7 percent of the top management staff were not anchored to this conclusion, there was the strong belief that information have come on board on the campuses of the Universities in the millennium.</w:t>
      </w:r>
    </w:p>
    <w:p>
      <w:pPr>
        <w:pStyle w:val="BodyText"/>
        <w:spacing w:line="480" w:lineRule="auto" w:before="1"/>
        <w:ind w:left="820" w:right="113" w:firstLine="720"/>
        <w:jc w:val="both"/>
      </w:pPr>
      <w:r>
        <w:rPr/>
        <w:t>Item</w:t>
      </w:r>
      <w:r>
        <w:rPr>
          <w:spacing w:val="-10"/>
        </w:rPr>
        <w:t> </w:t>
      </w:r>
      <w:r>
        <w:rPr/>
        <w:t>18 which</w:t>
      </w:r>
      <w:r>
        <w:rPr>
          <w:spacing w:val="-2"/>
        </w:rPr>
        <w:t> </w:t>
      </w:r>
      <w:r>
        <w:rPr/>
        <w:t>identified</w:t>
      </w:r>
      <w:r>
        <w:rPr>
          <w:spacing w:val="-2"/>
        </w:rPr>
        <w:t> </w:t>
      </w:r>
      <w:r>
        <w:rPr/>
        <w:t>as</w:t>
      </w:r>
      <w:r>
        <w:rPr>
          <w:spacing w:val="-3"/>
        </w:rPr>
        <w:t> </w:t>
      </w:r>
      <w:r>
        <w:rPr/>
        <w:t>to</w:t>
      </w:r>
      <w:r>
        <w:rPr>
          <w:spacing w:val="-2"/>
        </w:rPr>
        <w:t> </w:t>
      </w:r>
      <w:r>
        <w:rPr/>
        <w:t>whether</w:t>
      </w:r>
      <w:r>
        <w:rPr>
          <w:spacing w:val="-1"/>
        </w:rPr>
        <w:t> </w:t>
      </w:r>
      <w:r>
        <w:rPr/>
        <w:t>or</w:t>
      </w:r>
      <w:r>
        <w:rPr>
          <w:spacing w:val="-1"/>
        </w:rPr>
        <w:t> </w:t>
      </w:r>
      <w:r>
        <w:rPr/>
        <w:t>not</w:t>
      </w:r>
      <w:r>
        <w:rPr>
          <w:spacing w:val="-6"/>
        </w:rPr>
        <w:t> </w:t>
      </w:r>
      <w:r>
        <w:rPr/>
        <w:t>information</w:t>
      </w:r>
      <w:r>
        <w:rPr>
          <w:spacing w:val="-2"/>
        </w:rPr>
        <w:t> </w:t>
      </w:r>
      <w:r>
        <w:rPr/>
        <w:t>dissemination</w:t>
      </w:r>
      <w:r>
        <w:rPr>
          <w:spacing w:val="-5"/>
        </w:rPr>
        <w:t> </w:t>
      </w:r>
      <w:r>
        <w:rPr/>
        <w:t>like newspapers, magazines, notice boards, bulletins or Newsletters availed and</w:t>
      </w:r>
      <w:r>
        <w:rPr>
          <w:spacing w:val="40"/>
        </w:rPr>
        <w:t> </w:t>
      </w:r>
      <w:r>
        <w:rPr/>
        <w:t>were provided adequately, 40.8 percent of students and 44.3 percent of service staff</w:t>
      </w:r>
      <w:r>
        <w:rPr>
          <w:spacing w:val="79"/>
        </w:rPr>
        <w:t> </w:t>
      </w:r>
      <w:r>
        <w:rPr/>
        <w:t>shared</w:t>
      </w:r>
      <w:r>
        <w:rPr>
          <w:spacing w:val="46"/>
          <w:w w:val="150"/>
        </w:rPr>
        <w:t> </w:t>
      </w:r>
      <w:r>
        <w:rPr/>
        <w:t>similar</w:t>
      </w:r>
      <w:r>
        <w:rPr>
          <w:spacing w:val="47"/>
          <w:w w:val="150"/>
        </w:rPr>
        <w:t> </w:t>
      </w:r>
      <w:r>
        <w:rPr/>
        <w:t>opinion</w:t>
      </w:r>
      <w:r>
        <w:rPr>
          <w:spacing w:val="47"/>
          <w:w w:val="150"/>
        </w:rPr>
        <w:t> </w:t>
      </w:r>
      <w:r>
        <w:rPr/>
        <w:t>that</w:t>
      </w:r>
      <w:r>
        <w:rPr>
          <w:spacing w:val="79"/>
        </w:rPr>
        <w:t> </w:t>
      </w:r>
      <w:r>
        <w:rPr/>
        <w:t>the</w:t>
      </w:r>
      <w:r>
        <w:rPr>
          <w:spacing w:val="47"/>
          <w:w w:val="150"/>
        </w:rPr>
        <w:t> </w:t>
      </w:r>
      <w:r>
        <w:rPr/>
        <w:t>facilities</w:t>
      </w:r>
      <w:r>
        <w:rPr>
          <w:spacing w:val="79"/>
        </w:rPr>
        <w:t> </w:t>
      </w:r>
      <w:r>
        <w:rPr/>
        <w:t>were</w:t>
      </w:r>
      <w:r>
        <w:rPr>
          <w:spacing w:val="47"/>
          <w:w w:val="150"/>
        </w:rPr>
        <w:t> </w:t>
      </w:r>
      <w:r>
        <w:rPr/>
        <w:t>available</w:t>
      </w:r>
      <w:r>
        <w:rPr>
          <w:spacing w:val="46"/>
          <w:w w:val="150"/>
        </w:rPr>
        <w:t> </w:t>
      </w:r>
      <w:r>
        <w:rPr/>
        <w:t>and</w:t>
      </w:r>
      <w:r>
        <w:rPr>
          <w:spacing w:val="47"/>
          <w:w w:val="150"/>
        </w:rPr>
        <w:t> </w:t>
      </w:r>
      <w:r>
        <w:rPr>
          <w:spacing w:val="-2"/>
        </w:rPr>
        <w:t>provided.</w:t>
      </w:r>
    </w:p>
    <w:p>
      <w:pPr>
        <w:spacing w:after="0" w:line="480" w:lineRule="auto"/>
        <w:jc w:val="both"/>
        <w:sectPr>
          <w:headerReference w:type="default" r:id="rId283"/>
          <w:footerReference w:type="default" r:id="rId284"/>
          <w:pgSz w:w="12240" w:h="15840"/>
          <w:pgMar w:header="722" w:footer="791" w:top="1340" w:bottom="980" w:left="1340" w:right="1320"/>
        </w:sectPr>
      </w:pPr>
    </w:p>
    <w:p>
      <w:pPr>
        <w:pStyle w:val="BodyText"/>
        <w:spacing w:line="480" w:lineRule="auto" w:before="82"/>
        <w:ind w:left="820" w:right="116"/>
        <w:jc w:val="both"/>
      </w:pPr>
      <w:r>
        <w:rPr/>
        <w:t>However, 43.5 percent of top management and 40.4 percent of students expressed contrary opinion.</w:t>
      </w:r>
    </w:p>
    <w:p>
      <w:pPr>
        <w:pStyle w:val="BodyText"/>
        <w:spacing w:line="480" w:lineRule="auto"/>
        <w:ind w:left="820" w:right="114" w:firstLine="720"/>
        <w:jc w:val="both"/>
      </w:pPr>
      <w:r>
        <w:rPr/>
        <w:t>The opinions of the majority of students accounting for 48.1 percent, service staff, 42.9 percent and top management staff with 47.8 percent were in absolute concord that teaching and learning facilities, field trips or works, debates,</w:t>
      </w:r>
      <w:r>
        <w:rPr>
          <w:spacing w:val="-1"/>
        </w:rPr>
        <w:t> </w:t>
      </w:r>
      <w:r>
        <w:rPr/>
        <w:t>teaching practice,</w:t>
      </w:r>
      <w:r>
        <w:rPr>
          <w:spacing w:val="-1"/>
        </w:rPr>
        <w:t> </w:t>
      </w:r>
      <w:r>
        <w:rPr/>
        <w:t>internship etcetera raised in item</w:t>
      </w:r>
      <w:r>
        <w:rPr>
          <w:spacing w:val="-4"/>
        </w:rPr>
        <w:t> </w:t>
      </w:r>
      <w:r>
        <w:rPr/>
        <w:t>19 were available in the Universities in the three geopolitical zones in Northern part of Nigeria.</w:t>
      </w:r>
      <w:r>
        <w:rPr>
          <w:spacing w:val="80"/>
        </w:rPr>
        <w:t> </w:t>
      </w:r>
      <w:r>
        <w:rPr/>
        <w:t>A small percentage maintained that there was inadequacy of facilities. Only a negligible percent of the respondents had, however, revealed negative opinion that the facilities were not provided.</w:t>
      </w:r>
    </w:p>
    <w:p>
      <w:pPr>
        <w:pStyle w:val="BodyText"/>
        <w:spacing w:line="480" w:lineRule="auto"/>
        <w:ind w:left="820" w:right="116" w:firstLine="720"/>
        <w:jc w:val="both"/>
      </w:pPr>
      <w:r>
        <w:rPr/>
        <w:t>As for the availability and provision of bookshops, photocopying and publication centers identified in item 20, opinions of majority of the respondents were in harmony on the availability and adequate provision. This position was revealed by the opinion of 40.8 percent of students, 43.9 percent of service staff and 47.8 percent of top management staff. The negligible percentage of respondents who disputed the availability of the facilities could be attributed to</w:t>
      </w:r>
      <w:r>
        <w:rPr>
          <w:spacing w:val="40"/>
        </w:rPr>
        <w:t> </w:t>
      </w:r>
      <w:r>
        <w:rPr/>
        <w:t>the</w:t>
      </w:r>
      <w:r>
        <w:rPr>
          <w:spacing w:val="-1"/>
        </w:rPr>
        <w:t> </w:t>
      </w:r>
      <w:r>
        <w:rPr/>
        <w:t>fact</w:t>
      </w:r>
      <w:r>
        <w:rPr>
          <w:spacing w:val="-2"/>
        </w:rPr>
        <w:t> </w:t>
      </w:r>
      <w:r>
        <w:rPr/>
        <w:t>that</w:t>
      </w:r>
      <w:r>
        <w:rPr>
          <w:spacing w:val="-2"/>
        </w:rPr>
        <w:t> </w:t>
      </w:r>
      <w:r>
        <w:rPr/>
        <w:t>some</w:t>
      </w:r>
      <w:r>
        <w:rPr>
          <w:spacing w:val="-1"/>
        </w:rPr>
        <w:t> </w:t>
      </w:r>
      <w:r>
        <w:rPr/>
        <w:t>universities</w:t>
      </w:r>
      <w:r>
        <w:rPr>
          <w:spacing w:val="-2"/>
        </w:rPr>
        <w:t> </w:t>
      </w:r>
      <w:r>
        <w:rPr/>
        <w:t>might</w:t>
      </w:r>
      <w:r>
        <w:rPr>
          <w:spacing w:val="-2"/>
        </w:rPr>
        <w:t> </w:t>
      </w:r>
      <w:r>
        <w:rPr/>
        <w:t>be</w:t>
      </w:r>
      <w:r>
        <w:rPr>
          <w:spacing w:val="-1"/>
        </w:rPr>
        <w:t> </w:t>
      </w:r>
      <w:r>
        <w:rPr/>
        <w:t>relying</w:t>
      </w:r>
      <w:r>
        <w:rPr>
          <w:spacing w:val="-1"/>
        </w:rPr>
        <w:t> </w:t>
      </w:r>
      <w:r>
        <w:rPr/>
        <w:t>on</w:t>
      </w:r>
      <w:r>
        <w:rPr>
          <w:spacing w:val="-1"/>
        </w:rPr>
        <w:t> </w:t>
      </w:r>
      <w:r>
        <w:rPr/>
        <w:t>Private</w:t>
      </w:r>
      <w:r>
        <w:rPr>
          <w:spacing w:val="-1"/>
        </w:rPr>
        <w:t> </w:t>
      </w:r>
      <w:r>
        <w:rPr/>
        <w:t>bookshops,</w:t>
      </w:r>
      <w:r>
        <w:rPr>
          <w:spacing w:val="-2"/>
        </w:rPr>
        <w:t> </w:t>
      </w:r>
      <w:r>
        <w:rPr/>
        <w:t>Publication and photocopying centers instead of establishing their own outfits.</w:t>
      </w:r>
    </w:p>
    <w:p>
      <w:pPr>
        <w:pStyle w:val="Heading2"/>
        <w:ind w:hanging="720"/>
      </w:pPr>
      <w:r>
        <w:rPr>
          <w:rFonts w:ascii="Arial MT"/>
          <w:b w:val="0"/>
        </w:rPr>
        <w:t>4.2.5 </w:t>
      </w:r>
      <w:r>
        <w:rPr/>
        <w:t>Responses</w:t>
      </w:r>
      <w:r>
        <w:rPr>
          <w:spacing w:val="-3"/>
        </w:rPr>
        <w:t> </w:t>
      </w:r>
      <w:r>
        <w:rPr/>
        <w:t>on</w:t>
      </w:r>
      <w:r>
        <w:rPr>
          <w:spacing w:val="-3"/>
        </w:rPr>
        <w:t> </w:t>
      </w:r>
      <w:r>
        <w:rPr/>
        <w:t>the</w:t>
      </w:r>
      <w:r>
        <w:rPr>
          <w:spacing w:val="-3"/>
        </w:rPr>
        <w:t> </w:t>
      </w:r>
      <w:r>
        <w:rPr/>
        <w:t>availability</w:t>
      </w:r>
      <w:r>
        <w:rPr>
          <w:spacing w:val="-7"/>
        </w:rPr>
        <w:t> </w:t>
      </w:r>
      <w:r>
        <w:rPr/>
        <w:t>and</w:t>
      </w:r>
      <w:r>
        <w:rPr>
          <w:spacing w:val="-3"/>
        </w:rPr>
        <w:t> </w:t>
      </w:r>
      <w:r>
        <w:rPr/>
        <w:t>degree</w:t>
      </w:r>
      <w:r>
        <w:rPr>
          <w:spacing w:val="-3"/>
        </w:rPr>
        <w:t> </w:t>
      </w:r>
      <w:r>
        <w:rPr/>
        <w:t>of</w:t>
      </w:r>
      <w:r>
        <w:rPr>
          <w:spacing w:val="-3"/>
        </w:rPr>
        <w:t> </w:t>
      </w:r>
      <w:r>
        <w:rPr/>
        <w:t>provision</w:t>
      </w:r>
      <w:r>
        <w:rPr>
          <w:spacing w:val="-3"/>
        </w:rPr>
        <w:t> </w:t>
      </w:r>
      <w:r>
        <w:rPr/>
        <w:t>of</w:t>
      </w:r>
      <w:r>
        <w:rPr>
          <w:spacing w:val="-3"/>
        </w:rPr>
        <w:t> </w:t>
      </w:r>
      <w:r>
        <w:rPr/>
        <w:t>Medical and Health services to students in the Universities under study</w:t>
      </w:r>
    </w:p>
    <w:p>
      <w:pPr>
        <w:pStyle w:val="BodyText"/>
        <w:spacing w:line="480" w:lineRule="auto" w:before="274"/>
        <w:ind w:left="820" w:right="117" w:firstLine="720"/>
        <w:jc w:val="both"/>
      </w:pPr>
      <w:r>
        <w:rPr/>
        <w:t>This section carries the responses of three groups of respondents obtained from items 21 to 27 specifically on the availability and level of provision of Medical and health facilities to students as part of student welfare package. The responses are reflected in Table 4.2.3.</w:t>
      </w:r>
    </w:p>
    <w:p>
      <w:pPr>
        <w:spacing w:after="0" w:line="480" w:lineRule="auto"/>
        <w:jc w:val="both"/>
        <w:sectPr>
          <w:headerReference w:type="default" r:id="rId285"/>
          <w:footerReference w:type="default" r:id="rId286"/>
          <w:pgSz w:w="12240" w:h="15840"/>
          <w:pgMar w:header="722" w:footer="791" w:top="1340" w:bottom="980" w:left="1340" w:right="1320"/>
        </w:sectPr>
      </w:pPr>
    </w:p>
    <w:p>
      <w:pPr>
        <w:pStyle w:val="Heading2"/>
        <w:spacing w:before="79" w:after="8"/>
        <w:ind w:left="2245" w:right="2377" w:hanging="1594"/>
      </w:pPr>
      <w:r>
        <w:rPr/>
        <w:t>Table</w:t>
      </w:r>
      <w:r>
        <w:rPr>
          <w:spacing w:val="-1"/>
        </w:rPr>
        <w:t> </w:t>
      </w:r>
      <w:r>
        <w:rPr/>
        <w:t>4.2.3:</w:t>
      </w:r>
      <w:r>
        <w:rPr>
          <w:spacing w:val="-1"/>
        </w:rPr>
        <w:t> </w:t>
      </w:r>
      <w:r>
        <w:rPr/>
        <w:t>Opinions</w:t>
      </w:r>
      <w:r>
        <w:rPr>
          <w:spacing w:val="-6"/>
        </w:rPr>
        <w:t> </w:t>
      </w:r>
      <w:r>
        <w:rPr/>
        <w:t>of</w:t>
      </w:r>
      <w:r>
        <w:rPr>
          <w:spacing w:val="-6"/>
        </w:rPr>
        <w:t> </w:t>
      </w:r>
      <w:r>
        <w:rPr/>
        <w:t>respondents</w:t>
      </w:r>
      <w:r>
        <w:rPr>
          <w:spacing w:val="-6"/>
        </w:rPr>
        <w:t> </w:t>
      </w:r>
      <w:r>
        <w:rPr/>
        <w:t>on</w:t>
      </w:r>
      <w:r>
        <w:rPr>
          <w:spacing w:val="-2"/>
        </w:rPr>
        <w:t> </w:t>
      </w:r>
      <w:r>
        <w:rPr/>
        <w:t>the</w:t>
      </w:r>
      <w:r>
        <w:rPr>
          <w:spacing w:val="-6"/>
        </w:rPr>
        <w:t> </w:t>
      </w:r>
      <w:r>
        <w:rPr/>
        <w:t>medical/health</w:t>
      </w:r>
      <w:r>
        <w:rPr>
          <w:spacing w:val="-2"/>
        </w:rPr>
        <w:t> </w:t>
      </w:r>
      <w:r>
        <w:rPr/>
        <w:t>services</w:t>
      </w:r>
      <w:r>
        <w:rPr>
          <w:spacing w:val="-7"/>
        </w:rPr>
        <w:t> </w:t>
      </w:r>
      <w:r>
        <w:rPr/>
        <w:t>for students</w:t>
      </w:r>
      <w:r>
        <w:rPr>
          <w:spacing w:val="-6"/>
        </w:rPr>
        <w:t> </w:t>
      </w:r>
      <w:r>
        <w:rPr/>
        <w:t>in</w:t>
      </w:r>
      <w:r>
        <w:rPr>
          <w:spacing w:val="-2"/>
        </w:rPr>
        <w:t> </w:t>
      </w:r>
      <w:r>
        <w:rPr/>
        <w:t>the </w:t>
      </w:r>
      <w:r>
        <w:rPr>
          <w:spacing w:val="-2"/>
        </w:rPr>
        <w:t>Universities</w:t>
      </w:r>
    </w:p>
    <w:tbl>
      <w:tblPr>
        <w:tblW w:w="0" w:type="auto"/>
        <w:jc w:val="left"/>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877"/>
        <w:gridCol w:w="2249"/>
        <w:gridCol w:w="676"/>
        <w:gridCol w:w="759"/>
        <w:gridCol w:w="548"/>
        <w:gridCol w:w="733"/>
        <w:gridCol w:w="743"/>
        <w:gridCol w:w="877"/>
        <w:gridCol w:w="685"/>
        <w:gridCol w:w="800"/>
        <w:gridCol w:w="627"/>
        <w:gridCol w:w="771"/>
        <w:gridCol w:w="692"/>
        <w:gridCol w:w="739"/>
      </w:tblGrid>
      <w:tr>
        <w:trPr>
          <w:trHeight w:val="278" w:hRule="atLeast"/>
        </w:trPr>
        <w:tc>
          <w:tcPr>
            <w:tcW w:w="3877" w:type="dxa"/>
            <w:vMerge w:val="restart"/>
            <w:tcBorders>
              <w:top w:val="single" w:sz="4" w:space="0" w:color="000000"/>
              <w:left w:val="single" w:sz="4" w:space="0" w:color="000000"/>
              <w:bottom w:val="single" w:sz="4" w:space="0" w:color="000000"/>
            </w:tcBorders>
          </w:tcPr>
          <w:p>
            <w:pPr>
              <w:pStyle w:val="TableParagraph"/>
              <w:rPr>
                <w:rFonts w:ascii="Arial"/>
                <w:b/>
                <w:sz w:val="20"/>
              </w:rPr>
            </w:pPr>
          </w:p>
          <w:p>
            <w:pPr>
              <w:pStyle w:val="TableParagraph"/>
              <w:spacing w:before="221"/>
              <w:rPr>
                <w:rFonts w:ascii="Arial"/>
                <w:b/>
                <w:sz w:val="20"/>
              </w:rPr>
            </w:pPr>
          </w:p>
          <w:p>
            <w:pPr>
              <w:pStyle w:val="TableParagraph"/>
              <w:tabs>
                <w:tab w:pos="830" w:val="left" w:leader="none"/>
              </w:tabs>
              <w:ind w:left="134"/>
              <w:rPr>
                <w:rFonts w:ascii="Arial"/>
                <w:b/>
                <w:sz w:val="20"/>
              </w:rPr>
            </w:pPr>
            <w:r>
              <w:rPr>
                <w:rFonts w:ascii="Arial"/>
                <w:b/>
                <w:spacing w:val="-4"/>
                <w:sz w:val="20"/>
              </w:rPr>
              <w:t>S/No</w:t>
            </w:r>
            <w:r>
              <w:rPr>
                <w:rFonts w:ascii="Arial"/>
                <w:b/>
                <w:sz w:val="20"/>
              </w:rPr>
              <w:tab/>
              <w:t>Item</w:t>
            </w:r>
            <w:r>
              <w:rPr>
                <w:rFonts w:ascii="Arial"/>
                <w:b/>
                <w:spacing w:val="-2"/>
                <w:sz w:val="20"/>
              </w:rPr>
              <w:t> Statements</w:t>
            </w:r>
          </w:p>
        </w:tc>
        <w:tc>
          <w:tcPr>
            <w:tcW w:w="2249" w:type="dxa"/>
            <w:vMerge w:val="restart"/>
            <w:tcBorders>
              <w:top w:val="single" w:sz="4" w:space="0" w:color="000000"/>
              <w:bottom w:val="single" w:sz="4" w:space="0" w:color="000000"/>
              <w:right w:val="single" w:sz="4" w:space="0" w:color="000000"/>
            </w:tcBorders>
          </w:tcPr>
          <w:p>
            <w:pPr>
              <w:pStyle w:val="TableParagraph"/>
              <w:rPr>
                <w:rFonts w:ascii="Arial"/>
                <w:b/>
                <w:sz w:val="20"/>
              </w:rPr>
            </w:pPr>
          </w:p>
          <w:p>
            <w:pPr>
              <w:pStyle w:val="TableParagraph"/>
              <w:spacing w:before="221"/>
              <w:rPr>
                <w:rFonts w:ascii="Arial"/>
                <w:b/>
                <w:sz w:val="20"/>
              </w:rPr>
            </w:pPr>
          </w:p>
          <w:p>
            <w:pPr>
              <w:pStyle w:val="TableParagraph"/>
              <w:ind w:left="198" w:right="770"/>
              <w:rPr>
                <w:rFonts w:ascii="Arial"/>
                <w:b/>
                <w:sz w:val="20"/>
              </w:rPr>
            </w:pPr>
            <w:r>
              <w:rPr>
                <w:rFonts w:ascii="Arial"/>
                <w:b/>
                <w:sz w:val="20"/>
              </w:rPr>
              <w:t>Category of </w:t>
            </w:r>
            <w:r>
              <w:rPr>
                <w:rFonts w:ascii="Arial"/>
                <w:b/>
                <w:spacing w:val="-2"/>
                <w:sz w:val="20"/>
              </w:rPr>
              <w:t>Respondents</w:t>
            </w:r>
          </w:p>
        </w:tc>
        <w:tc>
          <w:tcPr>
            <w:tcW w:w="8650" w:type="dxa"/>
            <w:gridSpan w:val="12"/>
            <w:tcBorders>
              <w:top w:val="single" w:sz="4" w:space="0" w:color="000000"/>
              <w:left w:val="single" w:sz="4" w:space="0" w:color="000000"/>
              <w:bottom w:val="single" w:sz="4" w:space="0" w:color="000000"/>
              <w:right w:val="single" w:sz="4" w:space="0" w:color="000000"/>
            </w:tcBorders>
          </w:tcPr>
          <w:p>
            <w:pPr>
              <w:pStyle w:val="TableParagraph"/>
              <w:spacing w:line="258" w:lineRule="exact"/>
              <w:ind w:right="1385"/>
              <w:jc w:val="center"/>
              <w:rPr>
                <w:rFonts w:ascii="Arial"/>
                <w:b/>
                <w:sz w:val="24"/>
              </w:rPr>
            </w:pPr>
            <w:r>
              <w:rPr>
                <w:rFonts w:ascii="Arial"/>
                <w:b/>
                <w:spacing w:val="-2"/>
                <w:sz w:val="24"/>
              </w:rPr>
              <w:t>Responses</w:t>
            </w:r>
          </w:p>
        </w:tc>
      </w:tr>
      <w:tr>
        <w:trPr>
          <w:trHeight w:val="690" w:hRule="atLeast"/>
        </w:trPr>
        <w:tc>
          <w:tcPr>
            <w:tcW w:w="3877" w:type="dxa"/>
            <w:vMerge/>
            <w:tcBorders>
              <w:top w:val="nil"/>
              <w:left w:val="single" w:sz="4" w:space="0" w:color="000000"/>
              <w:bottom w:val="single" w:sz="4" w:space="0" w:color="000000"/>
            </w:tcBorders>
          </w:tcPr>
          <w:p>
            <w:pPr>
              <w:rPr>
                <w:sz w:val="2"/>
                <w:szCs w:val="2"/>
              </w:rPr>
            </w:pPr>
          </w:p>
        </w:tc>
        <w:tc>
          <w:tcPr>
            <w:tcW w:w="2249" w:type="dxa"/>
            <w:vMerge/>
            <w:tcBorders>
              <w:top w:val="nil"/>
              <w:bottom w:val="single" w:sz="4" w:space="0" w:color="000000"/>
              <w:right w:val="single" w:sz="4" w:space="0" w:color="000000"/>
            </w:tcBorders>
          </w:tcPr>
          <w:p>
            <w:pPr>
              <w:rPr>
                <w:sz w:val="2"/>
                <w:szCs w:val="2"/>
              </w:rPr>
            </w:pPr>
          </w:p>
        </w:tc>
        <w:tc>
          <w:tcPr>
            <w:tcW w:w="8650" w:type="dxa"/>
            <w:gridSpan w:val="12"/>
            <w:tcBorders>
              <w:top w:val="single" w:sz="4" w:space="0" w:color="000000"/>
              <w:left w:val="single" w:sz="4" w:space="0" w:color="000000"/>
              <w:bottom w:val="single" w:sz="4" w:space="0" w:color="000000"/>
              <w:right w:val="single" w:sz="4" w:space="0" w:color="000000"/>
            </w:tcBorders>
          </w:tcPr>
          <w:p>
            <w:pPr>
              <w:pStyle w:val="TableParagraph"/>
              <w:tabs>
                <w:tab w:pos="1606" w:val="left" w:leader="none"/>
                <w:tab w:pos="1846" w:val="left" w:leader="none"/>
                <w:tab w:pos="3060" w:val="left" w:leader="none"/>
                <w:tab w:pos="4596" w:val="left" w:leader="none"/>
                <w:tab w:pos="4884" w:val="left" w:leader="none"/>
                <w:tab w:pos="6056" w:val="left" w:leader="none"/>
                <w:tab w:pos="6315" w:val="left" w:leader="none"/>
                <w:tab w:pos="7673" w:val="left" w:leader="none"/>
              </w:tabs>
              <w:ind w:left="334" w:right="481" w:firstLine="96"/>
              <w:rPr>
                <w:rFonts w:ascii="Arial"/>
                <w:b/>
                <w:sz w:val="20"/>
              </w:rPr>
            </w:pPr>
            <w:r>
              <w:rPr>
                <w:rFonts w:ascii="Arial"/>
                <w:b/>
                <w:sz w:val="20"/>
              </w:rPr>
              <w:t>No. of</w:t>
              <w:tab/>
              <w:tab/>
            </w:r>
            <w:r>
              <w:rPr>
                <w:rFonts w:ascii="Arial"/>
                <w:b/>
                <w:spacing w:val="-4"/>
                <w:sz w:val="20"/>
              </w:rPr>
              <w:t>Very</w:t>
            </w:r>
            <w:r>
              <w:rPr>
                <w:rFonts w:ascii="Arial"/>
                <w:b/>
                <w:sz w:val="20"/>
              </w:rPr>
              <w:tab/>
            </w:r>
            <w:r>
              <w:rPr>
                <w:rFonts w:ascii="Arial"/>
                <w:b/>
                <w:spacing w:val="-2"/>
                <w:sz w:val="20"/>
              </w:rPr>
              <w:t>Adequate</w:t>
            </w:r>
            <w:r>
              <w:rPr>
                <w:rFonts w:ascii="Arial"/>
                <w:b/>
                <w:sz w:val="20"/>
              </w:rPr>
              <w:tab/>
              <w:tab/>
            </w:r>
            <w:r>
              <w:rPr>
                <w:rFonts w:ascii="Arial"/>
                <w:b/>
                <w:spacing w:val="-4"/>
                <w:sz w:val="20"/>
              </w:rPr>
              <w:t>Not</w:t>
            </w:r>
            <w:r>
              <w:rPr>
                <w:rFonts w:ascii="Arial"/>
                <w:b/>
                <w:sz w:val="20"/>
              </w:rPr>
              <w:tab/>
              <w:tab/>
            </w:r>
            <w:r>
              <w:rPr>
                <w:rFonts w:ascii="Arial"/>
                <w:b/>
                <w:spacing w:val="-4"/>
                <w:sz w:val="20"/>
              </w:rPr>
              <w:t>Not</w:t>
            </w:r>
            <w:r>
              <w:rPr>
                <w:rFonts w:ascii="Arial"/>
                <w:b/>
                <w:sz w:val="20"/>
              </w:rPr>
              <w:tab/>
            </w:r>
            <w:r>
              <w:rPr>
                <w:rFonts w:ascii="Arial"/>
                <w:b/>
                <w:spacing w:val="-2"/>
                <w:sz w:val="20"/>
              </w:rPr>
              <w:t>Total missing</w:t>
            </w:r>
            <w:r>
              <w:rPr>
                <w:rFonts w:ascii="Arial"/>
                <w:b/>
                <w:sz w:val="20"/>
              </w:rPr>
              <w:tab/>
            </w:r>
            <w:r>
              <w:rPr>
                <w:rFonts w:ascii="Arial"/>
                <w:b/>
                <w:spacing w:val="-2"/>
                <w:sz w:val="20"/>
              </w:rPr>
              <w:t>Adequate</w:t>
            </w:r>
            <w:r>
              <w:rPr>
                <w:rFonts w:ascii="Arial"/>
                <w:b/>
                <w:sz w:val="20"/>
              </w:rPr>
              <w:tab/>
              <w:tab/>
            </w:r>
            <w:r>
              <w:rPr>
                <w:rFonts w:ascii="Arial"/>
                <w:b/>
                <w:spacing w:val="-2"/>
                <w:sz w:val="20"/>
              </w:rPr>
              <w:t>Adequate</w:t>
            </w:r>
            <w:r>
              <w:rPr>
                <w:rFonts w:ascii="Arial"/>
                <w:b/>
                <w:sz w:val="20"/>
              </w:rPr>
              <w:tab/>
            </w:r>
            <w:r>
              <w:rPr>
                <w:rFonts w:ascii="Arial"/>
                <w:b/>
                <w:spacing w:val="-2"/>
                <w:sz w:val="20"/>
              </w:rPr>
              <w:t>Provided</w:t>
            </w:r>
          </w:p>
          <w:p>
            <w:pPr>
              <w:pStyle w:val="TableParagraph"/>
              <w:spacing w:line="220" w:lineRule="exact"/>
              <w:ind w:left="147"/>
              <w:rPr>
                <w:rFonts w:ascii="Arial"/>
                <w:b/>
                <w:sz w:val="20"/>
              </w:rPr>
            </w:pPr>
            <w:r>
              <w:rPr>
                <w:rFonts w:ascii="Arial"/>
                <w:b/>
                <w:spacing w:val="-2"/>
                <w:sz w:val="20"/>
              </w:rPr>
              <w:t>observation</w:t>
            </w:r>
          </w:p>
        </w:tc>
      </w:tr>
      <w:tr>
        <w:trPr>
          <w:trHeight w:val="316" w:hRule="atLeast"/>
        </w:trPr>
        <w:tc>
          <w:tcPr>
            <w:tcW w:w="3877" w:type="dxa"/>
            <w:vMerge/>
            <w:tcBorders>
              <w:top w:val="nil"/>
              <w:left w:val="single" w:sz="4" w:space="0" w:color="000000"/>
              <w:bottom w:val="single" w:sz="4" w:space="0" w:color="000000"/>
            </w:tcBorders>
          </w:tcPr>
          <w:p>
            <w:pPr>
              <w:rPr>
                <w:sz w:val="2"/>
                <w:szCs w:val="2"/>
              </w:rPr>
            </w:pPr>
          </w:p>
        </w:tc>
        <w:tc>
          <w:tcPr>
            <w:tcW w:w="2249" w:type="dxa"/>
            <w:vMerge/>
            <w:tcBorders>
              <w:top w:val="nil"/>
              <w:bottom w:val="single" w:sz="4" w:space="0" w:color="000000"/>
              <w:right w:val="single" w:sz="4" w:space="0" w:color="000000"/>
            </w:tcBorders>
          </w:tcPr>
          <w:p>
            <w:pPr>
              <w:rPr>
                <w:sz w:val="2"/>
                <w:szCs w:val="2"/>
              </w:rPr>
            </w:pPr>
          </w:p>
        </w:tc>
        <w:tc>
          <w:tcPr>
            <w:tcW w:w="676" w:type="dxa"/>
            <w:tcBorders>
              <w:top w:val="single" w:sz="4" w:space="0" w:color="000000"/>
              <w:left w:val="single" w:sz="4" w:space="0" w:color="000000"/>
              <w:bottom w:val="single" w:sz="4" w:space="0" w:color="000000"/>
            </w:tcBorders>
          </w:tcPr>
          <w:p>
            <w:pPr>
              <w:pStyle w:val="TableParagraph"/>
              <w:spacing w:line="220" w:lineRule="exact"/>
              <w:ind w:left="44"/>
              <w:jc w:val="center"/>
              <w:rPr>
                <w:rFonts w:ascii="Arial"/>
                <w:b/>
                <w:sz w:val="20"/>
              </w:rPr>
            </w:pPr>
            <w:r>
              <w:rPr>
                <w:rFonts w:ascii="Arial"/>
                <w:b/>
                <w:spacing w:val="-10"/>
                <w:sz w:val="20"/>
              </w:rPr>
              <w:t>F</w:t>
            </w:r>
          </w:p>
        </w:tc>
        <w:tc>
          <w:tcPr>
            <w:tcW w:w="759" w:type="dxa"/>
            <w:tcBorders>
              <w:top w:val="single" w:sz="4" w:space="0" w:color="000000"/>
              <w:bottom w:val="single" w:sz="4" w:space="0" w:color="000000"/>
            </w:tcBorders>
          </w:tcPr>
          <w:p>
            <w:pPr>
              <w:pStyle w:val="TableParagraph"/>
              <w:spacing w:line="220" w:lineRule="exact"/>
              <w:ind w:left="53"/>
              <w:jc w:val="center"/>
              <w:rPr>
                <w:rFonts w:ascii="Arial"/>
                <w:b/>
                <w:sz w:val="20"/>
              </w:rPr>
            </w:pPr>
            <w:r>
              <w:rPr>
                <w:rFonts w:ascii="Arial"/>
                <w:b/>
                <w:spacing w:val="-10"/>
                <w:sz w:val="20"/>
              </w:rPr>
              <w:t>%</w:t>
            </w:r>
          </w:p>
        </w:tc>
        <w:tc>
          <w:tcPr>
            <w:tcW w:w="548" w:type="dxa"/>
            <w:tcBorders>
              <w:top w:val="single" w:sz="4" w:space="0" w:color="000000"/>
              <w:bottom w:val="single" w:sz="4" w:space="0" w:color="000000"/>
            </w:tcBorders>
          </w:tcPr>
          <w:p>
            <w:pPr>
              <w:pStyle w:val="TableParagraph"/>
              <w:spacing w:line="220" w:lineRule="exact"/>
              <w:ind w:left="5"/>
              <w:jc w:val="center"/>
              <w:rPr>
                <w:rFonts w:ascii="Arial"/>
                <w:b/>
                <w:sz w:val="20"/>
              </w:rPr>
            </w:pPr>
            <w:r>
              <w:rPr>
                <w:rFonts w:ascii="Arial"/>
                <w:b/>
                <w:spacing w:val="-10"/>
                <w:sz w:val="20"/>
              </w:rPr>
              <w:t>F</w:t>
            </w:r>
          </w:p>
        </w:tc>
        <w:tc>
          <w:tcPr>
            <w:tcW w:w="733" w:type="dxa"/>
            <w:tcBorders>
              <w:top w:val="single" w:sz="4" w:space="0" w:color="000000"/>
              <w:bottom w:val="single" w:sz="4" w:space="0" w:color="000000"/>
            </w:tcBorders>
          </w:tcPr>
          <w:p>
            <w:pPr>
              <w:pStyle w:val="TableParagraph"/>
              <w:spacing w:line="220" w:lineRule="exact"/>
              <w:ind w:left="53" w:right="60"/>
              <w:jc w:val="center"/>
              <w:rPr>
                <w:rFonts w:ascii="Arial"/>
                <w:b/>
                <w:sz w:val="20"/>
              </w:rPr>
            </w:pPr>
            <w:r>
              <w:rPr>
                <w:rFonts w:ascii="Arial"/>
                <w:b/>
                <w:spacing w:val="-10"/>
                <w:sz w:val="20"/>
              </w:rPr>
              <w:t>%</w:t>
            </w:r>
          </w:p>
        </w:tc>
        <w:tc>
          <w:tcPr>
            <w:tcW w:w="743" w:type="dxa"/>
            <w:tcBorders>
              <w:top w:val="single" w:sz="4" w:space="0" w:color="000000"/>
              <w:bottom w:val="single" w:sz="4" w:space="0" w:color="000000"/>
            </w:tcBorders>
          </w:tcPr>
          <w:p>
            <w:pPr>
              <w:pStyle w:val="TableParagraph"/>
              <w:spacing w:line="220" w:lineRule="exact"/>
              <w:ind w:left="36" w:right="78"/>
              <w:jc w:val="center"/>
              <w:rPr>
                <w:rFonts w:ascii="Arial"/>
                <w:b/>
                <w:sz w:val="20"/>
              </w:rPr>
            </w:pPr>
            <w:r>
              <w:rPr>
                <w:rFonts w:ascii="Arial"/>
                <w:b/>
                <w:spacing w:val="-10"/>
                <w:sz w:val="20"/>
              </w:rPr>
              <w:t>F</w:t>
            </w:r>
          </w:p>
        </w:tc>
        <w:tc>
          <w:tcPr>
            <w:tcW w:w="877" w:type="dxa"/>
            <w:tcBorders>
              <w:top w:val="single" w:sz="4" w:space="0" w:color="000000"/>
              <w:bottom w:val="single" w:sz="4" w:space="0" w:color="000000"/>
            </w:tcBorders>
          </w:tcPr>
          <w:p>
            <w:pPr>
              <w:pStyle w:val="TableParagraph"/>
              <w:spacing w:line="220" w:lineRule="exact"/>
              <w:ind w:left="6" w:right="28"/>
              <w:jc w:val="center"/>
              <w:rPr>
                <w:rFonts w:ascii="Arial"/>
                <w:b/>
                <w:sz w:val="20"/>
              </w:rPr>
            </w:pPr>
            <w:r>
              <w:rPr>
                <w:rFonts w:ascii="Arial"/>
                <w:b/>
                <w:spacing w:val="-10"/>
                <w:sz w:val="20"/>
              </w:rPr>
              <w:t>%</w:t>
            </w:r>
          </w:p>
        </w:tc>
        <w:tc>
          <w:tcPr>
            <w:tcW w:w="685" w:type="dxa"/>
            <w:tcBorders>
              <w:top w:val="single" w:sz="4" w:space="0" w:color="000000"/>
              <w:bottom w:val="single" w:sz="4" w:space="0" w:color="000000"/>
            </w:tcBorders>
          </w:tcPr>
          <w:p>
            <w:pPr>
              <w:pStyle w:val="TableParagraph"/>
              <w:spacing w:line="220" w:lineRule="exact"/>
              <w:ind w:left="79" w:right="32"/>
              <w:jc w:val="center"/>
              <w:rPr>
                <w:rFonts w:ascii="Arial"/>
                <w:b/>
                <w:sz w:val="20"/>
              </w:rPr>
            </w:pPr>
            <w:r>
              <w:rPr>
                <w:rFonts w:ascii="Arial"/>
                <w:b/>
                <w:spacing w:val="-10"/>
                <w:sz w:val="20"/>
              </w:rPr>
              <w:t>F</w:t>
            </w:r>
          </w:p>
        </w:tc>
        <w:tc>
          <w:tcPr>
            <w:tcW w:w="800" w:type="dxa"/>
            <w:tcBorders>
              <w:top w:val="single" w:sz="4" w:space="0" w:color="000000"/>
              <w:bottom w:val="single" w:sz="4" w:space="0" w:color="000000"/>
            </w:tcBorders>
          </w:tcPr>
          <w:p>
            <w:pPr>
              <w:pStyle w:val="TableParagraph"/>
              <w:spacing w:line="220" w:lineRule="exact"/>
              <w:ind w:left="18" w:right="18"/>
              <w:jc w:val="center"/>
              <w:rPr>
                <w:rFonts w:ascii="Arial"/>
                <w:b/>
                <w:sz w:val="20"/>
              </w:rPr>
            </w:pPr>
            <w:r>
              <w:rPr>
                <w:rFonts w:ascii="Arial"/>
                <w:b/>
                <w:spacing w:val="-10"/>
                <w:sz w:val="20"/>
              </w:rPr>
              <w:t>%</w:t>
            </w:r>
          </w:p>
        </w:tc>
        <w:tc>
          <w:tcPr>
            <w:tcW w:w="627" w:type="dxa"/>
            <w:tcBorders>
              <w:top w:val="single" w:sz="4" w:space="0" w:color="000000"/>
              <w:bottom w:val="single" w:sz="4" w:space="0" w:color="000000"/>
            </w:tcBorders>
          </w:tcPr>
          <w:p>
            <w:pPr>
              <w:pStyle w:val="TableParagraph"/>
              <w:spacing w:line="220" w:lineRule="exact"/>
              <w:ind w:left="23" w:right="25"/>
              <w:jc w:val="center"/>
              <w:rPr>
                <w:rFonts w:ascii="Arial"/>
                <w:b/>
                <w:sz w:val="20"/>
              </w:rPr>
            </w:pPr>
            <w:r>
              <w:rPr>
                <w:rFonts w:ascii="Arial"/>
                <w:b/>
                <w:spacing w:val="-10"/>
                <w:sz w:val="20"/>
              </w:rPr>
              <w:t>F</w:t>
            </w:r>
          </w:p>
        </w:tc>
        <w:tc>
          <w:tcPr>
            <w:tcW w:w="771" w:type="dxa"/>
            <w:tcBorders>
              <w:top w:val="single" w:sz="4" w:space="0" w:color="000000"/>
              <w:bottom w:val="single" w:sz="4" w:space="0" w:color="000000"/>
            </w:tcBorders>
          </w:tcPr>
          <w:p>
            <w:pPr>
              <w:pStyle w:val="TableParagraph"/>
              <w:spacing w:line="220" w:lineRule="exact"/>
              <w:ind w:left="45" w:right="28"/>
              <w:jc w:val="center"/>
              <w:rPr>
                <w:rFonts w:ascii="Arial"/>
                <w:b/>
                <w:sz w:val="20"/>
              </w:rPr>
            </w:pPr>
            <w:r>
              <w:rPr>
                <w:rFonts w:ascii="Arial"/>
                <w:b/>
                <w:spacing w:val="-10"/>
                <w:sz w:val="20"/>
              </w:rPr>
              <w:t>%</w:t>
            </w:r>
          </w:p>
        </w:tc>
        <w:tc>
          <w:tcPr>
            <w:tcW w:w="692" w:type="dxa"/>
            <w:tcBorders>
              <w:top w:val="single" w:sz="4" w:space="0" w:color="000000"/>
              <w:bottom w:val="single" w:sz="4" w:space="0" w:color="000000"/>
            </w:tcBorders>
          </w:tcPr>
          <w:p>
            <w:pPr>
              <w:pStyle w:val="TableParagraph"/>
              <w:spacing w:line="220" w:lineRule="exact"/>
              <w:ind w:left="23" w:right="25"/>
              <w:jc w:val="center"/>
              <w:rPr>
                <w:rFonts w:ascii="Arial"/>
                <w:b/>
                <w:sz w:val="20"/>
              </w:rPr>
            </w:pPr>
            <w:r>
              <w:rPr>
                <w:rFonts w:ascii="Arial"/>
                <w:b/>
                <w:spacing w:val="-10"/>
                <w:sz w:val="20"/>
              </w:rPr>
              <w:t>F</w:t>
            </w:r>
          </w:p>
        </w:tc>
        <w:tc>
          <w:tcPr>
            <w:tcW w:w="739" w:type="dxa"/>
            <w:tcBorders>
              <w:top w:val="single" w:sz="4" w:space="0" w:color="000000"/>
              <w:bottom w:val="single" w:sz="4" w:space="0" w:color="000000"/>
              <w:right w:val="single" w:sz="4" w:space="0" w:color="000000"/>
            </w:tcBorders>
          </w:tcPr>
          <w:p>
            <w:pPr>
              <w:pStyle w:val="TableParagraph"/>
              <w:spacing w:line="220" w:lineRule="exact"/>
              <w:ind w:left="36" w:right="28"/>
              <w:jc w:val="center"/>
              <w:rPr>
                <w:rFonts w:ascii="Arial"/>
                <w:b/>
                <w:sz w:val="20"/>
              </w:rPr>
            </w:pPr>
            <w:r>
              <w:rPr>
                <w:rFonts w:ascii="Arial"/>
                <w:b/>
                <w:spacing w:val="-10"/>
                <w:sz w:val="20"/>
              </w:rPr>
              <w:t>%</w:t>
            </w:r>
          </w:p>
        </w:tc>
      </w:tr>
      <w:tr>
        <w:trPr>
          <w:trHeight w:val="227" w:hRule="atLeast"/>
        </w:trPr>
        <w:tc>
          <w:tcPr>
            <w:tcW w:w="3877" w:type="dxa"/>
            <w:tcBorders>
              <w:top w:val="single" w:sz="4" w:space="0" w:color="000000"/>
              <w:left w:val="single" w:sz="4" w:space="0" w:color="000000"/>
            </w:tcBorders>
          </w:tcPr>
          <w:p>
            <w:pPr>
              <w:pStyle w:val="TableParagraph"/>
              <w:tabs>
                <w:tab w:pos="830" w:val="left" w:leader="none"/>
              </w:tabs>
              <w:spacing w:line="208" w:lineRule="exact"/>
              <w:ind w:left="287"/>
              <w:rPr>
                <w:rFonts w:ascii="Arial"/>
                <w:b/>
                <w:sz w:val="20"/>
              </w:rPr>
            </w:pPr>
            <w:r>
              <w:rPr>
                <w:rFonts w:ascii="Arial"/>
                <w:b/>
                <w:spacing w:val="-10"/>
                <w:sz w:val="20"/>
              </w:rPr>
              <w:t>C</w:t>
            </w:r>
            <w:r>
              <w:rPr>
                <w:rFonts w:ascii="Arial"/>
                <w:b/>
                <w:sz w:val="20"/>
              </w:rPr>
              <w:tab/>
            </w:r>
            <w:r>
              <w:rPr>
                <w:rFonts w:ascii="Arial"/>
                <w:b/>
                <w:spacing w:val="-2"/>
                <w:sz w:val="20"/>
                <w:u w:val="single"/>
              </w:rPr>
              <w:t>MEDICAL/HEALTH</w:t>
            </w:r>
            <w:r>
              <w:rPr>
                <w:rFonts w:ascii="Arial"/>
                <w:b/>
                <w:spacing w:val="10"/>
                <w:sz w:val="20"/>
                <w:u w:val="single"/>
              </w:rPr>
              <w:t> </w:t>
            </w:r>
            <w:r>
              <w:rPr>
                <w:rFonts w:ascii="Arial"/>
                <w:b/>
                <w:spacing w:val="-2"/>
                <w:sz w:val="20"/>
                <w:u w:val="single"/>
              </w:rPr>
              <w:t>SERVICES</w:t>
            </w:r>
          </w:p>
        </w:tc>
        <w:tc>
          <w:tcPr>
            <w:tcW w:w="2249" w:type="dxa"/>
            <w:tcBorders>
              <w:top w:val="single" w:sz="4" w:space="0" w:color="000000"/>
            </w:tcBorders>
          </w:tcPr>
          <w:p>
            <w:pPr>
              <w:pStyle w:val="TableParagraph"/>
              <w:spacing w:line="208" w:lineRule="exact"/>
              <w:ind w:left="198"/>
              <w:rPr>
                <w:sz w:val="20"/>
              </w:rPr>
            </w:pPr>
            <w:r>
              <w:rPr>
                <w:sz w:val="20"/>
              </w:rPr>
              <w:t>No.</w:t>
            </w:r>
            <w:r>
              <w:rPr>
                <w:spacing w:val="-5"/>
                <w:sz w:val="20"/>
              </w:rPr>
              <w:t> </w:t>
            </w:r>
            <w:r>
              <w:rPr>
                <w:sz w:val="20"/>
              </w:rPr>
              <w:t>of</w:t>
            </w:r>
            <w:r>
              <w:rPr>
                <w:spacing w:val="-2"/>
                <w:sz w:val="20"/>
              </w:rPr>
              <w:t> missing</w:t>
            </w:r>
          </w:p>
        </w:tc>
        <w:tc>
          <w:tcPr>
            <w:tcW w:w="676" w:type="dxa"/>
            <w:tcBorders>
              <w:top w:val="single" w:sz="4" w:space="0" w:color="000000"/>
            </w:tcBorders>
          </w:tcPr>
          <w:p>
            <w:pPr>
              <w:pStyle w:val="TableParagraph"/>
              <w:rPr>
                <w:rFonts w:ascii="Times New Roman"/>
                <w:sz w:val="16"/>
              </w:rPr>
            </w:pPr>
          </w:p>
        </w:tc>
        <w:tc>
          <w:tcPr>
            <w:tcW w:w="759" w:type="dxa"/>
            <w:tcBorders>
              <w:top w:val="single" w:sz="4" w:space="0" w:color="000000"/>
            </w:tcBorders>
          </w:tcPr>
          <w:p>
            <w:pPr>
              <w:pStyle w:val="TableParagraph"/>
              <w:rPr>
                <w:rFonts w:ascii="Times New Roman"/>
                <w:sz w:val="16"/>
              </w:rPr>
            </w:pPr>
          </w:p>
        </w:tc>
        <w:tc>
          <w:tcPr>
            <w:tcW w:w="548" w:type="dxa"/>
            <w:tcBorders>
              <w:top w:val="single" w:sz="4" w:space="0" w:color="000000"/>
            </w:tcBorders>
          </w:tcPr>
          <w:p>
            <w:pPr>
              <w:pStyle w:val="TableParagraph"/>
              <w:rPr>
                <w:rFonts w:ascii="Times New Roman"/>
                <w:sz w:val="16"/>
              </w:rPr>
            </w:pPr>
          </w:p>
        </w:tc>
        <w:tc>
          <w:tcPr>
            <w:tcW w:w="733" w:type="dxa"/>
            <w:tcBorders>
              <w:top w:val="single" w:sz="4" w:space="0" w:color="000000"/>
            </w:tcBorders>
          </w:tcPr>
          <w:p>
            <w:pPr>
              <w:pStyle w:val="TableParagraph"/>
              <w:rPr>
                <w:rFonts w:ascii="Times New Roman"/>
                <w:sz w:val="16"/>
              </w:rPr>
            </w:pPr>
          </w:p>
        </w:tc>
        <w:tc>
          <w:tcPr>
            <w:tcW w:w="743" w:type="dxa"/>
            <w:tcBorders>
              <w:top w:val="single" w:sz="4" w:space="0" w:color="000000"/>
            </w:tcBorders>
          </w:tcPr>
          <w:p>
            <w:pPr>
              <w:pStyle w:val="TableParagraph"/>
              <w:rPr>
                <w:rFonts w:ascii="Times New Roman"/>
                <w:sz w:val="16"/>
              </w:rPr>
            </w:pPr>
          </w:p>
        </w:tc>
        <w:tc>
          <w:tcPr>
            <w:tcW w:w="877" w:type="dxa"/>
            <w:tcBorders>
              <w:top w:val="single" w:sz="4" w:space="0" w:color="000000"/>
            </w:tcBorders>
          </w:tcPr>
          <w:p>
            <w:pPr>
              <w:pStyle w:val="TableParagraph"/>
              <w:rPr>
                <w:rFonts w:ascii="Times New Roman"/>
                <w:sz w:val="16"/>
              </w:rPr>
            </w:pPr>
          </w:p>
        </w:tc>
        <w:tc>
          <w:tcPr>
            <w:tcW w:w="685" w:type="dxa"/>
            <w:tcBorders>
              <w:top w:val="single" w:sz="4" w:space="0" w:color="000000"/>
            </w:tcBorders>
          </w:tcPr>
          <w:p>
            <w:pPr>
              <w:pStyle w:val="TableParagraph"/>
              <w:rPr>
                <w:rFonts w:ascii="Times New Roman"/>
                <w:sz w:val="16"/>
              </w:rPr>
            </w:pPr>
          </w:p>
        </w:tc>
        <w:tc>
          <w:tcPr>
            <w:tcW w:w="800" w:type="dxa"/>
            <w:tcBorders>
              <w:top w:val="single" w:sz="4" w:space="0" w:color="000000"/>
            </w:tcBorders>
          </w:tcPr>
          <w:p>
            <w:pPr>
              <w:pStyle w:val="TableParagraph"/>
              <w:rPr>
                <w:rFonts w:ascii="Times New Roman"/>
                <w:sz w:val="16"/>
              </w:rPr>
            </w:pPr>
          </w:p>
        </w:tc>
        <w:tc>
          <w:tcPr>
            <w:tcW w:w="627" w:type="dxa"/>
            <w:tcBorders>
              <w:top w:val="single" w:sz="4" w:space="0" w:color="000000"/>
            </w:tcBorders>
          </w:tcPr>
          <w:p>
            <w:pPr>
              <w:pStyle w:val="TableParagraph"/>
              <w:rPr>
                <w:rFonts w:ascii="Times New Roman"/>
                <w:sz w:val="16"/>
              </w:rPr>
            </w:pPr>
          </w:p>
        </w:tc>
        <w:tc>
          <w:tcPr>
            <w:tcW w:w="771" w:type="dxa"/>
            <w:tcBorders>
              <w:top w:val="single" w:sz="4" w:space="0" w:color="000000"/>
            </w:tcBorders>
          </w:tcPr>
          <w:p>
            <w:pPr>
              <w:pStyle w:val="TableParagraph"/>
              <w:rPr>
                <w:rFonts w:ascii="Times New Roman"/>
                <w:sz w:val="16"/>
              </w:rPr>
            </w:pPr>
          </w:p>
        </w:tc>
        <w:tc>
          <w:tcPr>
            <w:tcW w:w="692" w:type="dxa"/>
            <w:tcBorders>
              <w:top w:val="single" w:sz="4" w:space="0" w:color="000000"/>
            </w:tcBorders>
          </w:tcPr>
          <w:p>
            <w:pPr>
              <w:pStyle w:val="TableParagraph"/>
              <w:rPr>
                <w:rFonts w:ascii="Times New Roman"/>
                <w:sz w:val="16"/>
              </w:rPr>
            </w:pPr>
          </w:p>
        </w:tc>
        <w:tc>
          <w:tcPr>
            <w:tcW w:w="739" w:type="dxa"/>
            <w:tcBorders>
              <w:top w:val="single" w:sz="4" w:space="0" w:color="000000"/>
              <w:right w:val="single" w:sz="4" w:space="0" w:color="000000"/>
            </w:tcBorders>
          </w:tcPr>
          <w:p>
            <w:pPr>
              <w:pStyle w:val="TableParagraph"/>
              <w:rPr>
                <w:rFonts w:ascii="Times New Roman"/>
                <w:sz w:val="16"/>
              </w:rPr>
            </w:pPr>
          </w:p>
        </w:tc>
      </w:tr>
      <w:tr>
        <w:trPr>
          <w:trHeight w:val="230" w:hRule="atLeast"/>
        </w:trPr>
        <w:tc>
          <w:tcPr>
            <w:tcW w:w="3877" w:type="dxa"/>
            <w:tcBorders>
              <w:left w:val="single" w:sz="4" w:space="0" w:color="000000"/>
            </w:tcBorders>
          </w:tcPr>
          <w:p>
            <w:pPr>
              <w:pStyle w:val="TableParagraph"/>
              <w:rPr>
                <w:rFonts w:ascii="Times New Roman"/>
                <w:sz w:val="16"/>
              </w:rPr>
            </w:pPr>
          </w:p>
        </w:tc>
        <w:tc>
          <w:tcPr>
            <w:tcW w:w="2249" w:type="dxa"/>
          </w:tcPr>
          <w:p>
            <w:pPr>
              <w:pStyle w:val="TableParagraph"/>
              <w:spacing w:line="210" w:lineRule="exact"/>
              <w:ind w:left="198"/>
              <w:rPr>
                <w:sz w:val="20"/>
              </w:rPr>
            </w:pPr>
            <w:r>
              <w:rPr>
                <w:spacing w:val="-2"/>
                <w:sz w:val="20"/>
              </w:rPr>
              <w:t>observations</w:t>
            </w:r>
          </w:p>
        </w:tc>
        <w:tc>
          <w:tcPr>
            <w:tcW w:w="676" w:type="dxa"/>
          </w:tcPr>
          <w:p>
            <w:pPr>
              <w:pStyle w:val="TableParagraph"/>
              <w:spacing w:line="210" w:lineRule="exact"/>
              <w:ind w:left="48" w:right="7"/>
              <w:jc w:val="center"/>
              <w:rPr>
                <w:sz w:val="20"/>
              </w:rPr>
            </w:pPr>
            <w:r>
              <w:rPr>
                <w:spacing w:val="-10"/>
                <w:sz w:val="20"/>
              </w:rPr>
              <w:t>-</w:t>
            </w:r>
          </w:p>
        </w:tc>
        <w:tc>
          <w:tcPr>
            <w:tcW w:w="759" w:type="dxa"/>
          </w:tcPr>
          <w:p>
            <w:pPr>
              <w:pStyle w:val="TableParagraph"/>
              <w:spacing w:line="210" w:lineRule="exact"/>
              <w:ind w:left="53" w:right="7"/>
              <w:jc w:val="center"/>
              <w:rPr>
                <w:sz w:val="20"/>
              </w:rPr>
            </w:pPr>
            <w:r>
              <w:rPr>
                <w:spacing w:val="-10"/>
                <w:sz w:val="20"/>
              </w:rPr>
              <w:t>-</w:t>
            </w:r>
          </w:p>
        </w:tc>
        <w:tc>
          <w:tcPr>
            <w:tcW w:w="548" w:type="dxa"/>
          </w:tcPr>
          <w:p>
            <w:pPr>
              <w:pStyle w:val="TableParagraph"/>
              <w:spacing w:line="210" w:lineRule="exact"/>
              <w:ind w:left="5" w:right="5"/>
              <w:jc w:val="center"/>
              <w:rPr>
                <w:sz w:val="20"/>
              </w:rPr>
            </w:pPr>
            <w:r>
              <w:rPr>
                <w:spacing w:val="-10"/>
                <w:sz w:val="20"/>
              </w:rPr>
              <w:t>-</w:t>
            </w:r>
          </w:p>
        </w:tc>
        <w:tc>
          <w:tcPr>
            <w:tcW w:w="733" w:type="dxa"/>
          </w:tcPr>
          <w:p>
            <w:pPr>
              <w:pStyle w:val="TableParagraph"/>
              <w:spacing w:line="210" w:lineRule="exact"/>
              <w:ind w:left="53" w:right="67"/>
              <w:jc w:val="center"/>
              <w:rPr>
                <w:sz w:val="20"/>
              </w:rPr>
            </w:pPr>
            <w:r>
              <w:rPr>
                <w:spacing w:val="-10"/>
                <w:sz w:val="20"/>
              </w:rPr>
              <w:t>-</w:t>
            </w:r>
          </w:p>
        </w:tc>
        <w:tc>
          <w:tcPr>
            <w:tcW w:w="743" w:type="dxa"/>
          </w:tcPr>
          <w:p>
            <w:pPr>
              <w:pStyle w:val="TableParagraph"/>
              <w:spacing w:line="210" w:lineRule="exact"/>
              <w:ind w:left="36" w:right="79"/>
              <w:jc w:val="center"/>
              <w:rPr>
                <w:sz w:val="20"/>
              </w:rPr>
            </w:pPr>
            <w:r>
              <w:rPr>
                <w:spacing w:val="-10"/>
                <w:sz w:val="20"/>
              </w:rPr>
              <w:t>1</w:t>
            </w:r>
          </w:p>
        </w:tc>
        <w:tc>
          <w:tcPr>
            <w:tcW w:w="877" w:type="dxa"/>
          </w:tcPr>
          <w:p>
            <w:pPr>
              <w:pStyle w:val="TableParagraph"/>
              <w:spacing w:line="210" w:lineRule="exact"/>
              <w:ind w:left="6" w:right="28"/>
              <w:jc w:val="center"/>
              <w:rPr>
                <w:sz w:val="20"/>
              </w:rPr>
            </w:pPr>
            <w:r>
              <w:rPr>
                <w:spacing w:val="-4"/>
                <w:sz w:val="20"/>
              </w:rPr>
              <w:t>50.0</w:t>
            </w:r>
          </w:p>
        </w:tc>
        <w:tc>
          <w:tcPr>
            <w:tcW w:w="685" w:type="dxa"/>
          </w:tcPr>
          <w:p>
            <w:pPr>
              <w:pStyle w:val="TableParagraph"/>
              <w:spacing w:line="210" w:lineRule="exact"/>
              <w:ind w:left="77" w:right="32"/>
              <w:jc w:val="center"/>
              <w:rPr>
                <w:sz w:val="20"/>
              </w:rPr>
            </w:pPr>
            <w:r>
              <w:rPr>
                <w:spacing w:val="-10"/>
                <w:sz w:val="20"/>
              </w:rPr>
              <w:t>1</w:t>
            </w:r>
          </w:p>
        </w:tc>
        <w:tc>
          <w:tcPr>
            <w:tcW w:w="800" w:type="dxa"/>
          </w:tcPr>
          <w:p>
            <w:pPr>
              <w:pStyle w:val="TableParagraph"/>
              <w:spacing w:line="210" w:lineRule="exact"/>
              <w:ind w:left="18" w:right="18"/>
              <w:jc w:val="center"/>
              <w:rPr>
                <w:sz w:val="20"/>
              </w:rPr>
            </w:pPr>
            <w:r>
              <w:rPr>
                <w:spacing w:val="-4"/>
                <w:sz w:val="20"/>
              </w:rPr>
              <w:t>50.0</w:t>
            </w:r>
          </w:p>
        </w:tc>
        <w:tc>
          <w:tcPr>
            <w:tcW w:w="627" w:type="dxa"/>
          </w:tcPr>
          <w:p>
            <w:pPr>
              <w:pStyle w:val="TableParagraph"/>
              <w:spacing w:line="210" w:lineRule="exact"/>
              <w:ind w:left="23" w:right="33"/>
              <w:jc w:val="center"/>
              <w:rPr>
                <w:sz w:val="20"/>
              </w:rPr>
            </w:pPr>
            <w:r>
              <w:rPr>
                <w:spacing w:val="-10"/>
                <w:sz w:val="20"/>
              </w:rPr>
              <w:t>-</w:t>
            </w:r>
          </w:p>
        </w:tc>
        <w:tc>
          <w:tcPr>
            <w:tcW w:w="771" w:type="dxa"/>
          </w:tcPr>
          <w:p>
            <w:pPr>
              <w:pStyle w:val="TableParagraph"/>
              <w:spacing w:line="210" w:lineRule="exact"/>
              <w:ind w:left="45" w:right="35"/>
              <w:jc w:val="center"/>
              <w:rPr>
                <w:sz w:val="20"/>
              </w:rPr>
            </w:pPr>
            <w:r>
              <w:rPr>
                <w:spacing w:val="-10"/>
                <w:sz w:val="20"/>
              </w:rPr>
              <w:t>-</w:t>
            </w:r>
          </w:p>
        </w:tc>
        <w:tc>
          <w:tcPr>
            <w:tcW w:w="692" w:type="dxa"/>
          </w:tcPr>
          <w:p>
            <w:pPr>
              <w:pStyle w:val="TableParagraph"/>
              <w:spacing w:line="210" w:lineRule="exact"/>
              <w:ind w:left="23" w:right="26"/>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33"/>
              <w:jc w:val="center"/>
              <w:rPr>
                <w:sz w:val="20"/>
              </w:rPr>
            </w:pPr>
            <w:r>
              <w:rPr>
                <w:spacing w:val="-5"/>
                <w:sz w:val="20"/>
              </w:rPr>
              <w:t>0.4</w:t>
            </w:r>
          </w:p>
        </w:tc>
      </w:tr>
      <w:tr>
        <w:trPr>
          <w:trHeight w:val="230" w:hRule="atLeast"/>
        </w:trPr>
        <w:tc>
          <w:tcPr>
            <w:tcW w:w="3877" w:type="dxa"/>
            <w:tcBorders>
              <w:left w:val="single" w:sz="4" w:space="0" w:color="000000"/>
            </w:tcBorders>
          </w:tcPr>
          <w:p>
            <w:pPr>
              <w:pStyle w:val="TableParagraph"/>
              <w:tabs>
                <w:tab w:pos="830" w:val="left" w:leader="none"/>
              </w:tabs>
              <w:spacing w:line="210" w:lineRule="exact"/>
              <w:ind w:left="220"/>
              <w:rPr>
                <w:sz w:val="20"/>
              </w:rPr>
            </w:pPr>
            <w:r>
              <w:rPr>
                <w:spacing w:val="-5"/>
                <w:sz w:val="20"/>
              </w:rPr>
              <w:t>21.</w:t>
            </w:r>
            <w:r>
              <w:rPr>
                <w:sz w:val="20"/>
              </w:rPr>
              <w:tab/>
              <w:t>Sick</w:t>
            </w:r>
            <w:r>
              <w:rPr>
                <w:spacing w:val="-5"/>
                <w:sz w:val="20"/>
              </w:rPr>
              <w:t> </w:t>
            </w:r>
            <w:r>
              <w:rPr>
                <w:sz w:val="20"/>
              </w:rPr>
              <w:t>bays</w:t>
            </w:r>
            <w:r>
              <w:rPr>
                <w:spacing w:val="-4"/>
                <w:sz w:val="20"/>
              </w:rPr>
              <w:t> </w:t>
            </w:r>
            <w:r>
              <w:rPr>
                <w:spacing w:val="-2"/>
                <w:sz w:val="20"/>
              </w:rPr>
              <w:t>(Clinics)</w:t>
            </w:r>
          </w:p>
        </w:tc>
        <w:tc>
          <w:tcPr>
            <w:tcW w:w="2249" w:type="dxa"/>
          </w:tcPr>
          <w:p>
            <w:pPr>
              <w:pStyle w:val="TableParagraph"/>
              <w:spacing w:line="210" w:lineRule="exact"/>
              <w:ind w:left="198"/>
              <w:rPr>
                <w:sz w:val="20"/>
              </w:rPr>
            </w:pPr>
            <w:r>
              <w:rPr>
                <w:spacing w:val="-2"/>
                <w:sz w:val="20"/>
              </w:rPr>
              <w:t>Students</w:t>
            </w:r>
          </w:p>
        </w:tc>
        <w:tc>
          <w:tcPr>
            <w:tcW w:w="676" w:type="dxa"/>
          </w:tcPr>
          <w:p>
            <w:pPr>
              <w:pStyle w:val="TableParagraph"/>
              <w:spacing w:line="210" w:lineRule="exact"/>
              <w:ind w:left="48"/>
              <w:jc w:val="center"/>
              <w:rPr>
                <w:sz w:val="20"/>
              </w:rPr>
            </w:pPr>
            <w:r>
              <w:rPr>
                <w:spacing w:val="-10"/>
                <w:sz w:val="20"/>
              </w:rPr>
              <w:t>3</w:t>
            </w:r>
          </w:p>
        </w:tc>
        <w:tc>
          <w:tcPr>
            <w:tcW w:w="759" w:type="dxa"/>
          </w:tcPr>
          <w:p>
            <w:pPr>
              <w:pStyle w:val="TableParagraph"/>
              <w:spacing w:line="210" w:lineRule="exact"/>
              <w:ind w:left="53" w:right="5"/>
              <w:jc w:val="center"/>
              <w:rPr>
                <w:sz w:val="20"/>
              </w:rPr>
            </w:pPr>
            <w:r>
              <w:rPr>
                <w:spacing w:val="-5"/>
                <w:sz w:val="20"/>
              </w:rPr>
              <w:t>1.3</w:t>
            </w:r>
          </w:p>
        </w:tc>
        <w:tc>
          <w:tcPr>
            <w:tcW w:w="548" w:type="dxa"/>
          </w:tcPr>
          <w:p>
            <w:pPr>
              <w:pStyle w:val="TableParagraph"/>
              <w:spacing w:line="210" w:lineRule="exact"/>
              <w:ind w:left="5" w:right="2"/>
              <w:jc w:val="center"/>
              <w:rPr>
                <w:sz w:val="20"/>
              </w:rPr>
            </w:pPr>
            <w:r>
              <w:rPr>
                <w:spacing w:val="-10"/>
                <w:sz w:val="20"/>
              </w:rPr>
              <w:t>4</w:t>
            </w:r>
          </w:p>
        </w:tc>
        <w:tc>
          <w:tcPr>
            <w:tcW w:w="733" w:type="dxa"/>
          </w:tcPr>
          <w:p>
            <w:pPr>
              <w:pStyle w:val="TableParagraph"/>
              <w:spacing w:line="210" w:lineRule="exact"/>
              <w:ind w:left="53" w:right="65"/>
              <w:jc w:val="center"/>
              <w:rPr>
                <w:sz w:val="20"/>
              </w:rPr>
            </w:pPr>
            <w:r>
              <w:rPr>
                <w:spacing w:val="-5"/>
                <w:sz w:val="20"/>
              </w:rPr>
              <w:t>1.7</w:t>
            </w:r>
          </w:p>
        </w:tc>
        <w:tc>
          <w:tcPr>
            <w:tcW w:w="743" w:type="dxa"/>
          </w:tcPr>
          <w:p>
            <w:pPr>
              <w:pStyle w:val="TableParagraph"/>
              <w:spacing w:line="210" w:lineRule="exact"/>
              <w:ind w:left="36" w:right="89"/>
              <w:jc w:val="center"/>
              <w:rPr>
                <w:sz w:val="20"/>
              </w:rPr>
            </w:pPr>
            <w:r>
              <w:rPr>
                <w:spacing w:val="-5"/>
                <w:sz w:val="20"/>
              </w:rPr>
              <w:t>112</w:t>
            </w:r>
          </w:p>
        </w:tc>
        <w:tc>
          <w:tcPr>
            <w:tcW w:w="877" w:type="dxa"/>
          </w:tcPr>
          <w:p>
            <w:pPr>
              <w:pStyle w:val="TableParagraph"/>
              <w:spacing w:line="210" w:lineRule="exact"/>
              <w:ind w:left="6" w:right="28"/>
              <w:jc w:val="center"/>
              <w:rPr>
                <w:sz w:val="20"/>
              </w:rPr>
            </w:pPr>
            <w:r>
              <w:rPr>
                <w:spacing w:val="-4"/>
                <w:sz w:val="20"/>
              </w:rPr>
              <w:t>47.7</w:t>
            </w:r>
          </w:p>
        </w:tc>
        <w:tc>
          <w:tcPr>
            <w:tcW w:w="685" w:type="dxa"/>
          </w:tcPr>
          <w:p>
            <w:pPr>
              <w:pStyle w:val="TableParagraph"/>
              <w:spacing w:line="210" w:lineRule="exact"/>
              <w:ind w:left="73" w:right="32"/>
              <w:jc w:val="center"/>
              <w:rPr>
                <w:sz w:val="20"/>
              </w:rPr>
            </w:pPr>
            <w:r>
              <w:rPr>
                <w:spacing w:val="-5"/>
                <w:sz w:val="20"/>
              </w:rPr>
              <w:t>84</w:t>
            </w:r>
          </w:p>
        </w:tc>
        <w:tc>
          <w:tcPr>
            <w:tcW w:w="800" w:type="dxa"/>
          </w:tcPr>
          <w:p>
            <w:pPr>
              <w:pStyle w:val="TableParagraph"/>
              <w:spacing w:line="210" w:lineRule="exact"/>
              <w:ind w:left="18" w:right="18"/>
              <w:jc w:val="center"/>
              <w:rPr>
                <w:sz w:val="20"/>
              </w:rPr>
            </w:pPr>
            <w:r>
              <w:rPr>
                <w:spacing w:val="-4"/>
                <w:sz w:val="20"/>
              </w:rPr>
              <w:t>35.7</w:t>
            </w:r>
          </w:p>
        </w:tc>
        <w:tc>
          <w:tcPr>
            <w:tcW w:w="627" w:type="dxa"/>
          </w:tcPr>
          <w:p>
            <w:pPr>
              <w:pStyle w:val="TableParagraph"/>
              <w:spacing w:line="210" w:lineRule="exact"/>
              <w:ind w:left="23" w:right="31"/>
              <w:jc w:val="center"/>
              <w:rPr>
                <w:sz w:val="20"/>
              </w:rPr>
            </w:pPr>
            <w:r>
              <w:rPr>
                <w:spacing w:val="-5"/>
                <w:sz w:val="20"/>
              </w:rPr>
              <w:t>32</w:t>
            </w:r>
          </w:p>
        </w:tc>
        <w:tc>
          <w:tcPr>
            <w:tcW w:w="771" w:type="dxa"/>
          </w:tcPr>
          <w:p>
            <w:pPr>
              <w:pStyle w:val="TableParagraph"/>
              <w:spacing w:line="210" w:lineRule="exact"/>
              <w:ind w:left="45" w:right="28"/>
              <w:jc w:val="center"/>
              <w:rPr>
                <w:sz w:val="20"/>
              </w:rPr>
            </w:pPr>
            <w:r>
              <w:rPr>
                <w:spacing w:val="-4"/>
                <w:sz w:val="20"/>
              </w:rPr>
              <w:t>13.6</w:t>
            </w:r>
          </w:p>
        </w:tc>
        <w:tc>
          <w:tcPr>
            <w:tcW w:w="692" w:type="dxa"/>
          </w:tcPr>
          <w:p>
            <w:pPr>
              <w:pStyle w:val="TableParagraph"/>
              <w:spacing w:line="210" w:lineRule="exact"/>
              <w:ind w:left="23" w:right="36"/>
              <w:jc w:val="center"/>
              <w:rPr>
                <w:sz w:val="20"/>
              </w:rPr>
            </w:pPr>
            <w:r>
              <w:rPr>
                <w:spacing w:val="-5"/>
                <w:sz w:val="20"/>
              </w:rPr>
              <w:t>235</w:t>
            </w:r>
          </w:p>
        </w:tc>
        <w:tc>
          <w:tcPr>
            <w:tcW w:w="739" w:type="dxa"/>
            <w:tcBorders>
              <w:right w:val="single" w:sz="4" w:space="0" w:color="000000"/>
            </w:tcBorders>
          </w:tcPr>
          <w:p>
            <w:pPr>
              <w:pStyle w:val="TableParagraph"/>
              <w:spacing w:line="210" w:lineRule="exact"/>
              <w:ind w:left="36" w:right="28"/>
              <w:jc w:val="center"/>
              <w:rPr>
                <w:sz w:val="20"/>
              </w:rPr>
            </w:pPr>
            <w:r>
              <w:rPr>
                <w:spacing w:val="-4"/>
                <w:sz w:val="20"/>
              </w:rPr>
              <w:t>50.8</w:t>
            </w:r>
          </w:p>
        </w:tc>
      </w:tr>
      <w:tr>
        <w:trPr>
          <w:trHeight w:val="230" w:hRule="atLeast"/>
        </w:trPr>
        <w:tc>
          <w:tcPr>
            <w:tcW w:w="3877" w:type="dxa"/>
            <w:tcBorders>
              <w:left w:val="single" w:sz="4" w:space="0" w:color="000000"/>
            </w:tcBorders>
          </w:tcPr>
          <w:p>
            <w:pPr>
              <w:pStyle w:val="TableParagraph"/>
              <w:rPr>
                <w:rFonts w:ascii="Times New Roman"/>
                <w:sz w:val="16"/>
              </w:rPr>
            </w:pPr>
          </w:p>
        </w:tc>
        <w:tc>
          <w:tcPr>
            <w:tcW w:w="2249" w:type="dxa"/>
          </w:tcPr>
          <w:p>
            <w:pPr>
              <w:pStyle w:val="TableParagraph"/>
              <w:spacing w:line="210" w:lineRule="exact"/>
              <w:ind w:left="198"/>
              <w:rPr>
                <w:sz w:val="20"/>
              </w:rPr>
            </w:pPr>
            <w:r>
              <w:rPr>
                <w:sz w:val="20"/>
              </w:rPr>
              <w:t>Service</w:t>
            </w:r>
            <w:r>
              <w:rPr>
                <w:spacing w:val="-9"/>
                <w:sz w:val="20"/>
              </w:rPr>
              <w:t> </w:t>
            </w:r>
            <w:r>
              <w:rPr>
                <w:spacing w:val="-2"/>
                <w:sz w:val="20"/>
              </w:rPr>
              <w:t>Staff</w:t>
            </w:r>
          </w:p>
        </w:tc>
        <w:tc>
          <w:tcPr>
            <w:tcW w:w="676" w:type="dxa"/>
          </w:tcPr>
          <w:p>
            <w:pPr>
              <w:pStyle w:val="TableParagraph"/>
              <w:spacing w:line="210" w:lineRule="exact"/>
              <w:ind w:left="48" w:right="5"/>
              <w:jc w:val="center"/>
              <w:rPr>
                <w:sz w:val="20"/>
              </w:rPr>
            </w:pPr>
            <w:r>
              <w:rPr>
                <w:spacing w:val="-5"/>
                <w:sz w:val="20"/>
              </w:rPr>
              <w:t>10</w:t>
            </w:r>
          </w:p>
        </w:tc>
        <w:tc>
          <w:tcPr>
            <w:tcW w:w="759" w:type="dxa"/>
          </w:tcPr>
          <w:p>
            <w:pPr>
              <w:pStyle w:val="TableParagraph"/>
              <w:spacing w:line="210" w:lineRule="exact"/>
              <w:ind w:left="53" w:right="5"/>
              <w:jc w:val="center"/>
              <w:rPr>
                <w:sz w:val="20"/>
              </w:rPr>
            </w:pPr>
            <w:r>
              <w:rPr>
                <w:spacing w:val="-5"/>
                <w:sz w:val="20"/>
              </w:rPr>
              <w:t>4.9</w:t>
            </w:r>
          </w:p>
        </w:tc>
        <w:tc>
          <w:tcPr>
            <w:tcW w:w="548" w:type="dxa"/>
          </w:tcPr>
          <w:p>
            <w:pPr>
              <w:pStyle w:val="TableParagraph"/>
              <w:spacing w:line="210" w:lineRule="exact"/>
              <w:ind w:left="5" w:right="2"/>
              <w:jc w:val="center"/>
              <w:rPr>
                <w:sz w:val="20"/>
              </w:rPr>
            </w:pPr>
            <w:r>
              <w:rPr>
                <w:spacing w:val="-10"/>
                <w:sz w:val="20"/>
              </w:rPr>
              <w:t>9</w:t>
            </w:r>
          </w:p>
        </w:tc>
        <w:tc>
          <w:tcPr>
            <w:tcW w:w="733" w:type="dxa"/>
          </w:tcPr>
          <w:p>
            <w:pPr>
              <w:pStyle w:val="TableParagraph"/>
              <w:spacing w:line="210" w:lineRule="exact"/>
              <w:ind w:left="53" w:right="65"/>
              <w:jc w:val="center"/>
              <w:rPr>
                <w:sz w:val="20"/>
              </w:rPr>
            </w:pPr>
            <w:r>
              <w:rPr>
                <w:spacing w:val="-5"/>
                <w:sz w:val="20"/>
              </w:rPr>
              <w:t>4.4</w:t>
            </w:r>
          </w:p>
        </w:tc>
        <w:tc>
          <w:tcPr>
            <w:tcW w:w="743" w:type="dxa"/>
          </w:tcPr>
          <w:p>
            <w:pPr>
              <w:pStyle w:val="TableParagraph"/>
              <w:spacing w:line="210" w:lineRule="exact"/>
              <w:ind w:left="36" w:right="84"/>
              <w:jc w:val="center"/>
              <w:rPr>
                <w:sz w:val="20"/>
              </w:rPr>
            </w:pPr>
            <w:r>
              <w:rPr>
                <w:spacing w:val="-5"/>
                <w:sz w:val="20"/>
              </w:rPr>
              <w:t>74</w:t>
            </w:r>
          </w:p>
        </w:tc>
        <w:tc>
          <w:tcPr>
            <w:tcW w:w="877" w:type="dxa"/>
          </w:tcPr>
          <w:p>
            <w:pPr>
              <w:pStyle w:val="TableParagraph"/>
              <w:spacing w:line="210" w:lineRule="exact"/>
              <w:ind w:left="6" w:right="28"/>
              <w:jc w:val="center"/>
              <w:rPr>
                <w:sz w:val="20"/>
              </w:rPr>
            </w:pPr>
            <w:r>
              <w:rPr>
                <w:spacing w:val="-4"/>
                <w:sz w:val="20"/>
              </w:rPr>
              <w:t>36.5</w:t>
            </w:r>
          </w:p>
        </w:tc>
        <w:tc>
          <w:tcPr>
            <w:tcW w:w="685" w:type="dxa"/>
          </w:tcPr>
          <w:p>
            <w:pPr>
              <w:pStyle w:val="TableParagraph"/>
              <w:spacing w:line="210" w:lineRule="exact"/>
              <w:ind w:left="73" w:right="32"/>
              <w:jc w:val="center"/>
              <w:rPr>
                <w:sz w:val="20"/>
              </w:rPr>
            </w:pPr>
            <w:r>
              <w:rPr>
                <w:spacing w:val="-5"/>
                <w:sz w:val="20"/>
              </w:rPr>
              <w:t>85</w:t>
            </w:r>
          </w:p>
        </w:tc>
        <w:tc>
          <w:tcPr>
            <w:tcW w:w="800" w:type="dxa"/>
          </w:tcPr>
          <w:p>
            <w:pPr>
              <w:pStyle w:val="TableParagraph"/>
              <w:spacing w:line="210" w:lineRule="exact"/>
              <w:ind w:left="18" w:right="18"/>
              <w:jc w:val="center"/>
              <w:rPr>
                <w:sz w:val="20"/>
              </w:rPr>
            </w:pPr>
            <w:r>
              <w:rPr>
                <w:spacing w:val="-4"/>
                <w:sz w:val="20"/>
              </w:rPr>
              <w:t>41.9</w:t>
            </w:r>
          </w:p>
        </w:tc>
        <w:tc>
          <w:tcPr>
            <w:tcW w:w="627" w:type="dxa"/>
          </w:tcPr>
          <w:p>
            <w:pPr>
              <w:pStyle w:val="TableParagraph"/>
              <w:spacing w:line="210" w:lineRule="exact"/>
              <w:ind w:left="23" w:right="31"/>
              <w:jc w:val="center"/>
              <w:rPr>
                <w:sz w:val="20"/>
              </w:rPr>
            </w:pPr>
            <w:r>
              <w:rPr>
                <w:spacing w:val="-5"/>
                <w:sz w:val="20"/>
              </w:rPr>
              <w:t>25</w:t>
            </w:r>
          </w:p>
        </w:tc>
        <w:tc>
          <w:tcPr>
            <w:tcW w:w="771" w:type="dxa"/>
          </w:tcPr>
          <w:p>
            <w:pPr>
              <w:pStyle w:val="TableParagraph"/>
              <w:spacing w:line="210" w:lineRule="exact"/>
              <w:ind w:left="45" w:right="28"/>
              <w:jc w:val="center"/>
              <w:rPr>
                <w:sz w:val="20"/>
              </w:rPr>
            </w:pPr>
            <w:r>
              <w:rPr>
                <w:spacing w:val="-4"/>
                <w:sz w:val="20"/>
              </w:rPr>
              <w:t>12.3</w:t>
            </w:r>
          </w:p>
        </w:tc>
        <w:tc>
          <w:tcPr>
            <w:tcW w:w="692" w:type="dxa"/>
          </w:tcPr>
          <w:p>
            <w:pPr>
              <w:pStyle w:val="TableParagraph"/>
              <w:spacing w:line="210" w:lineRule="exact"/>
              <w:ind w:left="23" w:right="36"/>
              <w:jc w:val="center"/>
              <w:rPr>
                <w:sz w:val="20"/>
              </w:rPr>
            </w:pPr>
            <w:r>
              <w:rPr>
                <w:spacing w:val="-5"/>
                <w:sz w:val="20"/>
              </w:rPr>
              <w:t>203</w:t>
            </w:r>
          </w:p>
        </w:tc>
        <w:tc>
          <w:tcPr>
            <w:tcW w:w="739" w:type="dxa"/>
            <w:tcBorders>
              <w:right w:val="single" w:sz="4" w:space="0" w:color="000000"/>
            </w:tcBorders>
          </w:tcPr>
          <w:p>
            <w:pPr>
              <w:pStyle w:val="TableParagraph"/>
              <w:spacing w:line="210" w:lineRule="exact"/>
              <w:ind w:left="36" w:right="28"/>
              <w:jc w:val="center"/>
              <w:rPr>
                <w:sz w:val="20"/>
              </w:rPr>
            </w:pPr>
            <w:r>
              <w:rPr>
                <w:spacing w:val="-4"/>
                <w:sz w:val="20"/>
              </w:rPr>
              <w:t>43.8</w:t>
            </w:r>
          </w:p>
        </w:tc>
      </w:tr>
      <w:tr>
        <w:trPr>
          <w:trHeight w:val="230" w:hRule="atLeast"/>
        </w:trPr>
        <w:tc>
          <w:tcPr>
            <w:tcW w:w="3877" w:type="dxa"/>
            <w:tcBorders>
              <w:left w:val="single" w:sz="4" w:space="0" w:color="000000"/>
            </w:tcBorders>
          </w:tcPr>
          <w:p>
            <w:pPr>
              <w:pStyle w:val="TableParagraph"/>
              <w:rPr>
                <w:rFonts w:ascii="Times New Roman"/>
                <w:sz w:val="16"/>
              </w:rPr>
            </w:pPr>
          </w:p>
        </w:tc>
        <w:tc>
          <w:tcPr>
            <w:tcW w:w="2249" w:type="dxa"/>
          </w:tcPr>
          <w:p>
            <w:pPr>
              <w:pStyle w:val="TableParagraph"/>
              <w:spacing w:line="210" w:lineRule="exact"/>
              <w:ind w:left="198"/>
              <w:rPr>
                <w:sz w:val="20"/>
              </w:rPr>
            </w:pPr>
            <w:r>
              <w:rPr>
                <w:sz w:val="20"/>
              </w:rPr>
              <w:t>Top</w:t>
            </w:r>
            <w:r>
              <w:rPr>
                <w:spacing w:val="-1"/>
                <w:sz w:val="20"/>
              </w:rPr>
              <w:t> </w:t>
            </w:r>
            <w:r>
              <w:rPr>
                <w:spacing w:val="-2"/>
                <w:sz w:val="20"/>
              </w:rPr>
              <w:t>Management</w:t>
            </w:r>
          </w:p>
        </w:tc>
        <w:tc>
          <w:tcPr>
            <w:tcW w:w="676" w:type="dxa"/>
          </w:tcPr>
          <w:p>
            <w:pPr>
              <w:pStyle w:val="TableParagraph"/>
              <w:spacing w:line="210" w:lineRule="exact"/>
              <w:ind w:left="48" w:right="7"/>
              <w:jc w:val="center"/>
              <w:rPr>
                <w:sz w:val="20"/>
              </w:rPr>
            </w:pPr>
            <w:r>
              <w:rPr>
                <w:spacing w:val="-10"/>
                <w:sz w:val="20"/>
              </w:rPr>
              <w:t>-</w:t>
            </w:r>
          </w:p>
        </w:tc>
        <w:tc>
          <w:tcPr>
            <w:tcW w:w="759" w:type="dxa"/>
          </w:tcPr>
          <w:p>
            <w:pPr>
              <w:pStyle w:val="TableParagraph"/>
              <w:spacing w:line="210" w:lineRule="exact"/>
              <w:ind w:left="53" w:right="7"/>
              <w:jc w:val="center"/>
              <w:rPr>
                <w:sz w:val="20"/>
              </w:rPr>
            </w:pPr>
            <w:r>
              <w:rPr>
                <w:spacing w:val="-10"/>
                <w:sz w:val="20"/>
              </w:rPr>
              <w:t>-</w:t>
            </w:r>
          </w:p>
        </w:tc>
        <w:tc>
          <w:tcPr>
            <w:tcW w:w="548" w:type="dxa"/>
          </w:tcPr>
          <w:p>
            <w:pPr>
              <w:pStyle w:val="TableParagraph"/>
              <w:spacing w:line="210" w:lineRule="exact"/>
              <w:ind w:left="5" w:right="2"/>
              <w:jc w:val="center"/>
              <w:rPr>
                <w:sz w:val="20"/>
              </w:rPr>
            </w:pPr>
            <w:r>
              <w:rPr>
                <w:spacing w:val="-10"/>
                <w:sz w:val="20"/>
              </w:rPr>
              <w:t>3</w:t>
            </w:r>
          </w:p>
        </w:tc>
        <w:tc>
          <w:tcPr>
            <w:tcW w:w="733" w:type="dxa"/>
          </w:tcPr>
          <w:p>
            <w:pPr>
              <w:pStyle w:val="TableParagraph"/>
              <w:spacing w:line="210" w:lineRule="exact"/>
              <w:ind w:left="53" w:right="60"/>
              <w:jc w:val="center"/>
              <w:rPr>
                <w:sz w:val="20"/>
              </w:rPr>
            </w:pPr>
            <w:r>
              <w:rPr>
                <w:spacing w:val="-4"/>
                <w:sz w:val="20"/>
              </w:rPr>
              <w:t>13.0</w:t>
            </w:r>
          </w:p>
        </w:tc>
        <w:tc>
          <w:tcPr>
            <w:tcW w:w="743" w:type="dxa"/>
          </w:tcPr>
          <w:p>
            <w:pPr>
              <w:pStyle w:val="TableParagraph"/>
              <w:spacing w:line="210" w:lineRule="exact"/>
              <w:ind w:left="36" w:right="79"/>
              <w:jc w:val="center"/>
              <w:rPr>
                <w:sz w:val="20"/>
              </w:rPr>
            </w:pPr>
            <w:r>
              <w:rPr>
                <w:spacing w:val="-10"/>
                <w:sz w:val="20"/>
              </w:rPr>
              <w:t>5</w:t>
            </w:r>
          </w:p>
        </w:tc>
        <w:tc>
          <w:tcPr>
            <w:tcW w:w="877" w:type="dxa"/>
          </w:tcPr>
          <w:p>
            <w:pPr>
              <w:pStyle w:val="TableParagraph"/>
              <w:spacing w:line="210" w:lineRule="exact"/>
              <w:ind w:left="6" w:right="28"/>
              <w:jc w:val="center"/>
              <w:rPr>
                <w:sz w:val="20"/>
              </w:rPr>
            </w:pPr>
            <w:r>
              <w:rPr>
                <w:spacing w:val="-4"/>
                <w:sz w:val="20"/>
              </w:rPr>
              <w:t>21.7</w:t>
            </w:r>
          </w:p>
        </w:tc>
        <w:tc>
          <w:tcPr>
            <w:tcW w:w="685" w:type="dxa"/>
          </w:tcPr>
          <w:p>
            <w:pPr>
              <w:pStyle w:val="TableParagraph"/>
              <w:spacing w:line="210" w:lineRule="exact"/>
              <w:ind w:left="73" w:right="32"/>
              <w:jc w:val="center"/>
              <w:rPr>
                <w:sz w:val="20"/>
              </w:rPr>
            </w:pPr>
            <w:r>
              <w:rPr>
                <w:spacing w:val="-5"/>
                <w:sz w:val="20"/>
              </w:rPr>
              <w:t>12</w:t>
            </w:r>
          </w:p>
        </w:tc>
        <w:tc>
          <w:tcPr>
            <w:tcW w:w="800" w:type="dxa"/>
          </w:tcPr>
          <w:p>
            <w:pPr>
              <w:pStyle w:val="TableParagraph"/>
              <w:spacing w:line="210" w:lineRule="exact"/>
              <w:ind w:left="18" w:right="18"/>
              <w:jc w:val="center"/>
              <w:rPr>
                <w:sz w:val="20"/>
              </w:rPr>
            </w:pPr>
            <w:r>
              <w:rPr>
                <w:spacing w:val="-4"/>
                <w:sz w:val="20"/>
              </w:rPr>
              <w:t>52.2</w:t>
            </w:r>
          </w:p>
        </w:tc>
        <w:tc>
          <w:tcPr>
            <w:tcW w:w="627" w:type="dxa"/>
          </w:tcPr>
          <w:p>
            <w:pPr>
              <w:pStyle w:val="TableParagraph"/>
              <w:spacing w:line="210" w:lineRule="exact"/>
              <w:ind w:left="23" w:right="26"/>
              <w:jc w:val="center"/>
              <w:rPr>
                <w:sz w:val="20"/>
              </w:rPr>
            </w:pPr>
            <w:r>
              <w:rPr>
                <w:spacing w:val="-10"/>
                <w:sz w:val="20"/>
              </w:rPr>
              <w:t>3</w:t>
            </w:r>
          </w:p>
        </w:tc>
        <w:tc>
          <w:tcPr>
            <w:tcW w:w="771" w:type="dxa"/>
          </w:tcPr>
          <w:p>
            <w:pPr>
              <w:pStyle w:val="TableParagraph"/>
              <w:spacing w:line="210" w:lineRule="exact"/>
              <w:ind w:left="45" w:right="28"/>
              <w:jc w:val="center"/>
              <w:rPr>
                <w:sz w:val="20"/>
              </w:rPr>
            </w:pPr>
            <w:r>
              <w:rPr>
                <w:spacing w:val="-4"/>
                <w:sz w:val="20"/>
              </w:rPr>
              <w:t>13.0</w:t>
            </w:r>
          </w:p>
        </w:tc>
        <w:tc>
          <w:tcPr>
            <w:tcW w:w="692" w:type="dxa"/>
          </w:tcPr>
          <w:p>
            <w:pPr>
              <w:pStyle w:val="TableParagraph"/>
              <w:spacing w:line="210" w:lineRule="exact"/>
              <w:ind w:left="23" w:right="31"/>
              <w:jc w:val="center"/>
              <w:rPr>
                <w:sz w:val="20"/>
              </w:rPr>
            </w:pPr>
            <w:r>
              <w:rPr>
                <w:spacing w:val="-5"/>
                <w:sz w:val="20"/>
              </w:rPr>
              <w:t>23</w:t>
            </w:r>
          </w:p>
        </w:tc>
        <w:tc>
          <w:tcPr>
            <w:tcW w:w="739" w:type="dxa"/>
            <w:tcBorders>
              <w:right w:val="single" w:sz="4" w:space="0" w:color="000000"/>
            </w:tcBorders>
          </w:tcPr>
          <w:p>
            <w:pPr>
              <w:pStyle w:val="TableParagraph"/>
              <w:spacing w:line="210" w:lineRule="exact"/>
              <w:ind w:left="36" w:right="33"/>
              <w:jc w:val="center"/>
              <w:rPr>
                <w:sz w:val="20"/>
              </w:rPr>
            </w:pPr>
            <w:r>
              <w:rPr>
                <w:spacing w:val="-5"/>
                <w:sz w:val="20"/>
              </w:rPr>
              <w:t>5.0</w:t>
            </w:r>
          </w:p>
        </w:tc>
      </w:tr>
      <w:tr>
        <w:trPr>
          <w:trHeight w:val="230" w:hRule="atLeast"/>
        </w:trPr>
        <w:tc>
          <w:tcPr>
            <w:tcW w:w="3877" w:type="dxa"/>
            <w:tcBorders>
              <w:left w:val="single" w:sz="4" w:space="0" w:color="000000"/>
            </w:tcBorders>
          </w:tcPr>
          <w:p>
            <w:pPr>
              <w:pStyle w:val="TableParagraph"/>
              <w:tabs>
                <w:tab w:pos="830" w:val="left" w:leader="none"/>
              </w:tabs>
              <w:spacing w:line="210" w:lineRule="exact"/>
              <w:ind w:left="220"/>
              <w:rPr>
                <w:sz w:val="20"/>
              </w:rPr>
            </w:pPr>
            <w:r>
              <w:rPr>
                <w:spacing w:val="-5"/>
                <w:sz w:val="20"/>
              </w:rPr>
              <w:t>22.</w:t>
            </w:r>
            <w:r>
              <w:rPr>
                <w:sz w:val="20"/>
              </w:rPr>
              <w:tab/>
            </w:r>
            <w:r>
              <w:rPr>
                <w:spacing w:val="-2"/>
                <w:sz w:val="20"/>
              </w:rPr>
              <w:t>Hospitals</w:t>
            </w:r>
          </w:p>
        </w:tc>
        <w:tc>
          <w:tcPr>
            <w:tcW w:w="2249" w:type="dxa"/>
          </w:tcPr>
          <w:p>
            <w:pPr>
              <w:pStyle w:val="TableParagraph"/>
              <w:spacing w:line="210" w:lineRule="exact"/>
              <w:ind w:left="198"/>
              <w:rPr>
                <w:sz w:val="20"/>
              </w:rPr>
            </w:pPr>
            <w:r>
              <w:rPr>
                <w:sz w:val="20"/>
              </w:rPr>
              <w:t>No.</w:t>
            </w:r>
            <w:r>
              <w:rPr>
                <w:spacing w:val="-5"/>
                <w:sz w:val="20"/>
              </w:rPr>
              <w:t> </w:t>
            </w:r>
            <w:r>
              <w:rPr>
                <w:sz w:val="20"/>
              </w:rPr>
              <w:t>of</w:t>
            </w:r>
            <w:r>
              <w:rPr>
                <w:spacing w:val="-2"/>
                <w:sz w:val="20"/>
              </w:rPr>
              <w:t> missing</w:t>
            </w:r>
          </w:p>
        </w:tc>
        <w:tc>
          <w:tcPr>
            <w:tcW w:w="676" w:type="dxa"/>
          </w:tcPr>
          <w:p>
            <w:pPr>
              <w:pStyle w:val="TableParagraph"/>
              <w:rPr>
                <w:rFonts w:ascii="Times New Roman"/>
                <w:sz w:val="16"/>
              </w:rPr>
            </w:pPr>
          </w:p>
        </w:tc>
        <w:tc>
          <w:tcPr>
            <w:tcW w:w="759" w:type="dxa"/>
          </w:tcPr>
          <w:p>
            <w:pPr>
              <w:pStyle w:val="TableParagraph"/>
              <w:rPr>
                <w:rFonts w:ascii="Times New Roman"/>
                <w:sz w:val="16"/>
              </w:rPr>
            </w:pPr>
          </w:p>
        </w:tc>
        <w:tc>
          <w:tcPr>
            <w:tcW w:w="548" w:type="dxa"/>
          </w:tcPr>
          <w:p>
            <w:pPr>
              <w:pStyle w:val="TableParagraph"/>
              <w:rPr>
                <w:rFonts w:ascii="Times New Roman"/>
                <w:sz w:val="16"/>
              </w:rPr>
            </w:pPr>
          </w:p>
        </w:tc>
        <w:tc>
          <w:tcPr>
            <w:tcW w:w="733" w:type="dxa"/>
          </w:tcPr>
          <w:p>
            <w:pPr>
              <w:pStyle w:val="TableParagraph"/>
              <w:rPr>
                <w:rFonts w:ascii="Times New Roman"/>
                <w:sz w:val="16"/>
              </w:rPr>
            </w:pPr>
          </w:p>
        </w:tc>
        <w:tc>
          <w:tcPr>
            <w:tcW w:w="743" w:type="dxa"/>
          </w:tcPr>
          <w:p>
            <w:pPr>
              <w:pStyle w:val="TableParagraph"/>
              <w:rPr>
                <w:rFonts w:ascii="Times New Roman"/>
                <w:sz w:val="16"/>
              </w:rPr>
            </w:pPr>
          </w:p>
        </w:tc>
        <w:tc>
          <w:tcPr>
            <w:tcW w:w="877" w:type="dxa"/>
          </w:tcPr>
          <w:p>
            <w:pPr>
              <w:pStyle w:val="TableParagraph"/>
              <w:rPr>
                <w:rFonts w:ascii="Times New Roman"/>
                <w:sz w:val="16"/>
              </w:rPr>
            </w:pPr>
          </w:p>
        </w:tc>
        <w:tc>
          <w:tcPr>
            <w:tcW w:w="685" w:type="dxa"/>
          </w:tcPr>
          <w:p>
            <w:pPr>
              <w:pStyle w:val="TableParagraph"/>
              <w:rPr>
                <w:rFonts w:ascii="Times New Roman"/>
                <w:sz w:val="16"/>
              </w:rPr>
            </w:pPr>
          </w:p>
        </w:tc>
        <w:tc>
          <w:tcPr>
            <w:tcW w:w="800" w:type="dxa"/>
          </w:tcPr>
          <w:p>
            <w:pPr>
              <w:pStyle w:val="TableParagraph"/>
              <w:rPr>
                <w:rFonts w:ascii="Times New Roman"/>
                <w:sz w:val="16"/>
              </w:rPr>
            </w:pPr>
          </w:p>
        </w:tc>
        <w:tc>
          <w:tcPr>
            <w:tcW w:w="627" w:type="dxa"/>
          </w:tcPr>
          <w:p>
            <w:pPr>
              <w:pStyle w:val="TableParagraph"/>
              <w:rPr>
                <w:rFonts w:ascii="Times New Roman"/>
                <w:sz w:val="16"/>
              </w:rPr>
            </w:pPr>
          </w:p>
        </w:tc>
        <w:tc>
          <w:tcPr>
            <w:tcW w:w="771" w:type="dxa"/>
          </w:tcPr>
          <w:p>
            <w:pPr>
              <w:pStyle w:val="TableParagraph"/>
              <w:rPr>
                <w:rFonts w:ascii="Times New Roman"/>
                <w:sz w:val="16"/>
              </w:rPr>
            </w:pPr>
          </w:p>
        </w:tc>
        <w:tc>
          <w:tcPr>
            <w:tcW w:w="692"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30" w:hRule="atLeast"/>
        </w:trPr>
        <w:tc>
          <w:tcPr>
            <w:tcW w:w="3877" w:type="dxa"/>
            <w:tcBorders>
              <w:left w:val="single" w:sz="4" w:space="0" w:color="000000"/>
            </w:tcBorders>
          </w:tcPr>
          <w:p>
            <w:pPr>
              <w:pStyle w:val="TableParagraph"/>
              <w:rPr>
                <w:rFonts w:ascii="Times New Roman"/>
                <w:sz w:val="16"/>
              </w:rPr>
            </w:pPr>
          </w:p>
        </w:tc>
        <w:tc>
          <w:tcPr>
            <w:tcW w:w="2249" w:type="dxa"/>
          </w:tcPr>
          <w:p>
            <w:pPr>
              <w:pStyle w:val="TableParagraph"/>
              <w:spacing w:line="210" w:lineRule="exact"/>
              <w:ind w:left="198"/>
              <w:rPr>
                <w:sz w:val="20"/>
              </w:rPr>
            </w:pPr>
            <w:r>
              <w:rPr>
                <w:spacing w:val="-2"/>
                <w:sz w:val="20"/>
              </w:rPr>
              <w:t>observations</w:t>
            </w:r>
          </w:p>
        </w:tc>
        <w:tc>
          <w:tcPr>
            <w:tcW w:w="676" w:type="dxa"/>
          </w:tcPr>
          <w:p>
            <w:pPr>
              <w:pStyle w:val="TableParagraph"/>
              <w:spacing w:line="210" w:lineRule="exact"/>
              <w:ind w:left="48" w:right="7"/>
              <w:jc w:val="center"/>
              <w:rPr>
                <w:sz w:val="20"/>
              </w:rPr>
            </w:pPr>
            <w:r>
              <w:rPr>
                <w:spacing w:val="-10"/>
                <w:sz w:val="20"/>
              </w:rPr>
              <w:t>-</w:t>
            </w:r>
          </w:p>
        </w:tc>
        <w:tc>
          <w:tcPr>
            <w:tcW w:w="759" w:type="dxa"/>
          </w:tcPr>
          <w:p>
            <w:pPr>
              <w:pStyle w:val="TableParagraph"/>
              <w:spacing w:line="210" w:lineRule="exact"/>
              <w:ind w:left="53" w:right="7"/>
              <w:jc w:val="center"/>
              <w:rPr>
                <w:sz w:val="20"/>
              </w:rPr>
            </w:pPr>
            <w:r>
              <w:rPr>
                <w:spacing w:val="-10"/>
                <w:sz w:val="20"/>
              </w:rPr>
              <w:t>-</w:t>
            </w:r>
          </w:p>
        </w:tc>
        <w:tc>
          <w:tcPr>
            <w:tcW w:w="548" w:type="dxa"/>
          </w:tcPr>
          <w:p>
            <w:pPr>
              <w:pStyle w:val="TableParagraph"/>
              <w:spacing w:line="210" w:lineRule="exact"/>
              <w:ind w:left="5" w:right="5"/>
              <w:jc w:val="center"/>
              <w:rPr>
                <w:sz w:val="20"/>
              </w:rPr>
            </w:pPr>
            <w:r>
              <w:rPr>
                <w:spacing w:val="-10"/>
                <w:sz w:val="20"/>
              </w:rPr>
              <w:t>-</w:t>
            </w:r>
          </w:p>
        </w:tc>
        <w:tc>
          <w:tcPr>
            <w:tcW w:w="733" w:type="dxa"/>
          </w:tcPr>
          <w:p>
            <w:pPr>
              <w:pStyle w:val="TableParagraph"/>
              <w:spacing w:line="210" w:lineRule="exact"/>
              <w:ind w:left="53" w:right="67"/>
              <w:jc w:val="center"/>
              <w:rPr>
                <w:sz w:val="20"/>
              </w:rPr>
            </w:pPr>
            <w:r>
              <w:rPr>
                <w:spacing w:val="-10"/>
                <w:sz w:val="20"/>
              </w:rPr>
              <w:t>-</w:t>
            </w:r>
          </w:p>
        </w:tc>
        <w:tc>
          <w:tcPr>
            <w:tcW w:w="743" w:type="dxa"/>
          </w:tcPr>
          <w:p>
            <w:pPr>
              <w:pStyle w:val="TableParagraph"/>
              <w:spacing w:line="210" w:lineRule="exact"/>
              <w:ind w:left="36" w:right="79"/>
              <w:jc w:val="center"/>
              <w:rPr>
                <w:sz w:val="20"/>
              </w:rPr>
            </w:pPr>
            <w:r>
              <w:rPr>
                <w:spacing w:val="-10"/>
                <w:sz w:val="20"/>
              </w:rPr>
              <w:t>1</w:t>
            </w:r>
          </w:p>
        </w:tc>
        <w:tc>
          <w:tcPr>
            <w:tcW w:w="877" w:type="dxa"/>
          </w:tcPr>
          <w:p>
            <w:pPr>
              <w:pStyle w:val="TableParagraph"/>
              <w:spacing w:line="210" w:lineRule="exact"/>
              <w:ind w:left="6" w:right="28"/>
              <w:jc w:val="center"/>
              <w:rPr>
                <w:sz w:val="20"/>
              </w:rPr>
            </w:pPr>
            <w:r>
              <w:rPr>
                <w:spacing w:val="-4"/>
                <w:sz w:val="20"/>
              </w:rPr>
              <w:t>50.0</w:t>
            </w:r>
          </w:p>
        </w:tc>
        <w:tc>
          <w:tcPr>
            <w:tcW w:w="685" w:type="dxa"/>
          </w:tcPr>
          <w:p>
            <w:pPr>
              <w:pStyle w:val="TableParagraph"/>
              <w:spacing w:line="210" w:lineRule="exact"/>
              <w:ind w:left="77" w:right="32"/>
              <w:jc w:val="center"/>
              <w:rPr>
                <w:sz w:val="20"/>
              </w:rPr>
            </w:pPr>
            <w:r>
              <w:rPr>
                <w:spacing w:val="-10"/>
                <w:sz w:val="20"/>
              </w:rPr>
              <w:t>1</w:t>
            </w:r>
          </w:p>
        </w:tc>
        <w:tc>
          <w:tcPr>
            <w:tcW w:w="800" w:type="dxa"/>
          </w:tcPr>
          <w:p>
            <w:pPr>
              <w:pStyle w:val="TableParagraph"/>
              <w:spacing w:line="210" w:lineRule="exact"/>
              <w:ind w:left="18" w:right="18"/>
              <w:jc w:val="center"/>
              <w:rPr>
                <w:sz w:val="20"/>
              </w:rPr>
            </w:pPr>
            <w:r>
              <w:rPr>
                <w:spacing w:val="-4"/>
                <w:sz w:val="20"/>
              </w:rPr>
              <w:t>50.0</w:t>
            </w:r>
          </w:p>
        </w:tc>
        <w:tc>
          <w:tcPr>
            <w:tcW w:w="627" w:type="dxa"/>
          </w:tcPr>
          <w:p>
            <w:pPr>
              <w:pStyle w:val="TableParagraph"/>
              <w:spacing w:line="210" w:lineRule="exact"/>
              <w:ind w:left="23" w:right="33"/>
              <w:jc w:val="center"/>
              <w:rPr>
                <w:sz w:val="20"/>
              </w:rPr>
            </w:pPr>
            <w:r>
              <w:rPr>
                <w:spacing w:val="-10"/>
                <w:sz w:val="20"/>
              </w:rPr>
              <w:t>-</w:t>
            </w:r>
          </w:p>
        </w:tc>
        <w:tc>
          <w:tcPr>
            <w:tcW w:w="771" w:type="dxa"/>
          </w:tcPr>
          <w:p>
            <w:pPr>
              <w:pStyle w:val="TableParagraph"/>
              <w:spacing w:line="210" w:lineRule="exact"/>
              <w:ind w:left="45" w:right="35"/>
              <w:jc w:val="center"/>
              <w:rPr>
                <w:sz w:val="20"/>
              </w:rPr>
            </w:pPr>
            <w:r>
              <w:rPr>
                <w:spacing w:val="-10"/>
                <w:sz w:val="20"/>
              </w:rPr>
              <w:t>-</w:t>
            </w:r>
          </w:p>
        </w:tc>
        <w:tc>
          <w:tcPr>
            <w:tcW w:w="692" w:type="dxa"/>
          </w:tcPr>
          <w:p>
            <w:pPr>
              <w:pStyle w:val="TableParagraph"/>
              <w:spacing w:line="210" w:lineRule="exact"/>
              <w:ind w:left="23" w:right="26"/>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33"/>
              <w:jc w:val="center"/>
              <w:rPr>
                <w:sz w:val="20"/>
              </w:rPr>
            </w:pPr>
            <w:r>
              <w:rPr>
                <w:spacing w:val="-5"/>
                <w:sz w:val="20"/>
              </w:rPr>
              <w:t>0.4</w:t>
            </w:r>
          </w:p>
        </w:tc>
      </w:tr>
      <w:tr>
        <w:trPr>
          <w:trHeight w:val="230" w:hRule="atLeast"/>
        </w:trPr>
        <w:tc>
          <w:tcPr>
            <w:tcW w:w="3877" w:type="dxa"/>
            <w:tcBorders>
              <w:left w:val="single" w:sz="4" w:space="0" w:color="000000"/>
            </w:tcBorders>
          </w:tcPr>
          <w:p>
            <w:pPr>
              <w:pStyle w:val="TableParagraph"/>
              <w:rPr>
                <w:rFonts w:ascii="Times New Roman"/>
                <w:sz w:val="16"/>
              </w:rPr>
            </w:pPr>
          </w:p>
        </w:tc>
        <w:tc>
          <w:tcPr>
            <w:tcW w:w="2249" w:type="dxa"/>
          </w:tcPr>
          <w:p>
            <w:pPr>
              <w:pStyle w:val="TableParagraph"/>
              <w:spacing w:line="210" w:lineRule="exact"/>
              <w:ind w:left="198"/>
              <w:rPr>
                <w:sz w:val="20"/>
              </w:rPr>
            </w:pPr>
            <w:r>
              <w:rPr>
                <w:spacing w:val="-2"/>
                <w:sz w:val="20"/>
              </w:rPr>
              <w:t>Students</w:t>
            </w:r>
          </w:p>
        </w:tc>
        <w:tc>
          <w:tcPr>
            <w:tcW w:w="676" w:type="dxa"/>
          </w:tcPr>
          <w:p>
            <w:pPr>
              <w:pStyle w:val="TableParagraph"/>
              <w:spacing w:line="210" w:lineRule="exact"/>
              <w:ind w:left="48"/>
              <w:jc w:val="center"/>
              <w:rPr>
                <w:sz w:val="20"/>
              </w:rPr>
            </w:pPr>
            <w:r>
              <w:rPr>
                <w:spacing w:val="-10"/>
                <w:sz w:val="20"/>
              </w:rPr>
              <w:t>8</w:t>
            </w:r>
          </w:p>
        </w:tc>
        <w:tc>
          <w:tcPr>
            <w:tcW w:w="759" w:type="dxa"/>
          </w:tcPr>
          <w:p>
            <w:pPr>
              <w:pStyle w:val="TableParagraph"/>
              <w:spacing w:line="210" w:lineRule="exact"/>
              <w:ind w:left="53" w:right="5"/>
              <w:jc w:val="center"/>
              <w:rPr>
                <w:sz w:val="20"/>
              </w:rPr>
            </w:pPr>
            <w:r>
              <w:rPr>
                <w:spacing w:val="-5"/>
                <w:sz w:val="20"/>
              </w:rPr>
              <w:t>3.4</w:t>
            </w:r>
          </w:p>
        </w:tc>
        <w:tc>
          <w:tcPr>
            <w:tcW w:w="548" w:type="dxa"/>
          </w:tcPr>
          <w:p>
            <w:pPr>
              <w:pStyle w:val="TableParagraph"/>
              <w:spacing w:line="210" w:lineRule="exact"/>
              <w:ind w:left="5" w:right="5"/>
              <w:jc w:val="center"/>
              <w:rPr>
                <w:sz w:val="20"/>
              </w:rPr>
            </w:pPr>
            <w:r>
              <w:rPr>
                <w:spacing w:val="-5"/>
                <w:sz w:val="20"/>
              </w:rPr>
              <w:t>34</w:t>
            </w:r>
          </w:p>
        </w:tc>
        <w:tc>
          <w:tcPr>
            <w:tcW w:w="733" w:type="dxa"/>
          </w:tcPr>
          <w:p>
            <w:pPr>
              <w:pStyle w:val="TableParagraph"/>
              <w:spacing w:line="210" w:lineRule="exact"/>
              <w:ind w:left="53" w:right="60"/>
              <w:jc w:val="center"/>
              <w:rPr>
                <w:sz w:val="20"/>
              </w:rPr>
            </w:pPr>
            <w:r>
              <w:rPr>
                <w:spacing w:val="-4"/>
                <w:sz w:val="20"/>
              </w:rPr>
              <w:t>14.5</w:t>
            </w:r>
          </w:p>
        </w:tc>
        <w:tc>
          <w:tcPr>
            <w:tcW w:w="743" w:type="dxa"/>
          </w:tcPr>
          <w:p>
            <w:pPr>
              <w:pStyle w:val="TableParagraph"/>
              <w:spacing w:line="210" w:lineRule="exact"/>
              <w:ind w:left="36" w:right="84"/>
              <w:jc w:val="center"/>
              <w:rPr>
                <w:sz w:val="20"/>
              </w:rPr>
            </w:pPr>
            <w:r>
              <w:rPr>
                <w:spacing w:val="-5"/>
                <w:sz w:val="20"/>
              </w:rPr>
              <w:t>86</w:t>
            </w:r>
          </w:p>
        </w:tc>
        <w:tc>
          <w:tcPr>
            <w:tcW w:w="877" w:type="dxa"/>
          </w:tcPr>
          <w:p>
            <w:pPr>
              <w:pStyle w:val="TableParagraph"/>
              <w:spacing w:line="210" w:lineRule="exact"/>
              <w:ind w:left="6" w:right="28"/>
              <w:jc w:val="center"/>
              <w:rPr>
                <w:sz w:val="20"/>
              </w:rPr>
            </w:pPr>
            <w:r>
              <w:rPr>
                <w:spacing w:val="-4"/>
                <w:sz w:val="20"/>
              </w:rPr>
              <w:t>36.6</w:t>
            </w:r>
          </w:p>
        </w:tc>
        <w:tc>
          <w:tcPr>
            <w:tcW w:w="685" w:type="dxa"/>
          </w:tcPr>
          <w:p>
            <w:pPr>
              <w:pStyle w:val="TableParagraph"/>
              <w:spacing w:line="210" w:lineRule="exact"/>
              <w:ind w:left="73" w:right="32"/>
              <w:jc w:val="center"/>
              <w:rPr>
                <w:sz w:val="20"/>
              </w:rPr>
            </w:pPr>
            <w:r>
              <w:rPr>
                <w:spacing w:val="-5"/>
                <w:sz w:val="20"/>
              </w:rPr>
              <w:t>80</w:t>
            </w:r>
          </w:p>
        </w:tc>
        <w:tc>
          <w:tcPr>
            <w:tcW w:w="800" w:type="dxa"/>
          </w:tcPr>
          <w:p>
            <w:pPr>
              <w:pStyle w:val="TableParagraph"/>
              <w:spacing w:line="210" w:lineRule="exact"/>
              <w:ind w:left="18" w:right="18"/>
              <w:jc w:val="center"/>
              <w:rPr>
                <w:sz w:val="20"/>
              </w:rPr>
            </w:pPr>
            <w:r>
              <w:rPr>
                <w:spacing w:val="-4"/>
                <w:sz w:val="20"/>
              </w:rPr>
              <w:t>34.0</w:t>
            </w:r>
          </w:p>
        </w:tc>
        <w:tc>
          <w:tcPr>
            <w:tcW w:w="627" w:type="dxa"/>
          </w:tcPr>
          <w:p>
            <w:pPr>
              <w:pStyle w:val="TableParagraph"/>
              <w:spacing w:line="210" w:lineRule="exact"/>
              <w:ind w:left="23" w:right="31"/>
              <w:jc w:val="center"/>
              <w:rPr>
                <w:sz w:val="20"/>
              </w:rPr>
            </w:pPr>
            <w:r>
              <w:rPr>
                <w:spacing w:val="-5"/>
                <w:sz w:val="20"/>
              </w:rPr>
              <w:t>27</w:t>
            </w:r>
          </w:p>
        </w:tc>
        <w:tc>
          <w:tcPr>
            <w:tcW w:w="771" w:type="dxa"/>
          </w:tcPr>
          <w:p>
            <w:pPr>
              <w:pStyle w:val="TableParagraph"/>
              <w:spacing w:line="210" w:lineRule="exact"/>
              <w:ind w:left="45" w:right="28"/>
              <w:jc w:val="center"/>
              <w:rPr>
                <w:sz w:val="20"/>
              </w:rPr>
            </w:pPr>
            <w:r>
              <w:rPr>
                <w:spacing w:val="-4"/>
                <w:sz w:val="20"/>
              </w:rPr>
              <w:t>11.5</w:t>
            </w:r>
          </w:p>
        </w:tc>
        <w:tc>
          <w:tcPr>
            <w:tcW w:w="692" w:type="dxa"/>
          </w:tcPr>
          <w:p>
            <w:pPr>
              <w:pStyle w:val="TableParagraph"/>
              <w:spacing w:line="210" w:lineRule="exact"/>
              <w:ind w:left="23" w:right="36"/>
              <w:jc w:val="center"/>
              <w:rPr>
                <w:sz w:val="20"/>
              </w:rPr>
            </w:pPr>
            <w:r>
              <w:rPr>
                <w:spacing w:val="-5"/>
                <w:sz w:val="20"/>
              </w:rPr>
              <w:t>235</w:t>
            </w:r>
          </w:p>
        </w:tc>
        <w:tc>
          <w:tcPr>
            <w:tcW w:w="739" w:type="dxa"/>
            <w:tcBorders>
              <w:right w:val="single" w:sz="4" w:space="0" w:color="000000"/>
            </w:tcBorders>
          </w:tcPr>
          <w:p>
            <w:pPr>
              <w:pStyle w:val="TableParagraph"/>
              <w:spacing w:line="210" w:lineRule="exact"/>
              <w:ind w:left="36" w:right="28"/>
              <w:jc w:val="center"/>
              <w:rPr>
                <w:sz w:val="20"/>
              </w:rPr>
            </w:pPr>
            <w:r>
              <w:rPr>
                <w:spacing w:val="-4"/>
                <w:sz w:val="20"/>
              </w:rPr>
              <w:t>50.8</w:t>
            </w:r>
          </w:p>
        </w:tc>
      </w:tr>
      <w:tr>
        <w:trPr>
          <w:trHeight w:val="230" w:hRule="atLeast"/>
        </w:trPr>
        <w:tc>
          <w:tcPr>
            <w:tcW w:w="3877" w:type="dxa"/>
            <w:tcBorders>
              <w:left w:val="single" w:sz="4" w:space="0" w:color="000000"/>
            </w:tcBorders>
          </w:tcPr>
          <w:p>
            <w:pPr>
              <w:pStyle w:val="TableParagraph"/>
              <w:rPr>
                <w:rFonts w:ascii="Times New Roman"/>
                <w:sz w:val="16"/>
              </w:rPr>
            </w:pPr>
          </w:p>
        </w:tc>
        <w:tc>
          <w:tcPr>
            <w:tcW w:w="2249" w:type="dxa"/>
          </w:tcPr>
          <w:p>
            <w:pPr>
              <w:pStyle w:val="TableParagraph"/>
              <w:spacing w:line="210" w:lineRule="exact"/>
              <w:ind w:left="198"/>
              <w:rPr>
                <w:sz w:val="20"/>
              </w:rPr>
            </w:pPr>
            <w:r>
              <w:rPr>
                <w:sz w:val="20"/>
              </w:rPr>
              <w:t>Service</w:t>
            </w:r>
            <w:r>
              <w:rPr>
                <w:spacing w:val="-9"/>
                <w:sz w:val="20"/>
              </w:rPr>
              <w:t> </w:t>
            </w:r>
            <w:r>
              <w:rPr>
                <w:spacing w:val="-2"/>
                <w:sz w:val="20"/>
              </w:rPr>
              <w:t>Staff</w:t>
            </w:r>
          </w:p>
        </w:tc>
        <w:tc>
          <w:tcPr>
            <w:tcW w:w="676" w:type="dxa"/>
          </w:tcPr>
          <w:p>
            <w:pPr>
              <w:pStyle w:val="TableParagraph"/>
              <w:spacing w:line="210" w:lineRule="exact"/>
              <w:ind w:left="48" w:right="5"/>
              <w:jc w:val="center"/>
              <w:rPr>
                <w:sz w:val="20"/>
              </w:rPr>
            </w:pPr>
            <w:r>
              <w:rPr>
                <w:spacing w:val="-5"/>
                <w:sz w:val="20"/>
              </w:rPr>
              <w:t>24</w:t>
            </w:r>
          </w:p>
        </w:tc>
        <w:tc>
          <w:tcPr>
            <w:tcW w:w="759" w:type="dxa"/>
          </w:tcPr>
          <w:p>
            <w:pPr>
              <w:pStyle w:val="TableParagraph"/>
              <w:spacing w:line="210" w:lineRule="exact"/>
              <w:ind w:left="53"/>
              <w:jc w:val="center"/>
              <w:rPr>
                <w:sz w:val="20"/>
              </w:rPr>
            </w:pPr>
            <w:r>
              <w:rPr>
                <w:spacing w:val="-4"/>
                <w:sz w:val="20"/>
              </w:rPr>
              <w:t>11.8</w:t>
            </w:r>
          </w:p>
        </w:tc>
        <w:tc>
          <w:tcPr>
            <w:tcW w:w="548" w:type="dxa"/>
          </w:tcPr>
          <w:p>
            <w:pPr>
              <w:pStyle w:val="TableParagraph"/>
              <w:spacing w:line="210" w:lineRule="exact"/>
              <w:ind w:left="5" w:right="5"/>
              <w:jc w:val="center"/>
              <w:rPr>
                <w:sz w:val="20"/>
              </w:rPr>
            </w:pPr>
            <w:r>
              <w:rPr>
                <w:spacing w:val="-5"/>
                <w:sz w:val="20"/>
              </w:rPr>
              <w:t>35</w:t>
            </w:r>
          </w:p>
        </w:tc>
        <w:tc>
          <w:tcPr>
            <w:tcW w:w="733" w:type="dxa"/>
          </w:tcPr>
          <w:p>
            <w:pPr>
              <w:pStyle w:val="TableParagraph"/>
              <w:spacing w:line="210" w:lineRule="exact"/>
              <w:ind w:left="53" w:right="60"/>
              <w:jc w:val="center"/>
              <w:rPr>
                <w:sz w:val="20"/>
              </w:rPr>
            </w:pPr>
            <w:r>
              <w:rPr>
                <w:spacing w:val="-4"/>
                <w:sz w:val="20"/>
              </w:rPr>
              <w:t>17.2</w:t>
            </w:r>
          </w:p>
        </w:tc>
        <w:tc>
          <w:tcPr>
            <w:tcW w:w="743" w:type="dxa"/>
          </w:tcPr>
          <w:p>
            <w:pPr>
              <w:pStyle w:val="TableParagraph"/>
              <w:spacing w:line="210" w:lineRule="exact"/>
              <w:ind w:left="36" w:right="84"/>
              <w:jc w:val="center"/>
              <w:rPr>
                <w:sz w:val="20"/>
              </w:rPr>
            </w:pPr>
            <w:r>
              <w:rPr>
                <w:spacing w:val="-5"/>
                <w:sz w:val="20"/>
              </w:rPr>
              <w:t>57</w:t>
            </w:r>
          </w:p>
        </w:tc>
        <w:tc>
          <w:tcPr>
            <w:tcW w:w="877" w:type="dxa"/>
          </w:tcPr>
          <w:p>
            <w:pPr>
              <w:pStyle w:val="TableParagraph"/>
              <w:spacing w:line="210" w:lineRule="exact"/>
              <w:ind w:left="6" w:right="28"/>
              <w:jc w:val="center"/>
              <w:rPr>
                <w:sz w:val="20"/>
              </w:rPr>
            </w:pPr>
            <w:r>
              <w:rPr>
                <w:spacing w:val="-4"/>
                <w:sz w:val="20"/>
              </w:rPr>
              <w:t>28.1</w:t>
            </w:r>
          </w:p>
        </w:tc>
        <w:tc>
          <w:tcPr>
            <w:tcW w:w="685" w:type="dxa"/>
          </w:tcPr>
          <w:p>
            <w:pPr>
              <w:pStyle w:val="TableParagraph"/>
              <w:spacing w:line="210" w:lineRule="exact"/>
              <w:ind w:left="73" w:right="32"/>
              <w:jc w:val="center"/>
              <w:rPr>
                <w:sz w:val="20"/>
              </w:rPr>
            </w:pPr>
            <w:r>
              <w:rPr>
                <w:spacing w:val="-5"/>
                <w:sz w:val="20"/>
              </w:rPr>
              <w:t>71</w:t>
            </w:r>
          </w:p>
        </w:tc>
        <w:tc>
          <w:tcPr>
            <w:tcW w:w="800" w:type="dxa"/>
          </w:tcPr>
          <w:p>
            <w:pPr>
              <w:pStyle w:val="TableParagraph"/>
              <w:spacing w:line="210" w:lineRule="exact"/>
              <w:ind w:left="18" w:right="18"/>
              <w:jc w:val="center"/>
              <w:rPr>
                <w:sz w:val="20"/>
              </w:rPr>
            </w:pPr>
            <w:r>
              <w:rPr>
                <w:spacing w:val="-4"/>
                <w:sz w:val="20"/>
              </w:rPr>
              <w:t>35.0</w:t>
            </w:r>
          </w:p>
        </w:tc>
        <w:tc>
          <w:tcPr>
            <w:tcW w:w="627" w:type="dxa"/>
          </w:tcPr>
          <w:p>
            <w:pPr>
              <w:pStyle w:val="TableParagraph"/>
              <w:spacing w:line="210" w:lineRule="exact"/>
              <w:ind w:left="23" w:right="31"/>
              <w:jc w:val="center"/>
              <w:rPr>
                <w:sz w:val="20"/>
              </w:rPr>
            </w:pPr>
            <w:r>
              <w:rPr>
                <w:spacing w:val="-5"/>
                <w:sz w:val="20"/>
              </w:rPr>
              <w:t>16</w:t>
            </w:r>
          </w:p>
        </w:tc>
        <w:tc>
          <w:tcPr>
            <w:tcW w:w="771" w:type="dxa"/>
          </w:tcPr>
          <w:p>
            <w:pPr>
              <w:pStyle w:val="TableParagraph"/>
              <w:spacing w:line="210" w:lineRule="exact"/>
              <w:ind w:left="45" w:right="33"/>
              <w:jc w:val="center"/>
              <w:rPr>
                <w:sz w:val="20"/>
              </w:rPr>
            </w:pPr>
            <w:r>
              <w:rPr>
                <w:spacing w:val="-5"/>
                <w:sz w:val="20"/>
              </w:rPr>
              <w:t>7.9</w:t>
            </w:r>
          </w:p>
        </w:tc>
        <w:tc>
          <w:tcPr>
            <w:tcW w:w="692" w:type="dxa"/>
          </w:tcPr>
          <w:p>
            <w:pPr>
              <w:pStyle w:val="TableParagraph"/>
              <w:spacing w:line="210" w:lineRule="exact"/>
              <w:ind w:left="23" w:right="36"/>
              <w:jc w:val="center"/>
              <w:rPr>
                <w:sz w:val="20"/>
              </w:rPr>
            </w:pPr>
            <w:r>
              <w:rPr>
                <w:spacing w:val="-5"/>
                <w:sz w:val="20"/>
              </w:rPr>
              <w:t>203</w:t>
            </w:r>
          </w:p>
        </w:tc>
        <w:tc>
          <w:tcPr>
            <w:tcW w:w="739" w:type="dxa"/>
            <w:tcBorders>
              <w:right w:val="single" w:sz="4" w:space="0" w:color="000000"/>
            </w:tcBorders>
          </w:tcPr>
          <w:p>
            <w:pPr>
              <w:pStyle w:val="TableParagraph"/>
              <w:spacing w:line="210" w:lineRule="exact"/>
              <w:ind w:left="36" w:right="28"/>
              <w:jc w:val="center"/>
              <w:rPr>
                <w:sz w:val="20"/>
              </w:rPr>
            </w:pPr>
            <w:r>
              <w:rPr>
                <w:spacing w:val="-4"/>
                <w:sz w:val="20"/>
              </w:rPr>
              <w:t>43.8</w:t>
            </w:r>
          </w:p>
        </w:tc>
      </w:tr>
      <w:tr>
        <w:trPr>
          <w:trHeight w:val="254" w:hRule="atLeast"/>
        </w:trPr>
        <w:tc>
          <w:tcPr>
            <w:tcW w:w="3877" w:type="dxa"/>
            <w:tcBorders>
              <w:left w:val="single" w:sz="4" w:space="0" w:color="000000"/>
            </w:tcBorders>
          </w:tcPr>
          <w:p>
            <w:pPr>
              <w:pStyle w:val="TableParagraph"/>
              <w:rPr>
                <w:rFonts w:ascii="Times New Roman"/>
                <w:sz w:val="18"/>
              </w:rPr>
            </w:pPr>
          </w:p>
        </w:tc>
        <w:tc>
          <w:tcPr>
            <w:tcW w:w="2249" w:type="dxa"/>
          </w:tcPr>
          <w:p>
            <w:pPr>
              <w:pStyle w:val="TableParagraph"/>
              <w:spacing w:line="227" w:lineRule="exact"/>
              <w:ind w:left="198"/>
              <w:rPr>
                <w:sz w:val="20"/>
              </w:rPr>
            </w:pPr>
            <w:r>
              <w:rPr>
                <w:sz w:val="20"/>
              </w:rPr>
              <w:t>Top</w:t>
            </w:r>
            <w:r>
              <w:rPr>
                <w:spacing w:val="-1"/>
                <w:sz w:val="20"/>
              </w:rPr>
              <w:t> </w:t>
            </w:r>
            <w:r>
              <w:rPr>
                <w:spacing w:val="-2"/>
                <w:sz w:val="20"/>
              </w:rPr>
              <w:t>Management</w:t>
            </w:r>
          </w:p>
        </w:tc>
        <w:tc>
          <w:tcPr>
            <w:tcW w:w="676" w:type="dxa"/>
          </w:tcPr>
          <w:p>
            <w:pPr>
              <w:pStyle w:val="TableParagraph"/>
              <w:spacing w:line="227" w:lineRule="exact"/>
              <w:ind w:left="48"/>
              <w:jc w:val="center"/>
              <w:rPr>
                <w:sz w:val="20"/>
              </w:rPr>
            </w:pPr>
            <w:r>
              <w:rPr>
                <w:spacing w:val="-10"/>
                <w:sz w:val="20"/>
              </w:rPr>
              <w:t>1</w:t>
            </w:r>
          </w:p>
        </w:tc>
        <w:tc>
          <w:tcPr>
            <w:tcW w:w="759" w:type="dxa"/>
          </w:tcPr>
          <w:p>
            <w:pPr>
              <w:pStyle w:val="TableParagraph"/>
              <w:spacing w:line="227" w:lineRule="exact"/>
              <w:ind w:left="53" w:right="5"/>
              <w:jc w:val="center"/>
              <w:rPr>
                <w:sz w:val="20"/>
              </w:rPr>
            </w:pPr>
            <w:r>
              <w:rPr>
                <w:spacing w:val="-5"/>
                <w:sz w:val="20"/>
              </w:rPr>
              <w:t>4.3</w:t>
            </w:r>
          </w:p>
        </w:tc>
        <w:tc>
          <w:tcPr>
            <w:tcW w:w="548" w:type="dxa"/>
          </w:tcPr>
          <w:p>
            <w:pPr>
              <w:pStyle w:val="TableParagraph"/>
              <w:spacing w:line="227" w:lineRule="exact"/>
              <w:ind w:left="5" w:right="2"/>
              <w:jc w:val="center"/>
              <w:rPr>
                <w:sz w:val="20"/>
              </w:rPr>
            </w:pPr>
            <w:r>
              <w:rPr>
                <w:spacing w:val="-10"/>
                <w:sz w:val="20"/>
              </w:rPr>
              <w:t>2</w:t>
            </w:r>
          </w:p>
        </w:tc>
        <w:tc>
          <w:tcPr>
            <w:tcW w:w="733" w:type="dxa"/>
          </w:tcPr>
          <w:p>
            <w:pPr>
              <w:pStyle w:val="TableParagraph"/>
              <w:spacing w:line="227" w:lineRule="exact"/>
              <w:ind w:left="53" w:right="65"/>
              <w:jc w:val="center"/>
              <w:rPr>
                <w:sz w:val="20"/>
              </w:rPr>
            </w:pPr>
            <w:r>
              <w:rPr>
                <w:spacing w:val="-5"/>
                <w:sz w:val="20"/>
              </w:rPr>
              <w:t>8.7</w:t>
            </w:r>
          </w:p>
        </w:tc>
        <w:tc>
          <w:tcPr>
            <w:tcW w:w="743" w:type="dxa"/>
          </w:tcPr>
          <w:p>
            <w:pPr>
              <w:pStyle w:val="TableParagraph"/>
              <w:spacing w:line="227" w:lineRule="exact"/>
              <w:ind w:left="36" w:right="79"/>
              <w:jc w:val="center"/>
              <w:rPr>
                <w:sz w:val="20"/>
              </w:rPr>
            </w:pPr>
            <w:r>
              <w:rPr>
                <w:spacing w:val="-10"/>
                <w:sz w:val="20"/>
              </w:rPr>
              <w:t>7</w:t>
            </w:r>
          </w:p>
        </w:tc>
        <w:tc>
          <w:tcPr>
            <w:tcW w:w="877" w:type="dxa"/>
          </w:tcPr>
          <w:p>
            <w:pPr>
              <w:pStyle w:val="TableParagraph"/>
              <w:spacing w:line="227" w:lineRule="exact"/>
              <w:ind w:left="6" w:right="28"/>
              <w:jc w:val="center"/>
              <w:rPr>
                <w:sz w:val="20"/>
              </w:rPr>
            </w:pPr>
            <w:r>
              <w:rPr>
                <w:spacing w:val="-4"/>
                <w:sz w:val="20"/>
              </w:rPr>
              <w:t>30.4</w:t>
            </w:r>
          </w:p>
        </w:tc>
        <w:tc>
          <w:tcPr>
            <w:tcW w:w="685" w:type="dxa"/>
          </w:tcPr>
          <w:p>
            <w:pPr>
              <w:pStyle w:val="TableParagraph"/>
              <w:spacing w:line="227" w:lineRule="exact"/>
              <w:ind w:left="73" w:right="32"/>
              <w:jc w:val="center"/>
              <w:rPr>
                <w:sz w:val="20"/>
              </w:rPr>
            </w:pPr>
            <w:r>
              <w:rPr>
                <w:spacing w:val="-5"/>
                <w:sz w:val="20"/>
              </w:rPr>
              <w:t>13</w:t>
            </w:r>
          </w:p>
        </w:tc>
        <w:tc>
          <w:tcPr>
            <w:tcW w:w="800" w:type="dxa"/>
          </w:tcPr>
          <w:p>
            <w:pPr>
              <w:pStyle w:val="TableParagraph"/>
              <w:spacing w:line="227" w:lineRule="exact"/>
              <w:ind w:left="18" w:right="18"/>
              <w:jc w:val="center"/>
              <w:rPr>
                <w:sz w:val="20"/>
              </w:rPr>
            </w:pPr>
            <w:r>
              <w:rPr>
                <w:spacing w:val="-4"/>
                <w:sz w:val="20"/>
              </w:rPr>
              <w:t>56.5</w:t>
            </w:r>
          </w:p>
        </w:tc>
        <w:tc>
          <w:tcPr>
            <w:tcW w:w="627" w:type="dxa"/>
          </w:tcPr>
          <w:p>
            <w:pPr>
              <w:pStyle w:val="TableParagraph"/>
              <w:spacing w:line="227" w:lineRule="exact"/>
              <w:ind w:left="23" w:right="33"/>
              <w:jc w:val="center"/>
              <w:rPr>
                <w:sz w:val="20"/>
              </w:rPr>
            </w:pPr>
            <w:r>
              <w:rPr>
                <w:spacing w:val="-10"/>
                <w:sz w:val="20"/>
              </w:rPr>
              <w:t>-</w:t>
            </w:r>
          </w:p>
        </w:tc>
        <w:tc>
          <w:tcPr>
            <w:tcW w:w="771" w:type="dxa"/>
          </w:tcPr>
          <w:p>
            <w:pPr>
              <w:pStyle w:val="TableParagraph"/>
              <w:spacing w:line="227" w:lineRule="exact"/>
              <w:ind w:left="45" w:right="35"/>
              <w:jc w:val="center"/>
              <w:rPr>
                <w:sz w:val="20"/>
              </w:rPr>
            </w:pPr>
            <w:r>
              <w:rPr>
                <w:spacing w:val="-10"/>
                <w:sz w:val="20"/>
              </w:rPr>
              <w:t>-</w:t>
            </w:r>
          </w:p>
        </w:tc>
        <w:tc>
          <w:tcPr>
            <w:tcW w:w="692" w:type="dxa"/>
          </w:tcPr>
          <w:p>
            <w:pPr>
              <w:pStyle w:val="TableParagraph"/>
              <w:spacing w:line="227" w:lineRule="exact"/>
              <w:ind w:left="23" w:right="31"/>
              <w:jc w:val="center"/>
              <w:rPr>
                <w:sz w:val="20"/>
              </w:rPr>
            </w:pPr>
            <w:r>
              <w:rPr>
                <w:spacing w:val="-5"/>
                <w:sz w:val="20"/>
              </w:rPr>
              <w:t>23</w:t>
            </w:r>
          </w:p>
        </w:tc>
        <w:tc>
          <w:tcPr>
            <w:tcW w:w="739" w:type="dxa"/>
            <w:tcBorders>
              <w:right w:val="single" w:sz="4" w:space="0" w:color="000000"/>
            </w:tcBorders>
          </w:tcPr>
          <w:p>
            <w:pPr>
              <w:pStyle w:val="TableParagraph"/>
              <w:spacing w:line="227" w:lineRule="exact"/>
              <w:ind w:left="36" w:right="33"/>
              <w:jc w:val="center"/>
              <w:rPr>
                <w:sz w:val="20"/>
              </w:rPr>
            </w:pPr>
            <w:r>
              <w:rPr>
                <w:spacing w:val="-5"/>
                <w:sz w:val="20"/>
              </w:rPr>
              <w:t>5.0</w:t>
            </w:r>
          </w:p>
        </w:tc>
      </w:tr>
      <w:tr>
        <w:trPr>
          <w:trHeight w:val="254" w:hRule="atLeast"/>
        </w:trPr>
        <w:tc>
          <w:tcPr>
            <w:tcW w:w="3877" w:type="dxa"/>
            <w:tcBorders>
              <w:left w:val="single" w:sz="4" w:space="0" w:color="000000"/>
            </w:tcBorders>
          </w:tcPr>
          <w:p>
            <w:pPr>
              <w:pStyle w:val="TableParagraph"/>
              <w:tabs>
                <w:tab w:pos="830" w:val="left" w:leader="none"/>
              </w:tabs>
              <w:spacing w:line="213" w:lineRule="exact" w:before="21"/>
              <w:ind w:left="220"/>
              <w:rPr>
                <w:sz w:val="20"/>
              </w:rPr>
            </w:pPr>
            <w:r>
              <w:rPr>
                <w:spacing w:val="-5"/>
                <w:sz w:val="20"/>
              </w:rPr>
              <w:t>23.</w:t>
            </w:r>
            <w:r>
              <w:rPr>
                <w:sz w:val="20"/>
              </w:rPr>
              <w:tab/>
              <w:t>Medical</w:t>
            </w:r>
            <w:r>
              <w:rPr>
                <w:spacing w:val="-5"/>
                <w:sz w:val="20"/>
              </w:rPr>
              <w:t> </w:t>
            </w:r>
            <w:r>
              <w:rPr>
                <w:spacing w:val="-2"/>
                <w:sz w:val="20"/>
              </w:rPr>
              <w:t>centres</w:t>
            </w:r>
          </w:p>
        </w:tc>
        <w:tc>
          <w:tcPr>
            <w:tcW w:w="2249" w:type="dxa"/>
          </w:tcPr>
          <w:p>
            <w:pPr>
              <w:pStyle w:val="TableParagraph"/>
              <w:spacing w:line="213" w:lineRule="exact" w:before="21"/>
              <w:ind w:left="198"/>
              <w:rPr>
                <w:sz w:val="20"/>
              </w:rPr>
            </w:pPr>
            <w:r>
              <w:rPr>
                <w:sz w:val="20"/>
              </w:rPr>
              <w:t>No.</w:t>
            </w:r>
            <w:r>
              <w:rPr>
                <w:spacing w:val="-5"/>
                <w:sz w:val="20"/>
              </w:rPr>
              <w:t> </w:t>
            </w:r>
            <w:r>
              <w:rPr>
                <w:sz w:val="20"/>
              </w:rPr>
              <w:t>of</w:t>
            </w:r>
            <w:r>
              <w:rPr>
                <w:spacing w:val="-2"/>
                <w:sz w:val="20"/>
              </w:rPr>
              <w:t> missing</w:t>
            </w:r>
          </w:p>
        </w:tc>
        <w:tc>
          <w:tcPr>
            <w:tcW w:w="676" w:type="dxa"/>
          </w:tcPr>
          <w:p>
            <w:pPr>
              <w:pStyle w:val="TableParagraph"/>
              <w:rPr>
                <w:rFonts w:ascii="Times New Roman"/>
                <w:sz w:val="18"/>
              </w:rPr>
            </w:pPr>
          </w:p>
        </w:tc>
        <w:tc>
          <w:tcPr>
            <w:tcW w:w="759" w:type="dxa"/>
          </w:tcPr>
          <w:p>
            <w:pPr>
              <w:pStyle w:val="TableParagraph"/>
              <w:rPr>
                <w:rFonts w:ascii="Times New Roman"/>
                <w:sz w:val="18"/>
              </w:rPr>
            </w:pPr>
          </w:p>
        </w:tc>
        <w:tc>
          <w:tcPr>
            <w:tcW w:w="548" w:type="dxa"/>
          </w:tcPr>
          <w:p>
            <w:pPr>
              <w:pStyle w:val="TableParagraph"/>
              <w:rPr>
                <w:rFonts w:ascii="Times New Roman"/>
                <w:sz w:val="18"/>
              </w:rPr>
            </w:pPr>
          </w:p>
        </w:tc>
        <w:tc>
          <w:tcPr>
            <w:tcW w:w="733" w:type="dxa"/>
          </w:tcPr>
          <w:p>
            <w:pPr>
              <w:pStyle w:val="TableParagraph"/>
              <w:rPr>
                <w:rFonts w:ascii="Times New Roman"/>
                <w:sz w:val="18"/>
              </w:rPr>
            </w:pPr>
          </w:p>
        </w:tc>
        <w:tc>
          <w:tcPr>
            <w:tcW w:w="743" w:type="dxa"/>
          </w:tcPr>
          <w:p>
            <w:pPr>
              <w:pStyle w:val="TableParagraph"/>
              <w:rPr>
                <w:rFonts w:ascii="Times New Roman"/>
                <w:sz w:val="18"/>
              </w:rPr>
            </w:pPr>
          </w:p>
        </w:tc>
        <w:tc>
          <w:tcPr>
            <w:tcW w:w="877" w:type="dxa"/>
          </w:tcPr>
          <w:p>
            <w:pPr>
              <w:pStyle w:val="TableParagraph"/>
              <w:rPr>
                <w:rFonts w:ascii="Times New Roman"/>
                <w:sz w:val="18"/>
              </w:rPr>
            </w:pPr>
          </w:p>
        </w:tc>
        <w:tc>
          <w:tcPr>
            <w:tcW w:w="685" w:type="dxa"/>
          </w:tcPr>
          <w:p>
            <w:pPr>
              <w:pStyle w:val="TableParagraph"/>
              <w:rPr>
                <w:rFonts w:ascii="Times New Roman"/>
                <w:sz w:val="18"/>
              </w:rPr>
            </w:pPr>
          </w:p>
        </w:tc>
        <w:tc>
          <w:tcPr>
            <w:tcW w:w="800" w:type="dxa"/>
          </w:tcPr>
          <w:p>
            <w:pPr>
              <w:pStyle w:val="TableParagraph"/>
              <w:rPr>
                <w:rFonts w:ascii="Times New Roman"/>
                <w:sz w:val="18"/>
              </w:rPr>
            </w:pPr>
          </w:p>
        </w:tc>
        <w:tc>
          <w:tcPr>
            <w:tcW w:w="627" w:type="dxa"/>
          </w:tcPr>
          <w:p>
            <w:pPr>
              <w:pStyle w:val="TableParagraph"/>
              <w:rPr>
                <w:rFonts w:ascii="Times New Roman"/>
                <w:sz w:val="18"/>
              </w:rPr>
            </w:pPr>
          </w:p>
        </w:tc>
        <w:tc>
          <w:tcPr>
            <w:tcW w:w="771" w:type="dxa"/>
          </w:tcPr>
          <w:p>
            <w:pPr>
              <w:pStyle w:val="TableParagraph"/>
              <w:rPr>
                <w:rFonts w:ascii="Times New Roman"/>
                <w:sz w:val="18"/>
              </w:rPr>
            </w:pPr>
          </w:p>
        </w:tc>
        <w:tc>
          <w:tcPr>
            <w:tcW w:w="692" w:type="dxa"/>
          </w:tcPr>
          <w:p>
            <w:pPr>
              <w:pStyle w:val="TableParagraph"/>
              <w:rPr>
                <w:rFonts w:ascii="Times New Roman"/>
                <w:sz w:val="18"/>
              </w:rPr>
            </w:pPr>
          </w:p>
        </w:tc>
        <w:tc>
          <w:tcPr>
            <w:tcW w:w="739" w:type="dxa"/>
            <w:tcBorders>
              <w:right w:val="single" w:sz="4" w:space="0" w:color="000000"/>
            </w:tcBorders>
          </w:tcPr>
          <w:p>
            <w:pPr>
              <w:pStyle w:val="TableParagraph"/>
              <w:rPr>
                <w:rFonts w:ascii="Times New Roman"/>
                <w:sz w:val="18"/>
              </w:rPr>
            </w:pPr>
          </w:p>
        </w:tc>
      </w:tr>
      <w:tr>
        <w:trPr>
          <w:trHeight w:val="230" w:hRule="atLeast"/>
        </w:trPr>
        <w:tc>
          <w:tcPr>
            <w:tcW w:w="3877" w:type="dxa"/>
            <w:tcBorders>
              <w:left w:val="single" w:sz="4" w:space="0" w:color="000000"/>
            </w:tcBorders>
          </w:tcPr>
          <w:p>
            <w:pPr>
              <w:pStyle w:val="TableParagraph"/>
              <w:rPr>
                <w:rFonts w:ascii="Times New Roman"/>
                <w:sz w:val="16"/>
              </w:rPr>
            </w:pPr>
          </w:p>
        </w:tc>
        <w:tc>
          <w:tcPr>
            <w:tcW w:w="2249" w:type="dxa"/>
          </w:tcPr>
          <w:p>
            <w:pPr>
              <w:pStyle w:val="TableParagraph"/>
              <w:spacing w:line="210" w:lineRule="exact"/>
              <w:ind w:left="198"/>
              <w:rPr>
                <w:sz w:val="20"/>
              </w:rPr>
            </w:pPr>
            <w:r>
              <w:rPr>
                <w:spacing w:val="-2"/>
                <w:sz w:val="20"/>
              </w:rPr>
              <w:t>observations</w:t>
            </w:r>
          </w:p>
        </w:tc>
        <w:tc>
          <w:tcPr>
            <w:tcW w:w="676" w:type="dxa"/>
          </w:tcPr>
          <w:p>
            <w:pPr>
              <w:pStyle w:val="TableParagraph"/>
              <w:spacing w:line="210" w:lineRule="exact"/>
              <w:ind w:left="48" w:right="7"/>
              <w:jc w:val="center"/>
              <w:rPr>
                <w:sz w:val="20"/>
              </w:rPr>
            </w:pPr>
            <w:r>
              <w:rPr>
                <w:spacing w:val="-10"/>
                <w:sz w:val="20"/>
              </w:rPr>
              <w:t>-</w:t>
            </w:r>
          </w:p>
        </w:tc>
        <w:tc>
          <w:tcPr>
            <w:tcW w:w="759" w:type="dxa"/>
          </w:tcPr>
          <w:p>
            <w:pPr>
              <w:pStyle w:val="TableParagraph"/>
              <w:spacing w:line="210" w:lineRule="exact"/>
              <w:ind w:left="53" w:right="7"/>
              <w:jc w:val="center"/>
              <w:rPr>
                <w:sz w:val="20"/>
              </w:rPr>
            </w:pPr>
            <w:r>
              <w:rPr>
                <w:spacing w:val="-10"/>
                <w:sz w:val="20"/>
              </w:rPr>
              <w:t>-</w:t>
            </w:r>
          </w:p>
        </w:tc>
        <w:tc>
          <w:tcPr>
            <w:tcW w:w="548" w:type="dxa"/>
          </w:tcPr>
          <w:p>
            <w:pPr>
              <w:pStyle w:val="TableParagraph"/>
              <w:spacing w:line="210" w:lineRule="exact"/>
              <w:ind w:left="5" w:right="5"/>
              <w:jc w:val="center"/>
              <w:rPr>
                <w:sz w:val="20"/>
              </w:rPr>
            </w:pPr>
            <w:r>
              <w:rPr>
                <w:spacing w:val="-10"/>
                <w:sz w:val="20"/>
              </w:rPr>
              <w:t>-</w:t>
            </w:r>
          </w:p>
        </w:tc>
        <w:tc>
          <w:tcPr>
            <w:tcW w:w="733" w:type="dxa"/>
          </w:tcPr>
          <w:p>
            <w:pPr>
              <w:pStyle w:val="TableParagraph"/>
              <w:spacing w:line="210" w:lineRule="exact"/>
              <w:ind w:left="53" w:right="67"/>
              <w:jc w:val="center"/>
              <w:rPr>
                <w:sz w:val="20"/>
              </w:rPr>
            </w:pPr>
            <w:r>
              <w:rPr>
                <w:spacing w:val="-10"/>
                <w:sz w:val="20"/>
              </w:rPr>
              <w:t>-</w:t>
            </w:r>
          </w:p>
        </w:tc>
        <w:tc>
          <w:tcPr>
            <w:tcW w:w="743" w:type="dxa"/>
          </w:tcPr>
          <w:p>
            <w:pPr>
              <w:pStyle w:val="TableParagraph"/>
              <w:spacing w:line="210" w:lineRule="exact"/>
              <w:ind w:left="36" w:right="79"/>
              <w:jc w:val="center"/>
              <w:rPr>
                <w:sz w:val="20"/>
              </w:rPr>
            </w:pPr>
            <w:r>
              <w:rPr>
                <w:spacing w:val="-10"/>
                <w:sz w:val="20"/>
              </w:rPr>
              <w:t>1</w:t>
            </w:r>
          </w:p>
        </w:tc>
        <w:tc>
          <w:tcPr>
            <w:tcW w:w="877" w:type="dxa"/>
          </w:tcPr>
          <w:p>
            <w:pPr>
              <w:pStyle w:val="TableParagraph"/>
              <w:spacing w:line="210" w:lineRule="exact"/>
              <w:ind w:left="6" w:right="28"/>
              <w:jc w:val="center"/>
              <w:rPr>
                <w:sz w:val="20"/>
              </w:rPr>
            </w:pPr>
            <w:r>
              <w:rPr>
                <w:spacing w:val="-4"/>
                <w:sz w:val="20"/>
              </w:rPr>
              <w:t>50.0</w:t>
            </w:r>
          </w:p>
        </w:tc>
        <w:tc>
          <w:tcPr>
            <w:tcW w:w="685" w:type="dxa"/>
          </w:tcPr>
          <w:p>
            <w:pPr>
              <w:pStyle w:val="TableParagraph"/>
              <w:spacing w:line="210" w:lineRule="exact"/>
              <w:ind w:left="77" w:right="32"/>
              <w:jc w:val="center"/>
              <w:rPr>
                <w:sz w:val="20"/>
              </w:rPr>
            </w:pPr>
            <w:r>
              <w:rPr>
                <w:spacing w:val="-10"/>
                <w:sz w:val="20"/>
              </w:rPr>
              <w:t>1</w:t>
            </w:r>
          </w:p>
        </w:tc>
        <w:tc>
          <w:tcPr>
            <w:tcW w:w="800" w:type="dxa"/>
          </w:tcPr>
          <w:p>
            <w:pPr>
              <w:pStyle w:val="TableParagraph"/>
              <w:spacing w:line="210" w:lineRule="exact"/>
              <w:ind w:left="18" w:right="18"/>
              <w:jc w:val="center"/>
              <w:rPr>
                <w:sz w:val="20"/>
              </w:rPr>
            </w:pPr>
            <w:r>
              <w:rPr>
                <w:spacing w:val="-4"/>
                <w:sz w:val="20"/>
              </w:rPr>
              <w:t>50.0</w:t>
            </w:r>
          </w:p>
        </w:tc>
        <w:tc>
          <w:tcPr>
            <w:tcW w:w="627" w:type="dxa"/>
          </w:tcPr>
          <w:p>
            <w:pPr>
              <w:pStyle w:val="TableParagraph"/>
              <w:spacing w:line="210" w:lineRule="exact"/>
              <w:ind w:left="23" w:right="33"/>
              <w:jc w:val="center"/>
              <w:rPr>
                <w:sz w:val="20"/>
              </w:rPr>
            </w:pPr>
            <w:r>
              <w:rPr>
                <w:spacing w:val="-10"/>
                <w:sz w:val="20"/>
              </w:rPr>
              <w:t>-</w:t>
            </w:r>
          </w:p>
        </w:tc>
        <w:tc>
          <w:tcPr>
            <w:tcW w:w="771" w:type="dxa"/>
          </w:tcPr>
          <w:p>
            <w:pPr>
              <w:pStyle w:val="TableParagraph"/>
              <w:spacing w:line="210" w:lineRule="exact"/>
              <w:ind w:left="45" w:right="35"/>
              <w:jc w:val="center"/>
              <w:rPr>
                <w:sz w:val="20"/>
              </w:rPr>
            </w:pPr>
            <w:r>
              <w:rPr>
                <w:spacing w:val="-10"/>
                <w:sz w:val="20"/>
              </w:rPr>
              <w:t>-</w:t>
            </w:r>
          </w:p>
        </w:tc>
        <w:tc>
          <w:tcPr>
            <w:tcW w:w="692" w:type="dxa"/>
          </w:tcPr>
          <w:p>
            <w:pPr>
              <w:pStyle w:val="TableParagraph"/>
              <w:spacing w:line="210" w:lineRule="exact"/>
              <w:ind w:left="23" w:right="26"/>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33"/>
              <w:jc w:val="center"/>
              <w:rPr>
                <w:sz w:val="20"/>
              </w:rPr>
            </w:pPr>
            <w:r>
              <w:rPr>
                <w:spacing w:val="-5"/>
                <w:sz w:val="20"/>
              </w:rPr>
              <w:t>0.4</w:t>
            </w:r>
          </w:p>
        </w:tc>
      </w:tr>
      <w:tr>
        <w:trPr>
          <w:trHeight w:val="254" w:hRule="atLeast"/>
        </w:trPr>
        <w:tc>
          <w:tcPr>
            <w:tcW w:w="3877" w:type="dxa"/>
            <w:tcBorders>
              <w:left w:val="single" w:sz="4" w:space="0" w:color="000000"/>
            </w:tcBorders>
          </w:tcPr>
          <w:p>
            <w:pPr>
              <w:pStyle w:val="TableParagraph"/>
              <w:rPr>
                <w:rFonts w:ascii="Times New Roman"/>
                <w:sz w:val="18"/>
              </w:rPr>
            </w:pPr>
          </w:p>
        </w:tc>
        <w:tc>
          <w:tcPr>
            <w:tcW w:w="2249" w:type="dxa"/>
          </w:tcPr>
          <w:p>
            <w:pPr>
              <w:pStyle w:val="TableParagraph"/>
              <w:spacing w:line="227" w:lineRule="exact"/>
              <w:ind w:left="198"/>
              <w:rPr>
                <w:sz w:val="20"/>
              </w:rPr>
            </w:pPr>
            <w:r>
              <w:rPr>
                <w:spacing w:val="-2"/>
                <w:sz w:val="20"/>
              </w:rPr>
              <w:t>Students</w:t>
            </w:r>
          </w:p>
        </w:tc>
        <w:tc>
          <w:tcPr>
            <w:tcW w:w="676" w:type="dxa"/>
          </w:tcPr>
          <w:p>
            <w:pPr>
              <w:pStyle w:val="TableParagraph"/>
              <w:spacing w:line="227" w:lineRule="exact"/>
              <w:ind w:left="48" w:right="5"/>
              <w:jc w:val="center"/>
              <w:rPr>
                <w:sz w:val="20"/>
              </w:rPr>
            </w:pPr>
            <w:r>
              <w:rPr>
                <w:spacing w:val="-5"/>
                <w:sz w:val="20"/>
              </w:rPr>
              <w:t>14</w:t>
            </w:r>
          </w:p>
        </w:tc>
        <w:tc>
          <w:tcPr>
            <w:tcW w:w="759" w:type="dxa"/>
          </w:tcPr>
          <w:p>
            <w:pPr>
              <w:pStyle w:val="TableParagraph"/>
              <w:spacing w:line="227" w:lineRule="exact"/>
              <w:ind w:left="53" w:right="5"/>
              <w:jc w:val="center"/>
              <w:rPr>
                <w:sz w:val="20"/>
              </w:rPr>
            </w:pPr>
            <w:r>
              <w:rPr>
                <w:spacing w:val="-5"/>
                <w:sz w:val="20"/>
              </w:rPr>
              <w:t>6.0</w:t>
            </w:r>
          </w:p>
        </w:tc>
        <w:tc>
          <w:tcPr>
            <w:tcW w:w="548" w:type="dxa"/>
          </w:tcPr>
          <w:p>
            <w:pPr>
              <w:pStyle w:val="TableParagraph"/>
              <w:spacing w:line="227" w:lineRule="exact"/>
              <w:ind w:left="5" w:right="5"/>
              <w:jc w:val="center"/>
              <w:rPr>
                <w:sz w:val="20"/>
              </w:rPr>
            </w:pPr>
            <w:r>
              <w:rPr>
                <w:spacing w:val="-5"/>
                <w:sz w:val="20"/>
              </w:rPr>
              <w:t>30</w:t>
            </w:r>
          </w:p>
        </w:tc>
        <w:tc>
          <w:tcPr>
            <w:tcW w:w="733" w:type="dxa"/>
          </w:tcPr>
          <w:p>
            <w:pPr>
              <w:pStyle w:val="TableParagraph"/>
              <w:spacing w:line="227" w:lineRule="exact"/>
              <w:ind w:left="53" w:right="60"/>
              <w:jc w:val="center"/>
              <w:rPr>
                <w:sz w:val="20"/>
              </w:rPr>
            </w:pPr>
            <w:r>
              <w:rPr>
                <w:spacing w:val="-4"/>
                <w:sz w:val="20"/>
              </w:rPr>
              <w:t>12.8</w:t>
            </w:r>
          </w:p>
        </w:tc>
        <w:tc>
          <w:tcPr>
            <w:tcW w:w="743" w:type="dxa"/>
          </w:tcPr>
          <w:p>
            <w:pPr>
              <w:pStyle w:val="TableParagraph"/>
              <w:spacing w:line="227" w:lineRule="exact"/>
              <w:ind w:left="36" w:right="89"/>
              <w:jc w:val="center"/>
              <w:rPr>
                <w:sz w:val="20"/>
              </w:rPr>
            </w:pPr>
            <w:r>
              <w:rPr>
                <w:spacing w:val="-5"/>
                <w:sz w:val="20"/>
              </w:rPr>
              <w:t>108</w:t>
            </w:r>
          </w:p>
        </w:tc>
        <w:tc>
          <w:tcPr>
            <w:tcW w:w="877" w:type="dxa"/>
          </w:tcPr>
          <w:p>
            <w:pPr>
              <w:pStyle w:val="TableParagraph"/>
              <w:spacing w:line="227" w:lineRule="exact"/>
              <w:ind w:left="6" w:right="28"/>
              <w:jc w:val="center"/>
              <w:rPr>
                <w:sz w:val="20"/>
              </w:rPr>
            </w:pPr>
            <w:r>
              <w:rPr>
                <w:spacing w:val="-4"/>
                <w:sz w:val="20"/>
              </w:rPr>
              <w:t>46.0</w:t>
            </w:r>
          </w:p>
        </w:tc>
        <w:tc>
          <w:tcPr>
            <w:tcW w:w="685" w:type="dxa"/>
          </w:tcPr>
          <w:p>
            <w:pPr>
              <w:pStyle w:val="TableParagraph"/>
              <w:spacing w:line="227" w:lineRule="exact"/>
              <w:ind w:left="73" w:right="32"/>
              <w:jc w:val="center"/>
              <w:rPr>
                <w:sz w:val="20"/>
              </w:rPr>
            </w:pPr>
            <w:r>
              <w:rPr>
                <w:spacing w:val="-5"/>
                <w:sz w:val="20"/>
              </w:rPr>
              <w:t>59</w:t>
            </w:r>
          </w:p>
        </w:tc>
        <w:tc>
          <w:tcPr>
            <w:tcW w:w="800" w:type="dxa"/>
          </w:tcPr>
          <w:p>
            <w:pPr>
              <w:pStyle w:val="TableParagraph"/>
              <w:spacing w:line="227" w:lineRule="exact"/>
              <w:ind w:left="18" w:right="18"/>
              <w:jc w:val="center"/>
              <w:rPr>
                <w:sz w:val="20"/>
              </w:rPr>
            </w:pPr>
            <w:r>
              <w:rPr>
                <w:spacing w:val="-4"/>
                <w:sz w:val="20"/>
              </w:rPr>
              <w:t>25.1</w:t>
            </w:r>
          </w:p>
        </w:tc>
        <w:tc>
          <w:tcPr>
            <w:tcW w:w="627" w:type="dxa"/>
          </w:tcPr>
          <w:p>
            <w:pPr>
              <w:pStyle w:val="TableParagraph"/>
              <w:spacing w:line="227" w:lineRule="exact"/>
              <w:ind w:left="23" w:right="31"/>
              <w:jc w:val="center"/>
              <w:rPr>
                <w:sz w:val="20"/>
              </w:rPr>
            </w:pPr>
            <w:r>
              <w:rPr>
                <w:spacing w:val="-5"/>
                <w:sz w:val="20"/>
              </w:rPr>
              <w:t>24</w:t>
            </w:r>
          </w:p>
        </w:tc>
        <w:tc>
          <w:tcPr>
            <w:tcW w:w="771" w:type="dxa"/>
          </w:tcPr>
          <w:p>
            <w:pPr>
              <w:pStyle w:val="TableParagraph"/>
              <w:spacing w:line="227" w:lineRule="exact"/>
              <w:ind w:left="45" w:right="28"/>
              <w:jc w:val="center"/>
              <w:rPr>
                <w:sz w:val="20"/>
              </w:rPr>
            </w:pPr>
            <w:r>
              <w:rPr>
                <w:spacing w:val="-4"/>
                <w:sz w:val="20"/>
              </w:rPr>
              <w:t>10.2</w:t>
            </w:r>
          </w:p>
        </w:tc>
        <w:tc>
          <w:tcPr>
            <w:tcW w:w="692" w:type="dxa"/>
          </w:tcPr>
          <w:p>
            <w:pPr>
              <w:pStyle w:val="TableParagraph"/>
              <w:spacing w:line="227" w:lineRule="exact"/>
              <w:ind w:left="23" w:right="36"/>
              <w:jc w:val="center"/>
              <w:rPr>
                <w:sz w:val="20"/>
              </w:rPr>
            </w:pPr>
            <w:r>
              <w:rPr>
                <w:spacing w:val="-5"/>
                <w:sz w:val="20"/>
              </w:rPr>
              <w:t>235</w:t>
            </w:r>
          </w:p>
        </w:tc>
        <w:tc>
          <w:tcPr>
            <w:tcW w:w="739" w:type="dxa"/>
            <w:tcBorders>
              <w:right w:val="single" w:sz="4" w:space="0" w:color="000000"/>
            </w:tcBorders>
          </w:tcPr>
          <w:p>
            <w:pPr>
              <w:pStyle w:val="TableParagraph"/>
              <w:spacing w:line="227" w:lineRule="exact"/>
              <w:ind w:left="36" w:right="28"/>
              <w:jc w:val="center"/>
              <w:rPr>
                <w:sz w:val="20"/>
              </w:rPr>
            </w:pPr>
            <w:r>
              <w:rPr>
                <w:spacing w:val="-4"/>
                <w:sz w:val="20"/>
              </w:rPr>
              <w:t>50.8</w:t>
            </w:r>
          </w:p>
        </w:tc>
      </w:tr>
      <w:tr>
        <w:trPr>
          <w:trHeight w:val="254" w:hRule="atLeast"/>
        </w:trPr>
        <w:tc>
          <w:tcPr>
            <w:tcW w:w="3877" w:type="dxa"/>
            <w:tcBorders>
              <w:left w:val="single" w:sz="4" w:space="0" w:color="000000"/>
            </w:tcBorders>
          </w:tcPr>
          <w:p>
            <w:pPr>
              <w:pStyle w:val="TableParagraph"/>
              <w:rPr>
                <w:rFonts w:ascii="Times New Roman"/>
                <w:sz w:val="18"/>
              </w:rPr>
            </w:pPr>
          </w:p>
        </w:tc>
        <w:tc>
          <w:tcPr>
            <w:tcW w:w="2249" w:type="dxa"/>
          </w:tcPr>
          <w:p>
            <w:pPr>
              <w:pStyle w:val="TableParagraph"/>
              <w:spacing w:line="213" w:lineRule="exact" w:before="21"/>
              <w:ind w:left="198"/>
              <w:rPr>
                <w:sz w:val="20"/>
              </w:rPr>
            </w:pPr>
            <w:r>
              <w:rPr>
                <w:sz w:val="20"/>
              </w:rPr>
              <w:t>Service</w:t>
            </w:r>
            <w:r>
              <w:rPr>
                <w:spacing w:val="-9"/>
                <w:sz w:val="20"/>
              </w:rPr>
              <w:t> </w:t>
            </w:r>
            <w:r>
              <w:rPr>
                <w:spacing w:val="-2"/>
                <w:sz w:val="20"/>
              </w:rPr>
              <w:t>Staff</w:t>
            </w:r>
          </w:p>
        </w:tc>
        <w:tc>
          <w:tcPr>
            <w:tcW w:w="676" w:type="dxa"/>
          </w:tcPr>
          <w:p>
            <w:pPr>
              <w:pStyle w:val="TableParagraph"/>
              <w:spacing w:line="213" w:lineRule="exact" w:before="21"/>
              <w:ind w:left="48" w:right="5"/>
              <w:jc w:val="center"/>
              <w:rPr>
                <w:sz w:val="20"/>
              </w:rPr>
            </w:pPr>
            <w:r>
              <w:rPr>
                <w:spacing w:val="-5"/>
                <w:sz w:val="20"/>
              </w:rPr>
              <w:t>20</w:t>
            </w:r>
          </w:p>
        </w:tc>
        <w:tc>
          <w:tcPr>
            <w:tcW w:w="759" w:type="dxa"/>
          </w:tcPr>
          <w:p>
            <w:pPr>
              <w:pStyle w:val="TableParagraph"/>
              <w:spacing w:line="213" w:lineRule="exact" w:before="21"/>
              <w:ind w:left="53" w:right="5"/>
              <w:jc w:val="center"/>
              <w:rPr>
                <w:sz w:val="20"/>
              </w:rPr>
            </w:pPr>
            <w:r>
              <w:rPr>
                <w:spacing w:val="-5"/>
                <w:sz w:val="20"/>
              </w:rPr>
              <w:t>9.9</w:t>
            </w:r>
          </w:p>
        </w:tc>
        <w:tc>
          <w:tcPr>
            <w:tcW w:w="548" w:type="dxa"/>
          </w:tcPr>
          <w:p>
            <w:pPr>
              <w:pStyle w:val="TableParagraph"/>
              <w:spacing w:line="213" w:lineRule="exact" w:before="21"/>
              <w:ind w:left="5" w:right="5"/>
              <w:jc w:val="center"/>
              <w:rPr>
                <w:sz w:val="20"/>
              </w:rPr>
            </w:pPr>
            <w:r>
              <w:rPr>
                <w:spacing w:val="-5"/>
                <w:sz w:val="20"/>
              </w:rPr>
              <w:t>24</w:t>
            </w:r>
          </w:p>
        </w:tc>
        <w:tc>
          <w:tcPr>
            <w:tcW w:w="733" w:type="dxa"/>
          </w:tcPr>
          <w:p>
            <w:pPr>
              <w:pStyle w:val="TableParagraph"/>
              <w:spacing w:line="213" w:lineRule="exact" w:before="21"/>
              <w:ind w:left="53" w:right="60"/>
              <w:jc w:val="center"/>
              <w:rPr>
                <w:sz w:val="20"/>
              </w:rPr>
            </w:pPr>
            <w:r>
              <w:rPr>
                <w:spacing w:val="-4"/>
                <w:sz w:val="20"/>
              </w:rPr>
              <w:t>11.8</w:t>
            </w:r>
          </w:p>
        </w:tc>
        <w:tc>
          <w:tcPr>
            <w:tcW w:w="743" w:type="dxa"/>
          </w:tcPr>
          <w:p>
            <w:pPr>
              <w:pStyle w:val="TableParagraph"/>
              <w:spacing w:line="213" w:lineRule="exact" w:before="21"/>
              <w:ind w:left="36" w:right="84"/>
              <w:jc w:val="center"/>
              <w:rPr>
                <w:sz w:val="20"/>
              </w:rPr>
            </w:pPr>
            <w:r>
              <w:rPr>
                <w:spacing w:val="-5"/>
                <w:sz w:val="20"/>
              </w:rPr>
              <w:t>76</w:t>
            </w:r>
          </w:p>
        </w:tc>
        <w:tc>
          <w:tcPr>
            <w:tcW w:w="877" w:type="dxa"/>
          </w:tcPr>
          <w:p>
            <w:pPr>
              <w:pStyle w:val="TableParagraph"/>
              <w:spacing w:line="213" w:lineRule="exact" w:before="21"/>
              <w:ind w:left="6" w:right="28"/>
              <w:jc w:val="center"/>
              <w:rPr>
                <w:sz w:val="20"/>
              </w:rPr>
            </w:pPr>
            <w:r>
              <w:rPr>
                <w:spacing w:val="-4"/>
                <w:sz w:val="20"/>
              </w:rPr>
              <w:t>37.4</w:t>
            </w:r>
          </w:p>
        </w:tc>
        <w:tc>
          <w:tcPr>
            <w:tcW w:w="685" w:type="dxa"/>
          </w:tcPr>
          <w:p>
            <w:pPr>
              <w:pStyle w:val="TableParagraph"/>
              <w:spacing w:line="213" w:lineRule="exact" w:before="21"/>
              <w:ind w:left="73" w:right="32"/>
              <w:jc w:val="center"/>
              <w:rPr>
                <w:sz w:val="20"/>
              </w:rPr>
            </w:pPr>
            <w:r>
              <w:rPr>
                <w:spacing w:val="-5"/>
                <w:sz w:val="20"/>
              </w:rPr>
              <w:t>71</w:t>
            </w:r>
          </w:p>
        </w:tc>
        <w:tc>
          <w:tcPr>
            <w:tcW w:w="800" w:type="dxa"/>
          </w:tcPr>
          <w:p>
            <w:pPr>
              <w:pStyle w:val="TableParagraph"/>
              <w:spacing w:line="213" w:lineRule="exact" w:before="21"/>
              <w:ind w:left="18" w:right="18"/>
              <w:jc w:val="center"/>
              <w:rPr>
                <w:sz w:val="20"/>
              </w:rPr>
            </w:pPr>
            <w:r>
              <w:rPr>
                <w:spacing w:val="-4"/>
                <w:sz w:val="20"/>
              </w:rPr>
              <w:t>35.0</w:t>
            </w:r>
          </w:p>
        </w:tc>
        <w:tc>
          <w:tcPr>
            <w:tcW w:w="627" w:type="dxa"/>
          </w:tcPr>
          <w:p>
            <w:pPr>
              <w:pStyle w:val="TableParagraph"/>
              <w:spacing w:line="213" w:lineRule="exact" w:before="21"/>
              <w:ind w:left="23" w:right="31"/>
              <w:jc w:val="center"/>
              <w:rPr>
                <w:sz w:val="20"/>
              </w:rPr>
            </w:pPr>
            <w:r>
              <w:rPr>
                <w:spacing w:val="-5"/>
                <w:sz w:val="20"/>
              </w:rPr>
              <w:t>12</w:t>
            </w:r>
          </w:p>
        </w:tc>
        <w:tc>
          <w:tcPr>
            <w:tcW w:w="771" w:type="dxa"/>
          </w:tcPr>
          <w:p>
            <w:pPr>
              <w:pStyle w:val="TableParagraph"/>
              <w:spacing w:line="213" w:lineRule="exact" w:before="21"/>
              <w:ind w:left="45" w:right="33"/>
              <w:jc w:val="center"/>
              <w:rPr>
                <w:sz w:val="20"/>
              </w:rPr>
            </w:pPr>
            <w:r>
              <w:rPr>
                <w:spacing w:val="-5"/>
                <w:sz w:val="20"/>
              </w:rPr>
              <w:t>5.9</w:t>
            </w:r>
          </w:p>
        </w:tc>
        <w:tc>
          <w:tcPr>
            <w:tcW w:w="692" w:type="dxa"/>
          </w:tcPr>
          <w:p>
            <w:pPr>
              <w:pStyle w:val="TableParagraph"/>
              <w:spacing w:line="213" w:lineRule="exact" w:before="21"/>
              <w:ind w:left="23" w:right="36"/>
              <w:jc w:val="center"/>
              <w:rPr>
                <w:sz w:val="20"/>
              </w:rPr>
            </w:pPr>
            <w:r>
              <w:rPr>
                <w:spacing w:val="-5"/>
                <w:sz w:val="20"/>
              </w:rPr>
              <w:t>203</w:t>
            </w:r>
          </w:p>
        </w:tc>
        <w:tc>
          <w:tcPr>
            <w:tcW w:w="739" w:type="dxa"/>
            <w:tcBorders>
              <w:right w:val="single" w:sz="4" w:space="0" w:color="000000"/>
            </w:tcBorders>
          </w:tcPr>
          <w:p>
            <w:pPr>
              <w:pStyle w:val="TableParagraph"/>
              <w:spacing w:line="213" w:lineRule="exact" w:before="21"/>
              <w:ind w:left="36" w:right="28"/>
              <w:jc w:val="center"/>
              <w:rPr>
                <w:sz w:val="20"/>
              </w:rPr>
            </w:pPr>
            <w:r>
              <w:rPr>
                <w:spacing w:val="-4"/>
                <w:sz w:val="20"/>
              </w:rPr>
              <w:t>43.8</w:t>
            </w:r>
          </w:p>
        </w:tc>
      </w:tr>
      <w:tr>
        <w:trPr>
          <w:trHeight w:val="235" w:hRule="atLeast"/>
        </w:trPr>
        <w:tc>
          <w:tcPr>
            <w:tcW w:w="3877" w:type="dxa"/>
            <w:tcBorders>
              <w:left w:val="single" w:sz="4" w:space="0" w:color="000000"/>
            </w:tcBorders>
          </w:tcPr>
          <w:p>
            <w:pPr>
              <w:pStyle w:val="TableParagraph"/>
              <w:rPr>
                <w:rFonts w:ascii="Times New Roman"/>
                <w:sz w:val="16"/>
              </w:rPr>
            </w:pPr>
          </w:p>
        </w:tc>
        <w:tc>
          <w:tcPr>
            <w:tcW w:w="2249" w:type="dxa"/>
          </w:tcPr>
          <w:p>
            <w:pPr>
              <w:pStyle w:val="TableParagraph"/>
              <w:spacing w:line="215" w:lineRule="exact"/>
              <w:ind w:left="198"/>
              <w:rPr>
                <w:sz w:val="20"/>
              </w:rPr>
            </w:pPr>
            <w:r>
              <w:rPr>
                <w:sz w:val="20"/>
              </w:rPr>
              <w:t>Top</w:t>
            </w:r>
            <w:r>
              <w:rPr>
                <w:spacing w:val="-1"/>
                <w:sz w:val="20"/>
              </w:rPr>
              <w:t> </w:t>
            </w:r>
            <w:r>
              <w:rPr>
                <w:spacing w:val="-2"/>
                <w:sz w:val="20"/>
              </w:rPr>
              <w:t>Management</w:t>
            </w:r>
          </w:p>
        </w:tc>
        <w:tc>
          <w:tcPr>
            <w:tcW w:w="676" w:type="dxa"/>
          </w:tcPr>
          <w:p>
            <w:pPr>
              <w:pStyle w:val="TableParagraph"/>
              <w:spacing w:line="215" w:lineRule="exact"/>
              <w:ind w:left="48"/>
              <w:jc w:val="center"/>
              <w:rPr>
                <w:sz w:val="20"/>
              </w:rPr>
            </w:pPr>
            <w:r>
              <w:rPr>
                <w:spacing w:val="-10"/>
                <w:sz w:val="20"/>
              </w:rPr>
              <w:t>1</w:t>
            </w:r>
          </w:p>
        </w:tc>
        <w:tc>
          <w:tcPr>
            <w:tcW w:w="759" w:type="dxa"/>
          </w:tcPr>
          <w:p>
            <w:pPr>
              <w:pStyle w:val="TableParagraph"/>
              <w:spacing w:line="215" w:lineRule="exact"/>
              <w:ind w:left="53" w:right="5"/>
              <w:jc w:val="center"/>
              <w:rPr>
                <w:sz w:val="20"/>
              </w:rPr>
            </w:pPr>
            <w:r>
              <w:rPr>
                <w:spacing w:val="-5"/>
                <w:sz w:val="20"/>
              </w:rPr>
              <w:t>4.3</w:t>
            </w:r>
          </w:p>
        </w:tc>
        <w:tc>
          <w:tcPr>
            <w:tcW w:w="548" w:type="dxa"/>
          </w:tcPr>
          <w:p>
            <w:pPr>
              <w:pStyle w:val="TableParagraph"/>
              <w:spacing w:line="215" w:lineRule="exact"/>
              <w:ind w:left="5" w:right="2"/>
              <w:jc w:val="center"/>
              <w:rPr>
                <w:sz w:val="20"/>
              </w:rPr>
            </w:pPr>
            <w:r>
              <w:rPr>
                <w:spacing w:val="-10"/>
                <w:sz w:val="20"/>
              </w:rPr>
              <w:t>2</w:t>
            </w:r>
          </w:p>
        </w:tc>
        <w:tc>
          <w:tcPr>
            <w:tcW w:w="733" w:type="dxa"/>
          </w:tcPr>
          <w:p>
            <w:pPr>
              <w:pStyle w:val="TableParagraph"/>
              <w:spacing w:line="215" w:lineRule="exact"/>
              <w:ind w:left="53" w:right="65"/>
              <w:jc w:val="center"/>
              <w:rPr>
                <w:sz w:val="20"/>
              </w:rPr>
            </w:pPr>
            <w:r>
              <w:rPr>
                <w:spacing w:val="-5"/>
                <w:sz w:val="20"/>
              </w:rPr>
              <w:t>8.7</w:t>
            </w:r>
          </w:p>
        </w:tc>
        <w:tc>
          <w:tcPr>
            <w:tcW w:w="743" w:type="dxa"/>
          </w:tcPr>
          <w:p>
            <w:pPr>
              <w:pStyle w:val="TableParagraph"/>
              <w:spacing w:line="215" w:lineRule="exact"/>
              <w:ind w:left="36" w:right="84"/>
              <w:jc w:val="center"/>
              <w:rPr>
                <w:sz w:val="20"/>
              </w:rPr>
            </w:pPr>
            <w:r>
              <w:rPr>
                <w:spacing w:val="-5"/>
                <w:sz w:val="20"/>
              </w:rPr>
              <w:t>12</w:t>
            </w:r>
          </w:p>
        </w:tc>
        <w:tc>
          <w:tcPr>
            <w:tcW w:w="877" w:type="dxa"/>
          </w:tcPr>
          <w:p>
            <w:pPr>
              <w:pStyle w:val="TableParagraph"/>
              <w:spacing w:line="215" w:lineRule="exact"/>
              <w:ind w:left="6" w:right="28"/>
              <w:jc w:val="center"/>
              <w:rPr>
                <w:sz w:val="20"/>
              </w:rPr>
            </w:pPr>
            <w:r>
              <w:rPr>
                <w:spacing w:val="-4"/>
                <w:sz w:val="20"/>
              </w:rPr>
              <w:t>52.2</w:t>
            </w:r>
          </w:p>
        </w:tc>
        <w:tc>
          <w:tcPr>
            <w:tcW w:w="685" w:type="dxa"/>
          </w:tcPr>
          <w:p>
            <w:pPr>
              <w:pStyle w:val="TableParagraph"/>
              <w:spacing w:line="215" w:lineRule="exact"/>
              <w:ind w:left="77" w:right="32"/>
              <w:jc w:val="center"/>
              <w:rPr>
                <w:sz w:val="20"/>
              </w:rPr>
            </w:pPr>
            <w:r>
              <w:rPr>
                <w:spacing w:val="-10"/>
                <w:sz w:val="20"/>
              </w:rPr>
              <w:t>7</w:t>
            </w:r>
          </w:p>
        </w:tc>
        <w:tc>
          <w:tcPr>
            <w:tcW w:w="800" w:type="dxa"/>
          </w:tcPr>
          <w:p>
            <w:pPr>
              <w:pStyle w:val="TableParagraph"/>
              <w:spacing w:line="215" w:lineRule="exact"/>
              <w:ind w:left="18" w:right="18"/>
              <w:jc w:val="center"/>
              <w:rPr>
                <w:sz w:val="20"/>
              </w:rPr>
            </w:pPr>
            <w:r>
              <w:rPr>
                <w:spacing w:val="-4"/>
                <w:sz w:val="20"/>
              </w:rPr>
              <w:t>30.4</w:t>
            </w:r>
          </w:p>
        </w:tc>
        <w:tc>
          <w:tcPr>
            <w:tcW w:w="627" w:type="dxa"/>
          </w:tcPr>
          <w:p>
            <w:pPr>
              <w:pStyle w:val="TableParagraph"/>
              <w:spacing w:line="215" w:lineRule="exact"/>
              <w:ind w:left="23" w:right="26"/>
              <w:jc w:val="center"/>
              <w:rPr>
                <w:sz w:val="20"/>
              </w:rPr>
            </w:pPr>
            <w:r>
              <w:rPr>
                <w:spacing w:val="-10"/>
                <w:sz w:val="20"/>
              </w:rPr>
              <w:t>1</w:t>
            </w:r>
          </w:p>
        </w:tc>
        <w:tc>
          <w:tcPr>
            <w:tcW w:w="771" w:type="dxa"/>
          </w:tcPr>
          <w:p>
            <w:pPr>
              <w:pStyle w:val="TableParagraph"/>
              <w:spacing w:line="215" w:lineRule="exact"/>
              <w:ind w:left="45" w:right="33"/>
              <w:jc w:val="center"/>
              <w:rPr>
                <w:sz w:val="20"/>
              </w:rPr>
            </w:pPr>
            <w:r>
              <w:rPr>
                <w:spacing w:val="-5"/>
                <w:sz w:val="20"/>
              </w:rPr>
              <w:t>4.3</w:t>
            </w:r>
          </w:p>
        </w:tc>
        <w:tc>
          <w:tcPr>
            <w:tcW w:w="692" w:type="dxa"/>
          </w:tcPr>
          <w:p>
            <w:pPr>
              <w:pStyle w:val="TableParagraph"/>
              <w:spacing w:line="215" w:lineRule="exact"/>
              <w:ind w:left="23" w:right="31"/>
              <w:jc w:val="center"/>
              <w:rPr>
                <w:sz w:val="20"/>
              </w:rPr>
            </w:pPr>
            <w:r>
              <w:rPr>
                <w:spacing w:val="-5"/>
                <w:sz w:val="20"/>
              </w:rPr>
              <w:t>23</w:t>
            </w:r>
          </w:p>
        </w:tc>
        <w:tc>
          <w:tcPr>
            <w:tcW w:w="739" w:type="dxa"/>
            <w:tcBorders>
              <w:right w:val="single" w:sz="4" w:space="0" w:color="000000"/>
            </w:tcBorders>
          </w:tcPr>
          <w:p>
            <w:pPr>
              <w:pStyle w:val="TableParagraph"/>
              <w:spacing w:line="215" w:lineRule="exact"/>
              <w:ind w:left="36" w:right="33"/>
              <w:jc w:val="center"/>
              <w:rPr>
                <w:sz w:val="20"/>
              </w:rPr>
            </w:pPr>
            <w:r>
              <w:rPr>
                <w:spacing w:val="-5"/>
                <w:sz w:val="20"/>
              </w:rPr>
              <w:t>5.0</w:t>
            </w:r>
          </w:p>
        </w:tc>
      </w:tr>
      <w:tr>
        <w:trPr>
          <w:trHeight w:val="235" w:hRule="atLeast"/>
        </w:trPr>
        <w:tc>
          <w:tcPr>
            <w:tcW w:w="3877" w:type="dxa"/>
            <w:tcBorders>
              <w:left w:val="single" w:sz="4" w:space="0" w:color="000000"/>
            </w:tcBorders>
          </w:tcPr>
          <w:p>
            <w:pPr>
              <w:pStyle w:val="TableParagraph"/>
              <w:tabs>
                <w:tab w:pos="830" w:val="left" w:leader="none"/>
              </w:tabs>
              <w:spacing w:line="213" w:lineRule="exact" w:before="2"/>
              <w:ind w:left="220"/>
              <w:rPr>
                <w:sz w:val="20"/>
              </w:rPr>
            </w:pPr>
            <w:r>
              <w:rPr>
                <w:spacing w:val="-5"/>
                <w:sz w:val="20"/>
              </w:rPr>
              <w:t>24.</w:t>
            </w:r>
            <w:r>
              <w:rPr>
                <w:sz w:val="20"/>
              </w:rPr>
              <w:tab/>
              <w:t>Sanitation</w:t>
            </w:r>
            <w:r>
              <w:rPr>
                <w:spacing w:val="-11"/>
                <w:sz w:val="20"/>
              </w:rPr>
              <w:t> </w:t>
            </w:r>
            <w:r>
              <w:rPr>
                <w:spacing w:val="-2"/>
                <w:sz w:val="20"/>
              </w:rPr>
              <w:t>facilities</w:t>
            </w:r>
          </w:p>
        </w:tc>
        <w:tc>
          <w:tcPr>
            <w:tcW w:w="2249" w:type="dxa"/>
          </w:tcPr>
          <w:p>
            <w:pPr>
              <w:pStyle w:val="TableParagraph"/>
              <w:spacing w:line="213" w:lineRule="exact" w:before="2"/>
              <w:ind w:left="198"/>
              <w:rPr>
                <w:sz w:val="20"/>
              </w:rPr>
            </w:pPr>
            <w:r>
              <w:rPr>
                <w:sz w:val="20"/>
              </w:rPr>
              <w:t>No.</w:t>
            </w:r>
            <w:r>
              <w:rPr>
                <w:spacing w:val="-5"/>
                <w:sz w:val="20"/>
              </w:rPr>
              <w:t> </w:t>
            </w:r>
            <w:r>
              <w:rPr>
                <w:sz w:val="20"/>
              </w:rPr>
              <w:t>of</w:t>
            </w:r>
            <w:r>
              <w:rPr>
                <w:spacing w:val="-2"/>
                <w:sz w:val="20"/>
              </w:rPr>
              <w:t> missing</w:t>
            </w:r>
          </w:p>
        </w:tc>
        <w:tc>
          <w:tcPr>
            <w:tcW w:w="676" w:type="dxa"/>
          </w:tcPr>
          <w:p>
            <w:pPr>
              <w:pStyle w:val="TableParagraph"/>
              <w:rPr>
                <w:rFonts w:ascii="Times New Roman"/>
                <w:sz w:val="16"/>
              </w:rPr>
            </w:pPr>
          </w:p>
        </w:tc>
        <w:tc>
          <w:tcPr>
            <w:tcW w:w="759" w:type="dxa"/>
          </w:tcPr>
          <w:p>
            <w:pPr>
              <w:pStyle w:val="TableParagraph"/>
              <w:rPr>
                <w:rFonts w:ascii="Times New Roman"/>
                <w:sz w:val="16"/>
              </w:rPr>
            </w:pPr>
          </w:p>
        </w:tc>
        <w:tc>
          <w:tcPr>
            <w:tcW w:w="548" w:type="dxa"/>
          </w:tcPr>
          <w:p>
            <w:pPr>
              <w:pStyle w:val="TableParagraph"/>
              <w:rPr>
                <w:rFonts w:ascii="Times New Roman"/>
                <w:sz w:val="16"/>
              </w:rPr>
            </w:pPr>
          </w:p>
        </w:tc>
        <w:tc>
          <w:tcPr>
            <w:tcW w:w="733" w:type="dxa"/>
          </w:tcPr>
          <w:p>
            <w:pPr>
              <w:pStyle w:val="TableParagraph"/>
              <w:rPr>
                <w:rFonts w:ascii="Times New Roman"/>
                <w:sz w:val="16"/>
              </w:rPr>
            </w:pPr>
          </w:p>
        </w:tc>
        <w:tc>
          <w:tcPr>
            <w:tcW w:w="743" w:type="dxa"/>
          </w:tcPr>
          <w:p>
            <w:pPr>
              <w:pStyle w:val="TableParagraph"/>
              <w:rPr>
                <w:rFonts w:ascii="Times New Roman"/>
                <w:sz w:val="16"/>
              </w:rPr>
            </w:pPr>
          </w:p>
        </w:tc>
        <w:tc>
          <w:tcPr>
            <w:tcW w:w="877" w:type="dxa"/>
          </w:tcPr>
          <w:p>
            <w:pPr>
              <w:pStyle w:val="TableParagraph"/>
              <w:rPr>
                <w:rFonts w:ascii="Times New Roman"/>
                <w:sz w:val="16"/>
              </w:rPr>
            </w:pPr>
          </w:p>
        </w:tc>
        <w:tc>
          <w:tcPr>
            <w:tcW w:w="685" w:type="dxa"/>
          </w:tcPr>
          <w:p>
            <w:pPr>
              <w:pStyle w:val="TableParagraph"/>
              <w:rPr>
                <w:rFonts w:ascii="Times New Roman"/>
                <w:sz w:val="16"/>
              </w:rPr>
            </w:pPr>
          </w:p>
        </w:tc>
        <w:tc>
          <w:tcPr>
            <w:tcW w:w="800" w:type="dxa"/>
          </w:tcPr>
          <w:p>
            <w:pPr>
              <w:pStyle w:val="TableParagraph"/>
              <w:rPr>
                <w:rFonts w:ascii="Times New Roman"/>
                <w:sz w:val="16"/>
              </w:rPr>
            </w:pPr>
          </w:p>
        </w:tc>
        <w:tc>
          <w:tcPr>
            <w:tcW w:w="627" w:type="dxa"/>
          </w:tcPr>
          <w:p>
            <w:pPr>
              <w:pStyle w:val="TableParagraph"/>
              <w:rPr>
                <w:rFonts w:ascii="Times New Roman"/>
                <w:sz w:val="16"/>
              </w:rPr>
            </w:pPr>
          </w:p>
        </w:tc>
        <w:tc>
          <w:tcPr>
            <w:tcW w:w="771" w:type="dxa"/>
          </w:tcPr>
          <w:p>
            <w:pPr>
              <w:pStyle w:val="TableParagraph"/>
              <w:rPr>
                <w:rFonts w:ascii="Times New Roman"/>
                <w:sz w:val="16"/>
              </w:rPr>
            </w:pPr>
          </w:p>
        </w:tc>
        <w:tc>
          <w:tcPr>
            <w:tcW w:w="692"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30" w:hRule="atLeast"/>
        </w:trPr>
        <w:tc>
          <w:tcPr>
            <w:tcW w:w="3877" w:type="dxa"/>
            <w:tcBorders>
              <w:left w:val="single" w:sz="4" w:space="0" w:color="000000"/>
            </w:tcBorders>
          </w:tcPr>
          <w:p>
            <w:pPr>
              <w:pStyle w:val="TableParagraph"/>
              <w:rPr>
                <w:rFonts w:ascii="Times New Roman"/>
                <w:sz w:val="16"/>
              </w:rPr>
            </w:pPr>
          </w:p>
        </w:tc>
        <w:tc>
          <w:tcPr>
            <w:tcW w:w="2249" w:type="dxa"/>
          </w:tcPr>
          <w:p>
            <w:pPr>
              <w:pStyle w:val="TableParagraph"/>
              <w:spacing w:line="210" w:lineRule="exact"/>
              <w:ind w:left="198"/>
              <w:rPr>
                <w:sz w:val="20"/>
              </w:rPr>
            </w:pPr>
            <w:r>
              <w:rPr>
                <w:spacing w:val="-2"/>
                <w:sz w:val="20"/>
              </w:rPr>
              <w:t>observations</w:t>
            </w:r>
          </w:p>
        </w:tc>
        <w:tc>
          <w:tcPr>
            <w:tcW w:w="676" w:type="dxa"/>
          </w:tcPr>
          <w:p>
            <w:pPr>
              <w:pStyle w:val="TableParagraph"/>
              <w:spacing w:line="210" w:lineRule="exact"/>
              <w:ind w:left="48" w:right="7"/>
              <w:jc w:val="center"/>
              <w:rPr>
                <w:sz w:val="20"/>
              </w:rPr>
            </w:pPr>
            <w:r>
              <w:rPr>
                <w:spacing w:val="-10"/>
                <w:sz w:val="20"/>
              </w:rPr>
              <w:t>-</w:t>
            </w:r>
          </w:p>
        </w:tc>
        <w:tc>
          <w:tcPr>
            <w:tcW w:w="759" w:type="dxa"/>
          </w:tcPr>
          <w:p>
            <w:pPr>
              <w:pStyle w:val="TableParagraph"/>
              <w:spacing w:line="210" w:lineRule="exact"/>
              <w:ind w:left="53" w:right="7"/>
              <w:jc w:val="center"/>
              <w:rPr>
                <w:sz w:val="20"/>
              </w:rPr>
            </w:pPr>
            <w:r>
              <w:rPr>
                <w:spacing w:val="-10"/>
                <w:sz w:val="20"/>
              </w:rPr>
              <w:t>-</w:t>
            </w:r>
          </w:p>
        </w:tc>
        <w:tc>
          <w:tcPr>
            <w:tcW w:w="548" w:type="dxa"/>
          </w:tcPr>
          <w:p>
            <w:pPr>
              <w:pStyle w:val="TableParagraph"/>
              <w:spacing w:line="210" w:lineRule="exact"/>
              <w:ind w:left="5" w:right="5"/>
              <w:jc w:val="center"/>
              <w:rPr>
                <w:sz w:val="20"/>
              </w:rPr>
            </w:pPr>
            <w:r>
              <w:rPr>
                <w:spacing w:val="-10"/>
                <w:sz w:val="20"/>
              </w:rPr>
              <w:t>-</w:t>
            </w:r>
          </w:p>
        </w:tc>
        <w:tc>
          <w:tcPr>
            <w:tcW w:w="733" w:type="dxa"/>
          </w:tcPr>
          <w:p>
            <w:pPr>
              <w:pStyle w:val="TableParagraph"/>
              <w:spacing w:line="210" w:lineRule="exact"/>
              <w:ind w:left="53" w:right="67"/>
              <w:jc w:val="center"/>
              <w:rPr>
                <w:sz w:val="20"/>
              </w:rPr>
            </w:pPr>
            <w:r>
              <w:rPr>
                <w:spacing w:val="-10"/>
                <w:sz w:val="20"/>
              </w:rPr>
              <w:t>-</w:t>
            </w:r>
          </w:p>
        </w:tc>
        <w:tc>
          <w:tcPr>
            <w:tcW w:w="743" w:type="dxa"/>
          </w:tcPr>
          <w:p>
            <w:pPr>
              <w:pStyle w:val="TableParagraph"/>
              <w:spacing w:line="210" w:lineRule="exact"/>
              <w:ind w:left="36" w:right="79"/>
              <w:jc w:val="center"/>
              <w:rPr>
                <w:sz w:val="20"/>
              </w:rPr>
            </w:pPr>
            <w:r>
              <w:rPr>
                <w:spacing w:val="-10"/>
                <w:sz w:val="20"/>
              </w:rPr>
              <w:t>1</w:t>
            </w:r>
          </w:p>
        </w:tc>
        <w:tc>
          <w:tcPr>
            <w:tcW w:w="877" w:type="dxa"/>
          </w:tcPr>
          <w:p>
            <w:pPr>
              <w:pStyle w:val="TableParagraph"/>
              <w:spacing w:line="210" w:lineRule="exact"/>
              <w:ind w:left="6" w:right="28"/>
              <w:jc w:val="center"/>
              <w:rPr>
                <w:sz w:val="20"/>
              </w:rPr>
            </w:pPr>
            <w:r>
              <w:rPr>
                <w:spacing w:val="-4"/>
                <w:sz w:val="20"/>
              </w:rPr>
              <w:t>50.0</w:t>
            </w:r>
          </w:p>
        </w:tc>
        <w:tc>
          <w:tcPr>
            <w:tcW w:w="685" w:type="dxa"/>
          </w:tcPr>
          <w:p>
            <w:pPr>
              <w:pStyle w:val="TableParagraph"/>
              <w:spacing w:line="210" w:lineRule="exact"/>
              <w:ind w:left="77" w:right="32"/>
              <w:jc w:val="center"/>
              <w:rPr>
                <w:sz w:val="20"/>
              </w:rPr>
            </w:pPr>
            <w:r>
              <w:rPr>
                <w:spacing w:val="-10"/>
                <w:sz w:val="20"/>
              </w:rPr>
              <w:t>1</w:t>
            </w:r>
          </w:p>
        </w:tc>
        <w:tc>
          <w:tcPr>
            <w:tcW w:w="800" w:type="dxa"/>
          </w:tcPr>
          <w:p>
            <w:pPr>
              <w:pStyle w:val="TableParagraph"/>
              <w:spacing w:line="210" w:lineRule="exact"/>
              <w:ind w:left="18" w:right="18"/>
              <w:jc w:val="center"/>
              <w:rPr>
                <w:sz w:val="20"/>
              </w:rPr>
            </w:pPr>
            <w:r>
              <w:rPr>
                <w:spacing w:val="-4"/>
                <w:sz w:val="20"/>
              </w:rPr>
              <w:t>50.0</w:t>
            </w:r>
          </w:p>
        </w:tc>
        <w:tc>
          <w:tcPr>
            <w:tcW w:w="627" w:type="dxa"/>
          </w:tcPr>
          <w:p>
            <w:pPr>
              <w:pStyle w:val="TableParagraph"/>
              <w:spacing w:line="210" w:lineRule="exact"/>
              <w:ind w:left="23" w:right="33"/>
              <w:jc w:val="center"/>
              <w:rPr>
                <w:sz w:val="20"/>
              </w:rPr>
            </w:pPr>
            <w:r>
              <w:rPr>
                <w:spacing w:val="-10"/>
                <w:sz w:val="20"/>
              </w:rPr>
              <w:t>-</w:t>
            </w:r>
          </w:p>
        </w:tc>
        <w:tc>
          <w:tcPr>
            <w:tcW w:w="771" w:type="dxa"/>
          </w:tcPr>
          <w:p>
            <w:pPr>
              <w:pStyle w:val="TableParagraph"/>
              <w:spacing w:line="210" w:lineRule="exact"/>
              <w:ind w:left="45" w:right="35"/>
              <w:jc w:val="center"/>
              <w:rPr>
                <w:sz w:val="20"/>
              </w:rPr>
            </w:pPr>
            <w:r>
              <w:rPr>
                <w:spacing w:val="-10"/>
                <w:sz w:val="20"/>
              </w:rPr>
              <w:t>-</w:t>
            </w:r>
          </w:p>
        </w:tc>
        <w:tc>
          <w:tcPr>
            <w:tcW w:w="692" w:type="dxa"/>
          </w:tcPr>
          <w:p>
            <w:pPr>
              <w:pStyle w:val="TableParagraph"/>
              <w:spacing w:line="210" w:lineRule="exact"/>
              <w:ind w:left="23" w:right="26"/>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33"/>
              <w:jc w:val="center"/>
              <w:rPr>
                <w:sz w:val="20"/>
              </w:rPr>
            </w:pPr>
            <w:r>
              <w:rPr>
                <w:spacing w:val="-5"/>
                <w:sz w:val="20"/>
              </w:rPr>
              <w:t>0.4</w:t>
            </w:r>
          </w:p>
        </w:tc>
      </w:tr>
      <w:tr>
        <w:trPr>
          <w:trHeight w:val="235" w:hRule="atLeast"/>
        </w:trPr>
        <w:tc>
          <w:tcPr>
            <w:tcW w:w="3877" w:type="dxa"/>
            <w:tcBorders>
              <w:left w:val="single" w:sz="4" w:space="0" w:color="000000"/>
            </w:tcBorders>
          </w:tcPr>
          <w:p>
            <w:pPr>
              <w:pStyle w:val="TableParagraph"/>
              <w:rPr>
                <w:rFonts w:ascii="Times New Roman"/>
                <w:sz w:val="16"/>
              </w:rPr>
            </w:pPr>
          </w:p>
        </w:tc>
        <w:tc>
          <w:tcPr>
            <w:tcW w:w="2249" w:type="dxa"/>
          </w:tcPr>
          <w:p>
            <w:pPr>
              <w:pStyle w:val="TableParagraph"/>
              <w:spacing w:line="215" w:lineRule="exact"/>
              <w:ind w:left="198"/>
              <w:rPr>
                <w:sz w:val="20"/>
              </w:rPr>
            </w:pPr>
            <w:r>
              <w:rPr>
                <w:spacing w:val="-2"/>
                <w:sz w:val="20"/>
              </w:rPr>
              <w:t>Students</w:t>
            </w:r>
          </w:p>
        </w:tc>
        <w:tc>
          <w:tcPr>
            <w:tcW w:w="676" w:type="dxa"/>
          </w:tcPr>
          <w:p>
            <w:pPr>
              <w:pStyle w:val="TableParagraph"/>
              <w:spacing w:line="215" w:lineRule="exact"/>
              <w:ind w:left="48"/>
              <w:jc w:val="center"/>
              <w:rPr>
                <w:sz w:val="20"/>
              </w:rPr>
            </w:pPr>
            <w:r>
              <w:rPr>
                <w:spacing w:val="-10"/>
                <w:sz w:val="20"/>
              </w:rPr>
              <w:t>4</w:t>
            </w:r>
          </w:p>
        </w:tc>
        <w:tc>
          <w:tcPr>
            <w:tcW w:w="759" w:type="dxa"/>
          </w:tcPr>
          <w:p>
            <w:pPr>
              <w:pStyle w:val="TableParagraph"/>
              <w:spacing w:line="215" w:lineRule="exact"/>
              <w:ind w:left="53" w:right="5"/>
              <w:jc w:val="center"/>
              <w:rPr>
                <w:sz w:val="20"/>
              </w:rPr>
            </w:pPr>
            <w:r>
              <w:rPr>
                <w:spacing w:val="-5"/>
                <w:sz w:val="20"/>
              </w:rPr>
              <w:t>1.7</w:t>
            </w:r>
          </w:p>
        </w:tc>
        <w:tc>
          <w:tcPr>
            <w:tcW w:w="548" w:type="dxa"/>
          </w:tcPr>
          <w:p>
            <w:pPr>
              <w:pStyle w:val="TableParagraph"/>
              <w:spacing w:line="215" w:lineRule="exact"/>
              <w:ind w:left="5" w:right="5"/>
              <w:jc w:val="center"/>
              <w:rPr>
                <w:sz w:val="20"/>
              </w:rPr>
            </w:pPr>
            <w:r>
              <w:rPr>
                <w:spacing w:val="-5"/>
                <w:sz w:val="20"/>
              </w:rPr>
              <w:t>18</w:t>
            </w:r>
          </w:p>
        </w:tc>
        <w:tc>
          <w:tcPr>
            <w:tcW w:w="733" w:type="dxa"/>
          </w:tcPr>
          <w:p>
            <w:pPr>
              <w:pStyle w:val="TableParagraph"/>
              <w:spacing w:line="215" w:lineRule="exact"/>
              <w:ind w:left="53" w:right="65"/>
              <w:jc w:val="center"/>
              <w:rPr>
                <w:sz w:val="20"/>
              </w:rPr>
            </w:pPr>
            <w:r>
              <w:rPr>
                <w:spacing w:val="-5"/>
                <w:sz w:val="20"/>
              </w:rPr>
              <w:t>7.7</w:t>
            </w:r>
          </w:p>
        </w:tc>
        <w:tc>
          <w:tcPr>
            <w:tcW w:w="743" w:type="dxa"/>
          </w:tcPr>
          <w:p>
            <w:pPr>
              <w:pStyle w:val="TableParagraph"/>
              <w:spacing w:line="215" w:lineRule="exact"/>
              <w:ind w:left="36" w:right="89"/>
              <w:jc w:val="center"/>
              <w:rPr>
                <w:sz w:val="20"/>
              </w:rPr>
            </w:pPr>
            <w:r>
              <w:rPr>
                <w:spacing w:val="-5"/>
                <w:sz w:val="20"/>
              </w:rPr>
              <w:t>118</w:t>
            </w:r>
          </w:p>
        </w:tc>
        <w:tc>
          <w:tcPr>
            <w:tcW w:w="877" w:type="dxa"/>
          </w:tcPr>
          <w:p>
            <w:pPr>
              <w:pStyle w:val="TableParagraph"/>
              <w:spacing w:line="215" w:lineRule="exact"/>
              <w:ind w:left="6" w:right="28"/>
              <w:jc w:val="center"/>
              <w:rPr>
                <w:sz w:val="20"/>
              </w:rPr>
            </w:pPr>
            <w:r>
              <w:rPr>
                <w:spacing w:val="-4"/>
                <w:sz w:val="20"/>
              </w:rPr>
              <w:t>50.2</w:t>
            </w:r>
          </w:p>
        </w:tc>
        <w:tc>
          <w:tcPr>
            <w:tcW w:w="685" w:type="dxa"/>
          </w:tcPr>
          <w:p>
            <w:pPr>
              <w:pStyle w:val="TableParagraph"/>
              <w:spacing w:line="215" w:lineRule="exact"/>
              <w:ind w:left="73" w:right="32"/>
              <w:jc w:val="center"/>
              <w:rPr>
                <w:sz w:val="20"/>
              </w:rPr>
            </w:pPr>
            <w:r>
              <w:rPr>
                <w:spacing w:val="-5"/>
                <w:sz w:val="20"/>
              </w:rPr>
              <w:t>65</w:t>
            </w:r>
          </w:p>
        </w:tc>
        <w:tc>
          <w:tcPr>
            <w:tcW w:w="800" w:type="dxa"/>
          </w:tcPr>
          <w:p>
            <w:pPr>
              <w:pStyle w:val="TableParagraph"/>
              <w:spacing w:line="215" w:lineRule="exact"/>
              <w:ind w:left="18" w:right="18"/>
              <w:jc w:val="center"/>
              <w:rPr>
                <w:sz w:val="20"/>
              </w:rPr>
            </w:pPr>
            <w:r>
              <w:rPr>
                <w:spacing w:val="-4"/>
                <w:sz w:val="20"/>
              </w:rPr>
              <w:t>27.7</w:t>
            </w:r>
          </w:p>
        </w:tc>
        <w:tc>
          <w:tcPr>
            <w:tcW w:w="627" w:type="dxa"/>
          </w:tcPr>
          <w:p>
            <w:pPr>
              <w:pStyle w:val="TableParagraph"/>
              <w:spacing w:line="215" w:lineRule="exact"/>
              <w:ind w:left="23" w:right="31"/>
              <w:jc w:val="center"/>
              <w:rPr>
                <w:sz w:val="20"/>
              </w:rPr>
            </w:pPr>
            <w:r>
              <w:rPr>
                <w:spacing w:val="-5"/>
                <w:sz w:val="20"/>
              </w:rPr>
              <w:t>30</w:t>
            </w:r>
          </w:p>
        </w:tc>
        <w:tc>
          <w:tcPr>
            <w:tcW w:w="771" w:type="dxa"/>
          </w:tcPr>
          <w:p>
            <w:pPr>
              <w:pStyle w:val="TableParagraph"/>
              <w:spacing w:line="215" w:lineRule="exact"/>
              <w:ind w:left="45" w:right="28"/>
              <w:jc w:val="center"/>
              <w:rPr>
                <w:sz w:val="20"/>
              </w:rPr>
            </w:pPr>
            <w:r>
              <w:rPr>
                <w:spacing w:val="-4"/>
                <w:sz w:val="20"/>
              </w:rPr>
              <w:t>12.8</w:t>
            </w:r>
          </w:p>
        </w:tc>
        <w:tc>
          <w:tcPr>
            <w:tcW w:w="692" w:type="dxa"/>
          </w:tcPr>
          <w:p>
            <w:pPr>
              <w:pStyle w:val="TableParagraph"/>
              <w:spacing w:line="215" w:lineRule="exact"/>
              <w:ind w:left="23" w:right="36"/>
              <w:jc w:val="center"/>
              <w:rPr>
                <w:sz w:val="20"/>
              </w:rPr>
            </w:pPr>
            <w:r>
              <w:rPr>
                <w:spacing w:val="-5"/>
                <w:sz w:val="20"/>
              </w:rPr>
              <w:t>235</w:t>
            </w:r>
          </w:p>
        </w:tc>
        <w:tc>
          <w:tcPr>
            <w:tcW w:w="739" w:type="dxa"/>
            <w:tcBorders>
              <w:right w:val="single" w:sz="4" w:space="0" w:color="000000"/>
            </w:tcBorders>
          </w:tcPr>
          <w:p>
            <w:pPr>
              <w:pStyle w:val="TableParagraph"/>
              <w:spacing w:line="215" w:lineRule="exact"/>
              <w:ind w:left="36" w:right="28"/>
              <w:jc w:val="center"/>
              <w:rPr>
                <w:sz w:val="20"/>
              </w:rPr>
            </w:pPr>
            <w:r>
              <w:rPr>
                <w:spacing w:val="-4"/>
                <w:sz w:val="20"/>
              </w:rPr>
              <w:t>50.8</w:t>
            </w:r>
          </w:p>
        </w:tc>
      </w:tr>
      <w:tr>
        <w:trPr>
          <w:trHeight w:val="235" w:hRule="atLeast"/>
        </w:trPr>
        <w:tc>
          <w:tcPr>
            <w:tcW w:w="3877" w:type="dxa"/>
            <w:tcBorders>
              <w:left w:val="single" w:sz="4" w:space="0" w:color="000000"/>
            </w:tcBorders>
          </w:tcPr>
          <w:p>
            <w:pPr>
              <w:pStyle w:val="TableParagraph"/>
              <w:rPr>
                <w:rFonts w:ascii="Times New Roman"/>
                <w:sz w:val="16"/>
              </w:rPr>
            </w:pPr>
          </w:p>
        </w:tc>
        <w:tc>
          <w:tcPr>
            <w:tcW w:w="2249" w:type="dxa"/>
          </w:tcPr>
          <w:p>
            <w:pPr>
              <w:pStyle w:val="TableParagraph"/>
              <w:spacing w:line="213" w:lineRule="exact" w:before="2"/>
              <w:ind w:left="198"/>
              <w:rPr>
                <w:sz w:val="20"/>
              </w:rPr>
            </w:pPr>
            <w:r>
              <w:rPr>
                <w:sz w:val="20"/>
              </w:rPr>
              <w:t>Service</w:t>
            </w:r>
            <w:r>
              <w:rPr>
                <w:spacing w:val="-9"/>
                <w:sz w:val="20"/>
              </w:rPr>
              <w:t> </w:t>
            </w:r>
            <w:r>
              <w:rPr>
                <w:spacing w:val="-2"/>
                <w:sz w:val="20"/>
              </w:rPr>
              <w:t>Staff</w:t>
            </w:r>
          </w:p>
        </w:tc>
        <w:tc>
          <w:tcPr>
            <w:tcW w:w="676" w:type="dxa"/>
          </w:tcPr>
          <w:p>
            <w:pPr>
              <w:pStyle w:val="TableParagraph"/>
              <w:spacing w:line="213" w:lineRule="exact" w:before="2"/>
              <w:ind w:left="48" w:right="5"/>
              <w:jc w:val="center"/>
              <w:rPr>
                <w:sz w:val="20"/>
              </w:rPr>
            </w:pPr>
            <w:r>
              <w:rPr>
                <w:spacing w:val="-5"/>
                <w:sz w:val="20"/>
              </w:rPr>
              <w:t>10</w:t>
            </w:r>
          </w:p>
        </w:tc>
        <w:tc>
          <w:tcPr>
            <w:tcW w:w="759" w:type="dxa"/>
          </w:tcPr>
          <w:p>
            <w:pPr>
              <w:pStyle w:val="TableParagraph"/>
              <w:spacing w:line="213" w:lineRule="exact" w:before="2"/>
              <w:ind w:left="53" w:right="5"/>
              <w:jc w:val="center"/>
              <w:rPr>
                <w:sz w:val="20"/>
              </w:rPr>
            </w:pPr>
            <w:r>
              <w:rPr>
                <w:spacing w:val="-5"/>
                <w:sz w:val="20"/>
              </w:rPr>
              <w:t>4.9</w:t>
            </w:r>
          </w:p>
        </w:tc>
        <w:tc>
          <w:tcPr>
            <w:tcW w:w="548" w:type="dxa"/>
          </w:tcPr>
          <w:p>
            <w:pPr>
              <w:pStyle w:val="TableParagraph"/>
              <w:spacing w:line="213" w:lineRule="exact" w:before="2"/>
              <w:ind w:left="5" w:right="5"/>
              <w:jc w:val="center"/>
              <w:rPr>
                <w:sz w:val="20"/>
              </w:rPr>
            </w:pPr>
            <w:r>
              <w:rPr>
                <w:spacing w:val="-5"/>
                <w:sz w:val="20"/>
              </w:rPr>
              <w:t>10</w:t>
            </w:r>
          </w:p>
        </w:tc>
        <w:tc>
          <w:tcPr>
            <w:tcW w:w="733" w:type="dxa"/>
          </w:tcPr>
          <w:p>
            <w:pPr>
              <w:pStyle w:val="TableParagraph"/>
              <w:spacing w:line="213" w:lineRule="exact" w:before="2"/>
              <w:ind w:left="53" w:right="65"/>
              <w:jc w:val="center"/>
              <w:rPr>
                <w:sz w:val="20"/>
              </w:rPr>
            </w:pPr>
            <w:r>
              <w:rPr>
                <w:spacing w:val="-5"/>
                <w:sz w:val="20"/>
              </w:rPr>
              <w:t>4.9</w:t>
            </w:r>
          </w:p>
        </w:tc>
        <w:tc>
          <w:tcPr>
            <w:tcW w:w="743" w:type="dxa"/>
          </w:tcPr>
          <w:p>
            <w:pPr>
              <w:pStyle w:val="TableParagraph"/>
              <w:spacing w:line="213" w:lineRule="exact" w:before="2"/>
              <w:ind w:left="36" w:right="84"/>
              <w:jc w:val="center"/>
              <w:rPr>
                <w:sz w:val="20"/>
              </w:rPr>
            </w:pPr>
            <w:r>
              <w:rPr>
                <w:spacing w:val="-5"/>
                <w:sz w:val="20"/>
              </w:rPr>
              <w:t>93</w:t>
            </w:r>
          </w:p>
        </w:tc>
        <w:tc>
          <w:tcPr>
            <w:tcW w:w="877" w:type="dxa"/>
          </w:tcPr>
          <w:p>
            <w:pPr>
              <w:pStyle w:val="TableParagraph"/>
              <w:spacing w:line="213" w:lineRule="exact" w:before="2"/>
              <w:ind w:left="6" w:right="28"/>
              <w:jc w:val="center"/>
              <w:rPr>
                <w:sz w:val="20"/>
              </w:rPr>
            </w:pPr>
            <w:r>
              <w:rPr>
                <w:spacing w:val="-4"/>
                <w:sz w:val="20"/>
              </w:rPr>
              <w:t>45.8</w:t>
            </w:r>
          </w:p>
        </w:tc>
        <w:tc>
          <w:tcPr>
            <w:tcW w:w="685" w:type="dxa"/>
          </w:tcPr>
          <w:p>
            <w:pPr>
              <w:pStyle w:val="TableParagraph"/>
              <w:spacing w:line="213" w:lineRule="exact" w:before="2"/>
              <w:ind w:left="73" w:right="32"/>
              <w:jc w:val="center"/>
              <w:rPr>
                <w:sz w:val="20"/>
              </w:rPr>
            </w:pPr>
            <w:r>
              <w:rPr>
                <w:spacing w:val="-5"/>
                <w:sz w:val="20"/>
              </w:rPr>
              <w:t>65</w:t>
            </w:r>
          </w:p>
        </w:tc>
        <w:tc>
          <w:tcPr>
            <w:tcW w:w="800" w:type="dxa"/>
          </w:tcPr>
          <w:p>
            <w:pPr>
              <w:pStyle w:val="TableParagraph"/>
              <w:spacing w:line="213" w:lineRule="exact" w:before="2"/>
              <w:ind w:left="18" w:right="18"/>
              <w:jc w:val="center"/>
              <w:rPr>
                <w:sz w:val="20"/>
              </w:rPr>
            </w:pPr>
            <w:r>
              <w:rPr>
                <w:spacing w:val="-4"/>
                <w:sz w:val="20"/>
              </w:rPr>
              <w:t>32.0</w:t>
            </w:r>
          </w:p>
        </w:tc>
        <w:tc>
          <w:tcPr>
            <w:tcW w:w="627" w:type="dxa"/>
          </w:tcPr>
          <w:p>
            <w:pPr>
              <w:pStyle w:val="TableParagraph"/>
              <w:spacing w:line="213" w:lineRule="exact" w:before="2"/>
              <w:ind w:left="23" w:right="31"/>
              <w:jc w:val="center"/>
              <w:rPr>
                <w:sz w:val="20"/>
              </w:rPr>
            </w:pPr>
            <w:r>
              <w:rPr>
                <w:spacing w:val="-5"/>
                <w:sz w:val="20"/>
              </w:rPr>
              <w:t>25</w:t>
            </w:r>
          </w:p>
        </w:tc>
        <w:tc>
          <w:tcPr>
            <w:tcW w:w="771" w:type="dxa"/>
          </w:tcPr>
          <w:p>
            <w:pPr>
              <w:pStyle w:val="TableParagraph"/>
              <w:spacing w:line="213" w:lineRule="exact" w:before="2"/>
              <w:ind w:left="45" w:right="28"/>
              <w:jc w:val="center"/>
              <w:rPr>
                <w:sz w:val="20"/>
              </w:rPr>
            </w:pPr>
            <w:r>
              <w:rPr>
                <w:spacing w:val="-4"/>
                <w:sz w:val="20"/>
              </w:rPr>
              <w:t>12.3</w:t>
            </w:r>
          </w:p>
        </w:tc>
        <w:tc>
          <w:tcPr>
            <w:tcW w:w="692" w:type="dxa"/>
          </w:tcPr>
          <w:p>
            <w:pPr>
              <w:pStyle w:val="TableParagraph"/>
              <w:spacing w:line="213" w:lineRule="exact" w:before="2"/>
              <w:ind w:left="23" w:right="36"/>
              <w:jc w:val="center"/>
              <w:rPr>
                <w:sz w:val="20"/>
              </w:rPr>
            </w:pPr>
            <w:r>
              <w:rPr>
                <w:spacing w:val="-5"/>
                <w:sz w:val="20"/>
              </w:rPr>
              <w:t>203</w:t>
            </w:r>
          </w:p>
        </w:tc>
        <w:tc>
          <w:tcPr>
            <w:tcW w:w="739" w:type="dxa"/>
            <w:tcBorders>
              <w:right w:val="single" w:sz="4" w:space="0" w:color="000000"/>
            </w:tcBorders>
          </w:tcPr>
          <w:p>
            <w:pPr>
              <w:pStyle w:val="TableParagraph"/>
              <w:spacing w:line="213" w:lineRule="exact" w:before="2"/>
              <w:ind w:left="36" w:right="28"/>
              <w:jc w:val="center"/>
              <w:rPr>
                <w:sz w:val="20"/>
              </w:rPr>
            </w:pPr>
            <w:r>
              <w:rPr>
                <w:spacing w:val="-4"/>
                <w:sz w:val="20"/>
              </w:rPr>
              <w:t>43.8</w:t>
            </w:r>
          </w:p>
        </w:tc>
      </w:tr>
      <w:tr>
        <w:trPr>
          <w:trHeight w:val="230" w:hRule="atLeast"/>
        </w:trPr>
        <w:tc>
          <w:tcPr>
            <w:tcW w:w="3877" w:type="dxa"/>
            <w:tcBorders>
              <w:left w:val="single" w:sz="4" w:space="0" w:color="000000"/>
            </w:tcBorders>
          </w:tcPr>
          <w:p>
            <w:pPr>
              <w:pStyle w:val="TableParagraph"/>
              <w:rPr>
                <w:rFonts w:ascii="Times New Roman"/>
                <w:sz w:val="16"/>
              </w:rPr>
            </w:pPr>
          </w:p>
        </w:tc>
        <w:tc>
          <w:tcPr>
            <w:tcW w:w="2249" w:type="dxa"/>
          </w:tcPr>
          <w:p>
            <w:pPr>
              <w:pStyle w:val="TableParagraph"/>
              <w:spacing w:line="210" w:lineRule="exact"/>
              <w:ind w:left="198"/>
              <w:rPr>
                <w:sz w:val="20"/>
              </w:rPr>
            </w:pPr>
            <w:r>
              <w:rPr>
                <w:sz w:val="20"/>
              </w:rPr>
              <w:t>Top</w:t>
            </w:r>
            <w:r>
              <w:rPr>
                <w:spacing w:val="-1"/>
                <w:sz w:val="20"/>
              </w:rPr>
              <w:t> </w:t>
            </w:r>
            <w:r>
              <w:rPr>
                <w:spacing w:val="-2"/>
                <w:sz w:val="20"/>
              </w:rPr>
              <w:t>Management</w:t>
            </w:r>
          </w:p>
        </w:tc>
        <w:tc>
          <w:tcPr>
            <w:tcW w:w="676" w:type="dxa"/>
          </w:tcPr>
          <w:p>
            <w:pPr>
              <w:pStyle w:val="TableParagraph"/>
              <w:spacing w:line="210" w:lineRule="exact"/>
              <w:ind w:left="48"/>
              <w:jc w:val="center"/>
              <w:rPr>
                <w:sz w:val="20"/>
              </w:rPr>
            </w:pPr>
            <w:r>
              <w:rPr>
                <w:spacing w:val="-10"/>
                <w:sz w:val="20"/>
              </w:rPr>
              <w:t>1</w:t>
            </w:r>
          </w:p>
        </w:tc>
        <w:tc>
          <w:tcPr>
            <w:tcW w:w="759" w:type="dxa"/>
          </w:tcPr>
          <w:p>
            <w:pPr>
              <w:pStyle w:val="TableParagraph"/>
              <w:spacing w:line="210" w:lineRule="exact"/>
              <w:ind w:left="53" w:right="5"/>
              <w:jc w:val="center"/>
              <w:rPr>
                <w:sz w:val="20"/>
              </w:rPr>
            </w:pPr>
            <w:r>
              <w:rPr>
                <w:spacing w:val="-5"/>
                <w:sz w:val="20"/>
              </w:rPr>
              <w:t>4.3</w:t>
            </w:r>
          </w:p>
        </w:tc>
        <w:tc>
          <w:tcPr>
            <w:tcW w:w="548" w:type="dxa"/>
          </w:tcPr>
          <w:p>
            <w:pPr>
              <w:pStyle w:val="TableParagraph"/>
              <w:spacing w:line="210" w:lineRule="exact"/>
              <w:ind w:left="5" w:right="2"/>
              <w:jc w:val="center"/>
              <w:rPr>
                <w:sz w:val="20"/>
              </w:rPr>
            </w:pPr>
            <w:r>
              <w:rPr>
                <w:spacing w:val="-10"/>
                <w:sz w:val="20"/>
              </w:rPr>
              <w:t>1</w:t>
            </w:r>
          </w:p>
        </w:tc>
        <w:tc>
          <w:tcPr>
            <w:tcW w:w="733" w:type="dxa"/>
          </w:tcPr>
          <w:p>
            <w:pPr>
              <w:pStyle w:val="TableParagraph"/>
              <w:spacing w:line="210" w:lineRule="exact"/>
              <w:ind w:left="53" w:right="65"/>
              <w:jc w:val="center"/>
              <w:rPr>
                <w:sz w:val="20"/>
              </w:rPr>
            </w:pPr>
            <w:r>
              <w:rPr>
                <w:spacing w:val="-5"/>
                <w:sz w:val="20"/>
              </w:rPr>
              <w:t>4.3</w:t>
            </w:r>
          </w:p>
        </w:tc>
        <w:tc>
          <w:tcPr>
            <w:tcW w:w="743" w:type="dxa"/>
          </w:tcPr>
          <w:p>
            <w:pPr>
              <w:pStyle w:val="TableParagraph"/>
              <w:spacing w:line="210" w:lineRule="exact"/>
              <w:ind w:left="36" w:right="84"/>
              <w:jc w:val="center"/>
              <w:rPr>
                <w:sz w:val="20"/>
              </w:rPr>
            </w:pPr>
            <w:r>
              <w:rPr>
                <w:spacing w:val="-5"/>
                <w:sz w:val="20"/>
              </w:rPr>
              <w:t>10</w:t>
            </w:r>
          </w:p>
        </w:tc>
        <w:tc>
          <w:tcPr>
            <w:tcW w:w="877" w:type="dxa"/>
          </w:tcPr>
          <w:p>
            <w:pPr>
              <w:pStyle w:val="TableParagraph"/>
              <w:spacing w:line="210" w:lineRule="exact"/>
              <w:ind w:left="6" w:right="28"/>
              <w:jc w:val="center"/>
              <w:rPr>
                <w:sz w:val="20"/>
              </w:rPr>
            </w:pPr>
            <w:r>
              <w:rPr>
                <w:spacing w:val="-4"/>
                <w:sz w:val="20"/>
              </w:rPr>
              <w:t>43.5</w:t>
            </w:r>
          </w:p>
        </w:tc>
        <w:tc>
          <w:tcPr>
            <w:tcW w:w="685" w:type="dxa"/>
          </w:tcPr>
          <w:p>
            <w:pPr>
              <w:pStyle w:val="TableParagraph"/>
              <w:spacing w:line="210" w:lineRule="exact"/>
              <w:ind w:left="73" w:right="32"/>
              <w:jc w:val="center"/>
              <w:rPr>
                <w:sz w:val="20"/>
              </w:rPr>
            </w:pPr>
            <w:r>
              <w:rPr>
                <w:spacing w:val="-5"/>
                <w:sz w:val="20"/>
              </w:rPr>
              <w:t>11</w:t>
            </w:r>
          </w:p>
        </w:tc>
        <w:tc>
          <w:tcPr>
            <w:tcW w:w="800" w:type="dxa"/>
          </w:tcPr>
          <w:p>
            <w:pPr>
              <w:pStyle w:val="TableParagraph"/>
              <w:spacing w:line="210" w:lineRule="exact"/>
              <w:ind w:left="18" w:right="18"/>
              <w:jc w:val="center"/>
              <w:rPr>
                <w:sz w:val="20"/>
              </w:rPr>
            </w:pPr>
            <w:r>
              <w:rPr>
                <w:spacing w:val="-4"/>
                <w:sz w:val="20"/>
              </w:rPr>
              <w:t>47.8</w:t>
            </w:r>
          </w:p>
        </w:tc>
        <w:tc>
          <w:tcPr>
            <w:tcW w:w="627" w:type="dxa"/>
          </w:tcPr>
          <w:p>
            <w:pPr>
              <w:pStyle w:val="TableParagraph"/>
              <w:spacing w:line="210" w:lineRule="exact"/>
              <w:ind w:left="23" w:right="33"/>
              <w:jc w:val="center"/>
              <w:rPr>
                <w:sz w:val="20"/>
              </w:rPr>
            </w:pPr>
            <w:r>
              <w:rPr>
                <w:spacing w:val="-10"/>
                <w:sz w:val="20"/>
              </w:rPr>
              <w:t>-</w:t>
            </w:r>
          </w:p>
        </w:tc>
        <w:tc>
          <w:tcPr>
            <w:tcW w:w="771" w:type="dxa"/>
          </w:tcPr>
          <w:p>
            <w:pPr>
              <w:pStyle w:val="TableParagraph"/>
              <w:spacing w:line="210" w:lineRule="exact"/>
              <w:ind w:left="45" w:right="35"/>
              <w:jc w:val="center"/>
              <w:rPr>
                <w:sz w:val="20"/>
              </w:rPr>
            </w:pPr>
            <w:r>
              <w:rPr>
                <w:spacing w:val="-10"/>
                <w:sz w:val="20"/>
              </w:rPr>
              <w:t>-</w:t>
            </w:r>
          </w:p>
        </w:tc>
        <w:tc>
          <w:tcPr>
            <w:tcW w:w="692" w:type="dxa"/>
          </w:tcPr>
          <w:p>
            <w:pPr>
              <w:pStyle w:val="TableParagraph"/>
              <w:spacing w:line="210" w:lineRule="exact"/>
              <w:ind w:left="23" w:right="31"/>
              <w:jc w:val="center"/>
              <w:rPr>
                <w:sz w:val="20"/>
              </w:rPr>
            </w:pPr>
            <w:r>
              <w:rPr>
                <w:spacing w:val="-5"/>
                <w:sz w:val="20"/>
              </w:rPr>
              <w:t>23</w:t>
            </w:r>
          </w:p>
        </w:tc>
        <w:tc>
          <w:tcPr>
            <w:tcW w:w="739" w:type="dxa"/>
            <w:tcBorders>
              <w:right w:val="single" w:sz="4" w:space="0" w:color="000000"/>
            </w:tcBorders>
          </w:tcPr>
          <w:p>
            <w:pPr>
              <w:pStyle w:val="TableParagraph"/>
              <w:spacing w:line="210" w:lineRule="exact"/>
              <w:ind w:left="36" w:right="33"/>
              <w:jc w:val="center"/>
              <w:rPr>
                <w:sz w:val="20"/>
              </w:rPr>
            </w:pPr>
            <w:r>
              <w:rPr>
                <w:spacing w:val="-5"/>
                <w:sz w:val="20"/>
              </w:rPr>
              <w:t>5.0</w:t>
            </w:r>
          </w:p>
        </w:tc>
      </w:tr>
      <w:tr>
        <w:trPr>
          <w:trHeight w:val="230" w:hRule="atLeast"/>
        </w:trPr>
        <w:tc>
          <w:tcPr>
            <w:tcW w:w="3877" w:type="dxa"/>
            <w:tcBorders>
              <w:left w:val="single" w:sz="4" w:space="0" w:color="000000"/>
            </w:tcBorders>
          </w:tcPr>
          <w:p>
            <w:pPr>
              <w:pStyle w:val="TableParagraph"/>
              <w:tabs>
                <w:tab w:pos="830" w:val="left" w:leader="none"/>
              </w:tabs>
              <w:spacing w:line="210" w:lineRule="exact"/>
              <w:ind w:left="220"/>
              <w:rPr>
                <w:sz w:val="20"/>
              </w:rPr>
            </w:pPr>
            <w:r>
              <w:rPr>
                <w:spacing w:val="-5"/>
                <w:sz w:val="20"/>
              </w:rPr>
              <w:t>25.</w:t>
            </w:r>
            <w:r>
              <w:rPr>
                <w:sz w:val="20"/>
              </w:rPr>
              <w:tab/>
            </w:r>
            <w:r>
              <w:rPr>
                <w:spacing w:val="-2"/>
                <w:sz w:val="20"/>
              </w:rPr>
              <w:t>Vaccines/Inoculation</w:t>
            </w:r>
          </w:p>
        </w:tc>
        <w:tc>
          <w:tcPr>
            <w:tcW w:w="2249" w:type="dxa"/>
          </w:tcPr>
          <w:p>
            <w:pPr>
              <w:pStyle w:val="TableParagraph"/>
              <w:spacing w:line="210" w:lineRule="exact"/>
              <w:ind w:left="198"/>
              <w:rPr>
                <w:sz w:val="20"/>
              </w:rPr>
            </w:pPr>
            <w:r>
              <w:rPr>
                <w:sz w:val="20"/>
              </w:rPr>
              <w:t>No.</w:t>
            </w:r>
            <w:r>
              <w:rPr>
                <w:spacing w:val="-5"/>
                <w:sz w:val="20"/>
              </w:rPr>
              <w:t> </w:t>
            </w:r>
            <w:r>
              <w:rPr>
                <w:sz w:val="20"/>
              </w:rPr>
              <w:t>of</w:t>
            </w:r>
            <w:r>
              <w:rPr>
                <w:spacing w:val="-2"/>
                <w:sz w:val="20"/>
              </w:rPr>
              <w:t> missing</w:t>
            </w:r>
          </w:p>
        </w:tc>
        <w:tc>
          <w:tcPr>
            <w:tcW w:w="676" w:type="dxa"/>
          </w:tcPr>
          <w:p>
            <w:pPr>
              <w:pStyle w:val="TableParagraph"/>
              <w:rPr>
                <w:rFonts w:ascii="Times New Roman"/>
                <w:sz w:val="16"/>
              </w:rPr>
            </w:pPr>
          </w:p>
        </w:tc>
        <w:tc>
          <w:tcPr>
            <w:tcW w:w="759" w:type="dxa"/>
          </w:tcPr>
          <w:p>
            <w:pPr>
              <w:pStyle w:val="TableParagraph"/>
              <w:rPr>
                <w:rFonts w:ascii="Times New Roman"/>
                <w:sz w:val="16"/>
              </w:rPr>
            </w:pPr>
          </w:p>
        </w:tc>
        <w:tc>
          <w:tcPr>
            <w:tcW w:w="548" w:type="dxa"/>
          </w:tcPr>
          <w:p>
            <w:pPr>
              <w:pStyle w:val="TableParagraph"/>
              <w:rPr>
                <w:rFonts w:ascii="Times New Roman"/>
                <w:sz w:val="16"/>
              </w:rPr>
            </w:pPr>
          </w:p>
        </w:tc>
        <w:tc>
          <w:tcPr>
            <w:tcW w:w="733" w:type="dxa"/>
          </w:tcPr>
          <w:p>
            <w:pPr>
              <w:pStyle w:val="TableParagraph"/>
              <w:rPr>
                <w:rFonts w:ascii="Times New Roman"/>
                <w:sz w:val="16"/>
              </w:rPr>
            </w:pPr>
          </w:p>
        </w:tc>
        <w:tc>
          <w:tcPr>
            <w:tcW w:w="743" w:type="dxa"/>
          </w:tcPr>
          <w:p>
            <w:pPr>
              <w:pStyle w:val="TableParagraph"/>
              <w:rPr>
                <w:rFonts w:ascii="Times New Roman"/>
                <w:sz w:val="16"/>
              </w:rPr>
            </w:pPr>
          </w:p>
        </w:tc>
        <w:tc>
          <w:tcPr>
            <w:tcW w:w="877" w:type="dxa"/>
          </w:tcPr>
          <w:p>
            <w:pPr>
              <w:pStyle w:val="TableParagraph"/>
              <w:rPr>
                <w:rFonts w:ascii="Times New Roman"/>
                <w:sz w:val="16"/>
              </w:rPr>
            </w:pPr>
          </w:p>
        </w:tc>
        <w:tc>
          <w:tcPr>
            <w:tcW w:w="685" w:type="dxa"/>
          </w:tcPr>
          <w:p>
            <w:pPr>
              <w:pStyle w:val="TableParagraph"/>
              <w:rPr>
                <w:rFonts w:ascii="Times New Roman"/>
                <w:sz w:val="16"/>
              </w:rPr>
            </w:pPr>
          </w:p>
        </w:tc>
        <w:tc>
          <w:tcPr>
            <w:tcW w:w="800" w:type="dxa"/>
          </w:tcPr>
          <w:p>
            <w:pPr>
              <w:pStyle w:val="TableParagraph"/>
              <w:rPr>
                <w:rFonts w:ascii="Times New Roman"/>
                <w:sz w:val="16"/>
              </w:rPr>
            </w:pPr>
          </w:p>
        </w:tc>
        <w:tc>
          <w:tcPr>
            <w:tcW w:w="627" w:type="dxa"/>
          </w:tcPr>
          <w:p>
            <w:pPr>
              <w:pStyle w:val="TableParagraph"/>
              <w:rPr>
                <w:rFonts w:ascii="Times New Roman"/>
                <w:sz w:val="16"/>
              </w:rPr>
            </w:pPr>
          </w:p>
        </w:tc>
        <w:tc>
          <w:tcPr>
            <w:tcW w:w="771" w:type="dxa"/>
          </w:tcPr>
          <w:p>
            <w:pPr>
              <w:pStyle w:val="TableParagraph"/>
              <w:rPr>
                <w:rFonts w:ascii="Times New Roman"/>
                <w:sz w:val="16"/>
              </w:rPr>
            </w:pPr>
          </w:p>
        </w:tc>
        <w:tc>
          <w:tcPr>
            <w:tcW w:w="692"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30" w:hRule="atLeast"/>
        </w:trPr>
        <w:tc>
          <w:tcPr>
            <w:tcW w:w="3877" w:type="dxa"/>
            <w:tcBorders>
              <w:left w:val="single" w:sz="4" w:space="0" w:color="000000"/>
            </w:tcBorders>
          </w:tcPr>
          <w:p>
            <w:pPr>
              <w:pStyle w:val="TableParagraph"/>
              <w:rPr>
                <w:rFonts w:ascii="Times New Roman"/>
                <w:sz w:val="16"/>
              </w:rPr>
            </w:pPr>
          </w:p>
        </w:tc>
        <w:tc>
          <w:tcPr>
            <w:tcW w:w="2249" w:type="dxa"/>
          </w:tcPr>
          <w:p>
            <w:pPr>
              <w:pStyle w:val="TableParagraph"/>
              <w:spacing w:line="210" w:lineRule="exact"/>
              <w:ind w:left="198"/>
              <w:rPr>
                <w:sz w:val="20"/>
              </w:rPr>
            </w:pPr>
            <w:r>
              <w:rPr>
                <w:spacing w:val="-2"/>
                <w:sz w:val="20"/>
              </w:rPr>
              <w:t>observations</w:t>
            </w:r>
          </w:p>
        </w:tc>
        <w:tc>
          <w:tcPr>
            <w:tcW w:w="676" w:type="dxa"/>
          </w:tcPr>
          <w:p>
            <w:pPr>
              <w:pStyle w:val="TableParagraph"/>
              <w:spacing w:line="210" w:lineRule="exact"/>
              <w:ind w:left="48" w:right="7"/>
              <w:jc w:val="center"/>
              <w:rPr>
                <w:sz w:val="20"/>
              </w:rPr>
            </w:pPr>
            <w:r>
              <w:rPr>
                <w:spacing w:val="-10"/>
                <w:sz w:val="20"/>
              </w:rPr>
              <w:t>-</w:t>
            </w:r>
          </w:p>
        </w:tc>
        <w:tc>
          <w:tcPr>
            <w:tcW w:w="759" w:type="dxa"/>
          </w:tcPr>
          <w:p>
            <w:pPr>
              <w:pStyle w:val="TableParagraph"/>
              <w:spacing w:line="210" w:lineRule="exact"/>
              <w:ind w:left="53" w:right="7"/>
              <w:jc w:val="center"/>
              <w:rPr>
                <w:sz w:val="20"/>
              </w:rPr>
            </w:pPr>
            <w:r>
              <w:rPr>
                <w:spacing w:val="-10"/>
                <w:sz w:val="20"/>
              </w:rPr>
              <w:t>-</w:t>
            </w:r>
          </w:p>
        </w:tc>
        <w:tc>
          <w:tcPr>
            <w:tcW w:w="548" w:type="dxa"/>
          </w:tcPr>
          <w:p>
            <w:pPr>
              <w:pStyle w:val="TableParagraph"/>
              <w:spacing w:line="210" w:lineRule="exact"/>
              <w:ind w:left="5" w:right="5"/>
              <w:jc w:val="center"/>
              <w:rPr>
                <w:sz w:val="20"/>
              </w:rPr>
            </w:pPr>
            <w:r>
              <w:rPr>
                <w:spacing w:val="-10"/>
                <w:sz w:val="20"/>
              </w:rPr>
              <w:t>-</w:t>
            </w:r>
          </w:p>
        </w:tc>
        <w:tc>
          <w:tcPr>
            <w:tcW w:w="733" w:type="dxa"/>
          </w:tcPr>
          <w:p>
            <w:pPr>
              <w:pStyle w:val="TableParagraph"/>
              <w:spacing w:line="210" w:lineRule="exact"/>
              <w:ind w:left="53" w:right="67"/>
              <w:jc w:val="center"/>
              <w:rPr>
                <w:sz w:val="20"/>
              </w:rPr>
            </w:pPr>
            <w:r>
              <w:rPr>
                <w:spacing w:val="-10"/>
                <w:sz w:val="20"/>
              </w:rPr>
              <w:t>-</w:t>
            </w:r>
          </w:p>
        </w:tc>
        <w:tc>
          <w:tcPr>
            <w:tcW w:w="743" w:type="dxa"/>
          </w:tcPr>
          <w:p>
            <w:pPr>
              <w:pStyle w:val="TableParagraph"/>
              <w:spacing w:line="210" w:lineRule="exact"/>
              <w:ind w:left="36" w:right="79"/>
              <w:jc w:val="center"/>
              <w:rPr>
                <w:sz w:val="20"/>
              </w:rPr>
            </w:pPr>
            <w:r>
              <w:rPr>
                <w:spacing w:val="-10"/>
                <w:sz w:val="20"/>
              </w:rPr>
              <w:t>1</w:t>
            </w:r>
          </w:p>
        </w:tc>
        <w:tc>
          <w:tcPr>
            <w:tcW w:w="877" w:type="dxa"/>
          </w:tcPr>
          <w:p>
            <w:pPr>
              <w:pStyle w:val="TableParagraph"/>
              <w:spacing w:line="210" w:lineRule="exact"/>
              <w:ind w:left="6" w:right="28"/>
              <w:jc w:val="center"/>
              <w:rPr>
                <w:sz w:val="20"/>
              </w:rPr>
            </w:pPr>
            <w:r>
              <w:rPr>
                <w:spacing w:val="-4"/>
                <w:sz w:val="20"/>
              </w:rPr>
              <w:t>50.0</w:t>
            </w:r>
          </w:p>
        </w:tc>
        <w:tc>
          <w:tcPr>
            <w:tcW w:w="685" w:type="dxa"/>
          </w:tcPr>
          <w:p>
            <w:pPr>
              <w:pStyle w:val="TableParagraph"/>
              <w:spacing w:line="210" w:lineRule="exact"/>
              <w:ind w:left="77" w:right="32"/>
              <w:jc w:val="center"/>
              <w:rPr>
                <w:sz w:val="20"/>
              </w:rPr>
            </w:pPr>
            <w:r>
              <w:rPr>
                <w:spacing w:val="-10"/>
                <w:sz w:val="20"/>
              </w:rPr>
              <w:t>1</w:t>
            </w:r>
          </w:p>
        </w:tc>
        <w:tc>
          <w:tcPr>
            <w:tcW w:w="800" w:type="dxa"/>
          </w:tcPr>
          <w:p>
            <w:pPr>
              <w:pStyle w:val="TableParagraph"/>
              <w:spacing w:line="210" w:lineRule="exact"/>
              <w:ind w:left="18" w:right="18"/>
              <w:jc w:val="center"/>
              <w:rPr>
                <w:sz w:val="20"/>
              </w:rPr>
            </w:pPr>
            <w:r>
              <w:rPr>
                <w:spacing w:val="-4"/>
                <w:sz w:val="20"/>
              </w:rPr>
              <w:t>50.0</w:t>
            </w:r>
          </w:p>
        </w:tc>
        <w:tc>
          <w:tcPr>
            <w:tcW w:w="627" w:type="dxa"/>
          </w:tcPr>
          <w:p>
            <w:pPr>
              <w:pStyle w:val="TableParagraph"/>
              <w:spacing w:line="210" w:lineRule="exact"/>
              <w:ind w:left="23" w:right="33"/>
              <w:jc w:val="center"/>
              <w:rPr>
                <w:sz w:val="20"/>
              </w:rPr>
            </w:pPr>
            <w:r>
              <w:rPr>
                <w:spacing w:val="-10"/>
                <w:sz w:val="20"/>
              </w:rPr>
              <w:t>-</w:t>
            </w:r>
          </w:p>
        </w:tc>
        <w:tc>
          <w:tcPr>
            <w:tcW w:w="771" w:type="dxa"/>
          </w:tcPr>
          <w:p>
            <w:pPr>
              <w:pStyle w:val="TableParagraph"/>
              <w:spacing w:line="210" w:lineRule="exact"/>
              <w:ind w:left="45" w:right="35"/>
              <w:jc w:val="center"/>
              <w:rPr>
                <w:sz w:val="20"/>
              </w:rPr>
            </w:pPr>
            <w:r>
              <w:rPr>
                <w:spacing w:val="-10"/>
                <w:sz w:val="20"/>
              </w:rPr>
              <w:t>-</w:t>
            </w:r>
          </w:p>
        </w:tc>
        <w:tc>
          <w:tcPr>
            <w:tcW w:w="692" w:type="dxa"/>
          </w:tcPr>
          <w:p>
            <w:pPr>
              <w:pStyle w:val="TableParagraph"/>
              <w:spacing w:line="210" w:lineRule="exact"/>
              <w:ind w:left="23" w:right="26"/>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33"/>
              <w:jc w:val="center"/>
              <w:rPr>
                <w:sz w:val="20"/>
              </w:rPr>
            </w:pPr>
            <w:r>
              <w:rPr>
                <w:spacing w:val="-5"/>
                <w:sz w:val="20"/>
              </w:rPr>
              <w:t>0.4</w:t>
            </w:r>
          </w:p>
        </w:tc>
      </w:tr>
      <w:tr>
        <w:trPr>
          <w:trHeight w:val="230" w:hRule="atLeast"/>
        </w:trPr>
        <w:tc>
          <w:tcPr>
            <w:tcW w:w="3877" w:type="dxa"/>
            <w:tcBorders>
              <w:left w:val="single" w:sz="4" w:space="0" w:color="000000"/>
            </w:tcBorders>
          </w:tcPr>
          <w:p>
            <w:pPr>
              <w:pStyle w:val="TableParagraph"/>
              <w:rPr>
                <w:rFonts w:ascii="Times New Roman"/>
                <w:sz w:val="16"/>
              </w:rPr>
            </w:pPr>
          </w:p>
        </w:tc>
        <w:tc>
          <w:tcPr>
            <w:tcW w:w="2249" w:type="dxa"/>
          </w:tcPr>
          <w:p>
            <w:pPr>
              <w:pStyle w:val="TableParagraph"/>
              <w:spacing w:line="210" w:lineRule="exact"/>
              <w:ind w:left="198"/>
              <w:rPr>
                <w:sz w:val="20"/>
              </w:rPr>
            </w:pPr>
            <w:r>
              <w:rPr>
                <w:spacing w:val="-2"/>
                <w:sz w:val="20"/>
              </w:rPr>
              <w:t>Students</w:t>
            </w:r>
          </w:p>
        </w:tc>
        <w:tc>
          <w:tcPr>
            <w:tcW w:w="676" w:type="dxa"/>
          </w:tcPr>
          <w:p>
            <w:pPr>
              <w:pStyle w:val="TableParagraph"/>
              <w:spacing w:line="210" w:lineRule="exact"/>
              <w:ind w:left="48" w:right="5"/>
              <w:jc w:val="center"/>
              <w:rPr>
                <w:sz w:val="20"/>
              </w:rPr>
            </w:pPr>
            <w:r>
              <w:rPr>
                <w:spacing w:val="-5"/>
                <w:sz w:val="20"/>
              </w:rPr>
              <w:t>10</w:t>
            </w:r>
          </w:p>
        </w:tc>
        <w:tc>
          <w:tcPr>
            <w:tcW w:w="759" w:type="dxa"/>
          </w:tcPr>
          <w:p>
            <w:pPr>
              <w:pStyle w:val="TableParagraph"/>
              <w:spacing w:line="210" w:lineRule="exact"/>
              <w:ind w:left="53" w:right="5"/>
              <w:jc w:val="center"/>
              <w:rPr>
                <w:sz w:val="20"/>
              </w:rPr>
            </w:pPr>
            <w:r>
              <w:rPr>
                <w:spacing w:val="-5"/>
                <w:sz w:val="20"/>
              </w:rPr>
              <w:t>4.3</w:t>
            </w:r>
          </w:p>
        </w:tc>
        <w:tc>
          <w:tcPr>
            <w:tcW w:w="548" w:type="dxa"/>
          </w:tcPr>
          <w:p>
            <w:pPr>
              <w:pStyle w:val="TableParagraph"/>
              <w:spacing w:line="210" w:lineRule="exact"/>
              <w:ind w:left="5" w:right="5"/>
              <w:jc w:val="center"/>
              <w:rPr>
                <w:sz w:val="20"/>
              </w:rPr>
            </w:pPr>
            <w:r>
              <w:rPr>
                <w:spacing w:val="-5"/>
                <w:sz w:val="20"/>
              </w:rPr>
              <w:t>49</w:t>
            </w:r>
          </w:p>
        </w:tc>
        <w:tc>
          <w:tcPr>
            <w:tcW w:w="733" w:type="dxa"/>
          </w:tcPr>
          <w:p>
            <w:pPr>
              <w:pStyle w:val="TableParagraph"/>
              <w:spacing w:line="210" w:lineRule="exact"/>
              <w:ind w:left="53" w:right="60"/>
              <w:jc w:val="center"/>
              <w:rPr>
                <w:sz w:val="20"/>
              </w:rPr>
            </w:pPr>
            <w:r>
              <w:rPr>
                <w:spacing w:val="-4"/>
                <w:sz w:val="20"/>
              </w:rPr>
              <w:t>20.9</w:t>
            </w:r>
          </w:p>
        </w:tc>
        <w:tc>
          <w:tcPr>
            <w:tcW w:w="743" w:type="dxa"/>
          </w:tcPr>
          <w:p>
            <w:pPr>
              <w:pStyle w:val="TableParagraph"/>
              <w:spacing w:line="210" w:lineRule="exact"/>
              <w:ind w:left="36" w:right="89"/>
              <w:jc w:val="center"/>
              <w:rPr>
                <w:sz w:val="20"/>
              </w:rPr>
            </w:pPr>
            <w:r>
              <w:rPr>
                <w:spacing w:val="-5"/>
                <w:sz w:val="20"/>
              </w:rPr>
              <w:t>111</w:t>
            </w:r>
          </w:p>
        </w:tc>
        <w:tc>
          <w:tcPr>
            <w:tcW w:w="877" w:type="dxa"/>
          </w:tcPr>
          <w:p>
            <w:pPr>
              <w:pStyle w:val="TableParagraph"/>
              <w:spacing w:line="210" w:lineRule="exact"/>
              <w:ind w:left="6" w:right="28"/>
              <w:jc w:val="center"/>
              <w:rPr>
                <w:sz w:val="20"/>
              </w:rPr>
            </w:pPr>
            <w:r>
              <w:rPr>
                <w:spacing w:val="-4"/>
                <w:sz w:val="20"/>
              </w:rPr>
              <w:t>47.2</w:t>
            </w:r>
          </w:p>
        </w:tc>
        <w:tc>
          <w:tcPr>
            <w:tcW w:w="685" w:type="dxa"/>
          </w:tcPr>
          <w:p>
            <w:pPr>
              <w:pStyle w:val="TableParagraph"/>
              <w:spacing w:line="210" w:lineRule="exact"/>
              <w:ind w:left="73" w:right="32"/>
              <w:jc w:val="center"/>
              <w:rPr>
                <w:sz w:val="20"/>
              </w:rPr>
            </w:pPr>
            <w:r>
              <w:rPr>
                <w:spacing w:val="-5"/>
                <w:sz w:val="20"/>
              </w:rPr>
              <w:t>56</w:t>
            </w:r>
          </w:p>
        </w:tc>
        <w:tc>
          <w:tcPr>
            <w:tcW w:w="800" w:type="dxa"/>
          </w:tcPr>
          <w:p>
            <w:pPr>
              <w:pStyle w:val="TableParagraph"/>
              <w:spacing w:line="210" w:lineRule="exact"/>
              <w:ind w:left="18" w:right="18"/>
              <w:jc w:val="center"/>
              <w:rPr>
                <w:sz w:val="20"/>
              </w:rPr>
            </w:pPr>
            <w:r>
              <w:rPr>
                <w:spacing w:val="-4"/>
                <w:sz w:val="20"/>
              </w:rPr>
              <w:t>23.8</w:t>
            </w:r>
          </w:p>
        </w:tc>
        <w:tc>
          <w:tcPr>
            <w:tcW w:w="627" w:type="dxa"/>
          </w:tcPr>
          <w:p>
            <w:pPr>
              <w:pStyle w:val="TableParagraph"/>
              <w:spacing w:line="210" w:lineRule="exact"/>
              <w:ind w:left="23" w:right="26"/>
              <w:jc w:val="center"/>
              <w:rPr>
                <w:sz w:val="20"/>
              </w:rPr>
            </w:pPr>
            <w:r>
              <w:rPr>
                <w:spacing w:val="-10"/>
                <w:sz w:val="20"/>
              </w:rPr>
              <w:t>9</w:t>
            </w:r>
          </w:p>
        </w:tc>
        <w:tc>
          <w:tcPr>
            <w:tcW w:w="771" w:type="dxa"/>
          </w:tcPr>
          <w:p>
            <w:pPr>
              <w:pStyle w:val="TableParagraph"/>
              <w:spacing w:line="210" w:lineRule="exact"/>
              <w:ind w:left="45" w:right="33"/>
              <w:jc w:val="center"/>
              <w:rPr>
                <w:sz w:val="20"/>
              </w:rPr>
            </w:pPr>
            <w:r>
              <w:rPr>
                <w:spacing w:val="-5"/>
                <w:sz w:val="20"/>
              </w:rPr>
              <w:t>3.8</w:t>
            </w:r>
          </w:p>
        </w:tc>
        <w:tc>
          <w:tcPr>
            <w:tcW w:w="692" w:type="dxa"/>
          </w:tcPr>
          <w:p>
            <w:pPr>
              <w:pStyle w:val="TableParagraph"/>
              <w:spacing w:line="210" w:lineRule="exact"/>
              <w:ind w:left="23" w:right="36"/>
              <w:jc w:val="center"/>
              <w:rPr>
                <w:sz w:val="20"/>
              </w:rPr>
            </w:pPr>
            <w:r>
              <w:rPr>
                <w:spacing w:val="-5"/>
                <w:sz w:val="20"/>
              </w:rPr>
              <w:t>235</w:t>
            </w:r>
          </w:p>
        </w:tc>
        <w:tc>
          <w:tcPr>
            <w:tcW w:w="739" w:type="dxa"/>
            <w:tcBorders>
              <w:right w:val="single" w:sz="4" w:space="0" w:color="000000"/>
            </w:tcBorders>
          </w:tcPr>
          <w:p>
            <w:pPr>
              <w:pStyle w:val="TableParagraph"/>
              <w:spacing w:line="210" w:lineRule="exact"/>
              <w:ind w:left="36" w:right="28"/>
              <w:jc w:val="center"/>
              <w:rPr>
                <w:sz w:val="20"/>
              </w:rPr>
            </w:pPr>
            <w:r>
              <w:rPr>
                <w:spacing w:val="-4"/>
                <w:sz w:val="20"/>
              </w:rPr>
              <w:t>50.8</w:t>
            </w:r>
          </w:p>
        </w:tc>
      </w:tr>
      <w:tr>
        <w:trPr>
          <w:trHeight w:val="230" w:hRule="atLeast"/>
        </w:trPr>
        <w:tc>
          <w:tcPr>
            <w:tcW w:w="3877" w:type="dxa"/>
            <w:tcBorders>
              <w:left w:val="single" w:sz="4" w:space="0" w:color="000000"/>
            </w:tcBorders>
          </w:tcPr>
          <w:p>
            <w:pPr>
              <w:pStyle w:val="TableParagraph"/>
              <w:rPr>
                <w:rFonts w:ascii="Times New Roman"/>
                <w:sz w:val="16"/>
              </w:rPr>
            </w:pPr>
          </w:p>
        </w:tc>
        <w:tc>
          <w:tcPr>
            <w:tcW w:w="2249" w:type="dxa"/>
          </w:tcPr>
          <w:p>
            <w:pPr>
              <w:pStyle w:val="TableParagraph"/>
              <w:spacing w:line="210" w:lineRule="exact"/>
              <w:ind w:left="198"/>
              <w:rPr>
                <w:sz w:val="20"/>
              </w:rPr>
            </w:pPr>
            <w:r>
              <w:rPr>
                <w:sz w:val="20"/>
              </w:rPr>
              <w:t>Service</w:t>
            </w:r>
            <w:r>
              <w:rPr>
                <w:spacing w:val="-9"/>
                <w:sz w:val="20"/>
              </w:rPr>
              <w:t> </w:t>
            </w:r>
            <w:r>
              <w:rPr>
                <w:spacing w:val="-2"/>
                <w:sz w:val="20"/>
              </w:rPr>
              <w:t>Staff</w:t>
            </w:r>
          </w:p>
        </w:tc>
        <w:tc>
          <w:tcPr>
            <w:tcW w:w="676" w:type="dxa"/>
          </w:tcPr>
          <w:p>
            <w:pPr>
              <w:pStyle w:val="TableParagraph"/>
              <w:spacing w:line="210" w:lineRule="exact"/>
              <w:ind w:left="48" w:right="5"/>
              <w:jc w:val="center"/>
              <w:rPr>
                <w:sz w:val="20"/>
              </w:rPr>
            </w:pPr>
            <w:r>
              <w:rPr>
                <w:spacing w:val="-5"/>
                <w:sz w:val="20"/>
              </w:rPr>
              <w:t>14</w:t>
            </w:r>
          </w:p>
        </w:tc>
        <w:tc>
          <w:tcPr>
            <w:tcW w:w="759" w:type="dxa"/>
          </w:tcPr>
          <w:p>
            <w:pPr>
              <w:pStyle w:val="TableParagraph"/>
              <w:spacing w:line="210" w:lineRule="exact"/>
              <w:ind w:left="53" w:right="5"/>
              <w:jc w:val="center"/>
              <w:rPr>
                <w:sz w:val="20"/>
              </w:rPr>
            </w:pPr>
            <w:r>
              <w:rPr>
                <w:spacing w:val="-5"/>
                <w:sz w:val="20"/>
              </w:rPr>
              <w:t>6.9</w:t>
            </w:r>
          </w:p>
        </w:tc>
        <w:tc>
          <w:tcPr>
            <w:tcW w:w="548" w:type="dxa"/>
          </w:tcPr>
          <w:p>
            <w:pPr>
              <w:pStyle w:val="TableParagraph"/>
              <w:spacing w:line="210" w:lineRule="exact"/>
              <w:ind w:left="5" w:right="5"/>
              <w:jc w:val="center"/>
              <w:rPr>
                <w:sz w:val="20"/>
              </w:rPr>
            </w:pPr>
            <w:r>
              <w:rPr>
                <w:spacing w:val="-5"/>
                <w:sz w:val="20"/>
              </w:rPr>
              <w:t>18</w:t>
            </w:r>
          </w:p>
        </w:tc>
        <w:tc>
          <w:tcPr>
            <w:tcW w:w="733" w:type="dxa"/>
          </w:tcPr>
          <w:p>
            <w:pPr>
              <w:pStyle w:val="TableParagraph"/>
              <w:spacing w:line="210" w:lineRule="exact"/>
              <w:ind w:left="53" w:right="65"/>
              <w:jc w:val="center"/>
              <w:rPr>
                <w:sz w:val="20"/>
              </w:rPr>
            </w:pPr>
            <w:r>
              <w:rPr>
                <w:spacing w:val="-5"/>
                <w:sz w:val="20"/>
              </w:rPr>
              <w:t>8.9</w:t>
            </w:r>
          </w:p>
        </w:tc>
        <w:tc>
          <w:tcPr>
            <w:tcW w:w="743" w:type="dxa"/>
          </w:tcPr>
          <w:p>
            <w:pPr>
              <w:pStyle w:val="TableParagraph"/>
              <w:spacing w:line="210" w:lineRule="exact"/>
              <w:ind w:left="36" w:right="84"/>
              <w:jc w:val="center"/>
              <w:rPr>
                <w:sz w:val="20"/>
              </w:rPr>
            </w:pPr>
            <w:r>
              <w:rPr>
                <w:spacing w:val="-5"/>
                <w:sz w:val="20"/>
              </w:rPr>
              <w:t>87</w:t>
            </w:r>
          </w:p>
        </w:tc>
        <w:tc>
          <w:tcPr>
            <w:tcW w:w="877" w:type="dxa"/>
          </w:tcPr>
          <w:p>
            <w:pPr>
              <w:pStyle w:val="TableParagraph"/>
              <w:spacing w:line="210" w:lineRule="exact"/>
              <w:ind w:left="6" w:right="28"/>
              <w:jc w:val="center"/>
              <w:rPr>
                <w:sz w:val="20"/>
              </w:rPr>
            </w:pPr>
            <w:r>
              <w:rPr>
                <w:spacing w:val="-4"/>
                <w:sz w:val="20"/>
              </w:rPr>
              <w:t>42.9</w:t>
            </w:r>
          </w:p>
        </w:tc>
        <w:tc>
          <w:tcPr>
            <w:tcW w:w="685" w:type="dxa"/>
          </w:tcPr>
          <w:p>
            <w:pPr>
              <w:pStyle w:val="TableParagraph"/>
              <w:spacing w:line="210" w:lineRule="exact"/>
              <w:ind w:left="73" w:right="32"/>
              <w:jc w:val="center"/>
              <w:rPr>
                <w:sz w:val="20"/>
              </w:rPr>
            </w:pPr>
            <w:r>
              <w:rPr>
                <w:spacing w:val="-5"/>
                <w:sz w:val="20"/>
              </w:rPr>
              <w:t>69</w:t>
            </w:r>
          </w:p>
        </w:tc>
        <w:tc>
          <w:tcPr>
            <w:tcW w:w="800" w:type="dxa"/>
          </w:tcPr>
          <w:p>
            <w:pPr>
              <w:pStyle w:val="TableParagraph"/>
              <w:spacing w:line="210" w:lineRule="exact"/>
              <w:ind w:left="18" w:right="18"/>
              <w:jc w:val="center"/>
              <w:rPr>
                <w:sz w:val="20"/>
              </w:rPr>
            </w:pPr>
            <w:r>
              <w:rPr>
                <w:spacing w:val="-4"/>
                <w:sz w:val="20"/>
              </w:rPr>
              <w:t>34.0</w:t>
            </w:r>
          </w:p>
        </w:tc>
        <w:tc>
          <w:tcPr>
            <w:tcW w:w="627" w:type="dxa"/>
          </w:tcPr>
          <w:p>
            <w:pPr>
              <w:pStyle w:val="TableParagraph"/>
              <w:spacing w:line="210" w:lineRule="exact"/>
              <w:ind w:left="23" w:right="31"/>
              <w:jc w:val="center"/>
              <w:rPr>
                <w:sz w:val="20"/>
              </w:rPr>
            </w:pPr>
            <w:r>
              <w:rPr>
                <w:spacing w:val="-5"/>
                <w:sz w:val="20"/>
              </w:rPr>
              <w:t>15</w:t>
            </w:r>
          </w:p>
        </w:tc>
        <w:tc>
          <w:tcPr>
            <w:tcW w:w="771" w:type="dxa"/>
          </w:tcPr>
          <w:p>
            <w:pPr>
              <w:pStyle w:val="TableParagraph"/>
              <w:spacing w:line="210" w:lineRule="exact"/>
              <w:ind w:left="45" w:right="33"/>
              <w:jc w:val="center"/>
              <w:rPr>
                <w:sz w:val="20"/>
              </w:rPr>
            </w:pPr>
            <w:r>
              <w:rPr>
                <w:spacing w:val="-5"/>
                <w:sz w:val="20"/>
              </w:rPr>
              <w:t>7.4</w:t>
            </w:r>
          </w:p>
        </w:tc>
        <w:tc>
          <w:tcPr>
            <w:tcW w:w="692" w:type="dxa"/>
          </w:tcPr>
          <w:p>
            <w:pPr>
              <w:pStyle w:val="TableParagraph"/>
              <w:spacing w:line="210" w:lineRule="exact"/>
              <w:ind w:left="23" w:right="36"/>
              <w:jc w:val="center"/>
              <w:rPr>
                <w:sz w:val="20"/>
              </w:rPr>
            </w:pPr>
            <w:r>
              <w:rPr>
                <w:spacing w:val="-5"/>
                <w:sz w:val="20"/>
              </w:rPr>
              <w:t>203</w:t>
            </w:r>
          </w:p>
        </w:tc>
        <w:tc>
          <w:tcPr>
            <w:tcW w:w="739" w:type="dxa"/>
            <w:tcBorders>
              <w:right w:val="single" w:sz="4" w:space="0" w:color="000000"/>
            </w:tcBorders>
          </w:tcPr>
          <w:p>
            <w:pPr>
              <w:pStyle w:val="TableParagraph"/>
              <w:spacing w:line="210" w:lineRule="exact"/>
              <w:ind w:left="36" w:right="28"/>
              <w:jc w:val="center"/>
              <w:rPr>
                <w:sz w:val="20"/>
              </w:rPr>
            </w:pPr>
            <w:r>
              <w:rPr>
                <w:spacing w:val="-4"/>
                <w:sz w:val="20"/>
              </w:rPr>
              <w:t>43.8</w:t>
            </w:r>
          </w:p>
        </w:tc>
      </w:tr>
      <w:tr>
        <w:trPr>
          <w:trHeight w:val="273" w:hRule="atLeast"/>
        </w:trPr>
        <w:tc>
          <w:tcPr>
            <w:tcW w:w="3877" w:type="dxa"/>
            <w:tcBorders>
              <w:left w:val="single" w:sz="4" w:space="0" w:color="000000"/>
            </w:tcBorders>
          </w:tcPr>
          <w:p>
            <w:pPr>
              <w:pStyle w:val="TableParagraph"/>
              <w:rPr>
                <w:rFonts w:ascii="Times New Roman"/>
                <w:sz w:val="20"/>
              </w:rPr>
            </w:pPr>
          </w:p>
        </w:tc>
        <w:tc>
          <w:tcPr>
            <w:tcW w:w="2249" w:type="dxa"/>
          </w:tcPr>
          <w:p>
            <w:pPr>
              <w:pStyle w:val="TableParagraph"/>
              <w:spacing w:line="227" w:lineRule="exact"/>
              <w:ind w:left="198"/>
              <w:rPr>
                <w:sz w:val="20"/>
              </w:rPr>
            </w:pPr>
            <w:r>
              <w:rPr>
                <w:sz w:val="20"/>
              </w:rPr>
              <w:t>Top</w:t>
            </w:r>
            <w:r>
              <w:rPr>
                <w:spacing w:val="-1"/>
                <w:sz w:val="20"/>
              </w:rPr>
              <w:t> </w:t>
            </w:r>
            <w:r>
              <w:rPr>
                <w:spacing w:val="-2"/>
                <w:sz w:val="20"/>
              </w:rPr>
              <w:t>Management</w:t>
            </w:r>
          </w:p>
        </w:tc>
        <w:tc>
          <w:tcPr>
            <w:tcW w:w="676" w:type="dxa"/>
          </w:tcPr>
          <w:p>
            <w:pPr>
              <w:pStyle w:val="TableParagraph"/>
              <w:spacing w:line="227" w:lineRule="exact"/>
              <w:ind w:left="48"/>
              <w:jc w:val="center"/>
              <w:rPr>
                <w:sz w:val="20"/>
              </w:rPr>
            </w:pPr>
            <w:r>
              <w:rPr>
                <w:spacing w:val="-10"/>
                <w:sz w:val="20"/>
              </w:rPr>
              <w:t>1</w:t>
            </w:r>
          </w:p>
        </w:tc>
        <w:tc>
          <w:tcPr>
            <w:tcW w:w="759" w:type="dxa"/>
          </w:tcPr>
          <w:p>
            <w:pPr>
              <w:pStyle w:val="TableParagraph"/>
              <w:spacing w:line="227" w:lineRule="exact"/>
              <w:ind w:left="53" w:right="5"/>
              <w:jc w:val="center"/>
              <w:rPr>
                <w:sz w:val="20"/>
              </w:rPr>
            </w:pPr>
            <w:r>
              <w:rPr>
                <w:spacing w:val="-5"/>
                <w:sz w:val="20"/>
              </w:rPr>
              <w:t>4.3</w:t>
            </w:r>
          </w:p>
        </w:tc>
        <w:tc>
          <w:tcPr>
            <w:tcW w:w="548" w:type="dxa"/>
          </w:tcPr>
          <w:p>
            <w:pPr>
              <w:pStyle w:val="TableParagraph"/>
              <w:spacing w:line="227" w:lineRule="exact"/>
              <w:ind w:left="5" w:right="2"/>
              <w:jc w:val="center"/>
              <w:rPr>
                <w:sz w:val="20"/>
              </w:rPr>
            </w:pPr>
            <w:r>
              <w:rPr>
                <w:spacing w:val="-10"/>
                <w:sz w:val="20"/>
              </w:rPr>
              <w:t>3</w:t>
            </w:r>
          </w:p>
        </w:tc>
        <w:tc>
          <w:tcPr>
            <w:tcW w:w="733" w:type="dxa"/>
          </w:tcPr>
          <w:p>
            <w:pPr>
              <w:pStyle w:val="TableParagraph"/>
              <w:spacing w:line="227" w:lineRule="exact"/>
              <w:ind w:left="53" w:right="60"/>
              <w:jc w:val="center"/>
              <w:rPr>
                <w:sz w:val="20"/>
              </w:rPr>
            </w:pPr>
            <w:r>
              <w:rPr>
                <w:spacing w:val="-4"/>
                <w:sz w:val="20"/>
              </w:rPr>
              <w:t>13.0</w:t>
            </w:r>
          </w:p>
        </w:tc>
        <w:tc>
          <w:tcPr>
            <w:tcW w:w="743" w:type="dxa"/>
          </w:tcPr>
          <w:p>
            <w:pPr>
              <w:pStyle w:val="TableParagraph"/>
              <w:spacing w:line="227" w:lineRule="exact"/>
              <w:ind w:left="36" w:right="79"/>
              <w:jc w:val="center"/>
              <w:rPr>
                <w:sz w:val="20"/>
              </w:rPr>
            </w:pPr>
            <w:r>
              <w:rPr>
                <w:spacing w:val="-10"/>
                <w:sz w:val="20"/>
              </w:rPr>
              <w:t>6</w:t>
            </w:r>
          </w:p>
        </w:tc>
        <w:tc>
          <w:tcPr>
            <w:tcW w:w="877" w:type="dxa"/>
          </w:tcPr>
          <w:p>
            <w:pPr>
              <w:pStyle w:val="TableParagraph"/>
              <w:spacing w:line="227" w:lineRule="exact"/>
              <w:ind w:left="6" w:right="28"/>
              <w:jc w:val="center"/>
              <w:rPr>
                <w:sz w:val="20"/>
              </w:rPr>
            </w:pPr>
            <w:r>
              <w:rPr>
                <w:spacing w:val="-4"/>
                <w:sz w:val="20"/>
              </w:rPr>
              <w:t>26.1</w:t>
            </w:r>
          </w:p>
        </w:tc>
        <w:tc>
          <w:tcPr>
            <w:tcW w:w="685" w:type="dxa"/>
          </w:tcPr>
          <w:p>
            <w:pPr>
              <w:pStyle w:val="TableParagraph"/>
              <w:spacing w:line="227" w:lineRule="exact"/>
              <w:ind w:left="73" w:right="32"/>
              <w:jc w:val="center"/>
              <w:rPr>
                <w:sz w:val="20"/>
              </w:rPr>
            </w:pPr>
            <w:r>
              <w:rPr>
                <w:spacing w:val="-5"/>
                <w:sz w:val="20"/>
              </w:rPr>
              <w:t>12</w:t>
            </w:r>
          </w:p>
        </w:tc>
        <w:tc>
          <w:tcPr>
            <w:tcW w:w="800" w:type="dxa"/>
          </w:tcPr>
          <w:p>
            <w:pPr>
              <w:pStyle w:val="TableParagraph"/>
              <w:spacing w:line="227" w:lineRule="exact"/>
              <w:ind w:left="18" w:right="18"/>
              <w:jc w:val="center"/>
              <w:rPr>
                <w:sz w:val="20"/>
              </w:rPr>
            </w:pPr>
            <w:r>
              <w:rPr>
                <w:spacing w:val="-4"/>
                <w:sz w:val="20"/>
              </w:rPr>
              <w:t>52.2</w:t>
            </w:r>
          </w:p>
        </w:tc>
        <w:tc>
          <w:tcPr>
            <w:tcW w:w="627" w:type="dxa"/>
          </w:tcPr>
          <w:p>
            <w:pPr>
              <w:pStyle w:val="TableParagraph"/>
              <w:spacing w:line="227" w:lineRule="exact"/>
              <w:ind w:left="23" w:right="26"/>
              <w:jc w:val="center"/>
              <w:rPr>
                <w:sz w:val="20"/>
              </w:rPr>
            </w:pPr>
            <w:r>
              <w:rPr>
                <w:spacing w:val="-10"/>
                <w:sz w:val="20"/>
              </w:rPr>
              <w:t>1</w:t>
            </w:r>
          </w:p>
        </w:tc>
        <w:tc>
          <w:tcPr>
            <w:tcW w:w="771" w:type="dxa"/>
          </w:tcPr>
          <w:p>
            <w:pPr>
              <w:pStyle w:val="TableParagraph"/>
              <w:spacing w:line="227" w:lineRule="exact"/>
              <w:ind w:left="45" w:right="33"/>
              <w:jc w:val="center"/>
              <w:rPr>
                <w:sz w:val="20"/>
              </w:rPr>
            </w:pPr>
            <w:r>
              <w:rPr>
                <w:spacing w:val="-5"/>
                <w:sz w:val="20"/>
              </w:rPr>
              <w:t>4.3</w:t>
            </w:r>
          </w:p>
        </w:tc>
        <w:tc>
          <w:tcPr>
            <w:tcW w:w="692" w:type="dxa"/>
          </w:tcPr>
          <w:p>
            <w:pPr>
              <w:pStyle w:val="TableParagraph"/>
              <w:spacing w:line="227" w:lineRule="exact"/>
              <w:ind w:left="23" w:right="31"/>
              <w:jc w:val="center"/>
              <w:rPr>
                <w:sz w:val="20"/>
              </w:rPr>
            </w:pPr>
            <w:r>
              <w:rPr>
                <w:spacing w:val="-5"/>
                <w:sz w:val="20"/>
              </w:rPr>
              <w:t>23</w:t>
            </w:r>
          </w:p>
        </w:tc>
        <w:tc>
          <w:tcPr>
            <w:tcW w:w="739" w:type="dxa"/>
            <w:tcBorders>
              <w:right w:val="single" w:sz="4" w:space="0" w:color="000000"/>
            </w:tcBorders>
          </w:tcPr>
          <w:p>
            <w:pPr>
              <w:pStyle w:val="TableParagraph"/>
              <w:spacing w:line="227" w:lineRule="exact"/>
              <w:ind w:left="36" w:right="33"/>
              <w:jc w:val="center"/>
              <w:rPr>
                <w:sz w:val="20"/>
              </w:rPr>
            </w:pPr>
            <w:r>
              <w:rPr>
                <w:spacing w:val="-5"/>
                <w:sz w:val="20"/>
              </w:rPr>
              <w:t>5.0</w:t>
            </w:r>
          </w:p>
        </w:tc>
      </w:tr>
      <w:tr>
        <w:trPr>
          <w:trHeight w:val="273" w:hRule="atLeast"/>
        </w:trPr>
        <w:tc>
          <w:tcPr>
            <w:tcW w:w="3877" w:type="dxa"/>
            <w:tcBorders>
              <w:left w:val="single" w:sz="4" w:space="0" w:color="000000"/>
            </w:tcBorders>
          </w:tcPr>
          <w:p>
            <w:pPr>
              <w:pStyle w:val="TableParagraph"/>
              <w:tabs>
                <w:tab w:pos="830" w:val="left" w:leader="none"/>
              </w:tabs>
              <w:spacing w:line="213" w:lineRule="exact" w:before="40"/>
              <w:ind w:left="220"/>
              <w:rPr>
                <w:sz w:val="20"/>
              </w:rPr>
            </w:pPr>
            <w:r>
              <w:rPr>
                <w:spacing w:val="-5"/>
                <w:sz w:val="20"/>
              </w:rPr>
              <w:t>26.</w:t>
            </w:r>
            <w:r>
              <w:rPr>
                <w:sz w:val="20"/>
              </w:rPr>
              <w:tab/>
            </w:r>
            <w:r>
              <w:rPr>
                <w:spacing w:val="-2"/>
                <w:sz w:val="20"/>
              </w:rPr>
              <w:t>Drugs</w:t>
            </w:r>
          </w:p>
        </w:tc>
        <w:tc>
          <w:tcPr>
            <w:tcW w:w="2249" w:type="dxa"/>
          </w:tcPr>
          <w:p>
            <w:pPr>
              <w:pStyle w:val="TableParagraph"/>
              <w:spacing w:line="213" w:lineRule="exact" w:before="40"/>
              <w:ind w:left="198"/>
              <w:rPr>
                <w:sz w:val="20"/>
              </w:rPr>
            </w:pPr>
            <w:r>
              <w:rPr>
                <w:sz w:val="20"/>
              </w:rPr>
              <w:t>No.</w:t>
            </w:r>
            <w:r>
              <w:rPr>
                <w:spacing w:val="-5"/>
                <w:sz w:val="20"/>
              </w:rPr>
              <w:t> </w:t>
            </w:r>
            <w:r>
              <w:rPr>
                <w:sz w:val="20"/>
              </w:rPr>
              <w:t>of</w:t>
            </w:r>
            <w:r>
              <w:rPr>
                <w:spacing w:val="-2"/>
                <w:sz w:val="20"/>
              </w:rPr>
              <w:t> missing</w:t>
            </w:r>
          </w:p>
        </w:tc>
        <w:tc>
          <w:tcPr>
            <w:tcW w:w="676" w:type="dxa"/>
          </w:tcPr>
          <w:p>
            <w:pPr>
              <w:pStyle w:val="TableParagraph"/>
              <w:rPr>
                <w:rFonts w:ascii="Times New Roman"/>
                <w:sz w:val="20"/>
              </w:rPr>
            </w:pPr>
          </w:p>
        </w:tc>
        <w:tc>
          <w:tcPr>
            <w:tcW w:w="759" w:type="dxa"/>
          </w:tcPr>
          <w:p>
            <w:pPr>
              <w:pStyle w:val="TableParagraph"/>
              <w:rPr>
                <w:rFonts w:ascii="Times New Roman"/>
                <w:sz w:val="20"/>
              </w:rPr>
            </w:pPr>
          </w:p>
        </w:tc>
        <w:tc>
          <w:tcPr>
            <w:tcW w:w="548" w:type="dxa"/>
          </w:tcPr>
          <w:p>
            <w:pPr>
              <w:pStyle w:val="TableParagraph"/>
              <w:rPr>
                <w:rFonts w:ascii="Times New Roman"/>
                <w:sz w:val="20"/>
              </w:rPr>
            </w:pPr>
          </w:p>
        </w:tc>
        <w:tc>
          <w:tcPr>
            <w:tcW w:w="733" w:type="dxa"/>
          </w:tcPr>
          <w:p>
            <w:pPr>
              <w:pStyle w:val="TableParagraph"/>
              <w:rPr>
                <w:rFonts w:ascii="Times New Roman"/>
                <w:sz w:val="20"/>
              </w:rPr>
            </w:pPr>
          </w:p>
        </w:tc>
        <w:tc>
          <w:tcPr>
            <w:tcW w:w="743" w:type="dxa"/>
          </w:tcPr>
          <w:p>
            <w:pPr>
              <w:pStyle w:val="TableParagraph"/>
              <w:rPr>
                <w:rFonts w:ascii="Times New Roman"/>
                <w:sz w:val="20"/>
              </w:rPr>
            </w:pPr>
          </w:p>
        </w:tc>
        <w:tc>
          <w:tcPr>
            <w:tcW w:w="877" w:type="dxa"/>
          </w:tcPr>
          <w:p>
            <w:pPr>
              <w:pStyle w:val="TableParagraph"/>
              <w:rPr>
                <w:rFonts w:ascii="Times New Roman"/>
                <w:sz w:val="20"/>
              </w:rPr>
            </w:pPr>
          </w:p>
        </w:tc>
        <w:tc>
          <w:tcPr>
            <w:tcW w:w="685" w:type="dxa"/>
          </w:tcPr>
          <w:p>
            <w:pPr>
              <w:pStyle w:val="TableParagraph"/>
              <w:rPr>
                <w:rFonts w:ascii="Times New Roman"/>
                <w:sz w:val="20"/>
              </w:rPr>
            </w:pPr>
          </w:p>
        </w:tc>
        <w:tc>
          <w:tcPr>
            <w:tcW w:w="800" w:type="dxa"/>
          </w:tcPr>
          <w:p>
            <w:pPr>
              <w:pStyle w:val="TableParagraph"/>
              <w:rPr>
                <w:rFonts w:ascii="Times New Roman"/>
                <w:sz w:val="20"/>
              </w:rPr>
            </w:pPr>
          </w:p>
        </w:tc>
        <w:tc>
          <w:tcPr>
            <w:tcW w:w="627" w:type="dxa"/>
          </w:tcPr>
          <w:p>
            <w:pPr>
              <w:pStyle w:val="TableParagraph"/>
              <w:rPr>
                <w:rFonts w:ascii="Times New Roman"/>
                <w:sz w:val="20"/>
              </w:rPr>
            </w:pPr>
          </w:p>
        </w:tc>
        <w:tc>
          <w:tcPr>
            <w:tcW w:w="771" w:type="dxa"/>
          </w:tcPr>
          <w:p>
            <w:pPr>
              <w:pStyle w:val="TableParagraph"/>
              <w:rPr>
                <w:rFonts w:ascii="Times New Roman"/>
                <w:sz w:val="20"/>
              </w:rPr>
            </w:pPr>
          </w:p>
        </w:tc>
        <w:tc>
          <w:tcPr>
            <w:tcW w:w="692" w:type="dxa"/>
          </w:tcPr>
          <w:p>
            <w:pPr>
              <w:pStyle w:val="TableParagraph"/>
              <w:rPr>
                <w:rFonts w:ascii="Times New Roman"/>
                <w:sz w:val="20"/>
              </w:rPr>
            </w:pPr>
          </w:p>
        </w:tc>
        <w:tc>
          <w:tcPr>
            <w:tcW w:w="739" w:type="dxa"/>
            <w:tcBorders>
              <w:right w:val="single" w:sz="4" w:space="0" w:color="000000"/>
            </w:tcBorders>
          </w:tcPr>
          <w:p>
            <w:pPr>
              <w:pStyle w:val="TableParagraph"/>
              <w:rPr>
                <w:rFonts w:ascii="Times New Roman"/>
                <w:sz w:val="20"/>
              </w:rPr>
            </w:pPr>
          </w:p>
        </w:tc>
      </w:tr>
      <w:tr>
        <w:trPr>
          <w:trHeight w:val="230" w:hRule="atLeast"/>
        </w:trPr>
        <w:tc>
          <w:tcPr>
            <w:tcW w:w="3877" w:type="dxa"/>
            <w:tcBorders>
              <w:left w:val="single" w:sz="4" w:space="0" w:color="000000"/>
            </w:tcBorders>
          </w:tcPr>
          <w:p>
            <w:pPr>
              <w:pStyle w:val="TableParagraph"/>
              <w:rPr>
                <w:rFonts w:ascii="Times New Roman"/>
                <w:sz w:val="16"/>
              </w:rPr>
            </w:pPr>
          </w:p>
        </w:tc>
        <w:tc>
          <w:tcPr>
            <w:tcW w:w="2249" w:type="dxa"/>
          </w:tcPr>
          <w:p>
            <w:pPr>
              <w:pStyle w:val="TableParagraph"/>
              <w:spacing w:line="210" w:lineRule="exact"/>
              <w:ind w:left="198"/>
              <w:rPr>
                <w:sz w:val="20"/>
              </w:rPr>
            </w:pPr>
            <w:r>
              <w:rPr>
                <w:spacing w:val="-2"/>
                <w:sz w:val="20"/>
              </w:rPr>
              <w:t>observations</w:t>
            </w:r>
          </w:p>
        </w:tc>
        <w:tc>
          <w:tcPr>
            <w:tcW w:w="676" w:type="dxa"/>
          </w:tcPr>
          <w:p>
            <w:pPr>
              <w:pStyle w:val="TableParagraph"/>
              <w:spacing w:line="210" w:lineRule="exact"/>
              <w:ind w:left="48" w:right="7"/>
              <w:jc w:val="center"/>
              <w:rPr>
                <w:sz w:val="20"/>
              </w:rPr>
            </w:pPr>
            <w:r>
              <w:rPr>
                <w:spacing w:val="-10"/>
                <w:sz w:val="20"/>
              </w:rPr>
              <w:t>-</w:t>
            </w:r>
          </w:p>
        </w:tc>
        <w:tc>
          <w:tcPr>
            <w:tcW w:w="759" w:type="dxa"/>
          </w:tcPr>
          <w:p>
            <w:pPr>
              <w:pStyle w:val="TableParagraph"/>
              <w:spacing w:line="210" w:lineRule="exact"/>
              <w:ind w:left="53" w:right="7"/>
              <w:jc w:val="center"/>
              <w:rPr>
                <w:sz w:val="20"/>
              </w:rPr>
            </w:pPr>
            <w:r>
              <w:rPr>
                <w:spacing w:val="-10"/>
                <w:sz w:val="20"/>
              </w:rPr>
              <w:t>-</w:t>
            </w:r>
          </w:p>
        </w:tc>
        <w:tc>
          <w:tcPr>
            <w:tcW w:w="548" w:type="dxa"/>
          </w:tcPr>
          <w:p>
            <w:pPr>
              <w:pStyle w:val="TableParagraph"/>
              <w:spacing w:line="210" w:lineRule="exact"/>
              <w:ind w:left="5" w:right="2"/>
              <w:jc w:val="center"/>
              <w:rPr>
                <w:sz w:val="20"/>
              </w:rPr>
            </w:pPr>
            <w:r>
              <w:rPr>
                <w:spacing w:val="-10"/>
                <w:sz w:val="20"/>
              </w:rPr>
              <w:t>1</w:t>
            </w:r>
          </w:p>
        </w:tc>
        <w:tc>
          <w:tcPr>
            <w:tcW w:w="733" w:type="dxa"/>
          </w:tcPr>
          <w:p>
            <w:pPr>
              <w:pStyle w:val="TableParagraph"/>
              <w:spacing w:line="210" w:lineRule="exact"/>
              <w:ind w:left="53" w:right="60"/>
              <w:jc w:val="center"/>
              <w:rPr>
                <w:sz w:val="20"/>
              </w:rPr>
            </w:pPr>
            <w:r>
              <w:rPr>
                <w:spacing w:val="-4"/>
                <w:sz w:val="20"/>
              </w:rPr>
              <w:t>50.0</w:t>
            </w:r>
          </w:p>
        </w:tc>
        <w:tc>
          <w:tcPr>
            <w:tcW w:w="743" w:type="dxa"/>
          </w:tcPr>
          <w:p>
            <w:pPr>
              <w:pStyle w:val="TableParagraph"/>
              <w:spacing w:line="210" w:lineRule="exact"/>
              <w:ind w:left="36" w:right="86"/>
              <w:jc w:val="center"/>
              <w:rPr>
                <w:sz w:val="20"/>
              </w:rPr>
            </w:pPr>
            <w:r>
              <w:rPr>
                <w:spacing w:val="-10"/>
                <w:sz w:val="20"/>
              </w:rPr>
              <w:t>-</w:t>
            </w:r>
          </w:p>
        </w:tc>
        <w:tc>
          <w:tcPr>
            <w:tcW w:w="877" w:type="dxa"/>
          </w:tcPr>
          <w:p>
            <w:pPr>
              <w:pStyle w:val="TableParagraph"/>
              <w:spacing w:line="210" w:lineRule="exact"/>
              <w:ind w:right="28"/>
              <w:jc w:val="center"/>
              <w:rPr>
                <w:sz w:val="20"/>
              </w:rPr>
            </w:pPr>
            <w:r>
              <w:rPr>
                <w:spacing w:val="-10"/>
                <w:sz w:val="20"/>
              </w:rPr>
              <w:t>-</w:t>
            </w:r>
          </w:p>
        </w:tc>
        <w:tc>
          <w:tcPr>
            <w:tcW w:w="685" w:type="dxa"/>
          </w:tcPr>
          <w:p>
            <w:pPr>
              <w:pStyle w:val="TableParagraph"/>
              <w:spacing w:line="210" w:lineRule="exact"/>
              <w:ind w:left="77" w:right="32"/>
              <w:jc w:val="center"/>
              <w:rPr>
                <w:sz w:val="20"/>
              </w:rPr>
            </w:pPr>
            <w:r>
              <w:rPr>
                <w:spacing w:val="-10"/>
                <w:sz w:val="20"/>
              </w:rPr>
              <w:t>1</w:t>
            </w:r>
          </w:p>
        </w:tc>
        <w:tc>
          <w:tcPr>
            <w:tcW w:w="800" w:type="dxa"/>
          </w:tcPr>
          <w:p>
            <w:pPr>
              <w:pStyle w:val="TableParagraph"/>
              <w:spacing w:line="210" w:lineRule="exact"/>
              <w:ind w:left="18" w:right="18"/>
              <w:jc w:val="center"/>
              <w:rPr>
                <w:sz w:val="20"/>
              </w:rPr>
            </w:pPr>
            <w:r>
              <w:rPr>
                <w:spacing w:val="-4"/>
                <w:sz w:val="20"/>
              </w:rPr>
              <w:t>50.0</w:t>
            </w:r>
          </w:p>
        </w:tc>
        <w:tc>
          <w:tcPr>
            <w:tcW w:w="627" w:type="dxa"/>
          </w:tcPr>
          <w:p>
            <w:pPr>
              <w:pStyle w:val="TableParagraph"/>
              <w:spacing w:line="210" w:lineRule="exact"/>
              <w:ind w:left="23" w:right="26"/>
              <w:jc w:val="center"/>
              <w:rPr>
                <w:sz w:val="20"/>
              </w:rPr>
            </w:pPr>
            <w:r>
              <w:rPr>
                <w:spacing w:val="-10"/>
                <w:sz w:val="20"/>
              </w:rPr>
              <w:t>1</w:t>
            </w:r>
          </w:p>
        </w:tc>
        <w:tc>
          <w:tcPr>
            <w:tcW w:w="771" w:type="dxa"/>
          </w:tcPr>
          <w:p>
            <w:pPr>
              <w:pStyle w:val="TableParagraph"/>
              <w:spacing w:line="210" w:lineRule="exact"/>
              <w:ind w:left="45" w:right="28"/>
              <w:jc w:val="center"/>
              <w:rPr>
                <w:sz w:val="20"/>
              </w:rPr>
            </w:pPr>
            <w:r>
              <w:rPr>
                <w:spacing w:val="-4"/>
                <w:sz w:val="20"/>
              </w:rPr>
              <w:t>50.0</w:t>
            </w:r>
          </w:p>
        </w:tc>
        <w:tc>
          <w:tcPr>
            <w:tcW w:w="692" w:type="dxa"/>
          </w:tcPr>
          <w:p>
            <w:pPr>
              <w:pStyle w:val="TableParagraph"/>
              <w:spacing w:line="210" w:lineRule="exact"/>
              <w:ind w:left="23" w:right="26"/>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33"/>
              <w:jc w:val="center"/>
              <w:rPr>
                <w:sz w:val="20"/>
              </w:rPr>
            </w:pPr>
            <w:r>
              <w:rPr>
                <w:spacing w:val="-5"/>
                <w:sz w:val="20"/>
              </w:rPr>
              <w:t>0.4</w:t>
            </w:r>
          </w:p>
        </w:tc>
      </w:tr>
      <w:tr>
        <w:trPr>
          <w:trHeight w:val="230" w:hRule="atLeast"/>
        </w:trPr>
        <w:tc>
          <w:tcPr>
            <w:tcW w:w="3877" w:type="dxa"/>
            <w:tcBorders>
              <w:left w:val="single" w:sz="4" w:space="0" w:color="000000"/>
            </w:tcBorders>
          </w:tcPr>
          <w:p>
            <w:pPr>
              <w:pStyle w:val="TableParagraph"/>
              <w:rPr>
                <w:rFonts w:ascii="Times New Roman"/>
                <w:sz w:val="16"/>
              </w:rPr>
            </w:pPr>
          </w:p>
        </w:tc>
        <w:tc>
          <w:tcPr>
            <w:tcW w:w="2249" w:type="dxa"/>
          </w:tcPr>
          <w:p>
            <w:pPr>
              <w:pStyle w:val="TableParagraph"/>
              <w:spacing w:line="210" w:lineRule="exact"/>
              <w:ind w:left="198"/>
              <w:rPr>
                <w:sz w:val="20"/>
              </w:rPr>
            </w:pPr>
            <w:r>
              <w:rPr>
                <w:spacing w:val="-2"/>
                <w:sz w:val="20"/>
              </w:rPr>
              <w:t>Students</w:t>
            </w:r>
          </w:p>
        </w:tc>
        <w:tc>
          <w:tcPr>
            <w:tcW w:w="676" w:type="dxa"/>
          </w:tcPr>
          <w:p>
            <w:pPr>
              <w:pStyle w:val="TableParagraph"/>
              <w:spacing w:line="210" w:lineRule="exact"/>
              <w:ind w:left="48" w:right="5"/>
              <w:jc w:val="center"/>
              <w:rPr>
                <w:sz w:val="20"/>
              </w:rPr>
            </w:pPr>
            <w:r>
              <w:rPr>
                <w:spacing w:val="-5"/>
                <w:sz w:val="20"/>
              </w:rPr>
              <w:t>12</w:t>
            </w:r>
          </w:p>
        </w:tc>
        <w:tc>
          <w:tcPr>
            <w:tcW w:w="759" w:type="dxa"/>
          </w:tcPr>
          <w:p>
            <w:pPr>
              <w:pStyle w:val="TableParagraph"/>
              <w:spacing w:line="210" w:lineRule="exact"/>
              <w:ind w:left="53" w:right="5"/>
              <w:jc w:val="center"/>
              <w:rPr>
                <w:sz w:val="20"/>
              </w:rPr>
            </w:pPr>
            <w:r>
              <w:rPr>
                <w:spacing w:val="-5"/>
                <w:sz w:val="20"/>
              </w:rPr>
              <w:t>5.1</w:t>
            </w:r>
          </w:p>
        </w:tc>
        <w:tc>
          <w:tcPr>
            <w:tcW w:w="548" w:type="dxa"/>
          </w:tcPr>
          <w:p>
            <w:pPr>
              <w:pStyle w:val="TableParagraph"/>
              <w:spacing w:line="210" w:lineRule="exact"/>
              <w:ind w:left="5" w:right="5"/>
              <w:jc w:val="center"/>
              <w:rPr>
                <w:sz w:val="20"/>
              </w:rPr>
            </w:pPr>
            <w:r>
              <w:rPr>
                <w:spacing w:val="-5"/>
                <w:sz w:val="20"/>
              </w:rPr>
              <w:t>30</w:t>
            </w:r>
          </w:p>
        </w:tc>
        <w:tc>
          <w:tcPr>
            <w:tcW w:w="733" w:type="dxa"/>
          </w:tcPr>
          <w:p>
            <w:pPr>
              <w:pStyle w:val="TableParagraph"/>
              <w:spacing w:line="210" w:lineRule="exact"/>
              <w:ind w:left="53" w:right="60"/>
              <w:jc w:val="center"/>
              <w:rPr>
                <w:sz w:val="20"/>
              </w:rPr>
            </w:pPr>
            <w:r>
              <w:rPr>
                <w:spacing w:val="-4"/>
                <w:sz w:val="20"/>
              </w:rPr>
              <w:t>12.8</w:t>
            </w:r>
          </w:p>
        </w:tc>
        <w:tc>
          <w:tcPr>
            <w:tcW w:w="743" w:type="dxa"/>
          </w:tcPr>
          <w:p>
            <w:pPr>
              <w:pStyle w:val="TableParagraph"/>
              <w:spacing w:line="210" w:lineRule="exact"/>
              <w:ind w:left="36" w:right="89"/>
              <w:jc w:val="center"/>
              <w:rPr>
                <w:sz w:val="20"/>
              </w:rPr>
            </w:pPr>
            <w:r>
              <w:rPr>
                <w:spacing w:val="-5"/>
                <w:sz w:val="20"/>
              </w:rPr>
              <w:t>145</w:t>
            </w:r>
          </w:p>
        </w:tc>
        <w:tc>
          <w:tcPr>
            <w:tcW w:w="877" w:type="dxa"/>
          </w:tcPr>
          <w:p>
            <w:pPr>
              <w:pStyle w:val="TableParagraph"/>
              <w:spacing w:line="210" w:lineRule="exact"/>
              <w:ind w:left="6" w:right="28"/>
              <w:jc w:val="center"/>
              <w:rPr>
                <w:sz w:val="20"/>
              </w:rPr>
            </w:pPr>
            <w:r>
              <w:rPr>
                <w:spacing w:val="-4"/>
                <w:sz w:val="20"/>
              </w:rPr>
              <w:t>61.7</w:t>
            </w:r>
          </w:p>
        </w:tc>
        <w:tc>
          <w:tcPr>
            <w:tcW w:w="685" w:type="dxa"/>
          </w:tcPr>
          <w:p>
            <w:pPr>
              <w:pStyle w:val="TableParagraph"/>
              <w:spacing w:line="210" w:lineRule="exact"/>
              <w:ind w:left="73" w:right="32"/>
              <w:jc w:val="center"/>
              <w:rPr>
                <w:sz w:val="20"/>
              </w:rPr>
            </w:pPr>
            <w:r>
              <w:rPr>
                <w:spacing w:val="-5"/>
                <w:sz w:val="20"/>
              </w:rPr>
              <w:t>36</w:t>
            </w:r>
          </w:p>
        </w:tc>
        <w:tc>
          <w:tcPr>
            <w:tcW w:w="800" w:type="dxa"/>
          </w:tcPr>
          <w:p>
            <w:pPr>
              <w:pStyle w:val="TableParagraph"/>
              <w:spacing w:line="210" w:lineRule="exact"/>
              <w:ind w:left="18" w:right="18"/>
              <w:jc w:val="center"/>
              <w:rPr>
                <w:sz w:val="20"/>
              </w:rPr>
            </w:pPr>
            <w:r>
              <w:rPr>
                <w:spacing w:val="-4"/>
                <w:sz w:val="20"/>
              </w:rPr>
              <w:t>15.3</w:t>
            </w:r>
          </w:p>
        </w:tc>
        <w:tc>
          <w:tcPr>
            <w:tcW w:w="627" w:type="dxa"/>
          </w:tcPr>
          <w:p>
            <w:pPr>
              <w:pStyle w:val="TableParagraph"/>
              <w:spacing w:line="210" w:lineRule="exact"/>
              <w:ind w:left="23" w:right="31"/>
              <w:jc w:val="center"/>
              <w:rPr>
                <w:sz w:val="20"/>
              </w:rPr>
            </w:pPr>
            <w:r>
              <w:rPr>
                <w:spacing w:val="-5"/>
                <w:sz w:val="20"/>
              </w:rPr>
              <w:t>12</w:t>
            </w:r>
          </w:p>
        </w:tc>
        <w:tc>
          <w:tcPr>
            <w:tcW w:w="771" w:type="dxa"/>
          </w:tcPr>
          <w:p>
            <w:pPr>
              <w:pStyle w:val="TableParagraph"/>
              <w:spacing w:line="210" w:lineRule="exact"/>
              <w:ind w:left="45" w:right="33"/>
              <w:jc w:val="center"/>
              <w:rPr>
                <w:sz w:val="20"/>
              </w:rPr>
            </w:pPr>
            <w:r>
              <w:rPr>
                <w:spacing w:val="-5"/>
                <w:sz w:val="20"/>
              </w:rPr>
              <w:t>5.1</w:t>
            </w:r>
          </w:p>
        </w:tc>
        <w:tc>
          <w:tcPr>
            <w:tcW w:w="692" w:type="dxa"/>
          </w:tcPr>
          <w:p>
            <w:pPr>
              <w:pStyle w:val="TableParagraph"/>
              <w:spacing w:line="210" w:lineRule="exact"/>
              <w:ind w:left="23" w:right="36"/>
              <w:jc w:val="center"/>
              <w:rPr>
                <w:sz w:val="20"/>
              </w:rPr>
            </w:pPr>
            <w:r>
              <w:rPr>
                <w:spacing w:val="-5"/>
                <w:sz w:val="20"/>
              </w:rPr>
              <w:t>235</w:t>
            </w:r>
          </w:p>
        </w:tc>
        <w:tc>
          <w:tcPr>
            <w:tcW w:w="739" w:type="dxa"/>
            <w:tcBorders>
              <w:right w:val="single" w:sz="4" w:space="0" w:color="000000"/>
            </w:tcBorders>
          </w:tcPr>
          <w:p>
            <w:pPr>
              <w:pStyle w:val="TableParagraph"/>
              <w:spacing w:line="210" w:lineRule="exact"/>
              <w:ind w:left="36" w:right="28"/>
              <w:jc w:val="center"/>
              <w:rPr>
                <w:sz w:val="20"/>
              </w:rPr>
            </w:pPr>
            <w:r>
              <w:rPr>
                <w:spacing w:val="-4"/>
                <w:sz w:val="20"/>
              </w:rPr>
              <w:t>50.8</w:t>
            </w:r>
          </w:p>
        </w:tc>
      </w:tr>
      <w:tr>
        <w:trPr>
          <w:trHeight w:val="230" w:hRule="atLeast"/>
        </w:trPr>
        <w:tc>
          <w:tcPr>
            <w:tcW w:w="3877" w:type="dxa"/>
            <w:tcBorders>
              <w:left w:val="single" w:sz="4" w:space="0" w:color="000000"/>
            </w:tcBorders>
          </w:tcPr>
          <w:p>
            <w:pPr>
              <w:pStyle w:val="TableParagraph"/>
              <w:rPr>
                <w:rFonts w:ascii="Times New Roman"/>
                <w:sz w:val="16"/>
              </w:rPr>
            </w:pPr>
          </w:p>
        </w:tc>
        <w:tc>
          <w:tcPr>
            <w:tcW w:w="2249" w:type="dxa"/>
          </w:tcPr>
          <w:p>
            <w:pPr>
              <w:pStyle w:val="TableParagraph"/>
              <w:spacing w:line="210" w:lineRule="exact"/>
              <w:ind w:left="198"/>
              <w:rPr>
                <w:sz w:val="20"/>
              </w:rPr>
            </w:pPr>
            <w:r>
              <w:rPr>
                <w:sz w:val="20"/>
              </w:rPr>
              <w:t>Service</w:t>
            </w:r>
            <w:r>
              <w:rPr>
                <w:spacing w:val="-9"/>
                <w:sz w:val="20"/>
              </w:rPr>
              <w:t> </w:t>
            </w:r>
            <w:r>
              <w:rPr>
                <w:spacing w:val="-2"/>
                <w:sz w:val="20"/>
              </w:rPr>
              <w:t>Staff</w:t>
            </w:r>
          </w:p>
        </w:tc>
        <w:tc>
          <w:tcPr>
            <w:tcW w:w="676" w:type="dxa"/>
          </w:tcPr>
          <w:p>
            <w:pPr>
              <w:pStyle w:val="TableParagraph"/>
              <w:spacing w:line="210" w:lineRule="exact"/>
              <w:ind w:left="48"/>
              <w:jc w:val="center"/>
              <w:rPr>
                <w:sz w:val="20"/>
              </w:rPr>
            </w:pPr>
            <w:r>
              <w:rPr>
                <w:spacing w:val="-10"/>
                <w:sz w:val="20"/>
              </w:rPr>
              <w:t>9</w:t>
            </w:r>
          </w:p>
        </w:tc>
        <w:tc>
          <w:tcPr>
            <w:tcW w:w="759" w:type="dxa"/>
          </w:tcPr>
          <w:p>
            <w:pPr>
              <w:pStyle w:val="TableParagraph"/>
              <w:spacing w:line="210" w:lineRule="exact"/>
              <w:ind w:left="53" w:right="5"/>
              <w:jc w:val="center"/>
              <w:rPr>
                <w:sz w:val="20"/>
              </w:rPr>
            </w:pPr>
            <w:r>
              <w:rPr>
                <w:spacing w:val="-5"/>
                <w:sz w:val="20"/>
              </w:rPr>
              <w:t>4.4</w:t>
            </w:r>
          </w:p>
        </w:tc>
        <w:tc>
          <w:tcPr>
            <w:tcW w:w="548" w:type="dxa"/>
          </w:tcPr>
          <w:p>
            <w:pPr>
              <w:pStyle w:val="TableParagraph"/>
              <w:spacing w:line="210" w:lineRule="exact"/>
              <w:ind w:left="5" w:right="5"/>
              <w:jc w:val="center"/>
              <w:rPr>
                <w:sz w:val="20"/>
              </w:rPr>
            </w:pPr>
            <w:r>
              <w:rPr>
                <w:spacing w:val="-5"/>
                <w:sz w:val="20"/>
              </w:rPr>
              <w:t>12</w:t>
            </w:r>
          </w:p>
        </w:tc>
        <w:tc>
          <w:tcPr>
            <w:tcW w:w="733" w:type="dxa"/>
          </w:tcPr>
          <w:p>
            <w:pPr>
              <w:pStyle w:val="TableParagraph"/>
              <w:spacing w:line="210" w:lineRule="exact"/>
              <w:ind w:left="53" w:right="65"/>
              <w:jc w:val="center"/>
              <w:rPr>
                <w:sz w:val="20"/>
              </w:rPr>
            </w:pPr>
            <w:r>
              <w:rPr>
                <w:spacing w:val="-5"/>
                <w:sz w:val="20"/>
              </w:rPr>
              <w:t>5.9</w:t>
            </w:r>
          </w:p>
        </w:tc>
        <w:tc>
          <w:tcPr>
            <w:tcW w:w="743" w:type="dxa"/>
          </w:tcPr>
          <w:p>
            <w:pPr>
              <w:pStyle w:val="TableParagraph"/>
              <w:spacing w:line="210" w:lineRule="exact"/>
              <w:ind w:left="36" w:right="89"/>
              <w:jc w:val="center"/>
              <w:rPr>
                <w:sz w:val="20"/>
              </w:rPr>
            </w:pPr>
            <w:r>
              <w:rPr>
                <w:spacing w:val="-5"/>
                <w:sz w:val="20"/>
              </w:rPr>
              <w:t>142</w:t>
            </w:r>
          </w:p>
        </w:tc>
        <w:tc>
          <w:tcPr>
            <w:tcW w:w="877" w:type="dxa"/>
          </w:tcPr>
          <w:p>
            <w:pPr>
              <w:pStyle w:val="TableParagraph"/>
              <w:spacing w:line="210" w:lineRule="exact"/>
              <w:ind w:left="6" w:right="28"/>
              <w:jc w:val="center"/>
              <w:rPr>
                <w:sz w:val="20"/>
              </w:rPr>
            </w:pPr>
            <w:r>
              <w:rPr>
                <w:spacing w:val="-4"/>
                <w:sz w:val="20"/>
              </w:rPr>
              <w:t>70.0</w:t>
            </w:r>
          </w:p>
        </w:tc>
        <w:tc>
          <w:tcPr>
            <w:tcW w:w="685" w:type="dxa"/>
          </w:tcPr>
          <w:p>
            <w:pPr>
              <w:pStyle w:val="TableParagraph"/>
              <w:spacing w:line="210" w:lineRule="exact"/>
              <w:ind w:left="73" w:right="32"/>
              <w:jc w:val="center"/>
              <w:rPr>
                <w:sz w:val="20"/>
              </w:rPr>
            </w:pPr>
            <w:r>
              <w:rPr>
                <w:spacing w:val="-5"/>
                <w:sz w:val="20"/>
              </w:rPr>
              <w:t>31</w:t>
            </w:r>
          </w:p>
        </w:tc>
        <w:tc>
          <w:tcPr>
            <w:tcW w:w="800" w:type="dxa"/>
          </w:tcPr>
          <w:p>
            <w:pPr>
              <w:pStyle w:val="TableParagraph"/>
              <w:spacing w:line="210" w:lineRule="exact"/>
              <w:ind w:left="18" w:right="18"/>
              <w:jc w:val="center"/>
              <w:rPr>
                <w:sz w:val="20"/>
              </w:rPr>
            </w:pPr>
            <w:r>
              <w:rPr>
                <w:spacing w:val="-4"/>
                <w:sz w:val="20"/>
              </w:rPr>
              <w:t>15.3</w:t>
            </w:r>
          </w:p>
        </w:tc>
        <w:tc>
          <w:tcPr>
            <w:tcW w:w="627" w:type="dxa"/>
          </w:tcPr>
          <w:p>
            <w:pPr>
              <w:pStyle w:val="TableParagraph"/>
              <w:spacing w:line="210" w:lineRule="exact"/>
              <w:ind w:left="23" w:right="26"/>
              <w:jc w:val="center"/>
              <w:rPr>
                <w:sz w:val="20"/>
              </w:rPr>
            </w:pPr>
            <w:r>
              <w:rPr>
                <w:spacing w:val="-10"/>
                <w:sz w:val="20"/>
              </w:rPr>
              <w:t>9</w:t>
            </w:r>
          </w:p>
        </w:tc>
        <w:tc>
          <w:tcPr>
            <w:tcW w:w="771" w:type="dxa"/>
          </w:tcPr>
          <w:p>
            <w:pPr>
              <w:pStyle w:val="TableParagraph"/>
              <w:spacing w:line="210" w:lineRule="exact"/>
              <w:ind w:left="45" w:right="33"/>
              <w:jc w:val="center"/>
              <w:rPr>
                <w:sz w:val="20"/>
              </w:rPr>
            </w:pPr>
            <w:r>
              <w:rPr>
                <w:spacing w:val="-5"/>
                <w:sz w:val="20"/>
              </w:rPr>
              <w:t>4.4</w:t>
            </w:r>
          </w:p>
        </w:tc>
        <w:tc>
          <w:tcPr>
            <w:tcW w:w="692" w:type="dxa"/>
          </w:tcPr>
          <w:p>
            <w:pPr>
              <w:pStyle w:val="TableParagraph"/>
              <w:spacing w:line="210" w:lineRule="exact"/>
              <w:ind w:left="23" w:right="36"/>
              <w:jc w:val="center"/>
              <w:rPr>
                <w:sz w:val="20"/>
              </w:rPr>
            </w:pPr>
            <w:r>
              <w:rPr>
                <w:spacing w:val="-5"/>
                <w:sz w:val="20"/>
              </w:rPr>
              <w:t>203</w:t>
            </w:r>
          </w:p>
        </w:tc>
        <w:tc>
          <w:tcPr>
            <w:tcW w:w="739" w:type="dxa"/>
            <w:tcBorders>
              <w:right w:val="single" w:sz="4" w:space="0" w:color="000000"/>
            </w:tcBorders>
          </w:tcPr>
          <w:p>
            <w:pPr>
              <w:pStyle w:val="TableParagraph"/>
              <w:spacing w:line="210" w:lineRule="exact"/>
              <w:ind w:left="36" w:right="28"/>
              <w:jc w:val="center"/>
              <w:rPr>
                <w:sz w:val="20"/>
              </w:rPr>
            </w:pPr>
            <w:r>
              <w:rPr>
                <w:spacing w:val="-4"/>
                <w:sz w:val="20"/>
              </w:rPr>
              <w:t>43.8</w:t>
            </w:r>
          </w:p>
        </w:tc>
      </w:tr>
      <w:tr>
        <w:trPr>
          <w:trHeight w:val="232" w:hRule="atLeast"/>
        </w:trPr>
        <w:tc>
          <w:tcPr>
            <w:tcW w:w="3877" w:type="dxa"/>
            <w:tcBorders>
              <w:left w:val="single" w:sz="4" w:space="0" w:color="000000"/>
              <w:bottom w:val="single" w:sz="4" w:space="0" w:color="000000"/>
            </w:tcBorders>
          </w:tcPr>
          <w:p>
            <w:pPr>
              <w:pStyle w:val="TableParagraph"/>
              <w:rPr>
                <w:rFonts w:ascii="Times New Roman"/>
                <w:sz w:val="16"/>
              </w:rPr>
            </w:pPr>
          </w:p>
        </w:tc>
        <w:tc>
          <w:tcPr>
            <w:tcW w:w="2249" w:type="dxa"/>
            <w:tcBorders>
              <w:bottom w:val="single" w:sz="4" w:space="0" w:color="000000"/>
            </w:tcBorders>
          </w:tcPr>
          <w:p>
            <w:pPr>
              <w:pStyle w:val="TableParagraph"/>
              <w:spacing w:line="213" w:lineRule="exact"/>
              <w:ind w:left="198"/>
              <w:rPr>
                <w:sz w:val="20"/>
              </w:rPr>
            </w:pPr>
            <w:r>
              <w:rPr>
                <w:sz w:val="20"/>
              </w:rPr>
              <w:t>Top</w:t>
            </w:r>
            <w:r>
              <w:rPr>
                <w:spacing w:val="-1"/>
                <w:sz w:val="20"/>
              </w:rPr>
              <w:t> </w:t>
            </w:r>
            <w:r>
              <w:rPr>
                <w:spacing w:val="-2"/>
                <w:sz w:val="20"/>
              </w:rPr>
              <w:t>Management</w:t>
            </w:r>
          </w:p>
        </w:tc>
        <w:tc>
          <w:tcPr>
            <w:tcW w:w="676" w:type="dxa"/>
            <w:tcBorders>
              <w:bottom w:val="single" w:sz="4" w:space="0" w:color="000000"/>
            </w:tcBorders>
          </w:tcPr>
          <w:p>
            <w:pPr>
              <w:pStyle w:val="TableParagraph"/>
              <w:spacing w:line="213" w:lineRule="exact"/>
              <w:ind w:left="48" w:right="7"/>
              <w:jc w:val="center"/>
              <w:rPr>
                <w:sz w:val="20"/>
              </w:rPr>
            </w:pPr>
            <w:r>
              <w:rPr>
                <w:spacing w:val="-10"/>
                <w:sz w:val="20"/>
              </w:rPr>
              <w:t>-</w:t>
            </w:r>
          </w:p>
        </w:tc>
        <w:tc>
          <w:tcPr>
            <w:tcW w:w="759" w:type="dxa"/>
            <w:tcBorders>
              <w:bottom w:val="single" w:sz="4" w:space="0" w:color="000000"/>
            </w:tcBorders>
          </w:tcPr>
          <w:p>
            <w:pPr>
              <w:pStyle w:val="TableParagraph"/>
              <w:spacing w:line="213" w:lineRule="exact"/>
              <w:ind w:left="53" w:right="7"/>
              <w:jc w:val="center"/>
              <w:rPr>
                <w:sz w:val="20"/>
              </w:rPr>
            </w:pPr>
            <w:r>
              <w:rPr>
                <w:spacing w:val="-10"/>
                <w:sz w:val="20"/>
              </w:rPr>
              <w:t>-</w:t>
            </w:r>
          </w:p>
        </w:tc>
        <w:tc>
          <w:tcPr>
            <w:tcW w:w="548" w:type="dxa"/>
            <w:tcBorders>
              <w:bottom w:val="single" w:sz="4" w:space="0" w:color="000000"/>
            </w:tcBorders>
          </w:tcPr>
          <w:p>
            <w:pPr>
              <w:pStyle w:val="TableParagraph"/>
              <w:spacing w:line="213" w:lineRule="exact"/>
              <w:ind w:left="5" w:right="2"/>
              <w:jc w:val="center"/>
              <w:rPr>
                <w:sz w:val="20"/>
              </w:rPr>
            </w:pPr>
            <w:r>
              <w:rPr>
                <w:spacing w:val="-10"/>
                <w:sz w:val="20"/>
              </w:rPr>
              <w:t>1</w:t>
            </w:r>
          </w:p>
        </w:tc>
        <w:tc>
          <w:tcPr>
            <w:tcW w:w="733" w:type="dxa"/>
            <w:tcBorders>
              <w:bottom w:val="single" w:sz="4" w:space="0" w:color="000000"/>
            </w:tcBorders>
          </w:tcPr>
          <w:p>
            <w:pPr>
              <w:pStyle w:val="TableParagraph"/>
              <w:spacing w:line="213" w:lineRule="exact"/>
              <w:ind w:left="53" w:right="65"/>
              <w:jc w:val="center"/>
              <w:rPr>
                <w:sz w:val="20"/>
              </w:rPr>
            </w:pPr>
            <w:r>
              <w:rPr>
                <w:spacing w:val="-5"/>
                <w:sz w:val="20"/>
              </w:rPr>
              <w:t>4.3</w:t>
            </w:r>
          </w:p>
        </w:tc>
        <w:tc>
          <w:tcPr>
            <w:tcW w:w="743" w:type="dxa"/>
            <w:tcBorders>
              <w:bottom w:val="single" w:sz="4" w:space="0" w:color="000000"/>
            </w:tcBorders>
          </w:tcPr>
          <w:p>
            <w:pPr>
              <w:pStyle w:val="TableParagraph"/>
              <w:spacing w:line="213" w:lineRule="exact"/>
              <w:ind w:left="36" w:right="84"/>
              <w:jc w:val="center"/>
              <w:rPr>
                <w:sz w:val="20"/>
              </w:rPr>
            </w:pPr>
            <w:r>
              <w:rPr>
                <w:spacing w:val="-5"/>
                <w:sz w:val="20"/>
              </w:rPr>
              <w:t>14</w:t>
            </w:r>
          </w:p>
        </w:tc>
        <w:tc>
          <w:tcPr>
            <w:tcW w:w="877" w:type="dxa"/>
            <w:tcBorders>
              <w:bottom w:val="single" w:sz="4" w:space="0" w:color="000000"/>
            </w:tcBorders>
          </w:tcPr>
          <w:p>
            <w:pPr>
              <w:pStyle w:val="TableParagraph"/>
              <w:spacing w:line="213" w:lineRule="exact"/>
              <w:ind w:left="6" w:right="28"/>
              <w:jc w:val="center"/>
              <w:rPr>
                <w:sz w:val="20"/>
              </w:rPr>
            </w:pPr>
            <w:r>
              <w:rPr>
                <w:spacing w:val="-4"/>
                <w:sz w:val="20"/>
              </w:rPr>
              <w:t>60.9</w:t>
            </w:r>
          </w:p>
        </w:tc>
        <w:tc>
          <w:tcPr>
            <w:tcW w:w="685" w:type="dxa"/>
            <w:tcBorders>
              <w:bottom w:val="single" w:sz="4" w:space="0" w:color="000000"/>
            </w:tcBorders>
          </w:tcPr>
          <w:p>
            <w:pPr>
              <w:pStyle w:val="TableParagraph"/>
              <w:spacing w:line="213" w:lineRule="exact"/>
              <w:ind w:left="77" w:right="32"/>
              <w:jc w:val="center"/>
              <w:rPr>
                <w:sz w:val="20"/>
              </w:rPr>
            </w:pPr>
            <w:r>
              <w:rPr>
                <w:spacing w:val="-10"/>
                <w:sz w:val="20"/>
              </w:rPr>
              <w:t>6</w:t>
            </w:r>
          </w:p>
        </w:tc>
        <w:tc>
          <w:tcPr>
            <w:tcW w:w="800" w:type="dxa"/>
            <w:tcBorders>
              <w:bottom w:val="single" w:sz="4" w:space="0" w:color="000000"/>
            </w:tcBorders>
          </w:tcPr>
          <w:p>
            <w:pPr>
              <w:pStyle w:val="TableParagraph"/>
              <w:spacing w:line="213" w:lineRule="exact"/>
              <w:ind w:left="18" w:right="18"/>
              <w:jc w:val="center"/>
              <w:rPr>
                <w:sz w:val="20"/>
              </w:rPr>
            </w:pPr>
            <w:r>
              <w:rPr>
                <w:spacing w:val="-4"/>
                <w:sz w:val="20"/>
              </w:rPr>
              <w:t>26.1</w:t>
            </w:r>
          </w:p>
        </w:tc>
        <w:tc>
          <w:tcPr>
            <w:tcW w:w="627" w:type="dxa"/>
            <w:tcBorders>
              <w:bottom w:val="single" w:sz="4" w:space="0" w:color="000000"/>
            </w:tcBorders>
          </w:tcPr>
          <w:p>
            <w:pPr>
              <w:pStyle w:val="TableParagraph"/>
              <w:spacing w:line="213" w:lineRule="exact"/>
              <w:ind w:left="23" w:right="26"/>
              <w:jc w:val="center"/>
              <w:rPr>
                <w:sz w:val="20"/>
              </w:rPr>
            </w:pPr>
            <w:r>
              <w:rPr>
                <w:spacing w:val="-10"/>
                <w:sz w:val="20"/>
              </w:rPr>
              <w:t>2</w:t>
            </w:r>
          </w:p>
        </w:tc>
        <w:tc>
          <w:tcPr>
            <w:tcW w:w="771" w:type="dxa"/>
            <w:tcBorders>
              <w:bottom w:val="single" w:sz="4" w:space="0" w:color="000000"/>
            </w:tcBorders>
          </w:tcPr>
          <w:p>
            <w:pPr>
              <w:pStyle w:val="TableParagraph"/>
              <w:spacing w:line="213" w:lineRule="exact"/>
              <w:ind w:left="45" w:right="33"/>
              <w:jc w:val="center"/>
              <w:rPr>
                <w:sz w:val="20"/>
              </w:rPr>
            </w:pPr>
            <w:r>
              <w:rPr>
                <w:spacing w:val="-5"/>
                <w:sz w:val="20"/>
              </w:rPr>
              <w:t>8.7</w:t>
            </w:r>
          </w:p>
        </w:tc>
        <w:tc>
          <w:tcPr>
            <w:tcW w:w="692" w:type="dxa"/>
            <w:tcBorders>
              <w:bottom w:val="single" w:sz="4" w:space="0" w:color="000000"/>
            </w:tcBorders>
          </w:tcPr>
          <w:p>
            <w:pPr>
              <w:pStyle w:val="TableParagraph"/>
              <w:spacing w:line="213" w:lineRule="exact"/>
              <w:ind w:left="23" w:right="31"/>
              <w:jc w:val="center"/>
              <w:rPr>
                <w:sz w:val="20"/>
              </w:rPr>
            </w:pPr>
            <w:r>
              <w:rPr>
                <w:spacing w:val="-5"/>
                <w:sz w:val="20"/>
              </w:rPr>
              <w:t>23</w:t>
            </w:r>
          </w:p>
        </w:tc>
        <w:tc>
          <w:tcPr>
            <w:tcW w:w="739" w:type="dxa"/>
            <w:tcBorders>
              <w:bottom w:val="single" w:sz="4" w:space="0" w:color="000000"/>
              <w:right w:val="single" w:sz="4" w:space="0" w:color="000000"/>
            </w:tcBorders>
          </w:tcPr>
          <w:p>
            <w:pPr>
              <w:pStyle w:val="TableParagraph"/>
              <w:spacing w:line="213" w:lineRule="exact"/>
              <w:ind w:left="36" w:right="33"/>
              <w:jc w:val="center"/>
              <w:rPr>
                <w:sz w:val="20"/>
              </w:rPr>
            </w:pPr>
            <w:r>
              <w:rPr>
                <w:spacing w:val="-5"/>
                <w:sz w:val="20"/>
              </w:rPr>
              <w:t>5.0</w:t>
            </w:r>
          </w:p>
        </w:tc>
      </w:tr>
    </w:tbl>
    <w:p>
      <w:pPr>
        <w:spacing w:after="0" w:line="213" w:lineRule="exact"/>
        <w:jc w:val="center"/>
        <w:rPr>
          <w:sz w:val="20"/>
        </w:rPr>
        <w:sectPr>
          <w:headerReference w:type="default" r:id="rId287"/>
          <w:footerReference w:type="default" r:id="rId288"/>
          <w:pgSz w:w="15840" w:h="12240" w:orient="landscape"/>
          <w:pgMar w:header="722" w:footer="791" w:top="1340" w:bottom="980" w:left="500" w:right="360"/>
        </w:sectPr>
      </w:pPr>
    </w:p>
    <w:p>
      <w:pPr>
        <w:pStyle w:val="BodyText"/>
        <w:spacing w:before="7"/>
        <w:rPr>
          <w:rFonts w:ascii="Arial"/>
          <w:b/>
          <w:sz w:val="7"/>
        </w:rPr>
      </w:pPr>
    </w:p>
    <w:tbl>
      <w:tblPr>
        <w:tblW w:w="0" w:type="auto"/>
        <w:jc w:val="left"/>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6"/>
        <w:gridCol w:w="120"/>
        <w:gridCol w:w="266"/>
        <w:gridCol w:w="2515"/>
        <w:gridCol w:w="2898"/>
        <w:gridCol w:w="675"/>
        <w:gridCol w:w="758"/>
        <w:gridCol w:w="547"/>
        <w:gridCol w:w="732"/>
        <w:gridCol w:w="742"/>
        <w:gridCol w:w="876"/>
        <w:gridCol w:w="684"/>
        <w:gridCol w:w="799"/>
        <w:gridCol w:w="653"/>
        <w:gridCol w:w="715"/>
        <w:gridCol w:w="720"/>
        <w:gridCol w:w="738"/>
      </w:tblGrid>
      <w:tr>
        <w:trPr>
          <w:trHeight w:val="272" w:hRule="atLeast"/>
        </w:trPr>
        <w:tc>
          <w:tcPr>
            <w:tcW w:w="712" w:type="dxa"/>
            <w:gridSpan w:val="3"/>
            <w:vMerge w:val="restart"/>
            <w:tcBorders>
              <w:top w:val="single" w:sz="4" w:space="0" w:color="000000"/>
              <w:left w:val="single" w:sz="4" w:space="0" w:color="000000"/>
              <w:bottom w:val="single" w:sz="8" w:space="0" w:color="000000"/>
            </w:tcBorders>
          </w:tcPr>
          <w:p>
            <w:pPr>
              <w:pStyle w:val="TableParagraph"/>
              <w:rPr>
                <w:rFonts w:ascii="Arial"/>
                <w:b/>
                <w:sz w:val="20"/>
              </w:rPr>
            </w:pPr>
          </w:p>
          <w:p>
            <w:pPr>
              <w:pStyle w:val="TableParagraph"/>
              <w:spacing w:before="221"/>
              <w:rPr>
                <w:rFonts w:ascii="Arial"/>
                <w:b/>
                <w:sz w:val="20"/>
              </w:rPr>
            </w:pPr>
          </w:p>
          <w:p>
            <w:pPr>
              <w:pStyle w:val="TableParagraph"/>
              <w:ind w:left="134"/>
              <w:rPr>
                <w:rFonts w:ascii="Arial"/>
                <w:b/>
                <w:sz w:val="20"/>
              </w:rPr>
            </w:pPr>
            <w:r>
              <w:rPr>
                <w:rFonts w:ascii="Arial"/>
                <w:b/>
                <w:spacing w:val="-4"/>
                <w:sz w:val="20"/>
              </w:rPr>
              <w:t>S/No</w:t>
            </w:r>
          </w:p>
        </w:tc>
        <w:tc>
          <w:tcPr>
            <w:tcW w:w="2515" w:type="dxa"/>
            <w:vMerge w:val="restart"/>
            <w:tcBorders>
              <w:top w:val="single" w:sz="4" w:space="0" w:color="000000"/>
              <w:bottom w:val="single" w:sz="4" w:space="0" w:color="000000"/>
            </w:tcBorders>
          </w:tcPr>
          <w:p>
            <w:pPr>
              <w:pStyle w:val="TableParagraph"/>
              <w:rPr>
                <w:rFonts w:ascii="Arial"/>
                <w:b/>
                <w:sz w:val="20"/>
              </w:rPr>
            </w:pPr>
          </w:p>
          <w:p>
            <w:pPr>
              <w:pStyle w:val="TableParagraph"/>
              <w:spacing w:before="221"/>
              <w:rPr>
                <w:rFonts w:ascii="Arial"/>
                <w:b/>
                <w:sz w:val="20"/>
              </w:rPr>
            </w:pPr>
          </w:p>
          <w:p>
            <w:pPr>
              <w:pStyle w:val="TableParagraph"/>
              <w:ind w:left="123"/>
              <w:rPr>
                <w:rFonts w:ascii="Arial"/>
                <w:b/>
                <w:sz w:val="20"/>
              </w:rPr>
            </w:pPr>
            <w:r>
              <w:rPr>
                <w:rFonts w:ascii="Arial"/>
                <w:b/>
                <w:sz w:val="20"/>
              </w:rPr>
              <w:t>Item</w:t>
            </w:r>
            <w:r>
              <w:rPr>
                <w:rFonts w:ascii="Arial"/>
                <w:b/>
                <w:spacing w:val="-2"/>
                <w:sz w:val="20"/>
              </w:rPr>
              <w:t> Statements</w:t>
            </w:r>
          </w:p>
        </w:tc>
        <w:tc>
          <w:tcPr>
            <w:tcW w:w="2898" w:type="dxa"/>
            <w:vMerge w:val="restart"/>
            <w:tcBorders>
              <w:top w:val="single" w:sz="4" w:space="0" w:color="000000"/>
              <w:bottom w:val="single" w:sz="4" w:space="0" w:color="000000"/>
              <w:right w:val="single" w:sz="4" w:space="0" w:color="000000"/>
            </w:tcBorders>
          </w:tcPr>
          <w:p>
            <w:pPr>
              <w:pStyle w:val="TableParagraph"/>
              <w:rPr>
                <w:rFonts w:ascii="Arial"/>
                <w:b/>
                <w:sz w:val="20"/>
              </w:rPr>
            </w:pPr>
          </w:p>
          <w:p>
            <w:pPr>
              <w:pStyle w:val="TableParagraph"/>
              <w:spacing w:before="221"/>
              <w:rPr>
                <w:rFonts w:ascii="Arial"/>
                <w:b/>
                <w:sz w:val="20"/>
              </w:rPr>
            </w:pPr>
          </w:p>
          <w:p>
            <w:pPr>
              <w:pStyle w:val="TableParagraph"/>
              <w:ind w:left="848" w:right="769"/>
              <w:rPr>
                <w:rFonts w:ascii="Arial"/>
                <w:b/>
                <w:sz w:val="20"/>
              </w:rPr>
            </w:pPr>
            <w:r>
              <w:rPr>
                <w:rFonts w:ascii="Arial"/>
                <w:b/>
                <w:sz w:val="20"/>
              </w:rPr>
              <w:t>Category of </w:t>
            </w:r>
            <w:r>
              <w:rPr>
                <w:rFonts w:ascii="Arial"/>
                <w:b/>
                <w:spacing w:val="-2"/>
                <w:sz w:val="20"/>
              </w:rPr>
              <w:t>Respondents</w:t>
            </w:r>
          </w:p>
        </w:tc>
        <w:tc>
          <w:tcPr>
            <w:tcW w:w="8639" w:type="dxa"/>
            <w:gridSpan w:val="12"/>
            <w:tcBorders>
              <w:top w:val="single" w:sz="4" w:space="0" w:color="000000"/>
              <w:left w:val="single" w:sz="4" w:space="0" w:color="000000"/>
              <w:bottom w:val="single" w:sz="4" w:space="0" w:color="000000"/>
              <w:right w:val="single" w:sz="4" w:space="0" w:color="000000"/>
            </w:tcBorders>
          </w:tcPr>
          <w:p>
            <w:pPr>
              <w:pStyle w:val="TableParagraph"/>
              <w:spacing w:line="253" w:lineRule="exact"/>
              <w:ind w:right="1372"/>
              <w:jc w:val="center"/>
              <w:rPr>
                <w:rFonts w:ascii="Arial"/>
                <w:b/>
                <w:sz w:val="24"/>
              </w:rPr>
            </w:pPr>
            <w:r>
              <w:rPr>
                <w:rFonts w:ascii="Arial"/>
                <w:b/>
                <w:spacing w:val="-2"/>
                <w:sz w:val="24"/>
              </w:rPr>
              <w:t>Responses</w:t>
            </w:r>
          </w:p>
        </w:tc>
      </w:tr>
      <w:tr>
        <w:trPr>
          <w:trHeight w:val="676" w:hRule="atLeast"/>
        </w:trPr>
        <w:tc>
          <w:tcPr>
            <w:tcW w:w="712" w:type="dxa"/>
            <w:gridSpan w:val="3"/>
            <w:vMerge/>
            <w:tcBorders>
              <w:top w:val="nil"/>
              <w:left w:val="single" w:sz="4" w:space="0" w:color="000000"/>
              <w:bottom w:val="single" w:sz="8" w:space="0" w:color="000000"/>
            </w:tcBorders>
          </w:tcPr>
          <w:p>
            <w:pPr>
              <w:rPr>
                <w:sz w:val="2"/>
                <w:szCs w:val="2"/>
              </w:rPr>
            </w:pPr>
          </w:p>
        </w:tc>
        <w:tc>
          <w:tcPr>
            <w:tcW w:w="2515" w:type="dxa"/>
            <w:vMerge/>
            <w:tcBorders>
              <w:top w:val="nil"/>
              <w:bottom w:val="single" w:sz="4" w:space="0" w:color="000000"/>
            </w:tcBorders>
          </w:tcPr>
          <w:p>
            <w:pPr>
              <w:rPr>
                <w:sz w:val="2"/>
                <w:szCs w:val="2"/>
              </w:rPr>
            </w:pPr>
          </w:p>
        </w:tc>
        <w:tc>
          <w:tcPr>
            <w:tcW w:w="2898" w:type="dxa"/>
            <w:vMerge/>
            <w:tcBorders>
              <w:top w:val="nil"/>
              <w:bottom w:val="single" w:sz="4" w:space="0" w:color="000000"/>
              <w:right w:val="single" w:sz="4" w:space="0" w:color="000000"/>
            </w:tcBorders>
          </w:tcPr>
          <w:p>
            <w:pPr>
              <w:rPr>
                <w:sz w:val="2"/>
                <w:szCs w:val="2"/>
              </w:rPr>
            </w:pPr>
          </w:p>
        </w:tc>
        <w:tc>
          <w:tcPr>
            <w:tcW w:w="8639" w:type="dxa"/>
            <w:gridSpan w:val="12"/>
            <w:tcBorders>
              <w:top w:val="single" w:sz="4" w:space="0" w:color="000000"/>
              <w:left w:val="single" w:sz="4" w:space="0" w:color="000000"/>
              <w:bottom w:val="single" w:sz="4" w:space="0" w:color="000000"/>
              <w:right w:val="single" w:sz="4" w:space="0" w:color="000000"/>
            </w:tcBorders>
          </w:tcPr>
          <w:p>
            <w:pPr>
              <w:pStyle w:val="TableParagraph"/>
              <w:tabs>
                <w:tab w:pos="1847" w:val="left" w:leader="none"/>
                <w:tab w:pos="3061" w:val="left" w:leader="none"/>
                <w:tab w:pos="4885" w:val="left" w:leader="none"/>
                <w:tab w:pos="6316" w:val="left" w:leader="none"/>
                <w:tab w:pos="7674" w:val="left" w:leader="none"/>
              </w:tabs>
              <w:spacing w:line="215" w:lineRule="exact"/>
              <w:ind w:left="431"/>
              <w:rPr>
                <w:rFonts w:ascii="Arial"/>
                <w:b/>
                <w:sz w:val="20"/>
              </w:rPr>
            </w:pPr>
            <w:r>
              <w:rPr>
                <w:rFonts w:ascii="Arial"/>
                <w:b/>
                <w:sz w:val="20"/>
              </w:rPr>
              <w:t>No.</w:t>
            </w:r>
            <w:r>
              <w:rPr>
                <w:rFonts w:ascii="Arial"/>
                <w:b/>
                <w:spacing w:val="-5"/>
                <w:sz w:val="20"/>
              </w:rPr>
              <w:t> of</w:t>
            </w:r>
            <w:r>
              <w:rPr>
                <w:rFonts w:ascii="Arial"/>
                <w:b/>
                <w:sz w:val="20"/>
              </w:rPr>
              <w:tab/>
            </w:r>
            <w:r>
              <w:rPr>
                <w:rFonts w:ascii="Arial"/>
                <w:b/>
                <w:spacing w:val="-4"/>
                <w:sz w:val="20"/>
              </w:rPr>
              <w:t>Very</w:t>
            </w:r>
            <w:r>
              <w:rPr>
                <w:rFonts w:ascii="Arial"/>
                <w:b/>
                <w:sz w:val="20"/>
              </w:rPr>
              <w:tab/>
            </w:r>
            <w:r>
              <w:rPr>
                <w:rFonts w:ascii="Arial"/>
                <w:b/>
                <w:spacing w:val="-2"/>
                <w:sz w:val="20"/>
              </w:rPr>
              <w:t>Adequate</w:t>
            </w:r>
            <w:r>
              <w:rPr>
                <w:rFonts w:ascii="Arial"/>
                <w:b/>
                <w:sz w:val="20"/>
              </w:rPr>
              <w:tab/>
            </w:r>
            <w:r>
              <w:rPr>
                <w:rFonts w:ascii="Arial"/>
                <w:b/>
                <w:spacing w:val="-5"/>
                <w:sz w:val="20"/>
              </w:rPr>
              <w:t>Not</w:t>
            </w:r>
            <w:r>
              <w:rPr>
                <w:rFonts w:ascii="Arial"/>
                <w:b/>
                <w:sz w:val="20"/>
              </w:rPr>
              <w:tab/>
            </w:r>
            <w:r>
              <w:rPr>
                <w:rFonts w:ascii="Arial"/>
                <w:b/>
                <w:spacing w:val="-5"/>
                <w:sz w:val="20"/>
              </w:rPr>
              <w:t>Not</w:t>
            </w:r>
            <w:r>
              <w:rPr>
                <w:rFonts w:ascii="Arial"/>
                <w:b/>
                <w:sz w:val="20"/>
              </w:rPr>
              <w:tab/>
            </w:r>
            <w:r>
              <w:rPr>
                <w:rFonts w:ascii="Arial"/>
                <w:b/>
                <w:spacing w:val="-2"/>
                <w:sz w:val="20"/>
              </w:rPr>
              <w:t>Total</w:t>
            </w:r>
          </w:p>
          <w:p>
            <w:pPr>
              <w:pStyle w:val="TableParagraph"/>
              <w:tabs>
                <w:tab w:pos="1607" w:val="left" w:leader="none"/>
                <w:tab w:pos="4597" w:val="left" w:leader="none"/>
                <w:tab w:pos="6057" w:val="left" w:leader="none"/>
              </w:tabs>
              <w:spacing w:line="226" w:lineRule="exact"/>
              <w:ind w:left="148" w:right="1712" w:firstLine="187"/>
              <w:rPr>
                <w:rFonts w:ascii="Arial"/>
                <w:b/>
                <w:sz w:val="20"/>
              </w:rPr>
            </w:pPr>
            <w:r>
              <w:rPr>
                <w:rFonts w:ascii="Arial"/>
                <w:b/>
                <w:spacing w:val="-2"/>
                <w:sz w:val="20"/>
              </w:rPr>
              <w:t>missing</w:t>
            </w:r>
            <w:r>
              <w:rPr>
                <w:rFonts w:ascii="Arial"/>
                <w:b/>
                <w:sz w:val="20"/>
              </w:rPr>
              <w:tab/>
            </w:r>
            <w:r>
              <w:rPr>
                <w:rFonts w:ascii="Arial"/>
                <w:b/>
                <w:spacing w:val="-2"/>
                <w:sz w:val="20"/>
              </w:rPr>
              <w:t>Adequate</w:t>
            </w:r>
            <w:r>
              <w:rPr>
                <w:rFonts w:ascii="Arial"/>
                <w:b/>
                <w:sz w:val="20"/>
              </w:rPr>
              <w:tab/>
            </w:r>
            <w:r>
              <w:rPr>
                <w:rFonts w:ascii="Arial"/>
                <w:b/>
                <w:spacing w:val="-2"/>
                <w:sz w:val="20"/>
              </w:rPr>
              <w:t>Adequate</w:t>
            </w:r>
            <w:r>
              <w:rPr>
                <w:rFonts w:ascii="Arial"/>
                <w:b/>
                <w:sz w:val="20"/>
              </w:rPr>
              <w:tab/>
            </w:r>
            <w:r>
              <w:rPr>
                <w:rFonts w:ascii="Arial"/>
                <w:b/>
                <w:spacing w:val="-2"/>
                <w:sz w:val="20"/>
              </w:rPr>
              <w:t>Provided observation</w:t>
            </w:r>
          </w:p>
        </w:tc>
      </w:tr>
      <w:tr>
        <w:trPr>
          <w:trHeight w:val="311" w:hRule="atLeast"/>
        </w:trPr>
        <w:tc>
          <w:tcPr>
            <w:tcW w:w="712" w:type="dxa"/>
            <w:gridSpan w:val="3"/>
            <w:vMerge/>
            <w:tcBorders>
              <w:top w:val="nil"/>
              <w:left w:val="single" w:sz="4" w:space="0" w:color="000000"/>
              <w:bottom w:val="single" w:sz="8" w:space="0" w:color="000000"/>
            </w:tcBorders>
          </w:tcPr>
          <w:p>
            <w:pPr>
              <w:rPr>
                <w:sz w:val="2"/>
                <w:szCs w:val="2"/>
              </w:rPr>
            </w:pPr>
          </w:p>
        </w:tc>
        <w:tc>
          <w:tcPr>
            <w:tcW w:w="2515" w:type="dxa"/>
            <w:vMerge/>
            <w:tcBorders>
              <w:top w:val="nil"/>
              <w:bottom w:val="single" w:sz="4" w:space="0" w:color="000000"/>
            </w:tcBorders>
          </w:tcPr>
          <w:p>
            <w:pPr>
              <w:rPr>
                <w:sz w:val="2"/>
                <w:szCs w:val="2"/>
              </w:rPr>
            </w:pPr>
          </w:p>
        </w:tc>
        <w:tc>
          <w:tcPr>
            <w:tcW w:w="2898" w:type="dxa"/>
            <w:vMerge/>
            <w:tcBorders>
              <w:top w:val="nil"/>
              <w:bottom w:val="single" w:sz="4" w:space="0" w:color="000000"/>
              <w:right w:val="single" w:sz="4" w:space="0" w:color="000000"/>
            </w:tcBorders>
          </w:tcPr>
          <w:p>
            <w:pPr>
              <w:rPr>
                <w:sz w:val="2"/>
                <w:szCs w:val="2"/>
              </w:rPr>
            </w:pPr>
          </w:p>
        </w:tc>
        <w:tc>
          <w:tcPr>
            <w:tcW w:w="675" w:type="dxa"/>
            <w:tcBorders>
              <w:top w:val="single" w:sz="4" w:space="0" w:color="000000"/>
              <w:left w:val="single" w:sz="4" w:space="0" w:color="000000"/>
              <w:bottom w:val="single" w:sz="4" w:space="0" w:color="000000"/>
            </w:tcBorders>
          </w:tcPr>
          <w:p>
            <w:pPr>
              <w:pStyle w:val="TableParagraph"/>
              <w:spacing w:line="215" w:lineRule="exact"/>
              <w:ind w:left="49" w:right="2"/>
              <w:jc w:val="center"/>
              <w:rPr>
                <w:rFonts w:ascii="Arial"/>
                <w:b/>
                <w:sz w:val="20"/>
              </w:rPr>
            </w:pPr>
            <w:r>
              <w:rPr>
                <w:rFonts w:ascii="Arial"/>
                <w:b/>
                <w:spacing w:val="-10"/>
                <w:sz w:val="20"/>
              </w:rPr>
              <w:t>F</w:t>
            </w:r>
          </w:p>
        </w:tc>
        <w:tc>
          <w:tcPr>
            <w:tcW w:w="758" w:type="dxa"/>
            <w:tcBorders>
              <w:top w:val="single" w:sz="4" w:space="0" w:color="000000"/>
              <w:bottom w:val="single" w:sz="4" w:space="0" w:color="000000"/>
            </w:tcBorders>
          </w:tcPr>
          <w:p>
            <w:pPr>
              <w:pStyle w:val="TableParagraph"/>
              <w:spacing w:line="215" w:lineRule="exact"/>
              <w:ind w:left="60" w:right="2"/>
              <w:jc w:val="center"/>
              <w:rPr>
                <w:rFonts w:ascii="Arial"/>
                <w:b/>
                <w:sz w:val="20"/>
              </w:rPr>
            </w:pPr>
            <w:r>
              <w:rPr>
                <w:rFonts w:ascii="Arial"/>
                <w:b/>
                <w:spacing w:val="-10"/>
                <w:sz w:val="20"/>
              </w:rPr>
              <w:t>%</w:t>
            </w:r>
          </w:p>
        </w:tc>
        <w:tc>
          <w:tcPr>
            <w:tcW w:w="547" w:type="dxa"/>
            <w:tcBorders>
              <w:top w:val="single" w:sz="4" w:space="0" w:color="000000"/>
              <w:bottom w:val="single" w:sz="4" w:space="0" w:color="000000"/>
            </w:tcBorders>
          </w:tcPr>
          <w:p>
            <w:pPr>
              <w:pStyle w:val="TableParagraph"/>
              <w:spacing w:line="215" w:lineRule="exact"/>
              <w:ind w:left="87" w:right="75"/>
              <w:jc w:val="center"/>
              <w:rPr>
                <w:rFonts w:ascii="Arial"/>
                <w:b/>
                <w:sz w:val="20"/>
              </w:rPr>
            </w:pPr>
            <w:r>
              <w:rPr>
                <w:rFonts w:ascii="Arial"/>
                <w:b/>
                <w:spacing w:val="-10"/>
                <w:sz w:val="20"/>
              </w:rPr>
              <w:t>F</w:t>
            </w:r>
          </w:p>
        </w:tc>
        <w:tc>
          <w:tcPr>
            <w:tcW w:w="732" w:type="dxa"/>
            <w:tcBorders>
              <w:top w:val="single" w:sz="4" w:space="0" w:color="000000"/>
              <w:bottom w:val="single" w:sz="4" w:space="0" w:color="000000"/>
            </w:tcBorders>
          </w:tcPr>
          <w:p>
            <w:pPr>
              <w:pStyle w:val="TableParagraph"/>
              <w:spacing w:line="215" w:lineRule="exact"/>
              <w:ind w:left="58" w:right="58"/>
              <w:jc w:val="center"/>
              <w:rPr>
                <w:rFonts w:ascii="Arial"/>
                <w:b/>
                <w:sz w:val="20"/>
              </w:rPr>
            </w:pPr>
            <w:r>
              <w:rPr>
                <w:rFonts w:ascii="Arial"/>
                <w:b/>
                <w:spacing w:val="-10"/>
                <w:sz w:val="20"/>
              </w:rPr>
              <w:t>%</w:t>
            </w:r>
          </w:p>
        </w:tc>
        <w:tc>
          <w:tcPr>
            <w:tcW w:w="742" w:type="dxa"/>
            <w:tcBorders>
              <w:top w:val="single" w:sz="4" w:space="0" w:color="000000"/>
              <w:bottom w:val="single" w:sz="4" w:space="0" w:color="000000"/>
            </w:tcBorders>
          </w:tcPr>
          <w:p>
            <w:pPr>
              <w:pStyle w:val="TableParagraph"/>
              <w:spacing w:line="215" w:lineRule="exact"/>
              <w:ind w:left="11" w:right="42"/>
              <w:jc w:val="center"/>
              <w:rPr>
                <w:rFonts w:ascii="Arial"/>
                <w:b/>
                <w:sz w:val="20"/>
              </w:rPr>
            </w:pPr>
            <w:r>
              <w:rPr>
                <w:rFonts w:ascii="Arial"/>
                <w:b/>
                <w:spacing w:val="-10"/>
                <w:sz w:val="20"/>
              </w:rPr>
              <w:t>F</w:t>
            </w:r>
          </w:p>
        </w:tc>
        <w:tc>
          <w:tcPr>
            <w:tcW w:w="876" w:type="dxa"/>
            <w:tcBorders>
              <w:top w:val="single" w:sz="4" w:space="0" w:color="000000"/>
              <w:bottom w:val="single" w:sz="4" w:space="0" w:color="000000"/>
            </w:tcBorders>
          </w:tcPr>
          <w:p>
            <w:pPr>
              <w:pStyle w:val="TableParagraph"/>
              <w:spacing w:line="215" w:lineRule="exact"/>
              <w:ind w:right="9"/>
              <w:jc w:val="center"/>
              <w:rPr>
                <w:rFonts w:ascii="Arial"/>
                <w:b/>
                <w:sz w:val="20"/>
              </w:rPr>
            </w:pPr>
            <w:r>
              <w:rPr>
                <w:rFonts w:ascii="Arial"/>
                <w:b/>
                <w:spacing w:val="-10"/>
                <w:sz w:val="20"/>
              </w:rPr>
              <w:t>%</w:t>
            </w:r>
          </w:p>
        </w:tc>
        <w:tc>
          <w:tcPr>
            <w:tcW w:w="684" w:type="dxa"/>
            <w:tcBorders>
              <w:top w:val="single" w:sz="4" w:space="0" w:color="000000"/>
              <w:bottom w:val="single" w:sz="4" w:space="0" w:color="000000"/>
            </w:tcBorders>
          </w:tcPr>
          <w:p>
            <w:pPr>
              <w:pStyle w:val="TableParagraph"/>
              <w:spacing w:line="215" w:lineRule="exact"/>
              <w:ind w:left="68" w:right="6"/>
              <w:jc w:val="center"/>
              <w:rPr>
                <w:rFonts w:ascii="Arial"/>
                <w:b/>
                <w:sz w:val="20"/>
              </w:rPr>
            </w:pPr>
            <w:r>
              <w:rPr>
                <w:rFonts w:ascii="Arial"/>
                <w:b/>
                <w:spacing w:val="-10"/>
                <w:sz w:val="20"/>
              </w:rPr>
              <w:t>F</w:t>
            </w:r>
          </w:p>
        </w:tc>
        <w:tc>
          <w:tcPr>
            <w:tcW w:w="799" w:type="dxa"/>
            <w:tcBorders>
              <w:top w:val="single" w:sz="4" w:space="0" w:color="000000"/>
              <w:bottom w:val="single" w:sz="4" w:space="0" w:color="000000"/>
            </w:tcBorders>
          </w:tcPr>
          <w:p>
            <w:pPr>
              <w:pStyle w:val="TableParagraph"/>
              <w:spacing w:line="215" w:lineRule="exact"/>
              <w:ind w:left="23" w:right="6"/>
              <w:jc w:val="center"/>
              <w:rPr>
                <w:rFonts w:ascii="Arial"/>
                <w:b/>
                <w:sz w:val="20"/>
              </w:rPr>
            </w:pPr>
            <w:r>
              <w:rPr>
                <w:rFonts w:ascii="Arial"/>
                <w:b/>
                <w:spacing w:val="-10"/>
                <w:sz w:val="20"/>
              </w:rPr>
              <w:t>%</w:t>
            </w:r>
          </w:p>
        </w:tc>
        <w:tc>
          <w:tcPr>
            <w:tcW w:w="653" w:type="dxa"/>
            <w:tcBorders>
              <w:top w:val="single" w:sz="4" w:space="0" w:color="000000"/>
              <w:bottom w:val="single" w:sz="4" w:space="0" w:color="000000"/>
            </w:tcBorders>
          </w:tcPr>
          <w:p>
            <w:pPr>
              <w:pStyle w:val="TableParagraph"/>
              <w:spacing w:line="215" w:lineRule="exact"/>
              <w:ind w:left="8" w:right="18"/>
              <w:jc w:val="center"/>
              <w:rPr>
                <w:rFonts w:ascii="Arial"/>
                <w:b/>
                <w:sz w:val="20"/>
              </w:rPr>
            </w:pPr>
            <w:r>
              <w:rPr>
                <w:rFonts w:ascii="Arial"/>
                <w:b/>
                <w:spacing w:val="-10"/>
                <w:sz w:val="20"/>
              </w:rPr>
              <w:t>F</w:t>
            </w:r>
          </w:p>
        </w:tc>
        <w:tc>
          <w:tcPr>
            <w:tcW w:w="715" w:type="dxa"/>
            <w:tcBorders>
              <w:top w:val="single" w:sz="4" w:space="0" w:color="000000"/>
              <w:bottom w:val="single" w:sz="4" w:space="0" w:color="000000"/>
            </w:tcBorders>
          </w:tcPr>
          <w:p>
            <w:pPr>
              <w:pStyle w:val="TableParagraph"/>
              <w:spacing w:line="215" w:lineRule="exact"/>
              <w:ind w:left="104" w:right="65"/>
              <w:jc w:val="center"/>
              <w:rPr>
                <w:rFonts w:ascii="Arial"/>
                <w:b/>
                <w:sz w:val="20"/>
              </w:rPr>
            </w:pPr>
            <w:r>
              <w:rPr>
                <w:rFonts w:ascii="Arial"/>
                <w:b/>
                <w:spacing w:val="-10"/>
                <w:sz w:val="20"/>
              </w:rPr>
              <w:t>%</w:t>
            </w:r>
          </w:p>
        </w:tc>
        <w:tc>
          <w:tcPr>
            <w:tcW w:w="720" w:type="dxa"/>
            <w:tcBorders>
              <w:top w:val="single" w:sz="4" w:space="0" w:color="000000"/>
              <w:bottom w:val="single" w:sz="4" w:space="0" w:color="000000"/>
            </w:tcBorders>
          </w:tcPr>
          <w:p>
            <w:pPr>
              <w:pStyle w:val="TableParagraph"/>
              <w:spacing w:line="215" w:lineRule="exact"/>
              <w:ind w:left="81" w:right="36"/>
              <w:jc w:val="center"/>
              <w:rPr>
                <w:rFonts w:ascii="Arial"/>
                <w:b/>
                <w:sz w:val="20"/>
              </w:rPr>
            </w:pPr>
            <w:r>
              <w:rPr>
                <w:rFonts w:ascii="Arial"/>
                <w:b/>
                <w:spacing w:val="-10"/>
                <w:sz w:val="20"/>
              </w:rPr>
              <w:t>F</w:t>
            </w:r>
          </w:p>
        </w:tc>
        <w:tc>
          <w:tcPr>
            <w:tcW w:w="738" w:type="dxa"/>
            <w:tcBorders>
              <w:top w:val="single" w:sz="4" w:space="0" w:color="000000"/>
              <w:bottom w:val="single" w:sz="4" w:space="0" w:color="000000"/>
              <w:right w:val="single" w:sz="4" w:space="0" w:color="000000"/>
            </w:tcBorders>
          </w:tcPr>
          <w:p>
            <w:pPr>
              <w:pStyle w:val="TableParagraph"/>
              <w:spacing w:line="215" w:lineRule="exact"/>
              <w:ind w:left="53" w:right="22"/>
              <w:jc w:val="center"/>
              <w:rPr>
                <w:rFonts w:ascii="Arial"/>
                <w:b/>
                <w:sz w:val="20"/>
              </w:rPr>
            </w:pPr>
            <w:r>
              <w:rPr>
                <w:rFonts w:ascii="Arial"/>
                <w:b/>
                <w:spacing w:val="-10"/>
                <w:sz w:val="20"/>
              </w:rPr>
              <w:t>%</w:t>
            </w:r>
          </w:p>
        </w:tc>
      </w:tr>
      <w:tr>
        <w:trPr>
          <w:trHeight w:val="234" w:hRule="atLeast"/>
        </w:trPr>
        <w:tc>
          <w:tcPr>
            <w:tcW w:w="326" w:type="dxa"/>
            <w:tcBorders>
              <w:top w:val="single" w:sz="4" w:space="0" w:color="000000"/>
              <w:left w:val="single" w:sz="4" w:space="0" w:color="000000"/>
              <w:right w:val="single" w:sz="4" w:space="0" w:color="000000"/>
            </w:tcBorders>
          </w:tcPr>
          <w:p>
            <w:pPr>
              <w:pStyle w:val="TableParagraph"/>
              <w:spacing w:line="211" w:lineRule="exact" w:before="4"/>
              <w:ind w:right="-15"/>
              <w:jc w:val="right"/>
              <w:rPr>
                <w:sz w:val="20"/>
              </w:rPr>
            </w:pPr>
            <w:r>
              <w:rPr>
                <w:spacing w:val="-10"/>
                <w:sz w:val="20"/>
              </w:rPr>
              <w:t>2</w:t>
            </w:r>
          </w:p>
        </w:tc>
        <w:tc>
          <w:tcPr>
            <w:tcW w:w="120" w:type="dxa"/>
            <w:tcBorders>
              <w:top w:val="single" w:sz="8" w:space="0" w:color="000000"/>
              <w:left w:val="single" w:sz="4" w:space="0" w:color="000000"/>
              <w:bottom w:val="single" w:sz="4" w:space="0" w:color="000000"/>
              <w:right w:val="single" w:sz="4" w:space="0" w:color="000000"/>
            </w:tcBorders>
          </w:tcPr>
          <w:p>
            <w:pPr>
              <w:pStyle w:val="TableParagraph"/>
              <w:spacing w:line="211" w:lineRule="exact" w:before="4"/>
              <w:ind w:left="5" w:right="-15"/>
              <w:rPr>
                <w:sz w:val="20"/>
              </w:rPr>
            </w:pPr>
            <w:r>
              <w:rPr>
                <w:spacing w:val="-10"/>
                <w:sz w:val="20"/>
              </w:rPr>
              <w:t>7</w:t>
            </w:r>
          </w:p>
        </w:tc>
        <w:tc>
          <w:tcPr>
            <w:tcW w:w="14318" w:type="dxa"/>
            <w:gridSpan w:val="15"/>
            <w:tcBorders>
              <w:top w:val="single" w:sz="4" w:space="0" w:color="000000"/>
              <w:left w:val="single" w:sz="4" w:space="0" w:color="000000"/>
              <w:right w:val="single" w:sz="4" w:space="0" w:color="000000"/>
            </w:tcBorders>
          </w:tcPr>
          <w:p>
            <w:pPr>
              <w:pStyle w:val="TableParagraph"/>
              <w:tabs>
                <w:tab w:pos="384" w:val="left" w:leader="none"/>
                <w:tab w:pos="3624" w:val="left" w:leader="none"/>
              </w:tabs>
              <w:spacing w:line="215" w:lineRule="exact"/>
              <w:ind w:left="5"/>
              <w:rPr>
                <w:sz w:val="20"/>
              </w:rPr>
            </w:pPr>
            <w:r>
              <w:rPr>
                <w:spacing w:val="-10"/>
                <w:sz w:val="20"/>
              </w:rPr>
              <w:t>.</w:t>
            </w:r>
            <w:r>
              <w:rPr>
                <w:sz w:val="20"/>
              </w:rPr>
              <w:tab/>
            </w:r>
            <w:r>
              <w:rPr>
                <w:position w:val="1"/>
                <w:sz w:val="20"/>
              </w:rPr>
              <w:t>Curative</w:t>
            </w:r>
            <w:r>
              <w:rPr>
                <w:spacing w:val="-4"/>
                <w:position w:val="1"/>
                <w:sz w:val="20"/>
              </w:rPr>
              <w:t> </w:t>
            </w:r>
            <w:r>
              <w:rPr>
                <w:position w:val="1"/>
                <w:sz w:val="20"/>
              </w:rPr>
              <w:t>and</w:t>
            </w:r>
            <w:r>
              <w:rPr>
                <w:spacing w:val="-4"/>
                <w:position w:val="1"/>
                <w:sz w:val="20"/>
              </w:rPr>
              <w:t> </w:t>
            </w:r>
            <w:r>
              <w:rPr>
                <w:spacing w:val="-2"/>
                <w:position w:val="1"/>
                <w:sz w:val="20"/>
              </w:rPr>
              <w:t>Preventive</w:t>
            </w:r>
            <w:r>
              <w:rPr>
                <w:position w:val="1"/>
                <w:sz w:val="20"/>
              </w:rPr>
              <w:tab/>
              <w:t>No.</w:t>
            </w:r>
            <w:r>
              <w:rPr>
                <w:spacing w:val="-3"/>
                <w:position w:val="1"/>
                <w:sz w:val="20"/>
              </w:rPr>
              <w:t> </w:t>
            </w:r>
            <w:r>
              <w:rPr>
                <w:position w:val="1"/>
                <w:sz w:val="20"/>
              </w:rPr>
              <w:t>of</w:t>
            </w:r>
            <w:r>
              <w:rPr>
                <w:spacing w:val="-2"/>
                <w:position w:val="1"/>
                <w:sz w:val="20"/>
              </w:rPr>
              <w:t> missing</w:t>
            </w:r>
          </w:p>
        </w:tc>
      </w:tr>
      <w:tr>
        <w:trPr>
          <w:trHeight w:val="213" w:hRule="atLeast"/>
        </w:trPr>
        <w:tc>
          <w:tcPr>
            <w:tcW w:w="3227" w:type="dxa"/>
            <w:gridSpan w:val="4"/>
            <w:tcBorders>
              <w:left w:val="single" w:sz="4" w:space="0" w:color="000000"/>
            </w:tcBorders>
          </w:tcPr>
          <w:p>
            <w:pPr>
              <w:pStyle w:val="TableParagraph"/>
              <w:spacing w:line="193" w:lineRule="exact"/>
              <w:ind w:left="830"/>
              <w:rPr>
                <w:sz w:val="20"/>
              </w:rPr>
            </w:pPr>
            <w:r>
              <w:rPr>
                <w:spacing w:val="-2"/>
                <w:sz w:val="20"/>
              </w:rPr>
              <w:t>treatment</w:t>
            </w:r>
          </w:p>
        </w:tc>
        <w:tc>
          <w:tcPr>
            <w:tcW w:w="2898" w:type="dxa"/>
          </w:tcPr>
          <w:p>
            <w:pPr>
              <w:pStyle w:val="TableParagraph"/>
              <w:spacing w:line="193" w:lineRule="exact"/>
              <w:ind w:left="848"/>
              <w:rPr>
                <w:sz w:val="20"/>
              </w:rPr>
            </w:pPr>
            <w:r>
              <w:rPr>
                <w:spacing w:val="-2"/>
                <w:sz w:val="20"/>
              </w:rPr>
              <w:t>observations</w:t>
            </w:r>
          </w:p>
        </w:tc>
        <w:tc>
          <w:tcPr>
            <w:tcW w:w="675" w:type="dxa"/>
          </w:tcPr>
          <w:p>
            <w:pPr>
              <w:pStyle w:val="TableParagraph"/>
              <w:spacing w:line="193" w:lineRule="exact"/>
              <w:ind w:left="53" w:right="9"/>
              <w:jc w:val="center"/>
              <w:rPr>
                <w:sz w:val="20"/>
              </w:rPr>
            </w:pPr>
            <w:r>
              <w:rPr>
                <w:spacing w:val="-10"/>
                <w:sz w:val="20"/>
              </w:rPr>
              <w:t>-</w:t>
            </w:r>
          </w:p>
        </w:tc>
        <w:tc>
          <w:tcPr>
            <w:tcW w:w="758" w:type="dxa"/>
          </w:tcPr>
          <w:p>
            <w:pPr>
              <w:pStyle w:val="TableParagraph"/>
              <w:spacing w:line="193" w:lineRule="exact"/>
              <w:ind w:left="60" w:right="9"/>
              <w:jc w:val="center"/>
              <w:rPr>
                <w:sz w:val="20"/>
              </w:rPr>
            </w:pPr>
            <w:r>
              <w:rPr>
                <w:spacing w:val="-10"/>
                <w:sz w:val="20"/>
              </w:rPr>
              <w:t>-</w:t>
            </w:r>
          </w:p>
        </w:tc>
        <w:tc>
          <w:tcPr>
            <w:tcW w:w="547" w:type="dxa"/>
          </w:tcPr>
          <w:p>
            <w:pPr>
              <w:pStyle w:val="TableParagraph"/>
              <w:spacing w:line="193" w:lineRule="exact"/>
              <w:ind w:left="87" w:right="83"/>
              <w:jc w:val="center"/>
              <w:rPr>
                <w:sz w:val="20"/>
              </w:rPr>
            </w:pPr>
            <w:r>
              <w:rPr>
                <w:spacing w:val="-10"/>
                <w:sz w:val="20"/>
              </w:rPr>
              <w:t>-</w:t>
            </w:r>
          </w:p>
        </w:tc>
        <w:tc>
          <w:tcPr>
            <w:tcW w:w="732" w:type="dxa"/>
          </w:tcPr>
          <w:p>
            <w:pPr>
              <w:pStyle w:val="TableParagraph"/>
              <w:spacing w:line="193" w:lineRule="exact"/>
              <w:ind w:left="58" w:right="63"/>
              <w:jc w:val="center"/>
              <w:rPr>
                <w:sz w:val="20"/>
              </w:rPr>
            </w:pPr>
            <w:r>
              <w:rPr>
                <w:spacing w:val="-10"/>
                <w:sz w:val="20"/>
              </w:rPr>
              <w:t>-</w:t>
            </w:r>
          </w:p>
        </w:tc>
        <w:tc>
          <w:tcPr>
            <w:tcW w:w="742" w:type="dxa"/>
          </w:tcPr>
          <w:p>
            <w:pPr>
              <w:pStyle w:val="TableParagraph"/>
              <w:spacing w:line="193" w:lineRule="exact"/>
              <w:ind w:left="10" w:right="42"/>
              <w:jc w:val="center"/>
              <w:rPr>
                <w:sz w:val="20"/>
              </w:rPr>
            </w:pPr>
            <w:r>
              <w:rPr>
                <w:spacing w:val="-10"/>
                <w:sz w:val="20"/>
              </w:rPr>
              <w:t>1</w:t>
            </w:r>
          </w:p>
        </w:tc>
        <w:tc>
          <w:tcPr>
            <w:tcW w:w="876" w:type="dxa"/>
          </w:tcPr>
          <w:p>
            <w:pPr>
              <w:pStyle w:val="TableParagraph"/>
              <w:spacing w:line="193" w:lineRule="exact"/>
              <w:ind w:right="9"/>
              <w:jc w:val="center"/>
              <w:rPr>
                <w:sz w:val="20"/>
              </w:rPr>
            </w:pPr>
            <w:r>
              <w:rPr>
                <w:spacing w:val="-4"/>
                <w:sz w:val="20"/>
              </w:rPr>
              <w:t>50.0</w:t>
            </w:r>
          </w:p>
        </w:tc>
        <w:tc>
          <w:tcPr>
            <w:tcW w:w="684" w:type="dxa"/>
          </w:tcPr>
          <w:p>
            <w:pPr>
              <w:pStyle w:val="TableParagraph"/>
              <w:spacing w:line="193" w:lineRule="exact"/>
              <w:ind w:left="68" w:right="8"/>
              <w:jc w:val="center"/>
              <w:rPr>
                <w:sz w:val="20"/>
              </w:rPr>
            </w:pPr>
            <w:r>
              <w:rPr>
                <w:spacing w:val="-10"/>
                <w:sz w:val="20"/>
              </w:rPr>
              <w:t>1</w:t>
            </w:r>
          </w:p>
        </w:tc>
        <w:tc>
          <w:tcPr>
            <w:tcW w:w="799" w:type="dxa"/>
          </w:tcPr>
          <w:p>
            <w:pPr>
              <w:pStyle w:val="TableParagraph"/>
              <w:spacing w:line="193" w:lineRule="exact"/>
              <w:ind w:left="23" w:right="6"/>
              <w:jc w:val="center"/>
              <w:rPr>
                <w:sz w:val="20"/>
              </w:rPr>
            </w:pPr>
            <w:r>
              <w:rPr>
                <w:spacing w:val="-4"/>
                <w:sz w:val="20"/>
              </w:rPr>
              <w:t>50.0</w:t>
            </w:r>
          </w:p>
        </w:tc>
        <w:tc>
          <w:tcPr>
            <w:tcW w:w="653" w:type="dxa"/>
          </w:tcPr>
          <w:p>
            <w:pPr>
              <w:pStyle w:val="TableParagraph"/>
              <w:spacing w:line="193" w:lineRule="exact"/>
              <w:ind w:right="18"/>
              <w:jc w:val="center"/>
              <w:rPr>
                <w:sz w:val="20"/>
              </w:rPr>
            </w:pPr>
            <w:r>
              <w:rPr>
                <w:spacing w:val="-10"/>
                <w:sz w:val="20"/>
              </w:rPr>
              <w:t>-</w:t>
            </w:r>
          </w:p>
        </w:tc>
        <w:tc>
          <w:tcPr>
            <w:tcW w:w="715" w:type="dxa"/>
          </w:tcPr>
          <w:p>
            <w:pPr>
              <w:pStyle w:val="TableParagraph"/>
              <w:spacing w:line="193" w:lineRule="exact"/>
              <w:ind w:left="97" w:right="65"/>
              <w:jc w:val="center"/>
              <w:rPr>
                <w:sz w:val="20"/>
              </w:rPr>
            </w:pPr>
            <w:r>
              <w:rPr>
                <w:spacing w:val="-10"/>
                <w:sz w:val="20"/>
              </w:rPr>
              <w:t>-</w:t>
            </w:r>
          </w:p>
        </w:tc>
        <w:tc>
          <w:tcPr>
            <w:tcW w:w="720" w:type="dxa"/>
          </w:tcPr>
          <w:p>
            <w:pPr>
              <w:pStyle w:val="TableParagraph"/>
              <w:spacing w:line="193" w:lineRule="exact"/>
              <w:ind w:left="80" w:right="36"/>
              <w:jc w:val="center"/>
              <w:rPr>
                <w:sz w:val="20"/>
              </w:rPr>
            </w:pPr>
            <w:r>
              <w:rPr>
                <w:spacing w:val="-10"/>
                <w:sz w:val="20"/>
              </w:rPr>
              <w:t>2</w:t>
            </w:r>
          </w:p>
        </w:tc>
        <w:tc>
          <w:tcPr>
            <w:tcW w:w="738" w:type="dxa"/>
            <w:tcBorders>
              <w:right w:val="single" w:sz="4" w:space="0" w:color="000000"/>
            </w:tcBorders>
          </w:tcPr>
          <w:p>
            <w:pPr>
              <w:pStyle w:val="TableParagraph"/>
              <w:spacing w:line="193" w:lineRule="exact"/>
              <w:ind w:left="53" w:right="27"/>
              <w:jc w:val="center"/>
              <w:rPr>
                <w:sz w:val="20"/>
              </w:rPr>
            </w:pPr>
            <w:r>
              <w:rPr>
                <w:spacing w:val="-5"/>
                <w:sz w:val="20"/>
              </w:rPr>
              <w:t>0.4</w:t>
            </w:r>
          </w:p>
        </w:tc>
      </w:tr>
      <w:tr>
        <w:trPr>
          <w:trHeight w:val="240" w:hRule="atLeast"/>
        </w:trPr>
        <w:tc>
          <w:tcPr>
            <w:tcW w:w="3227" w:type="dxa"/>
            <w:gridSpan w:val="4"/>
            <w:tcBorders>
              <w:left w:val="single" w:sz="4" w:space="0" w:color="000000"/>
            </w:tcBorders>
          </w:tcPr>
          <w:p>
            <w:pPr>
              <w:pStyle w:val="TableParagraph"/>
              <w:rPr>
                <w:rFonts w:ascii="Times New Roman"/>
                <w:sz w:val="16"/>
              </w:rPr>
            </w:pPr>
          </w:p>
        </w:tc>
        <w:tc>
          <w:tcPr>
            <w:tcW w:w="2898" w:type="dxa"/>
          </w:tcPr>
          <w:p>
            <w:pPr>
              <w:pStyle w:val="TableParagraph"/>
              <w:spacing w:line="218" w:lineRule="exact" w:before="2"/>
              <w:ind w:left="848"/>
              <w:rPr>
                <w:sz w:val="20"/>
              </w:rPr>
            </w:pPr>
            <w:r>
              <w:rPr>
                <w:spacing w:val="-2"/>
                <w:sz w:val="20"/>
              </w:rPr>
              <w:t>Students</w:t>
            </w:r>
          </w:p>
        </w:tc>
        <w:tc>
          <w:tcPr>
            <w:tcW w:w="675" w:type="dxa"/>
          </w:tcPr>
          <w:p>
            <w:pPr>
              <w:pStyle w:val="TableParagraph"/>
              <w:spacing w:line="218" w:lineRule="exact" w:before="2"/>
              <w:ind w:left="53" w:right="7"/>
              <w:jc w:val="center"/>
              <w:rPr>
                <w:sz w:val="20"/>
              </w:rPr>
            </w:pPr>
            <w:r>
              <w:rPr>
                <w:spacing w:val="-5"/>
                <w:sz w:val="20"/>
              </w:rPr>
              <w:t>13</w:t>
            </w:r>
          </w:p>
        </w:tc>
        <w:tc>
          <w:tcPr>
            <w:tcW w:w="758" w:type="dxa"/>
          </w:tcPr>
          <w:p>
            <w:pPr>
              <w:pStyle w:val="TableParagraph"/>
              <w:spacing w:line="218" w:lineRule="exact" w:before="2"/>
              <w:ind w:left="60" w:right="7"/>
              <w:jc w:val="center"/>
              <w:rPr>
                <w:sz w:val="20"/>
              </w:rPr>
            </w:pPr>
            <w:r>
              <w:rPr>
                <w:spacing w:val="-5"/>
                <w:sz w:val="20"/>
              </w:rPr>
              <w:t>5.5</w:t>
            </w:r>
          </w:p>
        </w:tc>
        <w:tc>
          <w:tcPr>
            <w:tcW w:w="547" w:type="dxa"/>
          </w:tcPr>
          <w:p>
            <w:pPr>
              <w:pStyle w:val="TableParagraph"/>
              <w:spacing w:line="218" w:lineRule="exact" w:before="2"/>
              <w:ind w:left="87" w:right="81"/>
              <w:jc w:val="center"/>
              <w:rPr>
                <w:sz w:val="20"/>
              </w:rPr>
            </w:pPr>
            <w:r>
              <w:rPr>
                <w:spacing w:val="-5"/>
                <w:sz w:val="20"/>
              </w:rPr>
              <w:t>47</w:t>
            </w:r>
          </w:p>
        </w:tc>
        <w:tc>
          <w:tcPr>
            <w:tcW w:w="732" w:type="dxa"/>
          </w:tcPr>
          <w:p>
            <w:pPr>
              <w:pStyle w:val="TableParagraph"/>
              <w:spacing w:line="218" w:lineRule="exact" w:before="2"/>
              <w:ind w:left="58" w:right="58"/>
              <w:jc w:val="center"/>
              <w:rPr>
                <w:sz w:val="20"/>
              </w:rPr>
            </w:pPr>
            <w:r>
              <w:rPr>
                <w:spacing w:val="-4"/>
                <w:sz w:val="20"/>
              </w:rPr>
              <w:t>20.0</w:t>
            </w:r>
          </w:p>
        </w:tc>
        <w:tc>
          <w:tcPr>
            <w:tcW w:w="742" w:type="dxa"/>
          </w:tcPr>
          <w:p>
            <w:pPr>
              <w:pStyle w:val="TableParagraph"/>
              <w:spacing w:line="218" w:lineRule="exact" w:before="2"/>
              <w:ind w:right="42"/>
              <w:jc w:val="center"/>
              <w:rPr>
                <w:sz w:val="20"/>
              </w:rPr>
            </w:pPr>
            <w:r>
              <w:rPr>
                <w:spacing w:val="-5"/>
                <w:sz w:val="20"/>
              </w:rPr>
              <w:t>122</w:t>
            </w:r>
          </w:p>
        </w:tc>
        <w:tc>
          <w:tcPr>
            <w:tcW w:w="876" w:type="dxa"/>
          </w:tcPr>
          <w:p>
            <w:pPr>
              <w:pStyle w:val="TableParagraph"/>
              <w:spacing w:line="218" w:lineRule="exact" w:before="2"/>
              <w:ind w:right="9"/>
              <w:jc w:val="center"/>
              <w:rPr>
                <w:sz w:val="20"/>
              </w:rPr>
            </w:pPr>
            <w:r>
              <w:rPr>
                <w:spacing w:val="-4"/>
                <w:sz w:val="20"/>
              </w:rPr>
              <w:t>51.9</w:t>
            </w:r>
          </w:p>
        </w:tc>
        <w:tc>
          <w:tcPr>
            <w:tcW w:w="684" w:type="dxa"/>
          </w:tcPr>
          <w:p>
            <w:pPr>
              <w:pStyle w:val="TableParagraph"/>
              <w:spacing w:line="218" w:lineRule="exact" w:before="2"/>
              <w:ind w:left="68" w:right="12"/>
              <w:jc w:val="center"/>
              <w:rPr>
                <w:sz w:val="20"/>
              </w:rPr>
            </w:pPr>
            <w:r>
              <w:rPr>
                <w:spacing w:val="-5"/>
                <w:sz w:val="20"/>
              </w:rPr>
              <w:t>40</w:t>
            </w:r>
          </w:p>
        </w:tc>
        <w:tc>
          <w:tcPr>
            <w:tcW w:w="799" w:type="dxa"/>
          </w:tcPr>
          <w:p>
            <w:pPr>
              <w:pStyle w:val="TableParagraph"/>
              <w:spacing w:line="218" w:lineRule="exact" w:before="2"/>
              <w:ind w:left="23" w:right="6"/>
              <w:jc w:val="center"/>
              <w:rPr>
                <w:sz w:val="20"/>
              </w:rPr>
            </w:pPr>
            <w:r>
              <w:rPr>
                <w:spacing w:val="-4"/>
                <w:sz w:val="20"/>
              </w:rPr>
              <w:t>17.0</w:t>
            </w:r>
          </w:p>
        </w:tc>
        <w:tc>
          <w:tcPr>
            <w:tcW w:w="653" w:type="dxa"/>
          </w:tcPr>
          <w:p>
            <w:pPr>
              <w:pStyle w:val="TableParagraph"/>
              <w:spacing w:line="218" w:lineRule="exact" w:before="2"/>
              <w:ind w:left="2" w:right="18"/>
              <w:jc w:val="center"/>
              <w:rPr>
                <w:sz w:val="20"/>
              </w:rPr>
            </w:pPr>
            <w:r>
              <w:rPr>
                <w:spacing w:val="-5"/>
                <w:sz w:val="20"/>
              </w:rPr>
              <w:t>13</w:t>
            </w:r>
          </w:p>
        </w:tc>
        <w:tc>
          <w:tcPr>
            <w:tcW w:w="715" w:type="dxa"/>
          </w:tcPr>
          <w:p>
            <w:pPr>
              <w:pStyle w:val="TableParagraph"/>
              <w:spacing w:line="218" w:lineRule="exact" w:before="2"/>
              <w:ind w:left="99" w:right="65"/>
              <w:jc w:val="center"/>
              <w:rPr>
                <w:sz w:val="20"/>
              </w:rPr>
            </w:pPr>
            <w:r>
              <w:rPr>
                <w:spacing w:val="-5"/>
                <w:sz w:val="20"/>
              </w:rPr>
              <w:t>5.5</w:t>
            </w:r>
          </w:p>
        </w:tc>
        <w:tc>
          <w:tcPr>
            <w:tcW w:w="720" w:type="dxa"/>
          </w:tcPr>
          <w:p>
            <w:pPr>
              <w:pStyle w:val="TableParagraph"/>
              <w:spacing w:line="218" w:lineRule="exact" w:before="2"/>
              <w:ind w:left="70" w:right="36"/>
              <w:jc w:val="center"/>
              <w:rPr>
                <w:sz w:val="20"/>
              </w:rPr>
            </w:pPr>
            <w:r>
              <w:rPr>
                <w:spacing w:val="-5"/>
                <w:sz w:val="20"/>
              </w:rPr>
              <w:t>235</w:t>
            </w:r>
          </w:p>
        </w:tc>
        <w:tc>
          <w:tcPr>
            <w:tcW w:w="738" w:type="dxa"/>
            <w:tcBorders>
              <w:right w:val="single" w:sz="4" w:space="0" w:color="000000"/>
            </w:tcBorders>
          </w:tcPr>
          <w:p>
            <w:pPr>
              <w:pStyle w:val="TableParagraph"/>
              <w:spacing w:line="218" w:lineRule="exact" w:before="2"/>
              <w:ind w:left="53" w:right="22"/>
              <w:jc w:val="center"/>
              <w:rPr>
                <w:sz w:val="20"/>
              </w:rPr>
            </w:pPr>
            <w:r>
              <w:rPr>
                <w:spacing w:val="-4"/>
                <w:sz w:val="20"/>
              </w:rPr>
              <w:t>50.8</w:t>
            </w:r>
          </w:p>
        </w:tc>
      </w:tr>
      <w:tr>
        <w:trPr>
          <w:trHeight w:val="240" w:hRule="atLeast"/>
        </w:trPr>
        <w:tc>
          <w:tcPr>
            <w:tcW w:w="3227" w:type="dxa"/>
            <w:gridSpan w:val="4"/>
            <w:tcBorders>
              <w:left w:val="single" w:sz="4" w:space="0" w:color="000000"/>
            </w:tcBorders>
          </w:tcPr>
          <w:p>
            <w:pPr>
              <w:pStyle w:val="TableParagraph"/>
              <w:rPr>
                <w:rFonts w:ascii="Times New Roman"/>
                <w:sz w:val="16"/>
              </w:rPr>
            </w:pPr>
          </w:p>
        </w:tc>
        <w:tc>
          <w:tcPr>
            <w:tcW w:w="2898" w:type="dxa"/>
          </w:tcPr>
          <w:p>
            <w:pPr>
              <w:pStyle w:val="TableParagraph"/>
              <w:spacing w:line="218" w:lineRule="exact" w:before="2"/>
              <w:ind w:left="848"/>
              <w:rPr>
                <w:sz w:val="20"/>
              </w:rPr>
            </w:pPr>
            <w:r>
              <w:rPr>
                <w:sz w:val="20"/>
              </w:rPr>
              <w:t>Service</w:t>
            </w:r>
            <w:r>
              <w:rPr>
                <w:spacing w:val="-9"/>
                <w:sz w:val="20"/>
              </w:rPr>
              <w:t> </w:t>
            </w:r>
            <w:r>
              <w:rPr>
                <w:spacing w:val="-2"/>
                <w:sz w:val="20"/>
              </w:rPr>
              <w:t>Staff</w:t>
            </w:r>
          </w:p>
        </w:tc>
        <w:tc>
          <w:tcPr>
            <w:tcW w:w="675" w:type="dxa"/>
          </w:tcPr>
          <w:p>
            <w:pPr>
              <w:pStyle w:val="TableParagraph"/>
              <w:spacing w:line="218" w:lineRule="exact" w:before="2"/>
              <w:ind w:left="53" w:right="7"/>
              <w:jc w:val="center"/>
              <w:rPr>
                <w:sz w:val="20"/>
              </w:rPr>
            </w:pPr>
            <w:r>
              <w:rPr>
                <w:spacing w:val="-5"/>
                <w:sz w:val="20"/>
              </w:rPr>
              <w:t>23</w:t>
            </w:r>
          </w:p>
        </w:tc>
        <w:tc>
          <w:tcPr>
            <w:tcW w:w="758" w:type="dxa"/>
          </w:tcPr>
          <w:p>
            <w:pPr>
              <w:pStyle w:val="TableParagraph"/>
              <w:spacing w:line="218" w:lineRule="exact" w:before="2"/>
              <w:ind w:left="60" w:right="2"/>
              <w:jc w:val="center"/>
              <w:rPr>
                <w:sz w:val="20"/>
              </w:rPr>
            </w:pPr>
            <w:r>
              <w:rPr>
                <w:spacing w:val="-4"/>
                <w:sz w:val="20"/>
              </w:rPr>
              <w:t>11.3</w:t>
            </w:r>
          </w:p>
        </w:tc>
        <w:tc>
          <w:tcPr>
            <w:tcW w:w="547" w:type="dxa"/>
          </w:tcPr>
          <w:p>
            <w:pPr>
              <w:pStyle w:val="TableParagraph"/>
              <w:spacing w:line="218" w:lineRule="exact" w:before="2"/>
              <w:ind w:left="87" w:right="81"/>
              <w:jc w:val="center"/>
              <w:rPr>
                <w:sz w:val="20"/>
              </w:rPr>
            </w:pPr>
            <w:r>
              <w:rPr>
                <w:spacing w:val="-5"/>
                <w:sz w:val="20"/>
              </w:rPr>
              <w:t>19</w:t>
            </w:r>
          </w:p>
        </w:tc>
        <w:tc>
          <w:tcPr>
            <w:tcW w:w="732" w:type="dxa"/>
          </w:tcPr>
          <w:p>
            <w:pPr>
              <w:pStyle w:val="TableParagraph"/>
              <w:spacing w:line="218" w:lineRule="exact" w:before="2"/>
              <w:ind w:left="58" w:right="61"/>
              <w:jc w:val="center"/>
              <w:rPr>
                <w:sz w:val="20"/>
              </w:rPr>
            </w:pPr>
            <w:r>
              <w:rPr>
                <w:spacing w:val="-5"/>
                <w:sz w:val="20"/>
              </w:rPr>
              <w:t>9.4</w:t>
            </w:r>
          </w:p>
        </w:tc>
        <w:tc>
          <w:tcPr>
            <w:tcW w:w="742" w:type="dxa"/>
          </w:tcPr>
          <w:p>
            <w:pPr>
              <w:pStyle w:val="TableParagraph"/>
              <w:spacing w:line="218" w:lineRule="exact" w:before="2"/>
              <w:ind w:left="5" w:right="42"/>
              <w:jc w:val="center"/>
              <w:rPr>
                <w:sz w:val="20"/>
              </w:rPr>
            </w:pPr>
            <w:r>
              <w:rPr>
                <w:spacing w:val="-5"/>
                <w:sz w:val="20"/>
              </w:rPr>
              <w:t>93</w:t>
            </w:r>
          </w:p>
        </w:tc>
        <w:tc>
          <w:tcPr>
            <w:tcW w:w="876" w:type="dxa"/>
          </w:tcPr>
          <w:p>
            <w:pPr>
              <w:pStyle w:val="TableParagraph"/>
              <w:spacing w:line="218" w:lineRule="exact" w:before="2"/>
              <w:ind w:right="9"/>
              <w:jc w:val="center"/>
              <w:rPr>
                <w:sz w:val="20"/>
              </w:rPr>
            </w:pPr>
            <w:r>
              <w:rPr>
                <w:spacing w:val="-4"/>
                <w:sz w:val="20"/>
              </w:rPr>
              <w:t>45.8</w:t>
            </w:r>
          </w:p>
        </w:tc>
        <w:tc>
          <w:tcPr>
            <w:tcW w:w="684" w:type="dxa"/>
          </w:tcPr>
          <w:p>
            <w:pPr>
              <w:pStyle w:val="TableParagraph"/>
              <w:spacing w:line="218" w:lineRule="exact" w:before="2"/>
              <w:ind w:left="68" w:right="12"/>
              <w:jc w:val="center"/>
              <w:rPr>
                <w:sz w:val="20"/>
              </w:rPr>
            </w:pPr>
            <w:r>
              <w:rPr>
                <w:spacing w:val="-5"/>
                <w:sz w:val="20"/>
              </w:rPr>
              <w:t>64</w:t>
            </w:r>
          </w:p>
        </w:tc>
        <w:tc>
          <w:tcPr>
            <w:tcW w:w="799" w:type="dxa"/>
          </w:tcPr>
          <w:p>
            <w:pPr>
              <w:pStyle w:val="TableParagraph"/>
              <w:spacing w:line="218" w:lineRule="exact" w:before="2"/>
              <w:ind w:left="23" w:right="6"/>
              <w:jc w:val="center"/>
              <w:rPr>
                <w:sz w:val="20"/>
              </w:rPr>
            </w:pPr>
            <w:r>
              <w:rPr>
                <w:spacing w:val="-4"/>
                <w:sz w:val="20"/>
              </w:rPr>
              <w:t>31.5</w:t>
            </w:r>
          </w:p>
        </w:tc>
        <w:tc>
          <w:tcPr>
            <w:tcW w:w="653" w:type="dxa"/>
          </w:tcPr>
          <w:p>
            <w:pPr>
              <w:pStyle w:val="TableParagraph"/>
              <w:spacing w:line="218" w:lineRule="exact" w:before="2"/>
              <w:ind w:left="7" w:right="18"/>
              <w:jc w:val="center"/>
              <w:rPr>
                <w:sz w:val="20"/>
              </w:rPr>
            </w:pPr>
            <w:r>
              <w:rPr>
                <w:spacing w:val="-10"/>
                <w:sz w:val="20"/>
              </w:rPr>
              <w:t>4</w:t>
            </w:r>
          </w:p>
        </w:tc>
        <w:tc>
          <w:tcPr>
            <w:tcW w:w="715" w:type="dxa"/>
          </w:tcPr>
          <w:p>
            <w:pPr>
              <w:pStyle w:val="TableParagraph"/>
              <w:spacing w:line="218" w:lineRule="exact" w:before="2"/>
              <w:ind w:left="99" w:right="65"/>
              <w:jc w:val="center"/>
              <w:rPr>
                <w:sz w:val="20"/>
              </w:rPr>
            </w:pPr>
            <w:r>
              <w:rPr>
                <w:spacing w:val="-5"/>
                <w:sz w:val="20"/>
              </w:rPr>
              <w:t>2.0</w:t>
            </w:r>
          </w:p>
        </w:tc>
        <w:tc>
          <w:tcPr>
            <w:tcW w:w="720" w:type="dxa"/>
          </w:tcPr>
          <w:p>
            <w:pPr>
              <w:pStyle w:val="TableParagraph"/>
              <w:spacing w:line="218" w:lineRule="exact" w:before="2"/>
              <w:ind w:left="70" w:right="36"/>
              <w:jc w:val="center"/>
              <w:rPr>
                <w:sz w:val="20"/>
              </w:rPr>
            </w:pPr>
            <w:r>
              <w:rPr>
                <w:spacing w:val="-5"/>
                <w:sz w:val="20"/>
              </w:rPr>
              <w:t>203</w:t>
            </w:r>
          </w:p>
        </w:tc>
        <w:tc>
          <w:tcPr>
            <w:tcW w:w="738" w:type="dxa"/>
            <w:tcBorders>
              <w:right w:val="single" w:sz="4" w:space="0" w:color="000000"/>
            </w:tcBorders>
          </w:tcPr>
          <w:p>
            <w:pPr>
              <w:pStyle w:val="TableParagraph"/>
              <w:spacing w:line="218" w:lineRule="exact" w:before="2"/>
              <w:ind w:left="53" w:right="22"/>
              <w:jc w:val="center"/>
              <w:rPr>
                <w:sz w:val="20"/>
              </w:rPr>
            </w:pPr>
            <w:r>
              <w:rPr>
                <w:spacing w:val="-4"/>
                <w:sz w:val="20"/>
              </w:rPr>
              <w:t>43.8</w:t>
            </w:r>
          </w:p>
        </w:tc>
      </w:tr>
      <w:tr>
        <w:trPr>
          <w:trHeight w:val="290" w:hRule="atLeast"/>
        </w:trPr>
        <w:tc>
          <w:tcPr>
            <w:tcW w:w="3227" w:type="dxa"/>
            <w:gridSpan w:val="4"/>
            <w:tcBorders>
              <w:left w:val="single" w:sz="4" w:space="0" w:color="000000"/>
              <w:bottom w:val="single" w:sz="4" w:space="0" w:color="000000"/>
            </w:tcBorders>
          </w:tcPr>
          <w:p>
            <w:pPr>
              <w:pStyle w:val="TableParagraph"/>
              <w:rPr>
                <w:rFonts w:ascii="Times New Roman"/>
                <w:sz w:val="20"/>
              </w:rPr>
            </w:pPr>
          </w:p>
        </w:tc>
        <w:tc>
          <w:tcPr>
            <w:tcW w:w="2898" w:type="dxa"/>
            <w:tcBorders>
              <w:bottom w:val="single" w:sz="4" w:space="0" w:color="000000"/>
            </w:tcBorders>
          </w:tcPr>
          <w:p>
            <w:pPr>
              <w:pStyle w:val="TableParagraph"/>
              <w:spacing w:before="2"/>
              <w:ind w:left="848"/>
              <w:rPr>
                <w:sz w:val="20"/>
              </w:rPr>
            </w:pPr>
            <w:r>
              <w:rPr>
                <w:sz w:val="20"/>
              </w:rPr>
              <w:t>Top</w:t>
            </w:r>
            <w:r>
              <w:rPr>
                <w:spacing w:val="-1"/>
                <w:sz w:val="20"/>
              </w:rPr>
              <w:t> </w:t>
            </w:r>
            <w:r>
              <w:rPr>
                <w:spacing w:val="-2"/>
                <w:sz w:val="20"/>
              </w:rPr>
              <w:t>Management</w:t>
            </w:r>
          </w:p>
        </w:tc>
        <w:tc>
          <w:tcPr>
            <w:tcW w:w="675" w:type="dxa"/>
            <w:tcBorders>
              <w:bottom w:val="single" w:sz="4" w:space="0" w:color="000000"/>
            </w:tcBorders>
          </w:tcPr>
          <w:p>
            <w:pPr>
              <w:pStyle w:val="TableParagraph"/>
              <w:spacing w:before="2"/>
              <w:ind w:left="53" w:right="2"/>
              <w:jc w:val="center"/>
              <w:rPr>
                <w:sz w:val="20"/>
              </w:rPr>
            </w:pPr>
            <w:r>
              <w:rPr>
                <w:spacing w:val="-10"/>
                <w:sz w:val="20"/>
              </w:rPr>
              <w:t>2</w:t>
            </w:r>
          </w:p>
        </w:tc>
        <w:tc>
          <w:tcPr>
            <w:tcW w:w="758" w:type="dxa"/>
            <w:tcBorders>
              <w:bottom w:val="single" w:sz="4" w:space="0" w:color="000000"/>
            </w:tcBorders>
          </w:tcPr>
          <w:p>
            <w:pPr>
              <w:pStyle w:val="TableParagraph"/>
              <w:spacing w:before="2"/>
              <w:ind w:left="60" w:right="7"/>
              <w:jc w:val="center"/>
              <w:rPr>
                <w:sz w:val="20"/>
              </w:rPr>
            </w:pPr>
            <w:r>
              <w:rPr>
                <w:spacing w:val="-5"/>
                <w:sz w:val="20"/>
              </w:rPr>
              <w:t>8.7</w:t>
            </w:r>
          </w:p>
        </w:tc>
        <w:tc>
          <w:tcPr>
            <w:tcW w:w="547" w:type="dxa"/>
            <w:tcBorders>
              <w:bottom w:val="single" w:sz="4" w:space="0" w:color="000000"/>
            </w:tcBorders>
          </w:tcPr>
          <w:p>
            <w:pPr>
              <w:pStyle w:val="TableParagraph"/>
              <w:spacing w:before="2"/>
              <w:ind w:left="87" w:right="83"/>
              <w:jc w:val="center"/>
              <w:rPr>
                <w:sz w:val="20"/>
              </w:rPr>
            </w:pPr>
            <w:r>
              <w:rPr>
                <w:spacing w:val="-10"/>
                <w:sz w:val="20"/>
              </w:rPr>
              <w:t>-</w:t>
            </w:r>
          </w:p>
        </w:tc>
        <w:tc>
          <w:tcPr>
            <w:tcW w:w="732" w:type="dxa"/>
            <w:tcBorders>
              <w:bottom w:val="single" w:sz="4" w:space="0" w:color="000000"/>
            </w:tcBorders>
          </w:tcPr>
          <w:p>
            <w:pPr>
              <w:pStyle w:val="TableParagraph"/>
              <w:spacing w:before="2"/>
              <w:ind w:left="58" w:right="63"/>
              <w:jc w:val="center"/>
              <w:rPr>
                <w:sz w:val="20"/>
              </w:rPr>
            </w:pPr>
            <w:r>
              <w:rPr>
                <w:spacing w:val="-10"/>
                <w:sz w:val="20"/>
              </w:rPr>
              <w:t>-</w:t>
            </w:r>
          </w:p>
        </w:tc>
        <w:tc>
          <w:tcPr>
            <w:tcW w:w="742" w:type="dxa"/>
            <w:tcBorders>
              <w:bottom w:val="single" w:sz="4" w:space="0" w:color="000000"/>
            </w:tcBorders>
          </w:tcPr>
          <w:p>
            <w:pPr>
              <w:pStyle w:val="TableParagraph"/>
              <w:spacing w:before="2"/>
              <w:ind w:left="5" w:right="42"/>
              <w:jc w:val="center"/>
              <w:rPr>
                <w:sz w:val="20"/>
              </w:rPr>
            </w:pPr>
            <w:r>
              <w:rPr>
                <w:spacing w:val="-5"/>
                <w:sz w:val="20"/>
              </w:rPr>
              <w:t>12</w:t>
            </w:r>
          </w:p>
        </w:tc>
        <w:tc>
          <w:tcPr>
            <w:tcW w:w="876" w:type="dxa"/>
            <w:tcBorders>
              <w:bottom w:val="single" w:sz="4" w:space="0" w:color="000000"/>
            </w:tcBorders>
          </w:tcPr>
          <w:p>
            <w:pPr>
              <w:pStyle w:val="TableParagraph"/>
              <w:spacing w:before="2"/>
              <w:ind w:right="9"/>
              <w:jc w:val="center"/>
              <w:rPr>
                <w:sz w:val="20"/>
              </w:rPr>
            </w:pPr>
            <w:r>
              <w:rPr>
                <w:spacing w:val="-4"/>
                <w:sz w:val="20"/>
              </w:rPr>
              <w:t>52.2</w:t>
            </w:r>
          </w:p>
        </w:tc>
        <w:tc>
          <w:tcPr>
            <w:tcW w:w="684" w:type="dxa"/>
            <w:tcBorders>
              <w:bottom w:val="single" w:sz="4" w:space="0" w:color="000000"/>
            </w:tcBorders>
          </w:tcPr>
          <w:p>
            <w:pPr>
              <w:pStyle w:val="TableParagraph"/>
              <w:spacing w:before="2"/>
              <w:ind w:left="68" w:right="8"/>
              <w:jc w:val="center"/>
              <w:rPr>
                <w:sz w:val="20"/>
              </w:rPr>
            </w:pPr>
            <w:r>
              <w:rPr>
                <w:spacing w:val="-10"/>
                <w:sz w:val="20"/>
              </w:rPr>
              <w:t>8</w:t>
            </w:r>
          </w:p>
        </w:tc>
        <w:tc>
          <w:tcPr>
            <w:tcW w:w="799" w:type="dxa"/>
            <w:tcBorders>
              <w:bottom w:val="single" w:sz="4" w:space="0" w:color="000000"/>
            </w:tcBorders>
          </w:tcPr>
          <w:p>
            <w:pPr>
              <w:pStyle w:val="TableParagraph"/>
              <w:spacing w:before="2"/>
              <w:ind w:left="23" w:right="6"/>
              <w:jc w:val="center"/>
              <w:rPr>
                <w:sz w:val="20"/>
              </w:rPr>
            </w:pPr>
            <w:r>
              <w:rPr>
                <w:spacing w:val="-4"/>
                <w:sz w:val="20"/>
              </w:rPr>
              <w:t>34.8</w:t>
            </w:r>
          </w:p>
        </w:tc>
        <w:tc>
          <w:tcPr>
            <w:tcW w:w="653" w:type="dxa"/>
            <w:tcBorders>
              <w:bottom w:val="single" w:sz="4" w:space="0" w:color="000000"/>
            </w:tcBorders>
          </w:tcPr>
          <w:p>
            <w:pPr>
              <w:pStyle w:val="TableParagraph"/>
              <w:spacing w:before="2"/>
              <w:ind w:left="7" w:right="18"/>
              <w:jc w:val="center"/>
              <w:rPr>
                <w:sz w:val="20"/>
              </w:rPr>
            </w:pPr>
            <w:r>
              <w:rPr>
                <w:spacing w:val="-10"/>
                <w:sz w:val="20"/>
              </w:rPr>
              <w:t>1</w:t>
            </w:r>
          </w:p>
        </w:tc>
        <w:tc>
          <w:tcPr>
            <w:tcW w:w="715" w:type="dxa"/>
            <w:tcBorders>
              <w:bottom w:val="single" w:sz="4" w:space="0" w:color="000000"/>
            </w:tcBorders>
          </w:tcPr>
          <w:p>
            <w:pPr>
              <w:pStyle w:val="TableParagraph"/>
              <w:spacing w:before="2"/>
              <w:ind w:left="99" w:right="65"/>
              <w:jc w:val="center"/>
              <w:rPr>
                <w:sz w:val="20"/>
              </w:rPr>
            </w:pPr>
            <w:r>
              <w:rPr>
                <w:spacing w:val="-5"/>
                <w:sz w:val="20"/>
              </w:rPr>
              <w:t>4.3</w:t>
            </w:r>
          </w:p>
        </w:tc>
        <w:tc>
          <w:tcPr>
            <w:tcW w:w="720" w:type="dxa"/>
            <w:tcBorders>
              <w:bottom w:val="single" w:sz="4" w:space="0" w:color="000000"/>
            </w:tcBorders>
          </w:tcPr>
          <w:p>
            <w:pPr>
              <w:pStyle w:val="TableParagraph"/>
              <w:spacing w:before="2"/>
              <w:ind w:left="75" w:right="36"/>
              <w:jc w:val="center"/>
              <w:rPr>
                <w:sz w:val="20"/>
              </w:rPr>
            </w:pPr>
            <w:r>
              <w:rPr>
                <w:spacing w:val="-5"/>
                <w:sz w:val="20"/>
              </w:rPr>
              <w:t>23</w:t>
            </w:r>
          </w:p>
        </w:tc>
        <w:tc>
          <w:tcPr>
            <w:tcW w:w="738" w:type="dxa"/>
            <w:tcBorders>
              <w:bottom w:val="single" w:sz="4" w:space="0" w:color="000000"/>
              <w:right w:val="single" w:sz="4" w:space="0" w:color="000000"/>
            </w:tcBorders>
          </w:tcPr>
          <w:p>
            <w:pPr>
              <w:pStyle w:val="TableParagraph"/>
              <w:spacing w:before="2"/>
              <w:ind w:left="53" w:right="27"/>
              <w:jc w:val="center"/>
              <w:rPr>
                <w:sz w:val="20"/>
              </w:rPr>
            </w:pPr>
            <w:r>
              <w:rPr>
                <w:spacing w:val="-5"/>
                <w:sz w:val="20"/>
              </w:rPr>
              <w:t>5.0</w:t>
            </w:r>
          </w:p>
        </w:tc>
      </w:tr>
    </w:tbl>
    <w:p>
      <w:pPr>
        <w:spacing w:after="0"/>
        <w:jc w:val="center"/>
        <w:rPr>
          <w:sz w:val="20"/>
        </w:rPr>
        <w:sectPr>
          <w:headerReference w:type="default" r:id="rId289"/>
          <w:footerReference w:type="default" r:id="rId290"/>
          <w:pgSz w:w="15840" w:h="12240" w:orient="landscape"/>
          <w:pgMar w:header="722" w:footer="791" w:top="1340" w:bottom="980" w:left="500" w:right="360"/>
        </w:sectPr>
      </w:pPr>
    </w:p>
    <w:p>
      <w:pPr>
        <w:pStyle w:val="BodyText"/>
        <w:spacing w:line="480" w:lineRule="auto" w:before="82"/>
        <w:ind w:left="820" w:right="117" w:firstLine="720"/>
        <w:jc w:val="both"/>
      </w:pPr>
      <w:r>
        <w:rPr/>
        <w:t>From the consensus of opinions of the service staff and top management represented by 41.9 percent and 52.2 percent, respectively it was evident that sick-</w:t>
      </w:r>
      <w:r>
        <w:rPr>
          <w:spacing w:val="25"/>
        </w:rPr>
        <w:t> </w:t>
      </w:r>
      <w:r>
        <w:rPr/>
        <w:t>bays</w:t>
      </w:r>
      <w:r>
        <w:rPr>
          <w:spacing w:val="23"/>
        </w:rPr>
        <w:t> </w:t>
      </w:r>
      <w:r>
        <w:rPr/>
        <w:t>or</w:t>
      </w:r>
      <w:r>
        <w:rPr>
          <w:spacing w:val="29"/>
        </w:rPr>
        <w:t> </w:t>
      </w:r>
      <w:r>
        <w:rPr/>
        <w:t>clinics</w:t>
      </w:r>
      <w:r>
        <w:rPr>
          <w:spacing w:val="23"/>
        </w:rPr>
        <w:t> </w:t>
      </w:r>
      <w:r>
        <w:rPr/>
        <w:t>were</w:t>
      </w:r>
      <w:r>
        <w:rPr>
          <w:spacing w:val="29"/>
        </w:rPr>
        <w:t> </w:t>
      </w:r>
      <w:r>
        <w:rPr/>
        <w:t>not</w:t>
      </w:r>
      <w:r>
        <w:rPr>
          <w:spacing w:val="24"/>
        </w:rPr>
        <w:t> </w:t>
      </w:r>
      <w:r>
        <w:rPr/>
        <w:t>adequately</w:t>
      </w:r>
      <w:r>
        <w:rPr>
          <w:spacing w:val="27"/>
        </w:rPr>
        <w:t> </w:t>
      </w:r>
      <w:r>
        <w:rPr/>
        <w:t>provided</w:t>
      </w:r>
      <w:r>
        <w:rPr>
          <w:spacing w:val="24"/>
        </w:rPr>
        <w:t> </w:t>
      </w:r>
      <w:r>
        <w:rPr/>
        <w:t>in</w:t>
      </w:r>
      <w:r>
        <w:rPr>
          <w:spacing w:val="25"/>
        </w:rPr>
        <w:t> </w:t>
      </w:r>
      <w:r>
        <w:rPr/>
        <w:t>the</w:t>
      </w:r>
      <w:r>
        <w:rPr>
          <w:spacing w:val="24"/>
        </w:rPr>
        <w:t> </w:t>
      </w:r>
      <w:r>
        <w:rPr/>
        <w:t>universities.</w:t>
      </w:r>
      <w:r>
        <w:rPr>
          <w:spacing w:val="23"/>
        </w:rPr>
        <w:t> </w:t>
      </w:r>
      <w:r>
        <w:rPr>
          <w:spacing w:val="-2"/>
        </w:rPr>
        <w:t>Although</w:t>
      </w:r>
    </w:p>
    <w:p>
      <w:pPr>
        <w:pStyle w:val="BodyText"/>
        <w:ind w:left="820"/>
        <w:jc w:val="both"/>
      </w:pPr>
      <w:r>
        <w:rPr/>
        <w:t>49.4</w:t>
      </w:r>
      <w:r>
        <w:rPr>
          <w:spacing w:val="33"/>
        </w:rPr>
        <w:t> </w:t>
      </w:r>
      <w:r>
        <w:rPr/>
        <w:t>percent</w:t>
      </w:r>
      <w:r>
        <w:rPr>
          <w:spacing w:val="32"/>
        </w:rPr>
        <w:t> </w:t>
      </w:r>
      <w:r>
        <w:rPr/>
        <w:t>of</w:t>
      </w:r>
      <w:r>
        <w:rPr>
          <w:spacing w:val="32"/>
        </w:rPr>
        <w:t> </w:t>
      </w:r>
      <w:r>
        <w:rPr/>
        <w:t>students</w:t>
      </w:r>
      <w:r>
        <w:rPr>
          <w:spacing w:val="32"/>
        </w:rPr>
        <w:t> </w:t>
      </w:r>
      <w:r>
        <w:rPr/>
        <w:t>disapproved</w:t>
      </w:r>
      <w:r>
        <w:rPr>
          <w:spacing w:val="28"/>
        </w:rPr>
        <w:t> </w:t>
      </w:r>
      <w:r>
        <w:rPr/>
        <w:t>of</w:t>
      </w:r>
      <w:r>
        <w:rPr>
          <w:spacing w:val="33"/>
        </w:rPr>
        <w:t> </w:t>
      </w:r>
      <w:r>
        <w:rPr/>
        <w:t>this</w:t>
      </w:r>
      <w:r>
        <w:rPr>
          <w:spacing w:val="27"/>
        </w:rPr>
        <w:t> </w:t>
      </w:r>
      <w:r>
        <w:rPr/>
        <w:t>opinion</w:t>
      </w:r>
      <w:r>
        <w:rPr>
          <w:spacing w:val="33"/>
        </w:rPr>
        <w:t> </w:t>
      </w:r>
      <w:r>
        <w:rPr/>
        <w:t>13.6</w:t>
      </w:r>
      <w:r>
        <w:rPr>
          <w:spacing w:val="33"/>
        </w:rPr>
        <w:t> </w:t>
      </w:r>
      <w:r>
        <w:rPr/>
        <w:t>percent</w:t>
      </w:r>
      <w:r>
        <w:rPr>
          <w:spacing w:val="32"/>
        </w:rPr>
        <w:t> </w:t>
      </w:r>
      <w:r>
        <w:rPr/>
        <w:t>of</w:t>
      </w:r>
      <w:r>
        <w:rPr>
          <w:spacing w:val="33"/>
        </w:rPr>
        <w:t> </w:t>
      </w:r>
      <w:r>
        <w:rPr>
          <w:spacing w:val="-2"/>
        </w:rPr>
        <w:t>students,</w:t>
      </w:r>
    </w:p>
    <w:p>
      <w:pPr>
        <w:pStyle w:val="BodyText"/>
      </w:pPr>
    </w:p>
    <w:p>
      <w:pPr>
        <w:pStyle w:val="BodyText"/>
        <w:spacing w:line="480" w:lineRule="auto"/>
        <w:ind w:left="820" w:right="120"/>
        <w:jc w:val="both"/>
      </w:pPr>
      <w:r>
        <w:rPr/>
        <w:t>12.3 percent of serving staff and 13.0 percent of top management believed that there was likelihood that most universities were not adequately provided with sickbays or clinics rather they depended on Government or private hospitals.</w:t>
      </w:r>
    </w:p>
    <w:p>
      <w:pPr>
        <w:pStyle w:val="BodyText"/>
        <w:spacing w:line="480" w:lineRule="auto"/>
        <w:ind w:left="820" w:right="114" w:firstLine="720"/>
        <w:jc w:val="both"/>
      </w:pPr>
      <w:r>
        <w:rPr/>
        <w:t>On whether or not hospitals raised as an issue on item 22 were</w:t>
      </w:r>
      <w:r>
        <w:rPr>
          <w:spacing w:val="40"/>
        </w:rPr>
        <w:t> </w:t>
      </w:r>
      <w:r>
        <w:rPr/>
        <w:t>adequately available, 51.1 percent of students and 45.3 percent of service staff expressed same consensus that they were adequately provided while 56.5 percent of the opinion of the top management claimed that the facilities were not adequate. This divergent opinions on the side of the management might be attributed by the small number of respondents, particularly, in some universities like Usmanu Dan Fodiyo University Sokoto with only 2 respondents out of 7.</w:t>
      </w:r>
    </w:p>
    <w:p>
      <w:pPr>
        <w:pStyle w:val="BodyText"/>
        <w:spacing w:line="480" w:lineRule="auto" w:before="1"/>
        <w:ind w:left="820" w:right="116" w:firstLine="720"/>
        <w:jc w:val="both"/>
      </w:pPr>
      <w:r>
        <w:rPr/>
        <w:t>The high consensus</w:t>
      </w:r>
      <w:r>
        <w:rPr>
          <w:spacing w:val="-3"/>
        </w:rPr>
        <w:t> </w:t>
      </w:r>
      <w:r>
        <w:rPr/>
        <w:t>in the opinions of</w:t>
      </w:r>
      <w:r>
        <w:rPr>
          <w:spacing w:val="-3"/>
        </w:rPr>
        <w:t> </w:t>
      </w:r>
      <w:r>
        <w:rPr/>
        <w:t>the three categories of</w:t>
      </w:r>
      <w:r>
        <w:rPr>
          <w:spacing w:val="-3"/>
        </w:rPr>
        <w:t> </w:t>
      </w:r>
      <w:r>
        <w:rPr/>
        <w:t>respondents on</w:t>
      </w:r>
      <w:r>
        <w:rPr>
          <w:spacing w:val="-1"/>
        </w:rPr>
        <w:t> </w:t>
      </w:r>
      <w:r>
        <w:rPr/>
        <w:t>the</w:t>
      </w:r>
      <w:r>
        <w:rPr>
          <w:spacing w:val="-1"/>
        </w:rPr>
        <w:t> </w:t>
      </w:r>
      <w:r>
        <w:rPr/>
        <w:t>availability</w:t>
      </w:r>
      <w:r>
        <w:rPr>
          <w:spacing w:val="-2"/>
        </w:rPr>
        <w:t> </w:t>
      </w:r>
      <w:r>
        <w:rPr/>
        <w:t>and</w:t>
      </w:r>
      <w:r>
        <w:rPr>
          <w:spacing w:val="-1"/>
        </w:rPr>
        <w:t> </w:t>
      </w:r>
      <w:r>
        <w:rPr/>
        <w:t>adequacy</w:t>
      </w:r>
      <w:r>
        <w:rPr>
          <w:spacing w:val="-2"/>
        </w:rPr>
        <w:t> </w:t>
      </w:r>
      <w:r>
        <w:rPr/>
        <w:t>of</w:t>
      </w:r>
      <w:r>
        <w:rPr>
          <w:spacing w:val="-2"/>
        </w:rPr>
        <w:t> </w:t>
      </w:r>
      <w:r>
        <w:rPr/>
        <w:t>the</w:t>
      </w:r>
      <w:r>
        <w:rPr>
          <w:spacing w:val="-1"/>
        </w:rPr>
        <w:t> </w:t>
      </w:r>
      <w:r>
        <w:rPr/>
        <w:t>provision</w:t>
      </w:r>
      <w:r>
        <w:rPr>
          <w:spacing w:val="-1"/>
        </w:rPr>
        <w:t> </w:t>
      </w:r>
      <w:r>
        <w:rPr/>
        <w:t>of</w:t>
      </w:r>
      <w:r>
        <w:rPr>
          <w:spacing w:val="-2"/>
        </w:rPr>
        <w:t> </w:t>
      </w:r>
      <w:r>
        <w:rPr/>
        <w:t>medical centers</w:t>
      </w:r>
      <w:r>
        <w:rPr>
          <w:spacing w:val="-2"/>
        </w:rPr>
        <w:t> </w:t>
      </w:r>
      <w:r>
        <w:rPr/>
        <w:t>raised</w:t>
      </w:r>
      <w:r>
        <w:rPr>
          <w:spacing w:val="-5"/>
        </w:rPr>
        <w:t> </w:t>
      </w:r>
      <w:r>
        <w:rPr/>
        <w:t>in</w:t>
      </w:r>
      <w:r>
        <w:rPr>
          <w:spacing w:val="-5"/>
        </w:rPr>
        <w:t> </w:t>
      </w:r>
      <w:r>
        <w:rPr/>
        <w:t>item 23 seemed to suggest that students in universities got more medical attention in Private Medical centers or clinics. This was revealed by 58.8 percent, 49.2 percent and 60.9 percent of students, service staff and top management staff respectively. This consensus could not be a mere coincidence as all the respondents expressed access and treatment in Private Medical centers with</w:t>
      </w:r>
      <w:r>
        <w:rPr>
          <w:spacing w:val="40"/>
        </w:rPr>
        <w:t> </w:t>
      </w:r>
      <w:r>
        <w:rPr/>
        <w:t>less protocol though a bit expensive.</w:t>
      </w:r>
    </w:p>
    <w:p>
      <w:pPr>
        <w:pStyle w:val="BodyText"/>
        <w:spacing w:line="480" w:lineRule="auto"/>
        <w:ind w:left="820" w:right="116" w:firstLine="720"/>
        <w:jc w:val="both"/>
      </w:pPr>
      <w:r>
        <w:rPr/>
        <w:t>The opinions of the three groups of respondents were in complete harmony</w:t>
      </w:r>
      <w:r>
        <w:rPr>
          <w:spacing w:val="56"/>
        </w:rPr>
        <w:t> </w:t>
      </w:r>
      <w:r>
        <w:rPr/>
        <w:t>on</w:t>
      </w:r>
      <w:r>
        <w:rPr>
          <w:spacing w:val="57"/>
        </w:rPr>
        <w:t> </w:t>
      </w:r>
      <w:r>
        <w:rPr/>
        <w:t>the</w:t>
      </w:r>
      <w:r>
        <w:rPr>
          <w:spacing w:val="52"/>
        </w:rPr>
        <w:t> </w:t>
      </w:r>
      <w:r>
        <w:rPr/>
        <w:t>issue</w:t>
      </w:r>
      <w:r>
        <w:rPr>
          <w:spacing w:val="53"/>
        </w:rPr>
        <w:t> </w:t>
      </w:r>
      <w:r>
        <w:rPr/>
        <w:t>of</w:t>
      </w:r>
      <w:r>
        <w:rPr>
          <w:spacing w:val="56"/>
        </w:rPr>
        <w:t> </w:t>
      </w:r>
      <w:r>
        <w:rPr/>
        <w:t>the</w:t>
      </w:r>
      <w:r>
        <w:rPr>
          <w:spacing w:val="57"/>
        </w:rPr>
        <w:t> </w:t>
      </w:r>
      <w:r>
        <w:rPr/>
        <w:t>availability</w:t>
      </w:r>
      <w:r>
        <w:rPr>
          <w:spacing w:val="52"/>
        </w:rPr>
        <w:t> </w:t>
      </w:r>
      <w:r>
        <w:rPr/>
        <w:t>and</w:t>
      </w:r>
      <w:r>
        <w:rPr>
          <w:spacing w:val="57"/>
        </w:rPr>
        <w:t> </w:t>
      </w:r>
      <w:r>
        <w:rPr/>
        <w:t>level</w:t>
      </w:r>
      <w:r>
        <w:rPr>
          <w:spacing w:val="61"/>
        </w:rPr>
        <w:t> </w:t>
      </w:r>
      <w:r>
        <w:rPr/>
        <w:t>of</w:t>
      </w:r>
      <w:r>
        <w:rPr>
          <w:spacing w:val="51"/>
        </w:rPr>
        <w:t> </w:t>
      </w:r>
      <w:r>
        <w:rPr/>
        <w:t>adequacy</w:t>
      </w:r>
      <w:r>
        <w:rPr>
          <w:spacing w:val="56"/>
        </w:rPr>
        <w:t> </w:t>
      </w:r>
      <w:r>
        <w:rPr/>
        <w:t>of</w:t>
      </w:r>
      <w:r>
        <w:rPr>
          <w:spacing w:val="56"/>
        </w:rPr>
        <w:t> </w:t>
      </w:r>
      <w:r>
        <w:rPr>
          <w:spacing w:val="-2"/>
        </w:rPr>
        <w:t>sanitation</w:t>
      </w:r>
    </w:p>
    <w:p>
      <w:pPr>
        <w:spacing w:after="0" w:line="480" w:lineRule="auto"/>
        <w:jc w:val="both"/>
        <w:sectPr>
          <w:headerReference w:type="default" r:id="rId291"/>
          <w:footerReference w:type="default" r:id="rId292"/>
          <w:pgSz w:w="12240" w:h="15840"/>
          <w:pgMar w:header="722" w:footer="791" w:top="1340" w:bottom="980" w:left="1340" w:right="1320"/>
        </w:sectPr>
      </w:pPr>
    </w:p>
    <w:p>
      <w:pPr>
        <w:pStyle w:val="BodyText"/>
        <w:spacing w:line="480" w:lineRule="auto" w:before="82"/>
        <w:ind w:left="820" w:right="117"/>
        <w:jc w:val="both"/>
      </w:pPr>
      <w:r>
        <w:rPr/>
        <w:t>facilities in the Universities. This was depicted by 57.9 percent of students, 50.7 percent of service staff and 47.8 percent of top management staff.</w:t>
      </w:r>
    </w:p>
    <w:p>
      <w:pPr>
        <w:pStyle w:val="BodyText"/>
        <w:spacing w:line="480" w:lineRule="auto"/>
        <w:ind w:left="820" w:right="115" w:firstLine="720"/>
        <w:jc w:val="both"/>
      </w:pPr>
      <w:r>
        <w:rPr/>
        <w:t>Although the opinion of the top management had parallel view with 47.8 percent, expressing not adequate, it was possible to conclude that sanitation facilities availed in most Universities under study for the better.</w:t>
      </w:r>
    </w:p>
    <w:p>
      <w:pPr>
        <w:pStyle w:val="BodyText"/>
        <w:spacing w:line="480" w:lineRule="auto"/>
        <w:ind w:left="820" w:right="116" w:firstLine="720"/>
        <w:jc w:val="both"/>
      </w:pPr>
      <w:r>
        <w:rPr/>
        <w:t>As to whether vaccines, innoculations etcetera were available and provided to students in these Universities as raised in item 25. 68.1 percent of students, 51.8 percent of service staff were glaringly in concordance while 52.2 percent of top management refused to share this view. With this high consensus of the students and service staff which constitute the largest number of respondents</w:t>
      </w:r>
      <w:r>
        <w:rPr>
          <w:spacing w:val="-2"/>
        </w:rPr>
        <w:t> </w:t>
      </w:r>
      <w:r>
        <w:rPr/>
        <w:t>it</w:t>
      </w:r>
      <w:r>
        <w:rPr>
          <w:spacing w:val="-2"/>
        </w:rPr>
        <w:t> </w:t>
      </w:r>
      <w:r>
        <w:rPr/>
        <w:t>could</w:t>
      </w:r>
      <w:r>
        <w:rPr>
          <w:spacing w:val="-1"/>
        </w:rPr>
        <w:t> </w:t>
      </w:r>
      <w:r>
        <w:rPr/>
        <w:t>be</w:t>
      </w:r>
      <w:r>
        <w:rPr>
          <w:spacing w:val="-1"/>
        </w:rPr>
        <w:t> </w:t>
      </w:r>
      <w:r>
        <w:rPr/>
        <w:t>concluded</w:t>
      </w:r>
      <w:r>
        <w:rPr>
          <w:spacing w:val="-1"/>
        </w:rPr>
        <w:t> </w:t>
      </w:r>
      <w:r>
        <w:rPr/>
        <w:t>that</w:t>
      </w:r>
      <w:r>
        <w:rPr>
          <w:spacing w:val="-2"/>
        </w:rPr>
        <w:t> </w:t>
      </w:r>
      <w:r>
        <w:rPr/>
        <w:t>availability</w:t>
      </w:r>
      <w:r>
        <w:rPr>
          <w:spacing w:val="-2"/>
        </w:rPr>
        <w:t> </w:t>
      </w:r>
      <w:r>
        <w:rPr/>
        <w:t>and</w:t>
      </w:r>
      <w:r>
        <w:rPr>
          <w:spacing w:val="-1"/>
        </w:rPr>
        <w:t> </w:t>
      </w:r>
      <w:r>
        <w:rPr/>
        <w:t>provision</w:t>
      </w:r>
      <w:r>
        <w:rPr>
          <w:spacing w:val="-1"/>
        </w:rPr>
        <w:t> </w:t>
      </w:r>
      <w:r>
        <w:rPr/>
        <w:t>of</w:t>
      </w:r>
      <w:r>
        <w:rPr>
          <w:spacing w:val="-2"/>
        </w:rPr>
        <w:t> </w:t>
      </w:r>
      <w:r>
        <w:rPr/>
        <w:t>these</w:t>
      </w:r>
      <w:r>
        <w:rPr>
          <w:spacing w:val="-1"/>
        </w:rPr>
        <w:t> </w:t>
      </w:r>
      <w:r>
        <w:rPr/>
        <w:t>facilities to students in the Universities was adequate.</w:t>
      </w:r>
    </w:p>
    <w:p>
      <w:pPr>
        <w:pStyle w:val="BodyText"/>
        <w:spacing w:line="480" w:lineRule="auto"/>
        <w:ind w:left="820" w:right="114" w:firstLine="720"/>
        <w:jc w:val="both"/>
      </w:pPr>
      <w:r>
        <w:rPr/>
        <w:t>Item</w:t>
      </w:r>
      <w:r>
        <w:rPr>
          <w:spacing w:val="-6"/>
        </w:rPr>
        <w:t> </w:t>
      </w:r>
      <w:r>
        <w:rPr/>
        <w:t>26 which sought to establish whether</w:t>
      </w:r>
      <w:r>
        <w:rPr>
          <w:spacing w:val="-1"/>
        </w:rPr>
        <w:t> </w:t>
      </w:r>
      <w:r>
        <w:rPr/>
        <w:t>or</w:t>
      </w:r>
      <w:r>
        <w:rPr>
          <w:spacing w:val="-6"/>
        </w:rPr>
        <w:t> </w:t>
      </w:r>
      <w:r>
        <w:rPr/>
        <w:t>not drugs were</w:t>
      </w:r>
      <w:r>
        <w:rPr>
          <w:spacing w:val="-2"/>
        </w:rPr>
        <w:t> </w:t>
      </w:r>
      <w:r>
        <w:rPr/>
        <w:t>available</w:t>
      </w:r>
      <w:r>
        <w:rPr>
          <w:spacing w:val="-2"/>
        </w:rPr>
        <w:t> </w:t>
      </w:r>
      <w:r>
        <w:rPr/>
        <w:t>and provided to students</w:t>
      </w:r>
      <w:r>
        <w:rPr>
          <w:spacing w:val="-2"/>
        </w:rPr>
        <w:t> </w:t>
      </w:r>
      <w:r>
        <w:rPr/>
        <w:t>in the Universities, 74.5</w:t>
      </w:r>
      <w:r>
        <w:rPr>
          <w:spacing w:val="-1"/>
        </w:rPr>
        <w:t> </w:t>
      </w:r>
      <w:r>
        <w:rPr/>
        <w:t>percent of students, 75.9 percent of service staff and 65.2 percentage of top management unanimously agreed that drugs were adequately provided to students in the Universities. This high congruence in the opinions of respondents on this item fully confirmed that all things being equal, drugs were available to be provided to students in the Universities. This opinion could not be devoid of the heavy medical fees charged on students in the Universities which probably were fully utilized to purchase relevant and necessary drugs for the ailing/sick students.</w:t>
      </w:r>
    </w:p>
    <w:p>
      <w:pPr>
        <w:pStyle w:val="BodyText"/>
        <w:spacing w:line="480" w:lineRule="auto" w:before="1"/>
        <w:ind w:left="820" w:right="121" w:firstLine="720"/>
        <w:jc w:val="both"/>
      </w:pPr>
      <w:r>
        <w:rPr/>
        <w:t>On whether or not curative and preventive treatments were adequately provided to students in the Universities there was high level of agreement in the opinions</w:t>
      </w:r>
      <w:r>
        <w:rPr>
          <w:spacing w:val="63"/>
          <w:w w:val="150"/>
        </w:rPr>
        <w:t> </w:t>
      </w:r>
      <w:r>
        <w:rPr/>
        <w:t>of</w:t>
      </w:r>
      <w:r>
        <w:rPr>
          <w:spacing w:val="65"/>
          <w:w w:val="150"/>
        </w:rPr>
        <w:t> </w:t>
      </w:r>
      <w:r>
        <w:rPr/>
        <w:t>respondents</w:t>
      </w:r>
      <w:r>
        <w:rPr>
          <w:spacing w:val="64"/>
          <w:w w:val="150"/>
        </w:rPr>
        <w:t> </w:t>
      </w:r>
      <w:r>
        <w:rPr/>
        <w:t>that</w:t>
      </w:r>
      <w:r>
        <w:rPr>
          <w:spacing w:val="65"/>
          <w:w w:val="150"/>
        </w:rPr>
        <w:t> </w:t>
      </w:r>
      <w:r>
        <w:rPr/>
        <w:t>these</w:t>
      </w:r>
      <w:r>
        <w:rPr>
          <w:spacing w:val="65"/>
          <w:w w:val="150"/>
        </w:rPr>
        <w:t> </w:t>
      </w:r>
      <w:r>
        <w:rPr/>
        <w:t>facilities</w:t>
      </w:r>
      <w:r>
        <w:rPr>
          <w:spacing w:val="64"/>
          <w:w w:val="150"/>
        </w:rPr>
        <w:t> </w:t>
      </w:r>
      <w:r>
        <w:rPr/>
        <w:t>were</w:t>
      </w:r>
      <w:r>
        <w:rPr>
          <w:spacing w:val="65"/>
          <w:w w:val="150"/>
        </w:rPr>
        <w:t> </w:t>
      </w:r>
      <w:r>
        <w:rPr/>
        <w:t>adequately</w:t>
      </w:r>
      <w:r>
        <w:rPr>
          <w:spacing w:val="64"/>
          <w:w w:val="150"/>
        </w:rPr>
        <w:t> </w:t>
      </w:r>
      <w:r>
        <w:rPr/>
        <w:t>provided</w:t>
      </w:r>
      <w:r>
        <w:rPr>
          <w:spacing w:val="65"/>
          <w:w w:val="150"/>
        </w:rPr>
        <w:t> </w:t>
      </w:r>
      <w:r>
        <w:rPr>
          <w:spacing w:val="-5"/>
        </w:rPr>
        <w:t>to</w:t>
      </w:r>
    </w:p>
    <w:p>
      <w:pPr>
        <w:spacing w:after="0" w:line="480" w:lineRule="auto"/>
        <w:jc w:val="both"/>
        <w:sectPr>
          <w:headerReference w:type="default" r:id="rId293"/>
          <w:footerReference w:type="default" r:id="rId294"/>
          <w:pgSz w:w="12240" w:h="15840"/>
          <w:pgMar w:header="722" w:footer="791" w:top="1340" w:bottom="980" w:left="1340" w:right="1320"/>
        </w:sectPr>
      </w:pPr>
    </w:p>
    <w:p>
      <w:pPr>
        <w:pStyle w:val="BodyText"/>
        <w:spacing w:line="480" w:lineRule="auto" w:before="82"/>
        <w:ind w:left="820" w:right="118"/>
        <w:jc w:val="both"/>
      </w:pPr>
      <w:r>
        <w:rPr/>
        <w:t>students as evidenced from the responses of 71.9 percent of students, 55.2 percent of service staff and 52.2 percent of top management. There was a clear testimony that members of the Universities and other individuals were becoming more conscious of the application of both preventive and curative medical/health </w:t>
      </w:r>
      <w:r>
        <w:rPr>
          <w:spacing w:val="-2"/>
        </w:rPr>
        <w:t>measures.</w:t>
      </w:r>
    </w:p>
    <w:p>
      <w:pPr>
        <w:pStyle w:val="Heading2"/>
        <w:ind w:right="121" w:hanging="720"/>
        <w:jc w:val="both"/>
      </w:pPr>
      <w:r>
        <w:rPr>
          <w:rFonts w:ascii="Arial MT"/>
          <w:b w:val="0"/>
        </w:rPr>
        <w:t>4.2.6 </w:t>
      </w:r>
      <w:r>
        <w:rPr/>
        <w:t>Responses on the availability and in Universities degree of provision of Environmental services to students in the three geopolitical zones of Northern part of Nigeria.</w:t>
      </w:r>
    </w:p>
    <w:p>
      <w:pPr>
        <w:pStyle w:val="BodyText"/>
        <w:spacing w:line="480" w:lineRule="auto" w:before="277"/>
        <w:ind w:left="820" w:right="116" w:firstLine="720"/>
        <w:jc w:val="both"/>
      </w:pPr>
      <w:r>
        <w:rPr/>
        <w:t>This section was designed to present analysis of responses of the three groups of respondents as depicted in items 28 to 32 under environmental services. The issues identified were to confirm the availability and degree of adequacy of provision of the environmental services rendered to students in these Universities. In achieving this the responses of respondents were analysed and presented in Table 4.2.4</w:t>
      </w:r>
    </w:p>
    <w:p>
      <w:pPr>
        <w:spacing w:after="0" w:line="480" w:lineRule="auto"/>
        <w:jc w:val="both"/>
        <w:sectPr>
          <w:headerReference w:type="default" r:id="rId295"/>
          <w:footerReference w:type="default" r:id="rId296"/>
          <w:pgSz w:w="12240" w:h="15840"/>
          <w:pgMar w:header="722" w:footer="791" w:top="1340" w:bottom="980" w:left="1340" w:right="1320"/>
        </w:sectPr>
      </w:pPr>
    </w:p>
    <w:p>
      <w:pPr>
        <w:pStyle w:val="BodyText"/>
        <w:spacing w:before="72"/>
        <w:ind w:left="3" w:right="433"/>
        <w:jc w:val="center"/>
        <w:rPr>
          <w:rFonts w:ascii="Times New Roman"/>
        </w:rPr>
      </w:pPr>
      <w:r>
        <w:rPr>
          <w:rFonts w:ascii="Times New Roman"/>
          <w:spacing w:val="-5"/>
        </w:rPr>
        <w:t>128</w:t>
      </w:r>
    </w:p>
    <w:p>
      <w:pPr>
        <w:pStyle w:val="BodyText"/>
        <w:spacing w:before="121"/>
        <w:rPr>
          <w:rFonts w:ascii="Times New Roman"/>
          <w:sz w:val="28"/>
        </w:rPr>
      </w:pPr>
    </w:p>
    <w:p>
      <w:pPr>
        <w:pStyle w:val="Heading2"/>
        <w:spacing w:before="1" w:after="7"/>
        <w:ind w:left="2245" w:right="2377" w:hanging="1594"/>
      </w:pPr>
      <w:r>
        <w:rPr/>
        <w:t>Table</w:t>
      </w:r>
      <w:r>
        <w:rPr>
          <w:spacing w:val="-2"/>
        </w:rPr>
        <w:t> </w:t>
      </w:r>
      <w:r>
        <w:rPr/>
        <w:t>4.2.4:</w:t>
      </w:r>
      <w:r>
        <w:rPr>
          <w:spacing w:val="-2"/>
        </w:rPr>
        <w:t> </w:t>
      </w:r>
      <w:r>
        <w:rPr/>
        <w:t>Opinions</w:t>
      </w:r>
      <w:r>
        <w:rPr>
          <w:spacing w:val="-7"/>
        </w:rPr>
        <w:t> </w:t>
      </w:r>
      <w:r>
        <w:rPr/>
        <w:t>of</w:t>
      </w:r>
      <w:r>
        <w:rPr>
          <w:spacing w:val="-7"/>
        </w:rPr>
        <w:t> </w:t>
      </w:r>
      <w:r>
        <w:rPr/>
        <w:t>respondents</w:t>
      </w:r>
      <w:r>
        <w:rPr>
          <w:spacing w:val="-7"/>
        </w:rPr>
        <w:t> </w:t>
      </w:r>
      <w:r>
        <w:rPr/>
        <w:t>on</w:t>
      </w:r>
      <w:r>
        <w:rPr>
          <w:spacing w:val="-3"/>
        </w:rPr>
        <w:t> </w:t>
      </w:r>
      <w:r>
        <w:rPr/>
        <w:t>the</w:t>
      </w:r>
      <w:r>
        <w:rPr>
          <w:spacing w:val="-7"/>
        </w:rPr>
        <w:t> </w:t>
      </w:r>
      <w:r>
        <w:rPr/>
        <w:t>environmental</w:t>
      </w:r>
      <w:r>
        <w:rPr>
          <w:spacing w:val="-1"/>
        </w:rPr>
        <w:t> </w:t>
      </w:r>
      <w:r>
        <w:rPr/>
        <w:t>services</w:t>
      </w:r>
      <w:r>
        <w:rPr>
          <w:spacing w:val="-2"/>
        </w:rPr>
        <w:t> </w:t>
      </w:r>
      <w:r>
        <w:rPr/>
        <w:t>for students</w:t>
      </w:r>
      <w:r>
        <w:rPr>
          <w:spacing w:val="-7"/>
        </w:rPr>
        <w:t> </w:t>
      </w:r>
      <w:r>
        <w:rPr/>
        <w:t>in</w:t>
      </w:r>
      <w:r>
        <w:rPr>
          <w:spacing w:val="-3"/>
        </w:rPr>
        <w:t> </w:t>
      </w:r>
      <w:r>
        <w:rPr/>
        <w:t>the </w:t>
      </w:r>
      <w:r>
        <w:rPr>
          <w:spacing w:val="-2"/>
        </w:rPr>
        <w:t>Universities</w:t>
      </w:r>
    </w:p>
    <w:tbl>
      <w:tblPr>
        <w:tblW w:w="0" w:type="auto"/>
        <w:jc w:val="left"/>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776"/>
        <w:gridCol w:w="2348"/>
        <w:gridCol w:w="675"/>
        <w:gridCol w:w="758"/>
        <w:gridCol w:w="518"/>
        <w:gridCol w:w="787"/>
        <w:gridCol w:w="715"/>
        <w:gridCol w:w="847"/>
        <w:gridCol w:w="710"/>
        <w:gridCol w:w="828"/>
        <w:gridCol w:w="600"/>
        <w:gridCol w:w="770"/>
        <w:gridCol w:w="691"/>
        <w:gridCol w:w="738"/>
      </w:tblGrid>
      <w:tr>
        <w:trPr>
          <w:trHeight w:val="278" w:hRule="atLeast"/>
        </w:trPr>
        <w:tc>
          <w:tcPr>
            <w:tcW w:w="3776" w:type="dxa"/>
            <w:vMerge w:val="restart"/>
            <w:tcBorders>
              <w:top w:val="single" w:sz="4" w:space="0" w:color="000000"/>
              <w:left w:val="single" w:sz="4" w:space="0" w:color="000000"/>
              <w:bottom w:val="single" w:sz="4" w:space="0" w:color="000000"/>
            </w:tcBorders>
          </w:tcPr>
          <w:p>
            <w:pPr>
              <w:pStyle w:val="TableParagraph"/>
              <w:rPr>
                <w:rFonts w:ascii="Arial"/>
                <w:b/>
                <w:sz w:val="20"/>
              </w:rPr>
            </w:pPr>
          </w:p>
          <w:p>
            <w:pPr>
              <w:pStyle w:val="TableParagraph"/>
              <w:spacing w:before="221"/>
              <w:rPr>
                <w:rFonts w:ascii="Arial"/>
                <w:b/>
                <w:sz w:val="20"/>
              </w:rPr>
            </w:pPr>
          </w:p>
          <w:p>
            <w:pPr>
              <w:pStyle w:val="TableParagraph"/>
              <w:tabs>
                <w:tab w:pos="830" w:val="left" w:leader="none"/>
              </w:tabs>
              <w:ind w:left="134"/>
              <w:rPr>
                <w:rFonts w:ascii="Arial"/>
                <w:b/>
                <w:sz w:val="20"/>
              </w:rPr>
            </w:pPr>
            <w:r>
              <w:rPr>
                <w:rFonts w:ascii="Arial"/>
                <w:b/>
                <w:spacing w:val="-4"/>
                <w:sz w:val="20"/>
              </w:rPr>
              <w:t>S/No</w:t>
            </w:r>
            <w:r>
              <w:rPr>
                <w:rFonts w:ascii="Arial"/>
                <w:b/>
                <w:sz w:val="20"/>
              </w:rPr>
              <w:tab/>
              <w:t>Item</w:t>
            </w:r>
            <w:r>
              <w:rPr>
                <w:rFonts w:ascii="Arial"/>
                <w:b/>
                <w:spacing w:val="-2"/>
                <w:sz w:val="20"/>
              </w:rPr>
              <w:t> Statements</w:t>
            </w:r>
          </w:p>
        </w:tc>
        <w:tc>
          <w:tcPr>
            <w:tcW w:w="2348" w:type="dxa"/>
            <w:vMerge w:val="restart"/>
            <w:tcBorders>
              <w:top w:val="single" w:sz="4" w:space="0" w:color="000000"/>
              <w:bottom w:val="single" w:sz="4" w:space="0" w:color="000000"/>
              <w:right w:val="single" w:sz="4" w:space="0" w:color="000000"/>
            </w:tcBorders>
          </w:tcPr>
          <w:p>
            <w:pPr>
              <w:pStyle w:val="TableParagraph"/>
              <w:rPr>
                <w:rFonts w:ascii="Arial"/>
                <w:b/>
                <w:sz w:val="20"/>
              </w:rPr>
            </w:pPr>
          </w:p>
          <w:p>
            <w:pPr>
              <w:pStyle w:val="TableParagraph"/>
              <w:spacing w:before="221"/>
              <w:rPr>
                <w:rFonts w:ascii="Arial"/>
                <w:b/>
                <w:sz w:val="20"/>
              </w:rPr>
            </w:pPr>
          </w:p>
          <w:p>
            <w:pPr>
              <w:pStyle w:val="TableParagraph"/>
              <w:ind w:left="121" w:right="945"/>
              <w:rPr>
                <w:rFonts w:ascii="Arial"/>
                <w:b/>
                <w:sz w:val="20"/>
              </w:rPr>
            </w:pPr>
            <w:r>
              <w:rPr>
                <w:rFonts w:ascii="Arial"/>
                <w:b/>
                <w:sz w:val="20"/>
              </w:rPr>
              <w:t>Category of </w:t>
            </w:r>
            <w:r>
              <w:rPr>
                <w:rFonts w:ascii="Arial"/>
                <w:b/>
                <w:spacing w:val="-2"/>
                <w:sz w:val="20"/>
              </w:rPr>
              <w:t>Respondents</w:t>
            </w:r>
          </w:p>
        </w:tc>
        <w:tc>
          <w:tcPr>
            <w:tcW w:w="8637" w:type="dxa"/>
            <w:gridSpan w:val="12"/>
            <w:tcBorders>
              <w:top w:val="single" w:sz="4" w:space="0" w:color="000000"/>
              <w:left w:val="single" w:sz="4" w:space="0" w:color="000000"/>
              <w:bottom w:val="single" w:sz="4" w:space="0" w:color="000000"/>
              <w:right w:val="single" w:sz="4" w:space="0" w:color="000000"/>
            </w:tcBorders>
          </w:tcPr>
          <w:p>
            <w:pPr>
              <w:pStyle w:val="TableParagraph"/>
              <w:spacing w:line="258" w:lineRule="exact"/>
              <w:ind w:right="1368"/>
              <w:jc w:val="center"/>
              <w:rPr>
                <w:rFonts w:ascii="Arial"/>
                <w:b/>
                <w:sz w:val="24"/>
              </w:rPr>
            </w:pPr>
            <w:r>
              <w:rPr>
                <w:rFonts w:ascii="Arial"/>
                <w:b/>
                <w:spacing w:val="-2"/>
                <w:sz w:val="24"/>
              </w:rPr>
              <w:t>Responses</w:t>
            </w:r>
          </w:p>
        </w:tc>
      </w:tr>
      <w:tr>
        <w:trPr>
          <w:trHeight w:val="690" w:hRule="atLeast"/>
        </w:trPr>
        <w:tc>
          <w:tcPr>
            <w:tcW w:w="3776" w:type="dxa"/>
            <w:vMerge/>
            <w:tcBorders>
              <w:top w:val="nil"/>
              <w:left w:val="single" w:sz="4" w:space="0" w:color="000000"/>
              <w:bottom w:val="single" w:sz="4" w:space="0" w:color="000000"/>
            </w:tcBorders>
          </w:tcPr>
          <w:p>
            <w:pPr>
              <w:rPr>
                <w:sz w:val="2"/>
                <w:szCs w:val="2"/>
              </w:rPr>
            </w:pPr>
          </w:p>
        </w:tc>
        <w:tc>
          <w:tcPr>
            <w:tcW w:w="2348" w:type="dxa"/>
            <w:vMerge/>
            <w:tcBorders>
              <w:top w:val="nil"/>
              <w:bottom w:val="single" w:sz="4" w:space="0" w:color="000000"/>
              <w:right w:val="single" w:sz="4" w:space="0" w:color="000000"/>
            </w:tcBorders>
          </w:tcPr>
          <w:p>
            <w:pPr>
              <w:rPr>
                <w:sz w:val="2"/>
                <w:szCs w:val="2"/>
              </w:rPr>
            </w:pPr>
          </w:p>
        </w:tc>
        <w:tc>
          <w:tcPr>
            <w:tcW w:w="8637" w:type="dxa"/>
            <w:gridSpan w:val="12"/>
            <w:tcBorders>
              <w:top w:val="single" w:sz="4" w:space="0" w:color="000000"/>
              <w:left w:val="single" w:sz="4" w:space="0" w:color="000000"/>
              <w:bottom w:val="single" w:sz="4" w:space="0" w:color="000000"/>
              <w:right w:val="single" w:sz="4" w:space="0" w:color="000000"/>
            </w:tcBorders>
          </w:tcPr>
          <w:p>
            <w:pPr>
              <w:pStyle w:val="TableParagraph"/>
              <w:tabs>
                <w:tab w:pos="1608" w:val="left" w:leader="none"/>
                <w:tab w:pos="1848" w:val="left" w:leader="none"/>
                <w:tab w:pos="3062" w:val="left" w:leader="none"/>
                <w:tab w:pos="4598" w:val="left" w:leader="none"/>
                <w:tab w:pos="4886" w:val="left" w:leader="none"/>
                <w:tab w:pos="6058" w:val="left" w:leader="none"/>
                <w:tab w:pos="6317" w:val="left" w:leader="none"/>
                <w:tab w:pos="7675" w:val="left" w:leader="none"/>
              </w:tabs>
              <w:ind w:left="336" w:right="466" w:firstLine="96"/>
              <w:rPr>
                <w:rFonts w:ascii="Arial"/>
                <w:b/>
                <w:sz w:val="20"/>
              </w:rPr>
            </w:pPr>
            <w:r>
              <w:rPr>
                <w:rFonts w:ascii="Arial"/>
                <w:b/>
                <w:sz w:val="20"/>
              </w:rPr>
              <w:t>No. of</w:t>
              <w:tab/>
              <w:tab/>
            </w:r>
            <w:r>
              <w:rPr>
                <w:rFonts w:ascii="Arial"/>
                <w:b/>
                <w:spacing w:val="-4"/>
                <w:sz w:val="20"/>
              </w:rPr>
              <w:t>Very</w:t>
            </w:r>
            <w:r>
              <w:rPr>
                <w:rFonts w:ascii="Arial"/>
                <w:b/>
                <w:sz w:val="20"/>
              </w:rPr>
              <w:tab/>
            </w:r>
            <w:r>
              <w:rPr>
                <w:rFonts w:ascii="Arial"/>
                <w:b/>
                <w:spacing w:val="-2"/>
                <w:sz w:val="20"/>
              </w:rPr>
              <w:t>Adequate</w:t>
            </w:r>
            <w:r>
              <w:rPr>
                <w:rFonts w:ascii="Arial"/>
                <w:b/>
                <w:sz w:val="20"/>
              </w:rPr>
              <w:tab/>
              <w:tab/>
            </w:r>
            <w:r>
              <w:rPr>
                <w:rFonts w:ascii="Arial"/>
                <w:b/>
                <w:spacing w:val="-4"/>
                <w:sz w:val="20"/>
              </w:rPr>
              <w:t>Not</w:t>
            </w:r>
            <w:r>
              <w:rPr>
                <w:rFonts w:ascii="Arial"/>
                <w:b/>
                <w:sz w:val="20"/>
              </w:rPr>
              <w:tab/>
              <w:tab/>
            </w:r>
            <w:r>
              <w:rPr>
                <w:rFonts w:ascii="Arial"/>
                <w:b/>
                <w:spacing w:val="-4"/>
                <w:sz w:val="20"/>
              </w:rPr>
              <w:t>Not</w:t>
            </w:r>
            <w:r>
              <w:rPr>
                <w:rFonts w:ascii="Arial"/>
                <w:b/>
                <w:sz w:val="20"/>
              </w:rPr>
              <w:tab/>
            </w:r>
            <w:r>
              <w:rPr>
                <w:rFonts w:ascii="Arial"/>
                <w:b/>
                <w:spacing w:val="-2"/>
                <w:sz w:val="20"/>
              </w:rPr>
              <w:t>Total missing</w:t>
            </w:r>
            <w:r>
              <w:rPr>
                <w:rFonts w:ascii="Arial"/>
                <w:b/>
                <w:sz w:val="20"/>
              </w:rPr>
              <w:tab/>
            </w:r>
            <w:r>
              <w:rPr>
                <w:rFonts w:ascii="Arial"/>
                <w:b/>
                <w:spacing w:val="-2"/>
                <w:sz w:val="20"/>
              </w:rPr>
              <w:t>Adequate</w:t>
            </w:r>
            <w:r>
              <w:rPr>
                <w:rFonts w:ascii="Arial"/>
                <w:b/>
                <w:sz w:val="20"/>
              </w:rPr>
              <w:tab/>
              <w:tab/>
            </w:r>
            <w:r>
              <w:rPr>
                <w:rFonts w:ascii="Arial"/>
                <w:b/>
                <w:spacing w:val="-2"/>
                <w:sz w:val="20"/>
              </w:rPr>
              <w:t>Adequate</w:t>
            </w:r>
            <w:r>
              <w:rPr>
                <w:rFonts w:ascii="Arial"/>
                <w:b/>
                <w:sz w:val="20"/>
              </w:rPr>
              <w:tab/>
            </w:r>
            <w:r>
              <w:rPr>
                <w:rFonts w:ascii="Arial"/>
                <w:b/>
                <w:spacing w:val="-2"/>
                <w:sz w:val="20"/>
              </w:rPr>
              <w:t>Provided</w:t>
            </w:r>
          </w:p>
          <w:p>
            <w:pPr>
              <w:pStyle w:val="TableParagraph"/>
              <w:spacing w:line="220" w:lineRule="exact"/>
              <w:ind w:left="149"/>
              <w:rPr>
                <w:rFonts w:ascii="Arial"/>
                <w:b/>
                <w:sz w:val="20"/>
              </w:rPr>
            </w:pPr>
            <w:r>
              <w:rPr>
                <w:rFonts w:ascii="Arial"/>
                <w:b/>
                <w:spacing w:val="-2"/>
                <w:sz w:val="20"/>
              </w:rPr>
              <w:t>observation</w:t>
            </w:r>
          </w:p>
        </w:tc>
      </w:tr>
      <w:tr>
        <w:trPr>
          <w:trHeight w:val="316" w:hRule="atLeast"/>
        </w:trPr>
        <w:tc>
          <w:tcPr>
            <w:tcW w:w="3776" w:type="dxa"/>
            <w:vMerge/>
            <w:tcBorders>
              <w:top w:val="nil"/>
              <w:left w:val="single" w:sz="4" w:space="0" w:color="000000"/>
              <w:bottom w:val="single" w:sz="4" w:space="0" w:color="000000"/>
            </w:tcBorders>
          </w:tcPr>
          <w:p>
            <w:pPr>
              <w:rPr>
                <w:sz w:val="2"/>
                <w:szCs w:val="2"/>
              </w:rPr>
            </w:pPr>
          </w:p>
        </w:tc>
        <w:tc>
          <w:tcPr>
            <w:tcW w:w="2348" w:type="dxa"/>
            <w:vMerge/>
            <w:tcBorders>
              <w:top w:val="nil"/>
              <w:bottom w:val="single" w:sz="4" w:space="0" w:color="000000"/>
              <w:right w:val="single" w:sz="4" w:space="0" w:color="000000"/>
            </w:tcBorders>
          </w:tcPr>
          <w:p>
            <w:pPr>
              <w:rPr>
                <w:sz w:val="2"/>
                <w:szCs w:val="2"/>
              </w:rPr>
            </w:pPr>
          </w:p>
        </w:tc>
        <w:tc>
          <w:tcPr>
            <w:tcW w:w="675" w:type="dxa"/>
            <w:tcBorders>
              <w:top w:val="single" w:sz="4" w:space="0" w:color="000000"/>
              <w:left w:val="single" w:sz="4" w:space="0" w:color="000000"/>
              <w:bottom w:val="single" w:sz="4" w:space="0" w:color="000000"/>
            </w:tcBorders>
          </w:tcPr>
          <w:p>
            <w:pPr>
              <w:pStyle w:val="TableParagraph"/>
              <w:spacing w:line="220" w:lineRule="exact"/>
              <w:ind w:left="49"/>
              <w:jc w:val="center"/>
              <w:rPr>
                <w:rFonts w:ascii="Arial"/>
                <w:b/>
                <w:sz w:val="20"/>
              </w:rPr>
            </w:pPr>
            <w:r>
              <w:rPr>
                <w:rFonts w:ascii="Arial"/>
                <w:b/>
                <w:spacing w:val="-10"/>
                <w:sz w:val="20"/>
              </w:rPr>
              <w:t>F</w:t>
            </w:r>
          </w:p>
        </w:tc>
        <w:tc>
          <w:tcPr>
            <w:tcW w:w="758" w:type="dxa"/>
            <w:tcBorders>
              <w:top w:val="single" w:sz="4" w:space="0" w:color="000000"/>
              <w:bottom w:val="single" w:sz="4" w:space="0" w:color="000000"/>
            </w:tcBorders>
          </w:tcPr>
          <w:p>
            <w:pPr>
              <w:pStyle w:val="TableParagraph"/>
              <w:spacing w:line="220" w:lineRule="exact"/>
              <w:ind w:left="60"/>
              <w:jc w:val="center"/>
              <w:rPr>
                <w:rFonts w:ascii="Arial"/>
                <w:b/>
                <w:sz w:val="20"/>
              </w:rPr>
            </w:pPr>
            <w:r>
              <w:rPr>
                <w:rFonts w:ascii="Arial"/>
                <w:b/>
                <w:spacing w:val="-10"/>
                <w:sz w:val="20"/>
              </w:rPr>
              <w:t>%</w:t>
            </w:r>
          </w:p>
        </w:tc>
        <w:tc>
          <w:tcPr>
            <w:tcW w:w="518" w:type="dxa"/>
            <w:tcBorders>
              <w:top w:val="single" w:sz="4" w:space="0" w:color="000000"/>
              <w:bottom w:val="single" w:sz="4" w:space="0" w:color="000000"/>
            </w:tcBorders>
          </w:tcPr>
          <w:p>
            <w:pPr>
              <w:pStyle w:val="TableParagraph"/>
              <w:spacing w:line="220" w:lineRule="exact"/>
              <w:ind w:left="43"/>
              <w:jc w:val="center"/>
              <w:rPr>
                <w:rFonts w:ascii="Arial"/>
                <w:b/>
                <w:sz w:val="20"/>
              </w:rPr>
            </w:pPr>
            <w:r>
              <w:rPr>
                <w:rFonts w:ascii="Arial"/>
                <w:b/>
                <w:spacing w:val="-10"/>
                <w:sz w:val="20"/>
              </w:rPr>
              <w:t>F</w:t>
            </w:r>
          </w:p>
        </w:tc>
        <w:tc>
          <w:tcPr>
            <w:tcW w:w="787" w:type="dxa"/>
            <w:tcBorders>
              <w:top w:val="single" w:sz="4" w:space="0" w:color="000000"/>
              <w:bottom w:val="single" w:sz="4" w:space="0" w:color="000000"/>
            </w:tcBorders>
          </w:tcPr>
          <w:p>
            <w:pPr>
              <w:pStyle w:val="TableParagraph"/>
              <w:spacing w:line="220" w:lineRule="exact"/>
              <w:ind w:left="39" w:right="35"/>
              <w:jc w:val="center"/>
              <w:rPr>
                <w:rFonts w:ascii="Arial"/>
                <w:b/>
                <w:sz w:val="20"/>
              </w:rPr>
            </w:pPr>
            <w:r>
              <w:rPr>
                <w:rFonts w:ascii="Arial"/>
                <w:b/>
                <w:spacing w:val="-10"/>
                <w:sz w:val="20"/>
              </w:rPr>
              <w:t>%</w:t>
            </w:r>
          </w:p>
        </w:tc>
        <w:tc>
          <w:tcPr>
            <w:tcW w:w="715" w:type="dxa"/>
            <w:tcBorders>
              <w:top w:val="single" w:sz="4" w:space="0" w:color="000000"/>
              <w:bottom w:val="single" w:sz="4" w:space="0" w:color="000000"/>
            </w:tcBorders>
          </w:tcPr>
          <w:p>
            <w:pPr>
              <w:pStyle w:val="TableParagraph"/>
              <w:spacing w:line="220" w:lineRule="exact"/>
              <w:ind w:left="39" w:right="93"/>
              <w:jc w:val="center"/>
              <w:rPr>
                <w:rFonts w:ascii="Arial"/>
                <w:b/>
                <w:sz w:val="20"/>
              </w:rPr>
            </w:pPr>
            <w:r>
              <w:rPr>
                <w:rFonts w:ascii="Arial"/>
                <w:b/>
                <w:spacing w:val="-10"/>
                <w:sz w:val="20"/>
              </w:rPr>
              <w:t>F</w:t>
            </w:r>
          </w:p>
        </w:tc>
        <w:tc>
          <w:tcPr>
            <w:tcW w:w="847" w:type="dxa"/>
            <w:tcBorders>
              <w:top w:val="single" w:sz="4" w:space="0" w:color="000000"/>
              <w:bottom w:val="single" w:sz="4" w:space="0" w:color="000000"/>
            </w:tcBorders>
          </w:tcPr>
          <w:p>
            <w:pPr>
              <w:pStyle w:val="TableParagraph"/>
              <w:spacing w:line="220" w:lineRule="exact"/>
              <w:ind w:left="27" w:right="6"/>
              <w:jc w:val="center"/>
              <w:rPr>
                <w:rFonts w:ascii="Arial"/>
                <w:b/>
                <w:sz w:val="20"/>
              </w:rPr>
            </w:pPr>
            <w:r>
              <w:rPr>
                <w:rFonts w:ascii="Arial"/>
                <w:b/>
                <w:spacing w:val="-10"/>
                <w:sz w:val="20"/>
              </w:rPr>
              <w:t>%</w:t>
            </w:r>
          </w:p>
        </w:tc>
        <w:tc>
          <w:tcPr>
            <w:tcW w:w="710" w:type="dxa"/>
            <w:tcBorders>
              <w:top w:val="single" w:sz="4" w:space="0" w:color="000000"/>
              <w:bottom w:val="single" w:sz="4" w:space="0" w:color="000000"/>
            </w:tcBorders>
          </w:tcPr>
          <w:p>
            <w:pPr>
              <w:pStyle w:val="TableParagraph"/>
              <w:spacing w:line="220" w:lineRule="exact"/>
              <w:ind w:left="98"/>
              <w:jc w:val="center"/>
              <w:rPr>
                <w:rFonts w:ascii="Arial"/>
                <w:b/>
                <w:sz w:val="20"/>
              </w:rPr>
            </w:pPr>
            <w:r>
              <w:rPr>
                <w:rFonts w:ascii="Arial"/>
                <w:b/>
                <w:spacing w:val="-10"/>
                <w:sz w:val="20"/>
              </w:rPr>
              <w:t>F</w:t>
            </w:r>
          </w:p>
        </w:tc>
        <w:tc>
          <w:tcPr>
            <w:tcW w:w="828" w:type="dxa"/>
            <w:tcBorders>
              <w:top w:val="single" w:sz="4" w:space="0" w:color="000000"/>
              <w:bottom w:val="single" w:sz="4" w:space="0" w:color="000000"/>
            </w:tcBorders>
          </w:tcPr>
          <w:p>
            <w:pPr>
              <w:pStyle w:val="TableParagraph"/>
              <w:spacing w:line="220" w:lineRule="exact"/>
              <w:ind w:left="4" w:right="5"/>
              <w:jc w:val="center"/>
              <w:rPr>
                <w:rFonts w:ascii="Arial"/>
                <w:b/>
                <w:sz w:val="20"/>
              </w:rPr>
            </w:pPr>
            <w:r>
              <w:rPr>
                <w:rFonts w:ascii="Arial"/>
                <w:b/>
                <w:spacing w:val="-10"/>
                <w:sz w:val="20"/>
              </w:rPr>
              <w:t>%</w:t>
            </w:r>
          </w:p>
        </w:tc>
        <w:tc>
          <w:tcPr>
            <w:tcW w:w="600" w:type="dxa"/>
            <w:tcBorders>
              <w:top w:val="single" w:sz="4" w:space="0" w:color="000000"/>
              <w:bottom w:val="single" w:sz="4" w:space="0" w:color="000000"/>
            </w:tcBorders>
          </w:tcPr>
          <w:p>
            <w:pPr>
              <w:pStyle w:val="TableParagraph"/>
              <w:spacing w:line="220" w:lineRule="exact"/>
              <w:ind w:left="8" w:right="13"/>
              <w:jc w:val="center"/>
              <w:rPr>
                <w:rFonts w:ascii="Arial"/>
                <w:b/>
                <w:sz w:val="20"/>
              </w:rPr>
            </w:pPr>
            <w:r>
              <w:rPr>
                <w:rFonts w:ascii="Arial"/>
                <w:b/>
                <w:spacing w:val="-10"/>
                <w:sz w:val="20"/>
              </w:rPr>
              <w:t>F</w:t>
            </w:r>
          </w:p>
        </w:tc>
        <w:tc>
          <w:tcPr>
            <w:tcW w:w="770" w:type="dxa"/>
            <w:tcBorders>
              <w:top w:val="single" w:sz="4" w:space="0" w:color="000000"/>
              <w:bottom w:val="single" w:sz="4" w:space="0" w:color="000000"/>
            </w:tcBorders>
          </w:tcPr>
          <w:p>
            <w:pPr>
              <w:pStyle w:val="TableParagraph"/>
              <w:spacing w:line="220" w:lineRule="exact"/>
              <w:ind w:left="45" w:right="3"/>
              <w:jc w:val="center"/>
              <w:rPr>
                <w:rFonts w:ascii="Arial"/>
                <w:b/>
                <w:sz w:val="20"/>
              </w:rPr>
            </w:pPr>
            <w:r>
              <w:rPr>
                <w:rFonts w:ascii="Arial"/>
                <w:b/>
                <w:spacing w:val="-10"/>
                <w:sz w:val="20"/>
              </w:rPr>
              <w:t>%</w:t>
            </w:r>
          </w:p>
        </w:tc>
        <w:tc>
          <w:tcPr>
            <w:tcW w:w="691" w:type="dxa"/>
            <w:tcBorders>
              <w:top w:val="single" w:sz="4" w:space="0" w:color="000000"/>
              <w:bottom w:val="single" w:sz="4" w:space="0" w:color="000000"/>
            </w:tcBorders>
          </w:tcPr>
          <w:p>
            <w:pPr>
              <w:pStyle w:val="TableParagraph"/>
              <w:spacing w:line="220" w:lineRule="exact"/>
              <w:ind w:left="24" w:right="2"/>
              <w:jc w:val="center"/>
              <w:rPr>
                <w:rFonts w:ascii="Arial"/>
                <w:b/>
                <w:sz w:val="20"/>
              </w:rPr>
            </w:pPr>
            <w:r>
              <w:rPr>
                <w:rFonts w:ascii="Arial"/>
                <w:b/>
                <w:spacing w:val="-10"/>
                <w:sz w:val="20"/>
              </w:rPr>
              <w:t>F</w:t>
            </w:r>
          </w:p>
        </w:tc>
        <w:tc>
          <w:tcPr>
            <w:tcW w:w="738" w:type="dxa"/>
            <w:tcBorders>
              <w:top w:val="single" w:sz="4" w:space="0" w:color="000000"/>
              <w:bottom w:val="single" w:sz="4" w:space="0" w:color="000000"/>
              <w:right w:val="single" w:sz="4" w:space="0" w:color="000000"/>
            </w:tcBorders>
          </w:tcPr>
          <w:p>
            <w:pPr>
              <w:pStyle w:val="TableParagraph"/>
              <w:spacing w:line="220" w:lineRule="exact"/>
              <w:ind w:left="53" w:right="16"/>
              <w:jc w:val="center"/>
              <w:rPr>
                <w:rFonts w:ascii="Arial"/>
                <w:b/>
                <w:sz w:val="20"/>
              </w:rPr>
            </w:pPr>
            <w:r>
              <w:rPr>
                <w:rFonts w:ascii="Arial"/>
                <w:b/>
                <w:spacing w:val="-10"/>
                <w:sz w:val="20"/>
              </w:rPr>
              <w:t>%</w:t>
            </w:r>
          </w:p>
        </w:tc>
      </w:tr>
      <w:tr>
        <w:trPr>
          <w:trHeight w:val="222" w:hRule="atLeast"/>
        </w:trPr>
        <w:tc>
          <w:tcPr>
            <w:tcW w:w="3776" w:type="dxa"/>
            <w:vMerge w:val="restart"/>
            <w:tcBorders>
              <w:top w:val="single" w:sz="4" w:space="0" w:color="000000"/>
              <w:left w:val="single" w:sz="4" w:space="0" w:color="000000"/>
              <w:bottom w:val="single" w:sz="4" w:space="0" w:color="000000"/>
            </w:tcBorders>
          </w:tcPr>
          <w:p>
            <w:pPr>
              <w:pStyle w:val="TableParagraph"/>
              <w:tabs>
                <w:tab w:pos="830" w:val="left" w:leader="none"/>
              </w:tabs>
              <w:spacing w:line="225" w:lineRule="exact"/>
              <w:ind w:left="287"/>
              <w:rPr>
                <w:rFonts w:ascii="Arial"/>
                <w:b/>
                <w:sz w:val="20"/>
              </w:rPr>
            </w:pPr>
            <w:r>
              <w:rPr>
                <w:spacing w:val="-10"/>
                <w:sz w:val="20"/>
              </w:rPr>
              <w:t>D</w:t>
            </w:r>
            <w:r>
              <w:rPr>
                <w:sz w:val="20"/>
              </w:rPr>
              <w:tab/>
            </w:r>
            <w:r>
              <w:rPr>
                <w:rFonts w:ascii="Arial"/>
                <w:b/>
                <w:spacing w:val="-2"/>
                <w:sz w:val="20"/>
                <w:u w:val="single"/>
              </w:rPr>
              <w:t>ENVIRONMENTAL</w:t>
            </w:r>
            <w:r>
              <w:rPr>
                <w:rFonts w:ascii="Arial"/>
                <w:b/>
                <w:spacing w:val="7"/>
                <w:sz w:val="20"/>
                <w:u w:val="single"/>
              </w:rPr>
              <w:t> </w:t>
            </w:r>
            <w:r>
              <w:rPr>
                <w:rFonts w:ascii="Arial"/>
                <w:b/>
                <w:spacing w:val="-2"/>
                <w:sz w:val="20"/>
                <w:u w:val="single"/>
              </w:rPr>
              <w:t>SERVICES</w:t>
            </w:r>
          </w:p>
          <w:p>
            <w:pPr>
              <w:pStyle w:val="TableParagraph"/>
              <w:rPr>
                <w:rFonts w:ascii="Arial"/>
                <w:b/>
                <w:sz w:val="20"/>
              </w:rPr>
            </w:pPr>
          </w:p>
          <w:p>
            <w:pPr>
              <w:pStyle w:val="TableParagraph"/>
              <w:numPr>
                <w:ilvl w:val="0"/>
                <w:numId w:val="42"/>
              </w:numPr>
              <w:tabs>
                <w:tab w:pos="830" w:val="left" w:leader="none"/>
              </w:tabs>
              <w:spacing w:line="240" w:lineRule="auto" w:before="1" w:after="0"/>
              <w:ind w:left="830" w:right="542" w:hanging="610"/>
              <w:jc w:val="left"/>
              <w:rPr>
                <w:sz w:val="20"/>
              </w:rPr>
            </w:pPr>
            <w:r>
              <w:rPr>
                <w:sz w:val="20"/>
              </w:rPr>
              <w:t>Conducive</w:t>
            </w:r>
            <w:r>
              <w:rPr>
                <w:spacing w:val="-14"/>
                <w:sz w:val="20"/>
              </w:rPr>
              <w:t> </w:t>
            </w:r>
            <w:r>
              <w:rPr>
                <w:sz w:val="20"/>
              </w:rPr>
              <w:t>environment</w:t>
            </w:r>
            <w:r>
              <w:rPr>
                <w:spacing w:val="-14"/>
                <w:sz w:val="20"/>
              </w:rPr>
              <w:t> </w:t>
            </w:r>
            <w:r>
              <w:rPr>
                <w:sz w:val="20"/>
              </w:rPr>
              <w:t>for learning &amp; conducive environment for teaching</w:t>
            </w:r>
          </w:p>
          <w:p>
            <w:pPr>
              <w:pStyle w:val="TableParagraph"/>
              <w:numPr>
                <w:ilvl w:val="0"/>
                <w:numId w:val="42"/>
              </w:numPr>
              <w:tabs>
                <w:tab w:pos="830" w:val="left" w:leader="none"/>
              </w:tabs>
              <w:spacing w:line="240" w:lineRule="auto" w:before="121" w:after="0"/>
              <w:ind w:left="830" w:right="0" w:hanging="610"/>
              <w:jc w:val="left"/>
              <w:rPr>
                <w:sz w:val="20"/>
              </w:rPr>
            </w:pPr>
            <w:r>
              <w:rPr>
                <w:sz w:val="20"/>
              </w:rPr>
              <w:t>The</w:t>
            </w:r>
            <w:r>
              <w:rPr>
                <w:spacing w:val="-6"/>
                <w:sz w:val="20"/>
              </w:rPr>
              <w:t> </w:t>
            </w:r>
            <w:r>
              <w:rPr>
                <w:sz w:val="20"/>
              </w:rPr>
              <w:t>tone</w:t>
            </w:r>
            <w:r>
              <w:rPr>
                <w:spacing w:val="-5"/>
                <w:sz w:val="20"/>
              </w:rPr>
              <w:t> </w:t>
            </w:r>
            <w:r>
              <w:rPr>
                <w:sz w:val="20"/>
              </w:rPr>
              <w:t>or</w:t>
            </w:r>
            <w:r>
              <w:rPr>
                <w:spacing w:val="-8"/>
                <w:sz w:val="20"/>
              </w:rPr>
              <w:t> </w:t>
            </w:r>
            <w:r>
              <w:rPr>
                <w:sz w:val="20"/>
              </w:rPr>
              <w:t>Institutional </w:t>
            </w:r>
            <w:r>
              <w:rPr>
                <w:spacing w:val="-2"/>
                <w:sz w:val="20"/>
              </w:rPr>
              <w:t>Climate</w:t>
            </w:r>
          </w:p>
          <w:p>
            <w:pPr>
              <w:pStyle w:val="TableParagraph"/>
              <w:rPr>
                <w:rFonts w:ascii="Arial"/>
                <w:b/>
                <w:sz w:val="20"/>
              </w:rPr>
            </w:pPr>
          </w:p>
          <w:p>
            <w:pPr>
              <w:pStyle w:val="TableParagraph"/>
              <w:rPr>
                <w:rFonts w:ascii="Arial"/>
                <w:b/>
                <w:sz w:val="20"/>
              </w:rPr>
            </w:pPr>
          </w:p>
          <w:p>
            <w:pPr>
              <w:pStyle w:val="TableParagraph"/>
              <w:rPr>
                <w:rFonts w:ascii="Arial"/>
                <w:b/>
                <w:sz w:val="20"/>
              </w:rPr>
            </w:pPr>
          </w:p>
          <w:p>
            <w:pPr>
              <w:pStyle w:val="TableParagraph"/>
              <w:spacing w:before="50"/>
              <w:rPr>
                <w:rFonts w:ascii="Arial"/>
                <w:b/>
                <w:sz w:val="20"/>
              </w:rPr>
            </w:pPr>
          </w:p>
          <w:p>
            <w:pPr>
              <w:pStyle w:val="TableParagraph"/>
              <w:numPr>
                <w:ilvl w:val="0"/>
                <w:numId w:val="42"/>
              </w:numPr>
              <w:tabs>
                <w:tab w:pos="830" w:val="left" w:leader="none"/>
              </w:tabs>
              <w:spacing w:line="240" w:lineRule="auto" w:before="0" w:after="0"/>
              <w:ind w:left="830" w:right="0" w:hanging="610"/>
              <w:jc w:val="left"/>
              <w:rPr>
                <w:sz w:val="20"/>
              </w:rPr>
            </w:pPr>
            <w:r>
              <w:rPr>
                <w:sz w:val="20"/>
              </w:rPr>
              <w:t>Medical</w:t>
            </w:r>
            <w:r>
              <w:rPr>
                <w:spacing w:val="-5"/>
                <w:sz w:val="20"/>
              </w:rPr>
              <w:t> </w:t>
            </w:r>
            <w:r>
              <w:rPr>
                <w:spacing w:val="-2"/>
                <w:sz w:val="20"/>
              </w:rPr>
              <w:t>centres</w:t>
            </w:r>
          </w:p>
          <w:p>
            <w:pPr>
              <w:pStyle w:val="TableParagraph"/>
              <w:rPr>
                <w:rFonts w:ascii="Arial"/>
                <w:b/>
                <w:sz w:val="20"/>
              </w:rPr>
            </w:pPr>
          </w:p>
          <w:p>
            <w:pPr>
              <w:pStyle w:val="TableParagraph"/>
              <w:rPr>
                <w:rFonts w:ascii="Arial"/>
                <w:b/>
                <w:sz w:val="20"/>
              </w:rPr>
            </w:pPr>
          </w:p>
          <w:p>
            <w:pPr>
              <w:pStyle w:val="TableParagraph"/>
              <w:rPr>
                <w:rFonts w:ascii="Arial"/>
                <w:b/>
                <w:sz w:val="20"/>
              </w:rPr>
            </w:pPr>
          </w:p>
          <w:p>
            <w:pPr>
              <w:pStyle w:val="TableParagraph"/>
              <w:spacing w:before="59"/>
              <w:rPr>
                <w:rFonts w:ascii="Arial"/>
                <w:b/>
                <w:sz w:val="20"/>
              </w:rPr>
            </w:pPr>
          </w:p>
          <w:p>
            <w:pPr>
              <w:pStyle w:val="TableParagraph"/>
              <w:numPr>
                <w:ilvl w:val="0"/>
                <w:numId w:val="42"/>
              </w:numPr>
              <w:tabs>
                <w:tab w:pos="830" w:val="left" w:leader="none"/>
              </w:tabs>
              <w:spacing w:line="240" w:lineRule="auto" w:before="1" w:after="0"/>
              <w:ind w:left="830" w:right="0" w:hanging="610"/>
              <w:jc w:val="left"/>
              <w:rPr>
                <w:sz w:val="20"/>
              </w:rPr>
            </w:pPr>
            <w:r>
              <w:rPr>
                <w:spacing w:val="-2"/>
                <w:sz w:val="20"/>
              </w:rPr>
              <w:t>Student-teacher</w:t>
            </w:r>
            <w:r>
              <w:rPr>
                <w:spacing w:val="16"/>
                <w:sz w:val="20"/>
              </w:rPr>
              <w:t> </w:t>
            </w:r>
            <w:r>
              <w:rPr>
                <w:spacing w:val="-2"/>
                <w:sz w:val="20"/>
              </w:rPr>
              <w:t>relationship</w:t>
            </w:r>
          </w:p>
          <w:p>
            <w:pPr>
              <w:pStyle w:val="TableParagraph"/>
              <w:rPr>
                <w:rFonts w:ascii="Arial"/>
                <w:b/>
                <w:sz w:val="20"/>
              </w:rPr>
            </w:pPr>
          </w:p>
          <w:p>
            <w:pPr>
              <w:pStyle w:val="TableParagraph"/>
              <w:rPr>
                <w:rFonts w:ascii="Arial"/>
                <w:b/>
                <w:sz w:val="20"/>
              </w:rPr>
            </w:pPr>
          </w:p>
          <w:p>
            <w:pPr>
              <w:pStyle w:val="TableParagraph"/>
              <w:rPr>
                <w:rFonts w:ascii="Arial"/>
                <w:b/>
                <w:sz w:val="20"/>
              </w:rPr>
            </w:pPr>
          </w:p>
          <w:p>
            <w:pPr>
              <w:pStyle w:val="TableParagraph"/>
              <w:spacing w:before="11"/>
              <w:rPr>
                <w:rFonts w:ascii="Arial"/>
                <w:b/>
                <w:sz w:val="20"/>
              </w:rPr>
            </w:pPr>
          </w:p>
          <w:p>
            <w:pPr>
              <w:pStyle w:val="TableParagraph"/>
              <w:numPr>
                <w:ilvl w:val="0"/>
                <w:numId w:val="42"/>
              </w:numPr>
              <w:tabs>
                <w:tab w:pos="830" w:val="left" w:leader="none"/>
              </w:tabs>
              <w:spacing w:line="240" w:lineRule="auto" w:before="0" w:after="0"/>
              <w:ind w:left="830" w:right="543" w:hanging="610"/>
              <w:jc w:val="left"/>
              <w:rPr>
                <w:sz w:val="20"/>
              </w:rPr>
            </w:pPr>
            <w:r>
              <w:rPr>
                <w:sz w:val="20"/>
              </w:rPr>
              <w:t>Sense of belonginess, privacy/freedom/safety</w:t>
            </w:r>
            <w:r>
              <w:rPr>
                <w:spacing w:val="-14"/>
                <w:sz w:val="20"/>
              </w:rPr>
              <w:t> </w:t>
            </w:r>
            <w:r>
              <w:rPr>
                <w:sz w:val="20"/>
              </w:rPr>
              <w:t>etc.</w:t>
            </w:r>
          </w:p>
        </w:tc>
        <w:tc>
          <w:tcPr>
            <w:tcW w:w="2348" w:type="dxa"/>
            <w:tcBorders>
              <w:top w:val="single" w:sz="4" w:space="0" w:color="000000"/>
            </w:tcBorders>
          </w:tcPr>
          <w:p>
            <w:pPr>
              <w:pStyle w:val="TableParagraph"/>
              <w:spacing w:line="203" w:lineRule="exact"/>
              <w:ind w:left="121"/>
              <w:rPr>
                <w:sz w:val="20"/>
              </w:rPr>
            </w:pPr>
            <w:r>
              <w:rPr>
                <w:sz w:val="20"/>
              </w:rPr>
              <w:t>No.</w:t>
            </w:r>
            <w:r>
              <w:rPr>
                <w:spacing w:val="-5"/>
                <w:sz w:val="20"/>
              </w:rPr>
              <w:t> </w:t>
            </w:r>
            <w:r>
              <w:rPr>
                <w:sz w:val="20"/>
              </w:rPr>
              <w:t>of</w:t>
            </w:r>
            <w:r>
              <w:rPr>
                <w:spacing w:val="-2"/>
                <w:sz w:val="20"/>
              </w:rPr>
              <w:t> missing</w:t>
            </w:r>
          </w:p>
        </w:tc>
        <w:tc>
          <w:tcPr>
            <w:tcW w:w="675" w:type="dxa"/>
            <w:tcBorders>
              <w:top w:val="single" w:sz="4" w:space="0" w:color="000000"/>
            </w:tcBorders>
          </w:tcPr>
          <w:p>
            <w:pPr>
              <w:pStyle w:val="TableParagraph"/>
              <w:rPr>
                <w:rFonts w:ascii="Times New Roman"/>
                <w:sz w:val="14"/>
              </w:rPr>
            </w:pPr>
          </w:p>
        </w:tc>
        <w:tc>
          <w:tcPr>
            <w:tcW w:w="758" w:type="dxa"/>
            <w:tcBorders>
              <w:top w:val="single" w:sz="4" w:space="0" w:color="000000"/>
            </w:tcBorders>
          </w:tcPr>
          <w:p>
            <w:pPr>
              <w:pStyle w:val="TableParagraph"/>
              <w:rPr>
                <w:rFonts w:ascii="Times New Roman"/>
                <w:sz w:val="14"/>
              </w:rPr>
            </w:pPr>
          </w:p>
        </w:tc>
        <w:tc>
          <w:tcPr>
            <w:tcW w:w="518" w:type="dxa"/>
            <w:tcBorders>
              <w:top w:val="single" w:sz="4" w:space="0" w:color="000000"/>
            </w:tcBorders>
          </w:tcPr>
          <w:p>
            <w:pPr>
              <w:pStyle w:val="TableParagraph"/>
              <w:rPr>
                <w:rFonts w:ascii="Times New Roman"/>
                <w:sz w:val="14"/>
              </w:rPr>
            </w:pPr>
          </w:p>
        </w:tc>
        <w:tc>
          <w:tcPr>
            <w:tcW w:w="787" w:type="dxa"/>
            <w:tcBorders>
              <w:top w:val="single" w:sz="4" w:space="0" w:color="000000"/>
            </w:tcBorders>
          </w:tcPr>
          <w:p>
            <w:pPr>
              <w:pStyle w:val="TableParagraph"/>
              <w:rPr>
                <w:rFonts w:ascii="Times New Roman"/>
                <w:sz w:val="14"/>
              </w:rPr>
            </w:pPr>
          </w:p>
        </w:tc>
        <w:tc>
          <w:tcPr>
            <w:tcW w:w="715" w:type="dxa"/>
            <w:tcBorders>
              <w:top w:val="single" w:sz="4" w:space="0" w:color="000000"/>
            </w:tcBorders>
          </w:tcPr>
          <w:p>
            <w:pPr>
              <w:pStyle w:val="TableParagraph"/>
              <w:rPr>
                <w:rFonts w:ascii="Times New Roman"/>
                <w:sz w:val="14"/>
              </w:rPr>
            </w:pPr>
          </w:p>
        </w:tc>
        <w:tc>
          <w:tcPr>
            <w:tcW w:w="847" w:type="dxa"/>
            <w:tcBorders>
              <w:top w:val="single" w:sz="4" w:space="0" w:color="000000"/>
            </w:tcBorders>
          </w:tcPr>
          <w:p>
            <w:pPr>
              <w:pStyle w:val="TableParagraph"/>
              <w:rPr>
                <w:rFonts w:ascii="Times New Roman"/>
                <w:sz w:val="14"/>
              </w:rPr>
            </w:pPr>
          </w:p>
        </w:tc>
        <w:tc>
          <w:tcPr>
            <w:tcW w:w="710" w:type="dxa"/>
            <w:tcBorders>
              <w:top w:val="single" w:sz="4" w:space="0" w:color="000000"/>
            </w:tcBorders>
          </w:tcPr>
          <w:p>
            <w:pPr>
              <w:pStyle w:val="TableParagraph"/>
              <w:rPr>
                <w:rFonts w:ascii="Times New Roman"/>
                <w:sz w:val="14"/>
              </w:rPr>
            </w:pPr>
          </w:p>
        </w:tc>
        <w:tc>
          <w:tcPr>
            <w:tcW w:w="828" w:type="dxa"/>
            <w:tcBorders>
              <w:top w:val="single" w:sz="4" w:space="0" w:color="000000"/>
            </w:tcBorders>
          </w:tcPr>
          <w:p>
            <w:pPr>
              <w:pStyle w:val="TableParagraph"/>
              <w:rPr>
                <w:rFonts w:ascii="Times New Roman"/>
                <w:sz w:val="14"/>
              </w:rPr>
            </w:pPr>
          </w:p>
        </w:tc>
        <w:tc>
          <w:tcPr>
            <w:tcW w:w="600" w:type="dxa"/>
            <w:tcBorders>
              <w:top w:val="single" w:sz="4" w:space="0" w:color="000000"/>
            </w:tcBorders>
          </w:tcPr>
          <w:p>
            <w:pPr>
              <w:pStyle w:val="TableParagraph"/>
              <w:rPr>
                <w:rFonts w:ascii="Times New Roman"/>
                <w:sz w:val="14"/>
              </w:rPr>
            </w:pPr>
          </w:p>
        </w:tc>
        <w:tc>
          <w:tcPr>
            <w:tcW w:w="770" w:type="dxa"/>
            <w:tcBorders>
              <w:top w:val="single" w:sz="4" w:space="0" w:color="000000"/>
            </w:tcBorders>
          </w:tcPr>
          <w:p>
            <w:pPr>
              <w:pStyle w:val="TableParagraph"/>
              <w:rPr>
                <w:rFonts w:ascii="Times New Roman"/>
                <w:sz w:val="14"/>
              </w:rPr>
            </w:pPr>
          </w:p>
        </w:tc>
        <w:tc>
          <w:tcPr>
            <w:tcW w:w="691" w:type="dxa"/>
            <w:tcBorders>
              <w:top w:val="single" w:sz="4" w:space="0" w:color="000000"/>
            </w:tcBorders>
          </w:tcPr>
          <w:p>
            <w:pPr>
              <w:pStyle w:val="TableParagraph"/>
              <w:rPr>
                <w:rFonts w:ascii="Times New Roman"/>
                <w:sz w:val="14"/>
              </w:rPr>
            </w:pPr>
          </w:p>
        </w:tc>
        <w:tc>
          <w:tcPr>
            <w:tcW w:w="738" w:type="dxa"/>
            <w:tcBorders>
              <w:top w:val="single" w:sz="4" w:space="0" w:color="000000"/>
              <w:right w:val="single" w:sz="4" w:space="0" w:color="000000"/>
            </w:tcBorders>
          </w:tcPr>
          <w:p>
            <w:pPr>
              <w:pStyle w:val="TableParagraph"/>
              <w:rPr>
                <w:rFonts w:ascii="Times New Roman"/>
                <w:sz w:val="14"/>
              </w:rPr>
            </w:pPr>
          </w:p>
        </w:tc>
      </w:tr>
      <w:tr>
        <w:trPr>
          <w:trHeight w:val="220" w:hRule="atLeast"/>
        </w:trPr>
        <w:tc>
          <w:tcPr>
            <w:tcW w:w="3776" w:type="dxa"/>
            <w:vMerge/>
            <w:tcBorders>
              <w:top w:val="nil"/>
              <w:left w:val="single" w:sz="4" w:space="0" w:color="000000"/>
              <w:bottom w:val="single" w:sz="4" w:space="0" w:color="000000"/>
            </w:tcBorders>
          </w:tcPr>
          <w:p>
            <w:pPr>
              <w:rPr>
                <w:sz w:val="2"/>
                <w:szCs w:val="2"/>
              </w:rPr>
            </w:pPr>
          </w:p>
        </w:tc>
        <w:tc>
          <w:tcPr>
            <w:tcW w:w="2348" w:type="dxa"/>
          </w:tcPr>
          <w:p>
            <w:pPr>
              <w:pStyle w:val="TableParagraph"/>
              <w:spacing w:line="200" w:lineRule="exact"/>
              <w:ind w:left="121"/>
              <w:rPr>
                <w:sz w:val="20"/>
              </w:rPr>
            </w:pPr>
            <w:r>
              <w:rPr>
                <w:spacing w:val="-2"/>
                <w:sz w:val="20"/>
              </w:rPr>
              <w:t>observations</w:t>
            </w:r>
          </w:p>
        </w:tc>
        <w:tc>
          <w:tcPr>
            <w:tcW w:w="675" w:type="dxa"/>
          </w:tcPr>
          <w:p>
            <w:pPr>
              <w:pStyle w:val="TableParagraph"/>
              <w:spacing w:line="200" w:lineRule="exact"/>
              <w:ind w:left="53" w:right="7"/>
              <w:jc w:val="center"/>
              <w:rPr>
                <w:sz w:val="20"/>
              </w:rPr>
            </w:pPr>
            <w:r>
              <w:rPr>
                <w:spacing w:val="-10"/>
                <w:sz w:val="20"/>
              </w:rPr>
              <w:t>-</w:t>
            </w:r>
          </w:p>
        </w:tc>
        <w:tc>
          <w:tcPr>
            <w:tcW w:w="758" w:type="dxa"/>
          </w:tcPr>
          <w:p>
            <w:pPr>
              <w:pStyle w:val="TableParagraph"/>
              <w:spacing w:line="200" w:lineRule="exact"/>
              <w:ind w:left="60" w:right="7"/>
              <w:jc w:val="center"/>
              <w:rPr>
                <w:sz w:val="20"/>
              </w:rPr>
            </w:pPr>
            <w:r>
              <w:rPr>
                <w:spacing w:val="-10"/>
                <w:sz w:val="20"/>
              </w:rPr>
              <w:t>-</w:t>
            </w:r>
          </w:p>
        </w:tc>
        <w:tc>
          <w:tcPr>
            <w:tcW w:w="518" w:type="dxa"/>
          </w:tcPr>
          <w:p>
            <w:pPr>
              <w:pStyle w:val="TableParagraph"/>
              <w:spacing w:line="200" w:lineRule="exact"/>
              <w:ind w:left="43" w:right="8"/>
              <w:jc w:val="center"/>
              <w:rPr>
                <w:sz w:val="20"/>
              </w:rPr>
            </w:pPr>
            <w:r>
              <w:rPr>
                <w:spacing w:val="-10"/>
                <w:sz w:val="20"/>
              </w:rPr>
              <w:t>-</w:t>
            </w:r>
          </w:p>
        </w:tc>
        <w:tc>
          <w:tcPr>
            <w:tcW w:w="787" w:type="dxa"/>
          </w:tcPr>
          <w:p>
            <w:pPr>
              <w:pStyle w:val="TableParagraph"/>
              <w:spacing w:line="200" w:lineRule="exact"/>
              <w:ind w:left="39" w:right="39"/>
              <w:jc w:val="center"/>
              <w:rPr>
                <w:sz w:val="20"/>
              </w:rPr>
            </w:pPr>
            <w:r>
              <w:rPr>
                <w:spacing w:val="-10"/>
                <w:sz w:val="20"/>
              </w:rPr>
              <w:t>-</w:t>
            </w:r>
          </w:p>
        </w:tc>
        <w:tc>
          <w:tcPr>
            <w:tcW w:w="715" w:type="dxa"/>
          </w:tcPr>
          <w:p>
            <w:pPr>
              <w:pStyle w:val="TableParagraph"/>
              <w:spacing w:line="200" w:lineRule="exact"/>
              <w:ind w:left="39" w:right="94"/>
              <w:jc w:val="center"/>
              <w:rPr>
                <w:sz w:val="20"/>
              </w:rPr>
            </w:pPr>
            <w:r>
              <w:rPr>
                <w:spacing w:val="-10"/>
                <w:sz w:val="20"/>
              </w:rPr>
              <w:t>1</w:t>
            </w:r>
          </w:p>
        </w:tc>
        <w:tc>
          <w:tcPr>
            <w:tcW w:w="847" w:type="dxa"/>
          </w:tcPr>
          <w:p>
            <w:pPr>
              <w:pStyle w:val="TableParagraph"/>
              <w:spacing w:line="200" w:lineRule="exact"/>
              <w:ind w:left="27" w:right="6"/>
              <w:jc w:val="center"/>
              <w:rPr>
                <w:sz w:val="20"/>
              </w:rPr>
            </w:pPr>
            <w:r>
              <w:rPr>
                <w:spacing w:val="-4"/>
                <w:sz w:val="20"/>
              </w:rPr>
              <w:t>50.0</w:t>
            </w:r>
          </w:p>
        </w:tc>
        <w:tc>
          <w:tcPr>
            <w:tcW w:w="710" w:type="dxa"/>
          </w:tcPr>
          <w:p>
            <w:pPr>
              <w:pStyle w:val="TableParagraph"/>
              <w:spacing w:line="200" w:lineRule="exact"/>
              <w:ind w:left="98" w:right="2"/>
              <w:jc w:val="center"/>
              <w:rPr>
                <w:sz w:val="20"/>
              </w:rPr>
            </w:pPr>
            <w:r>
              <w:rPr>
                <w:spacing w:val="-10"/>
                <w:sz w:val="20"/>
              </w:rPr>
              <w:t>1</w:t>
            </w:r>
          </w:p>
        </w:tc>
        <w:tc>
          <w:tcPr>
            <w:tcW w:w="828" w:type="dxa"/>
          </w:tcPr>
          <w:p>
            <w:pPr>
              <w:pStyle w:val="TableParagraph"/>
              <w:spacing w:line="200" w:lineRule="exact"/>
              <w:ind w:left="4" w:right="5"/>
              <w:jc w:val="center"/>
              <w:rPr>
                <w:sz w:val="20"/>
              </w:rPr>
            </w:pPr>
            <w:r>
              <w:rPr>
                <w:spacing w:val="-4"/>
                <w:sz w:val="20"/>
              </w:rPr>
              <w:t>50.0</w:t>
            </w:r>
          </w:p>
        </w:tc>
        <w:tc>
          <w:tcPr>
            <w:tcW w:w="600" w:type="dxa"/>
          </w:tcPr>
          <w:p>
            <w:pPr>
              <w:pStyle w:val="TableParagraph"/>
              <w:spacing w:line="200" w:lineRule="exact"/>
              <w:ind w:right="13"/>
              <w:jc w:val="center"/>
              <w:rPr>
                <w:sz w:val="20"/>
              </w:rPr>
            </w:pPr>
            <w:r>
              <w:rPr>
                <w:spacing w:val="-10"/>
                <w:sz w:val="20"/>
              </w:rPr>
              <w:t>-</w:t>
            </w:r>
          </w:p>
        </w:tc>
        <w:tc>
          <w:tcPr>
            <w:tcW w:w="770" w:type="dxa"/>
          </w:tcPr>
          <w:p>
            <w:pPr>
              <w:pStyle w:val="TableParagraph"/>
              <w:spacing w:line="200" w:lineRule="exact"/>
              <w:ind w:left="42" w:right="7"/>
              <w:jc w:val="center"/>
              <w:rPr>
                <w:sz w:val="20"/>
              </w:rPr>
            </w:pPr>
            <w:r>
              <w:rPr>
                <w:spacing w:val="-10"/>
                <w:sz w:val="20"/>
              </w:rPr>
              <w:t>-</w:t>
            </w:r>
          </w:p>
        </w:tc>
        <w:tc>
          <w:tcPr>
            <w:tcW w:w="691" w:type="dxa"/>
          </w:tcPr>
          <w:p>
            <w:pPr>
              <w:pStyle w:val="TableParagraph"/>
              <w:spacing w:line="200" w:lineRule="exact"/>
              <w:ind w:left="23" w:right="2"/>
              <w:jc w:val="center"/>
              <w:rPr>
                <w:sz w:val="20"/>
              </w:rPr>
            </w:pPr>
            <w:r>
              <w:rPr>
                <w:spacing w:val="-10"/>
                <w:sz w:val="20"/>
              </w:rPr>
              <w:t>2</w:t>
            </w:r>
          </w:p>
        </w:tc>
        <w:tc>
          <w:tcPr>
            <w:tcW w:w="738" w:type="dxa"/>
            <w:tcBorders>
              <w:right w:val="single" w:sz="4" w:space="0" w:color="000000"/>
            </w:tcBorders>
          </w:tcPr>
          <w:p>
            <w:pPr>
              <w:pStyle w:val="TableParagraph"/>
              <w:spacing w:line="200" w:lineRule="exact"/>
              <w:ind w:left="53" w:right="21"/>
              <w:jc w:val="center"/>
              <w:rPr>
                <w:sz w:val="20"/>
              </w:rPr>
            </w:pPr>
            <w:r>
              <w:rPr>
                <w:spacing w:val="-5"/>
                <w:sz w:val="20"/>
              </w:rPr>
              <w:t>0.4</w:t>
            </w:r>
          </w:p>
        </w:tc>
      </w:tr>
      <w:tr>
        <w:trPr>
          <w:trHeight w:val="220" w:hRule="atLeast"/>
        </w:trPr>
        <w:tc>
          <w:tcPr>
            <w:tcW w:w="3776" w:type="dxa"/>
            <w:vMerge/>
            <w:tcBorders>
              <w:top w:val="nil"/>
              <w:left w:val="single" w:sz="4" w:space="0" w:color="000000"/>
              <w:bottom w:val="single" w:sz="4" w:space="0" w:color="000000"/>
            </w:tcBorders>
          </w:tcPr>
          <w:p>
            <w:pPr>
              <w:rPr>
                <w:sz w:val="2"/>
                <w:szCs w:val="2"/>
              </w:rPr>
            </w:pPr>
          </w:p>
        </w:tc>
        <w:tc>
          <w:tcPr>
            <w:tcW w:w="2348" w:type="dxa"/>
          </w:tcPr>
          <w:p>
            <w:pPr>
              <w:pStyle w:val="TableParagraph"/>
              <w:spacing w:line="200" w:lineRule="exact"/>
              <w:ind w:left="121"/>
              <w:rPr>
                <w:sz w:val="20"/>
              </w:rPr>
            </w:pPr>
            <w:r>
              <w:rPr>
                <w:spacing w:val="-2"/>
                <w:sz w:val="20"/>
              </w:rPr>
              <w:t>Students</w:t>
            </w:r>
          </w:p>
        </w:tc>
        <w:tc>
          <w:tcPr>
            <w:tcW w:w="675" w:type="dxa"/>
          </w:tcPr>
          <w:p>
            <w:pPr>
              <w:pStyle w:val="TableParagraph"/>
              <w:spacing w:line="200" w:lineRule="exact"/>
              <w:ind w:left="53"/>
              <w:jc w:val="center"/>
              <w:rPr>
                <w:sz w:val="20"/>
              </w:rPr>
            </w:pPr>
            <w:r>
              <w:rPr>
                <w:spacing w:val="-10"/>
                <w:sz w:val="20"/>
              </w:rPr>
              <w:t>6</w:t>
            </w:r>
          </w:p>
        </w:tc>
        <w:tc>
          <w:tcPr>
            <w:tcW w:w="758" w:type="dxa"/>
          </w:tcPr>
          <w:p>
            <w:pPr>
              <w:pStyle w:val="TableParagraph"/>
              <w:spacing w:line="200" w:lineRule="exact"/>
              <w:ind w:left="60" w:right="5"/>
              <w:jc w:val="center"/>
              <w:rPr>
                <w:sz w:val="20"/>
              </w:rPr>
            </w:pPr>
            <w:r>
              <w:rPr>
                <w:spacing w:val="-5"/>
                <w:sz w:val="20"/>
              </w:rPr>
              <w:t>2.6</w:t>
            </w:r>
          </w:p>
        </w:tc>
        <w:tc>
          <w:tcPr>
            <w:tcW w:w="518" w:type="dxa"/>
          </w:tcPr>
          <w:p>
            <w:pPr>
              <w:pStyle w:val="TableParagraph"/>
              <w:spacing w:line="200" w:lineRule="exact"/>
              <w:ind w:left="43" w:right="6"/>
              <w:jc w:val="center"/>
              <w:rPr>
                <w:sz w:val="20"/>
              </w:rPr>
            </w:pPr>
            <w:r>
              <w:rPr>
                <w:spacing w:val="-5"/>
                <w:sz w:val="20"/>
              </w:rPr>
              <w:t>16</w:t>
            </w:r>
          </w:p>
        </w:tc>
        <w:tc>
          <w:tcPr>
            <w:tcW w:w="787" w:type="dxa"/>
          </w:tcPr>
          <w:p>
            <w:pPr>
              <w:pStyle w:val="TableParagraph"/>
              <w:spacing w:line="200" w:lineRule="exact"/>
              <w:ind w:left="39" w:right="39"/>
              <w:jc w:val="center"/>
              <w:rPr>
                <w:sz w:val="20"/>
              </w:rPr>
            </w:pPr>
            <w:r>
              <w:rPr>
                <w:spacing w:val="-5"/>
                <w:sz w:val="20"/>
              </w:rPr>
              <w:t>6.8</w:t>
            </w:r>
          </w:p>
        </w:tc>
        <w:tc>
          <w:tcPr>
            <w:tcW w:w="715" w:type="dxa"/>
          </w:tcPr>
          <w:p>
            <w:pPr>
              <w:pStyle w:val="TableParagraph"/>
              <w:spacing w:line="200" w:lineRule="exact"/>
              <w:ind w:left="39" w:right="104"/>
              <w:jc w:val="center"/>
              <w:rPr>
                <w:sz w:val="20"/>
              </w:rPr>
            </w:pPr>
            <w:r>
              <w:rPr>
                <w:spacing w:val="-5"/>
                <w:sz w:val="20"/>
              </w:rPr>
              <w:t>124</w:t>
            </w:r>
          </w:p>
        </w:tc>
        <w:tc>
          <w:tcPr>
            <w:tcW w:w="847" w:type="dxa"/>
          </w:tcPr>
          <w:p>
            <w:pPr>
              <w:pStyle w:val="TableParagraph"/>
              <w:spacing w:line="200" w:lineRule="exact"/>
              <w:ind w:left="27" w:right="6"/>
              <w:jc w:val="center"/>
              <w:rPr>
                <w:sz w:val="20"/>
              </w:rPr>
            </w:pPr>
            <w:r>
              <w:rPr>
                <w:spacing w:val="-4"/>
                <w:sz w:val="20"/>
              </w:rPr>
              <w:t>52.8</w:t>
            </w:r>
          </w:p>
        </w:tc>
        <w:tc>
          <w:tcPr>
            <w:tcW w:w="710" w:type="dxa"/>
          </w:tcPr>
          <w:p>
            <w:pPr>
              <w:pStyle w:val="TableParagraph"/>
              <w:spacing w:line="200" w:lineRule="exact"/>
              <w:ind w:left="98" w:right="6"/>
              <w:jc w:val="center"/>
              <w:rPr>
                <w:sz w:val="20"/>
              </w:rPr>
            </w:pPr>
            <w:r>
              <w:rPr>
                <w:spacing w:val="-5"/>
                <w:sz w:val="20"/>
              </w:rPr>
              <w:t>62</w:t>
            </w:r>
          </w:p>
        </w:tc>
        <w:tc>
          <w:tcPr>
            <w:tcW w:w="828" w:type="dxa"/>
          </w:tcPr>
          <w:p>
            <w:pPr>
              <w:pStyle w:val="TableParagraph"/>
              <w:spacing w:line="200" w:lineRule="exact"/>
              <w:ind w:left="4" w:right="5"/>
              <w:jc w:val="center"/>
              <w:rPr>
                <w:sz w:val="20"/>
              </w:rPr>
            </w:pPr>
            <w:r>
              <w:rPr>
                <w:spacing w:val="-4"/>
                <w:sz w:val="20"/>
              </w:rPr>
              <w:t>26.4</w:t>
            </w:r>
          </w:p>
        </w:tc>
        <w:tc>
          <w:tcPr>
            <w:tcW w:w="600" w:type="dxa"/>
          </w:tcPr>
          <w:p>
            <w:pPr>
              <w:pStyle w:val="TableParagraph"/>
              <w:spacing w:line="200" w:lineRule="exact"/>
              <w:ind w:left="2" w:right="13"/>
              <w:jc w:val="center"/>
              <w:rPr>
                <w:sz w:val="20"/>
              </w:rPr>
            </w:pPr>
            <w:r>
              <w:rPr>
                <w:spacing w:val="-5"/>
                <w:sz w:val="20"/>
              </w:rPr>
              <w:t>27</w:t>
            </w:r>
          </w:p>
        </w:tc>
        <w:tc>
          <w:tcPr>
            <w:tcW w:w="770" w:type="dxa"/>
          </w:tcPr>
          <w:p>
            <w:pPr>
              <w:pStyle w:val="TableParagraph"/>
              <w:spacing w:line="200" w:lineRule="exact"/>
              <w:ind w:left="45" w:right="3"/>
              <w:jc w:val="center"/>
              <w:rPr>
                <w:sz w:val="20"/>
              </w:rPr>
            </w:pPr>
            <w:r>
              <w:rPr>
                <w:spacing w:val="-4"/>
                <w:sz w:val="20"/>
              </w:rPr>
              <w:t>11.5</w:t>
            </w:r>
          </w:p>
        </w:tc>
        <w:tc>
          <w:tcPr>
            <w:tcW w:w="691" w:type="dxa"/>
          </w:tcPr>
          <w:p>
            <w:pPr>
              <w:pStyle w:val="TableParagraph"/>
              <w:spacing w:line="200" w:lineRule="exact"/>
              <w:ind w:left="22" w:right="11"/>
              <w:jc w:val="center"/>
              <w:rPr>
                <w:sz w:val="20"/>
              </w:rPr>
            </w:pPr>
            <w:r>
              <w:rPr>
                <w:spacing w:val="-5"/>
                <w:sz w:val="20"/>
              </w:rPr>
              <w:t>235</w:t>
            </w:r>
          </w:p>
        </w:tc>
        <w:tc>
          <w:tcPr>
            <w:tcW w:w="738" w:type="dxa"/>
            <w:tcBorders>
              <w:right w:val="single" w:sz="4" w:space="0" w:color="000000"/>
            </w:tcBorders>
          </w:tcPr>
          <w:p>
            <w:pPr>
              <w:pStyle w:val="TableParagraph"/>
              <w:spacing w:line="200" w:lineRule="exact"/>
              <w:ind w:left="53" w:right="16"/>
              <w:jc w:val="center"/>
              <w:rPr>
                <w:sz w:val="20"/>
              </w:rPr>
            </w:pPr>
            <w:r>
              <w:rPr>
                <w:spacing w:val="-4"/>
                <w:sz w:val="20"/>
              </w:rPr>
              <w:t>50.8</w:t>
            </w:r>
          </w:p>
        </w:tc>
      </w:tr>
      <w:tr>
        <w:trPr>
          <w:trHeight w:val="220" w:hRule="atLeast"/>
        </w:trPr>
        <w:tc>
          <w:tcPr>
            <w:tcW w:w="3776" w:type="dxa"/>
            <w:vMerge/>
            <w:tcBorders>
              <w:top w:val="nil"/>
              <w:left w:val="single" w:sz="4" w:space="0" w:color="000000"/>
              <w:bottom w:val="single" w:sz="4" w:space="0" w:color="000000"/>
            </w:tcBorders>
          </w:tcPr>
          <w:p>
            <w:pPr>
              <w:rPr>
                <w:sz w:val="2"/>
                <w:szCs w:val="2"/>
              </w:rPr>
            </w:pPr>
          </w:p>
        </w:tc>
        <w:tc>
          <w:tcPr>
            <w:tcW w:w="2348" w:type="dxa"/>
          </w:tcPr>
          <w:p>
            <w:pPr>
              <w:pStyle w:val="TableParagraph"/>
              <w:spacing w:line="200" w:lineRule="exact"/>
              <w:ind w:left="121"/>
              <w:rPr>
                <w:sz w:val="20"/>
              </w:rPr>
            </w:pPr>
            <w:r>
              <w:rPr>
                <w:sz w:val="20"/>
              </w:rPr>
              <w:t>Service</w:t>
            </w:r>
            <w:r>
              <w:rPr>
                <w:spacing w:val="-9"/>
                <w:sz w:val="20"/>
              </w:rPr>
              <w:t> </w:t>
            </w:r>
            <w:r>
              <w:rPr>
                <w:spacing w:val="-2"/>
                <w:sz w:val="20"/>
              </w:rPr>
              <w:t>Staff</w:t>
            </w:r>
          </w:p>
        </w:tc>
        <w:tc>
          <w:tcPr>
            <w:tcW w:w="675" w:type="dxa"/>
          </w:tcPr>
          <w:p>
            <w:pPr>
              <w:pStyle w:val="TableParagraph"/>
              <w:spacing w:line="200" w:lineRule="exact"/>
              <w:ind w:left="53"/>
              <w:jc w:val="center"/>
              <w:rPr>
                <w:sz w:val="20"/>
              </w:rPr>
            </w:pPr>
            <w:r>
              <w:rPr>
                <w:spacing w:val="-10"/>
                <w:sz w:val="20"/>
              </w:rPr>
              <w:t>7</w:t>
            </w:r>
          </w:p>
        </w:tc>
        <w:tc>
          <w:tcPr>
            <w:tcW w:w="758" w:type="dxa"/>
          </w:tcPr>
          <w:p>
            <w:pPr>
              <w:pStyle w:val="TableParagraph"/>
              <w:spacing w:line="200" w:lineRule="exact"/>
              <w:ind w:left="60" w:right="5"/>
              <w:jc w:val="center"/>
              <w:rPr>
                <w:sz w:val="20"/>
              </w:rPr>
            </w:pPr>
            <w:r>
              <w:rPr>
                <w:spacing w:val="-5"/>
                <w:sz w:val="20"/>
              </w:rPr>
              <w:t>3.4</w:t>
            </w:r>
          </w:p>
        </w:tc>
        <w:tc>
          <w:tcPr>
            <w:tcW w:w="518" w:type="dxa"/>
          </w:tcPr>
          <w:p>
            <w:pPr>
              <w:pStyle w:val="TableParagraph"/>
              <w:spacing w:line="200" w:lineRule="exact"/>
              <w:ind w:left="43" w:right="2"/>
              <w:jc w:val="center"/>
              <w:rPr>
                <w:sz w:val="20"/>
              </w:rPr>
            </w:pPr>
            <w:r>
              <w:rPr>
                <w:spacing w:val="-10"/>
                <w:sz w:val="20"/>
              </w:rPr>
              <w:t>8</w:t>
            </w:r>
          </w:p>
        </w:tc>
        <w:tc>
          <w:tcPr>
            <w:tcW w:w="787" w:type="dxa"/>
          </w:tcPr>
          <w:p>
            <w:pPr>
              <w:pStyle w:val="TableParagraph"/>
              <w:spacing w:line="200" w:lineRule="exact"/>
              <w:ind w:left="39" w:right="39"/>
              <w:jc w:val="center"/>
              <w:rPr>
                <w:sz w:val="20"/>
              </w:rPr>
            </w:pPr>
            <w:r>
              <w:rPr>
                <w:spacing w:val="-5"/>
                <w:sz w:val="20"/>
              </w:rPr>
              <w:t>3.9</w:t>
            </w:r>
          </w:p>
        </w:tc>
        <w:tc>
          <w:tcPr>
            <w:tcW w:w="715" w:type="dxa"/>
          </w:tcPr>
          <w:p>
            <w:pPr>
              <w:pStyle w:val="TableParagraph"/>
              <w:spacing w:line="200" w:lineRule="exact"/>
              <w:ind w:left="39" w:right="99"/>
              <w:jc w:val="center"/>
              <w:rPr>
                <w:sz w:val="20"/>
              </w:rPr>
            </w:pPr>
            <w:r>
              <w:rPr>
                <w:spacing w:val="-5"/>
                <w:sz w:val="20"/>
              </w:rPr>
              <w:t>73</w:t>
            </w:r>
          </w:p>
        </w:tc>
        <w:tc>
          <w:tcPr>
            <w:tcW w:w="847" w:type="dxa"/>
          </w:tcPr>
          <w:p>
            <w:pPr>
              <w:pStyle w:val="TableParagraph"/>
              <w:spacing w:line="200" w:lineRule="exact"/>
              <w:ind w:left="27" w:right="6"/>
              <w:jc w:val="center"/>
              <w:rPr>
                <w:sz w:val="20"/>
              </w:rPr>
            </w:pPr>
            <w:r>
              <w:rPr>
                <w:spacing w:val="-4"/>
                <w:sz w:val="20"/>
              </w:rPr>
              <w:t>36.0</w:t>
            </w:r>
          </w:p>
        </w:tc>
        <w:tc>
          <w:tcPr>
            <w:tcW w:w="710" w:type="dxa"/>
          </w:tcPr>
          <w:p>
            <w:pPr>
              <w:pStyle w:val="TableParagraph"/>
              <w:spacing w:line="200" w:lineRule="exact"/>
              <w:ind w:left="98" w:right="6"/>
              <w:jc w:val="center"/>
              <w:rPr>
                <w:sz w:val="20"/>
              </w:rPr>
            </w:pPr>
            <w:r>
              <w:rPr>
                <w:spacing w:val="-5"/>
                <w:sz w:val="20"/>
              </w:rPr>
              <w:t>83</w:t>
            </w:r>
          </w:p>
        </w:tc>
        <w:tc>
          <w:tcPr>
            <w:tcW w:w="828" w:type="dxa"/>
          </w:tcPr>
          <w:p>
            <w:pPr>
              <w:pStyle w:val="TableParagraph"/>
              <w:spacing w:line="200" w:lineRule="exact"/>
              <w:ind w:left="4" w:right="5"/>
              <w:jc w:val="center"/>
              <w:rPr>
                <w:sz w:val="20"/>
              </w:rPr>
            </w:pPr>
            <w:r>
              <w:rPr>
                <w:spacing w:val="-4"/>
                <w:sz w:val="20"/>
              </w:rPr>
              <w:t>40.9</w:t>
            </w:r>
          </w:p>
        </w:tc>
        <w:tc>
          <w:tcPr>
            <w:tcW w:w="600" w:type="dxa"/>
          </w:tcPr>
          <w:p>
            <w:pPr>
              <w:pStyle w:val="TableParagraph"/>
              <w:spacing w:line="200" w:lineRule="exact"/>
              <w:ind w:left="2" w:right="13"/>
              <w:jc w:val="center"/>
              <w:rPr>
                <w:sz w:val="20"/>
              </w:rPr>
            </w:pPr>
            <w:r>
              <w:rPr>
                <w:spacing w:val="-5"/>
                <w:sz w:val="20"/>
              </w:rPr>
              <w:t>32</w:t>
            </w:r>
          </w:p>
        </w:tc>
        <w:tc>
          <w:tcPr>
            <w:tcW w:w="770" w:type="dxa"/>
          </w:tcPr>
          <w:p>
            <w:pPr>
              <w:pStyle w:val="TableParagraph"/>
              <w:spacing w:line="200" w:lineRule="exact"/>
              <w:ind w:left="45" w:right="3"/>
              <w:jc w:val="center"/>
              <w:rPr>
                <w:sz w:val="20"/>
              </w:rPr>
            </w:pPr>
            <w:r>
              <w:rPr>
                <w:spacing w:val="-4"/>
                <w:sz w:val="20"/>
              </w:rPr>
              <w:t>15.8</w:t>
            </w:r>
          </w:p>
        </w:tc>
        <w:tc>
          <w:tcPr>
            <w:tcW w:w="691" w:type="dxa"/>
          </w:tcPr>
          <w:p>
            <w:pPr>
              <w:pStyle w:val="TableParagraph"/>
              <w:spacing w:line="200" w:lineRule="exact"/>
              <w:ind w:left="22" w:right="11"/>
              <w:jc w:val="center"/>
              <w:rPr>
                <w:sz w:val="20"/>
              </w:rPr>
            </w:pPr>
            <w:r>
              <w:rPr>
                <w:spacing w:val="-5"/>
                <w:sz w:val="20"/>
              </w:rPr>
              <w:t>203</w:t>
            </w:r>
          </w:p>
        </w:tc>
        <w:tc>
          <w:tcPr>
            <w:tcW w:w="738" w:type="dxa"/>
            <w:tcBorders>
              <w:right w:val="single" w:sz="4" w:space="0" w:color="000000"/>
            </w:tcBorders>
          </w:tcPr>
          <w:p>
            <w:pPr>
              <w:pStyle w:val="TableParagraph"/>
              <w:spacing w:line="200" w:lineRule="exact"/>
              <w:ind w:left="53" w:right="16"/>
              <w:jc w:val="center"/>
              <w:rPr>
                <w:sz w:val="20"/>
              </w:rPr>
            </w:pPr>
            <w:r>
              <w:rPr>
                <w:spacing w:val="-4"/>
                <w:sz w:val="20"/>
              </w:rPr>
              <w:t>43.8</w:t>
            </w:r>
          </w:p>
        </w:tc>
      </w:tr>
      <w:tr>
        <w:trPr>
          <w:trHeight w:val="280" w:hRule="atLeast"/>
        </w:trPr>
        <w:tc>
          <w:tcPr>
            <w:tcW w:w="3776" w:type="dxa"/>
            <w:vMerge/>
            <w:tcBorders>
              <w:top w:val="nil"/>
              <w:left w:val="single" w:sz="4" w:space="0" w:color="000000"/>
              <w:bottom w:val="single" w:sz="4" w:space="0" w:color="000000"/>
            </w:tcBorders>
          </w:tcPr>
          <w:p>
            <w:pPr>
              <w:rPr>
                <w:sz w:val="2"/>
                <w:szCs w:val="2"/>
              </w:rPr>
            </w:pPr>
          </w:p>
        </w:tc>
        <w:tc>
          <w:tcPr>
            <w:tcW w:w="2348" w:type="dxa"/>
          </w:tcPr>
          <w:p>
            <w:pPr>
              <w:pStyle w:val="TableParagraph"/>
              <w:spacing w:line="222" w:lineRule="exact"/>
              <w:ind w:left="121"/>
              <w:rPr>
                <w:sz w:val="20"/>
              </w:rPr>
            </w:pPr>
            <w:r>
              <w:rPr>
                <w:sz w:val="20"/>
              </w:rPr>
              <w:t>Top</w:t>
            </w:r>
            <w:r>
              <w:rPr>
                <w:spacing w:val="-1"/>
                <w:sz w:val="20"/>
              </w:rPr>
              <w:t> </w:t>
            </w:r>
            <w:r>
              <w:rPr>
                <w:spacing w:val="-2"/>
                <w:sz w:val="20"/>
              </w:rPr>
              <w:t>Management</w:t>
            </w:r>
          </w:p>
        </w:tc>
        <w:tc>
          <w:tcPr>
            <w:tcW w:w="675" w:type="dxa"/>
          </w:tcPr>
          <w:p>
            <w:pPr>
              <w:pStyle w:val="TableParagraph"/>
              <w:spacing w:line="222" w:lineRule="exact"/>
              <w:ind w:left="53"/>
              <w:jc w:val="center"/>
              <w:rPr>
                <w:sz w:val="20"/>
              </w:rPr>
            </w:pPr>
            <w:r>
              <w:rPr>
                <w:spacing w:val="-10"/>
                <w:sz w:val="20"/>
              </w:rPr>
              <w:t>1</w:t>
            </w:r>
          </w:p>
        </w:tc>
        <w:tc>
          <w:tcPr>
            <w:tcW w:w="758" w:type="dxa"/>
          </w:tcPr>
          <w:p>
            <w:pPr>
              <w:pStyle w:val="TableParagraph"/>
              <w:spacing w:line="222" w:lineRule="exact"/>
              <w:ind w:left="60" w:right="5"/>
              <w:jc w:val="center"/>
              <w:rPr>
                <w:sz w:val="20"/>
              </w:rPr>
            </w:pPr>
            <w:r>
              <w:rPr>
                <w:spacing w:val="-5"/>
                <w:sz w:val="20"/>
              </w:rPr>
              <w:t>4.3</w:t>
            </w:r>
          </w:p>
        </w:tc>
        <w:tc>
          <w:tcPr>
            <w:tcW w:w="518" w:type="dxa"/>
          </w:tcPr>
          <w:p>
            <w:pPr>
              <w:pStyle w:val="TableParagraph"/>
              <w:spacing w:line="222" w:lineRule="exact"/>
              <w:ind w:left="43" w:right="8"/>
              <w:jc w:val="center"/>
              <w:rPr>
                <w:sz w:val="20"/>
              </w:rPr>
            </w:pPr>
            <w:r>
              <w:rPr>
                <w:spacing w:val="-10"/>
                <w:sz w:val="20"/>
              </w:rPr>
              <w:t>-</w:t>
            </w:r>
          </w:p>
        </w:tc>
        <w:tc>
          <w:tcPr>
            <w:tcW w:w="787" w:type="dxa"/>
          </w:tcPr>
          <w:p>
            <w:pPr>
              <w:pStyle w:val="TableParagraph"/>
              <w:spacing w:line="222" w:lineRule="exact"/>
              <w:ind w:left="39" w:right="39"/>
              <w:jc w:val="center"/>
              <w:rPr>
                <w:sz w:val="20"/>
              </w:rPr>
            </w:pPr>
            <w:r>
              <w:rPr>
                <w:spacing w:val="-10"/>
                <w:sz w:val="20"/>
              </w:rPr>
              <w:t>-</w:t>
            </w:r>
          </w:p>
        </w:tc>
        <w:tc>
          <w:tcPr>
            <w:tcW w:w="715" w:type="dxa"/>
          </w:tcPr>
          <w:p>
            <w:pPr>
              <w:pStyle w:val="TableParagraph"/>
              <w:spacing w:line="222" w:lineRule="exact"/>
              <w:ind w:left="39" w:right="94"/>
              <w:jc w:val="center"/>
              <w:rPr>
                <w:sz w:val="20"/>
              </w:rPr>
            </w:pPr>
            <w:r>
              <w:rPr>
                <w:spacing w:val="-10"/>
                <w:sz w:val="20"/>
              </w:rPr>
              <w:t>6</w:t>
            </w:r>
          </w:p>
        </w:tc>
        <w:tc>
          <w:tcPr>
            <w:tcW w:w="847" w:type="dxa"/>
          </w:tcPr>
          <w:p>
            <w:pPr>
              <w:pStyle w:val="TableParagraph"/>
              <w:spacing w:line="222" w:lineRule="exact"/>
              <w:ind w:left="27" w:right="6"/>
              <w:jc w:val="center"/>
              <w:rPr>
                <w:sz w:val="20"/>
              </w:rPr>
            </w:pPr>
            <w:r>
              <w:rPr>
                <w:spacing w:val="-4"/>
                <w:sz w:val="20"/>
              </w:rPr>
              <w:t>26.1</w:t>
            </w:r>
          </w:p>
        </w:tc>
        <w:tc>
          <w:tcPr>
            <w:tcW w:w="710" w:type="dxa"/>
          </w:tcPr>
          <w:p>
            <w:pPr>
              <w:pStyle w:val="TableParagraph"/>
              <w:spacing w:line="222" w:lineRule="exact"/>
              <w:ind w:left="98" w:right="6"/>
              <w:jc w:val="center"/>
              <w:rPr>
                <w:sz w:val="20"/>
              </w:rPr>
            </w:pPr>
            <w:r>
              <w:rPr>
                <w:spacing w:val="-5"/>
                <w:sz w:val="20"/>
              </w:rPr>
              <w:t>13</w:t>
            </w:r>
          </w:p>
        </w:tc>
        <w:tc>
          <w:tcPr>
            <w:tcW w:w="828" w:type="dxa"/>
          </w:tcPr>
          <w:p>
            <w:pPr>
              <w:pStyle w:val="TableParagraph"/>
              <w:spacing w:line="222" w:lineRule="exact"/>
              <w:ind w:left="4" w:right="5"/>
              <w:jc w:val="center"/>
              <w:rPr>
                <w:sz w:val="20"/>
              </w:rPr>
            </w:pPr>
            <w:r>
              <w:rPr>
                <w:spacing w:val="-4"/>
                <w:sz w:val="20"/>
              </w:rPr>
              <w:t>56.5</w:t>
            </w:r>
          </w:p>
        </w:tc>
        <w:tc>
          <w:tcPr>
            <w:tcW w:w="600" w:type="dxa"/>
          </w:tcPr>
          <w:p>
            <w:pPr>
              <w:pStyle w:val="TableParagraph"/>
              <w:spacing w:line="222" w:lineRule="exact"/>
              <w:ind w:left="7" w:right="13"/>
              <w:jc w:val="center"/>
              <w:rPr>
                <w:sz w:val="20"/>
              </w:rPr>
            </w:pPr>
            <w:r>
              <w:rPr>
                <w:spacing w:val="-10"/>
                <w:sz w:val="20"/>
              </w:rPr>
              <w:t>3</w:t>
            </w:r>
          </w:p>
        </w:tc>
        <w:tc>
          <w:tcPr>
            <w:tcW w:w="770" w:type="dxa"/>
          </w:tcPr>
          <w:p>
            <w:pPr>
              <w:pStyle w:val="TableParagraph"/>
              <w:spacing w:line="222" w:lineRule="exact"/>
              <w:ind w:left="45" w:right="3"/>
              <w:jc w:val="center"/>
              <w:rPr>
                <w:sz w:val="20"/>
              </w:rPr>
            </w:pPr>
            <w:r>
              <w:rPr>
                <w:spacing w:val="-4"/>
                <w:sz w:val="20"/>
              </w:rPr>
              <w:t>13.0</w:t>
            </w:r>
          </w:p>
        </w:tc>
        <w:tc>
          <w:tcPr>
            <w:tcW w:w="691" w:type="dxa"/>
          </w:tcPr>
          <w:p>
            <w:pPr>
              <w:pStyle w:val="TableParagraph"/>
              <w:spacing w:line="222" w:lineRule="exact"/>
              <w:ind w:left="22" w:right="6"/>
              <w:jc w:val="center"/>
              <w:rPr>
                <w:sz w:val="20"/>
              </w:rPr>
            </w:pPr>
            <w:r>
              <w:rPr>
                <w:spacing w:val="-5"/>
                <w:sz w:val="20"/>
              </w:rPr>
              <w:t>23</w:t>
            </w:r>
          </w:p>
        </w:tc>
        <w:tc>
          <w:tcPr>
            <w:tcW w:w="738" w:type="dxa"/>
            <w:tcBorders>
              <w:right w:val="single" w:sz="4" w:space="0" w:color="000000"/>
            </w:tcBorders>
          </w:tcPr>
          <w:p>
            <w:pPr>
              <w:pStyle w:val="TableParagraph"/>
              <w:spacing w:line="222" w:lineRule="exact"/>
              <w:ind w:left="53" w:right="21"/>
              <w:jc w:val="center"/>
              <w:rPr>
                <w:sz w:val="20"/>
              </w:rPr>
            </w:pPr>
            <w:r>
              <w:rPr>
                <w:spacing w:val="-5"/>
                <w:sz w:val="20"/>
              </w:rPr>
              <w:t>5.0</w:t>
            </w:r>
          </w:p>
        </w:tc>
      </w:tr>
      <w:tr>
        <w:trPr>
          <w:trHeight w:val="280" w:hRule="atLeast"/>
        </w:trPr>
        <w:tc>
          <w:tcPr>
            <w:tcW w:w="3776" w:type="dxa"/>
            <w:vMerge/>
            <w:tcBorders>
              <w:top w:val="nil"/>
              <w:left w:val="single" w:sz="4" w:space="0" w:color="000000"/>
              <w:bottom w:val="single" w:sz="4" w:space="0" w:color="000000"/>
            </w:tcBorders>
          </w:tcPr>
          <w:p>
            <w:pPr>
              <w:rPr>
                <w:sz w:val="2"/>
                <w:szCs w:val="2"/>
              </w:rPr>
            </w:pPr>
          </w:p>
        </w:tc>
        <w:tc>
          <w:tcPr>
            <w:tcW w:w="2348" w:type="dxa"/>
          </w:tcPr>
          <w:p>
            <w:pPr>
              <w:pStyle w:val="TableParagraph"/>
              <w:spacing w:line="208" w:lineRule="exact" w:before="52"/>
              <w:ind w:left="121"/>
              <w:rPr>
                <w:sz w:val="20"/>
              </w:rPr>
            </w:pPr>
            <w:r>
              <w:rPr>
                <w:sz w:val="20"/>
              </w:rPr>
              <w:t>No.</w:t>
            </w:r>
            <w:r>
              <w:rPr>
                <w:spacing w:val="-5"/>
                <w:sz w:val="20"/>
              </w:rPr>
              <w:t> </w:t>
            </w:r>
            <w:r>
              <w:rPr>
                <w:sz w:val="20"/>
              </w:rPr>
              <w:t>of</w:t>
            </w:r>
            <w:r>
              <w:rPr>
                <w:spacing w:val="-2"/>
                <w:sz w:val="20"/>
              </w:rPr>
              <w:t> missing</w:t>
            </w:r>
          </w:p>
        </w:tc>
        <w:tc>
          <w:tcPr>
            <w:tcW w:w="675" w:type="dxa"/>
          </w:tcPr>
          <w:p>
            <w:pPr>
              <w:pStyle w:val="TableParagraph"/>
              <w:rPr>
                <w:rFonts w:ascii="Times New Roman"/>
                <w:sz w:val="20"/>
              </w:rPr>
            </w:pPr>
          </w:p>
        </w:tc>
        <w:tc>
          <w:tcPr>
            <w:tcW w:w="758" w:type="dxa"/>
          </w:tcPr>
          <w:p>
            <w:pPr>
              <w:pStyle w:val="TableParagraph"/>
              <w:rPr>
                <w:rFonts w:ascii="Times New Roman"/>
                <w:sz w:val="20"/>
              </w:rPr>
            </w:pPr>
          </w:p>
        </w:tc>
        <w:tc>
          <w:tcPr>
            <w:tcW w:w="518" w:type="dxa"/>
          </w:tcPr>
          <w:p>
            <w:pPr>
              <w:pStyle w:val="TableParagraph"/>
              <w:rPr>
                <w:rFonts w:ascii="Times New Roman"/>
                <w:sz w:val="20"/>
              </w:rPr>
            </w:pPr>
          </w:p>
        </w:tc>
        <w:tc>
          <w:tcPr>
            <w:tcW w:w="787" w:type="dxa"/>
          </w:tcPr>
          <w:p>
            <w:pPr>
              <w:pStyle w:val="TableParagraph"/>
              <w:rPr>
                <w:rFonts w:ascii="Times New Roman"/>
                <w:sz w:val="20"/>
              </w:rPr>
            </w:pPr>
          </w:p>
        </w:tc>
        <w:tc>
          <w:tcPr>
            <w:tcW w:w="715" w:type="dxa"/>
          </w:tcPr>
          <w:p>
            <w:pPr>
              <w:pStyle w:val="TableParagraph"/>
              <w:rPr>
                <w:rFonts w:ascii="Times New Roman"/>
                <w:sz w:val="20"/>
              </w:rPr>
            </w:pPr>
          </w:p>
        </w:tc>
        <w:tc>
          <w:tcPr>
            <w:tcW w:w="847" w:type="dxa"/>
          </w:tcPr>
          <w:p>
            <w:pPr>
              <w:pStyle w:val="TableParagraph"/>
              <w:rPr>
                <w:rFonts w:ascii="Times New Roman"/>
                <w:sz w:val="20"/>
              </w:rPr>
            </w:pPr>
          </w:p>
        </w:tc>
        <w:tc>
          <w:tcPr>
            <w:tcW w:w="710" w:type="dxa"/>
          </w:tcPr>
          <w:p>
            <w:pPr>
              <w:pStyle w:val="TableParagraph"/>
              <w:rPr>
                <w:rFonts w:ascii="Times New Roman"/>
                <w:sz w:val="20"/>
              </w:rPr>
            </w:pPr>
          </w:p>
        </w:tc>
        <w:tc>
          <w:tcPr>
            <w:tcW w:w="828" w:type="dxa"/>
          </w:tcPr>
          <w:p>
            <w:pPr>
              <w:pStyle w:val="TableParagraph"/>
              <w:rPr>
                <w:rFonts w:ascii="Times New Roman"/>
                <w:sz w:val="20"/>
              </w:rPr>
            </w:pPr>
          </w:p>
        </w:tc>
        <w:tc>
          <w:tcPr>
            <w:tcW w:w="600" w:type="dxa"/>
          </w:tcPr>
          <w:p>
            <w:pPr>
              <w:pStyle w:val="TableParagraph"/>
              <w:rPr>
                <w:rFonts w:ascii="Times New Roman"/>
                <w:sz w:val="20"/>
              </w:rPr>
            </w:pPr>
          </w:p>
        </w:tc>
        <w:tc>
          <w:tcPr>
            <w:tcW w:w="770" w:type="dxa"/>
          </w:tcPr>
          <w:p>
            <w:pPr>
              <w:pStyle w:val="TableParagraph"/>
              <w:rPr>
                <w:rFonts w:ascii="Times New Roman"/>
                <w:sz w:val="20"/>
              </w:rPr>
            </w:pPr>
          </w:p>
        </w:tc>
        <w:tc>
          <w:tcPr>
            <w:tcW w:w="691" w:type="dxa"/>
          </w:tcPr>
          <w:p>
            <w:pPr>
              <w:pStyle w:val="TableParagraph"/>
              <w:rPr>
                <w:rFonts w:ascii="Times New Roman"/>
                <w:sz w:val="20"/>
              </w:rPr>
            </w:pPr>
          </w:p>
        </w:tc>
        <w:tc>
          <w:tcPr>
            <w:tcW w:w="738" w:type="dxa"/>
            <w:tcBorders>
              <w:right w:val="single" w:sz="4" w:space="0" w:color="000000"/>
            </w:tcBorders>
          </w:tcPr>
          <w:p>
            <w:pPr>
              <w:pStyle w:val="TableParagraph"/>
              <w:rPr>
                <w:rFonts w:ascii="Times New Roman"/>
                <w:sz w:val="20"/>
              </w:rPr>
            </w:pPr>
          </w:p>
        </w:tc>
      </w:tr>
      <w:tr>
        <w:trPr>
          <w:trHeight w:val="220" w:hRule="atLeast"/>
        </w:trPr>
        <w:tc>
          <w:tcPr>
            <w:tcW w:w="3776" w:type="dxa"/>
            <w:vMerge/>
            <w:tcBorders>
              <w:top w:val="nil"/>
              <w:left w:val="single" w:sz="4" w:space="0" w:color="000000"/>
              <w:bottom w:val="single" w:sz="4" w:space="0" w:color="000000"/>
            </w:tcBorders>
          </w:tcPr>
          <w:p>
            <w:pPr>
              <w:rPr>
                <w:sz w:val="2"/>
                <w:szCs w:val="2"/>
              </w:rPr>
            </w:pPr>
          </w:p>
        </w:tc>
        <w:tc>
          <w:tcPr>
            <w:tcW w:w="2348" w:type="dxa"/>
          </w:tcPr>
          <w:p>
            <w:pPr>
              <w:pStyle w:val="TableParagraph"/>
              <w:spacing w:line="200" w:lineRule="exact"/>
              <w:ind w:left="121"/>
              <w:rPr>
                <w:sz w:val="20"/>
              </w:rPr>
            </w:pPr>
            <w:r>
              <w:rPr>
                <w:spacing w:val="-2"/>
                <w:sz w:val="20"/>
              </w:rPr>
              <w:t>observations</w:t>
            </w:r>
          </w:p>
        </w:tc>
        <w:tc>
          <w:tcPr>
            <w:tcW w:w="675" w:type="dxa"/>
          </w:tcPr>
          <w:p>
            <w:pPr>
              <w:pStyle w:val="TableParagraph"/>
              <w:spacing w:line="200" w:lineRule="exact"/>
              <w:ind w:left="53" w:right="7"/>
              <w:jc w:val="center"/>
              <w:rPr>
                <w:sz w:val="20"/>
              </w:rPr>
            </w:pPr>
            <w:r>
              <w:rPr>
                <w:spacing w:val="-10"/>
                <w:sz w:val="20"/>
              </w:rPr>
              <w:t>-</w:t>
            </w:r>
          </w:p>
        </w:tc>
        <w:tc>
          <w:tcPr>
            <w:tcW w:w="758" w:type="dxa"/>
          </w:tcPr>
          <w:p>
            <w:pPr>
              <w:pStyle w:val="TableParagraph"/>
              <w:spacing w:line="200" w:lineRule="exact"/>
              <w:ind w:left="60" w:right="7"/>
              <w:jc w:val="center"/>
              <w:rPr>
                <w:sz w:val="20"/>
              </w:rPr>
            </w:pPr>
            <w:r>
              <w:rPr>
                <w:spacing w:val="-10"/>
                <w:sz w:val="20"/>
              </w:rPr>
              <w:t>-</w:t>
            </w:r>
          </w:p>
        </w:tc>
        <w:tc>
          <w:tcPr>
            <w:tcW w:w="518" w:type="dxa"/>
          </w:tcPr>
          <w:p>
            <w:pPr>
              <w:pStyle w:val="TableParagraph"/>
              <w:spacing w:line="200" w:lineRule="exact"/>
              <w:ind w:left="43" w:right="8"/>
              <w:jc w:val="center"/>
              <w:rPr>
                <w:sz w:val="20"/>
              </w:rPr>
            </w:pPr>
            <w:r>
              <w:rPr>
                <w:spacing w:val="-10"/>
                <w:sz w:val="20"/>
              </w:rPr>
              <w:t>-</w:t>
            </w:r>
          </w:p>
        </w:tc>
        <w:tc>
          <w:tcPr>
            <w:tcW w:w="787" w:type="dxa"/>
          </w:tcPr>
          <w:p>
            <w:pPr>
              <w:pStyle w:val="TableParagraph"/>
              <w:spacing w:line="200" w:lineRule="exact"/>
              <w:ind w:left="39" w:right="39"/>
              <w:jc w:val="center"/>
              <w:rPr>
                <w:sz w:val="20"/>
              </w:rPr>
            </w:pPr>
            <w:r>
              <w:rPr>
                <w:spacing w:val="-10"/>
                <w:sz w:val="20"/>
              </w:rPr>
              <w:t>-</w:t>
            </w:r>
          </w:p>
        </w:tc>
        <w:tc>
          <w:tcPr>
            <w:tcW w:w="715" w:type="dxa"/>
          </w:tcPr>
          <w:p>
            <w:pPr>
              <w:pStyle w:val="TableParagraph"/>
              <w:spacing w:line="200" w:lineRule="exact"/>
              <w:ind w:left="39" w:right="94"/>
              <w:jc w:val="center"/>
              <w:rPr>
                <w:sz w:val="20"/>
              </w:rPr>
            </w:pPr>
            <w:r>
              <w:rPr>
                <w:spacing w:val="-10"/>
                <w:sz w:val="20"/>
              </w:rPr>
              <w:t>1</w:t>
            </w:r>
          </w:p>
        </w:tc>
        <w:tc>
          <w:tcPr>
            <w:tcW w:w="847" w:type="dxa"/>
          </w:tcPr>
          <w:p>
            <w:pPr>
              <w:pStyle w:val="TableParagraph"/>
              <w:spacing w:line="200" w:lineRule="exact"/>
              <w:ind w:left="27" w:right="6"/>
              <w:jc w:val="center"/>
              <w:rPr>
                <w:sz w:val="20"/>
              </w:rPr>
            </w:pPr>
            <w:r>
              <w:rPr>
                <w:spacing w:val="-4"/>
                <w:sz w:val="20"/>
              </w:rPr>
              <w:t>50.0</w:t>
            </w:r>
          </w:p>
        </w:tc>
        <w:tc>
          <w:tcPr>
            <w:tcW w:w="710" w:type="dxa"/>
          </w:tcPr>
          <w:p>
            <w:pPr>
              <w:pStyle w:val="TableParagraph"/>
              <w:spacing w:line="200" w:lineRule="exact"/>
              <w:ind w:left="98" w:right="2"/>
              <w:jc w:val="center"/>
              <w:rPr>
                <w:sz w:val="20"/>
              </w:rPr>
            </w:pPr>
            <w:r>
              <w:rPr>
                <w:spacing w:val="-10"/>
                <w:sz w:val="20"/>
              </w:rPr>
              <w:t>1</w:t>
            </w:r>
          </w:p>
        </w:tc>
        <w:tc>
          <w:tcPr>
            <w:tcW w:w="828" w:type="dxa"/>
          </w:tcPr>
          <w:p>
            <w:pPr>
              <w:pStyle w:val="TableParagraph"/>
              <w:spacing w:line="200" w:lineRule="exact"/>
              <w:ind w:left="4" w:right="5"/>
              <w:jc w:val="center"/>
              <w:rPr>
                <w:sz w:val="20"/>
              </w:rPr>
            </w:pPr>
            <w:r>
              <w:rPr>
                <w:spacing w:val="-4"/>
                <w:sz w:val="20"/>
              </w:rPr>
              <w:t>50.0</w:t>
            </w:r>
          </w:p>
        </w:tc>
        <w:tc>
          <w:tcPr>
            <w:tcW w:w="600" w:type="dxa"/>
          </w:tcPr>
          <w:p>
            <w:pPr>
              <w:pStyle w:val="TableParagraph"/>
              <w:spacing w:line="200" w:lineRule="exact"/>
              <w:ind w:right="13"/>
              <w:jc w:val="center"/>
              <w:rPr>
                <w:sz w:val="20"/>
              </w:rPr>
            </w:pPr>
            <w:r>
              <w:rPr>
                <w:spacing w:val="-10"/>
                <w:sz w:val="20"/>
              </w:rPr>
              <w:t>-</w:t>
            </w:r>
          </w:p>
        </w:tc>
        <w:tc>
          <w:tcPr>
            <w:tcW w:w="770" w:type="dxa"/>
          </w:tcPr>
          <w:p>
            <w:pPr>
              <w:pStyle w:val="TableParagraph"/>
              <w:spacing w:line="200" w:lineRule="exact"/>
              <w:ind w:left="42" w:right="7"/>
              <w:jc w:val="center"/>
              <w:rPr>
                <w:sz w:val="20"/>
              </w:rPr>
            </w:pPr>
            <w:r>
              <w:rPr>
                <w:spacing w:val="-10"/>
                <w:sz w:val="20"/>
              </w:rPr>
              <w:t>-</w:t>
            </w:r>
          </w:p>
        </w:tc>
        <w:tc>
          <w:tcPr>
            <w:tcW w:w="691" w:type="dxa"/>
          </w:tcPr>
          <w:p>
            <w:pPr>
              <w:pStyle w:val="TableParagraph"/>
              <w:spacing w:line="200" w:lineRule="exact"/>
              <w:ind w:left="23" w:right="2"/>
              <w:jc w:val="center"/>
              <w:rPr>
                <w:sz w:val="20"/>
              </w:rPr>
            </w:pPr>
            <w:r>
              <w:rPr>
                <w:spacing w:val="-10"/>
                <w:sz w:val="20"/>
              </w:rPr>
              <w:t>2</w:t>
            </w:r>
          </w:p>
        </w:tc>
        <w:tc>
          <w:tcPr>
            <w:tcW w:w="738" w:type="dxa"/>
            <w:tcBorders>
              <w:right w:val="single" w:sz="4" w:space="0" w:color="000000"/>
            </w:tcBorders>
          </w:tcPr>
          <w:p>
            <w:pPr>
              <w:pStyle w:val="TableParagraph"/>
              <w:spacing w:line="200" w:lineRule="exact"/>
              <w:ind w:left="53" w:right="21"/>
              <w:jc w:val="center"/>
              <w:rPr>
                <w:sz w:val="20"/>
              </w:rPr>
            </w:pPr>
            <w:r>
              <w:rPr>
                <w:spacing w:val="-5"/>
                <w:sz w:val="20"/>
              </w:rPr>
              <w:t>0.4</w:t>
            </w:r>
          </w:p>
        </w:tc>
      </w:tr>
      <w:tr>
        <w:trPr>
          <w:trHeight w:val="220" w:hRule="atLeast"/>
        </w:trPr>
        <w:tc>
          <w:tcPr>
            <w:tcW w:w="3776" w:type="dxa"/>
            <w:vMerge/>
            <w:tcBorders>
              <w:top w:val="nil"/>
              <w:left w:val="single" w:sz="4" w:space="0" w:color="000000"/>
              <w:bottom w:val="single" w:sz="4" w:space="0" w:color="000000"/>
            </w:tcBorders>
          </w:tcPr>
          <w:p>
            <w:pPr>
              <w:rPr>
                <w:sz w:val="2"/>
                <w:szCs w:val="2"/>
              </w:rPr>
            </w:pPr>
          </w:p>
        </w:tc>
        <w:tc>
          <w:tcPr>
            <w:tcW w:w="2348" w:type="dxa"/>
          </w:tcPr>
          <w:p>
            <w:pPr>
              <w:pStyle w:val="TableParagraph"/>
              <w:spacing w:line="200" w:lineRule="exact"/>
              <w:ind w:left="121"/>
              <w:rPr>
                <w:sz w:val="20"/>
              </w:rPr>
            </w:pPr>
            <w:r>
              <w:rPr>
                <w:spacing w:val="-2"/>
                <w:sz w:val="20"/>
              </w:rPr>
              <w:t>Students</w:t>
            </w:r>
          </w:p>
        </w:tc>
        <w:tc>
          <w:tcPr>
            <w:tcW w:w="675" w:type="dxa"/>
          </w:tcPr>
          <w:p>
            <w:pPr>
              <w:pStyle w:val="TableParagraph"/>
              <w:spacing w:line="200" w:lineRule="exact"/>
              <w:ind w:left="53" w:right="5"/>
              <w:jc w:val="center"/>
              <w:rPr>
                <w:sz w:val="20"/>
              </w:rPr>
            </w:pPr>
            <w:r>
              <w:rPr>
                <w:spacing w:val="-5"/>
                <w:sz w:val="20"/>
              </w:rPr>
              <w:t>16</w:t>
            </w:r>
          </w:p>
        </w:tc>
        <w:tc>
          <w:tcPr>
            <w:tcW w:w="758" w:type="dxa"/>
          </w:tcPr>
          <w:p>
            <w:pPr>
              <w:pStyle w:val="TableParagraph"/>
              <w:spacing w:line="200" w:lineRule="exact"/>
              <w:ind w:left="60" w:right="5"/>
              <w:jc w:val="center"/>
              <w:rPr>
                <w:sz w:val="20"/>
              </w:rPr>
            </w:pPr>
            <w:r>
              <w:rPr>
                <w:spacing w:val="-5"/>
                <w:sz w:val="20"/>
              </w:rPr>
              <w:t>6.8</w:t>
            </w:r>
          </w:p>
        </w:tc>
        <w:tc>
          <w:tcPr>
            <w:tcW w:w="518" w:type="dxa"/>
          </w:tcPr>
          <w:p>
            <w:pPr>
              <w:pStyle w:val="TableParagraph"/>
              <w:spacing w:line="200" w:lineRule="exact"/>
              <w:ind w:left="43" w:right="6"/>
              <w:jc w:val="center"/>
              <w:rPr>
                <w:sz w:val="20"/>
              </w:rPr>
            </w:pPr>
            <w:r>
              <w:rPr>
                <w:spacing w:val="-5"/>
                <w:sz w:val="20"/>
              </w:rPr>
              <w:t>12</w:t>
            </w:r>
          </w:p>
        </w:tc>
        <w:tc>
          <w:tcPr>
            <w:tcW w:w="787" w:type="dxa"/>
          </w:tcPr>
          <w:p>
            <w:pPr>
              <w:pStyle w:val="TableParagraph"/>
              <w:spacing w:line="200" w:lineRule="exact"/>
              <w:ind w:left="39" w:right="39"/>
              <w:jc w:val="center"/>
              <w:rPr>
                <w:sz w:val="20"/>
              </w:rPr>
            </w:pPr>
            <w:r>
              <w:rPr>
                <w:spacing w:val="-5"/>
                <w:sz w:val="20"/>
              </w:rPr>
              <w:t>5.1</w:t>
            </w:r>
          </w:p>
        </w:tc>
        <w:tc>
          <w:tcPr>
            <w:tcW w:w="715" w:type="dxa"/>
          </w:tcPr>
          <w:p>
            <w:pPr>
              <w:pStyle w:val="TableParagraph"/>
              <w:spacing w:line="200" w:lineRule="exact"/>
              <w:ind w:left="39" w:right="99"/>
              <w:jc w:val="center"/>
              <w:rPr>
                <w:sz w:val="20"/>
              </w:rPr>
            </w:pPr>
            <w:r>
              <w:rPr>
                <w:spacing w:val="-5"/>
                <w:sz w:val="20"/>
              </w:rPr>
              <w:t>91</w:t>
            </w:r>
          </w:p>
        </w:tc>
        <w:tc>
          <w:tcPr>
            <w:tcW w:w="847" w:type="dxa"/>
          </w:tcPr>
          <w:p>
            <w:pPr>
              <w:pStyle w:val="TableParagraph"/>
              <w:spacing w:line="200" w:lineRule="exact"/>
              <w:ind w:left="27" w:right="6"/>
              <w:jc w:val="center"/>
              <w:rPr>
                <w:sz w:val="20"/>
              </w:rPr>
            </w:pPr>
            <w:r>
              <w:rPr>
                <w:spacing w:val="-4"/>
                <w:sz w:val="20"/>
              </w:rPr>
              <w:t>38.7</w:t>
            </w:r>
          </w:p>
        </w:tc>
        <w:tc>
          <w:tcPr>
            <w:tcW w:w="710" w:type="dxa"/>
          </w:tcPr>
          <w:p>
            <w:pPr>
              <w:pStyle w:val="TableParagraph"/>
              <w:spacing w:line="200" w:lineRule="exact"/>
              <w:ind w:left="98" w:right="6"/>
              <w:jc w:val="center"/>
              <w:rPr>
                <w:sz w:val="20"/>
              </w:rPr>
            </w:pPr>
            <w:r>
              <w:rPr>
                <w:spacing w:val="-5"/>
                <w:sz w:val="20"/>
              </w:rPr>
              <w:t>98</w:t>
            </w:r>
          </w:p>
        </w:tc>
        <w:tc>
          <w:tcPr>
            <w:tcW w:w="828" w:type="dxa"/>
          </w:tcPr>
          <w:p>
            <w:pPr>
              <w:pStyle w:val="TableParagraph"/>
              <w:spacing w:line="200" w:lineRule="exact"/>
              <w:ind w:left="4" w:right="5"/>
              <w:jc w:val="center"/>
              <w:rPr>
                <w:sz w:val="20"/>
              </w:rPr>
            </w:pPr>
            <w:r>
              <w:rPr>
                <w:spacing w:val="-4"/>
                <w:sz w:val="20"/>
              </w:rPr>
              <w:t>41.7</w:t>
            </w:r>
          </w:p>
        </w:tc>
        <w:tc>
          <w:tcPr>
            <w:tcW w:w="600" w:type="dxa"/>
          </w:tcPr>
          <w:p>
            <w:pPr>
              <w:pStyle w:val="TableParagraph"/>
              <w:spacing w:line="200" w:lineRule="exact"/>
              <w:ind w:left="2" w:right="13"/>
              <w:jc w:val="center"/>
              <w:rPr>
                <w:sz w:val="20"/>
              </w:rPr>
            </w:pPr>
            <w:r>
              <w:rPr>
                <w:spacing w:val="-5"/>
                <w:sz w:val="20"/>
              </w:rPr>
              <w:t>18</w:t>
            </w:r>
          </w:p>
        </w:tc>
        <w:tc>
          <w:tcPr>
            <w:tcW w:w="770" w:type="dxa"/>
          </w:tcPr>
          <w:p>
            <w:pPr>
              <w:pStyle w:val="TableParagraph"/>
              <w:spacing w:line="200" w:lineRule="exact"/>
              <w:ind w:left="42" w:right="5"/>
              <w:jc w:val="center"/>
              <w:rPr>
                <w:sz w:val="20"/>
              </w:rPr>
            </w:pPr>
            <w:r>
              <w:rPr>
                <w:spacing w:val="-5"/>
                <w:sz w:val="20"/>
              </w:rPr>
              <w:t>7.7</w:t>
            </w:r>
          </w:p>
        </w:tc>
        <w:tc>
          <w:tcPr>
            <w:tcW w:w="691" w:type="dxa"/>
          </w:tcPr>
          <w:p>
            <w:pPr>
              <w:pStyle w:val="TableParagraph"/>
              <w:spacing w:line="200" w:lineRule="exact"/>
              <w:ind w:left="22" w:right="11"/>
              <w:jc w:val="center"/>
              <w:rPr>
                <w:sz w:val="20"/>
              </w:rPr>
            </w:pPr>
            <w:r>
              <w:rPr>
                <w:spacing w:val="-5"/>
                <w:sz w:val="20"/>
              </w:rPr>
              <w:t>235</w:t>
            </w:r>
          </w:p>
        </w:tc>
        <w:tc>
          <w:tcPr>
            <w:tcW w:w="738" w:type="dxa"/>
            <w:tcBorders>
              <w:right w:val="single" w:sz="4" w:space="0" w:color="000000"/>
            </w:tcBorders>
          </w:tcPr>
          <w:p>
            <w:pPr>
              <w:pStyle w:val="TableParagraph"/>
              <w:spacing w:line="200" w:lineRule="exact"/>
              <w:ind w:left="53" w:right="16"/>
              <w:jc w:val="center"/>
              <w:rPr>
                <w:sz w:val="20"/>
              </w:rPr>
            </w:pPr>
            <w:r>
              <w:rPr>
                <w:spacing w:val="-4"/>
                <w:sz w:val="20"/>
              </w:rPr>
              <w:t>50.8</w:t>
            </w:r>
          </w:p>
        </w:tc>
      </w:tr>
      <w:tr>
        <w:trPr>
          <w:trHeight w:val="220" w:hRule="atLeast"/>
        </w:trPr>
        <w:tc>
          <w:tcPr>
            <w:tcW w:w="3776" w:type="dxa"/>
            <w:vMerge/>
            <w:tcBorders>
              <w:top w:val="nil"/>
              <w:left w:val="single" w:sz="4" w:space="0" w:color="000000"/>
              <w:bottom w:val="single" w:sz="4" w:space="0" w:color="000000"/>
            </w:tcBorders>
          </w:tcPr>
          <w:p>
            <w:pPr>
              <w:rPr>
                <w:sz w:val="2"/>
                <w:szCs w:val="2"/>
              </w:rPr>
            </w:pPr>
          </w:p>
        </w:tc>
        <w:tc>
          <w:tcPr>
            <w:tcW w:w="2348" w:type="dxa"/>
          </w:tcPr>
          <w:p>
            <w:pPr>
              <w:pStyle w:val="TableParagraph"/>
              <w:spacing w:line="200" w:lineRule="exact"/>
              <w:ind w:left="121"/>
              <w:rPr>
                <w:sz w:val="20"/>
              </w:rPr>
            </w:pPr>
            <w:r>
              <w:rPr>
                <w:sz w:val="20"/>
              </w:rPr>
              <w:t>Service</w:t>
            </w:r>
            <w:r>
              <w:rPr>
                <w:spacing w:val="-9"/>
                <w:sz w:val="20"/>
              </w:rPr>
              <w:t> </w:t>
            </w:r>
            <w:r>
              <w:rPr>
                <w:spacing w:val="-2"/>
                <w:sz w:val="20"/>
              </w:rPr>
              <w:t>Staff</w:t>
            </w:r>
          </w:p>
        </w:tc>
        <w:tc>
          <w:tcPr>
            <w:tcW w:w="675" w:type="dxa"/>
          </w:tcPr>
          <w:p>
            <w:pPr>
              <w:pStyle w:val="TableParagraph"/>
              <w:spacing w:line="200" w:lineRule="exact"/>
              <w:ind w:left="53" w:right="5"/>
              <w:jc w:val="center"/>
              <w:rPr>
                <w:sz w:val="20"/>
              </w:rPr>
            </w:pPr>
            <w:r>
              <w:rPr>
                <w:spacing w:val="-5"/>
                <w:sz w:val="20"/>
              </w:rPr>
              <w:t>21</w:t>
            </w:r>
          </w:p>
        </w:tc>
        <w:tc>
          <w:tcPr>
            <w:tcW w:w="758" w:type="dxa"/>
          </w:tcPr>
          <w:p>
            <w:pPr>
              <w:pStyle w:val="TableParagraph"/>
              <w:spacing w:line="200" w:lineRule="exact"/>
              <w:ind w:left="60"/>
              <w:jc w:val="center"/>
              <w:rPr>
                <w:sz w:val="20"/>
              </w:rPr>
            </w:pPr>
            <w:r>
              <w:rPr>
                <w:spacing w:val="-4"/>
                <w:sz w:val="20"/>
              </w:rPr>
              <w:t>10.3</w:t>
            </w:r>
          </w:p>
        </w:tc>
        <w:tc>
          <w:tcPr>
            <w:tcW w:w="518" w:type="dxa"/>
          </w:tcPr>
          <w:p>
            <w:pPr>
              <w:pStyle w:val="TableParagraph"/>
              <w:spacing w:line="200" w:lineRule="exact"/>
              <w:ind w:left="43" w:right="6"/>
              <w:jc w:val="center"/>
              <w:rPr>
                <w:sz w:val="20"/>
              </w:rPr>
            </w:pPr>
            <w:r>
              <w:rPr>
                <w:spacing w:val="-5"/>
                <w:sz w:val="20"/>
              </w:rPr>
              <w:t>10</w:t>
            </w:r>
          </w:p>
        </w:tc>
        <w:tc>
          <w:tcPr>
            <w:tcW w:w="787" w:type="dxa"/>
          </w:tcPr>
          <w:p>
            <w:pPr>
              <w:pStyle w:val="TableParagraph"/>
              <w:spacing w:line="200" w:lineRule="exact"/>
              <w:ind w:left="39" w:right="39"/>
              <w:jc w:val="center"/>
              <w:rPr>
                <w:sz w:val="20"/>
              </w:rPr>
            </w:pPr>
            <w:r>
              <w:rPr>
                <w:spacing w:val="-5"/>
                <w:sz w:val="20"/>
              </w:rPr>
              <w:t>4.9</w:t>
            </w:r>
          </w:p>
        </w:tc>
        <w:tc>
          <w:tcPr>
            <w:tcW w:w="715" w:type="dxa"/>
          </w:tcPr>
          <w:p>
            <w:pPr>
              <w:pStyle w:val="TableParagraph"/>
              <w:spacing w:line="200" w:lineRule="exact"/>
              <w:ind w:left="39" w:right="99"/>
              <w:jc w:val="center"/>
              <w:rPr>
                <w:sz w:val="20"/>
              </w:rPr>
            </w:pPr>
            <w:r>
              <w:rPr>
                <w:spacing w:val="-5"/>
                <w:sz w:val="20"/>
              </w:rPr>
              <w:t>53</w:t>
            </w:r>
          </w:p>
        </w:tc>
        <w:tc>
          <w:tcPr>
            <w:tcW w:w="847" w:type="dxa"/>
          </w:tcPr>
          <w:p>
            <w:pPr>
              <w:pStyle w:val="TableParagraph"/>
              <w:spacing w:line="200" w:lineRule="exact"/>
              <w:ind w:left="27" w:right="6"/>
              <w:jc w:val="center"/>
              <w:rPr>
                <w:sz w:val="20"/>
              </w:rPr>
            </w:pPr>
            <w:r>
              <w:rPr>
                <w:spacing w:val="-4"/>
                <w:sz w:val="20"/>
              </w:rPr>
              <w:t>26.1</w:t>
            </w:r>
          </w:p>
        </w:tc>
        <w:tc>
          <w:tcPr>
            <w:tcW w:w="710" w:type="dxa"/>
          </w:tcPr>
          <w:p>
            <w:pPr>
              <w:pStyle w:val="TableParagraph"/>
              <w:spacing w:line="200" w:lineRule="exact"/>
              <w:ind w:left="98" w:right="6"/>
              <w:jc w:val="center"/>
              <w:rPr>
                <w:sz w:val="20"/>
              </w:rPr>
            </w:pPr>
            <w:r>
              <w:rPr>
                <w:spacing w:val="-5"/>
                <w:sz w:val="20"/>
              </w:rPr>
              <w:t>96</w:t>
            </w:r>
          </w:p>
        </w:tc>
        <w:tc>
          <w:tcPr>
            <w:tcW w:w="828" w:type="dxa"/>
          </w:tcPr>
          <w:p>
            <w:pPr>
              <w:pStyle w:val="TableParagraph"/>
              <w:spacing w:line="200" w:lineRule="exact"/>
              <w:ind w:left="4" w:right="5"/>
              <w:jc w:val="center"/>
              <w:rPr>
                <w:sz w:val="20"/>
              </w:rPr>
            </w:pPr>
            <w:r>
              <w:rPr>
                <w:spacing w:val="-4"/>
                <w:sz w:val="20"/>
              </w:rPr>
              <w:t>47.3</w:t>
            </w:r>
          </w:p>
        </w:tc>
        <w:tc>
          <w:tcPr>
            <w:tcW w:w="600" w:type="dxa"/>
          </w:tcPr>
          <w:p>
            <w:pPr>
              <w:pStyle w:val="TableParagraph"/>
              <w:spacing w:line="200" w:lineRule="exact"/>
              <w:ind w:left="2" w:right="13"/>
              <w:jc w:val="center"/>
              <w:rPr>
                <w:sz w:val="20"/>
              </w:rPr>
            </w:pPr>
            <w:r>
              <w:rPr>
                <w:spacing w:val="-5"/>
                <w:sz w:val="20"/>
              </w:rPr>
              <w:t>23</w:t>
            </w:r>
          </w:p>
        </w:tc>
        <w:tc>
          <w:tcPr>
            <w:tcW w:w="770" w:type="dxa"/>
          </w:tcPr>
          <w:p>
            <w:pPr>
              <w:pStyle w:val="TableParagraph"/>
              <w:spacing w:line="200" w:lineRule="exact"/>
              <w:ind w:left="45" w:right="3"/>
              <w:jc w:val="center"/>
              <w:rPr>
                <w:sz w:val="20"/>
              </w:rPr>
            </w:pPr>
            <w:r>
              <w:rPr>
                <w:spacing w:val="-4"/>
                <w:sz w:val="20"/>
              </w:rPr>
              <w:t>11.3</w:t>
            </w:r>
          </w:p>
        </w:tc>
        <w:tc>
          <w:tcPr>
            <w:tcW w:w="691" w:type="dxa"/>
          </w:tcPr>
          <w:p>
            <w:pPr>
              <w:pStyle w:val="TableParagraph"/>
              <w:spacing w:line="200" w:lineRule="exact"/>
              <w:ind w:left="22" w:right="11"/>
              <w:jc w:val="center"/>
              <w:rPr>
                <w:sz w:val="20"/>
              </w:rPr>
            </w:pPr>
            <w:r>
              <w:rPr>
                <w:spacing w:val="-5"/>
                <w:sz w:val="20"/>
              </w:rPr>
              <w:t>203</w:t>
            </w:r>
          </w:p>
        </w:tc>
        <w:tc>
          <w:tcPr>
            <w:tcW w:w="738" w:type="dxa"/>
            <w:tcBorders>
              <w:right w:val="single" w:sz="4" w:space="0" w:color="000000"/>
            </w:tcBorders>
          </w:tcPr>
          <w:p>
            <w:pPr>
              <w:pStyle w:val="TableParagraph"/>
              <w:spacing w:line="200" w:lineRule="exact"/>
              <w:ind w:left="53" w:right="16"/>
              <w:jc w:val="center"/>
              <w:rPr>
                <w:sz w:val="20"/>
              </w:rPr>
            </w:pPr>
            <w:r>
              <w:rPr>
                <w:spacing w:val="-4"/>
                <w:sz w:val="20"/>
              </w:rPr>
              <w:t>43.8</w:t>
            </w:r>
          </w:p>
        </w:tc>
      </w:tr>
      <w:tr>
        <w:trPr>
          <w:trHeight w:val="244" w:hRule="atLeast"/>
        </w:trPr>
        <w:tc>
          <w:tcPr>
            <w:tcW w:w="3776" w:type="dxa"/>
            <w:vMerge/>
            <w:tcBorders>
              <w:top w:val="nil"/>
              <w:left w:val="single" w:sz="4" w:space="0" w:color="000000"/>
              <w:bottom w:val="single" w:sz="4" w:space="0" w:color="000000"/>
            </w:tcBorders>
          </w:tcPr>
          <w:p>
            <w:pPr>
              <w:rPr>
                <w:sz w:val="2"/>
                <w:szCs w:val="2"/>
              </w:rPr>
            </w:pPr>
          </w:p>
        </w:tc>
        <w:tc>
          <w:tcPr>
            <w:tcW w:w="2348" w:type="dxa"/>
          </w:tcPr>
          <w:p>
            <w:pPr>
              <w:pStyle w:val="TableParagraph"/>
              <w:spacing w:line="222" w:lineRule="exact"/>
              <w:ind w:left="121"/>
              <w:rPr>
                <w:sz w:val="20"/>
              </w:rPr>
            </w:pPr>
            <w:r>
              <w:rPr>
                <w:sz w:val="20"/>
              </w:rPr>
              <w:t>Top</w:t>
            </w:r>
            <w:r>
              <w:rPr>
                <w:spacing w:val="-1"/>
                <w:sz w:val="20"/>
              </w:rPr>
              <w:t> </w:t>
            </w:r>
            <w:r>
              <w:rPr>
                <w:spacing w:val="-2"/>
                <w:sz w:val="20"/>
              </w:rPr>
              <w:t>Management</w:t>
            </w:r>
          </w:p>
        </w:tc>
        <w:tc>
          <w:tcPr>
            <w:tcW w:w="675" w:type="dxa"/>
          </w:tcPr>
          <w:p>
            <w:pPr>
              <w:pStyle w:val="TableParagraph"/>
              <w:spacing w:line="222" w:lineRule="exact"/>
              <w:ind w:left="53"/>
              <w:jc w:val="center"/>
              <w:rPr>
                <w:sz w:val="20"/>
              </w:rPr>
            </w:pPr>
            <w:r>
              <w:rPr>
                <w:spacing w:val="-10"/>
                <w:sz w:val="20"/>
              </w:rPr>
              <w:t>1</w:t>
            </w:r>
          </w:p>
        </w:tc>
        <w:tc>
          <w:tcPr>
            <w:tcW w:w="758" w:type="dxa"/>
          </w:tcPr>
          <w:p>
            <w:pPr>
              <w:pStyle w:val="TableParagraph"/>
              <w:spacing w:line="222" w:lineRule="exact"/>
              <w:ind w:left="60" w:right="5"/>
              <w:jc w:val="center"/>
              <w:rPr>
                <w:sz w:val="20"/>
              </w:rPr>
            </w:pPr>
            <w:r>
              <w:rPr>
                <w:spacing w:val="-5"/>
                <w:sz w:val="20"/>
              </w:rPr>
              <w:t>4.3</w:t>
            </w:r>
          </w:p>
        </w:tc>
        <w:tc>
          <w:tcPr>
            <w:tcW w:w="518" w:type="dxa"/>
          </w:tcPr>
          <w:p>
            <w:pPr>
              <w:pStyle w:val="TableParagraph"/>
              <w:spacing w:line="222" w:lineRule="exact"/>
              <w:ind w:left="43" w:right="8"/>
              <w:jc w:val="center"/>
              <w:rPr>
                <w:sz w:val="20"/>
              </w:rPr>
            </w:pPr>
            <w:r>
              <w:rPr>
                <w:spacing w:val="-10"/>
                <w:sz w:val="20"/>
              </w:rPr>
              <w:t>-</w:t>
            </w:r>
          </w:p>
        </w:tc>
        <w:tc>
          <w:tcPr>
            <w:tcW w:w="787" w:type="dxa"/>
          </w:tcPr>
          <w:p>
            <w:pPr>
              <w:pStyle w:val="TableParagraph"/>
              <w:spacing w:line="222" w:lineRule="exact"/>
              <w:ind w:left="39" w:right="39"/>
              <w:jc w:val="center"/>
              <w:rPr>
                <w:sz w:val="20"/>
              </w:rPr>
            </w:pPr>
            <w:r>
              <w:rPr>
                <w:spacing w:val="-10"/>
                <w:sz w:val="20"/>
              </w:rPr>
              <w:t>-</w:t>
            </w:r>
          </w:p>
        </w:tc>
        <w:tc>
          <w:tcPr>
            <w:tcW w:w="715" w:type="dxa"/>
          </w:tcPr>
          <w:p>
            <w:pPr>
              <w:pStyle w:val="TableParagraph"/>
              <w:spacing w:line="222" w:lineRule="exact"/>
              <w:ind w:left="39" w:right="94"/>
              <w:jc w:val="center"/>
              <w:rPr>
                <w:sz w:val="20"/>
              </w:rPr>
            </w:pPr>
            <w:r>
              <w:rPr>
                <w:spacing w:val="-10"/>
                <w:sz w:val="20"/>
              </w:rPr>
              <w:t>2</w:t>
            </w:r>
          </w:p>
        </w:tc>
        <w:tc>
          <w:tcPr>
            <w:tcW w:w="847" w:type="dxa"/>
          </w:tcPr>
          <w:p>
            <w:pPr>
              <w:pStyle w:val="TableParagraph"/>
              <w:spacing w:line="222" w:lineRule="exact"/>
              <w:ind w:left="27" w:right="11"/>
              <w:jc w:val="center"/>
              <w:rPr>
                <w:sz w:val="20"/>
              </w:rPr>
            </w:pPr>
            <w:r>
              <w:rPr>
                <w:spacing w:val="-5"/>
                <w:sz w:val="20"/>
              </w:rPr>
              <w:t>8.7</w:t>
            </w:r>
          </w:p>
        </w:tc>
        <w:tc>
          <w:tcPr>
            <w:tcW w:w="710" w:type="dxa"/>
          </w:tcPr>
          <w:p>
            <w:pPr>
              <w:pStyle w:val="TableParagraph"/>
              <w:spacing w:line="222" w:lineRule="exact"/>
              <w:ind w:left="98" w:right="6"/>
              <w:jc w:val="center"/>
              <w:rPr>
                <w:sz w:val="20"/>
              </w:rPr>
            </w:pPr>
            <w:r>
              <w:rPr>
                <w:spacing w:val="-5"/>
                <w:sz w:val="20"/>
              </w:rPr>
              <w:t>18</w:t>
            </w:r>
          </w:p>
        </w:tc>
        <w:tc>
          <w:tcPr>
            <w:tcW w:w="828" w:type="dxa"/>
          </w:tcPr>
          <w:p>
            <w:pPr>
              <w:pStyle w:val="TableParagraph"/>
              <w:spacing w:line="222" w:lineRule="exact"/>
              <w:ind w:left="4" w:right="5"/>
              <w:jc w:val="center"/>
              <w:rPr>
                <w:sz w:val="20"/>
              </w:rPr>
            </w:pPr>
            <w:r>
              <w:rPr>
                <w:spacing w:val="-4"/>
                <w:sz w:val="20"/>
              </w:rPr>
              <w:t>78.3</w:t>
            </w:r>
          </w:p>
        </w:tc>
        <w:tc>
          <w:tcPr>
            <w:tcW w:w="600" w:type="dxa"/>
          </w:tcPr>
          <w:p>
            <w:pPr>
              <w:pStyle w:val="TableParagraph"/>
              <w:spacing w:line="222" w:lineRule="exact"/>
              <w:ind w:left="7" w:right="13"/>
              <w:jc w:val="center"/>
              <w:rPr>
                <w:sz w:val="20"/>
              </w:rPr>
            </w:pPr>
            <w:r>
              <w:rPr>
                <w:spacing w:val="-10"/>
                <w:sz w:val="20"/>
              </w:rPr>
              <w:t>2</w:t>
            </w:r>
          </w:p>
        </w:tc>
        <w:tc>
          <w:tcPr>
            <w:tcW w:w="770" w:type="dxa"/>
          </w:tcPr>
          <w:p>
            <w:pPr>
              <w:pStyle w:val="TableParagraph"/>
              <w:spacing w:line="222" w:lineRule="exact"/>
              <w:ind w:left="42" w:right="5"/>
              <w:jc w:val="center"/>
              <w:rPr>
                <w:sz w:val="20"/>
              </w:rPr>
            </w:pPr>
            <w:r>
              <w:rPr>
                <w:spacing w:val="-5"/>
                <w:sz w:val="20"/>
              </w:rPr>
              <w:t>8.7</w:t>
            </w:r>
          </w:p>
        </w:tc>
        <w:tc>
          <w:tcPr>
            <w:tcW w:w="691" w:type="dxa"/>
          </w:tcPr>
          <w:p>
            <w:pPr>
              <w:pStyle w:val="TableParagraph"/>
              <w:spacing w:line="222" w:lineRule="exact"/>
              <w:ind w:left="22" w:right="6"/>
              <w:jc w:val="center"/>
              <w:rPr>
                <w:sz w:val="20"/>
              </w:rPr>
            </w:pPr>
            <w:r>
              <w:rPr>
                <w:spacing w:val="-5"/>
                <w:sz w:val="20"/>
              </w:rPr>
              <w:t>23</w:t>
            </w:r>
          </w:p>
        </w:tc>
        <w:tc>
          <w:tcPr>
            <w:tcW w:w="738" w:type="dxa"/>
            <w:tcBorders>
              <w:right w:val="single" w:sz="4" w:space="0" w:color="000000"/>
            </w:tcBorders>
          </w:tcPr>
          <w:p>
            <w:pPr>
              <w:pStyle w:val="TableParagraph"/>
              <w:spacing w:line="222" w:lineRule="exact"/>
              <w:ind w:left="53" w:right="21"/>
              <w:jc w:val="center"/>
              <w:rPr>
                <w:sz w:val="20"/>
              </w:rPr>
            </w:pPr>
            <w:r>
              <w:rPr>
                <w:spacing w:val="-5"/>
                <w:sz w:val="20"/>
              </w:rPr>
              <w:t>5.0</w:t>
            </w:r>
          </w:p>
        </w:tc>
      </w:tr>
      <w:tr>
        <w:trPr>
          <w:trHeight w:val="244" w:hRule="atLeast"/>
        </w:trPr>
        <w:tc>
          <w:tcPr>
            <w:tcW w:w="3776" w:type="dxa"/>
            <w:vMerge/>
            <w:tcBorders>
              <w:top w:val="nil"/>
              <w:left w:val="single" w:sz="4" w:space="0" w:color="000000"/>
              <w:bottom w:val="single" w:sz="4" w:space="0" w:color="000000"/>
            </w:tcBorders>
          </w:tcPr>
          <w:p>
            <w:pPr>
              <w:rPr>
                <w:sz w:val="2"/>
                <w:szCs w:val="2"/>
              </w:rPr>
            </w:pPr>
          </w:p>
        </w:tc>
        <w:tc>
          <w:tcPr>
            <w:tcW w:w="2348" w:type="dxa"/>
          </w:tcPr>
          <w:p>
            <w:pPr>
              <w:pStyle w:val="TableParagraph"/>
              <w:spacing w:line="208" w:lineRule="exact" w:before="16"/>
              <w:ind w:left="121"/>
              <w:rPr>
                <w:sz w:val="20"/>
              </w:rPr>
            </w:pPr>
            <w:r>
              <w:rPr>
                <w:sz w:val="20"/>
              </w:rPr>
              <w:t>No.</w:t>
            </w:r>
            <w:r>
              <w:rPr>
                <w:spacing w:val="-5"/>
                <w:sz w:val="20"/>
              </w:rPr>
              <w:t> </w:t>
            </w:r>
            <w:r>
              <w:rPr>
                <w:sz w:val="20"/>
              </w:rPr>
              <w:t>of</w:t>
            </w:r>
            <w:r>
              <w:rPr>
                <w:spacing w:val="-2"/>
                <w:sz w:val="20"/>
              </w:rPr>
              <w:t> missing</w:t>
            </w:r>
          </w:p>
        </w:tc>
        <w:tc>
          <w:tcPr>
            <w:tcW w:w="675" w:type="dxa"/>
          </w:tcPr>
          <w:p>
            <w:pPr>
              <w:pStyle w:val="TableParagraph"/>
              <w:rPr>
                <w:rFonts w:ascii="Times New Roman"/>
                <w:sz w:val="16"/>
              </w:rPr>
            </w:pPr>
          </w:p>
        </w:tc>
        <w:tc>
          <w:tcPr>
            <w:tcW w:w="758" w:type="dxa"/>
          </w:tcPr>
          <w:p>
            <w:pPr>
              <w:pStyle w:val="TableParagraph"/>
              <w:rPr>
                <w:rFonts w:ascii="Times New Roman"/>
                <w:sz w:val="16"/>
              </w:rPr>
            </w:pPr>
          </w:p>
        </w:tc>
        <w:tc>
          <w:tcPr>
            <w:tcW w:w="518" w:type="dxa"/>
          </w:tcPr>
          <w:p>
            <w:pPr>
              <w:pStyle w:val="TableParagraph"/>
              <w:rPr>
                <w:rFonts w:ascii="Times New Roman"/>
                <w:sz w:val="16"/>
              </w:rPr>
            </w:pPr>
          </w:p>
        </w:tc>
        <w:tc>
          <w:tcPr>
            <w:tcW w:w="787" w:type="dxa"/>
          </w:tcPr>
          <w:p>
            <w:pPr>
              <w:pStyle w:val="TableParagraph"/>
              <w:rPr>
                <w:rFonts w:ascii="Times New Roman"/>
                <w:sz w:val="16"/>
              </w:rPr>
            </w:pPr>
          </w:p>
        </w:tc>
        <w:tc>
          <w:tcPr>
            <w:tcW w:w="715" w:type="dxa"/>
          </w:tcPr>
          <w:p>
            <w:pPr>
              <w:pStyle w:val="TableParagraph"/>
              <w:rPr>
                <w:rFonts w:ascii="Times New Roman"/>
                <w:sz w:val="16"/>
              </w:rPr>
            </w:pPr>
          </w:p>
        </w:tc>
        <w:tc>
          <w:tcPr>
            <w:tcW w:w="847" w:type="dxa"/>
          </w:tcPr>
          <w:p>
            <w:pPr>
              <w:pStyle w:val="TableParagraph"/>
              <w:rPr>
                <w:rFonts w:ascii="Times New Roman"/>
                <w:sz w:val="16"/>
              </w:rPr>
            </w:pPr>
          </w:p>
        </w:tc>
        <w:tc>
          <w:tcPr>
            <w:tcW w:w="710" w:type="dxa"/>
          </w:tcPr>
          <w:p>
            <w:pPr>
              <w:pStyle w:val="TableParagraph"/>
              <w:rPr>
                <w:rFonts w:ascii="Times New Roman"/>
                <w:sz w:val="16"/>
              </w:rPr>
            </w:pPr>
          </w:p>
        </w:tc>
        <w:tc>
          <w:tcPr>
            <w:tcW w:w="828" w:type="dxa"/>
          </w:tcPr>
          <w:p>
            <w:pPr>
              <w:pStyle w:val="TableParagraph"/>
              <w:rPr>
                <w:rFonts w:ascii="Times New Roman"/>
                <w:sz w:val="16"/>
              </w:rPr>
            </w:pPr>
          </w:p>
        </w:tc>
        <w:tc>
          <w:tcPr>
            <w:tcW w:w="600" w:type="dxa"/>
          </w:tcPr>
          <w:p>
            <w:pPr>
              <w:pStyle w:val="TableParagraph"/>
              <w:rPr>
                <w:rFonts w:ascii="Times New Roman"/>
                <w:sz w:val="16"/>
              </w:rPr>
            </w:pPr>
          </w:p>
        </w:tc>
        <w:tc>
          <w:tcPr>
            <w:tcW w:w="770" w:type="dxa"/>
          </w:tcPr>
          <w:p>
            <w:pPr>
              <w:pStyle w:val="TableParagraph"/>
              <w:rPr>
                <w:rFonts w:ascii="Times New Roman"/>
                <w:sz w:val="16"/>
              </w:rPr>
            </w:pPr>
          </w:p>
        </w:tc>
        <w:tc>
          <w:tcPr>
            <w:tcW w:w="691" w:type="dxa"/>
          </w:tcPr>
          <w:p>
            <w:pPr>
              <w:pStyle w:val="TableParagraph"/>
              <w:rPr>
                <w:rFonts w:ascii="Times New Roman"/>
                <w:sz w:val="16"/>
              </w:rPr>
            </w:pPr>
          </w:p>
        </w:tc>
        <w:tc>
          <w:tcPr>
            <w:tcW w:w="738" w:type="dxa"/>
            <w:tcBorders>
              <w:right w:val="single" w:sz="4" w:space="0" w:color="000000"/>
            </w:tcBorders>
          </w:tcPr>
          <w:p>
            <w:pPr>
              <w:pStyle w:val="TableParagraph"/>
              <w:rPr>
                <w:rFonts w:ascii="Times New Roman"/>
                <w:sz w:val="16"/>
              </w:rPr>
            </w:pPr>
          </w:p>
        </w:tc>
      </w:tr>
      <w:tr>
        <w:trPr>
          <w:trHeight w:val="220" w:hRule="atLeast"/>
        </w:trPr>
        <w:tc>
          <w:tcPr>
            <w:tcW w:w="3776" w:type="dxa"/>
            <w:vMerge/>
            <w:tcBorders>
              <w:top w:val="nil"/>
              <w:left w:val="single" w:sz="4" w:space="0" w:color="000000"/>
              <w:bottom w:val="single" w:sz="4" w:space="0" w:color="000000"/>
            </w:tcBorders>
          </w:tcPr>
          <w:p>
            <w:pPr>
              <w:rPr>
                <w:sz w:val="2"/>
                <w:szCs w:val="2"/>
              </w:rPr>
            </w:pPr>
          </w:p>
        </w:tc>
        <w:tc>
          <w:tcPr>
            <w:tcW w:w="2348" w:type="dxa"/>
          </w:tcPr>
          <w:p>
            <w:pPr>
              <w:pStyle w:val="TableParagraph"/>
              <w:spacing w:line="200" w:lineRule="exact"/>
              <w:ind w:left="121"/>
              <w:rPr>
                <w:sz w:val="20"/>
              </w:rPr>
            </w:pPr>
            <w:r>
              <w:rPr>
                <w:spacing w:val="-2"/>
                <w:sz w:val="20"/>
              </w:rPr>
              <w:t>observations</w:t>
            </w:r>
          </w:p>
        </w:tc>
        <w:tc>
          <w:tcPr>
            <w:tcW w:w="675" w:type="dxa"/>
          </w:tcPr>
          <w:p>
            <w:pPr>
              <w:pStyle w:val="TableParagraph"/>
              <w:spacing w:line="200" w:lineRule="exact"/>
              <w:ind w:left="53" w:right="7"/>
              <w:jc w:val="center"/>
              <w:rPr>
                <w:sz w:val="20"/>
              </w:rPr>
            </w:pPr>
            <w:r>
              <w:rPr>
                <w:spacing w:val="-10"/>
                <w:sz w:val="20"/>
              </w:rPr>
              <w:t>-</w:t>
            </w:r>
          </w:p>
        </w:tc>
        <w:tc>
          <w:tcPr>
            <w:tcW w:w="758" w:type="dxa"/>
          </w:tcPr>
          <w:p>
            <w:pPr>
              <w:pStyle w:val="TableParagraph"/>
              <w:spacing w:line="200" w:lineRule="exact"/>
              <w:ind w:left="60" w:right="7"/>
              <w:jc w:val="center"/>
              <w:rPr>
                <w:sz w:val="20"/>
              </w:rPr>
            </w:pPr>
            <w:r>
              <w:rPr>
                <w:spacing w:val="-10"/>
                <w:sz w:val="20"/>
              </w:rPr>
              <w:t>-</w:t>
            </w:r>
          </w:p>
        </w:tc>
        <w:tc>
          <w:tcPr>
            <w:tcW w:w="518" w:type="dxa"/>
          </w:tcPr>
          <w:p>
            <w:pPr>
              <w:pStyle w:val="TableParagraph"/>
              <w:spacing w:line="200" w:lineRule="exact"/>
              <w:ind w:left="43" w:right="8"/>
              <w:jc w:val="center"/>
              <w:rPr>
                <w:sz w:val="20"/>
              </w:rPr>
            </w:pPr>
            <w:r>
              <w:rPr>
                <w:spacing w:val="-10"/>
                <w:sz w:val="20"/>
              </w:rPr>
              <w:t>-</w:t>
            </w:r>
          </w:p>
        </w:tc>
        <w:tc>
          <w:tcPr>
            <w:tcW w:w="787" w:type="dxa"/>
          </w:tcPr>
          <w:p>
            <w:pPr>
              <w:pStyle w:val="TableParagraph"/>
              <w:spacing w:line="200" w:lineRule="exact"/>
              <w:ind w:left="39" w:right="39"/>
              <w:jc w:val="center"/>
              <w:rPr>
                <w:sz w:val="20"/>
              </w:rPr>
            </w:pPr>
            <w:r>
              <w:rPr>
                <w:spacing w:val="-10"/>
                <w:sz w:val="20"/>
              </w:rPr>
              <w:t>-</w:t>
            </w:r>
          </w:p>
        </w:tc>
        <w:tc>
          <w:tcPr>
            <w:tcW w:w="715" w:type="dxa"/>
          </w:tcPr>
          <w:p>
            <w:pPr>
              <w:pStyle w:val="TableParagraph"/>
              <w:spacing w:line="200" w:lineRule="exact"/>
              <w:ind w:left="39" w:right="101"/>
              <w:jc w:val="center"/>
              <w:rPr>
                <w:sz w:val="20"/>
              </w:rPr>
            </w:pPr>
            <w:r>
              <w:rPr>
                <w:spacing w:val="-10"/>
                <w:sz w:val="20"/>
              </w:rPr>
              <w:t>-</w:t>
            </w:r>
          </w:p>
        </w:tc>
        <w:tc>
          <w:tcPr>
            <w:tcW w:w="847" w:type="dxa"/>
          </w:tcPr>
          <w:p>
            <w:pPr>
              <w:pStyle w:val="TableParagraph"/>
              <w:spacing w:line="200" w:lineRule="exact"/>
              <w:ind w:left="27" w:right="12"/>
              <w:jc w:val="center"/>
              <w:rPr>
                <w:sz w:val="20"/>
              </w:rPr>
            </w:pPr>
            <w:r>
              <w:rPr>
                <w:spacing w:val="-10"/>
                <w:sz w:val="20"/>
              </w:rPr>
              <w:t>-</w:t>
            </w:r>
          </w:p>
        </w:tc>
        <w:tc>
          <w:tcPr>
            <w:tcW w:w="710" w:type="dxa"/>
          </w:tcPr>
          <w:p>
            <w:pPr>
              <w:pStyle w:val="TableParagraph"/>
              <w:spacing w:line="200" w:lineRule="exact"/>
              <w:ind w:left="98" w:right="2"/>
              <w:jc w:val="center"/>
              <w:rPr>
                <w:sz w:val="20"/>
              </w:rPr>
            </w:pPr>
            <w:r>
              <w:rPr>
                <w:spacing w:val="-10"/>
                <w:sz w:val="20"/>
              </w:rPr>
              <w:t>2</w:t>
            </w:r>
          </w:p>
        </w:tc>
        <w:tc>
          <w:tcPr>
            <w:tcW w:w="828" w:type="dxa"/>
          </w:tcPr>
          <w:p>
            <w:pPr>
              <w:pStyle w:val="TableParagraph"/>
              <w:spacing w:line="200" w:lineRule="exact"/>
              <w:ind w:left="2" w:right="5"/>
              <w:jc w:val="center"/>
              <w:rPr>
                <w:sz w:val="20"/>
              </w:rPr>
            </w:pPr>
            <w:r>
              <w:rPr>
                <w:spacing w:val="-2"/>
                <w:sz w:val="20"/>
              </w:rPr>
              <w:t>100.0</w:t>
            </w:r>
          </w:p>
        </w:tc>
        <w:tc>
          <w:tcPr>
            <w:tcW w:w="600" w:type="dxa"/>
          </w:tcPr>
          <w:p>
            <w:pPr>
              <w:pStyle w:val="TableParagraph"/>
              <w:spacing w:line="200" w:lineRule="exact"/>
              <w:ind w:right="13"/>
              <w:jc w:val="center"/>
              <w:rPr>
                <w:sz w:val="20"/>
              </w:rPr>
            </w:pPr>
            <w:r>
              <w:rPr>
                <w:spacing w:val="-10"/>
                <w:sz w:val="20"/>
              </w:rPr>
              <w:t>-</w:t>
            </w:r>
          </w:p>
        </w:tc>
        <w:tc>
          <w:tcPr>
            <w:tcW w:w="770" w:type="dxa"/>
          </w:tcPr>
          <w:p>
            <w:pPr>
              <w:pStyle w:val="TableParagraph"/>
              <w:spacing w:line="200" w:lineRule="exact"/>
              <w:ind w:left="42" w:right="7"/>
              <w:jc w:val="center"/>
              <w:rPr>
                <w:sz w:val="20"/>
              </w:rPr>
            </w:pPr>
            <w:r>
              <w:rPr>
                <w:spacing w:val="-10"/>
                <w:sz w:val="20"/>
              </w:rPr>
              <w:t>-</w:t>
            </w:r>
          </w:p>
        </w:tc>
        <w:tc>
          <w:tcPr>
            <w:tcW w:w="691" w:type="dxa"/>
          </w:tcPr>
          <w:p>
            <w:pPr>
              <w:pStyle w:val="TableParagraph"/>
              <w:spacing w:line="200" w:lineRule="exact"/>
              <w:ind w:left="23" w:right="2"/>
              <w:jc w:val="center"/>
              <w:rPr>
                <w:sz w:val="20"/>
              </w:rPr>
            </w:pPr>
            <w:r>
              <w:rPr>
                <w:spacing w:val="-10"/>
                <w:sz w:val="20"/>
              </w:rPr>
              <w:t>2</w:t>
            </w:r>
          </w:p>
        </w:tc>
        <w:tc>
          <w:tcPr>
            <w:tcW w:w="738" w:type="dxa"/>
            <w:tcBorders>
              <w:right w:val="single" w:sz="4" w:space="0" w:color="000000"/>
            </w:tcBorders>
          </w:tcPr>
          <w:p>
            <w:pPr>
              <w:pStyle w:val="TableParagraph"/>
              <w:spacing w:line="200" w:lineRule="exact"/>
              <w:ind w:left="53" w:right="21"/>
              <w:jc w:val="center"/>
              <w:rPr>
                <w:sz w:val="20"/>
              </w:rPr>
            </w:pPr>
            <w:r>
              <w:rPr>
                <w:spacing w:val="-5"/>
                <w:sz w:val="20"/>
              </w:rPr>
              <w:t>0.4</w:t>
            </w:r>
          </w:p>
        </w:tc>
      </w:tr>
      <w:tr>
        <w:trPr>
          <w:trHeight w:val="244" w:hRule="atLeast"/>
        </w:trPr>
        <w:tc>
          <w:tcPr>
            <w:tcW w:w="3776" w:type="dxa"/>
            <w:vMerge/>
            <w:tcBorders>
              <w:top w:val="nil"/>
              <w:left w:val="single" w:sz="4" w:space="0" w:color="000000"/>
              <w:bottom w:val="single" w:sz="4" w:space="0" w:color="000000"/>
            </w:tcBorders>
          </w:tcPr>
          <w:p>
            <w:pPr>
              <w:rPr>
                <w:sz w:val="2"/>
                <w:szCs w:val="2"/>
              </w:rPr>
            </w:pPr>
          </w:p>
        </w:tc>
        <w:tc>
          <w:tcPr>
            <w:tcW w:w="2348" w:type="dxa"/>
          </w:tcPr>
          <w:p>
            <w:pPr>
              <w:pStyle w:val="TableParagraph"/>
              <w:spacing w:line="222" w:lineRule="exact"/>
              <w:ind w:left="121"/>
              <w:rPr>
                <w:sz w:val="20"/>
              </w:rPr>
            </w:pPr>
            <w:r>
              <w:rPr>
                <w:spacing w:val="-2"/>
                <w:sz w:val="20"/>
              </w:rPr>
              <w:t>Students</w:t>
            </w:r>
          </w:p>
        </w:tc>
        <w:tc>
          <w:tcPr>
            <w:tcW w:w="675" w:type="dxa"/>
          </w:tcPr>
          <w:p>
            <w:pPr>
              <w:pStyle w:val="TableParagraph"/>
              <w:spacing w:line="222" w:lineRule="exact"/>
              <w:ind w:left="53"/>
              <w:jc w:val="center"/>
              <w:rPr>
                <w:sz w:val="20"/>
              </w:rPr>
            </w:pPr>
            <w:r>
              <w:rPr>
                <w:spacing w:val="-10"/>
                <w:sz w:val="20"/>
              </w:rPr>
              <w:t>4</w:t>
            </w:r>
          </w:p>
        </w:tc>
        <w:tc>
          <w:tcPr>
            <w:tcW w:w="758" w:type="dxa"/>
          </w:tcPr>
          <w:p>
            <w:pPr>
              <w:pStyle w:val="TableParagraph"/>
              <w:spacing w:line="222" w:lineRule="exact"/>
              <w:ind w:left="60" w:right="5"/>
              <w:jc w:val="center"/>
              <w:rPr>
                <w:sz w:val="20"/>
              </w:rPr>
            </w:pPr>
            <w:r>
              <w:rPr>
                <w:spacing w:val="-5"/>
                <w:sz w:val="20"/>
              </w:rPr>
              <w:t>1.7</w:t>
            </w:r>
          </w:p>
        </w:tc>
        <w:tc>
          <w:tcPr>
            <w:tcW w:w="518" w:type="dxa"/>
          </w:tcPr>
          <w:p>
            <w:pPr>
              <w:pStyle w:val="TableParagraph"/>
              <w:spacing w:line="222" w:lineRule="exact"/>
              <w:ind w:left="43" w:right="6"/>
              <w:jc w:val="center"/>
              <w:rPr>
                <w:sz w:val="20"/>
              </w:rPr>
            </w:pPr>
            <w:r>
              <w:rPr>
                <w:spacing w:val="-5"/>
                <w:sz w:val="20"/>
              </w:rPr>
              <w:t>40</w:t>
            </w:r>
          </w:p>
        </w:tc>
        <w:tc>
          <w:tcPr>
            <w:tcW w:w="787" w:type="dxa"/>
          </w:tcPr>
          <w:p>
            <w:pPr>
              <w:pStyle w:val="TableParagraph"/>
              <w:spacing w:line="222" w:lineRule="exact"/>
              <w:ind w:left="39" w:right="35"/>
              <w:jc w:val="center"/>
              <w:rPr>
                <w:sz w:val="20"/>
              </w:rPr>
            </w:pPr>
            <w:r>
              <w:rPr>
                <w:spacing w:val="-4"/>
                <w:sz w:val="20"/>
              </w:rPr>
              <w:t>17.0</w:t>
            </w:r>
          </w:p>
        </w:tc>
        <w:tc>
          <w:tcPr>
            <w:tcW w:w="715" w:type="dxa"/>
          </w:tcPr>
          <w:p>
            <w:pPr>
              <w:pStyle w:val="TableParagraph"/>
              <w:spacing w:line="222" w:lineRule="exact"/>
              <w:ind w:left="39" w:right="99"/>
              <w:jc w:val="center"/>
              <w:rPr>
                <w:sz w:val="20"/>
              </w:rPr>
            </w:pPr>
            <w:r>
              <w:rPr>
                <w:spacing w:val="-5"/>
                <w:sz w:val="20"/>
              </w:rPr>
              <w:t>92</w:t>
            </w:r>
          </w:p>
        </w:tc>
        <w:tc>
          <w:tcPr>
            <w:tcW w:w="847" w:type="dxa"/>
          </w:tcPr>
          <w:p>
            <w:pPr>
              <w:pStyle w:val="TableParagraph"/>
              <w:spacing w:line="222" w:lineRule="exact"/>
              <w:ind w:left="27" w:right="6"/>
              <w:jc w:val="center"/>
              <w:rPr>
                <w:sz w:val="20"/>
              </w:rPr>
            </w:pPr>
            <w:r>
              <w:rPr>
                <w:spacing w:val="-4"/>
                <w:sz w:val="20"/>
              </w:rPr>
              <w:t>39.1</w:t>
            </w:r>
          </w:p>
        </w:tc>
        <w:tc>
          <w:tcPr>
            <w:tcW w:w="710" w:type="dxa"/>
          </w:tcPr>
          <w:p>
            <w:pPr>
              <w:pStyle w:val="TableParagraph"/>
              <w:spacing w:line="222" w:lineRule="exact"/>
              <w:ind w:left="98" w:right="6"/>
              <w:jc w:val="center"/>
              <w:rPr>
                <w:sz w:val="20"/>
              </w:rPr>
            </w:pPr>
            <w:r>
              <w:rPr>
                <w:spacing w:val="-5"/>
                <w:sz w:val="20"/>
              </w:rPr>
              <w:t>79</w:t>
            </w:r>
          </w:p>
        </w:tc>
        <w:tc>
          <w:tcPr>
            <w:tcW w:w="828" w:type="dxa"/>
          </w:tcPr>
          <w:p>
            <w:pPr>
              <w:pStyle w:val="TableParagraph"/>
              <w:spacing w:line="222" w:lineRule="exact"/>
              <w:ind w:left="4" w:right="5"/>
              <w:jc w:val="center"/>
              <w:rPr>
                <w:sz w:val="20"/>
              </w:rPr>
            </w:pPr>
            <w:r>
              <w:rPr>
                <w:spacing w:val="-4"/>
                <w:sz w:val="20"/>
              </w:rPr>
              <w:t>33.6</w:t>
            </w:r>
          </w:p>
        </w:tc>
        <w:tc>
          <w:tcPr>
            <w:tcW w:w="600" w:type="dxa"/>
          </w:tcPr>
          <w:p>
            <w:pPr>
              <w:pStyle w:val="TableParagraph"/>
              <w:spacing w:line="222" w:lineRule="exact"/>
              <w:ind w:left="2" w:right="13"/>
              <w:jc w:val="center"/>
              <w:rPr>
                <w:sz w:val="20"/>
              </w:rPr>
            </w:pPr>
            <w:r>
              <w:rPr>
                <w:spacing w:val="-5"/>
                <w:sz w:val="20"/>
              </w:rPr>
              <w:t>20</w:t>
            </w:r>
          </w:p>
        </w:tc>
        <w:tc>
          <w:tcPr>
            <w:tcW w:w="770" w:type="dxa"/>
          </w:tcPr>
          <w:p>
            <w:pPr>
              <w:pStyle w:val="TableParagraph"/>
              <w:spacing w:line="222" w:lineRule="exact"/>
              <w:ind w:left="42" w:right="5"/>
              <w:jc w:val="center"/>
              <w:rPr>
                <w:sz w:val="20"/>
              </w:rPr>
            </w:pPr>
            <w:r>
              <w:rPr>
                <w:spacing w:val="-5"/>
                <w:sz w:val="20"/>
              </w:rPr>
              <w:t>8.5</w:t>
            </w:r>
          </w:p>
        </w:tc>
        <w:tc>
          <w:tcPr>
            <w:tcW w:w="691" w:type="dxa"/>
          </w:tcPr>
          <w:p>
            <w:pPr>
              <w:pStyle w:val="TableParagraph"/>
              <w:spacing w:line="222" w:lineRule="exact"/>
              <w:ind w:left="22" w:right="11"/>
              <w:jc w:val="center"/>
              <w:rPr>
                <w:sz w:val="20"/>
              </w:rPr>
            </w:pPr>
            <w:r>
              <w:rPr>
                <w:spacing w:val="-5"/>
                <w:sz w:val="20"/>
              </w:rPr>
              <w:t>235</w:t>
            </w:r>
          </w:p>
        </w:tc>
        <w:tc>
          <w:tcPr>
            <w:tcW w:w="738" w:type="dxa"/>
            <w:tcBorders>
              <w:right w:val="single" w:sz="4" w:space="0" w:color="000000"/>
            </w:tcBorders>
          </w:tcPr>
          <w:p>
            <w:pPr>
              <w:pStyle w:val="TableParagraph"/>
              <w:spacing w:line="222" w:lineRule="exact"/>
              <w:ind w:left="53" w:right="16"/>
              <w:jc w:val="center"/>
              <w:rPr>
                <w:sz w:val="20"/>
              </w:rPr>
            </w:pPr>
            <w:r>
              <w:rPr>
                <w:spacing w:val="-4"/>
                <w:sz w:val="20"/>
              </w:rPr>
              <w:t>50.8</w:t>
            </w:r>
          </w:p>
        </w:tc>
      </w:tr>
      <w:tr>
        <w:trPr>
          <w:trHeight w:val="244" w:hRule="atLeast"/>
        </w:trPr>
        <w:tc>
          <w:tcPr>
            <w:tcW w:w="3776" w:type="dxa"/>
            <w:vMerge/>
            <w:tcBorders>
              <w:top w:val="nil"/>
              <w:left w:val="single" w:sz="4" w:space="0" w:color="000000"/>
              <w:bottom w:val="single" w:sz="4" w:space="0" w:color="000000"/>
            </w:tcBorders>
          </w:tcPr>
          <w:p>
            <w:pPr>
              <w:rPr>
                <w:sz w:val="2"/>
                <w:szCs w:val="2"/>
              </w:rPr>
            </w:pPr>
          </w:p>
        </w:tc>
        <w:tc>
          <w:tcPr>
            <w:tcW w:w="2348" w:type="dxa"/>
          </w:tcPr>
          <w:p>
            <w:pPr>
              <w:pStyle w:val="TableParagraph"/>
              <w:spacing w:line="208" w:lineRule="exact" w:before="16"/>
              <w:ind w:left="121"/>
              <w:rPr>
                <w:sz w:val="20"/>
              </w:rPr>
            </w:pPr>
            <w:r>
              <w:rPr>
                <w:sz w:val="20"/>
              </w:rPr>
              <w:t>Service</w:t>
            </w:r>
            <w:r>
              <w:rPr>
                <w:spacing w:val="-9"/>
                <w:sz w:val="20"/>
              </w:rPr>
              <w:t> </w:t>
            </w:r>
            <w:r>
              <w:rPr>
                <w:spacing w:val="-2"/>
                <w:sz w:val="20"/>
              </w:rPr>
              <w:t>Staff</w:t>
            </w:r>
          </w:p>
        </w:tc>
        <w:tc>
          <w:tcPr>
            <w:tcW w:w="675" w:type="dxa"/>
          </w:tcPr>
          <w:p>
            <w:pPr>
              <w:pStyle w:val="TableParagraph"/>
              <w:spacing w:line="208" w:lineRule="exact" w:before="16"/>
              <w:ind w:left="53" w:right="5"/>
              <w:jc w:val="center"/>
              <w:rPr>
                <w:sz w:val="20"/>
              </w:rPr>
            </w:pPr>
            <w:r>
              <w:rPr>
                <w:spacing w:val="-5"/>
                <w:sz w:val="20"/>
              </w:rPr>
              <w:t>15</w:t>
            </w:r>
          </w:p>
        </w:tc>
        <w:tc>
          <w:tcPr>
            <w:tcW w:w="758" w:type="dxa"/>
          </w:tcPr>
          <w:p>
            <w:pPr>
              <w:pStyle w:val="TableParagraph"/>
              <w:spacing w:line="208" w:lineRule="exact" w:before="16"/>
              <w:ind w:left="60" w:right="5"/>
              <w:jc w:val="center"/>
              <w:rPr>
                <w:sz w:val="20"/>
              </w:rPr>
            </w:pPr>
            <w:r>
              <w:rPr>
                <w:spacing w:val="-5"/>
                <w:sz w:val="20"/>
              </w:rPr>
              <w:t>7.4</w:t>
            </w:r>
          </w:p>
        </w:tc>
        <w:tc>
          <w:tcPr>
            <w:tcW w:w="518" w:type="dxa"/>
          </w:tcPr>
          <w:p>
            <w:pPr>
              <w:pStyle w:val="TableParagraph"/>
              <w:spacing w:line="208" w:lineRule="exact" w:before="16"/>
              <w:ind w:left="43" w:right="2"/>
              <w:jc w:val="center"/>
              <w:rPr>
                <w:sz w:val="20"/>
              </w:rPr>
            </w:pPr>
            <w:r>
              <w:rPr>
                <w:spacing w:val="-10"/>
                <w:sz w:val="20"/>
              </w:rPr>
              <w:t>7</w:t>
            </w:r>
          </w:p>
        </w:tc>
        <w:tc>
          <w:tcPr>
            <w:tcW w:w="787" w:type="dxa"/>
          </w:tcPr>
          <w:p>
            <w:pPr>
              <w:pStyle w:val="TableParagraph"/>
              <w:spacing w:line="208" w:lineRule="exact" w:before="16"/>
              <w:ind w:left="39" w:right="39"/>
              <w:jc w:val="center"/>
              <w:rPr>
                <w:sz w:val="20"/>
              </w:rPr>
            </w:pPr>
            <w:r>
              <w:rPr>
                <w:spacing w:val="-5"/>
                <w:sz w:val="20"/>
              </w:rPr>
              <w:t>3.4</w:t>
            </w:r>
          </w:p>
        </w:tc>
        <w:tc>
          <w:tcPr>
            <w:tcW w:w="715" w:type="dxa"/>
          </w:tcPr>
          <w:p>
            <w:pPr>
              <w:pStyle w:val="TableParagraph"/>
              <w:spacing w:line="208" w:lineRule="exact" w:before="16"/>
              <w:ind w:left="39" w:right="99"/>
              <w:jc w:val="center"/>
              <w:rPr>
                <w:sz w:val="20"/>
              </w:rPr>
            </w:pPr>
            <w:r>
              <w:rPr>
                <w:spacing w:val="-5"/>
                <w:sz w:val="20"/>
              </w:rPr>
              <w:t>69</w:t>
            </w:r>
          </w:p>
        </w:tc>
        <w:tc>
          <w:tcPr>
            <w:tcW w:w="847" w:type="dxa"/>
          </w:tcPr>
          <w:p>
            <w:pPr>
              <w:pStyle w:val="TableParagraph"/>
              <w:spacing w:line="208" w:lineRule="exact" w:before="16"/>
              <w:ind w:left="27" w:right="6"/>
              <w:jc w:val="center"/>
              <w:rPr>
                <w:sz w:val="20"/>
              </w:rPr>
            </w:pPr>
            <w:r>
              <w:rPr>
                <w:spacing w:val="-4"/>
                <w:sz w:val="20"/>
              </w:rPr>
              <w:t>34.0</w:t>
            </w:r>
          </w:p>
        </w:tc>
        <w:tc>
          <w:tcPr>
            <w:tcW w:w="710" w:type="dxa"/>
          </w:tcPr>
          <w:p>
            <w:pPr>
              <w:pStyle w:val="TableParagraph"/>
              <w:spacing w:line="208" w:lineRule="exact" w:before="16"/>
              <w:ind w:left="98" w:right="6"/>
              <w:jc w:val="center"/>
              <w:rPr>
                <w:sz w:val="20"/>
              </w:rPr>
            </w:pPr>
            <w:r>
              <w:rPr>
                <w:spacing w:val="-5"/>
                <w:sz w:val="20"/>
              </w:rPr>
              <w:t>89</w:t>
            </w:r>
          </w:p>
        </w:tc>
        <w:tc>
          <w:tcPr>
            <w:tcW w:w="828" w:type="dxa"/>
          </w:tcPr>
          <w:p>
            <w:pPr>
              <w:pStyle w:val="TableParagraph"/>
              <w:spacing w:line="208" w:lineRule="exact" w:before="16"/>
              <w:ind w:left="4" w:right="5"/>
              <w:jc w:val="center"/>
              <w:rPr>
                <w:sz w:val="20"/>
              </w:rPr>
            </w:pPr>
            <w:r>
              <w:rPr>
                <w:spacing w:val="-4"/>
                <w:sz w:val="20"/>
              </w:rPr>
              <w:t>43.8</w:t>
            </w:r>
          </w:p>
        </w:tc>
        <w:tc>
          <w:tcPr>
            <w:tcW w:w="600" w:type="dxa"/>
          </w:tcPr>
          <w:p>
            <w:pPr>
              <w:pStyle w:val="TableParagraph"/>
              <w:spacing w:line="208" w:lineRule="exact" w:before="16"/>
              <w:ind w:left="2" w:right="13"/>
              <w:jc w:val="center"/>
              <w:rPr>
                <w:sz w:val="20"/>
              </w:rPr>
            </w:pPr>
            <w:r>
              <w:rPr>
                <w:spacing w:val="-5"/>
                <w:sz w:val="20"/>
              </w:rPr>
              <w:t>23</w:t>
            </w:r>
          </w:p>
        </w:tc>
        <w:tc>
          <w:tcPr>
            <w:tcW w:w="770" w:type="dxa"/>
          </w:tcPr>
          <w:p>
            <w:pPr>
              <w:pStyle w:val="TableParagraph"/>
              <w:spacing w:line="208" w:lineRule="exact" w:before="16"/>
              <w:ind w:left="45" w:right="3"/>
              <w:jc w:val="center"/>
              <w:rPr>
                <w:sz w:val="20"/>
              </w:rPr>
            </w:pPr>
            <w:r>
              <w:rPr>
                <w:spacing w:val="-4"/>
                <w:sz w:val="20"/>
              </w:rPr>
              <w:t>11.3</w:t>
            </w:r>
          </w:p>
        </w:tc>
        <w:tc>
          <w:tcPr>
            <w:tcW w:w="691" w:type="dxa"/>
          </w:tcPr>
          <w:p>
            <w:pPr>
              <w:pStyle w:val="TableParagraph"/>
              <w:spacing w:line="208" w:lineRule="exact" w:before="16"/>
              <w:ind w:left="22" w:right="11"/>
              <w:jc w:val="center"/>
              <w:rPr>
                <w:sz w:val="20"/>
              </w:rPr>
            </w:pPr>
            <w:r>
              <w:rPr>
                <w:spacing w:val="-5"/>
                <w:sz w:val="20"/>
              </w:rPr>
              <w:t>203</w:t>
            </w:r>
          </w:p>
        </w:tc>
        <w:tc>
          <w:tcPr>
            <w:tcW w:w="738" w:type="dxa"/>
            <w:tcBorders>
              <w:right w:val="single" w:sz="4" w:space="0" w:color="000000"/>
            </w:tcBorders>
          </w:tcPr>
          <w:p>
            <w:pPr>
              <w:pStyle w:val="TableParagraph"/>
              <w:spacing w:line="208" w:lineRule="exact" w:before="16"/>
              <w:ind w:left="53" w:right="16"/>
              <w:jc w:val="center"/>
              <w:rPr>
                <w:sz w:val="20"/>
              </w:rPr>
            </w:pPr>
            <w:r>
              <w:rPr>
                <w:spacing w:val="-4"/>
                <w:sz w:val="20"/>
              </w:rPr>
              <w:t>43.8</w:t>
            </w:r>
          </w:p>
        </w:tc>
      </w:tr>
      <w:tr>
        <w:trPr>
          <w:trHeight w:val="225" w:hRule="atLeast"/>
        </w:trPr>
        <w:tc>
          <w:tcPr>
            <w:tcW w:w="3776" w:type="dxa"/>
            <w:vMerge/>
            <w:tcBorders>
              <w:top w:val="nil"/>
              <w:left w:val="single" w:sz="4" w:space="0" w:color="000000"/>
              <w:bottom w:val="single" w:sz="4" w:space="0" w:color="000000"/>
            </w:tcBorders>
          </w:tcPr>
          <w:p>
            <w:pPr>
              <w:rPr>
                <w:sz w:val="2"/>
                <w:szCs w:val="2"/>
              </w:rPr>
            </w:pPr>
          </w:p>
        </w:tc>
        <w:tc>
          <w:tcPr>
            <w:tcW w:w="2348" w:type="dxa"/>
          </w:tcPr>
          <w:p>
            <w:pPr>
              <w:pStyle w:val="TableParagraph"/>
              <w:spacing w:line="205" w:lineRule="exact"/>
              <w:ind w:left="121"/>
              <w:rPr>
                <w:sz w:val="20"/>
              </w:rPr>
            </w:pPr>
            <w:r>
              <w:rPr>
                <w:sz w:val="20"/>
              </w:rPr>
              <w:t>Top</w:t>
            </w:r>
            <w:r>
              <w:rPr>
                <w:spacing w:val="-1"/>
                <w:sz w:val="20"/>
              </w:rPr>
              <w:t> </w:t>
            </w:r>
            <w:r>
              <w:rPr>
                <w:spacing w:val="-2"/>
                <w:sz w:val="20"/>
              </w:rPr>
              <w:t>Management</w:t>
            </w:r>
          </w:p>
        </w:tc>
        <w:tc>
          <w:tcPr>
            <w:tcW w:w="675" w:type="dxa"/>
          </w:tcPr>
          <w:p>
            <w:pPr>
              <w:pStyle w:val="TableParagraph"/>
              <w:spacing w:line="205" w:lineRule="exact"/>
              <w:ind w:left="53" w:right="7"/>
              <w:jc w:val="center"/>
              <w:rPr>
                <w:sz w:val="20"/>
              </w:rPr>
            </w:pPr>
            <w:r>
              <w:rPr>
                <w:spacing w:val="-10"/>
                <w:sz w:val="20"/>
              </w:rPr>
              <w:t>-</w:t>
            </w:r>
          </w:p>
        </w:tc>
        <w:tc>
          <w:tcPr>
            <w:tcW w:w="758" w:type="dxa"/>
          </w:tcPr>
          <w:p>
            <w:pPr>
              <w:pStyle w:val="TableParagraph"/>
              <w:spacing w:line="205" w:lineRule="exact"/>
              <w:ind w:left="60" w:right="7"/>
              <w:jc w:val="center"/>
              <w:rPr>
                <w:sz w:val="20"/>
              </w:rPr>
            </w:pPr>
            <w:r>
              <w:rPr>
                <w:spacing w:val="-10"/>
                <w:sz w:val="20"/>
              </w:rPr>
              <w:t>-</w:t>
            </w:r>
          </w:p>
        </w:tc>
        <w:tc>
          <w:tcPr>
            <w:tcW w:w="518" w:type="dxa"/>
          </w:tcPr>
          <w:p>
            <w:pPr>
              <w:pStyle w:val="TableParagraph"/>
              <w:spacing w:line="205" w:lineRule="exact"/>
              <w:ind w:left="43" w:right="8"/>
              <w:jc w:val="center"/>
              <w:rPr>
                <w:sz w:val="20"/>
              </w:rPr>
            </w:pPr>
            <w:r>
              <w:rPr>
                <w:spacing w:val="-10"/>
                <w:sz w:val="20"/>
              </w:rPr>
              <w:t>-</w:t>
            </w:r>
          </w:p>
        </w:tc>
        <w:tc>
          <w:tcPr>
            <w:tcW w:w="787" w:type="dxa"/>
          </w:tcPr>
          <w:p>
            <w:pPr>
              <w:pStyle w:val="TableParagraph"/>
              <w:spacing w:line="205" w:lineRule="exact"/>
              <w:ind w:left="39" w:right="39"/>
              <w:jc w:val="center"/>
              <w:rPr>
                <w:sz w:val="20"/>
              </w:rPr>
            </w:pPr>
            <w:r>
              <w:rPr>
                <w:spacing w:val="-10"/>
                <w:sz w:val="20"/>
              </w:rPr>
              <w:t>-</w:t>
            </w:r>
          </w:p>
        </w:tc>
        <w:tc>
          <w:tcPr>
            <w:tcW w:w="715" w:type="dxa"/>
          </w:tcPr>
          <w:p>
            <w:pPr>
              <w:pStyle w:val="TableParagraph"/>
              <w:spacing w:line="205" w:lineRule="exact"/>
              <w:ind w:left="39" w:right="94"/>
              <w:jc w:val="center"/>
              <w:rPr>
                <w:sz w:val="20"/>
              </w:rPr>
            </w:pPr>
            <w:r>
              <w:rPr>
                <w:spacing w:val="-10"/>
                <w:sz w:val="20"/>
              </w:rPr>
              <w:t>8</w:t>
            </w:r>
          </w:p>
        </w:tc>
        <w:tc>
          <w:tcPr>
            <w:tcW w:w="847" w:type="dxa"/>
          </w:tcPr>
          <w:p>
            <w:pPr>
              <w:pStyle w:val="TableParagraph"/>
              <w:spacing w:line="205" w:lineRule="exact"/>
              <w:ind w:left="27" w:right="6"/>
              <w:jc w:val="center"/>
              <w:rPr>
                <w:sz w:val="20"/>
              </w:rPr>
            </w:pPr>
            <w:r>
              <w:rPr>
                <w:spacing w:val="-4"/>
                <w:sz w:val="20"/>
              </w:rPr>
              <w:t>34.8</w:t>
            </w:r>
          </w:p>
        </w:tc>
        <w:tc>
          <w:tcPr>
            <w:tcW w:w="710" w:type="dxa"/>
          </w:tcPr>
          <w:p>
            <w:pPr>
              <w:pStyle w:val="TableParagraph"/>
              <w:spacing w:line="205" w:lineRule="exact"/>
              <w:ind w:left="98" w:right="6"/>
              <w:jc w:val="center"/>
              <w:rPr>
                <w:sz w:val="20"/>
              </w:rPr>
            </w:pPr>
            <w:r>
              <w:rPr>
                <w:spacing w:val="-5"/>
                <w:sz w:val="20"/>
              </w:rPr>
              <w:t>11</w:t>
            </w:r>
          </w:p>
        </w:tc>
        <w:tc>
          <w:tcPr>
            <w:tcW w:w="828" w:type="dxa"/>
          </w:tcPr>
          <w:p>
            <w:pPr>
              <w:pStyle w:val="TableParagraph"/>
              <w:spacing w:line="205" w:lineRule="exact"/>
              <w:ind w:left="4" w:right="5"/>
              <w:jc w:val="center"/>
              <w:rPr>
                <w:sz w:val="20"/>
              </w:rPr>
            </w:pPr>
            <w:r>
              <w:rPr>
                <w:spacing w:val="-4"/>
                <w:sz w:val="20"/>
              </w:rPr>
              <w:t>47.8</w:t>
            </w:r>
          </w:p>
        </w:tc>
        <w:tc>
          <w:tcPr>
            <w:tcW w:w="600" w:type="dxa"/>
          </w:tcPr>
          <w:p>
            <w:pPr>
              <w:pStyle w:val="TableParagraph"/>
              <w:spacing w:line="205" w:lineRule="exact"/>
              <w:ind w:left="7" w:right="13"/>
              <w:jc w:val="center"/>
              <w:rPr>
                <w:sz w:val="20"/>
              </w:rPr>
            </w:pPr>
            <w:r>
              <w:rPr>
                <w:spacing w:val="-10"/>
                <w:sz w:val="20"/>
              </w:rPr>
              <w:t>4</w:t>
            </w:r>
          </w:p>
        </w:tc>
        <w:tc>
          <w:tcPr>
            <w:tcW w:w="770" w:type="dxa"/>
          </w:tcPr>
          <w:p>
            <w:pPr>
              <w:pStyle w:val="TableParagraph"/>
              <w:spacing w:line="205" w:lineRule="exact"/>
              <w:ind w:left="45" w:right="3"/>
              <w:jc w:val="center"/>
              <w:rPr>
                <w:sz w:val="20"/>
              </w:rPr>
            </w:pPr>
            <w:r>
              <w:rPr>
                <w:spacing w:val="-4"/>
                <w:sz w:val="20"/>
              </w:rPr>
              <w:t>17.4</w:t>
            </w:r>
          </w:p>
        </w:tc>
        <w:tc>
          <w:tcPr>
            <w:tcW w:w="691" w:type="dxa"/>
          </w:tcPr>
          <w:p>
            <w:pPr>
              <w:pStyle w:val="TableParagraph"/>
              <w:spacing w:line="205" w:lineRule="exact"/>
              <w:ind w:left="22" w:right="6"/>
              <w:jc w:val="center"/>
              <w:rPr>
                <w:sz w:val="20"/>
              </w:rPr>
            </w:pPr>
            <w:r>
              <w:rPr>
                <w:spacing w:val="-5"/>
                <w:sz w:val="20"/>
              </w:rPr>
              <w:t>23</w:t>
            </w:r>
          </w:p>
        </w:tc>
        <w:tc>
          <w:tcPr>
            <w:tcW w:w="738" w:type="dxa"/>
            <w:tcBorders>
              <w:right w:val="single" w:sz="4" w:space="0" w:color="000000"/>
            </w:tcBorders>
          </w:tcPr>
          <w:p>
            <w:pPr>
              <w:pStyle w:val="TableParagraph"/>
              <w:spacing w:line="205" w:lineRule="exact"/>
              <w:ind w:left="53" w:right="21"/>
              <w:jc w:val="center"/>
              <w:rPr>
                <w:sz w:val="20"/>
              </w:rPr>
            </w:pPr>
            <w:r>
              <w:rPr>
                <w:spacing w:val="-5"/>
                <w:sz w:val="20"/>
              </w:rPr>
              <w:t>5.0</w:t>
            </w:r>
          </w:p>
        </w:tc>
      </w:tr>
      <w:tr>
        <w:trPr>
          <w:trHeight w:val="225" w:hRule="atLeast"/>
        </w:trPr>
        <w:tc>
          <w:tcPr>
            <w:tcW w:w="3776" w:type="dxa"/>
            <w:vMerge/>
            <w:tcBorders>
              <w:top w:val="nil"/>
              <w:left w:val="single" w:sz="4" w:space="0" w:color="000000"/>
              <w:bottom w:val="single" w:sz="4" w:space="0" w:color="000000"/>
            </w:tcBorders>
          </w:tcPr>
          <w:p>
            <w:pPr>
              <w:rPr>
                <w:sz w:val="2"/>
                <w:szCs w:val="2"/>
              </w:rPr>
            </w:pPr>
          </w:p>
        </w:tc>
        <w:tc>
          <w:tcPr>
            <w:tcW w:w="2348" w:type="dxa"/>
          </w:tcPr>
          <w:p>
            <w:pPr>
              <w:pStyle w:val="TableParagraph"/>
              <w:spacing w:line="205" w:lineRule="exact"/>
              <w:ind w:left="121"/>
              <w:rPr>
                <w:sz w:val="20"/>
              </w:rPr>
            </w:pPr>
            <w:r>
              <w:rPr>
                <w:sz w:val="20"/>
              </w:rPr>
              <w:t>No.</w:t>
            </w:r>
            <w:r>
              <w:rPr>
                <w:spacing w:val="-5"/>
                <w:sz w:val="20"/>
              </w:rPr>
              <w:t> </w:t>
            </w:r>
            <w:r>
              <w:rPr>
                <w:sz w:val="20"/>
              </w:rPr>
              <w:t>of</w:t>
            </w:r>
            <w:r>
              <w:rPr>
                <w:spacing w:val="-2"/>
                <w:sz w:val="20"/>
              </w:rPr>
              <w:t> missing</w:t>
            </w:r>
          </w:p>
        </w:tc>
        <w:tc>
          <w:tcPr>
            <w:tcW w:w="675" w:type="dxa"/>
          </w:tcPr>
          <w:p>
            <w:pPr>
              <w:pStyle w:val="TableParagraph"/>
              <w:rPr>
                <w:rFonts w:ascii="Times New Roman"/>
                <w:sz w:val="16"/>
              </w:rPr>
            </w:pPr>
          </w:p>
        </w:tc>
        <w:tc>
          <w:tcPr>
            <w:tcW w:w="758" w:type="dxa"/>
          </w:tcPr>
          <w:p>
            <w:pPr>
              <w:pStyle w:val="TableParagraph"/>
              <w:rPr>
                <w:rFonts w:ascii="Times New Roman"/>
                <w:sz w:val="16"/>
              </w:rPr>
            </w:pPr>
          </w:p>
        </w:tc>
        <w:tc>
          <w:tcPr>
            <w:tcW w:w="518" w:type="dxa"/>
          </w:tcPr>
          <w:p>
            <w:pPr>
              <w:pStyle w:val="TableParagraph"/>
              <w:rPr>
                <w:rFonts w:ascii="Times New Roman"/>
                <w:sz w:val="16"/>
              </w:rPr>
            </w:pPr>
          </w:p>
        </w:tc>
        <w:tc>
          <w:tcPr>
            <w:tcW w:w="787" w:type="dxa"/>
          </w:tcPr>
          <w:p>
            <w:pPr>
              <w:pStyle w:val="TableParagraph"/>
              <w:rPr>
                <w:rFonts w:ascii="Times New Roman"/>
                <w:sz w:val="16"/>
              </w:rPr>
            </w:pPr>
          </w:p>
        </w:tc>
        <w:tc>
          <w:tcPr>
            <w:tcW w:w="715" w:type="dxa"/>
          </w:tcPr>
          <w:p>
            <w:pPr>
              <w:pStyle w:val="TableParagraph"/>
              <w:rPr>
                <w:rFonts w:ascii="Times New Roman"/>
                <w:sz w:val="16"/>
              </w:rPr>
            </w:pPr>
          </w:p>
        </w:tc>
        <w:tc>
          <w:tcPr>
            <w:tcW w:w="847" w:type="dxa"/>
          </w:tcPr>
          <w:p>
            <w:pPr>
              <w:pStyle w:val="TableParagraph"/>
              <w:rPr>
                <w:rFonts w:ascii="Times New Roman"/>
                <w:sz w:val="16"/>
              </w:rPr>
            </w:pPr>
          </w:p>
        </w:tc>
        <w:tc>
          <w:tcPr>
            <w:tcW w:w="710" w:type="dxa"/>
          </w:tcPr>
          <w:p>
            <w:pPr>
              <w:pStyle w:val="TableParagraph"/>
              <w:rPr>
                <w:rFonts w:ascii="Times New Roman"/>
                <w:sz w:val="16"/>
              </w:rPr>
            </w:pPr>
          </w:p>
        </w:tc>
        <w:tc>
          <w:tcPr>
            <w:tcW w:w="828" w:type="dxa"/>
          </w:tcPr>
          <w:p>
            <w:pPr>
              <w:pStyle w:val="TableParagraph"/>
              <w:rPr>
                <w:rFonts w:ascii="Times New Roman"/>
                <w:sz w:val="16"/>
              </w:rPr>
            </w:pPr>
          </w:p>
        </w:tc>
        <w:tc>
          <w:tcPr>
            <w:tcW w:w="600" w:type="dxa"/>
          </w:tcPr>
          <w:p>
            <w:pPr>
              <w:pStyle w:val="TableParagraph"/>
              <w:rPr>
                <w:rFonts w:ascii="Times New Roman"/>
                <w:sz w:val="16"/>
              </w:rPr>
            </w:pPr>
          </w:p>
        </w:tc>
        <w:tc>
          <w:tcPr>
            <w:tcW w:w="770" w:type="dxa"/>
          </w:tcPr>
          <w:p>
            <w:pPr>
              <w:pStyle w:val="TableParagraph"/>
              <w:rPr>
                <w:rFonts w:ascii="Times New Roman"/>
                <w:sz w:val="16"/>
              </w:rPr>
            </w:pPr>
          </w:p>
        </w:tc>
        <w:tc>
          <w:tcPr>
            <w:tcW w:w="691" w:type="dxa"/>
          </w:tcPr>
          <w:p>
            <w:pPr>
              <w:pStyle w:val="TableParagraph"/>
              <w:rPr>
                <w:rFonts w:ascii="Times New Roman"/>
                <w:sz w:val="16"/>
              </w:rPr>
            </w:pPr>
          </w:p>
        </w:tc>
        <w:tc>
          <w:tcPr>
            <w:tcW w:w="738" w:type="dxa"/>
            <w:tcBorders>
              <w:right w:val="single" w:sz="4" w:space="0" w:color="000000"/>
            </w:tcBorders>
          </w:tcPr>
          <w:p>
            <w:pPr>
              <w:pStyle w:val="TableParagraph"/>
              <w:rPr>
                <w:rFonts w:ascii="Times New Roman"/>
                <w:sz w:val="16"/>
              </w:rPr>
            </w:pPr>
          </w:p>
        </w:tc>
      </w:tr>
      <w:tr>
        <w:trPr>
          <w:trHeight w:val="220" w:hRule="atLeast"/>
        </w:trPr>
        <w:tc>
          <w:tcPr>
            <w:tcW w:w="3776" w:type="dxa"/>
            <w:vMerge/>
            <w:tcBorders>
              <w:top w:val="nil"/>
              <w:left w:val="single" w:sz="4" w:space="0" w:color="000000"/>
              <w:bottom w:val="single" w:sz="4" w:space="0" w:color="000000"/>
            </w:tcBorders>
          </w:tcPr>
          <w:p>
            <w:pPr>
              <w:rPr>
                <w:sz w:val="2"/>
                <w:szCs w:val="2"/>
              </w:rPr>
            </w:pPr>
          </w:p>
        </w:tc>
        <w:tc>
          <w:tcPr>
            <w:tcW w:w="2348" w:type="dxa"/>
          </w:tcPr>
          <w:p>
            <w:pPr>
              <w:pStyle w:val="TableParagraph"/>
              <w:spacing w:line="200" w:lineRule="exact"/>
              <w:ind w:left="121"/>
              <w:rPr>
                <w:sz w:val="20"/>
              </w:rPr>
            </w:pPr>
            <w:r>
              <w:rPr>
                <w:spacing w:val="-2"/>
                <w:sz w:val="20"/>
              </w:rPr>
              <w:t>observations</w:t>
            </w:r>
          </w:p>
        </w:tc>
        <w:tc>
          <w:tcPr>
            <w:tcW w:w="675" w:type="dxa"/>
          </w:tcPr>
          <w:p>
            <w:pPr>
              <w:pStyle w:val="TableParagraph"/>
              <w:spacing w:line="200" w:lineRule="exact"/>
              <w:ind w:left="53" w:right="7"/>
              <w:jc w:val="center"/>
              <w:rPr>
                <w:sz w:val="20"/>
              </w:rPr>
            </w:pPr>
            <w:r>
              <w:rPr>
                <w:spacing w:val="-10"/>
                <w:sz w:val="20"/>
              </w:rPr>
              <w:t>-</w:t>
            </w:r>
          </w:p>
        </w:tc>
        <w:tc>
          <w:tcPr>
            <w:tcW w:w="758" w:type="dxa"/>
          </w:tcPr>
          <w:p>
            <w:pPr>
              <w:pStyle w:val="TableParagraph"/>
              <w:spacing w:line="200" w:lineRule="exact"/>
              <w:ind w:left="60" w:right="7"/>
              <w:jc w:val="center"/>
              <w:rPr>
                <w:sz w:val="20"/>
              </w:rPr>
            </w:pPr>
            <w:r>
              <w:rPr>
                <w:spacing w:val="-10"/>
                <w:sz w:val="20"/>
              </w:rPr>
              <w:t>-</w:t>
            </w:r>
          </w:p>
        </w:tc>
        <w:tc>
          <w:tcPr>
            <w:tcW w:w="518" w:type="dxa"/>
          </w:tcPr>
          <w:p>
            <w:pPr>
              <w:pStyle w:val="TableParagraph"/>
              <w:spacing w:line="200" w:lineRule="exact"/>
              <w:ind w:left="43" w:right="8"/>
              <w:jc w:val="center"/>
              <w:rPr>
                <w:sz w:val="20"/>
              </w:rPr>
            </w:pPr>
            <w:r>
              <w:rPr>
                <w:spacing w:val="-10"/>
                <w:sz w:val="20"/>
              </w:rPr>
              <w:t>-</w:t>
            </w:r>
          </w:p>
        </w:tc>
        <w:tc>
          <w:tcPr>
            <w:tcW w:w="787" w:type="dxa"/>
          </w:tcPr>
          <w:p>
            <w:pPr>
              <w:pStyle w:val="TableParagraph"/>
              <w:spacing w:line="200" w:lineRule="exact"/>
              <w:ind w:left="39" w:right="39"/>
              <w:jc w:val="center"/>
              <w:rPr>
                <w:sz w:val="20"/>
              </w:rPr>
            </w:pPr>
            <w:r>
              <w:rPr>
                <w:spacing w:val="-10"/>
                <w:sz w:val="20"/>
              </w:rPr>
              <w:t>-</w:t>
            </w:r>
          </w:p>
        </w:tc>
        <w:tc>
          <w:tcPr>
            <w:tcW w:w="715" w:type="dxa"/>
          </w:tcPr>
          <w:p>
            <w:pPr>
              <w:pStyle w:val="TableParagraph"/>
              <w:spacing w:line="200" w:lineRule="exact"/>
              <w:ind w:left="39" w:right="101"/>
              <w:jc w:val="center"/>
              <w:rPr>
                <w:sz w:val="20"/>
              </w:rPr>
            </w:pPr>
            <w:r>
              <w:rPr>
                <w:spacing w:val="-10"/>
                <w:sz w:val="20"/>
              </w:rPr>
              <w:t>-</w:t>
            </w:r>
          </w:p>
        </w:tc>
        <w:tc>
          <w:tcPr>
            <w:tcW w:w="847" w:type="dxa"/>
          </w:tcPr>
          <w:p>
            <w:pPr>
              <w:pStyle w:val="TableParagraph"/>
              <w:spacing w:line="200" w:lineRule="exact"/>
              <w:ind w:left="27" w:right="12"/>
              <w:jc w:val="center"/>
              <w:rPr>
                <w:sz w:val="20"/>
              </w:rPr>
            </w:pPr>
            <w:r>
              <w:rPr>
                <w:spacing w:val="-10"/>
                <w:sz w:val="20"/>
              </w:rPr>
              <w:t>-</w:t>
            </w:r>
          </w:p>
        </w:tc>
        <w:tc>
          <w:tcPr>
            <w:tcW w:w="710" w:type="dxa"/>
          </w:tcPr>
          <w:p>
            <w:pPr>
              <w:pStyle w:val="TableParagraph"/>
              <w:spacing w:line="200" w:lineRule="exact"/>
              <w:ind w:left="98" w:right="2"/>
              <w:jc w:val="center"/>
              <w:rPr>
                <w:sz w:val="20"/>
              </w:rPr>
            </w:pPr>
            <w:r>
              <w:rPr>
                <w:spacing w:val="-10"/>
                <w:sz w:val="20"/>
              </w:rPr>
              <w:t>2</w:t>
            </w:r>
          </w:p>
        </w:tc>
        <w:tc>
          <w:tcPr>
            <w:tcW w:w="828" w:type="dxa"/>
          </w:tcPr>
          <w:p>
            <w:pPr>
              <w:pStyle w:val="TableParagraph"/>
              <w:spacing w:line="200" w:lineRule="exact"/>
              <w:ind w:left="2" w:right="5"/>
              <w:jc w:val="center"/>
              <w:rPr>
                <w:sz w:val="20"/>
              </w:rPr>
            </w:pPr>
            <w:r>
              <w:rPr>
                <w:spacing w:val="-2"/>
                <w:sz w:val="20"/>
              </w:rPr>
              <w:t>100.0</w:t>
            </w:r>
          </w:p>
        </w:tc>
        <w:tc>
          <w:tcPr>
            <w:tcW w:w="600" w:type="dxa"/>
          </w:tcPr>
          <w:p>
            <w:pPr>
              <w:pStyle w:val="TableParagraph"/>
              <w:spacing w:line="200" w:lineRule="exact"/>
              <w:ind w:right="13"/>
              <w:jc w:val="center"/>
              <w:rPr>
                <w:sz w:val="20"/>
              </w:rPr>
            </w:pPr>
            <w:r>
              <w:rPr>
                <w:spacing w:val="-10"/>
                <w:sz w:val="20"/>
              </w:rPr>
              <w:t>-</w:t>
            </w:r>
          </w:p>
        </w:tc>
        <w:tc>
          <w:tcPr>
            <w:tcW w:w="770" w:type="dxa"/>
          </w:tcPr>
          <w:p>
            <w:pPr>
              <w:pStyle w:val="TableParagraph"/>
              <w:spacing w:line="200" w:lineRule="exact"/>
              <w:ind w:left="42" w:right="7"/>
              <w:jc w:val="center"/>
              <w:rPr>
                <w:sz w:val="20"/>
              </w:rPr>
            </w:pPr>
            <w:r>
              <w:rPr>
                <w:spacing w:val="-10"/>
                <w:sz w:val="20"/>
              </w:rPr>
              <w:t>-</w:t>
            </w:r>
          </w:p>
        </w:tc>
        <w:tc>
          <w:tcPr>
            <w:tcW w:w="691" w:type="dxa"/>
          </w:tcPr>
          <w:p>
            <w:pPr>
              <w:pStyle w:val="TableParagraph"/>
              <w:spacing w:line="200" w:lineRule="exact"/>
              <w:ind w:left="23" w:right="2"/>
              <w:jc w:val="center"/>
              <w:rPr>
                <w:sz w:val="20"/>
              </w:rPr>
            </w:pPr>
            <w:r>
              <w:rPr>
                <w:spacing w:val="-10"/>
                <w:sz w:val="20"/>
              </w:rPr>
              <w:t>2</w:t>
            </w:r>
          </w:p>
        </w:tc>
        <w:tc>
          <w:tcPr>
            <w:tcW w:w="738" w:type="dxa"/>
            <w:tcBorders>
              <w:right w:val="single" w:sz="4" w:space="0" w:color="000000"/>
            </w:tcBorders>
          </w:tcPr>
          <w:p>
            <w:pPr>
              <w:pStyle w:val="TableParagraph"/>
              <w:spacing w:line="200" w:lineRule="exact"/>
              <w:ind w:left="53" w:right="21"/>
              <w:jc w:val="center"/>
              <w:rPr>
                <w:sz w:val="20"/>
              </w:rPr>
            </w:pPr>
            <w:r>
              <w:rPr>
                <w:spacing w:val="-5"/>
                <w:sz w:val="20"/>
              </w:rPr>
              <w:t>0.4</w:t>
            </w:r>
          </w:p>
        </w:tc>
      </w:tr>
      <w:tr>
        <w:trPr>
          <w:trHeight w:val="225" w:hRule="atLeast"/>
        </w:trPr>
        <w:tc>
          <w:tcPr>
            <w:tcW w:w="3776" w:type="dxa"/>
            <w:vMerge/>
            <w:tcBorders>
              <w:top w:val="nil"/>
              <w:left w:val="single" w:sz="4" w:space="0" w:color="000000"/>
              <w:bottom w:val="single" w:sz="4" w:space="0" w:color="000000"/>
            </w:tcBorders>
          </w:tcPr>
          <w:p>
            <w:pPr>
              <w:rPr>
                <w:sz w:val="2"/>
                <w:szCs w:val="2"/>
              </w:rPr>
            </w:pPr>
          </w:p>
        </w:tc>
        <w:tc>
          <w:tcPr>
            <w:tcW w:w="2348" w:type="dxa"/>
          </w:tcPr>
          <w:p>
            <w:pPr>
              <w:pStyle w:val="TableParagraph"/>
              <w:spacing w:line="205" w:lineRule="exact"/>
              <w:ind w:left="121"/>
              <w:rPr>
                <w:sz w:val="20"/>
              </w:rPr>
            </w:pPr>
            <w:r>
              <w:rPr>
                <w:spacing w:val="-2"/>
                <w:sz w:val="20"/>
              </w:rPr>
              <w:t>Students</w:t>
            </w:r>
          </w:p>
        </w:tc>
        <w:tc>
          <w:tcPr>
            <w:tcW w:w="675" w:type="dxa"/>
          </w:tcPr>
          <w:p>
            <w:pPr>
              <w:pStyle w:val="TableParagraph"/>
              <w:spacing w:line="205" w:lineRule="exact"/>
              <w:ind w:left="53"/>
              <w:jc w:val="center"/>
              <w:rPr>
                <w:sz w:val="20"/>
              </w:rPr>
            </w:pPr>
            <w:r>
              <w:rPr>
                <w:spacing w:val="-10"/>
                <w:sz w:val="20"/>
              </w:rPr>
              <w:t>4</w:t>
            </w:r>
          </w:p>
        </w:tc>
        <w:tc>
          <w:tcPr>
            <w:tcW w:w="758" w:type="dxa"/>
          </w:tcPr>
          <w:p>
            <w:pPr>
              <w:pStyle w:val="TableParagraph"/>
              <w:spacing w:line="205" w:lineRule="exact"/>
              <w:ind w:left="60" w:right="5"/>
              <w:jc w:val="center"/>
              <w:rPr>
                <w:sz w:val="20"/>
              </w:rPr>
            </w:pPr>
            <w:r>
              <w:rPr>
                <w:spacing w:val="-5"/>
                <w:sz w:val="20"/>
              </w:rPr>
              <w:t>1.7</w:t>
            </w:r>
          </w:p>
        </w:tc>
        <w:tc>
          <w:tcPr>
            <w:tcW w:w="518" w:type="dxa"/>
          </w:tcPr>
          <w:p>
            <w:pPr>
              <w:pStyle w:val="TableParagraph"/>
              <w:spacing w:line="205" w:lineRule="exact"/>
              <w:ind w:left="43" w:right="2"/>
              <w:jc w:val="center"/>
              <w:rPr>
                <w:sz w:val="20"/>
              </w:rPr>
            </w:pPr>
            <w:r>
              <w:rPr>
                <w:spacing w:val="-10"/>
                <w:sz w:val="20"/>
              </w:rPr>
              <w:t>8</w:t>
            </w:r>
          </w:p>
        </w:tc>
        <w:tc>
          <w:tcPr>
            <w:tcW w:w="787" w:type="dxa"/>
          </w:tcPr>
          <w:p>
            <w:pPr>
              <w:pStyle w:val="TableParagraph"/>
              <w:spacing w:line="205" w:lineRule="exact"/>
              <w:ind w:left="39" w:right="39"/>
              <w:jc w:val="center"/>
              <w:rPr>
                <w:sz w:val="20"/>
              </w:rPr>
            </w:pPr>
            <w:r>
              <w:rPr>
                <w:spacing w:val="-5"/>
                <w:sz w:val="20"/>
              </w:rPr>
              <w:t>3.4</w:t>
            </w:r>
          </w:p>
        </w:tc>
        <w:tc>
          <w:tcPr>
            <w:tcW w:w="715" w:type="dxa"/>
          </w:tcPr>
          <w:p>
            <w:pPr>
              <w:pStyle w:val="TableParagraph"/>
              <w:spacing w:line="205" w:lineRule="exact"/>
              <w:ind w:left="39" w:right="99"/>
              <w:jc w:val="center"/>
              <w:rPr>
                <w:sz w:val="20"/>
              </w:rPr>
            </w:pPr>
            <w:r>
              <w:rPr>
                <w:spacing w:val="-5"/>
                <w:sz w:val="20"/>
              </w:rPr>
              <w:t>35</w:t>
            </w:r>
          </w:p>
        </w:tc>
        <w:tc>
          <w:tcPr>
            <w:tcW w:w="847" w:type="dxa"/>
          </w:tcPr>
          <w:p>
            <w:pPr>
              <w:pStyle w:val="TableParagraph"/>
              <w:spacing w:line="205" w:lineRule="exact"/>
              <w:ind w:left="27" w:right="6"/>
              <w:jc w:val="center"/>
              <w:rPr>
                <w:sz w:val="20"/>
              </w:rPr>
            </w:pPr>
            <w:r>
              <w:rPr>
                <w:spacing w:val="-4"/>
                <w:sz w:val="20"/>
              </w:rPr>
              <w:t>14.9</w:t>
            </w:r>
          </w:p>
        </w:tc>
        <w:tc>
          <w:tcPr>
            <w:tcW w:w="710" w:type="dxa"/>
          </w:tcPr>
          <w:p>
            <w:pPr>
              <w:pStyle w:val="TableParagraph"/>
              <w:spacing w:line="205" w:lineRule="exact"/>
              <w:ind w:left="98" w:right="11"/>
              <w:jc w:val="center"/>
              <w:rPr>
                <w:sz w:val="20"/>
              </w:rPr>
            </w:pPr>
            <w:r>
              <w:rPr>
                <w:spacing w:val="-5"/>
                <w:sz w:val="20"/>
              </w:rPr>
              <w:t>128</w:t>
            </w:r>
          </w:p>
        </w:tc>
        <w:tc>
          <w:tcPr>
            <w:tcW w:w="828" w:type="dxa"/>
          </w:tcPr>
          <w:p>
            <w:pPr>
              <w:pStyle w:val="TableParagraph"/>
              <w:spacing w:line="205" w:lineRule="exact"/>
              <w:ind w:left="4" w:right="5"/>
              <w:jc w:val="center"/>
              <w:rPr>
                <w:sz w:val="20"/>
              </w:rPr>
            </w:pPr>
            <w:r>
              <w:rPr>
                <w:spacing w:val="-4"/>
                <w:sz w:val="20"/>
              </w:rPr>
              <w:t>54.5</w:t>
            </w:r>
          </w:p>
        </w:tc>
        <w:tc>
          <w:tcPr>
            <w:tcW w:w="600" w:type="dxa"/>
          </w:tcPr>
          <w:p>
            <w:pPr>
              <w:pStyle w:val="TableParagraph"/>
              <w:spacing w:line="205" w:lineRule="exact"/>
              <w:ind w:left="2" w:right="13"/>
              <w:jc w:val="center"/>
              <w:rPr>
                <w:sz w:val="20"/>
              </w:rPr>
            </w:pPr>
            <w:r>
              <w:rPr>
                <w:spacing w:val="-5"/>
                <w:sz w:val="20"/>
              </w:rPr>
              <w:t>60</w:t>
            </w:r>
          </w:p>
        </w:tc>
        <w:tc>
          <w:tcPr>
            <w:tcW w:w="770" w:type="dxa"/>
          </w:tcPr>
          <w:p>
            <w:pPr>
              <w:pStyle w:val="TableParagraph"/>
              <w:spacing w:line="205" w:lineRule="exact"/>
              <w:ind w:left="45" w:right="3"/>
              <w:jc w:val="center"/>
              <w:rPr>
                <w:sz w:val="20"/>
              </w:rPr>
            </w:pPr>
            <w:r>
              <w:rPr>
                <w:spacing w:val="-4"/>
                <w:sz w:val="20"/>
              </w:rPr>
              <w:t>25.5</w:t>
            </w:r>
          </w:p>
        </w:tc>
        <w:tc>
          <w:tcPr>
            <w:tcW w:w="691" w:type="dxa"/>
          </w:tcPr>
          <w:p>
            <w:pPr>
              <w:pStyle w:val="TableParagraph"/>
              <w:spacing w:line="205" w:lineRule="exact"/>
              <w:ind w:left="22" w:right="11"/>
              <w:jc w:val="center"/>
              <w:rPr>
                <w:sz w:val="20"/>
              </w:rPr>
            </w:pPr>
            <w:r>
              <w:rPr>
                <w:spacing w:val="-5"/>
                <w:sz w:val="20"/>
              </w:rPr>
              <w:t>235</w:t>
            </w:r>
          </w:p>
        </w:tc>
        <w:tc>
          <w:tcPr>
            <w:tcW w:w="738" w:type="dxa"/>
            <w:tcBorders>
              <w:right w:val="single" w:sz="4" w:space="0" w:color="000000"/>
            </w:tcBorders>
          </w:tcPr>
          <w:p>
            <w:pPr>
              <w:pStyle w:val="TableParagraph"/>
              <w:spacing w:line="205" w:lineRule="exact"/>
              <w:ind w:left="53" w:right="16"/>
              <w:jc w:val="center"/>
              <w:rPr>
                <w:sz w:val="20"/>
              </w:rPr>
            </w:pPr>
            <w:r>
              <w:rPr>
                <w:spacing w:val="-4"/>
                <w:sz w:val="20"/>
              </w:rPr>
              <w:t>50.8</w:t>
            </w:r>
          </w:p>
        </w:tc>
      </w:tr>
      <w:tr>
        <w:trPr>
          <w:trHeight w:val="225" w:hRule="atLeast"/>
        </w:trPr>
        <w:tc>
          <w:tcPr>
            <w:tcW w:w="3776" w:type="dxa"/>
            <w:vMerge/>
            <w:tcBorders>
              <w:top w:val="nil"/>
              <w:left w:val="single" w:sz="4" w:space="0" w:color="000000"/>
              <w:bottom w:val="single" w:sz="4" w:space="0" w:color="000000"/>
            </w:tcBorders>
          </w:tcPr>
          <w:p>
            <w:pPr>
              <w:rPr>
                <w:sz w:val="2"/>
                <w:szCs w:val="2"/>
              </w:rPr>
            </w:pPr>
          </w:p>
        </w:tc>
        <w:tc>
          <w:tcPr>
            <w:tcW w:w="2348" w:type="dxa"/>
          </w:tcPr>
          <w:p>
            <w:pPr>
              <w:pStyle w:val="TableParagraph"/>
              <w:spacing w:line="205" w:lineRule="exact"/>
              <w:ind w:left="121"/>
              <w:rPr>
                <w:sz w:val="20"/>
              </w:rPr>
            </w:pPr>
            <w:r>
              <w:rPr>
                <w:sz w:val="20"/>
              </w:rPr>
              <w:t>Service</w:t>
            </w:r>
            <w:r>
              <w:rPr>
                <w:spacing w:val="-9"/>
                <w:sz w:val="20"/>
              </w:rPr>
              <w:t> </w:t>
            </w:r>
            <w:r>
              <w:rPr>
                <w:spacing w:val="-2"/>
                <w:sz w:val="20"/>
              </w:rPr>
              <w:t>Staff</w:t>
            </w:r>
          </w:p>
        </w:tc>
        <w:tc>
          <w:tcPr>
            <w:tcW w:w="675" w:type="dxa"/>
          </w:tcPr>
          <w:p>
            <w:pPr>
              <w:pStyle w:val="TableParagraph"/>
              <w:spacing w:line="205" w:lineRule="exact"/>
              <w:ind w:left="53" w:right="5"/>
              <w:jc w:val="center"/>
              <w:rPr>
                <w:sz w:val="20"/>
              </w:rPr>
            </w:pPr>
            <w:r>
              <w:rPr>
                <w:spacing w:val="-5"/>
                <w:sz w:val="20"/>
              </w:rPr>
              <w:t>21</w:t>
            </w:r>
          </w:p>
        </w:tc>
        <w:tc>
          <w:tcPr>
            <w:tcW w:w="758" w:type="dxa"/>
          </w:tcPr>
          <w:p>
            <w:pPr>
              <w:pStyle w:val="TableParagraph"/>
              <w:spacing w:line="205" w:lineRule="exact"/>
              <w:ind w:left="60"/>
              <w:jc w:val="center"/>
              <w:rPr>
                <w:sz w:val="20"/>
              </w:rPr>
            </w:pPr>
            <w:r>
              <w:rPr>
                <w:spacing w:val="-4"/>
                <w:sz w:val="20"/>
              </w:rPr>
              <w:t>10.3</w:t>
            </w:r>
          </w:p>
        </w:tc>
        <w:tc>
          <w:tcPr>
            <w:tcW w:w="518" w:type="dxa"/>
          </w:tcPr>
          <w:p>
            <w:pPr>
              <w:pStyle w:val="TableParagraph"/>
              <w:spacing w:line="205" w:lineRule="exact"/>
              <w:ind w:left="43" w:right="2"/>
              <w:jc w:val="center"/>
              <w:rPr>
                <w:sz w:val="20"/>
              </w:rPr>
            </w:pPr>
            <w:r>
              <w:rPr>
                <w:spacing w:val="-10"/>
                <w:sz w:val="20"/>
              </w:rPr>
              <w:t>4</w:t>
            </w:r>
          </w:p>
        </w:tc>
        <w:tc>
          <w:tcPr>
            <w:tcW w:w="787" w:type="dxa"/>
          </w:tcPr>
          <w:p>
            <w:pPr>
              <w:pStyle w:val="TableParagraph"/>
              <w:spacing w:line="205" w:lineRule="exact"/>
              <w:ind w:left="39" w:right="39"/>
              <w:jc w:val="center"/>
              <w:rPr>
                <w:sz w:val="20"/>
              </w:rPr>
            </w:pPr>
            <w:r>
              <w:rPr>
                <w:spacing w:val="-5"/>
                <w:sz w:val="20"/>
              </w:rPr>
              <w:t>2.0</w:t>
            </w:r>
          </w:p>
        </w:tc>
        <w:tc>
          <w:tcPr>
            <w:tcW w:w="715" w:type="dxa"/>
          </w:tcPr>
          <w:p>
            <w:pPr>
              <w:pStyle w:val="TableParagraph"/>
              <w:spacing w:line="205" w:lineRule="exact"/>
              <w:ind w:left="39" w:right="99"/>
              <w:jc w:val="center"/>
              <w:rPr>
                <w:sz w:val="20"/>
              </w:rPr>
            </w:pPr>
            <w:r>
              <w:rPr>
                <w:spacing w:val="-5"/>
                <w:sz w:val="20"/>
              </w:rPr>
              <w:t>50</w:t>
            </w:r>
          </w:p>
        </w:tc>
        <w:tc>
          <w:tcPr>
            <w:tcW w:w="847" w:type="dxa"/>
          </w:tcPr>
          <w:p>
            <w:pPr>
              <w:pStyle w:val="TableParagraph"/>
              <w:spacing w:line="205" w:lineRule="exact"/>
              <w:ind w:left="27" w:right="6"/>
              <w:jc w:val="center"/>
              <w:rPr>
                <w:sz w:val="20"/>
              </w:rPr>
            </w:pPr>
            <w:r>
              <w:rPr>
                <w:spacing w:val="-4"/>
                <w:sz w:val="20"/>
              </w:rPr>
              <w:t>24.6</w:t>
            </w:r>
          </w:p>
        </w:tc>
        <w:tc>
          <w:tcPr>
            <w:tcW w:w="710" w:type="dxa"/>
          </w:tcPr>
          <w:p>
            <w:pPr>
              <w:pStyle w:val="TableParagraph"/>
              <w:spacing w:line="205" w:lineRule="exact"/>
              <w:ind w:left="98" w:right="6"/>
              <w:jc w:val="center"/>
              <w:rPr>
                <w:sz w:val="20"/>
              </w:rPr>
            </w:pPr>
            <w:r>
              <w:rPr>
                <w:spacing w:val="-5"/>
                <w:sz w:val="20"/>
              </w:rPr>
              <w:t>98</w:t>
            </w:r>
          </w:p>
        </w:tc>
        <w:tc>
          <w:tcPr>
            <w:tcW w:w="828" w:type="dxa"/>
          </w:tcPr>
          <w:p>
            <w:pPr>
              <w:pStyle w:val="TableParagraph"/>
              <w:spacing w:line="205" w:lineRule="exact"/>
              <w:ind w:left="4" w:right="5"/>
              <w:jc w:val="center"/>
              <w:rPr>
                <w:sz w:val="20"/>
              </w:rPr>
            </w:pPr>
            <w:r>
              <w:rPr>
                <w:spacing w:val="-4"/>
                <w:sz w:val="20"/>
              </w:rPr>
              <w:t>48.3</w:t>
            </w:r>
          </w:p>
        </w:tc>
        <w:tc>
          <w:tcPr>
            <w:tcW w:w="600" w:type="dxa"/>
          </w:tcPr>
          <w:p>
            <w:pPr>
              <w:pStyle w:val="TableParagraph"/>
              <w:spacing w:line="205" w:lineRule="exact"/>
              <w:ind w:left="2" w:right="13"/>
              <w:jc w:val="center"/>
              <w:rPr>
                <w:sz w:val="20"/>
              </w:rPr>
            </w:pPr>
            <w:r>
              <w:rPr>
                <w:spacing w:val="-5"/>
                <w:sz w:val="20"/>
              </w:rPr>
              <w:t>30</w:t>
            </w:r>
          </w:p>
        </w:tc>
        <w:tc>
          <w:tcPr>
            <w:tcW w:w="770" w:type="dxa"/>
          </w:tcPr>
          <w:p>
            <w:pPr>
              <w:pStyle w:val="TableParagraph"/>
              <w:spacing w:line="205" w:lineRule="exact"/>
              <w:ind w:left="45" w:right="3"/>
              <w:jc w:val="center"/>
              <w:rPr>
                <w:sz w:val="20"/>
              </w:rPr>
            </w:pPr>
            <w:r>
              <w:rPr>
                <w:spacing w:val="-4"/>
                <w:sz w:val="20"/>
              </w:rPr>
              <w:t>14.8</w:t>
            </w:r>
          </w:p>
        </w:tc>
        <w:tc>
          <w:tcPr>
            <w:tcW w:w="691" w:type="dxa"/>
          </w:tcPr>
          <w:p>
            <w:pPr>
              <w:pStyle w:val="TableParagraph"/>
              <w:spacing w:line="205" w:lineRule="exact"/>
              <w:ind w:left="22" w:right="11"/>
              <w:jc w:val="center"/>
              <w:rPr>
                <w:sz w:val="20"/>
              </w:rPr>
            </w:pPr>
            <w:r>
              <w:rPr>
                <w:spacing w:val="-5"/>
                <w:sz w:val="20"/>
              </w:rPr>
              <w:t>203</w:t>
            </w:r>
          </w:p>
        </w:tc>
        <w:tc>
          <w:tcPr>
            <w:tcW w:w="738" w:type="dxa"/>
            <w:tcBorders>
              <w:right w:val="single" w:sz="4" w:space="0" w:color="000000"/>
            </w:tcBorders>
          </w:tcPr>
          <w:p>
            <w:pPr>
              <w:pStyle w:val="TableParagraph"/>
              <w:spacing w:line="205" w:lineRule="exact"/>
              <w:ind w:left="53" w:right="16"/>
              <w:jc w:val="center"/>
              <w:rPr>
                <w:sz w:val="20"/>
              </w:rPr>
            </w:pPr>
            <w:r>
              <w:rPr>
                <w:spacing w:val="-4"/>
                <w:sz w:val="20"/>
              </w:rPr>
              <w:t>43.8</w:t>
            </w:r>
          </w:p>
        </w:tc>
      </w:tr>
      <w:tr>
        <w:trPr>
          <w:trHeight w:val="220" w:hRule="atLeast"/>
        </w:trPr>
        <w:tc>
          <w:tcPr>
            <w:tcW w:w="3776" w:type="dxa"/>
            <w:vMerge/>
            <w:tcBorders>
              <w:top w:val="nil"/>
              <w:left w:val="single" w:sz="4" w:space="0" w:color="000000"/>
              <w:bottom w:val="single" w:sz="4" w:space="0" w:color="000000"/>
            </w:tcBorders>
          </w:tcPr>
          <w:p>
            <w:pPr>
              <w:rPr>
                <w:sz w:val="2"/>
                <w:szCs w:val="2"/>
              </w:rPr>
            </w:pPr>
          </w:p>
        </w:tc>
        <w:tc>
          <w:tcPr>
            <w:tcW w:w="2348" w:type="dxa"/>
          </w:tcPr>
          <w:p>
            <w:pPr>
              <w:pStyle w:val="TableParagraph"/>
              <w:spacing w:line="200" w:lineRule="exact"/>
              <w:ind w:left="121"/>
              <w:rPr>
                <w:sz w:val="20"/>
              </w:rPr>
            </w:pPr>
            <w:r>
              <w:rPr>
                <w:sz w:val="20"/>
              </w:rPr>
              <w:t>Top</w:t>
            </w:r>
            <w:r>
              <w:rPr>
                <w:spacing w:val="-1"/>
                <w:sz w:val="20"/>
              </w:rPr>
              <w:t> </w:t>
            </w:r>
            <w:r>
              <w:rPr>
                <w:spacing w:val="-2"/>
                <w:sz w:val="20"/>
              </w:rPr>
              <w:t>Management</w:t>
            </w:r>
          </w:p>
        </w:tc>
        <w:tc>
          <w:tcPr>
            <w:tcW w:w="675" w:type="dxa"/>
          </w:tcPr>
          <w:p>
            <w:pPr>
              <w:pStyle w:val="TableParagraph"/>
              <w:spacing w:line="200" w:lineRule="exact"/>
              <w:ind w:left="53"/>
              <w:jc w:val="center"/>
              <w:rPr>
                <w:sz w:val="20"/>
              </w:rPr>
            </w:pPr>
            <w:r>
              <w:rPr>
                <w:spacing w:val="-10"/>
                <w:sz w:val="20"/>
              </w:rPr>
              <w:t>1</w:t>
            </w:r>
          </w:p>
        </w:tc>
        <w:tc>
          <w:tcPr>
            <w:tcW w:w="758" w:type="dxa"/>
          </w:tcPr>
          <w:p>
            <w:pPr>
              <w:pStyle w:val="TableParagraph"/>
              <w:spacing w:line="200" w:lineRule="exact"/>
              <w:ind w:left="60" w:right="5"/>
              <w:jc w:val="center"/>
              <w:rPr>
                <w:sz w:val="20"/>
              </w:rPr>
            </w:pPr>
            <w:r>
              <w:rPr>
                <w:spacing w:val="-5"/>
                <w:sz w:val="20"/>
              </w:rPr>
              <w:t>4.3</w:t>
            </w:r>
          </w:p>
        </w:tc>
        <w:tc>
          <w:tcPr>
            <w:tcW w:w="518" w:type="dxa"/>
          </w:tcPr>
          <w:p>
            <w:pPr>
              <w:pStyle w:val="TableParagraph"/>
              <w:spacing w:line="200" w:lineRule="exact"/>
              <w:ind w:left="43" w:right="8"/>
              <w:jc w:val="center"/>
              <w:rPr>
                <w:sz w:val="20"/>
              </w:rPr>
            </w:pPr>
            <w:r>
              <w:rPr>
                <w:spacing w:val="-10"/>
                <w:sz w:val="20"/>
              </w:rPr>
              <w:t>-</w:t>
            </w:r>
          </w:p>
        </w:tc>
        <w:tc>
          <w:tcPr>
            <w:tcW w:w="787" w:type="dxa"/>
          </w:tcPr>
          <w:p>
            <w:pPr>
              <w:pStyle w:val="TableParagraph"/>
              <w:spacing w:line="200" w:lineRule="exact"/>
              <w:ind w:left="39" w:right="39"/>
              <w:jc w:val="center"/>
              <w:rPr>
                <w:sz w:val="20"/>
              </w:rPr>
            </w:pPr>
            <w:r>
              <w:rPr>
                <w:spacing w:val="-10"/>
                <w:sz w:val="20"/>
              </w:rPr>
              <w:t>-</w:t>
            </w:r>
          </w:p>
        </w:tc>
        <w:tc>
          <w:tcPr>
            <w:tcW w:w="715" w:type="dxa"/>
          </w:tcPr>
          <w:p>
            <w:pPr>
              <w:pStyle w:val="TableParagraph"/>
              <w:spacing w:line="200" w:lineRule="exact"/>
              <w:ind w:left="39" w:right="94"/>
              <w:jc w:val="center"/>
              <w:rPr>
                <w:sz w:val="20"/>
              </w:rPr>
            </w:pPr>
            <w:r>
              <w:rPr>
                <w:spacing w:val="-10"/>
                <w:sz w:val="20"/>
              </w:rPr>
              <w:t>4</w:t>
            </w:r>
          </w:p>
        </w:tc>
        <w:tc>
          <w:tcPr>
            <w:tcW w:w="847" w:type="dxa"/>
          </w:tcPr>
          <w:p>
            <w:pPr>
              <w:pStyle w:val="TableParagraph"/>
              <w:spacing w:line="200" w:lineRule="exact"/>
              <w:ind w:left="27" w:right="6"/>
              <w:jc w:val="center"/>
              <w:rPr>
                <w:sz w:val="20"/>
              </w:rPr>
            </w:pPr>
            <w:r>
              <w:rPr>
                <w:spacing w:val="-4"/>
                <w:sz w:val="20"/>
              </w:rPr>
              <w:t>17.4</w:t>
            </w:r>
          </w:p>
        </w:tc>
        <w:tc>
          <w:tcPr>
            <w:tcW w:w="710" w:type="dxa"/>
          </w:tcPr>
          <w:p>
            <w:pPr>
              <w:pStyle w:val="TableParagraph"/>
              <w:spacing w:line="200" w:lineRule="exact"/>
              <w:ind w:left="98" w:right="6"/>
              <w:jc w:val="center"/>
              <w:rPr>
                <w:sz w:val="20"/>
              </w:rPr>
            </w:pPr>
            <w:r>
              <w:rPr>
                <w:spacing w:val="-5"/>
                <w:sz w:val="20"/>
              </w:rPr>
              <w:t>13</w:t>
            </w:r>
          </w:p>
        </w:tc>
        <w:tc>
          <w:tcPr>
            <w:tcW w:w="828" w:type="dxa"/>
          </w:tcPr>
          <w:p>
            <w:pPr>
              <w:pStyle w:val="TableParagraph"/>
              <w:spacing w:line="200" w:lineRule="exact"/>
              <w:ind w:left="4" w:right="5"/>
              <w:jc w:val="center"/>
              <w:rPr>
                <w:sz w:val="20"/>
              </w:rPr>
            </w:pPr>
            <w:r>
              <w:rPr>
                <w:spacing w:val="-4"/>
                <w:sz w:val="20"/>
              </w:rPr>
              <w:t>56.5</w:t>
            </w:r>
          </w:p>
        </w:tc>
        <w:tc>
          <w:tcPr>
            <w:tcW w:w="600" w:type="dxa"/>
          </w:tcPr>
          <w:p>
            <w:pPr>
              <w:pStyle w:val="TableParagraph"/>
              <w:spacing w:line="200" w:lineRule="exact"/>
              <w:ind w:left="7" w:right="13"/>
              <w:jc w:val="center"/>
              <w:rPr>
                <w:sz w:val="20"/>
              </w:rPr>
            </w:pPr>
            <w:r>
              <w:rPr>
                <w:spacing w:val="-10"/>
                <w:sz w:val="20"/>
              </w:rPr>
              <w:t>5</w:t>
            </w:r>
          </w:p>
        </w:tc>
        <w:tc>
          <w:tcPr>
            <w:tcW w:w="770" w:type="dxa"/>
          </w:tcPr>
          <w:p>
            <w:pPr>
              <w:pStyle w:val="TableParagraph"/>
              <w:spacing w:line="200" w:lineRule="exact"/>
              <w:ind w:left="45" w:right="3"/>
              <w:jc w:val="center"/>
              <w:rPr>
                <w:sz w:val="20"/>
              </w:rPr>
            </w:pPr>
            <w:r>
              <w:rPr>
                <w:spacing w:val="-4"/>
                <w:sz w:val="20"/>
              </w:rPr>
              <w:t>21.7</w:t>
            </w:r>
          </w:p>
        </w:tc>
        <w:tc>
          <w:tcPr>
            <w:tcW w:w="691" w:type="dxa"/>
          </w:tcPr>
          <w:p>
            <w:pPr>
              <w:pStyle w:val="TableParagraph"/>
              <w:spacing w:line="200" w:lineRule="exact"/>
              <w:ind w:left="22" w:right="6"/>
              <w:jc w:val="center"/>
              <w:rPr>
                <w:sz w:val="20"/>
              </w:rPr>
            </w:pPr>
            <w:r>
              <w:rPr>
                <w:spacing w:val="-5"/>
                <w:sz w:val="20"/>
              </w:rPr>
              <w:t>23</w:t>
            </w:r>
          </w:p>
        </w:tc>
        <w:tc>
          <w:tcPr>
            <w:tcW w:w="738" w:type="dxa"/>
            <w:tcBorders>
              <w:right w:val="single" w:sz="4" w:space="0" w:color="000000"/>
            </w:tcBorders>
          </w:tcPr>
          <w:p>
            <w:pPr>
              <w:pStyle w:val="TableParagraph"/>
              <w:spacing w:line="200" w:lineRule="exact"/>
              <w:ind w:left="53" w:right="21"/>
              <w:jc w:val="center"/>
              <w:rPr>
                <w:sz w:val="20"/>
              </w:rPr>
            </w:pPr>
            <w:r>
              <w:rPr>
                <w:spacing w:val="-5"/>
                <w:sz w:val="20"/>
              </w:rPr>
              <w:t>5.0</w:t>
            </w:r>
          </w:p>
        </w:tc>
      </w:tr>
      <w:tr>
        <w:trPr>
          <w:trHeight w:val="220" w:hRule="atLeast"/>
        </w:trPr>
        <w:tc>
          <w:tcPr>
            <w:tcW w:w="3776" w:type="dxa"/>
            <w:vMerge/>
            <w:tcBorders>
              <w:top w:val="nil"/>
              <w:left w:val="single" w:sz="4" w:space="0" w:color="000000"/>
              <w:bottom w:val="single" w:sz="4" w:space="0" w:color="000000"/>
            </w:tcBorders>
          </w:tcPr>
          <w:p>
            <w:pPr>
              <w:rPr>
                <w:sz w:val="2"/>
                <w:szCs w:val="2"/>
              </w:rPr>
            </w:pPr>
          </w:p>
        </w:tc>
        <w:tc>
          <w:tcPr>
            <w:tcW w:w="2348" w:type="dxa"/>
          </w:tcPr>
          <w:p>
            <w:pPr>
              <w:pStyle w:val="TableParagraph"/>
              <w:spacing w:line="200" w:lineRule="exact"/>
              <w:ind w:left="121"/>
              <w:rPr>
                <w:sz w:val="20"/>
              </w:rPr>
            </w:pPr>
            <w:r>
              <w:rPr>
                <w:sz w:val="20"/>
              </w:rPr>
              <w:t>No.</w:t>
            </w:r>
            <w:r>
              <w:rPr>
                <w:spacing w:val="-5"/>
                <w:sz w:val="20"/>
              </w:rPr>
              <w:t> </w:t>
            </w:r>
            <w:r>
              <w:rPr>
                <w:sz w:val="20"/>
              </w:rPr>
              <w:t>of</w:t>
            </w:r>
            <w:r>
              <w:rPr>
                <w:spacing w:val="-2"/>
                <w:sz w:val="20"/>
              </w:rPr>
              <w:t> missing</w:t>
            </w:r>
          </w:p>
        </w:tc>
        <w:tc>
          <w:tcPr>
            <w:tcW w:w="675" w:type="dxa"/>
          </w:tcPr>
          <w:p>
            <w:pPr>
              <w:pStyle w:val="TableParagraph"/>
              <w:rPr>
                <w:rFonts w:ascii="Times New Roman"/>
                <w:sz w:val="14"/>
              </w:rPr>
            </w:pPr>
          </w:p>
        </w:tc>
        <w:tc>
          <w:tcPr>
            <w:tcW w:w="758" w:type="dxa"/>
          </w:tcPr>
          <w:p>
            <w:pPr>
              <w:pStyle w:val="TableParagraph"/>
              <w:rPr>
                <w:rFonts w:ascii="Times New Roman"/>
                <w:sz w:val="14"/>
              </w:rPr>
            </w:pPr>
          </w:p>
        </w:tc>
        <w:tc>
          <w:tcPr>
            <w:tcW w:w="518" w:type="dxa"/>
          </w:tcPr>
          <w:p>
            <w:pPr>
              <w:pStyle w:val="TableParagraph"/>
              <w:rPr>
                <w:rFonts w:ascii="Times New Roman"/>
                <w:sz w:val="14"/>
              </w:rPr>
            </w:pPr>
          </w:p>
        </w:tc>
        <w:tc>
          <w:tcPr>
            <w:tcW w:w="787" w:type="dxa"/>
          </w:tcPr>
          <w:p>
            <w:pPr>
              <w:pStyle w:val="TableParagraph"/>
              <w:rPr>
                <w:rFonts w:ascii="Times New Roman"/>
                <w:sz w:val="14"/>
              </w:rPr>
            </w:pPr>
          </w:p>
        </w:tc>
        <w:tc>
          <w:tcPr>
            <w:tcW w:w="715" w:type="dxa"/>
          </w:tcPr>
          <w:p>
            <w:pPr>
              <w:pStyle w:val="TableParagraph"/>
              <w:rPr>
                <w:rFonts w:ascii="Times New Roman"/>
                <w:sz w:val="14"/>
              </w:rPr>
            </w:pPr>
          </w:p>
        </w:tc>
        <w:tc>
          <w:tcPr>
            <w:tcW w:w="847" w:type="dxa"/>
          </w:tcPr>
          <w:p>
            <w:pPr>
              <w:pStyle w:val="TableParagraph"/>
              <w:rPr>
                <w:rFonts w:ascii="Times New Roman"/>
                <w:sz w:val="14"/>
              </w:rPr>
            </w:pPr>
          </w:p>
        </w:tc>
        <w:tc>
          <w:tcPr>
            <w:tcW w:w="710" w:type="dxa"/>
          </w:tcPr>
          <w:p>
            <w:pPr>
              <w:pStyle w:val="TableParagraph"/>
              <w:rPr>
                <w:rFonts w:ascii="Times New Roman"/>
                <w:sz w:val="14"/>
              </w:rPr>
            </w:pPr>
          </w:p>
        </w:tc>
        <w:tc>
          <w:tcPr>
            <w:tcW w:w="828" w:type="dxa"/>
          </w:tcPr>
          <w:p>
            <w:pPr>
              <w:pStyle w:val="TableParagraph"/>
              <w:rPr>
                <w:rFonts w:ascii="Times New Roman"/>
                <w:sz w:val="14"/>
              </w:rPr>
            </w:pPr>
          </w:p>
        </w:tc>
        <w:tc>
          <w:tcPr>
            <w:tcW w:w="600" w:type="dxa"/>
          </w:tcPr>
          <w:p>
            <w:pPr>
              <w:pStyle w:val="TableParagraph"/>
              <w:rPr>
                <w:rFonts w:ascii="Times New Roman"/>
                <w:sz w:val="14"/>
              </w:rPr>
            </w:pPr>
          </w:p>
        </w:tc>
        <w:tc>
          <w:tcPr>
            <w:tcW w:w="770" w:type="dxa"/>
          </w:tcPr>
          <w:p>
            <w:pPr>
              <w:pStyle w:val="TableParagraph"/>
              <w:rPr>
                <w:rFonts w:ascii="Times New Roman"/>
                <w:sz w:val="14"/>
              </w:rPr>
            </w:pPr>
          </w:p>
        </w:tc>
        <w:tc>
          <w:tcPr>
            <w:tcW w:w="691" w:type="dxa"/>
          </w:tcPr>
          <w:p>
            <w:pPr>
              <w:pStyle w:val="TableParagraph"/>
              <w:rPr>
                <w:rFonts w:ascii="Times New Roman"/>
                <w:sz w:val="14"/>
              </w:rPr>
            </w:pPr>
          </w:p>
        </w:tc>
        <w:tc>
          <w:tcPr>
            <w:tcW w:w="738" w:type="dxa"/>
            <w:tcBorders>
              <w:right w:val="single" w:sz="4" w:space="0" w:color="000000"/>
            </w:tcBorders>
          </w:tcPr>
          <w:p>
            <w:pPr>
              <w:pStyle w:val="TableParagraph"/>
              <w:rPr>
                <w:rFonts w:ascii="Times New Roman"/>
                <w:sz w:val="14"/>
              </w:rPr>
            </w:pPr>
          </w:p>
        </w:tc>
      </w:tr>
      <w:tr>
        <w:trPr>
          <w:trHeight w:val="220" w:hRule="atLeast"/>
        </w:trPr>
        <w:tc>
          <w:tcPr>
            <w:tcW w:w="3776" w:type="dxa"/>
            <w:vMerge/>
            <w:tcBorders>
              <w:top w:val="nil"/>
              <w:left w:val="single" w:sz="4" w:space="0" w:color="000000"/>
              <w:bottom w:val="single" w:sz="4" w:space="0" w:color="000000"/>
            </w:tcBorders>
          </w:tcPr>
          <w:p>
            <w:pPr>
              <w:rPr>
                <w:sz w:val="2"/>
                <w:szCs w:val="2"/>
              </w:rPr>
            </w:pPr>
          </w:p>
        </w:tc>
        <w:tc>
          <w:tcPr>
            <w:tcW w:w="2348" w:type="dxa"/>
          </w:tcPr>
          <w:p>
            <w:pPr>
              <w:pStyle w:val="TableParagraph"/>
              <w:spacing w:line="200" w:lineRule="exact"/>
              <w:ind w:left="121"/>
              <w:rPr>
                <w:sz w:val="20"/>
              </w:rPr>
            </w:pPr>
            <w:r>
              <w:rPr>
                <w:spacing w:val="-2"/>
                <w:sz w:val="20"/>
              </w:rPr>
              <w:t>observations</w:t>
            </w:r>
          </w:p>
        </w:tc>
        <w:tc>
          <w:tcPr>
            <w:tcW w:w="675" w:type="dxa"/>
          </w:tcPr>
          <w:p>
            <w:pPr>
              <w:pStyle w:val="TableParagraph"/>
              <w:spacing w:line="200" w:lineRule="exact"/>
              <w:ind w:left="53" w:right="7"/>
              <w:jc w:val="center"/>
              <w:rPr>
                <w:sz w:val="20"/>
              </w:rPr>
            </w:pPr>
            <w:r>
              <w:rPr>
                <w:spacing w:val="-10"/>
                <w:sz w:val="20"/>
              </w:rPr>
              <w:t>-</w:t>
            </w:r>
          </w:p>
        </w:tc>
        <w:tc>
          <w:tcPr>
            <w:tcW w:w="758" w:type="dxa"/>
          </w:tcPr>
          <w:p>
            <w:pPr>
              <w:pStyle w:val="TableParagraph"/>
              <w:spacing w:line="200" w:lineRule="exact"/>
              <w:ind w:left="60" w:right="7"/>
              <w:jc w:val="center"/>
              <w:rPr>
                <w:sz w:val="20"/>
              </w:rPr>
            </w:pPr>
            <w:r>
              <w:rPr>
                <w:spacing w:val="-10"/>
                <w:sz w:val="20"/>
              </w:rPr>
              <w:t>-</w:t>
            </w:r>
          </w:p>
        </w:tc>
        <w:tc>
          <w:tcPr>
            <w:tcW w:w="518" w:type="dxa"/>
          </w:tcPr>
          <w:p>
            <w:pPr>
              <w:pStyle w:val="TableParagraph"/>
              <w:spacing w:line="200" w:lineRule="exact"/>
              <w:ind w:left="43" w:right="2"/>
              <w:jc w:val="center"/>
              <w:rPr>
                <w:sz w:val="20"/>
              </w:rPr>
            </w:pPr>
            <w:r>
              <w:rPr>
                <w:spacing w:val="-10"/>
                <w:sz w:val="20"/>
              </w:rPr>
              <w:t>2</w:t>
            </w:r>
          </w:p>
        </w:tc>
        <w:tc>
          <w:tcPr>
            <w:tcW w:w="787" w:type="dxa"/>
          </w:tcPr>
          <w:p>
            <w:pPr>
              <w:pStyle w:val="TableParagraph"/>
              <w:spacing w:line="200" w:lineRule="exact"/>
              <w:ind w:left="39" w:right="39"/>
              <w:jc w:val="center"/>
              <w:rPr>
                <w:sz w:val="20"/>
              </w:rPr>
            </w:pPr>
            <w:r>
              <w:rPr>
                <w:spacing w:val="-2"/>
                <w:sz w:val="20"/>
              </w:rPr>
              <w:t>100.0</w:t>
            </w:r>
          </w:p>
        </w:tc>
        <w:tc>
          <w:tcPr>
            <w:tcW w:w="715" w:type="dxa"/>
          </w:tcPr>
          <w:p>
            <w:pPr>
              <w:pStyle w:val="TableParagraph"/>
              <w:spacing w:line="200" w:lineRule="exact"/>
              <w:ind w:left="39" w:right="101"/>
              <w:jc w:val="center"/>
              <w:rPr>
                <w:sz w:val="20"/>
              </w:rPr>
            </w:pPr>
            <w:r>
              <w:rPr>
                <w:spacing w:val="-10"/>
                <w:sz w:val="20"/>
              </w:rPr>
              <w:t>-</w:t>
            </w:r>
          </w:p>
        </w:tc>
        <w:tc>
          <w:tcPr>
            <w:tcW w:w="847" w:type="dxa"/>
          </w:tcPr>
          <w:p>
            <w:pPr>
              <w:pStyle w:val="TableParagraph"/>
              <w:spacing w:line="200" w:lineRule="exact"/>
              <w:ind w:left="27" w:right="12"/>
              <w:jc w:val="center"/>
              <w:rPr>
                <w:sz w:val="20"/>
              </w:rPr>
            </w:pPr>
            <w:r>
              <w:rPr>
                <w:spacing w:val="-10"/>
                <w:sz w:val="20"/>
              </w:rPr>
              <w:t>-</w:t>
            </w:r>
          </w:p>
        </w:tc>
        <w:tc>
          <w:tcPr>
            <w:tcW w:w="710" w:type="dxa"/>
          </w:tcPr>
          <w:p>
            <w:pPr>
              <w:pStyle w:val="TableParagraph"/>
              <w:spacing w:line="200" w:lineRule="exact"/>
              <w:ind w:left="98" w:right="8"/>
              <w:jc w:val="center"/>
              <w:rPr>
                <w:sz w:val="20"/>
              </w:rPr>
            </w:pPr>
            <w:r>
              <w:rPr>
                <w:spacing w:val="-10"/>
                <w:sz w:val="20"/>
              </w:rPr>
              <w:t>-</w:t>
            </w:r>
          </w:p>
        </w:tc>
        <w:tc>
          <w:tcPr>
            <w:tcW w:w="828" w:type="dxa"/>
          </w:tcPr>
          <w:p>
            <w:pPr>
              <w:pStyle w:val="TableParagraph"/>
              <w:spacing w:line="200" w:lineRule="exact"/>
              <w:ind w:right="5"/>
              <w:jc w:val="center"/>
              <w:rPr>
                <w:sz w:val="20"/>
              </w:rPr>
            </w:pPr>
            <w:r>
              <w:rPr>
                <w:spacing w:val="-10"/>
                <w:sz w:val="20"/>
              </w:rPr>
              <w:t>-</w:t>
            </w:r>
          </w:p>
        </w:tc>
        <w:tc>
          <w:tcPr>
            <w:tcW w:w="600" w:type="dxa"/>
          </w:tcPr>
          <w:p>
            <w:pPr>
              <w:pStyle w:val="TableParagraph"/>
              <w:spacing w:line="200" w:lineRule="exact"/>
              <w:ind w:right="13"/>
              <w:jc w:val="center"/>
              <w:rPr>
                <w:sz w:val="20"/>
              </w:rPr>
            </w:pPr>
            <w:r>
              <w:rPr>
                <w:spacing w:val="-10"/>
                <w:sz w:val="20"/>
              </w:rPr>
              <w:t>-</w:t>
            </w:r>
          </w:p>
        </w:tc>
        <w:tc>
          <w:tcPr>
            <w:tcW w:w="770" w:type="dxa"/>
          </w:tcPr>
          <w:p>
            <w:pPr>
              <w:pStyle w:val="TableParagraph"/>
              <w:spacing w:line="200" w:lineRule="exact"/>
              <w:ind w:left="42" w:right="7"/>
              <w:jc w:val="center"/>
              <w:rPr>
                <w:sz w:val="20"/>
              </w:rPr>
            </w:pPr>
            <w:r>
              <w:rPr>
                <w:spacing w:val="-10"/>
                <w:sz w:val="20"/>
              </w:rPr>
              <w:t>-</w:t>
            </w:r>
          </w:p>
        </w:tc>
        <w:tc>
          <w:tcPr>
            <w:tcW w:w="691" w:type="dxa"/>
          </w:tcPr>
          <w:p>
            <w:pPr>
              <w:pStyle w:val="TableParagraph"/>
              <w:spacing w:line="200" w:lineRule="exact"/>
              <w:ind w:left="23" w:right="2"/>
              <w:jc w:val="center"/>
              <w:rPr>
                <w:sz w:val="20"/>
              </w:rPr>
            </w:pPr>
            <w:r>
              <w:rPr>
                <w:spacing w:val="-10"/>
                <w:sz w:val="20"/>
              </w:rPr>
              <w:t>2</w:t>
            </w:r>
          </w:p>
        </w:tc>
        <w:tc>
          <w:tcPr>
            <w:tcW w:w="738" w:type="dxa"/>
            <w:tcBorders>
              <w:right w:val="single" w:sz="4" w:space="0" w:color="000000"/>
            </w:tcBorders>
          </w:tcPr>
          <w:p>
            <w:pPr>
              <w:pStyle w:val="TableParagraph"/>
              <w:spacing w:line="200" w:lineRule="exact"/>
              <w:ind w:left="53" w:right="21"/>
              <w:jc w:val="center"/>
              <w:rPr>
                <w:sz w:val="20"/>
              </w:rPr>
            </w:pPr>
            <w:r>
              <w:rPr>
                <w:spacing w:val="-5"/>
                <w:sz w:val="20"/>
              </w:rPr>
              <w:t>0.4</w:t>
            </w:r>
          </w:p>
        </w:tc>
      </w:tr>
      <w:tr>
        <w:trPr>
          <w:trHeight w:val="220" w:hRule="atLeast"/>
        </w:trPr>
        <w:tc>
          <w:tcPr>
            <w:tcW w:w="3776" w:type="dxa"/>
            <w:vMerge/>
            <w:tcBorders>
              <w:top w:val="nil"/>
              <w:left w:val="single" w:sz="4" w:space="0" w:color="000000"/>
              <w:bottom w:val="single" w:sz="4" w:space="0" w:color="000000"/>
            </w:tcBorders>
          </w:tcPr>
          <w:p>
            <w:pPr>
              <w:rPr>
                <w:sz w:val="2"/>
                <w:szCs w:val="2"/>
              </w:rPr>
            </w:pPr>
          </w:p>
        </w:tc>
        <w:tc>
          <w:tcPr>
            <w:tcW w:w="2348" w:type="dxa"/>
          </w:tcPr>
          <w:p>
            <w:pPr>
              <w:pStyle w:val="TableParagraph"/>
              <w:spacing w:line="200" w:lineRule="exact"/>
              <w:ind w:left="121"/>
              <w:rPr>
                <w:sz w:val="20"/>
              </w:rPr>
            </w:pPr>
            <w:r>
              <w:rPr>
                <w:spacing w:val="-2"/>
                <w:sz w:val="20"/>
              </w:rPr>
              <w:t>Students</w:t>
            </w:r>
          </w:p>
        </w:tc>
        <w:tc>
          <w:tcPr>
            <w:tcW w:w="675" w:type="dxa"/>
          </w:tcPr>
          <w:p>
            <w:pPr>
              <w:pStyle w:val="TableParagraph"/>
              <w:spacing w:line="200" w:lineRule="exact"/>
              <w:ind w:left="53"/>
              <w:jc w:val="center"/>
              <w:rPr>
                <w:sz w:val="20"/>
              </w:rPr>
            </w:pPr>
            <w:r>
              <w:rPr>
                <w:spacing w:val="-10"/>
                <w:sz w:val="20"/>
              </w:rPr>
              <w:t>8</w:t>
            </w:r>
          </w:p>
        </w:tc>
        <w:tc>
          <w:tcPr>
            <w:tcW w:w="758" w:type="dxa"/>
          </w:tcPr>
          <w:p>
            <w:pPr>
              <w:pStyle w:val="TableParagraph"/>
              <w:spacing w:line="200" w:lineRule="exact"/>
              <w:ind w:left="60" w:right="5"/>
              <w:jc w:val="center"/>
              <w:rPr>
                <w:sz w:val="20"/>
              </w:rPr>
            </w:pPr>
            <w:r>
              <w:rPr>
                <w:spacing w:val="-5"/>
                <w:sz w:val="20"/>
              </w:rPr>
              <w:t>3.4</w:t>
            </w:r>
          </w:p>
        </w:tc>
        <w:tc>
          <w:tcPr>
            <w:tcW w:w="518" w:type="dxa"/>
          </w:tcPr>
          <w:p>
            <w:pPr>
              <w:pStyle w:val="TableParagraph"/>
              <w:spacing w:line="200" w:lineRule="exact"/>
              <w:ind w:left="43" w:right="6"/>
              <w:jc w:val="center"/>
              <w:rPr>
                <w:sz w:val="20"/>
              </w:rPr>
            </w:pPr>
            <w:r>
              <w:rPr>
                <w:spacing w:val="-5"/>
                <w:sz w:val="20"/>
              </w:rPr>
              <w:t>26</w:t>
            </w:r>
          </w:p>
        </w:tc>
        <w:tc>
          <w:tcPr>
            <w:tcW w:w="787" w:type="dxa"/>
          </w:tcPr>
          <w:p>
            <w:pPr>
              <w:pStyle w:val="TableParagraph"/>
              <w:spacing w:line="200" w:lineRule="exact"/>
              <w:ind w:left="39" w:right="35"/>
              <w:jc w:val="center"/>
              <w:rPr>
                <w:sz w:val="20"/>
              </w:rPr>
            </w:pPr>
            <w:r>
              <w:rPr>
                <w:spacing w:val="-4"/>
                <w:sz w:val="20"/>
              </w:rPr>
              <w:t>11.1</w:t>
            </w:r>
          </w:p>
        </w:tc>
        <w:tc>
          <w:tcPr>
            <w:tcW w:w="715" w:type="dxa"/>
          </w:tcPr>
          <w:p>
            <w:pPr>
              <w:pStyle w:val="TableParagraph"/>
              <w:spacing w:line="200" w:lineRule="exact"/>
              <w:ind w:left="39" w:right="99"/>
              <w:jc w:val="center"/>
              <w:rPr>
                <w:sz w:val="20"/>
              </w:rPr>
            </w:pPr>
            <w:r>
              <w:rPr>
                <w:spacing w:val="-5"/>
                <w:sz w:val="20"/>
              </w:rPr>
              <w:t>83</w:t>
            </w:r>
          </w:p>
        </w:tc>
        <w:tc>
          <w:tcPr>
            <w:tcW w:w="847" w:type="dxa"/>
          </w:tcPr>
          <w:p>
            <w:pPr>
              <w:pStyle w:val="TableParagraph"/>
              <w:spacing w:line="200" w:lineRule="exact"/>
              <w:ind w:left="27" w:right="6"/>
              <w:jc w:val="center"/>
              <w:rPr>
                <w:sz w:val="20"/>
              </w:rPr>
            </w:pPr>
            <w:r>
              <w:rPr>
                <w:spacing w:val="-4"/>
                <w:sz w:val="20"/>
              </w:rPr>
              <w:t>35.3</w:t>
            </w:r>
          </w:p>
        </w:tc>
        <w:tc>
          <w:tcPr>
            <w:tcW w:w="710" w:type="dxa"/>
          </w:tcPr>
          <w:p>
            <w:pPr>
              <w:pStyle w:val="TableParagraph"/>
              <w:spacing w:line="200" w:lineRule="exact"/>
              <w:ind w:left="98" w:right="6"/>
              <w:jc w:val="center"/>
              <w:rPr>
                <w:sz w:val="20"/>
              </w:rPr>
            </w:pPr>
            <w:r>
              <w:rPr>
                <w:spacing w:val="-5"/>
                <w:sz w:val="20"/>
              </w:rPr>
              <w:t>78</w:t>
            </w:r>
          </w:p>
        </w:tc>
        <w:tc>
          <w:tcPr>
            <w:tcW w:w="828" w:type="dxa"/>
          </w:tcPr>
          <w:p>
            <w:pPr>
              <w:pStyle w:val="TableParagraph"/>
              <w:spacing w:line="200" w:lineRule="exact"/>
              <w:ind w:left="4" w:right="5"/>
              <w:jc w:val="center"/>
              <w:rPr>
                <w:sz w:val="20"/>
              </w:rPr>
            </w:pPr>
            <w:r>
              <w:rPr>
                <w:spacing w:val="-4"/>
                <w:sz w:val="20"/>
              </w:rPr>
              <w:t>33.2</w:t>
            </w:r>
          </w:p>
        </w:tc>
        <w:tc>
          <w:tcPr>
            <w:tcW w:w="600" w:type="dxa"/>
          </w:tcPr>
          <w:p>
            <w:pPr>
              <w:pStyle w:val="TableParagraph"/>
              <w:spacing w:line="200" w:lineRule="exact"/>
              <w:ind w:left="2" w:right="13"/>
              <w:jc w:val="center"/>
              <w:rPr>
                <w:sz w:val="20"/>
              </w:rPr>
            </w:pPr>
            <w:r>
              <w:rPr>
                <w:spacing w:val="-5"/>
                <w:sz w:val="20"/>
              </w:rPr>
              <w:t>40</w:t>
            </w:r>
          </w:p>
        </w:tc>
        <w:tc>
          <w:tcPr>
            <w:tcW w:w="770" w:type="dxa"/>
          </w:tcPr>
          <w:p>
            <w:pPr>
              <w:pStyle w:val="TableParagraph"/>
              <w:spacing w:line="200" w:lineRule="exact"/>
              <w:ind w:left="45" w:right="3"/>
              <w:jc w:val="center"/>
              <w:rPr>
                <w:sz w:val="20"/>
              </w:rPr>
            </w:pPr>
            <w:r>
              <w:rPr>
                <w:spacing w:val="-4"/>
                <w:sz w:val="20"/>
              </w:rPr>
              <w:t>17.0</w:t>
            </w:r>
          </w:p>
        </w:tc>
        <w:tc>
          <w:tcPr>
            <w:tcW w:w="691" w:type="dxa"/>
          </w:tcPr>
          <w:p>
            <w:pPr>
              <w:pStyle w:val="TableParagraph"/>
              <w:spacing w:line="200" w:lineRule="exact"/>
              <w:ind w:left="22" w:right="11"/>
              <w:jc w:val="center"/>
              <w:rPr>
                <w:sz w:val="20"/>
              </w:rPr>
            </w:pPr>
            <w:r>
              <w:rPr>
                <w:spacing w:val="-5"/>
                <w:sz w:val="20"/>
              </w:rPr>
              <w:t>235</w:t>
            </w:r>
          </w:p>
        </w:tc>
        <w:tc>
          <w:tcPr>
            <w:tcW w:w="738" w:type="dxa"/>
            <w:tcBorders>
              <w:right w:val="single" w:sz="4" w:space="0" w:color="000000"/>
            </w:tcBorders>
          </w:tcPr>
          <w:p>
            <w:pPr>
              <w:pStyle w:val="TableParagraph"/>
              <w:spacing w:line="200" w:lineRule="exact"/>
              <w:ind w:left="53" w:right="16"/>
              <w:jc w:val="center"/>
              <w:rPr>
                <w:sz w:val="20"/>
              </w:rPr>
            </w:pPr>
            <w:r>
              <w:rPr>
                <w:spacing w:val="-4"/>
                <w:sz w:val="20"/>
              </w:rPr>
              <w:t>50.8</w:t>
            </w:r>
          </w:p>
        </w:tc>
      </w:tr>
      <w:tr>
        <w:trPr>
          <w:trHeight w:val="220" w:hRule="atLeast"/>
        </w:trPr>
        <w:tc>
          <w:tcPr>
            <w:tcW w:w="3776" w:type="dxa"/>
            <w:vMerge/>
            <w:tcBorders>
              <w:top w:val="nil"/>
              <w:left w:val="single" w:sz="4" w:space="0" w:color="000000"/>
              <w:bottom w:val="single" w:sz="4" w:space="0" w:color="000000"/>
            </w:tcBorders>
          </w:tcPr>
          <w:p>
            <w:pPr>
              <w:rPr>
                <w:sz w:val="2"/>
                <w:szCs w:val="2"/>
              </w:rPr>
            </w:pPr>
          </w:p>
        </w:tc>
        <w:tc>
          <w:tcPr>
            <w:tcW w:w="2348" w:type="dxa"/>
          </w:tcPr>
          <w:p>
            <w:pPr>
              <w:pStyle w:val="TableParagraph"/>
              <w:spacing w:line="200" w:lineRule="exact"/>
              <w:ind w:left="121"/>
              <w:rPr>
                <w:sz w:val="20"/>
              </w:rPr>
            </w:pPr>
            <w:r>
              <w:rPr>
                <w:sz w:val="20"/>
              </w:rPr>
              <w:t>Service</w:t>
            </w:r>
            <w:r>
              <w:rPr>
                <w:spacing w:val="-9"/>
                <w:sz w:val="20"/>
              </w:rPr>
              <w:t> </w:t>
            </w:r>
            <w:r>
              <w:rPr>
                <w:spacing w:val="-2"/>
                <w:sz w:val="20"/>
              </w:rPr>
              <w:t>Staff</w:t>
            </w:r>
          </w:p>
        </w:tc>
        <w:tc>
          <w:tcPr>
            <w:tcW w:w="675" w:type="dxa"/>
          </w:tcPr>
          <w:p>
            <w:pPr>
              <w:pStyle w:val="TableParagraph"/>
              <w:spacing w:line="200" w:lineRule="exact"/>
              <w:ind w:left="53" w:right="5"/>
              <w:jc w:val="center"/>
              <w:rPr>
                <w:sz w:val="20"/>
              </w:rPr>
            </w:pPr>
            <w:r>
              <w:rPr>
                <w:spacing w:val="-5"/>
                <w:sz w:val="20"/>
              </w:rPr>
              <w:t>16</w:t>
            </w:r>
          </w:p>
        </w:tc>
        <w:tc>
          <w:tcPr>
            <w:tcW w:w="758" w:type="dxa"/>
          </w:tcPr>
          <w:p>
            <w:pPr>
              <w:pStyle w:val="TableParagraph"/>
              <w:spacing w:line="200" w:lineRule="exact"/>
              <w:ind w:left="60" w:right="5"/>
              <w:jc w:val="center"/>
              <w:rPr>
                <w:sz w:val="20"/>
              </w:rPr>
            </w:pPr>
            <w:r>
              <w:rPr>
                <w:spacing w:val="-5"/>
                <w:sz w:val="20"/>
              </w:rPr>
              <w:t>7.9</w:t>
            </w:r>
          </w:p>
        </w:tc>
        <w:tc>
          <w:tcPr>
            <w:tcW w:w="518" w:type="dxa"/>
          </w:tcPr>
          <w:p>
            <w:pPr>
              <w:pStyle w:val="TableParagraph"/>
              <w:spacing w:line="200" w:lineRule="exact"/>
              <w:ind w:left="43" w:right="6"/>
              <w:jc w:val="center"/>
              <w:rPr>
                <w:sz w:val="20"/>
              </w:rPr>
            </w:pPr>
            <w:r>
              <w:rPr>
                <w:spacing w:val="-5"/>
                <w:sz w:val="20"/>
              </w:rPr>
              <w:t>11</w:t>
            </w:r>
          </w:p>
        </w:tc>
        <w:tc>
          <w:tcPr>
            <w:tcW w:w="787" w:type="dxa"/>
          </w:tcPr>
          <w:p>
            <w:pPr>
              <w:pStyle w:val="TableParagraph"/>
              <w:spacing w:line="200" w:lineRule="exact"/>
              <w:ind w:left="39" w:right="39"/>
              <w:jc w:val="center"/>
              <w:rPr>
                <w:sz w:val="20"/>
              </w:rPr>
            </w:pPr>
            <w:r>
              <w:rPr>
                <w:spacing w:val="-5"/>
                <w:sz w:val="20"/>
              </w:rPr>
              <w:t>5.4</w:t>
            </w:r>
          </w:p>
        </w:tc>
        <w:tc>
          <w:tcPr>
            <w:tcW w:w="715" w:type="dxa"/>
          </w:tcPr>
          <w:p>
            <w:pPr>
              <w:pStyle w:val="TableParagraph"/>
              <w:spacing w:line="200" w:lineRule="exact"/>
              <w:ind w:left="39" w:right="99"/>
              <w:jc w:val="center"/>
              <w:rPr>
                <w:sz w:val="20"/>
              </w:rPr>
            </w:pPr>
            <w:r>
              <w:rPr>
                <w:spacing w:val="-5"/>
                <w:sz w:val="20"/>
              </w:rPr>
              <w:t>67</w:t>
            </w:r>
          </w:p>
        </w:tc>
        <w:tc>
          <w:tcPr>
            <w:tcW w:w="847" w:type="dxa"/>
          </w:tcPr>
          <w:p>
            <w:pPr>
              <w:pStyle w:val="TableParagraph"/>
              <w:spacing w:line="200" w:lineRule="exact"/>
              <w:ind w:left="27" w:right="6"/>
              <w:jc w:val="center"/>
              <w:rPr>
                <w:sz w:val="20"/>
              </w:rPr>
            </w:pPr>
            <w:r>
              <w:rPr>
                <w:spacing w:val="-4"/>
                <w:sz w:val="20"/>
              </w:rPr>
              <w:t>33.0</w:t>
            </w:r>
          </w:p>
        </w:tc>
        <w:tc>
          <w:tcPr>
            <w:tcW w:w="710" w:type="dxa"/>
          </w:tcPr>
          <w:p>
            <w:pPr>
              <w:pStyle w:val="TableParagraph"/>
              <w:spacing w:line="200" w:lineRule="exact"/>
              <w:ind w:left="98" w:right="6"/>
              <w:jc w:val="center"/>
              <w:rPr>
                <w:sz w:val="20"/>
              </w:rPr>
            </w:pPr>
            <w:r>
              <w:rPr>
                <w:spacing w:val="-5"/>
                <w:sz w:val="20"/>
              </w:rPr>
              <w:t>82</w:t>
            </w:r>
          </w:p>
        </w:tc>
        <w:tc>
          <w:tcPr>
            <w:tcW w:w="828" w:type="dxa"/>
          </w:tcPr>
          <w:p>
            <w:pPr>
              <w:pStyle w:val="TableParagraph"/>
              <w:spacing w:line="200" w:lineRule="exact"/>
              <w:ind w:left="4" w:right="5"/>
              <w:jc w:val="center"/>
              <w:rPr>
                <w:sz w:val="20"/>
              </w:rPr>
            </w:pPr>
            <w:r>
              <w:rPr>
                <w:spacing w:val="-4"/>
                <w:sz w:val="20"/>
              </w:rPr>
              <w:t>40.4</w:t>
            </w:r>
          </w:p>
        </w:tc>
        <w:tc>
          <w:tcPr>
            <w:tcW w:w="600" w:type="dxa"/>
          </w:tcPr>
          <w:p>
            <w:pPr>
              <w:pStyle w:val="TableParagraph"/>
              <w:spacing w:line="200" w:lineRule="exact"/>
              <w:ind w:left="2" w:right="13"/>
              <w:jc w:val="center"/>
              <w:rPr>
                <w:sz w:val="20"/>
              </w:rPr>
            </w:pPr>
            <w:r>
              <w:rPr>
                <w:spacing w:val="-5"/>
                <w:sz w:val="20"/>
              </w:rPr>
              <w:t>27</w:t>
            </w:r>
          </w:p>
        </w:tc>
        <w:tc>
          <w:tcPr>
            <w:tcW w:w="770" w:type="dxa"/>
          </w:tcPr>
          <w:p>
            <w:pPr>
              <w:pStyle w:val="TableParagraph"/>
              <w:spacing w:line="200" w:lineRule="exact"/>
              <w:ind w:left="45" w:right="3"/>
              <w:jc w:val="center"/>
              <w:rPr>
                <w:sz w:val="20"/>
              </w:rPr>
            </w:pPr>
            <w:r>
              <w:rPr>
                <w:spacing w:val="-4"/>
                <w:sz w:val="20"/>
              </w:rPr>
              <w:t>13.3</w:t>
            </w:r>
          </w:p>
        </w:tc>
        <w:tc>
          <w:tcPr>
            <w:tcW w:w="691" w:type="dxa"/>
          </w:tcPr>
          <w:p>
            <w:pPr>
              <w:pStyle w:val="TableParagraph"/>
              <w:spacing w:line="200" w:lineRule="exact"/>
              <w:ind w:left="22" w:right="11"/>
              <w:jc w:val="center"/>
              <w:rPr>
                <w:sz w:val="20"/>
              </w:rPr>
            </w:pPr>
            <w:r>
              <w:rPr>
                <w:spacing w:val="-5"/>
                <w:sz w:val="20"/>
              </w:rPr>
              <w:t>203</w:t>
            </w:r>
          </w:p>
        </w:tc>
        <w:tc>
          <w:tcPr>
            <w:tcW w:w="738" w:type="dxa"/>
            <w:tcBorders>
              <w:right w:val="single" w:sz="4" w:space="0" w:color="000000"/>
            </w:tcBorders>
          </w:tcPr>
          <w:p>
            <w:pPr>
              <w:pStyle w:val="TableParagraph"/>
              <w:spacing w:line="200" w:lineRule="exact"/>
              <w:ind w:left="53" w:right="16"/>
              <w:jc w:val="center"/>
              <w:rPr>
                <w:sz w:val="20"/>
              </w:rPr>
            </w:pPr>
            <w:r>
              <w:rPr>
                <w:spacing w:val="-4"/>
                <w:sz w:val="20"/>
              </w:rPr>
              <w:t>43.8</w:t>
            </w:r>
          </w:p>
        </w:tc>
      </w:tr>
      <w:tr>
        <w:trPr>
          <w:trHeight w:val="314" w:hRule="atLeast"/>
        </w:trPr>
        <w:tc>
          <w:tcPr>
            <w:tcW w:w="3776" w:type="dxa"/>
            <w:vMerge/>
            <w:tcBorders>
              <w:top w:val="nil"/>
              <w:left w:val="single" w:sz="4" w:space="0" w:color="000000"/>
              <w:bottom w:val="single" w:sz="4" w:space="0" w:color="000000"/>
            </w:tcBorders>
          </w:tcPr>
          <w:p>
            <w:pPr>
              <w:rPr>
                <w:sz w:val="2"/>
                <w:szCs w:val="2"/>
              </w:rPr>
            </w:pPr>
          </w:p>
        </w:tc>
        <w:tc>
          <w:tcPr>
            <w:tcW w:w="2348" w:type="dxa"/>
            <w:tcBorders>
              <w:bottom w:val="single" w:sz="4" w:space="0" w:color="000000"/>
            </w:tcBorders>
          </w:tcPr>
          <w:p>
            <w:pPr>
              <w:pStyle w:val="TableParagraph"/>
              <w:spacing w:line="222" w:lineRule="exact"/>
              <w:ind w:left="121"/>
              <w:rPr>
                <w:sz w:val="20"/>
              </w:rPr>
            </w:pPr>
            <w:r>
              <w:rPr>
                <w:sz w:val="20"/>
              </w:rPr>
              <w:t>Top</w:t>
            </w:r>
            <w:r>
              <w:rPr>
                <w:spacing w:val="-1"/>
                <w:sz w:val="20"/>
              </w:rPr>
              <w:t> </w:t>
            </w:r>
            <w:r>
              <w:rPr>
                <w:spacing w:val="-2"/>
                <w:sz w:val="20"/>
              </w:rPr>
              <w:t>Management</w:t>
            </w:r>
          </w:p>
        </w:tc>
        <w:tc>
          <w:tcPr>
            <w:tcW w:w="675" w:type="dxa"/>
            <w:tcBorders>
              <w:bottom w:val="single" w:sz="4" w:space="0" w:color="000000"/>
            </w:tcBorders>
          </w:tcPr>
          <w:p>
            <w:pPr>
              <w:pStyle w:val="TableParagraph"/>
              <w:spacing w:line="222" w:lineRule="exact"/>
              <w:ind w:left="53"/>
              <w:jc w:val="center"/>
              <w:rPr>
                <w:sz w:val="20"/>
              </w:rPr>
            </w:pPr>
            <w:r>
              <w:rPr>
                <w:spacing w:val="-10"/>
                <w:sz w:val="20"/>
              </w:rPr>
              <w:t>1</w:t>
            </w:r>
          </w:p>
        </w:tc>
        <w:tc>
          <w:tcPr>
            <w:tcW w:w="758" w:type="dxa"/>
            <w:tcBorders>
              <w:bottom w:val="single" w:sz="4" w:space="0" w:color="000000"/>
            </w:tcBorders>
          </w:tcPr>
          <w:p>
            <w:pPr>
              <w:pStyle w:val="TableParagraph"/>
              <w:spacing w:line="222" w:lineRule="exact"/>
              <w:ind w:left="60" w:right="5"/>
              <w:jc w:val="center"/>
              <w:rPr>
                <w:sz w:val="20"/>
              </w:rPr>
            </w:pPr>
            <w:r>
              <w:rPr>
                <w:spacing w:val="-5"/>
                <w:sz w:val="20"/>
              </w:rPr>
              <w:t>4.3</w:t>
            </w:r>
          </w:p>
        </w:tc>
        <w:tc>
          <w:tcPr>
            <w:tcW w:w="518" w:type="dxa"/>
            <w:tcBorders>
              <w:bottom w:val="single" w:sz="4" w:space="0" w:color="000000"/>
            </w:tcBorders>
          </w:tcPr>
          <w:p>
            <w:pPr>
              <w:pStyle w:val="TableParagraph"/>
              <w:spacing w:line="222" w:lineRule="exact"/>
              <w:ind w:left="43" w:right="2"/>
              <w:jc w:val="center"/>
              <w:rPr>
                <w:sz w:val="20"/>
              </w:rPr>
            </w:pPr>
            <w:r>
              <w:rPr>
                <w:spacing w:val="-10"/>
                <w:sz w:val="20"/>
              </w:rPr>
              <w:t>3</w:t>
            </w:r>
          </w:p>
        </w:tc>
        <w:tc>
          <w:tcPr>
            <w:tcW w:w="787" w:type="dxa"/>
            <w:tcBorders>
              <w:bottom w:val="single" w:sz="4" w:space="0" w:color="000000"/>
            </w:tcBorders>
          </w:tcPr>
          <w:p>
            <w:pPr>
              <w:pStyle w:val="TableParagraph"/>
              <w:spacing w:line="222" w:lineRule="exact"/>
              <w:ind w:left="39" w:right="35"/>
              <w:jc w:val="center"/>
              <w:rPr>
                <w:sz w:val="20"/>
              </w:rPr>
            </w:pPr>
            <w:r>
              <w:rPr>
                <w:spacing w:val="-4"/>
                <w:sz w:val="20"/>
              </w:rPr>
              <w:t>13.0</w:t>
            </w:r>
          </w:p>
        </w:tc>
        <w:tc>
          <w:tcPr>
            <w:tcW w:w="715" w:type="dxa"/>
            <w:tcBorders>
              <w:bottom w:val="single" w:sz="4" w:space="0" w:color="000000"/>
            </w:tcBorders>
          </w:tcPr>
          <w:p>
            <w:pPr>
              <w:pStyle w:val="TableParagraph"/>
              <w:spacing w:line="222" w:lineRule="exact"/>
              <w:ind w:left="39" w:right="94"/>
              <w:jc w:val="center"/>
              <w:rPr>
                <w:sz w:val="20"/>
              </w:rPr>
            </w:pPr>
            <w:r>
              <w:rPr>
                <w:spacing w:val="-10"/>
                <w:sz w:val="20"/>
              </w:rPr>
              <w:t>6</w:t>
            </w:r>
          </w:p>
        </w:tc>
        <w:tc>
          <w:tcPr>
            <w:tcW w:w="847" w:type="dxa"/>
            <w:tcBorders>
              <w:bottom w:val="single" w:sz="4" w:space="0" w:color="000000"/>
            </w:tcBorders>
          </w:tcPr>
          <w:p>
            <w:pPr>
              <w:pStyle w:val="TableParagraph"/>
              <w:spacing w:line="222" w:lineRule="exact"/>
              <w:ind w:left="27" w:right="6"/>
              <w:jc w:val="center"/>
              <w:rPr>
                <w:sz w:val="20"/>
              </w:rPr>
            </w:pPr>
            <w:r>
              <w:rPr>
                <w:spacing w:val="-4"/>
                <w:sz w:val="20"/>
              </w:rPr>
              <w:t>26.1</w:t>
            </w:r>
          </w:p>
        </w:tc>
        <w:tc>
          <w:tcPr>
            <w:tcW w:w="710" w:type="dxa"/>
            <w:tcBorders>
              <w:bottom w:val="single" w:sz="4" w:space="0" w:color="000000"/>
            </w:tcBorders>
          </w:tcPr>
          <w:p>
            <w:pPr>
              <w:pStyle w:val="TableParagraph"/>
              <w:spacing w:line="222" w:lineRule="exact"/>
              <w:ind w:left="98" w:right="6"/>
              <w:jc w:val="center"/>
              <w:rPr>
                <w:sz w:val="20"/>
              </w:rPr>
            </w:pPr>
            <w:r>
              <w:rPr>
                <w:spacing w:val="-5"/>
                <w:sz w:val="20"/>
              </w:rPr>
              <w:t>12</w:t>
            </w:r>
          </w:p>
        </w:tc>
        <w:tc>
          <w:tcPr>
            <w:tcW w:w="828" w:type="dxa"/>
            <w:tcBorders>
              <w:bottom w:val="single" w:sz="4" w:space="0" w:color="000000"/>
            </w:tcBorders>
          </w:tcPr>
          <w:p>
            <w:pPr>
              <w:pStyle w:val="TableParagraph"/>
              <w:spacing w:line="222" w:lineRule="exact"/>
              <w:ind w:left="4" w:right="5"/>
              <w:jc w:val="center"/>
              <w:rPr>
                <w:sz w:val="20"/>
              </w:rPr>
            </w:pPr>
            <w:r>
              <w:rPr>
                <w:spacing w:val="-4"/>
                <w:sz w:val="20"/>
              </w:rPr>
              <w:t>52.2</w:t>
            </w:r>
          </w:p>
        </w:tc>
        <w:tc>
          <w:tcPr>
            <w:tcW w:w="600" w:type="dxa"/>
            <w:tcBorders>
              <w:bottom w:val="single" w:sz="4" w:space="0" w:color="000000"/>
            </w:tcBorders>
          </w:tcPr>
          <w:p>
            <w:pPr>
              <w:pStyle w:val="TableParagraph"/>
              <w:spacing w:line="222" w:lineRule="exact"/>
              <w:ind w:left="7" w:right="13"/>
              <w:jc w:val="center"/>
              <w:rPr>
                <w:sz w:val="20"/>
              </w:rPr>
            </w:pPr>
            <w:r>
              <w:rPr>
                <w:spacing w:val="-10"/>
                <w:sz w:val="20"/>
              </w:rPr>
              <w:t>1</w:t>
            </w:r>
          </w:p>
        </w:tc>
        <w:tc>
          <w:tcPr>
            <w:tcW w:w="770" w:type="dxa"/>
            <w:tcBorders>
              <w:bottom w:val="single" w:sz="4" w:space="0" w:color="000000"/>
            </w:tcBorders>
          </w:tcPr>
          <w:p>
            <w:pPr>
              <w:pStyle w:val="TableParagraph"/>
              <w:spacing w:line="222" w:lineRule="exact"/>
              <w:ind w:left="42" w:right="5"/>
              <w:jc w:val="center"/>
              <w:rPr>
                <w:sz w:val="20"/>
              </w:rPr>
            </w:pPr>
            <w:r>
              <w:rPr>
                <w:spacing w:val="-5"/>
                <w:sz w:val="20"/>
              </w:rPr>
              <w:t>4.3</w:t>
            </w:r>
          </w:p>
        </w:tc>
        <w:tc>
          <w:tcPr>
            <w:tcW w:w="691" w:type="dxa"/>
            <w:tcBorders>
              <w:bottom w:val="single" w:sz="4" w:space="0" w:color="000000"/>
            </w:tcBorders>
          </w:tcPr>
          <w:p>
            <w:pPr>
              <w:pStyle w:val="TableParagraph"/>
              <w:spacing w:line="222" w:lineRule="exact"/>
              <w:ind w:left="22" w:right="6"/>
              <w:jc w:val="center"/>
              <w:rPr>
                <w:sz w:val="20"/>
              </w:rPr>
            </w:pPr>
            <w:r>
              <w:rPr>
                <w:spacing w:val="-5"/>
                <w:sz w:val="20"/>
              </w:rPr>
              <w:t>23</w:t>
            </w:r>
          </w:p>
        </w:tc>
        <w:tc>
          <w:tcPr>
            <w:tcW w:w="738" w:type="dxa"/>
            <w:tcBorders>
              <w:bottom w:val="single" w:sz="4" w:space="0" w:color="000000"/>
              <w:right w:val="single" w:sz="4" w:space="0" w:color="000000"/>
            </w:tcBorders>
          </w:tcPr>
          <w:p>
            <w:pPr>
              <w:pStyle w:val="TableParagraph"/>
              <w:spacing w:line="222" w:lineRule="exact"/>
              <w:ind w:left="53" w:right="21"/>
              <w:jc w:val="center"/>
              <w:rPr>
                <w:sz w:val="20"/>
              </w:rPr>
            </w:pPr>
            <w:r>
              <w:rPr>
                <w:spacing w:val="-5"/>
                <w:sz w:val="20"/>
              </w:rPr>
              <w:t>5.0</w:t>
            </w:r>
          </w:p>
        </w:tc>
      </w:tr>
    </w:tbl>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spacing w:before="139"/>
        <w:rPr>
          <w:rFonts w:ascii="Arial"/>
          <w:b/>
          <w:sz w:val="28"/>
        </w:rPr>
      </w:pPr>
    </w:p>
    <w:p>
      <w:pPr>
        <w:pStyle w:val="BodyText"/>
        <w:ind w:left="3" w:right="433"/>
        <w:jc w:val="center"/>
        <w:rPr>
          <w:rFonts w:ascii="Times New Roman"/>
        </w:rPr>
      </w:pPr>
      <w:r>
        <w:rPr>
          <w:rFonts w:ascii="Times New Roman"/>
          <w:spacing w:val="-5"/>
        </w:rPr>
        <w:t>128</w:t>
      </w:r>
    </w:p>
    <w:p>
      <w:pPr>
        <w:spacing w:after="0"/>
        <w:jc w:val="center"/>
        <w:rPr>
          <w:rFonts w:ascii="Times New Roman"/>
        </w:rPr>
        <w:sectPr>
          <w:headerReference w:type="default" r:id="rId297"/>
          <w:footerReference w:type="default" r:id="rId298"/>
          <w:pgSz w:w="15840" w:h="12240" w:orient="landscape"/>
          <w:pgMar w:header="0" w:footer="0" w:top="640" w:bottom="280" w:left="500" w:right="360"/>
        </w:sectPr>
      </w:pPr>
    </w:p>
    <w:p>
      <w:pPr>
        <w:pStyle w:val="BodyText"/>
        <w:spacing w:line="480" w:lineRule="auto" w:before="82"/>
        <w:ind w:left="820" w:right="115" w:firstLine="720"/>
        <w:jc w:val="both"/>
      </w:pPr>
      <w:r>
        <w:rPr/>
        <w:t>A cursory glance at the opinions of the three groups of respondents in</w:t>
      </w:r>
      <w:r>
        <w:rPr>
          <w:spacing w:val="80"/>
        </w:rPr>
        <w:t> </w:t>
      </w:r>
      <w:r>
        <w:rPr/>
        <w:t>item 28 revealed a divergent stance in the opinions of the groups. While 59.6 percent of students agreed that conducive environment for teaching and</w:t>
      </w:r>
      <w:r>
        <w:rPr>
          <w:spacing w:val="-1"/>
        </w:rPr>
        <w:t> </w:t>
      </w:r>
      <w:r>
        <w:rPr/>
        <w:t>learning existed and were adequately provided for students’ convenience, 40.9 percent of service staff and 56.5 percent of top management staff did not share the opinion. To them the facilities were inadequate. In the final analysis, the opinions of the three groups seemed to lean to positive conclusion that there was adequate provision of these facilities to students in the Universities under research.</w:t>
      </w:r>
    </w:p>
    <w:p>
      <w:pPr>
        <w:pStyle w:val="BodyText"/>
        <w:spacing w:line="480" w:lineRule="auto"/>
        <w:ind w:left="820" w:right="116" w:firstLine="720"/>
        <w:jc w:val="both"/>
      </w:pPr>
      <w:r>
        <w:rPr/>
        <w:t>The high consensus amongst the three groups of respondents on the inadequacy of the tone or institutional climate in these Universities was glaringly depicted by 41.7 percent of students, 47.3 percent of service staff and 78.3 percent</w:t>
      </w:r>
      <w:r>
        <w:rPr>
          <w:spacing w:val="-2"/>
        </w:rPr>
        <w:t> </w:t>
      </w:r>
      <w:r>
        <w:rPr/>
        <w:t>of</w:t>
      </w:r>
      <w:r>
        <w:rPr>
          <w:spacing w:val="-2"/>
        </w:rPr>
        <w:t> </w:t>
      </w:r>
      <w:r>
        <w:rPr/>
        <w:t>top</w:t>
      </w:r>
      <w:r>
        <w:rPr>
          <w:spacing w:val="-1"/>
        </w:rPr>
        <w:t> </w:t>
      </w:r>
      <w:r>
        <w:rPr/>
        <w:t>management</w:t>
      </w:r>
      <w:r>
        <w:rPr>
          <w:spacing w:val="-2"/>
        </w:rPr>
        <w:t> </w:t>
      </w:r>
      <w:r>
        <w:rPr/>
        <w:t>staff.</w:t>
      </w:r>
      <w:r>
        <w:rPr>
          <w:spacing w:val="-2"/>
        </w:rPr>
        <w:t> </w:t>
      </w:r>
      <w:r>
        <w:rPr/>
        <w:t>Although</w:t>
      </w:r>
      <w:r>
        <w:rPr>
          <w:spacing w:val="-1"/>
        </w:rPr>
        <w:t> </w:t>
      </w:r>
      <w:r>
        <w:rPr/>
        <w:t>43.8</w:t>
      </w:r>
      <w:r>
        <w:rPr>
          <w:spacing w:val="-1"/>
        </w:rPr>
        <w:t> </w:t>
      </w:r>
      <w:r>
        <w:rPr/>
        <w:t>percent</w:t>
      </w:r>
      <w:r>
        <w:rPr>
          <w:spacing w:val="-2"/>
        </w:rPr>
        <w:t> </w:t>
      </w:r>
      <w:r>
        <w:rPr/>
        <w:t>of</w:t>
      </w:r>
      <w:r>
        <w:rPr>
          <w:spacing w:val="-2"/>
        </w:rPr>
        <w:t> </w:t>
      </w:r>
      <w:r>
        <w:rPr/>
        <w:t>students</w:t>
      </w:r>
      <w:r>
        <w:rPr>
          <w:spacing w:val="-2"/>
        </w:rPr>
        <w:t> </w:t>
      </w:r>
      <w:r>
        <w:rPr/>
        <w:t>opined</w:t>
      </w:r>
      <w:r>
        <w:rPr>
          <w:spacing w:val="-1"/>
        </w:rPr>
        <w:t> </w:t>
      </w:r>
      <w:r>
        <w:rPr/>
        <w:t>that</w:t>
      </w:r>
      <w:r>
        <w:rPr>
          <w:spacing w:val="-6"/>
        </w:rPr>
        <w:t> </w:t>
      </w:r>
      <w:r>
        <w:rPr/>
        <w:t>it was adequate. This opinion was overshadowed by the majority opinion on inadequacy of the facilities.</w:t>
      </w:r>
    </w:p>
    <w:p>
      <w:pPr>
        <w:pStyle w:val="BodyText"/>
        <w:spacing w:line="480" w:lineRule="auto" w:before="1"/>
        <w:ind w:left="820" w:right="116" w:firstLine="720"/>
        <w:jc w:val="both"/>
      </w:pPr>
      <w:r>
        <w:rPr/>
        <w:t>As</w:t>
      </w:r>
      <w:r>
        <w:rPr>
          <w:spacing w:val="-3"/>
        </w:rPr>
        <w:t> </w:t>
      </w:r>
      <w:r>
        <w:rPr/>
        <w:t>to whether</w:t>
      </w:r>
      <w:r>
        <w:rPr>
          <w:spacing w:val="-1"/>
        </w:rPr>
        <w:t> </w:t>
      </w:r>
      <w:r>
        <w:rPr/>
        <w:t>or</w:t>
      </w:r>
      <w:r>
        <w:rPr>
          <w:spacing w:val="-1"/>
        </w:rPr>
        <w:t> </w:t>
      </w:r>
      <w:r>
        <w:rPr/>
        <w:t>not</w:t>
      </w:r>
      <w:r>
        <w:rPr>
          <w:spacing w:val="-3"/>
        </w:rPr>
        <w:t> </w:t>
      </w:r>
      <w:r>
        <w:rPr/>
        <w:t>the</w:t>
      </w:r>
      <w:r>
        <w:rPr>
          <w:spacing w:val="-2"/>
        </w:rPr>
        <w:t> </w:t>
      </w:r>
      <w:r>
        <w:rPr/>
        <w:t>student-teacher</w:t>
      </w:r>
      <w:r>
        <w:rPr>
          <w:spacing w:val="-1"/>
        </w:rPr>
        <w:t> </w:t>
      </w:r>
      <w:r>
        <w:rPr/>
        <w:t>relationship</w:t>
      </w:r>
      <w:r>
        <w:rPr>
          <w:spacing w:val="-2"/>
        </w:rPr>
        <w:t> </w:t>
      </w:r>
      <w:r>
        <w:rPr/>
        <w:t>adequately</w:t>
      </w:r>
      <w:r>
        <w:rPr>
          <w:spacing w:val="-3"/>
        </w:rPr>
        <w:t> </w:t>
      </w:r>
      <w:r>
        <w:rPr/>
        <w:t>existed</w:t>
      </w:r>
      <w:r>
        <w:rPr>
          <w:spacing w:val="-6"/>
        </w:rPr>
        <w:t> </w:t>
      </w:r>
      <w:r>
        <w:rPr/>
        <w:t>in the universities in the three geopolitical zones in the Northern part of Nigeria as raised in item</w:t>
      </w:r>
      <w:r>
        <w:rPr>
          <w:spacing w:val="-4"/>
        </w:rPr>
        <w:t> </w:t>
      </w:r>
      <w:r>
        <w:rPr/>
        <w:t>30, 56.1 percent of students, 37.4 percent of service staff and 34.8 percent of top management agreed that it existed. However, 33.6 percent, 43.8 percent and 47.8 percent of students, service staff and top management, respectively shared negative view. However, negligible percent of the three groups expressed its complete absence.</w:t>
      </w:r>
    </w:p>
    <w:p>
      <w:pPr>
        <w:pStyle w:val="BodyText"/>
        <w:spacing w:line="480" w:lineRule="auto"/>
        <w:ind w:left="820" w:right="114" w:firstLine="720"/>
        <w:jc w:val="both"/>
      </w:pPr>
      <w:r>
        <w:rPr/>
        <w:t>Item 31 which attempted to find the opinions of the three groups of respondents on the presence of the students-student relationship in these Universities,</w:t>
      </w:r>
      <w:r>
        <w:rPr>
          <w:spacing w:val="41"/>
        </w:rPr>
        <w:t> </w:t>
      </w:r>
      <w:r>
        <w:rPr/>
        <w:t>the</w:t>
      </w:r>
      <w:r>
        <w:rPr>
          <w:spacing w:val="37"/>
        </w:rPr>
        <w:t> </w:t>
      </w:r>
      <w:r>
        <w:rPr/>
        <w:t>opinions</w:t>
      </w:r>
      <w:r>
        <w:rPr>
          <w:spacing w:val="36"/>
        </w:rPr>
        <w:t> </w:t>
      </w:r>
      <w:r>
        <w:rPr/>
        <w:t>of</w:t>
      </w:r>
      <w:r>
        <w:rPr>
          <w:spacing w:val="42"/>
        </w:rPr>
        <w:t> </w:t>
      </w:r>
      <w:r>
        <w:rPr/>
        <w:t>the</w:t>
      </w:r>
      <w:r>
        <w:rPr>
          <w:spacing w:val="41"/>
        </w:rPr>
        <w:t> </w:t>
      </w:r>
      <w:r>
        <w:rPr/>
        <w:t>three</w:t>
      </w:r>
      <w:r>
        <w:rPr>
          <w:spacing w:val="41"/>
        </w:rPr>
        <w:t> </w:t>
      </w:r>
      <w:r>
        <w:rPr/>
        <w:t>showed</w:t>
      </w:r>
      <w:r>
        <w:rPr>
          <w:spacing w:val="41"/>
        </w:rPr>
        <w:t> </w:t>
      </w:r>
      <w:r>
        <w:rPr/>
        <w:t>high</w:t>
      </w:r>
      <w:r>
        <w:rPr>
          <w:spacing w:val="41"/>
        </w:rPr>
        <w:t> </w:t>
      </w:r>
      <w:r>
        <w:rPr/>
        <w:t>congruity</w:t>
      </w:r>
      <w:r>
        <w:rPr>
          <w:spacing w:val="36"/>
        </w:rPr>
        <w:t> </w:t>
      </w:r>
      <w:r>
        <w:rPr/>
        <w:t>that</w:t>
      </w:r>
      <w:r>
        <w:rPr>
          <w:spacing w:val="37"/>
        </w:rPr>
        <w:t> </w:t>
      </w:r>
      <w:r>
        <w:rPr>
          <w:spacing w:val="-2"/>
        </w:rPr>
        <w:t>relationship</w:t>
      </w:r>
    </w:p>
    <w:p>
      <w:pPr>
        <w:spacing w:after="0" w:line="480" w:lineRule="auto"/>
        <w:jc w:val="both"/>
        <w:sectPr>
          <w:headerReference w:type="default" r:id="rId299"/>
          <w:footerReference w:type="default" r:id="rId300"/>
          <w:pgSz w:w="12240" w:h="15840"/>
          <w:pgMar w:header="722" w:footer="791" w:top="1340" w:bottom="980" w:left="1340" w:right="1320"/>
          <w:pgNumType w:start="129"/>
        </w:sectPr>
      </w:pPr>
    </w:p>
    <w:p>
      <w:pPr>
        <w:pStyle w:val="BodyText"/>
        <w:spacing w:line="480" w:lineRule="auto" w:before="82"/>
        <w:ind w:left="820" w:right="115"/>
        <w:jc w:val="both"/>
      </w:pPr>
      <w:r>
        <w:rPr/>
        <w:t>from student to student was not positive. This was confirmed by the high percentage opinion of students with 54.5 percent and 48.3 percent service staff and 56.5 percent of top management staff. Negligible percent of the groups expressed presence and absence accordingly. Ordinarily one would have assumed that amongst students as comrades, peers and each other’s keepers students</w:t>
      </w:r>
      <w:r>
        <w:rPr>
          <w:spacing w:val="-4"/>
        </w:rPr>
        <w:t> </w:t>
      </w:r>
      <w:r>
        <w:rPr/>
        <w:t>should</w:t>
      </w:r>
      <w:r>
        <w:rPr>
          <w:spacing w:val="-3"/>
        </w:rPr>
        <w:t> </w:t>
      </w:r>
      <w:r>
        <w:rPr/>
        <w:t>relate</w:t>
      </w:r>
      <w:r>
        <w:rPr>
          <w:spacing w:val="-3"/>
        </w:rPr>
        <w:t> </w:t>
      </w:r>
      <w:r>
        <w:rPr/>
        <w:t>very</w:t>
      </w:r>
      <w:r>
        <w:rPr>
          <w:spacing w:val="-4"/>
        </w:rPr>
        <w:t> </w:t>
      </w:r>
      <w:r>
        <w:rPr/>
        <w:t>well amongst</w:t>
      </w:r>
      <w:r>
        <w:rPr>
          <w:spacing w:val="-4"/>
        </w:rPr>
        <w:t> </w:t>
      </w:r>
      <w:r>
        <w:rPr/>
        <w:t>themselves.</w:t>
      </w:r>
      <w:r>
        <w:rPr>
          <w:spacing w:val="-4"/>
        </w:rPr>
        <w:t> </w:t>
      </w:r>
      <w:r>
        <w:rPr/>
        <w:t>The</w:t>
      </w:r>
      <w:r>
        <w:rPr>
          <w:spacing w:val="-3"/>
        </w:rPr>
        <w:t> </w:t>
      </w:r>
      <w:r>
        <w:rPr/>
        <w:t>negative</w:t>
      </w:r>
      <w:r>
        <w:rPr>
          <w:spacing w:val="-6"/>
        </w:rPr>
        <w:t> </w:t>
      </w:r>
      <w:r>
        <w:rPr/>
        <w:t>opinion</w:t>
      </w:r>
      <w:r>
        <w:rPr>
          <w:spacing w:val="-3"/>
        </w:rPr>
        <w:t> </w:t>
      </w:r>
      <w:r>
        <w:rPr/>
        <w:t>might perhaps be attributed to the diversity of students in culture, socio-economic background, psychological complexity and</w:t>
      </w:r>
      <w:r>
        <w:rPr>
          <w:spacing w:val="-1"/>
        </w:rPr>
        <w:t> </w:t>
      </w:r>
      <w:r>
        <w:rPr/>
        <w:t>intensity of work which left no time for them to relate adequately.</w:t>
      </w:r>
    </w:p>
    <w:p>
      <w:pPr>
        <w:pStyle w:val="BodyText"/>
        <w:spacing w:line="480" w:lineRule="auto"/>
        <w:ind w:left="820" w:right="119" w:firstLine="720"/>
        <w:jc w:val="both"/>
      </w:pPr>
      <w:r>
        <w:rPr/>
        <w:t>From the opinions of the three groups of respondents in item 32 which dwelt on sense of belongingness, privacy, freedom and safety of students in the Universities</w:t>
      </w:r>
      <w:r>
        <w:rPr>
          <w:spacing w:val="-7"/>
        </w:rPr>
        <w:t> </w:t>
      </w:r>
      <w:r>
        <w:rPr/>
        <w:t>under</w:t>
      </w:r>
      <w:r>
        <w:rPr>
          <w:spacing w:val="-4"/>
        </w:rPr>
        <w:t> </w:t>
      </w:r>
      <w:r>
        <w:rPr/>
        <w:t>study,</w:t>
      </w:r>
      <w:r>
        <w:rPr>
          <w:spacing w:val="-6"/>
        </w:rPr>
        <w:t> </w:t>
      </w:r>
      <w:r>
        <w:rPr/>
        <w:t>46.4</w:t>
      </w:r>
      <w:r>
        <w:rPr>
          <w:spacing w:val="-5"/>
        </w:rPr>
        <w:t> </w:t>
      </w:r>
      <w:r>
        <w:rPr/>
        <w:t>percent</w:t>
      </w:r>
      <w:r>
        <w:rPr>
          <w:spacing w:val="-6"/>
        </w:rPr>
        <w:t> </w:t>
      </w:r>
      <w:r>
        <w:rPr/>
        <w:t>of</w:t>
      </w:r>
      <w:r>
        <w:rPr>
          <w:spacing w:val="-7"/>
        </w:rPr>
        <w:t> </w:t>
      </w:r>
      <w:r>
        <w:rPr/>
        <w:t>students,</w:t>
      </w:r>
      <w:r>
        <w:rPr>
          <w:spacing w:val="-6"/>
        </w:rPr>
        <w:t> </w:t>
      </w:r>
      <w:r>
        <w:rPr/>
        <w:t>78</w:t>
      </w:r>
      <w:r>
        <w:rPr>
          <w:spacing w:val="-5"/>
        </w:rPr>
        <w:t> </w:t>
      </w:r>
      <w:r>
        <w:rPr/>
        <w:t>percent</w:t>
      </w:r>
      <w:r>
        <w:rPr>
          <w:spacing w:val="-6"/>
        </w:rPr>
        <w:t> </w:t>
      </w:r>
      <w:r>
        <w:rPr/>
        <w:t>of</w:t>
      </w:r>
      <w:r>
        <w:rPr>
          <w:spacing w:val="-6"/>
        </w:rPr>
        <w:t> </w:t>
      </w:r>
      <w:r>
        <w:rPr/>
        <w:t>service</w:t>
      </w:r>
      <w:r>
        <w:rPr>
          <w:spacing w:val="-6"/>
        </w:rPr>
        <w:t> </w:t>
      </w:r>
      <w:r>
        <w:rPr/>
        <w:t>staff</w:t>
      </w:r>
      <w:r>
        <w:rPr>
          <w:spacing w:val="-6"/>
        </w:rPr>
        <w:t> </w:t>
      </w:r>
      <w:r>
        <w:rPr>
          <w:spacing w:val="-5"/>
        </w:rPr>
        <w:t>and</w:t>
      </w:r>
    </w:p>
    <w:p>
      <w:pPr>
        <w:pStyle w:val="BodyText"/>
        <w:spacing w:line="480" w:lineRule="auto"/>
        <w:ind w:left="820" w:right="116"/>
        <w:jc w:val="both"/>
      </w:pPr>
      <w:r>
        <w:rPr/>
        <w:t>39.1 percent of top management staff shared the same opinion on the adequacy of</w:t>
      </w:r>
      <w:r>
        <w:rPr>
          <w:spacing w:val="21"/>
        </w:rPr>
        <w:t> </w:t>
      </w:r>
      <w:r>
        <w:rPr/>
        <w:t>the</w:t>
      </w:r>
      <w:r>
        <w:rPr>
          <w:spacing w:val="22"/>
        </w:rPr>
        <w:t> </w:t>
      </w:r>
      <w:r>
        <w:rPr/>
        <w:t>facilities</w:t>
      </w:r>
      <w:r>
        <w:rPr>
          <w:spacing w:val="21"/>
        </w:rPr>
        <w:t> </w:t>
      </w:r>
      <w:r>
        <w:rPr/>
        <w:t>while</w:t>
      </w:r>
      <w:r>
        <w:rPr>
          <w:spacing w:val="17"/>
        </w:rPr>
        <w:t> </w:t>
      </w:r>
      <w:r>
        <w:rPr/>
        <w:t>33.2</w:t>
      </w:r>
      <w:r>
        <w:rPr>
          <w:spacing w:val="22"/>
        </w:rPr>
        <w:t> </w:t>
      </w:r>
      <w:r>
        <w:rPr/>
        <w:t>percent</w:t>
      </w:r>
      <w:r>
        <w:rPr>
          <w:spacing w:val="17"/>
        </w:rPr>
        <w:t> </w:t>
      </w:r>
      <w:r>
        <w:rPr/>
        <w:t>of</w:t>
      </w:r>
      <w:r>
        <w:rPr>
          <w:spacing w:val="21"/>
        </w:rPr>
        <w:t> </w:t>
      </w:r>
      <w:r>
        <w:rPr/>
        <w:t>students,</w:t>
      </w:r>
      <w:r>
        <w:rPr>
          <w:spacing w:val="21"/>
        </w:rPr>
        <w:t> </w:t>
      </w:r>
      <w:r>
        <w:rPr/>
        <w:t>40.4</w:t>
      </w:r>
      <w:r>
        <w:rPr>
          <w:spacing w:val="22"/>
        </w:rPr>
        <w:t> </w:t>
      </w:r>
      <w:r>
        <w:rPr/>
        <w:t>percent</w:t>
      </w:r>
      <w:r>
        <w:rPr>
          <w:spacing w:val="21"/>
        </w:rPr>
        <w:t> </w:t>
      </w:r>
      <w:r>
        <w:rPr/>
        <w:t>of</w:t>
      </w:r>
      <w:r>
        <w:rPr>
          <w:spacing w:val="21"/>
        </w:rPr>
        <w:t> </w:t>
      </w:r>
      <w:r>
        <w:rPr/>
        <w:t>service</w:t>
      </w:r>
      <w:r>
        <w:rPr>
          <w:spacing w:val="22"/>
        </w:rPr>
        <w:t> </w:t>
      </w:r>
      <w:r>
        <w:rPr/>
        <w:t>staff</w:t>
      </w:r>
      <w:r>
        <w:rPr>
          <w:spacing w:val="21"/>
        </w:rPr>
        <w:t> </w:t>
      </w:r>
      <w:r>
        <w:rPr/>
        <w:t>and</w:t>
      </w:r>
    </w:p>
    <w:p>
      <w:pPr>
        <w:pStyle w:val="BodyText"/>
        <w:spacing w:line="480" w:lineRule="auto" w:before="1"/>
        <w:ind w:left="820" w:right="114"/>
        <w:jc w:val="both"/>
      </w:pPr>
      <w:r>
        <w:rPr/>
        <w:t>52.2 percent of top management were on the contrary. Very negligible percent of the respondents had</w:t>
      </w:r>
      <w:r>
        <w:rPr>
          <w:spacing w:val="-2"/>
        </w:rPr>
        <w:t> </w:t>
      </w:r>
      <w:r>
        <w:rPr/>
        <w:t>ignorance</w:t>
      </w:r>
      <w:r>
        <w:rPr>
          <w:spacing w:val="-2"/>
        </w:rPr>
        <w:t> </w:t>
      </w:r>
      <w:r>
        <w:rPr/>
        <w:t>of the availability of the</w:t>
      </w:r>
      <w:r>
        <w:rPr>
          <w:spacing w:val="-2"/>
        </w:rPr>
        <w:t> </w:t>
      </w:r>
      <w:r>
        <w:rPr/>
        <w:t>facilities. As there</w:t>
      </w:r>
      <w:r>
        <w:rPr>
          <w:spacing w:val="-2"/>
        </w:rPr>
        <w:t> </w:t>
      </w:r>
      <w:r>
        <w:rPr/>
        <w:t>was no marked difference in the opinions of the groups it could be concluded that some universities might have the facilities while others did not have them adequately.</w:t>
      </w:r>
    </w:p>
    <w:p>
      <w:pPr>
        <w:pStyle w:val="Heading2"/>
        <w:numPr>
          <w:ilvl w:val="1"/>
          <w:numId w:val="39"/>
        </w:numPr>
        <w:tabs>
          <w:tab w:pos="820" w:val="left" w:leader="none"/>
        </w:tabs>
        <w:spacing w:line="240" w:lineRule="auto" w:before="0" w:after="0"/>
        <w:ind w:left="820" w:right="126" w:hanging="720"/>
        <w:jc w:val="left"/>
        <w:rPr>
          <w:rFonts w:ascii="Arial MT" w:hAnsi="Arial MT"/>
          <w:b w:val="0"/>
        </w:rPr>
      </w:pPr>
      <w:r>
        <w:rPr/>
        <w:t>Impact</w:t>
      </w:r>
      <w:r>
        <w:rPr>
          <w:spacing w:val="40"/>
        </w:rPr>
        <w:t> </w:t>
      </w:r>
      <w:r>
        <w:rPr/>
        <w:t>of</w:t>
      </w:r>
      <w:r>
        <w:rPr>
          <w:spacing w:val="40"/>
        </w:rPr>
        <w:t> </w:t>
      </w:r>
      <w:r>
        <w:rPr/>
        <w:t>services</w:t>
      </w:r>
      <w:r>
        <w:rPr>
          <w:spacing w:val="40"/>
        </w:rPr>
        <w:t> </w:t>
      </w:r>
      <w:r>
        <w:rPr/>
        <w:t>on</w:t>
      </w:r>
      <w:r>
        <w:rPr>
          <w:spacing w:val="40"/>
        </w:rPr>
        <w:t> </w:t>
      </w:r>
      <w:r>
        <w:rPr/>
        <w:t>students’</w:t>
      </w:r>
      <w:r>
        <w:rPr>
          <w:spacing w:val="40"/>
        </w:rPr>
        <w:t> </w:t>
      </w:r>
      <w:r>
        <w:rPr/>
        <w:t>welfare</w:t>
      </w:r>
      <w:r>
        <w:rPr>
          <w:spacing w:val="40"/>
        </w:rPr>
        <w:t> </w:t>
      </w:r>
      <w:r>
        <w:rPr/>
        <w:t>in</w:t>
      </w:r>
      <w:r>
        <w:rPr>
          <w:spacing w:val="40"/>
        </w:rPr>
        <w:t> </w:t>
      </w:r>
      <w:r>
        <w:rPr/>
        <w:t>Universities</w:t>
      </w:r>
      <w:r>
        <w:rPr>
          <w:spacing w:val="40"/>
        </w:rPr>
        <w:t> </w:t>
      </w:r>
      <w:r>
        <w:rPr/>
        <w:t>in</w:t>
      </w:r>
      <w:r>
        <w:rPr>
          <w:spacing w:val="40"/>
        </w:rPr>
        <w:t> </w:t>
      </w:r>
      <w:r>
        <w:rPr/>
        <w:t>the three Geopolitical zones in Northern Part of Nigeria</w:t>
      </w:r>
    </w:p>
    <w:p>
      <w:pPr>
        <w:pStyle w:val="ListParagraph"/>
        <w:numPr>
          <w:ilvl w:val="2"/>
          <w:numId w:val="39"/>
        </w:numPr>
        <w:tabs>
          <w:tab w:pos="817" w:val="left" w:leader="none"/>
          <w:tab w:pos="820" w:val="left" w:leader="none"/>
        </w:tabs>
        <w:spacing w:line="240" w:lineRule="auto" w:before="317" w:after="0"/>
        <w:ind w:left="820" w:right="123" w:hanging="720"/>
        <w:jc w:val="left"/>
        <w:rPr>
          <w:sz w:val="28"/>
        </w:rPr>
      </w:pPr>
      <w:r>
        <w:rPr>
          <w:rFonts w:ascii="Arial" w:hAnsi="Arial"/>
          <w:b/>
          <w:sz w:val="28"/>
        </w:rPr>
        <w:t>Impact</w:t>
      </w:r>
      <w:r>
        <w:rPr>
          <w:rFonts w:ascii="Arial" w:hAnsi="Arial"/>
          <w:b/>
          <w:spacing w:val="40"/>
          <w:sz w:val="28"/>
        </w:rPr>
        <w:t> </w:t>
      </w:r>
      <w:r>
        <w:rPr>
          <w:rFonts w:ascii="Arial" w:hAnsi="Arial"/>
          <w:b/>
          <w:sz w:val="28"/>
        </w:rPr>
        <w:t>of</w:t>
      </w:r>
      <w:r>
        <w:rPr>
          <w:rFonts w:ascii="Arial" w:hAnsi="Arial"/>
          <w:b/>
          <w:spacing w:val="40"/>
          <w:sz w:val="28"/>
        </w:rPr>
        <w:t> </w:t>
      </w:r>
      <w:r>
        <w:rPr>
          <w:rFonts w:ascii="Arial" w:hAnsi="Arial"/>
          <w:b/>
          <w:sz w:val="28"/>
        </w:rPr>
        <w:t>social</w:t>
      </w:r>
      <w:r>
        <w:rPr>
          <w:rFonts w:ascii="Arial" w:hAnsi="Arial"/>
          <w:b/>
          <w:spacing w:val="40"/>
          <w:sz w:val="28"/>
        </w:rPr>
        <w:t> </w:t>
      </w:r>
      <w:r>
        <w:rPr>
          <w:rFonts w:ascii="Arial" w:hAnsi="Arial"/>
          <w:b/>
          <w:sz w:val="28"/>
        </w:rPr>
        <w:t>services</w:t>
      </w:r>
      <w:r>
        <w:rPr>
          <w:rFonts w:ascii="Arial" w:hAnsi="Arial"/>
          <w:b/>
          <w:spacing w:val="40"/>
          <w:sz w:val="28"/>
        </w:rPr>
        <w:t> </w:t>
      </w:r>
      <w:r>
        <w:rPr>
          <w:rFonts w:ascii="Arial" w:hAnsi="Arial"/>
          <w:b/>
          <w:sz w:val="28"/>
        </w:rPr>
        <w:t>on</w:t>
      </w:r>
      <w:r>
        <w:rPr>
          <w:rFonts w:ascii="Arial" w:hAnsi="Arial"/>
          <w:b/>
          <w:spacing w:val="40"/>
          <w:sz w:val="28"/>
        </w:rPr>
        <w:t> </w:t>
      </w:r>
      <w:r>
        <w:rPr>
          <w:rFonts w:ascii="Arial" w:hAnsi="Arial"/>
          <w:b/>
          <w:sz w:val="28"/>
        </w:rPr>
        <w:t>students’</w:t>
      </w:r>
      <w:r>
        <w:rPr>
          <w:rFonts w:ascii="Arial" w:hAnsi="Arial"/>
          <w:b/>
          <w:spacing w:val="40"/>
          <w:sz w:val="28"/>
        </w:rPr>
        <w:t> </w:t>
      </w:r>
      <w:r>
        <w:rPr>
          <w:rFonts w:ascii="Arial" w:hAnsi="Arial"/>
          <w:b/>
          <w:sz w:val="28"/>
        </w:rPr>
        <w:t>welfare</w:t>
      </w:r>
      <w:r>
        <w:rPr>
          <w:rFonts w:ascii="Arial" w:hAnsi="Arial"/>
          <w:b/>
          <w:spacing w:val="40"/>
          <w:sz w:val="28"/>
        </w:rPr>
        <w:t> </w:t>
      </w:r>
      <w:r>
        <w:rPr>
          <w:rFonts w:ascii="Arial" w:hAnsi="Arial"/>
          <w:b/>
          <w:sz w:val="28"/>
        </w:rPr>
        <w:t>services</w:t>
      </w:r>
      <w:r>
        <w:rPr>
          <w:rFonts w:ascii="Arial" w:hAnsi="Arial"/>
          <w:b/>
          <w:spacing w:val="40"/>
          <w:sz w:val="28"/>
        </w:rPr>
        <w:t> </w:t>
      </w:r>
      <w:r>
        <w:rPr>
          <w:rFonts w:ascii="Arial" w:hAnsi="Arial"/>
          <w:b/>
          <w:sz w:val="28"/>
        </w:rPr>
        <w:t>in</w:t>
      </w:r>
      <w:r>
        <w:rPr>
          <w:rFonts w:ascii="Arial" w:hAnsi="Arial"/>
          <w:b/>
          <w:spacing w:val="40"/>
          <w:sz w:val="28"/>
        </w:rPr>
        <w:t> </w:t>
      </w:r>
      <w:r>
        <w:rPr>
          <w:rFonts w:ascii="Arial" w:hAnsi="Arial"/>
          <w:b/>
          <w:sz w:val="28"/>
        </w:rPr>
        <w:t>the </w:t>
      </w:r>
      <w:r>
        <w:rPr>
          <w:rFonts w:ascii="Arial" w:hAnsi="Arial"/>
          <w:b/>
          <w:spacing w:val="-2"/>
          <w:sz w:val="28"/>
        </w:rPr>
        <w:t>Universities</w:t>
      </w:r>
    </w:p>
    <w:p>
      <w:pPr>
        <w:pStyle w:val="BodyText"/>
        <w:spacing w:line="550" w:lineRule="atLeast" w:before="7"/>
        <w:ind w:left="820" w:right="114" w:firstLine="720"/>
        <w:jc w:val="both"/>
      </w:pPr>
      <w:r>
        <w:rPr/>
        <w:t>This section presented analysis of opinions of the three categories of respondents on the impact of the provision and management of all aspects of social</w:t>
      </w:r>
      <w:r>
        <w:rPr>
          <w:spacing w:val="40"/>
        </w:rPr>
        <w:t> </w:t>
      </w:r>
      <w:r>
        <w:rPr/>
        <w:t>services</w:t>
      </w:r>
      <w:r>
        <w:rPr>
          <w:spacing w:val="40"/>
        </w:rPr>
        <w:t> </w:t>
      </w:r>
      <w:r>
        <w:rPr/>
        <w:t>to</w:t>
      </w:r>
      <w:r>
        <w:rPr>
          <w:spacing w:val="40"/>
        </w:rPr>
        <w:t> </w:t>
      </w:r>
      <w:r>
        <w:rPr/>
        <w:t>students’</w:t>
      </w:r>
      <w:r>
        <w:rPr>
          <w:spacing w:val="40"/>
        </w:rPr>
        <w:t> </w:t>
      </w:r>
      <w:r>
        <w:rPr/>
        <w:t>welfare</w:t>
      </w:r>
      <w:r>
        <w:rPr>
          <w:spacing w:val="40"/>
        </w:rPr>
        <w:t> </w:t>
      </w:r>
      <w:r>
        <w:rPr/>
        <w:t>in</w:t>
      </w:r>
      <w:r>
        <w:rPr>
          <w:spacing w:val="40"/>
        </w:rPr>
        <w:t> </w:t>
      </w:r>
      <w:r>
        <w:rPr/>
        <w:t>the</w:t>
      </w:r>
      <w:r>
        <w:rPr>
          <w:spacing w:val="40"/>
        </w:rPr>
        <w:t> </w:t>
      </w:r>
      <w:r>
        <w:rPr/>
        <w:t>Universities</w:t>
      </w:r>
      <w:r>
        <w:rPr>
          <w:spacing w:val="40"/>
        </w:rPr>
        <w:t> </w:t>
      </w:r>
      <w:r>
        <w:rPr/>
        <w:t>under</w:t>
      </w:r>
      <w:r>
        <w:rPr>
          <w:spacing w:val="40"/>
        </w:rPr>
        <w:t> </w:t>
      </w:r>
      <w:r>
        <w:rPr/>
        <w:t>study.</w:t>
      </w:r>
      <w:r>
        <w:rPr>
          <w:spacing w:val="40"/>
        </w:rPr>
        <w:t> </w:t>
      </w:r>
      <w:r>
        <w:rPr/>
        <w:t>This</w:t>
      </w:r>
      <w:r>
        <w:rPr>
          <w:spacing w:val="40"/>
        </w:rPr>
        <w:t> </w:t>
      </w:r>
      <w:r>
        <w:rPr/>
        <w:t>was</w:t>
      </w:r>
    </w:p>
    <w:p>
      <w:pPr>
        <w:spacing w:after="0" w:line="550" w:lineRule="atLeast"/>
        <w:jc w:val="both"/>
        <w:sectPr>
          <w:headerReference w:type="default" r:id="rId301"/>
          <w:footerReference w:type="default" r:id="rId302"/>
          <w:pgSz w:w="12240" w:h="15840"/>
          <w:pgMar w:header="722" w:footer="791" w:top="1340" w:bottom="980" w:left="1340" w:right="1320"/>
        </w:sectPr>
      </w:pPr>
    </w:p>
    <w:p>
      <w:pPr>
        <w:pStyle w:val="BodyText"/>
        <w:spacing w:line="480" w:lineRule="auto" w:before="82"/>
        <w:ind w:left="820" w:right="116"/>
        <w:jc w:val="both"/>
      </w:pPr>
      <w:r>
        <w:rPr/>
        <w:t>done by the use of frequency tables and simple percentages as can be seen in Tables 4.3.1.1 to 4.3.1.8.</w:t>
      </w:r>
      <w:r>
        <w:rPr>
          <w:spacing w:val="-2"/>
        </w:rPr>
        <w:t> </w:t>
      </w:r>
      <w:r>
        <w:rPr/>
        <w:t>The responses</w:t>
      </w:r>
      <w:r>
        <w:rPr>
          <w:spacing w:val="-2"/>
        </w:rPr>
        <w:t> </w:t>
      </w:r>
      <w:r>
        <w:rPr/>
        <w:t>of respondents</w:t>
      </w:r>
      <w:r>
        <w:rPr>
          <w:spacing w:val="-2"/>
        </w:rPr>
        <w:t> </w:t>
      </w:r>
      <w:r>
        <w:rPr/>
        <w:t>from</w:t>
      </w:r>
      <w:r>
        <w:rPr>
          <w:spacing w:val="-5"/>
        </w:rPr>
        <w:t> </w:t>
      </w:r>
      <w:r>
        <w:rPr/>
        <w:t>items 33 to 72 was used. The items sought the opinions of respondents on eight (8) aspects of services identified as social services. These include feeding, hostel accommodation, guidance and counseling, sports and recreation, security and communication services, transport services, religious services, banking and telecommunication services.</w:t>
      </w:r>
    </w:p>
    <w:p>
      <w:pPr>
        <w:pStyle w:val="Heading2"/>
        <w:numPr>
          <w:ilvl w:val="3"/>
          <w:numId w:val="39"/>
        </w:numPr>
        <w:tabs>
          <w:tab w:pos="1028" w:val="left" w:leader="none"/>
        </w:tabs>
        <w:spacing w:line="318" w:lineRule="exact" w:before="0" w:after="0"/>
        <w:ind w:left="1028" w:right="0" w:hanging="928"/>
        <w:jc w:val="left"/>
        <w:rPr>
          <w:rFonts w:ascii="Arial MT" w:hAnsi="Arial MT"/>
          <w:b w:val="0"/>
        </w:rPr>
      </w:pPr>
      <w:bookmarkStart w:name="_TOC_250012" w:id="56"/>
      <w:r>
        <w:rPr/>
        <w:t>Impact</w:t>
      </w:r>
      <w:r>
        <w:rPr>
          <w:spacing w:val="-5"/>
        </w:rPr>
        <w:t> </w:t>
      </w:r>
      <w:r>
        <w:rPr/>
        <w:t>of</w:t>
      </w:r>
      <w:r>
        <w:rPr>
          <w:spacing w:val="-5"/>
        </w:rPr>
        <w:t> </w:t>
      </w:r>
      <w:r>
        <w:rPr/>
        <w:t>feeding</w:t>
      </w:r>
      <w:r>
        <w:rPr>
          <w:spacing w:val="-1"/>
        </w:rPr>
        <w:t> </w:t>
      </w:r>
      <w:r>
        <w:rPr/>
        <w:t>on</w:t>
      </w:r>
      <w:r>
        <w:rPr>
          <w:spacing w:val="-6"/>
        </w:rPr>
        <w:t> </w:t>
      </w:r>
      <w:r>
        <w:rPr/>
        <w:t>students’</w:t>
      </w:r>
      <w:r>
        <w:rPr>
          <w:spacing w:val="-5"/>
        </w:rPr>
        <w:t> </w:t>
      </w:r>
      <w:bookmarkEnd w:id="56"/>
      <w:r>
        <w:rPr>
          <w:spacing w:val="-2"/>
        </w:rPr>
        <w:t>welfare</w:t>
      </w:r>
    </w:p>
    <w:p>
      <w:pPr>
        <w:pStyle w:val="BodyText"/>
        <w:spacing w:before="3"/>
        <w:rPr>
          <w:rFonts w:ascii="Arial"/>
          <w:b/>
          <w:sz w:val="28"/>
        </w:rPr>
      </w:pPr>
    </w:p>
    <w:p>
      <w:pPr>
        <w:pStyle w:val="BodyText"/>
        <w:spacing w:line="480" w:lineRule="auto"/>
        <w:ind w:left="820" w:right="114" w:firstLine="720"/>
        <w:jc w:val="both"/>
      </w:pPr>
      <w:r>
        <w:rPr/>
        <w:t>This area dealt with the responses of respondents obtained from items 33 to 37 of the questionnaire. Items 33 and 35 sought the opinions of respondents on the consequence of the removal of feeding subsidy by the Federal Government in all the Nigerian Universities including universities in the three geopolitical zones in the Northern part of Nigeria, while items 34, 36 and 37 sought the views of respondents on the introduction, management and effects of Private catering system on the students’ behaviour and academic performance. Responses of the respondents pertaining to the five items were analyzed and presented by the use of frequencies and percentages as shown in Table 4.3.1.</w:t>
      </w:r>
    </w:p>
    <w:p>
      <w:pPr>
        <w:spacing w:after="0" w:line="480" w:lineRule="auto"/>
        <w:jc w:val="both"/>
        <w:sectPr>
          <w:headerReference w:type="default" r:id="rId303"/>
          <w:footerReference w:type="default" r:id="rId304"/>
          <w:pgSz w:w="12240" w:h="15840"/>
          <w:pgMar w:header="722" w:footer="791" w:top="1340" w:bottom="980" w:left="1340" w:right="1320"/>
        </w:sectPr>
      </w:pPr>
    </w:p>
    <w:p>
      <w:pPr>
        <w:pStyle w:val="BodyText"/>
        <w:spacing w:before="72"/>
        <w:ind w:left="3" w:right="433"/>
        <w:jc w:val="center"/>
        <w:rPr>
          <w:rFonts w:ascii="Times New Roman"/>
        </w:rPr>
      </w:pPr>
      <w:r>
        <w:rPr>
          <w:rFonts w:ascii="Times New Roman"/>
          <w:spacing w:val="-5"/>
        </w:rPr>
        <w:t>132</w:t>
      </w:r>
    </w:p>
    <w:p>
      <w:pPr>
        <w:pStyle w:val="BodyText"/>
        <w:spacing w:before="121"/>
        <w:rPr>
          <w:rFonts w:ascii="Times New Roman"/>
          <w:sz w:val="28"/>
        </w:rPr>
      </w:pPr>
    </w:p>
    <w:p>
      <w:pPr>
        <w:pStyle w:val="Heading2"/>
        <w:spacing w:before="1" w:after="7"/>
        <w:ind w:left="2476" w:right="984" w:hanging="1824"/>
      </w:pPr>
      <w:r>
        <w:rPr/>
        <w:t>Table</w:t>
      </w:r>
      <w:r>
        <w:rPr>
          <w:spacing w:val="-3"/>
        </w:rPr>
        <w:t> </w:t>
      </w:r>
      <w:r>
        <w:rPr/>
        <w:t>4.3.1.1:</w:t>
      </w:r>
      <w:r>
        <w:rPr>
          <w:spacing w:val="-3"/>
        </w:rPr>
        <w:t> </w:t>
      </w:r>
      <w:r>
        <w:rPr/>
        <w:t>Opinions</w:t>
      </w:r>
      <w:r>
        <w:rPr>
          <w:spacing w:val="-3"/>
        </w:rPr>
        <w:t> </w:t>
      </w:r>
      <w:r>
        <w:rPr/>
        <w:t>of</w:t>
      </w:r>
      <w:r>
        <w:rPr>
          <w:spacing w:val="-3"/>
        </w:rPr>
        <w:t> </w:t>
      </w:r>
      <w:r>
        <w:rPr/>
        <w:t>respondents</w:t>
      </w:r>
      <w:r>
        <w:rPr>
          <w:spacing w:val="-3"/>
        </w:rPr>
        <w:t> </w:t>
      </w:r>
      <w:r>
        <w:rPr/>
        <w:t>on</w:t>
      </w:r>
      <w:r>
        <w:rPr>
          <w:spacing w:val="-4"/>
        </w:rPr>
        <w:t> </w:t>
      </w:r>
      <w:r>
        <w:rPr/>
        <w:t>the</w:t>
      </w:r>
      <w:r>
        <w:rPr>
          <w:spacing w:val="-7"/>
        </w:rPr>
        <w:t> </w:t>
      </w:r>
      <w:r>
        <w:rPr/>
        <w:t>impact</w:t>
      </w:r>
      <w:r>
        <w:rPr>
          <w:spacing w:val="-4"/>
        </w:rPr>
        <w:t> </w:t>
      </w:r>
      <w:r>
        <w:rPr/>
        <w:t>of</w:t>
      </w:r>
      <w:r>
        <w:rPr>
          <w:spacing w:val="-3"/>
        </w:rPr>
        <w:t> </w:t>
      </w:r>
      <w:r>
        <w:rPr/>
        <w:t>feeding</w:t>
      </w:r>
      <w:r>
        <w:rPr>
          <w:spacing w:val="-4"/>
        </w:rPr>
        <w:t> </w:t>
      </w:r>
      <w:r>
        <w:rPr/>
        <w:t>(social</w:t>
      </w:r>
      <w:r>
        <w:rPr>
          <w:spacing w:val="-2"/>
        </w:rPr>
        <w:t> </w:t>
      </w:r>
      <w:r>
        <w:rPr/>
        <w:t>services)</w:t>
      </w:r>
      <w:r>
        <w:rPr>
          <w:spacing w:val="-7"/>
        </w:rPr>
        <w:t> </w:t>
      </w:r>
      <w:r>
        <w:rPr/>
        <w:t>on</w:t>
      </w:r>
      <w:r>
        <w:rPr>
          <w:spacing w:val="-4"/>
        </w:rPr>
        <w:t> </w:t>
      </w:r>
      <w:r>
        <w:rPr/>
        <w:t>students’ </w:t>
      </w:r>
      <w:r>
        <w:rPr>
          <w:spacing w:val="-2"/>
        </w:rPr>
        <w:t>welfare</w:t>
      </w:r>
    </w:p>
    <w:tbl>
      <w:tblPr>
        <w:tblW w:w="0" w:type="auto"/>
        <w:jc w:val="left"/>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47"/>
        <w:gridCol w:w="1977"/>
        <w:gridCol w:w="673"/>
        <w:gridCol w:w="787"/>
        <w:gridCol w:w="521"/>
        <w:gridCol w:w="761"/>
        <w:gridCol w:w="687"/>
        <w:gridCol w:w="903"/>
        <w:gridCol w:w="685"/>
        <w:gridCol w:w="800"/>
        <w:gridCol w:w="627"/>
        <w:gridCol w:w="771"/>
        <w:gridCol w:w="692"/>
        <w:gridCol w:w="739"/>
      </w:tblGrid>
      <w:tr>
        <w:trPr>
          <w:trHeight w:val="278" w:hRule="atLeast"/>
        </w:trPr>
        <w:tc>
          <w:tcPr>
            <w:tcW w:w="4147" w:type="dxa"/>
            <w:vMerge w:val="restart"/>
            <w:tcBorders>
              <w:top w:val="single" w:sz="4" w:space="0" w:color="000000"/>
              <w:left w:val="single" w:sz="4" w:space="0" w:color="000000"/>
              <w:bottom w:val="single" w:sz="4" w:space="0" w:color="000000"/>
            </w:tcBorders>
          </w:tcPr>
          <w:p>
            <w:pPr>
              <w:pStyle w:val="TableParagraph"/>
              <w:rPr>
                <w:rFonts w:ascii="Arial"/>
                <w:b/>
                <w:sz w:val="20"/>
              </w:rPr>
            </w:pPr>
          </w:p>
          <w:p>
            <w:pPr>
              <w:pStyle w:val="TableParagraph"/>
              <w:spacing w:before="221"/>
              <w:rPr>
                <w:rFonts w:ascii="Arial"/>
                <w:b/>
                <w:sz w:val="20"/>
              </w:rPr>
            </w:pPr>
          </w:p>
          <w:p>
            <w:pPr>
              <w:pStyle w:val="TableParagraph"/>
              <w:tabs>
                <w:tab w:pos="830" w:val="left" w:leader="none"/>
              </w:tabs>
              <w:ind w:left="134"/>
              <w:rPr>
                <w:rFonts w:ascii="Arial"/>
                <w:b/>
                <w:sz w:val="20"/>
              </w:rPr>
            </w:pPr>
            <w:r>
              <w:rPr>
                <w:rFonts w:ascii="Arial"/>
                <w:b/>
                <w:spacing w:val="-4"/>
                <w:sz w:val="20"/>
              </w:rPr>
              <w:t>S/No</w:t>
            </w:r>
            <w:r>
              <w:rPr>
                <w:rFonts w:ascii="Arial"/>
                <w:b/>
                <w:sz w:val="20"/>
              </w:rPr>
              <w:tab/>
              <w:t>Item</w:t>
            </w:r>
            <w:r>
              <w:rPr>
                <w:rFonts w:ascii="Arial"/>
                <w:b/>
                <w:spacing w:val="-2"/>
                <w:sz w:val="20"/>
              </w:rPr>
              <w:t> Statements</w:t>
            </w:r>
          </w:p>
        </w:tc>
        <w:tc>
          <w:tcPr>
            <w:tcW w:w="1977" w:type="dxa"/>
            <w:vMerge w:val="restart"/>
            <w:tcBorders>
              <w:top w:val="single" w:sz="4" w:space="0" w:color="000000"/>
              <w:bottom w:val="single" w:sz="4" w:space="0" w:color="000000"/>
              <w:right w:val="single" w:sz="4" w:space="0" w:color="000000"/>
            </w:tcBorders>
          </w:tcPr>
          <w:p>
            <w:pPr>
              <w:pStyle w:val="TableParagraph"/>
              <w:spacing w:before="220"/>
              <w:rPr>
                <w:rFonts w:ascii="Arial"/>
                <w:b/>
                <w:sz w:val="20"/>
              </w:rPr>
            </w:pPr>
          </w:p>
          <w:p>
            <w:pPr>
              <w:pStyle w:val="TableParagraph"/>
              <w:ind w:left="110"/>
              <w:rPr>
                <w:rFonts w:ascii="Arial"/>
                <w:b/>
                <w:sz w:val="20"/>
              </w:rPr>
            </w:pPr>
            <w:r>
              <w:rPr>
                <w:rFonts w:ascii="Arial"/>
                <w:b/>
                <w:sz w:val="20"/>
              </w:rPr>
              <w:t>Category of </w:t>
            </w:r>
            <w:r>
              <w:rPr>
                <w:rFonts w:ascii="Arial"/>
                <w:b/>
                <w:spacing w:val="-2"/>
                <w:sz w:val="20"/>
              </w:rPr>
              <w:t>Respondents</w:t>
            </w:r>
          </w:p>
        </w:tc>
        <w:tc>
          <w:tcPr>
            <w:tcW w:w="8646" w:type="dxa"/>
            <w:gridSpan w:val="12"/>
            <w:tcBorders>
              <w:top w:val="single" w:sz="4" w:space="0" w:color="000000"/>
              <w:left w:val="single" w:sz="4" w:space="0" w:color="000000"/>
              <w:bottom w:val="single" w:sz="4" w:space="0" w:color="000000"/>
              <w:right w:val="single" w:sz="4" w:space="0" w:color="000000"/>
            </w:tcBorders>
          </w:tcPr>
          <w:p>
            <w:pPr>
              <w:pStyle w:val="TableParagraph"/>
              <w:spacing w:line="258" w:lineRule="exact"/>
              <w:ind w:right="1377"/>
              <w:jc w:val="center"/>
              <w:rPr>
                <w:rFonts w:ascii="Arial"/>
                <w:b/>
                <w:sz w:val="24"/>
              </w:rPr>
            </w:pPr>
            <w:r>
              <w:rPr>
                <w:rFonts w:ascii="Arial"/>
                <w:b/>
                <w:spacing w:val="-2"/>
                <w:sz w:val="24"/>
              </w:rPr>
              <w:t>Responses</w:t>
            </w:r>
          </w:p>
        </w:tc>
      </w:tr>
      <w:tr>
        <w:trPr>
          <w:trHeight w:val="460" w:hRule="atLeast"/>
        </w:trPr>
        <w:tc>
          <w:tcPr>
            <w:tcW w:w="4147" w:type="dxa"/>
            <w:vMerge/>
            <w:tcBorders>
              <w:top w:val="nil"/>
              <w:left w:val="single" w:sz="4" w:space="0" w:color="000000"/>
              <w:bottom w:val="single" w:sz="4" w:space="0" w:color="000000"/>
            </w:tcBorders>
          </w:tcPr>
          <w:p>
            <w:pPr>
              <w:rPr>
                <w:sz w:val="2"/>
                <w:szCs w:val="2"/>
              </w:rPr>
            </w:pPr>
          </w:p>
        </w:tc>
        <w:tc>
          <w:tcPr>
            <w:tcW w:w="1977" w:type="dxa"/>
            <w:vMerge/>
            <w:tcBorders>
              <w:top w:val="nil"/>
              <w:bottom w:val="single" w:sz="4" w:space="0" w:color="000000"/>
              <w:right w:val="single" w:sz="4" w:space="0" w:color="000000"/>
            </w:tcBorders>
          </w:tcPr>
          <w:p>
            <w:pPr>
              <w:rPr>
                <w:sz w:val="2"/>
                <w:szCs w:val="2"/>
              </w:rPr>
            </w:pPr>
          </w:p>
        </w:tc>
        <w:tc>
          <w:tcPr>
            <w:tcW w:w="8646" w:type="dxa"/>
            <w:gridSpan w:val="12"/>
            <w:tcBorders>
              <w:top w:val="single" w:sz="4" w:space="0" w:color="000000"/>
              <w:left w:val="single" w:sz="4" w:space="0" w:color="000000"/>
              <w:bottom w:val="single" w:sz="4" w:space="0" w:color="000000"/>
              <w:right w:val="single" w:sz="4" w:space="0" w:color="000000"/>
            </w:tcBorders>
          </w:tcPr>
          <w:p>
            <w:pPr>
              <w:pStyle w:val="TableParagraph"/>
              <w:tabs>
                <w:tab w:pos="1781" w:val="left" w:leader="none"/>
                <w:tab w:pos="3010" w:val="left" w:leader="none"/>
                <w:tab w:pos="4632" w:val="left" w:leader="none"/>
                <w:tab w:pos="6077" w:val="left" w:leader="none"/>
                <w:tab w:pos="7675" w:val="left" w:leader="none"/>
              </w:tabs>
              <w:spacing w:line="220" w:lineRule="exact"/>
              <w:ind w:left="307"/>
              <w:rPr>
                <w:rFonts w:ascii="Arial"/>
                <w:b/>
                <w:sz w:val="20"/>
              </w:rPr>
            </w:pPr>
            <w:r>
              <w:rPr>
                <w:rFonts w:ascii="Arial"/>
                <w:b/>
                <w:spacing w:val="-2"/>
                <w:sz w:val="20"/>
              </w:rPr>
              <w:t>Strongly</w:t>
            </w:r>
            <w:r>
              <w:rPr>
                <w:rFonts w:ascii="Arial"/>
                <w:b/>
                <w:sz w:val="20"/>
              </w:rPr>
              <w:tab/>
            </w:r>
            <w:r>
              <w:rPr>
                <w:rFonts w:ascii="Arial"/>
                <w:b/>
                <w:spacing w:val="-4"/>
                <w:sz w:val="20"/>
              </w:rPr>
              <w:t>Agree</w:t>
            </w:r>
            <w:r>
              <w:rPr>
                <w:rFonts w:ascii="Arial"/>
                <w:b/>
                <w:sz w:val="20"/>
              </w:rPr>
              <w:tab/>
            </w:r>
            <w:r>
              <w:rPr>
                <w:rFonts w:ascii="Arial"/>
                <w:b/>
                <w:spacing w:val="-2"/>
                <w:sz w:val="20"/>
              </w:rPr>
              <w:t>Undecided</w:t>
            </w:r>
            <w:r>
              <w:rPr>
                <w:rFonts w:ascii="Arial"/>
                <w:b/>
                <w:sz w:val="20"/>
              </w:rPr>
              <w:tab/>
            </w:r>
            <w:r>
              <w:rPr>
                <w:rFonts w:ascii="Arial"/>
                <w:b/>
                <w:spacing w:val="-2"/>
                <w:sz w:val="20"/>
              </w:rPr>
              <w:t>Disagree</w:t>
            </w:r>
            <w:r>
              <w:rPr>
                <w:rFonts w:ascii="Arial"/>
                <w:b/>
                <w:sz w:val="20"/>
              </w:rPr>
              <w:tab/>
            </w:r>
            <w:r>
              <w:rPr>
                <w:rFonts w:ascii="Arial"/>
                <w:b/>
                <w:spacing w:val="-2"/>
                <w:sz w:val="20"/>
              </w:rPr>
              <w:t>Strongly</w:t>
            </w:r>
            <w:r>
              <w:rPr>
                <w:rFonts w:ascii="Arial"/>
                <w:b/>
                <w:sz w:val="20"/>
              </w:rPr>
              <w:tab/>
            </w:r>
            <w:r>
              <w:rPr>
                <w:rFonts w:ascii="Arial"/>
                <w:b/>
                <w:spacing w:val="-2"/>
                <w:sz w:val="20"/>
              </w:rPr>
              <w:t>Total</w:t>
            </w:r>
          </w:p>
          <w:p>
            <w:pPr>
              <w:pStyle w:val="TableParagraph"/>
              <w:tabs>
                <w:tab w:pos="6062" w:val="left" w:leader="none"/>
              </w:tabs>
              <w:spacing w:line="220" w:lineRule="exact"/>
              <w:ind w:left="432"/>
              <w:rPr>
                <w:rFonts w:ascii="Arial"/>
                <w:b/>
                <w:sz w:val="20"/>
              </w:rPr>
            </w:pPr>
            <w:r>
              <w:rPr>
                <w:rFonts w:ascii="Arial"/>
                <w:b/>
                <w:spacing w:val="-2"/>
                <w:sz w:val="20"/>
              </w:rPr>
              <w:t>Agree</w:t>
            </w:r>
            <w:r>
              <w:rPr>
                <w:rFonts w:ascii="Arial"/>
                <w:b/>
                <w:sz w:val="20"/>
              </w:rPr>
              <w:tab/>
            </w:r>
            <w:r>
              <w:rPr>
                <w:rFonts w:ascii="Arial"/>
                <w:b/>
                <w:spacing w:val="-2"/>
                <w:sz w:val="20"/>
              </w:rPr>
              <w:t>Disagree</w:t>
            </w:r>
          </w:p>
        </w:tc>
      </w:tr>
      <w:tr>
        <w:trPr>
          <w:trHeight w:val="316" w:hRule="atLeast"/>
        </w:trPr>
        <w:tc>
          <w:tcPr>
            <w:tcW w:w="4147" w:type="dxa"/>
            <w:vMerge/>
            <w:tcBorders>
              <w:top w:val="nil"/>
              <w:left w:val="single" w:sz="4" w:space="0" w:color="000000"/>
              <w:bottom w:val="single" w:sz="4" w:space="0" w:color="000000"/>
            </w:tcBorders>
          </w:tcPr>
          <w:p>
            <w:pPr>
              <w:rPr>
                <w:sz w:val="2"/>
                <w:szCs w:val="2"/>
              </w:rPr>
            </w:pPr>
          </w:p>
        </w:tc>
        <w:tc>
          <w:tcPr>
            <w:tcW w:w="1977" w:type="dxa"/>
            <w:vMerge/>
            <w:tcBorders>
              <w:top w:val="nil"/>
              <w:bottom w:val="single" w:sz="4" w:space="0" w:color="000000"/>
              <w:right w:val="single" w:sz="4" w:space="0" w:color="000000"/>
            </w:tcBorders>
          </w:tcPr>
          <w:p>
            <w:pPr>
              <w:rPr>
                <w:sz w:val="2"/>
                <w:szCs w:val="2"/>
              </w:rPr>
            </w:pPr>
          </w:p>
        </w:tc>
        <w:tc>
          <w:tcPr>
            <w:tcW w:w="673" w:type="dxa"/>
            <w:tcBorders>
              <w:top w:val="single" w:sz="4" w:space="0" w:color="000000"/>
              <w:left w:val="single" w:sz="4" w:space="0" w:color="000000"/>
              <w:bottom w:val="single" w:sz="4" w:space="0" w:color="000000"/>
            </w:tcBorders>
          </w:tcPr>
          <w:p>
            <w:pPr>
              <w:pStyle w:val="TableParagraph"/>
              <w:spacing w:line="220" w:lineRule="exact"/>
              <w:ind w:left="51"/>
              <w:jc w:val="center"/>
              <w:rPr>
                <w:rFonts w:ascii="Arial"/>
                <w:b/>
                <w:sz w:val="20"/>
              </w:rPr>
            </w:pPr>
            <w:r>
              <w:rPr>
                <w:rFonts w:ascii="Arial"/>
                <w:b/>
                <w:spacing w:val="-10"/>
                <w:sz w:val="20"/>
              </w:rPr>
              <w:t>F</w:t>
            </w:r>
          </w:p>
        </w:tc>
        <w:tc>
          <w:tcPr>
            <w:tcW w:w="787" w:type="dxa"/>
            <w:tcBorders>
              <w:top w:val="single" w:sz="4" w:space="0" w:color="000000"/>
              <w:bottom w:val="single" w:sz="4" w:space="0" w:color="000000"/>
            </w:tcBorders>
          </w:tcPr>
          <w:p>
            <w:pPr>
              <w:pStyle w:val="TableParagraph"/>
              <w:spacing w:line="220" w:lineRule="exact"/>
              <w:ind w:left="39" w:right="4"/>
              <w:jc w:val="center"/>
              <w:rPr>
                <w:rFonts w:ascii="Arial"/>
                <w:b/>
                <w:sz w:val="20"/>
              </w:rPr>
            </w:pPr>
            <w:r>
              <w:rPr>
                <w:rFonts w:ascii="Arial"/>
                <w:b/>
                <w:spacing w:val="-10"/>
                <w:sz w:val="20"/>
              </w:rPr>
              <w:t>%</w:t>
            </w:r>
          </w:p>
        </w:tc>
        <w:tc>
          <w:tcPr>
            <w:tcW w:w="521" w:type="dxa"/>
            <w:tcBorders>
              <w:top w:val="single" w:sz="4" w:space="0" w:color="000000"/>
              <w:bottom w:val="single" w:sz="4" w:space="0" w:color="000000"/>
            </w:tcBorders>
          </w:tcPr>
          <w:p>
            <w:pPr>
              <w:pStyle w:val="TableParagraph"/>
              <w:spacing w:line="220" w:lineRule="exact"/>
              <w:ind w:left="8" w:right="19"/>
              <w:jc w:val="center"/>
              <w:rPr>
                <w:rFonts w:ascii="Arial"/>
                <w:b/>
                <w:sz w:val="20"/>
              </w:rPr>
            </w:pPr>
            <w:r>
              <w:rPr>
                <w:rFonts w:ascii="Arial"/>
                <w:b/>
                <w:spacing w:val="-10"/>
                <w:sz w:val="20"/>
              </w:rPr>
              <w:t>F</w:t>
            </w:r>
          </w:p>
        </w:tc>
        <w:tc>
          <w:tcPr>
            <w:tcW w:w="761" w:type="dxa"/>
            <w:tcBorders>
              <w:top w:val="single" w:sz="4" w:space="0" w:color="000000"/>
              <w:bottom w:val="single" w:sz="4" w:space="0" w:color="000000"/>
            </w:tcBorders>
          </w:tcPr>
          <w:p>
            <w:pPr>
              <w:pStyle w:val="TableParagraph"/>
              <w:spacing w:line="220" w:lineRule="exact"/>
              <w:ind w:left="7" w:right="34"/>
              <w:jc w:val="center"/>
              <w:rPr>
                <w:rFonts w:ascii="Arial"/>
                <w:b/>
                <w:sz w:val="20"/>
              </w:rPr>
            </w:pPr>
            <w:r>
              <w:rPr>
                <w:rFonts w:ascii="Arial"/>
                <w:b/>
                <w:spacing w:val="-10"/>
                <w:sz w:val="20"/>
              </w:rPr>
              <w:t>%</w:t>
            </w:r>
          </w:p>
        </w:tc>
        <w:tc>
          <w:tcPr>
            <w:tcW w:w="687" w:type="dxa"/>
            <w:tcBorders>
              <w:top w:val="single" w:sz="4" w:space="0" w:color="000000"/>
              <w:bottom w:val="single" w:sz="4" w:space="0" w:color="000000"/>
            </w:tcBorders>
          </w:tcPr>
          <w:p>
            <w:pPr>
              <w:pStyle w:val="TableParagraph"/>
              <w:spacing w:line="220" w:lineRule="exact"/>
              <w:ind w:left="67" w:right="101"/>
              <w:jc w:val="center"/>
              <w:rPr>
                <w:rFonts w:ascii="Arial"/>
                <w:b/>
                <w:sz w:val="20"/>
              </w:rPr>
            </w:pPr>
            <w:r>
              <w:rPr>
                <w:rFonts w:ascii="Arial"/>
                <w:b/>
                <w:spacing w:val="-10"/>
                <w:sz w:val="20"/>
              </w:rPr>
              <w:t>F</w:t>
            </w:r>
          </w:p>
        </w:tc>
        <w:tc>
          <w:tcPr>
            <w:tcW w:w="903" w:type="dxa"/>
            <w:tcBorders>
              <w:top w:val="single" w:sz="4" w:space="0" w:color="000000"/>
              <w:bottom w:val="single" w:sz="4" w:space="0" w:color="000000"/>
            </w:tcBorders>
          </w:tcPr>
          <w:p>
            <w:pPr>
              <w:pStyle w:val="TableParagraph"/>
              <w:spacing w:line="220" w:lineRule="exact"/>
              <w:ind w:left="13"/>
              <w:jc w:val="center"/>
              <w:rPr>
                <w:rFonts w:ascii="Arial"/>
                <w:b/>
                <w:sz w:val="20"/>
              </w:rPr>
            </w:pPr>
            <w:r>
              <w:rPr>
                <w:rFonts w:ascii="Arial"/>
                <w:b/>
                <w:spacing w:val="-10"/>
                <w:sz w:val="20"/>
              </w:rPr>
              <w:t>%</w:t>
            </w:r>
          </w:p>
        </w:tc>
        <w:tc>
          <w:tcPr>
            <w:tcW w:w="685" w:type="dxa"/>
            <w:tcBorders>
              <w:top w:val="single" w:sz="4" w:space="0" w:color="000000"/>
              <w:bottom w:val="single" w:sz="4" w:space="0" w:color="000000"/>
            </w:tcBorders>
          </w:tcPr>
          <w:p>
            <w:pPr>
              <w:pStyle w:val="TableParagraph"/>
              <w:spacing w:line="220" w:lineRule="exact"/>
              <w:ind w:left="91" w:right="32"/>
              <w:jc w:val="center"/>
              <w:rPr>
                <w:rFonts w:ascii="Arial"/>
                <w:b/>
                <w:sz w:val="20"/>
              </w:rPr>
            </w:pPr>
            <w:r>
              <w:rPr>
                <w:rFonts w:ascii="Arial"/>
                <w:b/>
                <w:spacing w:val="-10"/>
                <w:sz w:val="20"/>
              </w:rPr>
              <w:t>F</w:t>
            </w:r>
          </w:p>
        </w:tc>
        <w:tc>
          <w:tcPr>
            <w:tcW w:w="800" w:type="dxa"/>
            <w:tcBorders>
              <w:top w:val="single" w:sz="4" w:space="0" w:color="000000"/>
              <w:bottom w:val="single" w:sz="4" w:space="0" w:color="000000"/>
            </w:tcBorders>
          </w:tcPr>
          <w:p>
            <w:pPr>
              <w:pStyle w:val="TableParagraph"/>
              <w:spacing w:line="220" w:lineRule="exact"/>
              <w:ind w:left="18" w:right="6"/>
              <w:jc w:val="center"/>
              <w:rPr>
                <w:rFonts w:ascii="Arial"/>
                <w:b/>
                <w:sz w:val="20"/>
              </w:rPr>
            </w:pPr>
            <w:r>
              <w:rPr>
                <w:rFonts w:ascii="Arial"/>
                <w:b/>
                <w:spacing w:val="-10"/>
                <w:sz w:val="20"/>
              </w:rPr>
              <w:t>%</w:t>
            </w:r>
          </w:p>
        </w:tc>
        <w:tc>
          <w:tcPr>
            <w:tcW w:w="627" w:type="dxa"/>
            <w:tcBorders>
              <w:top w:val="single" w:sz="4" w:space="0" w:color="000000"/>
              <w:bottom w:val="single" w:sz="4" w:space="0" w:color="000000"/>
            </w:tcBorders>
          </w:tcPr>
          <w:p>
            <w:pPr>
              <w:pStyle w:val="TableParagraph"/>
              <w:spacing w:line="220" w:lineRule="exact"/>
              <w:ind w:left="23" w:right="16"/>
              <w:jc w:val="center"/>
              <w:rPr>
                <w:rFonts w:ascii="Arial"/>
                <w:b/>
                <w:sz w:val="20"/>
              </w:rPr>
            </w:pPr>
            <w:r>
              <w:rPr>
                <w:rFonts w:ascii="Arial"/>
                <w:b/>
                <w:spacing w:val="-10"/>
                <w:sz w:val="20"/>
              </w:rPr>
              <w:t>F</w:t>
            </w:r>
          </w:p>
        </w:tc>
        <w:tc>
          <w:tcPr>
            <w:tcW w:w="771" w:type="dxa"/>
            <w:tcBorders>
              <w:top w:val="single" w:sz="4" w:space="0" w:color="000000"/>
              <w:bottom w:val="single" w:sz="4" w:space="0" w:color="000000"/>
            </w:tcBorders>
          </w:tcPr>
          <w:p>
            <w:pPr>
              <w:pStyle w:val="TableParagraph"/>
              <w:spacing w:line="220" w:lineRule="exact"/>
              <w:ind w:left="45" w:right="16"/>
              <w:jc w:val="center"/>
              <w:rPr>
                <w:rFonts w:ascii="Arial"/>
                <w:b/>
                <w:sz w:val="20"/>
              </w:rPr>
            </w:pPr>
            <w:r>
              <w:rPr>
                <w:rFonts w:ascii="Arial"/>
                <w:b/>
                <w:spacing w:val="-10"/>
                <w:sz w:val="20"/>
              </w:rPr>
              <w:t>%</w:t>
            </w:r>
          </w:p>
        </w:tc>
        <w:tc>
          <w:tcPr>
            <w:tcW w:w="692" w:type="dxa"/>
            <w:tcBorders>
              <w:top w:val="single" w:sz="4" w:space="0" w:color="000000"/>
              <w:bottom w:val="single" w:sz="4" w:space="0" w:color="000000"/>
            </w:tcBorders>
          </w:tcPr>
          <w:p>
            <w:pPr>
              <w:pStyle w:val="TableParagraph"/>
              <w:spacing w:line="220" w:lineRule="exact"/>
              <w:ind w:left="23" w:right="16"/>
              <w:jc w:val="center"/>
              <w:rPr>
                <w:rFonts w:ascii="Arial"/>
                <w:b/>
                <w:sz w:val="20"/>
              </w:rPr>
            </w:pPr>
            <w:r>
              <w:rPr>
                <w:rFonts w:ascii="Arial"/>
                <w:b/>
                <w:spacing w:val="-10"/>
                <w:sz w:val="20"/>
              </w:rPr>
              <w:t>F</w:t>
            </w:r>
          </w:p>
        </w:tc>
        <w:tc>
          <w:tcPr>
            <w:tcW w:w="739" w:type="dxa"/>
            <w:tcBorders>
              <w:top w:val="single" w:sz="4" w:space="0" w:color="000000"/>
              <w:bottom w:val="single" w:sz="4" w:space="0" w:color="000000"/>
              <w:right w:val="single" w:sz="4" w:space="0" w:color="000000"/>
            </w:tcBorders>
          </w:tcPr>
          <w:p>
            <w:pPr>
              <w:pStyle w:val="TableParagraph"/>
              <w:spacing w:line="220" w:lineRule="exact"/>
              <w:ind w:left="36" w:right="16"/>
              <w:jc w:val="center"/>
              <w:rPr>
                <w:rFonts w:ascii="Arial"/>
                <w:b/>
                <w:sz w:val="20"/>
              </w:rPr>
            </w:pPr>
            <w:r>
              <w:rPr>
                <w:rFonts w:ascii="Arial"/>
                <w:b/>
                <w:spacing w:val="-10"/>
                <w:sz w:val="20"/>
              </w:rPr>
              <w:t>%</w:t>
            </w:r>
          </w:p>
        </w:tc>
      </w:tr>
      <w:tr>
        <w:trPr>
          <w:trHeight w:val="227" w:hRule="atLeast"/>
        </w:trPr>
        <w:tc>
          <w:tcPr>
            <w:tcW w:w="4147" w:type="dxa"/>
            <w:tcBorders>
              <w:top w:val="single" w:sz="4" w:space="0" w:color="000000"/>
              <w:left w:val="single" w:sz="4" w:space="0" w:color="000000"/>
            </w:tcBorders>
          </w:tcPr>
          <w:p>
            <w:pPr>
              <w:pStyle w:val="TableParagraph"/>
              <w:tabs>
                <w:tab w:pos="609" w:val="left" w:leader="none"/>
              </w:tabs>
              <w:spacing w:line="208" w:lineRule="exact"/>
              <w:ind w:right="101"/>
              <w:jc w:val="right"/>
              <w:rPr>
                <w:sz w:val="20"/>
              </w:rPr>
            </w:pPr>
            <w:r>
              <w:rPr>
                <w:spacing w:val="-5"/>
                <w:sz w:val="20"/>
              </w:rPr>
              <w:t>33.</w:t>
            </w:r>
            <w:r>
              <w:rPr>
                <w:sz w:val="20"/>
              </w:rPr>
              <w:tab/>
              <w:t>There</w:t>
            </w:r>
            <w:r>
              <w:rPr>
                <w:spacing w:val="68"/>
                <w:sz w:val="20"/>
              </w:rPr>
              <w:t> </w:t>
            </w:r>
            <w:r>
              <w:rPr>
                <w:sz w:val="20"/>
              </w:rPr>
              <w:t>is</w:t>
            </w:r>
            <w:r>
              <w:rPr>
                <w:spacing w:val="66"/>
                <w:sz w:val="20"/>
              </w:rPr>
              <w:t> </w:t>
            </w:r>
            <w:r>
              <w:rPr>
                <w:sz w:val="20"/>
              </w:rPr>
              <w:t>a</w:t>
            </w:r>
            <w:r>
              <w:rPr>
                <w:spacing w:val="69"/>
                <w:sz w:val="20"/>
              </w:rPr>
              <w:t> </w:t>
            </w:r>
            <w:r>
              <w:rPr>
                <w:sz w:val="20"/>
              </w:rPr>
              <w:t>strong</w:t>
            </w:r>
            <w:r>
              <w:rPr>
                <w:spacing w:val="68"/>
                <w:sz w:val="20"/>
              </w:rPr>
              <w:t> </w:t>
            </w:r>
            <w:r>
              <w:rPr>
                <w:sz w:val="20"/>
              </w:rPr>
              <w:t>belief</w:t>
            </w:r>
            <w:r>
              <w:rPr>
                <w:spacing w:val="72"/>
                <w:sz w:val="20"/>
              </w:rPr>
              <w:t> </w:t>
            </w:r>
            <w:r>
              <w:rPr>
                <w:sz w:val="20"/>
              </w:rPr>
              <w:t>that</w:t>
            </w:r>
            <w:r>
              <w:rPr>
                <w:spacing w:val="72"/>
                <w:sz w:val="20"/>
              </w:rPr>
              <w:t> </w:t>
            </w:r>
            <w:r>
              <w:rPr>
                <w:spacing w:val="-5"/>
                <w:sz w:val="20"/>
              </w:rPr>
              <w:t>the</w:t>
            </w:r>
          </w:p>
        </w:tc>
        <w:tc>
          <w:tcPr>
            <w:tcW w:w="1977" w:type="dxa"/>
            <w:tcBorders>
              <w:top w:val="single" w:sz="4" w:space="0" w:color="000000"/>
            </w:tcBorders>
          </w:tcPr>
          <w:p>
            <w:pPr>
              <w:pStyle w:val="TableParagraph"/>
              <w:spacing w:line="208" w:lineRule="exact"/>
              <w:ind w:left="110"/>
              <w:rPr>
                <w:sz w:val="20"/>
              </w:rPr>
            </w:pPr>
            <w:r>
              <w:rPr>
                <w:sz w:val="20"/>
              </w:rPr>
              <w:t>No.</w:t>
            </w:r>
            <w:r>
              <w:rPr>
                <w:spacing w:val="-5"/>
                <w:sz w:val="20"/>
              </w:rPr>
              <w:t> </w:t>
            </w:r>
            <w:r>
              <w:rPr>
                <w:sz w:val="20"/>
              </w:rPr>
              <w:t>of</w:t>
            </w:r>
            <w:r>
              <w:rPr>
                <w:spacing w:val="-2"/>
                <w:sz w:val="20"/>
              </w:rPr>
              <w:t> missing</w:t>
            </w:r>
          </w:p>
        </w:tc>
        <w:tc>
          <w:tcPr>
            <w:tcW w:w="673" w:type="dxa"/>
            <w:tcBorders>
              <w:top w:val="single" w:sz="4" w:space="0" w:color="000000"/>
            </w:tcBorders>
          </w:tcPr>
          <w:p>
            <w:pPr>
              <w:pStyle w:val="TableParagraph"/>
              <w:rPr>
                <w:rFonts w:ascii="Times New Roman"/>
                <w:sz w:val="16"/>
              </w:rPr>
            </w:pPr>
          </w:p>
        </w:tc>
        <w:tc>
          <w:tcPr>
            <w:tcW w:w="787" w:type="dxa"/>
            <w:tcBorders>
              <w:top w:val="single" w:sz="4" w:space="0" w:color="000000"/>
            </w:tcBorders>
          </w:tcPr>
          <w:p>
            <w:pPr>
              <w:pStyle w:val="TableParagraph"/>
              <w:rPr>
                <w:rFonts w:ascii="Times New Roman"/>
                <w:sz w:val="16"/>
              </w:rPr>
            </w:pPr>
          </w:p>
        </w:tc>
        <w:tc>
          <w:tcPr>
            <w:tcW w:w="521" w:type="dxa"/>
            <w:tcBorders>
              <w:top w:val="single" w:sz="4" w:space="0" w:color="000000"/>
            </w:tcBorders>
          </w:tcPr>
          <w:p>
            <w:pPr>
              <w:pStyle w:val="TableParagraph"/>
              <w:rPr>
                <w:rFonts w:ascii="Times New Roman"/>
                <w:sz w:val="16"/>
              </w:rPr>
            </w:pPr>
          </w:p>
        </w:tc>
        <w:tc>
          <w:tcPr>
            <w:tcW w:w="761" w:type="dxa"/>
            <w:tcBorders>
              <w:top w:val="single" w:sz="4" w:space="0" w:color="000000"/>
            </w:tcBorders>
          </w:tcPr>
          <w:p>
            <w:pPr>
              <w:pStyle w:val="TableParagraph"/>
              <w:rPr>
                <w:rFonts w:ascii="Times New Roman"/>
                <w:sz w:val="16"/>
              </w:rPr>
            </w:pPr>
          </w:p>
        </w:tc>
        <w:tc>
          <w:tcPr>
            <w:tcW w:w="687" w:type="dxa"/>
            <w:tcBorders>
              <w:top w:val="single" w:sz="4" w:space="0" w:color="000000"/>
            </w:tcBorders>
          </w:tcPr>
          <w:p>
            <w:pPr>
              <w:pStyle w:val="TableParagraph"/>
              <w:rPr>
                <w:rFonts w:ascii="Times New Roman"/>
                <w:sz w:val="16"/>
              </w:rPr>
            </w:pPr>
          </w:p>
        </w:tc>
        <w:tc>
          <w:tcPr>
            <w:tcW w:w="903" w:type="dxa"/>
            <w:tcBorders>
              <w:top w:val="single" w:sz="4" w:space="0" w:color="000000"/>
            </w:tcBorders>
          </w:tcPr>
          <w:p>
            <w:pPr>
              <w:pStyle w:val="TableParagraph"/>
              <w:rPr>
                <w:rFonts w:ascii="Times New Roman"/>
                <w:sz w:val="16"/>
              </w:rPr>
            </w:pPr>
          </w:p>
        </w:tc>
        <w:tc>
          <w:tcPr>
            <w:tcW w:w="685" w:type="dxa"/>
            <w:tcBorders>
              <w:top w:val="single" w:sz="4" w:space="0" w:color="000000"/>
            </w:tcBorders>
          </w:tcPr>
          <w:p>
            <w:pPr>
              <w:pStyle w:val="TableParagraph"/>
              <w:rPr>
                <w:rFonts w:ascii="Times New Roman"/>
                <w:sz w:val="16"/>
              </w:rPr>
            </w:pPr>
          </w:p>
        </w:tc>
        <w:tc>
          <w:tcPr>
            <w:tcW w:w="800" w:type="dxa"/>
            <w:tcBorders>
              <w:top w:val="single" w:sz="4" w:space="0" w:color="000000"/>
            </w:tcBorders>
          </w:tcPr>
          <w:p>
            <w:pPr>
              <w:pStyle w:val="TableParagraph"/>
              <w:rPr>
                <w:rFonts w:ascii="Times New Roman"/>
                <w:sz w:val="16"/>
              </w:rPr>
            </w:pPr>
          </w:p>
        </w:tc>
        <w:tc>
          <w:tcPr>
            <w:tcW w:w="627" w:type="dxa"/>
            <w:tcBorders>
              <w:top w:val="single" w:sz="4" w:space="0" w:color="000000"/>
            </w:tcBorders>
          </w:tcPr>
          <w:p>
            <w:pPr>
              <w:pStyle w:val="TableParagraph"/>
              <w:rPr>
                <w:rFonts w:ascii="Times New Roman"/>
                <w:sz w:val="16"/>
              </w:rPr>
            </w:pPr>
          </w:p>
        </w:tc>
        <w:tc>
          <w:tcPr>
            <w:tcW w:w="771" w:type="dxa"/>
            <w:tcBorders>
              <w:top w:val="single" w:sz="4" w:space="0" w:color="000000"/>
            </w:tcBorders>
          </w:tcPr>
          <w:p>
            <w:pPr>
              <w:pStyle w:val="TableParagraph"/>
              <w:rPr>
                <w:rFonts w:ascii="Times New Roman"/>
                <w:sz w:val="16"/>
              </w:rPr>
            </w:pPr>
          </w:p>
        </w:tc>
        <w:tc>
          <w:tcPr>
            <w:tcW w:w="692" w:type="dxa"/>
            <w:tcBorders>
              <w:top w:val="single" w:sz="4" w:space="0" w:color="000000"/>
            </w:tcBorders>
          </w:tcPr>
          <w:p>
            <w:pPr>
              <w:pStyle w:val="TableParagraph"/>
              <w:rPr>
                <w:rFonts w:ascii="Times New Roman"/>
                <w:sz w:val="16"/>
              </w:rPr>
            </w:pPr>
          </w:p>
        </w:tc>
        <w:tc>
          <w:tcPr>
            <w:tcW w:w="739" w:type="dxa"/>
            <w:tcBorders>
              <w:top w:val="single" w:sz="4" w:space="0" w:color="000000"/>
              <w:right w:val="single" w:sz="4" w:space="0" w:color="000000"/>
            </w:tcBorders>
          </w:tcPr>
          <w:p>
            <w:pPr>
              <w:pStyle w:val="TableParagraph"/>
              <w:rPr>
                <w:rFonts w:ascii="Times New Roman"/>
                <w:sz w:val="16"/>
              </w:rPr>
            </w:pPr>
          </w:p>
        </w:tc>
      </w:tr>
      <w:tr>
        <w:trPr>
          <w:trHeight w:val="230" w:hRule="atLeast"/>
        </w:trPr>
        <w:tc>
          <w:tcPr>
            <w:tcW w:w="4147" w:type="dxa"/>
            <w:tcBorders>
              <w:left w:val="single" w:sz="4" w:space="0" w:color="000000"/>
            </w:tcBorders>
          </w:tcPr>
          <w:p>
            <w:pPr>
              <w:pStyle w:val="TableParagraph"/>
              <w:tabs>
                <w:tab w:pos="925" w:val="left" w:leader="none"/>
                <w:tab w:pos="1295" w:val="left" w:leader="none"/>
                <w:tab w:pos="2164" w:val="left" w:leader="none"/>
                <w:tab w:pos="3047" w:val="left" w:leader="none"/>
              </w:tabs>
              <w:spacing w:line="210" w:lineRule="exact"/>
              <w:ind w:right="101"/>
              <w:jc w:val="right"/>
              <w:rPr>
                <w:sz w:val="20"/>
              </w:rPr>
            </w:pPr>
            <w:r>
              <w:rPr>
                <w:spacing w:val="-2"/>
                <w:sz w:val="20"/>
              </w:rPr>
              <w:t>removal</w:t>
            </w:r>
            <w:r>
              <w:rPr>
                <w:sz w:val="20"/>
              </w:rPr>
              <w:tab/>
            </w:r>
            <w:r>
              <w:rPr>
                <w:spacing w:val="-5"/>
                <w:sz w:val="20"/>
              </w:rPr>
              <w:t>of</w:t>
            </w:r>
            <w:r>
              <w:rPr>
                <w:sz w:val="20"/>
              </w:rPr>
              <w:tab/>
            </w:r>
            <w:r>
              <w:rPr>
                <w:spacing w:val="-2"/>
                <w:sz w:val="20"/>
              </w:rPr>
              <w:t>feeding</w:t>
            </w:r>
            <w:r>
              <w:rPr>
                <w:sz w:val="20"/>
              </w:rPr>
              <w:tab/>
            </w:r>
            <w:r>
              <w:rPr>
                <w:spacing w:val="-2"/>
                <w:sz w:val="20"/>
              </w:rPr>
              <w:t>subsidy</w:t>
            </w:r>
            <w:r>
              <w:rPr>
                <w:sz w:val="20"/>
              </w:rPr>
              <w:tab/>
            </w:r>
            <w:r>
              <w:rPr>
                <w:spacing w:val="-5"/>
                <w:sz w:val="20"/>
              </w:rPr>
              <w:t>in</w:t>
            </w:r>
          </w:p>
        </w:tc>
        <w:tc>
          <w:tcPr>
            <w:tcW w:w="1977" w:type="dxa"/>
          </w:tcPr>
          <w:p>
            <w:pPr>
              <w:pStyle w:val="TableParagraph"/>
              <w:spacing w:line="210" w:lineRule="exact"/>
              <w:ind w:left="110"/>
              <w:rPr>
                <w:sz w:val="20"/>
              </w:rPr>
            </w:pPr>
            <w:r>
              <w:rPr>
                <w:spacing w:val="-2"/>
                <w:sz w:val="20"/>
              </w:rPr>
              <w:t>observations</w:t>
            </w:r>
          </w:p>
        </w:tc>
        <w:tc>
          <w:tcPr>
            <w:tcW w:w="673" w:type="dxa"/>
          </w:tcPr>
          <w:p>
            <w:pPr>
              <w:pStyle w:val="TableParagraph"/>
              <w:spacing w:line="210" w:lineRule="exact"/>
              <w:ind w:left="55"/>
              <w:jc w:val="center"/>
              <w:rPr>
                <w:sz w:val="20"/>
              </w:rPr>
            </w:pPr>
            <w:r>
              <w:rPr>
                <w:spacing w:val="-10"/>
                <w:sz w:val="20"/>
              </w:rPr>
              <w:t>1</w:t>
            </w:r>
          </w:p>
        </w:tc>
        <w:tc>
          <w:tcPr>
            <w:tcW w:w="787" w:type="dxa"/>
          </w:tcPr>
          <w:p>
            <w:pPr>
              <w:pStyle w:val="TableParagraph"/>
              <w:spacing w:line="210" w:lineRule="exact"/>
              <w:ind w:left="39" w:right="4"/>
              <w:jc w:val="center"/>
              <w:rPr>
                <w:sz w:val="20"/>
              </w:rPr>
            </w:pPr>
            <w:r>
              <w:rPr>
                <w:spacing w:val="-4"/>
                <w:sz w:val="20"/>
              </w:rPr>
              <w:t>50.0</w:t>
            </w:r>
          </w:p>
        </w:tc>
        <w:tc>
          <w:tcPr>
            <w:tcW w:w="521" w:type="dxa"/>
          </w:tcPr>
          <w:p>
            <w:pPr>
              <w:pStyle w:val="TableParagraph"/>
              <w:spacing w:line="210" w:lineRule="exact"/>
              <w:ind w:left="6" w:right="19"/>
              <w:jc w:val="center"/>
              <w:rPr>
                <w:sz w:val="20"/>
              </w:rPr>
            </w:pPr>
            <w:r>
              <w:rPr>
                <w:spacing w:val="-10"/>
                <w:sz w:val="20"/>
              </w:rPr>
              <w:t>1</w:t>
            </w:r>
          </w:p>
        </w:tc>
        <w:tc>
          <w:tcPr>
            <w:tcW w:w="761" w:type="dxa"/>
          </w:tcPr>
          <w:p>
            <w:pPr>
              <w:pStyle w:val="TableParagraph"/>
              <w:spacing w:line="210" w:lineRule="exact"/>
              <w:ind w:left="2" w:right="34"/>
              <w:jc w:val="center"/>
              <w:rPr>
                <w:sz w:val="20"/>
              </w:rPr>
            </w:pPr>
            <w:r>
              <w:rPr>
                <w:spacing w:val="-5"/>
                <w:sz w:val="20"/>
              </w:rPr>
              <w:t>5.0</w:t>
            </w:r>
          </w:p>
        </w:tc>
        <w:tc>
          <w:tcPr>
            <w:tcW w:w="687" w:type="dxa"/>
          </w:tcPr>
          <w:p>
            <w:pPr>
              <w:pStyle w:val="TableParagraph"/>
              <w:spacing w:line="210" w:lineRule="exact"/>
              <w:ind w:left="67" w:right="109"/>
              <w:jc w:val="center"/>
              <w:rPr>
                <w:sz w:val="20"/>
              </w:rPr>
            </w:pPr>
            <w:r>
              <w:rPr>
                <w:spacing w:val="-10"/>
                <w:sz w:val="20"/>
              </w:rPr>
              <w:t>-</w:t>
            </w:r>
          </w:p>
        </w:tc>
        <w:tc>
          <w:tcPr>
            <w:tcW w:w="903" w:type="dxa"/>
          </w:tcPr>
          <w:p>
            <w:pPr>
              <w:pStyle w:val="TableParagraph"/>
              <w:spacing w:line="210" w:lineRule="exact"/>
              <w:ind w:left="13" w:right="6"/>
              <w:jc w:val="center"/>
              <w:rPr>
                <w:sz w:val="20"/>
              </w:rPr>
            </w:pPr>
            <w:r>
              <w:rPr>
                <w:spacing w:val="-10"/>
                <w:sz w:val="20"/>
              </w:rPr>
              <w:t>-</w:t>
            </w:r>
          </w:p>
        </w:tc>
        <w:tc>
          <w:tcPr>
            <w:tcW w:w="685" w:type="dxa"/>
          </w:tcPr>
          <w:p>
            <w:pPr>
              <w:pStyle w:val="TableParagraph"/>
              <w:spacing w:line="210" w:lineRule="exact"/>
              <w:ind w:left="83" w:right="32"/>
              <w:jc w:val="center"/>
              <w:rPr>
                <w:sz w:val="20"/>
              </w:rPr>
            </w:pPr>
            <w:r>
              <w:rPr>
                <w:spacing w:val="-10"/>
                <w:sz w:val="20"/>
              </w:rPr>
              <w:t>-</w:t>
            </w:r>
          </w:p>
        </w:tc>
        <w:tc>
          <w:tcPr>
            <w:tcW w:w="800" w:type="dxa"/>
          </w:tcPr>
          <w:p>
            <w:pPr>
              <w:pStyle w:val="TableParagraph"/>
              <w:spacing w:line="210" w:lineRule="exact"/>
              <w:ind w:left="18" w:right="12"/>
              <w:jc w:val="center"/>
              <w:rPr>
                <w:sz w:val="20"/>
              </w:rPr>
            </w:pPr>
            <w:r>
              <w:rPr>
                <w:spacing w:val="-10"/>
                <w:sz w:val="20"/>
              </w:rPr>
              <w:t>-</w:t>
            </w:r>
          </w:p>
        </w:tc>
        <w:tc>
          <w:tcPr>
            <w:tcW w:w="627" w:type="dxa"/>
          </w:tcPr>
          <w:p>
            <w:pPr>
              <w:pStyle w:val="TableParagraph"/>
              <w:spacing w:line="210" w:lineRule="exact"/>
              <w:ind w:left="23" w:right="23"/>
              <w:jc w:val="center"/>
              <w:rPr>
                <w:sz w:val="20"/>
              </w:rPr>
            </w:pPr>
            <w:r>
              <w:rPr>
                <w:spacing w:val="-10"/>
                <w:sz w:val="20"/>
              </w:rPr>
              <w:t>-</w:t>
            </w:r>
          </w:p>
        </w:tc>
        <w:tc>
          <w:tcPr>
            <w:tcW w:w="771" w:type="dxa"/>
          </w:tcPr>
          <w:p>
            <w:pPr>
              <w:pStyle w:val="TableParagraph"/>
              <w:spacing w:line="210" w:lineRule="exact"/>
              <w:ind w:left="45" w:right="23"/>
              <w:jc w:val="center"/>
              <w:rPr>
                <w:sz w:val="20"/>
              </w:rPr>
            </w:pPr>
            <w:r>
              <w:rPr>
                <w:spacing w:val="-10"/>
                <w:sz w:val="20"/>
              </w:rPr>
              <w:t>-</w:t>
            </w:r>
          </w:p>
        </w:tc>
        <w:tc>
          <w:tcPr>
            <w:tcW w:w="692" w:type="dxa"/>
          </w:tcPr>
          <w:p>
            <w:pPr>
              <w:pStyle w:val="TableParagraph"/>
              <w:spacing w:line="210" w:lineRule="exact"/>
              <w:ind w:left="23" w:right="17"/>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21"/>
              <w:jc w:val="center"/>
              <w:rPr>
                <w:sz w:val="20"/>
              </w:rPr>
            </w:pPr>
            <w:r>
              <w:rPr>
                <w:spacing w:val="-5"/>
                <w:sz w:val="20"/>
              </w:rPr>
              <w:t>0.4</w:t>
            </w:r>
          </w:p>
        </w:tc>
      </w:tr>
      <w:tr>
        <w:trPr>
          <w:trHeight w:val="230" w:hRule="atLeast"/>
        </w:trPr>
        <w:tc>
          <w:tcPr>
            <w:tcW w:w="4147" w:type="dxa"/>
            <w:tcBorders>
              <w:left w:val="single" w:sz="4" w:space="0" w:color="000000"/>
            </w:tcBorders>
          </w:tcPr>
          <w:p>
            <w:pPr>
              <w:pStyle w:val="TableParagraph"/>
              <w:spacing w:line="210" w:lineRule="exact"/>
              <w:ind w:right="111"/>
              <w:jc w:val="right"/>
              <w:rPr>
                <w:sz w:val="20"/>
              </w:rPr>
            </w:pPr>
            <w:r>
              <w:rPr>
                <w:sz w:val="20"/>
              </w:rPr>
              <w:t>Nigerian Universities</w:t>
            </w:r>
            <w:r>
              <w:rPr>
                <w:spacing w:val="-3"/>
                <w:sz w:val="20"/>
              </w:rPr>
              <w:t> </w:t>
            </w:r>
            <w:r>
              <w:rPr>
                <w:sz w:val="20"/>
              </w:rPr>
              <w:t>by</w:t>
            </w:r>
            <w:r>
              <w:rPr>
                <w:spacing w:val="2"/>
                <w:sz w:val="20"/>
              </w:rPr>
              <w:t> </w:t>
            </w:r>
            <w:r>
              <w:rPr>
                <w:sz w:val="20"/>
              </w:rPr>
              <w:t>the</w:t>
            </w:r>
            <w:r>
              <w:rPr>
                <w:spacing w:val="1"/>
                <w:sz w:val="20"/>
              </w:rPr>
              <w:t> </w:t>
            </w:r>
            <w:r>
              <w:rPr>
                <w:spacing w:val="-2"/>
                <w:sz w:val="20"/>
              </w:rPr>
              <w:t>Federal</w:t>
            </w:r>
          </w:p>
        </w:tc>
        <w:tc>
          <w:tcPr>
            <w:tcW w:w="1977" w:type="dxa"/>
          </w:tcPr>
          <w:p>
            <w:pPr>
              <w:pStyle w:val="TableParagraph"/>
              <w:spacing w:line="210" w:lineRule="exact"/>
              <w:ind w:left="110"/>
              <w:rPr>
                <w:sz w:val="20"/>
              </w:rPr>
            </w:pPr>
            <w:r>
              <w:rPr>
                <w:spacing w:val="-2"/>
                <w:sz w:val="20"/>
              </w:rPr>
              <w:t>Students</w:t>
            </w:r>
          </w:p>
        </w:tc>
        <w:tc>
          <w:tcPr>
            <w:tcW w:w="673" w:type="dxa"/>
          </w:tcPr>
          <w:p>
            <w:pPr>
              <w:pStyle w:val="TableParagraph"/>
              <w:spacing w:line="210" w:lineRule="exact"/>
              <w:ind w:left="55" w:right="10"/>
              <w:jc w:val="center"/>
              <w:rPr>
                <w:sz w:val="20"/>
              </w:rPr>
            </w:pPr>
            <w:r>
              <w:rPr>
                <w:spacing w:val="-5"/>
                <w:sz w:val="20"/>
              </w:rPr>
              <w:t>144</w:t>
            </w:r>
          </w:p>
        </w:tc>
        <w:tc>
          <w:tcPr>
            <w:tcW w:w="787" w:type="dxa"/>
          </w:tcPr>
          <w:p>
            <w:pPr>
              <w:pStyle w:val="TableParagraph"/>
              <w:spacing w:line="210" w:lineRule="exact"/>
              <w:ind w:left="39" w:right="4"/>
              <w:jc w:val="center"/>
              <w:rPr>
                <w:sz w:val="20"/>
              </w:rPr>
            </w:pPr>
            <w:r>
              <w:rPr>
                <w:spacing w:val="-4"/>
                <w:sz w:val="20"/>
              </w:rPr>
              <w:t>61.3</w:t>
            </w:r>
          </w:p>
        </w:tc>
        <w:tc>
          <w:tcPr>
            <w:tcW w:w="521" w:type="dxa"/>
          </w:tcPr>
          <w:p>
            <w:pPr>
              <w:pStyle w:val="TableParagraph"/>
              <w:spacing w:line="210" w:lineRule="exact"/>
              <w:ind w:left="2" w:right="19"/>
              <w:jc w:val="center"/>
              <w:rPr>
                <w:sz w:val="20"/>
              </w:rPr>
            </w:pPr>
            <w:r>
              <w:rPr>
                <w:spacing w:val="-5"/>
                <w:sz w:val="20"/>
              </w:rPr>
              <w:t>51</w:t>
            </w:r>
          </w:p>
        </w:tc>
        <w:tc>
          <w:tcPr>
            <w:tcW w:w="761" w:type="dxa"/>
          </w:tcPr>
          <w:p>
            <w:pPr>
              <w:pStyle w:val="TableParagraph"/>
              <w:spacing w:line="210" w:lineRule="exact"/>
              <w:ind w:left="7" w:right="34"/>
              <w:jc w:val="center"/>
              <w:rPr>
                <w:sz w:val="20"/>
              </w:rPr>
            </w:pPr>
            <w:r>
              <w:rPr>
                <w:spacing w:val="-4"/>
                <w:sz w:val="20"/>
              </w:rPr>
              <w:t>21.7</w:t>
            </w:r>
          </w:p>
        </w:tc>
        <w:tc>
          <w:tcPr>
            <w:tcW w:w="687" w:type="dxa"/>
          </w:tcPr>
          <w:p>
            <w:pPr>
              <w:pStyle w:val="TableParagraph"/>
              <w:spacing w:line="210" w:lineRule="exact"/>
              <w:ind w:left="67" w:right="107"/>
              <w:jc w:val="center"/>
              <w:rPr>
                <w:sz w:val="20"/>
              </w:rPr>
            </w:pPr>
            <w:r>
              <w:rPr>
                <w:spacing w:val="-5"/>
                <w:sz w:val="20"/>
              </w:rPr>
              <w:t>15</w:t>
            </w:r>
          </w:p>
        </w:tc>
        <w:tc>
          <w:tcPr>
            <w:tcW w:w="903" w:type="dxa"/>
          </w:tcPr>
          <w:p>
            <w:pPr>
              <w:pStyle w:val="TableParagraph"/>
              <w:spacing w:line="210" w:lineRule="exact"/>
              <w:ind w:left="13" w:right="5"/>
              <w:jc w:val="center"/>
              <w:rPr>
                <w:sz w:val="20"/>
              </w:rPr>
            </w:pPr>
            <w:r>
              <w:rPr>
                <w:spacing w:val="-5"/>
                <w:sz w:val="20"/>
              </w:rPr>
              <w:t>6.4</w:t>
            </w:r>
          </w:p>
        </w:tc>
        <w:tc>
          <w:tcPr>
            <w:tcW w:w="685" w:type="dxa"/>
          </w:tcPr>
          <w:p>
            <w:pPr>
              <w:pStyle w:val="TableParagraph"/>
              <w:spacing w:line="210" w:lineRule="exact"/>
              <w:ind w:left="85" w:right="32"/>
              <w:jc w:val="center"/>
              <w:rPr>
                <w:sz w:val="20"/>
              </w:rPr>
            </w:pPr>
            <w:r>
              <w:rPr>
                <w:spacing w:val="-5"/>
                <w:sz w:val="20"/>
              </w:rPr>
              <w:t>15</w:t>
            </w:r>
          </w:p>
        </w:tc>
        <w:tc>
          <w:tcPr>
            <w:tcW w:w="800" w:type="dxa"/>
          </w:tcPr>
          <w:p>
            <w:pPr>
              <w:pStyle w:val="TableParagraph"/>
              <w:spacing w:line="210" w:lineRule="exact"/>
              <w:ind w:left="18" w:right="11"/>
              <w:jc w:val="center"/>
              <w:rPr>
                <w:sz w:val="20"/>
              </w:rPr>
            </w:pPr>
            <w:r>
              <w:rPr>
                <w:spacing w:val="-5"/>
                <w:sz w:val="20"/>
              </w:rPr>
              <w:t>6.4</w:t>
            </w:r>
          </w:p>
        </w:tc>
        <w:tc>
          <w:tcPr>
            <w:tcW w:w="627" w:type="dxa"/>
          </w:tcPr>
          <w:p>
            <w:pPr>
              <w:pStyle w:val="TableParagraph"/>
              <w:spacing w:line="210" w:lineRule="exact"/>
              <w:ind w:left="23" w:right="22"/>
              <w:jc w:val="center"/>
              <w:rPr>
                <w:sz w:val="20"/>
              </w:rPr>
            </w:pPr>
            <w:r>
              <w:rPr>
                <w:spacing w:val="-5"/>
                <w:sz w:val="20"/>
              </w:rPr>
              <w:t>10</w:t>
            </w:r>
          </w:p>
        </w:tc>
        <w:tc>
          <w:tcPr>
            <w:tcW w:w="771" w:type="dxa"/>
          </w:tcPr>
          <w:p>
            <w:pPr>
              <w:pStyle w:val="TableParagraph"/>
              <w:spacing w:line="210" w:lineRule="exact"/>
              <w:ind w:left="45" w:right="21"/>
              <w:jc w:val="center"/>
              <w:rPr>
                <w:sz w:val="20"/>
              </w:rPr>
            </w:pPr>
            <w:r>
              <w:rPr>
                <w:spacing w:val="-5"/>
                <w:sz w:val="20"/>
              </w:rPr>
              <w:t>4.3</w:t>
            </w:r>
          </w:p>
        </w:tc>
        <w:tc>
          <w:tcPr>
            <w:tcW w:w="692" w:type="dxa"/>
          </w:tcPr>
          <w:p>
            <w:pPr>
              <w:pStyle w:val="TableParagraph"/>
              <w:spacing w:line="210" w:lineRule="exact"/>
              <w:ind w:left="23" w:right="24"/>
              <w:jc w:val="center"/>
              <w:rPr>
                <w:sz w:val="20"/>
              </w:rPr>
            </w:pPr>
            <w:r>
              <w:rPr>
                <w:spacing w:val="-5"/>
                <w:sz w:val="20"/>
              </w:rPr>
              <w:t>235</w:t>
            </w:r>
          </w:p>
        </w:tc>
        <w:tc>
          <w:tcPr>
            <w:tcW w:w="739" w:type="dxa"/>
            <w:tcBorders>
              <w:right w:val="single" w:sz="4" w:space="0" w:color="000000"/>
            </w:tcBorders>
          </w:tcPr>
          <w:p>
            <w:pPr>
              <w:pStyle w:val="TableParagraph"/>
              <w:spacing w:line="210" w:lineRule="exact"/>
              <w:ind w:left="36" w:right="16"/>
              <w:jc w:val="center"/>
              <w:rPr>
                <w:sz w:val="20"/>
              </w:rPr>
            </w:pPr>
            <w:r>
              <w:rPr>
                <w:spacing w:val="-4"/>
                <w:sz w:val="20"/>
              </w:rPr>
              <w:t>50.8</w:t>
            </w:r>
          </w:p>
        </w:tc>
      </w:tr>
      <w:tr>
        <w:trPr>
          <w:trHeight w:val="230" w:hRule="atLeast"/>
        </w:trPr>
        <w:tc>
          <w:tcPr>
            <w:tcW w:w="4147" w:type="dxa"/>
            <w:tcBorders>
              <w:left w:val="single" w:sz="4" w:space="0" w:color="000000"/>
            </w:tcBorders>
          </w:tcPr>
          <w:p>
            <w:pPr>
              <w:pStyle w:val="TableParagraph"/>
              <w:tabs>
                <w:tab w:pos="1478" w:val="left" w:leader="none"/>
                <w:tab w:pos="2169" w:val="left" w:leader="none"/>
              </w:tabs>
              <w:spacing w:line="210" w:lineRule="exact"/>
              <w:ind w:right="109"/>
              <w:jc w:val="right"/>
              <w:rPr>
                <w:sz w:val="20"/>
              </w:rPr>
            </w:pPr>
            <w:r>
              <w:rPr>
                <w:spacing w:val="-2"/>
                <w:sz w:val="20"/>
              </w:rPr>
              <w:t>Government</w:t>
            </w:r>
            <w:r>
              <w:rPr>
                <w:sz w:val="20"/>
              </w:rPr>
              <w:tab/>
            </w:r>
            <w:r>
              <w:rPr>
                <w:spacing w:val="-5"/>
                <w:sz w:val="20"/>
              </w:rPr>
              <w:t>has</w:t>
            </w:r>
            <w:r>
              <w:rPr>
                <w:sz w:val="20"/>
              </w:rPr>
              <w:tab/>
            </w:r>
            <w:r>
              <w:rPr>
                <w:spacing w:val="-2"/>
                <w:sz w:val="20"/>
              </w:rPr>
              <w:t>consequent</w:t>
            </w:r>
          </w:p>
        </w:tc>
        <w:tc>
          <w:tcPr>
            <w:tcW w:w="1977" w:type="dxa"/>
          </w:tcPr>
          <w:p>
            <w:pPr>
              <w:pStyle w:val="TableParagraph"/>
              <w:spacing w:line="210" w:lineRule="exact"/>
              <w:ind w:left="110"/>
              <w:rPr>
                <w:sz w:val="20"/>
              </w:rPr>
            </w:pPr>
            <w:r>
              <w:rPr>
                <w:sz w:val="20"/>
              </w:rPr>
              <w:t>Service</w:t>
            </w:r>
            <w:r>
              <w:rPr>
                <w:spacing w:val="-9"/>
                <w:sz w:val="20"/>
              </w:rPr>
              <w:t> </w:t>
            </w:r>
            <w:r>
              <w:rPr>
                <w:spacing w:val="-2"/>
                <w:sz w:val="20"/>
              </w:rPr>
              <w:t>Staff</w:t>
            </w:r>
          </w:p>
        </w:tc>
        <w:tc>
          <w:tcPr>
            <w:tcW w:w="673" w:type="dxa"/>
          </w:tcPr>
          <w:p>
            <w:pPr>
              <w:pStyle w:val="TableParagraph"/>
              <w:spacing w:line="210" w:lineRule="exact"/>
              <w:ind w:left="55" w:right="10"/>
              <w:jc w:val="center"/>
              <w:rPr>
                <w:sz w:val="20"/>
              </w:rPr>
            </w:pPr>
            <w:r>
              <w:rPr>
                <w:spacing w:val="-5"/>
                <w:sz w:val="20"/>
              </w:rPr>
              <w:t>103</w:t>
            </w:r>
          </w:p>
        </w:tc>
        <w:tc>
          <w:tcPr>
            <w:tcW w:w="787" w:type="dxa"/>
          </w:tcPr>
          <w:p>
            <w:pPr>
              <w:pStyle w:val="TableParagraph"/>
              <w:spacing w:line="210" w:lineRule="exact"/>
              <w:ind w:left="39" w:right="4"/>
              <w:jc w:val="center"/>
              <w:rPr>
                <w:sz w:val="20"/>
              </w:rPr>
            </w:pPr>
            <w:r>
              <w:rPr>
                <w:spacing w:val="-4"/>
                <w:sz w:val="20"/>
              </w:rPr>
              <w:t>50.7</w:t>
            </w:r>
          </w:p>
        </w:tc>
        <w:tc>
          <w:tcPr>
            <w:tcW w:w="521" w:type="dxa"/>
          </w:tcPr>
          <w:p>
            <w:pPr>
              <w:pStyle w:val="TableParagraph"/>
              <w:spacing w:line="210" w:lineRule="exact"/>
              <w:ind w:left="2" w:right="19"/>
              <w:jc w:val="center"/>
              <w:rPr>
                <w:sz w:val="20"/>
              </w:rPr>
            </w:pPr>
            <w:r>
              <w:rPr>
                <w:spacing w:val="-5"/>
                <w:sz w:val="20"/>
              </w:rPr>
              <w:t>66</w:t>
            </w:r>
          </w:p>
        </w:tc>
        <w:tc>
          <w:tcPr>
            <w:tcW w:w="761" w:type="dxa"/>
          </w:tcPr>
          <w:p>
            <w:pPr>
              <w:pStyle w:val="TableParagraph"/>
              <w:spacing w:line="210" w:lineRule="exact"/>
              <w:ind w:left="7" w:right="34"/>
              <w:jc w:val="center"/>
              <w:rPr>
                <w:sz w:val="20"/>
              </w:rPr>
            </w:pPr>
            <w:r>
              <w:rPr>
                <w:spacing w:val="-4"/>
                <w:sz w:val="20"/>
              </w:rPr>
              <w:t>32.5</w:t>
            </w:r>
          </w:p>
        </w:tc>
        <w:tc>
          <w:tcPr>
            <w:tcW w:w="687" w:type="dxa"/>
          </w:tcPr>
          <w:p>
            <w:pPr>
              <w:pStyle w:val="TableParagraph"/>
              <w:spacing w:line="210" w:lineRule="exact"/>
              <w:ind w:left="67" w:right="107"/>
              <w:jc w:val="center"/>
              <w:rPr>
                <w:sz w:val="20"/>
              </w:rPr>
            </w:pPr>
            <w:r>
              <w:rPr>
                <w:spacing w:val="-5"/>
                <w:sz w:val="20"/>
              </w:rPr>
              <w:t>11</w:t>
            </w:r>
          </w:p>
        </w:tc>
        <w:tc>
          <w:tcPr>
            <w:tcW w:w="903" w:type="dxa"/>
          </w:tcPr>
          <w:p>
            <w:pPr>
              <w:pStyle w:val="TableParagraph"/>
              <w:spacing w:line="210" w:lineRule="exact"/>
              <w:ind w:left="13" w:right="5"/>
              <w:jc w:val="center"/>
              <w:rPr>
                <w:sz w:val="20"/>
              </w:rPr>
            </w:pPr>
            <w:r>
              <w:rPr>
                <w:spacing w:val="-5"/>
                <w:sz w:val="20"/>
              </w:rPr>
              <w:t>5.4</w:t>
            </w:r>
          </w:p>
        </w:tc>
        <w:tc>
          <w:tcPr>
            <w:tcW w:w="685" w:type="dxa"/>
          </w:tcPr>
          <w:p>
            <w:pPr>
              <w:pStyle w:val="TableParagraph"/>
              <w:spacing w:line="210" w:lineRule="exact"/>
              <w:ind w:left="85" w:right="32"/>
              <w:jc w:val="center"/>
              <w:rPr>
                <w:sz w:val="20"/>
              </w:rPr>
            </w:pPr>
            <w:r>
              <w:rPr>
                <w:spacing w:val="-5"/>
                <w:sz w:val="20"/>
              </w:rPr>
              <w:t>14</w:t>
            </w:r>
          </w:p>
        </w:tc>
        <w:tc>
          <w:tcPr>
            <w:tcW w:w="800" w:type="dxa"/>
          </w:tcPr>
          <w:p>
            <w:pPr>
              <w:pStyle w:val="TableParagraph"/>
              <w:spacing w:line="210" w:lineRule="exact"/>
              <w:ind w:left="18" w:right="11"/>
              <w:jc w:val="center"/>
              <w:rPr>
                <w:sz w:val="20"/>
              </w:rPr>
            </w:pPr>
            <w:r>
              <w:rPr>
                <w:spacing w:val="-5"/>
                <w:sz w:val="20"/>
              </w:rPr>
              <w:t>6.9</w:t>
            </w:r>
          </w:p>
        </w:tc>
        <w:tc>
          <w:tcPr>
            <w:tcW w:w="627" w:type="dxa"/>
          </w:tcPr>
          <w:p>
            <w:pPr>
              <w:pStyle w:val="TableParagraph"/>
              <w:spacing w:line="210" w:lineRule="exact"/>
              <w:ind w:left="23" w:right="17"/>
              <w:jc w:val="center"/>
              <w:rPr>
                <w:sz w:val="20"/>
              </w:rPr>
            </w:pPr>
            <w:r>
              <w:rPr>
                <w:spacing w:val="-10"/>
                <w:sz w:val="20"/>
              </w:rPr>
              <w:t>9</w:t>
            </w:r>
          </w:p>
        </w:tc>
        <w:tc>
          <w:tcPr>
            <w:tcW w:w="771" w:type="dxa"/>
          </w:tcPr>
          <w:p>
            <w:pPr>
              <w:pStyle w:val="TableParagraph"/>
              <w:spacing w:line="210" w:lineRule="exact"/>
              <w:ind w:left="45" w:right="21"/>
              <w:jc w:val="center"/>
              <w:rPr>
                <w:sz w:val="20"/>
              </w:rPr>
            </w:pPr>
            <w:r>
              <w:rPr>
                <w:spacing w:val="-5"/>
                <w:sz w:val="20"/>
              </w:rPr>
              <w:t>4.4</w:t>
            </w:r>
          </w:p>
        </w:tc>
        <w:tc>
          <w:tcPr>
            <w:tcW w:w="692" w:type="dxa"/>
          </w:tcPr>
          <w:p>
            <w:pPr>
              <w:pStyle w:val="TableParagraph"/>
              <w:spacing w:line="210" w:lineRule="exact"/>
              <w:ind w:left="23" w:right="24"/>
              <w:jc w:val="center"/>
              <w:rPr>
                <w:sz w:val="20"/>
              </w:rPr>
            </w:pPr>
            <w:r>
              <w:rPr>
                <w:spacing w:val="-5"/>
                <w:sz w:val="20"/>
              </w:rPr>
              <w:t>203</w:t>
            </w:r>
          </w:p>
        </w:tc>
        <w:tc>
          <w:tcPr>
            <w:tcW w:w="739" w:type="dxa"/>
            <w:tcBorders>
              <w:right w:val="single" w:sz="4" w:space="0" w:color="000000"/>
            </w:tcBorders>
          </w:tcPr>
          <w:p>
            <w:pPr>
              <w:pStyle w:val="TableParagraph"/>
              <w:spacing w:line="210" w:lineRule="exact"/>
              <w:ind w:left="36" w:right="16"/>
              <w:jc w:val="center"/>
              <w:rPr>
                <w:sz w:val="20"/>
              </w:rPr>
            </w:pPr>
            <w:r>
              <w:rPr>
                <w:spacing w:val="-4"/>
                <w:sz w:val="20"/>
              </w:rPr>
              <w:t>43.8</w:t>
            </w:r>
          </w:p>
        </w:tc>
      </w:tr>
      <w:tr>
        <w:trPr>
          <w:trHeight w:val="230" w:hRule="atLeast"/>
        </w:trPr>
        <w:tc>
          <w:tcPr>
            <w:tcW w:w="4147" w:type="dxa"/>
            <w:tcBorders>
              <w:left w:val="single" w:sz="4" w:space="0" w:color="000000"/>
            </w:tcBorders>
          </w:tcPr>
          <w:p>
            <w:pPr>
              <w:pStyle w:val="TableParagraph"/>
              <w:spacing w:line="210" w:lineRule="exact"/>
              <w:ind w:right="110"/>
              <w:jc w:val="right"/>
              <w:rPr>
                <w:sz w:val="20"/>
              </w:rPr>
            </w:pPr>
            <w:r>
              <w:rPr>
                <w:sz w:val="20"/>
              </w:rPr>
              <w:t>negative</w:t>
            </w:r>
            <w:r>
              <w:rPr>
                <w:spacing w:val="73"/>
                <w:sz w:val="20"/>
              </w:rPr>
              <w:t> </w:t>
            </w:r>
            <w:r>
              <w:rPr>
                <w:sz w:val="20"/>
              </w:rPr>
              <w:t>impact</w:t>
            </w:r>
            <w:r>
              <w:rPr>
                <w:spacing w:val="54"/>
                <w:w w:val="150"/>
                <w:sz w:val="20"/>
              </w:rPr>
              <w:t> </w:t>
            </w:r>
            <w:r>
              <w:rPr>
                <w:sz w:val="20"/>
              </w:rPr>
              <w:t>on</w:t>
            </w:r>
            <w:r>
              <w:rPr>
                <w:spacing w:val="78"/>
                <w:sz w:val="20"/>
              </w:rPr>
              <w:t> </w:t>
            </w:r>
            <w:r>
              <w:rPr>
                <w:sz w:val="20"/>
              </w:rPr>
              <w:t>the</w:t>
            </w:r>
            <w:r>
              <w:rPr>
                <w:spacing w:val="79"/>
                <w:sz w:val="20"/>
              </w:rPr>
              <w:t> </w:t>
            </w:r>
            <w:r>
              <w:rPr>
                <w:spacing w:val="-2"/>
                <w:sz w:val="20"/>
              </w:rPr>
              <w:t>students’</w:t>
            </w:r>
          </w:p>
        </w:tc>
        <w:tc>
          <w:tcPr>
            <w:tcW w:w="1977" w:type="dxa"/>
          </w:tcPr>
          <w:p>
            <w:pPr>
              <w:pStyle w:val="TableParagraph"/>
              <w:spacing w:line="210" w:lineRule="exact"/>
              <w:ind w:left="110"/>
              <w:rPr>
                <w:sz w:val="20"/>
              </w:rPr>
            </w:pPr>
            <w:r>
              <w:rPr>
                <w:sz w:val="20"/>
              </w:rPr>
              <w:t>Top</w:t>
            </w:r>
            <w:r>
              <w:rPr>
                <w:spacing w:val="-1"/>
                <w:sz w:val="20"/>
              </w:rPr>
              <w:t> </w:t>
            </w:r>
            <w:r>
              <w:rPr>
                <w:spacing w:val="-2"/>
                <w:sz w:val="20"/>
              </w:rPr>
              <w:t>Management</w:t>
            </w:r>
          </w:p>
        </w:tc>
        <w:tc>
          <w:tcPr>
            <w:tcW w:w="673" w:type="dxa"/>
          </w:tcPr>
          <w:p>
            <w:pPr>
              <w:pStyle w:val="TableParagraph"/>
              <w:spacing w:line="210" w:lineRule="exact"/>
              <w:ind w:left="55" w:right="5"/>
              <w:jc w:val="center"/>
              <w:rPr>
                <w:sz w:val="20"/>
              </w:rPr>
            </w:pPr>
            <w:r>
              <w:rPr>
                <w:spacing w:val="-5"/>
                <w:sz w:val="20"/>
              </w:rPr>
              <w:t>11</w:t>
            </w:r>
          </w:p>
        </w:tc>
        <w:tc>
          <w:tcPr>
            <w:tcW w:w="787" w:type="dxa"/>
          </w:tcPr>
          <w:p>
            <w:pPr>
              <w:pStyle w:val="TableParagraph"/>
              <w:spacing w:line="210" w:lineRule="exact"/>
              <w:ind w:left="39" w:right="4"/>
              <w:jc w:val="center"/>
              <w:rPr>
                <w:sz w:val="20"/>
              </w:rPr>
            </w:pPr>
            <w:r>
              <w:rPr>
                <w:spacing w:val="-4"/>
                <w:sz w:val="20"/>
              </w:rPr>
              <w:t>47.8</w:t>
            </w:r>
          </w:p>
        </w:tc>
        <w:tc>
          <w:tcPr>
            <w:tcW w:w="521" w:type="dxa"/>
          </w:tcPr>
          <w:p>
            <w:pPr>
              <w:pStyle w:val="TableParagraph"/>
              <w:spacing w:line="210" w:lineRule="exact"/>
              <w:ind w:left="6" w:right="19"/>
              <w:jc w:val="center"/>
              <w:rPr>
                <w:sz w:val="20"/>
              </w:rPr>
            </w:pPr>
            <w:r>
              <w:rPr>
                <w:spacing w:val="-10"/>
                <w:sz w:val="20"/>
              </w:rPr>
              <w:t>9</w:t>
            </w:r>
          </w:p>
        </w:tc>
        <w:tc>
          <w:tcPr>
            <w:tcW w:w="761" w:type="dxa"/>
          </w:tcPr>
          <w:p>
            <w:pPr>
              <w:pStyle w:val="TableParagraph"/>
              <w:spacing w:line="210" w:lineRule="exact"/>
              <w:ind w:left="7" w:right="34"/>
              <w:jc w:val="center"/>
              <w:rPr>
                <w:sz w:val="20"/>
              </w:rPr>
            </w:pPr>
            <w:r>
              <w:rPr>
                <w:spacing w:val="-4"/>
                <w:sz w:val="20"/>
              </w:rPr>
              <w:t>39.1</w:t>
            </w:r>
          </w:p>
        </w:tc>
        <w:tc>
          <w:tcPr>
            <w:tcW w:w="687" w:type="dxa"/>
          </w:tcPr>
          <w:p>
            <w:pPr>
              <w:pStyle w:val="TableParagraph"/>
              <w:spacing w:line="210" w:lineRule="exact"/>
              <w:ind w:left="67" w:right="102"/>
              <w:jc w:val="center"/>
              <w:rPr>
                <w:sz w:val="20"/>
              </w:rPr>
            </w:pPr>
            <w:r>
              <w:rPr>
                <w:spacing w:val="-10"/>
                <w:sz w:val="20"/>
              </w:rPr>
              <w:t>2</w:t>
            </w:r>
          </w:p>
        </w:tc>
        <w:tc>
          <w:tcPr>
            <w:tcW w:w="903" w:type="dxa"/>
          </w:tcPr>
          <w:p>
            <w:pPr>
              <w:pStyle w:val="TableParagraph"/>
              <w:spacing w:line="210" w:lineRule="exact"/>
              <w:ind w:left="13" w:right="5"/>
              <w:jc w:val="center"/>
              <w:rPr>
                <w:sz w:val="20"/>
              </w:rPr>
            </w:pPr>
            <w:r>
              <w:rPr>
                <w:spacing w:val="-5"/>
                <w:sz w:val="20"/>
              </w:rPr>
              <w:t>8.7</w:t>
            </w:r>
          </w:p>
        </w:tc>
        <w:tc>
          <w:tcPr>
            <w:tcW w:w="685" w:type="dxa"/>
          </w:tcPr>
          <w:p>
            <w:pPr>
              <w:pStyle w:val="TableParagraph"/>
              <w:spacing w:line="210" w:lineRule="exact"/>
              <w:ind w:left="89" w:right="32"/>
              <w:jc w:val="center"/>
              <w:rPr>
                <w:sz w:val="20"/>
              </w:rPr>
            </w:pPr>
            <w:r>
              <w:rPr>
                <w:spacing w:val="-10"/>
                <w:sz w:val="20"/>
              </w:rPr>
              <w:t>1</w:t>
            </w:r>
          </w:p>
        </w:tc>
        <w:tc>
          <w:tcPr>
            <w:tcW w:w="800" w:type="dxa"/>
          </w:tcPr>
          <w:p>
            <w:pPr>
              <w:pStyle w:val="TableParagraph"/>
              <w:spacing w:line="210" w:lineRule="exact"/>
              <w:ind w:left="18" w:right="11"/>
              <w:jc w:val="center"/>
              <w:rPr>
                <w:sz w:val="20"/>
              </w:rPr>
            </w:pPr>
            <w:r>
              <w:rPr>
                <w:spacing w:val="-5"/>
                <w:sz w:val="20"/>
              </w:rPr>
              <w:t>4.3</w:t>
            </w:r>
          </w:p>
        </w:tc>
        <w:tc>
          <w:tcPr>
            <w:tcW w:w="627" w:type="dxa"/>
          </w:tcPr>
          <w:p>
            <w:pPr>
              <w:pStyle w:val="TableParagraph"/>
              <w:spacing w:line="210" w:lineRule="exact"/>
              <w:ind w:left="23" w:right="23"/>
              <w:jc w:val="center"/>
              <w:rPr>
                <w:sz w:val="20"/>
              </w:rPr>
            </w:pPr>
            <w:r>
              <w:rPr>
                <w:spacing w:val="-10"/>
                <w:sz w:val="20"/>
              </w:rPr>
              <w:t>-</w:t>
            </w:r>
          </w:p>
        </w:tc>
        <w:tc>
          <w:tcPr>
            <w:tcW w:w="771" w:type="dxa"/>
          </w:tcPr>
          <w:p>
            <w:pPr>
              <w:pStyle w:val="TableParagraph"/>
              <w:spacing w:line="210" w:lineRule="exact"/>
              <w:ind w:left="45" w:right="23"/>
              <w:jc w:val="center"/>
              <w:rPr>
                <w:sz w:val="20"/>
              </w:rPr>
            </w:pPr>
            <w:r>
              <w:rPr>
                <w:spacing w:val="-10"/>
                <w:sz w:val="20"/>
              </w:rPr>
              <w:t>-</w:t>
            </w:r>
          </w:p>
        </w:tc>
        <w:tc>
          <w:tcPr>
            <w:tcW w:w="692" w:type="dxa"/>
          </w:tcPr>
          <w:p>
            <w:pPr>
              <w:pStyle w:val="TableParagraph"/>
              <w:spacing w:line="210" w:lineRule="exact"/>
              <w:ind w:left="23" w:right="22"/>
              <w:jc w:val="center"/>
              <w:rPr>
                <w:sz w:val="20"/>
              </w:rPr>
            </w:pPr>
            <w:r>
              <w:rPr>
                <w:spacing w:val="-5"/>
                <w:sz w:val="20"/>
              </w:rPr>
              <w:t>23</w:t>
            </w:r>
          </w:p>
        </w:tc>
        <w:tc>
          <w:tcPr>
            <w:tcW w:w="739" w:type="dxa"/>
            <w:tcBorders>
              <w:right w:val="single" w:sz="4" w:space="0" w:color="000000"/>
            </w:tcBorders>
          </w:tcPr>
          <w:p>
            <w:pPr>
              <w:pStyle w:val="TableParagraph"/>
              <w:spacing w:line="210" w:lineRule="exact"/>
              <w:ind w:left="36" w:right="21"/>
              <w:jc w:val="center"/>
              <w:rPr>
                <w:sz w:val="20"/>
              </w:rPr>
            </w:pPr>
            <w:r>
              <w:rPr>
                <w:spacing w:val="-5"/>
                <w:sz w:val="20"/>
              </w:rPr>
              <w:t>5.0</w:t>
            </w:r>
          </w:p>
        </w:tc>
      </w:tr>
      <w:tr>
        <w:trPr>
          <w:trHeight w:val="290" w:hRule="atLeast"/>
        </w:trPr>
        <w:tc>
          <w:tcPr>
            <w:tcW w:w="4147" w:type="dxa"/>
            <w:tcBorders>
              <w:left w:val="single" w:sz="4" w:space="0" w:color="000000"/>
            </w:tcBorders>
          </w:tcPr>
          <w:p>
            <w:pPr>
              <w:pStyle w:val="TableParagraph"/>
              <w:spacing w:line="227" w:lineRule="exact"/>
              <w:ind w:left="830"/>
              <w:rPr>
                <w:sz w:val="20"/>
              </w:rPr>
            </w:pPr>
            <w:r>
              <w:rPr>
                <w:sz w:val="20"/>
              </w:rPr>
              <w:t>academic</w:t>
            </w:r>
            <w:r>
              <w:rPr>
                <w:spacing w:val="-5"/>
                <w:sz w:val="20"/>
              </w:rPr>
              <w:t> </w:t>
            </w:r>
            <w:r>
              <w:rPr>
                <w:spacing w:val="-2"/>
                <w:sz w:val="20"/>
              </w:rPr>
              <w:t>performance</w:t>
            </w:r>
          </w:p>
        </w:tc>
        <w:tc>
          <w:tcPr>
            <w:tcW w:w="1977" w:type="dxa"/>
          </w:tcPr>
          <w:p>
            <w:pPr>
              <w:pStyle w:val="TableParagraph"/>
              <w:rPr>
                <w:rFonts w:ascii="Times New Roman"/>
                <w:sz w:val="20"/>
              </w:rPr>
            </w:pPr>
          </w:p>
        </w:tc>
        <w:tc>
          <w:tcPr>
            <w:tcW w:w="673" w:type="dxa"/>
          </w:tcPr>
          <w:p>
            <w:pPr>
              <w:pStyle w:val="TableParagraph"/>
              <w:rPr>
                <w:rFonts w:ascii="Times New Roman"/>
                <w:sz w:val="20"/>
              </w:rPr>
            </w:pPr>
          </w:p>
        </w:tc>
        <w:tc>
          <w:tcPr>
            <w:tcW w:w="787" w:type="dxa"/>
          </w:tcPr>
          <w:p>
            <w:pPr>
              <w:pStyle w:val="TableParagraph"/>
              <w:rPr>
                <w:rFonts w:ascii="Times New Roman"/>
                <w:sz w:val="20"/>
              </w:rPr>
            </w:pPr>
          </w:p>
        </w:tc>
        <w:tc>
          <w:tcPr>
            <w:tcW w:w="521" w:type="dxa"/>
          </w:tcPr>
          <w:p>
            <w:pPr>
              <w:pStyle w:val="TableParagraph"/>
              <w:rPr>
                <w:rFonts w:ascii="Times New Roman"/>
                <w:sz w:val="20"/>
              </w:rPr>
            </w:pPr>
          </w:p>
        </w:tc>
        <w:tc>
          <w:tcPr>
            <w:tcW w:w="761" w:type="dxa"/>
          </w:tcPr>
          <w:p>
            <w:pPr>
              <w:pStyle w:val="TableParagraph"/>
              <w:rPr>
                <w:rFonts w:ascii="Times New Roman"/>
                <w:sz w:val="20"/>
              </w:rPr>
            </w:pPr>
          </w:p>
        </w:tc>
        <w:tc>
          <w:tcPr>
            <w:tcW w:w="687" w:type="dxa"/>
          </w:tcPr>
          <w:p>
            <w:pPr>
              <w:pStyle w:val="TableParagraph"/>
              <w:rPr>
                <w:rFonts w:ascii="Times New Roman"/>
                <w:sz w:val="20"/>
              </w:rPr>
            </w:pPr>
          </w:p>
        </w:tc>
        <w:tc>
          <w:tcPr>
            <w:tcW w:w="903" w:type="dxa"/>
          </w:tcPr>
          <w:p>
            <w:pPr>
              <w:pStyle w:val="TableParagraph"/>
              <w:rPr>
                <w:rFonts w:ascii="Times New Roman"/>
                <w:sz w:val="20"/>
              </w:rPr>
            </w:pPr>
          </w:p>
        </w:tc>
        <w:tc>
          <w:tcPr>
            <w:tcW w:w="685" w:type="dxa"/>
          </w:tcPr>
          <w:p>
            <w:pPr>
              <w:pStyle w:val="TableParagraph"/>
              <w:rPr>
                <w:rFonts w:ascii="Times New Roman"/>
                <w:sz w:val="20"/>
              </w:rPr>
            </w:pPr>
          </w:p>
        </w:tc>
        <w:tc>
          <w:tcPr>
            <w:tcW w:w="800" w:type="dxa"/>
          </w:tcPr>
          <w:p>
            <w:pPr>
              <w:pStyle w:val="TableParagraph"/>
              <w:rPr>
                <w:rFonts w:ascii="Times New Roman"/>
                <w:sz w:val="20"/>
              </w:rPr>
            </w:pPr>
          </w:p>
        </w:tc>
        <w:tc>
          <w:tcPr>
            <w:tcW w:w="627" w:type="dxa"/>
          </w:tcPr>
          <w:p>
            <w:pPr>
              <w:pStyle w:val="TableParagraph"/>
              <w:rPr>
                <w:rFonts w:ascii="Times New Roman"/>
                <w:sz w:val="20"/>
              </w:rPr>
            </w:pPr>
          </w:p>
        </w:tc>
        <w:tc>
          <w:tcPr>
            <w:tcW w:w="771" w:type="dxa"/>
          </w:tcPr>
          <w:p>
            <w:pPr>
              <w:pStyle w:val="TableParagraph"/>
              <w:rPr>
                <w:rFonts w:ascii="Times New Roman"/>
                <w:sz w:val="20"/>
              </w:rPr>
            </w:pPr>
          </w:p>
        </w:tc>
        <w:tc>
          <w:tcPr>
            <w:tcW w:w="692" w:type="dxa"/>
          </w:tcPr>
          <w:p>
            <w:pPr>
              <w:pStyle w:val="TableParagraph"/>
              <w:rPr>
                <w:rFonts w:ascii="Times New Roman"/>
                <w:sz w:val="20"/>
              </w:rPr>
            </w:pPr>
          </w:p>
        </w:tc>
        <w:tc>
          <w:tcPr>
            <w:tcW w:w="739" w:type="dxa"/>
            <w:tcBorders>
              <w:right w:val="single" w:sz="4" w:space="0" w:color="000000"/>
            </w:tcBorders>
          </w:tcPr>
          <w:p>
            <w:pPr>
              <w:pStyle w:val="TableParagraph"/>
              <w:rPr>
                <w:rFonts w:ascii="Times New Roman"/>
                <w:sz w:val="20"/>
              </w:rPr>
            </w:pPr>
          </w:p>
        </w:tc>
      </w:tr>
      <w:tr>
        <w:trPr>
          <w:trHeight w:val="290" w:hRule="atLeast"/>
        </w:trPr>
        <w:tc>
          <w:tcPr>
            <w:tcW w:w="4147" w:type="dxa"/>
            <w:tcBorders>
              <w:left w:val="single" w:sz="4" w:space="0" w:color="000000"/>
            </w:tcBorders>
          </w:tcPr>
          <w:p>
            <w:pPr>
              <w:pStyle w:val="TableParagraph"/>
              <w:tabs>
                <w:tab w:pos="609" w:val="left" w:leader="none"/>
              </w:tabs>
              <w:spacing w:line="213" w:lineRule="exact" w:before="57"/>
              <w:ind w:right="101"/>
              <w:jc w:val="right"/>
              <w:rPr>
                <w:sz w:val="20"/>
              </w:rPr>
            </w:pPr>
            <w:r>
              <w:rPr>
                <w:spacing w:val="-5"/>
                <w:sz w:val="20"/>
              </w:rPr>
              <w:t>34.</w:t>
            </w:r>
            <w:r>
              <w:rPr>
                <w:sz w:val="20"/>
              </w:rPr>
              <w:tab/>
              <w:t>The</w:t>
            </w:r>
            <w:r>
              <w:rPr>
                <w:spacing w:val="7"/>
                <w:sz w:val="20"/>
              </w:rPr>
              <w:t> </w:t>
            </w:r>
            <w:r>
              <w:rPr>
                <w:sz w:val="20"/>
              </w:rPr>
              <w:t>introduction</w:t>
            </w:r>
            <w:r>
              <w:rPr>
                <w:spacing w:val="7"/>
                <w:sz w:val="20"/>
              </w:rPr>
              <w:t> </w:t>
            </w:r>
            <w:r>
              <w:rPr>
                <w:sz w:val="20"/>
              </w:rPr>
              <w:t>of</w:t>
            </w:r>
            <w:r>
              <w:rPr>
                <w:spacing w:val="10"/>
                <w:sz w:val="20"/>
              </w:rPr>
              <w:t> </w:t>
            </w:r>
            <w:r>
              <w:rPr>
                <w:sz w:val="20"/>
              </w:rPr>
              <w:t>Private</w:t>
            </w:r>
            <w:r>
              <w:rPr>
                <w:spacing w:val="8"/>
                <w:sz w:val="20"/>
              </w:rPr>
              <w:t> </w:t>
            </w:r>
            <w:r>
              <w:rPr>
                <w:spacing w:val="-2"/>
                <w:sz w:val="20"/>
              </w:rPr>
              <w:t>Catering</w:t>
            </w:r>
          </w:p>
        </w:tc>
        <w:tc>
          <w:tcPr>
            <w:tcW w:w="1977" w:type="dxa"/>
          </w:tcPr>
          <w:p>
            <w:pPr>
              <w:pStyle w:val="TableParagraph"/>
              <w:spacing w:line="213" w:lineRule="exact" w:before="57"/>
              <w:ind w:left="110"/>
              <w:rPr>
                <w:sz w:val="20"/>
              </w:rPr>
            </w:pPr>
            <w:r>
              <w:rPr>
                <w:sz w:val="20"/>
              </w:rPr>
              <w:t>No.</w:t>
            </w:r>
            <w:r>
              <w:rPr>
                <w:spacing w:val="-5"/>
                <w:sz w:val="20"/>
              </w:rPr>
              <w:t> </w:t>
            </w:r>
            <w:r>
              <w:rPr>
                <w:sz w:val="20"/>
              </w:rPr>
              <w:t>of</w:t>
            </w:r>
            <w:r>
              <w:rPr>
                <w:spacing w:val="-2"/>
                <w:sz w:val="20"/>
              </w:rPr>
              <w:t> missing</w:t>
            </w:r>
          </w:p>
        </w:tc>
        <w:tc>
          <w:tcPr>
            <w:tcW w:w="673" w:type="dxa"/>
          </w:tcPr>
          <w:p>
            <w:pPr>
              <w:pStyle w:val="TableParagraph"/>
              <w:rPr>
                <w:rFonts w:ascii="Times New Roman"/>
                <w:sz w:val="20"/>
              </w:rPr>
            </w:pPr>
          </w:p>
        </w:tc>
        <w:tc>
          <w:tcPr>
            <w:tcW w:w="787" w:type="dxa"/>
          </w:tcPr>
          <w:p>
            <w:pPr>
              <w:pStyle w:val="TableParagraph"/>
              <w:rPr>
                <w:rFonts w:ascii="Times New Roman"/>
                <w:sz w:val="20"/>
              </w:rPr>
            </w:pPr>
          </w:p>
        </w:tc>
        <w:tc>
          <w:tcPr>
            <w:tcW w:w="521" w:type="dxa"/>
          </w:tcPr>
          <w:p>
            <w:pPr>
              <w:pStyle w:val="TableParagraph"/>
              <w:rPr>
                <w:rFonts w:ascii="Times New Roman"/>
                <w:sz w:val="20"/>
              </w:rPr>
            </w:pPr>
          </w:p>
        </w:tc>
        <w:tc>
          <w:tcPr>
            <w:tcW w:w="761" w:type="dxa"/>
          </w:tcPr>
          <w:p>
            <w:pPr>
              <w:pStyle w:val="TableParagraph"/>
              <w:rPr>
                <w:rFonts w:ascii="Times New Roman"/>
                <w:sz w:val="20"/>
              </w:rPr>
            </w:pPr>
          </w:p>
        </w:tc>
        <w:tc>
          <w:tcPr>
            <w:tcW w:w="687" w:type="dxa"/>
          </w:tcPr>
          <w:p>
            <w:pPr>
              <w:pStyle w:val="TableParagraph"/>
              <w:rPr>
                <w:rFonts w:ascii="Times New Roman"/>
                <w:sz w:val="20"/>
              </w:rPr>
            </w:pPr>
          </w:p>
        </w:tc>
        <w:tc>
          <w:tcPr>
            <w:tcW w:w="903" w:type="dxa"/>
          </w:tcPr>
          <w:p>
            <w:pPr>
              <w:pStyle w:val="TableParagraph"/>
              <w:rPr>
                <w:rFonts w:ascii="Times New Roman"/>
                <w:sz w:val="20"/>
              </w:rPr>
            </w:pPr>
          </w:p>
        </w:tc>
        <w:tc>
          <w:tcPr>
            <w:tcW w:w="685" w:type="dxa"/>
          </w:tcPr>
          <w:p>
            <w:pPr>
              <w:pStyle w:val="TableParagraph"/>
              <w:rPr>
                <w:rFonts w:ascii="Times New Roman"/>
                <w:sz w:val="20"/>
              </w:rPr>
            </w:pPr>
          </w:p>
        </w:tc>
        <w:tc>
          <w:tcPr>
            <w:tcW w:w="800" w:type="dxa"/>
          </w:tcPr>
          <w:p>
            <w:pPr>
              <w:pStyle w:val="TableParagraph"/>
              <w:rPr>
                <w:rFonts w:ascii="Times New Roman"/>
                <w:sz w:val="20"/>
              </w:rPr>
            </w:pPr>
          </w:p>
        </w:tc>
        <w:tc>
          <w:tcPr>
            <w:tcW w:w="627" w:type="dxa"/>
          </w:tcPr>
          <w:p>
            <w:pPr>
              <w:pStyle w:val="TableParagraph"/>
              <w:rPr>
                <w:rFonts w:ascii="Times New Roman"/>
                <w:sz w:val="20"/>
              </w:rPr>
            </w:pPr>
          </w:p>
        </w:tc>
        <w:tc>
          <w:tcPr>
            <w:tcW w:w="771" w:type="dxa"/>
          </w:tcPr>
          <w:p>
            <w:pPr>
              <w:pStyle w:val="TableParagraph"/>
              <w:rPr>
                <w:rFonts w:ascii="Times New Roman"/>
                <w:sz w:val="20"/>
              </w:rPr>
            </w:pPr>
          </w:p>
        </w:tc>
        <w:tc>
          <w:tcPr>
            <w:tcW w:w="692" w:type="dxa"/>
          </w:tcPr>
          <w:p>
            <w:pPr>
              <w:pStyle w:val="TableParagraph"/>
              <w:rPr>
                <w:rFonts w:ascii="Times New Roman"/>
                <w:sz w:val="20"/>
              </w:rPr>
            </w:pPr>
          </w:p>
        </w:tc>
        <w:tc>
          <w:tcPr>
            <w:tcW w:w="739" w:type="dxa"/>
            <w:tcBorders>
              <w:right w:val="single" w:sz="4" w:space="0" w:color="000000"/>
            </w:tcBorders>
          </w:tcPr>
          <w:p>
            <w:pPr>
              <w:pStyle w:val="TableParagraph"/>
              <w:rPr>
                <w:rFonts w:ascii="Times New Roman"/>
                <w:sz w:val="20"/>
              </w:rPr>
            </w:pPr>
          </w:p>
        </w:tc>
      </w:tr>
      <w:tr>
        <w:trPr>
          <w:trHeight w:val="230" w:hRule="atLeast"/>
        </w:trPr>
        <w:tc>
          <w:tcPr>
            <w:tcW w:w="4147" w:type="dxa"/>
            <w:tcBorders>
              <w:left w:val="single" w:sz="4" w:space="0" w:color="000000"/>
            </w:tcBorders>
          </w:tcPr>
          <w:p>
            <w:pPr>
              <w:pStyle w:val="TableParagraph"/>
              <w:spacing w:line="210" w:lineRule="exact"/>
              <w:ind w:right="98"/>
              <w:jc w:val="right"/>
              <w:rPr>
                <w:sz w:val="20"/>
              </w:rPr>
            </w:pPr>
            <w:r>
              <w:rPr>
                <w:sz w:val="20"/>
              </w:rPr>
              <w:t>system</w:t>
            </w:r>
            <w:r>
              <w:rPr>
                <w:spacing w:val="64"/>
                <w:sz w:val="20"/>
              </w:rPr>
              <w:t> </w:t>
            </w:r>
            <w:r>
              <w:rPr>
                <w:sz w:val="20"/>
              </w:rPr>
              <w:t>in</w:t>
            </w:r>
            <w:r>
              <w:rPr>
                <w:spacing w:val="59"/>
                <w:sz w:val="20"/>
              </w:rPr>
              <w:t> </w:t>
            </w:r>
            <w:r>
              <w:rPr>
                <w:sz w:val="20"/>
              </w:rPr>
              <w:t>Nigerian</w:t>
            </w:r>
            <w:r>
              <w:rPr>
                <w:spacing w:val="59"/>
                <w:sz w:val="20"/>
              </w:rPr>
              <w:t> </w:t>
            </w:r>
            <w:r>
              <w:rPr>
                <w:sz w:val="20"/>
              </w:rPr>
              <w:t>Universities</w:t>
            </w:r>
            <w:r>
              <w:rPr>
                <w:spacing w:val="56"/>
                <w:sz w:val="20"/>
              </w:rPr>
              <w:t> </w:t>
            </w:r>
            <w:r>
              <w:rPr>
                <w:spacing w:val="-5"/>
                <w:sz w:val="20"/>
              </w:rPr>
              <w:t>is</w:t>
            </w:r>
          </w:p>
        </w:tc>
        <w:tc>
          <w:tcPr>
            <w:tcW w:w="1977" w:type="dxa"/>
          </w:tcPr>
          <w:p>
            <w:pPr>
              <w:pStyle w:val="TableParagraph"/>
              <w:spacing w:line="210" w:lineRule="exact"/>
              <w:ind w:left="110"/>
              <w:rPr>
                <w:sz w:val="20"/>
              </w:rPr>
            </w:pPr>
            <w:r>
              <w:rPr>
                <w:spacing w:val="-2"/>
                <w:sz w:val="20"/>
              </w:rPr>
              <w:t>observations</w:t>
            </w:r>
          </w:p>
        </w:tc>
        <w:tc>
          <w:tcPr>
            <w:tcW w:w="673" w:type="dxa"/>
          </w:tcPr>
          <w:p>
            <w:pPr>
              <w:pStyle w:val="TableParagraph"/>
              <w:spacing w:line="210" w:lineRule="exact"/>
              <w:ind w:left="55" w:right="7"/>
              <w:jc w:val="center"/>
              <w:rPr>
                <w:sz w:val="20"/>
              </w:rPr>
            </w:pPr>
            <w:r>
              <w:rPr>
                <w:spacing w:val="-10"/>
                <w:sz w:val="20"/>
              </w:rPr>
              <w:t>-</w:t>
            </w:r>
          </w:p>
        </w:tc>
        <w:tc>
          <w:tcPr>
            <w:tcW w:w="787" w:type="dxa"/>
          </w:tcPr>
          <w:p>
            <w:pPr>
              <w:pStyle w:val="TableParagraph"/>
              <w:spacing w:line="210" w:lineRule="exact"/>
              <w:ind w:left="39" w:right="11"/>
              <w:jc w:val="center"/>
              <w:rPr>
                <w:sz w:val="20"/>
              </w:rPr>
            </w:pPr>
            <w:r>
              <w:rPr>
                <w:spacing w:val="-10"/>
                <w:sz w:val="20"/>
              </w:rPr>
              <w:t>-</w:t>
            </w:r>
          </w:p>
        </w:tc>
        <w:tc>
          <w:tcPr>
            <w:tcW w:w="521" w:type="dxa"/>
          </w:tcPr>
          <w:p>
            <w:pPr>
              <w:pStyle w:val="TableParagraph"/>
              <w:spacing w:line="210" w:lineRule="exact"/>
              <w:ind w:right="19"/>
              <w:jc w:val="center"/>
              <w:rPr>
                <w:sz w:val="20"/>
              </w:rPr>
            </w:pPr>
            <w:r>
              <w:rPr>
                <w:spacing w:val="-10"/>
                <w:sz w:val="20"/>
              </w:rPr>
              <w:t>-</w:t>
            </w:r>
          </w:p>
        </w:tc>
        <w:tc>
          <w:tcPr>
            <w:tcW w:w="761" w:type="dxa"/>
          </w:tcPr>
          <w:p>
            <w:pPr>
              <w:pStyle w:val="TableParagraph"/>
              <w:spacing w:line="210" w:lineRule="exact"/>
              <w:ind w:right="34"/>
              <w:jc w:val="center"/>
              <w:rPr>
                <w:sz w:val="20"/>
              </w:rPr>
            </w:pPr>
            <w:r>
              <w:rPr>
                <w:spacing w:val="-10"/>
                <w:sz w:val="20"/>
              </w:rPr>
              <w:t>-</w:t>
            </w:r>
          </w:p>
        </w:tc>
        <w:tc>
          <w:tcPr>
            <w:tcW w:w="687" w:type="dxa"/>
          </w:tcPr>
          <w:p>
            <w:pPr>
              <w:pStyle w:val="TableParagraph"/>
              <w:spacing w:line="210" w:lineRule="exact"/>
              <w:ind w:left="67" w:right="102"/>
              <w:jc w:val="center"/>
              <w:rPr>
                <w:sz w:val="20"/>
              </w:rPr>
            </w:pPr>
            <w:r>
              <w:rPr>
                <w:spacing w:val="-10"/>
                <w:sz w:val="20"/>
              </w:rPr>
              <w:t>1</w:t>
            </w:r>
          </w:p>
        </w:tc>
        <w:tc>
          <w:tcPr>
            <w:tcW w:w="903" w:type="dxa"/>
          </w:tcPr>
          <w:p>
            <w:pPr>
              <w:pStyle w:val="TableParagraph"/>
              <w:spacing w:line="210" w:lineRule="exact"/>
              <w:ind w:left="13"/>
              <w:jc w:val="center"/>
              <w:rPr>
                <w:sz w:val="20"/>
              </w:rPr>
            </w:pPr>
            <w:r>
              <w:rPr>
                <w:spacing w:val="-4"/>
                <w:sz w:val="20"/>
              </w:rPr>
              <w:t>50.0</w:t>
            </w:r>
          </w:p>
        </w:tc>
        <w:tc>
          <w:tcPr>
            <w:tcW w:w="685" w:type="dxa"/>
          </w:tcPr>
          <w:p>
            <w:pPr>
              <w:pStyle w:val="TableParagraph"/>
              <w:spacing w:line="210" w:lineRule="exact"/>
              <w:ind w:left="83" w:right="32"/>
              <w:jc w:val="center"/>
              <w:rPr>
                <w:sz w:val="20"/>
              </w:rPr>
            </w:pPr>
            <w:r>
              <w:rPr>
                <w:spacing w:val="-10"/>
                <w:sz w:val="20"/>
              </w:rPr>
              <w:t>-</w:t>
            </w:r>
          </w:p>
        </w:tc>
        <w:tc>
          <w:tcPr>
            <w:tcW w:w="800" w:type="dxa"/>
          </w:tcPr>
          <w:p>
            <w:pPr>
              <w:pStyle w:val="TableParagraph"/>
              <w:spacing w:line="210" w:lineRule="exact"/>
              <w:ind w:left="18" w:right="12"/>
              <w:jc w:val="center"/>
              <w:rPr>
                <w:sz w:val="20"/>
              </w:rPr>
            </w:pPr>
            <w:r>
              <w:rPr>
                <w:spacing w:val="-10"/>
                <w:sz w:val="20"/>
              </w:rPr>
              <w:t>-</w:t>
            </w:r>
          </w:p>
        </w:tc>
        <w:tc>
          <w:tcPr>
            <w:tcW w:w="627" w:type="dxa"/>
          </w:tcPr>
          <w:p>
            <w:pPr>
              <w:pStyle w:val="TableParagraph"/>
              <w:spacing w:line="210" w:lineRule="exact"/>
              <w:ind w:left="23" w:right="17"/>
              <w:jc w:val="center"/>
              <w:rPr>
                <w:sz w:val="20"/>
              </w:rPr>
            </w:pPr>
            <w:r>
              <w:rPr>
                <w:spacing w:val="-10"/>
                <w:sz w:val="20"/>
              </w:rPr>
              <w:t>1</w:t>
            </w:r>
          </w:p>
        </w:tc>
        <w:tc>
          <w:tcPr>
            <w:tcW w:w="771" w:type="dxa"/>
          </w:tcPr>
          <w:p>
            <w:pPr>
              <w:pStyle w:val="TableParagraph"/>
              <w:spacing w:line="210" w:lineRule="exact"/>
              <w:ind w:left="45" w:right="16"/>
              <w:jc w:val="center"/>
              <w:rPr>
                <w:sz w:val="20"/>
              </w:rPr>
            </w:pPr>
            <w:r>
              <w:rPr>
                <w:spacing w:val="-4"/>
                <w:sz w:val="20"/>
              </w:rPr>
              <w:t>50.0</w:t>
            </w:r>
          </w:p>
        </w:tc>
        <w:tc>
          <w:tcPr>
            <w:tcW w:w="692" w:type="dxa"/>
          </w:tcPr>
          <w:p>
            <w:pPr>
              <w:pStyle w:val="TableParagraph"/>
              <w:spacing w:line="210" w:lineRule="exact"/>
              <w:ind w:left="23" w:right="17"/>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21"/>
              <w:jc w:val="center"/>
              <w:rPr>
                <w:sz w:val="20"/>
              </w:rPr>
            </w:pPr>
            <w:r>
              <w:rPr>
                <w:spacing w:val="-5"/>
                <w:sz w:val="20"/>
              </w:rPr>
              <w:t>0.4</w:t>
            </w:r>
          </w:p>
        </w:tc>
      </w:tr>
      <w:tr>
        <w:trPr>
          <w:trHeight w:val="230" w:hRule="atLeast"/>
        </w:trPr>
        <w:tc>
          <w:tcPr>
            <w:tcW w:w="4147" w:type="dxa"/>
            <w:tcBorders>
              <w:left w:val="single" w:sz="4" w:space="0" w:color="000000"/>
            </w:tcBorders>
          </w:tcPr>
          <w:p>
            <w:pPr>
              <w:pStyle w:val="TableParagraph"/>
              <w:spacing w:line="210" w:lineRule="exact"/>
              <w:ind w:right="105"/>
              <w:jc w:val="right"/>
              <w:rPr>
                <w:sz w:val="20"/>
              </w:rPr>
            </w:pPr>
            <w:r>
              <w:rPr>
                <w:sz w:val="20"/>
              </w:rPr>
              <w:t>expensive</w:t>
            </w:r>
            <w:r>
              <w:rPr>
                <w:spacing w:val="79"/>
                <w:w w:val="150"/>
                <w:sz w:val="20"/>
              </w:rPr>
              <w:t> </w:t>
            </w:r>
            <w:r>
              <w:rPr>
                <w:sz w:val="20"/>
              </w:rPr>
              <w:t>for</w:t>
            </w:r>
            <w:r>
              <w:rPr>
                <w:spacing w:val="29"/>
                <w:sz w:val="20"/>
              </w:rPr>
              <w:t>  </w:t>
            </w:r>
            <w:r>
              <w:rPr>
                <w:sz w:val="20"/>
              </w:rPr>
              <w:t>students</w:t>
            </w:r>
            <w:r>
              <w:rPr>
                <w:spacing w:val="29"/>
                <w:sz w:val="20"/>
              </w:rPr>
              <w:t>  </w:t>
            </w:r>
            <w:r>
              <w:rPr>
                <w:sz w:val="20"/>
              </w:rPr>
              <w:t>and</w:t>
            </w:r>
            <w:r>
              <w:rPr>
                <w:spacing w:val="30"/>
                <w:sz w:val="20"/>
              </w:rPr>
              <w:t>  </w:t>
            </w:r>
            <w:r>
              <w:rPr>
                <w:spacing w:val="-5"/>
                <w:sz w:val="20"/>
              </w:rPr>
              <w:t>the</w:t>
            </w:r>
          </w:p>
        </w:tc>
        <w:tc>
          <w:tcPr>
            <w:tcW w:w="1977" w:type="dxa"/>
          </w:tcPr>
          <w:p>
            <w:pPr>
              <w:pStyle w:val="TableParagraph"/>
              <w:spacing w:line="210" w:lineRule="exact"/>
              <w:ind w:left="110"/>
              <w:rPr>
                <w:sz w:val="20"/>
              </w:rPr>
            </w:pPr>
            <w:r>
              <w:rPr>
                <w:spacing w:val="-2"/>
                <w:sz w:val="20"/>
              </w:rPr>
              <w:t>Students</w:t>
            </w:r>
          </w:p>
        </w:tc>
        <w:tc>
          <w:tcPr>
            <w:tcW w:w="673" w:type="dxa"/>
          </w:tcPr>
          <w:p>
            <w:pPr>
              <w:pStyle w:val="TableParagraph"/>
              <w:spacing w:line="210" w:lineRule="exact"/>
              <w:ind w:left="55" w:right="10"/>
              <w:jc w:val="center"/>
              <w:rPr>
                <w:sz w:val="20"/>
              </w:rPr>
            </w:pPr>
            <w:r>
              <w:rPr>
                <w:spacing w:val="-5"/>
                <w:sz w:val="20"/>
              </w:rPr>
              <w:t>120</w:t>
            </w:r>
          </w:p>
        </w:tc>
        <w:tc>
          <w:tcPr>
            <w:tcW w:w="787" w:type="dxa"/>
          </w:tcPr>
          <w:p>
            <w:pPr>
              <w:pStyle w:val="TableParagraph"/>
              <w:spacing w:line="210" w:lineRule="exact"/>
              <w:ind w:left="39" w:right="4"/>
              <w:jc w:val="center"/>
              <w:rPr>
                <w:sz w:val="20"/>
              </w:rPr>
            </w:pPr>
            <w:r>
              <w:rPr>
                <w:spacing w:val="-4"/>
                <w:sz w:val="20"/>
              </w:rPr>
              <w:t>51.1</w:t>
            </w:r>
          </w:p>
        </w:tc>
        <w:tc>
          <w:tcPr>
            <w:tcW w:w="521" w:type="dxa"/>
          </w:tcPr>
          <w:p>
            <w:pPr>
              <w:pStyle w:val="TableParagraph"/>
              <w:spacing w:line="210" w:lineRule="exact"/>
              <w:ind w:left="2" w:right="19"/>
              <w:jc w:val="center"/>
              <w:rPr>
                <w:sz w:val="20"/>
              </w:rPr>
            </w:pPr>
            <w:r>
              <w:rPr>
                <w:spacing w:val="-5"/>
                <w:sz w:val="20"/>
              </w:rPr>
              <w:t>80</w:t>
            </w:r>
          </w:p>
        </w:tc>
        <w:tc>
          <w:tcPr>
            <w:tcW w:w="761" w:type="dxa"/>
          </w:tcPr>
          <w:p>
            <w:pPr>
              <w:pStyle w:val="TableParagraph"/>
              <w:spacing w:line="210" w:lineRule="exact"/>
              <w:ind w:left="7" w:right="34"/>
              <w:jc w:val="center"/>
              <w:rPr>
                <w:sz w:val="20"/>
              </w:rPr>
            </w:pPr>
            <w:r>
              <w:rPr>
                <w:spacing w:val="-4"/>
                <w:sz w:val="20"/>
              </w:rPr>
              <w:t>34.0</w:t>
            </w:r>
          </w:p>
        </w:tc>
        <w:tc>
          <w:tcPr>
            <w:tcW w:w="687" w:type="dxa"/>
          </w:tcPr>
          <w:p>
            <w:pPr>
              <w:pStyle w:val="TableParagraph"/>
              <w:spacing w:line="210" w:lineRule="exact"/>
              <w:ind w:left="67" w:right="107"/>
              <w:jc w:val="center"/>
              <w:rPr>
                <w:sz w:val="20"/>
              </w:rPr>
            </w:pPr>
            <w:r>
              <w:rPr>
                <w:spacing w:val="-5"/>
                <w:sz w:val="20"/>
              </w:rPr>
              <w:t>19</w:t>
            </w:r>
          </w:p>
        </w:tc>
        <w:tc>
          <w:tcPr>
            <w:tcW w:w="903" w:type="dxa"/>
          </w:tcPr>
          <w:p>
            <w:pPr>
              <w:pStyle w:val="TableParagraph"/>
              <w:spacing w:line="210" w:lineRule="exact"/>
              <w:ind w:left="13" w:right="5"/>
              <w:jc w:val="center"/>
              <w:rPr>
                <w:sz w:val="20"/>
              </w:rPr>
            </w:pPr>
            <w:r>
              <w:rPr>
                <w:spacing w:val="-5"/>
                <w:sz w:val="20"/>
              </w:rPr>
              <w:t>8.1</w:t>
            </w:r>
          </w:p>
        </w:tc>
        <w:tc>
          <w:tcPr>
            <w:tcW w:w="685" w:type="dxa"/>
          </w:tcPr>
          <w:p>
            <w:pPr>
              <w:pStyle w:val="TableParagraph"/>
              <w:spacing w:line="210" w:lineRule="exact"/>
              <w:ind w:left="85" w:right="32"/>
              <w:jc w:val="center"/>
              <w:rPr>
                <w:sz w:val="20"/>
              </w:rPr>
            </w:pPr>
            <w:r>
              <w:rPr>
                <w:spacing w:val="-5"/>
                <w:sz w:val="20"/>
              </w:rPr>
              <w:t>13</w:t>
            </w:r>
          </w:p>
        </w:tc>
        <w:tc>
          <w:tcPr>
            <w:tcW w:w="800" w:type="dxa"/>
          </w:tcPr>
          <w:p>
            <w:pPr>
              <w:pStyle w:val="TableParagraph"/>
              <w:spacing w:line="210" w:lineRule="exact"/>
              <w:ind w:left="18" w:right="11"/>
              <w:jc w:val="center"/>
              <w:rPr>
                <w:sz w:val="20"/>
              </w:rPr>
            </w:pPr>
            <w:r>
              <w:rPr>
                <w:spacing w:val="-5"/>
                <w:sz w:val="20"/>
              </w:rPr>
              <w:t>5.5</w:t>
            </w:r>
          </w:p>
        </w:tc>
        <w:tc>
          <w:tcPr>
            <w:tcW w:w="627" w:type="dxa"/>
          </w:tcPr>
          <w:p>
            <w:pPr>
              <w:pStyle w:val="TableParagraph"/>
              <w:spacing w:line="210" w:lineRule="exact"/>
              <w:ind w:left="23" w:right="17"/>
              <w:jc w:val="center"/>
              <w:rPr>
                <w:sz w:val="20"/>
              </w:rPr>
            </w:pPr>
            <w:r>
              <w:rPr>
                <w:spacing w:val="-10"/>
                <w:sz w:val="20"/>
              </w:rPr>
              <w:t>3</w:t>
            </w:r>
          </w:p>
        </w:tc>
        <w:tc>
          <w:tcPr>
            <w:tcW w:w="771" w:type="dxa"/>
          </w:tcPr>
          <w:p>
            <w:pPr>
              <w:pStyle w:val="TableParagraph"/>
              <w:spacing w:line="210" w:lineRule="exact"/>
              <w:ind w:left="45" w:right="21"/>
              <w:jc w:val="center"/>
              <w:rPr>
                <w:sz w:val="20"/>
              </w:rPr>
            </w:pPr>
            <w:r>
              <w:rPr>
                <w:spacing w:val="-5"/>
                <w:sz w:val="20"/>
              </w:rPr>
              <w:t>1.3</w:t>
            </w:r>
          </w:p>
        </w:tc>
        <w:tc>
          <w:tcPr>
            <w:tcW w:w="692" w:type="dxa"/>
          </w:tcPr>
          <w:p>
            <w:pPr>
              <w:pStyle w:val="TableParagraph"/>
              <w:spacing w:line="210" w:lineRule="exact"/>
              <w:ind w:left="23" w:right="24"/>
              <w:jc w:val="center"/>
              <w:rPr>
                <w:sz w:val="20"/>
              </w:rPr>
            </w:pPr>
            <w:r>
              <w:rPr>
                <w:spacing w:val="-5"/>
                <w:sz w:val="20"/>
              </w:rPr>
              <w:t>235</w:t>
            </w:r>
          </w:p>
        </w:tc>
        <w:tc>
          <w:tcPr>
            <w:tcW w:w="739" w:type="dxa"/>
            <w:tcBorders>
              <w:right w:val="single" w:sz="4" w:space="0" w:color="000000"/>
            </w:tcBorders>
          </w:tcPr>
          <w:p>
            <w:pPr>
              <w:pStyle w:val="TableParagraph"/>
              <w:spacing w:line="210" w:lineRule="exact"/>
              <w:ind w:left="36" w:right="16"/>
              <w:jc w:val="center"/>
              <w:rPr>
                <w:sz w:val="20"/>
              </w:rPr>
            </w:pPr>
            <w:r>
              <w:rPr>
                <w:spacing w:val="-4"/>
                <w:sz w:val="20"/>
              </w:rPr>
              <w:t>50.8</w:t>
            </w:r>
          </w:p>
        </w:tc>
      </w:tr>
      <w:tr>
        <w:trPr>
          <w:trHeight w:val="230" w:hRule="atLeast"/>
        </w:trPr>
        <w:tc>
          <w:tcPr>
            <w:tcW w:w="4147" w:type="dxa"/>
            <w:tcBorders>
              <w:left w:val="single" w:sz="4" w:space="0" w:color="000000"/>
            </w:tcBorders>
          </w:tcPr>
          <w:p>
            <w:pPr>
              <w:pStyle w:val="TableParagraph"/>
              <w:spacing w:line="210" w:lineRule="exact"/>
              <w:ind w:right="101"/>
              <w:jc w:val="right"/>
              <w:rPr>
                <w:sz w:val="20"/>
              </w:rPr>
            </w:pPr>
            <w:r>
              <w:rPr>
                <w:sz w:val="20"/>
              </w:rPr>
              <w:t>quality</w:t>
            </w:r>
            <w:r>
              <w:rPr>
                <w:spacing w:val="26"/>
                <w:sz w:val="20"/>
              </w:rPr>
              <w:t> </w:t>
            </w:r>
            <w:r>
              <w:rPr>
                <w:sz w:val="20"/>
              </w:rPr>
              <w:t>and</w:t>
            </w:r>
            <w:r>
              <w:rPr>
                <w:spacing w:val="25"/>
                <w:sz w:val="20"/>
              </w:rPr>
              <w:t> </w:t>
            </w:r>
            <w:r>
              <w:rPr>
                <w:sz w:val="20"/>
              </w:rPr>
              <w:t>quantity</w:t>
            </w:r>
            <w:r>
              <w:rPr>
                <w:spacing w:val="27"/>
                <w:sz w:val="20"/>
              </w:rPr>
              <w:t> </w:t>
            </w:r>
            <w:r>
              <w:rPr>
                <w:sz w:val="20"/>
              </w:rPr>
              <w:t>of</w:t>
            </w:r>
            <w:r>
              <w:rPr>
                <w:spacing w:val="28"/>
                <w:sz w:val="20"/>
              </w:rPr>
              <w:t> </w:t>
            </w:r>
            <w:r>
              <w:rPr>
                <w:sz w:val="20"/>
              </w:rPr>
              <w:t>food</w:t>
            </w:r>
            <w:r>
              <w:rPr>
                <w:spacing w:val="25"/>
                <w:sz w:val="20"/>
              </w:rPr>
              <w:t> </w:t>
            </w:r>
            <w:r>
              <w:rPr>
                <w:spacing w:val="-2"/>
                <w:sz w:val="20"/>
              </w:rPr>
              <w:t>served</w:t>
            </w:r>
          </w:p>
        </w:tc>
        <w:tc>
          <w:tcPr>
            <w:tcW w:w="1977" w:type="dxa"/>
          </w:tcPr>
          <w:p>
            <w:pPr>
              <w:pStyle w:val="TableParagraph"/>
              <w:spacing w:line="210" w:lineRule="exact"/>
              <w:ind w:left="110"/>
              <w:rPr>
                <w:sz w:val="20"/>
              </w:rPr>
            </w:pPr>
            <w:r>
              <w:rPr>
                <w:sz w:val="20"/>
              </w:rPr>
              <w:t>Service</w:t>
            </w:r>
            <w:r>
              <w:rPr>
                <w:spacing w:val="-9"/>
                <w:sz w:val="20"/>
              </w:rPr>
              <w:t> </w:t>
            </w:r>
            <w:r>
              <w:rPr>
                <w:spacing w:val="-2"/>
                <w:sz w:val="20"/>
              </w:rPr>
              <w:t>Staff</w:t>
            </w:r>
          </w:p>
        </w:tc>
        <w:tc>
          <w:tcPr>
            <w:tcW w:w="673" w:type="dxa"/>
          </w:tcPr>
          <w:p>
            <w:pPr>
              <w:pStyle w:val="TableParagraph"/>
              <w:spacing w:line="210" w:lineRule="exact"/>
              <w:ind w:left="55" w:right="5"/>
              <w:jc w:val="center"/>
              <w:rPr>
                <w:sz w:val="20"/>
              </w:rPr>
            </w:pPr>
            <w:r>
              <w:rPr>
                <w:spacing w:val="-5"/>
                <w:sz w:val="20"/>
              </w:rPr>
              <w:t>96</w:t>
            </w:r>
          </w:p>
        </w:tc>
        <w:tc>
          <w:tcPr>
            <w:tcW w:w="787" w:type="dxa"/>
          </w:tcPr>
          <w:p>
            <w:pPr>
              <w:pStyle w:val="TableParagraph"/>
              <w:spacing w:line="210" w:lineRule="exact"/>
              <w:ind w:left="39" w:right="4"/>
              <w:jc w:val="center"/>
              <w:rPr>
                <w:sz w:val="20"/>
              </w:rPr>
            </w:pPr>
            <w:r>
              <w:rPr>
                <w:spacing w:val="-4"/>
                <w:sz w:val="20"/>
              </w:rPr>
              <w:t>47.3</w:t>
            </w:r>
          </w:p>
        </w:tc>
        <w:tc>
          <w:tcPr>
            <w:tcW w:w="521" w:type="dxa"/>
          </w:tcPr>
          <w:p>
            <w:pPr>
              <w:pStyle w:val="TableParagraph"/>
              <w:spacing w:line="210" w:lineRule="exact"/>
              <w:ind w:left="2" w:right="19"/>
              <w:jc w:val="center"/>
              <w:rPr>
                <w:sz w:val="20"/>
              </w:rPr>
            </w:pPr>
            <w:r>
              <w:rPr>
                <w:spacing w:val="-5"/>
                <w:sz w:val="20"/>
              </w:rPr>
              <w:t>66</w:t>
            </w:r>
          </w:p>
        </w:tc>
        <w:tc>
          <w:tcPr>
            <w:tcW w:w="761" w:type="dxa"/>
          </w:tcPr>
          <w:p>
            <w:pPr>
              <w:pStyle w:val="TableParagraph"/>
              <w:spacing w:line="210" w:lineRule="exact"/>
              <w:ind w:left="7" w:right="34"/>
              <w:jc w:val="center"/>
              <w:rPr>
                <w:sz w:val="20"/>
              </w:rPr>
            </w:pPr>
            <w:r>
              <w:rPr>
                <w:spacing w:val="-4"/>
                <w:sz w:val="20"/>
              </w:rPr>
              <w:t>32.5</w:t>
            </w:r>
          </w:p>
        </w:tc>
        <w:tc>
          <w:tcPr>
            <w:tcW w:w="687" w:type="dxa"/>
          </w:tcPr>
          <w:p>
            <w:pPr>
              <w:pStyle w:val="TableParagraph"/>
              <w:spacing w:line="210" w:lineRule="exact"/>
              <w:ind w:left="67" w:right="107"/>
              <w:jc w:val="center"/>
              <w:rPr>
                <w:sz w:val="20"/>
              </w:rPr>
            </w:pPr>
            <w:r>
              <w:rPr>
                <w:spacing w:val="-5"/>
                <w:sz w:val="20"/>
              </w:rPr>
              <w:t>17</w:t>
            </w:r>
          </w:p>
        </w:tc>
        <w:tc>
          <w:tcPr>
            <w:tcW w:w="903" w:type="dxa"/>
          </w:tcPr>
          <w:p>
            <w:pPr>
              <w:pStyle w:val="TableParagraph"/>
              <w:spacing w:line="210" w:lineRule="exact"/>
              <w:ind w:left="13" w:right="5"/>
              <w:jc w:val="center"/>
              <w:rPr>
                <w:sz w:val="20"/>
              </w:rPr>
            </w:pPr>
            <w:r>
              <w:rPr>
                <w:spacing w:val="-5"/>
                <w:sz w:val="20"/>
              </w:rPr>
              <w:t>8.4</w:t>
            </w:r>
          </w:p>
        </w:tc>
        <w:tc>
          <w:tcPr>
            <w:tcW w:w="685" w:type="dxa"/>
          </w:tcPr>
          <w:p>
            <w:pPr>
              <w:pStyle w:val="TableParagraph"/>
              <w:spacing w:line="210" w:lineRule="exact"/>
              <w:ind w:left="85" w:right="32"/>
              <w:jc w:val="center"/>
              <w:rPr>
                <w:sz w:val="20"/>
              </w:rPr>
            </w:pPr>
            <w:r>
              <w:rPr>
                <w:spacing w:val="-5"/>
                <w:sz w:val="20"/>
              </w:rPr>
              <w:t>20</w:t>
            </w:r>
          </w:p>
        </w:tc>
        <w:tc>
          <w:tcPr>
            <w:tcW w:w="800" w:type="dxa"/>
          </w:tcPr>
          <w:p>
            <w:pPr>
              <w:pStyle w:val="TableParagraph"/>
              <w:spacing w:line="210" w:lineRule="exact"/>
              <w:ind w:left="18" w:right="11"/>
              <w:jc w:val="center"/>
              <w:rPr>
                <w:sz w:val="20"/>
              </w:rPr>
            </w:pPr>
            <w:r>
              <w:rPr>
                <w:spacing w:val="-5"/>
                <w:sz w:val="20"/>
              </w:rPr>
              <w:t>9.9</w:t>
            </w:r>
          </w:p>
        </w:tc>
        <w:tc>
          <w:tcPr>
            <w:tcW w:w="627" w:type="dxa"/>
          </w:tcPr>
          <w:p>
            <w:pPr>
              <w:pStyle w:val="TableParagraph"/>
              <w:spacing w:line="210" w:lineRule="exact"/>
              <w:ind w:left="23" w:right="17"/>
              <w:jc w:val="center"/>
              <w:rPr>
                <w:sz w:val="20"/>
              </w:rPr>
            </w:pPr>
            <w:r>
              <w:rPr>
                <w:spacing w:val="-10"/>
                <w:sz w:val="20"/>
              </w:rPr>
              <w:t>4</w:t>
            </w:r>
          </w:p>
        </w:tc>
        <w:tc>
          <w:tcPr>
            <w:tcW w:w="771" w:type="dxa"/>
          </w:tcPr>
          <w:p>
            <w:pPr>
              <w:pStyle w:val="TableParagraph"/>
              <w:spacing w:line="210" w:lineRule="exact"/>
              <w:ind w:left="45" w:right="21"/>
              <w:jc w:val="center"/>
              <w:rPr>
                <w:sz w:val="20"/>
              </w:rPr>
            </w:pPr>
            <w:r>
              <w:rPr>
                <w:spacing w:val="-5"/>
                <w:sz w:val="20"/>
              </w:rPr>
              <w:t>2.0</w:t>
            </w:r>
          </w:p>
        </w:tc>
        <w:tc>
          <w:tcPr>
            <w:tcW w:w="692" w:type="dxa"/>
          </w:tcPr>
          <w:p>
            <w:pPr>
              <w:pStyle w:val="TableParagraph"/>
              <w:spacing w:line="210" w:lineRule="exact"/>
              <w:ind w:left="23" w:right="24"/>
              <w:jc w:val="center"/>
              <w:rPr>
                <w:sz w:val="20"/>
              </w:rPr>
            </w:pPr>
            <w:r>
              <w:rPr>
                <w:spacing w:val="-5"/>
                <w:sz w:val="20"/>
              </w:rPr>
              <w:t>203</w:t>
            </w:r>
          </w:p>
        </w:tc>
        <w:tc>
          <w:tcPr>
            <w:tcW w:w="739" w:type="dxa"/>
            <w:tcBorders>
              <w:right w:val="single" w:sz="4" w:space="0" w:color="000000"/>
            </w:tcBorders>
          </w:tcPr>
          <w:p>
            <w:pPr>
              <w:pStyle w:val="TableParagraph"/>
              <w:spacing w:line="210" w:lineRule="exact"/>
              <w:ind w:left="36" w:right="16"/>
              <w:jc w:val="center"/>
              <w:rPr>
                <w:sz w:val="20"/>
              </w:rPr>
            </w:pPr>
            <w:r>
              <w:rPr>
                <w:spacing w:val="-4"/>
                <w:sz w:val="20"/>
              </w:rPr>
              <w:t>43.8</w:t>
            </w:r>
          </w:p>
        </w:tc>
      </w:tr>
      <w:tr>
        <w:trPr>
          <w:trHeight w:val="254" w:hRule="atLeast"/>
        </w:trPr>
        <w:tc>
          <w:tcPr>
            <w:tcW w:w="4147" w:type="dxa"/>
            <w:tcBorders>
              <w:left w:val="single" w:sz="4" w:space="0" w:color="000000"/>
            </w:tcBorders>
          </w:tcPr>
          <w:p>
            <w:pPr>
              <w:pStyle w:val="TableParagraph"/>
              <w:spacing w:line="227" w:lineRule="exact"/>
              <w:ind w:left="830"/>
              <w:rPr>
                <w:sz w:val="20"/>
              </w:rPr>
            </w:pPr>
            <w:r>
              <w:rPr>
                <w:sz w:val="20"/>
              </w:rPr>
              <w:t>are</w:t>
            </w:r>
            <w:r>
              <w:rPr>
                <w:spacing w:val="-3"/>
                <w:sz w:val="20"/>
              </w:rPr>
              <w:t> </w:t>
            </w:r>
            <w:r>
              <w:rPr>
                <w:spacing w:val="-2"/>
                <w:sz w:val="20"/>
              </w:rPr>
              <w:t>deficient</w:t>
            </w:r>
          </w:p>
        </w:tc>
        <w:tc>
          <w:tcPr>
            <w:tcW w:w="1977" w:type="dxa"/>
          </w:tcPr>
          <w:p>
            <w:pPr>
              <w:pStyle w:val="TableParagraph"/>
              <w:spacing w:line="227" w:lineRule="exact"/>
              <w:ind w:left="110"/>
              <w:rPr>
                <w:sz w:val="20"/>
              </w:rPr>
            </w:pPr>
            <w:r>
              <w:rPr>
                <w:sz w:val="20"/>
              </w:rPr>
              <w:t>Top</w:t>
            </w:r>
            <w:r>
              <w:rPr>
                <w:spacing w:val="-1"/>
                <w:sz w:val="20"/>
              </w:rPr>
              <w:t> </w:t>
            </w:r>
            <w:r>
              <w:rPr>
                <w:spacing w:val="-2"/>
                <w:sz w:val="20"/>
              </w:rPr>
              <w:t>Management</w:t>
            </w:r>
          </w:p>
        </w:tc>
        <w:tc>
          <w:tcPr>
            <w:tcW w:w="673" w:type="dxa"/>
          </w:tcPr>
          <w:p>
            <w:pPr>
              <w:pStyle w:val="TableParagraph"/>
              <w:spacing w:line="227" w:lineRule="exact"/>
              <w:ind w:left="55"/>
              <w:jc w:val="center"/>
              <w:rPr>
                <w:sz w:val="20"/>
              </w:rPr>
            </w:pPr>
            <w:r>
              <w:rPr>
                <w:spacing w:val="-10"/>
                <w:sz w:val="20"/>
              </w:rPr>
              <w:t>5</w:t>
            </w:r>
          </w:p>
        </w:tc>
        <w:tc>
          <w:tcPr>
            <w:tcW w:w="787" w:type="dxa"/>
          </w:tcPr>
          <w:p>
            <w:pPr>
              <w:pStyle w:val="TableParagraph"/>
              <w:spacing w:line="227" w:lineRule="exact"/>
              <w:ind w:left="39" w:right="4"/>
              <w:jc w:val="center"/>
              <w:rPr>
                <w:sz w:val="20"/>
              </w:rPr>
            </w:pPr>
            <w:r>
              <w:rPr>
                <w:spacing w:val="-4"/>
                <w:sz w:val="20"/>
              </w:rPr>
              <w:t>21.7</w:t>
            </w:r>
          </w:p>
        </w:tc>
        <w:tc>
          <w:tcPr>
            <w:tcW w:w="521" w:type="dxa"/>
          </w:tcPr>
          <w:p>
            <w:pPr>
              <w:pStyle w:val="TableParagraph"/>
              <w:spacing w:line="227" w:lineRule="exact"/>
              <w:ind w:left="2" w:right="19"/>
              <w:jc w:val="center"/>
              <w:rPr>
                <w:sz w:val="20"/>
              </w:rPr>
            </w:pPr>
            <w:r>
              <w:rPr>
                <w:spacing w:val="-5"/>
                <w:sz w:val="20"/>
              </w:rPr>
              <w:t>14</w:t>
            </w:r>
          </w:p>
        </w:tc>
        <w:tc>
          <w:tcPr>
            <w:tcW w:w="761" w:type="dxa"/>
          </w:tcPr>
          <w:p>
            <w:pPr>
              <w:pStyle w:val="TableParagraph"/>
              <w:spacing w:line="227" w:lineRule="exact"/>
              <w:ind w:left="7" w:right="34"/>
              <w:jc w:val="center"/>
              <w:rPr>
                <w:sz w:val="20"/>
              </w:rPr>
            </w:pPr>
            <w:r>
              <w:rPr>
                <w:spacing w:val="-4"/>
                <w:sz w:val="20"/>
              </w:rPr>
              <w:t>60.9</w:t>
            </w:r>
          </w:p>
        </w:tc>
        <w:tc>
          <w:tcPr>
            <w:tcW w:w="687" w:type="dxa"/>
          </w:tcPr>
          <w:p>
            <w:pPr>
              <w:pStyle w:val="TableParagraph"/>
              <w:spacing w:line="227" w:lineRule="exact"/>
              <w:ind w:left="67" w:right="102"/>
              <w:jc w:val="center"/>
              <w:rPr>
                <w:sz w:val="20"/>
              </w:rPr>
            </w:pPr>
            <w:r>
              <w:rPr>
                <w:spacing w:val="-10"/>
                <w:sz w:val="20"/>
              </w:rPr>
              <w:t>1</w:t>
            </w:r>
          </w:p>
        </w:tc>
        <w:tc>
          <w:tcPr>
            <w:tcW w:w="903" w:type="dxa"/>
          </w:tcPr>
          <w:p>
            <w:pPr>
              <w:pStyle w:val="TableParagraph"/>
              <w:spacing w:line="227" w:lineRule="exact"/>
              <w:ind w:left="13" w:right="5"/>
              <w:jc w:val="center"/>
              <w:rPr>
                <w:sz w:val="20"/>
              </w:rPr>
            </w:pPr>
            <w:r>
              <w:rPr>
                <w:spacing w:val="-5"/>
                <w:sz w:val="20"/>
              </w:rPr>
              <w:t>4.3</w:t>
            </w:r>
          </w:p>
        </w:tc>
        <w:tc>
          <w:tcPr>
            <w:tcW w:w="685" w:type="dxa"/>
          </w:tcPr>
          <w:p>
            <w:pPr>
              <w:pStyle w:val="TableParagraph"/>
              <w:spacing w:line="227" w:lineRule="exact"/>
              <w:ind w:left="89" w:right="32"/>
              <w:jc w:val="center"/>
              <w:rPr>
                <w:sz w:val="20"/>
              </w:rPr>
            </w:pPr>
            <w:r>
              <w:rPr>
                <w:spacing w:val="-10"/>
                <w:sz w:val="20"/>
              </w:rPr>
              <w:t>3</w:t>
            </w:r>
          </w:p>
        </w:tc>
        <w:tc>
          <w:tcPr>
            <w:tcW w:w="800" w:type="dxa"/>
          </w:tcPr>
          <w:p>
            <w:pPr>
              <w:pStyle w:val="TableParagraph"/>
              <w:spacing w:line="227" w:lineRule="exact"/>
              <w:ind w:left="18" w:right="6"/>
              <w:jc w:val="center"/>
              <w:rPr>
                <w:sz w:val="20"/>
              </w:rPr>
            </w:pPr>
            <w:r>
              <w:rPr>
                <w:spacing w:val="-4"/>
                <w:sz w:val="20"/>
              </w:rPr>
              <w:t>13.0</w:t>
            </w:r>
          </w:p>
        </w:tc>
        <w:tc>
          <w:tcPr>
            <w:tcW w:w="627" w:type="dxa"/>
          </w:tcPr>
          <w:p>
            <w:pPr>
              <w:pStyle w:val="TableParagraph"/>
              <w:spacing w:line="227" w:lineRule="exact"/>
              <w:ind w:left="23" w:right="23"/>
              <w:jc w:val="center"/>
              <w:rPr>
                <w:sz w:val="20"/>
              </w:rPr>
            </w:pPr>
            <w:r>
              <w:rPr>
                <w:spacing w:val="-10"/>
                <w:sz w:val="20"/>
              </w:rPr>
              <w:t>-</w:t>
            </w:r>
          </w:p>
        </w:tc>
        <w:tc>
          <w:tcPr>
            <w:tcW w:w="771" w:type="dxa"/>
          </w:tcPr>
          <w:p>
            <w:pPr>
              <w:pStyle w:val="TableParagraph"/>
              <w:spacing w:line="227" w:lineRule="exact"/>
              <w:ind w:left="45" w:right="23"/>
              <w:jc w:val="center"/>
              <w:rPr>
                <w:sz w:val="20"/>
              </w:rPr>
            </w:pPr>
            <w:r>
              <w:rPr>
                <w:spacing w:val="-10"/>
                <w:sz w:val="20"/>
              </w:rPr>
              <w:t>-</w:t>
            </w:r>
          </w:p>
        </w:tc>
        <w:tc>
          <w:tcPr>
            <w:tcW w:w="692" w:type="dxa"/>
          </w:tcPr>
          <w:p>
            <w:pPr>
              <w:pStyle w:val="TableParagraph"/>
              <w:spacing w:line="227" w:lineRule="exact"/>
              <w:ind w:left="23" w:right="22"/>
              <w:jc w:val="center"/>
              <w:rPr>
                <w:sz w:val="20"/>
              </w:rPr>
            </w:pPr>
            <w:r>
              <w:rPr>
                <w:spacing w:val="-5"/>
                <w:sz w:val="20"/>
              </w:rPr>
              <w:t>23</w:t>
            </w:r>
          </w:p>
        </w:tc>
        <w:tc>
          <w:tcPr>
            <w:tcW w:w="739" w:type="dxa"/>
            <w:tcBorders>
              <w:right w:val="single" w:sz="4" w:space="0" w:color="000000"/>
            </w:tcBorders>
          </w:tcPr>
          <w:p>
            <w:pPr>
              <w:pStyle w:val="TableParagraph"/>
              <w:spacing w:line="227" w:lineRule="exact"/>
              <w:ind w:left="36" w:right="21"/>
              <w:jc w:val="center"/>
              <w:rPr>
                <w:sz w:val="20"/>
              </w:rPr>
            </w:pPr>
            <w:r>
              <w:rPr>
                <w:spacing w:val="-5"/>
                <w:sz w:val="20"/>
              </w:rPr>
              <w:t>5.0</w:t>
            </w:r>
          </w:p>
        </w:tc>
      </w:tr>
      <w:tr>
        <w:trPr>
          <w:trHeight w:val="254" w:hRule="atLeast"/>
        </w:trPr>
        <w:tc>
          <w:tcPr>
            <w:tcW w:w="4147" w:type="dxa"/>
            <w:tcBorders>
              <w:left w:val="single" w:sz="4" w:space="0" w:color="000000"/>
            </w:tcBorders>
          </w:tcPr>
          <w:p>
            <w:pPr>
              <w:pStyle w:val="TableParagraph"/>
              <w:tabs>
                <w:tab w:pos="609" w:val="left" w:leader="none"/>
                <w:tab w:pos="1665" w:val="left" w:leader="none"/>
                <w:tab w:pos="2553" w:val="left" w:leader="none"/>
                <w:tab w:pos="3456" w:val="left" w:leader="none"/>
              </w:tabs>
              <w:spacing w:line="213" w:lineRule="exact" w:before="21"/>
              <w:ind w:right="107"/>
              <w:jc w:val="right"/>
              <w:rPr>
                <w:sz w:val="20"/>
              </w:rPr>
            </w:pPr>
            <w:r>
              <w:rPr>
                <w:spacing w:val="-5"/>
                <w:sz w:val="20"/>
              </w:rPr>
              <w:t>35.</w:t>
            </w:r>
            <w:r>
              <w:rPr>
                <w:sz w:val="20"/>
              </w:rPr>
              <w:tab/>
            </w:r>
            <w:r>
              <w:rPr>
                <w:spacing w:val="-2"/>
                <w:sz w:val="20"/>
              </w:rPr>
              <w:t>Students’</w:t>
            </w:r>
            <w:r>
              <w:rPr>
                <w:sz w:val="20"/>
              </w:rPr>
              <w:tab/>
            </w:r>
            <w:r>
              <w:rPr>
                <w:spacing w:val="-2"/>
                <w:sz w:val="20"/>
              </w:rPr>
              <w:t>feeding</w:t>
            </w:r>
            <w:r>
              <w:rPr>
                <w:sz w:val="20"/>
              </w:rPr>
              <w:tab/>
            </w:r>
            <w:r>
              <w:rPr>
                <w:spacing w:val="-2"/>
                <w:sz w:val="20"/>
              </w:rPr>
              <w:t>subsidy</w:t>
            </w:r>
            <w:r>
              <w:rPr>
                <w:sz w:val="20"/>
              </w:rPr>
              <w:tab/>
            </w:r>
            <w:r>
              <w:rPr>
                <w:spacing w:val="-5"/>
                <w:sz w:val="20"/>
              </w:rPr>
              <w:t>was</w:t>
            </w:r>
          </w:p>
        </w:tc>
        <w:tc>
          <w:tcPr>
            <w:tcW w:w="1977" w:type="dxa"/>
          </w:tcPr>
          <w:p>
            <w:pPr>
              <w:pStyle w:val="TableParagraph"/>
              <w:spacing w:line="213" w:lineRule="exact" w:before="21"/>
              <w:ind w:left="110"/>
              <w:rPr>
                <w:sz w:val="20"/>
              </w:rPr>
            </w:pPr>
            <w:r>
              <w:rPr>
                <w:sz w:val="20"/>
              </w:rPr>
              <w:t>No.</w:t>
            </w:r>
            <w:r>
              <w:rPr>
                <w:spacing w:val="-5"/>
                <w:sz w:val="20"/>
              </w:rPr>
              <w:t> </w:t>
            </w:r>
            <w:r>
              <w:rPr>
                <w:sz w:val="20"/>
              </w:rPr>
              <w:t>of</w:t>
            </w:r>
            <w:r>
              <w:rPr>
                <w:spacing w:val="-2"/>
                <w:sz w:val="20"/>
              </w:rPr>
              <w:t> missing</w:t>
            </w:r>
          </w:p>
        </w:tc>
        <w:tc>
          <w:tcPr>
            <w:tcW w:w="673" w:type="dxa"/>
          </w:tcPr>
          <w:p>
            <w:pPr>
              <w:pStyle w:val="TableParagraph"/>
              <w:rPr>
                <w:rFonts w:ascii="Times New Roman"/>
                <w:sz w:val="18"/>
              </w:rPr>
            </w:pPr>
          </w:p>
        </w:tc>
        <w:tc>
          <w:tcPr>
            <w:tcW w:w="787" w:type="dxa"/>
          </w:tcPr>
          <w:p>
            <w:pPr>
              <w:pStyle w:val="TableParagraph"/>
              <w:rPr>
                <w:rFonts w:ascii="Times New Roman"/>
                <w:sz w:val="18"/>
              </w:rPr>
            </w:pPr>
          </w:p>
        </w:tc>
        <w:tc>
          <w:tcPr>
            <w:tcW w:w="521" w:type="dxa"/>
          </w:tcPr>
          <w:p>
            <w:pPr>
              <w:pStyle w:val="TableParagraph"/>
              <w:rPr>
                <w:rFonts w:ascii="Times New Roman"/>
                <w:sz w:val="18"/>
              </w:rPr>
            </w:pPr>
          </w:p>
        </w:tc>
        <w:tc>
          <w:tcPr>
            <w:tcW w:w="761" w:type="dxa"/>
          </w:tcPr>
          <w:p>
            <w:pPr>
              <w:pStyle w:val="TableParagraph"/>
              <w:rPr>
                <w:rFonts w:ascii="Times New Roman"/>
                <w:sz w:val="18"/>
              </w:rPr>
            </w:pPr>
          </w:p>
        </w:tc>
        <w:tc>
          <w:tcPr>
            <w:tcW w:w="687" w:type="dxa"/>
          </w:tcPr>
          <w:p>
            <w:pPr>
              <w:pStyle w:val="TableParagraph"/>
              <w:rPr>
                <w:rFonts w:ascii="Times New Roman"/>
                <w:sz w:val="18"/>
              </w:rPr>
            </w:pPr>
          </w:p>
        </w:tc>
        <w:tc>
          <w:tcPr>
            <w:tcW w:w="903" w:type="dxa"/>
          </w:tcPr>
          <w:p>
            <w:pPr>
              <w:pStyle w:val="TableParagraph"/>
              <w:rPr>
                <w:rFonts w:ascii="Times New Roman"/>
                <w:sz w:val="18"/>
              </w:rPr>
            </w:pPr>
          </w:p>
        </w:tc>
        <w:tc>
          <w:tcPr>
            <w:tcW w:w="685" w:type="dxa"/>
          </w:tcPr>
          <w:p>
            <w:pPr>
              <w:pStyle w:val="TableParagraph"/>
              <w:rPr>
                <w:rFonts w:ascii="Times New Roman"/>
                <w:sz w:val="18"/>
              </w:rPr>
            </w:pPr>
          </w:p>
        </w:tc>
        <w:tc>
          <w:tcPr>
            <w:tcW w:w="800" w:type="dxa"/>
          </w:tcPr>
          <w:p>
            <w:pPr>
              <w:pStyle w:val="TableParagraph"/>
              <w:rPr>
                <w:rFonts w:ascii="Times New Roman"/>
                <w:sz w:val="18"/>
              </w:rPr>
            </w:pPr>
          </w:p>
        </w:tc>
        <w:tc>
          <w:tcPr>
            <w:tcW w:w="627" w:type="dxa"/>
          </w:tcPr>
          <w:p>
            <w:pPr>
              <w:pStyle w:val="TableParagraph"/>
              <w:rPr>
                <w:rFonts w:ascii="Times New Roman"/>
                <w:sz w:val="18"/>
              </w:rPr>
            </w:pPr>
          </w:p>
        </w:tc>
        <w:tc>
          <w:tcPr>
            <w:tcW w:w="771" w:type="dxa"/>
          </w:tcPr>
          <w:p>
            <w:pPr>
              <w:pStyle w:val="TableParagraph"/>
              <w:rPr>
                <w:rFonts w:ascii="Times New Roman"/>
                <w:sz w:val="18"/>
              </w:rPr>
            </w:pPr>
          </w:p>
        </w:tc>
        <w:tc>
          <w:tcPr>
            <w:tcW w:w="692" w:type="dxa"/>
          </w:tcPr>
          <w:p>
            <w:pPr>
              <w:pStyle w:val="TableParagraph"/>
              <w:rPr>
                <w:rFonts w:ascii="Times New Roman"/>
                <w:sz w:val="18"/>
              </w:rPr>
            </w:pPr>
          </w:p>
        </w:tc>
        <w:tc>
          <w:tcPr>
            <w:tcW w:w="739" w:type="dxa"/>
            <w:tcBorders>
              <w:right w:val="single" w:sz="4" w:space="0" w:color="000000"/>
            </w:tcBorders>
          </w:tcPr>
          <w:p>
            <w:pPr>
              <w:pStyle w:val="TableParagraph"/>
              <w:rPr>
                <w:rFonts w:ascii="Times New Roman"/>
                <w:sz w:val="18"/>
              </w:rPr>
            </w:pPr>
          </w:p>
        </w:tc>
      </w:tr>
      <w:tr>
        <w:trPr>
          <w:trHeight w:val="230" w:hRule="atLeast"/>
        </w:trPr>
        <w:tc>
          <w:tcPr>
            <w:tcW w:w="4147" w:type="dxa"/>
            <w:tcBorders>
              <w:left w:val="single" w:sz="4" w:space="0" w:color="000000"/>
            </w:tcBorders>
          </w:tcPr>
          <w:p>
            <w:pPr>
              <w:pStyle w:val="TableParagraph"/>
              <w:spacing w:line="210" w:lineRule="exact"/>
              <w:ind w:right="101"/>
              <w:jc w:val="right"/>
              <w:rPr>
                <w:sz w:val="20"/>
              </w:rPr>
            </w:pPr>
            <w:r>
              <w:rPr>
                <w:sz w:val="20"/>
              </w:rPr>
              <w:t>removed</w:t>
            </w:r>
            <w:r>
              <w:rPr>
                <w:spacing w:val="9"/>
                <w:sz w:val="20"/>
              </w:rPr>
              <w:t> </w:t>
            </w:r>
            <w:r>
              <w:rPr>
                <w:sz w:val="20"/>
              </w:rPr>
              <w:t>because</w:t>
            </w:r>
            <w:r>
              <w:rPr>
                <w:spacing w:val="10"/>
                <w:sz w:val="20"/>
              </w:rPr>
              <w:t> </w:t>
            </w:r>
            <w:r>
              <w:rPr>
                <w:sz w:val="20"/>
              </w:rPr>
              <w:t>it</w:t>
            </w:r>
            <w:r>
              <w:rPr>
                <w:spacing w:val="13"/>
                <w:sz w:val="20"/>
              </w:rPr>
              <w:t> </w:t>
            </w:r>
            <w:r>
              <w:rPr>
                <w:sz w:val="20"/>
              </w:rPr>
              <w:t>was</w:t>
            </w:r>
            <w:r>
              <w:rPr>
                <w:spacing w:val="7"/>
                <w:sz w:val="20"/>
              </w:rPr>
              <w:t> </w:t>
            </w:r>
            <w:r>
              <w:rPr>
                <w:sz w:val="20"/>
              </w:rPr>
              <w:t>one</w:t>
            </w:r>
            <w:r>
              <w:rPr>
                <w:spacing w:val="14"/>
                <w:sz w:val="20"/>
              </w:rPr>
              <w:t> </w:t>
            </w:r>
            <w:r>
              <w:rPr>
                <w:sz w:val="20"/>
              </w:rPr>
              <w:t>of</w:t>
            </w:r>
            <w:r>
              <w:rPr>
                <w:spacing w:val="18"/>
                <w:sz w:val="20"/>
              </w:rPr>
              <w:t> </w:t>
            </w:r>
            <w:r>
              <w:rPr>
                <w:spacing w:val="-5"/>
                <w:sz w:val="20"/>
              </w:rPr>
              <w:t>the</w:t>
            </w:r>
          </w:p>
        </w:tc>
        <w:tc>
          <w:tcPr>
            <w:tcW w:w="1977" w:type="dxa"/>
          </w:tcPr>
          <w:p>
            <w:pPr>
              <w:pStyle w:val="TableParagraph"/>
              <w:spacing w:line="210" w:lineRule="exact"/>
              <w:ind w:left="110"/>
              <w:rPr>
                <w:sz w:val="20"/>
              </w:rPr>
            </w:pPr>
            <w:r>
              <w:rPr>
                <w:spacing w:val="-2"/>
                <w:sz w:val="20"/>
              </w:rPr>
              <w:t>observations</w:t>
            </w:r>
          </w:p>
        </w:tc>
        <w:tc>
          <w:tcPr>
            <w:tcW w:w="673" w:type="dxa"/>
          </w:tcPr>
          <w:p>
            <w:pPr>
              <w:pStyle w:val="TableParagraph"/>
              <w:spacing w:line="210" w:lineRule="exact"/>
              <w:ind w:left="55"/>
              <w:jc w:val="center"/>
              <w:rPr>
                <w:sz w:val="20"/>
              </w:rPr>
            </w:pPr>
            <w:r>
              <w:rPr>
                <w:spacing w:val="-10"/>
                <w:sz w:val="20"/>
              </w:rPr>
              <w:t>1</w:t>
            </w:r>
          </w:p>
        </w:tc>
        <w:tc>
          <w:tcPr>
            <w:tcW w:w="787" w:type="dxa"/>
          </w:tcPr>
          <w:p>
            <w:pPr>
              <w:pStyle w:val="TableParagraph"/>
              <w:spacing w:line="210" w:lineRule="exact"/>
              <w:ind w:left="39" w:right="4"/>
              <w:jc w:val="center"/>
              <w:rPr>
                <w:sz w:val="20"/>
              </w:rPr>
            </w:pPr>
            <w:r>
              <w:rPr>
                <w:spacing w:val="-4"/>
                <w:sz w:val="20"/>
              </w:rPr>
              <w:t>50.0</w:t>
            </w:r>
          </w:p>
        </w:tc>
        <w:tc>
          <w:tcPr>
            <w:tcW w:w="521" w:type="dxa"/>
          </w:tcPr>
          <w:p>
            <w:pPr>
              <w:pStyle w:val="TableParagraph"/>
              <w:spacing w:line="210" w:lineRule="exact"/>
              <w:ind w:right="19"/>
              <w:jc w:val="center"/>
              <w:rPr>
                <w:sz w:val="20"/>
              </w:rPr>
            </w:pPr>
            <w:r>
              <w:rPr>
                <w:spacing w:val="-10"/>
                <w:sz w:val="20"/>
              </w:rPr>
              <w:t>-</w:t>
            </w:r>
          </w:p>
        </w:tc>
        <w:tc>
          <w:tcPr>
            <w:tcW w:w="761" w:type="dxa"/>
          </w:tcPr>
          <w:p>
            <w:pPr>
              <w:pStyle w:val="TableParagraph"/>
              <w:spacing w:line="210" w:lineRule="exact"/>
              <w:ind w:right="34"/>
              <w:jc w:val="center"/>
              <w:rPr>
                <w:sz w:val="20"/>
              </w:rPr>
            </w:pPr>
            <w:r>
              <w:rPr>
                <w:spacing w:val="-10"/>
                <w:sz w:val="20"/>
              </w:rPr>
              <w:t>-</w:t>
            </w:r>
          </w:p>
        </w:tc>
        <w:tc>
          <w:tcPr>
            <w:tcW w:w="687" w:type="dxa"/>
          </w:tcPr>
          <w:p>
            <w:pPr>
              <w:pStyle w:val="TableParagraph"/>
              <w:spacing w:line="210" w:lineRule="exact"/>
              <w:ind w:left="67" w:right="102"/>
              <w:jc w:val="center"/>
              <w:rPr>
                <w:sz w:val="20"/>
              </w:rPr>
            </w:pPr>
            <w:r>
              <w:rPr>
                <w:spacing w:val="-10"/>
                <w:sz w:val="20"/>
              </w:rPr>
              <w:t>1</w:t>
            </w:r>
          </w:p>
        </w:tc>
        <w:tc>
          <w:tcPr>
            <w:tcW w:w="903" w:type="dxa"/>
          </w:tcPr>
          <w:p>
            <w:pPr>
              <w:pStyle w:val="TableParagraph"/>
              <w:spacing w:line="210" w:lineRule="exact"/>
              <w:ind w:left="13"/>
              <w:jc w:val="center"/>
              <w:rPr>
                <w:sz w:val="20"/>
              </w:rPr>
            </w:pPr>
            <w:r>
              <w:rPr>
                <w:spacing w:val="-4"/>
                <w:sz w:val="20"/>
              </w:rPr>
              <w:t>50.0</w:t>
            </w:r>
          </w:p>
        </w:tc>
        <w:tc>
          <w:tcPr>
            <w:tcW w:w="685" w:type="dxa"/>
          </w:tcPr>
          <w:p>
            <w:pPr>
              <w:pStyle w:val="TableParagraph"/>
              <w:spacing w:line="210" w:lineRule="exact"/>
              <w:ind w:left="83" w:right="32"/>
              <w:jc w:val="center"/>
              <w:rPr>
                <w:sz w:val="20"/>
              </w:rPr>
            </w:pPr>
            <w:r>
              <w:rPr>
                <w:spacing w:val="-10"/>
                <w:sz w:val="20"/>
              </w:rPr>
              <w:t>-</w:t>
            </w:r>
          </w:p>
        </w:tc>
        <w:tc>
          <w:tcPr>
            <w:tcW w:w="800" w:type="dxa"/>
          </w:tcPr>
          <w:p>
            <w:pPr>
              <w:pStyle w:val="TableParagraph"/>
              <w:spacing w:line="210" w:lineRule="exact"/>
              <w:ind w:left="18" w:right="12"/>
              <w:jc w:val="center"/>
              <w:rPr>
                <w:sz w:val="20"/>
              </w:rPr>
            </w:pPr>
            <w:r>
              <w:rPr>
                <w:spacing w:val="-10"/>
                <w:sz w:val="20"/>
              </w:rPr>
              <w:t>-</w:t>
            </w:r>
          </w:p>
        </w:tc>
        <w:tc>
          <w:tcPr>
            <w:tcW w:w="627" w:type="dxa"/>
          </w:tcPr>
          <w:p>
            <w:pPr>
              <w:pStyle w:val="TableParagraph"/>
              <w:spacing w:line="210" w:lineRule="exact"/>
              <w:ind w:left="23" w:right="23"/>
              <w:jc w:val="center"/>
              <w:rPr>
                <w:sz w:val="20"/>
              </w:rPr>
            </w:pPr>
            <w:r>
              <w:rPr>
                <w:spacing w:val="-10"/>
                <w:sz w:val="20"/>
              </w:rPr>
              <w:t>-</w:t>
            </w:r>
          </w:p>
        </w:tc>
        <w:tc>
          <w:tcPr>
            <w:tcW w:w="771" w:type="dxa"/>
          </w:tcPr>
          <w:p>
            <w:pPr>
              <w:pStyle w:val="TableParagraph"/>
              <w:spacing w:line="210" w:lineRule="exact"/>
              <w:ind w:left="45" w:right="23"/>
              <w:jc w:val="center"/>
              <w:rPr>
                <w:sz w:val="20"/>
              </w:rPr>
            </w:pPr>
            <w:r>
              <w:rPr>
                <w:spacing w:val="-10"/>
                <w:sz w:val="20"/>
              </w:rPr>
              <w:t>-</w:t>
            </w:r>
          </w:p>
        </w:tc>
        <w:tc>
          <w:tcPr>
            <w:tcW w:w="692" w:type="dxa"/>
          </w:tcPr>
          <w:p>
            <w:pPr>
              <w:pStyle w:val="TableParagraph"/>
              <w:spacing w:line="210" w:lineRule="exact"/>
              <w:ind w:left="23" w:right="17"/>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21"/>
              <w:jc w:val="center"/>
              <w:rPr>
                <w:sz w:val="20"/>
              </w:rPr>
            </w:pPr>
            <w:r>
              <w:rPr>
                <w:spacing w:val="-5"/>
                <w:sz w:val="20"/>
              </w:rPr>
              <w:t>0.4</w:t>
            </w:r>
          </w:p>
        </w:tc>
      </w:tr>
      <w:tr>
        <w:trPr>
          <w:trHeight w:val="230" w:hRule="atLeast"/>
        </w:trPr>
        <w:tc>
          <w:tcPr>
            <w:tcW w:w="4147" w:type="dxa"/>
            <w:tcBorders>
              <w:left w:val="single" w:sz="4" w:space="0" w:color="000000"/>
            </w:tcBorders>
          </w:tcPr>
          <w:p>
            <w:pPr>
              <w:pStyle w:val="TableParagraph"/>
              <w:spacing w:line="210" w:lineRule="exact"/>
              <w:ind w:right="105"/>
              <w:jc w:val="right"/>
              <w:rPr>
                <w:sz w:val="20"/>
              </w:rPr>
            </w:pPr>
            <w:r>
              <w:rPr>
                <w:sz w:val="20"/>
              </w:rPr>
              <w:t>main</w:t>
            </w:r>
            <w:r>
              <w:rPr>
                <w:spacing w:val="10"/>
                <w:sz w:val="20"/>
              </w:rPr>
              <w:t> </w:t>
            </w:r>
            <w:r>
              <w:rPr>
                <w:sz w:val="20"/>
              </w:rPr>
              <w:t>sources</w:t>
            </w:r>
            <w:r>
              <w:rPr>
                <w:spacing w:val="14"/>
                <w:sz w:val="20"/>
              </w:rPr>
              <w:t> </w:t>
            </w:r>
            <w:r>
              <w:rPr>
                <w:sz w:val="20"/>
              </w:rPr>
              <w:t>of</w:t>
            </w:r>
            <w:r>
              <w:rPr>
                <w:spacing w:val="19"/>
                <w:sz w:val="20"/>
              </w:rPr>
              <w:t> </w:t>
            </w:r>
            <w:r>
              <w:rPr>
                <w:sz w:val="20"/>
              </w:rPr>
              <w:t>students’</w:t>
            </w:r>
            <w:r>
              <w:rPr>
                <w:spacing w:val="13"/>
                <w:sz w:val="20"/>
              </w:rPr>
              <w:t> </w:t>
            </w:r>
            <w:r>
              <w:rPr>
                <w:sz w:val="20"/>
              </w:rPr>
              <w:t>unrest</w:t>
            </w:r>
            <w:r>
              <w:rPr>
                <w:spacing w:val="15"/>
                <w:sz w:val="20"/>
              </w:rPr>
              <w:t> </w:t>
            </w:r>
            <w:r>
              <w:rPr>
                <w:spacing w:val="-5"/>
                <w:sz w:val="20"/>
              </w:rPr>
              <w:t>in</w:t>
            </w:r>
          </w:p>
        </w:tc>
        <w:tc>
          <w:tcPr>
            <w:tcW w:w="1977" w:type="dxa"/>
          </w:tcPr>
          <w:p>
            <w:pPr>
              <w:pStyle w:val="TableParagraph"/>
              <w:spacing w:line="210" w:lineRule="exact"/>
              <w:ind w:left="110"/>
              <w:rPr>
                <w:sz w:val="20"/>
              </w:rPr>
            </w:pPr>
            <w:r>
              <w:rPr>
                <w:spacing w:val="-2"/>
                <w:sz w:val="20"/>
              </w:rPr>
              <w:t>Students</w:t>
            </w:r>
          </w:p>
        </w:tc>
        <w:tc>
          <w:tcPr>
            <w:tcW w:w="673" w:type="dxa"/>
          </w:tcPr>
          <w:p>
            <w:pPr>
              <w:pStyle w:val="TableParagraph"/>
              <w:spacing w:line="210" w:lineRule="exact"/>
              <w:ind w:left="55" w:right="5"/>
              <w:jc w:val="center"/>
              <w:rPr>
                <w:sz w:val="20"/>
              </w:rPr>
            </w:pPr>
            <w:r>
              <w:rPr>
                <w:spacing w:val="-5"/>
                <w:sz w:val="20"/>
              </w:rPr>
              <w:t>20</w:t>
            </w:r>
          </w:p>
        </w:tc>
        <w:tc>
          <w:tcPr>
            <w:tcW w:w="787" w:type="dxa"/>
          </w:tcPr>
          <w:p>
            <w:pPr>
              <w:pStyle w:val="TableParagraph"/>
              <w:spacing w:line="210" w:lineRule="exact"/>
              <w:ind w:left="39" w:right="9"/>
              <w:jc w:val="center"/>
              <w:rPr>
                <w:sz w:val="20"/>
              </w:rPr>
            </w:pPr>
            <w:r>
              <w:rPr>
                <w:spacing w:val="-5"/>
                <w:sz w:val="20"/>
              </w:rPr>
              <w:t>8.5</w:t>
            </w:r>
          </w:p>
        </w:tc>
        <w:tc>
          <w:tcPr>
            <w:tcW w:w="521" w:type="dxa"/>
          </w:tcPr>
          <w:p>
            <w:pPr>
              <w:pStyle w:val="TableParagraph"/>
              <w:spacing w:line="210" w:lineRule="exact"/>
              <w:ind w:left="2" w:right="19"/>
              <w:jc w:val="center"/>
              <w:rPr>
                <w:sz w:val="20"/>
              </w:rPr>
            </w:pPr>
            <w:r>
              <w:rPr>
                <w:spacing w:val="-5"/>
                <w:sz w:val="20"/>
              </w:rPr>
              <w:t>45</w:t>
            </w:r>
          </w:p>
        </w:tc>
        <w:tc>
          <w:tcPr>
            <w:tcW w:w="761" w:type="dxa"/>
          </w:tcPr>
          <w:p>
            <w:pPr>
              <w:pStyle w:val="TableParagraph"/>
              <w:spacing w:line="210" w:lineRule="exact"/>
              <w:ind w:left="7" w:right="34"/>
              <w:jc w:val="center"/>
              <w:rPr>
                <w:sz w:val="20"/>
              </w:rPr>
            </w:pPr>
            <w:r>
              <w:rPr>
                <w:spacing w:val="-4"/>
                <w:sz w:val="20"/>
              </w:rPr>
              <w:t>19.1</w:t>
            </w:r>
          </w:p>
        </w:tc>
        <w:tc>
          <w:tcPr>
            <w:tcW w:w="687" w:type="dxa"/>
          </w:tcPr>
          <w:p>
            <w:pPr>
              <w:pStyle w:val="TableParagraph"/>
              <w:spacing w:line="210" w:lineRule="exact"/>
              <w:ind w:left="67" w:right="107"/>
              <w:jc w:val="center"/>
              <w:rPr>
                <w:sz w:val="20"/>
              </w:rPr>
            </w:pPr>
            <w:r>
              <w:rPr>
                <w:spacing w:val="-5"/>
                <w:sz w:val="20"/>
              </w:rPr>
              <w:t>54</w:t>
            </w:r>
          </w:p>
        </w:tc>
        <w:tc>
          <w:tcPr>
            <w:tcW w:w="903" w:type="dxa"/>
          </w:tcPr>
          <w:p>
            <w:pPr>
              <w:pStyle w:val="TableParagraph"/>
              <w:spacing w:line="210" w:lineRule="exact"/>
              <w:ind w:left="13"/>
              <w:jc w:val="center"/>
              <w:rPr>
                <w:sz w:val="20"/>
              </w:rPr>
            </w:pPr>
            <w:r>
              <w:rPr>
                <w:spacing w:val="-4"/>
                <w:sz w:val="20"/>
              </w:rPr>
              <w:t>23.0</w:t>
            </w:r>
          </w:p>
        </w:tc>
        <w:tc>
          <w:tcPr>
            <w:tcW w:w="685" w:type="dxa"/>
          </w:tcPr>
          <w:p>
            <w:pPr>
              <w:pStyle w:val="TableParagraph"/>
              <w:spacing w:line="210" w:lineRule="exact"/>
              <w:ind w:left="85" w:right="32"/>
              <w:jc w:val="center"/>
              <w:rPr>
                <w:sz w:val="20"/>
              </w:rPr>
            </w:pPr>
            <w:r>
              <w:rPr>
                <w:spacing w:val="-5"/>
                <w:sz w:val="20"/>
              </w:rPr>
              <w:t>55</w:t>
            </w:r>
          </w:p>
        </w:tc>
        <w:tc>
          <w:tcPr>
            <w:tcW w:w="800" w:type="dxa"/>
          </w:tcPr>
          <w:p>
            <w:pPr>
              <w:pStyle w:val="TableParagraph"/>
              <w:spacing w:line="210" w:lineRule="exact"/>
              <w:ind w:left="18" w:right="6"/>
              <w:jc w:val="center"/>
              <w:rPr>
                <w:sz w:val="20"/>
              </w:rPr>
            </w:pPr>
            <w:r>
              <w:rPr>
                <w:spacing w:val="-4"/>
                <w:sz w:val="20"/>
              </w:rPr>
              <w:t>23.4</w:t>
            </w:r>
          </w:p>
        </w:tc>
        <w:tc>
          <w:tcPr>
            <w:tcW w:w="627" w:type="dxa"/>
          </w:tcPr>
          <w:p>
            <w:pPr>
              <w:pStyle w:val="TableParagraph"/>
              <w:spacing w:line="210" w:lineRule="exact"/>
              <w:ind w:left="23" w:right="22"/>
              <w:jc w:val="center"/>
              <w:rPr>
                <w:sz w:val="20"/>
              </w:rPr>
            </w:pPr>
            <w:r>
              <w:rPr>
                <w:spacing w:val="-5"/>
                <w:sz w:val="20"/>
              </w:rPr>
              <w:t>61</w:t>
            </w:r>
          </w:p>
        </w:tc>
        <w:tc>
          <w:tcPr>
            <w:tcW w:w="771" w:type="dxa"/>
          </w:tcPr>
          <w:p>
            <w:pPr>
              <w:pStyle w:val="TableParagraph"/>
              <w:spacing w:line="210" w:lineRule="exact"/>
              <w:ind w:left="45" w:right="16"/>
              <w:jc w:val="center"/>
              <w:rPr>
                <w:sz w:val="20"/>
              </w:rPr>
            </w:pPr>
            <w:r>
              <w:rPr>
                <w:spacing w:val="-4"/>
                <w:sz w:val="20"/>
              </w:rPr>
              <w:t>26.0</w:t>
            </w:r>
          </w:p>
        </w:tc>
        <w:tc>
          <w:tcPr>
            <w:tcW w:w="692" w:type="dxa"/>
          </w:tcPr>
          <w:p>
            <w:pPr>
              <w:pStyle w:val="TableParagraph"/>
              <w:spacing w:line="210" w:lineRule="exact"/>
              <w:ind w:left="23" w:right="24"/>
              <w:jc w:val="center"/>
              <w:rPr>
                <w:sz w:val="20"/>
              </w:rPr>
            </w:pPr>
            <w:r>
              <w:rPr>
                <w:spacing w:val="-5"/>
                <w:sz w:val="20"/>
              </w:rPr>
              <w:t>235</w:t>
            </w:r>
          </w:p>
        </w:tc>
        <w:tc>
          <w:tcPr>
            <w:tcW w:w="739" w:type="dxa"/>
            <w:tcBorders>
              <w:right w:val="single" w:sz="4" w:space="0" w:color="000000"/>
            </w:tcBorders>
          </w:tcPr>
          <w:p>
            <w:pPr>
              <w:pStyle w:val="TableParagraph"/>
              <w:spacing w:line="210" w:lineRule="exact"/>
              <w:ind w:left="36" w:right="16"/>
              <w:jc w:val="center"/>
              <w:rPr>
                <w:sz w:val="20"/>
              </w:rPr>
            </w:pPr>
            <w:r>
              <w:rPr>
                <w:spacing w:val="-4"/>
                <w:sz w:val="20"/>
              </w:rPr>
              <w:t>50.8</w:t>
            </w:r>
          </w:p>
        </w:tc>
      </w:tr>
      <w:tr>
        <w:trPr>
          <w:trHeight w:val="278" w:hRule="atLeast"/>
        </w:trPr>
        <w:tc>
          <w:tcPr>
            <w:tcW w:w="4147" w:type="dxa"/>
            <w:tcBorders>
              <w:left w:val="single" w:sz="4" w:space="0" w:color="000000"/>
            </w:tcBorders>
          </w:tcPr>
          <w:p>
            <w:pPr>
              <w:pStyle w:val="TableParagraph"/>
              <w:spacing w:line="227" w:lineRule="exact"/>
              <w:ind w:left="830"/>
              <w:rPr>
                <w:sz w:val="20"/>
              </w:rPr>
            </w:pPr>
            <w:r>
              <w:rPr>
                <w:sz w:val="20"/>
              </w:rPr>
              <w:t>the</w:t>
            </w:r>
            <w:r>
              <w:rPr>
                <w:spacing w:val="-4"/>
                <w:sz w:val="20"/>
              </w:rPr>
              <w:t> </w:t>
            </w:r>
            <w:r>
              <w:rPr>
                <w:sz w:val="20"/>
              </w:rPr>
              <w:t>Nigerian</w:t>
            </w:r>
            <w:r>
              <w:rPr>
                <w:spacing w:val="-4"/>
                <w:sz w:val="20"/>
              </w:rPr>
              <w:t> </w:t>
            </w:r>
            <w:r>
              <w:rPr>
                <w:spacing w:val="-2"/>
                <w:sz w:val="20"/>
              </w:rPr>
              <w:t>Universities</w:t>
            </w:r>
          </w:p>
        </w:tc>
        <w:tc>
          <w:tcPr>
            <w:tcW w:w="1977" w:type="dxa"/>
          </w:tcPr>
          <w:p>
            <w:pPr>
              <w:pStyle w:val="TableParagraph"/>
              <w:spacing w:line="213" w:lineRule="exact" w:before="45"/>
              <w:ind w:left="110"/>
              <w:rPr>
                <w:sz w:val="20"/>
              </w:rPr>
            </w:pPr>
            <w:r>
              <w:rPr>
                <w:sz w:val="20"/>
              </w:rPr>
              <w:t>Service</w:t>
            </w:r>
            <w:r>
              <w:rPr>
                <w:spacing w:val="-9"/>
                <w:sz w:val="20"/>
              </w:rPr>
              <w:t> </w:t>
            </w:r>
            <w:r>
              <w:rPr>
                <w:spacing w:val="-2"/>
                <w:sz w:val="20"/>
              </w:rPr>
              <w:t>Staff</w:t>
            </w:r>
          </w:p>
        </w:tc>
        <w:tc>
          <w:tcPr>
            <w:tcW w:w="673" w:type="dxa"/>
          </w:tcPr>
          <w:p>
            <w:pPr>
              <w:pStyle w:val="TableParagraph"/>
              <w:spacing w:line="213" w:lineRule="exact" w:before="45"/>
              <w:ind w:left="55" w:right="5"/>
              <w:jc w:val="center"/>
              <w:rPr>
                <w:sz w:val="20"/>
              </w:rPr>
            </w:pPr>
            <w:r>
              <w:rPr>
                <w:spacing w:val="-5"/>
                <w:sz w:val="20"/>
              </w:rPr>
              <w:t>23</w:t>
            </w:r>
          </w:p>
        </w:tc>
        <w:tc>
          <w:tcPr>
            <w:tcW w:w="787" w:type="dxa"/>
          </w:tcPr>
          <w:p>
            <w:pPr>
              <w:pStyle w:val="TableParagraph"/>
              <w:spacing w:line="213" w:lineRule="exact" w:before="45"/>
              <w:ind w:left="39" w:right="4"/>
              <w:jc w:val="center"/>
              <w:rPr>
                <w:sz w:val="20"/>
              </w:rPr>
            </w:pPr>
            <w:r>
              <w:rPr>
                <w:spacing w:val="-4"/>
                <w:sz w:val="20"/>
              </w:rPr>
              <w:t>16.3</w:t>
            </w:r>
          </w:p>
        </w:tc>
        <w:tc>
          <w:tcPr>
            <w:tcW w:w="521" w:type="dxa"/>
          </w:tcPr>
          <w:p>
            <w:pPr>
              <w:pStyle w:val="TableParagraph"/>
              <w:spacing w:line="213" w:lineRule="exact" w:before="45"/>
              <w:ind w:left="2" w:right="19"/>
              <w:jc w:val="center"/>
              <w:rPr>
                <w:sz w:val="20"/>
              </w:rPr>
            </w:pPr>
            <w:r>
              <w:rPr>
                <w:spacing w:val="-5"/>
                <w:sz w:val="20"/>
              </w:rPr>
              <w:t>47</w:t>
            </w:r>
          </w:p>
        </w:tc>
        <w:tc>
          <w:tcPr>
            <w:tcW w:w="761" w:type="dxa"/>
          </w:tcPr>
          <w:p>
            <w:pPr>
              <w:pStyle w:val="TableParagraph"/>
              <w:spacing w:line="213" w:lineRule="exact" w:before="45"/>
              <w:ind w:left="7" w:right="34"/>
              <w:jc w:val="center"/>
              <w:rPr>
                <w:sz w:val="20"/>
              </w:rPr>
            </w:pPr>
            <w:r>
              <w:rPr>
                <w:spacing w:val="-4"/>
                <w:sz w:val="20"/>
              </w:rPr>
              <w:t>23.2</w:t>
            </w:r>
          </w:p>
        </w:tc>
        <w:tc>
          <w:tcPr>
            <w:tcW w:w="687" w:type="dxa"/>
          </w:tcPr>
          <w:p>
            <w:pPr>
              <w:pStyle w:val="TableParagraph"/>
              <w:spacing w:line="213" w:lineRule="exact" w:before="45"/>
              <w:ind w:left="67" w:right="107"/>
              <w:jc w:val="center"/>
              <w:rPr>
                <w:sz w:val="20"/>
              </w:rPr>
            </w:pPr>
            <w:r>
              <w:rPr>
                <w:spacing w:val="-5"/>
                <w:sz w:val="20"/>
              </w:rPr>
              <w:t>25</w:t>
            </w:r>
          </w:p>
        </w:tc>
        <w:tc>
          <w:tcPr>
            <w:tcW w:w="903" w:type="dxa"/>
          </w:tcPr>
          <w:p>
            <w:pPr>
              <w:pStyle w:val="TableParagraph"/>
              <w:spacing w:line="213" w:lineRule="exact" w:before="45"/>
              <w:ind w:left="13"/>
              <w:jc w:val="center"/>
              <w:rPr>
                <w:sz w:val="20"/>
              </w:rPr>
            </w:pPr>
            <w:r>
              <w:rPr>
                <w:spacing w:val="-4"/>
                <w:sz w:val="20"/>
              </w:rPr>
              <w:t>12.3</w:t>
            </w:r>
          </w:p>
        </w:tc>
        <w:tc>
          <w:tcPr>
            <w:tcW w:w="685" w:type="dxa"/>
          </w:tcPr>
          <w:p>
            <w:pPr>
              <w:pStyle w:val="TableParagraph"/>
              <w:spacing w:line="213" w:lineRule="exact" w:before="45"/>
              <w:ind w:left="85" w:right="32"/>
              <w:jc w:val="center"/>
              <w:rPr>
                <w:sz w:val="20"/>
              </w:rPr>
            </w:pPr>
            <w:r>
              <w:rPr>
                <w:spacing w:val="-5"/>
                <w:sz w:val="20"/>
              </w:rPr>
              <w:t>58</w:t>
            </w:r>
          </w:p>
        </w:tc>
        <w:tc>
          <w:tcPr>
            <w:tcW w:w="800" w:type="dxa"/>
          </w:tcPr>
          <w:p>
            <w:pPr>
              <w:pStyle w:val="TableParagraph"/>
              <w:spacing w:line="213" w:lineRule="exact" w:before="45"/>
              <w:ind w:left="18" w:right="6"/>
              <w:jc w:val="center"/>
              <w:rPr>
                <w:sz w:val="20"/>
              </w:rPr>
            </w:pPr>
            <w:r>
              <w:rPr>
                <w:spacing w:val="-4"/>
                <w:sz w:val="20"/>
              </w:rPr>
              <w:t>28.6</w:t>
            </w:r>
          </w:p>
        </w:tc>
        <w:tc>
          <w:tcPr>
            <w:tcW w:w="627" w:type="dxa"/>
          </w:tcPr>
          <w:p>
            <w:pPr>
              <w:pStyle w:val="TableParagraph"/>
              <w:spacing w:line="213" w:lineRule="exact" w:before="45"/>
              <w:ind w:left="23" w:right="22"/>
              <w:jc w:val="center"/>
              <w:rPr>
                <w:sz w:val="20"/>
              </w:rPr>
            </w:pPr>
            <w:r>
              <w:rPr>
                <w:spacing w:val="-5"/>
                <w:sz w:val="20"/>
              </w:rPr>
              <w:t>40</w:t>
            </w:r>
          </w:p>
        </w:tc>
        <w:tc>
          <w:tcPr>
            <w:tcW w:w="771" w:type="dxa"/>
          </w:tcPr>
          <w:p>
            <w:pPr>
              <w:pStyle w:val="TableParagraph"/>
              <w:spacing w:line="213" w:lineRule="exact" w:before="45"/>
              <w:ind w:left="45" w:right="16"/>
              <w:jc w:val="center"/>
              <w:rPr>
                <w:sz w:val="20"/>
              </w:rPr>
            </w:pPr>
            <w:r>
              <w:rPr>
                <w:spacing w:val="-4"/>
                <w:sz w:val="20"/>
              </w:rPr>
              <w:t>19.7</w:t>
            </w:r>
          </w:p>
        </w:tc>
        <w:tc>
          <w:tcPr>
            <w:tcW w:w="692" w:type="dxa"/>
          </w:tcPr>
          <w:p>
            <w:pPr>
              <w:pStyle w:val="TableParagraph"/>
              <w:spacing w:line="213" w:lineRule="exact" w:before="45"/>
              <w:ind w:left="23" w:right="24"/>
              <w:jc w:val="center"/>
              <w:rPr>
                <w:sz w:val="20"/>
              </w:rPr>
            </w:pPr>
            <w:r>
              <w:rPr>
                <w:spacing w:val="-5"/>
                <w:sz w:val="20"/>
              </w:rPr>
              <w:t>203</w:t>
            </w:r>
          </w:p>
        </w:tc>
        <w:tc>
          <w:tcPr>
            <w:tcW w:w="739" w:type="dxa"/>
            <w:tcBorders>
              <w:right w:val="single" w:sz="4" w:space="0" w:color="000000"/>
            </w:tcBorders>
          </w:tcPr>
          <w:p>
            <w:pPr>
              <w:pStyle w:val="TableParagraph"/>
              <w:spacing w:line="213" w:lineRule="exact" w:before="45"/>
              <w:ind w:left="36" w:right="16"/>
              <w:jc w:val="center"/>
              <w:rPr>
                <w:sz w:val="20"/>
              </w:rPr>
            </w:pPr>
            <w:r>
              <w:rPr>
                <w:spacing w:val="-4"/>
                <w:sz w:val="20"/>
              </w:rPr>
              <w:t>43.8</w:t>
            </w:r>
          </w:p>
        </w:tc>
      </w:tr>
      <w:tr>
        <w:trPr>
          <w:trHeight w:val="235" w:hRule="atLeast"/>
        </w:trPr>
        <w:tc>
          <w:tcPr>
            <w:tcW w:w="4147" w:type="dxa"/>
            <w:tcBorders>
              <w:left w:val="single" w:sz="4" w:space="0" w:color="000000"/>
            </w:tcBorders>
          </w:tcPr>
          <w:p>
            <w:pPr>
              <w:pStyle w:val="TableParagraph"/>
              <w:rPr>
                <w:rFonts w:ascii="Times New Roman"/>
                <w:sz w:val="16"/>
              </w:rPr>
            </w:pPr>
          </w:p>
        </w:tc>
        <w:tc>
          <w:tcPr>
            <w:tcW w:w="1977" w:type="dxa"/>
          </w:tcPr>
          <w:p>
            <w:pPr>
              <w:pStyle w:val="TableParagraph"/>
              <w:spacing w:line="215" w:lineRule="exact"/>
              <w:ind w:left="110"/>
              <w:rPr>
                <w:sz w:val="20"/>
              </w:rPr>
            </w:pPr>
            <w:r>
              <w:rPr>
                <w:sz w:val="20"/>
              </w:rPr>
              <w:t>Top</w:t>
            </w:r>
            <w:r>
              <w:rPr>
                <w:spacing w:val="-1"/>
                <w:sz w:val="20"/>
              </w:rPr>
              <w:t> </w:t>
            </w:r>
            <w:r>
              <w:rPr>
                <w:spacing w:val="-2"/>
                <w:sz w:val="20"/>
              </w:rPr>
              <w:t>Management</w:t>
            </w:r>
          </w:p>
        </w:tc>
        <w:tc>
          <w:tcPr>
            <w:tcW w:w="673" w:type="dxa"/>
          </w:tcPr>
          <w:p>
            <w:pPr>
              <w:pStyle w:val="TableParagraph"/>
              <w:spacing w:line="215" w:lineRule="exact"/>
              <w:ind w:left="55"/>
              <w:jc w:val="center"/>
              <w:rPr>
                <w:sz w:val="20"/>
              </w:rPr>
            </w:pPr>
            <w:r>
              <w:rPr>
                <w:spacing w:val="-10"/>
                <w:sz w:val="20"/>
              </w:rPr>
              <w:t>5</w:t>
            </w:r>
          </w:p>
        </w:tc>
        <w:tc>
          <w:tcPr>
            <w:tcW w:w="787" w:type="dxa"/>
          </w:tcPr>
          <w:p>
            <w:pPr>
              <w:pStyle w:val="TableParagraph"/>
              <w:spacing w:line="215" w:lineRule="exact"/>
              <w:ind w:left="39" w:right="4"/>
              <w:jc w:val="center"/>
              <w:rPr>
                <w:sz w:val="20"/>
              </w:rPr>
            </w:pPr>
            <w:r>
              <w:rPr>
                <w:spacing w:val="-4"/>
                <w:sz w:val="20"/>
              </w:rPr>
              <w:t>21.7</w:t>
            </w:r>
          </w:p>
        </w:tc>
        <w:tc>
          <w:tcPr>
            <w:tcW w:w="521" w:type="dxa"/>
          </w:tcPr>
          <w:p>
            <w:pPr>
              <w:pStyle w:val="TableParagraph"/>
              <w:spacing w:line="215" w:lineRule="exact"/>
              <w:ind w:left="6" w:right="19"/>
              <w:jc w:val="center"/>
              <w:rPr>
                <w:sz w:val="20"/>
              </w:rPr>
            </w:pPr>
            <w:r>
              <w:rPr>
                <w:spacing w:val="-10"/>
                <w:sz w:val="20"/>
              </w:rPr>
              <w:t>6</w:t>
            </w:r>
          </w:p>
        </w:tc>
        <w:tc>
          <w:tcPr>
            <w:tcW w:w="761" w:type="dxa"/>
          </w:tcPr>
          <w:p>
            <w:pPr>
              <w:pStyle w:val="TableParagraph"/>
              <w:spacing w:line="215" w:lineRule="exact"/>
              <w:ind w:left="7" w:right="34"/>
              <w:jc w:val="center"/>
              <w:rPr>
                <w:sz w:val="20"/>
              </w:rPr>
            </w:pPr>
            <w:r>
              <w:rPr>
                <w:spacing w:val="-4"/>
                <w:sz w:val="20"/>
              </w:rPr>
              <w:t>26.1</w:t>
            </w:r>
          </w:p>
        </w:tc>
        <w:tc>
          <w:tcPr>
            <w:tcW w:w="687" w:type="dxa"/>
          </w:tcPr>
          <w:p>
            <w:pPr>
              <w:pStyle w:val="TableParagraph"/>
              <w:spacing w:line="215" w:lineRule="exact"/>
              <w:ind w:left="67" w:right="102"/>
              <w:jc w:val="center"/>
              <w:rPr>
                <w:sz w:val="20"/>
              </w:rPr>
            </w:pPr>
            <w:r>
              <w:rPr>
                <w:spacing w:val="-10"/>
                <w:sz w:val="20"/>
              </w:rPr>
              <w:t>3</w:t>
            </w:r>
          </w:p>
        </w:tc>
        <w:tc>
          <w:tcPr>
            <w:tcW w:w="903" w:type="dxa"/>
          </w:tcPr>
          <w:p>
            <w:pPr>
              <w:pStyle w:val="TableParagraph"/>
              <w:spacing w:line="215" w:lineRule="exact"/>
              <w:ind w:left="13"/>
              <w:jc w:val="center"/>
              <w:rPr>
                <w:sz w:val="20"/>
              </w:rPr>
            </w:pPr>
            <w:r>
              <w:rPr>
                <w:spacing w:val="-4"/>
                <w:sz w:val="20"/>
              </w:rPr>
              <w:t>13.0</w:t>
            </w:r>
          </w:p>
        </w:tc>
        <w:tc>
          <w:tcPr>
            <w:tcW w:w="685" w:type="dxa"/>
          </w:tcPr>
          <w:p>
            <w:pPr>
              <w:pStyle w:val="TableParagraph"/>
              <w:spacing w:line="215" w:lineRule="exact"/>
              <w:ind w:left="89" w:right="32"/>
              <w:jc w:val="center"/>
              <w:rPr>
                <w:sz w:val="20"/>
              </w:rPr>
            </w:pPr>
            <w:r>
              <w:rPr>
                <w:spacing w:val="-10"/>
                <w:sz w:val="20"/>
              </w:rPr>
              <w:t>5</w:t>
            </w:r>
          </w:p>
        </w:tc>
        <w:tc>
          <w:tcPr>
            <w:tcW w:w="800" w:type="dxa"/>
          </w:tcPr>
          <w:p>
            <w:pPr>
              <w:pStyle w:val="TableParagraph"/>
              <w:spacing w:line="215" w:lineRule="exact"/>
              <w:ind w:left="18" w:right="6"/>
              <w:jc w:val="center"/>
              <w:rPr>
                <w:sz w:val="20"/>
              </w:rPr>
            </w:pPr>
            <w:r>
              <w:rPr>
                <w:spacing w:val="-4"/>
                <w:sz w:val="20"/>
              </w:rPr>
              <w:t>21.7</w:t>
            </w:r>
          </w:p>
        </w:tc>
        <w:tc>
          <w:tcPr>
            <w:tcW w:w="627" w:type="dxa"/>
          </w:tcPr>
          <w:p>
            <w:pPr>
              <w:pStyle w:val="TableParagraph"/>
              <w:spacing w:line="215" w:lineRule="exact"/>
              <w:ind w:left="23" w:right="17"/>
              <w:jc w:val="center"/>
              <w:rPr>
                <w:sz w:val="20"/>
              </w:rPr>
            </w:pPr>
            <w:r>
              <w:rPr>
                <w:spacing w:val="-10"/>
                <w:sz w:val="20"/>
              </w:rPr>
              <w:t>4</w:t>
            </w:r>
          </w:p>
        </w:tc>
        <w:tc>
          <w:tcPr>
            <w:tcW w:w="771" w:type="dxa"/>
          </w:tcPr>
          <w:p>
            <w:pPr>
              <w:pStyle w:val="TableParagraph"/>
              <w:spacing w:line="215" w:lineRule="exact"/>
              <w:ind w:left="45" w:right="16"/>
              <w:jc w:val="center"/>
              <w:rPr>
                <w:sz w:val="20"/>
              </w:rPr>
            </w:pPr>
            <w:r>
              <w:rPr>
                <w:spacing w:val="-4"/>
                <w:sz w:val="20"/>
              </w:rPr>
              <w:t>17.4</w:t>
            </w:r>
          </w:p>
        </w:tc>
        <w:tc>
          <w:tcPr>
            <w:tcW w:w="692" w:type="dxa"/>
          </w:tcPr>
          <w:p>
            <w:pPr>
              <w:pStyle w:val="TableParagraph"/>
              <w:spacing w:line="215" w:lineRule="exact"/>
              <w:ind w:left="23" w:right="22"/>
              <w:jc w:val="center"/>
              <w:rPr>
                <w:sz w:val="20"/>
              </w:rPr>
            </w:pPr>
            <w:r>
              <w:rPr>
                <w:spacing w:val="-5"/>
                <w:sz w:val="20"/>
              </w:rPr>
              <w:t>23</w:t>
            </w:r>
          </w:p>
        </w:tc>
        <w:tc>
          <w:tcPr>
            <w:tcW w:w="739" w:type="dxa"/>
            <w:tcBorders>
              <w:right w:val="single" w:sz="4" w:space="0" w:color="000000"/>
            </w:tcBorders>
          </w:tcPr>
          <w:p>
            <w:pPr>
              <w:pStyle w:val="TableParagraph"/>
              <w:spacing w:line="215" w:lineRule="exact"/>
              <w:ind w:left="36" w:right="21"/>
              <w:jc w:val="center"/>
              <w:rPr>
                <w:sz w:val="20"/>
              </w:rPr>
            </w:pPr>
            <w:r>
              <w:rPr>
                <w:spacing w:val="-5"/>
                <w:sz w:val="20"/>
              </w:rPr>
              <w:t>5.0</w:t>
            </w:r>
          </w:p>
        </w:tc>
      </w:tr>
      <w:tr>
        <w:trPr>
          <w:trHeight w:val="235" w:hRule="atLeast"/>
        </w:trPr>
        <w:tc>
          <w:tcPr>
            <w:tcW w:w="4147" w:type="dxa"/>
            <w:tcBorders>
              <w:left w:val="single" w:sz="4" w:space="0" w:color="000000"/>
            </w:tcBorders>
          </w:tcPr>
          <w:p>
            <w:pPr>
              <w:pStyle w:val="TableParagraph"/>
              <w:tabs>
                <w:tab w:pos="609" w:val="left" w:leader="none"/>
              </w:tabs>
              <w:spacing w:line="213" w:lineRule="exact" w:before="2"/>
              <w:ind w:right="100"/>
              <w:jc w:val="right"/>
              <w:rPr>
                <w:sz w:val="20"/>
              </w:rPr>
            </w:pPr>
            <w:r>
              <w:rPr>
                <w:spacing w:val="-5"/>
                <w:sz w:val="20"/>
              </w:rPr>
              <w:t>36.</w:t>
            </w:r>
            <w:r>
              <w:rPr>
                <w:sz w:val="20"/>
              </w:rPr>
              <w:tab/>
              <w:t>Lack</w:t>
            </w:r>
            <w:r>
              <w:rPr>
                <w:spacing w:val="42"/>
                <w:sz w:val="20"/>
              </w:rPr>
              <w:t> </w:t>
            </w:r>
            <w:r>
              <w:rPr>
                <w:sz w:val="20"/>
              </w:rPr>
              <w:t>of</w:t>
            </w:r>
            <w:r>
              <w:rPr>
                <w:spacing w:val="49"/>
                <w:sz w:val="20"/>
              </w:rPr>
              <w:t> </w:t>
            </w:r>
            <w:r>
              <w:rPr>
                <w:sz w:val="20"/>
              </w:rPr>
              <w:t>efficient</w:t>
            </w:r>
            <w:r>
              <w:rPr>
                <w:spacing w:val="40"/>
                <w:sz w:val="20"/>
              </w:rPr>
              <w:t> </w:t>
            </w:r>
            <w:r>
              <w:rPr>
                <w:sz w:val="20"/>
              </w:rPr>
              <w:t>management</w:t>
            </w:r>
            <w:r>
              <w:rPr>
                <w:spacing w:val="43"/>
                <w:sz w:val="20"/>
              </w:rPr>
              <w:t> </w:t>
            </w:r>
            <w:r>
              <w:rPr>
                <w:spacing w:val="-5"/>
                <w:sz w:val="20"/>
              </w:rPr>
              <w:t>and</w:t>
            </w:r>
          </w:p>
        </w:tc>
        <w:tc>
          <w:tcPr>
            <w:tcW w:w="1977" w:type="dxa"/>
          </w:tcPr>
          <w:p>
            <w:pPr>
              <w:pStyle w:val="TableParagraph"/>
              <w:spacing w:line="213" w:lineRule="exact" w:before="2"/>
              <w:ind w:left="110"/>
              <w:rPr>
                <w:sz w:val="20"/>
              </w:rPr>
            </w:pPr>
            <w:r>
              <w:rPr>
                <w:sz w:val="20"/>
              </w:rPr>
              <w:t>No.</w:t>
            </w:r>
            <w:r>
              <w:rPr>
                <w:spacing w:val="-5"/>
                <w:sz w:val="20"/>
              </w:rPr>
              <w:t> </w:t>
            </w:r>
            <w:r>
              <w:rPr>
                <w:sz w:val="20"/>
              </w:rPr>
              <w:t>of</w:t>
            </w:r>
            <w:r>
              <w:rPr>
                <w:spacing w:val="-2"/>
                <w:sz w:val="20"/>
              </w:rPr>
              <w:t> missing</w:t>
            </w:r>
          </w:p>
        </w:tc>
        <w:tc>
          <w:tcPr>
            <w:tcW w:w="673" w:type="dxa"/>
          </w:tcPr>
          <w:p>
            <w:pPr>
              <w:pStyle w:val="TableParagraph"/>
              <w:rPr>
                <w:rFonts w:ascii="Times New Roman"/>
                <w:sz w:val="16"/>
              </w:rPr>
            </w:pPr>
          </w:p>
        </w:tc>
        <w:tc>
          <w:tcPr>
            <w:tcW w:w="787" w:type="dxa"/>
          </w:tcPr>
          <w:p>
            <w:pPr>
              <w:pStyle w:val="TableParagraph"/>
              <w:rPr>
                <w:rFonts w:ascii="Times New Roman"/>
                <w:sz w:val="16"/>
              </w:rPr>
            </w:pPr>
          </w:p>
        </w:tc>
        <w:tc>
          <w:tcPr>
            <w:tcW w:w="521" w:type="dxa"/>
          </w:tcPr>
          <w:p>
            <w:pPr>
              <w:pStyle w:val="TableParagraph"/>
              <w:rPr>
                <w:rFonts w:ascii="Times New Roman"/>
                <w:sz w:val="16"/>
              </w:rPr>
            </w:pPr>
          </w:p>
        </w:tc>
        <w:tc>
          <w:tcPr>
            <w:tcW w:w="761" w:type="dxa"/>
          </w:tcPr>
          <w:p>
            <w:pPr>
              <w:pStyle w:val="TableParagraph"/>
              <w:rPr>
                <w:rFonts w:ascii="Times New Roman"/>
                <w:sz w:val="16"/>
              </w:rPr>
            </w:pPr>
          </w:p>
        </w:tc>
        <w:tc>
          <w:tcPr>
            <w:tcW w:w="687" w:type="dxa"/>
          </w:tcPr>
          <w:p>
            <w:pPr>
              <w:pStyle w:val="TableParagraph"/>
              <w:rPr>
                <w:rFonts w:ascii="Times New Roman"/>
                <w:sz w:val="16"/>
              </w:rPr>
            </w:pPr>
          </w:p>
        </w:tc>
        <w:tc>
          <w:tcPr>
            <w:tcW w:w="903" w:type="dxa"/>
          </w:tcPr>
          <w:p>
            <w:pPr>
              <w:pStyle w:val="TableParagraph"/>
              <w:rPr>
                <w:rFonts w:ascii="Times New Roman"/>
                <w:sz w:val="16"/>
              </w:rPr>
            </w:pPr>
          </w:p>
        </w:tc>
        <w:tc>
          <w:tcPr>
            <w:tcW w:w="685" w:type="dxa"/>
          </w:tcPr>
          <w:p>
            <w:pPr>
              <w:pStyle w:val="TableParagraph"/>
              <w:rPr>
                <w:rFonts w:ascii="Times New Roman"/>
                <w:sz w:val="16"/>
              </w:rPr>
            </w:pPr>
          </w:p>
        </w:tc>
        <w:tc>
          <w:tcPr>
            <w:tcW w:w="800" w:type="dxa"/>
          </w:tcPr>
          <w:p>
            <w:pPr>
              <w:pStyle w:val="TableParagraph"/>
              <w:rPr>
                <w:rFonts w:ascii="Times New Roman"/>
                <w:sz w:val="16"/>
              </w:rPr>
            </w:pPr>
          </w:p>
        </w:tc>
        <w:tc>
          <w:tcPr>
            <w:tcW w:w="627" w:type="dxa"/>
          </w:tcPr>
          <w:p>
            <w:pPr>
              <w:pStyle w:val="TableParagraph"/>
              <w:rPr>
                <w:rFonts w:ascii="Times New Roman"/>
                <w:sz w:val="16"/>
              </w:rPr>
            </w:pPr>
          </w:p>
        </w:tc>
        <w:tc>
          <w:tcPr>
            <w:tcW w:w="771" w:type="dxa"/>
          </w:tcPr>
          <w:p>
            <w:pPr>
              <w:pStyle w:val="TableParagraph"/>
              <w:rPr>
                <w:rFonts w:ascii="Times New Roman"/>
                <w:sz w:val="16"/>
              </w:rPr>
            </w:pPr>
          </w:p>
        </w:tc>
        <w:tc>
          <w:tcPr>
            <w:tcW w:w="692"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30" w:hRule="atLeast"/>
        </w:trPr>
        <w:tc>
          <w:tcPr>
            <w:tcW w:w="4147" w:type="dxa"/>
            <w:tcBorders>
              <w:left w:val="single" w:sz="4" w:space="0" w:color="000000"/>
            </w:tcBorders>
          </w:tcPr>
          <w:p>
            <w:pPr>
              <w:pStyle w:val="TableParagraph"/>
              <w:spacing w:line="210" w:lineRule="exact"/>
              <w:ind w:right="104"/>
              <w:jc w:val="right"/>
              <w:rPr>
                <w:sz w:val="20"/>
              </w:rPr>
            </w:pPr>
            <w:r>
              <w:rPr>
                <w:sz w:val="20"/>
              </w:rPr>
              <w:t>supervision</w:t>
            </w:r>
            <w:r>
              <w:rPr>
                <w:spacing w:val="32"/>
                <w:sz w:val="20"/>
              </w:rPr>
              <w:t>  </w:t>
            </w:r>
            <w:r>
              <w:rPr>
                <w:sz w:val="20"/>
              </w:rPr>
              <w:t>of</w:t>
            </w:r>
            <w:r>
              <w:rPr>
                <w:spacing w:val="36"/>
                <w:sz w:val="20"/>
              </w:rPr>
              <w:t>  </w:t>
            </w:r>
            <w:r>
              <w:rPr>
                <w:sz w:val="20"/>
              </w:rPr>
              <w:t>students</w:t>
            </w:r>
            <w:r>
              <w:rPr>
                <w:spacing w:val="31"/>
                <w:sz w:val="20"/>
              </w:rPr>
              <w:t>  </w:t>
            </w:r>
            <w:r>
              <w:rPr>
                <w:spacing w:val="-2"/>
                <w:sz w:val="20"/>
              </w:rPr>
              <w:t>feeding,</w:t>
            </w:r>
          </w:p>
        </w:tc>
        <w:tc>
          <w:tcPr>
            <w:tcW w:w="1977" w:type="dxa"/>
          </w:tcPr>
          <w:p>
            <w:pPr>
              <w:pStyle w:val="TableParagraph"/>
              <w:spacing w:line="210" w:lineRule="exact"/>
              <w:ind w:left="110"/>
              <w:rPr>
                <w:sz w:val="20"/>
              </w:rPr>
            </w:pPr>
            <w:r>
              <w:rPr>
                <w:spacing w:val="-2"/>
                <w:sz w:val="20"/>
              </w:rPr>
              <w:t>observations</w:t>
            </w:r>
          </w:p>
        </w:tc>
        <w:tc>
          <w:tcPr>
            <w:tcW w:w="673" w:type="dxa"/>
          </w:tcPr>
          <w:p>
            <w:pPr>
              <w:pStyle w:val="TableParagraph"/>
              <w:spacing w:line="210" w:lineRule="exact"/>
              <w:ind w:left="55"/>
              <w:jc w:val="center"/>
              <w:rPr>
                <w:sz w:val="20"/>
              </w:rPr>
            </w:pPr>
            <w:r>
              <w:rPr>
                <w:spacing w:val="-10"/>
                <w:sz w:val="20"/>
              </w:rPr>
              <w:t>1</w:t>
            </w:r>
          </w:p>
        </w:tc>
        <w:tc>
          <w:tcPr>
            <w:tcW w:w="787" w:type="dxa"/>
          </w:tcPr>
          <w:p>
            <w:pPr>
              <w:pStyle w:val="TableParagraph"/>
              <w:spacing w:line="210" w:lineRule="exact"/>
              <w:ind w:left="39" w:right="4"/>
              <w:jc w:val="center"/>
              <w:rPr>
                <w:sz w:val="20"/>
              </w:rPr>
            </w:pPr>
            <w:r>
              <w:rPr>
                <w:spacing w:val="-4"/>
                <w:sz w:val="20"/>
              </w:rPr>
              <w:t>50.0</w:t>
            </w:r>
          </w:p>
        </w:tc>
        <w:tc>
          <w:tcPr>
            <w:tcW w:w="521" w:type="dxa"/>
          </w:tcPr>
          <w:p>
            <w:pPr>
              <w:pStyle w:val="TableParagraph"/>
              <w:spacing w:line="210" w:lineRule="exact"/>
              <w:ind w:right="19"/>
              <w:jc w:val="center"/>
              <w:rPr>
                <w:sz w:val="20"/>
              </w:rPr>
            </w:pPr>
            <w:r>
              <w:rPr>
                <w:spacing w:val="-10"/>
                <w:sz w:val="20"/>
              </w:rPr>
              <w:t>-</w:t>
            </w:r>
          </w:p>
        </w:tc>
        <w:tc>
          <w:tcPr>
            <w:tcW w:w="761" w:type="dxa"/>
          </w:tcPr>
          <w:p>
            <w:pPr>
              <w:pStyle w:val="TableParagraph"/>
              <w:spacing w:line="210" w:lineRule="exact"/>
              <w:ind w:right="34"/>
              <w:jc w:val="center"/>
              <w:rPr>
                <w:sz w:val="20"/>
              </w:rPr>
            </w:pPr>
            <w:r>
              <w:rPr>
                <w:spacing w:val="-10"/>
                <w:sz w:val="20"/>
              </w:rPr>
              <w:t>-</w:t>
            </w:r>
          </w:p>
        </w:tc>
        <w:tc>
          <w:tcPr>
            <w:tcW w:w="687" w:type="dxa"/>
          </w:tcPr>
          <w:p>
            <w:pPr>
              <w:pStyle w:val="TableParagraph"/>
              <w:spacing w:line="210" w:lineRule="exact"/>
              <w:ind w:left="67" w:right="102"/>
              <w:jc w:val="center"/>
              <w:rPr>
                <w:sz w:val="20"/>
              </w:rPr>
            </w:pPr>
            <w:r>
              <w:rPr>
                <w:spacing w:val="-10"/>
                <w:sz w:val="20"/>
              </w:rPr>
              <w:t>1</w:t>
            </w:r>
          </w:p>
        </w:tc>
        <w:tc>
          <w:tcPr>
            <w:tcW w:w="903" w:type="dxa"/>
          </w:tcPr>
          <w:p>
            <w:pPr>
              <w:pStyle w:val="TableParagraph"/>
              <w:spacing w:line="210" w:lineRule="exact"/>
              <w:ind w:left="13"/>
              <w:jc w:val="center"/>
              <w:rPr>
                <w:sz w:val="20"/>
              </w:rPr>
            </w:pPr>
            <w:r>
              <w:rPr>
                <w:spacing w:val="-4"/>
                <w:sz w:val="20"/>
              </w:rPr>
              <w:t>50.0</w:t>
            </w:r>
          </w:p>
        </w:tc>
        <w:tc>
          <w:tcPr>
            <w:tcW w:w="685" w:type="dxa"/>
          </w:tcPr>
          <w:p>
            <w:pPr>
              <w:pStyle w:val="TableParagraph"/>
              <w:spacing w:line="210" w:lineRule="exact"/>
              <w:ind w:left="83" w:right="32"/>
              <w:jc w:val="center"/>
              <w:rPr>
                <w:sz w:val="20"/>
              </w:rPr>
            </w:pPr>
            <w:r>
              <w:rPr>
                <w:spacing w:val="-10"/>
                <w:sz w:val="20"/>
              </w:rPr>
              <w:t>-</w:t>
            </w:r>
          </w:p>
        </w:tc>
        <w:tc>
          <w:tcPr>
            <w:tcW w:w="800" w:type="dxa"/>
          </w:tcPr>
          <w:p>
            <w:pPr>
              <w:pStyle w:val="TableParagraph"/>
              <w:spacing w:line="210" w:lineRule="exact"/>
              <w:ind w:left="18" w:right="12"/>
              <w:jc w:val="center"/>
              <w:rPr>
                <w:sz w:val="20"/>
              </w:rPr>
            </w:pPr>
            <w:r>
              <w:rPr>
                <w:spacing w:val="-10"/>
                <w:sz w:val="20"/>
              </w:rPr>
              <w:t>-</w:t>
            </w:r>
          </w:p>
        </w:tc>
        <w:tc>
          <w:tcPr>
            <w:tcW w:w="627" w:type="dxa"/>
          </w:tcPr>
          <w:p>
            <w:pPr>
              <w:pStyle w:val="TableParagraph"/>
              <w:spacing w:line="210" w:lineRule="exact"/>
              <w:ind w:left="23" w:right="23"/>
              <w:jc w:val="center"/>
              <w:rPr>
                <w:sz w:val="20"/>
              </w:rPr>
            </w:pPr>
            <w:r>
              <w:rPr>
                <w:spacing w:val="-10"/>
                <w:sz w:val="20"/>
              </w:rPr>
              <w:t>-</w:t>
            </w:r>
          </w:p>
        </w:tc>
        <w:tc>
          <w:tcPr>
            <w:tcW w:w="771" w:type="dxa"/>
          </w:tcPr>
          <w:p>
            <w:pPr>
              <w:pStyle w:val="TableParagraph"/>
              <w:spacing w:line="210" w:lineRule="exact"/>
              <w:ind w:left="45" w:right="23"/>
              <w:jc w:val="center"/>
              <w:rPr>
                <w:sz w:val="20"/>
              </w:rPr>
            </w:pPr>
            <w:r>
              <w:rPr>
                <w:spacing w:val="-10"/>
                <w:sz w:val="20"/>
              </w:rPr>
              <w:t>-</w:t>
            </w:r>
          </w:p>
        </w:tc>
        <w:tc>
          <w:tcPr>
            <w:tcW w:w="692" w:type="dxa"/>
          </w:tcPr>
          <w:p>
            <w:pPr>
              <w:pStyle w:val="TableParagraph"/>
              <w:spacing w:line="210" w:lineRule="exact"/>
              <w:ind w:left="23" w:right="17"/>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21"/>
              <w:jc w:val="center"/>
              <w:rPr>
                <w:sz w:val="20"/>
              </w:rPr>
            </w:pPr>
            <w:r>
              <w:rPr>
                <w:spacing w:val="-5"/>
                <w:sz w:val="20"/>
              </w:rPr>
              <w:t>0.4</w:t>
            </w:r>
          </w:p>
        </w:tc>
      </w:tr>
      <w:tr>
        <w:trPr>
          <w:trHeight w:val="230" w:hRule="atLeast"/>
        </w:trPr>
        <w:tc>
          <w:tcPr>
            <w:tcW w:w="4147" w:type="dxa"/>
            <w:tcBorders>
              <w:left w:val="single" w:sz="4" w:space="0" w:color="000000"/>
            </w:tcBorders>
          </w:tcPr>
          <w:p>
            <w:pPr>
              <w:pStyle w:val="TableParagraph"/>
              <w:spacing w:line="210" w:lineRule="exact"/>
              <w:ind w:right="102"/>
              <w:jc w:val="right"/>
              <w:rPr>
                <w:sz w:val="20"/>
              </w:rPr>
            </w:pPr>
            <w:r>
              <w:rPr>
                <w:sz w:val="20"/>
              </w:rPr>
              <w:t>catering</w:t>
            </w:r>
            <w:r>
              <w:rPr>
                <w:spacing w:val="-4"/>
                <w:sz w:val="20"/>
              </w:rPr>
              <w:t> </w:t>
            </w:r>
            <w:r>
              <w:rPr>
                <w:sz w:val="20"/>
              </w:rPr>
              <w:t>services</w:t>
            </w:r>
            <w:r>
              <w:rPr>
                <w:spacing w:val="-7"/>
                <w:sz w:val="20"/>
              </w:rPr>
              <w:t> </w:t>
            </w:r>
            <w:r>
              <w:rPr>
                <w:sz w:val="20"/>
              </w:rPr>
              <w:t>by</w:t>
            </w:r>
            <w:r>
              <w:rPr>
                <w:spacing w:val="-2"/>
                <w:sz w:val="20"/>
              </w:rPr>
              <w:t> </w:t>
            </w:r>
            <w:r>
              <w:rPr>
                <w:sz w:val="20"/>
              </w:rPr>
              <w:t>the</w:t>
            </w:r>
            <w:r>
              <w:rPr>
                <w:spacing w:val="-3"/>
                <w:sz w:val="20"/>
              </w:rPr>
              <w:t> </w:t>
            </w:r>
            <w:r>
              <w:rPr>
                <w:spacing w:val="-2"/>
                <w:sz w:val="20"/>
              </w:rPr>
              <w:t>Universities</w:t>
            </w:r>
          </w:p>
        </w:tc>
        <w:tc>
          <w:tcPr>
            <w:tcW w:w="1977" w:type="dxa"/>
          </w:tcPr>
          <w:p>
            <w:pPr>
              <w:pStyle w:val="TableParagraph"/>
              <w:spacing w:line="210" w:lineRule="exact"/>
              <w:ind w:left="110"/>
              <w:rPr>
                <w:sz w:val="20"/>
              </w:rPr>
            </w:pPr>
            <w:r>
              <w:rPr>
                <w:spacing w:val="-2"/>
                <w:sz w:val="20"/>
              </w:rPr>
              <w:t>Students</w:t>
            </w:r>
          </w:p>
        </w:tc>
        <w:tc>
          <w:tcPr>
            <w:tcW w:w="673" w:type="dxa"/>
          </w:tcPr>
          <w:p>
            <w:pPr>
              <w:pStyle w:val="TableParagraph"/>
              <w:spacing w:line="210" w:lineRule="exact"/>
              <w:ind w:left="55" w:right="5"/>
              <w:jc w:val="center"/>
              <w:rPr>
                <w:sz w:val="20"/>
              </w:rPr>
            </w:pPr>
            <w:r>
              <w:rPr>
                <w:spacing w:val="-5"/>
                <w:sz w:val="20"/>
              </w:rPr>
              <w:t>79</w:t>
            </w:r>
          </w:p>
        </w:tc>
        <w:tc>
          <w:tcPr>
            <w:tcW w:w="787" w:type="dxa"/>
          </w:tcPr>
          <w:p>
            <w:pPr>
              <w:pStyle w:val="TableParagraph"/>
              <w:spacing w:line="210" w:lineRule="exact"/>
              <w:ind w:left="39" w:right="4"/>
              <w:jc w:val="center"/>
              <w:rPr>
                <w:sz w:val="20"/>
              </w:rPr>
            </w:pPr>
            <w:r>
              <w:rPr>
                <w:spacing w:val="-4"/>
                <w:sz w:val="20"/>
              </w:rPr>
              <w:t>33.6</w:t>
            </w:r>
          </w:p>
        </w:tc>
        <w:tc>
          <w:tcPr>
            <w:tcW w:w="521" w:type="dxa"/>
          </w:tcPr>
          <w:p>
            <w:pPr>
              <w:pStyle w:val="TableParagraph"/>
              <w:spacing w:line="210" w:lineRule="exact"/>
              <w:ind w:left="2" w:right="19"/>
              <w:jc w:val="center"/>
              <w:rPr>
                <w:sz w:val="20"/>
              </w:rPr>
            </w:pPr>
            <w:r>
              <w:rPr>
                <w:spacing w:val="-5"/>
                <w:sz w:val="20"/>
              </w:rPr>
              <w:t>87</w:t>
            </w:r>
          </w:p>
        </w:tc>
        <w:tc>
          <w:tcPr>
            <w:tcW w:w="761" w:type="dxa"/>
          </w:tcPr>
          <w:p>
            <w:pPr>
              <w:pStyle w:val="TableParagraph"/>
              <w:spacing w:line="210" w:lineRule="exact"/>
              <w:ind w:left="7" w:right="34"/>
              <w:jc w:val="center"/>
              <w:rPr>
                <w:sz w:val="20"/>
              </w:rPr>
            </w:pPr>
            <w:r>
              <w:rPr>
                <w:spacing w:val="-4"/>
                <w:sz w:val="20"/>
              </w:rPr>
              <w:t>37.0</w:t>
            </w:r>
          </w:p>
        </w:tc>
        <w:tc>
          <w:tcPr>
            <w:tcW w:w="687" w:type="dxa"/>
          </w:tcPr>
          <w:p>
            <w:pPr>
              <w:pStyle w:val="TableParagraph"/>
              <w:spacing w:line="210" w:lineRule="exact"/>
              <w:ind w:left="67" w:right="107"/>
              <w:jc w:val="center"/>
              <w:rPr>
                <w:sz w:val="20"/>
              </w:rPr>
            </w:pPr>
            <w:r>
              <w:rPr>
                <w:spacing w:val="-5"/>
                <w:sz w:val="20"/>
              </w:rPr>
              <w:t>37</w:t>
            </w:r>
          </w:p>
        </w:tc>
        <w:tc>
          <w:tcPr>
            <w:tcW w:w="903" w:type="dxa"/>
          </w:tcPr>
          <w:p>
            <w:pPr>
              <w:pStyle w:val="TableParagraph"/>
              <w:spacing w:line="210" w:lineRule="exact"/>
              <w:ind w:left="13"/>
              <w:jc w:val="center"/>
              <w:rPr>
                <w:sz w:val="20"/>
              </w:rPr>
            </w:pPr>
            <w:r>
              <w:rPr>
                <w:spacing w:val="-4"/>
                <w:sz w:val="20"/>
              </w:rPr>
              <w:t>15.7</w:t>
            </w:r>
          </w:p>
        </w:tc>
        <w:tc>
          <w:tcPr>
            <w:tcW w:w="685" w:type="dxa"/>
          </w:tcPr>
          <w:p>
            <w:pPr>
              <w:pStyle w:val="TableParagraph"/>
              <w:spacing w:line="210" w:lineRule="exact"/>
              <w:ind w:left="85" w:right="32"/>
              <w:jc w:val="center"/>
              <w:rPr>
                <w:sz w:val="20"/>
              </w:rPr>
            </w:pPr>
            <w:r>
              <w:rPr>
                <w:spacing w:val="-5"/>
                <w:sz w:val="20"/>
              </w:rPr>
              <w:t>23</w:t>
            </w:r>
          </w:p>
        </w:tc>
        <w:tc>
          <w:tcPr>
            <w:tcW w:w="800" w:type="dxa"/>
          </w:tcPr>
          <w:p>
            <w:pPr>
              <w:pStyle w:val="TableParagraph"/>
              <w:spacing w:line="210" w:lineRule="exact"/>
              <w:ind w:left="18" w:right="11"/>
              <w:jc w:val="center"/>
              <w:rPr>
                <w:sz w:val="20"/>
              </w:rPr>
            </w:pPr>
            <w:r>
              <w:rPr>
                <w:spacing w:val="-5"/>
                <w:sz w:val="20"/>
              </w:rPr>
              <w:t>9.8</w:t>
            </w:r>
          </w:p>
        </w:tc>
        <w:tc>
          <w:tcPr>
            <w:tcW w:w="627" w:type="dxa"/>
          </w:tcPr>
          <w:p>
            <w:pPr>
              <w:pStyle w:val="TableParagraph"/>
              <w:spacing w:line="210" w:lineRule="exact"/>
              <w:ind w:left="23" w:right="17"/>
              <w:jc w:val="center"/>
              <w:rPr>
                <w:sz w:val="20"/>
              </w:rPr>
            </w:pPr>
            <w:r>
              <w:rPr>
                <w:spacing w:val="-10"/>
                <w:sz w:val="20"/>
              </w:rPr>
              <w:t>9</w:t>
            </w:r>
          </w:p>
        </w:tc>
        <w:tc>
          <w:tcPr>
            <w:tcW w:w="771" w:type="dxa"/>
          </w:tcPr>
          <w:p>
            <w:pPr>
              <w:pStyle w:val="TableParagraph"/>
              <w:spacing w:line="210" w:lineRule="exact"/>
              <w:ind w:left="45" w:right="21"/>
              <w:jc w:val="center"/>
              <w:rPr>
                <w:sz w:val="20"/>
              </w:rPr>
            </w:pPr>
            <w:r>
              <w:rPr>
                <w:spacing w:val="-5"/>
                <w:sz w:val="20"/>
              </w:rPr>
              <w:t>3.8</w:t>
            </w:r>
          </w:p>
        </w:tc>
        <w:tc>
          <w:tcPr>
            <w:tcW w:w="692" w:type="dxa"/>
          </w:tcPr>
          <w:p>
            <w:pPr>
              <w:pStyle w:val="TableParagraph"/>
              <w:spacing w:line="210" w:lineRule="exact"/>
              <w:ind w:left="23" w:right="24"/>
              <w:jc w:val="center"/>
              <w:rPr>
                <w:sz w:val="20"/>
              </w:rPr>
            </w:pPr>
            <w:r>
              <w:rPr>
                <w:spacing w:val="-5"/>
                <w:sz w:val="20"/>
              </w:rPr>
              <w:t>235</w:t>
            </w:r>
          </w:p>
        </w:tc>
        <w:tc>
          <w:tcPr>
            <w:tcW w:w="739" w:type="dxa"/>
            <w:tcBorders>
              <w:right w:val="single" w:sz="4" w:space="0" w:color="000000"/>
            </w:tcBorders>
          </w:tcPr>
          <w:p>
            <w:pPr>
              <w:pStyle w:val="TableParagraph"/>
              <w:spacing w:line="210" w:lineRule="exact"/>
              <w:ind w:left="36" w:right="16"/>
              <w:jc w:val="center"/>
              <w:rPr>
                <w:sz w:val="20"/>
              </w:rPr>
            </w:pPr>
            <w:r>
              <w:rPr>
                <w:spacing w:val="-4"/>
                <w:sz w:val="20"/>
              </w:rPr>
              <w:t>50.8</w:t>
            </w:r>
          </w:p>
        </w:tc>
      </w:tr>
      <w:tr>
        <w:trPr>
          <w:trHeight w:val="235" w:hRule="atLeast"/>
        </w:trPr>
        <w:tc>
          <w:tcPr>
            <w:tcW w:w="4147" w:type="dxa"/>
            <w:tcBorders>
              <w:left w:val="single" w:sz="4" w:space="0" w:color="000000"/>
            </w:tcBorders>
          </w:tcPr>
          <w:p>
            <w:pPr>
              <w:pStyle w:val="TableParagraph"/>
              <w:spacing w:line="215" w:lineRule="exact"/>
              <w:ind w:right="105"/>
              <w:jc w:val="right"/>
              <w:rPr>
                <w:sz w:val="20"/>
              </w:rPr>
            </w:pPr>
            <w:r>
              <w:rPr>
                <w:sz w:val="20"/>
              </w:rPr>
              <w:t>has</w:t>
            </w:r>
            <w:r>
              <w:rPr>
                <w:spacing w:val="71"/>
                <w:w w:val="150"/>
                <w:sz w:val="20"/>
              </w:rPr>
              <w:t> </w:t>
            </w:r>
            <w:r>
              <w:rPr>
                <w:sz w:val="20"/>
              </w:rPr>
              <w:t>chain</w:t>
            </w:r>
            <w:r>
              <w:rPr>
                <w:spacing w:val="73"/>
                <w:w w:val="150"/>
                <w:sz w:val="20"/>
              </w:rPr>
              <w:t> </w:t>
            </w:r>
            <w:r>
              <w:rPr>
                <w:sz w:val="20"/>
              </w:rPr>
              <w:t>reaction</w:t>
            </w:r>
            <w:r>
              <w:rPr>
                <w:spacing w:val="74"/>
                <w:w w:val="150"/>
                <w:sz w:val="20"/>
              </w:rPr>
              <w:t> </w:t>
            </w:r>
            <w:r>
              <w:rPr>
                <w:sz w:val="20"/>
              </w:rPr>
              <w:t>and</w:t>
            </w:r>
            <w:r>
              <w:rPr>
                <w:spacing w:val="74"/>
                <w:w w:val="150"/>
                <w:sz w:val="20"/>
              </w:rPr>
              <w:t> </w:t>
            </w:r>
            <w:r>
              <w:rPr>
                <w:spacing w:val="-2"/>
                <w:sz w:val="20"/>
              </w:rPr>
              <w:t>adverse</w:t>
            </w:r>
          </w:p>
        </w:tc>
        <w:tc>
          <w:tcPr>
            <w:tcW w:w="1977" w:type="dxa"/>
          </w:tcPr>
          <w:p>
            <w:pPr>
              <w:pStyle w:val="TableParagraph"/>
              <w:spacing w:line="208" w:lineRule="exact" w:before="7"/>
              <w:ind w:left="110"/>
              <w:rPr>
                <w:sz w:val="20"/>
              </w:rPr>
            </w:pPr>
            <w:r>
              <w:rPr>
                <w:sz w:val="20"/>
              </w:rPr>
              <w:t>Service</w:t>
            </w:r>
            <w:r>
              <w:rPr>
                <w:spacing w:val="-9"/>
                <w:sz w:val="20"/>
              </w:rPr>
              <w:t> </w:t>
            </w:r>
            <w:r>
              <w:rPr>
                <w:spacing w:val="-2"/>
                <w:sz w:val="20"/>
              </w:rPr>
              <w:t>Staff</w:t>
            </w:r>
          </w:p>
        </w:tc>
        <w:tc>
          <w:tcPr>
            <w:tcW w:w="673" w:type="dxa"/>
          </w:tcPr>
          <w:p>
            <w:pPr>
              <w:pStyle w:val="TableParagraph"/>
              <w:spacing w:line="208" w:lineRule="exact" w:before="7"/>
              <w:ind w:left="55" w:right="5"/>
              <w:jc w:val="center"/>
              <w:rPr>
                <w:sz w:val="20"/>
              </w:rPr>
            </w:pPr>
            <w:r>
              <w:rPr>
                <w:spacing w:val="-5"/>
                <w:sz w:val="20"/>
              </w:rPr>
              <w:t>43</w:t>
            </w:r>
          </w:p>
        </w:tc>
        <w:tc>
          <w:tcPr>
            <w:tcW w:w="787" w:type="dxa"/>
          </w:tcPr>
          <w:p>
            <w:pPr>
              <w:pStyle w:val="TableParagraph"/>
              <w:spacing w:line="208" w:lineRule="exact" w:before="7"/>
              <w:ind w:left="39" w:right="4"/>
              <w:jc w:val="center"/>
              <w:rPr>
                <w:sz w:val="20"/>
              </w:rPr>
            </w:pPr>
            <w:r>
              <w:rPr>
                <w:spacing w:val="-4"/>
                <w:sz w:val="20"/>
              </w:rPr>
              <w:t>21.2</w:t>
            </w:r>
          </w:p>
        </w:tc>
        <w:tc>
          <w:tcPr>
            <w:tcW w:w="521" w:type="dxa"/>
          </w:tcPr>
          <w:p>
            <w:pPr>
              <w:pStyle w:val="TableParagraph"/>
              <w:spacing w:line="208" w:lineRule="exact" w:before="7"/>
              <w:ind w:left="2" w:right="19"/>
              <w:jc w:val="center"/>
              <w:rPr>
                <w:sz w:val="20"/>
              </w:rPr>
            </w:pPr>
            <w:r>
              <w:rPr>
                <w:spacing w:val="-5"/>
                <w:sz w:val="20"/>
              </w:rPr>
              <w:t>73</w:t>
            </w:r>
          </w:p>
        </w:tc>
        <w:tc>
          <w:tcPr>
            <w:tcW w:w="761" w:type="dxa"/>
          </w:tcPr>
          <w:p>
            <w:pPr>
              <w:pStyle w:val="TableParagraph"/>
              <w:spacing w:line="208" w:lineRule="exact" w:before="7"/>
              <w:ind w:left="7" w:right="34"/>
              <w:jc w:val="center"/>
              <w:rPr>
                <w:sz w:val="20"/>
              </w:rPr>
            </w:pPr>
            <w:r>
              <w:rPr>
                <w:spacing w:val="-4"/>
                <w:sz w:val="20"/>
              </w:rPr>
              <w:t>36.0</w:t>
            </w:r>
          </w:p>
        </w:tc>
        <w:tc>
          <w:tcPr>
            <w:tcW w:w="687" w:type="dxa"/>
          </w:tcPr>
          <w:p>
            <w:pPr>
              <w:pStyle w:val="TableParagraph"/>
              <w:spacing w:line="208" w:lineRule="exact" w:before="7"/>
              <w:ind w:left="67" w:right="107"/>
              <w:jc w:val="center"/>
              <w:rPr>
                <w:sz w:val="20"/>
              </w:rPr>
            </w:pPr>
            <w:r>
              <w:rPr>
                <w:spacing w:val="-5"/>
                <w:sz w:val="20"/>
              </w:rPr>
              <w:t>33</w:t>
            </w:r>
          </w:p>
        </w:tc>
        <w:tc>
          <w:tcPr>
            <w:tcW w:w="903" w:type="dxa"/>
          </w:tcPr>
          <w:p>
            <w:pPr>
              <w:pStyle w:val="TableParagraph"/>
              <w:spacing w:line="208" w:lineRule="exact" w:before="7"/>
              <w:ind w:left="13"/>
              <w:jc w:val="center"/>
              <w:rPr>
                <w:sz w:val="20"/>
              </w:rPr>
            </w:pPr>
            <w:r>
              <w:rPr>
                <w:spacing w:val="-4"/>
                <w:sz w:val="20"/>
              </w:rPr>
              <w:t>16.3</w:t>
            </w:r>
          </w:p>
        </w:tc>
        <w:tc>
          <w:tcPr>
            <w:tcW w:w="685" w:type="dxa"/>
          </w:tcPr>
          <w:p>
            <w:pPr>
              <w:pStyle w:val="TableParagraph"/>
              <w:spacing w:line="208" w:lineRule="exact" w:before="7"/>
              <w:ind w:left="85" w:right="32"/>
              <w:jc w:val="center"/>
              <w:rPr>
                <w:sz w:val="20"/>
              </w:rPr>
            </w:pPr>
            <w:r>
              <w:rPr>
                <w:spacing w:val="-5"/>
                <w:sz w:val="20"/>
              </w:rPr>
              <w:t>44</w:t>
            </w:r>
          </w:p>
        </w:tc>
        <w:tc>
          <w:tcPr>
            <w:tcW w:w="800" w:type="dxa"/>
          </w:tcPr>
          <w:p>
            <w:pPr>
              <w:pStyle w:val="TableParagraph"/>
              <w:spacing w:line="208" w:lineRule="exact" w:before="7"/>
              <w:ind w:left="18" w:right="6"/>
              <w:jc w:val="center"/>
              <w:rPr>
                <w:sz w:val="20"/>
              </w:rPr>
            </w:pPr>
            <w:r>
              <w:rPr>
                <w:spacing w:val="-4"/>
                <w:sz w:val="20"/>
              </w:rPr>
              <w:t>21.7</w:t>
            </w:r>
          </w:p>
        </w:tc>
        <w:tc>
          <w:tcPr>
            <w:tcW w:w="627" w:type="dxa"/>
          </w:tcPr>
          <w:p>
            <w:pPr>
              <w:pStyle w:val="TableParagraph"/>
              <w:spacing w:line="208" w:lineRule="exact" w:before="7"/>
              <w:ind w:left="23" w:right="22"/>
              <w:jc w:val="center"/>
              <w:rPr>
                <w:sz w:val="20"/>
              </w:rPr>
            </w:pPr>
            <w:r>
              <w:rPr>
                <w:spacing w:val="-5"/>
                <w:sz w:val="20"/>
              </w:rPr>
              <w:t>10</w:t>
            </w:r>
          </w:p>
        </w:tc>
        <w:tc>
          <w:tcPr>
            <w:tcW w:w="771" w:type="dxa"/>
          </w:tcPr>
          <w:p>
            <w:pPr>
              <w:pStyle w:val="TableParagraph"/>
              <w:spacing w:line="208" w:lineRule="exact" w:before="7"/>
              <w:ind w:left="45" w:right="21"/>
              <w:jc w:val="center"/>
              <w:rPr>
                <w:sz w:val="20"/>
              </w:rPr>
            </w:pPr>
            <w:r>
              <w:rPr>
                <w:spacing w:val="-5"/>
                <w:sz w:val="20"/>
              </w:rPr>
              <w:t>4.9</w:t>
            </w:r>
          </w:p>
        </w:tc>
        <w:tc>
          <w:tcPr>
            <w:tcW w:w="692" w:type="dxa"/>
          </w:tcPr>
          <w:p>
            <w:pPr>
              <w:pStyle w:val="TableParagraph"/>
              <w:spacing w:line="208" w:lineRule="exact" w:before="7"/>
              <w:ind w:left="23" w:right="24"/>
              <w:jc w:val="center"/>
              <w:rPr>
                <w:sz w:val="20"/>
              </w:rPr>
            </w:pPr>
            <w:r>
              <w:rPr>
                <w:spacing w:val="-5"/>
                <w:sz w:val="20"/>
              </w:rPr>
              <w:t>203</w:t>
            </w:r>
          </w:p>
        </w:tc>
        <w:tc>
          <w:tcPr>
            <w:tcW w:w="739" w:type="dxa"/>
            <w:tcBorders>
              <w:right w:val="single" w:sz="4" w:space="0" w:color="000000"/>
            </w:tcBorders>
          </w:tcPr>
          <w:p>
            <w:pPr>
              <w:pStyle w:val="TableParagraph"/>
              <w:spacing w:line="208" w:lineRule="exact" w:before="7"/>
              <w:ind w:left="36" w:right="16"/>
              <w:jc w:val="center"/>
              <w:rPr>
                <w:sz w:val="20"/>
              </w:rPr>
            </w:pPr>
            <w:r>
              <w:rPr>
                <w:spacing w:val="-4"/>
                <w:sz w:val="20"/>
              </w:rPr>
              <w:t>43.8</w:t>
            </w:r>
          </w:p>
        </w:tc>
      </w:tr>
      <w:tr>
        <w:trPr>
          <w:trHeight w:val="455" w:hRule="atLeast"/>
        </w:trPr>
        <w:tc>
          <w:tcPr>
            <w:tcW w:w="4147" w:type="dxa"/>
            <w:tcBorders>
              <w:left w:val="single" w:sz="4" w:space="0" w:color="000000"/>
            </w:tcBorders>
          </w:tcPr>
          <w:p>
            <w:pPr>
              <w:pStyle w:val="TableParagraph"/>
              <w:spacing w:line="223" w:lineRule="exact"/>
              <w:ind w:left="830"/>
              <w:rPr>
                <w:sz w:val="20"/>
              </w:rPr>
            </w:pPr>
            <w:r>
              <w:rPr>
                <w:sz w:val="20"/>
              </w:rPr>
              <w:t>effect</w:t>
            </w:r>
            <w:r>
              <w:rPr>
                <w:spacing w:val="69"/>
                <w:sz w:val="20"/>
              </w:rPr>
              <w:t> </w:t>
            </w:r>
            <w:r>
              <w:rPr>
                <w:sz w:val="20"/>
              </w:rPr>
              <w:t>on</w:t>
            </w:r>
            <w:r>
              <w:rPr>
                <w:spacing w:val="68"/>
                <w:sz w:val="20"/>
              </w:rPr>
              <w:t> </w:t>
            </w:r>
            <w:r>
              <w:rPr>
                <w:sz w:val="20"/>
              </w:rPr>
              <w:t>the</w:t>
            </w:r>
            <w:r>
              <w:rPr>
                <w:spacing w:val="67"/>
                <w:sz w:val="20"/>
              </w:rPr>
              <w:t> </w:t>
            </w:r>
            <w:r>
              <w:rPr>
                <w:sz w:val="20"/>
              </w:rPr>
              <w:t>welfare</w:t>
            </w:r>
            <w:r>
              <w:rPr>
                <w:spacing w:val="67"/>
                <w:sz w:val="20"/>
              </w:rPr>
              <w:t> </w:t>
            </w:r>
            <w:r>
              <w:rPr>
                <w:sz w:val="20"/>
              </w:rPr>
              <w:t>of</w:t>
            </w:r>
            <w:r>
              <w:rPr>
                <w:spacing w:val="75"/>
                <w:sz w:val="20"/>
              </w:rPr>
              <w:t> </w:t>
            </w:r>
            <w:r>
              <w:rPr>
                <w:spacing w:val="-2"/>
                <w:sz w:val="20"/>
              </w:rPr>
              <w:t>students</w:t>
            </w:r>
          </w:p>
          <w:p>
            <w:pPr>
              <w:pStyle w:val="TableParagraph"/>
              <w:spacing w:line="213" w:lineRule="exact"/>
              <w:ind w:left="830"/>
              <w:rPr>
                <w:sz w:val="20"/>
              </w:rPr>
            </w:pPr>
            <w:r>
              <w:rPr>
                <w:sz w:val="20"/>
              </w:rPr>
              <w:t>and</w:t>
            </w:r>
            <w:r>
              <w:rPr>
                <w:spacing w:val="-7"/>
                <w:sz w:val="20"/>
              </w:rPr>
              <w:t> </w:t>
            </w:r>
            <w:r>
              <w:rPr>
                <w:sz w:val="20"/>
              </w:rPr>
              <w:t>their</w:t>
            </w:r>
            <w:r>
              <w:rPr>
                <w:spacing w:val="-3"/>
                <w:sz w:val="20"/>
              </w:rPr>
              <w:t> </w:t>
            </w:r>
            <w:r>
              <w:rPr>
                <w:sz w:val="20"/>
              </w:rPr>
              <w:t>academic</w:t>
            </w:r>
            <w:r>
              <w:rPr>
                <w:spacing w:val="-3"/>
                <w:sz w:val="20"/>
              </w:rPr>
              <w:t> </w:t>
            </w:r>
            <w:r>
              <w:rPr>
                <w:spacing w:val="-2"/>
                <w:sz w:val="20"/>
              </w:rPr>
              <w:t>performance</w:t>
            </w:r>
          </w:p>
        </w:tc>
        <w:tc>
          <w:tcPr>
            <w:tcW w:w="1977" w:type="dxa"/>
          </w:tcPr>
          <w:p>
            <w:pPr>
              <w:pStyle w:val="TableParagraph"/>
              <w:spacing w:before="2"/>
              <w:ind w:left="110"/>
              <w:rPr>
                <w:sz w:val="20"/>
              </w:rPr>
            </w:pPr>
            <w:r>
              <w:rPr>
                <w:sz w:val="20"/>
              </w:rPr>
              <w:t>Top</w:t>
            </w:r>
            <w:r>
              <w:rPr>
                <w:spacing w:val="-1"/>
                <w:sz w:val="20"/>
              </w:rPr>
              <w:t> </w:t>
            </w:r>
            <w:r>
              <w:rPr>
                <w:spacing w:val="-2"/>
                <w:sz w:val="20"/>
              </w:rPr>
              <w:t>Management</w:t>
            </w:r>
          </w:p>
        </w:tc>
        <w:tc>
          <w:tcPr>
            <w:tcW w:w="673" w:type="dxa"/>
          </w:tcPr>
          <w:p>
            <w:pPr>
              <w:pStyle w:val="TableParagraph"/>
              <w:spacing w:before="2"/>
              <w:ind w:left="55"/>
              <w:jc w:val="center"/>
              <w:rPr>
                <w:sz w:val="20"/>
              </w:rPr>
            </w:pPr>
            <w:r>
              <w:rPr>
                <w:spacing w:val="-10"/>
                <w:sz w:val="20"/>
              </w:rPr>
              <w:t>5</w:t>
            </w:r>
          </w:p>
        </w:tc>
        <w:tc>
          <w:tcPr>
            <w:tcW w:w="787" w:type="dxa"/>
          </w:tcPr>
          <w:p>
            <w:pPr>
              <w:pStyle w:val="TableParagraph"/>
              <w:spacing w:before="2"/>
              <w:ind w:left="39" w:right="4"/>
              <w:jc w:val="center"/>
              <w:rPr>
                <w:sz w:val="20"/>
              </w:rPr>
            </w:pPr>
            <w:r>
              <w:rPr>
                <w:spacing w:val="-4"/>
                <w:sz w:val="20"/>
              </w:rPr>
              <w:t>21.7</w:t>
            </w:r>
          </w:p>
        </w:tc>
        <w:tc>
          <w:tcPr>
            <w:tcW w:w="521" w:type="dxa"/>
          </w:tcPr>
          <w:p>
            <w:pPr>
              <w:pStyle w:val="TableParagraph"/>
              <w:spacing w:before="2"/>
              <w:ind w:left="2" w:right="19"/>
              <w:jc w:val="center"/>
              <w:rPr>
                <w:sz w:val="20"/>
              </w:rPr>
            </w:pPr>
            <w:r>
              <w:rPr>
                <w:spacing w:val="-5"/>
                <w:sz w:val="20"/>
              </w:rPr>
              <w:t>16</w:t>
            </w:r>
          </w:p>
        </w:tc>
        <w:tc>
          <w:tcPr>
            <w:tcW w:w="761" w:type="dxa"/>
          </w:tcPr>
          <w:p>
            <w:pPr>
              <w:pStyle w:val="TableParagraph"/>
              <w:spacing w:before="2"/>
              <w:ind w:left="7" w:right="34"/>
              <w:jc w:val="center"/>
              <w:rPr>
                <w:sz w:val="20"/>
              </w:rPr>
            </w:pPr>
            <w:r>
              <w:rPr>
                <w:spacing w:val="-4"/>
                <w:sz w:val="20"/>
              </w:rPr>
              <w:t>69.6</w:t>
            </w:r>
          </w:p>
        </w:tc>
        <w:tc>
          <w:tcPr>
            <w:tcW w:w="687" w:type="dxa"/>
          </w:tcPr>
          <w:p>
            <w:pPr>
              <w:pStyle w:val="TableParagraph"/>
              <w:spacing w:before="2"/>
              <w:ind w:left="67" w:right="102"/>
              <w:jc w:val="center"/>
              <w:rPr>
                <w:sz w:val="20"/>
              </w:rPr>
            </w:pPr>
            <w:r>
              <w:rPr>
                <w:spacing w:val="-10"/>
                <w:sz w:val="20"/>
              </w:rPr>
              <w:t>1</w:t>
            </w:r>
          </w:p>
        </w:tc>
        <w:tc>
          <w:tcPr>
            <w:tcW w:w="903" w:type="dxa"/>
          </w:tcPr>
          <w:p>
            <w:pPr>
              <w:pStyle w:val="TableParagraph"/>
              <w:spacing w:before="2"/>
              <w:ind w:left="13" w:right="5"/>
              <w:jc w:val="center"/>
              <w:rPr>
                <w:sz w:val="20"/>
              </w:rPr>
            </w:pPr>
            <w:r>
              <w:rPr>
                <w:spacing w:val="-5"/>
                <w:sz w:val="20"/>
              </w:rPr>
              <w:t>4.3</w:t>
            </w:r>
          </w:p>
        </w:tc>
        <w:tc>
          <w:tcPr>
            <w:tcW w:w="685" w:type="dxa"/>
          </w:tcPr>
          <w:p>
            <w:pPr>
              <w:pStyle w:val="TableParagraph"/>
              <w:spacing w:before="2"/>
              <w:ind w:left="89" w:right="32"/>
              <w:jc w:val="center"/>
              <w:rPr>
                <w:sz w:val="20"/>
              </w:rPr>
            </w:pPr>
            <w:r>
              <w:rPr>
                <w:spacing w:val="-10"/>
                <w:sz w:val="20"/>
              </w:rPr>
              <w:t>1</w:t>
            </w:r>
          </w:p>
        </w:tc>
        <w:tc>
          <w:tcPr>
            <w:tcW w:w="800" w:type="dxa"/>
          </w:tcPr>
          <w:p>
            <w:pPr>
              <w:pStyle w:val="TableParagraph"/>
              <w:spacing w:before="2"/>
              <w:ind w:left="18" w:right="11"/>
              <w:jc w:val="center"/>
              <w:rPr>
                <w:sz w:val="20"/>
              </w:rPr>
            </w:pPr>
            <w:r>
              <w:rPr>
                <w:spacing w:val="-5"/>
                <w:sz w:val="20"/>
              </w:rPr>
              <w:t>4.3</w:t>
            </w:r>
          </w:p>
        </w:tc>
        <w:tc>
          <w:tcPr>
            <w:tcW w:w="627" w:type="dxa"/>
          </w:tcPr>
          <w:p>
            <w:pPr>
              <w:pStyle w:val="TableParagraph"/>
              <w:spacing w:before="2"/>
              <w:ind w:left="23" w:right="23"/>
              <w:jc w:val="center"/>
              <w:rPr>
                <w:sz w:val="20"/>
              </w:rPr>
            </w:pPr>
            <w:r>
              <w:rPr>
                <w:spacing w:val="-10"/>
                <w:sz w:val="20"/>
              </w:rPr>
              <w:t>-</w:t>
            </w:r>
          </w:p>
        </w:tc>
        <w:tc>
          <w:tcPr>
            <w:tcW w:w="771" w:type="dxa"/>
          </w:tcPr>
          <w:p>
            <w:pPr>
              <w:pStyle w:val="TableParagraph"/>
              <w:spacing w:before="2"/>
              <w:ind w:left="45" w:right="23"/>
              <w:jc w:val="center"/>
              <w:rPr>
                <w:sz w:val="20"/>
              </w:rPr>
            </w:pPr>
            <w:r>
              <w:rPr>
                <w:spacing w:val="-10"/>
                <w:sz w:val="20"/>
              </w:rPr>
              <w:t>-</w:t>
            </w:r>
          </w:p>
        </w:tc>
        <w:tc>
          <w:tcPr>
            <w:tcW w:w="692" w:type="dxa"/>
          </w:tcPr>
          <w:p>
            <w:pPr>
              <w:pStyle w:val="TableParagraph"/>
              <w:spacing w:before="2"/>
              <w:ind w:left="23" w:right="22"/>
              <w:jc w:val="center"/>
              <w:rPr>
                <w:sz w:val="20"/>
              </w:rPr>
            </w:pPr>
            <w:r>
              <w:rPr>
                <w:spacing w:val="-5"/>
                <w:sz w:val="20"/>
              </w:rPr>
              <w:t>23</w:t>
            </w:r>
          </w:p>
        </w:tc>
        <w:tc>
          <w:tcPr>
            <w:tcW w:w="739" w:type="dxa"/>
            <w:tcBorders>
              <w:right w:val="single" w:sz="4" w:space="0" w:color="000000"/>
            </w:tcBorders>
          </w:tcPr>
          <w:p>
            <w:pPr>
              <w:pStyle w:val="TableParagraph"/>
              <w:spacing w:before="2"/>
              <w:ind w:left="36" w:right="21"/>
              <w:jc w:val="center"/>
              <w:rPr>
                <w:sz w:val="20"/>
              </w:rPr>
            </w:pPr>
            <w:r>
              <w:rPr>
                <w:spacing w:val="-5"/>
                <w:sz w:val="20"/>
              </w:rPr>
              <w:t>5.0</w:t>
            </w:r>
          </w:p>
        </w:tc>
      </w:tr>
      <w:tr>
        <w:trPr>
          <w:trHeight w:val="230" w:hRule="atLeast"/>
        </w:trPr>
        <w:tc>
          <w:tcPr>
            <w:tcW w:w="4147" w:type="dxa"/>
            <w:tcBorders>
              <w:left w:val="single" w:sz="4" w:space="0" w:color="000000"/>
            </w:tcBorders>
          </w:tcPr>
          <w:p>
            <w:pPr>
              <w:pStyle w:val="TableParagraph"/>
              <w:tabs>
                <w:tab w:pos="609" w:val="left" w:leader="none"/>
              </w:tabs>
              <w:spacing w:line="210" w:lineRule="exact"/>
              <w:ind w:right="106"/>
              <w:jc w:val="right"/>
              <w:rPr>
                <w:sz w:val="20"/>
              </w:rPr>
            </w:pPr>
            <w:r>
              <w:rPr>
                <w:spacing w:val="-5"/>
                <w:sz w:val="20"/>
              </w:rPr>
              <w:t>37.</w:t>
            </w:r>
            <w:r>
              <w:rPr>
                <w:sz w:val="20"/>
              </w:rPr>
              <w:tab/>
              <w:t>The</w:t>
            </w:r>
            <w:r>
              <w:rPr>
                <w:spacing w:val="5"/>
                <w:sz w:val="20"/>
              </w:rPr>
              <w:t> </w:t>
            </w:r>
            <w:r>
              <w:rPr>
                <w:sz w:val="20"/>
              </w:rPr>
              <w:t>Private</w:t>
            </w:r>
            <w:r>
              <w:rPr>
                <w:spacing w:val="5"/>
                <w:sz w:val="20"/>
              </w:rPr>
              <w:t> </w:t>
            </w:r>
            <w:r>
              <w:rPr>
                <w:sz w:val="20"/>
              </w:rPr>
              <w:t>Catering</w:t>
            </w:r>
            <w:r>
              <w:rPr>
                <w:spacing w:val="5"/>
                <w:sz w:val="20"/>
              </w:rPr>
              <w:t> </w:t>
            </w:r>
            <w:r>
              <w:rPr>
                <w:sz w:val="20"/>
              </w:rPr>
              <w:t>system</w:t>
            </w:r>
            <w:r>
              <w:rPr>
                <w:spacing w:val="10"/>
                <w:sz w:val="20"/>
              </w:rPr>
              <w:t> </w:t>
            </w:r>
            <w:r>
              <w:rPr>
                <w:sz w:val="20"/>
              </w:rPr>
              <w:t>on</w:t>
            </w:r>
            <w:r>
              <w:rPr>
                <w:spacing w:val="6"/>
                <w:sz w:val="20"/>
              </w:rPr>
              <w:t> </w:t>
            </w:r>
            <w:r>
              <w:rPr>
                <w:spacing w:val="-5"/>
                <w:sz w:val="20"/>
              </w:rPr>
              <w:t>the</w:t>
            </w:r>
          </w:p>
        </w:tc>
        <w:tc>
          <w:tcPr>
            <w:tcW w:w="1977" w:type="dxa"/>
          </w:tcPr>
          <w:p>
            <w:pPr>
              <w:pStyle w:val="TableParagraph"/>
              <w:spacing w:line="210" w:lineRule="exact"/>
              <w:ind w:left="110"/>
              <w:rPr>
                <w:sz w:val="20"/>
              </w:rPr>
            </w:pPr>
            <w:r>
              <w:rPr>
                <w:sz w:val="20"/>
              </w:rPr>
              <w:t>No.</w:t>
            </w:r>
            <w:r>
              <w:rPr>
                <w:spacing w:val="-5"/>
                <w:sz w:val="20"/>
              </w:rPr>
              <w:t> </w:t>
            </w:r>
            <w:r>
              <w:rPr>
                <w:sz w:val="20"/>
              </w:rPr>
              <w:t>of</w:t>
            </w:r>
            <w:r>
              <w:rPr>
                <w:spacing w:val="-2"/>
                <w:sz w:val="20"/>
              </w:rPr>
              <w:t> missing</w:t>
            </w:r>
          </w:p>
        </w:tc>
        <w:tc>
          <w:tcPr>
            <w:tcW w:w="673" w:type="dxa"/>
          </w:tcPr>
          <w:p>
            <w:pPr>
              <w:pStyle w:val="TableParagraph"/>
              <w:rPr>
                <w:rFonts w:ascii="Times New Roman"/>
                <w:sz w:val="16"/>
              </w:rPr>
            </w:pPr>
          </w:p>
        </w:tc>
        <w:tc>
          <w:tcPr>
            <w:tcW w:w="787" w:type="dxa"/>
          </w:tcPr>
          <w:p>
            <w:pPr>
              <w:pStyle w:val="TableParagraph"/>
              <w:rPr>
                <w:rFonts w:ascii="Times New Roman"/>
                <w:sz w:val="16"/>
              </w:rPr>
            </w:pPr>
          </w:p>
        </w:tc>
        <w:tc>
          <w:tcPr>
            <w:tcW w:w="521" w:type="dxa"/>
          </w:tcPr>
          <w:p>
            <w:pPr>
              <w:pStyle w:val="TableParagraph"/>
              <w:rPr>
                <w:rFonts w:ascii="Times New Roman"/>
                <w:sz w:val="16"/>
              </w:rPr>
            </w:pPr>
          </w:p>
        </w:tc>
        <w:tc>
          <w:tcPr>
            <w:tcW w:w="761" w:type="dxa"/>
          </w:tcPr>
          <w:p>
            <w:pPr>
              <w:pStyle w:val="TableParagraph"/>
              <w:rPr>
                <w:rFonts w:ascii="Times New Roman"/>
                <w:sz w:val="16"/>
              </w:rPr>
            </w:pPr>
          </w:p>
        </w:tc>
        <w:tc>
          <w:tcPr>
            <w:tcW w:w="687" w:type="dxa"/>
          </w:tcPr>
          <w:p>
            <w:pPr>
              <w:pStyle w:val="TableParagraph"/>
              <w:rPr>
                <w:rFonts w:ascii="Times New Roman"/>
                <w:sz w:val="16"/>
              </w:rPr>
            </w:pPr>
          </w:p>
        </w:tc>
        <w:tc>
          <w:tcPr>
            <w:tcW w:w="903" w:type="dxa"/>
          </w:tcPr>
          <w:p>
            <w:pPr>
              <w:pStyle w:val="TableParagraph"/>
              <w:rPr>
                <w:rFonts w:ascii="Times New Roman"/>
                <w:sz w:val="16"/>
              </w:rPr>
            </w:pPr>
          </w:p>
        </w:tc>
        <w:tc>
          <w:tcPr>
            <w:tcW w:w="685" w:type="dxa"/>
          </w:tcPr>
          <w:p>
            <w:pPr>
              <w:pStyle w:val="TableParagraph"/>
              <w:rPr>
                <w:rFonts w:ascii="Times New Roman"/>
                <w:sz w:val="16"/>
              </w:rPr>
            </w:pPr>
          </w:p>
        </w:tc>
        <w:tc>
          <w:tcPr>
            <w:tcW w:w="800" w:type="dxa"/>
          </w:tcPr>
          <w:p>
            <w:pPr>
              <w:pStyle w:val="TableParagraph"/>
              <w:rPr>
                <w:rFonts w:ascii="Times New Roman"/>
                <w:sz w:val="16"/>
              </w:rPr>
            </w:pPr>
          </w:p>
        </w:tc>
        <w:tc>
          <w:tcPr>
            <w:tcW w:w="627" w:type="dxa"/>
          </w:tcPr>
          <w:p>
            <w:pPr>
              <w:pStyle w:val="TableParagraph"/>
              <w:rPr>
                <w:rFonts w:ascii="Times New Roman"/>
                <w:sz w:val="16"/>
              </w:rPr>
            </w:pPr>
          </w:p>
        </w:tc>
        <w:tc>
          <w:tcPr>
            <w:tcW w:w="771" w:type="dxa"/>
          </w:tcPr>
          <w:p>
            <w:pPr>
              <w:pStyle w:val="TableParagraph"/>
              <w:rPr>
                <w:rFonts w:ascii="Times New Roman"/>
                <w:sz w:val="16"/>
              </w:rPr>
            </w:pPr>
          </w:p>
        </w:tc>
        <w:tc>
          <w:tcPr>
            <w:tcW w:w="692"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30" w:hRule="atLeast"/>
        </w:trPr>
        <w:tc>
          <w:tcPr>
            <w:tcW w:w="4147" w:type="dxa"/>
            <w:tcBorders>
              <w:left w:val="single" w:sz="4" w:space="0" w:color="000000"/>
            </w:tcBorders>
          </w:tcPr>
          <w:p>
            <w:pPr>
              <w:pStyle w:val="TableParagraph"/>
              <w:spacing w:line="210" w:lineRule="exact"/>
              <w:ind w:right="101"/>
              <w:jc w:val="right"/>
              <w:rPr>
                <w:sz w:val="20"/>
              </w:rPr>
            </w:pPr>
            <w:r>
              <w:rPr>
                <w:sz w:val="20"/>
              </w:rPr>
              <w:t>Campuses</w:t>
            </w:r>
            <w:r>
              <w:rPr>
                <w:spacing w:val="28"/>
                <w:sz w:val="20"/>
              </w:rPr>
              <w:t> </w:t>
            </w:r>
            <w:r>
              <w:rPr>
                <w:sz w:val="20"/>
              </w:rPr>
              <w:t>is</w:t>
            </w:r>
            <w:r>
              <w:rPr>
                <w:spacing w:val="33"/>
                <w:sz w:val="20"/>
              </w:rPr>
              <w:t> </w:t>
            </w:r>
            <w:r>
              <w:rPr>
                <w:sz w:val="20"/>
              </w:rPr>
              <w:t>a</w:t>
            </w:r>
            <w:r>
              <w:rPr>
                <w:spacing w:val="31"/>
                <w:sz w:val="20"/>
              </w:rPr>
              <w:t> </w:t>
            </w:r>
            <w:r>
              <w:rPr>
                <w:sz w:val="20"/>
              </w:rPr>
              <w:t>time</w:t>
            </w:r>
            <w:r>
              <w:rPr>
                <w:spacing w:val="32"/>
                <w:sz w:val="20"/>
              </w:rPr>
              <w:t> </w:t>
            </w:r>
            <w:r>
              <w:rPr>
                <w:sz w:val="20"/>
              </w:rPr>
              <w:t>saving</w:t>
            </w:r>
            <w:r>
              <w:rPr>
                <w:spacing w:val="32"/>
                <w:sz w:val="20"/>
              </w:rPr>
              <w:t> </w:t>
            </w:r>
            <w:r>
              <w:rPr>
                <w:spacing w:val="-2"/>
                <w:sz w:val="20"/>
              </w:rPr>
              <w:t>device</w:t>
            </w:r>
          </w:p>
        </w:tc>
        <w:tc>
          <w:tcPr>
            <w:tcW w:w="1977" w:type="dxa"/>
          </w:tcPr>
          <w:p>
            <w:pPr>
              <w:pStyle w:val="TableParagraph"/>
              <w:spacing w:line="210" w:lineRule="exact"/>
              <w:ind w:left="110"/>
              <w:rPr>
                <w:sz w:val="20"/>
              </w:rPr>
            </w:pPr>
            <w:r>
              <w:rPr>
                <w:spacing w:val="-2"/>
                <w:sz w:val="20"/>
              </w:rPr>
              <w:t>observations</w:t>
            </w:r>
          </w:p>
        </w:tc>
        <w:tc>
          <w:tcPr>
            <w:tcW w:w="673" w:type="dxa"/>
          </w:tcPr>
          <w:p>
            <w:pPr>
              <w:pStyle w:val="TableParagraph"/>
              <w:spacing w:line="210" w:lineRule="exact"/>
              <w:ind w:left="55"/>
              <w:jc w:val="center"/>
              <w:rPr>
                <w:sz w:val="20"/>
              </w:rPr>
            </w:pPr>
            <w:r>
              <w:rPr>
                <w:spacing w:val="-10"/>
                <w:sz w:val="20"/>
              </w:rPr>
              <w:t>2</w:t>
            </w:r>
          </w:p>
        </w:tc>
        <w:tc>
          <w:tcPr>
            <w:tcW w:w="787" w:type="dxa"/>
          </w:tcPr>
          <w:p>
            <w:pPr>
              <w:pStyle w:val="TableParagraph"/>
              <w:spacing w:line="210" w:lineRule="exact"/>
              <w:ind w:left="39" w:right="9"/>
              <w:jc w:val="center"/>
              <w:rPr>
                <w:sz w:val="20"/>
              </w:rPr>
            </w:pPr>
            <w:r>
              <w:rPr>
                <w:spacing w:val="-2"/>
                <w:sz w:val="20"/>
              </w:rPr>
              <w:t>100.0</w:t>
            </w:r>
          </w:p>
        </w:tc>
        <w:tc>
          <w:tcPr>
            <w:tcW w:w="521" w:type="dxa"/>
          </w:tcPr>
          <w:p>
            <w:pPr>
              <w:pStyle w:val="TableParagraph"/>
              <w:spacing w:line="210" w:lineRule="exact"/>
              <w:ind w:right="19"/>
              <w:jc w:val="center"/>
              <w:rPr>
                <w:sz w:val="20"/>
              </w:rPr>
            </w:pPr>
            <w:r>
              <w:rPr>
                <w:spacing w:val="-10"/>
                <w:sz w:val="20"/>
              </w:rPr>
              <w:t>-</w:t>
            </w:r>
          </w:p>
        </w:tc>
        <w:tc>
          <w:tcPr>
            <w:tcW w:w="761" w:type="dxa"/>
          </w:tcPr>
          <w:p>
            <w:pPr>
              <w:pStyle w:val="TableParagraph"/>
              <w:spacing w:line="210" w:lineRule="exact"/>
              <w:ind w:right="34"/>
              <w:jc w:val="center"/>
              <w:rPr>
                <w:sz w:val="20"/>
              </w:rPr>
            </w:pPr>
            <w:r>
              <w:rPr>
                <w:spacing w:val="-10"/>
                <w:sz w:val="20"/>
              </w:rPr>
              <w:t>-</w:t>
            </w:r>
          </w:p>
        </w:tc>
        <w:tc>
          <w:tcPr>
            <w:tcW w:w="687" w:type="dxa"/>
          </w:tcPr>
          <w:p>
            <w:pPr>
              <w:pStyle w:val="TableParagraph"/>
              <w:spacing w:line="210" w:lineRule="exact"/>
              <w:ind w:left="67" w:right="109"/>
              <w:jc w:val="center"/>
              <w:rPr>
                <w:sz w:val="20"/>
              </w:rPr>
            </w:pPr>
            <w:r>
              <w:rPr>
                <w:spacing w:val="-10"/>
                <w:sz w:val="20"/>
              </w:rPr>
              <w:t>-</w:t>
            </w:r>
          </w:p>
        </w:tc>
        <w:tc>
          <w:tcPr>
            <w:tcW w:w="903" w:type="dxa"/>
          </w:tcPr>
          <w:p>
            <w:pPr>
              <w:pStyle w:val="TableParagraph"/>
              <w:spacing w:line="210" w:lineRule="exact"/>
              <w:ind w:left="13" w:right="6"/>
              <w:jc w:val="center"/>
              <w:rPr>
                <w:sz w:val="20"/>
              </w:rPr>
            </w:pPr>
            <w:r>
              <w:rPr>
                <w:spacing w:val="-10"/>
                <w:sz w:val="20"/>
              </w:rPr>
              <w:t>-</w:t>
            </w:r>
          </w:p>
        </w:tc>
        <w:tc>
          <w:tcPr>
            <w:tcW w:w="685" w:type="dxa"/>
          </w:tcPr>
          <w:p>
            <w:pPr>
              <w:pStyle w:val="TableParagraph"/>
              <w:spacing w:line="210" w:lineRule="exact"/>
              <w:ind w:left="83" w:right="32"/>
              <w:jc w:val="center"/>
              <w:rPr>
                <w:sz w:val="20"/>
              </w:rPr>
            </w:pPr>
            <w:r>
              <w:rPr>
                <w:spacing w:val="-10"/>
                <w:sz w:val="20"/>
              </w:rPr>
              <w:t>-</w:t>
            </w:r>
          </w:p>
        </w:tc>
        <w:tc>
          <w:tcPr>
            <w:tcW w:w="800" w:type="dxa"/>
          </w:tcPr>
          <w:p>
            <w:pPr>
              <w:pStyle w:val="TableParagraph"/>
              <w:spacing w:line="210" w:lineRule="exact"/>
              <w:ind w:left="18" w:right="12"/>
              <w:jc w:val="center"/>
              <w:rPr>
                <w:sz w:val="20"/>
              </w:rPr>
            </w:pPr>
            <w:r>
              <w:rPr>
                <w:spacing w:val="-10"/>
                <w:sz w:val="20"/>
              </w:rPr>
              <w:t>-</w:t>
            </w:r>
          </w:p>
        </w:tc>
        <w:tc>
          <w:tcPr>
            <w:tcW w:w="627" w:type="dxa"/>
          </w:tcPr>
          <w:p>
            <w:pPr>
              <w:pStyle w:val="TableParagraph"/>
              <w:spacing w:line="210" w:lineRule="exact"/>
              <w:ind w:left="23" w:right="23"/>
              <w:jc w:val="center"/>
              <w:rPr>
                <w:sz w:val="20"/>
              </w:rPr>
            </w:pPr>
            <w:r>
              <w:rPr>
                <w:spacing w:val="-10"/>
                <w:sz w:val="20"/>
              </w:rPr>
              <w:t>-</w:t>
            </w:r>
          </w:p>
        </w:tc>
        <w:tc>
          <w:tcPr>
            <w:tcW w:w="771" w:type="dxa"/>
          </w:tcPr>
          <w:p>
            <w:pPr>
              <w:pStyle w:val="TableParagraph"/>
              <w:spacing w:line="210" w:lineRule="exact"/>
              <w:ind w:left="45" w:right="23"/>
              <w:jc w:val="center"/>
              <w:rPr>
                <w:sz w:val="20"/>
              </w:rPr>
            </w:pPr>
            <w:r>
              <w:rPr>
                <w:spacing w:val="-10"/>
                <w:sz w:val="20"/>
              </w:rPr>
              <w:t>-</w:t>
            </w:r>
          </w:p>
        </w:tc>
        <w:tc>
          <w:tcPr>
            <w:tcW w:w="692" w:type="dxa"/>
          </w:tcPr>
          <w:p>
            <w:pPr>
              <w:pStyle w:val="TableParagraph"/>
              <w:spacing w:line="210" w:lineRule="exact"/>
              <w:ind w:left="23" w:right="17"/>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21"/>
              <w:jc w:val="center"/>
              <w:rPr>
                <w:sz w:val="20"/>
              </w:rPr>
            </w:pPr>
            <w:r>
              <w:rPr>
                <w:spacing w:val="-5"/>
                <w:sz w:val="20"/>
              </w:rPr>
              <w:t>0.4</w:t>
            </w:r>
          </w:p>
        </w:tc>
      </w:tr>
      <w:tr>
        <w:trPr>
          <w:trHeight w:val="230" w:hRule="atLeast"/>
        </w:trPr>
        <w:tc>
          <w:tcPr>
            <w:tcW w:w="4147" w:type="dxa"/>
            <w:tcBorders>
              <w:left w:val="single" w:sz="4" w:space="0" w:color="000000"/>
            </w:tcBorders>
          </w:tcPr>
          <w:p>
            <w:pPr>
              <w:pStyle w:val="TableParagraph"/>
              <w:spacing w:line="210" w:lineRule="exact"/>
              <w:ind w:right="106"/>
              <w:jc w:val="right"/>
              <w:rPr>
                <w:sz w:val="20"/>
              </w:rPr>
            </w:pPr>
            <w:r>
              <w:rPr>
                <w:sz w:val="20"/>
              </w:rPr>
              <w:t>for</w:t>
            </w:r>
            <w:r>
              <w:rPr>
                <w:spacing w:val="29"/>
                <w:sz w:val="20"/>
              </w:rPr>
              <w:t> </w:t>
            </w:r>
            <w:r>
              <w:rPr>
                <w:sz w:val="20"/>
              </w:rPr>
              <w:t>students</w:t>
            </w:r>
            <w:r>
              <w:rPr>
                <w:spacing w:val="30"/>
                <w:sz w:val="20"/>
              </w:rPr>
              <w:t> </w:t>
            </w:r>
            <w:r>
              <w:rPr>
                <w:sz w:val="20"/>
              </w:rPr>
              <w:t>and</w:t>
            </w:r>
            <w:r>
              <w:rPr>
                <w:spacing w:val="32"/>
                <w:sz w:val="20"/>
              </w:rPr>
              <w:t> </w:t>
            </w:r>
            <w:r>
              <w:rPr>
                <w:sz w:val="20"/>
              </w:rPr>
              <w:t>it</w:t>
            </w:r>
            <w:r>
              <w:rPr>
                <w:spacing w:val="36"/>
                <w:sz w:val="20"/>
              </w:rPr>
              <w:t> </w:t>
            </w:r>
            <w:r>
              <w:rPr>
                <w:sz w:val="20"/>
              </w:rPr>
              <w:t>allows</w:t>
            </w:r>
            <w:r>
              <w:rPr>
                <w:spacing w:val="35"/>
                <w:sz w:val="20"/>
              </w:rPr>
              <w:t> </w:t>
            </w:r>
            <w:r>
              <w:rPr>
                <w:spacing w:val="-2"/>
                <w:sz w:val="20"/>
              </w:rPr>
              <w:t>students</w:t>
            </w:r>
          </w:p>
        </w:tc>
        <w:tc>
          <w:tcPr>
            <w:tcW w:w="1977" w:type="dxa"/>
          </w:tcPr>
          <w:p>
            <w:pPr>
              <w:pStyle w:val="TableParagraph"/>
              <w:spacing w:line="210" w:lineRule="exact"/>
              <w:ind w:left="110"/>
              <w:rPr>
                <w:sz w:val="20"/>
              </w:rPr>
            </w:pPr>
            <w:r>
              <w:rPr>
                <w:spacing w:val="-2"/>
                <w:sz w:val="20"/>
              </w:rPr>
              <w:t>Students</w:t>
            </w:r>
          </w:p>
        </w:tc>
        <w:tc>
          <w:tcPr>
            <w:tcW w:w="673" w:type="dxa"/>
          </w:tcPr>
          <w:p>
            <w:pPr>
              <w:pStyle w:val="TableParagraph"/>
              <w:spacing w:line="210" w:lineRule="exact"/>
              <w:ind w:left="55" w:right="5"/>
              <w:jc w:val="center"/>
              <w:rPr>
                <w:sz w:val="20"/>
              </w:rPr>
            </w:pPr>
            <w:r>
              <w:rPr>
                <w:spacing w:val="-5"/>
                <w:sz w:val="20"/>
              </w:rPr>
              <w:t>42</w:t>
            </w:r>
          </w:p>
        </w:tc>
        <w:tc>
          <w:tcPr>
            <w:tcW w:w="787" w:type="dxa"/>
          </w:tcPr>
          <w:p>
            <w:pPr>
              <w:pStyle w:val="TableParagraph"/>
              <w:spacing w:line="210" w:lineRule="exact"/>
              <w:ind w:left="39" w:right="4"/>
              <w:jc w:val="center"/>
              <w:rPr>
                <w:sz w:val="20"/>
              </w:rPr>
            </w:pPr>
            <w:r>
              <w:rPr>
                <w:spacing w:val="-4"/>
                <w:sz w:val="20"/>
              </w:rPr>
              <w:t>17.9</w:t>
            </w:r>
          </w:p>
        </w:tc>
        <w:tc>
          <w:tcPr>
            <w:tcW w:w="521" w:type="dxa"/>
          </w:tcPr>
          <w:p>
            <w:pPr>
              <w:pStyle w:val="TableParagraph"/>
              <w:spacing w:line="210" w:lineRule="exact"/>
              <w:ind w:left="2" w:right="19"/>
              <w:jc w:val="center"/>
              <w:rPr>
                <w:sz w:val="20"/>
              </w:rPr>
            </w:pPr>
            <w:r>
              <w:rPr>
                <w:spacing w:val="-5"/>
                <w:sz w:val="20"/>
              </w:rPr>
              <w:t>84</w:t>
            </w:r>
          </w:p>
        </w:tc>
        <w:tc>
          <w:tcPr>
            <w:tcW w:w="761" w:type="dxa"/>
          </w:tcPr>
          <w:p>
            <w:pPr>
              <w:pStyle w:val="TableParagraph"/>
              <w:spacing w:line="210" w:lineRule="exact"/>
              <w:ind w:left="7" w:right="34"/>
              <w:jc w:val="center"/>
              <w:rPr>
                <w:sz w:val="20"/>
              </w:rPr>
            </w:pPr>
            <w:r>
              <w:rPr>
                <w:spacing w:val="-4"/>
                <w:sz w:val="20"/>
              </w:rPr>
              <w:t>35.7</w:t>
            </w:r>
          </w:p>
        </w:tc>
        <w:tc>
          <w:tcPr>
            <w:tcW w:w="687" w:type="dxa"/>
          </w:tcPr>
          <w:p>
            <w:pPr>
              <w:pStyle w:val="TableParagraph"/>
              <w:spacing w:line="210" w:lineRule="exact"/>
              <w:ind w:left="67" w:right="107"/>
              <w:jc w:val="center"/>
              <w:rPr>
                <w:sz w:val="20"/>
              </w:rPr>
            </w:pPr>
            <w:r>
              <w:rPr>
                <w:spacing w:val="-5"/>
                <w:sz w:val="20"/>
              </w:rPr>
              <w:t>32</w:t>
            </w:r>
          </w:p>
        </w:tc>
        <w:tc>
          <w:tcPr>
            <w:tcW w:w="903" w:type="dxa"/>
          </w:tcPr>
          <w:p>
            <w:pPr>
              <w:pStyle w:val="TableParagraph"/>
              <w:spacing w:line="210" w:lineRule="exact"/>
              <w:ind w:left="13"/>
              <w:jc w:val="center"/>
              <w:rPr>
                <w:sz w:val="20"/>
              </w:rPr>
            </w:pPr>
            <w:r>
              <w:rPr>
                <w:spacing w:val="-4"/>
                <w:sz w:val="20"/>
              </w:rPr>
              <w:t>13.6</w:t>
            </w:r>
          </w:p>
        </w:tc>
        <w:tc>
          <w:tcPr>
            <w:tcW w:w="685" w:type="dxa"/>
          </w:tcPr>
          <w:p>
            <w:pPr>
              <w:pStyle w:val="TableParagraph"/>
              <w:spacing w:line="210" w:lineRule="exact"/>
              <w:ind w:left="85" w:right="32"/>
              <w:jc w:val="center"/>
              <w:rPr>
                <w:sz w:val="20"/>
              </w:rPr>
            </w:pPr>
            <w:r>
              <w:rPr>
                <w:spacing w:val="-5"/>
                <w:sz w:val="20"/>
              </w:rPr>
              <w:t>62</w:t>
            </w:r>
          </w:p>
        </w:tc>
        <w:tc>
          <w:tcPr>
            <w:tcW w:w="800" w:type="dxa"/>
          </w:tcPr>
          <w:p>
            <w:pPr>
              <w:pStyle w:val="TableParagraph"/>
              <w:spacing w:line="210" w:lineRule="exact"/>
              <w:ind w:left="18" w:right="6"/>
              <w:jc w:val="center"/>
              <w:rPr>
                <w:sz w:val="20"/>
              </w:rPr>
            </w:pPr>
            <w:r>
              <w:rPr>
                <w:spacing w:val="-4"/>
                <w:sz w:val="20"/>
              </w:rPr>
              <w:t>26.4</w:t>
            </w:r>
          </w:p>
        </w:tc>
        <w:tc>
          <w:tcPr>
            <w:tcW w:w="627" w:type="dxa"/>
          </w:tcPr>
          <w:p>
            <w:pPr>
              <w:pStyle w:val="TableParagraph"/>
              <w:spacing w:line="210" w:lineRule="exact"/>
              <w:ind w:left="23" w:right="22"/>
              <w:jc w:val="center"/>
              <w:rPr>
                <w:sz w:val="20"/>
              </w:rPr>
            </w:pPr>
            <w:r>
              <w:rPr>
                <w:spacing w:val="-5"/>
                <w:sz w:val="20"/>
              </w:rPr>
              <w:t>15</w:t>
            </w:r>
          </w:p>
        </w:tc>
        <w:tc>
          <w:tcPr>
            <w:tcW w:w="771" w:type="dxa"/>
          </w:tcPr>
          <w:p>
            <w:pPr>
              <w:pStyle w:val="TableParagraph"/>
              <w:spacing w:line="210" w:lineRule="exact"/>
              <w:ind w:left="45" w:right="21"/>
              <w:jc w:val="center"/>
              <w:rPr>
                <w:sz w:val="20"/>
              </w:rPr>
            </w:pPr>
            <w:r>
              <w:rPr>
                <w:spacing w:val="-5"/>
                <w:sz w:val="20"/>
              </w:rPr>
              <w:t>6.4</w:t>
            </w:r>
          </w:p>
        </w:tc>
        <w:tc>
          <w:tcPr>
            <w:tcW w:w="692" w:type="dxa"/>
          </w:tcPr>
          <w:p>
            <w:pPr>
              <w:pStyle w:val="TableParagraph"/>
              <w:spacing w:line="210" w:lineRule="exact"/>
              <w:ind w:left="23" w:right="24"/>
              <w:jc w:val="center"/>
              <w:rPr>
                <w:sz w:val="20"/>
              </w:rPr>
            </w:pPr>
            <w:r>
              <w:rPr>
                <w:spacing w:val="-5"/>
                <w:sz w:val="20"/>
              </w:rPr>
              <w:t>235</w:t>
            </w:r>
          </w:p>
        </w:tc>
        <w:tc>
          <w:tcPr>
            <w:tcW w:w="739" w:type="dxa"/>
            <w:tcBorders>
              <w:right w:val="single" w:sz="4" w:space="0" w:color="000000"/>
            </w:tcBorders>
          </w:tcPr>
          <w:p>
            <w:pPr>
              <w:pStyle w:val="TableParagraph"/>
              <w:spacing w:line="210" w:lineRule="exact"/>
              <w:ind w:left="36" w:right="16"/>
              <w:jc w:val="center"/>
              <w:rPr>
                <w:sz w:val="20"/>
              </w:rPr>
            </w:pPr>
            <w:r>
              <w:rPr>
                <w:spacing w:val="-4"/>
                <w:sz w:val="20"/>
              </w:rPr>
              <w:t>50.8</w:t>
            </w:r>
          </w:p>
        </w:tc>
      </w:tr>
      <w:tr>
        <w:trPr>
          <w:trHeight w:val="230" w:hRule="atLeast"/>
        </w:trPr>
        <w:tc>
          <w:tcPr>
            <w:tcW w:w="4147" w:type="dxa"/>
            <w:tcBorders>
              <w:left w:val="single" w:sz="4" w:space="0" w:color="000000"/>
            </w:tcBorders>
          </w:tcPr>
          <w:p>
            <w:pPr>
              <w:pStyle w:val="TableParagraph"/>
              <w:spacing w:line="210" w:lineRule="exact"/>
              <w:ind w:left="830"/>
              <w:rPr>
                <w:sz w:val="20"/>
              </w:rPr>
            </w:pPr>
            <w:r>
              <w:rPr>
                <w:sz w:val="20"/>
              </w:rPr>
              <w:t>to</w:t>
            </w:r>
            <w:r>
              <w:rPr>
                <w:spacing w:val="-7"/>
                <w:sz w:val="20"/>
              </w:rPr>
              <w:t> </w:t>
            </w:r>
            <w:r>
              <w:rPr>
                <w:sz w:val="20"/>
              </w:rPr>
              <w:t>feed</w:t>
            </w:r>
            <w:r>
              <w:rPr>
                <w:spacing w:val="-1"/>
                <w:sz w:val="20"/>
              </w:rPr>
              <w:t> </w:t>
            </w:r>
            <w:r>
              <w:rPr>
                <w:sz w:val="20"/>
              </w:rPr>
              <w:t>on</w:t>
            </w:r>
            <w:r>
              <w:rPr>
                <w:spacing w:val="-1"/>
                <w:sz w:val="20"/>
              </w:rPr>
              <w:t> </w:t>
            </w:r>
            <w:r>
              <w:rPr>
                <w:sz w:val="20"/>
              </w:rPr>
              <w:t>regular</w:t>
            </w:r>
            <w:r>
              <w:rPr>
                <w:spacing w:val="-4"/>
                <w:sz w:val="20"/>
              </w:rPr>
              <w:t> basis</w:t>
            </w:r>
          </w:p>
        </w:tc>
        <w:tc>
          <w:tcPr>
            <w:tcW w:w="1977" w:type="dxa"/>
          </w:tcPr>
          <w:p>
            <w:pPr>
              <w:pStyle w:val="TableParagraph"/>
              <w:spacing w:line="210" w:lineRule="exact"/>
              <w:ind w:left="110"/>
              <w:rPr>
                <w:sz w:val="20"/>
              </w:rPr>
            </w:pPr>
            <w:r>
              <w:rPr>
                <w:sz w:val="20"/>
              </w:rPr>
              <w:t>Service</w:t>
            </w:r>
            <w:r>
              <w:rPr>
                <w:spacing w:val="-9"/>
                <w:sz w:val="20"/>
              </w:rPr>
              <w:t> </w:t>
            </w:r>
            <w:r>
              <w:rPr>
                <w:spacing w:val="-2"/>
                <w:sz w:val="20"/>
              </w:rPr>
              <w:t>Staff</w:t>
            </w:r>
          </w:p>
        </w:tc>
        <w:tc>
          <w:tcPr>
            <w:tcW w:w="673" w:type="dxa"/>
          </w:tcPr>
          <w:p>
            <w:pPr>
              <w:pStyle w:val="TableParagraph"/>
              <w:spacing w:line="210" w:lineRule="exact"/>
              <w:ind w:left="55" w:right="5"/>
              <w:jc w:val="center"/>
              <w:rPr>
                <w:sz w:val="20"/>
              </w:rPr>
            </w:pPr>
            <w:r>
              <w:rPr>
                <w:spacing w:val="-5"/>
                <w:sz w:val="20"/>
              </w:rPr>
              <w:t>20</w:t>
            </w:r>
          </w:p>
        </w:tc>
        <w:tc>
          <w:tcPr>
            <w:tcW w:w="787" w:type="dxa"/>
          </w:tcPr>
          <w:p>
            <w:pPr>
              <w:pStyle w:val="TableParagraph"/>
              <w:spacing w:line="210" w:lineRule="exact"/>
              <w:ind w:left="39" w:right="9"/>
              <w:jc w:val="center"/>
              <w:rPr>
                <w:sz w:val="20"/>
              </w:rPr>
            </w:pPr>
            <w:r>
              <w:rPr>
                <w:spacing w:val="-5"/>
                <w:sz w:val="20"/>
              </w:rPr>
              <w:t>9.9</w:t>
            </w:r>
          </w:p>
        </w:tc>
        <w:tc>
          <w:tcPr>
            <w:tcW w:w="521" w:type="dxa"/>
          </w:tcPr>
          <w:p>
            <w:pPr>
              <w:pStyle w:val="TableParagraph"/>
              <w:spacing w:line="210" w:lineRule="exact"/>
              <w:ind w:left="2" w:right="19"/>
              <w:jc w:val="center"/>
              <w:rPr>
                <w:sz w:val="20"/>
              </w:rPr>
            </w:pPr>
            <w:r>
              <w:rPr>
                <w:spacing w:val="-5"/>
                <w:sz w:val="20"/>
              </w:rPr>
              <w:t>66</w:t>
            </w:r>
          </w:p>
        </w:tc>
        <w:tc>
          <w:tcPr>
            <w:tcW w:w="761" w:type="dxa"/>
          </w:tcPr>
          <w:p>
            <w:pPr>
              <w:pStyle w:val="TableParagraph"/>
              <w:spacing w:line="210" w:lineRule="exact"/>
              <w:ind w:left="7" w:right="34"/>
              <w:jc w:val="center"/>
              <w:rPr>
                <w:sz w:val="20"/>
              </w:rPr>
            </w:pPr>
            <w:r>
              <w:rPr>
                <w:spacing w:val="-4"/>
                <w:sz w:val="20"/>
              </w:rPr>
              <w:t>32.5</w:t>
            </w:r>
          </w:p>
        </w:tc>
        <w:tc>
          <w:tcPr>
            <w:tcW w:w="687" w:type="dxa"/>
          </w:tcPr>
          <w:p>
            <w:pPr>
              <w:pStyle w:val="TableParagraph"/>
              <w:spacing w:line="210" w:lineRule="exact"/>
              <w:ind w:left="67" w:right="107"/>
              <w:jc w:val="center"/>
              <w:rPr>
                <w:sz w:val="20"/>
              </w:rPr>
            </w:pPr>
            <w:r>
              <w:rPr>
                <w:spacing w:val="-5"/>
                <w:sz w:val="20"/>
              </w:rPr>
              <w:t>27</w:t>
            </w:r>
          </w:p>
        </w:tc>
        <w:tc>
          <w:tcPr>
            <w:tcW w:w="903" w:type="dxa"/>
          </w:tcPr>
          <w:p>
            <w:pPr>
              <w:pStyle w:val="TableParagraph"/>
              <w:spacing w:line="210" w:lineRule="exact"/>
              <w:ind w:left="13"/>
              <w:jc w:val="center"/>
              <w:rPr>
                <w:sz w:val="20"/>
              </w:rPr>
            </w:pPr>
            <w:r>
              <w:rPr>
                <w:spacing w:val="-4"/>
                <w:sz w:val="20"/>
              </w:rPr>
              <w:t>13.3</w:t>
            </w:r>
          </w:p>
        </w:tc>
        <w:tc>
          <w:tcPr>
            <w:tcW w:w="685" w:type="dxa"/>
          </w:tcPr>
          <w:p>
            <w:pPr>
              <w:pStyle w:val="TableParagraph"/>
              <w:spacing w:line="210" w:lineRule="exact"/>
              <w:ind w:left="85" w:right="32"/>
              <w:jc w:val="center"/>
              <w:rPr>
                <w:sz w:val="20"/>
              </w:rPr>
            </w:pPr>
            <w:r>
              <w:rPr>
                <w:spacing w:val="-5"/>
                <w:sz w:val="20"/>
              </w:rPr>
              <w:t>65</w:t>
            </w:r>
          </w:p>
        </w:tc>
        <w:tc>
          <w:tcPr>
            <w:tcW w:w="800" w:type="dxa"/>
          </w:tcPr>
          <w:p>
            <w:pPr>
              <w:pStyle w:val="TableParagraph"/>
              <w:spacing w:line="210" w:lineRule="exact"/>
              <w:ind w:left="18" w:right="6"/>
              <w:jc w:val="center"/>
              <w:rPr>
                <w:sz w:val="20"/>
              </w:rPr>
            </w:pPr>
            <w:r>
              <w:rPr>
                <w:spacing w:val="-4"/>
                <w:sz w:val="20"/>
              </w:rPr>
              <w:t>32.0</w:t>
            </w:r>
          </w:p>
        </w:tc>
        <w:tc>
          <w:tcPr>
            <w:tcW w:w="627" w:type="dxa"/>
          </w:tcPr>
          <w:p>
            <w:pPr>
              <w:pStyle w:val="TableParagraph"/>
              <w:spacing w:line="210" w:lineRule="exact"/>
              <w:ind w:left="23" w:right="22"/>
              <w:jc w:val="center"/>
              <w:rPr>
                <w:sz w:val="20"/>
              </w:rPr>
            </w:pPr>
            <w:r>
              <w:rPr>
                <w:spacing w:val="-5"/>
                <w:sz w:val="20"/>
              </w:rPr>
              <w:t>25</w:t>
            </w:r>
          </w:p>
        </w:tc>
        <w:tc>
          <w:tcPr>
            <w:tcW w:w="771" w:type="dxa"/>
          </w:tcPr>
          <w:p>
            <w:pPr>
              <w:pStyle w:val="TableParagraph"/>
              <w:spacing w:line="210" w:lineRule="exact"/>
              <w:ind w:left="45" w:right="16"/>
              <w:jc w:val="center"/>
              <w:rPr>
                <w:sz w:val="20"/>
              </w:rPr>
            </w:pPr>
            <w:r>
              <w:rPr>
                <w:spacing w:val="-4"/>
                <w:sz w:val="20"/>
              </w:rPr>
              <w:t>12.3</w:t>
            </w:r>
          </w:p>
        </w:tc>
        <w:tc>
          <w:tcPr>
            <w:tcW w:w="692" w:type="dxa"/>
          </w:tcPr>
          <w:p>
            <w:pPr>
              <w:pStyle w:val="TableParagraph"/>
              <w:spacing w:line="210" w:lineRule="exact"/>
              <w:ind w:left="23" w:right="24"/>
              <w:jc w:val="center"/>
              <w:rPr>
                <w:sz w:val="20"/>
              </w:rPr>
            </w:pPr>
            <w:r>
              <w:rPr>
                <w:spacing w:val="-5"/>
                <w:sz w:val="20"/>
              </w:rPr>
              <w:t>203</w:t>
            </w:r>
          </w:p>
        </w:tc>
        <w:tc>
          <w:tcPr>
            <w:tcW w:w="739" w:type="dxa"/>
            <w:tcBorders>
              <w:right w:val="single" w:sz="4" w:space="0" w:color="000000"/>
            </w:tcBorders>
          </w:tcPr>
          <w:p>
            <w:pPr>
              <w:pStyle w:val="TableParagraph"/>
              <w:spacing w:line="210" w:lineRule="exact"/>
              <w:ind w:left="36" w:right="16"/>
              <w:jc w:val="center"/>
              <w:rPr>
                <w:sz w:val="20"/>
              </w:rPr>
            </w:pPr>
            <w:r>
              <w:rPr>
                <w:spacing w:val="-4"/>
                <w:sz w:val="20"/>
              </w:rPr>
              <w:t>43.8</w:t>
            </w:r>
          </w:p>
        </w:tc>
      </w:tr>
      <w:tr>
        <w:trPr>
          <w:trHeight w:val="319" w:hRule="atLeast"/>
        </w:trPr>
        <w:tc>
          <w:tcPr>
            <w:tcW w:w="4147" w:type="dxa"/>
            <w:tcBorders>
              <w:left w:val="single" w:sz="4" w:space="0" w:color="000000"/>
              <w:bottom w:val="single" w:sz="4" w:space="0" w:color="000000"/>
            </w:tcBorders>
          </w:tcPr>
          <w:p>
            <w:pPr>
              <w:pStyle w:val="TableParagraph"/>
              <w:rPr>
                <w:rFonts w:ascii="Times New Roman"/>
                <w:sz w:val="20"/>
              </w:rPr>
            </w:pPr>
          </w:p>
        </w:tc>
        <w:tc>
          <w:tcPr>
            <w:tcW w:w="1977" w:type="dxa"/>
            <w:tcBorders>
              <w:bottom w:val="single" w:sz="4" w:space="0" w:color="000000"/>
            </w:tcBorders>
          </w:tcPr>
          <w:p>
            <w:pPr>
              <w:pStyle w:val="TableParagraph"/>
              <w:spacing w:line="227" w:lineRule="exact"/>
              <w:ind w:left="110"/>
              <w:rPr>
                <w:sz w:val="20"/>
              </w:rPr>
            </w:pPr>
            <w:r>
              <w:rPr>
                <w:sz w:val="20"/>
              </w:rPr>
              <w:t>Top</w:t>
            </w:r>
            <w:r>
              <w:rPr>
                <w:spacing w:val="-1"/>
                <w:sz w:val="20"/>
              </w:rPr>
              <w:t> </w:t>
            </w:r>
            <w:r>
              <w:rPr>
                <w:spacing w:val="-2"/>
                <w:sz w:val="20"/>
              </w:rPr>
              <w:t>Management</w:t>
            </w:r>
          </w:p>
        </w:tc>
        <w:tc>
          <w:tcPr>
            <w:tcW w:w="673" w:type="dxa"/>
            <w:tcBorders>
              <w:bottom w:val="single" w:sz="4" w:space="0" w:color="000000"/>
            </w:tcBorders>
          </w:tcPr>
          <w:p>
            <w:pPr>
              <w:pStyle w:val="TableParagraph"/>
              <w:spacing w:line="227" w:lineRule="exact"/>
              <w:ind w:left="55"/>
              <w:jc w:val="center"/>
              <w:rPr>
                <w:sz w:val="20"/>
              </w:rPr>
            </w:pPr>
            <w:r>
              <w:rPr>
                <w:spacing w:val="-10"/>
                <w:sz w:val="20"/>
              </w:rPr>
              <w:t>4</w:t>
            </w:r>
          </w:p>
        </w:tc>
        <w:tc>
          <w:tcPr>
            <w:tcW w:w="787" w:type="dxa"/>
            <w:tcBorders>
              <w:bottom w:val="single" w:sz="4" w:space="0" w:color="000000"/>
            </w:tcBorders>
          </w:tcPr>
          <w:p>
            <w:pPr>
              <w:pStyle w:val="TableParagraph"/>
              <w:spacing w:line="227" w:lineRule="exact"/>
              <w:ind w:left="39" w:right="4"/>
              <w:jc w:val="center"/>
              <w:rPr>
                <w:sz w:val="20"/>
              </w:rPr>
            </w:pPr>
            <w:r>
              <w:rPr>
                <w:spacing w:val="-4"/>
                <w:sz w:val="20"/>
              </w:rPr>
              <w:t>17.4</w:t>
            </w:r>
          </w:p>
        </w:tc>
        <w:tc>
          <w:tcPr>
            <w:tcW w:w="521" w:type="dxa"/>
            <w:tcBorders>
              <w:bottom w:val="single" w:sz="4" w:space="0" w:color="000000"/>
            </w:tcBorders>
          </w:tcPr>
          <w:p>
            <w:pPr>
              <w:pStyle w:val="TableParagraph"/>
              <w:spacing w:line="227" w:lineRule="exact"/>
              <w:ind w:left="2" w:right="19"/>
              <w:jc w:val="center"/>
              <w:rPr>
                <w:sz w:val="20"/>
              </w:rPr>
            </w:pPr>
            <w:r>
              <w:rPr>
                <w:spacing w:val="-5"/>
                <w:sz w:val="20"/>
              </w:rPr>
              <w:t>10</w:t>
            </w:r>
          </w:p>
        </w:tc>
        <w:tc>
          <w:tcPr>
            <w:tcW w:w="761" w:type="dxa"/>
            <w:tcBorders>
              <w:bottom w:val="single" w:sz="4" w:space="0" w:color="000000"/>
            </w:tcBorders>
          </w:tcPr>
          <w:p>
            <w:pPr>
              <w:pStyle w:val="TableParagraph"/>
              <w:spacing w:line="227" w:lineRule="exact"/>
              <w:ind w:left="7" w:right="34"/>
              <w:jc w:val="center"/>
              <w:rPr>
                <w:sz w:val="20"/>
              </w:rPr>
            </w:pPr>
            <w:r>
              <w:rPr>
                <w:spacing w:val="-4"/>
                <w:sz w:val="20"/>
              </w:rPr>
              <w:t>43.5</w:t>
            </w:r>
          </w:p>
        </w:tc>
        <w:tc>
          <w:tcPr>
            <w:tcW w:w="687" w:type="dxa"/>
            <w:tcBorders>
              <w:bottom w:val="single" w:sz="4" w:space="0" w:color="000000"/>
            </w:tcBorders>
          </w:tcPr>
          <w:p>
            <w:pPr>
              <w:pStyle w:val="TableParagraph"/>
              <w:spacing w:line="227" w:lineRule="exact"/>
              <w:ind w:left="67" w:right="102"/>
              <w:jc w:val="center"/>
              <w:rPr>
                <w:sz w:val="20"/>
              </w:rPr>
            </w:pPr>
            <w:r>
              <w:rPr>
                <w:spacing w:val="-10"/>
                <w:sz w:val="20"/>
              </w:rPr>
              <w:t>4</w:t>
            </w:r>
          </w:p>
        </w:tc>
        <w:tc>
          <w:tcPr>
            <w:tcW w:w="903" w:type="dxa"/>
            <w:tcBorders>
              <w:bottom w:val="single" w:sz="4" w:space="0" w:color="000000"/>
            </w:tcBorders>
          </w:tcPr>
          <w:p>
            <w:pPr>
              <w:pStyle w:val="TableParagraph"/>
              <w:spacing w:line="227" w:lineRule="exact"/>
              <w:ind w:left="13"/>
              <w:jc w:val="center"/>
              <w:rPr>
                <w:sz w:val="20"/>
              </w:rPr>
            </w:pPr>
            <w:r>
              <w:rPr>
                <w:spacing w:val="-4"/>
                <w:sz w:val="20"/>
              </w:rPr>
              <w:t>17.4</w:t>
            </w:r>
          </w:p>
        </w:tc>
        <w:tc>
          <w:tcPr>
            <w:tcW w:w="685" w:type="dxa"/>
            <w:tcBorders>
              <w:bottom w:val="single" w:sz="4" w:space="0" w:color="000000"/>
            </w:tcBorders>
          </w:tcPr>
          <w:p>
            <w:pPr>
              <w:pStyle w:val="TableParagraph"/>
              <w:spacing w:line="227" w:lineRule="exact"/>
              <w:ind w:left="89" w:right="32"/>
              <w:jc w:val="center"/>
              <w:rPr>
                <w:sz w:val="20"/>
              </w:rPr>
            </w:pPr>
            <w:r>
              <w:rPr>
                <w:spacing w:val="-10"/>
                <w:sz w:val="20"/>
              </w:rPr>
              <w:t>3</w:t>
            </w:r>
          </w:p>
        </w:tc>
        <w:tc>
          <w:tcPr>
            <w:tcW w:w="800" w:type="dxa"/>
            <w:tcBorders>
              <w:bottom w:val="single" w:sz="4" w:space="0" w:color="000000"/>
            </w:tcBorders>
          </w:tcPr>
          <w:p>
            <w:pPr>
              <w:pStyle w:val="TableParagraph"/>
              <w:spacing w:line="227" w:lineRule="exact"/>
              <w:ind w:left="18" w:right="6"/>
              <w:jc w:val="center"/>
              <w:rPr>
                <w:sz w:val="20"/>
              </w:rPr>
            </w:pPr>
            <w:r>
              <w:rPr>
                <w:spacing w:val="-4"/>
                <w:sz w:val="20"/>
              </w:rPr>
              <w:t>13.0</w:t>
            </w:r>
          </w:p>
        </w:tc>
        <w:tc>
          <w:tcPr>
            <w:tcW w:w="627" w:type="dxa"/>
            <w:tcBorders>
              <w:bottom w:val="single" w:sz="4" w:space="0" w:color="000000"/>
            </w:tcBorders>
          </w:tcPr>
          <w:p>
            <w:pPr>
              <w:pStyle w:val="TableParagraph"/>
              <w:spacing w:line="227" w:lineRule="exact"/>
              <w:ind w:left="23" w:right="17"/>
              <w:jc w:val="center"/>
              <w:rPr>
                <w:sz w:val="20"/>
              </w:rPr>
            </w:pPr>
            <w:r>
              <w:rPr>
                <w:spacing w:val="-10"/>
                <w:sz w:val="20"/>
              </w:rPr>
              <w:t>2</w:t>
            </w:r>
          </w:p>
        </w:tc>
        <w:tc>
          <w:tcPr>
            <w:tcW w:w="771" w:type="dxa"/>
            <w:tcBorders>
              <w:bottom w:val="single" w:sz="4" w:space="0" w:color="000000"/>
            </w:tcBorders>
          </w:tcPr>
          <w:p>
            <w:pPr>
              <w:pStyle w:val="TableParagraph"/>
              <w:spacing w:line="227" w:lineRule="exact"/>
              <w:ind w:left="45" w:right="21"/>
              <w:jc w:val="center"/>
              <w:rPr>
                <w:sz w:val="20"/>
              </w:rPr>
            </w:pPr>
            <w:r>
              <w:rPr>
                <w:spacing w:val="-5"/>
                <w:sz w:val="20"/>
              </w:rPr>
              <w:t>8.7</w:t>
            </w:r>
          </w:p>
        </w:tc>
        <w:tc>
          <w:tcPr>
            <w:tcW w:w="692" w:type="dxa"/>
            <w:tcBorders>
              <w:bottom w:val="single" w:sz="4" w:space="0" w:color="000000"/>
            </w:tcBorders>
          </w:tcPr>
          <w:p>
            <w:pPr>
              <w:pStyle w:val="TableParagraph"/>
              <w:spacing w:line="227" w:lineRule="exact"/>
              <w:ind w:left="23" w:right="22"/>
              <w:jc w:val="center"/>
              <w:rPr>
                <w:sz w:val="20"/>
              </w:rPr>
            </w:pPr>
            <w:r>
              <w:rPr>
                <w:spacing w:val="-5"/>
                <w:sz w:val="20"/>
              </w:rPr>
              <w:t>23</w:t>
            </w:r>
          </w:p>
        </w:tc>
        <w:tc>
          <w:tcPr>
            <w:tcW w:w="739" w:type="dxa"/>
            <w:tcBorders>
              <w:bottom w:val="single" w:sz="4" w:space="0" w:color="000000"/>
              <w:right w:val="single" w:sz="4" w:space="0" w:color="000000"/>
            </w:tcBorders>
          </w:tcPr>
          <w:p>
            <w:pPr>
              <w:pStyle w:val="TableParagraph"/>
              <w:spacing w:line="227" w:lineRule="exact"/>
              <w:ind w:left="36" w:right="21"/>
              <w:jc w:val="center"/>
              <w:rPr>
                <w:sz w:val="20"/>
              </w:rPr>
            </w:pPr>
            <w:r>
              <w:rPr>
                <w:spacing w:val="-5"/>
                <w:sz w:val="20"/>
              </w:rPr>
              <w:t>5.0</w:t>
            </w:r>
          </w:p>
        </w:tc>
      </w:tr>
    </w:tbl>
    <w:p>
      <w:pPr>
        <w:pStyle w:val="BodyText"/>
        <w:rPr>
          <w:rFonts w:ascii="Arial"/>
          <w:b/>
          <w:sz w:val="28"/>
        </w:rPr>
      </w:pPr>
    </w:p>
    <w:p>
      <w:pPr>
        <w:pStyle w:val="BodyText"/>
        <w:rPr>
          <w:rFonts w:ascii="Arial"/>
          <w:b/>
          <w:sz w:val="28"/>
        </w:rPr>
      </w:pPr>
    </w:p>
    <w:p>
      <w:pPr>
        <w:pStyle w:val="BodyText"/>
        <w:rPr>
          <w:rFonts w:ascii="Arial"/>
          <w:b/>
          <w:sz w:val="28"/>
        </w:rPr>
      </w:pPr>
    </w:p>
    <w:p>
      <w:pPr>
        <w:pStyle w:val="BodyText"/>
        <w:spacing w:before="241"/>
        <w:rPr>
          <w:rFonts w:ascii="Arial"/>
          <w:b/>
          <w:sz w:val="28"/>
        </w:rPr>
      </w:pPr>
    </w:p>
    <w:p>
      <w:pPr>
        <w:pStyle w:val="BodyText"/>
        <w:ind w:left="3" w:right="433"/>
        <w:jc w:val="center"/>
        <w:rPr>
          <w:rFonts w:ascii="Times New Roman"/>
        </w:rPr>
      </w:pPr>
      <w:r>
        <w:rPr>
          <w:rFonts w:ascii="Times New Roman"/>
          <w:spacing w:val="-5"/>
        </w:rPr>
        <w:t>132</w:t>
      </w:r>
    </w:p>
    <w:p>
      <w:pPr>
        <w:spacing w:after="0"/>
        <w:jc w:val="center"/>
        <w:rPr>
          <w:rFonts w:ascii="Times New Roman"/>
        </w:rPr>
        <w:sectPr>
          <w:headerReference w:type="default" r:id="rId305"/>
          <w:footerReference w:type="default" r:id="rId306"/>
          <w:pgSz w:w="15840" w:h="12240" w:orient="landscape"/>
          <w:pgMar w:header="0" w:footer="0" w:top="640" w:bottom="280" w:left="500" w:right="360"/>
        </w:sectPr>
      </w:pPr>
    </w:p>
    <w:p>
      <w:pPr>
        <w:pStyle w:val="BodyText"/>
        <w:spacing w:line="480" w:lineRule="auto" w:before="82"/>
        <w:ind w:left="820" w:right="115" w:firstLine="720"/>
        <w:jc w:val="both"/>
      </w:pPr>
      <w:r>
        <w:rPr/>
        <w:t>A cursory glance at the responses of the respondents revealed that the removal of the feeding subsidy in the Universities under research by the Federal Government in the early 80s had a negative impact on students’ academic performance and behaviour as raised in item 33. This view was confirmed by the high consensus in the opinions of the three categories of respondents. To this, 195</w:t>
      </w:r>
      <w:r>
        <w:rPr>
          <w:spacing w:val="9"/>
        </w:rPr>
        <w:t> </w:t>
      </w:r>
      <w:r>
        <w:rPr/>
        <w:t>out</w:t>
      </w:r>
      <w:r>
        <w:rPr>
          <w:spacing w:val="5"/>
        </w:rPr>
        <w:t> </w:t>
      </w:r>
      <w:r>
        <w:rPr/>
        <w:t>of</w:t>
      </w:r>
      <w:r>
        <w:rPr>
          <w:spacing w:val="9"/>
        </w:rPr>
        <w:t> </w:t>
      </w:r>
      <w:r>
        <w:rPr/>
        <w:t>235</w:t>
      </w:r>
      <w:r>
        <w:rPr>
          <w:spacing w:val="10"/>
        </w:rPr>
        <w:t> </w:t>
      </w:r>
      <w:r>
        <w:rPr/>
        <w:t>students,</w:t>
      </w:r>
      <w:r>
        <w:rPr>
          <w:spacing w:val="4"/>
        </w:rPr>
        <w:t> </w:t>
      </w:r>
      <w:r>
        <w:rPr/>
        <w:t>representing</w:t>
      </w:r>
      <w:r>
        <w:rPr>
          <w:spacing w:val="6"/>
        </w:rPr>
        <w:t> </w:t>
      </w:r>
      <w:r>
        <w:rPr/>
        <w:t>83.0</w:t>
      </w:r>
      <w:r>
        <w:rPr>
          <w:spacing w:val="6"/>
        </w:rPr>
        <w:t> </w:t>
      </w:r>
      <w:r>
        <w:rPr/>
        <w:t>percent,</w:t>
      </w:r>
      <w:r>
        <w:rPr>
          <w:spacing w:val="4"/>
        </w:rPr>
        <w:t> </w:t>
      </w:r>
      <w:r>
        <w:rPr/>
        <w:t>165</w:t>
      </w:r>
      <w:r>
        <w:rPr>
          <w:spacing w:val="10"/>
        </w:rPr>
        <w:t> </w:t>
      </w:r>
      <w:r>
        <w:rPr/>
        <w:t>out</w:t>
      </w:r>
      <w:r>
        <w:rPr>
          <w:spacing w:val="9"/>
        </w:rPr>
        <w:t> </w:t>
      </w:r>
      <w:r>
        <w:rPr/>
        <w:t>of</w:t>
      </w:r>
      <w:r>
        <w:rPr>
          <w:spacing w:val="5"/>
        </w:rPr>
        <w:t> </w:t>
      </w:r>
      <w:r>
        <w:rPr/>
        <w:t>203</w:t>
      </w:r>
      <w:r>
        <w:rPr>
          <w:spacing w:val="9"/>
        </w:rPr>
        <w:t> </w:t>
      </w:r>
      <w:r>
        <w:rPr/>
        <w:t>service</w:t>
      </w:r>
      <w:r>
        <w:rPr>
          <w:spacing w:val="10"/>
        </w:rPr>
        <w:t> </w:t>
      </w:r>
      <w:r>
        <w:rPr>
          <w:spacing w:val="-2"/>
        </w:rPr>
        <w:t>staff,</w:t>
      </w:r>
    </w:p>
    <w:p>
      <w:pPr>
        <w:pStyle w:val="BodyText"/>
        <w:spacing w:line="480" w:lineRule="auto"/>
        <w:ind w:left="820" w:right="122"/>
        <w:jc w:val="both"/>
      </w:pPr>
      <w:r>
        <w:rPr/>
        <w:t>representing 83.2 percent and 20 out of 23 top management, representing 86.9 percent agreed with the statement. Only a few respondents had a contrary view.</w:t>
      </w:r>
    </w:p>
    <w:p>
      <w:pPr>
        <w:pStyle w:val="BodyText"/>
        <w:spacing w:line="480" w:lineRule="auto"/>
        <w:ind w:left="820" w:right="113" w:firstLine="720"/>
        <w:jc w:val="both"/>
      </w:pPr>
      <w:r>
        <w:rPr/>
        <w:t>The positive consensus in the opinion of respondents in item 33 was not surprising as it became evident that students, particularly those from poor economic background faced a lot of hardship sequel to the removal of feeding subsidy in the early 80s. Infact this view clearly confirmed the complaints by students that most of them could hardly afford one square meal a day, particularly, with the shift to private catering system. This established the belief that lack of good feeding could definitely impair students’ academic performance and unpleasant behaviour.</w:t>
      </w:r>
    </w:p>
    <w:p>
      <w:pPr>
        <w:pStyle w:val="BodyText"/>
        <w:spacing w:line="480" w:lineRule="auto" w:before="1"/>
        <w:ind w:left="820" w:right="114" w:firstLine="720"/>
        <w:jc w:val="both"/>
      </w:pPr>
      <w:r>
        <w:rPr/>
        <w:t>On whether or not the introduction and management of private catering system could have positive or adverse effect on students’ academic, moral and other behaviour, as raised in items 34, 36 and 37 the opinions of respondents showed high congruence in all the three items. Thus 200 out of 253 students, representing</w:t>
      </w:r>
      <w:r>
        <w:rPr>
          <w:spacing w:val="-1"/>
        </w:rPr>
        <w:t> </w:t>
      </w:r>
      <w:r>
        <w:rPr/>
        <w:t>85.1</w:t>
      </w:r>
      <w:r>
        <w:rPr>
          <w:spacing w:val="-1"/>
        </w:rPr>
        <w:t> </w:t>
      </w:r>
      <w:r>
        <w:rPr/>
        <w:t>percent,</w:t>
      </w:r>
      <w:r>
        <w:rPr>
          <w:spacing w:val="-2"/>
        </w:rPr>
        <w:t> </w:t>
      </w:r>
      <w:r>
        <w:rPr/>
        <w:t>162</w:t>
      </w:r>
      <w:r>
        <w:rPr>
          <w:spacing w:val="-1"/>
        </w:rPr>
        <w:t> </w:t>
      </w:r>
      <w:r>
        <w:rPr/>
        <w:t>out</w:t>
      </w:r>
      <w:r>
        <w:rPr>
          <w:spacing w:val="-2"/>
        </w:rPr>
        <w:t> </w:t>
      </w:r>
      <w:r>
        <w:rPr/>
        <w:t>of</w:t>
      </w:r>
      <w:r>
        <w:rPr>
          <w:spacing w:val="-2"/>
        </w:rPr>
        <w:t> </w:t>
      </w:r>
      <w:r>
        <w:rPr/>
        <w:t>203</w:t>
      </w:r>
      <w:r>
        <w:rPr>
          <w:spacing w:val="-1"/>
        </w:rPr>
        <w:t> </w:t>
      </w:r>
      <w:r>
        <w:rPr/>
        <w:t>service</w:t>
      </w:r>
      <w:r>
        <w:rPr>
          <w:spacing w:val="-1"/>
        </w:rPr>
        <w:t> </w:t>
      </w:r>
      <w:r>
        <w:rPr/>
        <w:t>staff,</w:t>
      </w:r>
      <w:r>
        <w:rPr>
          <w:spacing w:val="-6"/>
        </w:rPr>
        <w:t> </w:t>
      </w:r>
      <w:r>
        <w:rPr/>
        <w:t>representing</w:t>
      </w:r>
      <w:r>
        <w:rPr>
          <w:spacing w:val="-1"/>
        </w:rPr>
        <w:t> </w:t>
      </w:r>
      <w:r>
        <w:rPr/>
        <w:t>79.8</w:t>
      </w:r>
      <w:r>
        <w:rPr>
          <w:spacing w:val="-1"/>
        </w:rPr>
        <w:t> </w:t>
      </w:r>
      <w:r>
        <w:rPr/>
        <w:t>percent and</w:t>
      </w:r>
      <w:r>
        <w:rPr>
          <w:spacing w:val="15"/>
        </w:rPr>
        <w:t> </w:t>
      </w:r>
      <w:r>
        <w:rPr/>
        <w:t>19</w:t>
      </w:r>
      <w:r>
        <w:rPr>
          <w:spacing w:val="15"/>
        </w:rPr>
        <w:t> </w:t>
      </w:r>
      <w:r>
        <w:rPr/>
        <w:t>out</w:t>
      </w:r>
      <w:r>
        <w:rPr>
          <w:spacing w:val="15"/>
        </w:rPr>
        <w:t> </w:t>
      </w:r>
      <w:r>
        <w:rPr/>
        <w:t>of</w:t>
      </w:r>
      <w:r>
        <w:rPr>
          <w:spacing w:val="10"/>
        </w:rPr>
        <w:t> </w:t>
      </w:r>
      <w:r>
        <w:rPr/>
        <w:t>23</w:t>
      </w:r>
      <w:r>
        <w:rPr>
          <w:spacing w:val="15"/>
        </w:rPr>
        <w:t> </w:t>
      </w:r>
      <w:r>
        <w:rPr/>
        <w:t>top</w:t>
      </w:r>
      <w:r>
        <w:rPr>
          <w:spacing w:val="11"/>
        </w:rPr>
        <w:t> </w:t>
      </w:r>
      <w:r>
        <w:rPr/>
        <w:t>management,</w:t>
      </w:r>
      <w:r>
        <w:rPr>
          <w:spacing w:val="15"/>
        </w:rPr>
        <w:t> </w:t>
      </w:r>
      <w:r>
        <w:rPr/>
        <w:t>representing</w:t>
      </w:r>
      <w:r>
        <w:rPr>
          <w:spacing w:val="11"/>
        </w:rPr>
        <w:t> </w:t>
      </w:r>
      <w:r>
        <w:rPr/>
        <w:t>82.9</w:t>
      </w:r>
      <w:r>
        <w:rPr>
          <w:spacing w:val="15"/>
        </w:rPr>
        <w:t> </w:t>
      </w:r>
      <w:r>
        <w:rPr/>
        <w:t>percent</w:t>
      </w:r>
      <w:r>
        <w:rPr>
          <w:spacing w:val="10"/>
        </w:rPr>
        <w:t> </w:t>
      </w:r>
      <w:r>
        <w:rPr/>
        <w:t>in</w:t>
      </w:r>
      <w:r>
        <w:rPr>
          <w:spacing w:val="13"/>
        </w:rPr>
        <w:t> </w:t>
      </w:r>
      <w:r>
        <w:rPr/>
        <w:t>item</w:t>
      </w:r>
      <w:r>
        <w:rPr>
          <w:spacing w:val="8"/>
        </w:rPr>
        <w:t> </w:t>
      </w:r>
      <w:r>
        <w:rPr/>
        <w:t>34</w:t>
      </w:r>
      <w:r>
        <w:rPr>
          <w:spacing w:val="15"/>
        </w:rPr>
        <w:t> </w:t>
      </w:r>
      <w:r>
        <w:rPr>
          <w:spacing w:val="-2"/>
        </w:rPr>
        <w:t>agreed</w:t>
      </w:r>
    </w:p>
    <w:p>
      <w:pPr>
        <w:spacing w:after="0" w:line="480" w:lineRule="auto"/>
        <w:jc w:val="both"/>
        <w:sectPr>
          <w:headerReference w:type="default" r:id="rId307"/>
          <w:footerReference w:type="default" r:id="rId308"/>
          <w:pgSz w:w="12240" w:h="15840"/>
          <w:pgMar w:header="722" w:footer="791" w:top="1340" w:bottom="980" w:left="1340" w:right="1320"/>
          <w:pgNumType w:start="133"/>
        </w:sectPr>
      </w:pPr>
    </w:p>
    <w:p>
      <w:pPr>
        <w:pStyle w:val="BodyText"/>
        <w:spacing w:line="480" w:lineRule="auto" w:before="82"/>
        <w:ind w:left="820" w:right="123"/>
        <w:jc w:val="both"/>
      </w:pPr>
      <w:r>
        <w:rPr/>
        <w:t>that introduction of Private Catering system in the Universities was expensive for students, coupled with its deficiency in quality and quantity.</w:t>
      </w:r>
    </w:p>
    <w:p>
      <w:pPr>
        <w:pStyle w:val="BodyText"/>
        <w:spacing w:line="480" w:lineRule="auto"/>
        <w:ind w:left="820" w:right="115" w:firstLine="720"/>
        <w:jc w:val="both"/>
      </w:pPr>
      <w:r>
        <w:rPr/>
        <w:t>Item 35 sought the opinion of respondents on whether or not subsidy on students feeding was one of the causes of students’ unrest in some of the Universities. Thus 116 out of 235 students, representing 49.4 percent, 98 out of 203 service staff and 9 out of 23 top management disagreed while 65 students representing 27.6 percent, 70 service staff representing, 39.5 percent and 11 top management representing 47.8 percent consented with item.</w:t>
      </w:r>
    </w:p>
    <w:p>
      <w:pPr>
        <w:pStyle w:val="BodyText"/>
        <w:spacing w:line="480" w:lineRule="auto"/>
        <w:ind w:left="820" w:right="116" w:firstLine="720"/>
        <w:jc w:val="both"/>
      </w:pPr>
      <w:r>
        <w:rPr/>
        <w:t>It was evident that lack of efficient management and supervision of the private catering services as raised in item 36 had chain reactions and adverse effect on students’ academic performance. This had been established by the agreement in opinion of 166 out of 235 students, representing 57.2 percent and 21 out of</w:t>
      </w:r>
      <w:r>
        <w:rPr>
          <w:spacing w:val="-2"/>
        </w:rPr>
        <w:t> </w:t>
      </w:r>
      <w:r>
        <w:rPr/>
        <w:t>23 top management staff, representing 91.3</w:t>
      </w:r>
      <w:r>
        <w:rPr>
          <w:spacing w:val="-2"/>
        </w:rPr>
        <w:t> </w:t>
      </w:r>
      <w:r>
        <w:rPr/>
        <w:t>percent. Only very few</w:t>
      </w:r>
      <w:r>
        <w:rPr>
          <w:spacing w:val="-3"/>
        </w:rPr>
        <w:t> </w:t>
      </w:r>
      <w:r>
        <w:rPr/>
        <w:t>and negligible percentage of the respondents showed negative view.</w:t>
      </w:r>
    </w:p>
    <w:p>
      <w:pPr>
        <w:pStyle w:val="BodyText"/>
        <w:spacing w:line="480" w:lineRule="auto" w:before="1"/>
        <w:ind w:left="820" w:right="113" w:firstLine="720"/>
        <w:jc w:val="both"/>
      </w:pPr>
      <w:r>
        <w:rPr/>
        <w:t>It could be concluded that as the private catering system was solely handled by private individuals, the University Management could not have direct control and supervision. Hence the system could be exploitative as the caterers dictated the prices of food depending on their resources and sources of procurement of food stuffs.</w:t>
      </w:r>
    </w:p>
    <w:p>
      <w:pPr>
        <w:pStyle w:val="BodyText"/>
        <w:spacing w:line="480" w:lineRule="auto"/>
        <w:ind w:left="820" w:right="118" w:firstLine="720"/>
        <w:jc w:val="both"/>
      </w:pPr>
      <w:r>
        <w:rPr/>
        <w:t>Item 37, which raised the issue of the Private Catering system as time saving for students. Majority of the respondents had anchored to this opinion as 126</w:t>
      </w:r>
      <w:r>
        <w:rPr>
          <w:spacing w:val="18"/>
        </w:rPr>
        <w:t> </w:t>
      </w:r>
      <w:r>
        <w:rPr/>
        <w:t>out</w:t>
      </w:r>
      <w:r>
        <w:rPr>
          <w:spacing w:val="18"/>
        </w:rPr>
        <w:t> </w:t>
      </w:r>
      <w:r>
        <w:rPr/>
        <w:t>of</w:t>
      </w:r>
      <w:r>
        <w:rPr>
          <w:spacing w:val="18"/>
        </w:rPr>
        <w:t> </w:t>
      </w:r>
      <w:r>
        <w:rPr/>
        <w:t>235</w:t>
      </w:r>
      <w:r>
        <w:rPr>
          <w:spacing w:val="19"/>
        </w:rPr>
        <w:t> </w:t>
      </w:r>
      <w:r>
        <w:rPr/>
        <w:t>students,</w:t>
      </w:r>
      <w:r>
        <w:rPr>
          <w:spacing w:val="14"/>
        </w:rPr>
        <w:t> </w:t>
      </w:r>
      <w:r>
        <w:rPr/>
        <w:t>representing</w:t>
      </w:r>
      <w:r>
        <w:rPr>
          <w:spacing w:val="18"/>
        </w:rPr>
        <w:t> </w:t>
      </w:r>
      <w:r>
        <w:rPr/>
        <w:t>57.7</w:t>
      </w:r>
      <w:r>
        <w:rPr>
          <w:spacing w:val="14"/>
        </w:rPr>
        <w:t> </w:t>
      </w:r>
      <w:r>
        <w:rPr/>
        <w:t>percent,</w:t>
      </w:r>
      <w:r>
        <w:rPr>
          <w:spacing w:val="18"/>
        </w:rPr>
        <w:t> </w:t>
      </w:r>
      <w:r>
        <w:rPr/>
        <w:t>86</w:t>
      </w:r>
      <w:r>
        <w:rPr>
          <w:spacing w:val="19"/>
        </w:rPr>
        <w:t> </w:t>
      </w:r>
      <w:r>
        <w:rPr/>
        <w:t>out</w:t>
      </w:r>
      <w:r>
        <w:rPr>
          <w:spacing w:val="18"/>
        </w:rPr>
        <w:t> </w:t>
      </w:r>
      <w:r>
        <w:rPr/>
        <w:t>of</w:t>
      </w:r>
      <w:r>
        <w:rPr>
          <w:spacing w:val="18"/>
        </w:rPr>
        <w:t> </w:t>
      </w:r>
      <w:r>
        <w:rPr/>
        <w:t>203</w:t>
      </w:r>
      <w:r>
        <w:rPr>
          <w:spacing w:val="18"/>
        </w:rPr>
        <w:t> </w:t>
      </w:r>
      <w:r>
        <w:rPr/>
        <w:t>service</w:t>
      </w:r>
      <w:r>
        <w:rPr>
          <w:spacing w:val="19"/>
        </w:rPr>
        <w:t> </w:t>
      </w:r>
      <w:r>
        <w:rPr>
          <w:spacing w:val="-2"/>
        </w:rPr>
        <w:t>staff,</w:t>
      </w:r>
    </w:p>
    <w:p>
      <w:pPr>
        <w:spacing w:after="0" w:line="480" w:lineRule="auto"/>
        <w:jc w:val="both"/>
        <w:sectPr>
          <w:headerReference w:type="default" r:id="rId309"/>
          <w:footerReference w:type="default" r:id="rId310"/>
          <w:pgSz w:w="12240" w:h="15840"/>
          <w:pgMar w:header="722" w:footer="791" w:top="1340" w:bottom="980" w:left="1340" w:right="1320"/>
        </w:sectPr>
      </w:pPr>
    </w:p>
    <w:p>
      <w:pPr>
        <w:pStyle w:val="BodyText"/>
        <w:spacing w:line="480" w:lineRule="auto" w:before="82"/>
        <w:ind w:left="820"/>
      </w:pPr>
      <w:r>
        <w:rPr/>
        <w:t>representing 42.4 and 14 out of 23 top management, representing 60.9 percent reached this agreement.</w:t>
      </w:r>
    </w:p>
    <w:p>
      <w:pPr>
        <w:pStyle w:val="BodyText"/>
        <w:spacing w:line="480" w:lineRule="auto"/>
        <w:ind w:left="820" w:right="123" w:firstLine="720"/>
        <w:jc w:val="both"/>
      </w:pPr>
      <w:r>
        <w:rPr/>
        <w:t>Despite the cost, students found Private Catering more convenient and time saving than cooking by themselves in their rooms.</w:t>
      </w:r>
    </w:p>
    <w:p>
      <w:pPr>
        <w:pStyle w:val="Heading2"/>
        <w:numPr>
          <w:ilvl w:val="3"/>
          <w:numId w:val="39"/>
        </w:numPr>
        <w:tabs>
          <w:tab w:pos="1180" w:val="left" w:leader="none"/>
        </w:tabs>
        <w:spacing w:line="240" w:lineRule="auto" w:before="0" w:after="0"/>
        <w:ind w:left="1180" w:right="121" w:hanging="1080"/>
        <w:jc w:val="left"/>
        <w:rPr>
          <w:rFonts w:ascii="Arial MT" w:hAnsi="Arial MT"/>
          <w:b w:val="0"/>
        </w:rPr>
      </w:pPr>
      <w:r>
        <w:rPr/>
        <w:t>The impact of Hostel Accommodation on students’ welfare in the</w:t>
      </w:r>
      <w:r>
        <w:rPr>
          <w:spacing w:val="-3"/>
        </w:rPr>
        <w:t> </w:t>
      </w:r>
      <w:r>
        <w:rPr/>
        <w:t>Universities</w:t>
      </w:r>
      <w:r>
        <w:rPr>
          <w:spacing w:val="-3"/>
        </w:rPr>
        <w:t> </w:t>
      </w:r>
      <w:r>
        <w:rPr/>
        <w:t>in</w:t>
      </w:r>
      <w:r>
        <w:rPr>
          <w:spacing w:val="-3"/>
        </w:rPr>
        <w:t> </w:t>
      </w:r>
      <w:r>
        <w:rPr/>
        <w:t>the</w:t>
      </w:r>
      <w:r>
        <w:rPr>
          <w:spacing w:val="-3"/>
        </w:rPr>
        <w:t> </w:t>
      </w:r>
      <w:r>
        <w:rPr/>
        <w:t>three</w:t>
      </w:r>
      <w:r>
        <w:rPr>
          <w:spacing w:val="-3"/>
        </w:rPr>
        <w:t> </w:t>
      </w:r>
      <w:r>
        <w:rPr/>
        <w:t>geopolitical</w:t>
      </w:r>
      <w:r>
        <w:rPr>
          <w:spacing w:val="-2"/>
        </w:rPr>
        <w:t> </w:t>
      </w:r>
      <w:r>
        <w:rPr/>
        <w:t>zones</w:t>
      </w:r>
      <w:r>
        <w:rPr>
          <w:spacing w:val="-3"/>
        </w:rPr>
        <w:t> </w:t>
      </w:r>
      <w:r>
        <w:rPr/>
        <w:t>in</w:t>
      </w:r>
      <w:r>
        <w:rPr>
          <w:spacing w:val="-3"/>
        </w:rPr>
        <w:t> </w:t>
      </w:r>
      <w:r>
        <w:rPr/>
        <w:t>the</w:t>
      </w:r>
      <w:r>
        <w:rPr>
          <w:spacing w:val="-3"/>
        </w:rPr>
        <w:t> </w:t>
      </w:r>
      <w:r>
        <w:rPr/>
        <w:t>Northern part of Nigeria</w:t>
      </w:r>
    </w:p>
    <w:p>
      <w:pPr>
        <w:pStyle w:val="BodyText"/>
        <w:spacing w:line="480" w:lineRule="auto" w:before="277"/>
        <w:ind w:left="820" w:right="114" w:firstLine="720"/>
        <w:jc w:val="both"/>
      </w:pPr>
      <w:r>
        <w:rPr/>
        <w:t>This</w:t>
      </w:r>
      <w:r>
        <w:rPr>
          <w:spacing w:val="-3"/>
        </w:rPr>
        <w:t> </w:t>
      </w:r>
      <w:r>
        <w:rPr/>
        <w:t>section</w:t>
      </w:r>
      <w:r>
        <w:rPr>
          <w:spacing w:val="-2"/>
        </w:rPr>
        <w:t> </w:t>
      </w:r>
      <w:r>
        <w:rPr/>
        <w:t>presented</w:t>
      </w:r>
      <w:r>
        <w:rPr>
          <w:spacing w:val="-2"/>
        </w:rPr>
        <w:t> </w:t>
      </w:r>
      <w:r>
        <w:rPr/>
        <w:t>the</w:t>
      </w:r>
      <w:r>
        <w:rPr>
          <w:spacing w:val="-2"/>
        </w:rPr>
        <w:t> </w:t>
      </w:r>
      <w:r>
        <w:rPr/>
        <w:t>analysis</w:t>
      </w:r>
      <w:r>
        <w:rPr>
          <w:spacing w:val="-8"/>
        </w:rPr>
        <w:t> </w:t>
      </w:r>
      <w:r>
        <w:rPr/>
        <w:t>of</w:t>
      </w:r>
      <w:r>
        <w:rPr>
          <w:spacing w:val="-3"/>
        </w:rPr>
        <w:t> </w:t>
      </w:r>
      <w:r>
        <w:rPr/>
        <w:t>responses</w:t>
      </w:r>
      <w:r>
        <w:rPr>
          <w:spacing w:val="-3"/>
        </w:rPr>
        <w:t> </w:t>
      </w:r>
      <w:r>
        <w:rPr/>
        <w:t>of</w:t>
      </w:r>
      <w:r>
        <w:rPr>
          <w:spacing w:val="-3"/>
        </w:rPr>
        <w:t> </w:t>
      </w:r>
      <w:r>
        <w:rPr/>
        <w:t>the</w:t>
      </w:r>
      <w:r>
        <w:rPr>
          <w:spacing w:val="-2"/>
        </w:rPr>
        <w:t> </w:t>
      </w:r>
      <w:r>
        <w:rPr/>
        <w:t>three</w:t>
      </w:r>
      <w:r>
        <w:rPr>
          <w:spacing w:val="-2"/>
        </w:rPr>
        <w:t> </w:t>
      </w:r>
      <w:r>
        <w:rPr/>
        <w:t>categories</w:t>
      </w:r>
      <w:r>
        <w:rPr>
          <w:spacing w:val="-3"/>
        </w:rPr>
        <w:t> </w:t>
      </w:r>
      <w:r>
        <w:rPr/>
        <w:t>of respondents obtained from items 38 to 42 on the effects of hostel</w:t>
      </w:r>
      <w:r>
        <w:rPr>
          <w:spacing w:val="40"/>
        </w:rPr>
        <w:t> </w:t>
      </w:r>
      <w:r>
        <w:rPr/>
        <w:t>accommodation on students’ welfare. The five items attempted to investigate the importance,</w:t>
      </w:r>
      <w:r>
        <w:rPr>
          <w:spacing w:val="23"/>
        </w:rPr>
        <w:t> </w:t>
      </w:r>
      <w:r>
        <w:rPr/>
        <w:t>decency</w:t>
      </w:r>
      <w:r>
        <w:rPr>
          <w:spacing w:val="23"/>
        </w:rPr>
        <w:t> </w:t>
      </w:r>
      <w:r>
        <w:rPr/>
        <w:t>and</w:t>
      </w:r>
      <w:r>
        <w:rPr>
          <w:spacing w:val="24"/>
        </w:rPr>
        <w:t> </w:t>
      </w:r>
      <w:r>
        <w:rPr/>
        <w:t>general</w:t>
      </w:r>
      <w:r>
        <w:rPr>
          <w:spacing w:val="27"/>
        </w:rPr>
        <w:t> </w:t>
      </w:r>
      <w:r>
        <w:rPr/>
        <w:t>management</w:t>
      </w:r>
      <w:r>
        <w:rPr>
          <w:spacing w:val="24"/>
        </w:rPr>
        <w:t> </w:t>
      </w:r>
      <w:r>
        <w:rPr/>
        <w:t>of</w:t>
      </w:r>
      <w:r>
        <w:rPr>
          <w:spacing w:val="23"/>
        </w:rPr>
        <w:t> </w:t>
      </w:r>
      <w:r>
        <w:rPr/>
        <w:t>hostel</w:t>
      </w:r>
      <w:r>
        <w:rPr>
          <w:spacing w:val="27"/>
        </w:rPr>
        <w:t> </w:t>
      </w:r>
      <w:r>
        <w:rPr/>
        <w:t>accommodation.</w:t>
      </w:r>
      <w:r>
        <w:rPr>
          <w:spacing w:val="23"/>
        </w:rPr>
        <w:t> </w:t>
      </w:r>
      <w:r>
        <w:rPr>
          <w:spacing w:val="-4"/>
        </w:rPr>
        <w:t>Item</w:t>
      </w:r>
    </w:p>
    <w:p>
      <w:pPr>
        <w:pStyle w:val="BodyText"/>
        <w:spacing w:line="480" w:lineRule="auto" w:before="1"/>
        <w:ind w:left="820" w:right="114"/>
        <w:jc w:val="both"/>
      </w:pPr>
      <w:r>
        <w:rPr/>
        <w:t>38 attempted to enquire the state of hostel accommodation and its</w:t>
      </w:r>
      <w:r>
        <w:rPr>
          <w:spacing w:val="80"/>
        </w:rPr>
        <w:t> </w:t>
      </w:r>
      <w:r>
        <w:rPr/>
        <w:t>consequences on the academic performance and social potentialities of students in the Universities. Item</w:t>
      </w:r>
      <w:r>
        <w:rPr>
          <w:spacing w:val="-4"/>
        </w:rPr>
        <w:t> </w:t>
      </w:r>
      <w:r>
        <w:rPr/>
        <w:t>39 raised the provision of facilities while items 40 and 41 talked on the expansion of the hostel accommodation and relevant facilities for convenient pairing and sharing to students. This could avoid overcrowding which usually result in the outbreak of epidemics and other related inconveniences.</w:t>
      </w:r>
      <w:r>
        <w:rPr>
          <w:spacing w:val="40"/>
        </w:rPr>
        <w:t> </w:t>
      </w:r>
      <w:r>
        <w:rPr/>
        <w:t>Item 42 sought to establish the importance of hostel accommodation in these </w:t>
      </w:r>
      <w:r>
        <w:rPr>
          <w:spacing w:val="-2"/>
        </w:rPr>
        <w:t>Universities.</w:t>
      </w:r>
    </w:p>
    <w:p>
      <w:pPr>
        <w:pStyle w:val="BodyText"/>
        <w:spacing w:line="480" w:lineRule="auto"/>
        <w:ind w:left="820" w:right="121" w:firstLine="720"/>
        <w:jc w:val="both"/>
      </w:pPr>
      <w:r>
        <w:rPr/>
        <w:t>The opinion of the three categories of respondents on the five items were analyzed by the use of frequencies and percentages in Table 4.3.1.2.</w:t>
      </w:r>
    </w:p>
    <w:p>
      <w:pPr>
        <w:spacing w:after="0" w:line="480" w:lineRule="auto"/>
        <w:jc w:val="both"/>
        <w:sectPr>
          <w:headerReference w:type="default" r:id="rId311"/>
          <w:footerReference w:type="default" r:id="rId312"/>
          <w:pgSz w:w="12240" w:h="15840"/>
          <w:pgMar w:header="722" w:footer="791" w:top="1340" w:bottom="980" w:left="1340" w:right="1320"/>
        </w:sectPr>
      </w:pPr>
    </w:p>
    <w:p>
      <w:pPr>
        <w:pStyle w:val="BodyText"/>
        <w:spacing w:before="72"/>
        <w:ind w:left="3" w:right="433"/>
        <w:jc w:val="center"/>
        <w:rPr>
          <w:rFonts w:ascii="Times New Roman"/>
        </w:rPr>
      </w:pPr>
      <w:r>
        <w:rPr>
          <w:rFonts w:ascii="Times New Roman"/>
          <w:spacing w:val="-5"/>
        </w:rPr>
        <w:t>136</w:t>
      </w:r>
    </w:p>
    <w:p>
      <w:pPr>
        <w:pStyle w:val="BodyText"/>
        <w:spacing w:before="121"/>
        <w:rPr>
          <w:rFonts w:ascii="Times New Roman"/>
          <w:sz w:val="28"/>
        </w:rPr>
      </w:pPr>
    </w:p>
    <w:p>
      <w:pPr>
        <w:pStyle w:val="Heading2"/>
        <w:spacing w:before="1" w:after="7"/>
        <w:ind w:left="2437" w:right="1237" w:hanging="1786"/>
      </w:pPr>
      <w:r>
        <w:rPr/>
        <w:t>Table</w:t>
      </w:r>
      <w:r>
        <w:rPr>
          <w:spacing w:val="-3"/>
        </w:rPr>
        <w:t> </w:t>
      </w:r>
      <w:r>
        <w:rPr/>
        <w:t>4.3.1.2:</w:t>
      </w:r>
      <w:r>
        <w:rPr>
          <w:spacing w:val="-3"/>
        </w:rPr>
        <w:t> </w:t>
      </w:r>
      <w:r>
        <w:rPr/>
        <w:t>Opinions</w:t>
      </w:r>
      <w:r>
        <w:rPr>
          <w:spacing w:val="-3"/>
        </w:rPr>
        <w:t> </w:t>
      </w:r>
      <w:r>
        <w:rPr/>
        <w:t>of</w:t>
      </w:r>
      <w:r>
        <w:rPr>
          <w:spacing w:val="-3"/>
        </w:rPr>
        <w:t> </w:t>
      </w:r>
      <w:r>
        <w:rPr/>
        <w:t>respondents</w:t>
      </w:r>
      <w:r>
        <w:rPr>
          <w:spacing w:val="-3"/>
        </w:rPr>
        <w:t> </w:t>
      </w:r>
      <w:r>
        <w:rPr/>
        <w:t>on</w:t>
      </w:r>
      <w:r>
        <w:rPr>
          <w:spacing w:val="-4"/>
        </w:rPr>
        <w:t> </w:t>
      </w:r>
      <w:r>
        <w:rPr/>
        <w:t>the</w:t>
      </w:r>
      <w:r>
        <w:rPr>
          <w:spacing w:val="-8"/>
        </w:rPr>
        <w:t> </w:t>
      </w:r>
      <w:r>
        <w:rPr/>
        <w:t>impact</w:t>
      </w:r>
      <w:r>
        <w:rPr>
          <w:spacing w:val="-4"/>
        </w:rPr>
        <w:t> </w:t>
      </w:r>
      <w:r>
        <w:rPr/>
        <w:t>of</w:t>
      </w:r>
      <w:r>
        <w:rPr>
          <w:spacing w:val="-3"/>
        </w:rPr>
        <w:t> </w:t>
      </w:r>
      <w:r>
        <w:rPr/>
        <w:t>Hostel</w:t>
      </w:r>
      <w:r>
        <w:rPr>
          <w:spacing w:val="-2"/>
        </w:rPr>
        <w:t> </w:t>
      </w:r>
      <w:r>
        <w:rPr/>
        <w:t>Accommodation</w:t>
      </w:r>
      <w:r>
        <w:rPr>
          <w:spacing w:val="-4"/>
        </w:rPr>
        <w:t> </w:t>
      </w:r>
      <w:r>
        <w:rPr/>
        <w:t>on</w:t>
      </w:r>
      <w:r>
        <w:rPr>
          <w:spacing w:val="-4"/>
        </w:rPr>
        <w:t> </w:t>
      </w:r>
      <w:r>
        <w:rPr/>
        <w:t>students’ </w:t>
      </w:r>
      <w:r>
        <w:rPr>
          <w:spacing w:val="-2"/>
        </w:rPr>
        <w:t>welfare</w:t>
      </w:r>
    </w:p>
    <w:tbl>
      <w:tblPr>
        <w:tblW w:w="0" w:type="auto"/>
        <w:jc w:val="left"/>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48"/>
        <w:gridCol w:w="1978"/>
        <w:gridCol w:w="703"/>
        <w:gridCol w:w="733"/>
        <w:gridCol w:w="519"/>
        <w:gridCol w:w="817"/>
        <w:gridCol w:w="632"/>
        <w:gridCol w:w="959"/>
        <w:gridCol w:w="659"/>
        <w:gridCol w:w="801"/>
        <w:gridCol w:w="628"/>
        <w:gridCol w:w="731"/>
        <w:gridCol w:w="733"/>
        <w:gridCol w:w="739"/>
      </w:tblGrid>
      <w:tr>
        <w:trPr>
          <w:trHeight w:val="278" w:hRule="atLeast"/>
        </w:trPr>
        <w:tc>
          <w:tcPr>
            <w:tcW w:w="4148" w:type="dxa"/>
            <w:vMerge w:val="restart"/>
            <w:tcBorders>
              <w:top w:val="single" w:sz="4" w:space="0" w:color="000000"/>
              <w:left w:val="single" w:sz="4" w:space="0" w:color="000000"/>
              <w:bottom w:val="single" w:sz="4" w:space="0" w:color="000000"/>
            </w:tcBorders>
          </w:tcPr>
          <w:p>
            <w:pPr>
              <w:pStyle w:val="TableParagraph"/>
              <w:rPr>
                <w:rFonts w:ascii="Arial"/>
                <w:b/>
                <w:sz w:val="20"/>
              </w:rPr>
            </w:pPr>
          </w:p>
          <w:p>
            <w:pPr>
              <w:pStyle w:val="TableParagraph"/>
              <w:spacing w:before="221"/>
              <w:rPr>
                <w:rFonts w:ascii="Arial"/>
                <w:b/>
                <w:sz w:val="20"/>
              </w:rPr>
            </w:pPr>
          </w:p>
          <w:p>
            <w:pPr>
              <w:pStyle w:val="TableParagraph"/>
              <w:tabs>
                <w:tab w:pos="830" w:val="left" w:leader="none"/>
              </w:tabs>
              <w:ind w:left="134"/>
              <w:rPr>
                <w:rFonts w:ascii="Arial"/>
                <w:b/>
                <w:sz w:val="20"/>
              </w:rPr>
            </w:pPr>
            <w:r>
              <w:rPr>
                <w:rFonts w:ascii="Arial"/>
                <w:b/>
                <w:spacing w:val="-4"/>
                <w:sz w:val="20"/>
              </w:rPr>
              <w:t>S/No</w:t>
            </w:r>
            <w:r>
              <w:rPr>
                <w:rFonts w:ascii="Arial"/>
                <w:b/>
                <w:sz w:val="20"/>
              </w:rPr>
              <w:tab/>
              <w:t>Item</w:t>
            </w:r>
            <w:r>
              <w:rPr>
                <w:rFonts w:ascii="Arial"/>
                <w:b/>
                <w:spacing w:val="-2"/>
                <w:sz w:val="20"/>
              </w:rPr>
              <w:t> Statements</w:t>
            </w:r>
          </w:p>
        </w:tc>
        <w:tc>
          <w:tcPr>
            <w:tcW w:w="1978" w:type="dxa"/>
            <w:vMerge w:val="restart"/>
            <w:tcBorders>
              <w:top w:val="single" w:sz="4" w:space="0" w:color="000000"/>
              <w:bottom w:val="single" w:sz="4" w:space="0" w:color="000000"/>
              <w:right w:val="single" w:sz="4" w:space="0" w:color="000000"/>
            </w:tcBorders>
          </w:tcPr>
          <w:p>
            <w:pPr>
              <w:pStyle w:val="TableParagraph"/>
              <w:spacing w:before="220"/>
              <w:rPr>
                <w:rFonts w:ascii="Arial"/>
                <w:b/>
                <w:sz w:val="20"/>
              </w:rPr>
            </w:pPr>
          </w:p>
          <w:p>
            <w:pPr>
              <w:pStyle w:val="TableParagraph"/>
              <w:ind w:left="109"/>
              <w:rPr>
                <w:rFonts w:ascii="Arial"/>
                <w:b/>
                <w:sz w:val="20"/>
              </w:rPr>
            </w:pPr>
            <w:r>
              <w:rPr>
                <w:rFonts w:ascii="Arial"/>
                <w:b/>
                <w:sz w:val="20"/>
              </w:rPr>
              <w:t>Category of </w:t>
            </w:r>
            <w:r>
              <w:rPr>
                <w:rFonts w:ascii="Arial"/>
                <w:b/>
                <w:spacing w:val="-2"/>
                <w:sz w:val="20"/>
              </w:rPr>
              <w:t>Respondents</w:t>
            </w:r>
          </w:p>
        </w:tc>
        <w:tc>
          <w:tcPr>
            <w:tcW w:w="8654" w:type="dxa"/>
            <w:gridSpan w:val="12"/>
            <w:tcBorders>
              <w:top w:val="single" w:sz="4" w:space="0" w:color="000000"/>
              <w:left w:val="single" w:sz="4" w:space="0" w:color="000000"/>
              <w:bottom w:val="single" w:sz="4" w:space="0" w:color="000000"/>
              <w:right w:val="single" w:sz="4" w:space="0" w:color="000000"/>
            </w:tcBorders>
          </w:tcPr>
          <w:p>
            <w:pPr>
              <w:pStyle w:val="TableParagraph"/>
              <w:spacing w:line="258" w:lineRule="exact"/>
              <w:ind w:right="1389"/>
              <w:jc w:val="center"/>
              <w:rPr>
                <w:rFonts w:ascii="Arial"/>
                <w:b/>
                <w:sz w:val="24"/>
              </w:rPr>
            </w:pPr>
            <w:r>
              <w:rPr>
                <w:rFonts w:ascii="Arial"/>
                <w:b/>
                <w:spacing w:val="-2"/>
                <w:sz w:val="24"/>
              </w:rPr>
              <w:t>Responses</w:t>
            </w:r>
          </w:p>
        </w:tc>
      </w:tr>
      <w:tr>
        <w:trPr>
          <w:trHeight w:val="460" w:hRule="atLeast"/>
        </w:trPr>
        <w:tc>
          <w:tcPr>
            <w:tcW w:w="4148" w:type="dxa"/>
            <w:vMerge/>
            <w:tcBorders>
              <w:top w:val="nil"/>
              <w:left w:val="single" w:sz="4" w:space="0" w:color="000000"/>
              <w:bottom w:val="single" w:sz="4" w:space="0" w:color="000000"/>
            </w:tcBorders>
          </w:tcPr>
          <w:p>
            <w:pPr>
              <w:rPr>
                <w:sz w:val="2"/>
                <w:szCs w:val="2"/>
              </w:rPr>
            </w:pPr>
          </w:p>
        </w:tc>
        <w:tc>
          <w:tcPr>
            <w:tcW w:w="1978" w:type="dxa"/>
            <w:vMerge/>
            <w:tcBorders>
              <w:top w:val="nil"/>
              <w:bottom w:val="single" w:sz="4" w:space="0" w:color="000000"/>
              <w:right w:val="single" w:sz="4" w:space="0" w:color="000000"/>
            </w:tcBorders>
          </w:tcPr>
          <w:p>
            <w:pPr>
              <w:rPr>
                <w:sz w:val="2"/>
                <w:szCs w:val="2"/>
              </w:rPr>
            </w:pPr>
          </w:p>
        </w:tc>
        <w:tc>
          <w:tcPr>
            <w:tcW w:w="8654" w:type="dxa"/>
            <w:gridSpan w:val="12"/>
            <w:tcBorders>
              <w:top w:val="single" w:sz="4" w:space="0" w:color="000000"/>
              <w:left w:val="single" w:sz="4" w:space="0" w:color="000000"/>
              <w:bottom w:val="single" w:sz="4" w:space="0" w:color="000000"/>
              <w:right w:val="single" w:sz="4" w:space="0" w:color="000000"/>
            </w:tcBorders>
          </w:tcPr>
          <w:p>
            <w:pPr>
              <w:pStyle w:val="TableParagraph"/>
              <w:tabs>
                <w:tab w:pos="1779" w:val="left" w:leader="none"/>
                <w:tab w:pos="3008" w:val="left" w:leader="none"/>
                <w:tab w:pos="4630" w:val="left" w:leader="none"/>
                <w:tab w:pos="6075" w:val="left" w:leader="none"/>
                <w:tab w:pos="7673" w:val="left" w:leader="none"/>
              </w:tabs>
              <w:spacing w:line="220" w:lineRule="exact"/>
              <w:ind w:left="305"/>
              <w:rPr>
                <w:rFonts w:ascii="Arial"/>
                <w:b/>
                <w:sz w:val="20"/>
              </w:rPr>
            </w:pPr>
            <w:r>
              <w:rPr>
                <w:rFonts w:ascii="Arial"/>
                <w:b/>
                <w:spacing w:val="-2"/>
                <w:sz w:val="20"/>
              </w:rPr>
              <w:t>Strongly</w:t>
            </w:r>
            <w:r>
              <w:rPr>
                <w:rFonts w:ascii="Arial"/>
                <w:b/>
                <w:sz w:val="20"/>
              </w:rPr>
              <w:tab/>
            </w:r>
            <w:r>
              <w:rPr>
                <w:rFonts w:ascii="Arial"/>
                <w:b/>
                <w:spacing w:val="-4"/>
                <w:sz w:val="20"/>
              </w:rPr>
              <w:t>Agree</w:t>
            </w:r>
            <w:r>
              <w:rPr>
                <w:rFonts w:ascii="Arial"/>
                <w:b/>
                <w:sz w:val="20"/>
              </w:rPr>
              <w:tab/>
            </w:r>
            <w:r>
              <w:rPr>
                <w:rFonts w:ascii="Arial"/>
                <w:b/>
                <w:spacing w:val="-2"/>
                <w:sz w:val="20"/>
              </w:rPr>
              <w:t>Undecided</w:t>
            </w:r>
            <w:r>
              <w:rPr>
                <w:rFonts w:ascii="Arial"/>
                <w:b/>
                <w:sz w:val="20"/>
              </w:rPr>
              <w:tab/>
            </w:r>
            <w:r>
              <w:rPr>
                <w:rFonts w:ascii="Arial"/>
                <w:b/>
                <w:spacing w:val="-2"/>
                <w:sz w:val="20"/>
              </w:rPr>
              <w:t>Disagree</w:t>
            </w:r>
            <w:r>
              <w:rPr>
                <w:rFonts w:ascii="Arial"/>
                <w:b/>
                <w:sz w:val="20"/>
              </w:rPr>
              <w:tab/>
            </w:r>
            <w:r>
              <w:rPr>
                <w:rFonts w:ascii="Arial"/>
                <w:b/>
                <w:spacing w:val="-2"/>
                <w:sz w:val="20"/>
              </w:rPr>
              <w:t>Strongly</w:t>
            </w:r>
            <w:r>
              <w:rPr>
                <w:rFonts w:ascii="Arial"/>
                <w:b/>
                <w:sz w:val="20"/>
              </w:rPr>
              <w:tab/>
            </w:r>
            <w:r>
              <w:rPr>
                <w:rFonts w:ascii="Arial"/>
                <w:b/>
                <w:spacing w:val="-2"/>
                <w:sz w:val="20"/>
              </w:rPr>
              <w:t>Total</w:t>
            </w:r>
          </w:p>
          <w:p>
            <w:pPr>
              <w:pStyle w:val="TableParagraph"/>
              <w:tabs>
                <w:tab w:pos="6060" w:val="left" w:leader="none"/>
              </w:tabs>
              <w:spacing w:line="220" w:lineRule="exact"/>
              <w:ind w:left="430"/>
              <w:rPr>
                <w:rFonts w:ascii="Arial"/>
                <w:b/>
                <w:sz w:val="20"/>
              </w:rPr>
            </w:pPr>
            <w:r>
              <w:rPr>
                <w:rFonts w:ascii="Arial"/>
                <w:b/>
                <w:spacing w:val="-2"/>
                <w:sz w:val="20"/>
              </w:rPr>
              <w:t>Agree</w:t>
            </w:r>
            <w:r>
              <w:rPr>
                <w:rFonts w:ascii="Arial"/>
                <w:b/>
                <w:sz w:val="20"/>
              </w:rPr>
              <w:tab/>
            </w:r>
            <w:r>
              <w:rPr>
                <w:rFonts w:ascii="Arial"/>
                <w:b/>
                <w:spacing w:val="-2"/>
                <w:sz w:val="20"/>
              </w:rPr>
              <w:t>Disagree</w:t>
            </w:r>
          </w:p>
        </w:tc>
      </w:tr>
      <w:tr>
        <w:trPr>
          <w:trHeight w:val="316" w:hRule="atLeast"/>
        </w:trPr>
        <w:tc>
          <w:tcPr>
            <w:tcW w:w="4148" w:type="dxa"/>
            <w:vMerge/>
            <w:tcBorders>
              <w:top w:val="nil"/>
              <w:left w:val="single" w:sz="4" w:space="0" w:color="000000"/>
              <w:bottom w:val="single" w:sz="4" w:space="0" w:color="000000"/>
            </w:tcBorders>
          </w:tcPr>
          <w:p>
            <w:pPr>
              <w:rPr>
                <w:sz w:val="2"/>
                <w:szCs w:val="2"/>
              </w:rPr>
            </w:pPr>
          </w:p>
        </w:tc>
        <w:tc>
          <w:tcPr>
            <w:tcW w:w="1978" w:type="dxa"/>
            <w:vMerge/>
            <w:tcBorders>
              <w:top w:val="nil"/>
              <w:bottom w:val="single" w:sz="4" w:space="0" w:color="000000"/>
              <w:right w:val="single" w:sz="4" w:space="0" w:color="000000"/>
            </w:tcBorders>
          </w:tcPr>
          <w:p>
            <w:pPr>
              <w:rPr>
                <w:sz w:val="2"/>
                <w:szCs w:val="2"/>
              </w:rPr>
            </w:pPr>
          </w:p>
        </w:tc>
        <w:tc>
          <w:tcPr>
            <w:tcW w:w="703" w:type="dxa"/>
            <w:tcBorders>
              <w:top w:val="single" w:sz="4" w:space="0" w:color="000000"/>
              <w:left w:val="single" w:sz="4" w:space="0" w:color="000000"/>
              <w:bottom w:val="single" w:sz="4" w:space="0" w:color="000000"/>
            </w:tcBorders>
          </w:tcPr>
          <w:p>
            <w:pPr>
              <w:pStyle w:val="TableParagraph"/>
              <w:spacing w:line="220" w:lineRule="exact"/>
              <w:ind w:left="17"/>
              <w:jc w:val="center"/>
              <w:rPr>
                <w:rFonts w:ascii="Arial"/>
                <w:b/>
                <w:sz w:val="20"/>
              </w:rPr>
            </w:pPr>
            <w:r>
              <w:rPr>
                <w:rFonts w:ascii="Arial"/>
                <w:b/>
                <w:spacing w:val="-10"/>
                <w:sz w:val="20"/>
              </w:rPr>
              <w:t>F</w:t>
            </w:r>
          </w:p>
        </w:tc>
        <w:tc>
          <w:tcPr>
            <w:tcW w:w="733" w:type="dxa"/>
            <w:tcBorders>
              <w:top w:val="single" w:sz="4" w:space="0" w:color="000000"/>
              <w:bottom w:val="single" w:sz="4" w:space="0" w:color="000000"/>
            </w:tcBorders>
          </w:tcPr>
          <w:p>
            <w:pPr>
              <w:pStyle w:val="TableParagraph"/>
              <w:spacing w:line="220" w:lineRule="exact"/>
              <w:ind w:left="53" w:right="28"/>
              <w:jc w:val="center"/>
              <w:rPr>
                <w:rFonts w:ascii="Arial"/>
                <w:b/>
                <w:sz w:val="20"/>
              </w:rPr>
            </w:pPr>
            <w:r>
              <w:rPr>
                <w:rFonts w:ascii="Arial"/>
                <w:b/>
                <w:spacing w:val="-10"/>
                <w:sz w:val="20"/>
              </w:rPr>
              <w:t>%</w:t>
            </w:r>
          </w:p>
        </w:tc>
        <w:tc>
          <w:tcPr>
            <w:tcW w:w="519" w:type="dxa"/>
            <w:tcBorders>
              <w:top w:val="single" w:sz="4" w:space="0" w:color="000000"/>
              <w:bottom w:val="single" w:sz="4" w:space="0" w:color="000000"/>
            </w:tcBorders>
          </w:tcPr>
          <w:p>
            <w:pPr>
              <w:pStyle w:val="TableParagraph"/>
              <w:spacing w:line="220" w:lineRule="exact"/>
              <w:ind w:left="32"/>
              <w:jc w:val="center"/>
              <w:rPr>
                <w:rFonts w:ascii="Arial"/>
                <w:b/>
                <w:sz w:val="20"/>
              </w:rPr>
            </w:pPr>
            <w:r>
              <w:rPr>
                <w:rFonts w:ascii="Arial"/>
                <w:b/>
                <w:spacing w:val="-10"/>
                <w:sz w:val="20"/>
              </w:rPr>
              <w:t>F</w:t>
            </w:r>
          </w:p>
        </w:tc>
        <w:tc>
          <w:tcPr>
            <w:tcW w:w="817" w:type="dxa"/>
            <w:tcBorders>
              <w:top w:val="single" w:sz="4" w:space="0" w:color="000000"/>
              <w:bottom w:val="single" w:sz="4" w:space="0" w:color="000000"/>
            </w:tcBorders>
          </w:tcPr>
          <w:p>
            <w:pPr>
              <w:pStyle w:val="TableParagraph"/>
              <w:spacing w:line="220" w:lineRule="exact"/>
              <w:ind w:left="7" w:right="42"/>
              <w:jc w:val="center"/>
              <w:rPr>
                <w:rFonts w:ascii="Arial"/>
                <w:b/>
                <w:sz w:val="20"/>
              </w:rPr>
            </w:pPr>
            <w:r>
              <w:rPr>
                <w:rFonts w:ascii="Arial"/>
                <w:b/>
                <w:spacing w:val="-10"/>
                <w:sz w:val="20"/>
              </w:rPr>
              <w:t>%</w:t>
            </w:r>
          </w:p>
        </w:tc>
        <w:tc>
          <w:tcPr>
            <w:tcW w:w="632" w:type="dxa"/>
            <w:tcBorders>
              <w:top w:val="single" w:sz="4" w:space="0" w:color="000000"/>
              <w:bottom w:val="single" w:sz="4" w:space="0" w:color="000000"/>
            </w:tcBorders>
          </w:tcPr>
          <w:p>
            <w:pPr>
              <w:pStyle w:val="TableParagraph"/>
              <w:spacing w:line="220" w:lineRule="exact"/>
              <w:ind w:left="231"/>
              <w:rPr>
                <w:rFonts w:ascii="Arial"/>
                <w:b/>
                <w:sz w:val="20"/>
              </w:rPr>
            </w:pPr>
            <w:r>
              <w:rPr>
                <w:rFonts w:ascii="Arial"/>
                <w:b/>
                <w:spacing w:val="-10"/>
                <w:sz w:val="20"/>
              </w:rPr>
              <w:t>F</w:t>
            </w:r>
          </w:p>
        </w:tc>
        <w:tc>
          <w:tcPr>
            <w:tcW w:w="959" w:type="dxa"/>
            <w:tcBorders>
              <w:top w:val="single" w:sz="4" w:space="0" w:color="000000"/>
              <w:bottom w:val="single" w:sz="4" w:space="0" w:color="000000"/>
            </w:tcBorders>
          </w:tcPr>
          <w:p>
            <w:pPr>
              <w:pStyle w:val="TableParagraph"/>
              <w:spacing w:line="220" w:lineRule="exact"/>
              <w:ind w:left="4" w:right="1"/>
              <w:jc w:val="center"/>
              <w:rPr>
                <w:rFonts w:ascii="Arial"/>
                <w:b/>
                <w:sz w:val="20"/>
              </w:rPr>
            </w:pPr>
            <w:r>
              <w:rPr>
                <w:rFonts w:ascii="Arial"/>
                <w:b/>
                <w:spacing w:val="-10"/>
                <w:sz w:val="20"/>
              </w:rPr>
              <w:t>%</w:t>
            </w:r>
          </w:p>
        </w:tc>
        <w:tc>
          <w:tcPr>
            <w:tcW w:w="659" w:type="dxa"/>
            <w:tcBorders>
              <w:top w:val="single" w:sz="4" w:space="0" w:color="000000"/>
              <w:bottom w:val="single" w:sz="4" w:space="0" w:color="000000"/>
            </w:tcBorders>
          </w:tcPr>
          <w:p>
            <w:pPr>
              <w:pStyle w:val="TableParagraph"/>
              <w:spacing w:line="220" w:lineRule="exact"/>
              <w:ind w:left="19"/>
              <w:jc w:val="center"/>
              <w:rPr>
                <w:rFonts w:ascii="Arial"/>
                <w:b/>
                <w:sz w:val="20"/>
              </w:rPr>
            </w:pPr>
            <w:r>
              <w:rPr>
                <w:rFonts w:ascii="Arial"/>
                <w:b/>
                <w:spacing w:val="-10"/>
                <w:sz w:val="20"/>
              </w:rPr>
              <w:t>F</w:t>
            </w:r>
          </w:p>
        </w:tc>
        <w:tc>
          <w:tcPr>
            <w:tcW w:w="801" w:type="dxa"/>
            <w:tcBorders>
              <w:top w:val="single" w:sz="4" w:space="0" w:color="000000"/>
              <w:bottom w:val="single" w:sz="4" w:space="0" w:color="000000"/>
            </w:tcBorders>
          </w:tcPr>
          <w:p>
            <w:pPr>
              <w:pStyle w:val="TableParagraph"/>
              <w:spacing w:line="220" w:lineRule="exact"/>
              <w:ind w:left="10" w:right="10"/>
              <w:jc w:val="center"/>
              <w:rPr>
                <w:rFonts w:ascii="Arial"/>
                <w:b/>
                <w:sz w:val="20"/>
              </w:rPr>
            </w:pPr>
            <w:r>
              <w:rPr>
                <w:rFonts w:ascii="Arial"/>
                <w:b/>
                <w:spacing w:val="-10"/>
                <w:sz w:val="20"/>
              </w:rPr>
              <w:t>%</w:t>
            </w:r>
          </w:p>
        </w:tc>
        <w:tc>
          <w:tcPr>
            <w:tcW w:w="628" w:type="dxa"/>
            <w:tcBorders>
              <w:top w:val="single" w:sz="4" w:space="0" w:color="000000"/>
              <w:bottom w:val="single" w:sz="4" w:space="0" w:color="000000"/>
            </w:tcBorders>
          </w:tcPr>
          <w:p>
            <w:pPr>
              <w:pStyle w:val="TableParagraph"/>
              <w:spacing w:line="220" w:lineRule="exact"/>
              <w:ind w:left="12" w:right="19"/>
              <w:jc w:val="center"/>
              <w:rPr>
                <w:rFonts w:ascii="Arial"/>
                <w:b/>
                <w:sz w:val="20"/>
              </w:rPr>
            </w:pPr>
            <w:r>
              <w:rPr>
                <w:rFonts w:ascii="Arial"/>
                <w:b/>
                <w:spacing w:val="-10"/>
                <w:sz w:val="20"/>
              </w:rPr>
              <w:t>F</w:t>
            </w:r>
          </w:p>
        </w:tc>
        <w:tc>
          <w:tcPr>
            <w:tcW w:w="731" w:type="dxa"/>
            <w:tcBorders>
              <w:top w:val="single" w:sz="4" w:space="0" w:color="000000"/>
              <w:bottom w:val="single" w:sz="4" w:space="0" w:color="000000"/>
            </w:tcBorders>
          </w:tcPr>
          <w:p>
            <w:pPr>
              <w:pStyle w:val="TableParagraph"/>
              <w:spacing w:line="220" w:lineRule="exact"/>
              <w:ind w:left="69" w:right="18"/>
              <w:jc w:val="center"/>
              <w:rPr>
                <w:rFonts w:ascii="Arial"/>
                <w:b/>
                <w:sz w:val="20"/>
              </w:rPr>
            </w:pPr>
            <w:r>
              <w:rPr>
                <w:rFonts w:ascii="Arial"/>
                <w:b/>
                <w:spacing w:val="-10"/>
                <w:sz w:val="20"/>
              </w:rPr>
              <w:t>%</w:t>
            </w:r>
          </w:p>
        </w:tc>
        <w:tc>
          <w:tcPr>
            <w:tcW w:w="733" w:type="dxa"/>
            <w:tcBorders>
              <w:top w:val="single" w:sz="4" w:space="0" w:color="000000"/>
              <w:bottom w:val="single" w:sz="4" w:space="0" w:color="000000"/>
            </w:tcBorders>
          </w:tcPr>
          <w:p>
            <w:pPr>
              <w:pStyle w:val="TableParagraph"/>
              <w:spacing w:line="220" w:lineRule="exact"/>
              <w:ind w:left="53" w:right="25"/>
              <w:jc w:val="center"/>
              <w:rPr>
                <w:rFonts w:ascii="Arial"/>
                <w:b/>
                <w:sz w:val="20"/>
              </w:rPr>
            </w:pPr>
            <w:r>
              <w:rPr>
                <w:rFonts w:ascii="Arial"/>
                <w:b/>
                <w:spacing w:val="-10"/>
                <w:sz w:val="20"/>
              </w:rPr>
              <w:t>F</w:t>
            </w:r>
          </w:p>
        </w:tc>
        <w:tc>
          <w:tcPr>
            <w:tcW w:w="739" w:type="dxa"/>
            <w:tcBorders>
              <w:top w:val="single" w:sz="4" w:space="0" w:color="000000"/>
              <w:bottom w:val="single" w:sz="4" w:space="0" w:color="000000"/>
              <w:right w:val="single" w:sz="4" w:space="0" w:color="000000"/>
            </w:tcBorders>
          </w:tcPr>
          <w:p>
            <w:pPr>
              <w:pStyle w:val="TableParagraph"/>
              <w:spacing w:line="220" w:lineRule="exact"/>
              <w:ind w:left="36" w:right="36"/>
              <w:jc w:val="center"/>
              <w:rPr>
                <w:rFonts w:ascii="Arial"/>
                <w:b/>
                <w:sz w:val="20"/>
              </w:rPr>
            </w:pPr>
            <w:r>
              <w:rPr>
                <w:rFonts w:ascii="Arial"/>
                <w:b/>
                <w:spacing w:val="-10"/>
                <w:sz w:val="20"/>
              </w:rPr>
              <w:t>%</w:t>
            </w:r>
          </w:p>
        </w:tc>
      </w:tr>
      <w:tr>
        <w:trPr>
          <w:trHeight w:val="227" w:hRule="atLeast"/>
        </w:trPr>
        <w:tc>
          <w:tcPr>
            <w:tcW w:w="4148" w:type="dxa"/>
            <w:tcBorders>
              <w:top w:val="single" w:sz="4" w:space="0" w:color="000000"/>
              <w:left w:val="single" w:sz="4" w:space="0" w:color="000000"/>
            </w:tcBorders>
          </w:tcPr>
          <w:p>
            <w:pPr>
              <w:pStyle w:val="TableParagraph"/>
              <w:tabs>
                <w:tab w:pos="609" w:val="left" w:leader="none"/>
                <w:tab w:pos="1410" w:val="left" w:leader="none"/>
                <w:tab w:pos="2399" w:val="left" w:leader="none"/>
              </w:tabs>
              <w:spacing w:line="208" w:lineRule="exact"/>
              <w:ind w:right="101"/>
              <w:jc w:val="right"/>
              <w:rPr>
                <w:sz w:val="20"/>
              </w:rPr>
            </w:pPr>
            <w:r>
              <w:rPr>
                <w:spacing w:val="-5"/>
                <w:sz w:val="20"/>
              </w:rPr>
              <w:t>38.</w:t>
            </w:r>
            <w:r>
              <w:rPr>
                <w:sz w:val="20"/>
              </w:rPr>
              <w:tab/>
            </w:r>
            <w:r>
              <w:rPr>
                <w:spacing w:val="-5"/>
                <w:sz w:val="20"/>
              </w:rPr>
              <w:t>The</w:t>
            </w:r>
            <w:r>
              <w:rPr>
                <w:sz w:val="20"/>
              </w:rPr>
              <w:tab/>
            </w:r>
            <w:r>
              <w:rPr>
                <w:spacing w:val="-2"/>
                <w:sz w:val="20"/>
              </w:rPr>
              <w:t>hostel</w:t>
            </w:r>
            <w:r>
              <w:rPr>
                <w:sz w:val="20"/>
              </w:rPr>
              <w:tab/>
            </w:r>
            <w:r>
              <w:rPr>
                <w:spacing w:val="-2"/>
                <w:sz w:val="20"/>
              </w:rPr>
              <w:t>accommodation</w:t>
            </w:r>
          </w:p>
        </w:tc>
        <w:tc>
          <w:tcPr>
            <w:tcW w:w="1978" w:type="dxa"/>
            <w:tcBorders>
              <w:top w:val="single" w:sz="4" w:space="0" w:color="000000"/>
            </w:tcBorders>
          </w:tcPr>
          <w:p>
            <w:pPr>
              <w:pStyle w:val="TableParagraph"/>
              <w:spacing w:line="208" w:lineRule="exact"/>
              <w:ind w:left="109"/>
              <w:rPr>
                <w:sz w:val="20"/>
              </w:rPr>
            </w:pPr>
            <w:r>
              <w:rPr>
                <w:sz w:val="20"/>
              </w:rPr>
              <w:t>No.</w:t>
            </w:r>
            <w:r>
              <w:rPr>
                <w:spacing w:val="-5"/>
                <w:sz w:val="20"/>
              </w:rPr>
              <w:t> </w:t>
            </w:r>
            <w:r>
              <w:rPr>
                <w:sz w:val="20"/>
              </w:rPr>
              <w:t>of</w:t>
            </w:r>
            <w:r>
              <w:rPr>
                <w:spacing w:val="-2"/>
                <w:sz w:val="20"/>
              </w:rPr>
              <w:t> missing</w:t>
            </w:r>
          </w:p>
        </w:tc>
        <w:tc>
          <w:tcPr>
            <w:tcW w:w="703" w:type="dxa"/>
            <w:tcBorders>
              <w:top w:val="single" w:sz="4" w:space="0" w:color="000000"/>
            </w:tcBorders>
          </w:tcPr>
          <w:p>
            <w:pPr>
              <w:pStyle w:val="TableParagraph"/>
              <w:rPr>
                <w:rFonts w:ascii="Times New Roman"/>
                <w:sz w:val="16"/>
              </w:rPr>
            </w:pPr>
          </w:p>
        </w:tc>
        <w:tc>
          <w:tcPr>
            <w:tcW w:w="733" w:type="dxa"/>
            <w:tcBorders>
              <w:top w:val="single" w:sz="4" w:space="0" w:color="000000"/>
            </w:tcBorders>
          </w:tcPr>
          <w:p>
            <w:pPr>
              <w:pStyle w:val="TableParagraph"/>
              <w:rPr>
                <w:rFonts w:ascii="Times New Roman"/>
                <w:sz w:val="16"/>
              </w:rPr>
            </w:pPr>
          </w:p>
        </w:tc>
        <w:tc>
          <w:tcPr>
            <w:tcW w:w="519" w:type="dxa"/>
            <w:tcBorders>
              <w:top w:val="single" w:sz="4" w:space="0" w:color="000000"/>
            </w:tcBorders>
          </w:tcPr>
          <w:p>
            <w:pPr>
              <w:pStyle w:val="TableParagraph"/>
              <w:rPr>
                <w:rFonts w:ascii="Times New Roman"/>
                <w:sz w:val="16"/>
              </w:rPr>
            </w:pPr>
          </w:p>
        </w:tc>
        <w:tc>
          <w:tcPr>
            <w:tcW w:w="817" w:type="dxa"/>
            <w:tcBorders>
              <w:top w:val="single" w:sz="4" w:space="0" w:color="000000"/>
            </w:tcBorders>
          </w:tcPr>
          <w:p>
            <w:pPr>
              <w:pStyle w:val="TableParagraph"/>
              <w:rPr>
                <w:rFonts w:ascii="Times New Roman"/>
                <w:sz w:val="16"/>
              </w:rPr>
            </w:pPr>
          </w:p>
        </w:tc>
        <w:tc>
          <w:tcPr>
            <w:tcW w:w="632" w:type="dxa"/>
            <w:tcBorders>
              <w:top w:val="single" w:sz="4" w:space="0" w:color="000000"/>
            </w:tcBorders>
          </w:tcPr>
          <w:p>
            <w:pPr>
              <w:pStyle w:val="TableParagraph"/>
              <w:rPr>
                <w:rFonts w:ascii="Times New Roman"/>
                <w:sz w:val="16"/>
              </w:rPr>
            </w:pPr>
          </w:p>
        </w:tc>
        <w:tc>
          <w:tcPr>
            <w:tcW w:w="959" w:type="dxa"/>
            <w:tcBorders>
              <w:top w:val="single" w:sz="4" w:space="0" w:color="000000"/>
            </w:tcBorders>
          </w:tcPr>
          <w:p>
            <w:pPr>
              <w:pStyle w:val="TableParagraph"/>
              <w:rPr>
                <w:rFonts w:ascii="Times New Roman"/>
                <w:sz w:val="16"/>
              </w:rPr>
            </w:pPr>
          </w:p>
        </w:tc>
        <w:tc>
          <w:tcPr>
            <w:tcW w:w="659" w:type="dxa"/>
            <w:tcBorders>
              <w:top w:val="single" w:sz="4" w:space="0" w:color="000000"/>
            </w:tcBorders>
          </w:tcPr>
          <w:p>
            <w:pPr>
              <w:pStyle w:val="TableParagraph"/>
              <w:rPr>
                <w:rFonts w:ascii="Times New Roman"/>
                <w:sz w:val="16"/>
              </w:rPr>
            </w:pPr>
          </w:p>
        </w:tc>
        <w:tc>
          <w:tcPr>
            <w:tcW w:w="801" w:type="dxa"/>
            <w:tcBorders>
              <w:top w:val="single" w:sz="4" w:space="0" w:color="000000"/>
            </w:tcBorders>
          </w:tcPr>
          <w:p>
            <w:pPr>
              <w:pStyle w:val="TableParagraph"/>
              <w:rPr>
                <w:rFonts w:ascii="Times New Roman"/>
                <w:sz w:val="16"/>
              </w:rPr>
            </w:pPr>
          </w:p>
        </w:tc>
        <w:tc>
          <w:tcPr>
            <w:tcW w:w="628" w:type="dxa"/>
            <w:tcBorders>
              <w:top w:val="single" w:sz="4" w:space="0" w:color="000000"/>
            </w:tcBorders>
          </w:tcPr>
          <w:p>
            <w:pPr>
              <w:pStyle w:val="TableParagraph"/>
              <w:rPr>
                <w:rFonts w:ascii="Times New Roman"/>
                <w:sz w:val="16"/>
              </w:rPr>
            </w:pPr>
          </w:p>
        </w:tc>
        <w:tc>
          <w:tcPr>
            <w:tcW w:w="731" w:type="dxa"/>
            <w:tcBorders>
              <w:top w:val="single" w:sz="4" w:space="0" w:color="000000"/>
            </w:tcBorders>
          </w:tcPr>
          <w:p>
            <w:pPr>
              <w:pStyle w:val="TableParagraph"/>
              <w:rPr>
                <w:rFonts w:ascii="Times New Roman"/>
                <w:sz w:val="16"/>
              </w:rPr>
            </w:pPr>
          </w:p>
        </w:tc>
        <w:tc>
          <w:tcPr>
            <w:tcW w:w="733" w:type="dxa"/>
            <w:tcBorders>
              <w:top w:val="single" w:sz="4" w:space="0" w:color="000000"/>
            </w:tcBorders>
          </w:tcPr>
          <w:p>
            <w:pPr>
              <w:pStyle w:val="TableParagraph"/>
              <w:rPr>
                <w:rFonts w:ascii="Times New Roman"/>
                <w:sz w:val="16"/>
              </w:rPr>
            </w:pPr>
          </w:p>
        </w:tc>
        <w:tc>
          <w:tcPr>
            <w:tcW w:w="739" w:type="dxa"/>
            <w:tcBorders>
              <w:top w:val="single" w:sz="4" w:space="0" w:color="000000"/>
              <w:right w:val="single" w:sz="4" w:space="0" w:color="000000"/>
            </w:tcBorders>
          </w:tcPr>
          <w:p>
            <w:pPr>
              <w:pStyle w:val="TableParagraph"/>
              <w:rPr>
                <w:rFonts w:ascii="Times New Roman"/>
                <w:sz w:val="16"/>
              </w:rPr>
            </w:pPr>
          </w:p>
        </w:tc>
      </w:tr>
      <w:tr>
        <w:trPr>
          <w:trHeight w:val="230" w:hRule="atLeast"/>
        </w:trPr>
        <w:tc>
          <w:tcPr>
            <w:tcW w:w="4148" w:type="dxa"/>
            <w:tcBorders>
              <w:left w:val="single" w:sz="4" w:space="0" w:color="000000"/>
            </w:tcBorders>
          </w:tcPr>
          <w:p>
            <w:pPr>
              <w:pStyle w:val="TableParagraph"/>
              <w:spacing w:line="210" w:lineRule="exact"/>
              <w:ind w:right="102"/>
              <w:jc w:val="right"/>
              <w:rPr>
                <w:sz w:val="20"/>
              </w:rPr>
            </w:pPr>
            <w:r>
              <w:rPr>
                <w:sz w:val="20"/>
              </w:rPr>
              <w:t>provided</w:t>
            </w:r>
            <w:r>
              <w:rPr>
                <w:spacing w:val="63"/>
                <w:w w:val="150"/>
                <w:sz w:val="20"/>
              </w:rPr>
              <w:t> </w:t>
            </w:r>
            <w:r>
              <w:rPr>
                <w:sz w:val="20"/>
              </w:rPr>
              <w:t>to</w:t>
            </w:r>
            <w:r>
              <w:rPr>
                <w:spacing w:val="64"/>
                <w:w w:val="150"/>
                <w:sz w:val="20"/>
              </w:rPr>
              <w:t> </w:t>
            </w:r>
            <w:r>
              <w:rPr>
                <w:sz w:val="20"/>
              </w:rPr>
              <w:t>students</w:t>
            </w:r>
            <w:r>
              <w:rPr>
                <w:spacing w:val="61"/>
                <w:w w:val="150"/>
                <w:sz w:val="20"/>
              </w:rPr>
              <w:t> </w:t>
            </w:r>
            <w:r>
              <w:rPr>
                <w:sz w:val="20"/>
              </w:rPr>
              <w:t>in</w:t>
            </w:r>
            <w:r>
              <w:rPr>
                <w:spacing w:val="63"/>
                <w:w w:val="150"/>
                <w:sz w:val="20"/>
              </w:rPr>
              <w:t> </w:t>
            </w:r>
            <w:r>
              <w:rPr>
                <w:spacing w:val="-2"/>
                <w:sz w:val="20"/>
              </w:rPr>
              <w:t>Nigerian</w:t>
            </w:r>
          </w:p>
        </w:tc>
        <w:tc>
          <w:tcPr>
            <w:tcW w:w="1978" w:type="dxa"/>
          </w:tcPr>
          <w:p>
            <w:pPr>
              <w:pStyle w:val="TableParagraph"/>
              <w:spacing w:line="210" w:lineRule="exact"/>
              <w:ind w:left="109"/>
              <w:rPr>
                <w:sz w:val="20"/>
              </w:rPr>
            </w:pPr>
            <w:r>
              <w:rPr>
                <w:spacing w:val="-2"/>
                <w:sz w:val="20"/>
              </w:rPr>
              <w:t>observations</w:t>
            </w:r>
          </w:p>
        </w:tc>
        <w:tc>
          <w:tcPr>
            <w:tcW w:w="703" w:type="dxa"/>
          </w:tcPr>
          <w:p>
            <w:pPr>
              <w:pStyle w:val="TableParagraph"/>
              <w:spacing w:line="210" w:lineRule="exact"/>
              <w:ind w:left="21"/>
              <w:jc w:val="center"/>
              <w:rPr>
                <w:sz w:val="20"/>
              </w:rPr>
            </w:pPr>
            <w:r>
              <w:rPr>
                <w:spacing w:val="-10"/>
                <w:sz w:val="20"/>
              </w:rPr>
              <w:t>1</w:t>
            </w:r>
          </w:p>
        </w:tc>
        <w:tc>
          <w:tcPr>
            <w:tcW w:w="733" w:type="dxa"/>
          </w:tcPr>
          <w:p>
            <w:pPr>
              <w:pStyle w:val="TableParagraph"/>
              <w:spacing w:line="210" w:lineRule="exact"/>
              <w:ind w:left="53" w:right="28"/>
              <w:jc w:val="center"/>
              <w:rPr>
                <w:sz w:val="20"/>
              </w:rPr>
            </w:pPr>
            <w:r>
              <w:rPr>
                <w:spacing w:val="-4"/>
                <w:sz w:val="20"/>
              </w:rPr>
              <w:t>50.0</w:t>
            </w:r>
          </w:p>
        </w:tc>
        <w:tc>
          <w:tcPr>
            <w:tcW w:w="519" w:type="dxa"/>
          </w:tcPr>
          <w:p>
            <w:pPr>
              <w:pStyle w:val="TableParagraph"/>
              <w:spacing w:line="210" w:lineRule="exact"/>
              <w:ind w:left="32" w:right="2"/>
              <w:jc w:val="center"/>
              <w:rPr>
                <w:sz w:val="20"/>
              </w:rPr>
            </w:pPr>
            <w:r>
              <w:rPr>
                <w:spacing w:val="-10"/>
                <w:sz w:val="20"/>
              </w:rPr>
              <w:t>1</w:t>
            </w:r>
          </w:p>
        </w:tc>
        <w:tc>
          <w:tcPr>
            <w:tcW w:w="817" w:type="dxa"/>
          </w:tcPr>
          <w:p>
            <w:pPr>
              <w:pStyle w:val="TableParagraph"/>
              <w:spacing w:line="210" w:lineRule="exact"/>
              <w:ind w:left="2" w:right="42"/>
              <w:jc w:val="center"/>
              <w:rPr>
                <w:sz w:val="20"/>
              </w:rPr>
            </w:pPr>
            <w:r>
              <w:rPr>
                <w:spacing w:val="-5"/>
                <w:sz w:val="20"/>
              </w:rPr>
              <w:t>5.0</w:t>
            </w:r>
          </w:p>
        </w:tc>
        <w:tc>
          <w:tcPr>
            <w:tcW w:w="632" w:type="dxa"/>
          </w:tcPr>
          <w:p>
            <w:pPr>
              <w:pStyle w:val="TableParagraph"/>
              <w:spacing w:line="210" w:lineRule="exact"/>
              <w:ind w:left="255"/>
              <w:rPr>
                <w:sz w:val="20"/>
              </w:rPr>
            </w:pPr>
            <w:r>
              <w:rPr>
                <w:spacing w:val="-10"/>
                <w:sz w:val="20"/>
              </w:rPr>
              <w:t>-</w:t>
            </w:r>
          </w:p>
        </w:tc>
        <w:tc>
          <w:tcPr>
            <w:tcW w:w="959" w:type="dxa"/>
          </w:tcPr>
          <w:p>
            <w:pPr>
              <w:pStyle w:val="TableParagraph"/>
              <w:spacing w:line="210" w:lineRule="exact"/>
              <w:ind w:left="3" w:right="3"/>
              <w:jc w:val="center"/>
              <w:rPr>
                <w:sz w:val="20"/>
              </w:rPr>
            </w:pPr>
            <w:r>
              <w:rPr>
                <w:spacing w:val="-10"/>
                <w:sz w:val="20"/>
              </w:rPr>
              <w:t>-</w:t>
            </w:r>
          </w:p>
        </w:tc>
        <w:tc>
          <w:tcPr>
            <w:tcW w:w="659" w:type="dxa"/>
          </w:tcPr>
          <w:p>
            <w:pPr>
              <w:pStyle w:val="TableParagraph"/>
              <w:spacing w:line="210" w:lineRule="exact"/>
              <w:ind w:left="19" w:right="8"/>
              <w:jc w:val="center"/>
              <w:rPr>
                <w:sz w:val="20"/>
              </w:rPr>
            </w:pPr>
            <w:r>
              <w:rPr>
                <w:spacing w:val="-10"/>
                <w:sz w:val="20"/>
              </w:rPr>
              <w:t>-</w:t>
            </w:r>
          </w:p>
        </w:tc>
        <w:tc>
          <w:tcPr>
            <w:tcW w:w="801" w:type="dxa"/>
          </w:tcPr>
          <w:p>
            <w:pPr>
              <w:pStyle w:val="TableParagraph"/>
              <w:spacing w:line="210" w:lineRule="exact"/>
              <w:ind w:left="4" w:right="10"/>
              <w:jc w:val="center"/>
              <w:rPr>
                <w:sz w:val="20"/>
              </w:rPr>
            </w:pPr>
            <w:r>
              <w:rPr>
                <w:spacing w:val="-10"/>
                <w:sz w:val="20"/>
              </w:rPr>
              <w:t>-</w:t>
            </w:r>
          </w:p>
        </w:tc>
        <w:tc>
          <w:tcPr>
            <w:tcW w:w="628" w:type="dxa"/>
          </w:tcPr>
          <w:p>
            <w:pPr>
              <w:pStyle w:val="TableParagraph"/>
              <w:spacing w:line="210" w:lineRule="exact"/>
              <w:ind w:left="8" w:right="23"/>
              <w:jc w:val="center"/>
              <w:rPr>
                <w:sz w:val="20"/>
              </w:rPr>
            </w:pPr>
            <w:r>
              <w:rPr>
                <w:spacing w:val="-10"/>
                <w:sz w:val="20"/>
              </w:rPr>
              <w:t>-</w:t>
            </w:r>
          </w:p>
        </w:tc>
        <w:tc>
          <w:tcPr>
            <w:tcW w:w="731" w:type="dxa"/>
          </w:tcPr>
          <w:p>
            <w:pPr>
              <w:pStyle w:val="TableParagraph"/>
              <w:spacing w:line="210" w:lineRule="exact"/>
              <w:ind w:left="69" w:right="25"/>
              <w:jc w:val="center"/>
              <w:rPr>
                <w:sz w:val="20"/>
              </w:rPr>
            </w:pPr>
            <w:r>
              <w:rPr>
                <w:spacing w:val="-10"/>
                <w:sz w:val="20"/>
              </w:rPr>
              <w:t>-</w:t>
            </w:r>
          </w:p>
        </w:tc>
        <w:tc>
          <w:tcPr>
            <w:tcW w:w="733" w:type="dxa"/>
          </w:tcPr>
          <w:p>
            <w:pPr>
              <w:pStyle w:val="TableParagraph"/>
              <w:spacing w:line="210" w:lineRule="exact"/>
              <w:ind w:left="127"/>
              <w:rPr>
                <w:sz w:val="20"/>
              </w:rPr>
            </w:pPr>
            <w:r>
              <w:rPr>
                <w:spacing w:val="-10"/>
                <w:sz w:val="20"/>
              </w:rPr>
              <w:t>2</w:t>
            </w:r>
          </w:p>
        </w:tc>
        <w:tc>
          <w:tcPr>
            <w:tcW w:w="739" w:type="dxa"/>
            <w:tcBorders>
              <w:right w:val="single" w:sz="4" w:space="0" w:color="000000"/>
            </w:tcBorders>
          </w:tcPr>
          <w:p>
            <w:pPr>
              <w:pStyle w:val="TableParagraph"/>
              <w:spacing w:line="210" w:lineRule="exact"/>
              <w:ind w:left="36" w:right="38"/>
              <w:jc w:val="center"/>
              <w:rPr>
                <w:sz w:val="20"/>
              </w:rPr>
            </w:pPr>
            <w:r>
              <w:rPr>
                <w:spacing w:val="-5"/>
                <w:sz w:val="20"/>
              </w:rPr>
              <w:t>0.4</w:t>
            </w:r>
          </w:p>
        </w:tc>
      </w:tr>
      <w:tr>
        <w:trPr>
          <w:trHeight w:val="230" w:hRule="atLeast"/>
        </w:trPr>
        <w:tc>
          <w:tcPr>
            <w:tcW w:w="4148" w:type="dxa"/>
            <w:tcBorders>
              <w:left w:val="single" w:sz="4" w:space="0" w:color="000000"/>
            </w:tcBorders>
          </w:tcPr>
          <w:p>
            <w:pPr>
              <w:pStyle w:val="TableParagraph"/>
              <w:spacing w:line="210" w:lineRule="exact"/>
              <w:ind w:right="106"/>
              <w:jc w:val="right"/>
              <w:rPr>
                <w:sz w:val="20"/>
              </w:rPr>
            </w:pPr>
            <w:r>
              <w:rPr>
                <w:sz w:val="20"/>
              </w:rPr>
              <w:t>Universities</w:t>
            </w:r>
            <w:r>
              <w:rPr>
                <w:spacing w:val="56"/>
                <w:sz w:val="20"/>
              </w:rPr>
              <w:t> </w:t>
            </w:r>
            <w:r>
              <w:rPr>
                <w:sz w:val="20"/>
              </w:rPr>
              <w:t>cannot</w:t>
            </w:r>
            <w:r>
              <w:rPr>
                <w:spacing w:val="62"/>
                <w:sz w:val="20"/>
              </w:rPr>
              <w:t> </w:t>
            </w:r>
            <w:r>
              <w:rPr>
                <w:sz w:val="20"/>
              </w:rPr>
              <w:t>be</w:t>
            </w:r>
            <w:r>
              <w:rPr>
                <w:spacing w:val="60"/>
                <w:sz w:val="20"/>
              </w:rPr>
              <w:t> </w:t>
            </w:r>
            <w:r>
              <w:rPr>
                <w:spacing w:val="-2"/>
                <w:sz w:val="20"/>
              </w:rPr>
              <w:t>considered</w:t>
            </w:r>
          </w:p>
        </w:tc>
        <w:tc>
          <w:tcPr>
            <w:tcW w:w="1978" w:type="dxa"/>
          </w:tcPr>
          <w:p>
            <w:pPr>
              <w:pStyle w:val="TableParagraph"/>
              <w:spacing w:line="210" w:lineRule="exact"/>
              <w:ind w:left="109"/>
              <w:rPr>
                <w:sz w:val="20"/>
              </w:rPr>
            </w:pPr>
            <w:r>
              <w:rPr>
                <w:spacing w:val="-2"/>
                <w:sz w:val="20"/>
              </w:rPr>
              <w:t>Students</w:t>
            </w:r>
          </w:p>
        </w:tc>
        <w:tc>
          <w:tcPr>
            <w:tcW w:w="703" w:type="dxa"/>
          </w:tcPr>
          <w:p>
            <w:pPr>
              <w:pStyle w:val="TableParagraph"/>
              <w:spacing w:line="210" w:lineRule="exact"/>
              <w:ind w:left="21" w:right="10"/>
              <w:jc w:val="center"/>
              <w:rPr>
                <w:sz w:val="20"/>
              </w:rPr>
            </w:pPr>
            <w:r>
              <w:rPr>
                <w:spacing w:val="-5"/>
                <w:sz w:val="20"/>
              </w:rPr>
              <w:t>120</w:t>
            </w:r>
          </w:p>
        </w:tc>
        <w:tc>
          <w:tcPr>
            <w:tcW w:w="733" w:type="dxa"/>
          </w:tcPr>
          <w:p>
            <w:pPr>
              <w:pStyle w:val="TableParagraph"/>
              <w:spacing w:line="210" w:lineRule="exact"/>
              <w:ind w:left="53" w:right="28"/>
              <w:jc w:val="center"/>
              <w:rPr>
                <w:sz w:val="20"/>
              </w:rPr>
            </w:pPr>
            <w:r>
              <w:rPr>
                <w:spacing w:val="-4"/>
                <w:sz w:val="20"/>
              </w:rPr>
              <w:t>51.1</w:t>
            </w:r>
          </w:p>
        </w:tc>
        <w:tc>
          <w:tcPr>
            <w:tcW w:w="519" w:type="dxa"/>
          </w:tcPr>
          <w:p>
            <w:pPr>
              <w:pStyle w:val="TableParagraph"/>
              <w:spacing w:line="210" w:lineRule="exact"/>
              <w:ind w:left="32" w:right="6"/>
              <w:jc w:val="center"/>
              <w:rPr>
                <w:sz w:val="20"/>
              </w:rPr>
            </w:pPr>
            <w:r>
              <w:rPr>
                <w:spacing w:val="-5"/>
                <w:sz w:val="20"/>
              </w:rPr>
              <w:t>81</w:t>
            </w:r>
          </w:p>
        </w:tc>
        <w:tc>
          <w:tcPr>
            <w:tcW w:w="817" w:type="dxa"/>
          </w:tcPr>
          <w:p>
            <w:pPr>
              <w:pStyle w:val="TableParagraph"/>
              <w:spacing w:line="210" w:lineRule="exact"/>
              <w:ind w:left="7" w:right="42"/>
              <w:jc w:val="center"/>
              <w:rPr>
                <w:sz w:val="20"/>
              </w:rPr>
            </w:pPr>
            <w:r>
              <w:rPr>
                <w:spacing w:val="-4"/>
                <w:sz w:val="20"/>
              </w:rPr>
              <w:t>34.5</w:t>
            </w:r>
          </w:p>
        </w:tc>
        <w:tc>
          <w:tcPr>
            <w:tcW w:w="632" w:type="dxa"/>
          </w:tcPr>
          <w:p>
            <w:pPr>
              <w:pStyle w:val="TableParagraph"/>
              <w:spacing w:line="210" w:lineRule="exact"/>
              <w:ind w:left="178"/>
              <w:rPr>
                <w:sz w:val="20"/>
              </w:rPr>
            </w:pPr>
            <w:r>
              <w:rPr>
                <w:spacing w:val="-5"/>
                <w:sz w:val="20"/>
              </w:rPr>
              <w:t>15</w:t>
            </w:r>
          </w:p>
        </w:tc>
        <w:tc>
          <w:tcPr>
            <w:tcW w:w="959" w:type="dxa"/>
          </w:tcPr>
          <w:p>
            <w:pPr>
              <w:pStyle w:val="TableParagraph"/>
              <w:spacing w:line="210" w:lineRule="exact"/>
              <w:ind w:left="3" w:right="4"/>
              <w:jc w:val="center"/>
              <w:rPr>
                <w:sz w:val="20"/>
              </w:rPr>
            </w:pPr>
            <w:r>
              <w:rPr>
                <w:spacing w:val="-5"/>
                <w:sz w:val="20"/>
              </w:rPr>
              <w:t>6.4</w:t>
            </w:r>
          </w:p>
        </w:tc>
        <w:tc>
          <w:tcPr>
            <w:tcW w:w="659" w:type="dxa"/>
          </w:tcPr>
          <w:p>
            <w:pPr>
              <w:pStyle w:val="TableParagraph"/>
              <w:spacing w:line="210" w:lineRule="exact"/>
              <w:ind w:left="19" w:right="6"/>
              <w:jc w:val="center"/>
              <w:rPr>
                <w:sz w:val="20"/>
              </w:rPr>
            </w:pPr>
            <w:r>
              <w:rPr>
                <w:spacing w:val="-5"/>
                <w:sz w:val="20"/>
              </w:rPr>
              <w:t>11</w:t>
            </w:r>
          </w:p>
        </w:tc>
        <w:tc>
          <w:tcPr>
            <w:tcW w:w="801" w:type="dxa"/>
          </w:tcPr>
          <w:p>
            <w:pPr>
              <w:pStyle w:val="TableParagraph"/>
              <w:spacing w:line="210" w:lineRule="exact"/>
              <w:ind w:left="5" w:right="10"/>
              <w:jc w:val="center"/>
              <w:rPr>
                <w:sz w:val="20"/>
              </w:rPr>
            </w:pPr>
            <w:r>
              <w:rPr>
                <w:spacing w:val="-5"/>
                <w:sz w:val="20"/>
              </w:rPr>
              <w:t>4.7</w:t>
            </w:r>
          </w:p>
        </w:tc>
        <w:tc>
          <w:tcPr>
            <w:tcW w:w="628" w:type="dxa"/>
          </w:tcPr>
          <w:p>
            <w:pPr>
              <w:pStyle w:val="TableParagraph"/>
              <w:spacing w:line="210" w:lineRule="exact"/>
              <w:ind w:left="11" w:right="19"/>
              <w:jc w:val="center"/>
              <w:rPr>
                <w:sz w:val="20"/>
              </w:rPr>
            </w:pPr>
            <w:r>
              <w:rPr>
                <w:spacing w:val="-10"/>
                <w:sz w:val="20"/>
              </w:rPr>
              <w:t>8</w:t>
            </w:r>
          </w:p>
        </w:tc>
        <w:tc>
          <w:tcPr>
            <w:tcW w:w="731" w:type="dxa"/>
          </w:tcPr>
          <w:p>
            <w:pPr>
              <w:pStyle w:val="TableParagraph"/>
              <w:spacing w:line="210" w:lineRule="exact"/>
              <w:ind w:left="69" w:right="23"/>
              <w:jc w:val="center"/>
              <w:rPr>
                <w:sz w:val="20"/>
              </w:rPr>
            </w:pPr>
            <w:r>
              <w:rPr>
                <w:spacing w:val="-5"/>
                <w:sz w:val="20"/>
              </w:rPr>
              <w:t>3.4</w:t>
            </w:r>
          </w:p>
        </w:tc>
        <w:tc>
          <w:tcPr>
            <w:tcW w:w="733" w:type="dxa"/>
          </w:tcPr>
          <w:p>
            <w:pPr>
              <w:pStyle w:val="TableParagraph"/>
              <w:spacing w:line="210" w:lineRule="exact"/>
              <w:ind w:right="188"/>
              <w:jc w:val="right"/>
              <w:rPr>
                <w:sz w:val="20"/>
              </w:rPr>
            </w:pPr>
            <w:r>
              <w:rPr>
                <w:spacing w:val="-5"/>
                <w:sz w:val="20"/>
              </w:rPr>
              <w:t>235</w:t>
            </w:r>
          </w:p>
        </w:tc>
        <w:tc>
          <w:tcPr>
            <w:tcW w:w="739" w:type="dxa"/>
            <w:tcBorders>
              <w:right w:val="single" w:sz="4" w:space="0" w:color="000000"/>
            </w:tcBorders>
          </w:tcPr>
          <w:p>
            <w:pPr>
              <w:pStyle w:val="TableParagraph"/>
              <w:spacing w:line="210" w:lineRule="exact"/>
              <w:ind w:left="36" w:right="36"/>
              <w:jc w:val="center"/>
              <w:rPr>
                <w:sz w:val="20"/>
              </w:rPr>
            </w:pPr>
            <w:r>
              <w:rPr>
                <w:spacing w:val="-4"/>
                <w:sz w:val="20"/>
              </w:rPr>
              <w:t>50.8</w:t>
            </w:r>
          </w:p>
        </w:tc>
      </w:tr>
      <w:tr>
        <w:trPr>
          <w:trHeight w:val="230" w:hRule="atLeast"/>
        </w:trPr>
        <w:tc>
          <w:tcPr>
            <w:tcW w:w="4148" w:type="dxa"/>
            <w:tcBorders>
              <w:left w:val="single" w:sz="4" w:space="0" w:color="000000"/>
            </w:tcBorders>
          </w:tcPr>
          <w:p>
            <w:pPr>
              <w:pStyle w:val="TableParagraph"/>
              <w:spacing w:line="210" w:lineRule="exact"/>
              <w:ind w:right="99"/>
              <w:jc w:val="right"/>
              <w:rPr>
                <w:sz w:val="20"/>
              </w:rPr>
            </w:pPr>
            <w:r>
              <w:rPr>
                <w:sz w:val="20"/>
              </w:rPr>
              <w:t>as</w:t>
            </w:r>
            <w:r>
              <w:rPr>
                <w:spacing w:val="78"/>
                <w:sz w:val="20"/>
              </w:rPr>
              <w:t> </w:t>
            </w:r>
            <w:r>
              <w:rPr>
                <w:sz w:val="20"/>
              </w:rPr>
              <w:t>decent</w:t>
            </w:r>
            <w:r>
              <w:rPr>
                <w:spacing w:val="57"/>
                <w:w w:val="150"/>
                <w:sz w:val="20"/>
              </w:rPr>
              <w:t> </w:t>
            </w:r>
            <w:r>
              <w:rPr>
                <w:sz w:val="20"/>
              </w:rPr>
              <w:t>and</w:t>
            </w:r>
            <w:r>
              <w:rPr>
                <w:spacing w:val="54"/>
                <w:w w:val="150"/>
                <w:sz w:val="20"/>
              </w:rPr>
              <w:t> </w:t>
            </w:r>
            <w:r>
              <w:rPr>
                <w:sz w:val="20"/>
              </w:rPr>
              <w:t>comfortable.</w:t>
            </w:r>
            <w:r>
              <w:rPr>
                <w:spacing w:val="56"/>
                <w:w w:val="150"/>
                <w:sz w:val="20"/>
              </w:rPr>
              <w:t> </w:t>
            </w:r>
            <w:r>
              <w:rPr>
                <w:spacing w:val="-4"/>
                <w:sz w:val="20"/>
              </w:rPr>
              <w:t>This</w:t>
            </w:r>
          </w:p>
        </w:tc>
        <w:tc>
          <w:tcPr>
            <w:tcW w:w="1978" w:type="dxa"/>
          </w:tcPr>
          <w:p>
            <w:pPr>
              <w:pStyle w:val="TableParagraph"/>
              <w:spacing w:line="210" w:lineRule="exact"/>
              <w:ind w:left="109"/>
              <w:rPr>
                <w:sz w:val="20"/>
              </w:rPr>
            </w:pPr>
            <w:r>
              <w:rPr>
                <w:sz w:val="20"/>
              </w:rPr>
              <w:t>Service</w:t>
            </w:r>
            <w:r>
              <w:rPr>
                <w:spacing w:val="-9"/>
                <w:sz w:val="20"/>
              </w:rPr>
              <w:t> </w:t>
            </w:r>
            <w:r>
              <w:rPr>
                <w:spacing w:val="-2"/>
                <w:sz w:val="20"/>
              </w:rPr>
              <w:t>Staff</w:t>
            </w:r>
          </w:p>
        </w:tc>
        <w:tc>
          <w:tcPr>
            <w:tcW w:w="703" w:type="dxa"/>
          </w:tcPr>
          <w:p>
            <w:pPr>
              <w:pStyle w:val="TableParagraph"/>
              <w:spacing w:line="210" w:lineRule="exact"/>
              <w:ind w:left="21" w:right="5"/>
              <w:jc w:val="center"/>
              <w:rPr>
                <w:sz w:val="20"/>
              </w:rPr>
            </w:pPr>
            <w:r>
              <w:rPr>
                <w:spacing w:val="-5"/>
                <w:sz w:val="20"/>
              </w:rPr>
              <w:t>76</w:t>
            </w:r>
          </w:p>
        </w:tc>
        <w:tc>
          <w:tcPr>
            <w:tcW w:w="733" w:type="dxa"/>
          </w:tcPr>
          <w:p>
            <w:pPr>
              <w:pStyle w:val="TableParagraph"/>
              <w:spacing w:line="210" w:lineRule="exact"/>
              <w:ind w:left="53" w:right="28"/>
              <w:jc w:val="center"/>
              <w:rPr>
                <w:sz w:val="20"/>
              </w:rPr>
            </w:pPr>
            <w:r>
              <w:rPr>
                <w:spacing w:val="-4"/>
                <w:sz w:val="20"/>
              </w:rPr>
              <w:t>37.4</w:t>
            </w:r>
          </w:p>
        </w:tc>
        <w:tc>
          <w:tcPr>
            <w:tcW w:w="519" w:type="dxa"/>
          </w:tcPr>
          <w:p>
            <w:pPr>
              <w:pStyle w:val="TableParagraph"/>
              <w:spacing w:line="210" w:lineRule="exact"/>
              <w:ind w:left="32" w:right="6"/>
              <w:jc w:val="center"/>
              <w:rPr>
                <w:sz w:val="20"/>
              </w:rPr>
            </w:pPr>
            <w:r>
              <w:rPr>
                <w:spacing w:val="-5"/>
                <w:sz w:val="20"/>
              </w:rPr>
              <w:t>91</w:t>
            </w:r>
          </w:p>
        </w:tc>
        <w:tc>
          <w:tcPr>
            <w:tcW w:w="817" w:type="dxa"/>
          </w:tcPr>
          <w:p>
            <w:pPr>
              <w:pStyle w:val="TableParagraph"/>
              <w:spacing w:line="210" w:lineRule="exact"/>
              <w:ind w:left="7" w:right="42"/>
              <w:jc w:val="center"/>
              <w:rPr>
                <w:sz w:val="20"/>
              </w:rPr>
            </w:pPr>
            <w:r>
              <w:rPr>
                <w:spacing w:val="-4"/>
                <w:sz w:val="20"/>
              </w:rPr>
              <w:t>44.8</w:t>
            </w:r>
          </w:p>
        </w:tc>
        <w:tc>
          <w:tcPr>
            <w:tcW w:w="632" w:type="dxa"/>
          </w:tcPr>
          <w:p>
            <w:pPr>
              <w:pStyle w:val="TableParagraph"/>
              <w:spacing w:line="210" w:lineRule="exact"/>
              <w:ind w:left="178"/>
              <w:rPr>
                <w:sz w:val="20"/>
              </w:rPr>
            </w:pPr>
            <w:r>
              <w:rPr>
                <w:spacing w:val="-5"/>
                <w:sz w:val="20"/>
              </w:rPr>
              <w:t>17</w:t>
            </w:r>
          </w:p>
        </w:tc>
        <w:tc>
          <w:tcPr>
            <w:tcW w:w="959" w:type="dxa"/>
          </w:tcPr>
          <w:p>
            <w:pPr>
              <w:pStyle w:val="TableParagraph"/>
              <w:spacing w:line="210" w:lineRule="exact"/>
              <w:ind w:left="3" w:right="4"/>
              <w:jc w:val="center"/>
              <w:rPr>
                <w:sz w:val="20"/>
              </w:rPr>
            </w:pPr>
            <w:r>
              <w:rPr>
                <w:spacing w:val="-5"/>
                <w:sz w:val="20"/>
              </w:rPr>
              <w:t>8.4</w:t>
            </w:r>
          </w:p>
        </w:tc>
        <w:tc>
          <w:tcPr>
            <w:tcW w:w="659" w:type="dxa"/>
          </w:tcPr>
          <w:p>
            <w:pPr>
              <w:pStyle w:val="TableParagraph"/>
              <w:spacing w:line="210" w:lineRule="exact"/>
              <w:ind w:left="19" w:right="6"/>
              <w:jc w:val="center"/>
              <w:rPr>
                <w:sz w:val="20"/>
              </w:rPr>
            </w:pPr>
            <w:r>
              <w:rPr>
                <w:spacing w:val="-5"/>
                <w:sz w:val="20"/>
              </w:rPr>
              <w:t>10</w:t>
            </w:r>
          </w:p>
        </w:tc>
        <w:tc>
          <w:tcPr>
            <w:tcW w:w="801" w:type="dxa"/>
          </w:tcPr>
          <w:p>
            <w:pPr>
              <w:pStyle w:val="TableParagraph"/>
              <w:spacing w:line="210" w:lineRule="exact"/>
              <w:ind w:left="5" w:right="10"/>
              <w:jc w:val="center"/>
              <w:rPr>
                <w:sz w:val="20"/>
              </w:rPr>
            </w:pPr>
            <w:r>
              <w:rPr>
                <w:spacing w:val="-5"/>
                <w:sz w:val="20"/>
              </w:rPr>
              <w:t>4.9</w:t>
            </w:r>
          </w:p>
        </w:tc>
        <w:tc>
          <w:tcPr>
            <w:tcW w:w="628" w:type="dxa"/>
          </w:tcPr>
          <w:p>
            <w:pPr>
              <w:pStyle w:val="TableParagraph"/>
              <w:spacing w:line="210" w:lineRule="exact"/>
              <w:ind w:left="11" w:right="19"/>
              <w:jc w:val="center"/>
              <w:rPr>
                <w:sz w:val="20"/>
              </w:rPr>
            </w:pPr>
            <w:r>
              <w:rPr>
                <w:spacing w:val="-10"/>
                <w:sz w:val="20"/>
              </w:rPr>
              <w:t>9</w:t>
            </w:r>
          </w:p>
        </w:tc>
        <w:tc>
          <w:tcPr>
            <w:tcW w:w="731" w:type="dxa"/>
          </w:tcPr>
          <w:p>
            <w:pPr>
              <w:pStyle w:val="TableParagraph"/>
              <w:spacing w:line="210" w:lineRule="exact"/>
              <w:ind w:left="69" w:right="23"/>
              <w:jc w:val="center"/>
              <w:rPr>
                <w:sz w:val="20"/>
              </w:rPr>
            </w:pPr>
            <w:r>
              <w:rPr>
                <w:spacing w:val="-5"/>
                <w:sz w:val="20"/>
              </w:rPr>
              <w:t>4.4</w:t>
            </w:r>
          </w:p>
        </w:tc>
        <w:tc>
          <w:tcPr>
            <w:tcW w:w="733" w:type="dxa"/>
          </w:tcPr>
          <w:p>
            <w:pPr>
              <w:pStyle w:val="TableParagraph"/>
              <w:spacing w:line="210" w:lineRule="exact"/>
              <w:ind w:right="188"/>
              <w:jc w:val="right"/>
              <w:rPr>
                <w:sz w:val="20"/>
              </w:rPr>
            </w:pPr>
            <w:r>
              <w:rPr>
                <w:spacing w:val="-5"/>
                <w:sz w:val="20"/>
              </w:rPr>
              <w:t>203</w:t>
            </w:r>
          </w:p>
        </w:tc>
        <w:tc>
          <w:tcPr>
            <w:tcW w:w="739" w:type="dxa"/>
            <w:tcBorders>
              <w:right w:val="single" w:sz="4" w:space="0" w:color="000000"/>
            </w:tcBorders>
          </w:tcPr>
          <w:p>
            <w:pPr>
              <w:pStyle w:val="TableParagraph"/>
              <w:spacing w:line="210" w:lineRule="exact"/>
              <w:ind w:left="36" w:right="36"/>
              <w:jc w:val="center"/>
              <w:rPr>
                <w:sz w:val="20"/>
              </w:rPr>
            </w:pPr>
            <w:r>
              <w:rPr>
                <w:spacing w:val="-4"/>
                <w:sz w:val="20"/>
              </w:rPr>
              <w:t>43.8</w:t>
            </w:r>
          </w:p>
        </w:tc>
      </w:tr>
      <w:tr>
        <w:trPr>
          <w:trHeight w:val="230" w:hRule="atLeast"/>
        </w:trPr>
        <w:tc>
          <w:tcPr>
            <w:tcW w:w="4148" w:type="dxa"/>
            <w:tcBorders>
              <w:left w:val="single" w:sz="4" w:space="0" w:color="000000"/>
            </w:tcBorders>
          </w:tcPr>
          <w:p>
            <w:pPr>
              <w:pStyle w:val="TableParagraph"/>
              <w:tabs>
                <w:tab w:pos="1147" w:val="left" w:leader="none"/>
                <w:tab w:pos="1718" w:val="left" w:leader="none"/>
                <w:tab w:pos="2347" w:val="left" w:leader="none"/>
              </w:tabs>
              <w:spacing w:line="210" w:lineRule="exact"/>
              <w:ind w:right="103"/>
              <w:jc w:val="right"/>
              <w:rPr>
                <w:sz w:val="20"/>
              </w:rPr>
            </w:pPr>
            <w:r>
              <w:rPr>
                <w:spacing w:val="-2"/>
                <w:sz w:val="20"/>
              </w:rPr>
              <w:t>impinges</w:t>
            </w:r>
            <w:r>
              <w:rPr>
                <w:sz w:val="20"/>
              </w:rPr>
              <w:tab/>
            </w:r>
            <w:r>
              <w:rPr>
                <w:spacing w:val="-5"/>
                <w:sz w:val="20"/>
              </w:rPr>
              <w:t>on</w:t>
            </w:r>
            <w:r>
              <w:rPr>
                <w:sz w:val="20"/>
              </w:rPr>
              <w:tab/>
            </w:r>
            <w:r>
              <w:rPr>
                <w:spacing w:val="-5"/>
                <w:sz w:val="20"/>
              </w:rPr>
              <w:t>the</w:t>
            </w:r>
            <w:r>
              <w:rPr>
                <w:sz w:val="20"/>
              </w:rPr>
              <w:tab/>
            </w:r>
            <w:r>
              <w:rPr>
                <w:spacing w:val="-2"/>
                <w:sz w:val="20"/>
              </w:rPr>
              <w:t>academic</w:t>
            </w:r>
          </w:p>
        </w:tc>
        <w:tc>
          <w:tcPr>
            <w:tcW w:w="1978" w:type="dxa"/>
          </w:tcPr>
          <w:p>
            <w:pPr>
              <w:pStyle w:val="TableParagraph"/>
              <w:spacing w:line="210" w:lineRule="exact"/>
              <w:ind w:left="109"/>
              <w:rPr>
                <w:sz w:val="20"/>
              </w:rPr>
            </w:pPr>
            <w:r>
              <w:rPr>
                <w:sz w:val="20"/>
              </w:rPr>
              <w:t>Top</w:t>
            </w:r>
            <w:r>
              <w:rPr>
                <w:spacing w:val="-1"/>
                <w:sz w:val="20"/>
              </w:rPr>
              <w:t> </w:t>
            </w:r>
            <w:r>
              <w:rPr>
                <w:spacing w:val="-2"/>
                <w:sz w:val="20"/>
              </w:rPr>
              <w:t>Management</w:t>
            </w:r>
          </w:p>
        </w:tc>
        <w:tc>
          <w:tcPr>
            <w:tcW w:w="703" w:type="dxa"/>
          </w:tcPr>
          <w:p>
            <w:pPr>
              <w:pStyle w:val="TableParagraph"/>
              <w:spacing w:line="210" w:lineRule="exact"/>
              <w:ind w:left="21" w:right="5"/>
              <w:jc w:val="center"/>
              <w:rPr>
                <w:sz w:val="20"/>
              </w:rPr>
            </w:pPr>
            <w:r>
              <w:rPr>
                <w:spacing w:val="-5"/>
                <w:sz w:val="20"/>
              </w:rPr>
              <w:t>13</w:t>
            </w:r>
          </w:p>
        </w:tc>
        <w:tc>
          <w:tcPr>
            <w:tcW w:w="733" w:type="dxa"/>
          </w:tcPr>
          <w:p>
            <w:pPr>
              <w:pStyle w:val="TableParagraph"/>
              <w:spacing w:line="210" w:lineRule="exact"/>
              <w:ind w:left="53" w:right="28"/>
              <w:jc w:val="center"/>
              <w:rPr>
                <w:sz w:val="20"/>
              </w:rPr>
            </w:pPr>
            <w:r>
              <w:rPr>
                <w:spacing w:val="-4"/>
                <w:sz w:val="20"/>
              </w:rPr>
              <w:t>56.5</w:t>
            </w:r>
          </w:p>
        </w:tc>
        <w:tc>
          <w:tcPr>
            <w:tcW w:w="519" w:type="dxa"/>
          </w:tcPr>
          <w:p>
            <w:pPr>
              <w:pStyle w:val="TableParagraph"/>
              <w:spacing w:line="210" w:lineRule="exact"/>
              <w:ind w:left="32" w:right="2"/>
              <w:jc w:val="center"/>
              <w:rPr>
                <w:sz w:val="20"/>
              </w:rPr>
            </w:pPr>
            <w:r>
              <w:rPr>
                <w:spacing w:val="-10"/>
                <w:sz w:val="20"/>
              </w:rPr>
              <w:t>6</w:t>
            </w:r>
          </w:p>
        </w:tc>
        <w:tc>
          <w:tcPr>
            <w:tcW w:w="817" w:type="dxa"/>
          </w:tcPr>
          <w:p>
            <w:pPr>
              <w:pStyle w:val="TableParagraph"/>
              <w:spacing w:line="210" w:lineRule="exact"/>
              <w:ind w:left="7" w:right="42"/>
              <w:jc w:val="center"/>
              <w:rPr>
                <w:sz w:val="20"/>
              </w:rPr>
            </w:pPr>
            <w:r>
              <w:rPr>
                <w:spacing w:val="-4"/>
                <w:sz w:val="20"/>
              </w:rPr>
              <w:t>26.1</w:t>
            </w:r>
          </w:p>
        </w:tc>
        <w:tc>
          <w:tcPr>
            <w:tcW w:w="632" w:type="dxa"/>
          </w:tcPr>
          <w:p>
            <w:pPr>
              <w:pStyle w:val="TableParagraph"/>
              <w:spacing w:line="210" w:lineRule="exact"/>
              <w:ind w:left="236"/>
              <w:rPr>
                <w:sz w:val="20"/>
              </w:rPr>
            </w:pPr>
            <w:r>
              <w:rPr>
                <w:spacing w:val="-10"/>
                <w:sz w:val="20"/>
              </w:rPr>
              <w:t>3</w:t>
            </w:r>
          </w:p>
        </w:tc>
        <w:tc>
          <w:tcPr>
            <w:tcW w:w="959" w:type="dxa"/>
          </w:tcPr>
          <w:p>
            <w:pPr>
              <w:pStyle w:val="TableParagraph"/>
              <w:spacing w:line="210" w:lineRule="exact"/>
              <w:ind w:left="4" w:right="1"/>
              <w:jc w:val="center"/>
              <w:rPr>
                <w:sz w:val="20"/>
              </w:rPr>
            </w:pPr>
            <w:r>
              <w:rPr>
                <w:spacing w:val="-4"/>
                <w:sz w:val="20"/>
              </w:rPr>
              <w:t>13.0</w:t>
            </w:r>
          </w:p>
        </w:tc>
        <w:tc>
          <w:tcPr>
            <w:tcW w:w="659" w:type="dxa"/>
          </w:tcPr>
          <w:p>
            <w:pPr>
              <w:pStyle w:val="TableParagraph"/>
              <w:spacing w:line="210" w:lineRule="exact"/>
              <w:ind w:left="19" w:right="2"/>
              <w:jc w:val="center"/>
              <w:rPr>
                <w:sz w:val="20"/>
              </w:rPr>
            </w:pPr>
            <w:r>
              <w:rPr>
                <w:spacing w:val="-10"/>
                <w:sz w:val="20"/>
              </w:rPr>
              <w:t>1</w:t>
            </w:r>
          </w:p>
        </w:tc>
        <w:tc>
          <w:tcPr>
            <w:tcW w:w="801" w:type="dxa"/>
          </w:tcPr>
          <w:p>
            <w:pPr>
              <w:pStyle w:val="TableParagraph"/>
              <w:spacing w:line="210" w:lineRule="exact"/>
              <w:ind w:left="5" w:right="10"/>
              <w:jc w:val="center"/>
              <w:rPr>
                <w:sz w:val="20"/>
              </w:rPr>
            </w:pPr>
            <w:r>
              <w:rPr>
                <w:spacing w:val="-5"/>
                <w:sz w:val="20"/>
              </w:rPr>
              <w:t>4.3</w:t>
            </w:r>
          </w:p>
        </w:tc>
        <w:tc>
          <w:tcPr>
            <w:tcW w:w="628" w:type="dxa"/>
          </w:tcPr>
          <w:p>
            <w:pPr>
              <w:pStyle w:val="TableParagraph"/>
              <w:spacing w:line="210" w:lineRule="exact"/>
              <w:ind w:left="8" w:right="23"/>
              <w:jc w:val="center"/>
              <w:rPr>
                <w:sz w:val="20"/>
              </w:rPr>
            </w:pPr>
            <w:r>
              <w:rPr>
                <w:spacing w:val="-10"/>
                <w:sz w:val="20"/>
              </w:rPr>
              <w:t>-</w:t>
            </w:r>
          </w:p>
        </w:tc>
        <w:tc>
          <w:tcPr>
            <w:tcW w:w="731" w:type="dxa"/>
          </w:tcPr>
          <w:p>
            <w:pPr>
              <w:pStyle w:val="TableParagraph"/>
              <w:spacing w:line="210" w:lineRule="exact"/>
              <w:ind w:left="69" w:right="25"/>
              <w:jc w:val="center"/>
              <w:rPr>
                <w:sz w:val="20"/>
              </w:rPr>
            </w:pPr>
            <w:r>
              <w:rPr>
                <w:spacing w:val="-10"/>
                <w:sz w:val="20"/>
              </w:rPr>
              <w:t>-</w:t>
            </w:r>
          </w:p>
        </w:tc>
        <w:tc>
          <w:tcPr>
            <w:tcW w:w="733" w:type="dxa"/>
          </w:tcPr>
          <w:p>
            <w:pPr>
              <w:pStyle w:val="TableParagraph"/>
              <w:spacing w:line="210" w:lineRule="exact"/>
              <w:ind w:right="241"/>
              <w:jc w:val="right"/>
              <w:rPr>
                <w:sz w:val="20"/>
              </w:rPr>
            </w:pPr>
            <w:r>
              <w:rPr>
                <w:spacing w:val="-5"/>
                <w:sz w:val="20"/>
              </w:rPr>
              <w:t>23</w:t>
            </w:r>
          </w:p>
        </w:tc>
        <w:tc>
          <w:tcPr>
            <w:tcW w:w="739" w:type="dxa"/>
            <w:tcBorders>
              <w:right w:val="single" w:sz="4" w:space="0" w:color="000000"/>
            </w:tcBorders>
          </w:tcPr>
          <w:p>
            <w:pPr>
              <w:pStyle w:val="TableParagraph"/>
              <w:spacing w:line="210" w:lineRule="exact"/>
              <w:ind w:left="36" w:right="38"/>
              <w:jc w:val="center"/>
              <w:rPr>
                <w:sz w:val="20"/>
              </w:rPr>
            </w:pPr>
            <w:r>
              <w:rPr>
                <w:spacing w:val="-5"/>
                <w:sz w:val="20"/>
              </w:rPr>
              <w:t>5.0</w:t>
            </w:r>
          </w:p>
        </w:tc>
      </w:tr>
      <w:tr>
        <w:trPr>
          <w:trHeight w:val="230" w:hRule="atLeast"/>
        </w:trPr>
        <w:tc>
          <w:tcPr>
            <w:tcW w:w="4148" w:type="dxa"/>
            <w:tcBorders>
              <w:left w:val="single" w:sz="4" w:space="0" w:color="000000"/>
            </w:tcBorders>
          </w:tcPr>
          <w:p>
            <w:pPr>
              <w:pStyle w:val="TableParagraph"/>
              <w:tabs>
                <w:tab w:pos="1747" w:val="left" w:leader="none"/>
                <w:tab w:pos="2697" w:val="left" w:leader="none"/>
              </w:tabs>
              <w:spacing w:line="210" w:lineRule="exact"/>
              <w:ind w:right="106"/>
              <w:jc w:val="right"/>
              <w:rPr>
                <w:sz w:val="20"/>
              </w:rPr>
            </w:pPr>
            <w:r>
              <w:rPr>
                <w:spacing w:val="-2"/>
                <w:sz w:val="20"/>
              </w:rPr>
              <w:t>performance</w:t>
            </w:r>
            <w:r>
              <w:rPr>
                <w:sz w:val="20"/>
              </w:rPr>
              <w:tab/>
            </w:r>
            <w:r>
              <w:rPr>
                <w:spacing w:val="-5"/>
                <w:sz w:val="20"/>
              </w:rPr>
              <w:t>and</w:t>
            </w:r>
            <w:r>
              <w:rPr>
                <w:sz w:val="20"/>
              </w:rPr>
              <w:tab/>
            </w:r>
            <w:r>
              <w:rPr>
                <w:spacing w:val="-2"/>
                <w:sz w:val="20"/>
              </w:rPr>
              <w:t>social</w:t>
            </w:r>
          </w:p>
        </w:tc>
        <w:tc>
          <w:tcPr>
            <w:tcW w:w="1978" w:type="dxa"/>
          </w:tcPr>
          <w:p>
            <w:pPr>
              <w:pStyle w:val="TableParagraph"/>
              <w:rPr>
                <w:rFonts w:ascii="Times New Roman"/>
                <w:sz w:val="16"/>
              </w:rPr>
            </w:pPr>
          </w:p>
        </w:tc>
        <w:tc>
          <w:tcPr>
            <w:tcW w:w="703" w:type="dxa"/>
          </w:tcPr>
          <w:p>
            <w:pPr>
              <w:pStyle w:val="TableParagraph"/>
              <w:rPr>
                <w:rFonts w:ascii="Times New Roman"/>
                <w:sz w:val="16"/>
              </w:rPr>
            </w:pPr>
          </w:p>
        </w:tc>
        <w:tc>
          <w:tcPr>
            <w:tcW w:w="733" w:type="dxa"/>
          </w:tcPr>
          <w:p>
            <w:pPr>
              <w:pStyle w:val="TableParagraph"/>
              <w:rPr>
                <w:rFonts w:ascii="Times New Roman"/>
                <w:sz w:val="16"/>
              </w:rPr>
            </w:pPr>
          </w:p>
        </w:tc>
        <w:tc>
          <w:tcPr>
            <w:tcW w:w="519" w:type="dxa"/>
          </w:tcPr>
          <w:p>
            <w:pPr>
              <w:pStyle w:val="TableParagraph"/>
              <w:rPr>
                <w:rFonts w:ascii="Times New Roman"/>
                <w:sz w:val="16"/>
              </w:rPr>
            </w:pPr>
          </w:p>
        </w:tc>
        <w:tc>
          <w:tcPr>
            <w:tcW w:w="817" w:type="dxa"/>
          </w:tcPr>
          <w:p>
            <w:pPr>
              <w:pStyle w:val="TableParagraph"/>
              <w:rPr>
                <w:rFonts w:ascii="Times New Roman"/>
                <w:sz w:val="16"/>
              </w:rPr>
            </w:pPr>
          </w:p>
        </w:tc>
        <w:tc>
          <w:tcPr>
            <w:tcW w:w="632" w:type="dxa"/>
          </w:tcPr>
          <w:p>
            <w:pPr>
              <w:pStyle w:val="TableParagraph"/>
              <w:rPr>
                <w:rFonts w:ascii="Times New Roman"/>
                <w:sz w:val="16"/>
              </w:rPr>
            </w:pPr>
          </w:p>
        </w:tc>
        <w:tc>
          <w:tcPr>
            <w:tcW w:w="959" w:type="dxa"/>
          </w:tcPr>
          <w:p>
            <w:pPr>
              <w:pStyle w:val="TableParagraph"/>
              <w:rPr>
                <w:rFonts w:ascii="Times New Roman"/>
                <w:sz w:val="16"/>
              </w:rPr>
            </w:pPr>
          </w:p>
        </w:tc>
        <w:tc>
          <w:tcPr>
            <w:tcW w:w="659" w:type="dxa"/>
          </w:tcPr>
          <w:p>
            <w:pPr>
              <w:pStyle w:val="TableParagraph"/>
              <w:rPr>
                <w:rFonts w:ascii="Times New Roman"/>
                <w:sz w:val="16"/>
              </w:rPr>
            </w:pPr>
          </w:p>
        </w:tc>
        <w:tc>
          <w:tcPr>
            <w:tcW w:w="801" w:type="dxa"/>
          </w:tcPr>
          <w:p>
            <w:pPr>
              <w:pStyle w:val="TableParagraph"/>
              <w:rPr>
                <w:rFonts w:ascii="Times New Roman"/>
                <w:sz w:val="16"/>
              </w:rPr>
            </w:pPr>
          </w:p>
        </w:tc>
        <w:tc>
          <w:tcPr>
            <w:tcW w:w="628" w:type="dxa"/>
          </w:tcPr>
          <w:p>
            <w:pPr>
              <w:pStyle w:val="TableParagraph"/>
              <w:rPr>
                <w:rFonts w:ascii="Times New Roman"/>
                <w:sz w:val="16"/>
              </w:rPr>
            </w:pPr>
          </w:p>
        </w:tc>
        <w:tc>
          <w:tcPr>
            <w:tcW w:w="731" w:type="dxa"/>
          </w:tcPr>
          <w:p>
            <w:pPr>
              <w:pStyle w:val="TableParagraph"/>
              <w:rPr>
                <w:rFonts w:ascii="Times New Roman"/>
                <w:sz w:val="16"/>
              </w:rPr>
            </w:pPr>
          </w:p>
        </w:tc>
        <w:tc>
          <w:tcPr>
            <w:tcW w:w="733"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90" w:hRule="atLeast"/>
        </w:trPr>
        <w:tc>
          <w:tcPr>
            <w:tcW w:w="4148" w:type="dxa"/>
            <w:tcBorders>
              <w:left w:val="single" w:sz="4" w:space="0" w:color="000000"/>
            </w:tcBorders>
          </w:tcPr>
          <w:p>
            <w:pPr>
              <w:pStyle w:val="TableParagraph"/>
              <w:spacing w:line="227" w:lineRule="exact"/>
              <w:ind w:left="830"/>
              <w:rPr>
                <w:sz w:val="20"/>
              </w:rPr>
            </w:pPr>
            <w:r>
              <w:rPr>
                <w:sz w:val="20"/>
              </w:rPr>
              <w:t>potentialities</w:t>
            </w:r>
            <w:r>
              <w:rPr>
                <w:spacing w:val="-10"/>
                <w:sz w:val="20"/>
              </w:rPr>
              <w:t> </w:t>
            </w:r>
            <w:r>
              <w:rPr>
                <w:sz w:val="20"/>
              </w:rPr>
              <w:t>of</w:t>
            </w:r>
            <w:r>
              <w:rPr>
                <w:spacing w:val="-4"/>
                <w:sz w:val="20"/>
              </w:rPr>
              <w:t> </w:t>
            </w:r>
            <w:r>
              <w:rPr>
                <w:spacing w:val="-2"/>
                <w:sz w:val="20"/>
              </w:rPr>
              <w:t>students</w:t>
            </w:r>
          </w:p>
        </w:tc>
        <w:tc>
          <w:tcPr>
            <w:tcW w:w="1978" w:type="dxa"/>
          </w:tcPr>
          <w:p>
            <w:pPr>
              <w:pStyle w:val="TableParagraph"/>
              <w:rPr>
                <w:rFonts w:ascii="Times New Roman"/>
                <w:sz w:val="20"/>
              </w:rPr>
            </w:pPr>
          </w:p>
        </w:tc>
        <w:tc>
          <w:tcPr>
            <w:tcW w:w="703" w:type="dxa"/>
          </w:tcPr>
          <w:p>
            <w:pPr>
              <w:pStyle w:val="TableParagraph"/>
              <w:rPr>
                <w:rFonts w:ascii="Times New Roman"/>
                <w:sz w:val="20"/>
              </w:rPr>
            </w:pPr>
          </w:p>
        </w:tc>
        <w:tc>
          <w:tcPr>
            <w:tcW w:w="733" w:type="dxa"/>
          </w:tcPr>
          <w:p>
            <w:pPr>
              <w:pStyle w:val="TableParagraph"/>
              <w:rPr>
                <w:rFonts w:ascii="Times New Roman"/>
                <w:sz w:val="20"/>
              </w:rPr>
            </w:pPr>
          </w:p>
        </w:tc>
        <w:tc>
          <w:tcPr>
            <w:tcW w:w="519" w:type="dxa"/>
          </w:tcPr>
          <w:p>
            <w:pPr>
              <w:pStyle w:val="TableParagraph"/>
              <w:rPr>
                <w:rFonts w:ascii="Times New Roman"/>
                <w:sz w:val="20"/>
              </w:rPr>
            </w:pPr>
          </w:p>
        </w:tc>
        <w:tc>
          <w:tcPr>
            <w:tcW w:w="817" w:type="dxa"/>
          </w:tcPr>
          <w:p>
            <w:pPr>
              <w:pStyle w:val="TableParagraph"/>
              <w:rPr>
                <w:rFonts w:ascii="Times New Roman"/>
                <w:sz w:val="20"/>
              </w:rPr>
            </w:pPr>
          </w:p>
        </w:tc>
        <w:tc>
          <w:tcPr>
            <w:tcW w:w="632" w:type="dxa"/>
          </w:tcPr>
          <w:p>
            <w:pPr>
              <w:pStyle w:val="TableParagraph"/>
              <w:rPr>
                <w:rFonts w:ascii="Times New Roman"/>
                <w:sz w:val="20"/>
              </w:rPr>
            </w:pPr>
          </w:p>
        </w:tc>
        <w:tc>
          <w:tcPr>
            <w:tcW w:w="959" w:type="dxa"/>
          </w:tcPr>
          <w:p>
            <w:pPr>
              <w:pStyle w:val="TableParagraph"/>
              <w:rPr>
                <w:rFonts w:ascii="Times New Roman"/>
                <w:sz w:val="20"/>
              </w:rPr>
            </w:pPr>
          </w:p>
        </w:tc>
        <w:tc>
          <w:tcPr>
            <w:tcW w:w="659" w:type="dxa"/>
          </w:tcPr>
          <w:p>
            <w:pPr>
              <w:pStyle w:val="TableParagraph"/>
              <w:rPr>
                <w:rFonts w:ascii="Times New Roman"/>
                <w:sz w:val="20"/>
              </w:rPr>
            </w:pPr>
          </w:p>
        </w:tc>
        <w:tc>
          <w:tcPr>
            <w:tcW w:w="801" w:type="dxa"/>
          </w:tcPr>
          <w:p>
            <w:pPr>
              <w:pStyle w:val="TableParagraph"/>
              <w:rPr>
                <w:rFonts w:ascii="Times New Roman"/>
                <w:sz w:val="20"/>
              </w:rPr>
            </w:pPr>
          </w:p>
        </w:tc>
        <w:tc>
          <w:tcPr>
            <w:tcW w:w="628" w:type="dxa"/>
          </w:tcPr>
          <w:p>
            <w:pPr>
              <w:pStyle w:val="TableParagraph"/>
              <w:rPr>
                <w:rFonts w:ascii="Times New Roman"/>
                <w:sz w:val="20"/>
              </w:rPr>
            </w:pPr>
          </w:p>
        </w:tc>
        <w:tc>
          <w:tcPr>
            <w:tcW w:w="731" w:type="dxa"/>
          </w:tcPr>
          <w:p>
            <w:pPr>
              <w:pStyle w:val="TableParagraph"/>
              <w:rPr>
                <w:rFonts w:ascii="Times New Roman"/>
                <w:sz w:val="20"/>
              </w:rPr>
            </w:pPr>
          </w:p>
        </w:tc>
        <w:tc>
          <w:tcPr>
            <w:tcW w:w="733" w:type="dxa"/>
          </w:tcPr>
          <w:p>
            <w:pPr>
              <w:pStyle w:val="TableParagraph"/>
              <w:rPr>
                <w:rFonts w:ascii="Times New Roman"/>
                <w:sz w:val="20"/>
              </w:rPr>
            </w:pPr>
          </w:p>
        </w:tc>
        <w:tc>
          <w:tcPr>
            <w:tcW w:w="739" w:type="dxa"/>
            <w:tcBorders>
              <w:right w:val="single" w:sz="4" w:space="0" w:color="000000"/>
            </w:tcBorders>
          </w:tcPr>
          <w:p>
            <w:pPr>
              <w:pStyle w:val="TableParagraph"/>
              <w:rPr>
                <w:rFonts w:ascii="Times New Roman"/>
                <w:sz w:val="20"/>
              </w:rPr>
            </w:pPr>
          </w:p>
        </w:tc>
      </w:tr>
      <w:tr>
        <w:trPr>
          <w:trHeight w:val="290" w:hRule="atLeast"/>
        </w:trPr>
        <w:tc>
          <w:tcPr>
            <w:tcW w:w="4148" w:type="dxa"/>
            <w:tcBorders>
              <w:left w:val="single" w:sz="4" w:space="0" w:color="000000"/>
            </w:tcBorders>
          </w:tcPr>
          <w:p>
            <w:pPr>
              <w:pStyle w:val="TableParagraph"/>
              <w:tabs>
                <w:tab w:pos="609" w:val="left" w:leader="none"/>
              </w:tabs>
              <w:spacing w:line="213" w:lineRule="exact" w:before="57"/>
              <w:ind w:right="104"/>
              <w:jc w:val="right"/>
              <w:rPr>
                <w:sz w:val="20"/>
              </w:rPr>
            </w:pPr>
            <w:r>
              <w:rPr>
                <w:spacing w:val="-5"/>
                <w:sz w:val="20"/>
              </w:rPr>
              <w:t>39.</w:t>
            </w:r>
            <w:r>
              <w:rPr>
                <w:sz w:val="20"/>
              </w:rPr>
              <w:tab/>
              <w:t>The</w:t>
            </w:r>
            <w:r>
              <w:rPr>
                <w:spacing w:val="-2"/>
                <w:sz w:val="20"/>
              </w:rPr>
              <w:t> </w:t>
            </w:r>
            <w:r>
              <w:rPr>
                <w:sz w:val="20"/>
              </w:rPr>
              <w:t>facilities provided</w:t>
            </w:r>
            <w:r>
              <w:rPr>
                <w:spacing w:val="2"/>
                <w:sz w:val="20"/>
              </w:rPr>
              <w:t> </w:t>
            </w:r>
            <w:r>
              <w:rPr>
                <w:sz w:val="20"/>
              </w:rPr>
              <w:t>in</w:t>
            </w:r>
            <w:r>
              <w:rPr>
                <w:spacing w:val="3"/>
                <w:sz w:val="20"/>
              </w:rPr>
              <w:t> </w:t>
            </w:r>
            <w:r>
              <w:rPr>
                <w:sz w:val="20"/>
              </w:rPr>
              <w:t>the</w:t>
            </w:r>
            <w:r>
              <w:rPr>
                <w:spacing w:val="3"/>
                <w:sz w:val="20"/>
              </w:rPr>
              <w:t> </w:t>
            </w:r>
            <w:r>
              <w:rPr>
                <w:spacing w:val="-2"/>
                <w:sz w:val="20"/>
              </w:rPr>
              <w:t>hostels</w:t>
            </w:r>
          </w:p>
        </w:tc>
        <w:tc>
          <w:tcPr>
            <w:tcW w:w="1978" w:type="dxa"/>
          </w:tcPr>
          <w:p>
            <w:pPr>
              <w:pStyle w:val="TableParagraph"/>
              <w:spacing w:line="213" w:lineRule="exact" w:before="57"/>
              <w:ind w:left="109"/>
              <w:rPr>
                <w:sz w:val="20"/>
              </w:rPr>
            </w:pPr>
            <w:r>
              <w:rPr>
                <w:sz w:val="20"/>
              </w:rPr>
              <w:t>No.</w:t>
            </w:r>
            <w:r>
              <w:rPr>
                <w:spacing w:val="-5"/>
                <w:sz w:val="20"/>
              </w:rPr>
              <w:t> </w:t>
            </w:r>
            <w:r>
              <w:rPr>
                <w:sz w:val="20"/>
              </w:rPr>
              <w:t>of</w:t>
            </w:r>
            <w:r>
              <w:rPr>
                <w:spacing w:val="-2"/>
                <w:sz w:val="20"/>
              </w:rPr>
              <w:t> missing</w:t>
            </w:r>
          </w:p>
        </w:tc>
        <w:tc>
          <w:tcPr>
            <w:tcW w:w="703" w:type="dxa"/>
          </w:tcPr>
          <w:p>
            <w:pPr>
              <w:pStyle w:val="TableParagraph"/>
              <w:rPr>
                <w:rFonts w:ascii="Times New Roman"/>
                <w:sz w:val="20"/>
              </w:rPr>
            </w:pPr>
          </w:p>
        </w:tc>
        <w:tc>
          <w:tcPr>
            <w:tcW w:w="733" w:type="dxa"/>
          </w:tcPr>
          <w:p>
            <w:pPr>
              <w:pStyle w:val="TableParagraph"/>
              <w:rPr>
                <w:rFonts w:ascii="Times New Roman"/>
                <w:sz w:val="20"/>
              </w:rPr>
            </w:pPr>
          </w:p>
        </w:tc>
        <w:tc>
          <w:tcPr>
            <w:tcW w:w="519" w:type="dxa"/>
          </w:tcPr>
          <w:p>
            <w:pPr>
              <w:pStyle w:val="TableParagraph"/>
              <w:rPr>
                <w:rFonts w:ascii="Times New Roman"/>
                <w:sz w:val="20"/>
              </w:rPr>
            </w:pPr>
          </w:p>
        </w:tc>
        <w:tc>
          <w:tcPr>
            <w:tcW w:w="817" w:type="dxa"/>
          </w:tcPr>
          <w:p>
            <w:pPr>
              <w:pStyle w:val="TableParagraph"/>
              <w:rPr>
                <w:rFonts w:ascii="Times New Roman"/>
                <w:sz w:val="20"/>
              </w:rPr>
            </w:pPr>
          </w:p>
        </w:tc>
        <w:tc>
          <w:tcPr>
            <w:tcW w:w="632" w:type="dxa"/>
          </w:tcPr>
          <w:p>
            <w:pPr>
              <w:pStyle w:val="TableParagraph"/>
              <w:rPr>
                <w:rFonts w:ascii="Times New Roman"/>
                <w:sz w:val="20"/>
              </w:rPr>
            </w:pPr>
          </w:p>
        </w:tc>
        <w:tc>
          <w:tcPr>
            <w:tcW w:w="959" w:type="dxa"/>
          </w:tcPr>
          <w:p>
            <w:pPr>
              <w:pStyle w:val="TableParagraph"/>
              <w:rPr>
                <w:rFonts w:ascii="Times New Roman"/>
                <w:sz w:val="20"/>
              </w:rPr>
            </w:pPr>
          </w:p>
        </w:tc>
        <w:tc>
          <w:tcPr>
            <w:tcW w:w="659" w:type="dxa"/>
          </w:tcPr>
          <w:p>
            <w:pPr>
              <w:pStyle w:val="TableParagraph"/>
              <w:rPr>
                <w:rFonts w:ascii="Times New Roman"/>
                <w:sz w:val="20"/>
              </w:rPr>
            </w:pPr>
          </w:p>
        </w:tc>
        <w:tc>
          <w:tcPr>
            <w:tcW w:w="801" w:type="dxa"/>
          </w:tcPr>
          <w:p>
            <w:pPr>
              <w:pStyle w:val="TableParagraph"/>
              <w:rPr>
                <w:rFonts w:ascii="Times New Roman"/>
                <w:sz w:val="20"/>
              </w:rPr>
            </w:pPr>
          </w:p>
        </w:tc>
        <w:tc>
          <w:tcPr>
            <w:tcW w:w="628" w:type="dxa"/>
          </w:tcPr>
          <w:p>
            <w:pPr>
              <w:pStyle w:val="TableParagraph"/>
              <w:rPr>
                <w:rFonts w:ascii="Times New Roman"/>
                <w:sz w:val="20"/>
              </w:rPr>
            </w:pPr>
          </w:p>
        </w:tc>
        <w:tc>
          <w:tcPr>
            <w:tcW w:w="731" w:type="dxa"/>
          </w:tcPr>
          <w:p>
            <w:pPr>
              <w:pStyle w:val="TableParagraph"/>
              <w:rPr>
                <w:rFonts w:ascii="Times New Roman"/>
                <w:sz w:val="20"/>
              </w:rPr>
            </w:pPr>
          </w:p>
        </w:tc>
        <w:tc>
          <w:tcPr>
            <w:tcW w:w="733" w:type="dxa"/>
          </w:tcPr>
          <w:p>
            <w:pPr>
              <w:pStyle w:val="TableParagraph"/>
              <w:rPr>
                <w:rFonts w:ascii="Times New Roman"/>
                <w:sz w:val="20"/>
              </w:rPr>
            </w:pPr>
          </w:p>
        </w:tc>
        <w:tc>
          <w:tcPr>
            <w:tcW w:w="739" w:type="dxa"/>
            <w:tcBorders>
              <w:right w:val="single" w:sz="4" w:space="0" w:color="000000"/>
            </w:tcBorders>
          </w:tcPr>
          <w:p>
            <w:pPr>
              <w:pStyle w:val="TableParagraph"/>
              <w:rPr>
                <w:rFonts w:ascii="Times New Roman"/>
                <w:sz w:val="20"/>
              </w:rPr>
            </w:pPr>
          </w:p>
        </w:tc>
      </w:tr>
      <w:tr>
        <w:trPr>
          <w:trHeight w:val="230" w:hRule="atLeast"/>
        </w:trPr>
        <w:tc>
          <w:tcPr>
            <w:tcW w:w="4148" w:type="dxa"/>
            <w:tcBorders>
              <w:left w:val="single" w:sz="4" w:space="0" w:color="000000"/>
            </w:tcBorders>
          </w:tcPr>
          <w:p>
            <w:pPr>
              <w:pStyle w:val="TableParagraph"/>
              <w:spacing w:line="210" w:lineRule="exact"/>
              <w:ind w:right="101"/>
              <w:jc w:val="right"/>
              <w:rPr>
                <w:sz w:val="20"/>
              </w:rPr>
            </w:pPr>
            <w:r>
              <w:rPr>
                <w:sz w:val="20"/>
              </w:rPr>
              <w:t>are</w:t>
            </w:r>
            <w:r>
              <w:rPr>
                <w:spacing w:val="19"/>
                <w:sz w:val="20"/>
              </w:rPr>
              <w:t> </w:t>
            </w:r>
            <w:r>
              <w:rPr>
                <w:sz w:val="20"/>
              </w:rPr>
              <w:t>grossly</w:t>
            </w:r>
            <w:r>
              <w:rPr>
                <w:spacing w:val="21"/>
                <w:sz w:val="20"/>
              </w:rPr>
              <w:t> </w:t>
            </w:r>
            <w:r>
              <w:rPr>
                <w:sz w:val="20"/>
              </w:rPr>
              <w:t>inadequate</w:t>
            </w:r>
            <w:r>
              <w:rPr>
                <w:spacing w:val="19"/>
                <w:sz w:val="20"/>
              </w:rPr>
              <w:t> </w:t>
            </w:r>
            <w:r>
              <w:rPr>
                <w:sz w:val="20"/>
              </w:rPr>
              <w:t>to</w:t>
            </w:r>
            <w:r>
              <w:rPr>
                <w:spacing w:val="15"/>
                <w:sz w:val="20"/>
              </w:rPr>
              <w:t> </w:t>
            </w:r>
            <w:r>
              <w:rPr>
                <w:sz w:val="20"/>
              </w:rPr>
              <w:t>meet</w:t>
            </w:r>
            <w:r>
              <w:rPr>
                <w:spacing w:val="19"/>
                <w:sz w:val="20"/>
              </w:rPr>
              <w:t> </w:t>
            </w:r>
            <w:r>
              <w:rPr>
                <w:spacing w:val="-5"/>
                <w:sz w:val="20"/>
              </w:rPr>
              <w:t>the</w:t>
            </w:r>
          </w:p>
        </w:tc>
        <w:tc>
          <w:tcPr>
            <w:tcW w:w="1978" w:type="dxa"/>
          </w:tcPr>
          <w:p>
            <w:pPr>
              <w:pStyle w:val="TableParagraph"/>
              <w:spacing w:line="210" w:lineRule="exact"/>
              <w:ind w:left="109"/>
              <w:rPr>
                <w:sz w:val="20"/>
              </w:rPr>
            </w:pPr>
            <w:r>
              <w:rPr>
                <w:spacing w:val="-2"/>
                <w:sz w:val="20"/>
              </w:rPr>
              <w:t>observations</w:t>
            </w:r>
          </w:p>
        </w:tc>
        <w:tc>
          <w:tcPr>
            <w:tcW w:w="703" w:type="dxa"/>
          </w:tcPr>
          <w:p>
            <w:pPr>
              <w:pStyle w:val="TableParagraph"/>
              <w:spacing w:line="210" w:lineRule="exact"/>
              <w:ind w:left="21"/>
              <w:jc w:val="center"/>
              <w:rPr>
                <w:sz w:val="20"/>
              </w:rPr>
            </w:pPr>
            <w:r>
              <w:rPr>
                <w:spacing w:val="-10"/>
                <w:sz w:val="20"/>
              </w:rPr>
              <w:t>1</w:t>
            </w:r>
          </w:p>
        </w:tc>
        <w:tc>
          <w:tcPr>
            <w:tcW w:w="733" w:type="dxa"/>
          </w:tcPr>
          <w:p>
            <w:pPr>
              <w:pStyle w:val="TableParagraph"/>
              <w:spacing w:line="210" w:lineRule="exact"/>
              <w:ind w:left="53" w:right="28"/>
              <w:jc w:val="center"/>
              <w:rPr>
                <w:sz w:val="20"/>
              </w:rPr>
            </w:pPr>
            <w:r>
              <w:rPr>
                <w:spacing w:val="-4"/>
                <w:sz w:val="20"/>
              </w:rPr>
              <w:t>50.0</w:t>
            </w:r>
          </w:p>
        </w:tc>
        <w:tc>
          <w:tcPr>
            <w:tcW w:w="519" w:type="dxa"/>
          </w:tcPr>
          <w:p>
            <w:pPr>
              <w:pStyle w:val="TableParagraph"/>
              <w:spacing w:line="210" w:lineRule="exact"/>
              <w:ind w:left="32" w:right="8"/>
              <w:jc w:val="center"/>
              <w:rPr>
                <w:sz w:val="20"/>
              </w:rPr>
            </w:pPr>
            <w:r>
              <w:rPr>
                <w:spacing w:val="-10"/>
                <w:sz w:val="20"/>
              </w:rPr>
              <w:t>-</w:t>
            </w:r>
          </w:p>
        </w:tc>
        <w:tc>
          <w:tcPr>
            <w:tcW w:w="817" w:type="dxa"/>
          </w:tcPr>
          <w:p>
            <w:pPr>
              <w:pStyle w:val="TableParagraph"/>
              <w:spacing w:line="210" w:lineRule="exact"/>
              <w:ind w:right="42"/>
              <w:jc w:val="center"/>
              <w:rPr>
                <w:sz w:val="20"/>
              </w:rPr>
            </w:pPr>
            <w:r>
              <w:rPr>
                <w:spacing w:val="-10"/>
                <w:sz w:val="20"/>
              </w:rPr>
              <w:t>-</w:t>
            </w:r>
          </w:p>
        </w:tc>
        <w:tc>
          <w:tcPr>
            <w:tcW w:w="632" w:type="dxa"/>
          </w:tcPr>
          <w:p>
            <w:pPr>
              <w:pStyle w:val="TableParagraph"/>
              <w:spacing w:line="210" w:lineRule="exact"/>
              <w:ind w:left="236"/>
              <w:rPr>
                <w:sz w:val="20"/>
              </w:rPr>
            </w:pPr>
            <w:r>
              <w:rPr>
                <w:spacing w:val="-10"/>
                <w:sz w:val="20"/>
              </w:rPr>
              <w:t>1</w:t>
            </w:r>
          </w:p>
        </w:tc>
        <w:tc>
          <w:tcPr>
            <w:tcW w:w="959" w:type="dxa"/>
          </w:tcPr>
          <w:p>
            <w:pPr>
              <w:pStyle w:val="TableParagraph"/>
              <w:spacing w:line="210" w:lineRule="exact"/>
              <w:ind w:left="4" w:right="1"/>
              <w:jc w:val="center"/>
              <w:rPr>
                <w:sz w:val="20"/>
              </w:rPr>
            </w:pPr>
            <w:r>
              <w:rPr>
                <w:spacing w:val="-4"/>
                <w:sz w:val="20"/>
              </w:rPr>
              <w:t>50.0</w:t>
            </w:r>
          </w:p>
        </w:tc>
        <w:tc>
          <w:tcPr>
            <w:tcW w:w="659" w:type="dxa"/>
          </w:tcPr>
          <w:p>
            <w:pPr>
              <w:pStyle w:val="TableParagraph"/>
              <w:spacing w:line="210" w:lineRule="exact"/>
              <w:ind w:left="19" w:right="8"/>
              <w:jc w:val="center"/>
              <w:rPr>
                <w:sz w:val="20"/>
              </w:rPr>
            </w:pPr>
            <w:r>
              <w:rPr>
                <w:spacing w:val="-10"/>
                <w:sz w:val="20"/>
              </w:rPr>
              <w:t>-</w:t>
            </w:r>
          </w:p>
        </w:tc>
        <w:tc>
          <w:tcPr>
            <w:tcW w:w="801" w:type="dxa"/>
          </w:tcPr>
          <w:p>
            <w:pPr>
              <w:pStyle w:val="TableParagraph"/>
              <w:spacing w:line="210" w:lineRule="exact"/>
              <w:ind w:left="4" w:right="10"/>
              <w:jc w:val="center"/>
              <w:rPr>
                <w:sz w:val="20"/>
              </w:rPr>
            </w:pPr>
            <w:r>
              <w:rPr>
                <w:spacing w:val="-10"/>
                <w:sz w:val="20"/>
              </w:rPr>
              <w:t>-</w:t>
            </w:r>
          </w:p>
        </w:tc>
        <w:tc>
          <w:tcPr>
            <w:tcW w:w="628" w:type="dxa"/>
          </w:tcPr>
          <w:p>
            <w:pPr>
              <w:pStyle w:val="TableParagraph"/>
              <w:spacing w:line="210" w:lineRule="exact"/>
              <w:ind w:left="8" w:right="23"/>
              <w:jc w:val="center"/>
              <w:rPr>
                <w:sz w:val="20"/>
              </w:rPr>
            </w:pPr>
            <w:r>
              <w:rPr>
                <w:spacing w:val="-10"/>
                <w:sz w:val="20"/>
              </w:rPr>
              <w:t>-</w:t>
            </w:r>
          </w:p>
        </w:tc>
        <w:tc>
          <w:tcPr>
            <w:tcW w:w="731" w:type="dxa"/>
          </w:tcPr>
          <w:p>
            <w:pPr>
              <w:pStyle w:val="TableParagraph"/>
              <w:spacing w:line="210" w:lineRule="exact"/>
              <w:ind w:left="69" w:right="25"/>
              <w:jc w:val="center"/>
              <w:rPr>
                <w:sz w:val="20"/>
              </w:rPr>
            </w:pPr>
            <w:r>
              <w:rPr>
                <w:spacing w:val="-10"/>
                <w:sz w:val="20"/>
              </w:rPr>
              <w:t>-</w:t>
            </w:r>
          </w:p>
        </w:tc>
        <w:tc>
          <w:tcPr>
            <w:tcW w:w="733" w:type="dxa"/>
          </w:tcPr>
          <w:p>
            <w:pPr>
              <w:pStyle w:val="TableParagraph"/>
              <w:spacing w:line="210" w:lineRule="exact"/>
              <w:ind w:left="53" w:right="26"/>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38"/>
              <w:jc w:val="center"/>
              <w:rPr>
                <w:sz w:val="20"/>
              </w:rPr>
            </w:pPr>
            <w:r>
              <w:rPr>
                <w:spacing w:val="-5"/>
                <w:sz w:val="20"/>
              </w:rPr>
              <w:t>0.4</w:t>
            </w:r>
          </w:p>
        </w:tc>
      </w:tr>
      <w:tr>
        <w:trPr>
          <w:trHeight w:val="230" w:hRule="atLeast"/>
        </w:trPr>
        <w:tc>
          <w:tcPr>
            <w:tcW w:w="4148" w:type="dxa"/>
            <w:tcBorders>
              <w:left w:val="single" w:sz="4" w:space="0" w:color="000000"/>
            </w:tcBorders>
          </w:tcPr>
          <w:p>
            <w:pPr>
              <w:pStyle w:val="TableParagraph"/>
              <w:tabs>
                <w:tab w:pos="878" w:val="left" w:leader="none"/>
                <w:tab w:pos="1382" w:val="left" w:leader="none"/>
                <w:tab w:pos="1996" w:val="left" w:leader="none"/>
              </w:tabs>
              <w:spacing w:line="210" w:lineRule="exact"/>
              <w:ind w:right="106"/>
              <w:jc w:val="right"/>
              <w:rPr>
                <w:sz w:val="20"/>
              </w:rPr>
            </w:pPr>
            <w:r>
              <w:rPr>
                <w:spacing w:val="-2"/>
                <w:sz w:val="20"/>
              </w:rPr>
              <w:t>needs</w:t>
            </w:r>
            <w:r>
              <w:rPr>
                <w:sz w:val="20"/>
              </w:rPr>
              <w:tab/>
            </w:r>
            <w:r>
              <w:rPr>
                <w:spacing w:val="-5"/>
                <w:sz w:val="20"/>
              </w:rPr>
              <w:t>of</w:t>
            </w:r>
            <w:r>
              <w:rPr>
                <w:sz w:val="20"/>
              </w:rPr>
              <w:tab/>
            </w:r>
            <w:r>
              <w:rPr>
                <w:spacing w:val="-5"/>
                <w:sz w:val="20"/>
              </w:rPr>
              <w:t>the</w:t>
            </w:r>
            <w:r>
              <w:rPr>
                <w:sz w:val="20"/>
              </w:rPr>
              <w:tab/>
            </w:r>
            <w:r>
              <w:rPr>
                <w:spacing w:val="-2"/>
                <w:sz w:val="20"/>
              </w:rPr>
              <w:t>over-crowded</w:t>
            </w:r>
          </w:p>
        </w:tc>
        <w:tc>
          <w:tcPr>
            <w:tcW w:w="1978" w:type="dxa"/>
          </w:tcPr>
          <w:p>
            <w:pPr>
              <w:pStyle w:val="TableParagraph"/>
              <w:spacing w:line="210" w:lineRule="exact"/>
              <w:ind w:left="109"/>
              <w:rPr>
                <w:sz w:val="20"/>
              </w:rPr>
            </w:pPr>
            <w:r>
              <w:rPr>
                <w:spacing w:val="-2"/>
                <w:sz w:val="20"/>
              </w:rPr>
              <w:t>Students</w:t>
            </w:r>
          </w:p>
        </w:tc>
        <w:tc>
          <w:tcPr>
            <w:tcW w:w="703" w:type="dxa"/>
          </w:tcPr>
          <w:p>
            <w:pPr>
              <w:pStyle w:val="TableParagraph"/>
              <w:spacing w:line="210" w:lineRule="exact"/>
              <w:ind w:left="21" w:right="10"/>
              <w:jc w:val="center"/>
              <w:rPr>
                <w:sz w:val="20"/>
              </w:rPr>
            </w:pPr>
            <w:r>
              <w:rPr>
                <w:spacing w:val="-5"/>
                <w:sz w:val="20"/>
              </w:rPr>
              <w:t>162</w:t>
            </w:r>
          </w:p>
        </w:tc>
        <w:tc>
          <w:tcPr>
            <w:tcW w:w="733" w:type="dxa"/>
          </w:tcPr>
          <w:p>
            <w:pPr>
              <w:pStyle w:val="TableParagraph"/>
              <w:spacing w:line="210" w:lineRule="exact"/>
              <w:ind w:left="53" w:right="28"/>
              <w:jc w:val="center"/>
              <w:rPr>
                <w:sz w:val="20"/>
              </w:rPr>
            </w:pPr>
            <w:r>
              <w:rPr>
                <w:spacing w:val="-4"/>
                <w:sz w:val="20"/>
              </w:rPr>
              <w:t>68.9</w:t>
            </w:r>
          </w:p>
        </w:tc>
        <w:tc>
          <w:tcPr>
            <w:tcW w:w="519" w:type="dxa"/>
          </w:tcPr>
          <w:p>
            <w:pPr>
              <w:pStyle w:val="TableParagraph"/>
              <w:spacing w:line="210" w:lineRule="exact"/>
              <w:ind w:left="32" w:right="6"/>
              <w:jc w:val="center"/>
              <w:rPr>
                <w:sz w:val="20"/>
              </w:rPr>
            </w:pPr>
            <w:r>
              <w:rPr>
                <w:spacing w:val="-5"/>
                <w:sz w:val="20"/>
              </w:rPr>
              <w:t>58</w:t>
            </w:r>
          </w:p>
        </w:tc>
        <w:tc>
          <w:tcPr>
            <w:tcW w:w="817" w:type="dxa"/>
          </w:tcPr>
          <w:p>
            <w:pPr>
              <w:pStyle w:val="TableParagraph"/>
              <w:spacing w:line="210" w:lineRule="exact"/>
              <w:ind w:left="7" w:right="42"/>
              <w:jc w:val="center"/>
              <w:rPr>
                <w:sz w:val="20"/>
              </w:rPr>
            </w:pPr>
            <w:r>
              <w:rPr>
                <w:spacing w:val="-4"/>
                <w:sz w:val="20"/>
              </w:rPr>
              <w:t>24.7</w:t>
            </w:r>
          </w:p>
        </w:tc>
        <w:tc>
          <w:tcPr>
            <w:tcW w:w="632" w:type="dxa"/>
          </w:tcPr>
          <w:p>
            <w:pPr>
              <w:pStyle w:val="TableParagraph"/>
              <w:spacing w:line="210" w:lineRule="exact"/>
              <w:ind w:left="178"/>
              <w:rPr>
                <w:sz w:val="20"/>
              </w:rPr>
            </w:pPr>
            <w:r>
              <w:rPr>
                <w:spacing w:val="-5"/>
                <w:sz w:val="20"/>
              </w:rPr>
              <w:t>10</w:t>
            </w:r>
          </w:p>
        </w:tc>
        <w:tc>
          <w:tcPr>
            <w:tcW w:w="959" w:type="dxa"/>
          </w:tcPr>
          <w:p>
            <w:pPr>
              <w:pStyle w:val="TableParagraph"/>
              <w:spacing w:line="210" w:lineRule="exact"/>
              <w:ind w:left="3" w:right="4"/>
              <w:jc w:val="center"/>
              <w:rPr>
                <w:sz w:val="20"/>
              </w:rPr>
            </w:pPr>
            <w:r>
              <w:rPr>
                <w:spacing w:val="-5"/>
                <w:sz w:val="20"/>
              </w:rPr>
              <w:t>4.3</w:t>
            </w:r>
          </w:p>
        </w:tc>
        <w:tc>
          <w:tcPr>
            <w:tcW w:w="659" w:type="dxa"/>
          </w:tcPr>
          <w:p>
            <w:pPr>
              <w:pStyle w:val="TableParagraph"/>
              <w:spacing w:line="210" w:lineRule="exact"/>
              <w:ind w:left="19" w:right="2"/>
              <w:jc w:val="center"/>
              <w:rPr>
                <w:sz w:val="20"/>
              </w:rPr>
            </w:pPr>
            <w:r>
              <w:rPr>
                <w:spacing w:val="-10"/>
                <w:sz w:val="20"/>
              </w:rPr>
              <w:t>2</w:t>
            </w:r>
          </w:p>
        </w:tc>
        <w:tc>
          <w:tcPr>
            <w:tcW w:w="801" w:type="dxa"/>
          </w:tcPr>
          <w:p>
            <w:pPr>
              <w:pStyle w:val="TableParagraph"/>
              <w:spacing w:line="210" w:lineRule="exact"/>
              <w:ind w:left="5" w:right="10"/>
              <w:jc w:val="center"/>
              <w:rPr>
                <w:sz w:val="20"/>
              </w:rPr>
            </w:pPr>
            <w:r>
              <w:rPr>
                <w:spacing w:val="-5"/>
                <w:sz w:val="20"/>
              </w:rPr>
              <w:t>0.9</w:t>
            </w:r>
          </w:p>
        </w:tc>
        <w:tc>
          <w:tcPr>
            <w:tcW w:w="628" w:type="dxa"/>
          </w:tcPr>
          <w:p>
            <w:pPr>
              <w:pStyle w:val="TableParagraph"/>
              <w:spacing w:line="210" w:lineRule="exact"/>
              <w:ind w:left="11" w:right="19"/>
              <w:jc w:val="center"/>
              <w:rPr>
                <w:sz w:val="20"/>
              </w:rPr>
            </w:pPr>
            <w:r>
              <w:rPr>
                <w:spacing w:val="-10"/>
                <w:sz w:val="20"/>
              </w:rPr>
              <w:t>3</w:t>
            </w:r>
          </w:p>
        </w:tc>
        <w:tc>
          <w:tcPr>
            <w:tcW w:w="731" w:type="dxa"/>
          </w:tcPr>
          <w:p>
            <w:pPr>
              <w:pStyle w:val="TableParagraph"/>
              <w:spacing w:line="210" w:lineRule="exact"/>
              <w:ind w:left="69" w:right="23"/>
              <w:jc w:val="center"/>
              <w:rPr>
                <w:sz w:val="20"/>
              </w:rPr>
            </w:pPr>
            <w:r>
              <w:rPr>
                <w:spacing w:val="-5"/>
                <w:sz w:val="20"/>
              </w:rPr>
              <w:t>1.3</w:t>
            </w:r>
          </w:p>
        </w:tc>
        <w:tc>
          <w:tcPr>
            <w:tcW w:w="733" w:type="dxa"/>
          </w:tcPr>
          <w:p>
            <w:pPr>
              <w:pStyle w:val="TableParagraph"/>
              <w:spacing w:line="210" w:lineRule="exact"/>
              <w:ind w:right="188"/>
              <w:jc w:val="right"/>
              <w:rPr>
                <w:sz w:val="20"/>
              </w:rPr>
            </w:pPr>
            <w:r>
              <w:rPr>
                <w:spacing w:val="-5"/>
                <w:sz w:val="20"/>
              </w:rPr>
              <w:t>235</w:t>
            </w:r>
          </w:p>
        </w:tc>
        <w:tc>
          <w:tcPr>
            <w:tcW w:w="739" w:type="dxa"/>
            <w:tcBorders>
              <w:right w:val="single" w:sz="4" w:space="0" w:color="000000"/>
            </w:tcBorders>
          </w:tcPr>
          <w:p>
            <w:pPr>
              <w:pStyle w:val="TableParagraph"/>
              <w:spacing w:line="210" w:lineRule="exact"/>
              <w:ind w:left="36" w:right="36"/>
              <w:jc w:val="center"/>
              <w:rPr>
                <w:sz w:val="20"/>
              </w:rPr>
            </w:pPr>
            <w:r>
              <w:rPr>
                <w:spacing w:val="-4"/>
                <w:sz w:val="20"/>
              </w:rPr>
              <w:t>50.8</w:t>
            </w:r>
          </w:p>
        </w:tc>
      </w:tr>
      <w:tr>
        <w:trPr>
          <w:trHeight w:val="230" w:hRule="atLeast"/>
        </w:trPr>
        <w:tc>
          <w:tcPr>
            <w:tcW w:w="4148" w:type="dxa"/>
            <w:tcBorders>
              <w:left w:val="single" w:sz="4" w:space="0" w:color="000000"/>
            </w:tcBorders>
          </w:tcPr>
          <w:p>
            <w:pPr>
              <w:pStyle w:val="TableParagraph"/>
              <w:spacing w:line="210" w:lineRule="exact"/>
              <w:ind w:left="830"/>
              <w:rPr>
                <w:sz w:val="20"/>
              </w:rPr>
            </w:pPr>
            <w:r>
              <w:rPr>
                <w:sz w:val="20"/>
              </w:rPr>
              <w:t>population</w:t>
            </w:r>
            <w:r>
              <w:rPr>
                <w:spacing w:val="-5"/>
                <w:sz w:val="20"/>
              </w:rPr>
              <w:t> </w:t>
            </w:r>
            <w:r>
              <w:rPr>
                <w:sz w:val="20"/>
              </w:rPr>
              <w:t>of</w:t>
            </w:r>
            <w:r>
              <w:rPr>
                <w:spacing w:val="-1"/>
                <w:sz w:val="20"/>
              </w:rPr>
              <w:t> </w:t>
            </w:r>
            <w:r>
              <w:rPr>
                <w:sz w:val="20"/>
              </w:rPr>
              <w:t>the</w:t>
            </w:r>
            <w:r>
              <w:rPr>
                <w:spacing w:val="-4"/>
                <w:sz w:val="20"/>
              </w:rPr>
              <w:t> </w:t>
            </w:r>
            <w:r>
              <w:rPr>
                <w:spacing w:val="-2"/>
                <w:sz w:val="20"/>
              </w:rPr>
              <w:t>students</w:t>
            </w:r>
          </w:p>
        </w:tc>
        <w:tc>
          <w:tcPr>
            <w:tcW w:w="1978" w:type="dxa"/>
          </w:tcPr>
          <w:p>
            <w:pPr>
              <w:pStyle w:val="TableParagraph"/>
              <w:spacing w:line="210" w:lineRule="exact"/>
              <w:ind w:left="109"/>
              <w:rPr>
                <w:sz w:val="20"/>
              </w:rPr>
            </w:pPr>
            <w:r>
              <w:rPr>
                <w:sz w:val="20"/>
              </w:rPr>
              <w:t>Service</w:t>
            </w:r>
            <w:r>
              <w:rPr>
                <w:spacing w:val="-9"/>
                <w:sz w:val="20"/>
              </w:rPr>
              <w:t> </w:t>
            </w:r>
            <w:r>
              <w:rPr>
                <w:spacing w:val="-2"/>
                <w:sz w:val="20"/>
              </w:rPr>
              <w:t>Staff</w:t>
            </w:r>
          </w:p>
        </w:tc>
        <w:tc>
          <w:tcPr>
            <w:tcW w:w="703" w:type="dxa"/>
          </w:tcPr>
          <w:p>
            <w:pPr>
              <w:pStyle w:val="TableParagraph"/>
              <w:spacing w:line="210" w:lineRule="exact"/>
              <w:ind w:left="21" w:right="10"/>
              <w:jc w:val="center"/>
              <w:rPr>
                <w:sz w:val="20"/>
              </w:rPr>
            </w:pPr>
            <w:r>
              <w:rPr>
                <w:spacing w:val="-5"/>
                <w:sz w:val="20"/>
              </w:rPr>
              <w:t>112</w:t>
            </w:r>
          </w:p>
        </w:tc>
        <w:tc>
          <w:tcPr>
            <w:tcW w:w="733" w:type="dxa"/>
          </w:tcPr>
          <w:p>
            <w:pPr>
              <w:pStyle w:val="TableParagraph"/>
              <w:spacing w:line="210" w:lineRule="exact"/>
              <w:ind w:left="53" w:right="28"/>
              <w:jc w:val="center"/>
              <w:rPr>
                <w:sz w:val="20"/>
              </w:rPr>
            </w:pPr>
            <w:r>
              <w:rPr>
                <w:spacing w:val="-4"/>
                <w:sz w:val="20"/>
              </w:rPr>
              <w:t>55.2</w:t>
            </w:r>
          </w:p>
        </w:tc>
        <w:tc>
          <w:tcPr>
            <w:tcW w:w="519" w:type="dxa"/>
          </w:tcPr>
          <w:p>
            <w:pPr>
              <w:pStyle w:val="TableParagraph"/>
              <w:spacing w:line="210" w:lineRule="exact"/>
              <w:ind w:left="32" w:right="6"/>
              <w:jc w:val="center"/>
              <w:rPr>
                <w:sz w:val="20"/>
              </w:rPr>
            </w:pPr>
            <w:r>
              <w:rPr>
                <w:spacing w:val="-5"/>
                <w:sz w:val="20"/>
              </w:rPr>
              <w:t>65</w:t>
            </w:r>
          </w:p>
        </w:tc>
        <w:tc>
          <w:tcPr>
            <w:tcW w:w="817" w:type="dxa"/>
          </w:tcPr>
          <w:p>
            <w:pPr>
              <w:pStyle w:val="TableParagraph"/>
              <w:spacing w:line="210" w:lineRule="exact"/>
              <w:ind w:left="7" w:right="42"/>
              <w:jc w:val="center"/>
              <w:rPr>
                <w:sz w:val="20"/>
              </w:rPr>
            </w:pPr>
            <w:r>
              <w:rPr>
                <w:spacing w:val="-4"/>
                <w:sz w:val="20"/>
              </w:rPr>
              <w:t>32.0</w:t>
            </w:r>
          </w:p>
        </w:tc>
        <w:tc>
          <w:tcPr>
            <w:tcW w:w="632" w:type="dxa"/>
          </w:tcPr>
          <w:p>
            <w:pPr>
              <w:pStyle w:val="TableParagraph"/>
              <w:spacing w:line="210" w:lineRule="exact"/>
              <w:ind w:left="178"/>
              <w:rPr>
                <w:sz w:val="20"/>
              </w:rPr>
            </w:pPr>
            <w:r>
              <w:rPr>
                <w:spacing w:val="-5"/>
                <w:sz w:val="20"/>
              </w:rPr>
              <w:t>17</w:t>
            </w:r>
          </w:p>
        </w:tc>
        <w:tc>
          <w:tcPr>
            <w:tcW w:w="959" w:type="dxa"/>
          </w:tcPr>
          <w:p>
            <w:pPr>
              <w:pStyle w:val="TableParagraph"/>
              <w:spacing w:line="210" w:lineRule="exact"/>
              <w:ind w:left="3" w:right="4"/>
              <w:jc w:val="center"/>
              <w:rPr>
                <w:sz w:val="20"/>
              </w:rPr>
            </w:pPr>
            <w:r>
              <w:rPr>
                <w:spacing w:val="-5"/>
                <w:sz w:val="20"/>
              </w:rPr>
              <w:t>8.4</w:t>
            </w:r>
          </w:p>
        </w:tc>
        <w:tc>
          <w:tcPr>
            <w:tcW w:w="659" w:type="dxa"/>
          </w:tcPr>
          <w:p>
            <w:pPr>
              <w:pStyle w:val="TableParagraph"/>
              <w:spacing w:line="210" w:lineRule="exact"/>
              <w:ind w:left="19" w:right="2"/>
              <w:jc w:val="center"/>
              <w:rPr>
                <w:sz w:val="20"/>
              </w:rPr>
            </w:pPr>
            <w:r>
              <w:rPr>
                <w:spacing w:val="-10"/>
                <w:sz w:val="20"/>
              </w:rPr>
              <w:t>8</w:t>
            </w:r>
          </w:p>
        </w:tc>
        <w:tc>
          <w:tcPr>
            <w:tcW w:w="801" w:type="dxa"/>
          </w:tcPr>
          <w:p>
            <w:pPr>
              <w:pStyle w:val="TableParagraph"/>
              <w:spacing w:line="210" w:lineRule="exact"/>
              <w:ind w:left="5" w:right="10"/>
              <w:jc w:val="center"/>
              <w:rPr>
                <w:sz w:val="20"/>
              </w:rPr>
            </w:pPr>
            <w:r>
              <w:rPr>
                <w:spacing w:val="-5"/>
                <w:sz w:val="20"/>
              </w:rPr>
              <w:t>3.9</w:t>
            </w:r>
          </w:p>
        </w:tc>
        <w:tc>
          <w:tcPr>
            <w:tcW w:w="628" w:type="dxa"/>
          </w:tcPr>
          <w:p>
            <w:pPr>
              <w:pStyle w:val="TableParagraph"/>
              <w:spacing w:line="210" w:lineRule="exact"/>
              <w:ind w:left="11" w:right="19"/>
              <w:jc w:val="center"/>
              <w:rPr>
                <w:sz w:val="20"/>
              </w:rPr>
            </w:pPr>
            <w:r>
              <w:rPr>
                <w:spacing w:val="-10"/>
                <w:sz w:val="20"/>
              </w:rPr>
              <w:t>1</w:t>
            </w:r>
          </w:p>
        </w:tc>
        <w:tc>
          <w:tcPr>
            <w:tcW w:w="731" w:type="dxa"/>
          </w:tcPr>
          <w:p>
            <w:pPr>
              <w:pStyle w:val="TableParagraph"/>
              <w:spacing w:line="210" w:lineRule="exact"/>
              <w:ind w:left="69" w:right="23"/>
              <w:jc w:val="center"/>
              <w:rPr>
                <w:sz w:val="20"/>
              </w:rPr>
            </w:pPr>
            <w:r>
              <w:rPr>
                <w:spacing w:val="-5"/>
                <w:sz w:val="20"/>
              </w:rPr>
              <w:t>0.5</w:t>
            </w:r>
          </w:p>
        </w:tc>
        <w:tc>
          <w:tcPr>
            <w:tcW w:w="733" w:type="dxa"/>
          </w:tcPr>
          <w:p>
            <w:pPr>
              <w:pStyle w:val="TableParagraph"/>
              <w:spacing w:line="210" w:lineRule="exact"/>
              <w:ind w:right="188"/>
              <w:jc w:val="right"/>
              <w:rPr>
                <w:sz w:val="20"/>
              </w:rPr>
            </w:pPr>
            <w:r>
              <w:rPr>
                <w:spacing w:val="-5"/>
                <w:sz w:val="20"/>
              </w:rPr>
              <w:t>203</w:t>
            </w:r>
          </w:p>
        </w:tc>
        <w:tc>
          <w:tcPr>
            <w:tcW w:w="739" w:type="dxa"/>
            <w:tcBorders>
              <w:right w:val="single" w:sz="4" w:space="0" w:color="000000"/>
            </w:tcBorders>
          </w:tcPr>
          <w:p>
            <w:pPr>
              <w:pStyle w:val="TableParagraph"/>
              <w:spacing w:line="210" w:lineRule="exact"/>
              <w:ind w:left="36" w:right="36"/>
              <w:jc w:val="center"/>
              <w:rPr>
                <w:sz w:val="20"/>
              </w:rPr>
            </w:pPr>
            <w:r>
              <w:rPr>
                <w:spacing w:val="-4"/>
                <w:sz w:val="20"/>
              </w:rPr>
              <w:t>43.8</w:t>
            </w:r>
          </w:p>
        </w:tc>
      </w:tr>
      <w:tr>
        <w:trPr>
          <w:trHeight w:val="254" w:hRule="atLeast"/>
        </w:trPr>
        <w:tc>
          <w:tcPr>
            <w:tcW w:w="4148" w:type="dxa"/>
            <w:tcBorders>
              <w:left w:val="single" w:sz="4" w:space="0" w:color="000000"/>
            </w:tcBorders>
          </w:tcPr>
          <w:p>
            <w:pPr>
              <w:pStyle w:val="TableParagraph"/>
              <w:rPr>
                <w:rFonts w:ascii="Times New Roman"/>
                <w:sz w:val="18"/>
              </w:rPr>
            </w:pPr>
          </w:p>
        </w:tc>
        <w:tc>
          <w:tcPr>
            <w:tcW w:w="1978" w:type="dxa"/>
          </w:tcPr>
          <w:p>
            <w:pPr>
              <w:pStyle w:val="TableParagraph"/>
              <w:spacing w:line="227" w:lineRule="exact"/>
              <w:ind w:left="109"/>
              <w:rPr>
                <w:sz w:val="20"/>
              </w:rPr>
            </w:pPr>
            <w:r>
              <w:rPr>
                <w:sz w:val="20"/>
              </w:rPr>
              <w:t>Top</w:t>
            </w:r>
            <w:r>
              <w:rPr>
                <w:spacing w:val="-1"/>
                <w:sz w:val="20"/>
              </w:rPr>
              <w:t> </w:t>
            </w:r>
            <w:r>
              <w:rPr>
                <w:spacing w:val="-2"/>
                <w:sz w:val="20"/>
              </w:rPr>
              <w:t>Management</w:t>
            </w:r>
          </w:p>
        </w:tc>
        <w:tc>
          <w:tcPr>
            <w:tcW w:w="703" w:type="dxa"/>
          </w:tcPr>
          <w:p>
            <w:pPr>
              <w:pStyle w:val="TableParagraph"/>
              <w:spacing w:line="227" w:lineRule="exact"/>
              <w:ind w:left="21" w:right="5"/>
              <w:jc w:val="center"/>
              <w:rPr>
                <w:sz w:val="20"/>
              </w:rPr>
            </w:pPr>
            <w:r>
              <w:rPr>
                <w:spacing w:val="-5"/>
                <w:sz w:val="20"/>
              </w:rPr>
              <w:t>14</w:t>
            </w:r>
          </w:p>
        </w:tc>
        <w:tc>
          <w:tcPr>
            <w:tcW w:w="733" w:type="dxa"/>
          </w:tcPr>
          <w:p>
            <w:pPr>
              <w:pStyle w:val="TableParagraph"/>
              <w:spacing w:line="227" w:lineRule="exact"/>
              <w:ind w:left="53" w:right="28"/>
              <w:jc w:val="center"/>
              <w:rPr>
                <w:sz w:val="20"/>
              </w:rPr>
            </w:pPr>
            <w:r>
              <w:rPr>
                <w:spacing w:val="-4"/>
                <w:sz w:val="20"/>
              </w:rPr>
              <w:t>60.9</w:t>
            </w:r>
          </w:p>
        </w:tc>
        <w:tc>
          <w:tcPr>
            <w:tcW w:w="519" w:type="dxa"/>
          </w:tcPr>
          <w:p>
            <w:pPr>
              <w:pStyle w:val="TableParagraph"/>
              <w:spacing w:line="227" w:lineRule="exact"/>
              <w:ind w:left="32" w:right="2"/>
              <w:jc w:val="center"/>
              <w:rPr>
                <w:sz w:val="20"/>
              </w:rPr>
            </w:pPr>
            <w:r>
              <w:rPr>
                <w:spacing w:val="-10"/>
                <w:sz w:val="20"/>
              </w:rPr>
              <w:t>8</w:t>
            </w:r>
          </w:p>
        </w:tc>
        <w:tc>
          <w:tcPr>
            <w:tcW w:w="817" w:type="dxa"/>
          </w:tcPr>
          <w:p>
            <w:pPr>
              <w:pStyle w:val="TableParagraph"/>
              <w:spacing w:line="227" w:lineRule="exact"/>
              <w:ind w:left="7" w:right="42"/>
              <w:jc w:val="center"/>
              <w:rPr>
                <w:sz w:val="20"/>
              </w:rPr>
            </w:pPr>
            <w:r>
              <w:rPr>
                <w:spacing w:val="-4"/>
                <w:sz w:val="20"/>
              </w:rPr>
              <w:t>34.3</w:t>
            </w:r>
          </w:p>
        </w:tc>
        <w:tc>
          <w:tcPr>
            <w:tcW w:w="632" w:type="dxa"/>
          </w:tcPr>
          <w:p>
            <w:pPr>
              <w:pStyle w:val="TableParagraph"/>
              <w:spacing w:line="227" w:lineRule="exact"/>
              <w:ind w:left="236"/>
              <w:rPr>
                <w:sz w:val="20"/>
              </w:rPr>
            </w:pPr>
            <w:r>
              <w:rPr>
                <w:spacing w:val="-10"/>
                <w:sz w:val="20"/>
              </w:rPr>
              <w:t>1</w:t>
            </w:r>
          </w:p>
        </w:tc>
        <w:tc>
          <w:tcPr>
            <w:tcW w:w="959" w:type="dxa"/>
          </w:tcPr>
          <w:p>
            <w:pPr>
              <w:pStyle w:val="TableParagraph"/>
              <w:spacing w:line="227" w:lineRule="exact"/>
              <w:ind w:left="3" w:right="4"/>
              <w:jc w:val="center"/>
              <w:rPr>
                <w:sz w:val="20"/>
              </w:rPr>
            </w:pPr>
            <w:r>
              <w:rPr>
                <w:spacing w:val="-5"/>
                <w:sz w:val="20"/>
              </w:rPr>
              <w:t>4.3</w:t>
            </w:r>
          </w:p>
        </w:tc>
        <w:tc>
          <w:tcPr>
            <w:tcW w:w="659" w:type="dxa"/>
          </w:tcPr>
          <w:p>
            <w:pPr>
              <w:pStyle w:val="TableParagraph"/>
              <w:spacing w:line="227" w:lineRule="exact"/>
              <w:ind w:left="19" w:right="8"/>
              <w:jc w:val="center"/>
              <w:rPr>
                <w:sz w:val="20"/>
              </w:rPr>
            </w:pPr>
            <w:r>
              <w:rPr>
                <w:spacing w:val="-10"/>
                <w:sz w:val="20"/>
              </w:rPr>
              <w:t>-</w:t>
            </w:r>
          </w:p>
        </w:tc>
        <w:tc>
          <w:tcPr>
            <w:tcW w:w="801" w:type="dxa"/>
          </w:tcPr>
          <w:p>
            <w:pPr>
              <w:pStyle w:val="TableParagraph"/>
              <w:spacing w:line="227" w:lineRule="exact"/>
              <w:ind w:left="4" w:right="10"/>
              <w:jc w:val="center"/>
              <w:rPr>
                <w:sz w:val="20"/>
              </w:rPr>
            </w:pPr>
            <w:r>
              <w:rPr>
                <w:spacing w:val="-10"/>
                <w:sz w:val="20"/>
              </w:rPr>
              <w:t>-</w:t>
            </w:r>
          </w:p>
        </w:tc>
        <w:tc>
          <w:tcPr>
            <w:tcW w:w="628" w:type="dxa"/>
          </w:tcPr>
          <w:p>
            <w:pPr>
              <w:pStyle w:val="TableParagraph"/>
              <w:spacing w:line="227" w:lineRule="exact"/>
              <w:ind w:left="8" w:right="23"/>
              <w:jc w:val="center"/>
              <w:rPr>
                <w:sz w:val="20"/>
              </w:rPr>
            </w:pPr>
            <w:r>
              <w:rPr>
                <w:spacing w:val="-10"/>
                <w:sz w:val="20"/>
              </w:rPr>
              <w:t>-</w:t>
            </w:r>
          </w:p>
        </w:tc>
        <w:tc>
          <w:tcPr>
            <w:tcW w:w="731" w:type="dxa"/>
          </w:tcPr>
          <w:p>
            <w:pPr>
              <w:pStyle w:val="TableParagraph"/>
              <w:spacing w:line="227" w:lineRule="exact"/>
              <w:ind w:left="69" w:right="25"/>
              <w:jc w:val="center"/>
              <w:rPr>
                <w:sz w:val="20"/>
              </w:rPr>
            </w:pPr>
            <w:r>
              <w:rPr>
                <w:spacing w:val="-10"/>
                <w:sz w:val="20"/>
              </w:rPr>
              <w:t>-</w:t>
            </w:r>
          </w:p>
        </w:tc>
        <w:tc>
          <w:tcPr>
            <w:tcW w:w="733" w:type="dxa"/>
          </w:tcPr>
          <w:p>
            <w:pPr>
              <w:pStyle w:val="TableParagraph"/>
              <w:spacing w:line="227" w:lineRule="exact"/>
              <w:ind w:right="241"/>
              <w:jc w:val="right"/>
              <w:rPr>
                <w:sz w:val="20"/>
              </w:rPr>
            </w:pPr>
            <w:r>
              <w:rPr>
                <w:spacing w:val="-5"/>
                <w:sz w:val="20"/>
              </w:rPr>
              <w:t>23</w:t>
            </w:r>
          </w:p>
        </w:tc>
        <w:tc>
          <w:tcPr>
            <w:tcW w:w="739" w:type="dxa"/>
            <w:tcBorders>
              <w:right w:val="single" w:sz="4" w:space="0" w:color="000000"/>
            </w:tcBorders>
          </w:tcPr>
          <w:p>
            <w:pPr>
              <w:pStyle w:val="TableParagraph"/>
              <w:spacing w:line="227" w:lineRule="exact"/>
              <w:ind w:left="36" w:right="38"/>
              <w:jc w:val="center"/>
              <w:rPr>
                <w:sz w:val="20"/>
              </w:rPr>
            </w:pPr>
            <w:r>
              <w:rPr>
                <w:spacing w:val="-5"/>
                <w:sz w:val="20"/>
              </w:rPr>
              <w:t>5.0</w:t>
            </w:r>
          </w:p>
        </w:tc>
      </w:tr>
      <w:tr>
        <w:trPr>
          <w:trHeight w:val="254" w:hRule="atLeast"/>
        </w:trPr>
        <w:tc>
          <w:tcPr>
            <w:tcW w:w="4148" w:type="dxa"/>
            <w:tcBorders>
              <w:left w:val="single" w:sz="4" w:space="0" w:color="000000"/>
            </w:tcBorders>
          </w:tcPr>
          <w:p>
            <w:pPr>
              <w:pStyle w:val="TableParagraph"/>
              <w:tabs>
                <w:tab w:pos="609" w:val="left" w:leader="none"/>
              </w:tabs>
              <w:spacing w:line="213" w:lineRule="exact" w:before="21"/>
              <w:ind w:right="101"/>
              <w:jc w:val="right"/>
              <w:rPr>
                <w:sz w:val="20"/>
              </w:rPr>
            </w:pPr>
            <w:r>
              <w:rPr>
                <w:spacing w:val="-5"/>
                <w:sz w:val="20"/>
              </w:rPr>
              <w:t>40.</w:t>
            </w:r>
            <w:r>
              <w:rPr>
                <w:sz w:val="20"/>
              </w:rPr>
              <w:tab/>
              <w:t>There</w:t>
            </w:r>
            <w:r>
              <w:rPr>
                <w:spacing w:val="77"/>
                <w:sz w:val="20"/>
              </w:rPr>
              <w:t> </w:t>
            </w:r>
            <w:r>
              <w:rPr>
                <w:sz w:val="20"/>
              </w:rPr>
              <w:t>should</w:t>
            </w:r>
            <w:r>
              <w:rPr>
                <w:spacing w:val="77"/>
                <w:sz w:val="20"/>
              </w:rPr>
              <w:t> </w:t>
            </w:r>
            <w:r>
              <w:rPr>
                <w:sz w:val="20"/>
              </w:rPr>
              <w:t>be</w:t>
            </w:r>
            <w:r>
              <w:rPr>
                <w:spacing w:val="77"/>
                <w:sz w:val="20"/>
              </w:rPr>
              <w:t> </w:t>
            </w:r>
            <w:r>
              <w:rPr>
                <w:sz w:val="20"/>
              </w:rPr>
              <w:t>more</w:t>
            </w:r>
            <w:r>
              <w:rPr>
                <w:spacing w:val="77"/>
                <w:sz w:val="20"/>
              </w:rPr>
              <w:t> </w:t>
            </w:r>
            <w:r>
              <w:rPr>
                <w:sz w:val="20"/>
              </w:rPr>
              <w:t>efforts</w:t>
            </w:r>
            <w:r>
              <w:rPr>
                <w:spacing w:val="75"/>
                <w:sz w:val="20"/>
              </w:rPr>
              <w:t> </w:t>
            </w:r>
            <w:r>
              <w:rPr>
                <w:spacing w:val="-5"/>
                <w:sz w:val="20"/>
              </w:rPr>
              <w:t>to</w:t>
            </w:r>
          </w:p>
        </w:tc>
        <w:tc>
          <w:tcPr>
            <w:tcW w:w="1978" w:type="dxa"/>
          </w:tcPr>
          <w:p>
            <w:pPr>
              <w:pStyle w:val="TableParagraph"/>
              <w:spacing w:line="213" w:lineRule="exact" w:before="21"/>
              <w:ind w:left="109"/>
              <w:rPr>
                <w:sz w:val="20"/>
              </w:rPr>
            </w:pPr>
            <w:r>
              <w:rPr>
                <w:sz w:val="20"/>
              </w:rPr>
              <w:t>No.</w:t>
            </w:r>
            <w:r>
              <w:rPr>
                <w:spacing w:val="-5"/>
                <w:sz w:val="20"/>
              </w:rPr>
              <w:t> </w:t>
            </w:r>
            <w:r>
              <w:rPr>
                <w:sz w:val="20"/>
              </w:rPr>
              <w:t>of</w:t>
            </w:r>
            <w:r>
              <w:rPr>
                <w:spacing w:val="-2"/>
                <w:sz w:val="20"/>
              </w:rPr>
              <w:t> missing</w:t>
            </w:r>
          </w:p>
        </w:tc>
        <w:tc>
          <w:tcPr>
            <w:tcW w:w="703" w:type="dxa"/>
          </w:tcPr>
          <w:p>
            <w:pPr>
              <w:pStyle w:val="TableParagraph"/>
              <w:rPr>
                <w:rFonts w:ascii="Times New Roman"/>
                <w:sz w:val="18"/>
              </w:rPr>
            </w:pPr>
          </w:p>
        </w:tc>
        <w:tc>
          <w:tcPr>
            <w:tcW w:w="733" w:type="dxa"/>
          </w:tcPr>
          <w:p>
            <w:pPr>
              <w:pStyle w:val="TableParagraph"/>
              <w:rPr>
                <w:rFonts w:ascii="Times New Roman"/>
                <w:sz w:val="18"/>
              </w:rPr>
            </w:pPr>
          </w:p>
        </w:tc>
        <w:tc>
          <w:tcPr>
            <w:tcW w:w="519" w:type="dxa"/>
          </w:tcPr>
          <w:p>
            <w:pPr>
              <w:pStyle w:val="TableParagraph"/>
              <w:rPr>
                <w:rFonts w:ascii="Times New Roman"/>
                <w:sz w:val="18"/>
              </w:rPr>
            </w:pPr>
          </w:p>
        </w:tc>
        <w:tc>
          <w:tcPr>
            <w:tcW w:w="817" w:type="dxa"/>
          </w:tcPr>
          <w:p>
            <w:pPr>
              <w:pStyle w:val="TableParagraph"/>
              <w:rPr>
                <w:rFonts w:ascii="Times New Roman"/>
                <w:sz w:val="18"/>
              </w:rPr>
            </w:pPr>
          </w:p>
        </w:tc>
        <w:tc>
          <w:tcPr>
            <w:tcW w:w="632" w:type="dxa"/>
          </w:tcPr>
          <w:p>
            <w:pPr>
              <w:pStyle w:val="TableParagraph"/>
              <w:rPr>
                <w:rFonts w:ascii="Times New Roman"/>
                <w:sz w:val="18"/>
              </w:rPr>
            </w:pPr>
          </w:p>
        </w:tc>
        <w:tc>
          <w:tcPr>
            <w:tcW w:w="959" w:type="dxa"/>
          </w:tcPr>
          <w:p>
            <w:pPr>
              <w:pStyle w:val="TableParagraph"/>
              <w:rPr>
                <w:rFonts w:ascii="Times New Roman"/>
                <w:sz w:val="18"/>
              </w:rPr>
            </w:pPr>
          </w:p>
        </w:tc>
        <w:tc>
          <w:tcPr>
            <w:tcW w:w="659" w:type="dxa"/>
          </w:tcPr>
          <w:p>
            <w:pPr>
              <w:pStyle w:val="TableParagraph"/>
              <w:rPr>
                <w:rFonts w:ascii="Times New Roman"/>
                <w:sz w:val="18"/>
              </w:rPr>
            </w:pPr>
          </w:p>
        </w:tc>
        <w:tc>
          <w:tcPr>
            <w:tcW w:w="801" w:type="dxa"/>
          </w:tcPr>
          <w:p>
            <w:pPr>
              <w:pStyle w:val="TableParagraph"/>
              <w:rPr>
                <w:rFonts w:ascii="Times New Roman"/>
                <w:sz w:val="18"/>
              </w:rPr>
            </w:pPr>
          </w:p>
        </w:tc>
        <w:tc>
          <w:tcPr>
            <w:tcW w:w="628" w:type="dxa"/>
          </w:tcPr>
          <w:p>
            <w:pPr>
              <w:pStyle w:val="TableParagraph"/>
              <w:rPr>
                <w:rFonts w:ascii="Times New Roman"/>
                <w:sz w:val="18"/>
              </w:rPr>
            </w:pPr>
          </w:p>
        </w:tc>
        <w:tc>
          <w:tcPr>
            <w:tcW w:w="731" w:type="dxa"/>
          </w:tcPr>
          <w:p>
            <w:pPr>
              <w:pStyle w:val="TableParagraph"/>
              <w:rPr>
                <w:rFonts w:ascii="Times New Roman"/>
                <w:sz w:val="18"/>
              </w:rPr>
            </w:pPr>
          </w:p>
        </w:tc>
        <w:tc>
          <w:tcPr>
            <w:tcW w:w="733" w:type="dxa"/>
          </w:tcPr>
          <w:p>
            <w:pPr>
              <w:pStyle w:val="TableParagraph"/>
              <w:rPr>
                <w:rFonts w:ascii="Times New Roman"/>
                <w:sz w:val="18"/>
              </w:rPr>
            </w:pPr>
          </w:p>
        </w:tc>
        <w:tc>
          <w:tcPr>
            <w:tcW w:w="739" w:type="dxa"/>
            <w:tcBorders>
              <w:right w:val="single" w:sz="4" w:space="0" w:color="000000"/>
            </w:tcBorders>
          </w:tcPr>
          <w:p>
            <w:pPr>
              <w:pStyle w:val="TableParagraph"/>
              <w:rPr>
                <w:rFonts w:ascii="Times New Roman"/>
                <w:sz w:val="18"/>
              </w:rPr>
            </w:pPr>
          </w:p>
        </w:tc>
      </w:tr>
      <w:tr>
        <w:trPr>
          <w:trHeight w:val="230" w:hRule="atLeast"/>
        </w:trPr>
        <w:tc>
          <w:tcPr>
            <w:tcW w:w="4148" w:type="dxa"/>
            <w:tcBorders>
              <w:left w:val="single" w:sz="4" w:space="0" w:color="000000"/>
            </w:tcBorders>
          </w:tcPr>
          <w:p>
            <w:pPr>
              <w:pStyle w:val="TableParagraph"/>
              <w:spacing w:line="210" w:lineRule="exact"/>
              <w:ind w:right="98"/>
              <w:jc w:val="right"/>
              <w:rPr>
                <w:sz w:val="20"/>
              </w:rPr>
            </w:pPr>
            <w:r>
              <w:rPr>
                <w:sz w:val="20"/>
              </w:rPr>
              <w:t>expand</w:t>
            </w:r>
            <w:r>
              <w:rPr>
                <w:spacing w:val="74"/>
                <w:sz w:val="20"/>
              </w:rPr>
              <w:t> </w:t>
            </w:r>
            <w:r>
              <w:rPr>
                <w:sz w:val="20"/>
              </w:rPr>
              <w:t>students’</w:t>
            </w:r>
            <w:r>
              <w:rPr>
                <w:spacing w:val="74"/>
                <w:sz w:val="20"/>
              </w:rPr>
              <w:t> </w:t>
            </w:r>
            <w:r>
              <w:rPr>
                <w:sz w:val="20"/>
              </w:rPr>
              <w:t>residential</w:t>
            </w:r>
            <w:r>
              <w:rPr>
                <w:spacing w:val="52"/>
                <w:w w:val="150"/>
                <w:sz w:val="20"/>
              </w:rPr>
              <w:t> </w:t>
            </w:r>
            <w:r>
              <w:rPr>
                <w:spacing w:val="-4"/>
                <w:sz w:val="20"/>
              </w:rPr>
              <w:t>halls</w:t>
            </w:r>
          </w:p>
        </w:tc>
        <w:tc>
          <w:tcPr>
            <w:tcW w:w="1978" w:type="dxa"/>
          </w:tcPr>
          <w:p>
            <w:pPr>
              <w:pStyle w:val="TableParagraph"/>
              <w:spacing w:line="210" w:lineRule="exact"/>
              <w:ind w:left="109"/>
              <w:rPr>
                <w:sz w:val="20"/>
              </w:rPr>
            </w:pPr>
            <w:r>
              <w:rPr>
                <w:spacing w:val="-2"/>
                <w:sz w:val="20"/>
              </w:rPr>
              <w:t>observations</w:t>
            </w:r>
          </w:p>
        </w:tc>
        <w:tc>
          <w:tcPr>
            <w:tcW w:w="703" w:type="dxa"/>
          </w:tcPr>
          <w:p>
            <w:pPr>
              <w:pStyle w:val="TableParagraph"/>
              <w:spacing w:line="210" w:lineRule="exact"/>
              <w:ind w:left="21" w:right="7"/>
              <w:jc w:val="center"/>
              <w:rPr>
                <w:sz w:val="20"/>
              </w:rPr>
            </w:pPr>
            <w:r>
              <w:rPr>
                <w:spacing w:val="-10"/>
                <w:sz w:val="20"/>
              </w:rPr>
              <w:t>-</w:t>
            </w:r>
          </w:p>
        </w:tc>
        <w:tc>
          <w:tcPr>
            <w:tcW w:w="733" w:type="dxa"/>
          </w:tcPr>
          <w:p>
            <w:pPr>
              <w:pStyle w:val="TableParagraph"/>
              <w:spacing w:line="210" w:lineRule="exact"/>
              <w:ind w:left="53" w:right="35"/>
              <w:jc w:val="center"/>
              <w:rPr>
                <w:sz w:val="20"/>
              </w:rPr>
            </w:pPr>
            <w:r>
              <w:rPr>
                <w:spacing w:val="-10"/>
                <w:sz w:val="20"/>
              </w:rPr>
              <w:t>-</w:t>
            </w:r>
          </w:p>
        </w:tc>
        <w:tc>
          <w:tcPr>
            <w:tcW w:w="519" w:type="dxa"/>
          </w:tcPr>
          <w:p>
            <w:pPr>
              <w:pStyle w:val="TableParagraph"/>
              <w:spacing w:line="210" w:lineRule="exact"/>
              <w:ind w:left="32" w:right="8"/>
              <w:jc w:val="center"/>
              <w:rPr>
                <w:sz w:val="20"/>
              </w:rPr>
            </w:pPr>
            <w:r>
              <w:rPr>
                <w:spacing w:val="-10"/>
                <w:sz w:val="20"/>
              </w:rPr>
              <w:t>-</w:t>
            </w:r>
          </w:p>
        </w:tc>
        <w:tc>
          <w:tcPr>
            <w:tcW w:w="817" w:type="dxa"/>
          </w:tcPr>
          <w:p>
            <w:pPr>
              <w:pStyle w:val="TableParagraph"/>
              <w:spacing w:line="210" w:lineRule="exact"/>
              <w:ind w:right="42"/>
              <w:jc w:val="center"/>
              <w:rPr>
                <w:sz w:val="20"/>
              </w:rPr>
            </w:pPr>
            <w:r>
              <w:rPr>
                <w:spacing w:val="-10"/>
                <w:sz w:val="20"/>
              </w:rPr>
              <w:t>-</w:t>
            </w:r>
          </w:p>
        </w:tc>
        <w:tc>
          <w:tcPr>
            <w:tcW w:w="632" w:type="dxa"/>
          </w:tcPr>
          <w:p>
            <w:pPr>
              <w:pStyle w:val="TableParagraph"/>
              <w:spacing w:line="210" w:lineRule="exact"/>
              <w:ind w:left="236"/>
              <w:rPr>
                <w:sz w:val="20"/>
              </w:rPr>
            </w:pPr>
            <w:r>
              <w:rPr>
                <w:spacing w:val="-10"/>
                <w:sz w:val="20"/>
              </w:rPr>
              <w:t>2</w:t>
            </w:r>
          </w:p>
        </w:tc>
        <w:tc>
          <w:tcPr>
            <w:tcW w:w="959" w:type="dxa"/>
          </w:tcPr>
          <w:p>
            <w:pPr>
              <w:pStyle w:val="TableParagraph"/>
              <w:spacing w:line="210" w:lineRule="exact"/>
              <w:ind w:left="3" w:right="3"/>
              <w:jc w:val="center"/>
              <w:rPr>
                <w:sz w:val="20"/>
              </w:rPr>
            </w:pPr>
            <w:r>
              <w:rPr>
                <w:spacing w:val="-2"/>
                <w:sz w:val="20"/>
              </w:rPr>
              <w:t>100.0</w:t>
            </w:r>
          </w:p>
        </w:tc>
        <w:tc>
          <w:tcPr>
            <w:tcW w:w="659" w:type="dxa"/>
          </w:tcPr>
          <w:p>
            <w:pPr>
              <w:pStyle w:val="TableParagraph"/>
              <w:spacing w:line="210" w:lineRule="exact"/>
              <w:ind w:left="19" w:right="8"/>
              <w:jc w:val="center"/>
              <w:rPr>
                <w:sz w:val="20"/>
              </w:rPr>
            </w:pPr>
            <w:r>
              <w:rPr>
                <w:spacing w:val="-10"/>
                <w:sz w:val="20"/>
              </w:rPr>
              <w:t>-</w:t>
            </w:r>
          </w:p>
        </w:tc>
        <w:tc>
          <w:tcPr>
            <w:tcW w:w="801" w:type="dxa"/>
          </w:tcPr>
          <w:p>
            <w:pPr>
              <w:pStyle w:val="TableParagraph"/>
              <w:spacing w:line="210" w:lineRule="exact"/>
              <w:ind w:left="4" w:right="10"/>
              <w:jc w:val="center"/>
              <w:rPr>
                <w:sz w:val="20"/>
              </w:rPr>
            </w:pPr>
            <w:r>
              <w:rPr>
                <w:spacing w:val="-10"/>
                <w:sz w:val="20"/>
              </w:rPr>
              <w:t>-</w:t>
            </w:r>
          </w:p>
        </w:tc>
        <w:tc>
          <w:tcPr>
            <w:tcW w:w="628" w:type="dxa"/>
          </w:tcPr>
          <w:p>
            <w:pPr>
              <w:pStyle w:val="TableParagraph"/>
              <w:spacing w:line="210" w:lineRule="exact"/>
              <w:ind w:left="8" w:right="23"/>
              <w:jc w:val="center"/>
              <w:rPr>
                <w:sz w:val="20"/>
              </w:rPr>
            </w:pPr>
            <w:r>
              <w:rPr>
                <w:spacing w:val="-10"/>
                <w:sz w:val="20"/>
              </w:rPr>
              <w:t>-</w:t>
            </w:r>
          </w:p>
        </w:tc>
        <w:tc>
          <w:tcPr>
            <w:tcW w:w="731" w:type="dxa"/>
          </w:tcPr>
          <w:p>
            <w:pPr>
              <w:pStyle w:val="TableParagraph"/>
              <w:spacing w:line="210" w:lineRule="exact"/>
              <w:ind w:left="69" w:right="25"/>
              <w:jc w:val="center"/>
              <w:rPr>
                <w:sz w:val="20"/>
              </w:rPr>
            </w:pPr>
            <w:r>
              <w:rPr>
                <w:spacing w:val="-10"/>
                <w:sz w:val="20"/>
              </w:rPr>
              <w:t>-</w:t>
            </w:r>
          </w:p>
        </w:tc>
        <w:tc>
          <w:tcPr>
            <w:tcW w:w="733" w:type="dxa"/>
          </w:tcPr>
          <w:p>
            <w:pPr>
              <w:pStyle w:val="TableParagraph"/>
              <w:spacing w:line="210" w:lineRule="exact"/>
              <w:ind w:left="53" w:right="26"/>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38"/>
              <w:jc w:val="center"/>
              <w:rPr>
                <w:sz w:val="20"/>
              </w:rPr>
            </w:pPr>
            <w:r>
              <w:rPr>
                <w:spacing w:val="-5"/>
                <w:sz w:val="20"/>
              </w:rPr>
              <w:t>0.4</w:t>
            </w:r>
          </w:p>
        </w:tc>
      </w:tr>
      <w:tr>
        <w:trPr>
          <w:trHeight w:val="230" w:hRule="atLeast"/>
        </w:trPr>
        <w:tc>
          <w:tcPr>
            <w:tcW w:w="4148" w:type="dxa"/>
            <w:tcBorders>
              <w:left w:val="single" w:sz="4" w:space="0" w:color="000000"/>
            </w:tcBorders>
          </w:tcPr>
          <w:p>
            <w:pPr>
              <w:pStyle w:val="TableParagraph"/>
              <w:tabs>
                <w:tab w:pos="484" w:val="left" w:leader="none"/>
                <w:tab w:pos="1949" w:val="left" w:leader="none"/>
                <w:tab w:pos="2400" w:val="left" w:leader="none"/>
                <w:tab w:pos="3034" w:val="left" w:leader="none"/>
              </w:tabs>
              <w:spacing w:line="210" w:lineRule="exact"/>
              <w:ind w:right="109"/>
              <w:jc w:val="right"/>
              <w:rPr>
                <w:sz w:val="20"/>
              </w:rPr>
            </w:pPr>
            <w:r>
              <w:rPr>
                <w:spacing w:val="-5"/>
                <w:sz w:val="20"/>
              </w:rPr>
              <w:t>as</w:t>
            </w:r>
            <w:r>
              <w:rPr>
                <w:sz w:val="20"/>
              </w:rPr>
              <w:tab/>
            </w:r>
            <w:r>
              <w:rPr>
                <w:spacing w:val="-2"/>
                <w:sz w:val="20"/>
              </w:rPr>
              <w:t>overcrowding</w:t>
            </w:r>
            <w:r>
              <w:rPr>
                <w:sz w:val="20"/>
              </w:rPr>
              <w:tab/>
            </w:r>
            <w:r>
              <w:rPr>
                <w:spacing w:val="-5"/>
                <w:sz w:val="20"/>
              </w:rPr>
              <w:t>or</w:t>
            </w:r>
            <w:r>
              <w:rPr>
                <w:sz w:val="20"/>
              </w:rPr>
              <w:tab/>
            </w:r>
            <w:r>
              <w:rPr>
                <w:spacing w:val="-4"/>
                <w:sz w:val="20"/>
              </w:rPr>
              <w:t>lack</w:t>
            </w:r>
            <w:r>
              <w:rPr>
                <w:sz w:val="20"/>
              </w:rPr>
              <w:tab/>
            </w:r>
            <w:r>
              <w:rPr>
                <w:spacing w:val="-5"/>
                <w:sz w:val="20"/>
              </w:rPr>
              <w:t>of</w:t>
            </w:r>
          </w:p>
        </w:tc>
        <w:tc>
          <w:tcPr>
            <w:tcW w:w="1978" w:type="dxa"/>
          </w:tcPr>
          <w:p>
            <w:pPr>
              <w:pStyle w:val="TableParagraph"/>
              <w:spacing w:line="210" w:lineRule="exact"/>
              <w:ind w:left="109"/>
              <w:rPr>
                <w:sz w:val="20"/>
              </w:rPr>
            </w:pPr>
            <w:r>
              <w:rPr>
                <w:spacing w:val="-2"/>
                <w:sz w:val="20"/>
              </w:rPr>
              <w:t>Students</w:t>
            </w:r>
          </w:p>
        </w:tc>
        <w:tc>
          <w:tcPr>
            <w:tcW w:w="703" w:type="dxa"/>
          </w:tcPr>
          <w:p>
            <w:pPr>
              <w:pStyle w:val="TableParagraph"/>
              <w:spacing w:line="210" w:lineRule="exact"/>
              <w:ind w:left="21" w:right="10"/>
              <w:jc w:val="center"/>
              <w:rPr>
                <w:sz w:val="20"/>
              </w:rPr>
            </w:pPr>
            <w:r>
              <w:rPr>
                <w:spacing w:val="-5"/>
                <w:sz w:val="20"/>
              </w:rPr>
              <w:t>162</w:t>
            </w:r>
          </w:p>
        </w:tc>
        <w:tc>
          <w:tcPr>
            <w:tcW w:w="733" w:type="dxa"/>
          </w:tcPr>
          <w:p>
            <w:pPr>
              <w:pStyle w:val="TableParagraph"/>
              <w:spacing w:line="210" w:lineRule="exact"/>
              <w:ind w:left="53" w:right="28"/>
              <w:jc w:val="center"/>
              <w:rPr>
                <w:sz w:val="20"/>
              </w:rPr>
            </w:pPr>
            <w:r>
              <w:rPr>
                <w:spacing w:val="-4"/>
                <w:sz w:val="20"/>
              </w:rPr>
              <w:t>68.9</w:t>
            </w:r>
          </w:p>
        </w:tc>
        <w:tc>
          <w:tcPr>
            <w:tcW w:w="519" w:type="dxa"/>
          </w:tcPr>
          <w:p>
            <w:pPr>
              <w:pStyle w:val="TableParagraph"/>
              <w:spacing w:line="210" w:lineRule="exact"/>
              <w:ind w:left="32" w:right="6"/>
              <w:jc w:val="center"/>
              <w:rPr>
                <w:sz w:val="20"/>
              </w:rPr>
            </w:pPr>
            <w:r>
              <w:rPr>
                <w:spacing w:val="-5"/>
                <w:sz w:val="20"/>
              </w:rPr>
              <w:t>54</w:t>
            </w:r>
          </w:p>
        </w:tc>
        <w:tc>
          <w:tcPr>
            <w:tcW w:w="817" w:type="dxa"/>
          </w:tcPr>
          <w:p>
            <w:pPr>
              <w:pStyle w:val="TableParagraph"/>
              <w:spacing w:line="210" w:lineRule="exact"/>
              <w:ind w:left="7" w:right="42"/>
              <w:jc w:val="center"/>
              <w:rPr>
                <w:sz w:val="20"/>
              </w:rPr>
            </w:pPr>
            <w:r>
              <w:rPr>
                <w:spacing w:val="-4"/>
                <w:sz w:val="20"/>
              </w:rPr>
              <w:t>23.0</w:t>
            </w:r>
          </w:p>
        </w:tc>
        <w:tc>
          <w:tcPr>
            <w:tcW w:w="632" w:type="dxa"/>
          </w:tcPr>
          <w:p>
            <w:pPr>
              <w:pStyle w:val="TableParagraph"/>
              <w:spacing w:line="210" w:lineRule="exact"/>
              <w:ind w:left="178"/>
              <w:rPr>
                <w:sz w:val="20"/>
              </w:rPr>
            </w:pPr>
            <w:r>
              <w:rPr>
                <w:spacing w:val="-5"/>
                <w:sz w:val="20"/>
              </w:rPr>
              <w:t>13</w:t>
            </w:r>
          </w:p>
        </w:tc>
        <w:tc>
          <w:tcPr>
            <w:tcW w:w="959" w:type="dxa"/>
          </w:tcPr>
          <w:p>
            <w:pPr>
              <w:pStyle w:val="TableParagraph"/>
              <w:spacing w:line="210" w:lineRule="exact"/>
              <w:ind w:left="3" w:right="4"/>
              <w:jc w:val="center"/>
              <w:rPr>
                <w:sz w:val="20"/>
              </w:rPr>
            </w:pPr>
            <w:r>
              <w:rPr>
                <w:spacing w:val="-5"/>
                <w:sz w:val="20"/>
              </w:rPr>
              <w:t>5.5</w:t>
            </w:r>
          </w:p>
        </w:tc>
        <w:tc>
          <w:tcPr>
            <w:tcW w:w="659" w:type="dxa"/>
          </w:tcPr>
          <w:p>
            <w:pPr>
              <w:pStyle w:val="TableParagraph"/>
              <w:spacing w:line="210" w:lineRule="exact"/>
              <w:ind w:left="19" w:right="2"/>
              <w:jc w:val="center"/>
              <w:rPr>
                <w:sz w:val="20"/>
              </w:rPr>
            </w:pPr>
            <w:r>
              <w:rPr>
                <w:spacing w:val="-10"/>
                <w:sz w:val="20"/>
              </w:rPr>
              <w:t>5</w:t>
            </w:r>
          </w:p>
        </w:tc>
        <w:tc>
          <w:tcPr>
            <w:tcW w:w="801" w:type="dxa"/>
          </w:tcPr>
          <w:p>
            <w:pPr>
              <w:pStyle w:val="TableParagraph"/>
              <w:spacing w:line="210" w:lineRule="exact"/>
              <w:ind w:left="5" w:right="10"/>
              <w:jc w:val="center"/>
              <w:rPr>
                <w:sz w:val="20"/>
              </w:rPr>
            </w:pPr>
            <w:r>
              <w:rPr>
                <w:spacing w:val="-5"/>
                <w:sz w:val="20"/>
              </w:rPr>
              <w:t>2.1</w:t>
            </w:r>
          </w:p>
        </w:tc>
        <w:tc>
          <w:tcPr>
            <w:tcW w:w="628" w:type="dxa"/>
          </w:tcPr>
          <w:p>
            <w:pPr>
              <w:pStyle w:val="TableParagraph"/>
              <w:spacing w:line="210" w:lineRule="exact"/>
              <w:ind w:left="11" w:right="19"/>
              <w:jc w:val="center"/>
              <w:rPr>
                <w:sz w:val="20"/>
              </w:rPr>
            </w:pPr>
            <w:r>
              <w:rPr>
                <w:spacing w:val="-10"/>
                <w:sz w:val="20"/>
              </w:rPr>
              <w:t>1</w:t>
            </w:r>
          </w:p>
        </w:tc>
        <w:tc>
          <w:tcPr>
            <w:tcW w:w="731" w:type="dxa"/>
          </w:tcPr>
          <w:p>
            <w:pPr>
              <w:pStyle w:val="TableParagraph"/>
              <w:spacing w:line="210" w:lineRule="exact"/>
              <w:ind w:left="69" w:right="23"/>
              <w:jc w:val="center"/>
              <w:rPr>
                <w:sz w:val="20"/>
              </w:rPr>
            </w:pPr>
            <w:r>
              <w:rPr>
                <w:spacing w:val="-5"/>
                <w:sz w:val="20"/>
              </w:rPr>
              <w:t>0.4</w:t>
            </w:r>
          </w:p>
        </w:tc>
        <w:tc>
          <w:tcPr>
            <w:tcW w:w="733" w:type="dxa"/>
          </w:tcPr>
          <w:p>
            <w:pPr>
              <w:pStyle w:val="TableParagraph"/>
              <w:spacing w:line="210" w:lineRule="exact"/>
              <w:ind w:right="188"/>
              <w:jc w:val="right"/>
              <w:rPr>
                <w:sz w:val="20"/>
              </w:rPr>
            </w:pPr>
            <w:r>
              <w:rPr>
                <w:spacing w:val="-5"/>
                <w:sz w:val="20"/>
              </w:rPr>
              <w:t>235</w:t>
            </w:r>
          </w:p>
        </w:tc>
        <w:tc>
          <w:tcPr>
            <w:tcW w:w="739" w:type="dxa"/>
            <w:tcBorders>
              <w:right w:val="single" w:sz="4" w:space="0" w:color="000000"/>
            </w:tcBorders>
          </w:tcPr>
          <w:p>
            <w:pPr>
              <w:pStyle w:val="TableParagraph"/>
              <w:spacing w:line="210" w:lineRule="exact"/>
              <w:ind w:left="36" w:right="36"/>
              <w:jc w:val="center"/>
              <w:rPr>
                <w:sz w:val="20"/>
              </w:rPr>
            </w:pPr>
            <w:r>
              <w:rPr>
                <w:spacing w:val="-4"/>
                <w:sz w:val="20"/>
              </w:rPr>
              <w:t>50.8</w:t>
            </w:r>
          </w:p>
        </w:tc>
      </w:tr>
      <w:tr>
        <w:trPr>
          <w:trHeight w:val="686" w:hRule="atLeast"/>
        </w:trPr>
        <w:tc>
          <w:tcPr>
            <w:tcW w:w="4148" w:type="dxa"/>
            <w:tcBorders>
              <w:left w:val="single" w:sz="4" w:space="0" w:color="000000"/>
            </w:tcBorders>
          </w:tcPr>
          <w:p>
            <w:pPr>
              <w:pStyle w:val="TableParagraph"/>
              <w:spacing w:line="235" w:lineRule="auto" w:before="1"/>
              <w:ind w:left="830"/>
              <w:rPr>
                <w:sz w:val="20"/>
              </w:rPr>
            </w:pPr>
            <w:r>
              <w:rPr>
                <w:sz w:val="20"/>
              </w:rPr>
              <w:t>accommodation</w:t>
            </w:r>
            <w:r>
              <w:rPr>
                <w:spacing w:val="40"/>
                <w:sz w:val="20"/>
              </w:rPr>
              <w:t> </w:t>
            </w:r>
            <w:r>
              <w:rPr>
                <w:sz w:val="20"/>
              </w:rPr>
              <w:t>is</w:t>
            </w:r>
            <w:r>
              <w:rPr>
                <w:spacing w:val="40"/>
                <w:sz w:val="20"/>
              </w:rPr>
              <w:t> </w:t>
            </w:r>
            <w:r>
              <w:rPr>
                <w:sz w:val="20"/>
              </w:rPr>
              <w:t>hazardous</w:t>
            </w:r>
            <w:r>
              <w:rPr>
                <w:spacing w:val="40"/>
                <w:sz w:val="20"/>
              </w:rPr>
              <w:t> </w:t>
            </w:r>
            <w:r>
              <w:rPr>
                <w:sz w:val="20"/>
              </w:rPr>
              <w:t>and vulnerable</w:t>
            </w:r>
            <w:r>
              <w:rPr>
                <w:spacing w:val="30"/>
                <w:sz w:val="20"/>
              </w:rPr>
              <w:t>  </w:t>
            </w:r>
            <w:r>
              <w:rPr>
                <w:sz w:val="20"/>
              </w:rPr>
              <w:t>to</w:t>
            </w:r>
            <w:r>
              <w:rPr>
                <w:spacing w:val="30"/>
                <w:sz w:val="20"/>
              </w:rPr>
              <w:t>  </w:t>
            </w:r>
            <w:r>
              <w:rPr>
                <w:sz w:val="20"/>
              </w:rPr>
              <w:t>epidemic</w:t>
            </w:r>
            <w:r>
              <w:rPr>
                <w:spacing w:val="30"/>
                <w:sz w:val="20"/>
              </w:rPr>
              <w:t>  </w:t>
            </w:r>
            <w:r>
              <w:rPr>
                <w:spacing w:val="-2"/>
                <w:sz w:val="20"/>
              </w:rPr>
              <w:t>outbreak</w:t>
            </w:r>
          </w:p>
          <w:p>
            <w:pPr>
              <w:pStyle w:val="TableParagraph"/>
              <w:spacing w:line="213" w:lineRule="exact" w:before="1"/>
              <w:ind w:left="830"/>
              <w:rPr>
                <w:sz w:val="20"/>
              </w:rPr>
            </w:pPr>
            <w:r>
              <w:rPr>
                <w:sz w:val="20"/>
              </w:rPr>
              <w:t>and</w:t>
            </w:r>
            <w:r>
              <w:rPr>
                <w:spacing w:val="74"/>
                <w:sz w:val="20"/>
              </w:rPr>
              <w:t> </w:t>
            </w:r>
            <w:r>
              <w:rPr>
                <w:sz w:val="20"/>
              </w:rPr>
              <w:t>very</w:t>
            </w:r>
            <w:r>
              <w:rPr>
                <w:spacing w:val="76"/>
                <w:sz w:val="20"/>
              </w:rPr>
              <w:t> </w:t>
            </w:r>
            <w:r>
              <w:rPr>
                <w:sz w:val="20"/>
              </w:rPr>
              <w:t>devastating</w:t>
            </w:r>
            <w:r>
              <w:rPr>
                <w:spacing w:val="74"/>
                <w:sz w:val="20"/>
              </w:rPr>
              <w:t> </w:t>
            </w:r>
            <w:r>
              <w:rPr>
                <w:sz w:val="20"/>
              </w:rPr>
              <w:t>to</w:t>
            </w:r>
            <w:r>
              <w:rPr>
                <w:spacing w:val="75"/>
                <w:sz w:val="20"/>
              </w:rPr>
              <w:t> </w:t>
            </w:r>
            <w:r>
              <w:rPr>
                <w:spacing w:val="-2"/>
                <w:sz w:val="20"/>
              </w:rPr>
              <w:t>students</w:t>
            </w:r>
          </w:p>
        </w:tc>
        <w:tc>
          <w:tcPr>
            <w:tcW w:w="1978" w:type="dxa"/>
          </w:tcPr>
          <w:p>
            <w:pPr>
              <w:pStyle w:val="TableParagraph"/>
              <w:spacing w:before="45"/>
              <w:ind w:left="109"/>
              <w:rPr>
                <w:sz w:val="20"/>
              </w:rPr>
            </w:pPr>
            <w:r>
              <w:rPr>
                <w:sz w:val="20"/>
              </w:rPr>
              <w:t>Service</w:t>
            </w:r>
            <w:r>
              <w:rPr>
                <w:spacing w:val="-9"/>
                <w:sz w:val="20"/>
              </w:rPr>
              <w:t> </w:t>
            </w:r>
            <w:r>
              <w:rPr>
                <w:spacing w:val="-2"/>
                <w:sz w:val="20"/>
              </w:rPr>
              <w:t>Staff</w:t>
            </w:r>
          </w:p>
          <w:p>
            <w:pPr>
              <w:pStyle w:val="TableParagraph"/>
              <w:spacing w:before="1"/>
              <w:ind w:left="109"/>
              <w:rPr>
                <w:sz w:val="20"/>
              </w:rPr>
            </w:pPr>
            <w:r>
              <w:rPr>
                <w:sz w:val="20"/>
              </w:rPr>
              <w:t>Top</w:t>
            </w:r>
            <w:r>
              <w:rPr>
                <w:spacing w:val="-1"/>
                <w:sz w:val="20"/>
              </w:rPr>
              <w:t> </w:t>
            </w:r>
            <w:r>
              <w:rPr>
                <w:spacing w:val="-2"/>
                <w:sz w:val="20"/>
              </w:rPr>
              <w:t>Management</w:t>
            </w:r>
          </w:p>
        </w:tc>
        <w:tc>
          <w:tcPr>
            <w:tcW w:w="703" w:type="dxa"/>
          </w:tcPr>
          <w:p>
            <w:pPr>
              <w:pStyle w:val="TableParagraph"/>
              <w:spacing w:before="45"/>
              <w:ind w:left="190"/>
              <w:rPr>
                <w:sz w:val="20"/>
              </w:rPr>
            </w:pPr>
            <w:r>
              <w:rPr>
                <w:spacing w:val="-5"/>
                <w:sz w:val="20"/>
              </w:rPr>
              <w:t>128</w:t>
            </w:r>
          </w:p>
          <w:p>
            <w:pPr>
              <w:pStyle w:val="TableParagraph"/>
              <w:spacing w:before="1"/>
              <w:ind w:left="109"/>
              <w:rPr>
                <w:sz w:val="20"/>
              </w:rPr>
            </w:pPr>
            <w:r>
              <w:rPr>
                <w:spacing w:val="-5"/>
                <w:sz w:val="20"/>
              </w:rPr>
              <w:t>12</w:t>
            </w:r>
          </w:p>
        </w:tc>
        <w:tc>
          <w:tcPr>
            <w:tcW w:w="733" w:type="dxa"/>
          </w:tcPr>
          <w:p>
            <w:pPr>
              <w:pStyle w:val="TableParagraph"/>
              <w:spacing w:before="45"/>
              <w:ind w:left="183"/>
              <w:rPr>
                <w:sz w:val="20"/>
              </w:rPr>
            </w:pPr>
            <w:r>
              <w:rPr>
                <w:spacing w:val="-4"/>
                <w:sz w:val="20"/>
              </w:rPr>
              <w:t>63.1</w:t>
            </w:r>
          </w:p>
          <w:p>
            <w:pPr>
              <w:pStyle w:val="TableParagraph"/>
              <w:spacing w:before="1"/>
              <w:ind w:left="183"/>
              <w:rPr>
                <w:sz w:val="20"/>
              </w:rPr>
            </w:pPr>
            <w:r>
              <w:rPr>
                <w:spacing w:val="-4"/>
                <w:sz w:val="20"/>
              </w:rPr>
              <w:t>52.2</w:t>
            </w:r>
          </w:p>
        </w:tc>
        <w:tc>
          <w:tcPr>
            <w:tcW w:w="519" w:type="dxa"/>
          </w:tcPr>
          <w:p>
            <w:pPr>
              <w:pStyle w:val="TableParagraph"/>
              <w:spacing w:before="45"/>
              <w:ind w:left="32" w:right="6"/>
              <w:jc w:val="center"/>
              <w:rPr>
                <w:sz w:val="20"/>
              </w:rPr>
            </w:pPr>
            <w:r>
              <w:rPr>
                <w:spacing w:val="-5"/>
                <w:sz w:val="20"/>
              </w:rPr>
              <w:t>50</w:t>
            </w:r>
          </w:p>
          <w:p>
            <w:pPr>
              <w:pStyle w:val="TableParagraph"/>
              <w:spacing w:before="1"/>
              <w:ind w:left="32" w:right="2"/>
              <w:jc w:val="center"/>
              <w:rPr>
                <w:sz w:val="20"/>
              </w:rPr>
            </w:pPr>
            <w:r>
              <w:rPr>
                <w:spacing w:val="-10"/>
                <w:sz w:val="20"/>
              </w:rPr>
              <w:t>8</w:t>
            </w:r>
          </w:p>
        </w:tc>
        <w:tc>
          <w:tcPr>
            <w:tcW w:w="817" w:type="dxa"/>
          </w:tcPr>
          <w:p>
            <w:pPr>
              <w:pStyle w:val="TableParagraph"/>
              <w:spacing w:before="45"/>
              <w:ind w:left="194"/>
              <w:rPr>
                <w:sz w:val="20"/>
              </w:rPr>
            </w:pPr>
            <w:r>
              <w:rPr>
                <w:spacing w:val="-4"/>
                <w:sz w:val="20"/>
              </w:rPr>
              <w:t>24.6</w:t>
            </w:r>
          </w:p>
          <w:p>
            <w:pPr>
              <w:pStyle w:val="TableParagraph"/>
              <w:spacing w:before="1"/>
              <w:ind w:left="194"/>
              <w:rPr>
                <w:sz w:val="20"/>
              </w:rPr>
            </w:pPr>
            <w:r>
              <w:rPr>
                <w:spacing w:val="-4"/>
                <w:sz w:val="20"/>
              </w:rPr>
              <w:t>34.8</w:t>
            </w:r>
          </w:p>
        </w:tc>
        <w:tc>
          <w:tcPr>
            <w:tcW w:w="632" w:type="dxa"/>
          </w:tcPr>
          <w:p>
            <w:pPr>
              <w:pStyle w:val="TableParagraph"/>
              <w:spacing w:before="45"/>
              <w:ind w:left="20" w:right="69"/>
              <w:jc w:val="center"/>
              <w:rPr>
                <w:sz w:val="20"/>
              </w:rPr>
            </w:pPr>
            <w:r>
              <w:rPr>
                <w:spacing w:val="-5"/>
                <w:sz w:val="20"/>
              </w:rPr>
              <w:t>15</w:t>
            </w:r>
          </w:p>
          <w:p>
            <w:pPr>
              <w:pStyle w:val="TableParagraph"/>
              <w:spacing w:before="1"/>
              <w:ind w:left="20" w:right="64"/>
              <w:jc w:val="center"/>
              <w:rPr>
                <w:sz w:val="20"/>
              </w:rPr>
            </w:pPr>
            <w:r>
              <w:rPr>
                <w:spacing w:val="-10"/>
                <w:sz w:val="20"/>
              </w:rPr>
              <w:t>1</w:t>
            </w:r>
          </w:p>
        </w:tc>
        <w:tc>
          <w:tcPr>
            <w:tcW w:w="959" w:type="dxa"/>
          </w:tcPr>
          <w:p>
            <w:pPr>
              <w:pStyle w:val="TableParagraph"/>
              <w:spacing w:before="45"/>
              <w:ind w:left="3" w:right="4"/>
              <w:jc w:val="center"/>
              <w:rPr>
                <w:sz w:val="20"/>
              </w:rPr>
            </w:pPr>
            <w:r>
              <w:rPr>
                <w:spacing w:val="-5"/>
                <w:sz w:val="20"/>
              </w:rPr>
              <w:t>7.4</w:t>
            </w:r>
          </w:p>
          <w:p>
            <w:pPr>
              <w:pStyle w:val="TableParagraph"/>
              <w:spacing w:before="1"/>
              <w:ind w:left="3" w:right="4"/>
              <w:jc w:val="center"/>
              <w:rPr>
                <w:sz w:val="20"/>
              </w:rPr>
            </w:pPr>
            <w:r>
              <w:rPr>
                <w:spacing w:val="-5"/>
                <w:sz w:val="20"/>
              </w:rPr>
              <w:t>4.3</w:t>
            </w:r>
          </w:p>
        </w:tc>
        <w:tc>
          <w:tcPr>
            <w:tcW w:w="659" w:type="dxa"/>
          </w:tcPr>
          <w:p>
            <w:pPr>
              <w:pStyle w:val="TableParagraph"/>
              <w:spacing w:before="45"/>
              <w:ind w:left="19" w:right="2"/>
              <w:jc w:val="center"/>
              <w:rPr>
                <w:sz w:val="20"/>
              </w:rPr>
            </w:pPr>
            <w:r>
              <w:rPr>
                <w:spacing w:val="-10"/>
                <w:sz w:val="20"/>
              </w:rPr>
              <w:t>3</w:t>
            </w:r>
          </w:p>
          <w:p>
            <w:pPr>
              <w:pStyle w:val="TableParagraph"/>
              <w:spacing w:before="1"/>
              <w:ind w:left="19" w:right="2"/>
              <w:jc w:val="center"/>
              <w:rPr>
                <w:sz w:val="20"/>
              </w:rPr>
            </w:pPr>
            <w:r>
              <w:rPr>
                <w:spacing w:val="-10"/>
                <w:sz w:val="20"/>
              </w:rPr>
              <w:t>2</w:t>
            </w:r>
          </w:p>
        </w:tc>
        <w:tc>
          <w:tcPr>
            <w:tcW w:w="801" w:type="dxa"/>
          </w:tcPr>
          <w:p>
            <w:pPr>
              <w:pStyle w:val="TableParagraph"/>
              <w:spacing w:before="45"/>
              <w:ind w:left="256"/>
              <w:rPr>
                <w:sz w:val="20"/>
              </w:rPr>
            </w:pPr>
            <w:r>
              <w:rPr>
                <w:spacing w:val="-5"/>
                <w:sz w:val="20"/>
              </w:rPr>
              <w:t>1.5</w:t>
            </w:r>
          </w:p>
          <w:p>
            <w:pPr>
              <w:pStyle w:val="TableParagraph"/>
              <w:spacing w:before="1"/>
              <w:ind w:left="256"/>
              <w:rPr>
                <w:sz w:val="20"/>
              </w:rPr>
            </w:pPr>
            <w:r>
              <w:rPr>
                <w:spacing w:val="-5"/>
                <w:sz w:val="20"/>
              </w:rPr>
              <w:t>8.7</w:t>
            </w:r>
          </w:p>
        </w:tc>
        <w:tc>
          <w:tcPr>
            <w:tcW w:w="628" w:type="dxa"/>
          </w:tcPr>
          <w:p>
            <w:pPr>
              <w:pStyle w:val="TableParagraph"/>
              <w:spacing w:before="45"/>
              <w:ind w:left="11" w:right="19"/>
              <w:jc w:val="center"/>
              <w:rPr>
                <w:sz w:val="20"/>
              </w:rPr>
            </w:pPr>
            <w:r>
              <w:rPr>
                <w:spacing w:val="-10"/>
                <w:sz w:val="20"/>
              </w:rPr>
              <w:t>7</w:t>
            </w:r>
          </w:p>
          <w:p>
            <w:pPr>
              <w:pStyle w:val="TableParagraph"/>
              <w:spacing w:before="1"/>
              <w:ind w:left="8" w:right="23"/>
              <w:jc w:val="center"/>
              <w:rPr>
                <w:sz w:val="20"/>
              </w:rPr>
            </w:pPr>
            <w:r>
              <w:rPr>
                <w:spacing w:val="-10"/>
                <w:sz w:val="20"/>
              </w:rPr>
              <w:t>-</w:t>
            </w:r>
          </w:p>
        </w:tc>
        <w:tc>
          <w:tcPr>
            <w:tcW w:w="731" w:type="dxa"/>
          </w:tcPr>
          <w:p>
            <w:pPr>
              <w:pStyle w:val="TableParagraph"/>
              <w:spacing w:before="45"/>
              <w:ind w:left="69" w:right="23"/>
              <w:jc w:val="center"/>
              <w:rPr>
                <w:sz w:val="20"/>
              </w:rPr>
            </w:pPr>
            <w:r>
              <w:rPr>
                <w:spacing w:val="-5"/>
                <w:sz w:val="20"/>
              </w:rPr>
              <w:t>3.4</w:t>
            </w:r>
          </w:p>
          <w:p>
            <w:pPr>
              <w:pStyle w:val="TableParagraph"/>
              <w:spacing w:before="1"/>
              <w:ind w:left="69" w:right="25"/>
              <w:jc w:val="center"/>
              <w:rPr>
                <w:sz w:val="20"/>
              </w:rPr>
            </w:pPr>
            <w:r>
              <w:rPr>
                <w:spacing w:val="-10"/>
                <w:sz w:val="20"/>
              </w:rPr>
              <w:t>-</w:t>
            </w:r>
          </w:p>
        </w:tc>
        <w:tc>
          <w:tcPr>
            <w:tcW w:w="733" w:type="dxa"/>
          </w:tcPr>
          <w:p>
            <w:pPr>
              <w:pStyle w:val="TableParagraph"/>
              <w:spacing w:before="45"/>
              <w:ind w:left="208"/>
              <w:rPr>
                <w:sz w:val="20"/>
              </w:rPr>
            </w:pPr>
            <w:r>
              <w:rPr>
                <w:spacing w:val="-5"/>
                <w:sz w:val="20"/>
              </w:rPr>
              <w:t>203</w:t>
            </w:r>
          </w:p>
          <w:p>
            <w:pPr>
              <w:pStyle w:val="TableParagraph"/>
              <w:spacing w:before="1"/>
              <w:ind w:left="266"/>
              <w:rPr>
                <w:sz w:val="20"/>
              </w:rPr>
            </w:pPr>
            <w:r>
              <w:rPr>
                <w:spacing w:val="-5"/>
                <w:sz w:val="20"/>
              </w:rPr>
              <w:t>23</w:t>
            </w:r>
          </w:p>
        </w:tc>
        <w:tc>
          <w:tcPr>
            <w:tcW w:w="739" w:type="dxa"/>
            <w:tcBorders>
              <w:right w:val="single" w:sz="4" w:space="0" w:color="000000"/>
            </w:tcBorders>
          </w:tcPr>
          <w:p>
            <w:pPr>
              <w:pStyle w:val="TableParagraph"/>
              <w:spacing w:before="45"/>
              <w:ind w:left="171"/>
              <w:rPr>
                <w:sz w:val="20"/>
              </w:rPr>
            </w:pPr>
            <w:r>
              <w:rPr>
                <w:spacing w:val="-4"/>
                <w:sz w:val="20"/>
              </w:rPr>
              <w:t>43.8</w:t>
            </w:r>
          </w:p>
          <w:p>
            <w:pPr>
              <w:pStyle w:val="TableParagraph"/>
              <w:spacing w:before="1"/>
              <w:ind w:left="224"/>
              <w:rPr>
                <w:sz w:val="20"/>
              </w:rPr>
            </w:pPr>
            <w:r>
              <w:rPr>
                <w:spacing w:val="-5"/>
                <w:sz w:val="20"/>
              </w:rPr>
              <w:t>5.0</w:t>
            </w:r>
          </w:p>
        </w:tc>
      </w:tr>
      <w:tr>
        <w:trPr>
          <w:trHeight w:val="230" w:hRule="atLeast"/>
        </w:trPr>
        <w:tc>
          <w:tcPr>
            <w:tcW w:w="4148" w:type="dxa"/>
            <w:tcBorders>
              <w:left w:val="single" w:sz="4" w:space="0" w:color="000000"/>
            </w:tcBorders>
          </w:tcPr>
          <w:p>
            <w:pPr>
              <w:pStyle w:val="TableParagraph"/>
              <w:spacing w:line="210" w:lineRule="exact"/>
              <w:ind w:left="830"/>
              <w:rPr>
                <w:sz w:val="20"/>
              </w:rPr>
            </w:pPr>
            <w:r>
              <w:rPr>
                <w:spacing w:val="-2"/>
                <w:sz w:val="20"/>
              </w:rPr>
              <w:t>health</w:t>
            </w:r>
          </w:p>
        </w:tc>
        <w:tc>
          <w:tcPr>
            <w:tcW w:w="1978" w:type="dxa"/>
          </w:tcPr>
          <w:p>
            <w:pPr>
              <w:pStyle w:val="TableParagraph"/>
              <w:rPr>
                <w:rFonts w:ascii="Times New Roman"/>
                <w:sz w:val="16"/>
              </w:rPr>
            </w:pPr>
          </w:p>
        </w:tc>
        <w:tc>
          <w:tcPr>
            <w:tcW w:w="703" w:type="dxa"/>
          </w:tcPr>
          <w:p>
            <w:pPr>
              <w:pStyle w:val="TableParagraph"/>
              <w:rPr>
                <w:rFonts w:ascii="Times New Roman"/>
                <w:sz w:val="16"/>
              </w:rPr>
            </w:pPr>
          </w:p>
        </w:tc>
        <w:tc>
          <w:tcPr>
            <w:tcW w:w="733" w:type="dxa"/>
          </w:tcPr>
          <w:p>
            <w:pPr>
              <w:pStyle w:val="TableParagraph"/>
              <w:rPr>
                <w:rFonts w:ascii="Times New Roman"/>
                <w:sz w:val="16"/>
              </w:rPr>
            </w:pPr>
          </w:p>
        </w:tc>
        <w:tc>
          <w:tcPr>
            <w:tcW w:w="519" w:type="dxa"/>
          </w:tcPr>
          <w:p>
            <w:pPr>
              <w:pStyle w:val="TableParagraph"/>
              <w:rPr>
                <w:rFonts w:ascii="Times New Roman"/>
                <w:sz w:val="16"/>
              </w:rPr>
            </w:pPr>
          </w:p>
        </w:tc>
        <w:tc>
          <w:tcPr>
            <w:tcW w:w="817" w:type="dxa"/>
          </w:tcPr>
          <w:p>
            <w:pPr>
              <w:pStyle w:val="TableParagraph"/>
              <w:rPr>
                <w:rFonts w:ascii="Times New Roman"/>
                <w:sz w:val="16"/>
              </w:rPr>
            </w:pPr>
          </w:p>
        </w:tc>
        <w:tc>
          <w:tcPr>
            <w:tcW w:w="632" w:type="dxa"/>
          </w:tcPr>
          <w:p>
            <w:pPr>
              <w:pStyle w:val="TableParagraph"/>
              <w:rPr>
                <w:rFonts w:ascii="Times New Roman"/>
                <w:sz w:val="16"/>
              </w:rPr>
            </w:pPr>
          </w:p>
        </w:tc>
        <w:tc>
          <w:tcPr>
            <w:tcW w:w="959" w:type="dxa"/>
          </w:tcPr>
          <w:p>
            <w:pPr>
              <w:pStyle w:val="TableParagraph"/>
              <w:rPr>
                <w:rFonts w:ascii="Times New Roman"/>
                <w:sz w:val="16"/>
              </w:rPr>
            </w:pPr>
          </w:p>
        </w:tc>
        <w:tc>
          <w:tcPr>
            <w:tcW w:w="659" w:type="dxa"/>
          </w:tcPr>
          <w:p>
            <w:pPr>
              <w:pStyle w:val="TableParagraph"/>
              <w:rPr>
                <w:rFonts w:ascii="Times New Roman"/>
                <w:sz w:val="16"/>
              </w:rPr>
            </w:pPr>
          </w:p>
        </w:tc>
        <w:tc>
          <w:tcPr>
            <w:tcW w:w="801" w:type="dxa"/>
          </w:tcPr>
          <w:p>
            <w:pPr>
              <w:pStyle w:val="TableParagraph"/>
              <w:rPr>
                <w:rFonts w:ascii="Times New Roman"/>
                <w:sz w:val="16"/>
              </w:rPr>
            </w:pPr>
          </w:p>
        </w:tc>
        <w:tc>
          <w:tcPr>
            <w:tcW w:w="628" w:type="dxa"/>
          </w:tcPr>
          <w:p>
            <w:pPr>
              <w:pStyle w:val="TableParagraph"/>
              <w:rPr>
                <w:rFonts w:ascii="Times New Roman"/>
                <w:sz w:val="16"/>
              </w:rPr>
            </w:pPr>
          </w:p>
        </w:tc>
        <w:tc>
          <w:tcPr>
            <w:tcW w:w="731" w:type="dxa"/>
          </w:tcPr>
          <w:p>
            <w:pPr>
              <w:pStyle w:val="TableParagraph"/>
              <w:rPr>
                <w:rFonts w:ascii="Times New Roman"/>
                <w:sz w:val="16"/>
              </w:rPr>
            </w:pPr>
          </w:p>
        </w:tc>
        <w:tc>
          <w:tcPr>
            <w:tcW w:w="733"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30" w:hRule="atLeast"/>
        </w:trPr>
        <w:tc>
          <w:tcPr>
            <w:tcW w:w="4148" w:type="dxa"/>
            <w:tcBorders>
              <w:left w:val="single" w:sz="4" w:space="0" w:color="000000"/>
            </w:tcBorders>
          </w:tcPr>
          <w:p>
            <w:pPr>
              <w:pStyle w:val="TableParagraph"/>
              <w:tabs>
                <w:tab w:pos="609" w:val="left" w:leader="none"/>
              </w:tabs>
              <w:spacing w:line="210" w:lineRule="exact"/>
              <w:ind w:right="107"/>
              <w:jc w:val="right"/>
              <w:rPr>
                <w:sz w:val="20"/>
              </w:rPr>
            </w:pPr>
            <w:r>
              <w:rPr>
                <w:spacing w:val="-5"/>
                <w:sz w:val="20"/>
              </w:rPr>
              <w:t>41.</w:t>
            </w:r>
            <w:r>
              <w:rPr>
                <w:sz w:val="20"/>
              </w:rPr>
              <w:tab/>
              <w:t>Pairing</w:t>
            </w:r>
            <w:r>
              <w:rPr>
                <w:spacing w:val="63"/>
                <w:w w:val="150"/>
                <w:sz w:val="20"/>
              </w:rPr>
              <w:t> </w:t>
            </w:r>
            <w:r>
              <w:rPr>
                <w:sz w:val="20"/>
              </w:rPr>
              <w:t>of</w:t>
            </w:r>
            <w:r>
              <w:rPr>
                <w:spacing w:val="68"/>
                <w:w w:val="150"/>
                <w:sz w:val="20"/>
              </w:rPr>
              <w:t> </w:t>
            </w:r>
            <w:r>
              <w:rPr>
                <w:sz w:val="20"/>
              </w:rPr>
              <w:t>more</w:t>
            </w:r>
            <w:r>
              <w:rPr>
                <w:spacing w:val="63"/>
                <w:w w:val="150"/>
                <w:sz w:val="20"/>
              </w:rPr>
              <w:t> </w:t>
            </w:r>
            <w:r>
              <w:rPr>
                <w:sz w:val="20"/>
              </w:rPr>
              <w:t>students</w:t>
            </w:r>
            <w:r>
              <w:rPr>
                <w:spacing w:val="61"/>
                <w:w w:val="150"/>
                <w:sz w:val="20"/>
              </w:rPr>
              <w:t> </w:t>
            </w:r>
            <w:r>
              <w:rPr>
                <w:sz w:val="20"/>
              </w:rPr>
              <w:t>in</w:t>
            </w:r>
            <w:r>
              <w:rPr>
                <w:spacing w:val="64"/>
                <w:w w:val="150"/>
                <w:sz w:val="20"/>
              </w:rPr>
              <w:t> </w:t>
            </w:r>
            <w:r>
              <w:rPr>
                <w:spacing w:val="-5"/>
                <w:sz w:val="20"/>
              </w:rPr>
              <w:t>the</w:t>
            </w:r>
          </w:p>
        </w:tc>
        <w:tc>
          <w:tcPr>
            <w:tcW w:w="1978" w:type="dxa"/>
          </w:tcPr>
          <w:p>
            <w:pPr>
              <w:pStyle w:val="TableParagraph"/>
              <w:spacing w:line="210" w:lineRule="exact"/>
              <w:ind w:left="109"/>
              <w:rPr>
                <w:sz w:val="20"/>
              </w:rPr>
            </w:pPr>
            <w:r>
              <w:rPr>
                <w:sz w:val="20"/>
              </w:rPr>
              <w:t>No.</w:t>
            </w:r>
            <w:r>
              <w:rPr>
                <w:spacing w:val="-5"/>
                <w:sz w:val="20"/>
              </w:rPr>
              <w:t> </w:t>
            </w:r>
            <w:r>
              <w:rPr>
                <w:sz w:val="20"/>
              </w:rPr>
              <w:t>of</w:t>
            </w:r>
            <w:r>
              <w:rPr>
                <w:spacing w:val="-2"/>
                <w:sz w:val="20"/>
              </w:rPr>
              <w:t> missing</w:t>
            </w:r>
          </w:p>
        </w:tc>
        <w:tc>
          <w:tcPr>
            <w:tcW w:w="703" w:type="dxa"/>
          </w:tcPr>
          <w:p>
            <w:pPr>
              <w:pStyle w:val="TableParagraph"/>
              <w:rPr>
                <w:rFonts w:ascii="Times New Roman"/>
                <w:sz w:val="16"/>
              </w:rPr>
            </w:pPr>
          </w:p>
        </w:tc>
        <w:tc>
          <w:tcPr>
            <w:tcW w:w="733" w:type="dxa"/>
          </w:tcPr>
          <w:p>
            <w:pPr>
              <w:pStyle w:val="TableParagraph"/>
              <w:rPr>
                <w:rFonts w:ascii="Times New Roman"/>
                <w:sz w:val="16"/>
              </w:rPr>
            </w:pPr>
          </w:p>
        </w:tc>
        <w:tc>
          <w:tcPr>
            <w:tcW w:w="519" w:type="dxa"/>
          </w:tcPr>
          <w:p>
            <w:pPr>
              <w:pStyle w:val="TableParagraph"/>
              <w:rPr>
                <w:rFonts w:ascii="Times New Roman"/>
                <w:sz w:val="16"/>
              </w:rPr>
            </w:pPr>
          </w:p>
        </w:tc>
        <w:tc>
          <w:tcPr>
            <w:tcW w:w="817" w:type="dxa"/>
          </w:tcPr>
          <w:p>
            <w:pPr>
              <w:pStyle w:val="TableParagraph"/>
              <w:rPr>
                <w:rFonts w:ascii="Times New Roman"/>
                <w:sz w:val="16"/>
              </w:rPr>
            </w:pPr>
          </w:p>
        </w:tc>
        <w:tc>
          <w:tcPr>
            <w:tcW w:w="632" w:type="dxa"/>
          </w:tcPr>
          <w:p>
            <w:pPr>
              <w:pStyle w:val="TableParagraph"/>
              <w:rPr>
                <w:rFonts w:ascii="Times New Roman"/>
                <w:sz w:val="16"/>
              </w:rPr>
            </w:pPr>
          </w:p>
        </w:tc>
        <w:tc>
          <w:tcPr>
            <w:tcW w:w="959" w:type="dxa"/>
          </w:tcPr>
          <w:p>
            <w:pPr>
              <w:pStyle w:val="TableParagraph"/>
              <w:rPr>
                <w:rFonts w:ascii="Times New Roman"/>
                <w:sz w:val="16"/>
              </w:rPr>
            </w:pPr>
          </w:p>
        </w:tc>
        <w:tc>
          <w:tcPr>
            <w:tcW w:w="659" w:type="dxa"/>
          </w:tcPr>
          <w:p>
            <w:pPr>
              <w:pStyle w:val="TableParagraph"/>
              <w:rPr>
                <w:rFonts w:ascii="Times New Roman"/>
                <w:sz w:val="16"/>
              </w:rPr>
            </w:pPr>
          </w:p>
        </w:tc>
        <w:tc>
          <w:tcPr>
            <w:tcW w:w="801" w:type="dxa"/>
          </w:tcPr>
          <w:p>
            <w:pPr>
              <w:pStyle w:val="TableParagraph"/>
              <w:rPr>
                <w:rFonts w:ascii="Times New Roman"/>
                <w:sz w:val="16"/>
              </w:rPr>
            </w:pPr>
          </w:p>
        </w:tc>
        <w:tc>
          <w:tcPr>
            <w:tcW w:w="628" w:type="dxa"/>
          </w:tcPr>
          <w:p>
            <w:pPr>
              <w:pStyle w:val="TableParagraph"/>
              <w:rPr>
                <w:rFonts w:ascii="Times New Roman"/>
                <w:sz w:val="16"/>
              </w:rPr>
            </w:pPr>
          </w:p>
        </w:tc>
        <w:tc>
          <w:tcPr>
            <w:tcW w:w="731" w:type="dxa"/>
          </w:tcPr>
          <w:p>
            <w:pPr>
              <w:pStyle w:val="TableParagraph"/>
              <w:rPr>
                <w:rFonts w:ascii="Times New Roman"/>
                <w:sz w:val="16"/>
              </w:rPr>
            </w:pPr>
          </w:p>
        </w:tc>
        <w:tc>
          <w:tcPr>
            <w:tcW w:w="733"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30" w:hRule="atLeast"/>
        </w:trPr>
        <w:tc>
          <w:tcPr>
            <w:tcW w:w="4148" w:type="dxa"/>
            <w:tcBorders>
              <w:left w:val="single" w:sz="4" w:space="0" w:color="000000"/>
            </w:tcBorders>
          </w:tcPr>
          <w:p>
            <w:pPr>
              <w:pStyle w:val="TableParagraph"/>
              <w:tabs>
                <w:tab w:pos="820" w:val="left" w:leader="none"/>
                <w:tab w:pos="1791" w:val="left" w:leader="none"/>
              </w:tabs>
              <w:spacing w:line="210" w:lineRule="exact"/>
              <w:ind w:right="100"/>
              <w:jc w:val="right"/>
              <w:rPr>
                <w:sz w:val="20"/>
              </w:rPr>
            </w:pPr>
            <w:r>
              <w:rPr>
                <w:spacing w:val="-2"/>
                <w:sz w:val="20"/>
              </w:rPr>
              <w:t>rooms</w:t>
            </w:r>
            <w:r>
              <w:rPr>
                <w:sz w:val="20"/>
              </w:rPr>
              <w:tab/>
            </w:r>
            <w:r>
              <w:rPr>
                <w:spacing w:val="-2"/>
                <w:sz w:val="20"/>
              </w:rPr>
              <w:t>reduces</w:t>
            </w:r>
            <w:r>
              <w:rPr>
                <w:sz w:val="20"/>
              </w:rPr>
              <w:tab/>
            </w:r>
            <w:r>
              <w:rPr>
                <w:spacing w:val="-2"/>
                <w:sz w:val="20"/>
              </w:rPr>
              <w:t>accommodation</w:t>
            </w:r>
          </w:p>
        </w:tc>
        <w:tc>
          <w:tcPr>
            <w:tcW w:w="1978" w:type="dxa"/>
          </w:tcPr>
          <w:p>
            <w:pPr>
              <w:pStyle w:val="TableParagraph"/>
              <w:spacing w:line="210" w:lineRule="exact"/>
              <w:ind w:left="109"/>
              <w:rPr>
                <w:sz w:val="20"/>
              </w:rPr>
            </w:pPr>
            <w:r>
              <w:rPr>
                <w:spacing w:val="-2"/>
                <w:sz w:val="20"/>
              </w:rPr>
              <w:t>observations</w:t>
            </w:r>
          </w:p>
        </w:tc>
        <w:tc>
          <w:tcPr>
            <w:tcW w:w="703" w:type="dxa"/>
          </w:tcPr>
          <w:p>
            <w:pPr>
              <w:pStyle w:val="TableParagraph"/>
              <w:spacing w:line="210" w:lineRule="exact"/>
              <w:ind w:left="21"/>
              <w:jc w:val="center"/>
              <w:rPr>
                <w:sz w:val="20"/>
              </w:rPr>
            </w:pPr>
            <w:r>
              <w:rPr>
                <w:spacing w:val="-10"/>
                <w:sz w:val="20"/>
              </w:rPr>
              <w:t>1</w:t>
            </w:r>
          </w:p>
        </w:tc>
        <w:tc>
          <w:tcPr>
            <w:tcW w:w="733" w:type="dxa"/>
          </w:tcPr>
          <w:p>
            <w:pPr>
              <w:pStyle w:val="TableParagraph"/>
              <w:spacing w:line="210" w:lineRule="exact"/>
              <w:ind w:left="53" w:right="28"/>
              <w:jc w:val="center"/>
              <w:rPr>
                <w:sz w:val="20"/>
              </w:rPr>
            </w:pPr>
            <w:r>
              <w:rPr>
                <w:spacing w:val="-4"/>
                <w:sz w:val="20"/>
              </w:rPr>
              <w:t>50.0</w:t>
            </w:r>
          </w:p>
        </w:tc>
        <w:tc>
          <w:tcPr>
            <w:tcW w:w="519" w:type="dxa"/>
          </w:tcPr>
          <w:p>
            <w:pPr>
              <w:pStyle w:val="TableParagraph"/>
              <w:spacing w:line="210" w:lineRule="exact"/>
              <w:ind w:left="32" w:right="8"/>
              <w:jc w:val="center"/>
              <w:rPr>
                <w:sz w:val="20"/>
              </w:rPr>
            </w:pPr>
            <w:r>
              <w:rPr>
                <w:spacing w:val="-10"/>
                <w:sz w:val="20"/>
              </w:rPr>
              <w:t>-</w:t>
            </w:r>
          </w:p>
        </w:tc>
        <w:tc>
          <w:tcPr>
            <w:tcW w:w="817" w:type="dxa"/>
          </w:tcPr>
          <w:p>
            <w:pPr>
              <w:pStyle w:val="TableParagraph"/>
              <w:spacing w:line="210" w:lineRule="exact"/>
              <w:ind w:right="42"/>
              <w:jc w:val="center"/>
              <w:rPr>
                <w:sz w:val="20"/>
              </w:rPr>
            </w:pPr>
            <w:r>
              <w:rPr>
                <w:spacing w:val="-10"/>
                <w:sz w:val="20"/>
              </w:rPr>
              <w:t>-</w:t>
            </w:r>
          </w:p>
        </w:tc>
        <w:tc>
          <w:tcPr>
            <w:tcW w:w="632" w:type="dxa"/>
          </w:tcPr>
          <w:p>
            <w:pPr>
              <w:pStyle w:val="TableParagraph"/>
              <w:spacing w:line="210" w:lineRule="exact"/>
              <w:ind w:left="236"/>
              <w:rPr>
                <w:sz w:val="20"/>
              </w:rPr>
            </w:pPr>
            <w:r>
              <w:rPr>
                <w:spacing w:val="-10"/>
                <w:sz w:val="20"/>
              </w:rPr>
              <w:t>1</w:t>
            </w:r>
          </w:p>
        </w:tc>
        <w:tc>
          <w:tcPr>
            <w:tcW w:w="959" w:type="dxa"/>
          </w:tcPr>
          <w:p>
            <w:pPr>
              <w:pStyle w:val="TableParagraph"/>
              <w:spacing w:line="210" w:lineRule="exact"/>
              <w:ind w:left="4" w:right="1"/>
              <w:jc w:val="center"/>
              <w:rPr>
                <w:sz w:val="20"/>
              </w:rPr>
            </w:pPr>
            <w:r>
              <w:rPr>
                <w:spacing w:val="-4"/>
                <w:sz w:val="20"/>
              </w:rPr>
              <w:t>50.0</w:t>
            </w:r>
          </w:p>
        </w:tc>
        <w:tc>
          <w:tcPr>
            <w:tcW w:w="659" w:type="dxa"/>
          </w:tcPr>
          <w:p>
            <w:pPr>
              <w:pStyle w:val="TableParagraph"/>
              <w:spacing w:line="210" w:lineRule="exact"/>
              <w:ind w:left="19" w:right="8"/>
              <w:jc w:val="center"/>
              <w:rPr>
                <w:sz w:val="20"/>
              </w:rPr>
            </w:pPr>
            <w:r>
              <w:rPr>
                <w:spacing w:val="-10"/>
                <w:sz w:val="20"/>
              </w:rPr>
              <w:t>-</w:t>
            </w:r>
          </w:p>
        </w:tc>
        <w:tc>
          <w:tcPr>
            <w:tcW w:w="801" w:type="dxa"/>
          </w:tcPr>
          <w:p>
            <w:pPr>
              <w:pStyle w:val="TableParagraph"/>
              <w:spacing w:line="210" w:lineRule="exact"/>
              <w:ind w:left="4" w:right="10"/>
              <w:jc w:val="center"/>
              <w:rPr>
                <w:sz w:val="20"/>
              </w:rPr>
            </w:pPr>
            <w:r>
              <w:rPr>
                <w:spacing w:val="-10"/>
                <w:sz w:val="20"/>
              </w:rPr>
              <w:t>-</w:t>
            </w:r>
          </w:p>
        </w:tc>
        <w:tc>
          <w:tcPr>
            <w:tcW w:w="628" w:type="dxa"/>
          </w:tcPr>
          <w:p>
            <w:pPr>
              <w:pStyle w:val="TableParagraph"/>
              <w:spacing w:line="210" w:lineRule="exact"/>
              <w:ind w:left="8" w:right="23"/>
              <w:jc w:val="center"/>
              <w:rPr>
                <w:sz w:val="20"/>
              </w:rPr>
            </w:pPr>
            <w:r>
              <w:rPr>
                <w:spacing w:val="-10"/>
                <w:sz w:val="20"/>
              </w:rPr>
              <w:t>-</w:t>
            </w:r>
          </w:p>
        </w:tc>
        <w:tc>
          <w:tcPr>
            <w:tcW w:w="731" w:type="dxa"/>
          </w:tcPr>
          <w:p>
            <w:pPr>
              <w:pStyle w:val="TableParagraph"/>
              <w:spacing w:line="210" w:lineRule="exact"/>
              <w:ind w:left="69" w:right="25"/>
              <w:jc w:val="center"/>
              <w:rPr>
                <w:sz w:val="20"/>
              </w:rPr>
            </w:pPr>
            <w:r>
              <w:rPr>
                <w:spacing w:val="-10"/>
                <w:sz w:val="20"/>
              </w:rPr>
              <w:t>-</w:t>
            </w:r>
          </w:p>
        </w:tc>
        <w:tc>
          <w:tcPr>
            <w:tcW w:w="733" w:type="dxa"/>
          </w:tcPr>
          <w:p>
            <w:pPr>
              <w:pStyle w:val="TableParagraph"/>
              <w:spacing w:line="210" w:lineRule="exact"/>
              <w:ind w:left="53" w:right="26"/>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38"/>
              <w:jc w:val="center"/>
              <w:rPr>
                <w:sz w:val="20"/>
              </w:rPr>
            </w:pPr>
            <w:r>
              <w:rPr>
                <w:spacing w:val="-5"/>
                <w:sz w:val="20"/>
              </w:rPr>
              <w:t>0.4</w:t>
            </w:r>
          </w:p>
        </w:tc>
      </w:tr>
      <w:tr>
        <w:trPr>
          <w:trHeight w:val="235" w:hRule="atLeast"/>
        </w:trPr>
        <w:tc>
          <w:tcPr>
            <w:tcW w:w="4148" w:type="dxa"/>
            <w:tcBorders>
              <w:left w:val="single" w:sz="4" w:space="0" w:color="000000"/>
            </w:tcBorders>
          </w:tcPr>
          <w:p>
            <w:pPr>
              <w:pStyle w:val="TableParagraph"/>
              <w:spacing w:line="215" w:lineRule="exact"/>
              <w:ind w:left="830"/>
              <w:rPr>
                <w:sz w:val="20"/>
              </w:rPr>
            </w:pPr>
            <w:r>
              <w:rPr>
                <w:sz w:val="20"/>
              </w:rPr>
              <w:t>problem</w:t>
            </w:r>
            <w:r>
              <w:rPr>
                <w:spacing w:val="-5"/>
                <w:sz w:val="20"/>
              </w:rPr>
              <w:t> </w:t>
            </w:r>
            <w:r>
              <w:rPr>
                <w:sz w:val="20"/>
              </w:rPr>
              <w:t>for</w:t>
            </w:r>
            <w:r>
              <w:rPr>
                <w:spacing w:val="-4"/>
                <w:sz w:val="20"/>
              </w:rPr>
              <w:t> </w:t>
            </w:r>
            <w:r>
              <w:rPr>
                <w:sz w:val="20"/>
              </w:rPr>
              <w:t>the</w:t>
            </w:r>
            <w:r>
              <w:rPr>
                <w:spacing w:val="-1"/>
                <w:sz w:val="20"/>
              </w:rPr>
              <w:t> </w:t>
            </w:r>
            <w:r>
              <w:rPr>
                <w:spacing w:val="-2"/>
                <w:sz w:val="20"/>
              </w:rPr>
              <w:t>students</w:t>
            </w:r>
          </w:p>
        </w:tc>
        <w:tc>
          <w:tcPr>
            <w:tcW w:w="1978" w:type="dxa"/>
          </w:tcPr>
          <w:p>
            <w:pPr>
              <w:pStyle w:val="TableParagraph"/>
              <w:spacing w:line="215" w:lineRule="exact"/>
              <w:ind w:left="109"/>
              <w:rPr>
                <w:sz w:val="20"/>
              </w:rPr>
            </w:pPr>
            <w:r>
              <w:rPr>
                <w:spacing w:val="-2"/>
                <w:sz w:val="20"/>
              </w:rPr>
              <w:t>Students</w:t>
            </w:r>
          </w:p>
        </w:tc>
        <w:tc>
          <w:tcPr>
            <w:tcW w:w="703" w:type="dxa"/>
          </w:tcPr>
          <w:p>
            <w:pPr>
              <w:pStyle w:val="TableParagraph"/>
              <w:spacing w:line="215" w:lineRule="exact"/>
              <w:ind w:left="21" w:right="5"/>
              <w:jc w:val="center"/>
              <w:rPr>
                <w:sz w:val="20"/>
              </w:rPr>
            </w:pPr>
            <w:r>
              <w:rPr>
                <w:spacing w:val="-5"/>
                <w:sz w:val="20"/>
              </w:rPr>
              <w:t>35</w:t>
            </w:r>
          </w:p>
        </w:tc>
        <w:tc>
          <w:tcPr>
            <w:tcW w:w="733" w:type="dxa"/>
          </w:tcPr>
          <w:p>
            <w:pPr>
              <w:pStyle w:val="TableParagraph"/>
              <w:spacing w:line="215" w:lineRule="exact"/>
              <w:ind w:left="53" w:right="28"/>
              <w:jc w:val="center"/>
              <w:rPr>
                <w:sz w:val="20"/>
              </w:rPr>
            </w:pPr>
            <w:r>
              <w:rPr>
                <w:spacing w:val="-4"/>
                <w:sz w:val="20"/>
              </w:rPr>
              <w:t>14.9</w:t>
            </w:r>
          </w:p>
        </w:tc>
        <w:tc>
          <w:tcPr>
            <w:tcW w:w="519" w:type="dxa"/>
          </w:tcPr>
          <w:p>
            <w:pPr>
              <w:pStyle w:val="TableParagraph"/>
              <w:spacing w:line="215" w:lineRule="exact"/>
              <w:ind w:left="32" w:right="6"/>
              <w:jc w:val="center"/>
              <w:rPr>
                <w:sz w:val="20"/>
              </w:rPr>
            </w:pPr>
            <w:r>
              <w:rPr>
                <w:spacing w:val="-5"/>
                <w:sz w:val="20"/>
              </w:rPr>
              <w:t>60</w:t>
            </w:r>
          </w:p>
        </w:tc>
        <w:tc>
          <w:tcPr>
            <w:tcW w:w="817" w:type="dxa"/>
          </w:tcPr>
          <w:p>
            <w:pPr>
              <w:pStyle w:val="TableParagraph"/>
              <w:spacing w:line="215" w:lineRule="exact"/>
              <w:ind w:left="7" w:right="42"/>
              <w:jc w:val="center"/>
              <w:rPr>
                <w:sz w:val="20"/>
              </w:rPr>
            </w:pPr>
            <w:r>
              <w:rPr>
                <w:spacing w:val="-4"/>
                <w:sz w:val="20"/>
              </w:rPr>
              <w:t>25.5</w:t>
            </w:r>
          </w:p>
        </w:tc>
        <w:tc>
          <w:tcPr>
            <w:tcW w:w="632" w:type="dxa"/>
          </w:tcPr>
          <w:p>
            <w:pPr>
              <w:pStyle w:val="TableParagraph"/>
              <w:spacing w:line="215" w:lineRule="exact"/>
              <w:ind w:left="178"/>
              <w:rPr>
                <w:sz w:val="20"/>
              </w:rPr>
            </w:pPr>
            <w:r>
              <w:rPr>
                <w:spacing w:val="-5"/>
                <w:sz w:val="20"/>
              </w:rPr>
              <w:t>27</w:t>
            </w:r>
          </w:p>
        </w:tc>
        <w:tc>
          <w:tcPr>
            <w:tcW w:w="959" w:type="dxa"/>
          </w:tcPr>
          <w:p>
            <w:pPr>
              <w:pStyle w:val="TableParagraph"/>
              <w:spacing w:line="215" w:lineRule="exact"/>
              <w:ind w:left="4" w:right="1"/>
              <w:jc w:val="center"/>
              <w:rPr>
                <w:sz w:val="20"/>
              </w:rPr>
            </w:pPr>
            <w:r>
              <w:rPr>
                <w:spacing w:val="-4"/>
                <w:sz w:val="20"/>
              </w:rPr>
              <w:t>11.5</w:t>
            </w:r>
          </w:p>
        </w:tc>
        <w:tc>
          <w:tcPr>
            <w:tcW w:w="659" w:type="dxa"/>
          </w:tcPr>
          <w:p>
            <w:pPr>
              <w:pStyle w:val="TableParagraph"/>
              <w:spacing w:line="215" w:lineRule="exact"/>
              <w:ind w:left="19" w:right="6"/>
              <w:jc w:val="center"/>
              <w:rPr>
                <w:sz w:val="20"/>
              </w:rPr>
            </w:pPr>
            <w:r>
              <w:rPr>
                <w:spacing w:val="-5"/>
                <w:sz w:val="20"/>
              </w:rPr>
              <w:t>61</w:t>
            </w:r>
          </w:p>
        </w:tc>
        <w:tc>
          <w:tcPr>
            <w:tcW w:w="801" w:type="dxa"/>
          </w:tcPr>
          <w:p>
            <w:pPr>
              <w:pStyle w:val="TableParagraph"/>
              <w:spacing w:line="215" w:lineRule="exact"/>
              <w:ind w:left="10" w:right="10"/>
              <w:jc w:val="center"/>
              <w:rPr>
                <w:sz w:val="20"/>
              </w:rPr>
            </w:pPr>
            <w:r>
              <w:rPr>
                <w:spacing w:val="-4"/>
                <w:sz w:val="20"/>
              </w:rPr>
              <w:t>26.0</w:t>
            </w:r>
          </w:p>
        </w:tc>
        <w:tc>
          <w:tcPr>
            <w:tcW w:w="628" w:type="dxa"/>
          </w:tcPr>
          <w:p>
            <w:pPr>
              <w:pStyle w:val="TableParagraph"/>
              <w:spacing w:line="215" w:lineRule="exact"/>
              <w:ind w:left="8" w:right="21"/>
              <w:jc w:val="center"/>
              <w:rPr>
                <w:sz w:val="20"/>
              </w:rPr>
            </w:pPr>
            <w:r>
              <w:rPr>
                <w:spacing w:val="-5"/>
                <w:sz w:val="20"/>
              </w:rPr>
              <w:t>52</w:t>
            </w:r>
          </w:p>
        </w:tc>
        <w:tc>
          <w:tcPr>
            <w:tcW w:w="731" w:type="dxa"/>
          </w:tcPr>
          <w:p>
            <w:pPr>
              <w:pStyle w:val="TableParagraph"/>
              <w:spacing w:line="215" w:lineRule="exact"/>
              <w:ind w:left="69" w:right="18"/>
              <w:jc w:val="center"/>
              <w:rPr>
                <w:sz w:val="20"/>
              </w:rPr>
            </w:pPr>
            <w:r>
              <w:rPr>
                <w:spacing w:val="-4"/>
                <w:sz w:val="20"/>
              </w:rPr>
              <w:t>22.1</w:t>
            </w:r>
          </w:p>
        </w:tc>
        <w:tc>
          <w:tcPr>
            <w:tcW w:w="733" w:type="dxa"/>
          </w:tcPr>
          <w:p>
            <w:pPr>
              <w:pStyle w:val="TableParagraph"/>
              <w:spacing w:line="215" w:lineRule="exact"/>
              <w:ind w:right="188"/>
              <w:jc w:val="right"/>
              <w:rPr>
                <w:sz w:val="20"/>
              </w:rPr>
            </w:pPr>
            <w:r>
              <w:rPr>
                <w:spacing w:val="-5"/>
                <w:sz w:val="20"/>
              </w:rPr>
              <w:t>235</w:t>
            </w:r>
          </w:p>
        </w:tc>
        <w:tc>
          <w:tcPr>
            <w:tcW w:w="739" w:type="dxa"/>
            <w:tcBorders>
              <w:right w:val="single" w:sz="4" w:space="0" w:color="000000"/>
            </w:tcBorders>
          </w:tcPr>
          <w:p>
            <w:pPr>
              <w:pStyle w:val="TableParagraph"/>
              <w:spacing w:line="215" w:lineRule="exact"/>
              <w:ind w:left="36" w:right="36"/>
              <w:jc w:val="center"/>
              <w:rPr>
                <w:sz w:val="20"/>
              </w:rPr>
            </w:pPr>
            <w:r>
              <w:rPr>
                <w:spacing w:val="-4"/>
                <w:sz w:val="20"/>
              </w:rPr>
              <w:t>50.8</w:t>
            </w:r>
          </w:p>
        </w:tc>
      </w:tr>
      <w:tr>
        <w:trPr>
          <w:trHeight w:val="235" w:hRule="atLeast"/>
        </w:trPr>
        <w:tc>
          <w:tcPr>
            <w:tcW w:w="4148" w:type="dxa"/>
            <w:tcBorders>
              <w:left w:val="single" w:sz="4" w:space="0" w:color="000000"/>
            </w:tcBorders>
          </w:tcPr>
          <w:p>
            <w:pPr>
              <w:pStyle w:val="TableParagraph"/>
              <w:rPr>
                <w:rFonts w:ascii="Times New Roman"/>
                <w:sz w:val="16"/>
              </w:rPr>
            </w:pPr>
          </w:p>
        </w:tc>
        <w:tc>
          <w:tcPr>
            <w:tcW w:w="1978" w:type="dxa"/>
          </w:tcPr>
          <w:p>
            <w:pPr>
              <w:pStyle w:val="TableParagraph"/>
              <w:spacing w:line="213" w:lineRule="exact" w:before="2"/>
              <w:ind w:left="109"/>
              <w:rPr>
                <w:sz w:val="20"/>
              </w:rPr>
            </w:pPr>
            <w:r>
              <w:rPr>
                <w:sz w:val="20"/>
              </w:rPr>
              <w:t>Service</w:t>
            </w:r>
            <w:r>
              <w:rPr>
                <w:spacing w:val="-9"/>
                <w:sz w:val="20"/>
              </w:rPr>
              <w:t> </w:t>
            </w:r>
            <w:r>
              <w:rPr>
                <w:spacing w:val="-2"/>
                <w:sz w:val="20"/>
              </w:rPr>
              <w:t>Staff</w:t>
            </w:r>
          </w:p>
        </w:tc>
        <w:tc>
          <w:tcPr>
            <w:tcW w:w="703" w:type="dxa"/>
          </w:tcPr>
          <w:p>
            <w:pPr>
              <w:pStyle w:val="TableParagraph"/>
              <w:spacing w:line="213" w:lineRule="exact" w:before="2"/>
              <w:ind w:left="21" w:right="5"/>
              <w:jc w:val="center"/>
              <w:rPr>
                <w:sz w:val="20"/>
              </w:rPr>
            </w:pPr>
            <w:r>
              <w:rPr>
                <w:spacing w:val="-5"/>
                <w:sz w:val="20"/>
              </w:rPr>
              <w:t>21</w:t>
            </w:r>
          </w:p>
        </w:tc>
        <w:tc>
          <w:tcPr>
            <w:tcW w:w="733" w:type="dxa"/>
          </w:tcPr>
          <w:p>
            <w:pPr>
              <w:pStyle w:val="TableParagraph"/>
              <w:spacing w:line="213" w:lineRule="exact" w:before="2"/>
              <w:ind w:left="53" w:right="28"/>
              <w:jc w:val="center"/>
              <w:rPr>
                <w:sz w:val="20"/>
              </w:rPr>
            </w:pPr>
            <w:r>
              <w:rPr>
                <w:spacing w:val="-4"/>
                <w:sz w:val="20"/>
              </w:rPr>
              <w:t>10.3</w:t>
            </w:r>
          </w:p>
        </w:tc>
        <w:tc>
          <w:tcPr>
            <w:tcW w:w="519" w:type="dxa"/>
          </w:tcPr>
          <w:p>
            <w:pPr>
              <w:pStyle w:val="TableParagraph"/>
              <w:spacing w:line="213" w:lineRule="exact" w:before="2"/>
              <w:ind w:left="32" w:right="6"/>
              <w:jc w:val="center"/>
              <w:rPr>
                <w:sz w:val="20"/>
              </w:rPr>
            </w:pPr>
            <w:r>
              <w:rPr>
                <w:spacing w:val="-5"/>
                <w:sz w:val="20"/>
              </w:rPr>
              <w:t>60</w:t>
            </w:r>
          </w:p>
        </w:tc>
        <w:tc>
          <w:tcPr>
            <w:tcW w:w="817" w:type="dxa"/>
          </w:tcPr>
          <w:p>
            <w:pPr>
              <w:pStyle w:val="TableParagraph"/>
              <w:spacing w:line="213" w:lineRule="exact" w:before="2"/>
              <w:ind w:left="7" w:right="42"/>
              <w:jc w:val="center"/>
              <w:rPr>
                <w:sz w:val="20"/>
              </w:rPr>
            </w:pPr>
            <w:r>
              <w:rPr>
                <w:spacing w:val="-4"/>
                <w:sz w:val="20"/>
              </w:rPr>
              <w:t>29.6</w:t>
            </w:r>
          </w:p>
        </w:tc>
        <w:tc>
          <w:tcPr>
            <w:tcW w:w="632" w:type="dxa"/>
          </w:tcPr>
          <w:p>
            <w:pPr>
              <w:pStyle w:val="TableParagraph"/>
              <w:spacing w:line="213" w:lineRule="exact" w:before="2"/>
              <w:ind w:left="178"/>
              <w:rPr>
                <w:sz w:val="20"/>
              </w:rPr>
            </w:pPr>
            <w:r>
              <w:rPr>
                <w:spacing w:val="-5"/>
                <w:sz w:val="20"/>
              </w:rPr>
              <w:t>34</w:t>
            </w:r>
          </w:p>
        </w:tc>
        <w:tc>
          <w:tcPr>
            <w:tcW w:w="959" w:type="dxa"/>
          </w:tcPr>
          <w:p>
            <w:pPr>
              <w:pStyle w:val="TableParagraph"/>
              <w:spacing w:line="213" w:lineRule="exact" w:before="2"/>
              <w:ind w:left="4" w:right="1"/>
              <w:jc w:val="center"/>
              <w:rPr>
                <w:sz w:val="20"/>
              </w:rPr>
            </w:pPr>
            <w:r>
              <w:rPr>
                <w:spacing w:val="-4"/>
                <w:sz w:val="20"/>
              </w:rPr>
              <w:t>16.7</w:t>
            </w:r>
          </w:p>
        </w:tc>
        <w:tc>
          <w:tcPr>
            <w:tcW w:w="659" w:type="dxa"/>
          </w:tcPr>
          <w:p>
            <w:pPr>
              <w:pStyle w:val="TableParagraph"/>
              <w:spacing w:line="213" w:lineRule="exact" w:before="2"/>
              <w:ind w:left="19" w:right="6"/>
              <w:jc w:val="center"/>
              <w:rPr>
                <w:sz w:val="20"/>
              </w:rPr>
            </w:pPr>
            <w:r>
              <w:rPr>
                <w:spacing w:val="-5"/>
                <w:sz w:val="20"/>
              </w:rPr>
              <w:t>58</w:t>
            </w:r>
          </w:p>
        </w:tc>
        <w:tc>
          <w:tcPr>
            <w:tcW w:w="801" w:type="dxa"/>
          </w:tcPr>
          <w:p>
            <w:pPr>
              <w:pStyle w:val="TableParagraph"/>
              <w:spacing w:line="213" w:lineRule="exact" w:before="2"/>
              <w:ind w:left="10" w:right="10"/>
              <w:jc w:val="center"/>
              <w:rPr>
                <w:sz w:val="20"/>
              </w:rPr>
            </w:pPr>
            <w:r>
              <w:rPr>
                <w:spacing w:val="-4"/>
                <w:sz w:val="20"/>
              </w:rPr>
              <w:t>28.6</w:t>
            </w:r>
          </w:p>
        </w:tc>
        <w:tc>
          <w:tcPr>
            <w:tcW w:w="628" w:type="dxa"/>
          </w:tcPr>
          <w:p>
            <w:pPr>
              <w:pStyle w:val="TableParagraph"/>
              <w:spacing w:line="213" w:lineRule="exact" w:before="2"/>
              <w:ind w:left="8" w:right="21"/>
              <w:jc w:val="center"/>
              <w:rPr>
                <w:sz w:val="20"/>
              </w:rPr>
            </w:pPr>
            <w:r>
              <w:rPr>
                <w:spacing w:val="-5"/>
                <w:sz w:val="20"/>
              </w:rPr>
              <w:t>30</w:t>
            </w:r>
          </w:p>
        </w:tc>
        <w:tc>
          <w:tcPr>
            <w:tcW w:w="731" w:type="dxa"/>
          </w:tcPr>
          <w:p>
            <w:pPr>
              <w:pStyle w:val="TableParagraph"/>
              <w:spacing w:line="213" w:lineRule="exact" w:before="2"/>
              <w:ind w:left="69" w:right="18"/>
              <w:jc w:val="center"/>
              <w:rPr>
                <w:sz w:val="20"/>
              </w:rPr>
            </w:pPr>
            <w:r>
              <w:rPr>
                <w:spacing w:val="-4"/>
                <w:sz w:val="20"/>
              </w:rPr>
              <w:t>14.8</w:t>
            </w:r>
          </w:p>
        </w:tc>
        <w:tc>
          <w:tcPr>
            <w:tcW w:w="733" w:type="dxa"/>
          </w:tcPr>
          <w:p>
            <w:pPr>
              <w:pStyle w:val="TableParagraph"/>
              <w:spacing w:line="213" w:lineRule="exact" w:before="2"/>
              <w:ind w:right="188"/>
              <w:jc w:val="right"/>
              <w:rPr>
                <w:sz w:val="20"/>
              </w:rPr>
            </w:pPr>
            <w:r>
              <w:rPr>
                <w:spacing w:val="-5"/>
                <w:sz w:val="20"/>
              </w:rPr>
              <w:t>203</w:t>
            </w:r>
          </w:p>
        </w:tc>
        <w:tc>
          <w:tcPr>
            <w:tcW w:w="739" w:type="dxa"/>
            <w:tcBorders>
              <w:right w:val="single" w:sz="4" w:space="0" w:color="000000"/>
            </w:tcBorders>
          </w:tcPr>
          <w:p>
            <w:pPr>
              <w:pStyle w:val="TableParagraph"/>
              <w:spacing w:line="213" w:lineRule="exact" w:before="2"/>
              <w:ind w:left="36" w:right="36"/>
              <w:jc w:val="center"/>
              <w:rPr>
                <w:sz w:val="20"/>
              </w:rPr>
            </w:pPr>
            <w:r>
              <w:rPr>
                <w:spacing w:val="-4"/>
                <w:sz w:val="20"/>
              </w:rPr>
              <w:t>43.8</w:t>
            </w:r>
          </w:p>
        </w:tc>
      </w:tr>
      <w:tr>
        <w:trPr>
          <w:trHeight w:val="230" w:hRule="atLeast"/>
        </w:trPr>
        <w:tc>
          <w:tcPr>
            <w:tcW w:w="4148" w:type="dxa"/>
            <w:tcBorders>
              <w:left w:val="single" w:sz="4" w:space="0" w:color="000000"/>
            </w:tcBorders>
          </w:tcPr>
          <w:p>
            <w:pPr>
              <w:pStyle w:val="TableParagraph"/>
              <w:rPr>
                <w:rFonts w:ascii="Times New Roman"/>
                <w:sz w:val="16"/>
              </w:rPr>
            </w:pPr>
          </w:p>
        </w:tc>
        <w:tc>
          <w:tcPr>
            <w:tcW w:w="1978" w:type="dxa"/>
          </w:tcPr>
          <w:p>
            <w:pPr>
              <w:pStyle w:val="TableParagraph"/>
              <w:spacing w:line="210" w:lineRule="exact"/>
              <w:ind w:left="109"/>
              <w:rPr>
                <w:sz w:val="20"/>
              </w:rPr>
            </w:pPr>
            <w:r>
              <w:rPr>
                <w:sz w:val="20"/>
              </w:rPr>
              <w:t>Top</w:t>
            </w:r>
            <w:r>
              <w:rPr>
                <w:spacing w:val="-1"/>
                <w:sz w:val="20"/>
              </w:rPr>
              <w:t> </w:t>
            </w:r>
            <w:r>
              <w:rPr>
                <w:spacing w:val="-2"/>
                <w:sz w:val="20"/>
              </w:rPr>
              <w:t>Management</w:t>
            </w:r>
          </w:p>
        </w:tc>
        <w:tc>
          <w:tcPr>
            <w:tcW w:w="703" w:type="dxa"/>
          </w:tcPr>
          <w:p>
            <w:pPr>
              <w:pStyle w:val="TableParagraph"/>
              <w:spacing w:line="210" w:lineRule="exact"/>
              <w:ind w:left="21"/>
              <w:jc w:val="center"/>
              <w:rPr>
                <w:sz w:val="20"/>
              </w:rPr>
            </w:pPr>
            <w:r>
              <w:rPr>
                <w:spacing w:val="-10"/>
                <w:sz w:val="20"/>
              </w:rPr>
              <w:t>5</w:t>
            </w:r>
          </w:p>
        </w:tc>
        <w:tc>
          <w:tcPr>
            <w:tcW w:w="733" w:type="dxa"/>
          </w:tcPr>
          <w:p>
            <w:pPr>
              <w:pStyle w:val="TableParagraph"/>
              <w:spacing w:line="210" w:lineRule="exact"/>
              <w:ind w:left="53" w:right="28"/>
              <w:jc w:val="center"/>
              <w:rPr>
                <w:sz w:val="20"/>
              </w:rPr>
            </w:pPr>
            <w:r>
              <w:rPr>
                <w:spacing w:val="-4"/>
                <w:sz w:val="20"/>
              </w:rPr>
              <w:t>21.7</w:t>
            </w:r>
          </w:p>
        </w:tc>
        <w:tc>
          <w:tcPr>
            <w:tcW w:w="519" w:type="dxa"/>
          </w:tcPr>
          <w:p>
            <w:pPr>
              <w:pStyle w:val="TableParagraph"/>
              <w:spacing w:line="210" w:lineRule="exact"/>
              <w:ind w:left="32" w:right="2"/>
              <w:jc w:val="center"/>
              <w:rPr>
                <w:sz w:val="20"/>
              </w:rPr>
            </w:pPr>
            <w:r>
              <w:rPr>
                <w:spacing w:val="-10"/>
                <w:sz w:val="20"/>
              </w:rPr>
              <w:t>8</w:t>
            </w:r>
          </w:p>
        </w:tc>
        <w:tc>
          <w:tcPr>
            <w:tcW w:w="817" w:type="dxa"/>
          </w:tcPr>
          <w:p>
            <w:pPr>
              <w:pStyle w:val="TableParagraph"/>
              <w:spacing w:line="210" w:lineRule="exact"/>
              <w:ind w:left="7" w:right="42"/>
              <w:jc w:val="center"/>
              <w:rPr>
                <w:sz w:val="20"/>
              </w:rPr>
            </w:pPr>
            <w:r>
              <w:rPr>
                <w:spacing w:val="-4"/>
                <w:sz w:val="20"/>
              </w:rPr>
              <w:t>34.8</w:t>
            </w:r>
          </w:p>
        </w:tc>
        <w:tc>
          <w:tcPr>
            <w:tcW w:w="632" w:type="dxa"/>
          </w:tcPr>
          <w:p>
            <w:pPr>
              <w:pStyle w:val="TableParagraph"/>
              <w:spacing w:line="210" w:lineRule="exact"/>
              <w:ind w:left="236"/>
              <w:rPr>
                <w:sz w:val="20"/>
              </w:rPr>
            </w:pPr>
            <w:r>
              <w:rPr>
                <w:spacing w:val="-10"/>
                <w:sz w:val="20"/>
              </w:rPr>
              <w:t>5</w:t>
            </w:r>
          </w:p>
        </w:tc>
        <w:tc>
          <w:tcPr>
            <w:tcW w:w="959" w:type="dxa"/>
          </w:tcPr>
          <w:p>
            <w:pPr>
              <w:pStyle w:val="TableParagraph"/>
              <w:spacing w:line="210" w:lineRule="exact"/>
              <w:ind w:left="4" w:right="1"/>
              <w:jc w:val="center"/>
              <w:rPr>
                <w:sz w:val="20"/>
              </w:rPr>
            </w:pPr>
            <w:r>
              <w:rPr>
                <w:spacing w:val="-4"/>
                <w:sz w:val="20"/>
              </w:rPr>
              <w:t>21.7</w:t>
            </w:r>
          </w:p>
        </w:tc>
        <w:tc>
          <w:tcPr>
            <w:tcW w:w="659" w:type="dxa"/>
          </w:tcPr>
          <w:p>
            <w:pPr>
              <w:pStyle w:val="TableParagraph"/>
              <w:spacing w:line="210" w:lineRule="exact"/>
              <w:ind w:left="19" w:right="2"/>
              <w:jc w:val="center"/>
              <w:rPr>
                <w:sz w:val="20"/>
              </w:rPr>
            </w:pPr>
            <w:r>
              <w:rPr>
                <w:spacing w:val="-10"/>
                <w:sz w:val="20"/>
              </w:rPr>
              <w:t>3</w:t>
            </w:r>
          </w:p>
        </w:tc>
        <w:tc>
          <w:tcPr>
            <w:tcW w:w="801" w:type="dxa"/>
          </w:tcPr>
          <w:p>
            <w:pPr>
              <w:pStyle w:val="TableParagraph"/>
              <w:spacing w:line="210" w:lineRule="exact"/>
              <w:ind w:left="10" w:right="10"/>
              <w:jc w:val="center"/>
              <w:rPr>
                <w:sz w:val="20"/>
              </w:rPr>
            </w:pPr>
            <w:r>
              <w:rPr>
                <w:spacing w:val="-4"/>
                <w:sz w:val="20"/>
              </w:rPr>
              <w:t>13.0</w:t>
            </w:r>
          </w:p>
        </w:tc>
        <w:tc>
          <w:tcPr>
            <w:tcW w:w="628" w:type="dxa"/>
          </w:tcPr>
          <w:p>
            <w:pPr>
              <w:pStyle w:val="TableParagraph"/>
              <w:spacing w:line="210" w:lineRule="exact"/>
              <w:ind w:left="11" w:right="19"/>
              <w:jc w:val="center"/>
              <w:rPr>
                <w:sz w:val="20"/>
              </w:rPr>
            </w:pPr>
            <w:r>
              <w:rPr>
                <w:spacing w:val="-10"/>
                <w:sz w:val="20"/>
              </w:rPr>
              <w:t>2</w:t>
            </w:r>
          </w:p>
        </w:tc>
        <w:tc>
          <w:tcPr>
            <w:tcW w:w="731" w:type="dxa"/>
          </w:tcPr>
          <w:p>
            <w:pPr>
              <w:pStyle w:val="TableParagraph"/>
              <w:spacing w:line="210" w:lineRule="exact"/>
              <w:ind w:left="69" w:right="23"/>
              <w:jc w:val="center"/>
              <w:rPr>
                <w:sz w:val="20"/>
              </w:rPr>
            </w:pPr>
            <w:r>
              <w:rPr>
                <w:spacing w:val="-5"/>
                <w:sz w:val="20"/>
              </w:rPr>
              <w:t>8.7</w:t>
            </w:r>
          </w:p>
        </w:tc>
        <w:tc>
          <w:tcPr>
            <w:tcW w:w="733" w:type="dxa"/>
          </w:tcPr>
          <w:p>
            <w:pPr>
              <w:pStyle w:val="TableParagraph"/>
              <w:spacing w:line="210" w:lineRule="exact"/>
              <w:ind w:right="241"/>
              <w:jc w:val="right"/>
              <w:rPr>
                <w:sz w:val="20"/>
              </w:rPr>
            </w:pPr>
            <w:r>
              <w:rPr>
                <w:spacing w:val="-5"/>
                <w:sz w:val="20"/>
              </w:rPr>
              <w:t>23</w:t>
            </w:r>
          </w:p>
        </w:tc>
        <w:tc>
          <w:tcPr>
            <w:tcW w:w="739" w:type="dxa"/>
            <w:tcBorders>
              <w:right w:val="single" w:sz="4" w:space="0" w:color="000000"/>
            </w:tcBorders>
          </w:tcPr>
          <w:p>
            <w:pPr>
              <w:pStyle w:val="TableParagraph"/>
              <w:spacing w:line="210" w:lineRule="exact"/>
              <w:ind w:left="36" w:right="38"/>
              <w:jc w:val="center"/>
              <w:rPr>
                <w:sz w:val="20"/>
              </w:rPr>
            </w:pPr>
            <w:r>
              <w:rPr>
                <w:spacing w:val="-5"/>
                <w:sz w:val="20"/>
              </w:rPr>
              <w:t>5.0</w:t>
            </w:r>
          </w:p>
        </w:tc>
      </w:tr>
      <w:tr>
        <w:trPr>
          <w:trHeight w:val="230" w:hRule="atLeast"/>
        </w:trPr>
        <w:tc>
          <w:tcPr>
            <w:tcW w:w="4148" w:type="dxa"/>
            <w:tcBorders>
              <w:left w:val="single" w:sz="4" w:space="0" w:color="000000"/>
            </w:tcBorders>
          </w:tcPr>
          <w:p>
            <w:pPr>
              <w:pStyle w:val="TableParagraph"/>
              <w:tabs>
                <w:tab w:pos="609" w:val="left" w:leader="none"/>
              </w:tabs>
              <w:spacing w:line="210" w:lineRule="exact"/>
              <w:ind w:right="103"/>
              <w:jc w:val="right"/>
              <w:rPr>
                <w:sz w:val="20"/>
              </w:rPr>
            </w:pPr>
            <w:r>
              <w:rPr>
                <w:spacing w:val="-5"/>
                <w:sz w:val="20"/>
              </w:rPr>
              <w:t>42.</w:t>
            </w:r>
            <w:r>
              <w:rPr>
                <w:sz w:val="20"/>
              </w:rPr>
              <w:tab/>
              <w:t>Hostel</w:t>
            </w:r>
            <w:r>
              <w:rPr>
                <w:spacing w:val="62"/>
                <w:w w:val="150"/>
                <w:sz w:val="20"/>
              </w:rPr>
              <w:t> </w:t>
            </w:r>
            <w:r>
              <w:rPr>
                <w:sz w:val="20"/>
              </w:rPr>
              <w:t>accommodation</w:t>
            </w:r>
            <w:r>
              <w:rPr>
                <w:spacing w:val="59"/>
                <w:w w:val="150"/>
                <w:sz w:val="20"/>
              </w:rPr>
              <w:t> </w:t>
            </w:r>
            <w:r>
              <w:rPr>
                <w:sz w:val="20"/>
              </w:rPr>
              <w:t>rank</w:t>
            </w:r>
            <w:r>
              <w:rPr>
                <w:spacing w:val="55"/>
                <w:w w:val="150"/>
                <w:sz w:val="20"/>
              </w:rPr>
              <w:t> </w:t>
            </w:r>
            <w:r>
              <w:rPr>
                <w:spacing w:val="-4"/>
                <w:sz w:val="20"/>
              </w:rPr>
              <w:t>very</w:t>
            </w:r>
          </w:p>
        </w:tc>
        <w:tc>
          <w:tcPr>
            <w:tcW w:w="1978" w:type="dxa"/>
          </w:tcPr>
          <w:p>
            <w:pPr>
              <w:pStyle w:val="TableParagraph"/>
              <w:spacing w:line="210" w:lineRule="exact"/>
              <w:ind w:left="109"/>
              <w:rPr>
                <w:sz w:val="20"/>
              </w:rPr>
            </w:pPr>
            <w:r>
              <w:rPr>
                <w:sz w:val="20"/>
              </w:rPr>
              <w:t>No.</w:t>
            </w:r>
            <w:r>
              <w:rPr>
                <w:spacing w:val="-5"/>
                <w:sz w:val="20"/>
              </w:rPr>
              <w:t> </w:t>
            </w:r>
            <w:r>
              <w:rPr>
                <w:sz w:val="20"/>
              </w:rPr>
              <w:t>of</w:t>
            </w:r>
            <w:r>
              <w:rPr>
                <w:spacing w:val="-2"/>
                <w:sz w:val="20"/>
              </w:rPr>
              <w:t> missing</w:t>
            </w:r>
          </w:p>
        </w:tc>
        <w:tc>
          <w:tcPr>
            <w:tcW w:w="703" w:type="dxa"/>
          </w:tcPr>
          <w:p>
            <w:pPr>
              <w:pStyle w:val="TableParagraph"/>
              <w:rPr>
                <w:rFonts w:ascii="Times New Roman"/>
                <w:sz w:val="16"/>
              </w:rPr>
            </w:pPr>
          </w:p>
        </w:tc>
        <w:tc>
          <w:tcPr>
            <w:tcW w:w="733" w:type="dxa"/>
          </w:tcPr>
          <w:p>
            <w:pPr>
              <w:pStyle w:val="TableParagraph"/>
              <w:rPr>
                <w:rFonts w:ascii="Times New Roman"/>
                <w:sz w:val="16"/>
              </w:rPr>
            </w:pPr>
          </w:p>
        </w:tc>
        <w:tc>
          <w:tcPr>
            <w:tcW w:w="519" w:type="dxa"/>
          </w:tcPr>
          <w:p>
            <w:pPr>
              <w:pStyle w:val="TableParagraph"/>
              <w:rPr>
                <w:rFonts w:ascii="Times New Roman"/>
                <w:sz w:val="16"/>
              </w:rPr>
            </w:pPr>
          </w:p>
        </w:tc>
        <w:tc>
          <w:tcPr>
            <w:tcW w:w="817" w:type="dxa"/>
          </w:tcPr>
          <w:p>
            <w:pPr>
              <w:pStyle w:val="TableParagraph"/>
              <w:rPr>
                <w:rFonts w:ascii="Times New Roman"/>
                <w:sz w:val="16"/>
              </w:rPr>
            </w:pPr>
          </w:p>
        </w:tc>
        <w:tc>
          <w:tcPr>
            <w:tcW w:w="632" w:type="dxa"/>
          </w:tcPr>
          <w:p>
            <w:pPr>
              <w:pStyle w:val="TableParagraph"/>
              <w:rPr>
                <w:rFonts w:ascii="Times New Roman"/>
                <w:sz w:val="16"/>
              </w:rPr>
            </w:pPr>
          </w:p>
        </w:tc>
        <w:tc>
          <w:tcPr>
            <w:tcW w:w="959" w:type="dxa"/>
          </w:tcPr>
          <w:p>
            <w:pPr>
              <w:pStyle w:val="TableParagraph"/>
              <w:rPr>
                <w:rFonts w:ascii="Times New Roman"/>
                <w:sz w:val="16"/>
              </w:rPr>
            </w:pPr>
          </w:p>
        </w:tc>
        <w:tc>
          <w:tcPr>
            <w:tcW w:w="659" w:type="dxa"/>
          </w:tcPr>
          <w:p>
            <w:pPr>
              <w:pStyle w:val="TableParagraph"/>
              <w:rPr>
                <w:rFonts w:ascii="Times New Roman"/>
                <w:sz w:val="16"/>
              </w:rPr>
            </w:pPr>
          </w:p>
        </w:tc>
        <w:tc>
          <w:tcPr>
            <w:tcW w:w="801" w:type="dxa"/>
          </w:tcPr>
          <w:p>
            <w:pPr>
              <w:pStyle w:val="TableParagraph"/>
              <w:rPr>
                <w:rFonts w:ascii="Times New Roman"/>
                <w:sz w:val="16"/>
              </w:rPr>
            </w:pPr>
          </w:p>
        </w:tc>
        <w:tc>
          <w:tcPr>
            <w:tcW w:w="628" w:type="dxa"/>
          </w:tcPr>
          <w:p>
            <w:pPr>
              <w:pStyle w:val="TableParagraph"/>
              <w:rPr>
                <w:rFonts w:ascii="Times New Roman"/>
                <w:sz w:val="16"/>
              </w:rPr>
            </w:pPr>
          </w:p>
        </w:tc>
        <w:tc>
          <w:tcPr>
            <w:tcW w:w="731" w:type="dxa"/>
          </w:tcPr>
          <w:p>
            <w:pPr>
              <w:pStyle w:val="TableParagraph"/>
              <w:rPr>
                <w:rFonts w:ascii="Times New Roman"/>
                <w:sz w:val="16"/>
              </w:rPr>
            </w:pPr>
          </w:p>
        </w:tc>
        <w:tc>
          <w:tcPr>
            <w:tcW w:w="733"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30" w:hRule="atLeast"/>
        </w:trPr>
        <w:tc>
          <w:tcPr>
            <w:tcW w:w="4148" w:type="dxa"/>
            <w:tcBorders>
              <w:left w:val="single" w:sz="4" w:space="0" w:color="000000"/>
            </w:tcBorders>
          </w:tcPr>
          <w:p>
            <w:pPr>
              <w:pStyle w:val="TableParagraph"/>
              <w:spacing w:line="210" w:lineRule="exact"/>
              <w:ind w:right="104"/>
              <w:jc w:val="right"/>
              <w:rPr>
                <w:sz w:val="20"/>
              </w:rPr>
            </w:pPr>
            <w:r>
              <w:rPr>
                <w:sz w:val="20"/>
              </w:rPr>
              <w:t>high</w:t>
            </w:r>
            <w:r>
              <w:rPr>
                <w:spacing w:val="53"/>
                <w:sz w:val="20"/>
              </w:rPr>
              <w:t> </w:t>
            </w:r>
            <w:r>
              <w:rPr>
                <w:sz w:val="20"/>
              </w:rPr>
              <w:t>and</w:t>
            </w:r>
            <w:r>
              <w:rPr>
                <w:spacing w:val="53"/>
                <w:sz w:val="20"/>
              </w:rPr>
              <w:t> </w:t>
            </w:r>
            <w:r>
              <w:rPr>
                <w:sz w:val="20"/>
              </w:rPr>
              <w:t>crucial</w:t>
            </w:r>
            <w:r>
              <w:rPr>
                <w:spacing w:val="58"/>
                <w:sz w:val="20"/>
              </w:rPr>
              <w:t> </w:t>
            </w:r>
            <w:r>
              <w:rPr>
                <w:sz w:val="20"/>
              </w:rPr>
              <w:t>to</w:t>
            </w:r>
            <w:r>
              <w:rPr>
                <w:spacing w:val="53"/>
                <w:sz w:val="20"/>
              </w:rPr>
              <w:t> </w:t>
            </w:r>
            <w:r>
              <w:rPr>
                <w:sz w:val="20"/>
              </w:rPr>
              <w:t>students</w:t>
            </w:r>
            <w:r>
              <w:rPr>
                <w:spacing w:val="56"/>
                <w:sz w:val="20"/>
              </w:rPr>
              <w:t> </w:t>
            </w:r>
            <w:r>
              <w:rPr>
                <w:spacing w:val="-4"/>
                <w:sz w:val="20"/>
              </w:rPr>
              <w:t>well-</w:t>
            </w:r>
          </w:p>
        </w:tc>
        <w:tc>
          <w:tcPr>
            <w:tcW w:w="1978" w:type="dxa"/>
          </w:tcPr>
          <w:p>
            <w:pPr>
              <w:pStyle w:val="TableParagraph"/>
              <w:spacing w:line="210" w:lineRule="exact"/>
              <w:ind w:left="109"/>
              <w:rPr>
                <w:sz w:val="20"/>
              </w:rPr>
            </w:pPr>
            <w:r>
              <w:rPr>
                <w:spacing w:val="-2"/>
                <w:sz w:val="20"/>
              </w:rPr>
              <w:t>observations</w:t>
            </w:r>
          </w:p>
        </w:tc>
        <w:tc>
          <w:tcPr>
            <w:tcW w:w="703" w:type="dxa"/>
          </w:tcPr>
          <w:p>
            <w:pPr>
              <w:pStyle w:val="TableParagraph"/>
              <w:spacing w:line="210" w:lineRule="exact"/>
              <w:ind w:left="21" w:right="7"/>
              <w:jc w:val="center"/>
              <w:rPr>
                <w:sz w:val="20"/>
              </w:rPr>
            </w:pPr>
            <w:r>
              <w:rPr>
                <w:spacing w:val="-10"/>
                <w:sz w:val="20"/>
              </w:rPr>
              <w:t>-</w:t>
            </w:r>
          </w:p>
        </w:tc>
        <w:tc>
          <w:tcPr>
            <w:tcW w:w="733" w:type="dxa"/>
          </w:tcPr>
          <w:p>
            <w:pPr>
              <w:pStyle w:val="TableParagraph"/>
              <w:spacing w:line="210" w:lineRule="exact"/>
              <w:ind w:left="53" w:right="35"/>
              <w:jc w:val="center"/>
              <w:rPr>
                <w:sz w:val="20"/>
              </w:rPr>
            </w:pPr>
            <w:r>
              <w:rPr>
                <w:spacing w:val="-10"/>
                <w:sz w:val="20"/>
              </w:rPr>
              <w:t>-</w:t>
            </w:r>
          </w:p>
        </w:tc>
        <w:tc>
          <w:tcPr>
            <w:tcW w:w="519" w:type="dxa"/>
          </w:tcPr>
          <w:p>
            <w:pPr>
              <w:pStyle w:val="TableParagraph"/>
              <w:spacing w:line="210" w:lineRule="exact"/>
              <w:ind w:left="32" w:right="2"/>
              <w:jc w:val="center"/>
              <w:rPr>
                <w:sz w:val="20"/>
              </w:rPr>
            </w:pPr>
            <w:r>
              <w:rPr>
                <w:spacing w:val="-10"/>
                <w:sz w:val="20"/>
              </w:rPr>
              <w:t>2</w:t>
            </w:r>
          </w:p>
        </w:tc>
        <w:tc>
          <w:tcPr>
            <w:tcW w:w="817" w:type="dxa"/>
          </w:tcPr>
          <w:p>
            <w:pPr>
              <w:pStyle w:val="TableParagraph"/>
              <w:spacing w:line="210" w:lineRule="exact"/>
              <w:ind w:left="2" w:right="42"/>
              <w:jc w:val="center"/>
              <w:rPr>
                <w:sz w:val="20"/>
              </w:rPr>
            </w:pPr>
            <w:r>
              <w:rPr>
                <w:spacing w:val="-2"/>
                <w:sz w:val="20"/>
              </w:rPr>
              <w:t>100.0</w:t>
            </w:r>
          </w:p>
        </w:tc>
        <w:tc>
          <w:tcPr>
            <w:tcW w:w="632" w:type="dxa"/>
          </w:tcPr>
          <w:p>
            <w:pPr>
              <w:pStyle w:val="TableParagraph"/>
              <w:spacing w:line="210" w:lineRule="exact"/>
              <w:ind w:left="255"/>
              <w:rPr>
                <w:sz w:val="20"/>
              </w:rPr>
            </w:pPr>
            <w:r>
              <w:rPr>
                <w:spacing w:val="-10"/>
                <w:sz w:val="20"/>
              </w:rPr>
              <w:t>-</w:t>
            </w:r>
          </w:p>
        </w:tc>
        <w:tc>
          <w:tcPr>
            <w:tcW w:w="959" w:type="dxa"/>
          </w:tcPr>
          <w:p>
            <w:pPr>
              <w:pStyle w:val="TableParagraph"/>
              <w:spacing w:line="210" w:lineRule="exact"/>
              <w:ind w:left="3" w:right="3"/>
              <w:jc w:val="center"/>
              <w:rPr>
                <w:sz w:val="20"/>
              </w:rPr>
            </w:pPr>
            <w:r>
              <w:rPr>
                <w:spacing w:val="-10"/>
                <w:sz w:val="20"/>
              </w:rPr>
              <w:t>-</w:t>
            </w:r>
          </w:p>
        </w:tc>
        <w:tc>
          <w:tcPr>
            <w:tcW w:w="659" w:type="dxa"/>
          </w:tcPr>
          <w:p>
            <w:pPr>
              <w:pStyle w:val="TableParagraph"/>
              <w:spacing w:line="210" w:lineRule="exact"/>
              <w:ind w:left="19" w:right="8"/>
              <w:jc w:val="center"/>
              <w:rPr>
                <w:sz w:val="20"/>
              </w:rPr>
            </w:pPr>
            <w:r>
              <w:rPr>
                <w:spacing w:val="-10"/>
                <w:sz w:val="20"/>
              </w:rPr>
              <w:t>-</w:t>
            </w:r>
          </w:p>
        </w:tc>
        <w:tc>
          <w:tcPr>
            <w:tcW w:w="801" w:type="dxa"/>
          </w:tcPr>
          <w:p>
            <w:pPr>
              <w:pStyle w:val="TableParagraph"/>
              <w:spacing w:line="210" w:lineRule="exact"/>
              <w:ind w:left="4" w:right="10"/>
              <w:jc w:val="center"/>
              <w:rPr>
                <w:sz w:val="20"/>
              </w:rPr>
            </w:pPr>
            <w:r>
              <w:rPr>
                <w:spacing w:val="-10"/>
                <w:sz w:val="20"/>
              </w:rPr>
              <w:t>-</w:t>
            </w:r>
          </w:p>
        </w:tc>
        <w:tc>
          <w:tcPr>
            <w:tcW w:w="628" w:type="dxa"/>
          </w:tcPr>
          <w:p>
            <w:pPr>
              <w:pStyle w:val="TableParagraph"/>
              <w:spacing w:line="210" w:lineRule="exact"/>
              <w:ind w:left="8" w:right="23"/>
              <w:jc w:val="center"/>
              <w:rPr>
                <w:sz w:val="20"/>
              </w:rPr>
            </w:pPr>
            <w:r>
              <w:rPr>
                <w:spacing w:val="-10"/>
                <w:sz w:val="20"/>
              </w:rPr>
              <w:t>-</w:t>
            </w:r>
          </w:p>
        </w:tc>
        <w:tc>
          <w:tcPr>
            <w:tcW w:w="731" w:type="dxa"/>
          </w:tcPr>
          <w:p>
            <w:pPr>
              <w:pStyle w:val="TableParagraph"/>
              <w:spacing w:line="210" w:lineRule="exact"/>
              <w:ind w:left="69" w:right="25"/>
              <w:jc w:val="center"/>
              <w:rPr>
                <w:sz w:val="20"/>
              </w:rPr>
            </w:pPr>
            <w:r>
              <w:rPr>
                <w:spacing w:val="-10"/>
                <w:sz w:val="20"/>
              </w:rPr>
              <w:t>-</w:t>
            </w:r>
          </w:p>
        </w:tc>
        <w:tc>
          <w:tcPr>
            <w:tcW w:w="733" w:type="dxa"/>
          </w:tcPr>
          <w:p>
            <w:pPr>
              <w:pStyle w:val="TableParagraph"/>
              <w:spacing w:line="210" w:lineRule="exact"/>
              <w:ind w:left="53" w:right="26"/>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38"/>
              <w:jc w:val="center"/>
              <w:rPr>
                <w:sz w:val="20"/>
              </w:rPr>
            </w:pPr>
            <w:r>
              <w:rPr>
                <w:spacing w:val="-5"/>
                <w:sz w:val="20"/>
              </w:rPr>
              <w:t>0.4</w:t>
            </w:r>
          </w:p>
        </w:tc>
      </w:tr>
      <w:tr>
        <w:trPr>
          <w:trHeight w:val="230" w:hRule="atLeast"/>
        </w:trPr>
        <w:tc>
          <w:tcPr>
            <w:tcW w:w="4148" w:type="dxa"/>
            <w:tcBorders>
              <w:left w:val="single" w:sz="4" w:space="0" w:color="000000"/>
            </w:tcBorders>
          </w:tcPr>
          <w:p>
            <w:pPr>
              <w:pStyle w:val="TableParagraph"/>
              <w:spacing w:line="210" w:lineRule="exact"/>
              <w:ind w:right="102"/>
              <w:jc w:val="right"/>
              <w:rPr>
                <w:sz w:val="20"/>
              </w:rPr>
            </w:pPr>
            <w:r>
              <w:rPr>
                <w:sz w:val="20"/>
              </w:rPr>
              <w:t>being</w:t>
            </w:r>
            <w:r>
              <w:rPr>
                <w:spacing w:val="45"/>
                <w:sz w:val="20"/>
              </w:rPr>
              <w:t> </w:t>
            </w:r>
            <w:r>
              <w:rPr>
                <w:sz w:val="20"/>
              </w:rPr>
              <w:t>in</w:t>
            </w:r>
            <w:r>
              <w:rPr>
                <w:spacing w:val="45"/>
                <w:sz w:val="20"/>
              </w:rPr>
              <w:t> </w:t>
            </w:r>
            <w:r>
              <w:rPr>
                <w:sz w:val="20"/>
              </w:rPr>
              <w:t>the</w:t>
            </w:r>
            <w:r>
              <w:rPr>
                <w:spacing w:val="45"/>
                <w:sz w:val="20"/>
              </w:rPr>
              <w:t> </w:t>
            </w:r>
            <w:r>
              <w:rPr>
                <w:sz w:val="20"/>
              </w:rPr>
              <w:t>University.</w:t>
            </w:r>
            <w:r>
              <w:rPr>
                <w:spacing w:val="44"/>
                <w:sz w:val="20"/>
              </w:rPr>
              <w:t> </w:t>
            </w:r>
            <w:r>
              <w:rPr>
                <w:sz w:val="20"/>
              </w:rPr>
              <w:t>That</w:t>
            </w:r>
            <w:r>
              <w:rPr>
                <w:spacing w:val="48"/>
                <w:sz w:val="20"/>
              </w:rPr>
              <w:t> </w:t>
            </w:r>
            <w:r>
              <w:rPr>
                <w:sz w:val="20"/>
              </w:rPr>
              <w:t>is</w:t>
            </w:r>
            <w:r>
              <w:rPr>
                <w:spacing w:val="43"/>
                <w:sz w:val="20"/>
              </w:rPr>
              <w:t> </w:t>
            </w:r>
            <w:r>
              <w:rPr>
                <w:spacing w:val="-5"/>
                <w:sz w:val="20"/>
              </w:rPr>
              <w:t>to</w:t>
            </w:r>
          </w:p>
        </w:tc>
        <w:tc>
          <w:tcPr>
            <w:tcW w:w="1978" w:type="dxa"/>
          </w:tcPr>
          <w:p>
            <w:pPr>
              <w:pStyle w:val="TableParagraph"/>
              <w:spacing w:line="210" w:lineRule="exact"/>
              <w:ind w:left="109"/>
              <w:rPr>
                <w:sz w:val="20"/>
              </w:rPr>
            </w:pPr>
            <w:r>
              <w:rPr>
                <w:spacing w:val="-2"/>
                <w:sz w:val="20"/>
              </w:rPr>
              <w:t>Students</w:t>
            </w:r>
          </w:p>
        </w:tc>
        <w:tc>
          <w:tcPr>
            <w:tcW w:w="703" w:type="dxa"/>
          </w:tcPr>
          <w:p>
            <w:pPr>
              <w:pStyle w:val="TableParagraph"/>
              <w:spacing w:line="210" w:lineRule="exact"/>
              <w:ind w:left="21" w:right="10"/>
              <w:jc w:val="center"/>
              <w:rPr>
                <w:sz w:val="20"/>
              </w:rPr>
            </w:pPr>
            <w:r>
              <w:rPr>
                <w:spacing w:val="-5"/>
                <w:sz w:val="20"/>
              </w:rPr>
              <w:t>129</w:t>
            </w:r>
          </w:p>
        </w:tc>
        <w:tc>
          <w:tcPr>
            <w:tcW w:w="733" w:type="dxa"/>
          </w:tcPr>
          <w:p>
            <w:pPr>
              <w:pStyle w:val="TableParagraph"/>
              <w:spacing w:line="210" w:lineRule="exact"/>
              <w:ind w:left="53" w:right="28"/>
              <w:jc w:val="center"/>
              <w:rPr>
                <w:sz w:val="20"/>
              </w:rPr>
            </w:pPr>
            <w:r>
              <w:rPr>
                <w:spacing w:val="-4"/>
                <w:sz w:val="20"/>
              </w:rPr>
              <w:t>54.9</w:t>
            </w:r>
          </w:p>
        </w:tc>
        <w:tc>
          <w:tcPr>
            <w:tcW w:w="519" w:type="dxa"/>
          </w:tcPr>
          <w:p>
            <w:pPr>
              <w:pStyle w:val="TableParagraph"/>
              <w:spacing w:line="210" w:lineRule="exact"/>
              <w:ind w:left="32" w:right="6"/>
              <w:jc w:val="center"/>
              <w:rPr>
                <w:sz w:val="20"/>
              </w:rPr>
            </w:pPr>
            <w:r>
              <w:rPr>
                <w:spacing w:val="-5"/>
                <w:sz w:val="20"/>
              </w:rPr>
              <w:t>79</w:t>
            </w:r>
          </w:p>
        </w:tc>
        <w:tc>
          <w:tcPr>
            <w:tcW w:w="817" w:type="dxa"/>
          </w:tcPr>
          <w:p>
            <w:pPr>
              <w:pStyle w:val="TableParagraph"/>
              <w:spacing w:line="210" w:lineRule="exact"/>
              <w:ind w:left="7" w:right="42"/>
              <w:jc w:val="center"/>
              <w:rPr>
                <w:sz w:val="20"/>
              </w:rPr>
            </w:pPr>
            <w:r>
              <w:rPr>
                <w:spacing w:val="-4"/>
                <w:sz w:val="20"/>
              </w:rPr>
              <w:t>33.6</w:t>
            </w:r>
          </w:p>
        </w:tc>
        <w:tc>
          <w:tcPr>
            <w:tcW w:w="632" w:type="dxa"/>
          </w:tcPr>
          <w:p>
            <w:pPr>
              <w:pStyle w:val="TableParagraph"/>
              <w:spacing w:line="210" w:lineRule="exact"/>
              <w:ind w:left="178"/>
              <w:rPr>
                <w:sz w:val="20"/>
              </w:rPr>
            </w:pPr>
            <w:r>
              <w:rPr>
                <w:spacing w:val="-5"/>
                <w:sz w:val="20"/>
              </w:rPr>
              <w:t>19</w:t>
            </w:r>
          </w:p>
        </w:tc>
        <w:tc>
          <w:tcPr>
            <w:tcW w:w="959" w:type="dxa"/>
          </w:tcPr>
          <w:p>
            <w:pPr>
              <w:pStyle w:val="TableParagraph"/>
              <w:spacing w:line="210" w:lineRule="exact"/>
              <w:ind w:left="3" w:right="4"/>
              <w:jc w:val="center"/>
              <w:rPr>
                <w:sz w:val="20"/>
              </w:rPr>
            </w:pPr>
            <w:r>
              <w:rPr>
                <w:spacing w:val="-5"/>
                <w:sz w:val="20"/>
              </w:rPr>
              <w:t>8.1</w:t>
            </w:r>
          </w:p>
        </w:tc>
        <w:tc>
          <w:tcPr>
            <w:tcW w:w="659" w:type="dxa"/>
          </w:tcPr>
          <w:p>
            <w:pPr>
              <w:pStyle w:val="TableParagraph"/>
              <w:spacing w:line="210" w:lineRule="exact"/>
              <w:ind w:left="19" w:right="2"/>
              <w:jc w:val="center"/>
              <w:rPr>
                <w:sz w:val="20"/>
              </w:rPr>
            </w:pPr>
            <w:r>
              <w:rPr>
                <w:spacing w:val="-10"/>
                <w:sz w:val="20"/>
              </w:rPr>
              <w:t>6</w:t>
            </w:r>
          </w:p>
        </w:tc>
        <w:tc>
          <w:tcPr>
            <w:tcW w:w="801" w:type="dxa"/>
          </w:tcPr>
          <w:p>
            <w:pPr>
              <w:pStyle w:val="TableParagraph"/>
              <w:spacing w:line="210" w:lineRule="exact"/>
              <w:ind w:left="5" w:right="10"/>
              <w:jc w:val="center"/>
              <w:rPr>
                <w:sz w:val="20"/>
              </w:rPr>
            </w:pPr>
            <w:r>
              <w:rPr>
                <w:spacing w:val="-5"/>
                <w:sz w:val="20"/>
              </w:rPr>
              <w:t>2.6</w:t>
            </w:r>
          </w:p>
        </w:tc>
        <w:tc>
          <w:tcPr>
            <w:tcW w:w="628" w:type="dxa"/>
          </w:tcPr>
          <w:p>
            <w:pPr>
              <w:pStyle w:val="TableParagraph"/>
              <w:spacing w:line="210" w:lineRule="exact"/>
              <w:ind w:left="11" w:right="19"/>
              <w:jc w:val="center"/>
              <w:rPr>
                <w:sz w:val="20"/>
              </w:rPr>
            </w:pPr>
            <w:r>
              <w:rPr>
                <w:spacing w:val="-10"/>
                <w:sz w:val="20"/>
              </w:rPr>
              <w:t>2</w:t>
            </w:r>
          </w:p>
        </w:tc>
        <w:tc>
          <w:tcPr>
            <w:tcW w:w="731" w:type="dxa"/>
          </w:tcPr>
          <w:p>
            <w:pPr>
              <w:pStyle w:val="TableParagraph"/>
              <w:spacing w:line="210" w:lineRule="exact"/>
              <w:ind w:left="69" w:right="23"/>
              <w:jc w:val="center"/>
              <w:rPr>
                <w:sz w:val="20"/>
              </w:rPr>
            </w:pPr>
            <w:r>
              <w:rPr>
                <w:spacing w:val="-5"/>
                <w:sz w:val="20"/>
              </w:rPr>
              <w:t>0.9</w:t>
            </w:r>
          </w:p>
        </w:tc>
        <w:tc>
          <w:tcPr>
            <w:tcW w:w="733" w:type="dxa"/>
          </w:tcPr>
          <w:p>
            <w:pPr>
              <w:pStyle w:val="TableParagraph"/>
              <w:spacing w:line="210" w:lineRule="exact"/>
              <w:ind w:right="188"/>
              <w:jc w:val="right"/>
              <w:rPr>
                <w:sz w:val="20"/>
              </w:rPr>
            </w:pPr>
            <w:r>
              <w:rPr>
                <w:spacing w:val="-5"/>
                <w:sz w:val="20"/>
              </w:rPr>
              <w:t>235</w:t>
            </w:r>
          </w:p>
        </w:tc>
        <w:tc>
          <w:tcPr>
            <w:tcW w:w="739" w:type="dxa"/>
            <w:tcBorders>
              <w:right w:val="single" w:sz="4" w:space="0" w:color="000000"/>
            </w:tcBorders>
          </w:tcPr>
          <w:p>
            <w:pPr>
              <w:pStyle w:val="TableParagraph"/>
              <w:spacing w:line="210" w:lineRule="exact"/>
              <w:ind w:left="36" w:right="36"/>
              <w:jc w:val="center"/>
              <w:rPr>
                <w:sz w:val="20"/>
              </w:rPr>
            </w:pPr>
            <w:r>
              <w:rPr>
                <w:spacing w:val="-4"/>
                <w:sz w:val="20"/>
              </w:rPr>
              <w:t>50.8</w:t>
            </w:r>
          </w:p>
        </w:tc>
      </w:tr>
      <w:tr>
        <w:trPr>
          <w:trHeight w:val="230" w:hRule="atLeast"/>
        </w:trPr>
        <w:tc>
          <w:tcPr>
            <w:tcW w:w="4148" w:type="dxa"/>
            <w:tcBorders>
              <w:left w:val="single" w:sz="4" w:space="0" w:color="000000"/>
            </w:tcBorders>
          </w:tcPr>
          <w:p>
            <w:pPr>
              <w:pStyle w:val="TableParagraph"/>
              <w:spacing w:line="210" w:lineRule="exact"/>
              <w:ind w:right="109"/>
              <w:jc w:val="right"/>
              <w:rPr>
                <w:sz w:val="20"/>
              </w:rPr>
            </w:pPr>
            <w:r>
              <w:rPr>
                <w:sz w:val="20"/>
              </w:rPr>
              <w:t>say,</w:t>
            </w:r>
            <w:r>
              <w:rPr>
                <w:spacing w:val="37"/>
                <w:sz w:val="20"/>
              </w:rPr>
              <w:t>  </w:t>
            </w:r>
            <w:r>
              <w:rPr>
                <w:sz w:val="20"/>
              </w:rPr>
              <w:t>academic</w:t>
            </w:r>
            <w:r>
              <w:rPr>
                <w:spacing w:val="37"/>
                <w:sz w:val="20"/>
              </w:rPr>
              <w:t>  </w:t>
            </w:r>
            <w:r>
              <w:rPr>
                <w:sz w:val="20"/>
              </w:rPr>
              <w:t>activities</w:t>
            </w:r>
            <w:r>
              <w:rPr>
                <w:spacing w:val="35"/>
                <w:sz w:val="20"/>
              </w:rPr>
              <w:t>  </w:t>
            </w:r>
            <w:r>
              <w:rPr>
                <w:spacing w:val="-2"/>
                <w:sz w:val="20"/>
              </w:rPr>
              <w:t>without</w:t>
            </w:r>
          </w:p>
        </w:tc>
        <w:tc>
          <w:tcPr>
            <w:tcW w:w="1978" w:type="dxa"/>
          </w:tcPr>
          <w:p>
            <w:pPr>
              <w:pStyle w:val="TableParagraph"/>
              <w:spacing w:line="210" w:lineRule="exact"/>
              <w:ind w:left="109"/>
              <w:rPr>
                <w:sz w:val="20"/>
              </w:rPr>
            </w:pPr>
            <w:r>
              <w:rPr>
                <w:sz w:val="20"/>
              </w:rPr>
              <w:t>Service</w:t>
            </w:r>
            <w:r>
              <w:rPr>
                <w:spacing w:val="-9"/>
                <w:sz w:val="20"/>
              </w:rPr>
              <w:t> </w:t>
            </w:r>
            <w:r>
              <w:rPr>
                <w:spacing w:val="-2"/>
                <w:sz w:val="20"/>
              </w:rPr>
              <w:t>Staff</w:t>
            </w:r>
          </w:p>
        </w:tc>
        <w:tc>
          <w:tcPr>
            <w:tcW w:w="703" w:type="dxa"/>
          </w:tcPr>
          <w:p>
            <w:pPr>
              <w:pStyle w:val="TableParagraph"/>
              <w:spacing w:line="210" w:lineRule="exact"/>
              <w:ind w:left="21" w:right="5"/>
              <w:jc w:val="center"/>
              <w:rPr>
                <w:sz w:val="20"/>
              </w:rPr>
            </w:pPr>
            <w:r>
              <w:rPr>
                <w:spacing w:val="-5"/>
                <w:sz w:val="20"/>
              </w:rPr>
              <w:t>93</w:t>
            </w:r>
          </w:p>
        </w:tc>
        <w:tc>
          <w:tcPr>
            <w:tcW w:w="733" w:type="dxa"/>
          </w:tcPr>
          <w:p>
            <w:pPr>
              <w:pStyle w:val="TableParagraph"/>
              <w:spacing w:line="210" w:lineRule="exact"/>
              <w:ind w:left="53" w:right="28"/>
              <w:jc w:val="center"/>
              <w:rPr>
                <w:sz w:val="20"/>
              </w:rPr>
            </w:pPr>
            <w:r>
              <w:rPr>
                <w:spacing w:val="-4"/>
                <w:sz w:val="20"/>
              </w:rPr>
              <w:t>45.8</w:t>
            </w:r>
          </w:p>
        </w:tc>
        <w:tc>
          <w:tcPr>
            <w:tcW w:w="519" w:type="dxa"/>
          </w:tcPr>
          <w:p>
            <w:pPr>
              <w:pStyle w:val="TableParagraph"/>
              <w:spacing w:line="210" w:lineRule="exact"/>
              <w:ind w:left="32" w:right="6"/>
              <w:jc w:val="center"/>
              <w:rPr>
                <w:sz w:val="20"/>
              </w:rPr>
            </w:pPr>
            <w:r>
              <w:rPr>
                <w:spacing w:val="-5"/>
                <w:sz w:val="20"/>
              </w:rPr>
              <w:t>80</w:t>
            </w:r>
          </w:p>
        </w:tc>
        <w:tc>
          <w:tcPr>
            <w:tcW w:w="817" w:type="dxa"/>
          </w:tcPr>
          <w:p>
            <w:pPr>
              <w:pStyle w:val="TableParagraph"/>
              <w:spacing w:line="210" w:lineRule="exact"/>
              <w:ind w:left="7" w:right="42"/>
              <w:jc w:val="center"/>
              <w:rPr>
                <w:sz w:val="20"/>
              </w:rPr>
            </w:pPr>
            <w:r>
              <w:rPr>
                <w:spacing w:val="-4"/>
                <w:sz w:val="20"/>
              </w:rPr>
              <w:t>39.4</w:t>
            </w:r>
          </w:p>
        </w:tc>
        <w:tc>
          <w:tcPr>
            <w:tcW w:w="632" w:type="dxa"/>
          </w:tcPr>
          <w:p>
            <w:pPr>
              <w:pStyle w:val="TableParagraph"/>
              <w:spacing w:line="210" w:lineRule="exact"/>
              <w:ind w:left="178"/>
              <w:rPr>
                <w:sz w:val="20"/>
              </w:rPr>
            </w:pPr>
            <w:r>
              <w:rPr>
                <w:spacing w:val="-5"/>
                <w:sz w:val="20"/>
              </w:rPr>
              <w:t>16</w:t>
            </w:r>
          </w:p>
        </w:tc>
        <w:tc>
          <w:tcPr>
            <w:tcW w:w="959" w:type="dxa"/>
          </w:tcPr>
          <w:p>
            <w:pPr>
              <w:pStyle w:val="TableParagraph"/>
              <w:spacing w:line="210" w:lineRule="exact"/>
              <w:ind w:left="3" w:right="4"/>
              <w:jc w:val="center"/>
              <w:rPr>
                <w:sz w:val="20"/>
              </w:rPr>
            </w:pPr>
            <w:r>
              <w:rPr>
                <w:spacing w:val="-5"/>
                <w:sz w:val="20"/>
              </w:rPr>
              <w:t>7.9</w:t>
            </w:r>
          </w:p>
        </w:tc>
        <w:tc>
          <w:tcPr>
            <w:tcW w:w="659" w:type="dxa"/>
          </w:tcPr>
          <w:p>
            <w:pPr>
              <w:pStyle w:val="TableParagraph"/>
              <w:spacing w:line="210" w:lineRule="exact"/>
              <w:ind w:left="19" w:right="2"/>
              <w:jc w:val="center"/>
              <w:rPr>
                <w:sz w:val="20"/>
              </w:rPr>
            </w:pPr>
            <w:r>
              <w:rPr>
                <w:spacing w:val="-10"/>
                <w:sz w:val="20"/>
              </w:rPr>
              <w:t>9</w:t>
            </w:r>
          </w:p>
        </w:tc>
        <w:tc>
          <w:tcPr>
            <w:tcW w:w="801" w:type="dxa"/>
          </w:tcPr>
          <w:p>
            <w:pPr>
              <w:pStyle w:val="TableParagraph"/>
              <w:spacing w:line="210" w:lineRule="exact"/>
              <w:ind w:left="5" w:right="10"/>
              <w:jc w:val="center"/>
              <w:rPr>
                <w:sz w:val="20"/>
              </w:rPr>
            </w:pPr>
            <w:r>
              <w:rPr>
                <w:spacing w:val="-5"/>
                <w:sz w:val="20"/>
              </w:rPr>
              <w:t>4.4</w:t>
            </w:r>
          </w:p>
        </w:tc>
        <w:tc>
          <w:tcPr>
            <w:tcW w:w="628" w:type="dxa"/>
          </w:tcPr>
          <w:p>
            <w:pPr>
              <w:pStyle w:val="TableParagraph"/>
              <w:spacing w:line="210" w:lineRule="exact"/>
              <w:ind w:left="11" w:right="19"/>
              <w:jc w:val="center"/>
              <w:rPr>
                <w:sz w:val="20"/>
              </w:rPr>
            </w:pPr>
            <w:r>
              <w:rPr>
                <w:spacing w:val="-10"/>
                <w:sz w:val="20"/>
              </w:rPr>
              <w:t>5</w:t>
            </w:r>
          </w:p>
        </w:tc>
        <w:tc>
          <w:tcPr>
            <w:tcW w:w="731" w:type="dxa"/>
          </w:tcPr>
          <w:p>
            <w:pPr>
              <w:pStyle w:val="TableParagraph"/>
              <w:spacing w:line="210" w:lineRule="exact"/>
              <w:ind w:left="69" w:right="23"/>
              <w:jc w:val="center"/>
              <w:rPr>
                <w:sz w:val="20"/>
              </w:rPr>
            </w:pPr>
            <w:r>
              <w:rPr>
                <w:spacing w:val="-5"/>
                <w:sz w:val="20"/>
              </w:rPr>
              <w:t>2.3</w:t>
            </w:r>
          </w:p>
        </w:tc>
        <w:tc>
          <w:tcPr>
            <w:tcW w:w="733" w:type="dxa"/>
          </w:tcPr>
          <w:p>
            <w:pPr>
              <w:pStyle w:val="TableParagraph"/>
              <w:spacing w:line="210" w:lineRule="exact"/>
              <w:ind w:right="188"/>
              <w:jc w:val="right"/>
              <w:rPr>
                <w:sz w:val="20"/>
              </w:rPr>
            </w:pPr>
            <w:r>
              <w:rPr>
                <w:spacing w:val="-5"/>
                <w:sz w:val="20"/>
              </w:rPr>
              <w:t>203</w:t>
            </w:r>
          </w:p>
        </w:tc>
        <w:tc>
          <w:tcPr>
            <w:tcW w:w="739" w:type="dxa"/>
            <w:tcBorders>
              <w:right w:val="single" w:sz="4" w:space="0" w:color="000000"/>
            </w:tcBorders>
          </w:tcPr>
          <w:p>
            <w:pPr>
              <w:pStyle w:val="TableParagraph"/>
              <w:spacing w:line="210" w:lineRule="exact"/>
              <w:ind w:left="36" w:right="36"/>
              <w:jc w:val="center"/>
              <w:rPr>
                <w:sz w:val="20"/>
              </w:rPr>
            </w:pPr>
            <w:r>
              <w:rPr>
                <w:spacing w:val="-4"/>
                <w:sz w:val="20"/>
              </w:rPr>
              <w:t>43.8</w:t>
            </w:r>
          </w:p>
        </w:tc>
      </w:tr>
      <w:tr>
        <w:trPr>
          <w:trHeight w:val="228" w:hRule="atLeast"/>
        </w:trPr>
        <w:tc>
          <w:tcPr>
            <w:tcW w:w="4148" w:type="dxa"/>
            <w:tcBorders>
              <w:left w:val="single" w:sz="4" w:space="0" w:color="000000"/>
            </w:tcBorders>
          </w:tcPr>
          <w:p>
            <w:pPr>
              <w:pStyle w:val="TableParagraph"/>
              <w:tabs>
                <w:tab w:pos="1089" w:val="left" w:leader="none"/>
                <w:tab w:pos="3063" w:val="left" w:leader="none"/>
              </w:tabs>
              <w:spacing w:line="208" w:lineRule="exact"/>
              <w:ind w:right="98"/>
              <w:jc w:val="right"/>
              <w:rPr>
                <w:sz w:val="20"/>
              </w:rPr>
            </w:pPr>
            <w:r>
              <w:rPr>
                <w:spacing w:val="-2"/>
                <w:sz w:val="20"/>
              </w:rPr>
              <w:t>hostel</w:t>
            </w:r>
            <w:r>
              <w:rPr>
                <w:sz w:val="20"/>
              </w:rPr>
              <w:tab/>
            </w:r>
            <w:r>
              <w:rPr>
                <w:spacing w:val="-2"/>
                <w:sz w:val="20"/>
              </w:rPr>
              <w:t>accommodation</w:t>
            </w:r>
            <w:r>
              <w:rPr>
                <w:sz w:val="20"/>
              </w:rPr>
              <w:tab/>
            </w:r>
            <w:r>
              <w:rPr>
                <w:spacing w:val="-7"/>
                <w:sz w:val="20"/>
              </w:rPr>
              <w:t>is</w:t>
            </w:r>
          </w:p>
        </w:tc>
        <w:tc>
          <w:tcPr>
            <w:tcW w:w="1978" w:type="dxa"/>
          </w:tcPr>
          <w:p>
            <w:pPr>
              <w:pStyle w:val="TableParagraph"/>
              <w:spacing w:line="208" w:lineRule="exact"/>
              <w:ind w:left="109"/>
              <w:rPr>
                <w:sz w:val="20"/>
              </w:rPr>
            </w:pPr>
            <w:r>
              <w:rPr>
                <w:sz w:val="20"/>
              </w:rPr>
              <w:t>Top</w:t>
            </w:r>
            <w:r>
              <w:rPr>
                <w:spacing w:val="-1"/>
                <w:sz w:val="20"/>
              </w:rPr>
              <w:t> </w:t>
            </w:r>
            <w:r>
              <w:rPr>
                <w:spacing w:val="-2"/>
                <w:sz w:val="20"/>
              </w:rPr>
              <w:t>Management</w:t>
            </w:r>
          </w:p>
        </w:tc>
        <w:tc>
          <w:tcPr>
            <w:tcW w:w="703" w:type="dxa"/>
          </w:tcPr>
          <w:p>
            <w:pPr>
              <w:pStyle w:val="TableParagraph"/>
              <w:spacing w:line="208" w:lineRule="exact"/>
              <w:ind w:left="21"/>
              <w:jc w:val="center"/>
              <w:rPr>
                <w:sz w:val="20"/>
              </w:rPr>
            </w:pPr>
            <w:r>
              <w:rPr>
                <w:spacing w:val="-10"/>
                <w:sz w:val="20"/>
              </w:rPr>
              <w:t>6</w:t>
            </w:r>
          </w:p>
        </w:tc>
        <w:tc>
          <w:tcPr>
            <w:tcW w:w="733" w:type="dxa"/>
          </w:tcPr>
          <w:p>
            <w:pPr>
              <w:pStyle w:val="TableParagraph"/>
              <w:spacing w:line="208" w:lineRule="exact"/>
              <w:ind w:left="53" w:right="28"/>
              <w:jc w:val="center"/>
              <w:rPr>
                <w:sz w:val="20"/>
              </w:rPr>
            </w:pPr>
            <w:r>
              <w:rPr>
                <w:spacing w:val="-4"/>
                <w:sz w:val="20"/>
              </w:rPr>
              <w:t>26.1</w:t>
            </w:r>
          </w:p>
        </w:tc>
        <w:tc>
          <w:tcPr>
            <w:tcW w:w="519" w:type="dxa"/>
          </w:tcPr>
          <w:p>
            <w:pPr>
              <w:pStyle w:val="TableParagraph"/>
              <w:spacing w:line="208" w:lineRule="exact"/>
              <w:ind w:left="32" w:right="6"/>
              <w:jc w:val="center"/>
              <w:rPr>
                <w:sz w:val="20"/>
              </w:rPr>
            </w:pPr>
            <w:r>
              <w:rPr>
                <w:spacing w:val="-5"/>
                <w:sz w:val="20"/>
              </w:rPr>
              <w:t>14</w:t>
            </w:r>
          </w:p>
        </w:tc>
        <w:tc>
          <w:tcPr>
            <w:tcW w:w="817" w:type="dxa"/>
          </w:tcPr>
          <w:p>
            <w:pPr>
              <w:pStyle w:val="TableParagraph"/>
              <w:spacing w:line="208" w:lineRule="exact"/>
              <w:ind w:left="7" w:right="42"/>
              <w:jc w:val="center"/>
              <w:rPr>
                <w:sz w:val="20"/>
              </w:rPr>
            </w:pPr>
            <w:r>
              <w:rPr>
                <w:spacing w:val="-4"/>
                <w:sz w:val="20"/>
              </w:rPr>
              <w:t>60.9</w:t>
            </w:r>
          </w:p>
        </w:tc>
        <w:tc>
          <w:tcPr>
            <w:tcW w:w="632" w:type="dxa"/>
          </w:tcPr>
          <w:p>
            <w:pPr>
              <w:pStyle w:val="TableParagraph"/>
              <w:spacing w:line="208" w:lineRule="exact"/>
              <w:ind w:left="236"/>
              <w:rPr>
                <w:sz w:val="20"/>
              </w:rPr>
            </w:pPr>
            <w:r>
              <w:rPr>
                <w:spacing w:val="-10"/>
                <w:sz w:val="20"/>
              </w:rPr>
              <w:t>2</w:t>
            </w:r>
          </w:p>
        </w:tc>
        <w:tc>
          <w:tcPr>
            <w:tcW w:w="959" w:type="dxa"/>
          </w:tcPr>
          <w:p>
            <w:pPr>
              <w:pStyle w:val="TableParagraph"/>
              <w:spacing w:line="208" w:lineRule="exact"/>
              <w:ind w:left="3" w:right="4"/>
              <w:jc w:val="center"/>
              <w:rPr>
                <w:sz w:val="20"/>
              </w:rPr>
            </w:pPr>
            <w:r>
              <w:rPr>
                <w:spacing w:val="-5"/>
                <w:sz w:val="20"/>
              </w:rPr>
              <w:t>8.7</w:t>
            </w:r>
          </w:p>
        </w:tc>
        <w:tc>
          <w:tcPr>
            <w:tcW w:w="659" w:type="dxa"/>
          </w:tcPr>
          <w:p>
            <w:pPr>
              <w:pStyle w:val="TableParagraph"/>
              <w:spacing w:line="208" w:lineRule="exact"/>
              <w:ind w:left="19" w:right="2"/>
              <w:jc w:val="center"/>
              <w:rPr>
                <w:sz w:val="20"/>
              </w:rPr>
            </w:pPr>
            <w:r>
              <w:rPr>
                <w:spacing w:val="-10"/>
                <w:sz w:val="20"/>
              </w:rPr>
              <w:t>1</w:t>
            </w:r>
          </w:p>
        </w:tc>
        <w:tc>
          <w:tcPr>
            <w:tcW w:w="801" w:type="dxa"/>
          </w:tcPr>
          <w:p>
            <w:pPr>
              <w:pStyle w:val="TableParagraph"/>
              <w:spacing w:line="208" w:lineRule="exact"/>
              <w:ind w:left="5" w:right="10"/>
              <w:jc w:val="center"/>
              <w:rPr>
                <w:sz w:val="20"/>
              </w:rPr>
            </w:pPr>
            <w:r>
              <w:rPr>
                <w:spacing w:val="-5"/>
                <w:sz w:val="20"/>
              </w:rPr>
              <w:t>4.3</w:t>
            </w:r>
          </w:p>
        </w:tc>
        <w:tc>
          <w:tcPr>
            <w:tcW w:w="628" w:type="dxa"/>
          </w:tcPr>
          <w:p>
            <w:pPr>
              <w:pStyle w:val="TableParagraph"/>
              <w:spacing w:line="208" w:lineRule="exact"/>
              <w:ind w:left="8" w:right="23"/>
              <w:jc w:val="center"/>
              <w:rPr>
                <w:sz w:val="20"/>
              </w:rPr>
            </w:pPr>
            <w:r>
              <w:rPr>
                <w:spacing w:val="-10"/>
                <w:sz w:val="20"/>
              </w:rPr>
              <w:t>-</w:t>
            </w:r>
          </w:p>
        </w:tc>
        <w:tc>
          <w:tcPr>
            <w:tcW w:w="731" w:type="dxa"/>
          </w:tcPr>
          <w:p>
            <w:pPr>
              <w:pStyle w:val="TableParagraph"/>
              <w:spacing w:line="208" w:lineRule="exact"/>
              <w:ind w:left="69" w:right="25"/>
              <w:jc w:val="center"/>
              <w:rPr>
                <w:sz w:val="20"/>
              </w:rPr>
            </w:pPr>
            <w:r>
              <w:rPr>
                <w:spacing w:val="-10"/>
                <w:sz w:val="20"/>
              </w:rPr>
              <w:t>-</w:t>
            </w:r>
          </w:p>
        </w:tc>
        <w:tc>
          <w:tcPr>
            <w:tcW w:w="733" w:type="dxa"/>
          </w:tcPr>
          <w:p>
            <w:pPr>
              <w:pStyle w:val="TableParagraph"/>
              <w:spacing w:line="208" w:lineRule="exact"/>
              <w:ind w:right="241"/>
              <w:jc w:val="right"/>
              <w:rPr>
                <w:sz w:val="20"/>
              </w:rPr>
            </w:pPr>
            <w:r>
              <w:rPr>
                <w:spacing w:val="-5"/>
                <w:sz w:val="20"/>
              </w:rPr>
              <w:t>23</w:t>
            </w:r>
          </w:p>
        </w:tc>
        <w:tc>
          <w:tcPr>
            <w:tcW w:w="739" w:type="dxa"/>
            <w:tcBorders>
              <w:right w:val="single" w:sz="4" w:space="0" w:color="000000"/>
            </w:tcBorders>
          </w:tcPr>
          <w:p>
            <w:pPr>
              <w:pStyle w:val="TableParagraph"/>
              <w:spacing w:line="208" w:lineRule="exact"/>
              <w:ind w:left="36" w:right="38"/>
              <w:jc w:val="center"/>
              <w:rPr>
                <w:sz w:val="20"/>
              </w:rPr>
            </w:pPr>
            <w:r>
              <w:rPr>
                <w:spacing w:val="-5"/>
                <w:sz w:val="20"/>
              </w:rPr>
              <w:t>5.0</w:t>
            </w:r>
          </w:p>
        </w:tc>
      </w:tr>
      <w:tr>
        <w:trPr>
          <w:trHeight w:val="230" w:hRule="atLeast"/>
        </w:trPr>
        <w:tc>
          <w:tcPr>
            <w:tcW w:w="4148" w:type="dxa"/>
            <w:tcBorders>
              <w:left w:val="single" w:sz="4" w:space="0" w:color="000000"/>
              <w:bottom w:val="single" w:sz="4" w:space="0" w:color="000000"/>
            </w:tcBorders>
          </w:tcPr>
          <w:p>
            <w:pPr>
              <w:pStyle w:val="TableParagraph"/>
              <w:spacing w:line="210" w:lineRule="exact"/>
              <w:ind w:left="830"/>
              <w:rPr>
                <w:sz w:val="20"/>
              </w:rPr>
            </w:pPr>
            <w:r>
              <w:rPr>
                <w:spacing w:val="-2"/>
                <w:sz w:val="20"/>
              </w:rPr>
              <w:t>incomplete</w:t>
            </w:r>
          </w:p>
        </w:tc>
        <w:tc>
          <w:tcPr>
            <w:tcW w:w="1978" w:type="dxa"/>
            <w:tcBorders>
              <w:bottom w:val="single" w:sz="4" w:space="0" w:color="000000"/>
            </w:tcBorders>
          </w:tcPr>
          <w:p>
            <w:pPr>
              <w:pStyle w:val="TableParagraph"/>
              <w:rPr>
                <w:rFonts w:ascii="Times New Roman"/>
                <w:sz w:val="16"/>
              </w:rPr>
            </w:pPr>
          </w:p>
        </w:tc>
        <w:tc>
          <w:tcPr>
            <w:tcW w:w="703" w:type="dxa"/>
            <w:tcBorders>
              <w:bottom w:val="single" w:sz="4" w:space="0" w:color="000000"/>
            </w:tcBorders>
          </w:tcPr>
          <w:p>
            <w:pPr>
              <w:pStyle w:val="TableParagraph"/>
              <w:rPr>
                <w:rFonts w:ascii="Times New Roman"/>
                <w:sz w:val="16"/>
              </w:rPr>
            </w:pPr>
          </w:p>
        </w:tc>
        <w:tc>
          <w:tcPr>
            <w:tcW w:w="733" w:type="dxa"/>
            <w:tcBorders>
              <w:bottom w:val="single" w:sz="4" w:space="0" w:color="000000"/>
            </w:tcBorders>
          </w:tcPr>
          <w:p>
            <w:pPr>
              <w:pStyle w:val="TableParagraph"/>
              <w:rPr>
                <w:rFonts w:ascii="Times New Roman"/>
                <w:sz w:val="16"/>
              </w:rPr>
            </w:pPr>
          </w:p>
        </w:tc>
        <w:tc>
          <w:tcPr>
            <w:tcW w:w="519" w:type="dxa"/>
            <w:tcBorders>
              <w:bottom w:val="single" w:sz="4" w:space="0" w:color="000000"/>
            </w:tcBorders>
          </w:tcPr>
          <w:p>
            <w:pPr>
              <w:pStyle w:val="TableParagraph"/>
              <w:rPr>
                <w:rFonts w:ascii="Times New Roman"/>
                <w:sz w:val="16"/>
              </w:rPr>
            </w:pPr>
          </w:p>
        </w:tc>
        <w:tc>
          <w:tcPr>
            <w:tcW w:w="817" w:type="dxa"/>
            <w:tcBorders>
              <w:bottom w:val="single" w:sz="4" w:space="0" w:color="000000"/>
            </w:tcBorders>
          </w:tcPr>
          <w:p>
            <w:pPr>
              <w:pStyle w:val="TableParagraph"/>
              <w:rPr>
                <w:rFonts w:ascii="Times New Roman"/>
                <w:sz w:val="16"/>
              </w:rPr>
            </w:pPr>
          </w:p>
        </w:tc>
        <w:tc>
          <w:tcPr>
            <w:tcW w:w="632" w:type="dxa"/>
            <w:tcBorders>
              <w:bottom w:val="single" w:sz="4" w:space="0" w:color="000000"/>
            </w:tcBorders>
          </w:tcPr>
          <w:p>
            <w:pPr>
              <w:pStyle w:val="TableParagraph"/>
              <w:rPr>
                <w:rFonts w:ascii="Times New Roman"/>
                <w:sz w:val="16"/>
              </w:rPr>
            </w:pPr>
          </w:p>
        </w:tc>
        <w:tc>
          <w:tcPr>
            <w:tcW w:w="959" w:type="dxa"/>
            <w:tcBorders>
              <w:bottom w:val="single" w:sz="4" w:space="0" w:color="000000"/>
            </w:tcBorders>
          </w:tcPr>
          <w:p>
            <w:pPr>
              <w:pStyle w:val="TableParagraph"/>
              <w:rPr>
                <w:rFonts w:ascii="Times New Roman"/>
                <w:sz w:val="16"/>
              </w:rPr>
            </w:pPr>
          </w:p>
        </w:tc>
        <w:tc>
          <w:tcPr>
            <w:tcW w:w="659" w:type="dxa"/>
            <w:tcBorders>
              <w:bottom w:val="single" w:sz="4" w:space="0" w:color="000000"/>
            </w:tcBorders>
          </w:tcPr>
          <w:p>
            <w:pPr>
              <w:pStyle w:val="TableParagraph"/>
              <w:rPr>
                <w:rFonts w:ascii="Times New Roman"/>
                <w:sz w:val="16"/>
              </w:rPr>
            </w:pPr>
          </w:p>
        </w:tc>
        <w:tc>
          <w:tcPr>
            <w:tcW w:w="801" w:type="dxa"/>
            <w:tcBorders>
              <w:bottom w:val="single" w:sz="4" w:space="0" w:color="000000"/>
            </w:tcBorders>
          </w:tcPr>
          <w:p>
            <w:pPr>
              <w:pStyle w:val="TableParagraph"/>
              <w:rPr>
                <w:rFonts w:ascii="Times New Roman"/>
                <w:sz w:val="16"/>
              </w:rPr>
            </w:pPr>
          </w:p>
        </w:tc>
        <w:tc>
          <w:tcPr>
            <w:tcW w:w="628" w:type="dxa"/>
            <w:tcBorders>
              <w:bottom w:val="single" w:sz="4" w:space="0" w:color="000000"/>
            </w:tcBorders>
          </w:tcPr>
          <w:p>
            <w:pPr>
              <w:pStyle w:val="TableParagraph"/>
              <w:rPr>
                <w:rFonts w:ascii="Times New Roman"/>
                <w:sz w:val="16"/>
              </w:rPr>
            </w:pPr>
          </w:p>
        </w:tc>
        <w:tc>
          <w:tcPr>
            <w:tcW w:w="731" w:type="dxa"/>
            <w:tcBorders>
              <w:bottom w:val="single" w:sz="4" w:space="0" w:color="000000"/>
            </w:tcBorders>
          </w:tcPr>
          <w:p>
            <w:pPr>
              <w:pStyle w:val="TableParagraph"/>
              <w:rPr>
                <w:rFonts w:ascii="Times New Roman"/>
                <w:sz w:val="16"/>
              </w:rPr>
            </w:pPr>
          </w:p>
        </w:tc>
        <w:tc>
          <w:tcPr>
            <w:tcW w:w="733" w:type="dxa"/>
            <w:tcBorders>
              <w:bottom w:val="single" w:sz="4" w:space="0" w:color="000000"/>
            </w:tcBorders>
          </w:tcPr>
          <w:p>
            <w:pPr>
              <w:pStyle w:val="TableParagraph"/>
              <w:rPr>
                <w:rFonts w:ascii="Times New Roman"/>
                <w:sz w:val="16"/>
              </w:rPr>
            </w:pPr>
          </w:p>
        </w:tc>
        <w:tc>
          <w:tcPr>
            <w:tcW w:w="739" w:type="dxa"/>
            <w:tcBorders>
              <w:bottom w:val="single" w:sz="4" w:space="0" w:color="000000"/>
              <w:right w:val="single" w:sz="4" w:space="0" w:color="000000"/>
            </w:tcBorders>
          </w:tcPr>
          <w:p>
            <w:pPr>
              <w:pStyle w:val="TableParagraph"/>
              <w:rPr>
                <w:rFonts w:ascii="Times New Roman"/>
                <w:sz w:val="16"/>
              </w:rPr>
            </w:pPr>
          </w:p>
        </w:tc>
      </w:tr>
    </w:tbl>
    <w:p>
      <w:pPr>
        <w:pStyle w:val="BodyText"/>
        <w:rPr>
          <w:rFonts w:ascii="Arial"/>
          <w:b/>
          <w:sz w:val="28"/>
        </w:rPr>
      </w:pPr>
    </w:p>
    <w:p>
      <w:pPr>
        <w:pStyle w:val="BodyText"/>
        <w:rPr>
          <w:rFonts w:ascii="Arial"/>
          <w:b/>
          <w:sz w:val="28"/>
        </w:rPr>
      </w:pPr>
    </w:p>
    <w:p>
      <w:pPr>
        <w:pStyle w:val="BodyText"/>
        <w:spacing w:before="16"/>
        <w:rPr>
          <w:rFonts w:ascii="Arial"/>
          <w:b/>
          <w:sz w:val="28"/>
        </w:rPr>
      </w:pPr>
    </w:p>
    <w:p>
      <w:pPr>
        <w:pStyle w:val="BodyText"/>
        <w:ind w:left="3" w:right="433"/>
        <w:jc w:val="center"/>
        <w:rPr>
          <w:rFonts w:ascii="Times New Roman"/>
        </w:rPr>
      </w:pPr>
      <w:r>
        <w:rPr>
          <w:rFonts w:ascii="Times New Roman"/>
          <w:spacing w:val="-5"/>
        </w:rPr>
        <w:t>136</w:t>
      </w:r>
    </w:p>
    <w:p>
      <w:pPr>
        <w:spacing w:after="0"/>
        <w:jc w:val="center"/>
        <w:rPr>
          <w:rFonts w:ascii="Times New Roman"/>
        </w:rPr>
        <w:sectPr>
          <w:headerReference w:type="default" r:id="rId313"/>
          <w:footerReference w:type="default" r:id="rId314"/>
          <w:pgSz w:w="15840" w:h="12240" w:orient="landscape"/>
          <w:pgMar w:header="0" w:footer="0" w:top="640" w:bottom="280" w:left="500" w:right="360"/>
        </w:sectPr>
      </w:pPr>
    </w:p>
    <w:p>
      <w:pPr>
        <w:pStyle w:val="BodyText"/>
        <w:spacing w:line="480" w:lineRule="auto" w:before="83"/>
        <w:ind w:left="820" w:right="117" w:firstLine="720"/>
        <w:jc w:val="both"/>
      </w:pPr>
      <w:r>
        <w:rPr/>
        <w:t>On whether or not the accommodation facilities provided in the</w:t>
      </w:r>
      <w:r>
        <w:rPr>
          <w:spacing w:val="40"/>
        </w:rPr>
        <w:t> </w:t>
      </w:r>
      <w:r>
        <w:rPr/>
        <w:t>Universities were decent and comfortable as to influence students’ academic performance as raised in item 38, 85.6 percent of students, 82.2 percent of the service staff and 82.6 percent of top management were in concordance that the hostel accommodation provided in the universities were considered as indecent and uncomfortable and this was likely impinging on students’ academic </w:t>
      </w:r>
      <w:r>
        <w:rPr>
          <w:spacing w:val="-2"/>
        </w:rPr>
        <w:t>performance.</w:t>
      </w:r>
    </w:p>
    <w:p>
      <w:pPr>
        <w:pStyle w:val="BodyText"/>
        <w:spacing w:line="480" w:lineRule="auto"/>
        <w:ind w:left="820" w:right="114" w:firstLine="720"/>
        <w:jc w:val="both"/>
      </w:pPr>
      <w:r>
        <w:rPr/>
        <w:t>Item 39 sought the opinions of respondents on the grossly inadequate nature of the facilities provided in the hostels for the overcrowded students’ population, 93.6 percent of students, 87.2 percent of service staff and 95.7 percent of top management were in complete agreement that the facilities were inadequate to meet the needs of the over-crowded population of students. This consensus in opinion confirmed the hues and cries by the stake holders that the Universities over-admitted students without considering the increase in hostel accommodation facilities.</w:t>
      </w:r>
    </w:p>
    <w:p>
      <w:pPr>
        <w:pStyle w:val="BodyText"/>
        <w:spacing w:line="480" w:lineRule="auto" w:before="1"/>
        <w:ind w:left="820" w:right="114" w:firstLine="720"/>
        <w:jc w:val="both"/>
      </w:pPr>
      <w:r>
        <w:rPr/>
        <w:t>Responses</w:t>
      </w:r>
      <w:r>
        <w:rPr>
          <w:spacing w:val="-3"/>
        </w:rPr>
        <w:t> </w:t>
      </w:r>
      <w:r>
        <w:rPr/>
        <w:t>of the three</w:t>
      </w:r>
      <w:r>
        <w:rPr>
          <w:spacing w:val="-2"/>
        </w:rPr>
        <w:t> </w:t>
      </w:r>
      <w:r>
        <w:rPr/>
        <w:t>categories</w:t>
      </w:r>
      <w:r>
        <w:rPr>
          <w:spacing w:val="-3"/>
        </w:rPr>
        <w:t> </w:t>
      </w:r>
      <w:r>
        <w:rPr/>
        <w:t>of respondents were</w:t>
      </w:r>
      <w:r>
        <w:rPr>
          <w:spacing w:val="-2"/>
        </w:rPr>
        <w:t> </w:t>
      </w:r>
      <w:r>
        <w:rPr/>
        <w:t>in</w:t>
      </w:r>
      <w:r>
        <w:rPr>
          <w:spacing w:val="-2"/>
        </w:rPr>
        <w:t> </w:t>
      </w:r>
      <w:r>
        <w:rPr/>
        <w:t>harmony on the opinion raised in item 40 on the dire need and efforts to expand students’ residential halls in the</w:t>
      </w:r>
      <w:r>
        <w:rPr>
          <w:spacing w:val="40"/>
        </w:rPr>
        <w:t> </w:t>
      </w:r>
      <w:r>
        <w:rPr/>
        <w:t>Universities as inadequate accommodation is hazardous and</w:t>
      </w:r>
      <w:r>
        <w:rPr>
          <w:spacing w:val="-2"/>
        </w:rPr>
        <w:t> </w:t>
      </w:r>
      <w:r>
        <w:rPr/>
        <w:t>vulnerable</w:t>
      </w:r>
      <w:r>
        <w:rPr>
          <w:spacing w:val="-2"/>
        </w:rPr>
        <w:t> </w:t>
      </w:r>
      <w:r>
        <w:rPr/>
        <w:t>to</w:t>
      </w:r>
      <w:r>
        <w:rPr>
          <w:spacing w:val="-2"/>
        </w:rPr>
        <w:t> </w:t>
      </w:r>
      <w:r>
        <w:rPr/>
        <w:t>epidemic</w:t>
      </w:r>
      <w:r>
        <w:rPr>
          <w:spacing w:val="-3"/>
        </w:rPr>
        <w:t> </w:t>
      </w:r>
      <w:r>
        <w:rPr/>
        <w:t>outbreak</w:t>
      </w:r>
      <w:r>
        <w:rPr>
          <w:spacing w:val="-8"/>
        </w:rPr>
        <w:t> </w:t>
      </w:r>
      <w:r>
        <w:rPr/>
        <w:t>and</w:t>
      </w:r>
      <w:r>
        <w:rPr>
          <w:spacing w:val="-2"/>
        </w:rPr>
        <w:t> </w:t>
      </w:r>
      <w:r>
        <w:rPr/>
        <w:t>devastating</w:t>
      </w:r>
      <w:r>
        <w:rPr>
          <w:spacing w:val="-2"/>
        </w:rPr>
        <w:t> </w:t>
      </w:r>
      <w:r>
        <w:rPr/>
        <w:t>to</w:t>
      </w:r>
      <w:r>
        <w:rPr>
          <w:spacing w:val="-2"/>
        </w:rPr>
        <w:t> </w:t>
      </w:r>
      <w:r>
        <w:rPr/>
        <w:t>the</w:t>
      </w:r>
      <w:r>
        <w:rPr>
          <w:spacing w:val="-2"/>
        </w:rPr>
        <w:t> </w:t>
      </w:r>
      <w:r>
        <w:rPr/>
        <w:t>students’</w:t>
      </w:r>
      <w:r>
        <w:rPr>
          <w:spacing w:val="-3"/>
        </w:rPr>
        <w:t> </w:t>
      </w:r>
      <w:r>
        <w:rPr/>
        <w:t>health.</w:t>
      </w:r>
      <w:r>
        <w:rPr>
          <w:spacing w:val="-7"/>
        </w:rPr>
        <w:t> </w:t>
      </w:r>
      <w:r>
        <w:rPr/>
        <w:t>This agreement was revealed by 91.9 percent of students, 87.7 percent of service</w:t>
      </w:r>
      <w:r>
        <w:rPr>
          <w:spacing w:val="40"/>
        </w:rPr>
        <w:t> </w:t>
      </w:r>
      <w:r>
        <w:rPr/>
        <w:t>staff and 87.0 percent of top management staff. Only a negligible percent of the respondents had contrary view on the item.</w:t>
      </w:r>
    </w:p>
    <w:p>
      <w:pPr>
        <w:spacing w:after="0" w:line="480" w:lineRule="auto"/>
        <w:jc w:val="both"/>
        <w:sectPr>
          <w:headerReference w:type="default" r:id="rId315"/>
          <w:footerReference w:type="default" r:id="rId316"/>
          <w:pgSz w:w="12240" w:h="15840"/>
          <w:pgMar w:header="722" w:footer="791" w:top="1340" w:bottom="980" w:left="1340" w:right="1320"/>
          <w:pgNumType w:start="137"/>
        </w:sectPr>
      </w:pPr>
    </w:p>
    <w:p>
      <w:pPr>
        <w:pStyle w:val="BodyText"/>
        <w:spacing w:line="480" w:lineRule="auto" w:before="83"/>
        <w:ind w:left="820" w:right="116" w:firstLine="720"/>
        <w:jc w:val="both"/>
      </w:pPr>
      <w:r>
        <w:rPr/>
        <w:t>It was agreed by 40.4 percent of students, 39.8 percent of service staff</w:t>
      </w:r>
      <w:r>
        <w:rPr>
          <w:spacing w:val="40"/>
        </w:rPr>
        <w:t> </w:t>
      </w:r>
      <w:r>
        <w:rPr/>
        <w:t>and 56.5 percent of top management that pairing of more students in the rooms reduced accommodation problems for students. However, 48.1 percent of students and 43.4 percent of service staff had a contrary view to this statement raised in item</w:t>
      </w:r>
      <w:r>
        <w:rPr>
          <w:spacing w:val="-9"/>
        </w:rPr>
        <w:t> </w:t>
      </w:r>
      <w:r>
        <w:rPr/>
        <w:t>41.</w:t>
      </w:r>
      <w:r>
        <w:rPr>
          <w:spacing w:val="-1"/>
        </w:rPr>
        <w:t> </w:t>
      </w:r>
      <w:r>
        <w:rPr/>
        <w:t>It</w:t>
      </w:r>
      <w:r>
        <w:rPr>
          <w:spacing w:val="-1"/>
        </w:rPr>
        <w:t> </w:t>
      </w:r>
      <w:r>
        <w:rPr/>
        <w:t>could be concluded that</w:t>
      </w:r>
      <w:r>
        <w:rPr>
          <w:spacing w:val="-1"/>
        </w:rPr>
        <w:t> </w:t>
      </w:r>
      <w:r>
        <w:rPr/>
        <w:t>there was</w:t>
      </w:r>
      <w:r>
        <w:rPr>
          <w:spacing w:val="-1"/>
        </w:rPr>
        <w:t> </w:t>
      </w:r>
      <w:r>
        <w:rPr/>
        <w:t>no amount</w:t>
      </w:r>
      <w:r>
        <w:rPr>
          <w:spacing w:val="-1"/>
        </w:rPr>
        <w:t> </w:t>
      </w:r>
      <w:r>
        <w:rPr/>
        <w:t>of</w:t>
      </w:r>
      <w:r>
        <w:rPr>
          <w:spacing w:val="-1"/>
        </w:rPr>
        <w:t> </w:t>
      </w:r>
      <w:r>
        <w:rPr/>
        <w:t>pairing more students in very small rooms that could reduce the accommodation problems. Infact, to students and service staff, this idea contributed to overcrowding which was bad for their health.</w:t>
      </w:r>
    </w:p>
    <w:p>
      <w:pPr>
        <w:pStyle w:val="BodyText"/>
        <w:spacing w:line="480" w:lineRule="auto"/>
        <w:ind w:left="820" w:right="115" w:firstLine="720"/>
        <w:jc w:val="both"/>
      </w:pPr>
      <w:r>
        <w:rPr/>
        <w:t>Item 42 sought the opinions of respondents on the fact that accommodation ranked high and crucial to students’ academic performance. 208 representing 88.6 percent of students, 173 service staff representing 85.2</w:t>
      </w:r>
      <w:r>
        <w:rPr>
          <w:spacing w:val="40"/>
        </w:rPr>
        <w:t> </w:t>
      </w:r>
      <w:r>
        <w:rPr/>
        <w:t>percent and 20 representing 87.0 percent of top management were in full agreement. Smaller number of respondents in each category were either in disagreement or undecided. The consensus in the opinions of the groups</w:t>
      </w:r>
      <w:r>
        <w:rPr>
          <w:spacing w:val="40"/>
        </w:rPr>
        <w:t> </w:t>
      </w:r>
      <w:r>
        <w:rPr/>
        <w:t>seemed to suggest that academic activities without hostel accommodation were not complete. Boarding accommodation would definitely motivate the students to perform better academically, particularly when they are well sheltered. Infact the desire</w:t>
      </w:r>
      <w:r>
        <w:rPr>
          <w:spacing w:val="-1"/>
        </w:rPr>
        <w:t> </w:t>
      </w:r>
      <w:r>
        <w:rPr/>
        <w:t>for shelter is</w:t>
      </w:r>
      <w:r>
        <w:rPr>
          <w:spacing w:val="-6"/>
        </w:rPr>
        <w:t> </w:t>
      </w:r>
      <w:r>
        <w:rPr/>
        <w:t>in</w:t>
      </w:r>
      <w:r>
        <w:rPr>
          <w:spacing w:val="-1"/>
        </w:rPr>
        <w:t> </w:t>
      </w:r>
      <w:r>
        <w:rPr/>
        <w:t>complete</w:t>
      </w:r>
      <w:r>
        <w:rPr>
          <w:spacing w:val="-1"/>
        </w:rPr>
        <w:t> </w:t>
      </w:r>
      <w:r>
        <w:rPr/>
        <w:t>agreement with</w:t>
      </w:r>
      <w:r>
        <w:rPr>
          <w:spacing w:val="-1"/>
        </w:rPr>
        <w:t> </w:t>
      </w:r>
      <w:r>
        <w:rPr/>
        <w:t>Abraham</w:t>
      </w:r>
      <w:r>
        <w:rPr>
          <w:spacing w:val="-5"/>
        </w:rPr>
        <w:t> </w:t>
      </w:r>
      <w:r>
        <w:rPr/>
        <w:t>Maslow’s</w:t>
      </w:r>
      <w:r>
        <w:rPr>
          <w:spacing w:val="-2"/>
        </w:rPr>
        <w:t> </w:t>
      </w:r>
      <w:r>
        <w:rPr/>
        <w:t>(1954) theory of</w:t>
      </w:r>
      <w:r>
        <w:rPr>
          <w:spacing w:val="-2"/>
        </w:rPr>
        <w:t> </w:t>
      </w:r>
      <w:r>
        <w:rPr/>
        <w:t>five</w:t>
      </w:r>
      <w:r>
        <w:rPr>
          <w:spacing w:val="-1"/>
        </w:rPr>
        <w:t> </w:t>
      </w:r>
      <w:r>
        <w:rPr/>
        <w:t>stages</w:t>
      </w:r>
      <w:r>
        <w:rPr>
          <w:spacing w:val="-2"/>
        </w:rPr>
        <w:t> </w:t>
      </w:r>
      <w:r>
        <w:rPr/>
        <w:t>of</w:t>
      </w:r>
      <w:r>
        <w:rPr>
          <w:spacing w:val="-2"/>
        </w:rPr>
        <w:t> </w:t>
      </w:r>
      <w:r>
        <w:rPr/>
        <w:t>basic</w:t>
      </w:r>
      <w:r>
        <w:rPr>
          <w:spacing w:val="-2"/>
        </w:rPr>
        <w:t> </w:t>
      </w:r>
      <w:r>
        <w:rPr/>
        <w:t>human</w:t>
      </w:r>
      <w:r>
        <w:rPr>
          <w:spacing w:val="-1"/>
        </w:rPr>
        <w:t> </w:t>
      </w:r>
      <w:r>
        <w:rPr/>
        <w:t>needs</w:t>
      </w:r>
      <w:r>
        <w:rPr>
          <w:spacing w:val="-2"/>
        </w:rPr>
        <w:t> </w:t>
      </w:r>
      <w:r>
        <w:rPr/>
        <w:t>where</w:t>
      </w:r>
      <w:r>
        <w:rPr>
          <w:spacing w:val="-1"/>
        </w:rPr>
        <w:t> </w:t>
      </w:r>
      <w:r>
        <w:rPr/>
        <w:t>shelter,</w:t>
      </w:r>
      <w:r>
        <w:rPr>
          <w:spacing w:val="-2"/>
        </w:rPr>
        <w:t> </w:t>
      </w:r>
      <w:r>
        <w:rPr/>
        <w:t>a</w:t>
      </w:r>
      <w:r>
        <w:rPr>
          <w:spacing w:val="-1"/>
        </w:rPr>
        <w:t> </w:t>
      </w:r>
      <w:r>
        <w:rPr/>
        <w:t>component</w:t>
      </w:r>
      <w:r>
        <w:rPr>
          <w:spacing w:val="-2"/>
        </w:rPr>
        <w:t> </w:t>
      </w:r>
      <w:r>
        <w:rPr/>
        <w:t>of</w:t>
      </w:r>
      <w:r>
        <w:rPr>
          <w:spacing w:val="-2"/>
        </w:rPr>
        <w:t> </w:t>
      </w:r>
      <w:r>
        <w:rPr/>
        <w:t>safety</w:t>
      </w:r>
      <w:r>
        <w:rPr>
          <w:spacing w:val="-2"/>
        </w:rPr>
        <w:t> </w:t>
      </w:r>
      <w:r>
        <w:rPr/>
        <w:t>needs, ranks second in the hierarchy.</w:t>
      </w:r>
    </w:p>
    <w:p>
      <w:pPr>
        <w:spacing w:after="0" w:line="480" w:lineRule="auto"/>
        <w:jc w:val="both"/>
        <w:sectPr>
          <w:headerReference w:type="default" r:id="rId317"/>
          <w:footerReference w:type="default" r:id="rId318"/>
          <w:pgSz w:w="12240" w:h="15840"/>
          <w:pgMar w:header="722" w:footer="791" w:top="1340" w:bottom="980" w:left="1340" w:right="1320"/>
        </w:sectPr>
      </w:pPr>
    </w:p>
    <w:p>
      <w:pPr>
        <w:pStyle w:val="Heading2"/>
        <w:numPr>
          <w:ilvl w:val="3"/>
          <w:numId w:val="39"/>
        </w:numPr>
        <w:tabs>
          <w:tab w:pos="1539" w:val="left" w:leader="none"/>
        </w:tabs>
        <w:spacing w:line="240" w:lineRule="auto" w:before="79" w:after="0"/>
        <w:ind w:left="1539" w:right="0" w:hanging="1439"/>
        <w:jc w:val="left"/>
        <w:rPr>
          <w:rFonts w:ascii="Arial MT"/>
          <w:b w:val="0"/>
        </w:rPr>
      </w:pPr>
      <w:r>
        <w:rPr/>
        <w:t>The</w:t>
      </w:r>
      <w:r>
        <w:rPr>
          <w:spacing w:val="-8"/>
        </w:rPr>
        <w:t> </w:t>
      </w:r>
      <w:r>
        <w:rPr/>
        <w:t>impact</w:t>
      </w:r>
      <w:r>
        <w:rPr>
          <w:spacing w:val="-3"/>
        </w:rPr>
        <w:t> </w:t>
      </w:r>
      <w:r>
        <w:rPr/>
        <w:t>of</w:t>
      </w:r>
      <w:r>
        <w:rPr>
          <w:spacing w:val="-3"/>
        </w:rPr>
        <w:t> </w:t>
      </w:r>
      <w:r>
        <w:rPr/>
        <w:t>Guidance</w:t>
      </w:r>
      <w:r>
        <w:rPr>
          <w:spacing w:val="-4"/>
        </w:rPr>
        <w:t> </w:t>
      </w:r>
      <w:r>
        <w:rPr/>
        <w:t>and</w:t>
      </w:r>
      <w:r>
        <w:rPr>
          <w:spacing w:val="-8"/>
        </w:rPr>
        <w:t> </w:t>
      </w:r>
      <w:r>
        <w:rPr>
          <w:spacing w:val="-2"/>
        </w:rPr>
        <w:t>Counselling</w:t>
      </w:r>
    </w:p>
    <w:p>
      <w:pPr>
        <w:pStyle w:val="BodyText"/>
        <w:spacing w:before="3"/>
        <w:rPr>
          <w:rFonts w:ascii="Arial"/>
          <w:b/>
          <w:sz w:val="28"/>
        </w:rPr>
      </w:pPr>
    </w:p>
    <w:p>
      <w:pPr>
        <w:pStyle w:val="BodyText"/>
        <w:spacing w:line="480" w:lineRule="auto"/>
        <w:ind w:left="820" w:right="116" w:firstLine="720"/>
        <w:jc w:val="both"/>
      </w:pPr>
      <w:r>
        <w:rPr/>
        <w:t>In this section the responses of the three categories of respondents obtained from items 43 to 47 were presented in Table 4.3.1.3. The five items attempted to find out the role and effect of Guidance and Counselling Unit on students’ academic and moral behaviour on the campus and after graduation.</w:t>
      </w:r>
    </w:p>
    <w:p>
      <w:pPr>
        <w:spacing w:after="0" w:line="480" w:lineRule="auto"/>
        <w:jc w:val="both"/>
        <w:sectPr>
          <w:headerReference w:type="default" r:id="rId319"/>
          <w:footerReference w:type="default" r:id="rId320"/>
          <w:pgSz w:w="12240" w:h="15840"/>
          <w:pgMar w:header="722" w:footer="791" w:top="1340" w:bottom="980" w:left="1340" w:right="1320"/>
        </w:sectPr>
      </w:pPr>
    </w:p>
    <w:p>
      <w:pPr>
        <w:pStyle w:val="BodyText"/>
        <w:spacing w:before="72"/>
        <w:ind w:left="2646" w:right="2163"/>
        <w:jc w:val="center"/>
        <w:rPr>
          <w:rFonts w:ascii="Times New Roman"/>
        </w:rPr>
      </w:pPr>
      <w:r>
        <w:rPr>
          <w:rFonts w:ascii="Times New Roman"/>
          <w:spacing w:val="-5"/>
        </w:rPr>
        <w:t>140</w:t>
      </w:r>
    </w:p>
    <w:p>
      <w:pPr>
        <w:pStyle w:val="BodyText"/>
        <w:spacing w:before="121"/>
        <w:rPr>
          <w:rFonts w:ascii="Times New Roman"/>
          <w:sz w:val="28"/>
        </w:rPr>
      </w:pPr>
    </w:p>
    <w:p>
      <w:pPr>
        <w:pStyle w:val="Heading2"/>
        <w:spacing w:before="1" w:after="7"/>
        <w:ind w:left="2944" w:right="1142" w:hanging="1824"/>
      </w:pPr>
      <w:r>
        <w:rPr/>
        <w:t>Table</w:t>
      </w:r>
      <w:r>
        <w:rPr>
          <w:spacing w:val="-3"/>
        </w:rPr>
        <w:t> </w:t>
      </w:r>
      <w:r>
        <w:rPr/>
        <w:t>4.3.1.3:</w:t>
      </w:r>
      <w:r>
        <w:rPr>
          <w:spacing w:val="-3"/>
        </w:rPr>
        <w:t> </w:t>
      </w:r>
      <w:r>
        <w:rPr/>
        <w:t>Opinions</w:t>
      </w:r>
      <w:r>
        <w:rPr>
          <w:spacing w:val="-3"/>
        </w:rPr>
        <w:t> </w:t>
      </w:r>
      <w:r>
        <w:rPr/>
        <w:t>of</w:t>
      </w:r>
      <w:r>
        <w:rPr>
          <w:spacing w:val="-3"/>
        </w:rPr>
        <w:t> </w:t>
      </w:r>
      <w:r>
        <w:rPr/>
        <w:t>respondents</w:t>
      </w:r>
      <w:r>
        <w:rPr>
          <w:spacing w:val="-3"/>
        </w:rPr>
        <w:t> </w:t>
      </w:r>
      <w:r>
        <w:rPr/>
        <w:t>on</w:t>
      </w:r>
      <w:r>
        <w:rPr>
          <w:spacing w:val="-4"/>
        </w:rPr>
        <w:t> </w:t>
      </w:r>
      <w:r>
        <w:rPr/>
        <w:t>the</w:t>
      </w:r>
      <w:r>
        <w:rPr>
          <w:spacing w:val="-8"/>
        </w:rPr>
        <w:t> </w:t>
      </w:r>
      <w:r>
        <w:rPr/>
        <w:t>impact</w:t>
      </w:r>
      <w:r>
        <w:rPr>
          <w:spacing w:val="-4"/>
        </w:rPr>
        <w:t> </w:t>
      </w:r>
      <w:r>
        <w:rPr/>
        <w:t>of</w:t>
      </w:r>
      <w:r>
        <w:rPr>
          <w:spacing w:val="-3"/>
        </w:rPr>
        <w:t> </w:t>
      </w:r>
      <w:r>
        <w:rPr/>
        <w:t>Guidance</w:t>
      </w:r>
      <w:r>
        <w:rPr>
          <w:spacing w:val="-3"/>
        </w:rPr>
        <w:t> </w:t>
      </w:r>
      <w:r>
        <w:rPr/>
        <w:t>and</w:t>
      </w:r>
      <w:r>
        <w:rPr>
          <w:spacing w:val="-4"/>
        </w:rPr>
        <w:t> </w:t>
      </w:r>
      <w:r>
        <w:rPr/>
        <w:t>Counselling</w:t>
      </w:r>
      <w:r>
        <w:rPr>
          <w:spacing w:val="-4"/>
        </w:rPr>
        <w:t> </w:t>
      </w:r>
      <w:r>
        <w:rPr/>
        <w:t>on</w:t>
      </w:r>
      <w:r>
        <w:rPr>
          <w:spacing w:val="-4"/>
        </w:rPr>
        <w:t> </w:t>
      </w:r>
      <w:r>
        <w:rPr/>
        <w:t>students’ </w:t>
      </w:r>
      <w:r>
        <w:rPr>
          <w:spacing w:val="-2"/>
        </w:rPr>
        <w:t>welfare</w:t>
      </w:r>
    </w:p>
    <w:tbl>
      <w:tblPr>
        <w:tblW w:w="0" w:type="auto"/>
        <w:jc w:val="left"/>
        <w:tblInd w:w="1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45"/>
        <w:gridCol w:w="1974"/>
        <w:gridCol w:w="543"/>
        <w:gridCol w:w="729"/>
        <w:gridCol w:w="691"/>
        <w:gridCol w:w="708"/>
        <w:gridCol w:w="756"/>
        <w:gridCol w:w="905"/>
        <w:gridCol w:w="687"/>
        <w:gridCol w:w="800"/>
        <w:gridCol w:w="627"/>
        <w:gridCol w:w="730"/>
        <w:gridCol w:w="732"/>
        <w:gridCol w:w="733"/>
      </w:tblGrid>
      <w:tr>
        <w:trPr>
          <w:trHeight w:val="278" w:hRule="atLeast"/>
        </w:trPr>
        <w:tc>
          <w:tcPr>
            <w:tcW w:w="4145" w:type="dxa"/>
            <w:vMerge w:val="restart"/>
            <w:tcBorders>
              <w:top w:val="single" w:sz="4" w:space="0" w:color="000000"/>
              <w:left w:val="single" w:sz="4" w:space="0" w:color="000000"/>
              <w:bottom w:val="single" w:sz="4" w:space="0" w:color="000000"/>
            </w:tcBorders>
          </w:tcPr>
          <w:p>
            <w:pPr>
              <w:pStyle w:val="TableParagraph"/>
              <w:rPr>
                <w:rFonts w:ascii="Arial"/>
                <w:b/>
                <w:sz w:val="20"/>
              </w:rPr>
            </w:pPr>
          </w:p>
          <w:p>
            <w:pPr>
              <w:pStyle w:val="TableParagraph"/>
              <w:spacing w:before="221"/>
              <w:rPr>
                <w:rFonts w:ascii="Arial"/>
                <w:b/>
                <w:sz w:val="20"/>
              </w:rPr>
            </w:pPr>
          </w:p>
          <w:p>
            <w:pPr>
              <w:pStyle w:val="TableParagraph"/>
              <w:tabs>
                <w:tab w:pos="830" w:val="left" w:leader="none"/>
              </w:tabs>
              <w:ind w:left="134"/>
              <w:rPr>
                <w:rFonts w:ascii="Arial"/>
                <w:b/>
                <w:sz w:val="20"/>
              </w:rPr>
            </w:pPr>
            <w:r>
              <w:rPr>
                <w:rFonts w:ascii="Arial"/>
                <w:b/>
                <w:spacing w:val="-4"/>
                <w:sz w:val="20"/>
              </w:rPr>
              <w:t>S/No</w:t>
            </w:r>
            <w:r>
              <w:rPr>
                <w:rFonts w:ascii="Arial"/>
                <w:b/>
                <w:sz w:val="20"/>
              </w:rPr>
              <w:tab/>
              <w:t>Item</w:t>
            </w:r>
            <w:r>
              <w:rPr>
                <w:rFonts w:ascii="Arial"/>
                <w:b/>
                <w:spacing w:val="-2"/>
                <w:sz w:val="20"/>
              </w:rPr>
              <w:t> Statements</w:t>
            </w:r>
          </w:p>
        </w:tc>
        <w:tc>
          <w:tcPr>
            <w:tcW w:w="1974" w:type="dxa"/>
            <w:vMerge w:val="restart"/>
            <w:tcBorders>
              <w:top w:val="single" w:sz="4" w:space="0" w:color="000000"/>
              <w:bottom w:val="single" w:sz="4" w:space="0" w:color="000000"/>
              <w:right w:val="single" w:sz="4" w:space="0" w:color="000000"/>
            </w:tcBorders>
          </w:tcPr>
          <w:p>
            <w:pPr>
              <w:pStyle w:val="TableParagraph"/>
              <w:spacing w:before="220"/>
              <w:rPr>
                <w:rFonts w:ascii="Arial"/>
                <w:b/>
                <w:sz w:val="20"/>
              </w:rPr>
            </w:pPr>
          </w:p>
          <w:p>
            <w:pPr>
              <w:pStyle w:val="TableParagraph"/>
              <w:ind w:left="107" w:right="585"/>
              <w:rPr>
                <w:rFonts w:ascii="Arial"/>
                <w:b/>
                <w:sz w:val="20"/>
              </w:rPr>
            </w:pPr>
            <w:r>
              <w:rPr>
                <w:rFonts w:ascii="Arial"/>
                <w:b/>
                <w:sz w:val="20"/>
              </w:rPr>
              <w:t>Category of </w:t>
            </w:r>
            <w:r>
              <w:rPr>
                <w:rFonts w:ascii="Arial"/>
                <w:b/>
                <w:spacing w:val="-2"/>
                <w:sz w:val="20"/>
              </w:rPr>
              <w:t>Respondents</w:t>
            </w:r>
          </w:p>
        </w:tc>
        <w:tc>
          <w:tcPr>
            <w:tcW w:w="8641" w:type="dxa"/>
            <w:gridSpan w:val="12"/>
            <w:tcBorders>
              <w:top w:val="single" w:sz="4" w:space="0" w:color="000000"/>
              <w:left w:val="single" w:sz="4" w:space="0" w:color="000000"/>
              <w:bottom w:val="single" w:sz="4" w:space="0" w:color="000000"/>
              <w:right w:val="single" w:sz="4" w:space="0" w:color="000000"/>
            </w:tcBorders>
          </w:tcPr>
          <w:p>
            <w:pPr>
              <w:pStyle w:val="TableParagraph"/>
              <w:spacing w:line="258" w:lineRule="exact"/>
              <w:ind w:left="10" w:right="1372"/>
              <w:jc w:val="center"/>
              <w:rPr>
                <w:rFonts w:ascii="Arial"/>
                <w:b/>
                <w:sz w:val="24"/>
              </w:rPr>
            </w:pPr>
            <w:r>
              <w:rPr>
                <w:rFonts w:ascii="Arial"/>
                <w:b/>
                <w:spacing w:val="-2"/>
                <w:sz w:val="24"/>
              </w:rPr>
              <w:t>Responses</w:t>
            </w:r>
          </w:p>
        </w:tc>
      </w:tr>
      <w:tr>
        <w:trPr>
          <w:trHeight w:val="460" w:hRule="atLeast"/>
        </w:trPr>
        <w:tc>
          <w:tcPr>
            <w:tcW w:w="4145" w:type="dxa"/>
            <w:vMerge/>
            <w:tcBorders>
              <w:top w:val="nil"/>
              <w:left w:val="single" w:sz="4" w:space="0" w:color="000000"/>
              <w:bottom w:val="single" w:sz="4" w:space="0" w:color="000000"/>
            </w:tcBorders>
          </w:tcPr>
          <w:p>
            <w:pPr>
              <w:rPr>
                <w:sz w:val="2"/>
                <w:szCs w:val="2"/>
              </w:rPr>
            </w:pPr>
          </w:p>
        </w:tc>
        <w:tc>
          <w:tcPr>
            <w:tcW w:w="1974" w:type="dxa"/>
            <w:vMerge/>
            <w:tcBorders>
              <w:top w:val="nil"/>
              <w:bottom w:val="single" w:sz="4" w:space="0" w:color="000000"/>
              <w:right w:val="single" w:sz="4" w:space="0" w:color="000000"/>
            </w:tcBorders>
          </w:tcPr>
          <w:p>
            <w:pPr>
              <w:rPr>
                <w:sz w:val="2"/>
                <w:szCs w:val="2"/>
              </w:rPr>
            </w:pPr>
          </w:p>
        </w:tc>
        <w:tc>
          <w:tcPr>
            <w:tcW w:w="8641" w:type="dxa"/>
            <w:gridSpan w:val="12"/>
            <w:tcBorders>
              <w:top w:val="single" w:sz="4" w:space="0" w:color="000000"/>
              <w:left w:val="single" w:sz="4" w:space="0" w:color="000000"/>
              <w:bottom w:val="single" w:sz="4" w:space="0" w:color="000000"/>
              <w:right w:val="single" w:sz="4" w:space="0" w:color="000000"/>
            </w:tcBorders>
          </w:tcPr>
          <w:p>
            <w:pPr>
              <w:pStyle w:val="TableParagraph"/>
              <w:tabs>
                <w:tab w:pos="1695" w:val="left" w:leader="none"/>
                <w:tab w:pos="3010" w:val="left" w:leader="none"/>
                <w:tab w:pos="4637" w:val="left" w:leader="none"/>
                <w:tab w:pos="6082" w:val="left" w:leader="none"/>
                <w:tab w:pos="7680" w:val="left" w:leader="none"/>
              </w:tabs>
              <w:spacing w:line="220" w:lineRule="exact"/>
              <w:ind w:left="221"/>
              <w:rPr>
                <w:rFonts w:ascii="Arial"/>
                <w:b/>
                <w:sz w:val="20"/>
              </w:rPr>
            </w:pPr>
            <w:r>
              <w:rPr>
                <w:rFonts w:ascii="Arial"/>
                <w:b/>
                <w:spacing w:val="-2"/>
                <w:sz w:val="20"/>
              </w:rPr>
              <w:t>Strongly</w:t>
            </w:r>
            <w:r>
              <w:rPr>
                <w:rFonts w:ascii="Arial"/>
                <w:b/>
                <w:sz w:val="20"/>
              </w:rPr>
              <w:tab/>
            </w:r>
            <w:r>
              <w:rPr>
                <w:rFonts w:ascii="Arial"/>
                <w:b/>
                <w:spacing w:val="-4"/>
                <w:sz w:val="20"/>
              </w:rPr>
              <w:t>Agree</w:t>
            </w:r>
            <w:r>
              <w:rPr>
                <w:rFonts w:ascii="Arial"/>
                <w:b/>
                <w:sz w:val="20"/>
              </w:rPr>
              <w:tab/>
            </w:r>
            <w:r>
              <w:rPr>
                <w:rFonts w:ascii="Arial"/>
                <w:b/>
                <w:spacing w:val="-2"/>
                <w:sz w:val="20"/>
              </w:rPr>
              <w:t>Undecided</w:t>
            </w:r>
            <w:r>
              <w:rPr>
                <w:rFonts w:ascii="Arial"/>
                <w:b/>
                <w:sz w:val="20"/>
              </w:rPr>
              <w:tab/>
            </w:r>
            <w:r>
              <w:rPr>
                <w:rFonts w:ascii="Arial"/>
                <w:b/>
                <w:spacing w:val="-2"/>
                <w:sz w:val="20"/>
              </w:rPr>
              <w:t>Disagree</w:t>
            </w:r>
            <w:r>
              <w:rPr>
                <w:rFonts w:ascii="Arial"/>
                <w:b/>
                <w:sz w:val="20"/>
              </w:rPr>
              <w:tab/>
            </w:r>
            <w:r>
              <w:rPr>
                <w:rFonts w:ascii="Arial"/>
                <w:b/>
                <w:spacing w:val="-2"/>
                <w:sz w:val="20"/>
              </w:rPr>
              <w:t>Strongly</w:t>
            </w:r>
            <w:r>
              <w:rPr>
                <w:rFonts w:ascii="Arial"/>
                <w:b/>
                <w:sz w:val="20"/>
              </w:rPr>
              <w:tab/>
            </w:r>
            <w:r>
              <w:rPr>
                <w:rFonts w:ascii="Arial"/>
                <w:b/>
                <w:spacing w:val="-2"/>
                <w:sz w:val="20"/>
              </w:rPr>
              <w:t>Total</w:t>
            </w:r>
          </w:p>
          <w:p>
            <w:pPr>
              <w:pStyle w:val="TableParagraph"/>
              <w:tabs>
                <w:tab w:pos="6067" w:val="left" w:leader="none"/>
              </w:tabs>
              <w:spacing w:line="220" w:lineRule="exact"/>
              <w:ind w:left="346"/>
              <w:rPr>
                <w:rFonts w:ascii="Arial"/>
                <w:b/>
                <w:sz w:val="20"/>
              </w:rPr>
            </w:pPr>
            <w:r>
              <w:rPr>
                <w:rFonts w:ascii="Arial"/>
                <w:b/>
                <w:spacing w:val="-2"/>
                <w:sz w:val="20"/>
              </w:rPr>
              <w:t>Agree</w:t>
            </w:r>
            <w:r>
              <w:rPr>
                <w:rFonts w:ascii="Arial"/>
                <w:b/>
                <w:sz w:val="20"/>
              </w:rPr>
              <w:tab/>
            </w:r>
            <w:r>
              <w:rPr>
                <w:rFonts w:ascii="Arial"/>
                <w:b/>
                <w:spacing w:val="-2"/>
                <w:sz w:val="20"/>
              </w:rPr>
              <w:t>Disagree</w:t>
            </w:r>
          </w:p>
        </w:tc>
      </w:tr>
      <w:tr>
        <w:trPr>
          <w:trHeight w:val="316" w:hRule="atLeast"/>
        </w:trPr>
        <w:tc>
          <w:tcPr>
            <w:tcW w:w="4145" w:type="dxa"/>
            <w:vMerge/>
            <w:tcBorders>
              <w:top w:val="nil"/>
              <w:left w:val="single" w:sz="4" w:space="0" w:color="000000"/>
              <w:bottom w:val="single" w:sz="4" w:space="0" w:color="000000"/>
            </w:tcBorders>
          </w:tcPr>
          <w:p>
            <w:pPr>
              <w:rPr>
                <w:sz w:val="2"/>
                <w:szCs w:val="2"/>
              </w:rPr>
            </w:pPr>
          </w:p>
        </w:tc>
        <w:tc>
          <w:tcPr>
            <w:tcW w:w="1974" w:type="dxa"/>
            <w:vMerge/>
            <w:tcBorders>
              <w:top w:val="nil"/>
              <w:bottom w:val="single" w:sz="4" w:space="0" w:color="000000"/>
              <w:right w:val="single" w:sz="4" w:space="0" w:color="000000"/>
            </w:tcBorders>
          </w:tcPr>
          <w:p>
            <w:pPr>
              <w:rPr>
                <w:sz w:val="2"/>
                <w:szCs w:val="2"/>
              </w:rPr>
            </w:pPr>
          </w:p>
        </w:tc>
        <w:tc>
          <w:tcPr>
            <w:tcW w:w="543" w:type="dxa"/>
            <w:tcBorders>
              <w:top w:val="single" w:sz="4" w:space="0" w:color="000000"/>
              <w:left w:val="single" w:sz="4" w:space="0" w:color="000000"/>
              <w:bottom w:val="single" w:sz="4" w:space="0" w:color="000000"/>
            </w:tcBorders>
          </w:tcPr>
          <w:p>
            <w:pPr>
              <w:pStyle w:val="TableParagraph"/>
              <w:spacing w:line="220" w:lineRule="exact"/>
              <w:ind w:left="9"/>
              <w:jc w:val="center"/>
              <w:rPr>
                <w:rFonts w:ascii="Arial"/>
                <w:b/>
                <w:sz w:val="20"/>
              </w:rPr>
            </w:pPr>
            <w:r>
              <w:rPr>
                <w:rFonts w:ascii="Arial"/>
                <w:b/>
                <w:spacing w:val="-10"/>
                <w:sz w:val="20"/>
              </w:rPr>
              <w:t>F</w:t>
            </w:r>
          </w:p>
        </w:tc>
        <w:tc>
          <w:tcPr>
            <w:tcW w:w="729" w:type="dxa"/>
            <w:tcBorders>
              <w:top w:val="single" w:sz="4" w:space="0" w:color="000000"/>
              <w:bottom w:val="single" w:sz="4" w:space="0" w:color="000000"/>
            </w:tcBorders>
          </w:tcPr>
          <w:p>
            <w:pPr>
              <w:pStyle w:val="TableParagraph"/>
              <w:spacing w:line="220" w:lineRule="exact"/>
              <w:ind w:left="85" w:right="86"/>
              <w:jc w:val="center"/>
              <w:rPr>
                <w:rFonts w:ascii="Arial"/>
                <w:b/>
                <w:sz w:val="20"/>
              </w:rPr>
            </w:pPr>
            <w:r>
              <w:rPr>
                <w:rFonts w:ascii="Arial"/>
                <w:b/>
                <w:spacing w:val="-10"/>
                <w:sz w:val="20"/>
              </w:rPr>
              <w:t>%</w:t>
            </w:r>
          </w:p>
        </w:tc>
        <w:tc>
          <w:tcPr>
            <w:tcW w:w="691" w:type="dxa"/>
            <w:tcBorders>
              <w:top w:val="single" w:sz="4" w:space="0" w:color="000000"/>
              <w:bottom w:val="single" w:sz="4" w:space="0" w:color="000000"/>
            </w:tcBorders>
          </w:tcPr>
          <w:p>
            <w:pPr>
              <w:pStyle w:val="TableParagraph"/>
              <w:spacing w:line="220" w:lineRule="exact"/>
              <w:ind w:left="22" w:right="3"/>
              <w:jc w:val="center"/>
              <w:rPr>
                <w:rFonts w:ascii="Arial"/>
                <w:b/>
                <w:sz w:val="20"/>
              </w:rPr>
            </w:pPr>
            <w:r>
              <w:rPr>
                <w:rFonts w:ascii="Arial"/>
                <w:b/>
                <w:spacing w:val="-10"/>
                <w:sz w:val="20"/>
              </w:rPr>
              <w:t>F</w:t>
            </w:r>
          </w:p>
        </w:tc>
        <w:tc>
          <w:tcPr>
            <w:tcW w:w="708" w:type="dxa"/>
            <w:tcBorders>
              <w:top w:val="single" w:sz="4" w:space="0" w:color="000000"/>
              <w:bottom w:val="single" w:sz="4" w:space="0" w:color="000000"/>
            </w:tcBorders>
          </w:tcPr>
          <w:p>
            <w:pPr>
              <w:pStyle w:val="TableParagraph"/>
              <w:spacing w:line="220" w:lineRule="exact"/>
              <w:ind w:left="59"/>
              <w:jc w:val="center"/>
              <w:rPr>
                <w:rFonts w:ascii="Arial"/>
                <w:b/>
                <w:sz w:val="20"/>
              </w:rPr>
            </w:pPr>
            <w:r>
              <w:rPr>
                <w:rFonts w:ascii="Arial"/>
                <w:b/>
                <w:spacing w:val="-10"/>
                <w:sz w:val="20"/>
              </w:rPr>
              <w:t>%</w:t>
            </w:r>
          </w:p>
        </w:tc>
        <w:tc>
          <w:tcPr>
            <w:tcW w:w="756" w:type="dxa"/>
            <w:tcBorders>
              <w:top w:val="single" w:sz="4" w:space="0" w:color="000000"/>
              <w:bottom w:val="single" w:sz="4" w:space="0" w:color="000000"/>
            </w:tcBorders>
          </w:tcPr>
          <w:p>
            <w:pPr>
              <w:pStyle w:val="TableParagraph"/>
              <w:spacing w:line="220" w:lineRule="exact"/>
              <w:ind w:right="295"/>
              <w:jc w:val="right"/>
              <w:rPr>
                <w:rFonts w:ascii="Arial"/>
                <w:b/>
                <w:sz w:val="20"/>
              </w:rPr>
            </w:pPr>
            <w:r>
              <w:rPr>
                <w:rFonts w:ascii="Arial"/>
                <w:b/>
                <w:spacing w:val="-10"/>
                <w:sz w:val="20"/>
              </w:rPr>
              <w:t>F</w:t>
            </w:r>
          </w:p>
        </w:tc>
        <w:tc>
          <w:tcPr>
            <w:tcW w:w="905" w:type="dxa"/>
            <w:tcBorders>
              <w:top w:val="single" w:sz="4" w:space="0" w:color="000000"/>
              <w:bottom w:val="single" w:sz="4" w:space="0" w:color="000000"/>
            </w:tcBorders>
          </w:tcPr>
          <w:p>
            <w:pPr>
              <w:pStyle w:val="TableParagraph"/>
              <w:spacing w:line="220" w:lineRule="exact"/>
              <w:ind w:left="16"/>
              <w:jc w:val="center"/>
              <w:rPr>
                <w:rFonts w:ascii="Arial"/>
                <w:b/>
                <w:sz w:val="20"/>
              </w:rPr>
            </w:pPr>
            <w:r>
              <w:rPr>
                <w:rFonts w:ascii="Arial"/>
                <w:b/>
                <w:spacing w:val="-10"/>
                <w:sz w:val="20"/>
              </w:rPr>
              <w:t>%</w:t>
            </w:r>
          </w:p>
        </w:tc>
        <w:tc>
          <w:tcPr>
            <w:tcW w:w="687" w:type="dxa"/>
            <w:tcBorders>
              <w:top w:val="single" w:sz="4" w:space="0" w:color="000000"/>
              <w:bottom w:val="single" w:sz="4" w:space="0" w:color="000000"/>
            </w:tcBorders>
          </w:tcPr>
          <w:p>
            <w:pPr>
              <w:pStyle w:val="TableParagraph"/>
              <w:spacing w:line="220" w:lineRule="exact"/>
              <w:ind w:left="115" w:right="48"/>
              <w:jc w:val="center"/>
              <w:rPr>
                <w:rFonts w:ascii="Arial"/>
                <w:b/>
                <w:sz w:val="20"/>
              </w:rPr>
            </w:pPr>
            <w:r>
              <w:rPr>
                <w:rFonts w:ascii="Arial"/>
                <w:b/>
                <w:spacing w:val="-10"/>
                <w:sz w:val="20"/>
              </w:rPr>
              <w:t>F</w:t>
            </w:r>
          </w:p>
        </w:tc>
        <w:tc>
          <w:tcPr>
            <w:tcW w:w="800" w:type="dxa"/>
            <w:tcBorders>
              <w:top w:val="single" w:sz="4" w:space="0" w:color="000000"/>
              <w:bottom w:val="single" w:sz="4" w:space="0" w:color="000000"/>
            </w:tcBorders>
          </w:tcPr>
          <w:p>
            <w:pPr>
              <w:pStyle w:val="TableParagraph"/>
              <w:spacing w:line="220" w:lineRule="exact"/>
              <w:ind w:left="19" w:right="1"/>
              <w:jc w:val="center"/>
              <w:rPr>
                <w:rFonts w:ascii="Arial"/>
                <w:b/>
                <w:sz w:val="20"/>
              </w:rPr>
            </w:pPr>
            <w:r>
              <w:rPr>
                <w:rFonts w:ascii="Arial"/>
                <w:b/>
                <w:spacing w:val="-10"/>
                <w:sz w:val="20"/>
              </w:rPr>
              <w:t>%</w:t>
            </w:r>
          </w:p>
        </w:tc>
        <w:tc>
          <w:tcPr>
            <w:tcW w:w="627" w:type="dxa"/>
            <w:tcBorders>
              <w:top w:val="single" w:sz="4" w:space="0" w:color="000000"/>
              <w:bottom w:val="single" w:sz="4" w:space="0" w:color="000000"/>
            </w:tcBorders>
          </w:tcPr>
          <w:p>
            <w:pPr>
              <w:pStyle w:val="TableParagraph"/>
              <w:spacing w:line="220" w:lineRule="exact"/>
              <w:ind w:left="23" w:right="10"/>
              <w:jc w:val="center"/>
              <w:rPr>
                <w:rFonts w:ascii="Arial"/>
                <w:b/>
                <w:sz w:val="20"/>
              </w:rPr>
            </w:pPr>
            <w:r>
              <w:rPr>
                <w:rFonts w:ascii="Arial"/>
                <w:b/>
                <w:spacing w:val="-10"/>
                <w:sz w:val="20"/>
              </w:rPr>
              <w:t>F</w:t>
            </w:r>
          </w:p>
        </w:tc>
        <w:tc>
          <w:tcPr>
            <w:tcW w:w="730" w:type="dxa"/>
            <w:tcBorders>
              <w:top w:val="single" w:sz="4" w:space="0" w:color="000000"/>
              <w:bottom w:val="single" w:sz="4" w:space="0" w:color="000000"/>
            </w:tcBorders>
          </w:tcPr>
          <w:p>
            <w:pPr>
              <w:pStyle w:val="TableParagraph"/>
              <w:spacing w:line="220" w:lineRule="exact"/>
              <w:ind w:left="80" w:right="4"/>
              <w:jc w:val="center"/>
              <w:rPr>
                <w:rFonts w:ascii="Arial"/>
                <w:b/>
                <w:sz w:val="20"/>
              </w:rPr>
            </w:pPr>
            <w:r>
              <w:rPr>
                <w:rFonts w:ascii="Arial"/>
                <w:b/>
                <w:spacing w:val="-10"/>
                <w:sz w:val="20"/>
              </w:rPr>
              <w:t>%</w:t>
            </w:r>
          </w:p>
        </w:tc>
        <w:tc>
          <w:tcPr>
            <w:tcW w:w="732" w:type="dxa"/>
            <w:tcBorders>
              <w:top w:val="single" w:sz="4" w:space="0" w:color="000000"/>
              <w:bottom w:val="single" w:sz="4" w:space="0" w:color="000000"/>
            </w:tcBorders>
          </w:tcPr>
          <w:p>
            <w:pPr>
              <w:pStyle w:val="TableParagraph"/>
              <w:spacing w:line="220" w:lineRule="exact"/>
              <w:ind w:left="60" w:right="5"/>
              <w:jc w:val="center"/>
              <w:rPr>
                <w:rFonts w:ascii="Arial"/>
                <w:b/>
                <w:sz w:val="20"/>
              </w:rPr>
            </w:pPr>
            <w:r>
              <w:rPr>
                <w:rFonts w:ascii="Arial"/>
                <w:b/>
                <w:spacing w:val="-10"/>
                <w:sz w:val="20"/>
              </w:rPr>
              <w:t>F</w:t>
            </w:r>
          </w:p>
        </w:tc>
        <w:tc>
          <w:tcPr>
            <w:tcW w:w="733" w:type="dxa"/>
            <w:tcBorders>
              <w:top w:val="single" w:sz="4" w:space="0" w:color="000000"/>
              <w:bottom w:val="single" w:sz="4" w:space="0" w:color="000000"/>
              <w:right w:val="single" w:sz="4" w:space="0" w:color="000000"/>
            </w:tcBorders>
          </w:tcPr>
          <w:p>
            <w:pPr>
              <w:pStyle w:val="TableParagraph"/>
              <w:spacing w:line="220" w:lineRule="exact"/>
              <w:ind w:left="34"/>
              <w:jc w:val="center"/>
              <w:rPr>
                <w:rFonts w:ascii="Arial"/>
                <w:b/>
                <w:sz w:val="20"/>
              </w:rPr>
            </w:pPr>
            <w:r>
              <w:rPr>
                <w:rFonts w:ascii="Arial"/>
                <w:b/>
                <w:spacing w:val="-10"/>
                <w:sz w:val="20"/>
              </w:rPr>
              <w:t>%</w:t>
            </w:r>
          </w:p>
        </w:tc>
      </w:tr>
      <w:tr>
        <w:trPr>
          <w:trHeight w:val="227" w:hRule="atLeast"/>
        </w:trPr>
        <w:tc>
          <w:tcPr>
            <w:tcW w:w="4145" w:type="dxa"/>
            <w:tcBorders>
              <w:top w:val="single" w:sz="4" w:space="0" w:color="000000"/>
              <w:left w:val="single" w:sz="4" w:space="0" w:color="000000"/>
            </w:tcBorders>
          </w:tcPr>
          <w:p>
            <w:pPr>
              <w:pStyle w:val="TableParagraph"/>
              <w:tabs>
                <w:tab w:pos="609" w:val="left" w:leader="none"/>
              </w:tabs>
              <w:spacing w:line="208" w:lineRule="exact"/>
              <w:ind w:right="102"/>
              <w:jc w:val="right"/>
              <w:rPr>
                <w:sz w:val="20"/>
              </w:rPr>
            </w:pPr>
            <w:r>
              <w:rPr>
                <w:spacing w:val="-5"/>
                <w:sz w:val="20"/>
              </w:rPr>
              <w:t>43.</w:t>
            </w:r>
            <w:r>
              <w:rPr>
                <w:sz w:val="20"/>
              </w:rPr>
              <w:tab/>
              <w:t>The</w:t>
            </w:r>
            <w:r>
              <w:rPr>
                <w:spacing w:val="22"/>
                <w:sz w:val="20"/>
              </w:rPr>
              <w:t> </w:t>
            </w:r>
            <w:r>
              <w:rPr>
                <w:sz w:val="20"/>
              </w:rPr>
              <w:t>Counseling</w:t>
            </w:r>
            <w:r>
              <w:rPr>
                <w:spacing w:val="23"/>
                <w:sz w:val="20"/>
              </w:rPr>
              <w:t> </w:t>
            </w:r>
            <w:r>
              <w:rPr>
                <w:sz w:val="20"/>
              </w:rPr>
              <w:t>and</w:t>
            </w:r>
            <w:r>
              <w:rPr>
                <w:spacing w:val="23"/>
                <w:sz w:val="20"/>
              </w:rPr>
              <w:t> </w:t>
            </w:r>
            <w:r>
              <w:rPr>
                <w:sz w:val="20"/>
              </w:rPr>
              <w:t>Guidance</w:t>
            </w:r>
            <w:r>
              <w:rPr>
                <w:spacing w:val="23"/>
                <w:sz w:val="20"/>
              </w:rPr>
              <w:t> </w:t>
            </w:r>
            <w:r>
              <w:rPr>
                <w:spacing w:val="-4"/>
                <w:sz w:val="20"/>
              </w:rPr>
              <w:t>unit</w:t>
            </w:r>
          </w:p>
        </w:tc>
        <w:tc>
          <w:tcPr>
            <w:tcW w:w="1974" w:type="dxa"/>
            <w:tcBorders>
              <w:top w:val="single" w:sz="4" w:space="0" w:color="000000"/>
            </w:tcBorders>
          </w:tcPr>
          <w:p>
            <w:pPr>
              <w:pStyle w:val="TableParagraph"/>
              <w:spacing w:line="208" w:lineRule="exact"/>
              <w:ind w:left="107"/>
              <w:rPr>
                <w:sz w:val="20"/>
              </w:rPr>
            </w:pPr>
            <w:r>
              <w:rPr>
                <w:sz w:val="20"/>
              </w:rPr>
              <w:t>No.</w:t>
            </w:r>
            <w:r>
              <w:rPr>
                <w:spacing w:val="-5"/>
                <w:sz w:val="20"/>
              </w:rPr>
              <w:t> </w:t>
            </w:r>
            <w:r>
              <w:rPr>
                <w:sz w:val="20"/>
              </w:rPr>
              <w:t>of</w:t>
            </w:r>
            <w:r>
              <w:rPr>
                <w:spacing w:val="-2"/>
                <w:sz w:val="20"/>
              </w:rPr>
              <w:t> missing</w:t>
            </w:r>
          </w:p>
        </w:tc>
        <w:tc>
          <w:tcPr>
            <w:tcW w:w="543" w:type="dxa"/>
            <w:tcBorders>
              <w:top w:val="single" w:sz="4" w:space="0" w:color="000000"/>
            </w:tcBorders>
          </w:tcPr>
          <w:p>
            <w:pPr>
              <w:pStyle w:val="TableParagraph"/>
              <w:rPr>
                <w:rFonts w:ascii="Times New Roman"/>
                <w:sz w:val="16"/>
              </w:rPr>
            </w:pPr>
          </w:p>
        </w:tc>
        <w:tc>
          <w:tcPr>
            <w:tcW w:w="729" w:type="dxa"/>
            <w:tcBorders>
              <w:top w:val="single" w:sz="4" w:space="0" w:color="000000"/>
            </w:tcBorders>
          </w:tcPr>
          <w:p>
            <w:pPr>
              <w:pStyle w:val="TableParagraph"/>
              <w:rPr>
                <w:rFonts w:ascii="Times New Roman"/>
                <w:sz w:val="16"/>
              </w:rPr>
            </w:pPr>
          </w:p>
        </w:tc>
        <w:tc>
          <w:tcPr>
            <w:tcW w:w="691" w:type="dxa"/>
            <w:tcBorders>
              <w:top w:val="single" w:sz="4" w:space="0" w:color="000000"/>
            </w:tcBorders>
          </w:tcPr>
          <w:p>
            <w:pPr>
              <w:pStyle w:val="TableParagraph"/>
              <w:rPr>
                <w:rFonts w:ascii="Times New Roman"/>
                <w:sz w:val="16"/>
              </w:rPr>
            </w:pPr>
          </w:p>
        </w:tc>
        <w:tc>
          <w:tcPr>
            <w:tcW w:w="708" w:type="dxa"/>
            <w:tcBorders>
              <w:top w:val="single" w:sz="4" w:space="0" w:color="000000"/>
            </w:tcBorders>
          </w:tcPr>
          <w:p>
            <w:pPr>
              <w:pStyle w:val="TableParagraph"/>
              <w:rPr>
                <w:rFonts w:ascii="Times New Roman"/>
                <w:sz w:val="16"/>
              </w:rPr>
            </w:pPr>
          </w:p>
        </w:tc>
        <w:tc>
          <w:tcPr>
            <w:tcW w:w="756" w:type="dxa"/>
            <w:tcBorders>
              <w:top w:val="single" w:sz="4" w:space="0" w:color="000000"/>
            </w:tcBorders>
          </w:tcPr>
          <w:p>
            <w:pPr>
              <w:pStyle w:val="TableParagraph"/>
              <w:rPr>
                <w:rFonts w:ascii="Times New Roman"/>
                <w:sz w:val="16"/>
              </w:rPr>
            </w:pPr>
          </w:p>
        </w:tc>
        <w:tc>
          <w:tcPr>
            <w:tcW w:w="905" w:type="dxa"/>
            <w:tcBorders>
              <w:top w:val="single" w:sz="4" w:space="0" w:color="000000"/>
            </w:tcBorders>
          </w:tcPr>
          <w:p>
            <w:pPr>
              <w:pStyle w:val="TableParagraph"/>
              <w:rPr>
                <w:rFonts w:ascii="Times New Roman"/>
                <w:sz w:val="16"/>
              </w:rPr>
            </w:pPr>
          </w:p>
        </w:tc>
        <w:tc>
          <w:tcPr>
            <w:tcW w:w="687" w:type="dxa"/>
            <w:tcBorders>
              <w:top w:val="single" w:sz="4" w:space="0" w:color="000000"/>
            </w:tcBorders>
          </w:tcPr>
          <w:p>
            <w:pPr>
              <w:pStyle w:val="TableParagraph"/>
              <w:rPr>
                <w:rFonts w:ascii="Times New Roman"/>
                <w:sz w:val="16"/>
              </w:rPr>
            </w:pPr>
          </w:p>
        </w:tc>
        <w:tc>
          <w:tcPr>
            <w:tcW w:w="800" w:type="dxa"/>
            <w:tcBorders>
              <w:top w:val="single" w:sz="4" w:space="0" w:color="000000"/>
            </w:tcBorders>
          </w:tcPr>
          <w:p>
            <w:pPr>
              <w:pStyle w:val="TableParagraph"/>
              <w:rPr>
                <w:rFonts w:ascii="Times New Roman"/>
                <w:sz w:val="16"/>
              </w:rPr>
            </w:pPr>
          </w:p>
        </w:tc>
        <w:tc>
          <w:tcPr>
            <w:tcW w:w="627" w:type="dxa"/>
            <w:tcBorders>
              <w:top w:val="single" w:sz="4" w:space="0" w:color="000000"/>
            </w:tcBorders>
          </w:tcPr>
          <w:p>
            <w:pPr>
              <w:pStyle w:val="TableParagraph"/>
              <w:rPr>
                <w:rFonts w:ascii="Times New Roman"/>
                <w:sz w:val="16"/>
              </w:rPr>
            </w:pPr>
          </w:p>
        </w:tc>
        <w:tc>
          <w:tcPr>
            <w:tcW w:w="730" w:type="dxa"/>
            <w:tcBorders>
              <w:top w:val="single" w:sz="4" w:space="0" w:color="000000"/>
            </w:tcBorders>
          </w:tcPr>
          <w:p>
            <w:pPr>
              <w:pStyle w:val="TableParagraph"/>
              <w:rPr>
                <w:rFonts w:ascii="Times New Roman"/>
                <w:sz w:val="16"/>
              </w:rPr>
            </w:pPr>
          </w:p>
        </w:tc>
        <w:tc>
          <w:tcPr>
            <w:tcW w:w="732" w:type="dxa"/>
            <w:tcBorders>
              <w:top w:val="single" w:sz="4" w:space="0" w:color="000000"/>
            </w:tcBorders>
          </w:tcPr>
          <w:p>
            <w:pPr>
              <w:pStyle w:val="TableParagraph"/>
              <w:rPr>
                <w:rFonts w:ascii="Times New Roman"/>
                <w:sz w:val="16"/>
              </w:rPr>
            </w:pPr>
          </w:p>
        </w:tc>
        <w:tc>
          <w:tcPr>
            <w:tcW w:w="733" w:type="dxa"/>
            <w:tcBorders>
              <w:top w:val="single" w:sz="4" w:space="0" w:color="000000"/>
              <w:right w:val="single" w:sz="4" w:space="0" w:color="000000"/>
            </w:tcBorders>
          </w:tcPr>
          <w:p>
            <w:pPr>
              <w:pStyle w:val="TableParagraph"/>
              <w:rPr>
                <w:rFonts w:ascii="Times New Roman"/>
                <w:sz w:val="16"/>
              </w:rPr>
            </w:pPr>
          </w:p>
        </w:tc>
      </w:tr>
      <w:tr>
        <w:trPr>
          <w:trHeight w:val="230" w:hRule="atLeast"/>
        </w:trPr>
        <w:tc>
          <w:tcPr>
            <w:tcW w:w="4145" w:type="dxa"/>
            <w:tcBorders>
              <w:left w:val="single" w:sz="4" w:space="0" w:color="000000"/>
            </w:tcBorders>
          </w:tcPr>
          <w:p>
            <w:pPr>
              <w:pStyle w:val="TableParagraph"/>
              <w:spacing w:line="210" w:lineRule="exact"/>
              <w:ind w:right="103"/>
              <w:jc w:val="right"/>
              <w:rPr>
                <w:sz w:val="20"/>
              </w:rPr>
            </w:pPr>
            <w:r>
              <w:rPr>
                <w:sz w:val="20"/>
              </w:rPr>
              <w:t>in</w:t>
            </w:r>
            <w:r>
              <w:rPr>
                <w:spacing w:val="39"/>
                <w:sz w:val="20"/>
              </w:rPr>
              <w:t>  </w:t>
            </w:r>
            <w:r>
              <w:rPr>
                <w:sz w:val="20"/>
              </w:rPr>
              <w:t>Nigerian</w:t>
            </w:r>
            <w:r>
              <w:rPr>
                <w:spacing w:val="39"/>
                <w:sz w:val="20"/>
              </w:rPr>
              <w:t>  </w:t>
            </w:r>
            <w:r>
              <w:rPr>
                <w:sz w:val="20"/>
              </w:rPr>
              <w:t>Universities</w:t>
            </w:r>
            <w:r>
              <w:rPr>
                <w:spacing w:val="39"/>
                <w:sz w:val="20"/>
              </w:rPr>
              <w:t>  </w:t>
            </w:r>
            <w:r>
              <w:rPr>
                <w:sz w:val="20"/>
              </w:rPr>
              <w:t>play</w:t>
            </w:r>
            <w:r>
              <w:rPr>
                <w:spacing w:val="40"/>
                <w:sz w:val="20"/>
              </w:rPr>
              <w:t>  </w:t>
            </w:r>
            <w:r>
              <w:rPr>
                <w:spacing w:val="-10"/>
                <w:sz w:val="20"/>
              </w:rPr>
              <w:t>a</w:t>
            </w:r>
          </w:p>
        </w:tc>
        <w:tc>
          <w:tcPr>
            <w:tcW w:w="1974" w:type="dxa"/>
          </w:tcPr>
          <w:p>
            <w:pPr>
              <w:pStyle w:val="TableParagraph"/>
              <w:spacing w:line="210" w:lineRule="exact"/>
              <w:ind w:left="107"/>
              <w:rPr>
                <w:sz w:val="20"/>
              </w:rPr>
            </w:pPr>
            <w:r>
              <w:rPr>
                <w:spacing w:val="-2"/>
                <w:sz w:val="20"/>
              </w:rPr>
              <w:t>observations</w:t>
            </w:r>
          </w:p>
        </w:tc>
        <w:tc>
          <w:tcPr>
            <w:tcW w:w="543" w:type="dxa"/>
          </w:tcPr>
          <w:p>
            <w:pPr>
              <w:pStyle w:val="TableParagraph"/>
              <w:spacing w:line="210" w:lineRule="exact"/>
              <w:ind w:left="12" w:right="6"/>
              <w:jc w:val="center"/>
              <w:rPr>
                <w:sz w:val="20"/>
              </w:rPr>
            </w:pPr>
            <w:r>
              <w:rPr>
                <w:spacing w:val="-10"/>
                <w:sz w:val="20"/>
              </w:rPr>
              <w:t>-</w:t>
            </w:r>
          </w:p>
        </w:tc>
        <w:tc>
          <w:tcPr>
            <w:tcW w:w="729" w:type="dxa"/>
          </w:tcPr>
          <w:p>
            <w:pPr>
              <w:pStyle w:val="TableParagraph"/>
              <w:spacing w:line="210" w:lineRule="exact"/>
              <w:ind w:left="85" w:right="91"/>
              <w:jc w:val="center"/>
              <w:rPr>
                <w:sz w:val="20"/>
              </w:rPr>
            </w:pPr>
            <w:r>
              <w:rPr>
                <w:spacing w:val="-10"/>
                <w:sz w:val="20"/>
              </w:rPr>
              <w:t>-</w:t>
            </w:r>
          </w:p>
        </w:tc>
        <w:tc>
          <w:tcPr>
            <w:tcW w:w="691" w:type="dxa"/>
          </w:tcPr>
          <w:p>
            <w:pPr>
              <w:pStyle w:val="TableParagraph"/>
              <w:spacing w:line="210" w:lineRule="exact"/>
              <w:ind w:left="22" w:right="4"/>
              <w:jc w:val="center"/>
              <w:rPr>
                <w:sz w:val="20"/>
              </w:rPr>
            </w:pPr>
            <w:r>
              <w:rPr>
                <w:spacing w:val="-10"/>
                <w:sz w:val="20"/>
              </w:rPr>
              <w:t>1</w:t>
            </w:r>
          </w:p>
        </w:tc>
        <w:tc>
          <w:tcPr>
            <w:tcW w:w="708" w:type="dxa"/>
          </w:tcPr>
          <w:p>
            <w:pPr>
              <w:pStyle w:val="TableParagraph"/>
              <w:spacing w:line="210" w:lineRule="exact"/>
              <w:ind w:left="59"/>
              <w:jc w:val="center"/>
              <w:rPr>
                <w:sz w:val="20"/>
              </w:rPr>
            </w:pPr>
            <w:r>
              <w:rPr>
                <w:spacing w:val="-4"/>
                <w:sz w:val="20"/>
              </w:rPr>
              <w:t>50.0</w:t>
            </w:r>
          </w:p>
        </w:tc>
        <w:tc>
          <w:tcPr>
            <w:tcW w:w="756" w:type="dxa"/>
          </w:tcPr>
          <w:p>
            <w:pPr>
              <w:pStyle w:val="TableParagraph"/>
              <w:spacing w:line="210" w:lineRule="exact"/>
              <w:ind w:right="302"/>
              <w:jc w:val="right"/>
              <w:rPr>
                <w:sz w:val="20"/>
              </w:rPr>
            </w:pPr>
            <w:r>
              <w:rPr>
                <w:spacing w:val="-10"/>
                <w:sz w:val="20"/>
              </w:rPr>
              <w:t>1</w:t>
            </w:r>
          </w:p>
        </w:tc>
        <w:tc>
          <w:tcPr>
            <w:tcW w:w="905" w:type="dxa"/>
          </w:tcPr>
          <w:p>
            <w:pPr>
              <w:pStyle w:val="TableParagraph"/>
              <w:spacing w:line="210" w:lineRule="exact"/>
              <w:ind w:left="16"/>
              <w:jc w:val="center"/>
              <w:rPr>
                <w:sz w:val="20"/>
              </w:rPr>
            </w:pPr>
            <w:r>
              <w:rPr>
                <w:spacing w:val="-4"/>
                <w:sz w:val="20"/>
              </w:rPr>
              <w:t>50.0</w:t>
            </w:r>
          </w:p>
        </w:tc>
        <w:tc>
          <w:tcPr>
            <w:tcW w:w="687" w:type="dxa"/>
          </w:tcPr>
          <w:p>
            <w:pPr>
              <w:pStyle w:val="TableParagraph"/>
              <w:spacing w:line="210" w:lineRule="exact"/>
              <w:ind w:left="107" w:right="48"/>
              <w:jc w:val="center"/>
              <w:rPr>
                <w:sz w:val="20"/>
              </w:rPr>
            </w:pPr>
            <w:r>
              <w:rPr>
                <w:spacing w:val="-10"/>
                <w:sz w:val="20"/>
              </w:rPr>
              <w:t>-</w:t>
            </w:r>
          </w:p>
        </w:tc>
        <w:tc>
          <w:tcPr>
            <w:tcW w:w="800" w:type="dxa"/>
          </w:tcPr>
          <w:p>
            <w:pPr>
              <w:pStyle w:val="TableParagraph"/>
              <w:spacing w:line="210" w:lineRule="exact"/>
              <w:ind w:left="18" w:right="6"/>
              <w:jc w:val="center"/>
              <w:rPr>
                <w:sz w:val="20"/>
              </w:rPr>
            </w:pPr>
            <w:r>
              <w:rPr>
                <w:spacing w:val="-10"/>
                <w:sz w:val="20"/>
              </w:rPr>
              <w:t>-</w:t>
            </w:r>
          </w:p>
        </w:tc>
        <w:tc>
          <w:tcPr>
            <w:tcW w:w="627" w:type="dxa"/>
          </w:tcPr>
          <w:p>
            <w:pPr>
              <w:pStyle w:val="TableParagraph"/>
              <w:spacing w:line="210" w:lineRule="exact"/>
              <w:ind w:left="23" w:right="18"/>
              <w:jc w:val="center"/>
              <w:rPr>
                <w:sz w:val="20"/>
              </w:rPr>
            </w:pPr>
            <w:r>
              <w:rPr>
                <w:spacing w:val="-10"/>
                <w:sz w:val="20"/>
              </w:rPr>
              <w:t>-</w:t>
            </w:r>
          </w:p>
        </w:tc>
        <w:tc>
          <w:tcPr>
            <w:tcW w:w="730" w:type="dxa"/>
          </w:tcPr>
          <w:p>
            <w:pPr>
              <w:pStyle w:val="TableParagraph"/>
              <w:spacing w:line="210" w:lineRule="exact"/>
              <w:ind w:left="76" w:right="7"/>
              <w:jc w:val="center"/>
              <w:rPr>
                <w:sz w:val="20"/>
              </w:rPr>
            </w:pPr>
            <w:r>
              <w:rPr>
                <w:spacing w:val="-10"/>
                <w:sz w:val="20"/>
              </w:rPr>
              <w:t>-</w:t>
            </w:r>
          </w:p>
        </w:tc>
        <w:tc>
          <w:tcPr>
            <w:tcW w:w="732" w:type="dxa"/>
          </w:tcPr>
          <w:p>
            <w:pPr>
              <w:pStyle w:val="TableParagraph"/>
              <w:spacing w:line="210" w:lineRule="exact"/>
              <w:ind w:left="140"/>
              <w:rPr>
                <w:sz w:val="20"/>
              </w:rPr>
            </w:pPr>
            <w:r>
              <w:rPr>
                <w:spacing w:val="-10"/>
                <w:sz w:val="20"/>
              </w:rPr>
              <w:t>2</w:t>
            </w:r>
          </w:p>
        </w:tc>
        <w:tc>
          <w:tcPr>
            <w:tcW w:w="733" w:type="dxa"/>
            <w:tcBorders>
              <w:right w:val="single" w:sz="4" w:space="0" w:color="000000"/>
            </w:tcBorders>
          </w:tcPr>
          <w:p>
            <w:pPr>
              <w:pStyle w:val="TableParagraph"/>
              <w:spacing w:line="210" w:lineRule="exact"/>
              <w:ind w:left="34" w:right="5"/>
              <w:jc w:val="center"/>
              <w:rPr>
                <w:sz w:val="20"/>
              </w:rPr>
            </w:pPr>
            <w:r>
              <w:rPr>
                <w:spacing w:val="-5"/>
                <w:sz w:val="20"/>
              </w:rPr>
              <w:t>0.4</w:t>
            </w:r>
          </w:p>
        </w:tc>
      </w:tr>
      <w:tr>
        <w:trPr>
          <w:trHeight w:val="230" w:hRule="atLeast"/>
        </w:trPr>
        <w:tc>
          <w:tcPr>
            <w:tcW w:w="4145" w:type="dxa"/>
            <w:tcBorders>
              <w:left w:val="single" w:sz="4" w:space="0" w:color="000000"/>
            </w:tcBorders>
          </w:tcPr>
          <w:p>
            <w:pPr>
              <w:pStyle w:val="TableParagraph"/>
              <w:spacing w:line="210" w:lineRule="exact"/>
              <w:ind w:right="107"/>
              <w:jc w:val="right"/>
              <w:rPr>
                <w:sz w:val="20"/>
              </w:rPr>
            </w:pPr>
            <w:r>
              <w:rPr>
                <w:sz w:val="20"/>
              </w:rPr>
              <w:t>preventive</w:t>
            </w:r>
            <w:r>
              <w:rPr>
                <w:spacing w:val="61"/>
                <w:w w:val="150"/>
                <w:sz w:val="20"/>
              </w:rPr>
              <w:t> </w:t>
            </w:r>
            <w:r>
              <w:rPr>
                <w:sz w:val="20"/>
              </w:rPr>
              <w:t>role</w:t>
            </w:r>
            <w:r>
              <w:rPr>
                <w:spacing w:val="61"/>
                <w:w w:val="150"/>
                <w:sz w:val="20"/>
              </w:rPr>
              <w:t> </w:t>
            </w:r>
            <w:r>
              <w:rPr>
                <w:sz w:val="20"/>
              </w:rPr>
              <w:t>in</w:t>
            </w:r>
            <w:r>
              <w:rPr>
                <w:spacing w:val="62"/>
                <w:w w:val="150"/>
                <w:sz w:val="20"/>
              </w:rPr>
              <w:t> </w:t>
            </w:r>
            <w:r>
              <w:rPr>
                <w:sz w:val="20"/>
              </w:rPr>
              <w:t>anticipation</w:t>
            </w:r>
            <w:r>
              <w:rPr>
                <w:spacing w:val="61"/>
                <w:w w:val="150"/>
                <w:sz w:val="20"/>
              </w:rPr>
              <w:t> </w:t>
            </w:r>
            <w:r>
              <w:rPr>
                <w:spacing w:val="-5"/>
                <w:sz w:val="20"/>
              </w:rPr>
              <w:t>of</w:t>
            </w:r>
          </w:p>
        </w:tc>
        <w:tc>
          <w:tcPr>
            <w:tcW w:w="1974" w:type="dxa"/>
          </w:tcPr>
          <w:p>
            <w:pPr>
              <w:pStyle w:val="TableParagraph"/>
              <w:spacing w:line="210" w:lineRule="exact"/>
              <w:ind w:left="107"/>
              <w:rPr>
                <w:sz w:val="20"/>
              </w:rPr>
            </w:pPr>
            <w:r>
              <w:rPr>
                <w:spacing w:val="-2"/>
                <w:sz w:val="20"/>
              </w:rPr>
              <w:t>Students</w:t>
            </w:r>
          </w:p>
        </w:tc>
        <w:tc>
          <w:tcPr>
            <w:tcW w:w="543" w:type="dxa"/>
          </w:tcPr>
          <w:p>
            <w:pPr>
              <w:pStyle w:val="TableParagraph"/>
              <w:spacing w:line="210" w:lineRule="exact"/>
              <w:ind w:left="12" w:right="4"/>
              <w:jc w:val="center"/>
              <w:rPr>
                <w:sz w:val="20"/>
              </w:rPr>
            </w:pPr>
            <w:r>
              <w:rPr>
                <w:spacing w:val="-5"/>
                <w:sz w:val="20"/>
              </w:rPr>
              <w:t>73</w:t>
            </w:r>
          </w:p>
        </w:tc>
        <w:tc>
          <w:tcPr>
            <w:tcW w:w="729" w:type="dxa"/>
          </w:tcPr>
          <w:p>
            <w:pPr>
              <w:pStyle w:val="TableParagraph"/>
              <w:spacing w:line="210" w:lineRule="exact"/>
              <w:ind w:left="85" w:right="86"/>
              <w:jc w:val="center"/>
              <w:rPr>
                <w:sz w:val="20"/>
              </w:rPr>
            </w:pPr>
            <w:r>
              <w:rPr>
                <w:spacing w:val="-4"/>
                <w:sz w:val="20"/>
              </w:rPr>
              <w:t>31.1</w:t>
            </w:r>
          </w:p>
        </w:tc>
        <w:tc>
          <w:tcPr>
            <w:tcW w:w="691" w:type="dxa"/>
          </w:tcPr>
          <w:p>
            <w:pPr>
              <w:pStyle w:val="TableParagraph"/>
              <w:spacing w:line="210" w:lineRule="exact"/>
              <w:ind w:left="22" w:right="13"/>
              <w:jc w:val="center"/>
              <w:rPr>
                <w:sz w:val="20"/>
              </w:rPr>
            </w:pPr>
            <w:r>
              <w:rPr>
                <w:spacing w:val="-5"/>
                <w:sz w:val="20"/>
              </w:rPr>
              <w:t>108</w:t>
            </w:r>
          </w:p>
        </w:tc>
        <w:tc>
          <w:tcPr>
            <w:tcW w:w="708" w:type="dxa"/>
          </w:tcPr>
          <w:p>
            <w:pPr>
              <w:pStyle w:val="TableParagraph"/>
              <w:spacing w:line="210" w:lineRule="exact"/>
              <w:ind w:left="59"/>
              <w:jc w:val="center"/>
              <w:rPr>
                <w:sz w:val="20"/>
              </w:rPr>
            </w:pPr>
            <w:r>
              <w:rPr>
                <w:spacing w:val="-4"/>
                <w:sz w:val="20"/>
              </w:rPr>
              <w:t>46.0</w:t>
            </w:r>
          </w:p>
        </w:tc>
        <w:tc>
          <w:tcPr>
            <w:tcW w:w="756" w:type="dxa"/>
          </w:tcPr>
          <w:p>
            <w:pPr>
              <w:pStyle w:val="TableParagraph"/>
              <w:spacing w:line="210" w:lineRule="exact"/>
              <w:ind w:right="249"/>
              <w:jc w:val="right"/>
              <w:rPr>
                <w:sz w:val="20"/>
              </w:rPr>
            </w:pPr>
            <w:r>
              <w:rPr>
                <w:spacing w:val="-5"/>
                <w:sz w:val="20"/>
              </w:rPr>
              <w:t>27</w:t>
            </w:r>
          </w:p>
        </w:tc>
        <w:tc>
          <w:tcPr>
            <w:tcW w:w="905" w:type="dxa"/>
          </w:tcPr>
          <w:p>
            <w:pPr>
              <w:pStyle w:val="TableParagraph"/>
              <w:spacing w:line="210" w:lineRule="exact"/>
              <w:ind w:left="16"/>
              <w:jc w:val="center"/>
              <w:rPr>
                <w:sz w:val="20"/>
              </w:rPr>
            </w:pPr>
            <w:r>
              <w:rPr>
                <w:spacing w:val="-4"/>
                <w:sz w:val="20"/>
              </w:rPr>
              <w:t>11.5</w:t>
            </w:r>
          </w:p>
        </w:tc>
        <w:tc>
          <w:tcPr>
            <w:tcW w:w="687" w:type="dxa"/>
          </w:tcPr>
          <w:p>
            <w:pPr>
              <w:pStyle w:val="TableParagraph"/>
              <w:spacing w:line="210" w:lineRule="exact"/>
              <w:ind w:left="109" w:right="48"/>
              <w:jc w:val="center"/>
              <w:rPr>
                <w:sz w:val="20"/>
              </w:rPr>
            </w:pPr>
            <w:r>
              <w:rPr>
                <w:spacing w:val="-5"/>
                <w:sz w:val="20"/>
              </w:rPr>
              <w:t>16</w:t>
            </w:r>
          </w:p>
        </w:tc>
        <w:tc>
          <w:tcPr>
            <w:tcW w:w="800" w:type="dxa"/>
          </w:tcPr>
          <w:p>
            <w:pPr>
              <w:pStyle w:val="TableParagraph"/>
              <w:spacing w:line="210" w:lineRule="exact"/>
              <w:ind w:left="18" w:right="5"/>
              <w:jc w:val="center"/>
              <w:rPr>
                <w:sz w:val="20"/>
              </w:rPr>
            </w:pPr>
            <w:r>
              <w:rPr>
                <w:spacing w:val="-5"/>
                <w:sz w:val="20"/>
              </w:rPr>
              <w:t>6.8</w:t>
            </w:r>
          </w:p>
        </w:tc>
        <w:tc>
          <w:tcPr>
            <w:tcW w:w="627" w:type="dxa"/>
          </w:tcPr>
          <w:p>
            <w:pPr>
              <w:pStyle w:val="TableParagraph"/>
              <w:spacing w:line="210" w:lineRule="exact"/>
              <w:ind w:left="23" w:right="16"/>
              <w:jc w:val="center"/>
              <w:rPr>
                <w:sz w:val="20"/>
              </w:rPr>
            </w:pPr>
            <w:r>
              <w:rPr>
                <w:spacing w:val="-5"/>
                <w:sz w:val="20"/>
              </w:rPr>
              <w:t>11</w:t>
            </w:r>
          </w:p>
        </w:tc>
        <w:tc>
          <w:tcPr>
            <w:tcW w:w="730" w:type="dxa"/>
          </w:tcPr>
          <w:p>
            <w:pPr>
              <w:pStyle w:val="TableParagraph"/>
              <w:spacing w:line="210" w:lineRule="exact"/>
              <w:ind w:left="76" w:right="5"/>
              <w:jc w:val="center"/>
              <w:rPr>
                <w:sz w:val="20"/>
              </w:rPr>
            </w:pPr>
            <w:r>
              <w:rPr>
                <w:spacing w:val="-5"/>
                <w:sz w:val="20"/>
              </w:rPr>
              <w:t>4.7</w:t>
            </w:r>
          </w:p>
        </w:tc>
        <w:tc>
          <w:tcPr>
            <w:tcW w:w="732" w:type="dxa"/>
          </w:tcPr>
          <w:p>
            <w:pPr>
              <w:pStyle w:val="TableParagraph"/>
              <w:spacing w:line="210" w:lineRule="exact"/>
              <w:ind w:right="174"/>
              <w:jc w:val="right"/>
              <w:rPr>
                <w:sz w:val="20"/>
              </w:rPr>
            </w:pPr>
            <w:r>
              <w:rPr>
                <w:spacing w:val="-5"/>
                <w:sz w:val="20"/>
              </w:rPr>
              <w:t>235</w:t>
            </w:r>
          </w:p>
        </w:tc>
        <w:tc>
          <w:tcPr>
            <w:tcW w:w="733" w:type="dxa"/>
            <w:tcBorders>
              <w:right w:val="single" w:sz="4" w:space="0" w:color="000000"/>
            </w:tcBorders>
          </w:tcPr>
          <w:p>
            <w:pPr>
              <w:pStyle w:val="TableParagraph"/>
              <w:spacing w:line="210" w:lineRule="exact"/>
              <w:ind w:left="34"/>
              <w:jc w:val="center"/>
              <w:rPr>
                <w:sz w:val="20"/>
              </w:rPr>
            </w:pPr>
            <w:r>
              <w:rPr>
                <w:spacing w:val="-4"/>
                <w:sz w:val="20"/>
              </w:rPr>
              <w:t>50.8</w:t>
            </w:r>
          </w:p>
        </w:tc>
      </w:tr>
      <w:tr>
        <w:trPr>
          <w:trHeight w:val="230" w:hRule="atLeast"/>
        </w:trPr>
        <w:tc>
          <w:tcPr>
            <w:tcW w:w="4145" w:type="dxa"/>
            <w:tcBorders>
              <w:left w:val="single" w:sz="4" w:space="0" w:color="000000"/>
            </w:tcBorders>
          </w:tcPr>
          <w:p>
            <w:pPr>
              <w:pStyle w:val="TableParagraph"/>
              <w:spacing w:line="210" w:lineRule="exact"/>
              <w:ind w:right="100"/>
              <w:jc w:val="right"/>
              <w:rPr>
                <w:sz w:val="20"/>
              </w:rPr>
            </w:pPr>
            <w:r>
              <w:rPr>
                <w:sz w:val="20"/>
              </w:rPr>
              <w:t>problems</w:t>
            </w:r>
            <w:r>
              <w:rPr>
                <w:spacing w:val="59"/>
                <w:sz w:val="20"/>
              </w:rPr>
              <w:t> </w:t>
            </w:r>
            <w:r>
              <w:rPr>
                <w:sz w:val="20"/>
              </w:rPr>
              <w:t>and</w:t>
            </w:r>
            <w:r>
              <w:rPr>
                <w:spacing w:val="59"/>
                <w:sz w:val="20"/>
              </w:rPr>
              <w:t> </w:t>
            </w:r>
            <w:r>
              <w:rPr>
                <w:sz w:val="20"/>
              </w:rPr>
              <w:t>forestalls</w:t>
            </w:r>
            <w:r>
              <w:rPr>
                <w:spacing w:val="60"/>
                <w:sz w:val="20"/>
              </w:rPr>
              <w:t> </w:t>
            </w:r>
            <w:r>
              <w:rPr>
                <w:spacing w:val="-2"/>
                <w:sz w:val="20"/>
              </w:rPr>
              <w:t>difficulties</w:t>
            </w:r>
          </w:p>
        </w:tc>
        <w:tc>
          <w:tcPr>
            <w:tcW w:w="1974" w:type="dxa"/>
          </w:tcPr>
          <w:p>
            <w:pPr>
              <w:pStyle w:val="TableParagraph"/>
              <w:spacing w:line="210" w:lineRule="exact"/>
              <w:ind w:left="107"/>
              <w:rPr>
                <w:sz w:val="20"/>
              </w:rPr>
            </w:pPr>
            <w:r>
              <w:rPr>
                <w:sz w:val="20"/>
              </w:rPr>
              <w:t>Service</w:t>
            </w:r>
            <w:r>
              <w:rPr>
                <w:spacing w:val="-9"/>
                <w:sz w:val="20"/>
              </w:rPr>
              <w:t> </w:t>
            </w:r>
            <w:r>
              <w:rPr>
                <w:spacing w:val="-2"/>
                <w:sz w:val="20"/>
              </w:rPr>
              <w:t>Staff</w:t>
            </w:r>
          </w:p>
        </w:tc>
        <w:tc>
          <w:tcPr>
            <w:tcW w:w="543" w:type="dxa"/>
          </w:tcPr>
          <w:p>
            <w:pPr>
              <w:pStyle w:val="TableParagraph"/>
              <w:spacing w:line="210" w:lineRule="exact"/>
              <w:ind w:left="12" w:right="4"/>
              <w:jc w:val="center"/>
              <w:rPr>
                <w:sz w:val="20"/>
              </w:rPr>
            </w:pPr>
            <w:r>
              <w:rPr>
                <w:spacing w:val="-5"/>
                <w:sz w:val="20"/>
              </w:rPr>
              <w:t>56</w:t>
            </w:r>
          </w:p>
        </w:tc>
        <w:tc>
          <w:tcPr>
            <w:tcW w:w="729" w:type="dxa"/>
          </w:tcPr>
          <w:p>
            <w:pPr>
              <w:pStyle w:val="TableParagraph"/>
              <w:spacing w:line="210" w:lineRule="exact"/>
              <w:ind w:left="85" w:right="86"/>
              <w:jc w:val="center"/>
              <w:rPr>
                <w:sz w:val="20"/>
              </w:rPr>
            </w:pPr>
            <w:r>
              <w:rPr>
                <w:spacing w:val="-4"/>
                <w:sz w:val="20"/>
              </w:rPr>
              <w:t>29.6</w:t>
            </w:r>
          </w:p>
        </w:tc>
        <w:tc>
          <w:tcPr>
            <w:tcW w:w="691" w:type="dxa"/>
          </w:tcPr>
          <w:p>
            <w:pPr>
              <w:pStyle w:val="TableParagraph"/>
              <w:spacing w:line="210" w:lineRule="exact"/>
              <w:ind w:left="22" w:right="14"/>
              <w:jc w:val="center"/>
              <w:rPr>
                <w:sz w:val="20"/>
              </w:rPr>
            </w:pPr>
            <w:r>
              <w:rPr>
                <w:spacing w:val="-5"/>
                <w:sz w:val="20"/>
              </w:rPr>
              <w:t>108</w:t>
            </w:r>
          </w:p>
        </w:tc>
        <w:tc>
          <w:tcPr>
            <w:tcW w:w="708" w:type="dxa"/>
          </w:tcPr>
          <w:p>
            <w:pPr>
              <w:pStyle w:val="TableParagraph"/>
              <w:spacing w:line="210" w:lineRule="exact"/>
              <w:ind w:left="59"/>
              <w:jc w:val="center"/>
              <w:rPr>
                <w:sz w:val="20"/>
              </w:rPr>
            </w:pPr>
            <w:r>
              <w:rPr>
                <w:spacing w:val="-4"/>
                <w:sz w:val="20"/>
              </w:rPr>
              <w:t>53.2</w:t>
            </w:r>
          </w:p>
        </w:tc>
        <w:tc>
          <w:tcPr>
            <w:tcW w:w="756" w:type="dxa"/>
          </w:tcPr>
          <w:p>
            <w:pPr>
              <w:pStyle w:val="TableParagraph"/>
              <w:spacing w:line="210" w:lineRule="exact"/>
              <w:ind w:right="249"/>
              <w:jc w:val="right"/>
              <w:rPr>
                <w:sz w:val="20"/>
              </w:rPr>
            </w:pPr>
            <w:r>
              <w:rPr>
                <w:spacing w:val="-5"/>
                <w:sz w:val="20"/>
              </w:rPr>
              <w:t>21</w:t>
            </w:r>
          </w:p>
        </w:tc>
        <w:tc>
          <w:tcPr>
            <w:tcW w:w="905" w:type="dxa"/>
          </w:tcPr>
          <w:p>
            <w:pPr>
              <w:pStyle w:val="TableParagraph"/>
              <w:spacing w:line="210" w:lineRule="exact"/>
              <w:ind w:left="16"/>
              <w:jc w:val="center"/>
              <w:rPr>
                <w:sz w:val="20"/>
              </w:rPr>
            </w:pPr>
            <w:r>
              <w:rPr>
                <w:spacing w:val="-4"/>
                <w:sz w:val="20"/>
              </w:rPr>
              <w:t>10.3</w:t>
            </w:r>
          </w:p>
        </w:tc>
        <w:tc>
          <w:tcPr>
            <w:tcW w:w="687" w:type="dxa"/>
          </w:tcPr>
          <w:p>
            <w:pPr>
              <w:pStyle w:val="TableParagraph"/>
              <w:spacing w:line="210" w:lineRule="exact"/>
              <w:ind w:left="109" w:right="48"/>
              <w:jc w:val="center"/>
              <w:rPr>
                <w:sz w:val="20"/>
              </w:rPr>
            </w:pPr>
            <w:r>
              <w:rPr>
                <w:spacing w:val="-5"/>
                <w:sz w:val="20"/>
              </w:rPr>
              <w:t>12</w:t>
            </w:r>
          </w:p>
        </w:tc>
        <w:tc>
          <w:tcPr>
            <w:tcW w:w="800" w:type="dxa"/>
          </w:tcPr>
          <w:p>
            <w:pPr>
              <w:pStyle w:val="TableParagraph"/>
              <w:spacing w:line="210" w:lineRule="exact"/>
              <w:ind w:left="18" w:right="5"/>
              <w:jc w:val="center"/>
              <w:rPr>
                <w:sz w:val="20"/>
              </w:rPr>
            </w:pPr>
            <w:r>
              <w:rPr>
                <w:spacing w:val="-5"/>
                <w:sz w:val="20"/>
              </w:rPr>
              <w:t>5.9</w:t>
            </w:r>
          </w:p>
        </w:tc>
        <w:tc>
          <w:tcPr>
            <w:tcW w:w="627" w:type="dxa"/>
          </w:tcPr>
          <w:p>
            <w:pPr>
              <w:pStyle w:val="TableParagraph"/>
              <w:spacing w:line="210" w:lineRule="exact"/>
              <w:ind w:left="23" w:right="11"/>
              <w:jc w:val="center"/>
              <w:rPr>
                <w:sz w:val="20"/>
              </w:rPr>
            </w:pPr>
            <w:r>
              <w:rPr>
                <w:spacing w:val="-10"/>
                <w:sz w:val="20"/>
              </w:rPr>
              <w:t>6</w:t>
            </w:r>
          </w:p>
        </w:tc>
        <w:tc>
          <w:tcPr>
            <w:tcW w:w="730" w:type="dxa"/>
          </w:tcPr>
          <w:p>
            <w:pPr>
              <w:pStyle w:val="TableParagraph"/>
              <w:spacing w:line="210" w:lineRule="exact"/>
              <w:ind w:left="76" w:right="5"/>
              <w:jc w:val="center"/>
              <w:rPr>
                <w:sz w:val="20"/>
              </w:rPr>
            </w:pPr>
            <w:r>
              <w:rPr>
                <w:spacing w:val="-5"/>
                <w:sz w:val="20"/>
              </w:rPr>
              <w:t>3.0</w:t>
            </w:r>
          </w:p>
        </w:tc>
        <w:tc>
          <w:tcPr>
            <w:tcW w:w="732" w:type="dxa"/>
          </w:tcPr>
          <w:p>
            <w:pPr>
              <w:pStyle w:val="TableParagraph"/>
              <w:spacing w:line="210" w:lineRule="exact"/>
              <w:ind w:right="174"/>
              <w:jc w:val="right"/>
              <w:rPr>
                <w:sz w:val="20"/>
              </w:rPr>
            </w:pPr>
            <w:r>
              <w:rPr>
                <w:spacing w:val="-5"/>
                <w:sz w:val="20"/>
              </w:rPr>
              <w:t>203</w:t>
            </w:r>
          </w:p>
        </w:tc>
        <w:tc>
          <w:tcPr>
            <w:tcW w:w="733" w:type="dxa"/>
            <w:tcBorders>
              <w:right w:val="single" w:sz="4" w:space="0" w:color="000000"/>
            </w:tcBorders>
          </w:tcPr>
          <w:p>
            <w:pPr>
              <w:pStyle w:val="TableParagraph"/>
              <w:spacing w:line="210" w:lineRule="exact"/>
              <w:ind w:left="34"/>
              <w:jc w:val="center"/>
              <w:rPr>
                <w:sz w:val="20"/>
              </w:rPr>
            </w:pPr>
            <w:r>
              <w:rPr>
                <w:spacing w:val="-4"/>
                <w:sz w:val="20"/>
              </w:rPr>
              <w:t>43.8</w:t>
            </w:r>
          </w:p>
        </w:tc>
      </w:tr>
      <w:tr>
        <w:trPr>
          <w:trHeight w:val="290" w:hRule="atLeast"/>
        </w:trPr>
        <w:tc>
          <w:tcPr>
            <w:tcW w:w="4145" w:type="dxa"/>
            <w:tcBorders>
              <w:left w:val="single" w:sz="4" w:space="0" w:color="000000"/>
            </w:tcBorders>
          </w:tcPr>
          <w:p>
            <w:pPr>
              <w:pStyle w:val="TableParagraph"/>
              <w:spacing w:line="227" w:lineRule="exact"/>
              <w:ind w:left="830"/>
              <w:rPr>
                <w:sz w:val="20"/>
              </w:rPr>
            </w:pPr>
            <w:r>
              <w:rPr>
                <w:sz w:val="20"/>
              </w:rPr>
              <w:t>that</w:t>
            </w:r>
            <w:r>
              <w:rPr>
                <w:spacing w:val="-5"/>
                <w:sz w:val="20"/>
              </w:rPr>
              <w:t> </w:t>
            </w:r>
            <w:r>
              <w:rPr>
                <w:sz w:val="20"/>
              </w:rPr>
              <w:t>may</w:t>
            </w:r>
            <w:r>
              <w:rPr>
                <w:spacing w:val="-6"/>
                <w:sz w:val="20"/>
              </w:rPr>
              <w:t> </w:t>
            </w:r>
            <w:r>
              <w:rPr>
                <w:sz w:val="20"/>
              </w:rPr>
              <w:t>confront</w:t>
            </w:r>
            <w:r>
              <w:rPr>
                <w:spacing w:val="-5"/>
                <w:sz w:val="20"/>
              </w:rPr>
              <w:t> </w:t>
            </w:r>
            <w:r>
              <w:rPr>
                <w:sz w:val="20"/>
              </w:rPr>
              <w:t>the</w:t>
            </w:r>
            <w:r>
              <w:rPr>
                <w:spacing w:val="-2"/>
                <w:sz w:val="20"/>
              </w:rPr>
              <w:t> students.</w:t>
            </w:r>
          </w:p>
        </w:tc>
        <w:tc>
          <w:tcPr>
            <w:tcW w:w="1974" w:type="dxa"/>
          </w:tcPr>
          <w:p>
            <w:pPr>
              <w:pStyle w:val="TableParagraph"/>
              <w:spacing w:line="227" w:lineRule="exact"/>
              <w:ind w:left="107"/>
              <w:rPr>
                <w:sz w:val="20"/>
              </w:rPr>
            </w:pPr>
            <w:r>
              <w:rPr>
                <w:sz w:val="20"/>
              </w:rPr>
              <w:t>Top</w:t>
            </w:r>
            <w:r>
              <w:rPr>
                <w:spacing w:val="-1"/>
                <w:sz w:val="20"/>
              </w:rPr>
              <w:t> </w:t>
            </w:r>
            <w:r>
              <w:rPr>
                <w:spacing w:val="-2"/>
                <w:sz w:val="20"/>
              </w:rPr>
              <w:t>Management</w:t>
            </w:r>
          </w:p>
        </w:tc>
        <w:tc>
          <w:tcPr>
            <w:tcW w:w="543" w:type="dxa"/>
          </w:tcPr>
          <w:p>
            <w:pPr>
              <w:pStyle w:val="TableParagraph"/>
              <w:spacing w:line="227" w:lineRule="exact"/>
              <w:ind w:left="12"/>
              <w:jc w:val="center"/>
              <w:rPr>
                <w:sz w:val="20"/>
              </w:rPr>
            </w:pPr>
            <w:r>
              <w:rPr>
                <w:spacing w:val="-10"/>
                <w:sz w:val="20"/>
              </w:rPr>
              <w:t>3</w:t>
            </w:r>
          </w:p>
        </w:tc>
        <w:tc>
          <w:tcPr>
            <w:tcW w:w="729" w:type="dxa"/>
          </w:tcPr>
          <w:p>
            <w:pPr>
              <w:pStyle w:val="TableParagraph"/>
              <w:spacing w:line="227" w:lineRule="exact"/>
              <w:ind w:left="85" w:right="86"/>
              <w:jc w:val="center"/>
              <w:rPr>
                <w:sz w:val="20"/>
              </w:rPr>
            </w:pPr>
            <w:r>
              <w:rPr>
                <w:spacing w:val="-4"/>
                <w:sz w:val="20"/>
              </w:rPr>
              <w:t>13.0</w:t>
            </w:r>
          </w:p>
        </w:tc>
        <w:tc>
          <w:tcPr>
            <w:tcW w:w="691" w:type="dxa"/>
          </w:tcPr>
          <w:p>
            <w:pPr>
              <w:pStyle w:val="TableParagraph"/>
              <w:spacing w:line="227" w:lineRule="exact"/>
              <w:ind w:left="22" w:right="9"/>
              <w:jc w:val="center"/>
              <w:rPr>
                <w:sz w:val="20"/>
              </w:rPr>
            </w:pPr>
            <w:r>
              <w:rPr>
                <w:spacing w:val="-5"/>
                <w:sz w:val="20"/>
              </w:rPr>
              <w:t>17</w:t>
            </w:r>
          </w:p>
        </w:tc>
        <w:tc>
          <w:tcPr>
            <w:tcW w:w="708" w:type="dxa"/>
          </w:tcPr>
          <w:p>
            <w:pPr>
              <w:pStyle w:val="TableParagraph"/>
              <w:spacing w:line="227" w:lineRule="exact"/>
              <w:ind w:left="59"/>
              <w:jc w:val="center"/>
              <w:rPr>
                <w:sz w:val="20"/>
              </w:rPr>
            </w:pPr>
            <w:r>
              <w:rPr>
                <w:spacing w:val="-4"/>
                <w:sz w:val="20"/>
              </w:rPr>
              <w:t>73.9</w:t>
            </w:r>
          </w:p>
        </w:tc>
        <w:tc>
          <w:tcPr>
            <w:tcW w:w="756" w:type="dxa"/>
          </w:tcPr>
          <w:p>
            <w:pPr>
              <w:pStyle w:val="TableParagraph"/>
              <w:spacing w:line="227" w:lineRule="exact"/>
              <w:ind w:right="302"/>
              <w:jc w:val="right"/>
              <w:rPr>
                <w:sz w:val="20"/>
              </w:rPr>
            </w:pPr>
            <w:r>
              <w:rPr>
                <w:spacing w:val="-10"/>
                <w:sz w:val="20"/>
              </w:rPr>
              <w:t>3</w:t>
            </w:r>
          </w:p>
        </w:tc>
        <w:tc>
          <w:tcPr>
            <w:tcW w:w="905" w:type="dxa"/>
          </w:tcPr>
          <w:p>
            <w:pPr>
              <w:pStyle w:val="TableParagraph"/>
              <w:spacing w:line="227" w:lineRule="exact"/>
              <w:ind w:left="16"/>
              <w:jc w:val="center"/>
              <w:rPr>
                <w:sz w:val="20"/>
              </w:rPr>
            </w:pPr>
            <w:r>
              <w:rPr>
                <w:spacing w:val="-4"/>
                <w:sz w:val="20"/>
              </w:rPr>
              <w:t>13.0</w:t>
            </w:r>
          </w:p>
        </w:tc>
        <w:tc>
          <w:tcPr>
            <w:tcW w:w="687" w:type="dxa"/>
          </w:tcPr>
          <w:p>
            <w:pPr>
              <w:pStyle w:val="TableParagraph"/>
              <w:spacing w:line="227" w:lineRule="exact"/>
              <w:ind w:left="107" w:right="48"/>
              <w:jc w:val="center"/>
              <w:rPr>
                <w:sz w:val="20"/>
              </w:rPr>
            </w:pPr>
            <w:r>
              <w:rPr>
                <w:spacing w:val="-10"/>
                <w:sz w:val="20"/>
              </w:rPr>
              <w:t>-</w:t>
            </w:r>
          </w:p>
        </w:tc>
        <w:tc>
          <w:tcPr>
            <w:tcW w:w="800" w:type="dxa"/>
          </w:tcPr>
          <w:p>
            <w:pPr>
              <w:pStyle w:val="TableParagraph"/>
              <w:spacing w:line="227" w:lineRule="exact"/>
              <w:ind w:left="18" w:right="6"/>
              <w:jc w:val="center"/>
              <w:rPr>
                <w:sz w:val="20"/>
              </w:rPr>
            </w:pPr>
            <w:r>
              <w:rPr>
                <w:spacing w:val="-10"/>
                <w:sz w:val="20"/>
              </w:rPr>
              <w:t>-</w:t>
            </w:r>
          </w:p>
        </w:tc>
        <w:tc>
          <w:tcPr>
            <w:tcW w:w="627" w:type="dxa"/>
          </w:tcPr>
          <w:p>
            <w:pPr>
              <w:pStyle w:val="TableParagraph"/>
              <w:spacing w:line="227" w:lineRule="exact"/>
              <w:ind w:left="23" w:right="18"/>
              <w:jc w:val="center"/>
              <w:rPr>
                <w:sz w:val="20"/>
              </w:rPr>
            </w:pPr>
            <w:r>
              <w:rPr>
                <w:spacing w:val="-10"/>
                <w:sz w:val="20"/>
              </w:rPr>
              <w:t>-</w:t>
            </w:r>
          </w:p>
        </w:tc>
        <w:tc>
          <w:tcPr>
            <w:tcW w:w="730" w:type="dxa"/>
          </w:tcPr>
          <w:p>
            <w:pPr>
              <w:pStyle w:val="TableParagraph"/>
              <w:spacing w:line="227" w:lineRule="exact"/>
              <w:ind w:left="76" w:right="7"/>
              <w:jc w:val="center"/>
              <w:rPr>
                <w:sz w:val="20"/>
              </w:rPr>
            </w:pPr>
            <w:r>
              <w:rPr>
                <w:spacing w:val="-10"/>
                <w:sz w:val="20"/>
              </w:rPr>
              <w:t>-</w:t>
            </w:r>
          </w:p>
        </w:tc>
        <w:tc>
          <w:tcPr>
            <w:tcW w:w="732" w:type="dxa"/>
          </w:tcPr>
          <w:p>
            <w:pPr>
              <w:pStyle w:val="TableParagraph"/>
              <w:spacing w:line="227" w:lineRule="exact"/>
              <w:ind w:left="279"/>
              <w:rPr>
                <w:sz w:val="20"/>
              </w:rPr>
            </w:pPr>
            <w:r>
              <w:rPr>
                <w:spacing w:val="-5"/>
                <w:sz w:val="20"/>
              </w:rPr>
              <w:t>23</w:t>
            </w:r>
          </w:p>
        </w:tc>
        <w:tc>
          <w:tcPr>
            <w:tcW w:w="733" w:type="dxa"/>
            <w:tcBorders>
              <w:right w:val="single" w:sz="4" w:space="0" w:color="000000"/>
            </w:tcBorders>
          </w:tcPr>
          <w:p>
            <w:pPr>
              <w:pStyle w:val="TableParagraph"/>
              <w:spacing w:line="227" w:lineRule="exact"/>
              <w:ind w:left="34" w:right="5"/>
              <w:jc w:val="center"/>
              <w:rPr>
                <w:sz w:val="20"/>
              </w:rPr>
            </w:pPr>
            <w:r>
              <w:rPr>
                <w:spacing w:val="-5"/>
                <w:sz w:val="20"/>
              </w:rPr>
              <w:t>5.0</w:t>
            </w:r>
          </w:p>
        </w:tc>
      </w:tr>
      <w:tr>
        <w:trPr>
          <w:trHeight w:val="290" w:hRule="atLeast"/>
        </w:trPr>
        <w:tc>
          <w:tcPr>
            <w:tcW w:w="4145" w:type="dxa"/>
            <w:tcBorders>
              <w:left w:val="single" w:sz="4" w:space="0" w:color="000000"/>
            </w:tcBorders>
          </w:tcPr>
          <w:p>
            <w:pPr>
              <w:pStyle w:val="TableParagraph"/>
              <w:tabs>
                <w:tab w:pos="609" w:val="left" w:leader="none"/>
              </w:tabs>
              <w:spacing w:line="213" w:lineRule="exact" w:before="57"/>
              <w:ind w:right="103"/>
              <w:jc w:val="right"/>
              <w:rPr>
                <w:sz w:val="20"/>
              </w:rPr>
            </w:pPr>
            <w:r>
              <w:rPr>
                <w:spacing w:val="-5"/>
                <w:sz w:val="20"/>
              </w:rPr>
              <w:t>44.</w:t>
            </w:r>
            <w:r>
              <w:rPr>
                <w:sz w:val="20"/>
              </w:rPr>
              <w:tab/>
              <w:t>The</w:t>
            </w:r>
            <w:r>
              <w:rPr>
                <w:spacing w:val="74"/>
                <w:w w:val="150"/>
                <w:sz w:val="20"/>
              </w:rPr>
              <w:t> </w:t>
            </w:r>
            <w:r>
              <w:rPr>
                <w:sz w:val="20"/>
              </w:rPr>
              <w:t>unit</w:t>
            </w:r>
            <w:r>
              <w:rPr>
                <w:spacing w:val="74"/>
                <w:w w:val="150"/>
                <w:sz w:val="20"/>
              </w:rPr>
              <w:t> </w:t>
            </w:r>
            <w:r>
              <w:rPr>
                <w:sz w:val="20"/>
              </w:rPr>
              <w:t>contributes</w:t>
            </w:r>
            <w:r>
              <w:rPr>
                <w:spacing w:val="72"/>
                <w:w w:val="150"/>
                <w:sz w:val="20"/>
              </w:rPr>
              <w:t> </w:t>
            </w:r>
            <w:r>
              <w:rPr>
                <w:sz w:val="20"/>
              </w:rPr>
              <w:t>in</w:t>
            </w:r>
            <w:r>
              <w:rPr>
                <w:spacing w:val="69"/>
                <w:w w:val="150"/>
                <w:sz w:val="20"/>
              </w:rPr>
              <w:t> </w:t>
            </w:r>
            <w:r>
              <w:rPr>
                <w:spacing w:val="-2"/>
                <w:sz w:val="20"/>
              </w:rPr>
              <w:t>molding,</w:t>
            </w:r>
          </w:p>
        </w:tc>
        <w:tc>
          <w:tcPr>
            <w:tcW w:w="1974" w:type="dxa"/>
          </w:tcPr>
          <w:p>
            <w:pPr>
              <w:pStyle w:val="TableParagraph"/>
              <w:spacing w:line="213" w:lineRule="exact" w:before="57"/>
              <w:ind w:left="107"/>
              <w:rPr>
                <w:sz w:val="20"/>
              </w:rPr>
            </w:pPr>
            <w:r>
              <w:rPr>
                <w:sz w:val="20"/>
              </w:rPr>
              <w:t>No.</w:t>
            </w:r>
            <w:r>
              <w:rPr>
                <w:spacing w:val="-5"/>
                <w:sz w:val="20"/>
              </w:rPr>
              <w:t> </w:t>
            </w:r>
            <w:r>
              <w:rPr>
                <w:sz w:val="20"/>
              </w:rPr>
              <w:t>of</w:t>
            </w:r>
            <w:r>
              <w:rPr>
                <w:spacing w:val="-2"/>
                <w:sz w:val="20"/>
              </w:rPr>
              <w:t> missing</w:t>
            </w:r>
          </w:p>
        </w:tc>
        <w:tc>
          <w:tcPr>
            <w:tcW w:w="543" w:type="dxa"/>
          </w:tcPr>
          <w:p>
            <w:pPr>
              <w:pStyle w:val="TableParagraph"/>
              <w:rPr>
                <w:rFonts w:ascii="Times New Roman"/>
                <w:sz w:val="20"/>
              </w:rPr>
            </w:pPr>
          </w:p>
        </w:tc>
        <w:tc>
          <w:tcPr>
            <w:tcW w:w="729" w:type="dxa"/>
          </w:tcPr>
          <w:p>
            <w:pPr>
              <w:pStyle w:val="TableParagraph"/>
              <w:rPr>
                <w:rFonts w:ascii="Times New Roman"/>
                <w:sz w:val="20"/>
              </w:rPr>
            </w:pPr>
          </w:p>
        </w:tc>
        <w:tc>
          <w:tcPr>
            <w:tcW w:w="691" w:type="dxa"/>
          </w:tcPr>
          <w:p>
            <w:pPr>
              <w:pStyle w:val="TableParagraph"/>
              <w:rPr>
                <w:rFonts w:ascii="Times New Roman"/>
                <w:sz w:val="20"/>
              </w:rPr>
            </w:pPr>
          </w:p>
        </w:tc>
        <w:tc>
          <w:tcPr>
            <w:tcW w:w="708" w:type="dxa"/>
          </w:tcPr>
          <w:p>
            <w:pPr>
              <w:pStyle w:val="TableParagraph"/>
              <w:rPr>
                <w:rFonts w:ascii="Times New Roman"/>
                <w:sz w:val="20"/>
              </w:rPr>
            </w:pPr>
          </w:p>
        </w:tc>
        <w:tc>
          <w:tcPr>
            <w:tcW w:w="756" w:type="dxa"/>
          </w:tcPr>
          <w:p>
            <w:pPr>
              <w:pStyle w:val="TableParagraph"/>
              <w:rPr>
                <w:rFonts w:ascii="Times New Roman"/>
                <w:sz w:val="20"/>
              </w:rPr>
            </w:pPr>
          </w:p>
        </w:tc>
        <w:tc>
          <w:tcPr>
            <w:tcW w:w="905" w:type="dxa"/>
          </w:tcPr>
          <w:p>
            <w:pPr>
              <w:pStyle w:val="TableParagraph"/>
              <w:rPr>
                <w:rFonts w:ascii="Times New Roman"/>
                <w:sz w:val="20"/>
              </w:rPr>
            </w:pPr>
          </w:p>
        </w:tc>
        <w:tc>
          <w:tcPr>
            <w:tcW w:w="687" w:type="dxa"/>
          </w:tcPr>
          <w:p>
            <w:pPr>
              <w:pStyle w:val="TableParagraph"/>
              <w:rPr>
                <w:rFonts w:ascii="Times New Roman"/>
                <w:sz w:val="20"/>
              </w:rPr>
            </w:pPr>
          </w:p>
        </w:tc>
        <w:tc>
          <w:tcPr>
            <w:tcW w:w="800" w:type="dxa"/>
          </w:tcPr>
          <w:p>
            <w:pPr>
              <w:pStyle w:val="TableParagraph"/>
              <w:rPr>
                <w:rFonts w:ascii="Times New Roman"/>
                <w:sz w:val="20"/>
              </w:rPr>
            </w:pPr>
          </w:p>
        </w:tc>
        <w:tc>
          <w:tcPr>
            <w:tcW w:w="627" w:type="dxa"/>
          </w:tcPr>
          <w:p>
            <w:pPr>
              <w:pStyle w:val="TableParagraph"/>
              <w:rPr>
                <w:rFonts w:ascii="Times New Roman"/>
                <w:sz w:val="20"/>
              </w:rPr>
            </w:pPr>
          </w:p>
        </w:tc>
        <w:tc>
          <w:tcPr>
            <w:tcW w:w="730" w:type="dxa"/>
          </w:tcPr>
          <w:p>
            <w:pPr>
              <w:pStyle w:val="TableParagraph"/>
              <w:rPr>
                <w:rFonts w:ascii="Times New Roman"/>
                <w:sz w:val="20"/>
              </w:rPr>
            </w:pPr>
          </w:p>
        </w:tc>
        <w:tc>
          <w:tcPr>
            <w:tcW w:w="732" w:type="dxa"/>
          </w:tcPr>
          <w:p>
            <w:pPr>
              <w:pStyle w:val="TableParagraph"/>
              <w:rPr>
                <w:rFonts w:ascii="Times New Roman"/>
                <w:sz w:val="20"/>
              </w:rPr>
            </w:pPr>
          </w:p>
        </w:tc>
        <w:tc>
          <w:tcPr>
            <w:tcW w:w="733" w:type="dxa"/>
            <w:tcBorders>
              <w:right w:val="single" w:sz="4" w:space="0" w:color="000000"/>
            </w:tcBorders>
          </w:tcPr>
          <w:p>
            <w:pPr>
              <w:pStyle w:val="TableParagraph"/>
              <w:rPr>
                <w:rFonts w:ascii="Times New Roman"/>
                <w:sz w:val="20"/>
              </w:rPr>
            </w:pPr>
          </w:p>
        </w:tc>
      </w:tr>
      <w:tr>
        <w:trPr>
          <w:trHeight w:val="230" w:hRule="atLeast"/>
        </w:trPr>
        <w:tc>
          <w:tcPr>
            <w:tcW w:w="4145" w:type="dxa"/>
            <w:tcBorders>
              <w:left w:val="single" w:sz="4" w:space="0" w:color="000000"/>
            </w:tcBorders>
          </w:tcPr>
          <w:p>
            <w:pPr>
              <w:pStyle w:val="TableParagraph"/>
              <w:spacing w:line="210" w:lineRule="exact"/>
              <w:ind w:right="95"/>
              <w:jc w:val="right"/>
              <w:rPr>
                <w:sz w:val="20"/>
              </w:rPr>
            </w:pPr>
            <w:r>
              <w:rPr>
                <w:sz w:val="20"/>
              </w:rPr>
              <w:t>disciplining</w:t>
            </w:r>
            <w:r>
              <w:rPr>
                <w:spacing w:val="36"/>
                <w:sz w:val="20"/>
              </w:rPr>
              <w:t> </w:t>
            </w:r>
            <w:r>
              <w:rPr>
                <w:sz w:val="20"/>
              </w:rPr>
              <w:t>and</w:t>
            </w:r>
            <w:r>
              <w:rPr>
                <w:spacing w:val="37"/>
                <w:sz w:val="20"/>
              </w:rPr>
              <w:t> </w:t>
            </w:r>
            <w:r>
              <w:rPr>
                <w:sz w:val="20"/>
              </w:rPr>
              <w:t>changing</w:t>
            </w:r>
            <w:r>
              <w:rPr>
                <w:spacing w:val="36"/>
                <w:sz w:val="20"/>
              </w:rPr>
              <w:t> </w:t>
            </w:r>
            <w:r>
              <w:rPr>
                <w:sz w:val="20"/>
              </w:rPr>
              <w:t>the</w:t>
            </w:r>
            <w:r>
              <w:rPr>
                <w:spacing w:val="37"/>
                <w:sz w:val="20"/>
              </w:rPr>
              <w:t> </w:t>
            </w:r>
            <w:r>
              <w:rPr>
                <w:spacing w:val="-4"/>
                <w:sz w:val="20"/>
              </w:rPr>
              <w:t>lives</w:t>
            </w:r>
          </w:p>
        </w:tc>
        <w:tc>
          <w:tcPr>
            <w:tcW w:w="1974" w:type="dxa"/>
          </w:tcPr>
          <w:p>
            <w:pPr>
              <w:pStyle w:val="TableParagraph"/>
              <w:spacing w:line="210" w:lineRule="exact"/>
              <w:ind w:left="107"/>
              <w:rPr>
                <w:sz w:val="20"/>
              </w:rPr>
            </w:pPr>
            <w:r>
              <w:rPr>
                <w:spacing w:val="-2"/>
                <w:sz w:val="20"/>
              </w:rPr>
              <w:t>observations</w:t>
            </w:r>
          </w:p>
        </w:tc>
        <w:tc>
          <w:tcPr>
            <w:tcW w:w="543" w:type="dxa"/>
          </w:tcPr>
          <w:p>
            <w:pPr>
              <w:pStyle w:val="TableParagraph"/>
              <w:spacing w:line="210" w:lineRule="exact"/>
              <w:ind w:left="12"/>
              <w:jc w:val="center"/>
              <w:rPr>
                <w:sz w:val="20"/>
              </w:rPr>
            </w:pPr>
            <w:r>
              <w:rPr>
                <w:spacing w:val="-10"/>
                <w:sz w:val="20"/>
              </w:rPr>
              <w:t>1</w:t>
            </w:r>
          </w:p>
        </w:tc>
        <w:tc>
          <w:tcPr>
            <w:tcW w:w="729" w:type="dxa"/>
          </w:tcPr>
          <w:p>
            <w:pPr>
              <w:pStyle w:val="TableParagraph"/>
              <w:spacing w:line="210" w:lineRule="exact"/>
              <w:ind w:left="85" w:right="86"/>
              <w:jc w:val="center"/>
              <w:rPr>
                <w:sz w:val="20"/>
              </w:rPr>
            </w:pPr>
            <w:r>
              <w:rPr>
                <w:spacing w:val="-4"/>
                <w:sz w:val="20"/>
              </w:rPr>
              <w:t>50.0</w:t>
            </w:r>
          </w:p>
        </w:tc>
        <w:tc>
          <w:tcPr>
            <w:tcW w:w="691" w:type="dxa"/>
          </w:tcPr>
          <w:p>
            <w:pPr>
              <w:pStyle w:val="TableParagraph"/>
              <w:spacing w:line="210" w:lineRule="exact"/>
              <w:ind w:left="22" w:right="11"/>
              <w:jc w:val="center"/>
              <w:rPr>
                <w:sz w:val="20"/>
              </w:rPr>
            </w:pPr>
            <w:r>
              <w:rPr>
                <w:spacing w:val="-10"/>
                <w:sz w:val="20"/>
              </w:rPr>
              <w:t>-</w:t>
            </w:r>
          </w:p>
        </w:tc>
        <w:tc>
          <w:tcPr>
            <w:tcW w:w="708" w:type="dxa"/>
          </w:tcPr>
          <w:p>
            <w:pPr>
              <w:pStyle w:val="TableParagraph"/>
              <w:spacing w:line="210" w:lineRule="exact"/>
              <w:ind w:left="59" w:right="7"/>
              <w:jc w:val="center"/>
              <w:rPr>
                <w:sz w:val="20"/>
              </w:rPr>
            </w:pPr>
            <w:r>
              <w:rPr>
                <w:spacing w:val="-10"/>
                <w:sz w:val="20"/>
              </w:rPr>
              <w:t>-</w:t>
            </w:r>
          </w:p>
        </w:tc>
        <w:tc>
          <w:tcPr>
            <w:tcW w:w="756" w:type="dxa"/>
          </w:tcPr>
          <w:p>
            <w:pPr>
              <w:pStyle w:val="TableParagraph"/>
              <w:spacing w:line="210" w:lineRule="exact"/>
              <w:ind w:right="302"/>
              <w:jc w:val="right"/>
              <w:rPr>
                <w:sz w:val="20"/>
              </w:rPr>
            </w:pPr>
            <w:r>
              <w:rPr>
                <w:spacing w:val="-10"/>
                <w:sz w:val="20"/>
              </w:rPr>
              <w:t>1</w:t>
            </w:r>
          </w:p>
        </w:tc>
        <w:tc>
          <w:tcPr>
            <w:tcW w:w="905" w:type="dxa"/>
          </w:tcPr>
          <w:p>
            <w:pPr>
              <w:pStyle w:val="TableParagraph"/>
              <w:spacing w:line="210" w:lineRule="exact"/>
              <w:ind w:left="16"/>
              <w:jc w:val="center"/>
              <w:rPr>
                <w:sz w:val="20"/>
              </w:rPr>
            </w:pPr>
            <w:r>
              <w:rPr>
                <w:spacing w:val="-4"/>
                <w:sz w:val="20"/>
              </w:rPr>
              <w:t>50.0</w:t>
            </w:r>
          </w:p>
        </w:tc>
        <w:tc>
          <w:tcPr>
            <w:tcW w:w="687" w:type="dxa"/>
          </w:tcPr>
          <w:p>
            <w:pPr>
              <w:pStyle w:val="TableParagraph"/>
              <w:spacing w:line="210" w:lineRule="exact"/>
              <w:ind w:left="107" w:right="48"/>
              <w:jc w:val="center"/>
              <w:rPr>
                <w:sz w:val="20"/>
              </w:rPr>
            </w:pPr>
            <w:r>
              <w:rPr>
                <w:spacing w:val="-10"/>
                <w:sz w:val="20"/>
              </w:rPr>
              <w:t>-</w:t>
            </w:r>
          </w:p>
        </w:tc>
        <w:tc>
          <w:tcPr>
            <w:tcW w:w="800" w:type="dxa"/>
          </w:tcPr>
          <w:p>
            <w:pPr>
              <w:pStyle w:val="TableParagraph"/>
              <w:spacing w:line="210" w:lineRule="exact"/>
              <w:ind w:left="18" w:right="6"/>
              <w:jc w:val="center"/>
              <w:rPr>
                <w:sz w:val="20"/>
              </w:rPr>
            </w:pPr>
            <w:r>
              <w:rPr>
                <w:spacing w:val="-10"/>
                <w:sz w:val="20"/>
              </w:rPr>
              <w:t>-</w:t>
            </w:r>
          </w:p>
        </w:tc>
        <w:tc>
          <w:tcPr>
            <w:tcW w:w="627" w:type="dxa"/>
          </w:tcPr>
          <w:p>
            <w:pPr>
              <w:pStyle w:val="TableParagraph"/>
              <w:spacing w:line="210" w:lineRule="exact"/>
              <w:ind w:left="23" w:right="18"/>
              <w:jc w:val="center"/>
              <w:rPr>
                <w:sz w:val="20"/>
              </w:rPr>
            </w:pPr>
            <w:r>
              <w:rPr>
                <w:spacing w:val="-10"/>
                <w:sz w:val="20"/>
              </w:rPr>
              <w:t>-</w:t>
            </w:r>
          </w:p>
        </w:tc>
        <w:tc>
          <w:tcPr>
            <w:tcW w:w="730" w:type="dxa"/>
          </w:tcPr>
          <w:p>
            <w:pPr>
              <w:pStyle w:val="TableParagraph"/>
              <w:spacing w:line="210" w:lineRule="exact"/>
              <w:ind w:left="76" w:right="7"/>
              <w:jc w:val="center"/>
              <w:rPr>
                <w:sz w:val="20"/>
              </w:rPr>
            </w:pPr>
            <w:r>
              <w:rPr>
                <w:spacing w:val="-10"/>
                <w:sz w:val="20"/>
              </w:rPr>
              <w:t>-</w:t>
            </w:r>
          </w:p>
        </w:tc>
        <w:tc>
          <w:tcPr>
            <w:tcW w:w="732" w:type="dxa"/>
          </w:tcPr>
          <w:p>
            <w:pPr>
              <w:pStyle w:val="TableParagraph"/>
              <w:spacing w:line="210" w:lineRule="exact"/>
              <w:ind w:left="59" w:right="5"/>
              <w:jc w:val="center"/>
              <w:rPr>
                <w:sz w:val="20"/>
              </w:rPr>
            </w:pPr>
            <w:r>
              <w:rPr>
                <w:spacing w:val="-10"/>
                <w:sz w:val="20"/>
              </w:rPr>
              <w:t>2</w:t>
            </w:r>
          </w:p>
        </w:tc>
        <w:tc>
          <w:tcPr>
            <w:tcW w:w="733" w:type="dxa"/>
            <w:tcBorders>
              <w:right w:val="single" w:sz="4" w:space="0" w:color="000000"/>
            </w:tcBorders>
          </w:tcPr>
          <w:p>
            <w:pPr>
              <w:pStyle w:val="TableParagraph"/>
              <w:spacing w:line="210" w:lineRule="exact"/>
              <w:ind w:left="34" w:right="5"/>
              <w:jc w:val="center"/>
              <w:rPr>
                <w:sz w:val="20"/>
              </w:rPr>
            </w:pPr>
            <w:r>
              <w:rPr>
                <w:spacing w:val="-5"/>
                <w:sz w:val="20"/>
              </w:rPr>
              <w:t>0.4</w:t>
            </w:r>
          </w:p>
        </w:tc>
      </w:tr>
      <w:tr>
        <w:trPr>
          <w:trHeight w:val="230" w:hRule="atLeast"/>
        </w:trPr>
        <w:tc>
          <w:tcPr>
            <w:tcW w:w="4145" w:type="dxa"/>
            <w:tcBorders>
              <w:left w:val="single" w:sz="4" w:space="0" w:color="000000"/>
            </w:tcBorders>
          </w:tcPr>
          <w:p>
            <w:pPr>
              <w:pStyle w:val="TableParagraph"/>
              <w:spacing w:line="210" w:lineRule="exact"/>
              <w:ind w:right="107"/>
              <w:jc w:val="right"/>
              <w:rPr>
                <w:sz w:val="20"/>
              </w:rPr>
            </w:pPr>
            <w:r>
              <w:rPr>
                <w:sz w:val="20"/>
              </w:rPr>
              <w:t>and</w:t>
            </w:r>
            <w:r>
              <w:rPr>
                <w:spacing w:val="59"/>
                <w:w w:val="150"/>
                <w:sz w:val="20"/>
              </w:rPr>
              <w:t> </w:t>
            </w:r>
            <w:r>
              <w:rPr>
                <w:sz w:val="20"/>
              </w:rPr>
              <w:t>developing</w:t>
            </w:r>
            <w:r>
              <w:rPr>
                <w:spacing w:val="60"/>
                <w:w w:val="150"/>
                <w:sz w:val="20"/>
              </w:rPr>
              <w:t> </w:t>
            </w:r>
            <w:r>
              <w:rPr>
                <w:sz w:val="20"/>
              </w:rPr>
              <w:t>the</w:t>
            </w:r>
            <w:r>
              <w:rPr>
                <w:spacing w:val="60"/>
                <w:w w:val="150"/>
                <w:sz w:val="20"/>
              </w:rPr>
              <w:t> </w:t>
            </w:r>
            <w:r>
              <w:rPr>
                <w:sz w:val="20"/>
              </w:rPr>
              <w:t>potentials</w:t>
            </w:r>
            <w:r>
              <w:rPr>
                <w:spacing w:val="56"/>
                <w:w w:val="150"/>
                <w:sz w:val="20"/>
              </w:rPr>
              <w:t> </w:t>
            </w:r>
            <w:r>
              <w:rPr>
                <w:spacing w:val="-5"/>
                <w:sz w:val="20"/>
              </w:rPr>
              <w:t>of</w:t>
            </w:r>
          </w:p>
        </w:tc>
        <w:tc>
          <w:tcPr>
            <w:tcW w:w="1974" w:type="dxa"/>
          </w:tcPr>
          <w:p>
            <w:pPr>
              <w:pStyle w:val="TableParagraph"/>
              <w:spacing w:line="210" w:lineRule="exact"/>
              <w:ind w:left="107"/>
              <w:rPr>
                <w:sz w:val="20"/>
              </w:rPr>
            </w:pPr>
            <w:r>
              <w:rPr>
                <w:spacing w:val="-2"/>
                <w:sz w:val="20"/>
              </w:rPr>
              <w:t>Students</w:t>
            </w:r>
          </w:p>
        </w:tc>
        <w:tc>
          <w:tcPr>
            <w:tcW w:w="543" w:type="dxa"/>
          </w:tcPr>
          <w:p>
            <w:pPr>
              <w:pStyle w:val="TableParagraph"/>
              <w:spacing w:line="210" w:lineRule="exact"/>
              <w:ind w:left="12" w:right="4"/>
              <w:jc w:val="center"/>
              <w:rPr>
                <w:sz w:val="20"/>
              </w:rPr>
            </w:pPr>
            <w:r>
              <w:rPr>
                <w:spacing w:val="-5"/>
                <w:sz w:val="20"/>
              </w:rPr>
              <w:t>68</w:t>
            </w:r>
          </w:p>
        </w:tc>
        <w:tc>
          <w:tcPr>
            <w:tcW w:w="729" w:type="dxa"/>
          </w:tcPr>
          <w:p>
            <w:pPr>
              <w:pStyle w:val="TableParagraph"/>
              <w:spacing w:line="210" w:lineRule="exact"/>
              <w:ind w:left="85" w:right="86"/>
              <w:jc w:val="center"/>
              <w:rPr>
                <w:sz w:val="20"/>
              </w:rPr>
            </w:pPr>
            <w:r>
              <w:rPr>
                <w:spacing w:val="-4"/>
                <w:sz w:val="20"/>
              </w:rPr>
              <w:t>28.9</w:t>
            </w:r>
          </w:p>
        </w:tc>
        <w:tc>
          <w:tcPr>
            <w:tcW w:w="691" w:type="dxa"/>
          </w:tcPr>
          <w:p>
            <w:pPr>
              <w:pStyle w:val="TableParagraph"/>
              <w:spacing w:line="210" w:lineRule="exact"/>
              <w:ind w:left="22" w:right="13"/>
              <w:jc w:val="center"/>
              <w:rPr>
                <w:sz w:val="20"/>
              </w:rPr>
            </w:pPr>
            <w:r>
              <w:rPr>
                <w:spacing w:val="-5"/>
                <w:sz w:val="20"/>
              </w:rPr>
              <w:t>109</w:t>
            </w:r>
          </w:p>
        </w:tc>
        <w:tc>
          <w:tcPr>
            <w:tcW w:w="708" w:type="dxa"/>
          </w:tcPr>
          <w:p>
            <w:pPr>
              <w:pStyle w:val="TableParagraph"/>
              <w:spacing w:line="210" w:lineRule="exact"/>
              <w:ind w:left="59"/>
              <w:jc w:val="center"/>
              <w:rPr>
                <w:sz w:val="20"/>
              </w:rPr>
            </w:pPr>
            <w:r>
              <w:rPr>
                <w:spacing w:val="-4"/>
                <w:sz w:val="20"/>
              </w:rPr>
              <w:t>46.4</w:t>
            </w:r>
          </w:p>
        </w:tc>
        <w:tc>
          <w:tcPr>
            <w:tcW w:w="756" w:type="dxa"/>
          </w:tcPr>
          <w:p>
            <w:pPr>
              <w:pStyle w:val="TableParagraph"/>
              <w:spacing w:line="210" w:lineRule="exact"/>
              <w:ind w:right="249"/>
              <w:jc w:val="right"/>
              <w:rPr>
                <w:sz w:val="20"/>
              </w:rPr>
            </w:pPr>
            <w:r>
              <w:rPr>
                <w:spacing w:val="-5"/>
                <w:sz w:val="20"/>
              </w:rPr>
              <w:t>34</w:t>
            </w:r>
          </w:p>
        </w:tc>
        <w:tc>
          <w:tcPr>
            <w:tcW w:w="905" w:type="dxa"/>
          </w:tcPr>
          <w:p>
            <w:pPr>
              <w:pStyle w:val="TableParagraph"/>
              <w:spacing w:line="210" w:lineRule="exact"/>
              <w:ind w:left="16"/>
              <w:jc w:val="center"/>
              <w:rPr>
                <w:sz w:val="20"/>
              </w:rPr>
            </w:pPr>
            <w:r>
              <w:rPr>
                <w:spacing w:val="-4"/>
                <w:sz w:val="20"/>
              </w:rPr>
              <w:t>14.5</w:t>
            </w:r>
          </w:p>
        </w:tc>
        <w:tc>
          <w:tcPr>
            <w:tcW w:w="687" w:type="dxa"/>
          </w:tcPr>
          <w:p>
            <w:pPr>
              <w:pStyle w:val="TableParagraph"/>
              <w:spacing w:line="210" w:lineRule="exact"/>
              <w:ind w:left="109" w:right="48"/>
              <w:jc w:val="center"/>
              <w:rPr>
                <w:sz w:val="20"/>
              </w:rPr>
            </w:pPr>
            <w:r>
              <w:rPr>
                <w:spacing w:val="-5"/>
                <w:sz w:val="20"/>
              </w:rPr>
              <w:t>17</w:t>
            </w:r>
          </w:p>
        </w:tc>
        <w:tc>
          <w:tcPr>
            <w:tcW w:w="800" w:type="dxa"/>
          </w:tcPr>
          <w:p>
            <w:pPr>
              <w:pStyle w:val="TableParagraph"/>
              <w:spacing w:line="210" w:lineRule="exact"/>
              <w:ind w:left="18" w:right="5"/>
              <w:jc w:val="center"/>
              <w:rPr>
                <w:sz w:val="20"/>
              </w:rPr>
            </w:pPr>
            <w:r>
              <w:rPr>
                <w:spacing w:val="-5"/>
                <w:sz w:val="20"/>
              </w:rPr>
              <w:t>7.2</w:t>
            </w:r>
          </w:p>
        </w:tc>
        <w:tc>
          <w:tcPr>
            <w:tcW w:w="627" w:type="dxa"/>
          </w:tcPr>
          <w:p>
            <w:pPr>
              <w:pStyle w:val="TableParagraph"/>
              <w:spacing w:line="210" w:lineRule="exact"/>
              <w:ind w:left="23" w:right="11"/>
              <w:jc w:val="center"/>
              <w:rPr>
                <w:sz w:val="20"/>
              </w:rPr>
            </w:pPr>
            <w:r>
              <w:rPr>
                <w:spacing w:val="-10"/>
                <w:sz w:val="20"/>
              </w:rPr>
              <w:t>7</w:t>
            </w:r>
          </w:p>
        </w:tc>
        <w:tc>
          <w:tcPr>
            <w:tcW w:w="730" w:type="dxa"/>
          </w:tcPr>
          <w:p>
            <w:pPr>
              <w:pStyle w:val="TableParagraph"/>
              <w:spacing w:line="210" w:lineRule="exact"/>
              <w:ind w:left="76" w:right="5"/>
              <w:jc w:val="center"/>
              <w:rPr>
                <w:sz w:val="20"/>
              </w:rPr>
            </w:pPr>
            <w:r>
              <w:rPr>
                <w:spacing w:val="-5"/>
                <w:sz w:val="20"/>
              </w:rPr>
              <w:t>3.0</w:t>
            </w:r>
          </w:p>
        </w:tc>
        <w:tc>
          <w:tcPr>
            <w:tcW w:w="732" w:type="dxa"/>
          </w:tcPr>
          <w:p>
            <w:pPr>
              <w:pStyle w:val="TableParagraph"/>
              <w:spacing w:line="210" w:lineRule="exact"/>
              <w:ind w:right="174"/>
              <w:jc w:val="right"/>
              <w:rPr>
                <w:sz w:val="20"/>
              </w:rPr>
            </w:pPr>
            <w:r>
              <w:rPr>
                <w:spacing w:val="-5"/>
                <w:sz w:val="20"/>
              </w:rPr>
              <w:t>235</w:t>
            </w:r>
          </w:p>
        </w:tc>
        <w:tc>
          <w:tcPr>
            <w:tcW w:w="733" w:type="dxa"/>
            <w:tcBorders>
              <w:right w:val="single" w:sz="4" w:space="0" w:color="000000"/>
            </w:tcBorders>
          </w:tcPr>
          <w:p>
            <w:pPr>
              <w:pStyle w:val="TableParagraph"/>
              <w:spacing w:line="210" w:lineRule="exact"/>
              <w:ind w:left="34"/>
              <w:jc w:val="center"/>
              <w:rPr>
                <w:sz w:val="20"/>
              </w:rPr>
            </w:pPr>
            <w:r>
              <w:rPr>
                <w:spacing w:val="-4"/>
                <w:sz w:val="20"/>
              </w:rPr>
              <w:t>50.8</w:t>
            </w:r>
          </w:p>
        </w:tc>
      </w:tr>
      <w:tr>
        <w:trPr>
          <w:trHeight w:val="230" w:hRule="atLeast"/>
        </w:trPr>
        <w:tc>
          <w:tcPr>
            <w:tcW w:w="4145" w:type="dxa"/>
            <w:tcBorders>
              <w:left w:val="single" w:sz="4" w:space="0" w:color="000000"/>
            </w:tcBorders>
          </w:tcPr>
          <w:p>
            <w:pPr>
              <w:pStyle w:val="TableParagraph"/>
              <w:spacing w:line="210" w:lineRule="exact"/>
              <w:ind w:left="830"/>
              <w:rPr>
                <w:sz w:val="20"/>
              </w:rPr>
            </w:pPr>
            <w:r>
              <w:rPr>
                <w:sz w:val="20"/>
              </w:rPr>
              <w:t>many</w:t>
            </w:r>
            <w:r>
              <w:rPr>
                <w:spacing w:val="-9"/>
                <w:sz w:val="20"/>
              </w:rPr>
              <w:t> </w:t>
            </w:r>
            <w:r>
              <w:rPr>
                <w:sz w:val="20"/>
              </w:rPr>
              <w:t>students</w:t>
            </w:r>
            <w:r>
              <w:rPr>
                <w:spacing w:val="-8"/>
                <w:sz w:val="20"/>
              </w:rPr>
              <w:t> </w:t>
            </w:r>
            <w:r>
              <w:rPr>
                <w:spacing w:val="-2"/>
                <w:sz w:val="20"/>
              </w:rPr>
              <w:t>positively.</w:t>
            </w:r>
          </w:p>
        </w:tc>
        <w:tc>
          <w:tcPr>
            <w:tcW w:w="1974" w:type="dxa"/>
          </w:tcPr>
          <w:p>
            <w:pPr>
              <w:pStyle w:val="TableParagraph"/>
              <w:spacing w:line="210" w:lineRule="exact"/>
              <w:ind w:left="107"/>
              <w:rPr>
                <w:sz w:val="20"/>
              </w:rPr>
            </w:pPr>
            <w:r>
              <w:rPr>
                <w:sz w:val="20"/>
              </w:rPr>
              <w:t>Service</w:t>
            </w:r>
            <w:r>
              <w:rPr>
                <w:spacing w:val="-9"/>
                <w:sz w:val="20"/>
              </w:rPr>
              <w:t> </w:t>
            </w:r>
            <w:r>
              <w:rPr>
                <w:spacing w:val="-2"/>
                <w:sz w:val="20"/>
              </w:rPr>
              <w:t>Staff</w:t>
            </w:r>
          </w:p>
        </w:tc>
        <w:tc>
          <w:tcPr>
            <w:tcW w:w="543" w:type="dxa"/>
          </w:tcPr>
          <w:p>
            <w:pPr>
              <w:pStyle w:val="TableParagraph"/>
              <w:spacing w:line="210" w:lineRule="exact"/>
              <w:ind w:left="12" w:right="4"/>
              <w:jc w:val="center"/>
              <w:rPr>
                <w:sz w:val="20"/>
              </w:rPr>
            </w:pPr>
            <w:r>
              <w:rPr>
                <w:spacing w:val="-5"/>
                <w:sz w:val="20"/>
              </w:rPr>
              <w:t>48</w:t>
            </w:r>
          </w:p>
        </w:tc>
        <w:tc>
          <w:tcPr>
            <w:tcW w:w="729" w:type="dxa"/>
          </w:tcPr>
          <w:p>
            <w:pPr>
              <w:pStyle w:val="TableParagraph"/>
              <w:spacing w:line="210" w:lineRule="exact"/>
              <w:ind w:left="85" w:right="86"/>
              <w:jc w:val="center"/>
              <w:rPr>
                <w:sz w:val="20"/>
              </w:rPr>
            </w:pPr>
            <w:r>
              <w:rPr>
                <w:spacing w:val="-4"/>
                <w:sz w:val="20"/>
              </w:rPr>
              <w:t>23,6</w:t>
            </w:r>
          </w:p>
        </w:tc>
        <w:tc>
          <w:tcPr>
            <w:tcW w:w="691" w:type="dxa"/>
          </w:tcPr>
          <w:p>
            <w:pPr>
              <w:pStyle w:val="TableParagraph"/>
              <w:spacing w:line="210" w:lineRule="exact"/>
              <w:ind w:left="22" w:right="13"/>
              <w:jc w:val="center"/>
              <w:rPr>
                <w:sz w:val="20"/>
              </w:rPr>
            </w:pPr>
            <w:r>
              <w:rPr>
                <w:spacing w:val="-5"/>
                <w:sz w:val="20"/>
              </w:rPr>
              <w:t>102</w:t>
            </w:r>
          </w:p>
        </w:tc>
        <w:tc>
          <w:tcPr>
            <w:tcW w:w="708" w:type="dxa"/>
          </w:tcPr>
          <w:p>
            <w:pPr>
              <w:pStyle w:val="TableParagraph"/>
              <w:spacing w:line="210" w:lineRule="exact"/>
              <w:ind w:left="59"/>
              <w:jc w:val="center"/>
              <w:rPr>
                <w:sz w:val="20"/>
              </w:rPr>
            </w:pPr>
            <w:r>
              <w:rPr>
                <w:spacing w:val="-4"/>
                <w:sz w:val="20"/>
              </w:rPr>
              <w:t>50.2</w:t>
            </w:r>
          </w:p>
        </w:tc>
        <w:tc>
          <w:tcPr>
            <w:tcW w:w="756" w:type="dxa"/>
          </w:tcPr>
          <w:p>
            <w:pPr>
              <w:pStyle w:val="TableParagraph"/>
              <w:spacing w:line="210" w:lineRule="exact"/>
              <w:ind w:right="249"/>
              <w:jc w:val="right"/>
              <w:rPr>
                <w:sz w:val="20"/>
              </w:rPr>
            </w:pPr>
            <w:r>
              <w:rPr>
                <w:spacing w:val="-5"/>
                <w:sz w:val="20"/>
              </w:rPr>
              <w:t>38</w:t>
            </w:r>
          </w:p>
        </w:tc>
        <w:tc>
          <w:tcPr>
            <w:tcW w:w="905" w:type="dxa"/>
          </w:tcPr>
          <w:p>
            <w:pPr>
              <w:pStyle w:val="TableParagraph"/>
              <w:spacing w:line="210" w:lineRule="exact"/>
              <w:ind w:left="16"/>
              <w:jc w:val="center"/>
              <w:rPr>
                <w:sz w:val="20"/>
              </w:rPr>
            </w:pPr>
            <w:r>
              <w:rPr>
                <w:spacing w:val="-4"/>
                <w:sz w:val="20"/>
              </w:rPr>
              <w:t>18.7</w:t>
            </w:r>
          </w:p>
        </w:tc>
        <w:tc>
          <w:tcPr>
            <w:tcW w:w="687" w:type="dxa"/>
          </w:tcPr>
          <w:p>
            <w:pPr>
              <w:pStyle w:val="TableParagraph"/>
              <w:spacing w:line="210" w:lineRule="exact"/>
              <w:ind w:left="113" w:right="48"/>
              <w:jc w:val="center"/>
              <w:rPr>
                <w:sz w:val="20"/>
              </w:rPr>
            </w:pPr>
            <w:r>
              <w:rPr>
                <w:spacing w:val="-10"/>
                <w:sz w:val="20"/>
              </w:rPr>
              <w:t>9</w:t>
            </w:r>
          </w:p>
        </w:tc>
        <w:tc>
          <w:tcPr>
            <w:tcW w:w="800" w:type="dxa"/>
          </w:tcPr>
          <w:p>
            <w:pPr>
              <w:pStyle w:val="TableParagraph"/>
              <w:spacing w:line="210" w:lineRule="exact"/>
              <w:ind w:left="18" w:right="5"/>
              <w:jc w:val="center"/>
              <w:rPr>
                <w:sz w:val="20"/>
              </w:rPr>
            </w:pPr>
            <w:r>
              <w:rPr>
                <w:spacing w:val="-5"/>
                <w:sz w:val="20"/>
              </w:rPr>
              <w:t>4.4</w:t>
            </w:r>
          </w:p>
        </w:tc>
        <w:tc>
          <w:tcPr>
            <w:tcW w:w="627" w:type="dxa"/>
          </w:tcPr>
          <w:p>
            <w:pPr>
              <w:pStyle w:val="TableParagraph"/>
              <w:spacing w:line="210" w:lineRule="exact"/>
              <w:ind w:left="23" w:right="11"/>
              <w:jc w:val="center"/>
              <w:rPr>
                <w:sz w:val="20"/>
              </w:rPr>
            </w:pPr>
            <w:r>
              <w:rPr>
                <w:spacing w:val="-10"/>
                <w:sz w:val="20"/>
              </w:rPr>
              <w:t>6</w:t>
            </w:r>
          </w:p>
        </w:tc>
        <w:tc>
          <w:tcPr>
            <w:tcW w:w="730" w:type="dxa"/>
          </w:tcPr>
          <w:p>
            <w:pPr>
              <w:pStyle w:val="TableParagraph"/>
              <w:spacing w:line="210" w:lineRule="exact"/>
              <w:ind w:left="76" w:right="5"/>
              <w:jc w:val="center"/>
              <w:rPr>
                <w:sz w:val="20"/>
              </w:rPr>
            </w:pPr>
            <w:r>
              <w:rPr>
                <w:spacing w:val="-5"/>
                <w:sz w:val="20"/>
              </w:rPr>
              <w:t>3.0</w:t>
            </w:r>
          </w:p>
        </w:tc>
        <w:tc>
          <w:tcPr>
            <w:tcW w:w="732" w:type="dxa"/>
          </w:tcPr>
          <w:p>
            <w:pPr>
              <w:pStyle w:val="TableParagraph"/>
              <w:spacing w:line="210" w:lineRule="exact"/>
              <w:ind w:right="174"/>
              <w:jc w:val="right"/>
              <w:rPr>
                <w:sz w:val="20"/>
              </w:rPr>
            </w:pPr>
            <w:r>
              <w:rPr>
                <w:spacing w:val="-5"/>
                <w:sz w:val="20"/>
              </w:rPr>
              <w:t>203</w:t>
            </w:r>
          </w:p>
        </w:tc>
        <w:tc>
          <w:tcPr>
            <w:tcW w:w="733" w:type="dxa"/>
            <w:tcBorders>
              <w:right w:val="single" w:sz="4" w:space="0" w:color="000000"/>
            </w:tcBorders>
          </w:tcPr>
          <w:p>
            <w:pPr>
              <w:pStyle w:val="TableParagraph"/>
              <w:spacing w:line="210" w:lineRule="exact"/>
              <w:ind w:left="34"/>
              <w:jc w:val="center"/>
              <w:rPr>
                <w:sz w:val="20"/>
              </w:rPr>
            </w:pPr>
            <w:r>
              <w:rPr>
                <w:spacing w:val="-4"/>
                <w:sz w:val="20"/>
              </w:rPr>
              <w:t>43.8</w:t>
            </w:r>
          </w:p>
        </w:tc>
      </w:tr>
      <w:tr>
        <w:trPr>
          <w:trHeight w:val="254" w:hRule="atLeast"/>
        </w:trPr>
        <w:tc>
          <w:tcPr>
            <w:tcW w:w="4145" w:type="dxa"/>
            <w:tcBorders>
              <w:left w:val="single" w:sz="4" w:space="0" w:color="000000"/>
            </w:tcBorders>
          </w:tcPr>
          <w:p>
            <w:pPr>
              <w:pStyle w:val="TableParagraph"/>
              <w:rPr>
                <w:rFonts w:ascii="Times New Roman"/>
                <w:sz w:val="18"/>
              </w:rPr>
            </w:pPr>
          </w:p>
        </w:tc>
        <w:tc>
          <w:tcPr>
            <w:tcW w:w="1974" w:type="dxa"/>
          </w:tcPr>
          <w:p>
            <w:pPr>
              <w:pStyle w:val="TableParagraph"/>
              <w:spacing w:line="227" w:lineRule="exact"/>
              <w:ind w:left="107"/>
              <w:rPr>
                <w:sz w:val="20"/>
              </w:rPr>
            </w:pPr>
            <w:r>
              <w:rPr>
                <w:sz w:val="20"/>
              </w:rPr>
              <w:t>Top</w:t>
            </w:r>
            <w:r>
              <w:rPr>
                <w:spacing w:val="-1"/>
                <w:sz w:val="20"/>
              </w:rPr>
              <w:t> </w:t>
            </w:r>
            <w:r>
              <w:rPr>
                <w:spacing w:val="-2"/>
                <w:sz w:val="20"/>
              </w:rPr>
              <w:t>Management</w:t>
            </w:r>
          </w:p>
        </w:tc>
        <w:tc>
          <w:tcPr>
            <w:tcW w:w="543" w:type="dxa"/>
          </w:tcPr>
          <w:p>
            <w:pPr>
              <w:pStyle w:val="TableParagraph"/>
              <w:spacing w:line="227" w:lineRule="exact"/>
              <w:ind w:left="12"/>
              <w:jc w:val="center"/>
              <w:rPr>
                <w:sz w:val="20"/>
              </w:rPr>
            </w:pPr>
            <w:r>
              <w:rPr>
                <w:spacing w:val="-10"/>
                <w:sz w:val="20"/>
              </w:rPr>
              <w:t>3</w:t>
            </w:r>
          </w:p>
        </w:tc>
        <w:tc>
          <w:tcPr>
            <w:tcW w:w="729" w:type="dxa"/>
          </w:tcPr>
          <w:p>
            <w:pPr>
              <w:pStyle w:val="TableParagraph"/>
              <w:spacing w:line="227" w:lineRule="exact"/>
              <w:ind w:left="85" w:right="86"/>
              <w:jc w:val="center"/>
              <w:rPr>
                <w:sz w:val="20"/>
              </w:rPr>
            </w:pPr>
            <w:r>
              <w:rPr>
                <w:spacing w:val="-4"/>
                <w:sz w:val="20"/>
              </w:rPr>
              <w:t>13.0</w:t>
            </w:r>
          </w:p>
        </w:tc>
        <w:tc>
          <w:tcPr>
            <w:tcW w:w="691" w:type="dxa"/>
          </w:tcPr>
          <w:p>
            <w:pPr>
              <w:pStyle w:val="TableParagraph"/>
              <w:spacing w:line="227" w:lineRule="exact"/>
              <w:ind w:left="22" w:right="9"/>
              <w:jc w:val="center"/>
              <w:rPr>
                <w:sz w:val="20"/>
              </w:rPr>
            </w:pPr>
            <w:r>
              <w:rPr>
                <w:spacing w:val="-5"/>
                <w:sz w:val="20"/>
              </w:rPr>
              <w:t>18</w:t>
            </w:r>
          </w:p>
        </w:tc>
        <w:tc>
          <w:tcPr>
            <w:tcW w:w="708" w:type="dxa"/>
          </w:tcPr>
          <w:p>
            <w:pPr>
              <w:pStyle w:val="TableParagraph"/>
              <w:spacing w:line="227" w:lineRule="exact"/>
              <w:ind w:left="59"/>
              <w:jc w:val="center"/>
              <w:rPr>
                <w:sz w:val="20"/>
              </w:rPr>
            </w:pPr>
            <w:r>
              <w:rPr>
                <w:spacing w:val="-4"/>
                <w:sz w:val="20"/>
              </w:rPr>
              <w:t>78.3</w:t>
            </w:r>
          </w:p>
        </w:tc>
        <w:tc>
          <w:tcPr>
            <w:tcW w:w="756" w:type="dxa"/>
          </w:tcPr>
          <w:p>
            <w:pPr>
              <w:pStyle w:val="TableParagraph"/>
              <w:spacing w:line="227" w:lineRule="exact"/>
              <w:ind w:right="302"/>
              <w:jc w:val="right"/>
              <w:rPr>
                <w:sz w:val="20"/>
              </w:rPr>
            </w:pPr>
            <w:r>
              <w:rPr>
                <w:spacing w:val="-10"/>
                <w:sz w:val="20"/>
              </w:rPr>
              <w:t>2</w:t>
            </w:r>
          </w:p>
        </w:tc>
        <w:tc>
          <w:tcPr>
            <w:tcW w:w="905" w:type="dxa"/>
          </w:tcPr>
          <w:p>
            <w:pPr>
              <w:pStyle w:val="TableParagraph"/>
              <w:spacing w:line="227" w:lineRule="exact"/>
              <w:ind w:left="16" w:right="5"/>
              <w:jc w:val="center"/>
              <w:rPr>
                <w:sz w:val="20"/>
              </w:rPr>
            </w:pPr>
            <w:r>
              <w:rPr>
                <w:spacing w:val="-5"/>
                <w:sz w:val="20"/>
              </w:rPr>
              <w:t>8.7</w:t>
            </w:r>
          </w:p>
        </w:tc>
        <w:tc>
          <w:tcPr>
            <w:tcW w:w="687" w:type="dxa"/>
          </w:tcPr>
          <w:p>
            <w:pPr>
              <w:pStyle w:val="TableParagraph"/>
              <w:spacing w:line="227" w:lineRule="exact"/>
              <w:ind w:left="107" w:right="48"/>
              <w:jc w:val="center"/>
              <w:rPr>
                <w:sz w:val="20"/>
              </w:rPr>
            </w:pPr>
            <w:r>
              <w:rPr>
                <w:spacing w:val="-10"/>
                <w:sz w:val="20"/>
              </w:rPr>
              <w:t>-</w:t>
            </w:r>
          </w:p>
        </w:tc>
        <w:tc>
          <w:tcPr>
            <w:tcW w:w="800" w:type="dxa"/>
          </w:tcPr>
          <w:p>
            <w:pPr>
              <w:pStyle w:val="TableParagraph"/>
              <w:spacing w:line="227" w:lineRule="exact"/>
              <w:ind w:left="18" w:right="6"/>
              <w:jc w:val="center"/>
              <w:rPr>
                <w:sz w:val="20"/>
              </w:rPr>
            </w:pPr>
            <w:r>
              <w:rPr>
                <w:spacing w:val="-10"/>
                <w:sz w:val="20"/>
              </w:rPr>
              <w:t>-</w:t>
            </w:r>
          </w:p>
        </w:tc>
        <w:tc>
          <w:tcPr>
            <w:tcW w:w="627" w:type="dxa"/>
          </w:tcPr>
          <w:p>
            <w:pPr>
              <w:pStyle w:val="TableParagraph"/>
              <w:spacing w:line="227" w:lineRule="exact"/>
              <w:ind w:left="23" w:right="18"/>
              <w:jc w:val="center"/>
              <w:rPr>
                <w:sz w:val="20"/>
              </w:rPr>
            </w:pPr>
            <w:r>
              <w:rPr>
                <w:spacing w:val="-10"/>
                <w:sz w:val="20"/>
              </w:rPr>
              <w:t>-</w:t>
            </w:r>
          </w:p>
        </w:tc>
        <w:tc>
          <w:tcPr>
            <w:tcW w:w="730" w:type="dxa"/>
          </w:tcPr>
          <w:p>
            <w:pPr>
              <w:pStyle w:val="TableParagraph"/>
              <w:spacing w:line="227" w:lineRule="exact"/>
              <w:ind w:left="76" w:right="7"/>
              <w:jc w:val="center"/>
              <w:rPr>
                <w:sz w:val="20"/>
              </w:rPr>
            </w:pPr>
            <w:r>
              <w:rPr>
                <w:spacing w:val="-10"/>
                <w:sz w:val="20"/>
              </w:rPr>
              <w:t>-</w:t>
            </w:r>
          </w:p>
        </w:tc>
        <w:tc>
          <w:tcPr>
            <w:tcW w:w="732" w:type="dxa"/>
          </w:tcPr>
          <w:p>
            <w:pPr>
              <w:pStyle w:val="TableParagraph"/>
              <w:spacing w:line="227" w:lineRule="exact"/>
              <w:ind w:left="279"/>
              <w:rPr>
                <w:sz w:val="20"/>
              </w:rPr>
            </w:pPr>
            <w:r>
              <w:rPr>
                <w:spacing w:val="-5"/>
                <w:sz w:val="20"/>
              </w:rPr>
              <w:t>23</w:t>
            </w:r>
          </w:p>
        </w:tc>
        <w:tc>
          <w:tcPr>
            <w:tcW w:w="733" w:type="dxa"/>
            <w:tcBorders>
              <w:right w:val="single" w:sz="4" w:space="0" w:color="000000"/>
            </w:tcBorders>
          </w:tcPr>
          <w:p>
            <w:pPr>
              <w:pStyle w:val="TableParagraph"/>
              <w:spacing w:line="227" w:lineRule="exact"/>
              <w:ind w:left="34" w:right="5"/>
              <w:jc w:val="center"/>
              <w:rPr>
                <w:sz w:val="20"/>
              </w:rPr>
            </w:pPr>
            <w:r>
              <w:rPr>
                <w:spacing w:val="-5"/>
                <w:sz w:val="20"/>
              </w:rPr>
              <w:t>5.0</w:t>
            </w:r>
          </w:p>
        </w:tc>
      </w:tr>
      <w:tr>
        <w:trPr>
          <w:trHeight w:val="254" w:hRule="atLeast"/>
        </w:trPr>
        <w:tc>
          <w:tcPr>
            <w:tcW w:w="4145" w:type="dxa"/>
            <w:tcBorders>
              <w:left w:val="single" w:sz="4" w:space="0" w:color="000000"/>
            </w:tcBorders>
          </w:tcPr>
          <w:p>
            <w:pPr>
              <w:pStyle w:val="TableParagraph"/>
              <w:tabs>
                <w:tab w:pos="609" w:val="left" w:leader="none"/>
              </w:tabs>
              <w:spacing w:line="213" w:lineRule="exact" w:before="21"/>
              <w:ind w:right="100"/>
              <w:jc w:val="right"/>
              <w:rPr>
                <w:sz w:val="20"/>
              </w:rPr>
            </w:pPr>
            <w:r>
              <w:rPr>
                <w:spacing w:val="-5"/>
                <w:sz w:val="20"/>
              </w:rPr>
              <w:t>45.</w:t>
            </w:r>
            <w:r>
              <w:rPr>
                <w:sz w:val="20"/>
              </w:rPr>
              <w:tab/>
              <w:t>Guidance</w:t>
            </w:r>
            <w:r>
              <w:rPr>
                <w:spacing w:val="27"/>
                <w:sz w:val="20"/>
              </w:rPr>
              <w:t> </w:t>
            </w:r>
            <w:r>
              <w:rPr>
                <w:sz w:val="20"/>
              </w:rPr>
              <w:t>and</w:t>
            </w:r>
            <w:r>
              <w:rPr>
                <w:spacing w:val="28"/>
                <w:sz w:val="20"/>
              </w:rPr>
              <w:t> </w:t>
            </w:r>
            <w:r>
              <w:rPr>
                <w:sz w:val="20"/>
              </w:rPr>
              <w:t>Counseling</w:t>
            </w:r>
            <w:r>
              <w:rPr>
                <w:spacing w:val="28"/>
                <w:sz w:val="20"/>
              </w:rPr>
              <w:t> </w:t>
            </w:r>
            <w:r>
              <w:rPr>
                <w:spacing w:val="-2"/>
                <w:sz w:val="20"/>
              </w:rPr>
              <w:t>services</w:t>
            </w:r>
          </w:p>
        </w:tc>
        <w:tc>
          <w:tcPr>
            <w:tcW w:w="1974" w:type="dxa"/>
          </w:tcPr>
          <w:p>
            <w:pPr>
              <w:pStyle w:val="TableParagraph"/>
              <w:spacing w:line="213" w:lineRule="exact" w:before="21"/>
              <w:ind w:left="107"/>
              <w:rPr>
                <w:sz w:val="20"/>
              </w:rPr>
            </w:pPr>
            <w:r>
              <w:rPr>
                <w:sz w:val="20"/>
              </w:rPr>
              <w:t>No.</w:t>
            </w:r>
            <w:r>
              <w:rPr>
                <w:spacing w:val="-5"/>
                <w:sz w:val="20"/>
              </w:rPr>
              <w:t> </w:t>
            </w:r>
            <w:r>
              <w:rPr>
                <w:sz w:val="20"/>
              </w:rPr>
              <w:t>of</w:t>
            </w:r>
            <w:r>
              <w:rPr>
                <w:spacing w:val="-2"/>
                <w:sz w:val="20"/>
              </w:rPr>
              <w:t> missing</w:t>
            </w:r>
          </w:p>
        </w:tc>
        <w:tc>
          <w:tcPr>
            <w:tcW w:w="543" w:type="dxa"/>
          </w:tcPr>
          <w:p>
            <w:pPr>
              <w:pStyle w:val="TableParagraph"/>
              <w:rPr>
                <w:rFonts w:ascii="Times New Roman"/>
                <w:sz w:val="18"/>
              </w:rPr>
            </w:pPr>
          </w:p>
        </w:tc>
        <w:tc>
          <w:tcPr>
            <w:tcW w:w="729" w:type="dxa"/>
          </w:tcPr>
          <w:p>
            <w:pPr>
              <w:pStyle w:val="TableParagraph"/>
              <w:rPr>
                <w:rFonts w:ascii="Times New Roman"/>
                <w:sz w:val="18"/>
              </w:rPr>
            </w:pPr>
          </w:p>
        </w:tc>
        <w:tc>
          <w:tcPr>
            <w:tcW w:w="691" w:type="dxa"/>
          </w:tcPr>
          <w:p>
            <w:pPr>
              <w:pStyle w:val="TableParagraph"/>
              <w:rPr>
                <w:rFonts w:ascii="Times New Roman"/>
                <w:sz w:val="18"/>
              </w:rPr>
            </w:pPr>
          </w:p>
        </w:tc>
        <w:tc>
          <w:tcPr>
            <w:tcW w:w="708" w:type="dxa"/>
          </w:tcPr>
          <w:p>
            <w:pPr>
              <w:pStyle w:val="TableParagraph"/>
              <w:rPr>
                <w:rFonts w:ascii="Times New Roman"/>
                <w:sz w:val="18"/>
              </w:rPr>
            </w:pPr>
          </w:p>
        </w:tc>
        <w:tc>
          <w:tcPr>
            <w:tcW w:w="756" w:type="dxa"/>
          </w:tcPr>
          <w:p>
            <w:pPr>
              <w:pStyle w:val="TableParagraph"/>
              <w:rPr>
                <w:rFonts w:ascii="Times New Roman"/>
                <w:sz w:val="18"/>
              </w:rPr>
            </w:pPr>
          </w:p>
        </w:tc>
        <w:tc>
          <w:tcPr>
            <w:tcW w:w="905" w:type="dxa"/>
          </w:tcPr>
          <w:p>
            <w:pPr>
              <w:pStyle w:val="TableParagraph"/>
              <w:rPr>
                <w:rFonts w:ascii="Times New Roman"/>
                <w:sz w:val="18"/>
              </w:rPr>
            </w:pPr>
          </w:p>
        </w:tc>
        <w:tc>
          <w:tcPr>
            <w:tcW w:w="687" w:type="dxa"/>
          </w:tcPr>
          <w:p>
            <w:pPr>
              <w:pStyle w:val="TableParagraph"/>
              <w:rPr>
                <w:rFonts w:ascii="Times New Roman"/>
                <w:sz w:val="18"/>
              </w:rPr>
            </w:pPr>
          </w:p>
        </w:tc>
        <w:tc>
          <w:tcPr>
            <w:tcW w:w="800" w:type="dxa"/>
          </w:tcPr>
          <w:p>
            <w:pPr>
              <w:pStyle w:val="TableParagraph"/>
              <w:rPr>
                <w:rFonts w:ascii="Times New Roman"/>
                <w:sz w:val="18"/>
              </w:rPr>
            </w:pPr>
          </w:p>
        </w:tc>
        <w:tc>
          <w:tcPr>
            <w:tcW w:w="627" w:type="dxa"/>
          </w:tcPr>
          <w:p>
            <w:pPr>
              <w:pStyle w:val="TableParagraph"/>
              <w:rPr>
                <w:rFonts w:ascii="Times New Roman"/>
                <w:sz w:val="18"/>
              </w:rPr>
            </w:pPr>
          </w:p>
        </w:tc>
        <w:tc>
          <w:tcPr>
            <w:tcW w:w="730" w:type="dxa"/>
          </w:tcPr>
          <w:p>
            <w:pPr>
              <w:pStyle w:val="TableParagraph"/>
              <w:rPr>
                <w:rFonts w:ascii="Times New Roman"/>
                <w:sz w:val="18"/>
              </w:rPr>
            </w:pPr>
          </w:p>
        </w:tc>
        <w:tc>
          <w:tcPr>
            <w:tcW w:w="732" w:type="dxa"/>
          </w:tcPr>
          <w:p>
            <w:pPr>
              <w:pStyle w:val="TableParagraph"/>
              <w:rPr>
                <w:rFonts w:ascii="Times New Roman"/>
                <w:sz w:val="18"/>
              </w:rPr>
            </w:pPr>
          </w:p>
        </w:tc>
        <w:tc>
          <w:tcPr>
            <w:tcW w:w="733" w:type="dxa"/>
            <w:tcBorders>
              <w:right w:val="single" w:sz="4" w:space="0" w:color="000000"/>
            </w:tcBorders>
          </w:tcPr>
          <w:p>
            <w:pPr>
              <w:pStyle w:val="TableParagraph"/>
              <w:rPr>
                <w:rFonts w:ascii="Times New Roman"/>
                <w:sz w:val="18"/>
              </w:rPr>
            </w:pPr>
          </w:p>
        </w:tc>
      </w:tr>
      <w:tr>
        <w:trPr>
          <w:trHeight w:val="230" w:hRule="atLeast"/>
        </w:trPr>
        <w:tc>
          <w:tcPr>
            <w:tcW w:w="4145" w:type="dxa"/>
            <w:tcBorders>
              <w:left w:val="single" w:sz="4" w:space="0" w:color="000000"/>
            </w:tcBorders>
          </w:tcPr>
          <w:p>
            <w:pPr>
              <w:pStyle w:val="TableParagraph"/>
              <w:tabs>
                <w:tab w:pos="2184" w:val="left" w:leader="none"/>
              </w:tabs>
              <w:spacing w:line="210" w:lineRule="exact"/>
              <w:ind w:right="103"/>
              <w:jc w:val="right"/>
              <w:rPr>
                <w:sz w:val="20"/>
              </w:rPr>
            </w:pPr>
            <w:r>
              <w:rPr>
                <w:sz w:val="20"/>
              </w:rPr>
              <w:t>such</w:t>
            </w:r>
            <w:r>
              <w:rPr>
                <w:spacing w:val="42"/>
                <w:sz w:val="20"/>
              </w:rPr>
              <w:t>  </w:t>
            </w:r>
            <w:r>
              <w:rPr>
                <w:sz w:val="20"/>
              </w:rPr>
              <w:t>as</w:t>
            </w:r>
            <w:r>
              <w:rPr>
                <w:spacing w:val="40"/>
                <w:sz w:val="20"/>
              </w:rPr>
              <w:t>  </w:t>
            </w:r>
            <w:r>
              <w:rPr>
                <w:sz w:val="20"/>
              </w:rPr>
              <w:t>choice</w:t>
            </w:r>
            <w:r>
              <w:rPr>
                <w:spacing w:val="43"/>
                <w:sz w:val="20"/>
              </w:rPr>
              <w:t>  </w:t>
            </w:r>
            <w:r>
              <w:rPr>
                <w:spacing w:val="-5"/>
                <w:sz w:val="20"/>
              </w:rPr>
              <w:t>of</w:t>
            </w:r>
            <w:r>
              <w:rPr>
                <w:sz w:val="20"/>
              </w:rPr>
              <w:tab/>
            </w:r>
            <w:r>
              <w:rPr>
                <w:spacing w:val="-2"/>
                <w:sz w:val="20"/>
              </w:rPr>
              <w:t>educational</w:t>
            </w:r>
          </w:p>
        </w:tc>
        <w:tc>
          <w:tcPr>
            <w:tcW w:w="1974" w:type="dxa"/>
          </w:tcPr>
          <w:p>
            <w:pPr>
              <w:pStyle w:val="TableParagraph"/>
              <w:spacing w:line="210" w:lineRule="exact"/>
              <w:ind w:left="107"/>
              <w:rPr>
                <w:sz w:val="20"/>
              </w:rPr>
            </w:pPr>
            <w:r>
              <w:rPr>
                <w:spacing w:val="-2"/>
                <w:sz w:val="20"/>
              </w:rPr>
              <w:t>observations</w:t>
            </w:r>
          </w:p>
        </w:tc>
        <w:tc>
          <w:tcPr>
            <w:tcW w:w="543" w:type="dxa"/>
          </w:tcPr>
          <w:p>
            <w:pPr>
              <w:pStyle w:val="TableParagraph"/>
              <w:spacing w:line="210" w:lineRule="exact"/>
              <w:ind w:left="12"/>
              <w:jc w:val="center"/>
              <w:rPr>
                <w:sz w:val="20"/>
              </w:rPr>
            </w:pPr>
            <w:r>
              <w:rPr>
                <w:spacing w:val="-10"/>
                <w:sz w:val="20"/>
              </w:rPr>
              <w:t>1</w:t>
            </w:r>
          </w:p>
        </w:tc>
        <w:tc>
          <w:tcPr>
            <w:tcW w:w="729" w:type="dxa"/>
          </w:tcPr>
          <w:p>
            <w:pPr>
              <w:pStyle w:val="TableParagraph"/>
              <w:spacing w:line="210" w:lineRule="exact"/>
              <w:ind w:left="85" w:right="86"/>
              <w:jc w:val="center"/>
              <w:rPr>
                <w:sz w:val="20"/>
              </w:rPr>
            </w:pPr>
            <w:r>
              <w:rPr>
                <w:spacing w:val="-4"/>
                <w:sz w:val="20"/>
              </w:rPr>
              <w:t>50.0</w:t>
            </w:r>
          </w:p>
        </w:tc>
        <w:tc>
          <w:tcPr>
            <w:tcW w:w="691" w:type="dxa"/>
          </w:tcPr>
          <w:p>
            <w:pPr>
              <w:pStyle w:val="TableParagraph"/>
              <w:spacing w:line="210" w:lineRule="exact"/>
              <w:ind w:left="22" w:right="4"/>
              <w:jc w:val="center"/>
              <w:rPr>
                <w:sz w:val="20"/>
              </w:rPr>
            </w:pPr>
            <w:r>
              <w:rPr>
                <w:spacing w:val="-10"/>
                <w:sz w:val="20"/>
              </w:rPr>
              <w:t>1</w:t>
            </w:r>
          </w:p>
        </w:tc>
        <w:tc>
          <w:tcPr>
            <w:tcW w:w="708" w:type="dxa"/>
          </w:tcPr>
          <w:p>
            <w:pPr>
              <w:pStyle w:val="TableParagraph"/>
              <w:spacing w:line="210" w:lineRule="exact"/>
              <w:ind w:left="59"/>
              <w:jc w:val="center"/>
              <w:rPr>
                <w:sz w:val="20"/>
              </w:rPr>
            </w:pPr>
            <w:r>
              <w:rPr>
                <w:spacing w:val="-4"/>
                <w:sz w:val="20"/>
              </w:rPr>
              <w:t>50.0</w:t>
            </w:r>
          </w:p>
        </w:tc>
        <w:tc>
          <w:tcPr>
            <w:tcW w:w="756" w:type="dxa"/>
          </w:tcPr>
          <w:p>
            <w:pPr>
              <w:pStyle w:val="TableParagraph"/>
              <w:spacing w:line="210" w:lineRule="exact"/>
              <w:ind w:right="327"/>
              <w:jc w:val="right"/>
              <w:rPr>
                <w:sz w:val="20"/>
              </w:rPr>
            </w:pPr>
            <w:r>
              <w:rPr>
                <w:spacing w:val="-10"/>
                <w:sz w:val="20"/>
              </w:rPr>
              <w:t>-</w:t>
            </w:r>
          </w:p>
        </w:tc>
        <w:tc>
          <w:tcPr>
            <w:tcW w:w="905" w:type="dxa"/>
          </w:tcPr>
          <w:p>
            <w:pPr>
              <w:pStyle w:val="TableParagraph"/>
              <w:spacing w:line="210" w:lineRule="exact"/>
              <w:ind w:left="16" w:right="7"/>
              <w:jc w:val="center"/>
              <w:rPr>
                <w:sz w:val="20"/>
              </w:rPr>
            </w:pPr>
            <w:r>
              <w:rPr>
                <w:spacing w:val="-10"/>
                <w:sz w:val="20"/>
              </w:rPr>
              <w:t>-</w:t>
            </w:r>
          </w:p>
        </w:tc>
        <w:tc>
          <w:tcPr>
            <w:tcW w:w="687" w:type="dxa"/>
          </w:tcPr>
          <w:p>
            <w:pPr>
              <w:pStyle w:val="TableParagraph"/>
              <w:spacing w:line="210" w:lineRule="exact"/>
              <w:ind w:left="107" w:right="48"/>
              <w:jc w:val="center"/>
              <w:rPr>
                <w:sz w:val="20"/>
              </w:rPr>
            </w:pPr>
            <w:r>
              <w:rPr>
                <w:spacing w:val="-10"/>
                <w:sz w:val="20"/>
              </w:rPr>
              <w:t>-</w:t>
            </w:r>
          </w:p>
        </w:tc>
        <w:tc>
          <w:tcPr>
            <w:tcW w:w="800" w:type="dxa"/>
          </w:tcPr>
          <w:p>
            <w:pPr>
              <w:pStyle w:val="TableParagraph"/>
              <w:spacing w:line="210" w:lineRule="exact"/>
              <w:ind w:left="18" w:right="6"/>
              <w:jc w:val="center"/>
              <w:rPr>
                <w:sz w:val="20"/>
              </w:rPr>
            </w:pPr>
            <w:r>
              <w:rPr>
                <w:spacing w:val="-10"/>
                <w:sz w:val="20"/>
              </w:rPr>
              <w:t>-</w:t>
            </w:r>
          </w:p>
        </w:tc>
        <w:tc>
          <w:tcPr>
            <w:tcW w:w="627" w:type="dxa"/>
          </w:tcPr>
          <w:p>
            <w:pPr>
              <w:pStyle w:val="TableParagraph"/>
              <w:spacing w:line="210" w:lineRule="exact"/>
              <w:ind w:left="23" w:right="18"/>
              <w:jc w:val="center"/>
              <w:rPr>
                <w:sz w:val="20"/>
              </w:rPr>
            </w:pPr>
            <w:r>
              <w:rPr>
                <w:spacing w:val="-10"/>
                <w:sz w:val="20"/>
              </w:rPr>
              <w:t>-</w:t>
            </w:r>
          </w:p>
        </w:tc>
        <w:tc>
          <w:tcPr>
            <w:tcW w:w="730" w:type="dxa"/>
          </w:tcPr>
          <w:p>
            <w:pPr>
              <w:pStyle w:val="TableParagraph"/>
              <w:spacing w:line="210" w:lineRule="exact"/>
              <w:ind w:left="76" w:right="7"/>
              <w:jc w:val="center"/>
              <w:rPr>
                <w:sz w:val="20"/>
              </w:rPr>
            </w:pPr>
            <w:r>
              <w:rPr>
                <w:spacing w:val="-10"/>
                <w:sz w:val="20"/>
              </w:rPr>
              <w:t>-</w:t>
            </w:r>
          </w:p>
        </w:tc>
        <w:tc>
          <w:tcPr>
            <w:tcW w:w="732" w:type="dxa"/>
          </w:tcPr>
          <w:p>
            <w:pPr>
              <w:pStyle w:val="TableParagraph"/>
              <w:spacing w:line="210" w:lineRule="exact"/>
              <w:ind w:left="59" w:right="5"/>
              <w:jc w:val="center"/>
              <w:rPr>
                <w:sz w:val="20"/>
              </w:rPr>
            </w:pPr>
            <w:r>
              <w:rPr>
                <w:spacing w:val="-10"/>
                <w:sz w:val="20"/>
              </w:rPr>
              <w:t>2</w:t>
            </w:r>
          </w:p>
        </w:tc>
        <w:tc>
          <w:tcPr>
            <w:tcW w:w="733" w:type="dxa"/>
            <w:tcBorders>
              <w:right w:val="single" w:sz="4" w:space="0" w:color="000000"/>
            </w:tcBorders>
          </w:tcPr>
          <w:p>
            <w:pPr>
              <w:pStyle w:val="TableParagraph"/>
              <w:spacing w:line="210" w:lineRule="exact"/>
              <w:ind w:left="34" w:right="5"/>
              <w:jc w:val="center"/>
              <w:rPr>
                <w:sz w:val="20"/>
              </w:rPr>
            </w:pPr>
            <w:r>
              <w:rPr>
                <w:spacing w:val="-5"/>
                <w:sz w:val="20"/>
              </w:rPr>
              <w:t>0.4</w:t>
            </w:r>
          </w:p>
        </w:tc>
      </w:tr>
      <w:tr>
        <w:trPr>
          <w:trHeight w:val="230" w:hRule="atLeast"/>
        </w:trPr>
        <w:tc>
          <w:tcPr>
            <w:tcW w:w="4145" w:type="dxa"/>
            <w:tcBorders>
              <w:left w:val="single" w:sz="4" w:space="0" w:color="000000"/>
            </w:tcBorders>
          </w:tcPr>
          <w:p>
            <w:pPr>
              <w:pStyle w:val="TableParagraph"/>
              <w:tabs>
                <w:tab w:pos="835" w:val="left" w:leader="none"/>
                <w:tab w:pos="1613" w:val="left" w:leader="none"/>
                <w:tab w:pos="2640" w:val="left" w:leader="none"/>
              </w:tabs>
              <w:spacing w:line="210" w:lineRule="exact"/>
              <w:ind w:right="100"/>
              <w:jc w:val="right"/>
              <w:rPr>
                <w:sz w:val="20"/>
              </w:rPr>
            </w:pPr>
            <w:r>
              <w:rPr>
                <w:spacing w:val="-2"/>
                <w:sz w:val="20"/>
              </w:rPr>
              <w:t>career,</w:t>
            </w:r>
            <w:r>
              <w:rPr>
                <w:sz w:val="20"/>
              </w:rPr>
              <w:tab/>
            </w:r>
            <w:r>
              <w:rPr>
                <w:spacing w:val="-2"/>
                <w:sz w:val="20"/>
              </w:rPr>
              <w:t>career</w:t>
            </w:r>
            <w:r>
              <w:rPr>
                <w:sz w:val="20"/>
              </w:rPr>
              <w:tab/>
            </w:r>
            <w:r>
              <w:rPr>
                <w:spacing w:val="-2"/>
                <w:sz w:val="20"/>
              </w:rPr>
              <w:t>planning,</w:t>
            </w:r>
            <w:r>
              <w:rPr>
                <w:sz w:val="20"/>
              </w:rPr>
              <w:tab/>
            </w:r>
            <w:r>
              <w:rPr>
                <w:spacing w:val="-2"/>
                <w:sz w:val="20"/>
              </w:rPr>
              <w:t>career</w:t>
            </w:r>
          </w:p>
        </w:tc>
        <w:tc>
          <w:tcPr>
            <w:tcW w:w="1974" w:type="dxa"/>
          </w:tcPr>
          <w:p>
            <w:pPr>
              <w:pStyle w:val="TableParagraph"/>
              <w:spacing w:line="210" w:lineRule="exact"/>
              <w:ind w:left="107"/>
              <w:rPr>
                <w:sz w:val="20"/>
              </w:rPr>
            </w:pPr>
            <w:r>
              <w:rPr>
                <w:spacing w:val="-2"/>
                <w:sz w:val="20"/>
              </w:rPr>
              <w:t>Students</w:t>
            </w:r>
          </w:p>
        </w:tc>
        <w:tc>
          <w:tcPr>
            <w:tcW w:w="543" w:type="dxa"/>
          </w:tcPr>
          <w:p>
            <w:pPr>
              <w:pStyle w:val="TableParagraph"/>
              <w:spacing w:line="210" w:lineRule="exact"/>
              <w:ind w:left="12" w:right="4"/>
              <w:jc w:val="center"/>
              <w:rPr>
                <w:sz w:val="20"/>
              </w:rPr>
            </w:pPr>
            <w:r>
              <w:rPr>
                <w:spacing w:val="-5"/>
                <w:sz w:val="20"/>
              </w:rPr>
              <w:t>77</w:t>
            </w:r>
          </w:p>
        </w:tc>
        <w:tc>
          <w:tcPr>
            <w:tcW w:w="729" w:type="dxa"/>
          </w:tcPr>
          <w:p>
            <w:pPr>
              <w:pStyle w:val="TableParagraph"/>
              <w:spacing w:line="210" w:lineRule="exact"/>
              <w:ind w:left="85" w:right="86"/>
              <w:jc w:val="center"/>
              <w:rPr>
                <w:sz w:val="20"/>
              </w:rPr>
            </w:pPr>
            <w:r>
              <w:rPr>
                <w:spacing w:val="-4"/>
                <w:sz w:val="20"/>
              </w:rPr>
              <w:t>32.8</w:t>
            </w:r>
          </w:p>
        </w:tc>
        <w:tc>
          <w:tcPr>
            <w:tcW w:w="691" w:type="dxa"/>
          </w:tcPr>
          <w:p>
            <w:pPr>
              <w:pStyle w:val="TableParagraph"/>
              <w:spacing w:line="210" w:lineRule="exact"/>
              <w:ind w:left="22" w:right="13"/>
              <w:jc w:val="center"/>
              <w:rPr>
                <w:sz w:val="20"/>
              </w:rPr>
            </w:pPr>
            <w:r>
              <w:rPr>
                <w:spacing w:val="-5"/>
                <w:sz w:val="20"/>
              </w:rPr>
              <w:t>100</w:t>
            </w:r>
          </w:p>
        </w:tc>
        <w:tc>
          <w:tcPr>
            <w:tcW w:w="708" w:type="dxa"/>
          </w:tcPr>
          <w:p>
            <w:pPr>
              <w:pStyle w:val="TableParagraph"/>
              <w:spacing w:line="210" w:lineRule="exact"/>
              <w:ind w:left="59"/>
              <w:jc w:val="center"/>
              <w:rPr>
                <w:sz w:val="20"/>
              </w:rPr>
            </w:pPr>
            <w:r>
              <w:rPr>
                <w:spacing w:val="-4"/>
                <w:sz w:val="20"/>
              </w:rPr>
              <w:t>42.6</w:t>
            </w:r>
          </w:p>
        </w:tc>
        <w:tc>
          <w:tcPr>
            <w:tcW w:w="756" w:type="dxa"/>
          </w:tcPr>
          <w:p>
            <w:pPr>
              <w:pStyle w:val="TableParagraph"/>
              <w:spacing w:line="210" w:lineRule="exact"/>
              <w:ind w:left="142"/>
              <w:rPr>
                <w:sz w:val="20"/>
              </w:rPr>
            </w:pPr>
            <w:r>
              <w:rPr>
                <w:spacing w:val="-5"/>
                <w:sz w:val="20"/>
              </w:rPr>
              <w:t>37</w:t>
            </w:r>
          </w:p>
        </w:tc>
        <w:tc>
          <w:tcPr>
            <w:tcW w:w="905" w:type="dxa"/>
          </w:tcPr>
          <w:p>
            <w:pPr>
              <w:pStyle w:val="TableParagraph"/>
              <w:spacing w:line="210" w:lineRule="exact"/>
              <w:ind w:left="16"/>
              <w:jc w:val="center"/>
              <w:rPr>
                <w:sz w:val="20"/>
              </w:rPr>
            </w:pPr>
            <w:r>
              <w:rPr>
                <w:spacing w:val="-4"/>
                <w:sz w:val="20"/>
              </w:rPr>
              <w:t>15.7</w:t>
            </w:r>
          </w:p>
        </w:tc>
        <w:tc>
          <w:tcPr>
            <w:tcW w:w="687" w:type="dxa"/>
          </w:tcPr>
          <w:p>
            <w:pPr>
              <w:pStyle w:val="TableParagraph"/>
              <w:spacing w:line="210" w:lineRule="exact"/>
              <w:ind w:left="109" w:right="48"/>
              <w:jc w:val="center"/>
              <w:rPr>
                <w:sz w:val="20"/>
              </w:rPr>
            </w:pPr>
            <w:r>
              <w:rPr>
                <w:spacing w:val="-5"/>
                <w:sz w:val="20"/>
              </w:rPr>
              <w:t>17</w:t>
            </w:r>
          </w:p>
        </w:tc>
        <w:tc>
          <w:tcPr>
            <w:tcW w:w="800" w:type="dxa"/>
          </w:tcPr>
          <w:p>
            <w:pPr>
              <w:pStyle w:val="TableParagraph"/>
              <w:spacing w:line="210" w:lineRule="exact"/>
              <w:ind w:left="18" w:right="5"/>
              <w:jc w:val="center"/>
              <w:rPr>
                <w:sz w:val="20"/>
              </w:rPr>
            </w:pPr>
            <w:r>
              <w:rPr>
                <w:spacing w:val="-5"/>
                <w:sz w:val="20"/>
              </w:rPr>
              <w:t>7.2</w:t>
            </w:r>
          </w:p>
        </w:tc>
        <w:tc>
          <w:tcPr>
            <w:tcW w:w="627" w:type="dxa"/>
          </w:tcPr>
          <w:p>
            <w:pPr>
              <w:pStyle w:val="TableParagraph"/>
              <w:spacing w:line="210" w:lineRule="exact"/>
              <w:ind w:left="23" w:right="11"/>
              <w:jc w:val="center"/>
              <w:rPr>
                <w:sz w:val="20"/>
              </w:rPr>
            </w:pPr>
            <w:r>
              <w:rPr>
                <w:spacing w:val="-10"/>
                <w:sz w:val="20"/>
              </w:rPr>
              <w:t>4</w:t>
            </w:r>
          </w:p>
        </w:tc>
        <w:tc>
          <w:tcPr>
            <w:tcW w:w="730" w:type="dxa"/>
          </w:tcPr>
          <w:p>
            <w:pPr>
              <w:pStyle w:val="TableParagraph"/>
              <w:spacing w:line="210" w:lineRule="exact"/>
              <w:ind w:left="76" w:right="5"/>
              <w:jc w:val="center"/>
              <w:rPr>
                <w:sz w:val="20"/>
              </w:rPr>
            </w:pPr>
            <w:r>
              <w:rPr>
                <w:spacing w:val="-5"/>
                <w:sz w:val="20"/>
              </w:rPr>
              <w:t>1.7</w:t>
            </w:r>
          </w:p>
        </w:tc>
        <w:tc>
          <w:tcPr>
            <w:tcW w:w="732" w:type="dxa"/>
          </w:tcPr>
          <w:p>
            <w:pPr>
              <w:pStyle w:val="TableParagraph"/>
              <w:spacing w:line="210" w:lineRule="exact"/>
              <w:ind w:right="174"/>
              <w:jc w:val="right"/>
              <w:rPr>
                <w:sz w:val="20"/>
              </w:rPr>
            </w:pPr>
            <w:r>
              <w:rPr>
                <w:spacing w:val="-5"/>
                <w:sz w:val="20"/>
              </w:rPr>
              <w:t>235</w:t>
            </w:r>
          </w:p>
        </w:tc>
        <w:tc>
          <w:tcPr>
            <w:tcW w:w="733" w:type="dxa"/>
            <w:tcBorders>
              <w:right w:val="single" w:sz="4" w:space="0" w:color="000000"/>
            </w:tcBorders>
          </w:tcPr>
          <w:p>
            <w:pPr>
              <w:pStyle w:val="TableParagraph"/>
              <w:spacing w:line="210" w:lineRule="exact"/>
              <w:ind w:left="34"/>
              <w:jc w:val="center"/>
              <w:rPr>
                <w:sz w:val="20"/>
              </w:rPr>
            </w:pPr>
            <w:r>
              <w:rPr>
                <w:spacing w:val="-4"/>
                <w:sz w:val="20"/>
              </w:rPr>
              <w:t>50.8</w:t>
            </w:r>
          </w:p>
        </w:tc>
      </w:tr>
      <w:tr>
        <w:trPr>
          <w:trHeight w:val="688" w:hRule="atLeast"/>
        </w:trPr>
        <w:tc>
          <w:tcPr>
            <w:tcW w:w="4145" w:type="dxa"/>
            <w:tcBorders>
              <w:left w:val="single" w:sz="4" w:space="0" w:color="000000"/>
            </w:tcBorders>
          </w:tcPr>
          <w:p>
            <w:pPr>
              <w:pStyle w:val="TableParagraph"/>
              <w:spacing w:line="230" w:lineRule="exact"/>
              <w:ind w:left="830" w:right="103"/>
              <w:jc w:val="both"/>
              <w:rPr>
                <w:sz w:val="20"/>
              </w:rPr>
            </w:pPr>
            <w:r>
              <w:rPr>
                <w:sz w:val="20"/>
              </w:rPr>
              <w:t>talks, co-ordination of interviews, recruitments by oil companies and various</w:t>
            </w:r>
            <w:r>
              <w:rPr>
                <w:spacing w:val="74"/>
                <w:sz w:val="20"/>
              </w:rPr>
              <w:t> </w:t>
            </w:r>
            <w:r>
              <w:rPr>
                <w:sz w:val="20"/>
              </w:rPr>
              <w:t>private</w:t>
            </w:r>
            <w:r>
              <w:rPr>
                <w:spacing w:val="78"/>
                <w:sz w:val="20"/>
              </w:rPr>
              <w:t> </w:t>
            </w:r>
            <w:r>
              <w:rPr>
                <w:sz w:val="20"/>
              </w:rPr>
              <w:t>and</w:t>
            </w:r>
            <w:r>
              <w:rPr>
                <w:spacing w:val="78"/>
                <w:sz w:val="20"/>
              </w:rPr>
              <w:t> </w:t>
            </w:r>
            <w:r>
              <w:rPr>
                <w:spacing w:val="-2"/>
                <w:sz w:val="20"/>
              </w:rPr>
              <w:t>governmental</w:t>
            </w:r>
          </w:p>
        </w:tc>
        <w:tc>
          <w:tcPr>
            <w:tcW w:w="1974" w:type="dxa"/>
          </w:tcPr>
          <w:p>
            <w:pPr>
              <w:pStyle w:val="TableParagraph"/>
              <w:spacing w:before="45"/>
              <w:ind w:left="107"/>
              <w:rPr>
                <w:sz w:val="20"/>
              </w:rPr>
            </w:pPr>
            <w:r>
              <w:rPr>
                <w:sz w:val="20"/>
              </w:rPr>
              <w:t>Service</w:t>
            </w:r>
            <w:r>
              <w:rPr>
                <w:spacing w:val="-9"/>
                <w:sz w:val="20"/>
              </w:rPr>
              <w:t> </w:t>
            </w:r>
            <w:r>
              <w:rPr>
                <w:spacing w:val="-2"/>
                <w:sz w:val="20"/>
              </w:rPr>
              <w:t>Staff</w:t>
            </w:r>
          </w:p>
          <w:p>
            <w:pPr>
              <w:pStyle w:val="TableParagraph"/>
              <w:spacing w:before="1"/>
              <w:ind w:left="107"/>
              <w:rPr>
                <w:sz w:val="20"/>
              </w:rPr>
            </w:pPr>
            <w:r>
              <w:rPr>
                <w:sz w:val="20"/>
              </w:rPr>
              <w:t>Top</w:t>
            </w:r>
            <w:r>
              <w:rPr>
                <w:spacing w:val="-1"/>
                <w:sz w:val="20"/>
              </w:rPr>
              <w:t> </w:t>
            </w:r>
            <w:r>
              <w:rPr>
                <w:spacing w:val="-2"/>
                <w:sz w:val="20"/>
              </w:rPr>
              <w:t>Management</w:t>
            </w:r>
          </w:p>
        </w:tc>
        <w:tc>
          <w:tcPr>
            <w:tcW w:w="543" w:type="dxa"/>
          </w:tcPr>
          <w:p>
            <w:pPr>
              <w:pStyle w:val="TableParagraph"/>
              <w:spacing w:before="45"/>
              <w:ind w:left="12" w:right="4"/>
              <w:jc w:val="center"/>
              <w:rPr>
                <w:sz w:val="20"/>
              </w:rPr>
            </w:pPr>
            <w:r>
              <w:rPr>
                <w:spacing w:val="-5"/>
                <w:sz w:val="20"/>
              </w:rPr>
              <w:t>57</w:t>
            </w:r>
          </w:p>
          <w:p>
            <w:pPr>
              <w:pStyle w:val="TableParagraph"/>
              <w:spacing w:before="1"/>
              <w:ind w:left="12"/>
              <w:jc w:val="center"/>
              <w:rPr>
                <w:sz w:val="20"/>
              </w:rPr>
            </w:pPr>
            <w:r>
              <w:rPr>
                <w:spacing w:val="-10"/>
                <w:sz w:val="20"/>
              </w:rPr>
              <w:t>5</w:t>
            </w:r>
          </w:p>
        </w:tc>
        <w:tc>
          <w:tcPr>
            <w:tcW w:w="729" w:type="dxa"/>
          </w:tcPr>
          <w:p>
            <w:pPr>
              <w:pStyle w:val="TableParagraph"/>
              <w:spacing w:before="45"/>
              <w:ind w:left="168"/>
              <w:rPr>
                <w:sz w:val="20"/>
              </w:rPr>
            </w:pPr>
            <w:r>
              <w:rPr>
                <w:spacing w:val="-4"/>
                <w:sz w:val="20"/>
              </w:rPr>
              <w:t>28.1</w:t>
            </w:r>
          </w:p>
          <w:p>
            <w:pPr>
              <w:pStyle w:val="TableParagraph"/>
              <w:spacing w:before="1"/>
              <w:ind w:left="168"/>
              <w:rPr>
                <w:sz w:val="20"/>
              </w:rPr>
            </w:pPr>
            <w:r>
              <w:rPr>
                <w:spacing w:val="-4"/>
                <w:sz w:val="20"/>
              </w:rPr>
              <w:t>21.7</w:t>
            </w:r>
          </w:p>
        </w:tc>
        <w:tc>
          <w:tcPr>
            <w:tcW w:w="691" w:type="dxa"/>
          </w:tcPr>
          <w:p>
            <w:pPr>
              <w:pStyle w:val="TableParagraph"/>
              <w:spacing w:before="45"/>
              <w:ind w:left="183"/>
              <w:rPr>
                <w:sz w:val="20"/>
              </w:rPr>
            </w:pPr>
            <w:r>
              <w:rPr>
                <w:spacing w:val="-5"/>
                <w:sz w:val="20"/>
              </w:rPr>
              <w:t>102</w:t>
            </w:r>
          </w:p>
          <w:p>
            <w:pPr>
              <w:pStyle w:val="TableParagraph"/>
              <w:spacing w:before="1"/>
              <w:ind w:left="241"/>
              <w:rPr>
                <w:sz w:val="20"/>
              </w:rPr>
            </w:pPr>
            <w:r>
              <w:rPr>
                <w:spacing w:val="-5"/>
                <w:sz w:val="20"/>
              </w:rPr>
              <w:t>14</w:t>
            </w:r>
          </w:p>
        </w:tc>
        <w:tc>
          <w:tcPr>
            <w:tcW w:w="708" w:type="dxa"/>
          </w:tcPr>
          <w:p>
            <w:pPr>
              <w:pStyle w:val="TableParagraph"/>
              <w:spacing w:before="45"/>
              <w:ind w:left="188"/>
              <w:rPr>
                <w:sz w:val="20"/>
              </w:rPr>
            </w:pPr>
            <w:r>
              <w:rPr>
                <w:spacing w:val="-4"/>
                <w:sz w:val="20"/>
              </w:rPr>
              <w:t>50.2</w:t>
            </w:r>
          </w:p>
          <w:p>
            <w:pPr>
              <w:pStyle w:val="TableParagraph"/>
              <w:spacing w:before="1"/>
              <w:ind w:left="188"/>
              <w:rPr>
                <w:sz w:val="20"/>
              </w:rPr>
            </w:pPr>
            <w:r>
              <w:rPr>
                <w:spacing w:val="-4"/>
                <w:sz w:val="20"/>
              </w:rPr>
              <w:t>60.9</w:t>
            </w:r>
          </w:p>
        </w:tc>
        <w:tc>
          <w:tcPr>
            <w:tcW w:w="756" w:type="dxa"/>
          </w:tcPr>
          <w:p>
            <w:pPr>
              <w:pStyle w:val="TableParagraph"/>
              <w:spacing w:before="45"/>
              <w:ind w:left="35" w:right="5"/>
              <w:jc w:val="center"/>
              <w:rPr>
                <w:sz w:val="20"/>
              </w:rPr>
            </w:pPr>
            <w:r>
              <w:rPr>
                <w:spacing w:val="-5"/>
                <w:sz w:val="20"/>
              </w:rPr>
              <w:t>28</w:t>
            </w:r>
          </w:p>
          <w:p>
            <w:pPr>
              <w:pStyle w:val="TableParagraph"/>
              <w:spacing w:before="1"/>
              <w:ind w:left="35"/>
              <w:jc w:val="center"/>
              <w:rPr>
                <w:sz w:val="20"/>
              </w:rPr>
            </w:pPr>
            <w:r>
              <w:rPr>
                <w:spacing w:val="-10"/>
                <w:sz w:val="20"/>
              </w:rPr>
              <w:t>3</w:t>
            </w:r>
          </w:p>
        </w:tc>
        <w:tc>
          <w:tcPr>
            <w:tcW w:w="905" w:type="dxa"/>
          </w:tcPr>
          <w:p>
            <w:pPr>
              <w:pStyle w:val="TableParagraph"/>
              <w:spacing w:before="45"/>
              <w:ind w:left="265"/>
              <w:rPr>
                <w:sz w:val="20"/>
              </w:rPr>
            </w:pPr>
            <w:r>
              <w:rPr>
                <w:spacing w:val="-4"/>
                <w:sz w:val="20"/>
              </w:rPr>
              <w:t>13.8</w:t>
            </w:r>
          </w:p>
          <w:p>
            <w:pPr>
              <w:pStyle w:val="TableParagraph"/>
              <w:spacing w:before="1"/>
              <w:ind w:left="265"/>
              <w:rPr>
                <w:sz w:val="20"/>
              </w:rPr>
            </w:pPr>
            <w:r>
              <w:rPr>
                <w:spacing w:val="-4"/>
                <w:sz w:val="20"/>
              </w:rPr>
              <w:t>13.0</w:t>
            </w:r>
          </w:p>
        </w:tc>
        <w:tc>
          <w:tcPr>
            <w:tcW w:w="687" w:type="dxa"/>
          </w:tcPr>
          <w:p>
            <w:pPr>
              <w:pStyle w:val="TableParagraph"/>
              <w:spacing w:before="45"/>
              <w:ind w:left="109" w:right="48"/>
              <w:jc w:val="center"/>
              <w:rPr>
                <w:sz w:val="20"/>
              </w:rPr>
            </w:pPr>
            <w:r>
              <w:rPr>
                <w:spacing w:val="-5"/>
                <w:sz w:val="20"/>
              </w:rPr>
              <w:t>11</w:t>
            </w:r>
          </w:p>
          <w:p>
            <w:pPr>
              <w:pStyle w:val="TableParagraph"/>
              <w:spacing w:before="1"/>
              <w:ind w:left="113" w:right="48"/>
              <w:jc w:val="center"/>
              <w:rPr>
                <w:sz w:val="20"/>
              </w:rPr>
            </w:pPr>
            <w:r>
              <w:rPr>
                <w:spacing w:val="-10"/>
                <w:sz w:val="20"/>
              </w:rPr>
              <w:t>1</w:t>
            </w:r>
          </w:p>
        </w:tc>
        <w:tc>
          <w:tcPr>
            <w:tcW w:w="800" w:type="dxa"/>
          </w:tcPr>
          <w:p>
            <w:pPr>
              <w:pStyle w:val="TableParagraph"/>
              <w:spacing w:before="45"/>
              <w:ind w:left="266"/>
              <w:rPr>
                <w:sz w:val="20"/>
              </w:rPr>
            </w:pPr>
            <w:r>
              <w:rPr>
                <w:spacing w:val="-5"/>
                <w:sz w:val="20"/>
              </w:rPr>
              <w:t>5.4</w:t>
            </w:r>
          </w:p>
          <w:p>
            <w:pPr>
              <w:pStyle w:val="TableParagraph"/>
              <w:spacing w:before="1"/>
              <w:ind w:left="266"/>
              <w:rPr>
                <w:sz w:val="20"/>
              </w:rPr>
            </w:pPr>
            <w:r>
              <w:rPr>
                <w:spacing w:val="-5"/>
                <w:sz w:val="20"/>
              </w:rPr>
              <w:t>4.3</w:t>
            </w:r>
          </w:p>
        </w:tc>
        <w:tc>
          <w:tcPr>
            <w:tcW w:w="627" w:type="dxa"/>
          </w:tcPr>
          <w:p>
            <w:pPr>
              <w:pStyle w:val="TableParagraph"/>
              <w:spacing w:before="45"/>
              <w:ind w:left="23" w:right="11"/>
              <w:jc w:val="center"/>
              <w:rPr>
                <w:sz w:val="20"/>
              </w:rPr>
            </w:pPr>
            <w:r>
              <w:rPr>
                <w:spacing w:val="-10"/>
                <w:sz w:val="20"/>
              </w:rPr>
              <w:t>5</w:t>
            </w:r>
          </w:p>
          <w:p>
            <w:pPr>
              <w:pStyle w:val="TableParagraph"/>
              <w:spacing w:before="1"/>
              <w:ind w:left="23" w:right="18"/>
              <w:jc w:val="center"/>
              <w:rPr>
                <w:sz w:val="20"/>
              </w:rPr>
            </w:pPr>
            <w:r>
              <w:rPr>
                <w:spacing w:val="-10"/>
                <w:sz w:val="20"/>
              </w:rPr>
              <w:t>-</w:t>
            </w:r>
          </w:p>
        </w:tc>
        <w:tc>
          <w:tcPr>
            <w:tcW w:w="730" w:type="dxa"/>
          </w:tcPr>
          <w:p>
            <w:pPr>
              <w:pStyle w:val="TableParagraph"/>
              <w:spacing w:before="45"/>
              <w:ind w:left="76" w:right="5"/>
              <w:jc w:val="center"/>
              <w:rPr>
                <w:sz w:val="20"/>
              </w:rPr>
            </w:pPr>
            <w:r>
              <w:rPr>
                <w:spacing w:val="-5"/>
                <w:sz w:val="20"/>
              </w:rPr>
              <w:t>2.5</w:t>
            </w:r>
          </w:p>
          <w:p>
            <w:pPr>
              <w:pStyle w:val="TableParagraph"/>
              <w:spacing w:before="1"/>
              <w:ind w:left="76" w:right="7"/>
              <w:jc w:val="center"/>
              <w:rPr>
                <w:sz w:val="20"/>
              </w:rPr>
            </w:pPr>
            <w:r>
              <w:rPr>
                <w:spacing w:val="-10"/>
                <w:sz w:val="20"/>
              </w:rPr>
              <w:t>-</w:t>
            </w:r>
          </w:p>
        </w:tc>
        <w:tc>
          <w:tcPr>
            <w:tcW w:w="732" w:type="dxa"/>
          </w:tcPr>
          <w:p>
            <w:pPr>
              <w:pStyle w:val="TableParagraph"/>
              <w:spacing w:before="45"/>
              <w:ind w:left="221"/>
              <w:rPr>
                <w:sz w:val="20"/>
              </w:rPr>
            </w:pPr>
            <w:r>
              <w:rPr>
                <w:spacing w:val="-5"/>
                <w:sz w:val="20"/>
              </w:rPr>
              <w:t>203</w:t>
            </w:r>
          </w:p>
          <w:p>
            <w:pPr>
              <w:pStyle w:val="TableParagraph"/>
              <w:spacing w:before="1"/>
              <w:ind w:left="279"/>
              <w:rPr>
                <w:sz w:val="20"/>
              </w:rPr>
            </w:pPr>
            <w:r>
              <w:rPr>
                <w:spacing w:val="-5"/>
                <w:sz w:val="20"/>
              </w:rPr>
              <w:t>23</w:t>
            </w:r>
          </w:p>
        </w:tc>
        <w:tc>
          <w:tcPr>
            <w:tcW w:w="733" w:type="dxa"/>
            <w:tcBorders>
              <w:right w:val="single" w:sz="4" w:space="0" w:color="000000"/>
            </w:tcBorders>
          </w:tcPr>
          <w:p>
            <w:pPr>
              <w:pStyle w:val="TableParagraph"/>
              <w:spacing w:before="45"/>
              <w:ind w:left="185"/>
              <w:rPr>
                <w:sz w:val="20"/>
              </w:rPr>
            </w:pPr>
            <w:r>
              <w:rPr>
                <w:spacing w:val="-4"/>
                <w:sz w:val="20"/>
              </w:rPr>
              <w:t>43.8</w:t>
            </w:r>
          </w:p>
          <w:p>
            <w:pPr>
              <w:pStyle w:val="TableParagraph"/>
              <w:spacing w:before="1"/>
              <w:ind w:left="238"/>
              <w:rPr>
                <w:sz w:val="20"/>
              </w:rPr>
            </w:pPr>
            <w:r>
              <w:rPr>
                <w:spacing w:val="-5"/>
                <w:sz w:val="20"/>
              </w:rPr>
              <w:t>5.0</w:t>
            </w:r>
          </w:p>
        </w:tc>
      </w:tr>
      <w:tr>
        <w:trPr>
          <w:trHeight w:val="226" w:hRule="atLeast"/>
        </w:trPr>
        <w:tc>
          <w:tcPr>
            <w:tcW w:w="4145" w:type="dxa"/>
            <w:tcBorders>
              <w:left w:val="single" w:sz="4" w:space="0" w:color="000000"/>
            </w:tcBorders>
          </w:tcPr>
          <w:p>
            <w:pPr>
              <w:pStyle w:val="TableParagraph"/>
              <w:spacing w:line="207" w:lineRule="exact"/>
              <w:ind w:right="107"/>
              <w:jc w:val="right"/>
              <w:rPr>
                <w:sz w:val="20"/>
              </w:rPr>
            </w:pPr>
            <w:r>
              <w:rPr>
                <w:sz w:val="20"/>
              </w:rPr>
              <w:t>ministries</w:t>
            </w:r>
            <w:r>
              <w:rPr>
                <w:spacing w:val="-1"/>
                <w:sz w:val="20"/>
              </w:rPr>
              <w:t> </w:t>
            </w:r>
            <w:r>
              <w:rPr>
                <w:sz w:val="20"/>
              </w:rPr>
              <w:t>for</w:t>
            </w:r>
            <w:r>
              <w:rPr>
                <w:spacing w:val="4"/>
                <w:sz w:val="20"/>
              </w:rPr>
              <w:t> </w:t>
            </w:r>
            <w:r>
              <w:rPr>
                <w:sz w:val="20"/>
              </w:rPr>
              <w:t>jobs</w:t>
            </w:r>
            <w:r>
              <w:rPr>
                <w:spacing w:val="-1"/>
                <w:sz w:val="20"/>
              </w:rPr>
              <w:t> </w:t>
            </w:r>
            <w:r>
              <w:rPr>
                <w:sz w:val="20"/>
              </w:rPr>
              <w:t>and</w:t>
            </w:r>
            <w:r>
              <w:rPr>
                <w:spacing w:val="8"/>
                <w:sz w:val="20"/>
              </w:rPr>
              <w:t> </w:t>
            </w:r>
            <w:r>
              <w:rPr>
                <w:spacing w:val="-2"/>
                <w:sz w:val="20"/>
              </w:rPr>
              <w:t>scholarships,</w:t>
            </w:r>
          </w:p>
        </w:tc>
        <w:tc>
          <w:tcPr>
            <w:tcW w:w="1974" w:type="dxa"/>
          </w:tcPr>
          <w:p>
            <w:pPr>
              <w:pStyle w:val="TableParagraph"/>
              <w:rPr>
                <w:rFonts w:ascii="Times New Roman"/>
                <w:sz w:val="16"/>
              </w:rPr>
            </w:pPr>
          </w:p>
        </w:tc>
        <w:tc>
          <w:tcPr>
            <w:tcW w:w="543" w:type="dxa"/>
          </w:tcPr>
          <w:p>
            <w:pPr>
              <w:pStyle w:val="TableParagraph"/>
              <w:rPr>
                <w:rFonts w:ascii="Times New Roman"/>
                <w:sz w:val="16"/>
              </w:rPr>
            </w:pPr>
          </w:p>
        </w:tc>
        <w:tc>
          <w:tcPr>
            <w:tcW w:w="729" w:type="dxa"/>
          </w:tcPr>
          <w:p>
            <w:pPr>
              <w:pStyle w:val="TableParagraph"/>
              <w:rPr>
                <w:rFonts w:ascii="Times New Roman"/>
                <w:sz w:val="16"/>
              </w:rPr>
            </w:pPr>
          </w:p>
        </w:tc>
        <w:tc>
          <w:tcPr>
            <w:tcW w:w="691" w:type="dxa"/>
          </w:tcPr>
          <w:p>
            <w:pPr>
              <w:pStyle w:val="TableParagraph"/>
              <w:rPr>
                <w:rFonts w:ascii="Times New Roman"/>
                <w:sz w:val="16"/>
              </w:rPr>
            </w:pPr>
          </w:p>
        </w:tc>
        <w:tc>
          <w:tcPr>
            <w:tcW w:w="708" w:type="dxa"/>
          </w:tcPr>
          <w:p>
            <w:pPr>
              <w:pStyle w:val="TableParagraph"/>
              <w:rPr>
                <w:rFonts w:ascii="Times New Roman"/>
                <w:sz w:val="16"/>
              </w:rPr>
            </w:pPr>
          </w:p>
        </w:tc>
        <w:tc>
          <w:tcPr>
            <w:tcW w:w="756" w:type="dxa"/>
          </w:tcPr>
          <w:p>
            <w:pPr>
              <w:pStyle w:val="TableParagraph"/>
              <w:rPr>
                <w:rFonts w:ascii="Times New Roman"/>
                <w:sz w:val="16"/>
              </w:rPr>
            </w:pPr>
          </w:p>
        </w:tc>
        <w:tc>
          <w:tcPr>
            <w:tcW w:w="905" w:type="dxa"/>
          </w:tcPr>
          <w:p>
            <w:pPr>
              <w:pStyle w:val="TableParagraph"/>
              <w:rPr>
                <w:rFonts w:ascii="Times New Roman"/>
                <w:sz w:val="16"/>
              </w:rPr>
            </w:pPr>
          </w:p>
        </w:tc>
        <w:tc>
          <w:tcPr>
            <w:tcW w:w="687" w:type="dxa"/>
          </w:tcPr>
          <w:p>
            <w:pPr>
              <w:pStyle w:val="TableParagraph"/>
              <w:rPr>
                <w:rFonts w:ascii="Times New Roman"/>
                <w:sz w:val="16"/>
              </w:rPr>
            </w:pPr>
          </w:p>
        </w:tc>
        <w:tc>
          <w:tcPr>
            <w:tcW w:w="800" w:type="dxa"/>
          </w:tcPr>
          <w:p>
            <w:pPr>
              <w:pStyle w:val="TableParagraph"/>
              <w:rPr>
                <w:rFonts w:ascii="Times New Roman"/>
                <w:sz w:val="16"/>
              </w:rPr>
            </w:pPr>
          </w:p>
        </w:tc>
        <w:tc>
          <w:tcPr>
            <w:tcW w:w="627" w:type="dxa"/>
          </w:tcPr>
          <w:p>
            <w:pPr>
              <w:pStyle w:val="TableParagraph"/>
              <w:rPr>
                <w:rFonts w:ascii="Times New Roman"/>
                <w:sz w:val="16"/>
              </w:rPr>
            </w:pPr>
          </w:p>
        </w:tc>
        <w:tc>
          <w:tcPr>
            <w:tcW w:w="730" w:type="dxa"/>
          </w:tcPr>
          <w:p>
            <w:pPr>
              <w:pStyle w:val="TableParagraph"/>
              <w:rPr>
                <w:rFonts w:ascii="Times New Roman"/>
                <w:sz w:val="16"/>
              </w:rPr>
            </w:pPr>
          </w:p>
        </w:tc>
        <w:tc>
          <w:tcPr>
            <w:tcW w:w="732" w:type="dxa"/>
          </w:tcPr>
          <w:p>
            <w:pPr>
              <w:pStyle w:val="TableParagraph"/>
              <w:rPr>
                <w:rFonts w:ascii="Times New Roman"/>
                <w:sz w:val="16"/>
              </w:rPr>
            </w:pPr>
          </w:p>
        </w:tc>
        <w:tc>
          <w:tcPr>
            <w:tcW w:w="733" w:type="dxa"/>
            <w:tcBorders>
              <w:right w:val="single" w:sz="4" w:space="0" w:color="000000"/>
            </w:tcBorders>
          </w:tcPr>
          <w:p>
            <w:pPr>
              <w:pStyle w:val="TableParagraph"/>
              <w:rPr>
                <w:rFonts w:ascii="Times New Roman"/>
                <w:sz w:val="16"/>
              </w:rPr>
            </w:pPr>
          </w:p>
        </w:tc>
      </w:tr>
      <w:tr>
        <w:trPr>
          <w:trHeight w:val="230" w:hRule="atLeast"/>
        </w:trPr>
        <w:tc>
          <w:tcPr>
            <w:tcW w:w="4145" w:type="dxa"/>
            <w:tcBorders>
              <w:left w:val="single" w:sz="4" w:space="0" w:color="000000"/>
            </w:tcBorders>
          </w:tcPr>
          <w:p>
            <w:pPr>
              <w:pStyle w:val="TableParagraph"/>
              <w:spacing w:line="210" w:lineRule="exact"/>
              <w:ind w:right="99"/>
              <w:jc w:val="right"/>
              <w:rPr>
                <w:sz w:val="20"/>
              </w:rPr>
            </w:pPr>
            <w:r>
              <w:rPr>
                <w:sz w:val="20"/>
              </w:rPr>
              <w:t>are</w:t>
            </w:r>
            <w:r>
              <w:rPr>
                <w:spacing w:val="24"/>
                <w:sz w:val="20"/>
              </w:rPr>
              <w:t> </w:t>
            </w:r>
            <w:r>
              <w:rPr>
                <w:sz w:val="20"/>
              </w:rPr>
              <w:t>some</w:t>
            </w:r>
            <w:r>
              <w:rPr>
                <w:spacing w:val="24"/>
                <w:sz w:val="20"/>
              </w:rPr>
              <w:t> </w:t>
            </w:r>
            <w:r>
              <w:rPr>
                <w:sz w:val="20"/>
              </w:rPr>
              <w:t>of</w:t>
            </w:r>
            <w:r>
              <w:rPr>
                <w:spacing w:val="32"/>
                <w:sz w:val="20"/>
              </w:rPr>
              <w:t> </w:t>
            </w:r>
            <w:r>
              <w:rPr>
                <w:sz w:val="20"/>
              </w:rPr>
              <w:t>the</w:t>
            </w:r>
            <w:r>
              <w:rPr>
                <w:spacing w:val="19"/>
                <w:sz w:val="20"/>
              </w:rPr>
              <w:t> </w:t>
            </w:r>
            <w:r>
              <w:rPr>
                <w:sz w:val="20"/>
              </w:rPr>
              <w:t>indicators</w:t>
            </w:r>
            <w:r>
              <w:rPr>
                <w:spacing w:val="22"/>
                <w:sz w:val="20"/>
              </w:rPr>
              <w:t> </w:t>
            </w:r>
            <w:r>
              <w:rPr>
                <w:sz w:val="20"/>
              </w:rPr>
              <w:t>of</w:t>
            </w:r>
            <w:r>
              <w:rPr>
                <w:spacing w:val="32"/>
                <w:sz w:val="20"/>
              </w:rPr>
              <w:t> </w:t>
            </w:r>
            <w:r>
              <w:rPr>
                <w:spacing w:val="-4"/>
                <w:sz w:val="20"/>
              </w:rPr>
              <w:t>good</w:t>
            </w:r>
          </w:p>
        </w:tc>
        <w:tc>
          <w:tcPr>
            <w:tcW w:w="1974" w:type="dxa"/>
          </w:tcPr>
          <w:p>
            <w:pPr>
              <w:pStyle w:val="TableParagraph"/>
              <w:rPr>
                <w:rFonts w:ascii="Times New Roman"/>
                <w:sz w:val="16"/>
              </w:rPr>
            </w:pPr>
          </w:p>
        </w:tc>
        <w:tc>
          <w:tcPr>
            <w:tcW w:w="543" w:type="dxa"/>
          </w:tcPr>
          <w:p>
            <w:pPr>
              <w:pStyle w:val="TableParagraph"/>
              <w:rPr>
                <w:rFonts w:ascii="Times New Roman"/>
                <w:sz w:val="16"/>
              </w:rPr>
            </w:pPr>
          </w:p>
        </w:tc>
        <w:tc>
          <w:tcPr>
            <w:tcW w:w="729" w:type="dxa"/>
          </w:tcPr>
          <w:p>
            <w:pPr>
              <w:pStyle w:val="TableParagraph"/>
              <w:rPr>
                <w:rFonts w:ascii="Times New Roman"/>
                <w:sz w:val="16"/>
              </w:rPr>
            </w:pPr>
          </w:p>
        </w:tc>
        <w:tc>
          <w:tcPr>
            <w:tcW w:w="691" w:type="dxa"/>
          </w:tcPr>
          <w:p>
            <w:pPr>
              <w:pStyle w:val="TableParagraph"/>
              <w:rPr>
                <w:rFonts w:ascii="Times New Roman"/>
                <w:sz w:val="16"/>
              </w:rPr>
            </w:pPr>
          </w:p>
        </w:tc>
        <w:tc>
          <w:tcPr>
            <w:tcW w:w="708" w:type="dxa"/>
          </w:tcPr>
          <w:p>
            <w:pPr>
              <w:pStyle w:val="TableParagraph"/>
              <w:rPr>
                <w:rFonts w:ascii="Times New Roman"/>
                <w:sz w:val="16"/>
              </w:rPr>
            </w:pPr>
          </w:p>
        </w:tc>
        <w:tc>
          <w:tcPr>
            <w:tcW w:w="756" w:type="dxa"/>
          </w:tcPr>
          <w:p>
            <w:pPr>
              <w:pStyle w:val="TableParagraph"/>
              <w:rPr>
                <w:rFonts w:ascii="Times New Roman"/>
                <w:sz w:val="16"/>
              </w:rPr>
            </w:pPr>
          </w:p>
        </w:tc>
        <w:tc>
          <w:tcPr>
            <w:tcW w:w="905" w:type="dxa"/>
          </w:tcPr>
          <w:p>
            <w:pPr>
              <w:pStyle w:val="TableParagraph"/>
              <w:rPr>
                <w:rFonts w:ascii="Times New Roman"/>
                <w:sz w:val="16"/>
              </w:rPr>
            </w:pPr>
          </w:p>
        </w:tc>
        <w:tc>
          <w:tcPr>
            <w:tcW w:w="687" w:type="dxa"/>
          </w:tcPr>
          <w:p>
            <w:pPr>
              <w:pStyle w:val="TableParagraph"/>
              <w:rPr>
                <w:rFonts w:ascii="Times New Roman"/>
                <w:sz w:val="16"/>
              </w:rPr>
            </w:pPr>
          </w:p>
        </w:tc>
        <w:tc>
          <w:tcPr>
            <w:tcW w:w="800" w:type="dxa"/>
          </w:tcPr>
          <w:p>
            <w:pPr>
              <w:pStyle w:val="TableParagraph"/>
              <w:rPr>
                <w:rFonts w:ascii="Times New Roman"/>
                <w:sz w:val="16"/>
              </w:rPr>
            </w:pPr>
          </w:p>
        </w:tc>
        <w:tc>
          <w:tcPr>
            <w:tcW w:w="627" w:type="dxa"/>
          </w:tcPr>
          <w:p>
            <w:pPr>
              <w:pStyle w:val="TableParagraph"/>
              <w:rPr>
                <w:rFonts w:ascii="Times New Roman"/>
                <w:sz w:val="16"/>
              </w:rPr>
            </w:pPr>
          </w:p>
        </w:tc>
        <w:tc>
          <w:tcPr>
            <w:tcW w:w="730" w:type="dxa"/>
          </w:tcPr>
          <w:p>
            <w:pPr>
              <w:pStyle w:val="TableParagraph"/>
              <w:rPr>
                <w:rFonts w:ascii="Times New Roman"/>
                <w:sz w:val="16"/>
              </w:rPr>
            </w:pPr>
          </w:p>
        </w:tc>
        <w:tc>
          <w:tcPr>
            <w:tcW w:w="732" w:type="dxa"/>
          </w:tcPr>
          <w:p>
            <w:pPr>
              <w:pStyle w:val="TableParagraph"/>
              <w:rPr>
                <w:rFonts w:ascii="Times New Roman"/>
                <w:sz w:val="16"/>
              </w:rPr>
            </w:pPr>
          </w:p>
        </w:tc>
        <w:tc>
          <w:tcPr>
            <w:tcW w:w="733" w:type="dxa"/>
            <w:tcBorders>
              <w:right w:val="single" w:sz="4" w:space="0" w:color="000000"/>
            </w:tcBorders>
          </w:tcPr>
          <w:p>
            <w:pPr>
              <w:pStyle w:val="TableParagraph"/>
              <w:rPr>
                <w:rFonts w:ascii="Times New Roman"/>
                <w:sz w:val="16"/>
              </w:rPr>
            </w:pPr>
          </w:p>
        </w:tc>
      </w:tr>
      <w:tr>
        <w:trPr>
          <w:trHeight w:val="230" w:hRule="atLeast"/>
        </w:trPr>
        <w:tc>
          <w:tcPr>
            <w:tcW w:w="4145" w:type="dxa"/>
            <w:tcBorders>
              <w:left w:val="single" w:sz="4" w:space="0" w:color="000000"/>
            </w:tcBorders>
          </w:tcPr>
          <w:p>
            <w:pPr>
              <w:pStyle w:val="TableParagraph"/>
              <w:tabs>
                <w:tab w:pos="945" w:val="left" w:leader="none"/>
                <w:tab w:pos="1973" w:val="left" w:leader="none"/>
                <w:tab w:pos="3038" w:val="left" w:leader="none"/>
              </w:tabs>
              <w:spacing w:line="210" w:lineRule="exact"/>
              <w:ind w:right="99"/>
              <w:jc w:val="right"/>
              <w:rPr>
                <w:sz w:val="20"/>
              </w:rPr>
            </w:pPr>
            <w:r>
              <w:rPr>
                <w:spacing w:val="-2"/>
                <w:sz w:val="20"/>
              </w:rPr>
              <w:t>welfare</w:t>
            </w:r>
            <w:r>
              <w:rPr>
                <w:sz w:val="20"/>
              </w:rPr>
              <w:tab/>
            </w:r>
            <w:r>
              <w:rPr>
                <w:spacing w:val="-2"/>
                <w:sz w:val="20"/>
              </w:rPr>
              <w:t>services</w:t>
            </w:r>
            <w:r>
              <w:rPr>
                <w:sz w:val="20"/>
              </w:rPr>
              <w:tab/>
            </w:r>
            <w:r>
              <w:rPr>
                <w:spacing w:val="-2"/>
                <w:sz w:val="20"/>
              </w:rPr>
              <w:t>provided</w:t>
            </w:r>
            <w:r>
              <w:rPr>
                <w:sz w:val="20"/>
              </w:rPr>
              <w:tab/>
            </w:r>
            <w:r>
              <w:rPr>
                <w:spacing w:val="-5"/>
                <w:sz w:val="20"/>
              </w:rPr>
              <w:t>to</w:t>
            </w:r>
          </w:p>
        </w:tc>
        <w:tc>
          <w:tcPr>
            <w:tcW w:w="1974" w:type="dxa"/>
          </w:tcPr>
          <w:p>
            <w:pPr>
              <w:pStyle w:val="TableParagraph"/>
              <w:rPr>
                <w:rFonts w:ascii="Times New Roman"/>
                <w:sz w:val="16"/>
              </w:rPr>
            </w:pPr>
          </w:p>
        </w:tc>
        <w:tc>
          <w:tcPr>
            <w:tcW w:w="543" w:type="dxa"/>
          </w:tcPr>
          <w:p>
            <w:pPr>
              <w:pStyle w:val="TableParagraph"/>
              <w:rPr>
                <w:rFonts w:ascii="Times New Roman"/>
                <w:sz w:val="16"/>
              </w:rPr>
            </w:pPr>
          </w:p>
        </w:tc>
        <w:tc>
          <w:tcPr>
            <w:tcW w:w="729" w:type="dxa"/>
          </w:tcPr>
          <w:p>
            <w:pPr>
              <w:pStyle w:val="TableParagraph"/>
              <w:rPr>
                <w:rFonts w:ascii="Times New Roman"/>
                <w:sz w:val="16"/>
              </w:rPr>
            </w:pPr>
          </w:p>
        </w:tc>
        <w:tc>
          <w:tcPr>
            <w:tcW w:w="691" w:type="dxa"/>
          </w:tcPr>
          <w:p>
            <w:pPr>
              <w:pStyle w:val="TableParagraph"/>
              <w:rPr>
                <w:rFonts w:ascii="Times New Roman"/>
                <w:sz w:val="16"/>
              </w:rPr>
            </w:pPr>
          </w:p>
        </w:tc>
        <w:tc>
          <w:tcPr>
            <w:tcW w:w="708" w:type="dxa"/>
          </w:tcPr>
          <w:p>
            <w:pPr>
              <w:pStyle w:val="TableParagraph"/>
              <w:rPr>
                <w:rFonts w:ascii="Times New Roman"/>
                <w:sz w:val="16"/>
              </w:rPr>
            </w:pPr>
          </w:p>
        </w:tc>
        <w:tc>
          <w:tcPr>
            <w:tcW w:w="756" w:type="dxa"/>
          </w:tcPr>
          <w:p>
            <w:pPr>
              <w:pStyle w:val="TableParagraph"/>
              <w:rPr>
                <w:rFonts w:ascii="Times New Roman"/>
                <w:sz w:val="16"/>
              </w:rPr>
            </w:pPr>
          </w:p>
        </w:tc>
        <w:tc>
          <w:tcPr>
            <w:tcW w:w="905" w:type="dxa"/>
          </w:tcPr>
          <w:p>
            <w:pPr>
              <w:pStyle w:val="TableParagraph"/>
              <w:rPr>
                <w:rFonts w:ascii="Times New Roman"/>
                <w:sz w:val="16"/>
              </w:rPr>
            </w:pPr>
          </w:p>
        </w:tc>
        <w:tc>
          <w:tcPr>
            <w:tcW w:w="687" w:type="dxa"/>
          </w:tcPr>
          <w:p>
            <w:pPr>
              <w:pStyle w:val="TableParagraph"/>
              <w:rPr>
                <w:rFonts w:ascii="Times New Roman"/>
                <w:sz w:val="16"/>
              </w:rPr>
            </w:pPr>
          </w:p>
        </w:tc>
        <w:tc>
          <w:tcPr>
            <w:tcW w:w="800" w:type="dxa"/>
          </w:tcPr>
          <w:p>
            <w:pPr>
              <w:pStyle w:val="TableParagraph"/>
              <w:rPr>
                <w:rFonts w:ascii="Times New Roman"/>
                <w:sz w:val="16"/>
              </w:rPr>
            </w:pPr>
          </w:p>
        </w:tc>
        <w:tc>
          <w:tcPr>
            <w:tcW w:w="627" w:type="dxa"/>
          </w:tcPr>
          <w:p>
            <w:pPr>
              <w:pStyle w:val="TableParagraph"/>
              <w:rPr>
                <w:rFonts w:ascii="Times New Roman"/>
                <w:sz w:val="16"/>
              </w:rPr>
            </w:pPr>
          </w:p>
        </w:tc>
        <w:tc>
          <w:tcPr>
            <w:tcW w:w="730" w:type="dxa"/>
          </w:tcPr>
          <w:p>
            <w:pPr>
              <w:pStyle w:val="TableParagraph"/>
              <w:rPr>
                <w:rFonts w:ascii="Times New Roman"/>
                <w:sz w:val="16"/>
              </w:rPr>
            </w:pPr>
          </w:p>
        </w:tc>
        <w:tc>
          <w:tcPr>
            <w:tcW w:w="732" w:type="dxa"/>
          </w:tcPr>
          <w:p>
            <w:pPr>
              <w:pStyle w:val="TableParagraph"/>
              <w:rPr>
                <w:rFonts w:ascii="Times New Roman"/>
                <w:sz w:val="16"/>
              </w:rPr>
            </w:pPr>
          </w:p>
        </w:tc>
        <w:tc>
          <w:tcPr>
            <w:tcW w:w="733" w:type="dxa"/>
            <w:tcBorders>
              <w:right w:val="single" w:sz="4" w:space="0" w:color="000000"/>
            </w:tcBorders>
          </w:tcPr>
          <w:p>
            <w:pPr>
              <w:pStyle w:val="TableParagraph"/>
              <w:rPr>
                <w:rFonts w:ascii="Times New Roman"/>
                <w:sz w:val="16"/>
              </w:rPr>
            </w:pPr>
          </w:p>
        </w:tc>
      </w:tr>
      <w:tr>
        <w:trPr>
          <w:trHeight w:val="230" w:hRule="atLeast"/>
        </w:trPr>
        <w:tc>
          <w:tcPr>
            <w:tcW w:w="4145" w:type="dxa"/>
            <w:tcBorders>
              <w:left w:val="single" w:sz="4" w:space="0" w:color="000000"/>
            </w:tcBorders>
          </w:tcPr>
          <w:p>
            <w:pPr>
              <w:pStyle w:val="TableParagraph"/>
              <w:spacing w:line="210" w:lineRule="exact"/>
              <w:ind w:left="830"/>
              <w:rPr>
                <w:sz w:val="20"/>
              </w:rPr>
            </w:pPr>
            <w:r>
              <w:rPr>
                <w:spacing w:val="-2"/>
                <w:sz w:val="20"/>
              </w:rPr>
              <w:t>students.</w:t>
            </w:r>
          </w:p>
        </w:tc>
        <w:tc>
          <w:tcPr>
            <w:tcW w:w="1974" w:type="dxa"/>
          </w:tcPr>
          <w:p>
            <w:pPr>
              <w:pStyle w:val="TableParagraph"/>
              <w:rPr>
                <w:rFonts w:ascii="Times New Roman"/>
                <w:sz w:val="16"/>
              </w:rPr>
            </w:pPr>
          </w:p>
        </w:tc>
        <w:tc>
          <w:tcPr>
            <w:tcW w:w="543" w:type="dxa"/>
          </w:tcPr>
          <w:p>
            <w:pPr>
              <w:pStyle w:val="TableParagraph"/>
              <w:rPr>
                <w:rFonts w:ascii="Times New Roman"/>
                <w:sz w:val="16"/>
              </w:rPr>
            </w:pPr>
          </w:p>
        </w:tc>
        <w:tc>
          <w:tcPr>
            <w:tcW w:w="729" w:type="dxa"/>
          </w:tcPr>
          <w:p>
            <w:pPr>
              <w:pStyle w:val="TableParagraph"/>
              <w:rPr>
                <w:rFonts w:ascii="Times New Roman"/>
                <w:sz w:val="16"/>
              </w:rPr>
            </w:pPr>
          </w:p>
        </w:tc>
        <w:tc>
          <w:tcPr>
            <w:tcW w:w="691" w:type="dxa"/>
          </w:tcPr>
          <w:p>
            <w:pPr>
              <w:pStyle w:val="TableParagraph"/>
              <w:rPr>
                <w:rFonts w:ascii="Times New Roman"/>
                <w:sz w:val="16"/>
              </w:rPr>
            </w:pPr>
          </w:p>
        </w:tc>
        <w:tc>
          <w:tcPr>
            <w:tcW w:w="708" w:type="dxa"/>
          </w:tcPr>
          <w:p>
            <w:pPr>
              <w:pStyle w:val="TableParagraph"/>
              <w:rPr>
                <w:rFonts w:ascii="Times New Roman"/>
                <w:sz w:val="16"/>
              </w:rPr>
            </w:pPr>
          </w:p>
        </w:tc>
        <w:tc>
          <w:tcPr>
            <w:tcW w:w="756" w:type="dxa"/>
          </w:tcPr>
          <w:p>
            <w:pPr>
              <w:pStyle w:val="TableParagraph"/>
              <w:rPr>
                <w:rFonts w:ascii="Times New Roman"/>
                <w:sz w:val="16"/>
              </w:rPr>
            </w:pPr>
          </w:p>
        </w:tc>
        <w:tc>
          <w:tcPr>
            <w:tcW w:w="905" w:type="dxa"/>
          </w:tcPr>
          <w:p>
            <w:pPr>
              <w:pStyle w:val="TableParagraph"/>
              <w:rPr>
                <w:rFonts w:ascii="Times New Roman"/>
                <w:sz w:val="16"/>
              </w:rPr>
            </w:pPr>
          </w:p>
        </w:tc>
        <w:tc>
          <w:tcPr>
            <w:tcW w:w="687" w:type="dxa"/>
          </w:tcPr>
          <w:p>
            <w:pPr>
              <w:pStyle w:val="TableParagraph"/>
              <w:rPr>
                <w:rFonts w:ascii="Times New Roman"/>
                <w:sz w:val="16"/>
              </w:rPr>
            </w:pPr>
          </w:p>
        </w:tc>
        <w:tc>
          <w:tcPr>
            <w:tcW w:w="800" w:type="dxa"/>
          </w:tcPr>
          <w:p>
            <w:pPr>
              <w:pStyle w:val="TableParagraph"/>
              <w:rPr>
                <w:rFonts w:ascii="Times New Roman"/>
                <w:sz w:val="16"/>
              </w:rPr>
            </w:pPr>
          </w:p>
        </w:tc>
        <w:tc>
          <w:tcPr>
            <w:tcW w:w="627" w:type="dxa"/>
          </w:tcPr>
          <w:p>
            <w:pPr>
              <w:pStyle w:val="TableParagraph"/>
              <w:rPr>
                <w:rFonts w:ascii="Times New Roman"/>
                <w:sz w:val="16"/>
              </w:rPr>
            </w:pPr>
          </w:p>
        </w:tc>
        <w:tc>
          <w:tcPr>
            <w:tcW w:w="730" w:type="dxa"/>
          </w:tcPr>
          <w:p>
            <w:pPr>
              <w:pStyle w:val="TableParagraph"/>
              <w:rPr>
                <w:rFonts w:ascii="Times New Roman"/>
                <w:sz w:val="16"/>
              </w:rPr>
            </w:pPr>
          </w:p>
        </w:tc>
        <w:tc>
          <w:tcPr>
            <w:tcW w:w="732" w:type="dxa"/>
          </w:tcPr>
          <w:p>
            <w:pPr>
              <w:pStyle w:val="TableParagraph"/>
              <w:rPr>
                <w:rFonts w:ascii="Times New Roman"/>
                <w:sz w:val="16"/>
              </w:rPr>
            </w:pPr>
          </w:p>
        </w:tc>
        <w:tc>
          <w:tcPr>
            <w:tcW w:w="733" w:type="dxa"/>
            <w:tcBorders>
              <w:right w:val="single" w:sz="4" w:space="0" w:color="000000"/>
            </w:tcBorders>
          </w:tcPr>
          <w:p>
            <w:pPr>
              <w:pStyle w:val="TableParagraph"/>
              <w:rPr>
                <w:rFonts w:ascii="Times New Roman"/>
                <w:sz w:val="16"/>
              </w:rPr>
            </w:pPr>
          </w:p>
        </w:tc>
      </w:tr>
      <w:tr>
        <w:trPr>
          <w:trHeight w:val="230" w:hRule="atLeast"/>
        </w:trPr>
        <w:tc>
          <w:tcPr>
            <w:tcW w:w="4145" w:type="dxa"/>
            <w:tcBorders>
              <w:left w:val="single" w:sz="4" w:space="0" w:color="000000"/>
            </w:tcBorders>
          </w:tcPr>
          <w:p>
            <w:pPr>
              <w:pStyle w:val="TableParagraph"/>
              <w:tabs>
                <w:tab w:pos="609" w:val="left" w:leader="none"/>
              </w:tabs>
              <w:spacing w:line="210" w:lineRule="exact"/>
              <w:ind w:right="100"/>
              <w:jc w:val="right"/>
              <w:rPr>
                <w:sz w:val="20"/>
              </w:rPr>
            </w:pPr>
            <w:r>
              <w:rPr>
                <w:spacing w:val="-5"/>
                <w:sz w:val="20"/>
              </w:rPr>
              <w:t>46.</w:t>
            </w:r>
            <w:r>
              <w:rPr>
                <w:sz w:val="20"/>
              </w:rPr>
              <w:tab/>
              <w:t>Guidance</w:t>
            </w:r>
            <w:r>
              <w:rPr>
                <w:spacing w:val="27"/>
                <w:sz w:val="20"/>
              </w:rPr>
              <w:t> </w:t>
            </w:r>
            <w:r>
              <w:rPr>
                <w:sz w:val="20"/>
              </w:rPr>
              <w:t>and</w:t>
            </w:r>
            <w:r>
              <w:rPr>
                <w:spacing w:val="28"/>
                <w:sz w:val="20"/>
              </w:rPr>
              <w:t> </w:t>
            </w:r>
            <w:r>
              <w:rPr>
                <w:sz w:val="20"/>
              </w:rPr>
              <w:t>Counseling</w:t>
            </w:r>
            <w:r>
              <w:rPr>
                <w:spacing w:val="28"/>
                <w:sz w:val="20"/>
              </w:rPr>
              <w:t> </w:t>
            </w:r>
            <w:r>
              <w:rPr>
                <w:spacing w:val="-2"/>
                <w:sz w:val="20"/>
              </w:rPr>
              <w:t>services</w:t>
            </w:r>
          </w:p>
        </w:tc>
        <w:tc>
          <w:tcPr>
            <w:tcW w:w="1974" w:type="dxa"/>
          </w:tcPr>
          <w:p>
            <w:pPr>
              <w:pStyle w:val="TableParagraph"/>
              <w:spacing w:line="210" w:lineRule="exact"/>
              <w:ind w:left="107"/>
              <w:rPr>
                <w:sz w:val="20"/>
              </w:rPr>
            </w:pPr>
            <w:r>
              <w:rPr>
                <w:sz w:val="20"/>
              </w:rPr>
              <w:t>No.</w:t>
            </w:r>
            <w:r>
              <w:rPr>
                <w:spacing w:val="-5"/>
                <w:sz w:val="20"/>
              </w:rPr>
              <w:t> </w:t>
            </w:r>
            <w:r>
              <w:rPr>
                <w:sz w:val="20"/>
              </w:rPr>
              <w:t>of</w:t>
            </w:r>
            <w:r>
              <w:rPr>
                <w:spacing w:val="-2"/>
                <w:sz w:val="20"/>
              </w:rPr>
              <w:t> missing</w:t>
            </w:r>
          </w:p>
        </w:tc>
        <w:tc>
          <w:tcPr>
            <w:tcW w:w="543" w:type="dxa"/>
          </w:tcPr>
          <w:p>
            <w:pPr>
              <w:pStyle w:val="TableParagraph"/>
              <w:rPr>
                <w:rFonts w:ascii="Times New Roman"/>
                <w:sz w:val="16"/>
              </w:rPr>
            </w:pPr>
          </w:p>
        </w:tc>
        <w:tc>
          <w:tcPr>
            <w:tcW w:w="729" w:type="dxa"/>
          </w:tcPr>
          <w:p>
            <w:pPr>
              <w:pStyle w:val="TableParagraph"/>
              <w:rPr>
                <w:rFonts w:ascii="Times New Roman"/>
                <w:sz w:val="16"/>
              </w:rPr>
            </w:pPr>
          </w:p>
        </w:tc>
        <w:tc>
          <w:tcPr>
            <w:tcW w:w="691" w:type="dxa"/>
          </w:tcPr>
          <w:p>
            <w:pPr>
              <w:pStyle w:val="TableParagraph"/>
              <w:rPr>
                <w:rFonts w:ascii="Times New Roman"/>
                <w:sz w:val="16"/>
              </w:rPr>
            </w:pPr>
          </w:p>
        </w:tc>
        <w:tc>
          <w:tcPr>
            <w:tcW w:w="708" w:type="dxa"/>
          </w:tcPr>
          <w:p>
            <w:pPr>
              <w:pStyle w:val="TableParagraph"/>
              <w:rPr>
                <w:rFonts w:ascii="Times New Roman"/>
                <w:sz w:val="16"/>
              </w:rPr>
            </w:pPr>
          </w:p>
        </w:tc>
        <w:tc>
          <w:tcPr>
            <w:tcW w:w="756" w:type="dxa"/>
          </w:tcPr>
          <w:p>
            <w:pPr>
              <w:pStyle w:val="TableParagraph"/>
              <w:rPr>
                <w:rFonts w:ascii="Times New Roman"/>
                <w:sz w:val="16"/>
              </w:rPr>
            </w:pPr>
          </w:p>
        </w:tc>
        <w:tc>
          <w:tcPr>
            <w:tcW w:w="905" w:type="dxa"/>
          </w:tcPr>
          <w:p>
            <w:pPr>
              <w:pStyle w:val="TableParagraph"/>
              <w:rPr>
                <w:rFonts w:ascii="Times New Roman"/>
                <w:sz w:val="16"/>
              </w:rPr>
            </w:pPr>
          </w:p>
        </w:tc>
        <w:tc>
          <w:tcPr>
            <w:tcW w:w="687" w:type="dxa"/>
          </w:tcPr>
          <w:p>
            <w:pPr>
              <w:pStyle w:val="TableParagraph"/>
              <w:rPr>
                <w:rFonts w:ascii="Times New Roman"/>
                <w:sz w:val="16"/>
              </w:rPr>
            </w:pPr>
          </w:p>
        </w:tc>
        <w:tc>
          <w:tcPr>
            <w:tcW w:w="800" w:type="dxa"/>
          </w:tcPr>
          <w:p>
            <w:pPr>
              <w:pStyle w:val="TableParagraph"/>
              <w:rPr>
                <w:rFonts w:ascii="Times New Roman"/>
                <w:sz w:val="16"/>
              </w:rPr>
            </w:pPr>
          </w:p>
        </w:tc>
        <w:tc>
          <w:tcPr>
            <w:tcW w:w="627" w:type="dxa"/>
          </w:tcPr>
          <w:p>
            <w:pPr>
              <w:pStyle w:val="TableParagraph"/>
              <w:rPr>
                <w:rFonts w:ascii="Times New Roman"/>
                <w:sz w:val="16"/>
              </w:rPr>
            </w:pPr>
          </w:p>
        </w:tc>
        <w:tc>
          <w:tcPr>
            <w:tcW w:w="730" w:type="dxa"/>
          </w:tcPr>
          <w:p>
            <w:pPr>
              <w:pStyle w:val="TableParagraph"/>
              <w:rPr>
                <w:rFonts w:ascii="Times New Roman"/>
                <w:sz w:val="16"/>
              </w:rPr>
            </w:pPr>
          </w:p>
        </w:tc>
        <w:tc>
          <w:tcPr>
            <w:tcW w:w="732" w:type="dxa"/>
          </w:tcPr>
          <w:p>
            <w:pPr>
              <w:pStyle w:val="TableParagraph"/>
              <w:rPr>
                <w:rFonts w:ascii="Times New Roman"/>
                <w:sz w:val="16"/>
              </w:rPr>
            </w:pPr>
          </w:p>
        </w:tc>
        <w:tc>
          <w:tcPr>
            <w:tcW w:w="733" w:type="dxa"/>
            <w:tcBorders>
              <w:right w:val="single" w:sz="4" w:space="0" w:color="000000"/>
            </w:tcBorders>
          </w:tcPr>
          <w:p>
            <w:pPr>
              <w:pStyle w:val="TableParagraph"/>
              <w:rPr>
                <w:rFonts w:ascii="Times New Roman"/>
                <w:sz w:val="16"/>
              </w:rPr>
            </w:pPr>
          </w:p>
        </w:tc>
      </w:tr>
      <w:tr>
        <w:trPr>
          <w:trHeight w:val="230" w:hRule="atLeast"/>
        </w:trPr>
        <w:tc>
          <w:tcPr>
            <w:tcW w:w="4145" w:type="dxa"/>
            <w:tcBorders>
              <w:left w:val="single" w:sz="4" w:space="0" w:color="000000"/>
            </w:tcBorders>
          </w:tcPr>
          <w:p>
            <w:pPr>
              <w:pStyle w:val="TableParagraph"/>
              <w:spacing w:line="210" w:lineRule="exact"/>
              <w:ind w:right="98"/>
              <w:jc w:val="right"/>
              <w:rPr>
                <w:sz w:val="20"/>
              </w:rPr>
            </w:pPr>
            <w:r>
              <w:rPr>
                <w:sz w:val="20"/>
              </w:rPr>
              <w:t>enable</w:t>
            </w:r>
            <w:r>
              <w:rPr>
                <w:spacing w:val="38"/>
                <w:sz w:val="20"/>
              </w:rPr>
              <w:t> </w:t>
            </w:r>
            <w:r>
              <w:rPr>
                <w:sz w:val="20"/>
              </w:rPr>
              <w:t>students</w:t>
            </w:r>
            <w:r>
              <w:rPr>
                <w:spacing w:val="36"/>
                <w:sz w:val="20"/>
              </w:rPr>
              <w:t> </w:t>
            </w:r>
            <w:r>
              <w:rPr>
                <w:sz w:val="20"/>
              </w:rPr>
              <w:t>to</w:t>
            </w:r>
            <w:r>
              <w:rPr>
                <w:spacing w:val="38"/>
                <w:sz w:val="20"/>
              </w:rPr>
              <w:t> </w:t>
            </w:r>
            <w:r>
              <w:rPr>
                <w:sz w:val="20"/>
              </w:rPr>
              <w:t>relate</w:t>
            </w:r>
            <w:r>
              <w:rPr>
                <w:spacing w:val="39"/>
                <w:sz w:val="20"/>
              </w:rPr>
              <w:t> </w:t>
            </w:r>
            <w:r>
              <w:rPr>
                <w:sz w:val="20"/>
              </w:rPr>
              <w:t>well</w:t>
            </w:r>
            <w:r>
              <w:rPr>
                <w:spacing w:val="44"/>
                <w:sz w:val="20"/>
              </w:rPr>
              <w:t> </w:t>
            </w:r>
            <w:r>
              <w:rPr>
                <w:spacing w:val="-5"/>
                <w:sz w:val="20"/>
              </w:rPr>
              <w:t>and</w:t>
            </w:r>
          </w:p>
        </w:tc>
        <w:tc>
          <w:tcPr>
            <w:tcW w:w="1974" w:type="dxa"/>
          </w:tcPr>
          <w:p>
            <w:pPr>
              <w:pStyle w:val="TableParagraph"/>
              <w:spacing w:line="210" w:lineRule="exact"/>
              <w:ind w:left="107"/>
              <w:rPr>
                <w:sz w:val="20"/>
              </w:rPr>
            </w:pPr>
            <w:r>
              <w:rPr>
                <w:spacing w:val="-2"/>
                <w:sz w:val="20"/>
              </w:rPr>
              <w:t>observations</w:t>
            </w:r>
          </w:p>
        </w:tc>
        <w:tc>
          <w:tcPr>
            <w:tcW w:w="543" w:type="dxa"/>
          </w:tcPr>
          <w:p>
            <w:pPr>
              <w:pStyle w:val="TableParagraph"/>
              <w:spacing w:line="210" w:lineRule="exact"/>
              <w:ind w:left="12"/>
              <w:jc w:val="center"/>
              <w:rPr>
                <w:sz w:val="20"/>
              </w:rPr>
            </w:pPr>
            <w:r>
              <w:rPr>
                <w:spacing w:val="-10"/>
                <w:sz w:val="20"/>
              </w:rPr>
              <w:t>1</w:t>
            </w:r>
          </w:p>
        </w:tc>
        <w:tc>
          <w:tcPr>
            <w:tcW w:w="729" w:type="dxa"/>
          </w:tcPr>
          <w:p>
            <w:pPr>
              <w:pStyle w:val="TableParagraph"/>
              <w:spacing w:line="210" w:lineRule="exact"/>
              <w:ind w:left="85" w:right="86"/>
              <w:jc w:val="center"/>
              <w:rPr>
                <w:sz w:val="20"/>
              </w:rPr>
            </w:pPr>
            <w:r>
              <w:rPr>
                <w:spacing w:val="-4"/>
                <w:sz w:val="20"/>
              </w:rPr>
              <w:t>50.0</w:t>
            </w:r>
          </w:p>
        </w:tc>
        <w:tc>
          <w:tcPr>
            <w:tcW w:w="691" w:type="dxa"/>
          </w:tcPr>
          <w:p>
            <w:pPr>
              <w:pStyle w:val="TableParagraph"/>
              <w:spacing w:line="210" w:lineRule="exact"/>
              <w:ind w:left="22" w:right="11"/>
              <w:jc w:val="center"/>
              <w:rPr>
                <w:sz w:val="20"/>
              </w:rPr>
            </w:pPr>
            <w:r>
              <w:rPr>
                <w:spacing w:val="-10"/>
                <w:sz w:val="20"/>
              </w:rPr>
              <w:t>-</w:t>
            </w:r>
          </w:p>
        </w:tc>
        <w:tc>
          <w:tcPr>
            <w:tcW w:w="708" w:type="dxa"/>
          </w:tcPr>
          <w:p>
            <w:pPr>
              <w:pStyle w:val="TableParagraph"/>
              <w:spacing w:line="210" w:lineRule="exact"/>
              <w:ind w:left="59" w:right="7"/>
              <w:jc w:val="center"/>
              <w:rPr>
                <w:sz w:val="20"/>
              </w:rPr>
            </w:pPr>
            <w:r>
              <w:rPr>
                <w:spacing w:val="-10"/>
                <w:sz w:val="20"/>
              </w:rPr>
              <w:t>-</w:t>
            </w:r>
          </w:p>
        </w:tc>
        <w:tc>
          <w:tcPr>
            <w:tcW w:w="756" w:type="dxa"/>
          </w:tcPr>
          <w:p>
            <w:pPr>
              <w:pStyle w:val="TableParagraph"/>
              <w:spacing w:line="210" w:lineRule="exact"/>
              <w:ind w:right="302"/>
              <w:jc w:val="right"/>
              <w:rPr>
                <w:sz w:val="20"/>
              </w:rPr>
            </w:pPr>
            <w:r>
              <w:rPr>
                <w:spacing w:val="-10"/>
                <w:sz w:val="20"/>
              </w:rPr>
              <w:t>1</w:t>
            </w:r>
          </w:p>
        </w:tc>
        <w:tc>
          <w:tcPr>
            <w:tcW w:w="905" w:type="dxa"/>
          </w:tcPr>
          <w:p>
            <w:pPr>
              <w:pStyle w:val="TableParagraph"/>
              <w:spacing w:line="210" w:lineRule="exact"/>
              <w:ind w:left="16"/>
              <w:jc w:val="center"/>
              <w:rPr>
                <w:sz w:val="20"/>
              </w:rPr>
            </w:pPr>
            <w:r>
              <w:rPr>
                <w:spacing w:val="-4"/>
                <w:sz w:val="20"/>
              </w:rPr>
              <w:t>50.0</w:t>
            </w:r>
          </w:p>
        </w:tc>
        <w:tc>
          <w:tcPr>
            <w:tcW w:w="687" w:type="dxa"/>
          </w:tcPr>
          <w:p>
            <w:pPr>
              <w:pStyle w:val="TableParagraph"/>
              <w:spacing w:line="210" w:lineRule="exact"/>
              <w:ind w:left="107" w:right="48"/>
              <w:jc w:val="center"/>
              <w:rPr>
                <w:sz w:val="20"/>
              </w:rPr>
            </w:pPr>
            <w:r>
              <w:rPr>
                <w:spacing w:val="-10"/>
                <w:sz w:val="20"/>
              </w:rPr>
              <w:t>-</w:t>
            </w:r>
          </w:p>
        </w:tc>
        <w:tc>
          <w:tcPr>
            <w:tcW w:w="800" w:type="dxa"/>
          </w:tcPr>
          <w:p>
            <w:pPr>
              <w:pStyle w:val="TableParagraph"/>
              <w:spacing w:line="210" w:lineRule="exact"/>
              <w:ind w:left="18" w:right="6"/>
              <w:jc w:val="center"/>
              <w:rPr>
                <w:sz w:val="20"/>
              </w:rPr>
            </w:pPr>
            <w:r>
              <w:rPr>
                <w:spacing w:val="-10"/>
                <w:sz w:val="20"/>
              </w:rPr>
              <w:t>-</w:t>
            </w:r>
          </w:p>
        </w:tc>
        <w:tc>
          <w:tcPr>
            <w:tcW w:w="627" w:type="dxa"/>
          </w:tcPr>
          <w:p>
            <w:pPr>
              <w:pStyle w:val="TableParagraph"/>
              <w:spacing w:line="210" w:lineRule="exact"/>
              <w:ind w:left="23" w:right="18"/>
              <w:jc w:val="center"/>
              <w:rPr>
                <w:sz w:val="20"/>
              </w:rPr>
            </w:pPr>
            <w:r>
              <w:rPr>
                <w:spacing w:val="-10"/>
                <w:sz w:val="20"/>
              </w:rPr>
              <w:t>-</w:t>
            </w:r>
          </w:p>
        </w:tc>
        <w:tc>
          <w:tcPr>
            <w:tcW w:w="730" w:type="dxa"/>
          </w:tcPr>
          <w:p>
            <w:pPr>
              <w:pStyle w:val="TableParagraph"/>
              <w:spacing w:line="210" w:lineRule="exact"/>
              <w:ind w:left="76" w:right="7"/>
              <w:jc w:val="center"/>
              <w:rPr>
                <w:sz w:val="20"/>
              </w:rPr>
            </w:pPr>
            <w:r>
              <w:rPr>
                <w:spacing w:val="-10"/>
                <w:sz w:val="20"/>
              </w:rPr>
              <w:t>-</w:t>
            </w:r>
          </w:p>
        </w:tc>
        <w:tc>
          <w:tcPr>
            <w:tcW w:w="732" w:type="dxa"/>
          </w:tcPr>
          <w:p>
            <w:pPr>
              <w:pStyle w:val="TableParagraph"/>
              <w:spacing w:line="210" w:lineRule="exact"/>
              <w:ind w:left="59" w:right="5"/>
              <w:jc w:val="center"/>
              <w:rPr>
                <w:sz w:val="20"/>
              </w:rPr>
            </w:pPr>
            <w:r>
              <w:rPr>
                <w:spacing w:val="-10"/>
                <w:sz w:val="20"/>
              </w:rPr>
              <w:t>2</w:t>
            </w:r>
          </w:p>
        </w:tc>
        <w:tc>
          <w:tcPr>
            <w:tcW w:w="733" w:type="dxa"/>
            <w:tcBorders>
              <w:right w:val="single" w:sz="4" w:space="0" w:color="000000"/>
            </w:tcBorders>
          </w:tcPr>
          <w:p>
            <w:pPr>
              <w:pStyle w:val="TableParagraph"/>
              <w:spacing w:line="210" w:lineRule="exact"/>
              <w:ind w:left="34" w:right="5"/>
              <w:jc w:val="center"/>
              <w:rPr>
                <w:sz w:val="20"/>
              </w:rPr>
            </w:pPr>
            <w:r>
              <w:rPr>
                <w:spacing w:val="-5"/>
                <w:sz w:val="20"/>
              </w:rPr>
              <w:t>0.4</w:t>
            </w:r>
          </w:p>
        </w:tc>
      </w:tr>
      <w:tr>
        <w:trPr>
          <w:trHeight w:val="230" w:hRule="atLeast"/>
        </w:trPr>
        <w:tc>
          <w:tcPr>
            <w:tcW w:w="4145" w:type="dxa"/>
            <w:tcBorders>
              <w:left w:val="single" w:sz="4" w:space="0" w:color="000000"/>
            </w:tcBorders>
          </w:tcPr>
          <w:p>
            <w:pPr>
              <w:pStyle w:val="TableParagraph"/>
              <w:spacing w:line="210" w:lineRule="exact"/>
              <w:ind w:right="102"/>
              <w:jc w:val="right"/>
              <w:rPr>
                <w:sz w:val="20"/>
              </w:rPr>
            </w:pPr>
            <w:r>
              <w:rPr>
                <w:sz w:val="20"/>
              </w:rPr>
              <w:t>live</w:t>
            </w:r>
            <w:r>
              <w:rPr>
                <w:spacing w:val="55"/>
                <w:sz w:val="20"/>
              </w:rPr>
              <w:t> </w:t>
            </w:r>
            <w:r>
              <w:rPr>
                <w:sz w:val="20"/>
              </w:rPr>
              <w:t>happily</w:t>
            </w:r>
            <w:r>
              <w:rPr>
                <w:spacing w:val="58"/>
                <w:sz w:val="20"/>
              </w:rPr>
              <w:t> </w:t>
            </w:r>
            <w:r>
              <w:rPr>
                <w:sz w:val="20"/>
              </w:rPr>
              <w:t>with</w:t>
            </w:r>
            <w:r>
              <w:rPr>
                <w:spacing w:val="56"/>
                <w:sz w:val="20"/>
              </w:rPr>
              <w:t> </w:t>
            </w:r>
            <w:r>
              <w:rPr>
                <w:sz w:val="20"/>
              </w:rPr>
              <w:t>their</w:t>
            </w:r>
            <w:r>
              <w:rPr>
                <w:spacing w:val="58"/>
                <w:sz w:val="20"/>
              </w:rPr>
              <w:t> </w:t>
            </w:r>
            <w:r>
              <w:rPr>
                <w:spacing w:val="-2"/>
                <w:sz w:val="20"/>
              </w:rPr>
              <w:t>roommates,</w:t>
            </w:r>
          </w:p>
        </w:tc>
        <w:tc>
          <w:tcPr>
            <w:tcW w:w="1974" w:type="dxa"/>
          </w:tcPr>
          <w:p>
            <w:pPr>
              <w:pStyle w:val="TableParagraph"/>
              <w:spacing w:line="210" w:lineRule="exact"/>
              <w:ind w:left="107"/>
              <w:rPr>
                <w:sz w:val="20"/>
              </w:rPr>
            </w:pPr>
            <w:r>
              <w:rPr>
                <w:spacing w:val="-2"/>
                <w:sz w:val="20"/>
              </w:rPr>
              <w:t>Students</w:t>
            </w:r>
          </w:p>
        </w:tc>
        <w:tc>
          <w:tcPr>
            <w:tcW w:w="543" w:type="dxa"/>
          </w:tcPr>
          <w:p>
            <w:pPr>
              <w:pStyle w:val="TableParagraph"/>
              <w:spacing w:line="210" w:lineRule="exact"/>
              <w:ind w:left="12" w:right="4"/>
              <w:jc w:val="center"/>
              <w:rPr>
                <w:sz w:val="20"/>
              </w:rPr>
            </w:pPr>
            <w:r>
              <w:rPr>
                <w:spacing w:val="-5"/>
                <w:sz w:val="20"/>
              </w:rPr>
              <w:t>89</w:t>
            </w:r>
          </w:p>
        </w:tc>
        <w:tc>
          <w:tcPr>
            <w:tcW w:w="729" w:type="dxa"/>
          </w:tcPr>
          <w:p>
            <w:pPr>
              <w:pStyle w:val="TableParagraph"/>
              <w:spacing w:line="210" w:lineRule="exact"/>
              <w:ind w:left="85" w:right="86"/>
              <w:jc w:val="center"/>
              <w:rPr>
                <w:sz w:val="20"/>
              </w:rPr>
            </w:pPr>
            <w:r>
              <w:rPr>
                <w:spacing w:val="-4"/>
                <w:sz w:val="20"/>
              </w:rPr>
              <w:t>37.9</w:t>
            </w:r>
          </w:p>
        </w:tc>
        <w:tc>
          <w:tcPr>
            <w:tcW w:w="691" w:type="dxa"/>
          </w:tcPr>
          <w:p>
            <w:pPr>
              <w:pStyle w:val="TableParagraph"/>
              <w:spacing w:line="210" w:lineRule="exact"/>
              <w:ind w:left="22" w:right="13"/>
              <w:jc w:val="center"/>
              <w:rPr>
                <w:sz w:val="20"/>
              </w:rPr>
            </w:pPr>
            <w:r>
              <w:rPr>
                <w:spacing w:val="-5"/>
                <w:sz w:val="20"/>
              </w:rPr>
              <w:t>110</w:t>
            </w:r>
          </w:p>
        </w:tc>
        <w:tc>
          <w:tcPr>
            <w:tcW w:w="708" w:type="dxa"/>
          </w:tcPr>
          <w:p>
            <w:pPr>
              <w:pStyle w:val="TableParagraph"/>
              <w:spacing w:line="210" w:lineRule="exact"/>
              <w:ind w:left="59"/>
              <w:jc w:val="center"/>
              <w:rPr>
                <w:sz w:val="20"/>
              </w:rPr>
            </w:pPr>
            <w:r>
              <w:rPr>
                <w:spacing w:val="-4"/>
                <w:sz w:val="20"/>
              </w:rPr>
              <w:t>46.8</w:t>
            </w:r>
          </w:p>
        </w:tc>
        <w:tc>
          <w:tcPr>
            <w:tcW w:w="756" w:type="dxa"/>
          </w:tcPr>
          <w:p>
            <w:pPr>
              <w:pStyle w:val="TableParagraph"/>
              <w:spacing w:line="210" w:lineRule="exact"/>
              <w:ind w:right="249"/>
              <w:jc w:val="right"/>
              <w:rPr>
                <w:sz w:val="20"/>
              </w:rPr>
            </w:pPr>
            <w:r>
              <w:rPr>
                <w:spacing w:val="-5"/>
                <w:sz w:val="20"/>
              </w:rPr>
              <w:t>22</w:t>
            </w:r>
          </w:p>
        </w:tc>
        <w:tc>
          <w:tcPr>
            <w:tcW w:w="905" w:type="dxa"/>
          </w:tcPr>
          <w:p>
            <w:pPr>
              <w:pStyle w:val="TableParagraph"/>
              <w:spacing w:line="210" w:lineRule="exact"/>
              <w:ind w:left="16" w:right="5"/>
              <w:jc w:val="center"/>
              <w:rPr>
                <w:sz w:val="20"/>
              </w:rPr>
            </w:pPr>
            <w:r>
              <w:rPr>
                <w:spacing w:val="-5"/>
                <w:sz w:val="20"/>
              </w:rPr>
              <w:t>9.4</w:t>
            </w:r>
          </w:p>
        </w:tc>
        <w:tc>
          <w:tcPr>
            <w:tcW w:w="687" w:type="dxa"/>
          </w:tcPr>
          <w:p>
            <w:pPr>
              <w:pStyle w:val="TableParagraph"/>
              <w:spacing w:line="210" w:lineRule="exact"/>
              <w:ind w:left="109" w:right="48"/>
              <w:jc w:val="center"/>
              <w:rPr>
                <w:sz w:val="20"/>
              </w:rPr>
            </w:pPr>
            <w:r>
              <w:rPr>
                <w:spacing w:val="-5"/>
                <w:sz w:val="20"/>
              </w:rPr>
              <w:t>12</w:t>
            </w:r>
          </w:p>
        </w:tc>
        <w:tc>
          <w:tcPr>
            <w:tcW w:w="800" w:type="dxa"/>
          </w:tcPr>
          <w:p>
            <w:pPr>
              <w:pStyle w:val="TableParagraph"/>
              <w:spacing w:line="210" w:lineRule="exact"/>
              <w:ind w:left="18" w:right="5"/>
              <w:jc w:val="center"/>
              <w:rPr>
                <w:sz w:val="20"/>
              </w:rPr>
            </w:pPr>
            <w:r>
              <w:rPr>
                <w:spacing w:val="-5"/>
                <w:sz w:val="20"/>
              </w:rPr>
              <w:t>5.1</w:t>
            </w:r>
          </w:p>
        </w:tc>
        <w:tc>
          <w:tcPr>
            <w:tcW w:w="627" w:type="dxa"/>
          </w:tcPr>
          <w:p>
            <w:pPr>
              <w:pStyle w:val="TableParagraph"/>
              <w:spacing w:line="210" w:lineRule="exact"/>
              <w:ind w:left="23" w:right="11"/>
              <w:jc w:val="center"/>
              <w:rPr>
                <w:sz w:val="20"/>
              </w:rPr>
            </w:pPr>
            <w:r>
              <w:rPr>
                <w:spacing w:val="-10"/>
                <w:sz w:val="20"/>
              </w:rPr>
              <w:t>2</w:t>
            </w:r>
          </w:p>
        </w:tc>
        <w:tc>
          <w:tcPr>
            <w:tcW w:w="730" w:type="dxa"/>
          </w:tcPr>
          <w:p>
            <w:pPr>
              <w:pStyle w:val="TableParagraph"/>
              <w:spacing w:line="210" w:lineRule="exact"/>
              <w:ind w:left="76" w:right="5"/>
              <w:jc w:val="center"/>
              <w:rPr>
                <w:sz w:val="20"/>
              </w:rPr>
            </w:pPr>
            <w:r>
              <w:rPr>
                <w:spacing w:val="-5"/>
                <w:sz w:val="20"/>
              </w:rPr>
              <w:t>0.9</w:t>
            </w:r>
          </w:p>
        </w:tc>
        <w:tc>
          <w:tcPr>
            <w:tcW w:w="732" w:type="dxa"/>
          </w:tcPr>
          <w:p>
            <w:pPr>
              <w:pStyle w:val="TableParagraph"/>
              <w:spacing w:line="210" w:lineRule="exact"/>
              <w:ind w:right="174"/>
              <w:jc w:val="right"/>
              <w:rPr>
                <w:sz w:val="20"/>
              </w:rPr>
            </w:pPr>
            <w:r>
              <w:rPr>
                <w:spacing w:val="-5"/>
                <w:sz w:val="20"/>
              </w:rPr>
              <w:t>235</w:t>
            </w:r>
          </w:p>
        </w:tc>
        <w:tc>
          <w:tcPr>
            <w:tcW w:w="733" w:type="dxa"/>
            <w:tcBorders>
              <w:right w:val="single" w:sz="4" w:space="0" w:color="000000"/>
            </w:tcBorders>
          </w:tcPr>
          <w:p>
            <w:pPr>
              <w:pStyle w:val="TableParagraph"/>
              <w:spacing w:line="210" w:lineRule="exact"/>
              <w:ind w:left="34"/>
              <w:jc w:val="center"/>
              <w:rPr>
                <w:sz w:val="20"/>
              </w:rPr>
            </w:pPr>
            <w:r>
              <w:rPr>
                <w:spacing w:val="-4"/>
                <w:sz w:val="20"/>
              </w:rPr>
              <w:t>50.8</w:t>
            </w:r>
          </w:p>
        </w:tc>
      </w:tr>
      <w:tr>
        <w:trPr>
          <w:trHeight w:val="235" w:hRule="atLeast"/>
        </w:trPr>
        <w:tc>
          <w:tcPr>
            <w:tcW w:w="4145" w:type="dxa"/>
            <w:tcBorders>
              <w:left w:val="single" w:sz="4" w:space="0" w:color="000000"/>
            </w:tcBorders>
          </w:tcPr>
          <w:p>
            <w:pPr>
              <w:pStyle w:val="TableParagraph"/>
              <w:spacing w:line="215" w:lineRule="exact"/>
              <w:ind w:right="107"/>
              <w:jc w:val="right"/>
              <w:rPr>
                <w:sz w:val="20"/>
              </w:rPr>
            </w:pPr>
            <w:r>
              <w:rPr>
                <w:sz w:val="20"/>
              </w:rPr>
              <w:t>colleagues</w:t>
            </w:r>
            <w:r>
              <w:rPr>
                <w:spacing w:val="5"/>
                <w:sz w:val="20"/>
              </w:rPr>
              <w:t> </w:t>
            </w:r>
            <w:r>
              <w:rPr>
                <w:sz w:val="20"/>
              </w:rPr>
              <w:t>and</w:t>
            </w:r>
            <w:r>
              <w:rPr>
                <w:spacing w:val="9"/>
                <w:sz w:val="20"/>
              </w:rPr>
              <w:t> </w:t>
            </w:r>
            <w:r>
              <w:rPr>
                <w:sz w:val="20"/>
              </w:rPr>
              <w:t>other</w:t>
            </w:r>
            <w:r>
              <w:rPr>
                <w:spacing w:val="10"/>
                <w:sz w:val="20"/>
              </w:rPr>
              <w:t> </w:t>
            </w:r>
            <w:r>
              <w:rPr>
                <w:sz w:val="20"/>
              </w:rPr>
              <w:t>associates</w:t>
            </w:r>
            <w:r>
              <w:rPr>
                <w:spacing w:val="6"/>
                <w:sz w:val="20"/>
              </w:rPr>
              <w:t> </w:t>
            </w:r>
            <w:r>
              <w:rPr>
                <w:spacing w:val="-5"/>
                <w:sz w:val="20"/>
              </w:rPr>
              <w:t>on</w:t>
            </w:r>
          </w:p>
        </w:tc>
        <w:tc>
          <w:tcPr>
            <w:tcW w:w="1974" w:type="dxa"/>
          </w:tcPr>
          <w:p>
            <w:pPr>
              <w:pStyle w:val="TableParagraph"/>
              <w:spacing w:line="208" w:lineRule="exact" w:before="7"/>
              <w:ind w:left="107"/>
              <w:rPr>
                <w:sz w:val="20"/>
              </w:rPr>
            </w:pPr>
            <w:r>
              <w:rPr>
                <w:sz w:val="20"/>
              </w:rPr>
              <w:t>Service</w:t>
            </w:r>
            <w:r>
              <w:rPr>
                <w:spacing w:val="-9"/>
                <w:sz w:val="20"/>
              </w:rPr>
              <w:t> </w:t>
            </w:r>
            <w:r>
              <w:rPr>
                <w:spacing w:val="-2"/>
                <w:sz w:val="20"/>
              </w:rPr>
              <w:t>Staff</w:t>
            </w:r>
          </w:p>
        </w:tc>
        <w:tc>
          <w:tcPr>
            <w:tcW w:w="543" w:type="dxa"/>
          </w:tcPr>
          <w:p>
            <w:pPr>
              <w:pStyle w:val="TableParagraph"/>
              <w:spacing w:line="208" w:lineRule="exact" w:before="7"/>
              <w:ind w:left="12" w:right="4"/>
              <w:jc w:val="center"/>
              <w:rPr>
                <w:sz w:val="20"/>
              </w:rPr>
            </w:pPr>
            <w:r>
              <w:rPr>
                <w:spacing w:val="-5"/>
                <w:sz w:val="20"/>
              </w:rPr>
              <w:t>67</w:t>
            </w:r>
          </w:p>
        </w:tc>
        <w:tc>
          <w:tcPr>
            <w:tcW w:w="729" w:type="dxa"/>
          </w:tcPr>
          <w:p>
            <w:pPr>
              <w:pStyle w:val="TableParagraph"/>
              <w:spacing w:line="208" w:lineRule="exact" w:before="7"/>
              <w:ind w:left="85" w:right="86"/>
              <w:jc w:val="center"/>
              <w:rPr>
                <w:sz w:val="20"/>
              </w:rPr>
            </w:pPr>
            <w:r>
              <w:rPr>
                <w:spacing w:val="-4"/>
                <w:sz w:val="20"/>
              </w:rPr>
              <w:t>33.0</w:t>
            </w:r>
          </w:p>
        </w:tc>
        <w:tc>
          <w:tcPr>
            <w:tcW w:w="691" w:type="dxa"/>
          </w:tcPr>
          <w:p>
            <w:pPr>
              <w:pStyle w:val="TableParagraph"/>
              <w:spacing w:line="208" w:lineRule="exact" w:before="7"/>
              <w:ind w:left="22" w:right="13"/>
              <w:jc w:val="center"/>
              <w:rPr>
                <w:sz w:val="20"/>
              </w:rPr>
            </w:pPr>
            <w:r>
              <w:rPr>
                <w:spacing w:val="-5"/>
                <w:sz w:val="20"/>
              </w:rPr>
              <w:t>113</w:t>
            </w:r>
          </w:p>
        </w:tc>
        <w:tc>
          <w:tcPr>
            <w:tcW w:w="708" w:type="dxa"/>
          </w:tcPr>
          <w:p>
            <w:pPr>
              <w:pStyle w:val="TableParagraph"/>
              <w:spacing w:line="208" w:lineRule="exact" w:before="7"/>
              <w:ind w:left="59"/>
              <w:jc w:val="center"/>
              <w:rPr>
                <w:sz w:val="20"/>
              </w:rPr>
            </w:pPr>
            <w:r>
              <w:rPr>
                <w:spacing w:val="-4"/>
                <w:sz w:val="20"/>
              </w:rPr>
              <w:t>55.7</w:t>
            </w:r>
          </w:p>
        </w:tc>
        <w:tc>
          <w:tcPr>
            <w:tcW w:w="756" w:type="dxa"/>
          </w:tcPr>
          <w:p>
            <w:pPr>
              <w:pStyle w:val="TableParagraph"/>
              <w:spacing w:line="208" w:lineRule="exact" w:before="7"/>
              <w:ind w:right="249"/>
              <w:jc w:val="right"/>
              <w:rPr>
                <w:sz w:val="20"/>
              </w:rPr>
            </w:pPr>
            <w:r>
              <w:rPr>
                <w:spacing w:val="-5"/>
                <w:sz w:val="20"/>
              </w:rPr>
              <w:t>15</w:t>
            </w:r>
          </w:p>
        </w:tc>
        <w:tc>
          <w:tcPr>
            <w:tcW w:w="905" w:type="dxa"/>
          </w:tcPr>
          <w:p>
            <w:pPr>
              <w:pStyle w:val="TableParagraph"/>
              <w:spacing w:line="208" w:lineRule="exact" w:before="7"/>
              <w:ind w:left="16" w:right="5"/>
              <w:jc w:val="center"/>
              <w:rPr>
                <w:sz w:val="20"/>
              </w:rPr>
            </w:pPr>
            <w:r>
              <w:rPr>
                <w:spacing w:val="-5"/>
                <w:sz w:val="20"/>
              </w:rPr>
              <w:t>7.4</w:t>
            </w:r>
          </w:p>
        </w:tc>
        <w:tc>
          <w:tcPr>
            <w:tcW w:w="687" w:type="dxa"/>
          </w:tcPr>
          <w:p>
            <w:pPr>
              <w:pStyle w:val="TableParagraph"/>
              <w:spacing w:line="208" w:lineRule="exact" w:before="7"/>
              <w:ind w:left="113" w:right="48"/>
              <w:jc w:val="center"/>
              <w:rPr>
                <w:sz w:val="20"/>
              </w:rPr>
            </w:pPr>
            <w:r>
              <w:rPr>
                <w:spacing w:val="-10"/>
                <w:sz w:val="20"/>
              </w:rPr>
              <w:t>5</w:t>
            </w:r>
          </w:p>
        </w:tc>
        <w:tc>
          <w:tcPr>
            <w:tcW w:w="800" w:type="dxa"/>
          </w:tcPr>
          <w:p>
            <w:pPr>
              <w:pStyle w:val="TableParagraph"/>
              <w:spacing w:line="208" w:lineRule="exact" w:before="7"/>
              <w:ind w:left="18" w:right="5"/>
              <w:jc w:val="center"/>
              <w:rPr>
                <w:sz w:val="20"/>
              </w:rPr>
            </w:pPr>
            <w:r>
              <w:rPr>
                <w:spacing w:val="-5"/>
                <w:sz w:val="20"/>
              </w:rPr>
              <w:t>2.5</w:t>
            </w:r>
          </w:p>
        </w:tc>
        <w:tc>
          <w:tcPr>
            <w:tcW w:w="627" w:type="dxa"/>
          </w:tcPr>
          <w:p>
            <w:pPr>
              <w:pStyle w:val="TableParagraph"/>
              <w:spacing w:line="208" w:lineRule="exact" w:before="7"/>
              <w:ind w:left="23" w:right="11"/>
              <w:jc w:val="center"/>
              <w:rPr>
                <w:sz w:val="20"/>
              </w:rPr>
            </w:pPr>
            <w:r>
              <w:rPr>
                <w:spacing w:val="-10"/>
                <w:sz w:val="20"/>
              </w:rPr>
              <w:t>3</w:t>
            </w:r>
          </w:p>
        </w:tc>
        <w:tc>
          <w:tcPr>
            <w:tcW w:w="730" w:type="dxa"/>
          </w:tcPr>
          <w:p>
            <w:pPr>
              <w:pStyle w:val="TableParagraph"/>
              <w:spacing w:line="208" w:lineRule="exact" w:before="7"/>
              <w:ind w:left="76" w:right="5"/>
              <w:jc w:val="center"/>
              <w:rPr>
                <w:sz w:val="20"/>
              </w:rPr>
            </w:pPr>
            <w:r>
              <w:rPr>
                <w:spacing w:val="-5"/>
                <w:sz w:val="20"/>
              </w:rPr>
              <w:t>1.5</w:t>
            </w:r>
          </w:p>
        </w:tc>
        <w:tc>
          <w:tcPr>
            <w:tcW w:w="732" w:type="dxa"/>
          </w:tcPr>
          <w:p>
            <w:pPr>
              <w:pStyle w:val="TableParagraph"/>
              <w:spacing w:line="208" w:lineRule="exact" w:before="7"/>
              <w:ind w:right="174"/>
              <w:jc w:val="right"/>
              <w:rPr>
                <w:sz w:val="20"/>
              </w:rPr>
            </w:pPr>
            <w:r>
              <w:rPr>
                <w:spacing w:val="-5"/>
                <w:sz w:val="20"/>
              </w:rPr>
              <w:t>203</w:t>
            </w:r>
          </w:p>
        </w:tc>
        <w:tc>
          <w:tcPr>
            <w:tcW w:w="733" w:type="dxa"/>
            <w:tcBorders>
              <w:right w:val="single" w:sz="4" w:space="0" w:color="000000"/>
            </w:tcBorders>
          </w:tcPr>
          <w:p>
            <w:pPr>
              <w:pStyle w:val="TableParagraph"/>
              <w:spacing w:line="208" w:lineRule="exact" w:before="7"/>
              <w:ind w:left="34"/>
              <w:jc w:val="center"/>
              <w:rPr>
                <w:sz w:val="20"/>
              </w:rPr>
            </w:pPr>
            <w:r>
              <w:rPr>
                <w:spacing w:val="-4"/>
                <w:sz w:val="20"/>
              </w:rPr>
              <w:t>43.8</w:t>
            </w:r>
          </w:p>
        </w:tc>
      </w:tr>
      <w:tr>
        <w:trPr>
          <w:trHeight w:val="235" w:hRule="atLeast"/>
        </w:trPr>
        <w:tc>
          <w:tcPr>
            <w:tcW w:w="4145" w:type="dxa"/>
            <w:tcBorders>
              <w:left w:val="single" w:sz="4" w:space="0" w:color="000000"/>
            </w:tcBorders>
          </w:tcPr>
          <w:p>
            <w:pPr>
              <w:pStyle w:val="TableParagraph"/>
              <w:spacing w:line="215" w:lineRule="exact"/>
              <w:ind w:left="830"/>
              <w:rPr>
                <w:sz w:val="20"/>
              </w:rPr>
            </w:pPr>
            <w:r>
              <w:rPr>
                <w:sz w:val="20"/>
              </w:rPr>
              <w:t>campus</w:t>
            </w:r>
            <w:r>
              <w:rPr>
                <w:spacing w:val="-6"/>
                <w:sz w:val="20"/>
              </w:rPr>
              <w:t> </w:t>
            </w:r>
            <w:r>
              <w:rPr>
                <w:spacing w:val="-2"/>
                <w:sz w:val="20"/>
              </w:rPr>
              <w:t>generally.</w:t>
            </w:r>
          </w:p>
        </w:tc>
        <w:tc>
          <w:tcPr>
            <w:tcW w:w="1974" w:type="dxa"/>
          </w:tcPr>
          <w:p>
            <w:pPr>
              <w:pStyle w:val="TableParagraph"/>
              <w:spacing w:line="213" w:lineRule="exact" w:before="2"/>
              <w:ind w:left="107"/>
              <w:rPr>
                <w:sz w:val="20"/>
              </w:rPr>
            </w:pPr>
            <w:r>
              <w:rPr>
                <w:sz w:val="20"/>
              </w:rPr>
              <w:t>Top</w:t>
            </w:r>
            <w:r>
              <w:rPr>
                <w:spacing w:val="-1"/>
                <w:sz w:val="20"/>
              </w:rPr>
              <w:t> </w:t>
            </w:r>
            <w:r>
              <w:rPr>
                <w:spacing w:val="-2"/>
                <w:sz w:val="20"/>
              </w:rPr>
              <w:t>Management</w:t>
            </w:r>
          </w:p>
        </w:tc>
        <w:tc>
          <w:tcPr>
            <w:tcW w:w="543" w:type="dxa"/>
          </w:tcPr>
          <w:p>
            <w:pPr>
              <w:pStyle w:val="TableParagraph"/>
              <w:spacing w:line="213" w:lineRule="exact" w:before="2"/>
              <w:ind w:left="12"/>
              <w:jc w:val="center"/>
              <w:rPr>
                <w:sz w:val="20"/>
              </w:rPr>
            </w:pPr>
            <w:r>
              <w:rPr>
                <w:spacing w:val="-10"/>
                <w:sz w:val="20"/>
              </w:rPr>
              <w:t>4</w:t>
            </w:r>
          </w:p>
        </w:tc>
        <w:tc>
          <w:tcPr>
            <w:tcW w:w="729" w:type="dxa"/>
          </w:tcPr>
          <w:p>
            <w:pPr>
              <w:pStyle w:val="TableParagraph"/>
              <w:spacing w:line="213" w:lineRule="exact" w:before="2"/>
              <w:ind w:left="85" w:right="86"/>
              <w:jc w:val="center"/>
              <w:rPr>
                <w:sz w:val="20"/>
              </w:rPr>
            </w:pPr>
            <w:r>
              <w:rPr>
                <w:spacing w:val="-4"/>
                <w:sz w:val="20"/>
              </w:rPr>
              <w:t>17.4</w:t>
            </w:r>
          </w:p>
        </w:tc>
        <w:tc>
          <w:tcPr>
            <w:tcW w:w="691" w:type="dxa"/>
          </w:tcPr>
          <w:p>
            <w:pPr>
              <w:pStyle w:val="TableParagraph"/>
              <w:spacing w:line="213" w:lineRule="exact" w:before="2"/>
              <w:ind w:left="22" w:right="9"/>
              <w:jc w:val="center"/>
              <w:rPr>
                <w:sz w:val="20"/>
              </w:rPr>
            </w:pPr>
            <w:r>
              <w:rPr>
                <w:spacing w:val="-5"/>
                <w:sz w:val="20"/>
              </w:rPr>
              <w:t>15</w:t>
            </w:r>
          </w:p>
        </w:tc>
        <w:tc>
          <w:tcPr>
            <w:tcW w:w="708" w:type="dxa"/>
          </w:tcPr>
          <w:p>
            <w:pPr>
              <w:pStyle w:val="TableParagraph"/>
              <w:spacing w:line="213" w:lineRule="exact" w:before="2"/>
              <w:ind w:left="59"/>
              <w:jc w:val="center"/>
              <w:rPr>
                <w:sz w:val="20"/>
              </w:rPr>
            </w:pPr>
            <w:r>
              <w:rPr>
                <w:spacing w:val="-4"/>
                <w:sz w:val="20"/>
              </w:rPr>
              <w:t>65.2</w:t>
            </w:r>
          </w:p>
        </w:tc>
        <w:tc>
          <w:tcPr>
            <w:tcW w:w="756" w:type="dxa"/>
          </w:tcPr>
          <w:p>
            <w:pPr>
              <w:pStyle w:val="TableParagraph"/>
              <w:spacing w:line="213" w:lineRule="exact" w:before="2"/>
              <w:ind w:right="302"/>
              <w:jc w:val="right"/>
              <w:rPr>
                <w:sz w:val="20"/>
              </w:rPr>
            </w:pPr>
            <w:r>
              <w:rPr>
                <w:spacing w:val="-10"/>
                <w:sz w:val="20"/>
              </w:rPr>
              <w:t>4</w:t>
            </w:r>
          </w:p>
        </w:tc>
        <w:tc>
          <w:tcPr>
            <w:tcW w:w="905" w:type="dxa"/>
          </w:tcPr>
          <w:p>
            <w:pPr>
              <w:pStyle w:val="TableParagraph"/>
              <w:spacing w:line="213" w:lineRule="exact" w:before="2"/>
              <w:ind w:left="16"/>
              <w:jc w:val="center"/>
              <w:rPr>
                <w:sz w:val="20"/>
              </w:rPr>
            </w:pPr>
            <w:r>
              <w:rPr>
                <w:spacing w:val="-4"/>
                <w:sz w:val="20"/>
              </w:rPr>
              <w:t>17.4</w:t>
            </w:r>
          </w:p>
        </w:tc>
        <w:tc>
          <w:tcPr>
            <w:tcW w:w="687" w:type="dxa"/>
          </w:tcPr>
          <w:p>
            <w:pPr>
              <w:pStyle w:val="TableParagraph"/>
              <w:spacing w:line="213" w:lineRule="exact" w:before="2"/>
              <w:ind w:left="107" w:right="48"/>
              <w:jc w:val="center"/>
              <w:rPr>
                <w:sz w:val="20"/>
              </w:rPr>
            </w:pPr>
            <w:r>
              <w:rPr>
                <w:spacing w:val="-10"/>
                <w:sz w:val="20"/>
              </w:rPr>
              <w:t>-</w:t>
            </w:r>
          </w:p>
        </w:tc>
        <w:tc>
          <w:tcPr>
            <w:tcW w:w="800" w:type="dxa"/>
          </w:tcPr>
          <w:p>
            <w:pPr>
              <w:pStyle w:val="TableParagraph"/>
              <w:spacing w:line="213" w:lineRule="exact" w:before="2"/>
              <w:ind w:left="18" w:right="6"/>
              <w:jc w:val="center"/>
              <w:rPr>
                <w:sz w:val="20"/>
              </w:rPr>
            </w:pPr>
            <w:r>
              <w:rPr>
                <w:spacing w:val="-10"/>
                <w:sz w:val="20"/>
              </w:rPr>
              <w:t>-</w:t>
            </w:r>
          </w:p>
        </w:tc>
        <w:tc>
          <w:tcPr>
            <w:tcW w:w="627" w:type="dxa"/>
          </w:tcPr>
          <w:p>
            <w:pPr>
              <w:pStyle w:val="TableParagraph"/>
              <w:spacing w:line="213" w:lineRule="exact" w:before="2"/>
              <w:ind w:left="23" w:right="18"/>
              <w:jc w:val="center"/>
              <w:rPr>
                <w:sz w:val="20"/>
              </w:rPr>
            </w:pPr>
            <w:r>
              <w:rPr>
                <w:spacing w:val="-10"/>
                <w:sz w:val="20"/>
              </w:rPr>
              <w:t>-</w:t>
            </w:r>
          </w:p>
        </w:tc>
        <w:tc>
          <w:tcPr>
            <w:tcW w:w="730" w:type="dxa"/>
          </w:tcPr>
          <w:p>
            <w:pPr>
              <w:pStyle w:val="TableParagraph"/>
              <w:spacing w:line="213" w:lineRule="exact" w:before="2"/>
              <w:ind w:left="76" w:right="7"/>
              <w:jc w:val="center"/>
              <w:rPr>
                <w:sz w:val="20"/>
              </w:rPr>
            </w:pPr>
            <w:r>
              <w:rPr>
                <w:spacing w:val="-10"/>
                <w:sz w:val="20"/>
              </w:rPr>
              <w:t>-</w:t>
            </w:r>
          </w:p>
        </w:tc>
        <w:tc>
          <w:tcPr>
            <w:tcW w:w="732" w:type="dxa"/>
          </w:tcPr>
          <w:p>
            <w:pPr>
              <w:pStyle w:val="TableParagraph"/>
              <w:spacing w:line="213" w:lineRule="exact" w:before="2"/>
              <w:ind w:left="279"/>
              <w:rPr>
                <w:sz w:val="20"/>
              </w:rPr>
            </w:pPr>
            <w:r>
              <w:rPr>
                <w:spacing w:val="-5"/>
                <w:sz w:val="20"/>
              </w:rPr>
              <w:t>23</w:t>
            </w:r>
          </w:p>
        </w:tc>
        <w:tc>
          <w:tcPr>
            <w:tcW w:w="733" w:type="dxa"/>
            <w:tcBorders>
              <w:right w:val="single" w:sz="4" w:space="0" w:color="000000"/>
            </w:tcBorders>
          </w:tcPr>
          <w:p>
            <w:pPr>
              <w:pStyle w:val="TableParagraph"/>
              <w:spacing w:line="213" w:lineRule="exact" w:before="2"/>
              <w:ind w:left="34" w:right="5"/>
              <w:jc w:val="center"/>
              <w:rPr>
                <w:sz w:val="20"/>
              </w:rPr>
            </w:pPr>
            <w:r>
              <w:rPr>
                <w:spacing w:val="-5"/>
                <w:sz w:val="20"/>
              </w:rPr>
              <w:t>5.0</w:t>
            </w:r>
          </w:p>
        </w:tc>
      </w:tr>
      <w:tr>
        <w:trPr>
          <w:trHeight w:val="230" w:hRule="atLeast"/>
        </w:trPr>
        <w:tc>
          <w:tcPr>
            <w:tcW w:w="4145" w:type="dxa"/>
            <w:tcBorders>
              <w:left w:val="single" w:sz="4" w:space="0" w:color="000000"/>
            </w:tcBorders>
          </w:tcPr>
          <w:p>
            <w:pPr>
              <w:pStyle w:val="TableParagraph"/>
              <w:tabs>
                <w:tab w:pos="609" w:val="left" w:leader="none"/>
              </w:tabs>
              <w:spacing w:line="210" w:lineRule="exact"/>
              <w:ind w:right="102"/>
              <w:jc w:val="right"/>
              <w:rPr>
                <w:sz w:val="20"/>
              </w:rPr>
            </w:pPr>
            <w:r>
              <w:rPr>
                <w:spacing w:val="-5"/>
                <w:sz w:val="20"/>
              </w:rPr>
              <w:t>47.</w:t>
            </w:r>
            <w:r>
              <w:rPr>
                <w:sz w:val="20"/>
              </w:rPr>
              <w:tab/>
              <w:t>The</w:t>
            </w:r>
            <w:r>
              <w:rPr>
                <w:spacing w:val="22"/>
                <w:sz w:val="20"/>
              </w:rPr>
              <w:t> </w:t>
            </w:r>
            <w:r>
              <w:rPr>
                <w:sz w:val="20"/>
              </w:rPr>
              <w:t>Guidance</w:t>
            </w:r>
            <w:r>
              <w:rPr>
                <w:spacing w:val="23"/>
                <w:sz w:val="20"/>
              </w:rPr>
              <w:t> </w:t>
            </w:r>
            <w:r>
              <w:rPr>
                <w:sz w:val="20"/>
              </w:rPr>
              <w:t>and</w:t>
            </w:r>
            <w:r>
              <w:rPr>
                <w:spacing w:val="23"/>
                <w:sz w:val="20"/>
              </w:rPr>
              <w:t> </w:t>
            </w:r>
            <w:r>
              <w:rPr>
                <w:sz w:val="20"/>
              </w:rPr>
              <w:t>Counseling</w:t>
            </w:r>
            <w:r>
              <w:rPr>
                <w:spacing w:val="23"/>
                <w:sz w:val="20"/>
              </w:rPr>
              <w:t> </w:t>
            </w:r>
            <w:r>
              <w:rPr>
                <w:spacing w:val="-4"/>
                <w:sz w:val="20"/>
              </w:rPr>
              <w:t>unit</w:t>
            </w:r>
          </w:p>
        </w:tc>
        <w:tc>
          <w:tcPr>
            <w:tcW w:w="1974" w:type="dxa"/>
          </w:tcPr>
          <w:p>
            <w:pPr>
              <w:pStyle w:val="TableParagraph"/>
              <w:spacing w:line="210" w:lineRule="exact"/>
              <w:ind w:left="107"/>
              <w:rPr>
                <w:sz w:val="20"/>
              </w:rPr>
            </w:pPr>
            <w:r>
              <w:rPr>
                <w:sz w:val="20"/>
              </w:rPr>
              <w:t>No.</w:t>
            </w:r>
            <w:r>
              <w:rPr>
                <w:spacing w:val="-5"/>
                <w:sz w:val="20"/>
              </w:rPr>
              <w:t> </w:t>
            </w:r>
            <w:r>
              <w:rPr>
                <w:sz w:val="20"/>
              </w:rPr>
              <w:t>of</w:t>
            </w:r>
            <w:r>
              <w:rPr>
                <w:spacing w:val="-2"/>
                <w:sz w:val="20"/>
              </w:rPr>
              <w:t> missing</w:t>
            </w:r>
          </w:p>
        </w:tc>
        <w:tc>
          <w:tcPr>
            <w:tcW w:w="543" w:type="dxa"/>
          </w:tcPr>
          <w:p>
            <w:pPr>
              <w:pStyle w:val="TableParagraph"/>
              <w:rPr>
                <w:rFonts w:ascii="Times New Roman"/>
                <w:sz w:val="16"/>
              </w:rPr>
            </w:pPr>
          </w:p>
        </w:tc>
        <w:tc>
          <w:tcPr>
            <w:tcW w:w="729" w:type="dxa"/>
          </w:tcPr>
          <w:p>
            <w:pPr>
              <w:pStyle w:val="TableParagraph"/>
              <w:rPr>
                <w:rFonts w:ascii="Times New Roman"/>
                <w:sz w:val="16"/>
              </w:rPr>
            </w:pPr>
          </w:p>
        </w:tc>
        <w:tc>
          <w:tcPr>
            <w:tcW w:w="691" w:type="dxa"/>
          </w:tcPr>
          <w:p>
            <w:pPr>
              <w:pStyle w:val="TableParagraph"/>
              <w:rPr>
                <w:rFonts w:ascii="Times New Roman"/>
                <w:sz w:val="16"/>
              </w:rPr>
            </w:pPr>
          </w:p>
        </w:tc>
        <w:tc>
          <w:tcPr>
            <w:tcW w:w="708" w:type="dxa"/>
          </w:tcPr>
          <w:p>
            <w:pPr>
              <w:pStyle w:val="TableParagraph"/>
              <w:rPr>
                <w:rFonts w:ascii="Times New Roman"/>
                <w:sz w:val="16"/>
              </w:rPr>
            </w:pPr>
          </w:p>
        </w:tc>
        <w:tc>
          <w:tcPr>
            <w:tcW w:w="756" w:type="dxa"/>
          </w:tcPr>
          <w:p>
            <w:pPr>
              <w:pStyle w:val="TableParagraph"/>
              <w:rPr>
                <w:rFonts w:ascii="Times New Roman"/>
                <w:sz w:val="16"/>
              </w:rPr>
            </w:pPr>
          </w:p>
        </w:tc>
        <w:tc>
          <w:tcPr>
            <w:tcW w:w="905" w:type="dxa"/>
          </w:tcPr>
          <w:p>
            <w:pPr>
              <w:pStyle w:val="TableParagraph"/>
              <w:rPr>
                <w:rFonts w:ascii="Times New Roman"/>
                <w:sz w:val="16"/>
              </w:rPr>
            </w:pPr>
          </w:p>
        </w:tc>
        <w:tc>
          <w:tcPr>
            <w:tcW w:w="687" w:type="dxa"/>
          </w:tcPr>
          <w:p>
            <w:pPr>
              <w:pStyle w:val="TableParagraph"/>
              <w:rPr>
                <w:rFonts w:ascii="Times New Roman"/>
                <w:sz w:val="16"/>
              </w:rPr>
            </w:pPr>
          </w:p>
        </w:tc>
        <w:tc>
          <w:tcPr>
            <w:tcW w:w="800" w:type="dxa"/>
          </w:tcPr>
          <w:p>
            <w:pPr>
              <w:pStyle w:val="TableParagraph"/>
              <w:rPr>
                <w:rFonts w:ascii="Times New Roman"/>
                <w:sz w:val="16"/>
              </w:rPr>
            </w:pPr>
          </w:p>
        </w:tc>
        <w:tc>
          <w:tcPr>
            <w:tcW w:w="627" w:type="dxa"/>
          </w:tcPr>
          <w:p>
            <w:pPr>
              <w:pStyle w:val="TableParagraph"/>
              <w:rPr>
                <w:rFonts w:ascii="Times New Roman"/>
                <w:sz w:val="16"/>
              </w:rPr>
            </w:pPr>
          </w:p>
        </w:tc>
        <w:tc>
          <w:tcPr>
            <w:tcW w:w="730" w:type="dxa"/>
          </w:tcPr>
          <w:p>
            <w:pPr>
              <w:pStyle w:val="TableParagraph"/>
              <w:rPr>
                <w:rFonts w:ascii="Times New Roman"/>
                <w:sz w:val="16"/>
              </w:rPr>
            </w:pPr>
          </w:p>
        </w:tc>
        <w:tc>
          <w:tcPr>
            <w:tcW w:w="732" w:type="dxa"/>
          </w:tcPr>
          <w:p>
            <w:pPr>
              <w:pStyle w:val="TableParagraph"/>
              <w:rPr>
                <w:rFonts w:ascii="Times New Roman"/>
                <w:sz w:val="16"/>
              </w:rPr>
            </w:pPr>
          </w:p>
        </w:tc>
        <w:tc>
          <w:tcPr>
            <w:tcW w:w="733" w:type="dxa"/>
            <w:tcBorders>
              <w:right w:val="single" w:sz="4" w:space="0" w:color="000000"/>
            </w:tcBorders>
          </w:tcPr>
          <w:p>
            <w:pPr>
              <w:pStyle w:val="TableParagraph"/>
              <w:rPr>
                <w:rFonts w:ascii="Times New Roman"/>
                <w:sz w:val="16"/>
              </w:rPr>
            </w:pPr>
          </w:p>
        </w:tc>
      </w:tr>
      <w:tr>
        <w:trPr>
          <w:trHeight w:val="230" w:hRule="atLeast"/>
        </w:trPr>
        <w:tc>
          <w:tcPr>
            <w:tcW w:w="4145" w:type="dxa"/>
            <w:tcBorders>
              <w:left w:val="single" w:sz="4" w:space="0" w:color="000000"/>
            </w:tcBorders>
          </w:tcPr>
          <w:p>
            <w:pPr>
              <w:pStyle w:val="TableParagraph"/>
              <w:spacing w:line="210" w:lineRule="exact"/>
              <w:ind w:right="103"/>
              <w:jc w:val="right"/>
              <w:rPr>
                <w:sz w:val="20"/>
              </w:rPr>
            </w:pPr>
            <w:r>
              <w:rPr>
                <w:sz w:val="20"/>
              </w:rPr>
              <w:t>does</w:t>
            </w:r>
            <w:r>
              <w:rPr>
                <w:spacing w:val="-3"/>
                <w:sz w:val="20"/>
              </w:rPr>
              <w:t> </w:t>
            </w:r>
            <w:r>
              <w:rPr>
                <w:sz w:val="20"/>
              </w:rPr>
              <w:t>not</w:t>
            </w:r>
            <w:r>
              <w:rPr>
                <w:spacing w:val="2"/>
                <w:sz w:val="20"/>
              </w:rPr>
              <w:t> </w:t>
            </w:r>
            <w:r>
              <w:rPr>
                <w:sz w:val="20"/>
              </w:rPr>
              <w:t>offer enough</w:t>
            </w:r>
            <w:r>
              <w:rPr>
                <w:spacing w:val="-2"/>
                <w:sz w:val="20"/>
              </w:rPr>
              <w:t> </w:t>
            </w:r>
            <w:r>
              <w:rPr>
                <w:sz w:val="20"/>
              </w:rPr>
              <w:t>assistance</w:t>
            </w:r>
            <w:r>
              <w:rPr>
                <w:spacing w:val="-1"/>
                <w:sz w:val="20"/>
              </w:rPr>
              <w:t> </w:t>
            </w:r>
            <w:r>
              <w:rPr>
                <w:spacing w:val="-5"/>
                <w:sz w:val="20"/>
              </w:rPr>
              <w:t>to</w:t>
            </w:r>
          </w:p>
        </w:tc>
        <w:tc>
          <w:tcPr>
            <w:tcW w:w="1974" w:type="dxa"/>
          </w:tcPr>
          <w:p>
            <w:pPr>
              <w:pStyle w:val="TableParagraph"/>
              <w:spacing w:line="210" w:lineRule="exact"/>
              <w:ind w:left="107"/>
              <w:rPr>
                <w:sz w:val="20"/>
              </w:rPr>
            </w:pPr>
            <w:r>
              <w:rPr>
                <w:spacing w:val="-2"/>
                <w:sz w:val="20"/>
              </w:rPr>
              <w:t>observations</w:t>
            </w:r>
          </w:p>
        </w:tc>
        <w:tc>
          <w:tcPr>
            <w:tcW w:w="543" w:type="dxa"/>
          </w:tcPr>
          <w:p>
            <w:pPr>
              <w:pStyle w:val="TableParagraph"/>
              <w:spacing w:line="210" w:lineRule="exact"/>
              <w:ind w:left="12"/>
              <w:jc w:val="center"/>
              <w:rPr>
                <w:sz w:val="20"/>
              </w:rPr>
            </w:pPr>
            <w:r>
              <w:rPr>
                <w:spacing w:val="-10"/>
                <w:sz w:val="20"/>
              </w:rPr>
              <w:t>1</w:t>
            </w:r>
          </w:p>
        </w:tc>
        <w:tc>
          <w:tcPr>
            <w:tcW w:w="729" w:type="dxa"/>
          </w:tcPr>
          <w:p>
            <w:pPr>
              <w:pStyle w:val="TableParagraph"/>
              <w:spacing w:line="210" w:lineRule="exact"/>
              <w:ind w:left="85" w:right="86"/>
              <w:jc w:val="center"/>
              <w:rPr>
                <w:sz w:val="20"/>
              </w:rPr>
            </w:pPr>
            <w:r>
              <w:rPr>
                <w:spacing w:val="-4"/>
                <w:sz w:val="20"/>
              </w:rPr>
              <w:t>50.0</w:t>
            </w:r>
          </w:p>
        </w:tc>
        <w:tc>
          <w:tcPr>
            <w:tcW w:w="691" w:type="dxa"/>
          </w:tcPr>
          <w:p>
            <w:pPr>
              <w:pStyle w:val="TableParagraph"/>
              <w:spacing w:line="210" w:lineRule="exact"/>
              <w:ind w:left="22" w:right="4"/>
              <w:jc w:val="center"/>
              <w:rPr>
                <w:sz w:val="20"/>
              </w:rPr>
            </w:pPr>
            <w:r>
              <w:rPr>
                <w:spacing w:val="-10"/>
                <w:sz w:val="20"/>
              </w:rPr>
              <w:t>1</w:t>
            </w:r>
          </w:p>
        </w:tc>
        <w:tc>
          <w:tcPr>
            <w:tcW w:w="708" w:type="dxa"/>
          </w:tcPr>
          <w:p>
            <w:pPr>
              <w:pStyle w:val="TableParagraph"/>
              <w:spacing w:line="210" w:lineRule="exact"/>
              <w:ind w:left="59"/>
              <w:jc w:val="center"/>
              <w:rPr>
                <w:sz w:val="20"/>
              </w:rPr>
            </w:pPr>
            <w:r>
              <w:rPr>
                <w:spacing w:val="-4"/>
                <w:sz w:val="20"/>
              </w:rPr>
              <w:t>50.0</w:t>
            </w:r>
          </w:p>
        </w:tc>
        <w:tc>
          <w:tcPr>
            <w:tcW w:w="756" w:type="dxa"/>
          </w:tcPr>
          <w:p>
            <w:pPr>
              <w:pStyle w:val="TableParagraph"/>
              <w:spacing w:line="210" w:lineRule="exact"/>
              <w:ind w:right="327"/>
              <w:jc w:val="right"/>
              <w:rPr>
                <w:sz w:val="20"/>
              </w:rPr>
            </w:pPr>
            <w:r>
              <w:rPr>
                <w:spacing w:val="-10"/>
                <w:sz w:val="20"/>
              </w:rPr>
              <w:t>-</w:t>
            </w:r>
          </w:p>
        </w:tc>
        <w:tc>
          <w:tcPr>
            <w:tcW w:w="905" w:type="dxa"/>
          </w:tcPr>
          <w:p>
            <w:pPr>
              <w:pStyle w:val="TableParagraph"/>
              <w:spacing w:line="210" w:lineRule="exact"/>
              <w:ind w:left="16" w:right="7"/>
              <w:jc w:val="center"/>
              <w:rPr>
                <w:sz w:val="20"/>
              </w:rPr>
            </w:pPr>
            <w:r>
              <w:rPr>
                <w:spacing w:val="-10"/>
                <w:sz w:val="20"/>
              </w:rPr>
              <w:t>-</w:t>
            </w:r>
          </w:p>
        </w:tc>
        <w:tc>
          <w:tcPr>
            <w:tcW w:w="687" w:type="dxa"/>
          </w:tcPr>
          <w:p>
            <w:pPr>
              <w:pStyle w:val="TableParagraph"/>
              <w:spacing w:line="210" w:lineRule="exact"/>
              <w:ind w:left="107" w:right="48"/>
              <w:jc w:val="center"/>
              <w:rPr>
                <w:sz w:val="20"/>
              </w:rPr>
            </w:pPr>
            <w:r>
              <w:rPr>
                <w:spacing w:val="-10"/>
                <w:sz w:val="20"/>
              </w:rPr>
              <w:t>-</w:t>
            </w:r>
          </w:p>
        </w:tc>
        <w:tc>
          <w:tcPr>
            <w:tcW w:w="800" w:type="dxa"/>
          </w:tcPr>
          <w:p>
            <w:pPr>
              <w:pStyle w:val="TableParagraph"/>
              <w:spacing w:line="210" w:lineRule="exact"/>
              <w:ind w:left="18" w:right="6"/>
              <w:jc w:val="center"/>
              <w:rPr>
                <w:sz w:val="20"/>
              </w:rPr>
            </w:pPr>
            <w:r>
              <w:rPr>
                <w:spacing w:val="-10"/>
                <w:sz w:val="20"/>
              </w:rPr>
              <w:t>-</w:t>
            </w:r>
          </w:p>
        </w:tc>
        <w:tc>
          <w:tcPr>
            <w:tcW w:w="627" w:type="dxa"/>
          </w:tcPr>
          <w:p>
            <w:pPr>
              <w:pStyle w:val="TableParagraph"/>
              <w:spacing w:line="210" w:lineRule="exact"/>
              <w:ind w:left="23" w:right="18"/>
              <w:jc w:val="center"/>
              <w:rPr>
                <w:sz w:val="20"/>
              </w:rPr>
            </w:pPr>
            <w:r>
              <w:rPr>
                <w:spacing w:val="-10"/>
                <w:sz w:val="20"/>
              </w:rPr>
              <w:t>-</w:t>
            </w:r>
          </w:p>
        </w:tc>
        <w:tc>
          <w:tcPr>
            <w:tcW w:w="730" w:type="dxa"/>
          </w:tcPr>
          <w:p>
            <w:pPr>
              <w:pStyle w:val="TableParagraph"/>
              <w:spacing w:line="210" w:lineRule="exact"/>
              <w:ind w:left="76" w:right="7"/>
              <w:jc w:val="center"/>
              <w:rPr>
                <w:sz w:val="20"/>
              </w:rPr>
            </w:pPr>
            <w:r>
              <w:rPr>
                <w:spacing w:val="-10"/>
                <w:sz w:val="20"/>
              </w:rPr>
              <w:t>-</w:t>
            </w:r>
          </w:p>
        </w:tc>
        <w:tc>
          <w:tcPr>
            <w:tcW w:w="732" w:type="dxa"/>
          </w:tcPr>
          <w:p>
            <w:pPr>
              <w:pStyle w:val="TableParagraph"/>
              <w:spacing w:line="210" w:lineRule="exact"/>
              <w:ind w:left="59" w:right="5"/>
              <w:jc w:val="center"/>
              <w:rPr>
                <w:sz w:val="20"/>
              </w:rPr>
            </w:pPr>
            <w:r>
              <w:rPr>
                <w:spacing w:val="-10"/>
                <w:sz w:val="20"/>
              </w:rPr>
              <w:t>2</w:t>
            </w:r>
          </w:p>
        </w:tc>
        <w:tc>
          <w:tcPr>
            <w:tcW w:w="733" w:type="dxa"/>
            <w:tcBorders>
              <w:right w:val="single" w:sz="4" w:space="0" w:color="000000"/>
            </w:tcBorders>
          </w:tcPr>
          <w:p>
            <w:pPr>
              <w:pStyle w:val="TableParagraph"/>
              <w:spacing w:line="210" w:lineRule="exact"/>
              <w:ind w:left="34" w:right="5"/>
              <w:jc w:val="center"/>
              <w:rPr>
                <w:sz w:val="20"/>
              </w:rPr>
            </w:pPr>
            <w:r>
              <w:rPr>
                <w:spacing w:val="-5"/>
                <w:sz w:val="20"/>
              </w:rPr>
              <w:t>0.4</w:t>
            </w:r>
          </w:p>
        </w:tc>
      </w:tr>
      <w:tr>
        <w:trPr>
          <w:trHeight w:val="230" w:hRule="atLeast"/>
        </w:trPr>
        <w:tc>
          <w:tcPr>
            <w:tcW w:w="4145" w:type="dxa"/>
            <w:tcBorders>
              <w:left w:val="single" w:sz="4" w:space="0" w:color="000000"/>
            </w:tcBorders>
          </w:tcPr>
          <w:p>
            <w:pPr>
              <w:pStyle w:val="TableParagraph"/>
              <w:spacing w:line="210" w:lineRule="exact"/>
              <w:ind w:right="99"/>
              <w:jc w:val="right"/>
              <w:rPr>
                <w:sz w:val="20"/>
              </w:rPr>
            </w:pPr>
            <w:r>
              <w:rPr>
                <w:sz w:val="20"/>
              </w:rPr>
              <w:t>discourage</w:t>
            </w:r>
            <w:r>
              <w:rPr>
                <w:spacing w:val="-4"/>
                <w:sz w:val="20"/>
              </w:rPr>
              <w:t> </w:t>
            </w:r>
            <w:r>
              <w:rPr>
                <w:sz w:val="20"/>
              </w:rPr>
              <w:t>and</w:t>
            </w:r>
            <w:r>
              <w:rPr>
                <w:spacing w:val="-3"/>
                <w:sz w:val="20"/>
              </w:rPr>
              <w:t> </w:t>
            </w:r>
            <w:r>
              <w:rPr>
                <w:sz w:val="20"/>
              </w:rPr>
              <w:t>combat some</w:t>
            </w:r>
            <w:r>
              <w:rPr>
                <w:spacing w:val="-3"/>
                <w:sz w:val="20"/>
              </w:rPr>
              <w:t> </w:t>
            </w:r>
            <w:r>
              <w:rPr>
                <w:sz w:val="20"/>
              </w:rPr>
              <w:t>of</w:t>
            </w:r>
            <w:r>
              <w:rPr>
                <w:spacing w:val="1"/>
                <w:sz w:val="20"/>
              </w:rPr>
              <w:t> </w:t>
            </w:r>
            <w:r>
              <w:rPr>
                <w:spacing w:val="-5"/>
                <w:sz w:val="20"/>
              </w:rPr>
              <w:t>the</w:t>
            </w:r>
          </w:p>
        </w:tc>
        <w:tc>
          <w:tcPr>
            <w:tcW w:w="1974" w:type="dxa"/>
          </w:tcPr>
          <w:p>
            <w:pPr>
              <w:pStyle w:val="TableParagraph"/>
              <w:spacing w:line="210" w:lineRule="exact"/>
              <w:ind w:left="107"/>
              <w:rPr>
                <w:sz w:val="20"/>
              </w:rPr>
            </w:pPr>
            <w:r>
              <w:rPr>
                <w:spacing w:val="-2"/>
                <w:sz w:val="20"/>
              </w:rPr>
              <w:t>Students</w:t>
            </w:r>
          </w:p>
        </w:tc>
        <w:tc>
          <w:tcPr>
            <w:tcW w:w="543" w:type="dxa"/>
          </w:tcPr>
          <w:p>
            <w:pPr>
              <w:pStyle w:val="TableParagraph"/>
              <w:spacing w:line="210" w:lineRule="exact"/>
              <w:ind w:left="12" w:right="4"/>
              <w:jc w:val="center"/>
              <w:rPr>
                <w:sz w:val="20"/>
              </w:rPr>
            </w:pPr>
            <w:r>
              <w:rPr>
                <w:spacing w:val="-5"/>
                <w:sz w:val="20"/>
              </w:rPr>
              <w:t>50</w:t>
            </w:r>
          </w:p>
        </w:tc>
        <w:tc>
          <w:tcPr>
            <w:tcW w:w="729" w:type="dxa"/>
          </w:tcPr>
          <w:p>
            <w:pPr>
              <w:pStyle w:val="TableParagraph"/>
              <w:spacing w:line="210" w:lineRule="exact"/>
              <w:ind w:left="85" w:right="86"/>
              <w:jc w:val="center"/>
              <w:rPr>
                <w:sz w:val="20"/>
              </w:rPr>
            </w:pPr>
            <w:r>
              <w:rPr>
                <w:spacing w:val="-4"/>
                <w:sz w:val="20"/>
              </w:rPr>
              <w:t>21.3</w:t>
            </w:r>
          </w:p>
        </w:tc>
        <w:tc>
          <w:tcPr>
            <w:tcW w:w="691" w:type="dxa"/>
          </w:tcPr>
          <w:p>
            <w:pPr>
              <w:pStyle w:val="TableParagraph"/>
              <w:spacing w:line="210" w:lineRule="exact"/>
              <w:ind w:left="22" w:right="9"/>
              <w:jc w:val="center"/>
              <w:rPr>
                <w:sz w:val="20"/>
              </w:rPr>
            </w:pPr>
            <w:r>
              <w:rPr>
                <w:spacing w:val="-5"/>
                <w:sz w:val="20"/>
              </w:rPr>
              <w:t>89</w:t>
            </w:r>
          </w:p>
        </w:tc>
        <w:tc>
          <w:tcPr>
            <w:tcW w:w="708" w:type="dxa"/>
          </w:tcPr>
          <w:p>
            <w:pPr>
              <w:pStyle w:val="TableParagraph"/>
              <w:spacing w:line="210" w:lineRule="exact"/>
              <w:ind w:left="59"/>
              <w:jc w:val="center"/>
              <w:rPr>
                <w:sz w:val="20"/>
              </w:rPr>
            </w:pPr>
            <w:r>
              <w:rPr>
                <w:spacing w:val="-4"/>
                <w:sz w:val="20"/>
              </w:rPr>
              <w:t>37.9</w:t>
            </w:r>
          </w:p>
        </w:tc>
        <w:tc>
          <w:tcPr>
            <w:tcW w:w="756" w:type="dxa"/>
          </w:tcPr>
          <w:p>
            <w:pPr>
              <w:pStyle w:val="TableParagraph"/>
              <w:spacing w:line="210" w:lineRule="exact"/>
              <w:ind w:right="249"/>
              <w:jc w:val="right"/>
              <w:rPr>
                <w:sz w:val="20"/>
              </w:rPr>
            </w:pPr>
            <w:r>
              <w:rPr>
                <w:spacing w:val="-5"/>
                <w:sz w:val="20"/>
              </w:rPr>
              <w:t>34</w:t>
            </w:r>
          </w:p>
        </w:tc>
        <w:tc>
          <w:tcPr>
            <w:tcW w:w="905" w:type="dxa"/>
          </w:tcPr>
          <w:p>
            <w:pPr>
              <w:pStyle w:val="TableParagraph"/>
              <w:spacing w:line="210" w:lineRule="exact"/>
              <w:ind w:left="16"/>
              <w:jc w:val="center"/>
              <w:rPr>
                <w:sz w:val="20"/>
              </w:rPr>
            </w:pPr>
            <w:r>
              <w:rPr>
                <w:spacing w:val="-4"/>
                <w:sz w:val="20"/>
              </w:rPr>
              <w:t>14.5</w:t>
            </w:r>
          </w:p>
        </w:tc>
        <w:tc>
          <w:tcPr>
            <w:tcW w:w="687" w:type="dxa"/>
          </w:tcPr>
          <w:p>
            <w:pPr>
              <w:pStyle w:val="TableParagraph"/>
              <w:spacing w:line="210" w:lineRule="exact"/>
              <w:ind w:left="109" w:right="48"/>
              <w:jc w:val="center"/>
              <w:rPr>
                <w:sz w:val="20"/>
              </w:rPr>
            </w:pPr>
            <w:r>
              <w:rPr>
                <w:spacing w:val="-5"/>
                <w:sz w:val="20"/>
              </w:rPr>
              <w:t>41</w:t>
            </w:r>
          </w:p>
        </w:tc>
        <w:tc>
          <w:tcPr>
            <w:tcW w:w="800" w:type="dxa"/>
          </w:tcPr>
          <w:p>
            <w:pPr>
              <w:pStyle w:val="TableParagraph"/>
              <w:spacing w:line="210" w:lineRule="exact"/>
              <w:ind w:left="19" w:right="1"/>
              <w:jc w:val="center"/>
              <w:rPr>
                <w:sz w:val="20"/>
              </w:rPr>
            </w:pPr>
            <w:r>
              <w:rPr>
                <w:spacing w:val="-4"/>
                <w:sz w:val="20"/>
              </w:rPr>
              <w:t>17.4</w:t>
            </w:r>
          </w:p>
        </w:tc>
        <w:tc>
          <w:tcPr>
            <w:tcW w:w="627" w:type="dxa"/>
          </w:tcPr>
          <w:p>
            <w:pPr>
              <w:pStyle w:val="TableParagraph"/>
              <w:spacing w:line="210" w:lineRule="exact"/>
              <w:ind w:left="23" w:right="16"/>
              <w:jc w:val="center"/>
              <w:rPr>
                <w:sz w:val="20"/>
              </w:rPr>
            </w:pPr>
            <w:r>
              <w:rPr>
                <w:spacing w:val="-5"/>
                <w:sz w:val="20"/>
              </w:rPr>
              <w:t>21</w:t>
            </w:r>
          </w:p>
        </w:tc>
        <w:tc>
          <w:tcPr>
            <w:tcW w:w="730" w:type="dxa"/>
          </w:tcPr>
          <w:p>
            <w:pPr>
              <w:pStyle w:val="TableParagraph"/>
              <w:spacing w:line="210" w:lineRule="exact"/>
              <w:ind w:left="76" w:right="5"/>
              <w:jc w:val="center"/>
              <w:rPr>
                <w:sz w:val="20"/>
              </w:rPr>
            </w:pPr>
            <w:r>
              <w:rPr>
                <w:spacing w:val="-5"/>
                <w:sz w:val="20"/>
              </w:rPr>
              <w:t>8.9</w:t>
            </w:r>
          </w:p>
        </w:tc>
        <w:tc>
          <w:tcPr>
            <w:tcW w:w="732" w:type="dxa"/>
          </w:tcPr>
          <w:p>
            <w:pPr>
              <w:pStyle w:val="TableParagraph"/>
              <w:spacing w:line="210" w:lineRule="exact"/>
              <w:ind w:right="174"/>
              <w:jc w:val="right"/>
              <w:rPr>
                <w:sz w:val="20"/>
              </w:rPr>
            </w:pPr>
            <w:r>
              <w:rPr>
                <w:spacing w:val="-5"/>
                <w:sz w:val="20"/>
              </w:rPr>
              <w:t>235</w:t>
            </w:r>
          </w:p>
        </w:tc>
        <w:tc>
          <w:tcPr>
            <w:tcW w:w="733" w:type="dxa"/>
            <w:tcBorders>
              <w:right w:val="single" w:sz="4" w:space="0" w:color="000000"/>
            </w:tcBorders>
          </w:tcPr>
          <w:p>
            <w:pPr>
              <w:pStyle w:val="TableParagraph"/>
              <w:spacing w:line="210" w:lineRule="exact"/>
              <w:ind w:left="34"/>
              <w:jc w:val="center"/>
              <w:rPr>
                <w:sz w:val="20"/>
              </w:rPr>
            </w:pPr>
            <w:r>
              <w:rPr>
                <w:spacing w:val="-4"/>
                <w:sz w:val="20"/>
              </w:rPr>
              <w:t>50.8</w:t>
            </w:r>
          </w:p>
        </w:tc>
      </w:tr>
      <w:tr>
        <w:trPr>
          <w:trHeight w:val="228" w:hRule="atLeast"/>
        </w:trPr>
        <w:tc>
          <w:tcPr>
            <w:tcW w:w="4145" w:type="dxa"/>
            <w:tcBorders>
              <w:left w:val="single" w:sz="4" w:space="0" w:color="000000"/>
            </w:tcBorders>
          </w:tcPr>
          <w:p>
            <w:pPr>
              <w:pStyle w:val="TableParagraph"/>
              <w:spacing w:line="208" w:lineRule="exact"/>
              <w:ind w:right="104"/>
              <w:jc w:val="right"/>
              <w:rPr>
                <w:sz w:val="20"/>
              </w:rPr>
            </w:pPr>
            <w:r>
              <w:rPr>
                <w:sz w:val="20"/>
              </w:rPr>
              <w:t>social</w:t>
            </w:r>
            <w:r>
              <w:rPr>
                <w:spacing w:val="30"/>
                <w:sz w:val="20"/>
              </w:rPr>
              <w:t> </w:t>
            </w:r>
            <w:r>
              <w:rPr>
                <w:sz w:val="20"/>
              </w:rPr>
              <w:t>vices</w:t>
            </w:r>
            <w:r>
              <w:rPr>
                <w:spacing w:val="27"/>
                <w:sz w:val="20"/>
              </w:rPr>
              <w:t> </w:t>
            </w:r>
            <w:r>
              <w:rPr>
                <w:sz w:val="20"/>
              </w:rPr>
              <w:t>on</w:t>
            </w:r>
            <w:r>
              <w:rPr>
                <w:spacing w:val="31"/>
                <w:sz w:val="20"/>
              </w:rPr>
              <w:t> </w:t>
            </w:r>
            <w:r>
              <w:rPr>
                <w:sz w:val="20"/>
              </w:rPr>
              <w:t>campuses</w:t>
            </w:r>
            <w:r>
              <w:rPr>
                <w:spacing w:val="32"/>
                <w:sz w:val="20"/>
              </w:rPr>
              <w:t> </w:t>
            </w:r>
            <w:r>
              <w:rPr>
                <w:sz w:val="20"/>
              </w:rPr>
              <w:t>such</w:t>
            </w:r>
            <w:r>
              <w:rPr>
                <w:spacing w:val="31"/>
                <w:sz w:val="20"/>
              </w:rPr>
              <w:t> </w:t>
            </w:r>
            <w:r>
              <w:rPr>
                <w:spacing w:val="-5"/>
                <w:sz w:val="20"/>
              </w:rPr>
              <w:t>as</w:t>
            </w:r>
          </w:p>
        </w:tc>
        <w:tc>
          <w:tcPr>
            <w:tcW w:w="1974" w:type="dxa"/>
          </w:tcPr>
          <w:p>
            <w:pPr>
              <w:pStyle w:val="TableParagraph"/>
              <w:spacing w:line="208" w:lineRule="exact"/>
              <w:ind w:left="107"/>
              <w:rPr>
                <w:sz w:val="20"/>
              </w:rPr>
            </w:pPr>
            <w:r>
              <w:rPr>
                <w:sz w:val="20"/>
              </w:rPr>
              <w:t>Service</w:t>
            </w:r>
            <w:r>
              <w:rPr>
                <w:spacing w:val="-9"/>
                <w:sz w:val="20"/>
              </w:rPr>
              <w:t> </w:t>
            </w:r>
            <w:r>
              <w:rPr>
                <w:spacing w:val="-2"/>
                <w:sz w:val="20"/>
              </w:rPr>
              <w:t>Staff</w:t>
            </w:r>
          </w:p>
        </w:tc>
        <w:tc>
          <w:tcPr>
            <w:tcW w:w="543" w:type="dxa"/>
          </w:tcPr>
          <w:p>
            <w:pPr>
              <w:pStyle w:val="TableParagraph"/>
              <w:spacing w:line="208" w:lineRule="exact"/>
              <w:ind w:left="12" w:right="4"/>
              <w:jc w:val="center"/>
              <w:rPr>
                <w:sz w:val="20"/>
              </w:rPr>
            </w:pPr>
            <w:r>
              <w:rPr>
                <w:spacing w:val="-5"/>
                <w:sz w:val="20"/>
              </w:rPr>
              <w:t>40</w:t>
            </w:r>
          </w:p>
        </w:tc>
        <w:tc>
          <w:tcPr>
            <w:tcW w:w="729" w:type="dxa"/>
          </w:tcPr>
          <w:p>
            <w:pPr>
              <w:pStyle w:val="TableParagraph"/>
              <w:spacing w:line="208" w:lineRule="exact"/>
              <w:ind w:left="85" w:right="86"/>
              <w:jc w:val="center"/>
              <w:rPr>
                <w:sz w:val="20"/>
              </w:rPr>
            </w:pPr>
            <w:r>
              <w:rPr>
                <w:spacing w:val="-4"/>
                <w:sz w:val="20"/>
              </w:rPr>
              <w:t>19.7</w:t>
            </w:r>
          </w:p>
        </w:tc>
        <w:tc>
          <w:tcPr>
            <w:tcW w:w="691" w:type="dxa"/>
          </w:tcPr>
          <w:p>
            <w:pPr>
              <w:pStyle w:val="TableParagraph"/>
              <w:spacing w:line="208" w:lineRule="exact"/>
              <w:ind w:left="22" w:right="9"/>
              <w:jc w:val="center"/>
              <w:rPr>
                <w:sz w:val="20"/>
              </w:rPr>
            </w:pPr>
            <w:r>
              <w:rPr>
                <w:spacing w:val="-5"/>
                <w:sz w:val="20"/>
              </w:rPr>
              <w:t>79</w:t>
            </w:r>
          </w:p>
        </w:tc>
        <w:tc>
          <w:tcPr>
            <w:tcW w:w="708" w:type="dxa"/>
          </w:tcPr>
          <w:p>
            <w:pPr>
              <w:pStyle w:val="TableParagraph"/>
              <w:spacing w:line="208" w:lineRule="exact"/>
              <w:ind w:left="59"/>
              <w:jc w:val="center"/>
              <w:rPr>
                <w:sz w:val="20"/>
              </w:rPr>
            </w:pPr>
            <w:r>
              <w:rPr>
                <w:spacing w:val="-4"/>
                <w:sz w:val="20"/>
              </w:rPr>
              <w:t>38.9</w:t>
            </w:r>
          </w:p>
        </w:tc>
        <w:tc>
          <w:tcPr>
            <w:tcW w:w="756" w:type="dxa"/>
          </w:tcPr>
          <w:p>
            <w:pPr>
              <w:pStyle w:val="TableParagraph"/>
              <w:spacing w:line="208" w:lineRule="exact"/>
              <w:ind w:right="249"/>
              <w:jc w:val="right"/>
              <w:rPr>
                <w:sz w:val="20"/>
              </w:rPr>
            </w:pPr>
            <w:r>
              <w:rPr>
                <w:spacing w:val="-5"/>
                <w:sz w:val="20"/>
              </w:rPr>
              <w:t>34</w:t>
            </w:r>
          </w:p>
        </w:tc>
        <w:tc>
          <w:tcPr>
            <w:tcW w:w="905" w:type="dxa"/>
          </w:tcPr>
          <w:p>
            <w:pPr>
              <w:pStyle w:val="TableParagraph"/>
              <w:spacing w:line="208" w:lineRule="exact"/>
              <w:ind w:left="16"/>
              <w:jc w:val="center"/>
              <w:rPr>
                <w:sz w:val="20"/>
              </w:rPr>
            </w:pPr>
            <w:r>
              <w:rPr>
                <w:spacing w:val="-4"/>
                <w:sz w:val="20"/>
              </w:rPr>
              <w:t>16.7</w:t>
            </w:r>
          </w:p>
        </w:tc>
        <w:tc>
          <w:tcPr>
            <w:tcW w:w="687" w:type="dxa"/>
          </w:tcPr>
          <w:p>
            <w:pPr>
              <w:pStyle w:val="TableParagraph"/>
              <w:spacing w:line="208" w:lineRule="exact"/>
              <w:ind w:left="109" w:right="48"/>
              <w:jc w:val="center"/>
              <w:rPr>
                <w:sz w:val="20"/>
              </w:rPr>
            </w:pPr>
            <w:r>
              <w:rPr>
                <w:spacing w:val="-5"/>
                <w:sz w:val="20"/>
              </w:rPr>
              <w:t>28</w:t>
            </w:r>
          </w:p>
        </w:tc>
        <w:tc>
          <w:tcPr>
            <w:tcW w:w="800" w:type="dxa"/>
          </w:tcPr>
          <w:p>
            <w:pPr>
              <w:pStyle w:val="TableParagraph"/>
              <w:spacing w:line="208" w:lineRule="exact"/>
              <w:ind w:left="19" w:right="1"/>
              <w:jc w:val="center"/>
              <w:rPr>
                <w:sz w:val="20"/>
              </w:rPr>
            </w:pPr>
            <w:r>
              <w:rPr>
                <w:spacing w:val="-4"/>
                <w:sz w:val="20"/>
              </w:rPr>
              <w:t>13.8</w:t>
            </w:r>
          </w:p>
        </w:tc>
        <w:tc>
          <w:tcPr>
            <w:tcW w:w="627" w:type="dxa"/>
          </w:tcPr>
          <w:p>
            <w:pPr>
              <w:pStyle w:val="TableParagraph"/>
              <w:spacing w:line="208" w:lineRule="exact"/>
              <w:ind w:left="23" w:right="16"/>
              <w:jc w:val="center"/>
              <w:rPr>
                <w:sz w:val="20"/>
              </w:rPr>
            </w:pPr>
            <w:r>
              <w:rPr>
                <w:spacing w:val="-5"/>
                <w:sz w:val="20"/>
              </w:rPr>
              <w:t>22</w:t>
            </w:r>
          </w:p>
        </w:tc>
        <w:tc>
          <w:tcPr>
            <w:tcW w:w="730" w:type="dxa"/>
          </w:tcPr>
          <w:p>
            <w:pPr>
              <w:pStyle w:val="TableParagraph"/>
              <w:spacing w:line="208" w:lineRule="exact"/>
              <w:ind w:left="80" w:right="4"/>
              <w:jc w:val="center"/>
              <w:rPr>
                <w:sz w:val="20"/>
              </w:rPr>
            </w:pPr>
            <w:r>
              <w:rPr>
                <w:spacing w:val="-4"/>
                <w:sz w:val="20"/>
              </w:rPr>
              <w:t>10.8</w:t>
            </w:r>
          </w:p>
        </w:tc>
        <w:tc>
          <w:tcPr>
            <w:tcW w:w="732" w:type="dxa"/>
          </w:tcPr>
          <w:p>
            <w:pPr>
              <w:pStyle w:val="TableParagraph"/>
              <w:spacing w:line="208" w:lineRule="exact"/>
              <w:ind w:right="174"/>
              <w:jc w:val="right"/>
              <w:rPr>
                <w:sz w:val="20"/>
              </w:rPr>
            </w:pPr>
            <w:r>
              <w:rPr>
                <w:spacing w:val="-5"/>
                <w:sz w:val="20"/>
              </w:rPr>
              <w:t>203</w:t>
            </w:r>
          </w:p>
        </w:tc>
        <w:tc>
          <w:tcPr>
            <w:tcW w:w="733" w:type="dxa"/>
            <w:tcBorders>
              <w:right w:val="single" w:sz="4" w:space="0" w:color="000000"/>
            </w:tcBorders>
          </w:tcPr>
          <w:p>
            <w:pPr>
              <w:pStyle w:val="TableParagraph"/>
              <w:spacing w:line="208" w:lineRule="exact"/>
              <w:ind w:left="34"/>
              <w:jc w:val="center"/>
              <w:rPr>
                <w:sz w:val="20"/>
              </w:rPr>
            </w:pPr>
            <w:r>
              <w:rPr>
                <w:spacing w:val="-4"/>
                <w:sz w:val="20"/>
              </w:rPr>
              <w:t>43.8</w:t>
            </w:r>
          </w:p>
        </w:tc>
      </w:tr>
      <w:tr>
        <w:trPr>
          <w:trHeight w:val="227" w:hRule="atLeast"/>
        </w:trPr>
        <w:tc>
          <w:tcPr>
            <w:tcW w:w="4145" w:type="dxa"/>
            <w:tcBorders>
              <w:left w:val="single" w:sz="4" w:space="0" w:color="000000"/>
            </w:tcBorders>
          </w:tcPr>
          <w:p>
            <w:pPr>
              <w:pStyle w:val="TableParagraph"/>
              <w:tabs>
                <w:tab w:pos="1036" w:val="left" w:leader="none"/>
                <w:tab w:pos="2126" w:val="left" w:leader="none"/>
              </w:tabs>
              <w:spacing w:line="208" w:lineRule="exact"/>
              <w:ind w:right="98"/>
              <w:jc w:val="right"/>
              <w:rPr>
                <w:sz w:val="20"/>
              </w:rPr>
            </w:pPr>
            <w:r>
              <w:rPr>
                <w:spacing w:val="-2"/>
                <w:sz w:val="20"/>
              </w:rPr>
              <w:t>cultism,</w:t>
            </w:r>
            <w:r>
              <w:rPr>
                <w:sz w:val="20"/>
              </w:rPr>
              <w:tab/>
            </w:r>
            <w:r>
              <w:rPr>
                <w:spacing w:val="-2"/>
                <w:sz w:val="20"/>
              </w:rPr>
              <w:t>robbery,</w:t>
            </w:r>
            <w:r>
              <w:rPr>
                <w:sz w:val="20"/>
              </w:rPr>
              <w:tab/>
            </w:r>
            <w:r>
              <w:rPr>
                <w:spacing w:val="-2"/>
                <w:sz w:val="20"/>
              </w:rPr>
              <w:t>examination</w:t>
            </w:r>
          </w:p>
        </w:tc>
        <w:tc>
          <w:tcPr>
            <w:tcW w:w="1974" w:type="dxa"/>
          </w:tcPr>
          <w:p>
            <w:pPr>
              <w:pStyle w:val="TableParagraph"/>
              <w:spacing w:line="208" w:lineRule="exact"/>
              <w:ind w:left="107"/>
              <w:rPr>
                <w:sz w:val="20"/>
              </w:rPr>
            </w:pPr>
            <w:r>
              <w:rPr>
                <w:sz w:val="20"/>
              </w:rPr>
              <w:t>Top</w:t>
            </w:r>
            <w:r>
              <w:rPr>
                <w:spacing w:val="-1"/>
                <w:sz w:val="20"/>
              </w:rPr>
              <w:t> </w:t>
            </w:r>
            <w:r>
              <w:rPr>
                <w:spacing w:val="-2"/>
                <w:sz w:val="20"/>
              </w:rPr>
              <w:t>Management</w:t>
            </w:r>
          </w:p>
        </w:tc>
        <w:tc>
          <w:tcPr>
            <w:tcW w:w="543" w:type="dxa"/>
          </w:tcPr>
          <w:p>
            <w:pPr>
              <w:pStyle w:val="TableParagraph"/>
              <w:spacing w:line="208" w:lineRule="exact"/>
              <w:ind w:left="12"/>
              <w:jc w:val="center"/>
              <w:rPr>
                <w:sz w:val="20"/>
              </w:rPr>
            </w:pPr>
            <w:r>
              <w:rPr>
                <w:spacing w:val="-10"/>
                <w:sz w:val="20"/>
              </w:rPr>
              <w:t>7</w:t>
            </w:r>
          </w:p>
        </w:tc>
        <w:tc>
          <w:tcPr>
            <w:tcW w:w="729" w:type="dxa"/>
          </w:tcPr>
          <w:p>
            <w:pPr>
              <w:pStyle w:val="TableParagraph"/>
              <w:spacing w:line="208" w:lineRule="exact"/>
              <w:ind w:left="85" w:right="86"/>
              <w:jc w:val="center"/>
              <w:rPr>
                <w:sz w:val="20"/>
              </w:rPr>
            </w:pPr>
            <w:r>
              <w:rPr>
                <w:spacing w:val="-4"/>
                <w:sz w:val="20"/>
              </w:rPr>
              <w:t>30.4</w:t>
            </w:r>
          </w:p>
        </w:tc>
        <w:tc>
          <w:tcPr>
            <w:tcW w:w="691" w:type="dxa"/>
          </w:tcPr>
          <w:p>
            <w:pPr>
              <w:pStyle w:val="TableParagraph"/>
              <w:spacing w:line="208" w:lineRule="exact"/>
              <w:ind w:left="22" w:right="4"/>
              <w:jc w:val="center"/>
              <w:rPr>
                <w:sz w:val="20"/>
              </w:rPr>
            </w:pPr>
            <w:r>
              <w:rPr>
                <w:spacing w:val="-10"/>
                <w:sz w:val="20"/>
              </w:rPr>
              <w:t>8</w:t>
            </w:r>
          </w:p>
        </w:tc>
        <w:tc>
          <w:tcPr>
            <w:tcW w:w="708" w:type="dxa"/>
          </w:tcPr>
          <w:p>
            <w:pPr>
              <w:pStyle w:val="TableParagraph"/>
              <w:spacing w:line="208" w:lineRule="exact"/>
              <w:ind w:left="59"/>
              <w:jc w:val="center"/>
              <w:rPr>
                <w:sz w:val="20"/>
              </w:rPr>
            </w:pPr>
            <w:r>
              <w:rPr>
                <w:spacing w:val="-4"/>
                <w:sz w:val="20"/>
              </w:rPr>
              <w:t>34.8</w:t>
            </w:r>
          </w:p>
        </w:tc>
        <w:tc>
          <w:tcPr>
            <w:tcW w:w="756" w:type="dxa"/>
          </w:tcPr>
          <w:p>
            <w:pPr>
              <w:pStyle w:val="TableParagraph"/>
              <w:spacing w:line="208" w:lineRule="exact"/>
              <w:ind w:right="302"/>
              <w:jc w:val="right"/>
              <w:rPr>
                <w:sz w:val="20"/>
              </w:rPr>
            </w:pPr>
            <w:r>
              <w:rPr>
                <w:spacing w:val="-10"/>
                <w:sz w:val="20"/>
              </w:rPr>
              <w:t>6</w:t>
            </w:r>
          </w:p>
        </w:tc>
        <w:tc>
          <w:tcPr>
            <w:tcW w:w="905" w:type="dxa"/>
          </w:tcPr>
          <w:p>
            <w:pPr>
              <w:pStyle w:val="TableParagraph"/>
              <w:spacing w:line="208" w:lineRule="exact"/>
              <w:ind w:left="16"/>
              <w:jc w:val="center"/>
              <w:rPr>
                <w:sz w:val="20"/>
              </w:rPr>
            </w:pPr>
            <w:r>
              <w:rPr>
                <w:spacing w:val="-4"/>
                <w:sz w:val="20"/>
              </w:rPr>
              <w:t>24.1</w:t>
            </w:r>
          </w:p>
        </w:tc>
        <w:tc>
          <w:tcPr>
            <w:tcW w:w="687" w:type="dxa"/>
          </w:tcPr>
          <w:p>
            <w:pPr>
              <w:pStyle w:val="TableParagraph"/>
              <w:spacing w:line="208" w:lineRule="exact"/>
              <w:ind w:left="113" w:right="48"/>
              <w:jc w:val="center"/>
              <w:rPr>
                <w:sz w:val="20"/>
              </w:rPr>
            </w:pPr>
            <w:r>
              <w:rPr>
                <w:spacing w:val="-10"/>
                <w:sz w:val="20"/>
              </w:rPr>
              <w:t>3</w:t>
            </w:r>
          </w:p>
        </w:tc>
        <w:tc>
          <w:tcPr>
            <w:tcW w:w="800" w:type="dxa"/>
          </w:tcPr>
          <w:p>
            <w:pPr>
              <w:pStyle w:val="TableParagraph"/>
              <w:spacing w:line="208" w:lineRule="exact"/>
              <w:ind w:left="18" w:right="5"/>
              <w:jc w:val="center"/>
              <w:rPr>
                <w:sz w:val="20"/>
              </w:rPr>
            </w:pPr>
            <w:r>
              <w:rPr>
                <w:spacing w:val="-5"/>
                <w:sz w:val="20"/>
              </w:rPr>
              <w:t>8.7</w:t>
            </w:r>
          </w:p>
        </w:tc>
        <w:tc>
          <w:tcPr>
            <w:tcW w:w="627" w:type="dxa"/>
          </w:tcPr>
          <w:p>
            <w:pPr>
              <w:pStyle w:val="TableParagraph"/>
              <w:spacing w:line="208" w:lineRule="exact"/>
              <w:ind w:left="23" w:right="18"/>
              <w:jc w:val="center"/>
              <w:rPr>
                <w:sz w:val="20"/>
              </w:rPr>
            </w:pPr>
            <w:r>
              <w:rPr>
                <w:spacing w:val="-10"/>
                <w:sz w:val="20"/>
              </w:rPr>
              <w:t>-</w:t>
            </w:r>
          </w:p>
        </w:tc>
        <w:tc>
          <w:tcPr>
            <w:tcW w:w="730" w:type="dxa"/>
          </w:tcPr>
          <w:p>
            <w:pPr>
              <w:pStyle w:val="TableParagraph"/>
              <w:spacing w:line="208" w:lineRule="exact"/>
              <w:ind w:left="76" w:right="7"/>
              <w:jc w:val="center"/>
              <w:rPr>
                <w:sz w:val="20"/>
              </w:rPr>
            </w:pPr>
            <w:r>
              <w:rPr>
                <w:spacing w:val="-10"/>
                <w:sz w:val="20"/>
              </w:rPr>
              <w:t>-</w:t>
            </w:r>
          </w:p>
        </w:tc>
        <w:tc>
          <w:tcPr>
            <w:tcW w:w="732" w:type="dxa"/>
          </w:tcPr>
          <w:p>
            <w:pPr>
              <w:pStyle w:val="TableParagraph"/>
              <w:spacing w:line="208" w:lineRule="exact"/>
              <w:ind w:left="279"/>
              <w:rPr>
                <w:sz w:val="20"/>
              </w:rPr>
            </w:pPr>
            <w:r>
              <w:rPr>
                <w:spacing w:val="-5"/>
                <w:sz w:val="20"/>
              </w:rPr>
              <w:t>23</w:t>
            </w:r>
          </w:p>
        </w:tc>
        <w:tc>
          <w:tcPr>
            <w:tcW w:w="733" w:type="dxa"/>
            <w:tcBorders>
              <w:right w:val="single" w:sz="4" w:space="0" w:color="000000"/>
            </w:tcBorders>
          </w:tcPr>
          <w:p>
            <w:pPr>
              <w:pStyle w:val="TableParagraph"/>
              <w:spacing w:line="208" w:lineRule="exact"/>
              <w:ind w:left="34" w:right="5"/>
              <w:jc w:val="center"/>
              <w:rPr>
                <w:sz w:val="20"/>
              </w:rPr>
            </w:pPr>
            <w:r>
              <w:rPr>
                <w:spacing w:val="-5"/>
                <w:sz w:val="20"/>
              </w:rPr>
              <w:t>5.0</w:t>
            </w:r>
          </w:p>
        </w:tc>
      </w:tr>
      <w:tr>
        <w:trPr>
          <w:trHeight w:val="232" w:hRule="atLeast"/>
        </w:trPr>
        <w:tc>
          <w:tcPr>
            <w:tcW w:w="4145" w:type="dxa"/>
            <w:tcBorders>
              <w:left w:val="single" w:sz="4" w:space="0" w:color="000000"/>
              <w:bottom w:val="single" w:sz="4" w:space="0" w:color="000000"/>
            </w:tcBorders>
          </w:tcPr>
          <w:p>
            <w:pPr>
              <w:pStyle w:val="TableParagraph"/>
              <w:spacing w:line="213" w:lineRule="exact"/>
              <w:ind w:left="830"/>
              <w:rPr>
                <w:sz w:val="20"/>
              </w:rPr>
            </w:pPr>
            <w:r>
              <w:rPr>
                <w:sz w:val="20"/>
              </w:rPr>
              <w:t>anxiety</w:t>
            </w:r>
            <w:r>
              <w:rPr>
                <w:spacing w:val="-2"/>
                <w:sz w:val="20"/>
              </w:rPr>
              <w:t> </w:t>
            </w:r>
            <w:r>
              <w:rPr>
                <w:sz w:val="20"/>
              </w:rPr>
              <w:t>and</w:t>
            </w:r>
            <w:r>
              <w:rPr>
                <w:spacing w:val="-8"/>
                <w:sz w:val="20"/>
              </w:rPr>
              <w:t> </w:t>
            </w:r>
            <w:r>
              <w:rPr>
                <w:spacing w:val="-2"/>
                <w:sz w:val="20"/>
              </w:rPr>
              <w:t>malpractices.</w:t>
            </w:r>
          </w:p>
        </w:tc>
        <w:tc>
          <w:tcPr>
            <w:tcW w:w="1974" w:type="dxa"/>
            <w:tcBorders>
              <w:bottom w:val="single" w:sz="4" w:space="0" w:color="000000"/>
            </w:tcBorders>
          </w:tcPr>
          <w:p>
            <w:pPr>
              <w:pStyle w:val="TableParagraph"/>
              <w:rPr>
                <w:rFonts w:ascii="Times New Roman"/>
                <w:sz w:val="16"/>
              </w:rPr>
            </w:pPr>
          </w:p>
        </w:tc>
        <w:tc>
          <w:tcPr>
            <w:tcW w:w="543" w:type="dxa"/>
            <w:tcBorders>
              <w:bottom w:val="single" w:sz="4" w:space="0" w:color="000000"/>
            </w:tcBorders>
          </w:tcPr>
          <w:p>
            <w:pPr>
              <w:pStyle w:val="TableParagraph"/>
              <w:rPr>
                <w:rFonts w:ascii="Times New Roman"/>
                <w:sz w:val="16"/>
              </w:rPr>
            </w:pPr>
          </w:p>
        </w:tc>
        <w:tc>
          <w:tcPr>
            <w:tcW w:w="729" w:type="dxa"/>
            <w:tcBorders>
              <w:bottom w:val="single" w:sz="4" w:space="0" w:color="000000"/>
            </w:tcBorders>
          </w:tcPr>
          <w:p>
            <w:pPr>
              <w:pStyle w:val="TableParagraph"/>
              <w:rPr>
                <w:rFonts w:ascii="Times New Roman"/>
                <w:sz w:val="16"/>
              </w:rPr>
            </w:pPr>
          </w:p>
        </w:tc>
        <w:tc>
          <w:tcPr>
            <w:tcW w:w="691" w:type="dxa"/>
            <w:tcBorders>
              <w:bottom w:val="single" w:sz="4" w:space="0" w:color="000000"/>
            </w:tcBorders>
          </w:tcPr>
          <w:p>
            <w:pPr>
              <w:pStyle w:val="TableParagraph"/>
              <w:rPr>
                <w:rFonts w:ascii="Times New Roman"/>
                <w:sz w:val="16"/>
              </w:rPr>
            </w:pPr>
          </w:p>
        </w:tc>
        <w:tc>
          <w:tcPr>
            <w:tcW w:w="708" w:type="dxa"/>
            <w:tcBorders>
              <w:bottom w:val="single" w:sz="4" w:space="0" w:color="000000"/>
            </w:tcBorders>
          </w:tcPr>
          <w:p>
            <w:pPr>
              <w:pStyle w:val="TableParagraph"/>
              <w:rPr>
                <w:rFonts w:ascii="Times New Roman"/>
                <w:sz w:val="16"/>
              </w:rPr>
            </w:pPr>
          </w:p>
        </w:tc>
        <w:tc>
          <w:tcPr>
            <w:tcW w:w="756" w:type="dxa"/>
            <w:tcBorders>
              <w:bottom w:val="single" w:sz="4" w:space="0" w:color="000000"/>
            </w:tcBorders>
          </w:tcPr>
          <w:p>
            <w:pPr>
              <w:pStyle w:val="TableParagraph"/>
              <w:rPr>
                <w:rFonts w:ascii="Times New Roman"/>
                <w:sz w:val="16"/>
              </w:rPr>
            </w:pPr>
          </w:p>
        </w:tc>
        <w:tc>
          <w:tcPr>
            <w:tcW w:w="905" w:type="dxa"/>
            <w:tcBorders>
              <w:bottom w:val="single" w:sz="4" w:space="0" w:color="000000"/>
            </w:tcBorders>
          </w:tcPr>
          <w:p>
            <w:pPr>
              <w:pStyle w:val="TableParagraph"/>
              <w:rPr>
                <w:rFonts w:ascii="Times New Roman"/>
                <w:sz w:val="16"/>
              </w:rPr>
            </w:pPr>
          </w:p>
        </w:tc>
        <w:tc>
          <w:tcPr>
            <w:tcW w:w="687" w:type="dxa"/>
            <w:tcBorders>
              <w:bottom w:val="single" w:sz="4" w:space="0" w:color="000000"/>
            </w:tcBorders>
          </w:tcPr>
          <w:p>
            <w:pPr>
              <w:pStyle w:val="TableParagraph"/>
              <w:rPr>
                <w:rFonts w:ascii="Times New Roman"/>
                <w:sz w:val="16"/>
              </w:rPr>
            </w:pPr>
          </w:p>
        </w:tc>
        <w:tc>
          <w:tcPr>
            <w:tcW w:w="800" w:type="dxa"/>
            <w:tcBorders>
              <w:bottom w:val="single" w:sz="4" w:space="0" w:color="000000"/>
            </w:tcBorders>
          </w:tcPr>
          <w:p>
            <w:pPr>
              <w:pStyle w:val="TableParagraph"/>
              <w:rPr>
                <w:rFonts w:ascii="Times New Roman"/>
                <w:sz w:val="16"/>
              </w:rPr>
            </w:pPr>
          </w:p>
        </w:tc>
        <w:tc>
          <w:tcPr>
            <w:tcW w:w="627" w:type="dxa"/>
            <w:tcBorders>
              <w:bottom w:val="single" w:sz="4" w:space="0" w:color="000000"/>
            </w:tcBorders>
          </w:tcPr>
          <w:p>
            <w:pPr>
              <w:pStyle w:val="TableParagraph"/>
              <w:rPr>
                <w:rFonts w:ascii="Times New Roman"/>
                <w:sz w:val="16"/>
              </w:rPr>
            </w:pPr>
          </w:p>
        </w:tc>
        <w:tc>
          <w:tcPr>
            <w:tcW w:w="730" w:type="dxa"/>
            <w:tcBorders>
              <w:bottom w:val="single" w:sz="4" w:space="0" w:color="000000"/>
            </w:tcBorders>
          </w:tcPr>
          <w:p>
            <w:pPr>
              <w:pStyle w:val="TableParagraph"/>
              <w:rPr>
                <w:rFonts w:ascii="Times New Roman"/>
                <w:sz w:val="16"/>
              </w:rPr>
            </w:pPr>
          </w:p>
        </w:tc>
        <w:tc>
          <w:tcPr>
            <w:tcW w:w="732" w:type="dxa"/>
            <w:tcBorders>
              <w:bottom w:val="single" w:sz="4" w:space="0" w:color="000000"/>
            </w:tcBorders>
          </w:tcPr>
          <w:p>
            <w:pPr>
              <w:pStyle w:val="TableParagraph"/>
              <w:rPr>
                <w:rFonts w:ascii="Times New Roman"/>
                <w:sz w:val="16"/>
              </w:rPr>
            </w:pPr>
          </w:p>
        </w:tc>
        <w:tc>
          <w:tcPr>
            <w:tcW w:w="733" w:type="dxa"/>
            <w:tcBorders>
              <w:bottom w:val="single" w:sz="4" w:space="0" w:color="000000"/>
              <w:right w:val="single" w:sz="4" w:space="0" w:color="000000"/>
            </w:tcBorders>
          </w:tcPr>
          <w:p>
            <w:pPr>
              <w:pStyle w:val="TableParagraph"/>
              <w:rPr>
                <w:rFonts w:ascii="Times New Roman"/>
                <w:sz w:val="16"/>
              </w:rPr>
            </w:pPr>
          </w:p>
        </w:tc>
      </w:tr>
    </w:tbl>
    <w:p>
      <w:pPr>
        <w:pStyle w:val="BodyText"/>
        <w:rPr>
          <w:rFonts w:ascii="Arial"/>
          <w:b/>
          <w:sz w:val="28"/>
        </w:rPr>
      </w:pPr>
    </w:p>
    <w:p>
      <w:pPr>
        <w:pStyle w:val="BodyText"/>
        <w:spacing w:before="110"/>
        <w:rPr>
          <w:rFonts w:ascii="Arial"/>
          <w:b/>
          <w:sz w:val="28"/>
        </w:rPr>
      </w:pPr>
    </w:p>
    <w:p>
      <w:pPr>
        <w:pStyle w:val="BodyText"/>
        <w:ind w:left="2646" w:right="2163"/>
        <w:jc w:val="center"/>
        <w:rPr>
          <w:rFonts w:ascii="Times New Roman"/>
        </w:rPr>
      </w:pPr>
      <w:r>
        <w:rPr>
          <w:rFonts w:ascii="Times New Roman"/>
          <w:spacing w:val="-5"/>
        </w:rPr>
        <w:t>140</w:t>
      </w:r>
    </w:p>
    <w:p>
      <w:pPr>
        <w:spacing w:after="0"/>
        <w:jc w:val="center"/>
        <w:rPr>
          <w:rFonts w:ascii="Times New Roman"/>
        </w:rPr>
        <w:sectPr>
          <w:headerReference w:type="default" r:id="rId321"/>
          <w:footerReference w:type="default" r:id="rId322"/>
          <w:pgSz w:w="15840" w:h="12240" w:orient="landscape"/>
          <w:pgMar w:header="0" w:footer="0" w:top="640" w:bottom="280" w:left="320" w:right="520"/>
        </w:sectPr>
      </w:pPr>
    </w:p>
    <w:p>
      <w:pPr>
        <w:pStyle w:val="BodyText"/>
        <w:spacing w:line="480" w:lineRule="auto" w:before="82"/>
        <w:ind w:left="820" w:right="115" w:firstLine="720"/>
        <w:jc w:val="both"/>
      </w:pPr>
      <w:r>
        <w:rPr/>
        <w:t>It was believed by 77.1 percent of students, 80.8 percent of service staff and</w:t>
      </w:r>
      <w:r>
        <w:rPr>
          <w:spacing w:val="14"/>
        </w:rPr>
        <w:t> </w:t>
      </w:r>
      <w:r>
        <w:rPr/>
        <w:t>86.9</w:t>
      </w:r>
      <w:r>
        <w:rPr>
          <w:spacing w:val="14"/>
        </w:rPr>
        <w:t> </w:t>
      </w:r>
      <w:r>
        <w:rPr/>
        <w:t>percent</w:t>
      </w:r>
      <w:r>
        <w:rPr>
          <w:spacing w:val="9"/>
        </w:rPr>
        <w:t> </w:t>
      </w:r>
      <w:r>
        <w:rPr/>
        <w:t>of</w:t>
      </w:r>
      <w:r>
        <w:rPr>
          <w:spacing w:val="14"/>
        </w:rPr>
        <w:t> </w:t>
      </w:r>
      <w:r>
        <w:rPr/>
        <w:t>top</w:t>
      </w:r>
      <w:r>
        <w:rPr>
          <w:spacing w:val="10"/>
        </w:rPr>
        <w:t> </w:t>
      </w:r>
      <w:r>
        <w:rPr/>
        <w:t>management</w:t>
      </w:r>
      <w:r>
        <w:rPr>
          <w:spacing w:val="14"/>
        </w:rPr>
        <w:t> </w:t>
      </w:r>
      <w:r>
        <w:rPr/>
        <w:t>as</w:t>
      </w:r>
      <w:r>
        <w:rPr>
          <w:spacing w:val="13"/>
        </w:rPr>
        <w:t> </w:t>
      </w:r>
      <w:r>
        <w:rPr/>
        <w:t>observed</w:t>
      </w:r>
      <w:r>
        <w:rPr>
          <w:spacing w:val="14"/>
        </w:rPr>
        <w:t> </w:t>
      </w:r>
      <w:r>
        <w:rPr/>
        <w:t>from</w:t>
      </w:r>
      <w:r>
        <w:rPr>
          <w:spacing w:val="7"/>
        </w:rPr>
        <w:t> </w:t>
      </w:r>
      <w:r>
        <w:rPr/>
        <w:t>their</w:t>
      </w:r>
      <w:r>
        <w:rPr>
          <w:spacing w:val="10"/>
        </w:rPr>
        <w:t> </w:t>
      </w:r>
      <w:r>
        <w:rPr/>
        <w:t>responses</w:t>
      </w:r>
      <w:r>
        <w:rPr>
          <w:spacing w:val="13"/>
        </w:rPr>
        <w:t> </w:t>
      </w:r>
      <w:r>
        <w:rPr/>
        <w:t>on</w:t>
      </w:r>
      <w:r>
        <w:rPr>
          <w:spacing w:val="6"/>
        </w:rPr>
        <w:t> </w:t>
      </w:r>
      <w:r>
        <w:rPr>
          <w:spacing w:val="-4"/>
        </w:rPr>
        <w:t>item</w:t>
      </w:r>
    </w:p>
    <w:p>
      <w:pPr>
        <w:pStyle w:val="BodyText"/>
        <w:spacing w:line="480" w:lineRule="auto"/>
        <w:ind w:left="820" w:right="115"/>
        <w:jc w:val="both"/>
      </w:pPr>
      <w:r>
        <w:rPr/>
        <w:t>43 that Guidance and Counselling Units in some Universities played both preventive and curative roles in anticipation of problems and difficulties. This opinion was not however, considered as true</w:t>
      </w:r>
      <w:r>
        <w:rPr>
          <w:spacing w:val="-1"/>
        </w:rPr>
        <w:t> </w:t>
      </w:r>
      <w:r>
        <w:rPr/>
        <w:t>by very low</w:t>
      </w:r>
      <w:r>
        <w:rPr>
          <w:spacing w:val="-2"/>
        </w:rPr>
        <w:t> </w:t>
      </w:r>
      <w:r>
        <w:rPr/>
        <w:t>percentage of the three categories who were either undecided or in disagreement. It was obvious that with students from different multi-cultural, racial, social and economic</w:t>
      </w:r>
      <w:r>
        <w:rPr>
          <w:spacing w:val="80"/>
        </w:rPr>
        <w:t> </w:t>
      </w:r>
      <w:r>
        <w:rPr/>
        <w:t>background the guidance counsellors have the task of orienting and sensitizing the students to develop a culture of tolerance, adaptability, understanding and </w:t>
      </w:r>
      <w:r>
        <w:rPr>
          <w:spacing w:val="-2"/>
        </w:rPr>
        <w:t>love.</w:t>
      </w:r>
    </w:p>
    <w:p>
      <w:pPr>
        <w:pStyle w:val="BodyText"/>
        <w:spacing w:line="480" w:lineRule="auto"/>
        <w:ind w:left="820" w:right="114" w:firstLine="720"/>
        <w:jc w:val="both"/>
      </w:pPr>
      <w:r>
        <w:rPr/>
        <w:t>In the Universities under study, Guidance and Counselling Units have been contributing a lot</w:t>
      </w:r>
      <w:r>
        <w:rPr>
          <w:spacing w:val="-2"/>
        </w:rPr>
        <w:t> </w:t>
      </w:r>
      <w:r>
        <w:rPr/>
        <w:t>in moulding, disciplining and changing the lives as well as developing the potentialities of many students positively, particularly students from bad family backgrounds. This view was from the responses of the majority</w:t>
      </w:r>
      <w:r>
        <w:rPr>
          <w:spacing w:val="40"/>
        </w:rPr>
        <w:t> </w:t>
      </w:r>
      <w:r>
        <w:rPr/>
        <w:t>of respondents on item 44 where 75.3 percent of students, 73.8 percent of service staff and 91.3 percent of top management consented harmoniously with the view. Only 10.2 percent, 7.4 percent of students and service staff objected to this view while 14.5 percent, 18.7 percent and 8.7 percent of students, service staff and top management respectively showed indecision.</w:t>
      </w:r>
    </w:p>
    <w:p>
      <w:pPr>
        <w:pStyle w:val="BodyText"/>
        <w:spacing w:line="480" w:lineRule="auto" w:before="1"/>
        <w:ind w:left="820" w:right="115" w:firstLine="720"/>
        <w:jc w:val="both"/>
      </w:pPr>
      <w:r>
        <w:rPr/>
        <w:t>As to whether or not counselling and guidance on educational career, career planning, career talks, coordination of interviews for scholarships by various private and State Governments were some of the indicators of good welfare</w:t>
      </w:r>
      <w:r>
        <w:rPr>
          <w:spacing w:val="43"/>
        </w:rPr>
        <w:t> </w:t>
      </w:r>
      <w:r>
        <w:rPr/>
        <w:t>services</w:t>
      </w:r>
      <w:r>
        <w:rPr>
          <w:spacing w:val="37"/>
        </w:rPr>
        <w:t> </w:t>
      </w:r>
      <w:r>
        <w:rPr/>
        <w:t>offered</w:t>
      </w:r>
      <w:r>
        <w:rPr>
          <w:spacing w:val="43"/>
        </w:rPr>
        <w:t> </w:t>
      </w:r>
      <w:r>
        <w:rPr/>
        <w:t>by</w:t>
      </w:r>
      <w:r>
        <w:rPr>
          <w:spacing w:val="43"/>
        </w:rPr>
        <w:t> </w:t>
      </w:r>
      <w:r>
        <w:rPr/>
        <w:t>the</w:t>
      </w:r>
      <w:r>
        <w:rPr>
          <w:spacing w:val="43"/>
        </w:rPr>
        <w:t> </w:t>
      </w:r>
      <w:r>
        <w:rPr/>
        <w:t>units</w:t>
      </w:r>
      <w:r>
        <w:rPr>
          <w:spacing w:val="42"/>
        </w:rPr>
        <w:t> </w:t>
      </w:r>
      <w:r>
        <w:rPr/>
        <w:t>to</w:t>
      </w:r>
      <w:r>
        <w:rPr>
          <w:spacing w:val="44"/>
        </w:rPr>
        <w:t> </w:t>
      </w:r>
      <w:r>
        <w:rPr/>
        <w:t>students</w:t>
      </w:r>
      <w:r>
        <w:rPr>
          <w:spacing w:val="42"/>
        </w:rPr>
        <w:t> </w:t>
      </w:r>
      <w:r>
        <w:rPr/>
        <w:t>as</w:t>
      </w:r>
      <w:r>
        <w:rPr>
          <w:spacing w:val="42"/>
        </w:rPr>
        <w:t> </w:t>
      </w:r>
      <w:r>
        <w:rPr/>
        <w:t>pointed</w:t>
      </w:r>
      <w:r>
        <w:rPr>
          <w:spacing w:val="43"/>
        </w:rPr>
        <w:t> </w:t>
      </w:r>
      <w:r>
        <w:rPr/>
        <w:t>by</w:t>
      </w:r>
      <w:r>
        <w:rPr>
          <w:spacing w:val="38"/>
        </w:rPr>
        <w:t> </w:t>
      </w:r>
      <w:r>
        <w:rPr/>
        <w:t>item</w:t>
      </w:r>
      <w:r>
        <w:rPr>
          <w:spacing w:val="35"/>
        </w:rPr>
        <w:t> </w:t>
      </w:r>
      <w:r>
        <w:rPr/>
        <w:t>45.</w:t>
      </w:r>
      <w:r>
        <w:rPr>
          <w:spacing w:val="44"/>
        </w:rPr>
        <w:t> </w:t>
      </w:r>
      <w:r>
        <w:rPr>
          <w:spacing w:val="-4"/>
        </w:rPr>
        <w:t>This</w:t>
      </w:r>
    </w:p>
    <w:p>
      <w:pPr>
        <w:spacing w:after="0" w:line="480" w:lineRule="auto"/>
        <w:jc w:val="both"/>
        <w:sectPr>
          <w:headerReference w:type="default" r:id="rId323"/>
          <w:footerReference w:type="default" r:id="rId324"/>
          <w:pgSz w:w="12240" w:h="15840"/>
          <w:pgMar w:header="722" w:footer="791" w:top="1340" w:bottom="980" w:left="1340" w:right="1320"/>
          <w:pgNumType w:start="141"/>
        </w:sectPr>
      </w:pPr>
    </w:p>
    <w:p>
      <w:pPr>
        <w:pStyle w:val="BodyText"/>
        <w:spacing w:line="480" w:lineRule="auto" w:before="82"/>
        <w:ind w:left="820" w:right="120"/>
        <w:jc w:val="both"/>
      </w:pPr>
      <w:r>
        <w:rPr/>
        <w:t>statement was supported by 75.4 percent of students, 78.3 percent of service staff</w:t>
      </w:r>
      <w:r>
        <w:rPr>
          <w:spacing w:val="27"/>
        </w:rPr>
        <w:t> </w:t>
      </w:r>
      <w:r>
        <w:rPr/>
        <w:t>and</w:t>
      </w:r>
      <w:r>
        <w:rPr>
          <w:spacing w:val="29"/>
        </w:rPr>
        <w:t> </w:t>
      </w:r>
      <w:r>
        <w:rPr/>
        <w:t>82.6</w:t>
      </w:r>
      <w:r>
        <w:rPr>
          <w:spacing w:val="28"/>
        </w:rPr>
        <w:t> </w:t>
      </w:r>
      <w:r>
        <w:rPr/>
        <w:t>percent</w:t>
      </w:r>
      <w:r>
        <w:rPr>
          <w:spacing w:val="28"/>
        </w:rPr>
        <w:t> </w:t>
      </w:r>
      <w:r>
        <w:rPr/>
        <w:t>of</w:t>
      </w:r>
      <w:r>
        <w:rPr>
          <w:spacing w:val="27"/>
        </w:rPr>
        <w:t> </w:t>
      </w:r>
      <w:r>
        <w:rPr/>
        <w:t>top</w:t>
      </w:r>
      <w:r>
        <w:rPr>
          <w:spacing w:val="29"/>
        </w:rPr>
        <w:t> </w:t>
      </w:r>
      <w:r>
        <w:rPr/>
        <w:t>management.</w:t>
      </w:r>
      <w:r>
        <w:rPr>
          <w:spacing w:val="27"/>
        </w:rPr>
        <w:t> </w:t>
      </w:r>
      <w:r>
        <w:rPr/>
        <w:t>However</w:t>
      </w:r>
      <w:r>
        <w:rPr>
          <w:spacing w:val="29"/>
        </w:rPr>
        <w:t> </w:t>
      </w:r>
      <w:r>
        <w:rPr/>
        <w:t>20.9</w:t>
      </w:r>
      <w:r>
        <w:rPr>
          <w:spacing w:val="28"/>
        </w:rPr>
        <w:t> </w:t>
      </w:r>
      <w:r>
        <w:rPr/>
        <w:t>percent</w:t>
      </w:r>
      <w:r>
        <w:rPr>
          <w:spacing w:val="28"/>
        </w:rPr>
        <w:t> </w:t>
      </w:r>
      <w:r>
        <w:rPr/>
        <w:t>of</w:t>
      </w:r>
      <w:r>
        <w:rPr>
          <w:spacing w:val="27"/>
        </w:rPr>
        <w:t> </w:t>
      </w:r>
      <w:r>
        <w:rPr>
          <w:spacing w:val="-2"/>
        </w:rPr>
        <w:t>students,</w:t>
      </w:r>
    </w:p>
    <w:p>
      <w:pPr>
        <w:pStyle w:val="BodyText"/>
        <w:spacing w:line="480" w:lineRule="auto"/>
        <w:ind w:left="820" w:right="117"/>
        <w:jc w:val="both"/>
      </w:pPr>
      <w:r>
        <w:rPr/>
        <w:t>7.9 percent of service staff and 4.3 percent of top management did not accept this view. It is obvious that many students had benefited from scholarships and had been recruited by Ministries and non Governmental Agencies for jobs. This achievement was as a result of the contributions of Guidance and Counselling particularly in coordinating interviews and sensitizing students on the matter.</w:t>
      </w:r>
    </w:p>
    <w:p>
      <w:pPr>
        <w:pStyle w:val="BodyText"/>
        <w:spacing w:line="480" w:lineRule="auto"/>
        <w:ind w:left="820" w:right="114" w:firstLine="720"/>
        <w:jc w:val="both"/>
      </w:pPr>
      <w:r>
        <w:rPr/>
        <w:t>It was submitted by 84.7 percent of students, 88.7 percent of service staff and 82.6 percent of top management staff that the services rendered by the Guidance and Counselling Units to students in some Universities enabled the students to relate and live happily with their room mates, colleagues and other associates. Only 6 percent of student and 4 percent of service staff disagreed with this view while 9.4 percent, 7.4 percent of service staff and 17.4 percent of top management staff were undecided with the view. The view of the majority, which showed consensus, suggested that students’ behaviour changed for the better as they developed new colleagues, associates and friends different from the environments they came.</w:t>
      </w:r>
    </w:p>
    <w:p>
      <w:pPr>
        <w:pStyle w:val="BodyText"/>
        <w:spacing w:line="480" w:lineRule="auto" w:before="1"/>
        <w:ind w:left="820" w:right="115" w:firstLine="720"/>
        <w:jc w:val="both"/>
      </w:pPr>
      <w:r>
        <w:rPr/>
        <w:t>Item 47 which stated that Guidance and Counselling Units in the Universities do not offer enough assistance as to discourage social ills and vices like cultism, robbery, examination malpractice and anxiety. 59.2 percent of students, 58.6 percent of service staff and</w:t>
      </w:r>
      <w:r>
        <w:rPr>
          <w:spacing w:val="-2"/>
        </w:rPr>
        <w:t> </w:t>
      </w:r>
      <w:r>
        <w:rPr/>
        <w:t>65.2 percent</w:t>
      </w:r>
      <w:r>
        <w:rPr>
          <w:spacing w:val="-2"/>
        </w:rPr>
        <w:t> </w:t>
      </w:r>
      <w:r>
        <w:rPr/>
        <w:t>of top management were in agreement while 26.3 percent, 24.5 percent of service staff and 8.7 percent of top</w:t>
      </w:r>
      <w:r>
        <w:rPr>
          <w:spacing w:val="57"/>
        </w:rPr>
        <w:t> </w:t>
      </w:r>
      <w:r>
        <w:rPr/>
        <w:t>management</w:t>
      </w:r>
      <w:r>
        <w:rPr>
          <w:spacing w:val="51"/>
        </w:rPr>
        <w:t> </w:t>
      </w:r>
      <w:r>
        <w:rPr/>
        <w:t>had</w:t>
      </w:r>
      <w:r>
        <w:rPr>
          <w:spacing w:val="53"/>
        </w:rPr>
        <w:t> </w:t>
      </w:r>
      <w:r>
        <w:rPr/>
        <w:t>contrary</w:t>
      </w:r>
      <w:r>
        <w:rPr>
          <w:spacing w:val="52"/>
        </w:rPr>
        <w:t> </w:t>
      </w:r>
      <w:r>
        <w:rPr/>
        <w:t>view.</w:t>
      </w:r>
      <w:r>
        <w:rPr>
          <w:spacing w:val="51"/>
        </w:rPr>
        <w:t> </w:t>
      </w:r>
      <w:r>
        <w:rPr/>
        <w:t>By</w:t>
      </w:r>
      <w:r>
        <w:rPr>
          <w:spacing w:val="52"/>
        </w:rPr>
        <w:t> </w:t>
      </w:r>
      <w:r>
        <w:rPr/>
        <w:t>and</w:t>
      </w:r>
      <w:r>
        <w:rPr>
          <w:spacing w:val="52"/>
        </w:rPr>
        <w:t> </w:t>
      </w:r>
      <w:r>
        <w:rPr/>
        <w:t>large</w:t>
      </w:r>
      <w:r>
        <w:rPr>
          <w:spacing w:val="53"/>
        </w:rPr>
        <w:t> </w:t>
      </w:r>
      <w:r>
        <w:rPr/>
        <w:t>this</w:t>
      </w:r>
      <w:r>
        <w:rPr>
          <w:spacing w:val="52"/>
        </w:rPr>
        <w:t> </w:t>
      </w:r>
      <w:r>
        <w:rPr/>
        <w:t>consensus</w:t>
      </w:r>
      <w:r>
        <w:rPr>
          <w:spacing w:val="51"/>
        </w:rPr>
        <w:t> </w:t>
      </w:r>
      <w:r>
        <w:rPr/>
        <w:t>in</w:t>
      </w:r>
      <w:r>
        <w:rPr>
          <w:spacing w:val="53"/>
        </w:rPr>
        <w:t> </w:t>
      </w:r>
      <w:r>
        <w:rPr>
          <w:spacing w:val="-2"/>
        </w:rPr>
        <w:t>opinion</w:t>
      </w:r>
    </w:p>
    <w:p>
      <w:pPr>
        <w:spacing w:after="0" w:line="480" w:lineRule="auto"/>
        <w:jc w:val="both"/>
        <w:sectPr>
          <w:headerReference w:type="default" r:id="rId325"/>
          <w:footerReference w:type="default" r:id="rId326"/>
          <w:pgSz w:w="12240" w:h="15840"/>
          <w:pgMar w:header="722" w:footer="791" w:top="1340" w:bottom="980" w:left="1340" w:right="1320"/>
        </w:sectPr>
      </w:pPr>
    </w:p>
    <w:p>
      <w:pPr>
        <w:pStyle w:val="BodyText"/>
        <w:spacing w:line="480" w:lineRule="auto" w:before="82"/>
        <w:ind w:left="820" w:right="119"/>
        <w:jc w:val="both"/>
      </w:pPr>
      <w:r>
        <w:rPr/>
        <w:t>showed that the Guidance and Counselling units in the Universities had contributed a lot in combating and discouraging social ills and vices on the campuses in the Universities and even at larger societies.</w:t>
      </w:r>
    </w:p>
    <w:p>
      <w:pPr>
        <w:pStyle w:val="Heading2"/>
        <w:numPr>
          <w:ilvl w:val="3"/>
          <w:numId w:val="39"/>
        </w:numPr>
        <w:tabs>
          <w:tab w:pos="1104" w:val="left" w:leader="none"/>
          <w:tab w:pos="1127" w:val="left" w:leader="none"/>
        </w:tabs>
        <w:spacing w:line="240" w:lineRule="auto" w:before="0" w:after="0"/>
        <w:ind w:left="1127" w:right="236" w:hanging="1028"/>
        <w:jc w:val="left"/>
        <w:rPr>
          <w:rFonts w:ascii="Arial MT" w:hAnsi="Arial MT"/>
          <w:b w:val="0"/>
        </w:rPr>
      </w:pPr>
      <w:r>
        <w:rPr/>
        <w:t>The impact of Sports and Recreation on students’ welfare in Universities</w:t>
      </w:r>
      <w:r>
        <w:rPr>
          <w:spacing w:val="-2"/>
        </w:rPr>
        <w:t> </w:t>
      </w:r>
      <w:r>
        <w:rPr/>
        <w:t>in</w:t>
      </w:r>
      <w:r>
        <w:rPr>
          <w:spacing w:val="-8"/>
        </w:rPr>
        <w:t> </w:t>
      </w:r>
      <w:r>
        <w:rPr/>
        <w:t>the</w:t>
      </w:r>
      <w:r>
        <w:rPr>
          <w:spacing w:val="-3"/>
        </w:rPr>
        <w:t> </w:t>
      </w:r>
      <w:r>
        <w:rPr/>
        <w:t>three</w:t>
      </w:r>
      <w:r>
        <w:rPr>
          <w:spacing w:val="-3"/>
        </w:rPr>
        <w:t> </w:t>
      </w:r>
      <w:r>
        <w:rPr/>
        <w:t>geopolitical</w:t>
      </w:r>
      <w:r>
        <w:rPr>
          <w:spacing w:val="-7"/>
        </w:rPr>
        <w:t> </w:t>
      </w:r>
      <w:r>
        <w:rPr/>
        <w:t>zones</w:t>
      </w:r>
      <w:r>
        <w:rPr>
          <w:spacing w:val="-3"/>
        </w:rPr>
        <w:t> </w:t>
      </w:r>
      <w:r>
        <w:rPr/>
        <w:t>in</w:t>
      </w:r>
      <w:r>
        <w:rPr>
          <w:spacing w:val="-8"/>
        </w:rPr>
        <w:t> </w:t>
      </w:r>
      <w:r>
        <w:rPr/>
        <w:t>Northern</w:t>
      </w:r>
      <w:r>
        <w:rPr>
          <w:spacing w:val="-8"/>
        </w:rPr>
        <w:t> </w:t>
      </w:r>
      <w:r>
        <w:rPr/>
        <w:t>part</w:t>
      </w:r>
      <w:r>
        <w:rPr>
          <w:spacing w:val="-3"/>
        </w:rPr>
        <w:t> </w:t>
      </w:r>
      <w:r>
        <w:rPr/>
        <w:t>of </w:t>
      </w:r>
      <w:r>
        <w:rPr>
          <w:spacing w:val="-2"/>
        </w:rPr>
        <w:t>Nigeria</w:t>
      </w:r>
    </w:p>
    <w:p>
      <w:pPr>
        <w:pStyle w:val="BodyText"/>
        <w:spacing w:line="480" w:lineRule="auto" w:before="320"/>
        <w:ind w:left="820" w:right="115" w:firstLine="720"/>
        <w:jc w:val="both"/>
      </w:pPr>
      <w:r>
        <w:rPr/>
        <w:t>This section shared the responses of the three categories of respondents by the use of the frequency table and percentages.</w:t>
      </w:r>
      <w:r>
        <w:rPr>
          <w:spacing w:val="40"/>
        </w:rPr>
        <w:t> </w:t>
      </w:r>
      <w:r>
        <w:rPr/>
        <w:t>Respondents’ responses on items</w:t>
      </w:r>
      <w:r>
        <w:rPr>
          <w:spacing w:val="-1"/>
        </w:rPr>
        <w:t> </w:t>
      </w:r>
      <w:r>
        <w:rPr/>
        <w:t>48 to 53 were used to get</w:t>
      </w:r>
      <w:r>
        <w:rPr>
          <w:spacing w:val="-1"/>
        </w:rPr>
        <w:t> </w:t>
      </w:r>
      <w:r>
        <w:rPr/>
        <w:t>the opinions</w:t>
      </w:r>
      <w:r>
        <w:rPr>
          <w:spacing w:val="-6"/>
        </w:rPr>
        <w:t> </w:t>
      </w:r>
      <w:r>
        <w:rPr/>
        <w:t>of</w:t>
      </w:r>
      <w:r>
        <w:rPr>
          <w:spacing w:val="-1"/>
        </w:rPr>
        <w:t> </w:t>
      </w:r>
      <w:r>
        <w:rPr/>
        <w:t>the respondents</w:t>
      </w:r>
      <w:r>
        <w:rPr>
          <w:spacing w:val="-1"/>
        </w:rPr>
        <w:t> </w:t>
      </w:r>
      <w:r>
        <w:rPr/>
        <w:t>on the effects</w:t>
      </w:r>
      <w:r>
        <w:rPr>
          <w:spacing w:val="-1"/>
        </w:rPr>
        <w:t> </w:t>
      </w:r>
      <w:r>
        <w:rPr/>
        <w:t>on sports and recreation on students’ welfare as can be seen in Table 4.3.1.4.</w:t>
      </w:r>
    </w:p>
    <w:p>
      <w:pPr>
        <w:spacing w:after="0" w:line="480" w:lineRule="auto"/>
        <w:jc w:val="both"/>
        <w:sectPr>
          <w:headerReference w:type="default" r:id="rId327"/>
          <w:footerReference w:type="default" r:id="rId328"/>
          <w:pgSz w:w="12240" w:h="15840"/>
          <w:pgMar w:header="722" w:footer="791" w:top="1340" w:bottom="980" w:left="1340" w:right="1320"/>
        </w:sectPr>
      </w:pPr>
    </w:p>
    <w:p>
      <w:pPr>
        <w:pStyle w:val="Heading2"/>
        <w:spacing w:before="79"/>
        <w:ind w:left="652"/>
      </w:pPr>
      <w:r>
        <w:rPr/>
        <w:t>Table</w:t>
      </w:r>
      <w:r>
        <w:rPr>
          <w:spacing w:val="-7"/>
        </w:rPr>
        <w:t> </w:t>
      </w:r>
      <w:r>
        <w:rPr/>
        <w:t>4.3.1.4:</w:t>
      </w:r>
      <w:r>
        <w:rPr>
          <w:spacing w:val="-6"/>
        </w:rPr>
        <w:t> </w:t>
      </w:r>
      <w:r>
        <w:rPr/>
        <w:t>Opinions</w:t>
      </w:r>
      <w:r>
        <w:rPr>
          <w:spacing w:val="-7"/>
        </w:rPr>
        <w:t> </w:t>
      </w:r>
      <w:r>
        <w:rPr/>
        <w:t>of</w:t>
      </w:r>
      <w:r>
        <w:rPr>
          <w:spacing w:val="-6"/>
        </w:rPr>
        <w:t> </w:t>
      </w:r>
      <w:r>
        <w:rPr/>
        <w:t>respondents</w:t>
      </w:r>
      <w:r>
        <w:rPr>
          <w:spacing w:val="-6"/>
        </w:rPr>
        <w:t> </w:t>
      </w:r>
      <w:r>
        <w:rPr/>
        <w:t>on</w:t>
      </w:r>
      <w:r>
        <w:rPr>
          <w:spacing w:val="-8"/>
        </w:rPr>
        <w:t> </w:t>
      </w:r>
      <w:r>
        <w:rPr/>
        <w:t>the</w:t>
      </w:r>
      <w:r>
        <w:rPr>
          <w:spacing w:val="-11"/>
        </w:rPr>
        <w:t> </w:t>
      </w:r>
      <w:r>
        <w:rPr/>
        <w:t>impact</w:t>
      </w:r>
      <w:r>
        <w:rPr>
          <w:spacing w:val="-7"/>
        </w:rPr>
        <w:t> </w:t>
      </w:r>
      <w:r>
        <w:rPr/>
        <w:t>of</w:t>
      </w:r>
      <w:r>
        <w:rPr>
          <w:spacing w:val="-6"/>
        </w:rPr>
        <w:t> </w:t>
      </w:r>
      <w:r>
        <w:rPr/>
        <w:t>sports</w:t>
      </w:r>
      <w:r>
        <w:rPr>
          <w:spacing w:val="-7"/>
        </w:rPr>
        <w:t> </w:t>
      </w:r>
      <w:r>
        <w:rPr/>
        <w:t>and</w:t>
      </w:r>
      <w:r>
        <w:rPr>
          <w:spacing w:val="-10"/>
        </w:rPr>
        <w:t> </w:t>
      </w:r>
      <w:r>
        <w:rPr/>
        <w:t>recreation</w:t>
      </w:r>
      <w:r>
        <w:rPr>
          <w:spacing w:val="-8"/>
        </w:rPr>
        <w:t> </w:t>
      </w:r>
      <w:r>
        <w:rPr/>
        <w:t>on</w:t>
      </w:r>
      <w:r>
        <w:rPr>
          <w:spacing w:val="-11"/>
        </w:rPr>
        <w:t> </w:t>
      </w:r>
      <w:r>
        <w:rPr/>
        <w:t>students’</w:t>
      </w:r>
      <w:r>
        <w:rPr>
          <w:spacing w:val="-5"/>
        </w:rPr>
        <w:t> </w:t>
      </w:r>
      <w:r>
        <w:rPr>
          <w:spacing w:val="-2"/>
        </w:rPr>
        <w:t>welfare</w:t>
      </w:r>
    </w:p>
    <w:p>
      <w:pPr>
        <w:pStyle w:val="BodyText"/>
        <w:spacing w:before="56"/>
        <w:rPr>
          <w:rFonts w:ascii="Arial"/>
          <w:b/>
          <w:sz w:val="20"/>
        </w:rPr>
      </w:pPr>
    </w:p>
    <w:tbl>
      <w:tblPr>
        <w:tblW w:w="0" w:type="auto"/>
        <w:jc w:val="left"/>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46"/>
        <w:gridCol w:w="1978"/>
        <w:gridCol w:w="540"/>
        <w:gridCol w:w="731"/>
        <w:gridCol w:w="690"/>
        <w:gridCol w:w="707"/>
        <w:gridCol w:w="755"/>
        <w:gridCol w:w="901"/>
        <w:gridCol w:w="683"/>
        <w:gridCol w:w="798"/>
        <w:gridCol w:w="652"/>
        <w:gridCol w:w="674"/>
        <w:gridCol w:w="760"/>
        <w:gridCol w:w="737"/>
      </w:tblGrid>
      <w:tr>
        <w:trPr>
          <w:trHeight w:val="273" w:hRule="atLeast"/>
        </w:trPr>
        <w:tc>
          <w:tcPr>
            <w:tcW w:w="4146" w:type="dxa"/>
            <w:vMerge w:val="restart"/>
            <w:tcBorders>
              <w:top w:val="single" w:sz="4" w:space="0" w:color="000000"/>
              <w:left w:val="single" w:sz="4" w:space="0" w:color="000000"/>
              <w:bottom w:val="single" w:sz="4" w:space="0" w:color="000000"/>
            </w:tcBorders>
          </w:tcPr>
          <w:p>
            <w:pPr>
              <w:pStyle w:val="TableParagraph"/>
              <w:rPr>
                <w:rFonts w:ascii="Arial"/>
                <w:b/>
                <w:sz w:val="20"/>
              </w:rPr>
            </w:pPr>
          </w:p>
          <w:p>
            <w:pPr>
              <w:pStyle w:val="TableParagraph"/>
              <w:spacing w:before="216"/>
              <w:rPr>
                <w:rFonts w:ascii="Arial"/>
                <w:b/>
                <w:sz w:val="20"/>
              </w:rPr>
            </w:pPr>
          </w:p>
          <w:p>
            <w:pPr>
              <w:pStyle w:val="TableParagraph"/>
              <w:tabs>
                <w:tab w:pos="830" w:val="left" w:leader="none"/>
              </w:tabs>
              <w:ind w:left="134"/>
              <w:rPr>
                <w:rFonts w:ascii="Arial"/>
                <w:b/>
                <w:sz w:val="20"/>
              </w:rPr>
            </w:pPr>
            <w:r>
              <w:rPr>
                <w:rFonts w:ascii="Arial"/>
                <w:b/>
                <w:spacing w:val="-4"/>
                <w:sz w:val="20"/>
              </w:rPr>
              <w:t>S/No</w:t>
            </w:r>
            <w:r>
              <w:rPr>
                <w:rFonts w:ascii="Arial"/>
                <w:b/>
                <w:sz w:val="20"/>
              </w:rPr>
              <w:tab/>
              <w:t>Item</w:t>
            </w:r>
            <w:r>
              <w:rPr>
                <w:rFonts w:ascii="Arial"/>
                <w:b/>
                <w:spacing w:val="-2"/>
                <w:sz w:val="20"/>
              </w:rPr>
              <w:t> Statements</w:t>
            </w:r>
          </w:p>
        </w:tc>
        <w:tc>
          <w:tcPr>
            <w:tcW w:w="1978" w:type="dxa"/>
            <w:vMerge w:val="restart"/>
            <w:tcBorders>
              <w:top w:val="single" w:sz="4" w:space="0" w:color="000000"/>
              <w:bottom w:val="single" w:sz="4" w:space="0" w:color="000000"/>
              <w:right w:val="single" w:sz="4" w:space="0" w:color="000000"/>
            </w:tcBorders>
          </w:tcPr>
          <w:p>
            <w:pPr>
              <w:pStyle w:val="TableParagraph"/>
              <w:spacing w:before="215"/>
              <w:rPr>
                <w:rFonts w:ascii="Arial"/>
                <w:b/>
                <w:sz w:val="20"/>
              </w:rPr>
            </w:pPr>
          </w:p>
          <w:p>
            <w:pPr>
              <w:pStyle w:val="TableParagraph"/>
              <w:spacing w:before="1"/>
              <w:ind w:left="111"/>
              <w:rPr>
                <w:rFonts w:ascii="Arial"/>
                <w:b/>
                <w:sz w:val="20"/>
              </w:rPr>
            </w:pPr>
            <w:r>
              <w:rPr>
                <w:rFonts w:ascii="Arial"/>
                <w:b/>
                <w:sz w:val="20"/>
              </w:rPr>
              <w:t>Category of </w:t>
            </w:r>
            <w:r>
              <w:rPr>
                <w:rFonts w:ascii="Arial"/>
                <w:b/>
                <w:spacing w:val="-2"/>
                <w:sz w:val="20"/>
              </w:rPr>
              <w:t>Respondents</w:t>
            </w:r>
          </w:p>
        </w:tc>
        <w:tc>
          <w:tcPr>
            <w:tcW w:w="8628" w:type="dxa"/>
            <w:gridSpan w:val="12"/>
            <w:tcBorders>
              <w:top w:val="single" w:sz="4" w:space="0" w:color="000000"/>
              <w:left w:val="single" w:sz="4" w:space="0" w:color="000000"/>
              <w:bottom w:val="single" w:sz="4" w:space="0" w:color="000000"/>
              <w:right w:val="single" w:sz="4" w:space="0" w:color="000000"/>
            </w:tcBorders>
          </w:tcPr>
          <w:p>
            <w:pPr>
              <w:pStyle w:val="TableParagraph"/>
              <w:spacing w:line="253" w:lineRule="exact"/>
              <w:ind w:right="1358"/>
              <w:jc w:val="center"/>
              <w:rPr>
                <w:rFonts w:ascii="Arial"/>
                <w:b/>
                <w:sz w:val="24"/>
              </w:rPr>
            </w:pPr>
            <w:r>
              <w:rPr>
                <w:rFonts w:ascii="Arial"/>
                <w:b/>
                <w:spacing w:val="-2"/>
                <w:sz w:val="24"/>
              </w:rPr>
              <w:t>Responses</w:t>
            </w:r>
          </w:p>
        </w:tc>
      </w:tr>
      <w:tr>
        <w:trPr>
          <w:trHeight w:val="460" w:hRule="atLeast"/>
        </w:trPr>
        <w:tc>
          <w:tcPr>
            <w:tcW w:w="4146" w:type="dxa"/>
            <w:vMerge/>
            <w:tcBorders>
              <w:top w:val="nil"/>
              <w:left w:val="single" w:sz="4" w:space="0" w:color="000000"/>
              <w:bottom w:val="single" w:sz="4" w:space="0" w:color="000000"/>
            </w:tcBorders>
          </w:tcPr>
          <w:p>
            <w:pPr>
              <w:rPr>
                <w:sz w:val="2"/>
                <w:szCs w:val="2"/>
              </w:rPr>
            </w:pPr>
          </w:p>
        </w:tc>
        <w:tc>
          <w:tcPr>
            <w:tcW w:w="1978" w:type="dxa"/>
            <w:vMerge/>
            <w:tcBorders>
              <w:top w:val="nil"/>
              <w:bottom w:val="single" w:sz="4" w:space="0" w:color="000000"/>
              <w:right w:val="single" w:sz="4" w:space="0" w:color="000000"/>
            </w:tcBorders>
          </w:tcPr>
          <w:p>
            <w:pPr>
              <w:rPr>
                <w:sz w:val="2"/>
                <w:szCs w:val="2"/>
              </w:rPr>
            </w:pPr>
          </w:p>
        </w:tc>
        <w:tc>
          <w:tcPr>
            <w:tcW w:w="8628" w:type="dxa"/>
            <w:gridSpan w:val="12"/>
            <w:tcBorders>
              <w:top w:val="single" w:sz="4" w:space="0" w:color="000000"/>
              <w:left w:val="single" w:sz="4" w:space="0" w:color="000000"/>
              <w:bottom w:val="single" w:sz="4" w:space="0" w:color="000000"/>
              <w:right w:val="single" w:sz="4" w:space="0" w:color="000000"/>
            </w:tcBorders>
          </w:tcPr>
          <w:p>
            <w:pPr>
              <w:pStyle w:val="TableParagraph"/>
              <w:tabs>
                <w:tab w:pos="1694" w:val="left" w:leader="none"/>
                <w:tab w:pos="3010" w:val="left" w:leader="none"/>
                <w:tab w:pos="4632" w:val="left" w:leader="none"/>
                <w:tab w:pos="6077" w:val="left" w:leader="none"/>
                <w:tab w:pos="7675" w:val="left" w:leader="none"/>
              </w:tabs>
              <w:spacing w:line="220" w:lineRule="exact"/>
              <w:ind w:left="216"/>
              <w:rPr>
                <w:rFonts w:ascii="Arial"/>
                <w:b/>
                <w:sz w:val="20"/>
              </w:rPr>
            </w:pPr>
            <w:r>
              <w:rPr>
                <w:rFonts w:ascii="Arial"/>
                <w:b/>
                <w:spacing w:val="-2"/>
                <w:sz w:val="20"/>
              </w:rPr>
              <w:t>Strongly</w:t>
            </w:r>
            <w:r>
              <w:rPr>
                <w:rFonts w:ascii="Arial"/>
                <w:b/>
                <w:sz w:val="20"/>
              </w:rPr>
              <w:tab/>
            </w:r>
            <w:r>
              <w:rPr>
                <w:rFonts w:ascii="Arial"/>
                <w:b/>
                <w:spacing w:val="-4"/>
                <w:sz w:val="20"/>
              </w:rPr>
              <w:t>Agree</w:t>
            </w:r>
            <w:r>
              <w:rPr>
                <w:rFonts w:ascii="Arial"/>
                <w:b/>
                <w:sz w:val="20"/>
              </w:rPr>
              <w:tab/>
            </w:r>
            <w:r>
              <w:rPr>
                <w:rFonts w:ascii="Arial"/>
                <w:b/>
                <w:spacing w:val="-2"/>
                <w:sz w:val="20"/>
              </w:rPr>
              <w:t>Undecided</w:t>
            </w:r>
            <w:r>
              <w:rPr>
                <w:rFonts w:ascii="Arial"/>
                <w:b/>
                <w:sz w:val="20"/>
              </w:rPr>
              <w:tab/>
            </w:r>
            <w:r>
              <w:rPr>
                <w:rFonts w:ascii="Arial"/>
                <w:b/>
                <w:spacing w:val="-2"/>
                <w:sz w:val="20"/>
              </w:rPr>
              <w:t>Disagree</w:t>
            </w:r>
            <w:r>
              <w:rPr>
                <w:rFonts w:ascii="Arial"/>
                <w:b/>
                <w:sz w:val="20"/>
              </w:rPr>
              <w:tab/>
            </w:r>
            <w:r>
              <w:rPr>
                <w:rFonts w:ascii="Arial"/>
                <w:b/>
                <w:spacing w:val="-2"/>
                <w:sz w:val="20"/>
              </w:rPr>
              <w:t>Strongly</w:t>
            </w:r>
            <w:r>
              <w:rPr>
                <w:rFonts w:ascii="Arial"/>
                <w:b/>
                <w:sz w:val="20"/>
              </w:rPr>
              <w:tab/>
            </w:r>
            <w:r>
              <w:rPr>
                <w:rFonts w:ascii="Arial"/>
                <w:b/>
                <w:spacing w:val="-2"/>
                <w:sz w:val="20"/>
              </w:rPr>
              <w:t>Total</w:t>
            </w:r>
          </w:p>
          <w:p>
            <w:pPr>
              <w:pStyle w:val="TableParagraph"/>
              <w:tabs>
                <w:tab w:pos="6062" w:val="left" w:leader="none"/>
              </w:tabs>
              <w:spacing w:line="220" w:lineRule="exact"/>
              <w:ind w:left="341"/>
              <w:rPr>
                <w:rFonts w:ascii="Arial"/>
                <w:b/>
                <w:sz w:val="20"/>
              </w:rPr>
            </w:pPr>
            <w:r>
              <w:rPr>
                <w:rFonts w:ascii="Arial"/>
                <w:b/>
                <w:spacing w:val="-2"/>
                <w:sz w:val="20"/>
              </w:rPr>
              <w:t>Agree</w:t>
            </w:r>
            <w:r>
              <w:rPr>
                <w:rFonts w:ascii="Arial"/>
                <w:b/>
                <w:sz w:val="20"/>
              </w:rPr>
              <w:tab/>
            </w:r>
            <w:r>
              <w:rPr>
                <w:rFonts w:ascii="Arial"/>
                <w:b/>
                <w:spacing w:val="-2"/>
                <w:sz w:val="20"/>
              </w:rPr>
              <w:t>Disagree</w:t>
            </w:r>
          </w:p>
        </w:tc>
      </w:tr>
      <w:tr>
        <w:trPr>
          <w:trHeight w:val="321" w:hRule="atLeast"/>
        </w:trPr>
        <w:tc>
          <w:tcPr>
            <w:tcW w:w="4146" w:type="dxa"/>
            <w:vMerge/>
            <w:tcBorders>
              <w:top w:val="nil"/>
              <w:left w:val="single" w:sz="4" w:space="0" w:color="000000"/>
              <w:bottom w:val="single" w:sz="4" w:space="0" w:color="000000"/>
            </w:tcBorders>
          </w:tcPr>
          <w:p>
            <w:pPr>
              <w:rPr>
                <w:sz w:val="2"/>
                <w:szCs w:val="2"/>
              </w:rPr>
            </w:pPr>
          </w:p>
        </w:tc>
        <w:tc>
          <w:tcPr>
            <w:tcW w:w="1978" w:type="dxa"/>
            <w:vMerge/>
            <w:tcBorders>
              <w:top w:val="nil"/>
              <w:bottom w:val="single" w:sz="4" w:space="0" w:color="000000"/>
              <w:right w:val="single" w:sz="4" w:space="0" w:color="000000"/>
            </w:tcBorders>
          </w:tcPr>
          <w:p>
            <w:pPr>
              <w:rPr>
                <w:sz w:val="2"/>
                <w:szCs w:val="2"/>
              </w:rPr>
            </w:pPr>
          </w:p>
        </w:tc>
        <w:tc>
          <w:tcPr>
            <w:tcW w:w="540" w:type="dxa"/>
            <w:tcBorders>
              <w:top w:val="single" w:sz="4" w:space="0" w:color="000000"/>
              <w:left w:val="single" w:sz="4" w:space="0" w:color="000000"/>
              <w:bottom w:val="single" w:sz="4" w:space="0" w:color="000000"/>
            </w:tcBorders>
          </w:tcPr>
          <w:p>
            <w:pPr>
              <w:pStyle w:val="TableParagraph"/>
              <w:spacing w:line="220" w:lineRule="exact"/>
              <w:ind w:left="2"/>
              <w:jc w:val="center"/>
              <w:rPr>
                <w:rFonts w:ascii="Arial"/>
                <w:b/>
                <w:sz w:val="20"/>
              </w:rPr>
            </w:pPr>
            <w:r>
              <w:rPr>
                <w:rFonts w:ascii="Arial"/>
                <w:b/>
                <w:spacing w:val="-10"/>
                <w:sz w:val="20"/>
              </w:rPr>
              <w:t>F</w:t>
            </w:r>
          </w:p>
        </w:tc>
        <w:tc>
          <w:tcPr>
            <w:tcW w:w="731" w:type="dxa"/>
            <w:tcBorders>
              <w:top w:val="single" w:sz="4" w:space="0" w:color="000000"/>
              <w:bottom w:val="single" w:sz="4" w:space="0" w:color="000000"/>
            </w:tcBorders>
          </w:tcPr>
          <w:p>
            <w:pPr>
              <w:pStyle w:val="TableParagraph"/>
              <w:spacing w:line="220" w:lineRule="exact"/>
              <w:ind w:left="69" w:right="67"/>
              <w:jc w:val="center"/>
              <w:rPr>
                <w:rFonts w:ascii="Arial"/>
                <w:b/>
                <w:sz w:val="20"/>
              </w:rPr>
            </w:pPr>
            <w:r>
              <w:rPr>
                <w:rFonts w:ascii="Arial"/>
                <w:b/>
                <w:spacing w:val="-10"/>
                <w:sz w:val="20"/>
              </w:rPr>
              <w:t>%</w:t>
            </w:r>
          </w:p>
        </w:tc>
        <w:tc>
          <w:tcPr>
            <w:tcW w:w="690" w:type="dxa"/>
            <w:tcBorders>
              <w:top w:val="single" w:sz="4" w:space="0" w:color="000000"/>
              <w:bottom w:val="single" w:sz="4" w:space="0" w:color="000000"/>
            </w:tcBorders>
          </w:tcPr>
          <w:p>
            <w:pPr>
              <w:pStyle w:val="TableParagraph"/>
              <w:spacing w:line="220" w:lineRule="exact"/>
              <w:ind w:left="22"/>
              <w:jc w:val="center"/>
              <w:rPr>
                <w:rFonts w:ascii="Arial"/>
                <w:b/>
                <w:sz w:val="20"/>
              </w:rPr>
            </w:pPr>
            <w:r>
              <w:rPr>
                <w:rFonts w:ascii="Arial"/>
                <w:b/>
                <w:spacing w:val="-10"/>
                <w:sz w:val="20"/>
              </w:rPr>
              <w:t>F</w:t>
            </w:r>
          </w:p>
        </w:tc>
        <w:tc>
          <w:tcPr>
            <w:tcW w:w="707" w:type="dxa"/>
            <w:tcBorders>
              <w:top w:val="single" w:sz="4" w:space="0" w:color="000000"/>
              <w:bottom w:val="single" w:sz="4" w:space="0" w:color="000000"/>
            </w:tcBorders>
          </w:tcPr>
          <w:p>
            <w:pPr>
              <w:pStyle w:val="TableParagraph"/>
              <w:spacing w:line="220" w:lineRule="exact"/>
              <w:ind w:left="74" w:right="10"/>
              <w:jc w:val="center"/>
              <w:rPr>
                <w:rFonts w:ascii="Arial"/>
                <w:b/>
                <w:sz w:val="20"/>
              </w:rPr>
            </w:pPr>
            <w:r>
              <w:rPr>
                <w:rFonts w:ascii="Arial"/>
                <w:b/>
                <w:spacing w:val="-10"/>
                <w:sz w:val="20"/>
              </w:rPr>
              <w:t>%</w:t>
            </w:r>
          </w:p>
        </w:tc>
        <w:tc>
          <w:tcPr>
            <w:tcW w:w="755" w:type="dxa"/>
            <w:tcBorders>
              <w:top w:val="single" w:sz="4" w:space="0" w:color="000000"/>
              <w:bottom w:val="single" w:sz="4" w:space="0" w:color="000000"/>
            </w:tcBorders>
          </w:tcPr>
          <w:p>
            <w:pPr>
              <w:pStyle w:val="TableParagraph"/>
              <w:spacing w:line="220" w:lineRule="exact"/>
              <w:ind w:right="292"/>
              <w:jc w:val="right"/>
              <w:rPr>
                <w:rFonts w:ascii="Arial"/>
                <w:b/>
                <w:sz w:val="20"/>
              </w:rPr>
            </w:pPr>
            <w:r>
              <w:rPr>
                <w:rFonts w:ascii="Arial"/>
                <w:b/>
                <w:spacing w:val="-10"/>
                <w:sz w:val="20"/>
              </w:rPr>
              <w:t>F</w:t>
            </w:r>
          </w:p>
        </w:tc>
        <w:tc>
          <w:tcPr>
            <w:tcW w:w="901" w:type="dxa"/>
            <w:tcBorders>
              <w:top w:val="single" w:sz="4" w:space="0" w:color="000000"/>
              <w:bottom w:val="single" w:sz="4" w:space="0" w:color="000000"/>
            </w:tcBorders>
          </w:tcPr>
          <w:p>
            <w:pPr>
              <w:pStyle w:val="TableParagraph"/>
              <w:spacing w:line="220" w:lineRule="exact"/>
              <w:ind w:left="27"/>
              <w:jc w:val="center"/>
              <w:rPr>
                <w:rFonts w:ascii="Arial"/>
                <w:b/>
                <w:sz w:val="20"/>
              </w:rPr>
            </w:pPr>
            <w:r>
              <w:rPr>
                <w:rFonts w:ascii="Arial"/>
                <w:b/>
                <w:spacing w:val="-10"/>
                <w:sz w:val="20"/>
              </w:rPr>
              <w:t>%</w:t>
            </w:r>
          </w:p>
        </w:tc>
        <w:tc>
          <w:tcPr>
            <w:tcW w:w="683" w:type="dxa"/>
            <w:tcBorders>
              <w:top w:val="single" w:sz="4" w:space="0" w:color="000000"/>
              <w:bottom w:val="single" w:sz="4" w:space="0" w:color="000000"/>
            </w:tcBorders>
          </w:tcPr>
          <w:p>
            <w:pPr>
              <w:pStyle w:val="TableParagraph"/>
              <w:spacing w:line="220" w:lineRule="exact"/>
              <w:ind w:left="77"/>
              <w:jc w:val="center"/>
              <w:rPr>
                <w:rFonts w:ascii="Arial"/>
                <w:b/>
                <w:sz w:val="20"/>
              </w:rPr>
            </w:pPr>
            <w:r>
              <w:rPr>
                <w:rFonts w:ascii="Arial"/>
                <w:b/>
                <w:spacing w:val="-10"/>
                <w:sz w:val="20"/>
              </w:rPr>
              <w:t>F</w:t>
            </w:r>
          </w:p>
        </w:tc>
        <w:tc>
          <w:tcPr>
            <w:tcW w:w="798" w:type="dxa"/>
            <w:tcBorders>
              <w:top w:val="single" w:sz="4" w:space="0" w:color="000000"/>
              <w:bottom w:val="single" w:sz="4" w:space="0" w:color="000000"/>
            </w:tcBorders>
          </w:tcPr>
          <w:p>
            <w:pPr>
              <w:pStyle w:val="TableParagraph"/>
              <w:spacing w:line="220" w:lineRule="exact"/>
              <w:ind w:left="34"/>
              <w:jc w:val="center"/>
              <w:rPr>
                <w:rFonts w:ascii="Arial"/>
                <w:b/>
                <w:sz w:val="20"/>
              </w:rPr>
            </w:pPr>
            <w:r>
              <w:rPr>
                <w:rFonts w:ascii="Arial"/>
                <w:b/>
                <w:spacing w:val="-10"/>
                <w:sz w:val="20"/>
              </w:rPr>
              <w:t>%</w:t>
            </w:r>
          </w:p>
        </w:tc>
        <w:tc>
          <w:tcPr>
            <w:tcW w:w="652" w:type="dxa"/>
            <w:tcBorders>
              <w:top w:val="single" w:sz="4" w:space="0" w:color="000000"/>
              <w:bottom w:val="single" w:sz="4" w:space="0" w:color="000000"/>
            </w:tcBorders>
          </w:tcPr>
          <w:p>
            <w:pPr>
              <w:pStyle w:val="TableParagraph"/>
              <w:spacing w:line="220" w:lineRule="exact"/>
              <w:ind w:left="83" w:right="77"/>
              <w:jc w:val="center"/>
              <w:rPr>
                <w:rFonts w:ascii="Arial"/>
                <w:b/>
                <w:sz w:val="20"/>
              </w:rPr>
            </w:pPr>
            <w:r>
              <w:rPr>
                <w:rFonts w:ascii="Arial"/>
                <w:b/>
                <w:spacing w:val="-10"/>
                <w:sz w:val="20"/>
              </w:rPr>
              <w:t>F</w:t>
            </w:r>
          </w:p>
        </w:tc>
        <w:tc>
          <w:tcPr>
            <w:tcW w:w="674" w:type="dxa"/>
            <w:tcBorders>
              <w:top w:val="single" w:sz="4" w:space="0" w:color="000000"/>
              <w:bottom w:val="single" w:sz="4" w:space="0" w:color="000000"/>
            </w:tcBorders>
          </w:tcPr>
          <w:p>
            <w:pPr>
              <w:pStyle w:val="TableParagraph"/>
              <w:spacing w:line="220" w:lineRule="exact"/>
              <w:ind w:left="100"/>
              <w:jc w:val="center"/>
              <w:rPr>
                <w:rFonts w:ascii="Arial"/>
                <w:b/>
                <w:sz w:val="20"/>
              </w:rPr>
            </w:pPr>
            <w:r>
              <w:rPr>
                <w:rFonts w:ascii="Arial"/>
                <w:b/>
                <w:spacing w:val="-10"/>
                <w:sz w:val="20"/>
              </w:rPr>
              <w:t>%</w:t>
            </w:r>
          </w:p>
        </w:tc>
        <w:tc>
          <w:tcPr>
            <w:tcW w:w="760" w:type="dxa"/>
            <w:tcBorders>
              <w:top w:val="single" w:sz="4" w:space="0" w:color="000000"/>
              <w:bottom w:val="single" w:sz="4" w:space="0" w:color="000000"/>
            </w:tcBorders>
          </w:tcPr>
          <w:p>
            <w:pPr>
              <w:pStyle w:val="TableParagraph"/>
              <w:spacing w:line="220" w:lineRule="exact"/>
              <w:ind w:left="107"/>
              <w:jc w:val="center"/>
              <w:rPr>
                <w:rFonts w:ascii="Arial"/>
                <w:b/>
                <w:sz w:val="20"/>
              </w:rPr>
            </w:pPr>
            <w:r>
              <w:rPr>
                <w:rFonts w:ascii="Arial"/>
                <w:b/>
                <w:spacing w:val="-10"/>
                <w:sz w:val="20"/>
              </w:rPr>
              <w:t>F</w:t>
            </w:r>
          </w:p>
        </w:tc>
        <w:tc>
          <w:tcPr>
            <w:tcW w:w="737" w:type="dxa"/>
            <w:tcBorders>
              <w:top w:val="single" w:sz="4" w:space="0" w:color="000000"/>
              <w:bottom w:val="single" w:sz="4" w:space="0" w:color="000000"/>
              <w:right w:val="single" w:sz="4" w:space="0" w:color="000000"/>
            </w:tcBorders>
          </w:tcPr>
          <w:p>
            <w:pPr>
              <w:pStyle w:val="TableParagraph"/>
              <w:spacing w:line="220" w:lineRule="exact"/>
              <w:ind w:left="59" w:right="5"/>
              <w:jc w:val="center"/>
              <w:rPr>
                <w:rFonts w:ascii="Arial"/>
                <w:b/>
                <w:sz w:val="20"/>
              </w:rPr>
            </w:pPr>
            <w:r>
              <w:rPr>
                <w:rFonts w:ascii="Arial"/>
                <w:b/>
                <w:spacing w:val="-10"/>
                <w:sz w:val="20"/>
              </w:rPr>
              <w:t>%</w:t>
            </w:r>
          </w:p>
        </w:tc>
      </w:tr>
      <w:tr>
        <w:trPr>
          <w:trHeight w:val="227" w:hRule="atLeast"/>
        </w:trPr>
        <w:tc>
          <w:tcPr>
            <w:tcW w:w="4146" w:type="dxa"/>
            <w:tcBorders>
              <w:top w:val="single" w:sz="4" w:space="0" w:color="000000"/>
              <w:left w:val="single" w:sz="4" w:space="0" w:color="000000"/>
            </w:tcBorders>
          </w:tcPr>
          <w:p>
            <w:pPr>
              <w:pStyle w:val="TableParagraph"/>
              <w:tabs>
                <w:tab w:pos="609" w:val="left" w:leader="none"/>
                <w:tab w:pos="1367" w:val="left" w:leader="none"/>
                <w:tab w:pos="1747" w:val="left" w:leader="none"/>
                <w:tab w:pos="2260" w:val="left" w:leader="none"/>
                <w:tab w:pos="2971" w:val="left" w:leader="none"/>
                <w:tab w:pos="3537" w:val="left" w:leader="none"/>
              </w:tabs>
              <w:spacing w:line="208" w:lineRule="exact"/>
              <w:ind w:right="100"/>
              <w:jc w:val="right"/>
              <w:rPr>
                <w:sz w:val="20"/>
              </w:rPr>
            </w:pPr>
            <w:r>
              <w:rPr>
                <w:spacing w:val="-5"/>
                <w:sz w:val="20"/>
              </w:rPr>
              <w:t>48.</w:t>
            </w:r>
            <w:r>
              <w:rPr>
                <w:sz w:val="20"/>
              </w:rPr>
              <w:tab/>
            </w:r>
            <w:r>
              <w:rPr>
                <w:spacing w:val="-2"/>
                <w:sz w:val="20"/>
              </w:rPr>
              <w:t>There</w:t>
            </w:r>
            <w:r>
              <w:rPr>
                <w:sz w:val="20"/>
              </w:rPr>
              <w:tab/>
            </w:r>
            <w:r>
              <w:rPr>
                <w:spacing w:val="-5"/>
                <w:sz w:val="20"/>
              </w:rPr>
              <w:t>is</w:t>
            </w:r>
            <w:r>
              <w:rPr>
                <w:sz w:val="20"/>
              </w:rPr>
              <w:tab/>
            </w:r>
            <w:r>
              <w:rPr>
                <w:spacing w:val="-5"/>
                <w:sz w:val="20"/>
              </w:rPr>
              <w:t>the</w:t>
            </w:r>
            <w:r>
              <w:rPr>
                <w:sz w:val="20"/>
              </w:rPr>
              <w:tab/>
            </w:r>
            <w:r>
              <w:rPr>
                <w:spacing w:val="-2"/>
                <w:sz w:val="20"/>
              </w:rPr>
              <w:t>belief</w:t>
            </w:r>
            <w:r>
              <w:rPr>
                <w:sz w:val="20"/>
              </w:rPr>
              <w:tab/>
            </w:r>
            <w:r>
              <w:rPr>
                <w:spacing w:val="-4"/>
                <w:sz w:val="20"/>
              </w:rPr>
              <w:t>that</w:t>
            </w:r>
            <w:r>
              <w:rPr>
                <w:sz w:val="20"/>
              </w:rPr>
              <w:tab/>
            </w:r>
            <w:r>
              <w:rPr>
                <w:spacing w:val="-5"/>
                <w:sz w:val="20"/>
              </w:rPr>
              <w:t>the</w:t>
            </w:r>
          </w:p>
        </w:tc>
        <w:tc>
          <w:tcPr>
            <w:tcW w:w="1978" w:type="dxa"/>
            <w:tcBorders>
              <w:top w:val="single" w:sz="4" w:space="0" w:color="000000"/>
            </w:tcBorders>
          </w:tcPr>
          <w:p>
            <w:pPr>
              <w:pStyle w:val="TableParagraph"/>
              <w:spacing w:line="208" w:lineRule="exact"/>
              <w:ind w:left="111"/>
              <w:rPr>
                <w:sz w:val="20"/>
              </w:rPr>
            </w:pPr>
            <w:r>
              <w:rPr>
                <w:sz w:val="20"/>
              </w:rPr>
              <w:t>No.</w:t>
            </w:r>
            <w:r>
              <w:rPr>
                <w:spacing w:val="-5"/>
                <w:sz w:val="20"/>
              </w:rPr>
              <w:t> </w:t>
            </w:r>
            <w:r>
              <w:rPr>
                <w:sz w:val="20"/>
              </w:rPr>
              <w:t>of</w:t>
            </w:r>
            <w:r>
              <w:rPr>
                <w:spacing w:val="-2"/>
                <w:sz w:val="20"/>
              </w:rPr>
              <w:t> missing</w:t>
            </w:r>
          </w:p>
        </w:tc>
        <w:tc>
          <w:tcPr>
            <w:tcW w:w="540" w:type="dxa"/>
            <w:tcBorders>
              <w:top w:val="single" w:sz="4" w:space="0" w:color="000000"/>
            </w:tcBorders>
          </w:tcPr>
          <w:p>
            <w:pPr>
              <w:pStyle w:val="TableParagraph"/>
              <w:rPr>
                <w:rFonts w:ascii="Times New Roman"/>
                <w:sz w:val="16"/>
              </w:rPr>
            </w:pPr>
          </w:p>
        </w:tc>
        <w:tc>
          <w:tcPr>
            <w:tcW w:w="731" w:type="dxa"/>
            <w:tcBorders>
              <w:top w:val="single" w:sz="4" w:space="0" w:color="000000"/>
            </w:tcBorders>
          </w:tcPr>
          <w:p>
            <w:pPr>
              <w:pStyle w:val="TableParagraph"/>
              <w:rPr>
                <w:rFonts w:ascii="Times New Roman"/>
                <w:sz w:val="16"/>
              </w:rPr>
            </w:pPr>
          </w:p>
        </w:tc>
        <w:tc>
          <w:tcPr>
            <w:tcW w:w="690" w:type="dxa"/>
            <w:tcBorders>
              <w:top w:val="single" w:sz="4" w:space="0" w:color="000000"/>
            </w:tcBorders>
          </w:tcPr>
          <w:p>
            <w:pPr>
              <w:pStyle w:val="TableParagraph"/>
              <w:rPr>
                <w:rFonts w:ascii="Times New Roman"/>
                <w:sz w:val="16"/>
              </w:rPr>
            </w:pPr>
          </w:p>
        </w:tc>
        <w:tc>
          <w:tcPr>
            <w:tcW w:w="707" w:type="dxa"/>
            <w:tcBorders>
              <w:top w:val="single" w:sz="4" w:space="0" w:color="000000"/>
            </w:tcBorders>
          </w:tcPr>
          <w:p>
            <w:pPr>
              <w:pStyle w:val="TableParagraph"/>
              <w:rPr>
                <w:rFonts w:ascii="Times New Roman"/>
                <w:sz w:val="16"/>
              </w:rPr>
            </w:pPr>
          </w:p>
        </w:tc>
        <w:tc>
          <w:tcPr>
            <w:tcW w:w="755" w:type="dxa"/>
            <w:tcBorders>
              <w:top w:val="single" w:sz="4" w:space="0" w:color="000000"/>
            </w:tcBorders>
          </w:tcPr>
          <w:p>
            <w:pPr>
              <w:pStyle w:val="TableParagraph"/>
              <w:rPr>
                <w:rFonts w:ascii="Times New Roman"/>
                <w:sz w:val="16"/>
              </w:rPr>
            </w:pPr>
          </w:p>
        </w:tc>
        <w:tc>
          <w:tcPr>
            <w:tcW w:w="901" w:type="dxa"/>
            <w:tcBorders>
              <w:top w:val="single" w:sz="4" w:space="0" w:color="000000"/>
            </w:tcBorders>
          </w:tcPr>
          <w:p>
            <w:pPr>
              <w:pStyle w:val="TableParagraph"/>
              <w:rPr>
                <w:rFonts w:ascii="Times New Roman"/>
                <w:sz w:val="16"/>
              </w:rPr>
            </w:pPr>
          </w:p>
        </w:tc>
        <w:tc>
          <w:tcPr>
            <w:tcW w:w="683" w:type="dxa"/>
            <w:tcBorders>
              <w:top w:val="single" w:sz="4" w:space="0" w:color="000000"/>
            </w:tcBorders>
          </w:tcPr>
          <w:p>
            <w:pPr>
              <w:pStyle w:val="TableParagraph"/>
              <w:rPr>
                <w:rFonts w:ascii="Times New Roman"/>
                <w:sz w:val="16"/>
              </w:rPr>
            </w:pPr>
          </w:p>
        </w:tc>
        <w:tc>
          <w:tcPr>
            <w:tcW w:w="798" w:type="dxa"/>
            <w:tcBorders>
              <w:top w:val="single" w:sz="4" w:space="0" w:color="000000"/>
            </w:tcBorders>
          </w:tcPr>
          <w:p>
            <w:pPr>
              <w:pStyle w:val="TableParagraph"/>
              <w:rPr>
                <w:rFonts w:ascii="Times New Roman"/>
                <w:sz w:val="16"/>
              </w:rPr>
            </w:pPr>
          </w:p>
        </w:tc>
        <w:tc>
          <w:tcPr>
            <w:tcW w:w="652" w:type="dxa"/>
            <w:tcBorders>
              <w:top w:val="single" w:sz="4" w:space="0" w:color="000000"/>
            </w:tcBorders>
          </w:tcPr>
          <w:p>
            <w:pPr>
              <w:pStyle w:val="TableParagraph"/>
              <w:rPr>
                <w:rFonts w:ascii="Times New Roman"/>
                <w:sz w:val="16"/>
              </w:rPr>
            </w:pPr>
          </w:p>
        </w:tc>
        <w:tc>
          <w:tcPr>
            <w:tcW w:w="674" w:type="dxa"/>
            <w:tcBorders>
              <w:top w:val="single" w:sz="4" w:space="0" w:color="000000"/>
            </w:tcBorders>
          </w:tcPr>
          <w:p>
            <w:pPr>
              <w:pStyle w:val="TableParagraph"/>
              <w:rPr>
                <w:rFonts w:ascii="Times New Roman"/>
                <w:sz w:val="16"/>
              </w:rPr>
            </w:pPr>
          </w:p>
        </w:tc>
        <w:tc>
          <w:tcPr>
            <w:tcW w:w="760" w:type="dxa"/>
            <w:tcBorders>
              <w:top w:val="single" w:sz="4" w:space="0" w:color="000000"/>
            </w:tcBorders>
          </w:tcPr>
          <w:p>
            <w:pPr>
              <w:pStyle w:val="TableParagraph"/>
              <w:rPr>
                <w:rFonts w:ascii="Times New Roman"/>
                <w:sz w:val="16"/>
              </w:rPr>
            </w:pPr>
          </w:p>
        </w:tc>
        <w:tc>
          <w:tcPr>
            <w:tcW w:w="737" w:type="dxa"/>
            <w:tcBorders>
              <w:top w:val="single" w:sz="4" w:space="0" w:color="000000"/>
              <w:right w:val="single" w:sz="4" w:space="0" w:color="000000"/>
            </w:tcBorders>
          </w:tcPr>
          <w:p>
            <w:pPr>
              <w:pStyle w:val="TableParagraph"/>
              <w:rPr>
                <w:rFonts w:ascii="Times New Roman"/>
                <w:sz w:val="16"/>
              </w:rPr>
            </w:pPr>
          </w:p>
        </w:tc>
      </w:tr>
      <w:tr>
        <w:trPr>
          <w:trHeight w:val="230" w:hRule="atLeast"/>
        </w:trPr>
        <w:tc>
          <w:tcPr>
            <w:tcW w:w="4146" w:type="dxa"/>
            <w:tcBorders>
              <w:left w:val="single" w:sz="4" w:space="0" w:color="000000"/>
            </w:tcBorders>
          </w:tcPr>
          <w:p>
            <w:pPr>
              <w:pStyle w:val="TableParagraph"/>
              <w:spacing w:line="210" w:lineRule="exact"/>
              <w:ind w:right="104"/>
              <w:jc w:val="right"/>
              <w:rPr>
                <w:sz w:val="20"/>
              </w:rPr>
            </w:pPr>
            <w:r>
              <w:rPr>
                <w:sz w:val="20"/>
              </w:rPr>
              <w:t>Universities</w:t>
            </w:r>
            <w:r>
              <w:rPr>
                <w:spacing w:val="8"/>
                <w:sz w:val="20"/>
              </w:rPr>
              <w:t> </w:t>
            </w:r>
            <w:r>
              <w:rPr>
                <w:sz w:val="20"/>
              </w:rPr>
              <w:t>in</w:t>
            </w:r>
            <w:r>
              <w:rPr>
                <w:spacing w:val="6"/>
                <w:sz w:val="20"/>
              </w:rPr>
              <w:t> </w:t>
            </w:r>
            <w:r>
              <w:rPr>
                <w:sz w:val="20"/>
              </w:rPr>
              <w:t>the</w:t>
            </w:r>
            <w:r>
              <w:rPr>
                <w:spacing w:val="11"/>
                <w:sz w:val="20"/>
              </w:rPr>
              <w:t> </w:t>
            </w:r>
            <w:r>
              <w:rPr>
                <w:sz w:val="20"/>
              </w:rPr>
              <w:t>three</w:t>
            </w:r>
            <w:r>
              <w:rPr>
                <w:spacing w:val="12"/>
                <w:sz w:val="20"/>
              </w:rPr>
              <w:t> </w:t>
            </w:r>
            <w:r>
              <w:rPr>
                <w:spacing w:val="-2"/>
                <w:sz w:val="20"/>
              </w:rPr>
              <w:t>geopolitical</w:t>
            </w:r>
          </w:p>
        </w:tc>
        <w:tc>
          <w:tcPr>
            <w:tcW w:w="1978" w:type="dxa"/>
          </w:tcPr>
          <w:p>
            <w:pPr>
              <w:pStyle w:val="TableParagraph"/>
              <w:spacing w:line="210" w:lineRule="exact"/>
              <w:ind w:left="111"/>
              <w:rPr>
                <w:sz w:val="20"/>
              </w:rPr>
            </w:pPr>
            <w:r>
              <w:rPr>
                <w:spacing w:val="-2"/>
                <w:sz w:val="20"/>
              </w:rPr>
              <w:t>observations</w:t>
            </w:r>
          </w:p>
        </w:tc>
        <w:tc>
          <w:tcPr>
            <w:tcW w:w="540" w:type="dxa"/>
          </w:tcPr>
          <w:p>
            <w:pPr>
              <w:pStyle w:val="TableParagraph"/>
              <w:spacing w:line="210" w:lineRule="exact"/>
              <w:ind w:left="5" w:right="5"/>
              <w:jc w:val="center"/>
              <w:rPr>
                <w:sz w:val="20"/>
              </w:rPr>
            </w:pPr>
            <w:r>
              <w:rPr>
                <w:spacing w:val="-10"/>
                <w:sz w:val="20"/>
              </w:rPr>
              <w:t>-</w:t>
            </w:r>
          </w:p>
        </w:tc>
        <w:tc>
          <w:tcPr>
            <w:tcW w:w="731" w:type="dxa"/>
          </w:tcPr>
          <w:p>
            <w:pPr>
              <w:pStyle w:val="TableParagraph"/>
              <w:spacing w:line="210" w:lineRule="exact"/>
              <w:ind w:left="69" w:right="71"/>
              <w:jc w:val="center"/>
              <w:rPr>
                <w:sz w:val="20"/>
              </w:rPr>
            </w:pPr>
            <w:r>
              <w:rPr>
                <w:spacing w:val="-10"/>
                <w:sz w:val="20"/>
              </w:rPr>
              <w:t>-</w:t>
            </w:r>
          </w:p>
        </w:tc>
        <w:tc>
          <w:tcPr>
            <w:tcW w:w="690" w:type="dxa"/>
          </w:tcPr>
          <w:p>
            <w:pPr>
              <w:pStyle w:val="TableParagraph"/>
              <w:spacing w:line="210" w:lineRule="exact"/>
              <w:ind w:left="22" w:right="1"/>
              <w:jc w:val="center"/>
              <w:rPr>
                <w:sz w:val="20"/>
              </w:rPr>
            </w:pPr>
            <w:r>
              <w:rPr>
                <w:spacing w:val="-10"/>
                <w:sz w:val="20"/>
              </w:rPr>
              <w:t>1</w:t>
            </w:r>
          </w:p>
        </w:tc>
        <w:tc>
          <w:tcPr>
            <w:tcW w:w="707" w:type="dxa"/>
          </w:tcPr>
          <w:p>
            <w:pPr>
              <w:pStyle w:val="TableParagraph"/>
              <w:spacing w:line="210" w:lineRule="exact"/>
              <w:ind w:left="74" w:right="10"/>
              <w:jc w:val="center"/>
              <w:rPr>
                <w:sz w:val="20"/>
              </w:rPr>
            </w:pPr>
            <w:r>
              <w:rPr>
                <w:spacing w:val="-4"/>
                <w:sz w:val="20"/>
              </w:rPr>
              <w:t>50.0</w:t>
            </w:r>
          </w:p>
        </w:tc>
        <w:tc>
          <w:tcPr>
            <w:tcW w:w="755" w:type="dxa"/>
          </w:tcPr>
          <w:p>
            <w:pPr>
              <w:pStyle w:val="TableParagraph"/>
              <w:spacing w:line="210" w:lineRule="exact"/>
              <w:ind w:right="298"/>
              <w:jc w:val="right"/>
              <w:rPr>
                <w:sz w:val="20"/>
              </w:rPr>
            </w:pPr>
            <w:r>
              <w:rPr>
                <w:spacing w:val="-10"/>
                <w:sz w:val="20"/>
              </w:rPr>
              <w:t>1</w:t>
            </w:r>
          </w:p>
        </w:tc>
        <w:tc>
          <w:tcPr>
            <w:tcW w:w="901" w:type="dxa"/>
          </w:tcPr>
          <w:p>
            <w:pPr>
              <w:pStyle w:val="TableParagraph"/>
              <w:spacing w:line="210" w:lineRule="exact"/>
              <w:ind w:left="27"/>
              <w:jc w:val="center"/>
              <w:rPr>
                <w:sz w:val="20"/>
              </w:rPr>
            </w:pPr>
            <w:r>
              <w:rPr>
                <w:spacing w:val="-4"/>
                <w:sz w:val="20"/>
              </w:rPr>
              <w:t>50.0</w:t>
            </w:r>
          </w:p>
        </w:tc>
        <w:tc>
          <w:tcPr>
            <w:tcW w:w="683" w:type="dxa"/>
          </w:tcPr>
          <w:p>
            <w:pPr>
              <w:pStyle w:val="TableParagraph"/>
              <w:spacing w:line="210" w:lineRule="exact"/>
              <w:ind w:left="77" w:right="8"/>
              <w:jc w:val="center"/>
              <w:rPr>
                <w:sz w:val="20"/>
              </w:rPr>
            </w:pPr>
            <w:r>
              <w:rPr>
                <w:spacing w:val="-10"/>
                <w:sz w:val="20"/>
              </w:rPr>
              <w:t>-</w:t>
            </w:r>
          </w:p>
        </w:tc>
        <w:tc>
          <w:tcPr>
            <w:tcW w:w="798" w:type="dxa"/>
          </w:tcPr>
          <w:p>
            <w:pPr>
              <w:pStyle w:val="TableParagraph"/>
              <w:spacing w:line="210" w:lineRule="exact"/>
              <w:ind w:left="34" w:right="6"/>
              <w:jc w:val="center"/>
              <w:rPr>
                <w:sz w:val="20"/>
              </w:rPr>
            </w:pPr>
            <w:r>
              <w:rPr>
                <w:spacing w:val="-10"/>
                <w:sz w:val="20"/>
              </w:rPr>
              <w:t>-</w:t>
            </w:r>
          </w:p>
        </w:tc>
        <w:tc>
          <w:tcPr>
            <w:tcW w:w="652" w:type="dxa"/>
          </w:tcPr>
          <w:p>
            <w:pPr>
              <w:pStyle w:val="TableParagraph"/>
              <w:spacing w:line="210" w:lineRule="exact"/>
              <w:ind w:left="83" w:right="84"/>
              <w:jc w:val="center"/>
              <w:rPr>
                <w:sz w:val="20"/>
              </w:rPr>
            </w:pPr>
            <w:r>
              <w:rPr>
                <w:spacing w:val="-10"/>
                <w:sz w:val="20"/>
              </w:rPr>
              <w:t>-</w:t>
            </w:r>
          </w:p>
        </w:tc>
        <w:tc>
          <w:tcPr>
            <w:tcW w:w="674" w:type="dxa"/>
          </w:tcPr>
          <w:p>
            <w:pPr>
              <w:pStyle w:val="TableParagraph"/>
              <w:spacing w:line="210" w:lineRule="exact"/>
              <w:ind w:left="100" w:right="7"/>
              <w:jc w:val="center"/>
              <w:rPr>
                <w:sz w:val="20"/>
              </w:rPr>
            </w:pPr>
            <w:r>
              <w:rPr>
                <w:spacing w:val="-10"/>
                <w:sz w:val="20"/>
              </w:rPr>
              <w:t>-</w:t>
            </w:r>
          </w:p>
        </w:tc>
        <w:tc>
          <w:tcPr>
            <w:tcW w:w="760" w:type="dxa"/>
          </w:tcPr>
          <w:p>
            <w:pPr>
              <w:pStyle w:val="TableParagraph"/>
              <w:spacing w:line="210" w:lineRule="exact"/>
              <w:ind w:left="180"/>
              <w:rPr>
                <w:sz w:val="20"/>
              </w:rPr>
            </w:pPr>
            <w:r>
              <w:rPr>
                <w:spacing w:val="-10"/>
                <w:sz w:val="20"/>
              </w:rPr>
              <w:t>2</w:t>
            </w:r>
          </w:p>
        </w:tc>
        <w:tc>
          <w:tcPr>
            <w:tcW w:w="737" w:type="dxa"/>
            <w:tcBorders>
              <w:right w:val="single" w:sz="4" w:space="0" w:color="000000"/>
            </w:tcBorders>
          </w:tcPr>
          <w:p>
            <w:pPr>
              <w:pStyle w:val="TableParagraph"/>
              <w:spacing w:line="210" w:lineRule="exact"/>
              <w:ind w:left="58" w:right="9"/>
              <w:jc w:val="center"/>
              <w:rPr>
                <w:sz w:val="20"/>
              </w:rPr>
            </w:pPr>
            <w:r>
              <w:rPr>
                <w:spacing w:val="-5"/>
                <w:sz w:val="20"/>
              </w:rPr>
              <w:t>0.4</w:t>
            </w:r>
          </w:p>
        </w:tc>
      </w:tr>
      <w:tr>
        <w:trPr>
          <w:trHeight w:val="230" w:hRule="atLeast"/>
        </w:trPr>
        <w:tc>
          <w:tcPr>
            <w:tcW w:w="4146" w:type="dxa"/>
            <w:tcBorders>
              <w:left w:val="single" w:sz="4" w:space="0" w:color="000000"/>
            </w:tcBorders>
          </w:tcPr>
          <w:p>
            <w:pPr>
              <w:pStyle w:val="TableParagraph"/>
              <w:spacing w:line="210" w:lineRule="exact"/>
              <w:ind w:right="108"/>
              <w:jc w:val="right"/>
              <w:rPr>
                <w:sz w:val="20"/>
              </w:rPr>
            </w:pPr>
            <w:r>
              <w:rPr>
                <w:sz w:val="20"/>
              </w:rPr>
              <w:t>zones</w:t>
            </w:r>
            <w:r>
              <w:rPr>
                <w:spacing w:val="36"/>
                <w:sz w:val="20"/>
              </w:rPr>
              <w:t>  </w:t>
            </w:r>
            <w:r>
              <w:rPr>
                <w:sz w:val="20"/>
              </w:rPr>
              <w:t>in</w:t>
            </w:r>
            <w:r>
              <w:rPr>
                <w:spacing w:val="35"/>
                <w:sz w:val="20"/>
              </w:rPr>
              <w:t>  </w:t>
            </w:r>
            <w:r>
              <w:rPr>
                <w:sz w:val="20"/>
              </w:rPr>
              <w:t>the</w:t>
            </w:r>
            <w:r>
              <w:rPr>
                <w:spacing w:val="35"/>
                <w:sz w:val="20"/>
              </w:rPr>
              <w:t>  </w:t>
            </w:r>
            <w:r>
              <w:rPr>
                <w:sz w:val="20"/>
              </w:rPr>
              <w:t>Northern</w:t>
            </w:r>
            <w:r>
              <w:rPr>
                <w:spacing w:val="37"/>
                <w:sz w:val="20"/>
              </w:rPr>
              <w:t>  </w:t>
            </w:r>
            <w:r>
              <w:rPr>
                <w:sz w:val="20"/>
              </w:rPr>
              <w:t>part</w:t>
            </w:r>
            <w:r>
              <w:rPr>
                <w:spacing w:val="37"/>
                <w:sz w:val="20"/>
              </w:rPr>
              <w:t>  </w:t>
            </w:r>
            <w:r>
              <w:rPr>
                <w:spacing w:val="-5"/>
                <w:sz w:val="20"/>
              </w:rPr>
              <w:t>of</w:t>
            </w:r>
          </w:p>
        </w:tc>
        <w:tc>
          <w:tcPr>
            <w:tcW w:w="1978" w:type="dxa"/>
          </w:tcPr>
          <w:p>
            <w:pPr>
              <w:pStyle w:val="TableParagraph"/>
              <w:spacing w:line="210" w:lineRule="exact"/>
              <w:ind w:left="111"/>
              <w:rPr>
                <w:sz w:val="20"/>
              </w:rPr>
            </w:pPr>
            <w:r>
              <w:rPr>
                <w:spacing w:val="-2"/>
                <w:sz w:val="20"/>
              </w:rPr>
              <w:t>Students</w:t>
            </w:r>
          </w:p>
        </w:tc>
        <w:tc>
          <w:tcPr>
            <w:tcW w:w="540" w:type="dxa"/>
          </w:tcPr>
          <w:p>
            <w:pPr>
              <w:pStyle w:val="TableParagraph"/>
              <w:spacing w:line="210" w:lineRule="exact"/>
              <w:ind w:left="5" w:right="4"/>
              <w:jc w:val="center"/>
              <w:rPr>
                <w:sz w:val="20"/>
              </w:rPr>
            </w:pPr>
            <w:r>
              <w:rPr>
                <w:spacing w:val="-5"/>
                <w:sz w:val="20"/>
              </w:rPr>
              <w:t>42</w:t>
            </w:r>
          </w:p>
        </w:tc>
        <w:tc>
          <w:tcPr>
            <w:tcW w:w="731" w:type="dxa"/>
          </w:tcPr>
          <w:p>
            <w:pPr>
              <w:pStyle w:val="TableParagraph"/>
              <w:spacing w:line="210" w:lineRule="exact"/>
              <w:ind w:left="69" w:right="67"/>
              <w:jc w:val="center"/>
              <w:rPr>
                <w:sz w:val="20"/>
              </w:rPr>
            </w:pPr>
            <w:r>
              <w:rPr>
                <w:spacing w:val="-4"/>
                <w:sz w:val="20"/>
              </w:rPr>
              <w:t>17.9</w:t>
            </w:r>
          </w:p>
        </w:tc>
        <w:tc>
          <w:tcPr>
            <w:tcW w:w="690" w:type="dxa"/>
          </w:tcPr>
          <w:p>
            <w:pPr>
              <w:pStyle w:val="TableParagraph"/>
              <w:spacing w:line="210" w:lineRule="exact"/>
              <w:ind w:left="22" w:right="6"/>
              <w:jc w:val="center"/>
              <w:rPr>
                <w:sz w:val="20"/>
              </w:rPr>
            </w:pPr>
            <w:r>
              <w:rPr>
                <w:spacing w:val="-5"/>
                <w:sz w:val="20"/>
              </w:rPr>
              <w:t>86</w:t>
            </w:r>
          </w:p>
        </w:tc>
        <w:tc>
          <w:tcPr>
            <w:tcW w:w="707" w:type="dxa"/>
          </w:tcPr>
          <w:p>
            <w:pPr>
              <w:pStyle w:val="TableParagraph"/>
              <w:spacing w:line="210" w:lineRule="exact"/>
              <w:ind w:left="74" w:right="10"/>
              <w:jc w:val="center"/>
              <w:rPr>
                <w:sz w:val="20"/>
              </w:rPr>
            </w:pPr>
            <w:r>
              <w:rPr>
                <w:spacing w:val="-4"/>
                <w:sz w:val="20"/>
              </w:rPr>
              <w:t>36.6</w:t>
            </w:r>
          </w:p>
        </w:tc>
        <w:tc>
          <w:tcPr>
            <w:tcW w:w="755" w:type="dxa"/>
          </w:tcPr>
          <w:p>
            <w:pPr>
              <w:pStyle w:val="TableParagraph"/>
              <w:spacing w:line="210" w:lineRule="exact"/>
              <w:ind w:right="245"/>
              <w:jc w:val="right"/>
              <w:rPr>
                <w:sz w:val="20"/>
              </w:rPr>
            </w:pPr>
            <w:r>
              <w:rPr>
                <w:spacing w:val="-5"/>
                <w:sz w:val="20"/>
              </w:rPr>
              <w:t>41</w:t>
            </w:r>
          </w:p>
        </w:tc>
        <w:tc>
          <w:tcPr>
            <w:tcW w:w="901" w:type="dxa"/>
          </w:tcPr>
          <w:p>
            <w:pPr>
              <w:pStyle w:val="TableParagraph"/>
              <w:spacing w:line="210" w:lineRule="exact"/>
              <w:ind w:left="27"/>
              <w:jc w:val="center"/>
              <w:rPr>
                <w:sz w:val="20"/>
              </w:rPr>
            </w:pPr>
            <w:r>
              <w:rPr>
                <w:spacing w:val="-4"/>
                <w:sz w:val="20"/>
              </w:rPr>
              <w:t>17.4</w:t>
            </w:r>
          </w:p>
        </w:tc>
        <w:tc>
          <w:tcPr>
            <w:tcW w:w="683" w:type="dxa"/>
          </w:tcPr>
          <w:p>
            <w:pPr>
              <w:pStyle w:val="TableParagraph"/>
              <w:spacing w:line="210" w:lineRule="exact"/>
              <w:ind w:left="77" w:right="6"/>
              <w:jc w:val="center"/>
              <w:rPr>
                <w:sz w:val="20"/>
              </w:rPr>
            </w:pPr>
            <w:r>
              <w:rPr>
                <w:spacing w:val="-5"/>
                <w:sz w:val="20"/>
              </w:rPr>
              <w:t>46</w:t>
            </w:r>
          </w:p>
        </w:tc>
        <w:tc>
          <w:tcPr>
            <w:tcW w:w="798" w:type="dxa"/>
          </w:tcPr>
          <w:p>
            <w:pPr>
              <w:pStyle w:val="TableParagraph"/>
              <w:spacing w:line="210" w:lineRule="exact"/>
              <w:ind w:left="34"/>
              <w:jc w:val="center"/>
              <w:rPr>
                <w:sz w:val="20"/>
              </w:rPr>
            </w:pPr>
            <w:r>
              <w:rPr>
                <w:spacing w:val="-4"/>
                <w:sz w:val="20"/>
              </w:rPr>
              <w:t>19.6</w:t>
            </w:r>
          </w:p>
        </w:tc>
        <w:tc>
          <w:tcPr>
            <w:tcW w:w="652" w:type="dxa"/>
          </w:tcPr>
          <w:p>
            <w:pPr>
              <w:pStyle w:val="TableParagraph"/>
              <w:spacing w:line="210" w:lineRule="exact"/>
              <w:ind w:left="83" w:right="83"/>
              <w:jc w:val="center"/>
              <w:rPr>
                <w:sz w:val="20"/>
              </w:rPr>
            </w:pPr>
            <w:r>
              <w:rPr>
                <w:spacing w:val="-5"/>
                <w:sz w:val="20"/>
              </w:rPr>
              <w:t>20</w:t>
            </w:r>
          </w:p>
        </w:tc>
        <w:tc>
          <w:tcPr>
            <w:tcW w:w="674" w:type="dxa"/>
          </w:tcPr>
          <w:p>
            <w:pPr>
              <w:pStyle w:val="TableParagraph"/>
              <w:spacing w:line="210" w:lineRule="exact"/>
              <w:ind w:left="100" w:right="5"/>
              <w:jc w:val="center"/>
              <w:rPr>
                <w:sz w:val="20"/>
              </w:rPr>
            </w:pPr>
            <w:r>
              <w:rPr>
                <w:spacing w:val="-5"/>
                <w:sz w:val="20"/>
              </w:rPr>
              <w:t>8.5</w:t>
            </w:r>
          </w:p>
        </w:tc>
        <w:tc>
          <w:tcPr>
            <w:tcW w:w="760" w:type="dxa"/>
          </w:tcPr>
          <w:p>
            <w:pPr>
              <w:pStyle w:val="TableParagraph"/>
              <w:spacing w:line="210" w:lineRule="exact"/>
              <w:ind w:right="162"/>
              <w:jc w:val="right"/>
              <w:rPr>
                <w:sz w:val="20"/>
              </w:rPr>
            </w:pPr>
            <w:r>
              <w:rPr>
                <w:spacing w:val="-5"/>
                <w:sz w:val="20"/>
              </w:rPr>
              <w:t>235</w:t>
            </w:r>
          </w:p>
        </w:tc>
        <w:tc>
          <w:tcPr>
            <w:tcW w:w="737" w:type="dxa"/>
            <w:tcBorders>
              <w:right w:val="single" w:sz="4" w:space="0" w:color="000000"/>
            </w:tcBorders>
          </w:tcPr>
          <w:p>
            <w:pPr>
              <w:pStyle w:val="TableParagraph"/>
              <w:spacing w:line="210" w:lineRule="exact"/>
              <w:ind w:left="59" w:right="5"/>
              <w:jc w:val="center"/>
              <w:rPr>
                <w:sz w:val="20"/>
              </w:rPr>
            </w:pPr>
            <w:r>
              <w:rPr>
                <w:spacing w:val="-4"/>
                <w:sz w:val="20"/>
              </w:rPr>
              <w:t>50.8</w:t>
            </w:r>
          </w:p>
        </w:tc>
      </w:tr>
      <w:tr>
        <w:trPr>
          <w:trHeight w:val="230" w:hRule="atLeast"/>
        </w:trPr>
        <w:tc>
          <w:tcPr>
            <w:tcW w:w="4146" w:type="dxa"/>
            <w:tcBorders>
              <w:left w:val="single" w:sz="4" w:space="0" w:color="000000"/>
            </w:tcBorders>
          </w:tcPr>
          <w:p>
            <w:pPr>
              <w:pStyle w:val="TableParagraph"/>
              <w:tabs>
                <w:tab w:pos="902" w:val="left" w:leader="none"/>
                <w:tab w:pos="1598" w:val="left" w:leader="none"/>
                <w:tab w:pos="2870" w:val="left" w:leader="none"/>
              </w:tabs>
              <w:spacing w:line="210" w:lineRule="exact"/>
              <w:ind w:right="104"/>
              <w:jc w:val="right"/>
              <w:rPr>
                <w:sz w:val="20"/>
              </w:rPr>
            </w:pPr>
            <w:r>
              <w:rPr>
                <w:spacing w:val="-2"/>
                <w:sz w:val="20"/>
              </w:rPr>
              <w:t>Nigeria</w:t>
            </w:r>
            <w:r>
              <w:rPr>
                <w:sz w:val="20"/>
              </w:rPr>
              <w:tab/>
            </w:r>
            <w:r>
              <w:rPr>
                <w:spacing w:val="-4"/>
                <w:sz w:val="20"/>
              </w:rPr>
              <w:t>have</w:t>
            </w:r>
            <w:r>
              <w:rPr>
                <w:sz w:val="20"/>
              </w:rPr>
              <w:tab/>
            </w:r>
            <w:r>
              <w:rPr>
                <w:spacing w:val="-2"/>
                <w:sz w:val="20"/>
              </w:rPr>
              <w:t>established</w:t>
            </w:r>
            <w:r>
              <w:rPr>
                <w:sz w:val="20"/>
              </w:rPr>
              <w:tab/>
            </w:r>
            <w:r>
              <w:rPr>
                <w:spacing w:val="-5"/>
                <w:sz w:val="20"/>
              </w:rPr>
              <w:t>and</w:t>
            </w:r>
          </w:p>
        </w:tc>
        <w:tc>
          <w:tcPr>
            <w:tcW w:w="1978" w:type="dxa"/>
          </w:tcPr>
          <w:p>
            <w:pPr>
              <w:pStyle w:val="TableParagraph"/>
              <w:spacing w:line="210" w:lineRule="exact"/>
              <w:ind w:left="111"/>
              <w:rPr>
                <w:sz w:val="20"/>
              </w:rPr>
            </w:pPr>
            <w:r>
              <w:rPr>
                <w:sz w:val="20"/>
              </w:rPr>
              <w:t>Service</w:t>
            </w:r>
            <w:r>
              <w:rPr>
                <w:spacing w:val="-9"/>
                <w:sz w:val="20"/>
              </w:rPr>
              <w:t> </w:t>
            </w:r>
            <w:r>
              <w:rPr>
                <w:spacing w:val="-2"/>
                <w:sz w:val="20"/>
              </w:rPr>
              <w:t>Staff</w:t>
            </w:r>
          </w:p>
        </w:tc>
        <w:tc>
          <w:tcPr>
            <w:tcW w:w="540" w:type="dxa"/>
          </w:tcPr>
          <w:p>
            <w:pPr>
              <w:pStyle w:val="TableParagraph"/>
              <w:spacing w:line="210" w:lineRule="exact"/>
              <w:ind w:left="5" w:right="4"/>
              <w:jc w:val="center"/>
              <w:rPr>
                <w:sz w:val="20"/>
              </w:rPr>
            </w:pPr>
            <w:r>
              <w:rPr>
                <w:spacing w:val="-5"/>
                <w:sz w:val="20"/>
              </w:rPr>
              <w:t>35</w:t>
            </w:r>
          </w:p>
        </w:tc>
        <w:tc>
          <w:tcPr>
            <w:tcW w:w="731" w:type="dxa"/>
          </w:tcPr>
          <w:p>
            <w:pPr>
              <w:pStyle w:val="TableParagraph"/>
              <w:spacing w:line="210" w:lineRule="exact"/>
              <w:ind w:left="69" w:right="67"/>
              <w:jc w:val="center"/>
              <w:rPr>
                <w:sz w:val="20"/>
              </w:rPr>
            </w:pPr>
            <w:r>
              <w:rPr>
                <w:spacing w:val="-4"/>
                <w:sz w:val="20"/>
              </w:rPr>
              <w:t>17.2</w:t>
            </w:r>
          </w:p>
        </w:tc>
        <w:tc>
          <w:tcPr>
            <w:tcW w:w="690" w:type="dxa"/>
          </w:tcPr>
          <w:p>
            <w:pPr>
              <w:pStyle w:val="TableParagraph"/>
              <w:spacing w:line="210" w:lineRule="exact"/>
              <w:ind w:left="22" w:right="11"/>
              <w:jc w:val="center"/>
              <w:rPr>
                <w:sz w:val="20"/>
              </w:rPr>
            </w:pPr>
            <w:r>
              <w:rPr>
                <w:spacing w:val="-5"/>
                <w:sz w:val="20"/>
              </w:rPr>
              <w:t>101</w:t>
            </w:r>
          </w:p>
        </w:tc>
        <w:tc>
          <w:tcPr>
            <w:tcW w:w="707" w:type="dxa"/>
          </w:tcPr>
          <w:p>
            <w:pPr>
              <w:pStyle w:val="TableParagraph"/>
              <w:spacing w:line="210" w:lineRule="exact"/>
              <w:ind w:left="74" w:right="10"/>
              <w:jc w:val="center"/>
              <w:rPr>
                <w:sz w:val="20"/>
              </w:rPr>
            </w:pPr>
            <w:r>
              <w:rPr>
                <w:spacing w:val="-4"/>
                <w:sz w:val="20"/>
              </w:rPr>
              <w:t>49.8</w:t>
            </w:r>
          </w:p>
        </w:tc>
        <w:tc>
          <w:tcPr>
            <w:tcW w:w="755" w:type="dxa"/>
          </w:tcPr>
          <w:p>
            <w:pPr>
              <w:pStyle w:val="TableParagraph"/>
              <w:spacing w:line="210" w:lineRule="exact"/>
              <w:ind w:right="245"/>
              <w:jc w:val="right"/>
              <w:rPr>
                <w:sz w:val="20"/>
              </w:rPr>
            </w:pPr>
            <w:r>
              <w:rPr>
                <w:spacing w:val="-5"/>
                <w:sz w:val="20"/>
              </w:rPr>
              <w:t>37</w:t>
            </w:r>
          </w:p>
        </w:tc>
        <w:tc>
          <w:tcPr>
            <w:tcW w:w="901" w:type="dxa"/>
          </w:tcPr>
          <w:p>
            <w:pPr>
              <w:pStyle w:val="TableParagraph"/>
              <w:spacing w:line="210" w:lineRule="exact"/>
              <w:ind w:left="27"/>
              <w:jc w:val="center"/>
              <w:rPr>
                <w:sz w:val="20"/>
              </w:rPr>
            </w:pPr>
            <w:r>
              <w:rPr>
                <w:spacing w:val="-4"/>
                <w:sz w:val="20"/>
              </w:rPr>
              <w:t>18.2</w:t>
            </w:r>
          </w:p>
        </w:tc>
        <w:tc>
          <w:tcPr>
            <w:tcW w:w="683" w:type="dxa"/>
          </w:tcPr>
          <w:p>
            <w:pPr>
              <w:pStyle w:val="TableParagraph"/>
              <w:spacing w:line="210" w:lineRule="exact"/>
              <w:ind w:left="77" w:right="6"/>
              <w:jc w:val="center"/>
              <w:rPr>
                <w:sz w:val="20"/>
              </w:rPr>
            </w:pPr>
            <w:r>
              <w:rPr>
                <w:spacing w:val="-5"/>
                <w:sz w:val="20"/>
              </w:rPr>
              <w:t>26</w:t>
            </w:r>
          </w:p>
        </w:tc>
        <w:tc>
          <w:tcPr>
            <w:tcW w:w="798" w:type="dxa"/>
          </w:tcPr>
          <w:p>
            <w:pPr>
              <w:pStyle w:val="TableParagraph"/>
              <w:spacing w:line="210" w:lineRule="exact"/>
              <w:ind w:left="34"/>
              <w:jc w:val="center"/>
              <w:rPr>
                <w:sz w:val="20"/>
              </w:rPr>
            </w:pPr>
            <w:r>
              <w:rPr>
                <w:spacing w:val="-4"/>
                <w:sz w:val="20"/>
              </w:rPr>
              <w:t>12.8</w:t>
            </w:r>
          </w:p>
        </w:tc>
        <w:tc>
          <w:tcPr>
            <w:tcW w:w="652" w:type="dxa"/>
          </w:tcPr>
          <w:p>
            <w:pPr>
              <w:pStyle w:val="TableParagraph"/>
              <w:spacing w:line="210" w:lineRule="exact"/>
              <w:ind w:left="83" w:right="78"/>
              <w:jc w:val="center"/>
              <w:rPr>
                <w:sz w:val="20"/>
              </w:rPr>
            </w:pPr>
            <w:r>
              <w:rPr>
                <w:spacing w:val="-10"/>
                <w:sz w:val="20"/>
              </w:rPr>
              <w:t>4</w:t>
            </w:r>
          </w:p>
        </w:tc>
        <w:tc>
          <w:tcPr>
            <w:tcW w:w="674" w:type="dxa"/>
          </w:tcPr>
          <w:p>
            <w:pPr>
              <w:pStyle w:val="TableParagraph"/>
              <w:spacing w:line="210" w:lineRule="exact"/>
              <w:ind w:left="100" w:right="5"/>
              <w:jc w:val="center"/>
              <w:rPr>
                <w:sz w:val="20"/>
              </w:rPr>
            </w:pPr>
            <w:r>
              <w:rPr>
                <w:spacing w:val="-5"/>
                <w:sz w:val="20"/>
              </w:rPr>
              <w:t>2.0</w:t>
            </w:r>
          </w:p>
        </w:tc>
        <w:tc>
          <w:tcPr>
            <w:tcW w:w="760" w:type="dxa"/>
          </w:tcPr>
          <w:p>
            <w:pPr>
              <w:pStyle w:val="TableParagraph"/>
              <w:spacing w:line="210" w:lineRule="exact"/>
              <w:ind w:right="162"/>
              <w:jc w:val="right"/>
              <w:rPr>
                <w:sz w:val="20"/>
              </w:rPr>
            </w:pPr>
            <w:r>
              <w:rPr>
                <w:spacing w:val="-5"/>
                <w:sz w:val="20"/>
              </w:rPr>
              <w:t>203</w:t>
            </w:r>
          </w:p>
        </w:tc>
        <w:tc>
          <w:tcPr>
            <w:tcW w:w="737" w:type="dxa"/>
            <w:tcBorders>
              <w:right w:val="single" w:sz="4" w:space="0" w:color="000000"/>
            </w:tcBorders>
          </w:tcPr>
          <w:p>
            <w:pPr>
              <w:pStyle w:val="TableParagraph"/>
              <w:spacing w:line="210" w:lineRule="exact"/>
              <w:ind w:left="59" w:right="5"/>
              <w:jc w:val="center"/>
              <w:rPr>
                <w:sz w:val="20"/>
              </w:rPr>
            </w:pPr>
            <w:r>
              <w:rPr>
                <w:spacing w:val="-4"/>
                <w:sz w:val="20"/>
              </w:rPr>
              <w:t>43.8</w:t>
            </w:r>
          </w:p>
        </w:tc>
      </w:tr>
      <w:tr>
        <w:trPr>
          <w:trHeight w:val="456" w:hRule="atLeast"/>
        </w:trPr>
        <w:tc>
          <w:tcPr>
            <w:tcW w:w="4146" w:type="dxa"/>
            <w:tcBorders>
              <w:left w:val="single" w:sz="4" w:space="0" w:color="000000"/>
            </w:tcBorders>
          </w:tcPr>
          <w:p>
            <w:pPr>
              <w:pStyle w:val="TableParagraph"/>
              <w:spacing w:line="226" w:lineRule="exact"/>
              <w:ind w:left="830"/>
              <w:rPr>
                <w:sz w:val="20"/>
              </w:rPr>
            </w:pPr>
            <w:r>
              <w:rPr>
                <w:sz w:val="20"/>
              </w:rPr>
              <w:t>maintained</w:t>
            </w:r>
            <w:r>
              <w:rPr>
                <w:spacing w:val="40"/>
                <w:sz w:val="20"/>
              </w:rPr>
              <w:t> </w:t>
            </w:r>
            <w:r>
              <w:rPr>
                <w:sz w:val="20"/>
              </w:rPr>
              <w:t>a</w:t>
            </w:r>
            <w:r>
              <w:rPr>
                <w:spacing w:val="40"/>
                <w:sz w:val="20"/>
              </w:rPr>
              <w:t> </w:t>
            </w:r>
            <w:r>
              <w:rPr>
                <w:sz w:val="20"/>
              </w:rPr>
              <w:t>virile</w:t>
            </w:r>
            <w:r>
              <w:rPr>
                <w:spacing w:val="40"/>
                <w:sz w:val="20"/>
              </w:rPr>
              <w:t> </w:t>
            </w:r>
            <w:r>
              <w:rPr>
                <w:sz w:val="20"/>
              </w:rPr>
              <w:t>programme</w:t>
            </w:r>
            <w:r>
              <w:rPr>
                <w:spacing w:val="40"/>
                <w:sz w:val="20"/>
              </w:rPr>
              <w:t> </w:t>
            </w:r>
            <w:r>
              <w:rPr>
                <w:sz w:val="20"/>
              </w:rPr>
              <w:t>on sports</w:t>
            </w:r>
            <w:r>
              <w:rPr>
                <w:spacing w:val="78"/>
                <w:w w:val="150"/>
                <w:sz w:val="20"/>
              </w:rPr>
              <w:t> </w:t>
            </w:r>
            <w:r>
              <w:rPr>
                <w:sz w:val="20"/>
              </w:rPr>
              <w:t>and</w:t>
            </w:r>
            <w:r>
              <w:rPr>
                <w:spacing w:val="26"/>
                <w:sz w:val="20"/>
              </w:rPr>
              <w:t>  </w:t>
            </w:r>
            <w:r>
              <w:rPr>
                <w:sz w:val="20"/>
              </w:rPr>
              <w:t>recreational</w:t>
            </w:r>
            <w:r>
              <w:rPr>
                <w:spacing w:val="29"/>
                <w:sz w:val="20"/>
              </w:rPr>
              <w:t>  </w:t>
            </w:r>
            <w:r>
              <w:rPr>
                <w:spacing w:val="-2"/>
                <w:sz w:val="20"/>
              </w:rPr>
              <w:t>activities</w:t>
            </w:r>
          </w:p>
        </w:tc>
        <w:tc>
          <w:tcPr>
            <w:tcW w:w="1978" w:type="dxa"/>
          </w:tcPr>
          <w:p>
            <w:pPr>
              <w:pStyle w:val="TableParagraph"/>
              <w:spacing w:before="26"/>
              <w:ind w:left="111"/>
              <w:rPr>
                <w:sz w:val="20"/>
              </w:rPr>
            </w:pPr>
            <w:r>
              <w:rPr>
                <w:sz w:val="20"/>
              </w:rPr>
              <w:t>Top</w:t>
            </w:r>
            <w:r>
              <w:rPr>
                <w:spacing w:val="-1"/>
                <w:sz w:val="20"/>
              </w:rPr>
              <w:t> </w:t>
            </w:r>
            <w:r>
              <w:rPr>
                <w:spacing w:val="-2"/>
                <w:sz w:val="20"/>
              </w:rPr>
              <w:t>Management</w:t>
            </w:r>
          </w:p>
        </w:tc>
        <w:tc>
          <w:tcPr>
            <w:tcW w:w="540" w:type="dxa"/>
          </w:tcPr>
          <w:p>
            <w:pPr>
              <w:pStyle w:val="TableParagraph"/>
              <w:spacing w:before="26"/>
              <w:ind w:left="5"/>
              <w:jc w:val="center"/>
              <w:rPr>
                <w:sz w:val="20"/>
              </w:rPr>
            </w:pPr>
            <w:r>
              <w:rPr>
                <w:spacing w:val="-10"/>
                <w:sz w:val="20"/>
              </w:rPr>
              <w:t>6</w:t>
            </w:r>
          </w:p>
        </w:tc>
        <w:tc>
          <w:tcPr>
            <w:tcW w:w="731" w:type="dxa"/>
          </w:tcPr>
          <w:p>
            <w:pPr>
              <w:pStyle w:val="TableParagraph"/>
              <w:spacing w:before="26"/>
              <w:ind w:left="69" w:right="67"/>
              <w:jc w:val="center"/>
              <w:rPr>
                <w:sz w:val="20"/>
              </w:rPr>
            </w:pPr>
            <w:r>
              <w:rPr>
                <w:spacing w:val="-4"/>
                <w:sz w:val="20"/>
              </w:rPr>
              <w:t>26.1</w:t>
            </w:r>
          </w:p>
        </w:tc>
        <w:tc>
          <w:tcPr>
            <w:tcW w:w="690" w:type="dxa"/>
          </w:tcPr>
          <w:p>
            <w:pPr>
              <w:pStyle w:val="TableParagraph"/>
              <w:spacing w:before="26"/>
              <w:ind w:left="22" w:right="6"/>
              <w:jc w:val="center"/>
              <w:rPr>
                <w:sz w:val="20"/>
              </w:rPr>
            </w:pPr>
            <w:r>
              <w:rPr>
                <w:spacing w:val="-5"/>
                <w:sz w:val="20"/>
              </w:rPr>
              <w:t>10</w:t>
            </w:r>
          </w:p>
        </w:tc>
        <w:tc>
          <w:tcPr>
            <w:tcW w:w="707" w:type="dxa"/>
          </w:tcPr>
          <w:p>
            <w:pPr>
              <w:pStyle w:val="TableParagraph"/>
              <w:spacing w:before="26"/>
              <w:ind w:left="74" w:right="10"/>
              <w:jc w:val="center"/>
              <w:rPr>
                <w:sz w:val="20"/>
              </w:rPr>
            </w:pPr>
            <w:r>
              <w:rPr>
                <w:spacing w:val="-4"/>
                <w:sz w:val="20"/>
              </w:rPr>
              <w:t>43.5</w:t>
            </w:r>
          </w:p>
        </w:tc>
        <w:tc>
          <w:tcPr>
            <w:tcW w:w="755" w:type="dxa"/>
          </w:tcPr>
          <w:p>
            <w:pPr>
              <w:pStyle w:val="TableParagraph"/>
              <w:spacing w:before="26"/>
              <w:ind w:right="298"/>
              <w:jc w:val="right"/>
              <w:rPr>
                <w:sz w:val="20"/>
              </w:rPr>
            </w:pPr>
            <w:r>
              <w:rPr>
                <w:spacing w:val="-10"/>
                <w:sz w:val="20"/>
              </w:rPr>
              <w:t>2</w:t>
            </w:r>
          </w:p>
        </w:tc>
        <w:tc>
          <w:tcPr>
            <w:tcW w:w="901" w:type="dxa"/>
          </w:tcPr>
          <w:p>
            <w:pPr>
              <w:pStyle w:val="TableParagraph"/>
              <w:spacing w:before="26"/>
              <w:ind w:left="27" w:right="5"/>
              <w:jc w:val="center"/>
              <w:rPr>
                <w:sz w:val="20"/>
              </w:rPr>
            </w:pPr>
            <w:r>
              <w:rPr>
                <w:spacing w:val="-5"/>
                <w:sz w:val="20"/>
              </w:rPr>
              <w:t>8.7</w:t>
            </w:r>
          </w:p>
        </w:tc>
        <w:tc>
          <w:tcPr>
            <w:tcW w:w="683" w:type="dxa"/>
          </w:tcPr>
          <w:p>
            <w:pPr>
              <w:pStyle w:val="TableParagraph"/>
              <w:spacing w:before="26"/>
              <w:ind w:left="77" w:right="2"/>
              <w:jc w:val="center"/>
              <w:rPr>
                <w:sz w:val="20"/>
              </w:rPr>
            </w:pPr>
            <w:r>
              <w:rPr>
                <w:spacing w:val="-10"/>
                <w:sz w:val="20"/>
              </w:rPr>
              <w:t>5</w:t>
            </w:r>
          </w:p>
        </w:tc>
        <w:tc>
          <w:tcPr>
            <w:tcW w:w="798" w:type="dxa"/>
          </w:tcPr>
          <w:p>
            <w:pPr>
              <w:pStyle w:val="TableParagraph"/>
              <w:spacing w:before="26"/>
              <w:ind w:left="34"/>
              <w:jc w:val="center"/>
              <w:rPr>
                <w:sz w:val="20"/>
              </w:rPr>
            </w:pPr>
            <w:r>
              <w:rPr>
                <w:spacing w:val="-4"/>
                <w:sz w:val="20"/>
              </w:rPr>
              <w:t>21.7</w:t>
            </w:r>
          </w:p>
        </w:tc>
        <w:tc>
          <w:tcPr>
            <w:tcW w:w="652" w:type="dxa"/>
          </w:tcPr>
          <w:p>
            <w:pPr>
              <w:pStyle w:val="TableParagraph"/>
              <w:spacing w:before="26"/>
              <w:ind w:left="83" w:right="84"/>
              <w:jc w:val="center"/>
              <w:rPr>
                <w:sz w:val="20"/>
              </w:rPr>
            </w:pPr>
            <w:r>
              <w:rPr>
                <w:spacing w:val="-10"/>
                <w:sz w:val="20"/>
              </w:rPr>
              <w:t>-</w:t>
            </w:r>
          </w:p>
        </w:tc>
        <w:tc>
          <w:tcPr>
            <w:tcW w:w="674" w:type="dxa"/>
          </w:tcPr>
          <w:p>
            <w:pPr>
              <w:pStyle w:val="TableParagraph"/>
              <w:spacing w:before="26"/>
              <w:ind w:left="100" w:right="7"/>
              <w:jc w:val="center"/>
              <w:rPr>
                <w:sz w:val="20"/>
              </w:rPr>
            </w:pPr>
            <w:r>
              <w:rPr>
                <w:spacing w:val="-10"/>
                <w:sz w:val="20"/>
              </w:rPr>
              <w:t>-</w:t>
            </w:r>
          </w:p>
        </w:tc>
        <w:tc>
          <w:tcPr>
            <w:tcW w:w="760" w:type="dxa"/>
          </w:tcPr>
          <w:p>
            <w:pPr>
              <w:pStyle w:val="TableParagraph"/>
              <w:spacing w:before="26"/>
              <w:ind w:right="215"/>
              <w:jc w:val="right"/>
              <w:rPr>
                <w:sz w:val="20"/>
              </w:rPr>
            </w:pPr>
            <w:r>
              <w:rPr>
                <w:spacing w:val="-5"/>
                <w:sz w:val="20"/>
              </w:rPr>
              <w:t>23</w:t>
            </w:r>
          </w:p>
        </w:tc>
        <w:tc>
          <w:tcPr>
            <w:tcW w:w="737" w:type="dxa"/>
            <w:tcBorders>
              <w:right w:val="single" w:sz="4" w:space="0" w:color="000000"/>
            </w:tcBorders>
          </w:tcPr>
          <w:p>
            <w:pPr>
              <w:pStyle w:val="TableParagraph"/>
              <w:spacing w:before="26"/>
              <w:ind w:left="58" w:right="9"/>
              <w:jc w:val="center"/>
              <w:rPr>
                <w:sz w:val="20"/>
              </w:rPr>
            </w:pPr>
            <w:r>
              <w:rPr>
                <w:spacing w:val="-5"/>
                <w:sz w:val="20"/>
              </w:rPr>
              <w:t>5.0</w:t>
            </w:r>
          </w:p>
        </w:tc>
      </w:tr>
      <w:tr>
        <w:trPr>
          <w:trHeight w:val="230" w:hRule="atLeast"/>
        </w:trPr>
        <w:tc>
          <w:tcPr>
            <w:tcW w:w="4146" w:type="dxa"/>
            <w:tcBorders>
              <w:left w:val="single" w:sz="4" w:space="0" w:color="000000"/>
            </w:tcBorders>
          </w:tcPr>
          <w:p>
            <w:pPr>
              <w:pStyle w:val="TableParagraph"/>
              <w:spacing w:line="210" w:lineRule="exact"/>
              <w:ind w:right="100"/>
              <w:jc w:val="right"/>
              <w:rPr>
                <w:sz w:val="20"/>
              </w:rPr>
            </w:pPr>
            <w:r>
              <w:rPr>
                <w:sz w:val="20"/>
              </w:rPr>
              <w:t>under</w:t>
            </w:r>
            <w:r>
              <w:rPr>
                <w:spacing w:val="71"/>
                <w:sz w:val="20"/>
              </w:rPr>
              <w:t> </w:t>
            </w:r>
            <w:r>
              <w:rPr>
                <w:sz w:val="20"/>
              </w:rPr>
              <w:t>the</w:t>
            </w:r>
            <w:r>
              <w:rPr>
                <w:spacing w:val="70"/>
                <w:sz w:val="20"/>
              </w:rPr>
              <w:t> </w:t>
            </w:r>
            <w:r>
              <w:rPr>
                <w:sz w:val="20"/>
              </w:rPr>
              <w:t>supervision</w:t>
            </w:r>
            <w:r>
              <w:rPr>
                <w:spacing w:val="69"/>
                <w:sz w:val="20"/>
              </w:rPr>
              <w:t> </w:t>
            </w:r>
            <w:r>
              <w:rPr>
                <w:sz w:val="20"/>
              </w:rPr>
              <w:t>of</w:t>
            </w:r>
            <w:r>
              <w:rPr>
                <w:spacing w:val="73"/>
                <w:sz w:val="20"/>
              </w:rPr>
              <w:t> </w:t>
            </w:r>
            <w:r>
              <w:rPr>
                <w:sz w:val="20"/>
              </w:rPr>
              <w:t>full-</w:t>
            </w:r>
            <w:r>
              <w:rPr>
                <w:spacing w:val="-4"/>
                <w:sz w:val="20"/>
              </w:rPr>
              <w:t>time</w:t>
            </w:r>
          </w:p>
        </w:tc>
        <w:tc>
          <w:tcPr>
            <w:tcW w:w="1978" w:type="dxa"/>
          </w:tcPr>
          <w:p>
            <w:pPr>
              <w:pStyle w:val="TableParagraph"/>
              <w:rPr>
                <w:rFonts w:ascii="Times New Roman"/>
                <w:sz w:val="16"/>
              </w:rPr>
            </w:pPr>
          </w:p>
        </w:tc>
        <w:tc>
          <w:tcPr>
            <w:tcW w:w="540" w:type="dxa"/>
          </w:tcPr>
          <w:p>
            <w:pPr>
              <w:pStyle w:val="TableParagraph"/>
              <w:rPr>
                <w:rFonts w:ascii="Times New Roman"/>
                <w:sz w:val="16"/>
              </w:rPr>
            </w:pPr>
          </w:p>
        </w:tc>
        <w:tc>
          <w:tcPr>
            <w:tcW w:w="731" w:type="dxa"/>
          </w:tcPr>
          <w:p>
            <w:pPr>
              <w:pStyle w:val="TableParagraph"/>
              <w:rPr>
                <w:rFonts w:ascii="Times New Roman"/>
                <w:sz w:val="16"/>
              </w:rPr>
            </w:pPr>
          </w:p>
        </w:tc>
        <w:tc>
          <w:tcPr>
            <w:tcW w:w="690" w:type="dxa"/>
          </w:tcPr>
          <w:p>
            <w:pPr>
              <w:pStyle w:val="TableParagraph"/>
              <w:rPr>
                <w:rFonts w:ascii="Times New Roman"/>
                <w:sz w:val="16"/>
              </w:rPr>
            </w:pPr>
          </w:p>
        </w:tc>
        <w:tc>
          <w:tcPr>
            <w:tcW w:w="707" w:type="dxa"/>
          </w:tcPr>
          <w:p>
            <w:pPr>
              <w:pStyle w:val="TableParagraph"/>
              <w:rPr>
                <w:rFonts w:ascii="Times New Roman"/>
                <w:sz w:val="16"/>
              </w:rPr>
            </w:pPr>
          </w:p>
        </w:tc>
        <w:tc>
          <w:tcPr>
            <w:tcW w:w="755" w:type="dxa"/>
          </w:tcPr>
          <w:p>
            <w:pPr>
              <w:pStyle w:val="TableParagraph"/>
              <w:rPr>
                <w:rFonts w:ascii="Times New Roman"/>
                <w:sz w:val="16"/>
              </w:rPr>
            </w:pPr>
          </w:p>
        </w:tc>
        <w:tc>
          <w:tcPr>
            <w:tcW w:w="901" w:type="dxa"/>
          </w:tcPr>
          <w:p>
            <w:pPr>
              <w:pStyle w:val="TableParagraph"/>
              <w:rPr>
                <w:rFonts w:ascii="Times New Roman"/>
                <w:sz w:val="16"/>
              </w:rPr>
            </w:pPr>
          </w:p>
        </w:tc>
        <w:tc>
          <w:tcPr>
            <w:tcW w:w="683" w:type="dxa"/>
          </w:tcPr>
          <w:p>
            <w:pPr>
              <w:pStyle w:val="TableParagraph"/>
              <w:rPr>
                <w:rFonts w:ascii="Times New Roman"/>
                <w:sz w:val="16"/>
              </w:rPr>
            </w:pPr>
          </w:p>
        </w:tc>
        <w:tc>
          <w:tcPr>
            <w:tcW w:w="798" w:type="dxa"/>
          </w:tcPr>
          <w:p>
            <w:pPr>
              <w:pStyle w:val="TableParagraph"/>
              <w:rPr>
                <w:rFonts w:ascii="Times New Roman"/>
                <w:sz w:val="16"/>
              </w:rPr>
            </w:pPr>
          </w:p>
        </w:tc>
        <w:tc>
          <w:tcPr>
            <w:tcW w:w="652" w:type="dxa"/>
          </w:tcPr>
          <w:p>
            <w:pPr>
              <w:pStyle w:val="TableParagraph"/>
              <w:rPr>
                <w:rFonts w:ascii="Times New Roman"/>
                <w:sz w:val="16"/>
              </w:rPr>
            </w:pPr>
          </w:p>
        </w:tc>
        <w:tc>
          <w:tcPr>
            <w:tcW w:w="674" w:type="dxa"/>
          </w:tcPr>
          <w:p>
            <w:pPr>
              <w:pStyle w:val="TableParagraph"/>
              <w:rPr>
                <w:rFonts w:ascii="Times New Roman"/>
                <w:sz w:val="16"/>
              </w:rPr>
            </w:pPr>
          </w:p>
        </w:tc>
        <w:tc>
          <w:tcPr>
            <w:tcW w:w="760" w:type="dxa"/>
          </w:tcPr>
          <w:p>
            <w:pPr>
              <w:pStyle w:val="TableParagraph"/>
              <w:rPr>
                <w:rFonts w:ascii="Times New Roman"/>
                <w:sz w:val="16"/>
              </w:rPr>
            </w:pPr>
          </w:p>
        </w:tc>
        <w:tc>
          <w:tcPr>
            <w:tcW w:w="737" w:type="dxa"/>
            <w:tcBorders>
              <w:right w:val="single" w:sz="4" w:space="0" w:color="000000"/>
            </w:tcBorders>
          </w:tcPr>
          <w:p>
            <w:pPr>
              <w:pStyle w:val="TableParagraph"/>
              <w:rPr>
                <w:rFonts w:ascii="Times New Roman"/>
                <w:sz w:val="16"/>
              </w:rPr>
            </w:pPr>
          </w:p>
        </w:tc>
      </w:tr>
      <w:tr>
        <w:trPr>
          <w:trHeight w:val="290" w:hRule="atLeast"/>
        </w:trPr>
        <w:tc>
          <w:tcPr>
            <w:tcW w:w="4146" w:type="dxa"/>
            <w:tcBorders>
              <w:left w:val="single" w:sz="4" w:space="0" w:color="000000"/>
            </w:tcBorders>
          </w:tcPr>
          <w:p>
            <w:pPr>
              <w:pStyle w:val="TableParagraph"/>
              <w:spacing w:line="227" w:lineRule="exact"/>
              <w:ind w:left="830"/>
              <w:rPr>
                <w:sz w:val="20"/>
              </w:rPr>
            </w:pPr>
            <w:r>
              <w:rPr>
                <w:sz w:val="20"/>
              </w:rPr>
              <w:t>staff</w:t>
            </w:r>
            <w:r>
              <w:rPr>
                <w:spacing w:val="-5"/>
                <w:sz w:val="20"/>
              </w:rPr>
              <w:t> </w:t>
            </w:r>
            <w:r>
              <w:rPr>
                <w:sz w:val="20"/>
              </w:rPr>
              <w:t>to</w:t>
            </w:r>
            <w:r>
              <w:rPr>
                <w:spacing w:val="-11"/>
                <w:sz w:val="20"/>
              </w:rPr>
              <w:t> </w:t>
            </w:r>
            <w:r>
              <w:rPr>
                <w:sz w:val="20"/>
              </w:rPr>
              <w:t>facilitate</w:t>
            </w:r>
            <w:r>
              <w:rPr>
                <w:spacing w:val="-7"/>
                <w:sz w:val="20"/>
              </w:rPr>
              <w:t> </w:t>
            </w:r>
            <w:r>
              <w:rPr>
                <w:sz w:val="20"/>
              </w:rPr>
              <w:t>students’</w:t>
            </w:r>
            <w:r>
              <w:rPr>
                <w:spacing w:val="-6"/>
                <w:sz w:val="20"/>
              </w:rPr>
              <w:t> </w:t>
            </w:r>
            <w:r>
              <w:rPr>
                <w:spacing w:val="-2"/>
                <w:sz w:val="20"/>
              </w:rPr>
              <w:t>welfare.</w:t>
            </w:r>
          </w:p>
        </w:tc>
        <w:tc>
          <w:tcPr>
            <w:tcW w:w="1978" w:type="dxa"/>
          </w:tcPr>
          <w:p>
            <w:pPr>
              <w:pStyle w:val="TableParagraph"/>
              <w:rPr>
                <w:rFonts w:ascii="Times New Roman"/>
                <w:sz w:val="20"/>
              </w:rPr>
            </w:pPr>
          </w:p>
        </w:tc>
        <w:tc>
          <w:tcPr>
            <w:tcW w:w="540" w:type="dxa"/>
          </w:tcPr>
          <w:p>
            <w:pPr>
              <w:pStyle w:val="TableParagraph"/>
              <w:rPr>
                <w:rFonts w:ascii="Times New Roman"/>
                <w:sz w:val="20"/>
              </w:rPr>
            </w:pPr>
          </w:p>
        </w:tc>
        <w:tc>
          <w:tcPr>
            <w:tcW w:w="731" w:type="dxa"/>
          </w:tcPr>
          <w:p>
            <w:pPr>
              <w:pStyle w:val="TableParagraph"/>
              <w:rPr>
                <w:rFonts w:ascii="Times New Roman"/>
                <w:sz w:val="20"/>
              </w:rPr>
            </w:pPr>
          </w:p>
        </w:tc>
        <w:tc>
          <w:tcPr>
            <w:tcW w:w="690" w:type="dxa"/>
          </w:tcPr>
          <w:p>
            <w:pPr>
              <w:pStyle w:val="TableParagraph"/>
              <w:rPr>
                <w:rFonts w:ascii="Times New Roman"/>
                <w:sz w:val="20"/>
              </w:rPr>
            </w:pPr>
          </w:p>
        </w:tc>
        <w:tc>
          <w:tcPr>
            <w:tcW w:w="707" w:type="dxa"/>
          </w:tcPr>
          <w:p>
            <w:pPr>
              <w:pStyle w:val="TableParagraph"/>
              <w:rPr>
                <w:rFonts w:ascii="Times New Roman"/>
                <w:sz w:val="20"/>
              </w:rPr>
            </w:pPr>
          </w:p>
        </w:tc>
        <w:tc>
          <w:tcPr>
            <w:tcW w:w="755" w:type="dxa"/>
          </w:tcPr>
          <w:p>
            <w:pPr>
              <w:pStyle w:val="TableParagraph"/>
              <w:rPr>
                <w:rFonts w:ascii="Times New Roman"/>
                <w:sz w:val="20"/>
              </w:rPr>
            </w:pPr>
          </w:p>
        </w:tc>
        <w:tc>
          <w:tcPr>
            <w:tcW w:w="901" w:type="dxa"/>
          </w:tcPr>
          <w:p>
            <w:pPr>
              <w:pStyle w:val="TableParagraph"/>
              <w:rPr>
                <w:rFonts w:ascii="Times New Roman"/>
                <w:sz w:val="20"/>
              </w:rPr>
            </w:pPr>
          </w:p>
        </w:tc>
        <w:tc>
          <w:tcPr>
            <w:tcW w:w="683" w:type="dxa"/>
          </w:tcPr>
          <w:p>
            <w:pPr>
              <w:pStyle w:val="TableParagraph"/>
              <w:rPr>
                <w:rFonts w:ascii="Times New Roman"/>
                <w:sz w:val="20"/>
              </w:rPr>
            </w:pPr>
          </w:p>
        </w:tc>
        <w:tc>
          <w:tcPr>
            <w:tcW w:w="798" w:type="dxa"/>
          </w:tcPr>
          <w:p>
            <w:pPr>
              <w:pStyle w:val="TableParagraph"/>
              <w:rPr>
                <w:rFonts w:ascii="Times New Roman"/>
                <w:sz w:val="20"/>
              </w:rPr>
            </w:pPr>
          </w:p>
        </w:tc>
        <w:tc>
          <w:tcPr>
            <w:tcW w:w="652" w:type="dxa"/>
          </w:tcPr>
          <w:p>
            <w:pPr>
              <w:pStyle w:val="TableParagraph"/>
              <w:rPr>
                <w:rFonts w:ascii="Times New Roman"/>
                <w:sz w:val="20"/>
              </w:rPr>
            </w:pPr>
          </w:p>
        </w:tc>
        <w:tc>
          <w:tcPr>
            <w:tcW w:w="674" w:type="dxa"/>
          </w:tcPr>
          <w:p>
            <w:pPr>
              <w:pStyle w:val="TableParagraph"/>
              <w:rPr>
                <w:rFonts w:ascii="Times New Roman"/>
                <w:sz w:val="20"/>
              </w:rPr>
            </w:pPr>
          </w:p>
        </w:tc>
        <w:tc>
          <w:tcPr>
            <w:tcW w:w="760" w:type="dxa"/>
          </w:tcPr>
          <w:p>
            <w:pPr>
              <w:pStyle w:val="TableParagraph"/>
              <w:rPr>
                <w:rFonts w:ascii="Times New Roman"/>
                <w:sz w:val="20"/>
              </w:rPr>
            </w:pPr>
          </w:p>
        </w:tc>
        <w:tc>
          <w:tcPr>
            <w:tcW w:w="737" w:type="dxa"/>
            <w:tcBorders>
              <w:right w:val="single" w:sz="4" w:space="0" w:color="000000"/>
            </w:tcBorders>
          </w:tcPr>
          <w:p>
            <w:pPr>
              <w:pStyle w:val="TableParagraph"/>
              <w:rPr>
                <w:rFonts w:ascii="Times New Roman"/>
                <w:sz w:val="20"/>
              </w:rPr>
            </w:pPr>
          </w:p>
        </w:tc>
      </w:tr>
      <w:tr>
        <w:trPr>
          <w:trHeight w:val="290" w:hRule="atLeast"/>
        </w:trPr>
        <w:tc>
          <w:tcPr>
            <w:tcW w:w="4146" w:type="dxa"/>
            <w:tcBorders>
              <w:left w:val="single" w:sz="4" w:space="0" w:color="000000"/>
            </w:tcBorders>
          </w:tcPr>
          <w:p>
            <w:pPr>
              <w:pStyle w:val="TableParagraph"/>
              <w:tabs>
                <w:tab w:pos="609" w:val="left" w:leader="none"/>
              </w:tabs>
              <w:spacing w:line="213" w:lineRule="exact" w:before="57"/>
              <w:ind w:right="102"/>
              <w:jc w:val="right"/>
              <w:rPr>
                <w:sz w:val="20"/>
              </w:rPr>
            </w:pPr>
            <w:r>
              <w:rPr>
                <w:spacing w:val="-5"/>
                <w:sz w:val="20"/>
              </w:rPr>
              <w:t>49.</w:t>
            </w:r>
            <w:r>
              <w:rPr>
                <w:sz w:val="20"/>
              </w:rPr>
              <w:tab/>
              <w:t>The</w:t>
            </w:r>
            <w:r>
              <w:rPr>
                <w:spacing w:val="-7"/>
                <w:sz w:val="20"/>
              </w:rPr>
              <w:t> </w:t>
            </w:r>
            <w:r>
              <w:rPr>
                <w:sz w:val="20"/>
              </w:rPr>
              <w:t>sports</w:t>
            </w:r>
            <w:r>
              <w:rPr>
                <w:spacing w:val="-8"/>
                <w:sz w:val="20"/>
              </w:rPr>
              <w:t> </w:t>
            </w:r>
            <w:r>
              <w:rPr>
                <w:sz w:val="20"/>
              </w:rPr>
              <w:t>and</w:t>
            </w:r>
            <w:r>
              <w:rPr>
                <w:spacing w:val="-6"/>
                <w:sz w:val="20"/>
              </w:rPr>
              <w:t> </w:t>
            </w:r>
            <w:r>
              <w:rPr>
                <w:sz w:val="20"/>
              </w:rPr>
              <w:t>recreational</w:t>
            </w:r>
            <w:r>
              <w:rPr>
                <w:spacing w:val="-6"/>
                <w:sz w:val="20"/>
              </w:rPr>
              <w:t> </w:t>
            </w:r>
            <w:r>
              <w:rPr>
                <w:spacing w:val="-2"/>
                <w:sz w:val="20"/>
              </w:rPr>
              <w:t>facilities</w:t>
            </w:r>
          </w:p>
        </w:tc>
        <w:tc>
          <w:tcPr>
            <w:tcW w:w="1978" w:type="dxa"/>
          </w:tcPr>
          <w:p>
            <w:pPr>
              <w:pStyle w:val="TableParagraph"/>
              <w:spacing w:line="213" w:lineRule="exact" w:before="57"/>
              <w:ind w:left="111"/>
              <w:rPr>
                <w:sz w:val="20"/>
              </w:rPr>
            </w:pPr>
            <w:r>
              <w:rPr>
                <w:sz w:val="20"/>
              </w:rPr>
              <w:t>No.</w:t>
            </w:r>
            <w:r>
              <w:rPr>
                <w:spacing w:val="-5"/>
                <w:sz w:val="20"/>
              </w:rPr>
              <w:t> </w:t>
            </w:r>
            <w:r>
              <w:rPr>
                <w:sz w:val="20"/>
              </w:rPr>
              <w:t>of</w:t>
            </w:r>
            <w:r>
              <w:rPr>
                <w:spacing w:val="-2"/>
                <w:sz w:val="20"/>
              </w:rPr>
              <w:t> missing</w:t>
            </w:r>
          </w:p>
        </w:tc>
        <w:tc>
          <w:tcPr>
            <w:tcW w:w="540" w:type="dxa"/>
          </w:tcPr>
          <w:p>
            <w:pPr>
              <w:pStyle w:val="TableParagraph"/>
              <w:rPr>
                <w:rFonts w:ascii="Times New Roman"/>
                <w:sz w:val="20"/>
              </w:rPr>
            </w:pPr>
          </w:p>
        </w:tc>
        <w:tc>
          <w:tcPr>
            <w:tcW w:w="731" w:type="dxa"/>
          </w:tcPr>
          <w:p>
            <w:pPr>
              <w:pStyle w:val="TableParagraph"/>
              <w:rPr>
                <w:rFonts w:ascii="Times New Roman"/>
                <w:sz w:val="20"/>
              </w:rPr>
            </w:pPr>
          </w:p>
        </w:tc>
        <w:tc>
          <w:tcPr>
            <w:tcW w:w="690" w:type="dxa"/>
          </w:tcPr>
          <w:p>
            <w:pPr>
              <w:pStyle w:val="TableParagraph"/>
              <w:rPr>
                <w:rFonts w:ascii="Times New Roman"/>
                <w:sz w:val="20"/>
              </w:rPr>
            </w:pPr>
          </w:p>
        </w:tc>
        <w:tc>
          <w:tcPr>
            <w:tcW w:w="707" w:type="dxa"/>
          </w:tcPr>
          <w:p>
            <w:pPr>
              <w:pStyle w:val="TableParagraph"/>
              <w:rPr>
                <w:rFonts w:ascii="Times New Roman"/>
                <w:sz w:val="20"/>
              </w:rPr>
            </w:pPr>
          </w:p>
        </w:tc>
        <w:tc>
          <w:tcPr>
            <w:tcW w:w="755" w:type="dxa"/>
          </w:tcPr>
          <w:p>
            <w:pPr>
              <w:pStyle w:val="TableParagraph"/>
              <w:rPr>
                <w:rFonts w:ascii="Times New Roman"/>
                <w:sz w:val="20"/>
              </w:rPr>
            </w:pPr>
          </w:p>
        </w:tc>
        <w:tc>
          <w:tcPr>
            <w:tcW w:w="901" w:type="dxa"/>
          </w:tcPr>
          <w:p>
            <w:pPr>
              <w:pStyle w:val="TableParagraph"/>
              <w:rPr>
                <w:rFonts w:ascii="Times New Roman"/>
                <w:sz w:val="20"/>
              </w:rPr>
            </w:pPr>
          </w:p>
        </w:tc>
        <w:tc>
          <w:tcPr>
            <w:tcW w:w="683" w:type="dxa"/>
          </w:tcPr>
          <w:p>
            <w:pPr>
              <w:pStyle w:val="TableParagraph"/>
              <w:rPr>
                <w:rFonts w:ascii="Times New Roman"/>
                <w:sz w:val="20"/>
              </w:rPr>
            </w:pPr>
          </w:p>
        </w:tc>
        <w:tc>
          <w:tcPr>
            <w:tcW w:w="798" w:type="dxa"/>
          </w:tcPr>
          <w:p>
            <w:pPr>
              <w:pStyle w:val="TableParagraph"/>
              <w:rPr>
                <w:rFonts w:ascii="Times New Roman"/>
                <w:sz w:val="20"/>
              </w:rPr>
            </w:pPr>
          </w:p>
        </w:tc>
        <w:tc>
          <w:tcPr>
            <w:tcW w:w="652" w:type="dxa"/>
          </w:tcPr>
          <w:p>
            <w:pPr>
              <w:pStyle w:val="TableParagraph"/>
              <w:rPr>
                <w:rFonts w:ascii="Times New Roman"/>
                <w:sz w:val="20"/>
              </w:rPr>
            </w:pPr>
          </w:p>
        </w:tc>
        <w:tc>
          <w:tcPr>
            <w:tcW w:w="674" w:type="dxa"/>
          </w:tcPr>
          <w:p>
            <w:pPr>
              <w:pStyle w:val="TableParagraph"/>
              <w:rPr>
                <w:rFonts w:ascii="Times New Roman"/>
                <w:sz w:val="20"/>
              </w:rPr>
            </w:pPr>
          </w:p>
        </w:tc>
        <w:tc>
          <w:tcPr>
            <w:tcW w:w="760" w:type="dxa"/>
          </w:tcPr>
          <w:p>
            <w:pPr>
              <w:pStyle w:val="TableParagraph"/>
              <w:rPr>
                <w:rFonts w:ascii="Times New Roman"/>
                <w:sz w:val="20"/>
              </w:rPr>
            </w:pPr>
          </w:p>
        </w:tc>
        <w:tc>
          <w:tcPr>
            <w:tcW w:w="737" w:type="dxa"/>
            <w:tcBorders>
              <w:right w:val="single" w:sz="4" w:space="0" w:color="000000"/>
            </w:tcBorders>
          </w:tcPr>
          <w:p>
            <w:pPr>
              <w:pStyle w:val="TableParagraph"/>
              <w:rPr>
                <w:rFonts w:ascii="Times New Roman"/>
                <w:sz w:val="20"/>
              </w:rPr>
            </w:pPr>
          </w:p>
        </w:tc>
      </w:tr>
      <w:tr>
        <w:trPr>
          <w:trHeight w:val="230" w:hRule="atLeast"/>
        </w:trPr>
        <w:tc>
          <w:tcPr>
            <w:tcW w:w="4146" w:type="dxa"/>
            <w:tcBorders>
              <w:left w:val="single" w:sz="4" w:space="0" w:color="000000"/>
            </w:tcBorders>
          </w:tcPr>
          <w:p>
            <w:pPr>
              <w:pStyle w:val="TableParagraph"/>
              <w:spacing w:line="210" w:lineRule="exact"/>
              <w:ind w:right="100"/>
              <w:jc w:val="right"/>
              <w:rPr>
                <w:sz w:val="20"/>
              </w:rPr>
            </w:pPr>
            <w:r>
              <w:rPr>
                <w:sz w:val="20"/>
              </w:rPr>
              <w:t>for</w:t>
            </w:r>
            <w:r>
              <w:rPr>
                <w:spacing w:val="22"/>
                <w:sz w:val="20"/>
              </w:rPr>
              <w:t> </w:t>
            </w:r>
            <w:r>
              <w:rPr>
                <w:sz w:val="20"/>
              </w:rPr>
              <w:t>students</w:t>
            </w:r>
            <w:r>
              <w:rPr>
                <w:spacing w:val="22"/>
                <w:sz w:val="20"/>
              </w:rPr>
              <w:t> </w:t>
            </w:r>
            <w:r>
              <w:rPr>
                <w:sz w:val="20"/>
              </w:rPr>
              <w:t>in</w:t>
            </w:r>
            <w:r>
              <w:rPr>
                <w:spacing w:val="25"/>
                <w:sz w:val="20"/>
              </w:rPr>
              <w:t> </w:t>
            </w:r>
            <w:r>
              <w:rPr>
                <w:sz w:val="20"/>
              </w:rPr>
              <w:t>Universities</w:t>
            </w:r>
            <w:r>
              <w:rPr>
                <w:spacing w:val="22"/>
                <w:sz w:val="20"/>
              </w:rPr>
              <w:t> </w:t>
            </w:r>
            <w:r>
              <w:rPr>
                <w:sz w:val="20"/>
              </w:rPr>
              <w:t>cover</w:t>
            </w:r>
            <w:r>
              <w:rPr>
                <w:spacing w:val="23"/>
                <w:sz w:val="20"/>
              </w:rPr>
              <w:t> </w:t>
            </w:r>
            <w:r>
              <w:rPr>
                <w:spacing w:val="-10"/>
                <w:sz w:val="20"/>
              </w:rPr>
              <w:t>a</w:t>
            </w:r>
          </w:p>
        </w:tc>
        <w:tc>
          <w:tcPr>
            <w:tcW w:w="1978" w:type="dxa"/>
          </w:tcPr>
          <w:p>
            <w:pPr>
              <w:pStyle w:val="TableParagraph"/>
              <w:spacing w:line="210" w:lineRule="exact"/>
              <w:ind w:left="111"/>
              <w:rPr>
                <w:sz w:val="20"/>
              </w:rPr>
            </w:pPr>
            <w:r>
              <w:rPr>
                <w:spacing w:val="-2"/>
                <w:sz w:val="20"/>
              </w:rPr>
              <w:t>observations</w:t>
            </w:r>
          </w:p>
        </w:tc>
        <w:tc>
          <w:tcPr>
            <w:tcW w:w="540" w:type="dxa"/>
          </w:tcPr>
          <w:p>
            <w:pPr>
              <w:pStyle w:val="TableParagraph"/>
              <w:spacing w:line="210" w:lineRule="exact"/>
              <w:ind w:left="5" w:right="5"/>
              <w:jc w:val="center"/>
              <w:rPr>
                <w:sz w:val="20"/>
              </w:rPr>
            </w:pPr>
            <w:r>
              <w:rPr>
                <w:spacing w:val="-10"/>
                <w:sz w:val="20"/>
              </w:rPr>
              <w:t>-</w:t>
            </w:r>
          </w:p>
        </w:tc>
        <w:tc>
          <w:tcPr>
            <w:tcW w:w="731" w:type="dxa"/>
          </w:tcPr>
          <w:p>
            <w:pPr>
              <w:pStyle w:val="TableParagraph"/>
              <w:spacing w:line="210" w:lineRule="exact"/>
              <w:ind w:left="69" w:right="71"/>
              <w:jc w:val="center"/>
              <w:rPr>
                <w:sz w:val="20"/>
              </w:rPr>
            </w:pPr>
            <w:r>
              <w:rPr>
                <w:spacing w:val="-10"/>
                <w:sz w:val="20"/>
              </w:rPr>
              <w:t>-</w:t>
            </w:r>
          </w:p>
        </w:tc>
        <w:tc>
          <w:tcPr>
            <w:tcW w:w="690" w:type="dxa"/>
          </w:tcPr>
          <w:p>
            <w:pPr>
              <w:pStyle w:val="TableParagraph"/>
              <w:spacing w:line="210" w:lineRule="exact"/>
              <w:ind w:left="22" w:right="1"/>
              <w:jc w:val="center"/>
              <w:rPr>
                <w:sz w:val="20"/>
              </w:rPr>
            </w:pPr>
            <w:r>
              <w:rPr>
                <w:spacing w:val="-10"/>
                <w:sz w:val="20"/>
              </w:rPr>
              <w:t>1</w:t>
            </w:r>
          </w:p>
        </w:tc>
        <w:tc>
          <w:tcPr>
            <w:tcW w:w="707" w:type="dxa"/>
          </w:tcPr>
          <w:p>
            <w:pPr>
              <w:pStyle w:val="TableParagraph"/>
              <w:spacing w:line="210" w:lineRule="exact"/>
              <w:ind w:left="74" w:right="10"/>
              <w:jc w:val="center"/>
              <w:rPr>
                <w:sz w:val="20"/>
              </w:rPr>
            </w:pPr>
            <w:r>
              <w:rPr>
                <w:spacing w:val="-4"/>
                <w:sz w:val="20"/>
              </w:rPr>
              <w:t>50.0</w:t>
            </w:r>
          </w:p>
        </w:tc>
        <w:tc>
          <w:tcPr>
            <w:tcW w:w="755" w:type="dxa"/>
          </w:tcPr>
          <w:p>
            <w:pPr>
              <w:pStyle w:val="TableParagraph"/>
              <w:spacing w:line="210" w:lineRule="exact"/>
              <w:ind w:right="298"/>
              <w:jc w:val="right"/>
              <w:rPr>
                <w:sz w:val="20"/>
              </w:rPr>
            </w:pPr>
            <w:r>
              <w:rPr>
                <w:spacing w:val="-10"/>
                <w:sz w:val="20"/>
              </w:rPr>
              <w:t>1</w:t>
            </w:r>
          </w:p>
        </w:tc>
        <w:tc>
          <w:tcPr>
            <w:tcW w:w="901" w:type="dxa"/>
          </w:tcPr>
          <w:p>
            <w:pPr>
              <w:pStyle w:val="TableParagraph"/>
              <w:spacing w:line="210" w:lineRule="exact"/>
              <w:ind w:left="27"/>
              <w:jc w:val="center"/>
              <w:rPr>
                <w:sz w:val="20"/>
              </w:rPr>
            </w:pPr>
            <w:r>
              <w:rPr>
                <w:spacing w:val="-4"/>
                <w:sz w:val="20"/>
              </w:rPr>
              <w:t>50.0</w:t>
            </w:r>
          </w:p>
        </w:tc>
        <w:tc>
          <w:tcPr>
            <w:tcW w:w="683" w:type="dxa"/>
          </w:tcPr>
          <w:p>
            <w:pPr>
              <w:pStyle w:val="TableParagraph"/>
              <w:spacing w:line="210" w:lineRule="exact"/>
              <w:ind w:left="77" w:right="8"/>
              <w:jc w:val="center"/>
              <w:rPr>
                <w:sz w:val="20"/>
              </w:rPr>
            </w:pPr>
            <w:r>
              <w:rPr>
                <w:spacing w:val="-10"/>
                <w:sz w:val="20"/>
              </w:rPr>
              <w:t>-</w:t>
            </w:r>
          </w:p>
        </w:tc>
        <w:tc>
          <w:tcPr>
            <w:tcW w:w="798" w:type="dxa"/>
          </w:tcPr>
          <w:p>
            <w:pPr>
              <w:pStyle w:val="TableParagraph"/>
              <w:spacing w:line="210" w:lineRule="exact"/>
              <w:ind w:left="34" w:right="6"/>
              <w:jc w:val="center"/>
              <w:rPr>
                <w:sz w:val="20"/>
              </w:rPr>
            </w:pPr>
            <w:r>
              <w:rPr>
                <w:spacing w:val="-10"/>
                <w:sz w:val="20"/>
              </w:rPr>
              <w:t>-</w:t>
            </w:r>
          </w:p>
        </w:tc>
        <w:tc>
          <w:tcPr>
            <w:tcW w:w="652" w:type="dxa"/>
          </w:tcPr>
          <w:p>
            <w:pPr>
              <w:pStyle w:val="TableParagraph"/>
              <w:spacing w:line="210" w:lineRule="exact"/>
              <w:ind w:left="83" w:right="84"/>
              <w:jc w:val="center"/>
              <w:rPr>
                <w:sz w:val="20"/>
              </w:rPr>
            </w:pPr>
            <w:r>
              <w:rPr>
                <w:spacing w:val="-10"/>
                <w:sz w:val="20"/>
              </w:rPr>
              <w:t>-</w:t>
            </w:r>
          </w:p>
        </w:tc>
        <w:tc>
          <w:tcPr>
            <w:tcW w:w="674" w:type="dxa"/>
          </w:tcPr>
          <w:p>
            <w:pPr>
              <w:pStyle w:val="TableParagraph"/>
              <w:spacing w:line="210" w:lineRule="exact"/>
              <w:ind w:left="100" w:right="7"/>
              <w:jc w:val="center"/>
              <w:rPr>
                <w:sz w:val="20"/>
              </w:rPr>
            </w:pPr>
            <w:r>
              <w:rPr>
                <w:spacing w:val="-10"/>
                <w:sz w:val="20"/>
              </w:rPr>
              <w:t>-</w:t>
            </w:r>
          </w:p>
        </w:tc>
        <w:tc>
          <w:tcPr>
            <w:tcW w:w="760" w:type="dxa"/>
          </w:tcPr>
          <w:p>
            <w:pPr>
              <w:pStyle w:val="TableParagraph"/>
              <w:spacing w:line="210" w:lineRule="exact"/>
              <w:ind w:left="107" w:right="1"/>
              <w:jc w:val="center"/>
              <w:rPr>
                <w:sz w:val="20"/>
              </w:rPr>
            </w:pPr>
            <w:r>
              <w:rPr>
                <w:spacing w:val="-10"/>
                <w:sz w:val="20"/>
              </w:rPr>
              <w:t>2</w:t>
            </w:r>
          </w:p>
        </w:tc>
        <w:tc>
          <w:tcPr>
            <w:tcW w:w="737" w:type="dxa"/>
            <w:tcBorders>
              <w:right w:val="single" w:sz="4" w:space="0" w:color="000000"/>
            </w:tcBorders>
          </w:tcPr>
          <w:p>
            <w:pPr>
              <w:pStyle w:val="TableParagraph"/>
              <w:spacing w:line="210" w:lineRule="exact"/>
              <w:ind w:left="58" w:right="9"/>
              <w:jc w:val="center"/>
              <w:rPr>
                <w:sz w:val="20"/>
              </w:rPr>
            </w:pPr>
            <w:r>
              <w:rPr>
                <w:spacing w:val="-5"/>
                <w:sz w:val="20"/>
              </w:rPr>
              <w:t>0.4</w:t>
            </w:r>
          </w:p>
        </w:tc>
      </w:tr>
      <w:tr>
        <w:trPr>
          <w:trHeight w:val="230" w:hRule="atLeast"/>
        </w:trPr>
        <w:tc>
          <w:tcPr>
            <w:tcW w:w="4146" w:type="dxa"/>
            <w:tcBorders>
              <w:left w:val="single" w:sz="4" w:space="0" w:color="000000"/>
            </w:tcBorders>
          </w:tcPr>
          <w:p>
            <w:pPr>
              <w:pStyle w:val="TableParagraph"/>
              <w:spacing w:line="210" w:lineRule="exact"/>
              <w:ind w:right="99"/>
              <w:jc w:val="right"/>
              <w:rPr>
                <w:sz w:val="20"/>
              </w:rPr>
            </w:pPr>
            <w:r>
              <w:rPr>
                <w:sz w:val="20"/>
              </w:rPr>
              <w:t>wide</w:t>
            </w:r>
            <w:r>
              <w:rPr>
                <w:spacing w:val="-5"/>
                <w:sz w:val="20"/>
              </w:rPr>
              <w:t> </w:t>
            </w:r>
            <w:r>
              <w:rPr>
                <w:sz w:val="20"/>
              </w:rPr>
              <w:t>range</w:t>
            </w:r>
            <w:r>
              <w:rPr>
                <w:spacing w:val="-5"/>
                <w:sz w:val="20"/>
              </w:rPr>
              <w:t> </w:t>
            </w:r>
            <w:r>
              <w:rPr>
                <w:sz w:val="20"/>
              </w:rPr>
              <w:t>of</w:t>
            </w:r>
            <w:r>
              <w:rPr>
                <w:spacing w:val="2"/>
                <w:sz w:val="20"/>
              </w:rPr>
              <w:t> </w:t>
            </w:r>
            <w:r>
              <w:rPr>
                <w:sz w:val="20"/>
              </w:rPr>
              <w:t>activities</w:t>
            </w:r>
            <w:r>
              <w:rPr>
                <w:spacing w:val="-8"/>
                <w:sz w:val="20"/>
              </w:rPr>
              <w:t> </w:t>
            </w:r>
            <w:r>
              <w:rPr>
                <w:sz w:val="20"/>
              </w:rPr>
              <w:t>to</w:t>
            </w:r>
            <w:r>
              <w:rPr>
                <w:spacing w:val="-5"/>
                <w:sz w:val="20"/>
              </w:rPr>
              <w:t> </w:t>
            </w:r>
            <w:r>
              <w:rPr>
                <w:sz w:val="20"/>
              </w:rPr>
              <w:t>satisfy</w:t>
            </w:r>
            <w:r>
              <w:rPr>
                <w:spacing w:val="-7"/>
                <w:sz w:val="20"/>
              </w:rPr>
              <w:t> </w:t>
            </w:r>
            <w:r>
              <w:rPr>
                <w:spacing w:val="-5"/>
                <w:sz w:val="20"/>
              </w:rPr>
              <w:t>the</w:t>
            </w:r>
          </w:p>
        </w:tc>
        <w:tc>
          <w:tcPr>
            <w:tcW w:w="1978" w:type="dxa"/>
          </w:tcPr>
          <w:p>
            <w:pPr>
              <w:pStyle w:val="TableParagraph"/>
              <w:spacing w:line="210" w:lineRule="exact"/>
              <w:ind w:left="111"/>
              <w:rPr>
                <w:sz w:val="20"/>
              </w:rPr>
            </w:pPr>
            <w:r>
              <w:rPr>
                <w:spacing w:val="-2"/>
                <w:sz w:val="20"/>
              </w:rPr>
              <w:t>Students</w:t>
            </w:r>
          </w:p>
        </w:tc>
        <w:tc>
          <w:tcPr>
            <w:tcW w:w="540" w:type="dxa"/>
          </w:tcPr>
          <w:p>
            <w:pPr>
              <w:pStyle w:val="TableParagraph"/>
              <w:spacing w:line="210" w:lineRule="exact"/>
              <w:ind w:left="5" w:right="4"/>
              <w:jc w:val="center"/>
              <w:rPr>
                <w:sz w:val="20"/>
              </w:rPr>
            </w:pPr>
            <w:r>
              <w:rPr>
                <w:spacing w:val="-5"/>
                <w:sz w:val="20"/>
              </w:rPr>
              <w:t>41</w:t>
            </w:r>
          </w:p>
        </w:tc>
        <w:tc>
          <w:tcPr>
            <w:tcW w:w="731" w:type="dxa"/>
          </w:tcPr>
          <w:p>
            <w:pPr>
              <w:pStyle w:val="TableParagraph"/>
              <w:spacing w:line="210" w:lineRule="exact"/>
              <w:ind w:left="69" w:right="67"/>
              <w:jc w:val="center"/>
              <w:rPr>
                <w:sz w:val="20"/>
              </w:rPr>
            </w:pPr>
            <w:r>
              <w:rPr>
                <w:spacing w:val="-4"/>
                <w:sz w:val="20"/>
              </w:rPr>
              <w:t>17.4</w:t>
            </w:r>
          </w:p>
        </w:tc>
        <w:tc>
          <w:tcPr>
            <w:tcW w:w="690" w:type="dxa"/>
          </w:tcPr>
          <w:p>
            <w:pPr>
              <w:pStyle w:val="TableParagraph"/>
              <w:spacing w:line="210" w:lineRule="exact"/>
              <w:ind w:left="22" w:right="11"/>
              <w:jc w:val="center"/>
              <w:rPr>
                <w:sz w:val="20"/>
              </w:rPr>
            </w:pPr>
            <w:r>
              <w:rPr>
                <w:spacing w:val="-5"/>
                <w:sz w:val="20"/>
              </w:rPr>
              <w:t>107</w:t>
            </w:r>
          </w:p>
        </w:tc>
        <w:tc>
          <w:tcPr>
            <w:tcW w:w="707" w:type="dxa"/>
          </w:tcPr>
          <w:p>
            <w:pPr>
              <w:pStyle w:val="TableParagraph"/>
              <w:spacing w:line="210" w:lineRule="exact"/>
              <w:ind w:left="74" w:right="10"/>
              <w:jc w:val="center"/>
              <w:rPr>
                <w:sz w:val="20"/>
              </w:rPr>
            </w:pPr>
            <w:r>
              <w:rPr>
                <w:spacing w:val="-4"/>
                <w:sz w:val="20"/>
              </w:rPr>
              <w:t>45.5</w:t>
            </w:r>
          </w:p>
        </w:tc>
        <w:tc>
          <w:tcPr>
            <w:tcW w:w="755" w:type="dxa"/>
          </w:tcPr>
          <w:p>
            <w:pPr>
              <w:pStyle w:val="TableParagraph"/>
              <w:spacing w:line="210" w:lineRule="exact"/>
              <w:ind w:right="245"/>
              <w:jc w:val="right"/>
              <w:rPr>
                <w:sz w:val="20"/>
              </w:rPr>
            </w:pPr>
            <w:r>
              <w:rPr>
                <w:spacing w:val="-5"/>
                <w:sz w:val="20"/>
              </w:rPr>
              <w:t>36</w:t>
            </w:r>
          </w:p>
        </w:tc>
        <w:tc>
          <w:tcPr>
            <w:tcW w:w="901" w:type="dxa"/>
          </w:tcPr>
          <w:p>
            <w:pPr>
              <w:pStyle w:val="TableParagraph"/>
              <w:spacing w:line="210" w:lineRule="exact"/>
              <w:ind w:left="27"/>
              <w:jc w:val="center"/>
              <w:rPr>
                <w:sz w:val="20"/>
              </w:rPr>
            </w:pPr>
            <w:r>
              <w:rPr>
                <w:spacing w:val="-4"/>
                <w:sz w:val="20"/>
              </w:rPr>
              <w:t>15.3</w:t>
            </w:r>
          </w:p>
        </w:tc>
        <w:tc>
          <w:tcPr>
            <w:tcW w:w="683" w:type="dxa"/>
          </w:tcPr>
          <w:p>
            <w:pPr>
              <w:pStyle w:val="TableParagraph"/>
              <w:spacing w:line="210" w:lineRule="exact"/>
              <w:ind w:left="77" w:right="6"/>
              <w:jc w:val="center"/>
              <w:rPr>
                <w:sz w:val="20"/>
              </w:rPr>
            </w:pPr>
            <w:r>
              <w:rPr>
                <w:spacing w:val="-5"/>
                <w:sz w:val="20"/>
              </w:rPr>
              <w:t>37</w:t>
            </w:r>
          </w:p>
        </w:tc>
        <w:tc>
          <w:tcPr>
            <w:tcW w:w="798" w:type="dxa"/>
          </w:tcPr>
          <w:p>
            <w:pPr>
              <w:pStyle w:val="TableParagraph"/>
              <w:spacing w:line="210" w:lineRule="exact"/>
              <w:ind w:left="34"/>
              <w:jc w:val="center"/>
              <w:rPr>
                <w:sz w:val="20"/>
              </w:rPr>
            </w:pPr>
            <w:r>
              <w:rPr>
                <w:spacing w:val="-4"/>
                <w:sz w:val="20"/>
              </w:rPr>
              <w:t>15.7</w:t>
            </w:r>
          </w:p>
        </w:tc>
        <w:tc>
          <w:tcPr>
            <w:tcW w:w="652" w:type="dxa"/>
          </w:tcPr>
          <w:p>
            <w:pPr>
              <w:pStyle w:val="TableParagraph"/>
              <w:spacing w:line="210" w:lineRule="exact"/>
              <w:ind w:left="83" w:right="83"/>
              <w:jc w:val="center"/>
              <w:rPr>
                <w:sz w:val="20"/>
              </w:rPr>
            </w:pPr>
            <w:r>
              <w:rPr>
                <w:spacing w:val="-5"/>
                <w:sz w:val="20"/>
              </w:rPr>
              <w:t>14</w:t>
            </w:r>
          </w:p>
        </w:tc>
        <w:tc>
          <w:tcPr>
            <w:tcW w:w="674" w:type="dxa"/>
          </w:tcPr>
          <w:p>
            <w:pPr>
              <w:pStyle w:val="TableParagraph"/>
              <w:spacing w:line="210" w:lineRule="exact"/>
              <w:ind w:left="100" w:right="5"/>
              <w:jc w:val="center"/>
              <w:rPr>
                <w:sz w:val="20"/>
              </w:rPr>
            </w:pPr>
            <w:r>
              <w:rPr>
                <w:spacing w:val="-5"/>
                <w:sz w:val="20"/>
              </w:rPr>
              <w:t>6.0</w:t>
            </w:r>
          </w:p>
        </w:tc>
        <w:tc>
          <w:tcPr>
            <w:tcW w:w="760" w:type="dxa"/>
          </w:tcPr>
          <w:p>
            <w:pPr>
              <w:pStyle w:val="TableParagraph"/>
              <w:spacing w:line="210" w:lineRule="exact"/>
              <w:ind w:right="162"/>
              <w:jc w:val="right"/>
              <w:rPr>
                <w:sz w:val="20"/>
              </w:rPr>
            </w:pPr>
            <w:r>
              <w:rPr>
                <w:spacing w:val="-5"/>
                <w:sz w:val="20"/>
              </w:rPr>
              <w:t>235</w:t>
            </w:r>
          </w:p>
        </w:tc>
        <w:tc>
          <w:tcPr>
            <w:tcW w:w="737" w:type="dxa"/>
            <w:tcBorders>
              <w:right w:val="single" w:sz="4" w:space="0" w:color="000000"/>
            </w:tcBorders>
          </w:tcPr>
          <w:p>
            <w:pPr>
              <w:pStyle w:val="TableParagraph"/>
              <w:spacing w:line="210" w:lineRule="exact"/>
              <w:ind w:left="59" w:right="5"/>
              <w:jc w:val="center"/>
              <w:rPr>
                <w:sz w:val="20"/>
              </w:rPr>
            </w:pPr>
            <w:r>
              <w:rPr>
                <w:spacing w:val="-4"/>
                <w:sz w:val="20"/>
              </w:rPr>
              <w:t>50.8</w:t>
            </w:r>
          </w:p>
        </w:tc>
      </w:tr>
      <w:tr>
        <w:trPr>
          <w:trHeight w:val="230" w:hRule="atLeast"/>
        </w:trPr>
        <w:tc>
          <w:tcPr>
            <w:tcW w:w="4146" w:type="dxa"/>
            <w:tcBorders>
              <w:left w:val="single" w:sz="4" w:space="0" w:color="000000"/>
            </w:tcBorders>
          </w:tcPr>
          <w:p>
            <w:pPr>
              <w:pStyle w:val="TableParagraph"/>
              <w:spacing w:line="210" w:lineRule="exact"/>
              <w:ind w:right="108"/>
              <w:jc w:val="right"/>
              <w:rPr>
                <w:sz w:val="20"/>
              </w:rPr>
            </w:pPr>
            <w:r>
              <w:rPr>
                <w:sz w:val="20"/>
              </w:rPr>
              <w:t>diverse</w:t>
            </w:r>
            <w:r>
              <w:rPr>
                <w:spacing w:val="3"/>
                <w:sz w:val="20"/>
              </w:rPr>
              <w:t> </w:t>
            </w:r>
            <w:r>
              <w:rPr>
                <w:sz w:val="20"/>
              </w:rPr>
              <w:t>tasks,</w:t>
            </w:r>
            <w:r>
              <w:rPr>
                <w:spacing w:val="6"/>
                <w:sz w:val="20"/>
              </w:rPr>
              <w:t> </w:t>
            </w:r>
            <w:r>
              <w:rPr>
                <w:sz w:val="20"/>
              </w:rPr>
              <w:t>interests</w:t>
            </w:r>
            <w:r>
              <w:rPr>
                <w:spacing w:val="6"/>
                <w:sz w:val="20"/>
              </w:rPr>
              <w:t> </w:t>
            </w:r>
            <w:r>
              <w:rPr>
                <w:sz w:val="20"/>
              </w:rPr>
              <w:t>and</w:t>
            </w:r>
            <w:r>
              <w:rPr>
                <w:spacing w:val="13"/>
                <w:sz w:val="20"/>
              </w:rPr>
              <w:t> </w:t>
            </w:r>
            <w:r>
              <w:rPr>
                <w:sz w:val="20"/>
              </w:rPr>
              <w:t>skills</w:t>
            </w:r>
            <w:r>
              <w:rPr>
                <w:spacing w:val="1"/>
                <w:sz w:val="20"/>
              </w:rPr>
              <w:t> </w:t>
            </w:r>
            <w:r>
              <w:rPr>
                <w:spacing w:val="-5"/>
                <w:sz w:val="20"/>
              </w:rPr>
              <w:t>of</w:t>
            </w:r>
          </w:p>
        </w:tc>
        <w:tc>
          <w:tcPr>
            <w:tcW w:w="1978" w:type="dxa"/>
          </w:tcPr>
          <w:p>
            <w:pPr>
              <w:pStyle w:val="TableParagraph"/>
              <w:spacing w:line="210" w:lineRule="exact"/>
              <w:ind w:left="111"/>
              <w:rPr>
                <w:sz w:val="20"/>
              </w:rPr>
            </w:pPr>
            <w:r>
              <w:rPr>
                <w:sz w:val="20"/>
              </w:rPr>
              <w:t>Service</w:t>
            </w:r>
            <w:r>
              <w:rPr>
                <w:spacing w:val="-9"/>
                <w:sz w:val="20"/>
              </w:rPr>
              <w:t> </w:t>
            </w:r>
            <w:r>
              <w:rPr>
                <w:spacing w:val="-2"/>
                <w:sz w:val="20"/>
              </w:rPr>
              <w:t>Staff</w:t>
            </w:r>
          </w:p>
        </w:tc>
        <w:tc>
          <w:tcPr>
            <w:tcW w:w="540" w:type="dxa"/>
          </w:tcPr>
          <w:p>
            <w:pPr>
              <w:pStyle w:val="TableParagraph"/>
              <w:spacing w:line="210" w:lineRule="exact"/>
              <w:ind w:left="5" w:right="4"/>
              <w:jc w:val="center"/>
              <w:rPr>
                <w:sz w:val="20"/>
              </w:rPr>
            </w:pPr>
            <w:r>
              <w:rPr>
                <w:spacing w:val="-5"/>
                <w:sz w:val="20"/>
              </w:rPr>
              <w:t>30</w:t>
            </w:r>
          </w:p>
        </w:tc>
        <w:tc>
          <w:tcPr>
            <w:tcW w:w="731" w:type="dxa"/>
          </w:tcPr>
          <w:p>
            <w:pPr>
              <w:pStyle w:val="TableParagraph"/>
              <w:spacing w:line="210" w:lineRule="exact"/>
              <w:ind w:left="69" w:right="67"/>
              <w:jc w:val="center"/>
              <w:rPr>
                <w:sz w:val="20"/>
              </w:rPr>
            </w:pPr>
            <w:r>
              <w:rPr>
                <w:spacing w:val="-4"/>
                <w:sz w:val="20"/>
              </w:rPr>
              <w:t>14.8</w:t>
            </w:r>
          </w:p>
        </w:tc>
        <w:tc>
          <w:tcPr>
            <w:tcW w:w="690" w:type="dxa"/>
          </w:tcPr>
          <w:p>
            <w:pPr>
              <w:pStyle w:val="TableParagraph"/>
              <w:spacing w:line="210" w:lineRule="exact"/>
              <w:ind w:left="22" w:right="11"/>
              <w:jc w:val="center"/>
              <w:rPr>
                <w:sz w:val="20"/>
              </w:rPr>
            </w:pPr>
            <w:r>
              <w:rPr>
                <w:spacing w:val="-5"/>
                <w:sz w:val="20"/>
              </w:rPr>
              <w:t>108</w:t>
            </w:r>
          </w:p>
        </w:tc>
        <w:tc>
          <w:tcPr>
            <w:tcW w:w="707" w:type="dxa"/>
          </w:tcPr>
          <w:p>
            <w:pPr>
              <w:pStyle w:val="TableParagraph"/>
              <w:spacing w:line="210" w:lineRule="exact"/>
              <w:ind w:left="74" w:right="10"/>
              <w:jc w:val="center"/>
              <w:rPr>
                <w:sz w:val="20"/>
              </w:rPr>
            </w:pPr>
            <w:r>
              <w:rPr>
                <w:spacing w:val="-4"/>
                <w:sz w:val="20"/>
              </w:rPr>
              <w:t>53.2</w:t>
            </w:r>
          </w:p>
        </w:tc>
        <w:tc>
          <w:tcPr>
            <w:tcW w:w="755" w:type="dxa"/>
          </w:tcPr>
          <w:p>
            <w:pPr>
              <w:pStyle w:val="TableParagraph"/>
              <w:spacing w:line="210" w:lineRule="exact"/>
              <w:ind w:right="245"/>
              <w:jc w:val="right"/>
              <w:rPr>
                <w:sz w:val="20"/>
              </w:rPr>
            </w:pPr>
            <w:r>
              <w:rPr>
                <w:spacing w:val="-5"/>
                <w:sz w:val="20"/>
              </w:rPr>
              <w:t>35</w:t>
            </w:r>
          </w:p>
        </w:tc>
        <w:tc>
          <w:tcPr>
            <w:tcW w:w="901" w:type="dxa"/>
          </w:tcPr>
          <w:p>
            <w:pPr>
              <w:pStyle w:val="TableParagraph"/>
              <w:spacing w:line="210" w:lineRule="exact"/>
              <w:ind w:left="27"/>
              <w:jc w:val="center"/>
              <w:rPr>
                <w:sz w:val="20"/>
              </w:rPr>
            </w:pPr>
            <w:r>
              <w:rPr>
                <w:spacing w:val="-4"/>
                <w:sz w:val="20"/>
              </w:rPr>
              <w:t>17.2</w:t>
            </w:r>
          </w:p>
        </w:tc>
        <w:tc>
          <w:tcPr>
            <w:tcW w:w="683" w:type="dxa"/>
          </w:tcPr>
          <w:p>
            <w:pPr>
              <w:pStyle w:val="TableParagraph"/>
              <w:spacing w:line="210" w:lineRule="exact"/>
              <w:ind w:left="77" w:right="6"/>
              <w:jc w:val="center"/>
              <w:rPr>
                <w:sz w:val="20"/>
              </w:rPr>
            </w:pPr>
            <w:r>
              <w:rPr>
                <w:spacing w:val="-5"/>
                <w:sz w:val="20"/>
              </w:rPr>
              <w:t>27</w:t>
            </w:r>
          </w:p>
        </w:tc>
        <w:tc>
          <w:tcPr>
            <w:tcW w:w="798" w:type="dxa"/>
          </w:tcPr>
          <w:p>
            <w:pPr>
              <w:pStyle w:val="TableParagraph"/>
              <w:spacing w:line="210" w:lineRule="exact"/>
              <w:ind w:left="34"/>
              <w:jc w:val="center"/>
              <w:rPr>
                <w:sz w:val="20"/>
              </w:rPr>
            </w:pPr>
            <w:r>
              <w:rPr>
                <w:spacing w:val="-4"/>
                <w:sz w:val="20"/>
              </w:rPr>
              <w:t>13.3</w:t>
            </w:r>
          </w:p>
        </w:tc>
        <w:tc>
          <w:tcPr>
            <w:tcW w:w="652" w:type="dxa"/>
          </w:tcPr>
          <w:p>
            <w:pPr>
              <w:pStyle w:val="TableParagraph"/>
              <w:spacing w:line="210" w:lineRule="exact"/>
              <w:ind w:left="83" w:right="78"/>
              <w:jc w:val="center"/>
              <w:rPr>
                <w:sz w:val="20"/>
              </w:rPr>
            </w:pPr>
            <w:r>
              <w:rPr>
                <w:spacing w:val="-10"/>
                <w:sz w:val="20"/>
              </w:rPr>
              <w:t>3</w:t>
            </w:r>
          </w:p>
        </w:tc>
        <w:tc>
          <w:tcPr>
            <w:tcW w:w="674" w:type="dxa"/>
          </w:tcPr>
          <w:p>
            <w:pPr>
              <w:pStyle w:val="TableParagraph"/>
              <w:spacing w:line="210" w:lineRule="exact"/>
              <w:ind w:left="100" w:right="5"/>
              <w:jc w:val="center"/>
              <w:rPr>
                <w:sz w:val="20"/>
              </w:rPr>
            </w:pPr>
            <w:r>
              <w:rPr>
                <w:spacing w:val="-5"/>
                <w:sz w:val="20"/>
              </w:rPr>
              <w:t>1.5</w:t>
            </w:r>
          </w:p>
        </w:tc>
        <w:tc>
          <w:tcPr>
            <w:tcW w:w="760" w:type="dxa"/>
          </w:tcPr>
          <w:p>
            <w:pPr>
              <w:pStyle w:val="TableParagraph"/>
              <w:spacing w:line="210" w:lineRule="exact"/>
              <w:ind w:right="162"/>
              <w:jc w:val="right"/>
              <w:rPr>
                <w:sz w:val="20"/>
              </w:rPr>
            </w:pPr>
            <w:r>
              <w:rPr>
                <w:spacing w:val="-5"/>
                <w:sz w:val="20"/>
              </w:rPr>
              <w:t>203</w:t>
            </w:r>
          </w:p>
        </w:tc>
        <w:tc>
          <w:tcPr>
            <w:tcW w:w="737" w:type="dxa"/>
            <w:tcBorders>
              <w:right w:val="single" w:sz="4" w:space="0" w:color="000000"/>
            </w:tcBorders>
          </w:tcPr>
          <w:p>
            <w:pPr>
              <w:pStyle w:val="TableParagraph"/>
              <w:spacing w:line="210" w:lineRule="exact"/>
              <w:ind w:left="59" w:right="5"/>
              <w:jc w:val="center"/>
              <w:rPr>
                <w:sz w:val="20"/>
              </w:rPr>
            </w:pPr>
            <w:r>
              <w:rPr>
                <w:spacing w:val="-4"/>
                <w:sz w:val="20"/>
              </w:rPr>
              <w:t>43.8</w:t>
            </w:r>
          </w:p>
        </w:tc>
      </w:tr>
      <w:tr>
        <w:trPr>
          <w:trHeight w:val="254" w:hRule="atLeast"/>
        </w:trPr>
        <w:tc>
          <w:tcPr>
            <w:tcW w:w="4146" w:type="dxa"/>
            <w:tcBorders>
              <w:left w:val="single" w:sz="4" w:space="0" w:color="000000"/>
            </w:tcBorders>
          </w:tcPr>
          <w:p>
            <w:pPr>
              <w:pStyle w:val="TableParagraph"/>
              <w:spacing w:line="227" w:lineRule="exact"/>
              <w:ind w:left="830"/>
              <w:rPr>
                <w:sz w:val="20"/>
              </w:rPr>
            </w:pPr>
            <w:r>
              <w:rPr>
                <w:spacing w:val="-2"/>
                <w:sz w:val="20"/>
              </w:rPr>
              <w:t>students.</w:t>
            </w:r>
          </w:p>
        </w:tc>
        <w:tc>
          <w:tcPr>
            <w:tcW w:w="1978" w:type="dxa"/>
          </w:tcPr>
          <w:p>
            <w:pPr>
              <w:pStyle w:val="TableParagraph"/>
              <w:spacing w:line="227" w:lineRule="exact"/>
              <w:ind w:left="111"/>
              <w:rPr>
                <w:sz w:val="20"/>
              </w:rPr>
            </w:pPr>
            <w:r>
              <w:rPr>
                <w:sz w:val="20"/>
              </w:rPr>
              <w:t>Top</w:t>
            </w:r>
            <w:r>
              <w:rPr>
                <w:spacing w:val="-1"/>
                <w:sz w:val="20"/>
              </w:rPr>
              <w:t> </w:t>
            </w:r>
            <w:r>
              <w:rPr>
                <w:spacing w:val="-2"/>
                <w:sz w:val="20"/>
              </w:rPr>
              <w:t>Management</w:t>
            </w:r>
          </w:p>
        </w:tc>
        <w:tc>
          <w:tcPr>
            <w:tcW w:w="540" w:type="dxa"/>
          </w:tcPr>
          <w:p>
            <w:pPr>
              <w:pStyle w:val="TableParagraph"/>
              <w:spacing w:line="227" w:lineRule="exact"/>
              <w:ind w:left="5"/>
              <w:jc w:val="center"/>
              <w:rPr>
                <w:sz w:val="20"/>
              </w:rPr>
            </w:pPr>
            <w:r>
              <w:rPr>
                <w:spacing w:val="-10"/>
                <w:sz w:val="20"/>
              </w:rPr>
              <w:t>5</w:t>
            </w:r>
          </w:p>
        </w:tc>
        <w:tc>
          <w:tcPr>
            <w:tcW w:w="731" w:type="dxa"/>
          </w:tcPr>
          <w:p>
            <w:pPr>
              <w:pStyle w:val="TableParagraph"/>
              <w:spacing w:line="227" w:lineRule="exact"/>
              <w:ind w:left="69" w:right="67"/>
              <w:jc w:val="center"/>
              <w:rPr>
                <w:sz w:val="20"/>
              </w:rPr>
            </w:pPr>
            <w:r>
              <w:rPr>
                <w:spacing w:val="-4"/>
                <w:sz w:val="20"/>
              </w:rPr>
              <w:t>21.7</w:t>
            </w:r>
          </w:p>
        </w:tc>
        <w:tc>
          <w:tcPr>
            <w:tcW w:w="690" w:type="dxa"/>
          </w:tcPr>
          <w:p>
            <w:pPr>
              <w:pStyle w:val="TableParagraph"/>
              <w:spacing w:line="227" w:lineRule="exact"/>
              <w:ind w:left="22" w:right="6"/>
              <w:jc w:val="center"/>
              <w:rPr>
                <w:sz w:val="20"/>
              </w:rPr>
            </w:pPr>
            <w:r>
              <w:rPr>
                <w:spacing w:val="-5"/>
                <w:sz w:val="20"/>
              </w:rPr>
              <w:t>12</w:t>
            </w:r>
          </w:p>
        </w:tc>
        <w:tc>
          <w:tcPr>
            <w:tcW w:w="707" w:type="dxa"/>
          </w:tcPr>
          <w:p>
            <w:pPr>
              <w:pStyle w:val="TableParagraph"/>
              <w:spacing w:line="227" w:lineRule="exact"/>
              <w:ind w:left="74" w:right="10"/>
              <w:jc w:val="center"/>
              <w:rPr>
                <w:sz w:val="20"/>
              </w:rPr>
            </w:pPr>
            <w:r>
              <w:rPr>
                <w:spacing w:val="-4"/>
                <w:sz w:val="20"/>
              </w:rPr>
              <w:t>52.2</w:t>
            </w:r>
          </w:p>
        </w:tc>
        <w:tc>
          <w:tcPr>
            <w:tcW w:w="755" w:type="dxa"/>
          </w:tcPr>
          <w:p>
            <w:pPr>
              <w:pStyle w:val="TableParagraph"/>
              <w:spacing w:line="227" w:lineRule="exact"/>
              <w:ind w:right="298"/>
              <w:jc w:val="right"/>
              <w:rPr>
                <w:sz w:val="20"/>
              </w:rPr>
            </w:pPr>
            <w:r>
              <w:rPr>
                <w:spacing w:val="-10"/>
                <w:sz w:val="20"/>
              </w:rPr>
              <w:t>1</w:t>
            </w:r>
          </w:p>
        </w:tc>
        <w:tc>
          <w:tcPr>
            <w:tcW w:w="901" w:type="dxa"/>
          </w:tcPr>
          <w:p>
            <w:pPr>
              <w:pStyle w:val="TableParagraph"/>
              <w:spacing w:line="227" w:lineRule="exact"/>
              <w:ind w:left="27" w:right="5"/>
              <w:jc w:val="center"/>
              <w:rPr>
                <w:sz w:val="20"/>
              </w:rPr>
            </w:pPr>
            <w:r>
              <w:rPr>
                <w:spacing w:val="-5"/>
                <w:sz w:val="20"/>
              </w:rPr>
              <w:t>4.3</w:t>
            </w:r>
          </w:p>
        </w:tc>
        <w:tc>
          <w:tcPr>
            <w:tcW w:w="683" w:type="dxa"/>
          </w:tcPr>
          <w:p>
            <w:pPr>
              <w:pStyle w:val="TableParagraph"/>
              <w:spacing w:line="227" w:lineRule="exact"/>
              <w:ind w:left="77" w:right="2"/>
              <w:jc w:val="center"/>
              <w:rPr>
                <w:sz w:val="20"/>
              </w:rPr>
            </w:pPr>
            <w:r>
              <w:rPr>
                <w:spacing w:val="-10"/>
                <w:sz w:val="20"/>
              </w:rPr>
              <w:t>5</w:t>
            </w:r>
          </w:p>
        </w:tc>
        <w:tc>
          <w:tcPr>
            <w:tcW w:w="798" w:type="dxa"/>
          </w:tcPr>
          <w:p>
            <w:pPr>
              <w:pStyle w:val="TableParagraph"/>
              <w:spacing w:line="227" w:lineRule="exact"/>
              <w:ind w:left="34"/>
              <w:jc w:val="center"/>
              <w:rPr>
                <w:sz w:val="20"/>
              </w:rPr>
            </w:pPr>
            <w:r>
              <w:rPr>
                <w:spacing w:val="-4"/>
                <w:sz w:val="20"/>
              </w:rPr>
              <w:t>21.7</w:t>
            </w:r>
          </w:p>
        </w:tc>
        <w:tc>
          <w:tcPr>
            <w:tcW w:w="652" w:type="dxa"/>
          </w:tcPr>
          <w:p>
            <w:pPr>
              <w:pStyle w:val="TableParagraph"/>
              <w:spacing w:line="227" w:lineRule="exact"/>
              <w:ind w:left="83" w:right="84"/>
              <w:jc w:val="center"/>
              <w:rPr>
                <w:sz w:val="20"/>
              </w:rPr>
            </w:pPr>
            <w:r>
              <w:rPr>
                <w:spacing w:val="-10"/>
                <w:sz w:val="20"/>
              </w:rPr>
              <w:t>-</w:t>
            </w:r>
          </w:p>
        </w:tc>
        <w:tc>
          <w:tcPr>
            <w:tcW w:w="674" w:type="dxa"/>
          </w:tcPr>
          <w:p>
            <w:pPr>
              <w:pStyle w:val="TableParagraph"/>
              <w:spacing w:line="227" w:lineRule="exact"/>
              <w:ind w:left="100" w:right="7"/>
              <w:jc w:val="center"/>
              <w:rPr>
                <w:sz w:val="20"/>
              </w:rPr>
            </w:pPr>
            <w:r>
              <w:rPr>
                <w:spacing w:val="-10"/>
                <w:sz w:val="20"/>
              </w:rPr>
              <w:t>-</w:t>
            </w:r>
          </w:p>
        </w:tc>
        <w:tc>
          <w:tcPr>
            <w:tcW w:w="760" w:type="dxa"/>
          </w:tcPr>
          <w:p>
            <w:pPr>
              <w:pStyle w:val="TableParagraph"/>
              <w:spacing w:line="227" w:lineRule="exact"/>
              <w:ind w:right="215"/>
              <w:jc w:val="right"/>
              <w:rPr>
                <w:sz w:val="20"/>
              </w:rPr>
            </w:pPr>
            <w:r>
              <w:rPr>
                <w:spacing w:val="-5"/>
                <w:sz w:val="20"/>
              </w:rPr>
              <w:t>23</w:t>
            </w:r>
          </w:p>
        </w:tc>
        <w:tc>
          <w:tcPr>
            <w:tcW w:w="737" w:type="dxa"/>
            <w:tcBorders>
              <w:right w:val="single" w:sz="4" w:space="0" w:color="000000"/>
            </w:tcBorders>
          </w:tcPr>
          <w:p>
            <w:pPr>
              <w:pStyle w:val="TableParagraph"/>
              <w:spacing w:line="227" w:lineRule="exact"/>
              <w:ind w:left="58" w:right="9"/>
              <w:jc w:val="center"/>
              <w:rPr>
                <w:sz w:val="20"/>
              </w:rPr>
            </w:pPr>
            <w:r>
              <w:rPr>
                <w:spacing w:val="-5"/>
                <w:sz w:val="20"/>
              </w:rPr>
              <w:t>5.0</w:t>
            </w:r>
          </w:p>
        </w:tc>
      </w:tr>
      <w:tr>
        <w:trPr>
          <w:trHeight w:val="254" w:hRule="atLeast"/>
        </w:trPr>
        <w:tc>
          <w:tcPr>
            <w:tcW w:w="4146" w:type="dxa"/>
            <w:tcBorders>
              <w:left w:val="single" w:sz="4" w:space="0" w:color="000000"/>
            </w:tcBorders>
          </w:tcPr>
          <w:p>
            <w:pPr>
              <w:pStyle w:val="TableParagraph"/>
              <w:tabs>
                <w:tab w:pos="609" w:val="left" w:leader="none"/>
              </w:tabs>
              <w:spacing w:line="213" w:lineRule="exact" w:before="21"/>
              <w:ind w:right="107"/>
              <w:jc w:val="right"/>
              <w:rPr>
                <w:sz w:val="20"/>
              </w:rPr>
            </w:pPr>
            <w:r>
              <w:rPr>
                <w:spacing w:val="-5"/>
                <w:sz w:val="20"/>
              </w:rPr>
              <w:t>50.</w:t>
            </w:r>
            <w:r>
              <w:rPr>
                <w:sz w:val="20"/>
              </w:rPr>
              <w:tab/>
              <w:t>Encouraging</w:t>
            </w:r>
            <w:r>
              <w:rPr>
                <w:spacing w:val="33"/>
                <w:sz w:val="20"/>
              </w:rPr>
              <w:t>  </w:t>
            </w:r>
            <w:r>
              <w:rPr>
                <w:sz w:val="20"/>
              </w:rPr>
              <w:t>the</w:t>
            </w:r>
            <w:r>
              <w:rPr>
                <w:spacing w:val="33"/>
                <w:sz w:val="20"/>
              </w:rPr>
              <w:t>  </w:t>
            </w:r>
            <w:r>
              <w:rPr>
                <w:sz w:val="20"/>
              </w:rPr>
              <w:t>participation</w:t>
            </w:r>
            <w:r>
              <w:rPr>
                <w:spacing w:val="30"/>
                <w:sz w:val="20"/>
              </w:rPr>
              <w:t>  </w:t>
            </w:r>
            <w:r>
              <w:rPr>
                <w:spacing w:val="-5"/>
                <w:sz w:val="20"/>
              </w:rPr>
              <w:t>of</w:t>
            </w:r>
          </w:p>
        </w:tc>
        <w:tc>
          <w:tcPr>
            <w:tcW w:w="1978" w:type="dxa"/>
          </w:tcPr>
          <w:p>
            <w:pPr>
              <w:pStyle w:val="TableParagraph"/>
              <w:spacing w:line="213" w:lineRule="exact" w:before="21"/>
              <w:ind w:left="111"/>
              <w:rPr>
                <w:sz w:val="20"/>
              </w:rPr>
            </w:pPr>
            <w:r>
              <w:rPr>
                <w:sz w:val="20"/>
              </w:rPr>
              <w:t>No.</w:t>
            </w:r>
            <w:r>
              <w:rPr>
                <w:spacing w:val="-5"/>
                <w:sz w:val="20"/>
              </w:rPr>
              <w:t> </w:t>
            </w:r>
            <w:r>
              <w:rPr>
                <w:sz w:val="20"/>
              </w:rPr>
              <w:t>of</w:t>
            </w:r>
            <w:r>
              <w:rPr>
                <w:spacing w:val="-2"/>
                <w:sz w:val="20"/>
              </w:rPr>
              <w:t> missing</w:t>
            </w:r>
          </w:p>
        </w:tc>
        <w:tc>
          <w:tcPr>
            <w:tcW w:w="540" w:type="dxa"/>
          </w:tcPr>
          <w:p>
            <w:pPr>
              <w:pStyle w:val="TableParagraph"/>
              <w:rPr>
                <w:rFonts w:ascii="Times New Roman"/>
                <w:sz w:val="18"/>
              </w:rPr>
            </w:pPr>
          </w:p>
        </w:tc>
        <w:tc>
          <w:tcPr>
            <w:tcW w:w="731" w:type="dxa"/>
          </w:tcPr>
          <w:p>
            <w:pPr>
              <w:pStyle w:val="TableParagraph"/>
              <w:rPr>
                <w:rFonts w:ascii="Times New Roman"/>
                <w:sz w:val="18"/>
              </w:rPr>
            </w:pPr>
          </w:p>
        </w:tc>
        <w:tc>
          <w:tcPr>
            <w:tcW w:w="690" w:type="dxa"/>
          </w:tcPr>
          <w:p>
            <w:pPr>
              <w:pStyle w:val="TableParagraph"/>
              <w:rPr>
                <w:rFonts w:ascii="Times New Roman"/>
                <w:sz w:val="18"/>
              </w:rPr>
            </w:pPr>
          </w:p>
        </w:tc>
        <w:tc>
          <w:tcPr>
            <w:tcW w:w="707" w:type="dxa"/>
          </w:tcPr>
          <w:p>
            <w:pPr>
              <w:pStyle w:val="TableParagraph"/>
              <w:rPr>
                <w:rFonts w:ascii="Times New Roman"/>
                <w:sz w:val="18"/>
              </w:rPr>
            </w:pPr>
          </w:p>
        </w:tc>
        <w:tc>
          <w:tcPr>
            <w:tcW w:w="755" w:type="dxa"/>
          </w:tcPr>
          <w:p>
            <w:pPr>
              <w:pStyle w:val="TableParagraph"/>
              <w:rPr>
                <w:rFonts w:ascii="Times New Roman"/>
                <w:sz w:val="18"/>
              </w:rPr>
            </w:pPr>
          </w:p>
        </w:tc>
        <w:tc>
          <w:tcPr>
            <w:tcW w:w="901" w:type="dxa"/>
          </w:tcPr>
          <w:p>
            <w:pPr>
              <w:pStyle w:val="TableParagraph"/>
              <w:rPr>
                <w:rFonts w:ascii="Times New Roman"/>
                <w:sz w:val="18"/>
              </w:rPr>
            </w:pPr>
          </w:p>
        </w:tc>
        <w:tc>
          <w:tcPr>
            <w:tcW w:w="683" w:type="dxa"/>
          </w:tcPr>
          <w:p>
            <w:pPr>
              <w:pStyle w:val="TableParagraph"/>
              <w:rPr>
                <w:rFonts w:ascii="Times New Roman"/>
                <w:sz w:val="18"/>
              </w:rPr>
            </w:pPr>
          </w:p>
        </w:tc>
        <w:tc>
          <w:tcPr>
            <w:tcW w:w="798" w:type="dxa"/>
          </w:tcPr>
          <w:p>
            <w:pPr>
              <w:pStyle w:val="TableParagraph"/>
              <w:rPr>
                <w:rFonts w:ascii="Times New Roman"/>
                <w:sz w:val="18"/>
              </w:rPr>
            </w:pPr>
          </w:p>
        </w:tc>
        <w:tc>
          <w:tcPr>
            <w:tcW w:w="652" w:type="dxa"/>
          </w:tcPr>
          <w:p>
            <w:pPr>
              <w:pStyle w:val="TableParagraph"/>
              <w:rPr>
                <w:rFonts w:ascii="Times New Roman"/>
                <w:sz w:val="18"/>
              </w:rPr>
            </w:pPr>
          </w:p>
        </w:tc>
        <w:tc>
          <w:tcPr>
            <w:tcW w:w="674" w:type="dxa"/>
          </w:tcPr>
          <w:p>
            <w:pPr>
              <w:pStyle w:val="TableParagraph"/>
              <w:rPr>
                <w:rFonts w:ascii="Times New Roman"/>
                <w:sz w:val="18"/>
              </w:rPr>
            </w:pPr>
          </w:p>
        </w:tc>
        <w:tc>
          <w:tcPr>
            <w:tcW w:w="760" w:type="dxa"/>
          </w:tcPr>
          <w:p>
            <w:pPr>
              <w:pStyle w:val="TableParagraph"/>
              <w:rPr>
                <w:rFonts w:ascii="Times New Roman"/>
                <w:sz w:val="18"/>
              </w:rPr>
            </w:pPr>
          </w:p>
        </w:tc>
        <w:tc>
          <w:tcPr>
            <w:tcW w:w="737" w:type="dxa"/>
            <w:tcBorders>
              <w:right w:val="single" w:sz="4" w:space="0" w:color="000000"/>
            </w:tcBorders>
          </w:tcPr>
          <w:p>
            <w:pPr>
              <w:pStyle w:val="TableParagraph"/>
              <w:rPr>
                <w:rFonts w:ascii="Times New Roman"/>
                <w:sz w:val="18"/>
              </w:rPr>
            </w:pPr>
          </w:p>
        </w:tc>
      </w:tr>
      <w:tr>
        <w:trPr>
          <w:trHeight w:val="230" w:hRule="atLeast"/>
        </w:trPr>
        <w:tc>
          <w:tcPr>
            <w:tcW w:w="4146" w:type="dxa"/>
            <w:tcBorders>
              <w:left w:val="single" w:sz="4" w:space="0" w:color="000000"/>
            </w:tcBorders>
          </w:tcPr>
          <w:p>
            <w:pPr>
              <w:pStyle w:val="TableParagraph"/>
              <w:spacing w:line="210" w:lineRule="exact"/>
              <w:ind w:right="104"/>
              <w:jc w:val="right"/>
              <w:rPr>
                <w:sz w:val="20"/>
              </w:rPr>
            </w:pPr>
            <w:r>
              <w:rPr>
                <w:sz w:val="20"/>
              </w:rPr>
              <w:t>students</w:t>
            </w:r>
            <w:r>
              <w:rPr>
                <w:spacing w:val="69"/>
                <w:sz w:val="20"/>
              </w:rPr>
              <w:t> </w:t>
            </w:r>
            <w:r>
              <w:rPr>
                <w:sz w:val="20"/>
              </w:rPr>
              <w:t>in</w:t>
            </w:r>
            <w:r>
              <w:rPr>
                <w:spacing w:val="68"/>
                <w:sz w:val="20"/>
              </w:rPr>
              <w:t> </w:t>
            </w:r>
            <w:r>
              <w:rPr>
                <w:sz w:val="20"/>
              </w:rPr>
              <w:t>sports</w:t>
            </w:r>
            <w:r>
              <w:rPr>
                <w:spacing w:val="66"/>
                <w:sz w:val="20"/>
              </w:rPr>
              <w:t> </w:t>
            </w:r>
            <w:r>
              <w:rPr>
                <w:sz w:val="20"/>
              </w:rPr>
              <w:t>and</w:t>
            </w:r>
            <w:r>
              <w:rPr>
                <w:spacing w:val="68"/>
                <w:sz w:val="20"/>
              </w:rPr>
              <w:t> </w:t>
            </w:r>
            <w:r>
              <w:rPr>
                <w:spacing w:val="-2"/>
                <w:sz w:val="20"/>
              </w:rPr>
              <w:t>recreation</w:t>
            </w:r>
          </w:p>
        </w:tc>
        <w:tc>
          <w:tcPr>
            <w:tcW w:w="1978" w:type="dxa"/>
          </w:tcPr>
          <w:p>
            <w:pPr>
              <w:pStyle w:val="TableParagraph"/>
              <w:spacing w:line="210" w:lineRule="exact"/>
              <w:ind w:left="111"/>
              <w:rPr>
                <w:sz w:val="20"/>
              </w:rPr>
            </w:pPr>
            <w:r>
              <w:rPr>
                <w:spacing w:val="-2"/>
                <w:sz w:val="20"/>
              </w:rPr>
              <w:t>observations</w:t>
            </w:r>
          </w:p>
        </w:tc>
        <w:tc>
          <w:tcPr>
            <w:tcW w:w="540" w:type="dxa"/>
          </w:tcPr>
          <w:p>
            <w:pPr>
              <w:pStyle w:val="TableParagraph"/>
              <w:spacing w:line="210" w:lineRule="exact"/>
              <w:ind w:left="5"/>
              <w:jc w:val="center"/>
              <w:rPr>
                <w:sz w:val="20"/>
              </w:rPr>
            </w:pPr>
            <w:r>
              <w:rPr>
                <w:spacing w:val="-10"/>
                <w:sz w:val="20"/>
              </w:rPr>
              <w:t>1</w:t>
            </w:r>
          </w:p>
        </w:tc>
        <w:tc>
          <w:tcPr>
            <w:tcW w:w="731" w:type="dxa"/>
          </w:tcPr>
          <w:p>
            <w:pPr>
              <w:pStyle w:val="TableParagraph"/>
              <w:spacing w:line="210" w:lineRule="exact"/>
              <w:ind w:left="69" w:right="67"/>
              <w:jc w:val="center"/>
              <w:rPr>
                <w:sz w:val="20"/>
              </w:rPr>
            </w:pPr>
            <w:r>
              <w:rPr>
                <w:spacing w:val="-4"/>
                <w:sz w:val="20"/>
              </w:rPr>
              <w:t>50.0</w:t>
            </w:r>
          </w:p>
        </w:tc>
        <w:tc>
          <w:tcPr>
            <w:tcW w:w="690" w:type="dxa"/>
          </w:tcPr>
          <w:p>
            <w:pPr>
              <w:pStyle w:val="TableParagraph"/>
              <w:spacing w:line="210" w:lineRule="exact"/>
              <w:ind w:left="22" w:right="1"/>
              <w:jc w:val="center"/>
              <w:rPr>
                <w:sz w:val="20"/>
              </w:rPr>
            </w:pPr>
            <w:r>
              <w:rPr>
                <w:spacing w:val="-10"/>
                <w:sz w:val="20"/>
              </w:rPr>
              <w:t>1</w:t>
            </w:r>
          </w:p>
        </w:tc>
        <w:tc>
          <w:tcPr>
            <w:tcW w:w="707" w:type="dxa"/>
          </w:tcPr>
          <w:p>
            <w:pPr>
              <w:pStyle w:val="TableParagraph"/>
              <w:spacing w:line="210" w:lineRule="exact"/>
              <w:ind w:left="74" w:right="10"/>
              <w:jc w:val="center"/>
              <w:rPr>
                <w:sz w:val="20"/>
              </w:rPr>
            </w:pPr>
            <w:r>
              <w:rPr>
                <w:spacing w:val="-4"/>
                <w:sz w:val="20"/>
              </w:rPr>
              <w:t>50.0</w:t>
            </w:r>
          </w:p>
        </w:tc>
        <w:tc>
          <w:tcPr>
            <w:tcW w:w="755" w:type="dxa"/>
          </w:tcPr>
          <w:p>
            <w:pPr>
              <w:pStyle w:val="TableParagraph"/>
              <w:spacing w:line="210" w:lineRule="exact"/>
              <w:ind w:right="324"/>
              <w:jc w:val="right"/>
              <w:rPr>
                <w:sz w:val="20"/>
              </w:rPr>
            </w:pPr>
            <w:r>
              <w:rPr>
                <w:spacing w:val="-10"/>
                <w:sz w:val="20"/>
              </w:rPr>
              <w:t>-</w:t>
            </w:r>
          </w:p>
        </w:tc>
        <w:tc>
          <w:tcPr>
            <w:tcW w:w="901" w:type="dxa"/>
          </w:tcPr>
          <w:p>
            <w:pPr>
              <w:pStyle w:val="TableParagraph"/>
              <w:spacing w:line="210" w:lineRule="exact"/>
              <w:ind w:left="27" w:right="6"/>
              <w:jc w:val="center"/>
              <w:rPr>
                <w:sz w:val="20"/>
              </w:rPr>
            </w:pPr>
            <w:r>
              <w:rPr>
                <w:spacing w:val="-10"/>
                <w:sz w:val="20"/>
              </w:rPr>
              <w:t>-</w:t>
            </w:r>
          </w:p>
        </w:tc>
        <w:tc>
          <w:tcPr>
            <w:tcW w:w="683" w:type="dxa"/>
          </w:tcPr>
          <w:p>
            <w:pPr>
              <w:pStyle w:val="TableParagraph"/>
              <w:spacing w:line="210" w:lineRule="exact"/>
              <w:ind w:left="77" w:right="8"/>
              <w:jc w:val="center"/>
              <w:rPr>
                <w:sz w:val="20"/>
              </w:rPr>
            </w:pPr>
            <w:r>
              <w:rPr>
                <w:spacing w:val="-10"/>
                <w:sz w:val="20"/>
              </w:rPr>
              <w:t>-</w:t>
            </w:r>
          </w:p>
        </w:tc>
        <w:tc>
          <w:tcPr>
            <w:tcW w:w="798" w:type="dxa"/>
          </w:tcPr>
          <w:p>
            <w:pPr>
              <w:pStyle w:val="TableParagraph"/>
              <w:spacing w:line="210" w:lineRule="exact"/>
              <w:ind w:left="34" w:right="6"/>
              <w:jc w:val="center"/>
              <w:rPr>
                <w:sz w:val="20"/>
              </w:rPr>
            </w:pPr>
            <w:r>
              <w:rPr>
                <w:spacing w:val="-10"/>
                <w:sz w:val="20"/>
              </w:rPr>
              <w:t>-</w:t>
            </w:r>
          </w:p>
        </w:tc>
        <w:tc>
          <w:tcPr>
            <w:tcW w:w="652" w:type="dxa"/>
          </w:tcPr>
          <w:p>
            <w:pPr>
              <w:pStyle w:val="TableParagraph"/>
              <w:spacing w:line="210" w:lineRule="exact"/>
              <w:ind w:left="83" w:right="84"/>
              <w:jc w:val="center"/>
              <w:rPr>
                <w:sz w:val="20"/>
              </w:rPr>
            </w:pPr>
            <w:r>
              <w:rPr>
                <w:spacing w:val="-10"/>
                <w:sz w:val="20"/>
              </w:rPr>
              <w:t>-</w:t>
            </w:r>
          </w:p>
        </w:tc>
        <w:tc>
          <w:tcPr>
            <w:tcW w:w="674" w:type="dxa"/>
          </w:tcPr>
          <w:p>
            <w:pPr>
              <w:pStyle w:val="TableParagraph"/>
              <w:spacing w:line="210" w:lineRule="exact"/>
              <w:ind w:left="100" w:right="7"/>
              <w:jc w:val="center"/>
              <w:rPr>
                <w:sz w:val="20"/>
              </w:rPr>
            </w:pPr>
            <w:r>
              <w:rPr>
                <w:spacing w:val="-10"/>
                <w:sz w:val="20"/>
              </w:rPr>
              <w:t>-</w:t>
            </w:r>
          </w:p>
        </w:tc>
        <w:tc>
          <w:tcPr>
            <w:tcW w:w="760" w:type="dxa"/>
          </w:tcPr>
          <w:p>
            <w:pPr>
              <w:pStyle w:val="TableParagraph"/>
              <w:spacing w:line="210" w:lineRule="exact"/>
              <w:ind w:left="107" w:right="1"/>
              <w:jc w:val="center"/>
              <w:rPr>
                <w:sz w:val="20"/>
              </w:rPr>
            </w:pPr>
            <w:r>
              <w:rPr>
                <w:spacing w:val="-10"/>
                <w:sz w:val="20"/>
              </w:rPr>
              <w:t>2</w:t>
            </w:r>
          </w:p>
        </w:tc>
        <w:tc>
          <w:tcPr>
            <w:tcW w:w="737" w:type="dxa"/>
            <w:tcBorders>
              <w:right w:val="single" w:sz="4" w:space="0" w:color="000000"/>
            </w:tcBorders>
          </w:tcPr>
          <w:p>
            <w:pPr>
              <w:pStyle w:val="TableParagraph"/>
              <w:spacing w:line="210" w:lineRule="exact"/>
              <w:ind w:left="58" w:right="9"/>
              <w:jc w:val="center"/>
              <w:rPr>
                <w:sz w:val="20"/>
              </w:rPr>
            </w:pPr>
            <w:r>
              <w:rPr>
                <w:spacing w:val="-5"/>
                <w:sz w:val="20"/>
              </w:rPr>
              <w:t>0.4</w:t>
            </w:r>
          </w:p>
        </w:tc>
      </w:tr>
      <w:tr>
        <w:trPr>
          <w:trHeight w:val="230" w:hRule="atLeast"/>
        </w:trPr>
        <w:tc>
          <w:tcPr>
            <w:tcW w:w="4146" w:type="dxa"/>
            <w:tcBorders>
              <w:left w:val="single" w:sz="4" w:space="0" w:color="000000"/>
            </w:tcBorders>
          </w:tcPr>
          <w:p>
            <w:pPr>
              <w:pStyle w:val="TableParagraph"/>
              <w:spacing w:line="210" w:lineRule="exact"/>
              <w:ind w:right="104"/>
              <w:jc w:val="right"/>
              <w:rPr>
                <w:sz w:val="20"/>
              </w:rPr>
            </w:pPr>
            <w:r>
              <w:rPr>
                <w:sz w:val="20"/>
              </w:rPr>
              <w:t>open</w:t>
            </w:r>
            <w:r>
              <w:rPr>
                <w:spacing w:val="52"/>
                <w:sz w:val="20"/>
              </w:rPr>
              <w:t> </w:t>
            </w:r>
            <w:r>
              <w:rPr>
                <w:sz w:val="20"/>
              </w:rPr>
              <w:t>opportunities</w:t>
            </w:r>
            <w:r>
              <w:rPr>
                <w:spacing w:val="44"/>
                <w:sz w:val="20"/>
              </w:rPr>
              <w:t> </w:t>
            </w:r>
            <w:r>
              <w:rPr>
                <w:sz w:val="20"/>
              </w:rPr>
              <w:t>for</w:t>
            </w:r>
            <w:r>
              <w:rPr>
                <w:spacing w:val="54"/>
                <w:sz w:val="20"/>
              </w:rPr>
              <w:t> </w:t>
            </w:r>
            <w:r>
              <w:rPr>
                <w:sz w:val="20"/>
              </w:rPr>
              <w:t>students</w:t>
            </w:r>
            <w:r>
              <w:rPr>
                <w:spacing w:val="50"/>
                <w:sz w:val="20"/>
              </w:rPr>
              <w:t> </w:t>
            </w:r>
            <w:r>
              <w:rPr>
                <w:spacing w:val="-5"/>
                <w:sz w:val="20"/>
              </w:rPr>
              <w:t>to</w:t>
            </w:r>
          </w:p>
        </w:tc>
        <w:tc>
          <w:tcPr>
            <w:tcW w:w="1978" w:type="dxa"/>
          </w:tcPr>
          <w:p>
            <w:pPr>
              <w:pStyle w:val="TableParagraph"/>
              <w:spacing w:line="210" w:lineRule="exact"/>
              <w:ind w:left="111"/>
              <w:rPr>
                <w:sz w:val="20"/>
              </w:rPr>
            </w:pPr>
            <w:r>
              <w:rPr>
                <w:spacing w:val="-2"/>
                <w:sz w:val="20"/>
              </w:rPr>
              <w:t>Students</w:t>
            </w:r>
          </w:p>
        </w:tc>
        <w:tc>
          <w:tcPr>
            <w:tcW w:w="540" w:type="dxa"/>
          </w:tcPr>
          <w:p>
            <w:pPr>
              <w:pStyle w:val="TableParagraph"/>
              <w:spacing w:line="210" w:lineRule="exact"/>
              <w:ind w:left="5" w:right="4"/>
              <w:jc w:val="center"/>
              <w:rPr>
                <w:sz w:val="20"/>
              </w:rPr>
            </w:pPr>
            <w:r>
              <w:rPr>
                <w:spacing w:val="-5"/>
                <w:sz w:val="20"/>
              </w:rPr>
              <w:t>65</w:t>
            </w:r>
          </w:p>
        </w:tc>
        <w:tc>
          <w:tcPr>
            <w:tcW w:w="731" w:type="dxa"/>
          </w:tcPr>
          <w:p>
            <w:pPr>
              <w:pStyle w:val="TableParagraph"/>
              <w:spacing w:line="210" w:lineRule="exact"/>
              <w:ind w:left="69" w:right="67"/>
              <w:jc w:val="center"/>
              <w:rPr>
                <w:sz w:val="20"/>
              </w:rPr>
            </w:pPr>
            <w:r>
              <w:rPr>
                <w:spacing w:val="-4"/>
                <w:sz w:val="20"/>
              </w:rPr>
              <w:t>27.7</w:t>
            </w:r>
          </w:p>
        </w:tc>
        <w:tc>
          <w:tcPr>
            <w:tcW w:w="690" w:type="dxa"/>
          </w:tcPr>
          <w:p>
            <w:pPr>
              <w:pStyle w:val="TableParagraph"/>
              <w:spacing w:line="210" w:lineRule="exact"/>
              <w:ind w:left="22" w:right="11"/>
              <w:jc w:val="center"/>
              <w:rPr>
                <w:sz w:val="20"/>
              </w:rPr>
            </w:pPr>
            <w:r>
              <w:rPr>
                <w:spacing w:val="-5"/>
                <w:sz w:val="20"/>
              </w:rPr>
              <w:t>108</w:t>
            </w:r>
          </w:p>
        </w:tc>
        <w:tc>
          <w:tcPr>
            <w:tcW w:w="707" w:type="dxa"/>
          </w:tcPr>
          <w:p>
            <w:pPr>
              <w:pStyle w:val="TableParagraph"/>
              <w:spacing w:line="210" w:lineRule="exact"/>
              <w:ind w:left="74" w:right="10"/>
              <w:jc w:val="center"/>
              <w:rPr>
                <w:sz w:val="20"/>
              </w:rPr>
            </w:pPr>
            <w:r>
              <w:rPr>
                <w:spacing w:val="-4"/>
                <w:sz w:val="20"/>
              </w:rPr>
              <w:t>46.0</w:t>
            </w:r>
          </w:p>
        </w:tc>
        <w:tc>
          <w:tcPr>
            <w:tcW w:w="755" w:type="dxa"/>
          </w:tcPr>
          <w:p>
            <w:pPr>
              <w:pStyle w:val="TableParagraph"/>
              <w:spacing w:line="210" w:lineRule="exact"/>
              <w:ind w:left="145"/>
              <w:rPr>
                <w:sz w:val="20"/>
              </w:rPr>
            </w:pPr>
            <w:r>
              <w:rPr>
                <w:spacing w:val="-5"/>
                <w:sz w:val="20"/>
              </w:rPr>
              <w:t>24</w:t>
            </w:r>
          </w:p>
        </w:tc>
        <w:tc>
          <w:tcPr>
            <w:tcW w:w="901" w:type="dxa"/>
          </w:tcPr>
          <w:p>
            <w:pPr>
              <w:pStyle w:val="TableParagraph"/>
              <w:spacing w:line="210" w:lineRule="exact"/>
              <w:ind w:left="27"/>
              <w:jc w:val="center"/>
              <w:rPr>
                <w:sz w:val="20"/>
              </w:rPr>
            </w:pPr>
            <w:r>
              <w:rPr>
                <w:spacing w:val="-4"/>
                <w:sz w:val="20"/>
              </w:rPr>
              <w:t>10.2</w:t>
            </w:r>
          </w:p>
        </w:tc>
        <w:tc>
          <w:tcPr>
            <w:tcW w:w="683" w:type="dxa"/>
          </w:tcPr>
          <w:p>
            <w:pPr>
              <w:pStyle w:val="TableParagraph"/>
              <w:spacing w:line="210" w:lineRule="exact"/>
              <w:ind w:left="77" w:right="6"/>
              <w:jc w:val="center"/>
              <w:rPr>
                <w:sz w:val="20"/>
              </w:rPr>
            </w:pPr>
            <w:r>
              <w:rPr>
                <w:spacing w:val="-5"/>
                <w:sz w:val="20"/>
              </w:rPr>
              <w:t>33</w:t>
            </w:r>
          </w:p>
        </w:tc>
        <w:tc>
          <w:tcPr>
            <w:tcW w:w="798" w:type="dxa"/>
          </w:tcPr>
          <w:p>
            <w:pPr>
              <w:pStyle w:val="TableParagraph"/>
              <w:spacing w:line="210" w:lineRule="exact"/>
              <w:ind w:left="34"/>
              <w:jc w:val="center"/>
              <w:rPr>
                <w:sz w:val="20"/>
              </w:rPr>
            </w:pPr>
            <w:r>
              <w:rPr>
                <w:spacing w:val="-4"/>
                <w:sz w:val="20"/>
              </w:rPr>
              <w:t>14.0</w:t>
            </w:r>
          </w:p>
        </w:tc>
        <w:tc>
          <w:tcPr>
            <w:tcW w:w="652" w:type="dxa"/>
          </w:tcPr>
          <w:p>
            <w:pPr>
              <w:pStyle w:val="TableParagraph"/>
              <w:spacing w:line="210" w:lineRule="exact"/>
              <w:ind w:left="83" w:right="78"/>
              <w:jc w:val="center"/>
              <w:rPr>
                <w:sz w:val="20"/>
              </w:rPr>
            </w:pPr>
            <w:r>
              <w:rPr>
                <w:spacing w:val="-10"/>
                <w:sz w:val="20"/>
              </w:rPr>
              <w:t>5</w:t>
            </w:r>
          </w:p>
        </w:tc>
        <w:tc>
          <w:tcPr>
            <w:tcW w:w="674" w:type="dxa"/>
          </w:tcPr>
          <w:p>
            <w:pPr>
              <w:pStyle w:val="TableParagraph"/>
              <w:spacing w:line="210" w:lineRule="exact"/>
              <w:ind w:left="100" w:right="5"/>
              <w:jc w:val="center"/>
              <w:rPr>
                <w:sz w:val="20"/>
              </w:rPr>
            </w:pPr>
            <w:r>
              <w:rPr>
                <w:spacing w:val="-5"/>
                <w:sz w:val="20"/>
              </w:rPr>
              <w:t>2.1</w:t>
            </w:r>
          </w:p>
        </w:tc>
        <w:tc>
          <w:tcPr>
            <w:tcW w:w="760" w:type="dxa"/>
          </w:tcPr>
          <w:p>
            <w:pPr>
              <w:pStyle w:val="TableParagraph"/>
              <w:spacing w:line="210" w:lineRule="exact"/>
              <w:ind w:right="162"/>
              <w:jc w:val="right"/>
              <w:rPr>
                <w:sz w:val="20"/>
              </w:rPr>
            </w:pPr>
            <w:r>
              <w:rPr>
                <w:spacing w:val="-5"/>
                <w:sz w:val="20"/>
              </w:rPr>
              <w:t>235</w:t>
            </w:r>
          </w:p>
        </w:tc>
        <w:tc>
          <w:tcPr>
            <w:tcW w:w="737" w:type="dxa"/>
            <w:tcBorders>
              <w:right w:val="single" w:sz="4" w:space="0" w:color="000000"/>
            </w:tcBorders>
          </w:tcPr>
          <w:p>
            <w:pPr>
              <w:pStyle w:val="TableParagraph"/>
              <w:spacing w:line="210" w:lineRule="exact"/>
              <w:ind w:left="59" w:right="5"/>
              <w:jc w:val="center"/>
              <w:rPr>
                <w:sz w:val="20"/>
              </w:rPr>
            </w:pPr>
            <w:r>
              <w:rPr>
                <w:spacing w:val="-4"/>
                <w:sz w:val="20"/>
              </w:rPr>
              <w:t>50.8</w:t>
            </w:r>
          </w:p>
        </w:tc>
      </w:tr>
      <w:tr>
        <w:trPr>
          <w:trHeight w:val="691" w:hRule="atLeast"/>
        </w:trPr>
        <w:tc>
          <w:tcPr>
            <w:tcW w:w="4146" w:type="dxa"/>
            <w:tcBorders>
              <w:left w:val="single" w:sz="4" w:space="0" w:color="000000"/>
            </w:tcBorders>
          </w:tcPr>
          <w:p>
            <w:pPr>
              <w:pStyle w:val="TableParagraph"/>
              <w:spacing w:line="230" w:lineRule="exact"/>
              <w:ind w:left="830" w:right="101"/>
              <w:jc w:val="both"/>
              <w:rPr>
                <w:sz w:val="20"/>
              </w:rPr>
            </w:pPr>
            <w:r>
              <w:rPr>
                <w:sz w:val="20"/>
              </w:rPr>
              <w:t>win various scholarships, bursary, fellowships, jobs etc even after </w:t>
            </w:r>
            <w:r>
              <w:rPr>
                <w:spacing w:val="-2"/>
                <w:sz w:val="20"/>
              </w:rPr>
              <w:t>graduation.</w:t>
            </w:r>
          </w:p>
        </w:tc>
        <w:tc>
          <w:tcPr>
            <w:tcW w:w="1978" w:type="dxa"/>
          </w:tcPr>
          <w:p>
            <w:pPr>
              <w:pStyle w:val="TableParagraph"/>
              <w:spacing w:before="45"/>
              <w:ind w:left="111"/>
              <w:rPr>
                <w:sz w:val="20"/>
              </w:rPr>
            </w:pPr>
            <w:r>
              <w:rPr>
                <w:sz w:val="20"/>
              </w:rPr>
              <w:t>Service</w:t>
            </w:r>
            <w:r>
              <w:rPr>
                <w:spacing w:val="-9"/>
                <w:sz w:val="20"/>
              </w:rPr>
              <w:t> </w:t>
            </w:r>
            <w:r>
              <w:rPr>
                <w:spacing w:val="-2"/>
                <w:sz w:val="20"/>
              </w:rPr>
              <w:t>Staff</w:t>
            </w:r>
          </w:p>
          <w:p>
            <w:pPr>
              <w:pStyle w:val="TableParagraph"/>
              <w:spacing w:before="1"/>
              <w:ind w:left="111"/>
              <w:rPr>
                <w:sz w:val="20"/>
              </w:rPr>
            </w:pPr>
            <w:r>
              <w:rPr>
                <w:sz w:val="20"/>
              </w:rPr>
              <w:t>Top</w:t>
            </w:r>
            <w:r>
              <w:rPr>
                <w:spacing w:val="-1"/>
                <w:sz w:val="20"/>
              </w:rPr>
              <w:t> </w:t>
            </w:r>
            <w:r>
              <w:rPr>
                <w:spacing w:val="-2"/>
                <w:sz w:val="20"/>
              </w:rPr>
              <w:t>Management</w:t>
            </w:r>
          </w:p>
        </w:tc>
        <w:tc>
          <w:tcPr>
            <w:tcW w:w="540" w:type="dxa"/>
          </w:tcPr>
          <w:p>
            <w:pPr>
              <w:pStyle w:val="TableParagraph"/>
              <w:spacing w:before="45"/>
              <w:ind w:left="5" w:right="4"/>
              <w:jc w:val="center"/>
              <w:rPr>
                <w:sz w:val="20"/>
              </w:rPr>
            </w:pPr>
            <w:r>
              <w:rPr>
                <w:spacing w:val="-5"/>
                <w:sz w:val="20"/>
              </w:rPr>
              <w:t>43</w:t>
            </w:r>
          </w:p>
          <w:p>
            <w:pPr>
              <w:pStyle w:val="TableParagraph"/>
              <w:spacing w:before="1"/>
              <w:ind w:left="5"/>
              <w:jc w:val="center"/>
              <w:rPr>
                <w:sz w:val="20"/>
              </w:rPr>
            </w:pPr>
            <w:r>
              <w:rPr>
                <w:spacing w:val="-10"/>
                <w:sz w:val="20"/>
              </w:rPr>
              <w:t>4</w:t>
            </w:r>
          </w:p>
        </w:tc>
        <w:tc>
          <w:tcPr>
            <w:tcW w:w="731" w:type="dxa"/>
          </w:tcPr>
          <w:p>
            <w:pPr>
              <w:pStyle w:val="TableParagraph"/>
              <w:spacing w:before="45"/>
              <w:ind w:left="171"/>
              <w:rPr>
                <w:sz w:val="20"/>
              </w:rPr>
            </w:pPr>
            <w:r>
              <w:rPr>
                <w:spacing w:val="-4"/>
                <w:sz w:val="20"/>
              </w:rPr>
              <w:t>21.2</w:t>
            </w:r>
          </w:p>
          <w:p>
            <w:pPr>
              <w:pStyle w:val="TableParagraph"/>
              <w:spacing w:before="1"/>
              <w:ind w:left="171"/>
              <w:rPr>
                <w:sz w:val="20"/>
              </w:rPr>
            </w:pPr>
            <w:r>
              <w:rPr>
                <w:spacing w:val="-4"/>
                <w:sz w:val="20"/>
              </w:rPr>
              <w:t>17.4</w:t>
            </w:r>
          </w:p>
        </w:tc>
        <w:tc>
          <w:tcPr>
            <w:tcW w:w="690" w:type="dxa"/>
          </w:tcPr>
          <w:p>
            <w:pPr>
              <w:pStyle w:val="TableParagraph"/>
              <w:spacing w:before="45"/>
              <w:ind w:left="184"/>
              <w:rPr>
                <w:sz w:val="20"/>
              </w:rPr>
            </w:pPr>
            <w:r>
              <w:rPr>
                <w:spacing w:val="-5"/>
                <w:sz w:val="20"/>
              </w:rPr>
              <w:t>100</w:t>
            </w:r>
          </w:p>
          <w:p>
            <w:pPr>
              <w:pStyle w:val="TableParagraph"/>
              <w:spacing w:before="1"/>
              <w:ind w:left="241"/>
              <w:rPr>
                <w:sz w:val="20"/>
              </w:rPr>
            </w:pPr>
            <w:r>
              <w:rPr>
                <w:spacing w:val="-5"/>
                <w:sz w:val="20"/>
              </w:rPr>
              <w:t>17</w:t>
            </w:r>
          </w:p>
        </w:tc>
        <w:tc>
          <w:tcPr>
            <w:tcW w:w="707" w:type="dxa"/>
          </w:tcPr>
          <w:p>
            <w:pPr>
              <w:pStyle w:val="TableParagraph"/>
              <w:spacing w:before="45"/>
              <w:ind w:left="190"/>
              <w:rPr>
                <w:sz w:val="20"/>
              </w:rPr>
            </w:pPr>
            <w:r>
              <w:rPr>
                <w:spacing w:val="-4"/>
                <w:sz w:val="20"/>
              </w:rPr>
              <w:t>49.3</w:t>
            </w:r>
          </w:p>
          <w:p>
            <w:pPr>
              <w:pStyle w:val="TableParagraph"/>
              <w:spacing w:before="1"/>
              <w:ind w:left="190"/>
              <w:rPr>
                <w:sz w:val="20"/>
              </w:rPr>
            </w:pPr>
            <w:r>
              <w:rPr>
                <w:spacing w:val="-4"/>
                <w:sz w:val="20"/>
              </w:rPr>
              <w:t>73.9</w:t>
            </w:r>
          </w:p>
        </w:tc>
        <w:tc>
          <w:tcPr>
            <w:tcW w:w="755" w:type="dxa"/>
          </w:tcPr>
          <w:p>
            <w:pPr>
              <w:pStyle w:val="TableParagraph"/>
              <w:spacing w:before="45"/>
              <w:ind w:left="42" w:right="5"/>
              <w:jc w:val="center"/>
              <w:rPr>
                <w:sz w:val="20"/>
              </w:rPr>
            </w:pPr>
            <w:r>
              <w:rPr>
                <w:spacing w:val="-5"/>
                <w:sz w:val="20"/>
              </w:rPr>
              <w:t>32</w:t>
            </w:r>
          </w:p>
          <w:p>
            <w:pPr>
              <w:pStyle w:val="TableParagraph"/>
              <w:spacing w:before="1"/>
              <w:ind w:left="42"/>
              <w:jc w:val="center"/>
              <w:rPr>
                <w:sz w:val="20"/>
              </w:rPr>
            </w:pPr>
            <w:r>
              <w:rPr>
                <w:spacing w:val="-10"/>
                <w:sz w:val="20"/>
              </w:rPr>
              <w:t>1</w:t>
            </w:r>
          </w:p>
        </w:tc>
        <w:tc>
          <w:tcPr>
            <w:tcW w:w="901" w:type="dxa"/>
          </w:tcPr>
          <w:p>
            <w:pPr>
              <w:pStyle w:val="TableParagraph"/>
              <w:spacing w:before="45"/>
              <w:ind w:left="268"/>
              <w:rPr>
                <w:sz w:val="20"/>
              </w:rPr>
            </w:pPr>
            <w:r>
              <w:rPr>
                <w:spacing w:val="-4"/>
                <w:sz w:val="20"/>
              </w:rPr>
              <w:t>15.8</w:t>
            </w:r>
          </w:p>
          <w:p>
            <w:pPr>
              <w:pStyle w:val="TableParagraph"/>
              <w:spacing w:before="1"/>
              <w:ind w:left="321"/>
              <w:rPr>
                <w:sz w:val="20"/>
              </w:rPr>
            </w:pPr>
            <w:r>
              <w:rPr>
                <w:spacing w:val="-5"/>
                <w:sz w:val="20"/>
              </w:rPr>
              <w:t>4.3</w:t>
            </w:r>
          </w:p>
        </w:tc>
        <w:tc>
          <w:tcPr>
            <w:tcW w:w="683" w:type="dxa"/>
          </w:tcPr>
          <w:p>
            <w:pPr>
              <w:pStyle w:val="TableParagraph"/>
              <w:spacing w:before="45"/>
              <w:ind w:left="77" w:right="6"/>
              <w:jc w:val="center"/>
              <w:rPr>
                <w:sz w:val="20"/>
              </w:rPr>
            </w:pPr>
            <w:r>
              <w:rPr>
                <w:spacing w:val="-5"/>
                <w:sz w:val="20"/>
              </w:rPr>
              <w:t>23</w:t>
            </w:r>
          </w:p>
          <w:p>
            <w:pPr>
              <w:pStyle w:val="TableParagraph"/>
              <w:spacing w:before="1"/>
              <w:ind w:left="77" w:right="2"/>
              <w:jc w:val="center"/>
              <w:rPr>
                <w:sz w:val="20"/>
              </w:rPr>
            </w:pPr>
            <w:r>
              <w:rPr>
                <w:spacing w:val="-10"/>
                <w:sz w:val="20"/>
              </w:rPr>
              <w:t>1</w:t>
            </w:r>
          </w:p>
        </w:tc>
        <w:tc>
          <w:tcPr>
            <w:tcW w:w="798" w:type="dxa"/>
          </w:tcPr>
          <w:p>
            <w:pPr>
              <w:pStyle w:val="TableParagraph"/>
              <w:spacing w:before="45"/>
              <w:ind w:left="221"/>
              <w:rPr>
                <w:sz w:val="20"/>
              </w:rPr>
            </w:pPr>
            <w:r>
              <w:rPr>
                <w:spacing w:val="-4"/>
                <w:sz w:val="20"/>
              </w:rPr>
              <w:t>11.3</w:t>
            </w:r>
          </w:p>
          <w:p>
            <w:pPr>
              <w:pStyle w:val="TableParagraph"/>
              <w:spacing w:before="1"/>
              <w:ind w:left="273"/>
              <w:rPr>
                <w:sz w:val="20"/>
              </w:rPr>
            </w:pPr>
            <w:r>
              <w:rPr>
                <w:spacing w:val="-5"/>
                <w:sz w:val="20"/>
              </w:rPr>
              <w:t>4.3</w:t>
            </w:r>
          </w:p>
        </w:tc>
        <w:tc>
          <w:tcPr>
            <w:tcW w:w="652" w:type="dxa"/>
          </w:tcPr>
          <w:p>
            <w:pPr>
              <w:pStyle w:val="TableParagraph"/>
              <w:spacing w:before="45"/>
              <w:ind w:left="83" w:right="78"/>
              <w:jc w:val="center"/>
              <w:rPr>
                <w:sz w:val="20"/>
              </w:rPr>
            </w:pPr>
            <w:r>
              <w:rPr>
                <w:spacing w:val="-10"/>
                <w:sz w:val="20"/>
              </w:rPr>
              <w:t>5</w:t>
            </w:r>
          </w:p>
          <w:p>
            <w:pPr>
              <w:pStyle w:val="TableParagraph"/>
              <w:spacing w:before="1"/>
              <w:ind w:left="83" w:right="84"/>
              <w:jc w:val="center"/>
              <w:rPr>
                <w:sz w:val="20"/>
              </w:rPr>
            </w:pPr>
            <w:r>
              <w:rPr>
                <w:spacing w:val="-10"/>
                <w:sz w:val="20"/>
              </w:rPr>
              <w:t>-</w:t>
            </w:r>
          </w:p>
        </w:tc>
        <w:tc>
          <w:tcPr>
            <w:tcW w:w="674" w:type="dxa"/>
          </w:tcPr>
          <w:p>
            <w:pPr>
              <w:pStyle w:val="TableParagraph"/>
              <w:spacing w:before="45"/>
              <w:ind w:left="100" w:right="5"/>
              <w:jc w:val="center"/>
              <w:rPr>
                <w:sz w:val="20"/>
              </w:rPr>
            </w:pPr>
            <w:r>
              <w:rPr>
                <w:spacing w:val="-5"/>
                <w:sz w:val="20"/>
              </w:rPr>
              <w:t>2.5</w:t>
            </w:r>
          </w:p>
          <w:p>
            <w:pPr>
              <w:pStyle w:val="TableParagraph"/>
              <w:spacing w:before="1"/>
              <w:ind w:left="100" w:right="7"/>
              <w:jc w:val="center"/>
              <w:rPr>
                <w:sz w:val="20"/>
              </w:rPr>
            </w:pPr>
            <w:r>
              <w:rPr>
                <w:spacing w:val="-10"/>
                <w:sz w:val="20"/>
              </w:rPr>
              <w:t>-</w:t>
            </w:r>
          </w:p>
        </w:tc>
        <w:tc>
          <w:tcPr>
            <w:tcW w:w="760" w:type="dxa"/>
          </w:tcPr>
          <w:p>
            <w:pPr>
              <w:pStyle w:val="TableParagraph"/>
              <w:spacing w:before="45"/>
              <w:ind w:left="261"/>
              <w:rPr>
                <w:sz w:val="20"/>
              </w:rPr>
            </w:pPr>
            <w:r>
              <w:rPr>
                <w:spacing w:val="-5"/>
                <w:sz w:val="20"/>
              </w:rPr>
              <w:t>203</w:t>
            </w:r>
          </w:p>
          <w:p>
            <w:pPr>
              <w:pStyle w:val="TableParagraph"/>
              <w:spacing w:before="1"/>
              <w:ind w:left="319"/>
              <w:rPr>
                <w:sz w:val="20"/>
              </w:rPr>
            </w:pPr>
            <w:r>
              <w:rPr>
                <w:spacing w:val="-5"/>
                <w:sz w:val="20"/>
              </w:rPr>
              <w:t>23</w:t>
            </w:r>
          </w:p>
        </w:tc>
        <w:tc>
          <w:tcPr>
            <w:tcW w:w="737" w:type="dxa"/>
            <w:tcBorders>
              <w:right w:val="single" w:sz="4" w:space="0" w:color="000000"/>
            </w:tcBorders>
          </w:tcPr>
          <w:p>
            <w:pPr>
              <w:pStyle w:val="TableParagraph"/>
              <w:spacing w:before="45"/>
              <w:ind w:left="197"/>
              <w:rPr>
                <w:sz w:val="20"/>
              </w:rPr>
            </w:pPr>
            <w:r>
              <w:rPr>
                <w:spacing w:val="-4"/>
                <w:sz w:val="20"/>
              </w:rPr>
              <w:t>43.8</w:t>
            </w:r>
          </w:p>
          <w:p>
            <w:pPr>
              <w:pStyle w:val="TableParagraph"/>
              <w:spacing w:before="1"/>
              <w:ind w:left="250"/>
              <w:rPr>
                <w:sz w:val="20"/>
              </w:rPr>
            </w:pPr>
            <w:r>
              <w:rPr>
                <w:spacing w:val="-5"/>
                <w:sz w:val="20"/>
              </w:rPr>
              <w:t>5.0</w:t>
            </w:r>
          </w:p>
        </w:tc>
      </w:tr>
      <w:tr>
        <w:trPr>
          <w:trHeight w:val="230" w:hRule="atLeast"/>
        </w:trPr>
        <w:tc>
          <w:tcPr>
            <w:tcW w:w="4146" w:type="dxa"/>
            <w:tcBorders>
              <w:left w:val="single" w:sz="4" w:space="0" w:color="000000"/>
            </w:tcBorders>
          </w:tcPr>
          <w:p>
            <w:pPr>
              <w:pStyle w:val="TableParagraph"/>
              <w:tabs>
                <w:tab w:pos="609" w:val="left" w:leader="none"/>
              </w:tabs>
              <w:spacing w:line="210" w:lineRule="exact"/>
              <w:ind w:right="103"/>
              <w:jc w:val="right"/>
              <w:rPr>
                <w:sz w:val="20"/>
              </w:rPr>
            </w:pPr>
            <w:r>
              <w:rPr>
                <w:spacing w:val="-5"/>
                <w:sz w:val="20"/>
              </w:rPr>
              <w:t>51.</w:t>
            </w:r>
            <w:r>
              <w:rPr>
                <w:sz w:val="20"/>
              </w:rPr>
              <w:tab/>
              <w:t>Participation</w:t>
            </w:r>
            <w:r>
              <w:rPr>
                <w:spacing w:val="56"/>
                <w:w w:val="150"/>
                <w:sz w:val="20"/>
              </w:rPr>
              <w:t> </w:t>
            </w:r>
            <w:r>
              <w:rPr>
                <w:sz w:val="20"/>
              </w:rPr>
              <w:t>in</w:t>
            </w:r>
            <w:r>
              <w:rPr>
                <w:spacing w:val="61"/>
                <w:w w:val="150"/>
                <w:sz w:val="20"/>
              </w:rPr>
              <w:t> </w:t>
            </w:r>
            <w:r>
              <w:rPr>
                <w:sz w:val="20"/>
              </w:rPr>
              <w:t>games</w:t>
            </w:r>
            <w:r>
              <w:rPr>
                <w:spacing w:val="58"/>
                <w:w w:val="150"/>
                <w:sz w:val="20"/>
              </w:rPr>
              <w:t> </w:t>
            </w:r>
            <w:r>
              <w:rPr>
                <w:sz w:val="20"/>
              </w:rPr>
              <w:t>like</w:t>
            </w:r>
            <w:r>
              <w:rPr>
                <w:spacing w:val="79"/>
                <w:sz w:val="20"/>
              </w:rPr>
              <w:t> </w:t>
            </w:r>
            <w:r>
              <w:rPr>
                <w:spacing w:val="-4"/>
                <w:sz w:val="20"/>
              </w:rPr>
              <w:t>West</w:t>
            </w:r>
          </w:p>
        </w:tc>
        <w:tc>
          <w:tcPr>
            <w:tcW w:w="1978" w:type="dxa"/>
          </w:tcPr>
          <w:p>
            <w:pPr>
              <w:pStyle w:val="TableParagraph"/>
              <w:spacing w:line="210" w:lineRule="exact"/>
              <w:ind w:left="111"/>
              <w:rPr>
                <w:sz w:val="20"/>
              </w:rPr>
            </w:pPr>
            <w:r>
              <w:rPr>
                <w:sz w:val="20"/>
              </w:rPr>
              <w:t>No.</w:t>
            </w:r>
            <w:r>
              <w:rPr>
                <w:spacing w:val="-5"/>
                <w:sz w:val="20"/>
              </w:rPr>
              <w:t> </w:t>
            </w:r>
            <w:r>
              <w:rPr>
                <w:sz w:val="20"/>
              </w:rPr>
              <w:t>of</w:t>
            </w:r>
            <w:r>
              <w:rPr>
                <w:spacing w:val="-2"/>
                <w:sz w:val="20"/>
              </w:rPr>
              <w:t> missing</w:t>
            </w:r>
          </w:p>
        </w:tc>
        <w:tc>
          <w:tcPr>
            <w:tcW w:w="540" w:type="dxa"/>
          </w:tcPr>
          <w:p>
            <w:pPr>
              <w:pStyle w:val="TableParagraph"/>
              <w:rPr>
                <w:rFonts w:ascii="Times New Roman"/>
                <w:sz w:val="16"/>
              </w:rPr>
            </w:pPr>
          </w:p>
        </w:tc>
        <w:tc>
          <w:tcPr>
            <w:tcW w:w="731" w:type="dxa"/>
          </w:tcPr>
          <w:p>
            <w:pPr>
              <w:pStyle w:val="TableParagraph"/>
              <w:rPr>
                <w:rFonts w:ascii="Times New Roman"/>
                <w:sz w:val="16"/>
              </w:rPr>
            </w:pPr>
          </w:p>
        </w:tc>
        <w:tc>
          <w:tcPr>
            <w:tcW w:w="690" w:type="dxa"/>
          </w:tcPr>
          <w:p>
            <w:pPr>
              <w:pStyle w:val="TableParagraph"/>
              <w:rPr>
                <w:rFonts w:ascii="Times New Roman"/>
                <w:sz w:val="16"/>
              </w:rPr>
            </w:pPr>
          </w:p>
        </w:tc>
        <w:tc>
          <w:tcPr>
            <w:tcW w:w="707" w:type="dxa"/>
          </w:tcPr>
          <w:p>
            <w:pPr>
              <w:pStyle w:val="TableParagraph"/>
              <w:rPr>
                <w:rFonts w:ascii="Times New Roman"/>
                <w:sz w:val="16"/>
              </w:rPr>
            </w:pPr>
          </w:p>
        </w:tc>
        <w:tc>
          <w:tcPr>
            <w:tcW w:w="755" w:type="dxa"/>
          </w:tcPr>
          <w:p>
            <w:pPr>
              <w:pStyle w:val="TableParagraph"/>
              <w:rPr>
                <w:rFonts w:ascii="Times New Roman"/>
                <w:sz w:val="16"/>
              </w:rPr>
            </w:pPr>
          </w:p>
        </w:tc>
        <w:tc>
          <w:tcPr>
            <w:tcW w:w="901" w:type="dxa"/>
          </w:tcPr>
          <w:p>
            <w:pPr>
              <w:pStyle w:val="TableParagraph"/>
              <w:rPr>
                <w:rFonts w:ascii="Times New Roman"/>
                <w:sz w:val="16"/>
              </w:rPr>
            </w:pPr>
          </w:p>
        </w:tc>
        <w:tc>
          <w:tcPr>
            <w:tcW w:w="683" w:type="dxa"/>
          </w:tcPr>
          <w:p>
            <w:pPr>
              <w:pStyle w:val="TableParagraph"/>
              <w:rPr>
                <w:rFonts w:ascii="Times New Roman"/>
                <w:sz w:val="16"/>
              </w:rPr>
            </w:pPr>
          </w:p>
        </w:tc>
        <w:tc>
          <w:tcPr>
            <w:tcW w:w="798" w:type="dxa"/>
          </w:tcPr>
          <w:p>
            <w:pPr>
              <w:pStyle w:val="TableParagraph"/>
              <w:rPr>
                <w:rFonts w:ascii="Times New Roman"/>
                <w:sz w:val="16"/>
              </w:rPr>
            </w:pPr>
          </w:p>
        </w:tc>
        <w:tc>
          <w:tcPr>
            <w:tcW w:w="652" w:type="dxa"/>
          </w:tcPr>
          <w:p>
            <w:pPr>
              <w:pStyle w:val="TableParagraph"/>
              <w:rPr>
                <w:rFonts w:ascii="Times New Roman"/>
                <w:sz w:val="16"/>
              </w:rPr>
            </w:pPr>
          </w:p>
        </w:tc>
        <w:tc>
          <w:tcPr>
            <w:tcW w:w="674" w:type="dxa"/>
          </w:tcPr>
          <w:p>
            <w:pPr>
              <w:pStyle w:val="TableParagraph"/>
              <w:rPr>
                <w:rFonts w:ascii="Times New Roman"/>
                <w:sz w:val="16"/>
              </w:rPr>
            </w:pPr>
          </w:p>
        </w:tc>
        <w:tc>
          <w:tcPr>
            <w:tcW w:w="760" w:type="dxa"/>
          </w:tcPr>
          <w:p>
            <w:pPr>
              <w:pStyle w:val="TableParagraph"/>
              <w:rPr>
                <w:rFonts w:ascii="Times New Roman"/>
                <w:sz w:val="16"/>
              </w:rPr>
            </w:pPr>
          </w:p>
        </w:tc>
        <w:tc>
          <w:tcPr>
            <w:tcW w:w="737" w:type="dxa"/>
            <w:tcBorders>
              <w:right w:val="single" w:sz="4" w:space="0" w:color="000000"/>
            </w:tcBorders>
          </w:tcPr>
          <w:p>
            <w:pPr>
              <w:pStyle w:val="TableParagraph"/>
              <w:rPr>
                <w:rFonts w:ascii="Times New Roman"/>
                <w:sz w:val="16"/>
              </w:rPr>
            </w:pPr>
          </w:p>
        </w:tc>
      </w:tr>
      <w:tr>
        <w:trPr>
          <w:trHeight w:val="228" w:hRule="atLeast"/>
        </w:trPr>
        <w:tc>
          <w:tcPr>
            <w:tcW w:w="4146" w:type="dxa"/>
            <w:tcBorders>
              <w:left w:val="single" w:sz="4" w:space="0" w:color="000000"/>
            </w:tcBorders>
          </w:tcPr>
          <w:p>
            <w:pPr>
              <w:pStyle w:val="TableParagraph"/>
              <w:tabs>
                <w:tab w:pos="1075" w:val="left" w:leader="none"/>
                <w:tab w:pos="2558" w:val="left" w:leader="none"/>
              </w:tabs>
              <w:spacing w:line="208" w:lineRule="exact"/>
              <w:ind w:right="102"/>
              <w:jc w:val="right"/>
              <w:rPr>
                <w:sz w:val="20"/>
              </w:rPr>
            </w:pPr>
            <w:r>
              <w:rPr>
                <w:spacing w:val="-2"/>
                <w:sz w:val="20"/>
              </w:rPr>
              <w:t>African</w:t>
            </w:r>
            <w:r>
              <w:rPr>
                <w:sz w:val="20"/>
              </w:rPr>
              <w:tab/>
            </w:r>
            <w:r>
              <w:rPr>
                <w:spacing w:val="-2"/>
                <w:sz w:val="20"/>
              </w:rPr>
              <w:t>Universities</w:t>
            </w:r>
            <w:r>
              <w:rPr>
                <w:sz w:val="20"/>
              </w:rPr>
              <w:tab/>
            </w:r>
            <w:r>
              <w:rPr>
                <w:spacing w:val="-4"/>
                <w:sz w:val="20"/>
              </w:rPr>
              <w:t>Games</w:t>
            </w:r>
          </w:p>
        </w:tc>
        <w:tc>
          <w:tcPr>
            <w:tcW w:w="1978" w:type="dxa"/>
          </w:tcPr>
          <w:p>
            <w:pPr>
              <w:pStyle w:val="TableParagraph"/>
              <w:spacing w:line="208" w:lineRule="exact"/>
              <w:ind w:left="111"/>
              <w:rPr>
                <w:sz w:val="20"/>
              </w:rPr>
            </w:pPr>
            <w:r>
              <w:rPr>
                <w:spacing w:val="-2"/>
                <w:sz w:val="20"/>
              </w:rPr>
              <w:t>observations</w:t>
            </w:r>
          </w:p>
        </w:tc>
        <w:tc>
          <w:tcPr>
            <w:tcW w:w="540" w:type="dxa"/>
          </w:tcPr>
          <w:p>
            <w:pPr>
              <w:pStyle w:val="TableParagraph"/>
              <w:spacing w:line="208" w:lineRule="exact"/>
              <w:ind w:left="5"/>
              <w:jc w:val="center"/>
              <w:rPr>
                <w:sz w:val="20"/>
              </w:rPr>
            </w:pPr>
            <w:r>
              <w:rPr>
                <w:spacing w:val="-10"/>
                <w:sz w:val="20"/>
              </w:rPr>
              <w:t>1</w:t>
            </w:r>
          </w:p>
        </w:tc>
        <w:tc>
          <w:tcPr>
            <w:tcW w:w="731" w:type="dxa"/>
          </w:tcPr>
          <w:p>
            <w:pPr>
              <w:pStyle w:val="TableParagraph"/>
              <w:spacing w:line="208" w:lineRule="exact"/>
              <w:ind w:left="69" w:right="67"/>
              <w:jc w:val="center"/>
              <w:rPr>
                <w:sz w:val="20"/>
              </w:rPr>
            </w:pPr>
            <w:r>
              <w:rPr>
                <w:spacing w:val="-4"/>
                <w:sz w:val="20"/>
              </w:rPr>
              <w:t>50.0</w:t>
            </w:r>
          </w:p>
        </w:tc>
        <w:tc>
          <w:tcPr>
            <w:tcW w:w="690" w:type="dxa"/>
          </w:tcPr>
          <w:p>
            <w:pPr>
              <w:pStyle w:val="TableParagraph"/>
              <w:spacing w:line="208" w:lineRule="exact"/>
              <w:ind w:left="22" w:right="1"/>
              <w:jc w:val="center"/>
              <w:rPr>
                <w:sz w:val="20"/>
              </w:rPr>
            </w:pPr>
            <w:r>
              <w:rPr>
                <w:spacing w:val="-10"/>
                <w:sz w:val="20"/>
              </w:rPr>
              <w:t>1</w:t>
            </w:r>
          </w:p>
        </w:tc>
        <w:tc>
          <w:tcPr>
            <w:tcW w:w="707" w:type="dxa"/>
          </w:tcPr>
          <w:p>
            <w:pPr>
              <w:pStyle w:val="TableParagraph"/>
              <w:spacing w:line="208" w:lineRule="exact"/>
              <w:ind w:left="74" w:right="10"/>
              <w:jc w:val="center"/>
              <w:rPr>
                <w:sz w:val="20"/>
              </w:rPr>
            </w:pPr>
            <w:r>
              <w:rPr>
                <w:spacing w:val="-4"/>
                <w:sz w:val="20"/>
              </w:rPr>
              <w:t>50.0</w:t>
            </w:r>
          </w:p>
        </w:tc>
        <w:tc>
          <w:tcPr>
            <w:tcW w:w="755" w:type="dxa"/>
          </w:tcPr>
          <w:p>
            <w:pPr>
              <w:pStyle w:val="TableParagraph"/>
              <w:spacing w:line="208" w:lineRule="exact"/>
              <w:ind w:right="324"/>
              <w:jc w:val="right"/>
              <w:rPr>
                <w:sz w:val="20"/>
              </w:rPr>
            </w:pPr>
            <w:r>
              <w:rPr>
                <w:spacing w:val="-10"/>
                <w:sz w:val="20"/>
              </w:rPr>
              <w:t>-</w:t>
            </w:r>
          </w:p>
        </w:tc>
        <w:tc>
          <w:tcPr>
            <w:tcW w:w="901" w:type="dxa"/>
          </w:tcPr>
          <w:p>
            <w:pPr>
              <w:pStyle w:val="TableParagraph"/>
              <w:spacing w:line="208" w:lineRule="exact"/>
              <w:ind w:left="27" w:right="6"/>
              <w:jc w:val="center"/>
              <w:rPr>
                <w:sz w:val="20"/>
              </w:rPr>
            </w:pPr>
            <w:r>
              <w:rPr>
                <w:spacing w:val="-10"/>
                <w:sz w:val="20"/>
              </w:rPr>
              <w:t>-</w:t>
            </w:r>
          </w:p>
        </w:tc>
        <w:tc>
          <w:tcPr>
            <w:tcW w:w="683" w:type="dxa"/>
          </w:tcPr>
          <w:p>
            <w:pPr>
              <w:pStyle w:val="TableParagraph"/>
              <w:spacing w:line="208" w:lineRule="exact"/>
              <w:ind w:left="77" w:right="8"/>
              <w:jc w:val="center"/>
              <w:rPr>
                <w:sz w:val="20"/>
              </w:rPr>
            </w:pPr>
            <w:r>
              <w:rPr>
                <w:spacing w:val="-10"/>
                <w:sz w:val="20"/>
              </w:rPr>
              <w:t>-</w:t>
            </w:r>
          </w:p>
        </w:tc>
        <w:tc>
          <w:tcPr>
            <w:tcW w:w="798" w:type="dxa"/>
          </w:tcPr>
          <w:p>
            <w:pPr>
              <w:pStyle w:val="TableParagraph"/>
              <w:spacing w:line="208" w:lineRule="exact"/>
              <w:ind w:left="34" w:right="6"/>
              <w:jc w:val="center"/>
              <w:rPr>
                <w:sz w:val="20"/>
              </w:rPr>
            </w:pPr>
            <w:r>
              <w:rPr>
                <w:spacing w:val="-10"/>
                <w:sz w:val="20"/>
              </w:rPr>
              <w:t>-</w:t>
            </w:r>
          </w:p>
        </w:tc>
        <w:tc>
          <w:tcPr>
            <w:tcW w:w="652" w:type="dxa"/>
          </w:tcPr>
          <w:p>
            <w:pPr>
              <w:pStyle w:val="TableParagraph"/>
              <w:spacing w:line="208" w:lineRule="exact"/>
              <w:ind w:left="83" w:right="84"/>
              <w:jc w:val="center"/>
              <w:rPr>
                <w:sz w:val="20"/>
              </w:rPr>
            </w:pPr>
            <w:r>
              <w:rPr>
                <w:spacing w:val="-10"/>
                <w:sz w:val="20"/>
              </w:rPr>
              <w:t>-</w:t>
            </w:r>
          </w:p>
        </w:tc>
        <w:tc>
          <w:tcPr>
            <w:tcW w:w="674" w:type="dxa"/>
          </w:tcPr>
          <w:p>
            <w:pPr>
              <w:pStyle w:val="TableParagraph"/>
              <w:spacing w:line="208" w:lineRule="exact"/>
              <w:ind w:left="100" w:right="5"/>
              <w:jc w:val="center"/>
              <w:rPr>
                <w:sz w:val="20"/>
              </w:rPr>
            </w:pPr>
            <w:r>
              <w:rPr>
                <w:spacing w:val="-5"/>
                <w:sz w:val="20"/>
              </w:rPr>
              <w:t>0.4</w:t>
            </w:r>
          </w:p>
        </w:tc>
        <w:tc>
          <w:tcPr>
            <w:tcW w:w="760" w:type="dxa"/>
          </w:tcPr>
          <w:p>
            <w:pPr>
              <w:pStyle w:val="TableParagraph"/>
              <w:spacing w:line="208" w:lineRule="exact"/>
              <w:ind w:left="107" w:right="1"/>
              <w:jc w:val="center"/>
              <w:rPr>
                <w:sz w:val="20"/>
              </w:rPr>
            </w:pPr>
            <w:r>
              <w:rPr>
                <w:spacing w:val="-10"/>
                <w:sz w:val="20"/>
              </w:rPr>
              <w:t>2</w:t>
            </w:r>
          </w:p>
        </w:tc>
        <w:tc>
          <w:tcPr>
            <w:tcW w:w="737" w:type="dxa"/>
            <w:tcBorders>
              <w:right w:val="single" w:sz="4" w:space="0" w:color="000000"/>
            </w:tcBorders>
          </w:tcPr>
          <w:p>
            <w:pPr>
              <w:pStyle w:val="TableParagraph"/>
              <w:spacing w:line="208" w:lineRule="exact"/>
              <w:ind w:left="58" w:right="9"/>
              <w:jc w:val="center"/>
              <w:rPr>
                <w:sz w:val="20"/>
              </w:rPr>
            </w:pPr>
            <w:r>
              <w:rPr>
                <w:spacing w:val="-5"/>
                <w:sz w:val="20"/>
              </w:rPr>
              <w:t>0.4</w:t>
            </w:r>
          </w:p>
        </w:tc>
      </w:tr>
      <w:tr>
        <w:trPr>
          <w:trHeight w:val="227" w:hRule="atLeast"/>
        </w:trPr>
        <w:tc>
          <w:tcPr>
            <w:tcW w:w="4146" w:type="dxa"/>
            <w:tcBorders>
              <w:left w:val="single" w:sz="4" w:space="0" w:color="000000"/>
            </w:tcBorders>
          </w:tcPr>
          <w:p>
            <w:pPr>
              <w:pStyle w:val="TableParagraph"/>
              <w:tabs>
                <w:tab w:pos="1027" w:val="left" w:leader="none"/>
                <w:tab w:pos="2203" w:val="left" w:leader="none"/>
                <w:tab w:pos="2587" w:val="left" w:leader="none"/>
              </w:tabs>
              <w:spacing w:line="208" w:lineRule="exact"/>
              <w:ind w:right="100"/>
              <w:jc w:val="right"/>
              <w:rPr>
                <w:sz w:val="20"/>
              </w:rPr>
            </w:pPr>
            <w:r>
              <w:rPr>
                <w:spacing w:val="-2"/>
                <w:sz w:val="20"/>
              </w:rPr>
              <w:t>(WAUG),</w:t>
            </w:r>
            <w:r>
              <w:rPr>
                <w:sz w:val="20"/>
              </w:rPr>
              <w:tab/>
            </w:r>
            <w:r>
              <w:rPr>
                <w:spacing w:val="-2"/>
                <w:sz w:val="20"/>
              </w:rPr>
              <w:t>Federation</w:t>
            </w:r>
            <w:r>
              <w:rPr>
                <w:sz w:val="20"/>
              </w:rPr>
              <w:tab/>
            </w:r>
            <w:r>
              <w:rPr>
                <w:spacing w:val="-5"/>
                <w:sz w:val="20"/>
              </w:rPr>
              <w:t>of</w:t>
            </w:r>
            <w:r>
              <w:rPr>
                <w:sz w:val="20"/>
              </w:rPr>
              <w:tab/>
            </w:r>
            <w:r>
              <w:rPr>
                <w:spacing w:val="-2"/>
                <w:sz w:val="20"/>
              </w:rPr>
              <w:t>African</w:t>
            </w:r>
          </w:p>
        </w:tc>
        <w:tc>
          <w:tcPr>
            <w:tcW w:w="1978" w:type="dxa"/>
          </w:tcPr>
          <w:p>
            <w:pPr>
              <w:pStyle w:val="TableParagraph"/>
              <w:spacing w:line="208" w:lineRule="exact"/>
              <w:ind w:left="111"/>
              <w:rPr>
                <w:sz w:val="20"/>
              </w:rPr>
            </w:pPr>
            <w:r>
              <w:rPr>
                <w:spacing w:val="-2"/>
                <w:sz w:val="20"/>
              </w:rPr>
              <w:t>Students</w:t>
            </w:r>
          </w:p>
        </w:tc>
        <w:tc>
          <w:tcPr>
            <w:tcW w:w="540" w:type="dxa"/>
          </w:tcPr>
          <w:p>
            <w:pPr>
              <w:pStyle w:val="TableParagraph"/>
              <w:spacing w:line="208" w:lineRule="exact"/>
              <w:ind w:left="5" w:right="4"/>
              <w:jc w:val="center"/>
              <w:rPr>
                <w:sz w:val="20"/>
              </w:rPr>
            </w:pPr>
            <w:r>
              <w:rPr>
                <w:spacing w:val="-5"/>
                <w:sz w:val="20"/>
              </w:rPr>
              <w:t>99</w:t>
            </w:r>
          </w:p>
        </w:tc>
        <w:tc>
          <w:tcPr>
            <w:tcW w:w="731" w:type="dxa"/>
          </w:tcPr>
          <w:p>
            <w:pPr>
              <w:pStyle w:val="TableParagraph"/>
              <w:spacing w:line="208" w:lineRule="exact"/>
              <w:ind w:left="69" w:right="67"/>
              <w:jc w:val="center"/>
              <w:rPr>
                <w:sz w:val="20"/>
              </w:rPr>
            </w:pPr>
            <w:r>
              <w:rPr>
                <w:spacing w:val="-4"/>
                <w:sz w:val="20"/>
              </w:rPr>
              <w:t>42.1</w:t>
            </w:r>
          </w:p>
        </w:tc>
        <w:tc>
          <w:tcPr>
            <w:tcW w:w="690" w:type="dxa"/>
          </w:tcPr>
          <w:p>
            <w:pPr>
              <w:pStyle w:val="TableParagraph"/>
              <w:spacing w:line="208" w:lineRule="exact"/>
              <w:ind w:left="22" w:right="11"/>
              <w:jc w:val="center"/>
              <w:rPr>
                <w:sz w:val="20"/>
              </w:rPr>
            </w:pPr>
            <w:r>
              <w:rPr>
                <w:spacing w:val="-5"/>
                <w:sz w:val="20"/>
              </w:rPr>
              <w:t>118</w:t>
            </w:r>
          </w:p>
        </w:tc>
        <w:tc>
          <w:tcPr>
            <w:tcW w:w="707" w:type="dxa"/>
          </w:tcPr>
          <w:p>
            <w:pPr>
              <w:pStyle w:val="TableParagraph"/>
              <w:spacing w:line="208" w:lineRule="exact"/>
              <w:ind w:left="74" w:right="10"/>
              <w:jc w:val="center"/>
              <w:rPr>
                <w:sz w:val="20"/>
              </w:rPr>
            </w:pPr>
            <w:r>
              <w:rPr>
                <w:spacing w:val="-4"/>
                <w:sz w:val="20"/>
              </w:rPr>
              <w:t>50.2</w:t>
            </w:r>
          </w:p>
        </w:tc>
        <w:tc>
          <w:tcPr>
            <w:tcW w:w="755" w:type="dxa"/>
          </w:tcPr>
          <w:p>
            <w:pPr>
              <w:pStyle w:val="TableParagraph"/>
              <w:spacing w:line="208" w:lineRule="exact"/>
              <w:ind w:right="245"/>
              <w:jc w:val="right"/>
              <w:rPr>
                <w:sz w:val="20"/>
              </w:rPr>
            </w:pPr>
            <w:r>
              <w:rPr>
                <w:spacing w:val="-5"/>
                <w:sz w:val="20"/>
              </w:rPr>
              <w:t>13</w:t>
            </w:r>
          </w:p>
        </w:tc>
        <w:tc>
          <w:tcPr>
            <w:tcW w:w="901" w:type="dxa"/>
          </w:tcPr>
          <w:p>
            <w:pPr>
              <w:pStyle w:val="TableParagraph"/>
              <w:spacing w:line="208" w:lineRule="exact"/>
              <w:ind w:left="27" w:right="5"/>
              <w:jc w:val="center"/>
              <w:rPr>
                <w:sz w:val="20"/>
              </w:rPr>
            </w:pPr>
            <w:r>
              <w:rPr>
                <w:spacing w:val="-5"/>
                <w:sz w:val="20"/>
              </w:rPr>
              <w:t>5.5</w:t>
            </w:r>
          </w:p>
        </w:tc>
        <w:tc>
          <w:tcPr>
            <w:tcW w:w="683" w:type="dxa"/>
          </w:tcPr>
          <w:p>
            <w:pPr>
              <w:pStyle w:val="TableParagraph"/>
              <w:spacing w:line="208" w:lineRule="exact"/>
              <w:ind w:left="77" w:right="2"/>
              <w:jc w:val="center"/>
              <w:rPr>
                <w:sz w:val="20"/>
              </w:rPr>
            </w:pPr>
            <w:r>
              <w:rPr>
                <w:spacing w:val="-10"/>
                <w:sz w:val="20"/>
              </w:rPr>
              <w:t>4</w:t>
            </w:r>
          </w:p>
        </w:tc>
        <w:tc>
          <w:tcPr>
            <w:tcW w:w="798" w:type="dxa"/>
          </w:tcPr>
          <w:p>
            <w:pPr>
              <w:pStyle w:val="TableParagraph"/>
              <w:spacing w:line="208" w:lineRule="exact"/>
              <w:ind w:left="34" w:right="5"/>
              <w:jc w:val="center"/>
              <w:rPr>
                <w:sz w:val="20"/>
              </w:rPr>
            </w:pPr>
            <w:r>
              <w:rPr>
                <w:spacing w:val="-5"/>
                <w:sz w:val="20"/>
              </w:rPr>
              <w:t>1.7</w:t>
            </w:r>
          </w:p>
        </w:tc>
        <w:tc>
          <w:tcPr>
            <w:tcW w:w="652" w:type="dxa"/>
          </w:tcPr>
          <w:p>
            <w:pPr>
              <w:pStyle w:val="TableParagraph"/>
              <w:spacing w:line="208" w:lineRule="exact"/>
              <w:ind w:left="83" w:right="78"/>
              <w:jc w:val="center"/>
              <w:rPr>
                <w:sz w:val="20"/>
              </w:rPr>
            </w:pPr>
            <w:r>
              <w:rPr>
                <w:spacing w:val="-10"/>
                <w:sz w:val="20"/>
              </w:rPr>
              <w:t>1</w:t>
            </w:r>
          </w:p>
        </w:tc>
        <w:tc>
          <w:tcPr>
            <w:tcW w:w="674" w:type="dxa"/>
          </w:tcPr>
          <w:p>
            <w:pPr>
              <w:pStyle w:val="TableParagraph"/>
              <w:spacing w:line="208" w:lineRule="exact"/>
              <w:ind w:left="100" w:right="5"/>
              <w:jc w:val="center"/>
              <w:rPr>
                <w:sz w:val="20"/>
              </w:rPr>
            </w:pPr>
            <w:r>
              <w:rPr>
                <w:spacing w:val="-5"/>
                <w:sz w:val="20"/>
              </w:rPr>
              <w:t>0.5</w:t>
            </w:r>
          </w:p>
        </w:tc>
        <w:tc>
          <w:tcPr>
            <w:tcW w:w="760" w:type="dxa"/>
          </w:tcPr>
          <w:p>
            <w:pPr>
              <w:pStyle w:val="TableParagraph"/>
              <w:spacing w:line="208" w:lineRule="exact"/>
              <w:ind w:right="162"/>
              <w:jc w:val="right"/>
              <w:rPr>
                <w:sz w:val="20"/>
              </w:rPr>
            </w:pPr>
            <w:r>
              <w:rPr>
                <w:spacing w:val="-5"/>
                <w:sz w:val="20"/>
              </w:rPr>
              <w:t>235</w:t>
            </w:r>
          </w:p>
        </w:tc>
        <w:tc>
          <w:tcPr>
            <w:tcW w:w="737" w:type="dxa"/>
            <w:tcBorders>
              <w:right w:val="single" w:sz="4" w:space="0" w:color="000000"/>
            </w:tcBorders>
          </w:tcPr>
          <w:p>
            <w:pPr>
              <w:pStyle w:val="TableParagraph"/>
              <w:spacing w:line="208" w:lineRule="exact"/>
              <w:ind w:left="59" w:right="5"/>
              <w:jc w:val="center"/>
              <w:rPr>
                <w:sz w:val="20"/>
              </w:rPr>
            </w:pPr>
            <w:r>
              <w:rPr>
                <w:spacing w:val="-4"/>
                <w:sz w:val="20"/>
              </w:rPr>
              <w:t>50.8</w:t>
            </w:r>
          </w:p>
        </w:tc>
      </w:tr>
      <w:tr>
        <w:trPr>
          <w:trHeight w:val="235" w:hRule="atLeast"/>
        </w:trPr>
        <w:tc>
          <w:tcPr>
            <w:tcW w:w="4146" w:type="dxa"/>
            <w:tcBorders>
              <w:left w:val="single" w:sz="4" w:space="0" w:color="000000"/>
            </w:tcBorders>
          </w:tcPr>
          <w:p>
            <w:pPr>
              <w:pStyle w:val="TableParagraph"/>
              <w:tabs>
                <w:tab w:pos="1468" w:val="left" w:leader="none"/>
                <w:tab w:pos="2482" w:val="left" w:leader="none"/>
              </w:tabs>
              <w:spacing w:line="215" w:lineRule="exact"/>
              <w:ind w:right="103"/>
              <w:jc w:val="right"/>
              <w:rPr>
                <w:sz w:val="20"/>
              </w:rPr>
            </w:pPr>
            <w:r>
              <w:rPr>
                <w:spacing w:val="-2"/>
                <w:sz w:val="20"/>
              </w:rPr>
              <w:t>Universities</w:t>
            </w:r>
            <w:r>
              <w:rPr>
                <w:sz w:val="20"/>
              </w:rPr>
              <w:tab/>
            </w:r>
            <w:r>
              <w:rPr>
                <w:spacing w:val="-2"/>
                <w:sz w:val="20"/>
              </w:rPr>
              <w:t>Sports</w:t>
            </w:r>
            <w:r>
              <w:rPr>
                <w:sz w:val="20"/>
              </w:rPr>
              <w:tab/>
            </w:r>
            <w:r>
              <w:rPr>
                <w:spacing w:val="-2"/>
                <w:sz w:val="20"/>
              </w:rPr>
              <w:t>(FAUS),</w:t>
            </w:r>
          </w:p>
        </w:tc>
        <w:tc>
          <w:tcPr>
            <w:tcW w:w="1978" w:type="dxa"/>
          </w:tcPr>
          <w:p>
            <w:pPr>
              <w:pStyle w:val="TableParagraph"/>
              <w:spacing w:line="208" w:lineRule="exact" w:before="7"/>
              <w:ind w:left="111"/>
              <w:rPr>
                <w:sz w:val="20"/>
              </w:rPr>
            </w:pPr>
            <w:r>
              <w:rPr>
                <w:sz w:val="20"/>
              </w:rPr>
              <w:t>Service</w:t>
            </w:r>
            <w:r>
              <w:rPr>
                <w:spacing w:val="-9"/>
                <w:sz w:val="20"/>
              </w:rPr>
              <w:t> </w:t>
            </w:r>
            <w:r>
              <w:rPr>
                <w:spacing w:val="-2"/>
                <w:sz w:val="20"/>
              </w:rPr>
              <w:t>Staff</w:t>
            </w:r>
          </w:p>
        </w:tc>
        <w:tc>
          <w:tcPr>
            <w:tcW w:w="540" w:type="dxa"/>
          </w:tcPr>
          <w:p>
            <w:pPr>
              <w:pStyle w:val="TableParagraph"/>
              <w:spacing w:line="208" w:lineRule="exact" w:before="7"/>
              <w:ind w:left="5" w:right="4"/>
              <w:jc w:val="center"/>
              <w:rPr>
                <w:sz w:val="20"/>
              </w:rPr>
            </w:pPr>
            <w:r>
              <w:rPr>
                <w:spacing w:val="-5"/>
                <w:sz w:val="20"/>
              </w:rPr>
              <w:t>89</w:t>
            </w:r>
          </w:p>
        </w:tc>
        <w:tc>
          <w:tcPr>
            <w:tcW w:w="731" w:type="dxa"/>
          </w:tcPr>
          <w:p>
            <w:pPr>
              <w:pStyle w:val="TableParagraph"/>
              <w:spacing w:line="208" w:lineRule="exact" w:before="7"/>
              <w:ind w:left="69" w:right="67"/>
              <w:jc w:val="center"/>
              <w:rPr>
                <w:sz w:val="20"/>
              </w:rPr>
            </w:pPr>
            <w:r>
              <w:rPr>
                <w:spacing w:val="-4"/>
                <w:sz w:val="20"/>
              </w:rPr>
              <w:t>43.8</w:t>
            </w:r>
          </w:p>
        </w:tc>
        <w:tc>
          <w:tcPr>
            <w:tcW w:w="690" w:type="dxa"/>
          </w:tcPr>
          <w:p>
            <w:pPr>
              <w:pStyle w:val="TableParagraph"/>
              <w:spacing w:line="208" w:lineRule="exact" w:before="7"/>
              <w:ind w:left="22" w:right="6"/>
              <w:jc w:val="center"/>
              <w:rPr>
                <w:sz w:val="20"/>
              </w:rPr>
            </w:pPr>
            <w:r>
              <w:rPr>
                <w:spacing w:val="-5"/>
                <w:sz w:val="20"/>
              </w:rPr>
              <w:t>96</w:t>
            </w:r>
          </w:p>
        </w:tc>
        <w:tc>
          <w:tcPr>
            <w:tcW w:w="707" w:type="dxa"/>
          </w:tcPr>
          <w:p>
            <w:pPr>
              <w:pStyle w:val="TableParagraph"/>
              <w:spacing w:line="208" w:lineRule="exact" w:before="7"/>
              <w:ind w:left="74" w:right="10"/>
              <w:jc w:val="center"/>
              <w:rPr>
                <w:sz w:val="20"/>
              </w:rPr>
            </w:pPr>
            <w:r>
              <w:rPr>
                <w:spacing w:val="-4"/>
                <w:sz w:val="20"/>
              </w:rPr>
              <w:t>47.3</w:t>
            </w:r>
          </w:p>
        </w:tc>
        <w:tc>
          <w:tcPr>
            <w:tcW w:w="755" w:type="dxa"/>
          </w:tcPr>
          <w:p>
            <w:pPr>
              <w:pStyle w:val="TableParagraph"/>
              <w:spacing w:line="208" w:lineRule="exact" w:before="7"/>
              <w:ind w:right="245"/>
              <w:jc w:val="right"/>
              <w:rPr>
                <w:sz w:val="20"/>
              </w:rPr>
            </w:pPr>
            <w:r>
              <w:rPr>
                <w:spacing w:val="-5"/>
                <w:sz w:val="20"/>
              </w:rPr>
              <w:t>13</w:t>
            </w:r>
          </w:p>
        </w:tc>
        <w:tc>
          <w:tcPr>
            <w:tcW w:w="901" w:type="dxa"/>
          </w:tcPr>
          <w:p>
            <w:pPr>
              <w:pStyle w:val="TableParagraph"/>
              <w:spacing w:line="208" w:lineRule="exact" w:before="7"/>
              <w:ind w:left="27" w:right="5"/>
              <w:jc w:val="center"/>
              <w:rPr>
                <w:sz w:val="20"/>
              </w:rPr>
            </w:pPr>
            <w:r>
              <w:rPr>
                <w:spacing w:val="-5"/>
                <w:sz w:val="20"/>
              </w:rPr>
              <w:t>6.4</w:t>
            </w:r>
          </w:p>
        </w:tc>
        <w:tc>
          <w:tcPr>
            <w:tcW w:w="683" w:type="dxa"/>
          </w:tcPr>
          <w:p>
            <w:pPr>
              <w:pStyle w:val="TableParagraph"/>
              <w:spacing w:line="208" w:lineRule="exact" w:before="7"/>
              <w:ind w:left="77" w:right="2"/>
              <w:jc w:val="center"/>
              <w:rPr>
                <w:sz w:val="20"/>
              </w:rPr>
            </w:pPr>
            <w:r>
              <w:rPr>
                <w:spacing w:val="-10"/>
                <w:sz w:val="20"/>
              </w:rPr>
              <w:t>4</w:t>
            </w:r>
          </w:p>
        </w:tc>
        <w:tc>
          <w:tcPr>
            <w:tcW w:w="798" w:type="dxa"/>
          </w:tcPr>
          <w:p>
            <w:pPr>
              <w:pStyle w:val="TableParagraph"/>
              <w:spacing w:line="208" w:lineRule="exact" w:before="7"/>
              <w:ind w:left="34" w:right="5"/>
              <w:jc w:val="center"/>
              <w:rPr>
                <w:sz w:val="20"/>
              </w:rPr>
            </w:pPr>
            <w:r>
              <w:rPr>
                <w:spacing w:val="-5"/>
                <w:sz w:val="20"/>
              </w:rPr>
              <w:t>2.0</w:t>
            </w:r>
          </w:p>
        </w:tc>
        <w:tc>
          <w:tcPr>
            <w:tcW w:w="652" w:type="dxa"/>
          </w:tcPr>
          <w:p>
            <w:pPr>
              <w:pStyle w:val="TableParagraph"/>
              <w:spacing w:line="208" w:lineRule="exact" w:before="7"/>
              <w:ind w:left="83" w:right="78"/>
              <w:jc w:val="center"/>
              <w:rPr>
                <w:sz w:val="20"/>
              </w:rPr>
            </w:pPr>
            <w:r>
              <w:rPr>
                <w:spacing w:val="-10"/>
                <w:sz w:val="20"/>
              </w:rPr>
              <w:t>1</w:t>
            </w:r>
          </w:p>
        </w:tc>
        <w:tc>
          <w:tcPr>
            <w:tcW w:w="674" w:type="dxa"/>
          </w:tcPr>
          <w:p>
            <w:pPr>
              <w:pStyle w:val="TableParagraph"/>
              <w:spacing w:line="208" w:lineRule="exact" w:before="7"/>
              <w:ind w:left="100" w:right="7"/>
              <w:jc w:val="center"/>
              <w:rPr>
                <w:sz w:val="20"/>
              </w:rPr>
            </w:pPr>
            <w:r>
              <w:rPr>
                <w:spacing w:val="-10"/>
                <w:sz w:val="20"/>
              </w:rPr>
              <w:t>-</w:t>
            </w:r>
          </w:p>
        </w:tc>
        <w:tc>
          <w:tcPr>
            <w:tcW w:w="760" w:type="dxa"/>
          </w:tcPr>
          <w:p>
            <w:pPr>
              <w:pStyle w:val="TableParagraph"/>
              <w:spacing w:line="208" w:lineRule="exact" w:before="7"/>
              <w:ind w:right="162"/>
              <w:jc w:val="right"/>
              <w:rPr>
                <w:sz w:val="20"/>
              </w:rPr>
            </w:pPr>
            <w:r>
              <w:rPr>
                <w:spacing w:val="-5"/>
                <w:sz w:val="20"/>
              </w:rPr>
              <w:t>203</w:t>
            </w:r>
          </w:p>
        </w:tc>
        <w:tc>
          <w:tcPr>
            <w:tcW w:w="737" w:type="dxa"/>
            <w:tcBorders>
              <w:right w:val="single" w:sz="4" w:space="0" w:color="000000"/>
            </w:tcBorders>
          </w:tcPr>
          <w:p>
            <w:pPr>
              <w:pStyle w:val="TableParagraph"/>
              <w:spacing w:line="208" w:lineRule="exact" w:before="7"/>
              <w:ind w:left="59" w:right="5"/>
              <w:jc w:val="center"/>
              <w:rPr>
                <w:sz w:val="20"/>
              </w:rPr>
            </w:pPr>
            <w:r>
              <w:rPr>
                <w:spacing w:val="-4"/>
                <w:sz w:val="20"/>
              </w:rPr>
              <w:t>43.8</w:t>
            </w:r>
          </w:p>
        </w:tc>
      </w:tr>
      <w:tr>
        <w:trPr>
          <w:trHeight w:val="455" w:hRule="atLeast"/>
        </w:trPr>
        <w:tc>
          <w:tcPr>
            <w:tcW w:w="4146" w:type="dxa"/>
            <w:tcBorders>
              <w:left w:val="single" w:sz="4" w:space="0" w:color="000000"/>
            </w:tcBorders>
          </w:tcPr>
          <w:p>
            <w:pPr>
              <w:pStyle w:val="TableParagraph"/>
              <w:tabs>
                <w:tab w:pos="2097" w:val="left" w:leader="none"/>
                <w:tab w:pos="3014" w:val="left" w:leader="none"/>
              </w:tabs>
              <w:spacing w:line="223" w:lineRule="exact"/>
              <w:ind w:left="830"/>
              <w:rPr>
                <w:sz w:val="20"/>
              </w:rPr>
            </w:pPr>
            <w:r>
              <w:rPr>
                <w:spacing w:val="-2"/>
                <w:sz w:val="20"/>
              </w:rPr>
              <w:t>universities</w:t>
            </w:r>
            <w:r>
              <w:rPr>
                <w:sz w:val="20"/>
              </w:rPr>
              <w:tab/>
            </w:r>
            <w:r>
              <w:rPr>
                <w:spacing w:val="-4"/>
                <w:sz w:val="20"/>
              </w:rPr>
              <w:t>Games</w:t>
            </w:r>
            <w:r>
              <w:rPr>
                <w:sz w:val="20"/>
              </w:rPr>
              <w:tab/>
            </w:r>
            <w:r>
              <w:rPr>
                <w:spacing w:val="-2"/>
                <w:sz w:val="20"/>
              </w:rPr>
              <w:t>Association</w:t>
            </w:r>
          </w:p>
          <w:p>
            <w:pPr>
              <w:pStyle w:val="TableParagraph"/>
              <w:tabs>
                <w:tab w:pos="1780" w:val="left" w:leader="none"/>
                <w:tab w:pos="2342" w:val="left" w:leader="none"/>
                <w:tab w:pos="2942" w:val="left" w:leader="none"/>
                <w:tab w:pos="3623" w:val="left" w:leader="none"/>
              </w:tabs>
              <w:spacing w:line="213" w:lineRule="exact"/>
              <w:ind w:left="830"/>
              <w:rPr>
                <w:sz w:val="20"/>
              </w:rPr>
            </w:pPr>
            <w:r>
              <w:rPr>
                <w:spacing w:val="-2"/>
                <w:sz w:val="20"/>
              </w:rPr>
              <w:t>(NUGA)</w:t>
            </w:r>
            <w:r>
              <w:rPr>
                <w:sz w:val="20"/>
              </w:rPr>
              <w:tab/>
            </w:r>
            <w:r>
              <w:rPr>
                <w:spacing w:val="-4"/>
                <w:sz w:val="20"/>
              </w:rPr>
              <w:t>etc,</w:t>
            </w:r>
            <w:r>
              <w:rPr>
                <w:sz w:val="20"/>
              </w:rPr>
              <w:tab/>
            </w:r>
            <w:r>
              <w:rPr>
                <w:spacing w:val="-4"/>
                <w:sz w:val="20"/>
              </w:rPr>
              <w:t>give</w:t>
            </w:r>
            <w:r>
              <w:rPr>
                <w:sz w:val="20"/>
              </w:rPr>
              <w:tab/>
            </w:r>
            <w:r>
              <w:rPr>
                <w:spacing w:val="-4"/>
                <w:sz w:val="20"/>
              </w:rPr>
              <w:t>them</w:t>
            </w:r>
            <w:r>
              <w:rPr>
                <w:sz w:val="20"/>
              </w:rPr>
              <w:tab/>
            </w:r>
            <w:r>
              <w:rPr>
                <w:spacing w:val="-4"/>
                <w:sz w:val="20"/>
              </w:rPr>
              <w:t>wide</w:t>
            </w:r>
          </w:p>
        </w:tc>
        <w:tc>
          <w:tcPr>
            <w:tcW w:w="1978" w:type="dxa"/>
          </w:tcPr>
          <w:p>
            <w:pPr>
              <w:pStyle w:val="TableParagraph"/>
              <w:spacing w:before="2"/>
              <w:ind w:left="111"/>
              <w:rPr>
                <w:sz w:val="20"/>
              </w:rPr>
            </w:pPr>
            <w:r>
              <w:rPr>
                <w:sz w:val="20"/>
              </w:rPr>
              <w:t>Top</w:t>
            </w:r>
            <w:r>
              <w:rPr>
                <w:spacing w:val="-1"/>
                <w:sz w:val="20"/>
              </w:rPr>
              <w:t> </w:t>
            </w:r>
            <w:r>
              <w:rPr>
                <w:spacing w:val="-2"/>
                <w:sz w:val="20"/>
              </w:rPr>
              <w:t>Management</w:t>
            </w:r>
          </w:p>
        </w:tc>
        <w:tc>
          <w:tcPr>
            <w:tcW w:w="540" w:type="dxa"/>
          </w:tcPr>
          <w:p>
            <w:pPr>
              <w:pStyle w:val="TableParagraph"/>
              <w:spacing w:before="2"/>
              <w:ind w:left="5"/>
              <w:jc w:val="center"/>
              <w:rPr>
                <w:sz w:val="20"/>
              </w:rPr>
            </w:pPr>
            <w:r>
              <w:rPr>
                <w:spacing w:val="-10"/>
                <w:sz w:val="20"/>
              </w:rPr>
              <w:t>8</w:t>
            </w:r>
          </w:p>
        </w:tc>
        <w:tc>
          <w:tcPr>
            <w:tcW w:w="731" w:type="dxa"/>
          </w:tcPr>
          <w:p>
            <w:pPr>
              <w:pStyle w:val="TableParagraph"/>
              <w:spacing w:before="2"/>
              <w:ind w:left="69" w:right="67"/>
              <w:jc w:val="center"/>
              <w:rPr>
                <w:sz w:val="20"/>
              </w:rPr>
            </w:pPr>
            <w:r>
              <w:rPr>
                <w:spacing w:val="-4"/>
                <w:sz w:val="20"/>
              </w:rPr>
              <w:t>34.8</w:t>
            </w:r>
          </w:p>
        </w:tc>
        <w:tc>
          <w:tcPr>
            <w:tcW w:w="690" w:type="dxa"/>
          </w:tcPr>
          <w:p>
            <w:pPr>
              <w:pStyle w:val="TableParagraph"/>
              <w:spacing w:before="2"/>
              <w:ind w:left="22" w:right="6"/>
              <w:jc w:val="center"/>
              <w:rPr>
                <w:sz w:val="20"/>
              </w:rPr>
            </w:pPr>
            <w:r>
              <w:rPr>
                <w:spacing w:val="-5"/>
                <w:sz w:val="20"/>
              </w:rPr>
              <w:t>14</w:t>
            </w:r>
          </w:p>
        </w:tc>
        <w:tc>
          <w:tcPr>
            <w:tcW w:w="707" w:type="dxa"/>
          </w:tcPr>
          <w:p>
            <w:pPr>
              <w:pStyle w:val="TableParagraph"/>
              <w:spacing w:before="2"/>
              <w:ind w:left="74" w:right="10"/>
              <w:jc w:val="center"/>
              <w:rPr>
                <w:sz w:val="20"/>
              </w:rPr>
            </w:pPr>
            <w:r>
              <w:rPr>
                <w:spacing w:val="-4"/>
                <w:sz w:val="20"/>
              </w:rPr>
              <w:t>60.9</w:t>
            </w:r>
          </w:p>
        </w:tc>
        <w:tc>
          <w:tcPr>
            <w:tcW w:w="755" w:type="dxa"/>
          </w:tcPr>
          <w:p>
            <w:pPr>
              <w:pStyle w:val="TableParagraph"/>
              <w:spacing w:before="2"/>
              <w:ind w:right="324"/>
              <w:jc w:val="right"/>
              <w:rPr>
                <w:sz w:val="20"/>
              </w:rPr>
            </w:pPr>
            <w:r>
              <w:rPr>
                <w:spacing w:val="-10"/>
                <w:sz w:val="20"/>
              </w:rPr>
              <w:t>-</w:t>
            </w:r>
          </w:p>
        </w:tc>
        <w:tc>
          <w:tcPr>
            <w:tcW w:w="901" w:type="dxa"/>
          </w:tcPr>
          <w:p>
            <w:pPr>
              <w:pStyle w:val="TableParagraph"/>
              <w:spacing w:before="2"/>
              <w:ind w:left="27" w:right="6"/>
              <w:jc w:val="center"/>
              <w:rPr>
                <w:sz w:val="20"/>
              </w:rPr>
            </w:pPr>
            <w:r>
              <w:rPr>
                <w:spacing w:val="-10"/>
                <w:sz w:val="20"/>
              </w:rPr>
              <w:t>-</w:t>
            </w:r>
          </w:p>
        </w:tc>
        <w:tc>
          <w:tcPr>
            <w:tcW w:w="683" w:type="dxa"/>
          </w:tcPr>
          <w:p>
            <w:pPr>
              <w:pStyle w:val="TableParagraph"/>
              <w:spacing w:before="2"/>
              <w:ind w:left="77" w:right="2"/>
              <w:jc w:val="center"/>
              <w:rPr>
                <w:sz w:val="20"/>
              </w:rPr>
            </w:pPr>
            <w:r>
              <w:rPr>
                <w:spacing w:val="-10"/>
                <w:sz w:val="20"/>
              </w:rPr>
              <w:t>1</w:t>
            </w:r>
          </w:p>
        </w:tc>
        <w:tc>
          <w:tcPr>
            <w:tcW w:w="798" w:type="dxa"/>
          </w:tcPr>
          <w:p>
            <w:pPr>
              <w:pStyle w:val="TableParagraph"/>
              <w:spacing w:before="2"/>
              <w:ind w:left="34" w:right="5"/>
              <w:jc w:val="center"/>
              <w:rPr>
                <w:sz w:val="20"/>
              </w:rPr>
            </w:pPr>
            <w:r>
              <w:rPr>
                <w:spacing w:val="-5"/>
                <w:sz w:val="20"/>
              </w:rPr>
              <w:t>4.3</w:t>
            </w:r>
          </w:p>
        </w:tc>
        <w:tc>
          <w:tcPr>
            <w:tcW w:w="652" w:type="dxa"/>
          </w:tcPr>
          <w:p>
            <w:pPr>
              <w:pStyle w:val="TableParagraph"/>
              <w:spacing w:before="2"/>
              <w:ind w:left="83" w:right="84"/>
              <w:jc w:val="center"/>
              <w:rPr>
                <w:sz w:val="20"/>
              </w:rPr>
            </w:pPr>
            <w:r>
              <w:rPr>
                <w:spacing w:val="-10"/>
                <w:sz w:val="20"/>
              </w:rPr>
              <w:t>-</w:t>
            </w:r>
          </w:p>
        </w:tc>
        <w:tc>
          <w:tcPr>
            <w:tcW w:w="674" w:type="dxa"/>
          </w:tcPr>
          <w:p>
            <w:pPr>
              <w:pStyle w:val="TableParagraph"/>
              <w:spacing w:before="2"/>
              <w:ind w:left="100" w:right="7"/>
              <w:jc w:val="center"/>
              <w:rPr>
                <w:sz w:val="20"/>
              </w:rPr>
            </w:pPr>
            <w:r>
              <w:rPr>
                <w:spacing w:val="-10"/>
                <w:sz w:val="20"/>
              </w:rPr>
              <w:t>-</w:t>
            </w:r>
          </w:p>
        </w:tc>
        <w:tc>
          <w:tcPr>
            <w:tcW w:w="760" w:type="dxa"/>
          </w:tcPr>
          <w:p>
            <w:pPr>
              <w:pStyle w:val="TableParagraph"/>
              <w:spacing w:before="2"/>
              <w:ind w:right="215"/>
              <w:jc w:val="right"/>
              <w:rPr>
                <w:sz w:val="20"/>
              </w:rPr>
            </w:pPr>
            <w:r>
              <w:rPr>
                <w:spacing w:val="-5"/>
                <w:sz w:val="20"/>
              </w:rPr>
              <w:t>23</w:t>
            </w:r>
          </w:p>
        </w:tc>
        <w:tc>
          <w:tcPr>
            <w:tcW w:w="737" w:type="dxa"/>
            <w:tcBorders>
              <w:right w:val="single" w:sz="4" w:space="0" w:color="000000"/>
            </w:tcBorders>
          </w:tcPr>
          <w:p>
            <w:pPr>
              <w:pStyle w:val="TableParagraph"/>
              <w:spacing w:before="2"/>
              <w:ind w:left="58" w:right="9"/>
              <w:jc w:val="center"/>
              <w:rPr>
                <w:sz w:val="20"/>
              </w:rPr>
            </w:pPr>
            <w:r>
              <w:rPr>
                <w:spacing w:val="-5"/>
                <w:sz w:val="20"/>
              </w:rPr>
              <w:t>5.0</w:t>
            </w:r>
          </w:p>
        </w:tc>
      </w:tr>
      <w:tr>
        <w:trPr>
          <w:trHeight w:val="230" w:hRule="atLeast"/>
        </w:trPr>
        <w:tc>
          <w:tcPr>
            <w:tcW w:w="4146" w:type="dxa"/>
            <w:tcBorders>
              <w:left w:val="single" w:sz="4" w:space="0" w:color="000000"/>
            </w:tcBorders>
          </w:tcPr>
          <w:p>
            <w:pPr>
              <w:pStyle w:val="TableParagraph"/>
              <w:spacing w:line="210" w:lineRule="exact"/>
              <w:ind w:left="830"/>
              <w:rPr>
                <w:sz w:val="20"/>
              </w:rPr>
            </w:pPr>
            <w:r>
              <w:rPr>
                <w:spacing w:val="-2"/>
                <w:sz w:val="20"/>
              </w:rPr>
              <w:t>exposure.</w:t>
            </w:r>
          </w:p>
        </w:tc>
        <w:tc>
          <w:tcPr>
            <w:tcW w:w="1978" w:type="dxa"/>
          </w:tcPr>
          <w:p>
            <w:pPr>
              <w:pStyle w:val="TableParagraph"/>
              <w:rPr>
                <w:rFonts w:ascii="Times New Roman"/>
                <w:sz w:val="16"/>
              </w:rPr>
            </w:pPr>
          </w:p>
        </w:tc>
        <w:tc>
          <w:tcPr>
            <w:tcW w:w="540" w:type="dxa"/>
          </w:tcPr>
          <w:p>
            <w:pPr>
              <w:pStyle w:val="TableParagraph"/>
              <w:rPr>
                <w:rFonts w:ascii="Times New Roman"/>
                <w:sz w:val="16"/>
              </w:rPr>
            </w:pPr>
          </w:p>
        </w:tc>
        <w:tc>
          <w:tcPr>
            <w:tcW w:w="731" w:type="dxa"/>
          </w:tcPr>
          <w:p>
            <w:pPr>
              <w:pStyle w:val="TableParagraph"/>
              <w:rPr>
                <w:rFonts w:ascii="Times New Roman"/>
                <w:sz w:val="16"/>
              </w:rPr>
            </w:pPr>
          </w:p>
        </w:tc>
        <w:tc>
          <w:tcPr>
            <w:tcW w:w="690" w:type="dxa"/>
          </w:tcPr>
          <w:p>
            <w:pPr>
              <w:pStyle w:val="TableParagraph"/>
              <w:rPr>
                <w:rFonts w:ascii="Times New Roman"/>
                <w:sz w:val="16"/>
              </w:rPr>
            </w:pPr>
          </w:p>
        </w:tc>
        <w:tc>
          <w:tcPr>
            <w:tcW w:w="707" w:type="dxa"/>
          </w:tcPr>
          <w:p>
            <w:pPr>
              <w:pStyle w:val="TableParagraph"/>
              <w:rPr>
                <w:rFonts w:ascii="Times New Roman"/>
                <w:sz w:val="16"/>
              </w:rPr>
            </w:pPr>
          </w:p>
        </w:tc>
        <w:tc>
          <w:tcPr>
            <w:tcW w:w="755" w:type="dxa"/>
          </w:tcPr>
          <w:p>
            <w:pPr>
              <w:pStyle w:val="TableParagraph"/>
              <w:rPr>
                <w:rFonts w:ascii="Times New Roman"/>
                <w:sz w:val="16"/>
              </w:rPr>
            </w:pPr>
          </w:p>
        </w:tc>
        <w:tc>
          <w:tcPr>
            <w:tcW w:w="901" w:type="dxa"/>
          </w:tcPr>
          <w:p>
            <w:pPr>
              <w:pStyle w:val="TableParagraph"/>
              <w:rPr>
                <w:rFonts w:ascii="Times New Roman"/>
                <w:sz w:val="16"/>
              </w:rPr>
            </w:pPr>
          </w:p>
        </w:tc>
        <w:tc>
          <w:tcPr>
            <w:tcW w:w="683" w:type="dxa"/>
          </w:tcPr>
          <w:p>
            <w:pPr>
              <w:pStyle w:val="TableParagraph"/>
              <w:rPr>
                <w:rFonts w:ascii="Times New Roman"/>
                <w:sz w:val="16"/>
              </w:rPr>
            </w:pPr>
          </w:p>
        </w:tc>
        <w:tc>
          <w:tcPr>
            <w:tcW w:w="798" w:type="dxa"/>
          </w:tcPr>
          <w:p>
            <w:pPr>
              <w:pStyle w:val="TableParagraph"/>
              <w:rPr>
                <w:rFonts w:ascii="Times New Roman"/>
                <w:sz w:val="16"/>
              </w:rPr>
            </w:pPr>
          </w:p>
        </w:tc>
        <w:tc>
          <w:tcPr>
            <w:tcW w:w="652" w:type="dxa"/>
          </w:tcPr>
          <w:p>
            <w:pPr>
              <w:pStyle w:val="TableParagraph"/>
              <w:rPr>
                <w:rFonts w:ascii="Times New Roman"/>
                <w:sz w:val="16"/>
              </w:rPr>
            </w:pPr>
          </w:p>
        </w:tc>
        <w:tc>
          <w:tcPr>
            <w:tcW w:w="674" w:type="dxa"/>
          </w:tcPr>
          <w:p>
            <w:pPr>
              <w:pStyle w:val="TableParagraph"/>
              <w:rPr>
                <w:rFonts w:ascii="Times New Roman"/>
                <w:sz w:val="16"/>
              </w:rPr>
            </w:pPr>
          </w:p>
        </w:tc>
        <w:tc>
          <w:tcPr>
            <w:tcW w:w="760" w:type="dxa"/>
          </w:tcPr>
          <w:p>
            <w:pPr>
              <w:pStyle w:val="TableParagraph"/>
              <w:rPr>
                <w:rFonts w:ascii="Times New Roman"/>
                <w:sz w:val="16"/>
              </w:rPr>
            </w:pPr>
          </w:p>
        </w:tc>
        <w:tc>
          <w:tcPr>
            <w:tcW w:w="737" w:type="dxa"/>
            <w:tcBorders>
              <w:right w:val="single" w:sz="4" w:space="0" w:color="000000"/>
            </w:tcBorders>
          </w:tcPr>
          <w:p>
            <w:pPr>
              <w:pStyle w:val="TableParagraph"/>
              <w:rPr>
                <w:rFonts w:ascii="Times New Roman"/>
                <w:sz w:val="16"/>
              </w:rPr>
            </w:pPr>
          </w:p>
        </w:tc>
      </w:tr>
      <w:tr>
        <w:trPr>
          <w:trHeight w:val="230" w:hRule="atLeast"/>
        </w:trPr>
        <w:tc>
          <w:tcPr>
            <w:tcW w:w="4146" w:type="dxa"/>
            <w:tcBorders>
              <w:left w:val="single" w:sz="4" w:space="0" w:color="000000"/>
            </w:tcBorders>
          </w:tcPr>
          <w:p>
            <w:pPr>
              <w:pStyle w:val="TableParagraph"/>
              <w:tabs>
                <w:tab w:pos="609" w:val="left" w:leader="none"/>
              </w:tabs>
              <w:spacing w:line="210" w:lineRule="exact"/>
              <w:ind w:right="104"/>
              <w:jc w:val="right"/>
              <w:rPr>
                <w:sz w:val="20"/>
              </w:rPr>
            </w:pPr>
            <w:r>
              <w:rPr>
                <w:spacing w:val="-5"/>
                <w:sz w:val="20"/>
              </w:rPr>
              <w:t>52.</w:t>
            </w:r>
            <w:r>
              <w:rPr>
                <w:sz w:val="20"/>
              </w:rPr>
              <w:tab/>
              <w:t>Provision</w:t>
            </w:r>
            <w:r>
              <w:rPr>
                <w:spacing w:val="8"/>
                <w:sz w:val="20"/>
              </w:rPr>
              <w:t> </w:t>
            </w:r>
            <w:r>
              <w:rPr>
                <w:sz w:val="20"/>
              </w:rPr>
              <w:t>of</w:t>
            </w:r>
            <w:r>
              <w:rPr>
                <w:spacing w:val="17"/>
                <w:sz w:val="20"/>
              </w:rPr>
              <w:t> </w:t>
            </w:r>
            <w:r>
              <w:rPr>
                <w:sz w:val="20"/>
              </w:rPr>
              <w:t>sports</w:t>
            </w:r>
            <w:r>
              <w:rPr>
                <w:spacing w:val="6"/>
                <w:sz w:val="20"/>
              </w:rPr>
              <w:t> </w:t>
            </w:r>
            <w:r>
              <w:rPr>
                <w:sz w:val="20"/>
              </w:rPr>
              <w:t>and</w:t>
            </w:r>
            <w:r>
              <w:rPr>
                <w:spacing w:val="9"/>
                <w:sz w:val="20"/>
              </w:rPr>
              <w:t> </w:t>
            </w:r>
            <w:r>
              <w:rPr>
                <w:spacing w:val="-2"/>
                <w:sz w:val="20"/>
              </w:rPr>
              <w:t>recreational</w:t>
            </w:r>
          </w:p>
        </w:tc>
        <w:tc>
          <w:tcPr>
            <w:tcW w:w="1978" w:type="dxa"/>
          </w:tcPr>
          <w:p>
            <w:pPr>
              <w:pStyle w:val="TableParagraph"/>
              <w:spacing w:line="210" w:lineRule="exact"/>
              <w:ind w:left="111"/>
              <w:rPr>
                <w:sz w:val="20"/>
              </w:rPr>
            </w:pPr>
            <w:r>
              <w:rPr>
                <w:sz w:val="20"/>
              </w:rPr>
              <w:t>No.</w:t>
            </w:r>
            <w:r>
              <w:rPr>
                <w:spacing w:val="-5"/>
                <w:sz w:val="20"/>
              </w:rPr>
              <w:t> </w:t>
            </w:r>
            <w:r>
              <w:rPr>
                <w:sz w:val="20"/>
              </w:rPr>
              <w:t>of</w:t>
            </w:r>
            <w:r>
              <w:rPr>
                <w:spacing w:val="-2"/>
                <w:sz w:val="20"/>
              </w:rPr>
              <w:t> missing</w:t>
            </w:r>
          </w:p>
        </w:tc>
        <w:tc>
          <w:tcPr>
            <w:tcW w:w="540" w:type="dxa"/>
          </w:tcPr>
          <w:p>
            <w:pPr>
              <w:pStyle w:val="TableParagraph"/>
              <w:rPr>
                <w:rFonts w:ascii="Times New Roman"/>
                <w:sz w:val="16"/>
              </w:rPr>
            </w:pPr>
          </w:p>
        </w:tc>
        <w:tc>
          <w:tcPr>
            <w:tcW w:w="731" w:type="dxa"/>
          </w:tcPr>
          <w:p>
            <w:pPr>
              <w:pStyle w:val="TableParagraph"/>
              <w:rPr>
                <w:rFonts w:ascii="Times New Roman"/>
                <w:sz w:val="16"/>
              </w:rPr>
            </w:pPr>
          </w:p>
        </w:tc>
        <w:tc>
          <w:tcPr>
            <w:tcW w:w="690" w:type="dxa"/>
          </w:tcPr>
          <w:p>
            <w:pPr>
              <w:pStyle w:val="TableParagraph"/>
              <w:rPr>
                <w:rFonts w:ascii="Times New Roman"/>
                <w:sz w:val="16"/>
              </w:rPr>
            </w:pPr>
          </w:p>
        </w:tc>
        <w:tc>
          <w:tcPr>
            <w:tcW w:w="707" w:type="dxa"/>
          </w:tcPr>
          <w:p>
            <w:pPr>
              <w:pStyle w:val="TableParagraph"/>
              <w:rPr>
                <w:rFonts w:ascii="Times New Roman"/>
                <w:sz w:val="16"/>
              </w:rPr>
            </w:pPr>
          </w:p>
        </w:tc>
        <w:tc>
          <w:tcPr>
            <w:tcW w:w="755" w:type="dxa"/>
          </w:tcPr>
          <w:p>
            <w:pPr>
              <w:pStyle w:val="TableParagraph"/>
              <w:rPr>
                <w:rFonts w:ascii="Times New Roman"/>
                <w:sz w:val="16"/>
              </w:rPr>
            </w:pPr>
          </w:p>
        </w:tc>
        <w:tc>
          <w:tcPr>
            <w:tcW w:w="901" w:type="dxa"/>
          </w:tcPr>
          <w:p>
            <w:pPr>
              <w:pStyle w:val="TableParagraph"/>
              <w:rPr>
                <w:rFonts w:ascii="Times New Roman"/>
                <w:sz w:val="16"/>
              </w:rPr>
            </w:pPr>
          </w:p>
        </w:tc>
        <w:tc>
          <w:tcPr>
            <w:tcW w:w="683" w:type="dxa"/>
          </w:tcPr>
          <w:p>
            <w:pPr>
              <w:pStyle w:val="TableParagraph"/>
              <w:rPr>
                <w:rFonts w:ascii="Times New Roman"/>
                <w:sz w:val="16"/>
              </w:rPr>
            </w:pPr>
          </w:p>
        </w:tc>
        <w:tc>
          <w:tcPr>
            <w:tcW w:w="798" w:type="dxa"/>
          </w:tcPr>
          <w:p>
            <w:pPr>
              <w:pStyle w:val="TableParagraph"/>
              <w:rPr>
                <w:rFonts w:ascii="Times New Roman"/>
                <w:sz w:val="16"/>
              </w:rPr>
            </w:pPr>
          </w:p>
        </w:tc>
        <w:tc>
          <w:tcPr>
            <w:tcW w:w="652" w:type="dxa"/>
          </w:tcPr>
          <w:p>
            <w:pPr>
              <w:pStyle w:val="TableParagraph"/>
              <w:rPr>
                <w:rFonts w:ascii="Times New Roman"/>
                <w:sz w:val="16"/>
              </w:rPr>
            </w:pPr>
          </w:p>
        </w:tc>
        <w:tc>
          <w:tcPr>
            <w:tcW w:w="674" w:type="dxa"/>
          </w:tcPr>
          <w:p>
            <w:pPr>
              <w:pStyle w:val="TableParagraph"/>
              <w:rPr>
                <w:rFonts w:ascii="Times New Roman"/>
                <w:sz w:val="16"/>
              </w:rPr>
            </w:pPr>
          </w:p>
        </w:tc>
        <w:tc>
          <w:tcPr>
            <w:tcW w:w="760" w:type="dxa"/>
          </w:tcPr>
          <w:p>
            <w:pPr>
              <w:pStyle w:val="TableParagraph"/>
              <w:rPr>
                <w:rFonts w:ascii="Times New Roman"/>
                <w:sz w:val="16"/>
              </w:rPr>
            </w:pPr>
          </w:p>
        </w:tc>
        <w:tc>
          <w:tcPr>
            <w:tcW w:w="737" w:type="dxa"/>
            <w:tcBorders>
              <w:right w:val="single" w:sz="4" w:space="0" w:color="000000"/>
            </w:tcBorders>
          </w:tcPr>
          <w:p>
            <w:pPr>
              <w:pStyle w:val="TableParagraph"/>
              <w:rPr>
                <w:rFonts w:ascii="Times New Roman"/>
                <w:sz w:val="16"/>
              </w:rPr>
            </w:pPr>
          </w:p>
        </w:tc>
      </w:tr>
      <w:tr>
        <w:trPr>
          <w:trHeight w:val="230" w:hRule="atLeast"/>
        </w:trPr>
        <w:tc>
          <w:tcPr>
            <w:tcW w:w="4146" w:type="dxa"/>
            <w:tcBorders>
              <w:left w:val="single" w:sz="4" w:space="0" w:color="000000"/>
            </w:tcBorders>
          </w:tcPr>
          <w:p>
            <w:pPr>
              <w:pStyle w:val="TableParagraph"/>
              <w:spacing w:line="210" w:lineRule="exact"/>
              <w:ind w:right="106"/>
              <w:jc w:val="right"/>
              <w:rPr>
                <w:sz w:val="20"/>
              </w:rPr>
            </w:pPr>
            <w:r>
              <w:rPr>
                <w:sz w:val="20"/>
              </w:rPr>
              <w:t>facilities</w:t>
            </w:r>
            <w:r>
              <w:rPr>
                <w:spacing w:val="52"/>
                <w:w w:val="150"/>
                <w:sz w:val="20"/>
              </w:rPr>
              <w:t> </w:t>
            </w:r>
            <w:r>
              <w:rPr>
                <w:sz w:val="20"/>
              </w:rPr>
              <w:t>on</w:t>
            </w:r>
            <w:r>
              <w:rPr>
                <w:spacing w:val="55"/>
                <w:w w:val="150"/>
                <w:sz w:val="20"/>
              </w:rPr>
              <w:t> </w:t>
            </w:r>
            <w:r>
              <w:rPr>
                <w:sz w:val="20"/>
              </w:rPr>
              <w:t>the</w:t>
            </w:r>
            <w:r>
              <w:rPr>
                <w:spacing w:val="56"/>
                <w:w w:val="150"/>
                <w:sz w:val="20"/>
              </w:rPr>
              <w:t> </w:t>
            </w:r>
            <w:r>
              <w:rPr>
                <w:sz w:val="20"/>
              </w:rPr>
              <w:t>campus</w:t>
            </w:r>
            <w:r>
              <w:rPr>
                <w:spacing w:val="52"/>
                <w:w w:val="150"/>
                <w:sz w:val="20"/>
              </w:rPr>
              <w:t> </w:t>
            </w:r>
            <w:r>
              <w:rPr>
                <w:spacing w:val="-2"/>
                <w:sz w:val="20"/>
              </w:rPr>
              <w:t>reduces</w:t>
            </w:r>
          </w:p>
        </w:tc>
        <w:tc>
          <w:tcPr>
            <w:tcW w:w="1978" w:type="dxa"/>
          </w:tcPr>
          <w:p>
            <w:pPr>
              <w:pStyle w:val="TableParagraph"/>
              <w:spacing w:line="210" w:lineRule="exact"/>
              <w:ind w:left="111"/>
              <w:rPr>
                <w:sz w:val="20"/>
              </w:rPr>
            </w:pPr>
            <w:r>
              <w:rPr>
                <w:spacing w:val="-2"/>
                <w:sz w:val="20"/>
              </w:rPr>
              <w:t>observations</w:t>
            </w:r>
          </w:p>
        </w:tc>
        <w:tc>
          <w:tcPr>
            <w:tcW w:w="540" w:type="dxa"/>
          </w:tcPr>
          <w:p>
            <w:pPr>
              <w:pStyle w:val="TableParagraph"/>
              <w:spacing w:line="210" w:lineRule="exact"/>
              <w:ind w:left="5" w:right="5"/>
              <w:jc w:val="center"/>
              <w:rPr>
                <w:sz w:val="20"/>
              </w:rPr>
            </w:pPr>
            <w:r>
              <w:rPr>
                <w:spacing w:val="-10"/>
                <w:sz w:val="20"/>
              </w:rPr>
              <w:t>-</w:t>
            </w:r>
          </w:p>
        </w:tc>
        <w:tc>
          <w:tcPr>
            <w:tcW w:w="731" w:type="dxa"/>
          </w:tcPr>
          <w:p>
            <w:pPr>
              <w:pStyle w:val="TableParagraph"/>
              <w:spacing w:line="210" w:lineRule="exact"/>
              <w:ind w:left="69" w:right="71"/>
              <w:jc w:val="center"/>
              <w:rPr>
                <w:sz w:val="20"/>
              </w:rPr>
            </w:pPr>
            <w:r>
              <w:rPr>
                <w:spacing w:val="-10"/>
                <w:sz w:val="20"/>
              </w:rPr>
              <w:t>-</w:t>
            </w:r>
          </w:p>
        </w:tc>
        <w:tc>
          <w:tcPr>
            <w:tcW w:w="690" w:type="dxa"/>
          </w:tcPr>
          <w:p>
            <w:pPr>
              <w:pStyle w:val="TableParagraph"/>
              <w:spacing w:line="210" w:lineRule="exact"/>
              <w:ind w:left="22" w:right="1"/>
              <w:jc w:val="center"/>
              <w:rPr>
                <w:sz w:val="20"/>
              </w:rPr>
            </w:pPr>
            <w:r>
              <w:rPr>
                <w:spacing w:val="-10"/>
                <w:sz w:val="20"/>
              </w:rPr>
              <w:t>1</w:t>
            </w:r>
          </w:p>
        </w:tc>
        <w:tc>
          <w:tcPr>
            <w:tcW w:w="707" w:type="dxa"/>
          </w:tcPr>
          <w:p>
            <w:pPr>
              <w:pStyle w:val="TableParagraph"/>
              <w:spacing w:line="210" w:lineRule="exact"/>
              <w:ind w:left="74" w:right="10"/>
              <w:jc w:val="center"/>
              <w:rPr>
                <w:sz w:val="20"/>
              </w:rPr>
            </w:pPr>
            <w:r>
              <w:rPr>
                <w:spacing w:val="-4"/>
                <w:sz w:val="20"/>
              </w:rPr>
              <w:t>50.0</w:t>
            </w:r>
          </w:p>
        </w:tc>
        <w:tc>
          <w:tcPr>
            <w:tcW w:w="755" w:type="dxa"/>
          </w:tcPr>
          <w:p>
            <w:pPr>
              <w:pStyle w:val="TableParagraph"/>
              <w:spacing w:line="210" w:lineRule="exact"/>
              <w:ind w:right="298"/>
              <w:jc w:val="right"/>
              <w:rPr>
                <w:sz w:val="20"/>
              </w:rPr>
            </w:pPr>
            <w:r>
              <w:rPr>
                <w:spacing w:val="-10"/>
                <w:sz w:val="20"/>
              </w:rPr>
              <w:t>1</w:t>
            </w:r>
          </w:p>
        </w:tc>
        <w:tc>
          <w:tcPr>
            <w:tcW w:w="901" w:type="dxa"/>
          </w:tcPr>
          <w:p>
            <w:pPr>
              <w:pStyle w:val="TableParagraph"/>
              <w:spacing w:line="210" w:lineRule="exact"/>
              <w:ind w:left="27"/>
              <w:jc w:val="center"/>
              <w:rPr>
                <w:sz w:val="20"/>
              </w:rPr>
            </w:pPr>
            <w:r>
              <w:rPr>
                <w:spacing w:val="-4"/>
                <w:sz w:val="20"/>
              </w:rPr>
              <w:t>50.0</w:t>
            </w:r>
          </w:p>
        </w:tc>
        <w:tc>
          <w:tcPr>
            <w:tcW w:w="683" w:type="dxa"/>
          </w:tcPr>
          <w:p>
            <w:pPr>
              <w:pStyle w:val="TableParagraph"/>
              <w:spacing w:line="210" w:lineRule="exact"/>
              <w:ind w:left="77" w:right="8"/>
              <w:jc w:val="center"/>
              <w:rPr>
                <w:sz w:val="20"/>
              </w:rPr>
            </w:pPr>
            <w:r>
              <w:rPr>
                <w:spacing w:val="-10"/>
                <w:sz w:val="20"/>
              </w:rPr>
              <w:t>-</w:t>
            </w:r>
          </w:p>
        </w:tc>
        <w:tc>
          <w:tcPr>
            <w:tcW w:w="798" w:type="dxa"/>
          </w:tcPr>
          <w:p>
            <w:pPr>
              <w:pStyle w:val="TableParagraph"/>
              <w:spacing w:line="210" w:lineRule="exact"/>
              <w:ind w:left="34" w:right="6"/>
              <w:jc w:val="center"/>
              <w:rPr>
                <w:sz w:val="20"/>
              </w:rPr>
            </w:pPr>
            <w:r>
              <w:rPr>
                <w:spacing w:val="-10"/>
                <w:sz w:val="20"/>
              </w:rPr>
              <w:t>-</w:t>
            </w:r>
          </w:p>
        </w:tc>
        <w:tc>
          <w:tcPr>
            <w:tcW w:w="652" w:type="dxa"/>
          </w:tcPr>
          <w:p>
            <w:pPr>
              <w:pStyle w:val="TableParagraph"/>
              <w:spacing w:line="210" w:lineRule="exact"/>
              <w:ind w:left="83" w:right="84"/>
              <w:jc w:val="center"/>
              <w:rPr>
                <w:sz w:val="20"/>
              </w:rPr>
            </w:pPr>
            <w:r>
              <w:rPr>
                <w:spacing w:val="-10"/>
                <w:sz w:val="20"/>
              </w:rPr>
              <w:t>-</w:t>
            </w:r>
          </w:p>
        </w:tc>
        <w:tc>
          <w:tcPr>
            <w:tcW w:w="674" w:type="dxa"/>
          </w:tcPr>
          <w:p>
            <w:pPr>
              <w:pStyle w:val="TableParagraph"/>
              <w:spacing w:line="210" w:lineRule="exact"/>
              <w:ind w:left="100" w:right="7"/>
              <w:jc w:val="center"/>
              <w:rPr>
                <w:sz w:val="20"/>
              </w:rPr>
            </w:pPr>
            <w:r>
              <w:rPr>
                <w:spacing w:val="-10"/>
                <w:sz w:val="20"/>
              </w:rPr>
              <w:t>-</w:t>
            </w:r>
          </w:p>
        </w:tc>
        <w:tc>
          <w:tcPr>
            <w:tcW w:w="760" w:type="dxa"/>
          </w:tcPr>
          <w:p>
            <w:pPr>
              <w:pStyle w:val="TableParagraph"/>
              <w:spacing w:line="210" w:lineRule="exact"/>
              <w:ind w:left="107" w:right="1"/>
              <w:jc w:val="center"/>
              <w:rPr>
                <w:sz w:val="20"/>
              </w:rPr>
            </w:pPr>
            <w:r>
              <w:rPr>
                <w:spacing w:val="-10"/>
                <w:sz w:val="20"/>
              </w:rPr>
              <w:t>2</w:t>
            </w:r>
          </w:p>
        </w:tc>
        <w:tc>
          <w:tcPr>
            <w:tcW w:w="737" w:type="dxa"/>
            <w:tcBorders>
              <w:right w:val="single" w:sz="4" w:space="0" w:color="000000"/>
            </w:tcBorders>
          </w:tcPr>
          <w:p>
            <w:pPr>
              <w:pStyle w:val="TableParagraph"/>
              <w:spacing w:line="210" w:lineRule="exact"/>
              <w:ind w:left="58" w:right="9"/>
              <w:jc w:val="center"/>
              <w:rPr>
                <w:sz w:val="20"/>
              </w:rPr>
            </w:pPr>
            <w:r>
              <w:rPr>
                <w:spacing w:val="-5"/>
                <w:sz w:val="20"/>
              </w:rPr>
              <w:t>0.4</w:t>
            </w:r>
          </w:p>
        </w:tc>
      </w:tr>
      <w:tr>
        <w:trPr>
          <w:trHeight w:val="244" w:hRule="atLeast"/>
        </w:trPr>
        <w:tc>
          <w:tcPr>
            <w:tcW w:w="4146" w:type="dxa"/>
            <w:tcBorders>
              <w:left w:val="single" w:sz="4" w:space="0" w:color="000000"/>
            </w:tcBorders>
          </w:tcPr>
          <w:p>
            <w:pPr>
              <w:pStyle w:val="TableParagraph"/>
              <w:spacing w:line="225" w:lineRule="exact"/>
              <w:ind w:left="830"/>
              <w:rPr>
                <w:sz w:val="20"/>
              </w:rPr>
            </w:pPr>
            <w:r>
              <w:rPr>
                <w:sz w:val="20"/>
              </w:rPr>
              <w:t>conflict</w:t>
            </w:r>
            <w:r>
              <w:rPr>
                <w:spacing w:val="-9"/>
                <w:sz w:val="20"/>
              </w:rPr>
              <w:t> </w:t>
            </w:r>
            <w:r>
              <w:rPr>
                <w:sz w:val="20"/>
              </w:rPr>
              <w:t>and</w:t>
            </w:r>
            <w:r>
              <w:rPr>
                <w:spacing w:val="-6"/>
                <w:sz w:val="20"/>
              </w:rPr>
              <w:t> </w:t>
            </w:r>
            <w:r>
              <w:rPr>
                <w:sz w:val="20"/>
              </w:rPr>
              <w:t>student</w:t>
            </w:r>
            <w:r>
              <w:rPr>
                <w:spacing w:val="-3"/>
                <w:sz w:val="20"/>
              </w:rPr>
              <w:t> </w:t>
            </w:r>
            <w:r>
              <w:rPr>
                <w:spacing w:val="-2"/>
                <w:sz w:val="20"/>
              </w:rPr>
              <w:t>crisis</w:t>
            </w:r>
          </w:p>
        </w:tc>
        <w:tc>
          <w:tcPr>
            <w:tcW w:w="1978" w:type="dxa"/>
          </w:tcPr>
          <w:p>
            <w:pPr>
              <w:pStyle w:val="TableParagraph"/>
              <w:spacing w:line="218" w:lineRule="exact" w:before="7"/>
              <w:ind w:left="111"/>
              <w:rPr>
                <w:sz w:val="20"/>
              </w:rPr>
            </w:pPr>
            <w:r>
              <w:rPr>
                <w:spacing w:val="-2"/>
                <w:sz w:val="20"/>
              </w:rPr>
              <w:t>Students</w:t>
            </w:r>
          </w:p>
        </w:tc>
        <w:tc>
          <w:tcPr>
            <w:tcW w:w="540" w:type="dxa"/>
          </w:tcPr>
          <w:p>
            <w:pPr>
              <w:pStyle w:val="TableParagraph"/>
              <w:spacing w:line="218" w:lineRule="exact" w:before="7"/>
              <w:ind w:left="5" w:right="4"/>
              <w:jc w:val="center"/>
              <w:rPr>
                <w:sz w:val="20"/>
              </w:rPr>
            </w:pPr>
            <w:r>
              <w:rPr>
                <w:spacing w:val="-5"/>
                <w:sz w:val="20"/>
              </w:rPr>
              <w:t>65</w:t>
            </w:r>
          </w:p>
        </w:tc>
        <w:tc>
          <w:tcPr>
            <w:tcW w:w="731" w:type="dxa"/>
          </w:tcPr>
          <w:p>
            <w:pPr>
              <w:pStyle w:val="TableParagraph"/>
              <w:spacing w:line="218" w:lineRule="exact" w:before="7"/>
              <w:ind w:left="69" w:right="67"/>
              <w:jc w:val="center"/>
              <w:rPr>
                <w:sz w:val="20"/>
              </w:rPr>
            </w:pPr>
            <w:r>
              <w:rPr>
                <w:spacing w:val="-4"/>
                <w:sz w:val="20"/>
              </w:rPr>
              <w:t>27.7</w:t>
            </w:r>
          </w:p>
        </w:tc>
        <w:tc>
          <w:tcPr>
            <w:tcW w:w="690" w:type="dxa"/>
          </w:tcPr>
          <w:p>
            <w:pPr>
              <w:pStyle w:val="TableParagraph"/>
              <w:spacing w:line="218" w:lineRule="exact" w:before="7"/>
              <w:ind w:left="22" w:right="11"/>
              <w:jc w:val="center"/>
              <w:rPr>
                <w:sz w:val="20"/>
              </w:rPr>
            </w:pPr>
            <w:r>
              <w:rPr>
                <w:spacing w:val="-5"/>
                <w:sz w:val="20"/>
              </w:rPr>
              <w:t>110</w:t>
            </w:r>
          </w:p>
        </w:tc>
        <w:tc>
          <w:tcPr>
            <w:tcW w:w="707" w:type="dxa"/>
          </w:tcPr>
          <w:p>
            <w:pPr>
              <w:pStyle w:val="TableParagraph"/>
              <w:spacing w:line="218" w:lineRule="exact" w:before="7"/>
              <w:ind w:left="74" w:right="10"/>
              <w:jc w:val="center"/>
              <w:rPr>
                <w:sz w:val="20"/>
              </w:rPr>
            </w:pPr>
            <w:r>
              <w:rPr>
                <w:spacing w:val="-4"/>
                <w:sz w:val="20"/>
              </w:rPr>
              <w:t>46.8</w:t>
            </w:r>
          </w:p>
        </w:tc>
        <w:tc>
          <w:tcPr>
            <w:tcW w:w="755" w:type="dxa"/>
          </w:tcPr>
          <w:p>
            <w:pPr>
              <w:pStyle w:val="TableParagraph"/>
              <w:spacing w:line="218" w:lineRule="exact" w:before="7"/>
              <w:ind w:right="245"/>
              <w:jc w:val="right"/>
              <w:rPr>
                <w:sz w:val="20"/>
              </w:rPr>
            </w:pPr>
            <w:r>
              <w:rPr>
                <w:spacing w:val="-5"/>
                <w:sz w:val="20"/>
              </w:rPr>
              <w:t>26</w:t>
            </w:r>
          </w:p>
        </w:tc>
        <w:tc>
          <w:tcPr>
            <w:tcW w:w="901" w:type="dxa"/>
          </w:tcPr>
          <w:p>
            <w:pPr>
              <w:pStyle w:val="TableParagraph"/>
              <w:spacing w:line="218" w:lineRule="exact" w:before="7"/>
              <w:ind w:left="27"/>
              <w:jc w:val="center"/>
              <w:rPr>
                <w:sz w:val="20"/>
              </w:rPr>
            </w:pPr>
            <w:r>
              <w:rPr>
                <w:spacing w:val="-4"/>
                <w:sz w:val="20"/>
              </w:rPr>
              <w:t>11.1</w:t>
            </w:r>
          </w:p>
        </w:tc>
        <w:tc>
          <w:tcPr>
            <w:tcW w:w="683" w:type="dxa"/>
          </w:tcPr>
          <w:p>
            <w:pPr>
              <w:pStyle w:val="TableParagraph"/>
              <w:spacing w:line="218" w:lineRule="exact" w:before="7"/>
              <w:ind w:left="77" w:right="6"/>
              <w:jc w:val="center"/>
              <w:rPr>
                <w:sz w:val="20"/>
              </w:rPr>
            </w:pPr>
            <w:r>
              <w:rPr>
                <w:spacing w:val="-5"/>
                <w:sz w:val="20"/>
              </w:rPr>
              <w:t>30</w:t>
            </w:r>
          </w:p>
        </w:tc>
        <w:tc>
          <w:tcPr>
            <w:tcW w:w="798" w:type="dxa"/>
          </w:tcPr>
          <w:p>
            <w:pPr>
              <w:pStyle w:val="TableParagraph"/>
              <w:spacing w:line="218" w:lineRule="exact" w:before="7"/>
              <w:ind w:left="34"/>
              <w:jc w:val="center"/>
              <w:rPr>
                <w:sz w:val="20"/>
              </w:rPr>
            </w:pPr>
            <w:r>
              <w:rPr>
                <w:spacing w:val="-4"/>
                <w:sz w:val="20"/>
              </w:rPr>
              <w:t>12.8</w:t>
            </w:r>
          </w:p>
        </w:tc>
        <w:tc>
          <w:tcPr>
            <w:tcW w:w="652" w:type="dxa"/>
          </w:tcPr>
          <w:p>
            <w:pPr>
              <w:pStyle w:val="TableParagraph"/>
              <w:spacing w:line="218" w:lineRule="exact" w:before="7"/>
              <w:ind w:left="83" w:right="78"/>
              <w:jc w:val="center"/>
              <w:rPr>
                <w:sz w:val="20"/>
              </w:rPr>
            </w:pPr>
            <w:r>
              <w:rPr>
                <w:spacing w:val="-10"/>
                <w:sz w:val="20"/>
              </w:rPr>
              <w:t>4</w:t>
            </w:r>
          </w:p>
        </w:tc>
        <w:tc>
          <w:tcPr>
            <w:tcW w:w="674" w:type="dxa"/>
          </w:tcPr>
          <w:p>
            <w:pPr>
              <w:pStyle w:val="TableParagraph"/>
              <w:spacing w:line="218" w:lineRule="exact" w:before="7"/>
              <w:ind w:left="100" w:right="5"/>
              <w:jc w:val="center"/>
              <w:rPr>
                <w:sz w:val="20"/>
              </w:rPr>
            </w:pPr>
            <w:r>
              <w:rPr>
                <w:spacing w:val="-5"/>
                <w:sz w:val="20"/>
              </w:rPr>
              <w:t>1.7</w:t>
            </w:r>
          </w:p>
        </w:tc>
        <w:tc>
          <w:tcPr>
            <w:tcW w:w="760" w:type="dxa"/>
          </w:tcPr>
          <w:p>
            <w:pPr>
              <w:pStyle w:val="TableParagraph"/>
              <w:spacing w:line="218" w:lineRule="exact" w:before="7"/>
              <w:ind w:right="162"/>
              <w:jc w:val="right"/>
              <w:rPr>
                <w:sz w:val="20"/>
              </w:rPr>
            </w:pPr>
            <w:r>
              <w:rPr>
                <w:spacing w:val="-5"/>
                <w:sz w:val="20"/>
              </w:rPr>
              <w:t>235</w:t>
            </w:r>
          </w:p>
        </w:tc>
        <w:tc>
          <w:tcPr>
            <w:tcW w:w="737" w:type="dxa"/>
            <w:tcBorders>
              <w:right w:val="single" w:sz="4" w:space="0" w:color="000000"/>
            </w:tcBorders>
          </w:tcPr>
          <w:p>
            <w:pPr>
              <w:pStyle w:val="TableParagraph"/>
              <w:spacing w:line="218" w:lineRule="exact" w:before="7"/>
              <w:ind w:left="59" w:right="5"/>
              <w:jc w:val="center"/>
              <w:rPr>
                <w:sz w:val="20"/>
              </w:rPr>
            </w:pPr>
            <w:r>
              <w:rPr>
                <w:spacing w:val="-4"/>
                <w:sz w:val="20"/>
              </w:rPr>
              <w:t>50.8</w:t>
            </w:r>
          </w:p>
        </w:tc>
      </w:tr>
      <w:tr>
        <w:trPr>
          <w:trHeight w:val="240" w:hRule="atLeast"/>
        </w:trPr>
        <w:tc>
          <w:tcPr>
            <w:tcW w:w="4146" w:type="dxa"/>
            <w:tcBorders>
              <w:left w:val="single" w:sz="4" w:space="0" w:color="000000"/>
            </w:tcBorders>
          </w:tcPr>
          <w:p>
            <w:pPr>
              <w:pStyle w:val="TableParagraph"/>
              <w:rPr>
                <w:rFonts w:ascii="Times New Roman"/>
                <w:sz w:val="16"/>
              </w:rPr>
            </w:pPr>
          </w:p>
        </w:tc>
        <w:tc>
          <w:tcPr>
            <w:tcW w:w="1978" w:type="dxa"/>
          </w:tcPr>
          <w:p>
            <w:pPr>
              <w:pStyle w:val="TableParagraph"/>
              <w:spacing w:line="218" w:lineRule="exact" w:before="2"/>
              <w:ind w:left="111"/>
              <w:rPr>
                <w:sz w:val="20"/>
              </w:rPr>
            </w:pPr>
            <w:r>
              <w:rPr>
                <w:sz w:val="20"/>
              </w:rPr>
              <w:t>Service</w:t>
            </w:r>
            <w:r>
              <w:rPr>
                <w:spacing w:val="-9"/>
                <w:sz w:val="20"/>
              </w:rPr>
              <w:t> </w:t>
            </w:r>
            <w:r>
              <w:rPr>
                <w:spacing w:val="-2"/>
                <w:sz w:val="20"/>
              </w:rPr>
              <w:t>Staff</w:t>
            </w:r>
          </w:p>
        </w:tc>
        <w:tc>
          <w:tcPr>
            <w:tcW w:w="540" w:type="dxa"/>
          </w:tcPr>
          <w:p>
            <w:pPr>
              <w:pStyle w:val="TableParagraph"/>
              <w:spacing w:line="218" w:lineRule="exact" w:before="2"/>
              <w:ind w:left="5" w:right="4"/>
              <w:jc w:val="center"/>
              <w:rPr>
                <w:sz w:val="20"/>
              </w:rPr>
            </w:pPr>
            <w:r>
              <w:rPr>
                <w:spacing w:val="-5"/>
                <w:sz w:val="20"/>
              </w:rPr>
              <w:t>59</w:t>
            </w:r>
          </w:p>
        </w:tc>
        <w:tc>
          <w:tcPr>
            <w:tcW w:w="731" w:type="dxa"/>
          </w:tcPr>
          <w:p>
            <w:pPr>
              <w:pStyle w:val="TableParagraph"/>
              <w:spacing w:line="218" w:lineRule="exact" w:before="2"/>
              <w:ind w:left="69" w:right="67"/>
              <w:jc w:val="center"/>
              <w:rPr>
                <w:sz w:val="20"/>
              </w:rPr>
            </w:pPr>
            <w:r>
              <w:rPr>
                <w:spacing w:val="-4"/>
                <w:sz w:val="20"/>
              </w:rPr>
              <w:t>29.1</w:t>
            </w:r>
          </w:p>
        </w:tc>
        <w:tc>
          <w:tcPr>
            <w:tcW w:w="690" w:type="dxa"/>
          </w:tcPr>
          <w:p>
            <w:pPr>
              <w:pStyle w:val="TableParagraph"/>
              <w:spacing w:line="218" w:lineRule="exact" w:before="2"/>
              <w:ind w:left="22" w:right="6"/>
              <w:jc w:val="center"/>
              <w:rPr>
                <w:sz w:val="20"/>
              </w:rPr>
            </w:pPr>
            <w:r>
              <w:rPr>
                <w:spacing w:val="-5"/>
                <w:sz w:val="20"/>
              </w:rPr>
              <w:t>91</w:t>
            </w:r>
          </w:p>
        </w:tc>
        <w:tc>
          <w:tcPr>
            <w:tcW w:w="707" w:type="dxa"/>
          </w:tcPr>
          <w:p>
            <w:pPr>
              <w:pStyle w:val="TableParagraph"/>
              <w:spacing w:line="218" w:lineRule="exact" w:before="2"/>
              <w:ind w:left="74" w:right="10"/>
              <w:jc w:val="center"/>
              <w:rPr>
                <w:sz w:val="20"/>
              </w:rPr>
            </w:pPr>
            <w:r>
              <w:rPr>
                <w:spacing w:val="-4"/>
                <w:sz w:val="20"/>
              </w:rPr>
              <w:t>44.8</w:t>
            </w:r>
          </w:p>
        </w:tc>
        <w:tc>
          <w:tcPr>
            <w:tcW w:w="755" w:type="dxa"/>
          </w:tcPr>
          <w:p>
            <w:pPr>
              <w:pStyle w:val="TableParagraph"/>
              <w:spacing w:line="218" w:lineRule="exact" w:before="2"/>
              <w:ind w:right="245"/>
              <w:jc w:val="right"/>
              <w:rPr>
                <w:sz w:val="20"/>
              </w:rPr>
            </w:pPr>
            <w:r>
              <w:rPr>
                <w:spacing w:val="-5"/>
                <w:sz w:val="20"/>
              </w:rPr>
              <w:t>29</w:t>
            </w:r>
          </w:p>
        </w:tc>
        <w:tc>
          <w:tcPr>
            <w:tcW w:w="901" w:type="dxa"/>
          </w:tcPr>
          <w:p>
            <w:pPr>
              <w:pStyle w:val="TableParagraph"/>
              <w:spacing w:line="218" w:lineRule="exact" w:before="2"/>
              <w:ind w:left="27"/>
              <w:jc w:val="center"/>
              <w:rPr>
                <w:sz w:val="20"/>
              </w:rPr>
            </w:pPr>
            <w:r>
              <w:rPr>
                <w:spacing w:val="-4"/>
                <w:sz w:val="20"/>
              </w:rPr>
              <w:t>14.3</w:t>
            </w:r>
          </w:p>
        </w:tc>
        <w:tc>
          <w:tcPr>
            <w:tcW w:w="683" w:type="dxa"/>
          </w:tcPr>
          <w:p>
            <w:pPr>
              <w:pStyle w:val="TableParagraph"/>
              <w:spacing w:line="218" w:lineRule="exact" w:before="2"/>
              <w:ind w:left="77" w:right="6"/>
              <w:jc w:val="center"/>
              <w:rPr>
                <w:sz w:val="20"/>
              </w:rPr>
            </w:pPr>
            <w:r>
              <w:rPr>
                <w:spacing w:val="-5"/>
                <w:sz w:val="20"/>
              </w:rPr>
              <w:t>20</w:t>
            </w:r>
          </w:p>
        </w:tc>
        <w:tc>
          <w:tcPr>
            <w:tcW w:w="798" w:type="dxa"/>
          </w:tcPr>
          <w:p>
            <w:pPr>
              <w:pStyle w:val="TableParagraph"/>
              <w:spacing w:line="218" w:lineRule="exact" w:before="2"/>
              <w:ind w:left="34" w:right="5"/>
              <w:jc w:val="center"/>
              <w:rPr>
                <w:sz w:val="20"/>
              </w:rPr>
            </w:pPr>
            <w:r>
              <w:rPr>
                <w:spacing w:val="-5"/>
                <w:sz w:val="20"/>
              </w:rPr>
              <w:t>9.9</w:t>
            </w:r>
          </w:p>
        </w:tc>
        <w:tc>
          <w:tcPr>
            <w:tcW w:w="652" w:type="dxa"/>
          </w:tcPr>
          <w:p>
            <w:pPr>
              <w:pStyle w:val="TableParagraph"/>
              <w:spacing w:line="218" w:lineRule="exact" w:before="2"/>
              <w:ind w:left="83" w:right="78"/>
              <w:jc w:val="center"/>
              <w:rPr>
                <w:sz w:val="20"/>
              </w:rPr>
            </w:pPr>
            <w:r>
              <w:rPr>
                <w:spacing w:val="-10"/>
                <w:sz w:val="20"/>
              </w:rPr>
              <w:t>4</w:t>
            </w:r>
          </w:p>
        </w:tc>
        <w:tc>
          <w:tcPr>
            <w:tcW w:w="674" w:type="dxa"/>
          </w:tcPr>
          <w:p>
            <w:pPr>
              <w:pStyle w:val="TableParagraph"/>
              <w:spacing w:line="218" w:lineRule="exact" w:before="2"/>
              <w:ind w:left="100" w:right="5"/>
              <w:jc w:val="center"/>
              <w:rPr>
                <w:sz w:val="20"/>
              </w:rPr>
            </w:pPr>
            <w:r>
              <w:rPr>
                <w:spacing w:val="-5"/>
                <w:sz w:val="20"/>
              </w:rPr>
              <w:t>2.0</w:t>
            </w:r>
          </w:p>
        </w:tc>
        <w:tc>
          <w:tcPr>
            <w:tcW w:w="760" w:type="dxa"/>
          </w:tcPr>
          <w:p>
            <w:pPr>
              <w:pStyle w:val="TableParagraph"/>
              <w:spacing w:line="218" w:lineRule="exact" w:before="2"/>
              <w:ind w:right="162"/>
              <w:jc w:val="right"/>
              <w:rPr>
                <w:sz w:val="20"/>
              </w:rPr>
            </w:pPr>
            <w:r>
              <w:rPr>
                <w:spacing w:val="-5"/>
                <w:sz w:val="20"/>
              </w:rPr>
              <w:t>203</w:t>
            </w:r>
          </w:p>
        </w:tc>
        <w:tc>
          <w:tcPr>
            <w:tcW w:w="737" w:type="dxa"/>
            <w:tcBorders>
              <w:right w:val="single" w:sz="4" w:space="0" w:color="000000"/>
            </w:tcBorders>
          </w:tcPr>
          <w:p>
            <w:pPr>
              <w:pStyle w:val="TableParagraph"/>
              <w:spacing w:line="218" w:lineRule="exact" w:before="2"/>
              <w:ind w:left="59" w:right="5"/>
              <w:jc w:val="center"/>
              <w:rPr>
                <w:sz w:val="20"/>
              </w:rPr>
            </w:pPr>
            <w:r>
              <w:rPr>
                <w:spacing w:val="-4"/>
                <w:sz w:val="20"/>
              </w:rPr>
              <w:t>43.8</w:t>
            </w:r>
          </w:p>
        </w:tc>
      </w:tr>
      <w:tr>
        <w:trPr>
          <w:trHeight w:val="328" w:hRule="atLeast"/>
        </w:trPr>
        <w:tc>
          <w:tcPr>
            <w:tcW w:w="4146" w:type="dxa"/>
            <w:tcBorders>
              <w:left w:val="single" w:sz="4" w:space="0" w:color="000000"/>
              <w:bottom w:val="single" w:sz="4" w:space="0" w:color="000000"/>
            </w:tcBorders>
          </w:tcPr>
          <w:p>
            <w:pPr>
              <w:pStyle w:val="TableParagraph"/>
              <w:rPr>
                <w:rFonts w:ascii="Times New Roman"/>
                <w:sz w:val="20"/>
              </w:rPr>
            </w:pPr>
          </w:p>
        </w:tc>
        <w:tc>
          <w:tcPr>
            <w:tcW w:w="1978" w:type="dxa"/>
            <w:tcBorders>
              <w:bottom w:val="single" w:sz="4" w:space="0" w:color="000000"/>
            </w:tcBorders>
          </w:tcPr>
          <w:p>
            <w:pPr>
              <w:pStyle w:val="TableParagraph"/>
              <w:spacing w:before="2"/>
              <w:ind w:left="111"/>
              <w:rPr>
                <w:sz w:val="20"/>
              </w:rPr>
            </w:pPr>
            <w:r>
              <w:rPr>
                <w:sz w:val="20"/>
              </w:rPr>
              <w:t>Top</w:t>
            </w:r>
            <w:r>
              <w:rPr>
                <w:spacing w:val="-1"/>
                <w:sz w:val="20"/>
              </w:rPr>
              <w:t> </w:t>
            </w:r>
            <w:r>
              <w:rPr>
                <w:spacing w:val="-2"/>
                <w:sz w:val="20"/>
              </w:rPr>
              <w:t>Management</w:t>
            </w:r>
          </w:p>
        </w:tc>
        <w:tc>
          <w:tcPr>
            <w:tcW w:w="540" w:type="dxa"/>
            <w:tcBorders>
              <w:bottom w:val="single" w:sz="4" w:space="0" w:color="000000"/>
            </w:tcBorders>
          </w:tcPr>
          <w:p>
            <w:pPr>
              <w:pStyle w:val="TableParagraph"/>
              <w:spacing w:before="2"/>
              <w:ind w:left="5"/>
              <w:jc w:val="center"/>
              <w:rPr>
                <w:sz w:val="20"/>
              </w:rPr>
            </w:pPr>
            <w:r>
              <w:rPr>
                <w:spacing w:val="-10"/>
                <w:sz w:val="20"/>
              </w:rPr>
              <w:t>7</w:t>
            </w:r>
          </w:p>
        </w:tc>
        <w:tc>
          <w:tcPr>
            <w:tcW w:w="731" w:type="dxa"/>
            <w:tcBorders>
              <w:bottom w:val="single" w:sz="4" w:space="0" w:color="000000"/>
            </w:tcBorders>
          </w:tcPr>
          <w:p>
            <w:pPr>
              <w:pStyle w:val="TableParagraph"/>
              <w:spacing w:before="2"/>
              <w:ind w:left="69" w:right="67"/>
              <w:jc w:val="center"/>
              <w:rPr>
                <w:sz w:val="20"/>
              </w:rPr>
            </w:pPr>
            <w:r>
              <w:rPr>
                <w:spacing w:val="-4"/>
                <w:sz w:val="20"/>
              </w:rPr>
              <w:t>30.4</w:t>
            </w:r>
          </w:p>
        </w:tc>
        <w:tc>
          <w:tcPr>
            <w:tcW w:w="690" w:type="dxa"/>
            <w:tcBorders>
              <w:bottom w:val="single" w:sz="4" w:space="0" w:color="000000"/>
            </w:tcBorders>
          </w:tcPr>
          <w:p>
            <w:pPr>
              <w:pStyle w:val="TableParagraph"/>
              <w:spacing w:before="2"/>
              <w:ind w:left="22" w:right="6"/>
              <w:jc w:val="center"/>
              <w:rPr>
                <w:sz w:val="20"/>
              </w:rPr>
            </w:pPr>
            <w:r>
              <w:rPr>
                <w:spacing w:val="-5"/>
                <w:sz w:val="20"/>
              </w:rPr>
              <w:t>14</w:t>
            </w:r>
          </w:p>
        </w:tc>
        <w:tc>
          <w:tcPr>
            <w:tcW w:w="707" w:type="dxa"/>
            <w:tcBorders>
              <w:bottom w:val="single" w:sz="4" w:space="0" w:color="000000"/>
            </w:tcBorders>
          </w:tcPr>
          <w:p>
            <w:pPr>
              <w:pStyle w:val="TableParagraph"/>
              <w:spacing w:before="2"/>
              <w:ind w:left="74" w:right="10"/>
              <w:jc w:val="center"/>
              <w:rPr>
                <w:sz w:val="20"/>
              </w:rPr>
            </w:pPr>
            <w:r>
              <w:rPr>
                <w:spacing w:val="-4"/>
                <w:sz w:val="20"/>
              </w:rPr>
              <w:t>60.9</w:t>
            </w:r>
          </w:p>
        </w:tc>
        <w:tc>
          <w:tcPr>
            <w:tcW w:w="755" w:type="dxa"/>
            <w:tcBorders>
              <w:bottom w:val="single" w:sz="4" w:space="0" w:color="000000"/>
            </w:tcBorders>
          </w:tcPr>
          <w:p>
            <w:pPr>
              <w:pStyle w:val="TableParagraph"/>
              <w:spacing w:before="2"/>
              <w:ind w:right="298"/>
              <w:jc w:val="right"/>
              <w:rPr>
                <w:sz w:val="20"/>
              </w:rPr>
            </w:pPr>
            <w:r>
              <w:rPr>
                <w:spacing w:val="-10"/>
                <w:sz w:val="20"/>
              </w:rPr>
              <w:t>1</w:t>
            </w:r>
          </w:p>
        </w:tc>
        <w:tc>
          <w:tcPr>
            <w:tcW w:w="901" w:type="dxa"/>
            <w:tcBorders>
              <w:bottom w:val="single" w:sz="4" w:space="0" w:color="000000"/>
            </w:tcBorders>
          </w:tcPr>
          <w:p>
            <w:pPr>
              <w:pStyle w:val="TableParagraph"/>
              <w:spacing w:before="2"/>
              <w:ind w:left="27" w:right="5"/>
              <w:jc w:val="center"/>
              <w:rPr>
                <w:sz w:val="20"/>
              </w:rPr>
            </w:pPr>
            <w:r>
              <w:rPr>
                <w:spacing w:val="-5"/>
                <w:sz w:val="20"/>
              </w:rPr>
              <w:t>4.3</w:t>
            </w:r>
          </w:p>
        </w:tc>
        <w:tc>
          <w:tcPr>
            <w:tcW w:w="683" w:type="dxa"/>
            <w:tcBorders>
              <w:bottom w:val="single" w:sz="4" w:space="0" w:color="000000"/>
            </w:tcBorders>
          </w:tcPr>
          <w:p>
            <w:pPr>
              <w:pStyle w:val="TableParagraph"/>
              <w:spacing w:before="2"/>
              <w:ind w:left="77" w:right="2"/>
              <w:jc w:val="center"/>
              <w:rPr>
                <w:sz w:val="20"/>
              </w:rPr>
            </w:pPr>
            <w:r>
              <w:rPr>
                <w:spacing w:val="-10"/>
                <w:sz w:val="20"/>
              </w:rPr>
              <w:t>1</w:t>
            </w:r>
          </w:p>
        </w:tc>
        <w:tc>
          <w:tcPr>
            <w:tcW w:w="798" w:type="dxa"/>
            <w:tcBorders>
              <w:bottom w:val="single" w:sz="4" w:space="0" w:color="000000"/>
            </w:tcBorders>
          </w:tcPr>
          <w:p>
            <w:pPr>
              <w:pStyle w:val="TableParagraph"/>
              <w:spacing w:before="2"/>
              <w:ind w:left="34" w:right="5"/>
              <w:jc w:val="center"/>
              <w:rPr>
                <w:sz w:val="20"/>
              </w:rPr>
            </w:pPr>
            <w:r>
              <w:rPr>
                <w:spacing w:val="-5"/>
                <w:sz w:val="20"/>
              </w:rPr>
              <w:t>4.3</w:t>
            </w:r>
          </w:p>
        </w:tc>
        <w:tc>
          <w:tcPr>
            <w:tcW w:w="652" w:type="dxa"/>
            <w:tcBorders>
              <w:bottom w:val="single" w:sz="4" w:space="0" w:color="000000"/>
            </w:tcBorders>
          </w:tcPr>
          <w:p>
            <w:pPr>
              <w:pStyle w:val="TableParagraph"/>
              <w:spacing w:before="2"/>
              <w:ind w:left="83" w:right="84"/>
              <w:jc w:val="center"/>
              <w:rPr>
                <w:sz w:val="20"/>
              </w:rPr>
            </w:pPr>
            <w:r>
              <w:rPr>
                <w:spacing w:val="-10"/>
                <w:sz w:val="20"/>
              </w:rPr>
              <w:t>-</w:t>
            </w:r>
          </w:p>
        </w:tc>
        <w:tc>
          <w:tcPr>
            <w:tcW w:w="674" w:type="dxa"/>
            <w:tcBorders>
              <w:bottom w:val="single" w:sz="4" w:space="0" w:color="000000"/>
            </w:tcBorders>
          </w:tcPr>
          <w:p>
            <w:pPr>
              <w:pStyle w:val="TableParagraph"/>
              <w:spacing w:before="2"/>
              <w:ind w:left="100" w:right="7"/>
              <w:jc w:val="center"/>
              <w:rPr>
                <w:sz w:val="20"/>
              </w:rPr>
            </w:pPr>
            <w:r>
              <w:rPr>
                <w:spacing w:val="-10"/>
                <w:sz w:val="20"/>
              </w:rPr>
              <w:t>-</w:t>
            </w:r>
          </w:p>
        </w:tc>
        <w:tc>
          <w:tcPr>
            <w:tcW w:w="760" w:type="dxa"/>
            <w:tcBorders>
              <w:bottom w:val="single" w:sz="4" w:space="0" w:color="000000"/>
            </w:tcBorders>
          </w:tcPr>
          <w:p>
            <w:pPr>
              <w:pStyle w:val="TableParagraph"/>
              <w:spacing w:before="2"/>
              <w:ind w:right="215"/>
              <w:jc w:val="right"/>
              <w:rPr>
                <w:sz w:val="20"/>
              </w:rPr>
            </w:pPr>
            <w:r>
              <w:rPr>
                <w:spacing w:val="-5"/>
                <w:sz w:val="20"/>
              </w:rPr>
              <w:t>23</w:t>
            </w:r>
          </w:p>
        </w:tc>
        <w:tc>
          <w:tcPr>
            <w:tcW w:w="737" w:type="dxa"/>
            <w:tcBorders>
              <w:bottom w:val="single" w:sz="4" w:space="0" w:color="000000"/>
              <w:right w:val="single" w:sz="4" w:space="0" w:color="000000"/>
            </w:tcBorders>
          </w:tcPr>
          <w:p>
            <w:pPr>
              <w:pStyle w:val="TableParagraph"/>
              <w:spacing w:before="2"/>
              <w:ind w:left="58" w:right="9"/>
              <w:jc w:val="center"/>
              <w:rPr>
                <w:sz w:val="20"/>
              </w:rPr>
            </w:pPr>
            <w:r>
              <w:rPr>
                <w:spacing w:val="-5"/>
                <w:sz w:val="20"/>
              </w:rPr>
              <w:t>5.0</w:t>
            </w:r>
          </w:p>
        </w:tc>
      </w:tr>
    </w:tbl>
    <w:p>
      <w:pPr>
        <w:spacing w:after="0"/>
        <w:jc w:val="center"/>
        <w:rPr>
          <w:sz w:val="20"/>
        </w:rPr>
        <w:sectPr>
          <w:headerReference w:type="default" r:id="rId329"/>
          <w:footerReference w:type="default" r:id="rId330"/>
          <w:pgSz w:w="15840" w:h="12240" w:orient="landscape"/>
          <w:pgMar w:header="722" w:footer="791" w:top="1340" w:bottom="980" w:left="500" w:right="360"/>
        </w:sectPr>
      </w:pPr>
    </w:p>
    <w:p>
      <w:pPr>
        <w:pStyle w:val="BodyText"/>
        <w:spacing w:before="7"/>
        <w:rPr>
          <w:rFonts w:ascii="Arial"/>
          <w:b/>
          <w:sz w:val="7"/>
        </w:rPr>
      </w:pPr>
    </w:p>
    <w:tbl>
      <w:tblPr>
        <w:tblW w:w="0" w:type="auto"/>
        <w:jc w:val="left"/>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147"/>
        <w:gridCol w:w="1977"/>
        <w:gridCol w:w="1273"/>
        <w:gridCol w:w="1469"/>
        <w:gridCol w:w="1589"/>
        <w:gridCol w:w="1507"/>
        <w:gridCol w:w="1360"/>
        <w:gridCol w:w="1443"/>
      </w:tblGrid>
      <w:tr>
        <w:trPr>
          <w:trHeight w:val="277" w:hRule="atLeast"/>
        </w:trPr>
        <w:tc>
          <w:tcPr>
            <w:tcW w:w="4147" w:type="dxa"/>
            <w:tcBorders>
              <w:bottom w:val="nil"/>
              <w:right w:val="nil"/>
            </w:tcBorders>
          </w:tcPr>
          <w:p>
            <w:pPr>
              <w:pStyle w:val="TableParagraph"/>
              <w:rPr>
                <w:rFonts w:ascii="Times New Roman"/>
                <w:sz w:val="20"/>
              </w:rPr>
            </w:pPr>
          </w:p>
        </w:tc>
        <w:tc>
          <w:tcPr>
            <w:tcW w:w="1977" w:type="dxa"/>
            <w:tcBorders>
              <w:left w:val="nil"/>
              <w:bottom w:val="nil"/>
            </w:tcBorders>
          </w:tcPr>
          <w:p>
            <w:pPr>
              <w:pStyle w:val="TableParagraph"/>
              <w:rPr>
                <w:rFonts w:ascii="Times New Roman"/>
                <w:sz w:val="20"/>
              </w:rPr>
            </w:pPr>
          </w:p>
        </w:tc>
        <w:tc>
          <w:tcPr>
            <w:tcW w:w="8641" w:type="dxa"/>
            <w:gridSpan w:val="6"/>
          </w:tcPr>
          <w:p>
            <w:pPr>
              <w:pStyle w:val="TableParagraph"/>
              <w:spacing w:line="258" w:lineRule="exact"/>
              <w:ind w:right="1372"/>
              <w:jc w:val="center"/>
              <w:rPr>
                <w:rFonts w:ascii="Arial"/>
                <w:b/>
                <w:sz w:val="24"/>
              </w:rPr>
            </w:pPr>
            <w:r>
              <w:rPr>
                <w:rFonts w:ascii="Arial"/>
                <w:b/>
                <w:spacing w:val="-2"/>
                <w:sz w:val="24"/>
              </w:rPr>
              <w:t>Responses</w:t>
            </w:r>
          </w:p>
        </w:tc>
      </w:tr>
      <w:tr>
        <w:trPr>
          <w:trHeight w:val="390" w:hRule="atLeast"/>
        </w:trPr>
        <w:tc>
          <w:tcPr>
            <w:tcW w:w="4147" w:type="dxa"/>
            <w:tcBorders>
              <w:top w:val="nil"/>
              <w:bottom w:val="nil"/>
              <w:right w:val="nil"/>
            </w:tcBorders>
          </w:tcPr>
          <w:p>
            <w:pPr>
              <w:pStyle w:val="TableParagraph"/>
              <w:rPr>
                <w:rFonts w:ascii="Times New Roman"/>
                <w:sz w:val="20"/>
              </w:rPr>
            </w:pPr>
          </w:p>
        </w:tc>
        <w:tc>
          <w:tcPr>
            <w:tcW w:w="1977" w:type="dxa"/>
            <w:tcBorders>
              <w:top w:val="nil"/>
              <w:left w:val="nil"/>
              <w:bottom w:val="nil"/>
            </w:tcBorders>
          </w:tcPr>
          <w:p>
            <w:pPr>
              <w:pStyle w:val="TableParagraph"/>
              <w:spacing w:line="208" w:lineRule="exact" w:before="162"/>
              <w:ind w:left="110"/>
              <w:rPr>
                <w:rFonts w:ascii="Arial"/>
                <w:b/>
                <w:sz w:val="20"/>
              </w:rPr>
            </w:pPr>
            <w:r>
              <w:rPr>
                <w:rFonts w:ascii="Arial"/>
                <w:b/>
                <w:sz w:val="20"/>
              </w:rPr>
              <w:t>Category</w:t>
            </w:r>
            <w:r>
              <w:rPr>
                <w:rFonts w:ascii="Arial"/>
                <w:b/>
                <w:spacing w:val="-7"/>
                <w:sz w:val="20"/>
              </w:rPr>
              <w:t> </w:t>
            </w:r>
            <w:r>
              <w:rPr>
                <w:rFonts w:ascii="Arial"/>
                <w:b/>
                <w:spacing w:val="-5"/>
                <w:sz w:val="20"/>
              </w:rPr>
              <w:t>of</w:t>
            </w:r>
          </w:p>
        </w:tc>
        <w:tc>
          <w:tcPr>
            <w:tcW w:w="1273" w:type="dxa"/>
            <w:vMerge w:val="restart"/>
            <w:tcBorders>
              <w:right w:val="nil"/>
            </w:tcBorders>
          </w:tcPr>
          <w:p>
            <w:pPr>
              <w:pStyle w:val="TableParagraph"/>
              <w:ind w:left="216" w:right="231"/>
              <w:jc w:val="center"/>
              <w:rPr>
                <w:rFonts w:ascii="Arial"/>
                <w:b/>
                <w:sz w:val="20"/>
              </w:rPr>
            </w:pPr>
            <w:r>
              <w:rPr>
                <w:rFonts w:ascii="Arial"/>
                <w:b/>
                <w:spacing w:val="-2"/>
                <w:sz w:val="20"/>
              </w:rPr>
              <w:t>Strongly Agree</w:t>
            </w:r>
          </w:p>
          <w:p>
            <w:pPr>
              <w:pStyle w:val="TableParagraph"/>
              <w:tabs>
                <w:tab w:pos="604" w:val="left" w:leader="none"/>
              </w:tabs>
              <w:ind w:right="67"/>
              <w:jc w:val="center"/>
              <w:rPr>
                <w:rFonts w:ascii="Arial"/>
                <w:b/>
                <w:sz w:val="20"/>
              </w:rPr>
            </w:pPr>
            <w:r>
              <w:rPr>
                <w:rFonts w:ascii="Arial"/>
                <w:b/>
                <w:spacing w:val="-10"/>
                <w:sz w:val="20"/>
              </w:rPr>
              <w:t>F</w:t>
            </w:r>
            <w:r>
              <w:rPr>
                <w:rFonts w:ascii="Arial"/>
                <w:b/>
                <w:sz w:val="20"/>
              </w:rPr>
              <w:tab/>
            </w:r>
            <w:r>
              <w:rPr>
                <w:rFonts w:ascii="Arial"/>
                <w:b/>
                <w:spacing w:val="-10"/>
                <w:sz w:val="20"/>
              </w:rPr>
              <w:t>%</w:t>
            </w:r>
          </w:p>
        </w:tc>
        <w:tc>
          <w:tcPr>
            <w:tcW w:w="1469" w:type="dxa"/>
            <w:vMerge w:val="restart"/>
            <w:tcBorders>
              <w:left w:val="nil"/>
              <w:right w:val="nil"/>
            </w:tcBorders>
          </w:tcPr>
          <w:p>
            <w:pPr>
              <w:pStyle w:val="TableParagraph"/>
              <w:spacing w:line="220" w:lineRule="exact"/>
              <w:ind w:right="49"/>
              <w:jc w:val="center"/>
              <w:rPr>
                <w:rFonts w:ascii="Arial"/>
                <w:b/>
                <w:sz w:val="20"/>
              </w:rPr>
            </w:pPr>
            <w:r>
              <w:rPr>
                <w:rFonts w:ascii="Arial"/>
                <w:b/>
                <w:spacing w:val="-2"/>
                <w:sz w:val="20"/>
              </w:rPr>
              <w:t>Agree</w:t>
            </w:r>
          </w:p>
          <w:p>
            <w:pPr>
              <w:pStyle w:val="TableParagraph"/>
              <w:spacing w:before="10"/>
              <w:rPr>
                <w:rFonts w:ascii="Arial"/>
                <w:b/>
                <w:sz w:val="20"/>
              </w:rPr>
            </w:pPr>
          </w:p>
          <w:p>
            <w:pPr>
              <w:pStyle w:val="TableParagraph"/>
              <w:tabs>
                <w:tab w:pos="691" w:val="left" w:leader="none"/>
              </w:tabs>
              <w:ind w:right="11"/>
              <w:jc w:val="center"/>
              <w:rPr>
                <w:rFonts w:ascii="Arial"/>
                <w:b/>
                <w:sz w:val="20"/>
              </w:rPr>
            </w:pPr>
            <w:r>
              <w:rPr>
                <w:rFonts w:ascii="Arial"/>
                <w:b/>
                <w:spacing w:val="-10"/>
                <w:sz w:val="20"/>
              </w:rPr>
              <w:t>F</w:t>
            </w:r>
            <w:r>
              <w:rPr>
                <w:rFonts w:ascii="Arial"/>
                <w:b/>
                <w:sz w:val="20"/>
              </w:rPr>
              <w:tab/>
            </w:r>
            <w:r>
              <w:rPr>
                <w:rFonts w:ascii="Arial"/>
                <w:b/>
                <w:spacing w:val="-10"/>
                <w:sz w:val="20"/>
              </w:rPr>
              <w:t>%</w:t>
            </w:r>
          </w:p>
        </w:tc>
        <w:tc>
          <w:tcPr>
            <w:tcW w:w="1589" w:type="dxa"/>
            <w:vMerge w:val="restart"/>
            <w:tcBorders>
              <w:left w:val="nil"/>
              <w:right w:val="nil"/>
            </w:tcBorders>
          </w:tcPr>
          <w:p>
            <w:pPr>
              <w:pStyle w:val="TableParagraph"/>
              <w:spacing w:line="220" w:lineRule="exact"/>
              <w:ind w:left="273"/>
              <w:rPr>
                <w:rFonts w:ascii="Arial"/>
                <w:b/>
                <w:sz w:val="20"/>
              </w:rPr>
            </w:pPr>
            <w:r>
              <w:rPr>
                <w:rFonts w:ascii="Arial"/>
                <w:b/>
                <w:spacing w:val="-2"/>
                <w:sz w:val="20"/>
              </w:rPr>
              <w:t>Undecided</w:t>
            </w:r>
          </w:p>
          <w:p>
            <w:pPr>
              <w:pStyle w:val="TableParagraph"/>
              <w:spacing w:before="10"/>
              <w:rPr>
                <w:rFonts w:ascii="Arial"/>
                <w:b/>
                <w:sz w:val="20"/>
              </w:rPr>
            </w:pPr>
          </w:p>
          <w:p>
            <w:pPr>
              <w:pStyle w:val="TableParagraph"/>
              <w:tabs>
                <w:tab w:pos="1055" w:val="left" w:leader="none"/>
              </w:tabs>
              <w:ind w:left="263"/>
              <w:rPr>
                <w:rFonts w:ascii="Arial"/>
                <w:b/>
                <w:sz w:val="20"/>
              </w:rPr>
            </w:pPr>
            <w:r>
              <w:rPr>
                <w:rFonts w:ascii="Arial"/>
                <w:b/>
                <w:spacing w:val="-10"/>
                <w:sz w:val="20"/>
              </w:rPr>
              <w:t>F</w:t>
            </w:r>
            <w:r>
              <w:rPr>
                <w:rFonts w:ascii="Arial"/>
                <w:b/>
                <w:sz w:val="20"/>
              </w:rPr>
              <w:tab/>
            </w:r>
            <w:r>
              <w:rPr>
                <w:rFonts w:ascii="Arial"/>
                <w:b/>
                <w:spacing w:val="-10"/>
                <w:sz w:val="20"/>
              </w:rPr>
              <w:t>%</w:t>
            </w:r>
          </w:p>
        </w:tc>
        <w:tc>
          <w:tcPr>
            <w:tcW w:w="1507" w:type="dxa"/>
            <w:vMerge w:val="restart"/>
            <w:tcBorders>
              <w:left w:val="nil"/>
              <w:right w:val="nil"/>
            </w:tcBorders>
          </w:tcPr>
          <w:p>
            <w:pPr>
              <w:pStyle w:val="TableParagraph"/>
              <w:spacing w:line="220" w:lineRule="exact"/>
              <w:ind w:left="306"/>
              <w:rPr>
                <w:rFonts w:ascii="Arial"/>
                <w:b/>
                <w:sz w:val="20"/>
              </w:rPr>
            </w:pPr>
            <w:r>
              <w:rPr>
                <w:rFonts w:ascii="Arial"/>
                <w:b/>
                <w:spacing w:val="-2"/>
                <w:sz w:val="20"/>
              </w:rPr>
              <w:t>Disagree</w:t>
            </w:r>
          </w:p>
          <w:p>
            <w:pPr>
              <w:pStyle w:val="TableParagraph"/>
              <w:spacing w:before="10"/>
              <w:rPr>
                <w:rFonts w:ascii="Arial"/>
                <w:b/>
                <w:sz w:val="20"/>
              </w:rPr>
            </w:pPr>
          </w:p>
          <w:p>
            <w:pPr>
              <w:pStyle w:val="TableParagraph"/>
              <w:tabs>
                <w:tab w:pos="1002" w:val="left" w:leader="none"/>
              </w:tabs>
              <w:ind w:left="311"/>
              <w:rPr>
                <w:rFonts w:ascii="Arial"/>
                <w:b/>
                <w:sz w:val="20"/>
              </w:rPr>
            </w:pPr>
            <w:r>
              <w:rPr>
                <w:rFonts w:ascii="Arial"/>
                <w:b/>
                <w:spacing w:val="-10"/>
                <w:sz w:val="20"/>
              </w:rPr>
              <w:t>F</w:t>
            </w:r>
            <w:r>
              <w:rPr>
                <w:rFonts w:ascii="Arial"/>
                <w:b/>
                <w:sz w:val="20"/>
              </w:rPr>
              <w:tab/>
            </w:r>
            <w:r>
              <w:rPr>
                <w:rFonts w:ascii="Arial"/>
                <w:b/>
                <w:spacing w:val="-10"/>
                <w:sz w:val="20"/>
              </w:rPr>
              <w:t>%</w:t>
            </w:r>
          </w:p>
        </w:tc>
        <w:tc>
          <w:tcPr>
            <w:tcW w:w="1360" w:type="dxa"/>
            <w:vMerge w:val="restart"/>
            <w:tcBorders>
              <w:left w:val="nil"/>
              <w:right w:val="nil"/>
            </w:tcBorders>
          </w:tcPr>
          <w:p>
            <w:pPr>
              <w:pStyle w:val="TableParagraph"/>
              <w:spacing w:line="244" w:lineRule="auto"/>
              <w:ind w:left="230" w:right="262" w:firstLine="14"/>
              <w:jc w:val="both"/>
              <w:rPr>
                <w:rFonts w:ascii="Arial"/>
                <w:b/>
                <w:sz w:val="20"/>
              </w:rPr>
            </w:pPr>
            <w:r>
              <w:rPr>
                <w:rFonts w:ascii="Arial"/>
                <w:b/>
                <w:spacing w:val="-2"/>
                <w:sz w:val="20"/>
              </w:rPr>
              <w:t>Strongly Disagree </w:t>
            </w:r>
            <w:r>
              <w:rPr>
                <w:rFonts w:ascii="Arial"/>
                <w:b/>
                <w:sz w:val="20"/>
              </w:rPr>
              <w:t>F</w:t>
            </w:r>
            <w:r>
              <w:rPr>
                <w:rFonts w:ascii="Arial"/>
                <w:b/>
                <w:spacing w:val="56"/>
                <w:w w:val="150"/>
                <w:sz w:val="20"/>
              </w:rPr>
              <w:t>    </w:t>
            </w:r>
            <w:r>
              <w:rPr>
                <w:rFonts w:ascii="Arial"/>
                <w:b/>
                <w:spacing w:val="-10"/>
                <w:sz w:val="20"/>
              </w:rPr>
              <w:t>%</w:t>
            </w:r>
          </w:p>
        </w:tc>
        <w:tc>
          <w:tcPr>
            <w:tcW w:w="1443" w:type="dxa"/>
            <w:vMerge w:val="restart"/>
            <w:tcBorders>
              <w:left w:val="nil"/>
            </w:tcBorders>
          </w:tcPr>
          <w:p>
            <w:pPr>
              <w:pStyle w:val="TableParagraph"/>
              <w:spacing w:line="220" w:lineRule="exact"/>
              <w:ind w:left="10"/>
              <w:jc w:val="center"/>
              <w:rPr>
                <w:rFonts w:ascii="Arial"/>
                <w:b/>
                <w:sz w:val="20"/>
              </w:rPr>
            </w:pPr>
            <w:r>
              <w:rPr>
                <w:rFonts w:ascii="Arial"/>
                <w:b/>
                <w:spacing w:val="-2"/>
                <w:sz w:val="20"/>
              </w:rPr>
              <w:t>Total</w:t>
            </w:r>
          </w:p>
          <w:p>
            <w:pPr>
              <w:pStyle w:val="TableParagraph"/>
              <w:spacing w:before="10"/>
              <w:rPr>
                <w:rFonts w:ascii="Arial"/>
                <w:b/>
                <w:sz w:val="20"/>
              </w:rPr>
            </w:pPr>
          </w:p>
          <w:p>
            <w:pPr>
              <w:pStyle w:val="TableParagraph"/>
              <w:tabs>
                <w:tab w:pos="734" w:val="left" w:leader="none"/>
              </w:tabs>
              <w:ind w:left="43"/>
              <w:jc w:val="center"/>
              <w:rPr>
                <w:rFonts w:ascii="Arial"/>
                <w:b/>
                <w:sz w:val="20"/>
              </w:rPr>
            </w:pPr>
            <w:r>
              <w:rPr>
                <w:rFonts w:ascii="Arial"/>
                <w:b/>
                <w:spacing w:val="-10"/>
                <w:sz w:val="20"/>
              </w:rPr>
              <w:t>F</w:t>
            </w:r>
            <w:r>
              <w:rPr>
                <w:rFonts w:ascii="Arial"/>
                <w:b/>
                <w:sz w:val="20"/>
              </w:rPr>
              <w:tab/>
            </w:r>
            <w:r>
              <w:rPr>
                <w:rFonts w:ascii="Arial"/>
                <w:b/>
                <w:spacing w:val="-10"/>
                <w:sz w:val="20"/>
              </w:rPr>
              <w:t>%</w:t>
            </w:r>
          </w:p>
        </w:tc>
      </w:tr>
      <w:tr>
        <w:trPr>
          <w:trHeight w:val="386" w:hRule="atLeast"/>
        </w:trPr>
        <w:tc>
          <w:tcPr>
            <w:tcW w:w="4147" w:type="dxa"/>
            <w:tcBorders>
              <w:top w:val="nil"/>
              <w:right w:val="nil"/>
            </w:tcBorders>
          </w:tcPr>
          <w:p>
            <w:pPr>
              <w:pStyle w:val="TableParagraph"/>
              <w:tabs>
                <w:tab w:pos="830" w:val="left" w:leader="none"/>
              </w:tabs>
              <w:spacing w:line="222" w:lineRule="exact"/>
              <w:ind w:left="134"/>
              <w:rPr>
                <w:rFonts w:ascii="Arial"/>
                <w:b/>
                <w:sz w:val="20"/>
              </w:rPr>
            </w:pPr>
            <w:r>
              <w:rPr>
                <w:rFonts w:ascii="Arial"/>
                <w:b/>
                <w:spacing w:val="-4"/>
                <w:sz w:val="20"/>
              </w:rPr>
              <w:t>S/No</w:t>
            </w:r>
            <w:r>
              <w:rPr>
                <w:rFonts w:ascii="Arial"/>
                <w:b/>
                <w:sz w:val="20"/>
              </w:rPr>
              <w:tab/>
              <w:t>Item</w:t>
            </w:r>
            <w:r>
              <w:rPr>
                <w:rFonts w:ascii="Arial"/>
                <w:b/>
                <w:spacing w:val="-2"/>
                <w:sz w:val="20"/>
              </w:rPr>
              <w:t> Statements</w:t>
            </w:r>
          </w:p>
        </w:tc>
        <w:tc>
          <w:tcPr>
            <w:tcW w:w="1977" w:type="dxa"/>
            <w:tcBorders>
              <w:top w:val="nil"/>
              <w:left w:val="nil"/>
            </w:tcBorders>
          </w:tcPr>
          <w:p>
            <w:pPr>
              <w:pStyle w:val="TableParagraph"/>
              <w:spacing w:line="222" w:lineRule="exact"/>
              <w:ind w:left="110"/>
              <w:rPr>
                <w:rFonts w:ascii="Arial"/>
                <w:b/>
                <w:sz w:val="20"/>
              </w:rPr>
            </w:pPr>
            <w:r>
              <w:rPr>
                <w:rFonts w:ascii="Arial"/>
                <w:b/>
                <w:spacing w:val="-2"/>
                <w:sz w:val="20"/>
              </w:rPr>
              <w:t>Respondents</w:t>
            </w:r>
          </w:p>
        </w:tc>
        <w:tc>
          <w:tcPr>
            <w:tcW w:w="1273" w:type="dxa"/>
            <w:vMerge/>
            <w:tcBorders>
              <w:top w:val="nil"/>
              <w:right w:val="nil"/>
            </w:tcBorders>
          </w:tcPr>
          <w:p>
            <w:pPr>
              <w:rPr>
                <w:sz w:val="2"/>
                <w:szCs w:val="2"/>
              </w:rPr>
            </w:pPr>
          </w:p>
        </w:tc>
        <w:tc>
          <w:tcPr>
            <w:tcW w:w="1469" w:type="dxa"/>
            <w:vMerge/>
            <w:tcBorders>
              <w:top w:val="nil"/>
              <w:left w:val="nil"/>
              <w:right w:val="nil"/>
            </w:tcBorders>
          </w:tcPr>
          <w:p>
            <w:pPr>
              <w:rPr>
                <w:sz w:val="2"/>
                <w:szCs w:val="2"/>
              </w:rPr>
            </w:pPr>
          </w:p>
        </w:tc>
        <w:tc>
          <w:tcPr>
            <w:tcW w:w="1589" w:type="dxa"/>
            <w:vMerge/>
            <w:tcBorders>
              <w:top w:val="nil"/>
              <w:left w:val="nil"/>
              <w:right w:val="nil"/>
            </w:tcBorders>
          </w:tcPr>
          <w:p>
            <w:pPr>
              <w:rPr>
                <w:sz w:val="2"/>
                <w:szCs w:val="2"/>
              </w:rPr>
            </w:pPr>
          </w:p>
        </w:tc>
        <w:tc>
          <w:tcPr>
            <w:tcW w:w="1507" w:type="dxa"/>
            <w:vMerge/>
            <w:tcBorders>
              <w:top w:val="nil"/>
              <w:left w:val="nil"/>
              <w:right w:val="nil"/>
            </w:tcBorders>
          </w:tcPr>
          <w:p>
            <w:pPr>
              <w:rPr>
                <w:sz w:val="2"/>
                <w:szCs w:val="2"/>
              </w:rPr>
            </w:pPr>
          </w:p>
        </w:tc>
        <w:tc>
          <w:tcPr>
            <w:tcW w:w="1360" w:type="dxa"/>
            <w:vMerge/>
            <w:tcBorders>
              <w:top w:val="nil"/>
              <w:left w:val="nil"/>
              <w:right w:val="nil"/>
            </w:tcBorders>
          </w:tcPr>
          <w:p>
            <w:pPr>
              <w:rPr>
                <w:sz w:val="2"/>
                <w:szCs w:val="2"/>
              </w:rPr>
            </w:pPr>
          </w:p>
        </w:tc>
        <w:tc>
          <w:tcPr>
            <w:tcW w:w="1443" w:type="dxa"/>
            <w:vMerge/>
            <w:tcBorders>
              <w:top w:val="nil"/>
              <w:left w:val="nil"/>
            </w:tcBorders>
          </w:tcPr>
          <w:p>
            <w:pPr>
              <w:rPr>
                <w:sz w:val="2"/>
                <w:szCs w:val="2"/>
              </w:rPr>
            </w:pPr>
          </w:p>
        </w:tc>
      </w:tr>
      <w:tr>
        <w:trPr>
          <w:trHeight w:val="1612" w:hRule="atLeast"/>
        </w:trPr>
        <w:tc>
          <w:tcPr>
            <w:tcW w:w="4147" w:type="dxa"/>
            <w:tcBorders>
              <w:right w:val="nil"/>
            </w:tcBorders>
          </w:tcPr>
          <w:p>
            <w:pPr>
              <w:pStyle w:val="TableParagraph"/>
              <w:ind w:left="830" w:right="98" w:hanging="610"/>
              <w:jc w:val="both"/>
              <w:rPr>
                <w:sz w:val="20"/>
              </w:rPr>
            </w:pPr>
            <w:r>
              <w:rPr>
                <w:sz w:val="20"/>
              </w:rPr>
              <w:t>53.</w:t>
            </w:r>
            <w:r>
              <w:rPr>
                <w:spacing w:val="80"/>
                <w:sz w:val="20"/>
              </w:rPr>
              <w:t> </w:t>
            </w:r>
            <w:r>
              <w:rPr>
                <w:sz w:val="20"/>
              </w:rPr>
              <w:t>Provision</w:t>
            </w:r>
            <w:r>
              <w:rPr>
                <w:spacing w:val="-4"/>
                <w:sz w:val="20"/>
              </w:rPr>
              <w:t> </w:t>
            </w:r>
            <w:r>
              <w:rPr>
                <w:sz w:val="20"/>
              </w:rPr>
              <w:t>of</w:t>
            </w:r>
            <w:r>
              <w:rPr>
                <w:spacing w:val="-1"/>
                <w:sz w:val="20"/>
              </w:rPr>
              <w:t> </w:t>
            </w:r>
            <w:r>
              <w:rPr>
                <w:sz w:val="20"/>
              </w:rPr>
              <w:t>adequate</w:t>
            </w:r>
            <w:r>
              <w:rPr>
                <w:spacing w:val="-4"/>
                <w:sz w:val="20"/>
              </w:rPr>
              <w:t> </w:t>
            </w:r>
            <w:r>
              <w:rPr>
                <w:sz w:val="20"/>
              </w:rPr>
              <w:t>indoor</w:t>
            </w:r>
            <w:r>
              <w:rPr>
                <w:spacing w:val="-2"/>
                <w:sz w:val="20"/>
              </w:rPr>
              <w:t> </w:t>
            </w:r>
            <w:r>
              <w:rPr>
                <w:sz w:val="20"/>
              </w:rPr>
              <w:t>games like chess, snookers, ludos, etc and television sets in common rooms and student centers, refresh students minds and brains as well as</w:t>
            </w:r>
            <w:r>
              <w:rPr>
                <w:spacing w:val="79"/>
                <w:w w:val="150"/>
                <w:sz w:val="20"/>
              </w:rPr>
              <w:t> </w:t>
            </w:r>
            <w:r>
              <w:rPr>
                <w:sz w:val="20"/>
              </w:rPr>
              <w:t>widening</w:t>
            </w:r>
            <w:r>
              <w:rPr>
                <w:spacing w:val="77"/>
                <w:w w:val="150"/>
                <w:sz w:val="20"/>
              </w:rPr>
              <w:t> </w:t>
            </w:r>
            <w:r>
              <w:rPr>
                <w:sz w:val="20"/>
              </w:rPr>
              <w:t>the</w:t>
            </w:r>
            <w:r>
              <w:rPr>
                <w:spacing w:val="78"/>
                <w:w w:val="150"/>
                <w:sz w:val="20"/>
              </w:rPr>
              <w:t> </w:t>
            </w:r>
            <w:r>
              <w:rPr>
                <w:sz w:val="20"/>
              </w:rPr>
              <w:t>scope</w:t>
            </w:r>
            <w:r>
              <w:rPr>
                <w:spacing w:val="77"/>
                <w:w w:val="150"/>
                <w:sz w:val="20"/>
              </w:rPr>
              <w:t> </w:t>
            </w:r>
            <w:r>
              <w:rPr>
                <w:sz w:val="20"/>
              </w:rPr>
              <w:t>of</w:t>
            </w:r>
            <w:r>
              <w:rPr>
                <w:spacing w:val="29"/>
                <w:sz w:val="20"/>
              </w:rPr>
              <w:t>  </w:t>
            </w:r>
            <w:r>
              <w:rPr>
                <w:spacing w:val="-4"/>
                <w:sz w:val="20"/>
              </w:rPr>
              <w:t>their</w:t>
            </w:r>
          </w:p>
          <w:p>
            <w:pPr>
              <w:pStyle w:val="TableParagraph"/>
              <w:spacing w:line="215" w:lineRule="exact"/>
              <w:ind w:left="830"/>
              <w:jc w:val="both"/>
              <w:rPr>
                <w:sz w:val="20"/>
              </w:rPr>
            </w:pPr>
            <w:r>
              <w:rPr>
                <w:sz w:val="20"/>
              </w:rPr>
              <w:t>academic</w:t>
            </w:r>
            <w:r>
              <w:rPr>
                <w:spacing w:val="-5"/>
                <w:sz w:val="20"/>
              </w:rPr>
              <w:t> </w:t>
            </w:r>
            <w:r>
              <w:rPr>
                <w:spacing w:val="-2"/>
                <w:sz w:val="20"/>
              </w:rPr>
              <w:t>pursuit.</w:t>
            </w:r>
          </w:p>
        </w:tc>
        <w:tc>
          <w:tcPr>
            <w:tcW w:w="1977" w:type="dxa"/>
            <w:tcBorders>
              <w:left w:val="nil"/>
              <w:right w:val="nil"/>
            </w:tcBorders>
          </w:tcPr>
          <w:p>
            <w:pPr>
              <w:pStyle w:val="TableParagraph"/>
              <w:ind w:left="110" w:right="446"/>
              <w:rPr>
                <w:sz w:val="20"/>
              </w:rPr>
            </w:pPr>
            <w:r>
              <w:rPr>
                <w:sz w:val="20"/>
              </w:rPr>
              <w:t>No.</w:t>
            </w:r>
            <w:r>
              <w:rPr>
                <w:spacing w:val="-14"/>
                <w:sz w:val="20"/>
              </w:rPr>
              <w:t> </w:t>
            </w:r>
            <w:r>
              <w:rPr>
                <w:sz w:val="20"/>
              </w:rPr>
              <w:t>of</w:t>
            </w:r>
            <w:r>
              <w:rPr>
                <w:spacing w:val="-14"/>
                <w:sz w:val="20"/>
              </w:rPr>
              <w:t> </w:t>
            </w:r>
            <w:r>
              <w:rPr>
                <w:sz w:val="20"/>
              </w:rPr>
              <w:t>missing </w:t>
            </w:r>
            <w:r>
              <w:rPr>
                <w:spacing w:val="-2"/>
                <w:sz w:val="20"/>
              </w:rPr>
              <w:t>observations Students </w:t>
            </w:r>
            <w:r>
              <w:rPr>
                <w:sz w:val="20"/>
              </w:rPr>
              <w:t>Service Staff</w:t>
            </w:r>
          </w:p>
          <w:p>
            <w:pPr>
              <w:pStyle w:val="TableParagraph"/>
              <w:spacing w:before="25"/>
              <w:ind w:left="110"/>
              <w:rPr>
                <w:sz w:val="20"/>
              </w:rPr>
            </w:pPr>
            <w:r>
              <w:rPr>
                <w:sz w:val="20"/>
              </w:rPr>
              <w:t>Top</w:t>
            </w:r>
            <w:r>
              <w:rPr>
                <w:spacing w:val="-1"/>
                <w:sz w:val="20"/>
              </w:rPr>
              <w:t> </w:t>
            </w:r>
            <w:r>
              <w:rPr>
                <w:spacing w:val="-2"/>
                <w:sz w:val="20"/>
              </w:rPr>
              <w:t>Management</w:t>
            </w:r>
          </w:p>
        </w:tc>
        <w:tc>
          <w:tcPr>
            <w:tcW w:w="1273" w:type="dxa"/>
            <w:tcBorders>
              <w:left w:val="nil"/>
              <w:right w:val="nil"/>
            </w:tcBorders>
          </w:tcPr>
          <w:p>
            <w:pPr>
              <w:pStyle w:val="TableParagraph"/>
              <w:tabs>
                <w:tab w:pos="869" w:val="left" w:leader="none"/>
              </w:tabs>
              <w:spacing w:before="225"/>
              <w:ind w:left="236"/>
              <w:rPr>
                <w:sz w:val="20"/>
              </w:rPr>
            </w:pPr>
            <w:r>
              <w:rPr>
                <w:spacing w:val="-10"/>
                <w:sz w:val="20"/>
              </w:rPr>
              <w:t>-</w:t>
            </w:r>
            <w:r>
              <w:rPr>
                <w:sz w:val="20"/>
              </w:rPr>
              <w:tab/>
            </w:r>
            <w:r>
              <w:rPr>
                <w:spacing w:val="-10"/>
                <w:sz w:val="20"/>
              </w:rPr>
              <w:t>-</w:t>
            </w:r>
          </w:p>
          <w:p>
            <w:pPr>
              <w:pStyle w:val="TableParagraph"/>
              <w:tabs>
                <w:tab w:pos="711" w:val="left" w:leader="none"/>
              </w:tabs>
              <w:ind w:left="159"/>
              <w:rPr>
                <w:sz w:val="20"/>
              </w:rPr>
            </w:pPr>
            <w:r>
              <w:rPr>
                <w:spacing w:val="-5"/>
                <w:sz w:val="20"/>
              </w:rPr>
              <w:t>85</w:t>
            </w:r>
            <w:r>
              <w:rPr>
                <w:sz w:val="20"/>
              </w:rPr>
              <w:tab/>
            </w:r>
            <w:r>
              <w:rPr>
                <w:spacing w:val="-4"/>
                <w:sz w:val="20"/>
              </w:rPr>
              <w:t>36.2</w:t>
            </w:r>
          </w:p>
          <w:p>
            <w:pPr>
              <w:pStyle w:val="TableParagraph"/>
              <w:tabs>
                <w:tab w:pos="711" w:val="left" w:leader="none"/>
              </w:tabs>
              <w:spacing w:before="1"/>
              <w:ind w:left="159"/>
              <w:rPr>
                <w:sz w:val="20"/>
              </w:rPr>
            </w:pPr>
            <w:r>
              <w:rPr>
                <w:spacing w:val="-5"/>
                <w:sz w:val="20"/>
              </w:rPr>
              <w:t>73</w:t>
            </w:r>
            <w:r>
              <w:rPr>
                <w:sz w:val="20"/>
              </w:rPr>
              <w:tab/>
            </w:r>
            <w:r>
              <w:rPr>
                <w:spacing w:val="-4"/>
                <w:sz w:val="20"/>
              </w:rPr>
              <w:t>36.0</w:t>
            </w:r>
          </w:p>
          <w:p>
            <w:pPr>
              <w:pStyle w:val="TableParagraph"/>
              <w:tabs>
                <w:tab w:pos="711" w:val="left" w:leader="none"/>
              </w:tabs>
              <w:spacing w:before="29"/>
              <w:ind w:left="216"/>
              <w:rPr>
                <w:sz w:val="20"/>
              </w:rPr>
            </w:pPr>
            <w:r>
              <w:rPr>
                <w:spacing w:val="-10"/>
                <w:sz w:val="20"/>
              </w:rPr>
              <w:t>5</w:t>
            </w:r>
            <w:r>
              <w:rPr>
                <w:sz w:val="20"/>
              </w:rPr>
              <w:tab/>
            </w:r>
            <w:r>
              <w:rPr>
                <w:spacing w:val="-4"/>
                <w:sz w:val="20"/>
              </w:rPr>
              <w:t>21.7</w:t>
            </w:r>
          </w:p>
        </w:tc>
        <w:tc>
          <w:tcPr>
            <w:tcW w:w="1469" w:type="dxa"/>
            <w:tcBorders>
              <w:left w:val="nil"/>
              <w:right w:val="nil"/>
            </w:tcBorders>
          </w:tcPr>
          <w:p>
            <w:pPr>
              <w:pStyle w:val="TableParagraph"/>
              <w:tabs>
                <w:tab w:pos="580" w:val="left" w:leader="none"/>
              </w:tabs>
              <w:spacing w:before="225"/>
              <w:ind w:right="197"/>
              <w:jc w:val="right"/>
              <w:rPr>
                <w:sz w:val="20"/>
              </w:rPr>
            </w:pPr>
            <w:r>
              <w:rPr>
                <w:spacing w:val="-10"/>
                <w:sz w:val="20"/>
              </w:rPr>
              <w:t>1</w:t>
            </w:r>
            <w:r>
              <w:rPr>
                <w:sz w:val="20"/>
              </w:rPr>
              <w:tab/>
            </w:r>
            <w:r>
              <w:rPr>
                <w:spacing w:val="-4"/>
                <w:sz w:val="20"/>
              </w:rPr>
              <w:t>50.0</w:t>
            </w:r>
          </w:p>
          <w:p>
            <w:pPr>
              <w:pStyle w:val="TableParagraph"/>
              <w:tabs>
                <w:tab w:pos="695" w:val="left" w:leader="none"/>
              </w:tabs>
              <w:ind w:right="197"/>
              <w:jc w:val="right"/>
              <w:rPr>
                <w:sz w:val="20"/>
              </w:rPr>
            </w:pPr>
            <w:r>
              <w:rPr>
                <w:spacing w:val="-5"/>
                <w:sz w:val="20"/>
              </w:rPr>
              <w:t>117</w:t>
            </w:r>
            <w:r>
              <w:rPr>
                <w:sz w:val="20"/>
              </w:rPr>
              <w:tab/>
            </w:r>
            <w:r>
              <w:rPr>
                <w:spacing w:val="-4"/>
                <w:sz w:val="20"/>
              </w:rPr>
              <w:t>49.8</w:t>
            </w:r>
          </w:p>
          <w:p>
            <w:pPr>
              <w:pStyle w:val="TableParagraph"/>
              <w:tabs>
                <w:tab w:pos="638" w:val="left" w:leader="none"/>
              </w:tabs>
              <w:spacing w:before="1"/>
              <w:ind w:right="197"/>
              <w:jc w:val="right"/>
              <w:rPr>
                <w:sz w:val="20"/>
              </w:rPr>
            </w:pPr>
            <w:r>
              <w:rPr>
                <w:spacing w:val="-5"/>
                <w:sz w:val="20"/>
              </w:rPr>
              <w:t>97</w:t>
            </w:r>
            <w:r>
              <w:rPr>
                <w:sz w:val="20"/>
              </w:rPr>
              <w:tab/>
            </w:r>
            <w:r>
              <w:rPr>
                <w:spacing w:val="-4"/>
                <w:sz w:val="20"/>
              </w:rPr>
              <w:t>47.8</w:t>
            </w:r>
          </w:p>
          <w:p>
            <w:pPr>
              <w:pStyle w:val="TableParagraph"/>
              <w:tabs>
                <w:tab w:pos="638" w:val="left" w:leader="none"/>
              </w:tabs>
              <w:spacing w:before="29"/>
              <w:ind w:right="197"/>
              <w:jc w:val="right"/>
              <w:rPr>
                <w:sz w:val="20"/>
              </w:rPr>
            </w:pPr>
            <w:r>
              <w:rPr>
                <w:spacing w:val="-5"/>
                <w:sz w:val="20"/>
              </w:rPr>
              <w:t>14</w:t>
            </w:r>
            <w:r>
              <w:rPr>
                <w:sz w:val="20"/>
              </w:rPr>
              <w:tab/>
            </w:r>
            <w:r>
              <w:rPr>
                <w:spacing w:val="-4"/>
                <w:sz w:val="20"/>
              </w:rPr>
              <w:t>60.9</w:t>
            </w:r>
          </w:p>
        </w:tc>
        <w:tc>
          <w:tcPr>
            <w:tcW w:w="1589" w:type="dxa"/>
            <w:tcBorders>
              <w:left w:val="nil"/>
              <w:right w:val="nil"/>
            </w:tcBorders>
          </w:tcPr>
          <w:p>
            <w:pPr>
              <w:pStyle w:val="TableParagraph"/>
              <w:tabs>
                <w:tab w:pos="1108" w:val="left" w:leader="none"/>
              </w:tabs>
              <w:spacing w:before="225"/>
              <w:ind w:left="287"/>
              <w:rPr>
                <w:sz w:val="20"/>
              </w:rPr>
            </w:pPr>
            <w:r>
              <w:rPr>
                <w:spacing w:val="-10"/>
                <w:sz w:val="20"/>
              </w:rPr>
              <w:t>-</w:t>
            </w:r>
            <w:r>
              <w:rPr>
                <w:sz w:val="20"/>
              </w:rPr>
              <w:tab/>
            </w:r>
            <w:r>
              <w:rPr>
                <w:spacing w:val="-10"/>
                <w:sz w:val="20"/>
              </w:rPr>
              <w:t>-</w:t>
            </w:r>
          </w:p>
          <w:p>
            <w:pPr>
              <w:pStyle w:val="TableParagraph"/>
              <w:tabs>
                <w:tab w:pos="1002" w:val="left" w:leader="none"/>
              </w:tabs>
              <w:ind w:left="210"/>
              <w:rPr>
                <w:sz w:val="20"/>
              </w:rPr>
            </w:pPr>
            <w:r>
              <w:rPr>
                <w:spacing w:val="-5"/>
                <w:sz w:val="20"/>
              </w:rPr>
              <w:t>20</w:t>
            </w:r>
            <w:r>
              <w:rPr>
                <w:sz w:val="20"/>
              </w:rPr>
              <w:tab/>
            </w:r>
            <w:r>
              <w:rPr>
                <w:spacing w:val="-5"/>
                <w:sz w:val="20"/>
              </w:rPr>
              <w:t>8.5</w:t>
            </w:r>
          </w:p>
          <w:p>
            <w:pPr>
              <w:pStyle w:val="TableParagraph"/>
              <w:tabs>
                <w:tab w:pos="949" w:val="left" w:leader="none"/>
              </w:tabs>
              <w:spacing w:before="1"/>
              <w:ind w:left="210"/>
              <w:rPr>
                <w:sz w:val="20"/>
              </w:rPr>
            </w:pPr>
            <w:r>
              <w:rPr>
                <w:spacing w:val="-5"/>
                <w:sz w:val="20"/>
              </w:rPr>
              <w:t>21</w:t>
            </w:r>
            <w:r>
              <w:rPr>
                <w:sz w:val="20"/>
              </w:rPr>
              <w:tab/>
            </w:r>
            <w:r>
              <w:rPr>
                <w:spacing w:val="-4"/>
                <w:sz w:val="20"/>
              </w:rPr>
              <w:t>10.3</w:t>
            </w:r>
          </w:p>
          <w:p>
            <w:pPr>
              <w:pStyle w:val="TableParagraph"/>
              <w:tabs>
                <w:tab w:pos="1002" w:val="left" w:leader="none"/>
              </w:tabs>
              <w:spacing w:before="29"/>
              <w:ind w:left="268"/>
              <w:rPr>
                <w:sz w:val="20"/>
              </w:rPr>
            </w:pPr>
            <w:r>
              <w:rPr>
                <w:spacing w:val="-10"/>
                <w:sz w:val="20"/>
              </w:rPr>
              <w:t>1</w:t>
            </w:r>
            <w:r>
              <w:rPr>
                <w:sz w:val="20"/>
              </w:rPr>
              <w:tab/>
            </w:r>
            <w:r>
              <w:rPr>
                <w:spacing w:val="-5"/>
                <w:sz w:val="20"/>
              </w:rPr>
              <w:t>4.3</w:t>
            </w:r>
          </w:p>
        </w:tc>
        <w:tc>
          <w:tcPr>
            <w:tcW w:w="1507" w:type="dxa"/>
            <w:tcBorders>
              <w:left w:val="nil"/>
              <w:right w:val="nil"/>
            </w:tcBorders>
          </w:tcPr>
          <w:p>
            <w:pPr>
              <w:pStyle w:val="TableParagraph"/>
              <w:tabs>
                <w:tab w:pos="896" w:val="left" w:leader="none"/>
              </w:tabs>
              <w:spacing w:before="225"/>
              <w:ind w:left="316"/>
              <w:rPr>
                <w:sz w:val="20"/>
              </w:rPr>
            </w:pPr>
            <w:r>
              <w:rPr>
                <w:spacing w:val="-10"/>
                <w:sz w:val="20"/>
              </w:rPr>
              <w:t>1</w:t>
            </w:r>
            <w:r>
              <w:rPr>
                <w:sz w:val="20"/>
              </w:rPr>
              <w:tab/>
            </w:r>
            <w:r>
              <w:rPr>
                <w:spacing w:val="-4"/>
                <w:sz w:val="20"/>
              </w:rPr>
              <w:t>50.0</w:t>
            </w:r>
          </w:p>
          <w:p>
            <w:pPr>
              <w:pStyle w:val="TableParagraph"/>
              <w:tabs>
                <w:tab w:pos="949" w:val="left" w:leader="none"/>
              </w:tabs>
              <w:ind w:left="316"/>
              <w:rPr>
                <w:sz w:val="20"/>
              </w:rPr>
            </w:pPr>
            <w:r>
              <w:rPr>
                <w:spacing w:val="-10"/>
                <w:sz w:val="20"/>
              </w:rPr>
              <w:t>9</w:t>
            </w:r>
            <w:r>
              <w:rPr>
                <w:sz w:val="20"/>
              </w:rPr>
              <w:tab/>
            </w:r>
            <w:r>
              <w:rPr>
                <w:spacing w:val="-5"/>
                <w:sz w:val="20"/>
              </w:rPr>
              <w:t>3.8</w:t>
            </w:r>
          </w:p>
          <w:p>
            <w:pPr>
              <w:pStyle w:val="TableParagraph"/>
              <w:tabs>
                <w:tab w:pos="949" w:val="left" w:leader="none"/>
              </w:tabs>
              <w:spacing w:before="1"/>
              <w:ind w:left="258"/>
              <w:rPr>
                <w:sz w:val="20"/>
              </w:rPr>
            </w:pPr>
            <w:r>
              <w:rPr>
                <w:spacing w:val="-5"/>
                <w:sz w:val="20"/>
              </w:rPr>
              <w:t>10</w:t>
            </w:r>
            <w:r>
              <w:rPr>
                <w:sz w:val="20"/>
              </w:rPr>
              <w:tab/>
            </w:r>
            <w:r>
              <w:rPr>
                <w:spacing w:val="-5"/>
                <w:sz w:val="20"/>
              </w:rPr>
              <w:t>4.9</w:t>
            </w:r>
          </w:p>
          <w:p>
            <w:pPr>
              <w:pStyle w:val="TableParagraph"/>
              <w:tabs>
                <w:tab w:pos="896" w:val="left" w:leader="none"/>
              </w:tabs>
              <w:spacing w:before="29"/>
              <w:ind w:left="316"/>
              <w:rPr>
                <w:sz w:val="20"/>
              </w:rPr>
            </w:pPr>
            <w:r>
              <w:rPr>
                <w:spacing w:val="-10"/>
                <w:sz w:val="20"/>
              </w:rPr>
              <w:t>3</w:t>
            </w:r>
            <w:r>
              <w:rPr>
                <w:sz w:val="20"/>
              </w:rPr>
              <w:tab/>
            </w:r>
            <w:r>
              <w:rPr>
                <w:spacing w:val="-4"/>
                <w:sz w:val="20"/>
              </w:rPr>
              <w:t>13.0</w:t>
            </w:r>
          </w:p>
        </w:tc>
        <w:tc>
          <w:tcPr>
            <w:tcW w:w="1360" w:type="dxa"/>
            <w:tcBorders>
              <w:left w:val="nil"/>
              <w:right w:val="nil"/>
            </w:tcBorders>
          </w:tcPr>
          <w:p>
            <w:pPr>
              <w:pStyle w:val="TableParagraph"/>
              <w:tabs>
                <w:tab w:pos="969" w:val="left" w:leader="none"/>
              </w:tabs>
              <w:spacing w:before="225"/>
              <w:ind w:left="258"/>
              <w:rPr>
                <w:sz w:val="20"/>
              </w:rPr>
            </w:pPr>
            <w:r>
              <w:rPr>
                <w:spacing w:val="-10"/>
                <w:sz w:val="20"/>
              </w:rPr>
              <w:t>-</w:t>
            </w:r>
            <w:r>
              <w:rPr>
                <w:sz w:val="20"/>
              </w:rPr>
              <w:tab/>
            </w:r>
            <w:r>
              <w:rPr>
                <w:spacing w:val="-10"/>
                <w:sz w:val="20"/>
              </w:rPr>
              <w:t>-</w:t>
            </w:r>
          </w:p>
          <w:p>
            <w:pPr>
              <w:pStyle w:val="TableParagraph"/>
              <w:tabs>
                <w:tab w:pos="863" w:val="left" w:leader="none"/>
              </w:tabs>
              <w:ind w:left="239"/>
              <w:rPr>
                <w:sz w:val="20"/>
              </w:rPr>
            </w:pPr>
            <w:r>
              <w:rPr>
                <w:spacing w:val="-10"/>
                <w:sz w:val="20"/>
              </w:rPr>
              <w:t>4</w:t>
            </w:r>
            <w:r>
              <w:rPr>
                <w:sz w:val="20"/>
              </w:rPr>
              <w:tab/>
            </w:r>
            <w:r>
              <w:rPr>
                <w:spacing w:val="-5"/>
                <w:sz w:val="20"/>
              </w:rPr>
              <w:t>1.7</w:t>
            </w:r>
          </w:p>
          <w:p>
            <w:pPr>
              <w:pStyle w:val="TableParagraph"/>
              <w:tabs>
                <w:tab w:pos="829" w:val="left" w:leader="none"/>
              </w:tabs>
              <w:spacing w:before="1"/>
              <w:ind w:left="239"/>
              <w:rPr>
                <w:sz w:val="20"/>
              </w:rPr>
            </w:pPr>
            <w:r>
              <w:rPr>
                <w:spacing w:val="-10"/>
                <w:sz w:val="20"/>
              </w:rPr>
              <w:t>2</w:t>
            </w:r>
            <w:r>
              <w:rPr>
                <w:sz w:val="20"/>
              </w:rPr>
              <w:tab/>
            </w:r>
            <w:r>
              <w:rPr>
                <w:spacing w:val="-4"/>
                <w:sz w:val="20"/>
              </w:rPr>
              <w:t>1.0-</w:t>
            </w:r>
          </w:p>
          <w:p>
            <w:pPr>
              <w:pStyle w:val="TableParagraph"/>
              <w:tabs>
                <w:tab w:pos="969" w:val="left" w:leader="none"/>
              </w:tabs>
              <w:spacing w:before="29"/>
              <w:ind w:left="258"/>
              <w:rPr>
                <w:sz w:val="20"/>
              </w:rPr>
            </w:pPr>
            <w:r>
              <w:rPr>
                <w:spacing w:val="-10"/>
                <w:sz w:val="20"/>
              </w:rPr>
              <w:t>-</w:t>
            </w:r>
            <w:r>
              <w:rPr>
                <w:sz w:val="20"/>
              </w:rPr>
              <w:tab/>
            </w:r>
            <w:r>
              <w:rPr>
                <w:spacing w:val="-10"/>
                <w:sz w:val="20"/>
              </w:rPr>
              <w:t>-</w:t>
            </w:r>
          </w:p>
        </w:tc>
        <w:tc>
          <w:tcPr>
            <w:tcW w:w="1443" w:type="dxa"/>
            <w:tcBorders>
              <w:left w:val="nil"/>
            </w:tcBorders>
          </w:tcPr>
          <w:p>
            <w:pPr>
              <w:pStyle w:val="TableParagraph"/>
              <w:tabs>
                <w:tab w:pos="633" w:val="left" w:leader="none"/>
              </w:tabs>
              <w:spacing w:before="225"/>
              <w:ind w:right="212"/>
              <w:jc w:val="right"/>
              <w:rPr>
                <w:sz w:val="20"/>
              </w:rPr>
            </w:pPr>
            <w:r>
              <w:rPr>
                <w:spacing w:val="-10"/>
                <w:sz w:val="20"/>
              </w:rPr>
              <w:t>2</w:t>
            </w:r>
            <w:r>
              <w:rPr>
                <w:sz w:val="20"/>
              </w:rPr>
              <w:tab/>
            </w:r>
            <w:r>
              <w:rPr>
                <w:spacing w:val="-5"/>
                <w:sz w:val="20"/>
              </w:rPr>
              <w:t>0.4</w:t>
            </w:r>
          </w:p>
          <w:p>
            <w:pPr>
              <w:pStyle w:val="TableParagraph"/>
              <w:tabs>
                <w:tab w:pos="695" w:val="left" w:leader="none"/>
              </w:tabs>
              <w:ind w:right="154"/>
              <w:jc w:val="right"/>
              <w:rPr>
                <w:sz w:val="20"/>
              </w:rPr>
            </w:pPr>
            <w:r>
              <w:rPr>
                <w:spacing w:val="-5"/>
                <w:sz w:val="20"/>
              </w:rPr>
              <w:t>235</w:t>
            </w:r>
            <w:r>
              <w:rPr>
                <w:sz w:val="20"/>
              </w:rPr>
              <w:tab/>
            </w:r>
            <w:r>
              <w:rPr>
                <w:spacing w:val="-4"/>
                <w:sz w:val="20"/>
              </w:rPr>
              <w:t>50.8</w:t>
            </w:r>
          </w:p>
          <w:p>
            <w:pPr>
              <w:pStyle w:val="TableParagraph"/>
              <w:tabs>
                <w:tab w:pos="695" w:val="left" w:leader="none"/>
              </w:tabs>
              <w:spacing w:before="1"/>
              <w:ind w:right="154"/>
              <w:jc w:val="right"/>
              <w:rPr>
                <w:sz w:val="20"/>
              </w:rPr>
            </w:pPr>
            <w:r>
              <w:rPr>
                <w:spacing w:val="-5"/>
                <w:sz w:val="20"/>
              </w:rPr>
              <w:t>203</w:t>
            </w:r>
            <w:r>
              <w:rPr>
                <w:sz w:val="20"/>
              </w:rPr>
              <w:tab/>
            </w:r>
            <w:r>
              <w:rPr>
                <w:spacing w:val="-4"/>
                <w:sz w:val="20"/>
              </w:rPr>
              <w:t>43.8</w:t>
            </w:r>
          </w:p>
          <w:p>
            <w:pPr>
              <w:pStyle w:val="TableParagraph"/>
              <w:tabs>
                <w:tab w:pos="691" w:val="left" w:leader="none"/>
              </w:tabs>
              <w:spacing w:before="29"/>
              <w:ind w:right="212"/>
              <w:jc w:val="right"/>
              <w:rPr>
                <w:sz w:val="20"/>
              </w:rPr>
            </w:pPr>
            <w:r>
              <w:rPr>
                <w:spacing w:val="-5"/>
                <w:sz w:val="20"/>
              </w:rPr>
              <w:t>23</w:t>
            </w:r>
            <w:r>
              <w:rPr>
                <w:sz w:val="20"/>
              </w:rPr>
              <w:tab/>
            </w:r>
            <w:r>
              <w:rPr>
                <w:spacing w:val="-5"/>
                <w:sz w:val="20"/>
              </w:rPr>
              <w:t>5.0</w:t>
            </w:r>
          </w:p>
        </w:tc>
      </w:tr>
    </w:tbl>
    <w:p>
      <w:pPr>
        <w:spacing w:after="0"/>
        <w:jc w:val="right"/>
        <w:rPr>
          <w:sz w:val="20"/>
        </w:rPr>
        <w:sectPr>
          <w:headerReference w:type="default" r:id="rId331"/>
          <w:footerReference w:type="default" r:id="rId332"/>
          <w:pgSz w:w="15840" w:h="12240" w:orient="landscape"/>
          <w:pgMar w:header="722" w:footer="791" w:top="1340" w:bottom="980" w:left="500" w:right="360"/>
        </w:sectPr>
      </w:pPr>
    </w:p>
    <w:p>
      <w:pPr>
        <w:pStyle w:val="BodyText"/>
        <w:spacing w:line="480" w:lineRule="auto" w:before="82"/>
        <w:ind w:left="820" w:right="116" w:firstLine="720"/>
        <w:jc w:val="both"/>
      </w:pPr>
      <w:r>
        <w:rPr/>
        <w:t>Item 48 sought to confirm whether or not the universities in the three geopolitical zones in Northern part of Nigeria have established and maintained sports</w:t>
      </w:r>
      <w:r>
        <w:rPr>
          <w:spacing w:val="12"/>
        </w:rPr>
        <w:t> </w:t>
      </w:r>
      <w:r>
        <w:rPr/>
        <w:t>and</w:t>
      </w:r>
      <w:r>
        <w:rPr>
          <w:spacing w:val="13"/>
        </w:rPr>
        <w:t> </w:t>
      </w:r>
      <w:r>
        <w:rPr/>
        <w:t>recreational</w:t>
      </w:r>
      <w:r>
        <w:rPr>
          <w:spacing w:val="16"/>
        </w:rPr>
        <w:t> </w:t>
      </w:r>
      <w:r>
        <w:rPr/>
        <w:t>activities</w:t>
      </w:r>
      <w:r>
        <w:rPr>
          <w:spacing w:val="12"/>
        </w:rPr>
        <w:t> </w:t>
      </w:r>
      <w:r>
        <w:rPr/>
        <w:t>to</w:t>
      </w:r>
      <w:r>
        <w:rPr>
          <w:spacing w:val="13"/>
        </w:rPr>
        <w:t> </w:t>
      </w:r>
      <w:r>
        <w:rPr/>
        <w:t>facilitate</w:t>
      </w:r>
      <w:r>
        <w:rPr>
          <w:spacing w:val="8"/>
        </w:rPr>
        <w:t> </w:t>
      </w:r>
      <w:r>
        <w:rPr/>
        <w:t>students’</w:t>
      </w:r>
      <w:r>
        <w:rPr>
          <w:spacing w:val="12"/>
        </w:rPr>
        <w:t> </w:t>
      </w:r>
      <w:r>
        <w:rPr/>
        <w:t>welfare.</w:t>
      </w:r>
      <w:r>
        <w:rPr>
          <w:spacing w:val="13"/>
        </w:rPr>
        <w:t> </w:t>
      </w:r>
      <w:r>
        <w:rPr/>
        <w:t>128</w:t>
      </w:r>
      <w:r>
        <w:rPr>
          <w:spacing w:val="13"/>
        </w:rPr>
        <w:t> </w:t>
      </w:r>
      <w:r>
        <w:rPr>
          <w:spacing w:val="-2"/>
        </w:rPr>
        <w:t>representing</w:t>
      </w:r>
    </w:p>
    <w:p>
      <w:pPr>
        <w:pStyle w:val="BodyText"/>
        <w:spacing w:line="480" w:lineRule="auto"/>
        <w:ind w:left="820" w:right="115"/>
        <w:jc w:val="both"/>
      </w:pPr>
      <w:r>
        <w:rPr/>
        <w:t>54.6 percent of students, 136 representing 67 percent of service staff and 16 representing 69.6 percent of top management reached consensus that a virile programme on sports and recreation. However 66 representing 28.1 percent of students, 30 representing 14.8 percent of service staff and 5 representing 21.7 percent of top management had contrary opinion. Very few representing low percentage claimed indecision. By this high percentage of positive consensus of opinion, it could be concluded that Sports and Recreation were fully maintained and supervised so as to facilitate students’ academic performance.</w:t>
      </w:r>
    </w:p>
    <w:p>
      <w:pPr>
        <w:pStyle w:val="BodyText"/>
        <w:spacing w:line="480" w:lineRule="auto"/>
        <w:ind w:left="820" w:right="115" w:firstLine="720"/>
        <w:jc w:val="both"/>
      </w:pPr>
      <w:r>
        <w:rPr/>
        <w:t>There was congruence in the opinion among the three categories of respondents that the sports and recreational facilities in the Universities can</w:t>
      </w:r>
      <w:r>
        <w:rPr>
          <w:spacing w:val="40"/>
        </w:rPr>
        <w:t> </w:t>
      </w:r>
      <w:r>
        <w:rPr/>
        <w:t>cover a wide range of activities to satisfy the diverse tasks, interests and skills of students</w:t>
      </w:r>
      <w:r>
        <w:rPr>
          <w:spacing w:val="-1"/>
        </w:rPr>
        <w:t> </w:t>
      </w:r>
      <w:r>
        <w:rPr/>
        <w:t>as</w:t>
      </w:r>
      <w:r>
        <w:rPr>
          <w:spacing w:val="-1"/>
        </w:rPr>
        <w:t> </w:t>
      </w:r>
      <w:r>
        <w:rPr/>
        <w:t>raised in</w:t>
      </w:r>
      <w:r>
        <w:rPr>
          <w:spacing w:val="-4"/>
        </w:rPr>
        <w:t> </w:t>
      </w:r>
      <w:r>
        <w:rPr/>
        <w:t>item</w:t>
      </w:r>
      <w:r>
        <w:rPr>
          <w:spacing w:val="-9"/>
        </w:rPr>
        <w:t> </w:t>
      </w:r>
      <w:r>
        <w:rPr/>
        <w:t>49.</w:t>
      </w:r>
      <w:r>
        <w:rPr>
          <w:spacing w:val="-1"/>
        </w:rPr>
        <w:t> </w:t>
      </w:r>
      <w:r>
        <w:rPr/>
        <w:t>This</w:t>
      </w:r>
      <w:r>
        <w:rPr>
          <w:spacing w:val="-1"/>
        </w:rPr>
        <w:t> </w:t>
      </w:r>
      <w:r>
        <w:rPr/>
        <w:t>was</w:t>
      </w:r>
      <w:r>
        <w:rPr>
          <w:spacing w:val="-1"/>
        </w:rPr>
        <w:t> </w:t>
      </w:r>
      <w:r>
        <w:rPr/>
        <w:t>confirmed by</w:t>
      </w:r>
      <w:r>
        <w:rPr>
          <w:spacing w:val="-1"/>
        </w:rPr>
        <w:t> </w:t>
      </w:r>
      <w:r>
        <w:rPr/>
        <w:t>62.9 percent</w:t>
      </w:r>
      <w:r>
        <w:rPr>
          <w:spacing w:val="-1"/>
        </w:rPr>
        <w:t> </w:t>
      </w:r>
      <w:r>
        <w:rPr/>
        <w:t>of</w:t>
      </w:r>
      <w:r>
        <w:rPr>
          <w:spacing w:val="-1"/>
        </w:rPr>
        <w:t> </w:t>
      </w:r>
      <w:r>
        <w:rPr/>
        <w:t>students,</w:t>
      </w:r>
      <w:r>
        <w:rPr>
          <w:spacing w:val="-1"/>
        </w:rPr>
        <w:t> </w:t>
      </w:r>
      <w:r>
        <w:rPr/>
        <w:t>68 percent</w:t>
      </w:r>
      <w:r>
        <w:rPr>
          <w:spacing w:val="27"/>
        </w:rPr>
        <w:t> </w:t>
      </w:r>
      <w:r>
        <w:rPr/>
        <w:t>of</w:t>
      </w:r>
      <w:r>
        <w:rPr>
          <w:spacing w:val="33"/>
        </w:rPr>
        <w:t> </w:t>
      </w:r>
      <w:r>
        <w:rPr/>
        <w:t>service</w:t>
      </w:r>
      <w:r>
        <w:rPr>
          <w:spacing w:val="34"/>
        </w:rPr>
        <w:t> </w:t>
      </w:r>
      <w:r>
        <w:rPr/>
        <w:t>staff</w:t>
      </w:r>
      <w:r>
        <w:rPr>
          <w:spacing w:val="32"/>
        </w:rPr>
        <w:t> </w:t>
      </w:r>
      <w:r>
        <w:rPr/>
        <w:t>and</w:t>
      </w:r>
      <w:r>
        <w:rPr>
          <w:spacing w:val="34"/>
        </w:rPr>
        <w:t> </w:t>
      </w:r>
      <w:r>
        <w:rPr/>
        <w:t>73.9</w:t>
      </w:r>
      <w:r>
        <w:rPr>
          <w:spacing w:val="29"/>
        </w:rPr>
        <w:t> </w:t>
      </w:r>
      <w:r>
        <w:rPr/>
        <w:t>percent</w:t>
      </w:r>
      <w:r>
        <w:rPr>
          <w:spacing w:val="32"/>
        </w:rPr>
        <w:t> </w:t>
      </w:r>
      <w:r>
        <w:rPr/>
        <w:t>of</w:t>
      </w:r>
      <w:r>
        <w:rPr>
          <w:spacing w:val="29"/>
        </w:rPr>
        <w:t> </w:t>
      </w:r>
      <w:r>
        <w:rPr/>
        <w:t>top</w:t>
      </w:r>
      <w:r>
        <w:rPr>
          <w:spacing w:val="34"/>
        </w:rPr>
        <w:t> </w:t>
      </w:r>
      <w:r>
        <w:rPr/>
        <w:t>management</w:t>
      </w:r>
      <w:r>
        <w:rPr>
          <w:spacing w:val="32"/>
        </w:rPr>
        <w:t> </w:t>
      </w:r>
      <w:r>
        <w:rPr/>
        <w:t>staff.</w:t>
      </w:r>
      <w:r>
        <w:rPr>
          <w:spacing w:val="25"/>
        </w:rPr>
        <w:t> </w:t>
      </w:r>
      <w:r>
        <w:rPr/>
        <w:t>While</w:t>
      </w:r>
      <w:r>
        <w:rPr>
          <w:spacing w:val="33"/>
        </w:rPr>
        <w:t> </w:t>
      </w:r>
      <w:r>
        <w:rPr>
          <w:spacing w:val="-4"/>
        </w:rPr>
        <w:t>only</w:t>
      </w:r>
    </w:p>
    <w:p>
      <w:pPr>
        <w:pStyle w:val="BodyText"/>
        <w:spacing w:line="480" w:lineRule="auto" w:before="1"/>
        <w:ind w:left="820" w:right="114"/>
        <w:jc w:val="both"/>
      </w:pPr>
      <w:r>
        <w:rPr/>
        <w:t>21.7 percent of students, 14.8 percent of service staff and 21.7 percent of top management staff disagreed with this opinion. Very negligible percent were undecided.</w:t>
      </w:r>
      <w:r>
        <w:rPr>
          <w:spacing w:val="-2"/>
        </w:rPr>
        <w:t> </w:t>
      </w:r>
      <w:r>
        <w:rPr/>
        <w:t>It</w:t>
      </w:r>
      <w:r>
        <w:rPr>
          <w:spacing w:val="-2"/>
        </w:rPr>
        <w:t> </w:t>
      </w:r>
      <w:r>
        <w:rPr/>
        <w:t>was very possible that</w:t>
      </w:r>
      <w:r>
        <w:rPr>
          <w:spacing w:val="-3"/>
        </w:rPr>
        <w:t> </w:t>
      </w:r>
      <w:r>
        <w:rPr/>
        <w:t>the types</w:t>
      </w:r>
      <w:r>
        <w:rPr>
          <w:spacing w:val="-3"/>
        </w:rPr>
        <w:t> </w:t>
      </w:r>
      <w:r>
        <w:rPr/>
        <w:t>of sports</w:t>
      </w:r>
      <w:r>
        <w:rPr>
          <w:spacing w:val="-3"/>
        </w:rPr>
        <w:t> </w:t>
      </w:r>
      <w:r>
        <w:rPr/>
        <w:t>and</w:t>
      </w:r>
      <w:r>
        <w:rPr>
          <w:spacing w:val="-2"/>
        </w:rPr>
        <w:t> </w:t>
      </w:r>
      <w:r>
        <w:rPr/>
        <w:t>recreational activities available in the universities have adequate infrastructural facilities particularly equipment like football, volleyball, hockey, track fields, balls, swimming pools etcetera. Since the universities host some national and international games it</w:t>
      </w:r>
      <w:r>
        <w:rPr>
          <w:spacing w:val="40"/>
        </w:rPr>
        <w:t> </w:t>
      </w:r>
      <w:r>
        <w:rPr/>
        <w:t>was proper that universities provided such facilities.</w:t>
      </w:r>
    </w:p>
    <w:p>
      <w:pPr>
        <w:spacing w:after="0" w:line="480" w:lineRule="auto"/>
        <w:jc w:val="both"/>
        <w:sectPr>
          <w:headerReference w:type="default" r:id="rId333"/>
          <w:footerReference w:type="default" r:id="rId334"/>
          <w:pgSz w:w="12240" w:h="15840"/>
          <w:pgMar w:header="722" w:footer="791" w:top="1340" w:bottom="980" w:left="1340" w:right="1320"/>
        </w:sectPr>
      </w:pPr>
    </w:p>
    <w:p>
      <w:pPr>
        <w:pStyle w:val="BodyText"/>
        <w:spacing w:line="480" w:lineRule="auto" w:before="82"/>
        <w:ind w:left="820" w:right="114" w:firstLine="720"/>
        <w:jc w:val="both"/>
      </w:pPr>
      <w:r>
        <w:rPr/>
        <w:t>Item 50 believed that encouraging students to participate in sports and recreation would create opportunities for them to win various scholarships, bursary, fellowships and even easy access to job procurement. This view was strongly upheld by the consensus in the opinions of the three categories of respondents as 73.7 percent of students, 70.5 percent of service staff and 91.3 percent of top management staff were resolute. However, 16.1 percent of students, 13.8 percent of service staff and 4.3 percent of top management had contrary views while very negligible percent of respondents were undecided.</w:t>
      </w:r>
    </w:p>
    <w:p>
      <w:pPr>
        <w:pStyle w:val="BodyText"/>
        <w:spacing w:line="480" w:lineRule="auto"/>
        <w:ind w:left="820" w:right="116" w:firstLine="720"/>
        <w:jc w:val="both"/>
      </w:pPr>
      <w:r>
        <w:rPr/>
        <w:t>There was yet another view that students’ participation in West African University Games (WAUG), Federation of African University Sports (FAUS), Nigerian Universities Games Association (NUGA) and many others provided them with wide exposure at home and abroad. It was not surprising that the majority opinion of respondents expressed concordance. Some well known individuals world over like Pele, J.J. Okocha, Andre Agassi, Tiger Woods, the William sisters, Jamba Jamba, Ronaldo and hosts of them have gained fame because of their exposure and performance in sports, games and recreation. Analyzing this 92.3 percent of students, 70.5 percent of service staff and 95.7 percent of top management were in full agreement of this view. Only a negligible percent of respondents held a contrary view.</w:t>
      </w:r>
    </w:p>
    <w:p>
      <w:pPr>
        <w:pStyle w:val="BodyText"/>
        <w:spacing w:line="480" w:lineRule="auto" w:before="1"/>
        <w:ind w:left="820" w:right="115" w:firstLine="720"/>
        <w:jc w:val="both"/>
      </w:pPr>
      <w:r>
        <w:rPr/>
        <w:t>Item 52 sought the opinions of individuals on whether or not provision of sports and recreational facilities on the university campuses reduced conflict and students’ crisis in the Universities. 74.5 percent of students, 73.9 percent of service</w:t>
      </w:r>
      <w:r>
        <w:rPr>
          <w:spacing w:val="7"/>
        </w:rPr>
        <w:t> </w:t>
      </w:r>
      <w:r>
        <w:rPr/>
        <w:t>staff</w:t>
      </w:r>
      <w:r>
        <w:rPr>
          <w:spacing w:val="7"/>
        </w:rPr>
        <w:t> </w:t>
      </w:r>
      <w:r>
        <w:rPr/>
        <w:t>and</w:t>
      </w:r>
      <w:r>
        <w:rPr>
          <w:spacing w:val="7"/>
        </w:rPr>
        <w:t> </w:t>
      </w:r>
      <w:r>
        <w:rPr/>
        <w:t>91.3</w:t>
      </w:r>
      <w:r>
        <w:rPr>
          <w:spacing w:val="7"/>
        </w:rPr>
        <w:t> </w:t>
      </w:r>
      <w:r>
        <w:rPr/>
        <w:t>percent</w:t>
      </w:r>
      <w:r>
        <w:rPr>
          <w:spacing w:val="3"/>
        </w:rPr>
        <w:t> </w:t>
      </w:r>
      <w:r>
        <w:rPr/>
        <w:t>of</w:t>
      </w:r>
      <w:r>
        <w:rPr>
          <w:spacing w:val="2"/>
        </w:rPr>
        <w:t> </w:t>
      </w:r>
      <w:r>
        <w:rPr/>
        <w:t>top</w:t>
      </w:r>
      <w:r>
        <w:rPr>
          <w:spacing w:val="7"/>
        </w:rPr>
        <w:t> </w:t>
      </w:r>
      <w:r>
        <w:rPr/>
        <w:t>management</w:t>
      </w:r>
      <w:r>
        <w:rPr>
          <w:spacing w:val="7"/>
        </w:rPr>
        <w:t> </w:t>
      </w:r>
      <w:r>
        <w:rPr/>
        <w:t>staff</w:t>
      </w:r>
      <w:r>
        <w:rPr>
          <w:spacing w:val="8"/>
        </w:rPr>
        <w:t> </w:t>
      </w:r>
      <w:r>
        <w:rPr/>
        <w:t>were</w:t>
      </w:r>
      <w:r>
        <w:rPr>
          <w:spacing w:val="7"/>
        </w:rPr>
        <w:t> </w:t>
      </w:r>
      <w:r>
        <w:rPr/>
        <w:t>in</w:t>
      </w:r>
      <w:r>
        <w:rPr>
          <w:spacing w:val="3"/>
        </w:rPr>
        <w:t> </w:t>
      </w:r>
      <w:r>
        <w:rPr/>
        <w:t>full</w:t>
      </w:r>
      <w:r>
        <w:rPr>
          <w:spacing w:val="11"/>
        </w:rPr>
        <w:t> </w:t>
      </w:r>
      <w:r>
        <w:rPr/>
        <w:t>support.</w:t>
      </w:r>
      <w:r>
        <w:rPr>
          <w:spacing w:val="7"/>
        </w:rPr>
        <w:t> </w:t>
      </w:r>
      <w:r>
        <w:rPr>
          <w:spacing w:val="-4"/>
        </w:rPr>
        <w:t>This</w:t>
      </w:r>
    </w:p>
    <w:p>
      <w:pPr>
        <w:spacing w:after="0" w:line="480" w:lineRule="auto"/>
        <w:jc w:val="both"/>
        <w:sectPr>
          <w:headerReference w:type="default" r:id="rId335"/>
          <w:footerReference w:type="default" r:id="rId336"/>
          <w:pgSz w:w="12240" w:h="15840"/>
          <w:pgMar w:header="722" w:footer="791" w:top="1340" w:bottom="980" w:left="1340" w:right="1320"/>
        </w:sectPr>
      </w:pPr>
    </w:p>
    <w:p>
      <w:pPr>
        <w:pStyle w:val="BodyText"/>
        <w:spacing w:line="480" w:lineRule="auto" w:before="82"/>
        <w:ind w:left="820" w:right="114"/>
        <w:jc w:val="both"/>
      </w:pPr>
      <w:r>
        <w:rPr/>
        <w:t>high consensus in their opinions seemed to suggest that students were likely to divert and burn their surplus energies on sports and recreation so that less exuberance would be left for any mischief making. Infact there would be “no idle minds for devils’ workshop”.</w:t>
      </w:r>
    </w:p>
    <w:p>
      <w:pPr>
        <w:pStyle w:val="BodyText"/>
        <w:spacing w:line="480" w:lineRule="auto"/>
        <w:ind w:left="820" w:right="116" w:firstLine="720"/>
        <w:jc w:val="both"/>
      </w:pPr>
      <w:r>
        <w:rPr/>
        <w:t>As for the view on the adequate provision of indoor games like chess, snookers, ludo, television sets in their common rooms and student centers, 86 percent of students, 83.8 percent of service staff and 82.6 percent of top management staff were in full support. Only very few had contrary view and very low percent were undecided. It is obvious that students should be given varieties of indoor activities especially to take care of those that could not afford to be on the field due to ill-health, deformity or excess work load. The indoor activities like viewing television, internets etcetera play a significant role in widening the scope of students’ academic awareness and pursuit.</w:t>
      </w:r>
    </w:p>
    <w:p>
      <w:pPr>
        <w:pStyle w:val="Heading2"/>
        <w:numPr>
          <w:ilvl w:val="3"/>
          <w:numId w:val="39"/>
        </w:numPr>
        <w:tabs>
          <w:tab w:pos="1540" w:val="left" w:leader="none"/>
        </w:tabs>
        <w:spacing w:line="240" w:lineRule="auto" w:before="0" w:after="0"/>
        <w:ind w:left="1540" w:right="121" w:hanging="1440"/>
        <w:jc w:val="left"/>
        <w:rPr>
          <w:rFonts w:ascii="Arial MT" w:hAnsi="Arial MT"/>
          <w:b w:val="0"/>
        </w:rPr>
      </w:pPr>
      <w:r>
        <w:rPr/>
        <w:t>The</w:t>
      </w:r>
      <w:r>
        <w:rPr>
          <w:spacing w:val="40"/>
        </w:rPr>
        <w:t> </w:t>
      </w:r>
      <w:r>
        <w:rPr/>
        <w:t>impact</w:t>
      </w:r>
      <w:r>
        <w:rPr>
          <w:spacing w:val="40"/>
        </w:rPr>
        <w:t> </w:t>
      </w:r>
      <w:r>
        <w:rPr/>
        <w:t>of</w:t>
      </w:r>
      <w:r>
        <w:rPr>
          <w:spacing w:val="40"/>
        </w:rPr>
        <w:t> </w:t>
      </w:r>
      <w:r>
        <w:rPr/>
        <w:t>Security</w:t>
      </w:r>
      <w:r>
        <w:rPr>
          <w:spacing w:val="40"/>
        </w:rPr>
        <w:t> </w:t>
      </w:r>
      <w:r>
        <w:rPr/>
        <w:t>and</w:t>
      </w:r>
      <w:r>
        <w:rPr>
          <w:spacing w:val="40"/>
        </w:rPr>
        <w:t> </w:t>
      </w:r>
      <w:r>
        <w:rPr/>
        <w:t>Communication</w:t>
      </w:r>
      <w:r>
        <w:rPr>
          <w:spacing w:val="40"/>
        </w:rPr>
        <w:t> </w:t>
      </w:r>
      <w:r>
        <w:rPr/>
        <w:t>services</w:t>
      </w:r>
      <w:r>
        <w:rPr>
          <w:spacing w:val="40"/>
        </w:rPr>
        <w:t> </w:t>
      </w:r>
      <w:r>
        <w:rPr/>
        <w:t>on students’ welfare</w:t>
      </w:r>
    </w:p>
    <w:p>
      <w:pPr>
        <w:pStyle w:val="BodyText"/>
        <w:spacing w:line="480" w:lineRule="auto" w:before="278"/>
        <w:ind w:left="820" w:right="115" w:firstLine="720"/>
        <w:jc w:val="both"/>
      </w:pPr>
      <w:r>
        <w:rPr/>
        <w:t>This section deals with the opinions of the three groups on the effects of security and communication services provided by the some Universities. The section covered statements from items 54 to 58 as shown in Table 4.3.1.5.</w:t>
      </w:r>
    </w:p>
    <w:p>
      <w:pPr>
        <w:spacing w:after="0" w:line="480" w:lineRule="auto"/>
        <w:jc w:val="both"/>
        <w:sectPr>
          <w:headerReference w:type="default" r:id="rId337"/>
          <w:footerReference w:type="default" r:id="rId338"/>
          <w:pgSz w:w="12240" w:h="15840"/>
          <w:pgMar w:header="722" w:footer="791" w:top="1340" w:bottom="980" w:left="1340" w:right="1320"/>
        </w:sectPr>
      </w:pPr>
    </w:p>
    <w:p>
      <w:pPr>
        <w:pStyle w:val="BodyText"/>
        <w:spacing w:before="72"/>
        <w:ind w:left="3" w:right="433"/>
        <w:jc w:val="center"/>
        <w:rPr>
          <w:rFonts w:ascii="Times New Roman"/>
        </w:rPr>
      </w:pPr>
      <w:r>
        <w:rPr>
          <w:rFonts w:ascii="Times New Roman"/>
          <w:spacing w:val="-5"/>
        </w:rPr>
        <w:t>149</w:t>
      </w:r>
    </w:p>
    <w:p>
      <w:pPr>
        <w:pStyle w:val="BodyText"/>
        <w:spacing w:before="121"/>
        <w:rPr>
          <w:rFonts w:ascii="Times New Roman"/>
          <w:sz w:val="28"/>
        </w:rPr>
      </w:pPr>
    </w:p>
    <w:p>
      <w:pPr>
        <w:pStyle w:val="Heading2"/>
        <w:spacing w:before="1"/>
        <w:ind w:left="2476" w:right="984" w:hanging="1824"/>
      </w:pPr>
      <w:r>
        <w:rPr/>
        <w:t>Table</w:t>
      </w:r>
      <w:r>
        <w:rPr>
          <w:spacing w:val="-3"/>
        </w:rPr>
        <w:t> </w:t>
      </w:r>
      <w:r>
        <w:rPr/>
        <w:t>4.3.1.5:</w:t>
      </w:r>
      <w:r>
        <w:rPr>
          <w:spacing w:val="-3"/>
        </w:rPr>
        <w:t> </w:t>
      </w:r>
      <w:r>
        <w:rPr/>
        <w:t>Opinions</w:t>
      </w:r>
      <w:r>
        <w:rPr>
          <w:spacing w:val="-3"/>
        </w:rPr>
        <w:t> </w:t>
      </w:r>
      <w:r>
        <w:rPr/>
        <w:t>of</w:t>
      </w:r>
      <w:r>
        <w:rPr>
          <w:spacing w:val="-3"/>
        </w:rPr>
        <w:t> </w:t>
      </w:r>
      <w:r>
        <w:rPr/>
        <w:t>respondents</w:t>
      </w:r>
      <w:r>
        <w:rPr>
          <w:spacing w:val="-3"/>
        </w:rPr>
        <w:t> </w:t>
      </w:r>
      <w:r>
        <w:rPr/>
        <w:t>on</w:t>
      </w:r>
      <w:r>
        <w:rPr>
          <w:spacing w:val="-4"/>
        </w:rPr>
        <w:t> </w:t>
      </w:r>
      <w:r>
        <w:rPr/>
        <w:t>the</w:t>
      </w:r>
      <w:r>
        <w:rPr>
          <w:spacing w:val="-8"/>
        </w:rPr>
        <w:t> </w:t>
      </w:r>
      <w:r>
        <w:rPr/>
        <w:t>impact</w:t>
      </w:r>
      <w:r>
        <w:rPr>
          <w:spacing w:val="-4"/>
        </w:rPr>
        <w:t> </w:t>
      </w:r>
      <w:r>
        <w:rPr/>
        <w:t>of</w:t>
      </w:r>
      <w:r>
        <w:rPr>
          <w:spacing w:val="-3"/>
        </w:rPr>
        <w:t> </w:t>
      </w:r>
      <w:r>
        <w:rPr/>
        <w:t>security</w:t>
      </w:r>
      <w:r>
        <w:rPr>
          <w:spacing w:val="-8"/>
        </w:rPr>
        <w:t> </w:t>
      </w:r>
      <w:r>
        <w:rPr/>
        <w:t>and</w:t>
      </w:r>
      <w:r>
        <w:rPr>
          <w:spacing w:val="-4"/>
        </w:rPr>
        <w:t> </w:t>
      </w:r>
      <w:r>
        <w:rPr/>
        <w:t>communication</w:t>
      </w:r>
      <w:r>
        <w:rPr>
          <w:spacing w:val="-4"/>
        </w:rPr>
        <w:t> </w:t>
      </w:r>
      <w:r>
        <w:rPr/>
        <w:t>services</w:t>
      </w:r>
      <w:r>
        <w:rPr>
          <w:spacing w:val="-3"/>
        </w:rPr>
        <w:t> </w:t>
      </w:r>
      <w:r>
        <w:rPr/>
        <w:t>on students’ welfare</w:t>
      </w:r>
    </w:p>
    <w:p>
      <w:pPr>
        <w:pStyle w:val="BodyText"/>
        <w:spacing w:before="55"/>
        <w:rPr>
          <w:rFonts w:ascii="Arial"/>
          <w:b/>
          <w:sz w:val="20"/>
        </w:rPr>
      </w:pPr>
    </w:p>
    <w:tbl>
      <w:tblPr>
        <w:tblW w:w="0" w:type="auto"/>
        <w:jc w:val="left"/>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47"/>
        <w:gridCol w:w="1977"/>
        <w:gridCol w:w="541"/>
        <w:gridCol w:w="732"/>
        <w:gridCol w:w="691"/>
        <w:gridCol w:w="708"/>
        <w:gridCol w:w="756"/>
        <w:gridCol w:w="874"/>
        <w:gridCol w:w="740"/>
        <w:gridCol w:w="774"/>
        <w:gridCol w:w="628"/>
        <w:gridCol w:w="731"/>
        <w:gridCol w:w="733"/>
        <w:gridCol w:w="739"/>
      </w:tblGrid>
      <w:tr>
        <w:trPr>
          <w:trHeight w:val="273" w:hRule="atLeast"/>
        </w:trPr>
        <w:tc>
          <w:tcPr>
            <w:tcW w:w="4147" w:type="dxa"/>
            <w:vMerge w:val="restart"/>
            <w:tcBorders>
              <w:top w:val="single" w:sz="4" w:space="0" w:color="000000"/>
              <w:left w:val="single" w:sz="4" w:space="0" w:color="000000"/>
              <w:bottom w:val="single" w:sz="4" w:space="0" w:color="000000"/>
            </w:tcBorders>
          </w:tcPr>
          <w:p>
            <w:pPr>
              <w:pStyle w:val="TableParagraph"/>
              <w:rPr>
                <w:rFonts w:ascii="Arial"/>
                <w:b/>
                <w:sz w:val="20"/>
              </w:rPr>
            </w:pPr>
          </w:p>
          <w:p>
            <w:pPr>
              <w:pStyle w:val="TableParagraph"/>
              <w:spacing w:before="216"/>
              <w:rPr>
                <w:rFonts w:ascii="Arial"/>
                <w:b/>
                <w:sz w:val="20"/>
              </w:rPr>
            </w:pPr>
          </w:p>
          <w:p>
            <w:pPr>
              <w:pStyle w:val="TableParagraph"/>
              <w:tabs>
                <w:tab w:pos="830" w:val="left" w:leader="none"/>
              </w:tabs>
              <w:ind w:left="134"/>
              <w:rPr>
                <w:rFonts w:ascii="Arial"/>
                <w:b/>
                <w:sz w:val="20"/>
              </w:rPr>
            </w:pPr>
            <w:r>
              <w:rPr>
                <w:rFonts w:ascii="Arial"/>
                <w:b/>
                <w:spacing w:val="-4"/>
                <w:sz w:val="20"/>
              </w:rPr>
              <w:t>S/No</w:t>
            </w:r>
            <w:r>
              <w:rPr>
                <w:rFonts w:ascii="Arial"/>
                <w:b/>
                <w:sz w:val="20"/>
              </w:rPr>
              <w:tab/>
              <w:t>Item</w:t>
            </w:r>
            <w:r>
              <w:rPr>
                <w:rFonts w:ascii="Arial"/>
                <w:b/>
                <w:spacing w:val="-2"/>
                <w:sz w:val="20"/>
              </w:rPr>
              <w:t> Statements</w:t>
            </w:r>
          </w:p>
        </w:tc>
        <w:tc>
          <w:tcPr>
            <w:tcW w:w="1977" w:type="dxa"/>
            <w:vMerge w:val="restart"/>
            <w:tcBorders>
              <w:top w:val="single" w:sz="4" w:space="0" w:color="000000"/>
              <w:bottom w:val="single" w:sz="4" w:space="0" w:color="000000"/>
              <w:right w:val="single" w:sz="4" w:space="0" w:color="000000"/>
            </w:tcBorders>
          </w:tcPr>
          <w:p>
            <w:pPr>
              <w:pStyle w:val="TableParagraph"/>
              <w:spacing w:before="224"/>
              <w:rPr>
                <w:rFonts w:ascii="Arial"/>
                <w:b/>
                <w:sz w:val="20"/>
              </w:rPr>
            </w:pPr>
          </w:p>
          <w:p>
            <w:pPr>
              <w:pStyle w:val="TableParagraph"/>
              <w:spacing w:line="235" w:lineRule="auto"/>
              <w:ind w:left="110"/>
              <w:rPr>
                <w:rFonts w:ascii="Arial"/>
                <w:b/>
                <w:sz w:val="20"/>
              </w:rPr>
            </w:pPr>
            <w:r>
              <w:rPr>
                <w:rFonts w:ascii="Arial"/>
                <w:b/>
                <w:sz w:val="20"/>
              </w:rPr>
              <w:t>Category of </w:t>
            </w:r>
            <w:r>
              <w:rPr>
                <w:rFonts w:ascii="Arial"/>
                <w:b/>
                <w:spacing w:val="-2"/>
                <w:sz w:val="20"/>
              </w:rPr>
              <w:t>Respondents</w:t>
            </w:r>
          </w:p>
        </w:tc>
        <w:tc>
          <w:tcPr>
            <w:tcW w:w="8647" w:type="dxa"/>
            <w:gridSpan w:val="12"/>
            <w:tcBorders>
              <w:top w:val="single" w:sz="4" w:space="0" w:color="000000"/>
              <w:left w:val="single" w:sz="4" w:space="0" w:color="000000"/>
              <w:bottom w:val="single" w:sz="4" w:space="0" w:color="000000"/>
              <w:right w:val="single" w:sz="4" w:space="0" w:color="000000"/>
            </w:tcBorders>
          </w:tcPr>
          <w:p>
            <w:pPr>
              <w:pStyle w:val="TableParagraph"/>
              <w:spacing w:line="253" w:lineRule="exact"/>
              <w:ind w:right="1378"/>
              <w:jc w:val="center"/>
              <w:rPr>
                <w:rFonts w:ascii="Arial"/>
                <w:b/>
                <w:sz w:val="24"/>
              </w:rPr>
            </w:pPr>
            <w:r>
              <w:rPr>
                <w:rFonts w:ascii="Arial"/>
                <w:b/>
                <w:spacing w:val="-2"/>
                <w:sz w:val="24"/>
              </w:rPr>
              <w:t>Responses</w:t>
            </w:r>
          </w:p>
        </w:tc>
      </w:tr>
      <w:tr>
        <w:trPr>
          <w:trHeight w:val="460" w:hRule="atLeast"/>
        </w:trPr>
        <w:tc>
          <w:tcPr>
            <w:tcW w:w="4147" w:type="dxa"/>
            <w:vMerge/>
            <w:tcBorders>
              <w:top w:val="nil"/>
              <w:left w:val="single" w:sz="4" w:space="0" w:color="000000"/>
              <w:bottom w:val="single" w:sz="4" w:space="0" w:color="000000"/>
            </w:tcBorders>
          </w:tcPr>
          <w:p>
            <w:pPr>
              <w:rPr>
                <w:sz w:val="2"/>
                <w:szCs w:val="2"/>
              </w:rPr>
            </w:pPr>
          </w:p>
        </w:tc>
        <w:tc>
          <w:tcPr>
            <w:tcW w:w="1977" w:type="dxa"/>
            <w:vMerge/>
            <w:tcBorders>
              <w:top w:val="nil"/>
              <w:bottom w:val="single" w:sz="4" w:space="0" w:color="000000"/>
              <w:right w:val="single" w:sz="4" w:space="0" w:color="000000"/>
            </w:tcBorders>
          </w:tcPr>
          <w:p>
            <w:pPr>
              <w:rPr>
                <w:sz w:val="2"/>
                <w:szCs w:val="2"/>
              </w:rPr>
            </w:pPr>
          </w:p>
        </w:tc>
        <w:tc>
          <w:tcPr>
            <w:tcW w:w="8647" w:type="dxa"/>
            <w:gridSpan w:val="12"/>
            <w:tcBorders>
              <w:top w:val="single" w:sz="4" w:space="0" w:color="000000"/>
              <w:left w:val="single" w:sz="4" w:space="0" w:color="000000"/>
              <w:bottom w:val="single" w:sz="4" w:space="0" w:color="000000"/>
              <w:right w:val="single" w:sz="4" w:space="0" w:color="000000"/>
            </w:tcBorders>
          </w:tcPr>
          <w:p>
            <w:pPr>
              <w:pStyle w:val="TableParagraph"/>
              <w:tabs>
                <w:tab w:pos="1694" w:val="left" w:leader="none"/>
                <w:tab w:pos="3010" w:val="left" w:leader="none"/>
                <w:tab w:pos="4632" w:val="left" w:leader="none"/>
                <w:tab w:pos="6077" w:val="left" w:leader="none"/>
                <w:tab w:pos="7675" w:val="left" w:leader="none"/>
              </w:tabs>
              <w:spacing w:line="220" w:lineRule="exact"/>
              <w:ind w:left="216"/>
              <w:rPr>
                <w:rFonts w:ascii="Arial"/>
                <w:b/>
                <w:sz w:val="20"/>
              </w:rPr>
            </w:pPr>
            <w:r>
              <w:rPr>
                <w:rFonts w:ascii="Arial"/>
                <w:b/>
                <w:spacing w:val="-2"/>
                <w:sz w:val="20"/>
              </w:rPr>
              <w:t>Strongly</w:t>
            </w:r>
            <w:r>
              <w:rPr>
                <w:rFonts w:ascii="Arial"/>
                <w:b/>
                <w:sz w:val="20"/>
              </w:rPr>
              <w:tab/>
            </w:r>
            <w:r>
              <w:rPr>
                <w:rFonts w:ascii="Arial"/>
                <w:b/>
                <w:spacing w:val="-4"/>
                <w:sz w:val="20"/>
              </w:rPr>
              <w:t>Agree</w:t>
            </w:r>
            <w:r>
              <w:rPr>
                <w:rFonts w:ascii="Arial"/>
                <w:b/>
                <w:sz w:val="20"/>
              </w:rPr>
              <w:tab/>
            </w:r>
            <w:r>
              <w:rPr>
                <w:rFonts w:ascii="Arial"/>
                <w:b/>
                <w:spacing w:val="-2"/>
                <w:sz w:val="20"/>
              </w:rPr>
              <w:t>Undecided</w:t>
            </w:r>
            <w:r>
              <w:rPr>
                <w:rFonts w:ascii="Arial"/>
                <w:b/>
                <w:sz w:val="20"/>
              </w:rPr>
              <w:tab/>
            </w:r>
            <w:r>
              <w:rPr>
                <w:rFonts w:ascii="Arial"/>
                <w:b/>
                <w:spacing w:val="-2"/>
                <w:sz w:val="20"/>
              </w:rPr>
              <w:t>Disagree</w:t>
            </w:r>
            <w:r>
              <w:rPr>
                <w:rFonts w:ascii="Arial"/>
                <w:b/>
                <w:sz w:val="20"/>
              </w:rPr>
              <w:tab/>
            </w:r>
            <w:r>
              <w:rPr>
                <w:rFonts w:ascii="Arial"/>
                <w:b/>
                <w:spacing w:val="-2"/>
                <w:sz w:val="20"/>
              </w:rPr>
              <w:t>Strongly</w:t>
            </w:r>
            <w:r>
              <w:rPr>
                <w:rFonts w:ascii="Arial"/>
                <w:b/>
                <w:sz w:val="20"/>
              </w:rPr>
              <w:tab/>
            </w:r>
            <w:r>
              <w:rPr>
                <w:rFonts w:ascii="Arial"/>
                <w:b/>
                <w:spacing w:val="-2"/>
                <w:sz w:val="20"/>
              </w:rPr>
              <w:t>Total</w:t>
            </w:r>
          </w:p>
          <w:p>
            <w:pPr>
              <w:pStyle w:val="TableParagraph"/>
              <w:tabs>
                <w:tab w:pos="6062" w:val="left" w:leader="none"/>
              </w:tabs>
              <w:spacing w:line="220" w:lineRule="exact"/>
              <w:ind w:left="341"/>
              <w:rPr>
                <w:rFonts w:ascii="Arial"/>
                <w:b/>
                <w:sz w:val="20"/>
              </w:rPr>
            </w:pPr>
            <w:r>
              <w:rPr>
                <w:rFonts w:ascii="Arial"/>
                <w:b/>
                <w:spacing w:val="-2"/>
                <w:sz w:val="20"/>
              </w:rPr>
              <w:t>Agree</w:t>
            </w:r>
            <w:r>
              <w:rPr>
                <w:rFonts w:ascii="Arial"/>
                <w:b/>
                <w:sz w:val="20"/>
              </w:rPr>
              <w:tab/>
            </w:r>
            <w:r>
              <w:rPr>
                <w:rFonts w:ascii="Arial"/>
                <w:b/>
                <w:spacing w:val="-2"/>
                <w:sz w:val="20"/>
              </w:rPr>
              <w:t>Disagree</w:t>
            </w:r>
          </w:p>
        </w:tc>
      </w:tr>
      <w:tr>
        <w:trPr>
          <w:trHeight w:val="321" w:hRule="atLeast"/>
        </w:trPr>
        <w:tc>
          <w:tcPr>
            <w:tcW w:w="4147" w:type="dxa"/>
            <w:vMerge/>
            <w:tcBorders>
              <w:top w:val="nil"/>
              <w:left w:val="single" w:sz="4" w:space="0" w:color="000000"/>
              <w:bottom w:val="single" w:sz="4" w:space="0" w:color="000000"/>
            </w:tcBorders>
          </w:tcPr>
          <w:p>
            <w:pPr>
              <w:rPr>
                <w:sz w:val="2"/>
                <w:szCs w:val="2"/>
              </w:rPr>
            </w:pPr>
          </w:p>
        </w:tc>
        <w:tc>
          <w:tcPr>
            <w:tcW w:w="1977" w:type="dxa"/>
            <w:vMerge/>
            <w:tcBorders>
              <w:top w:val="nil"/>
              <w:bottom w:val="single" w:sz="4" w:space="0" w:color="000000"/>
              <w:right w:val="single" w:sz="4" w:space="0" w:color="000000"/>
            </w:tcBorders>
          </w:tcPr>
          <w:p>
            <w:pPr>
              <w:rPr>
                <w:sz w:val="2"/>
                <w:szCs w:val="2"/>
              </w:rPr>
            </w:pPr>
          </w:p>
        </w:tc>
        <w:tc>
          <w:tcPr>
            <w:tcW w:w="541" w:type="dxa"/>
            <w:tcBorders>
              <w:top w:val="single" w:sz="4" w:space="0" w:color="000000"/>
              <w:left w:val="single" w:sz="4" w:space="0" w:color="000000"/>
              <w:bottom w:val="single" w:sz="4" w:space="0" w:color="000000"/>
            </w:tcBorders>
          </w:tcPr>
          <w:p>
            <w:pPr>
              <w:pStyle w:val="TableParagraph"/>
              <w:spacing w:line="220" w:lineRule="exact"/>
              <w:ind w:left="1"/>
              <w:jc w:val="center"/>
              <w:rPr>
                <w:rFonts w:ascii="Arial"/>
                <w:b/>
                <w:sz w:val="20"/>
              </w:rPr>
            </w:pPr>
            <w:r>
              <w:rPr>
                <w:rFonts w:ascii="Arial"/>
                <w:b/>
                <w:spacing w:val="-10"/>
                <w:sz w:val="20"/>
              </w:rPr>
              <w:t>F</w:t>
            </w:r>
          </w:p>
        </w:tc>
        <w:tc>
          <w:tcPr>
            <w:tcW w:w="732" w:type="dxa"/>
            <w:tcBorders>
              <w:top w:val="single" w:sz="4" w:space="0" w:color="000000"/>
              <w:bottom w:val="single" w:sz="4" w:space="0" w:color="000000"/>
            </w:tcBorders>
          </w:tcPr>
          <w:p>
            <w:pPr>
              <w:pStyle w:val="TableParagraph"/>
              <w:spacing w:line="220" w:lineRule="exact"/>
              <w:ind w:left="58" w:right="58"/>
              <w:jc w:val="center"/>
              <w:rPr>
                <w:rFonts w:ascii="Arial"/>
                <w:b/>
                <w:sz w:val="20"/>
              </w:rPr>
            </w:pPr>
            <w:r>
              <w:rPr>
                <w:rFonts w:ascii="Arial"/>
                <w:b/>
                <w:spacing w:val="-10"/>
                <w:sz w:val="20"/>
              </w:rPr>
              <w:t>%</w:t>
            </w:r>
          </w:p>
        </w:tc>
        <w:tc>
          <w:tcPr>
            <w:tcW w:w="691" w:type="dxa"/>
            <w:tcBorders>
              <w:top w:val="single" w:sz="4" w:space="0" w:color="000000"/>
              <w:bottom w:val="single" w:sz="4" w:space="0" w:color="000000"/>
            </w:tcBorders>
          </w:tcPr>
          <w:p>
            <w:pPr>
              <w:pStyle w:val="TableParagraph"/>
              <w:spacing w:line="220" w:lineRule="exact"/>
              <w:ind w:left="22" w:right="5"/>
              <w:jc w:val="center"/>
              <w:rPr>
                <w:rFonts w:ascii="Arial"/>
                <w:b/>
                <w:sz w:val="20"/>
              </w:rPr>
            </w:pPr>
            <w:r>
              <w:rPr>
                <w:rFonts w:ascii="Arial"/>
                <w:b/>
                <w:spacing w:val="-10"/>
                <w:sz w:val="20"/>
              </w:rPr>
              <w:t>F</w:t>
            </w:r>
          </w:p>
        </w:tc>
        <w:tc>
          <w:tcPr>
            <w:tcW w:w="708" w:type="dxa"/>
            <w:tcBorders>
              <w:top w:val="single" w:sz="4" w:space="0" w:color="000000"/>
              <w:bottom w:val="single" w:sz="4" w:space="0" w:color="000000"/>
            </w:tcBorders>
          </w:tcPr>
          <w:p>
            <w:pPr>
              <w:pStyle w:val="TableParagraph"/>
              <w:spacing w:line="220" w:lineRule="exact"/>
              <w:ind w:left="59" w:right="2"/>
              <w:jc w:val="center"/>
              <w:rPr>
                <w:rFonts w:ascii="Arial"/>
                <w:b/>
                <w:sz w:val="20"/>
              </w:rPr>
            </w:pPr>
            <w:r>
              <w:rPr>
                <w:rFonts w:ascii="Arial"/>
                <w:b/>
                <w:spacing w:val="-10"/>
                <w:sz w:val="20"/>
              </w:rPr>
              <w:t>%</w:t>
            </w:r>
          </w:p>
        </w:tc>
        <w:tc>
          <w:tcPr>
            <w:tcW w:w="756" w:type="dxa"/>
            <w:tcBorders>
              <w:top w:val="single" w:sz="4" w:space="0" w:color="000000"/>
              <w:bottom w:val="single" w:sz="4" w:space="0" w:color="000000"/>
            </w:tcBorders>
          </w:tcPr>
          <w:p>
            <w:pPr>
              <w:pStyle w:val="TableParagraph"/>
              <w:spacing w:line="220" w:lineRule="exact"/>
              <w:ind w:right="297"/>
              <w:jc w:val="right"/>
              <w:rPr>
                <w:rFonts w:ascii="Arial"/>
                <w:b/>
                <w:sz w:val="20"/>
              </w:rPr>
            </w:pPr>
            <w:r>
              <w:rPr>
                <w:rFonts w:ascii="Arial"/>
                <w:b/>
                <w:spacing w:val="-10"/>
                <w:sz w:val="20"/>
              </w:rPr>
              <w:t>F</w:t>
            </w:r>
          </w:p>
        </w:tc>
        <w:tc>
          <w:tcPr>
            <w:tcW w:w="874" w:type="dxa"/>
            <w:tcBorders>
              <w:top w:val="single" w:sz="4" w:space="0" w:color="000000"/>
              <w:bottom w:val="single" w:sz="4" w:space="0" w:color="000000"/>
            </w:tcBorders>
          </w:tcPr>
          <w:p>
            <w:pPr>
              <w:pStyle w:val="TableParagraph"/>
              <w:spacing w:line="220" w:lineRule="exact"/>
              <w:ind w:left="44"/>
              <w:jc w:val="center"/>
              <w:rPr>
                <w:rFonts w:ascii="Arial"/>
                <w:b/>
                <w:sz w:val="20"/>
              </w:rPr>
            </w:pPr>
            <w:r>
              <w:rPr>
                <w:rFonts w:ascii="Arial"/>
                <w:b/>
                <w:spacing w:val="-10"/>
                <w:sz w:val="20"/>
              </w:rPr>
              <w:t>%</w:t>
            </w:r>
          </w:p>
        </w:tc>
        <w:tc>
          <w:tcPr>
            <w:tcW w:w="740" w:type="dxa"/>
            <w:tcBorders>
              <w:top w:val="single" w:sz="4" w:space="0" w:color="000000"/>
              <w:bottom w:val="single" w:sz="4" w:space="0" w:color="000000"/>
            </w:tcBorders>
          </w:tcPr>
          <w:p>
            <w:pPr>
              <w:pStyle w:val="TableParagraph"/>
              <w:spacing w:line="220" w:lineRule="exact"/>
              <w:ind w:left="64"/>
              <w:jc w:val="center"/>
              <w:rPr>
                <w:rFonts w:ascii="Arial"/>
                <w:b/>
                <w:sz w:val="20"/>
              </w:rPr>
            </w:pPr>
            <w:r>
              <w:rPr>
                <w:rFonts w:ascii="Arial"/>
                <w:b/>
                <w:spacing w:val="-10"/>
                <w:sz w:val="20"/>
              </w:rPr>
              <w:t>F</w:t>
            </w:r>
          </w:p>
        </w:tc>
        <w:tc>
          <w:tcPr>
            <w:tcW w:w="774" w:type="dxa"/>
            <w:tcBorders>
              <w:top w:val="single" w:sz="4" w:space="0" w:color="000000"/>
              <w:bottom w:val="single" w:sz="4" w:space="0" w:color="000000"/>
            </w:tcBorders>
          </w:tcPr>
          <w:p>
            <w:pPr>
              <w:pStyle w:val="TableParagraph"/>
              <w:spacing w:line="220" w:lineRule="exact"/>
              <w:ind w:left="6" w:right="15"/>
              <w:jc w:val="center"/>
              <w:rPr>
                <w:rFonts w:ascii="Arial"/>
                <w:b/>
                <w:sz w:val="20"/>
              </w:rPr>
            </w:pPr>
            <w:r>
              <w:rPr>
                <w:rFonts w:ascii="Arial"/>
                <w:b/>
                <w:spacing w:val="-10"/>
                <w:sz w:val="20"/>
              </w:rPr>
              <w:t>%</w:t>
            </w:r>
          </w:p>
        </w:tc>
        <w:tc>
          <w:tcPr>
            <w:tcW w:w="628" w:type="dxa"/>
            <w:tcBorders>
              <w:top w:val="single" w:sz="4" w:space="0" w:color="000000"/>
              <w:bottom w:val="single" w:sz="4" w:space="0" w:color="000000"/>
            </w:tcBorders>
          </w:tcPr>
          <w:p>
            <w:pPr>
              <w:pStyle w:val="TableParagraph"/>
              <w:spacing w:line="220" w:lineRule="exact"/>
              <w:ind w:left="27" w:right="19"/>
              <w:jc w:val="center"/>
              <w:rPr>
                <w:rFonts w:ascii="Arial"/>
                <w:b/>
                <w:sz w:val="20"/>
              </w:rPr>
            </w:pPr>
            <w:r>
              <w:rPr>
                <w:rFonts w:ascii="Arial"/>
                <w:b/>
                <w:spacing w:val="-10"/>
                <w:sz w:val="20"/>
              </w:rPr>
              <w:t>F</w:t>
            </w:r>
          </w:p>
        </w:tc>
        <w:tc>
          <w:tcPr>
            <w:tcW w:w="731" w:type="dxa"/>
            <w:tcBorders>
              <w:top w:val="single" w:sz="4" w:space="0" w:color="000000"/>
              <w:bottom w:val="single" w:sz="4" w:space="0" w:color="000000"/>
            </w:tcBorders>
          </w:tcPr>
          <w:p>
            <w:pPr>
              <w:pStyle w:val="TableParagraph"/>
              <w:spacing w:line="220" w:lineRule="exact"/>
              <w:ind w:left="71" w:right="2"/>
              <w:jc w:val="center"/>
              <w:rPr>
                <w:rFonts w:ascii="Arial"/>
                <w:b/>
                <w:sz w:val="20"/>
              </w:rPr>
            </w:pPr>
            <w:r>
              <w:rPr>
                <w:rFonts w:ascii="Arial"/>
                <w:b/>
                <w:spacing w:val="-10"/>
                <w:sz w:val="20"/>
              </w:rPr>
              <w:t>%</w:t>
            </w:r>
          </w:p>
        </w:tc>
        <w:tc>
          <w:tcPr>
            <w:tcW w:w="733" w:type="dxa"/>
            <w:tcBorders>
              <w:top w:val="single" w:sz="4" w:space="0" w:color="000000"/>
              <w:bottom w:val="single" w:sz="4" w:space="0" w:color="000000"/>
            </w:tcBorders>
          </w:tcPr>
          <w:p>
            <w:pPr>
              <w:pStyle w:val="TableParagraph"/>
              <w:spacing w:line="220" w:lineRule="exact"/>
              <w:ind w:left="60" w:right="14"/>
              <w:jc w:val="center"/>
              <w:rPr>
                <w:rFonts w:ascii="Arial"/>
                <w:b/>
                <w:sz w:val="20"/>
              </w:rPr>
            </w:pPr>
            <w:r>
              <w:rPr>
                <w:rFonts w:ascii="Arial"/>
                <w:b/>
                <w:spacing w:val="-10"/>
                <w:sz w:val="20"/>
              </w:rPr>
              <w:t>F</w:t>
            </w:r>
          </w:p>
        </w:tc>
        <w:tc>
          <w:tcPr>
            <w:tcW w:w="739" w:type="dxa"/>
            <w:tcBorders>
              <w:top w:val="single" w:sz="4" w:space="0" w:color="000000"/>
              <w:bottom w:val="single" w:sz="4" w:space="0" w:color="000000"/>
              <w:right w:val="single" w:sz="4" w:space="0" w:color="000000"/>
            </w:tcBorders>
          </w:tcPr>
          <w:p>
            <w:pPr>
              <w:pStyle w:val="TableParagraph"/>
              <w:spacing w:line="220" w:lineRule="exact"/>
              <w:ind w:left="36" w:right="18"/>
              <w:jc w:val="center"/>
              <w:rPr>
                <w:rFonts w:ascii="Arial"/>
                <w:b/>
                <w:sz w:val="20"/>
              </w:rPr>
            </w:pPr>
            <w:r>
              <w:rPr>
                <w:rFonts w:ascii="Arial"/>
                <w:b/>
                <w:spacing w:val="-10"/>
                <w:sz w:val="20"/>
              </w:rPr>
              <w:t>%</w:t>
            </w:r>
          </w:p>
        </w:tc>
      </w:tr>
      <w:tr>
        <w:trPr>
          <w:trHeight w:val="227" w:hRule="atLeast"/>
        </w:trPr>
        <w:tc>
          <w:tcPr>
            <w:tcW w:w="4147" w:type="dxa"/>
            <w:tcBorders>
              <w:top w:val="single" w:sz="4" w:space="0" w:color="000000"/>
              <w:left w:val="single" w:sz="4" w:space="0" w:color="000000"/>
            </w:tcBorders>
          </w:tcPr>
          <w:p>
            <w:pPr>
              <w:pStyle w:val="TableParagraph"/>
              <w:tabs>
                <w:tab w:pos="609" w:val="left" w:leader="none"/>
              </w:tabs>
              <w:spacing w:line="208" w:lineRule="exact"/>
              <w:ind w:right="105"/>
              <w:jc w:val="right"/>
              <w:rPr>
                <w:sz w:val="20"/>
              </w:rPr>
            </w:pPr>
            <w:r>
              <w:rPr>
                <w:spacing w:val="-5"/>
                <w:sz w:val="20"/>
              </w:rPr>
              <w:t>54.</w:t>
            </w:r>
            <w:r>
              <w:rPr>
                <w:sz w:val="20"/>
              </w:rPr>
              <w:tab/>
              <w:t>The</w:t>
            </w:r>
            <w:r>
              <w:rPr>
                <w:spacing w:val="-6"/>
                <w:sz w:val="20"/>
              </w:rPr>
              <w:t> </w:t>
            </w:r>
            <w:r>
              <w:rPr>
                <w:sz w:val="20"/>
              </w:rPr>
              <w:t>Universities</w:t>
            </w:r>
            <w:r>
              <w:rPr>
                <w:spacing w:val="-8"/>
                <w:sz w:val="20"/>
              </w:rPr>
              <w:t> </w:t>
            </w:r>
            <w:r>
              <w:rPr>
                <w:sz w:val="20"/>
              </w:rPr>
              <w:t>have</w:t>
            </w:r>
            <w:r>
              <w:rPr>
                <w:spacing w:val="-10"/>
                <w:sz w:val="20"/>
              </w:rPr>
              <w:t> </w:t>
            </w:r>
            <w:r>
              <w:rPr>
                <w:sz w:val="20"/>
              </w:rPr>
              <w:t>adequate</w:t>
            </w:r>
            <w:r>
              <w:rPr>
                <w:spacing w:val="-5"/>
                <w:sz w:val="20"/>
              </w:rPr>
              <w:t> and</w:t>
            </w:r>
          </w:p>
        </w:tc>
        <w:tc>
          <w:tcPr>
            <w:tcW w:w="1977" w:type="dxa"/>
            <w:tcBorders>
              <w:top w:val="single" w:sz="4" w:space="0" w:color="000000"/>
            </w:tcBorders>
          </w:tcPr>
          <w:p>
            <w:pPr>
              <w:pStyle w:val="TableParagraph"/>
              <w:spacing w:line="208" w:lineRule="exact"/>
              <w:ind w:left="110"/>
              <w:rPr>
                <w:sz w:val="20"/>
              </w:rPr>
            </w:pPr>
            <w:r>
              <w:rPr>
                <w:sz w:val="20"/>
              </w:rPr>
              <w:t>No.</w:t>
            </w:r>
            <w:r>
              <w:rPr>
                <w:spacing w:val="-5"/>
                <w:sz w:val="20"/>
              </w:rPr>
              <w:t> </w:t>
            </w:r>
            <w:r>
              <w:rPr>
                <w:sz w:val="20"/>
              </w:rPr>
              <w:t>of</w:t>
            </w:r>
            <w:r>
              <w:rPr>
                <w:spacing w:val="-2"/>
                <w:sz w:val="20"/>
              </w:rPr>
              <w:t> missing</w:t>
            </w:r>
          </w:p>
        </w:tc>
        <w:tc>
          <w:tcPr>
            <w:tcW w:w="541" w:type="dxa"/>
            <w:tcBorders>
              <w:top w:val="single" w:sz="4" w:space="0" w:color="000000"/>
            </w:tcBorders>
          </w:tcPr>
          <w:p>
            <w:pPr>
              <w:pStyle w:val="TableParagraph"/>
              <w:rPr>
                <w:rFonts w:ascii="Times New Roman"/>
                <w:sz w:val="16"/>
              </w:rPr>
            </w:pPr>
          </w:p>
        </w:tc>
        <w:tc>
          <w:tcPr>
            <w:tcW w:w="732" w:type="dxa"/>
            <w:tcBorders>
              <w:top w:val="single" w:sz="4" w:space="0" w:color="000000"/>
            </w:tcBorders>
          </w:tcPr>
          <w:p>
            <w:pPr>
              <w:pStyle w:val="TableParagraph"/>
              <w:rPr>
                <w:rFonts w:ascii="Times New Roman"/>
                <w:sz w:val="16"/>
              </w:rPr>
            </w:pPr>
          </w:p>
        </w:tc>
        <w:tc>
          <w:tcPr>
            <w:tcW w:w="691" w:type="dxa"/>
            <w:tcBorders>
              <w:top w:val="single" w:sz="4" w:space="0" w:color="000000"/>
            </w:tcBorders>
          </w:tcPr>
          <w:p>
            <w:pPr>
              <w:pStyle w:val="TableParagraph"/>
              <w:rPr>
                <w:rFonts w:ascii="Times New Roman"/>
                <w:sz w:val="16"/>
              </w:rPr>
            </w:pPr>
          </w:p>
        </w:tc>
        <w:tc>
          <w:tcPr>
            <w:tcW w:w="708" w:type="dxa"/>
            <w:tcBorders>
              <w:top w:val="single" w:sz="4" w:space="0" w:color="000000"/>
            </w:tcBorders>
          </w:tcPr>
          <w:p>
            <w:pPr>
              <w:pStyle w:val="TableParagraph"/>
              <w:rPr>
                <w:rFonts w:ascii="Times New Roman"/>
                <w:sz w:val="16"/>
              </w:rPr>
            </w:pPr>
          </w:p>
        </w:tc>
        <w:tc>
          <w:tcPr>
            <w:tcW w:w="756" w:type="dxa"/>
            <w:tcBorders>
              <w:top w:val="single" w:sz="4" w:space="0" w:color="000000"/>
            </w:tcBorders>
          </w:tcPr>
          <w:p>
            <w:pPr>
              <w:pStyle w:val="TableParagraph"/>
              <w:rPr>
                <w:rFonts w:ascii="Times New Roman"/>
                <w:sz w:val="16"/>
              </w:rPr>
            </w:pPr>
          </w:p>
        </w:tc>
        <w:tc>
          <w:tcPr>
            <w:tcW w:w="874" w:type="dxa"/>
            <w:tcBorders>
              <w:top w:val="single" w:sz="4" w:space="0" w:color="000000"/>
            </w:tcBorders>
          </w:tcPr>
          <w:p>
            <w:pPr>
              <w:pStyle w:val="TableParagraph"/>
              <w:rPr>
                <w:rFonts w:ascii="Times New Roman"/>
                <w:sz w:val="16"/>
              </w:rPr>
            </w:pPr>
          </w:p>
        </w:tc>
        <w:tc>
          <w:tcPr>
            <w:tcW w:w="740" w:type="dxa"/>
            <w:tcBorders>
              <w:top w:val="single" w:sz="4" w:space="0" w:color="000000"/>
            </w:tcBorders>
          </w:tcPr>
          <w:p>
            <w:pPr>
              <w:pStyle w:val="TableParagraph"/>
              <w:rPr>
                <w:rFonts w:ascii="Times New Roman"/>
                <w:sz w:val="16"/>
              </w:rPr>
            </w:pPr>
          </w:p>
        </w:tc>
        <w:tc>
          <w:tcPr>
            <w:tcW w:w="774" w:type="dxa"/>
            <w:tcBorders>
              <w:top w:val="single" w:sz="4" w:space="0" w:color="000000"/>
            </w:tcBorders>
          </w:tcPr>
          <w:p>
            <w:pPr>
              <w:pStyle w:val="TableParagraph"/>
              <w:rPr>
                <w:rFonts w:ascii="Times New Roman"/>
                <w:sz w:val="16"/>
              </w:rPr>
            </w:pPr>
          </w:p>
        </w:tc>
        <w:tc>
          <w:tcPr>
            <w:tcW w:w="628" w:type="dxa"/>
            <w:tcBorders>
              <w:top w:val="single" w:sz="4" w:space="0" w:color="000000"/>
            </w:tcBorders>
          </w:tcPr>
          <w:p>
            <w:pPr>
              <w:pStyle w:val="TableParagraph"/>
              <w:rPr>
                <w:rFonts w:ascii="Times New Roman"/>
                <w:sz w:val="16"/>
              </w:rPr>
            </w:pPr>
          </w:p>
        </w:tc>
        <w:tc>
          <w:tcPr>
            <w:tcW w:w="731" w:type="dxa"/>
            <w:tcBorders>
              <w:top w:val="single" w:sz="4" w:space="0" w:color="000000"/>
            </w:tcBorders>
          </w:tcPr>
          <w:p>
            <w:pPr>
              <w:pStyle w:val="TableParagraph"/>
              <w:rPr>
                <w:rFonts w:ascii="Times New Roman"/>
                <w:sz w:val="16"/>
              </w:rPr>
            </w:pPr>
          </w:p>
        </w:tc>
        <w:tc>
          <w:tcPr>
            <w:tcW w:w="733" w:type="dxa"/>
            <w:tcBorders>
              <w:top w:val="single" w:sz="4" w:space="0" w:color="000000"/>
            </w:tcBorders>
          </w:tcPr>
          <w:p>
            <w:pPr>
              <w:pStyle w:val="TableParagraph"/>
              <w:rPr>
                <w:rFonts w:ascii="Times New Roman"/>
                <w:sz w:val="16"/>
              </w:rPr>
            </w:pPr>
          </w:p>
        </w:tc>
        <w:tc>
          <w:tcPr>
            <w:tcW w:w="739" w:type="dxa"/>
            <w:tcBorders>
              <w:top w:val="single" w:sz="4" w:space="0" w:color="000000"/>
              <w:right w:val="single" w:sz="4" w:space="0" w:color="000000"/>
            </w:tcBorders>
          </w:tcPr>
          <w:p>
            <w:pPr>
              <w:pStyle w:val="TableParagraph"/>
              <w:rPr>
                <w:rFonts w:ascii="Times New Roman"/>
                <w:sz w:val="16"/>
              </w:rPr>
            </w:pPr>
          </w:p>
        </w:tc>
      </w:tr>
      <w:tr>
        <w:trPr>
          <w:trHeight w:val="230" w:hRule="atLeast"/>
        </w:trPr>
        <w:tc>
          <w:tcPr>
            <w:tcW w:w="4147" w:type="dxa"/>
            <w:tcBorders>
              <w:left w:val="single" w:sz="4" w:space="0" w:color="000000"/>
            </w:tcBorders>
          </w:tcPr>
          <w:p>
            <w:pPr>
              <w:pStyle w:val="TableParagraph"/>
              <w:tabs>
                <w:tab w:pos="989" w:val="left" w:leader="none"/>
                <w:tab w:pos="1920" w:val="left" w:leader="none"/>
                <w:tab w:pos="3034" w:val="left" w:leader="none"/>
              </w:tabs>
              <w:spacing w:line="210" w:lineRule="exact"/>
              <w:ind w:right="104"/>
              <w:jc w:val="right"/>
              <w:rPr>
                <w:sz w:val="20"/>
              </w:rPr>
            </w:pPr>
            <w:r>
              <w:rPr>
                <w:spacing w:val="-2"/>
                <w:sz w:val="20"/>
              </w:rPr>
              <w:t>effective</w:t>
            </w:r>
            <w:r>
              <w:rPr>
                <w:sz w:val="20"/>
              </w:rPr>
              <w:tab/>
            </w:r>
            <w:r>
              <w:rPr>
                <w:spacing w:val="-2"/>
                <w:sz w:val="20"/>
              </w:rPr>
              <w:t>security</w:t>
            </w:r>
            <w:r>
              <w:rPr>
                <w:sz w:val="20"/>
              </w:rPr>
              <w:tab/>
            </w:r>
            <w:r>
              <w:rPr>
                <w:spacing w:val="-2"/>
                <w:sz w:val="20"/>
              </w:rPr>
              <w:t>personnel</w:t>
            </w:r>
            <w:r>
              <w:rPr>
                <w:sz w:val="20"/>
              </w:rPr>
              <w:tab/>
            </w:r>
            <w:r>
              <w:rPr>
                <w:spacing w:val="-5"/>
                <w:sz w:val="20"/>
              </w:rPr>
              <w:t>to</w:t>
            </w:r>
          </w:p>
        </w:tc>
        <w:tc>
          <w:tcPr>
            <w:tcW w:w="1977" w:type="dxa"/>
          </w:tcPr>
          <w:p>
            <w:pPr>
              <w:pStyle w:val="TableParagraph"/>
              <w:spacing w:line="210" w:lineRule="exact"/>
              <w:ind w:left="110"/>
              <w:rPr>
                <w:sz w:val="20"/>
              </w:rPr>
            </w:pPr>
            <w:r>
              <w:rPr>
                <w:spacing w:val="-2"/>
                <w:sz w:val="20"/>
              </w:rPr>
              <w:t>observations</w:t>
            </w:r>
          </w:p>
        </w:tc>
        <w:tc>
          <w:tcPr>
            <w:tcW w:w="541" w:type="dxa"/>
          </w:tcPr>
          <w:p>
            <w:pPr>
              <w:pStyle w:val="TableParagraph"/>
              <w:spacing w:line="210" w:lineRule="exact"/>
              <w:ind w:left="4" w:right="5"/>
              <w:jc w:val="center"/>
              <w:rPr>
                <w:sz w:val="20"/>
              </w:rPr>
            </w:pPr>
            <w:r>
              <w:rPr>
                <w:spacing w:val="-10"/>
                <w:sz w:val="20"/>
              </w:rPr>
              <w:t>-</w:t>
            </w:r>
          </w:p>
        </w:tc>
        <w:tc>
          <w:tcPr>
            <w:tcW w:w="732" w:type="dxa"/>
          </w:tcPr>
          <w:p>
            <w:pPr>
              <w:pStyle w:val="TableParagraph"/>
              <w:spacing w:line="210" w:lineRule="exact"/>
              <w:ind w:left="58" w:right="63"/>
              <w:jc w:val="center"/>
              <w:rPr>
                <w:sz w:val="20"/>
              </w:rPr>
            </w:pPr>
            <w:r>
              <w:rPr>
                <w:spacing w:val="-10"/>
                <w:sz w:val="20"/>
              </w:rPr>
              <w:t>-</w:t>
            </w:r>
          </w:p>
        </w:tc>
        <w:tc>
          <w:tcPr>
            <w:tcW w:w="691" w:type="dxa"/>
          </w:tcPr>
          <w:p>
            <w:pPr>
              <w:pStyle w:val="TableParagraph"/>
              <w:spacing w:line="210" w:lineRule="exact"/>
              <w:ind w:left="22" w:right="6"/>
              <w:jc w:val="center"/>
              <w:rPr>
                <w:sz w:val="20"/>
              </w:rPr>
            </w:pPr>
            <w:r>
              <w:rPr>
                <w:spacing w:val="-10"/>
                <w:sz w:val="20"/>
              </w:rPr>
              <w:t>1</w:t>
            </w:r>
          </w:p>
        </w:tc>
        <w:tc>
          <w:tcPr>
            <w:tcW w:w="708" w:type="dxa"/>
          </w:tcPr>
          <w:p>
            <w:pPr>
              <w:pStyle w:val="TableParagraph"/>
              <w:spacing w:line="210" w:lineRule="exact"/>
              <w:ind w:left="59" w:right="2"/>
              <w:jc w:val="center"/>
              <w:rPr>
                <w:sz w:val="20"/>
              </w:rPr>
            </w:pPr>
            <w:r>
              <w:rPr>
                <w:spacing w:val="-4"/>
                <w:sz w:val="20"/>
              </w:rPr>
              <w:t>50.0</w:t>
            </w:r>
          </w:p>
        </w:tc>
        <w:tc>
          <w:tcPr>
            <w:tcW w:w="756" w:type="dxa"/>
          </w:tcPr>
          <w:p>
            <w:pPr>
              <w:pStyle w:val="TableParagraph"/>
              <w:spacing w:line="210" w:lineRule="exact"/>
              <w:ind w:right="303"/>
              <w:jc w:val="right"/>
              <w:rPr>
                <w:sz w:val="20"/>
              </w:rPr>
            </w:pPr>
            <w:r>
              <w:rPr>
                <w:spacing w:val="-10"/>
                <w:sz w:val="20"/>
              </w:rPr>
              <w:t>1</w:t>
            </w:r>
          </w:p>
        </w:tc>
        <w:tc>
          <w:tcPr>
            <w:tcW w:w="874" w:type="dxa"/>
          </w:tcPr>
          <w:p>
            <w:pPr>
              <w:pStyle w:val="TableParagraph"/>
              <w:spacing w:line="210" w:lineRule="exact"/>
              <w:ind w:left="44"/>
              <w:jc w:val="center"/>
              <w:rPr>
                <w:sz w:val="20"/>
              </w:rPr>
            </w:pPr>
            <w:r>
              <w:rPr>
                <w:spacing w:val="-4"/>
                <w:sz w:val="20"/>
              </w:rPr>
              <w:t>50.0</w:t>
            </w:r>
          </w:p>
        </w:tc>
        <w:tc>
          <w:tcPr>
            <w:tcW w:w="740" w:type="dxa"/>
          </w:tcPr>
          <w:p>
            <w:pPr>
              <w:pStyle w:val="TableParagraph"/>
              <w:spacing w:line="210" w:lineRule="exact"/>
              <w:ind w:left="64" w:right="8"/>
              <w:jc w:val="center"/>
              <w:rPr>
                <w:sz w:val="20"/>
              </w:rPr>
            </w:pPr>
            <w:r>
              <w:rPr>
                <w:spacing w:val="-10"/>
                <w:sz w:val="20"/>
              </w:rPr>
              <w:t>-</w:t>
            </w:r>
          </w:p>
        </w:tc>
        <w:tc>
          <w:tcPr>
            <w:tcW w:w="774" w:type="dxa"/>
          </w:tcPr>
          <w:p>
            <w:pPr>
              <w:pStyle w:val="TableParagraph"/>
              <w:spacing w:line="210" w:lineRule="exact"/>
              <w:ind w:right="15"/>
              <w:jc w:val="center"/>
              <w:rPr>
                <w:sz w:val="20"/>
              </w:rPr>
            </w:pPr>
            <w:r>
              <w:rPr>
                <w:spacing w:val="-10"/>
                <w:sz w:val="20"/>
              </w:rPr>
              <w:t>-</w:t>
            </w:r>
          </w:p>
        </w:tc>
        <w:tc>
          <w:tcPr>
            <w:tcW w:w="628" w:type="dxa"/>
          </w:tcPr>
          <w:p>
            <w:pPr>
              <w:pStyle w:val="TableParagraph"/>
              <w:spacing w:line="210" w:lineRule="exact"/>
              <w:ind w:left="19" w:right="19"/>
              <w:jc w:val="center"/>
              <w:rPr>
                <w:sz w:val="20"/>
              </w:rPr>
            </w:pPr>
            <w:r>
              <w:rPr>
                <w:spacing w:val="-10"/>
                <w:sz w:val="20"/>
              </w:rPr>
              <w:t>-</w:t>
            </w:r>
          </w:p>
        </w:tc>
        <w:tc>
          <w:tcPr>
            <w:tcW w:w="731" w:type="dxa"/>
          </w:tcPr>
          <w:p>
            <w:pPr>
              <w:pStyle w:val="TableParagraph"/>
              <w:spacing w:line="210" w:lineRule="exact"/>
              <w:ind w:left="69" w:right="7"/>
              <w:jc w:val="center"/>
              <w:rPr>
                <w:sz w:val="20"/>
              </w:rPr>
            </w:pPr>
            <w:r>
              <w:rPr>
                <w:spacing w:val="-10"/>
                <w:sz w:val="20"/>
              </w:rPr>
              <w:t>-</w:t>
            </w:r>
          </w:p>
        </w:tc>
        <w:tc>
          <w:tcPr>
            <w:tcW w:w="733" w:type="dxa"/>
          </w:tcPr>
          <w:p>
            <w:pPr>
              <w:pStyle w:val="TableParagraph"/>
              <w:spacing w:line="210" w:lineRule="exact"/>
              <w:ind w:left="136"/>
              <w:rPr>
                <w:sz w:val="20"/>
              </w:rPr>
            </w:pPr>
            <w:r>
              <w:rPr>
                <w:spacing w:val="-10"/>
                <w:sz w:val="20"/>
              </w:rPr>
              <w:t>2</w:t>
            </w:r>
          </w:p>
        </w:tc>
        <w:tc>
          <w:tcPr>
            <w:tcW w:w="739" w:type="dxa"/>
            <w:tcBorders>
              <w:right w:val="single" w:sz="4" w:space="0" w:color="000000"/>
            </w:tcBorders>
          </w:tcPr>
          <w:p>
            <w:pPr>
              <w:pStyle w:val="TableParagraph"/>
              <w:spacing w:line="210" w:lineRule="exact"/>
              <w:ind w:left="36" w:right="23"/>
              <w:jc w:val="center"/>
              <w:rPr>
                <w:sz w:val="20"/>
              </w:rPr>
            </w:pPr>
            <w:r>
              <w:rPr>
                <w:spacing w:val="-5"/>
                <w:sz w:val="20"/>
              </w:rPr>
              <w:t>0.4</w:t>
            </w:r>
          </w:p>
        </w:tc>
      </w:tr>
      <w:tr>
        <w:trPr>
          <w:trHeight w:val="230" w:hRule="atLeast"/>
        </w:trPr>
        <w:tc>
          <w:tcPr>
            <w:tcW w:w="4147" w:type="dxa"/>
            <w:tcBorders>
              <w:left w:val="single" w:sz="4" w:space="0" w:color="000000"/>
            </w:tcBorders>
          </w:tcPr>
          <w:p>
            <w:pPr>
              <w:pStyle w:val="TableParagraph"/>
              <w:tabs>
                <w:tab w:pos="864" w:val="left" w:leader="none"/>
                <w:tab w:pos="1555" w:val="left" w:leader="none"/>
                <w:tab w:pos="2400" w:val="left" w:leader="none"/>
              </w:tabs>
              <w:spacing w:line="210" w:lineRule="exact"/>
              <w:ind w:right="110"/>
              <w:jc w:val="right"/>
              <w:rPr>
                <w:sz w:val="20"/>
              </w:rPr>
            </w:pPr>
            <w:r>
              <w:rPr>
                <w:spacing w:val="-2"/>
                <w:sz w:val="20"/>
              </w:rPr>
              <w:t>assist</w:t>
            </w:r>
            <w:r>
              <w:rPr>
                <w:sz w:val="20"/>
              </w:rPr>
              <w:tab/>
            </w:r>
            <w:r>
              <w:rPr>
                <w:spacing w:val="-5"/>
                <w:sz w:val="20"/>
              </w:rPr>
              <w:t>and</w:t>
            </w:r>
            <w:r>
              <w:rPr>
                <w:sz w:val="20"/>
              </w:rPr>
              <w:tab/>
            </w:r>
            <w:r>
              <w:rPr>
                <w:spacing w:val="-4"/>
                <w:sz w:val="20"/>
              </w:rPr>
              <w:t>guide</w:t>
            </w:r>
            <w:r>
              <w:rPr>
                <w:sz w:val="20"/>
              </w:rPr>
              <w:tab/>
            </w:r>
            <w:r>
              <w:rPr>
                <w:spacing w:val="-2"/>
                <w:sz w:val="20"/>
              </w:rPr>
              <w:t>students’</w:t>
            </w:r>
          </w:p>
        </w:tc>
        <w:tc>
          <w:tcPr>
            <w:tcW w:w="1977" w:type="dxa"/>
          </w:tcPr>
          <w:p>
            <w:pPr>
              <w:pStyle w:val="TableParagraph"/>
              <w:spacing w:line="210" w:lineRule="exact"/>
              <w:ind w:left="110"/>
              <w:rPr>
                <w:sz w:val="20"/>
              </w:rPr>
            </w:pPr>
            <w:r>
              <w:rPr>
                <w:spacing w:val="-2"/>
                <w:sz w:val="20"/>
              </w:rPr>
              <w:t>Students</w:t>
            </w:r>
          </w:p>
        </w:tc>
        <w:tc>
          <w:tcPr>
            <w:tcW w:w="541" w:type="dxa"/>
          </w:tcPr>
          <w:p>
            <w:pPr>
              <w:pStyle w:val="TableParagraph"/>
              <w:spacing w:line="210" w:lineRule="exact"/>
              <w:ind w:left="4" w:right="4"/>
              <w:jc w:val="center"/>
              <w:rPr>
                <w:sz w:val="20"/>
              </w:rPr>
            </w:pPr>
            <w:r>
              <w:rPr>
                <w:spacing w:val="-5"/>
                <w:sz w:val="20"/>
              </w:rPr>
              <w:t>42</w:t>
            </w:r>
          </w:p>
        </w:tc>
        <w:tc>
          <w:tcPr>
            <w:tcW w:w="732" w:type="dxa"/>
          </w:tcPr>
          <w:p>
            <w:pPr>
              <w:pStyle w:val="TableParagraph"/>
              <w:spacing w:line="210" w:lineRule="exact"/>
              <w:ind w:left="58" w:right="58"/>
              <w:jc w:val="center"/>
              <w:rPr>
                <w:sz w:val="20"/>
              </w:rPr>
            </w:pPr>
            <w:r>
              <w:rPr>
                <w:spacing w:val="-4"/>
                <w:sz w:val="20"/>
              </w:rPr>
              <w:t>17.9</w:t>
            </w:r>
          </w:p>
        </w:tc>
        <w:tc>
          <w:tcPr>
            <w:tcW w:w="691" w:type="dxa"/>
          </w:tcPr>
          <w:p>
            <w:pPr>
              <w:pStyle w:val="TableParagraph"/>
              <w:spacing w:line="210" w:lineRule="exact"/>
              <w:ind w:left="22" w:right="11"/>
              <w:jc w:val="center"/>
              <w:rPr>
                <w:sz w:val="20"/>
              </w:rPr>
            </w:pPr>
            <w:r>
              <w:rPr>
                <w:spacing w:val="-5"/>
                <w:sz w:val="20"/>
              </w:rPr>
              <w:t>92</w:t>
            </w:r>
          </w:p>
        </w:tc>
        <w:tc>
          <w:tcPr>
            <w:tcW w:w="708" w:type="dxa"/>
          </w:tcPr>
          <w:p>
            <w:pPr>
              <w:pStyle w:val="TableParagraph"/>
              <w:spacing w:line="210" w:lineRule="exact"/>
              <w:ind w:left="59" w:right="2"/>
              <w:jc w:val="center"/>
              <w:rPr>
                <w:sz w:val="20"/>
              </w:rPr>
            </w:pPr>
            <w:r>
              <w:rPr>
                <w:spacing w:val="-4"/>
                <w:sz w:val="20"/>
              </w:rPr>
              <w:t>39.1</w:t>
            </w:r>
          </w:p>
        </w:tc>
        <w:tc>
          <w:tcPr>
            <w:tcW w:w="756" w:type="dxa"/>
          </w:tcPr>
          <w:p>
            <w:pPr>
              <w:pStyle w:val="TableParagraph"/>
              <w:spacing w:line="210" w:lineRule="exact"/>
              <w:ind w:right="250"/>
              <w:jc w:val="right"/>
              <w:rPr>
                <w:sz w:val="20"/>
              </w:rPr>
            </w:pPr>
            <w:r>
              <w:rPr>
                <w:spacing w:val="-5"/>
                <w:sz w:val="20"/>
              </w:rPr>
              <w:t>26</w:t>
            </w:r>
          </w:p>
        </w:tc>
        <w:tc>
          <w:tcPr>
            <w:tcW w:w="874" w:type="dxa"/>
          </w:tcPr>
          <w:p>
            <w:pPr>
              <w:pStyle w:val="TableParagraph"/>
              <w:spacing w:line="210" w:lineRule="exact"/>
              <w:ind w:left="44"/>
              <w:jc w:val="center"/>
              <w:rPr>
                <w:sz w:val="20"/>
              </w:rPr>
            </w:pPr>
            <w:r>
              <w:rPr>
                <w:spacing w:val="-4"/>
                <w:sz w:val="20"/>
              </w:rPr>
              <w:t>11.1</w:t>
            </w:r>
          </w:p>
        </w:tc>
        <w:tc>
          <w:tcPr>
            <w:tcW w:w="740" w:type="dxa"/>
          </w:tcPr>
          <w:p>
            <w:pPr>
              <w:pStyle w:val="TableParagraph"/>
              <w:spacing w:line="210" w:lineRule="exact"/>
              <w:ind w:left="64" w:right="6"/>
              <w:jc w:val="center"/>
              <w:rPr>
                <w:sz w:val="20"/>
              </w:rPr>
            </w:pPr>
            <w:r>
              <w:rPr>
                <w:spacing w:val="-5"/>
                <w:sz w:val="20"/>
              </w:rPr>
              <w:t>56</w:t>
            </w:r>
          </w:p>
        </w:tc>
        <w:tc>
          <w:tcPr>
            <w:tcW w:w="774" w:type="dxa"/>
          </w:tcPr>
          <w:p>
            <w:pPr>
              <w:pStyle w:val="TableParagraph"/>
              <w:spacing w:line="210" w:lineRule="exact"/>
              <w:ind w:left="6" w:right="15"/>
              <w:jc w:val="center"/>
              <w:rPr>
                <w:sz w:val="20"/>
              </w:rPr>
            </w:pPr>
            <w:r>
              <w:rPr>
                <w:spacing w:val="-4"/>
                <w:sz w:val="20"/>
              </w:rPr>
              <w:t>23.8</w:t>
            </w:r>
          </w:p>
        </w:tc>
        <w:tc>
          <w:tcPr>
            <w:tcW w:w="628" w:type="dxa"/>
          </w:tcPr>
          <w:p>
            <w:pPr>
              <w:pStyle w:val="TableParagraph"/>
              <w:spacing w:line="210" w:lineRule="exact"/>
              <w:ind w:left="21" w:right="19"/>
              <w:jc w:val="center"/>
              <w:rPr>
                <w:sz w:val="20"/>
              </w:rPr>
            </w:pPr>
            <w:r>
              <w:rPr>
                <w:spacing w:val="-5"/>
                <w:sz w:val="20"/>
              </w:rPr>
              <w:t>15</w:t>
            </w:r>
          </w:p>
        </w:tc>
        <w:tc>
          <w:tcPr>
            <w:tcW w:w="731" w:type="dxa"/>
          </w:tcPr>
          <w:p>
            <w:pPr>
              <w:pStyle w:val="TableParagraph"/>
              <w:spacing w:line="210" w:lineRule="exact"/>
              <w:ind w:left="69" w:right="5"/>
              <w:jc w:val="center"/>
              <w:rPr>
                <w:sz w:val="20"/>
              </w:rPr>
            </w:pPr>
            <w:r>
              <w:rPr>
                <w:spacing w:val="-5"/>
                <w:sz w:val="20"/>
              </w:rPr>
              <w:t>8.1</w:t>
            </w:r>
          </w:p>
        </w:tc>
        <w:tc>
          <w:tcPr>
            <w:tcW w:w="733" w:type="dxa"/>
          </w:tcPr>
          <w:p>
            <w:pPr>
              <w:pStyle w:val="TableParagraph"/>
              <w:spacing w:line="210" w:lineRule="exact"/>
              <w:ind w:right="179"/>
              <w:jc w:val="right"/>
              <w:rPr>
                <w:sz w:val="20"/>
              </w:rPr>
            </w:pPr>
            <w:r>
              <w:rPr>
                <w:spacing w:val="-5"/>
                <w:sz w:val="20"/>
              </w:rPr>
              <w:t>235</w:t>
            </w:r>
          </w:p>
        </w:tc>
        <w:tc>
          <w:tcPr>
            <w:tcW w:w="739" w:type="dxa"/>
            <w:tcBorders>
              <w:right w:val="single" w:sz="4" w:space="0" w:color="000000"/>
            </w:tcBorders>
          </w:tcPr>
          <w:p>
            <w:pPr>
              <w:pStyle w:val="TableParagraph"/>
              <w:spacing w:line="210" w:lineRule="exact"/>
              <w:ind w:left="36" w:right="18"/>
              <w:jc w:val="center"/>
              <w:rPr>
                <w:sz w:val="20"/>
              </w:rPr>
            </w:pPr>
            <w:r>
              <w:rPr>
                <w:spacing w:val="-4"/>
                <w:sz w:val="20"/>
              </w:rPr>
              <w:t>50.8</w:t>
            </w:r>
          </w:p>
        </w:tc>
      </w:tr>
      <w:tr>
        <w:trPr>
          <w:trHeight w:val="244" w:hRule="atLeast"/>
        </w:trPr>
        <w:tc>
          <w:tcPr>
            <w:tcW w:w="4147" w:type="dxa"/>
            <w:tcBorders>
              <w:left w:val="single" w:sz="4" w:space="0" w:color="000000"/>
            </w:tcBorders>
          </w:tcPr>
          <w:p>
            <w:pPr>
              <w:pStyle w:val="TableParagraph"/>
              <w:spacing w:line="225" w:lineRule="exact"/>
              <w:ind w:left="830"/>
              <w:rPr>
                <w:sz w:val="20"/>
              </w:rPr>
            </w:pPr>
            <w:r>
              <w:rPr>
                <w:sz w:val="20"/>
              </w:rPr>
              <w:t>movement</w:t>
            </w:r>
            <w:r>
              <w:rPr>
                <w:spacing w:val="-2"/>
                <w:sz w:val="20"/>
              </w:rPr>
              <w:t> </w:t>
            </w:r>
            <w:r>
              <w:rPr>
                <w:sz w:val="20"/>
              </w:rPr>
              <w:t>on</w:t>
            </w:r>
            <w:r>
              <w:rPr>
                <w:spacing w:val="-5"/>
                <w:sz w:val="20"/>
              </w:rPr>
              <w:t> </w:t>
            </w:r>
            <w:r>
              <w:rPr>
                <w:sz w:val="20"/>
              </w:rPr>
              <w:t>the</w:t>
            </w:r>
            <w:r>
              <w:rPr>
                <w:spacing w:val="-9"/>
                <w:sz w:val="20"/>
              </w:rPr>
              <w:t> </w:t>
            </w:r>
            <w:r>
              <w:rPr>
                <w:spacing w:val="-2"/>
                <w:sz w:val="20"/>
              </w:rPr>
              <w:t>campus..</w:t>
            </w:r>
          </w:p>
        </w:tc>
        <w:tc>
          <w:tcPr>
            <w:tcW w:w="1977" w:type="dxa"/>
          </w:tcPr>
          <w:p>
            <w:pPr>
              <w:pStyle w:val="TableParagraph"/>
              <w:spacing w:line="225" w:lineRule="exact"/>
              <w:ind w:left="110"/>
              <w:rPr>
                <w:sz w:val="20"/>
              </w:rPr>
            </w:pPr>
            <w:r>
              <w:rPr>
                <w:sz w:val="20"/>
              </w:rPr>
              <w:t>Service</w:t>
            </w:r>
            <w:r>
              <w:rPr>
                <w:spacing w:val="-9"/>
                <w:sz w:val="20"/>
              </w:rPr>
              <w:t> </w:t>
            </w:r>
            <w:r>
              <w:rPr>
                <w:spacing w:val="-2"/>
                <w:sz w:val="20"/>
              </w:rPr>
              <w:t>Staff</w:t>
            </w:r>
          </w:p>
        </w:tc>
        <w:tc>
          <w:tcPr>
            <w:tcW w:w="541" w:type="dxa"/>
          </w:tcPr>
          <w:p>
            <w:pPr>
              <w:pStyle w:val="TableParagraph"/>
              <w:spacing w:line="225" w:lineRule="exact"/>
              <w:ind w:left="4" w:right="4"/>
              <w:jc w:val="center"/>
              <w:rPr>
                <w:sz w:val="20"/>
              </w:rPr>
            </w:pPr>
            <w:r>
              <w:rPr>
                <w:spacing w:val="-5"/>
                <w:sz w:val="20"/>
              </w:rPr>
              <w:t>35</w:t>
            </w:r>
          </w:p>
        </w:tc>
        <w:tc>
          <w:tcPr>
            <w:tcW w:w="732" w:type="dxa"/>
          </w:tcPr>
          <w:p>
            <w:pPr>
              <w:pStyle w:val="TableParagraph"/>
              <w:spacing w:line="225" w:lineRule="exact"/>
              <w:ind w:left="58" w:right="58"/>
              <w:jc w:val="center"/>
              <w:rPr>
                <w:sz w:val="20"/>
              </w:rPr>
            </w:pPr>
            <w:r>
              <w:rPr>
                <w:spacing w:val="-4"/>
                <w:sz w:val="20"/>
              </w:rPr>
              <w:t>17.2</w:t>
            </w:r>
          </w:p>
        </w:tc>
        <w:tc>
          <w:tcPr>
            <w:tcW w:w="691" w:type="dxa"/>
          </w:tcPr>
          <w:p>
            <w:pPr>
              <w:pStyle w:val="TableParagraph"/>
              <w:spacing w:line="225" w:lineRule="exact"/>
              <w:ind w:left="22" w:right="11"/>
              <w:jc w:val="center"/>
              <w:rPr>
                <w:sz w:val="20"/>
              </w:rPr>
            </w:pPr>
            <w:r>
              <w:rPr>
                <w:spacing w:val="-5"/>
                <w:sz w:val="20"/>
              </w:rPr>
              <w:t>81</w:t>
            </w:r>
          </w:p>
        </w:tc>
        <w:tc>
          <w:tcPr>
            <w:tcW w:w="708" w:type="dxa"/>
          </w:tcPr>
          <w:p>
            <w:pPr>
              <w:pStyle w:val="TableParagraph"/>
              <w:spacing w:line="225" w:lineRule="exact"/>
              <w:ind w:left="59" w:right="2"/>
              <w:jc w:val="center"/>
              <w:rPr>
                <w:sz w:val="20"/>
              </w:rPr>
            </w:pPr>
            <w:r>
              <w:rPr>
                <w:spacing w:val="-4"/>
                <w:sz w:val="20"/>
              </w:rPr>
              <w:t>39.9</w:t>
            </w:r>
          </w:p>
        </w:tc>
        <w:tc>
          <w:tcPr>
            <w:tcW w:w="756" w:type="dxa"/>
          </w:tcPr>
          <w:p>
            <w:pPr>
              <w:pStyle w:val="TableParagraph"/>
              <w:spacing w:line="225" w:lineRule="exact"/>
              <w:ind w:right="250"/>
              <w:jc w:val="right"/>
              <w:rPr>
                <w:sz w:val="20"/>
              </w:rPr>
            </w:pPr>
            <w:r>
              <w:rPr>
                <w:spacing w:val="-5"/>
                <w:sz w:val="20"/>
              </w:rPr>
              <w:t>18</w:t>
            </w:r>
          </w:p>
        </w:tc>
        <w:tc>
          <w:tcPr>
            <w:tcW w:w="874" w:type="dxa"/>
          </w:tcPr>
          <w:p>
            <w:pPr>
              <w:pStyle w:val="TableParagraph"/>
              <w:spacing w:line="225" w:lineRule="exact"/>
              <w:ind w:left="44" w:right="5"/>
              <w:jc w:val="center"/>
              <w:rPr>
                <w:sz w:val="20"/>
              </w:rPr>
            </w:pPr>
            <w:r>
              <w:rPr>
                <w:spacing w:val="-5"/>
                <w:sz w:val="20"/>
              </w:rPr>
              <w:t>8.9</w:t>
            </w:r>
          </w:p>
        </w:tc>
        <w:tc>
          <w:tcPr>
            <w:tcW w:w="740" w:type="dxa"/>
          </w:tcPr>
          <w:p>
            <w:pPr>
              <w:pStyle w:val="TableParagraph"/>
              <w:spacing w:line="225" w:lineRule="exact"/>
              <w:ind w:left="64" w:right="6"/>
              <w:jc w:val="center"/>
              <w:rPr>
                <w:sz w:val="20"/>
              </w:rPr>
            </w:pPr>
            <w:r>
              <w:rPr>
                <w:spacing w:val="-5"/>
                <w:sz w:val="20"/>
              </w:rPr>
              <w:t>59</w:t>
            </w:r>
          </w:p>
        </w:tc>
        <w:tc>
          <w:tcPr>
            <w:tcW w:w="774" w:type="dxa"/>
          </w:tcPr>
          <w:p>
            <w:pPr>
              <w:pStyle w:val="TableParagraph"/>
              <w:spacing w:line="225" w:lineRule="exact"/>
              <w:ind w:left="6" w:right="15"/>
              <w:jc w:val="center"/>
              <w:rPr>
                <w:sz w:val="20"/>
              </w:rPr>
            </w:pPr>
            <w:r>
              <w:rPr>
                <w:spacing w:val="-4"/>
                <w:sz w:val="20"/>
              </w:rPr>
              <w:t>29.1</w:t>
            </w:r>
          </w:p>
        </w:tc>
        <w:tc>
          <w:tcPr>
            <w:tcW w:w="628" w:type="dxa"/>
          </w:tcPr>
          <w:p>
            <w:pPr>
              <w:pStyle w:val="TableParagraph"/>
              <w:spacing w:line="225" w:lineRule="exact"/>
              <w:ind w:left="21" w:right="19"/>
              <w:jc w:val="center"/>
              <w:rPr>
                <w:sz w:val="20"/>
              </w:rPr>
            </w:pPr>
            <w:r>
              <w:rPr>
                <w:spacing w:val="-5"/>
                <w:sz w:val="20"/>
              </w:rPr>
              <w:t>10</w:t>
            </w:r>
          </w:p>
        </w:tc>
        <w:tc>
          <w:tcPr>
            <w:tcW w:w="731" w:type="dxa"/>
          </w:tcPr>
          <w:p>
            <w:pPr>
              <w:pStyle w:val="TableParagraph"/>
              <w:spacing w:line="225" w:lineRule="exact"/>
              <w:ind w:left="69" w:right="5"/>
              <w:jc w:val="center"/>
              <w:rPr>
                <w:sz w:val="20"/>
              </w:rPr>
            </w:pPr>
            <w:r>
              <w:rPr>
                <w:spacing w:val="-5"/>
                <w:sz w:val="20"/>
              </w:rPr>
              <w:t>4.9</w:t>
            </w:r>
          </w:p>
        </w:tc>
        <w:tc>
          <w:tcPr>
            <w:tcW w:w="733" w:type="dxa"/>
          </w:tcPr>
          <w:p>
            <w:pPr>
              <w:pStyle w:val="TableParagraph"/>
              <w:spacing w:line="225" w:lineRule="exact"/>
              <w:ind w:right="179"/>
              <w:jc w:val="right"/>
              <w:rPr>
                <w:sz w:val="20"/>
              </w:rPr>
            </w:pPr>
            <w:r>
              <w:rPr>
                <w:spacing w:val="-5"/>
                <w:sz w:val="20"/>
              </w:rPr>
              <w:t>203</w:t>
            </w:r>
          </w:p>
        </w:tc>
        <w:tc>
          <w:tcPr>
            <w:tcW w:w="739" w:type="dxa"/>
            <w:tcBorders>
              <w:right w:val="single" w:sz="4" w:space="0" w:color="000000"/>
            </w:tcBorders>
          </w:tcPr>
          <w:p>
            <w:pPr>
              <w:pStyle w:val="TableParagraph"/>
              <w:spacing w:line="225" w:lineRule="exact"/>
              <w:ind w:left="36" w:right="18"/>
              <w:jc w:val="center"/>
              <w:rPr>
                <w:sz w:val="20"/>
              </w:rPr>
            </w:pPr>
            <w:r>
              <w:rPr>
                <w:spacing w:val="-4"/>
                <w:sz w:val="20"/>
              </w:rPr>
              <w:t>43.8</w:t>
            </w:r>
          </w:p>
        </w:tc>
      </w:tr>
      <w:tr>
        <w:trPr>
          <w:trHeight w:val="268" w:hRule="atLeast"/>
        </w:trPr>
        <w:tc>
          <w:tcPr>
            <w:tcW w:w="4147" w:type="dxa"/>
            <w:tcBorders>
              <w:left w:val="single" w:sz="4" w:space="0" w:color="000000"/>
            </w:tcBorders>
          </w:tcPr>
          <w:p>
            <w:pPr>
              <w:pStyle w:val="TableParagraph"/>
              <w:rPr>
                <w:rFonts w:ascii="Times New Roman"/>
                <w:sz w:val="18"/>
              </w:rPr>
            </w:pPr>
          </w:p>
        </w:tc>
        <w:tc>
          <w:tcPr>
            <w:tcW w:w="1977" w:type="dxa"/>
          </w:tcPr>
          <w:p>
            <w:pPr>
              <w:pStyle w:val="TableParagraph"/>
              <w:spacing w:before="12"/>
              <w:ind w:left="110"/>
              <w:rPr>
                <w:sz w:val="20"/>
              </w:rPr>
            </w:pPr>
            <w:r>
              <w:rPr>
                <w:sz w:val="20"/>
              </w:rPr>
              <w:t>Top</w:t>
            </w:r>
            <w:r>
              <w:rPr>
                <w:spacing w:val="-1"/>
                <w:sz w:val="20"/>
              </w:rPr>
              <w:t> </w:t>
            </w:r>
            <w:r>
              <w:rPr>
                <w:spacing w:val="-2"/>
                <w:sz w:val="20"/>
              </w:rPr>
              <w:t>Management</w:t>
            </w:r>
          </w:p>
        </w:tc>
        <w:tc>
          <w:tcPr>
            <w:tcW w:w="541" w:type="dxa"/>
          </w:tcPr>
          <w:p>
            <w:pPr>
              <w:pStyle w:val="TableParagraph"/>
              <w:spacing w:before="12"/>
              <w:ind w:left="5" w:right="1"/>
              <w:jc w:val="center"/>
              <w:rPr>
                <w:sz w:val="20"/>
              </w:rPr>
            </w:pPr>
            <w:r>
              <w:rPr>
                <w:spacing w:val="-10"/>
                <w:sz w:val="20"/>
              </w:rPr>
              <w:t>4</w:t>
            </w:r>
          </w:p>
        </w:tc>
        <w:tc>
          <w:tcPr>
            <w:tcW w:w="732" w:type="dxa"/>
          </w:tcPr>
          <w:p>
            <w:pPr>
              <w:pStyle w:val="TableParagraph"/>
              <w:spacing w:before="12"/>
              <w:ind w:left="58" w:right="58"/>
              <w:jc w:val="center"/>
              <w:rPr>
                <w:sz w:val="20"/>
              </w:rPr>
            </w:pPr>
            <w:r>
              <w:rPr>
                <w:spacing w:val="-4"/>
                <w:sz w:val="20"/>
              </w:rPr>
              <w:t>17.4</w:t>
            </w:r>
          </w:p>
        </w:tc>
        <w:tc>
          <w:tcPr>
            <w:tcW w:w="691" w:type="dxa"/>
          </w:tcPr>
          <w:p>
            <w:pPr>
              <w:pStyle w:val="TableParagraph"/>
              <w:spacing w:before="12"/>
              <w:ind w:left="22" w:right="11"/>
              <w:jc w:val="center"/>
              <w:rPr>
                <w:sz w:val="20"/>
              </w:rPr>
            </w:pPr>
            <w:r>
              <w:rPr>
                <w:spacing w:val="-5"/>
                <w:sz w:val="20"/>
              </w:rPr>
              <w:t>11</w:t>
            </w:r>
          </w:p>
        </w:tc>
        <w:tc>
          <w:tcPr>
            <w:tcW w:w="708" w:type="dxa"/>
          </w:tcPr>
          <w:p>
            <w:pPr>
              <w:pStyle w:val="TableParagraph"/>
              <w:spacing w:before="12"/>
              <w:ind w:left="59" w:right="2"/>
              <w:jc w:val="center"/>
              <w:rPr>
                <w:sz w:val="20"/>
              </w:rPr>
            </w:pPr>
            <w:r>
              <w:rPr>
                <w:spacing w:val="-4"/>
                <w:sz w:val="20"/>
              </w:rPr>
              <w:t>47.8</w:t>
            </w:r>
          </w:p>
        </w:tc>
        <w:tc>
          <w:tcPr>
            <w:tcW w:w="756" w:type="dxa"/>
          </w:tcPr>
          <w:p>
            <w:pPr>
              <w:pStyle w:val="TableParagraph"/>
              <w:spacing w:before="12"/>
              <w:ind w:right="303"/>
              <w:jc w:val="right"/>
              <w:rPr>
                <w:sz w:val="20"/>
              </w:rPr>
            </w:pPr>
            <w:r>
              <w:rPr>
                <w:spacing w:val="-10"/>
                <w:sz w:val="20"/>
              </w:rPr>
              <w:t>3</w:t>
            </w:r>
          </w:p>
        </w:tc>
        <w:tc>
          <w:tcPr>
            <w:tcW w:w="874" w:type="dxa"/>
          </w:tcPr>
          <w:p>
            <w:pPr>
              <w:pStyle w:val="TableParagraph"/>
              <w:spacing w:before="12"/>
              <w:ind w:left="44"/>
              <w:jc w:val="center"/>
              <w:rPr>
                <w:sz w:val="20"/>
              </w:rPr>
            </w:pPr>
            <w:r>
              <w:rPr>
                <w:spacing w:val="-4"/>
                <w:sz w:val="20"/>
              </w:rPr>
              <w:t>13.0</w:t>
            </w:r>
          </w:p>
        </w:tc>
        <w:tc>
          <w:tcPr>
            <w:tcW w:w="740" w:type="dxa"/>
          </w:tcPr>
          <w:p>
            <w:pPr>
              <w:pStyle w:val="TableParagraph"/>
              <w:spacing w:before="12"/>
              <w:ind w:left="64" w:right="2"/>
              <w:jc w:val="center"/>
              <w:rPr>
                <w:sz w:val="20"/>
              </w:rPr>
            </w:pPr>
            <w:r>
              <w:rPr>
                <w:spacing w:val="-10"/>
                <w:sz w:val="20"/>
              </w:rPr>
              <w:t>4</w:t>
            </w:r>
          </w:p>
        </w:tc>
        <w:tc>
          <w:tcPr>
            <w:tcW w:w="774" w:type="dxa"/>
          </w:tcPr>
          <w:p>
            <w:pPr>
              <w:pStyle w:val="TableParagraph"/>
              <w:spacing w:before="12"/>
              <w:ind w:left="6" w:right="15"/>
              <w:jc w:val="center"/>
              <w:rPr>
                <w:sz w:val="20"/>
              </w:rPr>
            </w:pPr>
            <w:r>
              <w:rPr>
                <w:spacing w:val="-4"/>
                <w:sz w:val="20"/>
              </w:rPr>
              <w:t>17.4</w:t>
            </w:r>
          </w:p>
        </w:tc>
        <w:tc>
          <w:tcPr>
            <w:tcW w:w="628" w:type="dxa"/>
          </w:tcPr>
          <w:p>
            <w:pPr>
              <w:pStyle w:val="TableParagraph"/>
              <w:spacing w:before="12"/>
              <w:ind w:left="26" w:right="19"/>
              <w:jc w:val="center"/>
              <w:rPr>
                <w:sz w:val="20"/>
              </w:rPr>
            </w:pPr>
            <w:r>
              <w:rPr>
                <w:spacing w:val="-10"/>
                <w:sz w:val="20"/>
              </w:rPr>
              <w:t>1</w:t>
            </w:r>
          </w:p>
        </w:tc>
        <w:tc>
          <w:tcPr>
            <w:tcW w:w="731" w:type="dxa"/>
          </w:tcPr>
          <w:p>
            <w:pPr>
              <w:pStyle w:val="TableParagraph"/>
              <w:spacing w:before="12"/>
              <w:ind w:left="69" w:right="5"/>
              <w:jc w:val="center"/>
              <w:rPr>
                <w:sz w:val="20"/>
              </w:rPr>
            </w:pPr>
            <w:r>
              <w:rPr>
                <w:spacing w:val="-5"/>
                <w:sz w:val="20"/>
              </w:rPr>
              <w:t>4.3</w:t>
            </w:r>
          </w:p>
        </w:tc>
        <w:tc>
          <w:tcPr>
            <w:tcW w:w="733" w:type="dxa"/>
          </w:tcPr>
          <w:p>
            <w:pPr>
              <w:pStyle w:val="TableParagraph"/>
              <w:spacing w:before="12"/>
              <w:ind w:right="232"/>
              <w:jc w:val="right"/>
              <w:rPr>
                <w:sz w:val="20"/>
              </w:rPr>
            </w:pPr>
            <w:r>
              <w:rPr>
                <w:spacing w:val="-5"/>
                <w:sz w:val="20"/>
              </w:rPr>
              <w:t>23</w:t>
            </w:r>
          </w:p>
        </w:tc>
        <w:tc>
          <w:tcPr>
            <w:tcW w:w="739" w:type="dxa"/>
            <w:tcBorders>
              <w:right w:val="single" w:sz="4" w:space="0" w:color="000000"/>
            </w:tcBorders>
          </w:tcPr>
          <w:p>
            <w:pPr>
              <w:pStyle w:val="TableParagraph"/>
              <w:spacing w:before="12"/>
              <w:ind w:left="36" w:right="23"/>
              <w:jc w:val="center"/>
              <w:rPr>
                <w:sz w:val="20"/>
              </w:rPr>
            </w:pPr>
            <w:r>
              <w:rPr>
                <w:spacing w:val="-5"/>
                <w:sz w:val="20"/>
              </w:rPr>
              <w:t>5.0</w:t>
            </w:r>
          </w:p>
        </w:tc>
      </w:tr>
      <w:tr>
        <w:trPr>
          <w:trHeight w:val="254" w:hRule="atLeast"/>
        </w:trPr>
        <w:tc>
          <w:tcPr>
            <w:tcW w:w="4147" w:type="dxa"/>
            <w:tcBorders>
              <w:left w:val="single" w:sz="4" w:space="0" w:color="000000"/>
            </w:tcBorders>
          </w:tcPr>
          <w:p>
            <w:pPr>
              <w:pStyle w:val="TableParagraph"/>
              <w:tabs>
                <w:tab w:pos="609" w:val="left" w:leader="none"/>
              </w:tabs>
              <w:spacing w:line="213" w:lineRule="exact" w:before="21"/>
              <w:ind w:right="101"/>
              <w:jc w:val="right"/>
              <w:rPr>
                <w:sz w:val="20"/>
              </w:rPr>
            </w:pPr>
            <w:r>
              <w:rPr>
                <w:spacing w:val="-5"/>
                <w:sz w:val="20"/>
              </w:rPr>
              <w:t>55.</w:t>
            </w:r>
            <w:r>
              <w:rPr>
                <w:sz w:val="20"/>
              </w:rPr>
              <w:tab/>
              <w:t>The</w:t>
            </w:r>
            <w:r>
              <w:rPr>
                <w:spacing w:val="59"/>
                <w:sz w:val="20"/>
              </w:rPr>
              <w:t> </w:t>
            </w:r>
            <w:r>
              <w:rPr>
                <w:sz w:val="20"/>
              </w:rPr>
              <w:t>security</w:t>
            </w:r>
            <w:r>
              <w:rPr>
                <w:spacing w:val="57"/>
                <w:sz w:val="20"/>
              </w:rPr>
              <w:t> </w:t>
            </w:r>
            <w:r>
              <w:rPr>
                <w:sz w:val="20"/>
              </w:rPr>
              <w:t>men</w:t>
            </w:r>
            <w:r>
              <w:rPr>
                <w:spacing w:val="60"/>
                <w:sz w:val="20"/>
              </w:rPr>
              <w:t> </w:t>
            </w:r>
            <w:r>
              <w:rPr>
                <w:sz w:val="20"/>
              </w:rPr>
              <w:t>are</w:t>
            </w:r>
            <w:r>
              <w:rPr>
                <w:spacing w:val="60"/>
                <w:sz w:val="20"/>
              </w:rPr>
              <w:t> </w:t>
            </w:r>
            <w:r>
              <w:rPr>
                <w:sz w:val="20"/>
              </w:rPr>
              <w:t>involved</w:t>
            </w:r>
            <w:r>
              <w:rPr>
                <w:spacing w:val="55"/>
                <w:sz w:val="20"/>
              </w:rPr>
              <w:t> </w:t>
            </w:r>
            <w:r>
              <w:rPr>
                <w:spacing w:val="-5"/>
                <w:sz w:val="20"/>
              </w:rPr>
              <w:t>in</w:t>
            </w:r>
          </w:p>
        </w:tc>
        <w:tc>
          <w:tcPr>
            <w:tcW w:w="1977" w:type="dxa"/>
          </w:tcPr>
          <w:p>
            <w:pPr>
              <w:pStyle w:val="TableParagraph"/>
              <w:spacing w:line="213" w:lineRule="exact" w:before="21"/>
              <w:ind w:left="110"/>
              <w:rPr>
                <w:sz w:val="20"/>
              </w:rPr>
            </w:pPr>
            <w:r>
              <w:rPr>
                <w:sz w:val="20"/>
              </w:rPr>
              <w:t>No.</w:t>
            </w:r>
            <w:r>
              <w:rPr>
                <w:spacing w:val="-5"/>
                <w:sz w:val="20"/>
              </w:rPr>
              <w:t> </w:t>
            </w:r>
            <w:r>
              <w:rPr>
                <w:sz w:val="20"/>
              </w:rPr>
              <w:t>of</w:t>
            </w:r>
            <w:r>
              <w:rPr>
                <w:spacing w:val="-2"/>
                <w:sz w:val="20"/>
              </w:rPr>
              <w:t> missing</w:t>
            </w:r>
          </w:p>
        </w:tc>
        <w:tc>
          <w:tcPr>
            <w:tcW w:w="541" w:type="dxa"/>
          </w:tcPr>
          <w:p>
            <w:pPr>
              <w:pStyle w:val="TableParagraph"/>
              <w:rPr>
                <w:rFonts w:ascii="Times New Roman"/>
                <w:sz w:val="18"/>
              </w:rPr>
            </w:pPr>
          </w:p>
        </w:tc>
        <w:tc>
          <w:tcPr>
            <w:tcW w:w="732" w:type="dxa"/>
          </w:tcPr>
          <w:p>
            <w:pPr>
              <w:pStyle w:val="TableParagraph"/>
              <w:rPr>
                <w:rFonts w:ascii="Times New Roman"/>
                <w:sz w:val="18"/>
              </w:rPr>
            </w:pPr>
          </w:p>
        </w:tc>
        <w:tc>
          <w:tcPr>
            <w:tcW w:w="691" w:type="dxa"/>
          </w:tcPr>
          <w:p>
            <w:pPr>
              <w:pStyle w:val="TableParagraph"/>
              <w:rPr>
                <w:rFonts w:ascii="Times New Roman"/>
                <w:sz w:val="18"/>
              </w:rPr>
            </w:pPr>
          </w:p>
        </w:tc>
        <w:tc>
          <w:tcPr>
            <w:tcW w:w="708" w:type="dxa"/>
          </w:tcPr>
          <w:p>
            <w:pPr>
              <w:pStyle w:val="TableParagraph"/>
              <w:rPr>
                <w:rFonts w:ascii="Times New Roman"/>
                <w:sz w:val="18"/>
              </w:rPr>
            </w:pPr>
          </w:p>
        </w:tc>
        <w:tc>
          <w:tcPr>
            <w:tcW w:w="756" w:type="dxa"/>
          </w:tcPr>
          <w:p>
            <w:pPr>
              <w:pStyle w:val="TableParagraph"/>
              <w:rPr>
                <w:rFonts w:ascii="Times New Roman"/>
                <w:sz w:val="18"/>
              </w:rPr>
            </w:pPr>
          </w:p>
        </w:tc>
        <w:tc>
          <w:tcPr>
            <w:tcW w:w="874" w:type="dxa"/>
          </w:tcPr>
          <w:p>
            <w:pPr>
              <w:pStyle w:val="TableParagraph"/>
              <w:rPr>
                <w:rFonts w:ascii="Times New Roman"/>
                <w:sz w:val="18"/>
              </w:rPr>
            </w:pPr>
          </w:p>
        </w:tc>
        <w:tc>
          <w:tcPr>
            <w:tcW w:w="740" w:type="dxa"/>
          </w:tcPr>
          <w:p>
            <w:pPr>
              <w:pStyle w:val="TableParagraph"/>
              <w:rPr>
                <w:rFonts w:ascii="Times New Roman"/>
                <w:sz w:val="18"/>
              </w:rPr>
            </w:pPr>
          </w:p>
        </w:tc>
        <w:tc>
          <w:tcPr>
            <w:tcW w:w="774" w:type="dxa"/>
          </w:tcPr>
          <w:p>
            <w:pPr>
              <w:pStyle w:val="TableParagraph"/>
              <w:rPr>
                <w:rFonts w:ascii="Times New Roman"/>
                <w:sz w:val="18"/>
              </w:rPr>
            </w:pPr>
          </w:p>
        </w:tc>
        <w:tc>
          <w:tcPr>
            <w:tcW w:w="628" w:type="dxa"/>
          </w:tcPr>
          <w:p>
            <w:pPr>
              <w:pStyle w:val="TableParagraph"/>
              <w:rPr>
                <w:rFonts w:ascii="Times New Roman"/>
                <w:sz w:val="18"/>
              </w:rPr>
            </w:pPr>
          </w:p>
        </w:tc>
        <w:tc>
          <w:tcPr>
            <w:tcW w:w="731" w:type="dxa"/>
          </w:tcPr>
          <w:p>
            <w:pPr>
              <w:pStyle w:val="TableParagraph"/>
              <w:rPr>
                <w:rFonts w:ascii="Times New Roman"/>
                <w:sz w:val="18"/>
              </w:rPr>
            </w:pPr>
          </w:p>
        </w:tc>
        <w:tc>
          <w:tcPr>
            <w:tcW w:w="733" w:type="dxa"/>
          </w:tcPr>
          <w:p>
            <w:pPr>
              <w:pStyle w:val="TableParagraph"/>
              <w:rPr>
                <w:rFonts w:ascii="Times New Roman"/>
                <w:sz w:val="18"/>
              </w:rPr>
            </w:pPr>
          </w:p>
        </w:tc>
        <w:tc>
          <w:tcPr>
            <w:tcW w:w="739" w:type="dxa"/>
            <w:tcBorders>
              <w:right w:val="single" w:sz="4" w:space="0" w:color="000000"/>
            </w:tcBorders>
          </w:tcPr>
          <w:p>
            <w:pPr>
              <w:pStyle w:val="TableParagraph"/>
              <w:rPr>
                <w:rFonts w:ascii="Times New Roman"/>
                <w:sz w:val="18"/>
              </w:rPr>
            </w:pPr>
          </w:p>
        </w:tc>
      </w:tr>
      <w:tr>
        <w:trPr>
          <w:trHeight w:val="230" w:hRule="atLeast"/>
        </w:trPr>
        <w:tc>
          <w:tcPr>
            <w:tcW w:w="4147" w:type="dxa"/>
            <w:tcBorders>
              <w:left w:val="single" w:sz="4" w:space="0" w:color="000000"/>
            </w:tcBorders>
          </w:tcPr>
          <w:p>
            <w:pPr>
              <w:pStyle w:val="TableParagraph"/>
              <w:spacing w:line="210" w:lineRule="exact"/>
              <w:ind w:right="105"/>
              <w:jc w:val="right"/>
              <w:rPr>
                <w:sz w:val="20"/>
              </w:rPr>
            </w:pPr>
            <w:r>
              <w:rPr>
                <w:sz w:val="20"/>
              </w:rPr>
              <w:t>active</w:t>
            </w:r>
            <w:r>
              <w:rPr>
                <w:spacing w:val="74"/>
                <w:sz w:val="20"/>
              </w:rPr>
              <w:t> </w:t>
            </w:r>
            <w:r>
              <w:rPr>
                <w:sz w:val="20"/>
              </w:rPr>
              <w:t>patrolling,</w:t>
            </w:r>
            <w:r>
              <w:rPr>
                <w:spacing w:val="76"/>
                <w:sz w:val="20"/>
              </w:rPr>
              <w:t> </w:t>
            </w:r>
            <w:r>
              <w:rPr>
                <w:sz w:val="20"/>
              </w:rPr>
              <w:t>surveillance</w:t>
            </w:r>
            <w:r>
              <w:rPr>
                <w:spacing w:val="75"/>
                <w:sz w:val="20"/>
              </w:rPr>
              <w:t> </w:t>
            </w:r>
            <w:r>
              <w:rPr>
                <w:spacing w:val="-5"/>
                <w:sz w:val="20"/>
              </w:rPr>
              <w:t>and</w:t>
            </w:r>
          </w:p>
        </w:tc>
        <w:tc>
          <w:tcPr>
            <w:tcW w:w="1977" w:type="dxa"/>
          </w:tcPr>
          <w:p>
            <w:pPr>
              <w:pStyle w:val="TableParagraph"/>
              <w:spacing w:line="210" w:lineRule="exact"/>
              <w:ind w:left="110"/>
              <w:rPr>
                <w:sz w:val="20"/>
              </w:rPr>
            </w:pPr>
            <w:r>
              <w:rPr>
                <w:spacing w:val="-2"/>
                <w:sz w:val="20"/>
              </w:rPr>
              <w:t>observations</w:t>
            </w:r>
          </w:p>
        </w:tc>
        <w:tc>
          <w:tcPr>
            <w:tcW w:w="541" w:type="dxa"/>
          </w:tcPr>
          <w:p>
            <w:pPr>
              <w:pStyle w:val="TableParagraph"/>
              <w:spacing w:line="210" w:lineRule="exact"/>
              <w:ind w:left="5" w:right="1"/>
              <w:jc w:val="center"/>
              <w:rPr>
                <w:sz w:val="20"/>
              </w:rPr>
            </w:pPr>
            <w:r>
              <w:rPr>
                <w:spacing w:val="-10"/>
                <w:sz w:val="20"/>
              </w:rPr>
              <w:t>1</w:t>
            </w:r>
          </w:p>
        </w:tc>
        <w:tc>
          <w:tcPr>
            <w:tcW w:w="732" w:type="dxa"/>
          </w:tcPr>
          <w:p>
            <w:pPr>
              <w:pStyle w:val="TableParagraph"/>
              <w:spacing w:line="210" w:lineRule="exact"/>
              <w:ind w:left="58" w:right="58"/>
              <w:jc w:val="center"/>
              <w:rPr>
                <w:sz w:val="20"/>
              </w:rPr>
            </w:pPr>
            <w:r>
              <w:rPr>
                <w:spacing w:val="-4"/>
                <w:sz w:val="20"/>
              </w:rPr>
              <w:t>50.0</w:t>
            </w:r>
          </w:p>
        </w:tc>
        <w:tc>
          <w:tcPr>
            <w:tcW w:w="691" w:type="dxa"/>
          </w:tcPr>
          <w:p>
            <w:pPr>
              <w:pStyle w:val="TableParagraph"/>
              <w:spacing w:line="210" w:lineRule="exact"/>
              <w:ind w:left="22" w:right="13"/>
              <w:jc w:val="center"/>
              <w:rPr>
                <w:sz w:val="20"/>
              </w:rPr>
            </w:pPr>
            <w:r>
              <w:rPr>
                <w:spacing w:val="-10"/>
                <w:sz w:val="20"/>
              </w:rPr>
              <w:t>-</w:t>
            </w:r>
          </w:p>
        </w:tc>
        <w:tc>
          <w:tcPr>
            <w:tcW w:w="708" w:type="dxa"/>
          </w:tcPr>
          <w:p>
            <w:pPr>
              <w:pStyle w:val="TableParagraph"/>
              <w:spacing w:line="210" w:lineRule="exact"/>
              <w:ind w:left="59" w:right="9"/>
              <w:jc w:val="center"/>
              <w:rPr>
                <w:sz w:val="20"/>
              </w:rPr>
            </w:pPr>
            <w:r>
              <w:rPr>
                <w:spacing w:val="-10"/>
                <w:sz w:val="20"/>
              </w:rPr>
              <w:t>-</w:t>
            </w:r>
          </w:p>
        </w:tc>
        <w:tc>
          <w:tcPr>
            <w:tcW w:w="756" w:type="dxa"/>
          </w:tcPr>
          <w:p>
            <w:pPr>
              <w:pStyle w:val="TableParagraph"/>
              <w:spacing w:line="210" w:lineRule="exact"/>
              <w:ind w:right="303"/>
              <w:jc w:val="right"/>
              <w:rPr>
                <w:sz w:val="20"/>
              </w:rPr>
            </w:pPr>
            <w:r>
              <w:rPr>
                <w:spacing w:val="-10"/>
                <w:sz w:val="20"/>
              </w:rPr>
              <w:t>1</w:t>
            </w:r>
          </w:p>
        </w:tc>
        <w:tc>
          <w:tcPr>
            <w:tcW w:w="874" w:type="dxa"/>
          </w:tcPr>
          <w:p>
            <w:pPr>
              <w:pStyle w:val="TableParagraph"/>
              <w:spacing w:line="210" w:lineRule="exact"/>
              <w:ind w:left="44"/>
              <w:jc w:val="center"/>
              <w:rPr>
                <w:sz w:val="20"/>
              </w:rPr>
            </w:pPr>
            <w:r>
              <w:rPr>
                <w:spacing w:val="-4"/>
                <w:sz w:val="20"/>
              </w:rPr>
              <w:t>50.0</w:t>
            </w:r>
          </w:p>
        </w:tc>
        <w:tc>
          <w:tcPr>
            <w:tcW w:w="740" w:type="dxa"/>
          </w:tcPr>
          <w:p>
            <w:pPr>
              <w:pStyle w:val="TableParagraph"/>
              <w:spacing w:line="210" w:lineRule="exact"/>
              <w:ind w:left="64" w:right="8"/>
              <w:jc w:val="center"/>
              <w:rPr>
                <w:sz w:val="20"/>
              </w:rPr>
            </w:pPr>
            <w:r>
              <w:rPr>
                <w:spacing w:val="-10"/>
                <w:sz w:val="20"/>
              </w:rPr>
              <w:t>-</w:t>
            </w:r>
          </w:p>
        </w:tc>
        <w:tc>
          <w:tcPr>
            <w:tcW w:w="774" w:type="dxa"/>
          </w:tcPr>
          <w:p>
            <w:pPr>
              <w:pStyle w:val="TableParagraph"/>
              <w:spacing w:line="210" w:lineRule="exact"/>
              <w:ind w:right="15"/>
              <w:jc w:val="center"/>
              <w:rPr>
                <w:sz w:val="20"/>
              </w:rPr>
            </w:pPr>
            <w:r>
              <w:rPr>
                <w:spacing w:val="-10"/>
                <w:sz w:val="20"/>
              </w:rPr>
              <w:t>-</w:t>
            </w:r>
          </w:p>
        </w:tc>
        <w:tc>
          <w:tcPr>
            <w:tcW w:w="628" w:type="dxa"/>
          </w:tcPr>
          <w:p>
            <w:pPr>
              <w:pStyle w:val="TableParagraph"/>
              <w:spacing w:line="210" w:lineRule="exact"/>
              <w:ind w:left="19" w:right="19"/>
              <w:jc w:val="center"/>
              <w:rPr>
                <w:sz w:val="20"/>
              </w:rPr>
            </w:pPr>
            <w:r>
              <w:rPr>
                <w:spacing w:val="-10"/>
                <w:sz w:val="20"/>
              </w:rPr>
              <w:t>-</w:t>
            </w:r>
          </w:p>
        </w:tc>
        <w:tc>
          <w:tcPr>
            <w:tcW w:w="731" w:type="dxa"/>
          </w:tcPr>
          <w:p>
            <w:pPr>
              <w:pStyle w:val="TableParagraph"/>
              <w:spacing w:line="210" w:lineRule="exact"/>
              <w:ind w:left="69" w:right="7"/>
              <w:jc w:val="center"/>
              <w:rPr>
                <w:sz w:val="20"/>
              </w:rPr>
            </w:pPr>
            <w:r>
              <w:rPr>
                <w:spacing w:val="-10"/>
                <w:sz w:val="20"/>
              </w:rPr>
              <w:t>-</w:t>
            </w:r>
          </w:p>
        </w:tc>
        <w:tc>
          <w:tcPr>
            <w:tcW w:w="733" w:type="dxa"/>
          </w:tcPr>
          <w:p>
            <w:pPr>
              <w:pStyle w:val="TableParagraph"/>
              <w:spacing w:line="210" w:lineRule="exact"/>
              <w:ind w:left="59" w:right="14"/>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23"/>
              <w:jc w:val="center"/>
              <w:rPr>
                <w:sz w:val="20"/>
              </w:rPr>
            </w:pPr>
            <w:r>
              <w:rPr>
                <w:spacing w:val="-5"/>
                <w:sz w:val="20"/>
              </w:rPr>
              <w:t>0.4</w:t>
            </w:r>
          </w:p>
        </w:tc>
      </w:tr>
      <w:tr>
        <w:trPr>
          <w:trHeight w:val="230" w:hRule="atLeast"/>
        </w:trPr>
        <w:tc>
          <w:tcPr>
            <w:tcW w:w="4147" w:type="dxa"/>
            <w:tcBorders>
              <w:left w:val="single" w:sz="4" w:space="0" w:color="000000"/>
            </w:tcBorders>
          </w:tcPr>
          <w:p>
            <w:pPr>
              <w:pStyle w:val="TableParagraph"/>
              <w:spacing w:line="210" w:lineRule="exact"/>
              <w:ind w:right="107"/>
              <w:jc w:val="right"/>
              <w:rPr>
                <w:sz w:val="20"/>
              </w:rPr>
            </w:pPr>
            <w:r>
              <w:rPr>
                <w:sz w:val="20"/>
              </w:rPr>
              <w:t>maintenance</w:t>
            </w:r>
            <w:r>
              <w:rPr>
                <w:spacing w:val="-6"/>
                <w:sz w:val="20"/>
              </w:rPr>
              <w:t> </w:t>
            </w:r>
            <w:r>
              <w:rPr>
                <w:sz w:val="20"/>
              </w:rPr>
              <w:t>of</w:t>
            </w:r>
            <w:r>
              <w:rPr>
                <w:spacing w:val="2"/>
                <w:sz w:val="20"/>
              </w:rPr>
              <w:t> </w:t>
            </w:r>
            <w:r>
              <w:rPr>
                <w:sz w:val="20"/>
              </w:rPr>
              <w:t>law</w:t>
            </w:r>
            <w:r>
              <w:rPr>
                <w:spacing w:val="-10"/>
                <w:sz w:val="20"/>
              </w:rPr>
              <w:t> </w:t>
            </w:r>
            <w:r>
              <w:rPr>
                <w:sz w:val="20"/>
              </w:rPr>
              <w:t>and</w:t>
            </w:r>
            <w:r>
              <w:rPr>
                <w:spacing w:val="-5"/>
                <w:sz w:val="20"/>
              </w:rPr>
              <w:t> </w:t>
            </w:r>
            <w:r>
              <w:rPr>
                <w:sz w:val="20"/>
              </w:rPr>
              <w:t>order.</w:t>
            </w:r>
            <w:r>
              <w:rPr>
                <w:spacing w:val="-2"/>
                <w:sz w:val="20"/>
              </w:rPr>
              <w:t> </w:t>
            </w:r>
            <w:r>
              <w:rPr>
                <w:spacing w:val="-4"/>
                <w:sz w:val="20"/>
              </w:rPr>
              <w:t>They</w:t>
            </w:r>
          </w:p>
        </w:tc>
        <w:tc>
          <w:tcPr>
            <w:tcW w:w="1977" w:type="dxa"/>
          </w:tcPr>
          <w:p>
            <w:pPr>
              <w:pStyle w:val="TableParagraph"/>
              <w:spacing w:line="210" w:lineRule="exact"/>
              <w:ind w:left="110"/>
              <w:rPr>
                <w:sz w:val="20"/>
              </w:rPr>
            </w:pPr>
            <w:r>
              <w:rPr>
                <w:spacing w:val="-2"/>
                <w:sz w:val="20"/>
              </w:rPr>
              <w:t>Students</w:t>
            </w:r>
          </w:p>
        </w:tc>
        <w:tc>
          <w:tcPr>
            <w:tcW w:w="541" w:type="dxa"/>
          </w:tcPr>
          <w:p>
            <w:pPr>
              <w:pStyle w:val="TableParagraph"/>
              <w:spacing w:line="210" w:lineRule="exact"/>
              <w:ind w:left="4" w:right="4"/>
              <w:jc w:val="center"/>
              <w:rPr>
                <w:sz w:val="20"/>
              </w:rPr>
            </w:pPr>
            <w:r>
              <w:rPr>
                <w:spacing w:val="-5"/>
                <w:sz w:val="20"/>
              </w:rPr>
              <w:t>49</w:t>
            </w:r>
          </w:p>
        </w:tc>
        <w:tc>
          <w:tcPr>
            <w:tcW w:w="732" w:type="dxa"/>
          </w:tcPr>
          <w:p>
            <w:pPr>
              <w:pStyle w:val="TableParagraph"/>
              <w:spacing w:line="210" w:lineRule="exact"/>
              <w:ind w:left="58" w:right="58"/>
              <w:jc w:val="center"/>
              <w:rPr>
                <w:sz w:val="20"/>
              </w:rPr>
            </w:pPr>
            <w:r>
              <w:rPr>
                <w:spacing w:val="-4"/>
                <w:sz w:val="20"/>
              </w:rPr>
              <w:t>20.9</w:t>
            </w:r>
          </w:p>
        </w:tc>
        <w:tc>
          <w:tcPr>
            <w:tcW w:w="691" w:type="dxa"/>
          </w:tcPr>
          <w:p>
            <w:pPr>
              <w:pStyle w:val="TableParagraph"/>
              <w:spacing w:line="210" w:lineRule="exact"/>
              <w:ind w:left="22" w:right="16"/>
              <w:jc w:val="center"/>
              <w:rPr>
                <w:sz w:val="20"/>
              </w:rPr>
            </w:pPr>
            <w:r>
              <w:rPr>
                <w:spacing w:val="-5"/>
                <w:sz w:val="20"/>
              </w:rPr>
              <w:t>140</w:t>
            </w:r>
          </w:p>
        </w:tc>
        <w:tc>
          <w:tcPr>
            <w:tcW w:w="708" w:type="dxa"/>
          </w:tcPr>
          <w:p>
            <w:pPr>
              <w:pStyle w:val="TableParagraph"/>
              <w:spacing w:line="210" w:lineRule="exact"/>
              <w:ind w:left="59" w:right="2"/>
              <w:jc w:val="center"/>
              <w:rPr>
                <w:sz w:val="20"/>
              </w:rPr>
            </w:pPr>
            <w:r>
              <w:rPr>
                <w:spacing w:val="-4"/>
                <w:sz w:val="20"/>
              </w:rPr>
              <w:t>59.6</w:t>
            </w:r>
          </w:p>
        </w:tc>
        <w:tc>
          <w:tcPr>
            <w:tcW w:w="756" w:type="dxa"/>
          </w:tcPr>
          <w:p>
            <w:pPr>
              <w:pStyle w:val="TableParagraph"/>
              <w:spacing w:line="210" w:lineRule="exact"/>
              <w:ind w:right="250"/>
              <w:jc w:val="right"/>
              <w:rPr>
                <w:sz w:val="20"/>
              </w:rPr>
            </w:pPr>
            <w:r>
              <w:rPr>
                <w:spacing w:val="-5"/>
                <w:sz w:val="20"/>
              </w:rPr>
              <w:t>19</w:t>
            </w:r>
          </w:p>
        </w:tc>
        <w:tc>
          <w:tcPr>
            <w:tcW w:w="874" w:type="dxa"/>
          </w:tcPr>
          <w:p>
            <w:pPr>
              <w:pStyle w:val="TableParagraph"/>
              <w:spacing w:line="210" w:lineRule="exact"/>
              <w:ind w:left="44" w:right="5"/>
              <w:jc w:val="center"/>
              <w:rPr>
                <w:sz w:val="20"/>
              </w:rPr>
            </w:pPr>
            <w:r>
              <w:rPr>
                <w:spacing w:val="-5"/>
                <w:sz w:val="20"/>
              </w:rPr>
              <w:t>8.1</w:t>
            </w:r>
          </w:p>
        </w:tc>
        <w:tc>
          <w:tcPr>
            <w:tcW w:w="740" w:type="dxa"/>
          </w:tcPr>
          <w:p>
            <w:pPr>
              <w:pStyle w:val="TableParagraph"/>
              <w:spacing w:line="210" w:lineRule="exact"/>
              <w:ind w:left="64" w:right="6"/>
              <w:jc w:val="center"/>
              <w:rPr>
                <w:sz w:val="20"/>
              </w:rPr>
            </w:pPr>
            <w:r>
              <w:rPr>
                <w:spacing w:val="-5"/>
                <w:sz w:val="20"/>
              </w:rPr>
              <w:t>25</w:t>
            </w:r>
          </w:p>
        </w:tc>
        <w:tc>
          <w:tcPr>
            <w:tcW w:w="774" w:type="dxa"/>
          </w:tcPr>
          <w:p>
            <w:pPr>
              <w:pStyle w:val="TableParagraph"/>
              <w:spacing w:line="210" w:lineRule="exact"/>
              <w:ind w:left="6" w:right="15"/>
              <w:jc w:val="center"/>
              <w:rPr>
                <w:sz w:val="20"/>
              </w:rPr>
            </w:pPr>
            <w:r>
              <w:rPr>
                <w:spacing w:val="-4"/>
                <w:sz w:val="20"/>
              </w:rPr>
              <w:t>10.6</w:t>
            </w:r>
          </w:p>
        </w:tc>
        <w:tc>
          <w:tcPr>
            <w:tcW w:w="628" w:type="dxa"/>
          </w:tcPr>
          <w:p>
            <w:pPr>
              <w:pStyle w:val="TableParagraph"/>
              <w:spacing w:line="210" w:lineRule="exact"/>
              <w:ind w:left="26" w:right="19"/>
              <w:jc w:val="center"/>
              <w:rPr>
                <w:sz w:val="20"/>
              </w:rPr>
            </w:pPr>
            <w:r>
              <w:rPr>
                <w:spacing w:val="-10"/>
                <w:sz w:val="20"/>
              </w:rPr>
              <w:t>2</w:t>
            </w:r>
          </w:p>
        </w:tc>
        <w:tc>
          <w:tcPr>
            <w:tcW w:w="731" w:type="dxa"/>
          </w:tcPr>
          <w:p>
            <w:pPr>
              <w:pStyle w:val="TableParagraph"/>
              <w:spacing w:line="210" w:lineRule="exact"/>
              <w:ind w:left="69" w:right="5"/>
              <w:jc w:val="center"/>
              <w:rPr>
                <w:sz w:val="20"/>
              </w:rPr>
            </w:pPr>
            <w:r>
              <w:rPr>
                <w:spacing w:val="-5"/>
                <w:sz w:val="20"/>
              </w:rPr>
              <w:t>0.9</w:t>
            </w:r>
          </w:p>
        </w:tc>
        <w:tc>
          <w:tcPr>
            <w:tcW w:w="733" w:type="dxa"/>
          </w:tcPr>
          <w:p>
            <w:pPr>
              <w:pStyle w:val="TableParagraph"/>
              <w:spacing w:line="210" w:lineRule="exact"/>
              <w:ind w:right="179"/>
              <w:jc w:val="right"/>
              <w:rPr>
                <w:sz w:val="20"/>
              </w:rPr>
            </w:pPr>
            <w:r>
              <w:rPr>
                <w:spacing w:val="-5"/>
                <w:sz w:val="20"/>
              </w:rPr>
              <w:t>235</w:t>
            </w:r>
          </w:p>
        </w:tc>
        <w:tc>
          <w:tcPr>
            <w:tcW w:w="739" w:type="dxa"/>
            <w:tcBorders>
              <w:right w:val="single" w:sz="4" w:space="0" w:color="000000"/>
            </w:tcBorders>
          </w:tcPr>
          <w:p>
            <w:pPr>
              <w:pStyle w:val="TableParagraph"/>
              <w:spacing w:line="210" w:lineRule="exact"/>
              <w:ind w:left="36" w:right="18"/>
              <w:jc w:val="center"/>
              <w:rPr>
                <w:sz w:val="20"/>
              </w:rPr>
            </w:pPr>
            <w:r>
              <w:rPr>
                <w:spacing w:val="-4"/>
                <w:sz w:val="20"/>
              </w:rPr>
              <w:t>50.8</w:t>
            </w:r>
          </w:p>
        </w:tc>
      </w:tr>
      <w:tr>
        <w:trPr>
          <w:trHeight w:val="230" w:hRule="atLeast"/>
        </w:trPr>
        <w:tc>
          <w:tcPr>
            <w:tcW w:w="4147" w:type="dxa"/>
            <w:tcBorders>
              <w:left w:val="single" w:sz="4" w:space="0" w:color="000000"/>
            </w:tcBorders>
          </w:tcPr>
          <w:p>
            <w:pPr>
              <w:pStyle w:val="TableParagraph"/>
              <w:spacing w:line="210" w:lineRule="exact"/>
              <w:ind w:right="103"/>
              <w:jc w:val="right"/>
              <w:rPr>
                <w:sz w:val="20"/>
              </w:rPr>
            </w:pPr>
            <w:r>
              <w:rPr>
                <w:sz w:val="20"/>
              </w:rPr>
              <w:t>are</w:t>
            </w:r>
            <w:r>
              <w:rPr>
                <w:spacing w:val="30"/>
                <w:sz w:val="20"/>
              </w:rPr>
              <w:t>  </w:t>
            </w:r>
            <w:r>
              <w:rPr>
                <w:sz w:val="20"/>
              </w:rPr>
              <w:t>also</w:t>
            </w:r>
            <w:r>
              <w:rPr>
                <w:spacing w:val="31"/>
                <w:sz w:val="20"/>
              </w:rPr>
              <w:t>  </w:t>
            </w:r>
            <w:r>
              <w:rPr>
                <w:sz w:val="20"/>
              </w:rPr>
              <w:t>to</w:t>
            </w:r>
            <w:r>
              <w:rPr>
                <w:spacing w:val="30"/>
                <w:sz w:val="20"/>
              </w:rPr>
              <w:t>  </w:t>
            </w:r>
            <w:r>
              <w:rPr>
                <w:sz w:val="20"/>
              </w:rPr>
              <w:t>receive</w:t>
            </w:r>
            <w:r>
              <w:rPr>
                <w:spacing w:val="29"/>
                <w:sz w:val="20"/>
              </w:rPr>
              <w:t>  </w:t>
            </w:r>
            <w:r>
              <w:rPr>
                <w:sz w:val="20"/>
              </w:rPr>
              <w:t>and</w:t>
            </w:r>
            <w:r>
              <w:rPr>
                <w:spacing w:val="31"/>
                <w:sz w:val="20"/>
              </w:rPr>
              <w:t>  </w:t>
            </w:r>
            <w:r>
              <w:rPr>
                <w:spacing w:val="-2"/>
                <w:sz w:val="20"/>
              </w:rPr>
              <w:t>report</w:t>
            </w:r>
          </w:p>
        </w:tc>
        <w:tc>
          <w:tcPr>
            <w:tcW w:w="1977" w:type="dxa"/>
          </w:tcPr>
          <w:p>
            <w:pPr>
              <w:pStyle w:val="TableParagraph"/>
              <w:spacing w:line="210" w:lineRule="exact"/>
              <w:ind w:left="110"/>
              <w:rPr>
                <w:sz w:val="20"/>
              </w:rPr>
            </w:pPr>
            <w:r>
              <w:rPr>
                <w:sz w:val="20"/>
              </w:rPr>
              <w:t>Service</w:t>
            </w:r>
            <w:r>
              <w:rPr>
                <w:spacing w:val="-9"/>
                <w:sz w:val="20"/>
              </w:rPr>
              <w:t> </w:t>
            </w:r>
            <w:r>
              <w:rPr>
                <w:spacing w:val="-2"/>
                <w:sz w:val="20"/>
              </w:rPr>
              <w:t>Staff</w:t>
            </w:r>
          </w:p>
        </w:tc>
        <w:tc>
          <w:tcPr>
            <w:tcW w:w="541" w:type="dxa"/>
          </w:tcPr>
          <w:p>
            <w:pPr>
              <w:pStyle w:val="TableParagraph"/>
              <w:spacing w:line="210" w:lineRule="exact"/>
              <w:ind w:left="4" w:right="4"/>
              <w:jc w:val="center"/>
              <w:rPr>
                <w:sz w:val="20"/>
              </w:rPr>
            </w:pPr>
            <w:r>
              <w:rPr>
                <w:spacing w:val="-5"/>
                <w:sz w:val="20"/>
              </w:rPr>
              <w:t>61</w:t>
            </w:r>
          </w:p>
        </w:tc>
        <w:tc>
          <w:tcPr>
            <w:tcW w:w="732" w:type="dxa"/>
          </w:tcPr>
          <w:p>
            <w:pPr>
              <w:pStyle w:val="TableParagraph"/>
              <w:spacing w:line="210" w:lineRule="exact"/>
              <w:ind w:left="58" w:right="58"/>
              <w:jc w:val="center"/>
              <w:rPr>
                <w:sz w:val="20"/>
              </w:rPr>
            </w:pPr>
            <w:r>
              <w:rPr>
                <w:spacing w:val="-4"/>
                <w:sz w:val="20"/>
              </w:rPr>
              <w:t>30.0</w:t>
            </w:r>
          </w:p>
        </w:tc>
        <w:tc>
          <w:tcPr>
            <w:tcW w:w="691" w:type="dxa"/>
          </w:tcPr>
          <w:p>
            <w:pPr>
              <w:pStyle w:val="TableParagraph"/>
              <w:spacing w:line="210" w:lineRule="exact"/>
              <w:ind w:left="22" w:right="16"/>
              <w:jc w:val="center"/>
              <w:rPr>
                <w:sz w:val="20"/>
              </w:rPr>
            </w:pPr>
            <w:r>
              <w:rPr>
                <w:spacing w:val="-5"/>
                <w:sz w:val="20"/>
              </w:rPr>
              <w:t>106</w:t>
            </w:r>
          </w:p>
        </w:tc>
        <w:tc>
          <w:tcPr>
            <w:tcW w:w="708" w:type="dxa"/>
          </w:tcPr>
          <w:p>
            <w:pPr>
              <w:pStyle w:val="TableParagraph"/>
              <w:spacing w:line="210" w:lineRule="exact"/>
              <w:ind w:left="59" w:right="2"/>
              <w:jc w:val="center"/>
              <w:rPr>
                <w:sz w:val="20"/>
              </w:rPr>
            </w:pPr>
            <w:r>
              <w:rPr>
                <w:spacing w:val="-4"/>
                <w:sz w:val="20"/>
              </w:rPr>
              <w:t>52.2</w:t>
            </w:r>
          </w:p>
        </w:tc>
        <w:tc>
          <w:tcPr>
            <w:tcW w:w="756" w:type="dxa"/>
          </w:tcPr>
          <w:p>
            <w:pPr>
              <w:pStyle w:val="TableParagraph"/>
              <w:spacing w:line="210" w:lineRule="exact"/>
              <w:ind w:right="250"/>
              <w:jc w:val="right"/>
              <w:rPr>
                <w:sz w:val="20"/>
              </w:rPr>
            </w:pPr>
            <w:r>
              <w:rPr>
                <w:spacing w:val="-5"/>
                <w:sz w:val="20"/>
              </w:rPr>
              <w:t>18</w:t>
            </w:r>
          </w:p>
        </w:tc>
        <w:tc>
          <w:tcPr>
            <w:tcW w:w="874" w:type="dxa"/>
          </w:tcPr>
          <w:p>
            <w:pPr>
              <w:pStyle w:val="TableParagraph"/>
              <w:spacing w:line="210" w:lineRule="exact"/>
              <w:ind w:left="44" w:right="5"/>
              <w:jc w:val="center"/>
              <w:rPr>
                <w:sz w:val="20"/>
              </w:rPr>
            </w:pPr>
            <w:r>
              <w:rPr>
                <w:spacing w:val="-5"/>
                <w:sz w:val="20"/>
              </w:rPr>
              <w:t>8.9</w:t>
            </w:r>
          </w:p>
        </w:tc>
        <w:tc>
          <w:tcPr>
            <w:tcW w:w="740" w:type="dxa"/>
          </w:tcPr>
          <w:p>
            <w:pPr>
              <w:pStyle w:val="TableParagraph"/>
              <w:spacing w:line="210" w:lineRule="exact"/>
              <w:ind w:left="64" w:right="6"/>
              <w:jc w:val="center"/>
              <w:rPr>
                <w:sz w:val="20"/>
              </w:rPr>
            </w:pPr>
            <w:r>
              <w:rPr>
                <w:spacing w:val="-5"/>
                <w:sz w:val="20"/>
              </w:rPr>
              <w:t>14</w:t>
            </w:r>
          </w:p>
        </w:tc>
        <w:tc>
          <w:tcPr>
            <w:tcW w:w="774" w:type="dxa"/>
          </w:tcPr>
          <w:p>
            <w:pPr>
              <w:pStyle w:val="TableParagraph"/>
              <w:spacing w:line="210" w:lineRule="exact"/>
              <w:ind w:left="1" w:right="15"/>
              <w:jc w:val="center"/>
              <w:rPr>
                <w:sz w:val="20"/>
              </w:rPr>
            </w:pPr>
            <w:r>
              <w:rPr>
                <w:spacing w:val="-5"/>
                <w:sz w:val="20"/>
              </w:rPr>
              <w:t>6.9</w:t>
            </w:r>
          </w:p>
        </w:tc>
        <w:tc>
          <w:tcPr>
            <w:tcW w:w="628" w:type="dxa"/>
          </w:tcPr>
          <w:p>
            <w:pPr>
              <w:pStyle w:val="TableParagraph"/>
              <w:spacing w:line="210" w:lineRule="exact"/>
              <w:ind w:left="26" w:right="19"/>
              <w:jc w:val="center"/>
              <w:rPr>
                <w:sz w:val="20"/>
              </w:rPr>
            </w:pPr>
            <w:r>
              <w:rPr>
                <w:spacing w:val="-10"/>
                <w:sz w:val="20"/>
              </w:rPr>
              <w:t>4</w:t>
            </w:r>
          </w:p>
        </w:tc>
        <w:tc>
          <w:tcPr>
            <w:tcW w:w="731" w:type="dxa"/>
          </w:tcPr>
          <w:p>
            <w:pPr>
              <w:pStyle w:val="TableParagraph"/>
              <w:spacing w:line="210" w:lineRule="exact"/>
              <w:ind w:left="69" w:right="5"/>
              <w:jc w:val="center"/>
              <w:rPr>
                <w:sz w:val="20"/>
              </w:rPr>
            </w:pPr>
            <w:r>
              <w:rPr>
                <w:spacing w:val="-5"/>
                <w:sz w:val="20"/>
              </w:rPr>
              <w:t>2.0</w:t>
            </w:r>
          </w:p>
        </w:tc>
        <w:tc>
          <w:tcPr>
            <w:tcW w:w="733" w:type="dxa"/>
          </w:tcPr>
          <w:p>
            <w:pPr>
              <w:pStyle w:val="TableParagraph"/>
              <w:spacing w:line="210" w:lineRule="exact"/>
              <w:ind w:right="179"/>
              <w:jc w:val="right"/>
              <w:rPr>
                <w:sz w:val="20"/>
              </w:rPr>
            </w:pPr>
            <w:r>
              <w:rPr>
                <w:spacing w:val="-5"/>
                <w:sz w:val="20"/>
              </w:rPr>
              <w:t>203</w:t>
            </w:r>
          </w:p>
        </w:tc>
        <w:tc>
          <w:tcPr>
            <w:tcW w:w="739" w:type="dxa"/>
            <w:tcBorders>
              <w:right w:val="single" w:sz="4" w:space="0" w:color="000000"/>
            </w:tcBorders>
          </w:tcPr>
          <w:p>
            <w:pPr>
              <w:pStyle w:val="TableParagraph"/>
              <w:spacing w:line="210" w:lineRule="exact"/>
              <w:ind w:left="36" w:right="18"/>
              <w:jc w:val="center"/>
              <w:rPr>
                <w:sz w:val="20"/>
              </w:rPr>
            </w:pPr>
            <w:r>
              <w:rPr>
                <w:spacing w:val="-4"/>
                <w:sz w:val="20"/>
              </w:rPr>
              <w:t>43.8</w:t>
            </w:r>
          </w:p>
        </w:tc>
      </w:tr>
      <w:tr>
        <w:trPr>
          <w:trHeight w:val="230" w:hRule="atLeast"/>
        </w:trPr>
        <w:tc>
          <w:tcPr>
            <w:tcW w:w="4147" w:type="dxa"/>
            <w:tcBorders>
              <w:left w:val="single" w:sz="4" w:space="0" w:color="000000"/>
            </w:tcBorders>
          </w:tcPr>
          <w:p>
            <w:pPr>
              <w:pStyle w:val="TableParagraph"/>
              <w:spacing w:line="210" w:lineRule="exact"/>
              <w:ind w:right="103"/>
              <w:jc w:val="right"/>
              <w:rPr>
                <w:sz w:val="20"/>
              </w:rPr>
            </w:pPr>
            <w:r>
              <w:rPr>
                <w:sz w:val="20"/>
              </w:rPr>
              <w:t>important</w:t>
            </w:r>
            <w:r>
              <w:rPr>
                <w:spacing w:val="55"/>
                <w:sz w:val="20"/>
              </w:rPr>
              <w:t> </w:t>
            </w:r>
            <w:r>
              <w:rPr>
                <w:sz w:val="20"/>
              </w:rPr>
              <w:t>and</w:t>
            </w:r>
            <w:r>
              <w:rPr>
                <w:spacing w:val="47"/>
                <w:sz w:val="20"/>
              </w:rPr>
              <w:t> </w:t>
            </w:r>
            <w:r>
              <w:rPr>
                <w:sz w:val="20"/>
              </w:rPr>
              <w:t>vital</w:t>
            </w:r>
            <w:r>
              <w:rPr>
                <w:spacing w:val="52"/>
                <w:sz w:val="20"/>
              </w:rPr>
              <w:t> </w:t>
            </w:r>
            <w:r>
              <w:rPr>
                <w:sz w:val="20"/>
              </w:rPr>
              <w:t>information</w:t>
            </w:r>
            <w:r>
              <w:rPr>
                <w:spacing w:val="48"/>
                <w:sz w:val="20"/>
              </w:rPr>
              <w:t> </w:t>
            </w:r>
            <w:r>
              <w:rPr>
                <w:spacing w:val="-5"/>
                <w:sz w:val="20"/>
              </w:rPr>
              <w:t>for</w:t>
            </w:r>
          </w:p>
        </w:tc>
        <w:tc>
          <w:tcPr>
            <w:tcW w:w="1977" w:type="dxa"/>
          </w:tcPr>
          <w:p>
            <w:pPr>
              <w:pStyle w:val="TableParagraph"/>
              <w:spacing w:line="210" w:lineRule="exact"/>
              <w:ind w:left="110"/>
              <w:rPr>
                <w:sz w:val="20"/>
              </w:rPr>
            </w:pPr>
            <w:r>
              <w:rPr>
                <w:sz w:val="20"/>
              </w:rPr>
              <w:t>Top</w:t>
            </w:r>
            <w:r>
              <w:rPr>
                <w:spacing w:val="-1"/>
                <w:sz w:val="20"/>
              </w:rPr>
              <w:t> </w:t>
            </w:r>
            <w:r>
              <w:rPr>
                <w:spacing w:val="-2"/>
                <w:sz w:val="20"/>
              </w:rPr>
              <w:t>Management</w:t>
            </w:r>
          </w:p>
        </w:tc>
        <w:tc>
          <w:tcPr>
            <w:tcW w:w="541" w:type="dxa"/>
          </w:tcPr>
          <w:p>
            <w:pPr>
              <w:pStyle w:val="TableParagraph"/>
              <w:spacing w:line="210" w:lineRule="exact"/>
              <w:ind w:left="5" w:right="1"/>
              <w:jc w:val="center"/>
              <w:rPr>
                <w:sz w:val="20"/>
              </w:rPr>
            </w:pPr>
            <w:r>
              <w:rPr>
                <w:spacing w:val="-10"/>
                <w:sz w:val="20"/>
              </w:rPr>
              <w:t>5</w:t>
            </w:r>
          </w:p>
        </w:tc>
        <w:tc>
          <w:tcPr>
            <w:tcW w:w="732" w:type="dxa"/>
          </w:tcPr>
          <w:p>
            <w:pPr>
              <w:pStyle w:val="TableParagraph"/>
              <w:spacing w:line="210" w:lineRule="exact"/>
              <w:ind w:left="58" w:right="58"/>
              <w:jc w:val="center"/>
              <w:rPr>
                <w:sz w:val="20"/>
              </w:rPr>
            </w:pPr>
            <w:r>
              <w:rPr>
                <w:spacing w:val="-4"/>
                <w:sz w:val="20"/>
              </w:rPr>
              <w:t>21.7</w:t>
            </w:r>
          </w:p>
        </w:tc>
        <w:tc>
          <w:tcPr>
            <w:tcW w:w="691" w:type="dxa"/>
          </w:tcPr>
          <w:p>
            <w:pPr>
              <w:pStyle w:val="TableParagraph"/>
              <w:spacing w:line="210" w:lineRule="exact"/>
              <w:ind w:left="22" w:right="11"/>
              <w:jc w:val="center"/>
              <w:rPr>
                <w:sz w:val="20"/>
              </w:rPr>
            </w:pPr>
            <w:r>
              <w:rPr>
                <w:spacing w:val="-5"/>
                <w:sz w:val="20"/>
              </w:rPr>
              <w:t>13</w:t>
            </w:r>
          </w:p>
        </w:tc>
        <w:tc>
          <w:tcPr>
            <w:tcW w:w="708" w:type="dxa"/>
          </w:tcPr>
          <w:p>
            <w:pPr>
              <w:pStyle w:val="TableParagraph"/>
              <w:spacing w:line="210" w:lineRule="exact"/>
              <w:ind w:left="59" w:right="2"/>
              <w:jc w:val="center"/>
              <w:rPr>
                <w:sz w:val="20"/>
              </w:rPr>
            </w:pPr>
            <w:r>
              <w:rPr>
                <w:spacing w:val="-4"/>
                <w:sz w:val="20"/>
              </w:rPr>
              <w:t>56.5</w:t>
            </w:r>
          </w:p>
        </w:tc>
        <w:tc>
          <w:tcPr>
            <w:tcW w:w="756" w:type="dxa"/>
          </w:tcPr>
          <w:p>
            <w:pPr>
              <w:pStyle w:val="TableParagraph"/>
              <w:spacing w:line="210" w:lineRule="exact"/>
              <w:ind w:right="303"/>
              <w:jc w:val="right"/>
              <w:rPr>
                <w:sz w:val="20"/>
              </w:rPr>
            </w:pPr>
            <w:r>
              <w:rPr>
                <w:spacing w:val="-10"/>
                <w:sz w:val="20"/>
              </w:rPr>
              <w:t>2</w:t>
            </w:r>
          </w:p>
        </w:tc>
        <w:tc>
          <w:tcPr>
            <w:tcW w:w="874" w:type="dxa"/>
          </w:tcPr>
          <w:p>
            <w:pPr>
              <w:pStyle w:val="TableParagraph"/>
              <w:spacing w:line="210" w:lineRule="exact"/>
              <w:ind w:left="44" w:right="5"/>
              <w:jc w:val="center"/>
              <w:rPr>
                <w:sz w:val="20"/>
              </w:rPr>
            </w:pPr>
            <w:r>
              <w:rPr>
                <w:spacing w:val="-5"/>
                <w:sz w:val="20"/>
              </w:rPr>
              <w:t>8.7</w:t>
            </w:r>
          </w:p>
        </w:tc>
        <w:tc>
          <w:tcPr>
            <w:tcW w:w="740" w:type="dxa"/>
          </w:tcPr>
          <w:p>
            <w:pPr>
              <w:pStyle w:val="TableParagraph"/>
              <w:spacing w:line="210" w:lineRule="exact"/>
              <w:ind w:left="64" w:right="2"/>
              <w:jc w:val="center"/>
              <w:rPr>
                <w:sz w:val="20"/>
              </w:rPr>
            </w:pPr>
            <w:r>
              <w:rPr>
                <w:spacing w:val="-10"/>
                <w:sz w:val="20"/>
              </w:rPr>
              <w:t>3</w:t>
            </w:r>
          </w:p>
        </w:tc>
        <w:tc>
          <w:tcPr>
            <w:tcW w:w="774" w:type="dxa"/>
          </w:tcPr>
          <w:p>
            <w:pPr>
              <w:pStyle w:val="TableParagraph"/>
              <w:spacing w:line="210" w:lineRule="exact"/>
              <w:ind w:left="6" w:right="15"/>
              <w:jc w:val="center"/>
              <w:rPr>
                <w:sz w:val="20"/>
              </w:rPr>
            </w:pPr>
            <w:r>
              <w:rPr>
                <w:spacing w:val="-4"/>
                <w:sz w:val="20"/>
              </w:rPr>
              <w:t>13.0</w:t>
            </w:r>
          </w:p>
        </w:tc>
        <w:tc>
          <w:tcPr>
            <w:tcW w:w="628" w:type="dxa"/>
          </w:tcPr>
          <w:p>
            <w:pPr>
              <w:pStyle w:val="TableParagraph"/>
              <w:spacing w:line="210" w:lineRule="exact"/>
              <w:ind w:left="19" w:right="19"/>
              <w:jc w:val="center"/>
              <w:rPr>
                <w:sz w:val="20"/>
              </w:rPr>
            </w:pPr>
            <w:r>
              <w:rPr>
                <w:spacing w:val="-10"/>
                <w:sz w:val="20"/>
              </w:rPr>
              <w:t>-</w:t>
            </w:r>
          </w:p>
        </w:tc>
        <w:tc>
          <w:tcPr>
            <w:tcW w:w="731" w:type="dxa"/>
          </w:tcPr>
          <w:p>
            <w:pPr>
              <w:pStyle w:val="TableParagraph"/>
              <w:spacing w:line="210" w:lineRule="exact"/>
              <w:ind w:left="69" w:right="7"/>
              <w:jc w:val="center"/>
              <w:rPr>
                <w:sz w:val="20"/>
              </w:rPr>
            </w:pPr>
            <w:r>
              <w:rPr>
                <w:spacing w:val="-10"/>
                <w:sz w:val="20"/>
              </w:rPr>
              <w:t>-</w:t>
            </w:r>
          </w:p>
        </w:tc>
        <w:tc>
          <w:tcPr>
            <w:tcW w:w="733" w:type="dxa"/>
          </w:tcPr>
          <w:p>
            <w:pPr>
              <w:pStyle w:val="TableParagraph"/>
              <w:spacing w:line="210" w:lineRule="exact"/>
              <w:ind w:right="232"/>
              <w:jc w:val="right"/>
              <w:rPr>
                <w:sz w:val="20"/>
              </w:rPr>
            </w:pPr>
            <w:r>
              <w:rPr>
                <w:spacing w:val="-5"/>
                <w:sz w:val="20"/>
              </w:rPr>
              <w:t>23</w:t>
            </w:r>
          </w:p>
        </w:tc>
        <w:tc>
          <w:tcPr>
            <w:tcW w:w="739" w:type="dxa"/>
            <w:tcBorders>
              <w:right w:val="single" w:sz="4" w:space="0" w:color="000000"/>
            </w:tcBorders>
          </w:tcPr>
          <w:p>
            <w:pPr>
              <w:pStyle w:val="TableParagraph"/>
              <w:spacing w:line="210" w:lineRule="exact"/>
              <w:ind w:left="36" w:right="23"/>
              <w:jc w:val="center"/>
              <w:rPr>
                <w:sz w:val="20"/>
              </w:rPr>
            </w:pPr>
            <w:r>
              <w:rPr>
                <w:spacing w:val="-5"/>
                <w:sz w:val="20"/>
              </w:rPr>
              <w:t>5.0</w:t>
            </w:r>
          </w:p>
        </w:tc>
      </w:tr>
      <w:tr>
        <w:trPr>
          <w:trHeight w:val="230" w:hRule="atLeast"/>
        </w:trPr>
        <w:tc>
          <w:tcPr>
            <w:tcW w:w="4147" w:type="dxa"/>
            <w:tcBorders>
              <w:left w:val="single" w:sz="4" w:space="0" w:color="000000"/>
            </w:tcBorders>
          </w:tcPr>
          <w:p>
            <w:pPr>
              <w:pStyle w:val="TableParagraph"/>
              <w:tabs>
                <w:tab w:pos="1056" w:val="left" w:leader="none"/>
                <w:tab w:pos="2410" w:val="left" w:leader="none"/>
                <w:tab w:pos="2928" w:val="left" w:leader="none"/>
              </w:tabs>
              <w:spacing w:line="210" w:lineRule="exact"/>
              <w:ind w:right="100"/>
              <w:jc w:val="right"/>
              <w:rPr>
                <w:sz w:val="20"/>
              </w:rPr>
            </w:pPr>
            <w:r>
              <w:rPr>
                <w:spacing w:val="-2"/>
                <w:sz w:val="20"/>
              </w:rPr>
              <w:t>peaceful</w:t>
            </w:r>
            <w:r>
              <w:rPr>
                <w:sz w:val="20"/>
              </w:rPr>
              <w:tab/>
            </w:r>
            <w:r>
              <w:rPr>
                <w:spacing w:val="-2"/>
                <w:sz w:val="20"/>
              </w:rPr>
              <w:t>coexistence</w:t>
            </w:r>
            <w:r>
              <w:rPr>
                <w:sz w:val="20"/>
              </w:rPr>
              <w:tab/>
            </w:r>
            <w:r>
              <w:rPr>
                <w:spacing w:val="-5"/>
                <w:sz w:val="20"/>
              </w:rPr>
              <w:t>on</w:t>
            </w:r>
            <w:r>
              <w:rPr>
                <w:sz w:val="20"/>
              </w:rPr>
              <w:tab/>
            </w:r>
            <w:r>
              <w:rPr>
                <w:spacing w:val="-5"/>
                <w:sz w:val="20"/>
              </w:rPr>
              <w:t>the</w:t>
            </w:r>
          </w:p>
        </w:tc>
        <w:tc>
          <w:tcPr>
            <w:tcW w:w="1977" w:type="dxa"/>
          </w:tcPr>
          <w:p>
            <w:pPr>
              <w:pStyle w:val="TableParagraph"/>
              <w:rPr>
                <w:rFonts w:ascii="Times New Roman"/>
                <w:sz w:val="16"/>
              </w:rPr>
            </w:pPr>
          </w:p>
        </w:tc>
        <w:tc>
          <w:tcPr>
            <w:tcW w:w="541" w:type="dxa"/>
          </w:tcPr>
          <w:p>
            <w:pPr>
              <w:pStyle w:val="TableParagraph"/>
              <w:rPr>
                <w:rFonts w:ascii="Times New Roman"/>
                <w:sz w:val="16"/>
              </w:rPr>
            </w:pPr>
          </w:p>
        </w:tc>
        <w:tc>
          <w:tcPr>
            <w:tcW w:w="732" w:type="dxa"/>
          </w:tcPr>
          <w:p>
            <w:pPr>
              <w:pStyle w:val="TableParagraph"/>
              <w:rPr>
                <w:rFonts w:ascii="Times New Roman"/>
                <w:sz w:val="16"/>
              </w:rPr>
            </w:pPr>
          </w:p>
        </w:tc>
        <w:tc>
          <w:tcPr>
            <w:tcW w:w="691" w:type="dxa"/>
          </w:tcPr>
          <w:p>
            <w:pPr>
              <w:pStyle w:val="TableParagraph"/>
              <w:rPr>
                <w:rFonts w:ascii="Times New Roman"/>
                <w:sz w:val="16"/>
              </w:rPr>
            </w:pPr>
          </w:p>
        </w:tc>
        <w:tc>
          <w:tcPr>
            <w:tcW w:w="708" w:type="dxa"/>
          </w:tcPr>
          <w:p>
            <w:pPr>
              <w:pStyle w:val="TableParagraph"/>
              <w:rPr>
                <w:rFonts w:ascii="Times New Roman"/>
                <w:sz w:val="16"/>
              </w:rPr>
            </w:pPr>
          </w:p>
        </w:tc>
        <w:tc>
          <w:tcPr>
            <w:tcW w:w="756" w:type="dxa"/>
          </w:tcPr>
          <w:p>
            <w:pPr>
              <w:pStyle w:val="TableParagraph"/>
              <w:rPr>
                <w:rFonts w:ascii="Times New Roman"/>
                <w:sz w:val="16"/>
              </w:rPr>
            </w:pPr>
          </w:p>
        </w:tc>
        <w:tc>
          <w:tcPr>
            <w:tcW w:w="874" w:type="dxa"/>
          </w:tcPr>
          <w:p>
            <w:pPr>
              <w:pStyle w:val="TableParagraph"/>
              <w:rPr>
                <w:rFonts w:ascii="Times New Roman"/>
                <w:sz w:val="16"/>
              </w:rPr>
            </w:pPr>
          </w:p>
        </w:tc>
        <w:tc>
          <w:tcPr>
            <w:tcW w:w="740" w:type="dxa"/>
          </w:tcPr>
          <w:p>
            <w:pPr>
              <w:pStyle w:val="TableParagraph"/>
              <w:rPr>
                <w:rFonts w:ascii="Times New Roman"/>
                <w:sz w:val="16"/>
              </w:rPr>
            </w:pPr>
          </w:p>
        </w:tc>
        <w:tc>
          <w:tcPr>
            <w:tcW w:w="774" w:type="dxa"/>
          </w:tcPr>
          <w:p>
            <w:pPr>
              <w:pStyle w:val="TableParagraph"/>
              <w:rPr>
                <w:rFonts w:ascii="Times New Roman"/>
                <w:sz w:val="16"/>
              </w:rPr>
            </w:pPr>
          </w:p>
        </w:tc>
        <w:tc>
          <w:tcPr>
            <w:tcW w:w="628" w:type="dxa"/>
          </w:tcPr>
          <w:p>
            <w:pPr>
              <w:pStyle w:val="TableParagraph"/>
              <w:rPr>
                <w:rFonts w:ascii="Times New Roman"/>
                <w:sz w:val="16"/>
              </w:rPr>
            </w:pPr>
          </w:p>
        </w:tc>
        <w:tc>
          <w:tcPr>
            <w:tcW w:w="731" w:type="dxa"/>
          </w:tcPr>
          <w:p>
            <w:pPr>
              <w:pStyle w:val="TableParagraph"/>
              <w:rPr>
                <w:rFonts w:ascii="Times New Roman"/>
                <w:sz w:val="16"/>
              </w:rPr>
            </w:pPr>
          </w:p>
        </w:tc>
        <w:tc>
          <w:tcPr>
            <w:tcW w:w="733"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30" w:hRule="atLeast"/>
        </w:trPr>
        <w:tc>
          <w:tcPr>
            <w:tcW w:w="4147" w:type="dxa"/>
            <w:tcBorders>
              <w:left w:val="single" w:sz="4" w:space="0" w:color="000000"/>
            </w:tcBorders>
          </w:tcPr>
          <w:p>
            <w:pPr>
              <w:pStyle w:val="TableParagraph"/>
              <w:spacing w:line="210" w:lineRule="exact"/>
              <w:ind w:left="830"/>
              <w:rPr>
                <w:sz w:val="20"/>
              </w:rPr>
            </w:pPr>
            <w:r>
              <w:rPr>
                <w:spacing w:val="-2"/>
                <w:sz w:val="20"/>
              </w:rPr>
              <w:t>campus.</w:t>
            </w:r>
          </w:p>
        </w:tc>
        <w:tc>
          <w:tcPr>
            <w:tcW w:w="1977" w:type="dxa"/>
          </w:tcPr>
          <w:p>
            <w:pPr>
              <w:pStyle w:val="TableParagraph"/>
              <w:rPr>
                <w:rFonts w:ascii="Times New Roman"/>
                <w:sz w:val="16"/>
              </w:rPr>
            </w:pPr>
          </w:p>
        </w:tc>
        <w:tc>
          <w:tcPr>
            <w:tcW w:w="541" w:type="dxa"/>
          </w:tcPr>
          <w:p>
            <w:pPr>
              <w:pStyle w:val="TableParagraph"/>
              <w:rPr>
                <w:rFonts w:ascii="Times New Roman"/>
                <w:sz w:val="16"/>
              </w:rPr>
            </w:pPr>
          </w:p>
        </w:tc>
        <w:tc>
          <w:tcPr>
            <w:tcW w:w="732" w:type="dxa"/>
          </w:tcPr>
          <w:p>
            <w:pPr>
              <w:pStyle w:val="TableParagraph"/>
              <w:rPr>
                <w:rFonts w:ascii="Times New Roman"/>
                <w:sz w:val="16"/>
              </w:rPr>
            </w:pPr>
          </w:p>
        </w:tc>
        <w:tc>
          <w:tcPr>
            <w:tcW w:w="691" w:type="dxa"/>
          </w:tcPr>
          <w:p>
            <w:pPr>
              <w:pStyle w:val="TableParagraph"/>
              <w:rPr>
                <w:rFonts w:ascii="Times New Roman"/>
                <w:sz w:val="16"/>
              </w:rPr>
            </w:pPr>
          </w:p>
        </w:tc>
        <w:tc>
          <w:tcPr>
            <w:tcW w:w="708" w:type="dxa"/>
          </w:tcPr>
          <w:p>
            <w:pPr>
              <w:pStyle w:val="TableParagraph"/>
              <w:rPr>
                <w:rFonts w:ascii="Times New Roman"/>
                <w:sz w:val="16"/>
              </w:rPr>
            </w:pPr>
          </w:p>
        </w:tc>
        <w:tc>
          <w:tcPr>
            <w:tcW w:w="756" w:type="dxa"/>
          </w:tcPr>
          <w:p>
            <w:pPr>
              <w:pStyle w:val="TableParagraph"/>
              <w:rPr>
                <w:rFonts w:ascii="Times New Roman"/>
                <w:sz w:val="16"/>
              </w:rPr>
            </w:pPr>
          </w:p>
        </w:tc>
        <w:tc>
          <w:tcPr>
            <w:tcW w:w="874" w:type="dxa"/>
          </w:tcPr>
          <w:p>
            <w:pPr>
              <w:pStyle w:val="TableParagraph"/>
              <w:rPr>
                <w:rFonts w:ascii="Times New Roman"/>
                <w:sz w:val="16"/>
              </w:rPr>
            </w:pPr>
          </w:p>
        </w:tc>
        <w:tc>
          <w:tcPr>
            <w:tcW w:w="740" w:type="dxa"/>
          </w:tcPr>
          <w:p>
            <w:pPr>
              <w:pStyle w:val="TableParagraph"/>
              <w:rPr>
                <w:rFonts w:ascii="Times New Roman"/>
                <w:sz w:val="16"/>
              </w:rPr>
            </w:pPr>
          </w:p>
        </w:tc>
        <w:tc>
          <w:tcPr>
            <w:tcW w:w="774" w:type="dxa"/>
          </w:tcPr>
          <w:p>
            <w:pPr>
              <w:pStyle w:val="TableParagraph"/>
              <w:rPr>
                <w:rFonts w:ascii="Times New Roman"/>
                <w:sz w:val="16"/>
              </w:rPr>
            </w:pPr>
          </w:p>
        </w:tc>
        <w:tc>
          <w:tcPr>
            <w:tcW w:w="628" w:type="dxa"/>
          </w:tcPr>
          <w:p>
            <w:pPr>
              <w:pStyle w:val="TableParagraph"/>
              <w:rPr>
                <w:rFonts w:ascii="Times New Roman"/>
                <w:sz w:val="16"/>
              </w:rPr>
            </w:pPr>
          </w:p>
        </w:tc>
        <w:tc>
          <w:tcPr>
            <w:tcW w:w="731" w:type="dxa"/>
          </w:tcPr>
          <w:p>
            <w:pPr>
              <w:pStyle w:val="TableParagraph"/>
              <w:rPr>
                <w:rFonts w:ascii="Times New Roman"/>
                <w:sz w:val="16"/>
              </w:rPr>
            </w:pPr>
          </w:p>
        </w:tc>
        <w:tc>
          <w:tcPr>
            <w:tcW w:w="733"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30" w:hRule="atLeast"/>
        </w:trPr>
        <w:tc>
          <w:tcPr>
            <w:tcW w:w="4147" w:type="dxa"/>
            <w:tcBorders>
              <w:left w:val="single" w:sz="4" w:space="0" w:color="000000"/>
            </w:tcBorders>
          </w:tcPr>
          <w:p>
            <w:pPr>
              <w:pStyle w:val="TableParagraph"/>
              <w:tabs>
                <w:tab w:pos="609" w:val="left" w:leader="none"/>
              </w:tabs>
              <w:spacing w:line="210" w:lineRule="exact"/>
              <w:ind w:right="106"/>
              <w:jc w:val="right"/>
              <w:rPr>
                <w:sz w:val="20"/>
              </w:rPr>
            </w:pPr>
            <w:r>
              <w:rPr>
                <w:spacing w:val="-5"/>
                <w:sz w:val="20"/>
              </w:rPr>
              <w:t>56.</w:t>
            </w:r>
            <w:r>
              <w:rPr>
                <w:sz w:val="20"/>
              </w:rPr>
              <w:tab/>
              <w:t>The</w:t>
            </w:r>
            <w:r>
              <w:rPr>
                <w:spacing w:val="71"/>
                <w:w w:val="150"/>
                <w:sz w:val="20"/>
              </w:rPr>
              <w:t> </w:t>
            </w:r>
            <w:r>
              <w:rPr>
                <w:sz w:val="20"/>
              </w:rPr>
              <w:t>security</w:t>
            </w:r>
            <w:r>
              <w:rPr>
                <w:spacing w:val="73"/>
                <w:w w:val="150"/>
                <w:sz w:val="20"/>
              </w:rPr>
              <w:t> </w:t>
            </w:r>
            <w:r>
              <w:rPr>
                <w:sz w:val="20"/>
              </w:rPr>
              <w:t>personnel</w:t>
            </w:r>
            <w:r>
              <w:rPr>
                <w:spacing w:val="76"/>
                <w:w w:val="150"/>
                <w:sz w:val="20"/>
              </w:rPr>
              <w:t> </w:t>
            </w:r>
            <w:r>
              <w:rPr>
                <w:sz w:val="20"/>
              </w:rPr>
              <w:t>are</w:t>
            </w:r>
            <w:r>
              <w:rPr>
                <w:spacing w:val="76"/>
                <w:w w:val="150"/>
                <w:sz w:val="20"/>
              </w:rPr>
              <w:t> </w:t>
            </w:r>
            <w:r>
              <w:rPr>
                <w:spacing w:val="-4"/>
                <w:sz w:val="20"/>
              </w:rPr>
              <w:t>well</w:t>
            </w:r>
          </w:p>
        </w:tc>
        <w:tc>
          <w:tcPr>
            <w:tcW w:w="1977" w:type="dxa"/>
          </w:tcPr>
          <w:p>
            <w:pPr>
              <w:pStyle w:val="TableParagraph"/>
              <w:spacing w:line="210" w:lineRule="exact"/>
              <w:ind w:left="110"/>
              <w:rPr>
                <w:sz w:val="20"/>
              </w:rPr>
            </w:pPr>
            <w:r>
              <w:rPr>
                <w:sz w:val="20"/>
              </w:rPr>
              <w:t>No.</w:t>
            </w:r>
            <w:r>
              <w:rPr>
                <w:spacing w:val="-5"/>
                <w:sz w:val="20"/>
              </w:rPr>
              <w:t> </w:t>
            </w:r>
            <w:r>
              <w:rPr>
                <w:sz w:val="20"/>
              </w:rPr>
              <w:t>of</w:t>
            </w:r>
            <w:r>
              <w:rPr>
                <w:spacing w:val="-2"/>
                <w:sz w:val="20"/>
              </w:rPr>
              <w:t> missing</w:t>
            </w:r>
          </w:p>
        </w:tc>
        <w:tc>
          <w:tcPr>
            <w:tcW w:w="541" w:type="dxa"/>
          </w:tcPr>
          <w:p>
            <w:pPr>
              <w:pStyle w:val="TableParagraph"/>
              <w:rPr>
                <w:rFonts w:ascii="Times New Roman"/>
                <w:sz w:val="16"/>
              </w:rPr>
            </w:pPr>
          </w:p>
        </w:tc>
        <w:tc>
          <w:tcPr>
            <w:tcW w:w="732" w:type="dxa"/>
          </w:tcPr>
          <w:p>
            <w:pPr>
              <w:pStyle w:val="TableParagraph"/>
              <w:rPr>
                <w:rFonts w:ascii="Times New Roman"/>
                <w:sz w:val="16"/>
              </w:rPr>
            </w:pPr>
          </w:p>
        </w:tc>
        <w:tc>
          <w:tcPr>
            <w:tcW w:w="691" w:type="dxa"/>
          </w:tcPr>
          <w:p>
            <w:pPr>
              <w:pStyle w:val="TableParagraph"/>
              <w:rPr>
                <w:rFonts w:ascii="Times New Roman"/>
                <w:sz w:val="16"/>
              </w:rPr>
            </w:pPr>
          </w:p>
        </w:tc>
        <w:tc>
          <w:tcPr>
            <w:tcW w:w="708" w:type="dxa"/>
          </w:tcPr>
          <w:p>
            <w:pPr>
              <w:pStyle w:val="TableParagraph"/>
              <w:rPr>
                <w:rFonts w:ascii="Times New Roman"/>
                <w:sz w:val="16"/>
              </w:rPr>
            </w:pPr>
          </w:p>
        </w:tc>
        <w:tc>
          <w:tcPr>
            <w:tcW w:w="756" w:type="dxa"/>
          </w:tcPr>
          <w:p>
            <w:pPr>
              <w:pStyle w:val="TableParagraph"/>
              <w:rPr>
                <w:rFonts w:ascii="Times New Roman"/>
                <w:sz w:val="16"/>
              </w:rPr>
            </w:pPr>
          </w:p>
        </w:tc>
        <w:tc>
          <w:tcPr>
            <w:tcW w:w="874" w:type="dxa"/>
          </w:tcPr>
          <w:p>
            <w:pPr>
              <w:pStyle w:val="TableParagraph"/>
              <w:rPr>
                <w:rFonts w:ascii="Times New Roman"/>
                <w:sz w:val="16"/>
              </w:rPr>
            </w:pPr>
          </w:p>
        </w:tc>
        <w:tc>
          <w:tcPr>
            <w:tcW w:w="740" w:type="dxa"/>
          </w:tcPr>
          <w:p>
            <w:pPr>
              <w:pStyle w:val="TableParagraph"/>
              <w:rPr>
                <w:rFonts w:ascii="Times New Roman"/>
                <w:sz w:val="16"/>
              </w:rPr>
            </w:pPr>
          </w:p>
        </w:tc>
        <w:tc>
          <w:tcPr>
            <w:tcW w:w="774" w:type="dxa"/>
          </w:tcPr>
          <w:p>
            <w:pPr>
              <w:pStyle w:val="TableParagraph"/>
              <w:rPr>
                <w:rFonts w:ascii="Times New Roman"/>
                <w:sz w:val="16"/>
              </w:rPr>
            </w:pPr>
          </w:p>
        </w:tc>
        <w:tc>
          <w:tcPr>
            <w:tcW w:w="628" w:type="dxa"/>
          </w:tcPr>
          <w:p>
            <w:pPr>
              <w:pStyle w:val="TableParagraph"/>
              <w:rPr>
                <w:rFonts w:ascii="Times New Roman"/>
                <w:sz w:val="16"/>
              </w:rPr>
            </w:pPr>
          </w:p>
        </w:tc>
        <w:tc>
          <w:tcPr>
            <w:tcW w:w="731" w:type="dxa"/>
          </w:tcPr>
          <w:p>
            <w:pPr>
              <w:pStyle w:val="TableParagraph"/>
              <w:rPr>
                <w:rFonts w:ascii="Times New Roman"/>
                <w:sz w:val="16"/>
              </w:rPr>
            </w:pPr>
          </w:p>
        </w:tc>
        <w:tc>
          <w:tcPr>
            <w:tcW w:w="733"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28" w:hRule="atLeast"/>
        </w:trPr>
        <w:tc>
          <w:tcPr>
            <w:tcW w:w="4147" w:type="dxa"/>
            <w:tcBorders>
              <w:left w:val="single" w:sz="4" w:space="0" w:color="000000"/>
            </w:tcBorders>
          </w:tcPr>
          <w:p>
            <w:pPr>
              <w:pStyle w:val="TableParagraph"/>
              <w:spacing w:line="208" w:lineRule="exact"/>
              <w:ind w:right="107"/>
              <w:jc w:val="right"/>
              <w:rPr>
                <w:sz w:val="20"/>
              </w:rPr>
            </w:pPr>
            <w:r>
              <w:rPr>
                <w:sz w:val="20"/>
              </w:rPr>
              <w:t>equipped</w:t>
            </w:r>
            <w:r>
              <w:rPr>
                <w:spacing w:val="61"/>
                <w:sz w:val="20"/>
              </w:rPr>
              <w:t> </w:t>
            </w:r>
            <w:r>
              <w:rPr>
                <w:sz w:val="20"/>
              </w:rPr>
              <w:t>to</w:t>
            </w:r>
            <w:r>
              <w:rPr>
                <w:spacing w:val="57"/>
                <w:sz w:val="20"/>
              </w:rPr>
              <w:t> </w:t>
            </w:r>
            <w:r>
              <w:rPr>
                <w:sz w:val="20"/>
              </w:rPr>
              <w:t>fight</w:t>
            </w:r>
            <w:r>
              <w:rPr>
                <w:spacing w:val="61"/>
                <w:sz w:val="20"/>
              </w:rPr>
              <w:t> </w:t>
            </w:r>
            <w:r>
              <w:rPr>
                <w:sz w:val="20"/>
              </w:rPr>
              <w:t>crimes</w:t>
            </w:r>
            <w:r>
              <w:rPr>
                <w:spacing w:val="58"/>
                <w:sz w:val="20"/>
              </w:rPr>
              <w:t> </w:t>
            </w:r>
            <w:r>
              <w:rPr>
                <w:sz w:val="20"/>
              </w:rPr>
              <w:t>such</w:t>
            </w:r>
            <w:r>
              <w:rPr>
                <w:spacing w:val="62"/>
                <w:sz w:val="20"/>
              </w:rPr>
              <w:t> </w:t>
            </w:r>
            <w:r>
              <w:rPr>
                <w:spacing w:val="-5"/>
                <w:sz w:val="20"/>
              </w:rPr>
              <w:t>as</w:t>
            </w:r>
          </w:p>
        </w:tc>
        <w:tc>
          <w:tcPr>
            <w:tcW w:w="1977" w:type="dxa"/>
          </w:tcPr>
          <w:p>
            <w:pPr>
              <w:pStyle w:val="TableParagraph"/>
              <w:spacing w:line="208" w:lineRule="exact"/>
              <w:ind w:left="110"/>
              <w:rPr>
                <w:sz w:val="20"/>
              </w:rPr>
            </w:pPr>
            <w:r>
              <w:rPr>
                <w:spacing w:val="-2"/>
                <w:sz w:val="20"/>
              </w:rPr>
              <w:t>observations</w:t>
            </w:r>
          </w:p>
        </w:tc>
        <w:tc>
          <w:tcPr>
            <w:tcW w:w="541" w:type="dxa"/>
          </w:tcPr>
          <w:p>
            <w:pPr>
              <w:pStyle w:val="TableParagraph"/>
              <w:spacing w:line="208" w:lineRule="exact"/>
              <w:ind w:left="5" w:right="1"/>
              <w:jc w:val="center"/>
              <w:rPr>
                <w:sz w:val="20"/>
              </w:rPr>
            </w:pPr>
            <w:r>
              <w:rPr>
                <w:spacing w:val="-10"/>
                <w:sz w:val="20"/>
              </w:rPr>
              <w:t>1</w:t>
            </w:r>
          </w:p>
        </w:tc>
        <w:tc>
          <w:tcPr>
            <w:tcW w:w="732" w:type="dxa"/>
          </w:tcPr>
          <w:p>
            <w:pPr>
              <w:pStyle w:val="TableParagraph"/>
              <w:spacing w:line="208" w:lineRule="exact"/>
              <w:ind w:left="58" w:right="58"/>
              <w:jc w:val="center"/>
              <w:rPr>
                <w:sz w:val="20"/>
              </w:rPr>
            </w:pPr>
            <w:r>
              <w:rPr>
                <w:spacing w:val="-4"/>
                <w:sz w:val="20"/>
              </w:rPr>
              <w:t>50.0</w:t>
            </w:r>
          </w:p>
        </w:tc>
        <w:tc>
          <w:tcPr>
            <w:tcW w:w="691" w:type="dxa"/>
          </w:tcPr>
          <w:p>
            <w:pPr>
              <w:pStyle w:val="TableParagraph"/>
              <w:spacing w:line="208" w:lineRule="exact"/>
              <w:ind w:left="22" w:right="13"/>
              <w:jc w:val="center"/>
              <w:rPr>
                <w:sz w:val="20"/>
              </w:rPr>
            </w:pPr>
            <w:r>
              <w:rPr>
                <w:spacing w:val="-10"/>
                <w:sz w:val="20"/>
              </w:rPr>
              <w:t>-</w:t>
            </w:r>
          </w:p>
        </w:tc>
        <w:tc>
          <w:tcPr>
            <w:tcW w:w="708" w:type="dxa"/>
          </w:tcPr>
          <w:p>
            <w:pPr>
              <w:pStyle w:val="TableParagraph"/>
              <w:spacing w:line="208" w:lineRule="exact"/>
              <w:ind w:left="59" w:right="9"/>
              <w:jc w:val="center"/>
              <w:rPr>
                <w:sz w:val="20"/>
              </w:rPr>
            </w:pPr>
            <w:r>
              <w:rPr>
                <w:spacing w:val="-10"/>
                <w:sz w:val="20"/>
              </w:rPr>
              <w:t>-</w:t>
            </w:r>
          </w:p>
        </w:tc>
        <w:tc>
          <w:tcPr>
            <w:tcW w:w="756" w:type="dxa"/>
          </w:tcPr>
          <w:p>
            <w:pPr>
              <w:pStyle w:val="TableParagraph"/>
              <w:spacing w:line="208" w:lineRule="exact"/>
              <w:ind w:right="303"/>
              <w:jc w:val="right"/>
              <w:rPr>
                <w:sz w:val="20"/>
              </w:rPr>
            </w:pPr>
            <w:r>
              <w:rPr>
                <w:spacing w:val="-10"/>
                <w:sz w:val="20"/>
              </w:rPr>
              <w:t>1</w:t>
            </w:r>
          </w:p>
        </w:tc>
        <w:tc>
          <w:tcPr>
            <w:tcW w:w="874" w:type="dxa"/>
          </w:tcPr>
          <w:p>
            <w:pPr>
              <w:pStyle w:val="TableParagraph"/>
              <w:spacing w:line="208" w:lineRule="exact"/>
              <w:ind w:left="44"/>
              <w:jc w:val="center"/>
              <w:rPr>
                <w:sz w:val="20"/>
              </w:rPr>
            </w:pPr>
            <w:r>
              <w:rPr>
                <w:spacing w:val="-4"/>
                <w:sz w:val="20"/>
              </w:rPr>
              <w:t>50.0</w:t>
            </w:r>
          </w:p>
        </w:tc>
        <w:tc>
          <w:tcPr>
            <w:tcW w:w="740" w:type="dxa"/>
          </w:tcPr>
          <w:p>
            <w:pPr>
              <w:pStyle w:val="TableParagraph"/>
              <w:spacing w:line="208" w:lineRule="exact"/>
              <w:ind w:left="64" w:right="8"/>
              <w:jc w:val="center"/>
              <w:rPr>
                <w:sz w:val="20"/>
              </w:rPr>
            </w:pPr>
            <w:r>
              <w:rPr>
                <w:spacing w:val="-10"/>
                <w:sz w:val="20"/>
              </w:rPr>
              <w:t>-</w:t>
            </w:r>
          </w:p>
        </w:tc>
        <w:tc>
          <w:tcPr>
            <w:tcW w:w="774" w:type="dxa"/>
          </w:tcPr>
          <w:p>
            <w:pPr>
              <w:pStyle w:val="TableParagraph"/>
              <w:spacing w:line="208" w:lineRule="exact"/>
              <w:ind w:right="15"/>
              <w:jc w:val="center"/>
              <w:rPr>
                <w:sz w:val="20"/>
              </w:rPr>
            </w:pPr>
            <w:r>
              <w:rPr>
                <w:spacing w:val="-10"/>
                <w:sz w:val="20"/>
              </w:rPr>
              <w:t>-</w:t>
            </w:r>
          </w:p>
        </w:tc>
        <w:tc>
          <w:tcPr>
            <w:tcW w:w="628" w:type="dxa"/>
          </w:tcPr>
          <w:p>
            <w:pPr>
              <w:pStyle w:val="TableParagraph"/>
              <w:spacing w:line="208" w:lineRule="exact"/>
              <w:ind w:left="19" w:right="19"/>
              <w:jc w:val="center"/>
              <w:rPr>
                <w:sz w:val="20"/>
              </w:rPr>
            </w:pPr>
            <w:r>
              <w:rPr>
                <w:spacing w:val="-10"/>
                <w:sz w:val="20"/>
              </w:rPr>
              <w:t>-</w:t>
            </w:r>
          </w:p>
        </w:tc>
        <w:tc>
          <w:tcPr>
            <w:tcW w:w="731" w:type="dxa"/>
          </w:tcPr>
          <w:p>
            <w:pPr>
              <w:pStyle w:val="TableParagraph"/>
              <w:spacing w:line="208" w:lineRule="exact"/>
              <w:ind w:left="69" w:right="7"/>
              <w:jc w:val="center"/>
              <w:rPr>
                <w:sz w:val="20"/>
              </w:rPr>
            </w:pPr>
            <w:r>
              <w:rPr>
                <w:spacing w:val="-10"/>
                <w:sz w:val="20"/>
              </w:rPr>
              <w:t>-</w:t>
            </w:r>
          </w:p>
        </w:tc>
        <w:tc>
          <w:tcPr>
            <w:tcW w:w="733" w:type="dxa"/>
          </w:tcPr>
          <w:p>
            <w:pPr>
              <w:pStyle w:val="TableParagraph"/>
              <w:spacing w:line="208" w:lineRule="exact"/>
              <w:ind w:left="59" w:right="14"/>
              <w:jc w:val="center"/>
              <w:rPr>
                <w:sz w:val="20"/>
              </w:rPr>
            </w:pPr>
            <w:r>
              <w:rPr>
                <w:spacing w:val="-10"/>
                <w:sz w:val="20"/>
              </w:rPr>
              <w:t>2</w:t>
            </w:r>
          </w:p>
        </w:tc>
        <w:tc>
          <w:tcPr>
            <w:tcW w:w="739" w:type="dxa"/>
            <w:tcBorders>
              <w:right w:val="single" w:sz="4" w:space="0" w:color="000000"/>
            </w:tcBorders>
          </w:tcPr>
          <w:p>
            <w:pPr>
              <w:pStyle w:val="TableParagraph"/>
              <w:spacing w:line="208" w:lineRule="exact"/>
              <w:ind w:left="36" w:right="23"/>
              <w:jc w:val="center"/>
              <w:rPr>
                <w:sz w:val="20"/>
              </w:rPr>
            </w:pPr>
            <w:r>
              <w:rPr>
                <w:spacing w:val="-5"/>
                <w:sz w:val="20"/>
              </w:rPr>
              <w:t>0.4</w:t>
            </w:r>
          </w:p>
        </w:tc>
      </w:tr>
      <w:tr>
        <w:trPr>
          <w:trHeight w:val="254" w:hRule="atLeast"/>
        </w:trPr>
        <w:tc>
          <w:tcPr>
            <w:tcW w:w="4147" w:type="dxa"/>
            <w:tcBorders>
              <w:left w:val="single" w:sz="4" w:space="0" w:color="000000"/>
            </w:tcBorders>
          </w:tcPr>
          <w:p>
            <w:pPr>
              <w:pStyle w:val="TableParagraph"/>
              <w:spacing w:line="225" w:lineRule="exact"/>
              <w:ind w:right="151"/>
              <w:jc w:val="right"/>
              <w:rPr>
                <w:sz w:val="20"/>
              </w:rPr>
            </w:pPr>
            <w:r>
              <w:rPr>
                <w:sz w:val="20"/>
              </w:rPr>
              <w:t>cultism,</w:t>
            </w:r>
            <w:r>
              <w:rPr>
                <w:spacing w:val="-3"/>
                <w:sz w:val="20"/>
              </w:rPr>
              <w:t> </w:t>
            </w:r>
            <w:r>
              <w:rPr>
                <w:sz w:val="20"/>
              </w:rPr>
              <w:t>robbery</w:t>
            </w:r>
            <w:r>
              <w:rPr>
                <w:spacing w:val="-3"/>
                <w:sz w:val="20"/>
              </w:rPr>
              <w:t> </w:t>
            </w:r>
            <w:r>
              <w:rPr>
                <w:sz w:val="20"/>
              </w:rPr>
              <w:t>etc</w:t>
            </w:r>
            <w:r>
              <w:rPr>
                <w:spacing w:val="-3"/>
                <w:sz w:val="20"/>
              </w:rPr>
              <w:t> </w:t>
            </w:r>
            <w:r>
              <w:rPr>
                <w:sz w:val="20"/>
              </w:rPr>
              <w:t>on</w:t>
            </w:r>
            <w:r>
              <w:rPr>
                <w:spacing w:val="-10"/>
                <w:sz w:val="20"/>
              </w:rPr>
              <w:t> </w:t>
            </w:r>
            <w:r>
              <w:rPr>
                <w:sz w:val="20"/>
              </w:rPr>
              <w:t>the</w:t>
            </w:r>
            <w:r>
              <w:rPr>
                <w:spacing w:val="-4"/>
                <w:sz w:val="20"/>
              </w:rPr>
              <w:t> </w:t>
            </w:r>
            <w:r>
              <w:rPr>
                <w:spacing w:val="-2"/>
                <w:sz w:val="20"/>
              </w:rPr>
              <w:t>campus.</w:t>
            </w:r>
          </w:p>
        </w:tc>
        <w:tc>
          <w:tcPr>
            <w:tcW w:w="1977" w:type="dxa"/>
          </w:tcPr>
          <w:p>
            <w:pPr>
              <w:pStyle w:val="TableParagraph"/>
              <w:spacing w:line="225" w:lineRule="exact"/>
              <w:ind w:left="110"/>
              <w:rPr>
                <w:sz w:val="20"/>
              </w:rPr>
            </w:pPr>
            <w:r>
              <w:rPr>
                <w:spacing w:val="-2"/>
                <w:sz w:val="20"/>
              </w:rPr>
              <w:t>Students</w:t>
            </w:r>
          </w:p>
        </w:tc>
        <w:tc>
          <w:tcPr>
            <w:tcW w:w="541" w:type="dxa"/>
          </w:tcPr>
          <w:p>
            <w:pPr>
              <w:pStyle w:val="TableParagraph"/>
              <w:spacing w:line="225" w:lineRule="exact"/>
              <w:ind w:left="4" w:right="4"/>
              <w:jc w:val="center"/>
              <w:rPr>
                <w:sz w:val="20"/>
              </w:rPr>
            </w:pPr>
            <w:r>
              <w:rPr>
                <w:spacing w:val="-5"/>
                <w:sz w:val="20"/>
              </w:rPr>
              <w:t>31</w:t>
            </w:r>
          </w:p>
        </w:tc>
        <w:tc>
          <w:tcPr>
            <w:tcW w:w="732" w:type="dxa"/>
          </w:tcPr>
          <w:p>
            <w:pPr>
              <w:pStyle w:val="TableParagraph"/>
              <w:spacing w:line="225" w:lineRule="exact"/>
              <w:ind w:left="58" w:right="58"/>
              <w:jc w:val="center"/>
              <w:rPr>
                <w:sz w:val="20"/>
              </w:rPr>
            </w:pPr>
            <w:r>
              <w:rPr>
                <w:spacing w:val="-4"/>
                <w:sz w:val="20"/>
              </w:rPr>
              <w:t>13.2</w:t>
            </w:r>
          </w:p>
        </w:tc>
        <w:tc>
          <w:tcPr>
            <w:tcW w:w="691" w:type="dxa"/>
          </w:tcPr>
          <w:p>
            <w:pPr>
              <w:pStyle w:val="TableParagraph"/>
              <w:spacing w:line="225" w:lineRule="exact"/>
              <w:ind w:left="22" w:right="11"/>
              <w:jc w:val="center"/>
              <w:rPr>
                <w:sz w:val="20"/>
              </w:rPr>
            </w:pPr>
            <w:r>
              <w:rPr>
                <w:spacing w:val="-5"/>
                <w:sz w:val="20"/>
              </w:rPr>
              <w:t>52</w:t>
            </w:r>
          </w:p>
        </w:tc>
        <w:tc>
          <w:tcPr>
            <w:tcW w:w="708" w:type="dxa"/>
          </w:tcPr>
          <w:p>
            <w:pPr>
              <w:pStyle w:val="TableParagraph"/>
              <w:spacing w:line="225" w:lineRule="exact"/>
              <w:ind w:left="59" w:right="2"/>
              <w:jc w:val="center"/>
              <w:rPr>
                <w:sz w:val="20"/>
              </w:rPr>
            </w:pPr>
            <w:r>
              <w:rPr>
                <w:spacing w:val="-4"/>
                <w:sz w:val="20"/>
              </w:rPr>
              <w:t>22.1</w:t>
            </w:r>
          </w:p>
        </w:tc>
        <w:tc>
          <w:tcPr>
            <w:tcW w:w="756" w:type="dxa"/>
          </w:tcPr>
          <w:p>
            <w:pPr>
              <w:pStyle w:val="TableParagraph"/>
              <w:spacing w:line="225" w:lineRule="exact"/>
              <w:ind w:left="141"/>
              <w:rPr>
                <w:sz w:val="20"/>
              </w:rPr>
            </w:pPr>
            <w:r>
              <w:rPr>
                <w:spacing w:val="-5"/>
                <w:sz w:val="20"/>
              </w:rPr>
              <w:t>30</w:t>
            </w:r>
          </w:p>
        </w:tc>
        <w:tc>
          <w:tcPr>
            <w:tcW w:w="874" w:type="dxa"/>
          </w:tcPr>
          <w:p>
            <w:pPr>
              <w:pStyle w:val="TableParagraph"/>
              <w:spacing w:line="225" w:lineRule="exact"/>
              <w:ind w:left="44"/>
              <w:jc w:val="center"/>
              <w:rPr>
                <w:sz w:val="20"/>
              </w:rPr>
            </w:pPr>
            <w:r>
              <w:rPr>
                <w:spacing w:val="-4"/>
                <w:sz w:val="20"/>
              </w:rPr>
              <w:t>12.8</w:t>
            </w:r>
          </w:p>
        </w:tc>
        <w:tc>
          <w:tcPr>
            <w:tcW w:w="740" w:type="dxa"/>
          </w:tcPr>
          <w:p>
            <w:pPr>
              <w:pStyle w:val="TableParagraph"/>
              <w:spacing w:line="225" w:lineRule="exact"/>
              <w:ind w:left="64" w:right="6"/>
              <w:jc w:val="center"/>
              <w:rPr>
                <w:sz w:val="20"/>
              </w:rPr>
            </w:pPr>
            <w:r>
              <w:rPr>
                <w:spacing w:val="-5"/>
                <w:sz w:val="20"/>
              </w:rPr>
              <w:t>88</w:t>
            </w:r>
          </w:p>
        </w:tc>
        <w:tc>
          <w:tcPr>
            <w:tcW w:w="774" w:type="dxa"/>
          </w:tcPr>
          <w:p>
            <w:pPr>
              <w:pStyle w:val="TableParagraph"/>
              <w:spacing w:line="225" w:lineRule="exact"/>
              <w:ind w:left="6" w:right="15"/>
              <w:jc w:val="center"/>
              <w:rPr>
                <w:sz w:val="20"/>
              </w:rPr>
            </w:pPr>
            <w:r>
              <w:rPr>
                <w:spacing w:val="-4"/>
                <w:sz w:val="20"/>
              </w:rPr>
              <w:t>37.4</w:t>
            </w:r>
          </w:p>
        </w:tc>
        <w:tc>
          <w:tcPr>
            <w:tcW w:w="628" w:type="dxa"/>
          </w:tcPr>
          <w:p>
            <w:pPr>
              <w:pStyle w:val="TableParagraph"/>
              <w:spacing w:line="225" w:lineRule="exact"/>
              <w:ind w:left="21" w:right="19"/>
              <w:jc w:val="center"/>
              <w:rPr>
                <w:sz w:val="20"/>
              </w:rPr>
            </w:pPr>
            <w:r>
              <w:rPr>
                <w:spacing w:val="-5"/>
                <w:sz w:val="20"/>
              </w:rPr>
              <w:t>34</w:t>
            </w:r>
          </w:p>
        </w:tc>
        <w:tc>
          <w:tcPr>
            <w:tcW w:w="731" w:type="dxa"/>
          </w:tcPr>
          <w:p>
            <w:pPr>
              <w:pStyle w:val="TableParagraph"/>
              <w:spacing w:line="225" w:lineRule="exact"/>
              <w:ind w:left="71" w:right="2"/>
              <w:jc w:val="center"/>
              <w:rPr>
                <w:sz w:val="20"/>
              </w:rPr>
            </w:pPr>
            <w:r>
              <w:rPr>
                <w:spacing w:val="-4"/>
                <w:sz w:val="20"/>
              </w:rPr>
              <w:t>14.5</w:t>
            </w:r>
          </w:p>
        </w:tc>
        <w:tc>
          <w:tcPr>
            <w:tcW w:w="733" w:type="dxa"/>
          </w:tcPr>
          <w:p>
            <w:pPr>
              <w:pStyle w:val="TableParagraph"/>
              <w:spacing w:line="225" w:lineRule="exact"/>
              <w:ind w:right="179"/>
              <w:jc w:val="right"/>
              <w:rPr>
                <w:sz w:val="20"/>
              </w:rPr>
            </w:pPr>
            <w:r>
              <w:rPr>
                <w:spacing w:val="-5"/>
                <w:sz w:val="20"/>
              </w:rPr>
              <w:t>235</w:t>
            </w:r>
          </w:p>
        </w:tc>
        <w:tc>
          <w:tcPr>
            <w:tcW w:w="739" w:type="dxa"/>
            <w:tcBorders>
              <w:right w:val="single" w:sz="4" w:space="0" w:color="000000"/>
            </w:tcBorders>
          </w:tcPr>
          <w:p>
            <w:pPr>
              <w:pStyle w:val="TableParagraph"/>
              <w:spacing w:line="225" w:lineRule="exact"/>
              <w:ind w:left="36" w:right="18"/>
              <w:jc w:val="center"/>
              <w:rPr>
                <w:sz w:val="20"/>
              </w:rPr>
            </w:pPr>
            <w:r>
              <w:rPr>
                <w:spacing w:val="-4"/>
                <w:sz w:val="20"/>
              </w:rPr>
              <w:t>50.8</w:t>
            </w:r>
          </w:p>
        </w:tc>
      </w:tr>
      <w:tr>
        <w:trPr>
          <w:trHeight w:val="256" w:hRule="atLeast"/>
        </w:trPr>
        <w:tc>
          <w:tcPr>
            <w:tcW w:w="4147" w:type="dxa"/>
            <w:tcBorders>
              <w:left w:val="single" w:sz="4" w:space="0" w:color="000000"/>
            </w:tcBorders>
          </w:tcPr>
          <w:p>
            <w:pPr>
              <w:pStyle w:val="TableParagraph"/>
              <w:rPr>
                <w:rFonts w:ascii="Times New Roman"/>
                <w:sz w:val="18"/>
              </w:rPr>
            </w:pPr>
          </w:p>
        </w:tc>
        <w:tc>
          <w:tcPr>
            <w:tcW w:w="1977" w:type="dxa"/>
          </w:tcPr>
          <w:p>
            <w:pPr>
              <w:pStyle w:val="TableParagraph"/>
              <w:spacing w:line="213" w:lineRule="exact" w:before="24"/>
              <w:ind w:left="110"/>
              <w:rPr>
                <w:sz w:val="20"/>
              </w:rPr>
            </w:pPr>
            <w:r>
              <w:rPr>
                <w:sz w:val="20"/>
              </w:rPr>
              <w:t>Service</w:t>
            </w:r>
            <w:r>
              <w:rPr>
                <w:spacing w:val="-9"/>
                <w:sz w:val="20"/>
              </w:rPr>
              <w:t> </w:t>
            </w:r>
            <w:r>
              <w:rPr>
                <w:spacing w:val="-2"/>
                <w:sz w:val="20"/>
              </w:rPr>
              <w:t>Staff</w:t>
            </w:r>
          </w:p>
        </w:tc>
        <w:tc>
          <w:tcPr>
            <w:tcW w:w="541" w:type="dxa"/>
          </w:tcPr>
          <w:p>
            <w:pPr>
              <w:pStyle w:val="TableParagraph"/>
              <w:spacing w:line="213" w:lineRule="exact" w:before="24"/>
              <w:ind w:left="4" w:right="4"/>
              <w:jc w:val="center"/>
              <w:rPr>
                <w:sz w:val="20"/>
              </w:rPr>
            </w:pPr>
            <w:r>
              <w:rPr>
                <w:spacing w:val="-5"/>
                <w:sz w:val="20"/>
              </w:rPr>
              <w:t>14</w:t>
            </w:r>
          </w:p>
        </w:tc>
        <w:tc>
          <w:tcPr>
            <w:tcW w:w="732" w:type="dxa"/>
          </w:tcPr>
          <w:p>
            <w:pPr>
              <w:pStyle w:val="TableParagraph"/>
              <w:spacing w:line="213" w:lineRule="exact" w:before="24"/>
              <w:ind w:left="58" w:right="61"/>
              <w:jc w:val="center"/>
              <w:rPr>
                <w:sz w:val="20"/>
              </w:rPr>
            </w:pPr>
            <w:r>
              <w:rPr>
                <w:spacing w:val="-5"/>
                <w:sz w:val="20"/>
              </w:rPr>
              <w:t>6.9</w:t>
            </w:r>
          </w:p>
        </w:tc>
        <w:tc>
          <w:tcPr>
            <w:tcW w:w="691" w:type="dxa"/>
          </w:tcPr>
          <w:p>
            <w:pPr>
              <w:pStyle w:val="TableParagraph"/>
              <w:spacing w:line="213" w:lineRule="exact" w:before="24"/>
              <w:ind w:left="22" w:right="11"/>
              <w:jc w:val="center"/>
              <w:rPr>
                <w:sz w:val="20"/>
              </w:rPr>
            </w:pPr>
            <w:r>
              <w:rPr>
                <w:spacing w:val="-5"/>
                <w:sz w:val="20"/>
              </w:rPr>
              <w:t>30</w:t>
            </w:r>
          </w:p>
        </w:tc>
        <w:tc>
          <w:tcPr>
            <w:tcW w:w="708" w:type="dxa"/>
          </w:tcPr>
          <w:p>
            <w:pPr>
              <w:pStyle w:val="TableParagraph"/>
              <w:spacing w:line="213" w:lineRule="exact" w:before="24"/>
              <w:ind w:left="59" w:right="2"/>
              <w:jc w:val="center"/>
              <w:rPr>
                <w:sz w:val="20"/>
              </w:rPr>
            </w:pPr>
            <w:r>
              <w:rPr>
                <w:spacing w:val="-4"/>
                <w:sz w:val="20"/>
              </w:rPr>
              <w:t>14.8</w:t>
            </w:r>
          </w:p>
        </w:tc>
        <w:tc>
          <w:tcPr>
            <w:tcW w:w="756" w:type="dxa"/>
          </w:tcPr>
          <w:p>
            <w:pPr>
              <w:pStyle w:val="TableParagraph"/>
              <w:spacing w:line="213" w:lineRule="exact" w:before="24"/>
              <w:ind w:right="250"/>
              <w:jc w:val="right"/>
              <w:rPr>
                <w:sz w:val="20"/>
              </w:rPr>
            </w:pPr>
            <w:r>
              <w:rPr>
                <w:spacing w:val="-5"/>
                <w:sz w:val="20"/>
              </w:rPr>
              <w:t>23</w:t>
            </w:r>
          </w:p>
        </w:tc>
        <w:tc>
          <w:tcPr>
            <w:tcW w:w="874" w:type="dxa"/>
          </w:tcPr>
          <w:p>
            <w:pPr>
              <w:pStyle w:val="TableParagraph"/>
              <w:spacing w:line="213" w:lineRule="exact" w:before="24"/>
              <w:ind w:left="44"/>
              <w:jc w:val="center"/>
              <w:rPr>
                <w:sz w:val="20"/>
              </w:rPr>
            </w:pPr>
            <w:r>
              <w:rPr>
                <w:spacing w:val="-4"/>
                <w:sz w:val="20"/>
              </w:rPr>
              <w:t>11.3</w:t>
            </w:r>
          </w:p>
        </w:tc>
        <w:tc>
          <w:tcPr>
            <w:tcW w:w="740" w:type="dxa"/>
          </w:tcPr>
          <w:p>
            <w:pPr>
              <w:pStyle w:val="TableParagraph"/>
              <w:spacing w:line="213" w:lineRule="exact" w:before="24"/>
              <w:ind w:left="64" w:right="11"/>
              <w:jc w:val="center"/>
              <w:rPr>
                <w:sz w:val="20"/>
              </w:rPr>
            </w:pPr>
            <w:r>
              <w:rPr>
                <w:spacing w:val="-5"/>
                <w:sz w:val="20"/>
              </w:rPr>
              <w:t>100</w:t>
            </w:r>
          </w:p>
        </w:tc>
        <w:tc>
          <w:tcPr>
            <w:tcW w:w="774" w:type="dxa"/>
          </w:tcPr>
          <w:p>
            <w:pPr>
              <w:pStyle w:val="TableParagraph"/>
              <w:spacing w:line="213" w:lineRule="exact" w:before="24"/>
              <w:ind w:left="6" w:right="15"/>
              <w:jc w:val="center"/>
              <w:rPr>
                <w:sz w:val="20"/>
              </w:rPr>
            </w:pPr>
            <w:r>
              <w:rPr>
                <w:spacing w:val="-4"/>
                <w:sz w:val="20"/>
              </w:rPr>
              <w:t>49.3</w:t>
            </w:r>
          </w:p>
        </w:tc>
        <w:tc>
          <w:tcPr>
            <w:tcW w:w="628" w:type="dxa"/>
          </w:tcPr>
          <w:p>
            <w:pPr>
              <w:pStyle w:val="TableParagraph"/>
              <w:spacing w:line="213" w:lineRule="exact" w:before="24"/>
              <w:ind w:left="21" w:right="19"/>
              <w:jc w:val="center"/>
              <w:rPr>
                <w:sz w:val="20"/>
              </w:rPr>
            </w:pPr>
            <w:r>
              <w:rPr>
                <w:spacing w:val="-5"/>
                <w:sz w:val="20"/>
              </w:rPr>
              <w:t>36</w:t>
            </w:r>
          </w:p>
        </w:tc>
        <w:tc>
          <w:tcPr>
            <w:tcW w:w="731" w:type="dxa"/>
          </w:tcPr>
          <w:p>
            <w:pPr>
              <w:pStyle w:val="TableParagraph"/>
              <w:spacing w:line="213" w:lineRule="exact" w:before="24"/>
              <w:ind w:left="71" w:right="2"/>
              <w:jc w:val="center"/>
              <w:rPr>
                <w:sz w:val="20"/>
              </w:rPr>
            </w:pPr>
            <w:r>
              <w:rPr>
                <w:spacing w:val="-4"/>
                <w:sz w:val="20"/>
              </w:rPr>
              <w:t>17.7</w:t>
            </w:r>
          </w:p>
        </w:tc>
        <w:tc>
          <w:tcPr>
            <w:tcW w:w="733" w:type="dxa"/>
          </w:tcPr>
          <w:p>
            <w:pPr>
              <w:pStyle w:val="TableParagraph"/>
              <w:spacing w:line="213" w:lineRule="exact" w:before="24"/>
              <w:ind w:right="179"/>
              <w:jc w:val="right"/>
              <w:rPr>
                <w:sz w:val="20"/>
              </w:rPr>
            </w:pPr>
            <w:r>
              <w:rPr>
                <w:spacing w:val="-5"/>
                <w:sz w:val="20"/>
              </w:rPr>
              <w:t>203</w:t>
            </w:r>
          </w:p>
        </w:tc>
        <w:tc>
          <w:tcPr>
            <w:tcW w:w="739" w:type="dxa"/>
            <w:tcBorders>
              <w:right w:val="single" w:sz="4" w:space="0" w:color="000000"/>
            </w:tcBorders>
          </w:tcPr>
          <w:p>
            <w:pPr>
              <w:pStyle w:val="TableParagraph"/>
              <w:spacing w:line="213" w:lineRule="exact" w:before="24"/>
              <w:ind w:left="36" w:right="18"/>
              <w:jc w:val="center"/>
              <w:rPr>
                <w:sz w:val="20"/>
              </w:rPr>
            </w:pPr>
            <w:r>
              <w:rPr>
                <w:spacing w:val="-4"/>
                <w:sz w:val="20"/>
              </w:rPr>
              <w:t>43.8</w:t>
            </w:r>
          </w:p>
        </w:tc>
      </w:tr>
      <w:tr>
        <w:trPr>
          <w:trHeight w:val="235" w:hRule="atLeast"/>
        </w:trPr>
        <w:tc>
          <w:tcPr>
            <w:tcW w:w="4147" w:type="dxa"/>
            <w:tcBorders>
              <w:left w:val="single" w:sz="4" w:space="0" w:color="000000"/>
            </w:tcBorders>
          </w:tcPr>
          <w:p>
            <w:pPr>
              <w:pStyle w:val="TableParagraph"/>
              <w:rPr>
                <w:rFonts w:ascii="Times New Roman"/>
                <w:sz w:val="16"/>
              </w:rPr>
            </w:pPr>
          </w:p>
        </w:tc>
        <w:tc>
          <w:tcPr>
            <w:tcW w:w="1977" w:type="dxa"/>
          </w:tcPr>
          <w:p>
            <w:pPr>
              <w:pStyle w:val="TableParagraph"/>
              <w:spacing w:line="215" w:lineRule="exact"/>
              <w:ind w:left="110"/>
              <w:rPr>
                <w:sz w:val="20"/>
              </w:rPr>
            </w:pPr>
            <w:r>
              <w:rPr>
                <w:sz w:val="20"/>
              </w:rPr>
              <w:t>Top</w:t>
            </w:r>
            <w:r>
              <w:rPr>
                <w:spacing w:val="-1"/>
                <w:sz w:val="20"/>
              </w:rPr>
              <w:t> </w:t>
            </w:r>
            <w:r>
              <w:rPr>
                <w:spacing w:val="-2"/>
                <w:sz w:val="20"/>
              </w:rPr>
              <w:t>Management</w:t>
            </w:r>
          </w:p>
        </w:tc>
        <w:tc>
          <w:tcPr>
            <w:tcW w:w="541" w:type="dxa"/>
          </w:tcPr>
          <w:p>
            <w:pPr>
              <w:pStyle w:val="TableParagraph"/>
              <w:spacing w:line="215" w:lineRule="exact"/>
              <w:ind w:left="5" w:right="1"/>
              <w:jc w:val="center"/>
              <w:rPr>
                <w:sz w:val="20"/>
              </w:rPr>
            </w:pPr>
            <w:r>
              <w:rPr>
                <w:spacing w:val="-10"/>
                <w:sz w:val="20"/>
              </w:rPr>
              <w:t>4</w:t>
            </w:r>
          </w:p>
        </w:tc>
        <w:tc>
          <w:tcPr>
            <w:tcW w:w="732" w:type="dxa"/>
          </w:tcPr>
          <w:p>
            <w:pPr>
              <w:pStyle w:val="TableParagraph"/>
              <w:spacing w:line="215" w:lineRule="exact"/>
              <w:ind w:left="58" w:right="58"/>
              <w:jc w:val="center"/>
              <w:rPr>
                <w:sz w:val="20"/>
              </w:rPr>
            </w:pPr>
            <w:r>
              <w:rPr>
                <w:spacing w:val="-4"/>
                <w:sz w:val="20"/>
              </w:rPr>
              <w:t>17.4</w:t>
            </w:r>
          </w:p>
        </w:tc>
        <w:tc>
          <w:tcPr>
            <w:tcW w:w="691" w:type="dxa"/>
          </w:tcPr>
          <w:p>
            <w:pPr>
              <w:pStyle w:val="TableParagraph"/>
              <w:spacing w:line="215" w:lineRule="exact"/>
              <w:ind w:left="22" w:right="6"/>
              <w:jc w:val="center"/>
              <w:rPr>
                <w:sz w:val="20"/>
              </w:rPr>
            </w:pPr>
            <w:r>
              <w:rPr>
                <w:spacing w:val="-10"/>
                <w:sz w:val="20"/>
              </w:rPr>
              <w:t>6</w:t>
            </w:r>
          </w:p>
        </w:tc>
        <w:tc>
          <w:tcPr>
            <w:tcW w:w="708" w:type="dxa"/>
          </w:tcPr>
          <w:p>
            <w:pPr>
              <w:pStyle w:val="TableParagraph"/>
              <w:spacing w:line="215" w:lineRule="exact"/>
              <w:ind w:left="59" w:right="2"/>
              <w:jc w:val="center"/>
              <w:rPr>
                <w:sz w:val="20"/>
              </w:rPr>
            </w:pPr>
            <w:r>
              <w:rPr>
                <w:spacing w:val="-4"/>
                <w:sz w:val="20"/>
              </w:rPr>
              <w:t>26.1</w:t>
            </w:r>
          </w:p>
        </w:tc>
        <w:tc>
          <w:tcPr>
            <w:tcW w:w="756" w:type="dxa"/>
          </w:tcPr>
          <w:p>
            <w:pPr>
              <w:pStyle w:val="TableParagraph"/>
              <w:spacing w:line="215" w:lineRule="exact"/>
              <w:ind w:right="303"/>
              <w:jc w:val="right"/>
              <w:rPr>
                <w:sz w:val="20"/>
              </w:rPr>
            </w:pPr>
            <w:r>
              <w:rPr>
                <w:spacing w:val="-10"/>
                <w:sz w:val="20"/>
              </w:rPr>
              <w:t>6</w:t>
            </w:r>
          </w:p>
        </w:tc>
        <w:tc>
          <w:tcPr>
            <w:tcW w:w="874" w:type="dxa"/>
          </w:tcPr>
          <w:p>
            <w:pPr>
              <w:pStyle w:val="TableParagraph"/>
              <w:spacing w:line="215" w:lineRule="exact"/>
              <w:ind w:left="44"/>
              <w:jc w:val="center"/>
              <w:rPr>
                <w:sz w:val="20"/>
              </w:rPr>
            </w:pPr>
            <w:r>
              <w:rPr>
                <w:spacing w:val="-4"/>
                <w:sz w:val="20"/>
              </w:rPr>
              <w:t>26.1</w:t>
            </w:r>
          </w:p>
        </w:tc>
        <w:tc>
          <w:tcPr>
            <w:tcW w:w="740" w:type="dxa"/>
          </w:tcPr>
          <w:p>
            <w:pPr>
              <w:pStyle w:val="TableParagraph"/>
              <w:spacing w:line="215" w:lineRule="exact"/>
              <w:ind w:left="64" w:right="2"/>
              <w:jc w:val="center"/>
              <w:rPr>
                <w:sz w:val="20"/>
              </w:rPr>
            </w:pPr>
            <w:r>
              <w:rPr>
                <w:spacing w:val="-10"/>
                <w:sz w:val="20"/>
              </w:rPr>
              <w:t>6</w:t>
            </w:r>
          </w:p>
        </w:tc>
        <w:tc>
          <w:tcPr>
            <w:tcW w:w="774" w:type="dxa"/>
          </w:tcPr>
          <w:p>
            <w:pPr>
              <w:pStyle w:val="TableParagraph"/>
              <w:spacing w:line="215" w:lineRule="exact"/>
              <w:ind w:left="6" w:right="15"/>
              <w:jc w:val="center"/>
              <w:rPr>
                <w:sz w:val="20"/>
              </w:rPr>
            </w:pPr>
            <w:r>
              <w:rPr>
                <w:spacing w:val="-4"/>
                <w:sz w:val="20"/>
              </w:rPr>
              <w:t>26.1</w:t>
            </w:r>
          </w:p>
        </w:tc>
        <w:tc>
          <w:tcPr>
            <w:tcW w:w="628" w:type="dxa"/>
          </w:tcPr>
          <w:p>
            <w:pPr>
              <w:pStyle w:val="TableParagraph"/>
              <w:spacing w:line="215" w:lineRule="exact"/>
              <w:ind w:left="26" w:right="19"/>
              <w:jc w:val="center"/>
              <w:rPr>
                <w:sz w:val="20"/>
              </w:rPr>
            </w:pPr>
            <w:r>
              <w:rPr>
                <w:spacing w:val="-10"/>
                <w:sz w:val="20"/>
              </w:rPr>
              <w:t>1</w:t>
            </w:r>
          </w:p>
        </w:tc>
        <w:tc>
          <w:tcPr>
            <w:tcW w:w="731" w:type="dxa"/>
          </w:tcPr>
          <w:p>
            <w:pPr>
              <w:pStyle w:val="TableParagraph"/>
              <w:spacing w:line="215" w:lineRule="exact"/>
              <w:ind w:left="69" w:right="5"/>
              <w:jc w:val="center"/>
              <w:rPr>
                <w:sz w:val="20"/>
              </w:rPr>
            </w:pPr>
            <w:r>
              <w:rPr>
                <w:spacing w:val="-5"/>
                <w:sz w:val="20"/>
              </w:rPr>
              <w:t>4.3</w:t>
            </w:r>
          </w:p>
        </w:tc>
        <w:tc>
          <w:tcPr>
            <w:tcW w:w="733" w:type="dxa"/>
          </w:tcPr>
          <w:p>
            <w:pPr>
              <w:pStyle w:val="TableParagraph"/>
              <w:spacing w:line="215" w:lineRule="exact"/>
              <w:ind w:right="232"/>
              <w:jc w:val="right"/>
              <w:rPr>
                <w:sz w:val="20"/>
              </w:rPr>
            </w:pPr>
            <w:r>
              <w:rPr>
                <w:spacing w:val="-5"/>
                <w:sz w:val="20"/>
              </w:rPr>
              <w:t>23</w:t>
            </w:r>
          </w:p>
        </w:tc>
        <w:tc>
          <w:tcPr>
            <w:tcW w:w="739" w:type="dxa"/>
            <w:tcBorders>
              <w:right w:val="single" w:sz="4" w:space="0" w:color="000000"/>
            </w:tcBorders>
          </w:tcPr>
          <w:p>
            <w:pPr>
              <w:pStyle w:val="TableParagraph"/>
              <w:spacing w:line="215" w:lineRule="exact"/>
              <w:ind w:left="36" w:right="23"/>
              <w:jc w:val="center"/>
              <w:rPr>
                <w:sz w:val="20"/>
              </w:rPr>
            </w:pPr>
            <w:r>
              <w:rPr>
                <w:spacing w:val="-5"/>
                <w:sz w:val="20"/>
              </w:rPr>
              <w:t>5.0</w:t>
            </w:r>
          </w:p>
        </w:tc>
      </w:tr>
      <w:tr>
        <w:trPr>
          <w:trHeight w:val="235" w:hRule="atLeast"/>
        </w:trPr>
        <w:tc>
          <w:tcPr>
            <w:tcW w:w="4147" w:type="dxa"/>
            <w:tcBorders>
              <w:left w:val="single" w:sz="4" w:space="0" w:color="000000"/>
            </w:tcBorders>
          </w:tcPr>
          <w:p>
            <w:pPr>
              <w:pStyle w:val="TableParagraph"/>
              <w:tabs>
                <w:tab w:pos="609" w:val="left" w:leader="none"/>
              </w:tabs>
              <w:spacing w:line="213" w:lineRule="exact" w:before="2"/>
              <w:ind w:right="98"/>
              <w:jc w:val="right"/>
              <w:rPr>
                <w:sz w:val="20"/>
              </w:rPr>
            </w:pPr>
            <w:r>
              <w:rPr>
                <w:spacing w:val="-5"/>
                <w:sz w:val="20"/>
              </w:rPr>
              <w:t>57.</w:t>
            </w:r>
            <w:r>
              <w:rPr>
                <w:sz w:val="20"/>
              </w:rPr>
              <w:tab/>
              <w:t>The</w:t>
            </w:r>
            <w:r>
              <w:rPr>
                <w:spacing w:val="-4"/>
                <w:sz w:val="20"/>
              </w:rPr>
              <w:t> </w:t>
            </w:r>
            <w:r>
              <w:rPr>
                <w:sz w:val="20"/>
              </w:rPr>
              <w:t>recruitment</w:t>
            </w:r>
            <w:r>
              <w:rPr>
                <w:spacing w:val="-5"/>
                <w:sz w:val="20"/>
              </w:rPr>
              <w:t> </w:t>
            </w:r>
            <w:r>
              <w:rPr>
                <w:sz w:val="20"/>
              </w:rPr>
              <w:t>of</w:t>
            </w:r>
            <w:r>
              <w:rPr>
                <w:spacing w:val="3"/>
                <w:sz w:val="20"/>
              </w:rPr>
              <w:t> </w:t>
            </w:r>
            <w:r>
              <w:rPr>
                <w:sz w:val="20"/>
              </w:rPr>
              <w:t>casual</w:t>
            </w:r>
            <w:r>
              <w:rPr>
                <w:spacing w:val="1"/>
                <w:sz w:val="20"/>
              </w:rPr>
              <w:t> </w:t>
            </w:r>
            <w:r>
              <w:rPr>
                <w:sz w:val="20"/>
              </w:rPr>
              <w:t>hunters</w:t>
            </w:r>
            <w:r>
              <w:rPr>
                <w:spacing w:val="-6"/>
                <w:sz w:val="20"/>
              </w:rPr>
              <w:t> </w:t>
            </w:r>
            <w:r>
              <w:rPr>
                <w:spacing w:val="-5"/>
                <w:sz w:val="20"/>
              </w:rPr>
              <w:t>is</w:t>
            </w:r>
          </w:p>
        </w:tc>
        <w:tc>
          <w:tcPr>
            <w:tcW w:w="1977" w:type="dxa"/>
          </w:tcPr>
          <w:p>
            <w:pPr>
              <w:pStyle w:val="TableParagraph"/>
              <w:spacing w:line="213" w:lineRule="exact" w:before="2"/>
              <w:ind w:left="110"/>
              <w:rPr>
                <w:sz w:val="20"/>
              </w:rPr>
            </w:pPr>
            <w:r>
              <w:rPr>
                <w:sz w:val="20"/>
              </w:rPr>
              <w:t>No.</w:t>
            </w:r>
            <w:r>
              <w:rPr>
                <w:spacing w:val="-5"/>
                <w:sz w:val="20"/>
              </w:rPr>
              <w:t> </w:t>
            </w:r>
            <w:r>
              <w:rPr>
                <w:sz w:val="20"/>
              </w:rPr>
              <w:t>of</w:t>
            </w:r>
            <w:r>
              <w:rPr>
                <w:spacing w:val="-2"/>
                <w:sz w:val="20"/>
              </w:rPr>
              <w:t> missing</w:t>
            </w:r>
          </w:p>
        </w:tc>
        <w:tc>
          <w:tcPr>
            <w:tcW w:w="541" w:type="dxa"/>
          </w:tcPr>
          <w:p>
            <w:pPr>
              <w:pStyle w:val="TableParagraph"/>
              <w:rPr>
                <w:rFonts w:ascii="Times New Roman"/>
                <w:sz w:val="16"/>
              </w:rPr>
            </w:pPr>
          </w:p>
        </w:tc>
        <w:tc>
          <w:tcPr>
            <w:tcW w:w="732" w:type="dxa"/>
          </w:tcPr>
          <w:p>
            <w:pPr>
              <w:pStyle w:val="TableParagraph"/>
              <w:rPr>
                <w:rFonts w:ascii="Times New Roman"/>
                <w:sz w:val="16"/>
              </w:rPr>
            </w:pPr>
          </w:p>
        </w:tc>
        <w:tc>
          <w:tcPr>
            <w:tcW w:w="691" w:type="dxa"/>
          </w:tcPr>
          <w:p>
            <w:pPr>
              <w:pStyle w:val="TableParagraph"/>
              <w:rPr>
                <w:rFonts w:ascii="Times New Roman"/>
                <w:sz w:val="16"/>
              </w:rPr>
            </w:pPr>
          </w:p>
        </w:tc>
        <w:tc>
          <w:tcPr>
            <w:tcW w:w="708" w:type="dxa"/>
          </w:tcPr>
          <w:p>
            <w:pPr>
              <w:pStyle w:val="TableParagraph"/>
              <w:rPr>
                <w:rFonts w:ascii="Times New Roman"/>
                <w:sz w:val="16"/>
              </w:rPr>
            </w:pPr>
          </w:p>
        </w:tc>
        <w:tc>
          <w:tcPr>
            <w:tcW w:w="756" w:type="dxa"/>
          </w:tcPr>
          <w:p>
            <w:pPr>
              <w:pStyle w:val="TableParagraph"/>
              <w:rPr>
                <w:rFonts w:ascii="Times New Roman"/>
                <w:sz w:val="16"/>
              </w:rPr>
            </w:pPr>
          </w:p>
        </w:tc>
        <w:tc>
          <w:tcPr>
            <w:tcW w:w="874" w:type="dxa"/>
          </w:tcPr>
          <w:p>
            <w:pPr>
              <w:pStyle w:val="TableParagraph"/>
              <w:rPr>
                <w:rFonts w:ascii="Times New Roman"/>
                <w:sz w:val="16"/>
              </w:rPr>
            </w:pPr>
          </w:p>
        </w:tc>
        <w:tc>
          <w:tcPr>
            <w:tcW w:w="740" w:type="dxa"/>
          </w:tcPr>
          <w:p>
            <w:pPr>
              <w:pStyle w:val="TableParagraph"/>
              <w:rPr>
                <w:rFonts w:ascii="Times New Roman"/>
                <w:sz w:val="16"/>
              </w:rPr>
            </w:pPr>
          </w:p>
        </w:tc>
        <w:tc>
          <w:tcPr>
            <w:tcW w:w="774" w:type="dxa"/>
          </w:tcPr>
          <w:p>
            <w:pPr>
              <w:pStyle w:val="TableParagraph"/>
              <w:rPr>
                <w:rFonts w:ascii="Times New Roman"/>
                <w:sz w:val="16"/>
              </w:rPr>
            </w:pPr>
          </w:p>
        </w:tc>
        <w:tc>
          <w:tcPr>
            <w:tcW w:w="628" w:type="dxa"/>
          </w:tcPr>
          <w:p>
            <w:pPr>
              <w:pStyle w:val="TableParagraph"/>
              <w:rPr>
                <w:rFonts w:ascii="Times New Roman"/>
                <w:sz w:val="16"/>
              </w:rPr>
            </w:pPr>
          </w:p>
        </w:tc>
        <w:tc>
          <w:tcPr>
            <w:tcW w:w="731" w:type="dxa"/>
          </w:tcPr>
          <w:p>
            <w:pPr>
              <w:pStyle w:val="TableParagraph"/>
              <w:rPr>
                <w:rFonts w:ascii="Times New Roman"/>
                <w:sz w:val="16"/>
              </w:rPr>
            </w:pPr>
          </w:p>
        </w:tc>
        <w:tc>
          <w:tcPr>
            <w:tcW w:w="733"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30" w:hRule="atLeast"/>
        </w:trPr>
        <w:tc>
          <w:tcPr>
            <w:tcW w:w="4147" w:type="dxa"/>
            <w:tcBorders>
              <w:left w:val="single" w:sz="4" w:space="0" w:color="000000"/>
            </w:tcBorders>
          </w:tcPr>
          <w:p>
            <w:pPr>
              <w:pStyle w:val="TableParagraph"/>
              <w:spacing w:line="210" w:lineRule="exact"/>
              <w:ind w:right="109"/>
              <w:jc w:val="right"/>
              <w:rPr>
                <w:sz w:val="20"/>
              </w:rPr>
            </w:pPr>
            <w:r>
              <w:rPr>
                <w:sz w:val="20"/>
              </w:rPr>
              <w:t>vital</w:t>
            </w:r>
            <w:r>
              <w:rPr>
                <w:spacing w:val="67"/>
                <w:sz w:val="20"/>
              </w:rPr>
              <w:t> </w:t>
            </w:r>
            <w:r>
              <w:rPr>
                <w:sz w:val="20"/>
              </w:rPr>
              <w:t>in</w:t>
            </w:r>
            <w:r>
              <w:rPr>
                <w:spacing w:val="68"/>
                <w:sz w:val="20"/>
              </w:rPr>
              <w:t> </w:t>
            </w:r>
            <w:r>
              <w:rPr>
                <w:sz w:val="20"/>
              </w:rPr>
              <w:t>augmenting</w:t>
            </w:r>
            <w:r>
              <w:rPr>
                <w:spacing w:val="67"/>
                <w:sz w:val="20"/>
              </w:rPr>
              <w:t> </w:t>
            </w:r>
            <w:r>
              <w:rPr>
                <w:sz w:val="20"/>
              </w:rPr>
              <w:t>the</w:t>
            </w:r>
            <w:r>
              <w:rPr>
                <w:spacing w:val="68"/>
                <w:sz w:val="20"/>
              </w:rPr>
              <w:t> </w:t>
            </w:r>
            <w:r>
              <w:rPr>
                <w:sz w:val="20"/>
              </w:rPr>
              <w:t>efforts</w:t>
            </w:r>
            <w:r>
              <w:rPr>
                <w:spacing w:val="65"/>
                <w:sz w:val="20"/>
              </w:rPr>
              <w:t> </w:t>
            </w:r>
            <w:r>
              <w:rPr>
                <w:spacing w:val="-5"/>
                <w:sz w:val="20"/>
              </w:rPr>
              <w:t>of</w:t>
            </w:r>
          </w:p>
        </w:tc>
        <w:tc>
          <w:tcPr>
            <w:tcW w:w="1977" w:type="dxa"/>
          </w:tcPr>
          <w:p>
            <w:pPr>
              <w:pStyle w:val="TableParagraph"/>
              <w:spacing w:line="210" w:lineRule="exact"/>
              <w:ind w:left="110"/>
              <w:rPr>
                <w:sz w:val="20"/>
              </w:rPr>
            </w:pPr>
            <w:r>
              <w:rPr>
                <w:spacing w:val="-2"/>
                <w:sz w:val="20"/>
              </w:rPr>
              <w:t>observations</w:t>
            </w:r>
          </w:p>
        </w:tc>
        <w:tc>
          <w:tcPr>
            <w:tcW w:w="541" w:type="dxa"/>
          </w:tcPr>
          <w:p>
            <w:pPr>
              <w:pStyle w:val="TableParagraph"/>
              <w:spacing w:line="210" w:lineRule="exact"/>
              <w:ind w:left="4" w:right="5"/>
              <w:jc w:val="center"/>
              <w:rPr>
                <w:sz w:val="20"/>
              </w:rPr>
            </w:pPr>
            <w:r>
              <w:rPr>
                <w:spacing w:val="-10"/>
                <w:sz w:val="20"/>
              </w:rPr>
              <w:t>-</w:t>
            </w:r>
          </w:p>
        </w:tc>
        <w:tc>
          <w:tcPr>
            <w:tcW w:w="732" w:type="dxa"/>
          </w:tcPr>
          <w:p>
            <w:pPr>
              <w:pStyle w:val="TableParagraph"/>
              <w:spacing w:line="210" w:lineRule="exact"/>
              <w:ind w:left="58" w:right="63"/>
              <w:jc w:val="center"/>
              <w:rPr>
                <w:sz w:val="20"/>
              </w:rPr>
            </w:pPr>
            <w:r>
              <w:rPr>
                <w:spacing w:val="-10"/>
                <w:sz w:val="20"/>
              </w:rPr>
              <w:t>-</w:t>
            </w:r>
          </w:p>
        </w:tc>
        <w:tc>
          <w:tcPr>
            <w:tcW w:w="691" w:type="dxa"/>
          </w:tcPr>
          <w:p>
            <w:pPr>
              <w:pStyle w:val="TableParagraph"/>
              <w:spacing w:line="210" w:lineRule="exact"/>
              <w:ind w:left="22" w:right="6"/>
              <w:jc w:val="center"/>
              <w:rPr>
                <w:sz w:val="20"/>
              </w:rPr>
            </w:pPr>
            <w:r>
              <w:rPr>
                <w:spacing w:val="-10"/>
                <w:sz w:val="20"/>
              </w:rPr>
              <w:t>1</w:t>
            </w:r>
          </w:p>
        </w:tc>
        <w:tc>
          <w:tcPr>
            <w:tcW w:w="708" w:type="dxa"/>
          </w:tcPr>
          <w:p>
            <w:pPr>
              <w:pStyle w:val="TableParagraph"/>
              <w:spacing w:line="210" w:lineRule="exact"/>
              <w:ind w:left="59" w:right="2"/>
              <w:jc w:val="center"/>
              <w:rPr>
                <w:sz w:val="20"/>
              </w:rPr>
            </w:pPr>
            <w:r>
              <w:rPr>
                <w:spacing w:val="-4"/>
                <w:sz w:val="20"/>
              </w:rPr>
              <w:t>50.0</w:t>
            </w:r>
          </w:p>
        </w:tc>
        <w:tc>
          <w:tcPr>
            <w:tcW w:w="756" w:type="dxa"/>
          </w:tcPr>
          <w:p>
            <w:pPr>
              <w:pStyle w:val="TableParagraph"/>
              <w:spacing w:line="210" w:lineRule="exact"/>
              <w:ind w:right="329"/>
              <w:jc w:val="right"/>
              <w:rPr>
                <w:sz w:val="20"/>
              </w:rPr>
            </w:pPr>
            <w:r>
              <w:rPr>
                <w:spacing w:val="-10"/>
                <w:sz w:val="20"/>
              </w:rPr>
              <w:t>-</w:t>
            </w:r>
          </w:p>
        </w:tc>
        <w:tc>
          <w:tcPr>
            <w:tcW w:w="874" w:type="dxa"/>
          </w:tcPr>
          <w:p>
            <w:pPr>
              <w:pStyle w:val="TableParagraph"/>
              <w:spacing w:line="210" w:lineRule="exact"/>
              <w:ind w:left="44" w:right="6"/>
              <w:jc w:val="center"/>
              <w:rPr>
                <w:sz w:val="20"/>
              </w:rPr>
            </w:pPr>
            <w:r>
              <w:rPr>
                <w:spacing w:val="-10"/>
                <w:sz w:val="20"/>
              </w:rPr>
              <w:t>-</w:t>
            </w:r>
          </w:p>
        </w:tc>
        <w:tc>
          <w:tcPr>
            <w:tcW w:w="740" w:type="dxa"/>
          </w:tcPr>
          <w:p>
            <w:pPr>
              <w:pStyle w:val="TableParagraph"/>
              <w:spacing w:line="210" w:lineRule="exact"/>
              <w:ind w:left="64" w:right="2"/>
              <w:jc w:val="center"/>
              <w:rPr>
                <w:sz w:val="20"/>
              </w:rPr>
            </w:pPr>
            <w:r>
              <w:rPr>
                <w:spacing w:val="-10"/>
                <w:sz w:val="20"/>
              </w:rPr>
              <w:t>1</w:t>
            </w:r>
          </w:p>
        </w:tc>
        <w:tc>
          <w:tcPr>
            <w:tcW w:w="774" w:type="dxa"/>
          </w:tcPr>
          <w:p>
            <w:pPr>
              <w:pStyle w:val="TableParagraph"/>
              <w:spacing w:line="210" w:lineRule="exact"/>
              <w:ind w:left="6" w:right="15"/>
              <w:jc w:val="center"/>
              <w:rPr>
                <w:sz w:val="20"/>
              </w:rPr>
            </w:pPr>
            <w:r>
              <w:rPr>
                <w:spacing w:val="-4"/>
                <w:sz w:val="20"/>
              </w:rPr>
              <w:t>50.0</w:t>
            </w:r>
          </w:p>
        </w:tc>
        <w:tc>
          <w:tcPr>
            <w:tcW w:w="628" w:type="dxa"/>
          </w:tcPr>
          <w:p>
            <w:pPr>
              <w:pStyle w:val="TableParagraph"/>
              <w:spacing w:line="210" w:lineRule="exact"/>
              <w:ind w:left="19" w:right="19"/>
              <w:jc w:val="center"/>
              <w:rPr>
                <w:sz w:val="20"/>
              </w:rPr>
            </w:pPr>
            <w:r>
              <w:rPr>
                <w:spacing w:val="-10"/>
                <w:sz w:val="20"/>
              </w:rPr>
              <w:t>-</w:t>
            </w:r>
          </w:p>
        </w:tc>
        <w:tc>
          <w:tcPr>
            <w:tcW w:w="731" w:type="dxa"/>
          </w:tcPr>
          <w:p>
            <w:pPr>
              <w:pStyle w:val="TableParagraph"/>
              <w:spacing w:line="210" w:lineRule="exact"/>
              <w:ind w:left="69" w:right="7"/>
              <w:jc w:val="center"/>
              <w:rPr>
                <w:sz w:val="20"/>
              </w:rPr>
            </w:pPr>
            <w:r>
              <w:rPr>
                <w:spacing w:val="-10"/>
                <w:sz w:val="20"/>
              </w:rPr>
              <w:t>-</w:t>
            </w:r>
          </w:p>
        </w:tc>
        <w:tc>
          <w:tcPr>
            <w:tcW w:w="733" w:type="dxa"/>
          </w:tcPr>
          <w:p>
            <w:pPr>
              <w:pStyle w:val="TableParagraph"/>
              <w:spacing w:line="210" w:lineRule="exact"/>
              <w:ind w:left="59" w:right="14"/>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23"/>
              <w:jc w:val="center"/>
              <w:rPr>
                <w:sz w:val="20"/>
              </w:rPr>
            </w:pPr>
            <w:r>
              <w:rPr>
                <w:spacing w:val="-5"/>
                <w:sz w:val="20"/>
              </w:rPr>
              <w:t>0.4</w:t>
            </w:r>
          </w:p>
        </w:tc>
      </w:tr>
      <w:tr>
        <w:trPr>
          <w:trHeight w:val="230" w:hRule="atLeast"/>
        </w:trPr>
        <w:tc>
          <w:tcPr>
            <w:tcW w:w="4147" w:type="dxa"/>
            <w:tcBorders>
              <w:left w:val="single" w:sz="4" w:space="0" w:color="000000"/>
            </w:tcBorders>
          </w:tcPr>
          <w:p>
            <w:pPr>
              <w:pStyle w:val="TableParagraph"/>
              <w:spacing w:line="210" w:lineRule="exact"/>
              <w:ind w:right="104"/>
              <w:jc w:val="right"/>
              <w:rPr>
                <w:sz w:val="20"/>
              </w:rPr>
            </w:pPr>
            <w:r>
              <w:rPr>
                <w:sz w:val="20"/>
              </w:rPr>
              <w:t>security</w:t>
            </w:r>
            <w:r>
              <w:rPr>
                <w:spacing w:val="23"/>
                <w:sz w:val="20"/>
              </w:rPr>
              <w:t> </w:t>
            </w:r>
            <w:r>
              <w:rPr>
                <w:sz w:val="20"/>
              </w:rPr>
              <w:t>in</w:t>
            </w:r>
            <w:r>
              <w:rPr>
                <w:spacing w:val="21"/>
                <w:sz w:val="20"/>
              </w:rPr>
              <w:t> </w:t>
            </w:r>
            <w:r>
              <w:rPr>
                <w:sz w:val="20"/>
              </w:rPr>
              <w:t>making</w:t>
            </w:r>
            <w:r>
              <w:rPr>
                <w:spacing w:val="21"/>
                <w:sz w:val="20"/>
              </w:rPr>
              <w:t> </w:t>
            </w:r>
            <w:r>
              <w:rPr>
                <w:sz w:val="20"/>
              </w:rPr>
              <w:t>the</w:t>
            </w:r>
            <w:r>
              <w:rPr>
                <w:spacing w:val="22"/>
                <w:sz w:val="20"/>
              </w:rPr>
              <w:t> </w:t>
            </w:r>
            <w:r>
              <w:rPr>
                <w:spacing w:val="-2"/>
                <w:sz w:val="20"/>
              </w:rPr>
              <w:t>environment</w:t>
            </w:r>
          </w:p>
        </w:tc>
        <w:tc>
          <w:tcPr>
            <w:tcW w:w="1977" w:type="dxa"/>
          </w:tcPr>
          <w:p>
            <w:pPr>
              <w:pStyle w:val="TableParagraph"/>
              <w:spacing w:line="210" w:lineRule="exact"/>
              <w:ind w:left="110"/>
              <w:rPr>
                <w:sz w:val="20"/>
              </w:rPr>
            </w:pPr>
            <w:r>
              <w:rPr>
                <w:spacing w:val="-2"/>
                <w:sz w:val="20"/>
              </w:rPr>
              <w:t>Students</w:t>
            </w:r>
          </w:p>
        </w:tc>
        <w:tc>
          <w:tcPr>
            <w:tcW w:w="541" w:type="dxa"/>
          </w:tcPr>
          <w:p>
            <w:pPr>
              <w:pStyle w:val="TableParagraph"/>
              <w:spacing w:line="210" w:lineRule="exact"/>
              <w:ind w:left="4" w:right="4"/>
              <w:jc w:val="center"/>
              <w:rPr>
                <w:sz w:val="20"/>
              </w:rPr>
            </w:pPr>
            <w:r>
              <w:rPr>
                <w:spacing w:val="-5"/>
                <w:sz w:val="20"/>
              </w:rPr>
              <w:t>44</w:t>
            </w:r>
          </w:p>
        </w:tc>
        <w:tc>
          <w:tcPr>
            <w:tcW w:w="732" w:type="dxa"/>
          </w:tcPr>
          <w:p>
            <w:pPr>
              <w:pStyle w:val="TableParagraph"/>
              <w:spacing w:line="210" w:lineRule="exact"/>
              <w:ind w:left="58" w:right="58"/>
              <w:jc w:val="center"/>
              <w:rPr>
                <w:sz w:val="20"/>
              </w:rPr>
            </w:pPr>
            <w:r>
              <w:rPr>
                <w:spacing w:val="-4"/>
                <w:sz w:val="20"/>
              </w:rPr>
              <w:t>18.9</w:t>
            </w:r>
          </w:p>
        </w:tc>
        <w:tc>
          <w:tcPr>
            <w:tcW w:w="691" w:type="dxa"/>
          </w:tcPr>
          <w:p>
            <w:pPr>
              <w:pStyle w:val="TableParagraph"/>
              <w:spacing w:line="210" w:lineRule="exact"/>
              <w:ind w:left="22" w:right="11"/>
              <w:jc w:val="center"/>
              <w:rPr>
                <w:sz w:val="20"/>
              </w:rPr>
            </w:pPr>
            <w:r>
              <w:rPr>
                <w:spacing w:val="-5"/>
                <w:sz w:val="20"/>
              </w:rPr>
              <w:t>84</w:t>
            </w:r>
          </w:p>
        </w:tc>
        <w:tc>
          <w:tcPr>
            <w:tcW w:w="708" w:type="dxa"/>
          </w:tcPr>
          <w:p>
            <w:pPr>
              <w:pStyle w:val="TableParagraph"/>
              <w:spacing w:line="210" w:lineRule="exact"/>
              <w:ind w:left="59" w:right="2"/>
              <w:jc w:val="center"/>
              <w:rPr>
                <w:sz w:val="20"/>
              </w:rPr>
            </w:pPr>
            <w:r>
              <w:rPr>
                <w:spacing w:val="-4"/>
                <w:sz w:val="20"/>
              </w:rPr>
              <w:t>35.7</w:t>
            </w:r>
          </w:p>
        </w:tc>
        <w:tc>
          <w:tcPr>
            <w:tcW w:w="756" w:type="dxa"/>
          </w:tcPr>
          <w:p>
            <w:pPr>
              <w:pStyle w:val="TableParagraph"/>
              <w:spacing w:line="210" w:lineRule="exact"/>
              <w:ind w:right="250"/>
              <w:jc w:val="right"/>
              <w:rPr>
                <w:sz w:val="20"/>
              </w:rPr>
            </w:pPr>
            <w:r>
              <w:rPr>
                <w:spacing w:val="-5"/>
                <w:sz w:val="20"/>
              </w:rPr>
              <w:t>46</w:t>
            </w:r>
          </w:p>
        </w:tc>
        <w:tc>
          <w:tcPr>
            <w:tcW w:w="874" w:type="dxa"/>
          </w:tcPr>
          <w:p>
            <w:pPr>
              <w:pStyle w:val="TableParagraph"/>
              <w:spacing w:line="210" w:lineRule="exact"/>
              <w:ind w:left="44"/>
              <w:jc w:val="center"/>
              <w:rPr>
                <w:sz w:val="20"/>
              </w:rPr>
            </w:pPr>
            <w:r>
              <w:rPr>
                <w:spacing w:val="-4"/>
                <w:sz w:val="20"/>
              </w:rPr>
              <w:t>19.6</w:t>
            </w:r>
          </w:p>
        </w:tc>
        <w:tc>
          <w:tcPr>
            <w:tcW w:w="740" w:type="dxa"/>
          </w:tcPr>
          <w:p>
            <w:pPr>
              <w:pStyle w:val="TableParagraph"/>
              <w:spacing w:line="210" w:lineRule="exact"/>
              <w:ind w:left="64" w:right="6"/>
              <w:jc w:val="center"/>
              <w:rPr>
                <w:sz w:val="20"/>
              </w:rPr>
            </w:pPr>
            <w:r>
              <w:rPr>
                <w:spacing w:val="-5"/>
                <w:sz w:val="20"/>
              </w:rPr>
              <w:t>38</w:t>
            </w:r>
          </w:p>
        </w:tc>
        <w:tc>
          <w:tcPr>
            <w:tcW w:w="774" w:type="dxa"/>
          </w:tcPr>
          <w:p>
            <w:pPr>
              <w:pStyle w:val="TableParagraph"/>
              <w:spacing w:line="210" w:lineRule="exact"/>
              <w:ind w:left="6" w:right="15"/>
              <w:jc w:val="center"/>
              <w:rPr>
                <w:sz w:val="20"/>
              </w:rPr>
            </w:pPr>
            <w:r>
              <w:rPr>
                <w:spacing w:val="-4"/>
                <w:sz w:val="20"/>
              </w:rPr>
              <w:t>16.2</w:t>
            </w:r>
          </w:p>
        </w:tc>
        <w:tc>
          <w:tcPr>
            <w:tcW w:w="628" w:type="dxa"/>
          </w:tcPr>
          <w:p>
            <w:pPr>
              <w:pStyle w:val="TableParagraph"/>
              <w:spacing w:line="210" w:lineRule="exact"/>
              <w:ind w:left="21" w:right="19"/>
              <w:jc w:val="center"/>
              <w:rPr>
                <w:sz w:val="20"/>
              </w:rPr>
            </w:pPr>
            <w:r>
              <w:rPr>
                <w:spacing w:val="-5"/>
                <w:sz w:val="20"/>
              </w:rPr>
              <w:t>23</w:t>
            </w:r>
          </w:p>
        </w:tc>
        <w:tc>
          <w:tcPr>
            <w:tcW w:w="731" w:type="dxa"/>
          </w:tcPr>
          <w:p>
            <w:pPr>
              <w:pStyle w:val="TableParagraph"/>
              <w:spacing w:line="210" w:lineRule="exact"/>
              <w:ind w:left="69" w:right="5"/>
              <w:jc w:val="center"/>
              <w:rPr>
                <w:sz w:val="20"/>
              </w:rPr>
            </w:pPr>
            <w:r>
              <w:rPr>
                <w:spacing w:val="-5"/>
                <w:sz w:val="20"/>
              </w:rPr>
              <w:t>9.8</w:t>
            </w:r>
          </w:p>
        </w:tc>
        <w:tc>
          <w:tcPr>
            <w:tcW w:w="733" w:type="dxa"/>
          </w:tcPr>
          <w:p>
            <w:pPr>
              <w:pStyle w:val="TableParagraph"/>
              <w:spacing w:line="210" w:lineRule="exact"/>
              <w:ind w:right="179"/>
              <w:jc w:val="right"/>
              <w:rPr>
                <w:sz w:val="20"/>
              </w:rPr>
            </w:pPr>
            <w:r>
              <w:rPr>
                <w:spacing w:val="-5"/>
                <w:sz w:val="20"/>
              </w:rPr>
              <w:t>235</w:t>
            </w:r>
          </w:p>
        </w:tc>
        <w:tc>
          <w:tcPr>
            <w:tcW w:w="739" w:type="dxa"/>
            <w:tcBorders>
              <w:right w:val="single" w:sz="4" w:space="0" w:color="000000"/>
            </w:tcBorders>
          </w:tcPr>
          <w:p>
            <w:pPr>
              <w:pStyle w:val="TableParagraph"/>
              <w:spacing w:line="210" w:lineRule="exact"/>
              <w:ind w:left="36" w:right="18"/>
              <w:jc w:val="center"/>
              <w:rPr>
                <w:sz w:val="20"/>
              </w:rPr>
            </w:pPr>
            <w:r>
              <w:rPr>
                <w:spacing w:val="-4"/>
                <w:sz w:val="20"/>
              </w:rPr>
              <w:t>50.8</w:t>
            </w:r>
          </w:p>
        </w:tc>
      </w:tr>
      <w:tr>
        <w:trPr>
          <w:trHeight w:val="240" w:hRule="atLeast"/>
        </w:trPr>
        <w:tc>
          <w:tcPr>
            <w:tcW w:w="4147" w:type="dxa"/>
            <w:tcBorders>
              <w:left w:val="single" w:sz="4" w:space="0" w:color="000000"/>
            </w:tcBorders>
          </w:tcPr>
          <w:p>
            <w:pPr>
              <w:pStyle w:val="TableParagraph"/>
              <w:spacing w:line="220" w:lineRule="exact"/>
              <w:ind w:left="830"/>
              <w:rPr>
                <w:sz w:val="20"/>
              </w:rPr>
            </w:pPr>
            <w:r>
              <w:rPr>
                <w:sz w:val="20"/>
              </w:rPr>
              <w:t>secure</w:t>
            </w:r>
            <w:r>
              <w:rPr>
                <w:spacing w:val="-7"/>
                <w:sz w:val="20"/>
              </w:rPr>
              <w:t> </w:t>
            </w:r>
            <w:r>
              <w:rPr>
                <w:sz w:val="20"/>
              </w:rPr>
              <w:t>for</w:t>
            </w:r>
            <w:r>
              <w:rPr>
                <w:spacing w:val="-4"/>
                <w:sz w:val="20"/>
              </w:rPr>
              <w:t> </w:t>
            </w:r>
            <w:r>
              <w:rPr>
                <w:sz w:val="20"/>
              </w:rPr>
              <w:t>academic</w:t>
            </w:r>
            <w:r>
              <w:rPr>
                <w:spacing w:val="-4"/>
                <w:sz w:val="20"/>
              </w:rPr>
              <w:t> </w:t>
            </w:r>
            <w:r>
              <w:rPr>
                <w:spacing w:val="-2"/>
                <w:sz w:val="20"/>
              </w:rPr>
              <w:t>activities.</w:t>
            </w:r>
          </w:p>
        </w:tc>
        <w:tc>
          <w:tcPr>
            <w:tcW w:w="1977" w:type="dxa"/>
          </w:tcPr>
          <w:p>
            <w:pPr>
              <w:pStyle w:val="TableParagraph"/>
              <w:spacing w:line="213" w:lineRule="exact" w:before="7"/>
              <w:ind w:left="110"/>
              <w:rPr>
                <w:sz w:val="20"/>
              </w:rPr>
            </w:pPr>
            <w:r>
              <w:rPr>
                <w:sz w:val="20"/>
              </w:rPr>
              <w:t>Service</w:t>
            </w:r>
            <w:r>
              <w:rPr>
                <w:spacing w:val="-9"/>
                <w:sz w:val="20"/>
              </w:rPr>
              <w:t> </w:t>
            </w:r>
            <w:r>
              <w:rPr>
                <w:spacing w:val="-2"/>
                <w:sz w:val="20"/>
              </w:rPr>
              <w:t>Staff</w:t>
            </w:r>
          </w:p>
        </w:tc>
        <w:tc>
          <w:tcPr>
            <w:tcW w:w="541" w:type="dxa"/>
          </w:tcPr>
          <w:p>
            <w:pPr>
              <w:pStyle w:val="TableParagraph"/>
              <w:spacing w:line="213" w:lineRule="exact" w:before="7"/>
              <w:ind w:left="4" w:right="4"/>
              <w:jc w:val="center"/>
              <w:rPr>
                <w:sz w:val="20"/>
              </w:rPr>
            </w:pPr>
            <w:r>
              <w:rPr>
                <w:spacing w:val="-5"/>
                <w:sz w:val="20"/>
              </w:rPr>
              <w:t>33</w:t>
            </w:r>
          </w:p>
        </w:tc>
        <w:tc>
          <w:tcPr>
            <w:tcW w:w="732" w:type="dxa"/>
          </w:tcPr>
          <w:p>
            <w:pPr>
              <w:pStyle w:val="TableParagraph"/>
              <w:spacing w:line="213" w:lineRule="exact" w:before="7"/>
              <w:ind w:left="58" w:right="58"/>
              <w:jc w:val="center"/>
              <w:rPr>
                <w:sz w:val="20"/>
              </w:rPr>
            </w:pPr>
            <w:r>
              <w:rPr>
                <w:spacing w:val="-4"/>
                <w:sz w:val="20"/>
              </w:rPr>
              <w:t>16.3</w:t>
            </w:r>
          </w:p>
        </w:tc>
        <w:tc>
          <w:tcPr>
            <w:tcW w:w="691" w:type="dxa"/>
          </w:tcPr>
          <w:p>
            <w:pPr>
              <w:pStyle w:val="TableParagraph"/>
              <w:spacing w:line="213" w:lineRule="exact" w:before="7"/>
              <w:ind w:left="22" w:right="11"/>
              <w:jc w:val="center"/>
              <w:rPr>
                <w:sz w:val="20"/>
              </w:rPr>
            </w:pPr>
            <w:r>
              <w:rPr>
                <w:spacing w:val="-5"/>
                <w:sz w:val="20"/>
              </w:rPr>
              <w:t>72</w:t>
            </w:r>
          </w:p>
        </w:tc>
        <w:tc>
          <w:tcPr>
            <w:tcW w:w="708" w:type="dxa"/>
          </w:tcPr>
          <w:p>
            <w:pPr>
              <w:pStyle w:val="TableParagraph"/>
              <w:spacing w:line="213" w:lineRule="exact" w:before="7"/>
              <w:ind w:left="59" w:right="2"/>
              <w:jc w:val="center"/>
              <w:rPr>
                <w:sz w:val="20"/>
              </w:rPr>
            </w:pPr>
            <w:r>
              <w:rPr>
                <w:spacing w:val="-4"/>
                <w:sz w:val="20"/>
              </w:rPr>
              <w:t>35.5</w:t>
            </w:r>
          </w:p>
        </w:tc>
        <w:tc>
          <w:tcPr>
            <w:tcW w:w="756" w:type="dxa"/>
          </w:tcPr>
          <w:p>
            <w:pPr>
              <w:pStyle w:val="TableParagraph"/>
              <w:spacing w:line="213" w:lineRule="exact" w:before="7"/>
              <w:ind w:right="250"/>
              <w:jc w:val="right"/>
              <w:rPr>
                <w:sz w:val="20"/>
              </w:rPr>
            </w:pPr>
            <w:r>
              <w:rPr>
                <w:spacing w:val="-5"/>
                <w:sz w:val="20"/>
              </w:rPr>
              <w:t>32</w:t>
            </w:r>
          </w:p>
        </w:tc>
        <w:tc>
          <w:tcPr>
            <w:tcW w:w="874" w:type="dxa"/>
          </w:tcPr>
          <w:p>
            <w:pPr>
              <w:pStyle w:val="TableParagraph"/>
              <w:spacing w:line="213" w:lineRule="exact" w:before="7"/>
              <w:ind w:left="44"/>
              <w:jc w:val="center"/>
              <w:rPr>
                <w:sz w:val="20"/>
              </w:rPr>
            </w:pPr>
            <w:r>
              <w:rPr>
                <w:spacing w:val="-4"/>
                <w:sz w:val="20"/>
              </w:rPr>
              <w:t>15.8</w:t>
            </w:r>
          </w:p>
        </w:tc>
        <w:tc>
          <w:tcPr>
            <w:tcW w:w="740" w:type="dxa"/>
          </w:tcPr>
          <w:p>
            <w:pPr>
              <w:pStyle w:val="TableParagraph"/>
              <w:spacing w:line="213" w:lineRule="exact" w:before="7"/>
              <w:ind w:left="64" w:right="6"/>
              <w:jc w:val="center"/>
              <w:rPr>
                <w:sz w:val="20"/>
              </w:rPr>
            </w:pPr>
            <w:r>
              <w:rPr>
                <w:spacing w:val="-5"/>
                <w:sz w:val="20"/>
              </w:rPr>
              <w:t>34</w:t>
            </w:r>
          </w:p>
        </w:tc>
        <w:tc>
          <w:tcPr>
            <w:tcW w:w="774" w:type="dxa"/>
          </w:tcPr>
          <w:p>
            <w:pPr>
              <w:pStyle w:val="TableParagraph"/>
              <w:spacing w:line="213" w:lineRule="exact" w:before="7"/>
              <w:ind w:left="6" w:right="15"/>
              <w:jc w:val="center"/>
              <w:rPr>
                <w:sz w:val="20"/>
              </w:rPr>
            </w:pPr>
            <w:r>
              <w:rPr>
                <w:spacing w:val="-4"/>
                <w:sz w:val="20"/>
              </w:rPr>
              <w:t>16.7</w:t>
            </w:r>
          </w:p>
        </w:tc>
        <w:tc>
          <w:tcPr>
            <w:tcW w:w="628" w:type="dxa"/>
          </w:tcPr>
          <w:p>
            <w:pPr>
              <w:pStyle w:val="TableParagraph"/>
              <w:spacing w:line="213" w:lineRule="exact" w:before="7"/>
              <w:ind w:left="21" w:right="19"/>
              <w:jc w:val="center"/>
              <w:rPr>
                <w:sz w:val="20"/>
              </w:rPr>
            </w:pPr>
            <w:r>
              <w:rPr>
                <w:spacing w:val="-5"/>
                <w:sz w:val="20"/>
              </w:rPr>
              <w:t>32</w:t>
            </w:r>
          </w:p>
        </w:tc>
        <w:tc>
          <w:tcPr>
            <w:tcW w:w="731" w:type="dxa"/>
          </w:tcPr>
          <w:p>
            <w:pPr>
              <w:pStyle w:val="TableParagraph"/>
              <w:spacing w:line="213" w:lineRule="exact" w:before="7"/>
              <w:ind w:left="71" w:right="2"/>
              <w:jc w:val="center"/>
              <w:rPr>
                <w:sz w:val="20"/>
              </w:rPr>
            </w:pPr>
            <w:r>
              <w:rPr>
                <w:spacing w:val="-4"/>
                <w:sz w:val="20"/>
              </w:rPr>
              <w:t>15.8</w:t>
            </w:r>
          </w:p>
        </w:tc>
        <w:tc>
          <w:tcPr>
            <w:tcW w:w="733" w:type="dxa"/>
          </w:tcPr>
          <w:p>
            <w:pPr>
              <w:pStyle w:val="TableParagraph"/>
              <w:spacing w:line="213" w:lineRule="exact" w:before="7"/>
              <w:ind w:right="179"/>
              <w:jc w:val="right"/>
              <w:rPr>
                <w:sz w:val="20"/>
              </w:rPr>
            </w:pPr>
            <w:r>
              <w:rPr>
                <w:spacing w:val="-5"/>
                <w:sz w:val="20"/>
              </w:rPr>
              <w:t>203</w:t>
            </w:r>
          </w:p>
        </w:tc>
        <w:tc>
          <w:tcPr>
            <w:tcW w:w="739" w:type="dxa"/>
            <w:tcBorders>
              <w:right w:val="single" w:sz="4" w:space="0" w:color="000000"/>
            </w:tcBorders>
          </w:tcPr>
          <w:p>
            <w:pPr>
              <w:pStyle w:val="TableParagraph"/>
              <w:spacing w:line="213" w:lineRule="exact" w:before="7"/>
              <w:ind w:left="36" w:right="18"/>
              <w:jc w:val="center"/>
              <w:rPr>
                <w:sz w:val="20"/>
              </w:rPr>
            </w:pPr>
            <w:r>
              <w:rPr>
                <w:spacing w:val="-4"/>
                <w:sz w:val="20"/>
              </w:rPr>
              <w:t>43.8</w:t>
            </w:r>
          </w:p>
        </w:tc>
      </w:tr>
      <w:tr>
        <w:trPr>
          <w:trHeight w:val="230" w:hRule="atLeast"/>
        </w:trPr>
        <w:tc>
          <w:tcPr>
            <w:tcW w:w="4147" w:type="dxa"/>
            <w:tcBorders>
              <w:left w:val="single" w:sz="4" w:space="0" w:color="000000"/>
            </w:tcBorders>
          </w:tcPr>
          <w:p>
            <w:pPr>
              <w:pStyle w:val="TableParagraph"/>
              <w:rPr>
                <w:rFonts w:ascii="Times New Roman"/>
                <w:sz w:val="16"/>
              </w:rPr>
            </w:pPr>
          </w:p>
        </w:tc>
        <w:tc>
          <w:tcPr>
            <w:tcW w:w="1977" w:type="dxa"/>
          </w:tcPr>
          <w:p>
            <w:pPr>
              <w:pStyle w:val="TableParagraph"/>
              <w:spacing w:line="210" w:lineRule="exact"/>
              <w:ind w:left="110"/>
              <w:rPr>
                <w:sz w:val="20"/>
              </w:rPr>
            </w:pPr>
            <w:r>
              <w:rPr>
                <w:sz w:val="20"/>
              </w:rPr>
              <w:t>Top</w:t>
            </w:r>
            <w:r>
              <w:rPr>
                <w:spacing w:val="-1"/>
                <w:sz w:val="20"/>
              </w:rPr>
              <w:t> </w:t>
            </w:r>
            <w:r>
              <w:rPr>
                <w:spacing w:val="-2"/>
                <w:sz w:val="20"/>
              </w:rPr>
              <w:t>Management</w:t>
            </w:r>
          </w:p>
        </w:tc>
        <w:tc>
          <w:tcPr>
            <w:tcW w:w="541" w:type="dxa"/>
          </w:tcPr>
          <w:p>
            <w:pPr>
              <w:pStyle w:val="TableParagraph"/>
              <w:spacing w:line="210" w:lineRule="exact"/>
              <w:ind w:left="5" w:right="1"/>
              <w:jc w:val="center"/>
              <w:rPr>
                <w:sz w:val="20"/>
              </w:rPr>
            </w:pPr>
            <w:r>
              <w:rPr>
                <w:spacing w:val="-10"/>
                <w:sz w:val="20"/>
              </w:rPr>
              <w:t>3</w:t>
            </w:r>
          </w:p>
        </w:tc>
        <w:tc>
          <w:tcPr>
            <w:tcW w:w="732" w:type="dxa"/>
          </w:tcPr>
          <w:p>
            <w:pPr>
              <w:pStyle w:val="TableParagraph"/>
              <w:spacing w:line="210" w:lineRule="exact"/>
              <w:ind w:left="58" w:right="58"/>
              <w:jc w:val="center"/>
              <w:rPr>
                <w:sz w:val="20"/>
              </w:rPr>
            </w:pPr>
            <w:r>
              <w:rPr>
                <w:spacing w:val="-4"/>
                <w:sz w:val="20"/>
              </w:rPr>
              <w:t>13.0</w:t>
            </w:r>
          </w:p>
        </w:tc>
        <w:tc>
          <w:tcPr>
            <w:tcW w:w="691" w:type="dxa"/>
          </w:tcPr>
          <w:p>
            <w:pPr>
              <w:pStyle w:val="TableParagraph"/>
              <w:spacing w:line="210" w:lineRule="exact"/>
              <w:ind w:left="22" w:right="11"/>
              <w:jc w:val="center"/>
              <w:rPr>
                <w:sz w:val="20"/>
              </w:rPr>
            </w:pPr>
            <w:r>
              <w:rPr>
                <w:spacing w:val="-5"/>
                <w:sz w:val="20"/>
              </w:rPr>
              <w:t>14</w:t>
            </w:r>
          </w:p>
        </w:tc>
        <w:tc>
          <w:tcPr>
            <w:tcW w:w="708" w:type="dxa"/>
          </w:tcPr>
          <w:p>
            <w:pPr>
              <w:pStyle w:val="TableParagraph"/>
              <w:spacing w:line="210" w:lineRule="exact"/>
              <w:ind w:left="59" w:right="2"/>
              <w:jc w:val="center"/>
              <w:rPr>
                <w:sz w:val="20"/>
              </w:rPr>
            </w:pPr>
            <w:r>
              <w:rPr>
                <w:spacing w:val="-4"/>
                <w:sz w:val="20"/>
              </w:rPr>
              <w:t>60.9</w:t>
            </w:r>
          </w:p>
        </w:tc>
        <w:tc>
          <w:tcPr>
            <w:tcW w:w="756" w:type="dxa"/>
          </w:tcPr>
          <w:p>
            <w:pPr>
              <w:pStyle w:val="TableParagraph"/>
              <w:spacing w:line="210" w:lineRule="exact"/>
              <w:ind w:right="303"/>
              <w:jc w:val="right"/>
              <w:rPr>
                <w:sz w:val="20"/>
              </w:rPr>
            </w:pPr>
            <w:r>
              <w:rPr>
                <w:spacing w:val="-10"/>
                <w:sz w:val="20"/>
              </w:rPr>
              <w:t>3</w:t>
            </w:r>
          </w:p>
        </w:tc>
        <w:tc>
          <w:tcPr>
            <w:tcW w:w="874" w:type="dxa"/>
          </w:tcPr>
          <w:p>
            <w:pPr>
              <w:pStyle w:val="TableParagraph"/>
              <w:spacing w:line="210" w:lineRule="exact"/>
              <w:ind w:left="44"/>
              <w:jc w:val="center"/>
              <w:rPr>
                <w:sz w:val="20"/>
              </w:rPr>
            </w:pPr>
            <w:r>
              <w:rPr>
                <w:spacing w:val="-4"/>
                <w:sz w:val="20"/>
              </w:rPr>
              <w:t>13.0</w:t>
            </w:r>
          </w:p>
        </w:tc>
        <w:tc>
          <w:tcPr>
            <w:tcW w:w="740" w:type="dxa"/>
          </w:tcPr>
          <w:p>
            <w:pPr>
              <w:pStyle w:val="TableParagraph"/>
              <w:spacing w:line="210" w:lineRule="exact"/>
              <w:ind w:left="64" w:right="2"/>
              <w:jc w:val="center"/>
              <w:rPr>
                <w:sz w:val="20"/>
              </w:rPr>
            </w:pPr>
            <w:r>
              <w:rPr>
                <w:spacing w:val="-10"/>
                <w:sz w:val="20"/>
              </w:rPr>
              <w:t>2</w:t>
            </w:r>
          </w:p>
        </w:tc>
        <w:tc>
          <w:tcPr>
            <w:tcW w:w="774" w:type="dxa"/>
          </w:tcPr>
          <w:p>
            <w:pPr>
              <w:pStyle w:val="TableParagraph"/>
              <w:spacing w:line="210" w:lineRule="exact"/>
              <w:ind w:left="1" w:right="15"/>
              <w:jc w:val="center"/>
              <w:rPr>
                <w:sz w:val="20"/>
              </w:rPr>
            </w:pPr>
            <w:r>
              <w:rPr>
                <w:spacing w:val="-5"/>
                <w:sz w:val="20"/>
              </w:rPr>
              <w:t>8.7</w:t>
            </w:r>
          </w:p>
        </w:tc>
        <w:tc>
          <w:tcPr>
            <w:tcW w:w="628" w:type="dxa"/>
          </w:tcPr>
          <w:p>
            <w:pPr>
              <w:pStyle w:val="TableParagraph"/>
              <w:spacing w:line="210" w:lineRule="exact"/>
              <w:ind w:left="26" w:right="19"/>
              <w:jc w:val="center"/>
              <w:rPr>
                <w:sz w:val="20"/>
              </w:rPr>
            </w:pPr>
            <w:r>
              <w:rPr>
                <w:spacing w:val="-10"/>
                <w:sz w:val="20"/>
              </w:rPr>
              <w:t>1</w:t>
            </w:r>
          </w:p>
        </w:tc>
        <w:tc>
          <w:tcPr>
            <w:tcW w:w="731" w:type="dxa"/>
          </w:tcPr>
          <w:p>
            <w:pPr>
              <w:pStyle w:val="TableParagraph"/>
              <w:spacing w:line="210" w:lineRule="exact"/>
              <w:ind w:left="69" w:right="5"/>
              <w:jc w:val="center"/>
              <w:rPr>
                <w:sz w:val="20"/>
              </w:rPr>
            </w:pPr>
            <w:r>
              <w:rPr>
                <w:spacing w:val="-5"/>
                <w:sz w:val="20"/>
              </w:rPr>
              <w:t>4.3</w:t>
            </w:r>
          </w:p>
        </w:tc>
        <w:tc>
          <w:tcPr>
            <w:tcW w:w="733" w:type="dxa"/>
          </w:tcPr>
          <w:p>
            <w:pPr>
              <w:pStyle w:val="TableParagraph"/>
              <w:spacing w:line="210" w:lineRule="exact"/>
              <w:ind w:right="232"/>
              <w:jc w:val="right"/>
              <w:rPr>
                <w:sz w:val="20"/>
              </w:rPr>
            </w:pPr>
            <w:r>
              <w:rPr>
                <w:spacing w:val="-5"/>
                <w:sz w:val="20"/>
              </w:rPr>
              <w:t>23</w:t>
            </w:r>
          </w:p>
        </w:tc>
        <w:tc>
          <w:tcPr>
            <w:tcW w:w="739" w:type="dxa"/>
            <w:tcBorders>
              <w:right w:val="single" w:sz="4" w:space="0" w:color="000000"/>
            </w:tcBorders>
          </w:tcPr>
          <w:p>
            <w:pPr>
              <w:pStyle w:val="TableParagraph"/>
              <w:spacing w:line="210" w:lineRule="exact"/>
              <w:ind w:left="36" w:right="23"/>
              <w:jc w:val="center"/>
              <w:rPr>
                <w:sz w:val="20"/>
              </w:rPr>
            </w:pPr>
            <w:r>
              <w:rPr>
                <w:spacing w:val="-5"/>
                <w:sz w:val="20"/>
              </w:rPr>
              <w:t>5.0</w:t>
            </w:r>
          </w:p>
        </w:tc>
      </w:tr>
      <w:tr>
        <w:trPr>
          <w:trHeight w:val="230" w:hRule="atLeast"/>
        </w:trPr>
        <w:tc>
          <w:tcPr>
            <w:tcW w:w="4147" w:type="dxa"/>
            <w:tcBorders>
              <w:left w:val="single" w:sz="4" w:space="0" w:color="000000"/>
            </w:tcBorders>
          </w:tcPr>
          <w:p>
            <w:pPr>
              <w:pStyle w:val="TableParagraph"/>
              <w:tabs>
                <w:tab w:pos="609" w:val="left" w:leader="none"/>
              </w:tabs>
              <w:spacing w:line="210" w:lineRule="exact"/>
              <w:ind w:right="103"/>
              <w:jc w:val="right"/>
              <w:rPr>
                <w:sz w:val="20"/>
              </w:rPr>
            </w:pPr>
            <w:r>
              <w:rPr>
                <w:spacing w:val="-5"/>
                <w:sz w:val="20"/>
              </w:rPr>
              <w:t>58.</w:t>
            </w:r>
            <w:r>
              <w:rPr>
                <w:sz w:val="20"/>
              </w:rPr>
              <w:tab/>
              <w:t>Some</w:t>
            </w:r>
            <w:r>
              <w:rPr>
                <w:spacing w:val="34"/>
                <w:sz w:val="20"/>
              </w:rPr>
              <w:t> </w:t>
            </w:r>
            <w:r>
              <w:rPr>
                <w:sz w:val="20"/>
              </w:rPr>
              <w:t>Universities</w:t>
            </w:r>
            <w:r>
              <w:rPr>
                <w:spacing w:val="31"/>
                <w:sz w:val="20"/>
              </w:rPr>
              <w:t> </w:t>
            </w:r>
            <w:r>
              <w:rPr>
                <w:sz w:val="20"/>
              </w:rPr>
              <w:t>have</w:t>
            </w:r>
            <w:r>
              <w:rPr>
                <w:spacing w:val="35"/>
                <w:sz w:val="20"/>
              </w:rPr>
              <w:t> </w:t>
            </w:r>
            <w:r>
              <w:rPr>
                <w:spacing w:val="-2"/>
                <w:sz w:val="20"/>
              </w:rPr>
              <w:t>dedicated,</w:t>
            </w:r>
          </w:p>
        </w:tc>
        <w:tc>
          <w:tcPr>
            <w:tcW w:w="1977" w:type="dxa"/>
          </w:tcPr>
          <w:p>
            <w:pPr>
              <w:pStyle w:val="TableParagraph"/>
              <w:spacing w:line="210" w:lineRule="exact"/>
              <w:ind w:left="110"/>
              <w:rPr>
                <w:sz w:val="20"/>
              </w:rPr>
            </w:pPr>
            <w:r>
              <w:rPr>
                <w:sz w:val="20"/>
              </w:rPr>
              <w:t>No.</w:t>
            </w:r>
            <w:r>
              <w:rPr>
                <w:spacing w:val="-5"/>
                <w:sz w:val="20"/>
              </w:rPr>
              <w:t> </w:t>
            </w:r>
            <w:r>
              <w:rPr>
                <w:sz w:val="20"/>
              </w:rPr>
              <w:t>of</w:t>
            </w:r>
            <w:r>
              <w:rPr>
                <w:spacing w:val="-2"/>
                <w:sz w:val="20"/>
              </w:rPr>
              <w:t> missing</w:t>
            </w:r>
          </w:p>
        </w:tc>
        <w:tc>
          <w:tcPr>
            <w:tcW w:w="541" w:type="dxa"/>
          </w:tcPr>
          <w:p>
            <w:pPr>
              <w:pStyle w:val="TableParagraph"/>
              <w:rPr>
                <w:rFonts w:ascii="Times New Roman"/>
                <w:sz w:val="16"/>
              </w:rPr>
            </w:pPr>
          </w:p>
        </w:tc>
        <w:tc>
          <w:tcPr>
            <w:tcW w:w="732" w:type="dxa"/>
          </w:tcPr>
          <w:p>
            <w:pPr>
              <w:pStyle w:val="TableParagraph"/>
              <w:rPr>
                <w:rFonts w:ascii="Times New Roman"/>
                <w:sz w:val="16"/>
              </w:rPr>
            </w:pPr>
          </w:p>
        </w:tc>
        <w:tc>
          <w:tcPr>
            <w:tcW w:w="691" w:type="dxa"/>
          </w:tcPr>
          <w:p>
            <w:pPr>
              <w:pStyle w:val="TableParagraph"/>
              <w:rPr>
                <w:rFonts w:ascii="Times New Roman"/>
                <w:sz w:val="16"/>
              </w:rPr>
            </w:pPr>
          </w:p>
        </w:tc>
        <w:tc>
          <w:tcPr>
            <w:tcW w:w="708" w:type="dxa"/>
          </w:tcPr>
          <w:p>
            <w:pPr>
              <w:pStyle w:val="TableParagraph"/>
              <w:rPr>
                <w:rFonts w:ascii="Times New Roman"/>
                <w:sz w:val="16"/>
              </w:rPr>
            </w:pPr>
          </w:p>
        </w:tc>
        <w:tc>
          <w:tcPr>
            <w:tcW w:w="756" w:type="dxa"/>
          </w:tcPr>
          <w:p>
            <w:pPr>
              <w:pStyle w:val="TableParagraph"/>
              <w:rPr>
                <w:rFonts w:ascii="Times New Roman"/>
                <w:sz w:val="16"/>
              </w:rPr>
            </w:pPr>
          </w:p>
        </w:tc>
        <w:tc>
          <w:tcPr>
            <w:tcW w:w="874" w:type="dxa"/>
          </w:tcPr>
          <w:p>
            <w:pPr>
              <w:pStyle w:val="TableParagraph"/>
              <w:rPr>
                <w:rFonts w:ascii="Times New Roman"/>
                <w:sz w:val="16"/>
              </w:rPr>
            </w:pPr>
          </w:p>
        </w:tc>
        <w:tc>
          <w:tcPr>
            <w:tcW w:w="740" w:type="dxa"/>
          </w:tcPr>
          <w:p>
            <w:pPr>
              <w:pStyle w:val="TableParagraph"/>
              <w:rPr>
                <w:rFonts w:ascii="Times New Roman"/>
                <w:sz w:val="16"/>
              </w:rPr>
            </w:pPr>
          </w:p>
        </w:tc>
        <w:tc>
          <w:tcPr>
            <w:tcW w:w="774" w:type="dxa"/>
          </w:tcPr>
          <w:p>
            <w:pPr>
              <w:pStyle w:val="TableParagraph"/>
              <w:rPr>
                <w:rFonts w:ascii="Times New Roman"/>
                <w:sz w:val="16"/>
              </w:rPr>
            </w:pPr>
          </w:p>
        </w:tc>
        <w:tc>
          <w:tcPr>
            <w:tcW w:w="628" w:type="dxa"/>
          </w:tcPr>
          <w:p>
            <w:pPr>
              <w:pStyle w:val="TableParagraph"/>
              <w:rPr>
                <w:rFonts w:ascii="Times New Roman"/>
                <w:sz w:val="16"/>
              </w:rPr>
            </w:pPr>
          </w:p>
        </w:tc>
        <w:tc>
          <w:tcPr>
            <w:tcW w:w="731" w:type="dxa"/>
          </w:tcPr>
          <w:p>
            <w:pPr>
              <w:pStyle w:val="TableParagraph"/>
              <w:rPr>
                <w:rFonts w:ascii="Times New Roman"/>
                <w:sz w:val="16"/>
              </w:rPr>
            </w:pPr>
          </w:p>
        </w:tc>
        <w:tc>
          <w:tcPr>
            <w:tcW w:w="733"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30" w:hRule="atLeast"/>
        </w:trPr>
        <w:tc>
          <w:tcPr>
            <w:tcW w:w="4147" w:type="dxa"/>
            <w:tcBorders>
              <w:left w:val="single" w:sz="4" w:space="0" w:color="000000"/>
            </w:tcBorders>
          </w:tcPr>
          <w:p>
            <w:pPr>
              <w:pStyle w:val="TableParagraph"/>
              <w:tabs>
                <w:tab w:pos="638" w:val="left" w:leader="none"/>
                <w:tab w:pos="1968" w:val="left" w:leader="none"/>
                <w:tab w:pos="2592" w:val="left" w:leader="none"/>
              </w:tabs>
              <w:spacing w:line="210" w:lineRule="exact"/>
              <w:ind w:right="101"/>
              <w:jc w:val="right"/>
              <w:rPr>
                <w:sz w:val="20"/>
              </w:rPr>
            </w:pPr>
            <w:r>
              <w:rPr>
                <w:spacing w:val="-4"/>
                <w:sz w:val="20"/>
              </w:rPr>
              <w:t>well</w:t>
            </w:r>
            <w:r>
              <w:rPr>
                <w:sz w:val="20"/>
              </w:rPr>
              <w:tab/>
            </w:r>
            <w:r>
              <w:rPr>
                <w:spacing w:val="-2"/>
                <w:sz w:val="20"/>
              </w:rPr>
              <w:t>enlightened</w:t>
            </w:r>
            <w:r>
              <w:rPr>
                <w:sz w:val="20"/>
              </w:rPr>
              <w:tab/>
            </w:r>
            <w:r>
              <w:rPr>
                <w:spacing w:val="-5"/>
                <w:sz w:val="20"/>
              </w:rPr>
              <w:t>and</w:t>
            </w:r>
            <w:r>
              <w:rPr>
                <w:sz w:val="20"/>
              </w:rPr>
              <w:tab/>
            </w:r>
            <w:r>
              <w:rPr>
                <w:spacing w:val="-2"/>
                <w:sz w:val="20"/>
              </w:rPr>
              <w:t>trained</w:t>
            </w:r>
          </w:p>
        </w:tc>
        <w:tc>
          <w:tcPr>
            <w:tcW w:w="1977" w:type="dxa"/>
          </w:tcPr>
          <w:p>
            <w:pPr>
              <w:pStyle w:val="TableParagraph"/>
              <w:spacing w:line="210" w:lineRule="exact"/>
              <w:ind w:left="110"/>
              <w:rPr>
                <w:sz w:val="20"/>
              </w:rPr>
            </w:pPr>
            <w:r>
              <w:rPr>
                <w:spacing w:val="-2"/>
                <w:sz w:val="20"/>
              </w:rPr>
              <w:t>observations</w:t>
            </w:r>
          </w:p>
        </w:tc>
        <w:tc>
          <w:tcPr>
            <w:tcW w:w="541" w:type="dxa"/>
          </w:tcPr>
          <w:p>
            <w:pPr>
              <w:pStyle w:val="TableParagraph"/>
              <w:spacing w:line="210" w:lineRule="exact"/>
              <w:ind w:left="5" w:right="1"/>
              <w:jc w:val="center"/>
              <w:rPr>
                <w:sz w:val="20"/>
              </w:rPr>
            </w:pPr>
            <w:r>
              <w:rPr>
                <w:spacing w:val="-10"/>
                <w:sz w:val="20"/>
              </w:rPr>
              <w:t>1</w:t>
            </w:r>
          </w:p>
        </w:tc>
        <w:tc>
          <w:tcPr>
            <w:tcW w:w="732" w:type="dxa"/>
          </w:tcPr>
          <w:p>
            <w:pPr>
              <w:pStyle w:val="TableParagraph"/>
              <w:spacing w:line="210" w:lineRule="exact"/>
              <w:ind w:left="58" w:right="58"/>
              <w:jc w:val="center"/>
              <w:rPr>
                <w:sz w:val="20"/>
              </w:rPr>
            </w:pPr>
            <w:r>
              <w:rPr>
                <w:spacing w:val="-4"/>
                <w:sz w:val="20"/>
              </w:rPr>
              <w:t>50.0</w:t>
            </w:r>
          </w:p>
        </w:tc>
        <w:tc>
          <w:tcPr>
            <w:tcW w:w="691" w:type="dxa"/>
          </w:tcPr>
          <w:p>
            <w:pPr>
              <w:pStyle w:val="TableParagraph"/>
              <w:spacing w:line="210" w:lineRule="exact"/>
              <w:ind w:left="22" w:right="13"/>
              <w:jc w:val="center"/>
              <w:rPr>
                <w:sz w:val="20"/>
              </w:rPr>
            </w:pPr>
            <w:r>
              <w:rPr>
                <w:spacing w:val="-10"/>
                <w:sz w:val="20"/>
              </w:rPr>
              <w:t>-</w:t>
            </w:r>
          </w:p>
        </w:tc>
        <w:tc>
          <w:tcPr>
            <w:tcW w:w="708" w:type="dxa"/>
          </w:tcPr>
          <w:p>
            <w:pPr>
              <w:pStyle w:val="TableParagraph"/>
              <w:spacing w:line="210" w:lineRule="exact"/>
              <w:ind w:left="59" w:right="9"/>
              <w:jc w:val="center"/>
              <w:rPr>
                <w:sz w:val="20"/>
              </w:rPr>
            </w:pPr>
            <w:r>
              <w:rPr>
                <w:spacing w:val="-10"/>
                <w:sz w:val="20"/>
              </w:rPr>
              <w:t>-</w:t>
            </w:r>
          </w:p>
        </w:tc>
        <w:tc>
          <w:tcPr>
            <w:tcW w:w="756" w:type="dxa"/>
          </w:tcPr>
          <w:p>
            <w:pPr>
              <w:pStyle w:val="TableParagraph"/>
              <w:spacing w:line="210" w:lineRule="exact"/>
              <w:ind w:right="329"/>
              <w:jc w:val="right"/>
              <w:rPr>
                <w:sz w:val="20"/>
              </w:rPr>
            </w:pPr>
            <w:r>
              <w:rPr>
                <w:spacing w:val="-10"/>
                <w:sz w:val="20"/>
              </w:rPr>
              <w:t>-</w:t>
            </w:r>
          </w:p>
        </w:tc>
        <w:tc>
          <w:tcPr>
            <w:tcW w:w="874" w:type="dxa"/>
          </w:tcPr>
          <w:p>
            <w:pPr>
              <w:pStyle w:val="TableParagraph"/>
              <w:spacing w:line="210" w:lineRule="exact"/>
              <w:ind w:left="44" w:right="6"/>
              <w:jc w:val="center"/>
              <w:rPr>
                <w:sz w:val="20"/>
              </w:rPr>
            </w:pPr>
            <w:r>
              <w:rPr>
                <w:spacing w:val="-10"/>
                <w:sz w:val="20"/>
              </w:rPr>
              <w:t>-</w:t>
            </w:r>
          </w:p>
        </w:tc>
        <w:tc>
          <w:tcPr>
            <w:tcW w:w="740" w:type="dxa"/>
          </w:tcPr>
          <w:p>
            <w:pPr>
              <w:pStyle w:val="TableParagraph"/>
              <w:spacing w:line="210" w:lineRule="exact"/>
              <w:ind w:left="64" w:right="2"/>
              <w:jc w:val="center"/>
              <w:rPr>
                <w:sz w:val="20"/>
              </w:rPr>
            </w:pPr>
            <w:r>
              <w:rPr>
                <w:spacing w:val="-10"/>
                <w:sz w:val="20"/>
              </w:rPr>
              <w:t>1</w:t>
            </w:r>
          </w:p>
        </w:tc>
        <w:tc>
          <w:tcPr>
            <w:tcW w:w="774" w:type="dxa"/>
          </w:tcPr>
          <w:p>
            <w:pPr>
              <w:pStyle w:val="TableParagraph"/>
              <w:spacing w:line="210" w:lineRule="exact"/>
              <w:ind w:left="6" w:right="15"/>
              <w:jc w:val="center"/>
              <w:rPr>
                <w:sz w:val="20"/>
              </w:rPr>
            </w:pPr>
            <w:r>
              <w:rPr>
                <w:spacing w:val="-4"/>
                <w:sz w:val="20"/>
              </w:rPr>
              <w:t>50.0</w:t>
            </w:r>
          </w:p>
        </w:tc>
        <w:tc>
          <w:tcPr>
            <w:tcW w:w="628" w:type="dxa"/>
          </w:tcPr>
          <w:p>
            <w:pPr>
              <w:pStyle w:val="TableParagraph"/>
              <w:spacing w:line="210" w:lineRule="exact"/>
              <w:ind w:left="19" w:right="19"/>
              <w:jc w:val="center"/>
              <w:rPr>
                <w:sz w:val="20"/>
              </w:rPr>
            </w:pPr>
            <w:r>
              <w:rPr>
                <w:spacing w:val="-10"/>
                <w:sz w:val="20"/>
              </w:rPr>
              <w:t>-</w:t>
            </w:r>
          </w:p>
        </w:tc>
        <w:tc>
          <w:tcPr>
            <w:tcW w:w="731" w:type="dxa"/>
          </w:tcPr>
          <w:p>
            <w:pPr>
              <w:pStyle w:val="TableParagraph"/>
              <w:spacing w:line="210" w:lineRule="exact"/>
              <w:ind w:left="69" w:right="7"/>
              <w:jc w:val="center"/>
              <w:rPr>
                <w:sz w:val="20"/>
              </w:rPr>
            </w:pPr>
            <w:r>
              <w:rPr>
                <w:spacing w:val="-10"/>
                <w:sz w:val="20"/>
              </w:rPr>
              <w:t>-</w:t>
            </w:r>
          </w:p>
        </w:tc>
        <w:tc>
          <w:tcPr>
            <w:tcW w:w="733" w:type="dxa"/>
          </w:tcPr>
          <w:p>
            <w:pPr>
              <w:pStyle w:val="TableParagraph"/>
              <w:spacing w:line="210" w:lineRule="exact"/>
              <w:ind w:left="59" w:right="14"/>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23"/>
              <w:jc w:val="center"/>
              <w:rPr>
                <w:sz w:val="20"/>
              </w:rPr>
            </w:pPr>
            <w:r>
              <w:rPr>
                <w:spacing w:val="-5"/>
                <w:sz w:val="20"/>
              </w:rPr>
              <w:t>0.4</w:t>
            </w:r>
          </w:p>
        </w:tc>
      </w:tr>
      <w:tr>
        <w:trPr>
          <w:trHeight w:val="227" w:hRule="atLeast"/>
        </w:trPr>
        <w:tc>
          <w:tcPr>
            <w:tcW w:w="4147" w:type="dxa"/>
            <w:tcBorders>
              <w:left w:val="single" w:sz="4" w:space="0" w:color="000000"/>
            </w:tcBorders>
          </w:tcPr>
          <w:p>
            <w:pPr>
              <w:pStyle w:val="TableParagraph"/>
              <w:tabs>
                <w:tab w:pos="926" w:val="left" w:leader="none"/>
                <w:tab w:pos="1795" w:val="left" w:leader="none"/>
                <w:tab w:pos="2381" w:val="left" w:leader="none"/>
              </w:tabs>
              <w:spacing w:line="208" w:lineRule="exact"/>
              <w:ind w:right="100"/>
              <w:jc w:val="right"/>
              <w:rPr>
                <w:sz w:val="20"/>
              </w:rPr>
            </w:pPr>
            <w:r>
              <w:rPr>
                <w:spacing w:val="-2"/>
                <w:sz w:val="20"/>
              </w:rPr>
              <w:t>security</w:t>
            </w:r>
            <w:r>
              <w:rPr>
                <w:sz w:val="20"/>
              </w:rPr>
              <w:tab/>
            </w:r>
            <w:r>
              <w:rPr>
                <w:spacing w:val="-2"/>
                <w:sz w:val="20"/>
              </w:rPr>
              <w:t>system</w:t>
            </w:r>
            <w:r>
              <w:rPr>
                <w:sz w:val="20"/>
              </w:rPr>
              <w:tab/>
            </w:r>
            <w:r>
              <w:rPr>
                <w:spacing w:val="-4"/>
                <w:sz w:val="20"/>
              </w:rPr>
              <w:t>with</w:t>
            </w:r>
            <w:r>
              <w:rPr>
                <w:sz w:val="20"/>
              </w:rPr>
              <w:tab/>
            </w:r>
            <w:r>
              <w:rPr>
                <w:spacing w:val="-2"/>
                <w:sz w:val="20"/>
              </w:rPr>
              <w:t>improved</w:t>
            </w:r>
          </w:p>
        </w:tc>
        <w:tc>
          <w:tcPr>
            <w:tcW w:w="1977" w:type="dxa"/>
          </w:tcPr>
          <w:p>
            <w:pPr>
              <w:pStyle w:val="TableParagraph"/>
              <w:spacing w:line="208" w:lineRule="exact"/>
              <w:ind w:left="110"/>
              <w:rPr>
                <w:sz w:val="20"/>
              </w:rPr>
            </w:pPr>
            <w:r>
              <w:rPr>
                <w:spacing w:val="-2"/>
                <w:sz w:val="20"/>
              </w:rPr>
              <w:t>Students</w:t>
            </w:r>
          </w:p>
        </w:tc>
        <w:tc>
          <w:tcPr>
            <w:tcW w:w="541" w:type="dxa"/>
          </w:tcPr>
          <w:p>
            <w:pPr>
              <w:pStyle w:val="TableParagraph"/>
              <w:spacing w:line="208" w:lineRule="exact"/>
              <w:ind w:left="4" w:right="4"/>
              <w:jc w:val="center"/>
              <w:rPr>
                <w:sz w:val="20"/>
              </w:rPr>
            </w:pPr>
            <w:r>
              <w:rPr>
                <w:spacing w:val="-5"/>
                <w:sz w:val="20"/>
              </w:rPr>
              <w:t>38</w:t>
            </w:r>
          </w:p>
        </w:tc>
        <w:tc>
          <w:tcPr>
            <w:tcW w:w="732" w:type="dxa"/>
          </w:tcPr>
          <w:p>
            <w:pPr>
              <w:pStyle w:val="TableParagraph"/>
              <w:spacing w:line="208" w:lineRule="exact"/>
              <w:ind w:left="58" w:right="58"/>
              <w:jc w:val="center"/>
              <w:rPr>
                <w:sz w:val="20"/>
              </w:rPr>
            </w:pPr>
            <w:r>
              <w:rPr>
                <w:spacing w:val="-4"/>
                <w:sz w:val="20"/>
              </w:rPr>
              <w:t>16.2</w:t>
            </w:r>
          </w:p>
        </w:tc>
        <w:tc>
          <w:tcPr>
            <w:tcW w:w="691" w:type="dxa"/>
          </w:tcPr>
          <w:p>
            <w:pPr>
              <w:pStyle w:val="TableParagraph"/>
              <w:spacing w:line="208" w:lineRule="exact"/>
              <w:ind w:left="22" w:right="11"/>
              <w:jc w:val="center"/>
              <w:rPr>
                <w:sz w:val="20"/>
              </w:rPr>
            </w:pPr>
            <w:r>
              <w:rPr>
                <w:spacing w:val="-5"/>
                <w:sz w:val="20"/>
              </w:rPr>
              <w:t>78</w:t>
            </w:r>
          </w:p>
        </w:tc>
        <w:tc>
          <w:tcPr>
            <w:tcW w:w="708" w:type="dxa"/>
          </w:tcPr>
          <w:p>
            <w:pPr>
              <w:pStyle w:val="TableParagraph"/>
              <w:spacing w:line="208" w:lineRule="exact"/>
              <w:ind w:left="59" w:right="2"/>
              <w:jc w:val="center"/>
              <w:rPr>
                <w:sz w:val="20"/>
              </w:rPr>
            </w:pPr>
            <w:r>
              <w:rPr>
                <w:spacing w:val="-4"/>
                <w:sz w:val="20"/>
              </w:rPr>
              <w:t>33.2</w:t>
            </w:r>
          </w:p>
        </w:tc>
        <w:tc>
          <w:tcPr>
            <w:tcW w:w="756" w:type="dxa"/>
          </w:tcPr>
          <w:p>
            <w:pPr>
              <w:pStyle w:val="TableParagraph"/>
              <w:spacing w:line="208" w:lineRule="exact"/>
              <w:ind w:right="250"/>
              <w:jc w:val="right"/>
              <w:rPr>
                <w:sz w:val="20"/>
              </w:rPr>
            </w:pPr>
            <w:r>
              <w:rPr>
                <w:spacing w:val="-5"/>
                <w:sz w:val="20"/>
              </w:rPr>
              <w:t>76</w:t>
            </w:r>
          </w:p>
        </w:tc>
        <w:tc>
          <w:tcPr>
            <w:tcW w:w="874" w:type="dxa"/>
          </w:tcPr>
          <w:p>
            <w:pPr>
              <w:pStyle w:val="TableParagraph"/>
              <w:spacing w:line="208" w:lineRule="exact"/>
              <w:ind w:left="44"/>
              <w:jc w:val="center"/>
              <w:rPr>
                <w:sz w:val="20"/>
              </w:rPr>
            </w:pPr>
            <w:r>
              <w:rPr>
                <w:spacing w:val="-4"/>
                <w:sz w:val="20"/>
              </w:rPr>
              <w:t>32.3</w:t>
            </w:r>
          </w:p>
        </w:tc>
        <w:tc>
          <w:tcPr>
            <w:tcW w:w="740" w:type="dxa"/>
          </w:tcPr>
          <w:p>
            <w:pPr>
              <w:pStyle w:val="TableParagraph"/>
              <w:spacing w:line="208" w:lineRule="exact"/>
              <w:ind w:left="64" w:right="6"/>
              <w:jc w:val="center"/>
              <w:rPr>
                <w:sz w:val="20"/>
              </w:rPr>
            </w:pPr>
            <w:r>
              <w:rPr>
                <w:spacing w:val="-5"/>
                <w:sz w:val="20"/>
              </w:rPr>
              <w:t>29</w:t>
            </w:r>
          </w:p>
        </w:tc>
        <w:tc>
          <w:tcPr>
            <w:tcW w:w="774" w:type="dxa"/>
          </w:tcPr>
          <w:p>
            <w:pPr>
              <w:pStyle w:val="TableParagraph"/>
              <w:spacing w:line="208" w:lineRule="exact"/>
              <w:ind w:left="6" w:right="15"/>
              <w:jc w:val="center"/>
              <w:rPr>
                <w:sz w:val="20"/>
              </w:rPr>
            </w:pPr>
            <w:r>
              <w:rPr>
                <w:spacing w:val="-4"/>
                <w:sz w:val="20"/>
              </w:rPr>
              <w:t>12.3</w:t>
            </w:r>
          </w:p>
        </w:tc>
        <w:tc>
          <w:tcPr>
            <w:tcW w:w="628" w:type="dxa"/>
          </w:tcPr>
          <w:p>
            <w:pPr>
              <w:pStyle w:val="TableParagraph"/>
              <w:spacing w:line="208" w:lineRule="exact"/>
              <w:ind w:left="21" w:right="19"/>
              <w:jc w:val="center"/>
              <w:rPr>
                <w:sz w:val="20"/>
              </w:rPr>
            </w:pPr>
            <w:r>
              <w:rPr>
                <w:spacing w:val="-5"/>
                <w:sz w:val="20"/>
              </w:rPr>
              <w:t>14</w:t>
            </w:r>
          </w:p>
        </w:tc>
        <w:tc>
          <w:tcPr>
            <w:tcW w:w="731" w:type="dxa"/>
          </w:tcPr>
          <w:p>
            <w:pPr>
              <w:pStyle w:val="TableParagraph"/>
              <w:spacing w:line="208" w:lineRule="exact"/>
              <w:ind w:left="69" w:right="5"/>
              <w:jc w:val="center"/>
              <w:rPr>
                <w:sz w:val="20"/>
              </w:rPr>
            </w:pPr>
            <w:r>
              <w:rPr>
                <w:spacing w:val="-5"/>
                <w:sz w:val="20"/>
              </w:rPr>
              <w:t>6.0</w:t>
            </w:r>
          </w:p>
        </w:tc>
        <w:tc>
          <w:tcPr>
            <w:tcW w:w="733" w:type="dxa"/>
          </w:tcPr>
          <w:p>
            <w:pPr>
              <w:pStyle w:val="TableParagraph"/>
              <w:spacing w:line="208" w:lineRule="exact"/>
              <w:ind w:right="179"/>
              <w:jc w:val="right"/>
              <w:rPr>
                <w:sz w:val="20"/>
              </w:rPr>
            </w:pPr>
            <w:r>
              <w:rPr>
                <w:spacing w:val="-5"/>
                <w:sz w:val="20"/>
              </w:rPr>
              <w:t>235</w:t>
            </w:r>
          </w:p>
        </w:tc>
        <w:tc>
          <w:tcPr>
            <w:tcW w:w="739" w:type="dxa"/>
            <w:tcBorders>
              <w:right w:val="single" w:sz="4" w:space="0" w:color="000000"/>
            </w:tcBorders>
          </w:tcPr>
          <w:p>
            <w:pPr>
              <w:pStyle w:val="TableParagraph"/>
              <w:spacing w:line="208" w:lineRule="exact"/>
              <w:ind w:left="36" w:right="18"/>
              <w:jc w:val="center"/>
              <w:rPr>
                <w:sz w:val="20"/>
              </w:rPr>
            </w:pPr>
            <w:r>
              <w:rPr>
                <w:spacing w:val="-4"/>
                <w:sz w:val="20"/>
              </w:rPr>
              <w:t>50.8</w:t>
            </w:r>
          </w:p>
        </w:tc>
      </w:tr>
      <w:tr>
        <w:trPr>
          <w:trHeight w:val="228" w:hRule="atLeast"/>
        </w:trPr>
        <w:tc>
          <w:tcPr>
            <w:tcW w:w="4147" w:type="dxa"/>
            <w:tcBorders>
              <w:left w:val="single" w:sz="4" w:space="0" w:color="000000"/>
            </w:tcBorders>
          </w:tcPr>
          <w:p>
            <w:pPr>
              <w:pStyle w:val="TableParagraph"/>
              <w:spacing w:line="208" w:lineRule="exact"/>
              <w:ind w:left="830"/>
              <w:rPr>
                <w:sz w:val="20"/>
              </w:rPr>
            </w:pPr>
            <w:r>
              <w:rPr>
                <w:sz w:val="20"/>
              </w:rPr>
              <w:t>technological</w:t>
            </w:r>
            <w:r>
              <w:rPr>
                <w:spacing w:val="-9"/>
                <w:sz w:val="20"/>
              </w:rPr>
              <w:t> </w:t>
            </w:r>
            <w:r>
              <w:rPr>
                <w:spacing w:val="-2"/>
                <w:sz w:val="20"/>
              </w:rPr>
              <w:t>gadgets.</w:t>
            </w:r>
          </w:p>
        </w:tc>
        <w:tc>
          <w:tcPr>
            <w:tcW w:w="1977" w:type="dxa"/>
          </w:tcPr>
          <w:p>
            <w:pPr>
              <w:pStyle w:val="TableParagraph"/>
              <w:spacing w:line="208" w:lineRule="exact"/>
              <w:ind w:left="110"/>
              <w:rPr>
                <w:sz w:val="20"/>
              </w:rPr>
            </w:pPr>
            <w:r>
              <w:rPr>
                <w:sz w:val="20"/>
              </w:rPr>
              <w:t>Service</w:t>
            </w:r>
            <w:r>
              <w:rPr>
                <w:spacing w:val="-9"/>
                <w:sz w:val="20"/>
              </w:rPr>
              <w:t> </w:t>
            </w:r>
            <w:r>
              <w:rPr>
                <w:spacing w:val="-2"/>
                <w:sz w:val="20"/>
              </w:rPr>
              <w:t>Staff</w:t>
            </w:r>
          </w:p>
        </w:tc>
        <w:tc>
          <w:tcPr>
            <w:tcW w:w="541" w:type="dxa"/>
          </w:tcPr>
          <w:p>
            <w:pPr>
              <w:pStyle w:val="TableParagraph"/>
              <w:spacing w:line="208" w:lineRule="exact"/>
              <w:ind w:left="4" w:right="4"/>
              <w:jc w:val="center"/>
              <w:rPr>
                <w:sz w:val="20"/>
              </w:rPr>
            </w:pPr>
            <w:r>
              <w:rPr>
                <w:spacing w:val="-5"/>
                <w:sz w:val="20"/>
              </w:rPr>
              <w:t>26</w:t>
            </w:r>
          </w:p>
        </w:tc>
        <w:tc>
          <w:tcPr>
            <w:tcW w:w="732" w:type="dxa"/>
          </w:tcPr>
          <w:p>
            <w:pPr>
              <w:pStyle w:val="TableParagraph"/>
              <w:spacing w:line="208" w:lineRule="exact"/>
              <w:ind w:left="58" w:right="58"/>
              <w:jc w:val="center"/>
              <w:rPr>
                <w:sz w:val="20"/>
              </w:rPr>
            </w:pPr>
            <w:r>
              <w:rPr>
                <w:spacing w:val="-4"/>
                <w:sz w:val="20"/>
              </w:rPr>
              <w:t>12.8</w:t>
            </w:r>
          </w:p>
        </w:tc>
        <w:tc>
          <w:tcPr>
            <w:tcW w:w="691" w:type="dxa"/>
          </w:tcPr>
          <w:p>
            <w:pPr>
              <w:pStyle w:val="TableParagraph"/>
              <w:spacing w:line="208" w:lineRule="exact"/>
              <w:ind w:left="22" w:right="11"/>
              <w:jc w:val="center"/>
              <w:rPr>
                <w:sz w:val="20"/>
              </w:rPr>
            </w:pPr>
            <w:r>
              <w:rPr>
                <w:spacing w:val="-5"/>
                <w:sz w:val="20"/>
              </w:rPr>
              <w:t>85</w:t>
            </w:r>
          </w:p>
        </w:tc>
        <w:tc>
          <w:tcPr>
            <w:tcW w:w="708" w:type="dxa"/>
          </w:tcPr>
          <w:p>
            <w:pPr>
              <w:pStyle w:val="TableParagraph"/>
              <w:spacing w:line="208" w:lineRule="exact"/>
              <w:ind w:left="59" w:right="2"/>
              <w:jc w:val="center"/>
              <w:rPr>
                <w:sz w:val="20"/>
              </w:rPr>
            </w:pPr>
            <w:r>
              <w:rPr>
                <w:spacing w:val="-4"/>
                <w:sz w:val="20"/>
              </w:rPr>
              <w:t>41.9</w:t>
            </w:r>
          </w:p>
        </w:tc>
        <w:tc>
          <w:tcPr>
            <w:tcW w:w="756" w:type="dxa"/>
          </w:tcPr>
          <w:p>
            <w:pPr>
              <w:pStyle w:val="TableParagraph"/>
              <w:spacing w:line="208" w:lineRule="exact"/>
              <w:ind w:right="250"/>
              <w:jc w:val="right"/>
              <w:rPr>
                <w:sz w:val="20"/>
              </w:rPr>
            </w:pPr>
            <w:r>
              <w:rPr>
                <w:spacing w:val="-5"/>
                <w:sz w:val="20"/>
              </w:rPr>
              <w:t>48</w:t>
            </w:r>
          </w:p>
        </w:tc>
        <w:tc>
          <w:tcPr>
            <w:tcW w:w="874" w:type="dxa"/>
          </w:tcPr>
          <w:p>
            <w:pPr>
              <w:pStyle w:val="TableParagraph"/>
              <w:spacing w:line="208" w:lineRule="exact"/>
              <w:ind w:left="44"/>
              <w:jc w:val="center"/>
              <w:rPr>
                <w:sz w:val="20"/>
              </w:rPr>
            </w:pPr>
            <w:r>
              <w:rPr>
                <w:spacing w:val="-4"/>
                <w:sz w:val="20"/>
              </w:rPr>
              <w:t>23.6</w:t>
            </w:r>
          </w:p>
        </w:tc>
        <w:tc>
          <w:tcPr>
            <w:tcW w:w="740" w:type="dxa"/>
          </w:tcPr>
          <w:p>
            <w:pPr>
              <w:pStyle w:val="TableParagraph"/>
              <w:spacing w:line="208" w:lineRule="exact"/>
              <w:ind w:left="64" w:right="6"/>
              <w:jc w:val="center"/>
              <w:rPr>
                <w:sz w:val="20"/>
              </w:rPr>
            </w:pPr>
            <w:r>
              <w:rPr>
                <w:spacing w:val="-5"/>
                <w:sz w:val="20"/>
              </w:rPr>
              <w:t>32</w:t>
            </w:r>
          </w:p>
        </w:tc>
        <w:tc>
          <w:tcPr>
            <w:tcW w:w="774" w:type="dxa"/>
          </w:tcPr>
          <w:p>
            <w:pPr>
              <w:pStyle w:val="TableParagraph"/>
              <w:spacing w:line="208" w:lineRule="exact"/>
              <w:ind w:left="6" w:right="15"/>
              <w:jc w:val="center"/>
              <w:rPr>
                <w:sz w:val="20"/>
              </w:rPr>
            </w:pPr>
            <w:r>
              <w:rPr>
                <w:spacing w:val="-4"/>
                <w:sz w:val="20"/>
              </w:rPr>
              <w:t>15.8</w:t>
            </w:r>
          </w:p>
        </w:tc>
        <w:tc>
          <w:tcPr>
            <w:tcW w:w="628" w:type="dxa"/>
          </w:tcPr>
          <w:p>
            <w:pPr>
              <w:pStyle w:val="TableParagraph"/>
              <w:spacing w:line="208" w:lineRule="exact"/>
              <w:ind w:left="21" w:right="19"/>
              <w:jc w:val="center"/>
              <w:rPr>
                <w:sz w:val="20"/>
              </w:rPr>
            </w:pPr>
            <w:r>
              <w:rPr>
                <w:spacing w:val="-5"/>
                <w:sz w:val="20"/>
              </w:rPr>
              <w:t>12</w:t>
            </w:r>
          </w:p>
        </w:tc>
        <w:tc>
          <w:tcPr>
            <w:tcW w:w="731" w:type="dxa"/>
          </w:tcPr>
          <w:p>
            <w:pPr>
              <w:pStyle w:val="TableParagraph"/>
              <w:spacing w:line="208" w:lineRule="exact"/>
              <w:ind w:left="69" w:right="5"/>
              <w:jc w:val="center"/>
              <w:rPr>
                <w:sz w:val="20"/>
              </w:rPr>
            </w:pPr>
            <w:r>
              <w:rPr>
                <w:spacing w:val="-5"/>
                <w:sz w:val="20"/>
              </w:rPr>
              <w:t>5.9</w:t>
            </w:r>
          </w:p>
        </w:tc>
        <w:tc>
          <w:tcPr>
            <w:tcW w:w="733" w:type="dxa"/>
          </w:tcPr>
          <w:p>
            <w:pPr>
              <w:pStyle w:val="TableParagraph"/>
              <w:spacing w:line="208" w:lineRule="exact"/>
              <w:ind w:right="179"/>
              <w:jc w:val="right"/>
              <w:rPr>
                <w:sz w:val="20"/>
              </w:rPr>
            </w:pPr>
            <w:r>
              <w:rPr>
                <w:spacing w:val="-5"/>
                <w:sz w:val="20"/>
              </w:rPr>
              <w:t>203</w:t>
            </w:r>
          </w:p>
        </w:tc>
        <w:tc>
          <w:tcPr>
            <w:tcW w:w="739" w:type="dxa"/>
            <w:tcBorders>
              <w:right w:val="single" w:sz="4" w:space="0" w:color="000000"/>
            </w:tcBorders>
          </w:tcPr>
          <w:p>
            <w:pPr>
              <w:pStyle w:val="TableParagraph"/>
              <w:spacing w:line="208" w:lineRule="exact"/>
              <w:ind w:left="36" w:right="18"/>
              <w:jc w:val="center"/>
              <w:rPr>
                <w:sz w:val="20"/>
              </w:rPr>
            </w:pPr>
            <w:r>
              <w:rPr>
                <w:spacing w:val="-4"/>
                <w:sz w:val="20"/>
              </w:rPr>
              <w:t>43.8</w:t>
            </w:r>
          </w:p>
        </w:tc>
      </w:tr>
      <w:tr>
        <w:trPr>
          <w:trHeight w:val="324" w:hRule="atLeast"/>
        </w:trPr>
        <w:tc>
          <w:tcPr>
            <w:tcW w:w="4147" w:type="dxa"/>
            <w:tcBorders>
              <w:left w:val="single" w:sz="4" w:space="0" w:color="000000"/>
              <w:bottom w:val="single" w:sz="4" w:space="0" w:color="000000"/>
            </w:tcBorders>
          </w:tcPr>
          <w:p>
            <w:pPr>
              <w:pStyle w:val="TableParagraph"/>
              <w:rPr>
                <w:rFonts w:ascii="Times New Roman"/>
                <w:sz w:val="20"/>
              </w:rPr>
            </w:pPr>
          </w:p>
        </w:tc>
        <w:tc>
          <w:tcPr>
            <w:tcW w:w="1977" w:type="dxa"/>
            <w:tcBorders>
              <w:bottom w:val="single" w:sz="4" w:space="0" w:color="000000"/>
            </w:tcBorders>
          </w:tcPr>
          <w:p>
            <w:pPr>
              <w:pStyle w:val="TableParagraph"/>
              <w:spacing w:line="227" w:lineRule="exact"/>
              <w:ind w:left="110"/>
              <w:rPr>
                <w:sz w:val="20"/>
              </w:rPr>
            </w:pPr>
            <w:r>
              <w:rPr>
                <w:sz w:val="20"/>
              </w:rPr>
              <w:t>Top</w:t>
            </w:r>
            <w:r>
              <w:rPr>
                <w:spacing w:val="-1"/>
                <w:sz w:val="20"/>
              </w:rPr>
              <w:t> </w:t>
            </w:r>
            <w:r>
              <w:rPr>
                <w:spacing w:val="-2"/>
                <w:sz w:val="20"/>
              </w:rPr>
              <w:t>Management</w:t>
            </w:r>
          </w:p>
        </w:tc>
        <w:tc>
          <w:tcPr>
            <w:tcW w:w="541" w:type="dxa"/>
            <w:tcBorders>
              <w:bottom w:val="single" w:sz="4" w:space="0" w:color="000000"/>
            </w:tcBorders>
          </w:tcPr>
          <w:p>
            <w:pPr>
              <w:pStyle w:val="TableParagraph"/>
              <w:spacing w:line="227" w:lineRule="exact"/>
              <w:ind w:left="5" w:right="1"/>
              <w:jc w:val="center"/>
              <w:rPr>
                <w:sz w:val="20"/>
              </w:rPr>
            </w:pPr>
            <w:r>
              <w:rPr>
                <w:spacing w:val="-10"/>
                <w:sz w:val="20"/>
              </w:rPr>
              <w:t>4</w:t>
            </w:r>
          </w:p>
        </w:tc>
        <w:tc>
          <w:tcPr>
            <w:tcW w:w="732" w:type="dxa"/>
            <w:tcBorders>
              <w:bottom w:val="single" w:sz="4" w:space="0" w:color="000000"/>
            </w:tcBorders>
          </w:tcPr>
          <w:p>
            <w:pPr>
              <w:pStyle w:val="TableParagraph"/>
              <w:spacing w:line="227" w:lineRule="exact"/>
              <w:ind w:left="58" w:right="58"/>
              <w:jc w:val="center"/>
              <w:rPr>
                <w:sz w:val="20"/>
              </w:rPr>
            </w:pPr>
            <w:r>
              <w:rPr>
                <w:spacing w:val="-4"/>
                <w:sz w:val="20"/>
              </w:rPr>
              <w:t>17.4</w:t>
            </w:r>
          </w:p>
        </w:tc>
        <w:tc>
          <w:tcPr>
            <w:tcW w:w="691" w:type="dxa"/>
            <w:tcBorders>
              <w:bottom w:val="single" w:sz="4" w:space="0" w:color="000000"/>
            </w:tcBorders>
          </w:tcPr>
          <w:p>
            <w:pPr>
              <w:pStyle w:val="TableParagraph"/>
              <w:spacing w:line="227" w:lineRule="exact"/>
              <w:ind w:left="22" w:right="11"/>
              <w:jc w:val="center"/>
              <w:rPr>
                <w:sz w:val="20"/>
              </w:rPr>
            </w:pPr>
            <w:r>
              <w:rPr>
                <w:spacing w:val="-5"/>
                <w:sz w:val="20"/>
              </w:rPr>
              <w:t>12</w:t>
            </w:r>
          </w:p>
        </w:tc>
        <w:tc>
          <w:tcPr>
            <w:tcW w:w="708" w:type="dxa"/>
            <w:tcBorders>
              <w:bottom w:val="single" w:sz="4" w:space="0" w:color="000000"/>
            </w:tcBorders>
          </w:tcPr>
          <w:p>
            <w:pPr>
              <w:pStyle w:val="TableParagraph"/>
              <w:spacing w:line="227" w:lineRule="exact"/>
              <w:ind w:left="59" w:right="2"/>
              <w:jc w:val="center"/>
              <w:rPr>
                <w:sz w:val="20"/>
              </w:rPr>
            </w:pPr>
            <w:r>
              <w:rPr>
                <w:spacing w:val="-4"/>
                <w:sz w:val="20"/>
              </w:rPr>
              <w:t>52.2</w:t>
            </w:r>
          </w:p>
        </w:tc>
        <w:tc>
          <w:tcPr>
            <w:tcW w:w="756" w:type="dxa"/>
            <w:tcBorders>
              <w:bottom w:val="single" w:sz="4" w:space="0" w:color="000000"/>
            </w:tcBorders>
          </w:tcPr>
          <w:p>
            <w:pPr>
              <w:pStyle w:val="TableParagraph"/>
              <w:spacing w:line="227" w:lineRule="exact"/>
              <w:ind w:right="303"/>
              <w:jc w:val="right"/>
              <w:rPr>
                <w:sz w:val="20"/>
              </w:rPr>
            </w:pPr>
            <w:r>
              <w:rPr>
                <w:spacing w:val="-10"/>
                <w:sz w:val="20"/>
              </w:rPr>
              <w:t>6</w:t>
            </w:r>
          </w:p>
        </w:tc>
        <w:tc>
          <w:tcPr>
            <w:tcW w:w="874" w:type="dxa"/>
            <w:tcBorders>
              <w:bottom w:val="single" w:sz="4" w:space="0" w:color="000000"/>
            </w:tcBorders>
          </w:tcPr>
          <w:p>
            <w:pPr>
              <w:pStyle w:val="TableParagraph"/>
              <w:spacing w:line="227" w:lineRule="exact"/>
              <w:ind w:left="44"/>
              <w:jc w:val="center"/>
              <w:rPr>
                <w:sz w:val="20"/>
              </w:rPr>
            </w:pPr>
            <w:r>
              <w:rPr>
                <w:spacing w:val="-4"/>
                <w:sz w:val="20"/>
              </w:rPr>
              <w:t>26.1</w:t>
            </w:r>
          </w:p>
        </w:tc>
        <w:tc>
          <w:tcPr>
            <w:tcW w:w="740" w:type="dxa"/>
            <w:tcBorders>
              <w:bottom w:val="single" w:sz="4" w:space="0" w:color="000000"/>
            </w:tcBorders>
          </w:tcPr>
          <w:p>
            <w:pPr>
              <w:pStyle w:val="TableParagraph"/>
              <w:spacing w:line="227" w:lineRule="exact"/>
              <w:ind w:left="64" w:right="2"/>
              <w:jc w:val="center"/>
              <w:rPr>
                <w:sz w:val="20"/>
              </w:rPr>
            </w:pPr>
            <w:r>
              <w:rPr>
                <w:spacing w:val="-10"/>
                <w:sz w:val="20"/>
              </w:rPr>
              <w:t>1</w:t>
            </w:r>
          </w:p>
        </w:tc>
        <w:tc>
          <w:tcPr>
            <w:tcW w:w="774" w:type="dxa"/>
            <w:tcBorders>
              <w:bottom w:val="single" w:sz="4" w:space="0" w:color="000000"/>
            </w:tcBorders>
          </w:tcPr>
          <w:p>
            <w:pPr>
              <w:pStyle w:val="TableParagraph"/>
              <w:spacing w:line="227" w:lineRule="exact"/>
              <w:ind w:left="1" w:right="15"/>
              <w:jc w:val="center"/>
              <w:rPr>
                <w:sz w:val="20"/>
              </w:rPr>
            </w:pPr>
            <w:r>
              <w:rPr>
                <w:spacing w:val="-5"/>
                <w:sz w:val="20"/>
              </w:rPr>
              <w:t>4.3</w:t>
            </w:r>
          </w:p>
        </w:tc>
        <w:tc>
          <w:tcPr>
            <w:tcW w:w="628" w:type="dxa"/>
            <w:tcBorders>
              <w:bottom w:val="single" w:sz="4" w:space="0" w:color="000000"/>
            </w:tcBorders>
          </w:tcPr>
          <w:p>
            <w:pPr>
              <w:pStyle w:val="TableParagraph"/>
              <w:spacing w:line="227" w:lineRule="exact"/>
              <w:ind w:left="19" w:right="19"/>
              <w:jc w:val="center"/>
              <w:rPr>
                <w:sz w:val="20"/>
              </w:rPr>
            </w:pPr>
            <w:r>
              <w:rPr>
                <w:spacing w:val="-10"/>
                <w:sz w:val="20"/>
              </w:rPr>
              <w:t>-</w:t>
            </w:r>
          </w:p>
        </w:tc>
        <w:tc>
          <w:tcPr>
            <w:tcW w:w="731" w:type="dxa"/>
            <w:tcBorders>
              <w:bottom w:val="single" w:sz="4" w:space="0" w:color="000000"/>
            </w:tcBorders>
          </w:tcPr>
          <w:p>
            <w:pPr>
              <w:pStyle w:val="TableParagraph"/>
              <w:spacing w:line="227" w:lineRule="exact"/>
              <w:ind w:left="69" w:right="7"/>
              <w:jc w:val="center"/>
              <w:rPr>
                <w:sz w:val="20"/>
              </w:rPr>
            </w:pPr>
            <w:r>
              <w:rPr>
                <w:spacing w:val="-10"/>
                <w:sz w:val="20"/>
              </w:rPr>
              <w:t>-</w:t>
            </w:r>
          </w:p>
        </w:tc>
        <w:tc>
          <w:tcPr>
            <w:tcW w:w="733" w:type="dxa"/>
            <w:tcBorders>
              <w:bottom w:val="single" w:sz="4" w:space="0" w:color="000000"/>
            </w:tcBorders>
          </w:tcPr>
          <w:p>
            <w:pPr>
              <w:pStyle w:val="TableParagraph"/>
              <w:spacing w:line="227" w:lineRule="exact"/>
              <w:ind w:right="232"/>
              <w:jc w:val="right"/>
              <w:rPr>
                <w:sz w:val="20"/>
              </w:rPr>
            </w:pPr>
            <w:r>
              <w:rPr>
                <w:spacing w:val="-5"/>
                <w:sz w:val="20"/>
              </w:rPr>
              <w:t>23</w:t>
            </w:r>
          </w:p>
        </w:tc>
        <w:tc>
          <w:tcPr>
            <w:tcW w:w="739" w:type="dxa"/>
            <w:tcBorders>
              <w:bottom w:val="single" w:sz="4" w:space="0" w:color="000000"/>
              <w:right w:val="single" w:sz="4" w:space="0" w:color="000000"/>
            </w:tcBorders>
          </w:tcPr>
          <w:p>
            <w:pPr>
              <w:pStyle w:val="TableParagraph"/>
              <w:spacing w:line="227" w:lineRule="exact"/>
              <w:ind w:left="36" w:right="23"/>
              <w:jc w:val="center"/>
              <w:rPr>
                <w:sz w:val="20"/>
              </w:rPr>
            </w:pPr>
            <w:r>
              <w:rPr>
                <w:spacing w:val="-5"/>
                <w:sz w:val="20"/>
              </w:rPr>
              <w:t>5.0</w:t>
            </w:r>
          </w:p>
        </w:tc>
      </w:tr>
    </w:tbl>
    <w:p>
      <w:pPr>
        <w:pStyle w:val="BodyText"/>
        <w:rPr>
          <w:rFonts w:ascii="Arial"/>
          <w:b/>
          <w:sz w:val="28"/>
        </w:rPr>
      </w:pPr>
    </w:p>
    <w:p>
      <w:pPr>
        <w:pStyle w:val="BodyText"/>
        <w:rPr>
          <w:rFonts w:ascii="Arial"/>
          <w:b/>
          <w:sz w:val="28"/>
        </w:rPr>
      </w:pPr>
    </w:p>
    <w:p>
      <w:pPr>
        <w:pStyle w:val="BodyText"/>
        <w:rPr>
          <w:rFonts w:ascii="Arial"/>
          <w:b/>
          <w:sz w:val="28"/>
        </w:rPr>
      </w:pPr>
    </w:p>
    <w:p>
      <w:pPr>
        <w:pStyle w:val="BodyText"/>
        <w:spacing w:before="44"/>
        <w:rPr>
          <w:rFonts w:ascii="Arial"/>
          <w:b/>
          <w:sz w:val="28"/>
        </w:rPr>
      </w:pPr>
    </w:p>
    <w:p>
      <w:pPr>
        <w:pStyle w:val="BodyText"/>
        <w:spacing w:before="1"/>
        <w:ind w:left="3" w:right="433"/>
        <w:jc w:val="center"/>
        <w:rPr>
          <w:rFonts w:ascii="Times New Roman"/>
        </w:rPr>
      </w:pPr>
      <w:r>
        <w:rPr>
          <w:rFonts w:ascii="Times New Roman"/>
          <w:spacing w:val="-5"/>
        </w:rPr>
        <w:t>149</w:t>
      </w:r>
    </w:p>
    <w:p>
      <w:pPr>
        <w:spacing w:after="0"/>
        <w:jc w:val="center"/>
        <w:rPr>
          <w:rFonts w:ascii="Times New Roman"/>
        </w:rPr>
        <w:sectPr>
          <w:headerReference w:type="default" r:id="rId339"/>
          <w:footerReference w:type="default" r:id="rId340"/>
          <w:pgSz w:w="15840" w:h="12240" w:orient="landscape"/>
          <w:pgMar w:header="0" w:footer="0" w:top="640" w:bottom="280" w:left="500" w:right="360"/>
        </w:sectPr>
      </w:pPr>
    </w:p>
    <w:p>
      <w:pPr>
        <w:pStyle w:val="BodyText"/>
        <w:spacing w:line="480" w:lineRule="auto" w:before="82"/>
        <w:ind w:left="820" w:right="115" w:firstLine="720"/>
        <w:jc w:val="both"/>
      </w:pPr>
      <w:r>
        <w:rPr/>
        <w:t>The importance of security and communication services as supported by the positive consensus in the opinions of the respondents did not need over emphasis. 57 percent of students, 57.1 percent of service staff and 65.2 percent of</w:t>
      </w:r>
      <w:r>
        <w:rPr>
          <w:spacing w:val="22"/>
        </w:rPr>
        <w:t> </w:t>
      </w:r>
      <w:r>
        <w:rPr/>
        <w:t>top</w:t>
      </w:r>
      <w:r>
        <w:rPr>
          <w:spacing w:val="19"/>
        </w:rPr>
        <w:t> </w:t>
      </w:r>
      <w:r>
        <w:rPr/>
        <w:t>management</w:t>
      </w:r>
      <w:r>
        <w:rPr>
          <w:spacing w:val="23"/>
        </w:rPr>
        <w:t> </w:t>
      </w:r>
      <w:r>
        <w:rPr/>
        <w:t>were</w:t>
      </w:r>
      <w:r>
        <w:rPr>
          <w:spacing w:val="24"/>
        </w:rPr>
        <w:t> </w:t>
      </w:r>
      <w:r>
        <w:rPr/>
        <w:t>in</w:t>
      </w:r>
      <w:r>
        <w:rPr>
          <w:spacing w:val="19"/>
        </w:rPr>
        <w:t> </w:t>
      </w:r>
      <w:r>
        <w:rPr/>
        <w:t>total</w:t>
      </w:r>
      <w:r>
        <w:rPr>
          <w:spacing w:val="22"/>
        </w:rPr>
        <w:t> </w:t>
      </w:r>
      <w:r>
        <w:rPr/>
        <w:t>support</w:t>
      </w:r>
      <w:r>
        <w:rPr>
          <w:spacing w:val="18"/>
        </w:rPr>
        <w:t> </w:t>
      </w:r>
      <w:r>
        <w:rPr/>
        <w:t>of</w:t>
      </w:r>
      <w:r>
        <w:rPr>
          <w:spacing w:val="18"/>
        </w:rPr>
        <w:t> </w:t>
      </w:r>
      <w:r>
        <w:rPr/>
        <w:t>the</w:t>
      </w:r>
      <w:r>
        <w:rPr>
          <w:spacing w:val="23"/>
        </w:rPr>
        <w:t> </w:t>
      </w:r>
      <w:r>
        <w:rPr/>
        <w:t>statement</w:t>
      </w:r>
      <w:r>
        <w:rPr>
          <w:spacing w:val="23"/>
        </w:rPr>
        <w:t> </w:t>
      </w:r>
      <w:r>
        <w:rPr/>
        <w:t>as</w:t>
      </w:r>
      <w:r>
        <w:rPr>
          <w:spacing w:val="23"/>
        </w:rPr>
        <w:t> </w:t>
      </w:r>
      <w:r>
        <w:rPr/>
        <w:t>contained</w:t>
      </w:r>
      <w:r>
        <w:rPr>
          <w:spacing w:val="22"/>
        </w:rPr>
        <w:t> </w:t>
      </w:r>
      <w:r>
        <w:rPr/>
        <w:t>in</w:t>
      </w:r>
      <w:r>
        <w:rPr>
          <w:spacing w:val="19"/>
        </w:rPr>
        <w:t> </w:t>
      </w:r>
      <w:r>
        <w:rPr>
          <w:spacing w:val="-4"/>
        </w:rPr>
        <w:t>item</w:t>
      </w:r>
    </w:p>
    <w:p>
      <w:pPr>
        <w:pStyle w:val="BodyText"/>
        <w:spacing w:line="480" w:lineRule="auto"/>
        <w:ind w:left="820" w:right="112"/>
        <w:jc w:val="both"/>
      </w:pPr>
      <w:r>
        <w:rPr/>
        <w:t>54. The university should have effective security personnel to guide students’ movement on the campuses. Item 55 maintained that active patrolling, surveillance and maintenance of law and order, coordination of reports and vital information for peaceful coexistence on the campuses were major services offered by security personnel.</w:t>
      </w:r>
    </w:p>
    <w:p>
      <w:pPr>
        <w:pStyle w:val="BodyText"/>
        <w:spacing w:line="480" w:lineRule="auto"/>
        <w:ind w:left="820" w:right="115" w:firstLine="720"/>
        <w:jc w:val="both"/>
      </w:pPr>
      <w:r>
        <w:rPr/>
        <w:t>Item 56 which stated that the security personnel were well equipped to fight crimes such as cultism, robbery, etcetera, on the campuses was not accepted by the opinions of the majority of respondents. 122 representing 51.9 percent of the students and 136 representing 67 percent of service staff did not accept this view. 35.5 percent of students, 21.7 percent of service staff and 43.5 percent of top management agreed while only very few representing very low percent of the respondents in the three categories were undecided. This high consensus in opinion in disagreement of the view suggested that security staff were not equipped to rid the campuses of various crimes. The fact that they did not have</w:t>
      </w:r>
      <w:r>
        <w:rPr>
          <w:spacing w:val="-1"/>
        </w:rPr>
        <w:t> </w:t>
      </w:r>
      <w:r>
        <w:rPr/>
        <w:t>access to</w:t>
      </w:r>
      <w:r>
        <w:rPr>
          <w:spacing w:val="-1"/>
        </w:rPr>
        <w:t> </w:t>
      </w:r>
      <w:r>
        <w:rPr/>
        <w:t>guns to scare culprits</w:t>
      </w:r>
      <w:r>
        <w:rPr>
          <w:spacing w:val="-2"/>
        </w:rPr>
        <w:t> </w:t>
      </w:r>
      <w:r>
        <w:rPr/>
        <w:t>away from</w:t>
      </w:r>
      <w:r>
        <w:rPr>
          <w:spacing w:val="-5"/>
        </w:rPr>
        <w:t> </w:t>
      </w:r>
      <w:r>
        <w:rPr/>
        <w:t>crimes could not make them get rid of notorious and hardened student criminals.</w:t>
      </w:r>
    </w:p>
    <w:p>
      <w:pPr>
        <w:pStyle w:val="BodyText"/>
        <w:spacing w:line="480" w:lineRule="auto" w:before="1"/>
        <w:ind w:left="820" w:right="118" w:firstLine="720"/>
        <w:jc w:val="both"/>
      </w:pPr>
      <w:r>
        <w:rPr/>
        <w:t>The recruitment of hunters by some universities to augment the efforts of the security officers as raised in item 57 had very positive consensus in the opinions</w:t>
      </w:r>
      <w:r>
        <w:rPr>
          <w:spacing w:val="35"/>
        </w:rPr>
        <w:t> </w:t>
      </w:r>
      <w:r>
        <w:rPr/>
        <w:t>of</w:t>
      </w:r>
      <w:r>
        <w:rPr>
          <w:spacing w:val="31"/>
        </w:rPr>
        <w:t> </w:t>
      </w:r>
      <w:r>
        <w:rPr/>
        <w:t>the</w:t>
      </w:r>
      <w:r>
        <w:rPr>
          <w:spacing w:val="32"/>
        </w:rPr>
        <w:t> </w:t>
      </w:r>
      <w:r>
        <w:rPr/>
        <w:t>respondents.</w:t>
      </w:r>
      <w:r>
        <w:rPr>
          <w:spacing w:val="36"/>
        </w:rPr>
        <w:t> </w:t>
      </w:r>
      <w:r>
        <w:rPr/>
        <w:t>This</w:t>
      </w:r>
      <w:r>
        <w:rPr>
          <w:spacing w:val="36"/>
        </w:rPr>
        <w:t> </w:t>
      </w:r>
      <w:r>
        <w:rPr/>
        <w:t>was</w:t>
      </w:r>
      <w:r>
        <w:rPr>
          <w:spacing w:val="35"/>
        </w:rPr>
        <w:t> </w:t>
      </w:r>
      <w:r>
        <w:rPr/>
        <w:t>confirmed</w:t>
      </w:r>
      <w:r>
        <w:rPr>
          <w:spacing w:val="36"/>
        </w:rPr>
        <w:t> </w:t>
      </w:r>
      <w:r>
        <w:rPr/>
        <w:t>by</w:t>
      </w:r>
      <w:r>
        <w:rPr>
          <w:spacing w:val="35"/>
        </w:rPr>
        <w:t> </w:t>
      </w:r>
      <w:r>
        <w:rPr/>
        <w:t>54.4</w:t>
      </w:r>
      <w:r>
        <w:rPr>
          <w:spacing w:val="37"/>
        </w:rPr>
        <w:t> </w:t>
      </w:r>
      <w:r>
        <w:rPr/>
        <w:t>percent</w:t>
      </w:r>
      <w:r>
        <w:rPr>
          <w:spacing w:val="31"/>
        </w:rPr>
        <w:t> </w:t>
      </w:r>
      <w:r>
        <w:rPr/>
        <w:t>of</w:t>
      </w:r>
      <w:r>
        <w:rPr>
          <w:spacing w:val="36"/>
        </w:rPr>
        <w:t> </w:t>
      </w:r>
      <w:r>
        <w:rPr>
          <w:spacing w:val="-2"/>
        </w:rPr>
        <w:t>students,</w:t>
      </w:r>
    </w:p>
    <w:p>
      <w:pPr>
        <w:spacing w:after="0" w:line="480" w:lineRule="auto"/>
        <w:jc w:val="both"/>
        <w:sectPr>
          <w:headerReference w:type="default" r:id="rId341"/>
          <w:footerReference w:type="default" r:id="rId342"/>
          <w:pgSz w:w="12240" w:h="15840"/>
          <w:pgMar w:header="722" w:footer="791" w:top="1340" w:bottom="980" w:left="1340" w:right="1320"/>
          <w:pgNumType w:start="150"/>
        </w:sectPr>
      </w:pPr>
    </w:p>
    <w:p>
      <w:pPr>
        <w:pStyle w:val="BodyText"/>
        <w:spacing w:line="480" w:lineRule="auto" w:before="82"/>
        <w:ind w:left="820" w:right="114"/>
        <w:jc w:val="both"/>
      </w:pPr>
      <w:r>
        <w:rPr/>
        <w:t>51.8 percent of service staff and 73.9 percent</w:t>
      </w:r>
      <w:r>
        <w:rPr>
          <w:spacing w:val="-2"/>
        </w:rPr>
        <w:t> </w:t>
      </w:r>
      <w:r>
        <w:rPr/>
        <w:t>of top management staff who were in support of the statement. However, only 26 percent, 32.5 percent and 13 percent had contrary view. The percentage of the respondents that expressed indecision was very low. It could be concluded that since hunters employed by the university were permitted to carry and use locally made dane guns, they</w:t>
      </w:r>
      <w:r>
        <w:rPr>
          <w:spacing w:val="40"/>
        </w:rPr>
        <w:t> </w:t>
      </w:r>
      <w:r>
        <w:rPr/>
        <w:t>could shoot at sight to scare the intending criminals</w:t>
      </w:r>
    </w:p>
    <w:p>
      <w:pPr>
        <w:pStyle w:val="BodyText"/>
        <w:spacing w:line="480" w:lineRule="auto"/>
        <w:ind w:left="820" w:right="116" w:firstLine="720"/>
        <w:jc w:val="both"/>
      </w:pPr>
      <w:r>
        <w:rPr/>
        <w:t>Item 58 had the view that some universities had dedicated well- enlightened</w:t>
      </w:r>
      <w:r>
        <w:rPr>
          <w:spacing w:val="39"/>
        </w:rPr>
        <w:t> </w:t>
      </w:r>
      <w:r>
        <w:rPr/>
        <w:t>and</w:t>
      </w:r>
      <w:r>
        <w:rPr>
          <w:spacing w:val="44"/>
        </w:rPr>
        <w:t> </w:t>
      </w:r>
      <w:r>
        <w:rPr/>
        <w:t>trained</w:t>
      </w:r>
      <w:r>
        <w:rPr>
          <w:spacing w:val="40"/>
        </w:rPr>
        <w:t> </w:t>
      </w:r>
      <w:r>
        <w:rPr/>
        <w:t>security</w:t>
      </w:r>
      <w:r>
        <w:rPr>
          <w:spacing w:val="38"/>
        </w:rPr>
        <w:t> </w:t>
      </w:r>
      <w:r>
        <w:rPr/>
        <w:t>system</w:t>
      </w:r>
      <w:r>
        <w:rPr>
          <w:spacing w:val="35"/>
        </w:rPr>
        <w:t> </w:t>
      </w:r>
      <w:r>
        <w:rPr/>
        <w:t>with</w:t>
      </w:r>
      <w:r>
        <w:rPr>
          <w:spacing w:val="39"/>
        </w:rPr>
        <w:t> </w:t>
      </w:r>
      <w:r>
        <w:rPr/>
        <w:t>improved</w:t>
      </w:r>
      <w:r>
        <w:rPr>
          <w:spacing w:val="43"/>
        </w:rPr>
        <w:t> </w:t>
      </w:r>
      <w:r>
        <w:rPr/>
        <w:t>technological</w:t>
      </w:r>
      <w:r>
        <w:rPr>
          <w:spacing w:val="47"/>
        </w:rPr>
        <w:t> </w:t>
      </w:r>
      <w:r>
        <w:rPr>
          <w:spacing w:val="-2"/>
        </w:rPr>
        <w:t>gadgets.</w:t>
      </w:r>
    </w:p>
    <w:p>
      <w:pPr>
        <w:pStyle w:val="BodyText"/>
        <w:spacing w:line="480" w:lineRule="auto"/>
        <w:ind w:left="820" w:right="113"/>
        <w:jc w:val="both"/>
      </w:pPr>
      <w:r>
        <w:rPr/>
        <w:t>49.4 percent of students, 54.7 percent of service staff and 69.6 percent of management shared this view as opposed to the opinions of 18.3 percent of students and 21.7 percent of service staff. While 32.3 percent of students, 23.6 percent of service staff and 26.1 percent of top management were undecided.</w:t>
      </w:r>
    </w:p>
    <w:p>
      <w:pPr>
        <w:pStyle w:val="BodyText"/>
        <w:spacing w:line="480" w:lineRule="auto"/>
        <w:ind w:left="820" w:right="121" w:firstLine="720"/>
        <w:jc w:val="both"/>
      </w:pPr>
      <w:r>
        <w:rPr/>
        <w:t>It is possible that with the introduction of communication gadgets like walkie-talkies, handsets and even the existence of information centers in some universities the performance of security staff might be better than before.</w:t>
      </w:r>
    </w:p>
    <w:p>
      <w:pPr>
        <w:pStyle w:val="Heading2"/>
        <w:numPr>
          <w:ilvl w:val="3"/>
          <w:numId w:val="39"/>
        </w:numPr>
        <w:tabs>
          <w:tab w:pos="1540" w:val="left" w:leader="none"/>
        </w:tabs>
        <w:spacing w:line="240" w:lineRule="auto" w:before="0" w:after="0"/>
        <w:ind w:left="1540" w:right="121" w:hanging="1440"/>
        <w:jc w:val="left"/>
        <w:rPr>
          <w:rFonts w:ascii="Arial MT" w:hAnsi="Arial MT"/>
          <w:b w:val="0"/>
        </w:rPr>
      </w:pPr>
      <w:r>
        <w:rPr/>
        <w:t>The</w:t>
      </w:r>
      <w:r>
        <w:rPr>
          <w:spacing w:val="-1"/>
        </w:rPr>
        <w:t> </w:t>
      </w:r>
      <w:r>
        <w:rPr/>
        <w:t>effects</w:t>
      </w:r>
      <w:r>
        <w:rPr>
          <w:spacing w:val="-1"/>
        </w:rPr>
        <w:t> </w:t>
      </w:r>
      <w:r>
        <w:rPr/>
        <w:t>of Transportation services on students’ welfare in the Universities.</w:t>
      </w:r>
    </w:p>
    <w:p>
      <w:pPr>
        <w:pStyle w:val="BodyText"/>
        <w:spacing w:line="480" w:lineRule="auto" w:before="278"/>
        <w:ind w:left="820" w:right="114" w:firstLine="720"/>
        <w:jc w:val="both"/>
      </w:pPr>
      <w:r>
        <w:rPr/>
        <w:t>On most university campuses students had to move from one axis to another particularly, when student hostels were a bit far from academic areas or the off campus students who had to get access to easy transport. Hence the researcher wanted to seek the opinions of the three groups of respondents on</w:t>
      </w:r>
      <w:r>
        <w:rPr>
          <w:spacing w:val="40"/>
        </w:rPr>
        <w:t> </w:t>
      </w:r>
      <w:r>
        <w:rPr/>
        <w:t>the state and effect of transportation system on the University campuses. To analyze the opinions of the respondents items 59 to 62 have been used as</w:t>
      </w:r>
      <w:r>
        <w:rPr>
          <w:spacing w:val="40"/>
        </w:rPr>
        <w:t> </w:t>
      </w:r>
      <w:r>
        <w:rPr/>
        <w:t>shown in Table 4.3.1.6.</w:t>
      </w:r>
    </w:p>
    <w:p>
      <w:pPr>
        <w:spacing w:after="0" w:line="480" w:lineRule="auto"/>
        <w:jc w:val="both"/>
        <w:sectPr>
          <w:headerReference w:type="default" r:id="rId343"/>
          <w:footerReference w:type="default" r:id="rId344"/>
          <w:pgSz w:w="12240" w:h="15840"/>
          <w:pgMar w:header="722" w:footer="791" w:top="1340" w:bottom="980" w:left="1340" w:right="1320"/>
        </w:sectPr>
      </w:pPr>
    </w:p>
    <w:p>
      <w:pPr>
        <w:pStyle w:val="BodyText"/>
        <w:spacing w:before="72"/>
        <w:ind w:left="3" w:right="433"/>
        <w:jc w:val="center"/>
        <w:rPr>
          <w:rFonts w:ascii="Times New Roman"/>
        </w:rPr>
      </w:pPr>
      <w:r>
        <w:rPr>
          <w:rFonts w:ascii="Times New Roman"/>
          <w:spacing w:val="-5"/>
        </w:rPr>
        <w:t>152</w:t>
      </w:r>
    </w:p>
    <w:p>
      <w:pPr>
        <w:pStyle w:val="BodyText"/>
        <w:spacing w:before="121"/>
        <w:rPr>
          <w:rFonts w:ascii="Times New Roman"/>
          <w:sz w:val="28"/>
        </w:rPr>
      </w:pPr>
    </w:p>
    <w:p>
      <w:pPr>
        <w:pStyle w:val="Heading2"/>
        <w:spacing w:before="1"/>
        <w:ind w:left="652"/>
      </w:pPr>
      <w:r>
        <w:rPr/>
        <w:t>Table</w:t>
      </w:r>
      <w:r>
        <w:rPr>
          <w:spacing w:val="-7"/>
        </w:rPr>
        <w:t> </w:t>
      </w:r>
      <w:r>
        <w:rPr/>
        <w:t>4.3.1.6:</w:t>
      </w:r>
      <w:r>
        <w:rPr>
          <w:spacing w:val="-7"/>
        </w:rPr>
        <w:t> </w:t>
      </w:r>
      <w:r>
        <w:rPr/>
        <w:t>Opinions</w:t>
      </w:r>
      <w:r>
        <w:rPr>
          <w:spacing w:val="-7"/>
        </w:rPr>
        <w:t> </w:t>
      </w:r>
      <w:r>
        <w:rPr/>
        <w:t>of</w:t>
      </w:r>
      <w:r>
        <w:rPr>
          <w:spacing w:val="-7"/>
        </w:rPr>
        <w:t> </w:t>
      </w:r>
      <w:r>
        <w:rPr/>
        <w:t>respondents</w:t>
      </w:r>
      <w:r>
        <w:rPr>
          <w:spacing w:val="-7"/>
        </w:rPr>
        <w:t> </w:t>
      </w:r>
      <w:r>
        <w:rPr/>
        <w:t>on</w:t>
      </w:r>
      <w:r>
        <w:rPr>
          <w:spacing w:val="-8"/>
        </w:rPr>
        <w:t> </w:t>
      </w:r>
      <w:r>
        <w:rPr/>
        <w:t>the</w:t>
      </w:r>
      <w:r>
        <w:rPr>
          <w:spacing w:val="-11"/>
        </w:rPr>
        <w:t> </w:t>
      </w:r>
      <w:r>
        <w:rPr/>
        <w:t>impact</w:t>
      </w:r>
      <w:r>
        <w:rPr>
          <w:spacing w:val="-8"/>
        </w:rPr>
        <w:t> </w:t>
      </w:r>
      <w:r>
        <w:rPr/>
        <w:t>of</w:t>
      </w:r>
      <w:r>
        <w:rPr>
          <w:spacing w:val="-7"/>
        </w:rPr>
        <w:t> </w:t>
      </w:r>
      <w:r>
        <w:rPr/>
        <w:t>transport</w:t>
      </w:r>
      <w:r>
        <w:rPr>
          <w:spacing w:val="-11"/>
        </w:rPr>
        <w:t> </w:t>
      </w:r>
      <w:r>
        <w:rPr/>
        <w:t>services</w:t>
      </w:r>
      <w:r>
        <w:rPr>
          <w:spacing w:val="-12"/>
        </w:rPr>
        <w:t> </w:t>
      </w:r>
      <w:r>
        <w:rPr/>
        <w:t>on</w:t>
      </w:r>
      <w:r>
        <w:rPr>
          <w:spacing w:val="-8"/>
        </w:rPr>
        <w:t> </w:t>
      </w:r>
      <w:r>
        <w:rPr/>
        <w:t>students’</w:t>
      </w:r>
      <w:r>
        <w:rPr>
          <w:spacing w:val="-6"/>
        </w:rPr>
        <w:t> </w:t>
      </w:r>
      <w:r>
        <w:rPr>
          <w:spacing w:val="-2"/>
        </w:rPr>
        <w:t>welfare</w:t>
      </w:r>
    </w:p>
    <w:p>
      <w:pPr>
        <w:pStyle w:val="BodyText"/>
        <w:spacing w:before="56"/>
        <w:rPr>
          <w:rFonts w:ascii="Arial"/>
          <w:b/>
          <w:sz w:val="20"/>
        </w:rPr>
      </w:pPr>
    </w:p>
    <w:tbl>
      <w:tblPr>
        <w:tblW w:w="0" w:type="auto"/>
        <w:jc w:val="left"/>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48"/>
        <w:gridCol w:w="1795"/>
        <w:gridCol w:w="678"/>
        <w:gridCol w:w="778"/>
        <w:gridCol w:w="692"/>
        <w:gridCol w:w="709"/>
        <w:gridCol w:w="757"/>
        <w:gridCol w:w="903"/>
        <w:gridCol w:w="685"/>
        <w:gridCol w:w="800"/>
        <w:gridCol w:w="654"/>
        <w:gridCol w:w="716"/>
        <w:gridCol w:w="721"/>
        <w:gridCol w:w="739"/>
      </w:tblGrid>
      <w:tr>
        <w:trPr>
          <w:trHeight w:val="743" w:hRule="atLeast"/>
        </w:trPr>
        <w:tc>
          <w:tcPr>
            <w:tcW w:w="4148" w:type="dxa"/>
            <w:vMerge w:val="restart"/>
            <w:tcBorders>
              <w:top w:val="single" w:sz="4" w:space="0" w:color="000000"/>
              <w:left w:val="single" w:sz="4" w:space="0" w:color="000000"/>
              <w:bottom w:val="single" w:sz="4" w:space="0" w:color="000000"/>
            </w:tcBorders>
          </w:tcPr>
          <w:p>
            <w:pPr>
              <w:pStyle w:val="TableParagraph"/>
              <w:rPr>
                <w:rFonts w:ascii="Arial"/>
                <w:b/>
                <w:sz w:val="20"/>
              </w:rPr>
            </w:pPr>
          </w:p>
          <w:p>
            <w:pPr>
              <w:pStyle w:val="TableParagraph"/>
              <w:spacing w:before="216"/>
              <w:rPr>
                <w:rFonts w:ascii="Arial"/>
                <w:b/>
                <w:sz w:val="20"/>
              </w:rPr>
            </w:pPr>
          </w:p>
          <w:p>
            <w:pPr>
              <w:pStyle w:val="TableParagraph"/>
              <w:tabs>
                <w:tab w:pos="830" w:val="left" w:leader="none"/>
              </w:tabs>
              <w:ind w:left="134"/>
              <w:rPr>
                <w:rFonts w:ascii="Arial"/>
                <w:b/>
                <w:sz w:val="20"/>
              </w:rPr>
            </w:pPr>
            <w:r>
              <w:rPr>
                <w:rFonts w:ascii="Arial"/>
                <w:b/>
                <w:spacing w:val="-4"/>
                <w:sz w:val="20"/>
              </w:rPr>
              <w:t>S/No</w:t>
            </w:r>
            <w:r>
              <w:rPr>
                <w:rFonts w:ascii="Arial"/>
                <w:b/>
                <w:sz w:val="20"/>
              </w:rPr>
              <w:tab/>
              <w:t>Item</w:t>
            </w:r>
            <w:r>
              <w:rPr>
                <w:rFonts w:ascii="Arial"/>
                <w:b/>
                <w:spacing w:val="-2"/>
                <w:sz w:val="20"/>
              </w:rPr>
              <w:t> Statements</w:t>
            </w:r>
          </w:p>
        </w:tc>
        <w:tc>
          <w:tcPr>
            <w:tcW w:w="1795" w:type="dxa"/>
            <w:vMerge w:val="restart"/>
            <w:tcBorders>
              <w:top w:val="single" w:sz="4" w:space="0" w:color="000000"/>
              <w:bottom w:val="single" w:sz="4" w:space="0" w:color="000000"/>
              <w:right w:val="single" w:sz="4" w:space="0" w:color="000000"/>
            </w:tcBorders>
          </w:tcPr>
          <w:p>
            <w:pPr>
              <w:pStyle w:val="TableParagraph"/>
              <w:spacing w:before="215"/>
              <w:rPr>
                <w:rFonts w:ascii="Arial"/>
                <w:b/>
                <w:sz w:val="20"/>
              </w:rPr>
            </w:pPr>
          </w:p>
          <w:p>
            <w:pPr>
              <w:pStyle w:val="TableParagraph"/>
              <w:spacing w:before="1"/>
              <w:ind w:left="109"/>
              <w:rPr>
                <w:rFonts w:ascii="Arial"/>
                <w:b/>
                <w:sz w:val="20"/>
              </w:rPr>
            </w:pPr>
            <w:r>
              <w:rPr>
                <w:rFonts w:ascii="Arial"/>
                <w:b/>
                <w:sz w:val="20"/>
              </w:rPr>
              <w:t>Category of </w:t>
            </w:r>
            <w:r>
              <w:rPr>
                <w:rFonts w:ascii="Arial"/>
                <w:b/>
                <w:spacing w:val="-2"/>
                <w:sz w:val="20"/>
              </w:rPr>
              <w:t>Respondents</w:t>
            </w:r>
          </w:p>
        </w:tc>
        <w:tc>
          <w:tcPr>
            <w:tcW w:w="8832" w:type="dxa"/>
            <w:gridSpan w:val="12"/>
            <w:tcBorders>
              <w:top w:val="single" w:sz="4" w:space="0" w:color="000000"/>
              <w:left w:val="single" w:sz="4" w:space="0" w:color="000000"/>
              <w:bottom w:val="single" w:sz="4" w:space="0" w:color="000000"/>
              <w:right w:val="single" w:sz="4" w:space="0" w:color="000000"/>
            </w:tcBorders>
          </w:tcPr>
          <w:p>
            <w:pPr>
              <w:pStyle w:val="TableParagraph"/>
              <w:spacing w:line="267" w:lineRule="exact"/>
              <w:ind w:left="2989"/>
              <w:rPr>
                <w:rFonts w:ascii="Arial"/>
                <w:b/>
                <w:sz w:val="24"/>
              </w:rPr>
            </w:pPr>
            <w:r>
              <w:rPr>
                <w:rFonts w:ascii="Arial"/>
                <w:b/>
                <w:spacing w:val="-2"/>
                <w:sz w:val="24"/>
              </w:rPr>
              <w:t>Responses</w:t>
            </w:r>
          </w:p>
          <w:p>
            <w:pPr>
              <w:pStyle w:val="TableParagraph"/>
              <w:tabs>
                <w:tab w:pos="1875" w:val="left" w:leader="none"/>
                <w:tab w:pos="3191" w:val="left" w:leader="none"/>
                <w:tab w:pos="4813" w:val="left" w:leader="none"/>
                <w:tab w:pos="6243" w:val="left" w:leader="none"/>
                <w:tab w:pos="7856" w:val="left" w:leader="none"/>
              </w:tabs>
              <w:spacing w:line="230" w:lineRule="atLeast"/>
              <w:ind w:left="436" w:right="480" w:hanging="125"/>
              <w:rPr>
                <w:rFonts w:ascii="Arial"/>
                <w:b/>
                <w:sz w:val="20"/>
              </w:rPr>
            </w:pPr>
            <w:r>
              <w:rPr>
                <w:rFonts w:ascii="Arial"/>
                <w:b/>
                <w:spacing w:val="-2"/>
                <w:sz w:val="20"/>
              </w:rPr>
              <w:t>Strongly</w:t>
            </w:r>
            <w:r>
              <w:rPr>
                <w:rFonts w:ascii="Arial"/>
                <w:b/>
                <w:sz w:val="20"/>
              </w:rPr>
              <w:tab/>
            </w:r>
            <w:r>
              <w:rPr>
                <w:rFonts w:ascii="Arial"/>
                <w:b/>
                <w:spacing w:val="-4"/>
                <w:sz w:val="20"/>
              </w:rPr>
              <w:t>Agree</w:t>
            </w:r>
            <w:r>
              <w:rPr>
                <w:rFonts w:ascii="Arial"/>
                <w:b/>
                <w:sz w:val="20"/>
              </w:rPr>
              <w:tab/>
            </w:r>
            <w:r>
              <w:rPr>
                <w:rFonts w:ascii="Arial"/>
                <w:b/>
                <w:spacing w:val="-2"/>
                <w:sz w:val="20"/>
              </w:rPr>
              <w:t>Undecided</w:t>
            </w:r>
            <w:r>
              <w:rPr>
                <w:rFonts w:ascii="Arial"/>
                <w:b/>
                <w:sz w:val="20"/>
              </w:rPr>
              <w:tab/>
            </w:r>
            <w:r>
              <w:rPr>
                <w:rFonts w:ascii="Arial"/>
                <w:b/>
                <w:spacing w:val="-2"/>
                <w:sz w:val="20"/>
              </w:rPr>
              <w:t>Disagree</w:t>
            </w:r>
            <w:r>
              <w:rPr>
                <w:rFonts w:ascii="Arial"/>
                <w:b/>
                <w:sz w:val="20"/>
              </w:rPr>
              <w:tab/>
            </w:r>
            <w:r>
              <w:rPr>
                <w:rFonts w:ascii="Arial"/>
                <w:b/>
                <w:spacing w:val="-42"/>
                <w:sz w:val="20"/>
              </w:rPr>
              <w:t> </w:t>
            </w:r>
            <w:r>
              <w:rPr>
                <w:rFonts w:ascii="Arial"/>
                <w:b/>
                <w:sz w:val="20"/>
              </w:rPr>
              <w:t>Strongly</w:t>
              <w:tab/>
            </w:r>
            <w:r>
              <w:rPr>
                <w:rFonts w:ascii="Arial"/>
                <w:b/>
                <w:spacing w:val="-2"/>
                <w:sz w:val="20"/>
              </w:rPr>
              <w:t>Total Agree</w:t>
            </w:r>
            <w:r>
              <w:rPr>
                <w:rFonts w:ascii="Arial"/>
                <w:b/>
                <w:sz w:val="20"/>
              </w:rPr>
              <w:tab/>
              <w:tab/>
              <w:tab/>
              <w:tab/>
            </w:r>
            <w:r>
              <w:rPr>
                <w:rFonts w:ascii="Arial"/>
                <w:b/>
                <w:spacing w:val="-2"/>
                <w:sz w:val="20"/>
              </w:rPr>
              <w:t>Disagree</w:t>
            </w:r>
          </w:p>
        </w:tc>
      </w:tr>
      <w:tr>
        <w:trPr>
          <w:trHeight w:val="321" w:hRule="atLeast"/>
        </w:trPr>
        <w:tc>
          <w:tcPr>
            <w:tcW w:w="4148" w:type="dxa"/>
            <w:vMerge/>
            <w:tcBorders>
              <w:top w:val="nil"/>
              <w:left w:val="single" w:sz="4" w:space="0" w:color="000000"/>
              <w:bottom w:val="single" w:sz="4" w:space="0" w:color="000000"/>
            </w:tcBorders>
          </w:tcPr>
          <w:p>
            <w:pPr>
              <w:rPr>
                <w:sz w:val="2"/>
                <w:szCs w:val="2"/>
              </w:rPr>
            </w:pPr>
          </w:p>
        </w:tc>
        <w:tc>
          <w:tcPr>
            <w:tcW w:w="1795" w:type="dxa"/>
            <w:vMerge/>
            <w:tcBorders>
              <w:top w:val="nil"/>
              <w:bottom w:val="single" w:sz="4" w:space="0" w:color="000000"/>
              <w:right w:val="single" w:sz="4" w:space="0" w:color="000000"/>
            </w:tcBorders>
          </w:tcPr>
          <w:p>
            <w:pPr>
              <w:rPr>
                <w:sz w:val="2"/>
                <w:szCs w:val="2"/>
              </w:rPr>
            </w:pPr>
          </w:p>
        </w:tc>
        <w:tc>
          <w:tcPr>
            <w:tcW w:w="678" w:type="dxa"/>
            <w:tcBorders>
              <w:top w:val="single" w:sz="4" w:space="0" w:color="000000"/>
              <w:left w:val="single" w:sz="4" w:space="0" w:color="000000"/>
              <w:bottom w:val="single" w:sz="4" w:space="0" w:color="000000"/>
            </w:tcBorders>
          </w:tcPr>
          <w:p>
            <w:pPr>
              <w:pStyle w:val="TableParagraph"/>
              <w:spacing w:line="220" w:lineRule="exact"/>
              <w:ind w:left="55" w:right="2"/>
              <w:jc w:val="center"/>
              <w:rPr>
                <w:rFonts w:ascii="Arial"/>
                <w:b/>
                <w:sz w:val="20"/>
              </w:rPr>
            </w:pPr>
            <w:r>
              <w:rPr>
                <w:rFonts w:ascii="Arial"/>
                <w:b/>
                <w:spacing w:val="-10"/>
                <w:sz w:val="20"/>
              </w:rPr>
              <w:t>F</w:t>
            </w:r>
          </w:p>
        </w:tc>
        <w:tc>
          <w:tcPr>
            <w:tcW w:w="778" w:type="dxa"/>
            <w:tcBorders>
              <w:top w:val="single" w:sz="4" w:space="0" w:color="000000"/>
              <w:bottom w:val="single" w:sz="4" w:space="0" w:color="000000"/>
            </w:tcBorders>
          </w:tcPr>
          <w:p>
            <w:pPr>
              <w:pStyle w:val="TableParagraph"/>
              <w:spacing w:line="220" w:lineRule="exact"/>
              <w:ind w:left="112" w:right="71"/>
              <w:jc w:val="center"/>
              <w:rPr>
                <w:rFonts w:ascii="Arial"/>
                <w:b/>
                <w:sz w:val="20"/>
              </w:rPr>
            </w:pPr>
            <w:r>
              <w:rPr>
                <w:rFonts w:ascii="Arial"/>
                <w:b/>
                <w:spacing w:val="-10"/>
                <w:sz w:val="20"/>
              </w:rPr>
              <w:t>%</w:t>
            </w:r>
          </w:p>
        </w:tc>
        <w:tc>
          <w:tcPr>
            <w:tcW w:w="692" w:type="dxa"/>
            <w:tcBorders>
              <w:top w:val="single" w:sz="4" w:space="0" w:color="000000"/>
              <w:bottom w:val="single" w:sz="4" w:space="0" w:color="000000"/>
            </w:tcBorders>
          </w:tcPr>
          <w:p>
            <w:pPr>
              <w:pStyle w:val="TableParagraph"/>
              <w:spacing w:line="220" w:lineRule="exact"/>
              <w:ind w:left="25" w:right="13"/>
              <w:jc w:val="center"/>
              <w:rPr>
                <w:rFonts w:ascii="Arial"/>
                <w:b/>
                <w:sz w:val="20"/>
              </w:rPr>
            </w:pPr>
            <w:r>
              <w:rPr>
                <w:rFonts w:ascii="Arial"/>
                <w:b/>
                <w:spacing w:val="-10"/>
                <w:sz w:val="20"/>
              </w:rPr>
              <w:t>F</w:t>
            </w:r>
          </w:p>
        </w:tc>
        <w:tc>
          <w:tcPr>
            <w:tcW w:w="709" w:type="dxa"/>
            <w:tcBorders>
              <w:top w:val="single" w:sz="4" w:space="0" w:color="000000"/>
              <w:bottom w:val="single" w:sz="4" w:space="0" w:color="000000"/>
            </w:tcBorders>
          </w:tcPr>
          <w:p>
            <w:pPr>
              <w:pStyle w:val="TableParagraph"/>
              <w:spacing w:line="220" w:lineRule="exact"/>
              <w:ind w:left="70" w:right="20"/>
              <w:jc w:val="center"/>
              <w:rPr>
                <w:rFonts w:ascii="Arial"/>
                <w:b/>
                <w:sz w:val="20"/>
              </w:rPr>
            </w:pPr>
            <w:r>
              <w:rPr>
                <w:rFonts w:ascii="Arial"/>
                <w:b/>
                <w:spacing w:val="-10"/>
                <w:sz w:val="20"/>
              </w:rPr>
              <w:t>%</w:t>
            </w:r>
          </w:p>
        </w:tc>
        <w:tc>
          <w:tcPr>
            <w:tcW w:w="757" w:type="dxa"/>
            <w:tcBorders>
              <w:top w:val="single" w:sz="4" w:space="0" w:color="000000"/>
              <w:bottom w:val="single" w:sz="4" w:space="0" w:color="000000"/>
            </w:tcBorders>
          </w:tcPr>
          <w:p>
            <w:pPr>
              <w:pStyle w:val="TableParagraph"/>
              <w:spacing w:line="220" w:lineRule="exact"/>
              <w:ind w:right="302"/>
              <w:jc w:val="right"/>
              <w:rPr>
                <w:rFonts w:ascii="Arial"/>
                <w:b/>
                <w:sz w:val="20"/>
              </w:rPr>
            </w:pPr>
            <w:r>
              <w:rPr>
                <w:rFonts w:ascii="Arial"/>
                <w:b/>
                <w:spacing w:val="-10"/>
                <w:sz w:val="20"/>
              </w:rPr>
              <w:t>F</w:t>
            </w:r>
          </w:p>
        </w:tc>
        <w:tc>
          <w:tcPr>
            <w:tcW w:w="903" w:type="dxa"/>
            <w:tcBorders>
              <w:top w:val="single" w:sz="4" w:space="0" w:color="000000"/>
              <w:bottom w:val="single" w:sz="4" w:space="0" w:color="000000"/>
            </w:tcBorders>
          </w:tcPr>
          <w:p>
            <w:pPr>
              <w:pStyle w:val="TableParagraph"/>
              <w:spacing w:line="220" w:lineRule="exact"/>
              <w:ind w:left="13" w:right="8"/>
              <w:jc w:val="center"/>
              <w:rPr>
                <w:rFonts w:ascii="Arial"/>
                <w:b/>
                <w:sz w:val="20"/>
              </w:rPr>
            </w:pPr>
            <w:r>
              <w:rPr>
                <w:rFonts w:ascii="Arial"/>
                <w:b/>
                <w:spacing w:val="-10"/>
                <w:sz w:val="20"/>
              </w:rPr>
              <w:t>%</w:t>
            </w:r>
          </w:p>
        </w:tc>
        <w:tc>
          <w:tcPr>
            <w:tcW w:w="685" w:type="dxa"/>
            <w:tcBorders>
              <w:top w:val="single" w:sz="4" w:space="0" w:color="000000"/>
              <w:bottom w:val="single" w:sz="4" w:space="0" w:color="000000"/>
            </w:tcBorders>
          </w:tcPr>
          <w:p>
            <w:pPr>
              <w:pStyle w:val="TableParagraph"/>
              <w:spacing w:line="220" w:lineRule="exact"/>
              <w:ind w:left="83" w:right="32"/>
              <w:jc w:val="center"/>
              <w:rPr>
                <w:rFonts w:ascii="Arial"/>
                <w:b/>
                <w:sz w:val="20"/>
              </w:rPr>
            </w:pPr>
            <w:r>
              <w:rPr>
                <w:rFonts w:ascii="Arial"/>
                <w:b/>
                <w:spacing w:val="-10"/>
                <w:sz w:val="20"/>
              </w:rPr>
              <w:t>F</w:t>
            </w:r>
          </w:p>
        </w:tc>
        <w:tc>
          <w:tcPr>
            <w:tcW w:w="800" w:type="dxa"/>
            <w:tcBorders>
              <w:top w:val="single" w:sz="4" w:space="0" w:color="000000"/>
              <w:bottom w:val="single" w:sz="4" w:space="0" w:color="000000"/>
            </w:tcBorders>
          </w:tcPr>
          <w:p>
            <w:pPr>
              <w:pStyle w:val="TableParagraph"/>
              <w:spacing w:line="220" w:lineRule="exact"/>
              <w:ind w:left="18" w:right="14"/>
              <w:jc w:val="center"/>
              <w:rPr>
                <w:rFonts w:ascii="Arial"/>
                <w:b/>
                <w:sz w:val="20"/>
              </w:rPr>
            </w:pPr>
            <w:r>
              <w:rPr>
                <w:rFonts w:ascii="Arial"/>
                <w:b/>
                <w:spacing w:val="-10"/>
                <w:sz w:val="20"/>
              </w:rPr>
              <w:t>%</w:t>
            </w:r>
          </w:p>
        </w:tc>
        <w:tc>
          <w:tcPr>
            <w:tcW w:w="654" w:type="dxa"/>
            <w:tcBorders>
              <w:top w:val="single" w:sz="4" w:space="0" w:color="000000"/>
              <w:bottom w:val="single" w:sz="4" w:space="0" w:color="000000"/>
            </w:tcBorders>
          </w:tcPr>
          <w:p>
            <w:pPr>
              <w:pStyle w:val="TableParagraph"/>
              <w:spacing w:line="220" w:lineRule="exact"/>
              <w:ind w:left="8" w:right="33"/>
              <w:jc w:val="center"/>
              <w:rPr>
                <w:rFonts w:ascii="Arial"/>
                <w:b/>
                <w:sz w:val="20"/>
              </w:rPr>
            </w:pPr>
            <w:r>
              <w:rPr>
                <w:rFonts w:ascii="Arial"/>
                <w:b/>
                <w:spacing w:val="-10"/>
                <w:sz w:val="20"/>
              </w:rPr>
              <w:t>F</w:t>
            </w:r>
          </w:p>
        </w:tc>
        <w:tc>
          <w:tcPr>
            <w:tcW w:w="716" w:type="dxa"/>
            <w:tcBorders>
              <w:top w:val="single" w:sz="4" w:space="0" w:color="000000"/>
              <w:bottom w:val="single" w:sz="4" w:space="0" w:color="000000"/>
            </w:tcBorders>
          </w:tcPr>
          <w:p>
            <w:pPr>
              <w:pStyle w:val="TableParagraph"/>
              <w:spacing w:line="220" w:lineRule="exact"/>
              <w:ind w:left="22"/>
              <w:jc w:val="center"/>
              <w:rPr>
                <w:rFonts w:ascii="Arial"/>
                <w:b/>
                <w:sz w:val="20"/>
              </w:rPr>
            </w:pPr>
            <w:r>
              <w:rPr>
                <w:rFonts w:ascii="Arial"/>
                <w:b/>
                <w:spacing w:val="-10"/>
                <w:sz w:val="20"/>
              </w:rPr>
              <w:t>%</w:t>
            </w:r>
          </w:p>
        </w:tc>
        <w:tc>
          <w:tcPr>
            <w:tcW w:w="721" w:type="dxa"/>
            <w:tcBorders>
              <w:top w:val="single" w:sz="4" w:space="0" w:color="000000"/>
              <w:bottom w:val="single" w:sz="4" w:space="0" w:color="000000"/>
            </w:tcBorders>
          </w:tcPr>
          <w:p>
            <w:pPr>
              <w:pStyle w:val="TableParagraph"/>
              <w:spacing w:line="220" w:lineRule="exact"/>
              <w:ind w:left="50" w:right="24"/>
              <w:jc w:val="center"/>
              <w:rPr>
                <w:rFonts w:ascii="Arial"/>
                <w:b/>
                <w:sz w:val="20"/>
              </w:rPr>
            </w:pPr>
            <w:r>
              <w:rPr>
                <w:rFonts w:ascii="Arial"/>
                <w:b/>
                <w:spacing w:val="-10"/>
                <w:sz w:val="20"/>
              </w:rPr>
              <w:t>F</w:t>
            </w:r>
          </w:p>
        </w:tc>
        <w:tc>
          <w:tcPr>
            <w:tcW w:w="739" w:type="dxa"/>
            <w:tcBorders>
              <w:top w:val="single" w:sz="4" w:space="0" w:color="000000"/>
              <w:bottom w:val="single" w:sz="4" w:space="0" w:color="000000"/>
              <w:right w:val="single" w:sz="4" w:space="0" w:color="000000"/>
            </w:tcBorders>
          </w:tcPr>
          <w:p>
            <w:pPr>
              <w:pStyle w:val="TableParagraph"/>
              <w:spacing w:line="220" w:lineRule="exact"/>
              <w:ind w:left="36" w:right="26"/>
              <w:jc w:val="center"/>
              <w:rPr>
                <w:rFonts w:ascii="Arial"/>
                <w:b/>
                <w:sz w:val="20"/>
              </w:rPr>
            </w:pPr>
            <w:r>
              <w:rPr>
                <w:rFonts w:ascii="Arial"/>
                <w:b/>
                <w:spacing w:val="-10"/>
                <w:sz w:val="20"/>
              </w:rPr>
              <w:t>%</w:t>
            </w:r>
          </w:p>
        </w:tc>
      </w:tr>
      <w:tr>
        <w:trPr>
          <w:trHeight w:val="227" w:hRule="atLeast"/>
        </w:trPr>
        <w:tc>
          <w:tcPr>
            <w:tcW w:w="4148" w:type="dxa"/>
            <w:tcBorders>
              <w:top w:val="single" w:sz="4" w:space="0" w:color="000000"/>
              <w:left w:val="single" w:sz="4" w:space="0" w:color="000000"/>
            </w:tcBorders>
          </w:tcPr>
          <w:p>
            <w:pPr>
              <w:pStyle w:val="TableParagraph"/>
              <w:tabs>
                <w:tab w:pos="609" w:val="left" w:leader="none"/>
                <w:tab w:pos="1247" w:val="left" w:leader="none"/>
                <w:tab w:pos="2328" w:val="left" w:leader="none"/>
              </w:tabs>
              <w:spacing w:line="208" w:lineRule="exact"/>
              <w:ind w:right="106"/>
              <w:jc w:val="right"/>
              <w:rPr>
                <w:sz w:val="20"/>
              </w:rPr>
            </w:pPr>
            <w:r>
              <w:rPr>
                <w:spacing w:val="-5"/>
                <w:sz w:val="20"/>
              </w:rPr>
              <w:t>59.</w:t>
            </w:r>
            <w:r>
              <w:rPr>
                <w:sz w:val="20"/>
              </w:rPr>
              <w:tab/>
            </w:r>
            <w:r>
              <w:rPr>
                <w:spacing w:val="-2"/>
                <w:sz w:val="20"/>
              </w:rPr>
              <w:t>Ideal</w:t>
            </w:r>
            <w:r>
              <w:rPr>
                <w:sz w:val="20"/>
              </w:rPr>
              <w:tab/>
            </w:r>
            <w:r>
              <w:rPr>
                <w:spacing w:val="-2"/>
                <w:sz w:val="20"/>
              </w:rPr>
              <w:t>University</w:t>
            </w:r>
            <w:r>
              <w:rPr>
                <w:sz w:val="20"/>
              </w:rPr>
              <w:tab/>
              <w:t>campus</w:t>
            </w:r>
            <w:r>
              <w:rPr>
                <w:spacing w:val="38"/>
                <w:sz w:val="20"/>
              </w:rPr>
              <w:t>  </w:t>
            </w:r>
            <w:r>
              <w:rPr>
                <w:spacing w:val="-2"/>
                <w:sz w:val="20"/>
              </w:rPr>
              <w:t>should</w:t>
            </w:r>
          </w:p>
        </w:tc>
        <w:tc>
          <w:tcPr>
            <w:tcW w:w="1795" w:type="dxa"/>
            <w:tcBorders>
              <w:top w:val="single" w:sz="4" w:space="0" w:color="000000"/>
            </w:tcBorders>
          </w:tcPr>
          <w:p>
            <w:pPr>
              <w:pStyle w:val="TableParagraph"/>
              <w:spacing w:line="208" w:lineRule="exact"/>
              <w:ind w:left="109"/>
              <w:rPr>
                <w:sz w:val="20"/>
              </w:rPr>
            </w:pPr>
            <w:r>
              <w:rPr>
                <w:sz w:val="20"/>
              </w:rPr>
              <w:t>No.</w:t>
            </w:r>
            <w:r>
              <w:rPr>
                <w:spacing w:val="-5"/>
                <w:sz w:val="20"/>
              </w:rPr>
              <w:t> </w:t>
            </w:r>
            <w:r>
              <w:rPr>
                <w:sz w:val="20"/>
              </w:rPr>
              <w:t>of</w:t>
            </w:r>
            <w:r>
              <w:rPr>
                <w:spacing w:val="-2"/>
                <w:sz w:val="20"/>
              </w:rPr>
              <w:t> missing</w:t>
            </w:r>
          </w:p>
        </w:tc>
        <w:tc>
          <w:tcPr>
            <w:tcW w:w="678" w:type="dxa"/>
            <w:tcBorders>
              <w:top w:val="single" w:sz="4" w:space="0" w:color="000000"/>
            </w:tcBorders>
          </w:tcPr>
          <w:p>
            <w:pPr>
              <w:pStyle w:val="TableParagraph"/>
              <w:rPr>
                <w:rFonts w:ascii="Times New Roman"/>
                <w:sz w:val="16"/>
              </w:rPr>
            </w:pPr>
          </w:p>
        </w:tc>
        <w:tc>
          <w:tcPr>
            <w:tcW w:w="778" w:type="dxa"/>
            <w:tcBorders>
              <w:top w:val="single" w:sz="4" w:space="0" w:color="000000"/>
            </w:tcBorders>
          </w:tcPr>
          <w:p>
            <w:pPr>
              <w:pStyle w:val="TableParagraph"/>
              <w:rPr>
                <w:rFonts w:ascii="Times New Roman"/>
                <w:sz w:val="16"/>
              </w:rPr>
            </w:pPr>
          </w:p>
        </w:tc>
        <w:tc>
          <w:tcPr>
            <w:tcW w:w="692" w:type="dxa"/>
            <w:tcBorders>
              <w:top w:val="single" w:sz="4" w:space="0" w:color="000000"/>
            </w:tcBorders>
          </w:tcPr>
          <w:p>
            <w:pPr>
              <w:pStyle w:val="TableParagraph"/>
              <w:rPr>
                <w:rFonts w:ascii="Times New Roman"/>
                <w:sz w:val="16"/>
              </w:rPr>
            </w:pPr>
          </w:p>
        </w:tc>
        <w:tc>
          <w:tcPr>
            <w:tcW w:w="709" w:type="dxa"/>
            <w:tcBorders>
              <w:top w:val="single" w:sz="4" w:space="0" w:color="000000"/>
            </w:tcBorders>
          </w:tcPr>
          <w:p>
            <w:pPr>
              <w:pStyle w:val="TableParagraph"/>
              <w:rPr>
                <w:rFonts w:ascii="Times New Roman"/>
                <w:sz w:val="16"/>
              </w:rPr>
            </w:pPr>
          </w:p>
        </w:tc>
        <w:tc>
          <w:tcPr>
            <w:tcW w:w="757" w:type="dxa"/>
            <w:tcBorders>
              <w:top w:val="single" w:sz="4" w:space="0" w:color="000000"/>
            </w:tcBorders>
          </w:tcPr>
          <w:p>
            <w:pPr>
              <w:pStyle w:val="TableParagraph"/>
              <w:rPr>
                <w:rFonts w:ascii="Times New Roman"/>
                <w:sz w:val="16"/>
              </w:rPr>
            </w:pPr>
          </w:p>
        </w:tc>
        <w:tc>
          <w:tcPr>
            <w:tcW w:w="903" w:type="dxa"/>
            <w:tcBorders>
              <w:top w:val="single" w:sz="4" w:space="0" w:color="000000"/>
            </w:tcBorders>
          </w:tcPr>
          <w:p>
            <w:pPr>
              <w:pStyle w:val="TableParagraph"/>
              <w:rPr>
                <w:rFonts w:ascii="Times New Roman"/>
                <w:sz w:val="16"/>
              </w:rPr>
            </w:pPr>
          </w:p>
        </w:tc>
        <w:tc>
          <w:tcPr>
            <w:tcW w:w="685" w:type="dxa"/>
            <w:tcBorders>
              <w:top w:val="single" w:sz="4" w:space="0" w:color="000000"/>
            </w:tcBorders>
          </w:tcPr>
          <w:p>
            <w:pPr>
              <w:pStyle w:val="TableParagraph"/>
              <w:rPr>
                <w:rFonts w:ascii="Times New Roman"/>
                <w:sz w:val="16"/>
              </w:rPr>
            </w:pPr>
          </w:p>
        </w:tc>
        <w:tc>
          <w:tcPr>
            <w:tcW w:w="800" w:type="dxa"/>
            <w:tcBorders>
              <w:top w:val="single" w:sz="4" w:space="0" w:color="000000"/>
            </w:tcBorders>
          </w:tcPr>
          <w:p>
            <w:pPr>
              <w:pStyle w:val="TableParagraph"/>
              <w:rPr>
                <w:rFonts w:ascii="Times New Roman"/>
                <w:sz w:val="16"/>
              </w:rPr>
            </w:pPr>
          </w:p>
        </w:tc>
        <w:tc>
          <w:tcPr>
            <w:tcW w:w="654" w:type="dxa"/>
            <w:tcBorders>
              <w:top w:val="single" w:sz="4" w:space="0" w:color="000000"/>
            </w:tcBorders>
          </w:tcPr>
          <w:p>
            <w:pPr>
              <w:pStyle w:val="TableParagraph"/>
              <w:rPr>
                <w:rFonts w:ascii="Times New Roman"/>
                <w:sz w:val="16"/>
              </w:rPr>
            </w:pPr>
          </w:p>
        </w:tc>
        <w:tc>
          <w:tcPr>
            <w:tcW w:w="716" w:type="dxa"/>
            <w:tcBorders>
              <w:top w:val="single" w:sz="4" w:space="0" w:color="000000"/>
            </w:tcBorders>
          </w:tcPr>
          <w:p>
            <w:pPr>
              <w:pStyle w:val="TableParagraph"/>
              <w:rPr>
                <w:rFonts w:ascii="Times New Roman"/>
                <w:sz w:val="16"/>
              </w:rPr>
            </w:pPr>
          </w:p>
        </w:tc>
        <w:tc>
          <w:tcPr>
            <w:tcW w:w="721" w:type="dxa"/>
            <w:tcBorders>
              <w:top w:val="single" w:sz="4" w:space="0" w:color="000000"/>
            </w:tcBorders>
          </w:tcPr>
          <w:p>
            <w:pPr>
              <w:pStyle w:val="TableParagraph"/>
              <w:rPr>
                <w:rFonts w:ascii="Times New Roman"/>
                <w:sz w:val="16"/>
              </w:rPr>
            </w:pPr>
          </w:p>
        </w:tc>
        <w:tc>
          <w:tcPr>
            <w:tcW w:w="739" w:type="dxa"/>
            <w:tcBorders>
              <w:top w:val="single" w:sz="4" w:space="0" w:color="000000"/>
              <w:right w:val="single" w:sz="4" w:space="0" w:color="000000"/>
            </w:tcBorders>
          </w:tcPr>
          <w:p>
            <w:pPr>
              <w:pStyle w:val="TableParagraph"/>
              <w:rPr>
                <w:rFonts w:ascii="Times New Roman"/>
                <w:sz w:val="16"/>
              </w:rPr>
            </w:pPr>
          </w:p>
        </w:tc>
      </w:tr>
      <w:tr>
        <w:trPr>
          <w:trHeight w:val="230" w:hRule="atLeast"/>
        </w:trPr>
        <w:tc>
          <w:tcPr>
            <w:tcW w:w="4148" w:type="dxa"/>
            <w:tcBorders>
              <w:left w:val="single" w:sz="4" w:space="0" w:color="000000"/>
            </w:tcBorders>
          </w:tcPr>
          <w:p>
            <w:pPr>
              <w:pStyle w:val="TableParagraph"/>
              <w:tabs>
                <w:tab w:pos="686" w:val="left" w:leader="none"/>
                <w:tab w:pos="1156" w:val="left" w:leader="none"/>
                <w:tab w:pos="2285" w:val="left" w:leader="none"/>
                <w:tab w:pos="2865" w:val="left" w:leader="none"/>
              </w:tabs>
              <w:spacing w:line="210" w:lineRule="exact"/>
              <w:ind w:right="106"/>
              <w:jc w:val="right"/>
              <w:rPr>
                <w:sz w:val="20"/>
              </w:rPr>
            </w:pPr>
            <w:r>
              <w:rPr>
                <w:spacing w:val="-4"/>
                <w:sz w:val="20"/>
              </w:rPr>
              <w:t>have</w:t>
            </w:r>
            <w:r>
              <w:rPr>
                <w:sz w:val="20"/>
              </w:rPr>
              <w:tab/>
            </w:r>
            <w:r>
              <w:rPr>
                <w:spacing w:val="-5"/>
                <w:sz w:val="20"/>
              </w:rPr>
              <w:t>an</w:t>
            </w:r>
            <w:r>
              <w:rPr>
                <w:sz w:val="20"/>
              </w:rPr>
              <w:tab/>
            </w:r>
            <w:r>
              <w:rPr>
                <w:spacing w:val="-2"/>
                <w:sz w:val="20"/>
              </w:rPr>
              <w:t>organized</w:t>
            </w:r>
            <w:r>
              <w:rPr>
                <w:sz w:val="20"/>
              </w:rPr>
              <w:tab/>
            </w:r>
            <w:r>
              <w:rPr>
                <w:spacing w:val="-5"/>
                <w:sz w:val="20"/>
              </w:rPr>
              <w:t>and</w:t>
            </w:r>
            <w:r>
              <w:rPr>
                <w:sz w:val="20"/>
              </w:rPr>
              <w:tab/>
            </w:r>
            <w:r>
              <w:rPr>
                <w:spacing w:val="-4"/>
                <w:sz w:val="20"/>
              </w:rPr>
              <w:t>well</w:t>
            </w:r>
          </w:p>
        </w:tc>
        <w:tc>
          <w:tcPr>
            <w:tcW w:w="1795" w:type="dxa"/>
          </w:tcPr>
          <w:p>
            <w:pPr>
              <w:pStyle w:val="TableParagraph"/>
              <w:spacing w:line="210" w:lineRule="exact"/>
              <w:ind w:left="109"/>
              <w:rPr>
                <w:sz w:val="20"/>
              </w:rPr>
            </w:pPr>
            <w:r>
              <w:rPr>
                <w:spacing w:val="-2"/>
                <w:sz w:val="20"/>
              </w:rPr>
              <w:t>observations</w:t>
            </w:r>
          </w:p>
        </w:tc>
        <w:tc>
          <w:tcPr>
            <w:tcW w:w="678" w:type="dxa"/>
          </w:tcPr>
          <w:p>
            <w:pPr>
              <w:pStyle w:val="TableParagraph"/>
              <w:spacing w:line="210" w:lineRule="exact"/>
              <w:ind w:left="57"/>
              <w:jc w:val="center"/>
              <w:rPr>
                <w:sz w:val="20"/>
              </w:rPr>
            </w:pPr>
            <w:r>
              <w:rPr>
                <w:spacing w:val="-10"/>
                <w:sz w:val="20"/>
              </w:rPr>
              <w:t>1</w:t>
            </w:r>
          </w:p>
        </w:tc>
        <w:tc>
          <w:tcPr>
            <w:tcW w:w="778" w:type="dxa"/>
          </w:tcPr>
          <w:p>
            <w:pPr>
              <w:pStyle w:val="TableParagraph"/>
              <w:spacing w:line="210" w:lineRule="exact"/>
              <w:ind w:left="112" w:right="71"/>
              <w:jc w:val="center"/>
              <w:rPr>
                <w:sz w:val="20"/>
              </w:rPr>
            </w:pPr>
            <w:r>
              <w:rPr>
                <w:spacing w:val="-4"/>
                <w:sz w:val="20"/>
              </w:rPr>
              <w:t>50.0</w:t>
            </w:r>
          </w:p>
        </w:tc>
        <w:tc>
          <w:tcPr>
            <w:tcW w:w="692" w:type="dxa"/>
          </w:tcPr>
          <w:p>
            <w:pPr>
              <w:pStyle w:val="TableParagraph"/>
              <w:spacing w:line="210" w:lineRule="exact"/>
              <w:ind w:left="23" w:right="19"/>
              <w:jc w:val="center"/>
              <w:rPr>
                <w:sz w:val="20"/>
              </w:rPr>
            </w:pPr>
            <w:r>
              <w:rPr>
                <w:spacing w:val="-10"/>
                <w:sz w:val="20"/>
              </w:rPr>
              <w:t>-</w:t>
            </w:r>
          </w:p>
        </w:tc>
        <w:tc>
          <w:tcPr>
            <w:tcW w:w="709" w:type="dxa"/>
          </w:tcPr>
          <w:p>
            <w:pPr>
              <w:pStyle w:val="TableParagraph"/>
              <w:spacing w:line="210" w:lineRule="exact"/>
              <w:ind w:left="63" w:right="20"/>
              <w:jc w:val="center"/>
              <w:rPr>
                <w:sz w:val="20"/>
              </w:rPr>
            </w:pPr>
            <w:r>
              <w:rPr>
                <w:spacing w:val="-10"/>
                <w:sz w:val="20"/>
              </w:rPr>
              <w:t>-</w:t>
            </w:r>
          </w:p>
        </w:tc>
        <w:tc>
          <w:tcPr>
            <w:tcW w:w="757" w:type="dxa"/>
          </w:tcPr>
          <w:p>
            <w:pPr>
              <w:pStyle w:val="TableParagraph"/>
              <w:spacing w:line="210" w:lineRule="exact"/>
              <w:ind w:right="308"/>
              <w:jc w:val="right"/>
              <w:rPr>
                <w:sz w:val="20"/>
              </w:rPr>
            </w:pPr>
            <w:r>
              <w:rPr>
                <w:spacing w:val="-10"/>
                <w:sz w:val="20"/>
              </w:rPr>
              <w:t>1</w:t>
            </w:r>
          </w:p>
        </w:tc>
        <w:tc>
          <w:tcPr>
            <w:tcW w:w="903" w:type="dxa"/>
          </w:tcPr>
          <w:p>
            <w:pPr>
              <w:pStyle w:val="TableParagraph"/>
              <w:spacing w:line="210" w:lineRule="exact"/>
              <w:ind w:left="13" w:right="8"/>
              <w:jc w:val="center"/>
              <w:rPr>
                <w:sz w:val="20"/>
              </w:rPr>
            </w:pPr>
            <w:r>
              <w:rPr>
                <w:spacing w:val="-4"/>
                <w:sz w:val="20"/>
              </w:rPr>
              <w:t>50.0</w:t>
            </w:r>
          </w:p>
        </w:tc>
        <w:tc>
          <w:tcPr>
            <w:tcW w:w="685" w:type="dxa"/>
          </w:tcPr>
          <w:p>
            <w:pPr>
              <w:pStyle w:val="TableParagraph"/>
              <w:spacing w:line="210" w:lineRule="exact"/>
              <w:ind w:left="75" w:right="32"/>
              <w:jc w:val="center"/>
              <w:rPr>
                <w:sz w:val="20"/>
              </w:rPr>
            </w:pPr>
            <w:r>
              <w:rPr>
                <w:spacing w:val="-10"/>
                <w:sz w:val="20"/>
              </w:rPr>
              <w:t>-</w:t>
            </w:r>
          </w:p>
        </w:tc>
        <w:tc>
          <w:tcPr>
            <w:tcW w:w="800" w:type="dxa"/>
          </w:tcPr>
          <w:p>
            <w:pPr>
              <w:pStyle w:val="TableParagraph"/>
              <w:spacing w:line="210" w:lineRule="exact"/>
              <w:ind w:left="18" w:right="19"/>
              <w:jc w:val="center"/>
              <w:rPr>
                <w:sz w:val="20"/>
              </w:rPr>
            </w:pPr>
            <w:r>
              <w:rPr>
                <w:spacing w:val="-10"/>
                <w:sz w:val="20"/>
              </w:rPr>
              <w:t>-</w:t>
            </w:r>
          </w:p>
        </w:tc>
        <w:tc>
          <w:tcPr>
            <w:tcW w:w="654" w:type="dxa"/>
          </w:tcPr>
          <w:p>
            <w:pPr>
              <w:pStyle w:val="TableParagraph"/>
              <w:spacing w:line="210" w:lineRule="exact"/>
              <w:ind w:right="33"/>
              <w:jc w:val="center"/>
              <w:rPr>
                <w:sz w:val="20"/>
              </w:rPr>
            </w:pPr>
            <w:r>
              <w:rPr>
                <w:spacing w:val="-10"/>
                <w:sz w:val="20"/>
              </w:rPr>
              <w:t>-</w:t>
            </w:r>
          </w:p>
        </w:tc>
        <w:tc>
          <w:tcPr>
            <w:tcW w:w="716" w:type="dxa"/>
          </w:tcPr>
          <w:p>
            <w:pPr>
              <w:pStyle w:val="TableParagraph"/>
              <w:spacing w:line="210" w:lineRule="exact"/>
              <w:ind w:left="22" w:right="7"/>
              <w:jc w:val="center"/>
              <w:rPr>
                <w:sz w:val="20"/>
              </w:rPr>
            </w:pPr>
            <w:r>
              <w:rPr>
                <w:spacing w:val="-10"/>
                <w:sz w:val="20"/>
              </w:rPr>
              <w:t>-</w:t>
            </w:r>
          </w:p>
        </w:tc>
        <w:tc>
          <w:tcPr>
            <w:tcW w:w="721" w:type="dxa"/>
          </w:tcPr>
          <w:p>
            <w:pPr>
              <w:pStyle w:val="TableParagraph"/>
              <w:spacing w:line="210" w:lineRule="exact"/>
              <w:ind w:left="50" w:right="25"/>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31"/>
              <w:jc w:val="center"/>
              <w:rPr>
                <w:sz w:val="20"/>
              </w:rPr>
            </w:pPr>
            <w:r>
              <w:rPr>
                <w:spacing w:val="-5"/>
                <w:sz w:val="20"/>
              </w:rPr>
              <w:t>0.4</w:t>
            </w:r>
          </w:p>
        </w:tc>
      </w:tr>
      <w:tr>
        <w:trPr>
          <w:trHeight w:val="230" w:hRule="atLeast"/>
        </w:trPr>
        <w:tc>
          <w:tcPr>
            <w:tcW w:w="4148" w:type="dxa"/>
            <w:tcBorders>
              <w:left w:val="single" w:sz="4" w:space="0" w:color="000000"/>
            </w:tcBorders>
          </w:tcPr>
          <w:p>
            <w:pPr>
              <w:pStyle w:val="TableParagraph"/>
              <w:spacing w:line="210" w:lineRule="exact"/>
              <w:ind w:right="101"/>
              <w:jc w:val="right"/>
              <w:rPr>
                <w:sz w:val="20"/>
              </w:rPr>
            </w:pPr>
            <w:r>
              <w:rPr>
                <w:sz w:val="20"/>
              </w:rPr>
              <w:t>supervised</w:t>
            </w:r>
            <w:r>
              <w:rPr>
                <w:spacing w:val="79"/>
                <w:sz w:val="20"/>
              </w:rPr>
              <w:t> </w:t>
            </w:r>
            <w:r>
              <w:rPr>
                <w:sz w:val="20"/>
              </w:rPr>
              <w:t>transport</w:t>
            </w:r>
            <w:r>
              <w:rPr>
                <w:spacing w:val="54"/>
                <w:w w:val="150"/>
                <w:sz w:val="20"/>
              </w:rPr>
              <w:t> </w:t>
            </w:r>
            <w:r>
              <w:rPr>
                <w:sz w:val="20"/>
              </w:rPr>
              <w:t>facilities</w:t>
            </w:r>
            <w:r>
              <w:rPr>
                <w:spacing w:val="77"/>
                <w:sz w:val="20"/>
              </w:rPr>
              <w:t> </w:t>
            </w:r>
            <w:r>
              <w:rPr>
                <w:spacing w:val="-4"/>
                <w:sz w:val="20"/>
              </w:rPr>
              <w:t>like</w:t>
            </w:r>
          </w:p>
        </w:tc>
        <w:tc>
          <w:tcPr>
            <w:tcW w:w="1795" w:type="dxa"/>
          </w:tcPr>
          <w:p>
            <w:pPr>
              <w:pStyle w:val="TableParagraph"/>
              <w:spacing w:line="210" w:lineRule="exact"/>
              <w:ind w:left="109"/>
              <w:rPr>
                <w:sz w:val="20"/>
              </w:rPr>
            </w:pPr>
            <w:r>
              <w:rPr>
                <w:spacing w:val="-2"/>
                <w:sz w:val="20"/>
              </w:rPr>
              <w:t>Students</w:t>
            </w:r>
          </w:p>
        </w:tc>
        <w:tc>
          <w:tcPr>
            <w:tcW w:w="678" w:type="dxa"/>
          </w:tcPr>
          <w:p>
            <w:pPr>
              <w:pStyle w:val="TableParagraph"/>
              <w:spacing w:line="210" w:lineRule="exact"/>
              <w:ind w:left="57" w:right="10"/>
              <w:jc w:val="center"/>
              <w:rPr>
                <w:sz w:val="20"/>
              </w:rPr>
            </w:pPr>
            <w:r>
              <w:rPr>
                <w:spacing w:val="-5"/>
                <w:sz w:val="20"/>
              </w:rPr>
              <w:t>119</w:t>
            </w:r>
          </w:p>
        </w:tc>
        <w:tc>
          <w:tcPr>
            <w:tcW w:w="778" w:type="dxa"/>
          </w:tcPr>
          <w:p>
            <w:pPr>
              <w:pStyle w:val="TableParagraph"/>
              <w:spacing w:line="210" w:lineRule="exact"/>
              <w:ind w:left="112" w:right="71"/>
              <w:jc w:val="center"/>
              <w:rPr>
                <w:sz w:val="20"/>
              </w:rPr>
            </w:pPr>
            <w:r>
              <w:rPr>
                <w:spacing w:val="-4"/>
                <w:sz w:val="20"/>
              </w:rPr>
              <w:t>50.6</w:t>
            </w:r>
          </w:p>
        </w:tc>
        <w:tc>
          <w:tcPr>
            <w:tcW w:w="692" w:type="dxa"/>
          </w:tcPr>
          <w:p>
            <w:pPr>
              <w:pStyle w:val="TableParagraph"/>
              <w:spacing w:line="210" w:lineRule="exact"/>
              <w:ind w:left="23" w:right="17"/>
              <w:jc w:val="center"/>
              <w:rPr>
                <w:sz w:val="20"/>
              </w:rPr>
            </w:pPr>
            <w:r>
              <w:rPr>
                <w:spacing w:val="-5"/>
                <w:sz w:val="20"/>
              </w:rPr>
              <w:t>86</w:t>
            </w:r>
          </w:p>
        </w:tc>
        <w:tc>
          <w:tcPr>
            <w:tcW w:w="709" w:type="dxa"/>
          </w:tcPr>
          <w:p>
            <w:pPr>
              <w:pStyle w:val="TableParagraph"/>
              <w:spacing w:line="210" w:lineRule="exact"/>
              <w:ind w:left="70" w:right="20"/>
              <w:jc w:val="center"/>
              <w:rPr>
                <w:sz w:val="20"/>
              </w:rPr>
            </w:pPr>
            <w:r>
              <w:rPr>
                <w:spacing w:val="-4"/>
                <w:sz w:val="20"/>
              </w:rPr>
              <w:t>36.6</w:t>
            </w:r>
          </w:p>
        </w:tc>
        <w:tc>
          <w:tcPr>
            <w:tcW w:w="757" w:type="dxa"/>
          </w:tcPr>
          <w:p>
            <w:pPr>
              <w:pStyle w:val="TableParagraph"/>
              <w:spacing w:line="210" w:lineRule="exact"/>
              <w:ind w:right="255"/>
              <w:jc w:val="right"/>
              <w:rPr>
                <w:sz w:val="20"/>
              </w:rPr>
            </w:pPr>
            <w:r>
              <w:rPr>
                <w:spacing w:val="-5"/>
                <w:sz w:val="20"/>
              </w:rPr>
              <w:t>14</w:t>
            </w:r>
          </w:p>
        </w:tc>
        <w:tc>
          <w:tcPr>
            <w:tcW w:w="903" w:type="dxa"/>
          </w:tcPr>
          <w:p>
            <w:pPr>
              <w:pStyle w:val="TableParagraph"/>
              <w:spacing w:line="210" w:lineRule="exact"/>
              <w:ind w:left="13" w:right="13"/>
              <w:jc w:val="center"/>
              <w:rPr>
                <w:sz w:val="20"/>
              </w:rPr>
            </w:pPr>
            <w:r>
              <w:rPr>
                <w:spacing w:val="-5"/>
                <w:sz w:val="20"/>
              </w:rPr>
              <w:t>6.0</w:t>
            </w:r>
          </w:p>
        </w:tc>
        <w:tc>
          <w:tcPr>
            <w:tcW w:w="685" w:type="dxa"/>
          </w:tcPr>
          <w:p>
            <w:pPr>
              <w:pStyle w:val="TableParagraph"/>
              <w:spacing w:line="210" w:lineRule="exact"/>
              <w:ind w:left="77" w:right="32"/>
              <w:jc w:val="center"/>
              <w:rPr>
                <w:sz w:val="20"/>
              </w:rPr>
            </w:pPr>
            <w:r>
              <w:rPr>
                <w:spacing w:val="-5"/>
                <w:sz w:val="20"/>
              </w:rPr>
              <w:t>10</w:t>
            </w:r>
          </w:p>
        </w:tc>
        <w:tc>
          <w:tcPr>
            <w:tcW w:w="800" w:type="dxa"/>
          </w:tcPr>
          <w:p>
            <w:pPr>
              <w:pStyle w:val="TableParagraph"/>
              <w:spacing w:line="210" w:lineRule="exact"/>
              <w:ind w:left="18" w:right="18"/>
              <w:jc w:val="center"/>
              <w:rPr>
                <w:sz w:val="20"/>
              </w:rPr>
            </w:pPr>
            <w:r>
              <w:rPr>
                <w:spacing w:val="-5"/>
                <w:sz w:val="20"/>
              </w:rPr>
              <w:t>4.3</w:t>
            </w:r>
          </w:p>
        </w:tc>
        <w:tc>
          <w:tcPr>
            <w:tcW w:w="654" w:type="dxa"/>
          </w:tcPr>
          <w:p>
            <w:pPr>
              <w:pStyle w:val="TableParagraph"/>
              <w:spacing w:line="210" w:lineRule="exact"/>
              <w:ind w:left="7" w:right="33"/>
              <w:jc w:val="center"/>
              <w:rPr>
                <w:sz w:val="20"/>
              </w:rPr>
            </w:pPr>
            <w:r>
              <w:rPr>
                <w:spacing w:val="-10"/>
                <w:sz w:val="20"/>
              </w:rPr>
              <w:t>6</w:t>
            </w:r>
          </w:p>
        </w:tc>
        <w:tc>
          <w:tcPr>
            <w:tcW w:w="716" w:type="dxa"/>
          </w:tcPr>
          <w:p>
            <w:pPr>
              <w:pStyle w:val="TableParagraph"/>
              <w:spacing w:line="210" w:lineRule="exact"/>
              <w:ind w:left="22" w:right="5"/>
              <w:jc w:val="center"/>
              <w:rPr>
                <w:sz w:val="20"/>
              </w:rPr>
            </w:pPr>
            <w:r>
              <w:rPr>
                <w:spacing w:val="-5"/>
                <w:sz w:val="20"/>
              </w:rPr>
              <w:t>2.6</w:t>
            </w:r>
          </w:p>
        </w:tc>
        <w:tc>
          <w:tcPr>
            <w:tcW w:w="721" w:type="dxa"/>
          </w:tcPr>
          <w:p>
            <w:pPr>
              <w:pStyle w:val="TableParagraph"/>
              <w:spacing w:line="210" w:lineRule="exact"/>
              <w:ind w:left="50" w:right="35"/>
              <w:jc w:val="center"/>
              <w:rPr>
                <w:sz w:val="20"/>
              </w:rPr>
            </w:pPr>
            <w:r>
              <w:rPr>
                <w:spacing w:val="-5"/>
                <w:sz w:val="20"/>
              </w:rPr>
              <w:t>235</w:t>
            </w:r>
          </w:p>
        </w:tc>
        <w:tc>
          <w:tcPr>
            <w:tcW w:w="739" w:type="dxa"/>
            <w:tcBorders>
              <w:right w:val="single" w:sz="4" w:space="0" w:color="000000"/>
            </w:tcBorders>
          </w:tcPr>
          <w:p>
            <w:pPr>
              <w:pStyle w:val="TableParagraph"/>
              <w:spacing w:line="210" w:lineRule="exact"/>
              <w:ind w:left="36" w:right="26"/>
              <w:jc w:val="center"/>
              <w:rPr>
                <w:sz w:val="20"/>
              </w:rPr>
            </w:pPr>
            <w:r>
              <w:rPr>
                <w:spacing w:val="-4"/>
                <w:sz w:val="20"/>
              </w:rPr>
              <w:t>50.8</w:t>
            </w:r>
          </w:p>
        </w:tc>
      </w:tr>
      <w:tr>
        <w:trPr>
          <w:trHeight w:val="230" w:hRule="atLeast"/>
        </w:trPr>
        <w:tc>
          <w:tcPr>
            <w:tcW w:w="4148" w:type="dxa"/>
            <w:tcBorders>
              <w:left w:val="single" w:sz="4" w:space="0" w:color="000000"/>
            </w:tcBorders>
          </w:tcPr>
          <w:p>
            <w:pPr>
              <w:pStyle w:val="TableParagraph"/>
              <w:spacing w:line="210" w:lineRule="exact"/>
              <w:ind w:right="106"/>
              <w:jc w:val="right"/>
              <w:rPr>
                <w:sz w:val="20"/>
              </w:rPr>
            </w:pPr>
            <w:r>
              <w:rPr>
                <w:sz w:val="20"/>
              </w:rPr>
              <w:t>express,</w:t>
            </w:r>
            <w:r>
              <w:rPr>
                <w:spacing w:val="49"/>
                <w:sz w:val="20"/>
              </w:rPr>
              <w:t> </w:t>
            </w:r>
            <w:r>
              <w:rPr>
                <w:sz w:val="20"/>
              </w:rPr>
              <w:t>buses,</w:t>
            </w:r>
            <w:r>
              <w:rPr>
                <w:spacing w:val="50"/>
                <w:sz w:val="20"/>
              </w:rPr>
              <w:t> </w:t>
            </w:r>
            <w:r>
              <w:rPr>
                <w:sz w:val="20"/>
              </w:rPr>
              <w:t>bicycles</w:t>
            </w:r>
            <w:r>
              <w:rPr>
                <w:spacing w:val="43"/>
                <w:sz w:val="20"/>
              </w:rPr>
              <w:t> </w:t>
            </w:r>
            <w:r>
              <w:rPr>
                <w:sz w:val="20"/>
              </w:rPr>
              <w:t>so</w:t>
            </w:r>
            <w:r>
              <w:rPr>
                <w:spacing w:val="51"/>
                <w:sz w:val="20"/>
              </w:rPr>
              <w:t> </w:t>
            </w:r>
            <w:r>
              <w:rPr>
                <w:sz w:val="20"/>
              </w:rPr>
              <w:t>as</w:t>
            </w:r>
            <w:r>
              <w:rPr>
                <w:spacing w:val="49"/>
                <w:sz w:val="20"/>
              </w:rPr>
              <w:t> </w:t>
            </w:r>
            <w:r>
              <w:rPr>
                <w:spacing w:val="-5"/>
                <w:sz w:val="20"/>
              </w:rPr>
              <w:t>to</w:t>
            </w:r>
          </w:p>
        </w:tc>
        <w:tc>
          <w:tcPr>
            <w:tcW w:w="1795" w:type="dxa"/>
          </w:tcPr>
          <w:p>
            <w:pPr>
              <w:pStyle w:val="TableParagraph"/>
              <w:spacing w:line="210" w:lineRule="exact"/>
              <w:ind w:left="109"/>
              <w:rPr>
                <w:sz w:val="20"/>
              </w:rPr>
            </w:pPr>
            <w:r>
              <w:rPr>
                <w:sz w:val="20"/>
              </w:rPr>
              <w:t>Service</w:t>
            </w:r>
            <w:r>
              <w:rPr>
                <w:spacing w:val="-9"/>
                <w:sz w:val="20"/>
              </w:rPr>
              <w:t> </w:t>
            </w:r>
            <w:r>
              <w:rPr>
                <w:spacing w:val="-2"/>
                <w:sz w:val="20"/>
              </w:rPr>
              <w:t>Staff</w:t>
            </w:r>
          </w:p>
        </w:tc>
        <w:tc>
          <w:tcPr>
            <w:tcW w:w="678" w:type="dxa"/>
          </w:tcPr>
          <w:p>
            <w:pPr>
              <w:pStyle w:val="TableParagraph"/>
              <w:spacing w:line="210" w:lineRule="exact"/>
              <w:ind w:left="57" w:right="5"/>
              <w:jc w:val="center"/>
              <w:rPr>
                <w:sz w:val="20"/>
              </w:rPr>
            </w:pPr>
            <w:r>
              <w:rPr>
                <w:spacing w:val="-5"/>
                <w:sz w:val="20"/>
              </w:rPr>
              <w:t>97</w:t>
            </w:r>
          </w:p>
        </w:tc>
        <w:tc>
          <w:tcPr>
            <w:tcW w:w="778" w:type="dxa"/>
          </w:tcPr>
          <w:p>
            <w:pPr>
              <w:pStyle w:val="TableParagraph"/>
              <w:spacing w:line="210" w:lineRule="exact"/>
              <w:ind w:left="112" w:right="71"/>
              <w:jc w:val="center"/>
              <w:rPr>
                <w:sz w:val="20"/>
              </w:rPr>
            </w:pPr>
            <w:r>
              <w:rPr>
                <w:spacing w:val="-4"/>
                <w:sz w:val="20"/>
              </w:rPr>
              <w:t>47.8</w:t>
            </w:r>
          </w:p>
        </w:tc>
        <w:tc>
          <w:tcPr>
            <w:tcW w:w="692" w:type="dxa"/>
          </w:tcPr>
          <w:p>
            <w:pPr>
              <w:pStyle w:val="TableParagraph"/>
              <w:spacing w:line="210" w:lineRule="exact"/>
              <w:ind w:left="23" w:right="17"/>
              <w:jc w:val="center"/>
              <w:rPr>
                <w:sz w:val="20"/>
              </w:rPr>
            </w:pPr>
            <w:r>
              <w:rPr>
                <w:spacing w:val="-5"/>
                <w:sz w:val="20"/>
              </w:rPr>
              <w:t>77</w:t>
            </w:r>
          </w:p>
        </w:tc>
        <w:tc>
          <w:tcPr>
            <w:tcW w:w="709" w:type="dxa"/>
          </w:tcPr>
          <w:p>
            <w:pPr>
              <w:pStyle w:val="TableParagraph"/>
              <w:spacing w:line="210" w:lineRule="exact"/>
              <w:ind w:left="70" w:right="20"/>
              <w:jc w:val="center"/>
              <w:rPr>
                <w:sz w:val="20"/>
              </w:rPr>
            </w:pPr>
            <w:r>
              <w:rPr>
                <w:spacing w:val="-4"/>
                <w:sz w:val="20"/>
              </w:rPr>
              <w:t>37.9</w:t>
            </w:r>
          </w:p>
        </w:tc>
        <w:tc>
          <w:tcPr>
            <w:tcW w:w="757" w:type="dxa"/>
          </w:tcPr>
          <w:p>
            <w:pPr>
              <w:pStyle w:val="TableParagraph"/>
              <w:spacing w:line="210" w:lineRule="exact"/>
              <w:ind w:right="255"/>
              <w:jc w:val="right"/>
              <w:rPr>
                <w:sz w:val="20"/>
              </w:rPr>
            </w:pPr>
            <w:r>
              <w:rPr>
                <w:spacing w:val="-5"/>
                <w:sz w:val="20"/>
              </w:rPr>
              <w:t>16</w:t>
            </w:r>
          </w:p>
        </w:tc>
        <w:tc>
          <w:tcPr>
            <w:tcW w:w="903" w:type="dxa"/>
          </w:tcPr>
          <w:p>
            <w:pPr>
              <w:pStyle w:val="TableParagraph"/>
              <w:spacing w:line="210" w:lineRule="exact"/>
              <w:ind w:left="13" w:right="13"/>
              <w:jc w:val="center"/>
              <w:rPr>
                <w:sz w:val="20"/>
              </w:rPr>
            </w:pPr>
            <w:r>
              <w:rPr>
                <w:spacing w:val="-5"/>
                <w:sz w:val="20"/>
              </w:rPr>
              <w:t>7.9</w:t>
            </w:r>
          </w:p>
        </w:tc>
        <w:tc>
          <w:tcPr>
            <w:tcW w:w="685" w:type="dxa"/>
          </w:tcPr>
          <w:p>
            <w:pPr>
              <w:pStyle w:val="TableParagraph"/>
              <w:spacing w:line="210" w:lineRule="exact"/>
              <w:ind w:left="81" w:right="32"/>
              <w:jc w:val="center"/>
              <w:rPr>
                <w:sz w:val="20"/>
              </w:rPr>
            </w:pPr>
            <w:r>
              <w:rPr>
                <w:spacing w:val="-10"/>
                <w:sz w:val="20"/>
              </w:rPr>
              <w:t>9</w:t>
            </w:r>
          </w:p>
        </w:tc>
        <w:tc>
          <w:tcPr>
            <w:tcW w:w="800" w:type="dxa"/>
          </w:tcPr>
          <w:p>
            <w:pPr>
              <w:pStyle w:val="TableParagraph"/>
              <w:spacing w:line="210" w:lineRule="exact"/>
              <w:ind w:left="18" w:right="18"/>
              <w:jc w:val="center"/>
              <w:rPr>
                <w:sz w:val="20"/>
              </w:rPr>
            </w:pPr>
            <w:r>
              <w:rPr>
                <w:spacing w:val="-5"/>
                <w:sz w:val="20"/>
              </w:rPr>
              <w:t>4.4</w:t>
            </w:r>
          </w:p>
        </w:tc>
        <w:tc>
          <w:tcPr>
            <w:tcW w:w="654" w:type="dxa"/>
          </w:tcPr>
          <w:p>
            <w:pPr>
              <w:pStyle w:val="TableParagraph"/>
              <w:spacing w:line="210" w:lineRule="exact"/>
              <w:ind w:left="7" w:right="33"/>
              <w:jc w:val="center"/>
              <w:rPr>
                <w:sz w:val="20"/>
              </w:rPr>
            </w:pPr>
            <w:r>
              <w:rPr>
                <w:spacing w:val="-10"/>
                <w:sz w:val="20"/>
              </w:rPr>
              <w:t>4</w:t>
            </w:r>
          </w:p>
        </w:tc>
        <w:tc>
          <w:tcPr>
            <w:tcW w:w="716" w:type="dxa"/>
          </w:tcPr>
          <w:p>
            <w:pPr>
              <w:pStyle w:val="TableParagraph"/>
              <w:spacing w:line="210" w:lineRule="exact"/>
              <w:ind w:left="22" w:right="5"/>
              <w:jc w:val="center"/>
              <w:rPr>
                <w:sz w:val="20"/>
              </w:rPr>
            </w:pPr>
            <w:r>
              <w:rPr>
                <w:spacing w:val="-5"/>
                <w:sz w:val="20"/>
              </w:rPr>
              <w:t>2.0</w:t>
            </w:r>
          </w:p>
        </w:tc>
        <w:tc>
          <w:tcPr>
            <w:tcW w:w="721" w:type="dxa"/>
          </w:tcPr>
          <w:p>
            <w:pPr>
              <w:pStyle w:val="TableParagraph"/>
              <w:spacing w:line="210" w:lineRule="exact"/>
              <w:ind w:left="50" w:right="35"/>
              <w:jc w:val="center"/>
              <w:rPr>
                <w:sz w:val="20"/>
              </w:rPr>
            </w:pPr>
            <w:r>
              <w:rPr>
                <w:spacing w:val="-5"/>
                <w:sz w:val="20"/>
              </w:rPr>
              <w:t>203</w:t>
            </w:r>
          </w:p>
        </w:tc>
        <w:tc>
          <w:tcPr>
            <w:tcW w:w="739" w:type="dxa"/>
            <w:tcBorders>
              <w:right w:val="single" w:sz="4" w:space="0" w:color="000000"/>
            </w:tcBorders>
          </w:tcPr>
          <w:p>
            <w:pPr>
              <w:pStyle w:val="TableParagraph"/>
              <w:spacing w:line="210" w:lineRule="exact"/>
              <w:ind w:left="36" w:right="26"/>
              <w:jc w:val="center"/>
              <w:rPr>
                <w:sz w:val="20"/>
              </w:rPr>
            </w:pPr>
            <w:r>
              <w:rPr>
                <w:spacing w:val="-4"/>
                <w:sz w:val="20"/>
              </w:rPr>
              <w:t>43.8</w:t>
            </w:r>
          </w:p>
        </w:tc>
      </w:tr>
      <w:tr>
        <w:trPr>
          <w:trHeight w:val="228" w:hRule="atLeast"/>
        </w:trPr>
        <w:tc>
          <w:tcPr>
            <w:tcW w:w="4148" w:type="dxa"/>
            <w:tcBorders>
              <w:left w:val="single" w:sz="4" w:space="0" w:color="000000"/>
            </w:tcBorders>
          </w:tcPr>
          <w:p>
            <w:pPr>
              <w:pStyle w:val="TableParagraph"/>
              <w:spacing w:line="208" w:lineRule="exact"/>
              <w:ind w:right="109"/>
              <w:jc w:val="right"/>
              <w:rPr>
                <w:sz w:val="20"/>
              </w:rPr>
            </w:pPr>
            <w:r>
              <w:rPr>
                <w:sz w:val="20"/>
              </w:rPr>
              <w:t>facilitate</w:t>
            </w:r>
            <w:r>
              <w:rPr>
                <w:spacing w:val="45"/>
                <w:sz w:val="20"/>
              </w:rPr>
              <w:t> </w:t>
            </w:r>
            <w:r>
              <w:rPr>
                <w:sz w:val="20"/>
              </w:rPr>
              <w:t>students’</w:t>
            </w:r>
            <w:r>
              <w:rPr>
                <w:spacing w:val="46"/>
                <w:sz w:val="20"/>
              </w:rPr>
              <w:t> </w:t>
            </w:r>
            <w:r>
              <w:rPr>
                <w:sz w:val="20"/>
              </w:rPr>
              <w:t>movement</w:t>
            </w:r>
            <w:r>
              <w:rPr>
                <w:spacing w:val="44"/>
                <w:sz w:val="20"/>
              </w:rPr>
              <w:t> </w:t>
            </w:r>
            <w:r>
              <w:rPr>
                <w:spacing w:val="-4"/>
                <w:sz w:val="20"/>
              </w:rPr>
              <w:t>from</w:t>
            </w:r>
          </w:p>
        </w:tc>
        <w:tc>
          <w:tcPr>
            <w:tcW w:w="1795" w:type="dxa"/>
          </w:tcPr>
          <w:p>
            <w:pPr>
              <w:pStyle w:val="TableParagraph"/>
              <w:spacing w:line="208" w:lineRule="exact"/>
              <w:ind w:left="109"/>
              <w:rPr>
                <w:sz w:val="20"/>
              </w:rPr>
            </w:pPr>
            <w:r>
              <w:rPr>
                <w:sz w:val="20"/>
              </w:rPr>
              <w:t>Top</w:t>
            </w:r>
            <w:r>
              <w:rPr>
                <w:spacing w:val="-1"/>
                <w:sz w:val="20"/>
              </w:rPr>
              <w:t> </w:t>
            </w:r>
            <w:r>
              <w:rPr>
                <w:spacing w:val="-2"/>
                <w:sz w:val="20"/>
              </w:rPr>
              <w:t>Management</w:t>
            </w:r>
          </w:p>
        </w:tc>
        <w:tc>
          <w:tcPr>
            <w:tcW w:w="678" w:type="dxa"/>
          </w:tcPr>
          <w:p>
            <w:pPr>
              <w:pStyle w:val="TableParagraph"/>
              <w:spacing w:line="208" w:lineRule="exact"/>
              <w:ind w:left="57" w:right="5"/>
              <w:jc w:val="center"/>
              <w:rPr>
                <w:sz w:val="20"/>
              </w:rPr>
            </w:pPr>
            <w:r>
              <w:rPr>
                <w:spacing w:val="-5"/>
                <w:sz w:val="20"/>
              </w:rPr>
              <w:t>10</w:t>
            </w:r>
          </w:p>
        </w:tc>
        <w:tc>
          <w:tcPr>
            <w:tcW w:w="778" w:type="dxa"/>
          </w:tcPr>
          <w:p>
            <w:pPr>
              <w:pStyle w:val="TableParagraph"/>
              <w:spacing w:line="208" w:lineRule="exact"/>
              <w:ind w:left="112" w:right="71"/>
              <w:jc w:val="center"/>
              <w:rPr>
                <w:sz w:val="20"/>
              </w:rPr>
            </w:pPr>
            <w:r>
              <w:rPr>
                <w:spacing w:val="-4"/>
                <w:sz w:val="20"/>
              </w:rPr>
              <w:t>43.5</w:t>
            </w:r>
          </w:p>
        </w:tc>
        <w:tc>
          <w:tcPr>
            <w:tcW w:w="692" w:type="dxa"/>
          </w:tcPr>
          <w:p>
            <w:pPr>
              <w:pStyle w:val="TableParagraph"/>
              <w:spacing w:line="208" w:lineRule="exact"/>
              <w:ind w:left="23" w:right="17"/>
              <w:jc w:val="center"/>
              <w:rPr>
                <w:sz w:val="20"/>
              </w:rPr>
            </w:pPr>
            <w:r>
              <w:rPr>
                <w:spacing w:val="-5"/>
                <w:sz w:val="20"/>
              </w:rPr>
              <w:t>11</w:t>
            </w:r>
          </w:p>
        </w:tc>
        <w:tc>
          <w:tcPr>
            <w:tcW w:w="709" w:type="dxa"/>
          </w:tcPr>
          <w:p>
            <w:pPr>
              <w:pStyle w:val="TableParagraph"/>
              <w:spacing w:line="208" w:lineRule="exact"/>
              <w:ind w:left="70" w:right="20"/>
              <w:jc w:val="center"/>
              <w:rPr>
                <w:sz w:val="20"/>
              </w:rPr>
            </w:pPr>
            <w:r>
              <w:rPr>
                <w:spacing w:val="-4"/>
                <w:sz w:val="20"/>
              </w:rPr>
              <w:t>47.8</w:t>
            </w:r>
          </w:p>
        </w:tc>
        <w:tc>
          <w:tcPr>
            <w:tcW w:w="757" w:type="dxa"/>
          </w:tcPr>
          <w:p>
            <w:pPr>
              <w:pStyle w:val="TableParagraph"/>
              <w:spacing w:line="208" w:lineRule="exact"/>
              <w:ind w:right="308"/>
              <w:jc w:val="right"/>
              <w:rPr>
                <w:sz w:val="20"/>
              </w:rPr>
            </w:pPr>
            <w:r>
              <w:rPr>
                <w:spacing w:val="-10"/>
                <w:sz w:val="20"/>
              </w:rPr>
              <w:t>1</w:t>
            </w:r>
          </w:p>
        </w:tc>
        <w:tc>
          <w:tcPr>
            <w:tcW w:w="903" w:type="dxa"/>
          </w:tcPr>
          <w:p>
            <w:pPr>
              <w:pStyle w:val="TableParagraph"/>
              <w:spacing w:line="208" w:lineRule="exact"/>
              <w:ind w:left="13" w:right="13"/>
              <w:jc w:val="center"/>
              <w:rPr>
                <w:sz w:val="20"/>
              </w:rPr>
            </w:pPr>
            <w:r>
              <w:rPr>
                <w:spacing w:val="-5"/>
                <w:sz w:val="20"/>
              </w:rPr>
              <w:t>4.3</w:t>
            </w:r>
          </w:p>
        </w:tc>
        <w:tc>
          <w:tcPr>
            <w:tcW w:w="685" w:type="dxa"/>
          </w:tcPr>
          <w:p>
            <w:pPr>
              <w:pStyle w:val="TableParagraph"/>
              <w:spacing w:line="208" w:lineRule="exact"/>
              <w:ind w:left="81" w:right="32"/>
              <w:jc w:val="center"/>
              <w:rPr>
                <w:sz w:val="20"/>
              </w:rPr>
            </w:pPr>
            <w:r>
              <w:rPr>
                <w:spacing w:val="-10"/>
                <w:sz w:val="20"/>
              </w:rPr>
              <w:t>1</w:t>
            </w:r>
          </w:p>
        </w:tc>
        <w:tc>
          <w:tcPr>
            <w:tcW w:w="800" w:type="dxa"/>
          </w:tcPr>
          <w:p>
            <w:pPr>
              <w:pStyle w:val="TableParagraph"/>
              <w:spacing w:line="208" w:lineRule="exact"/>
              <w:ind w:left="18" w:right="18"/>
              <w:jc w:val="center"/>
              <w:rPr>
                <w:sz w:val="20"/>
              </w:rPr>
            </w:pPr>
            <w:r>
              <w:rPr>
                <w:spacing w:val="-5"/>
                <w:sz w:val="20"/>
              </w:rPr>
              <w:t>4.3</w:t>
            </w:r>
          </w:p>
        </w:tc>
        <w:tc>
          <w:tcPr>
            <w:tcW w:w="654" w:type="dxa"/>
          </w:tcPr>
          <w:p>
            <w:pPr>
              <w:pStyle w:val="TableParagraph"/>
              <w:spacing w:line="208" w:lineRule="exact"/>
              <w:ind w:right="33"/>
              <w:jc w:val="center"/>
              <w:rPr>
                <w:sz w:val="20"/>
              </w:rPr>
            </w:pPr>
            <w:r>
              <w:rPr>
                <w:spacing w:val="-10"/>
                <w:sz w:val="20"/>
              </w:rPr>
              <w:t>-</w:t>
            </w:r>
          </w:p>
        </w:tc>
        <w:tc>
          <w:tcPr>
            <w:tcW w:w="716" w:type="dxa"/>
          </w:tcPr>
          <w:p>
            <w:pPr>
              <w:pStyle w:val="TableParagraph"/>
              <w:spacing w:line="208" w:lineRule="exact"/>
              <w:ind w:left="22" w:right="7"/>
              <w:jc w:val="center"/>
              <w:rPr>
                <w:sz w:val="20"/>
              </w:rPr>
            </w:pPr>
            <w:r>
              <w:rPr>
                <w:spacing w:val="-10"/>
                <w:sz w:val="20"/>
              </w:rPr>
              <w:t>-</w:t>
            </w:r>
          </w:p>
        </w:tc>
        <w:tc>
          <w:tcPr>
            <w:tcW w:w="721" w:type="dxa"/>
          </w:tcPr>
          <w:p>
            <w:pPr>
              <w:pStyle w:val="TableParagraph"/>
              <w:spacing w:line="208" w:lineRule="exact"/>
              <w:ind w:left="50" w:right="30"/>
              <w:jc w:val="center"/>
              <w:rPr>
                <w:sz w:val="20"/>
              </w:rPr>
            </w:pPr>
            <w:r>
              <w:rPr>
                <w:spacing w:val="-5"/>
                <w:sz w:val="20"/>
              </w:rPr>
              <w:t>23</w:t>
            </w:r>
          </w:p>
        </w:tc>
        <w:tc>
          <w:tcPr>
            <w:tcW w:w="739" w:type="dxa"/>
            <w:tcBorders>
              <w:right w:val="single" w:sz="4" w:space="0" w:color="000000"/>
            </w:tcBorders>
          </w:tcPr>
          <w:p>
            <w:pPr>
              <w:pStyle w:val="TableParagraph"/>
              <w:spacing w:line="208" w:lineRule="exact"/>
              <w:ind w:left="36" w:right="31"/>
              <w:jc w:val="center"/>
              <w:rPr>
                <w:sz w:val="20"/>
              </w:rPr>
            </w:pPr>
            <w:r>
              <w:rPr>
                <w:spacing w:val="-5"/>
                <w:sz w:val="20"/>
              </w:rPr>
              <w:t>5.0</w:t>
            </w:r>
          </w:p>
        </w:tc>
      </w:tr>
      <w:tr>
        <w:trPr>
          <w:trHeight w:val="227" w:hRule="atLeast"/>
        </w:trPr>
        <w:tc>
          <w:tcPr>
            <w:tcW w:w="4148" w:type="dxa"/>
            <w:tcBorders>
              <w:left w:val="single" w:sz="4" w:space="0" w:color="000000"/>
            </w:tcBorders>
          </w:tcPr>
          <w:p>
            <w:pPr>
              <w:pStyle w:val="TableParagraph"/>
              <w:spacing w:line="208" w:lineRule="exact"/>
              <w:ind w:right="109"/>
              <w:jc w:val="right"/>
              <w:rPr>
                <w:sz w:val="20"/>
              </w:rPr>
            </w:pPr>
            <w:r>
              <w:rPr>
                <w:sz w:val="20"/>
              </w:rPr>
              <w:t>one</w:t>
            </w:r>
            <w:r>
              <w:rPr>
                <w:spacing w:val="74"/>
                <w:w w:val="150"/>
                <w:sz w:val="20"/>
              </w:rPr>
              <w:t> </w:t>
            </w:r>
            <w:r>
              <w:rPr>
                <w:sz w:val="20"/>
              </w:rPr>
              <w:t>point</w:t>
            </w:r>
            <w:r>
              <w:rPr>
                <w:spacing w:val="77"/>
                <w:w w:val="150"/>
                <w:sz w:val="20"/>
              </w:rPr>
              <w:t> </w:t>
            </w:r>
            <w:r>
              <w:rPr>
                <w:sz w:val="20"/>
              </w:rPr>
              <w:t>of</w:t>
            </w:r>
            <w:r>
              <w:rPr>
                <w:spacing w:val="27"/>
                <w:sz w:val="20"/>
              </w:rPr>
              <w:t>  </w:t>
            </w:r>
            <w:r>
              <w:rPr>
                <w:sz w:val="20"/>
              </w:rPr>
              <w:t>lecture</w:t>
            </w:r>
            <w:r>
              <w:rPr>
                <w:spacing w:val="75"/>
                <w:w w:val="150"/>
                <w:sz w:val="20"/>
              </w:rPr>
              <w:t> </w:t>
            </w:r>
            <w:r>
              <w:rPr>
                <w:sz w:val="20"/>
              </w:rPr>
              <w:t>to</w:t>
            </w:r>
            <w:r>
              <w:rPr>
                <w:spacing w:val="75"/>
                <w:w w:val="150"/>
                <w:sz w:val="20"/>
              </w:rPr>
              <w:t> </w:t>
            </w:r>
            <w:r>
              <w:rPr>
                <w:spacing w:val="-2"/>
                <w:sz w:val="20"/>
              </w:rPr>
              <w:t>another</w:t>
            </w:r>
          </w:p>
        </w:tc>
        <w:tc>
          <w:tcPr>
            <w:tcW w:w="1795" w:type="dxa"/>
          </w:tcPr>
          <w:p>
            <w:pPr>
              <w:pStyle w:val="TableParagraph"/>
              <w:rPr>
                <w:rFonts w:ascii="Times New Roman"/>
                <w:sz w:val="16"/>
              </w:rPr>
            </w:pPr>
          </w:p>
        </w:tc>
        <w:tc>
          <w:tcPr>
            <w:tcW w:w="678" w:type="dxa"/>
          </w:tcPr>
          <w:p>
            <w:pPr>
              <w:pStyle w:val="TableParagraph"/>
              <w:rPr>
                <w:rFonts w:ascii="Times New Roman"/>
                <w:sz w:val="16"/>
              </w:rPr>
            </w:pPr>
          </w:p>
        </w:tc>
        <w:tc>
          <w:tcPr>
            <w:tcW w:w="778" w:type="dxa"/>
          </w:tcPr>
          <w:p>
            <w:pPr>
              <w:pStyle w:val="TableParagraph"/>
              <w:rPr>
                <w:rFonts w:ascii="Times New Roman"/>
                <w:sz w:val="16"/>
              </w:rPr>
            </w:pPr>
          </w:p>
        </w:tc>
        <w:tc>
          <w:tcPr>
            <w:tcW w:w="692" w:type="dxa"/>
          </w:tcPr>
          <w:p>
            <w:pPr>
              <w:pStyle w:val="TableParagraph"/>
              <w:rPr>
                <w:rFonts w:ascii="Times New Roman"/>
                <w:sz w:val="16"/>
              </w:rPr>
            </w:pPr>
          </w:p>
        </w:tc>
        <w:tc>
          <w:tcPr>
            <w:tcW w:w="709" w:type="dxa"/>
          </w:tcPr>
          <w:p>
            <w:pPr>
              <w:pStyle w:val="TableParagraph"/>
              <w:rPr>
                <w:rFonts w:ascii="Times New Roman"/>
                <w:sz w:val="16"/>
              </w:rPr>
            </w:pPr>
          </w:p>
        </w:tc>
        <w:tc>
          <w:tcPr>
            <w:tcW w:w="757" w:type="dxa"/>
          </w:tcPr>
          <w:p>
            <w:pPr>
              <w:pStyle w:val="TableParagraph"/>
              <w:rPr>
                <w:rFonts w:ascii="Times New Roman"/>
                <w:sz w:val="16"/>
              </w:rPr>
            </w:pPr>
          </w:p>
        </w:tc>
        <w:tc>
          <w:tcPr>
            <w:tcW w:w="903" w:type="dxa"/>
          </w:tcPr>
          <w:p>
            <w:pPr>
              <w:pStyle w:val="TableParagraph"/>
              <w:rPr>
                <w:rFonts w:ascii="Times New Roman"/>
                <w:sz w:val="16"/>
              </w:rPr>
            </w:pPr>
          </w:p>
        </w:tc>
        <w:tc>
          <w:tcPr>
            <w:tcW w:w="685" w:type="dxa"/>
          </w:tcPr>
          <w:p>
            <w:pPr>
              <w:pStyle w:val="TableParagraph"/>
              <w:rPr>
                <w:rFonts w:ascii="Times New Roman"/>
                <w:sz w:val="16"/>
              </w:rPr>
            </w:pPr>
          </w:p>
        </w:tc>
        <w:tc>
          <w:tcPr>
            <w:tcW w:w="800" w:type="dxa"/>
          </w:tcPr>
          <w:p>
            <w:pPr>
              <w:pStyle w:val="TableParagraph"/>
              <w:rPr>
                <w:rFonts w:ascii="Times New Roman"/>
                <w:sz w:val="16"/>
              </w:rPr>
            </w:pPr>
          </w:p>
        </w:tc>
        <w:tc>
          <w:tcPr>
            <w:tcW w:w="654" w:type="dxa"/>
          </w:tcPr>
          <w:p>
            <w:pPr>
              <w:pStyle w:val="TableParagraph"/>
              <w:rPr>
                <w:rFonts w:ascii="Times New Roman"/>
                <w:sz w:val="16"/>
              </w:rPr>
            </w:pPr>
          </w:p>
        </w:tc>
        <w:tc>
          <w:tcPr>
            <w:tcW w:w="716" w:type="dxa"/>
          </w:tcPr>
          <w:p>
            <w:pPr>
              <w:pStyle w:val="TableParagraph"/>
              <w:rPr>
                <w:rFonts w:ascii="Times New Roman"/>
                <w:sz w:val="16"/>
              </w:rPr>
            </w:pPr>
          </w:p>
        </w:tc>
        <w:tc>
          <w:tcPr>
            <w:tcW w:w="721"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30" w:hRule="atLeast"/>
        </w:trPr>
        <w:tc>
          <w:tcPr>
            <w:tcW w:w="4148" w:type="dxa"/>
            <w:tcBorders>
              <w:left w:val="single" w:sz="4" w:space="0" w:color="000000"/>
            </w:tcBorders>
          </w:tcPr>
          <w:p>
            <w:pPr>
              <w:pStyle w:val="TableParagraph"/>
              <w:spacing w:line="210" w:lineRule="exact"/>
              <w:ind w:right="103"/>
              <w:jc w:val="right"/>
              <w:rPr>
                <w:sz w:val="20"/>
              </w:rPr>
            </w:pPr>
            <w:r>
              <w:rPr>
                <w:sz w:val="20"/>
              </w:rPr>
              <w:t>and/or</w:t>
            </w:r>
            <w:r>
              <w:rPr>
                <w:spacing w:val="35"/>
                <w:sz w:val="20"/>
              </w:rPr>
              <w:t> </w:t>
            </w:r>
            <w:r>
              <w:rPr>
                <w:sz w:val="20"/>
              </w:rPr>
              <w:t>from</w:t>
            </w:r>
            <w:r>
              <w:rPr>
                <w:spacing w:val="36"/>
                <w:sz w:val="20"/>
              </w:rPr>
              <w:t> </w:t>
            </w:r>
            <w:r>
              <w:rPr>
                <w:sz w:val="20"/>
              </w:rPr>
              <w:t>one</w:t>
            </w:r>
            <w:r>
              <w:rPr>
                <w:spacing w:val="33"/>
                <w:sz w:val="20"/>
              </w:rPr>
              <w:t> </w:t>
            </w:r>
            <w:r>
              <w:rPr>
                <w:sz w:val="20"/>
              </w:rPr>
              <w:t>faculty</w:t>
            </w:r>
            <w:r>
              <w:rPr>
                <w:spacing w:val="36"/>
                <w:sz w:val="20"/>
              </w:rPr>
              <w:t> </w:t>
            </w:r>
            <w:r>
              <w:rPr>
                <w:sz w:val="20"/>
              </w:rPr>
              <w:t>to</w:t>
            </w:r>
            <w:r>
              <w:rPr>
                <w:spacing w:val="34"/>
                <w:sz w:val="20"/>
              </w:rPr>
              <w:t> </w:t>
            </w:r>
            <w:r>
              <w:rPr>
                <w:spacing w:val="-2"/>
                <w:sz w:val="20"/>
              </w:rPr>
              <w:t>another</w:t>
            </w:r>
          </w:p>
        </w:tc>
        <w:tc>
          <w:tcPr>
            <w:tcW w:w="1795" w:type="dxa"/>
          </w:tcPr>
          <w:p>
            <w:pPr>
              <w:pStyle w:val="TableParagraph"/>
              <w:rPr>
                <w:rFonts w:ascii="Times New Roman"/>
                <w:sz w:val="16"/>
              </w:rPr>
            </w:pPr>
          </w:p>
        </w:tc>
        <w:tc>
          <w:tcPr>
            <w:tcW w:w="678" w:type="dxa"/>
          </w:tcPr>
          <w:p>
            <w:pPr>
              <w:pStyle w:val="TableParagraph"/>
              <w:rPr>
                <w:rFonts w:ascii="Times New Roman"/>
                <w:sz w:val="16"/>
              </w:rPr>
            </w:pPr>
          </w:p>
        </w:tc>
        <w:tc>
          <w:tcPr>
            <w:tcW w:w="778" w:type="dxa"/>
          </w:tcPr>
          <w:p>
            <w:pPr>
              <w:pStyle w:val="TableParagraph"/>
              <w:rPr>
                <w:rFonts w:ascii="Times New Roman"/>
                <w:sz w:val="16"/>
              </w:rPr>
            </w:pPr>
          </w:p>
        </w:tc>
        <w:tc>
          <w:tcPr>
            <w:tcW w:w="692" w:type="dxa"/>
          </w:tcPr>
          <w:p>
            <w:pPr>
              <w:pStyle w:val="TableParagraph"/>
              <w:rPr>
                <w:rFonts w:ascii="Times New Roman"/>
                <w:sz w:val="16"/>
              </w:rPr>
            </w:pPr>
          </w:p>
        </w:tc>
        <w:tc>
          <w:tcPr>
            <w:tcW w:w="709" w:type="dxa"/>
          </w:tcPr>
          <w:p>
            <w:pPr>
              <w:pStyle w:val="TableParagraph"/>
              <w:rPr>
                <w:rFonts w:ascii="Times New Roman"/>
                <w:sz w:val="16"/>
              </w:rPr>
            </w:pPr>
          </w:p>
        </w:tc>
        <w:tc>
          <w:tcPr>
            <w:tcW w:w="757" w:type="dxa"/>
          </w:tcPr>
          <w:p>
            <w:pPr>
              <w:pStyle w:val="TableParagraph"/>
              <w:rPr>
                <w:rFonts w:ascii="Times New Roman"/>
                <w:sz w:val="16"/>
              </w:rPr>
            </w:pPr>
          </w:p>
        </w:tc>
        <w:tc>
          <w:tcPr>
            <w:tcW w:w="903" w:type="dxa"/>
          </w:tcPr>
          <w:p>
            <w:pPr>
              <w:pStyle w:val="TableParagraph"/>
              <w:rPr>
                <w:rFonts w:ascii="Times New Roman"/>
                <w:sz w:val="16"/>
              </w:rPr>
            </w:pPr>
          </w:p>
        </w:tc>
        <w:tc>
          <w:tcPr>
            <w:tcW w:w="685" w:type="dxa"/>
          </w:tcPr>
          <w:p>
            <w:pPr>
              <w:pStyle w:val="TableParagraph"/>
              <w:rPr>
                <w:rFonts w:ascii="Times New Roman"/>
                <w:sz w:val="16"/>
              </w:rPr>
            </w:pPr>
          </w:p>
        </w:tc>
        <w:tc>
          <w:tcPr>
            <w:tcW w:w="800" w:type="dxa"/>
          </w:tcPr>
          <w:p>
            <w:pPr>
              <w:pStyle w:val="TableParagraph"/>
              <w:rPr>
                <w:rFonts w:ascii="Times New Roman"/>
                <w:sz w:val="16"/>
              </w:rPr>
            </w:pPr>
          </w:p>
        </w:tc>
        <w:tc>
          <w:tcPr>
            <w:tcW w:w="654" w:type="dxa"/>
          </w:tcPr>
          <w:p>
            <w:pPr>
              <w:pStyle w:val="TableParagraph"/>
              <w:rPr>
                <w:rFonts w:ascii="Times New Roman"/>
                <w:sz w:val="16"/>
              </w:rPr>
            </w:pPr>
          </w:p>
        </w:tc>
        <w:tc>
          <w:tcPr>
            <w:tcW w:w="716" w:type="dxa"/>
          </w:tcPr>
          <w:p>
            <w:pPr>
              <w:pStyle w:val="TableParagraph"/>
              <w:rPr>
                <w:rFonts w:ascii="Times New Roman"/>
                <w:sz w:val="16"/>
              </w:rPr>
            </w:pPr>
          </w:p>
        </w:tc>
        <w:tc>
          <w:tcPr>
            <w:tcW w:w="721"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90" w:hRule="atLeast"/>
        </w:trPr>
        <w:tc>
          <w:tcPr>
            <w:tcW w:w="4148" w:type="dxa"/>
            <w:tcBorders>
              <w:left w:val="single" w:sz="4" w:space="0" w:color="000000"/>
            </w:tcBorders>
          </w:tcPr>
          <w:p>
            <w:pPr>
              <w:pStyle w:val="TableParagraph"/>
              <w:spacing w:line="227" w:lineRule="exact"/>
              <w:ind w:left="830"/>
              <w:rPr>
                <w:sz w:val="20"/>
              </w:rPr>
            </w:pPr>
            <w:r>
              <w:rPr>
                <w:sz w:val="20"/>
              </w:rPr>
              <w:t>and</w:t>
            </w:r>
            <w:r>
              <w:rPr>
                <w:spacing w:val="-6"/>
                <w:sz w:val="20"/>
              </w:rPr>
              <w:t> </w:t>
            </w:r>
            <w:r>
              <w:rPr>
                <w:sz w:val="20"/>
              </w:rPr>
              <w:t>vice</w:t>
            </w:r>
            <w:r>
              <w:rPr>
                <w:spacing w:val="-4"/>
                <w:sz w:val="20"/>
              </w:rPr>
              <w:t> </w:t>
            </w:r>
            <w:r>
              <w:rPr>
                <w:spacing w:val="-2"/>
                <w:sz w:val="20"/>
              </w:rPr>
              <w:t>versa.</w:t>
            </w:r>
          </w:p>
        </w:tc>
        <w:tc>
          <w:tcPr>
            <w:tcW w:w="1795" w:type="dxa"/>
          </w:tcPr>
          <w:p>
            <w:pPr>
              <w:pStyle w:val="TableParagraph"/>
              <w:rPr>
                <w:rFonts w:ascii="Times New Roman"/>
                <w:sz w:val="20"/>
              </w:rPr>
            </w:pPr>
          </w:p>
        </w:tc>
        <w:tc>
          <w:tcPr>
            <w:tcW w:w="678" w:type="dxa"/>
          </w:tcPr>
          <w:p>
            <w:pPr>
              <w:pStyle w:val="TableParagraph"/>
              <w:rPr>
                <w:rFonts w:ascii="Times New Roman"/>
                <w:sz w:val="20"/>
              </w:rPr>
            </w:pPr>
          </w:p>
        </w:tc>
        <w:tc>
          <w:tcPr>
            <w:tcW w:w="778" w:type="dxa"/>
          </w:tcPr>
          <w:p>
            <w:pPr>
              <w:pStyle w:val="TableParagraph"/>
              <w:rPr>
                <w:rFonts w:ascii="Times New Roman"/>
                <w:sz w:val="20"/>
              </w:rPr>
            </w:pPr>
          </w:p>
        </w:tc>
        <w:tc>
          <w:tcPr>
            <w:tcW w:w="692" w:type="dxa"/>
          </w:tcPr>
          <w:p>
            <w:pPr>
              <w:pStyle w:val="TableParagraph"/>
              <w:rPr>
                <w:rFonts w:ascii="Times New Roman"/>
                <w:sz w:val="20"/>
              </w:rPr>
            </w:pPr>
          </w:p>
        </w:tc>
        <w:tc>
          <w:tcPr>
            <w:tcW w:w="709" w:type="dxa"/>
          </w:tcPr>
          <w:p>
            <w:pPr>
              <w:pStyle w:val="TableParagraph"/>
              <w:rPr>
                <w:rFonts w:ascii="Times New Roman"/>
                <w:sz w:val="20"/>
              </w:rPr>
            </w:pPr>
          </w:p>
        </w:tc>
        <w:tc>
          <w:tcPr>
            <w:tcW w:w="757" w:type="dxa"/>
          </w:tcPr>
          <w:p>
            <w:pPr>
              <w:pStyle w:val="TableParagraph"/>
              <w:rPr>
                <w:rFonts w:ascii="Times New Roman"/>
                <w:sz w:val="20"/>
              </w:rPr>
            </w:pPr>
          </w:p>
        </w:tc>
        <w:tc>
          <w:tcPr>
            <w:tcW w:w="903" w:type="dxa"/>
          </w:tcPr>
          <w:p>
            <w:pPr>
              <w:pStyle w:val="TableParagraph"/>
              <w:rPr>
                <w:rFonts w:ascii="Times New Roman"/>
                <w:sz w:val="20"/>
              </w:rPr>
            </w:pPr>
          </w:p>
        </w:tc>
        <w:tc>
          <w:tcPr>
            <w:tcW w:w="685" w:type="dxa"/>
          </w:tcPr>
          <w:p>
            <w:pPr>
              <w:pStyle w:val="TableParagraph"/>
              <w:rPr>
                <w:rFonts w:ascii="Times New Roman"/>
                <w:sz w:val="20"/>
              </w:rPr>
            </w:pPr>
          </w:p>
        </w:tc>
        <w:tc>
          <w:tcPr>
            <w:tcW w:w="800" w:type="dxa"/>
          </w:tcPr>
          <w:p>
            <w:pPr>
              <w:pStyle w:val="TableParagraph"/>
              <w:rPr>
                <w:rFonts w:ascii="Times New Roman"/>
                <w:sz w:val="20"/>
              </w:rPr>
            </w:pPr>
          </w:p>
        </w:tc>
        <w:tc>
          <w:tcPr>
            <w:tcW w:w="654" w:type="dxa"/>
          </w:tcPr>
          <w:p>
            <w:pPr>
              <w:pStyle w:val="TableParagraph"/>
              <w:rPr>
                <w:rFonts w:ascii="Times New Roman"/>
                <w:sz w:val="20"/>
              </w:rPr>
            </w:pPr>
          </w:p>
        </w:tc>
        <w:tc>
          <w:tcPr>
            <w:tcW w:w="716" w:type="dxa"/>
          </w:tcPr>
          <w:p>
            <w:pPr>
              <w:pStyle w:val="TableParagraph"/>
              <w:rPr>
                <w:rFonts w:ascii="Times New Roman"/>
                <w:sz w:val="20"/>
              </w:rPr>
            </w:pPr>
          </w:p>
        </w:tc>
        <w:tc>
          <w:tcPr>
            <w:tcW w:w="721" w:type="dxa"/>
          </w:tcPr>
          <w:p>
            <w:pPr>
              <w:pStyle w:val="TableParagraph"/>
              <w:rPr>
                <w:rFonts w:ascii="Times New Roman"/>
                <w:sz w:val="20"/>
              </w:rPr>
            </w:pPr>
          </w:p>
        </w:tc>
        <w:tc>
          <w:tcPr>
            <w:tcW w:w="739" w:type="dxa"/>
            <w:tcBorders>
              <w:right w:val="single" w:sz="4" w:space="0" w:color="000000"/>
            </w:tcBorders>
          </w:tcPr>
          <w:p>
            <w:pPr>
              <w:pStyle w:val="TableParagraph"/>
              <w:rPr>
                <w:rFonts w:ascii="Times New Roman"/>
                <w:sz w:val="20"/>
              </w:rPr>
            </w:pPr>
          </w:p>
        </w:tc>
      </w:tr>
      <w:tr>
        <w:trPr>
          <w:trHeight w:val="290" w:hRule="atLeast"/>
        </w:trPr>
        <w:tc>
          <w:tcPr>
            <w:tcW w:w="4148" w:type="dxa"/>
            <w:tcBorders>
              <w:left w:val="single" w:sz="4" w:space="0" w:color="000000"/>
            </w:tcBorders>
          </w:tcPr>
          <w:p>
            <w:pPr>
              <w:pStyle w:val="TableParagraph"/>
              <w:tabs>
                <w:tab w:pos="609" w:val="left" w:leader="none"/>
              </w:tabs>
              <w:spacing w:line="213" w:lineRule="exact" w:before="57"/>
              <w:ind w:right="106"/>
              <w:jc w:val="right"/>
              <w:rPr>
                <w:sz w:val="20"/>
              </w:rPr>
            </w:pPr>
            <w:r>
              <w:rPr>
                <w:spacing w:val="-5"/>
                <w:sz w:val="20"/>
              </w:rPr>
              <w:t>60.</w:t>
            </w:r>
            <w:r>
              <w:rPr>
                <w:sz w:val="20"/>
              </w:rPr>
              <w:tab/>
              <w:t>Lack</w:t>
            </w:r>
            <w:r>
              <w:rPr>
                <w:spacing w:val="44"/>
                <w:sz w:val="20"/>
              </w:rPr>
              <w:t> </w:t>
            </w:r>
            <w:r>
              <w:rPr>
                <w:sz w:val="20"/>
              </w:rPr>
              <w:t>of</w:t>
            </w:r>
            <w:r>
              <w:rPr>
                <w:spacing w:val="50"/>
                <w:sz w:val="20"/>
              </w:rPr>
              <w:t> </w:t>
            </w:r>
            <w:r>
              <w:rPr>
                <w:sz w:val="20"/>
              </w:rPr>
              <w:t>transport</w:t>
            </w:r>
            <w:r>
              <w:rPr>
                <w:spacing w:val="45"/>
                <w:sz w:val="20"/>
              </w:rPr>
              <w:t> </w:t>
            </w:r>
            <w:r>
              <w:rPr>
                <w:sz w:val="20"/>
              </w:rPr>
              <w:t>for</w:t>
            </w:r>
            <w:r>
              <w:rPr>
                <w:spacing w:val="44"/>
                <w:sz w:val="20"/>
              </w:rPr>
              <w:t> </w:t>
            </w:r>
            <w:r>
              <w:rPr>
                <w:spacing w:val="-2"/>
                <w:sz w:val="20"/>
              </w:rPr>
              <w:t>departmental</w:t>
            </w:r>
          </w:p>
        </w:tc>
        <w:tc>
          <w:tcPr>
            <w:tcW w:w="1795" w:type="dxa"/>
          </w:tcPr>
          <w:p>
            <w:pPr>
              <w:pStyle w:val="TableParagraph"/>
              <w:spacing w:line="213" w:lineRule="exact" w:before="57"/>
              <w:ind w:left="109"/>
              <w:rPr>
                <w:sz w:val="20"/>
              </w:rPr>
            </w:pPr>
            <w:r>
              <w:rPr>
                <w:sz w:val="20"/>
              </w:rPr>
              <w:t>No.</w:t>
            </w:r>
            <w:r>
              <w:rPr>
                <w:spacing w:val="-5"/>
                <w:sz w:val="20"/>
              </w:rPr>
              <w:t> </w:t>
            </w:r>
            <w:r>
              <w:rPr>
                <w:sz w:val="20"/>
              </w:rPr>
              <w:t>of</w:t>
            </w:r>
            <w:r>
              <w:rPr>
                <w:spacing w:val="-2"/>
                <w:sz w:val="20"/>
              </w:rPr>
              <w:t> missing</w:t>
            </w:r>
          </w:p>
        </w:tc>
        <w:tc>
          <w:tcPr>
            <w:tcW w:w="678" w:type="dxa"/>
          </w:tcPr>
          <w:p>
            <w:pPr>
              <w:pStyle w:val="TableParagraph"/>
              <w:rPr>
                <w:rFonts w:ascii="Times New Roman"/>
                <w:sz w:val="20"/>
              </w:rPr>
            </w:pPr>
          </w:p>
        </w:tc>
        <w:tc>
          <w:tcPr>
            <w:tcW w:w="778" w:type="dxa"/>
          </w:tcPr>
          <w:p>
            <w:pPr>
              <w:pStyle w:val="TableParagraph"/>
              <w:rPr>
                <w:rFonts w:ascii="Times New Roman"/>
                <w:sz w:val="20"/>
              </w:rPr>
            </w:pPr>
          </w:p>
        </w:tc>
        <w:tc>
          <w:tcPr>
            <w:tcW w:w="692" w:type="dxa"/>
          </w:tcPr>
          <w:p>
            <w:pPr>
              <w:pStyle w:val="TableParagraph"/>
              <w:rPr>
                <w:rFonts w:ascii="Times New Roman"/>
                <w:sz w:val="20"/>
              </w:rPr>
            </w:pPr>
          </w:p>
        </w:tc>
        <w:tc>
          <w:tcPr>
            <w:tcW w:w="709" w:type="dxa"/>
          </w:tcPr>
          <w:p>
            <w:pPr>
              <w:pStyle w:val="TableParagraph"/>
              <w:rPr>
                <w:rFonts w:ascii="Times New Roman"/>
                <w:sz w:val="20"/>
              </w:rPr>
            </w:pPr>
          </w:p>
        </w:tc>
        <w:tc>
          <w:tcPr>
            <w:tcW w:w="757" w:type="dxa"/>
          </w:tcPr>
          <w:p>
            <w:pPr>
              <w:pStyle w:val="TableParagraph"/>
              <w:rPr>
                <w:rFonts w:ascii="Times New Roman"/>
                <w:sz w:val="20"/>
              </w:rPr>
            </w:pPr>
          </w:p>
        </w:tc>
        <w:tc>
          <w:tcPr>
            <w:tcW w:w="903" w:type="dxa"/>
          </w:tcPr>
          <w:p>
            <w:pPr>
              <w:pStyle w:val="TableParagraph"/>
              <w:rPr>
                <w:rFonts w:ascii="Times New Roman"/>
                <w:sz w:val="20"/>
              </w:rPr>
            </w:pPr>
          </w:p>
        </w:tc>
        <w:tc>
          <w:tcPr>
            <w:tcW w:w="685" w:type="dxa"/>
          </w:tcPr>
          <w:p>
            <w:pPr>
              <w:pStyle w:val="TableParagraph"/>
              <w:rPr>
                <w:rFonts w:ascii="Times New Roman"/>
                <w:sz w:val="20"/>
              </w:rPr>
            </w:pPr>
          </w:p>
        </w:tc>
        <w:tc>
          <w:tcPr>
            <w:tcW w:w="800" w:type="dxa"/>
          </w:tcPr>
          <w:p>
            <w:pPr>
              <w:pStyle w:val="TableParagraph"/>
              <w:rPr>
                <w:rFonts w:ascii="Times New Roman"/>
                <w:sz w:val="20"/>
              </w:rPr>
            </w:pPr>
          </w:p>
        </w:tc>
        <w:tc>
          <w:tcPr>
            <w:tcW w:w="654" w:type="dxa"/>
          </w:tcPr>
          <w:p>
            <w:pPr>
              <w:pStyle w:val="TableParagraph"/>
              <w:rPr>
                <w:rFonts w:ascii="Times New Roman"/>
                <w:sz w:val="20"/>
              </w:rPr>
            </w:pPr>
          </w:p>
        </w:tc>
        <w:tc>
          <w:tcPr>
            <w:tcW w:w="716" w:type="dxa"/>
          </w:tcPr>
          <w:p>
            <w:pPr>
              <w:pStyle w:val="TableParagraph"/>
              <w:rPr>
                <w:rFonts w:ascii="Times New Roman"/>
                <w:sz w:val="20"/>
              </w:rPr>
            </w:pPr>
          </w:p>
        </w:tc>
        <w:tc>
          <w:tcPr>
            <w:tcW w:w="721" w:type="dxa"/>
          </w:tcPr>
          <w:p>
            <w:pPr>
              <w:pStyle w:val="TableParagraph"/>
              <w:rPr>
                <w:rFonts w:ascii="Times New Roman"/>
                <w:sz w:val="20"/>
              </w:rPr>
            </w:pPr>
          </w:p>
        </w:tc>
        <w:tc>
          <w:tcPr>
            <w:tcW w:w="739" w:type="dxa"/>
            <w:tcBorders>
              <w:right w:val="single" w:sz="4" w:space="0" w:color="000000"/>
            </w:tcBorders>
          </w:tcPr>
          <w:p>
            <w:pPr>
              <w:pStyle w:val="TableParagraph"/>
              <w:rPr>
                <w:rFonts w:ascii="Times New Roman"/>
                <w:sz w:val="20"/>
              </w:rPr>
            </w:pPr>
          </w:p>
        </w:tc>
      </w:tr>
      <w:tr>
        <w:trPr>
          <w:trHeight w:val="230" w:hRule="atLeast"/>
        </w:trPr>
        <w:tc>
          <w:tcPr>
            <w:tcW w:w="4148" w:type="dxa"/>
            <w:tcBorders>
              <w:left w:val="single" w:sz="4" w:space="0" w:color="000000"/>
            </w:tcBorders>
          </w:tcPr>
          <w:p>
            <w:pPr>
              <w:pStyle w:val="TableParagraph"/>
              <w:spacing w:line="210" w:lineRule="exact"/>
              <w:ind w:right="112"/>
              <w:jc w:val="right"/>
              <w:rPr>
                <w:sz w:val="20"/>
              </w:rPr>
            </w:pPr>
            <w:r>
              <w:rPr>
                <w:sz w:val="20"/>
              </w:rPr>
              <w:t>activities</w:t>
            </w:r>
            <w:r>
              <w:rPr>
                <w:spacing w:val="12"/>
                <w:sz w:val="20"/>
              </w:rPr>
              <w:t> </w:t>
            </w:r>
            <w:r>
              <w:rPr>
                <w:sz w:val="20"/>
              </w:rPr>
              <w:t>will</w:t>
            </w:r>
            <w:r>
              <w:rPr>
                <w:spacing w:val="21"/>
                <w:sz w:val="20"/>
              </w:rPr>
              <w:t> </w:t>
            </w:r>
            <w:r>
              <w:rPr>
                <w:sz w:val="20"/>
              </w:rPr>
              <w:t>contribute</w:t>
            </w:r>
            <w:r>
              <w:rPr>
                <w:spacing w:val="16"/>
                <w:sz w:val="20"/>
              </w:rPr>
              <w:t> </w:t>
            </w:r>
            <w:r>
              <w:rPr>
                <w:sz w:val="20"/>
              </w:rPr>
              <w:t>to</w:t>
            </w:r>
            <w:r>
              <w:rPr>
                <w:spacing w:val="16"/>
                <w:sz w:val="20"/>
              </w:rPr>
              <w:t> </w:t>
            </w:r>
            <w:r>
              <w:rPr>
                <w:spacing w:val="-2"/>
                <w:sz w:val="20"/>
              </w:rPr>
              <w:t>students’</w:t>
            </w:r>
          </w:p>
        </w:tc>
        <w:tc>
          <w:tcPr>
            <w:tcW w:w="1795" w:type="dxa"/>
          </w:tcPr>
          <w:p>
            <w:pPr>
              <w:pStyle w:val="TableParagraph"/>
              <w:spacing w:line="210" w:lineRule="exact"/>
              <w:ind w:left="109"/>
              <w:rPr>
                <w:sz w:val="20"/>
              </w:rPr>
            </w:pPr>
            <w:r>
              <w:rPr>
                <w:spacing w:val="-2"/>
                <w:sz w:val="20"/>
              </w:rPr>
              <w:t>observations</w:t>
            </w:r>
          </w:p>
        </w:tc>
        <w:tc>
          <w:tcPr>
            <w:tcW w:w="678" w:type="dxa"/>
          </w:tcPr>
          <w:p>
            <w:pPr>
              <w:pStyle w:val="TableParagraph"/>
              <w:spacing w:line="210" w:lineRule="exact"/>
              <w:ind w:left="57"/>
              <w:jc w:val="center"/>
              <w:rPr>
                <w:sz w:val="20"/>
              </w:rPr>
            </w:pPr>
            <w:r>
              <w:rPr>
                <w:spacing w:val="-10"/>
                <w:sz w:val="20"/>
              </w:rPr>
              <w:t>1</w:t>
            </w:r>
          </w:p>
        </w:tc>
        <w:tc>
          <w:tcPr>
            <w:tcW w:w="778" w:type="dxa"/>
          </w:tcPr>
          <w:p>
            <w:pPr>
              <w:pStyle w:val="TableParagraph"/>
              <w:spacing w:line="210" w:lineRule="exact"/>
              <w:ind w:left="112" w:right="71"/>
              <w:jc w:val="center"/>
              <w:rPr>
                <w:sz w:val="20"/>
              </w:rPr>
            </w:pPr>
            <w:r>
              <w:rPr>
                <w:spacing w:val="-4"/>
                <w:sz w:val="20"/>
              </w:rPr>
              <w:t>50.0</w:t>
            </w:r>
          </w:p>
        </w:tc>
        <w:tc>
          <w:tcPr>
            <w:tcW w:w="692" w:type="dxa"/>
          </w:tcPr>
          <w:p>
            <w:pPr>
              <w:pStyle w:val="TableParagraph"/>
              <w:spacing w:line="210" w:lineRule="exact"/>
              <w:ind w:left="24" w:right="13"/>
              <w:jc w:val="center"/>
              <w:rPr>
                <w:sz w:val="20"/>
              </w:rPr>
            </w:pPr>
            <w:r>
              <w:rPr>
                <w:spacing w:val="-10"/>
                <w:sz w:val="20"/>
              </w:rPr>
              <w:t>1</w:t>
            </w:r>
          </w:p>
        </w:tc>
        <w:tc>
          <w:tcPr>
            <w:tcW w:w="709" w:type="dxa"/>
          </w:tcPr>
          <w:p>
            <w:pPr>
              <w:pStyle w:val="TableParagraph"/>
              <w:spacing w:line="210" w:lineRule="exact"/>
              <w:ind w:left="70" w:right="20"/>
              <w:jc w:val="center"/>
              <w:rPr>
                <w:sz w:val="20"/>
              </w:rPr>
            </w:pPr>
            <w:r>
              <w:rPr>
                <w:spacing w:val="-4"/>
                <w:sz w:val="20"/>
              </w:rPr>
              <w:t>50.0</w:t>
            </w:r>
          </w:p>
        </w:tc>
        <w:tc>
          <w:tcPr>
            <w:tcW w:w="757" w:type="dxa"/>
          </w:tcPr>
          <w:p>
            <w:pPr>
              <w:pStyle w:val="TableParagraph"/>
              <w:spacing w:line="210" w:lineRule="exact"/>
              <w:ind w:right="334"/>
              <w:jc w:val="right"/>
              <w:rPr>
                <w:sz w:val="20"/>
              </w:rPr>
            </w:pPr>
            <w:r>
              <w:rPr>
                <w:spacing w:val="-10"/>
                <w:sz w:val="20"/>
              </w:rPr>
              <w:t>-</w:t>
            </w:r>
          </w:p>
        </w:tc>
        <w:tc>
          <w:tcPr>
            <w:tcW w:w="903" w:type="dxa"/>
          </w:tcPr>
          <w:p>
            <w:pPr>
              <w:pStyle w:val="TableParagraph"/>
              <w:spacing w:line="210" w:lineRule="exact"/>
              <w:ind w:left="13" w:right="13"/>
              <w:jc w:val="center"/>
              <w:rPr>
                <w:sz w:val="20"/>
              </w:rPr>
            </w:pPr>
            <w:r>
              <w:rPr>
                <w:spacing w:val="-10"/>
                <w:sz w:val="20"/>
              </w:rPr>
              <w:t>-</w:t>
            </w:r>
          </w:p>
        </w:tc>
        <w:tc>
          <w:tcPr>
            <w:tcW w:w="685" w:type="dxa"/>
          </w:tcPr>
          <w:p>
            <w:pPr>
              <w:pStyle w:val="TableParagraph"/>
              <w:spacing w:line="210" w:lineRule="exact"/>
              <w:ind w:left="75" w:right="32"/>
              <w:jc w:val="center"/>
              <w:rPr>
                <w:sz w:val="20"/>
              </w:rPr>
            </w:pPr>
            <w:r>
              <w:rPr>
                <w:spacing w:val="-10"/>
                <w:sz w:val="20"/>
              </w:rPr>
              <w:t>-</w:t>
            </w:r>
          </w:p>
        </w:tc>
        <w:tc>
          <w:tcPr>
            <w:tcW w:w="800" w:type="dxa"/>
          </w:tcPr>
          <w:p>
            <w:pPr>
              <w:pStyle w:val="TableParagraph"/>
              <w:spacing w:line="210" w:lineRule="exact"/>
              <w:ind w:left="18" w:right="19"/>
              <w:jc w:val="center"/>
              <w:rPr>
                <w:sz w:val="20"/>
              </w:rPr>
            </w:pPr>
            <w:r>
              <w:rPr>
                <w:spacing w:val="-10"/>
                <w:sz w:val="20"/>
              </w:rPr>
              <w:t>-</w:t>
            </w:r>
          </w:p>
        </w:tc>
        <w:tc>
          <w:tcPr>
            <w:tcW w:w="654" w:type="dxa"/>
          </w:tcPr>
          <w:p>
            <w:pPr>
              <w:pStyle w:val="TableParagraph"/>
              <w:spacing w:line="210" w:lineRule="exact"/>
              <w:ind w:right="33"/>
              <w:jc w:val="center"/>
              <w:rPr>
                <w:sz w:val="20"/>
              </w:rPr>
            </w:pPr>
            <w:r>
              <w:rPr>
                <w:spacing w:val="-10"/>
                <w:sz w:val="20"/>
              </w:rPr>
              <w:t>-</w:t>
            </w:r>
          </w:p>
        </w:tc>
        <w:tc>
          <w:tcPr>
            <w:tcW w:w="716" w:type="dxa"/>
          </w:tcPr>
          <w:p>
            <w:pPr>
              <w:pStyle w:val="TableParagraph"/>
              <w:spacing w:line="210" w:lineRule="exact"/>
              <w:ind w:left="22" w:right="7"/>
              <w:jc w:val="center"/>
              <w:rPr>
                <w:sz w:val="20"/>
              </w:rPr>
            </w:pPr>
            <w:r>
              <w:rPr>
                <w:spacing w:val="-10"/>
                <w:sz w:val="20"/>
              </w:rPr>
              <w:t>-</w:t>
            </w:r>
          </w:p>
        </w:tc>
        <w:tc>
          <w:tcPr>
            <w:tcW w:w="721" w:type="dxa"/>
          </w:tcPr>
          <w:p>
            <w:pPr>
              <w:pStyle w:val="TableParagraph"/>
              <w:spacing w:line="210" w:lineRule="exact"/>
              <w:ind w:left="50" w:right="25"/>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31"/>
              <w:jc w:val="center"/>
              <w:rPr>
                <w:sz w:val="20"/>
              </w:rPr>
            </w:pPr>
            <w:r>
              <w:rPr>
                <w:spacing w:val="-5"/>
                <w:sz w:val="20"/>
              </w:rPr>
              <w:t>0.4</w:t>
            </w:r>
          </w:p>
        </w:tc>
      </w:tr>
      <w:tr>
        <w:trPr>
          <w:trHeight w:val="244" w:hRule="atLeast"/>
        </w:trPr>
        <w:tc>
          <w:tcPr>
            <w:tcW w:w="4148" w:type="dxa"/>
            <w:tcBorders>
              <w:left w:val="single" w:sz="4" w:space="0" w:color="000000"/>
            </w:tcBorders>
          </w:tcPr>
          <w:p>
            <w:pPr>
              <w:pStyle w:val="TableParagraph"/>
              <w:spacing w:line="225" w:lineRule="exact"/>
              <w:ind w:right="128"/>
              <w:jc w:val="right"/>
              <w:rPr>
                <w:sz w:val="20"/>
              </w:rPr>
            </w:pPr>
            <w:r>
              <w:rPr>
                <w:sz w:val="20"/>
              </w:rPr>
              <w:t>missing</w:t>
            </w:r>
            <w:r>
              <w:rPr>
                <w:spacing w:val="-3"/>
                <w:sz w:val="20"/>
              </w:rPr>
              <w:t> </w:t>
            </w:r>
            <w:r>
              <w:rPr>
                <w:sz w:val="20"/>
              </w:rPr>
              <w:t>lectures</w:t>
            </w:r>
            <w:r>
              <w:rPr>
                <w:spacing w:val="-5"/>
                <w:sz w:val="20"/>
              </w:rPr>
              <w:t> </w:t>
            </w:r>
            <w:r>
              <w:rPr>
                <w:sz w:val="20"/>
              </w:rPr>
              <w:t>due</w:t>
            </w:r>
            <w:r>
              <w:rPr>
                <w:spacing w:val="-2"/>
                <w:sz w:val="20"/>
              </w:rPr>
              <w:t> </w:t>
            </w:r>
            <w:r>
              <w:rPr>
                <w:sz w:val="20"/>
              </w:rPr>
              <w:t>to</w:t>
            </w:r>
            <w:r>
              <w:rPr>
                <w:spacing w:val="-7"/>
                <w:sz w:val="20"/>
              </w:rPr>
              <w:t> </w:t>
            </w:r>
            <w:r>
              <w:rPr>
                <w:sz w:val="20"/>
              </w:rPr>
              <w:t>late</w:t>
            </w:r>
            <w:r>
              <w:rPr>
                <w:spacing w:val="-7"/>
                <w:sz w:val="20"/>
              </w:rPr>
              <w:t> </w:t>
            </w:r>
            <w:r>
              <w:rPr>
                <w:spacing w:val="-2"/>
                <w:sz w:val="20"/>
              </w:rPr>
              <w:t>coming.</w:t>
            </w:r>
          </w:p>
        </w:tc>
        <w:tc>
          <w:tcPr>
            <w:tcW w:w="1795" w:type="dxa"/>
          </w:tcPr>
          <w:p>
            <w:pPr>
              <w:pStyle w:val="TableParagraph"/>
              <w:spacing w:line="225" w:lineRule="exact"/>
              <w:ind w:left="109"/>
              <w:rPr>
                <w:sz w:val="20"/>
              </w:rPr>
            </w:pPr>
            <w:r>
              <w:rPr>
                <w:spacing w:val="-2"/>
                <w:sz w:val="20"/>
              </w:rPr>
              <w:t>Students</w:t>
            </w:r>
          </w:p>
        </w:tc>
        <w:tc>
          <w:tcPr>
            <w:tcW w:w="678" w:type="dxa"/>
          </w:tcPr>
          <w:p>
            <w:pPr>
              <w:pStyle w:val="TableParagraph"/>
              <w:spacing w:line="225" w:lineRule="exact"/>
              <w:ind w:left="57" w:right="5"/>
              <w:jc w:val="center"/>
              <w:rPr>
                <w:sz w:val="20"/>
              </w:rPr>
            </w:pPr>
            <w:r>
              <w:rPr>
                <w:spacing w:val="-5"/>
                <w:sz w:val="20"/>
              </w:rPr>
              <w:t>87</w:t>
            </w:r>
          </w:p>
        </w:tc>
        <w:tc>
          <w:tcPr>
            <w:tcW w:w="778" w:type="dxa"/>
          </w:tcPr>
          <w:p>
            <w:pPr>
              <w:pStyle w:val="TableParagraph"/>
              <w:spacing w:line="225" w:lineRule="exact"/>
              <w:ind w:left="112" w:right="71"/>
              <w:jc w:val="center"/>
              <w:rPr>
                <w:sz w:val="20"/>
              </w:rPr>
            </w:pPr>
            <w:r>
              <w:rPr>
                <w:spacing w:val="-4"/>
                <w:sz w:val="20"/>
              </w:rPr>
              <w:t>37.0</w:t>
            </w:r>
          </w:p>
        </w:tc>
        <w:tc>
          <w:tcPr>
            <w:tcW w:w="692" w:type="dxa"/>
          </w:tcPr>
          <w:p>
            <w:pPr>
              <w:pStyle w:val="TableParagraph"/>
              <w:spacing w:line="225" w:lineRule="exact"/>
              <w:ind w:left="23" w:right="22"/>
              <w:jc w:val="center"/>
              <w:rPr>
                <w:sz w:val="20"/>
              </w:rPr>
            </w:pPr>
            <w:r>
              <w:rPr>
                <w:spacing w:val="-5"/>
                <w:sz w:val="20"/>
              </w:rPr>
              <w:t>109</w:t>
            </w:r>
          </w:p>
        </w:tc>
        <w:tc>
          <w:tcPr>
            <w:tcW w:w="709" w:type="dxa"/>
          </w:tcPr>
          <w:p>
            <w:pPr>
              <w:pStyle w:val="TableParagraph"/>
              <w:spacing w:line="225" w:lineRule="exact"/>
              <w:ind w:left="70" w:right="20"/>
              <w:jc w:val="center"/>
              <w:rPr>
                <w:sz w:val="20"/>
              </w:rPr>
            </w:pPr>
            <w:r>
              <w:rPr>
                <w:spacing w:val="-4"/>
                <w:sz w:val="20"/>
              </w:rPr>
              <w:t>46.4</w:t>
            </w:r>
          </w:p>
        </w:tc>
        <w:tc>
          <w:tcPr>
            <w:tcW w:w="757" w:type="dxa"/>
          </w:tcPr>
          <w:p>
            <w:pPr>
              <w:pStyle w:val="TableParagraph"/>
              <w:spacing w:line="225" w:lineRule="exact"/>
              <w:ind w:right="255"/>
              <w:jc w:val="right"/>
              <w:rPr>
                <w:sz w:val="20"/>
              </w:rPr>
            </w:pPr>
            <w:r>
              <w:rPr>
                <w:spacing w:val="-5"/>
                <w:sz w:val="20"/>
              </w:rPr>
              <w:t>13</w:t>
            </w:r>
          </w:p>
        </w:tc>
        <w:tc>
          <w:tcPr>
            <w:tcW w:w="903" w:type="dxa"/>
          </w:tcPr>
          <w:p>
            <w:pPr>
              <w:pStyle w:val="TableParagraph"/>
              <w:spacing w:line="225" w:lineRule="exact"/>
              <w:ind w:left="13" w:right="6"/>
              <w:jc w:val="center"/>
              <w:rPr>
                <w:sz w:val="20"/>
              </w:rPr>
            </w:pPr>
            <w:r>
              <w:rPr>
                <w:spacing w:val="-4"/>
                <w:sz w:val="20"/>
              </w:rPr>
              <w:t>5.5.</w:t>
            </w:r>
          </w:p>
        </w:tc>
        <w:tc>
          <w:tcPr>
            <w:tcW w:w="685" w:type="dxa"/>
          </w:tcPr>
          <w:p>
            <w:pPr>
              <w:pStyle w:val="TableParagraph"/>
              <w:spacing w:line="225" w:lineRule="exact"/>
              <w:ind w:left="77" w:right="32"/>
              <w:jc w:val="center"/>
              <w:rPr>
                <w:sz w:val="20"/>
              </w:rPr>
            </w:pPr>
            <w:r>
              <w:rPr>
                <w:spacing w:val="-5"/>
                <w:sz w:val="20"/>
              </w:rPr>
              <w:t>19</w:t>
            </w:r>
          </w:p>
        </w:tc>
        <w:tc>
          <w:tcPr>
            <w:tcW w:w="800" w:type="dxa"/>
          </w:tcPr>
          <w:p>
            <w:pPr>
              <w:pStyle w:val="TableParagraph"/>
              <w:spacing w:line="225" w:lineRule="exact"/>
              <w:ind w:left="18" w:right="18"/>
              <w:jc w:val="center"/>
              <w:rPr>
                <w:sz w:val="20"/>
              </w:rPr>
            </w:pPr>
            <w:r>
              <w:rPr>
                <w:spacing w:val="-5"/>
                <w:sz w:val="20"/>
              </w:rPr>
              <w:t>8.1</w:t>
            </w:r>
          </w:p>
        </w:tc>
        <w:tc>
          <w:tcPr>
            <w:tcW w:w="654" w:type="dxa"/>
          </w:tcPr>
          <w:p>
            <w:pPr>
              <w:pStyle w:val="TableParagraph"/>
              <w:spacing w:line="225" w:lineRule="exact"/>
              <w:ind w:left="7" w:right="33"/>
              <w:jc w:val="center"/>
              <w:rPr>
                <w:sz w:val="20"/>
              </w:rPr>
            </w:pPr>
            <w:r>
              <w:rPr>
                <w:spacing w:val="-10"/>
                <w:sz w:val="20"/>
              </w:rPr>
              <w:t>7</w:t>
            </w:r>
          </w:p>
        </w:tc>
        <w:tc>
          <w:tcPr>
            <w:tcW w:w="716" w:type="dxa"/>
          </w:tcPr>
          <w:p>
            <w:pPr>
              <w:pStyle w:val="TableParagraph"/>
              <w:spacing w:line="225" w:lineRule="exact"/>
              <w:ind w:left="22" w:right="5"/>
              <w:jc w:val="center"/>
              <w:rPr>
                <w:sz w:val="20"/>
              </w:rPr>
            </w:pPr>
            <w:r>
              <w:rPr>
                <w:spacing w:val="-5"/>
                <w:sz w:val="20"/>
              </w:rPr>
              <w:t>3.0</w:t>
            </w:r>
          </w:p>
        </w:tc>
        <w:tc>
          <w:tcPr>
            <w:tcW w:w="721" w:type="dxa"/>
          </w:tcPr>
          <w:p>
            <w:pPr>
              <w:pStyle w:val="TableParagraph"/>
              <w:spacing w:line="225" w:lineRule="exact"/>
              <w:ind w:left="50" w:right="35"/>
              <w:jc w:val="center"/>
              <w:rPr>
                <w:sz w:val="20"/>
              </w:rPr>
            </w:pPr>
            <w:r>
              <w:rPr>
                <w:spacing w:val="-5"/>
                <w:sz w:val="20"/>
              </w:rPr>
              <w:t>235</w:t>
            </w:r>
          </w:p>
        </w:tc>
        <w:tc>
          <w:tcPr>
            <w:tcW w:w="739" w:type="dxa"/>
            <w:tcBorders>
              <w:right w:val="single" w:sz="4" w:space="0" w:color="000000"/>
            </w:tcBorders>
          </w:tcPr>
          <w:p>
            <w:pPr>
              <w:pStyle w:val="TableParagraph"/>
              <w:spacing w:line="225" w:lineRule="exact"/>
              <w:ind w:left="36" w:right="26"/>
              <w:jc w:val="center"/>
              <w:rPr>
                <w:sz w:val="20"/>
              </w:rPr>
            </w:pPr>
            <w:r>
              <w:rPr>
                <w:spacing w:val="-4"/>
                <w:sz w:val="20"/>
              </w:rPr>
              <w:t>50.8</w:t>
            </w:r>
          </w:p>
        </w:tc>
      </w:tr>
      <w:tr>
        <w:trPr>
          <w:trHeight w:val="244" w:hRule="atLeast"/>
        </w:trPr>
        <w:tc>
          <w:tcPr>
            <w:tcW w:w="4148" w:type="dxa"/>
            <w:tcBorders>
              <w:left w:val="single" w:sz="4" w:space="0" w:color="000000"/>
            </w:tcBorders>
          </w:tcPr>
          <w:p>
            <w:pPr>
              <w:pStyle w:val="TableParagraph"/>
              <w:rPr>
                <w:rFonts w:ascii="Times New Roman"/>
                <w:sz w:val="16"/>
              </w:rPr>
            </w:pPr>
          </w:p>
        </w:tc>
        <w:tc>
          <w:tcPr>
            <w:tcW w:w="1795" w:type="dxa"/>
          </w:tcPr>
          <w:p>
            <w:pPr>
              <w:pStyle w:val="TableParagraph"/>
              <w:spacing w:line="213" w:lineRule="exact" w:before="12"/>
              <w:ind w:left="109"/>
              <w:rPr>
                <w:sz w:val="20"/>
              </w:rPr>
            </w:pPr>
            <w:r>
              <w:rPr>
                <w:sz w:val="20"/>
              </w:rPr>
              <w:t>Service</w:t>
            </w:r>
            <w:r>
              <w:rPr>
                <w:spacing w:val="-9"/>
                <w:sz w:val="20"/>
              </w:rPr>
              <w:t> </w:t>
            </w:r>
            <w:r>
              <w:rPr>
                <w:spacing w:val="-2"/>
                <w:sz w:val="20"/>
              </w:rPr>
              <w:t>Staff</w:t>
            </w:r>
          </w:p>
        </w:tc>
        <w:tc>
          <w:tcPr>
            <w:tcW w:w="678" w:type="dxa"/>
          </w:tcPr>
          <w:p>
            <w:pPr>
              <w:pStyle w:val="TableParagraph"/>
              <w:spacing w:line="213" w:lineRule="exact" w:before="12"/>
              <w:ind w:left="57" w:right="5"/>
              <w:jc w:val="center"/>
              <w:rPr>
                <w:sz w:val="20"/>
              </w:rPr>
            </w:pPr>
            <w:r>
              <w:rPr>
                <w:spacing w:val="-5"/>
                <w:sz w:val="20"/>
              </w:rPr>
              <w:t>61</w:t>
            </w:r>
          </w:p>
        </w:tc>
        <w:tc>
          <w:tcPr>
            <w:tcW w:w="778" w:type="dxa"/>
          </w:tcPr>
          <w:p>
            <w:pPr>
              <w:pStyle w:val="TableParagraph"/>
              <w:spacing w:line="213" w:lineRule="exact" w:before="12"/>
              <w:ind w:left="112" w:right="71"/>
              <w:jc w:val="center"/>
              <w:rPr>
                <w:sz w:val="20"/>
              </w:rPr>
            </w:pPr>
            <w:r>
              <w:rPr>
                <w:spacing w:val="-4"/>
                <w:sz w:val="20"/>
              </w:rPr>
              <w:t>30.0</w:t>
            </w:r>
          </w:p>
        </w:tc>
        <w:tc>
          <w:tcPr>
            <w:tcW w:w="692" w:type="dxa"/>
          </w:tcPr>
          <w:p>
            <w:pPr>
              <w:pStyle w:val="TableParagraph"/>
              <w:spacing w:line="213" w:lineRule="exact" w:before="12"/>
              <w:ind w:left="23" w:right="17"/>
              <w:jc w:val="center"/>
              <w:rPr>
                <w:sz w:val="20"/>
              </w:rPr>
            </w:pPr>
            <w:r>
              <w:rPr>
                <w:spacing w:val="-5"/>
                <w:sz w:val="20"/>
              </w:rPr>
              <w:t>92</w:t>
            </w:r>
          </w:p>
        </w:tc>
        <w:tc>
          <w:tcPr>
            <w:tcW w:w="709" w:type="dxa"/>
          </w:tcPr>
          <w:p>
            <w:pPr>
              <w:pStyle w:val="TableParagraph"/>
              <w:spacing w:line="213" w:lineRule="exact" w:before="12"/>
              <w:ind w:left="70" w:right="20"/>
              <w:jc w:val="center"/>
              <w:rPr>
                <w:sz w:val="20"/>
              </w:rPr>
            </w:pPr>
            <w:r>
              <w:rPr>
                <w:spacing w:val="-4"/>
                <w:sz w:val="20"/>
              </w:rPr>
              <w:t>45.3</w:t>
            </w:r>
          </w:p>
        </w:tc>
        <w:tc>
          <w:tcPr>
            <w:tcW w:w="757" w:type="dxa"/>
          </w:tcPr>
          <w:p>
            <w:pPr>
              <w:pStyle w:val="TableParagraph"/>
              <w:spacing w:line="213" w:lineRule="exact" w:before="12"/>
              <w:ind w:right="255"/>
              <w:jc w:val="right"/>
              <w:rPr>
                <w:sz w:val="20"/>
              </w:rPr>
            </w:pPr>
            <w:r>
              <w:rPr>
                <w:spacing w:val="-5"/>
                <w:sz w:val="20"/>
              </w:rPr>
              <w:t>17</w:t>
            </w:r>
          </w:p>
        </w:tc>
        <w:tc>
          <w:tcPr>
            <w:tcW w:w="903" w:type="dxa"/>
          </w:tcPr>
          <w:p>
            <w:pPr>
              <w:pStyle w:val="TableParagraph"/>
              <w:spacing w:line="213" w:lineRule="exact" w:before="12"/>
              <w:ind w:left="13" w:right="13"/>
              <w:jc w:val="center"/>
              <w:rPr>
                <w:sz w:val="20"/>
              </w:rPr>
            </w:pPr>
            <w:r>
              <w:rPr>
                <w:spacing w:val="-5"/>
                <w:sz w:val="20"/>
              </w:rPr>
              <w:t>8.4</w:t>
            </w:r>
          </w:p>
        </w:tc>
        <w:tc>
          <w:tcPr>
            <w:tcW w:w="685" w:type="dxa"/>
          </w:tcPr>
          <w:p>
            <w:pPr>
              <w:pStyle w:val="TableParagraph"/>
              <w:spacing w:line="213" w:lineRule="exact" w:before="12"/>
              <w:ind w:left="77" w:right="32"/>
              <w:jc w:val="center"/>
              <w:rPr>
                <w:sz w:val="20"/>
              </w:rPr>
            </w:pPr>
            <w:r>
              <w:rPr>
                <w:spacing w:val="-5"/>
                <w:sz w:val="20"/>
              </w:rPr>
              <w:t>26</w:t>
            </w:r>
          </w:p>
        </w:tc>
        <w:tc>
          <w:tcPr>
            <w:tcW w:w="800" w:type="dxa"/>
          </w:tcPr>
          <w:p>
            <w:pPr>
              <w:pStyle w:val="TableParagraph"/>
              <w:spacing w:line="213" w:lineRule="exact" w:before="12"/>
              <w:ind w:left="18" w:right="14"/>
              <w:jc w:val="center"/>
              <w:rPr>
                <w:sz w:val="20"/>
              </w:rPr>
            </w:pPr>
            <w:r>
              <w:rPr>
                <w:spacing w:val="-4"/>
                <w:sz w:val="20"/>
              </w:rPr>
              <w:t>12.8</w:t>
            </w:r>
          </w:p>
        </w:tc>
        <w:tc>
          <w:tcPr>
            <w:tcW w:w="654" w:type="dxa"/>
          </w:tcPr>
          <w:p>
            <w:pPr>
              <w:pStyle w:val="TableParagraph"/>
              <w:spacing w:line="213" w:lineRule="exact" w:before="12"/>
              <w:ind w:left="7" w:right="33"/>
              <w:jc w:val="center"/>
              <w:rPr>
                <w:sz w:val="20"/>
              </w:rPr>
            </w:pPr>
            <w:r>
              <w:rPr>
                <w:spacing w:val="-10"/>
                <w:sz w:val="20"/>
              </w:rPr>
              <w:t>7</w:t>
            </w:r>
          </w:p>
        </w:tc>
        <w:tc>
          <w:tcPr>
            <w:tcW w:w="716" w:type="dxa"/>
          </w:tcPr>
          <w:p>
            <w:pPr>
              <w:pStyle w:val="TableParagraph"/>
              <w:spacing w:line="213" w:lineRule="exact" w:before="12"/>
              <w:ind w:left="22" w:right="5"/>
              <w:jc w:val="center"/>
              <w:rPr>
                <w:sz w:val="20"/>
              </w:rPr>
            </w:pPr>
            <w:r>
              <w:rPr>
                <w:spacing w:val="-5"/>
                <w:sz w:val="20"/>
              </w:rPr>
              <w:t>3.4</w:t>
            </w:r>
          </w:p>
        </w:tc>
        <w:tc>
          <w:tcPr>
            <w:tcW w:w="721" w:type="dxa"/>
          </w:tcPr>
          <w:p>
            <w:pPr>
              <w:pStyle w:val="TableParagraph"/>
              <w:spacing w:line="213" w:lineRule="exact" w:before="12"/>
              <w:ind w:left="50" w:right="35"/>
              <w:jc w:val="center"/>
              <w:rPr>
                <w:sz w:val="20"/>
              </w:rPr>
            </w:pPr>
            <w:r>
              <w:rPr>
                <w:spacing w:val="-5"/>
                <w:sz w:val="20"/>
              </w:rPr>
              <w:t>203</w:t>
            </w:r>
          </w:p>
        </w:tc>
        <w:tc>
          <w:tcPr>
            <w:tcW w:w="739" w:type="dxa"/>
            <w:tcBorders>
              <w:right w:val="single" w:sz="4" w:space="0" w:color="000000"/>
            </w:tcBorders>
          </w:tcPr>
          <w:p>
            <w:pPr>
              <w:pStyle w:val="TableParagraph"/>
              <w:spacing w:line="213" w:lineRule="exact" w:before="12"/>
              <w:ind w:left="36" w:right="26"/>
              <w:jc w:val="center"/>
              <w:rPr>
                <w:sz w:val="20"/>
              </w:rPr>
            </w:pPr>
            <w:r>
              <w:rPr>
                <w:spacing w:val="-4"/>
                <w:sz w:val="20"/>
              </w:rPr>
              <w:t>43.8</w:t>
            </w:r>
          </w:p>
        </w:tc>
      </w:tr>
      <w:tr>
        <w:trPr>
          <w:trHeight w:val="254" w:hRule="atLeast"/>
        </w:trPr>
        <w:tc>
          <w:tcPr>
            <w:tcW w:w="4148" w:type="dxa"/>
            <w:tcBorders>
              <w:left w:val="single" w:sz="4" w:space="0" w:color="000000"/>
            </w:tcBorders>
          </w:tcPr>
          <w:p>
            <w:pPr>
              <w:pStyle w:val="TableParagraph"/>
              <w:rPr>
                <w:rFonts w:ascii="Times New Roman"/>
                <w:sz w:val="18"/>
              </w:rPr>
            </w:pPr>
          </w:p>
        </w:tc>
        <w:tc>
          <w:tcPr>
            <w:tcW w:w="1795" w:type="dxa"/>
          </w:tcPr>
          <w:p>
            <w:pPr>
              <w:pStyle w:val="TableParagraph"/>
              <w:spacing w:line="227" w:lineRule="exact"/>
              <w:ind w:left="109"/>
              <w:rPr>
                <w:sz w:val="20"/>
              </w:rPr>
            </w:pPr>
            <w:r>
              <w:rPr>
                <w:sz w:val="20"/>
              </w:rPr>
              <w:t>Top</w:t>
            </w:r>
            <w:r>
              <w:rPr>
                <w:spacing w:val="-1"/>
                <w:sz w:val="20"/>
              </w:rPr>
              <w:t> </w:t>
            </w:r>
            <w:r>
              <w:rPr>
                <w:spacing w:val="-2"/>
                <w:sz w:val="20"/>
              </w:rPr>
              <w:t>Management</w:t>
            </w:r>
          </w:p>
        </w:tc>
        <w:tc>
          <w:tcPr>
            <w:tcW w:w="678" w:type="dxa"/>
          </w:tcPr>
          <w:p>
            <w:pPr>
              <w:pStyle w:val="TableParagraph"/>
              <w:spacing w:line="227" w:lineRule="exact"/>
              <w:ind w:left="57"/>
              <w:jc w:val="center"/>
              <w:rPr>
                <w:sz w:val="20"/>
              </w:rPr>
            </w:pPr>
            <w:r>
              <w:rPr>
                <w:spacing w:val="-10"/>
                <w:sz w:val="20"/>
              </w:rPr>
              <w:t>5</w:t>
            </w:r>
          </w:p>
        </w:tc>
        <w:tc>
          <w:tcPr>
            <w:tcW w:w="778" w:type="dxa"/>
          </w:tcPr>
          <w:p>
            <w:pPr>
              <w:pStyle w:val="TableParagraph"/>
              <w:spacing w:line="227" w:lineRule="exact"/>
              <w:ind w:left="112" w:right="71"/>
              <w:jc w:val="center"/>
              <w:rPr>
                <w:sz w:val="20"/>
              </w:rPr>
            </w:pPr>
            <w:r>
              <w:rPr>
                <w:spacing w:val="-4"/>
                <w:sz w:val="20"/>
              </w:rPr>
              <w:t>21.7</w:t>
            </w:r>
          </w:p>
        </w:tc>
        <w:tc>
          <w:tcPr>
            <w:tcW w:w="692" w:type="dxa"/>
          </w:tcPr>
          <w:p>
            <w:pPr>
              <w:pStyle w:val="TableParagraph"/>
              <w:spacing w:line="227" w:lineRule="exact"/>
              <w:ind w:left="23" w:right="17"/>
              <w:jc w:val="center"/>
              <w:rPr>
                <w:sz w:val="20"/>
              </w:rPr>
            </w:pPr>
            <w:r>
              <w:rPr>
                <w:spacing w:val="-5"/>
                <w:sz w:val="20"/>
              </w:rPr>
              <w:t>15</w:t>
            </w:r>
          </w:p>
        </w:tc>
        <w:tc>
          <w:tcPr>
            <w:tcW w:w="709" w:type="dxa"/>
          </w:tcPr>
          <w:p>
            <w:pPr>
              <w:pStyle w:val="TableParagraph"/>
              <w:spacing w:line="227" w:lineRule="exact"/>
              <w:ind w:left="70" w:right="20"/>
              <w:jc w:val="center"/>
              <w:rPr>
                <w:sz w:val="20"/>
              </w:rPr>
            </w:pPr>
            <w:r>
              <w:rPr>
                <w:spacing w:val="-4"/>
                <w:sz w:val="20"/>
              </w:rPr>
              <w:t>65.2</w:t>
            </w:r>
          </w:p>
        </w:tc>
        <w:tc>
          <w:tcPr>
            <w:tcW w:w="757" w:type="dxa"/>
          </w:tcPr>
          <w:p>
            <w:pPr>
              <w:pStyle w:val="TableParagraph"/>
              <w:spacing w:line="227" w:lineRule="exact"/>
              <w:ind w:right="308"/>
              <w:jc w:val="right"/>
              <w:rPr>
                <w:sz w:val="20"/>
              </w:rPr>
            </w:pPr>
            <w:r>
              <w:rPr>
                <w:spacing w:val="-10"/>
                <w:sz w:val="20"/>
              </w:rPr>
              <w:t>1</w:t>
            </w:r>
          </w:p>
        </w:tc>
        <w:tc>
          <w:tcPr>
            <w:tcW w:w="903" w:type="dxa"/>
          </w:tcPr>
          <w:p>
            <w:pPr>
              <w:pStyle w:val="TableParagraph"/>
              <w:spacing w:line="227" w:lineRule="exact"/>
              <w:ind w:left="13" w:right="13"/>
              <w:jc w:val="center"/>
              <w:rPr>
                <w:sz w:val="20"/>
              </w:rPr>
            </w:pPr>
            <w:r>
              <w:rPr>
                <w:spacing w:val="-5"/>
                <w:sz w:val="20"/>
              </w:rPr>
              <w:t>4.3</w:t>
            </w:r>
          </w:p>
        </w:tc>
        <w:tc>
          <w:tcPr>
            <w:tcW w:w="685" w:type="dxa"/>
          </w:tcPr>
          <w:p>
            <w:pPr>
              <w:pStyle w:val="TableParagraph"/>
              <w:spacing w:line="227" w:lineRule="exact"/>
              <w:ind w:left="81" w:right="32"/>
              <w:jc w:val="center"/>
              <w:rPr>
                <w:sz w:val="20"/>
              </w:rPr>
            </w:pPr>
            <w:r>
              <w:rPr>
                <w:spacing w:val="-10"/>
                <w:sz w:val="20"/>
              </w:rPr>
              <w:t>2</w:t>
            </w:r>
          </w:p>
        </w:tc>
        <w:tc>
          <w:tcPr>
            <w:tcW w:w="800" w:type="dxa"/>
          </w:tcPr>
          <w:p>
            <w:pPr>
              <w:pStyle w:val="TableParagraph"/>
              <w:spacing w:line="227" w:lineRule="exact"/>
              <w:ind w:left="18" w:right="18"/>
              <w:jc w:val="center"/>
              <w:rPr>
                <w:sz w:val="20"/>
              </w:rPr>
            </w:pPr>
            <w:r>
              <w:rPr>
                <w:spacing w:val="-5"/>
                <w:sz w:val="20"/>
              </w:rPr>
              <w:t>8.7</w:t>
            </w:r>
          </w:p>
        </w:tc>
        <w:tc>
          <w:tcPr>
            <w:tcW w:w="654" w:type="dxa"/>
          </w:tcPr>
          <w:p>
            <w:pPr>
              <w:pStyle w:val="TableParagraph"/>
              <w:spacing w:line="227" w:lineRule="exact"/>
              <w:ind w:right="33"/>
              <w:jc w:val="center"/>
              <w:rPr>
                <w:sz w:val="20"/>
              </w:rPr>
            </w:pPr>
            <w:r>
              <w:rPr>
                <w:spacing w:val="-10"/>
                <w:sz w:val="20"/>
              </w:rPr>
              <w:t>-</w:t>
            </w:r>
          </w:p>
        </w:tc>
        <w:tc>
          <w:tcPr>
            <w:tcW w:w="716" w:type="dxa"/>
          </w:tcPr>
          <w:p>
            <w:pPr>
              <w:pStyle w:val="TableParagraph"/>
              <w:spacing w:line="227" w:lineRule="exact"/>
              <w:ind w:left="22" w:right="7"/>
              <w:jc w:val="center"/>
              <w:rPr>
                <w:sz w:val="20"/>
              </w:rPr>
            </w:pPr>
            <w:r>
              <w:rPr>
                <w:spacing w:val="-10"/>
                <w:sz w:val="20"/>
              </w:rPr>
              <w:t>-</w:t>
            </w:r>
          </w:p>
        </w:tc>
        <w:tc>
          <w:tcPr>
            <w:tcW w:w="721" w:type="dxa"/>
          </w:tcPr>
          <w:p>
            <w:pPr>
              <w:pStyle w:val="TableParagraph"/>
              <w:spacing w:line="227" w:lineRule="exact"/>
              <w:ind w:left="50" w:right="30"/>
              <w:jc w:val="center"/>
              <w:rPr>
                <w:sz w:val="20"/>
              </w:rPr>
            </w:pPr>
            <w:r>
              <w:rPr>
                <w:spacing w:val="-5"/>
                <w:sz w:val="20"/>
              </w:rPr>
              <w:t>23</w:t>
            </w:r>
          </w:p>
        </w:tc>
        <w:tc>
          <w:tcPr>
            <w:tcW w:w="739" w:type="dxa"/>
            <w:tcBorders>
              <w:right w:val="single" w:sz="4" w:space="0" w:color="000000"/>
            </w:tcBorders>
          </w:tcPr>
          <w:p>
            <w:pPr>
              <w:pStyle w:val="TableParagraph"/>
              <w:spacing w:line="227" w:lineRule="exact"/>
              <w:ind w:left="36" w:right="31"/>
              <w:jc w:val="center"/>
              <w:rPr>
                <w:sz w:val="20"/>
              </w:rPr>
            </w:pPr>
            <w:r>
              <w:rPr>
                <w:spacing w:val="-5"/>
                <w:sz w:val="20"/>
              </w:rPr>
              <w:t>5.0</w:t>
            </w:r>
          </w:p>
        </w:tc>
      </w:tr>
      <w:tr>
        <w:trPr>
          <w:trHeight w:val="254" w:hRule="atLeast"/>
        </w:trPr>
        <w:tc>
          <w:tcPr>
            <w:tcW w:w="4148" w:type="dxa"/>
            <w:tcBorders>
              <w:left w:val="single" w:sz="4" w:space="0" w:color="000000"/>
            </w:tcBorders>
          </w:tcPr>
          <w:p>
            <w:pPr>
              <w:pStyle w:val="TableParagraph"/>
              <w:tabs>
                <w:tab w:pos="609" w:val="left" w:leader="none"/>
                <w:tab w:pos="1175" w:val="left" w:leader="none"/>
                <w:tab w:pos="2433" w:val="left" w:leader="none"/>
                <w:tab w:pos="2875" w:val="left" w:leader="none"/>
                <w:tab w:pos="3374" w:val="left" w:leader="none"/>
              </w:tabs>
              <w:spacing w:line="213" w:lineRule="exact" w:before="21"/>
              <w:ind w:right="101"/>
              <w:jc w:val="right"/>
              <w:rPr>
                <w:sz w:val="20"/>
              </w:rPr>
            </w:pPr>
            <w:r>
              <w:rPr>
                <w:spacing w:val="-5"/>
                <w:sz w:val="20"/>
              </w:rPr>
              <w:t>61.</w:t>
            </w:r>
            <w:r>
              <w:rPr>
                <w:sz w:val="20"/>
              </w:rPr>
              <w:tab/>
            </w:r>
            <w:r>
              <w:rPr>
                <w:spacing w:val="-5"/>
                <w:sz w:val="20"/>
              </w:rPr>
              <w:t>The</w:t>
            </w:r>
            <w:r>
              <w:rPr>
                <w:sz w:val="20"/>
              </w:rPr>
              <w:tab/>
            </w:r>
            <w:r>
              <w:rPr>
                <w:spacing w:val="-2"/>
                <w:sz w:val="20"/>
              </w:rPr>
              <w:t>Universities</w:t>
            </w:r>
            <w:r>
              <w:rPr>
                <w:sz w:val="20"/>
              </w:rPr>
              <w:tab/>
            </w:r>
            <w:r>
              <w:rPr>
                <w:spacing w:val="-5"/>
                <w:sz w:val="20"/>
              </w:rPr>
              <w:t>do</w:t>
            </w:r>
            <w:r>
              <w:rPr>
                <w:sz w:val="20"/>
              </w:rPr>
              <w:tab/>
            </w:r>
            <w:r>
              <w:rPr>
                <w:spacing w:val="-5"/>
                <w:sz w:val="20"/>
              </w:rPr>
              <w:t>not</w:t>
            </w:r>
            <w:r>
              <w:rPr>
                <w:sz w:val="20"/>
              </w:rPr>
              <w:tab/>
            </w:r>
            <w:r>
              <w:rPr>
                <w:spacing w:val="-4"/>
                <w:sz w:val="20"/>
              </w:rPr>
              <w:t>have</w:t>
            </w:r>
          </w:p>
        </w:tc>
        <w:tc>
          <w:tcPr>
            <w:tcW w:w="1795" w:type="dxa"/>
          </w:tcPr>
          <w:p>
            <w:pPr>
              <w:pStyle w:val="TableParagraph"/>
              <w:spacing w:line="213" w:lineRule="exact" w:before="21"/>
              <w:ind w:left="109"/>
              <w:rPr>
                <w:sz w:val="20"/>
              </w:rPr>
            </w:pPr>
            <w:r>
              <w:rPr>
                <w:sz w:val="20"/>
              </w:rPr>
              <w:t>No.</w:t>
            </w:r>
            <w:r>
              <w:rPr>
                <w:spacing w:val="-5"/>
                <w:sz w:val="20"/>
              </w:rPr>
              <w:t> </w:t>
            </w:r>
            <w:r>
              <w:rPr>
                <w:sz w:val="20"/>
              </w:rPr>
              <w:t>of</w:t>
            </w:r>
            <w:r>
              <w:rPr>
                <w:spacing w:val="-2"/>
                <w:sz w:val="20"/>
              </w:rPr>
              <w:t> missing</w:t>
            </w:r>
          </w:p>
        </w:tc>
        <w:tc>
          <w:tcPr>
            <w:tcW w:w="678" w:type="dxa"/>
          </w:tcPr>
          <w:p>
            <w:pPr>
              <w:pStyle w:val="TableParagraph"/>
              <w:rPr>
                <w:rFonts w:ascii="Times New Roman"/>
                <w:sz w:val="18"/>
              </w:rPr>
            </w:pPr>
          </w:p>
        </w:tc>
        <w:tc>
          <w:tcPr>
            <w:tcW w:w="778" w:type="dxa"/>
          </w:tcPr>
          <w:p>
            <w:pPr>
              <w:pStyle w:val="TableParagraph"/>
              <w:rPr>
                <w:rFonts w:ascii="Times New Roman"/>
                <w:sz w:val="18"/>
              </w:rPr>
            </w:pPr>
          </w:p>
        </w:tc>
        <w:tc>
          <w:tcPr>
            <w:tcW w:w="692" w:type="dxa"/>
          </w:tcPr>
          <w:p>
            <w:pPr>
              <w:pStyle w:val="TableParagraph"/>
              <w:rPr>
                <w:rFonts w:ascii="Times New Roman"/>
                <w:sz w:val="18"/>
              </w:rPr>
            </w:pPr>
          </w:p>
        </w:tc>
        <w:tc>
          <w:tcPr>
            <w:tcW w:w="709" w:type="dxa"/>
          </w:tcPr>
          <w:p>
            <w:pPr>
              <w:pStyle w:val="TableParagraph"/>
              <w:rPr>
                <w:rFonts w:ascii="Times New Roman"/>
                <w:sz w:val="18"/>
              </w:rPr>
            </w:pPr>
          </w:p>
        </w:tc>
        <w:tc>
          <w:tcPr>
            <w:tcW w:w="757" w:type="dxa"/>
          </w:tcPr>
          <w:p>
            <w:pPr>
              <w:pStyle w:val="TableParagraph"/>
              <w:rPr>
                <w:rFonts w:ascii="Times New Roman"/>
                <w:sz w:val="18"/>
              </w:rPr>
            </w:pPr>
          </w:p>
        </w:tc>
        <w:tc>
          <w:tcPr>
            <w:tcW w:w="903" w:type="dxa"/>
          </w:tcPr>
          <w:p>
            <w:pPr>
              <w:pStyle w:val="TableParagraph"/>
              <w:rPr>
                <w:rFonts w:ascii="Times New Roman"/>
                <w:sz w:val="18"/>
              </w:rPr>
            </w:pPr>
          </w:p>
        </w:tc>
        <w:tc>
          <w:tcPr>
            <w:tcW w:w="685" w:type="dxa"/>
          </w:tcPr>
          <w:p>
            <w:pPr>
              <w:pStyle w:val="TableParagraph"/>
              <w:rPr>
                <w:rFonts w:ascii="Times New Roman"/>
                <w:sz w:val="18"/>
              </w:rPr>
            </w:pPr>
          </w:p>
        </w:tc>
        <w:tc>
          <w:tcPr>
            <w:tcW w:w="800" w:type="dxa"/>
          </w:tcPr>
          <w:p>
            <w:pPr>
              <w:pStyle w:val="TableParagraph"/>
              <w:rPr>
                <w:rFonts w:ascii="Times New Roman"/>
                <w:sz w:val="18"/>
              </w:rPr>
            </w:pPr>
          </w:p>
        </w:tc>
        <w:tc>
          <w:tcPr>
            <w:tcW w:w="654" w:type="dxa"/>
          </w:tcPr>
          <w:p>
            <w:pPr>
              <w:pStyle w:val="TableParagraph"/>
              <w:rPr>
                <w:rFonts w:ascii="Times New Roman"/>
                <w:sz w:val="18"/>
              </w:rPr>
            </w:pPr>
          </w:p>
        </w:tc>
        <w:tc>
          <w:tcPr>
            <w:tcW w:w="716" w:type="dxa"/>
          </w:tcPr>
          <w:p>
            <w:pPr>
              <w:pStyle w:val="TableParagraph"/>
              <w:rPr>
                <w:rFonts w:ascii="Times New Roman"/>
                <w:sz w:val="18"/>
              </w:rPr>
            </w:pPr>
          </w:p>
        </w:tc>
        <w:tc>
          <w:tcPr>
            <w:tcW w:w="721" w:type="dxa"/>
          </w:tcPr>
          <w:p>
            <w:pPr>
              <w:pStyle w:val="TableParagraph"/>
              <w:rPr>
                <w:rFonts w:ascii="Times New Roman"/>
                <w:sz w:val="18"/>
              </w:rPr>
            </w:pPr>
          </w:p>
        </w:tc>
        <w:tc>
          <w:tcPr>
            <w:tcW w:w="739" w:type="dxa"/>
            <w:tcBorders>
              <w:right w:val="single" w:sz="4" w:space="0" w:color="000000"/>
            </w:tcBorders>
          </w:tcPr>
          <w:p>
            <w:pPr>
              <w:pStyle w:val="TableParagraph"/>
              <w:rPr>
                <w:rFonts w:ascii="Times New Roman"/>
                <w:sz w:val="18"/>
              </w:rPr>
            </w:pPr>
          </w:p>
        </w:tc>
      </w:tr>
      <w:tr>
        <w:trPr>
          <w:trHeight w:val="230" w:hRule="atLeast"/>
        </w:trPr>
        <w:tc>
          <w:tcPr>
            <w:tcW w:w="4148" w:type="dxa"/>
            <w:tcBorders>
              <w:left w:val="single" w:sz="4" w:space="0" w:color="000000"/>
            </w:tcBorders>
          </w:tcPr>
          <w:p>
            <w:pPr>
              <w:pStyle w:val="TableParagraph"/>
              <w:spacing w:line="210" w:lineRule="exact"/>
              <w:ind w:right="102"/>
              <w:jc w:val="right"/>
              <w:rPr>
                <w:sz w:val="20"/>
              </w:rPr>
            </w:pPr>
            <w:r>
              <w:rPr>
                <w:sz w:val="20"/>
              </w:rPr>
              <w:t>enough</w:t>
            </w:r>
            <w:r>
              <w:rPr>
                <w:spacing w:val="72"/>
                <w:w w:val="150"/>
                <w:sz w:val="20"/>
              </w:rPr>
              <w:t> </w:t>
            </w:r>
            <w:r>
              <w:rPr>
                <w:sz w:val="20"/>
              </w:rPr>
              <w:t>buses</w:t>
            </w:r>
            <w:r>
              <w:rPr>
                <w:spacing w:val="69"/>
                <w:w w:val="150"/>
                <w:sz w:val="20"/>
              </w:rPr>
              <w:t> </w:t>
            </w:r>
            <w:r>
              <w:rPr>
                <w:sz w:val="20"/>
              </w:rPr>
              <w:t>for</w:t>
            </w:r>
            <w:r>
              <w:rPr>
                <w:spacing w:val="74"/>
                <w:w w:val="150"/>
                <w:sz w:val="20"/>
              </w:rPr>
              <w:t> </w:t>
            </w:r>
            <w:r>
              <w:rPr>
                <w:sz w:val="20"/>
              </w:rPr>
              <w:t>students</w:t>
            </w:r>
            <w:r>
              <w:rPr>
                <w:spacing w:val="69"/>
                <w:w w:val="150"/>
                <w:sz w:val="20"/>
              </w:rPr>
              <w:t> </w:t>
            </w:r>
            <w:r>
              <w:rPr>
                <w:spacing w:val="-4"/>
                <w:sz w:val="20"/>
              </w:rPr>
              <w:t>field</w:t>
            </w:r>
          </w:p>
        </w:tc>
        <w:tc>
          <w:tcPr>
            <w:tcW w:w="1795" w:type="dxa"/>
          </w:tcPr>
          <w:p>
            <w:pPr>
              <w:pStyle w:val="TableParagraph"/>
              <w:spacing w:line="210" w:lineRule="exact"/>
              <w:ind w:left="109"/>
              <w:rPr>
                <w:sz w:val="20"/>
              </w:rPr>
            </w:pPr>
            <w:r>
              <w:rPr>
                <w:spacing w:val="-2"/>
                <w:sz w:val="20"/>
              </w:rPr>
              <w:t>observations</w:t>
            </w:r>
          </w:p>
        </w:tc>
        <w:tc>
          <w:tcPr>
            <w:tcW w:w="678" w:type="dxa"/>
          </w:tcPr>
          <w:p>
            <w:pPr>
              <w:pStyle w:val="TableParagraph"/>
              <w:spacing w:line="210" w:lineRule="exact"/>
              <w:ind w:left="57"/>
              <w:jc w:val="center"/>
              <w:rPr>
                <w:sz w:val="20"/>
              </w:rPr>
            </w:pPr>
            <w:r>
              <w:rPr>
                <w:spacing w:val="-10"/>
                <w:sz w:val="20"/>
              </w:rPr>
              <w:t>1</w:t>
            </w:r>
          </w:p>
        </w:tc>
        <w:tc>
          <w:tcPr>
            <w:tcW w:w="778" w:type="dxa"/>
          </w:tcPr>
          <w:p>
            <w:pPr>
              <w:pStyle w:val="TableParagraph"/>
              <w:spacing w:line="210" w:lineRule="exact"/>
              <w:ind w:left="112" w:right="71"/>
              <w:jc w:val="center"/>
              <w:rPr>
                <w:sz w:val="20"/>
              </w:rPr>
            </w:pPr>
            <w:r>
              <w:rPr>
                <w:spacing w:val="-4"/>
                <w:sz w:val="20"/>
              </w:rPr>
              <w:t>50.0</w:t>
            </w:r>
          </w:p>
        </w:tc>
        <w:tc>
          <w:tcPr>
            <w:tcW w:w="692" w:type="dxa"/>
          </w:tcPr>
          <w:p>
            <w:pPr>
              <w:pStyle w:val="TableParagraph"/>
              <w:spacing w:line="210" w:lineRule="exact"/>
              <w:ind w:left="24" w:right="13"/>
              <w:jc w:val="center"/>
              <w:rPr>
                <w:sz w:val="20"/>
              </w:rPr>
            </w:pPr>
            <w:r>
              <w:rPr>
                <w:spacing w:val="-10"/>
                <w:sz w:val="20"/>
              </w:rPr>
              <w:t>1</w:t>
            </w:r>
          </w:p>
        </w:tc>
        <w:tc>
          <w:tcPr>
            <w:tcW w:w="709" w:type="dxa"/>
          </w:tcPr>
          <w:p>
            <w:pPr>
              <w:pStyle w:val="TableParagraph"/>
              <w:spacing w:line="210" w:lineRule="exact"/>
              <w:ind w:left="70" w:right="20"/>
              <w:jc w:val="center"/>
              <w:rPr>
                <w:sz w:val="20"/>
              </w:rPr>
            </w:pPr>
            <w:r>
              <w:rPr>
                <w:spacing w:val="-4"/>
                <w:sz w:val="20"/>
              </w:rPr>
              <w:t>50.0</w:t>
            </w:r>
          </w:p>
        </w:tc>
        <w:tc>
          <w:tcPr>
            <w:tcW w:w="757" w:type="dxa"/>
          </w:tcPr>
          <w:p>
            <w:pPr>
              <w:pStyle w:val="TableParagraph"/>
              <w:spacing w:line="210" w:lineRule="exact"/>
              <w:ind w:right="334"/>
              <w:jc w:val="right"/>
              <w:rPr>
                <w:sz w:val="20"/>
              </w:rPr>
            </w:pPr>
            <w:r>
              <w:rPr>
                <w:spacing w:val="-10"/>
                <w:sz w:val="20"/>
              </w:rPr>
              <w:t>-</w:t>
            </w:r>
          </w:p>
        </w:tc>
        <w:tc>
          <w:tcPr>
            <w:tcW w:w="903" w:type="dxa"/>
          </w:tcPr>
          <w:p>
            <w:pPr>
              <w:pStyle w:val="TableParagraph"/>
              <w:spacing w:line="210" w:lineRule="exact"/>
              <w:ind w:left="13" w:right="13"/>
              <w:jc w:val="center"/>
              <w:rPr>
                <w:sz w:val="20"/>
              </w:rPr>
            </w:pPr>
            <w:r>
              <w:rPr>
                <w:spacing w:val="-10"/>
                <w:sz w:val="20"/>
              </w:rPr>
              <w:t>-</w:t>
            </w:r>
          </w:p>
        </w:tc>
        <w:tc>
          <w:tcPr>
            <w:tcW w:w="685" w:type="dxa"/>
          </w:tcPr>
          <w:p>
            <w:pPr>
              <w:pStyle w:val="TableParagraph"/>
              <w:spacing w:line="210" w:lineRule="exact"/>
              <w:ind w:left="75" w:right="32"/>
              <w:jc w:val="center"/>
              <w:rPr>
                <w:sz w:val="20"/>
              </w:rPr>
            </w:pPr>
            <w:r>
              <w:rPr>
                <w:spacing w:val="-10"/>
                <w:sz w:val="20"/>
              </w:rPr>
              <w:t>-</w:t>
            </w:r>
          </w:p>
        </w:tc>
        <w:tc>
          <w:tcPr>
            <w:tcW w:w="800" w:type="dxa"/>
          </w:tcPr>
          <w:p>
            <w:pPr>
              <w:pStyle w:val="TableParagraph"/>
              <w:spacing w:line="210" w:lineRule="exact"/>
              <w:ind w:left="18" w:right="19"/>
              <w:jc w:val="center"/>
              <w:rPr>
                <w:sz w:val="20"/>
              </w:rPr>
            </w:pPr>
            <w:r>
              <w:rPr>
                <w:spacing w:val="-10"/>
                <w:sz w:val="20"/>
              </w:rPr>
              <w:t>-</w:t>
            </w:r>
          </w:p>
        </w:tc>
        <w:tc>
          <w:tcPr>
            <w:tcW w:w="654" w:type="dxa"/>
          </w:tcPr>
          <w:p>
            <w:pPr>
              <w:pStyle w:val="TableParagraph"/>
              <w:spacing w:line="210" w:lineRule="exact"/>
              <w:ind w:right="33"/>
              <w:jc w:val="center"/>
              <w:rPr>
                <w:sz w:val="20"/>
              </w:rPr>
            </w:pPr>
            <w:r>
              <w:rPr>
                <w:spacing w:val="-10"/>
                <w:sz w:val="20"/>
              </w:rPr>
              <w:t>-</w:t>
            </w:r>
          </w:p>
        </w:tc>
        <w:tc>
          <w:tcPr>
            <w:tcW w:w="716" w:type="dxa"/>
          </w:tcPr>
          <w:p>
            <w:pPr>
              <w:pStyle w:val="TableParagraph"/>
              <w:spacing w:line="210" w:lineRule="exact"/>
              <w:ind w:left="22" w:right="7"/>
              <w:jc w:val="center"/>
              <w:rPr>
                <w:sz w:val="20"/>
              </w:rPr>
            </w:pPr>
            <w:r>
              <w:rPr>
                <w:spacing w:val="-10"/>
                <w:sz w:val="20"/>
              </w:rPr>
              <w:t>-</w:t>
            </w:r>
          </w:p>
        </w:tc>
        <w:tc>
          <w:tcPr>
            <w:tcW w:w="721" w:type="dxa"/>
          </w:tcPr>
          <w:p>
            <w:pPr>
              <w:pStyle w:val="TableParagraph"/>
              <w:spacing w:line="210" w:lineRule="exact"/>
              <w:ind w:left="50" w:right="25"/>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31"/>
              <w:jc w:val="center"/>
              <w:rPr>
                <w:sz w:val="20"/>
              </w:rPr>
            </w:pPr>
            <w:r>
              <w:rPr>
                <w:spacing w:val="-5"/>
                <w:sz w:val="20"/>
              </w:rPr>
              <w:t>0.4</w:t>
            </w:r>
          </w:p>
        </w:tc>
      </w:tr>
      <w:tr>
        <w:trPr>
          <w:trHeight w:val="230" w:hRule="atLeast"/>
        </w:trPr>
        <w:tc>
          <w:tcPr>
            <w:tcW w:w="4148" w:type="dxa"/>
            <w:tcBorders>
              <w:left w:val="single" w:sz="4" w:space="0" w:color="000000"/>
            </w:tcBorders>
          </w:tcPr>
          <w:p>
            <w:pPr>
              <w:pStyle w:val="TableParagraph"/>
              <w:spacing w:line="210" w:lineRule="exact"/>
              <w:ind w:right="98"/>
              <w:jc w:val="right"/>
              <w:rPr>
                <w:sz w:val="20"/>
              </w:rPr>
            </w:pPr>
            <w:r>
              <w:rPr>
                <w:sz w:val="20"/>
              </w:rPr>
              <w:t>trips,</w:t>
            </w:r>
            <w:r>
              <w:rPr>
                <w:spacing w:val="70"/>
                <w:sz w:val="20"/>
              </w:rPr>
              <w:t> </w:t>
            </w:r>
            <w:r>
              <w:rPr>
                <w:sz w:val="20"/>
              </w:rPr>
              <w:t>educational</w:t>
            </w:r>
            <w:r>
              <w:rPr>
                <w:spacing w:val="69"/>
                <w:sz w:val="20"/>
              </w:rPr>
              <w:t> </w:t>
            </w:r>
            <w:r>
              <w:rPr>
                <w:sz w:val="20"/>
              </w:rPr>
              <w:t>visits,</w:t>
            </w:r>
            <w:r>
              <w:rPr>
                <w:spacing w:val="71"/>
                <w:sz w:val="20"/>
              </w:rPr>
              <w:t> </w:t>
            </w:r>
            <w:r>
              <w:rPr>
                <w:spacing w:val="-2"/>
                <w:sz w:val="20"/>
              </w:rPr>
              <w:t>practicals</w:t>
            </w:r>
          </w:p>
        </w:tc>
        <w:tc>
          <w:tcPr>
            <w:tcW w:w="1795" w:type="dxa"/>
          </w:tcPr>
          <w:p>
            <w:pPr>
              <w:pStyle w:val="TableParagraph"/>
              <w:spacing w:line="210" w:lineRule="exact"/>
              <w:ind w:left="109"/>
              <w:rPr>
                <w:sz w:val="20"/>
              </w:rPr>
            </w:pPr>
            <w:r>
              <w:rPr>
                <w:spacing w:val="-2"/>
                <w:sz w:val="20"/>
              </w:rPr>
              <w:t>Students</w:t>
            </w:r>
          </w:p>
        </w:tc>
        <w:tc>
          <w:tcPr>
            <w:tcW w:w="678" w:type="dxa"/>
          </w:tcPr>
          <w:p>
            <w:pPr>
              <w:pStyle w:val="TableParagraph"/>
              <w:spacing w:line="210" w:lineRule="exact"/>
              <w:ind w:left="57" w:right="10"/>
              <w:jc w:val="center"/>
              <w:rPr>
                <w:sz w:val="20"/>
              </w:rPr>
            </w:pPr>
            <w:r>
              <w:rPr>
                <w:spacing w:val="-5"/>
                <w:sz w:val="20"/>
              </w:rPr>
              <w:t>110</w:t>
            </w:r>
          </w:p>
        </w:tc>
        <w:tc>
          <w:tcPr>
            <w:tcW w:w="778" w:type="dxa"/>
          </w:tcPr>
          <w:p>
            <w:pPr>
              <w:pStyle w:val="TableParagraph"/>
              <w:spacing w:line="210" w:lineRule="exact"/>
              <w:ind w:left="112" w:right="71"/>
              <w:jc w:val="center"/>
              <w:rPr>
                <w:sz w:val="20"/>
              </w:rPr>
            </w:pPr>
            <w:r>
              <w:rPr>
                <w:spacing w:val="-4"/>
                <w:sz w:val="20"/>
              </w:rPr>
              <w:t>46.8</w:t>
            </w:r>
          </w:p>
        </w:tc>
        <w:tc>
          <w:tcPr>
            <w:tcW w:w="692" w:type="dxa"/>
          </w:tcPr>
          <w:p>
            <w:pPr>
              <w:pStyle w:val="TableParagraph"/>
              <w:spacing w:line="210" w:lineRule="exact"/>
              <w:ind w:left="23" w:right="17"/>
              <w:jc w:val="center"/>
              <w:rPr>
                <w:sz w:val="20"/>
              </w:rPr>
            </w:pPr>
            <w:r>
              <w:rPr>
                <w:spacing w:val="-5"/>
                <w:sz w:val="20"/>
              </w:rPr>
              <w:t>91</w:t>
            </w:r>
          </w:p>
        </w:tc>
        <w:tc>
          <w:tcPr>
            <w:tcW w:w="709" w:type="dxa"/>
          </w:tcPr>
          <w:p>
            <w:pPr>
              <w:pStyle w:val="TableParagraph"/>
              <w:spacing w:line="210" w:lineRule="exact"/>
              <w:ind w:left="70" w:right="20"/>
              <w:jc w:val="center"/>
              <w:rPr>
                <w:sz w:val="20"/>
              </w:rPr>
            </w:pPr>
            <w:r>
              <w:rPr>
                <w:spacing w:val="-4"/>
                <w:sz w:val="20"/>
              </w:rPr>
              <w:t>38.7</w:t>
            </w:r>
          </w:p>
        </w:tc>
        <w:tc>
          <w:tcPr>
            <w:tcW w:w="757" w:type="dxa"/>
          </w:tcPr>
          <w:p>
            <w:pPr>
              <w:pStyle w:val="TableParagraph"/>
              <w:spacing w:line="210" w:lineRule="exact"/>
              <w:ind w:left="137"/>
              <w:rPr>
                <w:sz w:val="20"/>
              </w:rPr>
            </w:pPr>
            <w:r>
              <w:rPr>
                <w:spacing w:val="-5"/>
                <w:sz w:val="20"/>
              </w:rPr>
              <w:t>19</w:t>
            </w:r>
          </w:p>
        </w:tc>
        <w:tc>
          <w:tcPr>
            <w:tcW w:w="903" w:type="dxa"/>
          </w:tcPr>
          <w:p>
            <w:pPr>
              <w:pStyle w:val="TableParagraph"/>
              <w:spacing w:line="210" w:lineRule="exact"/>
              <w:ind w:left="13" w:right="13"/>
              <w:jc w:val="center"/>
              <w:rPr>
                <w:sz w:val="20"/>
              </w:rPr>
            </w:pPr>
            <w:r>
              <w:rPr>
                <w:spacing w:val="-5"/>
                <w:sz w:val="20"/>
              </w:rPr>
              <w:t>8.1</w:t>
            </w:r>
          </w:p>
        </w:tc>
        <w:tc>
          <w:tcPr>
            <w:tcW w:w="685" w:type="dxa"/>
          </w:tcPr>
          <w:p>
            <w:pPr>
              <w:pStyle w:val="TableParagraph"/>
              <w:spacing w:line="210" w:lineRule="exact"/>
              <w:ind w:left="77" w:right="32"/>
              <w:jc w:val="center"/>
              <w:rPr>
                <w:sz w:val="20"/>
              </w:rPr>
            </w:pPr>
            <w:r>
              <w:rPr>
                <w:spacing w:val="-5"/>
                <w:sz w:val="20"/>
              </w:rPr>
              <w:t>10</w:t>
            </w:r>
          </w:p>
        </w:tc>
        <w:tc>
          <w:tcPr>
            <w:tcW w:w="800" w:type="dxa"/>
          </w:tcPr>
          <w:p>
            <w:pPr>
              <w:pStyle w:val="TableParagraph"/>
              <w:spacing w:line="210" w:lineRule="exact"/>
              <w:ind w:left="18" w:right="18"/>
              <w:jc w:val="center"/>
              <w:rPr>
                <w:sz w:val="20"/>
              </w:rPr>
            </w:pPr>
            <w:r>
              <w:rPr>
                <w:spacing w:val="-5"/>
                <w:sz w:val="20"/>
              </w:rPr>
              <w:t>4.3</w:t>
            </w:r>
          </w:p>
        </w:tc>
        <w:tc>
          <w:tcPr>
            <w:tcW w:w="654" w:type="dxa"/>
          </w:tcPr>
          <w:p>
            <w:pPr>
              <w:pStyle w:val="TableParagraph"/>
              <w:spacing w:line="210" w:lineRule="exact"/>
              <w:ind w:left="7" w:right="33"/>
              <w:jc w:val="center"/>
              <w:rPr>
                <w:sz w:val="20"/>
              </w:rPr>
            </w:pPr>
            <w:r>
              <w:rPr>
                <w:spacing w:val="-10"/>
                <w:sz w:val="20"/>
              </w:rPr>
              <w:t>5</w:t>
            </w:r>
          </w:p>
        </w:tc>
        <w:tc>
          <w:tcPr>
            <w:tcW w:w="716" w:type="dxa"/>
          </w:tcPr>
          <w:p>
            <w:pPr>
              <w:pStyle w:val="TableParagraph"/>
              <w:spacing w:line="210" w:lineRule="exact"/>
              <w:ind w:left="22" w:right="5"/>
              <w:jc w:val="center"/>
              <w:rPr>
                <w:sz w:val="20"/>
              </w:rPr>
            </w:pPr>
            <w:r>
              <w:rPr>
                <w:spacing w:val="-5"/>
                <w:sz w:val="20"/>
              </w:rPr>
              <w:t>2.1</w:t>
            </w:r>
          </w:p>
        </w:tc>
        <w:tc>
          <w:tcPr>
            <w:tcW w:w="721" w:type="dxa"/>
          </w:tcPr>
          <w:p>
            <w:pPr>
              <w:pStyle w:val="TableParagraph"/>
              <w:spacing w:line="210" w:lineRule="exact"/>
              <w:ind w:left="50" w:right="35"/>
              <w:jc w:val="center"/>
              <w:rPr>
                <w:sz w:val="20"/>
              </w:rPr>
            </w:pPr>
            <w:r>
              <w:rPr>
                <w:spacing w:val="-5"/>
                <w:sz w:val="20"/>
              </w:rPr>
              <w:t>235</w:t>
            </w:r>
          </w:p>
        </w:tc>
        <w:tc>
          <w:tcPr>
            <w:tcW w:w="739" w:type="dxa"/>
            <w:tcBorders>
              <w:right w:val="single" w:sz="4" w:space="0" w:color="000000"/>
            </w:tcBorders>
          </w:tcPr>
          <w:p>
            <w:pPr>
              <w:pStyle w:val="TableParagraph"/>
              <w:spacing w:line="210" w:lineRule="exact"/>
              <w:ind w:left="36" w:right="26"/>
              <w:jc w:val="center"/>
              <w:rPr>
                <w:sz w:val="20"/>
              </w:rPr>
            </w:pPr>
            <w:r>
              <w:rPr>
                <w:spacing w:val="-4"/>
                <w:sz w:val="20"/>
              </w:rPr>
              <w:t>50.8</w:t>
            </w:r>
          </w:p>
        </w:tc>
      </w:tr>
      <w:tr>
        <w:trPr>
          <w:trHeight w:val="235" w:hRule="atLeast"/>
        </w:trPr>
        <w:tc>
          <w:tcPr>
            <w:tcW w:w="4148" w:type="dxa"/>
            <w:tcBorders>
              <w:left w:val="single" w:sz="4" w:space="0" w:color="000000"/>
            </w:tcBorders>
          </w:tcPr>
          <w:p>
            <w:pPr>
              <w:pStyle w:val="TableParagraph"/>
              <w:spacing w:line="215" w:lineRule="exact"/>
              <w:ind w:left="830"/>
              <w:rPr>
                <w:sz w:val="20"/>
              </w:rPr>
            </w:pPr>
            <w:r>
              <w:rPr>
                <w:spacing w:val="-5"/>
                <w:sz w:val="20"/>
              </w:rPr>
              <w:t>etc</w:t>
            </w:r>
          </w:p>
        </w:tc>
        <w:tc>
          <w:tcPr>
            <w:tcW w:w="1795" w:type="dxa"/>
          </w:tcPr>
          <w:p>
            <w:pPr>
              <w:pStyle w:val="TableParagraph"/>
              <w:spacing w:line="213" w:lineRule="exact" w:before="2"/>
              <w:ind w:left="109"/>
              <w:rPr>
                <w:sz w:val="20"/>
              </w:rPr>
            </w:pPr>
            <w:r>
              <w:rPr>
                <w:sz w:val="20"/>
              </w:rPr>
              <w:t>Service</w:t>
            </w:r>
            <w:r>
              <w:rPr>
                <w:spacing w:val="-9"/>
                <w:sz w:val="20"/>
              </w:rPr>
              <w:t> </w:t>
            </w:r>
            <w:r>
              <w:rPr>
                <w:spacing w:val="-2"/>
                <w:sz w:val="20"/>
              </w:rPr>
              <w:t>Staff</w:t>
            </w:r>
          </w:p>
        </w:tc>
        <w:tc>
          <w:tcPr>
            <w:tcW w:w="678" w:type="dxa"/>
          </w:tcPr>
          <w:p>
            <w:pPr>
              <w:pStyle w:val="TableParagraph"/>
              <w:spacing w:line="213" w:lineRule="exact" w:before="2"/>
              <w:ind w:left="57" w:right="5"/>
              <w:jc w:val="center"/>
              <w:rPr>
                <w:sz w:val="20"/>
              </w:rPr>
            </w:pPr>
            <w:r>
              <w:rPr>
                <w:spacing w:val="-5"/>
                <w:sz w:val="20"/>
              </w:rPr>
              <w:t>71</w:t>
            </w:r>
          </w:p>
        </w:tc>
        <w:tc>
          <w:tcPr>
            <w:tcW w:w="778" w:type="dxa"/>
          </w:tcPr>
          <w:p>
            <w:pPr>
              <w:pStyle w:val="TableParagraph"/>
              <w:spacing w:line="213" w:lineRule="exact" w:before="2"/>
              <w:ind w:left="112" w:right="71"/>
              <w:jc w:val="center"/>
              <w:rPr>
                <w:sz w:val="20"/>
              </w:rPr>
            </w:pPr>
            <w:r>
              <w:rPr>
                <w:spacing w:val="-4"/>
                <w:sz w:val="20"/>
              </w:rPr>
              <w:t>35.0</w:t>
            </w:r>
          </w:p>
        </w:tc>
        <w:tc>
          <w:tcPr>
            <w:tcW w:w="692" w:type="dxa"/>
          </w:tcPr>
          <w:p>
            <w:pPr>
              <w:pStyle w:val="TableParagraph"/>
              <w:spacing w:line="213" w:lineRule="exact" w:before="2"/>
              <w:ind w:left="23" w:right="17"/>
              <w:jc w:val="center"/>
              <w:rPr>
                <w:sz w:val="20"/>
              </w:rPr>
            </w:pPr>
            <w:r>
              <w:rPr>
                <w:spacing w:val="-5"/>
                <w:sz w:val="20"/>
              </w:rPr>
              <w:t>95</w:t>
            </w:r>
          </w:p>
        </w:tc>
        <w:tc>
          <w:tcPr>
            <w:tcW w:w="709" w:type="dxa"/>
          </w:tcPr>
          <w:p>
            <w:pPr>
              <w:pStyle w:val="TableParagraph"/>
              <w:spacing w:line="213" w:lineRule="exact" w:before="2"/>
              <w:ind w:left="70" w:right="20"/>
              <w:jc w:val="center"/>
              <w:rPr>
                <w:sz w:val="20"/>
              </w:rPr>
            </w:pPr>
            <w:r>
              <w:rPr>
                <w:spacing w:val="-4"/>
                <w:sz w:val="20"/>
              </w:rPr>
              <w:t>46.8</w:t>
            </w:r>
          </w:p>
        </w:tc>
        <w:tc>
          <w:tcPr>
            <w:tcW w:w="757" w:type="dxa"/>
          </w:tcPr>
          <w:p>
            <w:pPr>
              <w:pStyle w:val="TableParagraph"/>
              <w:spacing w:line="213" w:lineRule="exact" w:before="2"/>
              <w:ind w:right="255"/>
              <w:jc w:val="right"/>
              <w:rPr>
                <w:sz w:val="20"/>
              </w:rPr>
            </w:pPr>
            <w:r>
              <w:rPr>
                <w:spacing w:val="-5"/>
                <w:sz w:val="20"/>
              </w:rPr>
              <w:t>14</w:t>
            </w:r>
          </w:p>
        </w:tc>
        <w:tc>
          <w:tcPr>
            <w:tcW w:w="903" w:type="dxa"/>
          </w:tcPr>
          <w:p>
            <w:pPr>
              <w:pStyle w:val="TableParagraph"/>
              <w:spacing w:line="213" w:lineRule="exact" w:before="2"/>
              <w:ind w:left="13" w:right="13"/>
              <w:jc w:val="center"/>
              <w:rPr>
                <w:sz w:val="20"/>
              </w:rPr>
            </w:pPr>
            <w:r>
              <w:rPr>
                <w:spacing w:val="-5"/>
                <w:sz w:val="20"/>
              </w:rPr>
              <w:t>6.9</w:t>
            </w:r>
          </w:p>
        </w:tc>
        <w:tc>
          <w:tcPr>
            <w:tcW w:w="685" w:type="dxa"/>
          </w:tcPr>
          <w:p>
            <w:pPr>
              <w:pStyle w:val="TableParagraph"/>
              <w:spacing w:line="213" w:lineRule="exact" w:before="2"/>
              <w:ind w:left="77" w:right="32"/>
              <w:jc w:val="center"/>
              <w:rPr>
                <w:sz w:val="20"/>
              </w:rPr>
            </w:pPr>
            <w:r>
              <w:rPr>
                <w:spacing w:val="-5"/>
                <w:sz w:val="20"/>
              </w:rPr>
              <w:t>18</w:t>
            </w:r>
          </w:p>
        </w:tc>
        <w:tc>
          <w:tcPr>
            <w:tcW w:w="800" w:type="dxa"/>
          </w:tcPr>
          <w:p>
            <w:pPr>
              <w:pStyle w:val="TableParagraph"/>
              <w:spacing w:line="213" w:lineRule="exact" w:before="2"/>
              <w:ind w:left="18" w:right="18"/>
              <w:jc w:val="center"/>
              <w:rPr>
                <w:sz w:val="20"/>
              </w:rPr>
            </w:pPr>
            <w:r>
              <w:rPr>
                <w:spacing w:val="-5"/>
                <w:sz w:val="20"/>
              </w:rPr>
              <w:t>8.9</w:t>
            </w:r>
          </w:p>
        </w:tc>
        <w:tc>
          <w:tcPr>
            <w:tcW w:w="654" w:type="dxa"/>
          </w:tcPr>
          <w:p>
            <w:pPr>
              <w:pStyle w:val="TableParagraph"/>
              <w:spacing w:line="213" w:lineRule="exact" w:before="2"/>
              <w:ind w:left="7" w:right="33"/>
              <w:jc w:val="center"/>
              <w:rPr>
                <w:sz w:val="20"/>
              </w:rPr>
            </w:pPr>
            <w:r>
              <w:rPr>
                <w:spacing w:val="-10"/>
                <w:sz w:val="20"/>
              </w:rPr>
              <w:t>5</w:t>
            </w:r>
          </w:p>
        </w:tc>
        <w:tc>
          <w:tcPr>
            <w:tcW w:w="716" w:type="dxa"/>
          </w:tcPr>
          <w:p>
            <w:pPr>
              <w:pStyle w:val="TableParagraph"/>
              <w:spacing w:line="213" w:lineRule="exact" w:before="2"/>
              <w:ind w:left="22" w:right="5"/>
              <w:jc w:val="center"/>
              <w:rPr>
                <w:sz w:val="20"/>
              </w:rPr>
            </w:pPr>
            <w:r>
              <w:rPr>
                <w:spacing w:val="-5"/>
                <w:sz w:val="20"/>
              </w:rPr>
              <w:t>2.5</w:t>
            </w:r>
          </w:p>
        </w:tc>
        <w:tc>
          <w:tcPr>
            <w:tcW w:w="721" w:type="dxa"/>
          </w:tcPr>
          <w:p>
            <w:pPr>
              <w:pStyle w:val="TableParagraph"/>
              <w:spacing w:line="213" w:lineRule="exact" w:before="2"/>
              <w:ind w:left="50" w:right="35"/>
              <w:jc w:val="center"/>
              <w:rPr>
                <w:sz w:val="20"/>
              </w:rPr>
            </w:pPr>
            <w:r>
              <w:rPr>
                <w:spacing w:val="-5"/>
                <w:sz w:val="20"/>
              </w:rPr>
              <w:t>203</w:t>
            </w:r>
          </w:p>
        </w:tc>
        <w:tc>
          <w:tcPr>
            <w:tcW w:w="739" w:type="dxa"/>
            <w:tcBorders>
              <w:right w:val="single" w:sz="4" w:space="0" w:color="000000"/>
            </w:tcBorders>
          </w:tcPr>
          <w:p>
            <w:pPr>
              <w:pStyle w:val="TableParagraph"/>
              <w:spacing w:line="213" w:lineRule="exact" w:before="2"/>
              <w:ind w:left="36" w:right="26"/>
              <w:jc w:val="center"/>
              <w:rPr>
                <w:sz w:val="20"/>
              </w:rPr>
            </w:pPr>
            <w:r>
              <w:rPr>
                <w:spacing w:val="-4"/>
                <w:sz w:val="20"/>
              </w:rPr>
              <w:t>43.8</w:t>
            </w:r>
          </w:p>
        </w:tc>
      </w:tr>
      <w:tr>
        <w:trPr>
          <w:trHeight w:val="235" w:hRule="atLeast"/>
        </w:trPr>
        <w:tc>
          <w:tcPr>
            <w:tcW w:w="4148" w:type="dxa"/>
            <w:tcBorders>
              <w:left w:val="single" w:sz="4" w:space="0" w:color="000000"/>
            </w:tcBorders>
          </w:tcPr>
          <w:p>
            <w:pPr>
              <w:pStyle w:val="TableParagraph"/>
              <w:rPr>
                <w:rFonts w:ascii="Times New Roman"/>
                <w:sz w:val="16"/>
              </w:rPr>
            </w:pPr>
          </w:p>
        </w:tc>
        <w:tc>
          <w:tcPr>
            <w:tcW w:w="1795" w:type="dxa"/>
          </w:tcPr>
          <w:p>
            <w:pPr>
              <w:pStyle w:val="TableParagraph"/>
              <w:spacing w:line="215" w:lineRule="exact"/>
              <w:ind w:left="109"/>
              <w:rPr>
                <w:sz w:val="20"/>
              </w:rPr>
            </w:pPr>
            <w:r>
              <w:rPr>
                <w:sz w:val="20"/>
              </w:rPr>
              <w:t>Top</w:t>
            </w:r>
            <w:r>
              <w:rPr>
                <w:spacing w:val="-1"/>
                <w:sz w:val="20"/>
              </w:rPr>
              <w:t> </w:t>
            </w:r>
            <w:r>
              <w:rPr>
                <w:spacing w:val="-2"/>
                <w:sz w:val="20"/>
              </w:rPr>
              <w:t>Management</w:t>
            </w:r>
          </w:p>
        </w:tc>
        <w:tc>
          <w:tcPr>
            <w:tcW w:w="678" w:type="dxa"/>
          </w:tcPr>
          <w:p>
            <w:pPr>
              <w:pStyle w:val="TableParagraph"/>
              <w:spacing w:line="215" w:lineRule="exact"/>
              <w:ind w:left="57"/>
              <w:jc w:val="center"/>
              <w:rPr>
                <w:sz w:val="20"/>
              </w:rPr>
            </w:pPr>
            <w:r>
              <w:rPr>
                <w:spacing w:val="-10"/>
                <w:sz w:val="20"/>
              </w:rPr>
              <w:t>6</w:t>
            </w:r>
          </w:p>
        </w:tc>
        <w:tc>
          <w:tcPr>
            <w:tcW w:w="778" w:type="dxa"/>
          </w:tcPr>
          <w:p>
            <w:pPr>
              <w:pStyle w:val="TableParagraph"/>
              <w:spacing w:line="215" w:lineRule="exact"/>
              <w:ind w:left="112" w:right="71"/>
              <w:jc w:val="center"/>
              <w:rPr>
                <w:sz w:val="20"/>
              </w:rPr>
            </w:pPr>
            <w:r>
              <w:rPr>
                <w:spacing w:val="-4"/>
                <w:sz w:val="20"/>
              </w:rPr>
              <w:t>26.1</w:t>
            </w:r>
          </w:p>
        </w:tc>
        <w:tc>
          <w:tcPr>
            <w:tcW w:w="692" w:type="dxa"/>
          </w:tcPr>
          <w:p>
            <w:pPr>
              <w:pStyle w:val="TableParagraph"/>
              <w:spacing w:line="215" w:lineRule="exact"/>
              <w:ind w:left="23" w:right="17"/>
              <w:jc w:val="center"/>
              <w:rPr>
                <w:sz w:val="20"/>
              </w:rPr>
            </w:pPr>
            <w:r>
              <w:rPr>
                <w:spacing w:val="-5"/>
                <w:sz w:val="20"/>
              </w:rPr>
              <w:t>17</w:t>
            </w:r>
          </w:p>
        </w:tc>
        <w:tc>
          <w:tcPr>
            <w:tcW w:w="709" w:type="dxa"/>
          </w:tcPr>
          <w:p>
            <w:pPr>
              <w:pStyle w:val="TableParagraph"/>
              <w:spacing w:line="215" w:lineRule="exact"/>
              <w:ind w:left="70" w:right="20"/>
              <w:jc w:val="center"/>
              <w:rPr>
                <w:sz w:val="20"/>
              </w:rPr>
            </w:pPr>
            <w:r>
              <w:rPr>
                <w:spacing w:val="-4"/>
                <w:sz w:val="20"/>
              </w:rPr>
              <w:t>73.9</w:t>
            </w:r>
          </w:p>
        </w:tc>
        <w:tc>
          <w:tcPr>
            <w:tcW w:w="757" w:type="dxa"/>
          </w:tcPr>
          <w:p>
            <w:pPr>
              <w:pStyle w:val="TableParagraph"/>
              <w:spacing w:line="215" w:lineRule="exact"/>
              <w:ind w:right="334"/>
              <w:jc w:val="right"/>
              <w:rPr>
                <w:sz w:val="20"/>
              </w:rPr>
            </w:pPr>
            <w:r>
              <w:rPr>
                <w:spacing w:val="-10"/>
                <w:sz w:val="20"/>
              </w:rPr>
              <w:t>-</w:t>
            </w:r>
          </w:p>
        </w:tc>
        <w:tc>
          <w:tcPr>
            <w:tcW w:w="903" w:type="dxa"/>
          </w:tcPr>
          <w:p>
            <w:pPr>
              <w:pStyle w:val="TableParagraph"/>
              <w:spacing w:line="215" w:lineRule="exact"/>
              <w:ind w:left="13" w:right="13"/>
              <w:jc w:val="center"/>
              <w:rPr>
                <w:sz w:val="20"/>
              </w:rPr>
            </w:pPr>
            <w:r>
              <w:rPr>
                <w:spacing w:val="-10"/>
                <w:sz w:val="20"/>
              </w:rPr>
              <w:t>-</w:t>
            </w:r>
          </w:p>
        </w:tc>
        <w:tc>
          <w:tcPr>
            <w:tcW w:w="685" w:type="dxa"/>
          </w:tcPr>
          <w:p>
            <w:pPr>
              <w:pStyle w:val="TableParagraph"/>
              <w:spacing w:line="215" w:lineRule="exact"/>
              <w:ind w:left="75" w:right="32"/>
              <w:jc w:val="center"/>
              <w:rPr>
                <w:sz w:val="20"/>
              </w:rPr>
            </w:pPr>
            <w:r>
              <w:rPr>
                <w:spacing w:val="-10"/>
                <w:sz w:val="20"/>
              </w:rPr>
              <w:t>-</w:t>
            </w:r>
          </w:p>
        </w:tc>
        <w:tc>
          <w:tcPr>
            <w:tcW w:w="800" w:type="dxa"/>
          </w:tcPr>
          <w:p>
            <w:pPr>
              <w:pStyle w:val="TableParagraph"/>
              <w:spacing w:line="215" w:lineRule="exact"/>
              <w:ind w:left="18" w:right="19"/>
              <w:jc w:val="center"/>
              <w:rPr>
                <w:sz w:val="20"/>
              </w:rPr>
            </w:pPr>
            <w:r>
              <w:rPr>
                <w:spacing w:val="-10"/>
                <w:sz w:val="20"/>
              </w:rPr>
              <w:t>-</w:t>
            </w:r>
          </w:p>
        </w:tc>
        <w:tc>
          <w:tcPr>
            <w:tcW w:w="654" w:type="dxa"/>
          </w:tcPr>
          <w:p>
            <w:pPr>
              <w:pStyle w:val="TableParagraph"/>
              <w:spacing w:line="215" w:lineRule="exact"/>
              <w:ind w:right="33"/>
              <w:jc w:val="center"/>
              <w:rPr>
                <w:sz w:val="20"/>
              </w:rPr>
            </w:pPr>
            <w:r>
              <w:rPr>
                <w:spacing w:val="-10"/>
                <w:sz w:val="20"/>
              </w:rPr>
              <w:t>-</w:t>
            </w:r>
          </w:p>
        </w:tc>
        <w:tc>
          <w:tcPr>
            <w:tcW w:w="716" w:type="dxa"/>
          </w:tcPr>
          <w:p>
            <w:pPr>
              <w:pStyle w:val="TableParagraph"/>
              <w:spacing w:line="215" w:lineRule="exact"/>
              <w:ind w:left="22" w:right="7"/>
              <w:jc w:val="center"/>
              <w:rPr>
                <w:sz w:val="20"/>
              </w:rPr>
            </w:pPr>
            <w:r>
              <w:rPr>
                <w:spacing w:val="-10"/>
                <w:sz w:val="20"/>
              </w:rPr>
              <w:t>-</w:t>
            </w:r>
          </w:p>
        </w:tc>
        <w:tc>
          <w:tcPr>
            <w:tcW w:w="721" w:type="dxa"/>
          </w:tcPr>
          <w:p>
            <w:pPr>
              <w:pStyle w:val="TableParagraph"/>
              <w:spacing w:line="215" w:lineRule="exact"/>
              <w:ind w:left="50" w:right="30"/>
              <w:jc w:val="center"/>
              <w:rPr>
                <w:sz w:val="20"/>
              </w:rPr>
            </w:pPr>
            <w:r>
              <w:rPr>
                <w:spacing w:val="-5"/>
                <w:sz w:val="20"/>
              </w:rPr>
              <w:t>23</w:t>
            </w:r>
          </w:p>
        </w:tc>
        <w:tc>
          <w:tcPr>
            <w:tcW w:w="739" w:type="dxa"/>
            <w:tcBorders>
              <w:right w:val="single" w:sz="4" w:space="0" w:color="000000"/>
            </w:tcBorders>
          </w:tcPr>
          <w:p>
            <w:pPr>
              <w:pStyle w:val="TableParagraph"/>
              <w:spacing w:line="215" w:lineRule="exact"/>
              <w:ind w:left="36" w:right="31"/>
              <w:jc w:val="center"/>
              <w:rPr>
                <w:sz w:val="20"/>
              </w:rPr>
            </w:pPr>
            <w:r>
              <w:rPr>
                <w:spacing w:val="-5"/>
                <w:sz w:val="20"/>
              </w:rPr>
              <w:t>5.0</w:t>
            </w:r>
          </w:p>
        </w:tc>
      </w:tr>
      <w:tr>
        <w:trPr>
          <w:trHeight w:val="235" w:hRule="atLeast"/>
        </w:trPr>
        <w:tc>
          <w:tcPr>
            <w:tcW w:w="4148" w:type="dxa"/>
            <w:tcBorders>
              <w:left w:val="single" w:sz="4" w:space="0" w:color="000000"/>
            </w:tcBorders>
          </w:tcPr>
          <w:p>
            <w:pPr>
              <w:pStyle w:val="TableParagraph"/>
              <w:tabs>
                <w:tab w:pos="609" w:val="left" w:leader="none"/>
              </w:tabs>
              <w:spacing w:line="213" w:lineRule="exact" w:before="2"/>
              <w:ind w:right="107"/>
              <w:jc w:val="right"/>
              <w:rPr>
                <w:sz w:val="20"/>
              </w:rPr>
            </w:pPr>
            <w:r>
              <w:rPr>
                <w:spacing w:val="-5"/>
                <w:sz w:val="20"/>
              </w:rPr>
              <w:t>62.</w:t>
            </w:r>
            <w:r>
              <w:rPr>
                <w:sz w:val="20"/>
              </w:rPr>
              <w:tab/>
              <w:t>Too</w:t>
            </w:r>
            <w:r>
              <w:rPr>
                <w:spacing w:val="70"/>
                <w:sz w:val="20"/>
              </w:rPr>
              <w:t> </w:t>
            </w:r>
            <w:r>
              <w:rPr>
                <w:sz w:val="20"/>
              </w:rPr>
              <w:t>many</w:t>
            </w:r>
            <w:r>
              <w:rPr>
                <w:spacing w:val="72"/>
                <w:sz w:val="20"/>
              </w:rPr>
              <w:t> </w:t>
            </w:r>
            <w:r>
              <w:rPr>
                <w:sz w:val="20"/>
              </w:rPr>
              <w:t>motorcycle</w:t>
            </w:r>
            <w:r>
              <w:rPr>
                <w:spacing w:val="76"/>
                <w:sz w:val="20"/>
              </w:rPr>
              <w:t> </w:t>
            </w:r>
            <w:r>
              <w:rPr>
                <w:spacing w:val="-2"/>
                <w:sz w:val="20"/>
              </w:rPr>
              <w:t>businesses</w:t>
            </w:r>
          </w:p>
        </w:tc>
        <w:tc>
          <w:tcPr>
            <w:tcW w:w="1795" w:type="dxa"/>
          </w:tcPr>
          <w:p>
            <w:pPr>
              <w:pStyle w:val="TableParagraph"/>
              <w:spacing w:line="213" w:lineRule="exact" w:before="2"/>
              <w:ind w:left="109"/>
              <w:rPr>
                <w:sz w:val="20"/>
              </w:rPr>
            </w:pPr>
            <w:r>
              <w:rPr>
                <w:sz w:val="20"/>
              </w:rPr>
              <w:t>No.</w:t>
            </w:r>
            <w:r>
              <w:rPr>
                <w:spacing w:val="-5"/>
                <w:sz w:val="20"/>
              </w:rPr>
              <w:t> </w:t>
            </w:r>
            <w:r>
              <w:rPr>
                <w:sz w:val="20"/>
              </w:rPr>
              <w:t>of</w:t>
            </w:r>
            <w:r>
              <w:rPr>
                <w:spacing w:val="-2"/>
                <w:sz w:val="20"/>
              </w:rPr>
              <w:t> missing</w:t>
            </w:r>
          </w:p>
        </w:tc>
        <w:tc>
          <w:tcPr>
            <w:tcW w:w="678" w:type="dxa"/>
          </w:tcPr>
          <w:p>
            <w:pPr>
              <w:pStyle w:val="TableParagraph"/>
              <w:rPr>
                <w:rFonts w:ascii="Times New Roman"/>
                <w:sz w:val="16"/>
              </w:rPr>
            </w:pPr>
          </w:p>
        </w:tc>
        <w:tc>
          <w:tcPr>
            <w:tcW w:w="778" w:type="dxa"/>
          </w:tcPr>
          <w:p>
            <w:pPr>
              <w:pStyle w:val="TableParagraph"/>
              <w:rPr>
                <w:rFonts w:ascii="Times New Roman"/>
                <w:sz w:val="16"/>
              </w:rPr>
            </w:pPr>
          </w:p>
        </w:tc>
        <w:tc>
          <w:tcPr>
            <w:tcW w:w="692" w:type="dxa"/>
          </w:tcPr>
          <w:p>
            <w:pPr>
              <w:pStyle w:val="TableParagraph"/>
              <w:rPr>
                <w:rFonts w:ascii="Times New Roman"/>
                <w:sz w:val="16"/>
              </w:rPr>
            </w:pPr>
          </w:p>
        </w:tc>
        <w:tc>
          <w:tcPr>
            <w:tcW w:w="709" w:type="dxa"/>
          </w:tcPr>
          <w:p>
            <w:pPr>
              <w:pStyle w:val="TableParagraph"/>
              <w:rPr>
                <w:rFonts w:ascii="Times New Roman"/>
                <w:sz w:val="16"/>
              </w:rPr>
            </w:pPr>
          </w:p>
        </w:tc>
        <w:tc>
          <w:tcPr>
            <w:tcW w:w="757" w:type="dxa"/>
          </w:tcPr>
          <w:p>
            <w:pPr>
              <w:pStyle w:val="TableParagraph"/>
              <w:rPr>
                <w:rFonts w:ascii="Times New Roman"/>
                <w:sz w:val="16"/>
              </w:rPr>
            </w:pPr>
          </w:p>
        </w:tc>
        <w:tc>
          <w:tcPr>
            <w:tcW w:w="903" w:type="dxa"/>
          </w:tcPr>
          <w:p>
            <w:pPr>
              <w:pStyle w:val="TableParagraph"/>
              <w:rPr>
                <w:rFonts w:ascii="Times New Roman"/>
                <w:sz w:val="16"/>
              </w:rPr>
            </w:pPr>
          </w:p>
        </w:tc>
        <w:tc>
          <w:tcPr>
            <w:tcW w:w="685" w:type="dxa"/>
          </w:tcPr>
          <w:p>
            <w:pPr>
              <w:pStyle w:val="TableParagraph"/>
              <w:rPr>
                <w:rFonts w:ascii="Times New Roman"/>
                <w:sz w:val="16"/>
              </w:rPr>
            </w:pPr>
          </w:p>
        </w:tc>
        <w:tc>
          <w:tcPr>
            <w:tcW w:w="800" w:type="dxa"/>
          </w:tcPr>
          <w:p>
            <w:pPr>
              <w:pStyle w:val="TableParagraph"/>
              <w:rPr>
                <w:rFonts w:ascii="Times New Roman"/>
                <w:sz w:val="16"/>
              </w:rPr>
            </w:pPr>
          </w:p>
        </w:tc>
        <w:tc>
          <w:tcPr>
            <w:tcW w:w="654" w:type="dxa"/>
          </w:tcPr>
          <w:p>
            <w:pPr>
              <w:pStyle w:val="TableParagraph"/>
              <w:rPr>
                <w:rFonts w:ascii="Times New Roman"/>
                <w:sz w:val="16"/>
              </w:rPr>
            </w:pPr>
          </w:p>
        </w:tc>
        <w:tc>
          <w:tcPr>
            <w:tcW w:w="716" w:type="dxa"/>
          </w:tcPr>
          <w:p>
            <w:pPr>
              <w:pStyle w:val="TableParagraph"/>
              <w:rPr>
                <w:rFonts w:ascii="Times New Roman"/>
                <w:sz w:val="16"/>
              </w:rPr>
            </w:pPr>
          </w:p>
        </w:tc>
        <w:tc>
          <w:tcPr>
            <w:tcW w:w="721"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30" w:hRule="atLeast"/>
        </w:trPr>
        <w:tc>
          <w:tcPr>
            <w:tcW w:w="4148" w:type="dxa"/>
            <w:tcBorders>
              <w:left w:val="single" w:sz="4" w:space="0" w:color="000000"/>
            </w:tcBorders>
          </w:tcPr>
          <w:p>
            <w:pPr>
              <w:pStyle w:val="TableParagraph"/>
              <w:spacing w:line="210" w:lineRule="exact"/>
              <w:ind w:right="107"/>
              <w:jc w:val="right"/>
              <w:rPr>
                <w:sz w:val="20"/>
              </w:rPr>
            </w:pPr>
            <w:r>
              <w:rPr>
                <w:sz w:val="20"/>
              </w:rPr>
              <w:t>bring</w:t>
            </w:r>
            <w:r>
              <w:rPr>
                <w:spacing w:val="65"/>
                <w:sz w:val="20"/>
              </w:rPr>
              <w:t> </w:t>
            </w:r>
            <w:r>
              <w:rPr>
                <w:sz w:val="20"/>
              </w:rPr>
              <w:t>about</w:t>
            </w:r>
            <w:r>
              <w:rPr>
                <w:spacing w:val="69"/>
                <w:sz w:val="20"/>
              </w:rPr>
              <w:t> </w:t>
            </w:r>
            <w:r>
              <w:rPr>
                <w:sz w:val="20"/>
              </w:rPr>
              <w:t>security</w:t>
            </w:r>
            <w:r>
              <w:rPr>
                <w:spacing w:val="68"/>
                <w:sz w:val="20"/>
              </w:rPr>
              <w:t> </w:t>
            </w:r>
            <w:r>
              <w:rPr>
                <w:sz w:val="20"/>
              </w:rPr>
              <w:t>problems</w:t>
            </w:r>
            <w:r>
              <w:rPr>
                <w:spacing w:val="63"/>
                <w:sz w:val="20"/>
              </w:rPr>
              <w:t> </w:t>
            </w:r>
            <w:r>
              <w:rPr>
                <w:spacing w:val="-5"/>
                <w:sz w:val="20"/>
              </w:rPr>
              <w:t>on</w:t>
            </w:r>
          </w:p>
        </w:tc>
        <w:tc>
          <w:tcPr>
            <w:tcW w:w="1795" w:type="dxa"/>
          </w:tcPr>
          <w:p>
            <w:pPr>
              <w:pStyle w:val="TableParagraph"/>
              <w:spacing w:line="210" w:lineRule="exact"/>
              <w:ind w:left="109"/>
              <w:rPr>
                <w:sz w:val="20"/>
              </w:rPr>
            </w:pPr>
            <w:r>
              <w:rPr>
                <w:spacing w:val="-2"/>
                <w:sz w:val="20"/>
              </w:rPr>
              <w:t>observations</w:t>
            </w:r>
          </w:p>
        </w:tc>
        <w:tc>
          <w:tcPr>
            <w:tcW w:w="678" w:type="dxa"/>
          </w:tcPr>
          <w:p>
            <w:pPr>
              <w:pStyle w:val="TableParagraph"/>
              <w:spacing w:line="210" w:lineRule="exact"/>
              <w:ind w:left="57"/>
              <w:jc w:val="center"/>
              <w:rPr>
                <w:sz w:val="20"/>
              </w:rPr>
            </w:pPr>
            <w:r>
              <w:rPr>
                <w:spacing w:val="-10"/>
                <w:sz w:val="20"/>
              </w:rPr>
              <w:t>1</w:t>
            </w:r>
          </w:p>
        </w:tc>
        <w:tc>
          <w:tcPr>
            <w:tcW w:w="778" w:type="dxa"/>
          </w:tcPr>
          <w:p>
            <w:pPr>
              <w:pStyle w:val="TableParagraph"/>
              <w:spacing w:line="210" w:lineRule="exact"/>
              <w:ind w:left="112" w:right="71"/>
              <w:jc w:val="center"/>
              <w:rPr>
                <w:sz w:val="20"/>
              </w:rPr>
            </w:pPr>
            <w:r>
              <w:rPr>
                <w:spacing w:val="-4"/>
                <w:sz w:val="20"/>
              </w:rPr>
              <w:t>50.0</w:t>
            </w:r>
          </w:p>
        </w:tc>
        <w:tc>
          <w:tcPr>
            <w:tcW w:w="692" w:type="dxa"/>
          </w:tcPr>
          <w:p>
            <w:pPr>
              <w:pStyle w:val="TableParagraph"/>
              <w:spacing w:line="210" w:lineRule="exact"/>
              <w:ind w:left="24" w:right="13"/>
              <w:jc w:val="center"/>
              <w:rPr>
                <w:sz w:val="20"/>
              </w:rPr>
            </w:pPr>
            <w:r>
              <w:rPr>
                <w:spacing w:val="-10"/>
                <w:sz w:val="20"/>
              </w:rPr>
              <w:t>1</w:t>
            </w:r>
          </w:p>
        </w:tc>
        <w:tc>
          <w:tcPr>
            <w:tcW w:w="709" w:type="dxa"/>
          </w:tcPr>
          <w:p>
            <w:pPr>
              <w:pStyle w:val="TableParagraph"/>
              <w:spacing w:line="210" w:lineRule="exact"/>
              <w:ind w:left="70" w:right="20"/>
              <w:jc w:val="center"/>
              <w:rPr>
                <w:sz w:val="20"/>
              </w:rPr>
            </w:pPr>
            <w:r>
              <w:rPr>
                <w:spacing w:val="-4"/>
                <w:sz w:val="20"/>
              </w:rPr>
              <w:t>50.0</w:t>
            </w:r>
          </w:p>
        </w:tc>
        <w:tc>
          <w:tcPr>
            <w:tcW w:w="757" w:type="dxa"/>
          </w:tcPr>
          <w:p>
            <w:pPr>
              <w:pStyle w:val="TableParagraph"/>
              <w:spacing w:line="210" w:lineRule="exact"/>
              <w:ind w:right="334"/>
              <w:jc w:val="right"/>
              <w:rPr>
                <w:sz w:val="20"/>
              </w:rPr>
            </w:pPr>
            <w:r>
              <w:rPr>
                <w:spacing w:val="-10"/>
                <w:sz w:val="20"/>
              </w:rPr>
              <w:t>-</w:t>
            </w:r>
          </w:p>
        </w:tc>
        <w:tc>
          <w:tcPr>
            <w:tcW w:w="903" w:type="dxa"/>
          </w:tcPr>
          <w:p>
            <w:pPr>
              <w:pStyle w:val="TableParagraph"/>
              <w:spacing w:line="210" w:lineRule="exact"/>
              <w:ind w:left="13" w:right="13"/>
              <w:jc w:val="center"/>
              <w:rPr>
                <w:sz w:val="20"/>
              </w:rPr>
            </w:pPr>
            <w:r>
              <w:rPr>
                <w:spacing w:val="-10"/>
                <w:sz w:val="20"/>
              </w:rPr>
              <w:t>-</w:t>
            </w:r>
          </w:p>
        </w:tc>
        <w:tc>
          <w:tcPr>
            <w:tcW w:w="685" w:type="dxa"/>
          </w:tcPr>
          <w:p>
            <w:pPr>
              <w:pStyle w:val="TableParagraph"/>
              <w:spacing w:line="210" w:lineRule="exact"/>
              <w:ind w:left="75" w:right="32"/>
              <w:jc w:val="center"/>
              <w:rPr>
                <w:sz w:val="20"/>
              </w:rPr>
            </w:pPr>
            <w:r>
              <w:rPr>
                <w:spacing w:val="-10"/>
                <w:sz w:val="20"/>
              </w:rPr>
              <w:t>-</w:t>
            </w:r>
          </w:p>
        </w:tc>
        <w:tc>
          <w:tcPr>
            <w:tcW w:w="800" w:type="dxa"/>
          </w:tcPr>
          <w:p>
            <w:pPr>
              <w:pStyle w:val="TableParagraph"/>
              <w:spacing w:line="210" w:lineRule="exact"/>
              <w:ind w:left="18" w:right="19"/>
              <w:jc w:val="center"/>
              <w:rPr>
                <w:sz w:val="20"/>
              </w:rPr>
            </w:pPr>
            <w:r>
              <w:rPr>
                <w:spacing w:val="-10"/>
                <w:sz w:val="20"/>
              </w:rPr>
              <w:t>-</w:t>
            </w:r>
          </w:p>
        </w:tc>
        <w:tc>
          <w:tcPr>
            <w:tcW w:w="654" w:type="dxa"/>
          </w:tcPr>
          <w:p>
            <w:pPr>
              <w:pStyle w:val="TableParagraph"/>
              <w:spacing w:line="210" w:lineRule="exact"/>
              <w:ind w:right="33"/>
              <w:jc w:val="center"/>
              <w:rPr>
                <w:sz w:val="20"/>
              </w:rPr>
            </w:pPr>
            <w:r>
              <w:rPr>
                <w:spacing w:val="-10"/>
                <w:sz w:val="20"/>
              </w:rPr>
              <w:t>-</w:t>
            </w:r>
          </w:p>
        </w:tc>
        <w:tc>
          <w:tcPr>
            <w:tcW w:w="716" w:type="dxa"/>
          </w:tcPr>
          <w:p>
            <w:pPr>
              <w:pStyle w:val="TableParagraph"/>
              <w:spacing w:line="210" w:lineRule="exact"/>
              <w:ind w:left="22" w:right="7"/>
              <w:jc w:val="center"/>
              <w:rPr>
                <w:sz w:val="20"/>
              </w:rPr>
            </w:pPr>
            <w:r>
              <w:rPr>
                <w:spacing w:val="-10"/>
                <w:sz w:val="20"/>
              </w:rPr>
              <w:t>-</w:t>
            </w:r>
          </w:p>
        </w:tc>
        <w:tc>
          <w:tcPr>
            <w:tcW w:w="721" w:type="dxa"/>
          </w:tcPr>
          <w:p>
            <w:pPr>
              <w:pStyle w:val="TableParagraph"/>
              <w:spacing w:line="210" w:lineRule="exact"/>
              <w:ind w:left="50" w:right="25"/>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31"/>
              <w:jc w:val="center"/>
              <w:rPr>
                <w:sz w:val="20"/>
              </w:rPr>
            </w:pPr>
            <w:r>
              <w:rPr>
                <w:spacing w:val="-5"/>
                <w:sz w:val="20"/>
              </w:rPr>
              <w:t>0.4</w:t>
            </w:r>
          </w:p>
        </w:tc>
      </w:tr>
      <w:tr>
        <w:trPr>
          <w:trHeight w:val="230" w:hRule="atLeast"/>
        </w:trPr>
        <w:tc>
          <w:tcPr>
            <w:tcW w:w="4148" w:type="dxa"/>
            <w:tcBorders>
              <w:left w:val="single" w:sz="4" w:space="0" w:color="000000"/>
            </w:tcBorders>
          </w:tcPr>
          <w:p>
            <w:pPr>
              <w:pStyle w:val="TableParagraph"/>
              <w:spacing w:line="210" w:lineRule="exact"/>
              <w:ind w:right="109"/>
              <w:jc w:val="right"/>
              <w:rPr>
                <w:sz w:val="20"/>
              </w:rPr>
            </w:pPr>
            <w:r>
              <w:rPr>
                <w:sz w:val="20"/>
              </w:rPr>
              <w:t>the</w:t>
            </w:r>
            <w:r>
              <w:rPr>
                <w:spacing w:val="10"/>
                <w:sz w:val="20"/>
              </w:rPr>
              <w:t> </w:t>
            </w:r>
            <w:r>
              <w:rPr>
                <w:sz w:val="20"/>
              </w:rPr>
              <w:t>campus.</w:t>
            </w:r>
            <w:r>
              <w:rPr>
                <w:spacing w:val="13"/>
                <w:sz w:val="20"/>
              </w:rPr>
              <w:t> </w:t>
            </w:r>
            <w:r>
              <w:rPr>
                <w:sz w:val="20"/>
              </w:rPr>
              <w:t>There</w:t>
            </w:r>
            <w:r>
              <w:rPr>
                <w:spacing w:val="11"/>
                <w:sz w:val="20"/>
              </w:rPr>
              <w:t> </w:t>
            </w:r>
            <w:r>
              <w:rPr>
                <w:sz w:val="20"/>
              </w:rPr>
              <w:t>are</w:t>
            </w:r>
            <w:r>
              <w:rPr>
                <w:spacing w:val="10"/>
                <w:sz w:val="20"/>
              </w:rPr>
              <w:t> </w:t>
            </w:r>
            <w:r>
              <w:rPr>
                <w:sz w:val="20"/>
              </w:rPr>
              <w:t>problems</w:t>
            </w:r>
            <w:r>
              <w:rPr>
                <w:spacing w:val="8"/>
                <w:sz w:val="20"/>
              </w:rPr>
              <w:t> </w:t>
            </w:r>
            <w:r>
              <w:rPr>
                <w:spacing w:val="-5"/>
                <w:sz w:val="20"/>
              </w:rPr>
              <w:t>of</w:t>
            </w:r>
          </w:p>
        </w:tc>
        <w:tc>
          <w:tcPr>
            <w:tcW w:w="1795" w:type="dxa"/>
          </w:tcPr>
          <w:p>
            <w:pPr>
              <w:pStyle w:val="TableParagraph"/>
              <w:spacing w:line="210" w:lineRule="exact"/>
              <w:ind w:left="109"/>
              <w:rPr>
                <w:sz w:val="20"/>
              </w:rPr>
            </w:pPr>
            <w:r>
              <w:rPr>
                <w:spacing w:val="-2"/>
                <w:sz w:val="20"/>
              </w:rPr>
              <w:t>Students</w:t>
            </w:r>
          </w:p>
        </w:tc>
        <w:tc>
          <w:tcPr>
            <w:tcW w:w="678" w:type="dxa"/>
          </w:tcPr>
          <w:p>
            <w:pPr>
              <w:pStyle w:val="TableParagraph"/>
              <w:spacing w:line="210" w:lineRule="exact"/>
              <w:ind w:left="57" w:right="5"/>
              <w:jc w:val="center"/>
              <w:rPr>
                <w:sz w:val="20"/>
              </w:rPr>
            </w:pPr>
            <w:r>
              <w:rPr>
                <w:spacing w:val="-5"/>
                <w:sz w:val="20"/>
              </w:rPr>
              <w:t>65</w:t>
            </w:r>
          </w:p>
        </w:tc>
        <w:tc>
          <w:tcPr>
            <w:tcW w:w="778" w:type="dxa"/>
          </w:tcPr>
          <w:p>
            <w:pPr>
              <w:pStyle w:val="TableParagraph"/>
              <w:spacing w:line="210" w:lineRule="exact"/>
              <w:ind w:left="41" w:right="112"/>
              <w:jc w:val="center"/>
              <w:rPr>
                <w:sz w:val="20"/>
              </w:rPr>
            </w:pPr>
            <w:r>
              <w:rPr>
                <w:spacing w:val="-4"/>
                <w:sz w:val="20"/>
              </w:rPr>
              <w:t>27.7</w:t>
            </w:r>
          </w:p>
        </w:tc>
        <w:tc>
          <w:tcPr>
            <w:tcW w:w="692" w:type="dxa"/>
          </w:tcPr>
          <w:p>
            <w:pPr>
              <w:pStyle w:val="TableParagraph"/>
              <w:spacing w:line="210" w:lineRule="exact"/>
              <w:ind w:left="23" w:right="17"/>
              <w:jc w:val="center"/>
              <w:rPr>
                <w:sz w:val="20"/>
              </w:rPr>
            </w:pPr>
            <w:r>
              <w:rPr>
                <w:spacing w:val="-5"/>
                <w:sz w:val="20"/>
              </w:rPr>
              <w:t>92</w:t>
            </w:r>
          </w:p>
        </w:tc>
        <w:tc>
          <w:tcPr>
            <w:tcW w:w="709" w:type="dxa"/>
          </w:tcPr>
          <w:p>
            <w:pPr>
              <w:pStyle w:val="TableParagraph"/>
              <w:spacing w:line="210" w:lineRule="exact"/>
              <w:ind w:left="70" w:right="20"/>
              <w:jc w:val="center"/>
              <w:rPr>
                <w:sz w:val="20"/>
              </w:rPr>
            </w:pPr>
            <w:r>
              <w:rPr>
                <w:spacing w:val="-4"/>
                <w:sz w:val="20"/>
              </w:rPr>
              <w:t>39.1</w:t>
            </w:r>
          </w:p>
        </w:tc>
        <w:tc>
          <w:tcPr>
            <w:tcW w:w="757" w:type="dxa"/>
          </w:tcPr>
          <w:p>
            <w:pPr>
              <w:pStyle w:val="TableParagraph"/>
              <w:spacing w:line="210" w:lineRule="exact"/>
              <w:ind w:right="255"/>
              <w:jc w:val="right"/>
              <w:rPr>
                <w:sz w:val="20"/>
              </w:rPr>
            </w:pPr>
            <w:r>
              <w:rPr>
                <w:spacing w:val="-5"/>
                <w:sz w:val="20"/>
              </w:rPr>
              <w:t>32</w:t>
            </w:r>
          </w:p>
        </w:tc>
        <w:tc>
          <w:tcPr>
            <w:tcW w:w="903" w:type="dxa"/>
          </w:tcPr>
          <w:p>
            <w:pPr>
              <w:pStyle w:val="TableParagraph"/>
              <w:spacing w:line="210" w:lineRule="exact"/>
              <w:ind w:left="13" w:right="8"/>
              <w:jc w:val="center"/>
              <w:rPr>
                <w:sz w:val="20"/>
              </w:rPr>
            </w:pPr>
            <w:r>
              <w:rPr>
                <w:spacing w:val="-4"/>
                <w:sz w:val="20"/>
              </w:rPr>
              <w:t>13.6</w:t>
            </w:r>
          </w:p>
        </w:tc>
        <w:tc>
          <w:tcPr>
            <w:tcW w:w="685" w:type="dxa"/>
          </w:tcPr>
          <w:p>
            <w:pPr>
              <w:pStyle w:val="TableParagraph"/>
              <w:spacing w:line="210" w:lineRule="exact"/>
              <w:ind w:left="77" w:right="32"/>
              <w:jc w:val="center"/>
              <w:rPr>
                <w:sz w:val="20"/>
              </w:rPr>
            </w:pPr>
            <w:r>
              <w:rPr>
                <w:spacing w:val="-5"/>
                <w:sz w:val="20"/>
              </w:rPr>
              <w:t>40</w:t>
            </w:r>
          </w:p>
        </w:tc>
        <w:tc>
          <w:tcPr>
            <w:tcW w:w="800" w:type="dxa"/>
          </w:tcPr>
          <w:p>
            <w:pPr>
              <w:pStyle w:val="TableParagraph"/>
              <w:spacing w:line="210" w:lineRule="exact"/>
              <w:ind w:left="18" w:right="14"/>
              <w:jc w:val="center"/>
              <w:rPr>
                <w:sz w:val="20"/>
              </w:rPr>
            </w:pPr>
            <w:r>
              <w:rPr>
                <w:spacing w:val="-4"/>
                <w:sz w:val="20"/>
              </w:rPr>
              <w:t>17.0</w:t>
            </w:r>
          </w:p>
        </w:tc>
        <w:tc>
          <w:tcPr>
            <w:tcW w:w="654" w:type="dxa"/>
          </w:tcPr>
          <w:p>
            <w:pPr>
              <w:pStyle w:val="TableParagraph"/>
              <w:spacing w:line="210" w:lineRule="exact"/>
              <w:ind w:left="7" w:right="33"/>
              <w:jc w:val="center"/>
              <w:rPr>
                <w:sz w:val="20"/>
              </w:rPr>
            </w:pPr>
            <w:r>
              <w:rPr>
                <w:spacing w:val="-10"/>
                <w:sz w:val="20"/>
              </w:rPr>
              <w:t>6</w:t>
            </w:r>
          </w:p>
        </w:tc>
        <w:tc>
          <w:tcPr>
            <w:tcW w:w="716" w:type="dxa"/>
          </w:tcPr>
          <w:p>
            <w:pPr>
              <w:pStyle w:val="TableParagraph"/>
              <w:spacing w:line="210" w:lineRule="exact"/>
              <w:ind w:left="22" w:right="5"/>
              <w:jc w:val="center"/>
              <w:rPr>
                <w:sz w:val="20"/>
              </w:rPr>
            </w:pPr>
            <w:r>
              <w:rPr>
                <w:spacing w:val="-5"/>
                <w:sz w:val="20"/>
              </w:rPr>
              <w:t>2.6</w:t>
            </w:r>
          </w:p>
        </w:tc>
        <w:tc>
          <w:tcPr>
            <w:tcW w:w="721" w:type="dxa"/>
          </w:tcPr>
          <w:p>
            <w:pPr>
              <w:pStyle w:val="TableParagraph"/>
              <w:spacing w:line="210" w:lineRule="exact"/>
              <w:ind w:left="50" w:right="35"/>
              <w:jc w:val="center"/>
              <w:rPr>
                <w:sz w:val="20"/>
              </w:rPr>
            </w:pPr>
            <w:r>
              <w:rPr>
                <w:spacing w:val="-5"/>
                <w:sz w:val="20"/>
              </w:rPr>
              <w:t>235</w:t>
            </w:r>
          </w:p>
        </w:tc>
        <w:tc>
          <w:tcPr>
            <w:tcW w:w="739" w:type="dxa"/>
            <w:tcBorders>
              <w:right w:val="single" w:sz="4" w:space="0" w:color="000000"/>
            </w:tcBorders>
          </w:tcPr>
          <w:p>
            <w:pPr>
              <w:pStyle w:val="TableParagraph"/>
              <w:spacing w:line="210" w:lineRule="exact"/>
              <w:ind w:left="36" w:right="26"/>
              <w:jc w:val="center"/>
              <w:rPr>
                <w:sz w:val="20"/>
              </w:rPr>
            </w:pPr>
            <w:r>
              <w:rPr>
                <w:spacing w:val="-4"/>
                <w:sz w:val="20"/>
              </w:rPr>
              <w:t>50.8</w:t>
            </w:r>
          </w:p>
        </w:tc>
      </w:tr>
      <w:tr>
        <w:trPr>
          <w:trHeight w:val="235" w:hRule="atLeast"/>
        </w:trPr>
        <w:tc>
          <w:tcPr>
            <w:tcW w:w="4148" w:type="dxa"/>
            <w:tcBorders>
              <w:left w:val="single" w:sz="4" w:space="0" w:color="000000"/>
            </w:tcBorders>
          </w:tcPr>
          <w:p>
            <w:pPr>
              <w:pStyle w:val="TableParagraph"/>
              <w:tabs>
                <w:tab w:pos="657" w:val="left" w:leader="none"/>
                <w:tab w:pos="1257" w:val="left" w:leader="none"/>
                <w:tab w:pos="2275" w:val="left" w:leader="none"/>
                <w:tab w:pos="2817" w:val="left" w:leader="none"/>
              </w:tabs>
              <w:spacing w:line="215" w:lineRule="exact"/>
              <w:ind w:right="104"/>
              <w:jc w:val="right"/>
              <w:rPr>
                <w:sz w:val="20"/>
              </w:rPr>
            </w:pPr>
            <w:r>
              <w:rPr>
                <w:spacing w:val="-2"/>
                <w:sz w:val="20"/>
              </w:rPr>
              <w:t>theft,</w:t>
            </w:r>
            <w:r>
              <w:rPr>
                <w:sz w:val="20"/>
              </w:rPr>
              <w:tab/>
            </w:r>
            <w:r>
              <w:rPr>
                <w:spacing w:val="-4"/>
                <w:sz w:val="20"/>
              </w:rPr>
              <w:t>over</w:t>
            </w:r>
            <w:r>
              <w:rPr>
                <w:sz w:val="20"/>
              </w:rPr>
              <w:tab/>
            </w:r>
            <w:r>
              <w:rPr>
                <w:spacing w:val="-2"/>
                <w:sz w:val="20"/>
              </w:rPr>
              <w:t>speeding</w:t>
            </w:r>
            <w:r>
              <w:rPr>
                <w:sz w:val="20"/>
              </w:rPr>
              <w:tab/>
            </w:r>
            <w:r>
              <w:rPr>
                <w:spacing w:val="-5"/>
                <w:sz w:val="20"/>
              </w:rPr>
              <w:t>and</w:t>
            </w:r>
            <w:r>
              <w:rPr>
                <w:sz w:val="20"/>
              </w:rPr>
              <w:tab/>
            </w:r>
            <w:r>
              <w:rPr>
                <w:spacing w:val="-4"/>
                <w:sz w:val="20"/>
              </w:rPr>
              <w:t>over</w:t>
            </w:r>
          </w:p>
        </w:tc>
        <w:tc>
          <w:tcPr>
            <w:tcW w:w="1795" w:type="dxa"/>
          </w:tcPr>
          <w:p>
            <w:pPr>
              <w:pStyle w:val="TableParagraph"/>
              <w:spacing w:line="208" w:lineRule="exact" w:before="7"/>
              <w:ind w:left="109"/>
              <w:rPr>
                <w:sz w:val="20"/>
              </w:rPr>
            </w:pPr>
            <w:r>
              <w:rPr>
                <w:sz w:val="20"/>
              </w:rPr>
              <w:t>Service</w:t>
            </w:r>
            <w:r>
              <w:rPr>
                <w:spacing w:val="-9"/>
                <w:sz w:val="20"/>
              </w:rPr>
              <w:t> </w:t>
            </w:r>
            <w:r>
              <w:rPr>
                <w:spacing w:val="-2"/>
                <w:sz w:val="20"/>
              </w:rPr>
              <w:t>Staff</w:t>
            </w:r>
          </w:p>
        </w:tc>
        <w:tc>
          <w:tcPr>
            <w:tcW w:w="678" w:type="dxa"/>
          </w:tcPr>
          <w:p>
            <w:pPr>
              <w:pStyle w:val="TableParagraph"/>
              <w:spacing w:line="208" w:lineRule="exact" w:before="7"/>
              <w:ind w:left="57" w:right="5"/>
              <w:jc w:val="center"/>
              <w:rPr>
                <w:sz w:val="20"/>
              </w:rPr>
            </w:pPr>
            <w:r>
              <w:rPr>
                <w:spacing w:val="-5"/>
                <w:sz w:val="20"/>
              </w:rPr>
              <w:t>79</w:t>
            </w:r>
          </w:p>
        </w:tc>
        <w:tc>
          <w:tcPr>
            <w:tcW w:w="778" w:type="dxa"/>
          </w:tcPr>
          <w:p>
            <w:pPr>
              <w:pStyle w:val="TableParagraph"/>
              <w:spacing w:line="208" w:lineRule="exact" w:before="7"/>
              <w:ind w:left="112" w:right="71"/>
              <w:jc w:val="center"/>
              <w:rPr>
                <w:sz w:val="20"/>
              </w:rPr>
            </w:pPr>
            <w:r>
              <w:rPr>
                <w:spacing w:val="-4"/>
                <w:sz w:val="20"/>
              </w:rPr>
              <w:t>38.9</w:t>
            </w:r>
          </w:p>
        </w:tc>
        <w:tc>
          <w:tcPr>
            <w:tcW w:w="692" w:type="dxa"/>
          </w:tcPr>
          <w:p>
            <w:pPr>
              <w:pStyle w:val="TableParagraph"/>
              <w:spacing w:line="208" w:lineRule="exact" w:before="7"/>
              <w:ind w:left="23" w:right="17"/>
              <w:jc w:val="center"/>
              <w:rPr>
                <w:sz w:val="20"/>
              </w:rPr>
            </w:pPr>
            <w:r>
              <w:rPr>
                <w:spacing w:val="-5"/>
                <w:sz w:val="20"/>
              </w:rPr>
              <w:t>76</w:t>
            </w:r>
          </w:p>
        </w:tc>
        <w:tc>
          <w:tcPr>
            <w:tcW w:w="709" w:type="dxa"/>
          </w:tcPr>
          <w:p>
            <w:pPr>
              <w:pStyle w:val="TableParagraph"/>
              <w:spacing w:line="208" w:lineRule="exact" w:before="7"/>
              <w:ind w:left="70" w:right="20"/>
              <w:jc w:val="center"/>
              <w:rPr>
                <w:sz w:val="20"/>
              </w:rPr>
            </w:pPr>
            <w:r>
              <w:rPr>
                <w:spacing w:val="-4"/>
                <w:sz w:val="20"/>
              </w:rPr>
              <w:t>37.4</w:t>
            </w:r>
          </w:p>
        </w:tc>
        <w:tc>
          <w:tcPr>
            <w:tcW w:w="757" w:type="dxa"/>
          </w:tcPr>
          <w:p>
            <w:pPr>
              <w:pStyle w:val="TableParagraph"/>
              <w:spacing w:line="208" w:lineRule="exact" w:before="7"/>
              <w:ind w:right="255"/>
              <w:jc w:val="right"/>
              <w:rPr>
                <w:sz w:val="20"/>
              </w:rPr>
            </w:pPr>
            <w:r>
              <w:rPr>
                <w:spacing w:val="-5"/>
                <w:sz w:val="20"/>
              </w:rPr>
              <w:t>15</w:t>
            </w:r>
          </w:p>
        </w:tc>
        <w:tc>
          <w:tcPr>
            <w:tcW w:w="903" w:type="dxa"/>
          </w:tcPr>
          <w:p>
            <w:pPr>
              <w:pStyle w:val="TableParagraph"/>
              <w:spacing w:line="208" w:lineRule="exact" w:before="7"/>
              <w:ind w:left="13" w:right="13"/>
              <w:jc w:val="center"/>
              <w:rPr>
                <w:sz w:val="20"/>
              </w:rPr>
            </w:pPr>
            <w:r>
              <w:rPr>
                <w:spacing w:val="-5"/>
                <w:sz w:val="20"/>
              </w:rPr>
              <w:t>7.4</w:t>
            </w:r>
          </w:p>
        </w:tc>
        <w:tc>
          <w:tcPr>
            <w:tcW w:w="685" w:type="dxa"/>
          </w:tcPr>
          <w:p>
            <w:pPr>
              <w:pStyle w:val="TableParagraph"/>
              <w:spacing w:line="208" w:lineRule="exact" w:before="7"/>
              <w:ind w:left="77" w:right="32"/>
              <w:jc w:val="center"/>
              <w:rPr>
                <w:sz w:val="20"/>
              </w:rPr>
            </w:pPr>
            <w:r>
              <w:rPr>
                <w:spacing w:val="-5"/>
                <w:sz w:val="20"/>
              </w:rPr>
              <w:t>22</w:t>
            </w:r>
          </w:p>
        </w:tc>
        <w:tc>
          <w:tcPr>
            <w:tcW w:w="800" w:type="dxa"/>
          </w:tcPr>
          <w:p>
            <w:pPr>
              <w:pStyle w:val="TableParagraph"/>
              <w:spacing w:line="208" w:lineRule="exact" w:before="7"/>
              <w:ind w:left="18" w:right="14"/>
              <w:jc w:val="center"/>
              <w:rPr>
                <w:sz w:val="20"/>
              </w:rPr>
            </w:pPr>
            <w:r>
              <w:rPr>
                <w:spacing w:val="-4"/>
                <w:sz w:val="20"/>
              </w:rPr>
              <w:t>10.8</w:t>
            </w:r>
          </w:p>
        </w:tc>
        <w:tc>
          <w:tcPr>
            <w:tcW w:w="654" w:type="dxa"/>
          </w:tcPr>
          <w:p>
            <w:pPr>
              <w:pStyle w:val="TableParagraph"/>
              <w:spacing w:line="208" w:lineRule="exact" w:before="7"/>
              <w:ind w:left="2" w:right="33"/>
              <w:jc w:val="center"/>
              <w:rPr>
                <w:sz w:val="20"/>
              </w:rPr>
            </w:pPr>
            <w:r>
              <w:rPr>
                <w:spacing w:val="-5"/>
                <w:sz w:val="20"/>
              </w:rPr>
              <w:t>11</w:t>
            </w:r>
          </w:p>
        </w:tc>
        <w:tc>
          <w:tcPr>
            <w:tcW w:w="716" w:type="dxa"/>
          </w:tcPr>
          <w:p>
            <w:pPr>
              <w:pStyle w:val="TableParagraph"/>
              <w:spacing w:line="208" w:lineRule="exact" w:before="7"/>
              <w:ind w:left="22" w:right="5"/>
              <w:jc w:val="center"/>
              <w:rPr>
                <w:sz w:val="20"/>
              </w:rPr>
            </w:pPr>
            <w:r>
              <w:rPr>
                <w:spacing w:val="-5"/>
                <w:sz w:val="20"/>
              </w:rPr>
              <w:t>5.4</w:t>
            </w:r>
          </w:p>
        </w:tc>
        <w:tc>
          <w:tcPr>
            <w:tcW w:w="721" w:type="dxa"/>
          </w:tcPr>
          <w:p>
            <w:pPr>
              <w:pStyle w:val="TableParagraph"/>
              <w:spacing w:line="208" w:lineRule="exact" w:before="7"/>
              <w:ind w:left="50" w:right="35"/>
              <w:jc w:val="center"/>
              <w:rPr>
                <w:sz w:val="20"/>
              </w:rPr>
            </w:pPr>
            <w:r>
              <w:rPr>
                <w:spacing w:val="-5"/>
                <w:sz w:val="20"/>
              </w:rPr>
              <w:t>203</w:t>
            </w:r>
          </w:p>
        </w:tc>
        <w:tc>
          <w:tcPr>
            <w:tcW w:w="739" w:type="dxa"/>
            <w:tcBorders>
              <w:right w:val="single" w:sz="4" w:space="0" w:color="000000"/>
            </w:tcBorders>
          </w:tcPr>
          <w:p>
            <w:pPr>
              <w:pStyle w:val="TableParagraph"/>
              <w:spacing w:line="208" w:lineRule="exact" w:before="7"/>
              <w:ind w:left="36" w:right="26"/>
              <w:jc w:val="center"/>
              <w:rPr>
                <w:sz w:val="20"/>
              </w:rPr>
            </w:pPr>
            <w:r>
              <w:rPr>
                <w:spacing w:val="-4"/>
                <w:sz w:val="20"/>
              </w:rPr>
              <w:t>43.8</w:t>
            </w:r>
          </w:p>
        </w:tc>
      </w:tr>
      <w:tr>
        <w:trPr>
          <w:trHeight w:val="237" w:hRule="atLeast"/>
        </w:trPr>
        <w:tc>
          <w:tcPr>
            <w:tcW w:w="4148" w:type="dxa"/>
            <w:tcBorders>
              <w:left w:val="single" w:sz="4" w:space="0" w:color="000000"/>
              <w:bottom w:val="single" w:sz="4" w:space="0" w:color="000000"/>
            </w:tcBorders>
          </w:tcPr>
          <w:p>
            <w:pPr>
              <w:pStyle w:val="TableParagraph"/>
              <w:spacing w:line="218" w:lineRule="exact"/>
              <w:ind w:left="830"/>
              <w:rPr>
                <w:sz w:val="20"/>
              </w:rPr>
            </w:pPr>
            <w:r>
              <w:rPr>
                <w:spacing w:val="-2"/>
                <w:sz w:val="20"/>
              </w:rPr>
              <w:t>crowding.</w:t>
            </w:r>
          </w:p>
        </w:tc>
        <w:tc>
          <w:tcPr>
            <w:tcW w:w="1795" w:type="dxa"/>
            <w:tcBorders>
              <w:bottom w:val="single" w:sz="4" w:space="0" w:color="000000"/>
            </w:tcBorders>
          </w:tcPr>
          <w:p>
            <w:pPr>
              <w:pStyle w:val="TableParagraph"/>
              <w:spacing w:line="215" w:lineRule="exact" w:before="2"/>
              <w:ind w:left="109"/>
              <w:rPr>
                <w:sz w:val="20"/>
              </w:rPr>
            </w:pPr>
            <w:r>
              <w:rPr>
                <w:sz w:val="20"/>
              </w:rPr>
              <w:t>Top</w:t>
            </w:r>
            <w:r>
              <w:rPr>
                <w:spacing w:val="-1"/>
                <w:sz w:val="20"/>
              </w:rPr>
              <w:t> </w:t>
            </w:r>
            <w:r>
              <w:rPr>
                <w:spacing w:val="-2"/>
                <w:sz w:val="20"/>
              </w:rPr>
              <w:t>Management</w:t>
            </w:r>
          </w:p>
        </w:tc>
        <w:tc>
          <w:tcPr>
            <w:tcW w:w="678" w:type="dxa"/>
            <w:tcBorders>
              <w:bottom w:val="single" w:sz="4" w:space="0" w:color="000000"/>
            </w:tcBorders>
          </w:tcPr>
          <w:p>
            <w:pPr>
              <w:pStyle w:val="TableParagraph"/>
              <w:spacing w:line="215" w:lineRule="exact" w:before="2"/>
              <w:ind w:left="57"/>
              <w:jc w:val="center"/>
              <w:rPr>
                <w:sz w:val="20"/>
              </w:rPr>
            </w:pPr>
            <w:r>
              <w:rPr>
                <w:spacing w:val="-10"/>
                <w:sz w:val="20"/>
              </w:rPr>
              <w:t>6</w:t>
            </w:r>
          </w:p>
        </w:tc>
        <w:tc>
          <w:tcPr>
            <w:tcW w:w="778" w:type="dxa"/>
            <w:tcBorders>
              <w:bottom w:val="single" w:sz="4" w:space="0" w:color="000000"/>
            </w:tcBorders>
          </w:tcPr>
          <w:p>
            <w:pPr>
              <w:pStyle w:val="TableParagraph"/>
              <w:spacing w:line="215" w:lineRule="exact" w:before="2"/>
              <w:ind w:left="112" w:right="71"/>
              <w:jc w:val="center"/>
              <w:rPr>
                <w:sz w:val="20"/>
              </w:rPr>
            </w:pPr>
            <w:r>
              <w:rPr>
                <w:spacing w:val="-4"/>
                <w:sz w:val="20"/>
              </w:rPr>
              <w:t>26.1</w:t>
            </w:r>
          </w:p>
        </w:tc>
        <w:tc>
          <w:tcPr>
            <w:tcW w:w="692" w:type="dxa"/>
            <w:tcBorders>
              <w:bottom w:val="single" w:sz="4" w:space="0" w:color="000000"/>
            </w:tcBorders>
          </w:tcPr>
          <w:p>
            <w:pPr>
              <w:pStyle w:val="TableParagraph"/>
              <w:spacing w:line="215" w:lineRule="exact" w:before="2"/>
              <w:ind w:left="23" w:right="17"/>
              <w:jc w:val="center"/>
              <w:rPr>
                <w:sz w:val="20"/>
              </w:rPr>
            </w:pPr>
            <w:r>
              <w:rPr>
                <w:spacing w:val="-5"/>
                <w:sz w:val="20"/>
              </w:rPr>
              <w:t>12</w:t>
            </w:r>
          </w:p>
        </w:tc>
        <w:tc>
          <w:tcPr>
            <w:tcW w:w="709" w:type="dxa"/>
            <w:tcBorders>
              <w:bottom w:val="single" w:sz="4" w:space="0" w:color="000000"/>
            </w:tcBorders>
          </w:tcPr>
          <w:p>
            <w:pPr>
              <w:pStyle w:val="TableParagraph"/>
              <w:spacing w:line="215" w:lineRule="exact" w:before="2"/>
              <w:ind w:left="70" w:right="20"/>
              <w:jc w:val="center"/>
              <w:rPr>
                <w:sz w:val="20"/>
              </w:rPr>
            </w:pPr>
            <w:r>
              <w:rPr>
                <w:spacing w:val="-4"/>
                <w:sz w:val="20"/>
              </w:rPr>
              <w:t>52.2</w:t>
            </w:r>
          </w:p>
        </w:tc>
        <w:tc>
          <w:tcPr>
            <w:tcW w:w="757" w:type="dxa"/>
            <w:tcBorders>
              <w:bottom w:val="single" w:sz="4" w:space="0" w:color="000000"/>
            </w:tcBorders>
          </w:tcPr>
          <w:p>
            <w:pPr>
              <w:pStyle w:val="TableParagraph"/>
              <w:spacing w:line="215" w:lineRule="exact" w:before="2"/>
              <w:ind w:right="308"/>
              <w:jc w:val="right"/>
              <w:rPr>
                <w:sz w:val="20"/>
              </w:rPr>
            </w:pPr>
            <w:r>
              <w:rPr>
                <w:spacing w:val="-10"/>
                <w:sz w:val="20"/>
              </w:rPr>
              <w:t>3</w:t>
            </w:r>
          </w:p>
        </w:tc>
        <w:tc>
          <w:tcPr>
            <w:tcW w:w="903" w:type="dxa"/>
            <w:tcBorders>
              <w:bottom w:val="single" w:sz="4" w:space="0" w:color="000000"/>
            </w:tcBorders>
          </w:tcPr>
          <w:p>
            <w:pPr>
              <w:pStyle w:val="TableParagraph"/>
              <w:spacing w:line="215" w:lineRule="exact" w:before="2"/>
              <w:ind w:left="13" w:right="8"/>
              <w:jc w:val="center"/>
              <w:rPr>
                <w:sz w:val="20"/>
              </w:rPr>
            </w:pPr>
            <w:r>
              <w:rPr>
                <w:spacing w:val="-4"/>
                <w:sz w:val="20"/>
              </w:rPr>
              <w:t>13.0</w:t>
            </w:r>
          </w:p>
        </w:tc>
        <w:tc>
          <w:tcPr>
            <w:tcW w:w="685" w:type="dxa"/>
            <w:tcBorders>
              <w:bottom w:val="single" w:sz="4" w:space="0" w:color="000000"/>
            </w:tcBorders>
          </w:tcPr>
          <w:p>
            <w:pPr>
              <w:pStyle w:val="TableParagraph"/>
              <w:spacing w:line="215" w:lineRule="exact" w:before="2"/>
              <w:ind w:left="81" w:right="32"/>
              <w:jc w:val="center"/>
              <w:rPr>
                <w:sz w:val="20"/>
              </w:rPr>
            </w:pPr>
            <w:r>
              <w:rPr>
                <w:spacing w:val="-10"/>
                <w:sz w:val="20"/>
              </w:rPr>
              <w:t>2</w:t>
            </w:r>
          </w:p>
        </w:tc>
        <w:tc>
          <w:tcPr>
            <w:tcW w:w="800" w:type="dxa"/>
            <w:tcBorders>
              <w:bottom w:val="single" w:sz="4" w:space="0" w:color="000000"/>
            </w:tcBorders>
          </w:tcPr>
          <w:p>
            <w:pPr>
              <w:pStyle w:val="TableParagraph"/>
              <w:spacing w:line="215" w:lineRule="exact" w:before="2"/>
              <w:ind w:left="18" w:right="18"/>
              <w:jc w:val="center"/>
              <w:rPr>
                <w:sz w:val="20"/>
              </w:rPr>
            </w:pPr>
            <w:r>
              <w:rPr>
                <w:spacing w:val="-5"/>
                <w:sz w:val="20"/>
              </w:rPr>
              <w:t>8.7</w:t>
            </w:r>
          </w:p>
        </w:tc>
        <w:tc>
          <w:tcPr>
            <w:tcW w:w="654" w:type="dxa"/>
            <w:tcBorders>
              <w:bottom w:val="single" w:sz="4" w:space="0" w:color="000000"/>
            </w:tcBorders>
          </w:tcPr>
          <w:p>
            <w:pPr>
              <w:pStyle w:val="TableParagraph"/>
              <w:spacing w:line="215" w:lineRule="exact" w:before="2"/>
              <w:ind w:right="33"/>
              <w:jc w:val="center"/>
              <w:rPr>
                <w:sz w:val="20"/>
              </w:rPr>
            </w:pPr>
            <w:r>
              <w:rPr>
                <w:spacing w:val="-10"/>
                <w:sz w:val="20"/>
              </w:rPr>
              <w:t>-</w:t>
            </w:r>
          </w:p>
        </w:tc>
        <w:tc>
          <w:tcPr>
            <w:tcW w:w="716" w:type="dxa"/>
            <w:tcBorders>
              <w:bottom w:val="single" w:sz="4" w:space="0" w:color="000000"/>
            </w:tcBorders>
          </w:tcPr>
          <w:p>
            <w:pPr>
              <w:pStyle w:val="TableParagraph"/>
              <w:spacing w:line="215" w:lineRule="exact" w:before="2"/>
              <w:ind w:left="22" w:right="7"/>
              <w:jc w:val="center"/>
              <w:rPr>
                <w:sz w:val="20"/>
              </w:rPr>
            </w:pPr>
            <w:r>
              <w:rPr>
                <w:spacing w:val="-10"/>
                <w:sz w:val="20"/>
              </w:rPr>
              <w:t>-</w:t>
            </w:r>
          </w:p>
        </w:tc>
        <w:tc>
          <w:tcPr>
            <w:tcW w:w="721" w:type="dxa"/>
            <w:tcBorders>
              <w:bottom w:val="single" w:sz="4" w:space="0" w:color="000000"/>
            </w:tcBorders>
          </w:tcPr>
          <w:p>
            <w:pPr>
              <w:pStyle w:val="TableParagraph"/>
              <w:spacing w:line="215" w:lineRule="exact" w:before="2"/>
              <w:ind w:left="50" w:right="30"/>
              <w:jc w:val="center"/>
              <w:rPr>
                <w:sz w:val="20"/>
              </w:rPr>
            </w:pPr>
            <w:r>
              <w:rPr>
                <w:spacing w:val="-5"/>
                <w:sz w:val="20"/>
              </w:rPr>
              <w:t>23</w:t>
            </w:r>
          </w:p>
        </w:tc>
        <w:tc>
          <w:tcPr>
            <w:tcW w:w="739" w:type="dxa"/>
            <w:tcBorders>
              <w:bottom w:val="single" w:sz="4" w:space="0" w:color="000000"/>
              <w:right w:val="single" w:sz="4" w:space="0" w:color="000000"/>
            </w:tcBorders>
          </w:tcPr>
          <w:p>
            <w:pPr>
              <w:pStyle w:val="TableParagraph"/>
              <w:spacing w:line="215" w:lineRule="exact" w:before="2"/>
              <w:ind w:left="36" w:right="31"/>
              <w:jc w:val="center"/>
              <w:rPr>
                <w:sz w:val="20"/>
              </w:rPr>
            </w:pPr>
            <w:r>
              <w:rPr>
                <w:spacing w:val="-5"/>
                <w:sz w:val="20"/>
              </w:rPr>
              <w:t>5.0</w:t>
            </w:r>
          </w:p>
        </w:tc>
      </w:tr>
    </w:tbl>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spacing w:before="13"/>
        <w:rPr>
          <w:rFonts w:ascii="Arial"/>
          <w:b/>
          <w:sz w:val="28"/>
        </w:rPr>
      </w:pPr>
    </w:p>
    <w:p>
      <w:pPr>
        <w:pStyle w:val="BodyText"/>
        <w:ind w:left="3" w:right="433"/>
        <w:jc w:val="center"/>
        <w:rPr>
          <w:rFonts w:ascii="Times New Roman"/>
        </w:rPr>
      </w:pPr>
      <w:r>
        <w:rPr>
          <w:rFonts w:ascii="Times New Roman"/>
          <w:spacing w:val="-5"/>
        </w:rPr>
        <w:t>152</w:t>
      </w:r>
    </w:p>
    <w:p>
      <w:pPr>
        <w:spacing w:after="0"/>
        <w:jc w:val="center"/>
        <w:rPr>
          <w:rFonts w:ascii="Times New Roman"/>
        </w:rPr>
        <w:sectPr>
          <w:headerReference w:type="default" r:id="rId345"/>
          <w:footerReference w:type="default" r:id="rId346"/>
          <w:pgSz w:w="15840" w:h="12240" w:orient="landscape"/>
          <w:pgMar w:header="0" w:footer="0" w:top="640" w:bottom="280" w:left="500" w:right="360"/>
        </w:sectPr>
      </w:pPr>
    </w:p>
    <w:p>
      <w:pPr>
        <w:pStyle w:val="BodyText"/>
        <w:spacing w:line="480" w:lineRule="auto" w:before="82"/>
        <w:ind w:left="820" w:right="114" w:firstLine="720"/>
        <w:jc w:val="both"/>
      </w:pPr>
      <w:r>
        <w:rPr/>
        <w:t>Item 59 maintained that an ideal university campus should have an organized and well-supervised transport facilities like Okada (Express), Buses and Bicycles so as to facilitate students’ movements from students’ halls to academic areas or from</w:t>
      </w:r>
      <w:r>
        <w:rPr>
          <w:spacing w:val="-1"/>
        </w:rPr>
        <w:t> </w:t>
      </w:r>
      <w:r>
        <w:rPr/>
        <w:t>one academic area to another and vice versa. This view was agreed by 87.2 percent of students, 85.7 percent of service staff and 91.3 percent of top management staff. Only a negligible percent of respondents put together disagreed or were undecided. The availability of easy transportation would assist students to reach their destinations very easily without stress.</w:t>
      </w:r>
    </w:p>
    <w:p>
      <w:pPr>
        <w:pStyle w:val="BodyText"/>
        <w:spacing w:line="480" w:lineRule="auto"/>
        <w:ind w:left="820" w:right="118" w:firstLine="720"/>
        <w:jc w:val="both"/>
      </w:pPr>
      <w:r>
        <w:rPr/>
        <w:t>The posture by majority of respondents on</w:t>
      </w:r>
      <w:r>
        <w:rPr>
          <w:spacing w:val="-2"/>
        </w:rPr>
        <w:t> </w:t>
      </w:r>
      <w:r>
        <w:rPr/>
        <w:t>lack of transport on</w:t>
      </w:r>
      <w:r>
        <w:rPr>
          <w:spacing w:val="-2"/>
        </w:rPr>
        <w:t> </w:t>
      </w:r>
      <w:r>
        <w:rPr/>
        <w:t>campus for reaching academic areas which usually contributes to students missing lectures due</w:t>
      </w:r>
      <w:r>
        <w:rPr>
          <w:spacing w:val="-2"/>
        </w:rPr>
        <w:t> </w:t>
      </w:r>
      <w:r>
        <w:rPr/>
        <w:t>to</w:t>
      </w:r>
      <w:r>
        <w:rPr>
          <w:spacing w:val="-2"/>
        </w:rPr>
        <w:t> </w:t>
      </w:r>
      <w:r>
        <w:rPr/>
        <w:t>late</w:t>
      </w:r>
      <w:r>
        <w:rPr>
          <w:spacing w:val="-2"/>
        </w:rPr>
        <w:t> </w:t>
      </w:r>
      <w:r>
        <w:rPr/>
        <w:t>coming</w:t>
      </w:r>
      <w:r>
        <w:rPr>
          <w:spacing w:val="-2"/>
        </w:rPr>
        <w:t> </w:t>
      </w:r>
      <w:r>
        <w:rPr/>
        <w:t>confirmed</w:t>
      </w:r>
      <w:r>
        <w:rPr>
          <w:spacing w:val="-2"/>
        </w:rPr>
        <w:t> </w:t>
      </w:r>
      <w:r>
        <w:rPr/>
        <w:t>that</w:t>
      </w:r>
      <w:r>
        <w:rPr>
          <w:spacing w:val="-3"/>
        </w:rPr>
        <w:t> </w:t>
      </w:r>
      <w:r>
        <w:rPr/>
        <w:t>transportation</w:t>
      </w:r>
      <w:r>
        <w:rPr>
          <w:spacing w:val="-2"/>
        </w:rPr>
        <w:t> </w:t>
      </w:r>
      <w:r>
        <w:rPr/>
        <w:t>on</w:t>
      </w:r>
      <w:r>
        <w:rPr>
          <w:spacing w:val="-2"/>
        </w:rPr>
        <w:t> </w:t>
      </w:r>
      <w:r>
        <w:rPr/>
        <w:t>campuses was</w:t>
      </w:r>
      <w:r>
        <w:rPr>
          <w:spacing w:val="-3"/>
        </w:rPr>
        <w:t> </w:t>
      </w:r>
      <w:r>
        <w:rPr/>
        <w:t>very</w:t>
      </w:r>
      <w:r>
        <w:rPr>
          <w:spacing w:val="-3"/>
        </w:rPr>
        <w:t> </w:t>
      </w:r>
      <w:r>
        <w:rPr/>
        <w:t>crucial to academic performance of students. Without transport they would be missing lectures, experiments, demonstration and other vital functions. 83.4 percent of students, 75.3 percent of service staff and 86.9 percent of top management strongly shared this opinion.</w:t>
      </w:r>
    </w:p>
    <w:p>
      <w:pPr>
        <w:pStyle w:val="BodyText"/>
        <w:spacing w:line="480" w:lineRule="auto" w:before="1"/>
        <w:ind w:left="820" w:right="113" w:firstLine="720"/>
        <w:jc w:val="both"/>
      </w:pPr>
      <w:r>
        <w:rPr/>
        <w:t>The stance taken by most respondents on item 61 shows that most universities</w:t>
      </w:r>
      <w:r>
        <w:rPr>
          <w:spacing w:val="-3"/>
        </w:rPr>
        <w:t> </w:t>
      </w:r>
      <w:r>
        <w:rPr/>
        <w:t>in the three geopolitical zones</w:t>
      </w:r>
      <w:r>
        <w:rPr>
          <w:spacing w:val="-3"/>
        </w:rPr>
        <w:t> </w:t>
      </w:r>
      <w:r>
        <w:rPr/>
        <w:t>in the Northern parts of</w:t>
      </w:r>
      <w:r>
        <w:rPr>
          <w:spacing w:val="-2"/>
        </w:rPr>
        <w:t> </w:t>
      </w:r>
      <w:r>
        <w:rPr/>
        <w:t>Nigeria did not have enough buses for students field trips, education visits, practicals, sports, excursions and journeys. This was supported by 85.5 percent of students, 81.6 percent of service staff and</w:t>
      </w:r>
      <w:r>
        <w:rPr>
          <w:spacing w:val="-2"/>
        </w:rPr>
        <w:t> </w:t>
      </w:r>
      <w:r>
        <w:rPr/>
        <w:t>100 percent</w:t>
      </w:r>
      <w:r>
        <w:rPr>
          <w:spacing w:val="-3"/>
        </w:rPr>
        <w:t> </w:t>
      </w:r>
      <w:r>
        <w:rPr/>
        <w:t>of top management staff. Very negligible percent of students and service staff did not share the opinion while only few were undecided.</w:t>
      </w:r>
    </w:p>
    <w:p>
      <w:pPr>
        <w:spacing w:after="0" w:line="480" w:lineRule="auto"/>
        <w:jc w:val="both"/>
        <w:sectPr>
          <w:headerReference w:type="default" r:id="rId347"/>
          <w:footerReference w:type="default" r:id="rId348"/>
          <w:pgSz w:w="12240" w:h="15840"/>
          <w:pgMar w:header="722" w:footer="791" w:top="1340" w:bottom="980" w:left="1340" w:right="1320"/>
          <w:pgNumType w:start="153"/>
        </w:sectPr>
      </w:pPr>
    </w:p>
    <w:p>
      <w:pPr>
        <w:pStyle w:val="BodyText"/>
        <w:spacing w:line="480" w:lineRule="auto" w:before="82"/>
        <w:ind w:left="820" w:right="114" w:firstLine="720"/>
        <w:jc w:val="both"/>
      </w:pPr>
      <w:r>
        <w:rPr/>
        <w:t>On whether the presence of too many motorcycles on university</w:t>
      </w:r>
      <w:r>
        <w:rPr>
          <w:spacing w:val="40"/>
        </w:rPr>
        <w:t> </w:t>
      </w:r>
      <w:r>
        <w:rPr/>
        <w:t>campuses brought about security problems as stressed by item 62, 66.8 percent of students, 76.3 percent of service staff and 78.3 of top management staff were in concord that the motorcyclists (Express or Okada) would constitute security problems as apart from overcrowding and over-speeding they contributed in increasing theft cases</w:t>
      </w:r>
      <w:r>
        <w:rPr>
          <w:spacing w:val="-2"/>
        </w:rPr>
        <w:t> </w:t>
      </w:r>
      <w:r>
        <w:rPr/>
        <w:t>as they</w:t>
      </w:r>
      <w:r>
        <w:rPr>
          <w:spacing w:val="-2"/>
        </w:rPr>
        <w:t> </w:t>
      </w:r>
      <w:r>
        <w:rPr/>
        <w:t>could bring dubious characters</w:t>
      </w:r>
      <w:r>
        <w:rPr>
          <w:spacing w:val="-2"/>
        </w:rPr>
        <w:t> </w:t>
      </w:r>
      <w:r>
        <w:rPr/>
        <w:t>into the campuses.</w:t>
      </w:r>
    </w:p>
    <w:p>
      <w:pPr>
        <w:pStyle w:val="Heading2"/>
        <w:numPr>
          <w:ilvl w:val="3"/>
          <w:numId w:val="39"/>
        </w:numPr>
        <w:tabs>
          <w:tab w:pos="1537" w:val="left" w:leader="none"/>
          <w:tab w:pos="1540" w:val="left" w:leader="none"/>
        </w:tabs>
        <w:spacing w:line="242" w:lineRule="auto" w:before="270" w:after="0"/>
        <w:ind w:left="1540" w:right="121" w:hanging="1440"/>
        <w:jc w:val="both"/>
        <w:rPr>
          <w:rFonts w:ascii="Arial MT" w:hAnsi="Arial MT"/>
          <w:b w:val="0"/>
        </w:rPr>
      </w:pPr>
      <w:r>
        <w:rPr/>
        <w:t>The impact of Religious Services on students’ welfare in the Universities in the three geopolitical zones in the Northern part of Nigeria</w:t>
      </w:r>
    </w:p>
    <w:p>
      <w:pPr>
        <w:pStyle w:val="BodyText"/>
        <w:spacing w:line="480" w:lineRule="auto" w:before="271"/>
        <w:ind w:left="820" w:right="117" w:firstLine="720"/>
        <w:jc w:val="both"/>
      </w:pPr>
      <w:r>
        <w:rPr/>
        <w:t>This section presents the responses of the three categories of</w:t>
      </w:r>
      <w:r>
        <w:rPr>
          <w:spacing w:val="40"/>
        </w:rPr>
        <w:t> </w:t>
      </w:r>
      <w:r>
        <w:rPr/>
        <w:t>respondents on items 43 to 47 as contained in table 4.3.1.7. The five items attempted to find out whether or not the religious facilities on the campuses contributed in shaping the moral and spiritual behaviours of students positively.</w:t>
      </w:r>
    </w:p>
    <w:p>
      <w:pPr>
        <w:pStyle w:val="BodyText"/>
        <w:spacing w:before="1"/>
        <w:ind w:left="1540"/>
        <w:jc w:val="both"/>
      </w:pPr>
      <w:r>
        <w:rPr/>
        <w:t>The</w:t>
      </w:r>
      <w:r>
        <w:rPr>
          <w:spacing w:val="-7"/>
        </w:rPr>
        <w:t> </w:t>
      </w:r>
      <w:r>
        <w:rPr/>
        <w:t>data</w:t>
      </w:r>
      <w:r>
        <w:rPr>
          <w:spacing w:val="-6"/>
        </w:rPr>
        <w:t> </w:t>
      </w:r>
      <w:r>
        <w:rPr/>
        <w:t>collected</w:t>
      </w:r>
      <w:r>
        <w:rPr>
          <w:spacing w:val="-9"/>
        </w:rPr>
        <w:t> </w:t>
      </w:r>
      <w:r>
        <w:rPr/>
        <w:t>and</w:t>
      </w:r>
      <w:r>
        <w:rPr>
          <w:spacing w:val="-6"/>
        </w:rPr>
        <w:t> </w:t>
      </w:r>
      <w:r>
        <w:rPr/>
        <w:t>analysed</w:t>
      </w:r>
      <w:r>
        <w:rPr>
          <w:spacing w:val="-6"/>
        </w:rPr>
        <w:t> </w:t>
      </w:r>
      <w:r>
        <w:rPr/>
        <w:t>are</w:t>
      </w:r>
      <w:r>
        <w:rPr>
          <w:spacing w:val="-6"/>
        </w:rPr>
        <w:t> </w:t>
      </w:r>
      <w:r>
        <w:rPr/>
        <w:t>presented</w:t>
      </w:r>
      <w:r>
        <w:rPr>
          <w:spacing w:val="-6"/>
        </w:rPr>
        <w:t> </w:t>
      </w:r>
      <w:r>
        <w:rPr/>
        <w:t>in</w:t>
      </w:r>
      <w:r>
        <w:rPr>
          <w:spacing w:val="-10"/>
        </w:rPr>
        <w:t> </w:t>
      </w:r>
      <w:r>
        <w:rPr/>
        <w:t>Table</w:t>
      </w:r>
      <w:r>
        <w:rPr>
          <w:spacing w:val="-9"/>
        </w:rPr>
        <w:t> </w:t>
      </w:r>
      <w:r>
        <w:rPr>
          <w:spacing w:val="-2"/>
        </w:rPr>
        <w:t>4.3.1.7.</w:t>
      </w:r>
    </w:p>
    <w:p>
      <w:pPr>
        <w:spacing w:after="0"/>
        <w:jc w:val="both"/>
        <w:sectPr>
          <w:headerReference w:type="default" r:id="rId349"/>
          <w:footerReference w:type="default" r:id="rId350"/>
          <w:pgSz w:w="12240" w:h="15840"/>
          <w:pgMar w:header="722" w:footer="791" w:top="1340" w:bottom="980" w:left="1340" w:right="1320"/>
        </w:sectPr>
      </w:pPr>
    </w:p>
    <w:p>
      <w:pPr>
        <w:pStyle w:val="BodyText"/>
        <w:spacing w:before="72"/>
        <w:ind w:left="3" w:right="433"/>
        <w:jc w:val="center"/>
        <w:rPr>
          <w:rFonts w:ascii="Times New Roman"/>
        </w:rPr>
      </w:pPr>
      <w:r>
        <w:rPr>
          <w:rFonts w:ascii="Times New Roman"/>
          <w:spacing w:val="-5"/>
        </w:rPr>
        <w:t>155</w:t>
      </w:r>
    </w:p>
    <w:p>
      <w:pPr>
        <w:pStyle w:val="BodyText"/>
        <w:spacing w:before="121"/>
        <w:rPr>
          <w:rFonts w:ascii="Times New Roman"/>
          <w:sz w:val="28"/>
        </w:rPr>
      </w:pPr>
    </w:p>
    <w:p>
      <w:pPr>
        <w:pStyle w:val="Heading2"/>
        <w:spacing w:before="1"/>
        <w:ind w:left="652"/>
      </w:pPr>
      <w:r>
        <w:rPr/>
        <w:t>Table</w:t>
      </w:r>
      <w:r>
        <w:rPr>
          <w:spacing w:val="-8"/>
        </w:rPr>
        <w:t> </w:t>
      </w:r>
      <w:r>
        <w:rPr/>
        <w:t>4.3.1.7:</w:t>
      </w:r>
      <w:r>
        <w:rPr>
          <w:spacing w:val="-7"/>
        </w:rPr>
        <w:t> </w:t>
      </w:r>
      <w:r>
        <w:rPr/>
        <w:t>Opinions</w:t>
      </w:r>
      <w:r>
        <w:rPr>
          <w:spacing w:val="-7"/>
        </w:rPr>
        <w:t> </w:t>
      </w:r>
      <w:r>
        <w:rPr/>
        <w:t>of</w:t>
      </w:r>
      <w:r>
        <w:rPr>
          <w:spacing w:val="-7"/>
        </w:rPr>
        <w:t> </w:t>
      </w:r>
      <w:r>
        <w:rPr/>
        <w:t>respondents</w:t>
      </w:r>
      <w:r>
        <w:rPr>
          <w:spacing w:val="-7"/>
        </w:rPr>
        <w:t> </w:t>
      </w:r>
      <w:r>
        <w:rPr/>
        <w:t>on</w:t>
      </w:r>
      <w:r>
        <w:rPr>
          <w:spacing w:val="-8"/>
        </w:rPr>
        <w:t> </w:t>
      </w:r>
      <w:r>
        <w:rPr/>
        <w:t>the</w:t>
      </w:r>
      <w:r>
        <w:rPr>
          <w:spacing w:val="-11"/>
        </w:rPr>
        <w:t> </w:t>
      </w:r>
      <w:r>
        <w:rPr/>
        <w:t>impact</w:t>
      </w:r>
      <w:r>
        <w:rPr>
          <w:spacing w:val="-8"/>
        </w:rPr>
        <w:t> </w:t>
      </w:r>
      <w:r>
        <w:rPr/>
        <w:t>of</w:t>
      </w:r>
      <w:r>
        <w:rPr>
          <w:spacing w:val="-7"/>
        </w:rPr>
        <w:t> </w:t>
      </w:r>
      <w:r>
        <w:rPr/>
        <w:t>religious</w:t>
      </w:r>
      <w:r>
        <w:rPr>
          <w:spacing w:val="-11"/>
        </w:rPr>
        <w:t> </w:t>
      </w:r>
      <w:r>
        <w:rPr/>
        <w:t>services</w:t>
      </w:r>
      <w:r>
        <w:rPr>
          <w:spacing w:val="-12"/>
        </w:rPr>
        <w:t> </w:t>
      </w:r>
      <w:r>
        <w:rPr/>
        <w:t>on</w:t>
      </w:r>
      <w:r>
        <w:rPr>
          <w:spacing w:val="-8"/>
        </w:rPr>
        <w:t> </w:t>
      </w:r>
      <w:r>
        <w:rPr/>
        <w:t>students’</w:t>
      </w:r>
      <w:r>
        <w:rPr>
          <w:spacing w:val="-6"/>
        </w:rPr>
        <w:t> </w:t>
      </w:r>
      <w:r>
        <w:rPr>
          <w:spacing w:val="-2"/>
        </w:rPr>
        <w:t>welfare</w:t>
      </w:r>
    </w:p>
    <w:p>
      <w:pPr>
        <w:pStyle w:val="BodyText"/>
        <w:spacing w:before="56"/>
        <w:rPr>
          <w:rFonts w:ascii="Arial"/>
          <w:b/>
          <w:sz w:val="20"/>
        </w:rPr>
      </w:pPr>
    </w:p>
    <w:tbl>
      <w:tblPr>
        <w:tblW w:w="0" w:type="auto"/>
        <w:jc w:val="left"/>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46"/>
        <w:gridCol w:w="1978"/>
        <w:gridCol w:w="701"/>
        <w:gridCol w:w="748"/>
        <w:gridCol w:w="662"/>
        <w:gridCol w:w="787"/>
        <w:gridCol w:w="571"/>
        <w:gridCol w:w="859"/>
        <w:gridCol w:w="684"/>
        <w:gridCol w:w="799"/>
        <w:gridCol w:w="626"/>
        <w:gridCol w:w="729"/>
        <w:gridCol w:w="731"/>
        <w:gridCol w:w="737"/>
      </w:tblGrid>
      <w:tr>
        <w:trPr>
          <w:trHeight w:val="273" w:hRule="atLeast"/>
        </w:trPr>
        <w:tc>
          <w:tcPr>
            <w:tcW w:w="4146" w:type="dxa"/>
            <w:vMerge w:val="restart"/>
            <w:tcBorders>
              <w:top w:val="single" w:sz="4" w:space="0" w:color="000000"/>
              <w:left w:val="single" w:sz="4" w:space="0" w:color="000000"/>
              <w:bottom w:val="single" w:sz="4" w:space="0" w:color="000000"/>
            </w:tcBorders>
          </w:tcPr>
          <w:p>
            <w:pPr>
              <w:pStyle w:val="TableParagraph"/>
              <w:rPr>
                <w:rFonts w:ascii="Arial"/>
                <w:b/>
                <w:sz w:val="20"/>
              </w:rPr>
            </w:pPr>
          </w:p>
          <w:p>
            <w:pPr>
              <w:pStyle w:val="TableParagraph"/>
              <w:spacing w:before="216"/>
              <w:rPr>
                <w:rFonts w:ascii="Arial"/>
                <w:b/>
                <w:sz w:val="20"/>
              </w:rPr>
            </w:pPr>
          </w:p>
          <w:p>
            <w:pPr>
              <w:pStyle w:val="TableParagraph"/>
              <w:tabs>
                <w:tab w:pos="830" w:val="left" w:leader="none"/>
              </w:tabs>
              <w:ind w:left="134"/>
              <w:rPr>
                <w:rFonts w:ascii="Arial"/>
                <w:b/>
                <w:sz w:val="20"/>
              </w:rPr>
            </w:pPr>
            <w:r>
              <w:rPr>
                <w:rFonts w:ascii="Arial"/>
                <w:b/>
                <w:spacing w:val="-4"/>
                <w:sz w:val="20"/>
              </w:rPr>
              <w:t>S/No</w:t>
            </w:r>
            <w:r>
              <w:rPr>
                <w:rFonts w:ascii="Arial"/>
                <w:b/>
                <w:sz w:val="20"/>
              </w:rPr>
              <w:tab/>
              <w:t>Item</w:t>
            </w:r>
            <w:r>
              <w:rPr>
                <w:rFonts w:ascii="Arial"/>
                <w:b/>
                <w:spacing w:val="-2"/>
                <w:sz w:val="20"/>
              </w:rPr>
              <w:t> Statements</w:t>
            </w:r>
          </w:p>
        </w:tc>
        <w:tc>
          <w:tcPr>
            <w:tcW w:w="1978" w:type="dxa"/>
            <w:vMerge w:val="restart"/>
            <w:tcBorders>
              <w:top w:val="single" w:sz="4" w:space="0" w:color="000000"/>
              <w:bottom w:val="single" w:sz="4" w:space="0" w:color="000000"/>
              <w:right w:val="single" w:sz="4" w:space="0" w:color="000000"/>
            </w:tcBorders>
          </w:tcPr>
          <w:p>
            <w:pPr>
              <w:pStyle w:val="TableParagraph"/>
              <w:spacing w:before="215"/>
              <w:rPr>
                <w:rFonts w:ascii="Arial"/>
                <w:b/>
                <w:sz w:val="20"/>
              </w:rPr>
            </w:pPr>
          </w:p>
          <w:p>
            <w:pPr>
              <w:pStyle w:val="TableParagraph"/>
              <w:spacing w:before="1"/>
              <w:ind w:left="111"/>
              <w:rPr>
                <w:rFonts w:ascii="Arial"/>
                <w:b/>
                <w:sz w:val="20"/>
              </w:rPr>
            </w:pPr>
            <w:r>
              <w:rPr>
                <w:rFonts w:ascii="Arial"/>
                <w:b/>
                <w:sz w:val="20"/>
              </w:rPr>
              <w:t>Category of </w:t>
            </w:r>
            <w:r>
              <w:rPr>
                <w:rFonts w:ascii="Arial"/>
                <w:b/>
                <w:spacing w:val="-2"/>
                <w:sz w:val="20"/>
              </w:rPr>
              <w:t>Respondents</w:t>
            </w:r>
          </w:p>
        </w:tc>
        <w:tc>
          <w:tcPr>
            <w:tcW w:w="8634" w:type="dxa"/>
            <w:gridSpan w:val="12"/>
            <w:tcBorders>
              <w:top w:val="single" w:sz="4" w:space="0" w:color="000000"/>
              <w:left w:val="single" w:sz="4" w:space="0" w:color="000000"/>
              <w:bottom w:val="single" w:sz="4" w:space="0" w:color="000000"/>
              <w:right w:val="single" w:sz="4" w:space="0" w:color="000000"/>
            </w:tcBorders>
          </w:tcPr>
          <w:p>
            <w:pPr>
              <w:pStyle w:val="TableParagraph"/>
              <w:spacing w:line="253" w:lineRule="exact"/>
              <w:ind w:right="1365"/>
              <w:jc w:val="center"/>
              <w:rPr>
                <w:rFonts w:ascii="Arial"/>
                <w:b/>
                <w:sz w:val="24"/>
              </w:rPr>
            </w:pPr>
            <w:r>
              <w:rPr>
                <w:rFonts w:ascii="Arial"/>
                <w:b/>
                <w:spacing w:val="-2"/>
                <w:sz w:val="24"/>
              </w:rPr>
              <w:t>Responses</w:t>
            </w:r>
          </w:p>
        </w:tc>
      </w:tr>
      <w:tr>
        <w:trPr>
          <w:trHeight w:val="460" w:hRule="atLeast"/>
        </w:trPr>
        <w:tc>
          <w:tcPr>
            <w:tcW w:w="4146" w:type="dxa"/>
            <w:vMerge/>
            <w:tcBorders>
              <w:top w:val="nil"/>
              <w:left w:val="single" w:sz="4" w:space="0" w:color="000000"/>
              <w:bottom w:val="single" w:sz="4" w:space="0" w:color="000000"/>
            </w:tcBorders>
          </w:tcPr>
          <w:p>
            <w:pPr>
              <w:rPr>
                <w:sz w:val="2"/>
                <w:szCs w:val="2"/>
              </w:rPr>
            </w:pPr>
          </w:p>
        </w:tc>
        <w:tc>
          <w:tcPr>
            <w:tcW w:w="1978" w:type="dxa"/>
            <w:vMerge/>
            <w:tcBorders>
              <w:top w:val="nil"/>
              <w:bottom w:val="single" w:sz="4" w:space="0" w:color="000000"/>
              <w:right w:val="single" w:sz="4" w:space="0" w:color="000000"/>
            </w:tcBorders>
          </w:tcPr>
          <w:p>
            <w:pPr>
              <w:rPr>
                <w:sz w:val="2"/>
                <w:szCs w:val="2"/>
              </w:rPr>
            </w:pPr>
          </w:p>
        </w:tc>
        <w:tc>
          <w:tcPr>
            <w:tcW w:w="8634" w:type="dxa"/>
            <w:gridSpan w:val="12"/>
            <w:tcBorders>
              <w:top w:val="single" w:sz="4" w:space="0" w:color="000000"/>
              <w:left w:val="single" w:sz="4" w:space="0" w:color="000000"/>
              <w:bottom w:val="single" w:sz="4" w:space="0" w:color="000000"/>
              <w:right w:val="single" w:sz="4" w:space="0" w:color="000000"/>
            </w:tcBorders>
          </w:tcPr>
          <w:p>
            <w:pPr>
              <w:pStyle w:val="TableParagraph"/>
              <w:tabs>
                <w:tab w:pos="1872" w:val="left" w:leader="none"/>
                <w:tab w:pos="3096" w:val="left" w:leader="none"/>
                <w:tab w:pos="4632" w:val="left" w:leader="none"/>
                <w:tab w:pos="6077" w:val="left" w:leader="none"/>
                <w:tab w:pos="7675" w:val="left" w:leader="none"/>
              </w:tabs>
              <w:spacing w:line="220" w:lineRule="exact"/>
              <w:ind w:left="307"/>
              <w:rPr>
                <w:rFonts w:ascii="Arial"/>
                <w:b/>
                <w:sz w:val="20"/>
              </w:rPr>
            </w:pPr>
            <w:r>
              <w:rPr>
                <w:rFonts w:ascii="Arial"/>
                <w:b/>
                <w:spacing w:val="-2"/>
                <w:sz w:val="20"/>
              </w:rPr>
              <w:t>Strongly</w:t>
            </w:r>
            <w:r>
              <w:rPr>
                <w:rFonts w:ascii="Arial"/>
                <w:b/>
                <w:sz w:val="20"/>
              </w:rPr>
              <w:tab/>
            </w:r>
            <w:r>
              <w:rPr>
                <w:rFonts w:ascii="Arial"/>
                <w:b/>
                <w:spacing w:val="-4"/>
                <w:sz w:val="20"/>
              </w:rPr>
              <w:t>Agree</w:t>
            </w:r>
            <w:r>
              <w:rPr>
                <w:rFonts w:ascii="Arial"/>
                <w:b/>
                <w:sz w:val="20"/>
              </w:rPr>
              <w:tab/>
            </w:r>
            <w:r>
              <w:rPr>
                <w:rFonts w:ascii="Arial"/>
                <w:b/>
                <w:spacing w:val="-2"/>
                <w:sz w:val="20"/>
              </w:rPr>
              <w:t>Undecided</w:t>
            </w:r>
            <w:r>
              <w:rPr>
                <w:rFonts w:ascii="Arial"/>
                <w:b/>
                <w:sz w:val="20"/>
              </w:rPr>
              <w:tab/>
            </w:r>
            <w:r>
              <w:rPr>
                <w:rFonts w:ascii="Arial"/>
                <w:b/>
                <w:spacing w:val="-2"/>
                <w:sz w:val="20"/>
              </w:rPr>
              <w:t>Disagree</w:t>
            </w:r>
            <w:r>
              <w:rPr>
                <w:rFonts w:ascii="Arial"/>
                <w:b/>
                <w:sz w:val="20"/>
              </w:rPr>
              <w:tab/>
            </w:r>
            <w:r>
              <w:rPr>
                <w:rFonts w:ascii="Arial"/>
                <w:b/>
                <w:spacing w:val="-2"/>
                <w:sz w:val="20"/>
              </w:rPr>
              <w:t>Strongly</w:t>
            </w:r>
            <w:r>
              <w:rPr>
                <w:rFonts w:ascii="Arial"/>
                <w:b/>
                <w:sz w:val="20"/>
              </w:rPr>
              <w:tab/>
            </w:r>
            <w:r>
              <w:rPr>
                <w:rFonts w:ascii="Arial"/>
                <w:b/>
                <w:spacing w:val="-2"/>
                <w:sz w:val="20"/>
              </w:rPr>
              <w:t>Total</w:t>
            </w:r>
          </w:p>
          <w:p>
            <w:pPr>
              <w:pStyle w:val="TableParagraph"/>
              <w:tabs>
                <w:tab w:pos="6062" w:val="left" w:leader="none"/>
              </w:tabs>
              <w:spacing w:line="220" w:lineRule="exact"/>
              <w:ind w:left="432"/>
              <w:rPr>
                <w:rFonts w:ascii="Arial"/>
                <w:b/>
                <w:sz w:val="20"/>
              </w:rPr>
            </w:pPr>
            <w:r>
              <w:rPr>
                <w:rFonts w:ascii="Arial"/>
                <w:b/>
                <w:spacing w:val="-2"/>
                <w:sz w:val="20"/>
              </w:rPr>
              <w:t>Agree</w:t>
            </w:r>
            <w:r>
              <w:rPr>
                <w:rFonts w:ascii="Arial"/>
                <w:b/>
                <w:sz w:val="20"/>
              </w:rPr>
              <w:tab/>
            </w:r>
            <w:r>
              <w:rPr>
                <w:rFonts w:ascii="Arial"/>
                <w:b/>
                <w:spacing w:val="-2"/>
                <w:sz w:val="20"/>
              </w:rPr>
              <w:t>Disagree</w:t>
            </w:r>
          </w:p>
        </w:tc>
      </w:tr>
      <w:tr>
        <w:trPr>
          <w:trHeight w:val="321" w:hRule="atLeast"/>
        </w:trPr>
        <w:tc>
          <w:tcPr>
            <w:tcW w:w="4146" w:type="dxa"/>
            <w:vMerge/>
            <w:tcBorders>
              <w:top w:val="nil"/>
              <w:left w:val="single" w:sz="4" w:space="0" w:color="000000"/>
              <w:bottom w:val="single" w:sz="4" w:space="0" w:color="000000"/>
            </w:tcBorders>
          </w:tcPr>
          <w:p>
            <w:pPr>
              <w:rPr>
                <w:sz w:val="2"/>
                <w:szCs w:val="2"/>
              </w:rPr>
            </w:pPr>
          </w:p>
        </w:tc>
        <w:tc>
          <w:tcPr>
            <w:tcW w:w="1978" w:type="dxa"/>
            <w:vMerge/>
            <w:tcBorders>
              <w:top w:val="nil"/>
              <w:bottom w:val="single" w:sz="4" w:space="0" w:color="000000"/>
              <w:right w:val="single" w:sz="4" w:space="0" w:color="000000"/>
            </w:tcBorders>
          </w:tcPr>
          <w:p>
            <w:pPr>
              <w:rPr>
                <w:sz w:val="2"/>
                <w:szCs w:val="2"/>
              </w:rPr>
            </w:pPr>
          </w:p>
        </w:tc>
        <w:tc>
          <w:tcPr>
            <w:tcW w:w="701" w:type="dxa"/>
            <w:tcBorders>
              <w:top w:val="single" w:sz="4" w:space="0" w:color="000000"/>
              <w:left w:val="single" w:sz="4" w:space="0" w:color="000000"/>
              <w:bottom w:val="single" w:sz="4" w:space="0" w:color="000000"/>
            </w:tcBorders>
          </w:tcPr>
          <w:p>
            <w:pPr>
              <w:pStyle w:val="TableParagraph"/>
              <w:spacing w:line="220" w:lineRule="exact"/>
              <w:ind w:left="23"/>
              <w:jc w:val="center"/>
              <w:rPr>
                <w:rFonts w:ascii="Arial"/>
                <w:b/>
                <w:sz w:val="20"/>
              </w:rPr>
            </w:pPr>
            <w:r>
              <w:rPr>
                <w:rFonts w:ascii="Arial"/>
                <w:b/>
                <w:spacing w:val="-10"/>
                <w:sz w:val="20"/>
              </w:rPr>
              <w:t>F</w:t>
            </w:r>
          </w:p>
        </w:tc>
        <w:tc>
          <w:tcPr>
            <w:tcW w:w="748" w:type="dxa"/>
            <w:tcBorders>
              <w:top w:val="single" w:sz="4" w:space="0" w:color="000000"/>
              <w:bottom w:val="single" w:sz="4" w:space="0" w:color="000000"/>
            </w:tcBorders>
          </w:tcPr>
          <w:p>
            <w:pPr>
              <w:pStyle w:val="TableParagraph"/>
              <w:spacing w:line="220" w:lineRule="exact"/>
              <w:ind w:left="18"/>
              <w:jc w:val="center"/>
              <w:rPr>
                <w:rFonts w:ascii="Arial"/>
                <w:b/>
                <w:sz w:val="20"/>
              </w:rPr>
            </w:pPr>
            <w:r>
              <w:rPr>
                <w:rFonts w:ascii="Arial"/>
                <w:b/>
                <w:spacing w:val="-10"/>
                <w:sz w:val="20"/>
              </w:rPr>
              <w:t>%</w:t>
            </w:r>
          </w:p>
        </w:tc>
        <w:tc>
          <w:tcPr>
            <w:tcW w:w="662" w:type="dxa"/>
            <w:tcBorders>
              <w:top w:val="single" w:sz="4" w:space="0" w:color="000000"/>
              <w:bottom w:val="single" w:sz="4" w:space="0" w:color="000000"/>
            </w:tcBorders>
          </w:tcPr>
          <w:p>
            <w:pPr>
              <w:pStyle w:val="TableParagraph"/>
              <w:spacing w:line="220" w:lineRule="exact"/>
              <w:ind w:left="49"/>
              <w:jc w:val="center"/>
              <w:rPr>
                <w:rFonts w:ascii="Arial"/>
                <w:b/>
                <w:sz w:val="20"/>
              </w:rPr>
            </w:pPr>
            <w:r>
              <w:rPr>
                <w:rFonts w:ascii="Arial"/>
                <w:b/>
                <w:spacing w:val="-10"/>
                <w:sz w:val="20"/>
              </w:rPr>
              <w:t>F</w:t>
            </w:r>
          </w:p>
        </w:tc>
        <w:tc>
          <w:tcPr>
            <w:tcW w:w="787" w:type="dxa"/>
            <w:tcBorders>
              <w:top w:val="single" w:sz="4" w:space="0" w:color="000000"/>
              <w:bottom w:val="single" w:sz="4" w:space="0" w:color="000000"/>
            </w:tcBorders>
          </w:tcPr>
          <w:p>
            <w:pPr>
              <w:pStyle w:val="TableParagraph"/>
              <w:spacing w:line="220" w:lineRule="exact"/>
              <w:ind w:left="39"/>
              <w:jc w:val="center"/>
              <w:rPr>
                <w:rFonts w:ascii="Arial"/>
                <w:b/>
                <w:sz w:val="20"/>
              </w:rPr>
            </w:pPr>
            <w:r>
              <w:rPr>
                <w:rFonts w:ascii="Arial"/>
                <w:b/>
                <w:spacing w:val="-10"/>
                <w:sz w:val="20"/>
              </w:rPr>
              <w:t>%</w:t>
            </w:r>
          </w:p>
        </w:tc>
        <w:tc>
          <w:tcPr>
            <w:tcW w:w="571" w:type="dxa"/>
            <w:tcBorders>
              <w:top w:val="single" w:sz="4" w:space="0" w:color="000000"/>
              <w:bottom w:val="single" w:sz="4" w:space="0" w:color="000000"/>
            </w:tcBorders>
          </w:tcPr>
          <w:p>
            <w:pPr>
              <w:pStyle w:val="TableParagraph"/>
              <w:spacing w:line="220" w:lineRule="exact"/>
              <w:ind w:right="251"/>
              <w:jc w:val="right"/>
              <w:rPr>
                <w:rFonts w:ascii="Arial"/>
                <w:b/>
                <w:sz w:val="20"/>
              </w:rPr>
            </w:pPr>
            <w:r>
              <w:rPr>
                <w:rFonts w:ascii="Arial"/>
                <w:b/>
                <w:spacing w:val="-10"/>
                <w:sz w:val="20"/>
              </w:rPr>
              <w:t>F</w:t>
            </w:r>
          </w:p>
        </w:tc>
        <w:tc>
          <w:tcPr>
            <w:tcW w:w="859" w:type="dxa"/>
            <w:tcBorders>
              <w:top w:val="single" w:sz="4" w:space="0" w:color="000000"/>
              <w:bottom w:val="single" w:sz="4" w:space="0" w:color="000000"/>
            </w:tcBorders>
          </w:tcPr>
          <w:p>
            <w:pPr>
              <w:pStyle w:val="TableParagraph"/>
              <w:spacing w:line="220" w:lineRule="exact"/>
              <w:ind w:left="6" w:right="26"/>
              <w:jc w:val="center"/>
              <w:rPr>
                <w:rFonts w:ascii="Arial"/>
                <w:b/>
                <w:sz w:val="20"/>
              </w:rPr>
            </w:pPr>
            <w:r>
              <w:rPr>
                <w:rFonts w:ascii="Arial"/>
                <w:b/>
                <w:spacing w:val="-10"/>
                <w:sz w:val="20"/>
              </w:rPr>
              <w:t>%</w:t>
            </w:r>
          </w:p>
        </w:tc>
        <w:tc>
          <w:tcPr>
            <w:tcW w:w="684" w:type="dxa"/>
            <w:tcBorders>
              <w:top w:val="single" w:sz="4" w:space="0" w:color="000000"/>
              <w:bottom w:val="single" w:sz="4" w:space="0" w:color="000000"/>
            </w:tcBorders>
          </w:tcPr>
          <w:p>
            <w:pPr>
              <w:pStyle w:val="TableParagraph"/>
              <w:spacing w:line="220" w:lineRule="exact"/>
              <w:ind w:left="68"/>
              <w:jc w:val="center"/>
              <w:rPr>
                <w:rFonts w:ascii="Arial"/>
                <w:b/>
                <w:sz w:val="20"/>
              </w:rPr>
            </w:pPr>
            <w:r>
              <w:rPr>
                <w:rFonts w:ascii="Arial"/>
                <w:b/>
                <w:spacing w:val="-10"/>
                <w:sz w:val="20"/>
              </w:rPr>
              <w:t>F</w:t>
            </w:r>
          </w:p>
        </w:tc>
        <w:tc>
          <w:tcPr>
            <w:tcW w:w="799" w:type="dxa"/>
            <w:tcBorders>
              <w:top w:val="single" w:sz="4" w:space="0" w:color="000000"/>
              <w:bottom w:val="single" w:sz="4" w:space="0" w:color="000000"/>
            </w:tcBorders>
          </w:tcPr>
          <w:p>
            <w:pPr>
              <w:pStyle w:val="TableParagraph"/>
              <w:spacing w:line="220" w:lineRule="exact"/>
              <w:ind w:left="23"/>
              <w:jc w:val="center"/>
              <w:rPr>
                <w:rFonts w:ascii="Arial"/>
                <w:b/>
                <w:sz w:val="20"/>
              </w:rPr>
            </w:pPr>
            <w:r>
              <w:rPr>
                <w:rFonts w:ascii="Arial"/>
                <w:b/>
                <w:spacing w:val="-10"/>
                <w:sz w:val="20"/>
              </w:rPr>
              <w:t>%</w:t>
            </w:r>
          </w:p>
        </w:tc>
        <w:tc>
          <w:tcPr>
            <w:tcW w:w="626" w:type="dxa"/>
            <w:tcBorders>
              <w:top w:val="single" w:sz="4" w:space="0" w:color="000000"/>
              <w:bottom w:val="single" w:sz="4" w:space="0" w:color="000000"/>
            </w:tcBorders>
          </w:tcPr>
          <w:p>
            <w:pPr>
              <w:pStyle w:val="TableParagraph"/>
              <w:spacing w:line="220" w:lineRule="exact"/>
              <w:ind w:left="22" w:right="2"/>
              <w:jc w:val="center"/>
              <w:rPr>
                <w:rFonts w:ascii="Arial"/>
                <w:b/>
                <w:sz w:val="20"/>
              </w:rPr>
            </w:pPr>
            <w:r>
              <w:rPr>
                <w:rFonts w:ascii="Arial"/>
                <w:b/>
                <w:spacing w:val="-10"/>
                <w:sz w:val="20"/>
              </w:rPr>
              <w:t>F</w:t>
            </w:r>
          </w:p>
        </w:tc>
        <w:tc>
          <w:tcPr>
            <w:tcW w:w="729" w:type="dxa"/>
            <w:tcBorders>
              <w:top w:val="single" w:sz="4" w:space="0" w:color="000000"/>
              <w:bottom w:val="single" w:sz="4" w:space="0" w:color="000000"/>
            </w:tcBorders>
          </w:tcPr>
          <w:p>
            <w:pPr>
              <w:pStyle w:val="TableParagraph"/>
              <w:spacing w:line="220" w:lineRule="exact"/>
              <w:ind w:left="91" w:right="6"/>
              <w:jc w:val="center"/>
              <w:rPr>
                <w:rFonts w:ascii="Arial"/>
                <w:b/>
                <w:sz w:val="20"/>
              </w:rPr>
            </w:pPr>
            <w:r>
              <w:rPr>
                <w:rFonts w:ascii="Arial"/>
                <w:b/>
                <w:spacing w:val="-10"/>
                <w:sz w:val="20"/>
              </w:rPr>
              <w:t>%</w:t>
            </w:r>
          </w:p>
        </w:tc>
        <w:tc>
          <w:tcPr>
            <w:tcW w:w="731" w:type="dxa"/>
            <w:tcBorders>
              <w:top w:val="single" w:sz="4" w:space="0" w:color="000000"/>
              <w:bottom w:val="single" w:sz="4" w:space="0" w:color="000000"/>
            </w:tcBorders>
          </w:tcPr>
          <w:p>
            <w:pPr>
              <w:pStyle w:val="TableParagraph"/>
              <w:spacing w:line="220" w:lineRule="exact"/>
              <w:ind w:left="69" w:right="3"/>
              <w:jc w:val="center"/>
              <w:rPr>
                <w:rFonts w:ascii="Arial"/>
                <w:b/>
                <w:sz w:val="20"/>
              </w:rPr>
            </w:pPr>
            <w:r>
              <w:rPr>
                <w:rFonts w:ascii="Arial"/>
                <w:b/>
                <w:spacing w:val="-10"/>
                <w:sz w:val="20"/>
              </w:rPr>
              <w:t>F</w:t>
            </w:r>
          </w:p>
        </w:tc>
        <w:tc>
          <w:tcPr>
            <w:tcW w:w="737" w:type="dxa"/>
            <w:tcBorders>
              <w:top w:val="single" w:sz="4" w:space="0" w:color="000000"/>
              <w:bottom w:val="single" w:sz="4" w:space="0" w:color="000000"/>
              <w:right w:val="single" w:sz="4" w:space="0" w:color="000000"/>
            </w:tcBorders>
          </w:tcPr>
          <w:p>
            <w:pPr>
              <w:pStyle w:val="TableParagraph"/>
              <w:spacing w:line="220" w:lineRule="exact"/>
              <w:ind w:left="58" w:right="16"/>
              <w:jc w:val="center"/>
              <w:rPr>
                <w:rFonts w:ascii="Arial"/>
                <w:b/>
                <w:sz w:val="20"/>
              </w:rPr>
            </w:pPr>
            <w:r>
              <w:rPr>
                <w:rFonts w:ascii="Arial"/>
                <w:b/>
                <w:spacing w:val="-10"/>
                <w:sz w:val="20"/>
              </w:rPr>
              <w:t>%</w:t>
            </w:r>
          </w:p>
        </w:tc>
      </w:tr>
      <w:tr>
        <w:trPr>
          <w:trHeight w:val="227" w:hRule="atLeast"/>
        </w:trPr>
        <w:tc>
          <w:tcPr>
            <w:tcW w:w="4146" w:type="dxa"/>
            <w:tcBorders>
              <w:top w:val="single" w:sz="4" w:space="0" w:color="000000"/>
              <w:left w:val="single" w:sz="4" w:space="0" w:color="000000"/>
            </w:tcBorders>
          </w:tcPr>
          <w:p>
            <w:pPr>
              <w:pStyle w:val="TableParagraph"/>
              <w:tabs>
                <w:tab w:pos="609" w:val="left" w:leader="none"/>
              </w:tabs>
              <w:spacing w:line="208" w:lineRule="exact"/>
              <w:ind w:right="104"/>
              <w:jc w:val="right"/>
              <w:rPr>
                <w:sz w:val="20"/>
              </w:rPr>
            </w:pPr>
            <w:r>
              <w:rPr>
                <w:spacing w:val="-5"/>
                <w:sz w:val="20"/>
              </w:rPr>
              <w:t>63.</w:t>
            </w:r>
            <w:r>
              <w:rPr>
                <w:sz w:val="20"/>
              </w:rPr>
              <w:tab/>
              <w:t>The</w:t>
            </w:r>
            <w:r>
              <w:rPr>
                <w:spacing w:val="32"/>
                <w:sz w:val="20"/>
              </w:rPr>
              <w:t> </w:t>
            </w:r>
            <w:r>
              <w:rPr>
                <w:sz w:val="20"/>
              </w:rPr>
              <w:t>religious</w:t>
            </w:r>
            <w:r>
              <w:rPr>
                <w:spacing w:val="35"/>
                <w:sz w:val="20"/>
              </w:rPr>
              <w:t> </w:t>
            </w:r>
            <w:r>
              <w:rPr>
                <w:sz w:val="20"/>
              </w:rPr>
              <w:t>services</w:t>
            </w:r>
            <w:r>
              <w:rPr>
                <w:spacing w:val="31"/>
                <w:sz w:val="20"/>
              </w:rPr>
              <w:t> </w:t>
            </w:r>
            <w:r>
              <w:rPr>
                <w:sz w:val="20"/>
              </w:rPr>
              <w:t>provided</w:t>
            </w:r>
            <w:r>
              <w:rPr>
                <w:spacing w:val="33"/>
                <w:sz w:val="20"/>
              </w:rPr>
              <w:t> </w:t>
            </w:r>
            <w:r>
              <w:rPr>
                <w:spacing w:val="-5"/>
                <w:sz w:val="20"/>
              </w:rPr>
              <w:t>on</w:t>
            </w:r>
          </w:p>
        </w:tc>
        <w:tc>
          <w:tcPr>
            <w:tcW w:w="1978" w:type="dxa"/>
            <w:tcBorders>
              <w:top w:val="single" w:sz="4" w:space="0" w:color="000000"/>
            </w:tcBorders>
          </w:tcPr>
          <w:p>
            <w:pPr>
              <w:pStyle w:val="TableParagraph"/>
              <w:spacing w:line="208" w:lineRule="exact"/>
              <w:ind w:left="111"/>
              <w:rPr>
                <w:sz w:val="20"/>
              </w:rPr>
            </w:pPr>
            <w:r>
              <w:rPr>
                <w:sz w:val="20"/>
              </w:rPr>
              <w:t>No.</w:t>
            </w:r>
            <w:r>
              <w:rPr>
                <w:spacing w:val="-5"/>
                <w:sz w:val="20"/>
              </w:rPr>
              <w:t> </w:t>
            </w:r>
            <w:r>
              <w:rPr>
                <w:sz w:val="20"/>
              </w:rPr>
              <w:t>of</w:t>
            </w:r>
            <w:r>
              <w:rPr>
                <w:spacing w:val="-2"/>
                <w:sz w:val="20"/>
              </w:rPr>
              <w:t> missing</w:t>
            </w:r>
          </w:p>
        </w:tc>
        <w:tc>
          <w:tcPr>
            <w:tcW w:w="701" w:type="dxa"/>
            <w:tcBorders>
              <w:top w:val="single" w:sz="4" w:space="0" w:color="000000"/>
            </w:tcBorders>
          </w:tcPr>
          <w:p>
            <w:pPr>
              <w:pStyle w:val="TableParagraph"/>
              <w:rPr>
                <w:rFonts w:ascii="Times New Roman"/>
                <w:sz w:val="16"/>
              </w:rPr>
            </w:pPr>
          </w:p>
        </w:tc>
        <w:tc>
          <w:tcPr>
            <w:tcW w:w="748" w:type="dxa"/>
            <w:tcBorders>
              <w:top w:val="single" w:sz="4" w:space="0" w:color="000000"/>
            </w:tcBorders>
          </w:tcPr>
          <w:p>
            <w:pPr>
              <w:pStyle w:val="TableParagraph"/>
              <w:rPr>
                <w:rFonts w:ascii="Times New Roman"/>
                <w:sz w:val="16"/>
              </w:rPr>
            </w:pPr>
          </w:p>
        </w:tc>
        <w:tc>
          <w:tcPr>
            <w:tcW w:w="662" w:type="dxa"/>
            <w:tcBorders>
              <w:top w:val="single" w:sz="4" w:space="0" w:color="000000"/>
            </w:tcBorders>
          </w:tcPr>
          <w:p>
            <w:pPr>
              <w:pStyle w:val="TableParagraph"/>
              <w:rPr>
                <w:rFonts w:ascii="Times New Roman"/>
                <w:sz w:val="16"/>
              </w:rPr>
            </w:pPr>
          </w:p>
        </w:tc>
        <w:tc>
          <w:tcPr>
            <w:tcW w:w="787" w:type="dxa"/>
            <w:tcBorders>
              <w:top w:val="single" w:sz="4" w:space="0" w:color="000000"/>
            </w:tcBorders>
          </w:tcPr>
          <w:p>
            <w:pPr>
              <w:pStyle w:val="TableParagraph"/>
              <w:rPr>
                <w:rFonts w:ascii="Times New Roman"/>
                <w:sz w:val="16"/>
              </w:rPr>
            </w:pPr>
          </w:p>
        </w:tc>
        <w:tc>
          <w:tcPr>
            <w:tcW w:w="571" w:type="dxa"/>
            <w:tcBorders>
              <w:top w:val="single" w:sz="4" w:space="0" w:color="000000"/>
            </w:tcBorders>
          </w:tcPr>
          <w:p>
            <w:pPr>
              <w:pStyle w:val="TableParagraph"/>
              <w:rPr>
                <w:rFonts w:ascii="Times New Roman"/>
                <w:sz w:val="16"/>
              </w:rPr>
            </w:pPr>
          </w:p>
        </w:tc>
        <w:tc>
          <w:tcPr>
            <w:tcW w:w="859" w:type="dxa"/>
            <w:tcBorders>
              <w:top w:val="single" w:sz="4" w:space="0" w:color="000000"/>
            </w:tcBorders>
          </w:tcPr>
          <w:p>
            <w:pPr>
              <w:pStyle w:val="TableParagraph"/>
              <w:rPr>
                <w:rFonts w:ascii="Times New Roman"/>
                <w:sz w:val="16"/>
              </w:rPr>
            </w:pPr>
          </w:p>
        </w:tc>
        <w:tc>
          <w:tcPr>
            <w:tcW w:w="684" w:type="dxa"/>
            <w:tcBorders>
              <w:top w:val="single" w:sz="4" w:space="0" w:color="000000"/>
            </w:tcBorders>
          </w:tcPr>
          <w:p>
            <w:pPr>
              <w:pStyle w:val="TableParagraph"/>
              <w:rPr>
                <w:rFonts w:ascii="Times New Roman"/>
                <w:sz w:val="16"/>
              </w:rPr>
            </w:pPr>
          </w:p>
        </w:tc>
        <w:tc>
          <w:tcPr>
            <w:tcW w:w="799" w:type="dxa"/>
            <w:tcBorders>
              <w:top w:val="single" w:sz="4" w:space="0" w:color="000000"/>
            </w:tcBorders>
          </w:tcPr>
          <w:p>
            <w:pPr>
              <w:pStyle w:val="TableParagraph"/>
              <w:rPr>
                <w:rFonts w:ascii="Times New Roman"/>
                <w:sz w:val="16"/>
              </w:rPr>
            </w:pPr>
          </w:p>
        </w:tc>
        <w:tc>
          <w:tcPr>
            <w:tcW w:w="626" w:type="dxa"/>
            <w:tcBorders>
              <w:top w:val="single" w:sz="4" w:space="0" w:color="000000"/>
            </w:tcBorders>
          </w:tcPr>
          <w:p>
            <w:pPr>
              <w:pStyle w:val="TableParagraph"/>
              <w:rPr>
                <w:rFonts w:ascii="Times New Roman"/>
                <w:sz w:val="16"/>
              </w:rPr>
            </w:pPr>
          </w:p>
        </w:tc>
        <w:tc>
          <w:tcPr>
            <w:tcW w:w="729" w:type="dxa"/>
            <w:tcBorders>
              <w:top w:val="single" w:sz="4" w:space="0" w:color="000000"/>
            </w:tcBorders>
          </w:tcPr>
          <w:p>
            <w:pPr>
              <w:pStyle w:val="TableParagraph"/>
              <w:rPr>
                <w:rFonts w:ascii="Times New Roman"/>
                <w:sz w:val="16"/>
              </w:rPr>
            </w:pPr>
          </w:p>
        </w:tc>
        <w:tc>
          <w:tcPr>
            <w:tcW w:w="731" w:type="dxa"/>
            <w:tcBorders>
              <w:top w:val="single" w:sz="4" w:space="0" w:color="000000"/>
            </w:tcBorders>
          </w:tcPr>
          <w:p>
            <w:pPr>
              <w:pStyle w:val="TableParagraph"/>
              <w:rPr>
                <w:rFonts w:ascii="Times New Roman"/>
                <w:sz w:val="16"/>
              </w:rPr>
            </w:pPr>
          </w:p>
        </w:tc>
        <w:tc>
          <w:tcPr>
            <w:tcW w:w="737" w:type="dxa"/>
            <w:tcBorders>
              <w:top w:val="single" w:sz="4" w:space="0" w:color="000000"/>
              <w:right w:val="single" w:sz="4" w:space="0" w:color="000000"/>
            </w:tcBorders>
          </w:tcPr>
          <w:p>
            <w:pPr>
              <w:pStyle w:val="TableParagraph"/>
              <w:rPr>
                <w:rFonts w:ascii="Times New Roman"/>
                <w:sz w:val="16"/>
              </w:rPr>
            </w:pPr>
          </w:p>
        </w:tc>
      </w:tr>
      <w:tr>
        <w:trPr>
          <w:trHeight w:val="230" w:hRule="atLeast"/>
        </w:trPr>
        <w:tc>
          <w:tcPr>
            <w:tcW w:w="4146" w:type="dxa"/>
            <w:tcBorders>
              <w:left w:val="single" w:sz="4" w:space="0" w:color="000000"/>
            </w:tcBorders>
          </w:tcPr>
          <w:p>
            <w:pPr>
              <w:pStyle w:val="TableParagraph"/>
              <w:tabs>
                <w:tab w:pos="643" w:val="left" w:leader="none"/>
                <w:tab w:pos="1704" w:val="left" w:leader="none"/>
                <w:tab w:pos="2448" w:val="left" w:leader="none"/>
              </w:tabs>
              <w:spacing w:line="210" w:lineRule="exact"/>
              <w:ind w:right="106"/>
              <w:jc w:val="right"/>
              <w:rPr>
                <w:sz w:val="20"/>
              </w:rPr>
            </w:pPr>
            <w:r>
              <w:rPr>
                <w:spacing w:val="-5"/>
                <w:sz w:val="20"/>
              </w:rPr>
              <w:t>the</w:t>
            </w:r>
            <w:r>
              <w:rPr>
                <w:sz w:val="20"/>
              </w:rPr>
              <w:tab/>
            </w:r>
            <w:r>
              <w:rPr>
                <w:spacing w:val="-2"/>
                <w:sz w:val="20"/>
              </w:rPr>
              <w:t>campus</w:t>
            </w:r>
            <w:r>
              <w:rPr>
                <w:sz w:val="20"/>
              </w:rPr>
              <w:tab/>
            </w:r>
            <w:r>
              <w:rPr>
                <w:spacing w:val="-4"/>
                <w:sz w:val="20"/>
              </w:rPr>
              <w:t>help</w:t>
            </w:r>
            <w:r>
              <w:rPr>
                <w:sz w:val="20"/>
              </w:rPr>
              <w:tab/>
            </w:r>
            <w:r>
              <w:rPr>
                <w:spacing w:val="-2"/>
                <w:sz w:val="20"/>
              </w:rPr>
              <w:t>students</w:t>
            </w:r>
          </w:p>
        </w:tc>
        <w:tc>
          <w:tcPr>
            <w:tcW w:w="1978" w:type="dxa"/>
          </w:tcPr>
          <w:p>
            <w:pPr>
              <w:pStyle w:val="TableParagraph"/>
              <w:spacing w:line="210" w:lineRule="exact"/>
              <w:ind w:left="111"/>
              <w:rPr>
                <w:sz w:val="20"/>
              </w:rPr>
            </w:pPr>
            <w:r>
              <w:rPr>
                <w:spacing w:val="-2"/>
                <w:sz w:val="20"/>
              </w:rPr>
              <w:t>observations</w:t>
            </w:r>
          </w:p>
        </w:tc>
        <w:tc>
          <w:tcPr>
            <w:tcW w:w="701" w:type="dxa"/>
          </w:tcPr>
          <w:p>
            <w:pPr>
              <w:pStyle w:val="TableParagraph"/>
              <w:spacing w:line="210" w:lineRule="exact"/>
              <w:ind w:left="27" w:right="7"/>
              <w:jc w:val="center"/>
              <w:rPr>
                <w:sz w:val="20"/>
              </w:rPr>
            </w:pPr>
            <w:r>
              <w:rPr>
                <w:spacing w:val="-10"/>
                <w:sz w:val="20"/>
              </w:rPr>
              <w:t>-</w:t>
            </w:r>
          </w:p>
        </w:tc>
        <w:tc>
          <w:tcPr>
            <w:tcW w:w="748" w:type="dxa"/>
          </w:tcPr>
          <w:p>
            <w:pPr>
              <w:pStyle w:val="TableParagraph"/>
              <w:spacing w:line="210" w:lineRule="exact"/>
              <w:ind w:left="18" w:right="7"/>
              <w:jc w:val="center"/>
              <w:rPr>
                <w:sz w:val="20"/>
              </w:rPr>
            </w:pPr>
            <w:r>
              <w:rPr>
                <w:spacing w:val="-10"/>
                <w:sz w:val="20"/>
              </w:rPr>
              <w:t>-</w:t>
            </w:r>
          </w:p>
        </w:tc>
        <w:tc>
          <w:tcPr>
            <w:tcW w:w="662" w:type="dxa"/>
          </w:tcPr>
          <w:p>
            <w:pPr>
              <w:pStyle w:val="TableParagraph"/>
              <w:spacing w:line="210" w:lineRule="exact"/>
              <w:ind w:left="49" w:right="1"/>
              <w:jc w:val="center"/>
              <w:rPr>
                <w:sz w:val="20"/>
              </w:rPr>
            </w:pPr>
            <w:r>
              <w:rPr>
                <w:spacing w:val="-10"/>
                <w:sz w:val="20"/>
              </w:rPr>
              <w:t>2</w:t>
            </w:r>
          </w:p>
        </w:tc>
        <w:tc>
          <w:tcPr>
            <w:tcW w:w="787" w:type="dxa"/>
          </w:tcPr>
          <w:p>
            <w:pPr>
              <w:pStyle w:val="TableParagraph"/>
              <w:spacing w:line="210" w:lineRule="exact"/>
              <w:ind w:left="39" w:right="5"/>
              <w:jc w:val="center"/>
              <w:rPr>
                <w:sz w:val="20"/>
              </w:rPr>
            </w:pPr>
            <w:r>
              <w:rPr>
                <w:spacing w:val="-2"/>
                <w:sz w:val="20"/>
              </w:rPr>
              <w:t>100.0</w:t>
            </w:r>
          </w:p>
        </w:tc>
        <w:tc>
          <w:tcPr>
            <w:tcW w:w="571" w:type="dxa"/>
          </w:tcPr>
          <w:p>
            <w:pPr>
              <w:pStyle w:val="TableParagraph"/>
              <w:spacing w:line="210" w:lineRule="exact"/>
              <w:ind w:right="283"/>
              <w:jc w:val="right"/>
              <w:rPr>
                <w:sz w:val="20"/>
              </w:rPr>
            </w:pPr>
            <w:r>
              <w:rPr>
                <w:spacing w:val="-10"/>
                <w:sz w:val="20"/>
              </w:rPr>
              <w:t>-</w:t>
            </w:r>
          </w:p>
        </w:tc>
        <w:tc>
          <w:tcPr>
            <w:tcW w:w="859" w:type="dxa"/>
          </w:tcPr>
          <w:p>
            <w:pPr>
              <w:pStyle w:val="TableParagraph"/>
              <w:spacing w:line="210" w:lineRule="exact"/>
              <w:ind w:right="26"/>
              <w:jc w:val="center"/>
              <w:rPr>
                <w:sz w:val="20"/>
              </w:rPr>
            </w:pPr>
            <w:r>
              <w:rPr>
                <w:spacing w:val="-10"/>
                <w:sz w:val="20"/>
              </w:rPr>
              <w:t>-</w:t>
            </w:r>
          </w:p>
        </w:tc>
        <w:tc>
          <w:tcPr>
            <w:tcW w:w="684" w:type="dxa"/>
          </w:tcPr>
          <w:p>
            <w:pPr>
              <w:pStyle w:val="TableParagraph"/>
              <w:spacing w:line="210" w:lineRule="exact"/>
              <w:ind w:left="68" w:right="8"/>
              <w:jc w:val="center"/>
              <w:rPr>
                <w:sz w:val="20"/>
              </w:rPr>
            </w:pPr>
            <w:r>
              <w:rPr>
                <w:spacing w:val="-10"/>
                <w:sz w:val="20"/>
              </w:rPr>
              <w:t>-</w:t>
            </w:r>
          </w:p>
        </w:tc>
        <w:tc>
          <w:tcPr>
            <w:tcW w:w="799" w:type="dxa"/>
          </w:tcPr>
          <w:p>
            <w:pPr>
              <w:pStyle w:val="TableParagraph"/>
              <w:spacing w:line="210" w:lineRule="exact"/>
              <w:ind w:left="23" w:right="6"/>
              <w:jc w:val="center"/>
              <w:rPr>
                <w:sz w:val="20"/>
              </w:rPr>
            </w:pPr>
            <w:r>
              <w:rPr>
                <w:spacing w:val="-10"/>
                <w:sz w:val="20"/>
              </w:rPr>
              <w:t>-</w:t>
            </w:r>
          </w:p>
        </w:tc>
        <w:tc>
          <w:tcPr>
            <w:tcW w:w="626" w:type="dxa"/>
          </w:tcPr>
          <w:p>
            <w:pPr>
              <w:pStyle w:val="TableParagraph"/>
              <w:spacing w:line="210" w:lineRule="exact"/>
              <w:ind w:left="20" w:right="8"/>
              <w:jc w:val="center"/>
              <w:rPr>
                <w:sz w:val="20"/>
              </w:rPr>
            </w:pPr>
            <w:r>
              <w:rPr>
                <w:spacing w:val="-10"/>
                <w:sz w:val="20"/>
              </w:rPr>
              <w:t>-</w:t>
            </w:r>
          </w:p>
        </w:tc>
        <w:tc>
          <w:tcPr>
            <w:tcW w:w="729" w:type="dxa"/>
          </w:tcPr>
          <w:p>
            <w:pPr>
              <w:pStyle w:val="TableParagraph"/>
              <w:spacing w:line="210" w:lineRule="exact"/>
              <w:ind w:left="85" w:right="7"/>
              <w:jc w:val="center"/>
              <w:rPr>
                <w:sz w:val="20"/>
              </w:rPr>
            </w:pPr>
            <w:r>
              <w:rPr>
                <w:spacing w:val="-10"/>
                <w:sz w:val="20"/>
              </w:rPr>
              <w:t>-</w:t>
            </w:r>
          </w:p>
        </w:tc>
        <w:tc>
          <w:tcPr>
            <w:tcW w:w="731" w:type="dxa"/>
          </w:tcPr>
          <w:p>
            <w:pPr>
              <w:pStyle w:val="TableParagraph"/>
              <w:spacing w:line="210" w:lineRule="exact"/>
              <w:ind w:left="145"/>
              <w:rPr>
                <w:sz w:val="20"/>
              </w:rPr>
            </w:pPr>
            <w:r>
              <w:rPr>
                <w:spacing w:val="-10"/>
                <w:sz w:val="20"/>
              </w:rPr>
              <w:t>2</w:t>
            </w:r>
          </w:p>
        </w:tc>
        <w:tc>
          <w:tcPr>
            <w:tcW w:w="737" w:type="dxa"/>
            <w:tcBorders>
              <w:right w:val="single" w:sz="4" w:space="0" w:color="000000"/>
            </w:tcBorders>
          </w:tcPr>
          <w:p>
            <w:pPr>
              <w:pStyle w:val="TableParagraph"/>
              <w:spacing w:line="210" w:lineRule="exact"/>
              <w:ind w:left="58" w:right="21"/>
              <w:jc w:val="center"/>
              <w:rPr>
                <w:sz w:val="20"/>
              </w:rPr>
            </w:pPr>
            <w:r>
              <w:rPr>
                <w:spacing w:val="-5"/>
                <w:sz w:val="20"/>
              </w:rPr>
              <w:t>0.4</w:t>
            </w:r>
          </w:p>
        </w:tc>
      </w:tr>
      <w:tr>
        <w:trPr>
          <w:trHeight w:val="230" w:hRule="atLeast"/>
        </w:trPr>
        <w:tc>
          <w:tcPr>
            <w:tcW w:w="4146" w:type="dxa"/>
            <w:tcBorders>
              <w:left w:val="single" w:sz="4" w:space="0" w:color="000000"/>
            </w:tcBorders>
          </w:tcPr>
          <w:p>
            <w:pPr>
              <w:pStyle w:val="TableParagraph"/>
              <w:spacing w:line="210" w:lineRule="exact"/>
              <w:ind w:right="105"/>
              <w:jc w:val="right"/>
              <w:rPr>
                <w:sz w:val="20"/>
              </w:rPr>
            </w:pPr>
            <w:r>
              <w:rPr>
                <w:sz w:val="20"/>
              </w:rPr>
              <w:t>tremendously</w:t>
            </w:r>
            <w:r>
              <w:rPr>
                <w:spacing w:val="2"/>
                <w:sz w:val="20"/>
              </w:rPr>
              <w:t> </w:t>
            </w:r>
            <w:r>
              <w:rPr>
                <w:sz w:val="20"/>
              </w:rPr>
              <w:t>in</w:t>
            </w:r>
            <w:r>
              <w:rPr>
                <w:spacing w:val="1"/>
                <w:sz w:val="20"/>
              </w:rPr>
              <w:t> </w:t>
            </w:r>
            <w:r>
              <w:rPr>
                <w:sz w:val="20"/>
              </w:rPr>
              <w:t>molding</w:t>
            </w:r>
            <w:r>
              <w:rPr>
                <w:spacing w:val="1"/>
                <w:sz w:val="20"/>
              </w:rPr>
              <w:t> </w:t>
            </w:r>
            <w:r>
              <w:rPr>
                <w:sz w:val="20"/>
              </w:rPr>
              <w:t>their</w:t>
            </w:r>
            <w:r>
              <w:rPr>
                <w:spacing w:val="-1"/>
                <w:sz w:val="20"/>
              </w:rPr>
              <w:t> </w:t>
            </w:r>
            <w:r>
              <w:rPr>
                <w:spacing w:val="-4"/>
                <w:sz w:val="20"/>
              </w:rPr>
              <w:t>moral</w:t>
            </w:r>
          </w:p>
        </w:tc>
        <w:tc>
          <w:tcPr>
            <w:tcW w:w="1978" w:type="dxa"/>
          </w:tcPr>
          <w:p>
            <w:pPr>
              <w:pStyle w:val="TableParagraph"/>
              <w:spacing w:line="210" w:lineRule="exact"/>
              <w:ind w:left="111"/>
              <w:rPr>
                <w:sz w:val="20"/>
              </w:rPr>
            </w:pPr>
            <w:r>
              <w:rPr>
                <w:spacing w:val="-2"/>
                <w:sz w:val="20"/>
              </w:rPr>
              <w:t>Students</w:t>
            </w:r>
          </w:p>
        </w:tc>
        <w:tc>
          <w:tcPr>
            <w:tcW w:w="701" w:type="dxa"/>
          </w:tcPr>
          <w:p>
            <w:pPr>
              <w:pStyle w:val="TableParagraph"/>
              <w:spacing w:line="210" w:lineRule="exact"/>
              <w:ind w:left="27" w:right="10"/>
              <w:jc w:val="center"/>
              <w:rPr>
                <w:sz w:val="20"/>
              </w:rPr>
            </w:pPr>
            <w:r>
              <w:rPr>
                <w:spacing w:val="-5"/>
                <w:sz w:val="20"/>
              </w:rPr>
              <w:t>138</w:t>
            </w:r>
          </w:p>
        </w:tc>
        <w:tc>
          <w:tcPr>
            <w:tcW w:w="748" w:type="dxa"/>
          </w:tcPr>
          <w:p>
            <w:pPr>
              <w:pStyle w:val="TableParagraph"/>
              <w:spacing w:line="210" w:lineRule="exact"/>
              <w:ind w:left="18"/>
              <w:jc w:val="center"/>
              <w:rPr>
                <w:sz w:val="20"/>
              </w:rPr>
            </w:pPr>
            <w:r>
              <w:rPr>
                <w:spacing w:val="-4"/>
                <w:sz w:val="20"/>
              </w:rPr>
              <w:t>58.7</w:t>
            </w:r>
          </w:p>
        </w:tc>
        <w:tc>
          <w:tcPr>
            <w:tcW w:w="662" w:type="dxa"/>
          </w:tcPr>
          <w:p>
            <w:pPr>
              <w:pStyle w:val="TableParagraph"/>
              <w:spacing w:line="210" w:lineRule="exact"/>
              <w:ind w:left="49" w:right="6"/>
              <w:jc w:val="center"/>
              <w:rPr>
                <w:sz w:val="20"/>
              </w:rPr>
            </w:pPr>
            <w:r>
              <w:rPr>
                <w:spacing w:val="-5"/>
                <w:sz w:val="20"/>
              </w:rPr>
              <w:t>80</w:t>
            </w:r>
          </w:p>
        </w:tc>
        <w:tc>
          <w:tcPr>
            <w:tcW w:w="787" w:type="dxa"/>
          </w:tcPr>
          <w:p>
            <w:pPr>
              <w:pStyle w:val="TableParagraph"/>
              <w:spacing w:line="210" w:lineRule="exact"/>
              <w:ind w:left="39"/>
              <w:jc w:val="center"/>
              <w:rPr>
                <w:sz w:val="20"/>
              </w:rPr>
            </w:pPr>
            <w:r>
              <w:rPr>
                <w:spacing w:val="-4"/>
                <w:sz w:val="20"/>
              </w:rPr>
              <w:t>34.0</w:t>
            </w:r>
          </w:p>
        </w:tc>
        <w:tc>
          <w:tcPr>
            <w:tcW w:w="571" w:type="dxa"/>
          </w:tcPr>
          <w:p>
            <w:pPr>
              <w:pStyle w:val="TableParagraph"/>
              <w:spacing w:line="210" w:lineRule="exact"/>
              <w:ind w:right="257"/>
              <w:jc w:val="right"/>
              <w:rPr>
                <w:sz w:val="20"/>
              </w:rPr>
            </w:pPr>
            <w:r>
              <w:rPr>
                <w:spacing w:val="-10"/>
                <w:sz w:val="20"/>
              </w:rPr>
              <w:t>9</w:t>
            </w:r>
          </w:p>
        </w:tc>
        <w:tc>
          <w:tcPr>
            <w:tcW w:w="859" w:type="dxa"/>
          </w:tcPr>
          <w:p>
            <w:pPr>
              <w:pStyle w:val="TableParagraph"/>
              <w:spacing w:line="210" w:lineRule="exact"/>
              <w:ind w:left="1" w:right="26"/>
              <w:jc w:val="center"/>
              <w:rPr>
                <w:sz w:val="20"/>
              </w:rPr>
            </w:pPr>
            <w:r>
              <w:rPr>
                <w:spacing w:val="-5"/>
                <w:sz w:val="20"/>
              </w:rPr>
              <w:t>3.8</w:t>
            </w:r>
          </w:p>
        </w:tc>
        <w:tc>
          <w:tcPr>
            <w:tcW w:w="684" w:type="dxa"/>
          </w:tcPr>
          <w:p>
            <w:pPr>
              <w:pStyle w:val="TableParagraph"/>
              <w:spacing w:line="210" w:lineRule="exact"/>
              <w:ind w:left="68" w:right="2"/>
              <w:jc w:val="center"/>
              <w:rPr>
                <w:sz w:val="20"/>
              </w:rPr>
            </w:pPr>
            <w:r>
              <w:rPr>
                <w:spacing w:val="-10"/>
                <w:sz w:val="20"/>
              </w:rPr>
              <w:t>7</w:t>
            </w:r>
          </w:p>
        </w:tc>
        <w:tc>
          <w:tcPr>
            <w:tcW w:w="799" w:type="dxa"/>
          </w:tcPr>
          <w:p>
            <w:pPr>
              <w:pStyle w:val="TableParagraph"/>
              <w:spacing w:line="210" w:lineRule="exact"/>
              <w:ind w:left="23" w:right="5"/>
              <w:jc w:val="center"/>
              <w:rPr>
                <w:sz w:val="20"/>
              </w:rPr>
            </w:pPr>
            <w:r>
              <w:rPr>
                <w:spacing w:val="-5"/>
                <w:sz w:val="20"/>
              </w:rPr>
              <w:t>3.0</w:t>
            </w:r>
          </w:p>
        </w:tc>
        <w:tc>
          <w:tcPr>
            <w:tcW w:w="626" w:type="dxa"/>
          </w:tcPr>
          <w:p>
            <w:pPr>
              <w:pStyle w:val="TableParagraph"/>
              <w:spacing w:line="210" w:lineRule="exact"/>
              <w:ind w:left="21" w:right="2"/>
              <w:jc w:val="center"/>
              <w:rPr>
                <w:sz w:val="20"/>
              </w:rPr>
            </w:pPr>
            <w:r>
              <w:rPr>
                <w:spacing w:val="-10"/>
                <w:sz w:val="20"/>
              </w:rPr>
              <w:t>1</w:t>
            </w:r>
          </w:p>
        </w:tc>
        <w:tc>
          <w:tcPr>
            <w:tcW w:w="729" w:type="dxa"/>
          </w:tcPr>
          <w:p>
            <w:pPr>
              <w:pStyle w:val="TableParagraph"/>
              <w:spacing w:line="210" w:lineRule="exact"/>
              <w:ind w:left="86" w:right="6"/>
              <w:jc w:val="center"/>
              <w:rPr>
                <w:sz w:val="20"/>
              </w:rPr>
            </w:pPr>
            <w:r>
              <w:rPr>
                <w:spacing w:val="-5"/>
                <w:sz w:val="20"/>
              </w:rPr>
              <w:t>0.4</w:t>
            </w:r>
          </w:p>
        </w:tc>
        <w:tc>
          <w:tcPr>
            <w:tcW w:w="731" w:type="dxa"/>
          </w:tcPr>
          <w:p>
            <w:pPr>
              <w:pStyle w:val="TableParagraph"/>
              <w:spacing w:line="210" w:lineRule="exact"/>
              <w:ind w:right="168"/>
              <w:jc w:val="right"/>
              <w:rPr>
                <w:sz w:val="20"/>
              </w:rPr>
            </w:pPr>
            <w:r>
              <w:rPr>
                <w:spacing w:val="-5"/>
                <w:sz w:val="20"/>
              </w:rPr>
              <w:t>235</w:t>
            </w:r>
          </w:p>
        </w:tc>
        <w:tc>
          <w:tcPr>
            <w:tcW w:w="737" w:type="dxa"/>
            <w:tcBorders>
              <w:right w:val="single" w:sz="4" w:space="0" w:color="000000"/>
            </w:tcBorders>
          </w:tcPr>
          <w:p>
            <w:pPr>
              <w:pStyle w:val="TableParagraph"/>
              <w:spacing w:line="210" w:lineRule="exact"/>
              <w:ind w:left="58" w:right="16"/>
              <w:jc w:val="center"/>
              <w:rPr>
                <w:sz w:val="20"/>
              </w:rPr>
            </w:pPr>
            <w:r>
              <w:rPr>
                <w:spacing w:val="-4"/>
                <w:sz w:val="20"/>
              </w:rPr>
              <w:t>50.8</w:t>
            </w:r>
          </w:p>
        </w:tc>
      </w:tr>
      <w:tr>
        <w:trPr>
          <w:trHeight w:val="244" w:hRule="atLeast"/>
        </w:trPr>
        <w:tc>
          <w:tcPr>
            <w:tcW w:w="4146" w:type="dxa"/>
            <w:tcBorders>
              <w:left w:val="single" w:sz="4" w:space="0" w:color="000000"/>
            </w:tcBorders>
          </w:tcPr>
          <w:p>
            <w:pPr>
              <w:pStyle w:val="TableParagraph"/>
              <w:spacing w:line="225" w:lineRule="exact"/>
              <w:ind w:left="830"/>
              <w:rPr>
                <w:sz w:val="20"/>
              </w:rPr>
            </w:pPr>
            <w:r>
              <w:rPr>
                <w:sz w:val="20"/>
              </w:rPr>
              <w:t>and</w:t>
            </w:r>
            <w:r>
              <w:rPr>
                <w:spacing w:val="-5"/>
                <w:sz w:val="20"/>
              </w:rPr>
              <w:t> </w:t>
            </w:r>
            <w:r>
              <w:rPr>
                <w:sz w:val="20"/>
              </w:rPr>
              <w:t>spiritual</w:t>
            </w:r>
            <w:r>
              <w:rPr>
                <w:spacing w:val="-4"/>
                <w:sz w:val="20"/>
              </w:rPr>
              <w:t> </w:t>
            </w:r>
            <w:r>
              <w:rPr>
                <w:spacing w:val="-2"/>
                <w:sz w:val="20"/>
              </w:rPr>
              <w:t>character.</w:t>
            </w:r>
          </w:p>
        </w:tc>
        <w:tc>
          <w:tcPr>
            <w:tcW w:w="1978" w:type="dxa"/>
          </w:tcPr>
          <w:p>
            <w:pPr>
              <w:pStyle w:val="TableParagraph"/>
              <w:spacing w:line="225" w:lineRule="exact"/>
              <w:ind w:left="111"/>
              <w:rPr>
                <w:sz w:val="20"/>
              </w:rPr>
            </w:pPr>
            <w:r>
              <w:rPr>
                <w:sz w:val="20"/>
              </w:rPr>
              <w:t>Service</w:t>
            </w:r>
            <w:r>
              <w:rPr>
                <w:spacing w:val="-9"/>
                <w:sz w:val="20"/>
              </w:rPr>
              <w:t> </w:t>
            </w:r>
            <w:r>
              <w:rPr>
                <w:spacing w:val="-2"/>
                <w:sz w:val="20"/>
              </w:rPr>
              <w:t>Staff</w:t>
            </w:r>
          </w:p>
        </w:tc>
        <w:tc>
          <w:tcPr>
            <w:tcW w:w="701" w:type="dxa"/>
          </w:tcPr>
          <w:p>
            <w:pPr>
              <w:pStyle w:val="TableParagraph"/>
              <w:spacing w:line="225" w:lineRule="exact"/>
              <w:ind w:left="27" w:right="10"/>
              <w:jc w:val="center"/>
              <w:rPr>
                <w:sz w:val="20"/>
              </w:rPr>
            </w:pPr>
            <w:r>
              <w:rPr>
                <w:spacing w:val="-5"/>
                <w:sz w:val="20"/>
              </w:rPr>
              <w:t>104</w:t>
            </w:r>
          </w:p>
        </w:tc>
        <w:tc>
          <w:tcPr>
            <w:tcW w:w="748" w:type="dxa"/>
          </w:tcPr>
          <w:p>
            <w:pPr>
              <w:pStyle w:val="TableParagraph"/>
              <w:spacing w:line="225" w:lineRule="exact"/>
              <w:ind w:left="18"/>
              <w:jc w:val="center"/>
              <w:rPr>
                <w:sz w:val="20"/>
              </w:rPr>
            </w:pPr>
            <w:r>
              <w:rPr>
                <w:spacing w:val="-4"/>
                <w:sz w:val="20"/>
              </w:rPr>
              <w:t>51.2</w:t>
            </w:r>
          </w:p>
        </w:tc>
        <w:tc>
          <w:tcPr>
            <w:tcW w:w="662" w:type="dxa"/>
          </w:tcPr>
          <w:p>
            <w:pPr>
              <w:pStyle w:val="TableParagraph"/>
              <w:spacing w:line="225" w:lineRule="exact"/>
              <w:ind w:left="49" w:right="6"/>
              <w:jc w:val="center"/>
              <w:rPr>
                <w:sz w:val="20"/>
              </w:rPr>
            </w:pPr>
            <w:r>
              <w:rPr>
                <w:spacing w:val="-5"/>
                <w:sz w:val="20"/>
              </w:rPr>
              <w:t>84</w:t>
            </w:r>
          </w:p>
        </w:tc>
        <w:tc>
          <w:tcPr>
            <w:tcW w:w="787" w:type="dxa"/>
          </w:tcPr>
          <w:p>
            <w:pPr>
              <w:pStyle w:val="TableParagraph"/>
              <w:spacing w:line="225" w:lineRule="exact"/>
              <w:ind w:left="39"/>
              <w:jc w:val="center"/>
              <w:rPr>
                <w:sz w:val="20"/>
              </w:rPr>
            </w:pPr>
            <w:r>
              <w:rPr>
                <w:spacing w:val="-4"/>
                <w:sz w:val="20"/>
              </w:rPr>
              <w:t>41.4</w:t>
            </w:r>
          </w:p>
        </w:tc>
        <w:tc>
          <w:tcPr>
            <w:tcW w:w="571" w:type="dxa"/>
          </w:tcPr>
          <w:p>
            <w:pPr>
              <w:pStyle w:val="TableParagraph"/>
              <w:spacing w:line="225" w:lineRule="exact"/>
              <w:ind w:right="204"/>
              <w:jc w:val="right"/>
              <w:rPr>
                <w:sz w:val="20"/>
              </w:rPr>
            </w:pPr>
            <w:r>
              <w:rPr>
                <w:spacing w:val="-5"/>
                <w:sz w:val="20"/>
              </w:rPr>
              <w:t>11</w:t>
            </w:r>
          </w:p>
        </w:tc>
        <w:tc>
          <w:tcPr>
            <w:tcW w:w="859" w:type="dxa"/>
          </w:tcPr>
          <w:p>
            <w:pPr>
              <w:pStyle w:val="TableParagraph"/>
              <w:spacing w:line="225" w:lineRule="exact"/>
              <w:ind w:left="1" w:right="26"/>
              <w:jc w:val="center"/>
              <w:rPr>
                <w:sz w:val="20"/>
              </w:rPr>
            </w:pPr>
            <w:r>
              <w:rPr>
                <w:spacing w:val="-5"/>
                <w:sz w:val="20"/>
              </w:rPr>
              <w:t>5.4</w:t>
            </w:r>
          </w:p>
        </w:tc>
        <w:tc>
          <w:tcPr>
            <w:tcW w:w="684" w:type="dxa"/>
          </w:tcPr>
          <w:p>
            <w:pPr>
              <w:pStyle w:val="TableParagraph"/>
              <w:spacing w:line="225" w:lineRule="exact"/>
              <w:ind w:left="68" w:right="2"/>
              <w:jc w:val="center"/>
              <w:rPr>
                <w:sz w:val="20"/>
              </w:rPr>
            </w:pPr>
            <w:r>
              <w:rPr>
                <w:spacing w:val="-10"/>
                <w:sz w:val="20"/>
              </w:rPr>
              <w:t>4</w:t>
            </w:r>
          </w:p>
        </w:tc>
        <w:tc>
          <w:tcPr>
            <w:tcW w:w="799" w:type="dxa"/>
          </w:tcPr>
          <w:p>
            <w:pPr>
              <w:pStyle w:val="TableParagraph"/>
              <w:spacing w:line="225" w:lineRule="exact"/>
              <w:ind w:left="23" w:right="5"/>
              <w:jc w:val="center"/>
              <w:rPr>
                <w:sz w:val="20"/>
              </w:rPr>
            </w:pPr>
            <w:r>
              <w:rPr>
                <w:spacing w:val="-5"/>
                <w:sz w:val="20"/>
              </w:rPr>
              <w:t>2.0</w:t>
            </w:r>
          </w:p>
        </w:tc>
        <w:tc>
          <w:tcPr>
            <w:tcW w:w="626" w:type="dxa"/>
          </w:tcPr>
          <w:p>
            <w:pPr>
              <w:pStyle w:val="TableParagraph"/>
              <w:spacing w:line="225" w:lineRule="exact"/>
              <w:ind w:left="20" w:right="8"/>
              <w:jc w:val="center"/>
              <w:rPr>
                <w:sz w:val="20"/>
              </w:rPr>
            </w:pPr>
            <w:r>
              <w:rPr>
                <w:spacing w:val="-10"/>
                <w:sz w:val="20"/>
              </w:rPr>
              <w:t>-</w:t>
            </w:r>
          </w:p>
        </w:tc>
        <w:tc>
          <w:tcPr>
            <w:tcW w:w="729" w:type="dxa"/>
          </w:tcPr>
          <w:p>
            <w:pPr>
              <w:pStyle w:val="TableParagraph"/>
              <w:spacing w:line="225" w:lineRule="exact"/>
              <w:ind w:left="85" w:right="7"/>
              <w:jc w:val="center"/>
              <w:rPr>
                <w:sz w:val="20"/>
              </w:rPr>
            </w:pPr>
            <w:r>
              <w:rPr>
                <w:spacing w:val="-10"/>
                <w:sz w:val="20"/>
              </w:rPr>
              <w:t>-</w:t>
            </w:r>
          </w:p>
        </w:tc>
        <w:tc>
          <w:tcPr>
            <w:tcW w:w="731" w:type="dxa"/>
          </w:tcPr>
          <w:p>
            <w:pPr>
              <w:pStyle w:val="TableParagraph"/>
              <w:spacing w:line="225" w:lineRule="exact"/>
              <w:ind w:right="168"/>
              <w:jc w:val="right"/>
              <w:rPr>
                <w:sz w:val="20"/>
              </w:rPr>
            </w:pPr>
            <w:r>
              <w:rPr>
                <w:spacing w:val="-5"/>
                <w:sz w:val="20"/>
              </w:rPr>
              <w:t>203</w:t>
            </w:r>
          </w:p>
        </w:tc>
        <w:tc>
          <w:tcPr>
            <w:tcW w:w="737" w:type="dxa"/>
            <w:tcBorders>
              <w:right w:val="single" w:sz="4" w:space="0" w:color="000000"/>
            </w:tcBorders>
          </w:tcPr>
          <w:p>
            <w:pPr>
              <w:pStyle w:val="TableParagraph"/>
              <w:spacing w:line="225" w:lineRule="exact"/>
              <w:ind w:left="58" w:right="16"/>
              <w:jc w:val="center"/>
              <w:rPr>
                <w:sz w:val="20"/>
              </w:rPr>
            </w:pPr>
            <w:r>
              <w:rPr>
                <w:spacing w:val="-4"/>
                <w:sz w:val="20"/>
              </w:rPr>
              <w:t>43.8</w:t>
            </w:r>
          </w:p>
        </w:tc>
      </w:tr>
      <w:tr>
        <w:trPr>
          <w:trHeight w:val="268" w:hRule="atLeast"/>
        </w:trPr>
        <w:tc>
          <w:tcPr>
            <w:tcW w:w="4146" w:type="dxa"/>
            <w:tcBorders>
              <w:left w:val="single" w:sz="4" w:space="0" w:color="000000"/>
            </w:tcBorders>
          </w:tcPr>
          <w:p>
            <w:pPr>
              <w:pStyle w:val="TableParagraph"/>
              <w:rPr>
                <w:rFonts w:ascii="Times New Roman"/>
                <w:sz w:val="18"/>
              </w:rPr>
            </w:pPr>
          </w:p>
        </w:tc>
        <w:tc>
          <w:tcPr>
            <w:tcW w:w="1978" w:type="dxa"/>
          </w:tcPr>
          <w:p>
            <w:pPr>
              <w:pStyle w:val="TableParagraph"/>
              <w:spacing w:before="12"/>
              <w:ind w:left="111"/>
              <w:rPr>
                <w:sz w:val="20"/>
              </w:rPr>
            </w:pPr>
            <w:r>
              <w:rPr>
                <w:sz w:val="20"/>
              </w:rPr>
              <w:t>Top</w:t>
            </w:r>
            <w:r>
              <w:rPr>
                <w:spacing w:val="-1"/>
                <w:sz w:val="20"/>
              </w:rPr>
              <w:t> </w:t>
            </w:r>
            <w:r>
              <w:rPr>
                <w:spacing w:val="-2"/>
                <w:sz w:val="20"/>
              </w:rPr>
              <w:t>Management</w:t>
            </w:r>
          </w:p>
        </w:tc>
        <w:tc>
          <w:tcPr>
            <w:tcW w:w="701" w:type="dxa"/>
          </w:tcPr>
          <w:p>
            <w:pPr>
              <w:pStyle w:val="TableParagraph"/>
              <w:spacing w:before="12"/>
              <w:ind w:left="27" w:right="5"/>
              <w:jc w:val="center"/>
              <w:rPr>
                <w:sz w:val="20"/>
              </w:rPr>
            </w:pPr>
            <w:r>
              <w:rPr>
                <w:spacing w:val="-5"/>
                <w:sz w:val="20"/>
              </w:rPr>
              <w:t>11</w:t>
            </w:r>
          </w:p>
        </w:tc>
        <w:tc>
          <w:tcPr>
            <w:tcW w:w="748" w:type="dxa"/>
          </w:tcPr>
          <w:p>
            <w:pPr>
              <w:pStyle w:val="TableParagraph"/>
              <w:spacing w:before="12"/>
              <w:ind w:left="18"/>
              <w:jc w:val="center"/>
              <w:rPr>
                <w:sz w:val="20"/>
              </w:rPr>
            </w:pPr>
            <w:r>
              <w:rPr>
                <w:spacing w:val="-4"/>
                <w:sz w:val="20"/>
              </w:rPr>
              <w:t>47.8</w:t>
            </w:r>
          </w:p>
        </w:tc>
        <w:tc>
          <w:tcPr>
            <w:tcW w:w="662" w:type="dxa"/>
          </w:tcPr>
          <w:p>
            <w:pPr>
              <w:pStyle w:val="TableParagraph"/>
              <w:spacing w:before="12"/>
              <w:ind w:left="49" w:right="6"/>
              <w:jc w:val="center"/>
              <w:rPr>
                <w:sz w:val="20"/>
              </w:rPr>
            </w:pPr>
            <w:r>
              <w:rPr>
                <w:spacing w:val="-5"/>
                <w:sz w:val="20"/>
              </w:rPr>
              <w:t>12</w:t>
            </w:r>
          </w:p>
        </w:tc>
        <w:tc>
          <w:tcPr>
            <w:tcW w:w="787" w:type="dxa"/>
          </w:tcPr>
          <w:p>
            <w:pPr>
              <w:pStyle w:val="TableParagraph"/>
              <w:spacing w:before="12"/>
              <w:ind w:left="39"/>
              <w:jc w:val="center"/>
              <w:rPr>
                <w:sz w:val="20"/>
              </w:rPr>
            </w:pPr>
            <w:r>
              <w:rPr>
                <w:spacing w:val="-4"/>
                <w:sz w:val="20"/>
              </w:rPr>
              <w:t>52.2</w:t>
            </w:r>
          </w:p>
        </w:tc>
        <w:tc>
          <w:tcPr>
            <w:tcW w:w="571" w:type="dxa"/>
          </w:tcPr>
          <w:p>
            <w:pPr>
              <w:pStyle w:val="TableParagraph"/>
              <w:spacing w:before="12"/>
              <w:ind w:right="283"/>
              <w:jc w:val="right"/>
              <w:rPr>
                <w:sz w:val="20"/>
              </w:rPr>
            </w:pPr>
            <w:r>
              <w:rPr>
                <w:spacing w:val="-10"/>
                <w:sz w:val="20"/>
              </w:rPr>
              <w:t>-</w:t>
            </w:r>
          </w:p>
        </w:tc>
        <w:tc>
          <w:tcPr>
            <w:tcW w:w="859" w:type="dxa"/>
          </w:tcPr>
          <w:p>
            <w:pPr>
              <w:pStyle w:val="TableParagraph"/>
              <w:spacing w:before="12"/>
              <w:ind w:right="26"/>
              <w:jc w:val="center"/>
              <w:rPr>
                <w:sz w:val="20"/>
              </w:rPr>
            </w:pPr>
            <w:r>
              <w:rPr>
                <w:spacing w:val="-10"/>
                <w:sz w:val="20"/>
              </w:rPr>
              <w:t>-</w:t>
            </w:r>
          </w:p>
        </w:tc>
        <w:tc>
          <w:tcPr>
            <w:tcW w:w="684" w:type="dxa"/>
          </w:tcPr>
          <w:p>
            <w:pPr>
              <w:pStyle w:val="TableParagraph"/>
              <w:spacing w:before="12"/>
              <w:ind w:left="68" w:right="8"/>
              <w:jc w:val="center"/>
              <w:rPr>
                <w:sz w:val="20"/>
              </w:rPr>
            </w:pPr>
            <w:r>
              <w:rPr>
                <w:spacing w:val="-10"/>
                <w:sz w:val="20"/>
              </w:rPr>
              <w:t>-</w:t>
            </w:r>
          </w:p>
        </w:tc>
        <w:tc>
          <w:tcPr>
            <w:tcW w:w="799" w:type="dxa"/>
          </w:tcPr>
          <w:p>
            <w:pPr>
              <w:pStyle w:val="TableParagraph"/>
              <w:spacing w:before="12"/>
              <w:ind w:left="23" w:right="6"/>
              <w:jc w:val="center"/>
              <w:rPr>
                <w:sz w:val="20"/>
              </w:rPr>
            </w:pPr>
            <w:r>
              <w:rPr>
                <w:spacing w:val="-10"/>
                <w:sz w:val="20"/>
              </w:rPr>
              <w:t>-</w:t>
            </w:r>
          </w:p>
        </w:tc>
        <w:tc>
          <w:tcPr>
            <w:tcW w:w="626" w:type="dxa"/>
          </w:tcPr>
          <w:p>
            <w:pPr>
              <w:pStyle w:val="TableParagraph"/>
              <w:spacing w:before="12"/>
              <w:ind w:left="20" w:right="8"/>
              <w:jc w:val="center"/>
              <w:rPr>
                <w:sz w:val="20"/>
              </w:rPr>
            </w:pPr>
            <w:r>
              <w:rPr>
                <w:spacing w:val="-10"/>
                <w:sz w:val="20"/>
              </w:rPr>
              <w:t>-</w:t>
            </w:r>
          </w:p>
        </w:tc>
        <w:tc>
          <w:tcPr>
            <w:tcW w:w="729" w:type="dxa"/>
          </w:tcPr>
          <w:p>
            <w:pPr>
              <w:pStyle w:val="TableParagraph"/>
              <w:spacing w:before="12"/>
              <w:ind w:left="85" w:right="7"/>
              <w:jc w:val="center"/>
              <w:rPr>
                <w:sz w:val="20"/>
              </w:rPr>
            </w:pPr>
            <w:r>
              <w:rPr>
                <w:spacing w:val="-10"/>
                <w:sz w:val="20"/>
              </w:rPr>
              <w:t>-</w:t>
            </w:r>
          </w:p>
        </w:tc>
        <w:tc>
          <w:tcPr>
            <w:tcW w:w="731" w:type="dxa"/>
          </w:tcPr>
          <w:p>
            <w:pPr>
              <w:pStyle w:val="TableParagraph"/>
              <w:spacing w:before="12"/>
              <w:ind w:right="221"/>
              <w:jc w:val="right"/>
              <w:rPr>
                <w:sz w:val="20"/>
              </w:rPr>
            </w:pPr>
            <w:r>
              <w:rPr>
                <w:spacing w:val="-5"/>
                <w:sz w:val="20"/>
              </w:rPr>
              <w:t>23</w:t>
            </w:r>
          </w:p>
        </w:tc>
        <w:tc>
          <w:tcPr>
            <w:tcW w:w="737" w:type="dxa"/>
            <w:tcBorders>
              <w:right w:val="single" w:sz="4" w:space="0" w:color="000000"/>
            </w:tcBorders>
          </w:tcPr>
          <w:p>
            <w:pPr>
              <w:pStyle w:val="TableParagraph"/>
              <w:spacing w:before="12"/>
              <w:ind w:left="58" w:right="21"/>
              <w:jc w:val="center"/>
              <w:rPr>
                <w:sz w:val="20"/>
              </w:rPr>
            </w:pPr>
            <w:r>
              <w:rPr>
                <w:spacing w:val="-5"/>
                <w:sz w:val="20"/>
              </w:rPr>
              <w:t>5.0</w:t>
            </w:r>
          </w:p>
        </w:tc>
      </w:tr>
      <w:tr>
        <w:trPr>
          <w:trHeight w:val="254" w:hRule="atLeast"/>
        </w:trPr>
        <w:tc>
          <w:tcPr>
            <w:tcW w:w="4146" w:type="dxa"/>
            <w:tcBorders>
              <w:left w:val="single" w:sz="4" w:space="0" w:color="000000"/>
            </w:tcBorders>
          </w:tcPr>
          <w:p>
            <w:pPr>
              <w:pStyle w:val="TableParagraph"/>
              <w:tabs>
                <w:tab w:pos="609" w:val="left" w:leader="none"/>
              </w:tabs>
              <w:spacing w:line="213" w:lineRule="exact" w:before="21"/>
              <w:ind w:right="109"/>
              <w:jc w:val="right"/>
              <w:rPr>
                <w:sz w:val="20"/>
              </w:rPr>
            </w:pPr>
            <w:r>
              <w:rPr>
                <w:spacing w:val="-5"/>
                <w:sz w:val="20"/>
              </w:rPr>
              <w:t>64.</w:t>
            </w:r>
            <w:r>
              <w:rPr>
                <w:sz w:val="20"/>
              </w:rPr>
              <w:tab/>
              <w:t>The</w:t>
            </w:r>
            <w:r>
              <w:rPr>
                <w:spacing w:val="77"/>
                <w:w w:val="150"/>
                <w:sz w:val="20"/>
              </w:rPr>
              <w:t> </w:t>
            </w:r>
            <w:r>
              <w:rPr>
                <w:sz w:val="20"/>
              </w:rPr>
              <w:t>mosques</w:t>
            </w:r>
            <w:r>
              <w:rPr>
                <w:spacing w:val="78"/>
                <w:w w:val="150"/>
                <w:sz w:val="20"/>
              </w:rPr>
              <w:t> </w:t>
            </w:r>
            <w:r>
              <w:rPr>
                <w:sz w:val="20"/>
              </w:rPr>
              <w:t>and</w:t>
            </w:r>
            <w:r>
              <w:rPr>
                <w:spacing w:val="27"/>
                <w:sz w:val="20"/>
              </w:rPr>
              <w:t>  </w:t>
            </w:r>
            <w:r>
              <w:rPr>
                <w:sz w:val="20"/>
              </w:rPr>
              <w:t>churches</w:t>
            </w:r>
            <w:r>
              <w:rPr>
                <w:spacing w:val="74"/>
                <w:w w:val="150"/>
                <w:sz w:val="20"/>
              </w:rPr>
              <w:t> </w:t>
            </w:r>
            <w:r>
              <w:rPr>
                <w:spacing w:val="-5"/>
                <w:sz w:val="20"/>
              </w:rPr>
              <w:t>on</w:t>
            </w:r>
          </w:p>
        </w:tc>
        <w:tc>
          <w:tcPr>
            <w:tcW w:w="1978" w:type="dxa"/>
          </w:tcPr>
          <w:p>
            <w:pPr>
              <w:pStyle w:val="TableParagraph"/>
              <w:spacing w:line="213" w:lineRule="exact" w:before="21"/>
              <w:ind w:left="111"/>
              <w:rPr>
                <w:sz w:val="20"/>
              </w:rPr>
            </w:pPr>
            <w:r>
              <w:rPr>
                <w:sz w:val="20"/>
              </w:rPr>
              <w:t>No.</w:t>
            </w:r>
            <w:r>
              <w:rPr>
                <w:spacing w:val="-5"/>
                <w:sz w:val="20"/>
              </w:rPr>
              <w:t> </w:t>
            </w:r>
            <w:r>
              <w:rPr>
                <w:sz w:val="20"/>
              </w:rPr>
              <w:t>of</w:t>
            </w:r>
            <w:r>
              <w:rPr>
                <w:spacing w:val="-2"/>
                <w:sz w:val="20"/>
              </w:rPr>
              <w:t> missing</w:t>
            </w:r>
          </w:p>
        </w:tc>
        <w:tc>
          <w:tcPr>
            <w:tcW w:w="701" w:type="dxa"/>
          </w:tcPr>
          <w:p>
            <w:pPr>
              <w:pStyle w:val="TableParagraph"/>
              <w:rPr>
                <w:rFonts w:ascii="Times New Roman"/>
                <w:sz w:val="18"/>
              </w:rPr>
            </w:pPr>
          </w:p>
        </w:tc>
        <w:tc>
          <w:tcPr>
            <w:tcW w:w="748" w:type="dxa"/>
          </w:tcPr>
          <w:p>
            <w:pPr>
              <w:pStyle w:val="TableParagraph"/>
              <w:rPr>
                <w:rFonts w:ascii="Times New Roman"/>
                <w:sz w:val="18"/>
              </w:rPr>
            </w:pPr>
          </w:p>
        </w:tc>
        <w:tc>
          <w:tcPr>
            <w:tcW w:w="662" w:type="dxa"/>
          </w:tcPr>
          <w:p>
            <w:pPr>
              <w:pStyle w:val="TableParagraph"/>
              <w:rPr>
                <w:rFonts w:ascii="Times New Roman"/>
                <w:sz w:val="18"/>
              </w:rPr>
            </w:pPr>
          </w:p>
        </w:tc>
        <w:tc>
          <w:tcPr>
            <w:tcW w:w="787" w:type="dxa"/>
          </w:tcPr>
          <w:p>
            <w:pPr>
              <w:pStyle w:val="TableParagraph"/>
              <w:rPr>
                <w:rFonts w:ascii="Times New Roman"/>
                <w:sz w:val="18"/>
              </w:rPr>
            </w:pPr>
          </w:p>
        </w:tc>
        <w:tc>
          <w:tcPr>
            <w:tcW w:w="571" w:type="dxa"/>
          </w:tcPr>
          <w:p>
            <w:pPr>
              <w:pStyle w:val="TableParagraph"/>
              <w:rPr>
                <w:rFonts w:ascii="Times New Roman"/>
                <w:sz w:val="18"/>
              </w:rPr>
            </w:pPr>
          </w:p>
        </w:tc>
        <w:tc>
          <w:tcPr>
            <w:tcW w:w="859" w:type="dxa"/>
          </w:tcPr>
          <w:p>
            <w:pPr>
              <w:pStyle w:val="TableParagraph"/>
              <w:rPr>
                <w:rFonts w:ascii="Times New Roman"/>
                <w:sz w:val="18"/>
              </w:rPr>
            </w:pPr>
          </w:p>
        </w:tc>
        <w:tc>
          <w:tcPr>
            <w:tcW w:w="684" w:type="dxa"/>
          </w:tcPr>
          <w:p>
            <w:pPr>
              <w:pStyle w:val="TableParagraph"/>
              <w:rPr>
                <w:rFonts w:ascii="Times New Roman"/>
                <w:sz w:val="18"/>
              </w:rPr>
            </w:pPr>
          </w:p>
        </w:tc>
        <w:tc>
          <w:tcPr>
            <w:tcW w:w="799" w:type="dxa"/>
          </w:tcPr>
          <w:p>
            <w:pPr>
              <w:pStyle w:val="TableParagraph"/>
              <w:rPr>
                <w:rFonts w:ascii="Times New Roman"/>
                <w:sz w:val="18"/>
              </w:rPr>
            </w:pPr>
          </w:p>
        </w:tc>
        <w:tc>
          <w:tcPr>
            <w:tcW w:w="626" w:type="dxa"/>
          </w:tcPr>
          <w:p>
            <w:pPr>
              <w:pStyle w:val="TableParagraph"/>
              <w:rPr>
                <w:rFonts w:ascii="Times New Roman"/>
                <w:sz w:val="18"/>
              </w:rPr>
            </w:pPr>
          </w:p>
        </w:tc>
        <w:tc>
          <w:tcPr>
            <w:tcW w:w="729" w:type="dxa"/>
          </w:tcPr>
          <w:p>
            <w:pPr>
              <w:pStyle w:val="TableParagraph"/>
              <w:rPr>
                <w:rFonts w:ascii="Times New Roman"/>
                <w:sz w:val="18"/>
              </w:rPr>
            </w:pPr>
          </w:p>
        </w:tc>
        <w:tc>
          <w:tcPr>
            <w:tcW w:w="731" w:type="dxa"/>
          </w:tcPr>
          <w:p>
            <w:pPr>
              <w:pStyle w:val="TableParagraph"/>
              <w:rPr>
                <w:rFonts w:ascii="Times New Roman"/>
                <w:sz w:val="18"/>
              </w:rPr>
            </w:pPr>
          </w:p>
        </w:tc>
        <w:tc>
          <w:tcPr>
            <w:tcW w:w="737" w:type="dxa"/>
            <w:tcBorders>
              <w:right w:val="single" w:sz="4" w:space="0" w:color="000000"/>
            </w:tcBorders>
          </w:tcPr>
          <w:p>
            <w:pPr>
              <w:pStyle w:val="TableParagraph"/>
              <w:rPr>
                <w:rFonts w:ascii="Times New Roman"/>
                <w:sz w:val="18"/>
              </w:rPr>
            </w:pPr>
          </w:p>
        </w:tc>
      </w:tr>
      <w:tr>
        <w:trPr>
          <w:trHeight w:val="230" w:hRule="atLeast"/>
        </w:trPr>
        <w:tc>
          <w:tcPr>
            <w:tcW w:w="4146" w:type="dxa"/>
            <w:tcBorders>
              <w:left w:val="single" w:sz="4" w:space="0" w:color="000000"/>
            </w:tcBorders>
          </w:tcPr>
          <w:p>
            <w:pPr>
              <w:pStyle w:val="TableParagraph"/>
              <w:spacing w:line="210" w:lineRule="exact"/>
              <w:ind w:right="105"/>
              <w:jc w:val="right"/>
              <w:rPr>
                <w:sz w:val="20"/>
              </w:rPr>
            </w:pPr>
            <w:r>
              <w:rPr>
                <w:sz w:val="20"/>
              </w:rPr>
              <w:t>campuses</w:t>
            </w:r>
            <w:r>
              <w:rPr>
                <w:spacing w:val="14"/>
                <w:sz w:val="20"/>
              </w:rPr>
              <w:t> </w:t>
            </w:r>
            <w:r>
              <w:rPr>
                <w:sz w:val="20"/>
              </w:rPr>
              <w:t>are</w:t>
            </w:r>
            <w:r>
              <w:rPr>
                <w:spacing w:val="18"/>
                <w:sz w:val="20"/>
              </w:rPr>
              <w:t> </w:t>
            </w:r>
            <w:r>
              <w:rPr>
                <w:sz w:val="20"/>
              </w:rPr>
              <w:t>adequate</w:t>
            </w:r>
            <w:r>
              <w:rPr>
                <w:spacing w:val="17"/>
                <w:sz w:val="20"/>
              </w:rPr>
              <w:t> </w:t>
            </w:r>
            <w:r>
              <w:rPr>
                <w:sz w:val="20"/>
              </w:rPr>
              <w:t>enough</w:t>
            </w:r>
            <w:r>
              <w:rPr>
                <w:spacing w:val="23"/>
                <w:sz w:val="20"/>
              </w:rPr>
              <w:t> </w:t>
            </w:r>
            <w:r>
              <w:rPr>
                <w:spacing w:val="-5"/>
                <w:sz w:val="20"/>
              </w:rPr>
              <w:t>to</w:t>
            </w:r>
          </w:p>
        </w:tc>
        <w:tc>
          <w:tcPr>
            <w:tcW w:w="1978" w:type="dxa"/>
          </w:tcPr>
          <w:p>
            <w:pPr>
              <w:pStyle w:val="TableParagraph"/>
              <w:spacing w:line="210" w:lineRule="exact"/>
              <w:ind w:left="111"/>
              <w:rPr>
                <w:sz w:val="20"/>
              </w:rPr>
            </w:pPr>
            <w:r>
              <w:rPr>
                <w:spacing w:val="-2"/>
                <w:sz w:val="20"/>
              </w:rPr>
              <w:t>observations</w:t>
            </w:r>
          </w:p>
        </w:tc>
        <w:tc>
          <w:tcPr>
            <w:tcW w:w="701" w:type="dxa"/>
          </w:tcPr>
          <w:p>
            <w:pPr>
              <w:pStyle w:val="TableParagraph"/>
              <w:spacing w:line="210" w:lineRule="exact"/>
              <w:ind w:left="27" w:right="7"/>
              <w:jc w:val="center"/>
              <w:rPr>
                <w:sz w:val="20"/>
              </w:rPr>
            </w:pPr>
            <w:r>
              <w:rPr>
                <w:spacing w:val="-10"/>
                <w:sz w:val="20"/>
              </w:rPr>
              <w:t>-</w:t>
            </w:r>
          </w:p>
        </w:tc>
        <w:tc>
          <w:tcPr>
            <w:tcW w:w="748" w:type="dxa"/>
          </w:tcPr>
          <w:p>
            <w:pPr>
              <w:pStyle w:val="TableParagraph"/>
              <w:spacing w:line="210" w:lineRule="exact"/>
              <w:ind w:left="18" w:right="7"/>
              <w:jc w:val="center"/>
              <w:rPr>
                <w:sz w:val="20"/>
              </w:rPr>
            </w:pPr>
            <w:r>
              <w:rPr>
                <w:spacing w:val="-10"/>
                <w:sz w:val="20"/>
              </w:rPr>
              <w:t>-</w:t>
            </w:r>
          </w:p>
        </w:tc>
        <w:tc>
          <w:tcPr>
            <w:tcW w:w="662" w:type="dxa"/>
          </w:tcPr>
          <w:p>
            <w:pPr>
              <w:pStyle w:val="TableParagraph"/>
              <w:spacing w:line="210" w:lineRule="exact"/>
              <w:ind w:left="49" w:right="1"/>
              <w:jc w:val="center"/>
              <w:rPr>
                <w:sz w:val="20"/>
              </w:rPr>
            </w:pPr>
            <w:r>
              <w:rPr>
                <w:spacing w:val="-10"/>
                <w:sz w:val="20"/>
              </w:rPr>
              <w:t>2</w:t>
            </w:r>
          </w:p>
        </w:tc>
        <w:tc>
          <w:tcPr>
            <w:tcW w:w="787" w:type="dxa"/>
          </w:tcPr>
          <w:p>
            <w:pPr>
              <w:pStyle w:val="TableParagraph"/>
              <w:spacing w:line="210" w:lineRule="exact"/>
              <w:ind w:left="39" w:right="5"/>
              <w:jc w:val="center"/>
              <w:rPr>
                <w:sz w:val="20"/>
              </w:rPr>
            </w:pPr>
            <w:r>
              <w:rPr>
                <w:spacing w:val="-2"/>
                <w:sz w:val="20"/>
              </w:rPr>
              <w:t>100.0</w:t>
            </w:r>
          </w:p>
        </w:tc>
        <w:tc>
          <w:tcPr>
            <w:tcW w:w="571" w:type="dxa"/>
          </w:tcPr>
          <w:p>
            <w:pPr>
              <w:pStyle w:val="TableParagraph"/>
              <w:spacing w:line="210" w:lineRule="exact"/>
              <w:ind w:right="283"/>
              <w:jc w:val="right"/>
              <w:rPr>
                <w:sz w:val="20"/>
              </w:rPr>
            </w:pPr>
            <w:r>
              <w:rPr>
                <w:spacing w:val="-10"/>
                <w:sz w:val="20"/>
              </w:rPr>
              <w:t>-</w:t>
            </w:r>
          </w:p>
        </w:tc>
        <w:tc>
          <w:tcPr>
            <w:tcW w:w="859" w:type="dxa"/>
          </w:tcPr>
          <w:p>
            <w:pPr>
              <w:pStyle w:val="TableParagraph"/>
              <w:spacing w:line="210" w:lineRule="exact"/>
              <w:ind w:right="26"/>
              <w:jc w:val="center"/>
              <w:rPr>
                <w:sz w:val="20"/>
              </w:rPr>
            </w:pPr>
            <w:r>
              <w:rPr>
                <w:spacing w:val="-10"/>
                <w:sz w:val="20"/>
              </w:rPr>
              <w:t>-</w:t>
            </w:r>
          </w:p>
        </w:tc>
        <w:tc>
          <w:tcPr>
            <w:tcW w:w="684" w:type="dxa"/>
          </w:tcPr>
          <w:p>
            <w:pPr>
              <w:pStyle w:val="TableParagraph"/>
              <w:spacing w:line="210" w:lineRule="exact"/>
              <w:ind w:left="68" w:right="8"/>
              <w:jc w:val="center"/>
              <w:rPr>
                <w:sz w:val="20"/>
              </w:rPr>
            </w:pPr>
            <w:r>
              <w:rPr>
                <w:spacing w:val="-10"/>
                <w:sz w:val="20"/>
              </w:rPr>
              <w:t>-</w:t>
            </w:r>
          </w:p>
        </w:tc>
        <w:tc>
          <w:tcPr>
            <w:tcW w:w="799" w:type="dxa"/>
          </w:tcPr>
          <w:p>
            <w:pPr>
              <w:pStyle w:val="TableParagraph"/>
              <w:spacing w:line="210" w:lineRule="exact"/>
              <w:ind w:left="23" w:right="6"/>
              <w:jc w:val="center"/>
              <w:rPr>
                <w:sz w:val="20"/>
              </w:rPr>
            </w:pPr>
            <w:r>
              <w:rPr>
                <w:spacing w:val="-10"/>
                <w:sz w:val="20"/>
              </w:rPr>
              <w:t>-</w:t>
            </w:r>
          </w:p>
        </w:tc>
        <w:tc>
          <w:tcPr>
            <w:tcW w:w="626" w:type="dxa"/>
          </w:tcPr>
          <w:p>
            <w:pPr>
              <w:pStyle w:val="TableParagraph"/>
              <w:spacing w:line="210" w:lineRule="exact"/>
              <w:ind w:left="20" w:right="8"/>
              <w:jc w:val="center"/>
              <w:rPr>
                <w:sz w:val="20"/>
              </w:rPr>
            </w:pPr>
            <w:r>
              <w:rPr>
                <w:spacing w:val="-10"/>
                <w:sz w:val="20"/>
              </w:rPr>
              <w:t>-</w:t>
            </w:r>
          </w:p>
        </w:tc>
        <w:tc>
          <w:tcPr>
            <w:tcW w:w="729" w:type="dxa"/>
          </w:tcPr>
          <w:p>
            <w:pPr>
              <w:pStyle w:val="TableParagraph"/>
              <w:spacing w:line="210" w:lineRule="exact"/>
              <w:ind w:left="85" w:right="7"/>
              <w:jc w:val="center"/>
              <w:rPr>
                <w:sz w:val="20"/>
              </w:rPr>
            </w:pPr>
            <w:r>
              <w:rPr>
                <w:spacing w:val="-10"/>
                <w:sz w:val="20"/>
              </w:rPr>
              <w:t>-</w:t>
            </w:r>
          </w:p>
        </w:tc>
        <w:tc>
          <w:tcPr>
            <w:tcW w:w="731" w:type="dxa"/>
          </w:tcPr>
          <w:p>
            <w:pPr>
              <w:pStyle w:val="TableParagraph"/>
              <w:spacing w:line="210" w:lineRule="exact"/>
              <w:ind w:left="69" w:right="4"/>
              <w:jc w:val="center"/>
              <w:rPr>
                <w:sz w:val="20"/>
              </w:rPr>
            </w:pPr>
            <w:r>
              <w:rPr>
                <w:spacing w:val="-10"/>
                <w:sz w:val="20"/>
              </w:rPr>
              <w:t>2</w:t>
            </w:r>
          </w:p>
        </w:tc>
        <w:tc>
          <w:tcPr>
            <w:tcW w:w="737" w:type="dxa"/>
            <w:tcBorders>
              <w:right w:val="single" w:sz="4" w:space="0" w:color="000000"/>
            </w:tcBorders>
          </w:tcPr>
          <w:p>
            <w:pPr>
              <w:pStyle w:val="TableParagraph"/>
              <w:spacing w:line="210" w:lineRule="exact"/>
              <w:ind w:left="58" w:right="21"/>
              <w:jc w:val="center"/>
              <w:rPr>
                <w:sz w:val="20"/>
              </w:rPr>
            </w:pPr>
            <w:r>
              <w:rPr>
                <w:spacing w:val="-5"/>
                <w:sz w:val="20"/>
              </w:rPr>
              <w:t>0.4</w:t>
            </w:r>
          </w:p>
        </w:tc>
      </w:tr>
      <w:tr>
        <w:trPr>
          <w:trHeight w:val="230" w:hRule="atLeast"/>
        </w:trPr>
        <w:tc>
          <w:tcPr>
            <w:tcW w:w="4146" w:type="dxa"/>
            <w:tcBorders>
              <w:left w:val="single" w:sz="4" w:space="0" w:color="000000"/>
            </w:tcBorders>
          </w:tcPr>
          <w:p>
            <w:pPr>
              <w:pStyle w:val="TableParagraph"/>
              <w:spacing w:line="210" w:lineRule="exact"/>
              <w:ind w:right="101"/>
              <w:jc w:val="right"/>
              <w:rPr>
                <w:sz w:val="20"/>
              </w:rPr>
            </w:pPr>
            <w:r>
              <w:rPr>
                <w:sz w:val="20"/>
              </w:rPr>
              <w:t>serve</w:t>
            </w:r>
            <w:r>
              <w:rPr>
                <w:spacing w:val="55"/>
                <w:sz w:val="20"/>
              </w:rPr>
              <w:t> </w:t>
            </w:r>
            <w:r>
              <w:rPr>
                <w:sz w:val="20"/>
              </w:rPr>
              <w:t>students</w:t>
            </w:r>
            <w:r>
              <w:rPr>
                <w:spacing w:val="52"/>
                <w:sz w:val="20"/>
              </w:rPr>
              <w:t> </w:t>
            </w:r>
            <w:r>
              <w:rPr>
                <w:sz w:val="20"/>
              </w:rPr>
              <w:t>for</w:t>
            </w:r>
            <w:r>
              <w:rPr>
                <w:spacing w:val="57"/>
                <w:sz w:val="20"/>
              </w:rPr>
              <w:t> </w:t>
            </w:r>
            <w:r>
              <w:rPr>
                <w:sz w:val="20"/>
              </w:rPr>
              <w:t>observing</w:t>
            </w:r>
            <w:r>
              <w:rPr>
                <w:spacing w:val="56"/>
                <w:sz w:val="20"/>
              </w:rPr>
              <w:t> </w:t>
            </w:r>
            <w:r>
              <w:rPr>
                <w:spacing w:val="-2"/>
                <w:sz w:val="20"/>
              </w:rPr>
              <w:t>their</w:t>
            </w:r>
          </w:p>
        </w:tc>
        <w:tc>
          <w:tcPr>
            <w:tcW w:w="1978" w:type="dxa"/>
          </w:tcPr>
          <w:p>
            <w:pPr>
              <w:pStyle w:val="TableParagraph"/>
              <w:spacing w:line="210" w:lineRule="exact"/>
              <w:ind w:left="111"/>
              <w:rPr>
                <w:sz w:val="20"/>
              </w:rPr>
            </w:pPr>
            <w:r>
              <w:rPr>
                <w:spacing w:val="-2"/>
                <w:sz w:val="20"/>
              </w:rPr>
              <w:t>Students</w:t>
            </w:r>
          </w:p>
        </w:tc>
        <w:tc>
          <w:tcPr>
            <w:tcW w:w="701" w:type="dxa"/>
          </w:tcPr>
          <w:p>
            <w:pPr>
              <w:pStyle w:val="TableParagraph"/>
              <w:spacing w:line="210" w:lineRule="exact"/>
              <w:ind w:left="27" w:right="5"/>
              <w:jc w:val="center"/>
              <w:rPr>
                <w:sz w:val="20"/>
              </w:rPr>
            </w:pPr>
            <w:r>
              <w:rPr>
                <w:spacing w:val="-5"/>
                <w:sz w:val="20"/>
              </w:rPr>
              <w:t>86</w:t>
            </w:r>
          </w:p>
        </w:tc>
        <w:tc>
          <w:tcPr>
            <w:tcW w:w="748" w:type="dxa"/>
          </w:tcPr>
          <w:p>
            <w:pPr>
              <w:pStyle w:val="TableParagraph"/>
              <w:spacing w:line="210" w:lineRule="exact"/>
              <w:ind w:left="18"/>
              <w:jc w:val="center"/>
              <w:rPr>
                <w:sz w:val="20"/>
              </w:rPr>
            </w:pPr>
            <w:r>
              <w:rPr>
                <w:spacing w:val="-4"/>
                <w:sz w:val="20"/>
              </w:rPr>
              <w:t>36.6</w:t>
            </w:r>
          </w:p>
        </w:tc>
        <w:tc>
          <w:tcPr>
            <w:tcW w:w="662" w:type="dxa"/>
          </w:tcPr>
          <w:p>
            <w:pPr>
              <w:pStyle w:val="TableParagraph"/>
              <w:spacing w:line="210" w:lineRule="exact"/>
              <w:ind w:left="49" w:right="11"/>
              <w:jc w:val="center"/>
              <w:rPr>
                <w:sz w:val="20"/>
              </w:rPr>
            </w:pPr>
            <w:r>
              <w:rPr>
                <w:spacing w:val="-5"/>
                <w:sz w:val="20"/>
              </w:rPr>
              <w:t>103</w:t>
            </w:r>
          </w:p>
        </w:tc>
        <w:tc>
          <w:tcPr>
            <w:tcW w:w="787" w:type="dxa"/>
          </w:tcPr>
          <w:p>
            <w:pPr>
              <w:pStyle w:val="TableParagraph"/>
              <w:spacing w:line="210" w:lineRule="exact"/>
              <w:ind w:left="39"/>
              <w:jc w:val="center"/>
              <w:rPr>
                <w:sz w:val="20"/>
              </w:rPr>
            </w:pPr>
            <w:r>
              <w:rPr>
                <w:spacing w:val="-4"/>
                <w:sz w:val="20"/>
              </w:rPr>
              <w:t>43.8</w:t>
            </w:r>
          </w:p>
        </w:tc>
        <w:tc>
          <w:tcPr>
            <w:tcW w:w="571" w:type="dxa"/>
          </w:tcPr>
          <w:p>
            <w:pPr>
              <w:pStyle w:val="TableParagraph"/>
              <w:spacing w:line="210" w:lineRule="exact"/>
              <w:ind w:right="204"/>
              <w:jc w:val="right"/>
              <w:rPr>
                <w:sz w:val="20"/>
              </w:rPr>
            </w:pPr>
            <w:r>
              <w:rPr>
                <w:spacing w:val="-5"/>
                <w:sz w:val="20"/>
              </w:rPr>
              <w:t>15</w:t>
            </w:r>
          </w:p>
        </w:tc>
        <w:tc>
          <w:tcPr>
            <w:tcW w:w="859" w:type="dxa"/>
          </w:tcPr>
          <w:p>
            <w:pPr>
              <w:pStyle w:val="TableParagraph"/>
              <w:spacing w:line="210" w:lineRule="exact"/>
              <w:ind w:left="1" w:right="26"/>
              <w:jc w:val="center"/>
              <w:rPr>
                <w:sz w:val="20"/>
              </w:rPr>
            </w:pPr>
            <w:r>
              <w:rPr>
                <w:spacing w:val="-5"/>
                <w:sz w:val="20"/>
              </w:rPr>
              <w:t>6.4</w:t>
            </w:r>
          </w:p>
        </w:tc>
        <w:tc>
          <w:tcPr>
            <w:tcW w:w="684" w:type="dxa"/>
          </w:tcPr>
          <w:p>
            <w:pPr>
              <w:pStyle w:val="TableParagraph"/>
              <w:spacing w:line="210" w:lineRule="exact"/>
              <w:ind w:left="68" w:right="6"/>
              <w:jc w:val="center"/>
              <w:rPr>
                <w:sz w:val="20"/>
              </w:rPr>
            </w:pPr>
            <w:r>
              <w:rPr>
                <w:spacing w:val="-5"/>
                <w:sz w:val="20"/>
              </w:rPr>
              <w:t>25</w:t>
            </w:r>
          </w:p>
        </w:tc>
        <w:tc>
          <w:tcPr>
            <w:tcW w:w="799" w:type="dxa"/>
          </w:tcPr>
          <w:p>
            <w:pPr>
              <w:pStyle w:val="TableParagraph"/>
              <w:spacing w:line="210" w:lineRule="exact"/>
              <w:ind w:left="23"/>
              <w:jc w:val="center"/>
              <w:rPr>
                <w:sz w:val="20"/>
              </w:rPr>
            </w:pPr>
            <w:r>
              <w:rPr>
                <w:spacing w:val="-4"/>
                <w:sz w:val="20"/>
              </w:rPr>
              <w:t>10.6</w:t>
            </w:r>
          </w:p>
        </w:tc>
        <w:tc>
          <w:tcPr>
            <w:tcW w:w="626" w:type="dxa"/>
          </w:tcPr>
          <w:p>
            <w:pPr>
              <w:pStyle w:val="TableParagraph"/>
              <w:spacing w:line="210" w:lineRule="exact"/>
              <w:ind w:left="21" w:right="2"/>
              <w:jc w:val="center"/>
              <w:rPr>
                <w:sz w:val="20"/>
              </w:rPr>
            </w:pPr>
            <w:r>
              <w:rPr>
                <w:spacing w:val="-10"/>
                <w:sz w:val="20"/>
              </w:rPr>
              <w:t>6</w:t>
            </w:r>
          </w:p>
        </w:tc>
        <w:tc>
          <w:tcPr>
            <w:tcW w:w="729" w:type="dxa"/>
          </w:tcPr>
          <w:p>
            <w:pPr>
              <w:pStyle w:val="TableParagraph"/>
              <w:spacing w:line="210" w:lineRule="exact"/>
              <w:ind w:left="86" w:right="6"/>
              <w:jc w:val="center"/>
              <w:rPr>
                <w:sz w:val="20"/>
              </w:rPr>
            </w:pPr>
            <w:r>
              <w:rPr>
                <w:spacing w:val="-5"/>
                <w:sz w:val="20"/>
              </w:rPr>
              <w:t>2.6</w:t>
            </w:r>
          </w:p>
        </w:tc>
        <w:tc>
          <w:tcPr>
            <w:tcW w:w="731" w:type="dxa"/>
          </w:tcPr>
          <w:p>
            <w:pPr>
              <w:pStyle w:val="TableParagraph"/>
              <w:spacing w:line="210" w:lineRule="exact"/>
              <w:ind w:right="168"/>
              <w:jc w:val="right"/>
              <w:rPr>
                <w:sz w:val="20"/>
              </w:rPr>
            </w:pPr>
            <w:r>
              <w:rPr>
                <w:spacing w:val="-5"/>
                <w:sz w:val="20"/>
              </w:rPr>
              <w:t>235</w:t>
            </w:r>
          </w:p>
        </w:tc>
        <w:tc>
          <w:tcPr>
            <w:tcW w:w="737" w:type="dxa"/>
            <w:tcBorders>
              <w:right w:val="single" w:sz="4" w:space="0" w:color="000000"/>
            </w:tcBorders>
          </w:tcPr>
          <w:p>
            <w:pPr>
              <w:pStyle w:val="TableParagraph"/>
              <w:spacing w:line="210" w:lineRule="exact"/>
              <w:ind w:left="58" w:right="16"/>
              <w:jc w:val="center"/>
              <w:rPr>
                <w:sz w:val="20"/>
              </w:rPr>
            </w:pPr>
            <w:r>
              <w:rPr>
                <w:spacing w:val="-4"/>
                <w:sz w:val="20"/>
              </w:rPr>
              <w:t>50.8</w:t>
            </w:r>
          </w:p>
        </w:tc>
      </w:tr>
      <w:tr>
        <w:trPr>
          <w:trHeight w:val="376" w:hRule="atLeast"/>
        </w:trPr>
        <w:tc>
          <w:tcPr>
            <w:tcW w:w="4146" w:type="dxa"/>
            <w:tcBorders>
              <w:left w:val="single" w:sz="4" w:space="0" w:color="000000"/>
            </w:tcBorders>
          </w:tcPr>
          <w:p>
            <w:pPr>
              <w:pStyle w:val="TableParagraph"/>
              <w:spacing w:line="227" w:lineRule="exact"/>
              <w:ind w:left="830"/>
              <w:rPr>
                <w:sz w:val="20"/>
              </w:rPr>
            </w:pPr>
            <w:r>
              <w:rPr>
                <w:sz w:val="20"/>
              </w:rPr>
              <w:t>religious</w:t>
            </w:r>
            <w:r>
              <w:rPr>
                <w:spacing w:val="-8"/>
                <w:sz w:val="20"/>
              </w:rPr>
              <w:t> </w:t>
            </w:r>
            <w:r>
              <w:rPr>
                <w:spacing w:val="-2"/>
                <w:sz w:val="20"/>
              </w:rPr>
              <w:t>obligations.</w:t>
            </w:r>
          </w:p>
        </w:tc>
        <w:tc>
          <w:tcPr>
            <w:tcW w:w="1978" w:type="dxa"/>
          </w:tcPr>
          <w:p>
            <w:pPr>
              <w:pStyle w:val="TableParagraph"/>
              <w:spacing w:before="69"/>
              <w:ind w:left="111"/>
              <w:rPr>
                <w:sz w:val="20"/>
              </w:rPr>
            </w:pPr>
            <w:r>
              <w:rPr>
                <w:sz w:val="20"/>
              </w:rPr>
              <w:t>Service</w:t>
            </w:r>
            <w:r>
              <w:rPr>
                <w:spacing w:val="-9"/>
                <w:sz w:val="20"/>
              </w:rPr>
              <w:t> </w:t>
            </w:r>
            <w:r>
              <w:rPr>
                <w:spacing w:val="-2"/>
                <w:sz w:val="20"/>
              </w:rPr>
              <w:t>Staff</w:t>
            </w:r>
          </w:p>
        </w:tc>
        <w:tc>
          <w:tcPr>
            <w:tcW w:w="701" w:type="dxa"/>
          </w:tcPr>
          <w:p>
            <w:pPr>
              <w:pStyle w:val="TableParagraph"/>
              <w:spacing w:before="69"/>
              <w:ind w:left="27" w:right="5"/>
              <w:jc w:val="center"/>
              <w:rPr>
                <w:sz w:val="20"/>
              </w:rPr>
            </w:pPr>
            <w:r>
              <w:rPr>
                <w:spacing w:val="-5"/>
                <w:sz w:val="20"/>
              </w:rPr>
              <w:t>78</w:t>
            </w:r>
          </w:p>
        </w:tc>
        <w:tc>
          <w:tcPr>
            <w:tcW w:w="748" w:type="dxa"/>
          </w:tcPr>
          <w:p>
            <w:pPr>
              <w:pStyle w:val="TableParagraph"/>
              <w:spacing w:before="69"/>
              <w:ind w:left="18"/>
              <w:jc w:val="center"/>
              <w:rPr>
                <w:sz w:val="20"/>
              </w:rPr>
            </w:pPr>
            <w:r>
              <w:rPr>
                <w:spacing w:val="-4"/>
                <w:sz w:val="20"/>
              </w:rPr>
              <w:t>38.4</w:t>
            </w:r>
          </w:p>
        </w:tc>
        <w:tc>
          <w:tcPr>
            <w:tcW w:w="662" w:type="dxa"/>
          </w:tcPr>
          <w:p>
            <w:pPr>
              <w:pStyle w:val="TableParagraph"/>
              <w:spacing w:before="69"/>
              <w:ind w:left="49" w:right="6"/>
              <w:jc w:val="center"/>
              <w:rPr>
                <w:sz w:val="20"/>
              </w:rPr>
            </w:pPr>
            <w:r>
              <w:rPr>
                <w:spacing w:val="-5"/>
                <w:sz w:val="20"/>
              </w:rPr>
              <w:t>80</w:t>
            </w:r>
          </w:p>
        </w:tc>
        <w:tc>
          <w:tcPr>
            <w:tcW w:w="787" w:type="dxa"/>
          </w:tcPr>
          <w:p>
            <w:pPr>
              <w:pStyle w:val="TableParagraph"/>
              <w:spacing w:before="69"/>
              <w:ind w:left="39"/>
              <w:jc w:val="center"/>
              <w:rPr>
                <w:sz w:val="20"/>
              </w:rPr>
            </w:pPr>
            <w:r>
              <w:rPr>
                <w:spacing w:val="-4"/>
                <w:sz w:val="20"/>
              </w:rPr>
              <w:t>39.4</w:t>
            </w:r>
          </w:p>
        </w:tc>
        <w:tc>
          <w:tcPr>
            <w:tcW w:w="571" w:type="dxa"/>
          </w:tcPr>
          <w:p>
            <w:pPr>
              <w:pStyle w:val="TableParagraph"/>
              <w:spacing w:before="69"/>
              <w:ind w:right="204"/>
              <w:jc w:val="right"/>
              <w:rPr>
                <w:sz w:val="20"/>
              </w:rPr>
            </w:pPr>
            <w:r>
              <w:rPr>
                <w:spacing w:val="-5"/>
                <w:sz w:val="20"/>
              </w:rPr>
              <w:t>21</w:t>
            </w:r>
          </w:p>
        </w:tc>
        <w:tc>
          <w:tcPr>
            <w:tcW w:w="859" w:type="dxa"/>
          </w:tcPr>
          <w:p>
            <w:pPr>
              <w:pStyle w:val="TableParagraph"/>
              <w:spacing w:before="69"/>
              <w:ind w:left="6" w:right="26"/>
              <w:jc w:val="center"/>
              <w:rPr>
                <w:sz w:val="20"/>
              </w:rPr>
            </w:pPr>
            <w:r>
              <w:rPr>
                <w:spacing w:val="-4"/>
                <w:sz w:val="20"/>
              </w:rPr>
              <w:t>10.3</w:t>
            </w:r>
          </w:p>
        </w:tc>
        <w:tc>
          <w:tcPr>
            <w:tcW w:w="684" w:type="dxa"/>
          </w:tcPr>
          <w:p>
            <w:pPr>
              <w:pStyle w:val="TableParagraph"/>
              <w:spacing w:before="69"/>
              <w:ind w:left="68" w:right="6"/>
              <w:jc w:val="center"/>
              <w:rPr>
                <w:sz w:val="20"/>
              </w:rPr>
            </w:pPr>
            <w:r>
              <w:rPr>
                <w:spacing w:val="-5"/>
                <w:sz w:val="20"/>
              </w:rPr>
              <w:t>20</w:t>
            </w:r>
          </w:p>
        </w:tc>
        <w:tc>
          <w:tcPr>
            <w:tcW w:w="799" w:type="dxa"/>
          </w:tcPr>
          <w:p>
            <w:pPr>
              <w:pStyle w:val="TableParagraph"/>
              <w:spacing w:before="69"/>
              <w:ind w:left="23" w:right="5"/>
              <w:jc w:val="center"/>
              <w:rPr>
                <w:sz w:val="20"/>
              </w:rPr>
            </w:pPr>
            <w:r>
              <w:rPr>
                <w:spacing w:val="-5"/>
                <w:sz w:val="20"/>
              </w:rPr>
              <w:t>9.9</w:t>
            </w:r>
          </w:p>
        </w:tc>
        <w:tc>
          <w:tcPr>
            <w:tcW w:w="626" w:type="dxa"/>
          </w:tcPr>
          <w:p>
            <w:pPr>
              <w:pStyle w:val="TableParagraph"/>
              <w:spacing w:before="69"/>
              <w:ind w:left="21" w:right="2"/>
              <w:jc w:val="center"/>
              <w:rPr>
                <w:sz w:val="20"/>
              </w:rPr>
            </w:pPr>
            <w:r>
              <w:rPr>
                <w:spacing w:val="-10"/>
                <w:sz w:val="20"/>
              </w:rPr>
              <w:t>4</w:t>
            </w:r>
          </w:p>
        </w:tc>
        <w:tc>
          <w:tcPr>
            <w:tcW w:w="729" w:type="dxa"/>
          </w:tcPr>
          <w:p>
            <w:pPr>
              <w:pStyle w:val="TableParagraph"/>
              <w:spacing w:before="69"/>
              <w:ind w:left="86" w:right="6"/>
              <w:jc w:val="center"/>
              <w:rPr>
                <w:sz w:val="20"/>
              </w:rPr>
            </w:pPr>
            <w:r>
              <w:rPr>
                <w:spacing w:val="-5"/>
                <w:sz w:val="20"/>
              </w:rPr>
              <w:t>2.0</w:t>
            </w:r>
          </w:p>
        </w:tc>
        <w:tc>
          <w:tcPr>
            <w:tcW w:w="731" w:type="dxa"/>
          </w:tcPr>
          <w:p>
            <w:pPr>
              <w:pStyle w:val="TableParagraph"/>
              <w:spacing w:before="69"/>
              <w:ind w:right="168"/>
              <w:jc w:val="right"/>
              <w:rPr>
                <w:sz w:val="20"/>
              </w:rPr>
            </w:pPr>
            <w:r>
              <w:rPr>
                <w:spacing w:val="-5"/>
                <w:sz w:val="20"/>
              </w:rPr>
              <w:t>203</w:t>
            </w:r>
          </w:p>
        </w:tc>
        <w:tc>
          <w:tcPr>
            <w:tcW w:w="737" w:type="dxa"/>
            <w:tcBorders>
              <w:right w:val="single" w:sz="4" w:space="0" w:color="000000"/>
            </w:tcBorders>
          </w:tcPr>
          <w:p>
            <w:pPr>
              <w:pStyle w:val="TableParagraph"/>
              <w:spacing w:before="69"/>
              <w:ind w:left="58" w:right="16"/>
              <w:jc w:val="center"/>
              <w:rPr>
                <w:sz w:val="20"/>
              </w:rPr>
            </w:pPr>
            <w:r>
              <w:rPr>
                <w:spacing w:val="-4"/>
                <w:sz w:val="20"/>
              </w:rPr>
              <w:t>43.8</w:t>
            </w:r>
          </w:p>
        </w:tc>
      </w:tr>
      <w:tr>
        <w:trPr>
          <w:trHeight w:val="328" w:hRule="atLeast"/>
        </w:trPr>
        <w:tc>
          <w:tcPr>
            <w:tcW w:w="4146" w:type="dxa"/>
            <w:tcBorders>
              <w:left w:val="single" w:sz="4" w:space="0" w:color="000000"/>
            </w:tcBorders>
          </w:tcPr>
          <w:p>
            <w:pPr>
              <w:pStyle w:val="TableParagraph"/>
              <w:rPr>
                <w:rFonts w:ascii="Times New Roman"/>
                <w:sz w:val="20"/>
              </w:rPr>
            </w:pPr>
          </w:p>
        </w:tc>
        <w:tc>
          <w:tcPr>
            <w:tcW w:w="1978" w:type="dxa"/>
          </w:tcPr>
          <w:p>
            <w:pPr>
              <w:pStyle w:val="TableParagraph"/>
              <w:spacing w:before="72"/>
              <w:ind w:left="111"/>
              <w:rPr>
                <w:sz w:val="20"/>
              </w:rPr>
            </w:pPr>
            <w:r>
              <w:rPr>
                <w:sz w:val="20"/>
              </w:rPr>
              <w:t>Top</w:t>
            </w:r>
            <w:r>
              <w:rPr>
                <w:spacing w:val="-1"/>
                <w:sz w:val="20"/>
              </w:rPr>
              <w:t> </w:t>
            </w:r>
            <w:r>
              <w:rPr>
                <w:spacing w:val="-2"/>
                <w:sz w:val="20"/>
              </w:rPr>
              <w:t>Management</w:t>
            </w:r>
          </w:p>
        </w:tc>
        <w:tc>
          <w:tcPr>
            <w:tcW w:w="701" w:type="dxa"/>
          </w:tcPr>
          <w:p>
            <w:pPr>
              <w:pStyle w:val="TableParagraph"/>
              <w:spacing w:before="72"/>
              <w:ind w:left="27"/>
              <w:jc w:val="center"/>
              <w:rPr>
                <w:sz w:val="20"/>
              </w:rPr>
            </w:pPr>
            <w:r>
              <w:rPr>
                <w:spacing w:val="-10"/>
                <w:sz w:val="20"/>
              </w:rPr>
              <w:t>9</w:t>
            </w:r>
          </w:p>
        </w:tc>
        <w:tc>
          <w:tcPr>
            <w:tcW w:w="748" w:type="dxa"/>
          </w:tcPr>
          <w:p>
            <w:pPr>
              <w:pStyle w:val="TableParagraph"/>
              <w:spacing w:before="72"/>
              <w:ind w:left="18"/>
              <w:jc w:val="center"/>
              <w:rPr>
                <w:sz w:val="20"/>
              </w:rPr>
            </w:pPr>
            <w:r>
              <w:rPr>
                <w:spacing w:val="-4"/>
                <w:sz w:val="20"/>
              </w:rPr>
              <w:t>39.1</w:t>
            </w:r>
          </w:p>
        </w:tc>
        <w:tc>
          <w:tcPr>
            <w:tcW w:w="662" w:type="dxa"/>
          </w:tcPr>
          <w:p>
            <w:pPr>
              <w:pStyle w:val="TableParagraph"/>
              <w:spacing w:before="72"/>
              <w:ind w:left="49" w:right="6"/>
              <w:jc w:val="center"/>
              <w:rPr>
                <w:sz w:val="20"/>
              </w:rPr>
            </w:pPr>
            <w:r>
              <w:rPr>
                <w:spacing w:val="-5"/>
                <w:sz w:val="20"/>
              </w:rPr>
              <w:t>13</w:t>
            </w:r>
          </w:p>
        </w:tc>
        <w:tc>
          <w:tcPr>
            <w:tcW w:w="787" w:type="dxa"/>
          </w:tcPr>
          <w:p>
            <w:pPr>
              <w:pStyle w:val="TableParagraph"/>
              <w:spacing w:before="72"/>
              <w:ind w:left="39"/>
              <w:jc w:val="center"/>
              <w:rPr>
                <w:sz w:val="20"/>
              </w:rPr>
            </w:pPr>
            <w:r>
              <w:rPr>
                <w:spacing w:val="-4"/>
                <w:sz w:val="20"/>
              </w:rPr>
              <w:t>56.5</w:t>
            </w:r>
          </w:p>
        </w:tc>
        <w:tc>
          <w:tcPr>
            <w:tcW w:w="571" w:type="dxa"/>
          </w:tcPr>
          <w:p>
            <w:pPr>
              <w:pStyle w:val="TableParagraph"/>
              <w:spacing w:before="72"/>
              <w:ind w:right="257"/>
              <w:jc w:val="right"/>
              <w:rPr>
                <w:sz w:val="20"/>
              </w:rPr>
            </w:pPr>
            <w:r>
              <w:rPr>
                <w:spacing w:val="-10"/>
                <w:sz w:val="20"/>
              </w:rPr>
              <w:t>1</w:t>
            </w:r>
          </w:p>
        </w:tc>
        <w:tc>
          <w:tcPr>
            <w:tcW w:w="859" w:type="dxa"/>
          </w:tcPr>
          <w:p>
            <w:pPr>
              <w:pStyle w:val="TableParagraph"/>
              <w:spacing w:before="72"/>
              <w:ind w:left="1" w:right="26"/>
              <w:jc w:val="center"/>
              <w:rPr>
                <w:sz w:val="20"/>
              </w:rPr>
            </w:pPr>
            <w:r>
              <w:rPr>
                <w:spacing w:val="-5"/>
                <w:sz w:val="20"/>
              </w:rPr>
              <w:t>4.3</w:t>
            </w:r>
          </w:p>
        </w:tc>
        <w:tc>
          <w:tcPr>
            <w:tcW w:w="684" w:type="dxa"/>
          </w:tcPr>
          <w:p>
            <w:pPr>
              <w:pStyle w:val="TableParagraph"/>
              <w:spacing w:before="72"/>
              <w:ind w:left="68" w:right="8"/>
              <w:jc w:val="center"/>
              <w:rPr>
                <w:sz w:val="20"/>
              </w:rPr>
            </w:pPr>
            <w:r>
              <w:rPr>
                <w:spacing w:val="-10"/>
                <w:sz w:val="20"/>
              </w:rPr>
              <w:t>-</w:t>
            </w:r>
          </w:p>
        </w:tc>
        <w:tc>
          <w:tcPr>
            <w:tcW w:w="799" w:type="dxa"/>
          </w:tcPr>
          <w:p>
            <w:pPr>
              <w:pStyle w:val="TableParagraph"/>
              <w:spacing w:before="72"/>
              <w:ind w:left="23" w:right="6"/>
              <w:jc w:val="center"/>
              <w:rPr>
                <w:sz w:val="20"/>
              </w:rPr>
            </w:pPr>
            <w:r>
              <w:rPr>
                <w:spacing w:val="-10"/>
                <w:sz w:val="20"/>
              </w:rPr>
              <w:t>-</w:t>
            </w:r>
          </w:p>
        </w:tc>
        <w:tc>
          <w:tcPr>
            <w:tcW w:w="626" w:type="dxa"/>
          </w:tcPr>
          <w:p>
            <w:pPr>
              <w:pStyle w:val="TableParagraph"/>
              <w:spacing w:before="72"/>
              <w:ind w:left="20" w:right="8"/>
              <w:jc w:val="center"/>
              <w:rPr>
                <w:sz w:val="20"/>
              </w:rPr>
            </w:pPr>
            <w:r>
              <w:rPr>
                <w:spacing w:val="-10"/>
                <w:sz w:val="20"/>
              </w:rPr>
              <w:t>-</w:t>
            </w:r>
          </w:p>
        </w:tc>
        <w:tc>
          <w:tcPr>
            <w:tcW w:w="729" w:type="dxa"/>
          </w:tcPr>
          <w:p>
            <w:pPr>
              <w:pStyle w:val="TableParagraph"/>
              <w:spacing w:before="72"/>
              <w:ind w:left="85" w:right="7"/>
              <w:jc w:val="center"/>
              <w:rPr>
                <w:sz w:val="20"/>
              </w:rPr>
            </w:pPr>
            <w:r>
              <w:rPr>
                <w:spacing w:val="-10"/>
                <w:sz w:val="20"/>
              </w:rPr>
              <w:t>-</w:t>
            </w:r>
          </w:p>
        </w:tc>
        <w:tc>
          <w:tcPr>
            <w:tcW w:w="731" w:type="dxa"/>
          </w:tcPr>
          <w:p>
            <w:pPr>
              <w:pStyle w:val="TableParagraph"/>
              <w:spacing w:before="72"/>
              <w:ind w:right="221"/>
              <w:jc w:val="right"/>
              <w:rPr>
                <w:sz w:val="20"/>
              </w:rPr>
            </w:pPr>
            <w:r>
              <w:rPr>
                <w:spacing w:val="-5"/>
                <w:sz w:val="20"/>
              </w:rPr>
              <w:t>23</w:t>
            </w:r>
          </w:p>
        </w:tc>
        <w:tc>
          <w:tcPr>
            <w:tcW w:w="737" w:type="dxa"/>
            <w:tcBorders>
              <w:right w:val="single" w:sz="4" w:space="0" w:color="000000"/>
            </w:tcBorders>
          </w:tcPr>
          <w:p>
            <w:pPr>
              <w:pStyle w:val="TableParagraph"/>
              <w:spacing w:before="72"/>
              <w:ind w:left="58" w:right="21"/>
              <w:jc w:val="center"/>
              <w:rPr>
                <w:sz w:val="20"/>
              </w:rPr>
            </w:pPr>
            <w:r>
              <w:rPr>
                <w:spacing w:val="-5"/>
                <w:sz w:val="20"/>
              </w:rPr>
              <w:t>5.0</w:t>
            </w:r>
          </w:p>
        </w:tc>
      </w:tr>
      <w:tr>
        <w:trPr>
          <w:trHeight w:val="254" w:hRule="atLeast"/>
        </w:trPr>
        <w:tc>
          <w:tcPr>
            <w:tcW w:w="4146" w:type="dxa"/>
            <w:tcBorders>
              <w:left w:val="single" w:sz="4" w:space="0" w:color="000000"/>
            </w:tcBorders>
          </w:tcPr>
          <w:p>
            <w:pPr>
              <w:pStyle w:val="TableParagraph"/>
              <w:tabs>
                <w:tab w:pos="609" w:val="left" w:leader="none"/>
                <w:tab w:pos="1679" w:val="left" w:leader="none"/>
                <w:tab w:pos="2755" w:val="left" w:leader="none"/>
                <w:tab w:pos="3590" w:val="left" w:leader="none"/>
              </w:tabs>
              <w:spacing w:line="213" w:lineRule="exact" w:before="21"/>
              <w:ind w:right="104"/>
              <w:jc w:val="right"/>
              <w:rPr>
                <w:sz w:val="20"/>
              </w:rPr>
            </w:pPr>
            <w:r>
              <w:rPr>
                <w:spacing w:val="-5"/>
                <w:sz w:val="20"/>
              </w:rPr>
              <w:t>65.</w:t>
            </w:r>
            <w:r>
              <w:rPr>
                <w:sz w:val="20"/>
              </w:rPr>
              <w:tab/>
            </w:r>
            <w:r>
              <w:rPr>
                <w:spacing w:val="-2"/>
                <w:sz w:val="20"/>
              </w:rPr>
              <w:t>Religious</w:t>
            </w:r>
            <w:r>
              <w:rPr>
                <w:sz w:val="20"/>
              </w:rPr>
              <w:tab/>
            </w:r>
            <w:r>
              <w:rPr>
                <w:spacing w:val="-2"/>
                <w:sz w:val="20"/>
              </w:rPr>
              <w:t>tolerance</w:t>
            </w:r>
            <w:r>
              <w:rPr>
                <w:sz w:val="20"/>
              </w:rPr>
              <w:tab/>
            </w:r>
            <w:r>
              <w:rPr>
                <w:spacing w:val="-2"/>
                <w:sz w:val="20"/>
              </w:rPr>
              <w:t>should</w:t>
            </w:r>
            <w:r>
              <w:rPr>
                <w:sz w:val="20"/>
              </w:rPr>
              <w:tab/>
            </w:r>
            <w:r>
              <w:rPr>
                <w:spacing w:val="-5"/>
                <w:sz w:val="20"/>
              </w:rPr>
              <w:t>be</w:t>
            </w:r>
          </w:p>
        </w:tc>
        <w:tc>
          <w:tcPr>
            <w:tcW w:w="1978" w:type="dxa"/>
          </w:tcPr>
          <w:p>
            <w:pPr>
              <w:pStyle w:val="TableParagraph"/>
              <w:spacing w:line="213" w:lineRule="exact" w:before="21"/>
              <w:ind w:left="111"/>
              <w:rPr>
                <w:sz w:val="20"/>
              </w:rPr>
            </w:pPr>
            <w:r>
              <w:rPr>
                <w:sz w:val="20"/>
              </w:rPr>
              <w:t>No.</w:t>
            </w:r>
            <w:r>
              <w:rPr>
                <w:spacing w:val="-5"/>
                <w:sz w:val="20"/>
              </w:rPr>
              <w:t> </w:t>
            </w:r>
            <w:r>
              <w:rPr>
                <w:sz w:val="20"/>
              </w:rPr>
              <w:t>of</w:t>
            </w:r>
            <w:r>
              <w:rPr>
                <w:spacing w:val="-2"/>
                <w:sz w:val="20"/>
              </w:rPr>
              <w:t> missing</w:t>
            </w:r>
          </w:p>
        </w:tc>
        <w:tc>
          <w:tcPr>
            <w:tcW w:w="701" w:type="dxa"/>
          </w:tcPr>
          <w:p>
            <w:pPr>
              <w:pStyle w:val="TableParagraph"/>
              <w:rPr>
                <w:rFonts w:ascii="Times New Roman"/>
                <w:sz w:val="18"/>
              </w:rPr>
            </w:pPr>
          </w:p>
        </w:tc>
        <w:tc>
          <w:tcPr>
            <w:tcW w:w="748" w:type="dxa"/>
          </w:tcPr>
          <w:p>
            <w:pPr>
              <w:pStyle w:val="TableParagraph"/>
              <w:rPr>
                <w:rFonts w:ascii="Times New Roman"/>
                <w:sz w:val="18"/>
              </w:rPr>
            </w:pPr>
          </w:p>
        </w:tc>
        <w:tc>
          <w:tcPr>
            <w:tcW w:w="662" w:type="dxa"/>
          </w:tcPr>
          <w:p>
            <w:pPr>
              <w:pStyle w:val="TableParagraph"/>
              <w:rPr>
                <w:rFonts w:ascii="Times New Roman"/>
                <w:sz w:val="18"/>
              </w:rPr>
            </w:pPr>
          </w:p>
        </w:tc>
        <w:tc>
          <w:tcPr>
            <w:tcW w:w="787" w:type="dxa"/>
          </w:tcPr>
          <w:p>
            <w:pPr>
              <w:pStyle w:val="TableParagraph"/>
              <w:rPr>
                <w:rFonts w:ascii="Times New Roman"/>
                <w:sz w:val="18"/>
              </w:rPr>
            </w:pPr>
          </w:p>
        </w:tc>
        <w:tc>
          <w:tcPr>
            <w:tcW w:w="571" w:type="dxa"/>
          </w:tcPr>
          <w:p>
            <w:pPr>
              <w:pStyle w:val="TableParagraph"/>
              <w:rPr>
                <w:rFonts w:ascii="Times New Roman"/>
                <w:sz w:val="18"/>
              </w:rPr>
            </w:pPr>
          </w:p>
        </w:tc>
        <w:tc>
          <w:tcPr>
            <w:tcW w:w="859" w:type="dxa"/>
          </w:tcPr>
          <w:p>
            <w:pPr>
              <w:pStyle w:val="TableParagraph"/>
              <w:rPr>
                <w:rFonts w:ascii="Times New Roman"/>
                <w:sz w:val="18"/>
              </w:rPr>
            </w:pPr>
          </w:p>
        </w:tc>
        <w:tc>
          <w:tcPr>
            <w:tcW w:w="684" w:type="dxa"/>
          </w:tcPr>
          <w:p>
            <w:pPr>
              <w:pStyle w:val="TableParagraph"/>
              <w:rPr>
                <w:rFonts w:ascii="Times New Roman"/>
                <w:sz w:val="18"/>
              </w:rPr>
            </w:pPr>
          </w:p>
        </w:tc>
        <w:tc>
          <w:tcPr>
            <w:tcW w:w="799" w:type="dxa"/>
          </w:tcPr>
          <w:p>
            <w:pPr>
              <w:pStyle w:val="TableParagraph"/>
              <w:rPr>
                <w:rFonts w:ascii="Times New Roman"/>
                <w:sz w:val="18"/>
              </w:rPr>
            </w:pPr>
          </w:p>
        </w:tc>
        <w:tc>
          <w:tcPr>
            <w:tcW w:w="626" w:type="dxa"/>
          </w:tcPr>
          <w:p>
            <w:pPr>
              <w:pStyle w:val="TableParagraph"/>
              <w:rPr>
                <w:rFonts w:ascii="Times New Roman"/>
                <w:sz w:val="18"/>
              </w:rPr>
            </w:pPr>
          </w:p>
        </w:tc>
        <w:tc>
          <w:tcPr>
            <w:tcW w:w="729" w:type="dxa"/>
          </w:tcPr>
          <w:p>
            <w:pPr>
              <w:pStyle w:val="TableParagraph"/>
              <w:rPr>
                <w:rFonts w:ascii="Times New Roman"/>
                <w:sz w:val="18"/>
              </w:rPr>
            </w:pPr>
          </w:p>
        </w:tc>
        <w:tc>
          <w:tcPr>
            <w:tcW w:w="731" w:type="dxa"/>
          </w:tcPr>
          <w:p>
            <w:pPr>
              <w:pStyle w:val="TableParagraph"/>
              <w:rPr>
                <w:rFonts w:ascii="Times New Roman"/>
                <w:sz w:val="18"/>
              </w:rPr>
            </w:pPr>
          </w:p>
        </w:tc>
        <w:tc>
          <w:tcPr>
            <w:tcW w:w="737" w:type="dxa"/>
            <w:tcBorders>
              <w:right w:val="single" w:sz="4" w:space="0" w:color="000000"/>
            </w:tcBorders>
          </w:tcPr>
          <w:p>
            <w:pPr>
              <w:pStyle w:val="TableParagraph"/>
              <w:rPr>
                <w:rFonts w:ascii="Times New Roman"/>
                <w:sz w:val="18"/>
              </w:rPr>
            </w:pPr>
          </w:p>
        </w:tc>
      </w:tr>
      <w:tr>
        <w:trPr>
          <w:trHeight w:val="230" w:hRule="atLeast"/>
        </w:trPr>
        <w:tc>
          <w:tcPr>
            <w:tcW w:w="4146" w:type="dxa"/>
            <w:tcBorders>
              <w:left w:val="single" w:sz="4" w:space="0" w:color="000000"/>
            </w:tcBorders>
          </w:tcPr>
          <w:p>
            <w:pPr>
              <w:pStyle w:val="TableParagraph"/>
              <w:spacing w:line="210" w:lineRule="exact"/>
              <w:ind w:right="104"/>
              <w:jc w:val="right"/>
              <w:rPr>
                <w:sz w:val="20"/>
              </w:rPr>
            </w:pPr>
            <w:r>
              <w:rPr>
                <w:sz w:val="20"/>
              </w:rPr>
              <w:t>encouraged</w:t>
            </w:r>
            <w:r>
              <w:rPr>
                <w:spacing w:val="-1"/>
                <w:sz w:val="20"/>
              </w:rPr>
              <w:t> </w:t>
            </w:r>
            <w:r>
              <w:rPr>
                <w:sz w:val="20"/>
              </w:rPr>
              <w:t>on</w:t>
            </w:r>
            <w:r>
              <w:rPr>
                <w:spacing w:val="-4"/>
                <w:sz w:val="20"/>
              </w:rPr>
              <w:t> </w:t>
            </w:r>
            <w:r>
              <w:rPr>
                <w:sz w:val="20"/>
              </w:rPr>
              <w:t>the campus</w:t>
            </w:r>
            <w:r>
              <w:rPr>
                <w:spacing w:val="-3"/>
                <w:sz w:val="20"/>
              </w:rPr>
              <w:t> </w:t>
            </w:r>
            <w:r>
              <w:rPr>
                <w:sz w:val="20"/>
              </w:rPr>
              <w:t>so</w:t>
            </w:r>
            <w:r>
              <w:rPr>
                <w:spacing w:val="-4"/>
                <w:sz w:val="20"/>
              </w:rPr>
              <w:t> </w:t>
            </w:r>
            <w:r>
              <w:rPr>
                <w:sz w:val="20"/>
              </w:rPr>
              <w:t>as</w:t>
            </w:r>
            <w:r>
              <w:rPr>
                <w:spacing w:val="-2"/>
                <w:sz w:val="20"/>
              </w:rPr>
              <w:t> </w:t>
            </w:r>
            <w:r>
              <w:rPr>
                <w:spacing w:val="-5"/>
                <w:sz w:val="20"/>
              </w:rPr>
              <w:t>to</w:t>
            </w:r>
          </w:p>
        </w:tc>
        <w:tc>
          <w:tcPr>
            <w:tcW w:w="1978" w:type="dxa"/>
          </w:tcPr>
          <w:p>
            <w:pPr>
              <w:pStyle w:val="TableParagraph"/>
              <w:spacing w:line="210" w:lineRule="exact"/>
              <w:ind w:left="111"/>
              <w:rPr>
                <w:sz w:val="20"/>
              </w:rPr>
            </w:pPr>
            <w:r>
              <w:rPr>
                <w:spacing w:val="-2"/>
                <w:sz w:val="20"/>
              </w:rPr>
              <w:t>observations</w:t>
            </w:r>
          </w:p>
        </w:tc>
        <w:tc>
          <w:tcPr>
            <w:tcW w:w="701" w:type="dxa"/>
          </w:tcPr>
          <w:p>
            <w:pPr>
              <w:pStyle w:val="TableParagraph"/>
              <w:spacing w:line="210" w:lineRule="exact"/>
              <w:ind w:left="27"/>
              <w:jc w:val="center"/>
              <w:rPr>
                <w:sz w:val="20"/>
              </w:rPr>
            </w:pPr>
            <w:r>
              <w:rPr>
                <w:spacing w:val="-10"/>
                <w:sz w:val="20"/>
              </w:rPr>
              <w:t>1</w:t>
            </w:r>
          </w:p>
        </w:tc>
        <w:tc>
          <w:tcPr>
            <w:tcW w:w="748" w:type="dxa"/>
          </w:tcPr>
          <w:p>
            <w:pPr>
              <w:pStyle w:val="TableParagraph"/>
              <w:spacing w:line="210" w:lineRule="exact"/>
              <w:ind w:left="18"/>
              <w:jc w:val="center"/>
              <w:rPr>
                <w:sz w:val="20"/>
              </w:rPr>
            </w:pPr>
            <w:r>
              <w:rPr>
                <w:spacing w:val="-4"/>
                <w:sz w:val="20"/>
              </w:rPr>
              <w:t>58.0</w:t>
            </w:r>
          </w:p>
        </w:tc>
        <w:tc>
          <w:tcPr>
            <w:tcW w:w="662" w:type="dxa"/>
          </w:tcPr>
          <w:p>
            <w:pPr>
              <w:pStyle w:val="TableParagraph"/>
              <w:spacing w:line="210" w:lineRule="exact"/>
              <w:ind w:left="49" w:right="8"/>
              <w:jc w:val="center"/>
              <w:rPr>
                <w:sz w:val="20"/>
              </w:rPr>
            </w:pPr>
            <w:r>
              <w:rPr>
                <w:spacing w:val="-10"/>
                <w:sz w:val="20"/>
              </w:rPr>
              <w:t>-</w:t>
            </w:r>
          </w:p>
        </w:tc>
        <w:tc>
          <w:tcPr>
            <w:tcW w:w="787" w:type="dxa"/>
          </w:tcPr>
          <w:p>
            <w:pPr>
              <w:pStyle w:val="TableParagraph"/>
              <w:spacing w:line="210" w:lineRule="exact"/>
              <w:ind w:left="39" w:right="7"/>
              <w:jc w:val="center"/>
              <w:rPr>
                <w:sz w:val="20"/>
              </w:rPr>
            </w:pPr>
            <w:r>
              <w:rPr>
                <w:spacing w:val="-10"/>
                <w:sz w:val="20"/>
              </w:rPr>
              <w:t>-</w:t>
            </w:r>
          </w:p>
        </w:tc>
        <w:tc>
          <w:tcPr>
            <w:tcW w:w="571" w:type="dxa"/>
          </w:tcPr>
          <w:p>
            <w:pPr>
              <w:pStyle w:val="TableParagraph"/>
              <w:spacing w:line="210" w:lineRule="exact"/>
              <w:ind w:right="283"/>
              <w:jc w:val="right"/>
              <w:rPr>
                <w:sz w:val="20"/>
              </w:rPr>
            </w:pPr>
            <w:r>
              <w:rPr>
                <w:spacing w:val="-10"/>
                <w:sz w:val="20"/>
              </w:rPr>
              <w:t>-</w:t>
            </w:r>
          </w:p>
        </w:tc>
        <w:tc>
          <w:tcPr>
            <w:tcW w:w="859" w:type="dxa"/>
          </w:tcPr>
          <w:p>
            <w:pPr>
              <w:pStyle w:val="TableParagraph"/>
              <w:spacing w:line="210" w:lineRule="exact"/>
              <w:ind w:right="26"/>
              <w:jc w:val="center"/>
              <w:rPr>
                <w:sz w:val="20"/>
              </w:rPr>
            </w:pPr>
            <w:r>
              <w:rPr>
                <w:spacing w:val="-10"/>
                <w:sz w:val="20"/>
              </w:rPr>
              <w:t>-</w:t>
            </w:r>
          </w:p>
        </w:tc>
        <w:tc>
          <w:tcPr>
            <w:tcW w:w="684" w:type="dxa"/>
          </w:tcPr>
          <w:p>
            <w:pPr>
              <w:pStyle w:val="TableParagraph"/>
              <w:spacing w:line="210" w:lineRule="exact"/>
              <w:ind w:left="68" w:right="2"/>
              <w:jc w:val="center"/>
              <w:rPr>
                <w:sz w:val="20"/>
              </w:rPr>
            </w:pPr>
            <w:r>
              <w:rPr>
                <w:spacing w:val="-10"/>
                <w:sz w:val="20"/>
              </w:rPr>
              <w:t>1</w:t>
            </w:r>
          </w:p>
        </w:tc>
        <w:tc>
          <w:tcPr>
            <w:tcW w:w="799" w:type="dxa"/>
          </w:tcPr>
          <w:p>
            <w:pPr>
              <w:pStyle w:val="TableParagraph"/>
              <w:spacing w:line="210" w:lineRule="exact"/>
              <w:ind w:left="23"/>
              <w:jc w:val="center"/>
              <w:rPr>
                <w:sz w:val="20"/>
              </w:rPr>
            </w:pPr>
            <w:r>
              <w:rPr>
                <w:spacing w:val="-4"/>
                <w:sz w:val="20"/>
              </w:rPr>
              <w:t>50.0</w:t>
            </w:r>
          </w:p>
        </w:tc>
        <w:tc>
          <w:tcPr>
            <w:tcW w:w="626" w:type="dxa"/>
          </w:tcPr>
          <w:p>
            <w:pPr>
              <w:pStyle w:val="TableParagraph"/>
              <w:spacing w:line="210" w:lineRule="exact"/>
              <w:ind w:left="20" w:right="8"/>
              <w:jc w:val="center"/>
              <w:rPr>
                <w:sz w:val="20"/>
              </w:rPr>
            </w:pPr>
            <w:r>
              <w:rPr>
                <w:spacing w:val="-10"/>
                <w:sz w:val="20"/>
              </w:rPr>
              <w:t>-</w:t>
            </w:r>
          </w:p>
        </w:tc>
        <w:tc>
          <w:tcPr>
            <w:tcW w:w="729" w:type="dxa"/>
          </w:tcPr>
          <w:p>
            <w:pPr>
              <w:pStyle w:val="TableParagraph"/>
              <w:spacing w:line="210" w:lineRule="exact"/>
              <w:ind w:left="85" w:right="7"/>
              <w:jc w:val="center"/>
              <w:rPr>
                <w:sz w:val="20"/>
              </w:rPr>
            </w:pPr>
            <w:r>
              <w:rPr>
                <w:spacing w:val="-10"/>
                <w:sz w:val="20"/>
              </w:rPr>
              <w:t>-</w:t>
            </w:r>
          </w:p>
        </w:tc>
        <w:tc>
          <w:tcPr>
            <w:tcW w:w="731" w:type="dxa"/>
          </w:tcPr>
          <w:p>
            <w:pPr>
              <w:pStyle w:val="TableParagraph"/>
              <w:spacing w:line="210" w:lineRule="exact"/>
              <w:ind w:left="69" w:right="4"/>
              <w:jc w:val="center"/>
              <w:rPr>
                <w:sz w:val="20"/>
              </w:rPr>
            </w:pPr>
            <w:r>
              <w:rPr>
                <w:spacing w:val="-10"/>
                <w:sz w:val="20"/>
              </w:rPr>
              <w:t>2</w:t>
            </w:r>
          </w:p>
        </w:tc>
        <w:tc>
          <w:tcPr>
            <w:tcW w:w="737" w:type="dxa"/>
            <w:tcBorders>
              <w:right w:val="single" w:sz="4" w:space="0" w:color="000000"/>
            </w:tcBorders>
          </w:tcPr>
          <w:p>
            <w:pPr>
              <w:pStyle w:val="TableParagraph"/>
              <w:spacing w:line="210" w:lineRule="exact"/>
              <w:ind w:left="58" w:right="21"/>
              <w:jc w:val="center"/>
              <w:rPr>
                <w:sz w:val="20"/>
              </w:rPr>
            </w:pPr>
            <w:r>
              <w:rPr>
                <w:spacing w:val="-5"/>
                <w:sz w:val="20"/>
              </w:rPr>
              <w:t>0.4</w:t>
            </w:r>
          </w:p>
        </w:tc>
      </w:tr>
      <w:tr>
        <w:trPr>
          <w:trHeight w:val="230" w:hRule="atLeast"/>
        </w:trPr>
        <w:tc>
          <w:tcPr>
            <w:tcW w:w="4146" w:type="dxa"/>
            <w:tcBorders>
              <w:left w:val="single" w:sz="4" w:space="0" w:color="000000"/>
            </w:tcBorders>
          </w:tcPr>
          <w:p>
            <w:pPr>
              <w:pStyle w:val="TableParagraph"/>
              <w:tabs>
                <w:tab w:pos="767" w:val="left" w:leader="none"/>
                <w:tab w:pos="1780" w:val="left" w:leader="none"/>
                <w:tab w:pos="2400" w:val="left" w:leader="none"/>
              </w:tabs>
              <w:spacing w:line="210" w:lineRule="exact"/>
              <w:ind w:right="106"/>
              <w:jc w:val="right"/>
              <w:rPr>
                <w:sz w:val="20"/>
              </w:rPr>
            </w:pPr>
            <w:r>
              <w:rPr>
                <w:spacing w:val="-2"/>
                <w:sz w:val="20"/>
              </w:rPr>
              <w:t>avoid</w:t>
            </w:r>
            <w:r>
              <w:rPr>
                <w:sz w:val="20"/>
              </w:rPr>
              <w:tab/>
            </w:r>
            <w:r>
              <w:rPr>
                <w:spacing w:val="-2"/>
                <w:sz w:val="20"/>
              </w:rPr>
              <w:t>conflicts</w:t>
            </w:r>
            <w:r>
              <w:rPr>
                <w:sz w:val="20"/>
              </w:rPr>
              <w:tab/>
            </w:r>
            <w:r>
              <w:rPr>
                <w:spacing w:val="-5"/>
                <w:sz w:val="20"/>
              </w:rPr>
              <w:t>and</w:t>
            </w:r>
            <w:r>
              <w:rPr>
                <w:sz w:val="20"/>
              </w:rPr>
              <w:tab/>
            </w:r>
            <w:r>
              <w:rPr>
                <w:spacing w:val="-2"/>
                <w:sz w:val="20"/>
              </w:rPr>
              <w:t>uprisings</w:t>
            </w:r>
          </w:p>
        </w:tc>
        <w:tc>
          <w:tcPr>
            <w:tcW w:w="1978" w:type="dxa"/>
          </w:tcPr>
          <w:p>
            <w:pPr>
              <w:pStyle w:val="TableParagraph"/>
              <w:spacing w:line="210" w:lineRule="exact"/>
              <w:ind w:left="111"/>
              <w:rPr>
                <w:sz w:val="20"/>
              </w:rPr>
            </w:pPr>
            <w:r>
              <w:rPr>
                <w:spacing w:val="-2"/>
                <w:sz w:val="20"/>
              </w:rPr>
              <w:t>Students</w:t>
            </w:r>
          </w:p>
        </w:tc>
        <w:tc>
          <w:tcPr>
            <w:tcW w:w="701" w:type="dxa"/>
          </w:tcPr>
          <w:p>
            <w:pPr>
              <w:pStyle w:val="TableParagraph"/>
              <w:spacing w:line="210" w:lineRule="exact"/>
              <w:ind w:left="27" w:right="10"/>
              <w:jc w:val="center"/>
              <w:rPr>
                <w:sz w:val="20"/>
              </w:rPr>
            </w:pPr>
            <w:r>
              <w:rPr>
                <w:spacing w:val="-5"/>
                <w:sz w:val="20"/>
              </w:rPr>
              <w:t>139</w:t>
            </w:r>
          </w:p>
        </w:tc>
        <w:tc>
          <w:tcPr>
            <w:tcW w:w="748" w:type="dxa"/>
          </w:tcPr>
          <w:p>
            <w:pPr>
              <w:pStyle w:val="TableParagraph"/>
              <w:spacing w:line="210" w:lineRule="exact"/>
              <w:ind w:left="18"/>
              <w:jc w:val="center"/>
              <w:rPr>
                <w:sz w:val="20"/>
              </w:rPr>
            </w:pPr>
            <w:r>
              <w:rPr>
                <w:spacing w:val="-4"/>
                <w:sz w:val="20"/>
              </w:rPr>
              <w:t>59.1</w:t>
            </w:r>
          </w:p>
        </w:tc>
        <w:tc>
          <w:tcPr>
            <w:tcW w:w="662" w:type="dxa"/>
          </w:tcPr>
          <w:p>
            <w:pPr>
              <w:pStyle w:val="TableParagraph"/>
              <w:spacing w:line="210" w:lineRule="exact"/>
              <w:ind w:left="49" w:right="6"/>
              <w:jc w:val="center"/>
              <w:rPr>
                <w:sz w:val="20"/>
              </w:rPr>
            </w:pPr>
            <w:r>
              <w:rPr>
                <w:spacing w:val="-5"/>
                <w:sz w:val="20"/>
              </w:rPr>
              <w:t>78</w:t>
            </w:r>
          </w:p>
        </w:tc>
        <w:tc>
          <w:tcPr>
            <w:tcW w:w="787" w:type="dxa"/>
          </w:tcPr>
          <w:p>
            <w:pPr>
              <w:pStyle w:val="TableParagraph"/>
              <w:spacing w:line="210" w:lineRule="exact"/>
              <w:ind w:left="39"/>
              <w:jc w:val="center"/>
              <w:rPr>
                <w:sz w:val="20"/>
              </w:rPr>
            </w:pPr>
            <w:r>
              <w:rPr>
                <w:spacing w:val="-4"/>
                <w:sz w:val="20"/>
              </w:rPr>
              <w:t>33.2</w:t>
            </w:r>
          </w:p>
        </w:tc>
        <w:tc>
          <w:tcPr>
            <w:tcW w:w="571" w:type="dxa"/>
          </w:tcPr>
          <w:p>
            <w:pPr>
              <w:pStyle w:val="TableParagraph"/>
              <w:spacing w:line="210" w:lineRule="exact"/>
              <w:ind w:right="204"/>
              <w:jc w:val="right"/>
              <w:rPr>
                <w:sz w:val="20"/>
              </w:rPr>
            </w:pPr>
            <w:r>
              <w:rPr>
                <w:spacing w:val="-5"/>
                <w:sz w:val="20"/>
              </w:rPr>
              <w:t>16</w:t>
            </w:r>
          </w:p>
        </w:tc>
        <w:tc>
          <w:tcPr>
            <w:tcW w:w="859" w:type="dxa"/>
          </w:tcPr>
          <w:p>
            <w:pPr>
              <w:pStyle w:val="TableParagraph"/>
              <w:spacing w:line="210" w:lineRule="exact"/>
              <w:ind w:left="1" w:right="26"/>
              <w:jc w:val="center"/>
              <w:rPr>
                <w:sz w:val="20"/>
              </w:rPr>
            </w:pPr>
            <w:r>
              <w:rPr>
                <w:spacing w:val="-5"/>
                <w:sz w:val="20"/>
              </w:rPr>
              <w:t>6.8</w:t>
            </w:r>
          </w:p>
        </w:tc>
        <w:tc>
          <w:tcPr>
            <w:tcW w:w="684" w:type="dxa"/>
          </w:tcPr>
          <w:p>
            <w:pPr>
              <w:pStyle w:val="TableParagraph"/>
              <w:spacing w:line="210" w:lineRule="exact"/>
              <w:ind w:left="68" w:right="2"/>
              <w:jc w:val="center"/>
              <w:rPr>
                <w:sz w:val="20"/>
              </w:rPr>
            </w:pPr>
            <w:r>
              <w:rPr>
                <w:spacing w:val="-10"/>
                <w:sz w:val="20"/>
              </w:rPr>
              <w:t>1</w:t>
            </w:r>
          </w:p>
        </w:tc>
        <w:tc>
          <w:tcPr>
            <w:tcW w:w="799" w:type="dxa"/>
          </w:tcPr>
          <w:p>
            <w:pPr>
              <w:pStyle w:val="TableParagraph"/>
              <w:spacing w:line="210" w:lineRule="exact"/>
              <w:ind w:left="23" w:right="5"/>
              <w:jc w:val="center"/>
              <w:rPr>
                <w:sz w:val="20"/>
              </w:rPr>
            </w:pPr>
            <w:r>
              <w:rPr>
                <w:spacing w:val="-5"/>
                <w:sz w:val="20"/>
              </w:rPr>
              <w:t>0.4</w:t>
            </w:r>
          </w:p>
        </w:tc>
        <w:tc>
          <w:tcPr>
            <w:tcW w:w="626" w:type="dxa"/>
          </w:tcPr>
          <w:p>
            <w:pPr>
              <w:pStyle w:val="TableParagraph"/>
              <w:spacing w:line="210" w:lineRule="exact"/>
              <w:ind w:left="21" w:right="2"/>
              <w:jc w:val="center"/>
              <w:rPr>
                <w:sz w:val="20"/>
              </w:rPr>
            </w:pPr>
            <w:r>
              <w:rPr>
                <w:spacing w:val="-10"/>
                <w:sz w:val="20"/>
              </w:rPr>
              <w:t>1</w:t>
            </w:r>
          </w:p>
        </w:tc>
        <w:tc>
          <w:tcPr>
            <w:tcW w:w="729" w:type="dxa"/>
          </w:tcPr>
          <w:p>
            <w:pPr>
              <w:pStyle w:val="TableParagraph"/>
              <w:spacing w:line="210" w:lineRule="exact"/>
              <w:ind w:left="86" w:right="6"/>
              <w:jc w:val="center"/>
              <w:rPr>
                <w:sz w:val="20"/>
              </w:rPr>
            </w:pPr>
            <w:r>
              <w:rPr>
                <w:spacing w:val="-5"/>
                <w:sz w:val="20"/>
              </w:rPr>
              <w:t>0.4</w:t>
            </w:r>
          </w:p>
        </w:tc>
        <w:tc>
          <w:tcPr>
            <w:tcW w:w="731" w:type="dxa"/>
          </w:tcPr>
          <w:p>
            <w:pPr>
              <w:pStyle w:val="TableParagraph"/>
              <w:spacing w:line="210" w:lineRule="exact"/>
              <w:ind w:right="168"/>
              <w:jc w:val="right"/>
              <w:rPr>
                <w:sz w:val="20"/>
              </w:rPr>
            </w:pPr>
            <w:r>
              <w:rPr>
                <w:spacing w:val="-5"/>
                <w:sz w:val="20"/>
              </w:rPr>
              <w:t>235</w:t>
            </w:r>
          </w:p>
        </w:tc>
        <w:tc>
          <w:tcPr>
            <w:tcW w:w="737" w:type="dxa"/>
            <w:tcBorders>
              <w:right w:val="single" w:sz="4" w:space="0" w:color="000000"/>
            </w:tcBorders>
          </w:tcPr>
          <w:p>
            <w:pPr>
              <w:pStyle w:val="TableParagraph"/>
              <w:spacing w:line="210" w:lineRule="exact"/>
              <w:ind w:left="58" w:right="16"/>
              <w:jc w:val="center"/>
              <w:rPr>
                <w:sz w:val="20"/>
              </w:rPr>
            </w:pPr>
            <w:r>
              <w:rPr>
                <w:spacing w:val="-4"/>
                <w:sz w:val="20"/>
              </w:rPr>
              <w:t>50.8</w:t>
            </w:r>
          </w:p>
        </w:tc>
      </w:tr>
      <w:tr>
        <w:trPr>
          <w:trHeight w:val="280" w:hRule="atLeast"/>
        </w:trPr>
        <w:tc>
          <w:tcPr>
            <w:tcW w:w="4146" w:type="dxa"/>
            <w:tcBorders>
              <w:left w:val="single" w:sz="4" w:space="0" w:color="000000"/>
            </w:tcBorders>
          </w:tcPr>
          <w:p>
            <w:pPr>
              <w:pStyle w:val="TableParagraph"/>
              <w:spacing w:line="227" w:lineRule="exact"/>
              <w:ind w:left="830"/>
              <w:rPr>
                <w:sz w:val="20"/>
              </w:rPr>
            </w:pPr>
            <w:r>
              <w:rPr>
                <w:sz w:val="20"/>
              </w:rPr>
              <w:t>emanating</w:t>
            </w:r>
            <w:r>
              <w:rPr>
                <w:spacing w:val="-12"/>
                <w:sz w:val="20"/>
              </w:rPr>
              <w:t> </w:t>
            </w:r>
            <w:r>
              <w:rPr>
                <w:sz w:val="20"/>
              </w:rPr>
              <w:t>from</w:t>
            </w:r>
            <w:r>
              <w:rPr>
                <w:spacing w:val="-5"/>
                <w:sz w:val="20"/>
              </w:rPr>
              <w:t> </w:t>
            </w:r>
            <w:r>
              <w:rPr>
                <w:sz w:val="20"/>
              </w:rPr>
              <w:t>religious</w:t>
            </w:r>
            <w:r>
              <w:rPr>
                <w:spacing w:val="-9"/>
                <w:sz w:val="20"/>
              </w:rPr>
              <w:t> </w:t>
            </w:r>
            <w:r>
              <w:rPr>
                <w:spacing w:val="-2"/>
                <w:sz w:val="20"/>
              </w:rPr>
              <w:t>beliefs.</w:t>
            </w:r>
          </w:p>
        </w:tc>
        <w:tc>
          <w:tcPr>
            <w:tcW w:w="1978" w:type="dxa"/>
          </w:tcPr>
          <w:p>
            <w:pPr>
              <w:pStyle w:val="TableParagraph"/>
              <w:spacing w:line="211" w:lineRule="exact" w:before="50"/>
              <w:ind w:left="111"/>
              <w:rPr>
                <w:sz w:val="20"/>
              </w:rPr>
            </w:pPr>
            <w:r>
              <w:rPr>
                <w:sz w:val="20"/>
              </w:rPr>
              <w:t>Service</w:t>
            </w:r>
            <w:r>
              <w:rPr>
                <w:spacing w:val="-9"/>
                <w:sz w:val="20"/>
              </w:rPr>
              <w:t> </w:t>
            </w:r>
            <w:r>
              <w:rPr>
                <w:spacing w:val="-2"/>
                <w:sz w:val="20"/>
              </w:rPr>
              <w:t>Staff</w:t>
            </w:r>
          </w:p>
        </w:tc>
        <w:tc>
          <w:tcPr>
            <w:tcW w:w="701" w:type="dxa"/>
          </w:tcPr>
          <w:p>
            <w:pPr>
              <w:pStyle w:val="TableParagraph"/>
              <w:spacing w:line="211" w:lineRule="exact" w:before="50"/>
              <w:ind w:left="27" w:right="10"/>
              <w:jc w:val="center"/>
              <w:rPr>
                <w:sz w:val="20"/>
              </w:rPr>
            </w:pPr>
            <w:r>
              <w:rPr>
                <w:spacing w:val="-5"/>
                <w:sz w:val="20"/>
              </w:rPr>
              <w:t>116</w:t>
            </w:r>
          </w:p>
        </w:tc>
        <w:tc>
          <w:tcPr>
            <w:tcW w:w="748" w:type="dxa"/>
          </w:tcPr>
          <w:p>
            <w:pPr>
              <w:pStyle w:val="TableParagraph"/>
              <w:spacing w:line="211" w:lineRule="exact" w:before="50"/>
              <w:ind w:left="18"/>
              <w:jc w:val="center"/>
              <w:rPr>
                <w:sz w:val="20"/>
              </w:rPr>
            </w:pPr>
            <w:r>
              <w:rPr>
                <w:spacing w:val="-4"/>
                <w:sz w:val="20"/>
              </w:rPr>
              <w:t>57.1</w:t>
            </w:r>
          </w:p>
        </w:tc>
        <w:tc>
          <w:tcPr>
            <w:tcW w:w="662" w:type="dxa"/>
          </w:tcPr>
          <w:p>
            <w:pPr>
              <w:pStyle w:val="TableParagraph"/>
              <w:spacing w:line="211" w:lineRule="exact" w:before="50"/>
              <w:ind w:left="49" w:right="6"/>
              <w:jc w:val="center"/>
              <w:rPr>
                <w:sz w:val="20"/>
              </w:rPr>
            </w:pPr>
            <w:r>
              <w:rPr>
                <w:spacing w:val="-5"/>
                <w:sz w:val="20"/>
              </w:rPr>
              <w:t>69</w:t>
            </w:r>
          </w:p>
        </w:tc>
        <w:tc>
          <w:tcPr>
            <w:tcW w:w="787" w:type="dxa"/>
          </w:tcPr>
          <w:p>
            <w:pPr>
              <w:pStyle w:val="TableParagraph"/>
              <w:spacing w:line="211" w:lineRule="exact" w:before="50"/>
              <w:ind w:left="39"/>
              <w:jc w:val="center"/>
              <w:rPr>
                <w:sz w:val="20"/>
              </w:rPr>
            </w:pPr>
            <w:r>
              <w:rPr>
                <w:spacing w:val="-4"/>
                <w:sz w:val="20"/>
              </w:rPr>
              <w:t>34.0</w:t>
            </w:r>
          </w:p>
        </w:tc>
        <w:tc>
          <w:tcPr>
            <w:tcW w:w="571" w:type="dxa"/>
          </w:tcPr>
          <w:p>
            <w:pPr>
              <w:pStyle w:val="TableParagraph"/>
              <w:spacing w:line="211" w:lineRule="exact" w:before="50"/>
              <w:ind w:right="204"/>
              <w:jc w:val="right"/>
              <w:rPr>
                <w:sz w:val="20"/>
              </w:rPr>
            </w:pPr>
            <w:r>
              <w:rPr>
                <w:spacing w:val="-5"/>
                <w:sz w:val="20"/>
              </w:rPr>
              <w:t>14</w:t>
            </w:r>
          </w:p>
        </w:tc>
        <w:tc>
          <w:tcPr>
            <w:tcW w:w="859" w:type="dxa"/>
          </w:tcPr>
          <w:p>
            <w:pPr>
              <w:pStyle w:val="TableParagraph"/>
              <w:spacing w:line="211" w:lineRule="exact" w:before="50"/>
              <w:ind w:left="1" w:right="26"/>
              <w:jc w:val="center"/>
              <w:rPr>
                <w:sz w:val="20"/>
              </w:rPr>
            </w:pPr>
            <w:r>
              <w:rPr>
                <w:spacing w:val="-5"/>
                <w:sz w:val="20"/>
              </w:rPr>
              <w:t>6.9</w:t>
            </w:r>
          </w:p>
        </w:tc>
        <w:tc>
          <w:tcPr>
            <w:tcW w:w="684" w:type="dxa"/>
          </w:tcPr>
          <w:p>
            <w:pPr>
              <w:pStyle w:val="TableParagraph"/>
              <w:spacing w:line="211" w:lineRule="exact" w:before="50"/>
              <w:ind w:left="68" w:right="2"/>
              <w:jc w:val="center"/>
              <w:rPr>
                <w:sz w:val="20"/>
              </w:rPr>
            </w:pPr>
            <w:r>
              <w:rPr>
                <w:spacing w:val="-10"/>
                <w:sz w:val="20"/>
              </w:rPr>
              <w:t>3</w:t>
            </w:r>
          </w:p>
        </w:tc>
        <w:tc>
          <w:tcPr>
            <w:tcW w:w="799" w:type="dxa"/>
          </w:tcPr>
          <w:p>
            <w:pPr>
              <w:pStyle w:val="TableParagraph"/>
              <w:spacing w:line="211" w:lineRule="exact" w:before="50"/>
              <w:ind w:left="23" w:right="5"/>
              <w:jc w:val="center"/>
              <w:rPr>
                <w:sz w:val="20"/>
              </w:rPr>
            </w:pPr>
            <w:r>
              <w:rPr>
                <w:spacing w:val="-5"/>
                <w:sz w:val="20"/>
              </w:rPr>
              <w:t>1.5</w:t>
            </w:r>
          </w:p>
        </w:tc>
        <w:tc>
          <w:tcPr>
            <w:tcW w:w="626" w:type="dxa"/>
          </w:tcPr>
          <w:p>
            <w:pPr>
              <w:pStyle w:val="TableParagraph"/>
              <w:spacing w:line="211" w:lineRule="exact" w:before="50"/>
              <w:ind w:left="21" w:right="2"/>
              <w:jc w:val="center"/>
              <w:rPr>
                <w:sz w:val="20"/>
              </w:rPr>
            </w:pPr>
            <w:r>
              <w:rPr>
                <w:spacing w:val="-10"/>
                <w:sz w:val="20"/>
              </w:rPr>
              <w:t>1</w:t>
            </w:r>
          </w:p>
        </w:tc>
        <w:tc>
          <w:tcPr>
            <w:tcW w:w="729" w:type="dxa"/>
          </w:tcPr>
          <w:p>
            <w:pPr>
              <w:pStyle w:val="TableParagraph"/>
              <w:spacing w:line="211" w:lineRule="exact" w:before="50"/>
              <w:ind w:left="86" w:right="6"/>
              <w:jc w:val="center"/>
              <w:rPr>
                <w:sz w:val="20"/>
              </w:rPr>
            </w:pPr>
            <w:r>
              <w:rPr>
                <w:spacing w:val="-5"/>
                <w:sz w:val="20"/>
              </w:rPr>
              <w:t>0.5</w:t>
            </w:r>
          </w:p>
        </w:tc>
        <w:tc>
          <w:tcPr>
            <w:tcW w:w="731" w:type="dxa"/>
          </w:tcPr>
          <w:p>
            <w:pPr>
              <w:pStyle w:val="TableParagraph"/>
              <w:spacing w:line="211" w:lineRule="exact" w:before="50"/>
              <w:ind w:right="168"/>
              <w:jc w:val="right"/>
              <w:rPr>
                <w:sz w:val="20"/>
              </w:rPr>
            </w:pPr>
            <w:r>
              <w:rPr>
                <w:spacing w:val="-5"/>
                <w:sz w:val="20"/>
              </w:rPr>
              <w:t>203</w:t>
            </w:r>
          </w:p>
        </w:tc>
        <w:tc>
          <w:tcPr>
            <w:tcW w:w="737" w:type="dxa"/>
            <w:tcBorders>
              <w:right w:val="single" w:sz="4" w:space="0" w:color="000000"/>
            </w:tcBorders>
          </w:tcPr>
          <w:p>
            <w:pPr>
              <w:pStyle w:val="TableParagraph"/>
              <w:spacing w:line="211" w:lineRule="exact" w:before="50"/>
              <w:ind w:left="58" w:right="16"/>
              <w:jc w:val="center"/>
              <w:rPr>
                <w:sz w:val="20"/>
              </w:rPr>
            </w:pPr>
            <w:r>
              <w:rPr>
                <w:spacing w:val="-4"/>
                <w:sz w:val="20"/>
              </w:rPr>
              <w:t>43.8</w:t>
            </w:r>
          </w:p>
        </w:tc>
      </w:tr>
      <w:tr>
        <w:trPr>
          <w:trHeight w:val="235" w:hRule="atLeast"/>
        </w:trPr>
        <w:tc>
          <w:tcPr>
            <w:tcW w:w="4146" w:type="dxa"/>
            <w:tcBorders>
              <w:left w:val="single" w:sz="4" w:space="0" w:color="000000"/>
            </w:tcBorders>
          </w:tcPr>
          <w:p>
            <w:pPr>
              <w:pStyle w:val="TableParagraph"/>
              <w:rPr>
                <w:rFonts w:ascii="Times New Roman"/>
                <w:sz w:val="16"/>
              </w:rPr>
            </w:pPr>
          </w:p>
        </w:tc>
        <w:tc>
          <w:tcPr>
            <w:tcW w:w="1978" w:type="dxa"/>
          </w:tcPr>
          <w:p>
            <w:pPr>
              <w:pStyle w:val="TableParagraph"/>
              <w:spacing w:line="215" w:lineRule="exact"/>
              <w:ind w:left="111"/>
              <w:rPr>
                <w:sz w:val="20"/>
              </w:rPr>
            </w:pPr>
            <w:r>
              <w:rPr>
                <w:sz w:val="20"/>
              </w:rPr>
              <w:t>Top</w:t>
            </w:r>
            <w:r>
              <w:rPr>
                <w:spacing w:val="-1"/>
                <w:sz w:val="20"/>
              </w:rPr>
              <w:t> </w:t>
            </w:r>
            <w:r>
              <w:rPr>
                <w:spacing w:val="-2"/>
                <w:sz w:val="20"/>
              </w:rPr>
              <w:t>Management</w:t>
            </w:r>
          </w:p>
        </w:tc>
        <w:tc>
          <w:tcPr>
            <w:tcW w:w="701" w:type="dxa"/>
          </w:tcPr>
          <w:p>
            <w:pPr>
              <w:pStyle w:val="TableParagraph"/>
              <w:spacing w:line="215" w:lineRule="exact"/>
              <w:ind w:left="27" w:right="5"/>
              <w:jc w:val="center"/>
              <w:rPr>
                <w:sz w:val="20"/>
              </w:rPr>
            </w:pPr>
            <w:r>
              <w:rPr>
                <w:spacing w:val="-5"/>
                <w:sz w:val="20"/>
              </w:rPr>
              <w:t>14</w:t>
            </w:r>
          </w:p>
        </w:tc>
        <w:tc>
          <w:tcPr>
            <w:tcW w:w="748" w:type="dxa"/>
          </w:tcPr>
          <w:p>
            <w:pPr>
              <w:pStyle w:val="TableParagraph"/>
              <w:spacing w:line="215" w:lineRule="exact"/>
              <w:ind w:left="18"/>
              <w:jc w:val="center"/>
              <w:rPr>
                <w:sz w:val="20"/>
              </w:rPr>
            </w:pPr>
            <w:r>
              <w:rPr>
                <w:spacing w:val="-4"/>
                <w:sz w:val="20"/>
              </w:rPr>
              <w:t>60.9</w:t>
            </w:r>
          </w:p>
        </w:tc>
        <w:tc>
          <w:tcPr>
            <w:tcW w:w="662" w:type="dxa"/>
          </w:tcPr>
          <w:p>
            <w:pPr>
              <w:pStyle w:val="TableParagraph"/>
              <w:spacing w:line="215" w:lineRule="exact"/>
              <w:ind w:left="49" w:right="1"/>
              <w:jc w:val="center"/>
              <w:rPr>
                <w:sz w:val="20"/>
              </w:rPr>
            </w:pPr>
            <w:r>
              <w:rPr>
                <w:spacing w:val="-10"/>
                <w:sz w:val="20"/>
              </w:rPr>
              <w:t>7</w:t>
            </w:r>
          </w:p>
        </w:tc>
        <w:tc>
          <w:tcPr>
            <w:tcW w:w="787" w:type="dxa"/>
          </w:tcPr>
          <w:p>
            <w:pPr>
              <w:pStyle w:val="TableParagraph"/>
              <w:spacing w:line="215" w:lineRule="exact"/>
              <w:ind w:left="39"/>
              <w:jc w:val="center"/>
              <w:rPr>
                <w:sz w:val="20"/>
              </w:rPr>
            </w:pPr>
            <w:r>
              <w:rPr>
                <w:spacing w:val="-4"/>
                <w:sz w:val="20"/>
              </w:rPr>
              <w:t>30.4</w:t>
            </w:r>
          </w:p>
        </w:tc>
        <w:tc>
          <w:tcPr>
            <w:tcW w:w="571" w:type="dxa"/>
          </w:tcPr>
          <w:p>
            <w:pPr>
              <w:pStyle w:val="TableParagraph"/>
              <w:spacing w:line="215" w:lineRule="exact"/>
              <w:ind w:right="257"/>
              <w:jc w:val="right"/>
              <w:rPr>
                <w:sz w:val="20"/>
              </w:rPr>
            </w:pPr>
            <w:r>
              <w:rPr>
                <w:spacing w:val="-10"/>
                <w:sz w:val="20"/>
              </w:rPr>
              <w:t>2</w:t>
            </w:r>
          </w:p>
        </w:tc>
        <w:tc>
          <w:tcPr>
            <w:tcW w:w="859" w:type="dxa"/>
          </w:tcPr>
          <w:p>
            <w:pPr>
              <w:pStyle w:val="TableParagraph"/>
              <w:spacing w:line="215" w:lineRule="exact"/>
              <w:ind w:left="1" w:right="26"/>
              <w:jc w:val="center"/>
              <w:rPr>
                <w:sz w:val="20"/>
              </w:rPr>
            </w:pPr>
            <w:r>
              <w:rPr>
                <w:spacing w:val="-5"/>
                <w:sz w:val="20"/>
              </w:rPr>
              <w:t>8.7</w:t>
            </w:r>
          </w:p>
        </w:tc>
        <w:tc>
          <w:tcPr>
            <w:tcW w:w="684" w:type="dxa"/>
          </w:tcPr>
          <w:p>
            <w:pPr>
              <w:pStyle w:val="TableParagraph"/>
              <w:spacing w:line="215" w:lineRule="exact"/>
              <w:ind w:left="68" w:right="8"/>
              <w:jc w:val="center"/>
              <w:rPr>
                <w:sz w:val="20"/>
              </w:rPr>
            </w:pPr>
            <w:r>
              <w:rPr>
                <w:spacing w:val="-10"/>
                <w:sz w:val="20"/>
              </w:rPr>
              <w:t>-</w:t>
            </w:r>
          </w:p>
        </w:tc>
        <w:tc>
          <w:tcPr>
            <w:tcW w:w="799" w:type="dxa"/>
          </w:tcPr>
          <w:p>
            <w:pPr>
              <w:pStyle w:val="TableParagraph"/>
              <w:spacing w:line="215" w:lineRule="exact"/>
              <w:ind w:left="23" w:right="6"/>
              <w:jc w:val="center"/>
              <w:rPr>
                <w:sz w:val="20"/>
              </w:rPr>
            </w:pPr>
            <w:r>
              <w:rPr>
                <w:spacing w:val="-10"/>
                <w:sz w:val="20"/>
              </w:rPr>
              <w:t>-</w:t>
            </w:r>
          </w:p>
        </w:tc>
        <w:tc>
          <w:tcPr>
            <w:tcW w:w="626" w:type="dxa"/>
          </w:tcPr>
          <w:p>
            <w:pPr>
              <w:pStyle w:val="TableParagraph"/>
              <w:spacing w:line="215" w:lineRule="exact"/>
              <w:ind w:left="20" w:right="8"/>
              <w:jc w:val="center"/>
              <w:rPr>
                <w:sz w:val="20"/>
              </w:rPr>
            </w:pPr>
            <w:r>
              <w:rPr>
                <w:spacing w:val="-10"/>
                <w:sz w:val="20"/>
              </w:rPr>
              <w:t>-</w:t>
            </w:r>
          </w:p>
        </w:tc>
        <w:tc>
          <w:tcPr>
            <w:tcW w:w="729" w:type="dxa"/>
          </w:tcPr>
          <w:p>
            <w:pPr>
              <w:pStyle w:val="TableParagraph"/>
              <w:spacing w:line="215" w:lineRule="exact"/>
              <w:ind w:left="85" w:right="7"/>
              <w:jc w:val="center"/>
              <w:rPr>
                <w:sz w:val="20"/>
              </w:rPr>
            </w:pPr>
            <w:r>
              <w:rPr>
                <w:spacing w:val="-10"/>
                <w:sz w:val="20"/>
              </w:rPr>
              <w:t>-</w:t>
            </w:r>
          </w:p>
        </w:tc>
        <w:tc>
          <w:tcPr>
            <w:tcW w:w="731" w:type="dxa"/>
          </w:tcPr>
          <w:p>
            <w:pPr>
              <w:pStyle w:val="TableParagraph"/>
              <w:spacing w:line="215" w:lineRule="exact"/>
              <w:ind w:right="221"/>
              <w:jc w:val="right"/>
              <w:rPr>
                <w:sz w:val="20"/>
              </w:rPr>
            </w:pPr>
            <w:r>
              <w:rPr>
                <w:spacing w:val="-5"/>
                <w:sz w:val="20"/>
              </w:rPr>
              <w:t>23</w:t>
            </w:r>
          </w:p>
        </w:tc>
        <w:tc>
          <w:tcPr>
            <w:tcW w:w="737" w:type="dxa"/>
            <w:tcBorders>
              <w:right w:val="single" w:sz="4" w:space="0" w:color="000000"/>
            </w:tcBorders>
          </w:tcPr>
          <w:p>
            <w:pPr>
              <w:pStyle w:val="TableParagraph"/>
              <w:spacing w:line="215" w:lineRule="exact"/>
              <w:ind w:left="58" w:right="21"/>
              <w:jc w:val="center"/>
              <w:rPr>
                <w:sz w:val="20"/>
              </w:rPr>
            </w:pPr>
            <w:r>
              <w:rPr>
                <w:spacing w:val="-5"/>
                <w:sz w:val="20"/>
              </w:rPr>
              <w:t>5.0</w:t>
            </w:r>
          </w:p>
        </w:tc>
      </w:tr>
      <w:tr>
        <w:trPr>
          <w:trHeight w:val="237" w:hRule="atLeast"/>
        </w:trPr>
        <w:tc>
          <w:tcPr>
            <w:tcW w:w="4146" w:type="dxa"/>
            <w:tcBorders>
              <w:left w:val="single" w:sz="4" w:space="0" w:color="000000"/>
            </w:tcBorders>
          </w:tcPr>
          <w:p>
            <w:pPr>
              <w:pStyle w:val="TableParagraph"/>
              <w:tabs>
                <w:tab w:pos="609" w:val="left" w:leader="none"/>
              </w:tabs>
              <w:spacing w:line="213" w:lineRule="exact" w:before="4"/>
              <w:ind w:right="102"/>
              <w:jc w:val="right"/>
              <w:rPr>
                <w:sz w:val="20"/>
              </w:rPr>
            </w:pPr>
            <w:r>
              <w:rPr>
                <w:spacing w:val="-5"/>
                <w:sz w:val="20"/>
              </w:rPr>
              <w:t>66.</w:t>
            </w:r>
            <w:r>
              <w:rPr>
                <w:sz w:val="20"/>
              </w:rPr>
              <w:tab/>
              <w:t>Students</w:t>
            </w:r>
            <w:r>
              <w:rPr>
                <w:spacing w:val="25"/>
                <w:sz w:val="20"/>
              </w:rPr>
              <w:t> </w:t>
            </w:r>
            <w:r>
              <w:rPr>
                <w:sz w:val="20"/>
              </w:rPr>
              <w:t>from</w:t>
            </w:r>
            <w:r>
              <w:rPr>
                <w:spacing w:val="30"/>
                <w:sz w:val="20"/>
              </w:rPr>
              <w:t> </w:t>
            </w:r>
            <w:r>
              <w:rPr>
                <w:sz w:val="20"/>
              </w:rPr>
              <w:t>different</w:t>
            </w:r>
            <w:r>
              <w:rPr>
                <w:spacing w:val="23"/>
                <w:sz w:val="20"/>
              </w:rPr>
              <w:t> </w:t>
            </w:r>
            <w:r>
              <w:rPr>
                <w:sz w:val="20"/>
              </w:rPr>
              <w:t>faiths</w:t>
            </w:r>
            <w:r>
              <w:rPr>
                <w:spacing w:val="26"/>
                <w:sz w:val="20"/>
              </w:rPr>
              <w:t> </w:t>
            </w:r>
            <w:r>
              <w:rPr>
                <w:spacing w:val="-4"/>
                <w:sz w:val="20"/>
              </w:rPr>
              <w:t>other</w:t>
            </w:r>
          </w:p>
        </w:tc>
        <w:tc>
          <w:tcPr>
            <w:tcW w:w="1978" w:type="dxa"/>
          </w:tcPr>
          <w:p>
            <w:pPr>
              <w:pStyle w:val="TableParagraph"/>
              <w:spacing w:line="213" w:lineRule="exact" w:before="4"/>
              <w:ind w:left="111"/>
              <w:rPr>
                <w:sz w:val="20"/>
              </w:rPr>
            </w:pPr>
            <w:r>
              <w:rPr>
                <w:sz w:val="20"/>
              </w:rPr>
              <w:t>No.</w:t>
            </w:r>
            <w:r>
              <w:rPr>
                <w:spacing w:val="-5"/>
                <w:sz w:val="20"/>
              </w:rPr>
              <w:t> </w:t>
            </w:r>
            <w:r>
              <w:rPr>
                <w:sz w:val="20"/>
              </w:rPr>
              <w:t>of</w:t>
            </w:r>
            <w:r>
              <w:rPr>
                <w:spacing w:val="-2"/>
                <w:sz w:val="20"/>
              </w:rPr>
              <w:t> missing</w:t>
            </w:r>
          </w:p>
        </w:tc>
        <w:tc>
          <w:tcPr>
            <w:tcW w:w="701" w:type="dxa"/>
          </w:tcPr>
          <w:p>
            <w:pPr>
              <w:pStyle w:val="TableParagraph"/>
              <w:rPr>
                <w:rFonts w:ascii="Times New Roman"/>
                <w:sz w:val="16"/>
              </w:rPr>
            </w:pPr>
          </w:p>
        </w:tc>
        <w:tc>
          <w:tcPr>
            <w:tcW w:w="748" w:type="dxa"/>
          </w:tcPr>
          <w:p>
            <w:pPr>
              <w:pStyle w:val="TableParagraph"/>
              <w:rPr>
                <w:rFonts w:ascii="Times New Roman"/>
                <w:sz w:val="16"/>
              </w:rPr>
            </w:pPr>
          </w:p>
        </w:tc>
        <w:tc>
          <w:tcPr>
            <w:tcW w:w="662" w:type="dxa"/>
          </w:tcPr>
          <w:p>
            <w:pPr>
              <w:pStyle w:val="TableParagraph"/>
              <w:rPr>
                <w:rFonts w:ascii="Times New Roman"/>
                <w:sz w:val="16"/>
              </w:rPr>
            </w:pPr>
          </w:p>
        </w:tc>
        <w:tc>
          <w:tcPr>
            <w:tcW w:w="787" w:type="dxa"/>
          </w:tcPr>
          <w:p>
            <w:pPr>
              <w:pStyle w:val="TableParagraph"/>
              <w:rPr>
                <w:rFonts w:ascii="Times New Roman"/>
                <w:sz w:val="16"/>
              </w:rPr>
            </w:pPr>
          </w:p>
        </w:tc>
        <w:tc>
          <w:tcPr>
            <w:tcW w:w="571" w:type="dxa"/>
          </w:tcPr>
          <w:p>
            <w:pPr>
              <w:pStyle w:val="TableParagraph"/>
              <w:rPr>
                <w:rFonts w:ascii="Times New Roman"/>
                <w:sz w:val="16"/>
              </w:rPr>
            </w:pPr>
          </w:p>
        </w:tc>
        <w:tc>
          <w:tcPr>
            <w:tcW w:w="859" w:type="dxa"/>
          </w:tcPr>
          <w:p>
            <w:pPr>
              <w:pStyle w:val="TableParagraph"/>
              <w:rPr>
                <w:rFonts w:ascii="Times New Roman"/>
                <w:sz w:val="16"/>
              </w:rPr>
            </w:pPr>
          </w:p>
        </w:tc>
        <w:tc>
          <w:tcPr>
            <w:tcW w:w="684" w:type="dxa"/>
          </w:tcPr>
          <w:p>
            <w:pPr>
              <w:pStyle w:val="TableParagraph"/>
              <w:rPr>
                <w:rFonts w:ascii="Times New Roman"/>
                <w:sz w:val="16"/>
              </w:rPr>
            </w:pPr>
          </w:p>
        </w:tc>
        <w:tc>
          <w:tcPr>
            <w:tcW w:w="799" w:type="dxa"/>
          </w:tcPr>
          <w:p>
            <w:pPr>
              <w:pStyle w:val="TableParagraph"/>
              <w:rPr>
                <w:rFonts w:ascii="Times New Roman"/>
                <w:sz w:val="16"/>
              </w:rPr>
            </w:pPr>
          </w:p>
        </w:tc>
        <w:tc>
          <w:tcPr>
            <w:tcW w:w="626" w:type="dxa"/>
          </w:tcPr>
          <w:p>
            <w:pPr>
              <w:pStyle w:val="TableParagraph"/>
              <w:rPr>
                <w:rFonts w:ascii="Times New Roman"/>
                <w:sz w:val="16"/>
              </w:rPr>
            </w:pPr>
          </w:p>
        </w:tc>
        <w:tc>
          <w:tcPr>
            <w:tcW w:w="729" w:type="dxa"/>
          </w:tcPr>
          <w:p>
            <w:pPr>
              <w:pStyle w:val="TableParagraph"/>
              <w:rPr>
                <w:rFonts w:ascii="Times New Roman"/>
                <w:sz w:val="16"/>
              </w:rPr>
            </w:pPr>
          </w:p>
        </w:tc>
        <w:tc>
          <w:tcPr>
            <w:tcW w:w="731" w:type="dxa"/>
          </w:tcPr>
          <w:p>
            <w:pPr>
              <w:pStyle w:val="TableParagraph"/>
              <w:rPr>
                <w:rFonts w:ascii="Times New Roman"/>
                <w:sz w:val="16"/>
              </w:rPr>
            </w:pPr>
          </w:p>
        </w:tc>
        <w:tc>
          <w:tcPr>
            <w:tcW w:w="737" w:type="dxa"/>
            <w:tcBorders>
              <w:right w:val="single" w:sz="4" w:space="0" w:color="000000"/>
            </w:tcBorders>
          </w:tcPr>
          <w:p>
            <w:pPr>
              <w:pStyle w:val="TableParagraph"/>
              <w:rPr>
                <w:rFonts w:ascii="Times New Roman"/>
                <w:sz w:val="16"/>
              </w:rPr>
            </w:pPr>
          </w:p>
        </w:tc>
      </w:tr>
      <w:tr>
        <w:trPr>
          <w:trHeight w:val="230" w:hRule="atLeast"/>
        </w:trPr>
        <w:tc>
          <w:tcPr>
            <w:tcW w:w="4146" w:type="dxa"/>
            <w:tcBorders>
              <w:left w:val="single" w:sz="4" w:space="0" w:color="000000"/>
            </w:tcBorders>
          </w:tcPr>
          <w:p>
            <w:pPr>
              <w:pStyle w:val="TableParagraph"/>
              <w:spacing w:line="210" w:lineRule="exact"/>
              <w:ind w:right="103"/>
              <w:jc w:val="right"/>
              <w:rPr>
                <w:sz w:val="20"/>
              </w:rPr>
            </w:pPr>
            <w:r>
              <w:rPr>
                <w:sz w:val="20"/>
              </w:rPr>
              <w:t>than</w:t>
            </w:r>
            <w:r>
              <w:rPr>
                <w:spacing w:val="27"/>
                <w:sz w:val="20"/>
              </w:rPr>
              <w:t> </w:t>
            </w:r>
            <w:r>
              <w:rPr>
                <w:sz w:val="20"/>
              </w:rPr>
              <w:t>Islam</w:t>
            </w:r>
            <w:r>
              <w:rPr>
                <w:spacing w:val="32"/>
                <w:sz w:val="20"/>
              </w:rPr>
              <w:t> </w:t>
            </w:r>
            <w:r>
              <w:rPr>
                <w:sz w:val="20"/>
              </w:rPr>
              <w:t>and</w:t>
            </w:r>
            <w:r>
              <w:rPr>
                <w:spacing w:val="27"/>
                <w:sz w:val="20"/>
              </w:rPr>
              <w:t> </w:t>
            </w:r>
            <w:r>
              <w:rPr>
                <w:sz w:val="20"/>
              </w:rPr>
              <w:t>Christianity</w:t>
            </w:r>
            <w:r>
              <w:rPr>
                <w:spacing w:val="28"/>
                <w:sz w:val="20"/>
              </w:rPr>
              <w:t> </w:t>
            </w:r>
            <w:r>
              <w:rPr>
                <w:sz w:val="20"/>
              </w:rPr>
              <w:t>are</w:t>
            </w:r>
            <w:r>
              <w:rPr>
                <w:spacing w:val="23"/>
                <w:sz w:val="20"/>
              </w:rPr>
              <w:t> </w:t>
            </w:r>
            <w:r>
              <w:rPr>
                <w:spacing w:val="-5"/>
                <w:sz w:val="20"/>
              </w:rPr>
              <w:t>not</w:t>
            </w:r>
          </w:p>
        </w:tc>
        <w:tc>
          <w:tcPr>
            <w:tcW w:w="1978" w:type="dxa"/>
          </w:tcPr>
          <w:p>
            <w:pPr>
              <w:pStyle w:val="TableParagraph"/>
              <w:spacing w:line="210" w:lineRule="exact"/>
              <w:ind w:left="111"/>
              <w:rPr>
                <w:sz w:val="20"/>
              </w:rPr>
            </w:pPr>
            <w:r>
              <w:rPr>
                <w:spacing w:val="-2"/>
                <w:sz w:val="20"/>
              </w:rPr>
              <w:t>observations</w:t>
            </w:r>
          </w:p>
        </w:tc>
        <w:tc>
          <w:tcPr>
            <w:tcW w:w="701" w:type="dxa"/>
          </w:tcPr>
          <w:p>
            <w:pPr>
              <w:pStyle w:val="TableParagraph"/>
              <w:spacing w:line="210" w:lineRule="exact"/>
              <w:ind w:left="27"/>
              <w:jc w:val="center"/>
              <w:rPr>
                <w:sz w:val="20"/>
              </w:rPr>
            </w:pPr>
            <w:r>
              <w:rPr>
                <w:spacing w:val="-10"/>
                <w:sz w:val="20"/>
              </w:rPr>
              <w:t>1</w:t>
            </w:r>
          </w:p>
        </w:tc>
        <w:tc>
          <w:tcPr>
            <w:tcW w:w="748" w:type="dxa"/>
          </w:tcPr>
          <w:p>
            <w:pPr>
              <w:pStyle w:val="TableParagraph"/>
              <w:spacing w:line="210" w:lineRule="exact"/>
              <w:ind w:left="18"/>
              <w:jc w:val="center"/>
              <w:rPr>
                <w:sz w:val="20"/>
              </w:rPr>
            </w:pPr>
            <w:r>
              <w:rPr>
                <w:spacing w:val="-4"/>
                <w:sz w:val="20"/>
              </w:rPr>
              <w:t>50.0</w:t>
            </w:r>
          </w:p>
        </w:tc>
        <w:tc>
          <w:tcPr>
            <w:tcW w:w="662" w:type="dxa"/>
          </w:tcPr>
          <w:p>
            <w:pPr>
              <w:pStyle w:val="TableParagraph"/>
              <w:spacing w:line="210" w:lineRule="exact"/>
              <w:ind w:left="49" w:right="8"/>
              <w:jc w:val="center"/>
              <w:rPr>
                <w:sz w:val="20"/>
              </w:rPr>
            </w:pPr>
            <w:r>
              <w:rPr>
                <w:spacing w:val="-10"/>
                <w:sz w:val="20"/>
              </w:rPr>
              <w:t>-</w:t>
            </w:r>
          </w:p>
        </w:tc>
        <w:tc>
          <w:tcPr>
            <w:tcW w:w="787" w:type="dxa"/>
          </w:tcPr>
          <w:p>
            <w:pPr>
              <w:pStyle w:val="TableParagraph"/>
              <w:spacing w:line="210" w:lineRule="exact"/>
              <w:ind w:left="39" w:right="7"/>
              <w:jc w:val="center"/>
              <w:rPr>
                <w:sz w:val="20"/>
              </w:rPr>
            </w:pPr>
            <w:r>
              <w:rPr>
                <w:spacing w:val="-10"/>
                <w:sz w:val="20"/>
              </w:rPr>
              <w:t>-</w:t>
            </w:r>
          </w:p>
        </w:tc>
        <w:tc>
          <w:tcPr>
            <w:tcW w:w="571" w:type="dxa"/>
          </w:tcPr>
          <w:p>
            <w:pPr>
              <w:pStyle w:val="TableParagraph"/>
              <w:spacing w:line="210" w:lineRule="exact"/>
              <w:ind w:right="283"/>
              <w:jc w:val="right"/>
              <w:rPr>
                <w:sz w:val="20"/>
              </w:rPr>
            </w:pPr>
            <w:r>
              <w:rPr>
                <w:spacing w:val="-10"/>
                <w:sz w:val="20"/>
              </w:rPr>
              <w:t>-</w:t>
            </w:r>
          </w:p>
        </w:tc>
        <w:tc>
          <w:tcPr>
            <w:tcW w:w="859" w:type="dxa"/>
          </w:tcPr>
          <w:p>
            <w:pPr>
              <w:pStyle w:val="TableParagraph"/>
              <w:spacing w:line="210" w:lineRule="exact"/>
              <w:ind w:right="26"/>
              <w:jc w:val="center"/>
              <w:rPr>
                <w:sz w:val="20"/>
              </w:rPr>
            </w:pPr>
            <w:r>
              <w:rPr>
                <w:spacing w:val="-10"/>
                <w:sz w:val="20"/>
              </w:rPr>
              <w:t>-</w:t>
            </w:r>
          </w:p>
        </w:tc>
        <w:tc>
          <w:tcPr>
            <w:tcW w:w="684" w:type="dxa"/>
          </w:tcPr>
          <w:p>
            <w:pPr>
              <w:pStyle w:val="TableParagraph"/>
              <w:spacing w:line="210" w:lineRule="exact"/>
              <w:ind w:left="68" w:right="2"/>
              <w:jc w:val="center"/>
              <w:rPr>
                <w:sz w:val="20"/>
              </w:rPr>
            </w:pPr>
            <w:r>
              <w:rPr>
                <w:spacing w:val="-10"/>
                <w:sz w:val="20"/>
              </w:rPr>
              <w:t>1</w:t>
            </w:r>
          </w:p>
        </w:tc>
        <w:tc>
          <w:tcPr>
            <w:tcW w:w="799" w:type="dxa"/>
          </w:tcPr>
          <w:p>
            <w:pPr>
              <w:pStyle w:val="TableParagraph"/>
              <w:spacing w:line="210" w:lineRule="exact"/>
              <w:ind w:left="23"/>
              <w:jc w:val="center"/>
              <w:rPr>
                <w:sz w:val="20"/>
              </w:rPr>
            </w:pPr>
            <w:r>
              <w:rPr>
                <w:spacing w:val="-4"/>
                <w:sz w:val="20"/>
              </w:rPr>
              <w:t>50.0</w:t>
            </w:r>
          </w:p>
        </w:tc>
        <w:tc>
          <w:tcPr>
            <w:tcW w:w="626" w:type="dxa"/>
          </w:tcPr>
          <w:p>
            <w:pPr>
              <w:pStyle w:val="TableParagraph"/>
              <w:spacing w:line="210" w:lineRule="exact"/>
              <w:ind w:left="20" w:right="8"/>
              <w:jc w:val="center"/>
              <w:rPr>
                <w:sz w:val="20"/>
              </w:rPr>
            </w:pPr>
            <w:r>
              <w:rPr>
                <w:spacing w:val="-10"/>
                <w:sz w:val="20"/>
              </w:rPr>
              <w:t>-</w:t>
            </w:r>
          </w:p>
        </w:tc>
        <w:tc>
          <w:tcPr>
            <w:tcW w:w="729" w:type="dxa"/>
          </w:tcPr>
          <w:p>
            <w:pPr>
              <w:pStyle w:val="TableParagraph"/>
              <w:spacing w:line="210" w:lineRule="exact"/>
              <w:ind w:left="85" w:right="7"/>
              <w:jc w:val="center"/>
              <w:rPr>
                <w:sz w:val="20"/>
              </w:rPr>
            </w:pPr>
            <w:r>
              <w:rPr>
                <w:spacing w:val="-10"/>
                <w:sz w:val="20"/>
              </w:rPr>
              <w:t>-</w:t>
            </w:r>
          </w:p>
        </w:tc>
        <w:tc>
          <w:tcPr>
            <w:tcW w:w="731" w:type="dxa"/>
          </w:tcPr>
          <w:p>
            <w:pPr>
              <w:pStyle w:val="TableParagraph"/>
              <w:spacing w:line="210" w:lineRule="exact"/>
              <w:ind w:left="69" w:right="4"/>
              <w:jc w:val="center"/>
              <w:rPr>
                <w:sz w:val="20"/>
              </w:rPr>
            </w:pPr>
            <w:r>
              <w:rPr>
                <w:spacing w:val="-10"/>
                <w:sz w:val="20"/>
              </w:rPr>
              <w:t>2</w:t>
            </w:r>
          </w:p>
        </w:tc>
        <w:tc>
          <w:tcPr>
            <w:tcW w:w="737" w:type="dxa"/>
            <w:tcBorders>
              <w:right w:val="single" w:sz="4" w:space="0" w:color="000000"/>
            </w:tcBorders>
          </w:tcPr>
          <w:p>
            <w:pPr>
              <w:pStyle w:val="TableParagraph"/>
              <w:spacing w:line="210" w:lineRule="exact"/>
              <w:ind w:left="58" w:right="21"/>
              <w:jc w:val="center"/>
              <w:rPr>
                <w:sz w:val="20"/>
              </w:rPr>
            </w:pPr>
            <w:r>
              <w:rPr>
                <w:spacing w:val="-5"/>
                <w:sz w:val="20"/>
              </w:rPr>
              <w:t>0.4</w:t>
            </w:r>
          </w:p>
        </w:tc>
      </w:tr>
      <w:tr>
        <w:trPr>
          <w:trHeight w:val="230" w:hRule="atLeast"/>
        </w:trPr>
        <w:tc>
          <w:tcPr>
            <w:tcW w:w="4146" w:type="dxa"/>
            <w:tcBorders>
              <w:left w:val="single" w:sz="4" w:space="0" w:color="000000"/>
            </w:tcBorders>
          </w:tcPr>
          <w:p>
            <w:pPr>
              <w:pStyle w:val="TableParagraph"/>
              <w:spacing w:line="210" w:lineRule="exact"/>
              <w:ind w:right="104"/>
              <w:jc w:val="right"/>
              <w:rPr>
                <w:sz w:val="20"/>
              </w:rPr>
            </w:pPr>
            <w:r>
              <w:rPr>
                <w:sz w:val="20"/>
              </w:rPr>
              <w:t>recognized</w:t>
            </w:r>
            <w:r>
              <w:rPr>
                <w:spacing w:val="38"/>
                <w:sz w:val="20"/>
              </w:rPr>
              <w:t>  </w:t>
            </w:r>
            <w:r>
              <w:rPr>
                <w:sz w:val="20"/>
              </w:rPr>
              <w:t>and</w:t>
            </w:r>
            <w:r>
              <w:rPr>
                <w:spacing w:val="39"/>
                <w:sz w:val="20"/>
              </w:rPr>
              <w:t>  </w:t>
            </w:r>
            <w:r>
              <w:rPr>
                <w:sz w:val="20"/>
              </w:rPr>
              <w:t>attended</w:t>
            </w:r>
            <w:r>
              <w:rPr>
                <w:spacing w:val="38"/>
                <w:sz w:val="20"/>
              </w:rPr>
              <w:t>  </w:t>
            </w:r>
            <w:r>
              <w:rPr>
                <w:sz w:val="20"/>
              </w:rPr>
              <w:t>to</w:t>
            </w:r>
            <w:r>
              <w:rPr>
                <w:spacing w:val="39"/>
                <w:sz w:val="20"/>
              </w:rPr>
              <w:t>  </w:t>
            </w:r>
            <w:r>
              <w:rPr>
                <w:spacing w:val="-5"/>
                <w:sz w:val="20"/>
              </w:rPr>
              <w:t>in</w:t>
            </w:r>
          </w:p>
        </w:tc>
        <w:tc>
          <w:tcPr>
            <w:tcW w:w="1978" w:type="dxa"/>
          </w:tcPr>
          <w:p>
            <w:pPr>
              <w:pStyle w:val="TableParagraph"/>
              <w:spacing w:line="210" w:lineRule="exact"/>
              <w:ind w:left="111"/>
              <w:rPr>
                <w:sz w:val="20"/>
              </w:rPr>
            </w:pPr>
            <w:r>
              <w:rPr>
                <w:spacing w:val="-2"/>
                <w:sz w:val="20"/>
              </w:rPr>
              <w:t>Students</w:t>
            </w:r>
          </w:p>
        </w:tc>
        <w:tc>
          <w:tcPr>
            <w:tcW w:w="701" w:type="dxa"/>
          </w:tcPr>
          <w:p>
            <w:pPr>
              <w:pStyle w:val="TableParagraph"/>
              <w:spacing w:line="210" w:lineRule="exact"/>
              <w:ind w:left="27" w:right="5"/>
              <w:jc w:val="center"/>
              <w:rPr>
                <w:sz w:val="20"/>
              </w:rPr>
            </w:pPr>
            <w:r>
              <w:rPr>
                <w:spacing w:val="-5"/>
                <w:sz w:val="20"/>
              </w:rPr>
              <w:t>69</w:t>
            </w:r>
          </w:p>
        </w:tc>
        <w:tc>
          <w:tcPr>
            <w:tcW w:w="748" w:type="dxa"/>
          </w:tcPr>
          <w:p>
            <w:pPr>
              <w:pStyle w:val="TableParagraph"/>
              <w:spacing w:line="210" w:lineRule="exact"/>
              <w:ind w:left="18"/>
              <w:jc w:val="center"/>
              <w:rPr>
                <w:sz w:val="20"/>
              </w:rPr>
            </w:pPr>
            <w:r>
              <w:rPr>
                <w:spacing w:val="-4"/>
                <w:sz w:val="20"/>
              </w:rPr>
              <w:t>29.4</w:t>
            </w:r>
          </w:p>
        </w:tc>
        <w:tc>
          <w:tcPr>
            <w:tcW w:w="662" w:type="dxa"/>
          </w:tcPr>
          <w:p>
            <w:pPr>
              <w:pStyle w:val="TableParagraph"/>
              <w:spacing w:line="210" w:lineRule="exact"/>
              <w:ind w:left="49" w:right="6"/>
              <w:jc w:val="center"/>
              <w:rPr>
                <w:sz w:val="20"/>
              </w:rPr>
            </w:pPr>
            <w:r>
              <w:rPr>
                <w:spacing w:val="-5"/>
                <w:sz w:val="20"/>
              </w:rPr>
              <w:t>76</w:t>
            </w:r>
          </w:p>
        </w:tc>
        <w:tc>
          <w:tcPr>
            <w:tcW w:w="787" w:type="dxa"/>
          </w:tcPr>
          <w:p>
            <w:pPr>
              <w:pStyle w:val="TableParagraph"/>
              <w:spacing w:line="210" w:lineRule="exact"/>
              <w:ind w:left="39"/>
              <w:jc w:val="center"/>
              <w:rPr>
                <w:sz w:val="20"/>
              </w:rPr>
            </w:pPr>
            <w:r>
              <w:rPr>
                <w:spacing w:val="-4"/>
                <w:sz w:val="20"/>
              </w:rPr>
              <w:t>32.3</w:t>
            </w:r>
          </w:p>
        </w:tc>
        <w:tc>
          <w:tcPr>
            <w:tcW w:w="571" w:type="dxa"/>
          </w:tcPr>
          <w:p>
            <w:pPr>
              <w:pStyle w:val="TableParagraph"/>
              <w:spacing w:line="210" w:lineRule="exact"/>
              <w:ind w:right="204"/>
              <w:jc w:val="right"/>
              <w:rPr>
                <w:sz w:val="20"/>
              </w:rPr>
            </w:pPr>
            <w:r>
              <w:rPr>
                <w:spacing w:val="-5"/>
                <w:sz w:val="20"/>
              </w:rPr>
              <w:t>53</w:t>
            </w:r>
          </w:p>
        </w:tc>
        <w:tc>
          <w:tcPr>
            <w:tcW w:w="859" w:type="dxa"/>
          </w:tcPr>
          <w:p>
            <w:pPr>
              <w:pStyle w:val="TableParagraph"/>
              <w:spacing w:line="210" w:lineRule="exact"/>
              <w:ind w:left="6" w:right="26"/>
              <w:jc w:val="center"/>
              <w:rPr>
                <w:sz w:val="20"/>
              </w:rPr>
            </w:pPr>
            <w:r>
              <w:rPr>
                <w:spacing w:val="-4"/>
                <w:sz w:val="20"/>
              </w:rPr>
              <w:t>22.6</w:t>
            </w:r>
          </w:p>
        </w:tc>
        <w:tc>
          <w:tcPr>
            <w:tcW w:w="684" w:type="dxa"/>
          </w:tcPr>
          <w:p>
            <w:pPr>
              <w:pStyle w:val="TableParagraph"/>
              <w:spacing w:line="210" w:lineRule="exact"/>
              <w:ind w:left="68" w:right="6"/>
              <w:jc w:val="center"/>
              <w:rPr>
                <w:sz w:val="20"/>
              </w:rPr>
            </w:pPr>
            <w:r>
              <w:rPr>
                <w:spacing w:val="-5"/>
                <w:sz w:val="20"/>
              </w:rPr>
              <w:t>24</w:t>
            </w:r>
          </w:p>
        </w:tc>
        <w:tc>
          <w:tcPr>
            <w:tcW w:w="799" w:type="dxa"/>
          </w:tcPr>
          <w:p>
            <w:pPr>
              <w:pStyle w:val="TableParagraph"/>
              <w:spacing w:line="210" w:lineRule="exact"/>
              <w:ind w:left="23"/>
              <w:jc w:val="center"/>
              <w:rPr>
                <w:sz w:val="20"/>
              </w:rPr>
            </w:pPr>
            <w:r>
              <w:rPr>
                <w:spacing w:val="-4"/>
                <w:sz w:val="20"/>
              </w:rPr>
              <w:t>10.2</w:t>
            </w:r>
          </w:p>
        </w:tc>
        <w:tc>
          <w:tcPr>
            <w:tcW w:w="626" w:type="dxa"/>
          </w:tcPr>
          <w:p>
            <w:pPr>
              <w:pStyle w:val="TableParagraph"/>
              <w:spacing w:line="210" w:lineRule="exact"/>
              <w:ind w:left="20" w:right="6"/>
              <w:jc w:val="center"/>
              <w:rPr>
                <w:sz w:val="20"/>
              </w:rPr>
            </w:pPr>
            <w:r>
              <w:rPr>
                <w:spacing w:val="-5"/>
                <w:sz w:val="20"/>
              </w:rPr>
              <w:t>13</w:t>
            </w:r>
          </w:p>
        </w:tc>
        <w:tc>
          <w:tcPr>
            <w:tcW w:w="729" w:type="dxa"/>
          </w:tcPr>
          <w:p>
            <w:pPr>
              <w:pStyle w:val="TableParagraph"/>
              <w:spacing w:line="210" w:lineRule="exact"/>
              <w:ind w:left="86" w:right="6"/>
              <w:jc w:val="center"/>
              <w:rPr>
                <w:sz w:val="20"/>
              </w:rPr>
            </w:pPr>
            <w:r>
              <w:rPr>
                <w:spacing w:val="-5"/>
                <w:sz w:val="20"/>
              </w:rPr>
              <w:t>5.5</w:t>
            </w:r>
          </w:p>
        </w:tc>
        <w:tc>
          <w:tcPr>
            <w:tcW w:w="731" w:type="dxa"/>
          </w:tcPr>
          <w:p>
            <w:pPr>
              <w:pStyle w:val="TableParagraph"/>
              <w:spacing w:line="210" w:lineRule="exact"/>
              <w:ind w:right="168"/>
              <w:jc w:val="right"/>
              <w:rPr>
                <w:sz w:val="20"/>
              </w:rPr>
            </w:pPr>
            <w:r>
              <w:rPr>
                <w:spacing w:val="-5"/>
                <w:sz w:val="20"/>
              </w:rPr>
              <w:t>235</w:t>
            </w:r>
          </w:p>
        </w:tc>
        <w:tc>
          <w:tcPr>
            <w:tcW w:w="737" w:type="dxa"/>
            <w:tcBorders>
              <w:right w:val="single" w:sz="4" w:space="0" w:color="000000"/>
            </w:tcBorders>
          </w:tcPr>
          <w:p>
            <w:pPr>
              <w:pStyle w:val="TableParagraph"/>
              <w:spacing w:line="210" w:lineRule="exact"/>
              <w:ind w:left="58" w:right="16"/>
              <w:jc w:val="center"/>
              <w:rPr>
                <w:sz w:val="20"/>
              </w:rPr>
            </w:pPr>
            <w:r>
              <w:rPr>
                <w:spacing w:val="-4"/>
                <w:sz w:val="20"/>
              </w:rPr>
              <w:t>50.8</w:t>
            </w:r>
          </w:p>
        </w:tc>
      </w:tr>
      <w:tr>
        <w:trPr>
          <w:trHeight w:val="240" w:hRule="atLeast"/>
        </w:trPr>
        <w:tc>
          <w:tcPr>
            <w:tcW w:w="4146" w:type="dxa"/>
            <w:tcBorders>
              <w:left w:val="single" w:sz="4" w:space="0" w:color="000000"/>
            </w:tcBorders>
          </w:tcPr>
          <w:p>
            <w:pPr>
              <w:pStyle w:val="TableParagraph"/>
              <w:spacing w:line="220" w:lineRule="exact"/>
              <w:ind w:left="830"/>
              <w:rPr>
                <w:sz w:val="20"/>
              </w:rPr>
            </w:pPr>
            <w:r>
              <w:rPr>
                <w:sz w:val="20"/>
              </w:rPr>
              <w:t>anyway</w:t>
            </w:r>
            <w:r>
              <w:rPr>
                <w:spacing w:val="-4"/>
                <w:sz w:val="20"/>
              </w:rPr>
              <w:t> </w:t>
            </w:r>
            <w:r>
              <w:rPr>
                <w:sz w:val="20"/>
              </w:rPr>
              <w:t>on</w:t>
            </w:r>
            <w:r>
              <w:rPr>
                <w:spacing w:val="-6"/>
                <w:sz w:val="20"/>
              </w:rPr>
              <w:t> </w:t>
            </w:r>
            <w:r>
              <w:rPr>
                <w:sz w:val="20"/>
              </w:rPr>
              <w:t>the</w:t>
            </w:r>
            <w:r>
              <w:rPr>
                <w:spacing w:val="-5"/>
                <w:sz w:val="20"/>
              </w:rPr>
              <w:t> </w:t>
            </w:r>
            <w:r>
              <w:rPr>
                <w:spacing w:val="-2"/>
                <w:sz w:val="20"/>
              </w:rPr>
              <w:t>campus</w:t>
            </w:r>
          </w:p>
        </w:tc>
        <w:tc>
          <w:tcPr>
            <w:tcW w:w="1978" w:type="dxa"/>
          </w:tcPr>
          <w:p>
            <w:pPr>
              <w:pStyle w:val="TableParagraph"/>
              <w:spacing w:line="213" w:lineRule="exact" w:before="7"/>
              <w:ind w:left="111"/>
              <w:rPr>
                <w:sz w:val="20"/>
              </w:rPr>
            </w:pPr>
            <w:r>
              <w:rPr>
                <w:sz w:val="20"/>
              </w:rPr>
              <w:t>Service</w:t>
            </w:r>
            <w:r>
              <w:rPr>
                <w:spacing w:val="-9"/>
                <w:sz w:val="20"/>
              </w:rPr>
              <w:t> </w:t>
            </w:r>
            <w:r>
              <w:rPr>
                <w:spacing w:val="-2"/>
                <w:sz w:val="20"/>
              </w:rPr>
              <w:t>Staff</w:t>
            </w:r>
          </w:p>
        </w:tc>
        <w:tc>
          <w:tcPr>
            <w:tcW w:w="701" w:type="dxa"/>
          </w:tcPr>
          <w:p>
            <w:pPr>
              <w:pStyle w:val="TableParagraph"/>
              <w:spacing w:line="213" w:lineRule="exact" w:before="7"/>
              <w:ind w:left="27" w:right="5"/>
              <w:jc w:val="center"/>
              <w:rPr>
                <w:sz w:val="20"/>
              </w:rPr>
            </w:pPr>
            <w:r>
              <w:rPr>
                <w:spacing w:val="-5"/>
                <w:sz w:val="20"/>
              </w:rPr>
              <w:t>50</w:t>
            </w:r>
          </w:p>
        </w:tc>
        <w:tc>
          <w:tcPr>
            <w:tcW w:w="748" w:type="dxa"/>
          </w:tcPr>
          <w:p>
            <w:pPr>
              <w:pStyle w:val="TableParagraph"/>
              <w:spacing w:line="213" w:lineRule="exact" w:before="7"/>
              <w:ind w:left="18"/>
              <w:jc w:val="center"/>
              <w:rPr>
                <w:sz w:val="20"/>
              </w:rPr>
            </w:pPr>
            <w:r>
              <w:rPr>
                <w:spacing w:val="-4"/>
                <w:sz w:val="20"/>
              </w:rPr>
              <w:t>24.6</w:t>
            </w:r>
          </w:p>
        </w:tc>
        <w:tc>
          <w:tcPr>
            <w:tcW w:w="662" w:type="dxa"/>
          </w:tcPr>
          <w:p>
            <w:pPr>
              <w:pStyle w:val="TableParagraph"/>
              <w:spacing w:line="213" w:lineRule="exact" w:before="7"/>
              <w:ind w:left="49" w:right="6"/>
              <w:jc w:val="center"/>
              <w:rPr>
                <w:sz w:val="20"/>
              </w:rPr>
            </w:pPr>
            <w:r>
              <w:rPr>
                <w:spacing w:val="-5"/>
                <w:sz w:val="20"/>
              </w:rPr>
              <w:t>59</w:t>
            </w:r>
          </w:p>
        </w:tc>
        <w:tc>
          <w:tcPr>
            <w:tcW w:w="787" w:type="dxa"/>
          </w:tcPr>
          <w:p>
            <w:pPr>
              <w:pStyle w:val="TableParagraph"/>
              <w:spacing w:line="213" w:lineRule="exact" w:before="7"/>
              <w:ind w:left="39"/>
              <w:jc w:val="center"/>
              <w:rPr>
                <w:sz w:val="20"/>
              </w:rPr>
            </w:pPr>
            <w:r>
              <w:rPr>
                <w:spacing w:val="-4"/>
                <w:sz w:val="20"/>
              </w:rPr>
              <w:t>29.1</w:t>
            </w:r>
          </w:p>
        </w:tc>
        <w:tc>
          <w:tcPr>
            <w:tcW w:w="571" w:type="dxa"/>
          </w:tcPr>
          <w:p>
            <w:pPr>
              <w:pStyle w:val="TableParagraph"/>
              <w:spacing w:line="213" w:lineRule="exact" w:before="7"/>
              <w:ind w:right="204"/>
              <w:jc w:val="right"/>
              <w:rPr>
                <w:sz w:val="20"/>
              </w:rPr>
            </w:pPr>
            <w:r>
              <w:rPr>
                <w:spacing w:val="-5"/>
                <w:sz w:val="20"/>
              </w:rPr>
              <w:t>44</w:t>
            </w:r>
          </w:p>
        </w:tc>
        <w:tc>
          <w:tcPr>
            <w:tcW w:w="859" w:type="dxa"/>
          </w:tcPr>
          <w:p>
            <w:pPr>
              <w:pStyle w:val="TableParagraph"/>
              <w:spacing w:line="213" w:lineRule="exact" w:before="7"/>
              <w:ind w:left="6" w:right="26"/>
              <w:jc w:val="center"/>
              <w:rPr>
                <w:sz w:val="20"/>
              </w:rPr>
            </w:pPr>
            <w:r>
              <w:rPr>
                <w:spacing w:val="-4"/>
                <w:sz w:val="20"/>
              </w:rPr>
              <w:t>21.7</w:t>
            </w:r>
          </w:p>
        </w:tc>
        <w:tc>
          <w:tcPr>
            <w:tcW w:w="684" w:type="dxa"/>
          </w:tcPr>
          <w:p>
            <w:pPr>
              <w:pStyle w:val="TableParagraph"/>
              <w:spacing w:line="213" w:lineRule="exact" w:before="7"/>
              <w:ind w:left="68" w:right="6"/>
              <w:jc w:val="center"/>
              <w:rPr>
                <w:sz w:val="20"/>
              </w:rPr>
            </w:pPr>
            <w:r>
              <w:rPr>
                <w:spacing w:val="-5"/>
                <w:sz w:val="20"/>
              </w:rPr>
              <w:t>33</w:t>
            </w:r>
          </w:p>
        </w:tc>
        <w:tc>
          <w:tcPr>
            <w:tcW w:w="799" w:type="dxa"/>
          </w:tcPr>
          <w:p>
            <w:pPr>
              <w:pStyle w:val="TableParagraph"/>
              <w:spacing w:line="213" w:lineRule="exact" w:before="7"/>
              <w:ind w:left="23"/>
              <w:jc w:val="center"/>
              <w:rPr>
                <w:sz w:val="20"/>
              </w:rPr>
            </w:pPr>
            <w:r>
              <w:rPr>
                <w:spacing w:val="-4"/>
                <w:sz w:val="20"/>
              </w:rPr>
              <w:t>16.3</w:t>
            </w:r>
          </w:p>
        </w:tc>
        <w:tc>
          <w:tcPr>
            <w:tcW w:w="626" w:type="dxa"/>
          </w:tcPr>
          <w:p>
            <w:pPr>
              <w:pStyle w:val="TableParagraph"/>
              <w:spacing w:line="213" w:lineRule="exact" w:before="7"/>
              <w:ind w:left="20" w:right="6"/>
              <w:jc w:val="center"/>
              <w:rPr>
                <w:sz w:val="20"/>
              </w:rPr>
            </w:pPr>
            <w:r>
              <w:rPr>
                <w:spacing w:val="-5"/>
                <w:sz w:val="20"/>
              </w:rPr>
              <w:t>17</w:t>
            </w:r>
          </w:p>
        </w:tc>
        <w:tc>
          <w:tcPr>
            <w:tcW w:w="729" w:type="dxa"/>
          </w:tcPr>
          <w:p>
            <w:pPr>
              <w:pStyle w:val="TableParagraph"/>
              <w:spacing w:line="213" w:lineRule="exact" w:before="7"/>
              <w:ind w:left="86" w:right="6"/>
              <w:jc w:val="center"/>
              <w:rPr>
                <w:sz w:val="20"/>
              </w:rPr>
            </w:pPr>
            <w:r>
              <w:rPr>
                <w:spacing w:val="-5"/>
                <w:sz w:val="20"/>
              </w:rPr>
              <w:t>8.4</w:t>
            </w:r>
          </w:p>
        </w:tc>
        <w:tc>
          <w:tcPr>
            <w:tcW w:w="731" w:type="dxa"/>
          </w:tcPr>
          <w:p>
            <w:pPr>
              <w:pStyle w:val="TableParagraph"/>
              <w:spacing w:line="213" w:lineRule="exact" w:before="7"/>
              <w:ind w:right="168"/>
              <w:jc w:val="right"/>
              <w:rPr>
                <w:sz w:val="20"/>
              </w:rPr>
            </w:pPr>
            <w:r>
              <w:rPr>
                <w:spacing w:val="-5"/>
                <w:sz w:val="20"/>
              </w:rPr>
              <w:t>203</w:t>
            </w:r>
          </w:p>
        </w:tc>
        <w:tc>
          <w:tcPr>
            <w:tcW w:w="737" w:type="dxa"/>
            <w:tcBorders>
              <w:right w:val="single" w:sz="4" w:space="0" w:color="000000"/>
            </w:tcBorders>
          </w:tcPr>
          <w:p>
            <w:pPr>
              <w:pStyle w:val="TableParagraph"/>
              <w:spacing w:line="213" w:lineRule="exact" w:before="7"/>
              <w:ind w:left="58" w:right="16"/>
              <w:jc w:val="center"/>
              <w:rPr>
                <w:sz w:val="20"/>
              </w:rPr>
            </w:pPr>
            <w:r>
              <w:rPr>
                <w:spacing w:val="-4"/>
                <w:sz w:val="20"/>
              </w:rPr>
              <w:t>43.8</w:t>
            </w:r>
          </w:p>
        </w:tc>
      </w:tr>
      <w:tr>
        <w:trPr>
          <w:trHeight w:val="230" w:hRule="atLeast"/>
        </w:trPr>
        <w:tc>
          <w:tcPr>
            <w:tcW w:w="4146" w:type="dxa"/>
            <w:tcBorders>
              <w:left w:val="single" w:sz="4" w:space="0" w:color="000000"/>
            </w:tcBorders>
          </w:tcPr>
          <w:p>
            <w:pPr>
              <w:pStyle w:val="TableParagraph"/>
              <w:rPr>
                <w:rFonts w:ascii="Times New Roman"/>
                <w:sz w:val="16"/>
              </w:rPr>
            </w:pPr>
          </w:p>
        </w:tc>
        <w:tc>
          <w:tcPr>
            <w:tcW w:w="1978" w:type="dxa"/>
          </w:tcPr>
          <w:p>
            <w:pPr>
              <w:pStyle w:val="TableParagraph"/>
              <w:spacing w:line="210" w:lineRule="exact"/>
              <w:ind w:left="111"/>
              <w:rPr>
                <w:sz w:val="20"/>
              </w:rPr>
            </w:pPr>
            <w:r>
              <w:rPr>
                <w:sz w:val="20"/>
              </w:rPr>
              <w:t>Top</w:t>
            </w:r>
            <w:r>
              <w:rPr>
                <w:spacing w:val="-1"/>
                <w:sz w:val="20"/>
              </w:rPr>
              <w:t> </w:t>
            </w:r>
            <w:r>
              <w:rPr>
                <w:spacing w:val="-2"/>
                <w:sz w:val="20"/>
              </w:rPr>
              <w:t>Management</w:t>
            </w:r>
          </w:p>
        </w:tc>
        <w:tc>
          <w:tcPr>
            <w:tcW w:w="701" w:type="dxa"/>
          </w:tcPr>
          <w:p>
            <w:pPr>
              <w:pStyle w:val="TableParagraph"/>
              <w:spacing w:line="210" w:lineRule="exact"/>
              <w:ind w:left="27"/>
              <w:jc w:val="center"/>
              <w:rPr>
                <w:sz w:val="20"/>
              </w:rPr>
            </w:pPr>
            <w:r>
              <w:rPr>
                <w:spacing w:val="-10"/>
                <w:sz w:val="20"/>
              </w:rPr>
              <w:t>3</w:t>
            </w:r>
          </w:p>
        </w:tc>
        <w:tc>
          <w:tcPr>
            <w:tcW w:w="748" w:type="dxa"/>
          </w:tcPr>
          <w:p>
            <w:pPr>
              <w:pStyle w:val="TableParagraph"/>
              <w:spacing w:line="210" w:lineRule="exact"/>
              <w:ind w:left="18"/>
              <w:jc w:val="center"/>
              <w:rPr>
                <w:sz w:val="20"/>
              </w:rPr>
            </w:pPr>
            <w:r>
              <w:rPr>
                <w:spacing w:val="-4"/>
                <w:sz w:val="20"/>
              </w:rPr>
              <w:t>13.0</w:t>
            </w:r>
          </w:p>
        </w:tc>
        <w:tc>
          <w:tcPr>
            <w:tcW w:w="662" w:type="dxa"/>
          </w:tcPr>
          <w:p>
            <w:pPr>
              <w:pStyle w:val="TableParagraph"/>
              <w:spacing w:line="210" w:lineRule="exact"/>
              <w:ind w:left="49" w:right="6"/>
              <w:jc w:val="center"/>
              <w:rPr>
                <w:sz w:val="20"/>
              </w:rPr>
            </w:pPr>
            <w:r>
              <w:rPr>
                <w:spacing w:val="-5"/>
                <w:sz w:val="20"/>
              </w:rPr>
              <w:t>11</w:t>
            </w:r>
          </w:p>
        </w:tc>
        <w:tc>
          <w:tcPr>
            <w:tcW w:w="787" w:type="dxa"/>
          </w:tcPr>
          <w:p>
            <w:pPr>
              <w:pStyle w:val="TableParagraph"/>
              <w:spacing w:line="210" w:lineRule="exact"/>
              <w:ind w:left="39"/>
              <w:jc w:val="center"/>
              <w:rPr>
                <w:sz w:val="20"/>
              </w:rPr>
            </w:pPr>
            <w:r>
              <w:rPr>
                <w:spacing w:val="-4"/>
                <w:sz w:val="20"/>
              </w:rPr>
              <w:t>47.8</w:t>
            </w:r>
          </w:p>
        </w:tc>
        <w:tc>
          <w:tcPr>
            <w:tcW w:w="571" w:type="dxa"/>
          </w:tcPr>
          <w:p>
            <w:pPr>
              <w:pStyle w:val="TableParagraph"/>
              <w:spacing w:line="210" w:lineRule="exact"/>
              <w:ind w:right="257"/>
              <w:jc w:val="right"/>
              <w:rPr>
                <w:sz w:val="20"/>
              </w:rPr>
            </w:pPr>
            <w:r>
              <w:rPr>
                <w:spacing w:val="-10"/>
                <w:sz w:val="20"/>
              </w:rPr>
              <w:t>6</w:t>
            </w:r>
          </w:p>
        </w:tc>
        <w:tc>
          <w:tcPr>
            <w:tcW w:w="859" w:type="dxa"/>
          </w:tcPr>
          <w:p>
            <w:pPr>
              <w:pStyle w:val="TableParagraph"/>
              <w:spacing w:line="210" w:lineRule="exact"/>
              <w:ind w:left="6" w:right="26"/>
              <w:jc w:val="center"/>
              <w:rPr>
                <w:sz w:val="20"/>
              </w:rPr>
            </w:pPr>
            <w:r>
              <w:rPr>
                <w:spacing w:val="-4"/>
                <w:sz w:val="20"/>
              </w:rPr>
              <w:t>26.1</w:t>
            </w:r>
          </w:p>
        </w:tc>
        <w:tc>
          <w:tcPr>
            <w:tcW w:w="684" w:type="dxa"/>
          </w:tcPr>
          <w:p>
            <w:pPr>
              <w:pStyle w:val="TableParagraph"/>
              <w:spacing w:line="210" w:lineRule="exact"/>
              <w:ind w:left="68" w:right="2"/>
              <w:jc w:val="center"/>
              <w:rPr>
                <w:sz w:val="20"/>
              </w:rPr>
            </w:pPr>
            <w:r>
              <w:rPr>
                <w:spacing w:val="-10"/>
                <w:sz w:val="20"/>
              </w:rPr>
              <w:t>3</w:t>
            </w:r>
          </w:p>
        </w:tc>
        <w:tc>
          <w:tcPr>
            <w:tcW w:w="799" w:type="dxa"/>
          </w:tcPr>
          <w:p>
            <w:pPr>
              <w:pStyle w:val="TableParagraph"/>
              <w:spacing w:line="210" w:lineRule="exact"/>
              <w:ind w:left="23"/>
              <w:jc w:val="center"/>
              <w:rPr>
                <w:sz w:val="20"/>
              </w:rPr>
            </w:pPr>
            <w:r>
              <w:rPr>
                <w:spacing w:val="-4"/>
                <w:sz w:val="20"/>
              </w:rPr>
              <w:t>13.0</w:t>
            </w:r>
          </w:p>
        </w:tc>
        <w:tc>
          <w:tcPr>
            <w:tcW w:w="626" w:type="dxa"/>
          </w:tcPr>
          <w:p>
            <w:pPr>
              <w:pStyle w:val="TableParagraph"/>
              <w:spacing w:line="210" w:lineRule="exact"/>
              <w:ind w:left="20" w:right="8"/>
              <w:jc w:val="center"/>
              <w:rPr>
                <w:sz w:val="20"/>
              </w:rPr>
            </w:pPr>
            <w:r>
              <w:rPr>
                <w:spacing w:val="-10"/>
                <w:sz w:val="20"/>
              </w:rPr>
              <w:t>-</w:t>
            </w:r>
          </w:p>
        </w:tc>
        <w:tc>
          <w:tcPr>
            <w:tcW w:w="729" w:type="dxa"/>
          </w:tcPr>
          <w:p>
            <w:pPr>
              <w:pStyle w:val="TableParagraph"/>
              <w:spacing w:line="210" w:lineRule="exact"/>
              <w:ind w:left="85" w:right="7"/>
              <w:jc w:val="center"/>
              <w:rPr>
                <w:sz w:val="20"/>
              </w:rPr>
            </w:pPr>
            <w:r>
              <w:rPr>
                <w:spacing w:val="-10"/>
                <w:sz w:val="20"/>
              </w:rPr>
              <w:t>-</w:t>
            </w:r>
          </w:p>
        </w:tc>
        <w:tc>
          <w:tcPr>
            <w:tcW w:w="731" w:type="dxa"/>
          </w:tcPr>
          <w:p>
            <w:pPr>
              <w:pStyle w:val="TableParagraph"/>
              <w:spacing w:line="210" w:lineRule="exact"/>
              <w:ind w:right="221"/>
              <w:jc w:val="right"/>
              <w:rPr>
                <w:sz w:val="20"/>
              </w:rPr>
            </w:pPr>
            <w:r>
              <w:rPr>
                <w:spacing w:val="-5"/>
                <w:sz w:val="20"/>
              </w:rPr>
              <w:t>23</w:t>
            </w:r>
          </w:p>
        </w:tc>
        <w:tc>
          <w:tcPr>
            <w:tcW w:w="737" w:type="dxa"/>
            <w:tcBorders>
              <w:right w:val="single" w:sz="4" w:space="0" w:color="000000"/>
            </w:tcBorders>
          </w:tcPr>
          <w:p>
            <w:pPr>
              <w:pStyle w:val="TableParagraph"/>
              <w:spacing w:line="210" w:lineRule="exact"/>
              <w:ind w:left="58" w:right="21"/>
              <w:jc w:val="center"/>
              <w:rPr>
                <w:sz w:val="20"/>
              </w:rPr>
            </w:pPr>
            <w:r>
              <w:rPr>
                <w:spacing w:val="-5"/>
                <w:sz w:val="20"/>
              </w:rPr>
              <w:t>5.0</w:t>
            </w:r>
          </w:p>
        </w:tc>
      </w:tr>
      <w:tr>
        <w:trPr>
          <w:trHeight w:val="228" w:hRule="atLeast"/>
        </w:trPr>
        <w:tc>
          <w:tcPr>
            <w:tcW w:w="4146" w:type="dxa"/>
            <w:tcBorders>
              <w:left w:val="single" w:sz="4" w:space="0" w:color="000000"/>
            </w:tcBorders>
          </w:tcPr>
          <w:p>
            <w:pPr>
              <w:pStyle w:val="TableParagraph"/>
              <w:tabs>
                <w:tab w:pos="609" w:val="left" w:leader="none"/>
                <w:tab w:pos="1780" w:val="left" w:leader="none"/>
                <w:tab w:pos="3647" w:val="left" w:leader="none"/>
              </w:tabs>
              <w:spacing w:line="208" w:lineRule="exact"/>
              <w:ind w:right="108"/>
              <w:jc w:val="right"/>
              <w:rPr>
                <w:sz w:val="20"/>
              </w:rPr>
            </w:pPr>
            <w:r>
              <w:rPr>
                <w:spacing w:val="-5"/>
                <w:sz w:val="20"/>
              </w:rPr>
              <w:t>67.</w:t>
            </w:r>
            <w:r>
              <w:rPr>
                <w:sz w:val="20"/>
              </w:rPr>
              <w:tab/>
            </w:r>
            <w:r>
              <w:rPr>
                <w:spacing w:val="-5"/>
                <w:sz w:val="20"/>
              </w:rPr>
              <w:t>The</w:t>
            </w:r>
            <w:r>
              <w:rPr>
                <w:sz w:val="20"/>
              </w:rPr>
              <w:tab/>
            </w:r>
            <w:r>
              <w:rPr>
                <w:spacing w:val="-2"/>
                <w:sz w:val="20"/>
              </w:rPr>
              <w:t>proliferation</w:t>
            </w:r>
            <w:r>
              <w:rPr>
                <w:sz w:val="20"/>
              </w:rPr>
              <w:tab/>
            </w:r>
            <w:r>
              <w:rPr>
                <w:spacing w:val="-5"/>
                <w:sz w:val="20"/>
              </w:rPr>
              <w:t>of</w:t>
            </w:r>
          </w:p>
        </w:tc>
        <w:tc>
          <w:tcPr>
            <w:tcW w:w="1978" w:type="dxa"/>
          </w:tcPr>
          <w:p>
            <w:pPr>
              <w:pStyle w:val="TableParagraph"/>
              <w:spacing w:line="208" w:lineRule="exact"/>
              <w:ind w:left="111"/>
              <w:rPr>
                <w:sz w:val="20"/>
              </w:rPr>
            </w:pPr>
            <w:r>
              <w:rPr>
                <w:sz w:val="20"/>
              </w:rPr>
              <w:t>No.</w:t>
            </w:r>
            <w:r>
              <w:rPr>
                <w:spacing w:val="-5"/>
                <w:sz w:val="20"/>
              </w:rPr>
              <w:t> </w:t>
            </w:r>
            <w:r>
              <w:rPr>
                <w:sz w:val="20"/>
              </w:rPr>
              <w:t>of</w:t>
            </w:r>
            <w:r>
              <w:rPr>
                <w:spacing w:val="-2"/>
                <w:sz w:val="20"/>
              </w:rPr>
              <w:t> missing</w:t>
            </w:r>
          </w:p>
        </w:tc>
        <w:tc>
          <w:tcPr>
            <w:tcW w:w="701" w:type="dxa"/>
          </w:tcPr>
          <w:p>
            <w:pPr>
              <w:pStyle w:val="TableParagraph"/>
              <w:rPr>
                <w:rFonts w:ascii="Times New Roman"/>
                <w:sz w:val="16"/>
              </w:rPr>
            </w:pPr>
          </w:p>
        </w:tc>
        <w:tc>
          <w:tcPr>
            <w:tcW w:w="748" w:type="dxa"/>
          </w:tcPr>
          <w:p>
            <w:pPr>
              <w:pStyle w:val="TableParagraph"/>
              <w:rPr>
                <w:rFonts w:ascii="Times New Roman"/>
                <w:sz w:val="16"/>
              </w:rPr>
            </w:pPr>
          </w:p>
        </w:tc>
        <w:tc>
          <w:tcPr>
            <w:tcW w:w="662" w:type="dxa"/>
          </w:tcPr>
          <w:p>
            <w:pPr>
              <w:pStyle w:val="TableParagraph"/>
              <w:rPr>
                <w:rFonts w:ascii="Times New Roman"/>
                <w:sz w:val="16"/>
              </w:rPr>
            </w:pPr>
          </w:p>
        </w:tc>
        <w:tc>
          <w:tcPr>
            <w:tcW w:w="787" w:type="dxa"/>
          </w:tcPr>
          <w:p>
            <w:pPr>
              <w:pStyle w:val="TableParagraph"/>
              <w:rPr>
                <w:rFonts w:ascii="Times New Roman"/>
                <w:sz w:val="16"/>
              </w:rPr>
            </w:pPr>
          </w:p>
        </w:tc>
        <w:tc>
          <w:tcPr>
            <w:tcW w:w="571" w:type="dxa"/>
          </w:tcPr>
          <w:p>
            <w:pPr>
              <w:pStyle w:val="TableParagraph"/>
              <w:rPr>
                <w:rFonts w:ascii="Times New Roman"/>
                <w:sz w:val="16"/>
              </w:rPr>
            </w:pPr>
          </w:p>
        </w:tc>
        <w:tc>
          <w:tcPr>
            <w:tcW w:w="859" w:type="dxa"/>
          </w:tcPr>
          <w:p>
            <w:pPr>
              <w:pStyle w:val="TableParagraph"/>
              <w:rPr>
                <w:rFonts w:ascii="Times New Roman"/>
                <w:sz w:val="16"/>
              </w:rPr>
            </w:pPr>
          </w:p>
        </w:tc>
        <w:tc>
          <w:tcPr>
            <w:tcW w:w="684" w:type="dxa"/>
          </w:tcPr>
          <w:p>
            <w:pPr>
              <w:pStyle w:val="TableParagraph"/>
              <w:rPr>
                <w:rFonts w:ascii="Times New Roman"/>
                <w:sz w:val="16"/>
              </w:rPr>
            </w:pPr>
          </w:p>
        </w:tc>
        <w:tc>
          <w:tcPr>
            <w:tcW w:w="799" w:type="dxa"/>
          </w:tcPr>
          <w:p>
            <w:pPr>
              <w:pStyle w:val="TableParagraph"/>
              <w:rPr>
                <w:rFonts w:ascii="Times New Roman"/>
                <w:sz w:val="16"/>
              </w:rPr>
            </w:pPr>
          </w:p>
        </w:tc>
        <w:tc>
          <w:tcPr>
            <w:tcW w:w="626" w:type="dxa"/>
          </w:tcPr>
          <w:p>
            <w:pPr>
              <w:pStyle w:val="TableParagraph"/>
              <w:rPr>
                <w:rFonts w:ascii="Times New Roman"/>
                <w:sz w:val="16"/>
              </w:rPr>
            </w:pPr>
          </w:p>
        </w:tc>
        <w:tc>
          <w:tcPr>
            <w:tcW w:w="729" w:type="dxa"/>
          </w:tcPr>
          <w:p>
            <w:pPr>
              <w:pStyle w:val="TableParagraph"/>
              <w:rPr>
                <w:rFonts w:ascii="Times New Roman"/>
                <w:sz w:val="16"/>
              </w:rPr>
            </w:pPr>
          </w:p>
        </w:tc>
        <w:tc>
          <w:tcPr>
            <w:tcW w:w="731" w:type="dxa"/>
          </w:tcPr>
          <w:p>
            <w:pPr>
              <w:pStyle w:val="TableParagraph"/>
              <w:rPr>
                <w:rFonts w:ascii="Times New Roman"/>
                <w:sz w:val="16"/>
              </w:rPr>
            </w:pPr>
          </w:p>
        </w:tc>
        <w:tc>
          <w:tcPr>
            <w:tcW w:w="737" w:type="dxa"/>
            <w:tcBorders>
              <w:right w:val="single" w:sz="4" w:space="0" w:color="000000"/>
            </w:tcBorders>
          </w:tcPr>
          <w:p>
            <w:pPr>
              <w:pStyle w:val="TableParagraph"/>
              <w:rPr>
                <w:rFonts w:ascii="Times New Roman"/>
                <w:sz w:val="16"/>
              </w:rPr>
            </w:pPr>
          </w:p>
        </w:tc>
      </w:tr>
      <w:tr>
        <w:trPr>
          <w:trHeight w:val="228" w:hRule="atLeast"/>
        </w:trPr>
        <w:tc>
          <w:tcPr>
            <w:tcW w:w="4146" w:type="dxa"/>
            <w:tcBorders>
              <w:left w:val="single" w:sz="4" w:space="0" w:color="000000"/>
            </w:tcBorders>
          </w:tcPr>
          <w:p>
            <w:pPr>
              <w:pStyle w:val="TableParagraph"/>
              <w:spacing w:line="208" w:lineRule="exact"/>
              <w:ind w:right="105"/>
              <w:jc w:val="right"/>
              <w:rPr>
                <w:sz w:val="20"/>
              </w:rPr>
            </w:pPr>
            <w:r>
              <w:rPr>
                <w:sz w:val="20"/>
              </w:rPr>
              <w:t>churches/denominations</w:t>
            </w:r>
            <w:r>
              <w:rPr>
                <w:spacing w:val="44"/>
                <w:sz w:val="20"/>
              </w:rPr>
              <w:t> </w:t>
            </w:r>
            <w:r>
              <w:rPr>
                <w:sz w:val="20"/>
              </w:rPr>
              <w:t>and</w:t>
            </w:r>
            <w:r>
              <w:rPr>
                <w:spacing w:val="48"/>
                <w:sz w:val="20"/>
              </w:rPr>
              <w:t> </w:t>
            </w:r>
            <w:r>
              <w:rPr>
                <w:spacing w:val="-4"/>
                <w:sz w:val="20"/>
              </w:rPr>
              <w:t>sects</w:t>
            </w:r>
          </w:p>
        </w:tc>
        <w:tc>
          <w:tcPr>
            <w:tcW w:w="1978" w:type="dxa"/>
          </w:tcPr>
          <w:p>
            <w:pPr>
              <w:pStyle w:val="TableParagraph"/>
              <w:spacing w:line="208" w:lineRule="exact"/>
              <w:ind w:left="111"/>
              <w:rPr>
                <w:sz w:val="20"/>
              </w:rPr>
            </w:pPr>
            <w:r>
              <w:rPr>
                <w:spacing w:val="-2"/>
                <w:sz w:val="20"/>
              </w:rPr>
              <w:t>observations</w:t>
            </w:r>
          </w:p>
        </w:tc>
        <w:tc>
          <w:tcPr>
            <w:tcW w:w="701" w:type="dxa"/>
          </w:tcPr>
          <w:p>
            <w:pPr>
              <w:pStyle w:val="TableParagraph"/>
              <w:spacing w:line="208" w:lineRule="exact"/>
              <w:ind w:left="27"/>
              <w:jc w:val="center"/>
              <w:rPr>
                <w:sz w:val="20"/>
              </w:rPr>
            </w:pPr>
            <w:r>
              <w:rPr>
                <w:spacing w:val="-10"/>
                <w:sz w:val="20"/>
              </w:rPr>
              <w:t>1</w:t>
            </w:r>
          </w:p>
        </w:tc>
        <w:tc>
          <w:tcPr>
            <w:tcW w:w="748" w:type="dxa"/>
          </w:tcPr>
          <w:p>
            <w:pPr>
              <w:pStyle w:val="TableParagraph"/>
              <w:spacing w:line="208" w:lineRule="exact"/>
              <w:ind w:left="18"/>
              <w:jc w:val="center"/>
              <w:rPr>
                <w:sz w:val="20"/>
              </w:rPr>
            </w:pPr>
            <w:r>
              <w:rPr>
                <w:spacing w:val="-4"/>
                <w:sz w:val="20"/>
              </w:rPr>
              <w:t>50.0</w:t>
            </w:r>
          </w:p>
        </w:tc>
        <w:tc>
          <w:tcPr>
            <w:tcW w:w="662" w:type="dxa"/>
          </w:tcPr>
          <w:p>
            <w:pPr>
              <w:pStyle w:val="TableParagraph"/>
              <w:spacing w:line="208" w:lineRule="exact"/>
              <w:ind w:left="49" w:right="8"/>
              <w:jc w:val="center"/>
              <w:rPr>
                <w:sz w:val="20"/>
              </w:rPr>
            </w:pPr>
            <w:r>
              <w:rPr>
                <w:spacing w:val="-10"/>
                <w:sz w:val="20"/>
              </w:rPr>
              <w:t>-</w:t>
            </w:r>
          </w:p>
        </w:tc>
        <w:tc>
          <w:tcPr>
            <w:tcW w:w="787" w:type="dxa"/>
          </w:tcPr>
          <w:p>
            <w:pPr>
              <w:pStyle w:val="TableParagraph"/>
              <w:spacing w:line="208" w:lineRule="exact"/>
              <w:ind w:left="39" w:right="7"/>
              <w:jc w:val="center"/>
              <w:rPr>
                <w:sz w:val="20"/>
              </w:rPr>
            </w:pPr>
            <w:r>
              <w:rPr>
                <w:spacing w:val="-10"/>
                <w:sz w:val="20"/>
              </w:rPr>
              <w:t>-</w:t>
            </w:r>
          </w:p>
        </w:tc>
        <w:tc>
          <w:tcPr>
            <w:tcW w:w="571" w:type="dxa"/>
          </w:tcPr>
          <w:p>
            <w:pPr>
              <w:pStyle w:val="TableParagraph"/>
              <w:spacing w:line="208" w:lineRule="exact"/>
              <w:ind w:right="283"/>
              <w:jc w:val="right"/>
              <w:rPr>
                <w:sz w:val="20"/>
              </w:rPr>
            </w:pPr>
            <w:r>
              <w:rPr>
                <w:spacing w:val="-10"/>
                <w:sz w:val="20"/>
              </w:rPr>
              <w:t>-</w:t>
            </w:r>
          </w:p>
        </w:tc>
        <w:tc>
          <w:tcPr>
            <w:tcW w:w="859" w:type="dxa"/>
          </w:tcPr>
          <w:p>
            <w:pPr>
              <w:pStyle w:val="TableParagraph"/>
              <w:spacing w:line="208" w:lineRule="exact"/>
              <w:ind w:right="26"/>
              <w:jc w:val="center"/>
              <w:rPr>
                <w:sz w:val="20"/>
              </w:rPr>
            </w:pPr>
            <w:r>
              <w:rPr>
                <w:spacing w:val="-10"/>
                <w:sz w:val="20"/>
              </w:rPr>
              <w:t>-</w:t>
            </w:r>
          </w:p>
        </w:tc>
        <w:tc>
          <w:tcPr>
            <w:tcW w:w="684" w:type="dxa"/>
          </w:tcPr>
          <w:p>
            <w:pPr>
              <w:pStyle w:val="TableParagraph"/>
              <w:spacing w:line="208" w:lineRule="exact"/>
              <w:ind w:left="68" w:right="2"/>
              <w:jc w:val="center"/>
              <w:rPr>
                <w:sz w:val="20"/>
              </w:rPr>
            </w:pPr>
            <w:r>
              <w:rPr>
                <w:spacing w:val="-10"/>
                <w:sz w:val="20"/>
              </w:rPr>
              <w:t>1</w:t>
            </w:r>
          </w:p>
        </w:tc>
        <w:tc>
          <w:tcPr>
            <w:tcW w:w="799" w:type="dxa"/>
          </w:tcPr>
          <w:p>
            <w:pPr>
              <w:pStyle w:val="TableParagraph"/>
              <w:spacing w:line="208" w:lineRule="exact"/>
              <w:ind w:left="23"/>
              <w:jc w:val="center"/>
              <w:rPr>
                <w:sz w:val="20"/>
              </w:rPr>
            </w:pPr>
            <w:r>
              <w:rPr>
                <w:spacing w:val="-4"/>
                <w:sz w:val="20"/>
              </w:rPr>
              <w:t>50.0</w:t>
            </w:r>
          </w:p>
        </w:tc>
        <w:tc>
          <w:tcPr>
            <w:tcW w:w="626" w:type="dxa"/>
          </w:tcPr>
          <w:p>
            <w:pPr>
              <w:pStyle w:val="TableParagraph"/>
              <w:spacing w:line="208" w:lineRule="exact"/>
              <w:ind w:left="20" w:right="8"/>
              <w:jc w:val="center"/>
              <w:rPr>
                <w:sz w:val="20"/>
              </w:rPr>
            </w:pPr>
            <w:r>
              <w:rPr>
                <w:spacing w:val="-10"/>
                <w:sz w:val="20"/>
              </w:rPr>
              <w:t>-</w:t>
            </w:r>
          </w:p>
        </w:tc>
        <w:tc>
          <w:tcPr>
            <w:tcW w:w="729" w:type="dxa"/>
          </w:tcPr>
          <w:p>
            <w:pPr>
              <w:pStyle w:val="TableParagraph"/>
              <w:spacing w:line="208" w:lineRule="exact"/>
              <w:ind w:left="85" w:right="7"/>
              <w:jc w:val="center"/>
              <w:rPr>
                <w:sz w:val="20"/>
              </w:rPr>
            </w:pPr>
            <w:r>
              <w:rPr>
                <w:spacing w:val="-10"/>
                <w:sz w:val="20"/>
              </w:rPr>
              <w:t>-</w:t>
            </w:r>
          </w:p>
        </w:tc>
        <w:tc>
          <w:tcPr>
            <w:tcW w:w="731" w:type="dxa"/>
          </w:tcPr>
          <w:p>
            <w:pPr>
              <w:pStyle w:val="TableParagraph"/>
              <w:spacing w:line="208" w:lineRule="exact"/>
              <w:ind w:left="69" w:right="4"/>
              <w:jc w:val="center"/>
              <w:rPr>
                <w:sz w:val="20"/>
              </w:rPr>
            </w:pPr>
            <w:r>
              <w:rPr>
                <w:spacing w:val="-10"/>
                <w:sz w:val="20"/>
              </w:rPr>
              <w:t>2</w:t>
            </w:r>
          </w:p>
        </w:tc>
        <w:tc>
          <w:tcPr>
            <w:tcW w:w="737" w:type="dxa"/>
            <w:tcBorders>
              <w:right w:val="single" w:sz="4" w:space="0" w:color="000000"/>
            </w:tcBorders>
          </w:tcPr>
          <w:p>
            <w:pPr>
              <w:pStyle w:val="TableParagraph"/>
              <w:spacing w:line="208" w:lineRule="exact"/>
              <w:ind w:left="58" w:right="21"/>
              <w:jc w:val="center"/>
              <w:rPr>
                <w:sz w:val="20"/>
              </w:rPr>
            </w:pPr>
            <w:r>
              <w:rPr>
                <w:spacing w:val="-5"/>
                <w:sz w:val="20"/>
              </w:rPr>
              <w:t>0.4</w:t>
            </w:r>
          </w:p>
        </w:tc>
      </w:tr>
      <w:tr>
        <w:trPr>
          <w:trHeight w:val="230" w:hRule="atLeast"/>
        </w:trPr>
        <w:tc>
          <w:tcPr>
            <w:tcW w:w="4146" w:type="dxa"/>
            <w:tcBorders>
              <w:left w:val="single" w:sz="4" w:space="0" w:color="000000"/>
            </w:tcBorders>
          </w:tcPr>
          <w:p>
            <w:pPr>
              <w:pStyle w:val="TableParagraph"/>
              <w:tabs>
                <w:tab w:pos="849" w:val="left" w:leader="none"/>
                <w:tab w:pos="2179" w:val="left" w:leader="none"/>
              </w:tabs>
              <w:spacing w:line="210" w:lineRule="exact"/>
              <w:ind w:right="101"/>
              <w:jc w:val="right"/>
              <w:rPr>
                <w:sz w:val="20"/>
              </w:rPr>
            </w:pPr>
            <w:r>
              <w:rPr>
                <w:spacing w:val="-5"/>
                <w:sz w:val="20"/>
              </w:rPr>
              <w:t>on</w:t>
            </w:r>
            <w:r>
              <w:rPr>
                <w:sz w:val="20"/>
              </w:rPr>
              <w:tab/>
            </w:r>
            <w:r>
              <w:rPr>
                <w:spacing w:val="-2"/>
                <w:sz w:val="20"/>
              </w:rPr>
              <w:t>campus</w:t>
            </w:r>
            <w:r>
              <w:rPr>
                <w:sz w:val="20"/>
              </w:rPr>
              <w:tab/>
            </w:r>
            <w:r>
              <w:rPr>
                <w:spacing w:val="-2"/>
                <w:sz w:val="20"/>
              </w:rPr>
              <w:t>precipitates</w:t>
            </w:r>
          </w:p>
        </w:tc>
        <w:tc>
          <w:tcPr>
            <w:tcW w:w="1978" w:type="dxa"/>
          </w:tcPr>
          <w:p>
            <w:pPr>
              <w:pStyle w:val="TableParagraph"/>
              <w:spacing w:line="210" w:lineRule="exact"/>
              <w:ind w:left="111"/>
              <w:rPr>
                <w:sz w:val="20"/>
              </w:rPr>
            </w:pPr>
            <w:r>
              <w:rPr>
                <w:spacing w:val="-2"/>
                <w:sz w:val="20"/>
              </w:rPr>
              <w:t>Students</w:t>
            </w:r>
          </w:p>
        </w:tc>
        <w:tc>
          <w:tcPr>
            <w:tcW w:w="701" w:type="dxa"/>
          </w:tcPr>
          <w:p>
            <w:pPr>
              <w:pStyle w:val="TableParagraph"/>
              <w:spacing w:line="210" w:lineRule="exact"/>
              <w:ind w:left="27" w:right="5"/>
              <w:jc w:val="center"/>
              <w:rPr>
                <w:sz w:val="20"/>
              </w:rPr>
            </w:pPr>
            <w:r>
              <w:rPr>
                <w:spacing w:val="-5"/>
                <w:sz w:val="20"/>
              </w:rPr>
              <w:t>47</w:t>
            </w:r>
          </w:p>
        </w:tc>
        <w:tc>
          <w:tcPr>
            <w:tcW w:w="748" w:type="dxa"/>
          </w:tcPr>
          <w:p>
            <w:pPr>
              <w:pStyle w:val="TableParagraph"/>
              <w:spacing w:line="210" w:lineRule="exact"/>
              <w:ind w:left="18"/>
              <w:jc w:val="center"/>
              <w:rPr>
                <w:sz w:val="20"/>
              </w:rPr>
            </w:pPr>
            <w:r>
              <w:rPr>
                <w:spacing w:val="-4"/>
                <w:sz w:val="20"/>
              </w:rPr>
              <w:t>20.0</w:t>
            </w:r>
          </w:p>
        </w:tc>
        <w:tc>
          <w:tcPr>
            <w:tcW w:w="662" w:type="dxa"/>
          </w:tcPr>
          <w:p>
            <w:pPr>
              <w:pStyle w:val="TableParagraph"/>
              <w:spacing w:line="210" w:lineRule="exact"/>
              <w:ind w:left="49" w:right="6"/>
              <w:jc w:val="center"/>
              <w:rPr>
                <w:sz w:val="20"/>
              </w:rPr>
            </w:pPr>
            <w:r>
              <w:rPr>
                <w:spacing w:val="-5"/>
                <w:sz w:val="20"/>
              </w:rPr>
              <w:t>84</w:t>
            </w:r>
          </w:p>
        </w:tc>
        <w:tc>
          <w:tcPr>
            <w:tcW w:w="787" w:type="dxa"/>
          </w:tcPr>
          <w:p>
            <w:pPr>
              <w:pStyle w:val="TableParagraph"/>
              <w:spacing w:line="210" w:lineRule="exact"/>
              <w:ind w:left="39"/>
              <w:jc w:val="center"/>
              <w:rPr>
                <w:sz w:val="20"/>
              </w:rPr>
            </w:pPr>
            <w:r>
              <w:rPr>
                <w:spacing w:val="-4"/>
                <w:sz w:val="20"/>
              </w:rPr>
              <w:t>35.7</w:t>
            </w:r>
          </w:p>
        </w:tc>
        <w:tc>
          <w:tcPr>
            <w:tcW w:w="571" w:type="dxa"/>
          </w:tcPr>
          <w:p>
            <w:pPr>
              <w:pStyle w:val="TableParagraph"/>
              <w:spacing w:line="210" w:lineRule="exact"/>
              <w:ind w:right="204"/>
              <w:jc w:val="right"/>
              <w:rPr>
                <w:sz w:val="20"/>
              </w:rPr>
            </w:pPr>
            <w:r>
              <w:rPr>
                <w:spacing w:val="-5"/>
                <w:sz w:val="20"/>
              </w:rPr>
              <w:t>50</w:t>
            </w:r>
          </w:p>
        </w:tc>
        <w:tc>
          <w:tcPr>
            <w:tcW w:w="859" w:type="dxa"/>
          </w:tcPr>
          <w:p>
            <w:pPr>
              <w:pStyle w:val="TableParagraph"/>
              <w:spacing w:line="210" w:lineRule="exact"/>
              <w:ind w:left="6" w:right="26"/>
              <w:jc w:val="center"/>
              <w:rPr>
                <w:sz w:val="20"/>
              </w:rPr>
            </w:pPr>
            <w:r>
              <w:rPr>
                <w:spacing w:val="-4"/>
                <w:sz w:val="20"/>
              </w:rPr>
              <w:t>21.3</w:t>
            </w:r>
          </w:p>
        </w:tc>
        <w:tc>
          <w:tcPr>
            <w:tcW w:w="684" w:type="dxa"/>
          </w:tcPr>
          <w:p>
            <w:pPr>
              <w:pStyle w:val="TableParagraph"/>
              <w:spacing w:line="210" w:lineRule="exact"/>
              <w:ind w:left="68" w:right="6"/>
              <w:jc w:val="center"/>
              <w:rPr>
                <w:sz w:val="20"/>
              </w:rPr>
            </w:pPr>
            <w:r>
              <w:rPr>
                <w:spacing w:val="-5"/>
                <w:sz w:val="20"/>
              </w:rPr>
              <w:t>34</w:t>
            </w:r>
          </w:p>
        </w:tc>
        <w:tc>
          <w:tcPr>
            <w:tcW w:w="799" w:type="dxa"/>
          </w:tcPr>
          <w:p>
            <w:pPr>
              <w:pStyle w:val="TableParagraph"/>
              <w:spacing w:line="210" w:lineRule="exact"/>
              <w:ind w:left="23"/>
              <w:jc w:val="center"/>
              <w:rPr>
                <w:sz w:val="20"/>
              </w:rPr>
            </w:pPr>
            <w:r>
              <w:rPr>
                <w:spacing w:val="-4"/>
                <w:sz w:val="20"/>
              </w:rPr>
              <w:t>14.5</w:t>
            </w:r>
          </w:p>
        </w:tc>
        <w:tc>
          <w:tcPr>
            <w:tcW w:w="626" w:type="dxa"/>
          </w:tcPr>
          <w:p>
            <w:pPr>
              <w:pStyle w:val="TableParagraph"/>
              <w:spacing w:line="210" w:lineRule="exact"/>
              <w:ind w:left="20" w:right="6"/>
              <w:jc w:val="center"/>
              <w:rPr>
                <w:sz w:val="20"/>
              </w:rPr>
            </w:pPr>
            <w:r>
              <w:rPr>
                <w:spacing w:val="-5"/>
                <w:sz w:val="20"/>
              </w:rPr>
              <w:t>20</w:t>
            </w:r>
          </w:p>
        </w:tc>
        <w:tc>
          <w:tcPr>
            <w:tcW w:w="729" w:type="dxa"/>
          </w:tcPr>
          <w:p>
            <w:pPr>
              <w:pStyle w:val="TableParagraph"/>
              <w:spacing w:line="210" w:lineRule="exact"/>
              <w:ind w:left="86" w:right="6"/>
              <w:jc w:val="center"/>
              <w:rPr>
                <w:sz w:val="20"/>
              </w:rPr>
            </w:pPr>
            <w:r>
              <w:rPr>
                <w:spacing w:val="-5"/>
                <w:sz w:val="20"/>
              </w:rPr>
              <w:t>8.5</w:t>
            </w:r>
          </w:p>
        </w:tc>
        <w:tc>
          <w:tcPr>
            <w:tcW w:w="731" w:type="dxa"/>
          </w:tcPr>
          <w:p>
            <w:pPr>
              <w:pStyle w:val="TableParagraph"/>
              <w:spacing w:line="210" w:lineRule="exact"/>
              <w:ind w:right="168"/>
              <w:jc w:val="right"/>
              <w:rPr>
                <w:sz w:val="20"/>
              </w:rPr>
            </w:pPr>
            <w:r>
              <w:rPr>
                <w:spacing w:val="-5"/>
                <w:sz w:val="20"/>
              </w:rPr>
              <w:t>235</w:t>
            </w:r>
          </w:p>
        </w:tc>
        <w:tc>
          <w:tcPr>
            <w:tcW w:w="737" w:type="dxa"/>
            <w:tcBorders>
              <w:right w:val="single" w:sz="4" w:space="0" w:color="000000"/>
            </w:tcBorders>
          </w:tcPr>
          <w:p>
            <w:pPr>
              <w:pStyle w:val="TableParagraph"/>
              <w:spacing w:line="210" w:lineRule="exact"/>
              <w:ind w:left="58" w:right="16"/>
              <w:jc w:val="center"/>
              <w:rPr>
                <w:sz w:val="20"/>
              </w:rPr>
            </w:pPr>
            <w:r>
              <w:rPr>
                <w:spacing w:val="-4"/>
                <w:sz w:val="20"/>
              </w:rPr>
              <w:t>50.8</w:t>
            </w:r>
          </w:p>
        </w:tc>
      </w:tr>
      <w:tr>
        <w:trPr>
          <w:trHeight w:val="230" w:hRule="atLeast"/>
        </w:trPr>
        <w:tc>
          <w:tcPr>
            <w:tcW w:w="4146" w:type="dxa"/>
            <w:tcBorders>
              <w:left w:val="single" w:sz="4" w:space="0" w:color="000000"/>
            </w:tcBorders>
          </w:tcPr>
          <w:p>
            <w:pPr>
              <w:pStyle w:val="TableParagraph"/>
              <w:tabs>
                <w:tab w:pos="1877" w:val="left" w:leader="none"/>
                <w:tab w:pos="2515" w:val="left" w:leader="none"/>
              </w:tabs>
              <w:spacing w:line="210" w:lineRule="exact"/>
              <w:ind w:right="102"/>
              <w:jc w:val="right"/>
              <w:rPr>
                <w:sz w:val="20"/>
              </w:rPr>
            </w:pPr>
            <w:r>
              <w:rPr>
                <w:spacing w:val="-2"/>
                <w:sz w:val="20"/>
              </w:rPr>
              <w:t>misunderstanding</w:t>
            </w:r>
            <w:r>
              <w:rPr>
                <w:sz w:val="20"/>
              </w:rPr>
              <w:tab/>
            </w:r>
            <w:r>
              <w:rPr>
                <w:spacing w:val="-5"/>
                <w:sz w:val="20"/>
              </w:rPr>
              <w:t>and</w:t>
            </w:r>
            <w:r>
              <w:rPr>
                <w:sz w:val="20"/>
              </w:rPr>
              <w:tab/>
            </w:r>
            <w:r>
              <w:rPr>
                <w:spacing w:val="-2"/>
                <w:sz w:val="20"/>
              </w:rPr>
              <w:t>security</w:t>
            </w:r>
          </w:p>
        </w:tc>
        <w:tc>
          <w:tcPr>
            <w:tcW w:w="1978" w:type="dxa"/>
          </w:tcPr>
          <w:p>
            <w:pPr>
              <w:pStyle w:val="TableParagraph"/>
              <w:spacing w:line="210" w:lineRule="exact"/>
              <w:ind w:left="111"/>
              <w:rPr>
                <w:sz w:val="20"/>
              </w:rPr>
            </w:pPr>
            <w:r>
              <w:rPr>
                <w:sz w:val="20"/>
              </w:rPr>
              <w:t>Service</w:t>
            </w:r>
            <w:r>
              <w:rPr>
                <w:spacing w:val="-9"/>
                <w:sz w:val="20"/>
              </w:rPr>
              <w:t> </w:t>
            </w:r>
            <w:r>
              <w:rPr>
                <w:spacing w:val="-2"/>
                <w:sz w:val="20"/>
              </w:rPr>
              <w:t>Staff</w:t>
            </w:r>
          </w:p>
        </w:tc>
        <w:tc>
          <w:tcPr>
            <w:tcW w:w="701" w:type="dxa"/>
          </w:tcPr>
          <w:p>
            <w:pPr>
              <w:pStyle w:val="TableParagraph"/>
              <w:spacing w:line="210" w:lineRule="exact"/>
              <w:ind w:left="27" w:right="5"/>
              <w:jc w:val="center"/>
              <w:rPr>
                <w:sz w:val="20"/>
              </w:rPr>
            </w:pPr>
            <w:r>
              <w:rPr>
                <w:spacing w:val="-5"/>
                <w:sz w:val="20"/>
              </w:rPr>
              <w:t>34</w:t>
            </w:r>
          </w:p>
        </w:tc>
        <w:tc>
          <w:tcPr>
            <w:tcW w:w="748" w:type="dxa"/>
          </w:tcPr>
          <w:p>
            <w:pPr>
              <w:pStyle w:val="TableParagraph"/>
              <w:spacing w:line="210" w:lineRule="exact"/>
              <w:ind w:left="18"/>
              <w:jc w:val="center"/>
              <w:rPr>
                <w:sz w:val="20"/>
              </w:rPr>
            </w:pPr>
            <w:r>
              <w:rPr>
                <w:spacing w:val="-4"/>
                <w:sz w:val="20"/>
              </w:rPr>
              <w:t>16.7</w:t>
            </w:r>
          </w:p>
        </w:tc>
        <w:tc>
          <w:tcPr>
            <w:tcW w:w="662" w:type="dxa"/>
          </w:tcPr>
          <w:p>
            <w:pPr>
              <w:pStyle w:val="TableParagraph"/>
              <w:spacing w:line="210" w:lineRule="exact"/>
              <w:ind w:left="49" w:right="6"/>
              <w:jc w:val="center"/>
              <w:rPr>
                <w:sz w:val="20"/>
              </w:rPr>
            </w:pPr>
            <w:r>
              <w:rPr>
                <w:spacing w:val="-5"/>
                <w:sz w:val="20"/>
              </w:rPr>
              <w:t>59</w:t>
            </w:r>
          </w:p>
        </w:tc>
        <w:tc>
          <w:tcPr>
            <w:tcW w:w="787" w:type="dxa"/>
          </w:tcPr>
          <w:p>
            <w:pPr>
              <w:pStyle w:val="TableParagraph"/>
              <w:spacing w:line="210" w:lineRule="exact"/>
              <w:ind w:left="39"/>
              <w:jc w:val="center"/>
              <w:rPr>
                <w:sz w:val="20"/>
              </w:rPr>
            </w:pPr>
            <w:r>
              <w:rPr>
                <w:spacing w:val="-4"/>
                <w:sz w:val="20"/>
              </w:rPr>
              <w:t>29.1</w:t>
            </w:r>
          </w:p>
        </w:tc>
        <w:tc>
          <w:tcPr>
            <w:tcW w:w="571" w:type="dxa"/>
          </w:tcPr>
          <w:p>
            <w:pPr>
              <w:pStyle w:val="TableParagraph"/>
              <w:spacing w:line="210" w:lineRule="exact"/>
              <w:ind w:right="204"/>
              <w:jc w:val="right"/>
              <w:rPr>
                <w:sz w:val="20"/>
              </w:rPr>
            </w:pPr>
            <w:r>
              <w:rPr>
                <w:spacing w:val="-5"/>
                <w:sz w:val="20"/>
              </w:rPr>
              <w:t>46</w:t>
            </w:r>
          </w:p>
        </w:tc>
        <w:tc>
          <w:tcPr>
            <w:tcW w:w="859" w:type="dxa"/>
          </w:tcPr>
          <w:p>
            <w:pPr>
              <w:pStyle w:val="TableParagraph"/>
              <w:spacing w:line="210" w:lineRule="exact"/>
              <w:ind w:left="6" w:right="26"/>
              <w:jc w:val="center"/>
              <w:rPr>
                <w:sz w:val="20"/>
              </w:rPr>
            </w:pPr>
            <w:r>
              <w:rPr>
                <w:spacing w:val="-4"/>
                <w:sz w:val="20"/>
              </w:rPr>
              <w:t>22.7</w:t>
            </w:r>
          </w:p>
        </w:tc>
        <w:tc>
          <w:tcPr>
            <w:tcW w:w="684" w:type="dxa"/>
          </w:tcPr>
          <w:p>
            <w:pPr>
              <w:pStyle w:val="TableParagraph"/>
              <w:spacing w:line="210" w:lineRule="exact"/>
              <w:ind w:left="68" w:right="6"/>
              <w:jc w:val="center"/>
              <w:rPr>
                <w:sz w:val="20"/>
              </w:rPr>
            </w:pPr>
            <w:r>
              <w:rPr>
                <w:spacing w:val="-5"/>
                <w:sz w:val="20"/>
              </w:rPr>
              <w:t>38</w:t>
            </w:r>
          </w:p>
        </w:tc>
        <w:tc>
          <w:tcPr>
            <w:tcW w:w="799" w:type="dxa"/>
          </w:tcPr>
          <w:p>
            <w:pPr>
              <w:pStyle w:val="TableParagraph"/>
              <w:spacing w:line="210" w:lineRule="exact"/>
              <w:ind w:left="23"/>
              <w:jc w:val="center"/>
              <w:rPr>
                <w:sz w:val="20"/>
              </w:rPr>
            </w:pPr>
            <w:r>
              <w:rPr>
                <w:spacing w:val="-4"/>
                <w:sz w:val="20"/>
              </w:rPr>
              <w:t>18.7</w:t>
            </w:r>
          </w:p>
        </w:tc>
        <w:tc>
          <w:tcPr>
            <w:tcW w:w="626" w:type="dxa"/>
          </w:tcPr>
          <w:p>
            <w:pPr>
              <w:pStyle w:val="TableParagraph"/>
              <w:spacing w:line="210" w:lineRule="exact"/>
              <w:ind w:left="20" w:right="6"/>
              <w:jc w:val="center"/>
              <w:rPr>
                <w:sz w:val="20"/>
              </w:rPr>
            </w:pPr>
            <w:r>
              <w:rPr>
                <w:spacing w:val="-5"/>
                <w:sz w:val="20"/>
              </w:rPr>
              <w:t>26</w:t>
            </w:r>
          </w:p>
        </w:tc>
        <w:tc>
          <w:tcPr>
            <w:tcW w:w="729" w:type="dxa"/>
          </w:tcPr>
          <w:p>
            <w:pPr>
              <w:pStyle w:val="TableParagraph"/>
              <w:spacing w:line="210" w:lineRule="exact"/>
              <w:ind w:left="91" w:right="6"/>
              <w:jc w:val="center"/>
              <w:rPr>
                <w:sz w:val="20"/>
              </w:rPr>
            </w:pPr>
            <w:r>
              <w:rPr>
                <w:spacing w:val="-4"/>
                <w:sz w:val="20"/>
              </w:rPr>
              <w:t>12.8</w:t>
            </w:r>
          </w:p>
        </w:tc>
        <w:tc>
          <w:tcPr>
            <w:tcW w:w="731" w:type="dxa"/>
          </w:tcPr>
          <w:p>
            <w:pPr>
              <w:pStyle w:val="TableParagraph"/>
              <w:spacing w:line="210" w:lineRule="exact"/>
              <w:ind w:right="168"/>
              <w:jc w:val="right"/>
              <w:rPr>
                <w:sz w:val="20"/>
              </w:rPr>
            </w:pPr>
            <w:r>
              <w:rPr>
                <w:spacing w:val="-5"/>
                <w:sz w:val="20"/>
              </w:rPr>
              <w:t>203</w:t>
            </w:r>
          </w:p>
        </w:tc>
        <w:tc>
          <w:tcPr>
            <w:tcW w:w="737" w:type="dxa"/>
            <w:tcBorders>
              <w:right w:val="single" w:sz="4" w:space="0" w:color="000000"/>
            </w:tcBorders>
          </w:tcPr>
          <w:p>
            <w:pPr>
              <w:pStyle w:val="TableParagraph"/>
              <w:spacing w:line="210" w:lineRule="exact"/>
              <w:ind w:left="58" w:right="16"/>
              <w:jc w:val="center"/>
              <w:rPr>
                <w:sz w:val="20"/>
              </w:rPr>
            </w:pPr>
            <w:r>
              <w:rPr>
                <w:spacing w:val="-4"/>
                <w:sz w:val="20"/>
              </w:rPr>
              <w:t>43.8</w:t>
            </w:r>
          </w:p>
        </w:tc>
      </w:tr>
      <w:tr>
        <w:trPr>
          <w:trHeight w:val="230" w:hRule="atLeast"/>
        </w:trPr>
        <w:tc>
          <w:tcPr>
            <w:tcW w:w="4146" w:type="dxa"/>
            <w:tcBorders>
              <w:left w:val="single" w:sz="4" w:space="0" w:color="000000"/>
            </w:tcBorders>
          </w:tcPr>
          <w:p>
            <w:pPr>
              <w:pStyle w:val="TableParagraph"/>
              <w:spacing w:line="210" w:lineRule="exact"/>
              <w:ind w:right="100"/>
              <w:jc w:val="right"/>
              <w:rPr>
                <w:sz w:val="20"/>
              </w:rPr>
            </w:pPr>
            <w:r>
              <w:rPr>
                <w:sz w:val="20"/>
              </w:rPr>
              <w:t>risks,</w:t>
            </w:r>
            <w:r>
              <w:rPr>
                <w:spacing w:val="22"/>
                <w:sz w:val="20"/>
              </w:rPr>
              <w:t> </w:t>
            </w:r>
            <w:r>
              <w:rPr>
                <w:sz w:val="20"/>
              </w:rPr>
              <w:t>thereby</w:t>
            </w:r>
            <w:r>
              <w:rPr>
                <w:spacing w:val="20"/>
                <w:sz w:val="20"/>
              </w:rPr>
              <w:t> </w:t>
            </w:r>
            <w:r>
              <w:rPr>
                <w:sz w:val="20"/>
              </w:rPr>
              <w:t>becoming</w:t>
            </w:r>
            <w:r>
              <w:rPr>
                <w:spacing w:val="18"/>
                <w:sz w:val="20"/>
              </w:rPr>
              <w:t> </w:t>
            </w:r>
            <w:r>
              <w:rPr>
                <w:sz w:val="20"/>
              </w:rPr>
              <w:t>a</w:t>
            </w:r>
            <w:r>
              <w:rPr>
                <w:spacing w:val="18"/>
                <w:sz w:val="20"/>
              </w:rPr>
              <w:t> </w:t>
            </w:r>
            <w:r>
              <w:rPr>
                <w:sz w:val="20"/>
              </w:rPr>
              <w:t>threat</w:t>
            </w:r>
            <w:r>
              <w:rPr>
                <w:spacing w:val="23"/>
                <w:sz w:val="20"/>
              </w:rPr>
              <w:t> </w:t>
            </w:r>
            <w:r>
              <w:rPr>
                <w:spacing w:val="-5"/>
                <w:sz w:val="20"/>
              </w:rPr>
              <w:t>to</w:t>
            </w:r>
          </w:p>
        </w:tc>
        <w:tc>
          <w:tcPr>
            <w:tcW w:w="1978" w:type="dxa"/>
          </w:tcPr>
          <w:p>
            <w:pPr>
              <w:pStyle w:val="TableParagraph"/>
              <w:spacing w:line="210" w:lineRule="exact"/>
              <w:ind w:left="111"/>
              <w:rPr>
                <w:sz w:val="20"/>
              </w:rPr>
            </w:pPr>
            <w:r>
              <w:rPr>
                <w:sz w:val="20"/>
              </w:rPr>
              <w:t>Top</w:t>
            </w:r>
            <w:r>
              <w:rPr>
                <w:spacing w:val="-1"/>
                <w:sz w:val="20"/>
              </w:rPr>
              <w:t> </w:t>
            </w:r>
            <w:r>
              <w:rPr>
                <w:spacing w:val="-2"/>
                <w:sz w:val="20"/>
              </w:rPr>
              <w:t>Management</w:t>
            </w:r>
          </w:p>
        </w:tc>
        <w:tc>
          <w:tcPr>
            <w:tcW w:w="701" w:type="dxa"/>
          </w:tcPr>
          <w:p>
            <w:pPr>
              <w:pStyle w:val="TableParagraph"/>
              <w:spacing w:line="210" w:lineRule="exact"/>
              <w:ind w:left="27"/>
              <w:jc w:val="center"/>
              <w:rPr>
                <w:sz w:val="20"/>
              </w:rPr>
            </w:pPr>
            <w:r>
              <w:rPr>
                <w:spacing w:val="-10"/>
                <w:sz w:val="20"/>
              </w:rPr>
              <w:t>3</w:t>
            </w:r>
          </w:p>
        </w:tc>
        <w:tc>
          <w:tcPr>
            <w:tcW w:w="748" w:type="dxa"/>
          </w:tcPr>
          <w:p>
            <w:pPr>
              <w:pStyle w:val="TableParagraph"/>
              <w:spacing w:line="210" w:lineRule="exact"/>
              <w:ind w:left="18"/>
              <w:jc w:val="center"/>
              <w:rPr>
                <w:sz w:val="20"/>
              </w:rPr>
            </w:pPr>
            <w:r>
              <w:rPr>
                <w:spacing w:val="-4"/>
                <w:sz w:val="20"/>
              </w:rPr>
              <w:t>13.0</w:t>
            </w:r>
          </w:p>
        </w:tc>
        <w:tc>
          <w:tcPr>
            <w:tcW w:w="662" w:type="dxa"/>
          </w:tcPr>
          <w:p>
            <w:pPr>
              <w:pStyle w:val="TableParagraph"/>
              <w:spacing w:line="210" w:lineRule="exact"/>
              <w:ind w:left="49" w:right="6"/>
              <w:jc w:val="center"/>
              <w:rPr>
                <w:sz w:val="20"/>
              </w:rPr>
            </w:pPr>
            <w:r>
              <w:rPr>
                <w:spacing w:val="-5"/>
                <w:sz w:val="20"/>
              </w:rPr>
              <w:t>15</w:t>
            </w:r>
          </w:p>
        </w:tc>
        <w:tc>
          <w:tcPr>
            <w:tcW w:w="787" w:type="dxa"/>
          </w:tcPr>
          <w:p>
            <w:pPr>
              <w:pStyle w:val="TableParagraph"/>
              <w:spacing w:line="210" w:lineRule="exact"/>
              <w:ind w:left="39"/>
              <w:jc w:val="center"/>
              <w:rPr>
                <w:sz w:val="20"/>
              </w:rPr>
            </w:pPr>
            <w:r>
              <w:rPr>
                <w:spacing w:val="-4"/>
                <w:sz w:val="20"/>
              </w:rPr>
              <w:t>65.2</w:t>
            </w:r>
          </w:p>
        </w:tc>
        <w:tc>
          <w:tcPr>
            <w:tcW w:w="571" w:type="dxa"/>
          </w:tcPr>
          <w:p>
            <w:pPr>
              <w:pStyle w:val="TableParagraph"/>
              <w:spacing w:line="210" w:lineRule="exact"/>
              <w:ind w:right="257"/>
              <w:jc w:val="right"/>
              <w:rPr>
                <w:sz w:val="20"/>
              </w:rPr>
            </w:pPr>
            <w:r>
              <w:rPr>
                <w:spacing w:val="-10"/>
                <w:sz w:val="20"/>
              </w:rPr>
              <w:t>4</w:t>
            </w:r>
          </w:p>
        </w:tc>
        <w:tc>
          <w:tcPr>
            <w:tcW w:w="859" w:type="dxa"/>
          </w:tcPr>
          <w:p>
            <w:pPr>
              <w:pStyle w:val="TableParagraph"/>
              <w:spacing w:line="210" w:lineRule="exact"/>
              <w:ind w:left="6" w:right="26"/>
              <w:jc w:val="center"/>
              <w:rPr>
                <w:sz w:val="20"/>
              </w:rPr>
            </w:pPr>
            <w:r>
              <w:rPr>
                <w:spacing w:val="-4"/>
                <w:sz w:val="20"/>
              </w:rPr>
              <w:t>17.4</w:t>
            </w:r>
          </w:p>
        </w:tc>
        <w:tc>
          <w:tcPr>
            <w:tcW w:w="684" w:type="dxa"/>
          </w:tcPr>
          <w:p>
            <w:pPr>
              <w:pStyle w:val="TableParagraph"/>
              <w:spacing w:line="210" w:lineRule="exact"/>
              <w:ind w:left="68" w:right="2"/>
              <w:jc w:val="center"/>
              <w:rPr>
                <w:sz w:val="20"/>
              </w:rPr>
            </w:pPr>
            <w:r>
              <w:rPr>
                <w:spacing w:val="-10"/>
                <w:sz w:val="20"/>
              </w:rPr>
              <w:t>1</w:t>
            </w:r>
          </w:p>
        </w:tc>
        <w:tc>
          <w:tcPr>
            <w:tcW w:w="799" w:type="dxa"/>
          </w:tcPr>
          <w:p>
            <w:pPr>
              <w:pStyle w:val="TableParagraph"/>
              <w:spacing w:line="210" w:lineRule="exact"/>
              <w:ind w:left="23" w:right="5"/>
              <w:jc w:val="center"/>
              <w:rPr>
                <w:sz w:val="20"/>
              </w:rPr>
            </w:pPr>
            <w:r>
              <w:rPr>
                <w:spacing w:val="-5"/>
                <w:sz w:val="20"/>
              </w:rPr>
              <w:t>4.3</w:t>
            </w:r>
          </w:p>
        </w:tc>
        <w:tc>
          <w:tcPr>
            <w:tcW w:w="626" w:type="dxa"/>
          </w:tcPr>
          <w:p>
            <w:pPr>
              <w:pStyle w:val="TableParagraph"/>
              <w:spacing w:line="210" w:lineRule="exact"/>
              <w:ind w:left="20" w:right="8"/>
              <w:jc w:val="center"/>
              <w:rPr>
                <w:sz w:val="20"/>
              </w:rPr>
            </w:pPr>
            <w:r>
              <w:rPr>
                <w:spacing w:val="-10"/>
                <w:sz w:val="20"/>
              </w:rPr>
              <w:t>-</w:t>
            </w:r>
          </w:p>
        </w:tc>
        <w:tc>
          <w:tcPr>
            <w:tcW w:w="729" w:type="dxa"/>
          </w:tcPr>
          <w:p>
            <w:pPr>
              <w:pStyle w:val="TableParagraph"/>
              <w:spacing w:line="210" w:lineRule="exact"/>
              <w:ind w:left="85" w:right="7"/>
              <w:jc w:val="center"/>
              <w:rPr>
                <w:sz w:val="20"/>
              </w:rPr>
            </w:pPr>
            <w:r>
              <w:rPr>
                <w:spacing w:val="-10"/>
                <w:sz w:val="20"/>
              </w:rPr>
              <w:t>-</w:t>
            </w:r>
          </w:p>
        </w:tc>
        <w:tc>
          <w:tcPr>
            <w:tcW w:w="731" w:type="dxa"/>
          </w:tcPr>
          <w:p>
            <w:pPr>
              <w:pStyle w:val="TableParagraph"/>
              <w:spacing w:line="210" w:lineRule="exact"/>
              <w:ind w:right="221"/>
              <w:jc w:val="right"/>
              <w:rPr>
                <w:sz w:val="20"/>
              </w:rPr>
            </w:pPr>
            <w:r>
              <w:rPr>
                <w:spacing w:val="-5"/>
                <w:sz w:val="20"/>
              </w:rPr>
              <w:t>23</w:t>
            </w:r>
          </w:p>
        </w:tc>
        <w:tc>
          <w:tcPr>
            <w:tcW w:w="737" w:type="dxa"/>
            <w:tcBorders>
              <w:right w:val="single" w:sz="4" w:space="0" w:color="000000"/>
            </w:tcBorders>
          </w:tcPr>
          <w:p>
            <w:pPr>
              <w:pStyle w:val="TableParagraph"/>
              <w:spacing w:line="210" w:lineRule="exact"/>
              <w:ind w:left="58" w:right="21"/>
              <w:jc w:val="center"/>
              <w:rPr>
                <w:sz w:val="20"/>
              </w:rPr>
            </w:pPr>
            <w:r>
              <w:rPr>
                <w:spacing w:val="-5"/>
                <w:sz w:val="20"/>
              </w:rPr>
              <w:t>5.0</w:t>
            </w:r>
          </w:p>
        </w:tc>
      </w:tr>
      <w:tr>
        <w:trPr>
          <w:trHeight w:val="230" w:hRule="atLeast"/>
        </w:trPr>
        <w:tc>
          <w:tcPr>
            <w:tcW w:w="4146" w:type="dxa"/>
            <w:tcBorders>
              <w:left w:val="single" w:sz="4" w:space="0" w:color="000000"/>
            </w:tcBorders>
          </w:tcPr>
          <w:p>
            <w:pPr>
              <w:pStyle w:val="TableParagraph"/>
              <w:spacing w:line="210" w:lineRule="exact"/>
              <w:ind w:right="99"/>
              <w:jc w:val="right"/>
              <w:rPr>
                <w:sz w:val="20"/>
              </w:rPr>
            </w:pPr>
            <w:r>
              <w:rPr>
                <w:sz w:val="20"/>
              </w:rPr>
              <w:t>peaceful</w:t>
            </w:r>
            <w:r>
              <w:rPr>
                <w:spacing w:val="62"/>
                <w:w w:val="150"/>
                <w:sz w:val="20"/>
              </w:rPr>
              <w:t> </w:t>
            </w:r>
            <w:r>
              <w:rPr>
                <w:sz w:val="20"/>
              </w:rPr>
              <w:t>and</w:t>
            </w:r>
            <w:r>
              <w:rPr>
                <w:spacing w:val="61"/>
                <w:w w:val="150"/>
                <w:sz w:val="20"/>
              </w:rPr>
              <w:t> </w:t>
            </w:r>
            <w:r>
              <w:rPr>
                <w:sz w:val="20"/>
              </w:rPr>
              <w:t>conducive</w:t>
            </w:r>
            <w:r>
              <w:rPr>
                <w:spacing w:val="58"/>
                <w:w w:val="150"/>
                <w:sz w:val="20"/>
              </w:rPr>
              <w:t> </w:t>
            </w:r>
            <w:r>
              <w:rPr>
                <w:spacing w:val="-2"/>
                <w:sz w:val="20"/>
              </w:rPr>
              <w:t>teaching</w:t>
            </w:r>
          </w:p>
        </w:tc>
        <w:tc>
          <w:tcPr>
            <w:tcW w:w="1978" w:type="dxa"/>
          </w:tcPr>
          <w:p>
            <w:pPr>
              <w:pStyle w:val="TableParagraph"/>
              <w:rPr>
                <w:rFonts w:ascii="Times New Roman"/>
                <w:sz w:val="16"/>
              </w:rPr>
            </w:pPr>
          </w:p>
        </w:tc>
        <w:tc>
          <w:tcPr>
            <w:tcW w:w="701" w:type="dxa"/>
          </w:tcPr>
          <w:p>
            <w:pPr>
              <w:pStyle w:val="TableParagraph"/>
              <w:rPr>
                <w:rFonts w:ascii="Times New Roman"/>
                <w:sz w:val="16"/>
              </w:rPr>
            </w:pPr>
          </w:p>
        </w:tc>
        <w:tc>
          <w:tcPr>
            <w:tcW w:w="748" w:type="dxa"/>
          </w:tcPr>
          <w:p>
            <w:pPr>
              <w:pStyle w:val="TableParagraph"/>
              <w:rPr>
                <w:rFonts w:ascii="Times New Roman"/>
                <w:sz w:val="16"/>
              </w:rPr>
            </w:pPr>
          </w:p>
        </w:tc>
        <w:tc>
          <w:tcPr>
            <w:tcW w:w="662" w:type="dxa"/>
          </w:tcPr>
          <w:p>
            <w:pPr>
              <w:pStyle w:val="TableParagraph"/>
              <w:rPr>
                <w:rFonts w:ascii="Times New Roman"/>
                <w:sz w:val="16"/>
              </w:rPr>
            </w:pPr>
          </w:p>
        </w:tc>
        <w:tc>
          <w:tcPr>
            <w:tcW w:w="787" w:type="dxa"/>
          </w:tcPr>
          <w:p>
            <w:pPr>
              <w:pStyle w:val="TableParagraph"/>
              <w:rPr>
                <w:rFonts w:ascii="Times New Roman"/>
                <w:sz w:val="16"/>
              </w:rPr>
            </w:pPr>
          </w:p>
        </w:tc>
        <w:tc>
          <w:tcPr>
            <w:tcW w:w="571" w:type="dxa"/>
          </w:tcPr>
          <w:p>
            <w:pPr>
              <w:pStyle w:val="TableParagraph"/>
              <w:rPr>
                <w:rFonts w:ascii="Times New Roman"/>
                <w:sz w:val="16"/>
              </w:rPr>
            </w:pPr>
          </w:p>
        </w:tc>
        <w:tc>
          <w:tcPr>
            <w:tcW w:w="859" w:type="dxa"/>
          </w:tcPr>
          <w:p>
            <w:pPr>
              <w:pStyle w:val="TableParagraph"/>
              <w:rPr>
                <w:rFonts w:ascii="Times New Roman"/>
                <w:sz w:val="16"/>
              </w:rPr>
            </w:pPr>
          </w:p>
        </w:tc>
        <w:tc>
          <w:tcPr>
            <w:tcW w:w="684" w:type="dxa"/>
          </w:tcPr>
          <w:p>
            <w:pPr>
              <w:pStyle w:val="TableParagraph"/>
              <w:rPr>
                <w:rFonts w:ascii="Times New Roman"/>
                <w:sz w:val="16"/>
              </w:rPr>
            </w:pPr>
          </w:p>
        </w:tc>
        <w:tc>
          <w:tcPr>
            <w:tcW w:w="799" w:type="dxa"/>
          </w:tcPr>
          <w:p>
            <w:pPr>
              <w:pStyle w:val="TableParagraph"/>
              <w:rPr>
                <w:rFonts w:ascii="Times New Roman"/>
                <w:sz w:val="16"/>
              </w:rPr>
            </w:pPr>
          </w:p>
        </w:tc>
        <w:tc>
          <w:tcPr>
            <w:tcW w:w="626" w:type="dxa"/>
          </w:tcPr>
          <w:p>
            <w:pPr>
              <w:pStyle w:val="TableParagraph"/>
              <w:rPr>
                <w:rFonts w:ascii="Times New Roman"/>
                <w:sz w:val="16"/>
              </w:rPr>
            </w:pPr>
          </w:p>
        </w:tc>
        <w:tc>
          <w:tcPr>
            <w:tcW w:w="729" w:type="dxa"/>
          </w:tcPr>
          <w:p>
            <w:pPr>
              <w:pStyle w:val="TableParagraph"/>
              <w:rPr>
                <w:rFonts w:ascii="Times New Roman"/>
                <w:sz w:val="16"/>
              </w:rPr>
            </w:pPr>
          </w:p>
        </w:tc>
        <w:tc>
          <w:tcPr>
            <w:tcW w:w="731" w:type="dxa"/>
          </w:tcPr>
          <w:p>
            <w:pPr>
              <w:pStyle w:val="TableParagraph"/>
              <w:rPr>
                <w:rFonts w:ascii="Times New Roman"/>
                <w:sz w:val="16"/>
              </w:rPr>
            </w:pPr>
          </w:p>
        </w:tc>
        <w:tc>
          <w:tcPr>
            <w:tcW w:w="737" w:type="dxa"/>
            <w:tcBorders>
              <w:right w:val="single" w:sz="4" w:space="0" w:color="000000"/>
            </w:tcBorders>
          </w:tcPr>
          <w:p>
            <w:pPr>
              <w:pStyle w:val="TableParagraph"/>
              <w:rPr>
                <w:rFonts w:ascii="Times New Roman"/>
                <w:sz w:val="16"/>
              </w:rPr>
            </w:pPr>
          </w:p>
        </w:tc>
      </w:tr>
      <w:tr>
        <w:trPr>
          <w:trHeight w:val="232" w:hRule="atLeast"/>
        </w:trPr>
        <w:tc>
          <w:tcPr>
            <w:tcW w:w="4146" w:type="dxa"/>
            <w:tcBorders>
              <w:left w:val="single" w:sz="4" w:space="0" w:color="000000"/>
              <w:bottom w:val="single" w:sz="4" w:space="0" w:color="000000"/>
            </w:tcBorders>
          </w:tcPr>
          <w:p>
            <w:pPr>
              <w:pStyle w:val="TableParagraph"/>
              <w:spacing w:line="213" w:lineRule="exact"/>
              <w:ind w:left="830"/>
              <w:rPr>
                <w:sz w:val="20"/>
              </w:rPr>
            </w:pPr>
            <w:r>
              <w:rPr>
                <w:sz w:val="20"/>
              </w:rPr>
              <w:t>and</w:t>
            </w:r>
            <w:r>
              <w:rPr>
                <w:spacing w:val="-4"/>
                <w:sz w:val="20"/>
              </w:rPr>
              <w:t> </w:t>
            </w:r>
            <w:r>
              <w:rPr>
                <w:sz w:val="20"/>
              </w:rPr>
              <w:t>learning</w:t>
            </w:r>
            <w:r>
              <w:rPr>
                <w:spacing w:val="-3"/>
                <w:sz w:val="20"/>
              </w:rPr>
              <w:t> </w:t>
            </w:r>
            <w:r>
              <w:rPr>
                <w:spacing w:val="-2"/>
                <w:sz w:val="20"/>
              </w:rPr>
              <w:t>environment</w:t>
            </w:r>
          </w:p>
        </w:tc>
        <w:tc>
          <w:tcPr>
            <w:tcW w:w="1978" w:type="dxa"/>
            <w:tcBorders>
              <w:bottom w:val="single" w:sz="4" w:space="0" w:color="000000"/>
            </w:tcBorders>
          </w:tcPr>
          <w:p>
            <w:pPr>
              <w:pStyle w:val="TableParagraph"/>
              <w:rPr>
                <w:rFonts w:ascii="Times New Roman"/>
                <w:sz w:val="16"/>
              </w:rPr>
            </w:pPr>
          </w:p>
        </w:tc>
        <w:tc>
          <w:tcPr>
            <w:tcW w:w="701" w:type="dxa"/>
            <w:tcBorders>
              <w:bottom w:val="single" w:sz="4" w:space="0" w:color="000000"/>
            </w:tcBorders>
          </w:tcPr>
          <w:p>
            <w:pPr>
              <w:pStyle w:val="TableParagraph"/>
              <w:rPr>
                <w:rFonts w:ascii="Times New Roman"/>
                <w:sz w:val="16"/>
              </w:rPr>
            </w:pPr>
          </w:p>
        </w:tc>
        <w:tc>
          <w:tcPr>
            <w:tcW w:w="748" w:type="dxa"/>
            <w:tcBorders>
              <w:bottom w:val="single" w:sz="4" w:space="0" w:color="000000"/>
            </w:tcBorders>
          </w:tcPr>
          <w:p>
            <w:pPr>
              <w:pStyle w:val="TableParagraph"/>
              <w:rPr>
                <w:rFonts w:ascii="Times New Roman"/>
                <w:sz w:val="16"/>
              </w:rPr>
            </w:pPr>
          </w:p>
        </w:tc>
        <w:tc>
          <w:tcPr>
            <w:tcW w:w="662" w:type="dxa"/>
            <w:tcBorders>
              <w:bottom w:val="single" w:sz="4" w:space="0" w:color="000000"/>
            </w:tcBorders>
          </w:tcPr>
          <w:p>
            <w:pPr>
              <w:pStyle w:val="TableParagraph"/>
              <w:rPr>
                <w:rFonts w:ascii="Times New Roman"/>
                <w:sz w:val="16"/>
              </w:rPr>
            </w:pPr>
          </w:p>
        </w:tc>
        <w:tc>
          <w:tcPr>
            <w:tcW w:w="787" w:type="dxa"/>
            <w:tcBorders>
              <w:bottom w:val="single" w:sz="4" w:space="0" w:color="000000"/>
            </w:tcBorders>
          </w:tcPr>
          <w:p>
            <w:pPr>
              <w:pStyle w:val="TableParagraph"/>
              <w:rPr>
                <w:rFonts w:ascii="Times New Roman"/>
                <w:sz w:val="16"/>
              </w:rPr>
            </w:pPr>
          </w:p>
        </w:tc>
        <w:tc>
          <w:tcPr>
            <w:tcW w:w="571" w:type="dxa"/>
            <w:tcBorders>
              <w:bottom w:val="single" w:sz="4" w:space="0" w:color="000000"/>
            </w:tcBorders>
          </w:tcPr>
          <w:p>
            <w:pPr>
              <w:pStyle w:val="TableParagraph"/>
              <w:rPr>
                <w:rFonts w:ascii="Times New Roman"/>
                <w:sz w:val="16"/>
              </w:rPr>
            </w:pPr>
          </w:p>
        </w:tc>
        <w:tc>
          <w:tcPr>
            <w:tcW w:w="859" w:type="dxa"/>
            <w:tcBorders>
              <w:bottom w:val="single" w:sz="4" w:space="0" w:color="000000"/>
            </w:tcBorders>
          </w:tcPr>
          <w:p>
            <w:pPr>
              <w:pStyle w:val="TableParagraph"/>
              <w:rPr>
                <w:rFonts w:ascii="Times New Roman"/>
                <w:sz w:val="16"/>
              </w:rPr>
            </w:pPr>
          </w:p>
        </w:tc>
        <w:tc>
          <w:tcPr>
            <w:tcW w:w="684" w:type="dxa"/>
            <w:tcBorders>
              <w:bottom w:val="single" w:sz="4" w:space="0" w:color="000000"/>
            </w:tcBorders>
          </w:tcPr>
          <w:p>
            <w:pPr>
              <w:pStyle w:val="TableParagraph"/>
              <w:rPr>
                <w:rFonts w:ascii="Times New Roman"/>
                <w:sz w:val="16"/>
              </w:rPr>
            </w:pPr>
          </w:p>
        </w:tc>
        <w:tc>
          <w:tcPr>
            <w:tcW w:w="799" w:type="dxa"/>
            <w:tcBorders>
              <w:bottom w:val="single" w:sz="4" w:space="0" w:color="000000"/>
            </w:tcBorders>
          </w:tcPr>
          <w:p>
            <w:pPr>
              <w:pStyle w:val="TableParagraph"/>
              <w:rPr>
                <w:rFonts w:ascii="Times New Roman"/>
                <w:sz w:val="16"/>
              </w:rPr>
            </w:pPr>
          </w:p>
        </w:tc>
        <w:tc>
          <w:tcPr>
            <w:tcW w:w="626" w:type="dxa"/>
            <w:tcBorders>
              <w:bottom w:val="single" w:sz="4" w:space="0" w:color="000000"/>
            </w:tcBorders>
          </w:tcPr>
          <w:p>
            <w:pPr>
              <w:pStyle w:val="TableParagraph"/>
              <w:rPr>
                <w:rFonts w:ascii="Times New Roman"/>
                <w:sz w:val="16"/>
              </w:rPr>
            </w:pPr>
          </w:p>
        </w:tc>
        <w:tc>
          <w:tcPr>
            <w:tcW w:w="729" w:type="dxa"/>
            <w:tcBorders>
              <w:bottom w:val="single" w:sz="4" w:space="0" w:color="000000"/>
            </w:tcBorders>
          </w:tcPr>
          <w:p>
            <w:pPr>
              <w:pStyle w:val="TableParagraph"/>
              <w:rPr>
                <w:rFonts w:ascii="Times New Roman"/>
                <w:sz w:val="16"/>
              </w:rPr>
            </w:pPr>
          </w:p>
        </w:tc>
        <w:tc>
          <w:tcPr>
            <w:tcW w:w="731" w:type="dxa"/>
            <w:tcBorders>
              <w:bottom w:val="single" w:sz="4" w:space="0" w:color="000000"/>
            </w:tcBorders>
          </w:tcPr>
          <w:p>
            <w:pPr>
              <w:pStyle w:val="TableParagraph"/>
              <w:rPr>
                <w:rFonts w:ascii="Times New Roman"/>
                <w:sz w:val="16"/>
              </w:rPr>
            </w:pPr>
          </w:p>
        </w:tc>
        <w:tc>
          <w:tcPr>
            <w:tcW w:w="737" w:type="dxa"/>
            <w:tcBorders>
              <w:bottom w:val="single" w:sz="4" w:space="0" w:color="000000"/>
              <w:right w:val="single" w:sz="4" w:space="0" w:color="000000"/>
            </w:tcBorders>
          </w:tcPr>
          <w:p>
            <w:pPr>
              <w:pStyle w:val="TableParagraph"/>
              <w:rPr>
                <w:rFonts w:ascii="Times New Roman"/>
                <w:sz w:val="16"/>
              </w:rPr>
            </w:pPr>
          </w:p>
        </w:tc>
      </w:tr>
    </w:tbl>
    <w:p>
      <w:pPr>
        <w:pStyle w:val="BodyText"/>
        <w:rPr>
          <w:rFonts w:ascii="Arial"/>
          <w:b/>
          <w:sz w:val="28"/>
        </w:rPr>
      </w:pPr>
    </w:p>
    <w:p>
      <w:pPr>
        <w:pStyle w:val="BodyText"/>
        <w:rPr>
          <w:rFonts w:ascii="Arial"/>
          <w:b/>
          <w:sz w:val="28"/>
        </w:rPr>
      </w:pPr>
    </w:p>
    <w:p>
      <w:pPr>
        <w:pStyle w:val="BodyText"/>
        <w:rPr>
          <w:rFonts w:ascii="Arial"/>
          <w:b/>
          <w:sz w:val="28"/>
        </w:rPr>
      </w:pPr>
    </w:p>
    <w:p>
      <w:pPr>
        <w:pStyle w:val="BodyText"/>
        <w:spacing w:before="185"/>
        <w:rPr>
          <w:rFonts w:ascii="Arial"/>
          <w:b/>
          <w:sz w:val="28"/>
        </w:rPr>
      </w:pPr>
    </w:p>
    <w:p>
      <w:pPr>
        <w:pStyle w:val="BodyText"/>
        <w:ind w:left="3" w:right="433"/>
        <w:jc w:val="center"/>
        <w:rPr>
          <w:rFonts w:ascii="Times New Roman"/>
        </w:rPr>
      </w:pPr>
      <w:r>
        <w:rPr>
          <w:rFonts w:ascii="Times New Roman"/>
          <w:spacing w:val="-5"/>
        </w:rPr>
        <w:t>155</w:t>
      </w:r>
    </w:p>
    <w:p>
      <w:pPr>
        <w:spacing w:after="0"/>
        <w:jc w:val="center"/>
        <w:rPr>
          <w:rFonts w:ascii="Times New Roman"/>
        </w:rPr>
        <w:sectPr>
          <w:headerReference w:type="default" r:id="rId351"/>
          <w:footerReference w:type="default" r:id="rId352"/>
          <w:pgSz w:w="15840" w:h="12240" w:orient="landscape"/>
          <w:pgMar w:header="0" w:footer="0" w:top="640" w:bottom="280" w:left="500" w:right="360"/>
        </w:sectPr>
      </w:pPr>
    </w:p>
    <w:p>
      <w:pPr>
        <w:pStyle w:val="BodyText"/>
        <w:spacing w:line="480" w:lineRule="auto" w:before="83"/>
        <w:ind w:left="820" w:right="116" w:firstLine="720"/>
        <w:jc w:val="both"/>
      </w:pPr>
      <w:r>
        <w:rPr/>
        <w:t>On whether or not religious services provided on the campuses helped students tremendously in moulding their moral and spiritual character. 92.7 percent of students, 92.6 percent of service staff and 100 percent of top management reached a consensus that the religious services contributed a</w:t>
      </w:r>
      <w:r>
        <w:rPr>
          <w:spacing w:val="-1"/>
        </w:rPr>
        <w:t> </w:t>
      </w:r>
      <w:r>
        <w:rPr/>
        <w:t>lot in moral upbringing of students on the campuses. This view was not supported by very negligible percentage of students and staff.</w:t>
      </w:r>
    </w:p>
    <w:p>
      <w:pPr>
        <w:pStyle w:val="BodyText"/>
        <w:spacing w:line="480" w:lineRule="auto"/>
        <w:ind w:left="820" w:right="116" w:firstLine="720"/>
        <w:jc w:val="both"/>
      </w:pPr>
      <w:r>
        <w:rPr/>
        <w:t>The contrary opinion by the respondents might have been influenced by students and service staff that were free thinkers or otherwise.</w:t>
      </w:r>
    </w:p>
    <w:p>
      <w:pPr>
        <w:pStyle w:val="BodyText"/>
        <w:spacing w:line="480" w:lineRule="auto"/>
        <w:ind w:left="820" w:right="114" w:firstLine="720"/>
        <w:jc w:val="both"/>
      </w:pPr>
      <w:r>
        <w:rPr/>
        <w:t>From the responses in item 64 which enquired as to whether or not churches and mosques on the campuses were adequate enough to serve students for observing their religious obligations. 80.4 percent of students, 77.8 percent of service staff and 95.6 percent of top management staff agreed with</w:t>
      </w:r>
      <w:r>
        <w:rPr>
          <w:spacing w:val="80"/>
        </w:rPr>
        <w:t> </w:t>
      </w:r>
      <w:r>
        <w:rPr/>
        <w:t>the statement. However, 13.2 percent of students, 11.9 percent of service staff did not share the view while very insignificant percentage were undecided. The high congruence in their positive opinion would suggest that religion is taken as very important in shaping the moral behaviour of students, more so when</w:t>
      </w:r>
      <w:r>
        <w:rPr>
          <w:spacing w:val="40"/>
        </w:rPr>
        <w:t> </w:t>
      </w:r>
      <w:r>
        <w:rPr/>
        <w:t>majority were from</w:t>
      </w:r>
      <w:r>
        <w:rPr>
          <w:spacing w:val="-5"/>
        </w:rPr>
        <w:t> </w:t>
      </w:r>
      <w:r>
        <w:rPr/>
        <w:t>Islamic or Christian</w:t>
      </w:r>
      <w:r>
        <w:rPr>
          <w:spacing w:val="-1"/>
        </w:rPr>
        <w:t> </w:t>
      </w:r>
      <w:r>
        <w:rPr/>
        <w:t>background where</w:t>
      </w:r>
      <w:r>
        <w:rPr>
          <w:spacing w:val="-1"/>
        </w:rPr>
        <w:t> </w:t>
      </w:r>
      <w:r>
        <w:rPr/>
        <w:t>it is assumed that they have been used to the practice of the religious obligations.</w:t>
      </w:r>
    </w:p>
    <w:p>
      <w:pPr>
        <w:pStyle w:val="BodyText"/>
        <w:spacing w:line="480" w:lineRule="auto" w:before="1"/>
        <w:ind w:left="820" w:right="118" w:firstLine="720"/>
        <w:jc w:val="both"/>
      </w:pPr>
      <w:r>
        <w:rPr/>
        <w:t>The responses of the three groups of respondents were in support of the encouragement of religious tolerance on the campuses as to avoid conflicts and uprisings, emanating from the religious beliefs as raised in item 65. This was agreed by 92.3 percent of the students, 91.1 percent of service staff and 91.3 percent</w:t>
      </w:r>
      <w:r>
        <w:rPr>
          <w:spacing w:val="67"/>
          <w:w w:val="150"/>
        </w:rPr>
        <w:t> </w:t>
      </w:r>
      <w:r>
        <w:rPr/>
        <w:t>of</w:t>
      </w:r>
      <w:r>
        <w:rPr>
          <w:spacing w:val="68"/>
          <w:w w:val="150"/>
        </w:rPr>
        <w:t> </w:t>
      </w:r>
      <w:r>
        <w:rPr/>
        <w:t>top</w:t>
      </w:r>
      <w:r>
        <w:rPr>
          <w:spacing w:val="68"/>
          <w:w w:val="150"/>
        </w:rPr>
        <w:t> </w:t>
      </w:r>
      <w:r>
        <w:rPr/>
        <w:t>management.</w:t>
      </w:r>
      <w:r>
        <w:rPr>
          <w:spacing w:val="68"/>
          <w:w w:val="150"/>
        </w:rPr>
        <w:t> </w:t>
      </w:r>
      <w:r>
        <w:rPr/>
        <w:t>It</w:t>
      </w:r>
      <w:r>
        <w:rPr>
          <w:spacing w:val="67"/>
          <w:w w:val="150"/>
        </w:rPr>
        <w:t> </w:t>
      </w:r>
      <w:r>
        <w:rPr/>
        <w:t>is</w:t>
      </w:r>
      <w:r>
        <w:rPr>
          <w:spacing w:val="67"/>
          <w:w w:val="150"/>
        </w:rPr>
        <w:t> </w:t>
      </w:r>
      <w:r>
        <w:rPr/>
        <w:t>obvious</w:t>
      </w:r>
      <w:r>
        <w:rPr>
          <w:spacing w:val="67"/>
          <w:w w:val="150"/>
        </w:rPr>
        <w:t> </w:t>
      </w:r>
      <w:r>
        <w:rPr/>
        <w:t>that</w:t>
      </w:r>
      <w:r>
        <w:rPr>
          <w:spacing w:val="68"/>
          <w:w w:val="150"/>
        </w:rPr>
        <w:t> </w:t>
      </w:r>
      <w:r>
        <w:rPr/>
        <w:t>religious</w:t>
      </w:r>
      <w:r>
        <w:rPr>
          <w:spacing w:val="66"/>
          <w:w w:val="150"/>
        </w:rPr>
        <w:t> </w:t>
      </w:r>
      <w:r>
        <w:rPr/>
        <w:t>uprisings</w:t>
      </w:r>
      <w:r>
        <w:rPr>
          <w:spacing w:val="67"/>
          <w:w w:val="150"/>
        </w:rPr>
        <w:t> </w:t>
      </w:r>
      <w:r>
        <w:rPr/>
        <w:t>in</w:t>
      </w:r>
      <w:r>
        <w:rPr>
          <w:spacing w:val="68"/>
          <w:w w:val="150"/>
        </w:rPr>
        <w:t> </w:t>
      </w:r>
      <w:r>
        <w:rPr>
          <w:spacing w:val="-5"/>
        </w:rPr>
        <w:t>our</w:t>
      </w:r>
    </w:p>
    <w:p>
      <w:pPr>
        <w:spacing w:after="0" w:line="480" w:lineRule="auto"/>
        <w:jc w:val="both"/>
        <w:sectPr>
          <w:headerReference w:type="default" r:id="rId353"/>
          <w:footerReference w:type="default" r:id="rId354"/>
          <w:pgSz w:w="12240" w:h="15840"/>
          <w:pgMar w:header="722" w:footer="791" w:top="1340" w:bottom="980" w:left="1340" w:right="1320"/>
          <w:pgNumType w:start="156"/>
        </w:sectPr>
      </w:pPr>
    </w:p>
    <w:p>
      <w:pPr>
        <w:pStyle w:val="BodyText"/>
        <w:spacing w:line="480" w:lineRule="auto" w:before="83"/>
        <w:ind w:left="820" w:right="119"/>
        <w:jc w:val="both"/>
      </w:pPr>
      <w:r>
        <w:rPr/>
        <w:t>universities as well as other institutions of learning, produced bitter experiences. Lives and properties were usually destroyed. For this reason it is very important that students need to develop the culture of tolerance amongst themselves and eschew religious bigotry.</w:t>
      </w:r>
    </w:p>
    <w:p>
      <w:pPr>
        <w:pStyle w:val="BodyText"/>
        <w:spacing w:line="480" w:lineRule="auto"/>
        <w:ind w:left="820" w:right="116" w:firstLine="720"/>
        <w:jc w:val="both"/>
      </w:pPr>
      <w:r>
        <w:rPr/>
        <w:t>From table 4.3.1.7 there seems to be concord of opinion among the respondents that students of different faiths other than Islam and Christianity do not</w:t>
      </w:r>
      <w:r>
        <w:rPr>
          <w:spacing w:val="23"/>
        </w:rPr>
        <w:t> </w:t>
      </w:r>
      <w:r>
        <w:rPr/>
        <w:t>usually</w:t>
      </w:r>
      <w:r>
        <w:rPr>
          <w:spacing w:val="23"/>
        </w:rPr>
        <w:t> </w:t>
      </w:r>
      <w:r>
        <w:rPr/>
        <w:t>receive</w:t>
      </w:r>
      <w:r>
        <w:rPr>
          <w:spacing w:val="24"/>
        </w:rPr>
        <w:t> </w:t>
      </w:r>
      <w:r>
        <w:rPr/>
        <w:t>recognition</w:t>
      </w:r>
      <w:r>
        <w:rPr>
          <w:spacing w:val="24"/>
        </w:rPr>
        <w:t> </w:t>
      </w:r>
      <w:r>
        <w:rPr/>
        <w:t>and</w:t>
      </w:r>
      <w:r>
        <w:rPr>
          <w:spacing w:val="24"/>
        </w:rPr>
        <w:t> </w:t>
      </w:r>
      <w:r>
        <w:rPr/>
        <w:t>treatment</w:t>
      </w:r>
      <w:r>
        <w:rPr>
          <w:spacing w:val="23"/>
        </w:rPr>
        <w:t> </w:t>
      </w:r>
      <w:r>
        <w:rPr/>
        <w:t>in</w:t>
      </w:r>
      <w:r>
        <w:rPr>
          <w:spacing w:val="24"/>
        </w:rPr>
        <w:t> </w:t>
      </w:r>
      <w:r>
        <w:rPr/>
        <w:t>any</w:t>
      </w:r>
      <w:r>
        <w:rPr>
          <w:spacing w:val="23"/>
        </w:rPr>
        <w:t> </w:t>
      </w:r>
      <w:r>
        <w:rPr/>
        <w:t>way</w:t>
      </w:r>
      <w:r>
        <w:rPr>
          <w:spacing w:val="23"/>
        </w:rPr>
        <w:t> </w:t>
      </w:r>
      <w:r>
        <w:rPr/>
        <w:t>as</w:t>
      </w:r>
      <w:r>
        <w:rPr>
          <w:spacing w:val="23"/>
        </w:rPr>
        <w:t> </w:t>
      </w:r>
      <w:r>
        <w:rPr/>
        <w:t>raised</w:t>
      </w:r>
      <w:r>
        <w:rPr>
          <w:spacing w:val="24"/>
        </w:rPr>
        <w:t> </w:t>
      </w:r>
      <w:r>
        <w:rPr/>
        <w:t>by</w:t>
      </w:r>
      <w:r>
        <w:rPr>
          <w:spacing w:val="18"/>
        </w:rPr>
        <w:t> </w:t>
      </w:r>
      <w:r>
        <w:rPr/>
        <w:t>item</w:t>
      </w:r>
      <w:r>
        <w:rPr>
          <w:spacing w:val="16"/>
        </w:rPr>
        <w:t> </w:t>
      </w:r>
      <w:r>
        <w:rPr>
          <w:spacing w:val="-5"/>
        </w:rPr>
        <w:t>66.</w:t>
      </w:r>
    </w:p>
    <w:p>
      <w:pPr>
        <w:pStyle w:val="BodyText"/>
        <w:spacing w:line="480" w:lineRule="auto"/>
        <w:ind w:left="820" w:right="117"/>
        <w:jc w:val="both"/>
      </w:pPr>
      <w:r>
        <w:rPr/>
        <w:t>52.7 percent of students, 53.7 percent of service staff and 60.8 percent of top management</w:t>
      </w:r>
      <w:r>
        <w:rPr>
          <w:spacing w:val="-2"/>
        </w:rPr>
        <w:t> </w:t>
      </w:r>
      <w:r>
        <w:rPr/>
        <w:t>staff</w:t>
      </w:r>
      <w:r>
        <w:rPr>
          <w:spacing w:val="-2"/>
        </w:rPr>
        <w:t> </w:t>
      </w:r>
      <w:r>
        <w:rPr/>
        <w:t>agreed with</w:t>
      </w:r>
      <w:r>
        <w:rPr>
          <w:spacing w:val="-1"/>
        </w:rPr>
        <w:t> </w:t>
      </w:r>
      <w:r>
        <w:rPr/>
        <w:t>the</w:t>
      </w:r>
      <w:r>
        <w:rPr>
          <w:spacing w:val="-1"/>
        </w:rPr>
        <w:t> </w:t>
      </w:r>
      <w:r>
        <w:rPr/>
        <w:t>statement. It</w:t>
      </w:r>
      <w:r>
        <w:rPr>
          <w:spacing w:val="-2"/>
        </w:rPr>
        <w:t> </w:t>
      </w:r>
      <w:r>
        <w:rPr/>
        <w:t>was evident</w:t>
      </w:r>
      <w:r>
        <w:rPr>
          <w:spacing w:val="-2"/>
        </w:rPr>
        <w:t> </w:t>
      </w:r>
      <w:r>
        <w:rPr/>
        <w:t>that</w:t>
      </w:r>
      <w:r>
        <w:rPr>
          <w:spacing w:val="-2"/>
        </w:rPr>
        <w:t> </w:t>
      </w:r>
      <w:r>
        <w:rPr/>
        <w:t>under the</w:t>
      </w:r>
      <w:r>
        <w:rPr>
          <w:spacing w:val="-1"/>
        </w:rPr>
        <w:t> </w:t>
      </w:r>
      <w:r>
        <w:rPr/>
        <w:t>study, Islam</w:t>
      </w:r>
      <w:r>
        <w:rPr>
          <w:spacing w:val="-5"/>
        </w:rPr>
        <w:t> </w:t>
      </w:r>
      <w:r>
        <w:rPr/>
        <w:t>and Christianity are the two prominent faiths in the three geopolitical zones in Northern part of Nigeria. Due to the small number of foreign students who might belong to other faiths like Hinduism, Judaism, Budism and even traditional faiths, the campuses were not sure of the type of facilities to provide for them. Few respondents had contrary opinion to this statement.</w:t>
      </w:r>
    </w:p>
    <w:p>
      <w:pPr>
        <w:pStyle w:val="BodyText"/>
        <w:spacing w:line="480" w:lineRule="auto" w:before="1"/>
        <w:ind w:left="820" w:right="114" w:firstLine="720"/>
        <w:jc w:val="both"/>
      </w:pPr>
      <w:r>
        <w:rPr/>
        <w:t>Responses of respondents on item 67, revealed that 55.7 percent of students, 51.8 percent of service staff and 78.2 percent of top management staff agreed that the proliferation of churches or denominations and sects on campuses in the Universities under study precipitated misunderstanding and serious security problems, thereby constituting threats to peaceful and conducive teaching and learning environment. It was obvious that the universities could not meet the demands of the many religious denominations and sects. Hence the misunderstandings and diversions from the religious beliefs which the University managements were likely to disapprove of.</w:t>
      </w:r>
    </w:p>
    <w:p>
      <w:pPr>
        <w:spacing w:after="0" w:line="480" w:lineRule="auto"/>
        <w:jc w:val="both"/>
        <w:sectPr>
          <w:headerReference w:type="default" r:id="rId355"/>
          <w:footerReference w:type="default" r:id="rId356"/>
          <w:pgSz w:w="12240" w:h="15840"/>
          <w:pgMar w:header="722" w:footer="791" w:top="1340" w:bottom="980" w:left="1340" w:right="1320"/>
        </w:sectPr>
      </w:pPr>
    </w:p>
    <w:p>
      <w:pPr>
        <w:pStyle w:val="Heading2"/>
        <w:numPr>
          <w:ilvl w:val="3"/>
          <w:numId w:val="39"/>
        </w:numPr>
        <w:tabs>
          <w:tab w:pos="1537" w:val="left" w:leader="none"/>
          <w:tab w:pos="1540" w:val="left" w:leader="none"/>
        </w:tabs>
        <w:spacing w:line="240" w:lineRule="auto" w:before="79" w:after="0"/>
        <w:ind w:left="1540" w:right="121" w:hanging="1440"/>
        <w:jc w:val="both"/>
        <w:rPr>
          <w:rFonts w:ascii="Arial MT" w:hAnsi="Arial MT"/>
          <w:b w:val="0"/>
        </w:rPr>
      </w:pPr>
      <w:r>
        <w:rPr/>
        <w:t>The</w:t>
      </w:r>
      <w:r>
        <w:rPr>
          <w:spacing w:val="-5"/>
        </w:rPr>
        <w:t> </w:t>
      </w:r>
      <w:r>
        <w:rPr/>
        <w:t>impact</w:t>
      </w:r>
      <w:r>
        <w:rPr>
          <w:spacing w:val="-1"/>
        </w:rPr>
        <w:t> </w:t>
      </w:r>
      <w:r>
        <w:rPr/>
        <w:t>of</w:t>
      </w:r>
      <w:r>
        <w:rPr>
          <w:spacing w:val="-5"/>
        </w:rPr>
        <w:t> </w:t>
      </w:r>
      <w:r>
        <w:rPr/>
        <w:t>Banking</w:t>
      </w:r>
      <w:r>
        <w:rPr>
          <w:spacing w:val="-5"/>
        </w:rPr>
        <w:t> </w:t>
      </w:r>
      <w:r>
        <w:rPr/>
        <w:t>and</w:t>
      </w:r>
      <w:r>
        <w:rPr>
          <w:spacing w:val="-2"/>
        </w:rPr>
        <w:t> </w:t>
      </w:r>
      <w:r>
        <w:rPr/>
        <w:t>Telecommunication</w:t>
      </w:r>
      <w:r>
        <w:rPr>
          <w:spacing w:val="-5"/>
        </w:rPr>
        <w:t> </w:t>
      </w:r>
      <w:r>
        <w:rPr/>
        <w:t>services</w:t>
      </w:r>
      <w:r>
        <w:rPr>
          <w:spacing w:val="-1"/>
        </w:rPr>
        <w:t> </w:t>
      </w:r>
      <w:r>
        <w:rPr/>
        <w:t>on students’ welfare services in universities in three geopolical zones in Northern part of Nigeria</w:t>
      </w:r>
    </w:p>
    <w:p>
      <w:pPr>
        <w:pStyle w:val="BodyText"/>
        <w:spacing w:line="480" w:lineRule="auto" w:before="281"/>
        <w:ind w:left="820" w:right="116" w:firstLine="720"/>
        <w:jc w:val="both"/>
      </w:pPr>
      <w:r>
        <w:rPr/>
        <w:t>This section showed the analysis and presentation of responses of the three categories of respondents on items 68 to 72. The section generally aimed at finding out whether or not students required banking and telecommunication services on the university campuses. The responses in the opinions of respondents are shown in Table 4.3.1.8.</w:t>
      </w:r>
    </w:p>
    <w:p>
      <w:pPr>
        <w:spacing w:after="0" w:line="480" w:lineRule="auto"/>
        <w:jc w:val="both"/>
        <w:sectPr>
          <w:headerReference w:type="default" r:id="rId357"/>
          <w:footerReference w:type="default" r:id="rId358"/>
          <w:pgSz w:w="12240" w:h="15840"/>
          <w:pgMar w:header="722" w:footer="791" w:top="1340" w:bottom="980" w:left="1340" w:right="1320"/>
        </w:sectPr>
      </w:pPr>
    </w:p>
    <w:p>
      <w:pPr>
        <w:pStyle w:val="BodyText"/>
        <w:spacing w:before="72"/>
        <w:ind w:left="3" w:right="433"/>
        <w:jc w:val="center"/>
        <w:rPr>
          <w:rFonts w:ascii="Times New Roman"/>
        </w:rPr>
      </w:pPr>
      <w:r>
        <w:rPr>
          <w:rFonts w:ascii="Times New Roman"/>
          <w:spacing w:val="-5"/>
        </w:rPr>
        <w:t>159</w:t>
      </w:r>
    </w:p>
    <w:p>
      <w:pPr>
        <w:pStyle w:val="BodyText"/>
        <w:spacing w:before="121"/>
        <w:rPr>
          <w:rFonts w:ascii="Times New Roman"/>
          <w:sz w:val="28"/>
        </w:rPr>
      </w:pPr>
    </w:p>
    <w:p>
      <w:pPr>
        <w:pStyle w:val="Heading2"/>
        <w:spacing w:before="1"/>
        <w:ind w:left="2519" w:right="1237" w:hanging="1868"/>
      </w:pPr>
      <w:r>
        <w:rPr/>
        <w:t>Table</w:t>
      </w:r>
      <w:r>
        <w:rPr>
          <w:spacing w:val="-3"/>
        </w:rPr>
        <w:t> </w:t>
      </w:r>
      <w:r>
        <w:rPr/>
        <w:t>4.3.1.8:</w:t>
      </w:r>
      <w:r>
        <w:rPr>
          <w:spacing w:val="-3"/>
        </w:rPr>
        <w:t> </w:t>
      </w:r>
      <w:r>
        <w:rPr/>
        <w:t>Opinions</w:t>
      </w:r>
      <w:r>
        <w:rPr>
          <w:spacing w:val="-3"/>
        </w:rPr>
        <w:t> </w:t>
      </w:r>
      <w:r>
        <w:rPr/>
        <w:t>of</w:t>
      </w:r>
      <w:r>
        <w:rPr>
          <w:spacing w:val="-3"/>
        </w:rPr>
        <w:t> </w:t>
      </w:r>
      <w:r>
        <w:rPr/>
        <w:t>respondents</w:t>
      </w:r>
      <w:r>
        <w:rPr>
          <w:spacing w:val="-3"/>
        </w:rPr>
        <w:t> </w:t>
      </w:r>
      <w:r>
        <w:rPr/>
        <w:t>on</w:t>
      </w:r>
      <w:r>
        <w:rPr>
          <w:spacing w:val="-4"/>
        </w:rPr>
        <w:t> </w:t>
      </w:r>
      <w:r>
        <w:rPr/>
        <w:t>the</w:t>
      </w:r>
      <w:r>
        <w:rPr>
          <w:spacing w:val="-8"/>
        </w:rPr>
        <w:t> </w:t>
      </w:r>
      <w:r>
        <w:rPr/>
        <w:t>impact</w:t>
      </w:r>
      <w:r>
        <w:rPr>
          <w:spacing w:val="-4"/>
        </w:rPr>
        <w:t> </w:t>
      </w:r>
      <w:r>
        <w:rPr/>
        <w:t>of</w:t>
      </w:r>
      <w:r>
        <w:rPr>
          <w:spacing w:val="-3"/>
        </w:rPr>
        <w:t> </w:t>
      </w:r>
      <w:r>
        <w:rPr/>
        <w:t>banking</w:t>
      </w:r>
      <w:r>
        <w:rPr>
          <w:spacing w:val="-4"/>
        </w:rPr>
        <w:t> </w:t>
      </w:r>
      <w:r>
        <w:rPr/>
        <w:t>and</w:t>
      </w:r>
      <w:r>
        <w:rPr>
          <w:spacing w:val="-4"/>
        </w:rPr>
        <w:t> </w:t>
      </w:r>
      <w:r>
        <w:rPr/>
        <w:t>telecommunication</w:t>
      </w:r>
      <w:r>
        <w:rPr>
          <w:spacing w:val="-4"/>
        </w:rPr>
        <w:t> </w:t>
      </w:r>
      <w:r>
        <w:rPr/>
        <w:t>services on students’ welfare</w:t>
      </w:r>
    </w:p>
    <w:p>
      <w:pPr>
        <w:pStyle w:val="BodyText"/>
        <w:spacing w:before="55"/>
        <w:rPr>
          <w:rFonts w:ascii="Arial"/>
          <w:b/>
          <w:sz w:val="20"/>
        </w:rPr>
      </w:pPr>
    </w:p>
    <w:tbl>
      <w:tblPr>
        <w:tblW w:w="0" w:type="auto"/>
        <w:jc w:val="left"/>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25"/>
        <w:gridCol w:w="3422"/>
        <w:gridCol w:w="1796"/>
        <w:gridCol w:w="678"/>
        <w:gridCol w:w="804"/>
        <w:gridCol w:w="636"/>
        <w:gridCol w:w="833"/>
        <w:gridCol w:w="660"/>
        <w:gridCol w:w="902"/>
        <w:gridCol w:w="684"/>
        <w:gridCol w:w="799"/>
        <w:gridCol w:w="626"/>
        <w:gridCol w:w="770"/>
        <w:gridCol w:w="691"/>
        <w:gridCol w:w="738"/>
      </w:tblGrid>
      <w:tr>
        <w:trPr>
          <w:trHeight w:val="273" w:hRule="atLeast"/>
        </w:trPr>
        <w:tc>
          <w:tcPr>
            <w:tcW w:w="725" w:type="dxa"/>
            <w:tcBorders>
              <w:top w:val="single" w:sz="4" w:space="0" w:color="000000"/>
              <w:left w:val="single" w:sz="4" w:space="0" w:color="000000"/>
            </w:tcBorders>
          </w:tcPr>
          <w:p>
            <w:pPr>
              <w:pStyle w:val="TableParagraph"/>
              <w:rPr>
                <w:rFonts w:ascii="Times New Roman"/>
                <w:sz w:val="20"/>
              </w:rPr>
            </w:pPr>
          </w:p>
        </w:tc>
        <w:tc>
          <w:tcPr>
            <w:tcW w:w="3422" w:type="dxa"/>
            <w:vMerge w:val="restart"/>
            <w:tcBorders>
              <w:top w:val="single" w:sz="4" w:space="0" w:color="000000"/>
              <w:bottom w:val="single" w:sz="4" w:space="0" w:color="000000"/>
            </w:tcBorders>
          </w:tcPr>
          <w:p>
            <w:pPr>
              <w:pStyle w:val="TableParagraph"/>
              <w:rPr>
                <w:rFonts w:ascii="Arial"/>
                <w:b/>
                <w:sz w:val="20"/>
              </w:rPr>
            </w:pPr>
          </w:p>
          <w:p>
            <w:pPr>
              <w:pStyle w:val="TableParagraph"/>
              <w:spacing w:before="216"/>
              <w:rPr>
                <w:rFonts w:ascii="Arial"/>
                <w:b/>
                <w:sz w:val="20"/>
              </w:rPr>
            </w:pPr>
          </w:p>
          <w:p>
            <w:pPr>
              <w:pStyle w:val="TableParagraph"/>
              <w:ind w:left="110"/>
              <w:rPr>
                <w:rFonts w:ascii="Arial"/>
                <w:b/>
                <w:sz w:val="20"/>
              </w:rPr>
            </w:pPr>
            <w:r>
              <w:rPr>
                <w:rFonts w:ascii="Arial"/>
                <w:b/>
                <w:sz w:val="20"/>
              </w:rPr>
              <w:t>Item</w:t>
            </w:r>
            <w:r>
              <w:rPr>
                <w:rFonts w:ascii="Arial"/>
                <w:b/>
                <w:spacing w:val="-2"/>
                <w:sz w:val="20"/>
              </w:rPr>
              <w:t> Statements</w:t>
            </w:r>
          </w:p>
        </w:tc>
        <w:tc>
          <w:tcPr>
            <w:tcW w:w="1796" w:type="dxa"/>
            <w:vMerge w:val="restart"/>
            <w:tcBorders>
              <w:top w:val="single" w:sz="4" w:space="0" w:color="000000"/>
              <w:bottom w:val="single" w:sz="4" w:space="0" w:color="000000"/>
              <w:right w:val="single" w:sz="4" w:space="0" w:color="000000"/>
            </w:tcBorders>
          </w:tcPr>
          <w:p>
            <w:pPr>
              <w:pStyle w:val="TableParagraph"/>
              <w:spacing w:before="224"/>
              <w:rPr>
                <w:rFonts w:ascii="Arial"/>
                <w:b/>
                <w:sz w:val="20"/>
              </w:rPr>
            </w:pPr>
          </w:p>
          <w:p>
            <w:pPr>
              <w:pStyle w:val="TableParagraph"/>
              <w:spacing w:line="235" w:lineRule="auto"/>
              <w:ind w:left="110"/>
              <w:rPr>
                <w:rFonts w:ascii="Arial"/>
                <w:b/>
                <w:sz w:val="20"/>
              </w:rPr>
            </w:pPr>
            <w:r>
              <w:rPr>
                <w:rFonts w:ascii="Arial"/>
                <w:b/>
                <w:sz w:val="20"/>
              </w:rPr>
              <w:t>Category of </w:t>
            </w:r>
            <w:r>
              <w:rPr>
                <w:rFonts w:ascii="Arial"/>
                <w:b/>
                <w:spacing w:val="-2"/>
                <w:sz w:val="20"/>
              </w:rPr>
              <w:t>Respondents</w:t>
            </w:r>
          </w:p>
        </w:tc>
        <w:tc>
          <w:tcPr>
            <w:tcW w:w="8821" w:type="dxa"/>
            <w:gridSpan w:val="12"/>
            <w:tcBorders>
              <w:top w:val="single" w:sz="4" w:space="0" w:color="000000"/>
              <w:left w:val="single" w:sz="4" w:space="0" w:color="000000"/>
              <w:bottom w:val="single" w:sz="4" w:space="0" w:color="000000"/>
              <w:right w:val="single" w:sz="4" w:space="0" w:color="000000"/>
            </w:tcBorders>
          </w:tcPr>
          <w:p>
            <w:pPr>
              <w:pStyle w:val="TableParagraph"/>
              <w:spacing w:line="253" w:lineRule="exact"/>
              <w:ind w:right="1545"/>
              <w:jc w:val="center"/>
              <w:rPr>
                <w:rFonts w:ascii="Arial"/>
                <w:b/>
                <w:sz w:val="24"/>
              </w:rPr>
            </w:pPr>
            <w:r>
              <w:rPr>
                <w:rFonts w:ascii="Arial"/>
                <w:b/>
                <w:spacing w:val="-2"/>
                <w:sz w:val="24"/>
              </w:rPr>
              <w:t>Responses</w:t>
            </w:r>
          </w:p>
        </w:tc>
      </w:tr>
      <w:tr>
        <w:trPr>
          <w:trHeight w:val="460" w:hRule="atLeast"/>
        </w:trPr>
        <w:tc>
          <w:tcPr>
            <w:tcW w:w="725" w:type="dxa"/>
            <w:vMerge w:val="restart"/>
            <w:tcBorders>
              <w:left w:val="single" w:sz="4" w:space="0" w:color="000000"/>
            </w:tcBorders>
          </w:tcPr>
          <w:p>
            <w:pPr>
              <w:pStyle w:val="TableParagraph"/>
              <w:spacing w:before="163"/>
              <w:rPr>
                <w:rFonts w:ascii="Arial"/>
                <w:b/>
                <w:sz w:val="20"/>
              </w:rPr>
            </w:pPr>
          </w:p>
          <w:p>
            <w:pPr>
              <w:pStyle w:val="TableParagraph"/>
              <w:ind w:left="134"/>
              <w:rPr>
                <w:rFonts w:ascii="Arial"/>
                <w:b/>
                <w:sz w:val="20"/>
              </w:rPr>
            </w:pPr>
            <w:r>
              <w:rPr>
                <w:rFonts w:ascii="Arial"/>
                <w:b/>
                <w:spacing w:val="-4"/>
                <w:sz w:val="20"/>
              </w:rPr>
              <w:t>S/No</w:t>
            </w:r>
          </w:p>
        </w:tc>
        <w:tc>
          <w:tcPr>
            <w:tcW w:w="3422" w:type="dxa"/>
            <w:vMerge/>
            <w:tcBorders>
              <w:top w:val="nil"/>
              <w:bottom w:val="single" w:sz="4" w:space="0" w:color="000000"/>
            </w:tcBorders>
          </w:tcPr>
          <w:p>
            <w:pPr>
              <w:rPr>
                <w:sz w:val="2"/>
                <w:szCs w:val="2"/>
              </w:rPr>
            </w:pPr>
          </w:p>
        </w:tc>
        <w:tc>
          <w:tcPr>
            <w:tcW w:w="1796" w:type="dxa"/>
            <w:vMerge/>
            <w:tcBorders>
              <w:top w:val="nil"/>
              <w:bottom w:val="single" w:sz="4" w:space="0" w:color="000000"/>
              <w:right w:val="single" w:sz="4" w:space="0" w:color="000000"/>
            </w:tcBorders>
          </w:tcPr>
          <w:p>
            <w:pPr>
              <w:rPr>
                <w:sz w:val="2"/>
                <w:szCs w:val="2"/>
              </w:rPr>
            </w:pPr>
          </w:p>
        </w:tc>
        <w:tc>
          <w:tcPr>
            <w:tcW w:w="1482" w:type="dxa"/>
            <w:gridSpan w:val="2"/>
            <w:tcBorders>
              <w:top w:val="single" w:sz="4" w:space="0" w:color="000000"/>
              <w:left w:val="single" w:sz="4" w:space="0" w:color="000000"/>
              <w:bottom w:val="single" w:sz="4" w:space="0" w:color="000000"/>
            </w:tcBorders>
          </w:tcPr>
          <w:p>
            <w:pPr>
              <w:pStyle w:val="TableParagraph"/>
              <w:spacing w:line="220" w:lineRule="exact"/>
              <w:ind w:left="5" w:right="39"/>
              <w:jc w:val="center"/>
              <w:rPr>
                <w:rFonts w:ascii="Arial"/>
                <w:b/>
                <w:sz w:val="20"/>
              </w:rPr>
            </w:pPr>
            <w:r>
              <w:rPr>
                <w:rFonts w:ascii="Arial"/>
                <w:b/>
                <w:spacing w:val="-2"/>
                <w:sz w:val="20"/>
              </w:rPr>
              <w:t>Strongly</w:t>
            </w:r>
          </w:p>
          <w:p>
            <w:pPr>
              <w:pStyle w:val="TableParagraph"/>
              <w:spacing w:line="220" w:lineRule="exact"/>
              <w:ind w:right="39"/>
              <w:jc w:val="center"/>
              <w:rPr>
                <w:rFonts w:ascii="Arial"/>
                <w:b/>
                <w:sz w:val="20"/>
              </w:rPr>
            </w:pPr>
            <w:r>
              <w:rPr>
                <w:rFonts w:ascii="Arial"/>
                <w:b/>
                <w:spacing w:val="-2"/>
                <w:sz w:val="20"/>
              </w:rPr>
              <w:t>Agree</w:t>
            </w:r>
          </w:p>
        </w:tc>
        <w:tc>
          <w:tcPr>
            <w:tcW w:w="1469" w:type="dxa"/>
            <w:gridSpan w:val="2"/>
            <w:tcBorders>
              <w:top w:val="single" w:sz="4" w:space="0" w:color="000000"/>
              <w:bottom w:val="single" w:sz="4" w:space="0" w:color="000000"/>
            </w:tcBorders>
          </w:tcPr>
          <w:p>
            <w:pPr>
              <w:pStyle w:val="TableParagraph"/>
              <w:spacing w:line="220" w:lineRule="exact"/>
              <w:ind w:left="399"/>
              <w:rPr>
                <w:rFonts w:ascii="Arial"/>
                <w:b/>
                <w:sz w:val="20"/>
              </w:rPr>
            </w:pPr>
            <w:r>
              <w:rPr>
                <w:rFonts w:ascii="Arial"/>
                <w:b/>
                <w:spacing w:val="-2"/>
                <w:sz w:val="20"/>
              </w:rPr>
              <w:t>Agree</w:t>
            </w:r>
          </w:p>
        </w:tc>
        <w:tc>
          <w:tcPr>
            <w:tcW w:w="1562" w:type="dxa"/>
            <w:gridSpan w:val="2"/>
            <w:tcBorders>
              <w:top w:val="single" w:sz="4" w:space="0" w:color="000000"/>
              <w:bottom w:val="single" w:sz="4" w:space="0" w:color="000000"/>
            </w:tcBorders>
          </w:tcPr>
          <w:p>
            <w:pPr>
              <w:pStyle w:val="TableParagraph"/>
              <w:spacing w:line="220" w:lineRule="exact"/>
              <w:ind w:left="245"/>
              <w:rPr>
                <w:rFonts w:ascii="Arial"/>
                <w:b/>
                <w:sz w:val="20"/>
              </w:rPr>
            </w:pPr>
            <w:r>
              <w:rPr>
                <w:rFonts w:ascii="Arial"/>
                <w:b/>
                <w:spacing w:val="-2"/>
                <w:sz w:val="20"/>
              </w:rPr>
              <w:t>Undecided</w:t>
            </w:r>
          </w:p>
        </w:tc>
        <w:tc>
          <w:tcPr>
            <w:tcW w:w="1483" w:type="dxa"/>
            <w:gridSpan w:val="2"/>
            <w:tcBorders>
              <w:top w:val="single" w:sz="4" w:space="0" w:color="000000"/>
              <w:bottom w:val="single" w:sz="4" w:space="0" w:color="000000"/>
            </w:tcBorders>
          </w:tcPr>
          <w:p>
            <w:pPr>
              <w:pStyle w:val="TableParagraph"/>
              <w:spacing w:line="220" w:lineRule="exact"/>
              <w:ind w:left="305"/>
              <w:rPr>
                <w:rFonts w:ascii="Arial"/>
                <w:b/>
                <w:sz w:val="20"/>
              </w:rPr>
            </w:pPr>
            <w:r>
              <w:rPr>
                <w:rFonts w:ascii="Arial"/>
                <w:b/>
                <w:spacing w:val="-2"/>
                <w:sz w:val="20"/>
              </w:rPr>
              <w:t>Disagree</w:t>
            </w:r>
          </w:p>
        </w:tc>
        <w:tc>
          <w:tcPr>
            <w:tcW w:w="1396" w:type="dxa"/>
            <w:gridSpan w:val="2"/>
            <w:tcBorders>
              <w:top w:val="single" w:sz="4" w:space="0" w:color="000000"/>
              <w:bottom w:val="single" w:sz="4" w:space="0" w:color="000000"/>
            </w:tcBorders>
          </w:tcPr>
          <w:p>
            <w:pPr>
              <w:pStyle w:val="TableParagraph"/>
              <w:spacing w:line="220" w:lineRule="exact"/>
              <w:ind w:left="267"/>
              <w:rPr>
                <w:rFonts w:ascii="Arial"/>
                <w:b/>
                <w:sz w:val="20"/>
              </w:rPr>
            </w:pPr>
            <w:r>
              <w:rPr>
                <w:rFonts w:ascii="Arial"/>
                <w:b/>
                <w:spacing w:val="-2"/>
                <w:sz w:val="20"/>
              </w:rPr>
              <w:t>Strongly</w:t>
            </w:r>
          </w:p>
          <w:p>
            <w:pPr>
              <w:pStyle w:val="TableParagraph"/>
              <w:spacing w:line="220" w:lineRule="exact"/>
              <w:ind w:left="252"/>
              <w:rPr>
                <w:rFonts w:ascii="Arial"/>
                <w:b/>
                <w:sz w:val="20"/>
              </w:rPr>
            </w:pPr>
            <w:r>
              <w:rPr>
                <w:rFonts w:ascii="Arial"/>
                <w:b/>
                <w:spacing w:val="-2"/>
                <w:sz w:val="20"/>
              </w:rPr>
              <w:t>Disagree</w:t>
            </w:r>
          </w:p>
        </w:tc>
        <w:tc>
          <w:tcPr>
            <w:tcW w:w="1429" w:type="dxa"/>
            <w:gridSpan w:val="2"/>
            <w:tcBorders>
              <w:top w:val="single" w:sz="4" w:space="0" w:color="000000"/>
              <w:bottom w:val="single" w:sz="4" w:space="0" w:color="000000"/>
              <w:right w:val="single" w:sz="4" w:space="0" w:color="000000"/>
            </w:tcBorders>
          </w:tcPr>
          <w:p>
            <w:pPr>
              <w:pStyle w:val="TableParagraph"/>
              <w:spacing w:line="220" w:lineRule="exact"/>
              <w:ind w:left="469"/>
              <w:rPr>
                <w:rFonts w:ascii="Arial"/>
                <w:b/>
                <w:sz w:val="20"/>
              </w:rPr>
            </w:pPr>
            <w:r>
              <w:rPr>
                <w:rFonts w:ascii="Arial"/>
                <w:b/>
                <w:spacing w:val="-2"/>
                <w:sz w:val="20"/>
              </w:rPr>
              <w:t>Total</w:t>
            </w:r>
          </w:p>
        </w:tc>
      </w:tr>
      <w:tr>
        <w:trPr>
          <w:trHeight w:val="321" w:hRule="atLeast"/>
        </w:trPr>
        <w:tc>
          <w:tcPr>
            <w:tcW w:w="725" w:type="dxa"/>
            <w:vMerge/>
            <w:tcBorders>
              <w:top w:val="nil"/>
              <w:left w:val="single" w:sz="4" w:space="0" w:color="000000"/>
            </w:tcBorders>
          </w:tcPr>
          <w:p>
            <w:pPr>
              <w:rPr>
                <w:sz w:val="2"/>
                <w:szCs w:val="2"/>
              </w:rPr>
            </w:pPr>
          </w:p>
        </w:tc>
        <w:tc>
          <w:tcPr>
            <w:tcW w:w="3422" w:type="dxa"/>
            <w:vMerge/>
            <w:tcBorders>
              <w:top w:val="nil"/>
              <w:bottom w:val="single" w:sz="4" w:space="0" w:color="000000"/>
            </w:tcBorders>
          </w:tcPr>
          <w:p>
            <w:pPr>
              <w:rPr>
                <w:sz w:val="2"/>
                <w:szCs w:val="2"/>
              </w:rPr>
            </w:pPr>
          </w:p>
        </w:tc>
        <w:tc>
          <w:tcPr>
            <w:tcW w:w="1796" w:type="dxa"/>
            <w:vMerge/>
            <w:tcBorders>
              <w:top w:val="nil"/>
              <w:bottom w:val="single" w:sz="4" w:space="0" w:color="000000"/>
              <w:right w:val="single" w:sz="4" w:space="0" w:color="000000"/>
            </w:tcBorders>
          </w:tcPr>
          <w:p>
            <w:pPr>
              <w:rPr>
                <w:sz w:val="2"/>
                <w:szCs w:val="2"/>
              </w:rPr>
            </w:pPr>
          </w:p>
        </w:tc>
        <w:tc>
          <w:tcPr>
            <w:tcW w:w="1482" w:type="dxa"/>
            <w:gridSpan w:val="2"/>
            <w:tcBorders>
              <w:top w:val="single" w:sz="4" w:space="0" w:color="000000"/>
              <w:left w:val="single" w:sz="4" w:space="0" w:color="000000"/>
              <w:bottom w:val="single" w:sz="4" w:space="0" w:color="000000"/>
            </w:tcBorders>
          </w:tcPr>
          <w:p>
            <w:pPr>
              <w:pStyle w:val="TableParagraph"/>
              <w:tabs>
                <w:tab w:pos="992" w:val="left" w:leader="none"/>
              </w:tabs>
              <w:spacing w:line="220" w:lineRule="exact"/>
              <w:ind w:left="301"/>
              <w:rPr>
                <w:rFonts w:ascii="Arial"/>
                <w:b/>
                <w:sz w:val="20"/>
              </w:rPr>
            </w:pPr>
            <w:r>
              <w:rPr>
                <w:rFonts w:ascii="Arial"/>
                <w:b/>
                <w:spacing w:val="-10"/>
                <w:sz w:val="20"/>
              </w:rPr>
              <w:t>F</w:t>
            </w:r>
            <w:r>
              <w:rPr>
                <w:rFonts w:ascii="Arial"/>
                <w:b/>
                <w:sz w:val="20"/>
              </w:rPr>
              <w:tab/>
            </w:r>
            <w:r>
              <w:rPr>
                <w:rFonts w:ascii="Arial"/>
                <w:b/>
                <w:spacing w:val="-10"/>
                <w:sz w:val="20"/>
              </w:rPr>
              <w:t>%</w:t>
            </w:r>
          </w:p>
        </w:tc>
        <w:tc>
          <w:tcPr>
            <w:tcW w:w="1469" w:type="dxa"/>
            <w:gridSpan w:val="2"/>
            <w:tcBorders>
              <w:top w:val="single" w:sz="4" w:space="0" w:color="000000"/>
              <w:bottom w:val="single" w:sz="4" w:space="0" w:color="000000"/>
            </w:tcBorders>
          </w:tcPr>
          <w:p>
            <w:pPr>
              <w:pStyle w:val="TableParagraph"/>
              <w:tabs>
                <w:tab w:pos="955" w:val="left" w:leader="none"/>
              </w:tabs>
              <w:spacing w:line="220" w:lineRule="exact"/>
              <w:ind w:left="264"/>
              <w:rPr>
                <w:rFonts w:ascii="Arial"/>
                <w:b/>
                <w:sz w:val="20"/>
              </w:rPr>
            </w:pPr>
            <w:r>
              <w:rPr>
                <w:rFonts w:ascii="Arial"/>
                <w:b/>
                <w:spacing w:val="-10"/>
                <w:sz w:val="20"/>
              </w:rPr>
              <w:t>F</w:t>
            </w:r>
            <w:r>
              <w:rPr>
                <w:rFonts w:ascii="Arial"/>
                <w:b/>
                <w:sz w:val="20"/>
              </w:rPr>
              <w:tab/>
            </w:r>
            <w:r>
              <w:rPr>
                <w:rFonts w:ascii="Arial"/>
                <w:b/>
                <w:spacing w:val="-10"/>
                <w:sz w:val="20"/>
              </w:rPr>
              <w:t>%</w:t>
            </w:r>
          </w:p>
        </w:tc>
        <w:tc>
          <w:tcPr>
            <w:tcW w:w="1562" w:type="dxa"/>
            <w:gridSpan w:val="2"/>
            <w:tcBorders>
              <w:top w:val="single" w:sz="4" w:space="0" w:color="000000"/>
              <w:bottom w:val="single" w:sz="4" w:space="0" w:color="000000"/>
            </w:tcBorders>
          </w:tcPr>
          <w:p>
            <w:pPr>
              <w:pStyle w:val="TableParagraph"/>
              <w:tabs>
                <w:tab w:pos="1027" w:val="left" w:leader="none"/>
              </w:tabs>
              <w:spacing w:line="220" w:lineRule="exact"/>
              <w:ind w:left="235"/>
              <w:rPr>
                <w:rFonts w:ascii="Arial"/>
                <w:b/>
                <w:sz w:val="20"/>
              </w:rPr>
            </w:pPr>
            <w:r>
              <w:rPr>
                <w:rFonts w:ascii="Arial"/>
                <w:b/>
                <w:spacing w:val="-10"/>
                <w:sz w:val="20"/>
              </w:rPr>
              <w:t>F</w:t>
            </w:r>
            <w:r>
              <w:rPr>
                <w:rFonts w:ascii="Arial"/>
                <w:b/>
                <w:sz w:val="20"/>
              </w:rPr>
              <w:tab/>
            </w:r>
            <w:r>
              <w:rPr>
                <w:rFonts w:ascii="Arial"/>
                <w:b/>
                <w:spacing w:val="-10"/>
                <w:sz w:val="20"/>
              </w:rPr>
              <w:t>%</w:t>
            </w:r>
          </w:p>
        </w:tc>
        <w:tc>
          <w:tcPr>
            <w:tcW w:w="1483" w:type="dxa"/>
            <w:gridSpan w:val="2"/>
            <w:tcBorders>
              <w:top w:val="single" w:sz="4" w:space="0" w:color="000000"/>
              <w:bottom w:val="single" w:sz="4" w:space="0" w:color="000000"/>
            </w:tcBorders>
          </w:tcPr>
          <w:p>
            <w:pPr>
              <w:pStyle w:val="TableParagraph"/>
              <w:tabs>
                <w:tab w:pos="1001" w:val="left" w:leader="none"/>
              </w:tabs>
              <w:spacing w:line="220" w:lineRule="exact"/>
              <w:ind w:left="310"/>
              <w:rPr>
                <w:rFonts w:ascii="Arial"/>
                <w:b/>
                <w:sz w:val="20"/>
              </w:rPr>
            </w:pPr>
            <w:r>
              <w:rPr>
                <w:rFonts w:ascii="Arial"/>
                <w:b/>
                <w:spacing w:val="-10"/>
                <w:sz w:val="20"/>
              </w:rPr>
              <w:t>F</w:t>
            </w:r>
            <w:r>
              <w:rPr>
                <w:rFonts w:ascii="Arial"/>
                <w:b/>
                <w:sz w:val="20"/>
              </w:rPr>
              <w:tab/>
            </w:r>
            <w:r>
              <w:rPr>
                <w:rFonts w:ascii="Arial"/>
                <w:b/>
                <w:spacing w:val="-10"/>
                <w:sz w:val="20"/>
              </w:rPr>
              <w:t>%</w:t>
            </w:r>
          </w:p>
        </w:tc>
        <w:tc>
          <w:tcPr>
            <w:tcW w:w="1396" w:type="dxa"/>
            <w:gridSpan w:val="2"/>
            <w:tcBorders>
              <w:top w:val="single" w:sz="4" w:space="0" w:color="000000"/>
              <w:bottom w:val="single" w:sz="4" w:space="0" w:color="000000"/>
            </w:tcBorders>
          </w:tcPr>
          <w:p>
            <w:pPr>
              <w:pStyle w:val="TableParagraph"/>
              <w:tabs>
                <w:tab w:pos="939" w:val="left" w:leader="none"/>
              </w:tabs>
              <w:spacing w:line="220" w:lineRule="exact"/>
              <w:ind w:left="257"/>
              <w:rPr>
                <w:rFonts w:ascii="Arial"/>
                <w:b/>
                <w:sz w:val="20"/>
              </w:rPr>
            </w:pPr>
            <w:r>
              <w:rPr>
                <w:rFonts w:ascii="Arial"/>
                <w:b/>
                <w:spacing w:val="-10"/>
                <w:sz w:val="20"/>
              </w:rPr>
              <w:t>F</w:t>
            </w:r>
            <w:r>
              <w:rPr>
                <w:rFonts w:ascii="Arial"/>
                <w:b/>
                <w:sz w:val="20"/>
              </w:rPr>
              <w:tab/>
            </w:r>
            <w:r>
              <w:rPr>
                <w:rFonts w:ascii="Arial"/>
                <w:b/>
                <w:spacing w:val="-10"/>
                <w:sz w:val="20"/>
              </w:rPr>
              <w:t>%</w:t>
            </w:r>
          </w:p>
        </w:tc>
        <w:tc>
          <w:tcPr>
            <w:tcW w:w="1429" w:type="dxa"/>
            <w:gridSpan w:val="2"/>
            <w:tcBorders>
              <w:top w:val="single" w:sz="4" w:space="0" w:color="000000"/>
              <w:bottom w:val="single" w:sz="4" w:space="0" w:color="000000"/>
              <w:right w:val="single" w:sz="4" w:space="0" w:color="000000"/>
            </w:tcBorders>
          </w:tcPr>
          <w:p>
            <w:pPr>
              <w:pStyle w:val="TableParagraph"/>
              <w:tabs>
                <w:tab w:pos="983" w:val="left" w:leader="none"/>
              </w:tabs>
              <w:spacing w:line="220" w:lineRule="exact"/>
              <w:ind w:left="292"/>
              <w:rPr>
                <w:rFonts w:ascii="Arial"/>
                <w:b/>
                <w:sz w:val="20"/>
              </w:rPr>
            </w:pPr>
            <w:r>
              <w:rPr>
                <w:rFonts w:ascii="Arial"/>
                <w:b/>
                <w:spacing w:val="-10"/>
                <w:sz w:val="20"/>
              </w:rPr>
              <w:t>F</w:t>
            </w:r>
            <w:r>
              <w:rPr>
                <w:rFonts w:ascii="Arial"/>
                <w:b/>
                <w:sz w:val="20"/>
              </w:rPr>
              <w:tab/>
            </w:r>
            <w:r>
              <w:rPr>
                <w:rFonts w:ascii="Arial"/>
                <w:b/>
                <w:spacing w:val="-10"/>
                <w:sz w:val="20"/>
              </w:rPr>
              <w:t>%</w:t>
            </w:r>
          </w:p>
        </w:tc>
      </w:tr>
      <w:tr>
        <w:trPr>
          <w:trHeight w:val="227" w:hRule="atLeast"/>
        </w:trPr>
        <w:tc>
          <w:tcPr>
            <w:tcW w:w="725" w:type="dxa"/>
            <w:tcBorders>
              <w:left w:val="single" w:sz="4" w:space="0" w:color="000000"/>
            </w:tcBorders>
          </w:tcPr>
          <w:p>
            <w:pPr>
              <w:pStyle w:val="TableParagraph"/>
              <w:spacing w:line="208" w:lineRule="exact"/>
              <w:ind w:left="67" w:right="68"/>
              <w:jc w:val="center"/>
              <w:rPr>
                <w:sz w:val="20"/>
              </w:rPr>
            </w:pPr>
            <w:r>
              <w:rPr>
                <w:spacing w:val="-5"/>
                <w:sz w:val="20"/>
              </w:rPr>
              <w:t>68.</w:t>
            </w:r>
          </w:p>
        </w:tc>
        <w:tc>
          <w:tcPr>
            <w:tcW w:w="3422" w:type="dxa"/>
            <w:tcBorders>
              <w:top w:val="single" w:sz="4" w:space="0" w:color="000000"/>
            </w:tcBorders>
          </w:tcPr>
          <w:p>
            <w:pPr>
              <w:pStyle w:val="TableParagraph"/>
              <w:spacing w:line="208" w:lineRule="exact"/>
              <w:ind w:left="110"/>
              <w:rPr>
                <w:sz w:val="20"/>
              </w:rPr>
            </w:pPr>
            <w:r>
              <w:rPr>
                <w:sz w:val="20"/>
              </w:rPr>
              <w:t>Universities</w:t>
            </w:r>
            <w:r>
              <w:rPr>
                <w:spacing w:val="55"/>
                <w:w w:val="150"/>
                <w:sz w:val="20"/>
              </w:rPr>
              <w:t> </w:t>
            </w:r>
            <w:r>
              <w:rPr>
                <w:sz w:val="20"/>
              </w:rPr>
              <w:t>should</w:t>
            </w:r>
            <w:r>
              <w:rPr>
                <w:spacing w:val="59"/>
                <w:w w:val="150"/>
                <w:sz w:val="20"/>
              </w:rPr>
              <w:t> </w:t>
            </w:r>
            <w:r>
              <w:rPr>
                <w:sz w:val="20"/>
              </w:rPr>
              <w:t>have</w:t>
            </w:r>
            <w:r>
              <w:rPr>
                <w:spacing w:val="59"/>
                <w:w w:val="150"/>
                <w:sz w:val="20"/>
              </w:rPr>
              <w:t> </w:t>
            </w:r>
            <w:r>
              <w:rPr>
                <w:spacing w:val="-2"/>
                <w:sz w:val="20"/>
              </w:rPr>
              <w:t>banking</w:t>
            </w:r>
          </w:p>
        </w:tc>
        <w:tc>
          <w:tcPr>
            <w:tcW w:w="1796" w:type="dxa"/>
            <w:tcBorders>
              <w:top w:val="single" w:sz="4" w:space="0" w:color="000000"/>
            </w:tcBorders>
          </w:tcPr>
          <w:p>
            <w:pPr>
              <w:pStyle w:val="TableParagraph"/>
              <w:spacing w:line="208" w:lineRule="exact"/>
              <w:ind w:left="110"/>
              <w:rPr>
                <w:sz w:val="20"/>
              </w:rPr>
            </w:pPr>
            <w:r>
              <w:rPr>
                <w:sz w:val="20"/>
              </w:rPr>
              <w:t>No.</w:t>
            </w:r>
            <w:r>
              <w:rPr>
                <w:spacing w:val="-5"/>
                <w:sz w:val="20"/>
              </w:rPr>
              <w:t> </w:t>
            </w:r>
            <w:r>
              <w:rPr>
                <w:sz w:val="20"/>
              </w:rPr>
              <w:t>of</w:t>
            </w:r>
            <w:r>
              <w:rPr>
                <w:spacing w:val="-2"/>
                <w:sz w:val="20"/>
              </w:rPr>
              <w:t> missing</w:t>
            </w:r>
          </w:p>
        </w:tc>
        <w:tc>
          <w:tcPr>
            <w:tcW w:w="1482" w:type="dxa"/>
            <w:gridSpan w:val="2"/>
            <w:tcBorders>
              <w:top w:val="single" w:sz="4" w:space="0" w:color="000000"/>
            </w:tcBorders>
          </w:tcPr>
          <w:p>
            <w:pPr>
              <w:pStyle w:val="TableParagraph"/>
              <w:rPr>
                <w:rFonts w:ascii="Times New Roman"/>
                <w:sz w:val="16"/>
              </w:rPr>
            </w:pPr>
          </w:p>
        </w:tc>
        <w:tc>
          <w:tcPr>
            <w:tcW w:w="1469" w:type="dxa"/>
            <w:gridSpan w:val="2"/>
            <w:tcBorders>
              <w:top w:val="single" w:sz="4" w:space="0" w:color="000000"/>
            </w:tcBorders>
          </w:tcPr>
          <w:p>
            <w:pPr>
              <w:pStyle w:val="TableParagraph"/>
              <w:rPr>
                <w:rFonts w:ascii="Times New Roman"/>
                <w:sz w:val="16"/>
              </w:rPr>
            </w:pPr>
          </w:p>
        </w:tc>
        <w:tc>
          <w:tcPr>
            <w:tcW w:w="1562" w:type="dxa"/>
            <w:gridSpan w:val="2"/>
            <w:tcBorders>
              <w:top w:val="single" w:sz="4" w:space="0" w:color="000000"/>
            </w:tcBorders>
          </w:tcPr>
          <w:p>
            <w:pPr>
              <w:pStyle w:val="TableParagraph"/>
              <w:rPr>
                <w:rFonts w:ascii="Times New Roman"/>
                <w:sz w:val="16"/>
              </w:rPr>
            </w:pPr>
          </w:p>
        </w:tc>
        <w:tc>
          <w:tcPr>
            <w:tcW w:w="1483" w:type="dxa"/>
            <w:gridSpan w:val="2"/>
            <w:tcBorders>
              <w:top w:val="single" w:sz="4" w:space="0" w:color="000000"/>
            </w:tcBorders>
          </w:tcPr>
          <w:p>
            <w:pPr>
              <w:pStyle w:val="TableParagraph"/>
              <w:rPr>
                <w:rFonts w:ascii="Times New Roman"/>
                <w:sz w:val="16"/>
              </w:rPr>
            </w:pPr>
          </w:p>
        </w:tc>
        <w:tc>
          <w:tcPr>
            <w:tcW w:w="1396" w:type="dxa"/>
            <w:gridSpan w:val="2"/>
            <w:tcBorders>
              <w:top w:val="single" w:sz="4" w:space="0" w:color="000000"/>
            </w:tcBorders>
          </w:tcPr>
          <w:p>
            <w:pPr>
              <w:pStyle w:val="TableParagraph"/>
              <w:rPr>
                <w:rFonts w:ascii="Times New Roman"/>
                <w:sz w:val="16"/>
              </w:rPr>
            </w:pPr>
          </w:p>
        </w:tc>
        <w:tc>
          <w:tcPr>
            <w:tcW w:w="1429" w:type="dxa"/>
            <w:gridSpan w:val="2"/>
            <w:tcBorders>
              <w:top w:val="single" w:sz="4" w:space="0" w:color="000000"/>
              <w:right w:val="single" w:sz="4" w:space="0" w:color="000000"/>
            </w:tcBorders>
          </w:tcPr>
          <w:p>
            <w:pPr>
              <w:pStyle w:val="TableParagraph"/>
              <w:rPr>
                <w:rFonts w:ascii="Times New Roman"/>
                <w:sz w:val="16"/>
              </w:rPr>
            </w:pPr>
          </w:p>
        </w:tc>
      </w:tr>
      <w:tr>
        <w:trPr>
          <w:trHeight w:val="230" w:hRule="atLeast"/>
        </w:trPr>
        <w:tc>
          <w:tcPr>
            <w:tcW w:w="725" w:type="dxa"/>
            <w:tcBorders>
              <w:left w:val="single" w:sz="4" w:space="0" w:color="000000"/>
            </w:tcBorders>
          </w:tcPr>
          <w:p>
            <w:pPr>
              <w:pStyle w:val="TableParagraph"/>
              <w:rPr>
                <w:rFonts w:ascii="Times New Roman"/>
                <w:sz w:val="16"/>
              </w:rPr>
            </w:pPr>
          </w:p>
        </w:tc>
        <w:tc>
          <w:tcPr>
            <w:tcW w:w="3422" w:type="dxa"/>
          </w:tcPr>
          <w:p>
            <w:pPr>
              <w:pStyle w:val="TableParagraph"/>
              <w:spacing w:line="210" w:lineRule="exact"/>
              <w:ind w:left="110"/>
              <w:rPr>
                <w:sz w:val="20"/>
              </w:rPr>
            </w:pPr>
            <w:r>
              <w:rPr>
                <w:sz w:val="20"/>
              </w:rPr>
              <w:t>facilities</w:t>
            </w:r>
            <w:r>
              <w:rPr>
                <w:spacing w:val="24"/>
                <w:sz w:val="20"/>
              </w:rPr>
              <w:t> </w:t>
            </w:r>
            <w:r>
              <w:rPr>
                <w:sz w:val="20"/>
              </w:rPr>
              <w:t>so</w:t>
            </w:r>
            <w:r>
              <w:rPr>
                <w:spacing w:val="28"/>
                <w:sz w:val="20"/>
              </w:rPr>
              <w:t> </w:t>
            </w:r>
            <w:r>
              <w:rPr>
                <w:sz w:val="20"/>
              </w:rPr>
              <w:t>that</w:t>
            </w:r>
            <w:r>
              <w:rPr>
                <w:spacing w:val="30"/>
                <w:sz w:val="20"/>
              </w:rPr>
              <w:t> </w:t>
            </w:r>
            <w:r>
              <w:rPr>
                <w:sz w:val="20"/>
              </w:rPr>
              <w:t>students</w:t>
            </w:r>
            <w:r>
              <w:rPr>
                <w:spacing w:val="25"/>
                <w:sz w:val="20"/>
              </w:rPr>
              <w:t> </w:t>
            </w:r>
            <w:r>
              <w:rPr>
                <w:sz w:val="20"/>
              </w:rPr>
              <w:t>can</w:t>
            </w:r>
            <w:r>
              <w:rPr>
                <w:spacing w:val="28"/>
                <w:sz w:val="20"/>
              </w:rPr>
              <w:t> </w:t>
            </w:r>
            <w:r>
              <w:rPr>
                <w:spacing w:val="-4"/>
                <w:sz w:val="20"/>
              </w:rPr>
              <w:t>save</w:t>
            </w:r>
          </w:p>
        </w:tc>
        <w:tc>
          <w:tcPr>
            <w:tcW w:w="1796" w:type="dxa"/>
          </w:tcPr>
          <w:p>
            <w:pPr>
              <w:pStyle w:val="TableParagraph"/>
              <w:spacing w:line="210" w:lineRule="exact"/>
              <w:ind w:left="110"/>
              <w:rPr>
                <w:sz w:val="20"/>
              </w:rPr>
            </w:pPr>
            <w:r>
              <w:rPr>
                <w:spacing w:val="-2"/>
                <w:sz w:val="20"/>
              </w:rPr>
              <w:t>observations</w:t>
            </w:r>
          </w:p>
        </w:tc>
        <w:tc>
          <w:tcPr>
            <w:tcW w:w="678" w:type="dxa"/>
          </w:tcPr>
          <w:p>
            <w:pPr>
              <w:pStyle w:val="TableParagraph"/>
              <w:spacing w:line="210" w:lineRule="exact"/>
              <w:ind w:left="57"/>
              <w:jc w:val="center"/>
              <w:rPr>
                <w:sz w:val="20"/>
              </w:rPr>
            </w:pPr>
            <w:r>
              <w:rPr>
                <w:spacing w:val="-10"/>
                <w:sz w:val="20"/>
              </w:rPr>
              <w:t>1</w:t>
            </w:r>
          </w:p>
        </w:tc>
        <w:tc>
          <w:tcPr>
            <w:tcW w:w="804" w:type="dxa"/>
          </w:tcPr>
          <w:p>
            <w:pPr>
              <w:pStyle w:val="TableParagraph"/>
              <w:spacing w:line="210" w:lineRule="exact"/>
              <w:ind w:left="112" w:right="97"/>
              <w:jc w:val="center"/>
              <w:rPr>
                <w:sz w:val="20"/>
              </w:rPr>
            </w:pPr>
            <w:r>
              <w:rPr>
                <w:spacing w:val="-4"/>
                <w:sz w:val="20"/>
              </w:rPr>
              <w:t>50.0</w:t>
            </w:r>
          </w:p>
        </w:tc>
        <w:tc>
          <w:tcPr>
            <w:tcW w:w="636" w:type="dxa"/>
          </w:tcPr>
          <w:p>
            <w:pPr>
              <w:pStyle w:val="TableParagraph"/>
              <w:spacing w:line="210" w:lineRule="exact"/>
              <w:ind w:left="15"/>
              <w:jc w:val="center"/>
              <w:rPr>
                <w:sz w:val="20"/>
              </w:rPr>
            </w:pPr>
            <w:r>
              <w:rPr>
                <w:spacing w:val="-10"/>
                <w:sz w:val="20"/>
              </w:rPr>
              <w:t>1</w:t>
            </w:r>
          </w:p>
        </w:tc>
        <w:tc>
          <w:tcPr>
            <w:tcW w:w="833" w:type="dxa"/>
          </w:tcPr>
          <w:p>
            <w:pPr>
              <w:pStyle w:val="TableParagraph"/>
              <w:spacing w:line="210" w:lineRule="exact"/>
              <w:ind w:left="7" w:right="18"/>
              <w:jc w:val="center"/>
              <w:rPr>
                <w:sz w:val="20"/>
              </w:rPr>
            </w:pPr>
            <w:r>
              <w:rPr>
                <w:spacing w:val="-4"/>
                <w:sz w:val="20"/>
              </w:rPr>
              <w:t>50.0</w:t>
            </w:r>
          </w:p>
        </w:tc>
        <w:tc>
          <w:tcPr>
            <w:tcW w:w="660" w:type="dxa"/>
          </w:tcPr>
          <w:p>
            <w:pPr>
              <w:pStyle w:val="TableParagraph"/>
              <w:spacing w:line="210" w:lineRule="exact"/>
              <w:ind w:left="259"/>
              <w:rPr>
                <w:sz w:val="20"/>
              </w:rPr>
            </w:pPr>
            <w:r>
              <w:rPr>
                <w:spacing w:val="-10"/>
                <w:sz w:val="20"/>
              </w:rPr>
              <w:t>-</w:t>
            </w:r>
          </w:p>
        </w:tc>
        <w:tc>
          <w:tcPr>
            <w:tcW w:w="902" w:type="dxa"/>
          </w:tcPr>
          <w:p>
            <w:pPr>
              <w:pStyle w:val="TableParagraph"/>
              <w:spacing w:line="210" w:lineRule="exact"/>
              <w:ind w:left="20" w:right="14"/>
              <w:jc w:val="center"/>
              <w:rPr>
                <w:sz w:val="20"/>
              </w:rPr>
            </w:pPr>
            <w:r>
              <w:rPr>
                <w:spacing w:val="-10"/>
                <w:sz w:val="20"/>
              </w:rPr>
              <w:t>-</w:t>
            </w:r>
          </w:p>
        </w:tc>
        <w:tc>
          <w:tcPr>
            <w:tcW w:w="684" w:type="dxa"/>
          </w:tcPr>
          <w:p>
            <w:pPr>
              <w:pStyle w:val="TableParagraph"/>
              <w:spacing w:line="210" w:lineRule="exact"/>
              <w:ind w:left="68" w:right="16"/>
              <w:jc w:val="center"/>
              <w:rPr>
                <w:sz w:val="20"/>
              </w:rPr>
            </w:pPr>
            <w:r>
              <w:rPr>
                <w:spacing w:val="-10"/>
                <w:sz w:val="20"/>
              </w:rPr>
              <w:t>-</w:t>
            </w:r>
          </w:p>
        </w:tc>
        <w:tc>
          <w:tcPr>
            <w:tcW w:w="799" w:type="dxa"/>
          </w:tcPr>
          <w:p>
            <w:pPr>
              <w:pStyle w:val="TableParagraph"/>
              <w:spacing w:line="210" w:lineRule="exact"/>
              <w:ind w:left="23" w:right="14"/>
              <w:jc w:val="center"/>
              <w:rPr>
                <w:sz w:val="20"/>
              </w:rPr>
            </w:pPr>
            <w:r>
              <w:rPr>
                <w:spacing w:val="-10"/>
                <w:sz w:val="20"/>
              </w:rPr>
              <w:t>-</w:t>
            </w:r>
          </w:p>
        </w:tc>
        <w:tc>
          <w:tcPr>
            <w:tcW w:w="626" w:type="dxa"/>
          </w:tcPr>
          <w:p>
            <w:pPr>
              <w:pStyle w:val="TableParagraph"/>
              <w:spacing w:line="210" w:lineRule="exact"/>
              <w:ind w:left="20" w:right="16"/>
              <w:jc w:val="center"/>
              <w:rPr>
                <w:sz w:val="20"/>
              </w:rPr>
            </w:pPr>
            <w:r>
              <w:rPr>
                <w:spacing w:val="-10"/>
                <w:sz w:val="20"/>
              </w:rPr>
              <w:t>-</w:t>
            </w:r>
          </w:p>
        </w:tc>
        <w:tc>
          <w:tcPr>
            <w:tcW w:w="770" w:type="dxa"/>
          </w:tcPr>
          <w:p>
            <w:pPr>
              <w:pStyle w:val="TableParagraph"/>
              <w:spacing w:line="210" w:lineRule="exact"/>
              <w:ind w:left="42" w:right="13"/>
              <w:jc w:val="center"/>
              <w:rPr>
                <w:sz w:val="20"/>
              </w:rPr>
            </w:pPr>
            <w:r>
              <w:rPr>
                <w:spacing w:val="-10"/>
                <w:sz w:val="20"/>
              </w:rPr>
              <w:t>-</w:t>
            </w:r>
          </w:p>
        </w:tc>
        <w:tc>
          <w:tcPr>
            <w:tcW w:w="691" w:type="dxa"/>
          </w:tcPr>
          <w:p>
            <w:pPr>
              <w:pStyle w:val="TableParagraph"/>
              <w:spacing w:line="210" w:lineRule="exact"/>
              <w:ind w:left="22" w:right="7"/>
              <w:jc w:val="center"/>
              <w:rPr>
                <w:sz w:val="20"/>
              </w:rPr>
            </w:pPr>
            <w:r>
              <w:rPr>
                <w:spacing w:val="-10"/>
                <w:sz w:val="20"/>
              </w:rPr>
              <w:t>2</w:t>
            </w:r>
          </w:p>
        </w:tc>
        <w:tc>
          <w:tcPr>
            <w:tcW w:w="738" w:type="dxa"/>
            <w:tcBorders>
              <w:right w:val="single" w:sz="4" w:space="0" w:color="000000"/>
            </w:tcBorders>
          </w:tcPr>
          <w:p>
            <w:pPr>
              <w:pStyle w:val="TableParagraph"/>
              <w:spacing w:line="210" w:lineRule="exact"/>
              <w:ind w:left="53" w:right="27"/>
              <w:jc w:val="center"/>
              <w:rPr>
                <w:sz w:val="20"/>
              </w:rPr>
            </w:pPr>
            <w:r>
              <w:rPr>
                <w:spacing w:val="-5"/>
                <w:sz w:val="20"/>
              </w:rPr>
              <w:t>0.4</w:t>
            </w:r>
          </w:p>
        </w:tc>
      </w:tr>
      <w:tr>
        <w:trPr>
          <w:trHeight w:val="230" w:hRule="atLeast"/>
        </w:trPr>
        <w:tc>
          <w:tcPr>
            <w:tcW w:w="725" w:type="dxa"/>
            <w:tcBorders>
              <w:left w:val="single" w:sz="4" w:space="0" w:color="000000"/>
            </w:tcBorders>
          </w:tcPr>
          <w:p>
            <w:pPr>
              <w:pStyle w:val="TableParagraph"/>
              <w:rPr>
                <w:rFonts w:ascii="Times New Roman"/>
                <w:sz w:val="16"/>
              </w:rPr>
            </w:pPr>
          </w:p>
        </w:tc>
        <w:tc>
          <w:tcPr>
            <w:tcW w:w="3422" w:type="dxa"/>
          </w:tcPr>
          <w:p>
            <w:pPr>
              <w:pStyle w:val="TableParagraph"/>
              <w:spacing w:line="210" w:lineRule="exact"/>
              <w:ind w:left="110"/>
              <w:rPr>
                <w:sz w:val="20"/>
              </w:rPr>
            </w:pPr>
            <w:r>
              <w:rPr>
                <w:sz w:val="20"/>
              </w:rPr>
              <w:t>their</w:t>
            </w:r>
            <w:r>
              <w:rPr>
                <w:spacing w:val="28"/>
                <w:sz w:val="20"/>
              </w:rPr>
              <w:t>  </w:t>
            </w:r>
            <w:r>
              <w:rPr>
                <w:sz w:val="20"/>
              </w:rPr>
              <w:t>money</w:t>
            </w:r>
            <w:r>
              <w:rPr>
                <w:spacing w:val="29"/>
                <w:sz w:val="20"/>
              </w:rPr>
              <w:t>  </w:t>
            </w:r>
            <w:r>
              <w:rPr>
                <w:sz w:val="20"/>
              </w:rPr>
              <w:t>instead</w:t>
            </w:r>
            <w:r>
              <w:rPr>
                <w:spacing w:val="30"/>
                <w:sz w:val="20"/>
              </w:rPr>
              <w:t>  </w:t>
            </w:r>
            <w:r>
              <w:rPr>
                <w:sz w:val="20"/>
              </w:rPr>
              <w:t>of</w:t>
            </w:r>
            <w:r>
              <w:rPr>
                <w:spacing w:val="32"/>
                <w:sz w:val="20"/>
              </w:rPr>
              <w:t>  </w:t>
            </w:r>
            <w:r>
              <w:rPr>
                <w:spacing w:val="-2"/>
                <w:sz w:val="20"/>
              </w:rPr>
              <w:t>keeping</w:t>
            </w:r>
          </w:p>
        </w:tc>
        <w:tc>
          <w:tcPr>
            <w:tcW w:w="1796" w:type="dxa"/>
          </w:tcPr>
          <w:p>
            <w:pPr>
              <w:pStyle w:val="TableParagraph"/>
              <w:spacing w:line="210" w:lineRule="exact"/>
              <w:ind w:left="110"/>
              <w:rPr>
                <w:sz w:val="20"/>
              </w:rPr>
            </w:pPr>
            <w:r>
              <w:rPr>
                <w:spacing w:val="-2"/>
                <w:sz w:val="20"/>
              </w:rPr>
              <w:t>Students</w:t>
            </w:r>
          </w:p>
        </w:tc>
        <w:tc>
          <w:tcPr>
            <w:tcW w:w="678" w:type="dxa"/>
          </w:tcPr>
          <w:p>
            <w:pPr>
              <w:pStyle w:val="TableParagraph"/>
              <w:spacing w:line="210" w:lineRule="exact"/>
              <w:ind w:left="57" w:right="10"/>
              <w:jc w:val="center"/>
              <w:rPr>
                <w:sz w:val="20"/>
              </w:rPr>
            </w:pPr>
            <w:r>
              <w:rPr>
                <w:spacing w:val="-5"/>
                <w:sz w:val="20"/>
              </w:rPr>
              <w:t>144</w:t>
            </w:r>
          </w:p>
        </w:tc>
        <w:tc>
          <w:tcPr>
            <w:tcW w:w="804" w:type="dxa"/>
          </w:tcPr>
          <w:p>
            <w:pPr>
              <w:pStyle w:val="TableParagraph"/>
              <w:spacing w:line="210" w:lineRule="exact"/>
              <w:ind w:left="112" w:right="97"/>
              <w:jc w:val="center"/>
              <w:rPr>
                <w:sz w:val="20"/>
              </w:rPr>
            </w:pPr>
            <w:r>
              <w:rPr>
                <w:spacing w:val="-4"/>
                <w:sz w:val="20"/>
              </w:rPr>
              <w:t>61.3</w:t>
            </w:r>
          </w:p>
        </w:tc>
        <w:tc>
          <w:tcPr>
            <w:tcW w:w="636" w:type="dxa"/>
          </w:tcPr>
          <w:p>
            <w:pPr>
              <w:pStyle w:val="TableParagraph"/>
              <w:spacing w:line="210" w:lineRule="exact"/>
              <w:ind w:left="15" w:right="5"/>
              <w:jc w:val="center"/>
              <w:rPr>
                <w:sz w:val="20"/>
              </w:rPr>
            </w:pPr>
            <w:r>
              <w:rPr>
                <w:spacing w:val="-5"/>
                <w:sz w:val="20"/>
              </w:rPr>
              <w:t>69</w:t>
            </w:r>
          </w:p>
        </w:tc>
        <w:tc>
          <w:tcPr>
            <w:tcW w:w="833" w:type="dxa"/>
          </w:tcPr>
          <w:p>
            <w:pPr>
              <w:pStyle w:val="TableParagraph"/>
              <w:spacing w:line="210" w:lineRule="exact"/>
              <w:ind w:left="7" w:right="18"/>
              <w:jc w:val="center"/>
              <w:rPr>
                <w:sz w:val="20"/>
              </w:rPr>
            </w:pPr>
            <w:r>
              <w:rPr>
                <w:spacing w:val="-4"/>
                <w:sz w:val="20"/>
              </w:rPr>
              <w:t>29.4</w:t>
            </w:r>
          </w:p>
        </w:tc>
        <w:tc>
          <w:tcPr>
            <w:tcW w:w="660" w:type="dxa"/>
          </w:tcPr>
          <w:p>
            <w:pPr>
              <w:pStyle w:val="TableParagraph"/>
              <w:spacing w:line="210" w:lineRule="exact"/>
              <w:ind w:left="182"/>
              <w:rPr>
                <w:sz w:val="20"/>
              </w:rPr>
            </w:pPr>
            <w:r>
              <w:rPr>
                <w:spacing w:val="-5"/>
                <w:sz w:val="20"/>
              </w:rPr>
              <w:t>11</w:t>
            </w:r>
          </w:p>
        </w:tc>
        <w:tc>
          <w:tcPr>
            <w:tcW w:w="902" w:type="dxa"/>
          </w:tcPr>
          <w:p>
            <w:pPr>
              <w:pStyle w:val="TableParagraph"/>
              <w:spacing w:line="210" w:lineRule="exact"/>
              <w:ind w:left="20" w:right="13"/>
              <w:jc w:val="center"/>
              <w:rPr>
                <w:sz w:val="20"/>
              </w:rPr>
            </w:pPr>
            <w:r>
              <w:rPr>
                <w:spacing w:val="-5"/>
                <w:sz w:val="20"/>
              </w:rPr>
              <w:t>4.7</w:t>
            </w:r>
          </w:p>
        </w:tc>
        <w:tc>
          <w:tcPr>
            <w:tcW w:w="684" w:type="dxa"/>
          </w:tcPr>
          <w:p>
            <w:pPr>
              <w:pStyle w:val="TableParagraph"/>
              <w:spacing w:line="210" w:lineRule="exact"/>
              <w:ind w:left="68" w:right="14"/>
              <w:jc w:val="center"/>
              <w:rPr>
                <w:sz w:val="20"/>
              </w:rPr>
            </w:pPr>
            <w:r>
              <w:rPr>
                <w:spacing w:val="-5"/>
                <w:sz w:val="20"/>
              </w:rPr>
              <w:t>11</w:t>
            </w:r>
          </w:p>
        </w:tc>
        <w:tc>
          <w:tcPr>
            <w:tcW w:w="799" w:type="dxa"/>
          </w:tcPr>
          <w:p>
            <w:pPr>
              <w:pStyle w:val="TableParagraph"/>
              <w:spacing w:line="210" w:lineRule="exact"/>
              <w:ind w:left="23" w:right="13"/>
              <w:jc w:val="center"/>
              <w:rPr>
                <w:sz w:val="20"/>
              </w:rPr>
            </w:pPr>
            <w:r>
              <w:rPr>
                <w:spacing w:val="-5"/>
                <w:sz w:val="20"/>
              </w:rPr>
              <w:t>4.7</w:t>
            </w:r>
          </w:p>
        </w:tc>
        <w:tc>
          <w:tcPr>
            <w:tcW w:w="626" w:type="dxa"/>
          </w:tcPr>
          <w:p>
            <w:pPr>
              <w:pStyle w:val="TableParagraph"/>
              <w:spacing w:line="210" w:lineRule="exact"/>
              <w:ind w:left="20" w:right="16"/>
              <w:jc w:val="center"/>
              <w:rPr>
                <w:sz w:val="20"/>
              </w:rPr>
            </w:pPr>
            <w:r>
              <w:rPr>
                <w:spacing w:val="-10"/>
                <w:sz w:val="20"/>
              </w:rPr>
              <w:t>-</w:t>
            </w:r>
          </w:p>
        </w:tc>
        <w:tc>
          <w:tcPr>
            <w:tcW w:w="770" w:type="dxa"/>
          </w:tcPr>
          <w:p>
            <w:pPr>
              <w:pStyle w:val="TableParagraph"/>
              <w:spacing w:line="210" w:lineRule="exact"/>
              <w:ind w:left="42" w:right="13"/>
              <w:jc w:val="center"/>
              <w:rPr>
                <w:sz w:val="20"/>
              </w:rPr>
            </w:pPr>
            <w:r>
              <w:rPr>
                <w:spacing w:val="-10"/>
                <w:sz w:val="20"/>
              </w:rPr>
              <w:t>-</w:t>
            </w:r>
          </w:p>
        </w:tc>
        <w:tc>
          <w:tcPr>
            <w:tcW w:w="691" w:type="dxa"/>
          </w:tcPr>
          <w:p>
            <w:pPr>
              <w:pStyle w:val="TableParagraph"/>
              <w:spacing w:line="210" w:lineRule="exact"/>
              <w:ind w:left="22" w:right="17"/>
              <w:jc w:val="center"/>
              <w:rPr>
                <w:sz w:val="20"/>
              </w:rPr>
            </w:pPr>
            <w:r>
              <w:rPr>
                <w:spacing w:val="-5"/>
                <w:sz w:val="20"/>
              </w:rPr>
              <w:t>235</w:t>
            </w:r>
          </w:p>
        </w:tc>
        <w:tc>
          <w:tcPr>
            <w:tcW w:w="738" w:type="dxa"/>
            <w:tcBorders>
              <w:right w:val="single" w:sz="4" w:space="0" w:color="000000"/>
            </w:tcBorders>
          </w:tcPr>
          <w:p>
            <w:pPr>
              <w:pStyle w:val="TableParagraph"/>
              <w:spacing w:line="210" w:lineRule="exact"/>
              <w:ind w:left="53" w:right="22"/>
              <w:jc w:val="center"/>
              <w:rPr>
                <w:sz w:val="20"/>
              </w:rPr>
            </w:pPr>
            <w:r>
              <w:rPr>
                <w:spacing w:val="-4"/>
                <w:sz w:val="20"/>
              </w:rPr>
              <w:t>50.8</w:t>
            </w:r>
          </w:p>
        </w:tc>
      </w:tr>
      <w:tr>
        <w:trPr>
          <w:trHeight w:val="230" w:hRule="atLeast"/>
        </w:trPr>
        <w:tc>
          <w:tcPr>
            <w:tcW w:w="725" w:type="dxa"/>
            <w:tcBorders>
              <w:left w:val="single" w:sz="4" w:space="0" w:color="000000"/>
            </w:tcBorders>
          </w:tcPr>
          <w:p>
            <w:pPr>
              <w:pStyle w:val="TableParagraph"/>
              <w:rPr>
                <w:rFonts w:ascii="Times New Roman"/>
                <w:sz w:val="16"/>
              </w:rPr>
            </w:pPr>
          </w:p>
        </w:tc>
        <w:tc>
          <w:tcPr>
            <w:tcW w:w="3422" w:type="dxa"/>
          </w:tcPr>
          <w:p>
            <w:pPr>
              <w:pStyle w:val="TableParagraph"/>
              <w:tabs>
                <w:tab w:pos="844" w:val="left" w:leader="none"/>
                <w:tab w:pos="1286" w:val="left" w:leader="none"/>
                <w:tab w:pos="1962" w:val="left" w:leader="none"/>
                <w:tab w:pos="2802" w:val="left" w:leader="none"/>
              </w:tabs>
              <w:spacing w:line="210" w:lineRule="exact"/>
              <w:ind w:left="110"/>
              <w:rPr>
                <w:sz w:val="20"/>
              </w:rPr>
            </w:pPr>
            <w:r>
              <w:rPr>
                <w:spacing w:val="-4"/>
                <w:sz w:val="20"/>
              </w:rPr>
              <w:t>them</w:t>
            </w:r>
            <w:r>
              <w:rPr>
                <w:sz w:val="20"/>
              </w:rPr>
              <w:tab/>
            </w:r>
            <w:r>
              <w:rPr>
                <w:spacing w:val="-5"/>
                <w:sz w:val="20"/>
              </w:rPr>
              <w:t>in</w:t>
            </w:r>
            <w:r>
              <w:rPr>
                <w:sz w:val="20"/>
              </w:rPr>
              <w:tab/>
            </w:r>
            <w:r>
              <w:rPr>
                <w:spacing w:val="-4"/>
                <w:sz w:val="20"/>
              </w:rPr>
              <w:t>their</w:t>
            </w:r>
            <w:r>
              <w:rPr>
                <w:sz w:val="20"/>
              </w:rPr>
              <w:tab/>
            </w:r>
            <w:r>
              <w:rPr>
                <w:spacing w:val="-4"/>
                <w:sz w:val="20"/>
              </w:rPr>
              <w:t>rooms</w:t>
            </w:r>
            <w:r>
              <w:rPr>
                <w:sz w:val="20"/>
              </w:rPr>
              <w:tab/>
            </w:r>
            <w:r>
              <w:rPr>
                <w:spacing w:val="-4"/>
                <w:sz w:val="20"/>
              </w:rPr>
              <w:t>which</w:t>
            </w:r>
          </w:p>
        </w:tc>
        <w:tc>
          <w:tcPr>
            <w:tcW w:w="1796" w:type="dxa"/>
          </w:tcPr>
          <w:p>
            <w:pPr>
              <w:pStyle w:val="TableParagraph"/>
              <w:spacing w:line="210" w:lineRule="exact"/>
              <w:ind w:left="110"/>
              <w:rPr>
                <w:sz w:val="20"/>
              </w:rPr>
            </w:pPr>
            <w:r>
              <w:rPr>
                <w:sz w:val="20"/>
              </w:rPr>
              <w:t>Service</w:t>
            </w:r>
            <w:r>
              <w:rPr>
                <w:spacing w:val="-9"/>
                <w:sz w:val="20"/>
              </w:rPr>
              <w:t> </w:t>
            </w:r>
            <w:r>
              <w:rPr>
                <w:spacing w:val="-2"/>
                <w:sz w:val="20"/>
              </w:rPr>
              <w:t>Staff</w:t>
            </w:r>
          </w:p>
        </w:tc>
        <w:tc>
          <w:tcPr>
            <w:tcW w:w="678" w:type="dxa"/>
          </w:tcPr>
          <w:p>
            <w:pPr>
              <w:pStyle w:val="TableParagraph"/>
              <w:spacing w:line="210" w:lineRule="exact"/>
              <w:ind w:left="57" w:right="10"/>
              <w:jc w:val="center"/>
              <w:rPr>
                <w:sz w:val="20"/>
              </w:rPr>
            </w:pPr>
            <w:r>
              <w:rPr>
                <w:spacing w:val="-5"/>
                <w:sz w:val="20"/>
              </w:rPr>
              <w:t>128</w:t>
            </w:r>
          </w:p>
        </w:tc>
        <w:tc>
          <w:tcPr>
            <w:tcW w:w="804" w:type="dxa"/>
          </w:tcPr>
          <w:p>
            <w:pPr>
              <w:pStyle w:val="TableParagraph"/>
              <w:spacing w:line="210" w:lineRule="exact"/>
              <w:ind w:left="112" w:right="97"/>
              <w:jc w:val="center"/>
              <w:rPr>
                <w:sz w:val="20"/>
              </w:rPr>
            </w:pPr>
            <w:r>
              <w:rPr>
                <w:spacing w:val="-4"/>
                <w:sz w:val="20"/>
              </w:rPr>
              <w:t>63.3</w:t>
            </w:r>
          </w:p>
        </w:tc>
        <w:tc>
          <w:tcPr>
            <w:tcW w:w="636" w:type="dxa"/>
          </w:tcPr>
          <w:p>
            <w:pPr>
              <w:pStyle w:val="TableParagraph"/>
              <w:spacing w:line="210" w:lineRule="exact"/>
              <w:ind w:left="15" w:right="5"/>
              <w:jc w:val="center"/>
              <w:rPr>
                <w:sz w:val="20"/>
              </w:rPr>
            </w:pPr>
            <w:r>
              <w:rPr>
                <w:spacing w:val="-5"/>
                <w:sz w:val="20"/>
              </w:rPr>
              <w:t>60</w:t>
            </w:r>
          </w:p>
        </w:tc>
        <w:tc>
          <w:tcPr>
            <w:tcW w:w="833" w:type="dxa"/>
          </w:tcPr>
          <w:p>
            <w:pPr>
              <w:pStyle w:val="TableParagraph"/>
              <w:spacing w:line="210" w:lineRule="exact"/>
              <w:ind w:left="7" w:right="18"/>
              <w:jc w:val="center"/>
              <w:rPr>
                <w:sz w:val="20"/>
              </w:rPr>
            </w:pPr>
            <w:r>
              <w:rPr>
                <w:spacing w:val="-4"/>
                <w:sz w:val="20"/>
              </w:rPr>
              <w:t>29.6</w:t>
            </w:r>
          </w:p>
        </w:tc>
        <w:tc>
          <w:tcPr>
            <w:tcW w:w="660" w:type="dxa"/>
          </w:tcPr>
          <w:p>
            <w:pPr>
              <w:pStyle w:val="TableParagraph"/>
              <w:spacing w:line="210" w:lineRule="exact"/>
              <w:ind w:left="182"/>
              <w:rPr>
                <w:sz w:val="20"/>
              </w:rPr>
            </w:pPr>
            <w:r>
              <w:rPr>
                <w:spacing w:val="-5"/>
                <w:sz w:val="20"/>
              </w:rPr>
              <w:t>13</w:t>
            </w:r>
          </w:p>
        </w:tc>
        <w:tc>
          <w:tcPr>
            <w:tcW w:w="902" w:type="dxa"/>
          </w:tcPr>
          <w:p>
            <w:pPr>
              <w:pStyle w:val="TableParagraph"/>
              <w:spacing w:line="210" w:lineRule="exact"/>
              <w:ind w:left="20" w:right="13"/>
              <w:jc w:val="center"/>
              <w:rPr>
                <w:sz w:val="20"/>
              </w:rPr>
            </w:pPr>
            <w:r>
              <w:rPr>
                <w:spacing w:val="-5"/>
                <w:sz w:val="20"/>
              </w:rPr>
              <w:t>6.4</w:t>
            </w:r>
          </w:p>
        </w:tc>
        <w:tc>
          <w:tcPr>
            <w:tcW w:w="684" w:type="dxa"/>
          </w:tcPr>
          <w:p>
            <w:pPr>
              <w:pStyle w:val="TableParagraph"/>
              <w:spacing w:line="210" w:lineRule="exact"/>
              <w:ind w:left="68" w:right="10"/>
              <w:jc w:val="center"/>
              <w:rPr>
                <w:sz w:val="20"/>
              </w:rPr>
            </w:pPr>
            <w:r>
              <w:rPr>
                <w:spacing w:val="-10"/>
                <w:sz w:val="20"/>
              </w:rPr>
              <w:t>2</w:t>
            </w:r>
          </w:p>
        </w:tc>
        <w:tc>
          <w:tcPr>
            <w:tcW w:w="799" w:type="dxa"/>
          </w:tcPr>
          <w:p>
            <w:pPr>
              <w:pStyle w:val="TableParagraph"/>
              <w:spacing w:line="210" w:lineRule="exact"/>
              <w:ind w:left="23" w:right="13"/>
              <w:jc w:val="center"/>
              <w:rPr>
                <w:sz w:val="20"/>
              </w:rPr>
            </w:pPr>
            <w:r>
              <w:rPr>
                <w:spacing w:val="-5"/>
                <w:sz w:val="20"/>
              </w:rPr>
              <w:t>1.0</w:t>
            </w:r>
          </w:p>
        </w:tc>
        <w:tc>
          <w:tcPr>
            <w:tcW w:w="626" w:type="dxa"/>
          </w:tcPr>
          <w:p>
            <w:pPr>
              <w:pStyle w:val="TableParagraph"/>
              <w:spacing w:line="210" w:lineRule="exact"/>
              <w:ind w:left="20" w:right="16"/>
              <w:jc w:val="center"/>
              <w:rPr>
                <w:sz w:val="20"/>
              </w:rPr>
            </w:pPr>
            <w:r>
              <w:rPr>
                <w:spacing w:val="-10"/>
                <w:sz w:val="20"/>
              </w:rPr>
              <w:t>-</w:t>
            </w:r>
          </w:p>
        </w:tc>
        <w:tc>
          <w:tcPr>
            <w:tcW w:w="770" w:type="dxa"/>
          </w:tcPr>
          <w:p>
            <w:pPr>
              <w:pStyle w:val="TableParagraph"/>
              <w:spacing w:line="210" w:lineRule="exact"/>
              <w:ind w:left="42" w:right="13"/>
              <w:jc w:val="center"/>
              <w:rPr>
                <w:sz w:val="20"/>
              </w:rPr>
            </w:pPr>
            <w:r>
              <w:rPr>
                <w:spacing w:val="-10"/>
                <w:sz w:val="20"/>
              </w:rPr>
              <w:t>-</w:t>
            </w:r>
          </w:p>
        </w:tc>
        <w:tc>
          <w:tcPr>
            <w:tcW w:w="691" w:type="dxa"/>
          </w:tcPr>
          <w:p>
            <w:pPr>
              <w:pStyle w:val="TableParagraph"/>
              <w:spacing w:line="210" w:lineRule="exact"/>
              <w:ind w:left="22" w:right="17"/>
              <w:jc w:val="center"/>
              <w:rPr>
                <w:sz w:val="20"/>
              </w:rPr>
            </w:pPr>
            <w:r>
              <w:rPr>
                <w:spacing w:val="-5"/>
                <w:sz w:val="20"/>
              </w:rPr>
              <w:t>203</w:t>
            </w:r>
          </w:p>
        </w:tc>
        <w:tc>
          <w:tcPr>
            <w:tcW w:w="738" w:type="dxa"/>
            <w:tcBorders>
              <w:right w:val="single" w:sz="4" w:space="0" w:color="000000"/>
            </w:tcBorders>
          </w:tcPr>
          <w:p>
            <w:pPr>
              <w:pStyle w:val="TableParagraph"/>
              <w:spacing w:line="210" w:lineRule="exact"/>
              <w:ind w:left="53" w:right="22"/>
              <w:jc w:val="center"/>
              <w:rPr>
                <w:sz w:val="20"/>
              </w:rPr>
            </w:pPr>
            <w:r>
              <w:rPr>
                <w:spacing w:val="-4"/>
                <w:sz w:val="20"/>
              </w:rPr>
              <w:t>43.8</w:t>
            </w:r>
          </w:p>
        </w:tc>
      </w:tr>
      <w:tr>
        <w:trPr>
          <w:trHeight w:val="304" w:hRule="atLeast"/>
        </w:trPr>
        <w:tc>
          <w:tcPr>
            <w:tcW w:w="725" w:type="dxa"/>
            <w:tcBorders>
              <w:left w:val="single" w:sz="4" w:space="0" w:color="000000"/>
            </w:tcBorders>
          </w:tcPr>
          <w:p>
            <w:pPr>
              <w:pStyle w:val="TableParagraph"/>
              <w:rPr>
                <w:rFonts w:ascii="Times New Roman"/>
                <w:sz w:val="20"/>
              </w:rPr>
            </w:pPr>
          </w:p>
        </w:tc>
        <w:tc>
          <w:tcPr>
            <w:tcW w:w="3422" w:type="dxa"/>
          </w:tcPr>
          <w:p>
            <w:pPr>
              <w:pStyle w:val="TableParagraph"/>
              <w:spacing w:line="227" w:lineRule="exact"/>
              <w:ind w:left="110"/>
              <w:rPr>
                <w:sz w:val="20"/>
              </w:rPr>
            </w:pPr>
            <w:r>
              <w:rPr>
                <w:sz w:val="20"/>
              </w:rPr>
              <w:t>encourages</w:t>
            </w:r>
            <w:r>
              <w:rPr>
                <w:spacing w:val="-13"/>
                <w:sz w:val="20"/>
              </w:rPr>
              <w:t> </w:t>
            </w:r>
            <w:r>
              <w:rPr>
                <w:sz w:val="20"/>
              </w:rPr>
              <w:t>stealing</w:t>
            </w:r>
            <w:r>
              <w:rPr>
                <w:spacing w:val="-10"/>
                <w:sz w:val="20"/>
              </w:rPr>
              <w:t> </w:t>
            </w:r>
            <w:r>
              <w:rPr>
                <w:sz w:val="20"/>
              </w:rPr>
              <w:t>amongst</w:t>
            </w:r>
            <w:r>
              <w:rPr>
                <w:spacing w:val="-7"/>
                <w:sz w:val="20"/>
              </w:rPr>
              <w:t> </w:t>
            </w:r>
            <w:r>
              <w:rPr>
                <w:spacing w:val="-4"/>
                <w:sz w:val="20"/>
              </w:rPr>
              <w:t>them.</w:t>
            </w:r>
          </w:p>
        </w:tc>
        <w:tc>
          <w:tcPr>
            <w:tcW w:w="1796" w:type="dxa"/>
          </w:tcPr>
          <w:p>
            <w:pPr>
              <w:pStyle w:val="TableParagraph"/>
              <w:spacing w:before="26"/>
              <w:ind w:left="110"/>
              <w:rPr>
                <w:sz w:val="20"/>
              </w:rPr>
            </w:pPr>
            <w:r>
              <w:rPr>
                <w:sz w:val="20"/>
              </w:rPr>
              <w:t>Top</w:t>
            </w:r>
            <w:r>
              <w:rPr>
                <w:spacing w:val="-1"/>
                <w:sz w:val="20"/>
              </w:rPr>
              <w:t> </w:t>
            </w:r>
            <w:r>
              <w:rPr>
                <w:spacing w:val="-2"/>
                <w:sz w:val="20"/>
              </w:rPr>
              <w:t>Management</w:t>
            </w:r>
          </w:p>
        </w:tc>
        <w:tc>
          <w:tcPr>
            <w:tcW w:w="678" w:type="dxa"/>
          </w:tcPr>
          <w:p>
            <w:pPr>
              <w:pStyle w:val="TableParagraph"/>
              <w:spacing w:before="26"/>
              <w:ind w:left="57" w:right="5"/>
              <w:jc w:val="center"/>
              <w:rPr>
                <w:sz w:val="20"/>
              </w:rPr>
            </w:pPr>
            <w:r>
              <w:rPr>
                <w:spacing w:val="-5"/>
                <w:sz w:val="20"/>
              </w:rPr>
              <w:t>13</w:t>
            </w:r>
          </w:p>
        </w:tc>
        <w:tc>
          <w:tcPr>
            <w:tcW w:w="804" w:type="dxa"/>
          </w:tcPr>
          <w:p>
            <w:pPr>
              <w:pStyle w:val="TableParagraph"/>
              <w:spacing w:before="26"/>
              <w:ind w:left="112" w:right="97"/>
              <w:jc w:val="center"/>
              <w:rPr>
                <w:sz w:val="20"/>
              </w:rPr>
            </w:pPr>
            <w:r>
              <w:rPr>
                <w:spacing w:val="-4"/>
                <w:sz w:val="20"/>
              </w:rPr>
              <w:t>56.5</w:t>
            </w:r>
          </w:p>
        </w:tc>
        <w:tc>
          <w:tcPr>
            <w:tcW w:w="636" w:type="dxa"/>
          </w:tcPr>
          <w:p>
            <w:pPr>
              <w:pStyle w:val="TableParagraph"/>
              <w:spacing w:before="26"/>
              <w:ind w:left="15"/>
              <w:jc w:val="center"/>
              <w:rPr>
                <w:sz w:val="20"/>
              </w:rPr>
            </w:pPr>
            <w:r>
              <w:rPr>
                <w:spacing w:val="-10"/>
                <w:sz w:val="20"/>
              </w:rPr>
              <w:t>9</w:t>
            </w:r>
          </w:p>
        </w:tc>
        <w:tc>
          <w:tcPr>
            <w:tcW w:w="833" w:type="dxa"/>
          </w:tcPr>
          <w:p>
            <w:pPr>
              <w:pStyle w:val="TableParagraph"/>
              <w:spacing w:before="26"/>
              <w:ind w:left="7" w:right="18"/>
              <w:jc w:val="center"/>
              <w:rPr>
                <w:sz w:val="20"/>
              </w:rPr>
            </w:pPr>
            <w:r>
              <w:rPr>
                <w:spacing w:val="-4"/>
                <w:sz w:val="20"/>
              </w:rPr>
              <w:t>39.1</w:t>
            </w:r>
          </w:p>
        </w:tc>
        <w:tc>
          <w:tcPr>
            <w:tcW w:w="660" w:type="dxa"/>
          </w:tcPr>
          <w:p>
            <w:pPr>
              <w:pStyle w:val="TableParagraph"/>
              <w:spacing w:before="26"/>
              <w:ind w:left="240"/>
              <w:rPr>
                <w:sz w:val="20"/>
              </w:rPr>
            </w:pPr>
            <w:r>
              <w:rPr>
                <w:spacing w:val="-10"/>
                <w:sz w:val="20"/>
              </w:rPr>
              <w:t>1</w:t>
            </w:r>
          </w:p>
        </w:tc>
        <w:tc>
          <w:tcPr>
            <w:tcW w:w="902" w:type="dxa"/>
          </w:tcPr>
          <w:p>
            <w:pPr>
              <w:pStyle w:val="TableParagraph"/>
              <w:spacing w:before="26"/>
              <w:ind w:left="20" w:right="13"/>
              <w:jc w:val="center"/>
              <w:rPr>
                <w:sz w:val="20"/>
              </w:rPr>
            </w:pPr>
            <w:r>
              <w:rPr>
                <w:spacing w:val="-5"/>
                <w:sz w:val="20"/>
              </w:rPr>
              <w:t>4.3</w:t>
            </w:r>
          </w:p>
        </w:tc>
        <w:tc>
          <w:tcPr>
            <w:tcW w:w="684" w:type="dxa"/>
          </w:tcPr>
          <w:p>
            <w:pPr>
              <w:pStyle w:val="TableParagraph"/>
              <w:spacing w:before="26"/>
              <w:ind w:left="68" w:right="16"/>
              <w:jc w:val="center"/>
              <w:rPr>
                <w:sz w:val="20"/>
              </w:rPr>
            </w:pPr>
            <w:r>
              <w:rPr>
                <w:spacing w:val="-10"/>
                <w:sz w:val="20"/>
              </w:rPr>
              <w:t>-</w:t>
            </w:r>
          </w:p>
        </w:tc>
        <w:tc>
          <w:tcPr>
            <w:tcW w:w="799" w:type="dxa"/>
          </w:tcPr>
          <w:p>
            <w:pPr>
              <w:pStyle w:val="TableParagraph"/>
              <w:spacing w:before="26"/>
              <w:ind w:left="23" w:right="14"/>
              <w:jc w:val="center"/>
              <w:rPr>
                <w:sz w:val="20"/>
              </w:rPr>
            </w:pPr>
            <w:r>
              <w:rPr>
                <w:spacing w:val="-10"/>
                <w:sz w:val="20"/>
              </w:rPr>
              <w:t>-</w:t>
            </w:r>
          </w:p>
        </w:tc>
        <w:tc>
          <w:tcPr>
            <w:tcW w:w="626" w:type="dxa"/>
          </w:tcPr>
          <w:p>
            <w:pPr>
              <w:pStyle w:val="TableParagraph"/>
              <w:spacing w:before="26"/>
              <w:ind w:left="20" w:right="16"/>
              <w:jc w:val="center"/>
              <w:rPr>
                <w:sz w:val="20"/>
              </w:rPr>
            </w:pPr>
            <w:r>
              <w:rPr>
                <w:spacing w:val="-10"/>
                <w:sz w:val="20"/>
              </w:rPr>
              <w:t>-</w:t>
            </w:r>
          </w:p>
        </w:tc>
        <w:tc>
          <w:tcPr>
            <w:tcW w:w="770" w:type="dxa"/>
          </w:tcPr>
          <w:p>
            <w:pPr>
              <w:pStyle w:val="TableParagraph"/>
              <w:spacing w:before="26"/>
              <w:ind w:left="42" w:right="13"/>
              <w:jc w:val="center"/>
              <w:rPr>
                <w:sz w:val="20"/>
              </w:rPr>
            </w:pPr>
            <w:r>
              <w:rPr>
                <w:spacing w:val="-10"/>
                <w:sz w:val="20"/>
              </w:rPr>
              <w:t>-</w:t>
            </w:r>
          </w:p>
        </w:tc>
        <w:tc>
          <w:tcPr>
            <w:tcW w:w="691" w:type="dxa"/>
          </w:tcPr>
          <w:p>
            <w:pPr>
              <w:pStyle w:val="TableParagraph"/>
              <w:spacing w:before="26"/>
              <w:ind w:left="22" w:right="12"/>
              <w:jc w:val="center"/>
              <w:rPr>
                <w:sz w:val="20"/>
              </w:rPr>
            </w:pPr>
            <w:r>
              <w:rPr>
                <w:spacing w:val="-5"/>
                <w:sz w:val="20"/>
              </w:rPr>
              <w:t>23</w:t>
            </w:r>
          </w:p>
        </w:tc>
        <w:tc>
          <w:tcPr>
            <w:tcW w:w="738" w:type="dxa"/>
            <w:tcBorders>
              <w:right w:val="single" w:sz="4" w:space="0" w:color="000000"/>
            </w:tcBorders>
          </w:tcPr>
          <w:p>
            <w:pPr>
              <w:pStyle w:val="TableParagraph"/>
              <w:spacing w:before="26"/>
              <w:ind w:left="53" w:right="27"/>
              <w:jc w:val="center"/>
              <w:rPr>
                <w:sz w:val="20"/>
              </w:rPr>
            </w:pPr>
            <w:r>
              <w:rPr>
                <w:spacing w:val="-5"/>
                <w:sz w:val="20"/>
              </w:rPr>
              <w:t>5.0</w:t>
            </w:r>
          </w:p>
        </w:tc>
      </w:tr>
      <w:tr>
        <w:trPr>
          <w:trHeight w:val="273" w:hRule="atLeast"/>
        </w:trPr>
        <w:tc>
          <w:tcPr>
            <w:tcW w:w="725" w:type="dxa"/>
            <w:tcBorders>
              <w:left w:val="single" w:sz="4" w:space="0" w:color="000000"/>
            </w:tcBorders>
          </w:tcPr>
          <w:p>
            <w:pPr>
              <w:pStyle w:val="TableParagraph"/>
              <w:spacing w:line="211" w:lineRule="exact" w:before="43"/>
              <w:ind w:left="67" w:right="68"/>
              <w:jc w:val="center"/>
              <w:rPr>
                <w:sz w:val="20"/>
              </w:rPr>
            </w:pPr>
            <w:r>
              <w:rPr>
                <w:spacing w:val="-5"/>
                <w:sz w:val="20"/>
              </w:rPr>
              <w:t>69.</w:t>
            </w:r>
          </w:p>
        </w:tc>
        <w:tc>
          <w:tcPr>
            <w:tcW w:w="3422" w:type="dxa"/>
          </w:tcPr>
          <w:p>
            <w:pPr>
              <w:pStyle w:val="TableParagraph"/>
              <w:spacing w:line="211" w:lineRule="exact" w:before="43"/>
              <w:ind w:left="110"/>
              <w:rPr>
                <w:sz w:val="20"/>
              </w:rPr>
            </w:pPr>
            <w:r>
              <w:rPr>
                <w:sz w:val="20"/>
              </w:rPr>
              <w:t>Adequate</w:t>
            </w:r>
            <w:r>
              <w:rPr>
                <w:spacing w:val="26"/>
                <w:sz w:val="20"/>
              </w:rPr>
              <w:t>  </w:t>
            </w:r>
            <w:r>
              <w:rPr>
                <w:sz w:val="20"/>
              </w:rPr>
              <w:t>mail/post</w:t>
            </w:r>
            <w:r>
              <w:rPr>
                <w:spacing w:val="28"/>
                <w:sz w:val="20"/>
              </w:rPr>
              <w:t>  </w:t>
            </w:r>
            <w:r>
              <w:rPr>
                <w:sz w:val="20"/>
              </w:rPr>
              <w:t>services</w:t>
            </w:r>
            <w:r>
              <w:rPr>
                <w:spacing w:val="79"/>
                <w:w w:val="150"/>
                <w:sz w:val="20"/>
              </w:rPr>
              <w:t> </w:t>
            </w:r>
            <w:r>
              <w:rPr>
                <w:spacing w:val="-5"/>
                <w:sz w:val="20"/>
              </w:rPr>
              <w:t>are</w:t>
            </w:r>
          </w:p>
        </w:tc>
        <w:tc>
          <w:tcPr>
            <w:tcW w:w="1796" w:type="dxa"/>
          </w:tcPr>
          <w:p>
            <w:pPr>
              <w:pStyle w:val="TableParagraph"/>
              <w:spacing w:line="211" w:lineRule="exact" w:before="43"/>
              <w:ind w:left="110"/>
              <w:rPr>
                <w:sz w:val="20"/>
              </w:rPr>
            </w:pPr>
            <w:r>
              <w:rPr>
                <w:sz w:val="20"/>
              </w:rPr>
              <w:t>No.</w:t>
            </w:r>
            <w:r>
              <w:rPr>
                <w:spacing w:val="-5"/>
                <w:sz w:val="20"/>
              </w:rPr>
              <w:t> </w:t>
            </w:r>
            <w:r>
              <w:rPr>
                <w:sz w:val="20"/>
              </w:rPr>
              <w:t>of</w:t>
            </w:r>
            <w:r>
              <w:rPr>
                <w:spacing w:val="-2"/>
                <w:sz w:val="20"/>
              </w:rPr>
              <w:t> missing</w:t>
            </w:r>
          </w:p>
        </w:tc>
        <w:tc>
          <w:tcPr>
            <w:tcW w:w="1482" w:type="dxa"/>
            <w:gridSpan w:val="2"/>
          </w:tcPr>
          <w:p>
            <w:pPr>
              <w:pStyle w:val="TableParagraph"/>
              <w:rPr>
                <w:rFonts w:ascii="Times New Roman"/>
                <w:sz w:val="20"/>
              </w:rPr>
            </w:pPr>
          </w:p>
        </w:tc>
        <w:tc>
          <w:tcPr>
            <w:tcW w:w="1469" w:type="dxa"/>
            <w:gridSpan w:val="2"/>
          </w:tcPr>
          <w:p>
            <w:pPr>
              <w:pStyle w:val="TableParagraph"/>
              <w:rPr>
                <w:rFonts w:ascii="Times New Roman"/>
                <w:sz w:val="20"/>
              </w:rPr>
            </w:pPr>
          </w:p>
        </w:tc>
        <w:tc>
          <w:tcPr>
            <w:tcW w:w="1562" w:type="dxa"/>
            <w:gridSpan w:val="2"/>
          </w:tcPr>
          <w:p>
            <w:pPr>
              <w:pStyle w:val="TableParagraph"/>
              <w:rPr>
                <w:rFonts w:ascii="Times New Roman"/>
                <w:sz w:val="20"/>
              </w:rPr>
            </w:pPr>
          </w:p>
        </w:tc>
        <w:tc>
          <w:tcPr>
            <w:tcW w:w="1483" w:type="dxa"/>
            <w:gridSpan w:val="2"/>
          </w:tcPr>
          <w:p>
            <w:pPr>
              <w:pStyle w:val="TableParagraph"/>
              <w:rPr>
                <w:rFonts w:ascii="Times New Roman"/>
                <w:sz w:val="20"/>
              </w:rPr>
            </w:pPr>
          </w:p>
        </w:tc>
        <w:tc>
          <w:tcPr>
            <w:tcW w:w="1396" w:type="dxa"/>
            <w:gridSpan w:val="2"/>
          </w:tcPr>
          <w:p>
            <w:pPr>
              <w:pStyle w:val="TableParagraph"/>
              <w:rPr>
                <w:rFonts w:ascii="Times New Roman"/>
                <w:sz w:val="20"/>
              </w:rPr>
            </w:pPr>
          </w:p>
        </w:tc>
        <w:tc>
          <w:tcPr>
            <w:tcW w:w="1429" w:type="dxa"/>
            <w:gridSpan w:val="2"/>
            <w:tcBorders>
              <w:right w:val="single" w:sz="4" w:space="0" w:color="000000"/>
            </w:tcBorders>
          </w:tcPr>
          <w:p>
            <w:pPr>
              <w:pStyle w:val="TableParagraph"/>
              <w:rPr>
                <w:rFonts w:ascii="Times New Roman"/>
                <w:sz w:val="20"/>
              </w:rPr>
            </w:pPr>
          </w:p>
        </w:tc>
      </w:tr>
      <w:tr>
        <w:trPr>
          <w:trHeight w:val="228" w:hRule="atLeast"/>
        </w:trPr>
        <w:tc>
          <w:tcPr>
            <w:tcW w:w="725" w:type="dxa"/>
            <w:tcBorders>
              <w:left w:val="single" w:sz="4" w:space="0" w:color="000000"/>
            </w:tcBorders>
          </w:tcPr>
          <w:p>
            <w:pPr>
              <w:pStyle w:val="TableParagraph"/>
              <w:rPr>
                <w:rFonts w:ascii="Times New Roman"/>
                <w:sz w:val="16"/>
              </w:rPr>
            </w:pPr>
          </w:p>
        </w:tc>
        <w:tc>
          <w:tcPr>
            <w:tcW w:w="3422" w:type="dxa"/>
          </w:tcPr>
          <w:p>
            <w:pPr>
              <w:pStyle w:val="TableParagraph"/>
              <w:spacing w:line="208" w:lineRule="exact"/>
              <w:ind w:left="110"/>
              <w:rPr>
                <w:sz w:val="20"/>
              </w:rPr>
            </w:pPr>
            <w:r>
              <w:rPr>
                <w:sz w:val="20"/>
              </w:rPr>
              <w:t>provided</w:t>
            </w:r>
            <w:r>
              <w:rPr>
                <w:spacing w:val="14"/>
                <w:sz w:val="20"/>
              </w:rPr>
              <w:t> </w:t>
            </w:r>
            <w:r>
              <w:rPr>
                <w:sz w:val="20"/>
              </w:rPr>
              <w:t>on</w:t>
            </w:r>
            <w:r>
              <w:rPr>
                <w:spacing w:val="15"/>
                <w:sz w:val="20"/>
              </w:rPr>
              <w:t> </w:t>
            </w:r>
            <w:r>
              <w:rPr>
                <w:sz w:val="20"/>
              </w:rPr>
              <w:t>or</w:t>
            </w:r>
            <w:r>
              <w:rPr>
                <w:spacing w:val="16"/>
                <w:sz w:val="20"/>
              </w:rPr>
              <w:t> </w:t>
            </w:r>
            <w:r>
              <w:rPr>
                <w:sz w:val="20"/>
              </w:rPr>
              <w:t>near</w:t>
            </w:r>
            <w:r>
              <w:rPr>
                <w:spacing w:val="12"/>
                <w:sz w:val="20"/>
              </w:rPr>
              <w:t> </w:t>
            </w:r>
            <w:r>
              <w:rPr>
                <w:sz w:val="20"/>
              </w:rPr>
              <w:t>the</w:t>
            </w:r>
            <w:r>
              <w:rPr>
                <w:spacing w:val="15"/>
                <w:sz w:val="20"/>
              </w:rPr>
              <w:t> </w:t>
            </w:r>
            <w:r>
              <w:rPr>
                <w:sz w:val="20"/>
              </w:rPr>
              <w:t>campus</w:t>
            </w:r>
            <w:r>
              <w:rPr>
                <w:spacing w:val="12"/>
                <w:sz w:val="20"/>
              </w:rPr>
              <w:t> </w:t>
            </w:r>
            <w:r>
              <w:rPr>
                <w:spacing w:val="-5"/>
                <w:sz w:val="20"/>
              </w:rPr>
              <w:t>so</w:t>
            </w:r>
          </w:p>
        </w:tc>
        <w:tc>
          <w:tcPr>
            <w:tcW w:w="1796" w:type="dxa"/>
          </w:tcPr>
          <w:p>
            <w:pPr>
              <w:pStyle w:val="TableParagraph"/>
              <w:spacing w:line="208" w:lineRule="exact"/>
              <w:ind w:left="110"/>
              <w:rPr>
                <w:sz w:val="20"/>
              </w:rPr>
            </w:pPr>
            <w:r>
              <w:rPr>
                <w:spacing w:val="-2"/>
                <w:sz w:val="20"/>
              </w:rPr>
              <w:t>observations</w:t>
            </w:r>
          </w:p>
        </w:tc>
        <w:tc>
          <w:tcPr>
            <w:tcW w:w="678" w:type="dxa"/>
          </w:tcPr>
          <w:p>
            <w:pPr>
              <w:pStyle w:val="TableParagraph"/>
              <w:spacing w:line="208" w:lineRule="exact"/>
              <w:ind w:left="57"/>
              <w:jc w:val="center"/>
              <w:rPr>
                <w:sz w:val="20"/>
              </w:rPr>
            </w:pPr>
            <w:r>
              <w:rPr>
                <w:spacing w:val="-10"/>
                <w:sz w:val="20"/>
              </w:rPr>
              <w:t>2</w:t>
            </w:r>
          </w:p>
        </w:tc>
        <w:tc>
          <w:tcPr>
            <w:tcW w:w="804" w:type="dxa"/>
          </w:tcPr>
          <w:p>
            <w:pPr>
              <w:pStyle w:val="TableParagraph"/>
              <w:spacing w:line="208" w:lineRule="exact"/>
              <w:ind w:left="107" w:right="97"/>
              <w:jc w:val="center"/>
              <w:rPr>
                <w:sz w:val="20"/>
              </w:rPr>
            </w:pPr>
            <w:r>
              <w:rPr>
                <w:spacing w:val="-2"/>
                <w:sz w:val="20"/>
              </w:rPr>
              <w:t>100.0</w:t>
            </w:r>
          </w:p>
        </w:tc>
        <w:tc>
          <w:tcPr>
            <w:tcW w:w="636" w:type="dxa"/>
          </w:tcPr>
          <w:p>
            <w:pPr>
              <w:pStyle w:val="TableParagraph"/>
              <w:spacing w:line="208" w:lineRule="exact"/>
              <w:ind w:left="15" w:right="7"/>
              <w:jc w:val="center"/>
              <w:rPr>
                <w:sz w:val="20"/>
              </w:rPr>
            </w:pPr>
            <w:r>
              <w:rPr>
                <w:spacing w:val="-10"/>
                <w:sz w:val="20"/>
              </w:rPr>
              <w:t>-</w:t>
            </w:r>
          </w:p>
        </w:tc>
        <w:tc>
          <w:tcPr>
            <w:tcW w:w="833" w:type="dxa"/>
          </w:tcPr>
          <w:p>
            <w:pPr>
              <w:pStyle w:val="TableParagraph"/>
              <w:spacing w:line="208" w:lineRule="exact"/>
              <w:ind w:right="18"/>
              <w:jc w:val="center"/>
              <w:rPr>
                <w:sz w:val="20"/>
              </w:rPr>
            </w:pPr>
            <w:r>
              <w:rPr>
                <w:spacing w:val="-10"/>
                <w:sz w:val="20"/>
              </w:rPr>
              <w:t>-</w:t>
            </w:r>
          </w:p>
        </w:tc>
        <w:tc>
          <w:tcPr>
            <w:tcW w:w="660" w:type="dxa"/>
          </w:tcPr>
          <w:p>
            <w:pPr>
              <w:pStyle w:val="TableParagraph"/>
              <w:spacing w:line="208" w:lineRule="exact"/>
              <w:ind w:left="259"/>
              <w:rPr>
                <w:sz w:val="20"/>
              </w:rPr>
            </w:pPr>
            <w:r>
              <w:rPr>
                <w:spacing w:val="-10"/>
                <w:sz w:val="20"/>
              </w:rPr>
              <w:t>-</w:t>
            </w:r>
          </w:p>
        </w:tc>
        <w:tc>
          <w:tcPr>
            <w:tcW w:w="902" w:type="dxa"/>
          </w:tcPr>
          <w:p>
            <w:pPr>
              <w:pStyle w:val="TableParagraph"/>
              <w:spacing w:line="208" w:lineRule="exact"/>
              <w:ind w:left="20" w:right="14"/>
              <w:jc w:val="center"/>
              <w:rPr>
                <w:sz w:val="20"/>
              </w:rPr>
            </w:pPr>
            <w:r>
              <w:rPr>
                <w:spacing w:val="-10"/>
                <w:sz w:val="20"/>
              </w:rPr>
              <w:t>-</w:t>
            </w:r>
          </w:p>
        </w:tc>
        <w:tc>
          <w:tcPr>
            <w:tcW w:w="684" w:type="dxa"/>
          </w:tcPr>
          <w:p>
            <w:pPr>
              <w:pStyle w:val="TableParagraph"/>
              <w:spacing w:line="208" w:lineRule="exact"/>
              <w:ind w:left="68" w:right="16"/>
              <w:jc w:val="center"/>
              <w:rPr>
                <w:sz w:val="20"/>
              </w:rPr>
            </w:pPr>
            <w:r>
              <w:rPr>
                <w:spacing w:val="-10"/>
                <w:sz w:val="20"/>
              </w:rPr>
              <w:t>-</w:t>
            </w:r>
          </w:p>
        </w:tc>
        <w:tc>
          <w:tcPr>
            <w:tcW w:w="799" w:type="dxa"/>
          </w:tcPr>
          <w:p>
            <w:pPr>
              <w:pStyle w:val="TableParagraph"/>
              <w:spacing w:line="208" w:lineRule="exact"/>
              <w:ind w:left="23" w:right="14"/>
              <w:jc w:val="center"/>
              <w:rPr>
                <w:sz w:val="20"/>
              </w:rPr>
            </w:pPr>
            <w:r>
              <w:rPr>
                <w:spacing w:val="-10"/>
                <w:sz w:val="20"/>
              </w:rPr>
              <w:t>-</w:t>
            </w:r>
          </w:p>
        </w:tc>
        <w:tc>
          <w:tcPr>
            <w:tcW w:w="626" w:type="dxa"/>
          </w:tcPr>
          <w:p>
            <w:pPr>
              <w:pStyle w:val="TableParagraph"/>
              <w:spacing w:line="208" w:lineRule="exact"/>
              <w:ind w:left="20" w:right="16"/>
              <w:jc w:val="center"/>
              <w:rPr>
                <w:sz w:val="20"/>
              </w:rPr>
            </w:pPr>
            <w:r>
              <w:rPr>
                <w:spacing w:val="-10"/>
                <w:sz w:val="20"/>
              </w:rPr>
              <w:t>-</w:t>
            </w:r>
          </w:p>
        </w:tc>
        <w:tc>
          <w:tcPr>
            <w:tcW w:w="770" w:type="dxa"/>
          </w:tcPr>
          <w:p>
            <w:pPr>
              <w:pStyle w:val="TableParagraph"/>
              <w:spacing w:line="208" w:lineRule="exact"/>
              <w:ind w:left="42" w:right="13"/>
              <w:jc w:val="center"/>
              <w:rPr>
                <w:sz w:val="20"/>
              </w:rPr>
            </w:pPr>
            <w:r>
              <w:rPr>
                <w:spacing w:val="-10"/>
                <w:sz w:val="20"/>
              </w:rPr>
              <w:t>-</w:t>
            </w:r>
          </w:p>
        </w:tc>
        <w:tc>
          <w:tcPr>
            <w:tcW w:w="691" w:type="dxa"/>
          </w:tcPr>
          <w:p>
            <w:pPr>
              <w:pStyle w:val="TableParagraph"/>
              <w:spacing w:line="208" w:lineRule="exact"/>
              <w:ind w:left="22" w:right="7"/>
              <w:jc w:val="center"/>
              <w:rPr>
                <w:sz w:val="20"/>
              </w:rPr>
            </w:pPr>
            <w:r>
              <w:rPr>
                <w:spacing w:val="-10"/>
                <w:sz w:val="20"/>
              </w:rPr>
              <w:t>2</w:t>
            </w:r>
          </w:p>
        </w:tc>
        <w:tc>
          <w:tcPr>
            <w:tcW w:w="738" w:type="dxa"/>
            <w:tcBorders>
              <w:right w:val="single" w:sz="4" w:space="0" w:color="000000"/>
            </w:tcBorders>
          </w:tcPr>
          <w:p>
            <w:pPr>
              <w:pStyle w:val="TableParagraph"/>
              <w:spacing w:line="208" w:lineRule="exact"/>
              <w:ind w:left="53" w:right="27"/>
              <w:jc w:val="center"/>
              <w:rPr>
                <w:sz w:val="20"/>
              </w:rPr>
            </w:pPr>
            <w:r>
              <w:rPr>
                <w:spacing w:val="-5"/>
                <w:sz w:val="20"/>
              </w:rPr>
              <w:t>0.4</w:t>
            </w:r>
          </w:p>
        </w:tc>
      </w:tr>
      <w:tr>
        <w:trPr>
          <w:trHeight w:val="230" w:hRule="atLeast"/>
        </w:trPr>
        <w:tc>
          <w:tcPr>
            <w:tcW w:w="725" w:type="dxa"/>
            <w:tcBorders>
              <w:left w:val="single" w:sz="4" w:space="0" w:color="000000"/>
            </w:tcBorders>
          </w:tcPr>
          <w:p>
            <w:pPr>
              <w:pStyle w:val="TableParagraph"/>
              <w:rPr>
                <w:rFonts w:ascii="Times New Roman"/>
                <w:sz w:val="16"/>
              </w:rPr>
            </w:pPr>
          </w:p>
        </w:tc>
        <w:tc>
          <w:tcPr>
            <w:tcW w:w="3422" w:type="dxa"/>
          </w:tcPr>
          <w:p>
            <w:pPr>
              <w:pStyle w:val="TableParagraph"/>
              <w:spacing w:line="210" w:lineRule="exact"/>
              <w:ind w:left="110"/>
              <w:rPr>
                <w:sz w:val="20"/>
              </w:rPr>
            </w:pPr>
            <w:r>
              <w:rPr>
                <w:sz w:val="20"/>
              </w:rPr>
              <w:t>as</w:t>
            </w:r>
            <w:r>
              <w:rPr>
                <w:spacing w:val="6"/>
                <w:sz w:val="20"/>
              </w:rPr>
              <w:t> </w:t>
            </w:r>
            <w:r>
              <w:rPr>
                <w:sz w:val="20"/>
              </w:rPr>
              <w:t>to</w:t>
            </w:r>
            <w:r>
              <w:rPr>
                <w:spacing w:val="10"/>
                <w:sz w:val="20"/>
              </w:rPr>
              <w:t> </w:t>
            </w:r>
            <w:r>
              <w:rPr>
                <w:sz w:val="20"/>
              </w:rPr>
              <w:t>enable</w:t>
            </w:r>
            <w:r>
              <w:rPr>
                <w:spacing w:val="10"/>
                <w:sz w:val="20"/>
              </w:rPr>
              <w:t> </w:t>
            </w:r>
            <w:r>
              <w:rPr>
                <w:sz w:val="20"/>
              </w:rPr>
              <w:t>students</w:t>
            </w:r>
            <w:r>
              <w:rPr>
                <w:spacing w:val="7"/>
                <w:sz w:val="20"/>
              </w:rPr>
              <w:t> </w:t>
            </w:r>
            <w:r>
              <w:rPr>
                <w:spacing w:val="-2"/>
                <w:sz w:val="20"/>
              </w:rPr>
              <w:t>communicate</w:t>
            </w:r>
          </w:p>
        </w:tc>
        <w:tc>
          <w:tcPr>
            <w:tcW w:w="1796" w:type="dxa"/>
          </w:tcPr>
          <w:p>
            <w:pPr>
              <w:pStyle w:val="TableParagraph"/>
              <w:spacing w:line="210" w:lineRule="exact"/>
              <w:ind w:left="110"/>
              <w:rPr>
                <w:sz w:val="20"/>
              </w:rPr>
            </w:pPr>
            <w:r>
              <w:rPr>
                <w:spacing w:val="-2"/>
                <w:sz w:val="20"/>
              </w:rPr>
              <w:t>Students</w:t>
            </w:r>
          </w:p>
        </w:tc>
        <w:tc>
          <w:tcPr>
            <w:tcW w:w="678" w:type="dxa"/>
          </w:tcPr>
          <w:p>
            <w:pPr>
              <w:pStyle w:val="TableParagraph"/>
              <w:spacing w:line="210" w:lineRule="exact"/>
              <w:ind w:left="57" w:right="5"/>
              <w:jc w:val="center"/>
              <w:rPr>
                <w:sz w:val="20"/>
              </w:rPr>
            </w:pPr>
            <w:r>
              <w:rPr>
                <w:spacing w:val="-5"/>
                <w:sz w:val="20"/>
              </w:rPr>
              <w:t>92</w:t>
            </w:r>
          </w:p>
        </w:tc>
        <w:tc>
          <w:tcPr>
            <w:tcW w:w="804" w:type="dxa"/>
          </w:tcPr>
          <w:p>
            <w:pPr>
              <w:pStyle w:val="TableParagraph"/>
              <w:spacing w:line="210" w:lineRule="exact"/>
              <w:ind w:left="112" w:right="97"/>
              <w:jc w:val="center"/>
              <w:rPr>
                <w:sz w:val="20"/>
              </w:rPr>
            </w:pPr>
            <w:r>
              <w:rPr>
                <w:spacing w:val="-4"/>
                <w:sz w:val="20"/>
              </w:rPr>
              <w:t>39.1</w:t>
            </w:r>
          </w:p>
        </w:tc>
        <w:tc>
          <w:tcPr>
            <w:tcW w:w="636" w:type="dxa"/>
          </w:tcPr>
          <w:p>
            <w:pPr>
              <w:pStyle w:val="TableParagraph"/>
              <w:spacing w:line="210" w:lineRule="exact"/>
              <w:ind w:left="15" w:right="10"/>
              <w:jc w:val="center"/>
              <w:rPr>
                <w:sz w:val="20"/>
              </w:rPr>
            </w:pPr>
            <w:r>
              <w:rPr>
                <w:spacing w:val="-5"/>
                <w:sz w:val="20"/>
              </w:rPr>
              <w:t>109</w:t>
            </w:r>
          </w:p>
        </w:tc>
        <w:tc>
          <w:tcPr>
            <w:tcW w:w="833" w:type="dxa"/>
          </w:tcPr>
          <w:p>
            <w:pPr>
              <w:pStyle w:val="TableParagraph"/>
              <w:spacing w:line="210" w:lineRule="exact"/>
              <w:ind w:left="7" w:right="18"/>
              <w:jc w:val="center"/>
              <w:rPr>
                <w:sz w:val="20"/>
              </w:rPr>
            </w:pPr>
            <w:r>
              <w:rPr>
                <w:spacing w:val="-4"/>
                <w:sz w:val="20"/>
              </w:rPr>
              <w:t>46.4</w:t>
            </w:r>
          </w:p>
        </w:tc>
        <w:tc>
          <w:tcPr>
            <w:tcW w:w="660" w:type="dxa"/>
          </w:tcPr>
          <w:p>
            <w:pPr>
              <w:pStyle w:val="TableParagraph"/>
              <w:spacing w:line="210" w:lineRule="exact"/>
              <w:ind w:left="182"/>
              <w:rPr>
                <w:sz w:val="20"/>
              </w:rPr>
            </w:pPr>
            <w:r>
              <w:rPr>
                <w:spacing w:val="-5"/>
                <w:sz w:val="20"/>
              </w:rPr>
              <w:t>13</w:t>
            </w:r>
          </w:p>
        </w:tc>
        <w:tc>
          <w:tcPr>
            <w:tcW w:w="902" w:type="dxa"/>
          </w:tcPr>
          <w:p>
            <w:pPr>
              <w:pStyle w:val="TableParagraph"/>
              <w:spacing w:line="210" w:lineRule="exact"/>
              <w:ind w:left="20" w:right="13"/>
              <w:jc w:val="center"/>
              <w:rPr>
                <w:sz w:val="20"/>
              </w:rPr>
            </w:pPr>
            <w:r>
              <w:rPr>
                <w:spacing w:val="-5"/>
                <w:sz w:val="20"/>
              </w:rPr>
              <w:t>5.5</w:t>
            </w:r>
          </w:p>
        </w:tc>
        <w:tc>
          <w:tcPr>
            <w:tcW w:w="684" w:type="dxa"/>
          </w:tcPr>
          <w:p>
            <w:pPr>
              <w:pStyle w:val="TableParagraph"/>
              <w:spacing w:line="210" w:lineRule="exact"/>
              <w:ind w:left="68" w:right="14"/>
              <w:jc w:val="center"/>
              <w:rPr>
                <w:sz w:val="20"/>
              </w:rPr>
            </w:pPr>
            <w:r>
              <w:rPr>
                <w:spacing w:val="-5"/>
                <w:sz w:val="20"/>
              </w:rPr>
              <w:t>19</w:t>
            </w:r>
          </w:p>
        </w:tc>
        <w:tc>
          <w:tcPr>
            <w:tcW w:w="799" w:type="dxa"/>
          </w:tcPr>
          <w:p>
            <w:pPr>
              <w:pStyle w:val="TableParagraph"/>
              <w:spacing w:line="210" w:lineRule="exact"/>
              <w:ind w:left="23" w:right="13"/>
              <w:jc w:val="center"/>
              <w:rPr>
                <w:sz w:val="20"/>
              </w:rPr>
            </w:pPr>
            <w:r>
              <w:rPr>
                <w:spacing w:val="-5"/>
                <w:sz w:val="20"/>
              </w:rPr>
              <w:t>8.1</w:t>
            </w:r>
          </w:p>
        </w:tc>
        <w:tc>
          <w:tcPr>
            <w:tcW w:w="626" w:type="dxa"/>
          </w:tcPr>
          <w:p>
            <w:pPr>
              <w:pStyle w:val="TableParagraph"/>
              <w:spacing w:line="210" w:lineRule="exact"/>
              <w:ind w:left="20" w:right="9"/>
              <w:jc w:val="center"/>
              <w:rPr>
                <w:sz w:val="20"/>
              </w:rPr>
            </w:pPr>
            <w:r>
              <w:rPr>
                <w:spacing w:val="-10"/>
                <w:sz w:val="20"/>
              </w:rPr>
              <w:t>2</w:t>
            </w:r>
          </w:p>
        </w:tc>
        <w:tc>
          <w:tcPr>
            <w:tcW w:w="770" w:type="dxa"/>
          </w:tcPr>
          <w:p>
            <w:pPr>
              <w:pStyle w:val="TableParagraph"/>
              <w:spacing w:line="210" w:lineRule="exact"/>
              <w:ind w:left="42" w:right="11"/>
              <w:jc w:val="center"/>
              <w:rPr>
                <w:sz w:val="20"/>
              </w:rPr>
            </w:pPr>
            <w:r>
              <w:rPr>
                <w:spacing w:val="-5"/>
                <w:sz w:val="20"/>
              </w:rPr>
              <w:t>0.9</w:t>
            </w:r>
          </w:p>
        </w:tc>
        <w:tc>
          <w:tcPr>
            <w:tcW w:w="691" w:type="dxa"/>
          </w:tcPr>
          <w:p>
            <w:pPr>
              <w:pStyle w:val="TableParagraph"/>
              <w:spacing w:line="210" w:lineRule="exact"/>
              <w:ind w:left="22" w:right="17"/>
              <w:jc w:val="center"/>
              <w:rPr>
                <w:sz w:val="20"/>
              </w:rPr>
            </w:pPr>
            <w:r>
              <w:rPr>
                <w:spacing w:val="-5"/>
                <w:sz w:val="20"/>
              </w:rPr>
              <w:t>235</w:t>
            </w:r>
          </w:p>
        </w:tc>
        <w:tc>
          <w:tcPr>
            <w:tcW w:w="738" w:type="dxa"/>
            <w:tcBorders>
              <w:right w:val="single" w:sz="4" w:space="0" w:color="000000"/>
            </w:tcBorders>
          </w:tcPr>
          <w:p>
            <w:pPr>
              <w:pStyle w:val="TableParagraph"/>
              <w:spacing w:line="210" w:lineRule="exact"/>
              <w:ind w:left="53" w:right="22"/>
              <w:jc w:val="center"/>
              <w:rPr>
                <w:sz w:val="20"/>
              </w:rPr>
            </w:pPr>
            <w:r>
              <w:rPr>
                <w:spacing w:val="-4"/>
                <w:sz w:val="20"/>
              </w:rPr>
              <w:t>50.8</w:t>
            </w:r>
          </w:p>
        </w:tc>
      </w:tr>
      <w:tr>
        <w:trPr>
          <w:trHeight w:val="230" w:hRule="atLeast"/>
        </w:trPr>
        <w:tc>
          <w:tcPr>
            <w:tcW w:w="725" w:type="dxa"/>
            <w:tcBorders>
              <w:left w:val="single" w:sz="4" w:space="0" w:color="000000"/>
            </w:tcBorders>
          </w:tcPr>
          <w:p>
            <w:pPr>
              <w:pStyle w:val="TableParagraph"/>
              <w:rPr>
                <w:rFonts w:ascii="Times New Roman"/>
                <w:sz w:val="16"/>
              </w:rPr>
            </w:pPr>
          </w:p>
        </w:tc>
        <w:tc>
          <w:tcPr>
            <w:tcW w:w="3422" w:type="dxa"/>
          </w:tcPr>
          <w:p>
            <w:pPr>
              <w:pStyle w:val="TableParagraph"/>
              <w:spacing w:line="210" w:lineRule="exact"/>
              <w:ind w:left="110"/>
              <w:rPr>
                <w:sz w:val="20"/>
              </w:rPr>
            </w:pPr>
            <w:r>
              <w:rPr>
                <w:sz w:val="20"/>
              </w:rPr>
              <w:t>with</w:t>
            </w:r>
            <w:r>
              <w:rPr>
                <w:spacing w:val="4"/>
                <w:sz w:val="20"/>
              </w:rPr>
              <w:t> </w:t>
            </w:r>
            <w:r>
              <w:rPr>
                <w:sz w:val="20"/>
              </w:rPr>
              <w:t>their</w:t>
            </w:r>
            <w:r>
              <w:rPr>
                <w:spacing w:val="7"/>
                <w:sz w:val="20"/>
              </w:rPr>
              <w:t> </w:t>
            </w:r>
            <w:r>
              <w:rPr>
                <w:sz w:val="20"/>
              </w:rPr>
              <w:t>parents</w:t>
            </w:r>
            <w:r>
              <w:rPr>
                <w:spacing w:val="2"/>
                <w:sz w:val="20"/>
              </w:rPr>
              <w:t> </w:t>
            </w:r>
            <w:r>
              <w:rPr>
                <w:sz w:val="20"/>
              </w:rPr>
              <w:t>and</w:t>
            </w:r>
            <w:r>
              <w:rPr>
                <w:spacing w:val="4"/>
                <w:sz w:val="20"/>
              </w:rPr>
              <w:t> </w:t>
            </w:r>
            <w:r>
              <w:rPr>
                <w:sz w:val="20"/>
              </w:rPr>
              <w:t>outside</w:t>
            </w:r>
            <w:r>
              <w:rPr>
                <w:spacing w:val="10"/>
                <w:sz w:val="20"/>
              </w:rPr>
              <w:t> </w:t>
            </w:r>
            <w:r>
              <w:rPr>
                <w:spacing w:val="-4"/>
                <w:sz w:val="20"/>
              </w:rPr>
              <w:t>world</w:t>
            </w:r>
          </w:p>
        </w:tc>
        <w:tc>
          <w:tcPr>
            <w:tcW w:w="1796" w:type="dxa"/>
          </w:tcPr>
          <w:p>
            <w:pPr>
              <w:pStyle w:val="TableParagraph"/>
              <w:spacing w:line="210" w:lineRule="exact"/>
              <w:ind w:left="110"/>
              <w:rPr>
                <w:sz w:val="20"/>
              </w:rPr>
            </w:pPr>
            <w:r>
              <w:rPr>
                <w:sz w:val="20"/>
              </w:rPr>
              <w:t>Service</w:t>
            </w:r>
            <w:r>
              <w:rPr>
                <w:spacing w:val="-9"/>
                <w:sz w:val="20"/>
              </w:rPr>
              <w:t> </w:t>
            </w:r>
            <w:r>
              <w:rPr>
                <w:spacing w:val="-2"/>
                <w:sz w:val="20"/>
              </w:rPr>
              <w:t>Staff</w:t>
            </w:r>
          </w:p>
        </w:tc>
        <w:tc>
          <w:tcPr>
            <w:tcW w:w="678" w:type="dxa"/>
          </w:tcPr>
          <w:p>
            <w:pPr>
              <w:pStyle w:val="TableParagraph"/>
              <w:spacing w:line="210" w:lineRule="exact"/>
              <w:ind w:left="57" w:right="5"/>
              <w:jc w:val="center"/>
              <w:rPr>
                <w:sz w:val="20"/>
              </w:rPr>
            </w:pPr>
            <w:r>
              <w:rPr>
                <w:spacing w:val="-5"/>
                <w:sz w:val="20"/>
              </w:rPr>
              <w:t>82</w:t>
            </w:r>
          </w:p>
        </w:tc>
        <w:tc>
          <w:tcPr>
            <w:tcW w:w="804" w:type="dxa"/>
          </w:tcPr>
          <w:p>
            <w:pPr>
              <w:pStyle w:val="TableParagraph"/>
              <w:spacing w:line="210" w:lineRule="exact"/>
              <w:ind w:left="112" w:right="97"/>
              <w:jc w:val="center"/>
              <w:rPr>
                <w:sz w:val="20"/>
              </w:rPr>
            </w:pPr>
            <w:r>
              <w:rPr>
                <w:spacing w:val="-4"/>
                <w:sz w:val="20"/>
              </w:rPr>
              <w:t>40.4</w:t>
            </w:r>
          </w:p>
        </w:tc>
        <w:tc>
          <w:tcPr>
            <w:tcW w:w="636" w:type="dxa"/>
          </w:tcPr>
          <w:p>
            <w:pPr>
              <w:pStyle w:val="TableParagraph"/>
              <w:spacing w:line="210" w:lineRule="exact"/>
              <w:ind w:left="15" w:right="10"/>
              <w:jc w:val="center"/>
              <w:rPr>
                <w:sz w:val="20"/>
              </w:rPr>
            </w:pPr>
            <w:r>
              <w:rPr>
                <w:spacing w:val="-5"/>
                <w:sz w:val="20"/>
              </w:rPr>
              <w:t>102</w:t>
            </w:r>
          </w:p>
        </w:tc>
        <w:tc>
          <w:tcPr>
            <w:tcW w:w="833" w:type="dxa"/>
          </w:tcPr>
          <w:p>
            <w:pPr>
              <w:pStyle w:val="TableParagraph"/>
              <w:spacing w:line="210" w:lineRule="exact"/>
              <w:ind w:left="7" w:right="18"/>
              <w:jc w:val="center"/>
              <w:rPr>
                <w:sz w:val="20"/>
              </w:rPr>
            </w:pPr>
            <w:r>
              <w:rPr>
                <w:spacing w:val="-4"/>
                <w:sz w:val="20"/>
              </w:rPr>
              <w:t>50.2</w:t>
            </w:r>
          </w:p>
        </w:tc>
        <w:tc>
          <w:tcPr>
            <w:tcW w:w="660" w:type="dxa"/>
          </w:tcPr>
          <w:p>
            <w:pPr>
              <w:pStyle w:val="TableParagraph"/>
              <w:spacing w:line="210" w:lineRule="exact"/>
              <w:ind w:left="182"/>
              <w:rPr>
                <w:sz w:val="20"/>
              </w:rPr>
            </w:pPr>
            <w:r>
              <w:rPr>
                <w:spacing w:val="-5"/>
                <w:sz w:val="20"/>
              </w:rPr>
              <w:t>13</w:t>
            </w:r>
          </w:p>
        </w:tc>
        <w:tc>
          <w:tcPr>
            <w:tcW w:w="902" w:type="dxa"/>
          </w:tcPr>
          <w:p>
            <w:pPr>
              <w:pStyle w:val="TableParagraph"/>
              <w:spacing w:line="210" w:lineRule="exact"/>
              <w:ind w:left="20" w:right="13"/>
              <w:jc w:val="center"/>
              <w:rPr>
                <w:sz w:val="20"/>
              </w:rPr>
            </w:pPr>
            <w:r>
              <w:rPr>
                <w:spacing w:val="-5"/>
                <w:sz w:val="20"/>
              </w:rPr>
              <w:t>6.4</w:t>
            </w:r>
          </w:p>
        </w:tc>
        <w:tc>
          <w:tcPr>
            <w:tcW w:w="684" w:type="dxa"/>
          </w:tcPr>
          <w:p>
            <w:pPr>
              <w:pStyle w:val="TableParagraph"/>
              <w:spacing w:line="210" w:lineRule="exact"/>
              <w:ind w:left="68" w:right="10"/>
              <w:jc w:val="center"/>
              <w:rPr>
                <w:sz w:val="20"/>
              </w:rPr>
            </w:pPr>
            <w:r>
              <w:rPr>
                <w:spacing w:val="-10"/>
                <w:sz w:val="20"/>
              </w:rPr>
              <w:t>6</w:t>
            </w:r>
          </w:p>
        </w:tc>
        <w:tc>
          <w:tcPr>
            <w:tcW w:w="799" w:type="dxa"/>
          </w:tcPr>
          <w:p>
            <w:pPr>
              <w:pStyle w:val="TableParagraph"/>
              <w:spacing w:line="210" w:lineRule="exact"/>
              <w:ind w:left="23" w:right="13"/>
              <w:jc w:val="center"/>
              <w:rPr>
                <w:sz w:val="20"/>
              </w:rPr>
            </w:pPr>
            <w:r>
              <w:rPr>
                <w:spacing w:val="-5"/>
                <w:sz w:val="20"/>
              </w:rPr>
              <w:t>2.0</w:t>
            </w:r>
          </w:p>
        </w:tc>
        <w:tc>
          <w:tcPr>
            <w:tcW w:w="626" w:type="dxa"/>
          </w:tcPr>
          <w:p>
            <w:pPr>
              <w:pStyle w:val="TableParagraph"/>
              <w:spacing w:line="210" w:lineRule="exact"/>
              <w:ind w:left="20" w:right="16"/>
              <w:jc w:val="center"/>
              <w:rPr>
                <w:sz w:val="20"/>
              </w:rPr>
            </w:pPr>
            <w:r>
              <w:rPr>
                <w:spacing w:val="-10"/>
                <w:sz w:val="20"/>
              </w:rPr>
              <w:t>-</w:t>
            </w:r>
          </w:p>
        </w:tc>
        <w:tc>
          <w:tcPr>
            <w:tcW w:w="770" w:type="dxa"/>
          </w:tcPr>
          <w:p>
            <w:pPr>
              <w:pStyle w:val="TableParagraph"/>
              <w:spacing w:line="210" w:lineRule="exact"/>
              <w:ind w:left="42" w:right="13"/>
              <w:jc w:val="center"/>
              <w:rPr>
                <w:sz w:val="20"/>
              </w:rPr>
            </w:pPr>
            <w:r>
              <w:rPr>
                <w:spacing w:val="-10"/>
                <w:sz w:val="20"/>
              </w:rPr>
              <w:t>-</w:t>
            </w:r>
          </w:p>
        </w:tc>
        <w:tc>
          <w:tcPr>
            <w:tcW w:w="691" w:type="dxa"/>
          </w:tcPr>
          <w:p>
            <w:pPr>
              <w:pStyle w:val="TableParagraph"/>
              <w:spacing w:line="210" w:lineRule="exact"/>
              <w:ind w:left="22" w:right="17"/>
              <w:jc w:val="center"/>
              <w:rPr>
                <w:sz w:val="20"/>
              </w:rPr>
            </w:pPr>
            <w:r>
              <w:rPr>
                <w:spacing w:val="-5"/>
                <w:sz w:val="20"/>
              </w:rPr>
              <w:t>203</w:t>
            </w:r>
          </w:p>
        </w:tc>
        <w:tc>
          <w:tcPr>
            <w:tcW w:w="738" w:type="dxa"/>
            <w:tcBorders>
              <w:right w:val="single" w:sz="4" w:space="0" w:color="000000"/>
            </w:tcBorders>
          </w:tcPr>
          <w:p>
            <w:pPr>
              <w:pStyle w:val="TableParagraph"/>
              <w:spacing w:line="210" w:lineRule="exact"/>
              <w:ind w:left="53" w:right="22"/>
              <w:jc w:val="center"/>
              <w:rPr>
                <w:sz w:val="20"/>
              </w:rPr>
            </w:pPr>
            <w:r>
              <w:rPr>
                <w:spacing w:val="-4"/>
                <w:sz w:val="20"/>
              </w:rPr>
              <w:t>43.8</w:t>
            </w:r>
          </w:p>
        </w:tc>
      </w:tr>
      <w:tr>
        <w:trPr>
          <w:trHeight w:val="256" w:hRule="atLeast"/>
        </w:trPr>
        <w:tc>
          <w:tcPr>
            <w:tcW w:w="725" w:type="dxa"/>
            <w:tcBorders>
              <w:left w:val="single" w:sz="4" w:space="0" w:color="000000"/>
            </w:tcBorders>
          </w:tcPr>
          <w:p>
            <w:pPr>
              <w:pStyle w:val="TableParagraph"/>
              <w:rPr>
                <w:rFonts w:ascii="Times New Roman"/>
                <w:sz w:val="18"/>
              </w:rPr>
            </w:pPr>
          </w:p>
        </w:tc>
        <w:tc>
          <w:tcPr>
            <w:tcW w:w="3422" w:type="dxa"/>
          </w:tcPr>
          <w:p>
            <w:pPr>
              <w:pStyle w:val="TableParagraph"/>
              <w:spacing w:line="227" w:lineRule="exact"/>
              <w:ind w:left="110"/>
              <w:rPr>
                <w:sz w:val="20"/>
              </w:rPr>
            </w:pPr>
            <w:r>
              <w:rPr>
                <w:spacing w:val="-2"/>
                <w:sz w:val="20"/>
              </w:rPr>
              <w:t>regularly.</w:t>
            </w:r>
          </w:p>
        </w:tc>
        <w:tc>
          <w:tcPr>
            <w:tcW w:w="1796" w:type="dxa"/>
          </w:tcPr>
          <w:p>
            <w:pPr>
              <w:pStyle w:val="TableParagraph"/>
              <w:spacing w:line="227" w:lineRule="exact"/>
              <w:ind w:left="110"/>
              <w:rPr>
                <w:sz w:val="20"/>
              </w:rPr>
            </w:pPr>
            <w:r>
              <w:rPr>
                <w:sz w:val="20"/>
              </w:rPr>
              <w:t>Top</w:t>
            </w:r>
            <w:r>
              <w:rPr>
                <w:spacing w:val="-1"/>
                <w:sz w:val="20"/>
              </w:rPr>
              <w:t> </w:t>
            </w:r>
            <w:r>
              <w:rPr>
                <w:spacing w:val="-2"/>
                <w:sz w:val="20"/>
              </w:rPr>
              <w:t>Management</w:t>
            </w:r>
          </w:p>
        </w:tc>
        <w:tc>
          <w:tcPr>
            <w:tcW w:w="678" w:type="dxa"/>
          </w:tcPr>
          <w:p>
            <w:pPr>
              <w:pStyle w:val="TableParagraph"/>
              <w:spacing w:line="227" w:lineRule="exact"/>
              <w:ind w:left="57" w:right="5"/>
              <w:jc w:val="center"/>
              <w:rPr>
                <w:sz w:val="20"/>
              </w:rPr>
            </w:pPr>
            <w:r>
              <w:rPr>
                <w:spacing w:val="-5"/>
                <w:sz w:val="20"/>
              </w:rPr>
              <w:t>11</w:t>
            </w:r>
          </w:p>
        </w:tc>
        <w:tc>
          <w:tcPr>
            <w:tcW w:w="804" w:type="dxa"/>
          </w:tcPr>
          <w:p>
            <w:pPr>
              <w:pStyle w:val="TableParagraph"/>
              <w:spacing w:line="227" w:lineRule="exact"/>
              <w:ind w:left="112" w:right="97"/>
              <w:jc w:val="center"/>
              <w:rPr>
                <w:sz w:val="20"/>
              </w:rPr>
            </w:pPr>
            <w:r>
              <w:rPr>
                <w:spacing w:val="-4"/>
                <w:sz w:val="20"/>
              </w:rPr>
              <w:t>47.8</w:t>
            </w:r>
          </w:p>
        </w:tc>
        <w:tc>
          <w:tcPr>
            <w:tcW w:w="636" w:type="dxa"/>
          </w:tcPr>
          <w:p>
            <w:pPr>
              <w:pStyle w:val="TableParagraph"/>
              <w:spacing w:line="227" w:lineRule="exact"/>
              <w:ind w:left="15" w:right="5"/>
              <w:jc w:val="center"/>
              <w:rPr>
                <w:sz w:val="20"/>
              </w:rPr>
            </w:pPr>
            <w:r>
              <w:rPr>
                <w:spacing w:val="-5"/>
                <w:sz w:val="20"/>
              </w:rPr>
              <w:t>12</w:t>
            </w:r>
          </w:p>
        </w:tc>
        <w:tc>
          <w:tcPr>
            <w:tcW w:w="833" w:type="dxa"/>
          </w:tcPr>
          <w:p>
            <w:pPr>
              <w:pStyle w:val="TableParagraph"/>
              <w:spacing w:line="227" w:lineRule="exact"/>
              <w:ind w:left="7" w:right="18"/>
              <w:jc w:val="center"/>
              <w:rPr>
                <w:sz w:val="20"/>
              </w:rPr>
            </w:pPr>
            <w:r>
              <w:rPr>
                <w:spacing w:val="-4"/>
                <w:sz w:val="20"/>
              </w:rPr>
              <w:t>52.2</w:t>
            </w:r>
          </w:p>
        </w:tc>
        <w:tc>
          <w:tcPr>
            <w:tcW w:w="660" w:type="dxa"/>
          </w:tcPr>
          <w:p>
            <w:pPr>
              <w:pStyle w:val="TableParagraph"/>
              <w:spacing w:line="227" w:lineRule="exact"/>
              <w:ind w:left="259"/>
              <w:rPr>
                <w:sz w:val="20"/>
              </w:rPr>
            </w:pPr>
            <w:r>
              <w:rPr>
                <w:spacing w:val="-10"/>
                <w:sz w:val="20"/>
              </w:rPr>
              <w:t>-</w:t>
            </w:r>
          </w:p>
        </w:tc>
        <w:tc>
          <w:tcPr>
            <w:tcW w:w="902" w:type="dxa"/>
          </w:tcPr>
          <w:p>
            <w:pPr>
              <w:pStyle w:val="TableParagraph"/>
              <w:spacing w:line="227" w:lineRule="exact"/>
              <w:ind w:left="20" w:right="14"/>
              <w:jc w:val="center"/>
              <w:rPr>
                <w:sz w:val="20"/>
              </w:rPr>
            </w:pPr>
            <w:r>
              <w:rPr>
                <w:spacing w:val="-10"/>
                <w:sz w:val="20"/>
              </w:rPr>
              <w:t>-</w:t>
            </w:r>
          </w:p>
        </w:tc>
        <w:tc>
          <w:tcPr>
            <w:tcW w:w="684" w:type="dxa"/>
          </w:tcPr>
          <w:p>
            <w:pPr>
              <w:pStyle w:val="TableParagraph"/>
              <w:spacing w:line="227" w:lineRule="exact"/>
              <w:ind w:left="68" w:right="16"/>
              <w:jc w:val="center"/>
              <w:rPr>
                <w:sz w:val="20"/>
              </w:rPr>
            </w:pPr>
            <w:r>
              <w:rPr>
                <w:spacing w:val="-10"/>
                <w:sz w:val="20"/>
              </w:rPr>
              <w:t>-</w:t>
            </w:r>
          </w:p>
        </w:tc>
        <w:tc>
          <w:tcPr>
            <w:tcW w:w="799" w:type="dxa"/>
          </w:tcPr>
          <w:p>
            <w:pPr>
              <w:pStyle w:val="TableParagraph"/>
              <w:spacing w:line="227" w:lineRule="exact"/>
              <w:ind w:left="23" w:right="14"/>
              <w:jc w:val="center"/>
              <w:rPr>
                <w:sz w:val="20"/>
              </w:rPr>
            </w:pPr>
            <w:r>
              <w:rPr>
                <w:spacing w:val="-10"/>
                <w:sz w:val="20"/>
              </w:rPr>
              <w:t>-</w:t>
            </w:r>
          </w:p>
        </w:tc>
        <w:tc>
          <w:tcPr>
            <w:tcW w:w="626" w:type="dxa"/>
          </w:tcPr>
          <w:p>
            <w:pPr>
              <w:pStyle w:val="TableParagraph"/>
              <w:spacing w:line="227" w:lineRule="exact"/>
              <w:ind w:left="20" w:right="16"/>
              <w:jc w:val="center"/>
              <w:rPr>
                <w:sz w:val="20"/>
              </w:rPr>
            </w:pPr>
            <w:r>
              <w:rPr>
                <w:spacing w:val="-10"/>
                <w:sz w:val="20"/>
              </w:rPr>
              <w:t>-</w:t>
            </w:r>
          </w:p>
        </w:tc>
        <w:tc>
          <w:tcPr>
            <w:tcW w:w="770" w:type="dxa"/>
          </w:tcPr>
          <w:p>
            <w:pPr>
              <w:pStyle w:val="TableParagraph"/>
              <w:spacing w:line="227" w:lineRule="exact"/>
              <w:ind w:left="42" w:right="13"/>
              <w:jc w:val="center"/>
              <w:rPr>
                <w:sz w:val="20"/>
              </w:rPr>
            </w:pPr>
            <w:r>
              <w:rPr>
                <w:spacing w:val="-10"/>
                <w:sz w:val="20"/>
              </w:rPr>
              <w:t>-</w:t>
            </w:r>
          </w:p>
        </w:tc>
        <w:tc>
          <w:tcPr>
            <w:tcW w:w="691" w:type="dxa"/>
          </w:tcPr>
          <w:p>
            <w:pPr>
              <w:pStyle w:val="TableParagraph"/>
              <w:spacing w:line="227" w:lineRule="exact"/>
              <w:ind w:left="22" w:right="12"/>
              <w:jc w:val="center"/>
              <w:rPr>
                <w:sz w:val="20"/>
              </w:rPr>
            </w:pPr>
            <w:r>
              <w:rPr>
                <w:spacing w:val="-5"/>
                <w:sz w:val="20"/>
              </w:rPr>
              <w:t>23</w:t>
            </w:r>
          </w:p>
        </w:tc>
        <w:tc>
          <w:tcPr>
            <w:tcW w:w="738" w:type="dxa"/>
            <w:tcBorders>
              <w:right w:val="single" w:sz="4" w:space="0" w:color="000000"/>
            </w:tcBorders>
          </w:tcPr>
          <w:p>
            <w:pPr>
              <w:pStyle w:val="TableParagraph"/>
              <w:spacing w:line="227" w:lineRule="exact"/>
              <w:ind w:left="53" w:right="27"/>
              <w:jc w:val="center"/>
              <w:rPr>
                <w:sz w:val="20"/>
              </w:rPr>
            </w:pPr>
            <w:r>
              <w:rPr>
                <w:spacing w:val="-5"/>
                <w:sz w:val="20"/>
              </w:rPr>
              <w:t>5.0</w:t>
            </w:r>
          </w:p>
        </w:tc>
      </w:tr>
      <w:tr>
        <w:trPr>
          <w:trHeight w:val="254" w:hRule="atLeast"/>
        </w:trPr>
        <w:tc>
          <w:tcPr>
            <w:tcW w:w="725" w:type="dxa"/>
            <w:tcBorders>
              <w:left w:val="single" w:sz="4" w:space="0" w:color="000000"/>
            </w:tcBorders>
          </w:tcPr>
          <w:p>
            <w:pPr>
              <w:pStyle w:val="TableParagraph"/>
              <w:spacing w:line="211" w:lineRule="exact" w:before="24"/>
              <w:ind w:left="67" w:right="68"/>
              <w:jc w:val="center"/>
              <w:rPr>
                <w:sz w:val="20"/>
              </w:rPr>
            </w:pPr>
            <w:r>
              <w:rPr>
                <w:spacing w:val="-5"/>
                <w:sz w:val="20"/>
              </w:rPr>
              <w:t>70.</w:t>
            </w:r>
          </w:p>
        </w:tc>
        <w:tc>
          <w:tcPr>
            <w:tcW w:w="3422" w:type="dxa"/>
          </w:tcPr>
          <w:p>
            <w:pPr>
              <w:pStyle w:val="TableParagraph"/>
              <w:spacing w:line="211" w:lineRule="exact" w:before="24"/>
              <w:ind w:left="110"/>
              <w:rPr>
                <w:sz w:val="20"/>
              </w:rPr>
            </w:pPr>
            <w:r>
              <w:rPr>
                <w:sz w:val="20"/>
              </w:rPr>
              <w:t>The</w:t>
            </w:r>
            <w:r>
              <w:rPr>
                <w:spacing w:val="29"/>
                <w:sz w:val="20"/>
              </w:rPr>
              <w:t>  </w:t>
            </w:r>
            <w:r>
              <w:rPr>
                <w:sz w:val="20"/>
              </w:rPr>
              <w:t>introduction</w:t>
            </w:r>
            <w:r>
              <w:rPr>
                <w:spacing w:val="29"/>
                <w:sz w:val="20"/>
              </w:rPr>
              <w:t>  </w:t>
            </w:r>
            <w:r>
              <w:rPr>
                <w:sz w:val="20"/>
              </w:rPr>
              <w:t>of</w:t>
            </w:r>
            <w:r>
              <w:rPr>
                <w:spacing w:val="31"/>
                <w:sz w:val="20"/>
              </w:rPr>
              <w:t>  </w:t>
            </w:r>
            <w:r>
              <w:rPr>
                <w:sz w:val="20"/>
              </w:rPr>
              <w:t>the</w:t>
            </w:r>
            <w:r>
              <w:rPr>
                <w:spacing w:val="27"/>
                <w:sz w:val="20"/>
              </w:rPr>
              <w:t>  </w:t>
            </w:r>
            <w:r>
              <w:rPr>
                <w:spacing w:val="-2"/>
                <w:sz w:val="20"/>
              </w:rPr>
              <w:t>modern</w:t>
            </w:r>
          </w:p>
        </w:tc>
        <w:tc>
          <w:tcPr>
            <w:tcW w:w="1796" w:type="dxa"/>
          </w:tcPr>
          <w:p>
            <w:pPr>
              <w:pStyle w:val="TableParagraph"/>
              <w:spacing w:line="211" w:lineRule="exact" w:before="24"/>
              <w:ind w:left="110"/>
              <w:rPr>
                <w:sz w:val="20"/>
              </w:rPr>
            </w:pPr>
            <w:r>
              <w:rPr>
                <w:sz w:val="20"/>
              </w:rPr>
              <w:t>No.</w:t>
            </w:r>
            <w:r>
              <w:rPr>
                <w:spacing w:val="-5"/>
                <w:sz w:val="20"/>
              </w:rPr>
              <w:t> </w:t>
            </w:r>
            <w:r>
              <w:rPr>
                <w:sz w:val="20"/>
              </w:rPr>
              <w:t>of</w:t>
            </w:r>
            <w:r>
              <w:rPr>
                <w:spacing w:val="-2"/>
                <w:sz w:val="20"/>
              </w:rPr>
              <w:t> missing</w:t>
            </w:r>
          </w:p>
        </w:tc>
        <w:tc>
          <w:tcPr>
            <w:tcW w:w="1482" w:type="dxa"/>
            <w:gridSpan w:val="2"/>
          </w:tcPr>
          <w:p>
            <w:pPr>
              <w:pStyle w:val="TableParagraph"/>
              <w:rPr>
                <w:rFonts w:ascii="Times New Roman"/>
                <w:sz w:val="18"/>
              </w:rPr>
            </w:pPr>
          </w:p>
        </w:tc>
        <w:tc>
          <w:tcPr>
            <w:tcW w:w="1469" w:type="dxa"/>
            <w:gridSpan w:val="2"/>
          </w:tcPr>
          <w:p>
            <w:pPr>
              <w:pStyle w:val="TableParagraph"/>
              <w:rPr>
                <w:rFonts w:ascii="Times New Roman"/>
                <w:sz w:val="18"/>
              </w:rPr>
            </w:pPr>
          </w:p>
        </w:tc>
        <w:tc>
          <w:tcPr>
            <w:tcW w:w="1562" w:type="dxa"/>
            <w:gridSpan w:val="2"/>
          </w:tcPr>
          <w:p>
            <w:pPr>
              <w:pStyle w:val="TableParagraph"/>
              <w:rPr>
                <w:rFonts w:ascii="Times New Roman"/>
                <w:sz w:val="18"/>
              </w:rPr>
            </w:pPr>
          </w:p>
        </w:tc>
        <w:tc>
          <w:tcPr>
            <w:tcW w:w="1483" w:type="dxa"/>
            <w:gridSpan w:val="2"/>
          </w:tcPr>
          <w:p>
            <w:pPr>
              <w:pStyle w:val="TableParagraph"/>
              <w:rPr>
                <w:rFonts w:ascii="Times New Roman"/>
                <w:sz w:val="18"/>
              </w:rPr>
            </w:pPr>
          </w:p>
        </w:tc>
        <w:tc>
          <w:tcPr>
            <w:tcW w:w="1396" w:type="dxa"/>
            <w:gridSpan w:val="2"/>
          </w:tcPr>
          <w:p>
            <w:pPr>
              <w:pStyle w:val="TableParagraph"/>
              <w:rPr>
                <w:rFonts w:ascii="Times New Roman"/>
                <w:sz w:val="18"/>
              </w:rPr>
            </w:pPr>
          </w:p>
        </w:tc>
        <w:tc>
          <w:tcPr>
            <w:tcW w:w="1429" w:type="dxa"/>
            <w:gridSpan w:val="2"/>
            <w:tcBorders>
              <w:right w:val="single" w:sz="4" w:space="0" w:color="000000"/>
            </w:tcBorders>
          </w:tcPr>
          <w:p>
            <w:pPr>
              <w:pStyle w:val="TableParagraph"/>
              <w:rPr>
                <w:rFonts w:ascii="Times New Roman"/>
                <w:sz w:val="18"/>
              </w:rPr>
            </w:pPr>
          </w:p>
        </w:tc>
      </w:tr>
      <w:tr>
        <w:trPr>
          <w:trHeight w:val="228" w:hRule="atLeast"/>
        </w:trPr>
        <w:tc>
          <w:tcPr>
            <w:tcW w:w="725" w:type="dxa"/>
            <w:tcBorders>
              <w:left w:val="single" w:sz="4" w:space="0" w:color="000000"/>
            </w:tcBorders>
          </w:tcPr>
          <w:p>
            <w:pPr>
              <w:pStyle w:val="TableParagraph"/>
              <w:rPr>
                <w:rFonts w:ascii="Times New Roman"/>
                <w:sz w:val="16"/>
              </w:rPr>
            </w:pPr>
          </w:p>
        </w:tc>
        <w:tc>
          <w:tcPr>
            <w:tcW w:w="3422" w:type="dxa"/>
          </w:tcPr>
          <w:p>
            <w:pPr>
              <w:pStyle w:val="TableParagraph"/>
              <w:spacing w:line="208" w:lineRule="exact"/>
              <w:ind w:left="110"/>
              <w:rPr>
                <w:sz w:val="20"/>
              </w:rPr>
            </w:pPr>
            <w:r>
              <w:rPr>
                <w:sz w:val="20"/>
              </w:rPr>
              <w:t>mobile</w:t>
            </w:r>
            <w:r>
              <w:rPr>
                <w:spacing w:val="-10"/>
                <w:sz w:val="20"/>
              </w:rPr>
              <w:t> </w:t>
            </w:r>
            <w:r>
              <w:rPr>
                <w:sz w:val="20"/>
              </w:rPr>
              <w:t>phone</w:t>
            </w:r>
            <w:r>
              <w:rPr>
                <w:spacing w:val="-5"/>
                <w:sz w:val="20"/>
              </w:rPr>
              <w:t> </w:t>
            </w:r>
            <w:r>
              <w:rPr>
                <w:sz w:val="20"/>
              </w:rPr>
              <w:t>technology</w:t>
            </w:r>
            <w:r>
              <w:rPr>
                <w:spacing w:val="-4"/>
                <w:sz w:val="20"/>
              </w:rPr>
              <w:t> </w:t>
            </w:r>
            <w:r>
              <w:rPr>
                <w:sz w:val="20"/>
              </w:rPr>
              <w:t>has</w:t>
            </w:r>
            <w:r>
              <w:rPr>
                <w:spacing w:val="-7"/>
                <w:sz w:val="20"/>
              </w:rPr>
              <w:t> </w:t>
            </w:r>
            <w:r>
              <w:rPr>
                <w:spacing w:val="-4"/>
                <w:sz w:val="20"/>
              </w:rPr>
              <w:t>eased</w:t>
            </w:r>
          </w:p>
        </w:tc>
        <w:tc>
          <w:tcPr>
            <w:tcW w:w="1796" w:type="dxa"/>
          </w:tcPr>
          <w:p>
            <w:pPr>
              <w:pStyle w:val="TableParagraph"/>
              <w:spacing w:line="208" w:lineRule="exact"/>
              <w:ind w:left="110"/>
              <w:rPr>
                <w:sz w:val="20"/>
              </w:rPr>
            </w:pPr>
            <w:r>
              <w:rPr>
                <w:spacing w:val="-2"/>
                <w:sz w:val="20"/>
              </w:rPr>
              <w:t>observations</w:t>
            </w:r>
          </w:p>
        </w:tc>
        <w:tc>
          <w:tcPr>
            <w:tcW w:w="678" w:type="dxa"/>
          </w:tcPr>
          <w:p>
            <w:pPr>
              <w:pStyle w:val="TableParagraph"/>
              <w:spacing w:line="208" w:lineRule="exact"/>
              <w:ind w:left="57"/>
              <w:jc w:val="center"/>
              <w:rPr>
                <w:sz w:val="20"/>
              </w:rPr>
            </w:pPr>
            <w:r>
              <w:rPr>
                <w:spacing w:val="-10"/>
                <w:sz w:val="20"/>
              </w:rPr>
              <w:t>1</w:t>
            </w:r>
          </w:p>
        </w:tc>
        <w:tc>
          <w:tcPr>
            <w:tcW w:w="804" w:type="dxa"/>
          </w:tcPr>
          <w:p>
            <w:pPr>
              <w:pStyle w:val="TableParagraph"/>
              <w:spacing w:line="208" w:lineRule="exact"/>
              <w:ind w:left="112" w:right="97"/>
              <w:jc w:val="center"/>
              <w:rPr>
                <w:sz w:val="20"/>
              </w:rPr>
            </w:pPr>
            <w:r>
              <w:rPr>
                <w:spacing w:val="-4"/>
                <w:sz w:val="20"/>
              </w:rPr>
              <w:t>50.0</w:t>
            </w:r>
          </w:p>
        </w:tc>
        <w:tc>
          <w:tcPr>
            <w:tcW w:w="636" w:type="dxa"/>
          </w:tcPr>
          <w:p>
            <w:pPr>
              <w:pStyle w:val="TableParagraph"/>
              <w:spacing w:line="208" w:lineRule="exact"/>
              <w:ind w:left="15"/>
              <w:jc w:val="center"/>
              <w:rPr>
                <w:sz w:val="20"/>
              </w:rPr>
            </w:pPr>
            <w:r>
              <w:rPr>
                <w:spacing w:val="-10"/>
                <w:sz w:val="20"/>
              </w:rPr>
              <w:t>1</w:t>
            </w:r>
          </w:p>
        </w:tc>
        <w:tc>
          <w:tcPr>
            <w:tcW w:w="833" w:type="dxa"/>
          </w:tcPr>
          <w:p>
            <w:pPr>
              <w:pStyle w:val="TableParagraph"/>
              <w:spacing w:line="208" w:lineRule="exact"/>
              <w:ind w:left="7" w:right="18"/>
              <w:jc w:val="center"/>
              <w:rPr>
                <w:sz w:val="20"/>
              </w:rPr>
            </w:pPr>
            <w:r>
              <w:rPr>
                <w:spacing w:val="-4"/>
                <w:sz w:val="20"/>
              </w:rPr>
              <w:t>50.0</w:t>
            </w:r>
          </w:p>
        </w:tc>
        <w:tc>
          <w:tcPr>
            <w:tcW w:w="660" w:type="dxa"/>
          </w:tcPr>
          <w:p>
            <w:pPr>
              <w:pStyle w:val="TableParagraph"/>
              <w:spacing w:line="208" w:lineRule="exact"/>
              <w:ind w:left="259"/>
              <w:rPr>
                <w:sz w:val="20"/>
              </w:rPr>
            </w:pPr>
            <w:r>
              <w:rPr>
                <w:spacing w:val="-10"/>
                <w:sz w:val="20"/>
              </w:rPr>
              <w:t>-</w:t>
            </w:r>
          </w:p>
        </w:tc>
        <w:tc>
          <w:tcPr>
            <w:tcW w:w="902" w:type="dxa"/>
          </w:tcPr>
          <w:p>
            <w:pPr>
              <w:pStyle w:val="TableParagraph"/>
              <w:spacing w:line="208" w:lineRule="exact"/>
              <w:ind w:left="20" w:right="14"/>
              <w:jc w:val="center"/>
              <w:rPr>
                <w:sz w:val="20"/>
              </w:rPr>
            </w:pPr>
            <w:r>
              <w:rPr>
                <w:spacing w:val="-10"/>
                <w:sz w:val="20"/>
              </w:rPr>
              <w:t>-</w:t>
            </w:r>
          </w:p>
        </w:tc>
        <w:tc>
          <w:tcPr>
            <w:tcW w:w="684" w:type="dxa"/>
          </w:tcPr>
          <w:p>
            <w:pPr>
              <w:pStyle w:val="TableParagraph"/>
              <w:spacing w:line="208" w:lineRule="exact"/>
              <w:ind w:left="68" w:right="16"/>
              <w:jc w:val="center"/>
              <w:rPr>
                <w:sz w:val="20"/>
              </w:rPr>
            </w:pPr>
            <w:r>
              <w:rPr>
                <w:spacing w:val="-10"/>
                <w:sz w:val="20"/>
              </w:rPr>
              <w:t>-</w:t>
            </w:r>
          </w:p>
        </w:tc>
        <w:tc>
          <w:tcPr>
            <w:tcW w:w="799" w:type="dxa"/>
          </w:tcPr>
          <w:p>
            <w:pPr>
              <w:pStyle w:val="TableParagraph"/>
              <w:spacing w:line="208" w:lineRule="exact"/>
              <w:ind w:left="23" w:right="14"/>
              <w:jc w:val="center"/>
              <w:rPr>
                <w:sz w:val="20"/>
              </w:rPr>
            </w:pPr>
            <w:r>
              <w:rPr>
                <w:spacing w:val="-10"/>
                <w:sz w:val="20"/>
              </w:rPr>
              <w:t>-</w:t>
            </w:r>
          </w:p>
        </w:tc>
        <w:tc>
          <w:tcPr>
            <w:tcW w:w="626" w:type="dxa"/>
          </w:tcPr>
          <w:p>
            <w:pPr>
              <w:pStyle w:val="TableParagraph"/>
              <w:spacing w:line="208" w:lineRule="exact"/>
              <w:ind w:left="20" w:right="16"/>
              <w:jc w:val="center"/>
              <w:rPr>
                <w:sz w:val="20"/>
              </w:rPr>
            </w:pPr>
            <w:r>
              <w:rPr>
                <w:spacing w:val="-10"/>
                <w:sz w:val="20"/>
              </w:rPr>
              <w:t>-</w:t>
            </w:r>
          </w:p>
        </w:tc>
        <w:tc>
          <w:tcPr>
            <w:tcW w:w="770" w:type="dxa"/>
          </w:tcPr>
          <w:p>
            <w:pPr>
              <w:pStyle w:val="TableParagraph"/>
              <w:spacing w:line="208" w:lineRule="exact"/>
              <w:ind w:left="42" w:right="13"/>
              <w:jc w:val="center"/>
              <w:rPr>
                <w:sz w:val="20"/>
              </w:rPr>
            </w:pPr>
            <w:r>
              <w:rPr>
                <w:spacing w:val="-10"/>
                <w:sz w:val="20"/>
              </w:rPr>
              <w:t>-</w:t>
            </w:r>
          </w:p>
        </w:tc>
        <w:tc>
          <w:tcPr>
            <w:tcW w:w="691" w:type="dxa"/>
          </w:tcPr>
          <w:p>
            <w:pPr>
              <w:pStyle w:val="TableParagraph"/>
              <w:spacing w:line="208" w:lineRule="exact"/>
              <w:ind w:left="22" w:right="7"/>
              <w:jc w:val="center"/>
              <w:rPr>
                <w:sz w:val="20"/>
              </w:rPr>
            </w:pPr>
            <w:r>
              <w:rPr>
                <w:spacing w:val="-10"/>
                <w:sz w:val="20"/>
              </w:rPr>
              <w:t>2</w:t>
            </w:r>
          </w:p>
        </w:tc>
        <w:tc>
          <w:tcPr>
            <w:tcW w:w="738" w:type="dxa"/>
            <w:tcBorders>
              <w:right w:val="single" w:sz="4" w:space="0" w:color="000000"/>
            </w:tcBorders>
          </w:tcPr>
          <w:p>
            <w:pPr>
              <w:pStyle w:val="TableParagraph"/>
              <w:spacing w:line="208" w:lineRule="exact"/>
              <w:ind w:left="53" w:right="27"/>
              <w:jc w:val="center"/>
              <w:rPr>
                <w:sz w:val="20"/>
              </w:rPr>
            </w:pPr>
            <w:r>
              <w:rPr>
                <w:spacing w:val="-5"/>
                <w:sz w:val="20"/>
              </w:rPr>
              <w:t>0.4</w:t>
            </w:r>
          </w:p>
        </w:tc>
      </w:tr>
      <w:tr>
        <w:trPr>
          <w:trHeight w:val="230" w:hRule="atLeast"/>
        </w:trPr>
        <w:tc>
          <w:tcPr>
            <w:tcW w:w="725" w:type="dxa"/>
            <w:tcBorders>
              <w:left w:val="single" w:sz="4" w:space="0" w:color="000000"/>
            </w:tcBorders>
          </w:tcPr>
          <w:p>
            <w:pPr>
              <w:pStyle w:val="TableParagraph"/>
              <w:rPr>
                <w:rFonts w:ascii="Times New Roman"/>
                <w:sz w:val="16"/>
              </w:rPr>
            </w:pPr>
          </w:p>
        </w:tc>
        <w:tc>
          <w:tcPr>
            <w:tcW w:w="3422" w:type="dxa"/>
          </w:tcPr>
          <w:p>
            <w:pPr>
              <w:pStyle w:val="TableParagraph"/>
              <w:spacing w:line="210" w:lineRule="exact"/>
              <w:ind w:left="110"/>
              <w:rPr>
                <w:sz w:val="20"/>
              </w:rPr>
            </w:pPr>
            <w:r>
              <w:rPr>
                <w:sz w:val="20"/>
              </w:rPr>
              <w:t>a</w:t>
            </w:r>
            <w:r>
              <w:rPr>
                <w:spacing w:val="-2"/>
                <w:sz w:val="20"/>
              </w:rPr>
              <w:t> </w:t>
            </w:r>
            <w:r>
              <w:rPr>
                <w:sz w:val="20"/>
              </w:rPr>
              <w:t>lot</w:t>
            </w:r>
            <w:r>
              <w:rPr>
                <w:spacing w:val="1"/>
                <w:sz w:val="20"/>
              </w:rPr>
              <w:t> </w:t>
            </w:r>
            <w:r>
              <w:rPr>
                <w:sz w:val="20"/>
              </w:rPr>
              <w:t>of</w:t>
            </w:r>
            <w:r>
              <w:rPr>
                <w:spacing w:val="6"/>
                <w:sz w:val="20"/>
              </w:rPr>
              <w:t> </w:t>
            </w:r>
            <w:r>
              <w:rPr>
                <w:sz w:val="20"/>
              </w:rPr>
              <w:t>communication</w:t>
            </w:r>
            <w:r>
              <w:rPr>
                <w:spacing w:val="-2"/>
                <w:sz w:val="20"/>
              </w:rPr>
              <w:t> </w:t>
            </w:r>
            <w:r>
              <w:rPr>
                <w:sz w:val="20"/>
              </w:rPr>
              <w:t>problems</w:t>
            </w:r>
            <w:r>
              <w:rPr>
                <w:spacing w:val="-8"/>
                <w:sz w:val="20"/>
              </w:rPr>
              <w:t> </w:t>
            </w:r>
            <w:r>
              <w:rPr>
                <w:spacing w:val="-5"/>
                <w:sz w:val="20"/>
              </w:rPr>
              <w:t>for</w:t>
            </w:r>
          </w:p>
        </w:tc>
        <w:tc>
          <w:tcPr>
            <w:tcW w:w="1796" w:type="dxa"/>
          </w:tcPr>
          <w:p>
            <w:pPr>
              <w:pStyle w:val="TableParagraph"/>
              <w:spacing w:line="210" w:lineRule="exact"/>
              <w:ind w:left="110"/>
              <w:rPr>
                <w:sz w:val="20"/>
              </w:rPr>
            </w:pPr>
            <w:r>
              <w:rPr>
                <w:spacing w:val="-2"/>
                <w:sz w:val="20"/>
              </w:rPr>
              <w:t>Students</w:t>
            </w:r>
          </w:p>
        </w:tc>
        <w:tc>
          <w:tcPr>
            <w:tcW w:w="678" w:type="dxa"/>
          </w:tcPr>
          <w:p>
            <w:pPr>
              <w:pStyle w:val="TableParagraph"/>
              <w:spacing w:line="210" w:lineRule="exact"/>
              <w:ind w:left="57" w:right="10"/>
              <w:jc w:val="center"/>
              <w:rPr>
                <w:sz w:val="20"/>
              </w:rPr>
            </w:pPr>
            <w:r>
              <w:rPr>
                <w:spacing w:val="-5"/>
                <w:sz w:val="20"/>
              </w:rPr>
              <w:t>154</w:t>
            </w:r>
          </w:p>
        </w:tc>
        <w:tc>
          <w:tcPr>
            <w:tcW w:w="804" w:type="dxa"/>
          </w:tcPr>
          <w:p>
            <w:pPr>
              <w:pStyle w:val="TableParagraph"/>
              <w:spacing w:line="210" w:lineRule="exact"/>
              <w:ind w:left="112" w:right="97"/>
              <w:jc w:val="center"/>
              <w:rPr>
                <w:sz w:val="20"/>
              </w:rPr>
            </w:pPr>
            <w:r>
              <w:rPr>
                <w:spacing w:val="-4"/>
                <w:sz w:val="20"/>
              </w:rPr>
              <w:t>65.5</w:t>
            </w:r>
          </w:p>
        </w:tc>
        <w:tc>
          <w:tcPr>
            <w:tcW w:w="636" w:type="dxa"/>
          </w:tcPr>
          <w:p>
            <w:pPr>
              <w:pStyle w:val="TableParagraph"/>
              <w:spacing w:line="210" w:lineRule="exact"/>
              <w:ind w:left="15" w:right="5"/>
              <w:jc w:val="center"/>
              <w:rPr>
                <w:sz w:val="20"/>
              </w:rPr>
            </w:pPr>
            <w:r>
              <w:rPr>
                <w:spacing w:val="-5"/>
                <w:sz w:val="20"/>
              </w:rPr>
              <w:t>65</w:t>
            </w:r>
          </w:p>
        </w:tc>
        <w:tc>
          <w:tcPr>
            <w:tcW w:w="833" w:type="dxa"/>
          </w:tcPr>
          <w:p>
            <w:pPr>
              <w:pStyle w:val="TableParagraph"/>
              <w:spacing w:line="210" w:lineRule="exact"/>
              <w:ind w:left="7" w:right="18"/>
              <w:jc w:val="center"/>
              <w:rPr>
                <w:sz w:val="20"/>
              </w:rPr>
            </w:pPr>
            <w:r>
              <w:rPr>
                <w:spacing w:val="-4"/>
                <w:sz w:val="20"/>
              </w:rPr>
              <w:t>27.7</w:t>
            </w:r>
          </w:p>
        </w:tc>
        <w:tc>
          <w:tcPr>
            <w:tcW w:w="660" w:type="dxa"/>
          </w:tcPr>
          <w:p>
            <w:pPr>
              <w:pStyle w:val="TableParagraph"/>
              <w:spacing w:line="210" w:lineRule="exact"/>
              <w:ind w:left="182"/>
              <w:rPr>
                <w:sz w:val="20"/>
              </w:rPr>
            </w:pPr>
            <w:r>
              <w:rPr>
                <w:spacing w:val="-5"/>
                <w:sz w:val="20"/>
              </w:rPr>
              <w:t>11</w:t>
            </w:r>
          </w:p>
        </w:tc>
        <w:tc>
          <w:tcPr>
            <w:tcW w:w="902" w:type="dxa"/>
          </w:tcPr>
          <w:p>
            <w:pPr>
              <w:pStyle w:val="TableParagraph"/>
              <w:spacing w:line="210" w:lineRule="exact"/>
              <w:ind w:left="20" w:right="13"/>
              <w:jc w:val="center"/>
              <w:rPr>
                <w:sz w:val="20"/>
              </w:rPr>
            </w:pPr>
            <w:r>
              <w:rPr>
                <w:spacing w:val="-5"/>
                <w:sz w:val="20"/>
              </w:rPr>
              <w:t>4.7</w:t>
            </w:r>
          </w:p>
        </w:tc>
        <w:tc>
          <w:tcPr>
            <w:tcW w:w="684" w:type="dxa"/>
          </w:tcPr>
          <w:p>
            <w:pPr>
              <w:pStyle w:val="TableParagraph"/>
              <w:spacing w:line="210" w:lineRule="exact"/>
              <w:ind w:left="68" w:right="10"/>
              <w:jc w:val="center"/>
              <w:rPr>
                <w:sz w:val="20"/>
              </w:rPr>
            </w:pPr>
            <w:r>
              <w:rPr>
                <w:spacing w:val="-10"/>
                <w:sz w:val="20"/>
              </w:rPr>
              <w:t>4</w:t>
            </w:r>
          </w:p>
        </w:tc>
        <w:tc>
          <w:tcPr>
            <w:tcW w:w="799" w:type="dxa"/>
          </w:tcPr>
          <w:p>
            <w:pPr>
              <w:pStyle w:val="TableParagraph"/>
              <w:spacing w:line="210" w:lineRule="exact"/>
              <w:ind w:left="23" w:right="13"/>
              <w:jc w:val="center"/>
              <w:rPr>
                <w:sz w:val="20"/>
              </w:rPr>
            </w:pPr>
            <w:r>
              <w:rPr>
                <w:spacing w:val="-5"/>
                <w:sz w:val="20"/>
              </w:rPr>
              <w:t>1.7</w:t>
            </w:r>
          </w:p>
        </w:tc>
        <w:tc>
          <w:tcPr>
            <w:tcW w:w="626" w:type="dxa"/>
          </w:tcPr>
          <w:p>
            <w:pPr>
              <w:pStyle w:val="TableParagraph"/>
              <w:spacing w:line="210" w:lineRule="exact"/>
              <w:ind w:left="20" w:right="9"/>
              <w:jc w:val="center"/>
              <w:rPr>
                <w:sz w:val="20"/>
              </w:rPr>
            </w:pPr>
            <w:r>
              <w:rPr>
                <w:spacing w:val="-10"/>
                <w:sz w:val="20"/>
              </w:rPr>
              <w:t>1</w:t>
            </w:r>
          </w:p>
        </w:tc>
        <w:tc>
          <w:tcPr>
            <w:tcW w:w="770" w:type="dxa"/>
          </w:tcPr>
          <w:p>
            <w:pPr>
              <w:pStyle w:val="TableParagraph"/>
              <w:spacing w:line="210" w:lineRule="exact"/>
              <w:ind w:left="42" w:right="11"/>
              <w:jc w:val="center"/>
              <w:rPr>
                <w:sz w:val="20"/>
              </w:rPr>
            </w:pPr>
            <w:r>
              <w:rPr>
                <w:spacing w:val="-5"/>
                <w:sz w:val="20"/>
              </w:rPr>
              <w:t>0.4</w:t>
            </w:r>
          </w:p>
        </w:tc>
        <w:tc>
          <w:tcPr>
            <w:tcW w:w="691" w:type="dxa"/>
          </w:tcPr>
          <w:p>
            <w:pPr>
              <w:pStyle w:val="TableParagraph"/>
              <w:spacing w:line="210" w:lineRule="exact"/>
              <w:ind w:left="22" w:right="17"/>
              <w:jc w:val="center"/>
              <w:rPr>
                <w:sz w:val="20"/>
              </w:rPr>
            </w:pPr>
            <w:r>
              <w:rPr>
                <w:spacing w:val="-5"/>
                <w:sz w:val="20"/>
              </w:rPr>
              <w:t>235</w:t>
            </w:r>
          </w:p>
        </w:tc>
        <w:tc>
          <w:tcPr>
            <w:tcW w:w="738" w:type="dxa"/>
            <w:tcBorders>
              <w:right w:val="single" w:sz="4" w:space="0" w:color="000000"/>
            </w:tcBorders>
          </w:tcPr>
          <w:p>
            <w:pPr>
              <w:pStyle w:val="TableParagraph"/>
              <w:spacing w:line="210" w:lineRule="exact"/>
              <w:ind w:left="53" w:right="22"/>
              <w:jc w:val="center"/>
              <w:rPr>
                <w:sz w:val="20"/>
              </w:rPr>
            </w:pPr>
            <w:r>
              <w:rPr>
                <w:spacing w:val="-4"/>
                <w:sz w:val="20"/>
              </w:rPr>
              <w:t>50.8</w:t>
            </w:r>
          </w:p>
        </w:tc>
      </w:tr>
      <w:tr>
        <w:trPr>
          <w:trHeight w:val="256" w:hRule="atLeast"/>
        </w:trPr>
        <w:tc>
          <w:tcPr>
            <w:tcW w:w="725" w:type="dxa"/>
            <w:tcBorders>
              <w:left w:val="single" w:sz="4" w:space="0" w:color="000000"/>
            </w:tcBorders>
          </w:tcPr>
          <w:p>
            <w:pPr>
              <w:pStyle w:val="TableParagraph"/>
              <w:rPr>
                <w:rFonts w:ascii="Times New Roman"/>
                <w:sz w:val="18"/>
              </w:rPr>
            </w:pPr>
          </w:p>
        </w:tc>
        <w:tc>
          <w:tcPr>
            <w:tcW w:w="3422" w:type="dxa"/>
          </w:tcPr>
          <w:p>
            <w:pPr>
              <w:pStyle w:val="TableParagraph"/>
              <w:spacing w:line="227" w:lineRule="exact"/>
              <w:ind w:left="110"/>
              <w:rPr>
                <w:sz w:val="20"/>
              </w:rPr>
            </w:pPr>
            <w:r>
              <w:rPr>
                <w:sz w:val="20"/>
              </w:rPr>
              <w:t>students</w:t>
            </w:r>
            <w:r>
              <w:rPr>
                <w:spacing w:val="26"/>
                <w:sz w:val="20"/>
              </w:rPr>
              <w:t> </w:t>
            </w:r>
            <w:r>
              <w:rPr>
                <w:sz w:val="20"/>
              </w:rPr>
              <w:t>as</w:t>
            </w:r>
            <w:r>
              <w:rPr>
                <w:spacing w:val="21"/>
                <w:sz w:val="20"/>
              </w:rPr>
              <w:t> </w:t>
            </w:r>
            <w:r>
              <w:rPr>
                <w:sz w:val="20"/>
              </w:rPr>
              <w:t>they</w:t>
            </w:r>
            <w:r>
              <w:rPr>
                <w:spacing w:val="26"/>
                <w:sz w:val="20"/>
              </w:rPr>
              <w:t> </w:t>
            </w:r>
            <w:r>
              <w:rPr>
                <w:sz w:val="20"/>
              </w:rPr>
              <w:t>can</w:t>
            </w:r>
            <w:r>
              <w:rPr>
                <w:spacing w:val="25"/>
                <w:sz w:val="20"/>
              </w:rPr>
              <w:t> </w:t>
            </w:r>
            <w:r>
              <w:rPr>
                <w:spacing w:val="-2"/>
                <w:sz w:val="20"/>
              </w:rPr>
              <w:t>communicate</w:t>
            </w:r>
          </w:p>
        </w:tc>
        <w:tc>
          <w:tcPr>
            <w:tcW w:w="1796" w:type="dxa"/>
          </w:tcPr>
          <w:p>
            <w:pPr>
              <w:pStyle w:val="TableParagraph"/>
              <w:spacing w:line="187" w:lineRule="exact" w:before="50"/>
              <w:ind w:left="110"/>
              <w:rPr>
                <w:sz w:val="20"/>
              </w:rPr>
            </w:pPr>
            <w:r>
              <w:rPr>
                <w:sz w:val="20"/>
              </w:rPr>
              <w:t>Service</w:t>
            </w:r>
            <w:r>
              <w:rPr>
                <w:spacing w:val="-9"/>
                <w:sz w:val="20"/>
              </w:rPr>
              <w:t> </w:t>
            </w:r>
            <w:r>
              <w:rPr>
                <w:spacing w:val="-2"/>
                <w:sz w:val="20"/>
              </w:rPr>
              <w:t>Staff</w:t>
            </w:r>
          </w:p>
        </w:tc>
        <w:tc>
          <w:tcPr>
            <w:tcW w:w="678" w:type="dxa"/>
          </w:tcPr>
          <w:p>
            <w:pPr>
              <w:pStyle w:val="TableParagraph"/>
              <w:spacing w:line="187" w:lineRule="exact" w:before="50"/>
              <w:ind w:left="57" w:right="10"/>
              <w:jc w:val="center"/>
              <w:rPr>
                <w:sz w:val="20"/>
              </w:rPr>
            </w:pPr>
            <w:r>
              <w:rPr>
                <w:spacing w:val="-5"/>
                <w:sz w:val="20"/>
              </w:rPr>
              <w:t>127</w:t>
            </w:r>
          </w:p>
        </w:tc>
        <w:tc>
          <w:tcPr>
            <w:tcW w:w="804" w:type="dxa"/>
          </w:tcPr>
          <w:p>
            <w:pPr>
              <w:pStyle w:val="TableParagraph"/>
              <w:spacing w:line="187" w:lineRule="exact" w:before="50"/>
              <w:ind w:left="112" w:right="97"/>
              <w:jc w:val="center"/>
              <w:rPr>
                <w:sz w:val="20"/>
              </w:rPr>
            </w:pPr>
            <w:r>
              <w:rPr>
                <w:spacing w:val="-4"/>
                <w:sz w:val="20"/>
              </w:rPr>
              <w:t>62.6</w:t>
            </w:r>
          </w:p>
        </w:tc>
        <w:tc>
          <w:tcPr>
            <w:tcW w:w="636" w:type="dxa"/>
          </w:tcPr>
          <w:p>
            <w:pPr>
              <w:pStyle w:val="TableParagraph"/>
              <w:spacing w:line="187" w:lineRule="exact" w:before="50"/>
              <w:ind w:left="15" w:right="5"/>
              <w:jc w:val="center"/>
              <w:rPr>
                <w:sz w:val="20"/>
              </w:rPr>
            </w:pPr>
            <w:r>
              <w:rPr>
                <w:spacing w:val="-5"/>
                <w:sz w:val="20"/>
              </w:rPr>
              <w:t>62</w:t>
            </w:r>
          </w:p>
        </w:tc>
        <w:tc>
          <w:tcPr>
            <w:tcW w:w="833" w:type="dxa"/>
          </w:tcPr>
          <w:p>
            <w:pPr>
              <w:pStyle w:val="TableParagraph"/>
              <w:spacing w:line="187" w:lineRule="exact" w:before="50"/>
              <w:ind w:left="7" w:right="18"/>
              <w:jc w:val="center"/>
              <w:rPr>
                <w:sz w:val="20"/>
              </w:rPr>
            </w:pPr>
            <w:r>
              <w:rPr>
                <w:spacing w:val="-4"/>
                <w:sz w:val="20"/>
              </w:rPr>
              <w:t>30.5</w:t>
            </w:r>
          </w:p>
        </w:tc>
        <w:tc>
          <w:tcPr>
            <w:tcW w:w="660" w:type="dxa"/>
          </w:tcPr>
          <w:p>
            <w:pPr>
              <w:pStyle w:val="TableParagraph"/>
              <w:spacing w:line="187" w:lineRule="exact" w:before="50"/>
              <w:ind w:left="240"/>
              <w:rPr>
                <w:sz w:val="20"/>
              </w:rPr>
            </w:pPr>
            <w:r>
              <w:rPr>
                <w:spacing w:val="-10"/>
                <w:sz w:val="20"/>
              </w:rPr>
              <w:t>8</w:t>
            </w:r>
          </w:p>
        </w:tc>
        <w:tc>
          <w:tcPr>
            <w:tcW w:w="902" w:type="dxa"/>
          </w:tcPr>
          <w:p>
            <w:pPr>
              <w:pStyle w:val="TableParagraph"/>
              <w:spacing w:line="187" w:lineRule="exact" w:before="50"/>
              <w:ind w:left="20" w:right="13"/>
              <w:jc w:val="center"/>
              <w:rPr>
                <w:sz w:val="20"/>
              </w:rPr>
            </w:pPr>
            <w:r>
              <w:rPr>
                <w:spacing w:val="-5"/>
                <w:sz w:val="20"/>
              </w:rPr>
              <w:t>3.9</w:t>
            </w:r>
          </w:p>
        </w:tc>
        <w:tc>
          <w:tcPr>
            <w:tcW w:w="684" w:type="dxa"/>
          </w:tcPr>
          <w:p>
            <w:pPr>
              <w:pStyle w:val="TableParagraph"/>
              <w:spacing w:line="187" w:lineRule="exact" w:before="50"/>
              <w:ind w:left="68" w:right="10"/>
              <w:jc w:val="center"/>
              <w:rPr>
                <w:sz w:val="20"/>
              </w:rPr>
            </w:pPr>
            <w:r>
              <w:rPr>
                <w:spacing w:val="-10"/>
                <w:sz w:val="20"/>
              </w:rPr>
              <w:t>6</w:t>
            </w:r>
          </w:p>
        </w:tc>
        <w:tc>
          <w:tcPr>
            <w:tcW w:w="799" w:type="dxa"/>
          </w:tcPr>
          <w:p>
            <w:pPr>
              <w:pStyle w:val="TableParagraph"/>
              <w:spacing w:line="187" w:lineRule="exact" w:before="50"/>
              <w:ind w:left="23" w:right="13"/>
              <w:jc w:val="center"/>
              <w:rPr>
                <w:sz w:val="20"/>
              </w:rPr>
            </w:pPr>
            <w:r>
              <w:rPr>
                <w:spacing w:val="-5"/>
                <w:sz w:val="20"/>
              </w:rPr>
              <w:t>3.0</w:t>
            </w:r>
          </w:p>
        </w:tc>
        <w:tc>
          <w:tcPr>
            <w:tcW w:w="626" w:type="dxa"/>
          </w:tcPr>
          <w:p>
            <w:pPr>
              <w:pStyle w:val="TableParagraph"/>
              <w:spacing w:line="187" w:lineRule="exact" w:before="50"/>
              <w:ind w:left="20" w:right="16"/>
              <w:jc w:val="center"/>
              <w:rPr>
                <w:sz w:val="20"/>
              </w:rPr>
            </w:pPr>
            <w:r>
              <w:rPr>
                <w:spacing w:val="-10"/>
                <w:sz w:val="20"/>
              </w:rPr>
              <w:t>-</w:t>
            </w:r>
          </w:p>
        </w:tc>
        <w:tc>
          <w:tcPr>
            <w:tcW w:w="770" w:type="dxa"/>
          </w:tcPr>
          <w:p>
            <w:pPr>
              <w:pStyle w:val="TableParagraph"/>
              <w:spacing w:line="187" w:lineRule="exact" w:before="50"/>
              <w:ind w:left="42" w:right="13"/>
              <w:jc w:val="center"/>
              <w:rPr>
                <w:sz w:val="20"/>
              </w:rPr>
            </w:pPr>
            <w:r>
              <w:rPr>
                <w:spacing w:val="-10"/>
                <w:sz w:val="20"/>
              </w:rPr>
              <w:t>-</w:t>
            </w:r>
          </w:p>
        </w:tc>
        <w:tc>
          <w:tcPr>
            <w:tcW w:w="691" w:type="dxa"/>
          </w:tcPr>
          <w:p>
            <w:pPr>
              <w:pStyle w:val="TableParagraph"/>
              <w:spacing w:line="187" w:lineRule="exact" w:before="50"/>
              <w:ind w:left="22" w:right="17"/>
              <w:jc w:val="center"/>
              <w:rPr>
                <w:sz w:val="20"/>
              </w:rPr>
            </w:pPr>
            <w:r>
              <w:rPr>
                <w:spacing w:val="-5"/>
                <w:sz w:val="20"/>
              </w:rPr>
              <w:t>203</w:t>
            </w:r>
          </w:p>
        </w:tc>
        <w:tc>
          <w:tcPr>
            <w:tcW w:w="738" w:type="dxa"/>
            <w:tcBorders>
              <w:right w:val="single" w:sz="4" w:space="0" w:color="000000"/>
            </w:tcBorders>
          </w:tcPr>
          <w:p>
            <w:pPr>
              <w:pStyle w:val="TableParagraph"/>
              <w:spacing w:line="187" w:lineRule="exact" w:before="50"/>
              <w:ind w:left="53" w:right="22"/>
              <w:jc w:val="center"/>
              <w:rPr>
                <w:sz w:val="20"/>
              </w:rPr>
            </w:pPr>
            <w:r>
              <w:rPr>
                <w:spacing w:val="-4"/>
                <w:sz w:val="20"/>
              </w:rPr>
              <w:t>43.8</w:t>
            </w:r>
          </w:p>
        </w:tc>
      </w:tr>
      <w:tr>
        <w:trPr>
          <w:trHeight w:val="230" w:hRule="atLeast"/>
        </w:trPr>
        <w:tc>
          <w:tcPr>
            <w:tcW w:w="725" w:type="dxa"/>
            <w:tcBorders>
              <w:left w:val="single" w:sz="4" w:space="0" w:color="000000"/>
            </w:tcBorders>
          </w:tcPr>
          <w:p>
            <w:pPr>
              <w:pStyle w:val="TableParagraph"/>
              <w:rPr>
                <w:rFonts w:ascii="Times New Roman"/>
                <w:sz w:val="16"/>
              </w:rPr>
            </w:pPr>
          </w:p>
        </w:tc>
        <w:tc>
          <w:tcPr>
            <w:tcW w:w="3422" w:type="dxa"/>
          </w:tcPr>
          <w:p>
            <w:pPr>
              <w:pStyle w:val="TableParagraph"/>
              <w:spacing w:line="201" w:lineRule="exact"/>
              <w:ind w:left="110"/>
              <w:rPr>
                <w:sz w:val="20"/>
              </w:rPr>
            </w:pPr>
            <w:r>
              <w:rPr>
                <w:sz w:val="20"/>
              </w:rPr>
              <w:t>within</w:t>
            </w:r>
            <w:r>
              <w:rPr>
                <w:spacing w:val="29"/>
                <w:sz w:val="20"/>
              </w:rPr>
              <w:t> </w:t>
            </w:r>
            <w:r>
              <w:rPr>
                <w:sz w:val="20"/>
              </w:rPr>
              <w:t>and</w:t>
            </w:r>
            <w:r>
              <w:rPr>
                <w:spacing w:val="30"/>
                <w:sz w:val="20"/>
              </w:rPr>
              <w:t> </w:t>
            </w:r>
            <w:r>
              <w:rPr>
                <w:sz w:val="20"/>
              </w:rPr>
              <w:t>outside</w:t>
            </w:r>
            <w:r>
              <w:rPr>
                <w:spacing w:val="30"/>
                <w:sz w:val="20"/>
              </w:rPr>
              <w:t> </w:t>
            </w:r>
            <w:r>
              <w:rPr>
                <w:sz w:val="20"/>
              </w:rPr>
              <w:t>the</w:t>
            </w:r>
            <w:r>
              <w:rPr>
                <w:spacing w:val="30"/>
                <w:sz w:val="20"/>
              </w:rPr>
              <w:t> </w:t>
            </w:r>
            <w:r>
              <w:rPr>
                <w:sz w:val="20"/>
              </w:rPr>
              <w:t>walls</w:t>
            </w:r>
            <w:r>
              <w:rPr>
                <w:spacing w:val="27"/>
                <w:sz w:val="20"/>
              </w:rPr>
              <w:t> </w:t>
            </w:r>
            <w:r>
              <w:rPr>
                <w:sz w:val="20"/>
              </w:rPr>
              <w:t>of</w:t>
            </w:r>
            <w:r>
              <w:rPr>
                <w:spacing w:val="38"/>
                <w:sz w:val="20"/>
              </w:rPr>
              <w:t> </w:t>
            </w:r>
            <w:r>
              <w:rPr>
                <w:spacing w:val="-5"/>
                <w:sz w:val="20"/>
              </w:rPr>
              <w:t>the</w:t>
            </w:r>
          </w:p>
        </w:tc>
        <w:tc>
          <w:tcPr>
            <w:tcW w:w="1796" w:type="dxa"/>
          </w:tcPr>
          <w:p>
            <w:pPr>
              <w:pStyle w:val="TableParagraph"/>
              <w:spacing w:line="187" w:lineRule="exact" w:before="24"/>
              <w:ind w:left="110"/>
              <w:rPr>
                <w:sz w:val="20"/>
              </w:rPr>
            </w:pPr>
            <w:r>
              <w:rPr>
                <w:sz w:val="20"/>
              </w:rPr>
              <w:t>Top</w:t>
            </w:r>
            <w:r>
              <w:rPr>
                <w:spacing w:val="-1"/>
                <w:sz w:val="20"/>
              </w:rPr>
              <w:t> </w:t>
            </w:r>
            <w:r>
              <w:rPr>
                <w:spacing w:val="-2"/>
                <w:sz w:val="20"/>
              </w:rPr>
              <w:t>Management</w:t>
            </w:r>
          </w:p>
        </w:tc>
        <w:tc>
          <w:tcPr>
            <w:tcW w:w="678" w:type="dxa"/>
          </w:tcPr>
          <w:p>
            <w:pPr>
              <w:pStyle w:val="TableParagraph"/>
              <w:spacing w:line="187" w:lineRule="exact" w:before="24"/>
              <w:ind w:left="57" w:right="5"/>
              <w:jc w:val="center"/>
              <w:rPr>
                <w:sz w:val="20"/>
              </w:rPr>
            </w:pPr>
            <w:r>
              <w:rPr>
                <w:spacing w:val="-5"/>
                <w:sz w:val="20"/>
              </w:rPr>
              <w:t>12</w:t>
            </w:r>
          </w:p>
        </w:tc>
        <w:tc>
          <w:tcPr>
            <w:tcW w:w="804" w:type="dxa"/>
          </w:tcPr>
          <w:p>
            <w:pPr>
              <w:pStyle w:val="TableParagraph"/>
              <w:spacing w:line="187" w:lineRule="exact" w:before="24"/>
              <w:ind w:left="112" w:right="97"/>
              <w:jc w:val="center"/>
              <w:rPr>
                <w:sz w:val="20"/>
              </w:rPr>
            </w:pPr>
            <w:r>
              <w:rPr>
                <w:spacing w:val="-4"/>
                <w:sz w:val="20"/>
              </w:rPr>
              <w:t>52.2</w:t>
            </w:r>
          </w:p>
        </w:tc>
        <w:tc>
          <w:tcPr>
            <w:tcW w:w="636" w:type="dxa"/>
          </w:tcPr>
          <w:p>
            <w:pPr>
              <w:pStyle w:val="TableParagraph"/>
              <w:spacing w:line="187" w:lineRule="exact" w:before="24"/>
              <w:ind w:left="15"/>
              <w:jc w:val="center"/>
              <w:rPr>
                <w:sz w:val="20"/>
              </w:rPr>
            </w:pPr>
            <w:r>
              <w:rPr>
                <w:spacing w:val="-10"/>
                <w:sz w:val="20"/>
              </w:rPr>
              <w:t>9</w:t>
            </w:r>
          </w:p>
        </w:tc>
        <w:tc>
          <w:tcPr>
            <w:tcW w:w="833" w:type="dxa"/>
          </w:tcPr>
          <w:p>
            <w:pPr>
              <w:pStyle w:val="TableParagraph"/>
              <w:spacing w:line="187" w:lineRule="exact" w:before="24"/>
              <w:ind w:left="7" w:right="18"/>
              <w:jc w:val="center"/>
              <w:rPr>
                <w:sz w:val="20"/>
              </w:rPr>
            </w:pPr>
            <w:r>
              <w:rPr>
                <w:spacing w:val="-4"/>
                <w:sz w:val="20"/>
              </w:rPr>
              <w:t>39.1</w:t>
            </w:r>
          </w:p>
        </w:tc>
        <w:tc>
          <w:tcPr>
            <w:tcW w:w="660" w:type="dxa"/>
          </w:tcPr>
          <w:p>
            <w:pPr>
              <w:pStyle w:val="TableParagraph"/>
              <w:spacing w:line="187" w:lineRule="exact" w:before="24"/>
              <w:ind w:left="240"/>
              <w:rPr>
                <w:sz w:val="20"/>
              </w:rPr>
            </w:pPr>
            <w:r>
              <w:rPr>
                <w:spacing w:val="-10"/>
                <w:sz w:val="20"/>
              </w:rPr>
              <w:t>1</w:t>
            </w:r>
          </w:p>
        </w:tc>
        <w:tc>
          <w:tcPr>
            <w:tcW w:w="902" w:type="dxa"/>
          </w:tcPr>
          <w:p>
            <w:pPr>
              <w:pStyle w:val="TableParagraph"/>
              <w:spacing w:line="187" w:lineRule="exact" w:before="24"/>
              <w:ind w:left="20" w:right="13"/>
              <w:jc w:val="center"/>
              <w:rPr>
                <w:sz w:val="20"/>
              </w:rPr>
            </w:pPr>
            <w:r>
              <w:rPr>
                <w:spacing w:val="-5"/>
                <w:sz w:val="20"/>
              </w:rPr>
              <w:t>4.3</w:t>
            </w:r>
          </w:p>
        </w:tc>
        <w:tc>
          <w:tcPr>
            <w:tcW w:w="684" w:type="dxa"/>
          </w:tcPr>
          <w:p>
            <w:pPr>
              <w:pStyle w:val="TableParagraph"/>
              <w:spacing w:line="187" w:lineRule="exact" w:before="24"/>
              <w:ind w:left="68" w:right="10"/>
              <w:jc w:val="center"/>
              <w:rPr>
                <w:sz w:val="20"/>
              </w:rPr>
            </w:pPr>
            <w:r>
              <w:rPr>
                <w:spacing w:val="-10"/>
                <w:sz w:val="20"/>
              </w:rPr>
              <w:t>1</w:t>
            </w:r>
          </w:p>
        </w:tc>
        <w:tc>
          <w:tcPr>
            <w:tcW w:w="799" w:type="dxa"/>
          </w:tcPr>
          <w:p>
            <w:pPr>
              <w:pStyle w:val="TableParagraph"/>
              <w:spacing w:line="187" w:lineRule="exact" w:before="24"/>
              <w:ind w:left="23" w:right="13"/>
              <w:jc w:val="center"/>
              <w:rPr>
                <w:sz w:val="20"/>
              </w:rPr>
            </w:pPr>
            <w:r>
              <w:rPr>
                <w:spacing w:val="-5"/>
                <w:sz w:val="20"/>
              </w:rPr>
              <w:t>4.3</w:t>
            </w:r>
          </w:p>
        </w:tc>
        <w:tc>
          <w:tcPr>
            <w:tcW w:w="626" w:type="dxa"/>
          </w:tcPr>
          <w:p>
            <w:pPr>
              <w:pStyle w:val="TableParagraph"/>
              <w:spacing w:line="187" w:lineRule="exact" w:before="24"/>
              <w:ind w:left="20" w:right="16"/>
              <w:jc w:val="center"/>
              <w:rPr>
                <w:sz w:val="20"/>
              </w:rPr>
            </w:pPr>
            <w:r>
              <w:rPr>
                <w:spacing w:val="-10"/>
                <w:sz w:val="20"/>
              </w:rPr>
              <w:t>-</w:t>
            </w:r>
          </w:p>
        </w:tc>
        <w:tc>
          <w:tcPr>
            <w:tcW w:w="770" w:type="dxa"/>
          </w:tcPr>
          <w:p>
            <w:pPr>
              <w:pStyle w:val="TableParagraph"/>
              <w:spacing w:line="187" w:lineRule="exact" w:before="24"/>
              <w:ind w:left="42" w:right="13"/>
              <w:jc w:val="center"/>
              <w:rPr>
                <w:sz w:val="20"/>
              </w:rPr>
            </w:pPr>
            <w:r>
              <w:rPr>
                <w:spacing w:val="-10"/>
                <w:sz w:val="20"/>
              </w:rPr>
              <w:t>-</w:t>
            </w:r>
          </w:p>
        </w:tc>
        <w:tc>
          <w:tcPr>
            <w:tcW w:w="691" w:type="dxa"/>
          </w:tcPr>
          <w:p>
            <w:pPr>
              <w:pStyle w:val="TableParagraph"/>
              <w:spacing w:line="187" w:lineRule="exact" w:before="24"/>
              <w:ind w:left="22" w:right="12"/>
              <w:jc w:val="center"/>
              <w:rPr>
                <w:sz w:val="20"/>
              </w:rPr>
            </w:pPr>
            <w:r>
              <w:rPr>
                <w:spacing w:val="-5"/>
                <w:sz w:val="20"/>
              </w:rPr>
              <w:t>23</w:t>
            </w:r>
          </w:p>
        </w:tc>
        <w:tc>
          <w:tcPr>
            <w:tcW w:w="738" w:type="dxa"/>
            <w:tcBorders>
              <w:right w:val="single" w:sz="4" w:space="0" w:color="000000"/>
            </w:tcBorders>
          </w:tcPr>
          <w:p>
            <w:pPr>
              <w:pStyle w:val="TableParagraph"/>
              <w:spacing w:line="187" w:lineRule="exact" w:before="24"/>
              <w:ind w:left="53" w:right="27"/>
              <w:jc w:val="center"/>
              <w:rPr>
                <w:sz w:val="20"/>
              </w:rPr>
            </w:pPr>
            <w:r>
              <w:rPr>
                <w:spacing w:val="-5"/>
                <w:sz w:val="20"/>
              </w:rPr>
              <w:t>5.0</w:t>
            </w:r>
          </w:p>
        </w:tc>
      </w:tr>
      <w:tr>
        <w:trPr>
          <w:trHeight w:val="203" w:hRule="atLeast"/>
        </w:trPr>
        <w:tc>
          <w:tcPr>
            <w:tcW w:w="725" w:type="dxa"/>
            <w:tcBorders>
              <w:left w:val="single" w:sz="4" w:space="0" w:color="000000"/>
            </w:tcBorders>
          </w:tcPr>
          <w:p>
            <w:pPr>
              <w:pStyle w:val="TableParagraph"/>
              <w:rPr>
                <w:rFonts w:ascii="Times New Roman"/>
                <w:sz w:val="14"/>
              </w:rPr>
            </w:pPr>
          </w:p>
        </w:tc>
        <w:tc>
          <w:tcPr>
            <w:tcW w:w="3422" w:type="dxa"/>
          </w:tcPr>
          <w:p>
            <w:pPr>
              <w:pStyle w:val="TableParagraph"/>
              <w:spacing w:line="184" w:lineRule="exact"/>
              <w:ind w:left="110"/>
              <w:rPr>
                <w:sz w:val="20"/>
              </w:rPr>
            </w:pPr>
            <w:r>
              <w:rPr>
                <w:sz w:val="20"/>
              </w:rPr>
              <w:t>Universities</w:t>
            </w:r>
            <w:r>
              <w:rPr>
                <w:spacing w:val="-12"/>
                <w:sz w:val="20"/>
              </w:rPr>
              <w:t> </w:t>
            </w:r>
            <w:r>
              <w:rPr>
                <w:spacing w:val="-2"/>
                <w:sz w:val="20"/>
              </w:rPr>
              <w:t>conveniently.</w:t>
            </w:r>
          </w:p>
        </w:tc>
        <w:tc>
          <w:tcPr>
            <w:tcW w:w="1796" w:type="dxa"/>
          </w:tcPr>
          <w:p>
            <w:pPr>
              <w:pStyle w:val="TableParagraph"/>
              <w:rPr>
                <w:rFonts w:ascii="Times New Roman"/>
                <w:sz w:val="14"/>
              </w:rPr>
            </w:pPr>
          </w:p>
        </w:tc>
        <w:tc>
          <w:tcPr>
            <w:tcW w:w="1482" w:type="dxa"/>
            <w:gridSpan w:val="2"/>
          </w:tcPr>
          <w:p>
            <w:pPr>
              <w:pStyle w:val="TableParagraph"/>
              <w:rPr>
                <w:rFonts w:ascii="Times New Roman"/>
                <w:sz w:val="14"/>
              </w:rPr>
            </w:pPr>
          </w:p>
        </w:tc>
        <w:tc>
          <w:tcPr>
            <w:tcW w:w="1469" w:type="dxa"/>
            <w:gridSpan w:val="2"/>
          </w:tcPr>
          <w:p>
            <w:pPr>
              <w:pStyle w:val="TableParagraph"/>
              <w:rPr>
                <w:rFonts w:ascii="Times New Roman"/>
                <w:sz w:val="14"/>
              </w:rPr>
            </w:pPr>
          </w:p>
        </w:tc>
        <w:tc>
          <w:tcPr>
            <w:tcW w:w="1562" w:type="dxa"/>
            <w:gridSpan w:val="2"/>
          </w:tcPr>
          <w:p>
            <w:pPr>
              <w:pStyle w:val="TableParagraph"/>
              <w:rPr>
                <w:rFonts w:ascii="Times New Roman"/>
                <w:sz w:val="14"/>
              </w:rPr>
            </w:pPr>
          </w:p>
        </w:tc>
        <w:tc>
          <w:tcPr>
            <w:tcW w:w="1483" w:type="dxa"/>
            <w:gridSpan w:val="2"/>
          </w:tcPr>
          <w:p>
            <w:pPr>
              <w:pStyle w:val="TableParagraph"/>
              <w:rPr>
                <w:rFonts w:ascii="Times New Roman"/>
                <w:sz w:val="14"/>
              </w:rPr>
            </w:pPr>
          </w:p>
        </w:tc>
        <w:tc>
          <w:tcPr>
            <w:tcW w:w="1396" w:type="dxa"/>
            <w:gridSpan w:val="2"/>
          </w:tcPr>
          <w:p>
            <w:pPr>
              <w:pStyle w:val="TableParagraph"/>
              <w:rPr>
                <w:rFonts w:ascii="Times New Roman"/>
                <w:sz w:val="14"/>
              </w:rPr>
            </w:pPr>
          </w:p>
        </w:tc>
        <w:tc>
          <w:tcPr>
            <w:tcW w:w="1429" w:type="dxa"/>
            <w:gridSpan w:val="2"/>
            <w:tcBorders>
              <w:right w:val="single" w:sz="4" w:space="0" w:color="000000"/>
            </w:tcBorders>
          </w:tcPr>
          <w:p>
            <w:pPr>
              <w:pStyle w:val="TableParagraph"/>
              <w:rPr>
                <w:rFonts w:ascii="Times New Roman"/>
                <w:sz w:val="14"/>
              </w:rPr>
            </w:pPr>
          </w:p>
        </w:tc>
      </w:tr>
      <w:tr>
        <w:trPr>
          <w:trHeight w:val="230" w:hRule="atLeast"/>
        </w:trPr>
        <w:tc>
          <w:tcPr>
            <w:tcW w:w="725" w:type="dxa"/>
            <w:tcBorders>
              <w:left w:val="single" w:sz="4" w:space="0" w:color="000000"/>
            </w:tcBorders>
          </w:tcPr>
          <w:p>
            <w:pPr>
              <w:pStyle w:val="TableParagraph"/>
              <w:spacing w:line="210" w:lineRule="exact"/>
              <w:ind w:left="67" w:right="68"/>
              <w:jc w:val="center"/>
              <w:rPr>
                <w:sz w:val="20"/>
              </w:rPr>
            </w:pPr>
            <w:r>
              <w:rPr>
                <w:spacing w:val="-5"/>
                <w:sz w:val="20"/>
              </w:rPr>
              <w:t>71.</w:t>
            </w:r>
          </w:p>
        </w:tc>
        <w:tc>
          <w:tcPr>
            <w:tcW w:w="3422" w:type="dxa"/>
          </w:tcPr>
          <w:p>
            <w:pPr>
              <w:pStyle w:val="TableParagraph"/>
              <w:spacing w:line="210" w:lineRule="exact"/>
              <w:ind w:left="110"/>
              <w:rPr>
                <w:sz w:val="20"/>
              </w:rPr>
            </w:pPr>
            <w:r>
              <w:rPr>
                <w:sz w:val="20"/>
              </w:rPr>
              <w:t>The</w:t>
            </w:r>
            <w:r>
              <w:rPr>
                <w:spacing w:val="3"/>
                <w:sz w:val="20"/>
              </w:rPr>
              <w:t> </w:t>
            </w:r>
            <w:r>
              <w:rPr>
                <w:sz w:val="20"/>
              </w:rPr>
              <w:t>invention</w:t>
            </w:r>
            <w:r>
              <w:rPr>
                <w:spacing w:val="3"/>
                <w:sz w:val="20"/>
              </w:rPr>
              <w:t> </w:t>
            </w:r>
            <w:r>
              <w:rPr>
                <w:sz w:val="20"/>
              </w:rPr>
              <w:t>of</w:t>
            </w:r>
            <w:r>
              <w:rPr>
                <w:spacing w:val="2"/>
                <w:sz w:val="20"/>
              </w:rPr>
              <w:t> </w:t>
            </w:r>
            <w:r>
              <w:rPr>
                <w:sz w:val="20"/>
              </w:rPr>
              <w:t>mobile</w:t>
            </w:r>
            <w:r>
              <w:rPr>
                <w:spacing w:val="3"/>
                <w:sz w:val="20"/>
              </w:rPr>
              <w:t> </w:t>
            </w:r>
            <w:r>
              <w:rPr>
                <w:sz w:val="20"/>
              </w:rPr>
              <w:t>phones</w:t>
            </w:r>
            <w:r>
              <w:rPr>
                <w:spacing w:val="1"/>
                <w:sz w:val="20"/>
              </w:rPr>
              <w:t> </w:t>
            </w:r>
            <w:r>
              <w:rPr>
                <w:spacing w:val="-5"/>
                <w:sz w:val="20"/>
              </w:rPr>
              <w:t>has</w:t>
            </w:r>
          </w:p>
        </w:tc>
        <w:tc>
          <w:tcPr>
            <w:tcW w:w="1796" w:type="dxa"/>
          </w:tcPr>
          <w:p>
            <w:pPr>
              <w:pStyle w:val="TableParagraph"/>
              <w:spacing w:line="210" w:lineRule="exact"/>
              <w:ind w:left="110"/>
              <w:rPr>
                <w:sz w:val="20"/>
              </w:rPr>
            </w:pPr>
            <w:r>
              <w:rPr>
                <w:sz w:val="20"/>
              </w:rPr>
              <w:t>No.</w:t>
            </w:r>
            <w:r>
              <w:rPr>
                <w:spacing w:val="-5"/>
                <w:sz w:val="20"/>
              </w:rPr>
              <w:t> </w:t>
            </w:r>
            <w:r>
              <w:rPr>
                <w:sz w:val="20"/>
              </w:rPr>
              <w:t>of</w:t>
            </w:r>
            <w:r>
              <w:rPr>
                <w:spacing w:val="-2"/>
                <w:sz w:val="20"/>
              </w:rPr>
              <w:t> missing</w:t>
            </w:r>
          </w:p>
        </w:tc>
        <w:tc>
          <w:tcPr>
            <w:tcW w:w="1482" w:type="dxa"/>
            <w:gridSpan w:val="2"/>
          </w:tcPr>
          <w:p>
            <w:pPr>
              <w:pStyle w:val="TableParagraph"/>
              <w:rPr>
                <w:rFonts w:ascii="Times New Roman"/>
                <w:sz w:val="16"/>
              </w:rPr>
            </w:pPr>
          </w:p>
        </w:tc>
        <w:tc>
          <w:tcPr>
            <w:tcW w:w="1469" w:type="dxa"/>
            <w:gridSpan w:val="2"/>
          </w:tcPr>
          <w:p>
            <w:pPr>
              <w:pStyle w:val="TableParagraph"/>
              <w:rPr>
                <w:rFonts w:ascii="Times New Roman"/>
                <w:sz w:val="16"/>
              </w:rPr>
            </w:pPr>
          </w:p>
        </w:tc>
        <w:tc>
          <w:tcPr>
            <w:tcW w:w="1562" w:type="dxa"/>
            <w:gridSpan w:val="2"/>
          </w:tcPr>
          <w:p>
            <w:pPr>
              <w:pStyle w:val="TableParagraph"/>
              <w:rPr>
                <w:rFonts w:ascii="Times New Roman"/>
                <w:sz w:val="16"/>
              </w:rPr>
            </w:pPr>
          </w:p>
        </w:tc>
        <w:tc>
          <w:tcPr>
            <w:tcW w:w="1483" w:type="dxa"/>
            <w:gridSpan w:val="2"/>
          </w:tcPr>
          <w:p>
            <w:pPr>
              <w:pStyle w:val="TableParagraph"/>
              <w:rPr>
                <w:rFonts w:ascii="Times New Roman"/>
                <w:sz w:val="16"/>
              </w:rPr>
            </w:pPr>
          </w:p>
        </w:tc>
        <w:tc>
          <w:tcPr>
            <w:tcW w:w="1396" w:type="dxa"/>
            <w:gridSpan w:val="2"/>
          </w:tcPr>
          <w:p>
            <w:pPr>
              <w:pStyle w:val="TableParagraph"/>
              <w:rPr>
                <w:rFonts w:ascii="Times New Roman"/>
                <w:sz w:val="16"/>
              </w:rPr>
            </w:pPr>
          </w:p>
        </w:tc>
        <w:tc>
          <w:tcPr>
            <w:tcW w:w="1429" w:type="dxa"/>
            <w:gridSpan w:val="2"/>
            <w:tcBorders>
              <w:right w:val="single" w:sz="4" w:space="0" w:color="000000"/>
            </w:tcBorders>
          </w:tcPr>
          <w:p>
            <w:pPr>
              <w:pStyle w:val="TableParagraph"/>
              <w:rPr>
                <w:rFonts w:ascii="Times New Roman"/>
                <w:sz w:val="16"/>
              </w:rPr>
            </w:pPr>
          </w:p>
        </w:tc>
      </w:tr>
      <w:tr>
        <w:trPr>
          <w:trHeight w:val="230" w:hRule="atLeast"/>
        </w:trPr>
        <w:tc>
          <w:tcPr>
            <w:tcW w:w="725" w:type="dxa"/>
            <w:tcBorders>
              <w:left w:val="single" w:sz="4" w:space="0" w:color="000000"/>
            </w:tcBorders>
          </w:tcPr>
          <w:p>
            <w:pPr>
              <w:pStyle w:val="TableParagraph"/>
              <w:rPr>
                <w:rFonts w:ascii="Times New Roman"/>
                <w:sz w:val="16"/>
              </w:rPr>
            </w:pPr>
          </w:p>
        </w:tc>
        <w:tc>
          <w:tcPr>
            <w:tcW w:w="3422" w:type="dxa"/>
          </w:tcPr>
          <w:p>
            <w:pPr>
              <w:pStyle w:val="TableParagraph"/>
              <w:spacing w:line="210" w:lineRule="exact"/>
              <w:ind w:left="110"/>
              <w:rPr>
                <w:sz w:val="20"/>
              </w:rPr>
            </w:pPr>
            <w:r>
              <w:rPr>
                <w:sz w:val="20"/>
              </w:rPr>
              <w:t>brought</w:t>
            </w:r>
            <w:r>
              <w:rPr>
                <w:spacing w:val="52"/>
                <w:w w:val="150"/>
                <w:sz w:val="20"/>
              </w:rPr>
              <w:t> </w:t>
            </w:r>
            <w:r>
              <w:rPr>
                <w:sz w:val="20"/>
              </w:rPr>
              <w:t>with</w:t>
            </w:r>
            <w:r>
              <w:rPr>
                <w:spacing w:val="78"/>
                <w:sz w:val="20"/>
              </w:rPr>
              <w:t> </w:t>
            </w:r>
            <w:r>
              <w:rPr>
                <w:sz w:val="20"/>
              </w:rPr>
              <w:t>it</w:t>
            </w:r>
            <w:r>
              <w:rPr>
                <w:spacing w:val="75"/>
                <w:sz w:val="20"/>
              </w:rPr>
              <w:t> </w:t>
            </w:r>
            <w:r>
              <w:rPr>
                <w:sz w:val="20"/>
              </w:rPr>
              <w:t>more</w:t>
            </w:r>
            <w:r>
              <w:rPr>
                <w:spacing w:val="78"/>
                <w:sz w:val="20"/>
              </w:rPr>
              <w:t> </w:t>
            </w:r>
            <w:r>
              <w:rPr>
                <w:sz w:val="20"/>
              </w:rPr>
              <w:t>havoc</w:t>
            </w:r>
            <w:r>
              <w:rPr>
                <w:spacing w:val="75"/>
                <w:sz w:val="20"/>
              </w:rPr>
              <w:t> </w:t>
            </w:r>
            <w:r>
              <w:rPr>
                <w:spacing w:val="-4"/>
                <w:sz w:val="20"/>
              </w:rPr>
              <w:t>than</w:t>
            </w:r>
          </w:p>
        </w:tc>
        <w:tc>
          <w:tcPr>
            <w:tcW w:w="1796" w:type="dxa"/>
          </w:tcPr>
          <w:p>
            <w:pPr>
              <w:pStyle w:val="TableParagraph"/>
              <w:spacing w:line="210" w:lineRule="exact"/>
              <w:ind w:left="110"/>
              <w:rPr>
                <w:sz w:val="20"/>
              </w:rPr>
            </w:pPr>
            <w:r>
              <w:rPr>
                <w:spacing w:val="-2"/>
                <w:sz w:val="20"/>
              </w:rPr>
              <w:t>observations</w:t>
            </w:r>
          </w:p>
        </w:tc>
        <w:tc>
          <w:tcPr>
            <w:tcW w:w="678" w:type="dxa"/>
          </w:tcPr>
          <w:p>
            <w:pPr>
              <w:pStyle w:val="TableParagraph"/>
              <w:spacing w:line="210" w:lineRule="exact"/>
              <w:ind w:left="57" w:right="7"/>
              <w:jc w:val="center"/>
              <w:rPr>
                <w:sz w:val="20"/>
              </w:rPr>
            </w:pPr>
            <w:r>
              <w:rPr>
                <w:spacing w:val="-10"/>
                <w:sz w:val="20"/>
              </w:rPr>
              <w:t>-</w:t>
            </w:r>
          </w:p>
        </w:tc>
        <w:tc>
          <w:tcPr>
            <w:tcW w:w="804" w:type="dxa"/>
          </w:tcPr>
          <w:p>
            <w:pPr>
              <w:pStyle w:val="TableParagraph"/>
              <w:spacing w:line="210" w:lineRule="exact"/>
              <w:ind w:left="105" w:right="97"/>
              <w:jc w:val="center"/>
              <w:rPr>
                <w:sz w:val="20"/>
              </w:rPr>
            </w:pPr>
            <w:r>
              <w:rPr>
                <w:spacing w:val="-10"/>
                <w:sz w:val="20"/>
              </w:rPr>
              <w:t>-</w:t>
            </w:r>
          </w:p>
        </w:tc>
        <w:tc>
          <w:tcPr>
            <w:tcW w:w="636" w:type="dxa"/>
          </w:tcPr>
          <w:p>
            <w:pPr>
              <w:pStyle w:val="TableParagraph"/>
              <w:spacing w:line="210" w:lineRule="exact"/>
              <w:ind w:left="15"/>
              <w:jc w:val="center"/>
              <w:rPr>
                <w:sz w:val="20"/>
              </w:rPr>
            </w:pPr>
            <w:r>
              <w:rPr>
                <w:spacing w:val="-10"/>
                <w:sz w:val="20"/>
              </w:rPr>
              <w:t>2</w:t>
            </w:r>
          </w:p>
        </w:tc>
        <w:tc>
          <w:tcPr>
            <w:tcW w:w="833" w:type="dxa"/>
          </w:tcPr>
          <w:p>
            <w:pPr>
              <w:pStyle w:val="TableParagraph"/>
              <w:spacing w:line="210" w:lineRule="exact"/>
              <w:ind w:left="2" w:right="18"/>
              <w:jc w:val="center"/>
              <w:rPr>
                <w:sz w:val="20"/>
              </w:rPr>
            </w:pPr>
            <w:r>
              <w:rPr>
                <w:spacing w:val="-2"/>
                <w:sz w:val="20"/>
              </w:rPr>
              <w:t>100.0</w:t>
            </w:r>
          </w:p>
        </w:tc>
        <w:tc>
          <w:tcPr>
            <w:tcW w:w="660" w:type="dxa"/>
          </w:tcPr>
          <w:p>
            <w:pPr>
              <w:pStyle w:val="TableParagraph"/>
              <w:spacing w:line="210" w:lineRule="exact"/>
              <w:ind w:left="259"/>
              <w:rPr>
                <w:sz w:val="20"/>
              </w:rPr>
            </w:pPr>
            <w:r>
              <w:rPr>
                <w:spacing w:val="-10"/>
                <w:sz w:val="20"/>
              </w:rPr>
              <w:t>-</w:t>
            </w:r>
          </w:p>
        </w:tc>
        <w:tc>
          <w:tcPr>
            <w:tcW w:w="902" w:type="dxa"/>
          </w:tcPr>
          <w:p>
            <w:pPr>
              <w:pStyle w:val="TableParagraph"/>
              <w:spacing w:line="210" w:lineRule="exact"/>
              <w:ind w:left="20" w:right="14"/>
              <w:jc w:val="center"/>
              <w:rPr>
                <w:sz w:val="20"/>
              </w:rPr>
            </w:pPr>
            <w:r>
              <w:rPr>
                <w:spacing w:val="-10"/>
                <w:sz w:val="20"/>
              </w:rPr>
              <w:t>-</w:t>
            </w:r>
          </w:p>
        </w:tc>
        <w:tc>
          <w:tcPr>
            <w:tcW w:w="684" w:type="dxa"/>
          </w:tcPr>
          <w:p>
            <w:pPr>
              <w:pStyle w:val="TableParagraph"/>
              <w:spacing w:line="210" w:lineRule="exact"/>
              <w:ind w:left="68" w:right="16"/>
              <w:jc w:val="center"/>
              <w:rPr>
                <w:sz w:val="20"/>
              </w:rPr>
            </w:pPr>
            <w:r>
              <w:rPr>
                <w:spacing w:val="-10"/>
                <w:sz w:val="20"/>
              </w:rPr>
              <w:t>-</w:t>
            </w:r>
          </w:p>
        </w:tc>
        <w:tc>
          <w:tcPr>
            <w:tcW w:w="799" w:type="dxa"/>
          </w:tcPr>
          <w:p>
            <w:pPr>
              <w:pStyle w:val="TableParagraph"/>
              <w:spacing w:line="210" w:lineRule="exact"/>
              <w:ind w:left="23" w:right="14"/>
              <w:jc w:val="center"/>
              <w:rPr>
                <w:sz w:val="20"/>
              </w:rPr>
            </w:pPr>
            <w:r>
              <w:rPr>
                <w:spacing w:val="-10"/>
                <w:sz w:val="20"/>
              </w:rPr>
              <w:t>-</w:t>
            </w:r>
          </w:p>
        </w:tc>
        <w:tc>
          <w:tcPr>
            <w:tcW w:w="626" w:type="dxa"/>
          </w:tcPr>
          <w:p>
            <w:pPr>
              <w:pStyle w:val="TableParagraph"/>
              <w:spacing w:line="210" w:lineRule="exact"/>
              <w:ind w:left="20" w:right="16"/>
              <w:jc w:val="center"/>
              <w:rPr>
                <w:sz w:val="20"/>
              </w:rPr>
            </w:pPr>
            <w:r>
              <w:rPr>
                <w:spacing w:val="-10"/>
                <w:sz w:val="20"/>
              </w:rPr>
              <w:t>-</w:t>
            </w:r>
          </w:p>
        </w:tc>
        <w:tc>
          <w:tcPr>
            <w:tcW w:w="770" w:type="dxa"/>
          </w:tcPr>
          <w:p>
            <w:pPr>
              <w:pStyle w:val="TableParagraph"/>
              <w:spacing w:line="210" w:lineRule="exact"/>
              <w:ind w:left="42" w:right="13"/>
              <w:jc w:val="center"/>
              <w:rPr>
                <w:sz w:val="20"/>
              </w:rPr>
            </w:pPr>
            <w:r>
              <w:rPr>
                <w:spacing w:val="-10"/>
                <w:sz w:val="20"/>
              </w:rPr>
              <w:t>-</w:t>
            </w:r>
          </w:p>
        </w:tc>
        <w:tc>
          <w:tcPr>
            <w:tcW w:w="691" w:type="dxa"/>
          </w:tcPr>
          <w:p>
            <w:pPr>
              <w:pStyle w:val="TableParagraph"/>
              <w:spacing w:line="210" w:lineRule="exact"/>
              <w:ind w:left="22" w:right="7"/>
              <w:jc w:val="center"/>
              <w:rPr>
                <w:sz w:val="20"/>
              </w:rPr>
            </w:pPr>
            <w:r>
              <w:rPr>
                <w:spacing w:val="-10"/>
                <w:sz w:val="20"/>
              </w:rPr>
              <w:t>2</w:t>
            </w:r>
          </w:p>
        </w:tc>
        <w:tc>
          <w:tcPr>
            <w:tcW w:w="738" w:type="dxa"/>
            <w:tcBorders>
              <w:right w:val="single" w:sz="4" w:space="0" w:color="000000"/>
            </w:tcBorders>
          </w:tcPr>
          <w:p>
            <w:pPr>
              <w:pStyle w:val="TableParagraph"/>
              <w:spacing w:line="210" w:lineRule="exact"/>
              <w:ind w:left="53" w:right="27"/>
              <w:jc w:val="center"/>
              <w:rPr>
                <w:sz w:val="20"/>
              </w:rPr>
            </w:pPr>
            <w:r>
              <w:rPr>
                <w:spacing w:val="-5"/>
                <w:sz w:val="20"/>
              </w:rPr>
              <w:t>0.4</w:t>
            </w:r>
          </w:p>
        </w:tc>
      </w:tr>
      <w:tr>
        <w:trPr>
          <w:trHeight w:val="230" w:hRule="atLeast"/>
        </w:trPr>
        <w:tc>
          <w:tcPr>
            <w:tcW w:w="725" w:type="dxa"/>
            <w:tcBorders>
              <w:left w:val="single" w:sz="4" w:space="0" w:color="000000"/>
            </w:tcBorders>
          </w:tcPr>
          <w:p>
            <w:pPr>
              <w:pStyle w:val="TableParagraph"/>
              <w:rPr>
                <w:rFonts w:ascii="Times New Roman"/>
                <w:sz w:val="16"/>
              </w:rPr>
            </w:pPr>
          </w:p>
        </w:tc>
        <w:tc>
          <w:tcPr>
            <w:tcW w:w="3422" w:type="dxa"/>
          </w:tcPr>
          <w:p>
            <w:pPr>
              <w:pStyle w:val="TableParagraph"/>
              <w:spacing w:line="210" w:lineRule="exact"/>
              <w:ind w:left="110"/>
              <w:rPr>
                <w:sz w:val="20"/>
              </w:rPr>
            </w:pPr>
            <w:r>
              <w:rPr>
                <w:sz w:val="20"/>
              </w:rPr>
              <w:t>good</w:t>
            </w:r>
            <w:r>
              <w:rPr>
                <w:spacing w:val="-1"/>
                <w:sz w:val="20"/>
              </w:rPr>
              <w:t> </w:t>
            </w:r>
            <w:r>
              <w:rPr>
                <w:sz w:val="20"/>
              </w:rPr>
              <w:t>as</w:t>
            </w:r>
            <w:r>
              <w:rPr>
                <w:spacing w:val="2"/>
                <w:sz w:val="20"/>
              </w:rPr>
              <w:t> </w:t>
            </w:r>
            <w:r>
              <w:rPr>
                <w:sz w:val="20"/>
              </w:rPr>
              <w:t>students</w:t>
            </w:r>
            <w:r>
              <w:rPr>
                <w:spacing w:val="-3"/>
                <w:sz w:val="20"/>
              </w:rPr>
              <w:t> </w:t>
            </w:r>
            <w:r>
              <w:rPr>
                <w:sz w:val="20"/>
              </w:rPr>
              <w:t>spend most</w:t>
            </w:r>
            <w:r>
              <w:rPr>
                <w:spacing w:val="3"/>
                <w:sz w:val="20"/>
              </w:rPr>
              <w:t> </w:t>
            </w:r>
            <w:r>
              <w:rPr>
                <w:sz w:val="20"/>
              </w:rPr>
              <w:t>of</w:t>
            </w:r>
            <w:r>
              <w:rPr>
                <w:spacing w:val="4"/>
                <w:sz w:val="20"/>
              </w:rPr>
              <w:t> </w:t>
            </w:r>
            <w:r>
              <w:rPr>
                <w:spacing w:val="-5"/>
                <w:sz w:val="20"/>
              </w:rPr>
              <w:t>the</w:t>
            </w:r>
          </w:p>
        </w:tc>
        <w:tc>
          <w:tcPr>
            <w:tcW w:w="1796" w:type="dxa"/>
          </w:tcPr>
          <w:p>
            <w:pPr>
              <w:pStyle w:val="TableParagraph"/>
              <w:spacing w:line="210" w:lineRule="exact"/>
              <w:ind w:left="110"/>
              <w:rPr>
                <w:sz w:val="20"/>
              </w:rPr>
            </w:pPr>
            <w:r>
              <w:rPr>
                <w:spacing w:val="-2"/>
                <w:sz w:val="20"/>
              </w:rPr>
              <w:t>Students</w:t>
            </w:r>
          </w:p>
        </w:tc>
        <w:tc>
          <w:tcPr>
            <w:tcW w:w="678" w:type="dxa"/>
          </w:tcPr>
          <w:p>
            <w:pPr>
              <w:pStyle w:val="TableParagraph"/>
              <w:spacing w:line="210" w:lineRule="exact"/>
              <w:ind w:left="57" w:right="5"/>
              <w:jc w:val="center"/>
              <w:rPr>
                <w:sz w:val="20"/>
              </w:rPr>
            </w:pPr>
            <w:r>
              <w:rPr>
                <w:spacing w:val="-5"/>
                <w:sz w:val="20"/>
              </w:rPr>
              <w:t>91</w:t>
            </w:r>
          </w:p>
        </w:tc>
        <w:tc>
          <w:tcPr>
            <w:tcW w:w="804" w:type="dxa"/>
          </w:tcPr>
          <w:p>
            <w:pPr>
              <w:pStyle w:val="TableParagraph"/>
              <w:spacing w:line="210" w:lineRule="exact"/>
              <w:ind w:left="15" w:right="112"/>
              <w:jc w:val="center"/>
              <w:rPr>
                <w:sz w:val="20"/>
              </w:rPr>
            </w:pPr>
            <w:r>
              <w:rPr>
                <w:spacing w:val="-4"/>
                <w:sz w:val="20"/>
              </w:rPr>
              <w:t>38.7</w:t>
            </w:r>
          </w:p>
        </w:tc>
        <w:tc>
          <w:tcPr>
            <w:tcW w:w="636" w:type="dxa"/>
          </w:tcPr>
          <w:p>
            <w:pPr>
              <w:pStyle w:val="TableParagraph"/>
              <w:spacing w:line="210" w:lineRule="exact"/>
              <w:ind w:left="15" w:right="5"/>
              <w:jc w:val="center"/>
              <w:rPr>
                <w:sz w:val="20"/>
              </w:rPr>
            </w:pPr>
            <w:r>
              <w:rPr>
                <w:spacing w:val="-5"/>
                <w:sz w:val="20"/>
              </w:rPr>
              <w:t>99</w:t>
            </w:r>
          </w:p>
        </w:tc>
        <w:tc>
          <w:tcPr>
            <w:tcW w:w="833" w:type="dxa"/>
          </w:tcPr>
          <w:p>
            <w:pPr>
              <w:pStyle w:val="TableParagraph"/>
              <w:spacing w:line="210" w:lineRule="exact"/>
              <w:ind w:left="7" w:right="18"/>
              <w:jc w:val="center"/>
              <w:rPr>
                <w:sz w:val="20"/>
              </w:rPr>
            </w:pPr>
            <w:r>
              <w:rPr>
                <w:spacing w:val="-4"/>
                <w:sz w:val="20"/>
              </w:rPr>
              <w:t>42.1</w:t>
            </w:r>
          </w:p>
        </w:tc>
        <w:tc>
          <w:tcPr>
            <w:tcW w:w="660" w:type="dxa"/>
          </w:tcPr>
          <w:p>
            <w:pPr>
              <w:pStyle w:val="TableParagraph"/>
              <w:spacing w:line="210" w:lineRule="exact"/>
              <w:ind w:left="182"/>
              <w:rPr>
                <w:sz w:val="20"/>
              </w:rPr>
            </w:pPr>
            <w:r>
              <w:rPr>
                <w:spacing w:val="-5"/>
                <w:sz w:val="20"/>
              </w:rPr>
              <w:t>23</w:t>
            </w:r>
          </w:p>
        </w:tc>
        <w:tc>
          <w:tcPr>
            <w:tcW w:w="902" w:type="dxa"/>
          </w:tcPr>
          <w:p>
            <w:pPr>
              <w:pStyle w:val="TableParagraph"/>
              <w:spacing w:line="210" w:lineRule="exact"/>
              <w:ind w:left="20" w:right="13"/>
              <w:jc w:val="center"/>
              <w:rPr>
                <w:sz w:val="20"/>
              </w:rPr>
            </w:pPr>
            <w:r>
              <w:rPr>
                <w:spacing w:val="-5"/>
                <w:sz w:val="20"/>
              </w:rPr>
              <w:t>9.8</w:t>
            </w:r>
          </w:p>
        </w:tc>
        <w:tc>
          <w:tcPr>
            <w:tcW w:w="684" w:type="dxa"/>
          </w:tcPr>
          <w:p>
            <w:pPr>
              <w:pStyle w:val="TableParagraph"/>
              <w:spacing w:line="210" w:lineRule="exact"/>
              <w:ind w:left="68" w:right="14"/>
              <w:jc w:val="center"/>
              <w:rPr>
                <w:sz w:val="20"/>
              </w:rPr>
            </w:pPr>
            <w:r>
              <w:rPr>
                <w:spacing w:val="-5"/>
                <w:sz w:val="20"/>
              </w:rPr>
              <w:t>17</w:t>
            </w:r>
          </w:p>
        </w:tc>
        <w:tc>
          <w:tcPr>
            <w:tcW w:w="799" w:type="dxa"/>
          </w:tcPr>
          <w:p>
            <w:pPr>
              <w:pStyle w:val="TableParagraph"/>
              <w:spacing w:line="210" w:lineRule="exact"/>
              <w:ind w:left="23" w:right="13"/>
              <w:jc w:val="center"/>
              <w:rPr>
                <w:sz w:val="20"/>
              </w:rPr>
            </w:pPr>
            <w:r>
              <w:rPr>
                <w:spacing w:val="-5"/>
                <w:sz w:val="20"/>
              </w:rPr>
              <w:t>7.2</w:t>
            </w:r>
          </w:p>
        </w:tc>
        <w:tc>
          <w:tcPr>
            <w:tcW w:w="626" w:type="dxa"/>
          </w:tcPr>
          <w:p>
            <w:pPr>
              <w:pStyle w:val="TableParagraph"/>
              <w:spacing w:line="210" w:lineRule="exact"/>
              <w:ind w:left="20" w:right="9"/>
              <w:jc w:val="center"/>
              <w:rPr>
                <w:sz w:val="20"/>
              </w:rPr>
            </w:pPr>
            <w:r>
              <w:rPr>
                <w:spacing w:val="-10"/>
                <w:sz w:val="20"/>
              </w:rPr>
              <w:t>5</w:t>
            </w:r>
          </w:p>
        </w:tc>
        <w:tc>
          <w:tcPr>
            <w:tcW w:w="770" w:type="dxa"/>
          </w:tcPr>
          <w:p>
            <w:pPr>
              <w:pStyle w:val="TableParagraph"/>
              <w:spacing w:line="210" w:lineRule="exact"/>
              <w:ind w:left="42" w:right="11"/>
              <w:jc w:val="center"/>
              <w:rPr>
                <w:sz w:val="20"/>
              </w:rPr>
            </w:pPr>
            <w:r>
              <w:rPr>
                <w:spacing w:val="-5"/>
                <w:sz w:val="20"/>
              </w:rPr>
              <w:t>2.1</w:t>
            </w:r>
          </w:p>
        </w:tc>
        <w:tc>
          <w:tcPr>
            <w:tcW w:w="691" w:type="dxa"/>
          </w:tcPr>
          <w:p>
            <w:pPr>
              <w:pStyle w:val="TableParagraph"/>
              <w:spacing w:line="210" w:lineRule="exact"/>
              <w:ind w:left="22" w:right="17"/>
              <w:jc w:val="center"/>
              <w:rPr>
                <w:sz w:val="20"/>
              </w:rPr>
            </w:pPr>
            <w:r>
              <w:rPr>
                <w:spacing w:val="-5"/>
                <w:sz w:val="20"/>
              </w:rPr>
              <w:t>235</w:t>
            </w:r>
          </w:p>
        </w:tc>
        <w:tc>
          <w:tcPr>
            <w:tcW w:w="738" w:type="dxa"/>
            <w:tcBorders>
              <w:right w:val="single" w:sz="4" w:space="0" w:color="000000"/>
            </w:tcBorders>
          </w:tcPr>
          <w:p>
            <w:pPr>
              <w:pStyle w:val="TableParagraph"/>
              <w:spacing w:line="210" w:lineRule="exact"/>
              <w:ind w:left="53" w:right="22"/>
              <w:jc w:val="center"/>
              <w:rPr>
                <w:sz w:val="20"/>
              </w:rPr>
            </w:pPr>
            <w:r>
              <w:rPr>
                <w:spacing w:val="-4"/>
                <w:sz w:val="20"/>
              </w:rPr>
              <w:t>50.8</w:t>
            </w:r>
          </w:p>
        </w:tc>
      </w:tr>
      <w:tr>
        <w:trPr>
          <w:trHeight w:val="235" w:hRule="atLeast"/>
        </w:trPr>
        <w:tc>
          <w:tcPr>
            <w:tcW w:w="725" w:type="dxa"/>
            <w:tcBorders>
              <w:left w:val="single" w:sz="4" w:space="0" w:color="000000"/>
            </w:tcBorders>
          </w:tcPr>
          <w:p>
            <w:pPr>
              <w:pStyle w:val="TableParagraph"/>
              <w:rPr>
                <w:rFonts w:ascii="Times New Roman"/>
                <w:sz w:val="16"/>
              </w:rPr>
            </w:pPr>
          </w:p>
        </w:tc>
        <w:tc>
          <w:tcPr>
            <w:tcW w:w="3422" w:type="dxa"/>
          </w:tcPr>
          <w:p>
            <w:pPr>
              <w:pStyle w:val="TableParagraph"/>
              <w:spacing w:line="215" w:lineRule="exact"/>
              <w:ind w:left="110"/>
              <w:rPr>
                <w:sz w:val="20"/>
              </w:rPr>
            </w:pPr>
            <w:r>
              <w:rPr>
                <w:sz w:val="20"/>
              </w:rPr>
              <w:t>time</w:t>
            </w:r>
            <w:r>
              <w:rPr>
                <w:spacing w:val="38"/>
                <w:sz w:val="20"/>
              </w:rPr>
              <w:t> </w:t>
            </w:r>
            <w:r>
              <w:rPr>
                <w:sz w:val="20"/>
              </w:rPr>
              <w:t>meant</w:t>
            </w:r>
            <w:r>
              <w:rPr>
                <w:spacing w:val="43"/>
                <w:sz w:val="20"/>
              </w:rPr>
              <w:t> </w:t>
            </w:r>
            <w:r>
              <w:rPr>
                <w:sz w:val="20"/>
              </w:rPr>
              <w:t>for</w:t>
            </w:r>
            <w:r>
              <w:rPr>
                <w:spacing w:val="46"/>
                <w:sz w:val="20"/>
              </w:rPr>
              <w:t> </w:t>
            </w:r>
            <w:r>
              <w:rPr>
                <w:sz w:val="20"/>
              </w:rPr>
              <w:t>academic</w:t>
            </w:r>
            <w:r>
              <w:rPr>
                <w:spacing w:val="46"/>
                <w:sz w:val="20"/>
              </w:rPr>
              <w:t> </w:t>
            </w:r>
            <w:r>
              <w:rPr>
                <w:sz w:val="20"/>
              </w:rPr>
              <w:t>work</w:t>
            </w:r>
            <w:r>
              <w:rPr>
                <w:spacing w:val="46"/>
                <w:sz w:val="20"/>
              </w:rPr>
              <w:t> </w:t>
            </w:r>
            <w:r>
              <w:rPr>
                <w:spacing w:val="-5"/>
                <w:sz w:val="20"/>
              </w:rPr>
              <w:t>on</w:t>
            </w:r>
          </w:p>
        </w:tc>
        <w:tc>
          <w:tcPr>
            <w:tcW w:w="1796" w:type="dxa"/>
          </w:tcPr>
          <w:p>
            <w:pPr>
              <w:pStyle w:val="TableParagraph"/>
              <w:spacing w:line="208" w:lineRule="exact" w:before="7"/>
              <w:ind w:left="110"/>
              <w:rPr>
                <w:sz w:val="20"/>
              </w:rPr>
            </w:pPr>
            <w:r>
              <w:rPr>
                <w:sz w:val="20"/>
              </w:rPr>
              <w:t>Service</w:t>
            </w:r>
            <w:r>
              <w:rPr>
                <w:spacing w:val="-9"/>
                <w:sz w:val="20"/>
              </w:rPr>
              <w:t> </w:t>
            </w:r>
            <w:r>
              <w:rPr>
                <w:spacing w:val="-2"/>
                <w:sz w:val="20"/>
              </w:rPr>
              <w:t>Staff</w:t>
            </w:r>
          </w:p>
        </w:tc>
        <w:tc>
          <w:tcPr>
            <w:tcW w:w="678" w:type="dxa"/>
          </w:tcPr>
          <w:p>
            <w:pPr>
              <w:pStyle w:val="TableParagraph"/>
              <w:spacing w:line="208" w:lineRule="exact" w:before="7"/>
              <w:ind w:left="57" w:right="5"/>
              <w:jc w:val="center"/>
              <w:rPr>
                <w:sz w:val="20"/>
              </w:rPr>
            </w:pPr>
            <w:r>
              <w:rPr>
                <w:spacing w:val="-5"/>
                <w:sz w:val="20"/>
              </w:rPr>
              <w:t>54</w:t>
            </w:r>
          </w:p>
        </w:tc>
        <w:tc>
          <w:tcPr>
            <w:tcW w:w="804" w:type="dxa"/>
          </w:tcPr>
          <w:p>
            <w:pPr>
              <w:pStyle w:val="TableParagraph"/>
              <w:spacing w:line="208" w:lineRule="exact" w:before="7"/>
              <w:ind w:left="112" w:right="97"/>
              <w:jc w:val="center"/>
              <w:rPr>
                <w:sz w:val="20"/>
              </w:rPr>
            </w:pPr>
            <w:r>
              <w:rPr>
                <w:spacing w:val="-4"/>
                <w:sz w:val="20"/>
              </w:rPr>
              <w:t>26.6</w:t>
            </w:r>
          </w:p>
        </w:tc>
        <w:tc>
          <w:tcPr>
            <w:tcW w:w="636" w:type="dxa"/>
          </w:tcPr>
          <w:p>
            <w:pPr>
              <w:pStyle w:val="TableParagraph"/>
              <w:spacing w:line="208" w:lineRule="exact" w:before="7"/>
              <w:ind w:left="15" w:right="5"/>
              <w:jc w:val="center"/>
              <w:rPr>
                <w:sz w:val="20"/>
              </w:rPr>
            </w:pPr>
            <w:r>
              <w:rPr>
                <w:spacing w:val="-5"/>
                <w:sz w:val="20"/>
              </w:rPr>
              <w:t>95</w:t>
            </w:r>
          </w:p>
        </w:tc>
        <w:tc>
          <w:tcPr>
            <w:tcW w:w="833" w:type="dxa"/>
          </w:tcPr>
          <w:p>
            <w:pPr>
              <w:pStyle w:val="TableParagraph"/>
              <w:spacing w:line="208" w:lineRule="exact" w:before="7"/>
              <w:ind w:left="7" w:right="18"/>
              <w:jc w:val="center"/>
              <w:rPr>
                <w:sz w:val="20"/>
              </w:rPr>
            </w:pPr>
            <w:r>
              <w:rPr>
                <w:spacing w:val="-4"/>
                <w:sz w:val="20"/>
              </w:rPr>
              <w:t>46.8</w:t>
            </w:r>
          </w:p>
        </w:tc>
        <w:tc>
          <w:tcPr>
            <w:tcW w:w="660" w:type="dxa"/>
          </w:tcPr>
          <w:p>
            <w:pPr>
              <w:pStyle w:val="TableParagraph"/>
              <w:spacing w:line="208" w:lineRule="exact" w:before="7"/>
              <w:ind w:left="182"/>
              <w:rPr>
                <w:sz w:val="20"/>
              </w:rPr>
            </w:pPr>
            <w:r>
              <w:rPr>
                <w:spacing w:val="-5"/>
                <w:sz w:val="20"/>
              </w:rPr>
              <w:t>27</w:t>
            </w:r>
          </w:p>
        </w:tc>
        <w:tc>
          <w:tcPr>
            <w:tcW w:w="902" w:type="dxa"/>
          </w:tcPr>
          <w:p>
            <w:pPr>
              <w:pStyle w:val="TableParagraph"/>
              <w:spacing w:line="208" w:lineRule="exact" w:before="7"/>
              <w:ind w:left="20" w:right="8"/>
              <w:jc w:val="center"/>
              <w:rPr>
                <w:sz w:val="20"/>
              </w:rPr>
            </w:pPr>
            <w:r>
              <w:rPr>
                <w:spacing w:val="-4"/>
                <w:sz w:val="20"/>
              </w:rPr>
              <w:t>13.3</w:t>
            </w:r>
          </w:p>
        </w:tc>
        <w:tc>
          <w:tcPr>
            <w:tcW w:w="684" w:type="dxa"/>
          </w:tcPr>
          <w:p>
            <w:pPr>
              <w:pStyle w:val="TableParagraph"/>
              <w:spacing w:line="208" w:lineRule="exact" w:before="7"/>
              <w:ind w:left="68" w:right="14"/>
              <w:jc w:val="center"/>
              <w:rPr>
                <w:sz w:val="20"/>
              </w:rPr>
            </w:pPr>
            <w:r>
              <w:rPr>
                <w:spacing w:val="-5"/>
                <w:sz w:val="20"/>
              </w:rPr>
              <w:t>22</w:t>
            </w:r>
          </w:p>
        </w:tc>
        <w:tc>
          <w:tcPr>
            <w:tcW w:w="799" w:type="dxa"/>
          </w:tcPr>
          <w:p>
            <w:pPr>
              <w:pStyle w:val="TableParagraph"/>
              <w:spacing w:line="208" w:lineRule="exact" w:before="7"/>
              <w:ind w:left="23" w:right="8"/>
              <w:jc w:val="center"/>
              <w:rPr>
                <w:sz w:val="20"/>
              </w:rPr>
            </w:pPr>
            <w:r>
              <w:rPr>
                <w:spacing w:val="-4"/>
                <w:sz w:val="20"/>
              </w:rPr>
              <w:t>10.8</w:t>
            </w:r>
          </w:p>
        </w:tc>
        <w:tc>
          <w:tcPr>
            <w:tcW w:w="626" w:type="dxa"/>
          </w:tcPr>
          <w:p>
            <w:pPr>
              <w:pStyle w:val="TableParagraph"/>
              <w:spacing w:line="208" w:lineRule="exact" w:before="7"/>
              <w:ind w:left="20" w:right="9"/>
              <w:jc w:val="center"/>
              <w:rPr>
                <w:sz w:val="20"/>
              </w:rPr>
            </w:pPr>
            <w:r>
              <w:rPr>
                <w:spacing w:val="-10"/>
                <w:sz w:val="20"/>
              </w:rPr>
              <w:t>5</w:t>
            </w:r>
          </w:p>
        </w:tc>
        <w:tc>
          <w:tcPr>
            <w:tcW w:w="770" w:type="dxa"/>
          </w:tcPr>
          <w:p>
            <w:pPr>
              <w:pStyle w:val="TableParagraph"/>
              <w:spacing w:line="208" w:lineRule="exact" w:before="7"/>
              <w:ind w:left="42" w:right="11"/>
              <w:jc w:val="center"/>
              <w:rPr>
                <w:sz w:val="20"/>
              </w:rPr>
            </w:pPr>
            <w:r>
              <w:rPr>
                <w:spacing w:val="-5"/>
                <w:sz w:val="20"/>
              </w:rPr>
              <w:t>2.5</w:t>
            </w:r>
          </w:p>
        </w:tc>
        <w:tc>
          <w:tcPr>
            <w:tcW w:w="691" w:type="dxa"/>
          </w:tcPr>
          <w:p>
            <w:pPr>
              <w:pStyle w:val="TableParagraph"/>
              <w:spacing w:line="208" w:lineRule="exact" w:before="7"/>
              <w:ind w:left="22" w:right="17"/>
              <w:jc w:val="center"/>
              <w:rPr>
                <w:sz w:val="20"/>
              </w:rPr>
            </w:pPr>
            <w:r>
              <w:rPr>
                <w:spacing w:val="-5"/>
                <w:sz w:val="20"/>
              </w:rPr>
              <w:t>203</w:t>
            </w:r>
          </w:p>
        </w:tc>
        <w:tc>
          <w:tcPr>
            <w:tcW w:w="738" w:type="dxa"/>
            <w:tcBorders>
              <w:right w:val="single" w:sz="4" w:space="0" w:color="000000"/>
            </w:tcBorders>
          </w:tcPr>
          <w:p>
            <w:pPr>
              <w:pStyle w:val="TableParagraph"/>
              <w:spacing w:line="208" w:lineRule="exact" w:before="7"/>
              <w:ind w:left="53" w:right="22"/>
              <w:jc w:val="center"/>
              <w:rPr>
                <w:sz w:val="20"/>
              </w:rPr>
            </w:pPr>
            <w:r>
              <w:rPr>
                <w:spacing w:val="-4"/>
                <w:sz w:val="20"/>
              </w:rPr>
              <w:t>43.8</w:t>
            </w:r>
          </w:p>
        </w:tc>
      </w:tr>
      <w:tr>
        <w:trPr>
          <w:trHeight w:val="235" w:hRule="atLeast"/>
        </w:trPr>
        <w:tc>
          <w:tcPr>
            <w:tcW w:w="725" w:type="dxa"/>
            <w:tcBorders>
              <w:left w:val="single" w:sz="4" w:space="0" w:color="000000"/>
            </w:tcBorders>
          </w:tcPr>
          <w:p>
            <w:pPr>
              <w:pStyle w:val="TableParagraph"/>
              <w:rPr>
                <w:rFonts w:ascii="Times New Roman"/>
                <w:sz w:val="16"/>
              </w:rPr>
            </w:pPr>
          </w:p>
        </w:tc>
        <w:tc>
          <w:tcPr>
            <w:tcW w:w="3422" w:type="dxa"/>
          </w:tcPr>
          <w:p>
            <w:pPr>
              <w:pStyle w:val="TableParagraph"/>
              <w:spacing w:line="215" w:lineRule="exact"/>
              <w:ind w:left="110"/>
              <w:rPr>
                <w:sz w:val="20"/>
              </w:rPr>
            </w:pPr>
            <w:r>
              <w:rPr>
                <w:sz w:val="20"/>
              </w:rPr>
              <w:t>the</w:t>
            </w:r>
            <w:r>
              <w:rPr>
                <w:spacing w:val="-5"/>
                <w:sz w:val="20"/>
              </w:rPr>
              <w:t> </w:t>
            </w:r>
            <w:r>
              <w:rPr>
                <w:sz w:val="20"/>
              </w:rPr>
              <w:t>phone</w:t>
            </w:r>
            <w:r>
              <w:rPr>
                <w:spacing w:val="-4"/>
                <w:sz w:val="20"/>
              </w:rPr>
              <w:t> </w:t>
            </w:r>
            <w:r>
              <w:rPr>
                <w:spacing w:val="-2"/>
                <w:sz w:val="20"/>
              </w:rPr>
              <w:t>talking.</w:t>
            </w:r>
          </w:p>
        </w:tc>
        <w:tc>
          <w:tcPr>
            <w:tcW w:w="1796" w:type="dxa"/>
          </w:tcPr>
          <w:p>
            <w:pPr>
              <w:pStyle w:val="TableParagraph"/>
              <w:spacing w:line="213" w:lineRule="exact" w:before="2"/>
              <w:ind w:left="110"/>
              <w:rPr>
                <w:sz w:val="20"/>
              </w:rPr>
            </w:pPr>
            <w:r>
              <w:rPr>
                <w:sz w:val="20"/>
              </w:rPr>
              <w:t>Top</w:t>
            </w:r>
            <w:r>
              <w:rPr>
                <w:spacing w:val="-1"/>
                <w:sz w:val="20"/>
              </w:rPr>
              <w:t> </w:t>
            </w:r>
            <w:r>
              <w:rPr>
                <w:spacing w:val="-2"/>
                <w:sz w:val="20"/>
              </w:rPr>
              <w:t>Management</w:t>
            </w:r>
          </w:p>
        </w:tc>
        <w:tc>
          <w:tcPr>
            <w:tcW w:w="678" w:type="dxa"/>
          </w:tcPr>
          <w:p>
            <w:pPr>
              <w:pStyle w:val="TableParagraph"/>
              <w:spacing w:line="213" w:lineRule="exact" w:before="2"/>
              <w:ind w:left="57" w:right="5"/>
              <w:jc w:val="center"/>
              <w:rPr>
                <w:sz w:val="20"/>
              </w:rPr>
            </w:pPr>
            <w:r>
              <w:rPr>
                <w:spacing w:val="-5"/>
                <w:sz w:val="20"/>
              </w:rPr>
              <w:t>10</w:t>
            </w:r>
          </w:p>
        </w:tc>
        <w:tc>
          <w:tcPr>
            <w:tcW w:w="804" w:type="dxa"/>
          </w:tcPr>
          <w:p>
            <w:pPr>
              <w:pStyle w:val="TableParagraph"/>
              <w:spacing w:line="213" w:lineRule="exact" w:before="2"/>
              <w:ind w:left="112" w:right="97"/>
              <w:jc w:val="center"/>
              <w:rPr>
                <w:sz w:val="20"/>
              </w:rPr>
            </w:pPr>
            <w:r>
              <w:rPr>
                <w:spacing w:val="-4"/>
                <w:sz w:val="20"/>
              </w:rPr>
              <w:t>43.5</w:t>
            </w:r>
          </w:p>
        </w:tc>
        <w:tc>
          <w:tcPr>
            <w:tcW w:w="636" w:type="dxa"/>
          </w:tcPr>
          <w:p>
            <w:pPr>
              <w:pStyle w:val="TableParagraph"/>
              <w:spacing w:line="213" w:lineRule="exact" w:before="2"/>
              <w:ind w:left="15"/>
              <w:jc w:val="center"/>
              <w:rPr>
                <w:sz w:val="20"/>
              </w:rPr>
            </w:pPr>
            <w:r>
              <w:rPr>
                <w:spacing w:val="-10"/>
                <w:sz w:val="20"/>
              </w:rPr>
              <w:t>7</w:t>
            </w:r>
          </w:p>
        </w:tc>
        <w:tc>
          <w:tcPr>
            <w:tcW w:w="833" w:type="dxa"/>
          </w:tcPr>
          <w:p>
            <w:pPr>
              <w:pStyle w:val="TableParagraph"/>
              <w:spacing w:line="213" w:lineRule="exact" w:before="2"/>
              <w:ind w:left="7" w:right="18"/>
              <w:jc w:val="center"/>
              <w:rPr>
                <w:sz w:val="20"/>
              </w:rPr>
            </w:pPr>
            <w:r>
              <w:rPr>
                <w:spacing w:val="-4"/>
                <w:sz w:val="20"/>
              </w:rPr>
              <w:t>30.4</w:t>
            </w:r>
          </w:p>
        </w:tc>
        <w:tc>
          <w:tcPr>
            <w:tcW w:w="660" w:type="dxa"/>
          </w:tcPr>
          <w:p>
            <w:pPr>
              <w:pStyle w:val="TableParagraph"/>
              <w:spacing w:line="213" w:lineRule="exact" w:before="2"/>
              <w:ind w:left="240"/>
              <w:rPr>
                <w:sz w:val="20"/>
              </w:rPr>
            </w:pPr>
            <w:r>
              <w:rPr>
                <w:spacing w:val="-10"/>
                <w:sz w:val="20"/>
              </w:rPr>
              <w:t>2</w:t>
            </w:r>
          </w:p>
        </w:tc>
        <w:tc>
          <w:tcPr>
            <w:tcW w:w="902" w:type="dxa"/>
          </w:tcPr>
          <w:p>
            <w:pPr>
              <w:pStyle w:val="TableParagraph"/>
              <w:spacing w:line="213" w:lineRule="exact" w:before="2"/>
              <w:ind w:left="20" w:right="13"/>
              <w:jc w:val="center"/>
              <w:rPr>
                <w:sz w:val="20"/>
              </w:rPr>
            </w:pPr>
            <w:r>
              <w:rPr>
                <w:spacing w:val="-5"/>
                <w:sz w:val="20"/>
              </w:rPr>
              <w:t>8.7</w:t>
            </w:r>
          </w:p>
        </w:tc>
        <w:tc>
          <w:tcPr>
            <w:tcW w:w="684" w:type="dxa"/>
          </w:tcPr>
          <w:p>
            <w:pPr>
              <w:pStyle w:val="TableParagraph"/>
              <w:spacing w:line="213" w:lineRule="exact" w:before="2"/>
              <w:ind w:left="68" w:right="10"/>
              <w:jc w:val="center"/>
              <w:rPr>
                <w:sz w:val="20"/>
              </w:rPr>
            </w:pPr>
            <w:r>
              <w:rPr>
                <w:spacing w:val="-10"/>
                <w:sz w:val="20"/>
              </w:rPr>
              <w:t>4</w:t>
            </w:r>
          </w:p>
        </w:tc>
        <w:tc>
          <w:tcPr>
            <w:tcW w:w="799" w:type="dxa"/>
          </w:tcPr>
          <w:p>
            <w:pPr>
              <w:pStyle w:val="TableParagraph"/>
              <w:spacing w:line="213" w:lineRule="exact" w:before="2"/>
              <w:ind w:left="23" w:right="8"/>
              <w:jc w:val="center"/>
              <w:rPr>
                <w:sz w:val="20"/>
              </w:rPr>
            </w:pPr>
            <w:r>
              <w:rPr>
                <w:spacing w:val="-4"/>
                <w:sz w:val="20"/>
              </w:rPr>
              <w:t>17.4</w:t>
            </w:r>
          </w:p>
        </w:tc>
        <w:tc>
          <w:tcPr>
            <w:tcW w:w="626" w:type="dxa"/>
          </w:tcPr>
          <w:p>
            <w:pPr>
              <w:pStyle w:val="TableParagraph"/>
              <w:spacing w:line="213" w:lineRule="exact" w:before="2"/>
              <w:ind w:left="20" w:right="16"/>
              <w:jc w:val="center"/>
              <w:rPr>
                <w:sz w:val="20"/>
              </w:rPr>
            </w:pPr>
            <w:r>
              <w:rPr>
                <w:spacing w:val="-10"/>
                <w:sz w:val="20"/>
              </w:rPr>
              <w:t>-</w:t>
            </w:r>
          </w:p>
        </w:tc>
        <w:tc>
          <w:tcPr>
            <w:tcW w:w="770" w:type="dxa"/>
          </w:tcPr>
          <w:p>
            <w:pPr>
              <w:pStyle w:val="TableParagraph"/>
              <w:spacing w:line="213" w:lineRule="exact" w:before="2"/>
              <w:ind w:left="42" w:right="13"/>
              <w:jc w:val="center"/>
              <w:rPr>
                <w:sz w:val="20"/>
              </w:rPr>
            </w:pPr>
            <w:r>
              <w:rPr>
                <w:spacing w:val="-10"/>
                <w:sz w:val="20"/>
              </w:rPr>
              <w:t>-</w:t>
            </w:r>
          </w:p>
        </w:tc>
        <w:tc>
          <w:tcPr>
            <w:tcW w:w="691" w:type="dxa"/>
          </w:tcPr>
          <w:p>
            <w:pPr>
              <w:pStyle w:val="TableParagraph"/>
              <w:spacing w:line="213" w:lineRule="exact" w:before="2"/>
              <w:ind w:left="22" w:right="12"/>
              <w:jc w:val="center"/>
              <w:rPr>
                <w:sz w:val="20"/>
              </w:rPr>
            </w:pPr>
            <w:r>
              <w:rPr>
                <w:spacing w:val="-5"/>
                <w:sz w:val="20"/>
              </w:rPr>
              <w:t>23</w:t>
            </w:r>
          </w:p>
        </w:tc>
        <w:tc>
          <w:tcPr>
            <w:tcW w:w="738" w:type="dxa"/>
            <w:tcBorders>
              <w:right w:val="single" w:sz="4" w:space="0" w:color="000000"/>
            </w:tcBorders>
          </w:tcPr>
          <w:p>
            <w:pPr>
              <w:pStyle w:val="TableParagraph"/>
              <w:spacing w:line="213" w:lineRule="exact" w:before="2"/>
              <w:ind w:left="53" w:right="27"/>
              <w:jc w:val="center"/>
              <w:rPr>
                <w:sz w:val="20"/>
              </w:rPr>
            </w:pPr>
            <w:r>
              <w:rPr>
                <w:spacing w:val="-5"/>
                <w:sz w:val="20"/>
              </w:rPr>
              <w:t>5.0</w:t>
            </w:r>
          </w:p>
        </w:tc>
      </w:tr>
      <w:tr>
        <w:trPr>
          <w:trHeight w:val="230" w:hRule="atLeast"/>
        </w:trPr>
        <w:tc>
          <w:tcPr>
            <w:tcW w:w="725" w:type="dxa"/>
            <w:tcBorders>
              <w:left w:val="single" w:sz="4" w:space="0" w:color="000000"/>
            </w:tcBorders>
          </w:tcPr>
          <w:p>
            <w:pPr>
              <w:pStyle w:val="TableParagraph"/>
              <w:spacing w:line="210" w:lineRule="exact"/>
              <w:ind w:left="67" w:right="68"/>
              <w:jc w:val="center"/>
              <w:rPr>
                <w:sz w:val="20"/>
              </w:rPr>
            </w:pPr>
            <w:r>
              <w:rPr>
                <w:spacing w:val="-5"/>
                <w:sz w:val="20"/>
              </w:rPr>
              <w:t>72.</w:t>
            </w:r>
          </w:p>
        </w:tc>
        <w:tc>
          <w:tcPr>
            <w:tcW w:w="3422" w:type="dxa"/>
          </w:tcPr>
          <w:p>
            <w:pPr>
              <w:pStyle w:val="TableParagraph"/>
              <w:spacing w:line="210" w:lineRule="exact"/>
              <w:ind w:left="110"/>
              <w:rPr>
                <w:sz w:val="20"/>
              </w:rPr>
            </w:pPr>
            <w:r>
              <w:rPr>
                <w:sz w:val="20"/>
              </w:rPr>
              <w:t>The</w:t>
            </w:r>
            <w:r>
              <w:rPr>
                <w:spacing w:val="39"/>
                <w:sz w:val="20"/>
              </w:rPr>
              <w:t>  </w:t>
            </w:r>
            <w:r>
              <w:rPr>
                <w:sz w:val="20"/>
              </w:rPr>
              <w:t>services</w:t>
            </w:r>
            <w:r>
              <w:rPr>
                <w:spacing w:val="38"/>
                <w:sz w:val="20"/>
              </w:rPr>
              <w:t>  </w:t>
            </w:r>
            <w:r>
              <w:rPr>
                <w:sz w:val="20"/>
              </w:rPr>
              <w:t>of</w:t>
            </w:r>
            <w:r>
              <w:rPr>
                <w:spacing w:val="41"/>
                <w:sz w:val="20"/>
              </w:rPr>
              <w:t>  </w:t>
            </w:r>
            <w:r>
              <w:rPr>
                <w:sz w:val="20"/>
              </w:rPr>
              <w:t>the</w:t>
            </w:r>
            <w:r>
              <w:rPr>
                <w:spacing w:val="40"/>
                <w:sz w:val="20"/>
              </w:rPr>
              <w:t>  </w:t>
            </w:r>
            <w:r>
              <w:rPr>
                <w:sz w:val="20"/>
              </w:rPr>
              <w:t>banks</w:t>
            </w:r>
            <w:r>
              <w:rPr>
                <w:spacing w:val="38"/>
                <w:sz w:val="20"/>
              </w:rPr>
              <w:t>  </w:t>
            </w:r>
            <w:r>
              <w:rPr>
                <w:spacing w:val="-5"/>
                <w:sz w:val="20"/>
              </w:rPr>
              <w:t>to</w:t>
            </w:r>
          </w:p>
        </w:tc>
        <w:tc>
          <w:tcPr>
            <w:tcW w:w="1796" w:type="dxa"/>
          </w:tcPr>
          <w:p>
            <w:pPr>
              <w:pStyle w:val="TableParagraph"/>
              <w:spacing w:line="210" w:lineRule="exact"/>
              <w:ind w:left="110"/>
              <w:rPr>
                <w:sz w:val="20"/>
              </w:rPr>
            </w:pPr>
            <w:r>
              <w:rPr>
                <w:sz w:val="20"/>
              </w:rPr>
              <w:t>No.</w:t>
            </w:r>
            <w:r>
              <w:rPr>
                <w:spacing w:val="-5"/>
                <w:sz w:val="20"/>
              </w:rPr>
              <w:t> </w:t>
            </w:r>
            <w:r>
              <w:rPr>
                <w:sz w:val="20"/>
              </w:rPr>
              <w:t>of</w:t>
            </w:r>
            <w:r>
              <w:rPr>
                <w:spacing w:val="-2"/>
                <w:sz w:val="20"/>
              </w:rPr>
              <w:t> missing</w:t>
            </w:r>
          </w:p>
        </w:tc>
        <w:tc>
          <w:tcPr>
            <w:tcW w:w="1482" w:type="dxa"/>
            <w:gridSpan w:val="2"/>
          </w:tcPr>
          <w:p>
            <w:pPr>
              <w:pStyle w:val="TableParagraph"/>
              <w:rPr>
                <w:rFonts w:ascii="Times New Roman"/>
                <w:sz w:val="16"/>
              </w:rPr>
            </w:pPr>
          </w:p>
        </w:tc>
        <w:tc>
          <w:tcPr>
            <w:tcW w:w="1469" w:type="dxa"/>
            <w:gridSpan w:val="2"/>
          </w:tcPr>
          <w:p>
            <w:pPr>
              <w:pStyle w:val="TableParagraph"/>
              <w:rPr>
                <w:rFonts w:ascii="Times New Roman"/>
                <w:sz w:val="16"/>
              </w:rPr>
            </w:pPr>
          </w:p>
        </w:tc>
        <w:tc>
          <w:tcPr>
            <w:tcW w:w="1562" w:type="dxa"/>
            <w:gridSpan w:val="2"/>
          </w:tcPr>
          <w:p>
            <w:pPr>
              <w:pStyle w:val="TableParagraph"/>
              <w:rPr>
                <w:rFonts w:ascii="Times New Roman"/>
                <w:sz w:val="16"/>
              </w:rPr>
            </w:pPr>
          </w:p>
        </w:tc>
        <w:tc>
          <w:tcPr>
            <w:tcW w:w="1483" w:type="dxa"/>
            <w:gridSpan w:val="2"/>
          </w:tcPr>
          <w:p>
            <w:pPr>
              <w:pStyle w:val="TableParagraph"/>
              <w:rPr>
                <w:rFonts w:ascii="Times New Roman"/>
                <w:sz w:val="16"/>
              </w:rPr>
            </w:pPr>
          </w:p>
        </w:tc>
        <w:tc>
          <w:tcPr>
            <w:tcW w:w="1396" w:type="dxa"/>
            <w:gridSpan w:val="2"/>
          </w:tcPr>
          <w:p>
            <w:pPr>
              <w:pStyle w:val="TableParagraph"/>
              <w:rPr>
                <w:rFonts w:ascii="Times New Roman"/>
                <w:sz w:val="16"/>
              </w:rPr>
            </w:pPr>
          </w:p>
        </w:tc>
        <w:tc>
          <w:tcPr>
            <w:tcW w:w="1429" w:type="dxa"/>
            <w:gridSpan w:val="2"/>
            <w:tcBorders>
              <w:right w:val="single" w:sz="4" w:space="0" w:color="000000"/>
            </w:tcBorders>
          </w:tcPr>
          <w:p>
            <w:pPr>
              <w:pStyle w:val="TableParagraph"/>
              <w:rPr>
                <w:rFonts w:ascii="Times New Roman"/>
                <w:sz w:val="16"/>
              </w:rPr>
            </w:pPr>
          </w:p>
        </w:tc>
      </w:tr>
      <w:tr>
        <w:trPr>
          <w:trHeight w:val="228" w:hRule="atLeast"/>
        </w:trPr>
        <w:tc>
          <w:tcPr>
            <w:tcW w:w="725" w:type="dxa"/>
            <w:tcBorders>
              <w:left w:val="single" w:sz="4" w:space="0" w:color="000000"/>
            </w:tcBorders>
          </w:tcPr>
          <w:p>
            <w:pPr>
              <w:pStyle w:val="TableParagraph"/>
              <w:rPr>
                <w:rFonts w:ascii="Times New Roman"/>
                <w:sz w:val="16"/>
              </w:rPr>
            </w:pPr>
          </w:p>
        </w:tc>
        <w:tc>
          <w:tcPr>
            <w:tcW w:w="3422" w:type="dxa"/>
          </w:tcPr>
          <w:p>
            <w:pPr>
              <w:pStyle w:val="TableParagraph"/>
              <w:spacing w:line="208" w:lineRule="exact"/>
              <w:ind w:left="110"/>
              <w:rPr>
                <w:sz w:val="20"/>
              </w:rPr>
            </w:pPr>
            <w:r>
              <w:rPr>
                <w:sz w:val="20"/>
              </w:rPr>
              <w:t>students</w:t>
            </w:r>
            <w:r>
              <w:rPr>
                <w:spacing w:val="29"/>
                <w:sz w:val="20"/>
              </w:rPr>
              <w:t> </w:t>
            </w:r>
            <w:r>
              <w:rPr>
                <w:sz w:val="20"/>
              </w:rPr>
              <w:t>are</w:t>
            </w:r>
            <w:r>
              <w:rPr>
                <w:spacing w:val="27"/>
                <w:sz w:val="20"/>
              </w:rPr>
              <w:t> </w:t>
            </w:r>
            <w:r>
              <w:rPr>
                <w:sz w:val="20"/>
              </w:rPr>
              <w:t>not</w:t>
            </w:r>
            <w:r>
              <w:rPr>
                <w:spacing w:val="32"/>
                <w:sz w:val="20"/>
              </w:rPr>
              <w:t> </w:t>
            </w:r>
            <w:r>
              <w:rPr>
                <w:sz w:val="20"/>
              </w:rPr>
              <w:t>adequate</w:t>
            </w:r>
            <w:r>
              <w:rPr>
                <w:spacing w:val="28"/>
                <w:sz w:val="20"/>
              </w:rPr>
              <w:t> </w:t>
            </w:r>
            <w:r>
              <w:rPr>
                <w:sz w:val="20"/>
              </w:rPr>
              <w:t>as</w:t>
            </w:r>
            <w:r>
              <w:rPr>
                <w:spacing w:val="26"/>
                <w:sz w:val="20"/>
              </w:rPr>
              <w:t> </w:t>
            </w:r>
            <w:r>
              <w:rPr>
                <w:spacing w:val="-4"/>
                <w:sz w:val="20"/>
              </w:rPr>
              <w:t>they</w:t>
            </w:r>
          </w:p>
        </w:tc>
        <w:tc>
          <w:tcPr>
            <w:tcW w:w="1796" w:type="dxa"/>
          </w:tcPr>
          <w:p>
            <w:pPr>
              <w:pStyle w:val="TableParagraph"/>
              <w:spacing w:line="208" w:lineRule="exact"/>
              <w:ind w:left="110"/>
              <w:rPr>
                <w:sz w:val="20"/>
              </w:rPr>
            </w:pPr>
            <w:r>
              <w:rPr>
                <w:spacing w:val="-2"/>
                <w:sz w:val="20"/>
              </w:rPr>
              <w:t>observations</w:t>
            </w:r>
          </w:p>
        </w:tc>
        <w:tc>
          <w:tcPr>
            <w:tcW w:w="678" w:type="dxa"/>
          </w:tcPr>
          <w:p>
            <w:pPr>
              <w:pStyle w:val="TableParagraph"/>
              <w:spacing w:line="208" w:lineRule="exact"/>
              <w:ind w:left="57"/>
              <w:jc w:val="center"/>
              <w:rPr>
                <w:sz w:val="20"/>
              </w:rPr>
            </w:pPr>
            <w:r>
              <w:rPr>
                <w:spacing w:val="-10"/>
                <w:sz w:val="20"/>
              </w:rPr>
              <w:t>1</w:t>
            </w:r>
          </w:p>
        </w:tc>
        <w:tc>
          <w:tcPr>
            <w:tcW w:w="804" w:type="dxa"/>
          </w:tcPr>
          <w:p>
            <w:pPr>
              <w:pStyle w:val="TableParagraph"/>
              <w:spacing w:line="208" w:lineRule="exact"/>
              <w:ind w:left="112" w:right="97"/>
              <w:jc w:val="center"/>
              <w:rPr>
                <w:sz w:val="20"/>
              </w:rPr>
            </w:pPr>
            <w:r>
              <w:rPr>
                <w:spacing w:val="-4"/>
                <w:sz w:val="20"/>
              </w:rPr>
              <w:t>50.0</w:t>
            </w:r>
          </w:p>
        </w:tc>
        <w:tc>
          <w:tcPr>
            <w:tcW w:w="636" w:type="dxa"/>
          </w:tcPr>
          <w:p>
            <w:pPr>
              <w:pStyle w:val="TableParagraph"/>
              <w:spacing w:line="208" w:lineRule="exact"/>
              <w:ind w:left="15"/>
              <w:jc w:val="center"/>
              <w:rPr>
                <w:sz w:val="20"/>
              </w:rPr>
            </w:pPr>
            <w:r>
              <w:rPr>
                <w:spacing w:val="-10"/>
                <w:sz w:val="20"/>
              </w:rPr>
              <w:t>1</w:t>
            </w:r>
          </w:p>
        </w:tc>
        <w:tc>
          <w:tcPr>
            <w:tcW w:w="833" w:type="dxa"/>
          </w:tcPr>
          <w:p>
            <w:pPr>
              <w:pStyle w:val="TableParagraph"/>
              <w:spacing w:line="208" w:lineRule="exact"/>
              <w:ind w:left="7" w:right="18"/>
              <w:jc w:val="center"/>
              <w:rPr>
                <w:sz w:val="20"/>
              </w:rPr>
            </w:pPr>
            <w:r>
              <w:rPr>
                <w:spacing w:val="-4"/>
                <w:sz w:val="20"/>
              </w:rPr>
              <w:t>50.0</w:t>
            </w:r>
          </w:p>
        </w:tc>
        <w:tc>
          <w:tcPr>
            <w:tcW w:w="660" w:type="dxa"/>
          </w:tcPr>
          <w:p>
            <w:pPr>
              <w:pStyle w:val="TableParagraph"/>
              <w:spacing w:line="208" w:lineRule="exact"/>
              <w:ind w:left="259"/>
              <w:rPr>
                <w:sz w:val="20"/>
              </w:rPr>
            </w:pPr>
            <w:r>
              <w:rPr>
                <w:spacing w:val="-10"/>
                <w:sz w:val="20"/>
              </w:rPr>
              <w:t>-</w:t>
            </w:r>
          </w:p>
        </w:tc>
        <w:tc>
          <w:tcPr>
            <w:tcW w:w="902" w:type="dxa"/>
          </w:tcPr>
          <w:p>
            <w:pPr>
              <w:pStyle w:val="TableParagraph"/>
              <w:spacing w:line="208" w:lineRule="exact"/>
              <w:ind w:left="20" w:right="14"/>
              <w:jc w:val="center"/>
              <w:rPr>
                <w:sz w:val="20"/>
              </w:rPr>
            </w:pPr>
            <w:r>
              <w:rPr>
                <w:spacing w:val="-10"/>
                <w:sz w:val="20"/>
              </w:rPr>
              <w:t>-</w:t>
            </w:r>
          </w:p>
        </w:tc>
        <w:tc>
          <w:tcPr>
            <w:tcW w:w="684" w:type="dxa"/>
          </w:tcPr>
          <w:p>
            <w:pPr>
              <w:pStyle w:val="TableParagraph"/>
              <w:spacing w:line="208" w:lineRule="exact"/>
              <w:ind w:left="68" w:right="16"/>
              <w:jc w:val="center"/>
              <w:rPr>
                <w:sz w:val="20"/>
              </w:rPr>
            </w:pPr>
            <w:r>
              <w:rPr>
                <w:spacing w:val="-10"/>
                <w:sz w:val="20"/>
              </w:rPr>
              <w:t>-</w:t>
            </w:r>
          </w:p>
        </w:tc>
        <w:tc>
          <w:tcPr>
            <w:tcW w:w="799" w:type="dxa"/>
          </w:tcPr>
          <w:p>
            <w:pPr>
              <w:pStyle w:val="TableParagraph"/>
              <w:spacing w:line="208" w:lineRule="exact"/>
              <w:ind w:left="23" w:right="14"/>
              <w:jc w:val="center"/>
              <w:rPr>
                <w:sz w:val="20"/>
              </w:rPr>
            </w:pPr>
            <w:r>
              <w:rPr>
                <w:spacing w:val="-10"/>
                <w:sz w:val="20"/>
              </w:rPr>
              <w:t>-</w:t>
            </w:r>
          </w:p>
        </w:tc>
        <w:tc>
          <w:tcPr>
            <w:tcW w:w="626" w:type="dxa"/>
          </w:tcPr>
          <w:p>
            <w:pPr>
              <w:pStyle w:val="TableParagraph"/>
              <w:spacing w:line="208" w:lineRule="exact"/>
              <w:ind w:left="20" w:right="16"/>
              <w:jc w:val="center"/>
              <w:rPr>
                <w:sz w:val="20"/>
              </w:rPr>
            </w:pPr>
            <w:r>
              <w:rPr>
                <w:spacing w:val="-10"/>
                <w:sz w:val="20"/>
              </w:rPr>
              <w:t>-</w:t>
            </w:r>
          </w:p>
        </w:tc>
        <w:tc>
          <w:tcPr>
            <w:tcW w:w="770" w:type="dxa"/>
          </w:tcPr>
          <w:p>
            <w:pPr>
              <w:pStyle w:val="TableParagraph"/>
              <w:spacing w:line="208" w:lineRule="exact"/>
              <w:ind w:left="42" w:right="13"/>
              <w:jc w:val="center"/>
              <w:rPr>
                <w:sz w:val="20"/>
              </w:rPr>
            </w:pPr>
            <w:r>
              <w:rPr>
                <w:spacing w:val="-10"/>
                <w:sz w:val="20"/>
              </w:rPr>
              <w:t>-</w:t>
            </w:r>
          </w:p>
        </w:tc>
        <w:tc>
          <w:tcPr>
            <w:tcW w:w="691" w:type="dxa"/>
          </w:tcPr>
          <w:p>
            <w:pPr>
              <w:pStyle w:val="TableParagraph"/>
              <w:spacing w:line="208" w:lineRule="exact"/>
              <w:ind w:left="22" w:right="7"/>
              <w:jc w:val="center"/>
              <w:rPr>
                <w:sz w:val="20"/>
              </w:rPr>
            </w:pPr>
            <w:r>
              <w:rPr>
                <w:spacing w:val="-10"/>
                <w:sz w:val="20"/>
              </w:rPr>
              <w:t>2</w:t>
            </w:r>
          </w:p>
        </w:tc>
        <w:tc>
          <w:tcPr>
            <w:tcW w:w="738" w:type="dxa"/>
            <w:tcBorders>
              <w:right w:val="single" w:sz="4" w:space="0" w:color="000000"/>
            </w:tcBorders>
          </w:tcPr>
          <w:p>
            <w:pPr>
              <w:pStyle w:val="TableParagraph"/>
              <w:spacing w:line="208" w:lineRule="exact"/>
              <w:ind w:left="53" w:right="27"/>
              <w:jc w:val="center"/>
              <w:rPr>
                <w:sz w:val="20"/>
              </w:rPr>
            </w:pPr>
            <w:r>
              <w:rPr>
                <w:spacing w:val="-5"/>
                <w:sz w:val="20"/>
              </w:rPr>
              <w:t>0.4</w:t>
            </w:r>
          </w:p>
        </w:tc>
      </w:tr>
      <w:tr>
        <w:trPr>
          <w:trHeight w:val="228" w:hRule="atLeast"/>
        </w:trPr>
        <w:tc>
          <w:tcPr>
            <w:tcW w:w="725" w:type="dxa"/>
            <w:tcBorders>
              <w:left w:val="single" w:sz="4" w:space="0" w:color="000000"/>
            </w:tcBorders>
          </w:tcPr>
          <w:p>
            <w:pPr>
              <w:pStyle w:val="TableParagraph"/>
              <w:rPr>
                <w:rFonts w:ascii="Times New Roman"/>
                <w:sz w:val="16"/>
              </w:rPr>
            </w:pPr>
          </w:p>
        </w:tc>
        <w:tc>
          <w:tcPr>
            <w:tcW w:w="3422" w:type="dxa"/>
          </w:tcPr>
          <w:p>
            <w:pPr>
              <w:pStyle w:val="TableParagraph"/>
              <w:spacing w:line="208" w:lineRule="exact"/>
              <w:ind w:left="110"/>
              <w:rPr>
                <w:sz w:val="20"/>
              </w:rPr>
            </w:pPr>
            <w:r>
              <w:rPr>
                <w:sz w:val="20"/>
              </w:rPr>
              <w:t>do</w:t>
            </w:r>
            <w:r>
              <w:rPr>
                <w:spacing w:val="69"/>
                <w:w w:val="150"/>
                <w:sz w:val="20"/>
              </w:rPr>
              <w:t> </w:t>
            </w:r>
            <w:r>
              <w:rPr>
                <w:sz w:val="20"/>
              </w:rPr>
              <w:t>not</w:t>
            </w:r>
            <w:r>
              <w:rPr>
                <w:spacing w:val="74"/>
                <w:w w:val="150"/>
                <w:sz w:val="20"/>
              </w:rPr>
              <w:t> </w:t>
            </w:r>
            <w:r>
              <w:rPr>
                <w:sz w:val="20"/>
              </w:rPr>
              <w:t>provide</w:t>
            </w:r>
            <w:r>
              <w:rPr>
                <w:spacing w:val="69"/>
                <w:w w:val="150"/>
                <w:sz w:val="20"/>
              </w:rPr>
              <w:t> </w:t>
            </w:r>
            <w:r>
              <w:rPr>
                <w:sz w:val="20"/>
              </w:rPr>
              <w:t>loan</w:t>
            </w:r>
            <w:r>
              <w:rPr>
                <w:spacing w:val="70"/>
                <w:w w:val="150"/>
                <w:sz w:val="20"/>
              </w:rPr>
              <w:t> </w:t>
            </w:r>
            <w:r>
              <w:rPr>
                <w:sz w:val="20"/>
              </w:rPr>
              <w:t>scheme</w:t>
            </w:r>
            <w:r>
              <w:rPr>
                <w:spacing w:val="70"/>
                <w:w w:val="150"/>
                <w:sz w:val="20"/>
              </w:rPr>
              <w:t> </w:t>
            </w:r>
            <w:r>
              <w:rPr>
                <w:spacing w:val="-5"/>
                <w:sz w:val="20"/>
              </w:rPr>
              <w:t>to</w:t>
            </w:r>
          </w:p>
        </w:tc>
        <w:tc>
          <w:tcPr>
            <w:tcW w:w="1796" w:type="dxa"/>
          </w:tcPr>
          <w:p>
            <w:pPr>
              <w:pStyle w:val="TableParagraph"/>
              <w:spacing w:line="208" w:lineRule="exact"/>
              <w:ind w:left="110"/>
              <w:rPr>
                <w:sz w:val="20"/>
              </w:rPr>
            </w:pPr>
            <w:r>
              <w:rPr>
                <w:spacing w:val="-2"/>
                <w:sz w:val="20"/>
              </w:rPr>
              <w:t>Students</w:t>
            </w:r>
          </w:p>
        </w:tc>
        <w:tc>
          <w:tcPr>
            <w:tcW w:w="678" w:type="dxa"/>
          </w:tcPr>
          <w:p>
            <w:pPr>
              <w:pStyle w:val="TableParagraph"/>
              <w:spacing w:line="208" w:lineRule="exact"/>
              <w:ind w:left="57" w:right="5"/>
              <w:jc w:val="center"/>
              <w:rPr>
                <w:sz w:val="20"/>
              </w:rPr>
            </w:pPr>
            <w:r>
              <w:rPr>
                <w:spacing w:val="-5"/>
                <w:sz w:val="20"/>
              </w:rPr>
              <w:t>44</w:t>
            </w:r>
          </w:p>
        </w:tc>
        <w:tc>
          <w:tcPr>
            <w:tcW w:w="804" w:type="dxa"/>
          </w:tcPr>
          <w:p>
            <w:pPr>
              <w:pStyle w:val="TableParagraph"/>
              <w:spacing w:line="208" w:lineRule="exact"/>
              <w:ind w:left="112" w:right="97"/>
              <w:jc w:val="center"/>
              <w:rPr>
                <w:sz w:val="20"/>
              </w:rPr>
            </w:pPr>
            <w:r>
              <w:rPr>
                <w:spacing w:val="-4"/>
                <w:sz w:val="20"/>
              </w:rPr>
              <w:t>18.7</w:t>
            </w:r>
          </w:p>
        </w:tc>
        <w:tc>
          <w:tcPr>
            <w:tcW w:w="636" w:type="dxa"/>
          </w:tcPr>
          <w:p>
            <w:pPr>
              <w:pStyle w:val="TableParagraph"/>
              <w:spacing w:line="208" w:lineRule="exact"/>
              <w:ind w:left="15" w:right="5"/>
              <w:jc w:val="center"/>
              <w:rPr>
                <w:sz w:val="20"/>
              </w:rPr>
            </w:pPr>
            <w:r>
              <w:rPr>
                <w:spacing w:val="-5"/>
                <w:sz w:val="20"/>
              </w:rPr>
              <w:t>52</w:t>
            </w:r>
          </w:p>
        </w:tc>
        <w:tc>
          <w:tcPr>
            <w:tcW w:w="833" w:type="dxa"/>
          </w:tcPr>
          <w:p>
            <w:pPr>
              <w:pStyle w:val="TableParagraph"/>
              <w:spacing w:line="208" w:lineRule="exact"/>
              <w:ind w:left="7" w:right="18"/>
              <w:jc w:val="center"/>
              <w:rPr>
                <w:sz w:val="20"/>
              </w:rPr>
            </w:pPr>
            <w:r>
              <w:rPr>
                <w:spacing w:val="-4"/>
                <w:sz w:val="20"/>
              </w:rPr>
              <w:t>22.1</w:t>
            </w:r>
          </w:p>
        </w:tc>
        <w:tc>
          <w:tcPr>
            <w:tcW w:w="660" w:type="dxa"/>
          </w:tcPr>
          <w:p>
            <w:pPr>
              <w:pStyle w:val="TableParagraph"/>
              <w:spacing w:line="208" w:lineRule="exact"/>
              <w:ind w:left="182"/>
              <w:rPr>
                <w:sz w:val="20"/>
              </w:rPr>
            </w:pPr>
            <w:r>
              <w:rPr>
                <w:spacing w:val="-5"/>
                <w:sz w:val="20"/>
              </w:rPr>
              <w:t>34</w:t>
            </w:r>
          </w:p>
        </w:tc>
        <w:tc>
          <w:tcPr>
            <w:tcW w:w="902" w:type="dxa"/>
          </w:tcPr>
          <w:p>
            <w:pPr>
              <w:pStyle w:val="TableParagraph"/>
              <w:spacing w:line="208" w:lineRule="exact"/>
              <w:ind w:left="20" w:right="8"/>
              <w:jc w:val="center"/>
              <w:rPr>
                <w:sz w:val="20"/>
              </w:rPr>
            </w:pPr>
            <w:r>
              <w:rPr>
                <w:spacing w:val="-4"/>
                <w:sz w:val="20"/>
              </w:rPr>
              <w:t>14.5</w:t>
            </w:r>
          </w:p>
        </w:tc>
        <w:tc>
          <w:tcPr>
            <w:tcW w:w="684" w:type="dxa"/>
          </w:tcPr>
          <w:p>
            <w:pPr>
              <w:pStyle w:val="TableParagraph"/>
              <w:spacing w:line="208" w:lineRule="exact"/>
              <w:ind w:left="68" w:right="14"/>
              <w:jc w:val="center"/>
              <w:rPr>
                <w:sz w:val="20"/>
              </w:rPr>
            </w:pPr>
            <w:r>
              <w:rPr>
                <w:spacing w:val="-5"/>
                <w:sz w:val="20"/>
              </w:rPr>
              <w:t>68</w:t>
            </w:r>
          </w:p>
        </w:tc>
        <w:tc>
          <w:tcPr>
            <w:tcW w:w="799" w:type="dxa"/>
          </w:tcPr>
          <w:p>
            <w:pPr>
              <w:pStyle w:val="TableParagraph"/>
              <w:spacing w:line="208" w:lineRule="exact"/>
              <w:ind w:left="23" w:right="8"/>
              <w:jc w:val="center"/>
              <w:rPr>
                <w:sz w:val="20"/>
              </w:rPr>
            </w:pPr>
            <w:r>
              <w:rPr>
                <w:spacing w:val="-4"/>
                <w:sz w:val="20"/>
              </w:rPr>
              <w:t>28.9</w:t>
            </w:r>
          </w:p>
        </w:tc>
        <w:tc>
          <w:tcPr>
            <w:tcW w:w="626" w:type="dxa"/>
          </w:tcPr>
          <w:p>
            <w:pPr>
              <w:pStyle w:val="TableParagraph"/>
              <w:spacing w:line="208" w:lineRule="exact"/>
              <w:ind w:left="20" w:right="14"/>
              <w:jc w:val="center"/>
              <w:rPr>
                <w:sz w:val="20"/>
              </w:rPr>
            </w:pPr>
            <w:r>
              <w:rPr>
                <w:spacing w:val="-5"/>
                <w:sz w:val="20"/>
              </w:rPr>
              <w:t>37</w:t>
            </w:r>
          </w:p>
        </w:tc>
        <w:tc>
          <w:tcPr>
            <w:tcW w:w="770" w:type="dxa"/>
          </w:tcPr>
          <w:p>
            <w:pPr>
              <w:pStyle w:val="TableParagraph"/>
              <w:spacing w:line="208" w:lineRule="exact"/>
              <w:ind w:left="42" w:right="6"/>
              <w:jc w:val="center"/>
              <w:rPr>
                <w:sz w:val="20"/>
              </w:rPr>
            </w:pPr>
            <w:r>
              <w:rPr>
                <w:spacing w:val="-4"/>
                <w:sz w:val="20"/>
              </w:rPr>
              <w:t>15.7</w:t>
            </w:r>
          </w:p>
        </w:tc>
        <w:tc>
          <w:tcPr>
            <w:tcW w:w="691" w:type="dxa"/>
          </w:tcPr>
          <w:p>
            <w:pPr>
              <w:pStyle w:val="TableParagraph"/>
              <w:spacing w:line="208" w:lineRule="exact"/>
              <w:ind w:left="22" w:right="17"/>
              <w:jc w:val="center"/>
              <w:rPr>
                <w:sz w:val="20"/>
              </w:rPr>
            </w:pPr>
            <w:r>
              <w:rPr>
                <w:spacing w:val="-5"/>
                <w:sz w:val="20"/>
              </w:rPr>
              <w:t>235</w:t>
            </w:r>
          </w:p>
        </w:tc>
        <w:tc>
          <w:tcPr>
            <w:tcW w:w="738" w:type="dxa"/>
            <w:tcBorders>
              <w:right w:val="single" w:sz="4" w:space="0" w:color="000000"/>
            </w:tcBorders>
          </w:tcPr>
          <w:p>
            <w:pPr>
              <w:pStyle w:val="TableParagraph"/>
              <w:spacing w:line="208" w:lineRule="exact"/>
              <w:ind w:left="53" w:right="22"/>
              <w:jc w:val="center"/>
              <w:rPr>
                <w:sz w:val="20"/>
              </w:rPr>
            </w:pPr>
            <w:r>
              <w:rPr>
                <w:spacing w:val="-4"/>
                <w:sz w:val="20"/>
              </w:rPr>
              <w:t>50.8</w:t>
            </w:r>
          </w:p>
        </w:tc>
      </w:tr>
      <w:tr>
        <w:trPr>
          <w:trHeight w:val="230" w:hRule="atLeast"/>
        </w:trPr>
        <w:tc>
          <w:tcPr>
            <w:tcW w:w="725" w:type="dxa"/>
            <w:tcBorders>
              <w:left w:val="single" w:sz="4" w:space="0" w:color="000000"/>
            </w:tcBorders>
          </w:tcPr>
          <w:p>
            <w:pPr>
              <w:pStyle w:val="TableParagraph"/>
              <w:rPr>
                <w:rFonts w:ascii="Times New Roman"/>
                <w:sz w:val="16"/>
              </w:rPr>
            </w:pPr>
          </w:p>
        </w:tc>
        <w:tc>
          <w:tcPr>
            <w:tcW w:w="3422" w:type="dxa"/>
          </w:tcPr>
          <w:p>
            <w:pPr>
              <w:pStyle w:val="TableParagraph"/>
              <w:spacing w:line="210" w:lineRule="exact"/>
              <w:ind w:left="110"/>
              <w:rPr>
                <w:sz w:val="20"/>
              </w:rPr>
            </w:pPr>
            <w:r>
              <w:rPr>
                <w:spacing w:val="-2"/>
                <w:sz w:val="20"/>
              </w:rPr>
              <w:t>them.</w:t>
            </w:r>
          </w:p>
        </w:tc>
        <w:tc>
          <w:tcPr>
            <w:tcW w:w="1796" w:type="dxa"/>
          </w:tcPr>
          <w:p>
            <w:pPr>
              <w:pStyle w:val="TableParagraph"/>
              <w:spacing w:line="210" w:lineRule="exact"/>
              <w:ind w:left="110"/>
              <w:rPr>
                <w:sz w:val="20"/>
              </w:rPr>
            </w:pPr>
            <w:r>
              <w:rPr>
                <w:sz w:val="20"/>
              </w:rPr>
              <w:t>Service</w:t>
            </w:r>
            <w:r>
              <w:rPr>
                <w:spacing w:val="-9"/>
                <w:sz w:val="20"/>
              </w:rPr>
              <w:t> </w:t>
            </w:r>
            <w:r>
              <w:rPr>
                <w:spacing w:val="-2"/>
                <w:sz w:val="20"/>
              </w:rPr>
              <w:t>Staff</w:t>
            </w:r>
          </w:p>
        </w:tc>
        <w:tc>
          <w:tcPr>
            <w:tcW w:w="678" w:type="dxa"/>
          </w:tcPr>
          <w:p>
            <w:pPr>
              <w:pStyle w:val="TableParagraph"/>
              <w:spacing w:line="210" w:lineRule="exact"/>
              <w:ind w:left="57" w:right="5"/>
              <w:jc w:val="center"/>
              <w:rPr>
                <w:sz w:val="20"/>
              </w:rPr>
            </w:pPr>
            <w:r>
              <w:rPr>
                <w:spacing w:val="-5"/>
                <w:sz w:val="20"/>
              </w:rPr>
              <w:t>24</w:t>
            </w:r>
          </w:p>
        </w:tc>
        <w:tc>
          <w:tcPr>
            <w:tcW w:w="804" w:type="dxa"/>
          </w:tcPr>
          <w:p>
            <w:pPr>
              <w:pStyle w:val="TableParagraph"/>
              <w:spacing w:line="210" w:lineRule="exact"/>
              <w:ind w:left="112" w:right="97"/>
              <w:jc w:val="center"/>
              <w:rPr>
                <w:sz w:val="20"/>
              </w:rPr>
            </w:pPr>
            <w:r>
              <w:rPr>
                <w:spacing w:val="-4"/>
                <w:sz w:val="20"/>
              </w:rPr>
              <w:t>11.8</w:t>
            </w:r>
          </w:p>
        </w:tc>
        <w:tc>
          <w:tcPr>
            <w:tcW w:w="636" w:type="dxa"/>
          </w:tcPr>
          <w:p>
            <w:pPr>
              <w:pStyle w:val="TableParagraph"/>
              <w:spacing w:line="210" w:lineRule="exact"/>
              <w:ind w:left="15" w:right="5"/>
              <w:jc w:val="center"/>
              <w:rPr>
                <w:sz w:val="20"/>
              </w:rPr>
            </w:pPr>
            <w:r>
              <w:rPr>
                <w:spacing w:val="-5"/>
                <w:sz w:val="20"/>
              </w:rPr>
              <w:t>49</w:t>
            </w:r>
          </w:p>
        </w:tc>
        <w:tc>
          <w:tcPr>
            <w:tcW w:w="833" w:type="dxa"/>
          </w:tcPr>
          <w:p>
            <w:pPr>
              <w:pStyle w:val="TableParagraph"/>
              <w:spacing w:line="210" w:lineRule="exact"/>
              <w:ind w:left="7" w:right="18"/>
              <w:jc w:val="center"/>
              <w:rPr>
                <w:sz w:val="20"/>
              </w:rPr>
            </w:pPr>
            <w:r>
              <w:rPr>
                <w:spacing w:val="-4"/>
                <w:sz w:val="20"/>
              </w:rPr>
              <w:t>24.1</w:t>
            </w:r>
          </w:p>
        </w:tc>
        <w:tc>
          <w:tcPr>
            <w:tcW w:w="660" w:type="dxa"/>
          </w:tcPr>
          <w:p>
            <w:pPr>
              <w:pStyle w:val="TableParagraph"/>
              <w:spacing w:line="210" w:lineRule="exact"/>
              <w:ind w:left="182"/>
              <w:rPr>
                <w:sz w:val="20"/>
              </w:rPr>
            </w:pPr>
            <w:r>
              <w:rPr>
                <w:spacing w:val="-5"/>
                <w:sz w:val="20"/>
              </w:rPr>
              <w:t>33</w:t>
            </w:r>
          </w:p>
        </w:tc>
        <w:tc>
          <w:tcPr>
            <w:tcW w:w="902" w:type="dxa"/>
          </w:tcPr>
          <w:p>
            <w:pPr>
              <w:pStyle w:val="TableParagraph"/>
              <w:spacing w:line="210" w:lineRule="exact"/>
              <w:ind w:left="20" w:right="8"/>
              <w:jc w:val="center"/>
              <w:rPr>
                <w:sz w:val="20"/>
              </w:rPr>
            </w:pPr>
            <w:r>
              <w:rPr>
                <w:spacing w:val="-4"/>
                <w:sz w:val="20"/>
              </w:rPr>
              <w:t>16.3</w:t>
            </w:r>
          </w:p>
        </w:tc>
        <w:tc>
          <w:tcPr>
            <w:tcW w:w="684" w:type="dxa"/>
          </w:tcPr>
          <w:p>
            <w:pPr>
              <w:pStyle w:val="TableParagraph"/>
              <w:spacing w:line="210" w:lineRule="exact"/>
              <w:ind w:left="68" w:right="14"/>
              <w:jc w:val="center"/>
              <w:rPr>
                <w:sz w:val="20"/>
              </w:rPr>
            </w:pPr>
            <w:r>
              <w:rPr>
                <w:spacing w:val="-5"/>
                <w:sz w:val="20"/>
              </w:rPr>
              <w:t>66</w:t>
            </w:r>
          </w:p>
        </w:tc>
        <w:tc>
          <w:tcPr>
            <w:tcW w:w="799" w:type="dxa"/>
          </w:tcPr>
          <w:p>
            <w:pPr>
              <w:pStyle w:val="TableParagraph"/>
              <w:spacing w:line="210" w:lineRule="exact"/>
              <w:ind w:left="23" w:right="8"/>
              <w:jc w:val="center"/>
              <w:rPr>
                <w:sz w:val="20"/>
              </w:rPr>
            </w:pPr>
            <w:r>
              <w:rPr>
                <w:spacing w:val="-4"/>
                <w:sz w:val="20"/>
              </w:rPr>
              <w:t>32.5</w:t>
            </w:r>
          </w:p>
        </w:tc>
        <w:tc>
          <w:tcPr>
            <w:tcW w:w="626" w:type="dxa"/>
          </w:tcPr>
          <w:p>
            <w:pPr>
              <w:pStyle w:val="TableParagraph"/>
              <w:spacing w:line="210" w:lineRule="exact"/>
              <w:ind w:left="20" w:right="14"/>
              <w:jc w:val="center"/>
              <w:rPr>
                <w:sz w:val="20"/>
              </w:rPr>
            </w:pPr>
            <w:r>
              <w:rPr>
                <w:spacing w:val="-5"/>
                <w:sz w:val="20"/>
              </w:rPr>
              <w:t>31</w:t>
            </w:r>
          </w:p>
        </w:tc>
        <w:tc>
          <w:tcPr>
            <w:tcW w:w="770" w:type="dxa"/>
          </w:tcPr>
          <w:p>
            <w:pPr>
              <w:pStyle w:val="TableParagraph"/>
              <w:spacing w:line="210" w:lineRule="exact"/>
              <w:ind w:left="42" w:right="6"/>
              <w:jc w:val="center"/>
              <w:rPr>
                <w:sz w:val="20"/>
              </w:rPr>
            </w:pPr>
            <w:r>
              <w:rPr>
                <w:spacing w:val="-4"/>
                <w:sz w:val="20"/>
              </w:rPr>
              <w:t>15.3</w:t>
            </w:r>
          </w:p>
        </w:tc>
        <w:tc>
          <w:tcPr>
            <w:tcW w:w="691" w:type="dxa"/>
          </w:tcPr>
          <w:p>
            <w:pPr>
              <w:pStyle w:val="TableParagraph"/>
              <w:spacing w:line="210" w:lineRule="exact"/>
              <w:ind w:left="22" w:right="17"/>
              <w:jc w:val="center"/>
              <w:rPr>
                <w:sz w:val="20"/>
              </w:rPr>
            </w:pPr>
            <w:r>
              <w:rPr>
                <w:spacing w:val="-5"/>
                <w:sz w:val="20"/>
              </w:rPr>
              <w:t>203</w:t>
            </w:r>
          </w:p>
        </w:tc>
        <w:tc>
          <w:tcPr>
            <w:tcW w:w="738" w:type="dxa"/>
            <w:tcBorders>
              <w:right w:val="single" w:sz="4" w:space="0" w:color="000000"/>
            </w:tcBorders>
          </w:tcPr>
          <w:p>
            <w:pPr>
              <w:pStyle w:val="TableParagraph"/>
              <w:spacing w:line="210" w:lineRule="exact"/>
              <w:ind w:left="53" w:right="22"/>
              <w:jc w:val="center"/>
              <w:rPr>
                <w:sz w:val="20"/>
              </w:rPr>
            </w:pPr>
            <w:r>
              <w:rPr>
                <w:spacing w:val="-4"/>
                <w:sz w:val="20"/>
              </w:rPr>
              <w:t>43.8</w:t>
            </w:r>
          </w:p>
        </w:tc>
      </w:tr>
      <w:tr>
        <w:trPr>
          <w:trHeight w:val="324" w:hRule="atLeast"/>
        </w:trPr>
        <w:tc>
          <w:tcPr>
            <w:tcW w:w="725" w:type="dxa"/>
            <w:tcBorders>
              <w:left w:val="single" w:sz="4" w:space="0" w:color="000000"/>
              <w:bottom w:val="single" w:sz="4" w:space="0" w:color="000000"/>
            </w:tcBorders>
          </w:tcPr>
          <w:p>
            <w:pPr>
              <w:pStyle w:val="TableParagraph"/>
              <w:rPr>
                <w:rFonts w:ascii="Times New Roman"/>
                <w:sz w:val="20"/>
              </w:rPr>
            </w:pPr>
          </w:p>
        </w:tc>
        <w:tc>
          <w:tcPr>
            <w:tcW w:w="3422" w:type="dxa"/>
            <w:tcBorders>
              <w:bottom w:val="single" w:sz="4" w:space="0" w:color="000000"/>
            </w:tcBorders>
          </w:tcPr>
          <w:p>
            <w:pPr>
              <w:pStyle w:val="TableParagraph"/>
              <w:rPr>
                <w:rFonts w:ascii="Times New Roman"/>
                <w:sz w:val="20"/>
              </w:rPr>
            </w:pPr>
          </w:p>
        </w:tc>
        <w:tc>
          <w:tcPr>
            <w:tcW w:w="1796" w:type="dxa"/>
            <w:tcBorders>
              <w:bottom w:val="single" w:sz="4" w:space="0" w:color="000000"/>
            </w:tcBorders>
          </w:tcPr>
          <w:p>
            <w:pPr>
              <w:pStyle w:val="TableParagraph"/>
              <w:spacing w:line="227" w:lineRule="exact"/>
              <w:ind w:left="110"/>
              <w:rPr>
                <w:sz w:val="20"/>
              </w:rPr>
            </w:pPr>
            <w:r>
              <w:rPr>
                <w:sz w:val="20"/>
              </w:rPr>
              <w:t>Top</w:t>
            </w:r>
            <w:r>
              <w:rPr>
                <w:spacing w:val="-1"/>
                <w:sz w:val="20"/>
              </w:rPr>
              <w:t> </w:t>
            </w:r>
            <w:r>
              <w:rPr>
                <w:spacing w:val="-2"/>
                <w:sz w:val="20"/>
              </w:rPr>
              <w:t>Management</w:t>
            </w:r>
          </w:p>
        </w:tc>
        <w:tc>
          <w:tcPr>
            <w:tcW w:w="678" w:type="dxa"/>
            <w:tcBorders>
              <w:bottom w:val="single" w:sz="4" w:space="0" w:color="000000"/>
            </w:tcBorders>
          </w:tcPr>
          <w:p>
            <w:pPr>
              <w:pStyle w:val="TableParagraph"/>
              <w:spacing w:line="227" w:lineRule="exact"/>
              <w:ind w:left="57"/>
              <w:jc w:val="center"/>
              <w:rPr>
                <w:sz w:val="20"/>
              </w:rPr>
            </w:pPr>
            <w:r>
              <w:rPr>
                <w:spacing w:val="-10"/>
                <w:sz w:val="20"/>
              </w:rPr>
              <w:t>8</w:t>
            </w:r>
          </w:p>
        </w:tc>
        <w:tc>
          <w:tcPr>
            <w:tcW w:w="804" w:type="dxa"/>
            <w:tcBorders>
              <w:bottom w:val="single" w:sz="4" w:space="0" w:color="000000"/>
            </w:tcBorders>
          </w:tcPr>
          <w:p>
            <w:pPr>
              <w:pStyle w:val="TableParagraph"/>
              <w:spacing w:line="227" w:lineRule="exact"/>
              <w:ind w:left="112" w:right="97"/>
              <w:jc w:val="center"/>
              <w:rPr>
                <w:sz w:val="20"/>
              </w:rPr>
            </w:pPr>
            <w:r>
              <w:rPr>
                <w:spacing w:val="-4"/>
                <w:sz w:val="20"/>
              </w:rPr>
              <w:t>34.8</w:t>
            </w:r>
          </w:p>
        </w:tc>
        <w:tc>
          <w:tcPr>
            <w:tcW w:w="636" w:type="dxa"/>
            <w:tcBorders>
              <w:bottom w:val="single" w:sz="4" w:space="0" w:color="000000"/>
            </w:tcBorders>
          </w:tcPr>
          <w:p>
            <w:pPr>
              <w:pStyle w:val="TableParagraph"/>
              <w:spacing w:line="227" w:lineRule="exact"/>
              <w:ind w:left="15"/>
              <w:jc w:val="center"/>
              <w:rPr>
                <w:sz w:val="20"/>
              </w:rPr>
            </w:pPr>
            <w:r>
              <w:rPr>
                <w:spacing w:val="-10"/>
                <w:sz w:val="20"/>
              </w:rPr>
              <w:t>5</w:t>
            </w:r>
          </w:p>
        </w:tc>
        <w:tc>
          <w:tcPr>
            <w:tcW w:w="833" w:type="dxa"/>
            <w:tcBorders>
              <w:bottom w:val="single" w:sz="4" w:space="0" w:color="000000"/>
            </w:tcBorders>
          </w:tcPr>
          <w:p>
            <w:pPr>
              <w:pStyle w:val="TableParagraph"/>
              <w:spacing w:line="227" w:lineRule="exact"/>
              <w:ind w:left="7" w:right="18"/>
              <w:jc w:val="center"/>
              <w:rPr>
                <w:sz w:val="20"/>
              </w:rPr>
            </w:pPr>
            <w:r>
              <w:rPr>
                <w:spacing w:val="-4"/>
                <w:sz w:val="20"/>
              </w:rPr>
              <w:t>21.7</w:t>
            </w:r>
          </w:p>
        </w:tc>
        <w:tc>
          <w:tcPr>
            <w:tcW w:w="660" w:type="dxa"/>
            <w:tcBorders>
              <w:bottom w:val="single" w:sz="4" w:space="0" w:color="000000"/>
            </w:tcBorders>
          </w:tcPr>
          <w:p>
            <w:pPr>
              <w:pStyle w:val="TableParagraph"/>
              <w:spacing w:line="227" w:lineRule="exact"/>
              <w:ind w:left="240"/>
              <w:rPr>
                <w:sz w:val="20"/>
              </w:rPr>
            </w:pPr>
            <w:r>
              <w:rPr>
                <w:spacing w:val="-10"/>
                <w:sz w:val="20"/>
              </w:rPr>
              <w:t>3</w:t>
            </w:r>
          </w:p>
        </w:tc>
        <w:tc>
          <w:tcPr>
            <w:tcW w:w="902" w:type="dxa"/>
            <w:tcBorders>
              <w:bottom w:val="single" w:sz="4" w:space="0" w:color="000000"/>
            </w:tcBorders>
          </w:tcPr>
          <w:p>
            <w:pPr>
              <w:pStyle w:val="TableParagraph"/>
              <w:spacing w:line="227" w:lineRule="exact"/>
              <w:ind w:left="20" w:right="8"/>
              <w:jc w:val="center"/>
              <w:rPr>
                <w:sz w:val="20"/>
              </w:rPr>
            </w:pPr>
            <w:r>
              <w:rPr>
                <w:spacing w:val="-4"/>
                <w:sz w:val="20"/>
              </w:rPr>
              <w:t>13.0</w:t>
            </w:r>
          </w:p>
        </w:tc>
        <w:tc>
          <w:tcPr>
            <w:tcW w:w="684" w:type="dxa"/>
            <w:tcBorders>
              <w:bottom w:val="single" w:sz="4" w:space="0" w:color="000000"/>
            </w:tcBorders>
          </w:tcPr>
          <w:p>
            <w:pPr>
              <w:pStyle w:val="TableParagraph"/>
              <w:spacing w:line="227" w:lineRule="exact"/>
              <w:ind w:left="68" w:right="10"/>
              <w:jc w:val="center"/>
              <w:rPr>
                <w:sz w:val="20"/>
              </w:rPr>
            </w:pPr>
            <w:r>
              <w:rPr>
                <w:spacing w:val="-10"/>
                <w:sz w:val="20"/>
              </w:rPr>
              <w:t>7</w:t>
            </w:r>
          </w:p>
        </w:tc>
        <w:tc>
          <w:tcPr>
            <w:tcW w:w="799" w:type="dxa"/>
            <w:tcBorders>
              <w:bottom w:val="single" w:sz="4" w:space="0" w:color="000000"/>
            </w:tcBorders>
          </w:tcPr>
          <w:p>
            <w:pPr>
              <w:pStyle w:val="TableParagraph"/>
              <w:spacing w:line="227" w:lineRule="exact"/>
              <w:ind w:left="23" w:right="8"/>
              <w:jc w:val="center"/>
              <w:rPr>
                <w:sz w:val="20"/>
              </w:rPr>
            </w:pPr>
            <w:r>
              <w:rPr>
                <w:spacing w:val="-4"/>
                <w:sz w:val="20"/>
              </w:rPr>
              <w:t>30.4</w:t>
            </w:r>
          </w:p>
        </w:tc>
        <w:tc>
          <w:tcPr>
            <w:tcW w:w="626" w:type="dxa"/>
            <w:tcBorders>
              <w:bottom w:val="single" w:sz="4" w:space="0" w:color="000000"/>
            </w:tcBorders>
          </w:tcPr>
          <w:p>
            <w:pPr>
              <w:pStyle w:val="TableParagraph"/>
              <w:spacing w:line="227" w:lineRule="exact"/>
              <w:ind w:left="20" w:right="16"/>
              <w:jc w:val="center"/>
              <w:rPr>
                <w:sz w:val="20"/>
              </w:rPr>
            </w:pPr>
            <w:r>
              <w:rPr>
                <w:spacing w:val="-10"/>
                <w:sz w:val="20"/>
              </w:rPr>
              <w:t>-</w:t>
            </w:r>
          </w:p>
        </w:tc>
        <w:tc>
          <w:tcPr>
            <w:tcW w:w="770" w:type="dxa"/>
            <w:tcBorders>
              <w:bottom w:val="single" w:sz="4" w:space="0" w:color="000000"/>
            </w:tcBorders>
          </w:tcPr>
          <w:p>
            <w:pPr>
              <w:pStyle w:val="TableParagraph"/>
              <w:spacing w:line="227" w:lineRule="exact"/>
              <w:ind w:left="42" w:right="13"/>
              <w:jc w:val="center"/>
              <w:rPr>
                <w:sz w:val="20"/>
              </w:rPr>
            </w:pPr>
            <w:r>
              <w:rPr>
                <w:spacing w:val="-10"/>
                <w:sz w:val="20"/>
              </w:rPr>
              <w:t>-</w:t>
            </w:r>
          </w:p>
        </w:tc>
        <w:tc>
          <w:tcPr>
            <w:tcW w:w="691" w:type="dxa"/>
            <w:tcBorders>
              <w:bottom w:val="single" w:sz="4" w:space="0" w:color="000000"/>
            </w:tcBorders>
          </w:tcPr>
          <w:p>
            <w:pPr>
              <w:pStyle w:val="TableParagraph"/>
              <w:spacing w:line="227" w:lineRule="exact"/>
              <w:ind w:left="22" w:right="12"/>
              <w:jc w:val="center"/>
              <w:rPr>
                <w:sz w:val="20"/>
              </w:rPr>
            </w:pPr>
            <w:r>
              <w:rPr>
                <w:spacing w:val="-5"/>
                <w:sz w:val="20"/>
              </w:rPr>
              <w:t>23</w:t>
            </w:r>
          </w:p>
        </w:tc>
        <w:tc>
          <w:tcPr>
            <w:tcW w:w="738" w:type="dxa"/>
            <w:tcBorders>
              <w:bottom w:val="single" w:sz="4" w:space="0" w:color="000000"/>
              <w:right w:val="single" w:sz="4" w:space="0" w:color="000000"/>
            </w:tcBorders>
          </w:tcPr>
          <w:p>
            <w:pPr>
              <w:pStyle w:val="TableParagraph"/>
              <w:spacing w:line="227" w:lineRule="exact"/>
              <w:ind w:left="53" w:right="27"/>
              <w:jc w:val="center"/>
              <w:rPr>
                <w:sz w:val="20"/>
              </w:rPr>
            </w:pPr>
            <w:r>
              <w:rPr>
                <w:spacing w:val="-5"/>
                <w:sz w:val="20"/>
              </w:rPr>
              <w:t>5.0</w:t>
            </w:r>
          </w:p>
        </w:tc>
      </w:tr>
    </w:tbl>
    <w:p>
      <w:pPr>
        <w:pStyle w:val="BodyText"/>
        <w:rPr>
          <w:rFonts w:ascii="Arial"/>
          <w:b/>
          <w:sz w:val="28"/>
        </w:rPr>
      </w:pPr>
    </w:p>
    <w:p>
      <w:pPr>
        <w:pStyle w:val="BodyText"/>
        <w:rPr>
          <w:rFonts w:ascii="Arial"/>
          <w:b/>
          <w:sz w:val="28"/>
        </w:rPr>
      </w:pPr>
    </w:p>
    <w:p>
      <w:pPr>
        <w:pStyle w:val="BodyText"/>
        <w:rPr>
          <w:rFonts w:ascii="Arial"/>
          <w:b/>
          <w:sz w:val="28"/>
        </w:rPr>
      </w:pPr>
    </w:p>
    <w:p>
      <w:pPr>
        <w:pStyle w:val="BodyText"/>
        <w:spacing w:before="245"/>
        <w:rPr>
          <w:rFonts w:ascii="Arial"/>
          <w:b/>
          <w:sz w:val="28"/>
        </w:rPr>
      </w:pPr>
    </w:p>
    <w:p>
      <w:pPr>
        <w:pStyle w:val="BodyText"/>
        <w:spacing w:before="1"/>
        <w:ind w:left="3" w:right="433"/>
        <w:jc w:val="center"/>
        <w:rPr>
          <w:rFonts w:ascii="Times New Roman"/>
        </w:rPr>
      </w:pPr>
      <w:r>
        <w:rPr>
          <w:rFonts w:ascii="Times New Roman"/>
          <w:spacing w:val="-5"/>
        </w:rPr>
        <w:t>159</w:t>
      </w:r>
    </w:p>
    <w:p>
      <w:pPr>
        <w:spacing w:after="0"/>
        <w:jc w:val="center"/>
        <w:rPr>
          <w:rFonts w:ascii="Times New Roman"/>
        </w:rPr>
        <w:sectPr>
          <w:headerReference w:type="default" r:id="rId359"/>
          <w:footerReference w:type="default" r:id="rId360"/>
          <w:pgSz w:w="15840" w:h="12240" w:orient="landscape"/>
          <w:pgMar w:header="0" w:footer="0" w:top="640" w:bottom="280" w:left="500" w:right="360"/>
        </w:sectPr>
      </w:pPr>
    </w:p>
    <w:p>
      <w:pPr>
        <w:pStyle w:val="BodyText"/>
        <w:spacing w:line="480" w:lineRule="auto" w:before="82"/>
        <w:ind w:left="820" w:right="113" w:firstLine="720"/>
        <w:jc w:val="both"/>
      </w:pPr>
      <w:r>
        <w:rPr/>
        <w:t>As students were usually drawn from various distant areas internationally and nationally, it was assumed that they required banking facilities instead of keeping huge sums of money in their hostels which could be capable of encouraging stealing in their hostels. The banking system would allow them not only to save but also to transact activities like currency changing, money transfer etcetera. The need for banking system was expressed by the opinions of 90.7 percent of students, 92.7 percent of service staff and 95.6 percent of top management as can be seen in item 68.</w:t>
      </w:r>
    </w:p>
    <w:p>
      <w:pPr>
        <w:pStyle w:val="BodyText"/>
        <w:spacing w:line="480" w:lineRule="auto"/>
        <w:ind w:left="820" w:right="117" w:firstLine="720"/>
        <w:jc w:val="both"/>
      </w:pPr>
      <w:r>
        <w:rPr/>
        <w:t>However very negligible</w:t>
      </w:r>
      <w:r>
        <w:rPr>
          <w:spacing w:val="-3"/>
        </w:rPr>
        <w:t> </w:t>
      </w:r>
      <w:r>
        <w:rPr/>
        <w:t>percent of respondents objected to this opinion or did not show any decision.</w:t>
      </w:r>
    </w:p>
    <w:p>
      <w:pPr>
        <w:pStyle w:val="BodyText"/>
        <w:spacing w:line="480" w:lineRule="auto"/>
        <w:ind w:left="820" w:right="116" w:firstLine="720"/>
        <w:jc w:val="both"/>
      </w:pPr>
      <w:r>
        <w:rPr/>
        <w:t>Item 69 was particular about the provision of mail or Post Office services on the University campuses so that students could communicate with their parents and friends easily. 85 percent of students, 90.6 percent of service staff and 100 percent reach positive consensus. This high consensus in agreement proved that since students had to communicate with the outside world the provision of post or mail office was paramount.</w:t>
      </w:r>
    </w:p>
    <w:p>
      <w:pPr>
        <w:pStyle w:val="BodyText"/>
        <w:spacing w:line="480" w:lineRule="auto" w:before="1"/>
        <w:ind w:left="820" w:right="115" w:firstLine="720"/>
        <w:jc w:val="both"/>
      </w:pPr>
      <w:r>
        <w:rPr/>
        <w:t>The invention and use of modern technological communication systems like mobile phones, speed posts, internet etcetera had tremendously eased students’ communication problems. With these systems they could communicate easily and regularly with the outside world as raised in item 70. 93.2 percent of students, 93.1 percent of service staff and 91.3 percent of top management staff were</w:t>
      </w:r>
      <w:r>
        <w:rPr>
          <w:spacing w:val="38"/>
        </w:rPr>
        <w:t> </w:t>
      </w:r>
      <w:r>
        <w:rPr/>
        <w:t>in</w:t>
      </w:r>
      <w:r>
        <w:rPr>
          <w:spacing w:val="38"/>
        </w:rPr>
        <w:t> </w:t>
      </w:r>
      <w:r>
        <w:rPr/>
        <w:t>support</w:t>
      </w:r>
      <w:r>
        <w:rPr>
          <w:spacing w:val="37"/>
        </w:rPr>
        <w:t> </w:t>
      </w:r>
      <w:r>
        <w:rPr/>
        <w:t>of</w:t>
      </w:r>
      <w:r>
        <w:rPr>
          <w:spacing w:val="37"/>
        </w:rPr>
        <w:t> </w:t>
      </w:r>
      <w:r>
        <w:rPr/>
        <w:t>the</w:t>
      </w:r>
      <w:r>
        <w:rPr>
          <w:spacing w:val="38"/>
        </w:rPr>
        <w:t> </w:t>
      </w:r>
      <w:r>
        <w:rPr/>
        <w:t>statements.</w:t>
      </w:r>
      <w:r>
        <w:rPr>
          <w:spacing w:val="37"/>
        </w:rPr>
        <w:t> </w:t>
      </w:r>
      <w:r>
        <w:rPr/>
        <w:t>The</w:t>
      </w:r>
      <w:r>
        <w:rPr>
          <w:spacing w:val="38"/>
        </w:rPr>
        <w:t> </w:t>
      </w:r>
      <w:r>
        <w:rPr/>
        <w:t>various</w:t>
      </w:r>
      <w:r>
        <w:rPr>
          <w:spacing w:val="41"/>
        </w:rPr>
        <w:t> </w:t>
      </w:r>
      <w:r>
        <w:rPr/>
        <w:t>mode</w:t>
      </w:r>
      <w:r>
        <w:rPr>
          <w:spacing w:val="38"/>
        </w:rPr>
        <w:t> </w:t>
      </w:r>
      <w:r>
        <w:rPr/>
        <w:t>of</w:t>
      </w:r>
      <w:r>
        <w:rPr>
          <w:spacing w:val="37"/>
        </w:rPr>
        <w:t> </w:t>
      </w:r>
      <w:r>
        <w:rPr/>
        <w:t>communication</w:t>
      </w:r>
      <w:r>
        <w:rPr>
          <w:spacing w:val="38"/>
        </w:rPr>
        <w:t> </w:t>
      </w:r>
      <w:r>
        <w:rPr>
          <w:spacing w:val="-4"/>
        </w:rPr>
        <w:t>used</w:t>
      </w:r>
    </w:p>
    <w:p>
      <w:pPr>
        <w:spacing w:after="0" w:line="480" w:lineRule="auto"/>
        <w:jc w:val="both"/>
        <w:sectPr>
          <w:headerReference w:type="default" r:id="rId361"/>
          <w:footerReference w:type="default" r:id="rId362"/>
          <w:pgSz w:w="12240" w:h="15840"/>
          <w:pgMar w:header="722" w:footer="791" w:top="1340" w:bottom="980" w:left="1340" w:right="1320"/>
          <w:pgNumType w:start="160"/>
        </w:sectPr>
      </w:pPr>
    </w:p>
    <w:p>
      <w:pPr>
        <w:pStyle w:val="BodyText"/>
        <w:spacing w:line="480" w:lineRule="auto" w:before="82"/>
        <w:ind w:left="820" w:right="118"/>
        <w:jc w:val="both"/>
      </w:pPr>
      <w:r>
        <w:rPr/>
        <w:t>would enhance students’ academic orientation and widen their scope of general </w:t>
      </w:r>
      <w:r>
        <w:rPr>
          <w:spacing w:val="-2"/>
        </w:rPr>
        <w:t>knowledge.</w:t>
      </w:r>
    </w:p>
    <w:p>
      <w:pPr>
        <w:pStyle w:val="BodyText"/>
        <w:spacing w:line="480" w:lineRule="auto"/>
        <w:ind w:left="820" w:right="115" w:firstLine="720"/>
        <w:jc w:val="both"/>
      </w:pPr>
      <w:r>
        <w:rPr/>
        <w:t>Respondents on item 71 were of the view that the invention of mobile phones</w:t>
      </w:r>
      <w:r>
        <w:rPr>
          <w:spacing w:val="-1"/>
        </w:rPr>
        <w:t> </w:t>
      </w:r>
      <w:r>
        <w:rPr/>
        <w:t>had brought</w:t>
      </w:r>
      <w:r>
        <w:rPr>
          <w:spacing w:val="-1"/>
        </w:rPr>
        <w:t> </w:t>
      </w:r>
      <w:r>
        <w:rPr/>
        <w:t>with it more havoc</w:t>
      </w:r>
      <w:r>
        <w:rPr>
          <w:spacing w:val="-1"/>
        </w:rPr>
        <w:t> </w:t>
      </w:r>
      <w:r>
        <w:rPr/>
        <w:t>than good as</w:t>
      </w:r>
      <w:r>
        <w:rPr>
          <w:spacing w:val="-1"/>
        </w:rPr>
        <w:t> </w:t>
      </w:r>
      <w:r>
        <w:rPr/>
        <w:t>students</w:t>
      </w:r>
      <w:r>
        <w:rPr>
          <w:spacing w:val="-1"/>
        </w:rPr>
        <w:t> </w:t>
      </w:r>
      <w:r>
        <w:rPr/>
        <w:t>spent most</w:t>
      </w:r>
      <w:r>
        <w:rPr>
          <w:spacing w:val="-1"/>
        </w:rPr>
        <w:t> </w:t>
      </w:r>
      <w:r>
        <w:rPr/>
        <w:t>of</w:t>
      </w:r>
      <w:r>
        <w:rPr>
          <w:spacing w:val="-1"/>
        </w:rPr>
        <w:t> </w:t>
      </w:r>
      <w:r>
        <w:rPr/>
        <w:t>their time</w:t>
      </w:r>
      <w:r>
        <w:rPr>
          <w:spacing w:val="-2"/>
        </w:rPr>
        <w:t> </w:t>
      </w:r>
      <w:r>
        <w:rPr/>
        <w:t>talking</w:t>
      </w:r>
      <w:r>
        <w:rPr>
          <w:spacing w:val="-2"/>
        </w:rPr>
        <w:t> </w:t>
      </w:r>
      <w:r>
        <w:rPr/>
        <w:t>on</w:t>
      </w:r>
      <w:r>
        <w:rPr>
          <w:spacing w:val="-2"/>
        </w:rPr>
        <w:t> </w:t>
      </w:r>
      <w:r>
        <w:rPr/>
        <w:t>phones</w:t>
      </w:r>
      <w:r>
        <w:rPr>
          <w:spacing w:val="-3"/>
        </w:rPr>
        <w:t> </w:t>
      </w:r>
      <w:r>
        <w:rPr/>
        <w:t>rather</w:t>
      </w:r>
      <w:r>
        <w:rPr>
          <w:spacing w:val="-1"/>
        </w:rPr>
        <w:t> </w:t>
      </w:r>
      <w:r>
        <w:rPr/>
        <w:t>than</w:t>
      </w:r>
      <w:r>
        <w:rPr>
          <w:spacing w:val="-2"/>
        </w:rPr>
        <w:t> </w:t>
      </w:r>
      <w:r>
        <w:rPr/>
        <w:t>their</w:t>
      </w:r>
      <w:r>
        <w:rPr>
          <w:spacing w:val="-1"/>
        </w:rPr>
        <w:t> </w:t>
      </w:r>
      <w:r>
        <w:rPr/>
        <w:t>academic work, which</w:t>
      </w:r>
      <w:r>
        <w:rPr>
          <w:spacing w:val="-2"/>
        </w:rPr>
        <w:t> </w:t>
      </w:r>
      <w:r>
        <w:rPr/>
        <w:t>might</w:t>
      </w:r>
      <w:r>
        <w:rPr>
          <w:spacing w:val="-3"/>
        </w:rPr>
        <w:t> </w:t>
      </w:r>
      <w:r>
        <w:rPr/>
        <w:t>likely</w:t>
      </w:r>
      <w:r>
        <w:rPr>
          <w:spacing w:val="-3"/>
        </w:rPr>
        <w:t> </w:t>
      </w:r>
      <w:r>
        <w:rPr/>
        <w:t>lead</w:t>
      </w:r>
      <w:r>
        <w:rPr>
          <w:spacing w:val="-2"/>
        </w:rPr>
        <w:t> </w:t>
      </w:r>
      <w:r>
        <w:rPr/>
        <w:t>to poor</w:t>
      </w:r>
      <w:r>
        <w:rPr>
          <w:spacing w:val="33"/>
        </w:rPr>
        <w:t> </w:t>
      </w:r>
      <w:r>
        <w:rPr/>
        <w:t>academic</w:t>
      </w:r>
      <w:r>
        <w:rPr>
          <w:spacing w:val="32"/>
        </w:rPr>
        <w:t> </w:t>
      </w:r>
      <w:r>
        <w:rPr/>
        <w:t>performance.</w:t>
      </w:r>
      <w:r>
        <w:rPr>
          <w:spacing w:val="32"/>
        </w:rPr>
        <w:t> </w:t>
      </w:r>
      <w:r>
        <w:rPr/>
        <w:t>This</w:t>
      </w:r>
      <w:r>
        <w:rPr>
          <w:spacing w:val="32"/>
        </w:rPr>
        <w:t> </w:t>
      </w:r>
      <w:r>
        <w:rPr/>
        <w:t>was</w:t>
      </w:r>
      <w:r>
        <w:rPr>
          <w:spacing w:val="33"/>
        </w:rPr>
        <w:t> </w:t>
      </w:r>
      <w:r>
        <w:rPr/>
        <w:t>supported</w:t>
      </w:r>
      <w:r>
        <w:rPr>
          <w:spacing w:val="33"/>
        </w:rPr>
        <w:t> </w:t>
      </w:r>
      <w:r>
        <w:rPr/>
        <w:t>by</w:t>
      </w:r>
      <w:r>
        <w:rPr>
          <w:spacing w:val="32"/>
        </w:rPr>
        <w:t> </w:t>
      </w:r>
      <w:r>
        <w:rPr/>
        <w:t>80.8</w:t>
      </w:r>
      <w:r>
        <w:rPr>
          <w:spacing w:val="33"/>
        </w:rPr>
        <w:t> </w:t>
      </w:r>
      <w:r>
        <w:rPr/>
        <w:t>percent</w:t>
      </w:r>
      <w:r>
        <w:rPr>
          <w:spacing w:val="32"/>
        </w:rPr>
        <w:t> </w:t>
      </w:r>
      <w:r>
        <w:rPr/>
        <w:t>of</w:t>
      </w:r>
      <w:r>
        <w:rPr>
          <w:spacing w:val="33"/>
        </w:rPr>
        <w:t> </w:t>
      </w:r>
      <w:r>
        <w:rPr>
          <w:spacing w:val="-2"/>
        </w:rPr>
        <w:t>students,</w:t>
      </w:r>
    </w:p>
    <w:p>
      <w:pPr>
        <w:pStyle w:val="BodyText"/>
        <w:spacing w:line="480" w:lineRule="auto"/>
        <w:ind w:left="820" w:right="118"/>
        <w:jc w:val="both"/>
      </w:pPr>
      <w:r>
        <w:rPr/>
        <w:t>73.4</w:t>
      </w:r>
      <w:r>
        <w:rPr>
          <w:spacing w:val="-1"/>
        </w:rPr>
        <w:t> </w:t>
      </w:r>
      <w:r>
        <w:rPr/>
        <w:t>percent</w:t>
      </w:r>
      <w:r>
        <w:rPr>
          <w:spacing w:val="-2"/>
        </w:rPr>
        <w:t> </w:t>
      </w:r>
      <w:r>
        <w:rPr/>
        <w:t>of</w:t>
      </w:r>
      <w:r>
        <w:rPr>
          <w:spacing w:val="-2"/>
        </w:rPr>
        <w:t> </w:t>
      </w:r>
      <w:r>
        <w:rPr/>
        <w:t>service</w:t>
      </w:r>
      <w:r>
        <w:rPr>
          <w:spacing w:val="-1"/>
        </w:rPr>
        <w:t> </w:t>
      </w:r>
      <w:r>
        <w:rPr/>
        <w:t>staff</w:t>
      </w:r>
      <w:r>
        <w:rPr>
          <w:spacing w:val="-2"/>
        </w:rPr>
        <w:t> </w:t>
      </w:r>
      <w:r>
        <w:rPr/>
        <w:t>and 73.9</w:t>
      </w:r>
      <w:r>
        <w:rPr>
          <w:spacing w:val="-1"/>
        </w:rPr>
        <w:t> </w:t>
      </w:r>
      <w:r>
        <w:rPr/>
        <w:t>percent</w:t>
      </w:r>
      <w:r>
        <w:rPr>
          <w:spacing w:val="-6"/>
        </w:rPr>
        <w:t> </w:t>
      </w:r>
      <w:r>
        <w:rPr/>
        <w:t>of</w:t>
      </w:r>
      <w:r>
        <w:rPr>
          <w:spacing w:val="-2"/>
        </w:rPr>
        <w:t> </w:t>
      </w:r>
      <w:r>
        <w:rPr/>
        <w:t>top</w:t>
      </w:r>
      <w:r>
        <w:rPr>
          <w:spacing w:val="-1"/>
        </w:rPr>
        <w:t> </w:t>
      </w:r>
      <w:r>
        <w:rPr/>
        <w:t>management.</w:t>
      </w:r>
      <w:r>
        <w:rPr>
          <w:spacing w:val="-2"/>
        </w:rPr>
        <w:t> </w:t>
      </w:r>
      <w:r>
        <w:rPr/>
        <w:t>The</w:t>
      </w:r>
      <w:r>
        <w:rPr>
          <w:spacing w:val="-1"/>
        </w:rPr>
        <w:t> </w:t>
      </w:r>
      <w:r>
        <w:rPr/>
        <w:t>statement was however not agreed by 9.3 percent of students and 17.4 percent of service staff.</w:t>
      </w:r>
      <w:r>
        <w:rPr>
          <w:spacing w:val="-3"/>
        </w:rPr>
        <w:t> </w:t>
      </w:r>
      <w:r>
        <w:rPr/>
        <w:t>While 9.8 percent of students, 13.3 percent of service staff and 8.7 percent of top management were undecided. With this high consensus in agreement, it could be concluded that students were married to their handsets more than their books.</w:t>
      </w:r>
      <w:r>
        <w:rPr>
          <w:spacing w:val="-1"/>
        </w:rPr>
        <w:t> </w:t>
      </w:r>
      <w:r>
        <w:rPr/>
        <w:t>Even in toilets,</w:t>
      </w:r>
      <w:r>
        <w:rPr>
          <w:spacing w:val="-1"/>
        </w:rPr>
        <w:t> </w:t>
      </w:r>
      <w:r>
        <w:rPr/>
        <w:t>bathroom,</w:t>
      </w:r>
      <w:r>
        <w:rPr>
          <w:spacing w:val="-1"/>
        </w:rPr>
        <w:t> </w:t>
      </w:r>
      <w:r>
        <w:rPr/>
        <w:t>lecture halls,</w:t>
      </w:r>
      <w:r>
        <w:rPr>
          <w:spacing w:val="-5"/>
        </w:rPr>
        <w:t> </w:t>
      </w:r>
      <w:r>
        <w:rPr/>
        <w:t>beds</w:t>
      </w:r>
      <w:r>
        <w:rPr>
          <w:spacing w:val="-1"/>
        </w:rPr>
        <w:t> </w:t>
      </w:r>
      <w:r>
        <w:rPr/>
        <w:t>at</w:t>
      </w:r>
      <w:r>
        <w:rPr>
          <w:spacing w:val="-1"/>
        </w:rPr>
        <w:t> </w:t>
      </w:r>
      <w:r>
        <w:rPr/>
        <w:t>dining tables</w:t>
      </w:r>
      <w:r>
        <w:rPr>
          <w:spacing w:val="-1"/>
        </w:rPr>
        <w:t> </w:t>
      </w:r>
      <w:r>
        <w:rPr/>
        <w:t>the tendency could be higher to phone, receive phone calls, text or even fiddle with them.</w:t>
      </w:r>
    </w:p>
    <w:p>
      <w:pPr>
        <w:pStyle w:val="BodyText"/>
        <w:spacing w:line="480" w:lineRule="auto"/>
        <w:ind w:left="820" w:right="116" w:firstLine="720"/>
        <w:jc w:val="both"/>
      </w:pPr>
      <w:r>
        <w:rPr/>
        <w:t>40.8 percent of students, 35.9 percent of service staff and a majority opinion of top management representing 56.5 percent were in support of the statement raised in item 72 on the inadequate services of the banks, particularly when they were not able to provide bank loan scheme to students, the majority opinion of the students with 44.6 percent and service staff representing 47.8 percent did not share the view. They felt that the services were adequate. The view of this group seemed to suggest that students did not require bank loans which could never be free. The scholarships from Federal, State oil companies might be a better option.</w:t>
      </w:r>
    </w:p>
    <w:p>
      <w:pPr>
        <w:spacing w:after="0" w:line="480" w:lineRule="auto"/>
        <w:jc w:val="both"/>
        <w:sectPr>
          <w:headerReference w:type="default" r:id="rId363"/>
          <w:footerReference w:type="default" r:id="rId364"/>
          <w:pgSz w:w="12240" w:h="15840"/>
          <w:pgMar w:header="722" w:footer="791" w:top="1340" w:bottom="980" w:left="1340" w:right="1320"/>
        </w:sectPr>
      </w:pPr>
    </w:p>
    <w:p>
      <w:pPr>
        <w:pStyle w:val="BodyText"/>
        <w:rPr>
          <w:sz w:val="28"/>
        </w:rPr>
      </w:pPr>
    </w:p>
    <w:p>
      <w:pPr>
        <w:pStyle w:val="BodyText"/>
        <w:rPr>
          <w:sz w:val="28"/>
        </w:rPr>
      </w:pPr>
    </w:p>
    <w:p>
      <w:pPr>
        <w:pStyle w:val="BodyText"/>
        <w:spacing w:before="216"/>
        <w:rPr>
          <w:sz w:val="28"/>
        </w:rPr>
      </w:pPr>
    </w:p>
    <w:p>
      <w:pPr>
        <w:pStyle w:val="Heading2"/>
        <w:numPr>
          <w:ilvl w:val="2"/>
          <w:numId w:val="39"/>
        </w:numPr>
        <w:tabs>
          <w:tab w:pos="1540" w:val="left" w:leader="none"/>
        </w:tabs>
        <w:spacing w:line="240" w:lineRule="auto" w:before="0" w:after="0"/>
        <w:ind w:left="1540" w:right="120" w:hanging="1440"/>
        <w:jc w:val="both"/>
        <w:rPr>
          <w:rFonts w:ascii="Arial MT" w:hAnsi="Arial MT"/>
          <w:b w:val="0"/>
        </w:rPr>
      </w:pPr>
      <w:r>
        <w:rPr/>
        <w:t>Impact of Academic services on students’ welfare services in the Universities in the three geopolitical zones in the Northern part of Nigeria</w:t>
      </w:r>
    </w:p>
    <w:p>
      <w:pPr>
        <w:pStyle w:val="BodyText"/>
        <w:spacing w:line="480" w:lineRule="auto" w:before="281"/>
        <w:ind w:left="820" w:right="115" w:firstLine="720"/>
        <w:jc w:val="both"/>
      </w:pPr>
      <w:r>
        <w:rPr/>
        <w:t>This section analysed the opinions of the three categories of respondents on the impact of the provision and management of all aspects and types of programmes that make academic services to enhance students’ welfare in</w:t>
      </w:r>
      <w:r>
        <w:rPr>
          <w:spacing w:val="40"/>
        </w:rPr>
        <w:t> </w:t>
      </w:r>
      <w:r>
        <w:rPr/>
        <w:t>the Universities in the three geopolitical zones in Northern part of Nigeria. This was carried out by the use of frequency tables and simple percentages as presented in Tables 4.3.2.1 to 4.3.2.3 The Tables dealt with the responses of respondents from item 73 to 82. The academic services were classified into library services, classroom, laboratories, field trips, workshops and Information Technology. It should</w:t>
      </w:r>
      <w:r>
        <w:rPr>
          <w:spacing w:val="-2"/>
        </w:rPr>
        <w:t> </w:t>
      </w:r>
      <w:r>
        <w:rPr/>
        <w:t>be</w:t>
      </w:r>
      <w:r>
        <w:rPr>
          <w:spacing w:val="-2"/>
        </w:rPr>
        <w:t> </w:t>
      </w:r>
      <w:r>
        <w:rPr/>
        <w:t>noted</w:t>
      </w:r>
      <w:r>
        <w:rPr>
          <w:spacing w:val="-2"/>
        </w:rPr>
        <w:t> </w:t>
      </w:r>
      <w:r>
        <w:rPr/>
        <w:t>that</w:t>
      </w:r>
      <w:r>
        <w:rPr>
          <w:spacing w:val="-3"/>
        </w:rPr>
        <w:t> </w:t>
      </w:r>
      <w:r>
        <w:rPr/>
        <w:t>the</w:t>
      </w:r>
      <w:r>
        <w:rPr>
          <w:spacing w:val="-2"/>
        </w:rPr>
        <w:t> </w:t>
      </w:r>
      <w:r>
        <w:rPr/>
        <w:t>academic</w:t>
      </w:r>
      <w:r>
        <w:rPr>
          <w:spacing w:val="-3"/>
        </w:rPr>
        <w:t> </w:t>
      </w:r>
      <w:r>
        <w:rPr/>
        <w:t>services were</w:t>
      </w:r>
      <w:r>
        <w:rPr>
          <w:spacing w:val="-2"/>
        </w:rPr>
        <w:t> </w:t>
      </w:r>
      <w:r>
        <w:rPr/>
        <w:t>very</w:t>
      </w:r>
      <w:r>
        <w:rPr>
          <w:spacing w:val="-3"/>
        </w:rPr>
        <w:t> </w:t>
      </w:r>
      <w:r>
        <w:rPr/>
        <w:t>crucial to</w:t>
      </w:r>
      <w:r>
        <w:rPr>
          <w:spacing w:val="-2"/>
        </w:rPr>
        <w:t> </w:t>
      </w:r>
      <w:r>
        <w:rPr/>
        <w:t>students’</w:t>
      </w:r>
      <w:r>
        <w:rPr>
          <w:spacing w:val="-3"/>
        </w:rPr>
        <w:t> </w:t>
      </w:r>
      <w:r>
        <w:rPr/>
        <w:t>welfare since the primary reason of their being on campuses was for the pursuit of academic activities.</w:t>
      </w:r>
    </w:p>
    <w:p>
      <w:pPr>
        <w:pStyle w:val="Heading2"/>
        <w:numPr>
          <w:ilvl w:val="3"/>
          <w:numId w:val="39"/>
        </w:numPr>
        <w:tabs>
          <w:tab w:pos="1539" w:val="left" w:leader="none"/>
        </w:tabs>
        <w:spacing w:line="319" w:lineRule="exact" w:before="0" w:after="0"/>
        <w:ind w:left="1539" w:right="0" w:hanging="1439"/>
        <w:jc w:val="left"/>
        <w:rPr>
          <w:rFonts w:ascii="Arial MT" w:hAnsi="Arial MT"/>
          <w:b w:val="0"/>
        </w:rPr>
      </w:pPr>
      <w:r>
        <w:rPr/>
        <w:t>The</w:t>
      </w:r>
      <w:r>
        <w:rPr>
          <w:spacing w:val="-8"/>
        </w:rPr>
        <w:t> </w:t>
      </w:r>
      <w:r>
        <w:rPr/>
        <w:t>impact</w:t>
      </w:r>
      <w:r>
        <w:rPr>
          <w:spacing w:val="-4"/>
        </w:rPr>
        <w:t> </w:t>
      </w:r>
      <w:r>
        <w:rPr/>
        <w:t>of</w:t>
      </w:r>
      <w:r>
        <w:rPr>
          <w:spacing w:val="-4"/>
        </w:rPr>
        <w:t> </w:t>
      </w:r>
      <w:r>
        <w:rPr/>
        <w:t>Library</w:t>
      </w:r>
      <w:r>
        <w:rPr>
          <w:spacing w:val="-7"/>
        </w:rPr>
        <w:t> </w:t>
      </w:r>
      <w:r>
        <w:rPr/>
        <w:t>services</w:t>
      </w:r>
      <w:r>
        <w:rPr>
          <w:spacing w:val="-4"/>
        </w:rPr>
        <w:t> </w:t>
      </w:r>
      <w:r>
        <w:rPr/>
        <w:t>on</w:t>
      </w:r>
      <w:r>
        <w:rPr>
          <w:spacing w:val="-4"/>
        </w:rPr>
        <w:t> </w:t>
      </w:r>
      <w:r>
        <w:rPr/>
        <w:t>students’</w:t>
      </w:r>
      <w:r>
        <w:rPr>
          <w:spacing w:val="-3"/>
        </w:rPr>
        <w:t> </w:t>
      </w:r>
      <w:r>
        <w:rPr>
          <w:spacing w:val="-2"/>
        </w:rPr>
        <w:t>welfare</w:t>
      </w:r>
    </w:p>
    <w:p>
      <w:pPr>
        <w:pStyle w:val="BodyText"/>
        <w:spacing w:before="3"/>
        <w:rPr>
          <w:rFonts w:ascii="Arial"/>
          <w:b/>
          <w:sz w:val="28"/>
        </w:rPr>
      </w:pPr>
    </w:p>
    <w:p>
      <w:pPr>
        <w:pStyle w:val="BodyText"/>
        <w:spacing w:line="480" w:lineRule="auto"/>
        <w:ind w:left="820" w:right="113" w:firstLine="720"/>
        <w:jc w:val="both"/>
      </w:pPr>
      <w:r>
        <w:rPr/>
        <w:t>In this section the responses of the three categories of respondents obtained from items 73 to 76 are presented in Table 4.3.2.1 using frequencies and simple percentages.</w:t>
      </w:r>
    </w:p>
    <w:p>
      <w:pPr>
        <w:spacing w:after="0" w:line="480" w:lineRule="auto"/>
        <w:jc w:val="both"/>
        <w:sectPr>
          <w:headerReference w:type="default" r:id="rId365"/>
          <w:footerReference w:type="default" r:id="rId366"/>
          <w:pgSz w:w="12240" w:h="15840"/>
          <w:pgMar w:header="722" w:footer="791" w:top="1340" w:bottom="980" w:left="1340" w:right="1320"/>
        </w:sectPr>
      </w:pPr>
    </w:p>
    <w:p>
      <w:pPr>
        <w:pStyle w:val="BodyText"/>
        <w:spacing w:before="72"/>
        <w:ind w:left="2646" w:right="2163"/>
        <w:jc w:val="center"/>
        <w:rPr>
          <w:rFonts w:ascii="Times New Roman"/>
        </w:rPr>
      </w:pPr>
      <w:r>
        <w:rPr>
          <w:rFonts w:ascii="Times New Roman"/>
          <w:spacing w:val="-5"/>
        </w:rPr>
        <w:t>163</w:t>
      </w:r>
    </w:p>
    <w:p>
      <w:pPr>
        <w:pStyle w:val="BodyText"/>
        <w:spacing w:before="121"/>
        <w:rPr>
          <w:rFonts w:ascii="Times New Roman"/>
          <w:sz w:val="28"/>
        </w:rPr>
      </w:pPr>
    </w:p>
    <w:p>
      <w:pPr>
        <w:pStyle w:val="Heading2"/>
        <w:spacing w:before="1"/>
        <w:ind w:left="1120"/>
      </w:pPr>
      <w:r>
        <w:rPr/>
        <w:t>Table</w:t>
      </w:r>
      <w:r>
        <w:rPr>
          <w:spacing w:val="-8"/>
        </w:rPr>
        <w:t> </w:t>
      </w:r>
      <w:r>
        <w:rPr/>
        <w:t>4.3.2.1:</w:t>
      </w:r>
      <w:r>
        <w:rPr>
          <w:spacing w:val="-7"/>
        </w:rPr>
        <w:t> </w:t>
      </w:r>
      <w:r>
        <w:rPr/>
        <w:t>Opinions</w:t>
      </w:r>
      <w:r>
        <w:rPr>
          <w:spacing w:val="-7"/>
        </w:rPr>
        <w:t> </w:t>
      </w:r>
      <w:r>
        <w:rPr/>
        <w:t>of</w:t>
      </w:r>
      <w:r>
        <w:rPr>
          <w:spacing w:val="-7"/>
        </w:rPr>
        <w:t> </w:t>
      </w:r>
      <w:r>
        <w:rPr/>
        <w:t>respondents</w:t>
      </w:r>
      <w:r>
        <w:rPr>
          <w:spacing w:val="-7"/>
        </w:rPr>
        <w:t> </w:t>
      </w:r>
      <w:r>
        <w:rPr/>
        <w:t>on</w:t>
      </w:r>
      <w:r>
        <w:rPr>
          <w:spacing w:val="-7"/>
        </w:rPr>
        <w:t> </w:t>
      </w:r>
      <w:r>
        <w:rPr/>
        <w:t>the</w:t>
      </w:r>
      <w:r>
        <w:rPr>
          <w:spacing w:val="-12"/>
        </w:rPr>
        <w:t> </w:t>
      </w:r>
      <w:r>
        <w:rPr/>
        <w:t>impact</w:t>
      </w:r>
      <w:r>
        <w:rPr>
          <w:spacing w:val="-8"/>
        </w:rPr>
        <w:t> </w:t>
      </w:r>
      <w:r>
        <w:rPr/>
        <w:t>of</w:t>
      </w:r>
      <w:r>
        <w:rPr>
          <w:spacing w:val="-7"/>
        </w:rPr>
        <w:t> </w:t>
      </w:r>
      <w:r>
        <w:rPr/>
        <w:t>Library</w:t>
      </w:r>
      <w:r>
        <w:rPr>
          <w:spacing w:val="-11"/>
        </w:rPr>
        <w:t> </w:t>
      </w:r>
      <w:r>
        <w:rPr/>
        <w:t>services</w:t>
      </w:r>
      <w:r>
        <w:rPr>
          <w:spacing w:val="-7"/>
        </w:rPr>
        <w:t> </w:t>
      </w:r>
      <w:r>
        <w:rPr/>
        <w:t>on</w:t>
      </w:r>
      <w:r>
        <w:rPr>
          <w:spacing w:val="-8"/>
        </w:rPr>
        <w:t> </w:t>
      </w:r>
      <w:r>
        <w:rPr/>
        <w:t>students’</w:t>
      </w:r>
      <w:r>
        <w:rPr>
          <w:spacing w:val="-11"/>
        </w:rPr>
        <w:t> </w:t>
      </w:r>
      <w:r>
        <w:rPr>
          <w:spacing w:val="-2"/>
        </w:rPr>
        <w:t>welfare</w:t>
      </w:r>
    </w:p>
    <w:p>
      <w:pPr>
        <w:pStyle w:val="BodyText"/>
        <w:spacing w:before="56"/>
        <w:rPr>
          <w:rFonts w:ascii="Arial"/>
          <w:b/>
          <w:sz w:val="20"/>
        </w:rPr>
      </w:pPr>
    </w:p>
    <w:tbl>
      <w:tblPr>
        <w:tblW w:w="0" w:type="auto"/>
        <w:jc w:val="left"/>
        <w:tblInd w:w="1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43"/>
        <w:gridCol w:w="1800"/>
        <w:gridCol w:w="674"/>
        <w:gridCol w:w="779"/>
        <w:gridCol w:w="693"/>
        <w:gridCol w:w="779"/>
        <w:gridCol w:w="688"/>
        <w:gridCol w:w="906"/>
        <w:gridCol w:w="688"/>
        <w:gridCol w:w="801"/>
        <w:gridCol w:w="628"/>
        <w:gridCol w:w="772"/>
        <w:gridCol w:w="693"/>
        <w:gridCol w:w="735"/>
      </w:tblGrid>
      <w:tr>
        <w:trPr>
          <w:trHeight w:val="273" w:hRule="atLeast"/>
        </w:trPr>
        <w:tc>
          <w:tcPr>
            <w:tcW w:w="4143" w:type="dxa"/>
            <w:vMerge w:val="restart"/>
            <w:tcBorders>
              <w:top w:val="single" w:sz="4" w:space="0" w:color="000000"/>
              <w:left w:val="single" w:sz="4" w:space="0" w:color="000000"/>
              <w:bottom w:val="single" w:sz="4" w:space="0" w:color="000000"/>
            </w:tcBorders>
          </w:tcPr>
          <w:p>
            <w:pPr>
              <w:pStyle w:val="TableParagraph"/>
              <w:rPr>
                <w:rFonts w:ascii="Arial"/>
                <w:b/>
                <w:sz w:val="20"/>
              </w:rPr>
            </w:pPr>
          </w:p>
          <w:p>
            <w:pPr>
              <w:pStyle w:val="TableParagraph"/>
              <w:spacing w:before="216"/>
              <w:rPr>
                <w:rFonts w:ascii="Arial"/>
                <w:b/>
                <w:sz w:val="20"/>
              </w:rPr>
            </w:pPr>
          </w:p>
          <w:p>
            <w:pPr>
              <w:pStyle w:val="TableParagraph"/>
              <w:tabs>
                <w:tab w:pos="830" w:val="left" w:leader="none"/>
              </w:tabs>
              <w:ind w:left="134"/>
              <w:rPr>
                <w:rFonts w:ascii="Arial"/>
                <w:b/>
                <w:sz w:val="20"/>
              </w:rPr>
            </w:pPr>
            <w:r>
              <w:rPr>
                <w:rFonts w:ascii="Arial"/>
                <w:b/>
                <w:spacing w:val="-4"/>
                <w:sz w:val="20"/>
              </w:rPr>
              <w:t>S/No</w:t>
            </w:r>
            <w:r>
              <w:rPr>
                <w:rFonts w:ascii="Arial"/>
                <w:b/>
                <w:sz w:val="20"/>
              </w:rPr>
              <w:tab/>
              <w:t>Item</w:t>
            </w:r>
            <w:r>
              <w:rPr>
                <w:rFonts w:ascii="Arial"/>
                <w:b/>
                <w:spacing w:val="-2"/>
                <w:sz w:val="20"/>
              </w:rPr>
              <w:t> Statements</w:t>
            </w:r>
          </w:p>
        </w:tc>
        <w:tc>
          <w:tcPr>
            <w:tcW w:w="1800" w:type="dxa"/>
            <w:vMerge w:val="restart"/>
            <w:tcBorders>
              <w:top w:val="single" w:sz="4" w:space="0" w:color="000000"/>
              <w:bottom w:val="single" w:sz="4" w:space="0" w:color="000000"/>
              <w:right w:val="single" w:sz="4" w:space="0" w:color="000000"/>
            </w:tcBorders>
          </w:tcPr>
          <w:p>
            <w:pPr>
              <w:pStyle w:val="TableParagraph"/>
              <w:spacing w:before="215"/>
              <w:rPr>
                <w:rFonts w:ascii="Arial"/>
                <w:b/>
                <w:sz w:val="20"/>
              </w:rPr>
            </w:pPr>
          </w:p>
          <w:p>
            <w:pPr>
              <w:pStyle w:val="TableParagraph"/>
              <w:spacing w:before="1"/>
              <w:ind w:left="109" w:right="409"/>
              <w:rPr>
                <w:rFonts w:ascii="Arial"/>
                <w:b/>
                <w:sz w:val="20"/>
              </w:rPr>
            </w:pPr>
            <w:r>
              <w:rPr>
                <w:rFonts w:ascii="Arial"/>
                <w:b/>
                <w:sz w:val="20"/>
              </w:rPr>
              <w:t>Category of </w:t>
            </w:r>
            <w:r>
              <w:rPr>
                <w:rFonts w:ascii="Arial"/>
                <w:b/>
                <w:spacing w:val="-2"/>
                <w:sz w:val="20"/>
              </w:rPr>
              <w:t>Respondents</w:t>
            </w:r>
          </w:p>
        </w:tc>
        <w:tc>
          <w:tcPr>
            <w:tcW w:w="8836" w:type="dxa"/>
            <w:gridSpan w:val="12"/>
            <w:tcBorders>
              <w:top w:val="single" w:sz="4" w:space="0" w:color="000000"/>
              <w:left w:val="single" w:sz="4" w:space="0" w:color="000000"/>
              <w:bottom w:val="single" w:sz="4" w:space="0" w:color="000000"/>
              <w:right w:val="single" w:sz="4" w:space="0" w:color="000000"/>
            </w:tcBorders>
          </w:tcPr>
          <w:p>
            <w:pPr>
              <w:pStyle w:val="TableParagraph"/>
              <w:spacing w:line="253" w:lineRule="exact"/>
              <w:ind w:right="1569"/>
              <w:jc w:val="center"/>
              <w:rPr>
                <w:rFonts w:ascii="Arial"/>
                <w:b/>
                <w:sz w:val="24"/>
              </w:rPr>
            </w:pPr>
            <w:r>
              <w:rPr>
                <w:rFonts w:ascii="Arial"/>
                <w:b/>
                <w:spacing w:val="-2"/>
                <w:sz w:val="24"/>
              </w:rPr>
              <w:t>Responses</w:t>
            </w:r>
          </w:p>
        </w:tc>
      </w:tr>
      <w:tr>
        <w:trPr>
          <w:trHeight w:val="460" w:hRule="atLeast"/>
        </w:trPr>
        <w:tc>
          <w:tcPr>
            <w:tcW w:w="4143" w:type="dxa"/>
            <w:vMerge/>
            <w:tcBorders>
              <w:top w:val="nil"/>
              <w:left w:val="single" w:sz="4" w:space="0" w:color="000000"/>
              <w:bottom w:val="single" w:sz="4" w:space="0" w:color="000000"/>
            </w:tcBorders>
          </w:tcPr>
          <w:p>
            <w:pPr>
              <w:rPr>
                <w:sz w:val="2"/>
                <w:szCs w:val="2"/>
              </w:rPr>
            </w:pPr>
          </w:p>
        </w:tc>
        <w:tc>
          <w:tcPr>
            <w:tcW w:w="1800" w:type="dxa"/>
            <w:vMerge/>
            <w:tcBorders>
              <w:top w:val="nil"/>
              <w:bottom w:val="single" w:sz="4" w:space="0" w:color="000000"/>
              <w:right w:val="single" w:sz="4" w:space="0" w:color="000000"/>
            </w:tcBorders>
          </w:tcPr>
          <w:p>
            <w:pPr>
              <w:rPr>
                <w:sz w:val="2"/>
                <w:szCs w:val="2"/>
              </w:rPr>
            </w:pPr>
          </w:p>
        </w:tc>
        <w:tc>
          <w:tcPr>
            <w:tcW w:w="8836" w:type="dxa"/>
            <w:gridSpan w:val="12"/>
            <w:tcBorders>
              <w:top w:val="single" w:sz="4" w:space="0" w:color="000000"/>
              <w:left w:val="single" w:sz="4" w:space="0" w:color="000000"/>
              <w:bottom w:val="single" w:sz="4" w:space="0" w:color="000000"/>
              <w:right w:val="single" w:sz="4" w:space="0" w:color="000000"/>
            </w:tcBorders>
          </w:tcPr>
          <w:p>
            <w:pPr>
              <w:pStyle w:val="TableParagraph"/>
              <w:tabs>
                <w:tab w:pos="1871" w:val="left" w:leader="none"/>
                <w:tab w:pos="3186" w:val="left" w:leader="none"/>
                <w:tab w:pos="4813" w:val="left" w:leader="none"/>
                <w:tab w:pos="6258" w:val="left" w:leader="none"/>
                <w:tab w:pos="7856" w:val="left" w:leader="none"/>
              </w:tabs>
              <w:spacing w:line="220" w:lineRule="exact"/>
              <w:ind w:left="306"/>
              <w:rPr>
                <w:rFonts w:ascii="Arial"/>
                <w:b/>
                <w:sz w:val="20"/>
              </w:rPr>
            </w:pPr>
            <w:r>
              <w:rPr>
                <w:rFonts w:ascii="Arial"/>
                <w:b/>
                <w:spacing w:val="-2"/>
                <w:sz w:val="20"/>
              </w:rPr>
              <w:t>Strongly</w:t>
            </w:r>
            <w:r>
              <w:rPr>
                <w:rFonts w:ascii="Arial"/>
                <w:b/>
                <w:sz w:val="20"/>
              </w:rPr>
              <w:tab/>
            </w:r>
            <w:r>
              <w:rPr>
                <w:rFonts w:ascii="Arial"/>
                <w:b/>
                <w:spacing w:val="-4"/>
                <w:sz w:val="20"/>
              </w:rPr>
              <w:t>Agree</w:t>
            </w:r>
            <w:r>
              <w:rPr>
                <w:rFonts w:ascii="Arial"/>
                <w:b/>
                <w:sz w:val="20"/>
              </w:rPr>
              <w:tab/>
            </w:r>
            <w:r>
              <w:rPr>
                <w:rFonts w:ascii="Arial"/>
                <w:b/>
                <w:spacing w:val="-2"/>
                <w:sz w:val="20"/>
              </w:rPr>
              <w:t>Undecided</w:t>
            </w:r>
            <w:r>
              <w:rPr>
                <w:rFonts w:ascii="Arial"/>
                <w:b/>
                <w:sz w:val="20"/>
              </w:rPr>
              <w:tab/>
            </w:r>
            <w:r>
              <w:rPr>
                <w:rFonts w:ascii="Arial"/>
                <w:b/>
                <w:spacing w:val="-2"/>
                <w:sz w:val="20"/>
              </w:rPr>
              <w:t>Disagree</w:t>
            </w:r>
            <w:r>
              <w:rPr>
                <w:rFonts w:ascii="Arial"/>
                <w:b/>
                <w:sz w:val="20"/>
              </w:rPr>
              <w:tab/>
            </w:r>
            <w:r>
              <w:rPr>
                <w:rFonts w:ascii="Arial"/>
                <w:b/>
                <w:spacing w:val="-2"/>
                <w:sz w:val="20"/>
              </w:rPr>
              <w:t>Strongly</w:t>
            </w:r>
            <w:r>
              <w:rPr>
                <w:rFonts w:ascii="Arial"/>
                <w:b/>
                <w:sz w:val="20"/>
              </w:rPr>
              <w:tab/>
            </w:r>
            <w:r>
              <w:rPr>
                <w:rFonts w:ascii="Arial"/>
                <w:b/>
                <w:spacing w:val="-2"/>
                <w:sz w:val="20"/>
              </w:rPr>
              <w:t>Total</w:t>
            </w:r>
          </w:p>
          <w:p>
            <w:pPr>
              <w:pStyle w:val="TableParagraph"/>
              <w:tabs>
                <w:tab w:pos="6243" w:val="left" w:leader="none"/>
              </w:tabs>
              <w:spacing w:line="220" w:lineRule="exact"/>
              <w:ind w:left="431"/>
              <w:rPr>
                <w:rFonts w:ascii="Arial"/>
                <w:b/>
                <w:sz w:val="20"/>
              </w:rPr>
            </w:pPr>
            <w:r>
              <w:rPr>
                <w:rFonts w:ascii="Arial"/>
                <w:b/>
                <w:spacing w:val="-2"/>
                <w:sz w:val="20"/>
              </w:rPr>
              <w:t>Agree</w:t>
            </w:r>
            <w:r>
              <w:rPr>
                <w:rFonts w:ascii="Arial"/>
                <w:b/>
                <w:sz w:val="20"/>
              </w:rPr>
              <w:tab/>
            </w:r>
            <w:r>
              <w:rPr>
                <w:rFonts w:ascii="Arial"/>
                <w:b/>
                <w:spacing w:val="-2"/>
                <w:sz w:val="20"/>
              </w:rPr>
              <w:t>Disagree</w:t>
            </w:r>
          </w:p>
        </w:tc>
      </w:tr>
      <w:tr>
        <w:trPr>
          <w:trHeight w:val="321" w:hRule="atLeast"/>
        </w:trPr>
        <w:tc>
          <w:tcPr>
            <w:tcW w:w="4143" w:type="dxa"/>
            <w:vMerge/>
            <w:tcBorders>
              <w:top w:val="nil"/>
              <w:left w:val="single" w:sz="4" w:space="0" w:color="000000"/>
              <w:bottom w:val="single" w:sz="4" w:space="0" w:color="000000"/>
            </w:tcBorders>
          </w:tcPr>
          <w:p>
            <w:pPr>
              <w:rPr>
                <w:sz w:val="2"/>
                <w:szCs w:val="2"/>
              </w:rPr>
            </w:pPr>
          </w:p>
        </w:tc>
        <w:tc>
          <w:tcPr>
            <w:tcW w:w="1800" w:type="dxa"/>
            <w:vMerge/>
            <w:tcBorders>
              <w:top w:val="nil"/>
              <w:bottom w:val="single" w:sz="4" w:space="0" w:color="000000"/>
              <w:right w:val="single" w:sz="4" w:space="0" w:color="000000"/>
            </w:tcBorders>
          </w:tcPr>
          <w:p>
            <w:pPr>
              <w:rPr>
                <w:sz w:val="2"/>
                <w:szCs w:val="2"/>
              </w:rPr>
            </w:pPr>
          </w:p>
        </w:tc>
        <w:tc>
          <w:tcPr>
            <w:tcW w:w="674" w:type="dxa"/>
            <w:tcBorders>
              <w:top w:val="single" w:sz="4" w:space="0" w:color="000000"/>
              <w:left w:val="single" w:sz="4" w:space="0" w:color="000000"/>
              <w:bottom w:val="single" w:sz="4" w:space="0" w:color="000000"/>
            </w:tcBorders>
          </w:tcPr>
          <w:p>
            <w:pPr>
              <w:pStyle w:val="TableParagraph"/>
              <w:spacing w:line="220" w:lineRule="exact"/>
              <w:ind w:left="47"/>
              <w:jc w:val="center"/>
              <w:rPr>
                <w:rFonts w:ascii="Arial"/>
                <w:b/>
                <w:sz w:val="20"/>
              </w:rPr>
            </w:pPr>
            <w:r>
              <w:rPr>
                <w:rFonts w:ascii="Arial"/>
                <w:b/>
                <w:spacing w:val="-10"/>
                <w:sz w:val="20"/>
              </w:rPr>
              <w:t>F</w:t>
            </w:r>
          </w:p>
        </w:tc>
        <w:tc>
          <w:tcPr>
            <w:tcW w:w="779" w:type="dxa"/>
            <w:tcBorders>
              <w:top w:val="single" w:sz="4" w:space="0" w:color="000000"/>
              <w:bottom w:val="single" w:sz="4" w:space="0" w:color="000000"/>
            </w:tcBorders>
          </w:tcPr>
          <w:p>
            <w:pPr>
              <w:pStyle w:val="TableParagraph"/>
              <w:spacing w:line="220" w:lineRule="exact"/>
              <w:ind w:left="112" w:right="74"/>
              <w:jc w:val="center"/>
              <w:rPr>
                <w:rFonts w:ascii="Arial"/>
                <w:b/>
                <w:sz w:val="20"/>
              </w:rPr>
            </w:pPr>
            <w:r>
              <w:rPr>
                <w:rFonts w:ascii="Arial"/>
                <w:b/>
                <w:spacing w:val="-10"/>
                <w:sz w:val="20"/>
              </w:rPr>
              <w:t>%</w:t>
            </w:r>
          </w:p>
        </w:tc>
        <w:tc>
          <w:tcPr>
            <w:tcW w:w="693" w:type="dxa"/>
            <w:tcBorders>
              <w:top w:val="single" w:sz="4" w:space="0" w:color="000000"/>
              <w:bottom w:val="single" w:sz="4" w:space="0" w:color="000000"/>
            </w:tcBorders>
          </w:tcPr>
          <w:p>
            <w:pPr>
              <w:pStyle w:val="TableParagraph"/>
              <w:spacing w:line="220" w:lineRule="exact"/>
              <w:ind w:left="33" w:right="26"/>
              <w:jc w:val="center"/>
              <w:rPr>
                <w:rFonts w:ascii="Arial"/>
                <w:b/>
                <w:sz w:val="20"/>
              </w:rPr>
            </w:pPr>
            <w:r>
              <w:rPr>
                <w:rFonts w:ascii="Arial"/>
                <w:b/>
                <w:spacing w:val="-10"/>
                <w:sz w:val="20"/>
              </w:rPr>
              <w:t>F</w:t>
            </w:r>
          </w:p>
        </w:tc>
        <w:tc>
          <w:tcPr>
            <w:tcW w:w="779" w:type="dxa"/>
            <w:tcBorders>
              <w:top w:val="single" w:sz="4" w:space="0" w:color="000000"/>
              <w:bottom w:val="single" w:sz="4" w:space="0" w:color="000000"/>
            </w:tcBorders>
          </w:tcPr>
          <w:p>
            <w:pPr>
              <w:pStyle w:val="TableParagraph"/>
              <w:spacing w:line="220" w:lineRule="exact"/>
              <w:ind w:left="51" w:right="74"/>
              <w:jc w:val="center"/>
              <w:rPr>
                <w:rFonts w:ascii="Arial"/>
                <w:b/>
                <w:sz w:val="20"/>
              </w:rPr>
            </w:pPr>
            <w:r>
              <w:rPr>
                <w:rFonts w:ascii="Arial"/>
                <w:b/>
                <w:spacing w:val="-10"/>
                <w:sz w:val="20"/>
              </w:rPr>
              <w:t>%</w:t>
            </w:r>
          </w:p>
        </w:tc>
        <w:tc>
          <w:tcPr>
            <w:tcW w:w="688" w:type="dxa"/>
            <w:tcBorders>
              <w:top w:val="single" w:sz="4" w:space="0" w:color="000000"/>
              <w:bottom w:val="single" w:sz="4" w:space="0" w:color="000000"/>
            </w:tcBorders>
          </w:tcPr>
          <w:p>
            <w:pPr>
              <w:pStyle w:val="TableParagraph"/>
              <w:spacing w:line="220" w:lineRule="exact"/>
              <w:ind w:left="44" w:right="93"/>
              <w:jc w:val="center"/>
              <w:rPr>
                <w:rFonts w:ascii="Arial"/>
                <w:b/>
                <w:sz w:val="20"/>
              </w:rPr>
            </w:pPr>
            <w:r>
              <w:rPr>
                <w:rFonts w:ascii="Arial"/>
                <w:b/>
                <w:spacing w:val="-10"/>
                <w:sz w:val="20"/>
              </w:rPr>
              <w:t>F</w:t>
            </w:r>
          </w:p>
        </w:tc>
        <w:tc>
          <w:tcPr>
            <w:tcW w:w="906" w:type="dxa"/>
            <w:tcBorders>
              <w:top w:val="single" w:sz="4" w:space="0" w:color="000000"/>
              <w:bottom w:val="single" w:sz="4" w:space="0" w:color="000000"/>
            </w:tcBorders>
          </w:tcPr>
          <w:p>
            <w:pPr>
              <w:pStyle w:val="TableParagraph"/>
              <w:spacing w:line="220" w:lineRule="exact"/>
              <w:ind w:right="2"/>
              <w:jc w:val="center"/>
              <w:rPr>
                <w:rFonts w:ascii="Arial"/>
                <w:b/>
                <w:sz w:val="20"/>
              </w:rPr>
            </w:pPr>
            <w:r>
              <w:rPr>
                <w:rFonts w:ascii="Arial"/>
                <w:b/>
                <w:spacing w:val="-10"/>
                <w:sz w:val="20"/>
              </w:rPr>
              <w:t>%</w:t>
            </w:r>
          </w:p>
        </w:tc>
        <w:tc>
          <w:tcPr>
            <w:tcW w:w="688" w:type="dxa"/>
            <w:tcBorders>
              <w:top w:val="single" w:sz="4" w:space="0" w:color="000000"/>
              <w:bottom w:val="single" w:sz="4" w:space="0" w:color="000000"/>
            </w:tcBorders>
          </w:tcPr>
          <w:p>
            <w:pPr>
              <w:pStyle w:val="TableParagraph"/>
              <w:spacing w:line="220" w:lineRule="exact"/>
              <w:ind w:left="101" w:right="57"/>
              <w:jc w:val="center"/>
              <w:rPr>
                <w:rFonts w:ascii="Arial"/>
                <w:b/>
                <w:sz w:val="20"/>
              </w:rPr>
            </w:pPr>
            <w:r>
              <w:rPr>
                <w:rFonts w:ascii="Arial"/>
                <w:b/>
                <w:spacing w:val="-10"/>
                <w:sz w:val="20"/>
              </w:rPr>
              <w:t>F</w:t>
            </w:r>
          </w:p>
        </w:tc>
        <w:tc>
          <w:tcPr>
            <w:tcW w:w="801" w:type="dxa"/>
            <w:tcBorders>
              <w:top w:val="single" w:sz="4" w:space="0" w:color="000000"/>
              <w:bottom w:val="single" w:sz="4" w:space="0" w:color="000000"/>
            </w:tcBorders>
          </w:tcPr>
          <w:p>
            <w:pPr>
              <w:pStyle w:val="TableParagraph"/>
              <w:spacing w:line="220" w:lineRule="exact"/>
              <w:ind w:left="6" w:right="10"/>
              <w:jc w:val="center"/>
              <w:rPr>
                <w:rFonts w:ascii="Arial"/>
                <w:b/>
                <w:sz w:val="20"/>
              </w:rPr>
            </w:pPr>
            <w:r>
              <w:rPr>
                <w:rFonts w:ascii="Arial"/>
                <w:b/>
                <w:spacing w:val="-10"/>
                <w:sz w:val="20"/>
              </w:rPr>
              <w:t>%</w:t>
            </w:r>
          </w:p>
        </w:tc>
        <w:tc>
          <w:tcPr>
            <w:tcW w:w="628" w:type="dxa"/>
            <w:tcBorders>
              <w:top w:val="single" w:sz="4" w:space="0" w:color="000000"/>
              <w:bottom w:val="single" w:sz="4" w:space="0" w:color="000000"/>
            </w:tcBorders>
          </w:tcPr>
          <w:p>
            <w:pPr>
              <w:pStyle w:val="TableParagraph"/>
              <w:spacing w:line="220" w:lineRule="exact"/>
              <w:ind w:left="8" w:right="19"/>
              <w:jc w:val="center"/>
              <w:rPr>
                <w:rFonts w:ascii="Arial"/>
                <w:b/>
                <w:sz w:val="20"/>
              </w:rPr>
            </w:pPr>
            <w:r>
              <w:rPr>
                <w:rFonts w:ascii="Arial"/>
                <w:b/>
                <w:spacing w:val="-10"/>
                <w:sz w:val="20"/>
              </w:rPr>
              <w:t>F</w:t>
            </w:r>
          </w:p>
        </w:tc>
        <w:tc>
          <w:tcPr>
            <w:tcW w:w="772" w:type="dxa"/>
            <w:tcBorders>
              <w:top w:val="single" w:sz="4" w:space="0" w:color="000000"/>
              <w:bottom w:val="single" w:sz="4" w:space="0" w:color="000000"/>
            </w:tcBorders>
          </w:tcPr>
          <w:p>
            <w:pPr>
              <w:pStyle w:val="TableParagraph"/>
              <w:spacing w:line="220" w:lineRule="exact"/>
              <w:ind w:left="28" w:right="22"/>
              <w:jc w:val="center"/>
              <w:rPr>
                <w:rFonts w:ascii="Arial"/>
                <w:b/>
                <w:sz w:val="20"/>
              </w:rPr>
            </w:pPr>
            <w:r>
              <w:rPr>
                <w:rFonts w:ascii="Arial"/>
                <w:b/>
                <w:spacing w:val="-10"/>
                <w:sz w:val="20"/>
              </w:rPr>
              <w:t>%</w:t>
            </w:r>
          </w:p>
        </w:tc>
        <w:tc>
          <w:tcPr>
            <w:tcW w:w="693" w:type="dxa"/>
            <w:tcBorders>
              <w:top w:val="single" w:sz="4" w:space="0" w:color="000000"/>
              <w:bottom w:val="single" w:sz="4" w:space="0" w:color="000000"/>
            </w:tcBorders>
          </w:tcPr>
          <w:p>
            <w:pPr>
              <w:pStyle w:val="TableParagraph"/>
              <w:spacing w:line="220" w:lineRule="exact"/>
              <w:ind w:left="11" w:right="26"/>
              <w:jc w:val="center"/>
              <w:rPr>
                <w:rFonts w:ascii="Arial"/>
                <w:b/>
                <w:sz w:val="20"/>
              </w:rPr>
            </w:pPr>
            <w:r>
              <w:rPr>
                <w:rFonts w:ascii="Arial"/>
                <w:b/>
                <w:spacing w:val="-10"/>
                <w:sz w:val="20"/>
              </w:rPr>
              <w:t>F</w:t>
            </w:r>
          </w:p>
        </w:tc>
        <w:tc>
          <w:tcPr>
            <w:tcW w:w="735" w:type="dxa"/>
            <w:tcBorders>
              <w:top w:val="single" w:sz="4" w:space="0" w:color="000000"/>
              <w:bottom w:val="single" w:sz="4" w:space="0" w:color="000000"/>
              <w:right w:val="single" w:sz="4" w:space="0" w:color="000000"/>
            </w:tcBorders>
          </w:tcPr>
          <w:p>
            <w:pPr>
              <w:pStyle w:val="TableParagraph"/>
              <w:spacing w:line="220" w:lineRule="exact"/>
              <w:ind w:left="76" w:right="77"/>
              <w:jc w:val="center"/>
              <w:rPr>
                <w:rFonts w:ascii="Arial"/>
                <w:b/>
                <w:sz w:val="20"/>
              </w:rPr>
            </w:pPr>
            <w:r>
              <w:rPr>
                <w:rFonts w:ascii="Arial"/>
                <w:b/>
                <w:spacing w:val="-10"/>
                <w:sz w:val="20"/>
              </w:rPr>
              <w:t>%</w:t>
            </w:r>
          </w:p>
        </w:tc>
      </w:tr>
      <w:tr>
        <w:trPr>
          <w:trHeight w:val="227" w:hRule="atLeast"/>
        </w:trPr>
        <w:tc>
          <w:tcPr>
            <w:tcW w:w="4143" w:type="dxa"/>
            <w:tcBorders>
              <w:top w:val="single" w:sz="4" w:space="0" w:color="000000"/>
              <w:left w:val="single" w:sz="4" w:space="0" w:color="000000"/>
            </w:tcBorders>
          </w:tcPr>
          <w:p>
            <w:pPr>
              <w:pStyle w:val="TableParagraph"/>
              <w:tabs>
                <w:tab w:pos="609" w:val="left" w:leader="none"/>
              </w:tabs>
              <w:spacing w:line="208" w:lineRule="exact"/>
              <w:ind w:right="105"/>
              <w:jc w:val="right"/>
              <w:rPr>
                <w:sz w:val="20"/>
              </w:rPr>
            </w:pPr>
            <w:r>
              <w:rPr>
                <w:spacing w:val="-5"/>
                <w:sz w:val="20"/>
              </w:rPr>
              <w:t>73.</w:t>
            </w:r>
            <w:r>
              <w:rPr>
                <w:sz w:val="20"/>
              </w:rPr>
              <w:tab/>
              <w:t>It</w:t>
            </w:r>
            <w:r>
              <w:rPr>
                <w:spacing w:val="32"/>
                <w:sz w:val="20"/>
              </w:rPr>
              <w:t>  </w:t>
            </w:r>
            <w:r>
              <w:rPr>
                <w:sz w:val="20"/>
              </w:rPr>
              <w:t>is</w:t>
            </w:r>
            <w:r>
              <w:rPr>
                <w:spacing w:val="31"/>
                <w:sz w:val="20"/>
              </w:rPr>
              <w:t>  </w:t>
            </w:r>
            <w:r>
              <w:rPr>
                <w:sz w:val="20"/>
              </w:rPr>
              <w:t>believed</w:t>
            </w:r>
            <w:r>
              <w:rPr>
                <w:spacing w:val="33"/>
                <w:sz w:val="20"/>
              </w:rPr>
              <w:t>  </w:t>
            </w:r>
            <w:r>
              <w:rPr>
                <w:sz w:val="20"/>
              </w:rPr>
              <w:t>that</w:t>
            </w:r>
            <w:r>
              <w:rPr>
                <w:spacing w:val="32"/>
                <w:sz w:val="20"/>
              </w:rPr>
              <w:t>  </w:t>
            </w:r>
            <w:r>
              <w:rPr>
                <w:sz w:val="20"/>
              </w:rPr>
              <w:t>provision</w:t>
            </w:r>
            <w:r>
              <w:rPr>
                <w:spacing w:val="31"/>
                <w:sz w:val="20"/>
              </w:rPr>
              <w:t>  </w:t>
            </w:r>
            <w:r>
              <w:rPr>
                <w:spacing w:val="-5"/>
                <w:sz w:val="20"/>
              </w:rPr>
              <w:t>of</w:t>
            </w:r>
          </w:p>
        </w:tc>
        <w:tc>
          <w:tcPr>
            <w:tcW w:w="1800" w:type="dxa"/>
            <w:tcBorders>
              <w:top w:val="single" w:sz="4" w:space="0" w:color="000000"/>
            </w:tcBorders>
          </w:tcPr>
          <w:p>
            <w:pPr>
              <w:pStyle w:val="TableParagraph"/>
              <w:spacing w:line="208" w:lineRule="exact"/>
              <w:ind w:left="109"/>
              <w:rPr>
                <w:sz w:val="20"/>
              </w:rPr>
            </w:pPr>
            <w:r>
              <w:rPr>
                <w:sz w:val="20"/>
              </w:rPr>
              <w:t>No.</w:t>
            </w:r>
            <w:r>
              <w:rPr>
                <w:spacing w:val="-5"/>
                <w:sz w:val="20"/>
              </w:rPr>
              <w:t> </w:t>
            </w:r>
            <w:r>
              <w:rPr>
                <w:sz w:val="20"/>
              </w:rPr>
              <w:t>of</w:t>
            </w:r>
            <w:r>
              <w:rPr>
                <w:spacing w:val="-2"/>
                <w:sz w:val="20"/>
              </w:rPr>
              <w:t> missing</w:t>
            </w:r>
          </w:p>
        </w:tc>
        <w:tc>
          <w:tcPr>
            <w:tcW w:w="674" w:type="dxa"/>
            <w:tcBorders>
              <w:top w:val="single" w:sz="4" w:space="0" w:color="000000"/>
            </w:tcBorders>
          </w:tcPr>
          <w:p>
            <w:pPr>
              <w:pStyle w:val="TableParagraph"/>
              <w:rPr>
                <w:rFonts w:ascii="Times New Roman"/>
                <w:sz w:val="16"/>
              </w:rPr>
            </w:pPr>
          </w:p>
        </w:tc>
        <w:tc>
          <w:tcPr>
            <w:tcW w:w="779" w:type="dxa"/>
            <w:tcBorders>
              <w:top w:val="single" w:sz="4" w:space="0" w:color="000000"/>
            </w:tcBorders>
          </w:tcPr>
          <w:p>
            <w:pPr>
              <w:pStyle w:val="TableParagraph"/>
              <w:rPr>
                <w:rFonts w:ascii="Times New Roman"/>
                <w:sz w:val="16"/>
              </w:rPr>
            </w:pPr>
          </w:p>
        </w:tc>
        <w:tc>
          <w:tcPr>
            <w:tcW w:w="693" w:type="dxa"/>
            <w:tcBorders>
              <w:top w:val="single" w:sz="4" w:space="0" w:color="000000"/>
            </w:tcBorders>
          </w:tcPr>
          <w:p>
            <w:pPr>
              <w:pStyle w:val="TableParagraph"/>
              <w:rPr>
                <w:rFonts w:ascii="Times New Roman"/>
                <w:sz w:val="16"/>
              </w:rPr>
            </w:pPr>
          </w:p>
        </w:tc>
        <w:tc>
          <w:tcPr>
            <w:tcW w:w="779" w:type="dxa"/>
            <w:tcBorders>
              <w:top w:val="single" w:sz="4" w:space="0" w:color="000000"/>
            </w:tcBorders>
          </w:tcPr>
          <w:p>
            <w:pPr>
              <w:pStyle w:val="TableParagraph"/>
              <w:rPr>
                <w:rFonts w:ascii="Times New Roman"/>
                <w:sz w:val="16"/>
              </w:rPr>
            </w:pPr>
          </w:p>
        </w:tc>
        <w:tc>
          <w:tcPr>
            <w:tcW w:w="688" w:type="dxa"/>
            <w:tcBorders>
              <w:top w:val="single" w:sz="4" w:space="0" w:color="000000"/>
            </w:tcBorders>
          </w:tcPr>
          <w:p>
            <w:pPr>
              <w:pStyle w:val="TableParagraph"/>
              <w:rPr>
                <w:rFonts w:ascii="Times New Roman"/>
                <w:sz w:val="16"/>
              </w:rPr>
            </w:pPr>
          </w:p>
        </w:tc>
        <w:tc>
          <w:tcPr>
            <w:tcW w:w="906" w:type="dxa"/>
            <w:tcBorders>
              <w:top w:val="single" w:sz="4" w:space="0" w:color="000000"/>
            </w:tcBorders>
          </w:tcPr>
          <w:p>
            <w:pPr>
              <w:pStyle w:val="TableParagraph"/>
              <w:rPr>
                <w:rFonts w:ascii="Times New Roman"/>
                <w:sz w:val="16"/>
              </w:rPr>
            </w:pPr>
          </w:p>
        </w:tc>
        <w:tc>
          <w:tcPr>
            <w:tcW w:w="688" w:type="dxa"/>
            <w:tcBorders>
              <w:top w:val="single" w:sz="4" w:space="0" w:color="000000"/>
            </w:tcBorders>
          </w:tcPr>
          <w:p>
            <w:pPr>
              <w:pStyle w:val="TableParagraph"/>
              <w:rPr>
                <w:rFonts w:ascii="Times New Roman"/>
                <w:sz w:val="16"/>
              </w:rPr>
            </w:pPr>
          </w:p>
        </w:tc>
        <w:tc>
          <w:tcPr>
            <w:tcW w:w="801" w:type="dxa"/>
            <w:tcBorders>
              <w:top w:val="single" w:sz="4" w:space="0" w:color="000000"/>
            </w:tcBorders>
          </w:tcPr>
          <w:p>
            <w:pPr>
              <w:pStyle w:val="TableParagraph"/>
              <w:rPr>
                <w:rFonts w:ascii="Times New Roman"/>
                <w:sz w:val="16"/>
              </w:rPr>
            </w:pPr>
          </w:p>
        </w:tc>
        <w:tc>
          <w:tcPr>
            <w:tcW w:w="628" w:type="dxa"/>
            <w:tcBorders>
              <w:top w:val="single" w:sz="4" w:space="0" w:color="000000"/>
            </w:tcBorders>
          </w:tcPr>
          <w:p>
            <w:pPr>
              <w:pStyle w:val="TableParagraph"/>
              <w:rPr>
                <w:rFonts w:ascii="Times New Roman"/>
                <w:sz w:val="16"/>
              </w:rPr>
            </w:pPr>
          </w:p>
        </w:tc>
        <w:tc>
          <w:tcPr>
            <w:tcW w:w="772" w:type="dxa"/>
            <w:tcBorders>
              <w:top w:val="single" w:sz="4" w:space="0" w:color="000000"/>
            </w:tcBorders>
          </w:tcPr>
          <w:p>
            <w:pPr>
              <w:pStyle w:val="TableParagraph"/>
              <w:rPr>
                <w:rFonts w:ascii="Times New Roman"/>
                <w:sz w:val="16"/>
              </w:rPr>
            </w:pPr>
          </w:p>
        </w:tc>
        <w:tc>
          <w:tcPr>
            <w:tcW w:w="693" w:type="dxa"/>
            <w:tcBorders>
              <w:top w:val="single" w:sz="4" w:space="0" w:color="000000"/>
            </w:tcBorders>
          </w:tcPr>
          <w:p>
            <w:pPr>
              <w:pStyle w:val="TableParagraph"/>
              <w:rPr>
                <w:rFonts w:ascii="Times New Roman"/>
                <w:sz w:val="16"/>
              </w:rPr>
            </w:pPr>
          </w:p>
        </w:tc>
        <w:tc>
          <w:tcPr>
            <w:tcW w:w="735" w:type="dxa"/>
            <w:tcBorders>
              <w:top w:val="single" w:sz="4" w:space="0" w:color="000000"/>
              <w:right w:val="single" w:sz="4" w:space="0" w:color="000000"/>
            </w:tcBorders>
          </w:tcPr>
          <w:p>
            <w:pPr>
              <w:pStyle w:val="TableParagraph"/>
              <w:rPr>
                <w:rFonts w:ascii="Times New Roman"/>
                <w:sz w:val="16"/>
              </w:rPr>
            </w:pPr>
          </w:p>
        </w:tc>
      </w:tr>
      <w:tr>
        <w:trPr>
          <w:trHeight w:val="230" w:hRule="atLeast"/>
        </w:trPr>
        <w:tc>
          <w:tcPr>
            <w:tcW w:w="4143" w:type="dxa"/>
            <w:tcBorders>
              <w:left w:val="single" w:sz="4" w:space="0" w:color="000000"/>
            </w:tcBorders>
          </w:tcPr>
          <w:p>
            <w:pPr>
              <w:pStyle w:val="TableParagraph"/>
              <w:spacing w:line="210" w:lineRule="exact"/>
              <w:ind w:right="101"/>
              <w:jc w:val="right"/>
              <w:rPr>
                <w:sz w:val="20"/>
              </w:rPr>
            </w:pPr>
            <w:r>
              <w:rPr>
                <w:sz w:val="20"/>
              </w:rPr>
              <w:t>adequate</w:t>
            </w:r>
            <w:r>
              <w:rPr>
                <w:spacing w:val="30"/>
                <w:sz w:val="20"/>
              </w:rPr>
              <w:t> </w:t>
            </w:r>
            <w:r>
              <w:rPr>
                <w:sz w:val="20"/>
              </w:rPr>
              <w:t>libraries</w:t>
            </w:r>
            <w:r>
              <w:rPr>
                <w:spacing w:val="29"/>
                <w:sz w:val="20"/>
              </w:rPr>
              <w:t> </w:t>
            </w:r>
            <w:r>
              <w:rPr>
                <w:sz w:val="20"/>
              </w:rPr>
              <w:t>which</w:t>
            </w:r>
            <w:r>
              <w:rPr>
                <w:spacing w:val="31"/>
                <w:sz w:val="20"/>
              </w:rPr>
              <w:t> </w:t>
            </w:r>
            <w:r>
              <w:rPr>
                <w:sz w:val="20"/>
              </w:rPr>
              <w:t>are</w:t>
            </w:r>
            <w:r>
              <w:rPr>
                <w:spacing w:val="31"/>
                <w:sz w:val="20"/>
              </w:rPr>
              <w:t> </w:t>
            </w:r>
            <w:r>
              <w:rPr>
                <w:spacing w:val="-2"/>
                <w:sz w:val="20"/>
              </w:rPr>
              <w:t>‘store</w:t>
            </w:r>
          </w:p>
        </w:tc>
        <w:tc>
          <w:tcPr>
            <w:tcW w:w="1800" w:type="dxa"/>
          </w:tcPr>
          <w:p>
            <w:pPr>
              <w:pStyle w:val="TableParagraph"/>
              <w:spacing w:line="210" w:lineRule="exact"/>
              <w:ind w:left="109"/>
              <w:rPr>
                <w:sz w:val="20"/>
              </w:rPr>
            </w:pPr>
            <w:r>
              <w:rPr>
                <w:spacing w:val="-2"/>
                <w:sz w:val="20"/>
              </w:rPr>
              <w:t>observations</w:t>
            </w:r>
          </w:p>
        </w:tc>
        <w:tc>
          <w:tcPr>
            <w:tcW w:w="674" w:type="dxa"/>
          </w:tcPr>
          <w:p>
            <w:pPr>
              <w:pStyle w:val="TableParagraph"/>
              <w:spacing w:line="210" w:lineRule="exact"/>
              <w:ind w:left="100" w:right="49"/>
              <w:jc w:val="center"/>
              <w:rPr>
                <w:sz w:val="20"/>
              </w:rPr>
            </w:pPr>
            <w:r>
              <w:rPr>
                <w:spacing w:val="-10"/>
                <w:sz w:val="20"/>
              </w:rPr>
              <w:t>1</w:t>
            </w:r>
          </w:p>
        </w:tc>
        <w:tc>
          <w:tcPr>
            <w:tcW w:w="779" w:type="dxa"/>
          </w:tcPr>
          <w:p>
            <w:pPr>
              <w:pStyle w:val="TableParagraph"/>
              <w:spacing w:line="210" w:lineRule="exact"/>
              <w:ind w:left="112" w:right="74"/>
              <w:jc w:val="center"/>
              <w:rPr>
                <w:sz w:val="20"/>
              </w:rPr>
            </w:pPr>
            <w:r>
              <w:rPr>
                <w:spacing w:val="-4"/>
                <w:sz w:val="20"/>
              </w:rPr>
              <w:t>50.0</w:t>
            </w:r>
          </w:p>
        </w:tc>
        <w:tc>
          <w:tcPr>
            <w:tcW w:w="693" w:type="dxa"/>
          </w:tcPr>
          <w:p>
            <w:pPr>
              <w:pStyle w:val="TableParagraph"/>
              <w:spacing w:line="210" w:lineRule="exact"/>
              <w:ind w:left="26" w:right="26"/>
              <w:jc w:val="center"/>
              <w:rPr>
                <w:sz w:val="20"/>
              </w:rPr>
            </w:pPr>
            <w:r>
              <w:rPr>
                <w:spacing w:val="-10"/>
                <w:sz w:val="20"/>
              </w:rPr>
              <w:t>-</w:t>
            </w:r>
          </w:p>
        </w:tc>
        <w:tc>
          <w:tcPr>
            <w:tcW w:w="779" w:type="dxa"/>
          </w:tcPr>
          <w:p>
            <w:pPr>
              <w:pStyle w:val="TableParagraph"/>
              <w:spacing w:line="210" w:lineRule="exact"/>
              <w:ind w:left="44" w:right="74"/>
              <w:jc w:val="center"/>
              <w:rPr>
                <w:sz w:val="20"/>
              </w:rPr>
            </w:pPr>
            <w:r>
              <w:rPr>
                <w:spacing w:val="-10"/>
                <w:sz w:val="20"/>
              </w:rPr>
              <w:t>-</w:t>
            </w:r>
          </w:p>
        </w:tc>
        <w:tc>
          <w:tcPr>
            <w:tcW w:w="688" w:type="dxa"/>
          </w:tcPr>
          <w:p>
            <w:pPr>
              <w:pStyle w:val="TableParagraph"/>
              <w:spacing w:line="210" w:lineRule="exact"/>
              <w:ind w:left="44" w:right="94"/>
              <w:jc w:val="center"/>
              <w:rPr>
                <w:sz w:val="20"/>
              </w:rPr>
            </w:pPr>
            <w:r>
              <w:rPr>
                <w:spacing w:val="-10"/>
                <w:sz w:val="20"/>
              </w:rPr>
              <w:t>1</w:t>
            </w:r>
          </w:p>
        </w:tc>
        <w:tc>
          <w:tcPr>
            <w:tcW w:w="906" w:type="dxa"/>
          </w:tcPr>
          <w:p>
            <w:pPr>
              <w:pStyle w:val="TableParagraph"/>
              <w:spacing w:line="210" w:lineRule="exact"/>
              <w:ind w:right="2"/>
              <w:jc w:val="center"/>
              <w:rPr>
                <w:sz w:val="20"/>
              </w:rPr>
            </w:pPr>
            <w:r>
              <w:rPr>
                <w:spacing w:val="-4"/>
                <w:sz w:val="20"/>
              </w:rPr>
              <w:t>50.0</w:t>
            </w:r>
          </w:p>
        </w:tc>
        <w:tc>
          <w:tcPr>
            <w:tcW w:w="688" w:type="dxa"/>
          </w:tcPr>
          <w:p>
            <w:pPr>
              <w:pStyle w:val="TableParagraph"/>
              <w:spacing w:line="210" w:lineRule="exact"/>
              <w:ind w:left="93" w:right="57"/>
              <w:jc w:val="center"/>
              <w:rPr>
                <w:sz w:val="20"/>
              </w:rPr>
            </w:pPr>
            <w:r>
              <w:rPr>
                <w:spacing w:val="-10"/>
                <w:sz w:val="20"/>
              </w:rPr>
              <w:t>-</w:t>
            </w:r>
          </w:p>
        </w:tc>
        <w:tc>
          <w:tcPr>
            <w:tcW w:w="801" w:type="dxa"/>
          </w:tcPr>
          <w:p>
            <w:pPr>
              <w:pStyle w:val="TableParagraph"/>
              <w:spacing w:line="210" w:lineRule="exact"/>
              <w:ind w:right="10"/>
              <w:jc w:val="center"/>
              <w:rPr>
                <w:sz w:val="20"/>
              </w:rPr>
            </w:pPr>
            <w:r>
              <w:rPr>
                <w:spacing w:val="-10"/>
                <w:sz w:val="20"/>
              </w:rPr>
              <w:t>-</w:t>
            </w:r>
          </w:p>
        </w:tc>
        <w:tc>
          <w:tcPr>
            <w:tcW w:w="628" w:type="dxa"/>
          </w:tcPr>
          <w:p>
            <w:pPr>
              <w:pStyle w:val="TableParagraph"/>
              <w:spacing w:line="210" w:lineRule="exact"/>
              <w:ind w:left="8" w:right="27"/>
              <w:jc w:val="center"/>
              <w:rPr>
                <w:sz w:val="20"/>
              </w:rPr>
            </w:pPr>
            <w:r>
              <w:rPr>
                <w:spacing w:val="-10"/>
                <w:sz w:val="20"/>
              </w:rPr>
              <w:t>-</w:t>
            </w:r>
          </w:p>
        </w:tc>
        <w:tc>
          <w:tcPr>
            <w:tcW w:w="772" w:type="dxa"/>
          </w:tcPr>
          <w:p>
            <w:pPr>
              <w:pStyle w:val="TableParagraph"/>
              <w:spacing w:line="210" w:lineRule="exact"/>
              <w:ind w:left="28" w:right="28"/>
              <w:jc w:val="center"/>
              <w:rPr>
                <w:sz w:val="20"/>
              </w:rPr>
            </w:pPr>
            <w:r>
              <w:rPr>
                <w:spacing w:val="-10"/>
                <w:sz w:val="20"/>
              </w:rPr>
              <w:t>-</w:t>
            </w:r>
          </w:p>
        </w:tc>
        <w:tc>
          <w:tcPr>
            <w:tcW w:w="693" w:type="dxa"/>
          </w:tcPr>
          <w:p>
            <w:pPr>
              <w:pStyle w:val="TableParagraph"/>
              <w:spacing w:line="210" w:lineRule="exact"/>
              <w:ind w:left="10" w:right="26"/>
              <w:jc w:val="center"/>
              <w:rPr>
                <w:sz w:val="20"/>
              </w:rPr>
            </w:pPr>
            <w:r>
              <w:rPr>
                <w:spacing w:val="-10"/>
                <w:sz w:val="20"/>
              </w:rPr>
              <w:t>2</w:t>
            </w:r>
          </w:p>
        </w:tc>
        <w:tc>
          <w:tcPr>
            <w:tcW w:w="735" w:type="dxa"/>
            <w:tcBorders>
              <w:right w:val="single" w:sz="4" w:space="0" w:color="000000"/>
            </w:tcBorders>
          </w:tcPr>
          <w:p>
            <w:pPr>
              <w:pStyle w:val="TableParagraph"/>
              <w:spacing w:line="210" w:lineRule="exact"/>
              <w:ind w:left="76" w:right="80"/>
              <w:jc w:val="center"/>
              <w:rPr>
                <w:sz w:val="20"/>
              </w:rPr>
            </w:pPr>
            <w:r>
              <w:rPr>
                <w:spacing w:val="-5"/>
                <w:sz w:val="20"/>
              </w:rPr>
              <w:t>0.4</w:t>
            </w:r>
          </w:p>
        </w:tc>
      </w:tr>
      <w:tr>
        <w:trPr>
          <w:trHeight w:val="230" w:hRule="atLeast"/>
        </w:trPr>
        <w:tc>
          <w:tcPr>
            <w:tcW w:w="4143" w:type="dxa"/>
            <w:tcBorders>
              <w:left w:val="single" w:sz="4" w:space="0" w:color="000000"/>
            </w:tcBorders>
          </w:tcPr>
          <w:p>
            <w:pPr>
              <w:pStyle w:val="TableParagraph"/>
              <w:spacing w:line="210" w:lineRule="exact"/>
              <w:ind w:right="98"/>
              <w:jc w:val="right"/>
              <w:rPr>
                <w:sz w:val="20"/>
              </w:rPr>
            </w:pPr>
            <w:r>
              <w:rPr>
                <w:sz w:val="20"/>
              </w:rPr>
              <w:t>houses</w:t>
            </w:r>
            <w:r>
              <w:rPr>
                <w:spacing w:val="-2"/>
                <w:sz w:val="20"/>
              </w:rPr>
              <w:t> </w:t>
            </w:r>
            <w:r>
              <w:rPr>
                <w:sz w:val="20"/>
              </w:rPr>
              <w:t>of</w:t>
            </w:r>
            <w:r>
              <w:rPr>
                <w:spacing w:val="4"/>
                <w:sz w:val="20"/>
              </w:rPr>
              <w:t> </w:t>
            </w:r>
            <w:r>
              <w:rPr>
                <w:sz w:val="20"/>
              </w:rPr>
              <w:t>knowledge’,</w:t>
            </w:r>
            <w:r>
              <w:rPr>
                <w:spacing w:val="-1"/>
                <w:sz w:val="20"/>
              </w:rPr>
              <w:t> </w:t>
            </w:r>
            <w:r>
              <w:rPr>
                <w:sz w:val="20"/>
              </w:rPr>
              <w:t>is</w:t>
            </w:r>
            <w:r>
              <w:rPr>
                <w:spacing w:val="-2"/>
                <w:sz w:val="20"/>
              </w:rPr>
              <w:t> </w:t>
            </w:r>
            <w:r>
              <w:rPr>
                <w:sz w:val="20"/>
              </w:rPr>
              <w:t>vital</w:t>
            </w:r>
            <w:r>
              <w:rPr>
                <w:spacing w:val="1"/>
                <w:sz w:val="20"/>
              </w:rPr>
              <w:t> </w:t>
            </w:r>
            <w:r>
              <w:rPr>
                <w:sz w:val="20"/>
              </w:rPr>
              <w:t>in</w:t>
            </w:r>
            <w:r>
              <w:rPr>
                <w:spacing w:val="-3"/>
                <w:sz w:val="20"/>
              </w:rPr>
              <w:t> </w:t>
            </w:r>
            <w:r>
              <w:rPr>
                <w:spacing w:val="-5"/>
                <w:sz w:val="20"/>
              </w:rPr>
              <w:t>any</w:t>
            </w:r>
          </w:p>
        </w:tc>
        <w:tc>
          <w:tcPr>
            <w:tcW w:w="1800" w:type="dxa"/>
          </w:tcPr>
          <w:p>
            <w:pPr>
              <w:pStyle w:val="TableParagraph"/>
              <w:spacing w:line="210" w:lineRule="exact"/>
              <w:ind w:left="109"/>
              <w:rPr>
                <w:sz w:val="20"/>
              </w:rPr>
            </w:pPr>
            <w:r>
              <w:rPr>
                <w:spacing w:val="-2"/>
                <w:sz w:val="20"/>
              </w:rPr>
              <w:t>Students</w:t>
            </w:r>
          </w:p>
        </w:tc>
        <w:tc>
          <w:tcPr>
            <w:tcW w:w="674" w:type="dxa"/>
          </w:tcPr>
          <w:p>
            <w:pPr>
              <w:pStyle w:val="TableParagraph"/>
              <w:spacing w:line="210" w:lineRule="exact"/>
              <w:ind w:left="100" w:right="58"/>
              <w:jc w:val="center"/>
              <w:rPr>
                <w:sz w:val="20"/>
              </w:rPr>
            </w:pPr>
            <w:r>
              <w:rPr>
                <w:spacing w:val="-5"/>
                <w:sz w:val="20"/>
              </w:rPr>
              <w:t>171</w:t>
            </w:r>
          </w:p>
        </w:tc>
        <w:tc>
          <w:tcPr>
            <w:tcW w:w="779" w:type="dxa"/>
          </w:tcPr>
          <w:p>
            <w:pPr>
              <w:pStyle w:val="TableParagraph"/>
              <w:spacing w:line="210" w:lineRule="exact"/>
              <w:ind w:left="112" w:right="74"/>
              <w:jc w:val="center"/>
              <w:rPr>
                <w:sz w:val="20"/>
              </w:rPr>
            </w:pPr>
            <w:r>
              <w:rPr>
                <w:spacing w:val="-4"/>
                <w:sz w:val="20"/>
              </w:rPr>
              <w:t>72.8</w:t>
            </w:r>
          </w:p>
        </w:tc>
        <w:tc>
          <w:tcPr>
            <w:tcW w:w="693" w:type="dxa"/>
          </w:tcPr>
          <w:p>
            <w:pPr>
              <w:pStyle w:val="TableParagraph"/>
              <w:spacing w:line="210" w:lineRule="exact"/>
              <w:ind w:left="27" w:right="26"/>
              <w:jc w:val="center"/>
              <w:rPr>
                <w:sz w:val="20"/>
              </w:rPr>
            </w:pPr>
            <w:r>
              <w:rPr>
                <w:spacing w:val="-5"/>
                <w:sz w:val="20"/>
              </w:rPr>
              <w:t>50</w:t>
            </w:r>
          </w:p>
        </w:tc>
        <w:tc>
          <w:tcPr>
            <w:tcW w:w="779" w:type="dxa"/>
          </w:tcPr>
          <w:p>
            <w:pPr>
              <w:pStyle w:val="TableParagraph"/>
              <w:spacing w:line="210" w:lineRule="exact"/>
              <w:ind w:left="51" w:right="74"/>
              <w:jc w:val="center"/>
              <w:rPr>
                <w:sz w:val="20"/>
              </w:rPr>
            </w:pPr>
            <w:r>
              <w:rPr>
                <w:spacing w:val="-4"/>
                <w:sz w:val="20"/>
              </w:rPr>
              <w:t>21.3</w:t>
            </w:r>
          </w:p>
        </w:tc>
        <w:tc>
          <w:tcPr>
            <w:tcW w:w="688" w:type="dxa"/>
          </w:tcPr>
          <w:p>
            <w:pPr>
              <w:pStyle w:val="TableParagraph"/>
              <w:spacing w:line="210" w:lineRule="exact"/>
              <w:ind w:left="44" w:right="99"/>
              <w:jc w:val="center"/>
              <w:rPr>
                <w:sz w:val="20"/>
              </w:rPr>
            </w:pPr>
            <w:r>
              <w:rPr>
                <w:spacing w:val="-5"/>
                <w:sz w:val="20"/>
              </w:rPr>
              <w:t>13</w:t>
            </w:r>
          </w:p>
        </w:tc>
        <w:tc>
          <w:tcPr>
            <w:tcW w:w="906" w:type="dxa"/>
          </w:tcPr>
          <w:p>
            <w:pPr>
              <w:pStyle w:val="TableParagraph"/>
              <w:spacing w:line="210" w:lineRule="exact"/>
              <w:ind w:right="7"/>
              <w:jc w:val="center"/>
              <w:rPr>
                <w:sz w:val="20"/>
              </w:rPr>
            </w:pPr>
            <w:r>
              <w:rPr>
                <w:spacing w:val="-5"/>
                <w:sz w:val="20"/>
              </w:rPr>
              <w:t>5.5</w:t>
            </w:r>
          </w:p>
        </w:tc>
        <w:tc>
          <w:tcPr>
            <w:tcW w:w="688" w:type="dxa"/>
          </w:tcPr>
          <w:p>
            <w:pPr>
              <w:pStyle w:val="TableParagraph"/>
              <w:spacing w:line="210" w:lineRule="exact"/>
              <w:ind w:left="93" w:right="57"/>
              <w:jc w:val="center"/>
              <w:rPr>
                <w:sz w:val="20"/>
              </w:rPr>
            </w:pPr>
            <w:r>
              <w:rPr>
                <w:spacing w:val="-10"/>
                <w:sz w:val="20"/>
              </w:rPr>
              <w:t>-</w:t>
            </w:r>
          </w:p>
        </w:tc>
        <w:tc>
          <w:tcPr>
            <w:tcW w:w="801" w:type="dxa"/>
          </w:tcPr>
          <w:p>
            <w:pPr>
              <w:pStyle w:val="TableParagraph"/>
              <w:spacing w:line="210" w:lineRule="exact"/>
              <w:ind w:right="10"/>
              <w:jc w:val="center"/>
              <w:rPr>
                <w:sz w:val="20"/>
              </w:rPr>
            </w:pPr>
            <w:r>
              <w:rPr>
                <w:spacing w:val="-10"/>
                <w:sz w:val="20"/>
              </w:rPr>
              <w:t>-</w:t>
            </w:r>
          </w:p>
        </w:tc>
        <w:tc>
          <w:tcPr>
            <w:tcW w:w="628" w:type="dxa"/>
          </w:tcPr>
          <w:p>
            <w:pPr>
              <w:pStyle w:val="TableParagraph"/>
              <w:spacing w:line="210" w:lineRule="exact"/>
              <w:ind w:left="8" w:right="20"/>
              <w:jc w:val="center"/>
              <w:rPr>
                <w:sz w:val="20"/>
              </w:rPr>
            </w:pPr>
            <w:r>
              <w:rPr>
                <w:spacing w:val="-10"/>
                <w:sz w:val="20"/>
              </w:rPr>
              <w:t>1</w:t>
            </w:r>
          </w:p>
        </w:tc>
        <w:tc>
          <w:tcPr>
            <w:tcW w:w="772" w:type="dxa"/>
          </w:tcPr>
          <w:p>
            <w:pPr>
              <w:pStyle w:val="TableParagraph"/>
              <w:spacing w:line="210" w:lineRule="exact"/>
              <w:ind w:left="28" w:right="27"/>
              <w:jc w:val="center"/>
              <w:rPr>
                <w:sz w:val="20"/>
              </w:rPr>
            </w:pPr>
            <w:r>
              <w:rPr>
                <w:spacing w:val="-5"/>
                <w:sz w:val="20"/>
              </w:rPr>
              <w:t>0.4</w:t>
            </w:r>
          </w:p>
        </w:tc>
        <w:tc>
          <w:tcPr>
            <w:tcW w:w="693" w:type="dxa"/>
          </w:tcPr>
          <w:p>
            <w:pPr>
              <w:pStyle w:val="TableParagraph"/>
              <w:spacing w:line="210" w:lineRule="exact"/>
              <w:ind w:left="7" w:right="33"/>
              <w:jc w:val="center"/>
              <w:rPr>
                <w:sz w:val="20"/>
              </w:rPr>
            </w:pPr>
            <w:r>
              <w:rPr>
                <w:spacing w:val="-5"/>
                <w:sz w:val="20"/>
              </w:rPr>
              <w:t>235</w:t>
            </w:r>
          </w:p>
        </w:tc>
        <w:tc>
          <w:tcPr>
            <w:tcW w:w="735" w:type="dxa"/>
            <w:tcBorders>
              <w:right w:val="single" w:sz="4" w:space="0" w:color="000000"/>
            </w:tcBorders>
          </w:tcPr>
          <w:p>
            <w:pPr>
              <w:pStyle w:val="TableParagraph"/>
              <w:spacing w:line="210" w:lineRule="exact"/>
              <w:ind w:left="76" w:right="77"/>
              <w:jc w:val="center"/>
              <w:rPr>
                <w:sz w:val="20"/>
              </w:rPr>
            </w:pPr>
            <w:r>
              <w:rPr>
                <w:spacing w:val="-4"/>
                <w:sz w:val="20"/>
              </w:rPr>
              <w:t>50.8</w:t>
            </w:r>
          </w:p>
        </w:tc>
      </w:tr>
      <w:tr>
        <w:trPr>
          <w:trHeight w:val="230" w:hRule="atLeast"/>
        </w:trPr>
        <w:tc>
          <w:tcPr>
            <w:tcW w:w="4143" w:type="dxa"/>
            <w:tcBorders>
              <w:left w:val="single" w:sz="4" w:space="0" w:color="000000"/>
            </w:tcBorders>
          </w:tcPr>
          <w:p>
            <w:pPr>
              <w:pStyle w:val="TableParagraph"/>
              <w:spacing w:line="210" w:lineRule="exact"/>
              <w:ind w:right="101"/>
              <w:jc w:val="right"/>
              <w:rPr>
                <w:sz w:val="20"/>
              </w:rPr>
            </w:pPr>
            <w:r>
              <w:rPr>
                <w:sz w:val="20"/>
              </w:rPr>
              <w:t>University</w:t>
            </w:r>
            <w:r>
              <w:rPr>
                <w:spacing w:val="24"/>
                <w:sz w:val="20"/>
              </w:rPr>
              <w:t> </w:t>
            </w:r>
            <w:r>
              <w:rPr>
                <w:sz w:val="20"/>
              </w:rPr>
              <w:t>so</w:t>
            </w:r>
            <w:r>
              <w:rPr>
                <w:spacing w:val="23"/>
                <w:sz w:val="20"/>
              </w:rPr>
              <w:t> </w:t>
            </w:r>
            <w:r>
              <w:rPr>
                <w:sz w:val="20"/>
              </w:rPr>
              <w:t>that</w:t>
            </w:r>
            <w:r>
              <w:rPr>
                <w:spacing w:val="21"/>
                <w:sz w:val="20"/>
              </w:rPr>
              <w:t> </w:t>
            </w:r>
            <w:r>
              <w:rPr>
                <w:sz w:val="20"/>
              </w:rPr>
              <w:t>students</w:t>
            </w:r>
            <w:r>
              <w:rPr>
                <w:spacing w:val="20"/>
                <w:sz w:val="20"/>
              </w:rPr>
              <w:t> </w:t>
            </w:r>
            <w:r>
              <w:rPr>
                <w:sz w:val="20"/>
              </w:rPr>
              <w:t>can</w:t>
            </w:r>
            <w:r>
              <w:rPr>
                <w:spacing w:val="23"/>
                <w:sz w:val="20"/>
              </w:rPr>
              <w:t> </w:t>
            </w:r>
            <w:r>
              <w:rPr>
                <w:spacing w:val="-5"/>
                <w:sz w:val="20"/>
              </w:rPr>
              <w:t>tap</w:t>
            </w:r>
          </w:p>
        </w:tc>
        <w:tc>
          <w:tcPr>
            <w:tcW w:w="1800" w:type="dxa"/>
          </w:tcPr>
          <w:p>
            <w:pPr>
              <w:pStyle w:val="TableParagraph"/>
              <w:spacing w:line="210" w:lineRule="exact"/>
              <w:ind w:left="109"/>
              <w:rPr>
                <w:sz w:val="20"/>
              </w:rPr>
            </w:pPr>
            <w:r>
              <w:rPr>
                <w:sz w:val="20"/>
              </w:rPr>
              <w:t>Service</w:t>
            </w:r>
            <w:r>
              <w:rPr>
                <w:spacing w:val="-9"/>
                <w:sz w:val="20"/>
              </w:rPr>
              <w:t> </w:t>
            </w:r>
            <w:r>
              <w:rPr>
                <w:spacing w:val="-2"/>
                <w:sz w:val="20"/>
              </w:rPr>
              <w:t>Staff</w:t>
            </w:r>
          </w:p>
        </w:tc>
        <w:tc>
          <w:tcPr>
            <w:tcW w:w="674" w:type="dxa"/>
          </w:tcPr>
          <w:p>
            <w:pPr>
              <w:pStyle w:val="TableParagraph"/>
              <w:spacing w:line="210" w:lineRule="exact"/>
              <w:ind w:left="100" w:right="58"/>
              <w:jc w:val="center"/>
              <w:rPr>
                <w:sz w:val="20"/>
              </w:rPr>
            </w:pPr>
            <w:r>
              <w:rPr>
                <w:spacing w:val="-5"/>
                <w:sz w:val="20"/>
              </w:rPr>
              <w:t>145</w:t>
            </w:r>
          </w:p>
        </w:tc>
        <w:tc>
          <w:tcPr>
            <w:tcW w:w="779" w:type="dxa"/>
          </w:tcPr>
          <w:p>
            <w:pPr>
              <w:pStyle w:val="TableParagraph"/>
              <w:spacing w:line="210" w:lineRule="exact"/>
              <w:ind w:left="112" w:right="74"/>
              <w:jc w:val="center"/>
              <w:rPr>
                <w:sz w:val="20"/>
              </w:rPr>
            </w:pPr>
            <w:r>
              <w:rPr>
                <w:spacing w:val="-4"/>
                <w:sz w:val="20"/>
              </w:rPr>
              <w:t>71.4</w:t>
            </w:r>
          </w:p>
        </w:tc>
        <w:tc>
          <w:tcPr>
            <w:tcW w:w="693" w:type="dxa"/>
          </w:tcPr>
          <w:p>
            <w:pPr>
              <w:pStyle w:val="TableParagraph"/>
              <w:spacing w:line="210" w:lineRule="exact"/>
              <w:ind w:left="27" w:right="26"/>
              <w:jc w:val="center"/>
              <w:rPr>
                <w:sz w:val="20"/>
              </w:rPr>
            </w:pPr>
            <w:r>
              <w:rPr>
                <w:spacing w:val="-5"/>
                <w:sz w:val="20"/>
              </w:rPr>
              <w:t>49</w:t>
            </w:r>
          </w:p>
        </w:tc>
        <w:tc>
          <w:tcPr>
            <w:tcW w:w="779" w:type="dxa"/>
          </w:tcPr>
          <w:p>
            <w:pPr>
              <w:pStyle w:val="TableParagraph"/>
              <w:spacing w:line="210" w:lineRule="exact"/>
              <w:ind w:left="51" w:right="74"/>
              <w:jc w:val="center"/>
              <w:rPr>
                <w:sz w:val="20"/>
              </w:rPr>
            </w:pPr>
            <w:r>
              <w:rPr>
                <w:spacing w:val="-4"/>
                <w:sz w:val="20"/>
              </w:rPr>
              <w:t>24.1</w:t>
            </w:r>
          </w:p>
        </w:tc>
        <w:tc>
          <w:tcPr>
            <w:tcW w:w="688" w:type="dxa"/>
          </w:tcPr>
          <w:p>
            <w:pPr>
              <w:pStyle w:val="TableParagraph"/>
              <w:spacing w:line="210" w:lineRule="exact"/>
              <w:ind w:left="44" w:right="94"/>
              <w:jc w:val="center"/>
              <w:rPr>
                <w:sz w:val="20"/>
              </w:rPr>
            </w:pPr>
            <w:r>
              <w:rPr>
                <w:spacing w:val="-10"/>
                <w:sz w:val="20"/>
              </w:rPr>
              <w:t>5</w:t>
            </w:r>
          </w:p>
        </w:tc>
        <w:tc>
          <w:tcPr>
            <w:tcW w:w="906" w:type="dxa"/>
          </w:tcPr>
          <w:p>
            <w:pPr>
              <w:pStyle w:val="TableParagraph"/>
              <w:spacing w:line="210" w:lineRule="exact"/>
              <w:ind w:right="7"/>
              <w:jc w:val="center"/>
              <w:rPr>
                <w:sz w:val="20"/>
              </w:rPr>
            </w:pPr>
            <w:r>
              <w:rPr>
                <w:spacing w:val="-5"/>
                <w:sz w:val="20"/>
              </w:rPr>
              <w:t>2.5</w:t>
            </w:r>
          </w:p>
        </w:tc>
        <w:tc>
          <w:tcPr>
            <w:tcW w:w="688" w:type="dxa"/>
          </w:tcPr>
          <w:p>
            <w:pPr>
              <w:pStyle w:val="TableParagraph"/>
              <w:spacing w:line="210" w:lineRule="exact"/>
              <w:ind w:left="99" w:right="57"/>
              <w:jc w:val="center"/>
              <w:rPr>
                <w:sz w:val="20"/>
              </w:rPr>
            </w:pPr>
            <w:r>
              <w:rPr>
                <w:spacing w:val="-10"/>
                <w:sz w:val="20"/>
              </w:rPr>
              <w:t>3</w:t>
            </w:r>
          </w:p>
        </w:tc>
        <w:tc>
          <w:tcPr>
            <w:tcW w:w="801" w:type="dxa"/>
          </w:tcPr>
          <w:p>
            <w:pPr>
              <w:pStyle w:val="TableParagraph"/>
              <w:spacing w:line="210" w:lineRule="exact"/>
              <w:ind w:left="1" w:right="10"/>
              <w:jc w:val="center"/>
              <w:rPr>
                <w:sz w:val="20"/>
              </w:rPr>
            </w:pPr>
            <w:r>
              <w:rPr>
                <w:spacing w:val="-5"/>
                <w:sz w:val="20"/>
              </w:rPr>
              <w:t>1.5</w:t>
            </w:r>
          </w:p>
        </w:tc>
        <w:tc>
          <w:tcPr>
            <w:tcW w:w="628" w:type="dxa"/>
          </w:tcPr>
          <w:p>
            <w:pPr>
              <w:pStyle w:val="TableParagraph"/>
              <w:spacing w:line="210" w:lineRule="exact"/>
              <w:ind w:left="8" w:right="20"/>
              <w:jc w:val="center"/>
              <w:rPr>
                <w:sz w:val="20"/>
              </w:rPr>
            </w:pPr>
            <w:r>
              <w:rPr>
                <w:spacing w:val="-10"/>
                <w:sz w:val="20"/>
              </w:rPr>
              <w:t>1</w:t>
            </w:r>
          </w:p>
        </w:tc>
        <w:tc>
          <w:tcPr>
            <w:tcW w:w="772" w:type="dxa"/>
          </w:tcPr>
          <w:p>
            <w:pPr>
              <w:pStyle w:val="TableParagraph"/>
              <w:spacing w:line="210" w:lineRule="exact"/>
              <w:ind w:left="28" w:right="27"/>
              <w:jc w:val="center"/>
              <w:rPr>
                <w:sz w:val="20"/>
              </w:rPr>
            </w:pPr>
            <w:r>
              <w:rPr>
                <w:spacing w:val="-5"/>
                <w:sz w:val="20"/>
              </w:rPr>
              <w:t>0.5</w:t>
            </w:r>
          </w:p>
        </w:tc>
        <w:tc>
          <w:tcPr>
            <w:tcW w:w="693" w:type="dxa"/>
          </w:tcPr>
          <w:p>
            <w:pPr>
              <w:pStyle w:val="TableParagraph"/>
              <w:spacing w:line="210" w:lineRule="exact"/>
              <w:ind w:left="7" w:right="33"/>
              <w:jc w:val="center"/>
              <w:rPr>
                <w:sz w:val="20"/>
              </w:rPr>
            </w:pPr>
            <w:r>
              <w:rPr>
                <w:spacing w:val="-5"/>
                <w:sz w:val="20"/>
              </w:rPr>
              <w:t>203</w:t>
            </w:r>
          </w:p>
        </w:tc>
        <w:tc>
          <w:tcPr>
            <w:tcW w:w="735" w:type="dxa"/>
            <w:tcBorders>
              <w:right w:val="single" w:sz="4" w:space="0" w:color="000000"/>
            </w:tcBorders>
          </w:tcPr>
          <w:p>
            <w:pPr>
              <w:pStyle w:val="TableParagraph"/>
              <w:spacing w:line="210" w:lineRule="exact"/>
              <w:ind w:left="76" w:right="77"/>
              <w:jc w:val="center"/>
              <w:rPr>
                <w:sz w:val="20"/>
              </w:rPr>
            </w:pPr>
            <w:r>
              <w:rPr>
                <w:spacing w:val="-4"/>
                <w:sz w:val="20"/>
              </w:rPr>
              <w:t>43.8</w:t>
            </w:r>
          </w:p>
        </w:tc>
      </w:tr>
      <w:tr>
        <w:trPr>
          <w:trHeight w:val="302" w:hRule="atLeast"/>
        </w:trPr>
        <w:tc>
          <w:tcPr>
            <w:tcW w:w="4143" w:type="dxa"/>
            <w:tcBorders>
              <w:left w:val="single" w:sz="4" w:space="0" w:color="000000"/>
            </w:tcBorders>
          </w:tcPr>
          <w:p>
            <w:pPr>
              <w:pStyle w:val="TableParagraph"/>
              <w:spacing w:line="227" w:lineRule="exact"/>
              <w:ind w:right="147"/>
              <w:jc w:val="right"/>
              <w:rPr>
                <w:sz w:val="20"/>
              </w:rPr>
            </w:pPr>
            <w:r>
              <w:rPr>
                <w:sz w:val="20"/>
              </w:rPr>
              <w:t>enough</w:t>
            </w:r>
            <w:r>
              <w:rPr>
                <w:spacing w:val="-5"/>
                <w:sz w:val="20"/>
              </w:rPr>
              <w:t> </w:t>
            </w:r>
            <w:r>
              <w:rPr>
                <w:sz w:val="20"/>
              </w:rPr>
              <w:t>knowledge</w:t>
            </w:r>
            <w:r>
              <w:rPr>
                <w:spacing w:val="-4"/>
                <w:sz w:val="20"/>
              </w:rPr>
              <w:t> </w:t>
            </w:r>
            <w:r>
              <w:rPr>
                <w:sz w:val="20"/>
              </w:rPr>
              <w:t>for</w:t>
            </w:r>
            <w:r>
              <w:rPr>
                <w:spacing w:val="-7"/>
                <w:sz w:val="20"/>
              </w:rPr>
              <w:t> </w:t>
            </w:r>
            <w:r>
              <w:rPr>
                <w:sz w:val="20"/>
              </w:rPr>
              <w:t>their</w:t>
            </w:r>
            <w:r>
              <w:rPr>
                <w:spacing w:val="-7"/>
                <w:sz w:val="20"/>
              </w:rPr>
              <w:t> </w:t>
            </w:r>
            <w:r>
              <w:rPr>
                <w:spacing w:val="-2"/>
                <w:sz w:val="20"/>
              </w:rPr>
              <w:t>studies.</w:t>
            </w:r>
          </w:p>
        </w:tc>
        <w:tc>
          <w:tcPr>
            <w:tcW w:w="1800" w:type="dxa"/>
          </w:tcPr>
          <w:p>
            <w:pPr>
              <w:pStyle w:val="TableParagraph"/>
              <w:spacing w:before="26"/>
              <w:ind w:left="109"/>
              <w:rPr>
                <w:sz w:val="20"/>
              </w:rPr>
            </w:pPr>
            <w:r>
              <w:rPr>
                <w:sz w:val="20"/>
              </w:rPr>
              <w:t>Top</w:t>
            </w:r>
            <w:r>
              <w:rPr>
                <w:spacing w:val="-1"/>
                <w:sz w:val="20"/>
              </w:rPr>
              <w:t> </w:t>
            </w:r>
            <w:r>
              <w:rPr>
                <w:spacing w:val="-2"/>
                <w:sz w:val="20"/>
              </w:rPr>
              <w:t>Management</w:t>
            </w:r>
          </w:p>
        </w:tc>
        <w:tc>
          <w:tcPr>
            <w:tcW w:w="674" w:type="dxa"/>
          </w:tcPr>
          <w:p>
            <w:pPr>
              <w:pStyle w:val="TableParagraph"/>
              <w:spacing w:before="26"/>
              <w:ind w:left="100" w:right="54"/>
              <w:jc w:val="center"/>
              <w:rPr>
                <w:sz w:val="20"/>
              </w:rPr>
            </w:pPr>
            <w:r>
              <w:rPr>
                <w:spacing w:val="-5"/>
                <w:sz w:val="20"/>
              </w:rPr>
              <w:t>13</w:t>
            </w:r>
          </w:p>
        </w:tc>
        <w:tc>
          <w:tcPr>
            <w:tcW w:w="779" w:type="dxa"/>
          </w:tcPr>
          <w:p>
            <w:pPr>
              <w:pStyle w:val="TableParagraph"/>
              <w:spacing w:before="26"/>
              <w:ind w:left="112" w:right="74"/>
              <w:jc w:val="center"/>
              <w:rPr>
                <w:sz w:val="20"/>
              </w:rPr>
            </w:pPr>
            <w:r>
              <w:rPr>
                <w:spacing w:val="-4"/>
                <w:sz w:val="20"/>
              </w:rPr>
              <w:t>56.5</w:t>
            </w:r>
          </w:p>
        </w:tc>
        <w:tc>
          <w:tcPr>
            <w:tcW w:w="693" w:type="dxa"/>
          </w:tcPr>
          <w:p>
            <w:pPr>
              <w:pStyle w:val="TableParagraph"/>
              <w:spacing w:before="26"/>
              <w:ind w:left="32" w:right="26"/>
              <w:jc w:val="center"/>
              <w:rPr>
                <w:sz w:val="20"/>
              </w:rPr>
            </w:pPr>
            <w:r>
              <w:rPr>
                <w:spacing w:val="-10"/>
                <w:sz w:val="20"/>
              </w:rPr>
              <w:t>9</w:t>
            </w:r>
          </w:p>
        </w:tc>
        <w:tc>
          <w:tcPr>
            <w:tcW w:w="779" w:type="dxa"/>
          </w:tcPr>
          <w:p>
            <w:pPr>
              <w:pStyle w:val="TableParagraph"/>
              <w:spacing w:before="26"/>
              <w:ind w:left="51" w:right="74"/>
              <w:jc w:val="center"/>
              <w:rPr>
                <w:sz w:val="20"/>
              </w:rPr>
            </w:pPr>
            <w:r>
              <w:rPr>
                <w:spacing w:val="-4"/>
                <w:sz w:val="20"/>
              </w:rPr>
              <w:t>39.1</w:t>
            </w:r>
          </w:p>
        </w:tc>
        <w:tc>
          <w:tcPr>
            <w:tcW w:w="688" w:type="dxa"/>
          </w:tcPr>
          <w:p>
            <w:pPr>
              <w:pStyle w:val="TableParagraph"/>
              <w:spacing w:before="26"/>
              <w:ind w:left="44" w:right="94"/>
              <w:jc w:val="center"/>
              <w:rPr>
                <w:sz w:val="20"/>
              </w:rPr>
            </w:pPr>
            <w:r>
              <w:rPr>
                <w:spacing w:val="-10"/>
                <w:sz w:val="20"/>
              </w:rPr>
              <w:t>1</w:t>
            </w:r>
          </w:p>
        </w:tc>
        <w:tc>
          <w:tcPr>
            <w:tcW w:w="906" w:type="dxa"/>
          </w:tcPr>
          <w:p>
            <w:pPr>
              <w:pStyle w:val="TableParagraph"/>
              <w:spacing w:before="26"/>
              <w:ind w:right="7"/>
              <w:jc w:val="center"/>
              <w:rPr>
                <w:sz w:val="20"/>
              </w:rPr>
            </w:pPr>
            <w:r>
              <w:rPr>
                <w:spacing w:val="-5"/>
                <w:sz w:val="20"/>
              </w:rPr>
              <w:t>4.3</w:t>
            </w:r>
          </w:p>
        </w:tc>
        <w:tc>
          <w:tcPr>
            <w:tcW w:w="688" w:type="dxa"/>
          </w:tcPr>
          <w:p>
            <w:pPr>
              <w:pStyle w:val="TableParagraph"/>
              <w:spacing w:before="26"/>
              <w:ind w:left="93" w:right="57"/>
              <w:jc w:val="center"/>
              <w:rPr>
                <w:sz w:val="20"/>
              </w:rPr>
            </w:pPr>
            <w:r>
              <w:rPr>
                <w:spacing w:val="-10"/>
                <w:sz w:val="20"/>
              </w:rPr>
              <w:t>-</w:t>
            </w:r>
          </w:p>
        </w:tc>
        <w:tc>
          <w:tcPr>
            <w:tcW w:w="801" w:type="dxa"/>
          </w:tcPr>
          <w:p>
            <w:pPr>
              <w:pStyle w:val="TableParagraph"/>
              <w:spacing w:before="26"/>
              <w:ind w:right="10"/>
              <w:jc w:val="center"/>
              <w:rPr>
                <w:sz w:val="20"/>
              </w:rPr>
            </w:pPr>
            <w:r>
              <w:rPr>
                <w:spacing w:val="-10"/>
                <w:sz w:val="20"/>
              </w:rPr>
              <w:t>-</w:t>
            </w:r>
          </w:p>
        </w:tc>
        <w:tc>
          <w:tcPr>
            <w:tcW w:w="628" w:type="dxa"/>
          </w:tcPr>
          <w:p>
            <w:pPr>
              <w:pStyle w:val="TableParagraph"/>
              <w:spacing w:before="26"/>
              <w:ind w:left="8" w:right="27"/>
              <w:jc w:val="center"/>
              <w:rPr>
                <w:sz w:val="20"/>
              </w:rPr>
            </w:pPr>
            <w:r>
              <w:rPr>
                <w:spacing w:val="-10"/>
                <w:sz w:val="20"/>
              </w:rPr>
              <w:t>-</w:t>
            </w:r>
          </w:p>
        </w:tc>
        <w:tc>
          <w:tcPr>
            <w:tcW w:w="772" w:type="dxa"/>
          </w:tcPr>
          <w:p>
            <w:pPr>
              <w:pStyle w:val="TableParagraph"/>
              <w:spacing w:before="26"/>
              <w:ind w:left="28" w:right="28"/>
              <w:jc w:val="center"/>
              <w:rPr>
                <w:sz w:val="20"/>
              </w:rPr>
            </w:pPr>
            <w:r>
              <w:rPr>
                <w:spacing w:val="-10"/>
                <w:sz w:val="20"/>
              </w:rPr>
              <w:t>-</w:t>
            </w:r>
          </w:p>
        </w:tc>
        <w:tc>
          <w:tcPr>
            <w:tcW w:w="693" w:type="dxa"/>
          </w:tcPr>
          <w:p>
            <w:pPr>
              <w:pStyle w:val="TableParagraph"/>
              <w:spacing w:before="26"/>
              <w:ind w:left="7" w:right="28"/>
              <w:jc w:val="center"/>
              <w:rPr>
                <w:sz w:val="20"/>
              </w:rPr>
            </w:pPr>
            <w:r>
              <w:rPr>
                <w:spacing w:val="-5"/>
                <w:sz w:val="20"/>
              </w:rPr>
              <w:t>23</w:t>
            </w:r>
          </w:p>
        </w:tc>
        <w:tc>
          <w:tcPr>
            <w:tcW w:w="735" w:type="dxa"/>
            <w:tcBorders>
              <w:right w:val="single" w:sz="4" w:space="0" w:color="000000"/>
            </w:tcBorders>
          </w:tcPr>
          <w:p>
            <w:pPr>
              <w:pStyle w:val="TableParagraph"/>
              <w:spacing w:before="26"/>
              <w:ind w:left="76" w:right="80"/>
              <w:jc w:val="center"/>
              <w:rPr>
                <w:sz w:val="20"/>
              </w:rPr>
            </w:pPr>
            <w:r>
              <w:rPr>
                <w:spacing w:val="-5"/>
                <w:sz w:val="20"/>
              </w:rPr>
              <w:t>5.0</w:t>
            </w:r>
          </w:p>
        </w:tc>
      </w:tr>
      <w:tr>
        <w:trPr>
          <w:trHeight w:val="273" w:hRule="atLeast"/>
        </w:trPr>
        <w:tc>
          <w:tcPr>
            <w:tcW w:w="4143" w:type="dxa"/>
            <w:tcBorders>
              <w:left w:val="single" w:sz="4" w:space="0" w:color="000000"/>
            </w:tcBorders>
          </w:tcPr>
          <w:p>
            <w:pPr>
              <w:pStyle w:val="TableParagraph"/>
              <w:tabs>
                <w:tab w:pos="609" w:val="left" w:leader="none"/>
              </w:tabs>
              <w:spacing w:line="213" w:lineRule="exact" w:before="40"/>
              <w:ind w:right="99"/>
              <w:jc w:val="right"/>
              <w:rPr>
                <w:sz w:val="20"/>
              </w:rPr>
            </w:pPr>
            <w:r>
              <w:rPr>
                <w:spacing w:val="-5"/>
                <w:sz w:val="20"/>
              </w:rPr>
              <w:t>74.</w:t>
            </w:r>
            <w:r>
              <w:rPr>
                <w:sz w:val="20"/>
              </w:rPr>
              <w:tab/>
              <w:t>Relevant</w:t>
            </w:r>
            <w:r>
              <w:rPr>
                <w:spacing w:val="22"/>
                <w:sz w:val="20"/>
              </w:rPr>
              <w:t> </w:t>
            </w:r>
            <w:r>
              <w:rPr>
                <w:sz w:val="20"/>
              </w:rPr>
              <w:t>books</w:t>
            </w:r>
            <w:r>
              <w:rPr>
                <w:spacing w:val="21"/>
                <w:sz w:val="20"/>
              </w:rPr>
              <w:t> </w:t>
            </w:r>
            <w:r>
              <w:rPr>
                <w:sz w:val="20"/>
              </w:rPr>
              <w:t>are</w:t>
            </w:r>
            <w:r>
              <w:rPr>
                <w:spacing w:val="19"/>
                <w:sz w:val="20"/>
              </w:rPr>
              <w:t> </w:t>
            </w:r>
            <w:r>
              <w:rPr>
                <w:sz w:val="20"/>
              </w:rPr>
              <w:t>not</w:t>
            </w:r>
            <w:r>
              <w:rPr>
                <w:spacing w:val="23"/>
                <w:sz w:val="20"/>
              </w:rPr>
              <w:t> </w:t>
            </w:r>
            <w:r>
              <w:rPr>
                <w:spacing w:val="-2"/>
                <w:sz w:val="20"/>
              </w:rPr>
              <w:t>adequately</w:t>
            </w:r>
          </w:p>
        </w:tc>
        <w:tc>
          <w:tcPr>
            <w:tcW w:w="1800" w:type="dxa"/>
          </w:tcPr>
          <w:p>
            <w:pPr>
              <w:pStyle w:val="TableParagraph"/>
              <w:spacing w:line="213" w:lineRule="exact" w:before="40"/>
              <w:ind w:left="109"/>
              <w:rPr>
                <w:sz w:val="20"/>
              </w:rPr>
            </w:pPr>
            <w:r>
              <w:rPr>
                <w:sz w:val="20"/>
              </w:rPr>
              <w:t>No.</w:t>
            </w:r>
            <w:r>
              <w:rPr>
                <w:spacing w:val="-5"/>
                <w:sz w:val="20"/>
              </w:rPr>
              <w:t> </w:t>
            </w:r>
            <w:r>
              <w:rPr>
                <w:sz w:val="20"/>
              </w:rPr>
              <w:t>of</w:t>
            </w:r>
            <w:r>
              <w:rPr>
                <w:spacing w:val="-2"/>
                <w:sz w:val="20"/>
              </w:rPr>
              <w:t> missing</w:t>
            </w:r>
          </w:p>
        </w:tc>
        <w:tc>
          <w:tcPr>
            <w:tcW w:w="674" w:type="dxa"/>
          </w:tcPr>
          <w:p>
            <w:pPr>
              <w:pStyle w:val="TableParagraph"/>
              <w:rPr>
                <w:rFonts w:ascii="Times New Roman"/>
                <w:sz w:val="20"/>
              </w:rPr>
            </w:pPr>
          </w:p>
        </w:tc>
        <w:tc>
          <w:tcPr>
            <w:tcW w:w="779" w:type="dxa"/>
          </w:tcPr>
          <w:p>
            <w:pPr>
              <w:pStyle w:val="TableParagraph"/>
              <w:rPr>
                <w:rFonts w:ascii="Times New Roman"/>
                <w:sz w:val="20"/>
              </w:rPr>
            </w:pPr>
          </w:p>
        </w:tc>
        <w:tc>
          <w:tcPr>
            <w:tcW w:w="693" w:type="dxa"/>
          </w:tcPr>
          <w:p>
            <w:pPr>
              <w:pStyle w:val="TableParagraph"/>
              <w:rPr>
                <w:rFonts w:ascii="Times New Roman"/>
                <w:sz w:val="20"/>
              </w:rPr>
            </w:pPr>
          </w:p>
        </w:tc>
        <w:tc>
          <w:tcPr>
            <w:tcW w:w="779" w:type="dxa"/>
          </w:tcPr>
          <w:p>
            <w:pPr>
              <w:pStyle w:val="TableParagraph"/>
              <w:rPr>
                <w:rFonts w:ascii="Times New Roman"/>
                <w:sz w:val="20"/>
              </w:rPr>
            </w:pPr>
          </w:p>
        </w:tc>
        <w:tc>
          <w:tcPr>
            <w:tcW w:w="688" w:type="dxa"/>
          </w:tcPr>
          <w:p>
            <w:pPr>
              <w:pStyle w:val="TableParagraph"/>
              <w:rPr>
                <w:rFonts w:ascii="Times New Roman"/>
                <w:sz w:val="20"/>
              </w:rPr>
            </w:pPr>
          </w:p>
        </w:tc>
        <w:tc>
          <w:tcPr>
            <w:tcW w:w="906" w:type="dxa"/>
          </w:tcPr>
          <w:p>
            <w:pPr>
              <w:pStyle w:val="TableParagraph"/>
              <w:rPr>
                <w:rFonts w:ascii="Times New Roman"/>
                <w:sz w:val="20"/>
              </w:rPr>
            </w:pPr>
          </w:p>
        </w:tc>
        <w:tc>
          <w:tcPr>
            <w:tcW w:w="688" w:type="dxa"/>
          </w:tcPr>
          <w:p>
            <w:pPr>
              <w:pStyle w:val="TableParagraph"/>
              <w:rPr>
                <w:rFonts w:ascii="Times New Roman"/>
                <w:sz w:val="20"/>
              </w:rPr>
            </w:pPr>
          </w:p>
        </w:tc>
        <w:tc>
          <w:tcPr>
            <w:tcW w:w="801" w:type="dxa"/>
          </w:tcPr>
          <w:p>
            <w:pPr>
              <w:pStyle w:val="TableParagraph"/>
              <w:rPr>
                <w:rFonts w:ascii="Times New Roman"/>
                <w:sz w:val="20"/>
              </w:rPr>
            </w:pPr>
          </w:p>
        </w:tc>
        <w:tc>
          <w:tcPr>
            <w:tcW w:w="628" w:type="dxa"/>
          </w:tcPr>
          <w:p>
            <w:pPr>
              <w:pStyle w:val="TableParagraph"/>
              <w:rPr>
                <w:rFonts w:ascii="Times New Roman"/>
                <w:sz w:val="20"/>
              </w:rPr>
            </w:pPr>
          </w:p>
        </w:tc>
        <w:tc>
          <w:tcPr>
            <w:tcW w:w="772" w:type="dxa"/>
          </w:tcPr>
          <w:p>
            <w:pPr>
              <w:pStyle w:val="TableParagraph"/>
              <w:rPr>
                <w:rFonts w:ascii="Times New Roman"/>
                <w:sz w:val="20"/>
              </w:rPr>
            </w:pPr>
          </w:p>
        </w:tc>
        <w:tc>
          <w:tcPr>
            <w:tcW w:w="693" w:type="dxa"/>
          </w:tcPr>
          <w:p>
            <w:pPr>
              <w:pStyle w:val="TableParagraph"/>
              <w:rPr>
                <w:rFonts w:ascii="Times New Roman"/>
                <w:sz w:val="20"/>
              </w:rPr>
            </w:pPr>
          </w:p>
        </w:tc>
        <w:tc>
          <w:tcPr>
            <w:tcW w:w="735" w:type="dxa"/>
            <w:tcBorders>
              <w:right w:val="single" w:sz="4" w:space="0" w:color="000000"/>
            </w:tcBorders>
          </w:tcPr>
          <w:p>
            <w:pPr>
              <w:pStyle w:val="TableParagraph"/>
              <w:rPr>
                <w:rFonts w:ascii="Times New Roman"/>
                <w:sz w:val="20"/>
              </w:rPr>
            </w:pPr>
          </w:p>
        </w:tc>
      </w:tr>
      <w:tr>
        <w:trPr>
          <w:trHeight w:val="230" w:hRule="atLeast"/>
        </w:trPr>
        <w:tc>
          <w:tcPr>
            <w:tcW w:w="4143" w:type="dxa"/>
            <w:tcBorders>
              <w:left w:val="single" w:sz="4" w:space="0" w:color="000000"/>
            </w:tcBorders>
          </w:tcPr>
          <w:p>
            <w:pPr>
              <w:pStyle w:val="TableParagraph"/>
              <w:tabs>
                <w:tab w:pos="1429" w:val="left" w:leader="none"/>
                <w:tab w:pos="2505" w:val="left" w:leader="none"/>
              </w:tabs>
              <w:spacing w:line="210" w:lineRule="exact"/>
              <w:ind w:right="102"/>
              <w:jc w:val="right"/>
              <w:rPr>
                <w:sz w:val="20"/>
              </w:rPr>
            </w:pPr>
            <w:r>
              <w:rPr>
                <w:sz w:val="20"/>
              </w:rPr>
              <w:t>available</w:t>
            </w:r>
            <w:r>
              <w:rPr>
                <w:spacing w:val="38"/>
                <w:sz w:val="20"/>
              </w:rPr>
              <w:t>  </w:t>
            </w:r>
            <w:r>
              <w:rPr>
                <w:spacing w:val="-5"/>
                <w:sz w:val="20"/>
              </w:rPr>
              <w:t>for</w:t>
            </w:r>
            <w:r>
              <w:rPr>
                <w:sz w:val="20"/>
              </w:rPr>
              <w:tab/>
              <w:t>the</w:t>
            </w:r>
            <w:r>
              <w:rPr>
                <w:spacing w:val="43"/>
                <w:sz w:val="20"/>
              </w:rPr>
              <w:t>  </w:t>
            </w:r>
            <w:r>
              <w:rPr>
                <w:spacing w:val="-4"/>
                <w:sz w:val="20"/>
              </w:rPr>
              <w:t>ever</w:t>
            </w:r>
            <w:r>
              <w:rPr>
                <w:sz w:val="20"/>
              </w:rPr>
              <w:tab/>
            </w:r>
            <w:r>
              <w:rPr>
                <w:spacing w:val="-2"/>
                <w:sz w:val="20"/>
              </w:rPr>
              <w:t>growing</w:t>
            </w:r>
          </w:p>
        </w:tc>
        <w:tc>
          <w:tcPr>
            <w:tcW w:w="1800" w:type="dxa"/>
          </w:tcPr>
          <w:p>
            <w:pPr>
              <w:pStyle w:val="TableParagraph"/>
              <w:spacing w:line="210" w:lineRule="exact"/>
              <w:ind w:left="109"/>
              <w:rPr>
                <w:sz w:val="20"/>
              </w:rPr>
            </w:pPr>
            <w:r>
              <w:rPr>
                <w:spacing w:val="-2"/>
                <w:sz w:val="20"/>
              </w:rPr>
              <w:t>observations</w:t>
            </w:r>
          </w:p>
        </w:tc>
        <w:tc>
          <w:tcPr>
            <w:tcW w:w="674" w:type="dxa"/>
          </w:tcPr>
          <w:p>
            <w:pPr>
              <w:pStyle w:val="TableParagraph"/>
              <w:spacing w:line="210" w:lineRule="exact"/>
              <w:ind w:left="100" w:right="56"/>
              <w:jc w:val="center"/>
              <w:rPr>
                <w:sz w:val="20"/>
              </w:rPr>
            </w:pPr>
            <w:r>
              <w:rPr>
                <w:spacing w:val="-10"/>
                <w:sz w:val="20"/>
              </w:rPr>
              <w:t>-</w:t>
            </w:r>
          </w:p>
        </w:tc>
        <w:tc>
          <w:tcPr>
            <w:tcW w:w="779" w:type="dxa"/>
          </w:tcPr>
          <w:p>
            <w:pPr>
              <w:pStyle w:val="TableParagraph"/>
              <w:spacing w:line="210" w:lineRule="exact"/>
              <w:ind w:left="105" w:right="74"/>
              <w:jc w:val="center"/>
              <w:rPr>
                <w:sz w:val="20"/>
              </w:rPr>
            </w:pPr>
            <w:r>
              <w:rPr>
                <w:spacing w:val="-10"/>
                <w:sz w:val="20"/>
              </w:rPr>
              <w:t>-</w:t>
            </w:r>
          </w:p>
        </w:tc>
        <w:tc>
          <w:tcPr>
            <w:tcW w:w="693" w:type="dxa"/>
          </w:tcPr>
          <w:p>
            <w:pPr>
              <w:pStyle w:val="TableParagraph"/>
              <w:spacing w:line="210" w:lineRule="exact"/>
              <w:ind w:left="26" w:right="26"/>
              <w:jc w:val="center"/>
              <w:rPr>
                <w:sz w:val="20"/>
              </w:rPr>
            </w:pPr>
            <w:r>
              <w:rPr>
                <w:spacing w:val="-10"/>
                <w:sz w:val="20"/>
              </w:rPr>
              <w:t>-</w:t>
            </w:r>
          </w:p>
        </w:tc>
        <w:tc>
          <w:tcPr>
            <w:tcW w:w="779" w:type="dxa"/>
          </w:tcPr>
          <w:p>
            <w:pPr>
              <w:pStyle w:val="TableParagraph"/>
              <w:spacing w:line="210" w:lineRule="exact"/>
              <w:ind w:left="44" w:right="74"/>
              <w:jc w:val="center"/>
              <w:rPr>
                <w:sz w:val="20"/>
              </w:rPr>
            </w:pPr>
            <w:r>
              <w:rPr>
                <w:spacing w:val="-10"/>
                <w:sz w:val="20"/>
              </w:rPr>
              <w:t>-</w:t>
            </w:r>
          </w:p>
        </w:tc>
        <w:tc>
          <w:tcPr>
            <w:tcW w:w="688" w:type="dxa"/>
          </w:tcPr>
          <w:p>
            <w:pPr>
              <w:pStyle w:val="TableParagraph"/>
              <w:spacing w:line="210" w:lineRule="exact"/>
              <w:ind w:left="44" w:right="94"/>
              <w:jc w:val="center"/>
              <w:rPr>
                <w:sz w:val="20"/>
              </w:rPr>
            </w:pPr>
            <w:r>
              <w:rPr>
                <w:spacing w:val="-10"/>
                <w:sz w:val="20"/>
              </w:rPr>
              <w:t>1</w:t>
            </w:r>
          </w:p>
        </w:tc>
        <w:tc>
          <w:tcPr>
            <w:tcW w:w="906" w:type="dxa"/>
          </w:tcPr>
          <w:p>
            <w:pPr>
              <w:pStyle w:val="TableParagraph"/>
              <w:spacing w:line="210" w:lineRule="exact"/>
              <w:ind w:right="2"/>
              <w:jc w:val="center"/>
              <w:rPr>
                <w:sz w:val="20"/>
              </w:rPr>
            </w:pPr>
            <w:r>
              <w:rPr>
                <w:spacing w:val="-4"/>
                <w:sz w:val="20"/>
              </w:rPr>
              <w:t>50.0</w:t>
            </w:r>
          </w:p>
        </w:tc>
        <w:tc>
          <w:tcPr>
            <w:tcW w:w="688" w:type="dxa"/>
          </w:tcPr>
          <w:p>
            <w:pPr>
              <w:pStyle w:val="TableParagraph"/>
              <w:spacing w:line="210" w:lineRule="exact"/>
              <w:ind w:left="99" w:right="57"/>
              <w:jc w:val="center"/>
              <w:rPr>
                <w:sz w:val="20"/>
              </w:rPr>
            </w:pPr>
            <w:r>
              <w:rPr>
                <w:spacing w:val="-10"/>
                <w:sz w:val="20"/>
              </w:rPr>
              <w:t>1</w:t>
            </w:r>
          </w:p>
        </w:tc>
        <w:tc>
          <w:tcPr>
            <w:tcW w:w="801" w:type="dxa"/>
          </w:tcPr>
          <w:p>
            <w:pPr>
              <w:pStyle w:val="TableParagraph"/>
              <w:spacing w:line="210" w:lineRule="exact"/>
              <w:ind w:left="6" w:right="10"/>
              <w:jc w:val="center"/>
              <w:rPr>
                <w:sz w:val="20"/>
              </w:rPr>
            </w:pPr>
            <w:r>
              <w:rPr>
                <w:spacing w:val="-4"/>
                <w:sz w:val="20"/>
              </w:rPr>
              <w:t>50.0</w:t>
            </w:r>
          </w:p>
        </w:tc>
        <w:tc>
          <w:tcPr>
            <w:tcW w:w="628" w:type="dxa"/>
          </w:tcPr>
          <w:p>
            <w:pPr>
              <w:pStyle w:val="TableParagraph"/>
              <w:spacing w:line="210" w:lineRule="exact"/>
              <w:ind w:left="8" w:right="27"/>
              <w:jc w:val="center"/>
              <w:rPr>
                <w:sz w:val="20"/>
              </w:rPr>
            </w:pPr>
            <w:r>
              <w:rPr>
                <w:spacing w:val="-10"/>
                <w:sz w:val="20"/>
              </w:rPr>
              <w:t>-</w:t>
            </w:r>
          </w:p>
        </w:tc>
        <w:tc>
          <w:tcPr>
            <w:tcW w:w="772" w:type="dxa"/>
          </w:tcPr>
          <w:p>
            <w:pPr>
              <w:pStyle w:val="TableParagraph"/>
              <w:spacing w:line="210" w:lineRule="exact"/>
              <w:ind w:left="28" w:right="28"/>
              <w:jc w:val="center"/>
              <w:rPr>
                <w:sz w:val="20"/>
              </w:rPr>
            </w:pPr>
            <w:r>
              <w:rPr>
                <w:spacing w:val="-10"/>
                <w:sz w:val="20"/>
              </w:rPr>
              <w:t>-</w:t>
            </w:r>
          </w:p>
        </w:tc>
        <w:tc>
          <w:tcPr>
            <w:tcW w:w="693" w:type="dxa"/>
          </w:tcPr>
          <w:p>
            <w:pPr>
              <w:pStyle w:val="TableParagraph"/>
              <w:spacing w:line="210" w:lineRule="exact"/>
              <w:ind w:left="10" w:right="26"/>
              <w:jc w:val="center"/>
              <w:rPr>
                <w:sz w:val="20"/>
              </w:rPr>
            </w:pPr>
            <w:r>
              <w:rPr>
                <w:spacing w:val="-10"/>
                <w:sz w:val="20"/>
              </w:rPr>
              <w:t>2</w:t>
            </w:r>
          </w:p>
        </w:tc>
        <w:tc>
          <w:tcPr>
            <w:tcW w:w="735" w:type="dxa"/>
            <w:tcBorders>
              <w:right w:val="single" w:sz="4" w:space="0" w:color="000000"/>
            </w:tcBorders>
          </w:tcPr>
          <w:p>
            <w:pPr>
              <w:pStyle w:val="TableParagraph"/>
              <w:spacing w:line="210" w:lineRule="exact"/>
              <w:ind w:left="76" w:right="80"/>
              <w:jc w:val="center"/>
              <w:rPr>
                <w:sz w:val="20"/>
              </w:rPr>
            </w:pPr>
            <w:r>
              <w:rPr>
                <w:spacing w:val="-5"/>
                <w:sz w:val="20"/>
              </w:rPr>
              <w:t>0.4</w:t>
            </w:r>
          </w:p>
        </w:tc>
      </w:tr>
      <w:tr>
        <w:trPr>
          <w:trHeight w:val="230" w:hRule="atLeast"/>
        </w:trPr>
        <w:tc>
          <w:tcPr>
            <w:tcW w:w="4143" w:type="dxa"/>
            <w:tcBorders>
              <w:left w:val="single" w:sz="4" w:space="0" w:color="000000"/>
            </w:tcBorders>
          </w:tcPr>
          <w:p>
            <w:pPr>
              <w:pStyle w:val="TableParagraph"/>
              <w:tabs>
                <w:tab w:pos="1156" w:val="left" w:leader="none"/>
                <w:tab w:pos="1554" w:val="left" w:leader="none"/>
                <w:tab w:pos="2534" w:val="left" w:leader="none"/>
                <w:tab w:pos="2923" w:val="left" w:leader="none"/>
              </w:tabs>
              <w:spacing w:line="210" w:lineRule="exact"/>
              <w:ind w:right="102"/>
              <w:jc w:val="right"/>
              <w:rPr>
                <w:sz w:val="20"/>
              </w:rPr>
            </w:pPr>
            <w:r>
              <w:rPr>
                <w:spacing w:val="-2"/>
                <w:sz w:val="20"/>
              </w:rPr>
              <w:t>population</w:t>
            </w:r>
            <w:r>
              <w:rPr>
                <w:sz w:val="20"/>
              </w:rPr>
              <w:tab/>
            </w:r>
            <w:r>
              <w:rPr>
                <w:spacing w:val="-5"/>
                <w:sz w:val="20"/>
              </w:rPr>
              <w:t>of</w:t>
            </w:r>
            <w:r>
              <w:rPr>
                <w:sz w:val="20"/>
              </w:rPr>
              <w:tab/>
            </w:r>
            <w:r>
              <w:rPr>
                <w:spacing w:val="-2"/>
                <w:sz w:val="20"/>
              </w:rPr>
              <w:t>students</w:t>
            </w:r>
            <w:r>
              <w:rPr>
                <w:sz w:val="20"/>
              </w:rPr>
              <w:tab/>
            </w:r>
            <w:r>
              <w:rPr>
                <w:spacing w:val="-5"/>
                <w:sz w:val="20"/>
              </w:rPr>
              <w:t>in</w:t>
            </w:r>
            <w:r>
              <w:rPr>
                <w:sz w:val="20"/>
              </w:rPr>
              <w:tab/>
            </w:r>
            <w:r>
              <w:rPr>
                <w:spacing w:val="-5"/>
                <w:sz w:val="20"/>
              </w:rPr>
              <w:t>the</w:t>
            </w:r>
          </w:p>
        </w:tc>
        <w:tc>
          <w:tcPr>
            <w:tcW w:w="1800" w:type="dxa"/>
          </w:tcPr>
          <w:p>
            <w:pPr>
              <w:pStyle w:val="TableParagraph"/>
              <w:spacing w:line="210" w:lineRule="exact"/>
              <w:ind w:left="109"/>
              <w:rPr>
                <w:sz w:val="20"/>
              </w:rPr>
            </w:pPr>
            <w:r>
              <w:rPr>
                <w:spacing w:val="-2"/>
                <w:sz w:val="20"/>
              </w:rPr>
              <w:t>Students</w:t>
            </w:r>
          </w:p>
        </w:tc>
        <w:tc>
          <w:tcPr>
            <w:tcW w:w="674" w:type="dxa"/>
          </w:tcPr>
          <w:p>
            <w:pPr>
              <w:pStyle w:val="TableParagraph"/>
              <w:spacing w:line="210" w:lineRule="exact"/>
              <w:ind w:left="100" w:right="58"/>
              <w:jc w:val="center"/>
              <w:rPr>
                <w:sz w:val="20"/>
              </w:rPr>
            </w:pPr>
            <w:r>
              <w:rPr>
                <w:spacing w:val="-5"/>
                <w:sz w:val="20"/>
              </w:rPr>
              <w:t>106</w:t>
            </w:r>
          </w:p>
        </w:tc>
        <w:tc>
          <w:tcPr>
            <w:tcW w:w="779" w:type="dxa"/>
          </w:tcPr>
          <w:p>
            <w:pPr>
              <w:pStyle w:val="TableParagraph"/>
              <w:spacing w:line="210" w:lineRule="exact"/>
              <w:ind w:left="112" w:right="74"/>
              <w:jc w:val="center"/>
              <w:rPr>
                <w:sz w:val="20"/>
              </w:rPr>
            </w:pPr>
            <w:r>
              <w:rPr>
                <w:spacing w:val="-4"/>
                <w:sz w:val="20"/>
              </w:rPr>
              <w:t>45.1</w:t>
            </w:r>
          </w:p>
        </w:tc>
        <w:tc>
          <w:tcPr>
            <w:tcW w:w="693" w:type="dxa"/>
          </w:tcPr>
          <w:p>
            <w:pPr>
              <w:pStyle w:val="TableParagraph"/>
              <w:spacing w:line="210" w:lineRule="exact"/>
              <w:ind w:left="26" w:right="26"/>
              <w:jc w:val="center"/>
              <w:rPr>
                <w:sz w:val="20"/>
              </w:rPr>
            </w:pPr>
            <w:r>
              <w:rPr>
                <w:spacing w:val="-5"/>
                <w:sz w:val="20"/>
              </w:rPr>
              <w:t>102</w:t>
            </w:r>
          </w:p>
        </w:tc>
        <w:tc>
          <w:tcPr>
            <w:tcW w:w="779" w:type="dxa"/>
          </w:tcPr>
          <w:p>
            <w:pPr>
              <w:pStyle w:val="TableParagraph"/>
              <w:spacing w:line="210" w:lineRule="exact"/>
              <w:ind w:left="51" w:right="74"/>
              <w:jc w:val="center"/>
              <w:rPr>
                <w:sz w:val="20"/>
              </w:rPr>
            </w:pPr>
            <w:r>
              <w:rPr>
                <w:spacing w:val="-4"/>
                <w:sz w:val="20"/>
              </w:rPr>
              <w:t>43.4</w:t>
            </w:r>
          </w:p>
        </w:tc>
        <w:tc>
          <w:tcPr>
            <w:tcW w:w="688" w:type="dxa"/>
          </w:tcPr>
          <w:p>
            <w:pPr>
              <w:pStyle w:val="TableParagraph"/>
              <w:spacing w:line="210" w:lineRule="exact"/>
              <w:ind w:left="44" w:right="99"/>
              <w:jc w:val="center"/>
              <w:rPr>
                <w:sz w:val="20"/>
              </w:rPr>
            </w:pPr>
            <w:r>
              <w:rPr>
                <w:spacing w:val="-5"/>
                <w:sz w:val="20"/>
              </w:rPr>
              <w:t>18</w:t>
            </w:r>
          </w:p>
        </w:tc>
        <w:tc>
          <w:tcPr>
            <w:tcW w:w="906" w:type="dxa"/>
          </w:tcPr>
          <w:p>
            <w:pPr>
              <w:pStyle w:val="TableParagraph"/>
              <w:spacing w:line="210" w:lineRule="exact"/>
              <w:ind w:right="7"/>
              <w:jc w:val="center"/>
              <w:rPr>
                <w:sz w:val="20"/>
              </w:rPr>
            </w:pPr>
            <w:r>
              <w:rPr>
                <w:spacing w:val="-5"/>
                <w:sz w:val="20"/>
              </w:rPr>
              <w:t>7.7</w:t>
            </w:r>
          </w:p>
        </w:tc>
        <w:tc>
          <w:tcPr>
            <w:tcW w:w="688" w:type="dxa"/>
          </w:tcPr>
          <w:p>
            <w:pPr>
              <w:pStyle w:val="TableParagraph"/>
              <w:spacing w:line="210" w:lineRule="exact"/>
              <w:ind w:left="99" w:right="57"/>
              <w:jc w:val="center"/>
              <w:rPr>
                <w:sz w:val="20"/>
              </w:rPr>
            </w:pPr>
            <w:r>
              <w:rPr>
                <w:spacing w:val="-10"/>
                <w:sz w:val="20"/>
              </w:rPr>
              <w:t>5</w:t>
            </w:r>
          </w:p>
        </w:tc>
        <w:tc>
          <w:tcPr>
            <w:tcW w:w="801" w:type="dxa"/>
          </w:tcPr>
          <w:p>
            <w:pPr>
              <w:pStyle w:val="TableParagraph"/>
              <w:spacing w:line="210" w:lineRule="exact"/>
              <w:ind w:left="1" w:right="10"/>
              <w:jc w:val="center"/>
              <w:rPr>
                <w:sz w:val="20"/>
              </w:rPr>
            </w:pPr>
            <w:r>
              <w:rPr>
                <w:spacing w:val="-5"/>
                <w:sz w:val="20"/>
              </w:rPr>
              <w:t>2.1</w:t>
            </w:r>
          </w:p>
        </w:tc>
        <w:tc>
          <w:tcPr>
            <w:tcW w:w="628" w:type="dxa"/>
          </w:tcPr>
          <w:p>
            <w:pPr>
              <w:pStyle w:val="TableParagraph"/>
              <w:spacing w:line="210" w:lineRule="exact"/>
              <w:ind w:left="8" w:right="20"/>
              <w:jc w:val="center"/>
              <w:rPr>
                <w:sz w:val="20"/>
              </w:rPr>
            </w:pPr>
            <w:r>
              <w:rPr>
                <w:spacing w:val="-10"/>
                <w:sz w:val="20"/>
              </w:rPr>
              <w:t>4</w:t>
            </w:r>
          </w:p>
        </w:tc>
        <w:tc>
          <w:tcPr>
            <w:tcW w:w="772" w:type="dxa"/>
          </w:tcPr>
          <w:p>
            <w:pPr>
              <w:pStyle w:val="TableParagraph"/>
              <w:spacing w:line="210" w:lineRule="exact"/>
              <w:ind w:left="28" w:right="27"/>
              <w:jc w:val="center"/>
              <w:rPr>
                <w:sz w:val="20"/>
              </w:rPr>
            </w:pPr>
            <w:r>
              <w:rPr>
                <w:spacing w:val="-5"/>
                <w:sz w:val="20"/>
              </w:rPr>
              <w:t>1.7</w:t>
            </w:r>
          </w:p>
        </w:tc>
        <w:tc>
          <w:tcPr>
            <w:tcW w:w="693" w:type="dxa"/>
          </w:tcPr>
          <w:p>
            <w:pPr>
              <w:pStyle w:val="TableParagraph"/>
              <w:spacing w:line="210" w:lineRule="exact"/>
              <w:ind w:left="7" w:right="33"/>
              <w:jc w:val="center"/>
              <w:rPr>
                <w:sz w:val="20"/>
              </w:rPr>
            </w:pPr>
            <w:r>
              <w:rPr>
                <w:spacing w:val="-5"/>
                <w:sz w:val="20"/>
              </w:rPr>
              <w:t>235</w:t>
            </w:r>
          </w:p>
        </w:tc>
        <w:tc>
          <w:tcPr>
            <w:tcW w:w="735" w:type="dxa"/>
            <w:tcBorders>
              <w:right w:val="single" w:sz="4" w:space="0" w:color="000000"/>
            </w:tcBorders>
          </w:tcPr>
          <w:p>
            <w:pPr>
              <w:pStyle w:val="TableParagraph"/>
              <w:spacing w:line="210" w:lineRule="exact"/>
              <w:ind w:left="76" w:right="77"/>
              <w:jc w:val="center"/>
              <w:rPr>
                <w:sz w:val="20"/>
              </w:rPr>
            </w:pPr>
            <w:r>
              <w:rPr>
                <w:spacing w:val="-4"/>
                <w:sz w:val="20"/>
              </w:rPr>
              <w:t>50.8</w:t>
            </w:r>
          </w:p>
        </w:tc>
      </w:tr>
      <w:tr>
        <w:trPr>
          <w:trHeight w:val="230" w:hRule="atLeast"/>
        </w:trPr>
        <w:tc>
          <w:tcPr>
            <w:tcW w:w="4143" w:type="dxa"/>
            <w:tcBorders>
              <w:left w:val="single" w:sz="4" w:space="0" w:color="000000"/>
            </w:tcBorders>
          </w:tcPr>
          <w:p>
            <w:pPr>
              <w:pStyle w:val="TableParagraph"/>
              <w:spacing w:line="210" w:lineRule="exact"/>
              <w:ind w:right="102"/>
              <w:jc w:val="right"/>
              <w:rPr>
                <w:sz w:val="20"/>
              </w:rPr>
            </w:pPr>
            <w:r>
              <w:rPr>
                <w:sz w:val="20"/>
              </w:rPr>
              <w:t>Universities</w:t>
            </w:r>
            <w:r>
              <w:rPr>
                <w:spacing w:val="8"/>
                <w:sz w:val="20"/>
              </w:rPr>
              <w:t> </w:t>
            </w:r>
            <w:r>
              <w:rPr>
                <w:sz w:val="20"/>
              </w:rPr>
              <w:t>in</w:t>
            </w:r>
            <w:r>
              <w:rPr>
                <w:spacing w:val="6"/>
                <w:sz w:val="20"/>
              </w:rPr>
              <w:t> </w:t>
            </w:r>
            <w:r>
              <w:rPr>
                <w:sz w:val="20"/>
              </w:rPr>
              <w:t>the</w:t>
            </w:r>
            <w:r>
              <w:rPr>
                <w:spacing w:val="11"/>
                <w:sz w:val="20"/>
              </w:rPr>
              <w:t> </w:t>
            </w:r>
            <w:r>
              <w:rPr>
                <w:sz w:val="20"/>
              </w:rPr>
              <w:t>three</w:t>
            </w:r>
            <w:r>
              <w:rPr>
                <w:spacing w:val="12"/>
                <w:sz w:val="20"/>
              </w:rPr>
              <w:t> </w:t>
            </w:r>
            <w:r>
              <w:rPr>
                <w:spacing w:val="-2"/>
                <w:sz w:val="20"/>
              </w:rPr>
              <w:t>geopolitical</w:t>
            </w:r>
          </w:p>
        </w:tc>
        <w:tc>
          <w:tcPr>
            <w:tcW w:w="1800" w:type="dxa"/>
          </w:tcPr>
          <w:p>
            <w:pPr>
              <w:pStyle w:val="TableParagraph"/>
              <w:spacing w:line="210" w:lineRule="exact"/>
              <w:ind w:left="109"/>
              <w:rPr>
                <w:sz w:val="20"/>
              </w:rPr>
            </w:pPr>
            <w:r>
              <w:rPr>
                <w:sz w:val="20"/>
              </w:rPr>
              <w:t>Service</w:t>
            </w:r>
            <w:r>
              <w:rPr>
                <w:spacing w:val="-9"/>
                <w:sz w:val="20"/>
              </w:rPr>
              <w:t> </w:t>
            </w:r>
            <w:r>
              <w:rPr>
                <w:spacing w:val="-2"/>
                <w:sz w:val="20"/>
              </w:rPr>
              <w:t>Staff</w:t>
            </w:r>
          </w:p>
        </w:tc>
        <w:tc>
          <w:tcPr>
            <w:tcW w:w="674" w:type="dxa"/>
          </w:tcPr>
          <w:p>
            <w:pPr>
              <w:pStyle w:val="TableParagraph"/>
              <w:spacing w:line="210" w:lineRule="exact"/>
              <w:ind w:left="100" w:right="54"/>
              <w:jc w:val="center"/>
              <w:rPr>
                <w:sz w:val="20"/>
              </w:rPr>
            </w:pPr>
            <w:r>
              <w:rPr>
                <w:spacing w:val="-5"/>
                <w:sz w:val="20"/>
              </w:rPr>
              <w:t>65</w:t>
            </w:r>
          </w:p>
        </w:tc>
        <w:tc>
          <w:tcPr>
            <w:tcW w:w="779" w:type="dxa"/>
          </w:tcPr>
          <w:p>
            <w:pPr>
              <w:pStyle w:val="TableParagraph"/>
              <w:spacing w:line="210" w:lineRule="exact"/>
              <w:ind w:left="112" w:right="74"/>
              <w:jc w:val="center"/>
              <w:rPr>
                <w:sz w:val="20"/>
              </w:rPr>
            </w:pPr>
            <w:r>
              <w:rPr>
                <w:spacing w:val="-4"/>
                <w:sz w:val="20"/>
              </w:rPr>
              <w:t>32.0</w:t>
            </w:r>
          </w:p>
        </w:tc>
        <w:tc>
          <w:tcPr>
            <w:tcW w:w="693" w:type="dxa"/>
          </w:tcPr>
          <w:p>
            <w:pPr>
              <w:pStyle w:val="TableParagraph"/>
              <w:spacing w:line="210" w:lineRule="exact"/>
              <w:ind w:left="27" w:right="26"/>
              <w:jc w:val="center"/>
              <w:rPr>
                <w:sz w:val="20"/>
              </w:rPr>
            </w:pPr>
            <w:r>
              <w:rPr>
                <w:spacing w:val="-5"/>
                <w:sz w:val="20"/>
              </w:rPr>
              <w:t>96</w:t>
            </w:r>
          </w:p>
        </w:tc>
        <w:tc>
          <w:tcPr>
            <w:tcW w:w="779" w:type="dxa"/>
          </w:tcPr>
          <w:p>
            <w:pPr>
              <w:pStyle w:val="TableParagraph"/>
              <w:spacing w:line="210" w:lineRule="exact"/>
              <w:ind w:left="51" w:right="74"/>
              <w:jc w:val="center"/>
              <w:rPr>
                <w:sz w:val="20"/>
              </w:rPr>
            </w:pPr>
            <w:r>
              <w:rPr>
                <w:spacing w:val="-4"/>
                <w:sz w:val="20"/>
              </w:rPr>
              <w:t>47.3</w:t>
            </w:r>
          </w:p>
        </w:tc>
        <w:tc>
          <w:tcPr>
            <w:tcW w:w="688" w:type="dxa"/>
          </w:tcPr>
          <w:p>
            <w:pPr>
              <w:pStyle w:val="TableParagraph"/>
              <w:spacing w:line="210" w:lineRule="exact"/>
              <w:ind w:left="44" w:right="99"/>
              <w:jc w:val="center"/>
              <w:rPr>
                <w:sz w:val="20"/>
              </w:rPr>
            </w:pPr>
            <w:r>
              <w:rPr>
                <w:spacing w:val="-5"/>
                <w:sz w:val="20"/>
              </w:rPr>
              <w:t>14</w:t>
            </w:r>
          </w:p>
        </w:tc>
        <w:tc>
          <w:tcPr>
            <w:tcW w:w="906" w:type="dxa"/>
          </w:tcPr>
          <w:p>
            <w:pPr>
              <w:pStyle w:val="TableParagraph"/>
              <w:spacing w:line="210" w:lineRule="exact"/>
              <w:ind w:right="7"/>
              <w:jc w:val="center"/>
              <w:rPr>
                <w:sz w:val="20"/>
              </w:rPr>
            </w:pPr>
            <w:r>
              <w:rPr>
                <w:spacing w:val="-5"/>
                <w:sz w:val="20"/>
              </w:rPr>
              <w:t>6.9</w:t>
            </w:r>
          </w:p>
        </w:tc>
        <w:tc>
          <w:tcPr>
            <w:tcW w:w="688" w:type="dxa"/>
          </w:tcPr>
          <w:p>
            <w:pPr>
              <w:pStyle w:val="TableParagraph"/>
              <w:spacing w:line="210" w:lineRule="exact"/>
              <w:ind w:left="95" w:right="57"/>
              <w:jc w:val="center"/>
              <w:rPr>
                <w:sz w:val="20"/>
              </w:rPr>
            </w:pPr>
            <w:r>
              <w:rPr>
                <w:spacing w:val="-5"/>
                <w:sz w:val="20"/>
              </w:rPr>
              <w:t>23</w:t>
            </w:r>
          </w:p>
        </w:tc>
        <w:tc>
          <w:tcPr>
            <w:tcW w:w="801" w:type="dxa"/>
          </w:tcPr>
          <w:p>
            <w:pPr>
              <w:pStyle w:val="TableParagraph"/>
              <w:spacing w:line="210" w:lineRule="exact"/>
              <w:ind w:left="6" w:right="10"/>
              <w:jc w:val="center"/>
              <w:rPr>
                <w:sz w:val="20"/>
              </w:rPr>
            </w:pPr>
            <w:r>
              <w:rPr>
                <w:spacing w:val="-4"/>
                <w:sz w:val="20"/>
              </w:rPr>
              <w:t>11.3</w:t>
            </w:r>
          </w:p>
        </w:tc>
        <w:tc>
          <w:tcPr>
            <w:tcW w:w="628" w:type="dxa"/>
          </w:tcPr>
          <w:p>
            <w:pPr>
              <w:pStyle w:val="TableParagraph"/>
              <w:spacing w:line="210" w:lineRule="exact"/>
              <w:ind w:left="8" w:right="20"/>
              <w:jc w:val="center"/>
              <w:rPr>
                <w:sz w:val="20"/>
              </w:rPr>
            </w:pPr>
            <w:r>
              <w:rPr>
                <w:spacing w:val="-10"/>
                <w:sz w:val="20"/>
              </w:rPr>
              <w:t>5</w:t>
            </w:r>
          </w:p>
        </w:tc>
        <w:tc>
          <w:tcPr>
            <w:tcW w:w="772" w:type="dxa"/>
          </w:tcPr>
          <w:p>
            <w:pPr>
              <w:pStyle w:val="TableParagraph"/>
              <w:spacing w:line="210" w:lineRule="exact"/>
              <w:ind w:left="28" w:right="27"/>
              <w:jc w:val="center"/>
              <w:rPr>
                <w:sz w:val="20"/>
              </w:rPr>
            </w:pPr>
            <w:r>
              <w:rPr>
                <w:spacing w:val="-5"/>
                <w:sz w:val="20"/>
              </w:rPr>
              <w:t>2.5</w:t>
            </w:r>
          </w:p>
        </w:tc>
        <w:tc>
          <w:tcPr>
            <w:tcW w:w="693" w:type="dxa"/>
          </w:tcPr>
          <w:p>
            <w:pPr>
              <w:pStyle w:val="TableParagraph"/>
              <w:spacing w:line="210" w:lineRule="exact"/>
              <w:ind w:left="7" w:right="33"/>
              <w:jc w:val="center"/>
              <w:rPr>
                <w:sz w:val="20"/>
              </w:rPr>
            </w:pPr>
            <w:r>
              <w:rPr>
                <w:spacing w:val="-5"/>
                <w:sz w:val="20"/>
              </w:rPr>
              <w:t>203</w:t>
            </w:r>
          </w:p>
        </w:tc>
        <w:tc>
          <w:tcPr>
            <w:tcW w:w="735" w:type="dxa"/>
            <w:tcBorders>
              <w:right w:val="single" w:sz="4" w:space="0" w:color="000000"/>
            </w:tcBorders>
          </w:tcPr>
          <w:p>
            <w:pPr>
              <w:pStyle w:val="TableParagraph"/>
              <w:spacing w:line="210" w:lineRule="exact"/>
              <w:ind w:left="76" w:right="77"/>
              <w:jc w:val="center"/>
              <w:rPr>
                <w:sz w:val="20"/>
              </w:rPr>
            </w:pPr>
            <w:r>
              <w:rPr>
                <w:spacing w:val="-4"/>
                <w:sz w:val="20"/>
              </w:rPr>
              <w:t>43.8</w:t>
            </w:r>
          </w:p>
        </w:tc>
      </w:tr>
      <w:tr>
        <w:trPr>
          <w:trHeight w:val="460" w:hRule="atLeast"/>
        </w:trPr>
        <w:tc>
          <w:tcPr>
            <w:tcW w:w="4143" w:type="dxa"/>
            <w:tcBorders>
              <w:left w:val="single" w:sz="4" w:space="0" w:color="000000"/>
            </w:tcBorders>
          </w:tcPr>
          <w:p>
            <w:pPr>
              <w:pStyle w:val="TableParagraph"/>
              <w:spacing w:line="230" w:lineRule="exact"/>
              <w:ind w:left="830"/>
              <w:rPr>
                <w:sz w:val="20"/>
              </w:rPr>
            </w:pPr>
            <w:r>
              <w:rPr>
                <w:sz w:val="20"/>
              </w:rPr>
              <w:t>zones</w:t>
            </w:r>
            <w:r>
              <w:rPr>
                <w:spacing w:val="80"/>
                <w:sz w:val="20"/>
              </w:rPr>
              <w:t> </w:t>
            </w:r>
            <w:r>
              <w:rPr>
                <w:sz w:val="20"/>
              </w:rPr>
              <w:t>in</w:t>
            </w:r>
            <w:r>
              <w:rPr>
                <w:spacing w:val="80"/>
                <w:sz w:val="20"/>
              </w:rPr>
              <w:t> </w:t>
            </w:r>
            <w:r>
              <w:rPr>
                <w:sz w:val="20"/>
              </w:rPr>
              <w:t>the</w:t>
            </w:r>
            <w:r>
              <w:rPr>
                <w:spacing w:val="80"/>
                <w:sz w:val="20"/>
              </w:rPr>
              <w:t> </w:t>
            </w:r>
            <w:r>
              <w:rPr>
                <w:sz w:val="20"/>
              </w:rPr>
              <w:t>Northern</w:t>
            </w:r>
            <w:r>
              <w:rPr>
                <w:spacing w:val="80"/>
                <w:sz w:val="20"/>
              </w:rPr>
              <w:t> </w:t>
            </w:r>
            <w:r>
              <w:rPr>
                <w:sz w:val="20"/>
              </w:rPr>
              <w:t>part</w:t>
            </w:r>
            <w:r>
              <w:rPr>
                <w:spacing w:val="80"/>
                <w:sz w:val="20"/>
              </w:rPr>
              <w:t> </w:t>
            </w:r>
            <w:r>
              <w:rPr>
                <w:sz w:val="20"/>
              </w:rPr>
              <w:t>of</w:t>
            </w:r>
            <w:r>
              <w:rPr>
                <w:spacing w:val="40"/>
                <w:sz w:val="20"/>
              </w:rPr>
              <w:t> </w:t>
            </w:r>
            <w:r>
              <w:rPr>
                <w:spacing w:val="-2"/>
                <w:sz w:val="20"/>
              </w:rPr>
              <w:t>Nigeria.</w:t>
            </w:r>
          </w:p>
        </w:tc>
        <w:tc>
          <w:tcPr>
            <w:tcW w:w="1800" w:type="dxa"/>
          </w:tcPr>
          <w:p>
            <w:pPr>
              <w:pStyle w:val="TableParagraph"/>
              <w:spacing w:before="12"/>
              <w:ind w:left="109"/>
              <w:rPr>
                <w:sz w:val="20"/>
              </w:rPr>
            </w:pPr>
            <w:r>
              <w:rPr>
                <w:sz w:val="20"/>
              </w:rPr>
              <w:t>Top</w:t>
            </w:r>
            <w:r>
              <w:rPr>
                <w:spacing w:val="-1"/>
                <w:sz w:val="20"/>
              </w:rPr>
              <w:t> </w:t>
            </w:r>
            <w:r>
              <w:rPr>
                <w:spacing w:val="-2"/>
                <w:sz w:val="20"/>
              </w:rPr>
              <w:t>Management</w:t>
            </w:r>
          </w:p>
        </w:tc>
        <w:tc>
          <w:tcPr>
            <w:tcW w:w="674" w:type="dxa"/>
          </w:tcPr>
          <w:p>
            <w:pPr>
              <w:pStyle w:val="TableParagraph"/>
              <w:spacing w:before="12"/>
              <w:ind w:left="100" w:right="49"/>
              <w:jc w:val="center"/>
              <w:rPr>
                <w:sz w:val="20"/>
              </w:rPr>
            </w:pPr>
            <w:r>
              <w:rPr>
                <w:spacing w:val="-10"/>
                <w:sz w:val="20"/>
              </w:rPr>
              <w:t>9</w:t>
            </w:r>
          </w:p>
        </w:tc>
        <w:tc>
          <w:tcPr>
            <w:tcW w:w="779" w:type="dxa"/>
          </w:tcPr>
          <w:p>
            <w:pPr>
              <w:pStyle w:val="TableParagraph"/>
              <w:spacing w:before="12"/>
              <w:ind w:left="112" w:right="74"/>
              <w:jc w:val="center"/>
              <w:rPr>
                <w:sz w:val="20"/>
              </w:rPr>
            </w:pPr>
            <w:r>
              <w:rPr>
                <w:spacing w:val="-4"/>
                <w:sz w:val="20"/>
              </w:rPr>
              <w:t>39.1</w:t>
            </w:r>
          </w:p>
        </w:tc>
        <w:tc>
          <w:tcPr>
            <w:tcW w:w="693" w:type="dxa"/>
          </w:tcPr>
          <w:p>
            <w:pPr>
              <w:pStyle w:val="TableParagraph"/>
              <w:spacing w:before="12"/>
              <w:ind w:left="32" w:right="26"/>
              <w:jc w:val="center"/>
              <w:rPr>
                <w:sz w:val="20"/>
              </w:rPr>
            </w:pPr>
            <w:r>
              <w:rPr>
                <w:spacing w:val="-10"/>
                <w:sz w:val="20"/>
              </w:rPr>
              <w:t>9</w:t>
            </w:r>
          </w:p>
        </w:tc>
        <w:tc>
          <w:tcPr>
            <w:tcW w:w="779" w:type="dxa"/>
          </w:tcPr>
          <w:p>
            <w:pPr>
              <w:pStyle w:val="TableParagraph"/>
              <w:spacing w:before="12"/>
              <w:ind w:left="51" w:right="74"/>
              <w:jc w:val="center"/>
              <w:rPr>
                <w:sz w:val="20"/>
              </w:rPr>
            </w:pPr>
            <w:r>
              <w:rPr>
                <w:spacing w:val="-4"/>
                <w:sz w:val="20"/>
              </w:rPr>
              <w:t>39.1</w:t>
            </w:r>
          </w:p>
        </w:tc>
        <w:tc>
          <w:tcPr>
            <w:tcW w:w="688" w:type="dxa"/>
          </w:tcPr>
          <w:p>
            <w:pPr>
              <w:pStyle w:val="TableParagraph"/>
              <w:spacing w:before="12"/>
              <w:ind w:left="44" w:right="94"/>
              <w:jc w:val="center"/>
              <w:rPr>
                <w:sz w:val="20"/>
              </w:rPr>
            </w:pPr>
            <w:r>
              <w:rPr>
                <w:spacing w:val="-10"/>
                <w:sz w:val="20"/>
              </w:rPr>
              <w:t>3</w:t>
            </w:r>
          </w:p>
        </w:tc>
        <w:tc>
          <w:tcPr>
            <w:tcW w:w="906" w:type="dxa"/>
          </w:tcPr>
          <w:p>
            <w:pPr>
              <w:pStyle w:val="TableParagraph"/>
              <w:spacing w:before="12"/>
              <w:ind w:right="2"/>
              <w:jc w:val="center"/>
              <w:rPr>
                <w:sz w:val="20"/>
              </w:rPr>
            </w:pPr>
            <w:r>
              <w:rPr>
                <w:spacing w:val="-4"/>
                <w:sz w:val="20"/>
              </w:rPr>
              <w:t>13.0</w:t>
            </w:r>
          </w:p>
        </w:tc>
        <w:tc>
          <w:tcPr>
            <w:tcW w:w="688" w:type="dxa"/>
          </w:tcPr>
          <w:p>
            <w:pPr>
              <w:pStyle w:val="TableParagraph"/>
              <w:spacing w:before="12"/>
              <w:ind w:left="99" w:right="57"/>
              <w:jc w:val="center"/>
              <w:rPr>
                <w:sz w:val="20"/>
              </w:rPr>
            </w:pPr>
            <w:r>
              <w:rPr>
                <w:spacing w:val="-10"/>
                <w:sz w:val="20"/>
              </w:rPr>
              <w:t>2</w:t>
            </w:r>
          </w:p>
        </w:tc>
        <w:tc>
          <w:tcPr>
            <w:tcW w:w="801" w:type="dxa"/>
          </w:tcPr>
          <w:p>
            <w:pPr>
              <w:pStyle w:val="TableParagraph"/>
              <w:spacing w:before="12"/>
              <w:ind w:left="1" w:right="10"/>
              <w:jc w:val="center"/>
              <w:rPr>
                <w:sz w:val="20"/>
              </w:rPr>
            </w:pPr>
            <w:r>
              <w:rPr>
                <w:spacing w:val="-5"/>
                <w:sz w:val="20"/>
              </w:rPr>
              <w:t>8.7</w:t>
            </w:r>
          </w:p>
        </w:tc>
        <w:tc>
          <w:tcPr>
            <w:tcW w:w="628" w:type="dxa"/>
          </w:tcPr>
          <w:p>
            <w:pPr>
              <w:pStyle w:val="TableParagraph"/>
              <w:spacing w:before="12"/>
              <w:ind w:left="8" w:right="27"/>
              <w:jc w:val="center"/>
              <w:rPr>
                <w:sz w:val="20"/>
              </w:rPr>
            </w:pPr>
            <w:r>
              <w:rPr>
                <w:spacing w:val="-10"/>
                <w:sz w:val="20"/>
              </w:rPr>
              <w:t>-</w:t>
            </w:r>
          </w:p>
        </w:tc>
        <w:tc>
          <w:tcPr>
            <w:tcW w:w="772" w:type="dxa"/>
          </w:tcPr>
          <w:p>
            <w:pPr>
              <w:pStyle w:val="TableParagraph"/>
              <w:spacing w:before="12"/>
              <w:ind w:left="28" w:right="28"/>
              <w:jc w:val="center"/>
              <w:rPr>
                <w:sz w:val="20"/>
              </w:rPr>
            </w:pPr>
            <w:r>
              <w:rPr>
                <w:spacing w:val="-10"/>
                <w:sz w:val="20"/>
              </w:rPr>
              <w:t>-</w:t>
            </w:r>
          </w:p>
        </w:tc>
        <w:tc>
          <w:tcPr>
            <w:tcW w:w="693" w:type="dxa"/>
          </w:tcPr>
          <w:p>
            <w:pPr>
              <w:pStyle w:val="TableParagraph"/>
              <w:spacing w:before="12"/>
              <w:ind w:left="7" w:right="28"/>
              <w:jc w:val="center"/>
              <w:rPr>
                <w:sz w:val="20"/>
              </w:rPr>
            </w:pPr>
            <w:r>
              <w:rPr>
                <w:spacing w:val="-5"/>
                <w:sz w:val="20"/>
              </w:rPr>
              <w:t>23</w:t>
            </w:r>
          </w:p>
        </w:tc>
        <w:tc>
          <w:tcPr>
            <w:tcW w:w="735" w:type="dxa"/>
            <w:tcBorders>
              <w:right w:val="single" w:sz="4" w:space="0" w:color="000000"/>
            </w:tcBorders>
          </w:tcPr>
          <w:p>
            <w:pPr>
              <w:pStyle w:val="TableParagraph"/>
              <w:spacing w:before="12"/>
              <w:ind w:left="76" w:right="80"/>
              <w:jc w:val="center"/>
              <w:rPr>
                <w:sz w:val="20"/>
              </w:rPr>
            </w:pPr>
            <w:r>
              <w:rPr>
                <w:spacing w:val="-5"/>
                <w:sz w:val="20"/>
              </w:rPr>
              <w:t>5.0</w:t>
            </w:r>
          </w:p>
        </w:tc>
      </w:tr>
      <w:tr>
        <w:trPr>
          <w:trHeight w:val="230" w:hRule="atLeast"/>
        </w:trPr>
        <w:tc>
          <w:tcPr>
            <w:tcW w:w="4143" w:type="dxa"/>
            <w:tcBorders>
              <w:left w:val="single" w:sz="4" w:space="0" w:color="000000"/>
            </w:tcBorders>
          </w:tcPr>
          <w:p>
            <w:pPr>
              <w:pStyle w:val="TableParagraph"/>
              <w:tabs>
                <w:tab w:pos="609" w:val="left" w:leader="none"/>
              </w:tabs>
              <w:spacing w:line="210" w:lineRule="exact"/>
              <w:ind w:right="100"/>
              <w:jc w:val="right"/>
              <w:rPr>
                <w:sz w:val="20"/>
              </w:rPr>
            </w:pPr>
            <w:r>
              <w:rPr>
                <w:spacing w:val="-5"/>
                <w:sz w:val="20"/>
              </w:rPr>
              <w:t>75.</w:t>
            </w:r>
            <w:r>
              <w:rPr>
                <w:sz w:val="20"/>
              </w:rPr>
              <w:tab/>
              <w:t>Students</w:t>
            </w:r>
            <w:r>
              <w:rPr>
                <w:spacing w:val="28"/>
                <w:sz w:val="20"/>
              </w:rPr>
              <w:t> </w:t>
            </w:r>
            <w:r>
              <w:rPr>
                <w:sz w:val="20"/>
              </w:rPr>
              <w:t>get</w:t>
            </w:r>
            <w:r>
              <w:rPr>
                <w:spacing w:val="34"/>
                <w:sz w:val="20"/>
              </w:rPr>
              <w:t> </w:t>
            </w:r>
            <w:r>
              <w:rPr>
                <w:sz w:val="20"/>
              </w:rPr>
              <w:t>discouraged</w:t>
            </w:r>
            <w:r>
              <w:rPr>
                <w:spacing w:val="36"/>
                <w:sz w:val="20"/>
              </w:rPr>
              <w:t> </w:t>
            </w:r>
            <w:r>
              <w:rPr>
                <w:sz w:val="20"/>
              </w:rPr>
              <w:t>going</w:t>
            </w:r>
            <w:r>
              <w:rPr>
                <w:spacing w:val="31"/>
                <w:sz w:val="20"/>
              </w:rPr>
              <w:t> </w:t>
            </w:r>
            <w:r>
              <w:rPr>
                <w:spacing w:val="-5"/>
                <w:sz w:val="20"/>
              </w:rPr>
              <w:t>to</w:t>
            </w:r>
          </w:p>
        </w:tc>
        <w:tc>
          <w:tcPr>
            <w:tcW w:w="1800" w:type="dxa"/>
          </w:tcPr>
          <w:p>
            <w:pPr>
              <w:pStyle w:val="TableParagraph"/>
              <w:spacing w:line="210" w:lineRule="exact"/>
              <w:ind w:left="109"/>
              <w:rPr>
                <w:sz w:val="20"/>
              </w:rPr>
            </w:pPr>
            <w:r>
              <w:rPr>
                <w:sz w:val="20"/>
              </w:rPr>
              <w:t>No.</w:t>
            </w:r>
            <w:r>
              <w:rPr>
                <w:spacing w:val="-5"/>
                <w:sz w:val="20"/>
              </w:rPr>
              <w:t> </w:t>
            </w:r>
            <w:r>
              <w:rPr>
                <w:sz w:val="20"/>
              </w:rPr>
              <w:t>of</w:t>
            </w:r>
            <w:r>
              <w:rPr>
                <w:spacing w:val="-2"/>
                <w:sz w:val="20"/>
              </w:rPr>
              <w:t> missing</w:t>
            </w:r>
          </w:p>
        </w:tc>
        <w:tc>
          <w:tcPr>
            <w:tcW w:w="674" w:type="dxa"/>
          </w:tcPr>
          <w:p>
            <w:pPr>
              <w:pStyle w:val="TableParagraph"/>
              <w:rPr>
                <w:rFonts w:ascii="Times New Roman"/>
                <w:sz w:val="16"/>
              </w:rPr>
            </w:pPr>
          </w:p>
        </w:tc>
        <w:tc>
          <w:tcPr>
            <w:tcW w:w="779" w:type="dxa"/>
          </w:tcPr>
          <w:p>
            <w:pPr>
              <w:pStyle w:val="TableParagraph"/>
              <w:rPr>
                <w:rFonts w:ascii="Times New Roman"/>
                <w:sz w:val="16"/>
              </w:rPr>
            </w:pPr>
          </w:p>
        </w:tc>
        <w:tc>
          <w:tcPr>
            <w:tcW w:w="693" w:type="dxa"/>
          </w:tcPr>
          <w:p>
            <w:pPr>
              <w:pStyle w:val="TableParagraph"/>
              <w:rPr>
                <w:rFonts w:ascii="Times New Roman"/>
                <w:sz w:val="16"/>
              </w:rPr>
            </w:pPr>
          </w:p>
        </w:tc>
        <w:tc>
          <w:tcPr>
            <w:tcW w:w="779" w:type="dxa"/>
          </w:tcPr>
          <w:p>
            <w:pPr>
              <w:pStyle w:val="TableParagraph"/>
              <w:rPr>
                <w:rFonts w:ascii="Times New Roman"/>
                <w:sz w:val="16"/>
              </w:rPr>
            </w:pPr>
          </w:p>
        </w:tc>
        <w:tc>
          <w:tcPr>
            <w:tcW w:w="688" w:type="dxa"/>
          </w:tcPr>
          <w:p>
            <w:pPr>
              <w:pStyle w:val="TableParagraph"/>
              <w:rPr>
                <w:rFonts w:ascii="Times New Roman"/>
                <w:sz w:val="16"/>
              </w:rPr>
            </w:pPr>
          </w:p>
        </w:tc>
        <w:tc>
          <w:tcPr>
            <w:tcW w:w="906" w:type="dxa"/>
          </w:tcPr>
          <w:p>
            <w:pPr>
              <w:pStyle w:val="TableParagraph"/>
              <w:rPr>
                <w:rFonts w:ascii="Times New Roman"/>
                <w:sz w:val="16"/>
              </w:rPr>
            </w:pPr>
          </w:p>
        </w:tc>
        <w:tc>
          <w:tcPr>
            <w:tcW w:w="688" w:type="dxa"/>
          </w:tcPr>
          <w:p>
            <w:pPr>
              <w:pStyle w:val="TableParagraph"/>
              <w:rPr>
                <w:rFonts w:ascii="Times New Roman"/>
                <w:sz w:val="16"/>
              </w:rPr>
            </w:pPr>
          </w:p>
        </w:tc>
        <w:tc>
          <w:tcPr>
            <w:tcW w:w="801" w:type="dxa"/>
          </w:tcPr>
          <w:p>
            <w:pPr>
              <w:pStyle w:val="TableParagraph"/>
              <w:rPr>
                <w:rFonts w:ascii="Times New Roman"/>
                <w:sz w:val="16"/>
              </w:rPr>
            </w:pPr>
          </w:p>
        </w:tc>
        <w:tc>
          <w:tcPr>
            <w:tcW w:w="628" w:type="dxa"/>
          </w:tcPr>
          <w:p>
            <w:pPr>
              <w:pStyle w:val="TableParagraph"/>
              <w:rPr>
                <w:rFonts w:ascii="Times New Roman"/>
                <w:sz w:val="16"/>
              </w:rPr>
            </w:pPr>
          </w:p>
        </w:tc>
        <w:tc>
          <w:tcPr>
            <w:tcW w:w="772" w:type="dxa"/>
          </w:tcPr>
          <w:p>
            <w:pPr>
              <w:pStyle w:val="TableParagraph"/>
              <w:rPr>
                <w:rFonts w:ascii="Times New Roman"/>
                <w:sz w:val="16"/>
              </w:rPr>
            </w:pPr>
          </w:p>
        </w:tc>
        <w:tc>
          <w:tcPr>
            <w:tcW w:w="693" w:type="dxa"/>
          </w:tcPr>
          <w:p>
            <w:pPr>
              <w:pStyle w:val="TableParagraph"/>
              <w:rPr>
                <w:rFonts w:ascii="Times New Roman"/>
                <w:sz w:val="16"/>
              </w:rPr>
            </w:pPr>
          </w:p>
        </w:tc>
        <w:tc>
          <w:tcPr>
            <w:tcW w:w="735" w:type="dxa"/>
            <w:tcBorders>
              <w:right w:val="single" w:sz="4" w:space="0" w:color="000000"/>
            </w:tcBorders>
          </w:tcPr>
          <w:p>
            <w:pPr>
              <w:pStyle w:val="TableParagraph"/>
              <w:rPr>
                <w:rFonts w:ascii="Times New Roman"/>
                <w:sz w:val="16"/>
              </w:rPr>
            </w:pPr>
          </w:p>
        </w:tc>
      </w:tr>
      <w:tr>
        <w:trPr>
          <w:trHeight w:val="230" w:hRule="atLeast"/>
        </w:trPr>
        <w:tc>
          <w:tcPr>
            <w:tcW w:w="4143" w:type="dxa"/>
            <w:tcBorders>
              <w:left w:val="single" w:sz="4" w:space="0" w:color="000000"/>
            </w:tcBorders>
          </w:tcPr>
          <w:p>
            <w:pPr>
              <w:pStyle w:val="TableParagraph"/>
              <w:tabs>
                <w:tab w:pos="2434" w:val="left" w:leader="none"/>
              </w:tabs>
              <w:spacing w:line="210" w:lineRule="exact"/>
              <w:ind w:right="104"/>
              <w:jc w:val="right"/>
              <w:rPr>
                <w:sz w:val="20"/>
              </w:rPr>
            </w:pPr>
            <w:r>
              <w:rPr>
                <w:sz w:val="20"/>
              </w:rPr>
              <w:t>libraries</w:t>
            </w:r>
            <w:r>
              <w:rPr>
                <w:spacing w:val="38"/>
                <w:sz w:val="20"/>
              </w:rPr>
              <w:t>  </w:t>
            </w:r>
            <w:r>
              <w:rPr>
                <w:sz w:val="20"/>
              </w:rPr>
              <w:t>because</w:t>
            </w:r>
            <w:r>
              <w:rPr>
                <w:spacing w:val="39"/>
                <w:sz w:val="20"/>
              </w:rPr>
              <w:t>  </w:t>
            </w:r>
            <w:r>
              <w:rPr>
                <w:spacing w:val="-4"/>
                <w:sz w:val="20"/>
              </w:rPr>
              <w:t>they</w:t>
            </w:r>
            <w:r>
              <w:rPr>
                <w:sz w:val="20"/>
              </w:rPr>
              <w:tab/>
              <w:t>are</w:t>
            </w:r>
            <w:r>
              <w:rPr>
                <w:spacing w:val="42"/>
                <w:sz w:val="20"/>
              </w:rPr>
              <w:t>  </w:t>
            </w:r>
            <w:r>
              <w:rPr>
                <w:spacing w:val="-5"/>
                <w:sz w:val="20"/>
              </w:rPr>
              <w:t>not</w:t>
            </w:r>
          </w:p>
        </w:tc>
        <w:tc>
          <w:tcPr>
            <w:tcW w:w="1800" w:type="dxa"/>
          </w:tcPr>
          <w:p>
            <w:pPr>
              <w:pStyle w:val="TableParagraph"/>
              <w:spacing w:line="210" w:lineRule="exact"/>
              <w:ind w:left="109"/>
              <w:rPr>
                <w:sz w:val="20"/>
              </w:rPr>
            </w:pPr>
            <w:r>
              <w:rPr>
                <w:spacing w:val="-2"/>
                <w:sz w:val="20"/>
              </w:rPr>
              <w:t>observations</w:t>
            </w:r>
          </w:p>
        </w:tc>
        <w:tc>
          <w:tcPr>
            <w:tcW w:w="674" w:type="dxa"/>
          </w:tcPr>
          <w:p>
            <w:pPr>
              <w:pStyle w:val="TableParagraph"/>
              <w:spacing w:line="210" w:lineRule="exact"/>
              <w:ind w:left="100" w:right="49"/>
              <w:jc w:val="center"/>
              <w:rPr>
                <w:sz w:val="20"/>
              </w:rPr>
            </w:pPr>
            <w:r>
              <w:rPr>
                <w:spacing w:val="-10"/>
                <w:sz w:val="20"/>
              </w:rPr>
              <w:t>1</w:t>
            </w:r>
          </w:p>
        </w:tc>
        <w:tc>
          <w:tcPr>
            <w:tcW w:w="779" w:type="dxa"/>
          </w:tcPr>
          <w:p>
            <w:pPr>
              <w:pStyle w:val="TableParagraph"/>
              <w:spacing w:line="210" w:lineRule="exact"/>
              <w:ind w:left="112" w:right="74"/>
              <w:jc w:val="center"/>
              <w:rPr>
                <w:sz w:val="20"/>
              </w:rPr>
            </w:pPr>
            <w:r>
              <w:rPr>
                <w:spacing w:val="-4"/>
                <w:sz w:val="20"/>
              </w:rPr>
              <w:t>50.0</w:t>
            </w:r>
          </w:p>
        </w:tc>
        <w:tc>
          <w:tcPr>
            <w:tcW w:w="693" w:type="dxa"/>
          </w:tcPr>
          <w:p>
            <w:pPr>
              <w:pStyle w:val="TableParagraph"/>
              <w:spacing w:line="210" w:lineRule="exact"/>
              <w:ind w:left="26" w:right="26"/>
              <w:jc w:val="center"/>
              <w:rPr>
                <w:sz w:val="20"/>
              </w:rPr>
            </w:pPr>
            <w:r>
              <w:rPr>
                <w:spacing w:val="-10"/>
                <w:sz w:val="20"/>
              </w:rPr>
              <w:t>-</w:t>
            </w:r>
          </w:p>
        </w:tc>
        <w:tc>
          <w:tcPr>
            <w:tcW w:w="779" w:type="dxa"/>
          </w:tcPr>
          <w:p>
            <w:pPr>
              <w:pStyle w:val="TableParagraph"/>
              <w:spacing w:line="210" w:lineRule="exact"/>
              <w:ind w:left="44" w:right="74"/>
              <w:jc w:val="center"/>
              <w:rPr>
                <w:sz w:val="20"/>
              </w:rPr>
            </w:pPr>
            <w:r>
              <w:rPr>
                <w:spacing w:val="-10"/>
                <w:sz w:val="20"/>
              </w:rPr>
              <w:t>-</w:t>
            </w:r>
          </w:p>
        </w:tc>
        <w:tc>
          <w:tcPr>
            <w:tcW w:w="688" w:type="dxa"/>
          </w:tcPr>
          <w:p>
            <w:pPr>
              <w:pStyle w:val="TableParagraph"/>
              <w:spacing w:line="210" w:lineRule="exact"/>
              <w:ind w:left="44" w:right="101"/>
              <w:jc w:val="center"/>
              <w:rPr>
                <w:sz w:val="20"/>
              </w:rPr>
            </w:pPr>
            <w:r>
              <w:rPr>
                <w:spacing w:val="-10"/>
                <w:sz w:val="20"/>
              </w:rPr>
              <w:t>-</w:t>
            </w:r>
          </w:p>
        </w:tc>
        <w:tc>
          <w:tcPr>
            <w:tcW w:w="906" w:type="dxa"/>
          </w:tcPr>
          <w:p>
            <w:pPr>
              <w:pStyle w:val="TableParagraph"/>
              <w:spacing w:line="210" w:lineRule="exact"/>
              <w:ind w:right="9"/>
              <w:jc w:val="center"/>
              <w:rPr>
                <w:sz w:val="20"/>
              </w:rPr>
            </w:pPr>
            <w:r>
              <w:rPr>
                <w:spacing w:val="-10"/>
                <w:sz w:val="20"/>
              </w:rPr>
              <w:t>-</w:t>
            </w:r>
          </w:p>
        </w:tc>
        <w:tc>
          <w:tcPr>
            <w:tcW w:w="688" w:type="dxa"/>
          </w:tcPr>
          <w:p>
            <w:pPr>
              <w:pStyle w:val="TableParagraph"/>
              <w:spacing w:line="210" w:lineRule="exact"/>
              <w:ind w:left="99" w:right="57"/>
              <w:jc w:val="center"/>
              <w:rPr>
                <w:sz w:val="20"/>
              </w:rPr>
            </w:pPr>
            <w:r>
              <w:rPr>
                <w:spacing w:val="-10"/>
                <w:sz w:val="20"/>
              </w:rPr>
              <w:t>1</w:t>
            </w:r>
          </w:p>
        </w:tc>
        <w:tc>
          <w:tcPr>
            <w:tcW w:w="801" w:type="dxa"/>
          </w:tcPr>
          <w:p>
            <w:pPr>
              <w:pStyle w:val="TableParagraph"/>
              <w:spacing w:line="210" w:lineRule="exact"/>
              <w:ind w:left="6" w:right="10"/>
              <w:jc w:val="center"/>
              <w:rPr>
                <w:sz w:val="20"/>
              </w:rPr>
            </w:pPr>
            <w:r>
              <w:rPr>
                <w:spacing w:val="-4"/>
                <w:sz w:val="20"/>
              </w:rPr>
              <w:t>50.0</w:t>
            </w:r>
          </w:p>
        </w:tc>
        <w:tc>
          <w:tcPr>
            <w:tcW w:w="628" w:type="dxa"/>
          </w:tcPr>
          <w:p>
            <w:pPr>
              <w:pStyle w:val="TableParagraph"/>
              <w:spacing w:line="210" w:lineRule="exact"/>
              <w:ind w:left="8" w:right="27"/>
              <w:jc w:val="center"/>
              <w:rPr>
                <w:sz w:val="20"/>
              </w:rPr>
            </w:pPr>
            <w:r>
              <w:rPr>
                <w:spacing w:val="-10"/>
                <w:sz w:val="20"/>
              </w:rPr>
              <w:t>-</w:t>
            </w:r>
          </w:p>
        </w:tc>
        <w:tc>
          <w:tcPr>
            <w:tcW w:w="772" w:type="dxa"/>
          </w:tcPr>
          <w:p>
            <w:pPr>
              <w:pStyle w:val="TableParagraph"/>
              <w:spacing w:line="210" w:lineRule="exact"/>
              <w:ind w:left="28" w:right="28"/>
              <w:jc w:val="center"/>
              <w:rPr>
                <w:sz w:val="20"/>
              </w:rPr>
            </w:pPr>
            <w:r>
              <w:rPr>
                <w:spacing w:val="-10"/>
                <w:sz w:val="20"/>
              </w:rPr>
              <w:t>-</w:t>
            </w:r>
          </w:p>
        </w:tc>
        <w:tc>
          <w:tcPr>
            <w:tcW w:w="693" w:type="dxa"/>
          </w:tcPr>
          <w:p>
            <w:pPr>
              <w:pStyle w:val="TableParagraph"/>
              <w:spacing w:line="210" w:lineRule="exact"/>
              <w:ind w:left="10" w:right="26"/>
              <w:jc w:val="center"/>
              <w:rPr>
                <w:sz w:val="20"/>
              </w:rPr>
            </w:pPr>
            <w:r>
              <w:rPr>
                <w:spacing w:val="-10"/>
                <w:sz w:val="20"/>
              </w:rPr>
              <w:t>2</w:t>
            </w:r>
          </w:p>
        </w:tc>
        <w:tc>
          <w:tcPr>
            <w:tcW w:w="735" w:type="dxa"/>
            <w:tcBorders>
              <w:right w:val="single" w:sz="4" w:space="0" w:color="000000"/>
            </w:tcBorders>
          </w:tcPr>
          <w:p>
            <w:pPr>
              <w:pStyle w:val="TableParagraph"/>
              <w:spacing w:line="210" w:lineRule="exact"/>
              <w:ind w:left="76" w:right="80"/>
              <w:jc w:val="center"/>
              <w:rPr>
                <w:sz w:val="20"/>
              </w:rPr>
            </w:pPr>
            <w:r>
              <w:rPr>
                <w:spacing w:val="-5"/>
                <w:sz w:val="20"/>
              </w:rPr>
              <w:t>0.4</w:t>
            </w:r>
          </w:p>
        </w:tc>
      </w:tr>
      <w:tr>
        <w:trPr>
          <w:trHeight w:val="230" w:hRule="atLeast"/>
        </w:trPr>
        <w:tc>
          <w:tcPr>
            <w:tcW w:w="4143" w:type="dxa"/>
            <w:tcBorders>
              <w:left w:val="single" w:sz="4" w:space="0" w:color="000000"/>
            </w:tcBorders>
          </w:tcPr>
          <w:p>
            <w:pPr>
              <w:pStyle w:val="TableParagraph"/>
              <w:spacing w:line="210" w:lineRule="exact"/>
              <w:ind w:right="100"/>
              <w:jc w:val="right"/>
              <w:rPr>
                <w:sz w:val="20"/>
              </w:rPr>
            </w:pPr>
            <w:r>
              <w:rPr>
                <w:sz w:val="20"/>
              </w:rPr>
              <w:t>assisted</w:t>
            </w:r>
            <w:r>
              <w:rPr>
                <w:spacing w:val="32"/>
                <w:sz w:val="20"/>
              </w:rPr>
              <w:t> </w:t>
            </w:r>
            <w:r>
              <w:rPr>
                <w:sz w:val="20"/>
              </w:rPr>
              <w:t>by</w:t>
            </w:r>
            <w:r>
              <w:rPr>
                <w:spacing w:val="35"/>
                <w:sz w:val="20"/>
              </w:rPr>
              <w:t> </w:t>
            </w:r>
            <w:r>
              <w:rPr>
                <w:sz w:val="20"/>
              </w:rPr>
              <w:t>staff</w:t>
            </w:r>
            <w:r>
              <w:rPr>
                <w:spacing w:val="36"/>
                <w:sz w:val="20"/>
              </w:rPr>
              <w:t> </w:t>
            </w:r>
            <w:r>
              <w:rPr>
                <w:sz w:val="20"/>
              </w:rPr>
              <w:t>to</w:t>
            </w:r>
            <w:r>
              <w:rPr>
                <w:spacing w:val="29"/>
                <w:sz w:val="20"/>
              </w:rPr>
              <w:t> </w:t>
            </w:r>
            <w:r>
              <w:rPr>
                <w:sz w:val="20"/>
              </w:rPr>
              <w:t>locate</w:t>
            </w:r>
            <w:r>
              <w:rPr>
                <w:spacing w:val="33"/>
                <w:sz w:val="20"/>
              </w:rPr>
              <w:t> </w:t>
            </w:r>
            <w:r>
              <w:rPr>
                <w:spacing w:val="-2"/>
                <w:sz w:val="20"/>
              </w:rPr>
              <w:t>relevant</w:t>
            </w:r>
          </w:p>
        </w:tc>
        <w:tc>
          <w:tcPr>
            <w:tcW w:w="1800" w:type="dxa"/>
          </w:tcPr>
          <w:p>
            <w:pPr>
              <w:pStyle w:val="TableParagraph"/>
              <w:spacing w:line="210" w:lineRule="exact"/>
              <w:ind w:left="109"/>
              <w:rPr>
                <w:sz w:val="20"/>
              </w:rPr>
            </w:pPr>
            <w:r>
              <w:rPr>
                <w:spacing w:val="-2"/>
                <w:sz w:val="20"/>
              </w:rPr>
              <w:t>Students</w:t>
            </w:r>
          </w:p>
        </w:tc>
        <w:tc>
          <w:tcPr>
            <w:tcW w:w="674" w:type="dxa"/>
          </w:tcPr>
          <w:p>
            <w:pPr>
              <w:pStyle w:val="TableParagraph"/>
              <w:spacing w:line="210" w:lineRule="exact"/>
              <w:ind w:left="100" w:right="54"/>
              <w:jc w:val="center"/>
              <w:rPr>
                <w:sz w:val="20"/>
              </w:rPr>
            </w:pPr>
            <w:r>
              <w:rPr>
                <w:spacing w:val="-5"/>
                <w:sz w:val="20"/>
              </w:rPr>
              <w:t>59</w:t>
            </w:r>
          </w:p>
        </w:tc>
        <w:tc>
          <w:tcPr>
            <w:tcW w:w="779" w:type="dxa"/>
          </w:tcPr>
          <w:p>
            <w:pPr>
              <w:pStyle w:val="TableParagraph"/>
              <w:spacing w:line="210" w:lineRule="exact"/>
              <w:ind w:left="112" w:right="74"/>
              <w:jc w:val="center"/>
              <w:rPr>
                <w:sz w:val="20"/>
              </w:rPr>
            </w:pPr>
            <w:r>
              <w:rPr>
                <w:spacing w:val="-4"/>
                <w:sz w:val="20"/>
              </w:rPr>
              <w:t>25.1</w:t>
            </w:r>
          </w:p>
        </w:tc>
        <w:tc>
          <w:tcPr>
            <w:tcW w:w="693" w:type="dxa"/>
          </w:tcPr>
          <w:p>
            <w:pPr>
              <w:pStyle w:val="TableParagraph"/>
              <w:spacing w:line="210" w:lineRule="exact"/>
              <w:ind w:left="27" w:right="26"/>
              <w:jc w:val="center"/>
              <w:rPr>
                <w:sz w:val="20"/>
              </w:rPr>
            </w:pPr>
            <w:r>
              <w:rPr>
                <w:spacing w:val="-5"/>
                <w:sz w:val="20"/>
              </w:rPr>
              <w:t>77</w:t>
            </w:r>
          </w:p>
        </w:tc>
        <w:tc>
          <w:tcPr>
            <w:tcW w:w="779" w:type="dxa"/>
          </w:tcPr>
          <w:p>
            <w:pPr>
              <w:pStyle w:val="TableParagraph"/>
              <w:spacing w:line="210" w:lineRule="exact"/>
              <w:ind w:left="51" w:right="74"/>
              <w:jc w:val="center"/>
              <w:rPr>
                <w:sz w:val="20"/>
              </w:rPr>
            </w:pPr>
            <w:r>
              <w:rPr>
                <w:spacing w:val="-4"/>
                <w:sz w:val="20"/>
              </w:rPr>
              <w:t>32.8</w:t>
            </w:r>
          </w:p>
        </w:tc>
        <w:tc>
          <w:tcPr>
            <w:tcW w:w="688" w:type="dxa"/>
          </w:tcPr>
          <w:p>
            <w:pPr>
              <w:pStyle w:val="TableParagraph"/>
              <w:spacing w:line="210" w:lineRule="exact"/>
              <w:ind w:left="44" w:right="99"/>
              <w:jc w:val="center"/>
              <w:rPr>
                <w:sz w:val="20"/>
              </w:rPr>
            </w:pPr>
            <w:r>
              <w:rPr>
                <w:spacing w:val="-5"/>
                <w:sz w:val="20"/>
              </w:rPr>
              <w:t>36</w:t>
            </w:r>
          </w:p>
        </w:tc>
        <w:tc>
          <w:tcPr>
            <w:tcW w:w="906" w:type="dxa"/>
          </w:tcPr>
          <w:p>
            <w:pPr>
              <w:pStyle w:val="TableParagraph"/>
              <w:spacing w:line="210" w:lineRule="exact"/>
              <w:ind w:right="2"/>
              <w:jc w:val="center"/>
              <w:rPr>
                <w:sz w:val="20"/>
              </w:rPr>
            </w:pPr>
            <w:r>
              <w:rPr>
                <w:spacing w:val="-4"/>
                <w:sz w:val="20"/>
              </w:rPr>
              <w:t>15.3</w:t>
            </w:r>
          </w:p>
        </w:tc>
        <w:tc>
          <w:tcPr>
            <w:tcW w:w="688" w:type="dxa"/>
          </w:tcPr>
          <w:p>
            <w:pPr>
              <w:pStyle w:val="TableParagraph"/>
              <w:spacing w:line="210" w:lineRule="exact"/>
              <w:ind w:left="95" w:right="57"/>
              <w:jc w:val="center"/>
              <w:rPr>
                <w:sz w:val="20"/>
              </w:rPr>
            </w:pPr>
            <w:r>
              <w:rPr>
                <w:spacing w:val="-5"/>
                <w:sz w:val="20"/>
              </w:rPr>
              <w:t>52</w:t>
            </w:r>
          </w:p>
        </w:tc>
        <w:tc>
          <w:tcPr>
            <w:tcW w:w="801" w:type="dxa"/>
          </w:tcPr>
          <w:p>
            <w:pPr>
              <w:pStyle w:val="TableParagraph"/>
              <w:spacing w:line="210" w:lineRule="exact"/>
              <w:ind w:left="6" w:right="10"/>
              <w:jc w:val="center"/>
              <w:rPr>
                <w:sz w:val="20"/>
              </w:rPr>
            </w:pPr>
            <w:r>
              <w:rPr>
                <w:spacing w:val="-4"/>
                <w:sz w:val="20"/>
              </w:rPr>
              <w:t>22.1</w:t>
            </w:r>
          </w:p>
        </w:tc>
        <w:tc>
          <w:tcPr>
            <w:tcW w:w="628" w:type="dxa"/>
          </w:tcPr>
          <w:p>
            <w:pPr>
              <w:pStyle w:val="TableParagraph"/>
              <w:spacing w:line="210" w:lineRule="exact"/>
              <w:ind w:left="8" w:right="25"/>
              <w:jc w:val="center"/>
              <w:rPr>
                <w:sz w:val="20"/>
              </w:rPr>
            </w:pPr>
            <w:r>
              <w:rPr>
                <w:spacing w:val="-5"/>
                <w:sz w:val="20"/>
              </w:rPr>
              <w:t>11</w:t>
            </w:r>
          </w:p>
        </w:tc>
        <w:tc>
          <w:tcPr>
            <w:tcW w:w="772" w:type="dxa"/>
          </w:tcPr>
          <w:p>
            <w:pPr>
              <w:pStyle w:val="TableParagraph"/>
              <w:spacing w:line="210" w:lineRule="exact"/>
              <w:ind w:left="28" w:right="27"/>
              <w:jc w:val="center"/>
              <w:rPr>
                <w:sz w:val="20"/>
              </w:rPr>
            </w:pPr>
            <w:r>
              <w:rPr>
                <w:spacing w:val="-5"/>
                <w:sz w:val="20"/>
              </w:rPr>
              <w:t>4.7</w:t>
            </w:r>
          </w:p>
        </w:tc>
        <w:tc>
          <w:tcPr>
            <w:tcW w:w="693" w:type="dxa"/>
          </w:tcPr>
          <w:p>
            <w:pPr>
              <w:pStyle w:val="TableParagraph"/>
              <w:spacing w:line="210" w:lineRule="exact"/>
              <w:ind w:left="7" w:right="33"/>
              <w:jc w:val="center"/>
              <w:rPr>
                <w:sz w:val="20"/>
              </w:rPr>
            </w:pPr>
            <w:r>
              <w:rPr>
                <w:spacing w:val="-5"/>
                <w:sz w:val="20"/>
              </w:rPr>
              <w:t>235</w:t>
            </w:r>
          </w:p>
        </w:tc>
        <w:tc>
          <w:tcPr>
            <w:tcW w:w="735" w:type="dxa"/>
            <w:tcBorders>
              <w:right w:val="single" w:sz="4" w:space="0" w:color="000000"/>
            </w:tcBorders>
          </w:tcPr>
          <w:p>
            <w:pPr>
              <w:pStyle w:val="TableParagraph"/>
              <w:spacing w:line="210" w:lineRule="exact"/>
              <w:ind w:left="76" w:right="77"/>
              <w:jc w:val="center"/>
              <w:rPr>
                <w:sz w:val="20"/>
              </w:rPr>
            </w:pPr>
            <w:r>
              <w:rPr>
                <w:spacing w:val="-4"/>
                <w:sz w:val="20"/>
              </w:rPr>
              <w:t>50.8</w:t>
            </w:r>
          </w:p>
        </w:tc>
      </w:tr>
      <w:tr>
        <w:trPr>
          <w:trHeight w:val="513" w:hRule="atLeast"/>
        </w:trPr>
        <w:tc>
          <w:tcPr>
            <w:tcW w:w="4143" w:type="dxa"/>
            <w:tcBorders>
              <w:left w:val="single" w:sz="4" w:space="0" w:color="000000"/>
            </w:tcBorders>
          </w:tcPr>
          <w:p>
            <w:pPr>
              <w:pStyle w:val="TableParagraph"/>
              <w:ind w:left="830"/>
              <w:rPr>
                <w:sz w:val="20"/>
              </w:rPr>
            </w:pPr>
            <w:r>
              <w:rPr>
                <w:sz w:val="20"/>
              </w:rPr>
              <w:t>materials</w:t>
            </w:r>
            <w:r>
              <w:rPr>
                <w:spacing w:val="80"/>
                <w:sz w:val="20"/>
              </w:rPr>
              <w:t> </w:t>
            </w:r>
            <w:r>
              <w:rPr>
                <w:sz w:val="20"/>
              </w:rPr>
              <w:t>which</w:t>
            </w:r>
            <w:r>
              <w:rPr>
                <w:spacing w:val="80"/>
                <w:sz w:val="20"/>
              </w:rPr>
              <w:t> </w:t>
            </w:r>
            <w:r>
              <w:rPr>
                <w:sz w:val="20"/>
              </w:rPr>
              <w:t>can</w:t>
            </w:r>
            <w:r>
              <w:rPr>
                <w:spacing w:val="80"/>
                <w:sz w:val="20"/>
              </w:rPr>
              <w:t> </w:t>
            </w:r>
            <w:r>
              <w:rPr>
                <w:sz w:val="20"/>
              </w:rPr>
              <w:t>help</w:t>
            </w:r>
            <w:r>
              <w:rPr>
                <w:spacing w:val="80"/>
                <w:sz w:val="20"/>
              </w:rPr>
              <w:t> </w:t>
            </w:r>
            <w:r>
              <w:rPr>
                <w:sz w:val="20"/>
              </w:rPr>
              <w:t>them carryout their assignments.</w:t>
            </w:r>
          </w:p>
        </w:tc>
        <w:tc>
          <w:tcPr>
            <w:tcW w:w="1800" w:type="dxa"/>
          </w:tcPr>
          <w:p>
            <w:pPr>
              <w:pStyle w:val="TableParagraph"/>
              <w:spacing w:before="45"/>
              <w:ind w:left="109"/>
              <w:rPr>
                <w:sz w:val="20"/>
              </w:rPr>
            </w:pPr>
            <w:r>
              <w:rPr>
                <w:sz w:val="20"/>
              </w:rPr>
              <w:t>Service</w:t>
            </w:r>
            <w:r>
              <w:rPr>
                <w:spacing w:val="-9"/>
                <w:sz w:val="20"/>
              </w:rPr>
              <w:t> </w:t>
            </w:r>
            <w:r>
              <w:rPr>
                <w:spacing w:val="-2"/>
                <w:sz w:val="20"/>
              </w:rPr>
              <w:t>Staff</w:t>
            </w:r>
          </w:p>
          <w:p>
            <w:pPr>
              <w:pStyle w:val="TableParagraph"/>
              <w:spacing w:line="218" w:lineRule="exact" w:before="1"/>
              <w:ind w:left="109"/>
              <w:rPr>
                <w:sz w:val="20"/>
              </w:rPr>
            </w:pPr>
            <w:r>
              <w:rPr>
                <w:sz w:val="20"/>
              </w:rPr>
              <w:t>Top</w:t>
            </w:r>
            <w:r>
              <w:rPr>
                <w:spacing w:val="-1"/>
                <w:sz w:val="20"/>
              </w:rPr>
              <w:t> </w:t>
            </w:r>
            <w:r>
              <w:rPr>
                <w:spacing w:val="-2"/>
                <w:sz w:val="20"/>
              </w:rPr>
              <w:t>Management</w:t>
            </w:r>
          </w:p>
        </w:tc>
        <w:tc>
          <w:tcPr>
            <w:tcW w:w="674" w:type="dxa"/>
          </w:tcPr>
          <w:p>
            <w:pPr>
              <w:pStyle w:val="TableParagraph"/>
              <w:spacing w:before="45"/>
              <w:ind w:left="100" w:right="54"/>
              <w:jc w:val="center"/>
              <w:rPr>
                <w:sz w:val="20"/>
              </w:rPr>
            </w:pPr>
            <w:r>
              <w:rPr>
                <w:spacing w:val="-5"/>
                <w:sz w:val="20"/>
              </w:rPr>
              <w:t>24</w:t>
            </w:r>
          </w:p>
          <w:p>
            <w:pPr>
              <w:pStyle w:val="TableParagraph"/>
              <w:spacing w:line="218" w:lineRule="exact" w:before="1"/>
              <w:ind w:left="100" w:right="49"/>
              <w:jc w:val="center"/>
              <w:rPr>
                <w:sz w:val="20"/>
              </w:rPr>
            </w:pPr>
            <w:r>
              <w:rPr>
                <w:spacing w:val="-10"/>
                <w:sz w:val="20"/>
              </w:rPr>
              <w:t>5</w:t>
            </w:r>
          </w:p>
        </w:tc>
        <w:tc>
          <w:tcPr>
            <w:tcW w:w="779" w:type="dxa"/>
          </w:tcPr>
          <w:p>
            <w:pPr>
              <w:pStyle w:val="TableParagraph"/>
              <w:spacing w:before="45"/>
              <w:ind w:left="213"/>
              <w:rPr>
                <w:sz w:val="20"/>
              </w:rPr>
            </w:pPr>
            <w:r>
              <w:rPr>
                <w:spacing w:val="-4"/>
                <w:sz w:val="20"/>
              </w:rPr>
              <w:t>11.8</w:t>
            </w:r>
          </w:p>
          <w:p>
            <w:pPr>
              <w:pStyle w:val="TableParagraph"/>
              <w:spacing w:line="218" w:lineRule="exact" w:before="1"/>
              <w:ind w:left="213"/>
              <w:rPr>
                <w:sz w:val="20"/>
              </w:rPr>
            </w:pPr>
            <w:r>
              <w:rPr>
                <w:spacing w:val="-4"/>
                <w:sz w:val="20"/>
              </w:rPr>
              <w:t>21.7</w:t>
            </w:r>
          </w:p>
        </w:tc>
        <w:tc>
          <w:tcPr>
            <w:tcW w:w="693" w:type="dxa"/>
          </w:tcPr>
          <w:p>
            <w:pPr>
              <w:pStyle w:val="TableParagraph"/>
              <w:spacing w:before="45"/>
              <w:ind w:left="27" w:right="26"/>
              <w:jc w:val="center"/>
              <w:rPr>
                <w:sz w:val="20"/>
              </w:rPr>
            </w:pPr>
            <w:r>
              <w:rPr>
                <w:spacing w:val="-5"/>
                <w:sz w:val="20"/>
              </w:rPr>
              <w:t>39</w:t>
            </w:r>
          </w:p>
          <w:p>
            <w:pPr>
              <w:pStyle w:val="TableParagraph"/>
              <w:spacing w:line="218" w:lineRule="exact" w:before="1"/>
              <w:ind w:left="32" w:right="26"/>
              <w:jc w:val="center"/>
              <w:rPr>
                <w:sz w:val="20"/>
              </w:rPr>
            </w:pPr>
            <w:r>
              <w:rPr>
                <w:spacing w:val="-10"/>
                <w:sz w:val="20"/>
              </w:rPr>
              <w:t>7</w:t>
            </w:r>
          </w:p>
        </w:tc>
        <w:tc>
          <w:tcPr>
            <w:tcW w:w="779" w:type="dxa"/>
          </w:tcPr>
          <w:p>
            <w:pPr>
              <w:pStyle w:val="TableParagraph"/>
              <w:spacing w:before="45"/>
              <w:ind w:left="181"/>
              <w:rPr>
                <w:sz w:val="20"/>
              </w:rPr>
            </w:pPr>
            <w:r>
              <w:rPr>
                <w:spacing w:val="-4"/>
                <w:sz w:val="20"/>
              </w:rPr>
              <w:t>19.2</w:t>
            </w:r>
          </w:p>
          <w:p>
            <w:pPr>
              <w:pStyle w:val="TableParagraph"/>
              <w:spacing w:line="218" w:lineRule="exact" w:before="1"/>
              <w:ind w:left="181"/>
              <w:rPr>
                <w:sz w:val="20"/>
              </w:rPr>
            </w:pPr>
            <w:r>
              <w:rPr>
                <w:spacing w:val="-4"/>
                <w:sz w:val="20"/>
              </w:rPr>
              <w:t>30.4</w:t>
            </w:r>
          </w:p>
        </w:tc>
        <w:tc>
          <w:tcPr>
            <w:tcW w:w="688" w:type="dxa"/>
          </w:tcPr>
          <w:p>
            <w:pPr>
              <w:pStyle w:val="TableParagraph"/>
              <w:spacing w:before="45"/>
              <w:ind w:left="44" w:right="99"/>
              <w:jc w:val="center"/>
              <w:rPr>
                <w:sz w:val="20"/>
              </w:rPr>
            </w:pPr>
            <w:r>
              <w:rPr>
                <w:spacing w:val="-5"/>
                <w:sz w:val="20"/>
              </w:rPr>
              <w:t>38</w:t>
            </w:r>
          </w:p>
          <w:p>
            <w:pPr>
              <w:pStyle w:val="TableParagraph"/>
              <w:spacing w:line="218" w:lineRule="exact" w:before="1"/>
              <w:ind w:left="44" w:right="94"/>
              <w:jc w:val="center"/>
              <w:rPr>
                <w:sz w:val="20"/>
              </w:rPr>
            </w:pPr>
            <w:r>
              <w:rPr>
                <w:spacing w:val="-10"/>
                <w:sz w:val="20"/>
              </w:rPr>
              <w:t>4</w:t>
            </w:r>
          </w:p>
        </w:tc>
        <w:tc>
          <w:tcPr>
            <w:tcW w:w="906" w:type="dxa"/>
          </w:tcPr>
          <w:p>
            <w:pPr>
              <w:pStyle w:val="TableParagraph"/>
              <w:spacing w:before="45"/>
              <w:ind w:left="255"/>
              <w:rPr>
                <w:sz w:val="20"/>
              </w:rPr>
            </w:pPr>
            <w:r>
              <w:rPr>
                <w:spacing w:val="-4"/>
                <w:sz w:val="20"/>
              </w:rPr>
              <w:t>18.7</w:t>
            </w:r>
          </w:p>
          <w:p>
            <w:pPr>
              <w:pStyle w:val="TableParagraph"/>
              <w:spacing w:line="218" w:lineRule="exact" w:before="1"/>
              <w:ind w:left="255"/>
              <w:rPr>
                <w:sz w:val="20"/>
              </w:rPr>
            </w:pPr>
            <w:r>
              <w:rPr>
                <w:spacing w:val="-4"/>
                <w:sz w:val="20"/>
              </w:rPr>
              <w:t>17.4</w:t>
            </w:r>
          </w:p>
        </w:tc>
        <w:tc>
          <w:tcPr>
            <w:tcW w:w="688" w:type="dxa"/>
          </w:tcPr>
          <w:p>
            <w:pPr>
              <w:pStyle w:val="TableParagraph"/>
              <w:spacing w:before="45"/>
              <w:ind w:left="95" w:right="57"/>
              <w:jc w:val="center"/>
              <w:rPr>
                <w:sz w:val="20"/>
              </w:rPr>
            </w:pPr>
            <w:r>
              <w:rPr>
                <w:spacing w:val="-5"/>
                <w:sz w:val="20"/>
              </w:rPr>
              <w:t>66</w:t>
            </w:r>
          </w:p>
          <w:p>
            <w:pPr>
              <w:pStyle w:val="TableParagraph"/>
              <w:spacing w:line="218" w:lineRule="exact" w:before="1"/>
              <w:ind w:left="99" w:right="57"/>
              <w:jc w:val="center"/>
              <w:rPr>
                <w:sz w:val="20"/>
              </w:rPr>
            </w:pPr>
            <w:r>
              <w:rPr>
                <w:spacing w:val="-10"/>
                <w:sz w:val="20"/>
              </w:rPr>
              <w:t>6</w:t>
            </w:r>
          </w:p>
        </w:tc>
        <w:tc>
          <w:tcPr>
            <w:tcW w:w="801" w:type="dxa"/>
          </w:tcPr>
          <w:p>
            <w:pPr>
              <w:pStyle w:val="TableParagraph"/>
              <w:spacing w:before="45"/>
              <w:ind w:left="202"/>
              <w:rPr>
                <w:sz w:val="20"/>
              </w:rPr>
            </w:pPr>
            <w:r>
              <w:rPr>
                <w:spacing w:val="-4"/>
                <w:sz w:val="20"/>
              </w:rPr>
              <w:t>32.5</w:t>
            </w:r>
          </w:p>
          <w:p>
            <w:pPr>
              <w:pStyle w:val="TableParagraph"/>
              <w:spacing w:line="218" w:lineRule="exact" w:before="1"/>
              <w:ind w:left="202"/>
              <w:rPr>
                <w:sz w:val="20"/>
              </w:rPr>
            </w:pPr>
            <w:r>
              <w:rPr>
                <w:spacing w:val="-4"/>
                <w:sz w:val="20"/>
              </w:rPr>
              <w:t>26.1</w:t>
            </w:r>
          </w:p>
        </w:tc>
        <w:tc>
          <w:tcPr>
            <w:tcW w:w="628" w:type="dxa"/>
          </w:tcPr>
          <w:p>
            <w:pPr>
              <w:pStyle w:val="TableParagraph"/>
              <w:spacing w:before="45"/>
              <w:ind w:left="8" w:right="25"/>
              <w:jc w:val="center"/>
              <w:rPr>
                <w:sz w:val="20"/>
              </w:rPr>
            </w:pPr>
            <w:r>
              <w:rPr>
                <w:spacing w:val="-5"/>
                <w:sz w:val="20"/>
              </w:rPr>
              <w:t>36</w:t>
            </w:r>
          </w:p>
          <w:p>
            <w:pPr>
              <w:pStyle w:val="TableParagraph"/>
              <w:spacing w:line="218" w:lineRule="exact" w:before="1"/>
              <w:ind w:left="8" w:right="20"/>
              <w:jc w:val="center"/>
              <w:rPr>
                <w:sz w:val="20"/>
              </w:rPr>
            </w:pPr>
            <w:r>
              <w:rPr>
                <w:spacing w:val="-10"/>
                <w:sz w:val="20"/>
              </w:rPr>
              <w:t>1</w:t>
            </w:r>
          </w:p>
        </w:tc>
        <w:tc>
          <w:tcPr>
            <w:tcW w:w="772" w:type="dxa"/>
          </w:tcPr>
          <w:p>
            <w:pPr>
              <w:pStyle w:val="TableParagraph"/>
              <w:spacing w:before="45"/>
              <w:ind w:left="193"/>
              <w:rPr>
                <w:sz w:val="20"/>
              </w:rPr>
            </w:pPr>
            <w:r>
              <w:rPr>
                <w:spacing w:val="-4"/>
                <w:sz w:val="20"/>
              </w:rPr>
              <w:t>17.7</w:t>
            </w:r>
          </w:p>
          <w:p>
            <w:pPr>
              <w:pStyle w:val="TableParagraph"/>
              <w:spacing w:line="218" w:lineRule="exact" w:before="1"/>
              <w:ind w:left="246"/>
              <w:rPr>
                <w:sz w:val="20"/>
              </w:rPr>
            </w:pPr>
            <w:r>
              <w:rPr>
                <w:spacing w:val="-5"/>
                <w:sz w:val="20"/>
              </w:rPr>
              <w:t>4.3</w:t>
            </w:r>
          </w:p>
        </w:tc>
        <w:tc>
          <w:tcPr>
            <w:tcW w:w="693" w:type="dxa"/>
          </w:tcPr>
          <w:p>
            <w:pPr>
              <w:pStyle w:val="TableParagraph"/>
              <w:spacing w:before="45"/>
              <w:ind w:left="165"/>
              <w:rPr>
                <w:sz w:val="20"/>
              </w:rPr>
            </w:pPr>
            <w:r>
              <w:rPr>
                <w:spacing w:val="-5"/>
                <w:sz w:val="20"/>
              </w:rPr>
              <w:t>203</w:t>
            </w:r>
          </w:p>
          <w:p>
            <w:pPr>
              <w:pStyle w:val="TableParagraph"/>
              <w:spacing w:line="218" w:lineRule="exact" w:before="1"/>
              <w:ind w:left="223"/>
              <w:rPr>
                <w:sz w:val="20"/>
              </w:rPr>
            </w:pPr>
            <w:r>
              <w:rPr>
                <w:spacing w:val="-5"/>
                <w:sz w:val="20"/>
              </w:rPr>
              <w:t>23</w:t>
            </w:r>
          </w:p>
        </w:tc>
        <w:tc>
          <w:tcPr>
            <w:tcW w:w="735" w:type="dxa"/>
            <w:tcBorders>
              <w:right w:val="single" w:sz="4" w:space="0" w:color="000000"/>
            </w:tcBorders>
          </w:tcPr>
          <w:p>
            <w:pPr>
              <w:pStyle w:val="TableParagraph"/>
              <w:spacing w:before="45"/>
              <w:ind w:left="168"/>
              <w:rPr>
                <w:sz w:val="20"/>
              </w:rPr>
            </w:pPr>
            <w:r>
              <w:rPr>
                <w:spacing w:val="-4"/>
                <w:sz w:val="20"/>
              </w:rPr>
              <w:t>43.8</w:t>
            </w:r>
          </w:p>
          <w:p>
            <w:pPr>
              <w:pStyle w:val="TableParagraph"/>
              <w:spacing w:line="218" w:lineRule="exact" w:before="1"/>
              <w:ind w:left="221"/>
              <w:rPr>
                <w:sz w:val="20"/>
              </w:rPr>
            </w:pPr>
            <w:r>
              <w:rPr>
                <w:spacing w:val="-5"/>
                <w:sz w:val="20"/>
              </w:rPr>
              <w:t>5.0</w:t>
            </w:r>
          </w:p>
        </w:tc>
      </w:tr>
      <w:tr>
        <w:trPr>
          <w:trHeight w:val="235" w:hRule="atLeast"/>
        </w:trPr>
        <w:tc>
          <w:tcPr>
            <w:tcW w:w="4143" w:type="dxa"/>
            <w:tcBorders>
              <w:left w:val="single" w:sz="4" w:space="0" w:color="000000"/>
            </w:tcBorders>
          </w:tcPr>
          <w:p>
            <w:pPr>
              <w:pStyle w:val="TableParagraph"/>
              <w:tabs>
                <w:tab w:pos="609" w:val="left" w:leader="none"/>
                <w:tab w:pos="1685" w:val="left" w:leader="none"/>
                <w:tab w:pos="2578" w:val="left" w:leader="none"/>
                <w:tab w:pos="3144" w:val="left" w:leader="none"/>
              </w:tabs>
              <w:spacing w:line="213" w:lineRule="exact" w:before="2"/>
              <w:ind w:right="105"/>
              <w:jc w:val="right"/>
              <w:rPr>
                <w:sz w:val="20"/>
              </w:rPr>
            </w:pPr>
            <w:r>
              <w:rPr>
                <w:spacing w:val="-5"/>
                <w:sz w:val="20"/>
              </w:rPr>
              <w:t>76.</w:t>
            </w:r>
            <w:r>
              <w:rPr>
                <w:sz w:val="20"/>
              </w:rPr>
              <w:tab/>
            </w:r>
            <w:r>
              <w:rPr>
                <w:spacing w:val="-2"/>
                <w:sz w:val="20"/>
              </w:rPr>
              <w:t>Students</w:t>
            </w:r>
            <w:r>
              <w:rPr>
                <w:sz w:val="20"/>
              </w:rPr>
              <w:tab/>
            </w:r>
            <w:r>
              <w:rPr>
                <w:spacing w:val="-2"/>
                <w:sz w:val="20"/>
              </w:rPr>
              <w:t>always</w:t>
            </w:r>
            <w:r>
              <w:rPr>
                <w:sz w:val="20"/>
              </w:rPr>
              <w:tab/>
            </w:r>
            <w:r>
              <w:rPr>
                <w:spacing w:val="-5"/>
                <w:sz w:val="20"/>
              </w:rPr>
              <w:t>get</w:t>
            </w:r>
            <w:r>
              <w:rPr>
                <w:sz w:val="20"/>
              </w:rPr>
              <w:tab/>
            </w:r>
            <w:r>
              <w:rPr>
                <w:spacing w:val="-2"/>
                <w:sz w:val="20"/>
              </w:rPr>
              <w:t>enough</w:t>
            </w:r>
          </w:p>
        </w:tc>
        <w:tc>
          <w:tcPr>
            <w:tcW w:w="1800" w:type="dxa"/>
          </w:tcPr>
          <w:p>
            <w:pPr>
              <w:pStyle w:val="TableParagraph"/>
              <w:spacing w:line="213" w:lineRule="exact" w:before="2"/>
              <w:ind w:left="109"/>
              <w:rPr>
                <w:sz w:val="20"/>
              </w:rPr>
            </w:pPr>
            <w:r>
              <w:rPr>
                <w:sz w:val="20"/>
              </w:rPr>
              <w:t>No.</w:t>
            </w:r>
            <w:r>
              <w:rPr>
                <w:spacing w:val="-5"/>
                <w:sz w:val="20"/>
              </w:rPr>
              <w:t> </w:t>
            </w:r>
            <w:r>
              <w:rPr>
                <w:sz w:val="20"/>
              </w:rPr>
              <w:t>of</w:t>
            </w:r>
            <w:r>
              <w:rPr>
                <w:spacing w:val="-2"/>
                <w:sz w:val="20"/>
              </w:rPr>
              <w:t> missing</w:t>
            </w:r>
          </w:p>
        </w:tc>
        <w:tc>
          <w:tcPr>
            <w:tcW w:w="674" w:type="dxa"/>
          </w:tcPr>
          <w:p>
            <w:pPr>
              <w:pStyle w:val="TableParagraph"/>
              <w:rPr>
                <w:rFonts w:ascii="Times New Roman"/>
                <w:sz w:val="16"/>
              </w:rPr>
            </w:pPr>
          </w:p>
        </w:tc>
        <w:tc>
          <w:tcPr>
            <w:tcW w:w="779" w:type="dxa"/>
          </w:tcPr>
          <w:p>
            <w:pPr>
              <w:pStyle w:val="TableParagraph"/>
              <w:rPr>
                <w:rFonts w:ascii="Times New Roman"/>
                <w:sz w:val="16"/>
              </w:rPr>
            </w:pPr>
          </w:p>
        </w:tc>
        <w:tc>
          <w:tcPr>
            <w:tcW w:w="693" w:type="dxa"/>
          </w:tcPr>
          <w:p>
            <w:pPr>
              <w:pStyle w:val="TableParagraph"/>
              <w:rPr>
                <w:rFonts w:ascii="Times New Roman"/>
                <w:sz w:val="16"/>
              </w:rPr>
            </w:pPr>
          </w:p>
        </w:tc>
        <w:tc>
          <w:tcPr>
            <w:tcW w:w="779" w:type="dxa"/>
          </w:tcPr>
          <w:p>
            <w:pPr>
              <w:pStyle w:val="TableParagraph"/>
              <w:rPr>
                <w:rFonts w:ascii="Times New Roman"/>
                <w:sz w:val="16"/>
              </w:rPr>
            </w:pPr>
          </w:p>
        </w:tc>
        <w:tc>
          <w:tcPr>
            <w:tcW w:w="688" w:type="dxa"/>
          </w:tcPr>
          <w:p>
            <w:pPr>
              <w:pStyle w:val="TableParagraph"/>
              <w:rPr>
                <w:rFonts w:ascii="Times New Roman"/>
                <w:sz w:val="16"/>
              </w:rPr>
            </w:pPr>
          </w:p>
        </w:tc>
        <w:tc>
          <w:tcPr>
            <w:tcW w:w="906" w:type="dxa"/>
          </w:tcPr>
          <w:p>
            <w:pPr>
              <w:pStyle w:val="TableParagraph"/>
              <w:rPr>
                <w:rFonts w:ascii="Times New Roman"/>
                <w:sz w:val="16"/>
              </w:rPr>
            </w:pPr>
          </w:p>
        </w:tc>
        <w:tc>
          <w:tcPr>
            <w:tcW w:w="688" w:type="dxa"/>
          </w:tcPr>
          <w:p>
            <w:pPr>
              <w:pStyle w:val="TableParagraph"/>
              <w:rPr>
                <w:rFonts w:ascii="Times New Roman"/>
                <w:sz w:val="16"/>
              </w:rPr>
            </w:pPr>
          </w:p>
        </w:tc>
        <w:tc>
          <w:tcPr>
            <w:tcW w:w="801" w:type="dxa"/>
          </w:tcPr>
          <w:p>
            <w:pPr>
              <w:pStyle w:val="TableParagraph"/>
              <w:rPr>
                <w:rFonts w:ascii="Times New Roman"/>
                <w:sz w:val="16"/>
              </w:rPr>
            </w:pPr>
          </w:p>
        </w:tc>
        <w:tc>
          <w:tcPr>
            <w:tcW w:w="628" w:type="dxa"/>
          </w:tcPr>
          <w:p>
            <w:pPr>
              <w:pStyle w:val="TableParagraph"/>
              <w:rPr>
                <w:rFonts w:ascii="Times New Roman"/>
                <w:sz w:val="16"/>
              </w:rPr>
            </w:pPr>
          </w:p>
        </w:tc>
        <w:tc>
          <w:tcPr>
            <w:tcW w:w="772" w:type="dxa"/>
          </w:tcPr>
          <w:p>
            <w:pPr>
              <w:pStyle w:val="TableParagraph"/>
              <w:rPr>
                <w:rFonts w:ascii="Times New Roman"/>
                <w:sz w:val="16"/>
              </w:rPr>
            </w:pPr>
          </w:p>
        </w:tc>
        <w:tc>
          <w:tcPr>
            <w:tcW w:w="693" w:type="dxa"/>
          </w:tcPr>
          <w:p>
            <w:pPr>
              <w:pStyle w:val="TableParagraph"/>
              <w:rPr>
                <w:rFonts w:ascii="Times New Roman"/>
                <w:sz w:val="16"/>
              </w:rPr>
            </w:pPr>
          </w:p>
        </w:tc>
        <w:tc>
          <w:tcPr>
            <w:tcW w:w="735" w:type="dxa"/>
            <w:tcBorders>
              <w:right w:val="single" w:sz="4" w:space="0" w:color="000000"/>
            </w:tcBorders>
          </w:tcPr>
          <w:p>
            <w:pPr>
              <w:pStyle w:val="TableParagraph"/>
              <w:rPr>
                <w:rFonts w:ascii="Times New Roman"/>
                <w:sz w:val="16"/>
              </w:rPr>
            </w:pPr>
          </w:p>
        </w:tc>
      </w:tr>
      <w:tr>
        <w:trPr>
          <w:trHeight w:val="230" w:hRule="atLeast"/>
        </w:trPr>
        <w:tc>
          <w:tcPr>
            <w:tcW w:w="4143" w:type="dxa"/>
            <w:tcBorders>
              <w:left w:val="single" w:sz="4" w:space="0" w:color="000000"/>
            </w:tcBorders>
          </w:tcPr>
          <w:p>
            <w:pPr>
              <w:pStyle w:val="TableParagraph"/>
              <w:spacing w:line="210" w:lineRule="exact"/>
              <w:ind w:right="106"/>
              <w:jc w:val="right"/>
              <w:rPr>
                <w:sz w:val="20"/>
              </w:rPr>
            </w:pPr>
            <w:r>
              <w:rPr>
                <w:sz w:val="20"/>
              </w:rPr>
              <w:t>orientation</w:t>
            </w:r>
            <w:r>
              <w:rPr>
                <w:spacing w:val="32"/>
                <w:sz w:val="20"/>
              </w:rPr>
              <w:t>  </w:t>
            </w:r>
            <w:r>
              <w:rPr>
                <w:sz w:val="20"/>
              </w:rPr>
              <w:t>on</w:t>
            </w:r>
            <w:r>
              <w:rPr>
                <w:spacing w:val="33"/>
                <w:sz w:val="20"/>
              </w:rPr>
              <w:t>  </w:t>
            </w:r>
            <w:r>
              <w:rPr>
                <w:sz w:val="20"/>
              </w:rPr>
              <w:t>how</w:t>
            </w:r>
            <w:r>
              <w:rPr>
                <w:spacing w:val="30"/>
                <w:sz w:val="20"/>
              </w:rPr>
              <w:t>  </w:t>
            </w:r>
            <w:r>
              <w:rPr>
                <w:sz w:val="20"/>
              </w:rPr>
              <w:t>to</w:t>
            </w:r>
            <w:r>
              <w:rPr>
                <w:spacing w:val="33"/>
                <w:sz w:val="20"/>
              </w:rPr>
              <w:t>  </w:t>
            </w:r>
            <w:r>
              <w:rPr>
                <w:sz w:val="20"/>
              </w:rPr>
              <w:t>use</w:t>
            </w:r>
            <w:r>
              <w:rPr>
                <w:spacing w:val="33"/>
                <w:sz w:val="20"/>
              </w:rPr>
              <w:t>  </w:t>
            </w:r>
            <w:r>
              <w:rPr>
                <w:spacing w:val="-5"/>
                <w:sz w:val="20"/>
              </w:rPr>
              <w:t>the</w:t>
            </w:r>
          </w:p>
        </w:tc>
        <w:tc>
          <w:tcPr>
            <w:tcW w:w="1800" w:type="dxa"/>
          </w:tcPr>
          <w:p>
            <w:pPr>
              <w:pStyle w:val="TableParagraph"/>
              <w:spacing w:line="210" w:lineRule="exact"/>
              <w:ind w:left="109"/>
              <w:rPr>
                <w:sz w:val="20"/>
              </w:rPr>
            </w:pPr>
            <w:r>
              <w:rPr>
                <w:spacing w:val="-2"/>
                <w:sz w:val="20"/>
              </w:rPr>
              <w:t>observations</w:t>
            </w:r>
          </w:p>
        </w:tc>
        <w:tc>
          <w:tcPr>
            <w:tcW w:w="674" w:type="dxa"/>
          </w:tcPr>
          <w:p>
            <w:pPr>
              <w:pStyle w:val="TableParagraph"/>
              <w:spacing w:line="210" w:lineRule="exact"/>
              <w:ind w:left="100" w:right="49"/>
              <w:jc w:val="center"/>
              <w:rPr>
                <w:sz w:val="20"/>
              </w:rPr>
            </w:pPr>
            <w:r>
              <w:rPr>
                <w:spacing w:val="-10"/>
                <w:sz w:val="20"/>
              </w:rPr>
              <w:t>1</w:t>
            </w:r>
          </w:p>
        </w:tc>
        <w:tc>
          <w:tcPr>
            <w:tcW w:w="779" w:type="dxa"/>
          </w:tcPr>
          <w:p>
            <w:pPr>
              <w:pStyle w:val="TableParagraph"/>
              <w:spacing w:line="210" w:lineRule="exact"/>
              <w:ind w:left="112" w:right="74"/>
              <w:jc w:val="center"/>
              <w:rPr>
                <w:sz w:val="20"/>
              </w:rPr>
            </w:pPr>
            <w:r>
              <w:rPr>
                <w:spacing w:val="-4"/>
                <w:sz w:val="20"/>
              </w:rPr>
              <w:t>50.0</w:t>
            </w:r>
          </w:p>
        </w:tc>
        <w:tc>
          <w:tcPr>
            <w:tcW w:w="693" w:type="dxa"/>
          </w:tcPr>
          <w:p>
            <w:pPr>
              <w:pStyle w:val="TableParagraph"/>
              <w:spacing w:line="210" w:lineRule="exact"/>
              <w:ind w:left="32" w:right="26"/>
              <w:jc w:val="center"/>
              <w:rPr>
                <w:sz w:val="20"/>
              </w:rPr>
            </w:pPr>
            <w:r>
              <w:rPr>
                <w:spacing w:val="-10"/>
                <w:sz w:val="20"/>
              </w:rPr>
              <w:t>1</w:t>
            </w:r>
          </w:p>
        </w:tc>
        <w:tc>
          <w:tcPr>
            <w:tcW w:w="779" w:type="dxa"/>
          </w:tcPr>
          <w:p>
            <w:pPr>
              <w:pStyle w:val="TableParagraph"/>
              <w:spacing w:line="210" w:lineRule="exact"/>
              <w:ind w:left="51" w:right="74"/>
              <w:jc w:val="center"/>
              <w:rPr>
                <w:sz w:val="20"/>
              </w:rPr>
            </w:pPr>
            <w:r>
              <w:rPr>
                <w:spacing w:val="-4"/>
                <w:sz w:val="20"/>
              </w:rPr>
              <w:t>50.0</w:t>
            </w:r>
          </w:p>
        </w:tc>
        <w:tc>
          <w:tcPr>
            <w:tcW w:w="688" w:type="dxa"/>
          </w:tcPr>
          <w:p>
            <w:pPr>
              <w:pStyle w:val="TableParagraph"/>
              <w:spacing w:line="210" w:lineRule="exact"/>
              <w:ind w:left="44" w:right="101"/>
              <w:jc w:val="center"/>
              <w:rPr>
                <w:sz w:val="20"/>
              </w:rPr>
            </w:pPr>
            <w:r>
              <w:rPr>
                <w:spacing w:val="-10"/>
                <w:sz w:val="20"/>
              </w:rPr>
              <w:t>-</w:t>
            </w:r>
          </w:p>
        </w:tc>
        <w:tc>
          <w:tcPr>
            <w:tcW w:w="906" w:type="dxa"/>
          </w:tcPr>
          <w:p>
            <w:pPr>
              <w:pStyle w:val="TableParagraph"/>
              <w:spacing w:line="210" w:lineRule="exact"/>
              <w:ind w:right="9"/>
              <w:jc w:val="center"/>
              <w:rPr>
                <w:sz w:val="20"/>
              </w:rPr>
            </w:pPr>
            <w:r>
              <w:rPr>
                <w:spacing w:val="-10"/>
                <w:sz w:val="20"/>
              </w:rPr>
              <w:t>-</w:t>
            </w:r>
          </w:p>
        </w:tc>
        <w:tc>
          <w:tcPr>
            <w:tcW w:w="688" w:type="dxa"/>
          </w:tcPr>
          <w:p>
            <w:pPr>
              <w:pStyle w:val="TableParagraph"/>
              <w:spacing w:line="210" w:lineRule="exact"/>
              <w:ind w:left="93" w:right="57"/>
              <w:jc w:val="center"/>
              <w:rPr>
                <w:sz w:val="20"/>
              </w:rPr>
            </w:pPr>
            <w:r>
              <w:rPr>
                <w:spacing w:val="-10"/>
                <w:sz w:val="20"/>
              </w:rPr>
              <w:t>-</w:t>
            </w:r>
          </w:p>
        </w:tc>
        <w:tc>
          <w:tcPr>
            <w:tcW w:w="801" w:type="dxa"/>
          </w:tcPr>
          <w:p>
            <w:pPr>
              <w:pStyle w:val="TableParagraph"/>
              <w:spacing w:line="210" w:lineRule="exact"/>
              <w:ind w:right="10"/>
              <w:jc w:val="center"/>
              <w:rPr>
                <w:sz w:val="20"/>
              </w:rPr>
            </w:pPr>
            <w:r>
              <w:rPr>
                <w:spacing w:val="-10"/>
                <w:sz w:val="20"/>
              </w:rPr>
              <w:t>-</w:t>
            </w:r>
          </w:p>
        </w:tc>
        <w:tc>
          <w:tcPr>
            <w:tcW w:w="628" w:type="dxa"/>
          </w:tcPr>
          <w:p>
            <w:pPr>
              <w:pStyle w:val="TableParagraph"/>
              <w:spacing w:line="210" w:lineRule="exact"/>
              <w:ind w:left="8" w:right="27"/>
              <w:jc w:val="center"/>
              <w:rPr>
                <w:sz w:val="20"/>
              </w:rPr>
            </w:pPr>
            <w:r>
              <w:rPr>
                <w:spacing w:val="-10"/>
                <w:sz w:val="20"/>
              </w:rPr>
              <w:t>-</w:t>
            </w:r>
          </w:p>
        </w:tc>
        <w:tc>
          <w:tcPr>
            <w:tcW w:w="772" w:type="dxa"/>
          </w:tcPr>
          <w:p>
            <w:pPr>
              <w:pStyle w:val="TableParagraph"/>
              <w:spacing w:line="210" w:lineRule="exact"/>
              <w:ind w:left="28" w:right="28"/>
              <w:jc w:val="center"/>
              <w:rPr>
                <w:sz w:val="20"/>
              </w:rPr>
            </w:pPr>
            <w:r>
              <w:rPr>
                <w:spacing w:val="-10"/>
                <w:sz w:val="20"/>
              </w:rPr>
              <w:t>-</w:t>
            </w:r>
          </w:p>
        </w:tc>
        <w:tc>
          <w:tcPr>
            <w:tcW w:w="693" w:type="dxa"/>
          </w:tcPr>
          <w:p>
            <w:pPr>
              <w:pStyle w:val="TableParagraph"/>
              <w:spacing w:line="210" w:lineRule="exact"/>
              <w:ind w:left="10" w:right="26"/>
              <w:jc w:val="center"/>
              <w:rPr>
                <w:sz w:val="20"/>
              </w:rPr>
            </w:pPr>
            <w:r>
              <w:rPr>
                <w:spacing w:val="-10"/>
                <w:sz w:val="20"/>
              </w:rPr>
              <w:t>2</w:t>
            </w:r>
          </w:p>
        </w:tc>
        <w:tc>
          <w:tcPr>
            <w:tcW w:w="735" w:type="dxa"/>
            <w:tcBorders>
              <w:right w:val="single" w:sz="4" w:space="0" w:color="000000"/>
            </w:tcBorders>
          </w:tcPr>
          <w:p>
            <w:pPr>
              <w:pStyle w:val="TableParagraph"/>
              <w:spacing w:line="210" w:lineRule="exact"/>
              <w:ind w:left="76" w:right="80"/>
              <w:jc w:val="center"/>
              <w:rPr>
                <w:sz w:val="20"/>
              </w:rPr>
            </w:pPr>
            <w:r>
              <w:rPr>
                <w:spacing w:val="-5"/>
                <w:sz w:val="20"/>
              </w:rPr>
              <w:t>0.4</w:t>
            </w:r>
          </w:p>
        </w:tc>
      </w:tr>
      <w:tr>
        <w:trPr>
          <w:trHeight w:val="235" w:hRule="atLeast"/>
        </w:trPr>
        <w:tc>
          <w:tcPr>
            <w:tcW w:w="4143" w:type="dxa"/>
            <w:tcBorders>
              <w:left w:val="single" w:sz="4" w:space="0" w:color="000000"/>
            </w:tcBorders>
          </w:tcPr>
          <w:p>
            <w:pPr>
              <w:pStyle w:val="TableParagraph"/>
              <w:spacing w:line="215" w:lineRule="exact"/>
              <w:ind w:left="830"/>
              <w:rPr>
                <w:sz w:val="20"/>
              </w:rPr>
            </w:pPr>
            <w:r>
              <w:rPr>
                <w:spacing w:val="-2"/>
                <w:sz w:val="20"/>
              </w:rPr>
              <w:t>libraries.</w:t>
            </w:r>
          </w:p>
        </w:tc>
        <w:tc>
          <w:tcPr>
            <w:tcW w:w="1800" w:type="dxa"/>
          </w:tcPr>
          <w:p>
            <w:pPr>
              <w:pStyle w:val="TableParagraph"/>
              <w:spacing w:line="215" w:lineRule="exact"/>
              <w:ind w:left="109"/>
              <w:rPr>
                <w:sz w:val="20"/>
              </w:rPr>
            </w:pPr>
            <w:r>
              <w:rPr>
                <w:spacing w:val="-2"/>
                <w:sz w:val="20"/>
              </w:rPr>
              <w:t>Students</w:t>
            </w:r>
          </w:p>
        </w:tc>
        <w:tc>
          <w:tcPr>
            <w:tcW w:w="674" w:type="dxa"/>
          </w:tcPr>
          <w:p>
            <w:pPr>
              <w:pStyle w:val="TableParagraph"/>
              <w:spacing w:line="215" w:lineRule="exact"/>
              <w:ind w:left="100" w:right="54"/>
              <w:jc w:val="center"/>
              <w:rPr>
                <w:sz w:val="20"/>
              </w:rPr>
            </w:pPr>
            <w:r>
              <w:rPr>
                <w:spacing w:val="-5"/>
                <w:sz w:val="20"/>
              </w:rPr>
              <w:t>30</w:t>
            </w:r>
          </w:p>
        </w:tc>
        <w:tc>
          <w:tcPr>
            <w:tcW w:w="779" w:type="dxa"/>
          </w:tcPr>
          <w:p>
            <w:pPr>
              <w:pStyle w:val="TableParagraph"/>
              <w:spacing w:line="215" w:lineRule="exact"/>
              <w:ind w:left="38" w:right="112"/>
              <w:jc w:val="center"/>
              <w:rPr>
                <w:sz w:val="20"/>
              </w:rPr>
            </w:pPr>
            <w:r>
              <w:rPr>
                <w:spacing w:val="-4"/>
                <w:sz w:val="20"/>
              </w:rPr>
              <w:t>12.8</w:t>
            </w:r>
          </w:p>
        </w:tc>
        <w:tc>
          <w:tcPr>
            <w:tcW w:w="693" w:type="dxa"/>
          </w:tcPr>
          <w:p>
            <w:pPr>
              <w:pStyle w:val="TableParagraph"/>
              <w:spacing w:line="215" w:lineRule="exact"/>
              <w:ind w:left="27" w:right="26"/>
              <w:jc w:val="center"/>
              <w:rPr>
                <w:sz w:val="20"/>
              </w:rPr>
            </w:pPr>
            <w:r>
              <w:rPr>
                <w:spacing w:val="-5"/>
                <w:sz w:val="20"/>
              </w:rPr>
              <w:t>65</w:t>
            </w:r>
          </w:p>
        </w:tc>
        <w:tc>
          <w:tcPr>
            <w:tcW w:w="779" w:type="dxa"/>
          </w:tcPr>
          <w:p>
            <w:pPr>
              <w:pStyle w:val="TableParagraph"/>
              <w:spacing w:line="215" w:lineRule="exact"/>
              <w:ind w:left="51" w:right="74"/>
              <w:jc w:val="center"/>
              <w:rPr>
                <w:sz w:val="20"/>
              </w:rPr>
            </w:pPr>
            <w:r>
              <w:rPr>
                <w:spacing w:val="-4"/>
                <w:sz w:val="20"/>
              </w:rPr>
              <w:t>27.7</w:t>
            </w:r>
          </w:p>
        </w:tc>
        <w:tc>
          <w:tcPr>
            <w:tcW w:w="688" w:type="dxa"/>
          </w:tcPr>
          <w:p>
            <w:pPr>
              <w:pStyle w:val="TableParagraph"/>
              <w:spacing w:line="215" w:lineRule="exact"/>
              <w:ind w:left="44" w:right="99"/>
              <w:jc w:val="center"/>
              <w:rPr>
                <w:sz w:val="20"/>
              </w:rPr>
            </w:pPr>
            <w:r>
              <w:rPr>
                <w:spacing w:val="-5"/>
                <w:sz w:val="20"/>
              </w:rPr>
              <w:t>42</w:t>
            </w:r>
          </w:p>
        </w:tc>
        <w:tc>
          <w:tcPr>
            <w:tcW w:w="906" w:type="dxa"/>
          </w:tcPr>
          <w:p>
            <w:pPr>
              <w:pStyle w:val="TableParagraph"/>
              <w:spacing w:line="215" w:lineRule="exact"/>
              <w:ind w:right="2"/>
              <w:jc w:val="center"/>
              <w:rPr>
                <w:sz w:val="20"/>
              </w:rPr>
            </w:pPr>
            <w:r>
              <w:rPr>
                <w:spacing w:val="-4"/>
                <w:sz w:val="20"/>
              </w:rPr>
              <w:t>17.9</w:t>
            </w:r>
          </w:p>
        </w:tc>
        <w:tc>
          <w:tcPr>
            <w:tcW w:w="688" w:type="dxa"/>
          </w:tcPr>
          <w:p>
            <w:pPr>
              <w:pStyle w:val="TableParagraph"/>
              <w:spacing w:line="215" w:lineRule="exact"/>
              <w:ind w:left="95" w:right="57"/>
              <w:jc w:val="center"/>
              <w:rPr>
                <w:sz w:val="20"/>
              </w:rPr>
            </w:pPr>
            <w:r>
              <w:rPr>
                <w:spacing w:val="-5"/>
                <w:sz w:val="20"/>
              </w:rPr>
              <w:t>81</w:t>
            </w:r>
          </w:p>
        </w:tc>
        <w:tc>
          <w:tcPr>
            <w:tcW w:w="801" w:type="dxa"/>
          </w:tcPr>
          <w:p>
            <w:pPr>
              <w:pStyle w:val="TableParagraph"/>
              <w:spacing w:line="215" w:lineRule="exact"/>
              <w:ind w:left="6" w:right="10"/>
              <w:jc w:val="center"/>
              <w:rPr>
                <w:sz w:val="20"/>
              </w:rPr>
            </w:pPr>
            <w:r>
              <w:rPr>
                <w:spacing w:val="-4"/>
                <w:sz w:val="20"/>
              </w:rPr>
              <w:t>34.5</w:t>
            </w:r>
          </w:p>
        </w:tc>
        <w:tc>
          <w:tcPr>
            <w:tcW w:w="628" w:type="dxa"/>
          </w:tcPr>
          <w:p>
            <w:pPr>
              <w:pStyle w:val="TableParagraph"/>
              <w:spacing w:line="215" w:lineRule="exact"/>
              <w:ind w:left="8" w:right="25"/>
              <w:jc w:val="center"/>
              <w:rPr>
                <w:sz w:val="20"/>
              </w:rPr>
            </w:pPr>
            <w:r>
              <w:rPr>
                <w:spacing w:val="-5"/>
                <w:sz w:val="20"/>
              </w:rPr>
              <w:t>17</w:t>
            </w:r>
          </w:p>
        </w:tc>
        <w:tc>
          <w:tcPr>
            <w:tcW w:w="772" w:type="dxa"/>
          </w:tcPr>
          <w:p>
            <w:pPr>
              <w:pStyle w:val="TableParagraph"/>
              <w:spacing w:line="215" w:lineRule="exact"/>
              <w:ind w:left="28" w:right="27"/>
              <w:jc w:val="center"/>
              <w:rPr>
                <w:sz w:val="20"/>
              </w:rPr>
            </w:pPr>
            <w:r>
              <w:rPr>
                <w:spacing w:val="-5"/>
                <w:sz w:val="20"/>
              </w:rPr>
              <w:t>7.2</w:t>
            </w:r>
          </w:p>
        </w:tc>
        <w:tc>
          <w:tcPr>
            <w:tcW w:w="693" w:type="dxa"/>
          </w:tcPr>
          <w:p>
            <w:pPr>
              <w:pStyle w:val="TableParagraph"/>
              <w:spacing w:line="215" w:lineRule="exact"/>
              <w:ind w:left="7" w:right="33"/>
              <w:jc w:val="center"/>
              <w:rPr>
                <w:sz w:val="20"/>
              </w:rPr>
            </w:pPr>
            <w:r>
              <w:rPr>
                <w:spacing w:val="-5"/>
                <w:sz w:val="20"/>
              </w:rPr>
              <w:t>235</w:t>
            </w:r>
          </w:p>
        </w:tc>
        <w:tc>
          <w:tcPr>
            <w:tcW w:w="735" w:type="dxa"/>
            <w:tcBorders>
              <w:right w:val="single" w:sz="4" w:space="0" w:color="000000"/>
            </w:tcBorders>
          </w:tcPr>
          <w:p>
            <w:pPr>
              <w:pStyle w:val="TableParagraph"/>
              <w:spacing w:line="215" w:lineRule="exact"/>
              <w:ind w:left="76" w:right="77"/>
              <w:jc w:val="center"/>
              <w:rPr>
                <w:sz w:val="20"/>
              </w:rPr>
            </w:pPr>
            <w:r>
              <w:rPr>
                <w:spacing w:val="-4"/>
                <w:sz w:val="20"/>
              </w:rPr>
              <w:t>50.8</w:t>
            </w:r>
          </w:p>
        </w:tc>
      </w:tr>
      <w:tr>
        <w:trPr>
          <w:trHeight w:val="235" w:hRule="atLeast"/>
        </w:trPr>
        <w:tc>
          <w:tcPr>
            <w:tcW w:w="4143" w:type="dxa"/>
            <w:tcBorders>
              <w:left w:val="single" w:sz="4" w:space="0" w:color="000000"/>
            </w:tcBorders>
          </w:tcPr>
          <w:p>
            <w:pPr>
              <w:pStyle w:val="TableParagraph"/>
              <w:rPr>
                <w:rFonts w:ascii="Times New Roman"/>
                <w:sz w:val="16"/>
              </w:rPr>
            </w:pPr>
          </w:p>
        </w:tc>
        <w:tc>
          <w:tcPr>
            <w:tcW w:w="1800" w:type="dxa"/>
          </w:tcPr>
          <w:p>
            <w:pPr>
              <w:pStyle w:val="TableParagraph"/>
              <w:spacing w:line="213" w:lineRule="exact" w:before="2"/>
              <w:ind w:left="109"/>
              <w:rPr>
                <w:sz w:val="20"/>
              </w:rPr>
            </w:pPr>
            <w:r>
              <w:rPr>
                <w:sz w:val="20"/>
              </w:rPr>
              <w:t>Service</w:t>
            </w:r>
            <w:r>
              <w:rPr>
                <w:spacing w:val="-9"/>
                <w:sz w:val="20"/>
              </w:rPr>
              <w:t> </w:t>
            </w:r>
            <w:r>
              <w:rPr>
                <w:spacing w:val="-2"/>
                <w:sz w:val="20"/>
              </w:rPr>
              <w:t>Staff</w:t>
            </w:r>
          </w:p>
        </w:tc>
        <w:tc>
          <w:tcPr>
            <w:tcW w:w="674" w:type="dxa"/>
          </w:tcPr>
          <w:p>
            <w:pPr>
              <w:pStyle w:val="TableParagraph"/>
              <w:spacing w:line="213" w:lineRule="exact" w:before="2"/>
              <w:ind w:left="100" w:right="54"/>
              <w:jc w:val="center"/>
              <w:rPr>
                <w:sz w:val="20"/>
              </w:rPr>
            </w:pPr>
            <w:r>
              <w:rPr>
                <w:spacing w:val="-5"/>
                <w:sz w:val="20"/>
              </w:rPr>
              <w:t>30</w:t>
            </w:r>
          </w:p>
        </w:tc>
        <w:tc>
          <w:tcPr>
            <w:tcW w:w="779" w:type="dxa"/>
          </w:tcPr>
          <w:p>
            <w:pPr>
              <w:pStyle w:val="TableParagraph"/>
              <w:spacing w:line="213" w:lineRule="exact" w:before="2"/>
              <w:ind w:left="112" w:right="74"/>
              <w:jc w:val="center"/>
              <w:rPr>
                <w:sz w:val="20"/>
              </w:rPr>
            </w:pPr>
            <w:r>
              <w:rPr>
                <w:spacing w:val="-4"/>
                <w:sz w:val="20"/>
              </w:rPr>
              <w:t>14.8</w:t>
            </w:r>
          </w:p>
        </w:tc>
        <w:tc>
          <w:tcPr>
            <w:tcW w:w="693" w:type="dxa"/>
          </w:tcPr>
          <w:p>
            <w:pPr>
              <w:pStyle w:val="TableParagraph"/>
              <w:spacing w:line="213" w:lineRule="exact" w:before="2"/>
              <w:ind w:left="27" w:right="26"/>
              <w:jc w:val="center"/>
              <w:rPr>
                <w:sz w:val="20"/>
              </w:rPr>
            </w:pPr>
            <w:r>
              <w:rPr>
                <w:spacing w:val="-5"/>
                <w:sz w:val="20"/>
              </w:rPr>
              <w:t>98</w:t>
            </w:r>
          </w:p>
        </w:tc>
        <w:tc>
          <w:tcPr>
            <w:tcW w:w="779" w:type="dxa"/>
          </w:tcPr>
          <w:p>
            <w:pPr>
              <w:pStyle w:val="TableParagraph"/>
              <w:spacing w:line="213" w:lineRule="exact" w:before="2"/>
              <w:ind w:left="51" w:right="74"/>
              <w:jc w:val="center"/>
              <w:rPr>
                <w:sz w:val="20"/>
              </w:rPr>
            </w:pPr>
            <w:r>
              <w:rPr>
                <w:spacing w:val="-4"/>
                <w:sz w:val="20"/>
              </w:rPr>
              <w:t>48.3</w:t>
            </w:r>
          </w:p>
        </w:tc>
        <w:tc>
          <w:tcPr>
            <w:tcW w:w="688" w:type="dxa"/>
          </w:tcPr>
          <w:p>
            <w:pPr>
              <w:pStyle w:val="TableParagraph"/>
              <w:spacing w:line="213" w:lineRule="exact" w:before="2"/>
              <w:ind w:left="44" w:right="99"/>
              <w:jc w:val="center"/>
              <w:rPr>
                <w:sz w:val="20"/>
              </w:rPr>
            </w:pPr>
            <w:r>
              <w:rPr>
                <w:spacing w:val="-5"/>
                <w:sz w:val="20"/>
              </w:rPr>
              <w:t>23</w:t>
            </w:r>
          </w:p>
        </w:tc>
        <w:tc>
          <w:tcPr>
            <w:tcW w:w="906" w:type="dxa"/>
          </w:tcPr>
          <w:p>
            <w:pPr>
              <w:pStyle w:val="TableParagraph"/>
              <w:spacing w:line="213" w:lineRule="exact" w:before="2"/>
              <w:ind w:right="2"/>
              <w:jc w:val="center"/>
              <w:rPr>
                <w:sz w:val="20"/>
              </w:rPr>
            </w:pPr>
            <w:r>
              <w:rPr>
                <w:spacing w:val="-4"/>
                <w:sz w:val="20"/>
              </w:rPr>
              <w:t>11.3</w:t>
            </w:r>
          </w:p>
        </w:tc>
        <w:tc>
          <w:tcPr>
            <w:tcW w:w="688" w:type="dxa"/>
          </w:tcPr>
          <w:p>
            <w:pPr>
              <w:pStyle w:val="TableParagraph"/>
              <w:spacing w:line="213" w:lineRule="exact" w:before="2"/>
              <w:ind w:left="95" w:right="57"/>
              <w:jc w:val="center"/>
              <w:rPr>
                <w:sz w:val="20"/>
              </w:rPr>
            </w:pPr>
            <w:r>
              <w:rPr>
                <w:spacing w:val="-5"/>
                <w:sz w:val="20"/>
              </w:rPr>
              <w:t>44</w:t>
            </w:r>
          </w:p>
        </w:tc>
        <w:tc>
          <w:tcPr>
            <w:tcW w:w="801" w:type="dxa"/>
          </w:tcPr>
          <w:p>
            <w:pPr>
              <w:pStyle w:val="TableParagraph"/>
              <w:spacing w:line="213" w:lineRule="exact" w:before="2"/>
              <w:ind w:left="6" w:right="10"/>
              <w:jc w:val="center"/>
              <w:rPr>
                <w:sz w:val="20"/>
              </w:rPr>
            </w:pPr>
            <w:r>
              <w:rPr>
                <w:spacing w:val="-4"/>
                <w:sz w:val="20"/>
              </w:rPr>
              <w:t>21.7</w:t>
            </w:r>
          </w:p>
        </w:tc>
        <w:tc>
          <w:tcPr>
            <w:tcW w:w="628" w:type="dxa"/>
          </w:tcPr>
          <w:p>
            <w:pPr>
              <w:pStyle w:val="TableParagraph"/>
              <w:spacing w:line="213" w:lineRule="exact" w:before="2"/>
              <w:ind w:left="8" w:right="20"/>
              <w:jc w:val="center"/>
              <w:rPr>
                <w:sz w:val="20"/>
              </w:rPr>
            </w:pPr>
            <w:r>
              <w:rPr>
                <w:spacing w:val="-10"/>
                <w:sz w:val="20"/>
              </w:rPr>
              <w:t>8</w:t>
            </w:r>
          </w:p>
        </w:tc>
        <w:tc>
          <w:tcPr>
            <w:tcW w:w="772" w:type="dxa"/>
          </w:tcPr>
          <w:p>
            <w:pPr>
              <w:pStyle w:val="TableParagraph"/>
              <w:spacing w:line="213" w:lineRule="exact" w:before="2"/>
              <w:ind w:left="28" w:right="27"/>
              <w:jc w:val="center"/>
              <w:rPr>
                <w:sz w:val="20"/>
              </w:rPr>
            </w:pPr>
            <w:r>
              <w:rPr>
                <w:spacing w:val="-5"/>
                <w:sz w:val="20"/>
              </w:rPr>
              <w:t>3.9</w:t>
            </w:r>
          </w:p>
        </w:tc>
        <w:tc>
          <w:tcPr>
            <w:tcW w:w="693" w:type="dxa"/>
          </w:tcPr>
          <w:p>
            <w:pPr>
              <w:pStyle w:val="TableParagraph"/>
              <w:spacing w:line="213" w:lineRule="exact" w:before="2"/>
              <w:ind w:left="7" w:right="33"/>
              <w:jc w:val="center"/>
              <w:rPr>
                <w:sz w:val="20"/>
              </w:rPr>
            </w:pPr>
            <w:r>
              <w:rPr>
                <w:spacing w:val="-5"/>
                <w:sz w:val="20"/>
              </w:rPr>
              <w:t>203</w:t>
            </w:r>
          </w:p>
        </w:tc>
        <w:tc>
          <w:tcPr>
            <w:tcW w:w="735" w:type="dxa"/>
            <w:tcBorders>
              <w:right w:val="single" w:sz="4" w:space="0" w:color="000000"/>
            </w:tcBorders>
          </w:tcPr>
          <w:p>
            <w:pPr>
              <w:pStyle w:val="TableParagraph"/>
              <w:spacing w:line="213" w:lineRule="exact" w:before="2"/>
              <w:ind w:left="76" w:right="77"/>
              <w:jc w:val="center"/>
              <w:rPr>
                <w:sz w:val="20"/>
              </w:rPr>
            </w:pPr>
            <w:r>
              <w:rPr>
                <w:spacing w:val="-4"/>
                <w:sz w:val="20"/>
              </w:rPr>
              <w:t>43.8</w:t>
            </w:r>
          </w:p>
        </w:tc>
      </w:tr>
      <w:tr>
        <w:trPr>
          <w:trHeight w:val="232" w:hRule="atLeast"/>
        </w:trPr>
        <w:tc>
          <w:tcPr>
            <w:tcW w:w="4143" w:type="dxa"/>
            <w:tcBorders>
              <w:left w:val="single" w:sz="4" w:space="0" w:color="000000"/>
              <w:bottom w:val="single" w:sz="4" w:space="0" w:color="000000"/>
            </w:tcBorders>
          </w:tcPr>
          <w:p>
            <w:pPr>
              <w:pStyle w:val="TableParagraph"/>
              <w:rPr>
                <w:rFonts w:ascii="Times New Roman"/>
                <w:sz w:val="16"/>
              </w:rPr>
            </w:pPr>
          </w:p>
        </w:tc>
        <w:tc>
          <w:tcPr>
            <w:tcW w:w="1800" w:type="dxa"/>
            <w:tcBorders>
              <w:bottom w:val="single" w:sz="4" w:space="0" w:color="000000"/>
            </w:tcBorders>
          </w:tcPr>
          <w:p>
            <w:pPr>
              <w:pStyle w:val="TableParagraph"/>
              <w:spacing w:line="213" w:lineRule="exact"/>
              <w:ind w:left="109"/>
              <w:rPr>
                <w:sz w:val="20"/>
              </w:rPr>
            </w:pPr>
            <w:r>
              <w:rPr>
                <w:sz w:val="20"/>
              </w:rPr>
              <w:t>Top</w:t>
            </w:r>
            <w:r>
              <w:rPr>
                <w:spacing w:val="-1"/>
                <w:sz w:val="20"/>
              </w:rPr>
              <w:t> </w:t>
            </w:r>
            <w:r>
              <w:rPr>
                <w:spacing w:val="-2"/>
                <w:sz w:val="20"/>
              </w:rPr>
              <w:t>Management</w:t>
            </w:r>
          </w:p>
        </w:tc>
        <w:tc>
          <w:tcPr>
            <w:tcW w:w="674" w:type="dxa"/>
            <w:tcBorders>
              <w:bottom w:val="single" w:sz="4" w:space="0" w:color="000000"/>
            </w:tcBorders>
          </w:tcPr>
          <w:p>
            <w:pPr>
              <w:pStyle w:val="TableParagraph"/>
              <w:spacing w:line="213" w:lineRule="exact"/>
              <w:ind w:left="100" w:right="49"/>
              <w:jc w:val="center"/>
              <w:rPr>
                <w:sz w:val="20"/>
              </w:rPr>
            </w:pPr>
            <w:r>
              <w:rPr>
                <w:spacing w:val="-10"/>
                <w:sz w:val="20"/>
              </w:rPr>
              <w:t>4</w:t>
            </w:r>
          </w:p>
        </w:tc>
        <w:tc>
          <w:tcPr>
            <w:tcW w:w="779" w:type="dxa"/>
            <w:tcBorders>
              <w:bottom w:val="single" w:sz="4" w:space="0" w:color="000000"/>
            </w:tcBorders>
          </w:tcPr>
          <w:p>
            <w:pPr>
              <w:pStyle w:val="TableParagraph"/>
              <w:spacing w:line="213" w:lineRule="exact"/>
              <w:ind w:left="112" w:right="74"/>
              <w:jc w:val="center"/>
              <w:rPr>
                <w:sz w:val="20"/>
              </w:rPr>
            </w:pPr>
            <w:r>
              <w:rPr>
                <w:spacing w:val="-4"/>
                <w:sz w:val="20"/>
              </w:rPr>
              <w:t>17.4</w:t>
            </w:r>
          </w:p>
        </w:tc>
        <w:tc>
          <w:tcPr>
            <w:tcW w:w="693" w:type="dxa"/>
            <w:tcBorders>
              <w:bottom w:val="single" w:sz="4" w:space="0" w:color="000000"/>
            </w:tcBorders>
          </w:tcPr>
          <w:p>
            <w:pPr>
              <w:pStyle w:val="TableParagraph"/>
              <w:spacing w:line="213" w:lineRule="exact"/>
              <w:ind w:left="27" w:right="26"/>
              <w:jc w:val="center"/>
              <w:rPr>
                <w:sz w:val="20"/>
              </w:rPr>
            </w:pPr>
            <w:r>
              <w:rPr>
                <w:spacing w:val="-5"/>
                <w:sz w:val="20"/>
              </w:rPr>
              <w:t>10</w:t>
            </w:r>
          </w:p>
        </w:tc>
        <w:tc>
          <w:tcPr>
            <w:tcW w:w="779" w:type="dxa"/>
            <w:tcBorders>
              <w:bottom w:val="single" w:sz="4" w:space="0" w:color="000000"/>
            </w:tcBorders>
          </w:tcPr>
          <w:p>
            <w:pPr>
              <w:pStyle w:val="TableParagraph"/>
              <w:spacing w:line="213" w:lineRule="exact"/>
              <w:ind w:left="51" w:right="74"/>
              <w:jc w:val="center"/>
              <w:rPr>
                <w:sz w:val="20"/>
              </w:rPr>
            </w:pPr>
            <w:r>
              <w:rPr>
                <w:spacing w:val="-4"/>
                <w:sz w:val="20"/>
              </w:rPr>
              <w:t>43.5</w:t>
            </w:r>
          </w:p>
        </w:tc>
        <w:tc>
          <w:tcPr>
            <w:tcW w:w="688" w:type="dxa"/>
            <w:tcBorders>
              <w:bottom w:val="single" w:sz="4" w:space="0" w:color="000000"/>
            </w:tcBorders>
          </w:tcPr>
          <w:p>
            <w:pPr>
              <w:pStyle w:val="TableParagraph"/>
              <w:spacing w:line="213" w:lineRule="exact"/>
              <w:ind w:left="44" w:right="94"/>
              <w:jc w:val="center"/>
              <w:rPr>
                <w:sz w:val="20"/>
              </w:rPr>
            </w:pPr>
            <w:r>
              <w:rPr>
                <w:spacing w:val="-10"/>
                <w:sz w:val="20"/>
              </w:rPr>
              <w:t>3</w:t>
            </w:r>
          </w:p>
        </w:tc>
        <w:tc>
          <w:tcPr>
            <w:tcW w:w="906" w:type="dxa"/>
            <w:tcBorders>
              <w:bottom w:val="single" w:sz="4" w:space="0" w:color="000000"/>
            </w:tcBorders>
          </w:tcPr>
          <w:p>
            <w:pPr>
              <w:pStyle w:val="TableParagraph"/>
              <w:spacing w:line="213" w:lineRule="exact"/>
              <w:ind w:right="2"/>
              <w:jc w:val="center"/>
              <w:rPr>
                <w:sz w:val="20"/>
              </w:rPr>
            </w:pPr>
            <w:r>
              <w:rPr>
                <w:spacing w:val="-4"/>
                <w:sz w:val="20"/>
              </w:rPr>
              <w:t>13.0</w:t>
            </w:r>
          </w:p>
        </w:tc>
        <w:tc>
          <w:tcPr>
            <w:tcW w:w="688" w:type="dxa"/>
            <w:tcBorders>
              <w:bottom w:val="single" w:sz="4" w:space="0" w:color="000000"/>
            </w:tcBorders>
          </w:tcPr>
          <w:p>
            <w:pPr>
              <w:pStyle w:val="TableParagraph"/>
              <w:spacing w:line="213" w:lineRule="exact"/>
              <w:ind w:left="99" w:right="57"/>
              <w:jc w:val="center"/>
              <w:rPr>
                <w:sz w:val="20"/>
              </w:rPr>
            </w:pPr>
            <w:r>
              <w:rPr>
                <w:spacing w:val="-10"/>
                <w:sz w:val="20"/>
              </w:rPr>
              <w:t>4</w:t>
            </w:r>
          </w:p>
        </w:tc>
        <w:tc>
          <w:tcPr>
            <w:tcW w:w="801" w:type="dxa"/>
            <w:tcBorders>
              <w:bottom w:val="single" w:sz="4" w:space="0" w:color="000000"/>
            </w:tcBorders>
          </w:tcPr>
          <w:p>
            <w:pPr>
              <w:pStyle w:val="TableParagraph"/>
              <w:spacing w:line="213" w:lineRule="exact"/>
              <w:ind w:left="6" w:right="10"/>
              <w:jc w:val="center"/>
              <w:rPr>
                <w:sz w:val="20"/>
              </w:rPr>
            </w:pPr>
            <w:r>
              <w:rPr>
                <w:spacing w:val="-4"/>
                <w:sz w:val="20"/>
              </w:rPr>
              <w:t>17.4</w:t>
            </w:r>
          </w:p>
        </w:tc>
        <w:tc>
          <w:tcPr>
            <w:tcW w:w="628" w:type="dxa"/>
            <w:tcBorders>
              <w:bottom w:val="single" w:sz="4" w:space="0" w:color="000000"/>
            </w:tcBorders>
          </w:tcPr>
          <w:p>
            <w:pPr>
              <w:pStyle w:val="TableParagraph"/>
              <w:spacing w:line="213" w:lineRule="exact"/>
              <w:ind w:left="8" w:right="20"/>
              <w:jc w:val="center"/>
              <w:rPr>
                <w:sz w:val="20"/>
              </w:rPr>
            </w:pPr>
            <w:r>
              <w:rPr>
                <w:spacing w:val="-10"/>
                <w:sz w:val="20"/>
              </w:rPr>
              <w:t>2</w:t>
            </w:r>
          </w:p>
        </w:tc>
        <w:tc>
          <w:tcPr>
            <w:tcW w:w="772" w:type="dxa"/>
            <w:tcBorders>
              <w:bottom w:val="single" w:sz="4" w:space="0" w:color="000000"/>
            </w:tcBorders>
          </w:tcPr>
          <w:p>
            <w:pPr>
              <w:pStyle w:val="TableParagraph"/>
              <w:spacing w:line="213" w:lineRule="exact"/>
              <w:ind w:left="28" w:right="27"/>
              <w:jc w:val="center"/>
              <w:rPr>
                <w:sz w:val="20"/>
              </w:rPr>
            </w:pPr>
            <w:r>
              <w:rPr>
                <w:spacing w:val="-5"/>
                <w:sz w:val="20"/>
              </w:rPr>
              <w:t>8.7</w:t>
            </w:r>
          </w:p>
        </w:tc>
        <w:tc>
          <w:tcPr>
            <w:tcW w:w="693" w:type="dxa"/>
            <w:tcBorders>
              <w:bottom w:val="single" w:sz="4" w:space="0" w:color="000000"/>
            </w:tcBorders>
          </w:tcPr>
          <w:p>
            <w:pPr>
              <w:pStyle w:val="TableParagraph"/>
              <w:spacing w:line="213" w:lineRule="exact"/>
              <w:ind w:left="7" w:right="28"/>
              <w:jc w:val="center"/>
              <w:rPr>
                <w:sz w:val="20"/>
              </w:rPr>
            </w:pPr>
            <w:r>
              <w:rPr>
                <w:spacing w:val="-5"/>
                <w:sz w:val="20"/>
              </w:rPr>
              <w:t>23</w:t>
            </w:r>
          </w:p>
        </w:tc>
        <w:tc>
          <w:tcPr>
            <w:tcW w:w="735" w:type="dxa"/>
            <w:tcBorders>
              <w:bottom w:val="single" w:sz="4" w:space="0" w:color="000000"/>
              <w:right w:val="single" w:sz="4" w:space="0" w:color="000000"/>
            </w:tcBorders>
          </w:tcPr>
          <w:p>
            <w:pPr>
              <w:pStyle w:val="TableParagraph"/>
              <w:spacing w:line="213" w:lineRule="exact"/>
              <w:ind w:left="76" w:right="80"/>
              <w:jc w:val="center"/>
              <w:rPr>
                <w:sz w:val="20"/>
              </w:rPr>
            </w:pPr>
            <w:r>
              <w:rPr>
                <w:spacing w:val="-5"/>
                <w:sz w:val="20"/>
              </w:rPr>
              <w:t>5.0</w:t>
            </w:r>
          </w:p>
        </w:tc>
      </w:tr>
    </w:tbl>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spacing w:before="184"/>
        <w:rPr>
          <w:rFonts w:ascii="Arial"/>
          <w:b/>
          <w:sz w:val="28"/>
        </w:rPr>
      </w:pPr>
    </w:p>
    <w:p>
      <w:pPr>
        <w:pStyle w:val="BodyText"/>
        <w:ind w:left="2646" w:right="2163"/>
        <w:jc w:val="center"/>
        <w:rPr>
          <w:rFonts w:ascii="Times New Roman"/>
        </w:rPr>
      </w:pPr>
      <w:r>
        <w:rPr>
          <w:rFonts w:ascii="Times New Roman"/>
          <w:spacing w:val="-5"/>
        </w:rPr>
        <w:t>163</w:t>
      </w:r>
    </w:p>
    <w:p>
      <w:pPr>
        <w:spacing w:after="0"/>
        <w:jc w:val="center"/>
        <w:rPr>
          <w:rFonts w:ascii="Times New Roman"/>
        </w:rPr>
        <w:sectPr>
          <w:headerReference w:type="default" r:id="rId367"/>
          <w:footerReference w:type="default" r:id="rId368"/>
          <w:pgSz w:w="15840" w:h="12240" w:orient="landscape"/>
          <w:pgMar w:header="0" w:footer="0" w:top="640" w:bottom="280" w:left="320" w:right="520"/>
        </w:sectPr>
      </w:pPr>
    </w:p>
    <w:p>
      <w:pPr>
        <w:pStyle w:val="BodyText"/>
        <w:spacing w:before="79"/>
        <w:rPr>
          <w:rFonts w:ascii="Times New Roman"/>
        </w:rPr>
      </w:pPr>
    </w:p>
    <w:p>
      <w:pPr>
        <w:pStyle w:val="BodyText"/>
        <w:spacing w:line="480" w:lineRule="auto"/>
        <w:ind w:left="820" w:right="114" w:firstLine="720"/>
        <w:jc w:val="both"/>
      </w:pPr>
      <w:r>
        <w:rPr/>
        <w:t>Item 73 sought the opinion of respondents on the importance of the provision of library facilities relevant to curriculum of the universities in the three geopolitical zones in Northern part of Nigeria. Adequate provision of library facilities would allow students to tap enough knowledge for their studies. It was strongly</w:t>
      </w:r>
      <w:r>
        <w:rPr>
          <w:spacing w:val="31"/>
        </w:rPr>
        <w:t> </w:t>
      </w:r>
      <w:r>
        <w:rPr/>
        <w:t>agreed</w:t>
      </w:r>
      <w:r>
        <w:rPr>
          <w:spacing w:val="33"/>
        </w:rPr>
        <w:t> </w:t>
      </w:r>
      <w:r>
        <w:rPr/>
        <w:t>by</w:t>
      </w:r>
      <w:r>
        <w:rPr>
          <w:spacing w:val="31"/>
        </w:rPr>
        <w:t> </w:t>
      </w:r>
      <w:r>
        <w:rPr/>
        <w:t>94.1</w:t>
      </w:r>
      <w:r>
        <w:rPr>
          <w:spacing w:val="33"/>
        </w:rPr>
        <w:t> </w:t>
      </w:r>
      <w:r>
        <w:rPr/>
        <w:t>percent</w:t>
      </w:r>
      <w:r>
        <w:rPr>
          <w:spacing w:val="32"/>
        </w:rPr>
        <w:t> </w:t>
      </w:r>
      <w:r>
        <w:rPr/>
        <w:t>of</w:t>
      </w:r>
      <w:r>
        <w:rPr>
          <w:spacing w:val="31"/>
        </w:rPr>
        <w:t> </w:t>
      </w:r>
      <w:r>
        <w:rPr/>
        <w:t>students,</w:t>
      </w:r>
      <w:r>
        <w:rPr>
          <w:spacing w:val="32"/>
        </w:rPr>
        <w:t> </w:t>
      </w:r>
      <w:r>
        <w:rPr/>
        <w:t>95.5</w:t>
      </w:r>
      <w:r>
        <w:rPr>
          <w:spacing w:val="33"/>
        </w:rPr>
        <w:t> </w:t>
      </w:r>
      <w:r>
        <w:rPr/>
        <w:t>percent</w:t>
      </w:r>
      <w:r>
        <w:rPr>
          <w:spacing w:val="31"/>
        </w:rPr>
        <w:t> </w:t>
      </w:r>
      <w:r>
        <w:rPr/>
        <w:t>of</w:t>
      </w:r>
      <w:r>
        <w:rPr>
          <w:spacing w:val="32"/>
        </w:rPr>
        <w:t> </w:t>
      </w:r>
      <w:r>
        <w:rPr/>
        <w:t>service</w:t>
      </w:r>
      <w:r>
        <w:rPr>
          <w:spacing w:val="37"/>
        </w:rPr>
        <w:t> </w:t>
      </w:r>
      <w:r>
        <w:rPr/>
        <w:t>staff</w:t>
      </w:r>
      <w:r>
        <w:rPr>
          <w:spacing w:val="32"/>
        </w:rPr>
        <w:t> </w:t>
      </w:r>
      <w:r>
        <w:rPr>
          <w:spacing w:val="-5"/>
        </w:rPr>
        <w:t>and</w:t>
      </w:r>
    </w:p>
    <w:p>
      <w:pPr>
        <w:pStyle w:val="BodyText"/>
        <w:spacing w:line="480" w:lineRule="auto" w:before="1"/>
        <w:ind w:left="820" w:right="116"/>
        <w:jc w:val="both"/>
      </w:pPr>
      <w:r>
        <w:rPr/>
        <w:t>95.6 percent of top management staff that universities should provide libraries with adequate modern technological books and equipment to cater for the growing</w:t>
      </w:r>
      <w:r>
        <w:rPr>
          <w:spacing w:val="-2"/>
        </w:rPr>
        <w:t> </w:t>
      </w:r>
      <w:r>
        <w:rPr/>
        <w:t>population</w:t>
      </w:r>
      <w:r>
        <w:rPr>
          <w:spacing w:val="-2"/>
        </w:rPr>
        <w:t> </w:t>
      </w:r>
      <w:r>
        <w:rPr/>
        <w:t>of</w:t>
      </w:r>
      <w:r>
        <w:rPr>
          <w:spacing w:val="-3"/>
        </w:rPr>
        <w:t> </w:t>
      </w:r>
      <w:r>
        <w:rPr/>
        <w:t>students</w:t>
      </w:r>
      <w:r>
        <w:rPr>
          <w:spacing w:val="-8"/>
        </w:rPr>
        <w:t> </w:t>
      </w:r>
      <w:r>
        <w:rPr/>
        <w:t>on</w:t>
      </w:r>
      <w:r>
        <w:rPr>
          <w:spacing w:val="-2"/>
        </w:rPr>
        <w:t> </w:t>
      </w:r>
      <w:r>
        <w:rPr/>
        <w:t>the</w:t>
      </w:r>
      <w:r>
        <w:rPr>
          <w:spacing w:val="-2"/>
        </w:rPr>
        <w:t> </w:t>
      </w:r>
      <w:r>
        <w:rPr/>
        <w:t>campuses.</w:t>
      </w:r>
      <w:r>
        <w:rPr>
          <w:spacing w:val="-3"/>
        </w:rPr>
        <w:t> </w:t>
      </w:r>
      <w:r>
        <w:rPr/>
        <w:t>Very</w:t>
      </w:r>
      <w:r>
        <w:rPr>
          <w:spacing w:val="-3"/>
        </w:rPr>
        <w:t> </w:t>
      </w:r>
      <w:r>
        <w:rPr/>
        <w:t>few</w:t>
      </w:r>
      <w:r>
        <w:rPr>
          <w:spacing w:val="-8"/>
        </w:rPr>
        <w:t> </w:t>
      </w:r>
      <w:r>
        <w:rPr/>
        <w:t>and</w:t>
      </w:r>
      <w:r>
        <w:rPr>
          <w:spacing w:val="-2"/>
        </w:rPr>
        <w:t> </w:t>
      </w:r>
      <w:r>
        <w:rPr/>
        <w:t>negligible</w:t>
      </w:r>
      <w:r>
        <w:rPr>
          <w:spacing w:val="-2"/>
        </w:rPr>
        <w:t> </w:t>
      </w:r>
      <w:r>
        <w:rPr/>
        <w:t>percent of respondents disagreed or were undecided on this view.</w:t>
      </w:r>
    </w:p>
    <w:p>
      <w:pPr>
        <w:pStyle w:val="BodyText"/>
        <w:spacing w:line="480" w:lineRule="auto"/>
        <w:ind w:left="820" w:right="117" w:firstLine="720"/>
        <w:jc w:val="both"/>
      </w:pPr>
      <w:r>
        <w:rPr/>
        <w:t>It was supported by 88.5 percent of students, 79.3 percent of service staff and 78.2 percent of top management that relevant books were not adequately available for the increasing population of students in the Universities as raised in item 74. This suggested that that as the books were not adequately stocked in the libraries, sharing slowed down students’ learning process. Most students might not afford to buy personal copies as books, particularly books on science subjects are difficult to get</w:t>
      </w:r>
      <w:r>
        <w:rPr>
          <w:spacing w:val="-1"/>
        </w:rPr>
        <w:t> </w:t>
      </w:r>
      <w:r>
        <w:rPr/>
        <w:t>and</w:t>
      </w:r>
      <w:r>
        <w:rPr>
          <w:spacing w:val="-1"/>
        </w:rPr>
        <w:t> </w:t>
      </w:r>
      <w:r>
        <w:rPr/>
        <w:t>if</w:t>
      </w:r>
      <w:r>
        <w:rPr>
          <w:spacing w:val="-2"/>
        </w:rPr>
        <w:t> </w:t>
      </w:r>
      <w:r>
        <w:rPr/>
        <w:t>they were available</w:t>
      </w:r>
      <w:r>
        <w:rPr>
          <w:spacing w:val="-1"/>
        </w:rPr>
        <w:t> </w:t>
      </w:r>
      <w:r>
        <w:rPr/>
        <w:t>they were very expensive</w:t>
      </w:r>
      <w:r>
        <w:rPr>
          <w:spacing w:val="-1"/>
        </w:rPr>
        <w:t> </w:t>
      </w:r>
      <w:r>
        <w:rPr/>
        <w:t>in the market.</w:t>
      </w:r>
    </w:p>
    <w:p>
      <w:pPr>
        <w:pStyle w:val="BodyText"/>
        <w:spacing w:line="480" w:lineRule="auto"/>
        <w:ind w:left="820" w:right="115" w:firstLine="720"/>
        <w:jc w:val="both"/>
      </w:pPr>
      <w:r>
        <w:rPr/>
        <w:t>The divergent opinions in</w:t>
      </w:r>
      <w:r>
        <w:rPr>
          <w:spacing w:val="-1"/>
        </w:rPr>
        <w:t> </w:t>
      </w:r>
      <w:r>
        <w:rPr/>
        <w:t>item</w:t>
      </w:r>
      <w:r>
        <w:rPr>
          <w:spacing w:val="-5"/>
        </w:rPr>
        <w:t> </w:t>
      </w:r>
      <w:r>
        <w:rPr/>
        <w:t>75 seemed to suggest that the service staff would naturally defend themselves against the idea that they did assist students to locate materials in the library. This was evident in the responses of service</w:t>
      </w:r>
      <w:r>
        <w:rPr>
          <w:spacing w:val="40"/>
        </w:rPr>
        <w:t> </w:t>
      </w:r>
      <w:r>
        <w:rPr/>
        <w:t>staff with only 31 percent in agreement. While 57.9 percent of students agree</w:t>
      </w:r>
      <w:r>
        <w:rPr>
          <w:spacing w:val="80"/>
        </w:rPr>
        <w:t> </w:t>
      </w:r>
      <w:r>
        <w:rPr/>
        <w:t>and 52.1 top management staff were in support. 50.2 percent of service staff did not share the opinion as correct.</w:t>
      </w:r>
    </w:p>
    <w:p>
      <w:pPr>
        <w:spacing w:after="0" w:line="480" w:lineRule="auto"/>
        <w:jc w:val="both"/>
        <w:sectPr>
          <w:headerReference w:type="default" r:id="rId369"/>
          <w:footerReference w:type="default" r:id="rId370"/>
          <w:pgSz w:w="12240" w:h="15840"/>
          <w:pgMar w:header="722" w:footer="791" w:top="1340" w:bottom="980" w:left="1340" w:right="1320"/>
          <w:pgNumType w:start="164"/>
        </w:sectPr>
      </w:pPr>
    </w:p>
    <w:p>
      <w:pPr>
        <w:pStyle w:val="BodyText"/>
        <w:spacing w:line="480" w:lineRule="auto" w:before="82"/>
        <w:ind w:left="820" w:right="114" w:firstLine="720"/>
        <w:jc w:val="both"/>
      </w:pPr>
      <w:r>
        <w:rPr/>
        <w:t>Item 76 sought to find out whether students could get enough orientation on the use of</w:t>
      </w:r>
      <w:r>
        <w:rPr>
          <w:spacing w:val="-2"/>
        </w:rPr>
        <w:t> </w:t>
      </w:r>
      <w:r>
        <w:rPr/>
        <w:t>libraries. 41.7 percent of students did not share the view</w:t>
      </w:r>
      <w:r>
        <w:rPr>
          <w:spacing w:val="-2"/>
        </w:rPr>
        <w:t> </w:t>
      </w:r>
      <w:r>
        <w:rPr/>
        <w:t>while 40.5 percent of them, 63.5 percent of service staff and 60.9 percent of top management were in congruence. Conclusion could be drawn that students needed more orientation on the use of libraries in these Universities.</w:t>
      </w:r>
    </w:p>
    <w:p>
      <w:pPr>
        <w:pStyle w:val="Heading2"/>
        <w:numPr>
          <w:ilvl w:val="3"/>
          <w:numId w:val="39"/>
        </w:numPr>
        <w:tabs>
          <w:tab w:pos="1540" w:val="left" w:leader="none"/>
          <w:tab w:pos="2735" w:val="left" w:leader="none"/>
          <w:tab w:pos="3292" w:val="left" w:leader="none"/>
          <w:tab w:pos="5216" w:val="left" w:leader="none"/>
          <w:tab w:pos="7190" w:val="left" w:leader="none"/>
          <w:tab w:pos="8059" w:val="left" w:leader="none"/>
          <w:tab w:pos="8956" w:val="left" w:leader="none"/>
        </w:tabs>
        <w:spacing w:line="240" w:lineRule="auto" w:before="0" w:after="0"/>
        <w:ind w:left="1540" w:right="124" w:hanging="1440"/>
        <w:jc w:val="left"/>
        <w:rPr>
          <w:rFonts w:ascii="Arial MT" w:hAnsi="Arial MT"/>
          <w:b w:val="0"/>
        </w:rPr>
      </w:pPr>
      <w:r>
        <w:rPr>
          <w:spacing w:val="-2"/>
        </w:rPr>
        <w:t>Impact</w:t>
      </w:r>
      <w:r>
        <w:rPr/>
        <w:tab/>
      </w:r>
      <w:r>
        <w:rPr>
          <w:spacing w:val="-6"/>
        </w:rPr>
        <w:t>of</w:t>
      </w:r>
      <w:r>
        <w:rPr/>
        <w:tab/>
      </w:r>
      <w:r>
        <w:rPr>
          <w:spacing w:val="-2"/>
        </w:rPr>
        <w:t>classrooms,</w:t>
      </w:r>
      <w:r>
        <w:rPr/>
        <w:tab/>
      </w:r>
      <w:r>
        <w:rPr>
          <w:spacing w:val="-2"/>
        </w:rPr>
        <w:t>laboratories,</w:t>
      </w:r>
      <w:r>
        <w:rPr/>
        <w:tab/>
      </w:r>
      <w:r>
        <w:rPr>
          <w:spacing w:val="-2"/>
        </w:rPr>
        <w:t>field</w:t>
      </w:r>
      <w:r>
        <w:rPr/>
        <w:tab/>
      </w:r>
      <w:r>
        <w:rPr>
          <w:spacing w:val="-2"/>
        </w:rPr>
        <w:t>trips</w:t>
      </w:r>
      <w:r>
        <w:rPr/>
        <w:tab/>
      </w:r>
      <w:r>
        <w:rPr>
          <w:spacing w:val="-4"/>
        </w:rPr>
        <w:t>and </w:t>
      </w:r>
      <w:r>
        <w:rPr/>
        <w:t>workshops on students’ welfare</w:t>
      </w:r>
    </w:p>
    <w:p>
      <w:pPr>
        <w:pStyle w:val="BodyText"/>
        <w:spacing w:line="480" w:lineRule="auto" w:before="278"/>
        <w:ind w:left="820" w:right="114" w:firstLine="720"/>
        <w:jc w:val="both"/>
      </w:pPr>
      <w:r>
        <w:rPr/>
        <w:t>This section presented the responses of the three groups of respondents as contained in items 77 to 80. The items wanted to find out the provision and importance of teaching and learning facilities in the university set up in these Universities. The items were analysed by the use of frequencies and simple percentages as in Table 4.3.2.2.</w:t>
      </w:r>
    </w:p>
    <w:p>
      <w:pPr>
        <w:spacing w:after="0" w:line="480" w:lineRule="auto"/>
        <w:jc w:val="both"/>
        <w:sectPr>
          <w:headerReference w:type="default" r:id="rId371"/>
          <w:footerReference w:type="default" r:id="rId372"/>
          <w:pgSz w:w="12240" w:h="15840"/>
          <w:pgMar w:header="722" w:footer="791" w:top="1340" w:bottom="980" w:left="1340" w:right="1320"/>
        </w:sectPr>
      </w:pPr>
    </w:p>
    <w:p>
      <w:pPr>
        <w:pStyle w:val="BodyText"/>
        <w:spacing w:before="72"/>
        <w:ind w:left="3" w:right="433"/>
        <w:jc w:val="center"/>
        <w:rPr>
          <w:rFonts w:ascii="Times New Roman"/>
        </w:rPr>
      </w:pPr>
      <w:r>
        <w:rPr>
          <w:rFonts w:ascii="Times New Roman"/>
          <w:spacing w:val="-5"/>
        </w:rPr>
        <w:t>166</w:t>
      </w:r>
    </w:p>
    <w:p>
      <w:pPr>
        <w:pStyle w:val="BodyText"/>
        <w:spacing w:before="121"/>
        <w:rPr>
          <w:rFonts w:ascii="Times New Roman"/>
          <w:sz w:val="28"/>
        </w:rPr>
      </w:pPr>
    </w:p>
    <w:p>
      <w:pPr>
        <w:pStyle w:val="Heading2"/>
        <w:spacing w:before="1"/>
        <w:ind w:left="1679" w:right="1237" w:hanging="1028"/>
      </w:pPr>
      <w:r>
        <w:rPr/>
        <w:t>4.3.2.2:</w:t>
      </w:r>
      <w:r>
        <w:rPr>
          <w:spacing w:val="-3"/>
        </w:rPr>
        <w:t> </w:t>
      </w:r>
      <w:r>
        <w:rPr/>
        <w:t>Opinions</w:t>
      </w:r>
      <w:r>
        <w:rPr>
          <w:spacing w:val="-3"/>
        </w:rPr>
        <w:t> </w:t>
      </w:r>
      <w:r>
        <w:rPr/>
        <w:t>of</w:t>
      </w:r>
      <w:r>
        <w:rPr>
          <w:spacing w:val="-8"/>
        </w:rPr>
        <w:t> </w:t>
      </w:r>
      <w:r>
        <w:rPr/>
        <w:t>respondents</w:t>
      </w:r>
      <w:r>
        <w:rPr>
          <w:spacing w:val="-3"/>
        </w:rPr>
        <w:t> </w:t>
      </w:r>
      <w:r>
        <w:rPr/>
        <w:t>on</w:t>
      </w:r>
      <w:r>
        <w:rPr>
          <w:spacing w:val="-4"/>
        </w:rPr>
        <w:t> </w:t>
      </w:r>
      <w:r>
        <w:rPr/>
        <w:t>the</w:t>
      </w:r>
      <w:r>
        <w:rPr>
          <w:spacing w:val="-3"/>
        </w:rPr>
        <w:t> </w:t>
      </w:r>
      <w:r>
        <w:rPr/>
        <w:t>impact</w:t>
      </w:r>
      <w:r>
        <w:rPr>
          <w:spacing w:val="-4"/>
        </w:rPr>
        <w:t> </w:t>
      </w:r>
      <w:r>
        <w:rPr/>
        <w:t>of</w:t>
      </w:r>
      <w:r>
        <w:rPr>
          <w:spacing w:val="-4"/>
        </w:rPr>
        <w:t> </w:t>
      </w:r>
      <w:r>
        <w:rPr/>
        <w:t>classrooms,</w:t>
      </w:r>
      <w:r>
        <w:rPr>
          <w:spacing w:val="-7"/>
        </w:rPr>
        <w:t> </w:t>
      </w:r>
      <w:r>
        <w:rPr/>
        <w:t>laboratories,</w:t>
      </w:r>
      <w:r>
        <w:rPr>
          <w:spacing w:val="-2"/>
        </w:rPr>
        <w:t> </w:t>
      </w:r>
      <w:r>
        <w:rPr/>
        <w:t>field</w:t>
      </w:r>
      <w:r>
        <w:rPr>
          <w:spacing w:val="-4"/>
        </w:rPr>
        <w:t> </w:t>
      </w:r>
      <w:r>
        <w:rPr/>
        <w:t>trips,</w:t>
      </w:r>
      <w:r>
        <w:rPr>
          <w:spacing w:val="-2"/>
        </w:rPr>
        <w:t> </w:t>
      </w:r>
      <w:r>
        <w:rPr/>
        <w:t>workshops services on students’ welfare</w:t>
      </w:r>
    </w:p>
    <w:p>
      <w:pPr>
        <w:pStyle w:val="BodyText"/>
        <w:spacing w:before="55"/>
        <w:rPr>
          <w:rFonts w:ascii="Arial"/>
          <w:b/>
          <w:sz w:val="20"/>
        </w:rPr>
      </w:pPr>
    </w:p>
    <w:tbl>
      <w:tblPr>
        <w:tblW w:w="0" w:type="auto"/>
        <w:jc w:val="left"/>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46"/>
        <w:gridCol w:w="1795"/>
        <w:gridCol w:w="677"/>
        <w:gridCol w:w="832"/>
        <w:gridCol w:w="609"/>
        <w:gridCol w:w="803"/>
        <w:gridCol w:w="685"/>
        <w:gridCol w:w="901"/>
        <w:gridCol w:w="709"/>
        <w:gridCol w:w="769"/>
        <w:gridCol w:w="631"/>
        <w:gridCol w:w="738"/>
        <w:gridCol w:w="720"/>
        <w:gridCol w:w="738"/>
      </w:tblGrid>
      <w:tr>
        <w:trPr>
          <w:trHeight w:val="273" w:hRule="atLeast"/>
        </w:trPr>
        <w:tc>
          <w:tcPr>
            <w:tcW w:w="4146" w:type="dxa"/>
            <w:vMerge w:val="restart"/>
            <w:tcBorders>
              <w:top w:val="single" w:sz="4" w:space="0" w:color="000000"/>
              <w:left w:val="single" w:sz="4" w:space="0" w:color="000000"/>
              <w:bottom w:val="single" w:sz="4" w:space="0" w:color="000000"/>
            </w:tcBorders>
          </w:tcPr>
          <w:p>
            <w:pPr>
              <w:pStyle w:val="TableParagraph"/>
              <w:rPr>
                <w:rFonts w:ascii="Arial"/>
                <w:b/>
                <w:sz w:val="20"/>
              </w:rPr>
            </w:pPr>
          </w:p>
          <w:p>
            <w:pPr>
              <w:pStyle w:val="TableParagraph"/>
              <w:spacing w:before="216"/>
              <w:rPr>
                <w:rFonts w:ascii="Arial"/>
                <w:b/>
                <w:sz w:val="20"/>
              </w:rPr>
            </w:pPr>
          </w:p>
          <w:p>
            <w:pPr>
              <w:pStyle w:val="TableParagraph"/>
              <w:tabs>
                <w:tab w:pos="830" w:val="left" w:leader="none"/>
              </w:tabs>
              <w:ind w:left="134"/>
              <w:rPr>
                <w:rFonts w:ascii="Arial"/>
                <w:b/>
                <w:sz w:val="20"/>
              </w:rPr>
            </w:pPr>
            <w:r>
              <w:rPr>
                <w:rFonts w:ascii="Arial"/>
                <w:b/>
                <w:spacing w:val="-4"/>
                <w:sz w:val="20"/>
              </w:rPr>
              <w:t>S/No</w:t>
            </w:r>
            <w:r>
              <w:rPr>
                <w:rFonts w:ascii="Arial"/>
                <w:b/>
                <w:sz w:val="20"/>
              </w:rPr>
              <w:tab/>
              <w:t>Item</w:t>
            </w:r>
            <w:r>
              <w:rPr>
                <w:rFonts w:ascii="Arial"/>
                <w:b/>
                <w:spacing w:val="-2"/>
                <w:sz w:val="20"/>
              </w:rPr>
              <w:t> Statements</w:t>
            </w:r>
          </w:p>
        </w:tc>
        <w:tc>
          <w:tcPr>
            <w:tcW w:w="1795" w:type="dxa"/>
            <w:vMerge w:val="restart"/>
            <w:tcBorders>
              <w:top w:val="single" w:sz="4" w:space="0" w:color="000000"/>
              <w:bottom w:val="single" w:sz="4" w:space="0" w:color="000000"/>
              <w:right w:val="single" w:sz="4" w:space="0" w:color="000000"/>
            </w:tcBorders>
          </w:tcPr>
          <w:p>
            <w:pPr>
              <w:pStyle w:val="TableParagraph"/>
              <w:spacing w:before="224"/>
              <w:rPr>
                <w:rFonts w:ascii="Arial"/>
                <w:b/>
                <w:sz w:val="20"/>
              </w:rPr>
            </w:pPr>
          </w:p>
          <w:p>
            <w:pPr>
              <w:pStyle w:val="TableParagraph"/>
              <w:spacing w:line="235" w:lineRule="auto"/>
              <w:ind w:left="111" w:right="402"/>
              <w:rPr>
                <w:rFonts w:ascii="Arial"/>
                <w:b/>
                <w:sz w:val="20"/>
              </w:rPr>
            </w:pPr>
            <w:r>
              <w:rPr>
                <w:rFonts w:ascii="Arial"/>
                <w:b/>
                <w:sz w:val="20"/>
              </w:rPr>
              <w:t>Category of </w:t>
            </w:r>
            <w:r>
              <w:rPr>
                <w:rFonts w:ascii="Arial"/>
                <w:b/>
                <w:spacing w:val="-2"/>
                <w:sz w:val="20"/>
              </w:rPr>
              <w:t>Respondents</w:t>
            </w:r>
          </w:p>
        </w:tc>
        <w:tc>
          <w:tcPr>
            <w:tcW w:w="8812" w:type="dxa"/>
            <w:gridSpan w:val="12"/>
            <w:tcBorders>
              <w:top w:val="single" w:sz="4" w:space="0" w:color="000000"/>
              <w:left w:val="single" w:sz="4" w:space="0" w:color="000000"/>
              <w:bottom w:val="single" w:sz="4" w:space="0" w:color="000000"/>
              <w:right w:val="single" w:sz="4" w:space="0" w:color="000000"/>
            </w:tcBorders>
          </w:tcPr>
          <w:p>
            <w:pPr>
              <w:pStyle w:val="TableParagraph"/>
              <w:spacing w:line="253" w:lineRule="exact"/>
              <w:ind w:right="1532"/>
              <w:jc w:val="center"/>
              <w:rPr>
                <w:rFonts w:ascii="Arial"/>
                <w:b/>
                <w:sz w:val="24"/>
              </w:rPr>
            </w:pPr>
            <w:r>
              <w:rPr>
                <w:rFonts w:ascii="Arial"/>
                <w:b/>
                <w:spacing w:val="-2"/>
                <w:sz w:val="24"/>
              </w:rPr>
              <w:t>Responses</w:t>
            </w:r>
          </w:p>
        </w:tc>
      </w:tr>
      <w:tr>
        <w:trPr>
          <w:trHeight w:val="460" w:hRule="atLeast"/>
        </w:trPr>
        <w:tc>
          <w:tcPr>
            <w:tcW w:w="4146" w:type="dxa"/>
            <w:vMerge/>
            <w:tcBorders>
              <w:top w:val="nil"/>
              <w:left w:val="single" w:sz="4" w:space="0" w:color="000000"/>
              <w:bottom w:val="single" w:sz="4" w:space="0" w:color="000000"/>
            </w:tcBorders>
          </w:tcPr>
          <w:p>
            <w:pPr>
              <w:rPr>
                <w:sz w:val="2"/>
                <w:szCs w:val="2"/>
              </w:rPr>
            </w:pPr>
          </w:p>
        </w:tc>
        <w:tc>
          <w:tcPr>
            <w:tcW w:w="1795" w:type="dxa"/>
            <w:vMerge/>
            <w:tcBorders>
              <w:top w:val="nil"/>
              <w:bottom w:val="single" w:sz="4" w:space="0" w:color="000000"/>
              <w:right w:val="single" w:sz="4" w:space="0" w:color="000000"/>
            </w:tcBorders>
          </w:tcPr>
          <w:p>
            <w:pPr>
              <w:rPr>
                <w:sz w:val="2"/>
                <w:szCs w:val="2"/>
              </w:rPr>
            </w:pPr>
          </w:p>
        </w:tc>
        <w:tc>
          <w:tcPr>
            <w:tcW w:w="8812" w:type="dxa"/>
            <w:gridSpan w:val="12"/>
            <w:tcBorders>
              <w:top w:val="single" w:sz="4" w:space="0" w:color="000000"/>
              <w:left w:val="single" w:sz="4" w:space="0" w:color="000000"/>
              <w:bottom w:val="single" w:sz="4" w:space="0" w:color="000000"/>
              <w:right w:val="single" w:sz="4" w:space="0" w:color="000000"/>
            </w:tcBorders>
          </w:tcPr>
          <w:p>
            <w:pPr>
              <w:pStyle w:val="TableParagraph"/>
              <w:tabs>
                <w:tab w:pos="1877" w:val="left" w:leader="none"/>
                <w:tab w:pos="3193" w:val="left" w:leader="none"/>
                <w:tab w:pos="4815" w:val="left" w:leader="none"/>
                <w:tab w:pos="6260" w:val="left" w:leader="none"/>
                <w:tab w:pos="7858" w:val="left" w:leader="none"/>
              </w:tabs>
              <w:spacing w:line="220" w:lineRule="exact"/>
              <w:ind w:left="313"/>
              <w:rPr>
                <w:rFonts w:ascii="Arial"/>
                <w:b/>
                <w:sz w:val="20"/>
              </w:rPr>
            </w:pPr>
            <w:r>
              <w:rPr>
                <w:rFonts w:ascii="Arial"/>
                <w:b/>
                <w:spacing w:val="-2"/>
                <w:sz w:val="20"/>
              </w:rPr>
              <w:t>Strongly</w:t>
            </w:r>
            <w:r>
              <w:rPr>
                <w:rFonts w:ascii="Arial"/>
                <w:b/>
                <w:sz w:val="20"/>
              </w:rPr>
              <w:tab/>
            </w:r>
            <w:r>
              <w:rPr>
                <w:rFonts w:ascii="Arial"/>
                <w:b/>
                <w:spacing w:val="-4"/>
                <w:sz w:val="20"/>
              </w:rPr>
              <w:t>Agree</w:t>
            </w:r>
            <w:r>
              <w:rPr>
                <w:rFonts w:ascii="Arial"/>
                <w:b/>
                <w:sz w:val="20"/>
              </w:rPr>
              <w:tab/>
            </w:r>
            <w:r>
              <w:rPr>
                <w:rFonts w:ascii="Arial"/>
                <w:b/>
                <w:spacing w:val="-2"/>
                <w:sz w:val="20"/>
              </w:rPr>
              <w:t>Undecided</w:t>
            </w:r>
            <w:r>
              <w:rPr>
                <w:rFonts w:ascii="Arial"/>
                <w:b/>
                <w:sz w:val="20"/>
              </w:rPr>
              <w:tab/>
            </w:r>
            <w:r>
              <w:rPr>
                <w:rFonts w:ascii="Arial"/>
                <w:b/>
                <w:spacing w:val="-2"/>
                <w:sz w:val="20"/>
              </w:rPr>
              <w:t>Disagree</w:t>
            </w:r>
            <w:r>
              <w:rPr>
                <w:rFonts w:ascii="Arial"/>
                <w:b/>
                <w:sz w:val="20"/>
              </w:rPr>
              <w:tab/>
            </w:r>
            <w:r>
              <w:rPr>
                <w:rFonts w:ascii="Arial"/>
                <w:b/>
                <w:spacing w:val="-2"/>
                <w:sz w:val="20"/>
              </w:rPr>
              <w:t>Strongly</w:t>
            </w:r>
            <w:r>
              <w:rPr>
                <w:rFonts w:ascii="Arial"/>
                <w:b/>
                <w:sz w:val="20"/>
              </w:rPr>
              <w:tab/>
            </w:r>
            <w:r>
              <w:rPr>
                <w:rFonts w:ascii="Arial"/>
                <w:b/>
                <w:spacing w:val="-2"/>
                <w:sz w:val="20"/>
              </w:rPr>
              <w:t>Total</w:t>
            </w:r>
          </w:p>
          <w:p>
            <w:pPr>
              <w:pStyle w:val="TableParagraph"/>
              <w:tabs>
                <w:tab w:pos="6245" w:val="left" w:leader="none"/>
              </w:tabs>
              <w:spacing w:line="220" w:lineRule="exact"/>
              <w:ind w:left="438"/>
              <w:rPr>
                <w:rFonts w:ascii="Arial"/>
                <w:b/>
                <w:sz w:val="20"/>
              </w:rPr>
            </w:pPr>
            <w:r>
              <w:rPr>
                <w:rFonts w:ascii="Arial"/>
                <w:b/>
                <w:spacing w:val="-2"/>
                <w:sz w:val="20"/>
              </w:rPr>
              <w:t>Agree</w:t>
            </w:r>
            <w:r>
              <w:rPr>
                <w:rFonts w:ascii="Arial"/>
                <w:b/>
                <w:sz w:val="20"/>
              </w:rPr>
              <w:tab/>
            </w:r>
            <w:r>
              <w:rPr>
                <w:rFonts w:ascii="Arial"/>
                <w:b/>
                <w:spacing w:val="-2"/>
                <w:sz w:val="20"/>
              </w:rPr>
              <w:t>Disagree</w:t>
            </w:r>
          </w:p>
        </w:tc>
      </w:tr>
      <w:tr>
        <w:trPr>
          <w:trHeight w:val="321" w:hRule="atLeast"/>
        </w:trPr>
        <w:tc>
          <w:tcPr>
            <w:tcW w:w="4146" w:type="dxa"/>
            <w:vMerge/>
            <w:tcBorders>
              <w:top w:val="nil"/>
              <w:left w:val="single" w:sz="4" w:space="0" w:color="000000"/>
              <w:bottom w:val="single" w:sz="4" w:space="0" w:color="000000"/>
            </w:tcBorders>
          </w:tcPr>
          <w:p>
            <w:pPr>
              <w:rPr>
                <w:sz w:val="2"/>
                <w:szCs w:val="2"/>
              </w:rPr>
            </w:pPr>
          </w:p>
        </w:tc>
        <w:tc>
          <w:tcPr>
            <w:tcW w:w="1795" w:type="dxa"/>
            <w:vMerge/>
            <w:tcBorders>
              <w:top w:val="nil"/>
              <w:bottom w:val="single" w:sz="4" w:space="0" w:color="000000"/>
              <w:right w:val="single" w:sz="4" w:space="0" w:color="000000"/>
            </w:tcBorders>
          </w:tcPr>
          <w:p>
            <w:pPr>
              <w:rPr>
                <w:sz w:val="2"/>
                <w:szCs w:val="2"/>
              </w:rPr>
            </w:pPr>
          </w:p>
        </w:tc>
        <w:tc>
          <w:tcPr>
            <w:tcW w:w="677" w:type="dxa"/>
            <w:tcBorders>
              <w:top w:val="single" w:sz="4" w:space="0" w:color="000000"/>
              <w:left w:val="single" w:sz="4" w:space="0" w:color="000000"/>
              <w:bottom w:val="single" w:sz="4" w:space="0" w:color="000000"/>
            </w:tcBorders>
          </w:tcPr>
          <w:p>
            <w:pPr>
              <w:pStyle w:val="TableParagraph"/>
              <w:spacing w:line="220" w:lineRule="exact"/>
              <w:ind w:left="96" w:right="38"/>
              <w:jc w:val="center"/>
              <w:rPr>
                <w:rFonts w:ascii="Arial"/>
                <w:b/>
                <w:sz w:val="20"/>
              </w:rPr>
            </w:pPr>
            <w:r>
              <w:rPr>
                <w:rFonts w:ascii="Arial"/>
                <w:b/>
                <w:spacing w:val="-10"/>
                <w:sz w:val="20"/>
              </w:rPr>
              <w:t>F</w:t>
            </w:r>
          </w:p>
        </w:tc>
        <w:tc>
          <w:tcPr>
            <w:tcW w:w="832" w:type="dxa"/>
            <w:tcBorders>
              <w:top w:val="single" w:sz="4" w:space="0" w:color="000000"/>
              <w:bottom w:val="single" w:sz="4" w:space="0" w:color="000000"/>
            </w:tcBorders>
          </w:tcPr>
          <w:p>
            <w:pPr>
              <w:pStyle w:val="TableParagraph"/>
              <w:spacing w:line="220" w:lineRule="exact"/>
              <w:ind w:left="115" w:right="119"/>
              <w:jc w:val="center"/>
              <w:rPr>
                <w:rFonts w:ascii="Arial"/>
                <w:b/>
                <w:sz w:val="20"/>
              </w:rPr>
            </w:pPr>
            <w:r>
              <w:rPr>
                <w:rFonts w:ascii="Arial"/>
                <w:b/>
                <w:spacing w:val="-10"/>
                <w:sz w:val="20"/>
              </w:rPr>
              <w:t>%</w:t>
            </w:r>
          </w:p>
        </w:tc>
        <w:tc>
          <w:tcPr>
            <w:tcW w:w="609" w:type="dxa"/>
            <w:tcBorders>
              <w:top w:val="single" w:sz="4" w:space="0" w:color="000000"/>
              <w:bottom w:val="single" w:sz="4" w:space="0" w:color="000000"/>
            </w:tcBorders>
          </w:tcPr>
          <w:p>
            <w:pPr>
              <w:pStyle w:val="TableParagraph"/>
              <w:spacing w:line="220" w:lineRule="exact"/>
              <w:ind w:left="8" w:right="12"/>
              <w:jc w:val="center"/>
              <w:rPr>
                <w:rFonts w:ascii="Arial"/>
                <w:b/>
                <w:sz w:val="20"/>
              </w:rPr>
            </w:pPr>
            <w:r>
              <w:rPr>
                <w:rFonts w:ascii="Arial"/>
                <w:b/>
                <w:spacing w:val="-10"/>
                <w:sz w:val="20"/>
              </w:rPr>
              <w:t>F</w:t>
            </w:r>
          </w:p>
        </w:tc>
        <w:tc>
          <w:tcPr>
            <w:tcW w:w="803" w:type="dxa"/>
            <w:tcBorders>
              <w:top w:val="single" w:sz="4" w:space="0" w:color="000000"/>
              <w:bottom w:val="single" w:sz="4" w:space="0" w:color="000000"/>
            </w:tcBorders>
          </w:tcPr>
          <w:p>
            <w:pPr>
              <w:pStyle w:val="TableParagraph"/>
              <w:spacing w:line="220" w:lineRule="exact"/>
              <w:ind w:left="20"/>
              <w:jc w:val="center"/>
              <w:rPr>
                <w:rFonts w:ascii="Arial"/>
                <w:b/>
                <w:sz w:val="20"/>
              </w:rPr>
            </w:pPr>
            <w:r>
              <w:rPr>
                <w:rFonts w:ascii="Arial"/>
                <w:b/>
                <w:spacing w:val="-10"/>
                <w:sz w:val="20"/>
              </w:rPr>
              <w:t>%</w:t>
            </w:r>
          </w:p>
        </w:tc>
        <w:tc>
          <w:tcPr>
            <w:tcW w:w="685" w:type="dxa"/>
            <w:tcBorders>
              <w:top w:val="single" w:sz="4" w:space="0" w:color="000000"/>
              <w:bottom w:val="single" w:sz="4" w:space="0" w:color="000000"/>
            </w:tcBorders>
          </w:tcPr>
          <w:p>
            <w:pPr>
              <w:pStyle w:val="TableParagraph"/>
              <w:spacing w:line="220" w:lineRule="exact"/>
              <w:ind w:left="59" w:right="83"/>
              <w:jc w:val="center"/>
              <w:rPr>
                <w:rFonts w:ascii="Arial"/>
                <w:b/>
                <w:sz w:val="20"/>
              </w:rPr>
            </w:pPr>
            <w:r>
              <w:rPr>
                <w:rFonts w:ascii="Arial"/>
                <w:b/>
                <w:spacing w:val="-10"/>
                <w:sz w:val="20"/>
              </w:rPr>
              <w:t>F</w:t>
            </w:r>
          </w:p>
        </w:tc>
        <w:tc>
          <w:tcPr>
            <w:tcW w:w="901" w:type="dxa"/>
            <w:tcBorders>
              <w:top w:val="single" w:sz="4" w:space="0" w:color="000000"/>
              <w:bottom w:val="single" w:sz="4" w:space="0" w:color="000000"/>
            </w:tcBorders>
          </w:tcPr>
          <w:p>
            <w:pPr>
              <w:pStyle w:val="TableParagraph"/>
              <w:spacing w:line="220" w:lineRule="exact"/>
              <w:ind w:left="27"/>
              <w:jc w:val="center"/>
              <w:rPr>
                <w:rFonts w:ascii="Arial"/>
                <w:b/>
                <w:sz w:val="20"/>
              </w:rPr>
            </w:pPr>
            <w:r>
              <w:rPr>
                <w:rFonts w:ascii="Arial"/>
                <w:b/>
                <w:spacing w:val="-10"/>
                <w:sz w:val="20"/>
              </w:rPr>
              <w:t>%</w:t>
            </w:r>
          </w:p>
        </w:tc>
        <w:tc>
          <w:tcPr>
            <w:tcW w:w="709" w:type="dxa"/>
            <w:tcBorders>
              <w:top w:val="single" w:sz="4" w:space="0" w:color="000000"/>
              <w:bottom w:val="single" w:sz="4" w:space="0" w:color="000000"/>
            </w:tcBorders>
          </w:tcPr>
          <w:p>
            <w:pPr>
              <w:pStyle w:val="TableParagraph"/>
              <w:spacing w:line="220" w:lineRule="exact"/>
              <w:ind w:left="71" w:right="20"/>
              <w:jc w:val="center"/>
              <w:rPr>
                <w:rFonts w:ascii="Arial"/>
                <w:b/>
                <w:sz w:val="20"/>
              </w:rPr>
            </w:pPr>
            <w:r>
              <w:rPr>
                <w:rFonts w:ascii="Arial"/>
                <w:b/>
                <w:spacing w:val="-10"/>
                <w:sz w:val="20"/>
              </w:rPr>
              <w:t>F</w:t>
            </w:r>
          </w:p>
        </w:tc>
        <w:tc>
          <w:tcPr>
            <w:tcW w:w="769" w:type="dxa"/>
            <w:tcBorders>
              <w:top w:val="single" w:sz="4" w:space="0" w:color="000000"/>
              <w:bottom w:val="single" w:sz="4" w:space="0" w:color="000000"/>
            </w:tcBorders>
          </w:tcPr>
          <w:p>
            <w:pPr>
              <w:pStyle w:val="TableParagraph"/>
              <w:spacing w:line="220" w:lineRule="exact"/>
              <w:ind w:left="11"/>
              <w:jc w:val="center"/>
              <w:rPr>
                <w:rFonts w:ascii="Arial"/>
                <w:b/>
                <w:sz w:val="20"/>
              </w:rPr>
            </w:pPr>
            <w:r>
              <w:rPr>
                <w:rFonts w:ascii="Arial"/>
                <w:b/>
                <w:spacing w:val="-10"/>
                <w:sz w:val="20"/>
              </w:rPr>
              <w:t>%</w:t>
            </w:r>
          </w:p>
        </w:tc>
        <w:tc>
          <w:tcPr>
            <w:tcW w:w="631" w:type="dxa"/>
            <w:tcBorders>
              <w:top w:val="single" w:sz="4" w:space="0" w:color="000000"/>
              <w:bottom w:val="single" w:sz="4" w:space="0" w:color="000000"/>
            </w:tcBorders>
          </w:tcPr>
          <w:p>
            <w:pPr>
              <w:pStyle w:val="TableParagraph"/>
              <w:spacing w:line="220" w:lineRule="exact"/>
              <w:ind w:left="33"/>
              <w:jc w:val="center"/>
              <w:rPr>
                <w:rFonts w:ascii="Arial"/>
                <w:b/>
                <w:sz w:val="20"/>
              </w:rPr>
            </w:pPr>
            <w:r>
              <w:rPr>
                <w:rFonts w:ascii="Arial"/>
                <w:b/>
                <w:spacing w:val="-10"/>
                <w:sz w:val="20"/>
              </w:rPr>
              <w:t>F</w:t>
            </w:r>
          </w:p>
        </w:tc>
        <w:tc>
          <w:tcPr>
            <w:tcW w:w="738" w:type="dxa"/>
            <w:tcBorders>
              <w:top w:val="single" w:sz="4" w:space="0" w:color="000000"/>
              <w:bottom w:val="single" w:sz="4" w:space="0" w:color="000000"/>
            </w:tcBorders>
          </w:tcPr>
          <w:p>
            <w:pPr>
              <w:pStyle w:val="TableParagraph"/>
              <w:spacing w:line="220" w:lineRule="exact"/>
              <w:ind w:left="84"/>
              <w:jc w:val="center"/>
              <w:rPr>
                <w:rFonts w:ascii="Arial"/>
                <w:b/>
                <w:sz w:val="20"/>
              </w:rPr>
            </w:pPr>
            <w:r>
              <w:rPr>
                <w:rFonts w:ascii="Arial"/>
                <w:b/>
                <w:spacing w:val="-10"/>
                <w:sz w:val="20"/>
              </w:rPr>
              <w:t>%</w:t>
            </w:r>
          </w:p>
        </w:tc>
        <w:tc>
          <w:tcPr>
            <w:tcW w:w="720" w:type="dxa"/>
            <w:tcBorders>
              <w:top w:val="single" w:sz="4" w:space="0" w:color="000000"/>
              <w:bottom w:val="single" w:sz="4" w:space="0" w:color="000000"/>
            </w:tcBorders>
          </w:tcPr>
          <w:p>
            <w:pPr>
              <w:pStyle w:val="TableParagraph"/>
              <w:spacing w:line="220" w:lineRule="exact"/>
              <w:ind w:left="103" w:right="36"/>
              <w:jc w:val="center"/>
              <w:rPr>
                <w:rFonts w:ascii="Arial"/>
                <w:b/>
                <w:sz w:val="20"/>
              </w:rPr>
            </w:pPr>
            <w:r>
              <w:rPr>
                <w:rFonts w:ascii="Arial"/>
                <w:b/>
                <w:spacing w:val="-10"/>
                <w:sz w:val="20"/>
              </w:rPr>
              <w:t>F</w:t>
            </w:r>
          </w:p>
        </w:tc>
        <w:tc>
          <w:tcPr>
            <w:tcW w:w="738" w:type="dxa"/>
            <w:tcBorders>
              <w:top w:val="single" w:sz="4" w:space="0" w:color="000000"/>
              <w:bottom w:val="single" w:sz="4" w:space="0" w:color="000000"/>
              <w:right w:val="single" w:sz="4" w:space="0" w:color="000000"/>
            </w:tcBorders>
          </w:tcPr>
          <w:p>
            <w:pPr>
              <w:pStyle w:val="TableParagraph"/>
              <w:spacing w:line="220" w:lineRule="exact"/>
              <w:ind w:left="67" w:right="14"/>
              <w:jc w:val="center"/>
              <w:rPr>
                <w:rFonts w:ascii="Arial"/>
                <w:b/>
                <w:sz w:val="20"/>
              </w:rPr>
            </w:pPr>
            <w:r>
              <w:rPr>
                <w:rFonts w:ascii="Arial"/>
                <w:b/>
                <w:spacing w:val="-10"/>
                <w:sz w:val="20"/>
              </w:rPr>
              <w:t>%</w:t>
            </w:r>
          </w:p>
        </w:tc>
      </w:tr>
      <w:tr>
        <w:trPr>
          <w:trHeight w:val="227" w:hRule="atLeast"/>
        </w:trPr>
        <w:tc>
          <w:tcPr>
            <w:tcW w:w="4146" w:type="dxa"/>
            <w:tcBorders>
              <w:top w:val="single" w:sz="4" w:space="0" w:color="000000"/>
              <w:left w:val="single" w:sz="4" w:space="0" w:color="000000"/>
            </w:tcBorders>
          </w:tcPr>
          <w:p>
            <w:pPr>
              <w:pStyle w:val="TableParagraph"/>
              <w:tabs>
                <w:tab w:pos="609" w:val="left" w:leader="none"/>
              </w:tabs>
              <w:spacing w:line="208" w:lineRule="exact"/>
              <w:ind w:right="107"/>
              <w:jc w:val="right"/>
              <w:rPr>
                <w:sz w:val="20"/>
              </w:rPr>
            </w:pPr>
            <w:r>
              <w:rPr>
                <w:spacing w:val="-5"/>
                <w:sz w:val="20"/>
              </w:rPr>
              <w:t>77.</w:t>
            </w:r>
            <w:r>
              <w:rPr>
                <w:sz w:val="20"/>
              </w:rPr>
              <w:tab/>
              <w:t>Classroom</w:t>
            </w:r>
            <w:r>
              <w:rPr>
                <w:spacing w:val="9"/>
                <w:sz w:val="20"/>
              </w:rPr>
              <w:t> </w:t>
            </w:r>
            <w:r>
              <w:rPr>
                <w:sz w:val="20"/>
              </w:rPr>
              <w:t>and</w:t>
            </w:r>
            <w:r>
              <w:rPr>
                <w:spacing w:val="3"/>
                <w:sz w:val="20"/>
              </w:rPr>
              <w:t> </w:t>
            </w:r>
            <w:r>
              <w:rPr>
                <w:sz w:val="20"/>
              </w:rPr>
              <w:t>lecture</w:t>
            </w:r>
            <w:r>
              <w:rPr>
                <w:spacing w:val="4"/>
                <w:sz w:val="20"/>
              </w:rPr>
              <w:t> </w:t>
            </w:r>
            <w:r>
              <w:rPr>
                <w:sz w:val="20"/>
              </w:rPr>
              <w:t>halls</w:t>
            </w:r>
            <w:r>
              <w:rPr>
                <w:spacing w:val="1"/>
                <w:sz w:val="20"/>
              </w:rPr>
              <w:t> </w:t>
            </w:r>
            <w:r>
              <w:rPr>
                <w:sz w:val="20"/>
              </w:rPr>
              <w:t>are</w:t>
            </w:r>
            <w:r>
              <w:rPr>
                <w:spacing w:val="4"/>
                <w:sz w:val="20"/>
              </w:rPr>
              <w:t> </w:t>
            </w:r>
            <w:r>
              <w:rPr>
                <w:spacing w:val="-5"/>
                <w:sz w:val="20"/>
              </w:rPr>
              <w:t>not</w:t>
            </w:r>
          </w:p>
        </w:tc>
        <w:tc>
          <w:tcPr>
            <w:tcW w:w="1795" w:type="dxa"/>
            <w:tcBorders>
              <w:top w:val="single" w:sz="4" w:space="0" w:color="000000"/>
            </w:tcBorders>
          </w:tcPr>
          <w:p>
            <w:pPr>
              <w:pStyle w:val="TableParagraph"/>
              <w:spacing w:line="208" w:lineRule="exact"/>
              <w:ind w:left="111"/>
              <w:rPr>
                <w:sz w:val="20"/>
              </w:rPr>
            </w:pPr>
            <w:r>
              <w:rPr>
                <w:sz w:val="20"/>
              </w:rPr>
              <w:t>No.</w:t>
            </w:r>
            <w:r>
              <w:rPr>
                <w:spacing w:val="-5"/>
                <w:sz w:val="20"/>
              </w:rPr>
              <w:t> </w:t>
            </w:r>
            <w:r>
              <w:rPr>
                <w:sz w:val="20"/>
              </w:rPr>
              <w:t>of</w:t>
            </w:r>
            <w:r>
              <w:rPr>
                <w:spacing w:val="-2"/>
                <w:sz w:val="20"/>
              </w:rPr>
              <w:t> missing</w:t>
            </w:r>
          </w:p>
        </w:tc>
        <w:tc>
          <w:tcPr>
            <w:tcW w:w="677" w:type="dxa"/>
            <w:tcBorders>
              <w:top w:val="single" w:sz="4" w:space="0" w:color="000000"/>
            </w:tcBorders>
          </w:tcPr>
          <w:p>
            <w:pPr>
              <w:pStyle w:val="TableParagraph"/>
              <w:rPr>
                <w:rFonts w:ascii="Times New Roman"/>
                <w:sz w:val="16"/>
              </w:rPr>
            </w:pPr>
          </w:p>
        </w:tc>
        <w:tc>
          <w:tcPr>
            <w:tcW w:w="832" w:type="dxa"/>
            <w:tcBorders>
              <w:top w:val="single" w:sz="4" w:space="0" w:color="000000"/>
            </w:tcBorders>
          </w:tcPr>
          <w:p>
            <w:pPr>
              <w:pStyle w:val="TableParagraph"/>
              <w:rPr>
                <w:rFonts w:ascii="Times New Roman"/>
                <w:sz w:val="16"/>
              </w:rPr>
            </w:pPr>
          </w:p>
        </w:tc>
        <w:tc>
          <w:tcPr>
            <w:tcW w:w="609" w:type="dxa"/>
            <w:tcBorders>
              <w:top w:val="single" w:sz="4" w:space="0" w:color="000000"/>
            </w:tcBorders>
          </w:tcPr>
          <w:p>
            <w:pPr>
              <w:pStyle w:val="TableParagraph"/>
              <w:rPr>
                <w:rFonts w:ascii="Times New Roman"/>
                <w:sz w:val="16"/>
              </w:rPr>
            </w:pPr>
          </w:p>
        </w:tc>
        <w:tc>
          <w:tcPr>
            <w:tcW w:w="803" w:type="dxa"/>
            <w:tcBorders>
              <w:top w:val="single" w:sz="4" w:space="0" w:color="000000"/>
            </w:tcBorders>
          </w:tcPr>
          <w:p>
            <w:pPr>
              <w:pStyle w:val="TableParagraph"/>
              <w:rPr>
                <w:rFonts w:ascii="Times New Roman"/>
                <w:sz w:val="16"/>
              </w:rPr>
            </w:pPr>
          </w:p>
        </w:tc>
        <w:tc>
          <w:tcPr>
            <w:tcW w:w="685" w:type="dxa"/>
            <w:tcBorders>
              <w:top w:val="single" w:sz="4" w:space="0" w:color="000000"/>
            </w:tcBorders>
          </w:tcPr>
          <w:p>
            <w:pPr>
              <w:pStyle w:val="TableParagraph"/>
              <w:rPr>
                <w:rFonts w:ascii="Times New Roman"/>
                <w:sz w:val="16"/>
              </w:rPr>
            </w:pPr>
          </w:p>
        </w:tc>
        <w:tc>
          <w:tcPr>
            <w:tcW w:w="901" w:type="dxa"/>
            <w:tcBorders>
              <w:top w:val="single" w:sz="4" w:space="0" w:color="000000"/>
            </w:tcBorders>
          </w:tcPr>
          <w:p>
            <w:pPr>
              <w:pStyle w:val="TableParagraph"/>
              <w:rPr>
                <w:rFonts w:ascii="Times New Roman"/>
                <w:sz w:val="16"/>
              </w:rPr>
            </w:pPr>
          </w:p>
        </w:tc>
        <w:tc>
          <w:tcPr>
            <w:tcW w:w="709" w:type="dxa"/>
            <w:tcBorders>
              <w:top w:val="single" w:sz="4" w:space="0" w:color="000000"/>
            </w:tcBorders>
          </w:tcPr>
          <w:p>
            <w:pPr>
              <w:pStyle w:val="TableParagraph"/>
              <w:rPr>
                <w:rFonts w:ascii="Times New Roman"/>
                <w:sz w:val="16"/>
              </w:rPr>
            </w:pPr>
          </w:p>
        </w:tc>
        <w:tc>
          <w:tcPr>
            <w:tcW w:w="769" w:type="dxa"/>
            <w:tcBorders>
              <w:top w:val="single" w:sz="4" w:space="0" w:color="000000"/>
            </w:tcBorders>
          </w:tcPr>
          <w:p>
            <w:pPr>
              <w:pStyle w:val="TableParagraph"/>
              <w:rPr>
                <w:rFonts w:ascii="Times New Roman"/>
                <w:sz w:val="16"/>
              </w:rPr>
            </w:pPr>
          </w:p>
        </w:tc>
        <w:tc>
          <w:tcPr>
            <w:tcW w:w="631" w:type="dxa"/>
            <w:tcBorders>
              <w:top w:val="single" w:sz="4" w:space="0" w:color="000000"/>
            </w:tcBorders>
          </w:tcPr>
          <w:p>
            <w:pPr>
              <w:pStyle w:val="TableParagraph"/>
              <w:rPr>
                <w:rFonts w:ascii="Times New Roman"/>
                <w:sz w:val="16"/>
              </w:rPr>
            </w:pPr>
          </w:p>
        </w:tc>
        <w:tc>
          <w:tcPr>
            <w:tcW w:w="738" w:type="dxa"/>
            <w:tcBorders>
              <w:top w:val="single" w:sz="4" w:space="0" w:color="000000"/>
            </w:tcBorders>
          </w:tcPr>
          <w:p>
            <w:pPr>
              <w:pStyle w:val="TableParagraph"/>
              <w:rPr>
                <w:rFonts w:ascii="Times New Roman"/>
                <w:sz w:val="16"/>
              </w:rPr>
            </w:pPr>
          </w:p>
        </w:tc>
        <w:tc>
          <w:tcPr>
            <w:tcW w:w="720" w:type="dxa"/>
            <w:tcBorders>
              <w:top w:val="single" w:sz="4" w:space="0" w:color="000000"/>
            </w:tcBorders>
          </w:tcPr>
          <w:p>
            <w:pPr>
              <w:pStyle w:val="TableParagraph"/>
              <w:rPr>
                <w:rFonts w:ascii="Times New Roman"/>
                <w:sz w:val="16"/>
              </w:rPr>
            </w:pPr>
          </w:p>
        </w:tc>
        <w:tc>
          <w:tcPr>
            <w:tcW w:w="738" w:type="dxa"/>
            <w:tcBorders>
              <w:top w:val="single" w:sz="4" w:space="0" w:color="000000"/>
              <w:right w:val="single" w:sz="4" w:space="0" w:color="000000"/>
            </w:tcBorders>
          </w:tcPr>
          <w:p>
            <w:pPr>
              <w:pStyle w:val="TableParagraph"/>
              <w:rPr>
                <w:rFonts w:ascii="Times New Roman"/>
                <w:sz w:val="16"/>
              </w:rPr>
            </w:pPr>
          </w:p>
        </w:tc>
      </w:tr>
      <w:tr>
        <w:trPr>
          <w:trHeight w:val="230" w:hRule="atLeast"/>
        </w:trPr>
        <w:tc>
          <w:tcPr>
            <w:tcW w:w="4146" w:type="dxa"/>
            <w:tcBorders>
              <w:left w:val="single" w:sz="4" w:space="0" w:color="000000"/>
            </w:tcBorders>
          </w:tcPr>
          <w:p>
            <w:pPr>
              <w:pStyle w:val="TableParagraph"/>
              <w:spacing w:line="210" w:lineRule="exact"/>
              <w:ind w:right="100"/>
              <w:jc w:val="right"/>
              <w:rPr>
                <w:sz w:val="20"/>
              </w:rPr>
            </w:pPr>
            <w:r>
              <w:rPr>
                <w:sz w:val="20"/>
              </w:rPr>
              <w:t>enough</w:t>
            </w:r>
            <w:r>
              <w:rPr>
                <w:spacing w:val="56"/>
                <w:sz w:val="20"/>
              </w:rPr>
              <w:t> </w:t>
            </w:r>
            <w:r>
              <w:rPr>
                <w:sz w:val="20"/>
              </w:rPr>
              <w:t>to</w:t>
            </w:r>
            <w:r>
              <w:rPr>
                <w:spacing w:val="56"/>
                <w:sz w:val="20"/>
              </w:rPr>
              <w:t> </w:t>
            </w:r>
            <w:r>
              <w:rPr>
                <w:sz w:val="20"/>
              </w:rPr>
              <w:t>accommodate</w:t>
            </w:r>
            <w:r>
              <w:rPr>
                <w:spacing w:val="57"/>
                <w:sz w:val="20"/>
              </w:rPr>
              <w:t> </w:t>
            </w:r>
            <w:r>
              <w:rPr>
                <w:spacing w:val="-2"/>
                <w:sz w:val="20"/>
              </w:rPr>
              <w:t>students</w:t>
            </w:r>
          </w:p>
        </w:tc>
        <w:tc>
          <w:tcPr>
            <w:tcW w:w="1795" w:type="dxa"/>
          </w:tcPr>
          <w:p>
            <w:pPr>
              <w:pStyle w:val="TableParagraph"/>
              <w:spacing w:line="210" w:lineRule="exact"/>
              <w:ind w:left="111"/>
              <w:rPr>
                <w:sz w:val="20"/>
              </w:rPr>
            </w:pPr>
            <w:r>
              <w:rPr>
                <w:spacing w:val="-2"/>
                <w:sz w:val="20"/>
              </w:rPr>
              <w:t>observations</w:t>
            </w:r>
          </w:p>
        </w:tc>
        <w:tc>
          <w:tcPr>
            <w:tcW w:w="677" w:type="dxa"/>
          </w:tcPr>
          <w:p>
            <w:pPr>
              <w:pStyle w:val="TableParagraph"/>
              <w:spacing w:line="210" w:lineRule="exact"/>
              <w:ind w:left="66" w:right="4"/>
              <w:jc w:val="center"/>
              <w:rPr>
                <w:sz w:val="20"/>
              </w:rPr>
            </w:pPr>
            <w:r>
              <w:rPr>
                <w:spacing w:val="-10"/>
                <w:sz w:val="20"/>
              </w:rPr>
              <w:t>1</w:t>
            </w:r>
          </w:p>
        </w:tc>
        <w:tc>
          <w:tcPr>
            <w:tcW w:w="832" w:type="dxa"/>
          </w:tcPr>
          <w:p>
            <w:pPr>
              <w:pStyle w:val="TableParagraph"/>
              <w:spacing w:line="210" w:lineRule="exact"/>
              <w:ind w:left="115" w:right="119"/>
              <w:jc w:val="center"/>
              <w:rPr>
                <w:sz w:val="20"/>
              </w:rPr>
            </w:pPr>
            <w:r>
              <w:rPr>
                <w:spacing w:val="-4"/>
                <w:sz w:val="20"/>
              </w:rPr>
              <w:t>50.0</w:t>
            </w:r>
          </w:p>
        </w:tc>
        <w:tc>
          <w:tcPr>
            <w:tcW w:w="609" w:type="dxa"/>
          </w:tcPr>
          <w:p>
            <w:pPr>
              <w:pStyle w:val="TableParagraph"/>
              <w:spacing w:line="210" w:lineRule="exact"/>
              <w:ind w:left="7" w:right="12"/>
              <w:jc w:val="center"/>
              <w:rPr>
                <w:sz w:val="20"/>
              </w:rPr>
            </w:pPr>
            <w:r>
              <w:rPr>
                <w:spacing w:val="-10"/>
                <w:sz w:val="20"/>
              </w:rPr>
              <w:t>1</w:t>
            </w:r>
          </w:p>
        </w:tc>
        <w:tc>
          <w:tcPr>
            <w:tcW w:w="803" w:type="dxa"/>
          </w:tcPr>
          <w:p>
            <w:pPr>
              <w:pStyle w:val="TableParagraph"/>
              <w:spacing w:line="210" w:lineRule="exact"/>
              <w:ind w:left="20"/>
              <w:jc w:val="center"/>
              <w:rPr>
                <w:sz w:val="20"/>
              </w:rPr>
            </w:pPr>
            <w:r>
              <w:rPr>
                <w:spacing w:val="-4"/>
                <w:sz w:val="20"/>
              </w:rPr>
              <w:t>50.0</w:t>
            </w:r>
          </w:p>
        </w:tc>
        <w:tc>
          <w:tcPr>
            <w:tcW w:w="685" w:type="dxa"/>
          </w:tcPr>
          <w:p>
            <w:pPr>
              <w:pStyle w:val="TableParagraph"/>
              <w:spacing w:line="210" w:lineRule="exact"/>
              <w:ind w:left="59" w:right="91"/>
              <w:jc w:val="center"/>
              <w:rPr>
                <w:sz w:val="20"/>
              </w:rPr>
            </w:pPr>
            <w:r>
              <w:rPr>
                <w:spacing w:val="-10"/>
                <w:sz w:val="20"/>
              </w:rPr>
              <w:t>-</w:t>
            </w:r>
          </w:p>
        </w:tc>
        <w:tc>
          <w:tcPr>
            <w:tcW w:w="901" w:type="dxa"/>
          </w:tcPr>
          <w:p>
            <w:pPr>
              <w:pStyle w:val="TableParagraph"/>
              <w:spacing w:line="210" w:lineRule="exact"/>
              <w:ind w:left="27" w:right="6"/>
              <w:jc w:val="center"/>
              <w:rPr>
                <w:sz w:val="20"/>
              </w:rPr>
            </w:pPr>
            <w:r>
              <w:rPr>
                <w:spacing w:val="-10"/>
                <w:sz w:val="20"/>
              </w:rPr>
              <w:t>-</w:t>
            </w:r>
          </w:p>
        </w:tc>
        <w:tc>
          <w:tcPr>
            <w:tcW w:w="709" w:type="dxa"/>
          </w:tcPr>
          <w:p>
            <w:pPr>
              <w:pStyle w:val="TableParagraph"/>
              <w:spacing w:line="210" w:lineRule="exact"/>
              <w:ind w:left="63" w:right="20"/>
              <w:jc w:val="center"/>
              <w:rPr>
                <w:sz w:val="20"/>
              </w:rPr>
            </w:pPr>
            <w:r>
              <w:rPr>
                <w:spacing w:val="-10"/>
                <w:sz w:val="20"/>
              </w:rPr>
              <w:t>-</w:t>
            </w:r>
          </w:p>
        </w:tc>
        <w:tc>
          <w:tcPr>
            <w:tcW w:w="769" w:type="dxa"/>
          </w:tcPr>
          <w:p>
            <w:pPr>
              <w:pStyle w:val="TableParagraph"/>
              <w:spacing w:line="210" w:lineRule="exact"/>
              <w:ind w:left="11" w:right="6"/>
              <w:jc w:val="center"/>
              <w:rPr>
                <w:sz w:val="20"/>
              </w:rPr>
            </w:pPr>
            <w:r>
              <w:rPr>
                <w:spacing w:val="-10"/>
                <w:sz w:val="20"/>
              </w:rPr>
              <w:t>-</w:t>
            </w:r>
          </w:p>
        </w:tc>
        <w:tc>
          <w:tcPr>
            <w:tcW w:w="631" w:type="dxa"/>
          </w:tcPr>
          <w:p>
            <w:pPr>
              <w:pStyle w:val="TableParagraph"/>
              <w:spacing w:line="210" w:lineRule="exact"/>
              <w:ind w:left="33" w:right="8"/>
              <w:jc w:val="center"/>
              <w:rPr>
                <w:sz w:val="20"/>
              </w:rPr>
            </w:pPr>
            <w:r>
              <w:rPr>
                <w:spacing w:val="-10"/>
                <w:sz w:val="20"/>
              </w:rPr>
              <w:t>-</w:t>
            </w:r>
          </w:p>
        </w:tc>
        <w:tc>
          <w:tcPr>
            <w:tcW w:w="738" w:type="dxa"/>
          </w:tcPr>
          <w:p>
            <w:pPr>
              <w:pStyle w:val="TableParagraph"/>
              <w:spacing w:line="210" w:lineRule="exact"/>
              <w:ind w:left="84" w:right="7"/>
              <w:jc w:val="center"/>
              <w:rPr>
                <w:sz w:val="20"/>
              </w:rPr>
            </w:pPr>
            <w:r>
              <w:rPr>
                <w:spacing w:val="-10"/>
                <w:sz w:val="20"/>
              </w:rPr>
              <w:t>-</w:t>
            </w:r>
          </w:p>
        </w:tc>
        <w:tc>
          <w:tcPr>
            <w:tcW w:w="720" w:type="dxa"/>
          </w:tcPr>
          <w:p>
            <w:pPr>
              <w:pStyle w:val="TableParagraph"/>
              <w:spacing w:line="210" w:lineRule="exact"/>
              <w:ind w:left="102" w:right="36"/>
              <w:jc w:val="center"/>
              <w:rPr>
                <w:sz w:val="20"/>
              </w:rPr>
            </w:pPr>
            <w:r>
              <w:rPr>
                <w:spacing w:val="-10"/>
                <w:sz w:val="20"/>
              </w:rPr>
              <w:t>2</w:t>
            </w:r>
          </w:p>
        </w:tc>
        <w:tc>
          <w:tcPr>
            <w:tcW w:w="738" w:type="dxa"/>
            <w:tcBorders>
              <w:right w:val="single" w:sz="4" w:space="0" w:color="000000"/>
            </w:tcBorders>
          </w:tcPr>
          <w:p>
            <w:pPr>
              <w:pStyle w:val="TableParagraph"/>
              <w:spacing w:line="210" w:lineRule="exact"/>
              <w:ind w:left="62" w:right="14"/>
              <w:jc w:val="center"/>
              <w:rPr>
                <w:sz w:val="20"/>
              </w:rPr>
            </w:pPr>
            <w:r>
              <w:rPr>
                <w:spacing w:val="-5"/>
                <w:sz w:val="20"/>
              </w:rPr>
              <w:t>0.4</w:t>
            </w:r>
          </w:p>
        </w:tc>
      </w:tr>
      <w:tr>
        <w:trPr>
          <w:trHeight w:val="230" w:hRule="atLeast"/>
        </w:trPr>
        <w:tc>
          <w:tcPr>
            <w:tcW w:w="4146" w:type="dxa"/>
            <w:tcBorders>
              <w:left w:val="single" w:sz="4" w:space="0" w:color="000000"/>
            </w:tcBorders>
          </w:tcPr>
          <w:p>
            <w:pPr>
              <w:pStyle w:val="TableParagraph"/>
              <w:spacing w:line="210" w:lineRule="exact"/>
              <w:ind w:left="830"/>
              <w:rPr>
                <w:sz w:val="20"/>
              </w:rPr>
            </w:pPr>
            <w:r>
              <w:rPr>
                <w:sz w:val="20"/>
              </w:rPr>
              <w:t>during</w:t>
            </w:r>
            <w:r>
              <w:rPr>
                <w:spacing w:val="-3"/>
                <w:sz w:val="20"/>
              </w:rPr>
              <w:t> </w:t>
            </w:r>
            <w:r>
              <w:rPr>
                <w:sz w:val="20"/>
              </w:rPr>
              <w:t>the</w:t>
            </w:r>
            <w:r>
              <w:rPr>
                <w:spacing w:val="-7"/>
                <w:sz w:val="20"/>
              </w:rPr>
              <w:t> </w:t>
            </w:r>
            <w:r>
              <w:rPr>
                <w:sz w:val="20"/>
              </w:rPr>
              <w:t>lecture</w:t>
            </w:r>
            <w:r>
              <w:rPr>
                <w:spacing w:val="-6"/>
                <w:sz w:val="20"/>
              </w:rPr>
              <w:t> </w:t>
            </w:r>
            <w:r>
              <w:rPr>
                <w:spacing w:val="-2"/>
                <w:sz w:val="20"/>
              </w:rPr>
              <w:t>sessions.</w:t>
            </w:r>
          </w:p>
        </w:tc>
        <w:tc>
          <w:tcPr>
            <w:tcW w:w="1795" w:type="dxa"/>
          </w:tcPr>
          <w:p>
            <w:pPr>
              <w:pStyle w:val="TableParagraph"/>
              <w:spacing w:line="210" w:lineRule="exact"/>
              <w:ind w:left="111"/>
              <w:rPr>
                <w:sz w:val="20"/>
              </w:rPr>
            </w:pPr>
            <w:r>
              <w:rPr>
                <w:spacing w:val="-2"/>
                <w:sz w:val="20"/>
              </w:rPr>
              <w:t>Students</w:t>
            </w:r>
          </w:p>
        </w:tc>
        <w:tc>
          <w:tcPr>
            <w:tcW w:w="677" w:type="dxa"/>
          </w:tcPr>
          <w:p>
            <w:pPr>
              <w:pStyle w:val="TableParagraph"/>
              <w:spacing w:line="210" w:lineRule="exact"/>
              <w:ind w:left="62" w:right="10"/>
              <w:jc w:val="center"/>
              <w:rPr>
                <w:sz w:val="20"/>
              </w:rPr>
            </w:pPr>
            <w:r>
              <w:rPr>
                <w:spacing w:val="-5"/>
                <w:sz w:val="20"/>
              </w:rPr>
              <w:t>124</w:t>
            </w:r>
          </w:p>
        </w:tc>
        <w:tc>
          <w:tcPr>
            <w:tcW w:w="832" w:type="dxa"/>
          </w:tcPr>
          <w:p>
            <w:pPr>
              <w:pStyle w:val="TableParagraph"/>
              <w:spacing w:line="210" w:lineRule="exact"/>
              <w:ind w:left="115" w:right="119"/>
              <w:jc w:val="center"/>
              <w:rPr>
                <w:sz w:val="20"/>
              </w:rPr>
            </w:pPr>
            <w:r>
              <w:rPr>
                <w:spacing w:val="-4"/>
                <w:sz w:val="20"/>
              </w:rPr>
              <w:t>52.8</w:t>
            </w:r>
          </w:p>
        </w:tc>
        <w:tc>
          <w:tcPr>
            <w:tcW w:w="609" w:type="dxa"/>
          </w:tcPr>
          <w:p>
            <w:pPr>
              <w:pStyle w:val="TableParagraph"/>
              <w:spacing w:line="210" w:lineRule="exact"/>
              <w:ind w:left="2" w:right="12"/>
              <w:jc w:val="center"/>
              <w:rPr>
                <w:sz w:val="20"/>
              </w:rPr>
            </w:pPr>
            <w:r>
              <w:rPr>
                <w:spacing w:val="-5"/>
                <w:sz w:val="20"/>
              </w:rPr>
              <w:t>81</w:t>
            </w:r>
          </w:p>
        </w:tc>
        <w:tc>
          <w:tcPr>
            <w:tcW w:w="803" w:type="dxa"/>
          </w:tcPr>
          <w:p>
            <w:pPr>
              <w:pStyle w:val="TableParagraph"/>
              <w:spacing w:line="210" w:lineRule="exact"/>
              <w:ind w:left="20"/>
              <w:jc w:val="center"/>
              <w:rPr>
                <w:sz w:val="20"/>
              </w:rPr>
            </w:pPr>
            <w:r>
              <w:rPr>
                <w:spacing w:val="-4"/>
                <w:sz w:val="20"/>
              </w:rPr>
              <w:t>34.5</w:t>
            </w:r>
          </w:p>
        </w:tc>
        <w:tc>
          <w:tcPr>
            <w:tcW w:w="685" w:type="dxa"/>
          </w:tcPr>
          <w:p>
            <w:pPr>
              <w:pStyle w:val="TableParagraph"/>
              <w:spacing w:line="210" w:lineRule="exact"/>
              <w:ind w:left="59" w:right="89"/>
              <w:jc w:val="center"/>
              <w:rPr>
                <w:sz w:val="20"/>
              </w:rPr>
            </w:pPr>
            <w:r>
              <w:rPr>
                <w:spacing w:val="-5"/>
                <w:sz w:val="20"/>
              </w:rPr>
              <w:t>12</w:t>
            </w:r>
          </w:p>
        </w:tc>
        <w:tc>
          <w:tcPr>
            <w:tcW w:w="901" w:type="dxa"/>
          </w:tcPr>
          <w:p>
            <w:pPr>
              <w:pStyle w:val="TableParagraph"/>
              <w:spacing w:line="210" w:lineRule="exact"/>
              <w:ind w:left="27" w:right="5"/>
              <w:jc w:val="center"/>
              <w:rPr>
                <w:sz w:val="20"/>
              </w:rPr>
            </w:pPr>
            <w:r>
              <w:rPr>
                <w:spacing w:val="-5"/>
                <w:sz w:val="20"/>
              </w:rPr>
              <w:t>5.1</w:t>
            </w:r>
          </w:p>
        </w:tc>
        <w:tc>
          <w:tcPr>
            <w:tcW w:w="709" w:type="dxa"/>
          </w:tcPr>
          <w:p>
            <w:pPr>
              <w:pStyle w:val="TableParagraph"/>
              <w:spacing w:line="210" w:lineRule="exact"/>
              <w:ind w:left="65" w:right="20"/>
              <w:jc w:val="center"/>
              <w:rPr>
                <w:sz w:val="20"/>
              </w:rPr>
            </w:pPr>
            <w:r>
              <w:rPr>
                <w:spacing w:val="-5"/>
                <w:sz w:val="20"/>
              </w:rPr>
              <w:t>16</w:t>
            </w:r>
          </w:p>
        </w:tc>
        <w:tc>
          <w:tcPr>
            <w:tcW w:w="769" w:type="dxa"/>
          </w:tcPr>
          <w:p>
            <w:pPr>
              <w:pStyle w:val="TableParagraph"/>
              <w:spacing w:line="210" w:lineRule="exact"/>
              <w:ind w:left="11" w:right="5"/>
              <w:jc w:val="center"/>
              <w:rPr>
                <w:sz w:val="20"/>
              </w:rPr>
            </w:pPr>
            <w:r>
              <w:rPr>
                <w:spacing w:val="-5"/>
                <w:sz w:val="20"/>
              </w:rPr>
              <w:t>6.8</w:t>
            </w:r>
          </w:p>
        </w:tc>
        <w:tc>
          <w:tcPr>
            <w:tcW w:w="631" w:type="dxa"/>
          </w:tcPr>
          <w:p>
            <w:pPr>
              <w:pStyle w:val="TableParagraph"/>
              <w:spacing w:line="210" w:lineRule="exact"/>
              <w:ind w:left="33" w:right="1"/>
              <w:jc w:val="center"/>
              <w:rPr>
                <w:sz w:val="20"/>
              </w:rPr>
            </w:pPr>
            <w:r>
              <w:rPr>
                <w:spacing w:val="-10"/>
                <w:sz w:val="20"/>
              </w:rPr>
              <w:t>2</w:t>
            </w:r>
          </w:p>
        </w:tc>
        <w:tc>
          <w:tcPr>
            <w:tcW w:w="738" w:type="dxa"/>
          </w:tcPr>
          <w:p>
            <w:pPr>
              <w:pStyle w:val="TableParagraph"/>
              <w:spacing w:line="210" w:lineRule="exact"/>
              <w:ind w:left="84" w:right="5"/>
              <w:jc w:val="center"/>
              <w:rPr>
                <w:sz w:val="20"/>
              </w:rPr>
            </w:pPr>
            <w:r>
              <w:rPr>
                <w:spacing w:val="-5"/>
                <w:sz w:val="20"/>
              </w:rPr>
              <w:t>0.9</w:t>
            </w:r>
          </w:p>
        </w:tc>
        <w:tc>
          <w:tcPr>
            <w:tcW w:w="720" w:type="dxa"/>
          </w:tcPr>
          <w:p>
            <w:pPr>
              <w:pStyle w:val="TableParagraph"/>
              <w:spacing w:line="210" w:lineRule="exact"/>
              <w:ind w:left="92" w:right="36"/>
              <w:jc w:val="center"/>
              <w:rPr>
                <w:sz w:val="20"/>
              </w:rPr>
            </w:pPr>
            <w:r>
              <w:rPr>
                <w:spacing w:val="-5"/>
                <w:sz w:val="20"/>
              </w:rPr>
              <w:t>235</w:t>
            </w:r>
          </w:p>
        </w:tc>
        <w:tc>
          <w:tcPr>
            <w:tcW w:w="738" w:type="dxa"/>
            <w:tcBorders>
              <w:right w:val="single" w:sz="4" w:space="0" w:color="000000"/>
            </w:tcBorders>
          </w:tcPr>
          <w:p>
            <w:pPr>
              <w:pStyle w:val="TableParagraph"/>
              <w:spacing w:line="210" w:lineRule="exact"/>
              <w:ind w:left="67" w:right="14"/>
              <w:jc w:val="center"/>
              <w:rPr>
                <w:sz w:val="20"/>
              </w:rPr>
            </w:pPr>
            <w:r>
              <w:rPr>
                <w:spacing w:val="-4"/>
                <w:sz w:val="20"/>
              </w:rPr>
              <w:t>50.8</w:t>
            </w:r>
          </w:p>
        </w:tc>
      </w:tr>
      <w:tr>
        <w:trPr>
          <w:trHeight w:val="244" w:hRule="atLeast"/>
        </w:trPr>
        <w:tc>
          <w:tcPr>
            <w:tcW w:w="4146" w:type="dxa"/>
            <w:tcBorders>
              <w:left w:val="single" w:sz="4" w:space="0" w:color="000000"/>
            </w:tcBorders>
          </w:tcPr>
          <w:p>
            <w:pPr>
              <w:pStyle w:val="TableParagraph"/>
              <w:rPr>
                <w:rFonts w:ascii="Times New Roman"/>
                <w:sz w:val="16"/>
              </w:rPr>
            </w:pPr>
          </w:p>
        </w:tc>
        <w:tc>
          <w:tcPr>
            <w:tcW w:w="1795" w:type="dxa"/>
          </w:tcPr>
          <w:p>
            <w:pPr>
              <w:pStyle w:val="TableParagraph"/>
              <w:spacing w:line="225" w:lineRule="exact"/>
              <w:ind w:left="111"/>
              <w:rPr>
                <w:sz w:val="20"/>
              </w:rPr>
            </w:pPr>
            <w:r>
              <w:rPr>
                <w:sz w:val="20"/>
              </w:rPr>
              <w:t>Service</w:t>
            </w:r>
            <w:r>
              <w:rPr>
                <w:spacing w:val="-9"/>
                <w:sz w:val="20"/>
              </w:rPr>
              <w:t> </w:t>
            </w:r>
            <w:r>
              <w:rPr>
                <w:spacing w:val="-2"/>
                <w:sz w:val="20"/>
              </w:rPr>
              <w:t>Staff</w:t>
            </w:r>
          </w:p>
        </w:tc>
        <w:tc>
          <w:tcPr>
            <w:tcW w:w="677" w:type="dxa"/>
          </w:tcPr>
          <w:p>
            <w:pPr>
              <w:pStyle w:val="TableParagraph"/>
              <w:spacing w:line="225" w:lineRule="exact"/>
              <w:ind w:left="62" w:right="5"/>
              <w:jc w:val="center"/>
              <w:rPr>
                <w:sz w:val="20"/>
              </w:rPr>
            </w:pPr>
            <w:r>
              <w:rPr>
                <w:spacing w:val="-5"/>
                <w:sz w:val="20"/>
              </w:rPr>
              <w:t>83</w:t>
            </w:r>
          </w:p>
        </w:tc>
        <w:tc>
          <w:tcPr>
            <w:tcW w:w="832" w:type="dxa"/>
          </w:tcPr>
          <w:p>
            <w:pPr>
              <w:pStyle w:val="TableParagraph"/>
              <w:spacing w:line="225" w:lineRule="exact"/>
              <w:ind w:left="115" w:right="119"/>
              <w:jc w:val="center"/>
              <w:rPr>
                <w:sz w:val="20"/>
              </w:rPr>
            </w:pPr>
            <w:r>
              <w:rPr>
                <w:spacing w:val="-4"/>
                <w:sz w:val="20"/>
              </w:rPr>
              <w:t>40.9</w:t>
            </w:r>
          </w:p>
        </w:tc>
        <w:tc>
          <w:tcPr>
            <w:tcW w:w="609" w:type="dxa"/>
          </w:tcPr>
          <w:p>
            <w:pPr>
              <w:pStyle w:val="TableParagraph"/>
              <w:spacing w:line="225" w:lineRule="exact"/>
              <w:ind w:left="2" w:right="12"/>
              <w:jc w:val="center"/>
              <w:rPr>
                <w:sz w:val="20"/>
              </w:rPr>
            </w:pPr>
            <w:r>
              <w:rPr>
                <w:spacing w:val="-5"/>
                <w:sz w:val="20"/>
              </w:rPr>
              <w:t>86</w:t>
            </w:r>
          </w:p>
        </w:tc>
        <w:tc>
          <w:tcPr>
            <w:tcW w:w="803" w:type="dxa"/>
          </w:tcPr>
          <w:p>
            <w:pPr>
              <w:pStyle w:val="TableParagraph"/>
              <w:spacing w:line="225" w:lineRule="exact"/>
              <w:ind w:left="20"/>
              <w:jc w:val="center"/>
              <w:rPr>
                <w:sz w:val="20"/>
              </w:rPr>
            </w:pPr>
            <w:r>
              <w:rPr>
                <w:spacing w:val="-4"/>
                <w:sz w:val="20"/>
              </w:rPr>
              <w:t>42.4</w:t>
            </w:r>
          </w:p>
        </w:tc>
        <w:tc>
          <w:tcPr>
            <w:tcW w:w="685" w:type="dxa"/>
          </w:tcPr>
          <w:p>
            <w:pPr>
              <w:pStyle w:val="TableParagraph"/>
              <w:spacing w:line="225" w:lineRule="exact"/>
              <w:ind w:left="59" w:right="89"/>
              <w:jc w:val="center"/>
              <w:rPr>
                <w:sz w:val="20"/>
              </w:rPr>
            </w:pPr>
            <w:r>
              <w:rPr>
                <w:spacing w:val="-5"/>
                <w:sz w:val="20"/>
              </w:rPr>
              <w:t>15</w:t>
            </w:r>
          </w:p>
        </w:tc>
        <w:tc>
          <w:tcPr>
            <w:tcW w:w="901" w:type="dxa"/>
          </w:tcPr>
          <w:p>
            <w:pPr>
              <w:pStyle w:val="TableParagraph"/>
              <w:spacing w:line="225" w:lineRule="exact"/>
              <w:ind w:left="27" w:right="5"/>
              <w:jc w:val="center"/>
              <w:rPr>
                <w:sz w:val="20"/>
              </w:rPr>
            </w:pPr>
            <w:r>
              <w:rPr>
                <w:spacing w:val="-5"/>
                <w:sz w:val="20"/>
              </w:rPr>
              <w:t>7.4</w:t>
            </w:r>
          </w:p>
        </w:tc>
        <w:tc>
          <w:tcPr>
            <w:tcW w:w="709" w:type="dxa"/>
          </w:tcPr>
          <w:p>
            <w:pPr>
              <w:pStyle w:val="TableParagraph"/>
              <w:spacing w:line="225" w:lineRule="exact"/>
              <w:ind w:left="65" w:right="20"/>
              <w:jc w:val="center"/>
              <w:rPr>
                <w:sz w:val="20"/>
              </w:rPr>
            </w:pPr>
            <w:r>
              <w:rPr>
                <w:spacing w:val="-5"/>
                <w:sz w:val="20"/>
              </w:rPr>
              <w:t>14</w:t>
            </w:r>
          </w:p>
        </w:tc>
        <w:tc>
          <w:tcPr>
            <w:tcW w:w="769" w:type="dxa"/>
          </w:tcPr>
          <w:p>
            <w:pPr>
              <w:pStyle w:val="TableParagraph"/>
              <w:spacing w:line="225" w:lineRule="exact"/>
              <w:ind w:left="11" w:right="5"/>
              <w:jc w:val="center"/>
              <w:rPr>
                <w:sz w:val="20"/>
              </w:rPr>
            </w:pPr>
            <w:r>
              <w:rPr>
                <w:spacing w:val="-5"/>
                <w:sz w:val="20"/>
              </w:rPr>
              <w:t>6.9</w:t>
            </w:r>
          </w:p>
        </w:tc>
        <w:tc>
          <w:tcPr>
            <w:tcW w:w="631" w:type="dxa"/>
          </w:tcPr>
          <w:p>
            <w:pPr>
              <w:pStyle w:val="TableParagraph"/>
              <w:spacing w:line="225" w:lineRule="exact"/>
              <w:ind w:left="33" w:right="1"/>
              <w:jc w:val="center"/>
              <w:rPr>
                <w:sz w:val="20"/>
              </w:rPr>
            </w:pPr>
            <w:r>
              <w:rPr>
                <w:spacing w:val="-10"/>
                <w:sz w:val="20"/>
              </w:rPr>
              <w:t>5</w:t>
            </w:r>
          </w:p>
        </w:tc>
        <w:tc>
          <w:tcPr>
            <w:tcW w:w="738" w:type="dxa"/>
          </w:tcPr>
          <w:p>
            <w:pPr>
              <w:pStyle w:val="TableParagraph"/>
              <w:spacing w:line="225" w:lineRule="exact"/>
              <w:ind w:left="84" w:right="5"/>
              <w:jc w:val="center"/>
              <w:rPr>
                <w:sz w:val="20"/>
              </w:rPr>
            </w:pPr>
            <w:r>
              <w:rPr>
                <w:spacing w:val="-5"/>
                <w:sz w:val="20"/>
              </w:rPr>
              <w:t>2.5</w:t>
            </w:r>
          </w:p>
        </w:tc>
        <w:tc>
          <w:tcPr>
            <w:tcW w:w="720" w:type="dxa"/>
          </w:tcPr>
          <w:p>
            <w:pPr>
              <w:pStyle w:val="TableParagraph"/>
              <w:spacing w:line="225" w:lineRule="exact"/>
              <w:ind w:left="92" w:right="36"/>
              <w:jc w:val="center"/>
              <w:rPr>
                <w:sz w:val="20"/>
              </w:rPr>
            </w:pPr>
            <w:r>
              <w:rPr>
                <w:spacing w:val="-5"/>
                <w:sz w:val="20"/>
              </w:rPr>
              <w:t>203</w:t>
            </w:r>
          </w:p>
        </w:tc>
        <w:tc>
          <w:tcPr>
            <w:tcW w:w="738" w:type="dxa"/>
            <w:tcBorders>
              <w:right w:val="single" w:sz="4" w:space="0" w:color="000000"/>
            </w:tcBorders>
          </w:tcPr>
          <w:p>
            <w:pPr>
              <w:pStyle w:val="TableParagraph"/>
              <w:spacing w:line="225" w:lineRule="exact"/>
              <w:ind w:left="67" w:right="14"/>
              <w:jc w:val="center"/>
              <w:rPr>
                <w:sz w:val="20"/>
              </w:rPr>
            </w:pPr>
            <w:r>
              <w:rPr>
                <w:spacing w:val="-4"/>
                <w:sz w:val="20"/>
              </w:rPr>
              <w:t>43.8</w:t>
            </w:r>
          </w:p>
        </w:tc>
      </w:tr>
      <w:tr>
        <w:trPr>
          <w:trHeight w:val="268" w:hRule="atLeast"/>
        </w:trPr>
        <w:tc>
          <w:tcPr>
            <w:tcW w:w="4146" w:type="dxa"/>
            <w:tcBorders>
              <w:left w:val="single" w:sz="4" w:space="0" w:color="000000"/>
            </w:tcBorders>
          </w:tcPr>
          <w:p>
            <w:pPr>
              <w:pStyle w:val="TableParagraph"/>
              <w:rPr>
                <w:rFonts w:ascii="Times New Roman"/>
                <w:sz w:val="18"/>
              </w:rPr>
            </w:pPr>
          </w:p>
        </w:tc>
        <w:tc>
          <w:tcPr>
            <w:tcW w:w="1795" w:type="dxa"/>
          </w:tcPr>
          <w:p>
            <w:pPr>
              <w:pStyle w:val="TableParagraph"/>
              <w:spacing w:before="12"/>
              <w:ind w:left="111"/>
              <w:rPr>
                <w:sz w:val="20"/>
              </w:rPr>
            </w:pPr>
            <w:r>
              <w:rPr>
                <w:sz w:val="20"/>
              </w:rPr>
              <w:t>Top</w:t>
            </w:r>
            <w:r>
              <w:rPr>
                <w:spacing w:val="-1"/>
                <w:sz w:val="20"/>
              </w:rPr>
              <w:t> </w:t>
            </w:r>
            <w:r>
              <w:rPr>
                <w:spacing w:val="-2"/>
                <w:sz w:val="20"/>
              </w:rPr>
              <w:t>Management</w:t>
            </w:r>
          </w:p>
        </w:tc>
        <w:tc>
          <w:tcPr>
            <w:tcW w:w="677" w:type="dxa"/>
          </w:tcPr>
          <w:p>
            <w:pPr>
              <w:pStyle w:val="TableParagraph"/>
              <w:spacing w:before="12"/>
              <w:ind w:left="66" w:right="4"/>
              <w:jc w:val="center"/>
              <w:rPr>
                <w:sz w:val="20"/>
              </w:rPr>
            </w:pPr>
            <w:r>
              <w:rPr>
                <w:spacing w:val="-10"/>
                <w:sz w:val="20"/>
              </w:rPr>
              <w:t>9</w:t>
            </w:r>
          </w:p>
        </w:tc>
        <w:tc>
          <w:tcPr>
            <w:tcW w:w="832" w:type="dxa"/>
          </w:tcPr>
          <w:p>
            <w:pPr>
              <w:pStyle w:val="TableParagraph"/>
              <w:spacing w:before="12"/>
              <w:ind w:left="115" w:right="119"/>
              <w:jc w:val="center"/>
              <w:rPr>
                <w:sz w:val="20"/>
              </w:rPr>
            </w:pPr>
            <w:r>
              <w:rPr>
                <w:spacing w:val="-4"/>
                <w:sz w:val="20"/>
              </w:rPr>
              <w:t>39.1</w:t>
            </w:r>
          </w:p>
        </w:tc>
        <w:tc>
          <w:tcPr>
            <w:tcW w:w="609" w:type="dxa"/>
          </w:tcPr>
          <w:p>
            <w:pPr>
              <w:pStyle w:val="TableParagraph"/>
              <w:spacing w:before="12"/>
              <w:ind w:left="2" w:right="12"/>
              <w:jc w:val="center"/>
              <w:rPr>
                <w:sz w:val="20"/>
              </w:rPr>
            </w:pPr>
            <w:r>
              <w:rPr>
                <w:spacing w:val="-5"/>
                <w:sz w:val="20"/>
              </w:rPr>
              <w:t>13</w:t>
            </w:r>
          </w:p>
        </w:tc>
        <w:tc>
          <w:tcPr>
            <w:tcW w:w="803" w:type="dxa"/>
          </w:tcPr>
          <w:p>
            <w:pPr>
              <w:pStyle w:val="TableParagraph"/>
              <w:spacing w:before="12"/>
              <w:ind w:left="20"/>
              <w:jc w:val="center"/>
              <w:rPr>
                <w:sz w:val="20"/>
              </w:rPr>
            </w:pPr>
            <w:r>
              <w:rPr>
                <w:spacing w:val="-4"/>
                <w:sz w:val="20"/>
              </w:rPr>
              <w:t>56.5</w:t>
            </w:r>
          </w:p>
        </w:tc>
        <w:tc>
          <w:tcPr>
            <w:tcW w:w="685" w:type="dxa"/>
          </w:tcPr>
          <w:p>
            <w:pPr>
              <w:pStyle w:val="TableParagraph"/>
              <w:spacing w:before="12"/>
              <w:ind w:left="59" w:right="84"/>
              <w:jc w:val="center"/>
              <w:rPr>
                <w:sz w:val="20"/>
              </w:rPr>
            </w:pPr>
            <w:r>
              <w:rPr>
                <w:spacing w:val="-10"/>
                <w:sz w:val="20"/>
              </w:rPr>
              <w:t>1</w:t>
            </w:r>
          </w:p>
        </w:tc>
        <w:tc>
          <w:tcPr>
            <w:tcW w:w="901" w:type="dxa"/>
          </w:tcPr>
          <w:p>
            <w:pPr>
              <w:pStyle w:val="TableParagraph"/>
              <w:spacing w:before="12"/>
              <w:ind w:left="27" w:right="5"/>
              <w:jc w:val="center"/>
              <w:rPr>
                <w:sz w:val="20"/>
              </w:rPr>
            </w:pPr>
            <w:r>
              <w:rPr>
                <w:spacing w:val="-5"/>
                <w:sz w:val="20"/>
              </w:rPr>
              <w:t>4.3</w:t>
            </w:r>
          </w:p>
        </w:tc>
        <w:tc>
          <w:tcPr>
            <w:tcW w:w="709" w:type="dxa"/>
          </w:tcPr>
          <w:p>
            <w:pPr>
              <w:pStyle w:val="TableParagraph"/>
              <w:spacing w:before="12"/>
              <w:ind w:left="63" w:right="20"/>
              <w:jc w:val="center"/>
              <w:rPr>
                <w:sz w:val="20"/>
              </w:rPr>
            </w:pPr>
            <w:r>
              <w:rPr>
                <w:spacing w:val="-10"/>
                <w:sz w:val="20"/>
              </w:rPr>
              <w:t>-</w:t>
            </w:r>
          </w:p>
        </w:tc>
        <w:tc>
          <w:tcPr>
            <w:tcW w:w="769" w:type="dxa"/>
          </w:tcPr>
          <w:p>
            <w:pPr>
              <w:pStyle w:val="TableParagraph"/>
              <w:spacing w:before="12"/>
              <w:ind w:left="11" w:right="6"/>
              <w:jc w:val="center"/>
              <w:rPr>
                <w:sz w:val="20"/>
              </w:rPr>
            </w:pPr>
            <w:r>
              <w:rPr>
                <w:spacing w:val="-10"/>
                <w:sz w:val="20"/>
              </w:rPr>
              <w:t>-</w:t>
            </w:r>
          </w:p>
        </w:tc>
        <w:tc>
          <w:tcPr>
            <w:tcW w:w="631" w:type="dxa"/>
          </w:tcPr>
          <w:p>
            <w:pPr>
              <w:pStyle w:val="TableParagraph"/>
              <w:spacing w:before="12"/>
              <w:ind w:left="33" w:right="8"/>
              <w:jc w:val="center"/>
              <w:rPr>
                <w:sz w:val="20"/>
              </w:rPr>
            </w:pPr>
            <w:r>
              <w:rPr>
                <w:spacing w:val="-10"/>
                <w:sz w:val="20"/>
              </w:rPr>
              <w:t>-</w:t>
            </w:r>
          </w:p>
        </w:tc>
        <w:tc>
          <w:tcPr>
            <w:tcW w:w="738" w:type="dxa"/>
          </w:tcPr>
          <w:p>
            <w:pPr>
              <w:pStyle w:val="TableParagraph"/>
              <w:spacing w:before="12"/>
              <w:ind w:left="84" w:right="7"/>
              <w:jc w:val="center"/>
              <w:rPr>
                <w:sz w:val="20"/>
              </w:rPr>
            </w:pPr>
            <w:r>
              <w:rPr>
                <w:spacing w:val="-10"/>
                <w:sz w:val="20"/>
              </w:rPr>
              <w:t>-</w:t>
            </w:r>
          </w:p>
        </w:tc>
        <w:tc>
          <w:tcPr>
            <w:tcW w:w="720" w:type="dxa"/>
          </w:tcPr>
          <w:p>
            <w:pPr>
              <w:pStyle w:val="TableParagraph"/>
              <w:spacing w:before="12"/>
              <w:ind w:left="97" w:right="36"/>
              <w:jc w:val="center"/>
              <w:rPr>
                <w:sz w:val="20"/>
              </w:rPr>
            </w:pPr>
            <w:r>
              <w:rPr>
                <w:spacing w:val="-5"/>
                <w:sz w:val="20"/>
              </w:rPr>
              <w:t>23</w:t>
            </w:r>
          </w:p>
        </w:tc>
        <w:tc>
          <w:tcPr>
            <w:tcW w:w="738" w:type="dxa"/>
            <w:tcBorders>
              <w:right w:val="single" w:sz="4" w:space="0" w:color="000000"/>
            </w:tcBorders>
          </w:tcPr>
          <w:p>
            <w:pPr>
              <w:pStyle w:val="TableParagraph"/>
              <w:spacing w:before="12"/>
              <w:ind w:left="62" w:right="14"/>
              <w:jc w:val="center"/>
              <w:rPr>
                <w:sz w:val="20"/>
              </w:rPr>
            </w:pPr>
            <w:r>
              <w:rPr>
                <w:spacing w:val="-5"/>
                <w:sz w:val="20"/>
              </w:rPr>
              <w:t>5.0</w:t>
            </w:r>
          </w:p>
        </w:tc>
      </w:tr>
      <w:tr>
        <w:trPr>
          <w:trHeight w:val="254" w:hRule="atLeast"/>
        </w:trPr>
        <w:tc>
          <w:tcPr>
            <w:tcW w:w="4146" w:type="dxa"/>
            <w:tcBorders>
              <w:left w:val="single" w:sz="4" w:space="0" w:color="000000"/>
            </w:tcBorders>
          </w:tcPr>
          <w:p>
            <w:pPr>
              <w:pStyle w:val="TableParagraph"/>
              <w:tabs>
                <w:tab w:pos="609" w:val="left" w:leader="none"/>
              </w:tabs>
              <w:spacing w:line="213" w:lineRule="exact" w:before="21"/>
              <w:ind w:right="100"/>
              <w:jc w:val="right"/>
              <w:rPr>
                <w:sz w:val="20"/>
              </w:rPr>
            </w:pPr>
            <w:r>
              <w:rPr>
                <w:spacing w:val="-5"/>
                <w:sz w:val="20"/>
              </w:rPr>
              <w:t>78.</w:t>
            </w:r>
            <w:r>
              <w:rPr>
                <w:sz w:val="20"/>
              </w:rPr>
              <w:tab/>
              <w:t>Teaching</w:t>
            </w:r>
            <w:r>
              <w:rPr>
                <w:spacing w:val="18"/>
                <w:sz w:val="20"/>
              </w:rPr>
              <w:t> </w:t>
            </w:r>
            <w:r>
              <w:rPr>
                <w:sz w:val="20"/>
              </w:rPr>
              <w:t>and</w:t>
            </w:r>
            <w:r>
              <w:rPr>
                <w:spacing w:val="18"/>
                <w:sz w:val="20"/>
              </w:rPr>
              <w:t> </w:t>
            </w:r>
            <w:r>
              <w:rPr>
                <w:sz w:val="20"/>
              </w:rPr>
              <w:t>learning</w:t>
            </w:r>
            <w:r>
              <w:rPr>
                <w:spacing w:val="15"/>
                <w:sz w:val="20"/>
              </w:rPr>
              <w:t> </w:t>
            </w:r>
            <w:r>
              <w:rPr>
                <w:sz w:val="20"/>
              </w:rPr>
              <w:t>facilities</w:t>
            </w:r>
            <w:r>
              <w:rPr>
                <w:spacing w:val="16"/>
                <w:sz w:val="20"/>
              </w:rPr>
              <w:t> </w:t>
            </w:r>
            <w:r>
              <w:rPr>
                <w:spacing w:val="-4"/>
                <w:sz w:val="20"/>
              </w:rPr>
              <w:t>like</w:t>
            </w:r>
          </w:p>
        </w:tc>
        <w:tc>
          <w:tcPr>
            <w:tcW w:w="1795" w:type="dxa"/>
          </w:tcPr>
          <w:p>
            <w:pPr>
              <w:pStyle w:val="TableParagraph"/>
              <w:spacing w:line="213" w:lineRule="exact" w:before="21"/>
              <w:ind w:left="111"/>
              <w:rPr>
                <w:sz w:val="20"/>
              </w:rPr>
            </w:pPr>
            <w:r>
              <w:rPr>
                <w:sz w:val="20"/>
              </w:rPr>
              <w:t>No.</w:t>
            </w:r>
            <w:r>
              <w:rPr>
                <w:spacing w:val="-5"/>
                <w:sz w:val="20"/>
              </w:rPr>
              <w:t> </w:t>
            </w:r>
            <w:r>
              <w:rPr>
                <w:sz w:val="20"/>
              </w:rPr>
              <w:t>of</w:t>
            </w:r>
            <w:r>
              <w:rPr>
                <w:spacing w:val="-2"/>
                <w:sz w:val="20"/>
              </w:rPr>
              <w:t> missing</w:t>
            </w:r>
          </w:p>
        </w:tc>
        <w:tc>
          <w:tcPr>
            <w:tcW w:w="677" w:type="dxa"/>
          </w:tcPr>
          <w:p>
            <w:pPr>
              <w:pStyle w:val="TableParagraph"/>
              <w:rPr>
                <w:rFonts w:ascii="Times New Roman"/>
                <w:sz w:val="18"/>
              </w:rPr>
            </w:pPr>
          </w:p>
        </w:tc>
        <w:tc>
          <w:tcPr>
            <w:tcW w:w="832" w:type="dxa"/>
          </w:tcPr>
          <w:p>
            <w:pPr>
              <w:pStyle w:val="TableParagraph"/>
              <w:rPr>
                <w:rFonts w:ascii="Times New Roman"/>
                <w:sz w:val="18"/>
              </w:rPr>
            </w:pPr>
          </w:p>
        </w:tc>
        <w:tc>
          <w:tcPr>
            <w:tcW w:w="609" w:type="dxa"/>
          </w:tcPr>
          <w:p>
            <w:pPr>
              <w:pStyle w:val="TableParagraph"/>
              <w:rPr>
                <w:rFonts w:ascii="Times New Roman"/>
                <w:sz w:val="18"/>
              </w:rPr>
            </w:pPr>
          </w:p>
        </w:tc>
        <w:tc>
          <w:tcPr>
            <w:tcW w:w="803" w:type="dxa"/>
          </w:tcPr>
          <w:p>
            <w:pPr>
              <w:pStyle w:val="TableParagraph"/>
              <w:rPr>
                <w:rFonts w:ascii="Times New Roman"/>
                <w:sz w:val="18"/>
              </w:rPr>
            </w:pPr>
          </w:p>
        </w:tc>
        <w:tc>
          <w:tcPr>
            <w:tcW w:w="685" w:type="dxa"/>
          </w:tcPr>
          <w:p>
            <w:pPr>
              <w:pStyle w:val="TableParagraph"/>
              <w:rPr>
                <w:rFonts w:ascii="Times New Roman"/>
                <w:sz w:val="18"/>
              </w:rPr>
            </w:pPr>
          </w:p>
        </w:tc>
        <w:tc>
          <w:tcPr>
            <w:tcW w:w="901" w:type="dxa"/>
          </w:tcPr>
          <w:p>
            <w:pPr>
              <w:pStyle w:val="TableParagraph"/>
              <w:rPr>
                <w:rFonts w:ascii="Times New Roman"/>
                <w:sz w:val="18"/>
              </w:rPr>
            </w:pPr>
          </w:p>
        </w:tc>
        <w:tc>
          <w:tcPr>
            <w:tcW w:w="709" w:type="dxa"/>
          </w:tcPr>
          <w:p>
            <w:pPr>
              <w:pStyle w:val="TableParagraph"/>
              <w:rPr>
                <w:rFonts w:ascii="Times New Roman"/>
                <w:sz w:val="18"/>
              </w:rPr>
            </w:pPr>
          </w:p>
        </w:tc>
        <w:tc>
          <w:tcPr>
            <w:tcW w:w="769" w:type="dxa"/>
          </w:tcPr>
          <w:p>
            <w:pPr>
              <w:pStyle w:val="TableParagraph"/>
              <w:rPr>
                <w:rFonts w:ascii="Times New Roman"/>
                <w:sz w:val="18"/>
              </w:rPr>
            </w:pPr>
          </w:p>
        </w:tc>
        <w:tc>
          <w:tcPr>
            <w:tcW w:w="631" w:type="dxa"/>
          </w:tcPr>
          <w:p>
            <w:pPr>
              <w:pStyle w:val="TableParagraph"/>
              <w:rPr>
                <w:rFonts w:ascii="Times New Roman"/>
                <w:sz w:val="18"/>
              </w:rPr>
            </w:pPr>
          </w:p>
        </w:tc>
        <w:tc>
          <w:tcPr>
            <w:tcW w:w="738" w:type="dxa"/>
          </w:tcPr>
          <w:p>
            <w:pPr>
              <w:pStyle w:val="TableParagraph"/>
              <w:rPr>
                <w:rFonts w:ascii="Times New Roman"/>
                <w:sz w:val="18"/>
              </w:rPr>
            </w:pPr>
          </w:p>
        </w:tc>
        <w:tc>
          <w:tcPr>
            <w:tcW w:w="720" w:type="dxa"/>
          </w:tcPr>
          <w:p>
            <w:pPr>
              <w:pStyle w:val="TableParagraph"/>
              <w:rPr>
                <w:rFonts w:ascii="Times New Roman"/>
                <w:sz w:val="18"/>
              </w:rPr>
            </w:pPr>
          </w:p>
        </w:tc>
        <w:tc>
          <w:tcPr>
            <w:tcW w:w="738" w:type="dxa"/>
            <w:tcBorders>
              <w:right w:val="single" w:sz="4" w:space="0" w:color="000000"/>
            </w:tcBorders>
          </w:tcPr>
          <w:p>
            <w:pPr>
              <w:pStyle w:val="TableParagraph"/>
              <w:rPr>
                <w:rFonts w:ascii="Times New Roman"/>
                <w:sz w:val="18"/>
              </w:rPr>
            </w:pPr>
          </w:p>
        </w:tc>
      </w:tr>
      <w:tr>
        <w:trPr>
          <w:trHeight w:val="230" w:hRule="atLeast"/>
        </w:trPr>
        <w:tc>
          <w:tcPr>
            <w:tcW w:w="4146" w:type="dxa"/>
            <w:tcBorders>
              <w:left w:val="single" w:sz="4" w:space="0" w:color="000000"/>
            </w:tcBorders>
          </w:tcPr>
          <w:p>
            <w:pPr>
              <w:pStyle w:val="TableParagraph"/>
              <w:spacing w:line="210" w:lineRule="exact"/>
              <w:ind w:right="108"/>
              <w:jc w:val="right"/>
              <w:rPr>
                <w:sz w:val="20"/>
              </w:rPr>
            </w:pPr>
            <w:r>
              <w:rPr>
                <w:sz w:val="20"/>
              </w:rPr>
              <w:t>laboratory</w:t>
            </w:r>
            <w:r>
              <w:rPr>
                <w:spacing w:val="30"/>
                <w:sz w:val="20"/>
              </w:rPr>
              <w:t>  </w:t>
            </w:r>
            <w:r>
              <w:rPr>
                <w:sz w:val="20"/>
              </w:rPr>
              <w:t>equipments,</w:t>
            </w:r>
            <w:r>
              <w:rPr>
                <w:spacing w:val="30"/>
                <w:sz w:val="20"/>
              </w:rPr>
              <w:t>  </w:t>
            </w:r>
            <w:r>
              <w:rPr>
                <w:spacing w:val="-2"/>
                <w:sz w:val="20"/>
              </w:rPr>
              <w:t>workshop</w:t>
            </w:r>
          </w:p>
        </w:tc>
        <w:tc>
          <w:tcPr>
            <w:tcW w:w="1795" w:type="dxa"/>
          </w:tcPr>
          <w:p>
            <w:pPr>
              <w:pStyle w:val="TableParagraph"/>
              <w:spacing w:line="210" w:lineRule="exact"/>
              <w:ind w:left="111"/>
              <w:rPr>
                <w:sz w:val="20"/>
              </w:rPr>
            </w:pPr>
            <w:r>
              <w:rPr>
                <w:spacing w:val="-2"/>
                <w:sz w:val="20"/>
              </w:rPr>
              <w:t>observations</w:t>
            </w:r>
          </w:p>
        </w:tc>
        <w:tc>
          <w:tcPr>
            <w:tcW w:w="677" w:type="dxa"/>
          </w:tcPr>
          <w:p>
            <w:pPr>
              <w:pStyle w:val="TableParagraph"/>
              <w:spacing w:line="210" w:lineRule="exact"/>
              <w:ind w:left="66" w:right="4"/>
              <w:jc w:val="center"/>
              <w:rPr>
                <w:sz w:val="20"/>
              </w:rPr>
            </w:pPr>
            <w:r>
              <w:rPr>
                <w:spacing w:val="-10"/>
                <w:sz w:val="20"/>
              </w:rPr>
              <w:t>2</w:t>
            </w:r>
          </w:p>
        </w:tc>
        <w:tc>
          <w:tcPr>
            <w:tcW w:w="832" w:type="dxa"/>
          </w:tcPr>
          <w:p>
            <w:pPr>
              <w:pStyle w:val="TableParagraph"/>
              <w:spacing w:line="210" w:lineRule="exact"/>
              <w:ind w:left="110" w:right="119"/>
              <w:jc w:val="center"/>
              <w:rPr>
                <w:sz w:val="20"/>
              </w:rPr>
            </w:pPr>
            <w:r>
              <w:rPr>
                <w:spacing w:val="-2"/>
                <w:sz w:val="20"/>
              </w:rPr>
              <w:t>100.0</w:t>
            </w:r>
          </w:p>
        </w:tc>
        <w:tc>
          <w:tcPr>
            <w:tcW w:w="609" w:type="dxa"/>
          </w:tcPr>
          <w:p>
            <w:pPr>
              <w:pStyle w:val="TableParagraph"/>
              <w:spacing w:line="210" w:lineRule="exact"/>
              <w:ind w:right="12"/>
              <w:jc w:val="center"/>
              <w:rPr>
                <w:sz w:val="20"/>
              </w:rPr>
            </w:pPr>
            <w:r>
              <w:rPr>
                <w:spacing w:val="-10"/>
                <w:sz w:val="20"/>
              </w:rPr>
              <w:t>-</w:t>
            </w:r>
          </w:p>
        </w:tc>
        <w:tc>
          <w:tcPr>
            <w:tcW w:w="803" w:type="dxa"/>
          </w:tcPr>
          <w:p>
            <w:pPr>
              <w:pStyle w:val="TableParagraph"/>
              <w:spacing w:line="210" w:lineRule="exact"/>
              <w:ind w:left="20" w:right="7"/>
              <w:jc w:val="center"/>
              <w:rPr>
                <w:sz w:val="20"/>
              </w:rPr>
            </w:pPr>
            <w:r>
              <w:rPr>
                <w:spacing w:val="-10"/>
                <w:sz w:val="20"/>
              </w:rPr>
              <w:t>-</w:t>
            </w:r>
          </w:p>
        </w:tc>
        <w:tc>
          <w:tcPr>
            <w:tcW w:w="685" w:type="dxa"/>
          </w:tcPr>
          <w:p>
            <w:pPr>
              <w:pStyle w:val="TableParagraph"/>
              <w:spacing w:line="210" w:lineRule="exact"/>
              <w:ind w:left="59" w:right="91"/>
              <w:jc w:val="center"/>
              <w:rPr>
                <w:sz w:val="20"/>
              </w:rPr>
            </w:pPr>
            <w:r>
              <w:rPr>
                <w:spacing w:val="-10"/>
                <w:sz w:val="20"/>
              </w:rPr>
              <w:t>-</w:t>
            </w:r>
          </w:p>
        </w:tc>
        <w:tc>
          <w:tcPr>
            <w:tcW w:w="901" w:type="dxa"/>
          </w:tcPr>
          <w:p>
            <w:pPr>
              <w:pStyle w:val="TableParagraph"/>
              <w:spacing w:line="210" w:lineRule="exact"/>
              <w:ind w:left="27" w:right="6"/>
              <w:jc w:val="center"/>
              <w:rPr>
                <w:sz w:val="20"/>
              </w:rPr>
            </w:pPr>
            <w:r>
              <w:rPr>
                <w:spacing w:val="-10"/>
                <w:sz w:val="20"/>
              </w:rPr>
              <w:t>-</w:t>
            </w:r>
          </w:p>
        </w:tc>
        <w:tc>
          <w:tcPr>
            <w:tcW w:w="709" w:type="dxa"/>
          </w:tcPr>
          <w:p>
            <w:pPr>
              <w:pStyle w:val="TableParagraph"/>
              <w:spacing w:line="210" w:lineRule="exact"/>
              <w:ind w:left="63" w:right="20"/>
              <w:jc w:val="center"/>
              <w:rPr>
                <w:sz w:val="20"/>
              </w:rPr>
            </w:pPr>
            <w:r>
              <w:rPr>
                <w:spacing w:val="-10"/>
                <w:sz w:val="20"/>
              </w:rPr>
              <w:t>-</w:t>
            </w:r>
          </w:p>
        </w:tc>
        <w:tc>
          <w:tcPr>
            <w:tcW w:w="769" w:type="dxa"/>
          </w:tcPr>
          <w:p>
            <w:pPr>
              <w:pStyle w:val="TableParagraph"/>
              <w:spacing w:line="210" w:lineRule="exact"/>
              <w:ind w:left="11" w:right="6"/>
              <w:jc w:val="center"/>
              <w:rPr>
                <w:sz w:val="20"/>
              </w:rPr>
            </w:pPr>
            <w:r>
              <w:rPr>
                <w:spacing w:val="-10"/>
                <w:sz w:val="20"/>
              </w:rPr>
              <w:t>-</w:t>
            </w:r>
          </w:p>
        </w:tc>
        <w:tc>
          <w:tcPr>
            <w:tcW w:w="631" w:type="dxa"/>
          </w:tcPr>
          <w:p>
            <w:pPr>
              <w:pStyle w:val="TableParagraph"/>
              <w:spacing w:line="210" w:lineRule="exact"/>
              <w:ind w:left="33" w:right="8"/>
              <w:jc w:val="center"/>
              <w:rPr>
                <w:sz w:val="20"/>
              </w:rPr>
            </w:pPr>
            <w:r>
              <w:rPr>
                <w:spacing w:val="-10"/>
                <w:sz w:val="20"/>
              </w:rPr>
              <w:t>-</w:t>
            </w:r>
          </w:p>
        </w:tc>
        <w:tc>
          <w:tcPr>
            <w:tcW w:w="738" w:type="dxa"/>
          </w:tcPr>
          <w:p>
            <w:pPr>
              <w:pStyle w:val="TableParagraph"/>
              <w:spacing w:line="210" w:lineRule="exact"/>
              <w:ind w:left="84" w:right="7"/>
              <w:jc w:val="center"/>
              <w:rPr>
                <w:sz w:val="20"/>
              </w:rPr>
            </w:pPr>
            <w:r>
              <w:rPr>
                <w:spacing w:val="-10"/>
                <w:sz w:val="20"/>
              </w:rPr>
              <w:t>-</w:t>
            </w:r>
          </w:p>
        </w:tc>
        <w:tc>
          <w:tcPr>
            <w:tcW w:w="720" w:type="dxa"/>
          </w:tcPr>
          <w:p>
            <w:pPr>
              <w:pStyle w:val="TableParagraph"/>
              <w:spacing w:line="210" w:lineRule="exact"/>
              <w:ind w:left="102" w:right="36"/>
              <w:jc w:val="center"/>
              <w:rPr>
                <w:sz w:val="20"/>
              </w:rPr>
            </w:pPr>
            <w:r>
              <w:rPr>
                <w:spacing w:val="-10"/>
                <w:sz w:val="20"/>
              </w:rPr>
              <w:t>2</w:t>
            </w:r>
          </w:p>
        </w:tc>
        <w:tc>
          <w:tcPr>
            <w:tcW w:w="738" w:type="dxa"/>
            <w:tcBorders>
              <w:right w:val="single" w:sz="4" w:space="0" w:color="000000"/>
            </w:tcBorders>
          </w:tcPr>
          <w:p>
            <w:pPr>
              <w:pStyle w:val="TableParagraph"/>
              <w:spacing w:line="210" w:lineRule="exact"/>
              <w:ind w:left="62" w:right="14"/>
              <w:jc w:val="center"/>
              <w:rPr>
                <w:sz w:val="20"/>
              </w:rPr>
            </w:pPr>
            <w:r>
              <w:rPr>
                <w:spacing w:val="-5"/>
                <w:sz w:val="20"/>
              </w:rPr>
              <w:t>0.4</w:t>
            </w:r>
          </w:p>
        </w:tc>
      </w:tr>
      <w:tr>
        <w:trPr>
          <w:trHeight w:val="230" w:hRule="atLeast"/>
        </w:trPr>
        <w:tc>
          <w:tcPr>
            <w:tcW w:w="4146" w:type="dxa"/>
            <w:tcBorders>
              <w:left w:val="single" w:sz="4" w:space="0" w:color="000000"/>
            </w:tcBorders>
          </w:tcPr>
          <w:p>
            <w:pPr>
              <w:pStyle w:val="TableParagraph"/>
              <w:tabs>
                <w:tab w:pos="878" w:val="left" w:leader="none"/>
                <w:tab w:pos="1665" w:val="left" w:leader="none"/>
                <w:tab w:pos="2563" w:val="left" w:leader="none"/>
              </w:tabs>
              <w:spacing w:line="210" w:lineRule="exact"/>
              <w:ind w:right="100"/>
              <w:jc w:val="right"/>
              <w:rPr>
                <w:sz w:val="20"/>
              </w:rPr>
            </w:pPr>
            <w:r>
              <w:rPr>
                <w:spacing w:val="-2"/>
                <w:sz w:val="20"/>
              </w:rPr>
              <w:t>tools</w:t>
            </w:r>
            <w:r>
              <w:rPr>
                <w:sz w:val="20"/>
              </w:rPr>
              <w:tab/>
            </w:r>
            <w:r>
              <w:rPr>
                <w:spacing w:val="-5"/>
                <w:sz w:val="20"/>
              </w:rPr>
              <w:t>and</w:t>
            </w:r>
            <w:r>
              <w:rPr>
                <w:sz w:val="20"/>
              </w:rPr>
              <w:tab/>
            </w:r>
            <w:r>
              <w:rPr>
                <w:spacing w:val="-4"/>
                <w:sz w:val="20"/>
              </w:rPr>
              <w:t>even</w:t>
            </w:r>
            <w:r>
              <w:rPr>
                <w:sz w:val="20"/>
              </w:rPr>
              <w:tab/>
            </w:r>
            <w:r>
              <w:rPr>
                <w:spacing w:val="-2"/>
                <w:sz w:val="20"/>
              </w:rPr>
              <w:t>seating</w:t>
            </w:r>
          </w:p>
        </w:tc>
        <w:tc>
          <w:tcPr>
            <w:tcW w:w="1795" w:type="dxa"/>
          </w:tcPr>
          <w:p>
            <w:pPr>
              <w:pStyle w:val="TableParagraph"/>
              <w:spacing w:line="210" w:lineRule="exact"/>
              <w:ind w:left="111"/>
              <w:rPr>
                <w:sz w:val="20"/>
              </w:rPr>
            </w:pPr>
            <w:r>
              <w:rPr>
                <w:spacing w:val="-2"/>
                <w:sz w:val="20"/>
              </w:rPr>
              <w:t>Students</w:t>
            </w:r>
          </w:p>
        </w:tc>
        <w:tc>
          <w:tcPr>
            <w:tcW w:w="677" w:type="dxa"/>
          </w:tcPr>
          <w:p>
            <w:pPr>
              <w:pStyle w:val="TableParagraph"/>
              <w:spacing w:line="210" w:lineRule="exact"/>
              <w:ind w:left="62" w:right="10"/>
              <w:jc w:val="center"/>
              <w:rPr>
                <w:sz w:val="20"/>
              </w:rPr>
            </w:pPr>
            <w:r>
              <w:rPr>
                <w:spacing w:val="-5"/>
                <w:sz w:val="20"/>
              </w:rPr>
              <w:t>103</w:t>
            </w:r>
          </w:p>
        </w:tc>
        <w:tc>
          <w:tcPr>
            <w:tcW w:w="832" w:type="dxa"/>
          </w:tcPr>
          <w:p>
            <w:pPr>
              <w:pStyle w:val="TableParagraph"/>
              <w:spacing w:line="210" w:lineRule="exact"/>
              <w:ind w:left="115" w:right="119"/>
              <w:jc w:val="center"/>
              <w:rPr>
                <w:sz w:val="20"/>
              </w:rPr>
            </w:pPr>
            <w:r>
              <w:rPr>
                <w:spacing w:val="-4"/>
                <w:sz w:val="20"/>
              </w:rPr>
              <w:t>43.8</w:t>
            </w:r>
          </w:p>
        </w:tc>
        <w:tc>
          <w:tcPr>
            <w:tcW w:w="609" w:type="dxa"/>
          </w:tcPr>
          <w:p>
            <w:pPr>
              <w:pStyle w:val="TableParagraph"/>
              <w:spacing w:line="210" w:lineRule="exact"/>
              <w:ind w:left="2" w:right="12"/>
              <w:jc w:val="center"/>
              <w:rPr>
                <w:sz w:val="20"/>
              </w:rPr>
            </w:pPr>
            <w:r>
              <w:rPr>
                <w:spacing w:val="-5"/>
                <w:sz w:val="20"/>
              </w:rPr>
              <w:t>93</w:t>
            </w:r>
          </w:p>
        </w:tc>
        <w:tc>
          <w:tcPr>
            <w:tcW w:w="803" w:type="dxa"/>
          </w:tcPr>
          <w:p>
            <w:pPr>
              <w:pStyle w:val="TableParagraph"/>
              <w:spacing w:line="210" w:lineRule="exact"/>
              <w:ind w:left="20"/>
              <w:jc w:val="center"/>
              <w:rPr>
                <w:sz w:val="20"/>
              </w:rPr>
            </w:pPr>
            <w:r>
              <w:rPr>
                <w:spacing w:val="-4"/>
                <w:sz w:val="20"/>
              </w:rPr>
              <w:t>39.6</w:t>
            </w:r>
          </w:p>
        </w:tc>
        <w:tc>
          <w:tcPr>
            <w:tcW w:w="685" w:type="dxa"/>
          </w:tcPr>
          <w:p>
            <w:pPr>
              <w:pStyle w:val="TableParagraph"/>
              <w:spacing w:line="210" w:lineRule="exact"/>
              <w:ind w:left="59" w:right="89"/>
              <w:jc w:val="center"/>
              <w:rPr>
                <w:sz w:val="20"/>
              </w:rPr>
            </w:pPr>
            <w:r>
              <w:rPr>
                <w:spacing w:val="-5"/>
                <w:sz w:val="20"/>
              </w:rPr>
              <w:t>29</w:t>
            </w:r>
          </w:p>
        </w:tc>
        <w:tc>
          <w:tcPr>
            <w:tcW w:w="901" w:type="dxa"/>
          </w:tcPr>
          <w:p>
            <w:pPr>
              <w:pStyle w:val="TableParagraph"/>
              <w:spacing w:line="210" w:lineRule="exact"/>
              <w:ind w:left="27"/>
              <w:jc w:val="center"/>
              <w:rPr>
                <w:sz w:val="20"/>
              </w:rPr>
            </w:pPr>
            <w:r>
              <w:rPr>
                <w:spacing w:val="-4"/>
                <w:sz w:val="20"/>
              </w:rPr>
              <w:t>12.3</w:t>
            </w:r>
          </w:p>
        </w:tc>
        <w:tc>
          <w:tcPr>
            <w:tcW w:w="709" w:type="dxa"/>
          </w:tcPr>
          <w:p>
            <w:pPr>
              <w:pStyle w:val="TableParagraph"/>
              <w:spacing w:line="210" w:lineRule="exact"/>
              <w:ind w:left="69" w:right="20"/>
              <w:jc w:val="center"/>
              <w:rPr>
                <w:sz w:val="20"/>
              </w:rPr>
            </w:pPr>
            <w:r>
              <w:rPr>
                <w:spacing w:val="-10"/>
                <w:sz w:val="20"/>
              </w:rPr>
              <w:t>7</w:t>
            </w:r>
          </w:p>
        </w:tc>
        <w:tc>
          <w:tcPr>
            <w:tcW w:w="769" w:type="dxa"/>
          </w:tcPr>
          <w:p>
            <w:pPr>
              <w:pStyle w:val="TableParagraph"/>
              <w:spacing w:line="210" w:lineRule="exact"/>
              <w:ind w:left="11" w:right="5"/>
              <w:jc w:val="center"/>
              <w:rPr>
                <w:sz w:val="20"/>
              </w:rPr>
            </w:pPr>
            <w:r>
              <w:rPr>
                <w:spacing w:val="-5"/>
                <w:sz w:val="20"/>
              </w:rPr>
              <w:t>3.0</w:t>
            </w:r>
          </w:p>
        </w:tc>
        <w:tc>
          <w:tcPr>
            <w:tcW w:w="631" w:type="dxa"/>
          </w:tcPr>
          <w:p>
            <w:pPr>
              <w:pStyle w:val="TableParagraph"/>
              <w:spacing w:line="210" w:lineRule="exact"/>
              <w:ind w:left="33" w:right="1"/>
              <w:jc w:val="center"/>
              <w:rPr>
                <w:sz w:val="20"/>
              </w:rPr>
            </w:pPr>
            <w:r>
              <w:rPr>
                <w:spacing w:val="-10"/>
                <w:sz w:val="20"/>
              </w:rPr>
              <w:t>3</w:t>
            </w:r>
          </w:p>
        </w:tc>
        <w:tc>
          <w:tcPr>
            <w:tcW w:w="738" w:type="dxa"/>
          </w:tcPr>
          <w:p>
            <w:pPr>
              <w:pStyle w:val="TableParagraph"/>
              <w:spacing w:line="210" w:lineRule="exact"/>
              <w:ind w:left="84" w:right="5"/>
              <w:jc w:val="center"/>
              <w:rPr>
                <w:sz w:val="20"/>
              </w:rPr>
            </w:pPr>
            <w:r>
              <w:rPr>
                <w:spacing w:val="-5"/>
                <w:sz w:val="20"/>
              </w:rPr>
              <w:t>1.3</w:t>
            </w:r>
          </w:p>
        </w:tc>
        <w:tc>
          <w:tcPr>
            <w:tcW w:w="720" w:type="dxa"/>
          </w:tcPr>
          <w:p>
            <w:pPr>
              <w:pStyle w:val="TableParagraph"/>
              <w:spacing w:line="210" w:lineRule="exact"/>
              <w:ind w:left="92" w:right="36"/>
              <w:jc w:val="center"/>
              <w:rPr>
                <w:sz w:val="20"/>
              </w:rPr>
            </w:pPr>
            <w:r>
              <w:rPr>
                <w:spacing w:val="-5"/>
                <w:sz w:val="20"/>
              </w:rPr>
              <w:t>235</w:t>
            </w:r>
          </w:p>
        </w:tc>
        <w:tc>
          <w:tcPr>
            <w:tcW w:w="738" w:type="dxa"/>
            <w:tcBorders>
              <w:right w:val="single" w:sz="4" w:space="0" w:color="000000"/>
            </w:tcBorders>
          </w:tcPr>
          <w:p>
            <w:pPr>
              <w:pStyle w:val="TableParagraph"/>
              <w:spacing w:line="210" w:lineRule="exact"/>
              <w:ind w:left="67" w:right="14"/>
              <w:jc w:val="center"/>
              <w:rPr>
                <w:sz w:val="20"/>
              </w:rPr>
            </w:pPr>
            <w:r>
              <w:rPr>
                <w:spacing w:val="-4"/>
                <w:sz w:val="20"/>
              </w:rPr>
              <w:t>50.8</w:t>
            </w:r>
          </w:p>
        </w:tc>
      </w:tr>
      <w:tr>
        <w:trPr>
          <w:trHeight w:val="230" w:hRule="atLeast"/>
        </w:trPr>
        <w:tc>
          <w:tcPr>
            <w:tcW w:w="4146" w:type="dxa"/>
            <w:tcBorders>
              <w:left w:val="single" w:sz="4" w:space="0" w:color="000000"/>
            </w:tcBorders>
          </w:tcPr>
          <w:p>
            <w:pPr>
              <w:pStyle w:val="TableParagraph"/>
              <w:spacing w:line="210" w:lineRule="exact"/>
              <w:ind w:right="104"/>
              <w:jc w:val="right"/>
              <w:rPr>
                <w:sz w:val="20"/>
              </w:rPr>
            </w:pPr>
            <w:r>
              <w:rPr>
                <w:sz w:val="20"/>
              </w:rPr>
              <w:t>arrangements</w:t>
            </w:r>
            <w:r>
              <w:rPr>
                <w:spacing w:val="77"/>
                <w:w w:val="150"/>
                <w:sz w:val="20"/>
              </w:rPr>
              <w:t> </w:t>
            </w:r>
            <w:r>
              <w:rPr>
                <w:sz w:val="20"/>
              </w:rPr>
              <w:t>are</w:t>
            </w:r>
            <w:r>
              <w:rPr>
                <w:spacing w:val="26"/>
                <w:sz w:val="20"/>
              </w:rPr>
              <w:t>  </w:t>
            </w:r>
            <w:r>
              <w:rPr>
                <w:sz w:val="20"/>
              </w:rPr>
              <w:t>inadequate</w:t>
            </w:r>
            <w:r>
              <w:rPr>
                <w:spacing w:val="27"/>
                <w:sz w:val="20"/>
              </w:rPr>
              <w:t>  </w:t>
            </w:r>
            <w:r>
              <w:rPr>
                <w:spacing w:val="-5"/>
                <w:sz w:val="20"/>
              </w:rPr>
              <w:t>to</w:t>
            </w:r>
          </w:p>
        </w:tc>
        <w:tc>
          <w:tcPr>
            <w:tcW w:w="1795" w:type="dxa"/>
          </w:tcPr>
          <w:p>
            <w:pPr>
              <w:pStyle w:val="TableParagraph"/>
              <w:spacing w:line="210" w:lineRule="exact"/>
              <w:ind w:left="111"/>
              <w:rPr>
                <w:sz w:val="20"/>
              </w:rPr>
            </w:pPr>
            <w:r>
              <w:rPr>
                <w:sz w:val="20"/>
              </w:rPr>
              <w:t>Service</w:t>
            </w:r>
            <w:r>
              <w:rPr>
                <w:spacing w:val="-9"/>
                <w:sz w:val="20"/>
              </w:rPr>
              <w:t> </w:t>
            </w:r>
            <w:r>
              <w:rPr>
                <w:spacing w:val="-2"/>
                <w:sz w:val="20"/>
              </w:rPr>
              <w:t>Staff</w:t>
            </w:r>
          </w:p>
        </w:tc>
        <w:tc>
          <w:tcPr>
            <w:tcW w:w="677" w:type="dxa"/>
          </w:tcPr>
          <w:p>
            <w:pPr>
              <w:pStyle w:val="TableParagraph"/>
              <w:spacing w:line="210" w:lineRule="exact"/>
              <w:ind w:left="62" w:right="5"/>
              <w:jc w:val="center"/>
              <w:rPr>
                <w:sz w:val="20"/>
              </w:rPr>
            </w:pPr>
            <w:r>
              <w:rPr>
                <w:spacing w:val="-5"/>
                <w:sz w:val="20"/>
              </w:rPr>
              <w:t>72</w:t>
            </w:r>
          </w:p>
        </w:tc>
        <w:tc>
          <w:tcPr>
            <w:tcW w:w="832" w:type="dxa"/>
          </w:tcPr>
          <w:p>
            <w:pPr>
              <w:pStyle w:val="TableParagraph"/>
              <w:spacing w:line="210" w:lineRule="exact"/>
              <w:ind w:left="115" w:right="119"/>
              <w:jc w:val="center"/>
              <w:rPr>
                <w:sz w:val="20"/>
              </w:rPr>
            </w:pPr>
            <w:r>
              <w:rPr>
                <w:spacing w:val="-4"/>
                <w:sz w:val="20"/>
              </w:rPr>
              <w:t>35.5</w:t>
            </w:r>
          </w:p>
        </w:tc>
        <w:tc>
          <w:tcPr>
            <w:tcW w:w="609" w:type="dxa"/>
          </w:tcPr>
          <w:p>
            <w:pPr>
              <w:pStyle w:val="TableParagraph"/>
              <w:spacing w:line="210" w:lineRule="exact"/>
              <w:ind w:left="2" w:right="12"/>
              <w:jc w:val="center"/>
              <w:rPr>
                <w:sz w:val="20"/>
              </w:rPr>
            </w:pPr>
            <w:r>
              <w:rPr>
                <w:spacing w:val="-5"/>
                <w:sz w:val="20"/>
              </w:rPr>
              <w:t>95</w:t>
            </w:r>
          </w:p>
        </w:tc>
        <w:tc>
          <w:tcPr>
            <w:tcW w:w="803" w:type="dxa"/>
          </w:tcPr>
          <w:p>
            <w:pPr>
              <w:pStyle w:val="TableParagraph"/>
              <w:spacing w:line="210" w:lineRule="exact"/>
              <w:ind w:left="20"/>
              <w:jc w:val="center"/>
              <w:rPr>
                <w:sz w:val="20"/>
              </w:rPr>
            </w:pPr>
            <w:r>
              <w:rPr>
                <w:spacing w:val="-4"/>
                <w:sz w:val="20"/>
              </w:rPr>
              <w:t>46.8</w:t>
            </w:r>
          </w:p>
        </w:tc>
        <w:tc>
          <w:tcPr>
            <w:tcW w:w="685" w:type="dxa"/>
          </w:tcPr>
          <w:p>
            <w:pPr>
              <w:pStyle w:val="TableParagraph"/>
              <w:spacing w:line="210" w:lineRule="exact"/>
              <w:ind w:left="59" w:right="89"/>
              <w:jc w:val="center"/>
              <w:rPr>
                <w:sz w:val="20"/>
              </w:rPr>
            </w:pPr>
            <w:r>
              <w:rPr>
                <w:spacing w:val="-5"/>
                <w:sz w:val="20"/>
              </w:rPr>
              <w:t>20</w:t>
            </w:r>
          </w:p>
        </w:tc>
        <w:tc>
          <w:tcPr>
            <w:tcW w:w="901" w:type="dxa"/>
          </w:tcPr>
          <w:p>
            <w:pPr>
              <w:pStyle w:val="TableParagraph"/>
              <w:spacing w:line="210" w:lineRule="exact"/>
              <w:ind w:left="27" w:right="5"/>
              <w:jc w:val="center"/>
              <w:rPr>
                <w:sz w:val="20"/>
              </w:rPr>
            </w:pPr>
            <w:r>
              <w:rPr>
                <w:spacing w:val="-5"/>
                <w:sz w:val="20"/>
              </w:rPr>
              <w:t>9.9</w:t>
            </w:r>
          </w:p>
        </w:tc>
        <w:tc>
          <w:tcPr>
            <w:tcW w:w="709" w:type="dxa"/>
          </w:tcPr>
          <w:p>
            <w:pPr>
              <w:pStyle w:val="TableParagraph"/>
              <w:spacing w:line="210" w:lineRule="exact"/>
              <w:ind w:left="65" w:right="20"/>
              <w:jc w:val="center"/>
              <w:rPr>
                <w:sz w:val="20"/>
              </w:rPr>
            </w:pPr>
            <w:r>
              <w:rPr>
                <w:spacing w:val="-5"/>
                <w:sz w:val="20"/>
              </w:rPr>
              <w:t>13</w:t>
            </w:r>
          </w:p>
        </w:tc>
        <w:tc>
          <w:tcPr>
            <w:tcW w:w="769" w:type="dxa"/>
          </w:tcPr>
          <w:p>
            <w:pPr>
              <w:pStyle w:val="TableParagraph"/>
              <w:spacing w:line="210" w:lineRule="exact"/>
              <w:ind w:left="11" w:right="5"/>
              <w:jc w:val="center"/>
              <w:rPr>
                <w:sz w:val="20"/>
              </w:rPr>
            </w:pPr>
            <w:r>
              <w:rPr>
                <w:spacing w:val="-5"/>
                <w:sz w:val="20"/>
              </w:rPr>
              <w:t>6.4</w:t>
            </w:r>
          </w:p>
        </w:tc>
        <w:tc>
          <w:tcPr>
            <w:tcW w:w="631" w:type="dxa"/>
          </w:tcPr>
          <w:p>
            <w:pPr>
              <w:pStyle w:val="TableParagraph"/>
              <w:spacing w:line="210" w:lineRule="exact"/>
              <w:ind w:left="33" w:right="1"/>
              <w:jc w:val="center"/>
              <w:rPr>
                <w:sz w:val="20"/>
              </w:rPr>
            </w:pPr>
            <w:r>
              <w:rPr>
                <w:spacing w:val="-10"/>
                <w:sz w:val="20"/>
              </w:rPr>
              <w:t>3</w:t>
            </w:r>
          </w:p>
        </w:tc>
        <w:tc>
          <w:tcPr>
            <w:tcW w:w="738" w:type="dxa"/>
          </w:tcPr>
          <w:p>
            <w:pPr>
              <w:pStyle w:val="TableParagraph"/>
              <w:spacing w:line="210" w:lineRule="exact"/>
              <w:ind w:left="84" w:right="5"/>
              <w:jc w:val="center"/>
              <w:rPr>
                <w:sz w:val="20"/>
              </w:rPr>
            </w:pPr>
            <w:r>
              <w:rPr>
                <w:spacing w:val="-5"/>
                <w:sz w:val="20"/>
              </w:rPr>
              <w:t>1.5</w:t>
            </w:r>
          </w:p>
        </w:tc>
        <w:tc>
          <w:tcPr>
            <w:tcW w:w="720" w:type="dxa"/>
          </w:tcPr>
          <w:p>
            <w:pPr>
              <w:pStyle w:val="TableParagraph"/>
              <w:spacing w:line="210" w:lineRule="exact"/>
              <w:ind w:left="92" w:right="36"/>
              <w:jc w:val="center"/>
              <w:rPr>
                <w:sz w:val="20"/>
              </w:rPr>
            </w:pPr>
            <w:r>
              <w:rPr>
                <w:spacing w:val="-5"/>
                <w:sz w:val="20"/>
              </w:rPr>
              <w:t>203</w:t>
            </w:r>
          </w:p>
        </w:tc>
        <w:tc>
          <w:tcPr>
            <w:tcW w:w="738" w:type="dxa"/>
            <w:tcBorders>
              <w:right w:val="single" w:sz="4" w:space="0" w:color="000000"/>
            </w:tcBorders>
          </w:tcPr>
          <w:p>
            <w:pPr>
              <w:pStyle w:val="TableParagraph"/>
              <w:spacing w:line="210" w:lineRule="exact"/>
              <w:ind w:left="67" w:right="14"/>
              <w:jc w:val="center"/>
              <w:rPr>
                <w:sz w:val="20"/>
              </w:rPr>
            </w:pPr>
            <w:r>
              <w:rPr>
                <w:spacing w:val="-4"/>
                <w:sz w:val="20"/>
              </w:rPr>
              <w:t>43.8</w:t>
            </w:r>
          </w:p>
        </w:tc>
      </w:tr>
      <w:tr>
        <w:trPr>
          <w:trHeight w:val="460" w:hRule="atLeast"/>
        </w:trPr>
        <w:tc>
          <w:tcPr>
            <w:tcW w:w="4146" w:type="dxa"/>
            <w:tcBorders>
              <w:left w:val="single" w:sz="4" w:space="0" w:color="000000"/>
            </w:tcBorders>
          </w:tcPr>
          <w:p>
            <w:pPr>
              <w:pStyle w:val="TableParagraph"/>
              <w:tabs>
                <w:tab w:pos="1962" w:val="left" w:leader="none"/>
                <w:tab w:pos="3321" w:val="left" w:leader="none"/>
              </w:tabs>
              <w:spacing w:line="230" w:lineRule="exact"/>
              <w:ind w:left="830" w:right="100"/>
              <w:rPr>
                <w:sz w:val="20"/>
              </w:rPr>
            </w:pPr>
            <w:r>
              <w:rPr>
                <w:spacing w:val="-2"/>
                <w:sz w:val="20"/>
              </w:rPr>
              <w:t>facilitate</w:t>
            </w:r>
            <w:r>
              <w:rPr>
                <w:sz w:val="20"/>
              </w:rPr>
              <w:tab/>
            </w:r>
            <w:r>
              <w:rPr>
                <w:spacing w:val="-2"/>
                <w:sz w:val="20"/>
              </w:rPr>
              <w:t>convenient</w:t>
            </w:r>
            <w:r>
              <w:rPr>
                <w:sz w:val="20"/>
              </w:rPr>
              <w:tab/>
            </w:r>
            <w:r>
              <w:rPr>
                <w:spacing w:val="-2"/>
                <w:sz w:val="20"/>
              </w:rPr>
              <w:t>learning </w:t>
            </w:r>
            <w:r>
              <w:rPr>
                <w:sz w:val="20"/>
              </w:rPr>
              <w:t>environment for students.</w:t>
            </w:r>
          </w:p>
        </w:tc>
        <w:tc>
          <w:tcPr>
            <w:tcW w:w="1795" w:type="dxa"/>
          </w:tcPr>
          <w:p>
            <w:pPr>
              <w:pStyle w:val="TableParagraph"/>
              <w:spacing w:before="7"/>
              <w:ind w:left="111"/>
              <w:rPr>
                <w:sz w:val="20"/>
              </w:rPr>
            </w:pPr>
            <w:r>
              <w:rPr>
                <w:sz w:val="20"/>
              </w:rPr>
              <w:t>Top</w:t>
            </w:r>
            <w:r>
              <w:rPr>
                <w:spacing w:val="-1"/>
                <w:sz w:val="20"/>
              </w:rPr>
              <w:t> </w:t>
            </w:r>
            <w:r>
              <w:rPr>
                <w:spacing w:val="-2"/>
                <w:sz w:val="20"/>
              </w:rPr>
              <w:t>Management</w:t>
            </w:r>
          </w:p>
        </w:tc>
        <w:tc>
          <w:tcPr>
            <w:tcW w:w="677" w:type="dxa"/>
          </w:tcPr>
          <w:p>
            <w:pPr>
              <w:pStyle w:val="TableParagraph"/>
              <w:spacing w:before="7"/>
              <w:ind w:left="62" w:right="5"/>
              <w:jc w:val="center"/>
              <w:rPr>
                <w:sz w:val="20"/>
              </w:rPr>
            </w:pPr>
            <w:r>
              <w:rPr>
                <w:spacing w:val="-5"/>
                <w:sz w:val="20"/>
              </w:rPr>
              <w:t>11</w:t>
            </w:r>
          </w:p>
        </w:tc>
        <w:tc>
          <w:tcPr>
            <w:tcW w:w="832" w:type="dxa"/>
          </w:tcPr>
          <w:p>
            <w:pPr>
              <w:pStyle w:val="TableParagraph"/>
              <w:spacing w:before="7"/>
              <w:ind w:left="115" w:right="119"/>
              <w:jc w:val="center"/>
              <w:rPr>
                <w:sz w:val="20"/>
              </w:rPr>
            </w:pPr>
            <w:r>
              <w:rPr>
                <w:spacing w:val="-4"/>
                <w:sz w:val="20"/>
              </w:rPr>
              <w:t>47.8</w:t>
            </w:r>
          </w:p>
        </w:tc>
        <w:tc>
          <w:tcPr>
            <w:tcW w:w="609" w:type="dxa"/>
          </w:tcPr>
          <w:p>
            <w:pPr>
              <w:pStyle w:val="TableParagraph"/>
              <w:spacing w:before="7"/>
              <w:ind w:left="2" w:right="12"/>
              <w:jc w:val="center"/>
              <w:rPr>
                <w:sz w:val="20"/>
              </w:rPr>
            </w:pPr>
            <w:r>
              <w:rPr>
                <w:spacing w:val="-5"/>
                <w:sz w:val="20"/>
              </w:rPr>
              <w:t>12</w:t>
            </w:r>
          </w:p>
        </w:tc>
        <w:tc>
          <w:tcPr>
            <w:tcW w:w="803" w:type="dxa"/>
          </w:tcPr>
          <w:p>
            <w:pPr>
              <w:pStyle w:val="TableParagraph"/>
              <w:spacing w:before="7"/>
              <w:ind w:left="20"/>
              <w:jc w:val="center"/>
              <w:rPr>
                <w:sz w:val="20"/>
              </w:rPr>
            </w:pPr>
            <w:r>
              <w:rPr>
                <w:spacing w:val="-4"/>
                <w:sz w:val="20"/>
              </w:rPr>
              <w:t>52.2</w:t>
            </w:r>
          </w:p>
        </w:tc>
        <w:tc>
          <w:tcPr>
            <w:tcW w:w="685" w:type="dxa"/>
          </w:tcPr>
          <w:p>
            <w:pPr>
              <w:pStyle w:val="TableParagraph"/>
              <w:spacing w:before="7"/>
              <w:ind w:left="59" w:right="91"/>
              <w:jc w:val="center"/>
              <w:rPr>
                <w:sz w:val="20"/>
              </w:rPr>
            </w:pPr>
            <w:r>
              <w:rPr>
                <w:spacing w:val="-10"/>
                <w:sz w:val="20"/>
              </w:rPr>
              <w:t>-</w:t>
            </w:r>
          </w:p>
        </w:tc>
        <w:tc>
          <w:tcPr>
            <w:tcW w:w="901" w:type="dxa"/>
          </w:tcPr>
          <w:p>
            <w:pPr>
              <w:pStyle w:val="TableParagraph"/>
              <w:spacing w:before="7"/>
              <w:ind w:left="27" w:right="6"/>
              <w:jc w:val="center"/>
              <w:rPr>
                <w:sz w:val="20"/>
              </w:rPr>
            </w:pPr>
            <w:r>
              <w:rPr>
                <w:spacing w:val="-10"/>
                <w:sz w:val="20"/>
              </w:rPr>
              <w:t>-</w:t>
            </w:r>
          </w:p>
        </w:tc>
        <w:tc>
          <w:tcPr>
            <w:tcW w:w="709" w:type="dxa"/>
          </w:tcPr>
          <w:p>
            <w:pPr>
              <w:pStyle w:val="TableParagraph"/>
              <w:spacing w:before="7"/>
              <w:ind w:left="63" w:right="20"/>
              <w:jc w:val="center"/>
              <w:rPr>
                <w:sz w:val="20"/>
              </w:rPr>
            </w:pPr>
            <w:r>
              <w:rPr>
                <w:spacing w:val="-10"/>
                <w:sz w:val="20"/>
              </w:rPr>
              <w:t>-</w:t>
            </w:r>
          </w:p>
        </w:tc>
        <w:tc>
          <w:tcPr>
            <w:tcW w:w="769" w:type="dxa"/>
          </w:tcPr>
          <w:p>
            <w:pPr>
              <w:pStyle w:val="TableParagraph"/>
              <w:spacing w:before="7"/>
              <w:ind w:left="11" w:right="6"/>
              <w:jc w:val="center"/>
              <w:rPr>
                <w:sz w:val="20"/>
              </w:rPr>
            </w:pPr>
            <w:r>
              <w:rPr>
                <w:spacing w:val="-10"/>
                <w:sz w:val="20"/>
              </w:rPr>
              <w:t>-</w:t>
            </w:r>
          </w:p>
        </w:tc>
        <w:tc>
          <w:tcPr>
            <w:tcW w:w="631" w:type="dxa"/>
          </w:tcPr>
          <w:p>
            <w:pPr>
              <w:pStyle w:val="TableParagraph"/>
              <w:spacing w:before="7"/>
              <w:ind w:left="33" w:right="8"/>
              <w:jc w:val="center"/>
              <w:rPr>
                <w:sz w:val="20"/>
              </w:rPr>
            </w:pPr>
            <w:r>
              <w:rPr>
                <w:spacing w:val="-10"/>
                <w:sz w:val="20"/>
              </w:rPr>
              <w:t>-</w:t>
            </w:r>
          </w:p>
        </w:tc>
        <w:tc>
          <w:tcPr>
            <w:tcW w:w="738" w:type="dxa"/>
          </w:tcPr>
          <w:p>
            <w:pPr>
              <w:pStyle w:val="TableParagraph"/>
              <w:spacing w:before="7"/>
              <w:ind w:left="84" w:right="7"/>
              <w:jc w:val="center"/>
              <w:rPr>
                <w:sz w:val="20"/>
              </w:rPr>
            </w:pPr>
            <w:r>
              <w:rPr>
                <w:spacing w:val="-10"/>
                <w:sz w:val="20"/>
              </w:rPr>
              <w:t>-</w:t>
            </w:r>
          </w:p>
        </w:tc>
        <w:tc>
          <w:tcPr>
            <w:tcW w:w="720" w:type="dxa"/>
          </w:tcPr>
          <w:p>
            <w:pPr>
              <w:pStyle w:val="TableParagraph"/>
              <w:spacing w:before="7"/>
              <w:ind w:left="97" w:right="36"/>
              <w:jc w:val="center"/>
              <w:rPr>
                <w:sz w:val="20"/>
              </w:rPr>
            </w:pPr>
            <w:r>
              <w:rPr>
                <w:spacing w:val="-5"/>
                <w:sz w:val="20"/>
              </w:rPr>
              <w:t>23</w:t>
            </w:r>
          </w:p>
        </w:tc>
        <w:tc>
          <w:tcPr>
            <w:tcW w:w="738" w:type="dxa"/>
            <w:tcBorders>
              <w:right w:val="single" w:sz="4" w:space="0" w:color="000000"/>
            </w:tcBorders>
          </w:tcPr>
          <w:p>
            <w:pPr>
              <w:pStyle w:val="TableParagraph"/>
              <w:spacing w:before="7"/>
              <w:ind w:left="62" w:right="14"/>
              <w:jc w:val="center"/>
              <w:rPr>
                <w:sz w:val="20"/>
              </w:rPr>
            </w:pPr>
            <w:r>
              <w:rPr>
                <w:spacing w:val="-5"/>
                <w:sz w:val="20"/>
              </w:rPr>
              <w:t>5.0</w:t>
            </w:r>
          </w:p>
        </w:tc>
      </w:tr>
      <w:tr>
        <w:trPr>
          <w:trHeight w:val="230" w:hRule="atLeast"/>
        </w:trPr>
        <w:tc>
          <w:tcPr>
            <w:tcW w:w="4146" w:type="dxa"/>
            <w:tcBorders>
              <w:left w:val="single" w:sz="4" w:space="0" w:color="000000"/>
            </w:tcBorders>
          </w:tcPr>
          <w:p>
            <w:pPr>
              <w:pStyle w:val="TableParagraph"/>
              <w:tabs>
                <w:tab w:pos="609" w:val="left" w:leader="none"/>
              </w:tabs>
              <w:spacing w:line="210" w:lineRule="exact"/>
              <w:ind w:right="101"/>
              <w:jc w:val="right"/>
              <w:rPr>
                <w:sz w:val="20"/>
              </w:rPr>
            </w:pPr>
            <w:r>
              <w:rPr>
                <w:spacing w:val="-5"/>
                <w:sz w:val="20"/>
              </w:rPr>
              <w:t>79.</w:t>
            </w:r>
            <w:r>
              <w:rPr>
                <w:sz w:val="20"/>
              </w:rPr>
              <w:tab/>
              <w:t>Inmost</w:t>
            </w:r>
            <w:r>
              <w:rPr>
                <w:spacing w:val="-3"/>
                <w:sz w:val="20"/>
              </w:rPr>
              <w:t> </w:t>
            </w:r>
            <w:r>
              <w:rPr>
                <w:sz w:val="20"/>
              </w:rPr>
              <w:t>cases</w:t>
            </w:r>
            <w:r>
              <w:rPr>
                <w:spacing w:val="-8"/>
                <w:sz w:val="20"/>
              </w:rPr>
              <w:t> </w:t>
            </w:r>
            <w:r>
              <w:rPr>
                <w:sz w:val="20"/>
              </w:rPr>
              <w:t>students</w:t>
            </w:r>
            <w:r>
              <w:rPr>
                <w:spacing w:val="-8"/>
                <w:sz w:val="20"/>
              </w:rPr>
              <w:t> </w:t>
            </w:r>
            <w:r>
              <w:rPr>
                <w:sz w:val="20"/>
              </w:rPr>
              <w:t>either</w:t>
            </w:r>
            <w:r>
              <w:rPr>
                <w:spacing w:val="-3"/>
                <w:sz w:val="20"/>
              </w:rPr>
              <w:t> </w:t>
            </w:r>
            <w:r>
              <w:rPr>
                <w:sz w:val="20"/>
              </w:rPr>
              <w:t>shift</w:t>
            </w:r>
            <w:r>
              <w:rPr>
                <w:spacing w:val="-7"/>
                <w:sz w:val="20"/>
              </w:rPr>
              <w:t> </w:t>
            </w:r>
            <w:r>
              <w:rPr>
                <w:spacing w:val="-5"/>
                <w:sz w:val="20"/>
              </w:rPr>
              <w:t>or</w:t>
            </w:r>
          </w:p>
        </w:tc>
        <w:tc>
          <w:tcPr>
            <w:tcW w:w="1795" w:type="dxa"/>
          </w:tcPr>
          <w:p>
            <w:pPr>
              <w:pStyle w:val="TableParagraph"/>
              <w:spacing w:line="210" w:lineRule="exact"/>
              <w:ind w:left="111"/>
              <w:rPr>
                <w:sz w:val="20"/>
              </w:rPr>
            </w:pPr>
            <w:r>
              <w:rPr>
                <w:sz w:val="20"/>
              </w:rPr>
              <w:t>No.</w:t>
            </w:r>
            <w:r>
              <w:rPr>
                <w:spacing w:val="-5"/>
                <w:sz w:val="20"/>
              </w:rPr>
              <w:t> </w:t>
            </w:r>
            <w:r>
              <w:rPr>
                <w:sz w:val="20"/>
              </w:rPr>
              <w:t>of</w:t>
            </w:r>
            <w:r>
              <w:rPr>
                <w:spacing w:val="-2"/>
                <w:sz w:val="20"/>
              </w:rPr>
              <w:t> missing</w:t>
            </w:r>
          </w:p>
        </w:tc>
        <w:tc>
          <w:tcPr>
            <w:tcW w:w="677" w:type="dxa"/>
          </w:tcPr>
          <w:p>
            <w:pPr>
              <w:pStyle w:val="TableParagraph"/>
              <w:rPr>
                <w:rFonts w:ascii="Times New Roman"/>
                <w:sz w:val="16"/>
              </w:rPr>
            </w:pPr>
          </w:p>
        </w:tc>
        <w:tc>
          <w:tcPr>
            <w:tcW w:w="832" w:type="dxa"/>
          </w:tcPr>
          <w:p>
            <w:pPr>
              <w:pStyle w:val="TableParagraph"/>
              <w:rPr>
                <w:rFonts w:ascii="Times New Roman"/>
                <w:sz w:val="16"/>
              </w:rPr>
            </w:pPr>
          </w:p>
        </w:tc>
        <w:tc>
          <w:tcPr>
            <w:tcW w:w="609" w:type="dxa"/>
          </w:tcPr>
          <w:p>
            <w:pPr>
              <w:pStyle w:val="TableParagraph"/>
              <w:rPr>
                <w:rFonts w:ascii="Times New Roman"/>
                <w:sz w:val="16"/>
              </w:rPr>
            </w:pPr>
          </w:p>
        </w:tc>
        <w:tc>
          <w:tcPr>
            <w:tcW w:w="803" w:type="dxa"/>
          </w:tcPr>
          <w:p>
            <w:pPr>
              <w:pStyle w:val="TableParagraph"/>
              <w:rPr>
                <w:rFonts w:ascii="Times New Roman"/>
                <w:sz w:val="16"/>
              </w:rPr>
            </w:pPr>
          </w:p>
        </w:tc>
        <w:tc>
          <w:tcPr>
            <w:tcW w:w="685" w:type="dxa"/>
          </w:tcPr>
          <w:p>
            <w:pPr>
              <w:pStyle w:val="TableParagraph"/>
              <w:rPr>
                <w:rFonts w:ascii="Times New Roman"/>
                <w:sz w:val="16"/>
              </w:rPr>
            </w:pPr>
          </w:p>
        </w:tc>
        <w:tc>
          <w:tcPr>
            <w:tcW w:w="901" w:type="dxa"/>
          </w:tcPr>
          <w:p>
            <w:pPr>
              <w:pStyle w:val="TableParagraph"/>
              <w:rPr>
                <w:rFonts w:ascii="Times New Roman"/>
                <w:sz w:val="16"/>
              </w:rPr>
            </w:pPr>
          </w:p>
        </w:tc>
        <w:tc>
          <w:tcPr>
            <w:tcW w:w="709" w:type="dxa"/>
          </w:tcPr>
          <w:p>
            <w:pPr>
              <w:pStyle w:val="TableParagraph"/>
              <w:rPr>
                <w:rFonts w:ascii="Times New Roman"/>
                <w:sz w:val="16"/>
              </w:rPr>
            </w:pPr>
          </w:p>
        </w:tc>
        <w:tc>
          <w:tcPr>
            <w:tcW w:w="769" w:type="dxa"/>
          </w:tcPr>
          <w:p>
            <w:pPr>
              <w:pStyle w:val="TableParagraph"/>
              <w:rPr>
                <w:rFonts w:ascii="Times New Roman"/>
                <w:sz w:val="16"/>
              </w:rPr>
            </w:pPr>
          </w:p>
        </w:tc>
        <w:tc>
          <w:tcPr>
            <w:tcW w:w="631" w:type="dxa"/>
          </w:tcPr>
          <w:p>
            <w:pPr>
              <w:pStyle w:val="TableParagraph"/>
              <w:rPr>
                <w:rFonts w:ascii="Times New Roman"/>
                <w:sz w:val="16"/>
              </w:rPr>
            </w:pPr>
          </w:p>
        </w:tc>
        <w:tc>
          <w:tcPr>
            <w:tcW w:w="738" w:type="dxa"/>
          </w:tcPr>
          <w:p>
            <w:pPr>
              <w:pStyle w:val="TableParagraph"/>
              <w:rPr>
                <w:rFonts w:ascii="Times New Roman"/>
                <w:sz w:val="16"/>
              </w:rPr>
            </w:pPr>
          </w:p>
        </w:tc>
        <w:tc>
          <w:tcPr>
            <w:tcW w:w="720" w:type="dxa"/>
          </w:tcPr>
          <w:p>
            <w:pPr>
              <w:pStyle w:val="TableParagraph"/>
              <w:rPr>
                <w:rFonts w:ascii="Times New Roman"/>
                <w:sz w:val="16"/>
              </w:rPr>
            </w:pPr>
          </w:p>
        </w:tc>
        <w:tc>
          <w:tcPr>
            <w:tcW w:w="738" w:type="dxa"/>
            <w:tcBorders>
              <w:right w:val="single" w:sz="4" w:space="0" w:color="000000"/>
            </w:tcBorders>
          </w:tcPr>
          <w:p>
            <w:pPr>
              <w:pStyle w:val="TableParagraph"/>
              <w:rPr>
                <w:rFonts w:ascii="Times New Roman"/>
                <w:sz w:val="16"/>
              </w:rPr>
            </w:pPr>
          </w:p>
        </w:tc>
      </w:tr>
      <w:tr>
        <w:trPr>
          <w:trHeight w:val="230" w:hRule="atLeast"/>
        </w:trPr>
        <w:tc>
          <w:tcPr>
            <w:tcW w:w="4146" w:type="dxa"/>
            <w:tcBorders>
              <w:left w:val="single" w:sz="4" w:space="0" w:color="000000"/>
            </w:tcBorders>
          </w:tcPr>
          <w:p>
            <w:pPr>
              <w:pStyle w:val="TableParagraph"/>
              <w:tabs>
                <w:tab w:pos="773" w:val="left" w:leader="none"/>
                <w:tab w:pos="1329" w:val="left" w:leader="none"/>
                <w:tab w:pos="2549" w:val="left" w:leader="none"/>
                <w:tab w:pos="2985" w:val="left" w:leader="none"/>
              </w:tabs>
              <w:spacing w:line="210" w:lineRule="exact"/>
              <w:ind w:right="100"/>
              <w:jc w:val="right"/>
              <w:rPr>
                <w:sz w:val="20"/>
              </w:rPr>
            </w:pPr>
            <w:r>
              <w:rPr>
                <w:spacing w:val="-2"/>
                <w:sz w:val="20"/>
              </w:rPr>
              <w:t>share</w:t>
            </w:r>
            <w:r>
              <w:rPr>
                <w:sz w:val="20"/>
              </w:rPr>
              <w:tab/>
            </w:r>
            <w:r>
              <w:rPr>
                <w:spacing w:val="-5"/>
                <w:sz w:val="20"/>
              </w:rPr>
              <w:t>the</w:t>
            </w:r>
            <w:r>
              <w:rPr>
                <w:sz w:val="20"/>
              </w:rPr>
              <w:tab/>
            </w:r>
            <w:r>
              <w:rPr>
                <w:spacing w:val="-2"/>
                <w:sz w:val="20"/>
              </w:rPr>
              <w:t>equipment</w:t>
            </w:r>
            <w:r>
              <w:rPr>
                <w:sz w:val="20"/>
              </w:rPr>
              <w:tab/>
            </w:r>
            <w:r>
              <w:rPr>
                <w:spacing w:val="-5"/>
                <w:sz w:val="20"/>
              </w:rPr>
              <w:t>in</w:t>
            </w:r>
            <w:r>
              <w:rPr>
                <w:sz w:val="20"/>
              </w:rPr>
              <w:tab/>
            </w:r>
            <w:r>
              <w:rPr>
                <w:spacing w:val="-5"/>
                <w:sz w:val="20"/>
              </w:rPr>
              <w:t>an</w:t>
            </w:r>
          </w:p>
        </w:tc>
        <w:tc>
          <w:tcPr>
            <w:tcW w:w="1795" w:type="dxa"/>
          </w:tcPr>
          <w:p>
            <w:pPr>
              <w:pStyle w:val="TableParagraph"/>
              <w:spacing w:line="210" w:lineRule="exact"/>
              <w:ind w:left="111"/>
              <w:rPr>
                <w:sz w:val="20"/>
              </w:rPr>
            </w:pPr>
            <w:r>
              <w:rPr>
                <w:spacing w:val="-2"/>
                <w:sz w:val="20"/>
              </w:rPr>
              <w:t>observations</w:t>
            </w:r>
          </w:p>
        </w:tc>
        <w:tc>
          <w:tcPr>
            <w:tcW w:w="677" w:type="dxa"/>
          </w:tcPr>
          <w:p>
            <w:pPr>
              <w:pStyle w:val="TableParagraph"/>
              <w:spacing w:line="210" w:lineRule="exact"/>
              <w:ind w:left="66" w:right="4"/>
              <w:jc w:val="center"/>
              <w:rPr>
                <w:sz w:val="20"/>
              </w:rPr>
            </w:pPr>
            <w:r>
              <w:rPr>
                <w:spacing w:val="-10"/>
                <w:sz w:val="20"/>
              </w:rPr>
              <w:t>1</w:t>
            </w:r>
          </w:p>
        </w:tc>
        <w:tc>
          <w:tcPr>
            <w:tcW w:w="832" w:type="dxa"/>
          </w:tcPr>
          <w:p>
            <w:pPr>
              <w:pStyle w:val="TableParagraph"/>
              <w:spacing w:line="210" w:lineRule="exact"/>
              <w:ind w:left="115" w:right="119"/>
              <w:jc w:val="center"/>
              <w:rPr>
                <w:sz w:val="20"/>
              </w:rPr>
            </w:pPr>
            <w:r>
              <w:rPr>
                <w:spacing w:val="-4"/>
                <w:sz w:val="20"/>
              </w:rPr>
              <w:t>50.0</w:t>
            </w:r>
          </w:p>
        </w:tc>
        <w:tc>
          <w:tcPr>
            <w:tcW w:w="609" w:type="dxa"/>
          </w:tcPr>
          <w:p>
            <w:pPr>
              <w:pStyle w:val="TableParagraph"/>
              <w:spacing w:line="210" w:lineRule="exact"/>
              <w:ind w:right="12"/>
              <w:jc w:val="center"/>
              <w:rPr>
                <w:sz w:val="20"/>
              </w:rPr>
            </w:pPr>
            <w:r>
              <w:rPr>
                <w:spacing w:val="-10"/>
                <w:sz w:val="20"/>
              </w:rPr>
              <w:t>-</w:t>
            </w:r>
          </w:p>
        </w:tc>
        <w:tc>
          <w:tcPr>
            <w:tcW w:w="803" w:type="dxa"/>
          </w:tcPr>
          <w:p>
            <w:pPr>
              <w:pStyle w:val="TableParagraph"/>
              <w:spacing w:line="210" w:lineRule="exact"/>
              <w:ind w:left="20" w:right="7"/>
              <w:jc w:val="center"/>
              <w:rPr>
                <w:sz w:val="20"/>
              </w:rPr>
            </w:pPr>
            <w:r>
              <w:rPr>
                <w:spacing w:val="-10"/>
                <w:sz w:val="20"/>
              </w:rPr>
              <w:t>-</w:t>
            </w:r>
          </w:p>
        </w:tc>
        <w:tc>
          <w:tcPr>
            <w:tcW w:w="685" w:type="dxa"/>
          </w:tcPr>
          <w:p>
            <w:pPr>
              <w:pStyle w:val="TableParagraph"/>
              <w:spacing w:line="210" w:lineRule="exact"/>
              <w:ind w:left="59" w:right="84"/>
              <w:jc w:val="center"/>
              <w:rPr>
                <w:sz w:val="20"/>
              </w:rPr>
            </w:pPr>
            <w:r>
              <w:rPr>
                <w:spacing w:val="-10"/>
                <w:sz w:val="20"/>
              </w:rPr>
              <w:t>1</w:t>
            </w:r>
          </w:p>
        </w:tc>
        <w:tc>
          <w:tcPr>
            <w:tcW w:w="901" w:type="dxa"/>
          </w:tcPr>
          <w:p>
            <w:pPr>
              <w:pStyle w:val="TableParagraph"/>
              <w:spacing w:line="210" w:lineRule="exact"/>
              <w:ind w:left="27"/>
              <w:jc w:val="center"/>
              <w:rPr>
                <w:sz w:val="20"/>
              </w:rPr>
            </w:pPr>
            <w:r>
              <w:rPr>
                <w:spacing w:val="-4"/>
                <w:sz w:val="20"/>
              </w:rPr>
              <w:t>50.0</w:t>
            </w:r>
          </w:p>
        </w:tc>
        <w:tc>
          <w:tcPr>
            <w:tcW w:w="709" w:type="dxa"/>
          </w:tcPr>
          <w:p>
            <w:pPr>
              <w:pStyle w:val="TableParagraph"/>
              <w:spacing w:line="210" w:lineRule="exact"/>
              <w:ind w:left="63" w:right="20"/>
              <w:jc w:val="center"/>
              <w:rPr>
                <w:sz w:val="20"/>
              </w:rPr>
            </w:pPr>
            <w:r>
              <w:rPr>
                <w:spacing w:val="-10"/>
                <w:sz w:val="20"/>
              </w:rPr>
              <w:t>-</w:t>
            </w:r>
          </w:p>
        </w:tc>
        <w:tc>
          <w:tcPr>
            <w:tcW w:w="769" w:type="dxa"/>
          </w:tcPr>
          <w:p>
            <w:pPr>
              <w:pStyle w:val="TableParagraph"/>
              <w:spacing w:line="210" w:lineRule="exact"/>
              <w:ind w:left="11" w:right="6"/>
              <w:jc w:val="center"/>
              <w:rPr>
                <w:sz w:val="20"/>
              </w:rPr>
            </w:pPr>
            <w:r>
              <w:rPr>
                <w:spacing w:val="-10"/>
                <w:sz w:val="20"/>
              </w:rPr>
              <w:t>-</w:t>
            </w:r>
          </w:p>
        </w:tc>
        <w:tc>
          <w:tcPr>
            <w:tcW w:w="631" w:type="dxa"/>
          </w:tcPr>
          <w:p>
            <w:pPr>
              <w:pStyle w:val="TableParagraph"/>
              <w:spacing w:line="210" w:lineRule="exact"/>
              <w:ind w:left="33" w:right="8"/>
              <w:jc w:val="center"/>
              <w:rPr>
                <w:sz w:val="20"/>
              </w:rPr>
            </w:pPr>
            <w:r>
              <w:rPr>
                <w:spacing w:val="-10"/>
                <w:sz w:val="20"/>
              </w:rPr>
              <w:t>-</w:t>
            </w:r>
          </w:p>
        </w:tc>
        <w:tc>
          <w:tcPr>
            <w:tcW w:w="738" w:type="dxa"/>
          </w:tcPr>
          <w:p>
            <w:pPr>
              <w:pStyle w:val="TableParagraph"/>
              <w:spacing w:line="210" w:lineRule="exact"/>
              <w:ind w:left="84" w:right="7"/>
              <w:jc w:val="center"/>
              <w:rPr>
                <w:sz w:val="20"/>
              </w:rPr>
            </w:pPr>
            <w:r>
              <w:rPr>
                <w:spacing w:val="-10"/>
                <w:sz w:val="20"/>
              </w:rPr>
              <w:t>-</w:t>
            </w:r>
          </w:p>
        </w:tc>
        <w:tc>
          <w:tcPr>
            <w:tcW w:w="720" w:type="dxa"/>
          </w:tcPr>
          <w:p>
            <w:pPr>
              <w:pStyle w:val="TableParagraph"/>
              <w:spacing w:line="210" w:lineRule="exact"/>
              <w:ind w:left="102" w:right="36"/>
              <w:jc w:val="center"/>
              <w:rPr>
                <w:sz w:val="20"/>
              </w:rPr>
            </w:pPr>
            <w:r>
              <w:rPr>
                <w:spacing w:val="-10"/>
                <w:sz w:val="20"/>
              </w:rPr>
              <w:t>2</w:t>
            </w:r>
          </w:p>
        </w:tc>
        <w:tc>
          <w:tcPr>
            <w:tcW w:w="738" w:type="dxa"/>
            <w:tcBorders>
              <w:right w:val="single" w:sz="4" w:space="0" w:color="000000"/>
            </w:tcBorders>
          </w:tcPr>
          <w:p>
            <w:pPr>
              <w:pStyle w:val="TableParagraph"/>
              <w:spacing w:line="210" w:lineRule="exact"/>
              <w:ind w:left="62" w:right="14"/>
              <w:jc w:val="center"/>
              <w:rPr>
                <w:sz w:val="20"/>
              </w:rPr>
            </w:pPr>
            <w:r>
              <w:rPr>
                <w:spacing w:val="-5"/>
                <w:sz w:val="20"/>
              </w:rPr>
              <w:t>0.4</w:t>
            </w:r>
          </w:p>
        </w:tc>
      </w:tr>
      <w:tr>
        <w:trPr>
          <w:trHeight w:val="228" w:hRule="atLeast"/>
        </w:trPr>
        <w:tc>
          <w:tcPr>
            <w:tcW w:w="4146" w:type="dxa"/>
            <w:tcBorders>
              <w:left w:val="single" w:sz="4" w:space="0" w:color="000000"/>
            </w:tcBorders>
          </w:tcPr>
          <w:p>
            <w:pPr>
              <w:pStyle w:val="TableParagraph"/>
              <w:spacing w:line="208" w:lineRule="exact"/>
              <w:ind w:right="99"/>
              <w:jc w:val="right"/>
              <w:rPr>
                <w:sz w:val="20"/>
              </w:rPr>
            </w:pPr>
            <w:r>
              <w:rPr>
                <w:sz w:val="20"/>
              </w:rPr>
              <w:t>overcrowded</w:t>
            </w:r>
            <w:r>
              <w:rPr>
                <w:spacing w:val="-8"/>
                <w:sz w:val="20"/>
              </w:rPr>
              <w:t> </w:t>
            </w:r>
            <w:r>
              <w:rPr>
                <w:sz w:val="20"/>
              </w:rPr>
              <w:t>manner</w:t>
            </w:r>
            <w:r>
              <w:rPr>
                <w:spacing w:val="-6"/>
                <w:sz w:val="20"/>
              </w:rPr>
              <w:t> </w:t>
            </w:r>
            <w:r>
              <w:rPr>
                <w:sz w:val="20"/>
              </w:rPr>
              <w:t>which</w:t>
            </w:r>
            <w:r>
              <w:rPr>
                <w:spacing w:val="-7"/>
                <w:sz w:val="20"/>
              </w:rPr>
              <w:t> </w:t>
            </w:r>
            <w:r>
              <w:rPr>
                <w:sz w:val="20"/>
              </w:rPr>
              <w:t>leads</w:t>
            </w:r>
            <w:r>
              <w:rPr>
                <w:spacing w:val="-10"/>
                <w:sz w:val="20"/>
              </w:rPr>
              <w:t> </w:t>
            </w:r>
            <w:r>
              <w:rPr>
                <w:spacing w:val="-5"/>
                <w:sz w:val="20"/>
              </w:rPr>
              <w:t>to</w:t>
            </w:r>
          </w:p>
        </w:tc>
        <w:tc>
          <w:tcPr>
            <w:tcW w:w="1795" w:type="dxa"/>
          </w:tcPr>
          <w:p>
            <w:pPr>
              <w:pStyle w:val="TableParagraph"/>
              <w:spacing w:line="208" w:lineRule="exact"/>
              <w:ind w:left="111"/>
              <w:rPr>
                <w:sz w:val="20"/>
              </w:rPr>
            </w:pPr>
            <w:r>
              <w:rPr>
                <w:spacing w:val="-2"/>
                <w:sz w:val="20"/>
              </w:rPr>
              <w:t>Students</w:t>
            </w:r>
          </w:p>
        </w:tc>
        <w:tc>
          <w:tcPr>
            <w:tcW w:w="677" w:type="dxa"/>
          </w:tcPr>
          <w:p>
            <w:pPr>
              <w:pStyle w:val="TableParagraph"/>
              <w:spacing w:line="208" w:lineRule="exact"/>
              <w:ind w:left="62" w:right="10"/>
              <w:jc w:val="center"/>
              <w:rPr>
                <w:sz w:val="20"/>
              </w:rPr>
            </w:pPr>
            <w:r>
              <w:rPr>
                <w:spacing w:val="-5"/>
                <w:sz w:val="20"/>
              </w:rPr>
              <w:t>108</w:t>
            </w:r>
          </w:p>
        </w:tc>
        <w:tc>
          <w:tcPr>
            <w:tcW w:w="832" w:type="dxa"/>
          </w:tcPr>
          <w:p>
            <w:pPr>
              <w:pStyle w:val="TableParagraph"/>
              <w:spacing w:line="208" w:lineRule="exact"/>
              <w:ind w:left="115" w:right="119"/>
              <w:jc w:val="center"/>
              <w:rPr>
                <w:sz w:val="20"/>
              </w:rPr>
            </w:pPr>
            <w:r>
              <w:rPr>
                <w:spacing w:val="-4"/>
                <w:sz w:val="20"/>
              </w:rPr>
              <w:t>46.0</w:t>
            </w:r>
          </w:p>
        </w:tc>
        <w:tc>
          <w:tcPr>
            <w:tcW w:w="609" w:type="dxa"/>
          </w:tcPr>
          <w:p>
            <w:pPr>
              <w:pStyle w:val="TableParagraph"/>
              <w:spacing w:line="208" w:lineRule="exact"/>
              <w:ind w:left="2" w:right="12"/>
              <w:jc w:val="center"/>
              <w:rPr>
                <w:sz w:val="20"/>
              </w:rPr>
            </w:pPr>
            <w:r>
              <w:rPr>
                <w:spacing w:val="-5"/>
                <w:sz w:val="20"/>
              </w:rPr>
              <w:t>91</w:t>
            </w:r>
          </w:p>
        </w:tc>
        <w:tc>
          <w:tcPr>
            <w:tcW w:w="803" w:type="dxa"/>
          </w:tcPr>
          <w:p>
            <w:pPr>
              <w:pStyle w:val="TableParagraph"/>
              <w:spacing w:line="208" w:lineRule="exact"/>
              <w:ind w:left="20"/>
              <w:jc w:val="center"/>
              <w:rPr>
                <w:sz w:val="20"/>
              </w:rPr>
            </w:pPr>
            <w:r>
              <w:rPr>
                <w:spacing w:val="-4"/>
                <w:sz w:val="20"/>
              </w:rPr>
              <w:t>38.7</w:t>
            </w:r>
          </w:p>
        </w:tc>
        <w:tc>
          <w:tcPr>
            <w:tcW w:w="685" w:type="dxa"/>
          </w:tcPr>
          <w:p>
            <w:pPr>
              <w:pStyle w:val="TableParagraph"/>
              <w:spacing w:line="208" w:lineRule="exact"/>
              <w:ind w:left="59" w:right="89"/>
              <w:jc w:val="center"/>
              <w:rPr>
                <w:sz w:val="20"/>
              </w:rPr>
            </w:pPr>
            <w:r>
              <w:rPr>
                <w:spacing w:val="-5"/>
                <w:sz w:val="20"/>
              </w:rPr>
              <w:t>29</w:t>
            </w:r>
          </w:p>
        </w:tc>
        <w:tc>
          <w:tcPr>
            <w:tcW w:w="901" w:type="dxa"/>
          </w:tcPr>
          <w:p>
            <w:pPr>
              <w:pStyle w:val="TableParagraph"/>
              <w:spacing w:line="208" w:lineRule="exact"/>
              <w:ind w:left="27"/>
              <w:jc w:val="center"/>
              <w:rPr>
                <w:sz w:val="20"/>
              </w:rPr>
            </w:pPr>
            <w:r>
              <w:rPr>
                <w:spacing w:val="-4"/>
                <w:sz w:val="20"/>
              </w:rPr>
              <w:t>12.3</w:t>
            </w:r>
          </w:p>
        </w:tc>
        <w:tc>
          <w:tcPr>
            <w:tcW w:w="709" w:type="dxa"/>
          </w:tcPr>
          <w:p>
            <w:pPr>
              <w:pStyle w:val="TableParagraph"/>
              <w:spacing w:line="208" w:lineRule="exact"/>
              <w:ind w:left="69" w:right="20"/>
              <w:jc w:val="center"/>
              <w:rPr>
                <w:sz w:val="20"/>
              </w:rPr>
            </w:pPr>
            <w:r>
              <w:rPr>
                <w:spacing w:val="-10"/>
                <w:sz w:val="20"/>
              </w:rPr>
              <w:t>6</w:t>
            </w:r>
          </w:p>
        </w:tc>
        <w:tc>
          <w:tcPr>
            <w:tcW w:w="769" w:type="dxa"/>
          </w:tcPr>
          <w:p>
            <w:pPr>
              <w:pStyle w:val="TableParagraph"/>
              <w:spacing w:line="208" w:lineRule="exact"/>
              <w:ind w:left="11" w:right="5"/>
              <w:jc w:val="center"/>
              <w:rPr>
                <w:sz w:val="20"/>
              </w:rPr>
            </w:pPr>
            <w:r>
              <w:rPr>
                <w:spacing w:val="-5"/>
                <w:sz w:val="20"/>
              </w:rPr>
              <w:t>2.6</w:t>
            </w:r>
          </w:p>
        </w:tc>
        <w:tc>
          <w:tcPr>
            <w:tcW w:w="631" w:type="dxa"/>
          </w:tcPr>
          <w:p>
            <w:pPr>
              <w:pStyle w:val="TableParagraph"/>
              <w:spacing w:line="208" w:lineRule="exact"/>
              <w:ind w:left="33" w:right="1"/>
              <w:jc w:val="center"/>
              <w:rPr>
                <w:sz w:val="20"/>
              </w:rPr>
            </w:pPr>
            <w:r>
              <w:rPr>
                <w:spacing w:val="-10"/>
                <w:sz w:val="20"/>
              </w:rPr>
              <w:t>1</w:t>
            </w:r>
          </w:p>
        </w:tc>
        <w:tc>
          <w:tcPr>
            <w:tcW w:w="738" w:type="dxa"/>
          </w:tcPr>
          <w:p>
            <w:pPr>
              <w:pStyle w:val="TableParagraph"/>
              <w:spacing w:line="208" w:lineRule="exact"/>
              <w:ind w:left="84" w:right="5"/>
              <w:jc w:val="center"/>
              <w:rPr>
                <w:sz w:val="20"/>
              </w:rPr>
            </w:pPr>
            <w:r>
              <w:rPr>
                <w:spacing w:val="-5"/>
                <w:sz w:val="20"/>
              </w:rPr>
              <w:t>0.4</w:t>
            </w:r>
          </w:p>
        </w:tc>
        <w:tc>
          <w:tcPr>
            <w:tcW w:w="720" w:type="dxa"/>
          </w:tcPr>
          <w:p>
            <w:pPr>
              <w:pStyle w:val="TableParagraph"/>
              <w:spacing w:line="208" w:lineRule="exact"/>
              <w:ind w:left="92" w:right="36"/>
              <w:jc w:val="center"/>
              <w:rPr>
                <w:sz w:val="20"/>
              </w:rPr>
            </w:pPr>
            <w:r>
              <w:rPr>
                <w:spacing w:val="-5"/>
                <w:sz w:val="20"/>
              </w:rPr>
              <w:t>235</w:t>
            </w:r>
          </w:p>
        </w:tc>
        <w:tc>
          <w:tcPr>
            <w:tcW w:w="738" w:type="dxa"/>
            <w:tcBorders>
              <w:right w:val="single" w:sz="4" w:space="0" w:color="000000"/>
            </w:tcBorders>
          </w:tcPr>
          <w:p>
            <w:pPr>
              <w:pStyle w:val="TableParagraph"/>
              <w:spacing w:line="208" w:lineRule="exact"/>
              <w:ind w:left="67" w:right="14"/>
              <w:jc w:val="center"/>
              <w:rPr>
                <w:sz w:val="20"/>
              </w:rPr>
            </w:pPr>
            <w:r>
              <w:rPr>
                <w:spacing w:val="-4"/>
                <w:sz w:val="20"/>
              </w:rPr>
              <w:t>50.8</w:t>
            </w:r>
          </w:p>
        </w:tc>
      </w:tr>
      <w:tr>
        <w:trPr>
          <w:trHeight w:val="516" w:hRule="atLeast"/>
        </w:trPr>
        <w:tc>
          <w:tcPr>
            <w:tcW w:w="4146" w:type="dxa"/>
            <w:tcBorders>
              <w:left w:val="single" w:sz="4" w:space="0" w:color="000000"/>
            </w:tcBorders>
          </w:tcPr>
          <w:p>
            <w:pPr>
              <w:pStyle w:val="TableParagraph"/>
              <w:ind w:left="830"/>
              <w:rPr>
                <w:sz w:val="20"/>
              </w:rPr>
            </w:pPr>
            <w:r>
              <w:rPr>
                <w:sz w:val="20"/>
              </w:rPr>
              <w:t>producing</w:t>
            </w:r>
            <w:r>
              <w:rPr>
                <w:spacing w:val="39"/>
                <w:sz w:val="20"/>
              </w:rPr>
              <w:t> </w:t>
            </w:r>
            <w:r>
              <w:rPr>
                <w:sz w:val="20"/>
              </w:rPr>
              <w:t>half-baked</w:t>
            </w:r>
            <w:r>
              <w:rPr>
                <w:spacing w:val="39"/>
                <w:sz w:val="20"/>
              </w:rPr>
              <w:t> </w:t>
            </w:r>
            <w:r>
              <w:rPr>
                <w:sz w:val="20"/>
              </w:rPr>
              <w:t>technologists and scientists.</w:t>
            </w:r>
          </w:p>
        </w:tc>
        <w:tc>
          <w:tcPr>
            <w:tcW w:w="1795" w:type="dxa"/>
          </w:tcPr>
          <w:p>
            <w:pPr>
              <w:pStyle w:val="TableParagraph"/>
              <w:spacing w:before="48"/>
              <w:ind w:left="111"/>
              <w:rPr>
                <w:sz w:val="20"/>
              </w:rPr>
            </w:pPr>
            <w:r>
              <w:rPr>
                <w:sz w:val="20"/>
              </w:rPr>
              <w:t>Service</w:t>
            </w:r>
            <w:r>
              <w:rPr>
                <w:spacing w:val="-9"/>
                <w:sz w:val="20"/>
              </w:rPr>
              <w:t> </w:t>
            </w:r>
            <w:r>
              <w:rPr>
                <w:spacing w:val="-2"/>
                <w:sz w:val="20"/>
              </w:rPr>
              <w:t>Staff</w:t>
            </w:r>
          </w:p>
          <w:p>
            <w:pPr>
              <w:pStyle w:val="TableParagraph"/>
              <w:spacing w:line="218" w:lineRule="exact"/>
              <w:ind w:left="111"/>
              <w:rPr>
                <w:sz w:val="20"/>
              </w:rPr>
            </w:pPr>
            <w:r>
              <w:rPr>
                <w:sz w:val="20"/>
              </w:rPr>
              <w:t>Top</w:t>
            </w:r>
            <w:r>
              <w:rPr>
                <w:spacing w:val="-1"/>
                <w:sz w:val="20"/>
              </w:rPr>
              <w:t> </w:t>
            </w:r>
            <w:r>
              <w:rPr>
                <w:spacing w:val="-2"/>
                <w:sz w:val="20"/>
              </w:rPr>
              <w:t>Management</w:t>
            </w:r>
          </w:p>
        </w:tc>
        <w:tc>
          <w:tcPr>
            <w:tcW w:w="677" w:type="dxa"/>
          </w:tcPr>
          <w:p>
            <w:pPr>
              <w:pStyle w:val="TableParagraph"/>
              <w:spacing w:before="48"/>
              <w:ind w:left="255"/>
              <w:rPr>
                <w:sz w:val="20"/>
              </w:rPr>
            </w:pPr>
            <w:r>
              <w:rPr>
                <w:spacing w:val="-5"/>
                <w:sz w:val="20"/>
              </w:rPr>
              <w:t>75</w:t>
            </w:r>
          </w:p>
          <w:p>
            <w:pPr>
              <w:pStyle w:val="TableParagraph"/>
              <w:spacing w:line="218" w:lineRule="exact"/>
              <w:ind w:left="255"/>
              <w:rPr>
                <w:sz w:val="20"/>
              </w:rPr>
            </w:pPr>
            <w:r>
              <w:rPr>
                <w:spacing w:val="-5"/>
                <w:sz w:val="20"/>
              </w:rPr>
              <w:t>12</w:t>
            </w:r>
          </w:p>
        </w:tc>
        <w:tc>
          <w:tcPr>
            <w:tcW w:w="832" w:type="dxa"/>
          </w:tcPr>
          <w:p>
            <w:pPr>
              <w:pStyle w:val="TableParagraph"/>
              <w:spacing w:before="48"/>
              <w:ind w:left="217"/>
              <w:rPr>
                <w:sz w:val="20"/>
              </w:rPr>
            </w:pPr>
            <w:r>
              <w:rPr>
                <w:spacing w:val="-4"/>
                <w:sz w:val="20"/>
              </w:rPr>
              <w:t>36.9</w:t>
            </w:r>
          </w:p>
          <w:p>
            <w:pPr>
              <w:pStyle w:val="TableParagraph"/>
              <w:spacing w:line="218" w:lineRule="exact"/>
              <w:ind w:left="217"/>
              <w:rPr>
                <w:sz w:val="20"/>
              </w:rPr>
            </w:pPr>
            <w:r>
              <w:rPr>
                <w:spacing w:val="-4"/>
                <w:sz w:val="20"/>
              </w:rPr>
              <w:t>52.2</w:t>
            </w:r>
          </w:p>
        </w:tc>
        <w:tc>
          <w:tcPr>
            <w:tcW w:w="609" w:type="dxa"/>
          </w:tcPr>
          <w:p>
            <w:pPr>
              <w:pStyle w:val="TableParagraph"/>
              <w:spacing w:before="48"/>
              <w:ind w:left="186"/>
              <w:rPr>
                <w:sz w:val="20"/>
              </w:rPr>
            </w:pPr>
            <w:r>
              <w:rPr>
                <w:spacing w:val="-5"/>
                <w:sz w:val="20"/>
              </w:rPr>
              <w:t>88</w:t>
            </w:r>
          </w:p>
          <w:p>
            <w:pPr>
              <w:pStyle w:val="TableParagraph"/>
              <w:spacing w:line="218" w:lineRule="exact"/>
              <w:ind w:left="186"/>
              <w:rPr>
                <w:sz w:val="20"/>
              </w:rPr>
            </w:pPr>
            <w:r>
              <w:rPr>
                <w:spacing w:val="-5"/>
                <w:sz w:val="20"/>
              </w:rPr>
              <w:t>10</w:t>
            </w:r>
          </w:p>
        </w:tc>
        <w:tc>
          <w:tcPr>
            <w:tcW w:w="803" w:type="dxa"/>
          </w:tcPr>
          <w:p>
            <w:pPr>
              <w:pStyle w:val="TableParagraph"/>
              <w:spacing w:before="48"/>
              <w:ind w:left="216"/>
              <w:rPr>
                <w:sz w:val="20"/>
              </w:rPr>
            </w:pPr>
            <w:r>
              <w:rPr>
                <w:spacing w:val="-4"/>
                <w:sz w:val="20"/>
              </w:rPr>
              <w:t>43.3</w:t>
            </w:r>
          </w:p>
          <w:p>
            <w:pPr>
              <w:pStyle w:val="TableParagraph"/>
              <w:spacing w:line="218" w:lineRule="exact"/>
              <w:ind w:left="216"/>
              <w:rPr>
                <w:sz w:val="20"/>
              </w:rPr>
            </w:pPr>
            <w:r>
              <w:rPr>
                <w:spacing w:val="-4"/>
                <w:sz w:val="20"/>
              </w:rPr>
              <w:t>43.5</w:t>
            </w:r>
          </w:p>
        </w:tc>
        <w:tc>
          <w:tcPr>
            <w:tcW w:w="685" w:type="dxa"/>
          </w:tcPr>
          <w:p>
            <w:pPr>
              <w:pStyle w:val="TableParagraph"/>
              <w:spacing w:before="48"/>
              <w:ind w:left="59" w:right="89"/>
              <w:jc w:val="center"/>
              <w:rPr>
                <w:sz w:val="20"/>
              </w:rPr>
            </w:pPr>
            <w:r>
              <w:rPr>
                <w:spacing w:val="-5"/>
                <w:sz w:val="20"/>
              </w:rPr>
              <w:t>27</w:t>
            </w:r>
          </w:p>
          <w:p>
            <w:pPr>
              <w:pStyle w:val="TableParagraph"/>
              <w:spacing w:line="218" w:lineRule="exact"/>
              <w:ind w:left="59" w:right="84"/>
              <w:jc w:val="center"/>
              <w:rPr>
                <w:sz w:val="20"/>
              </w:rPr>
            </w:pPr>
            <w:r>
              <w:rPr>
                <w:spacing w:val="-10"/>
                <w:sz w:val="20"/>
              </w:rPr>
              <w:t>1</w:t>
            </w:r>
          </w:p>
        </w:tc>
        <w:tc>
          <w:tcPr>
            <w:tcW w:w="901" w:type="dxa"/>
          </w:tcPr>
          <w:p>
            <w:pPr>
              <w:pStyle w:val="TableParagraph"/>
              <w:spacing w:before="48"/>
              <w:ind w:left="268"/>
              <w:rPr>
                <w:sz w:val="20"/>
              </w:rPr>
            </w:pPr>
            <w:r>
              <w:rPr>
                <w:spacing w:val="-4"/>
                <w:sz w:val="20"/>
              </w:rPr>
              <w:t>13.3</w:t>
            </w:r>
          </w:p>
          <w:p>
            <w:pPr>
              <w:pStyle w:val="TableParagraph"/>
              <w:spacing w:line="218" w:lineRule="exact"/>
              <w:ind w:left="321"/>
              <w:rPr>
                <w:sz w:val="20"/>
              </w:rPr>
            </w:pPr>
            <w:r>
              <w:rPr>
                <w:spacing w:val="-5"/>
                <w:sz w:val="20"/>
              </w:rPr>
              <w:t>4.3</w:t>
            </w:r>
          </w:p>
        </w:tc>
        <w:tc>
          <w:tcPr>
            <w:tcW w:w="709" w:type="dxa"/>
          </w:tcPr>
          <w:p>
            <w:pPr>
              <w:pStyle w:val="TableParagraph"/>
              <w:spacing w:before="48"/>
              <w:ind w:left="65" w:right="20"/>
              <w:jc w:val="center"/>
              <w:rPr>
                <w:sz w:val="20"/>
              </w:rPr>
            </w:pPr>
            <w:r>
              <w:rPr>
                <w:spacing w:val="-5"/>
                <w:sz w:val="20"/>
              </w:rPr>
              <w:t>10</w:t>
            </w:r>
          </w:p>
          <w:p>
            <w:pPr>
              <w:pStyle w:val="TableParagraph"/>
              <w:spacing w:line="218" w:lineRule="exact"/>
              <w:ind w:left="63" w:right="20"/>
              <w:jc w:val="center"/>
              <w:rPr>
                <w:sz w:val="20"/>
              </w:rPr>
            </w:pPr>
            <w:r>
              <w:rPr>
                <w:spacing w:val="-10"/>
                <w:sz w:val="20"/>
              </w:rPr>
              <w:t>-</w:t>
            </w:r>
          </w:p>
        </w:tc>
        <w:tc>
          <w:tcPr>
            <w:tcW w:w="769" w:type="dxa"/>
          </w:tcPr>
          <w:p>
            <w:pPr>
              <w:pStyle w:val="TableParagraph"/>
              <w:spacing w:before="48"/>
              <w:ind w:left="11" w:right="5"/>
              <w:jc w:val="center"/>
              <w:rPr>
                <w:sz w:val="20"/>
              </w:rPr>
            </w:pPr>
            <w:r>
              <w:rPr>
                <w:spacing w:val="-5"/>
                <w:sz w:val="20"/>
              </w:rPr>
              <w:t>4.9</w:t>
            </w:r>
          </w:p>
          <w:p>
            <w:pPr>
              <w:pStyle w:val="TableParagraph"/>
              <w:spacing w:line="218" w:lineRule="exact"/>
              <w:ind w:left="11" w:right="6"/>
              <w:jc w:val="center"/>
              <w:rPr>
                <w:sz w:val="20"/>
              </w:rPr>
            </w:pPr>
            <w:r>
              <w:rPr>
                <w:spacing w:val="-10"/>
                <w:sz w:val="20"/>
              </w:rPr>
              <w:t>-</w:t>
            </w:r>
          </w:p>
        </w:tc>
        <w:tc>
          <w:tcPr>
            <w:tcW w:w="631" w:type="dxa"/>
          </w:tcPr>
          <w:p>
            <w:pPr>
              <w:pStyle w:val="TableParagraph"/>
              <w:spacing w:before="48"/>
              <w:ind w:left="33" w:right="1"/>
              <w:jc w:val="center"/>
              <w:rPr>
                <w:sz w:val="20"/>
              </w:rPr>
            </w:pPr>
            <w:r>
              <w:rPr>
                <w:spacing w:val="-10"/>
                <w:sz w:val="20"/>
              </w:rPr>
              <w:t>3</w:t>
            </w:r>
          </w:p>
          <w:p>
            <w:pPr>
              <w:pStyle w:val="TableParagraph"/>
              <w:spacing w:line="218" w:lineRule="exact"/>
              <w:ind w:left="33" w:right="8"/>
              <w:jc w:val="center"/>
              <w:rPr>
                <w:sz w:val="20"/>
              </w:rPr>
            </w:pPr>
            <w:r>
              <w:rPr>
                <w:spacing w:val="-10"/>
                <w:sz w:val="20"/>
              </w:rPr>
              <w:t>-</w:t>
            </w:r>
          </w:p>
        </w:tc>
        <w:tc>
          <w:tcPr>
            <w:tcW w:w="738" w:type="dxa"/>
          </w:tcPr>
          <w:p>
            <w:pPr>
              <w:pStyle w:val="TableParagraph"/>
              <w:spacing w:before="48"/>
              <w:ind w:left="84" w:right="5"/>
              <w:jc w:val="center"/>
              <w:rPr>
                <w:sz w:val="20"/>
              </w:rPr>
            </w:pPr>
            <w:r>
              <w:rPr>
                <w:spacing w:val="-5"/>
                <w:sz w:val="20"/>
              </w:rPr>
              <w:t>1.5</w:t>
            </w:r>
          </w:p>
          <w:p>
            <w:pPr>
              <w:pStyle w:val="TableParagraph"/>
              <w:spacing w:line="218" w:lineRule="exact"/>
              <w:ind w:left="84" w:right="7"/>
              <w:jc w:val="center"/>
              <w:rPr>
                <w:sz w:val="20"/>
              </w:rPr>
            </w:pPr>
            <w:r>
              <w:rPr>
                <w:spacing w:val="-10"/>
                <w:sz w:val="20"/>
              </w:rPr>
              <w:t>-</w:t>
            </w:r>
          </w:p>
        </w:tc>
        <w:tc>
          <w:tcPr>
            <w:tcW w:w="720" w:type="dxa"/>
          </w:tcPr>
          <w:p>
            <w:pPr>
              <w:pStyle w:val="TableParagraph"/>
              <w:spacing w:before="48"/>
              <w:ind w:left="221"/>
              <w:rPr>
                <w:sz w:val="20"/>
              </w:rPr>
            </w:pPr>
            <w:r>
              <w:rPr>
                <w:spacing w:val="-5"/>
                <w:sz w:val="20"/>
              </w:rPr>
              <w:t>203</w:t>
            </w:r>
          </w:p>
          <w:p>
            <w:pPr>
              <w:pStyle w:val="TableParagraph"/>
              <w:spacing w:line="218" w:lineRule="exact"/>
              <w:ind w:left="279"/>
              <w:rPr>
                <w:sz w:val="20"/>
              </w:rPr>
            </w:pPr>
            <w:r>
              <w:rPr>
                <w:spacing w:val="-5"/>
                <w:sz w:val="20"/>
              </w:rPr>
              <w:t>23</w:t>
            </w:r>
          </w:p>
        </w:tc>
        <w:tc>
          <w:tcPr>
            <w:tcW w:w="738" w:type="dxa"/>
            <w:tcBorders>
              <w:right w:val="single" w:sz="4" w:space="0" w:color="000000"/>
            </w:tcBorders>
          </w:tcPr>
          <w:p>
            <w:pPr>
              <w:pStyle w:val="TableParagraph"/>
              <w:spacing w:before="48"/>
              <w:ind w:left="197"/>
              <w:rPr>
                <w:sz w:val="20"/>
              </w:rPr>
            </w:pPr>
            <w:r>
              <w:rPr>
                <w:spacing w:val="-4"/>
                <w:sz w:val="20"/>
              </w:rPr>
              <w:t>43.8</w:t>
            </w:r>
          </w:p>
          <w:p>
            <w:pPr>
              <w:pStyle w:val="TableParagraph"/>
              <w:spacing w:line="218" w:lineRule="exact"/>
              <w:ind w:left="250"/>
              <w:rPr>
                <w:sz w:val="20"/>
              </w:rPr>
            </w:pPr>
            <w:r>
              <w:rPr>
                <w:spacing w:val="-5"/>
                <w:sz w:val="20"/>
              </w:rPr>
              <w:t>5.0</w:t>
            </w:r>
          </w:p>
        </w:tc>
      </w:tr>
      <w:tr>
        <w:trPr>
          <w:trHeight w:val="235" w:hRule="atLeast"/>
        </w:trPr>
        <w:tc>
          <w:tcPr>
            <w:tcW w:w="4146" w:type="dxa"/>
            <w:tcBorders>
              <w:left w:val="single" w:sz="4" w:space="0" w:color="000000"/>
            </w:tcBorders>
          </w:tcPr>
          <w:p>
            <w:pPr>
              <w:pStyle w:val="TableParagraph"/>
              <w:tabs>
                <w:tab w:pos="609" w:val="left" w:leader="none"/>
              </w:tabs>
              <w:spacing w:line="213" w:lineRule="exact" w:before="2"/>
              <w:ind w:right="101"/>
              <w:jc w:val="right"/>
              <w:rPr>
                <w:sz w:val="20"/>
              </w:rPr>
            </w:pPr>
            <w:r>
              <w:rPr>
                <w:spacing w:val="-5"/>
                <w:sz w:val="20"/>
              </w:rPr>
              <w:t>80.</w:t>
            </w:r>
            <w:r>
              <w:rPr>
                <w:sz w:val="20"/>
              </w:rPr>
              <w:tab/>
              <w:t>Learning</w:t>
            </w:r>
            <w:r>
              <w:rPr>
                <w:spacing w:val="72"/>
                <w:sz w:val="20"/>
              </w:rPr>
              <w:t> </w:t>
            </w:r>
            <w:r>
              <w:rPr>
                <w:sz w:val="20"/>
              </w:rPr>
              <w:t>can</w:t>
            </w:r>
            <w:r>
              <w:rPr>
                <w:spacing w:val="72"/>
                <w:sz w:val="20"/>
              </w:rPr>
              <w:t> </w:t>
            </w:r>
            <w:r>
              <w:rPr>
                <w:sz w:val="20"/>
              </w:rPr>
              <w:t>be</w:t>
            </w:r>
            <w:r>
              <w:rPr>
                <w:spacing w:val="73"/>
                <w:sz w:val="20"/>
              </w:rPr>
              <w:t> </w:t>
            </w:r>
            <w:r>
              <w:rPr>
                <w:sz w:val="20"/>
              </w:rPr>
              <w:t>adventurous</w:t>
            </w:r>
            <w:r>
              <w:rPr>
                <w:spacing w:val="70"/>
                <w:sz w:val="20"/>
              </w:rPr>
              <w:t> </w:t>
            </w:r>
            <w:r>
              <w:rPr>
                <w:spacing w:val="-5"/>
                <w:sz w:val="20"/>
              </w:rPr>
              <w:t>for</w:t>
            </w:r>
          </w:p>
        </w:tc>
        <w:tc>
          <w:tcPr>
            <w:tcW w:w="1795" w:type="dxa"/>
          </w:tcPr>
          <w:p>
            <w:pPr>
              <w:pStyle w:val="TableParagraph"/>
              <w:spacing w:line="213" w:lineRule="exact" w:before="2"/>
              <w:ind w:left="111"/>
              <w:rPr>
                <w:sz w:val="20"/>
              </w:rPr>
            </w:pPr>
            <w:r>
              <w:rPr>
                <w:sz w:val="20"/>
              </w:rPr>
              <w:t>No.</w:t>
            </w:r>
            <w:r>
              <w:rPr>
                <w:spacing w:val="-5"/>
                <w:sz w:val="20"/>
              </w:rPr>
              <w:t> </w:t>
            </w:r>
            <w:r>
              <w:rPr>
                <w:sz w:val="20"/>
              </w:rPr>
              <w:t>of</w:t>
            </w:r>
            <w:r>
              <w:rPr>
                <w:spacing w:val="-2"/>
                <w:sz w:val="20"/>
              </w:rPr>
              <w:t> missing</w:t>
            </w:r>
          </w:p>
        </w:tc>
        <w:tc>
          <w:tcPr>
            <w:tcW w:w="677" w:type="dxa"/>
          </w:tcPr>
          <w:p>
            <w:pPr>
              <w:pStyle w:val="TableParagraph"/>
              <w:rPr>
                <w:rFonts w:ascii="Times New Roman"/>
                <w:sz w:val="16"/>
              </w:rPr>
            </w:pPr>
          </w:p>
        </w:tc>
        <w:tc>
          <w:tcPr>
            <w:tcW w:w="832" w:type="dxa"/>
          </w:tcPr>
          <w:p>
            <w:pPr>
              <w:pStyle w:val="TableParagraph"/>
              <w:rPr>
                <w:rFonts w:ascii="Times New Roman"/>
                <w:sz w:val="16"/>
              </w:rPr>
            </w:pPr>
          </w:p>
        </w:tc>
        <w:tc>
          <w:tcPr>
            <w:tcW w:w="609" w:type="dxa"/>
          </w:tcPr>
          <w:p>
            <w:pPr>
              <w:pStyle w:val="TableParagraph"/>
              <w:rPr>
                <w:rFonts w:ascii="Times New Roman"/>
                <w:sz w:val="16"/>
              </w:rPr>
            </w:pPr>
          </w:p>
        </w:tc>
        <w:tc>
          <w:tcPr>
            <w:tcW w:w="803" w:type="dxa"/>
          </w:tcPr>
          <w:p>
            <w:pPr>
              <w:pStyle w:val="TableParagraph"/>
              <w:rPr>
                <w:rFonts w:ascii="Times New Roman"/>
                <w:sz w:val="16"/>
              </w:rPr>
            </w:pPr>
          </w:p>
        </w:tc>
        <w:tc>
          <w:tcPr>
            <w:tcW w:w="685" w:type="dxa"/>
          </w:tcPr>
          <w:p>
            <w:pPr>
              <w:pStyle w:val="TableParagraph"/>
              <w:rPr>
                <w:rFonts w:ascii="Times New Roman"/>
                <w:sz w:val="16"/>
              </w:rPr>
            </w:pPr>
          </w:p>
        </w:tc>
        <w:tc>
          <w:tcPr>
            <w:tcW w:w="901" w:type="dxa"/>
          </w:tcPr>
          <w:p>
            <w:pPr>
              <w:pStyle w:val="TableParagraph"/>
              <w:rPr>
                <w:rFonts w:ascii="Times New Roman"/>
                <w:sz w:val="16"/>
              </w:rPr>
            </w:pPr>
          </w:p>
        </w:tc>
        <w:tc>
          <w:tcPr>
            <w:tcW w:w="709" w:type="dxa"/>
          </w:tcPr>
          <w:p>
            <w:pPr>
              <w:pStyle w:val="TableParagraph"/>
              <w:rPr>
                <w:rFonts w:ascii="Times New Roman"/>
                <w:sz w:val="16"/>
              </w:rPr>
            </w:pPr>
          </w:p>
        </w:tc>
        <w:tc>
          <w:tcPr>
            <w:tcW w:w="769" w:type="dxa"/>
          </w:tcPr>
          <w:p>
            <w:pPr>
              <w:pStyle w:val="TableParagraph"/>
              <w:rPr>
                <w:rFonts w:ascii="Times New Roman"/>
                <w:sz w:val="16"/>
              </w:rPr>
            </w:pPr>
          </w:p>
        </w:tc>
        <w:tc>
          <w:tcPr>
            <w:tcW w:w="631" w:type="dxa"/>
          </w:tcPr>
          <w:p>
            <w:pPr>
              <w:pStyle w:val="TableParagraph"/>
              <w:rPr>
                <w:rFonts w:ascii="Times New Roman"/>
                <w:sz w:val="16"/>
              </w:rPr>
            </w:pPr>
          </w:p>
        </w:tc>
        <w:tc>
          <w:tcPr>
            <w:tcW w:w="738" w:type="dxa"/>
          </w:tcPr>
          <w:p>
            <w:pPr>
              <w:pStyle w:val="TableParagraph"/>
              <w:rPr>
                <w:rFonts w:ascii="Times New Roman"/>
                <w:sz w:val="16"/>
              </w:rPr>
            </w:pPr>
          </w:p>
        </w:tc>
        <w:tc>
          <w:tcPr>
            <w:tcW w:w="720" w:type="dxa"/>
          </w:tcPr>
          <w:p>
            <w:pPr>
              <w:pStyle w:val="TableParagraph"/>
              <w:rPr>
                <w:rFonts w:ascii="Times New Roman"/>
                <w:sz w:val="16"/>
              </w:rPr>
            </w:pPr>
          </w:p>
        </w:tc>
        <w:tc>
          <w:tcPr>
            <w:tcW w:w="738" w:type="dxa"/>
            <w:tcBorders>
              <w:right w:val="single" w:sz="4" w:space="0" w:color="000000"/>
            </w:tcBorders>
          </w:tcPr>
          <w:p>
            <w:pPr>
              <w:pStyle w:val="TableParagraph"/>
              <w:rPr>
                <w:rFonts w:ascii="Times New Roman"/>
                <w:sz w:val="16"/>
              </w:rPr>
            </w:pPr>
          </w:p>
        </w:tc>
      </w:tr>
      <w:tr>
        <w:trPr>
          <w:trHeight w:val="230" w:hRule="atLeast"/>
        </w:trPr>
        <w:tc>
          <w:tcPr>
            <w:tcW w:w="4146" w:type="dxa"/>
            <w:tcBorders>
              <w:left w:val="single" w:sz="4" w:space="0" w:color="000000"/>
            </w:tcBorders>
          </w:tcPr>
          <w:p>
            <w:pPr>
              <w:pStyle w:val="TableParagraph"/>
              <w:spacing w:line="210" w:lineRule="exact"/>
              <w:ind w:right="99"/>
              <w:jc w:val="right"/>
              <w:rPr>
                <w:sz w:val="20"/>
              </w:rPr>
            </w:pPr>
            <w:r>
              <w:rPr>
                <w:sz w:val="20"/>
              </w:rPr>
              <w:t>students</w:t>
            </w:r>
            <w:r>
              <w:rPr>
                <w:spacing w:val="20"/>
                <w:sz w:val="20"/>
              </w:rPr>
              <w:t> </w:t>
            </w:r>
            <w:r>
              <w:rPr>
                <w:sz w:val="20"/>
              </w:rPr>
              <w:t>with</w:t>
            </w:r>
            <w:r>
              <w:rPr>
                <w:spacing w:val="16"/>
                <w:sz w:val="20"/>
              </w:rPr>
              <w:t> </w:t>
            </w:r>
            <w:r>
              <w:rPr>
                <w:sz w:val="20"/>
              </w:rPr>
              <w:t>lots</w:t>
            </w:r>
            <w:r>
              <w:rPr>
                <w:spacing w:val="12"/>
                <w:sz w:val="20"/>
              </w:rPr>
              <w:t> </w:t>
            </w:r>
            <w:r>
              <w:rPr>
                <w:sz w:val="20"/>
              </w:rPr>
              <w:t>of</w:t>
            </w:r>
            <w:r>
              <w:rPr>
                <w:spacing w:val="23"/>
                <w:sz w:val="20"/>
              </w:rPr>
              <w:t> </w:t>
            </w:r>
            <w:r>
              <w:rPr>
                <w:sz w:val="20"/>
              </w:rPr>
              <w:t>well</w:t>
            </w:r>
            <w:r>
              <w:rPr>
                <w:spacing w:val="20"/>
                <w:sz w:val="20"/>
              </w:rPr>
              <w:t> </w:t>
            </w:r>
            <w:r>
              <w:rPr>
                <w:spacing w:val="-2"/>
                <w:sz w:val="20"/>
              </w:rPr>
              <w:t>organized</w:t>
            </w:r>
          </w:p>
        </w:tc>
        <w:tc>
          <w:tcPr>
            <w:tcW w:w="1795" w:type="dxa"/>
          </w:tcPr>
          <w:p>
            <w:pPr>
              <w:pStyle w:val="TableParagraph"/>
              <w:spacing w:line="210" w:lineRule="exact"/>
              <w:ind w:left="111"/>
              <w:rPr>
                <w:sz w:val="20"/>
              </w:rPr>
            </w:pPr>
            <w:r>
              <w:rPr>
                <w:spacing w:val="-2"/>
                <w:sz w:val="20"/>
              </w:rPr>
              <w:t>observations</w:t>
            </w:r>
          </w:p>
        </w:tc>
        <w:tc>
          <w:tcPr>
            <w:tcW w:w="677" w:type="dxa"/>
          </w:tcPr>
          <w:p>
            <w:pPr>
              <w:pStyle w:val="TableParagraph"/>
              <w:spacing w:line="210" w:lineRule="exact"/>
              <w:ind w:left="66" w:right="4"/>
              <w:jc w:val="center"/>
              <w:rPr>
                <w:sz w:val="20"/>
              </w:rPr>
            </w:pPr>
            <w:r>
              <w:rPr>
                <w:spacing w:val="-10"/>
                <w:sz w:val="20"/>
              </w:rPr>
              <w:t>1</w:t>
            </w:r>
          </w:p>
        </w:tc>
        <w:tc>
          <w:tcPr>
            <w:tcW w:w="832" w:type="dxa"/>
          </w:tcPr>
          <w:p>
            <w:pPr>
              <w:pStyle w:val="TableParagraph"/>
              <w:spacing w:line="210" w:lineRule="exact"/>
              <w:ind w:left="115" w:right="119"/>
              <w:jc w:val="center"/>
              <w:rPr>
                <w:sz w:val="20"/>
              </w:rPr>
            </w:pPr>
            <w:r>
              <w:rPr>
                <w:spacing w:val="-4"/>
                <w:sz w:val="20"/>
              </w:rPr>
              <w:t>50.0</w:t>
            </w:r>
          </w:p>
        </w:tc>
        <w:tc>
          <w:tcPr>
            <w:tcW w:w="609" w:type="dxa"/>
          </w:tcPr>
          <w:p>
            <w:pPr>
              <w:pStyle w:val="TableParagraph"/>
              <w:spacing w:line="210" w:lineRule="exact"/>
              <w:ind w:right="12"/>
              <w:jc w:val="center"/>
              <w:rPr>
                <w:sz w:val="20"/>
              </w:rPr>
            </w:pPr>
            <w:r>
              <w:rPr>
                <w:spacing w:val="-10"/>
                <w:sz w:val="20"/>
              </w:rPr>
              <w:t>-</w:t>
            </w:r>
          </w:p>
        </w:tc>
        <w:tc>
          <w:tcPr>
            <w:tcW w:w="803" w:type="dxa"/>
          </w:tcPr>
          <w:p>
            <w:pPr>
              <w:pStyle w:val="TableParagraph"/>
              <w:spacing w:line="210" w:lineRule="exact"/>
              <w:ind w:left="20" w:right="7"/>
              <w:jc w:val="center"/>
              <w:rPr>
                <w:sz w:val="20"/>
              </w:rPr>
            </w:pPr>
            <w:r>
              <w:rPr>
                <w:spacing w:val="-10"/>
                <w:sz w:val="20"/>
              </w:rPr>
              <w:t>-</w:t>
            </w:r>
          </w:p>
        </w:tc>
        <w:tc>
          <w:tcPr>
            <w:tcW w:w="685" w:type="dxa"/>
          </w:tcPr>
          <w:p>
            <w:pPr>
              <w:pStyle w:val="TableParagraph"/>
              <w:spacing w:line="210" w:lineRule="exact"/>
              <w:ind w:left="59" w:right="84"/>
              <w:jc w:val="center"/>
              <w:rPr>
                <w:sz w:val="20"/>
              </w:rPr>
            </w:pPr>
            <w:r>
              <w:rPr>
                <w:spacing w:val="-10"/>
                <w:sz w:val="20"/>
              </w:rPr>
              <w:t>1</w:t>
            </w:r>
          </w:p>
        </w:tc>
        <w:tc>
          <w:tcPr>
            <w:tcW w:w="901" w:type="dxa"/>
          </w:tcPr>
          <w:p>
            <w:pPr>
              <w:pStyle w:val="TableParagraph"/>
              <w:spacing w:line="210" w:lineRule="exact"/>
              <w:ind w:left="27"/>
              <w:jc w:val="center"/>
              <w:rPr>
                <w:sz w:val="20"/>
              </w:rPr>
            </w:pPr>
            <w:r>
              <w:rPr>
                <w:spacing w:val="-4"/>
                <w:sz w:val="20"/>
              </w:rPr>
              <w:t>50.0</w:t>
            </w:r>
          </w:p>
        </w:tc>
        <w:tc>
          <w:tcPr>
            <w:tcW w:w="709" w:type="dxa"/>
          </w:tcPr>
          <w:p>
            <w:pPr>
              <w:pStyle w:val="TableParagraph"/>
              <w:spacing w:line="210" w:lineRule="exact"/>
              <w:ind w:left="63" w:right="20"/>
              <w:jc w:val="center"/>
              <w:rPr>
                <w:sz w:val="20"/>
              </w:rPr>
            </w:pPr>
            <w:r>
              <w:rPr>
                <w:spacing w:val="-10"/>
                <w:sz w:val="20"/>
              </w:rPr>
              <w:t>-</w:t>
            </w:r>
          </w:p>
        </w:tc>
        <w:tc>
          <w:tcPr>
            <w:tcW w:w="769" w:type="dxa"/>
          </w:tcPr>
          <w:p>
            <w:pPr>
              <w:pStyle w:val="TableParagraph"/>
              <w:spacing w:line="210" w:lineRule="exact"/>
              <w:ind w:left="11" w:right="6"/>
              <w:jc w:val="center"/>
              <w:rPr>
                <w:sz w:val="20"/>
              </w:rPr>
            </w:pPr>
            <w:r>
              <w:rPr>
                <w:spacing w:val="-10"/>
                <w:sz w:val="20"/>
              </w:rPr>
              <w:t>-</w:t>
            </w:r>
          </w:p>
        </w:tc>
        <w:tc>
          <w:tcPr>
            <w:tcW w:w="631" w:type="dxa"/>
          </w:tcPr>
          <w:p>
            <w:pPr>
              <w:pStyle w:val="TableParagraph"/>
              <w:spacing w:line="210" w:lineRule="exact"/>
              <w:ind w:left="33" w:right="8"/>
              <w:jc w:val="center"/>
              <w:rPr>
                <w:sz w:val="20"/>
              </w:rPr>
            </w:pPr>
            <w:r>
              <w:rPr>
                <w:spacing w:val="-10"/>
                <w:sz w:val="20"/>
              </w:rPr>
              <w:t>-</w:t>
            </w:r>
          </w:p>
        </w:tc>
        <w:tc>
          <w:tcPr>
            <w:tcW w:w="738" w:type="dxa"/>
          </w:tcPr>
          <w:p>
            <w:pPr>
              <w:pStyle w:val="TableParagraph"/>
              <w:spacing w:line="210" w:lineRule="exact"/>
              <w:ind w:left="84" w:right="7"/>
              <w:jc w:val="center"/>
              <w:rPr>
                <w:sz w:val="20"/>
              </w:rPr>
            </w:pPr>
            <w:r>
              <w:rPr>
                <w:spacing w:val="-10"/>
                <w:sz w:val="20"/>
              </w:rPr>
              <w:t>-</w:t>
            </w:r>
          </w:p>
        </w:tc>
        <w:tc>
          <w:tcPr>
            <w:tcW w:w="720" w:type="dxa"/>
          </w:tcPr>
          <w:p>
            <w:pPr>
              <w:pStyle w:val="TableParagraph"/>
              <w:spacing w:line="210" w:lineRule="exact"/>
              <w:ind w:left="102" w:right="36"/>
              <w:jc w:val="center"/>
              <w:rPr>
                <w:sz w:val="20"/>
              </w:rPr>
            </w:pPr>
            <w:r>
              <w:rPr>
                <w:spacing w:val="-10"/>
                <w:sz w:val="20"/>
              </w:rPr>
              <w:t>2</w:t>
            </w:r>
          </w:p>
        </w:tc>
        <w:tc>
          <w:tcPr>
            <w:tcW w:w="738" w:type="dxa"/>
            <w:tcBorders>
              <w:right w:val="single" w:sz="4" w:space="0" w:color="000000"/>
            </w:tcBorders>
          </w:tcPr>
          <w:p>
            <w:pPr>
              <w:pStyle w:val="TableParagraph"/>
              <w:spacing w:line="210" w:lineRule="exact"/>
              <w:ind w:left="62" w:right="14"/>
              <w:jc w:val="center"/>
              <w:rPr>
                <w:sz w:val="20"/>
              </w:rPr>
            </w:pPr>
            <w:r>
              <w:rPr>
                <w:spacing w:val="-5"/>
                <w:sz w:val="20"/>
              </w:rPr>
              <w:t>0.4</w:t>
            </w:r>
          </w:p>
        </w:tc>
      </w:tr>
      <w:tr>
        <w:trPr>
          <w:trHeight w:val="235" w:hRule="atLeast"/>
        </w:trPr>
        <w:tc>
          <w:tcPr>
            <w:tcW w:w="4146" w:type="dxa"/>
            <w:tcBorders>
              <w:left w:val="single" w:sz="4" w:space="0" w:color="000000"/>
            </w:tcBorders>
          </w:tcPr>
          <w:p>
            <w:pPr>
              <w:pStyle w:val="TableParagraph"/>
              <w:spacing w:line="215" w:lineRule="exact"/>
              <w:ind w:left="830"/>
              <w:rPr>
                <w:sz w:val="20"/>
              </w:rPr>
            </w:pPr>
            <w:r>
              <w:rPr>
                <w:sz w:val="20"/>
              </w:rPr>
              <w:t>field</w:t>
            </w:r>
            <w:r>
              <w:rPr>
                <w:spacing w:val="-8"/>
                <w:sz w:val="20"/>
              </w:rPr>
              <w:t> </w:t>
            </w:r>
            <w:r>
              <w:rPr>
                <w:sz w:val="20"/>
              </w:rPr>
              <w:t>trips/works</w:t>
            </w:r>
            <w:r>
              <w:rPr>
                <w:spacing w:val="-9"/>
                <w:sz w:val="20"/>
              </w:rPr>
              <w:t> </w:t>
            </w:r>
            <w:r>
              <w:rPr>
                <w:sz w:val="20"/>
              </w:rPr>
              <w:t>and</w:t>
            </w:r>
            <w:r>
              <w:rPr>
                <w:spacing w:val="-7"/>
                <w:sz w:val="20"/>
              </w:rPr>
              <w:t> </w:t>
            </w:r>
            <w:r>
              <w:rPr>
                <w:spacing w:val="-2"/>
                <w:sz w:val="20"/>
              </w:rPr>
              <w:t>practicals.</w:t>
            </w:r>
          </w:p>
        </w:tc>
        <w:tc>
          <w:tcPr>
            <w:tcW w:w="1795" w:type="dxa"/>
          </w:tcPr>
          <w:p>
            <w:pPr>
              <w:pStyle w:val="TableParagraph"/>
              <w:spacing w:line="215" w:lineRule="exact"/>
              <w:ind w:left="111"/>
              <w:rPr>
                <w:sz w:val="20"/>
              </w:rPr>
            </w:pPr>
            <w:r>
              <w:rPr>
                <w:spacing w:val="-2"/>
                <w:sz w:val="20"/>
              </w:rPr>
              <w:t>Students</w:t>
            </w:r>
          </w:p>
        </w:tc>
        <w:tc>
          <w:tcPr>
            <w:tcW w:w="677" w:type="dxa"/>
          </w:tcPr>
          <w:p>
            <w:pPr>
              <w:pStyle w:val="TableParagraph"/>
              <w:spacing w:line="215" w:lineRule="exact"/>
              <w:ind w:left="62" w:right="10"/>
              <w:jc w:val="center"/>
              <w:rPr>
                <w:sz w:val="20"/>
              </w:rPr>
            </w:pPr>
            <w:r>
              <w:rPr>
                <w:spacing w:val="-5"/>
                <w:sz w:val="20"/>
              </w:rPr>
              <w:t>126</w:t>
            </w:r>
          </w:p>
        </w:tc>
        <w:tc>
          <w:tcPr>
            <w:tcW w:w="832" w:type="dxa"/>
          </w:tcPr>
          <w:p>
            <w:pPr>
              <w:pStyle w:val="TableParagraph"/>
              <w:spacing w:line="215" w:lineRule="exact"/>
              <w:ind w:right="119"/>
              <w:jc w:val="center"/>
              <w:rPr>
                <w:sz w:val="20"/>
              </w:rPr>
            </w:pPr>
            <w:r>
              <w:rPr>
                <w:spacing w:val="-4"/>
                <w:sz w:val="20"/>
              </w:rPr>
              <w:t>53.6</w:t>
            </w:r>
          </w:p>
        </w:tc>
        <w:tc>
          <w:tcPr>
            <w:tcW w:w="609" w:type="dxa"/>
          </w:tcPr>
          <w:p>
            <w:pPr>
              <w:pStyle w:val="TableParagraph"/>
              <w:spacing w:line="215" w:lineRule="exact"/>
              <w:ind w:left="2" w:right="12"/>
              <w:jc w:val="center"/>
              <w:rPr>
                <w:sz w:val="20"/>
              </w:rPr>
            </w:pPr>
            <w:r>
              <w:rPr>
                <w:spacing w:val="-5"/>
                <w:sz w:val="20"/>
              </w:rPr>
              <w:t>78</w:t>
            </w:r>
          </w:p>
        </w:tc>
        <w:tc>
          <w:tcPr>
            <w:tcW w:w="803" w:type="dxa"/>
          </w:tcPr>
          <w:p>
            <w:pPr>
              <w:pStyle w:val="TableParagraph"/>
              <w:spacing w:line="215" w:lineRule="exact"/>
              <w:ind w:left="20"/>
              <w:jc w:val="center"/>
              <w:rPr>
                <w:sz w:val="20"/>
              </w:rPr>
            </w:pPr>
            <w:r>
              <w:rPr>
                <w:spacing w:val="-4"/>
                <w:sz w:val="20"/>
              </w:rPr>
              <w:t>33.2</w:t>
            </w:r>
          </w:p>
        </w:tc>
        <w:tc>
          <w:tcPr>
            <w:tcW w:w="685" w:type="dxa"/>
          </w:tcPr>
          <w:p>
            <w:pPr>
              <w:pStyle w:val="TableParagraph"/>
              <w:spacing w:line="215" w:lineRule="exact"/>
              <w:ind w:left="59" w:right="89"/>
              <w:jc w:val="center"/>
              <w:rPr>
                <w:sz w:val="20"/>
              </w:rPr>
            </w:pPr>
            <w:r>
              <w:rPr>
                <w:spacing w:val="-5"/>
                <w:sz w:val="20"/>
              </w:rPr>
              <w:t>21</w:t>
            </w:r>
          </w:p>
        </w:tc>
        <w:tc>
          <w:tcPr>
            <w:tcW w:w="901" w:type="dxa"/>
          </w:tcPr>
          <w:p>
            <w:pPr>
              <w:pStyle w:val="TableParagraph"/>
              <w:spacing w:line="215" w:lineRule="exact"/>
              <w:ind w:left="27" w:right="5"/>
              <w:jc w:val="center"/>
              <w:rPr>
                <w:sz w:val="20"/>
              </w:rPr>
            </w:pPr>
            <w:r>
              <w:rPr>
                <w:spacing w:val="-5"/>
                <w:sz w:val="20"/>
              </w:rPr>
              <w:t>8.9</w:t>
            </w:r>
          </w:p>
        </w:tc>
        <w:tc>
          <w:tcPr>
            <w:tcW w:w="709" w:type="dxa"/>
          </w:tcPr>
          <w:p>
            <w:pPr>
              <w:pStyle w:val="TableParagraph"/>
              <w:spacing w:line="215" w:lineRule="exact"/>
              <w:ind w:left="69" w:right="20"/>
              <w:jc w:val="center"/>
              <w:rPr>
                <w:sz w:val="20"/>
              </w:rPr>
            </w:pPr>
            <w:r>
              <w:rPr>
                <w:spacing w:val="-10"/>
                <w:sz w:val="20"/>
              </w:rPr>
              <w:t>8</w:t>
            </w:r>
          </w:p>
        </w:tc>
        <w:tc>
          <w:tcPr>
            <w:tcW w:w="769" w:type="dxa"/>
          </w:tcPr>
          <w:p>
            <w:pPr>
              <w:pStyle w:val="TableParagraph"/>
              <w:spacing w:line="215" w:lineRule="exact"/>
              <w:ind w:left="11" w:right="5"/>
              <w:jc w:val="center"/>
              <w:rPr>
                <w:sz w:val="20"/>
              </w:rPr>
            </w:pPr>
            <w:r>
              <w:rPr>
                <w:spacing w:val="-5"/>
                <w:sz w:val="20"/>
              </w:rPr>
              <w:t>3.4</w:t>
            </w:r>
          </w:p>
        </w:tc>
        <w:tc>
          <w:tcPr>
            <w:tcW w:w="631" w:type="dxa"/>
          </w:tcPr>
          <w:p>
            <w:pPr>
              <w:pStyle w:val="TableParagraph"/>
              <w:spacing w:line="215" w:lineRule="exact"/>
              <w:ind w:left="33" w:right="1"/>
              <w:jc w:val="center"/>
              <w:rPr>
                <w:sz w:val="20"/>
              </w:rPr>
            </w:pPr>
            <w:r>
              <w:rPr>
                <w:spacing w:val="-10"/>
                <w:sz w:val="20"/>
              </w:rPr>
              <w:t>2</w:t>
            </w:r>
          </w:p>
        </w:tc>
        <w:tc>
          <w:tcPr>
            <w:tcW w:w="738" w:type="dxa"/>
          </w:tcPr>
          <w:p>
            <w:pPr>
              <w:pStyle w:val="TableParagraph"/>
              <w:spacing w:line="215" w:lineRule="exact"/>
              <w:ind w:left="84" w:right="5"/>
              <w:jc w:val="center"/>
              <w:rPr>
                <w:sz w:val="20"/>
              </w:rPr>
            </w:pPr>
            <w:r>
              <w:rPr>
                <w:spacing w:val="-5"/>
                <w:sz w:val="20"/>
              </w:rPr>
              <w:t>0.9</w:t>
            </w:r>
          </w:p>
        </w:tc>
        <w:tc>
          <w:tcPr>
            <w:tcW w:w="720" w:type="dxa"/>
          </w:tcPr>
          <w:p>
            <w:pPr>
              <w:pStyle w:val="TableParagraph"/>
              <w:spacing w:line="215" w:lineRule="exact"/>
              <w:ind w:left="92" w:right="36"/>
              <w:jc w:val="center"/>
              <w:rPr>
                <w:sz w:val="20"/>
              </w:rPr>
            </w:pPr>
            <w:r>
              <w:rPr>
                <w:spacing w:val="-5"/>
                <w:sz w:val="20"/>
              </w:rPr>
              <w:t>235</w:t>
            </w:r>
          </w:p>
        </w:tc>
        <w:tc>
          <w:tcPr>
            <w:tcW w:w="738" w:type="dxa"/>
            <w:tcBorders>
              <w:right w:val="single" w:sz="4" w:space="0" w:color="000000"/>
            </w:tcBorders>
          </w:tcPr>
          <w:p>
            <w:pPr>
              <w:pStyle w:val="TableParagraph"/>
              <w:spacing w:line="215" w:lineRule="exact"/>
              <w:ind w:left="67" w:right="14"/>
              <w:jc w:val="center"/>
              <w:rPr>
                <w:sz w:val="20"/>
              </w:rPr>
            </w:pPr>
            <w:r>
              <w:rPr>
                <w:spacing w:val="-4"/>
                <w:sz w:val="20"/>
              </w:rPr>
              <w:t>50.8</w:t>
            </w:r>
          </w:p>
        </w:tc>
      </w:tr>
      <w:tr>
        <w:trPr>
          <w:trHeight w:val="235" w:hRule="atLeast"/>
        </w:trPr>
        <w:tc>
          <w:tcPr>
            <w:tcW w:w="4146" w:type="dxa"/>
            <w:tcBorders>
              <w:left w:val="single" w:sz="4" w:space="0" w:color="000000"/>
            </w:tcBorders>
          </w:tcPr>
          <w:p>
            <w:pPr>
              <w:pStyle w:val="TableParagraph"/>
              <w:rPr>
                <w:rFonts w:ascii="Times New Roman"/>
                <w:sz w:val="16"/>
              </w:rPr>
            </w:pPr>
          </w:p>
        </w:tc>
        <w:tc>
          <w:tcPr>
            <w:tcW w:w="1795" w:type="dxa"/>
          </w:tcPr>
          <w:p>
            <w:pPr>
              <w:pStyle w:val="TableParagraph"/>
              <w:spacing w:line="213" w:lineRule="exact" w:before="2"/>
              <w:ind w:left="111"/>
              <w:rPr>
                <w:sz w:val="20"/>
              </w:rPr>
            </w:pPr>
            <w:r>
              <w:rPr>
                <w:sz w:val="20"/>
              </w:rPr>
              <w:t>Service</w:t>
            </w:r>
            <w:r>
              <w:rPr>
                <w:spacing w:val="-9"/>
                <w:sz w:val="20"/>
              </w:rPr>
              <w:t> </w:t>
            </w:r>
            <w:r>
              <w:rPr>
                <w:spacing w:val="-2"/>
                <w:sz w:val="20"/>
              </w:rPr>
              <w:t>Staff</w:t>
            </w:r>
          </w:p>
        </w:tc>
        <w:tc>
          <w:tcPr>
            <w:tcW w:w="677" w:type="dxa"/>
          </w:tcPr>
          <w:p>
            <w:pPr>
              <w:pStyle w:val="TableParagraph"/>
              <w:spacing w:line="213" w:lineRule="exact" w:before="2"/>
              <w:ind w:left="62" w:right="5"/>
              <w:jc w:val="center"/>
              <w:rPr>
                <w:sz w:val="20"/>
              </w:rPr>
            </w:pPr>
            <w:r>
              <w:rPr>
                <w:spacing w:val="-5"/>
                <w:sz w:val="20"/>
              </w:rPr>
              <w:t>90</w:t>
            </w:r>
          </w:p>
        </w:tc>
        <w:tc>
          <w:tcPr>
            <w:tcW w:w="832" w:type="dxa"/>
          </w:tcPr>
          <w:p>
            <w:pPr>
              <w:pStyle w:val="TableParagraph"/>
              <w:spacing w:line="213" w:lineRule="exact" w:before="2"/>
              <w:ind w:left="115" w:right="119"/>
              <w:jc w:val="center"/>
              <w:rPr>
                <w:sz w:val="20"/>
              </w:rPr>
            </w:pPr>
            <w:r>
              <w:rPr>
                <w:spacing w:val="-4"/>
                <w:sz w:val="20"/>
              </w:rPr>
              <w:t>44.3</w:t>
            </w:r>
          </w:p>
        </w:tc>
        <w:tc>
          <w:tcPr>
            <w:tcW w:w="609" w:type="dxa"/>
          </w:tcPr>
          <w:p>
            <w:pPr>
              <w:pStyle w:val="TableParagraph"/>
              <w:spacing w:line="213" w:lineRule="exact" w:before="2"/>
              <w:ind w:left="2" w:right="12"/>
              <w:jc w:val="center"/>
              <w:rPr>
                <w:sz w:val="20"/>
              </w:rPr>
            </w:pPr>
            <w:r>
              <w:rPr>
                <w:spacing w:val="-5"/>
                <w:sz w:val="20"/>
              </w:rPr>
              <w:t>87</w:t>
            </w:r>
          </w:p>
        </w:tc>
        <w:tc>
          <w:tcPr>
            <w:tcW w:w="803" w:type="dxa"/>
          </w:tcPr>
          <w:p>
            <w:pPr>
              <w:pStyle w:val="TableParagraph"/>
              <w:spacing w:line="213" w:lineRule="exact" w:before="2"/>
              <w:ind w:left="20"/>
              <w:jc w:val="center"/>
              <w:rPr>
                <w:sz w:val="20"/>
              </w:rPr>
            </w:pPr>
            <w:r>
              <w:rPr>
                <w:spacing w:val="-4"/>
                <w:sz w:val="20"/>
              </w:rPr>
              <w:t>42.9</w:t>
            </w:r>
          </w:p>
        </w:tc>
        <w:tc>
          <w:tcPr>
            <w:tcW w:w="685" w:type="dxa"/>
          </w:tcPr>
          <w:p>
            <w:pPr>
              <w:pStyle w:val="TableParagraph"/>
              <w:spacing w:line="213" w:lineRule="exact" w:before="2"/>
              <w:ind w:left="59" w:right="89"/>
              <w:jc w:val="center"/>
              <w:rPr>
                <w:sz w:val="20"/>
              </w:rPr>
            </w:pPr>
            <w:r>
              <w:rPr>
                <w:spacing w:val="-5"/>
                <w:sz w:val="20"/>
              </w:rPr>
              <w:t>18</w:t>
            </w:r>
          </w:p>
        </w:tc>
        <w:tc>
          <w:tcPr>
            <w:tcW w:w="901" w:type="dxa"/>
          </w:tcPr>
          <w:p>
            <w:pPr>
              <w:pStyle w:val="TableParagraph"/>
              <w:spacing w:line="213" w:lineRule="exact" w:before="2"/>
              <w:ind w:left="27" w:right="5"/>
              <w:jc w:val="center"/>
              <w:rPr>
                <w:sz w:val="20"/>
              </w:rPr>
            </w:pPr>
            <w:r>
              <w:rPr>
                <w:spacing w:val="-5"/>
                <w:sz w:val="20"/>
              </w:rPr>
              <w:t>8.9</w:t>
            </w:r>
          </w:p>
        </w:tc>
        <w:tc>
          <w:tcPr>
            <w:tcW w:w="709" w:type="dxa"/>
          </w:tcPr>
          <w:p>
            <w:pPr>
              <w:pStyle w:val="TableParagraph"/>
              <w:spacing w:line="213" w:lineRule="exact" w:before="2"/>
              <w:ind w:left="69" w:right="20"/>
              <w:jc w:val="center"/>
              <w:rPr>
                <w:sz w:val="20"/>
              </w:rPr>
            </w:pPr>
            <w:r>
              <w:rPr>
                <w:spacing w:val="-10"/>
                <w:sz w:val="20"/>
              </w:rPr>
              <w:t>5</w:t>
            </w:r>
          </w:p>
        </w:tc>
        <w:tc>
          <w:tcPr>
            <w:tcW w:w="769" w:type="dxa"/>
          </w:tcPr>
          <w:p>
            <w:pPr>
              <w:pStyle w:val="TableParagraph"/>
              <w:spacing w:line="213" w:lineRule="exact" w:before="2"/>
              <w:ind w:left="11" w:right="5"/>
              <w:jc w:val="center"/>
              <w:rPr>
                <w:sz w:val="20"/>
              </w:rPr>
            </w:pPr>
            <w:r>
              <w:rPr>
                <w:spacing w:val="-5"/>
                <w:sz w:val="20"/>
              </w:rPr>
              <w:t>2.5</w:t>
            </w:r>
          </w:p>
        </w:tc>
        <w:tc>
          <w:tcPr>
            <w:tcW w:w="631" w:type="dxa"/>
          </w:tcPr>
          <w:p>
            <w:pPr>
              <w:pStyle w:val="TableParagraph"/>
              <w:spacing w:line="213" w:lineRule="exact" w:before="2"/>
              <w:ind w:left="33" w:right="1"/>
              <w:jc w:val="center"/>
              <w:rPr>
                <w:sz w:val="20"/>
              </w:rPr>
            </w:pPr>
            <w:r>
              <w:rPr>
                <w:spacing w:val="-10"/>
                <w:sz w:val="20"/>
              </w:rPr>
              <w:t>3</w:t>
            </w:r>
          </w:p>
        </w:tc>
        <w:tc>
          <w:tcPr>
            <w:tcW w:w="738" w:type="dxa"/>
          </w:tcPr>
          <w:p>
            <w:pPr>
              <w:pStyle w:val="TableParagraph"/>
              <w:spacing w:line="213" w:lineRule="exact" w:before="2"/>
              <w:ind w:left="84" w:right="5"/>
              <w:jc w:val="center"/>
              <w:rPr>
                <w:sz w:val="20"/>
              </w:rPr>
            </w:pPr>
            <w:r>
              <w:rPr>
                <w:spacing w:val="-5"/>
                <w:sz w:val="20"/>
              </w:rPr>
              <w:t>1.5</w:t>
            </w:r>
          </w:p>
        </w:tc>
        <w:tc>
          <w:tcPr>
            <w:tcW w:w="720" w:type="dxa"/>
          </w:tcPr>
          <w:p>
            <w:pPr>
              <w:pStyle w:val="TableParagraph"/>
              <w:spacing w:line="213" w:lineRule="exact" w:before="2"/>
              <w:ind w:left="92" w:right="36"/>
              <w:jc w:val="center"/>
              <w:rPr>
                <w:sz w:val="20"/>
              </w:rPr>
            </w:pPr>
            <w:r>
              <w:rPr>
                <w:spacing w:val="-5"/>
                <w:sz w:val="20"/>
              </w:rPr>
              <w:t>203</w:t>
            </w:r>
          </w:p>
        </w:tc>
        <w:tc>
          <w:tcPr>
            <w:tcW w:w="738" w:type="dxa"/>
            <w:tcBorders>
              <w:right w:val="single" w:sz="4" w:space="0" w:color="000000"/>
            </w:tcBorders>
          </w:tcPr>
          <w:p>
            <w:pPr>
              <w:pStyle w:val="TableParagraph"/>
              <w:spacing w:line="213" w:lineRule="exact" w:before="2"/>
              <w:ind w:left="67" w:right="14"/>
              <w:jc w:val="center"/>
              <w:rPr>
                <w:sz w:val="20"/>
              </w:rPr>
            </w:pPr>
            <w:r>
              <w:rPr>
                <w:spacing w:val="-4"/>
                <w:sz w:val="20"/>
              </w:rPr>
              <w:t>43.8</w:t>
            </w:r>
          </w:p>
        </w:tc>
      </w:tr>
      <w:tr>
        <w:trPr>
          <w:trHeight w:val="232" w:hRule="atLeast"/>
        </w:trPr>
        <w:tc>
          <w:tcPr>
            <w:tcW w:w="4146" w:type="dxa"/>
            <w:tcBorders>
              <w:left w:val="single" w:sz="4" w:space="0" w:color="000000"/>
              <w:bottom w:val="single" w:sz="4" w:space="0" w:color="000000"/>
            </w:tcBorders>
          </w:tcPr>
          <w:p>
            <w:pPr>
              <w:pStyle w:val="TableParagraph"/>
              <w:rPr>
                <w:rFonts w:ascii="Times New Roman"/>
                <w:sz w:val="16"/>
              </w:rPr>
            </w:pPr>
          </w:p>
        </w:tc>
        <w:tc>
          <w:tcPr>
            <w:tcW w:w="1795" w:type="dxa"/>
            <w:tcBorders>
              <w:bottom w:val="single" w:sz="4" w:space="0" w:color="000000"/>
            </w:tcBorders>
          </w:tcPr>
          <w:p>
            <w:pPr>
              <w:pStyle w:val="TableParagraph"/>
              <w:spacing w:line="213" w:lineRule="exact"/>
              <w:ind w:left="111"/>
              <w:rPr>
                <w:sz w:val="20"/>
              </w:rPr>
            </w:pPr>
            <w:r>
              <w:rPr>
                <w:sz w:val="20"/>
              </w:rPr>
              <w:t>Top</w:t>
            </w:r>
            <w:r>
              <w:rPr>
                <w:spacing w:val="-1"/>
                <w:sz w:val="20"/>
              </w:rPr>
              <w:t> </w:t>
            </w:r>
            <w:r>
              <w:rPr>
                <w:spacing w:val="-2"/>
                <w:sz w:val="20"/>
              </w:rPr>
              <w:t>Management</w:t>
            </w:r>
          </w:p>
        </w:tc>
        <w:tc>
          <w:tcPr>
            <w:tcW w:w="677" w:type="dxa"/>
            <w:tcBorders>
              <w:bottom w:val="single" w:sz="4" w:space="0" w:color="000000"/>
            </w:tcBorders>
          </w:tcPr>
          <w:p>
            <w:pPr>
              <w:pStyle w:val="TableParagraph"/>
              <w:spacing w:line="213" w:lineRule="exact"/>
              <w:ind w:left="62" w:right="5"/>
              <w:jc w:val="center"/>
              <w:rPr>
                <w:sz w:val="20"/>
              </w:rPr>
            </w:pPr>
            <w:r>
              <w:rPr>
                <w:spacing w:val="-5"/>
                <w:sz w:val="20"/>
              </w:rPr>
              <w:t>11</w:t>
            </w:r>
          </w:p>
        </w:tc>
        <w:tc>
          <w:tcPr>
            <w:tcW w:w="832" w:type="dxa"/>
            <w:tcBorders>
              <w:bottom w:val="single" w:sz="4" w:space="0" w:color="000000"/>
            </w:tcBorders>
          </w:tcPr>
          <w:p>
            <w:pPr>
              <w:pStyle w:val="TableParagraph"/>
              <w:spacing w:line="213" w:lineRule="exact"/>
              <w:ind w:left="115" w:right="119"/>
              <w:jc w:val="center"/>
              <w:rPr>
                <w:sz w:val="20"/>
              </w:rPr>
            </w:pPr>
            <w:r>
              <w:rPr>
                <w:spacing w:val="-4"/>
                <w:sz w:val="20"/>
              </w:rPr>
              <w:t>47.8</w:t>
            </w:r>
          </w:p>
        </w:tc>
        <w:tc>
          <w:tcPr>
            <w:tcW w:w="609" w:type="dxa"/>
            <w:tcBorders>
              <w:bottom w:val="single" w:sz="4" w:space="0" w:color="000000"/>
            </w:tcBorders>
          </w:tcPr>
          <w:p>
            <w:pPr>
              <w:pStyle w:val="TableParagraph"/>
              <w:spacing w:line="213" w:lineRule="exact"/>
              <w:ind w:left="7" w:right="12"/>
              <w:jc w:val="center"/>
              <w:rPr>
                <w:sz w:val="20"/>
              </w:rPr>
            </w:pPr>
            <w:r>
              <w:rPr>
                <w:spacing w:val="-10"/>
                <w:sz w:val="20"/>
              </w:rPr>
              <w:t>9</w:t>
            </w:r>
          </w:p>
        </w:tc>
        <w:tc>
          <w:tcPr>
            <w:tcW w:w="803" w:type="dxa"/>
            <w:tcBorders>
              <w:bottom w:val="single" w:sz="4" w:space="0" w:color="000000"/>
            </w:tcBorders>
          </w:tcPr>
          <w:p>
            <w:pPr>
              <w:pStyle w:val="TableParagraph"/>
              <w:spacing w:line="213" w:lineRule="exact"/>
              <w:ind w:left="20"/>
              <w:jc w:val="center"/>
              <w:rPr>
                <w:sz w:val="20"/>
              </w:rPr>
            </w:pPr>
            <w:r>
              <w:rPr>
                <w:spacing w:val="-4"/>
                <w:sz w:val="20"/>
              </w:rPr>
              <w:t>39.1</w:t>
            </w:r>
          </w:p>
        </w:tc>
        <w:tc>
          <w:tcPr>
            <w:tcW w:w="685" w:type="dxa"/>
            <w:tcBorders>
              <w:bottom w:val="single" w:sz="4" w:space="0" w:color="000000"/>
            </w:tcBorders>
          </w:tcPr>
          <w:p>
            <w:pPr>
              <w:pStyle w:val="TableParagraph"/>
              <w:spacing w:line="213" w:lineRule="exact"/>
              <w:ind w:left="59" w:right="84"/>
              <w:jc w:val="center"/>
              <w:rPr>
                <w:sz w:val="20"/>
              </w:rPr>
            </w:pPr>
            <w:r>
              <w:rPr>
                <w:spacing w:val="-10"/>
                <w:sz w:val="20"/>
              </w:rPr>
              <w:t>3</w:t>
            </w:r>
          </w:p>
        </w:tc>
        <w:tc>
          <w:tcPr>
            <w:tcW w:w="901" w:type="dxa"/>
            <w:tcBorders>
              <w:bottom w:val="single" w:sz="4" w:space="0" w:color="000000"/>
            </w:tcBorders>
          </w:tcPr>
          <w:p>
            <w:pPr>
              <w:pStyle w:val="TableParagraph"/>
              <w:spacing w:line="213" w:lineRule="exact"/>
              <w:ind w:left="27"/>
              <w:jc w:val="center"/>
              <w:rPr>
                <w:sz w:val="20"/>
              </w:rPr>
            </w:pPr>
            <w:r>
              <w:rPr>
                <w:spacing w:val="-4"/>
                <w:sz w:val="20"/>
              </w:rPr>
              <w:t>13.0</w:t>
            </w:r>
          </w:p>
        </w:tc>
        <w:tc>
          <w:tcPr>
            <w:tcW w:w="709" w:type="dxa"/>
            <w:tcBorders>
              <w:bottom w:val="single" w:sz="4" w:space="0" w:color="000000"/>
            </w:tcBorders>
          </w:tcPr>
          <w:p>
            <w:pPr>
              <w:pStyle w:val="TableParagraph"/>
              <w:spacing w:line="213" w:lineRule="exact"/>
              <w:ind w:left="63" w:right="20"/>
              <w:jc w:val="center"/>
              <w:rPr>
                <w:sz w:val="20"/>
              </w:rPr>
            </w:pPr>
            <w:r>
              <w:rPr>
                <w:spacing w:val="-10"/>
                <w:sz w:val="20"/>
              </w:rPr>
              <w:t>-</w:t>
            </w:r>
          </w:p>
        </w:tc>
        <w:tc>
          <w:tcPr>
            <w:tcW w:w="769" w:type="dxa"/>
            <w:tcBorders>
              <w:bottom w:val="single" w:sz="4" w:space="0" w:color="000000"/>
            </w:tcBorders>
          </w:tcPr>
          <w:p>
            <w:pPr>
              <w:pStyle w:val="TableParagraph"/>
              <w:spacing w:line="213" w:lineRule="exact"/>
              <w:ind w:left="11" w:right="6"/>
              <w:jc w:val="center"/>
              <w:rPr>
                <w:sz w:val="20"/>
              </w:rPr>
            </w:pPr>
            <w:r>
              <w:rPr>
                <w:spacing w:val="-10"/>
                <w:sz w:val="20"/>
              </w:rPr>
              <w:t>-</w:t>
            </w:r>
          </w:p>
        </w:tc>
        <w:tc>
          <w:tcPr>
            <w:tcW w:w="631" w:type="dxa"/>
            <w:tcBorders>
              <w:bottom w:val="single" w:sz="4" w:space="0" w:color="000000"/>
            </w:tcBorders>
          </w:tcPr>
          <w:p>
            <w:pPr>
              <w:pStyle w:val="TableParagraph"/>
              <w:spacing w:line="213" w:lineRule="exact"/>
              <w:ind w:left="33" w:right="8"/>
              <w:jc w:val="center"/>
              <w:rPr>
                <w:sz w:val="20"/>
              </w:rPr>
            </w:pPr>
            <w:r>
              <w:rPr>
                <w:spacing w:val="-10"/>
                <w:sz w:val="20"/>
              </w:rPr>
              <w:t>-</w:t>
            </w:r>
          </w:p>
        </w:tc>
        <w:tc>
          <w:tcPr>
            <w:tcW w:w="738" w:type="dxa"/>
            <w:tcBorders>
              <w:bottom w:val="single" w:sz="4" w:space="0" w:color="000000"/>
            </w:tcBorders>
          </w:tcPr>
          <w:p>
            <w:pPr>
              <w:pStyle w:val="TableParagraph"/>
              <w:spacing w:line="213" w:lineRule="exact"/>
              <w:ind w:left="84" w:right="7"/>
              <w:jc w:val="center"/>
              <w:rPr>
                <w:sz w:val="20"/>
              </w:rPr>
            </w:pPr>
            <w:r>
              <w:rPr>
                <w:spacing w:val="-10"/>
                <w:sz w:val="20"/>
              </w:rPr>
              <w:t>-</w:t>
            </w:r>
          </w:p>
        </w:tc>
        <w:tc>
          <w:tcPr>
            <w:tcW w:w="720" w:type="dxa"/>
            <w:tcBorders>
              <w:bottom w:val="single" w:sz="4" w:space="0" w:color="000000"/>
            </w:tcBorders>
          </w:tcPr>
          <w:p>
            <w:pPr>
              <w:pStyle w:val="TableParagraph"/>
              <w:spacing w:line="213" w:lineRule="exact"/>
              <w:ind w:left="97" w:right="36"/>
              <w:jc w:val="center"/>
              <w:rPr>
                <w:sz w:val="20"/>
              </w:rPr>
            </w:pPr>
            <w:r>
              <w:rPr>
                <w:spacing w:val="-5"/>
                <w:sz w:val="20"/>
              </w:rPr>
              <w:t>23</w:t>
            </w:r>
          </w:p>
        </w:tc>
        <w:tc>
          <w:tcPr>
            <w:tcW w:w="738" w:type="dxa"/>
            <w:tcBorders>
              <w:bottom w:val="single" w:sz="4" w:space="0" w:color="000000"/>
              <w:right w:val="single" w:sz="4" w:space="0" w:color="000000"/>
            </w:tcBorders>
          </w:tcPr>
          <w:p>
            <w:pPr>
              <w:pStyle w:val="TableParagraph"/>
              <w:spacing w:line="213" w:lineRule="exact"/>
              <w:ind w:left="62" w:right="14"/>
              <w:jc w:val="center"/>
              <w:rPr>
                <w:sz w:val="20"/>
              </w:rPr>
            </w:pPr>
            <w:r>
              <w:rPr>
                <w:spacing w:val="-5"/>
                <w:sz w:val="20"/>
              </w:rPr>
              <w:t>5.0</w:t>
            </w:r>
          </w:p>
        </w:tc>
      </w:tr>
    </w:tbl>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spacing w:before="222"/>
        <w:rPr>
          <w:rFonts w:ascii="Arial"/>
          <w:b/>
          <w:sz w:val="28"/>
        </w:rPr>
      </w:pPr>
    </w:p>
    <w:p>
      <w:pPr>
        <w:pStyle w:val="BodyText"/>
        <w:spacing w:before="1"/>
        <w:ind w:left="3" w:right="433"/>
        <w:jc w:val="center"/>
        <w:rPr>
          <w:rFonts w:ascii="Times New Roman"/>
        </w:rPr>
      </w:pPr>
      <w:r>
        <w:rPr>
          <w:rFonts w:ascii="Times New Roman"/>
          <w:spacing w:val="-5"/>
        </w:rPr>
        <w:t>166</w:t>
      </w:r>
    </w:p>
    <w:p>
      <w:pPr>
        <w:spacing w:after="0"/>
        <w:jc w:val="center"/>
        <w:rPr>
          <w:rFonts w:ascii="Times New Roman"/>
        </w:rPr>
        <w:sectPr>
          <w:headerReference w:type="default" r:id="rId373"/>
          <w:footerReference w:type="default" r:id="rId374"/>
          <w:pgSz w:w="15840" w:h="12240" w:orient="landscape"/>
          <w:pgMar w:header="0" w:footer="0" w:top="640" w:bottom="280" w:left="500" w:right="360"/>
        </w:sectPr>
      </w:pPr>
    </w:p>
    <w:p>
      <w:pPr>
        <w:pStyle w:val="BodyText"/>
        <w:spacing w:line="480" w:lineRule="auto" w:before="82"/>
        <w:ind w:left="820" w:right="115" w:firstLine="720"/>
        <w:jc w:val="both"/>
      </w:pPr>
      <w:r>
        <w:rPr/>
        <w:t>Item</w:t>
      </w:r>
      <w:r>
        <w:rPr>
          <w:spacing w:val="-1"/>
        </w:rPr>
        <w:t> </w:t>
      </w:r>
      <w:r>
        <w:rPr/>
        <w:t>77 wanted to find out on whether or not classrooms and lecture halls were adequate to accommodate students at lecture hours. 87.3 percent of students, 83.3 percent of service staff and 95.6 percent of top management shared the same opinion that the classroom, laboratory, workshop and field trip facilities were inadequate in the universities. While some faculties had few</w:t>
      </w:r>
      <w:r>
        <w:rPr>
          <w:spacing w:val="80"/>
        </w:rPr>
        <w:t> </w:t>
      </w:r>
      <w:r>
        <w:rPr/>
        <w:t>lecture theatres to share, others had smaller classroom, which could</w:t>
      </w:r>
      <w:r>
        <w:rPr>
          <w:spacing w:val="40"/>
        </w:rPr>
        <w:t> </w:t>
      </w:r>
      <w:r>
        <w:rPr/>
        <w:t>not accommodate all the students with larger population particularly in general </w:t>
      </w:r>
      <w:r>
        <w:rPr>
          <w:spacing w:val="-2"/>
        </w:rPr>
        <w:t>courses.</w:t>
      </w:r>
    </w:p>
    <w:p>
      <w:pPr>
        <w:pStyle w:val="BodyText"/>
        <w:spacing w:line="480" w:lineRule="auto"/>
        <w:ind w:left="820" w:right="114" w:firstLine="720"/>
        <w:jc w:val="both"/>
      </w:pPr>
      <w:r>
        <w:rPr/>
        <w:t>Looking at</w:t>
      </w:r>
      <w:r>
        <w:rPr>
          <w:spacing w:val="-1"/>
        </w:rPr>
        <w:t> </w:t>
      </w:r>
      <w:r>
        <w:rPr/>
        <w:t>the responses</w:t>
      </w:r>
      <w:r>
        <w:rPr>
          <w:spacing w:val="-1"/>
        </w:rPr>
        <w:t> </w:t>
      </w:r>
      <w:r>
        <w:rPr/>
        <w:t>of</w:t>
      </w:r>
      <w:r>
        <w:rPr>
          <w:spacing w:val="-1"/>
        </w:rPr>
        <w:t> </w:t>
      </w:r>
      <w:r>
        <w:rPr/>
        <w:t>the respondents</w:t>
      </w:r>
      <w:r>
        <w:rPr>
          <w:spacing w:val="-1"/>
        </w:rPr>
        <w:t> </w:t>
      </w:r>
      <w:r>
        <w:rPr/>
        <w:t>in item</w:t>
      </w:r>
      <w:r>
        <w:rPr>
          <w:spacing w:val="-9"/>
        </w:rPr>
        <w:t> </w:t>
      </w:r>
      <w:r>
        <w:rPr/>
        <w:t>78 there was</w:t>
      </w:r>
      <w:r>
        <w:rPr>
          <w:spacing w:val="-1"/>
        </w:rPr>
        <w:t> </w:t>
      </w:r>
      <w:r>
        <w:rPr/>
        <w:t>a strong belief that teaching and learning facilities, equipment, tools and even seating arrangements were not adequate to facilitate better learning environment for students. Students were usually seen standing, squatting and even peeping through the windows particularly, during larger lectures. Such posture could not allow them to get full concentration. This view was seen in the opinions of 83.4 percent of students, 82.3 percent of service staff and 100 percent of top management. With this high consensus in positive agreement, there is the need for universities to provide more of these facilities.</w:t>
      </w:r>
    </w:p>
    <w:p>
      <w:pPr>
        <w:pStyle w:val="BodyText"/>
        <w:spacing w:line="480" w:lineRule="auto" w:before="1"/>
        <w:ind w:left="820" w:right="115" w:firstLine="720"/>
        <w:jc w:val="both"/>
      </w:pPr>
      <w:r>
        <w:rPr/>
        <w:t>Due to sharing of the limited learning, teaching and laboratory facilities in the overcrowded manner, some universities were said to be producing half- baked technologist and scientists. This opinion was shared by 84.7 percent, of students, 80.2 percent of service staff and 95.7 percent of top management as expressed by item 79.</w:t>
      </w:r>
    </w:p>
    <w:p>
      <w:pPr>
        <w:pStyle w:val="BodyText"/>
        <w:spacing w:line="480" w:lineRule="auto"/>
        <w:ind w:left="820" w:right="116" w:firstLine="720"/>
        <w:jc w:val="both"/>
      </w:pPr>
      <w:r>
        <w:rPr/>
        <w:t>The view of respondents on item 80 that learning could be as exciting as adventurous</w:t>
      </w:r>
      <w:r>
        <w:rPr>
          <w:spacing w:val="55"/>
        </w:rPr>
        <w:t> </w:t>
      </w:r>
      <w:r>
        <w:rPr/>
        <w:t>for</w:t>
      </w:r>
      <w:r>
        <w:rPr>
          <w:spacing w:val="56"/>
        </w:rPr>
        <w:t> </w:t>
      </w:r>
      <w:r>
        <w:rPr/>
        <w:t>students</w:t>
      </w:r>
      <w:r>
        <w:rPr>
          <w:spacing w:val="55"/>
        </w:rPr>
        <w:t> </w:t>
      </w:r>
      <w:r>
        <w:rPr/>
        <w:t>when</w:t>
      </w:r>
      <w:r>
        <w:rPr>
          <w:spacing w:val="56"/>
        </w:rPr>
        <w:t> </w:t>
      </w:r>
      <w:r>
        <w:rPr/>
        <w:t>relevant</w:t>
      </w:r>
      <w:r>
        <w:rPr>
          <w:spacing w:val="55"/>
        </w:rPr>
        <w:t> </w:t>
      </w:r>
      <w:r>
        <w:rPr/>
        <w:t>field</w:t>
      </w:r>
      <w:r>
        <w:rPr>
          <w:spacing w:val="56"/>
        </w:rPr>
        <w:t> </w:t>
      </w:r>
      <w:r>
        <w:rPr/>
        <w:t>trips,</w:t>
      </w:r>
      <w:r>
        <w:rPr>
          <w:spacing w:val="55"/>
        </w:rPr>
        <w:t> </w:t>
      </w:r>
      <w:r>
        <w:rPr/>
        <w:t>practical</w:t>
      </w:r>
      <w:r>
        <w:rPr>
          <w:spacing w:val="60"/>
        </w:rPr>
        <w:t> </w:t>
      </w:r>
      <w:r>
        <w:rPr/>
        <w:t>visits,</w:t>
      </w:r>
      <w:r>
        <w:rPr>
          <w:spacing w:val="55"/>
        </w:rPr>
        <w:t> </w:t>
      </w:r>
      <w:r>
        <w:rPr/>
        <w:t>tours</w:t>
      </w:r>
      <w:r>
        <w:rPr>
          <w:spacing w:val="55"/>
        </w:rPr>
        <w:t> </w:t>
      </w:r>
      <w:r>
        <w:rPr>
          <w:spacing w:val="-5"/>
        </w:rPr>
        <w:t>and</w:t>
      </w:r>
    </w:p>
    <w:p>
      <w:pPr>
        <w:spacing w:after="0" w:line="480" w:lineRule="auto"/>
        <w:jc w:val="both"/>
        <w:sectPr>
          <w:headerReference w:type="default" r:id="rId375"/>
          <w:footerReference w:type="default" r:id="rId376"/>
          <w:pgSz w:w="12240" w:h="15840"/>
          <w:pgMar w:header="722" w:footer="791" w:top="1340" w:bottom="980" w:left="1340" w:right="1320"/>
          <w:pgNumType w:start="167"/>
        </w:sectPr>
      </w:pPr>
    </w:p>
    <w:p>
      <w:pPr>
        <w:pStyle w:val="BodyText"/>
        <w:spacing w:before="82"/>
        <w:ind w:left="820"/>
      </w:pPr>
      <w:r>
        <w:rPr/>
        <w:t>excursions</w:t>
      </w:r>
      <w:r>
        <w:rPr>
          <w:spacing w:val="13"/>
        </w:rPr>
        <w:t> </w:t>
      </w:r>
      <w:r>
        <w:rPr/>
        <w:t>are</w:t>
      </w:r>
      <w:r>
        <w:rPr>
          <w:spacing w:val="15"/>
        </w:rPr>
        <w:t> </w:t>
      </w:r>
      <w:r>
        <w:rPr/>
        <w:t>well</w:t>
      </w:r>
      <w:r>
        <w:rPr>
          <w:spacing w:val="17"/>
        </w:rPr>
        <w:t> </w:t>
      </w:r>
      <w:r>
        <w:rPr/>
        <w:t>organized.</w:t>
      </w:r>
      <w:r>
        <w:rPr>
          <w:spacing w:val="15"/>
        </w:rPr>
        <w:t> </w:t>
      </w:r>
      <w:r>
        <w:rPr/>
        <w:t>This</w:t>
      </w:r>
      <w:r>
        <w:rPr>
          <w:spacing w:val="13"/>
        </w:rPr>
        <w:t> </w:t>
      </w:r>
      <w:r>
        <w:rPr/>
        <w:t>was</w:t>
      </w:r>
      <w:r>
        <w:rPr>
          <w:spacing w:val="14"/>
        </w:rPr>
        <w:t> </w:t>
      </w:r>
      <w:r>
        <w:rPr/>
        <w:t>supported</w:t>
      </w:r>
      <w:r>
        <w:rPr>
          <w:spacing w:val="14"/>
        </w:rPr>
        <w:t> </w:t>
      </w:r>
      <w:r>
        <w:rPr/>
        <w:t>by</w:t>
      </w:r>
      <w:r>
        <w:rPr>
          <w:spacing w:val="14"/>
        </w:rPr>
        <w:t> </w:t>
      </w:r>
      <w:r>
        <w:rPr/>
        <w:t>86.8</w:t>
      </w:r>
      <w:r>
        <w:rPr>
          <w:spacing w:val="14"/>
        </w:rPr>
        <w:t> </w:t>
      </w:r>
      <w:r>
        <w:rPr/>
        <w:t>percent</w:t>
      </w:r>
      <w:r>
        <w:rPr>
          <w:spacing w:val="15"/>
        </w:rPr>
        <w:t> </w:t>
      </w:r>
      <w:r>
        <w:rPr/>
        <w:t>of</w:t>
      </w:r>
      <w:r>
        <w:rPr>
          <w:spacing w:val="15"/>
        </w:rPr>
        <w:t> </w:t>
      </w:r>
      <w:r>
        <w:rPr>
          <w:spacing w:val="-2"/>
        </w:rPr>
        <w:t>students,</w:t>
      </w:r>
    </w:p>
    <w:p>
      <w:pPr>
        <w:pStyle w:val="BodyText"/>
      </w:pPr>
    </w:p>
    <w:p>
      <w:pPr>
        <w:pStyle w:val="BodyText"/>
        <w:spacing w:line="480" w:lineRule="auto"/>
        <w:ind w:left="820" w:right="121"/>
        <w:jc w:val="both"/>
      </w:pPr>
      <w:r>
        <w:rPr/>
        <w:t>87.2 percent of service staff and 86.9 percent of top management staff. Only a negligible percent could not share this opinion. It could be concluded that with well organized field practical work, students would get exposed face to face with realities and their level and scope of awareness could become widened.</w:t>
      </w:r>
    </w:p>
    <w:p>
      <w:pPr>
        <w:pStyle w:val="Heading2"/>
        <w:numPr>
          <w:ilvl w:val="3"/>
          <w:numId w:val="39"/>
        </w:numPr>
        <w:tabs>
          <w:tab w:pos="1540" w:val="left" w:leader="none"/>
          <w:tab w:pos="2269" w:val="left" w:leader="none"/>
          <w:tab w:pos="3411" w:val="left" w:leader="none"/>
          <w:tab w:pos="4141" w:val="left" w:leader="none"/>
          <w:tab w:pos="5609" w:val="left" w:leader="none"/>
          <w:tab w:pos="6108" w:val="left" w:leader="none"/>
          <w:tab w:pos="7884" w:val="left" w:leader="none"/>
        </w:tabs>
        <w:spacing w:line="240" w:lineRule="auto" w:before="0" w:after="0"/>
        <w:ind w:left="1540" w:right="118" w:hanging="1440"/>
        <w:jc w:val="left"/>
        <w:rPr>
          <w:rFonts w:ascii="Arial MT" w:hAnsi="Arial MT"/>
          <w:b w:val="0"/>
        </w:rPr>
      </w:pPr>
      <w:r>
        <w:rPr>
          <w:spacing w:val="-4"/>
        </w:rPr>
        <w:t>The</w:t>
      </w:r>
      <w:r>
        <w:rPr/>
        <w:tab/>
      </w:r>
      <w:r>
        <w:rPr>
          <w:spacing w:val="-2"/>
        </w:rPr>
        <w:t>impact</w:t>
      </w:r>
      <w:r>
        <w:rPr/>
        <w:tab/>
      </w:r>
      <w:r>
        <w:rPr>
          <w:spacing w:val="-4"/>
        </w:rPr>
        <w:t>and</w:t>
      </w:r>
      <w:r>
        <w:rPr/>
        <w:tab/>
      </w:r>
      <w:r>
        <w:rPr>
          <w:spacing w:val="-2"/>
        </w:rPr>
        <w:t>influence</w:t>
      </w:r>
      <w:r>
        <w:rPr/>
        <w:tab/>
      </w:r>
      <w:r>
        <w:rPr>
          <w:spacing w:val="-6"/>
        </w:rPr>
        <w:t>of</w:t>
      </w:r>
      <w:r>
        <w:rPr/>
        <w:tab/>
      </w:r>
      <w:r>
        <w:rPr>
          <w:spacing w:val="-2"/>
        </w:rPr>
        <w:t>information</w:t>
      </w:r>
      <w:r>
        <w:rPr/>
        <w:tab/>
      </w:r>
      <w:r>
        <w:rPr>
          <w:spacing w:val="-2"/>
        </w:rPr>
        <w:t>Technology </w:t>
      </w:r>
      <w:r>
        <w:rPr/>
        <w:t>services on students’ welfare</w:t>
      </w:r>
    </w:p>
    <w:p>
      <w:pPr>
        <w:pStyle w:val="BodyText"/>
        <w:spacing w:line="480" w:lineRule="auto" w:before="278"/>
        <w:ind w:left="820" w:right="114" w:firstLine="720"/>
        <w:jc w:val="both"/>
      </w:pPr>
      <w:r>
        <w:rPr/>
        <w:t>This section dealt with the provision of modern information technological devices</w:t>
      </w:r>
      <w:r>
        <w:rPr>
          <w:spacing w:val="-3"/>
        </w:rPr>
        <w:t> </w:t>
      </w:r>
      <w:r>
        <w:rPr/>
        <w:t>such as computers, internet</w:t>
      </w:r>
      <w:r>
        <w:rPr>
          <w:spacing w:val="-2"/>
        </w:rPr>
        <w:t> </w:t>
      </w:r>
      <w:r>
        <w:rPr/>
        <w:t>cafes, fax</w:t>
      </w:r>
      <w:r>
        <w:rPr>
          <w:spacing w:val="-3"/>
        </w:rPr>
        <w:t> </w:t>
      </w:r>
      <w:r>
        <w:rPr/>
        <w:t>and publication equipment. These devices were seen as aids to faster and effective learning. Today, apart from computerization, networking and digitalization of sections in the university have been introduced so as to replace manual works and tap world events easily. Students could conveniently, get their assignments, projects, thesis processed without stress. Thus, items 81 to 84 present the opinions of respondents on this impact</w:t>
      </w:r>
      <w:r>
        <w:rPr>
          <w:spacing w:val="71"/>
          <w:w w:val="150"/>
        </w:rPr>
        <w:t> </w:t>
      </w:r>
      <w:r>
        <w:rPr/>
        <w:t>in</w:t>
      </w:r>
      <w:r>
        <w:rPr>
          <w:spacing w:val="67"/>
          <w:w w:val="150"/>
        </w:rPr>
        <w:t> </w:t>
      </w:r>
      <w:r>
        <w:rPr/>
        <w:t>frequencies</w:t>
      </w:r>
      <w:r>
        <w:rPr>
          <w:spacing w:val="65"/>
          <w:w w:val="150"/>
        </w:rPr>
        <w:t> </w:t>
      </w:r>
      <w:r>
        <w:rPr/>
        <w:t>and</w:t>
      </w:r>
      <w:r>
        <w:rPr>
          <w:spacing w:val="67"/>
          <w:w w:val="150"/>
        </w:rPr>
        <w:t> </w:t>
      </w:r>
      <w:r>
        <w:rPr/>
        <w:t>simple</w:t>
      </w:r>
      <w:r>
        <w:rPr>
          <w:spacing w:val="71"/>
          <w:w w:val="150"/>
        </w:rPr>
        <w:t> </w:t>
      </w:r>
      <w:r>
        <w:rPr/>
        <w:t>percentages</w:t>
      </w:r>
      <w:r>
        <w:rPr>
          <w:spacing w:val="70"/>
          <w:w w:val="150"/>
        </w:rPr>
        <w:t> </w:t>
      </w:r>
      <w:r>
        <w:rPr/>
        <w:t>as</w:t>
      </w:r>
      <w:r>
        <w:rPr>
          <w:spacing w:val="66"/>
          <w:w w:val="150"/>
        </w:rPr>
        <w:t> </w:t>
      </w:r>
      <w:r>
        <w:rPr/>
        <w:t>shown</w:t>
      </w:r>
      <w:r>
        <w:rPr>
          <w:spacing w:val="71"/>
          <w:w w:val="150"/>
        </w:rPr>
        <w:t> </w:t>
      </w:r>
      <w:r>
        <w:rPr/>
        <w:t>in</w:t>
      </w:r>
      <w:r>
        <w:rPr>
          <w:spacing w:val="67"/>
          <w:w w:val="150"/>
        </w:rPr>
        <w:t> </w:t>
      </w:r>
      <w:r>
        <w:rPr/>
        <w:t>Table</w:t>
      </w:r>
      <w:r>
        <w:rPr>
          <w:spacing w:val="66"/>
          <w:w w:val="150"/>
        </w:rPr>
        <w:t> </w:t>
      </w:r>
      <w:r>
        <w:rPr>
          <w:spacing w:val="-2"/>
        </w:rPr>
        <w:t>4.4.3.</w:t>
      </w:r>
    </w:p>
    <w:p>
      <w:pPr>
        <w:spacing w:after="0" w:line="480" w:lineRule="auto"/>
        <w:jc w:val="both"/>
        <w:sectPr>
          <w:headerReference w:type="default" r:id="rId377"/>
          <w:footerReference w:type="default" r:id="rId378"/>
          <w:pgSz w:w="12240" w:h="15840"/>
          <w:pgMar w:header="722" w:footer="791" w:top="1340" w:bottom="980" w:left="1340" w:right="1320"/>
        </w:sectPr>
      </w:pPr>
    </w:p>
    <w:p>
      <w:pPr>
        <w:pStyle w:val="BodyText"/>
        <w:spacing w:before="72"/>
        <w:ind w:left="3" w:right="433"/>
        <w:jc w:val="center"/>
        <w:rPr>
          <w:rFonts w:ascii="Times New Roman"/>
        </w:rPr>
      </w:pPr>
      <w:r>
        <w:rPr>
          <w:rFonts w:ascii="Times New Roman"/>
          <w:spacing w:val="-5"/>
        </w:rPr>
        <w:t>169</w:t>
      </w:r>
    </w:p>
    <w:p>
      <w:pPr>
        <w:pStyle w:val="BodyText"/>
        <w:spacing w:before="121"/>
        <w:rPr>
          <w:rFonts w:ascii="Times New Roman"/>
          <w:sz w:val="28"/>
        </w:rPr>
      </w:pPr>
    </w:p>
    <w:p>
      <w:pPr>
        <w:pStyle w:val="Heading2"/>
        <w:spacing w:before="1"/>
        <w:ind w:left="2476" w:right="984" w:hanging="1824"/>
      </w:pPr>
      <w:r>
        <w:rPr/>
        <w:t>Table</w:t>
      </w:r>
      <w:r>
        <w:rPr>
          <w:spacing w:val="-2"/>
        </w:rPr>
        <w:t> </w:t>
      </w:r>
      <w:r>
        <w:rPr/>
        <w:t>4.3.2.3:</w:t>
      </w:r>
      <w:r>
        <w:rPr>
          <w:spacing w:val="-2"/>
        </w:rPr>
        <w:t> </w:t>
      </w:r>
      <w:r>
        <w:rPr/>
        <w:t>Opinions</w:t>
      </w:r>
      <w:r>
        <w:rPr>
          <w:spacing w:val="-2"/>
        </w:rPr>
        <w:t> </w:t>
      </w:r>
      <w:r>
        <w:rPr/>
        <w:t>of</w:t>
      </w:r>
      <w:r>
        <w:rPr>
          <w:spacing w:val="-2"/>
        </w:rPr>
        <w:t> </w:t>
      </w:r>
      <w:r>
        <w:rPr/>
        <w:t>respondents</w:t>
      </w:r>
      <w:r>
        <w:rPr>
          <w:spacing w:val="-2"/>
        </w:rPr>
        <w:t> </w:t>
      </w:r>
      <w:r>
        <w:rPr/>
        <w:t>on</w:t>
      </w:r>
      <w:r>
        <w:rPr>
          <w:spacing w:val="-3"/>
        </w:rPr>
        <w:t> </w:t>
      </w:r>
      <w:r>
        <w:rPr/>
        <w:t>the</w:t>
      </w:r>
      <w:r>
        <w:rPr>
          <w:spacing w:val="-7"/>
        </w:rPr>
        <w:t> </w:t>
      </w:r>
      <w:r>
        <w:rPr/>
        <w:t>impact</w:t>
      </w:r>
      <w:r>
        <w:rPr>
          <w:spacing w:val="-3"/>
        </w:rPr>
        <w:t> </w:t>
      </w:r>
      <w:r>
        <w:rPr/>
        <w:t>and</w:t>
      </w:r>
      <w:r>
        <w:rPr>
          <w:spacing w:val="-3"/>
        </w:rPr>
        <w:t> </w:t>
      </w:r>
      <w:r>
        <w:rPr/>
        <w:t>influence</w:t>
      </w:r>
      <w:r>
        <w:rPr>
          <w:spacing w:val="-2"/>
        </w:rPr>
        <w:t> </w:t>
      </w:r>
      <w:r>
        <w:rPr/>
        <w:t>of</w:t>
      </w:r>
      <w:r>
        <w:rPr>
          <w:spacing w:val="-7"/>
        </w:rPr>
        <w:t> </w:t>
      </w:r>
      <w:r>
        <w:rPr/>
        <w:t>Information</w:t>
      </w:r>
      <w:r>
        <w:rPr>
          <w:spacing w:val="-7"/>
        </w:rPr>
        <w:t> </w:t>
      </w:r>
      <w:r>
        <w:rPr/>
        <w:t>Technology service on students’ welfare</w:t>
      </w:r>
    </w:p>
    <w:p>
      <w:pPr>
        <w:pStyle w:val="BodyText"/>
        <w:spacing w:before="55"/>
        <w:rPr>
          <w:rFonts w:ascii="Arial"/>
          <w:b/>
          <w:sz w:val="20"/>
        </w:rPr>
      </w:pPr>
    </w:p>
    <w:tbl>
      <w:tblPr>
        <w:tblW w:w="0" w:type="auto"/>
        <w:jc w:val="left"/>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12"/>
        <w:gridCol w:w="1837"/>
        <w:gridCol w:w="1050"/>
        <w:gridCol w:w="547"/>
        <w:gridCol w:w="1796"/>
        <w:gridCol w:w="707"/>
        <w:gridCol w:w="749"/>
        <w:gridCol w:w="691"/>
        <w:gridCol w:w="777"/>
        <w:gridCol w:w="686"/>
        <w:gridCol w:w="902"/>
        <w:gridCol w:w="684"/>
        <w:gridCol w:w="799"/>
        <w:gridCol w:w="626"/>
        <w:gridCol w:w="770"/>
        <w:gridCol w:w="709"/>
        <w:gridCol w:w="720"/>
      </w:tblGrid>
      <w:tr>
        <w:trPr>
          <w:trHeight w:val="283" w:hRule="exact"/>
        </w:trPr>
        <w:tc>
          <w:tcPr>
            <w:tcW w:w="4146" w:type="dxa"/>
            <w:gridSpan w:val="4"/>
            <w:tcBorders>
              <w:top w:val="single" w:sz="4" w:space="0" w:color="000000"/>
              <w:left w:val="single" w:sz="4" w:space="0" w:color="000000"/>
            </w:tcBorders>
          </w:tcPr>
          <w:p>
            <w:pPr>
              <w:pStyle w:val="TableParagraph"/>
              <w:rPr>
                <w:rFonts w:ascii="Times New Roman"/>
                <w:sz w:val="20"/>
              </w:rPr>
            </w:pPr>
          </w:p>
        </w:tc>
        <w:tc>
          <w:tcPr>
            <w:tcW w:w="1796" w:type="dxa"/>
            <w:tcBorders>
              <w:top w:val="single" w:sz="4" w:space="0" w:color="000000"/>
              <w:right w:val="single" w:sz="4" w:space="0" w:color="000000"/>
            </w:tcBorders>
          </w:tcPr>
          <w:p>
            <w:pPr>
              <w:pStyle w:val="TableParagraph"/>
              <w:rPr>
                <w:rFonts w:ascii="Times New Roman"/>
                <w:sz w:val="20"/>
              </w:rPr>
            </w:pPr>
          </w:p>
        </w:tc>
        <w:tc>
          <w:tcPr>
            <w:tcW w:w="8820" w:type="dxa"/>
            <w:gridSpan w:val="12"/>
            <w:tcBorders>
              <w:top w:val="single" w:sz="4" w:space="0" w:color="000000"/>
              <w:left w:val="single" w:sz="4" w:space="0" w:color="000000"/>
              <w:bottom w:val="single" w:sz="4" w:space="0" w:color="000000"/>
              <w:right w:val="single" w:sz="4" w:space="0" w:color="000000"/>
            </w:tcBorders>
          </w:tcPr>
          <w:p>
            <w:pPr>
              <w:pStyle w:val="TableParagraph"/>
              <w:spacing w:line="253" w:lineRule="exact"/>
              <w:ind w:right="1555"/>
              <w:jc w:val="center"/>
              <w:rPr>
                <w:rFonts w:ascii="Arial"/>
                <w:b/>
                <w:sz w:val="24"/>
              </w:rPr>
            </w:pPr>
            <w:r>
              <w:rPr>
                <w:rFonts w:ascii="Arial"/>
                <w:b/>
                <w:spacing w:val="-2"/>
                <w:sz w:val="24"/>
              </w:rPr>
              <w:t>Responses</w:t>
            </w:r>
          </w:p>
        </w:tc>
      </w:tr>
      <w:tr>
        <w:trPr>
          <w:trHeight w:val="402" w:hRule="exact"/>
        </w:trPr>
        <w:tc>
          <w:tcPr>
            <w:tcW w:w="4146" w:type="dxa"/>
            <w:gridSpan w:val="4"/>
            <w:tcBorders>
              <w:left w:val="single" w:sz="4" w:space="0" w:color="000000"/>
            </w:tcBorders>
          </w:tcPr>
          <w:p>
            <w:pPr>
              <w:pStyle w:val="TableParagraph"/>
              <w:rPr>
                <w:rFonts w:ascii="Times New Roman"/>
                <w:sz w:val="20"/>
              </w:rPr>
            </w:pPr>
          </w:p>
        </w:tc>
        <w:tc>
          <w:tcPr>
            <w:tcW w:w="1796" w:type="dxa"/>
            <w:tcBorders>
              <w:right w:val="single" w:sz="4" w:space="0" w:color="000000"/>
            </w:tcBorders>
          </w:tcPr>
          <w:p>
            <w:pPr>
              <w:pStyle w:val="TableParagraph"/>
              <w:spacing w:line="211" w:lineRule="exact" w:before="172"/>
              <w:ind w:left="106"/>
              <w:rPr>
                <w:rFonts w:ascii="Arial"/>
                <w:b/>
                <w:sz w:val="20"/>
              </w:rPr>
            </w:pPr>
            <w:r>
              <w:rPr>
                <w:rFonts w:ascii="Arial"/>
                <w:b/>
                <w:sz w:val="20"/>
              </w:rPr>
              <w:t>Category</w:t>
            </w:r>
            <w:r>
              <w:rPr>
                <w:rFonts w:ascii="Arial"/>
                <w:b/>
                <w:spacing w:val="-7"/>
                <w:sz w:val="20"/>
              </w:rPr>
              <w:t> </w:t>
            </w:r>
            <w:r>
              <w:rPr>
                <w:rFonts w:ascii="Arial"/>
                <w:b/>
                <w:spacing w:val="-5"/>
                <w:sz w:val="20"/>
              </w:rPr>
              <w:t>of</w:t>
            </w:r>
          </w:p>
        </w:tc>
        <w:tc>
          <w:tcPr>
            <w:tcW w:w="1456" w:type="dxa"/>
            <w:gridSpan w:val="2"/>
            <w:vMerge w:val="restart"/>
            <w:tcBorders>
              <w:top w:val="single" w:sz="4" w:space="0" w:color="000000"/>
              <w:left w:val="single" w:sz="4" w:space="0" w:color="000000"/>
              <w:bottom w:val="single" w:sz="4" w:space="0" w:color="000000"/>
            </w:tcBorders>
          </w:tcPr>
          <w:p>
            <w:pPr>
              <w:pStyle w:val="TableParagraph"/>
              <w:spacing w:line="220" w:lineRule="exact"/>
              <w:ind w:left="136" w:right="152"/>
              <w:jc w:val="center"/>
              <w:rPr>
                <w:rFonts w:ascii="Arial"/>
                <w:b/>
                <w:sz w:val="20"/>
              </w:rPr>
            </w:pPr>
            <w:r>
              <w:rPr>
                <w:rFonts w:ascii="Arial"/>
                <w:b/>
                <w:spacing w:val="-2"/>
                <w:sz w:val="20"/>
              </w:rPr>
              <w:t>Strongly</w:t>
            </w:r>
          </w:p>
          <w:p>
            <w:pPr>
              <w:pStyle w:val="TableParagraph"/>
              <w:spacing w:line="220" w:lineRule="exact"/>
              <w:ind w:left="131" w:right="152"/>
              <w:jc w:val="center"/>
              <w:rPr>
                <w:rFonts w:ascii="Arial"/>
                <w:b/>
                <w:sz w:val="20"/>
              </w:rPr>
            </w:pPr>
            <w:r>
              <w:rPr>
                <w:rFonts w:ascii="Arial"/>
                <w:b/>
                <w:spacing w:val="-2"/>
                <w:sz w:val="20"/>
              </w:rPr>
              <w:t>Agree</w:t>
            </w:r>
          </w:p>
        </w:tc>
        <w:tc>
          <w:tcPr>
            <w:tcW w:w="1468" w:type="dxa"/>
            <w:gridSpan w:val="2"/>
            <w:vMerge w:val="restart"/>
            <w:tcBorders>
              <w:top w:val="single" w:sz="4" w:space="0" w:color="000000"/>
              <w:bottom w:val="single" w:sz="4" w:space="0" w:color="000000"/>
            </w:tcBorders>
          </w:tcPr>
          <w:p>
            <w:pPr>
              <w:pStyle w:val="TableParagraph"/>
              <w:spacing w:line="220" w:lineRule="exact"/>
              <w:ind w:left="421"/>
              <w:rPr>
                <w:rFonts w:ascii="Arial"/>
                <w:b/>
                <w:sz w:val="20"/>
              </w:rPr>
            </w:pPr>
            <w:r>
              <w:rPr>
                <w:rFonts w:ascii="Arial"/>
                <w:b/>
                <w:spacing w:val="-2"/>
                <w:sz w:val="20"/>
              </w:rPr>
              <w:t>Agree</w:t>
            </w:r>
          </w:p>
        </w:tc>
        <w:tc>
          <w:tcPr>
            <w:tcW w:w="1588" w:type="dxa"/>
            <w:gridSpan w:val="2"/>
            <w:vMerge w:val="restart"/>
            <w:tcBorders>
              <w:top w:val="single" w:sz="4" w:space="0" w:color="000000"/>
              <w:bottom w:val="single" w:sz="4" w:space="0" w:color="000000"/>
            </w:tcBorders>
          </w:tcPr>
          <w:p>
            <w:pPr>
              <w:pStyle w:val="TableParagraph"/>
              <w:spacing w:line="220" w:lineRule="exact"/>
              <w:ind w:left="267"/>
              <w:rPr>
                <w:rFonts w:ascii="Arial"/>
                <w:b/>
                <w:sz w:val="20"/>
              </w:rPr>
            </w:pPr>
            <w:r>
              <w:rPr>
                <w:rFonts w:ascii="Arial"/>
                <w:b/>
                <w:spacing w:val="-2"/>
                <w:sz w:val="20"/>
              </w:rPr>
              <w:t>Undecided</w:t>
            </w:r>
          </w:p>
        </w:tc>
        <w:tc>
          <w:tcPr>
            <w:tcW w:w="1483" w:type="dxa"/>
            <w:gridSpan w:val="2"/>
            <w:vMerge w:val="restart"/>
            <w:tcBorders>
              <w:top w:val="single" w:sz="4" w:space="0" w:color="000000"/>
              <w:bottom w:val="single" w:sz="4" w:space="0" w:color="000000"/>
            </w:tcBorders>
          </w:tcPr>
          <w:p>
            <w:pPr>
              <w:pStyle w:val="TableParagraph"/>
              <w:spacing w:line="220" w:lineRule="exact"/>
              <w:ind w:left="301"/>
              <w:rPr>
                <w:rFonts w:ascii="Arial"/>
                <w:b/>
                <w:sz w:val="20"/>
              </w:rPr>
            </w:pPr>
            <w:r>
              <w:rPr>
                <w:rFonts w:ascii="Arial"/>
                <w:b/>
                <w:spacing w:val="-2"/>
                <w:sz w:val="20"/>
              </w:rPr>
              <w:t>Disagree</w:t>
            </w:r>
          </w:p>
        </w:tc>
        <w:tc>
          <w:tcPr>
            <w:tcW w:w="1396" w:type="dxa"/>
            <w:gridSpan w:val="2"/>
            <w:vMerge w:val="restart"/>
            <w:tcBorders>
              <w:top w:val="single" w:sz="4" w:space="0" w:color="000000"/>
              <w:bottom w:val="single" w:sz="4" w:space="0" w:color="000000"/>
            </w:tcBorders>
          </w:tcPr>
          <w:p>
            <w:pPr>
              <w:pStyle w:val="TableParagraph"/>
              <w:spacing w:line="220" w:lineRule="exact"/>
              <w:ind w:left="262"/>
              <w:rPr>
                <w:rFonts w:ascii="Arial"/>
                <w:b/>
                <w:sz w:val="20"/>
              </w:rPr>
            </w:pPr>
            <w:r>
              <w:rPr>
                <w:rFonts w:ascii="Arial"/>
                <w:b/>
                <w:spacing w:val="-2"/>
                <w:sz w:val="20"/>
              </w:rPr>
              <w:t>Strongly</w:t>
            </w:r>
          </w:p>
          <w:p>
            <w:pPr>
              <w:pStyle w:val="TableParagraph"/>
              <w:spacing w:line="220" w:lineRule="exact"/>
              <w:ind w:left="248"/>
              <w:rPr>
                <w:rFonts w:ascii="Arial"/>
                <w:b/>
                <w:sz w:val="20"/>
              </w:rPr>
            </w:pPr>
            <w:r>
              <w:rPr>
                <w:rFonts w:ascii="Arial"/>
                <w:b/>
                <w:spacing w:val="-2"/>
                <w:sz w:val="20"/>
              </w:rPr>
              <w:t>Disagree</w:t>
            </w:r>
          </w:p>
        </w:tc>
        <w:tc>
          <w:tcPr>
            <w:tcW w:w="1429" w:type="dxa"/>
            <w:gridSpan w:val="2"/>
            <w:vMerge w:val="restart"/>
            <w:tcBorders>
              <w:top w:val="single" w:sz="4" w:space="0" w:color="000000"/>
              <w:bottom w:val="single" w:sz="4" w:space="0" w:color="000000"/>
              <w:right w:val="single" w:sz="4" w:space="0" w:color="000000"/>
            </w:tcBorders>
          </w:tcPr>
          <w:p>
            <w:pPr>
              <w:pStyle w:val="TableParagraph"/>
              <w:spacing w:line="220" w:lineRule="exact"/>
              <w:ind w:left="464"/>
              <w:rPr>
                <w:rFonts w:ascii="Arial"/>
                <w:b/>
                <w:sz w:val="20"/>
              </w:rPr>
            </w:pPr>
            <w:r>
              <w:rPr>
                <w:rFonts w:ascii="Arial"/>
                <w:b/>
                <w:spacing w:val="-2"/>
                <w:sz w:val="20"/>
              </w:rPr>
              <w:t>Total</w:t>
            </w:r>
          </w:p>
        </w:tc>
      </w:tr>
      <w:tr>
        <w:trPr>
          <w:trHeight w:val="67" w:hRule="exact"/>
        </w:trPr>
        <w:tc>
          <w:tcPr>
            <w:tcW w:w="712" w:type="dxa"/>
            <w:vMerge w:val="restart"/>
            <w:tcBorders>
              <w:left w:val="single" w:sz="4" w:space="0" w:color="000000"/>
              <w:bottom w:val="single" w:sz="4" w:space="0" w:color="000000"/>
            </w:tcBorders>
          </w:tcPr>
          <w:p>
            <w:pPr>
              <w:pStyle w:val="TableParagraph"/>
              <w:spacing w:line="225" w:lineRule="exact"/>
              <w:ind w:left="129"/>
              <w:rPr>
                <w:rFonts w:ascii="Arial"/>
                <w:b/>
                <w:sz w:val="20"/>
              </w:rPr>
            </w:pPr>
            <w:r>
              <w:rPr>
                <w:rFonts w:ascii="Arial"/>
                <w:b/>
                <w:spacing w:val="-4"/>
                <w:sz w:val="20"/>
              </w:rPr>
              <w:t>S/No</w:t>
            </w:r>
          </w:p>
        </w:tc>
        <w:tc>
          <w:tcPr>
            <w:tcW w:w="1837" w:type="dxa"/>
            <w:vMerge w:val="restart"/>
            <w:tcBorders>
              <w:bottom w:val="single" w:sz="4" w:space="0" w:color="000000"/>
            </w:tcBorders>
          </w:tcPr>
          <w:p>
            <w:pPr>
              <w:pStyle w:val="TableParagraph"/>
              <w:spacing w:line="225" w:lineRule="exact"/>
              <w:ind w:left="118"/>
              <w:rPr>
                <w:rFonts w:ascii="Arial"/>
                <w:b/>
                <w:sz w:val="20"/>
              </w:rPr>
            </w:pPr>
            <w:r>
              <w:rPr>
                <w:rFonts w:ascii="Arial"/>
                <w:b/>
                <w:sz w:val="20"/>
              </w:rPr>
              <w:t>Item</w:t>
            </w:r>
            <w:r>
              <w:rPr>
                <w:rFonts w:ascii="Arial"/>
                <w:b/>
                <w:spacing w:val="-2"/>
                <w:sz w:val="20"/>
              </w:rPr>
              <w:t> Statements</w:t>
            </w:r>
          </w:p>
        </w:tc>
        <w:tc>
          <w:tcPr>
            <w:tcW w:w="1050" w:type="dxa"/>
            <w:vMerge w:val="restart"/>
            <w:tcBorders>
              <w:bottom w:val="single" w:sz="4" w:space="0" w:color="000000"/>
            </w:tcBorders>
          </w:tcPr>
          <w:p>
            <w:pPr>
              <w:pStyle w:val="TableParagraph"/>
              <w:rPr>
                <w:rFonts w:ascii="Times New Roman"/>
                <w:sz w:val="20"/>
              </w:rPr>
            </w:pPr>
          </w:p>
        </w:tc>
        <w:tc>
          <w:tcPr>
            <w:tcW w:w="547" w:type="dxa"/>
            <w:vMerge w:val="restart"/>
            <w:tcBorders>
              <w:bottom w:val="single" w:sz="4" w:space="0" w:color="000000"/>
            </w:tcBorders>
          </w:tcPr>
          <w:p>
            <w:pPr>
              <w:pStyle w:val="TableParagraph"/>
              <w:rPr>
                <w:rFonts w:ascii="Times New Roman"/>
                <w:sz w:val="20"/>
              </w:rPr>
            </w:pPr>
          </w:p>
        </w:tc>
        <w:tc>
          <w:tcPr>
            <w:tcW w:w="1796" w:type="dxa"/>
            <w:vMerge w:val="restart"/>
            <w:tcBorders>
              <w:bottom w:val="single" w:sz="4" w:space="0" w:color="000000"/>
              <w:right w:val="single" w:sz="4" w:space="0" w:color="000000"/>
            </w:tcBorders>
          </w:tcPr>
          <w:p>
            <w:pPr>
              <w:pStyle w:val="TableParagraph"/>
              <w:spacing w:line="225" w:lineRule="exact"/>
              <w:ind w:left="106"/>
              <w:rPr>
                <w:rFonts w:ascii="Arial"/>
                <w:b/>
                <w:sz w:val="20"/>
              </w:rPr>
            </w:pPr>
            <w:r>
              <w:rPr>
                <w:rFonts w:ascii="Arial"/>
                <w:b/>
                <w:spacing w:val="-2"/>
                <w:sz w:val="20"/>
              </w:rPr>
              <w:t>Respondents</w:t>
            </w:r>
          </w:p>
        </w:tc>
        <w:tc>
          <w:tcPr>
            <w:tcW w:w="1456" w:type="dxa"/>
            <w:gridSpan w:val="2"/>
            <w:vMerge/>
            <w:tcBorders>
              <w:top w:val="nil"/>
              <w:left w:val="single" w:sz="4" w:space="0" w:color="000000"/>
              <w:bottom w:val="single" w:sz="4" w:space="0" w:color="000000"/>
            </w:tcBorders>
          </w:tcPr>
          <w:p>
            <w:pPr>
              <w:rPr>
                <w:sz w:val="2"/>
                <w:szCs w:val="2"/>
              </w:rPr>
            </w:pPr>
          </w:p>
        </w:tc>
        <w:tc>
          <w:tcPr>
            <w:tcW w:w="1468" w:type="dxa"/>
            <w:gridSpan w:val="2"/>
            <w:vMerge/>
            <w:tcBorders>
              <w:top w:val="nil"/>
              <w:bottom w:val="single" w:sz="4" w:space="0" w:color="000000"/>
            </w:tcBorders>
          </w:tcPr>
          <w:p>
            <w:pPr>
              <w:rPr>
                <w:sz w:val="2"/>
                <w:szCs w:val="2"/>
              </w:rPr>
            </w:pPr>
          </w:p>
        </w:tc>
        <w:tc>
          <w:tcPr>
            <w:tcW w:w="1588" w:type="dxa"/>
            <w:gridSpan w:val="2"/>
            <w:vMerge/>
            <w:tcBorders>
              <w:top w:val="nil"/>
              <w:bottom w:val="single" w:sz="4" w:space="0" w:color="000000"/>
            </w:tcBorders>
          </w:tcPr>
          <w:p>
            <w:pPr>
              <w:rPr>
                <w:sz w:val="2"/>
                <w:szCs w:val="2"/>
              </w:rPr>
            </w:pPr>
          </w:p>
        </w:tc>
        <w:tc>
          <w:tcPr>
            <w:tcW w:w="1483" w:type="dxa"/>
            <w:gridSpan w:val="2"/>
            <w:vMerge/>
            <w:tcBorders>
              <w:top w:val="nil"/>
              <w:bottom w:val="single" w:sz="4" w:space="0" w:color="000000"/>
            </w:tcBorders>
          </w:tcPr>
          <w:p>
            <w:pPr>
              <w:rPr>
                <w:sz w:val="2"/>
                <w:szCs w:val="2"/>
              </w:rPr>
            </w:pPr>
          </w:p>
        </w:tc>
        <w:tc>
          <w:tcPr>
            <w:tcW w:w="1396" w:type="dxa"/>
            <w:gridSpan w:val="2"/>
            <w:vMerge/>
            <w:tcBorders>
              <w:top w:val="nil"/>
              <w:bottom w:val="single" w:sz="4" w:space="0" w:color="000000"/>
            </w:tcBorders>
          </w:tcPr>
          <w:p>
            <w:pPr>
              <w:rPr>
                <w:sz w:val="2"/>
                <w:szCs w:val="2"/>
              </w:rPr>
            </w:pPr>
          </w:p>
        </w:tc>
        <w:tc>
          <w:tcPr>
            <w:tcW w:w="1429" w:type="dxa"/>
            <w:gridSpan w:val="2"/>
            <w:vMerge/>
            <w:tcBorders>
              <w:top w:val="nil"/>
              <w:bottom w:val="single" w:sz="4" w:space="0" w:color="000000"/>
              <w:right w:val="single" w:sz="4" w:space="0" w:color="000000"/>
            </w:tcBorders>
          </w:tcPr>
          <w:p>
            <w:pPr>
              <w:rPr>
                <w:sz w:val="2"/>
                <w:szCs w:val="2"/>
              </w:rPr>
            </w:pPr>
          </w:p>
        </w:tc>
      </w:tr>
      <w:tr>
        <w:trPr>
          <w:trHeight w:val="331" w:hRule="exact"/>
        </w:trPr>
        <w:tc>
          <w:tcPr>
            <w:tcW w:w="712" w:type="dxa"/>
            <w:vMerge/>
            <w:tcBorders>
              <w:top w:val="nil"/>
              <w:left w:val="single" w:sz="4" w:space="0" w:color="000000"/>
              <w:bottom w:val="single" w:sz="4" w:space="0" w:color="000000"/>
            </w:tcBorders>
          </w:tcPr>
          <w:p>
            <w:pPr>
              <w:rPr>
                <w:sz w:val="2"/>
                <w:szCs w:val="2"/>
              </w:rPr>
            </w:pPr>
          </w:p>
        </w:tc>
        <w:tc>
          <w:tcPr>
            <w:tcW w:w="1837" w:type="dxa"/>
            <w:vMerge/>
            <w:tcBorders>
              <w:top w:val="nil"/>
              <w:bottom w:val="single" w:sz="4" w:space="0" w:color="000000"/>
            </w:tcBorders>
          </w:tcPr>
          <w:p>
            <w:pPr>
              <w:rPr>
                <w:sz w:val="2"/>
                <w:szCs w:val="2"/>
              </w:rPr>
            </w:pPr>
          </w:p>
        </w:tc>
        <w:tc>
          <w:tcPr>
            <w:tcW w:w="1050" w:type="dxa"/>
            <w:vMerge/>
            <w:tcBorders>
              <w:top w:val="nil"/>
              <w:bottom w:val="single" w:sz="4" w:space="0" w:color="000000"/>
            </w:tcBorders>
          </w:tcPr>
          <w:p>
            <w:pPr>
              <w:rPr>
                <w:sz w:val="2"/>
                <w:szCs w:val="2"/>
              </w:rPr>
            </w:pPr>
          </w:p>
        </w:tc>
        <w:tc>
          <w:tcPr>
            <w:tcW w:w="547" w:type="dxa"/>
            <w:vMerge/>
            <w:tcBorders>
              <w:top w:val="nil"/>
              <w:bottom w:val="single" w:sz="4" w:space="0" w:color="000000"/>
            </w:tcBorders>
          </w:tcPr>
          <w:p>
            <w:pPr>
              <w:rPr>
                <w:sz w:val="2"/>
                <w:szCs w:val="2"/>
              </w:rPr>
            </w:pPr>
          </w:p>
        </w:tc>
        <w:tc>
          <w:tcPr>
            <w:tcW w:w="1796" w:type="dxa"/>
            <w:vMerge/>
            <w:tcBorders>
              <w:top w:val="nil"/>
              <w:bottom w:val="single" w:sz="4" w:space="0" w:color="000000"/>
              <w:right w:val="single" w:sz="4" w:space="0" w:color="000000"/>
            </w:tcBorders>
          </w:tcPr>
          <w:p>
            <w:pPr>
              <w:rPr>
                <w:sz w:val="2"/>
                <w:szCs w:val="2"/>
              </w:rPr>
            </w:pPr>
          </w:p>
        </w:tc>
        <w:tc>
          <w:tcPr>
            <w:tcW w:w="1456" w:type="dxa"/>
            <w:gridSpan w:val="2"/>
            <w:tcBorders>
              <w:top w:val="single" w:sz="4" w:space="0" w:color="000000"/>
              <w:left w:val="single" w:sz="4" w:space="0" w:color="000000"/>
              <w:bottom w:val="single" w:sz="4" w:space="0" w:color="000000"/>
            </w:tcBorders>
          </w:tcPr>
          <w:p>
            <w:pPr>
              <w:pStyle w:val="TableParagraph"/>
              <w:tabs>
                <w:tab w:pos="988" w:val="left" w:leader="none"/>
              </w:tabs>
              <w:spacing w:line="220" w:lineRule="exact"/>
              <w:ind w:left="297"/>
              <w:rPr>
                <w:rFonts w:ascii="Arial"/>
                <w:b/>
                <w:sz w:val="20"/>
              </w:rPr>
            </w:pPr>
            <w:r>
              <w:rPr>
                <w:rFonts w:ascii="Arial"/>
                <w:b/>
                <w:spacing w:val="-10"/>
                <w:sz w:val="20"/>
              </w:rPr>
              <w:t>F</w:t>
            </w:r>
            <w:r>
              <w:rPr>
                <w:rFonts w:ascii="Arial"/>
                <w:b/>
                <w:sz w:val="20"/>
              </w:rPr>
              <w:tab/>
            </w:r>
            <w:r>
              <w:rPr>
                <w:rFonts w:ascii="Arial"/>
                <w:b/>
                <w:spacing w:val="-10"/>
                <w:sz w:val="20"/>
              </w:rPr>
              <w:t>%</w:t>
            </w:r>
          </w:p>
        </w:tc>
        <w:tc>
          <w:tcPr>
            <w:tcW w:w="1468" w:type="dxa"/>
            <w:gridSpan w:val="2"/>
            <w:tcBorders>
              <w:top w:val="single" w:sz="4" w:space="0" w:color="000000"/>
              <w:bottom w:val="single" w:sz="4" w:space="0" w:color="000000"/>
            </w:tcBorders>
          </w:tcPr>
          <w:p>
            <w:pPr>
              <w:pStyle w:val="TableParagraph"/>
              <w:tabs>
                <w:tab w:pos="978" w:val="left" w:leader="none"/>
              </w:tabs>
              <w:spacing w:line="220" w:lineRule="exact"/>
              <w:ind w:left="286"/>
              <w:rPr>
                <w:rFonts w:ascii="Arial"/>
                <w:b/>
                <w:sz w:val="20"/>
              </w:rPr>
            </w:pPr>
            <w:r>
              <w:rPr>
                <w:rFonts w:ascii="Arial"/>
                <w:b/>
                <w:spacing w:val="-10"/>
                <w:sz w:val="20"/>
              </w:rPr>
              <w:t>F</w:t>
            </w:r>
            <w:r>
              <w:rPr>
                <w:rFonts w:ascii="Arial"/>
                <w:b/>
                <w:sz w:val="20"/>
              </w:rPr>
              <w:tab/>
            </w:r>
            <w:r>
              <w:rPr>
                <w:rFonts w:ascii="Arial"/>
                <w:b/>
                <w:spacing w:val="-10"/>
                <w:sz w:val="20"/>
              </w:rPr>
              <w:t>%</w:t>
            </w:r>
          </w:p>
        </w:tc>
        <w:tc>
          <w:tcPr>
            <w:tcW w:w="1588" w:type="dxa"/>
            <w:gridSpan w:val="2"/>
            <w:tcBorders>
              <w:top w:val="single" w:sz="4" w:space="0" w:color="000000"/>
              <w:bottom w:val="single" w:sz="4" w:space="0" w:color="000000"/>
            </w:tcBorders>
          </w:tcPr>
          <w:p>
            <w:pPr>
              <w:pStyle w:val="TableParagraph"/>
              <w:tabs>
                <w:tab w:pos="1050" w:val="left" w:leader="none"/>
              </w:tabs>
              <w:spacing w:line="220" w:lineRule="exact"/>
              <w:ind w:left="258"/>
              <w:rPr>
                <w:rFonts w:ascii="Arial"/>
                <w:b/>
                <w:sz w:val="20"/>
              </w:rPr>
            </w:pPr>
            <w:r>
              <w:rPr>
                <w:rFonts w:ascii="Arial"/>
                <w:b/>
                <w:spacing w:val="-10"/>
                <w:sz w:val="20"/>
              </w:rPr>
              <w:t>F</w:t>
            </w:r>
            <w:r>
              <w:rPr>
                <w:rFonts w:ascii="Arial"/>
                <w:b/>
                <w:sz w:val="20"/>
              </w:rPr>
              <w:tab/>
            </w:r>
            <w:r>
              <w:rPr>
                <w:rFonts w:ascii="Arial"/>
                <w:b/>
                <w:spacing w:val="-10"/>
                <w:sz w:val="20"/>
              </w:rPr>
              <w:t>%</w:t>
            </w:r>
          </w:p>
        </w:tc>
        <w:tc>
          <w:tcPr>
            <w:tcW w:w="1483" w:type="dxa"/>
            <w:gridSpan w:val="2"/>
            <w:tcBorders>
              <w:top w:val="single" w:sz="4" w:space="0" w:color="000000"/>
              <w:bottom w:val="single" w:sz="4" w:space="0" w:color="000000"/>
            </w:tcBorders>
          </w:tcPr>
          <w:p>
            <w:pPr>
              <w:pStyle w:val="TableParagraph"/>
              <w:tabs>
                <w:tab w:pos="997" w:val="left" w:leader="none"/>
              </w:tabs>
              <w:spacing w:line="220" w:lineRule="exact"/>
              <w:ind w:left="306"/>
              <w:rPr>
                <w:rFonts w:ascii="Arial"/>
                <w:b/>
                <w:sz w:val="20"/>
              </w:rPr>
            </w:pPr>
            <w:r>
              <w:rPr>
                <w:rFonts w:ascii="Arial"/>
                <w:b/>
                <w:spacing w:val="-10"/>
                <w:sz w:val="20"/>
              </w:rPr>
              <w:t>F</w:t>
            </w:r>
            <w:r>
              <w:rPr>
                <w:rFonts w:ascii="Arial"/>
                <w:b/>
                <w:sz w:val="20"/>
              </w:rPr>
              <w:tab/>
            </w:r>
            <w:r>
              <w:rPr>
                <w:rFonts w:ascii="Arial"/>
                <w:b/>
                <w:spacing w:val="-10"/>
                <w:sz w:val="20"/>
              </w:rPr>
              <w:t>%</w:t>
            </w:r>
          </w:p>
        </w:tc>
        <w:tc>
          <w:tcPr>
            <w:tcW w:w="1396" w:type="dxa"/>
            <w:gridSpan w:val="2"/>
            <w:tcBorders>
              <w:top w:val="single" w:sz="4" w:space="0" w:color="000000"/>
              <w:bottom w:val="single" w:sz="4" w:space="0" w:color="000000"/>
            </w:tcBorders>
          </w:tcPr>
          <w:p>
            <w:pPr>
              <w:pStyle w:val="TableParagraph"/>
              <w:tabs>
                <w:tab w:pos="934" w:val="left" w:leader="none"/>
              </w:tabs>
              <w:spacing w:line="220" w:lineRule="exact"/>
              <w:ind w:left="253"/>
              <w:rPr>
                <w:rFonts w:ascii="Arial"/>
                <w:b/>
                <w:sz w:val="20"/>
              </w:rPr>
            </w:pPr>
            <w:r>
              <w:rPr>
                <w:rFonts w:ascii="Arial"/>
                <w:b/>
                <w:spacing w:val="-10"/>
                <w:sz w:val="20"/>
              </w:rPr>
              <w:t>F</w:t>
            </w:r>
            <w:r>
              <w:rPr>
                <w:rFonts w:ascii="Arial"/>
                <w:b/>
                <w:sz w:val="20"/>
              </w:rPr>
              <w:tab/>
            </w:r>
            <w:r>
              <w:rPr>
                <w:rFonts w:ascii="Arial"/>
                <w:b/>
                <w:spacing w:val="-10"/>
                <w:sz w:val="20"/>
              </w:rPr>
              <w:t>%</w:t>
            </w:r>
          </w:p>
        </w:tc>
        <w:tc>
          <w:tcPr>
            <w:tcW w:w="709" w:type="dxa"/>
            <w:tcBorders>
              <w:top w:val="single" w:sz="4" w:space="0" w:color="000000"/>
              <w:bottom w:val="single" w:sz="4" w:space="0" w:color="000000"/>
            </w:tcBorders>
          </w:tcPr>
          <w:p>
            <w:pPr>
              <w:pStyle w:val="TableParagraph"/>
              <w:spacing w:line="220" w:lineRule="exact"/>
              <w:ind w:left="51" w:right="61"/>
              <w:jc w:val="center"/>
              <w:rPr>
                <w:rFonts w:ascii="Arial"/>
                <w:b/>
                <w:sz w:val="20"/>
              </w:rPr>
            </w:pPr>
            <w:r>
              <w:rPr>
                <w:rFonts w:ascii="Arial"/>
                <w:b/>
                <w:spacing w:val="-10"/>
                <w:sz w:val="20"/>
              </w:rPr>
              <w:t>F</w:t>
            </w:r>
          </w:p>
        </w:tc>
        <w:tc>
          <w:tcPr>
            <w:tcW w:w="720" w:type="dxa"/>
            <w:tcBorders>
              <w:top w:val="single" w:sz="4" w:space="0" w:color="000000"/>
              <w:right w:val="single" w:sz="4" w:space="0" w:color="000000"/>
            </w:tcBorders>
          </w:tcPr>
          <w:p>
            <w:pPr>
              <w:pStyle w:val="TableParagraph"/>
              <w:spacing w:line="220" w:lineRule="exact"/>
              <w:ind w:left="67" w:right="65"/>
              <w:jc w:val="center"/>
              <w:rPr>
                <w:rFonts w:ascii="Arial"/>
                <w:b/>
                <w:sz w:val="20"/>
              </w:rPr>
            </w:pPr>
            <w:r>
              <w:rPr>
                <w:rFonts w:ascii="Arial"/>
                <w:b/>
                <w:spacing w:val="-10"/>
                <w:sz w:val="20"/>
              </w:rPr>
              <w:t>%</w:t>
            </w:r>
          </w:p>
        </w:tc>
      </w:tr>
      <w:tr>
        <w:trPr>
          <w:trHeight w:val="232" w:hRule="exact"/>
        </w:trPr>
        <w:tc>
          <w:tcPr>
            <w:tcW w:w="4146" w:type="dxa"/>
            <w:gridSpan w:val="4"/>
            <w:tcBorders>
              <w:top w:val="single" w:sz="4" w:space="0" w:color="000000"/>
              <w:left w:val="single" w:sz="4" w:space="0" w:color="000000"/>
            </w:tcBorders>
          </w:tcPr>
          <w:p>
            <w:pPr>
              <w:pStyle w:val="TableParagraph"/>
              <w:tabs>
                <w:tab w:pos="825" w:val="left" w:leader="none"/>
              </w:tabs>
              <w:spacing w:line="208" w:lineRule="exact"/>
              <w:ind w:left="215"/>
              <w:rPr>
                <w:sz w:val="20"/>
              </w:rPr>
            </w:pPr>
            <w:r>
              <w:rPr>
                <w:spacing w:val="-5"/>
                <w:sz w:val="20"/>
              </w:rPr>
              <w:t>81.</w:t>
            </w:r>
            <w:r>
              <w:rPr>
                <w:sz w:val="20"/>
              </w:rPr>
              <w:tab/>
              <w:t>Students</w:t>
            </w:r>
            <w:r>
              <w:rPr>
                <w:spacing w:val="12"/>
                <w:sz w:val="20"/>
              </w:rPr>
              <w:t> </w:t>
            </w:r>
            <w:r>
              <w:rPr>
                <w:sz w:val="20"/>
              </w:rPr>
              <w:t>are</w:t>
            </w:r>
            <w:r>
              <w:rPr>
                <w:spacing w:val="18"/>
                <w:sz w:val="20"/>
              </w:rPr>
              <w:t> </w:t>
            </w:r>
            <w:r>
              <w:rPr>
                <w:sz w:val="20"/>
              </w:rPr>
              <w:t>supposed</w:t>
            </w:r>
            <w:r>
              <w:rPr>
                <w:spacing w:val="15"/>
                <w:sz w:val="20"/>
              </w:rPr>
              <w:t> </w:t>
            </w:r>
            <w:r>
              <w:rPr>
                <w:sz w:val="20"/>
              </w:rPr>
              <w:t>to</w:t>
            </w:r>
            <w:r>
              <w:rPr>
                <w:spacing w:val="15"/>
                <w:sz w:val="20"/>
              </w:rPr>
              <w:t> </w:t>
            </w:r>
            <w:r>
              <w:rPr>
                <w:sz w:val="20"/>
              </w:rPr>
              <w:t>get</w:t>
            </w:r>
            <w:r>
              <w:rPr>
                <w:spacing w:val="18"/>
                <w:sz w:val="20"/>
              </w:rPr>
              <w:t> </w:t>
            </w:r>
            <w:r>
              <w:rPr>
                <w:spacing w:val="-4"/>
                <w:sz w:val="20"/>
              </w:rPr>
              <w:t>easy</w:t>
            </w:r>
          </w:p>
        </w:tc>
        <w:tc>
          <w:tcPr>
            <w:tcW w:w="1796" w:type="dxa"/>
            <w:tcBorders>
              <w:top w:val="single" w:sz="4" w:space="0" w:color="000000"/>
            </w:tcBorders>
          </w:tcPr>
          <w:p>
            <w:pPr>
              <w:pStyle w:val="TableParagraph"/>
              <w:spacing w:line="208" w:lineRule="exact"/>
              <w:ind w:left="106"/>
              <w:rPr>
                <w:sz w:val="20"/>
              </w:rPr>
            </w:pPr>
            <w:r>
              <w:rPr>
                <w:sz w:val="20"/>
              </w:rPr>
              <w:t>No.</w:t>
            </w:r>
            <w:r>
              <w:rPr>
                <w:spacing w:val="-5"/>
                <w:sz w:val="20"/>
              </w:rPr>
              <w:t> </w:t>
            </w:r>
            <w:r>
              <w:rPr>
                <w:sz w:val="20"/>
              </w:rPr>
              <w:t>of</w:t>
            </w:r>
            <w:r>
              <w:rPr>
                <w:spacing w:val="-2"/>
                <w:sz w:val="20"/>
              </w:rPr>
              <w:t> missing</w:t>
            </w:r>
          </w:p>
        </w:tc>
        <w:tc>
          <w:tcPr>
            <w:tcW w:w="1456" w:type="dxa"/>
            <w:gridSpan w:val="2"/>
            <w:tcBorders>
              <w:top w:val="single" w:sz="4" w:space="0" w:color="000000"/>
            </w:tcBorders>
          </w:tcPr>
          <w:p>
            <w:pPr>
              <w:pStyle w:val="TableParagraph"/>
              <w:rPr>
                <w:rFonts w:ascii="Times New Roman"/>
                <w:sz w:val="16"/>
              </w:rPr>
            </w:pPr>
          </w:p>
        </w:tc>
        <w:tc>
          <w:tcPr>
            <w:tcW w:w="1468" w:type="dxa"/>
            <w:gridSpan w:val="2"/>
            <w:tcBorders>
              <w:top w:val="single" w:sz="4" w:space="0" w:color="000000"/>
            </w:tcBorders>
          </w:tcPr>
          <w:p>
            <w:pPr>
              <w:pStyle w:val="TableParagraph"/>
              <w:rPr>
                <w:rFonts w:ascii="Times New Roman"/>
                <w:sz w:val="16"/>
              </w:rPr>
            </w:pPr>
          </w:p>
        </w:tc>
        <w:tc>
          <w:tcPr>
            <w:tcW w:w="1588" w:type="dxa"/>
            <w:gridSpan w:val="2"/>
            <w:tcBorders>
              <w:top w:val="single" w:sz="4" w:space="0" w:color="000000"/>
            </w:tcBorders>
          </w:tcPr>
          <w:p>
            <w:pPr>
              <w:pStyle w:val="TableParagraph"/>
              <w:rPr>
                <w:rFonts w:ascii="Times New Roman"/>
                <w:sz w:val="16"/>
              </w:rPr>
            </w:pPr>
          </w:p>
        </w:tc>
        <w:tc>
          <w:tcPr>
            <w:tcW w:w="1483" w:type="dxa"/>
            <w:gridSpan w:val="2"/>
            <w:tcBorders>
              <w:top w:val="single" w:sz="4" w:space="0" w:color="000000"/>
            </w:tcBorders>
          </w:tcPr>
          <w:p>
            <w:pPr>
              <w:pStyle w:val="TableParagraph"/>
              <w:rPr>
                <w:rFonts w:ascii="Times New Roman"/>
                <w:sz w:val="16"/>
              </w:rPr>
            </w:pPr>
          </w:p>
        </w:tc>
        <w:tc>
          <w:tcPr>
            <w:tcW w:w="1396" w:type="dxa"/>
            <w:gridSpan w:val="2"/>
            <w:tcBorders>
              <w:top w:val="single" w:sz="4" w:space="0" w:color="000000"/>
            </w:tcBorders>
          </w:tcPr>
          <w:p>
            <w:pPr>
              <w:pStyle w:val="TableParagraph"/>
              <w:rPr>
                <w:rFonts w:ascii="Times New Roman"/>
                <w:sz w:val="16"/>
              </w:rPr>
            </w:pPr>
          </w:p>
        </w:tc>
        <w:tc>
          <w:tcPr>
            <w:tcW w:w="709" w:type="dxa"/>
            <w:tcBorders>
              <w:top w:val="single" w:sz="4" w:space="0" w:color="000000"/>
            </w:tcBorders>
          </w:tcPr>
          <w:p>
            <w:pPr>
              <w:pStyle w:val="TableParagraph"/>
              <w:rPr>
                <w:rFonts w:ascii="Times New Roman"/>
                <w:sz w:val="16"/>
              </w:rPr>
            </w:pPr>
          </w:p>
        </w:tc>
        <w:tc>
          <w:tcPr>
            <w:tcW w:w="720" w:type="dxa"/>
            <w:tcBorders>
              <w:right w:val="single" w:sz="4" w:space="0" w:color="000000"/>
            </w:tcBorders>
          </w:tcPr>
          <w:p>
            <w:pPr>
              <w:pStyle w:val="TableParagraph"/>
              <w:rPr>
                <w:rFonts w:ascii="Times New Roman"/>
                <w:sz w:val="16"/>
              </w:rPr>
            </w:pPr>
          </w:p>
        </w:tc>
      </w:tr>
      <w:tr>
        <w:trPr>
          <w:trHeight w:val="230" w:hRule="exact"/>
        </w:trPr>
        <w:tc>
          <w:tcPr>
            <w:tcW w:w="4146" w:type="dxa"/>
            <w:gridSpan w:val="4"/>
            <w:tcBorders>
              <w:left w:val="single" w:sz="4" w:space="0" w:color="000000"/>
            </w:tcBorders>
          </w:tcPr>
          <w:p>
            <w:pPr>
              <w:pStyle w:val="TableParagraph"/>
              <w:spacing w:line="210" w:lineRule="exact"/>
              <w:ind w:left="825"/>
              <w:rPr>
                <w:sz w:val="20"/>
              </w:rPr>
            </w:pPr>
            <w:r>
              <w:rPr>
                <w:sz w:val="20"/>
              </w:rPr>
              <w:t>access</w:t>
            </w:r>
            <w:r>
              <w:rPr>
                <w:spacing w:val="51"/>
                <w:sz w:val="20"/>
              </w:rPr>
              <w:t> </w:t>
            </w:r>
            <w:r>
              <w:rPr>
                <w:sz w:val="20"/>
              </w:rPr>
              <w:t>to</w:t>
            </w:r>
            <w:r>
              <w:rPr>
                <w:spacing w:val="55"/>
                <w:sz w:val="20"/>
              </w:rPr>
              <w:t> </w:t>
            </w:r>
            <w:r>
              <w:rPr>
                <w:sz w:val="20"/>
              </w:rPr>
              <w:t>computers</w:t>
            </w:r>
            <w:r>
              <w:rPr>
                <w:spacing w:val="52"/>
                <w:sz w:val="20"/>
              </w:rPr>
              <w:t> </w:t>
            </w:r>
            <w:r>
              <w:rPr>
                <w:sz w:val="20"/>
              </w:rPr>
              <w:t>and</w:t>
            </w:r>
            <w:r>
              <w:rPr>
                <w:spacing w:val="55"/>
                <w:sz w:val="20"/>
              </w:rPr>
              <w:t> </w:t>
            </w:r>
            <w:r>
              <w:rPr>
                <w:spacing w:val="-2"/>
                <w:sz w:val="20"/>
              </w:rPr>
              <w:t>Internet</w:t>
            </w:r>
          </w:p>
        </w:tc>
        <w:tc>
          <w:tcPr>
            <w:tcW w:w="1796" w:type="dxa"/>
          </w:tcPr>
          <w:p>
            <w:pPr>
              <w:pStyle w:val="TableParagraph"/>
              <w:spacing w:line="210" w:lineRule="exact"/>
              <w:ind w:left="106"/>
              <w:rPr>
                <w:sz w:val="20"/>
              </w:rPr>
            </w:pPr>
            <w:r>
              <w:rPr>
                <w:spacing w:val="-2"/>
                <w:sz w:val="20"/>
              </w:rPr>
              <w:t>observations</w:t>
            </w:r>
          </w:p>
        </w:tc>
        <w:tc>
          <w:tcPr>
            <w:tcW w:w="707" w:type="dxa"/>
          </w:tcPr>
          <w:p>
            <w:pPr>
              <w:pStyle w:val="TableParagraph"/>
              <w:spacing w:line="210" w:lineRule="exact"/>
              <w:ind w:left="64" w:right="51"/>
              <w:jc w:val="center"/>
              <w:rPr>
                <w:sz w:val="20"/>
              </w:rPr>
            </w:pPr>
            <w:r>
              <w:rPr>
                <w:spacing w:val="-10"/>
                <w:sz w:val="20"/>
              </w:rPr>
              <w:t>-</w:t>
            </w:r>
          </w:p>
        </w:tc>
        <w:tc>
          <w:tcPr>
            <w:tcW w:w="749" w:type="dxa"/>
          </w:tcPr>
          <w:p>
            <w:pPr>
              <w:pStyle w:val="TableParagraph"/>
              <w:spacing w:line="210" w:lineRule="exact"/>
              <w:ind w:left="14" w:right="14"/>
              <w:jc w:val="center"/>
              <w:rPr>
                <w:sz w:val="20"/>
              </w:rPr>
            </w:pPr>
            <w:r>
              <w:rPr>
                <w:spacing w:val="-10"/>
                <w:sz w:val="20"/>
              </w:rPr>
              <w:t>-</w:t>
            </w:r>
          </w:p>
        </w:tc>
        <w:tc>
          <w:tcPr>
            <w:tcW w:w="691" w:type="dxa"/>
          </w:tcPr>
          <w:p>
            <w:pPr>
              <w:pStyle w:val="TableParagraph"/>
              <w:spacing w:line="210" w:lineRule="exact"/>
              <w:ind w:left="22" w:right="18"/>
              <w:jc w:val="center"/>
              <w:rPr>
                <w:sz w:val="20"/>
              </w:rPr>
            </w:pPr>
            <w:r>
              <w:rPr>
                <w:spacing w:val="-10"/>
                <w:sz w:val="20"/>
              </w:rPr>
              <w:t>1</w:t>
            </w:r>
          </w:p>
        </w:tc>
        <w:tc>
          <w:tcPr>
            <w:tcW w:w="777" w:type="dxa"/>
          </w:tcPr>
          <w:p>
            <w:pPr>
              <w:pStyle w:val="TableParagraph"/>
              <w:spacing w:line="210" w:lineRule="exact"/>
              <w:ind w:left="6" w:right="28"/>
              <w:jc w:val="center"/>
              <w:rPr>
                <w:sz w:val="20"/>
              </w:rPr>
            </w:pPr>
            <w:r>
              <w:rPr>
                <w:spacing w:val="-4"/>
                <w:sz w:val="20"/>
              </w:rPr>
              <w:t>50.0</w:t>
            </w:r>
          </w:p>
        </w:tc>
        <w:tc>
          <w:tcPr>
            <w:tcW w:w="686" w:type="dxa"/>
          </w:tcPr>
          <w:p>
            <w:pPr>
              <w:pStyle w:val="TableParagraph"/>
              <w:spacing w:line="210" w:lineRule="exact"/>
              <w:ind w:left="6" w:right="52"/>
              <w:jc w:val="center"/>
              <w:rPr>
                <w:sz w:val="20"/>
              </w:rPr>
            </w:pPr>
            <w:r>
              <w:rPr>
                <w:spacing w:val="-10"/>
                <w:sz w:val="20"/>
              </w:rPr>
              <w:t>1</w:t>
            </w:r>
          </w:p>
        </w:tc>
        <w:tc>
          <w:tcPr>
            <w:tcW w:w="902" w:type="dxa"/>
          </w:tcPr>
          <w:p>
            <w:pPr>
              <w:pStyle w:val="TableParagraph"/>
              <w:spacing w:line="210" w:lineRule="exact"/>
              <w:ind w:left="20" w:right="16"/>
              <w:jc w:val="center"/>
              <w:rPr>
                <w:sz w:val="20"/>
              </w:rPr>
            </w:pPr>
            <w:r>
              <w:rPr>
                <w:spacing w:val="-4"/>
                <w:sz w:val="20"/>
              </w:rPr>
              <w:t>50.0</w:t>
            </w:r>
          </w:p>
        </w:tc>
        <w:tc>
          <w:tcPr>
            <w:tcW w:w="684" w:type="dxa"/>
          </w:tcPr>
          <w:p>
            <w:pPr>
              <w:pStyle w:val="TableParagraph"/>
              <w:spacing w:line="210" w:lineRule="exact"/>
              <w:ind w:left="68" w:right="25"/>
              <w:jc w:val="center"/>
              <w:rPr>
                <w:sz w:val="20"/>
              </w:rPr>
            </w:pPr>
            <w:r>
              <w:rPr>
                <w:spacing w:val="-10"/>
                <w:sz w:val="20"/>
              </w:rPr>
              <w:t>-</w:t>
            </w:r>
          </w:p>
        </w:tc>
        <w:tc>
          <w:tcPr>
            <w:tcW w:w="799" w:type="dxa"/>
          </w:tcPr>
          <w:p>
            <w:pPr>
              <w:pStyle w:val="TableParagraph"/>
              <w:spacing w:line="210" w:lineRule="exact"/>
              <w:ind w:left="23" w:right="23"/>
              <w:jc w:val="center"/>
              <w:rPr>
                <w:sz w:val="20"/>
              </w:rPr>
            </w:pPr>
            <w:r>
              <w:rPr>
                <w:spacing w:val="-10"/>
                <w:sz w:val="20"/>
              </w:rPr>
              <w:t>-</w:t>
            </w:r>
          </w:p>
        </w:tc>
        <w:tc>
          <w:tcPr>
            <w:tcW w:w="626" w:type="dxa"/>
          </w:tcPr>
          <w:p>
            <w:pPr>
              <w:pStyle w:val="TableParagraph"/>
              <w:spacing w:line="210" w:lineRule="exact"/>
              <w:ind w:left="20" w:right="22"/>
              <w:jc w:val="center"/>
              <w:rPr>
                <w:sz w:val="20"/>
              </w:rPr>
            </w:pPr>
            <w:r>
              <w:rPr>
                <w:spacing w:val="-10"/>
                <w:sz w:val="20"/>
              </w:rPr>
              <w:t>-</w:t>
            </w:r>
          </w:p>
        </w:tc>
        <w:tc>
          <w:tcPr>
            <w:tcW w:w="770" w:type="dxa"/>
          </w:tcPr>
          <w:p>
            <w:pPr>
              <w:pStyle w:val="TableParagraph"/>
              <w:spacing w:line="210" w:lineRule="exact"/>
              <w:ind w:left="42" w:right="23"/>
              <w:jc w:val="center"/>
              <w:rPr>
                <w:sz w:val="20"/>
              </w:rPr>
            </w:pPr>
            <w:r>
              <w:rPr>
                <w:spacing w:val="-10"/>
                <w:sz w:val="20"/>
              </w:rPr>
              <w:t>-</w:t>
            </w:r>
          </w:p>
        </w:tc>
        <w:tc>
          <w:tcPr>
            <w:tcW w:w="709" w:type="dxa"/>
          </w:tcPr>
          <w:p>
            <w:pPr>
              <w:pStyle w:val="TableParagraph"/>
              <w:spacing w:line="210" w:lineRule="exact"/>
              <w:ind w:left="51" w:right="62"/>
              <w:jc w:val="center"/>
              <w:rPr>
                <w:sz w:val="20"/>
              </w:rPr>
            </w:pPr>
            <w:r>
              <w:rPr>
                <w:spacing w:val="-10"/>
                <w:sz w:val="20"/>
              </w:rPr>
              <w:t>2</w:t>
            </w:r>
          </w:p>
        </w:tc>
        <w:tc>
          <w:tcPr>
            <w:tcW w:w="720" w:type="dxa"/>
            <w:tcBorders>
              <w:right w:val="single" w:sz="4" w:space="0" w:color="000000"/>
            </w:tcBorders>
          </w:tcPr>
          <w:p>
            <w:pPr>
              <w:pStyle w:val="TableParagraph"/>
              <w:spacing w:line="210" w:lineRule="exact"/>
              <w:ind w:left="65" w:right="65"/>
              <w:jc w:val="center"/>
              <w:rPr>
                <w:sz w:val="20"/>
              </w:rPr>
            </w:pPr>
            <w:r>
              <w:rPr>
                <w:spacing w:val="-5"/>
                <w:sz w:val="20"/>
              </w:rPr>
              <w:t>0.4</w:t>
            </w:r>
          </w:p>
        </w:tc>
      </w:tr>
      <w:tr>
        <w:trPr>
          <w:trHeight w:val="230" w:hRule="exact"/>
        </w:trPr>
        <w:tc>
          <w:tcPr>
            <w:tcW w:w="4146" w:type="dxa"/>
            <w:gridSpan w:val="4"/>
            <w:tcBorders>
              <w:left w:val="single" w:sz="4" w:space="0" w:color="000000"/>
            </w:tcBorders>
          </w:tcPr>
          <w:p>
            <w:pPr>
              <w:pStyle w:val="TableParagraph"/>
              <w:spacing w:line="210" w:lineRule="exact"/>
              <w:ind w:left="825"/>
              <w:rPr>
                <w:sz w:val="20"/>
              </w:rPr>
            </w:pPr>
            <w:r>
              <w:rPr>
                <w:sz w:val="20"/>
              </w:rPr>
              <w:t>Cafes</w:t>
            </w:r>
            <w:r>
              <w:rPr>
                <w:spacing w:val="-6"/>
                <w:sz w:val="20"/>
              </w:rPr>
              <w:t> </w:t>
            </w:r>
            <w:r>
              <w:rPr>
                <w:sz w:val="20"/>
              </w:rPr>
              <w:t>in</w:t>
            </w:r>
            <w:r>
              <w:rPr>
                <w:spacing w:val="-2"/>
                <w:sz w:val="20"/>
              </w:rPr>
              <w:t> </w:t>
            </w:r>
            <w:r>
              <w:rPr>
                <w:sz w:val="20"/>
              </w:rPr>
              <w:t>order</w:t>
            </w:r>
            <w:r>
              <w:rPr>
                <w:spacing w:val="-6"/>
                <w:sz w:val="20"/>
              </w:rPr>
              <w:t> </w:t>
            </w:r>
            <w:r>
              <w:rPr>
                <w:sz w:val="20"/>
              </w:rPr>
              <w:t>to</w:t>
            </w:r>
            <w:r>
              <w:rPr>
                <w:spacing w:val="-2"/>
                <w:sz w:val="20"/>
              </w:rPr>
              <w:t> </w:t>
            </w:r>
            <w:r>
              <w:rPr>
                <w:sz w:val="20"/>
              </w:rPr>
              <w:t>get</w:t>
            </w:r>
            <w:r>
              <w:rPr>
                <w:spacing w:val="-5"/>
                <w:sz w:val="20"/>
              </w:rPr>
              <w:t> </w:t>
            </w:r>
            <w:r>
              <w:rPr>
                <w:sz w:val="20"/>
              </w:rPr>
              <w:t>informed</w:t>
            </w:r>
            <w:r>
              <w:rPr>
                <w:spacing w:val="-2"/>
                <w:sz w:val="20"/>
              </w:rPr>
              <w:t> about</w:t>
            </w:r>
          </w:p>
        </w:tc>
        <w:tc>
          <w:tcPr>
            <w:tcW w:w="1796" w:type="dxa"/>
          </w:tcPr>
          <w:p>
            <w:pPr>
              <w:pStyle w:val="TableParagraph"/>
              <w:spacing w:line="210" w:lineRule="exact"/>
              <w:ind w:left="106"/>
              <w:rPr>
                <w:sz w:val="20"/>
              </w:rPr>
            </w:pPr>
            <w:r>
              <w:rPr>
                <w:spacing w:val="-2"/>
                <w:sz w:val="20"/>
              </w:rPr>
              <w:t>Students</w:t>
            </w:r>
          </w:p>
        </w:tc>
        <w:tc>
          <w:tcPr>
            <w:tcW w:w="707" w:type="dxa"/>
          </w:tcPr>
          <w:p>
            <w:pPr>
              <w:pStyle w:val="TableParagraph"/>
              <w:spacing w:line="210" w:lineRule="exact"/>
              <w:ind w:left="64" w:right="54"/>
              <w:jc w:val="center"/>
              <w:rPr>
                <w:sz w:val="20"/>
              </w:rPr>
            </w:pPr>
            <w:r>
              <w:rPr>
                <w:spacing w:val="-5"/>
                <w:sz w:val="20"/>
              </w:rPr>
              <w:t>170</w:t>
            </w:r>
          </w:p>
        </w:tc>
        <w:tc>
          <w:tcPr>
            <w:tcW w:w="749" w:type="dxa"/>
          </w:tcPr>
          <w:p>
            <w:pPr>
              <w:pStyle w:val="TableParagraph"/>
              <w:spacing w:line="210" w:lineRule="exact"/>
              <w:ind w:left="14" w:right="10"/>
              <w:jc w:val="center"/>
              <w:rPr>
                <w:sz w:val="20"/>
              </w:rPr>
            </w:pPr>
            <w:r>
              <w:rPr>
                <w:spacing w:val="-4"/>
                <w:sz w:val="20"/>
              </w:rPr>
              <w:t>72.3</w:t>
            </w:r>
          </w:p>
        </w:tc>
        <w:tc>
          <w:tcPr>
            <w:tcW w:w="691" w:type="dxa"/>
          </w:tcPr>
          <w:p>
            <w:pPr>
              <w:pStyle w:val="TableParagraph"/>
              <w:spacing w:line="210" w:lineRule="exact"/>
              <w:ind w:left="22" w:right="22"/>
              <w:jc w:val="center"/>
              <w:rPr>
                <w:sz w:val="20"/>
              </w:rPr>
            </w:pPr>
            <w:r>
              <w:rPr>
                <w:spacing w:val="-5"/>
                <w:sz w:val="20"/>
              </w:rPr>
              <w:t>57</w:t>
            </w:r>
          </w:p>
        </w:tc>
        <w:tc>
          <w:tcPr>
            <w:tcW w:w="777" w:type="dxa"/>
          </w:tcPr>
          <w:p>
            <w:pPr>
              <w:pStyle w:val="TableParagraph"/>
              <w:spacing w:line="210" w:lineRule="exact"/>
              <w:ind w:left="6" w:right="28"/>
              <w:jc w:val="center"/>
              <w:rPr>
                <w:sz w:val="20"/>
              </w:rPr>
            </w:pPr>
            <w:r>
              <w:rPr>
                <w:spacing w:val="-4"/>
                <w:sz w:val="20"/>
              </w:rPr>
              <w:t>24.3</w:t>
            </w:r>
          </w:p>
        </w:tc>
        <w:tc>
          <w:tcPr>
            <w:tcW w:w="686" w:type="dxa"/>
          </w:tcPr>
          <w:p>
            <w:pPr>
              <w:pStyle w:val="TableParagraph"/>
              <w:spacing w:line="210" w:lineRule="exact"/>
              <w:ind w:left="6" w:right="52"/>
              <w:jc w:val="center"/>
              <w:rPr>
                <w:sz w:val="20"/>
              </w:rPr>
            </w:pPr>
            <w:r>
              <w:rPr>
                <w:spacing w:val="-10"/>
                <w:sz w:val="20"/>
              </w:rPr>
              <w:t>7</w:t>
            </w:r>
          </w:p>
        </w:tc>
        <w:tc>
          <w:tcPr>
            <w:tcW w:w="902" w:type="dxa"/>
          </w:tcPr>
          <w:p>
            <w:pPr>
              <w:pStyle w:val="TableParagraph"/>
              <w:spacing w:line="210" w:lineRule="exact"/>
              <w:ind w:left="20" w:right="20"/>
              <w:jc w:val="center"/>
              <w:rPr>
                <w:sz w:val="20"/>
              </w:rPr>
            </w:pPr>
            <w:r>
              <w:rPr>
                <w:spacing w:val="-5"/>
                <w:sz w:val="20"/>
              </w:rPr>
              <w:t>3.0</w:t>
            </w:r>
          </w:p>
        </w:tc>
        <w:tc>
          <w:tcPr>
            <w:tcW w:w="684" w:type="dxa"/>
          </w:tcPr>
          <w:p>
            <w:pPr>
              <w:pStyle w:val="TableParagraph"/>
              <w:spacing w:line="210" w:lineRule="exact"/>
              <w:ind w:left="68" w:right="18"/>
              <w:jc w:val="center"/>
              <w:rPr>
                <w:sz w:val="20"/>
              </w:rPr>
            </w:pPr>
            <w:r>
              <w:rPr>
                <w:spacing w:val="-10"/>
                <w:sz w:val="20"/>
              </w:rPr>
              <w:t>1</w:t>
            </w:r>
          </w:p>
        </w:tc>
        <w:tc>
          <w:tcPr>
            <w:tcW w:w="799" w:type="dxa"/>
          </w:tcPr>
          <w:p>
            <w:pPr>
              <w:pStyle w:val="TableParagraph"/>
              <w:spacing w:line="210" w:lineRule="exact"/>
              <w:ind w:left="23" w:right="21"/>
              <w:jc w:val="center"/>
              <w:rPr>
                <w:sz w:val="20"/>
              </w:rPr>
            </w:pPr>
            <w:r>
              <w:rPr>
                <w:spacing w:val="-5"/>
                <w:sz w:val="20"/>
              </w:rPr>
              <w:t>0.4</w:t>
            </w:r>
          </w:p>
        </w:tc>
        <w:tc>
          <w:tcPr>
            <w:tcW w:w="626" w:type="dxa"/>
          </w:tcPr>
          <w:p>
            <w:pPr>
              <w:pStyle w:val="TableParagraph"/>
              <w:spacing w:line="210" w:lineRule="exact"/>
              <w:ind w:left="20" w:right="22"/>
              <w:jc w:val="center"/>
              <w:rPr>
                <w:sz w:val="20"/>
              </w:rPr>
            </w:pPr>
            <w:r>
              <w:rPr>
                <w:spacing w:val="-10"/>
                <w:sz w:val="20"/>
              </w:rPr>
              <w:t>-</w:t>
            </w:r>
          </w:p>
        </w:tc>
        <w:tc>
          <w:tcPr>
            <w:tcW w:w="770" w:type="dxa"/>
          </w:tcPr>
          <w:p>
            <w:pPr>
              <w:pStyle w:val="TableParagraph"/>
              <w:spacing w:line="210" w:lineRule="exact"/>
              <w:ind w:left="42" w:right="23"/>
              <w:jc w:val="center"/>
              <w:rPr>
                <w:sz w:val="20"/>
              </w:rPr>
            </w:pPr>
            <w:r>
              <w:rPr>
                <w:spacing w:val="-10"/>
                <w:sz w:val="20"/>
              </w:rPr>
              <w:t>-</w:t>
            </w:r>
          </w:p>
        </w:tc>
        <w:tc>
          <w:tcPr>
            <w:tcW w:w="709" w:type="dxa"/>
          </w:tcPr>
          <w:p>
            <w:pPr>
              <w:pStyle w:val="TableParagraph"/>
              <w:spacing w:line="210" w:lineRule="exact"/>
              <w:ind w:left="51" w:right="71"/>
              <w:jc w:val="center"/>
              <w:rPr>
                <w:sz w:val="20"/>
              </w:rPr>
            </w:pPr>
            <w:r>
              <w:rPr>
                <w:spacing w:val="-5"/>
                <w:sz w:val="20"/>
              </w:rPr>
              <w:t>235</w:t>
            </w:r>
          </w:p>
        </w:tc>
        <w:tc>
          <w:tcPr>
            <w:tcW w:w="720" w:type="dxa"/>
            <w:tcBorders>
              <w:right w:val="single" w:sz="4" w:space="0" w:color="000000"/>
            </w:tcBorders>
          </w:tcPr>
          <w:p>
            <w:pPr>
              <w:pStyle w:val="TableParagraph"/>
              <w:spacing w:line="210" w:lineRule="exact"/>
              <w:ind w:left="67" w:right="65"/>
              <w:jc w:val="center"/>
              <w:rPr>
                <w:sz w:val="20"/>
              </w:rPr>
            </w:pPr>
            <w:r>
              <w:rPr>
                <w:spacing w:val="-4"/>
                <w:sz w:val="20"/>
              </w:rPr>
              <w:t>50.8</w:t>
            </w:r>
          </w:p>
        </w:tc>
      </w:tr>
      <w:tr>
        <w:trPr>
          <w:trHeight w:val="244" w:hRule="exact"/>
        </w:trPr>
        <w:tc>
          <w:tcPr>
            <w:tcW w:w="4146" w:type="dxa"/>
            <w:gridSpan w:val="4"/>
            <w:tcBorders>
              <w:left w:val="single" w:sz="4" w:space="0" w:color="000000"/>
            </w:tcBorders>
          </w:tcPr>
          <w:p>
            <w:pPr>
              <w:pStyle w:val="TableParagraph"/>
              <w:spacing w:line="225" w:lineRule="exact"/>
              <w:ind w:left="825"/>
              <w:rPr>
                <w:sz w:val="20"/>
              </w:rPr>
            </w:pPr>
            <w:r>
              <w:rPr>
                <w:sz w:val="20"/>
              </w:rPr>
              <w:t>world</w:t>
            </w:r>
            <w:r>
              <w:rPr>
                <w:spacing w:val="-9"/>
                <w:sz w:val="20"/>
              </w:rPr>
              <w:t> </w:t>
            </w:r>
            <w:r>
              <w:rPr>
                <w:spacing w:val="-2"/>
                <w:sz w:val="20"/>
              </w:rPr>
              <w:t>events.</w:t>
            </w:r>
          </w:p>
        </w:tc>
        <w:tc>
          <w:tcPr>
            <w:tcW w:w="1796" w:type="dxa"/>
          </w:tcPr>
          <w:p>
            <w:pPr>
              <w:pStyle w:val="TableParagraph"/>
              <w:spacing w:line="225" w:lineRule="exact"/>
              <w:ind w:left="106"/>
              <w:rPr>
                <w:sz w:val="20"/>
              </w:rPr>
            </w:pPr>
            <w:r>
              <w:rPr>
                <w:sz w:val="20"/>
              </w:rPr>
              <w:t>Service</w:t>
            </w:r>
            <w:r>
              <w:rPr>
                <w:spacing w:val="-9"/>
                <w:sz w:val="20"/>
              </w:rPr>
              <w:t> </w:t>
            </w:r>
            <w:r>
              <w:rPr>
                <w:spacing w:val="-2"/>
                <w:sz w:val="20"/>
              </w:rPr>
              <w:t>Staff</w:t>
            </w:r>
          </w:p>
        </w:tc>
        <w:tc>
          <w:tcPr>
            <w:tcW w:w="707" w:type="dxa"/>
          </w:tcPr>
          <w:p>
            <w:pPr>
              <w:pStyle w:val="TableParagraph"/>
              <w:spacing w:line="225" w:lineRule="exact"/>
              <w:ind w:left="64" w:right="54"/>
              <w:jc w:val="center"/>
              <w:rPr>
                <w:sz w:val="20"/>
              </w:rPr>
            </w:pPr>
            <w:r>
              <w:rPr>
                <w:spacing w:val="-5"/>
                <w:sz w:val="20"/>
              </w:rPr>
              <w:t>123</w:t>
            </w:r>
          </w:p>
        </w:tc>
        <w:tc>
          <w:tcPr>
            <w:tcW w:w="749" w:type="dxa"/>
          </w:tcPr>
          <w:p>
            <w:pPr>
              <w:pStyle w:val="TableParagraph"/>
              <w:spacing w:line="225" w:lineRule="exact"/>
              <w:ind w:left="14" w:right="10"/>
              <w:jc w:val="center"/>
              <w:rPr>
                <w:sz w:val="20"/>
              </w:rPr>
            </w:pPr>
            <w:r>
              <w:rPr>
                <w:spacing w:val="-4"/>
                <w:sz w:val="20"/>
              </w:rPr>
              <w:t>60.6</w:t>
            </w:r>
          </w:p>
        </w:tc>
        <w:tc>
          <w:tcPr>
            <w:tcW w:w="691" w:type="dxa"/>
          </w:tcPr>
          <w:p>
            <w:pPr>
              <w:pStyle w:val="TableParagraph"/>
              <w:spacing w:line="225" w:lineRule="exact"/>
              <w:ind w:left="22" w:right="22"/>
              <w:jc w:val="center"/>
              <w:rPr>
                <w:sz w:val="20"/>
              </w:rPr>
            </w:pPr>
            <w:r>
              <w:rPr>
                <w:spacing w:val="-5"/>
                <w:sz w:val="20"/>
              </w:rPr>
              <w:t>64</w:t>
            </w:r>
          </w:p>
        </w:tc>
        <w:tc>
          <w:tcPr>
            <w:tcW w:w="777" w:type="dxa"/>
          </w:tcPr>
          <w:p>
            <w:pPr>
              <w:pStyle w:val="TableParagraph"/>
              <w:spacing w:line="225" w:lineRule="exact"/>
              <w:ind w:left="6" w:right="28"/>
              <w:jc w:val="center"/>
              <w:rPr>
                <w:sz w:val="20"/>
              </w:rPr>
            </w:pPr>
            <w:r>
              <w:rPr>
                <w:spacing w:val="-4"/>
                <w:sz w:val="20"/>
              </w:rPr>
              <w:t>31.5</w:t>
            </w:r>
          </w:p>
        </w:tc>
        <w:tc>
          <w:tcPr>
            <w:tcW w:w="686" w:type="dxa"/>
          </w:tcPr>
          <w:p>
            <w:pPr>
              <w:pStyle w:val="TableParagraph"/>
              <w:spacing w:line="225" w:lineRule="exact"/>
              <w:ind w:left="2" w:right="52"/>
              <w:jc w:val="center"/>
              <w:rPr>
                <w:sz w:val="20"/>
              </w:rPr>
            </w:pPr>
            <w:r>
              <w:rPr>
                <w:spacing w:val="-5"/>
                <w:sz w:val="20"/>
              </w:rPr>
              <w:t>12</w:t>
            </w:r>
          </w:p>
        </w:tc>
        <w:tc>
          <w:tcPr>
            <w:tcW w:w="902" w:type="dxa"/>
          </w:tcPr>
          <w:p>
            <w:pPr>
              <w:pStyle w:val="TableParagraph"/>
              <w:spacing w:line="225" w:lineRule="exact"/>
              <w:ind w:left="20" w:right="20"/>
              <w:jc w:val="center"/>
              <w:rPr>
                <w:sz w:val="20"/>
              </w:rPr>
            </w:pPr>
            <w:r>
              <w:rPr>
                <w:spacing w:val="-5"/>
                <w:sz w:val="20"/>
              </w:rPr>
              <w:t>5.9</w:t>
            </w:r>
          </w:p>
        </w:tc>
        <w:tc>
          <w:tcPr>
            <w:tcW w:w="684" w:type="dxa"/>
          </w:tcPr>
          <w:p>
            <w:pPr>
              <w:pStyle w:val="TableParagraph"/>
              <w:spacing w:line="225" w:lineRule="exact"/>
              <w:ind w:left="68" w:right="18"/>
              <w:jc w:val="center"/>
              <w:rPr>
                <w:sz w:val="20"/>
              </w:rPr>
            </w:pPr>
            <w:r>
              <w:rPr>
                <w:spacing w:val="-10"/>
                <w:sz w:val="20"/>
              </w:rPr>
              <w:t>3</w:t>
            </w:r>
          </w:p>
        </w:tc>
        <w:tc>
          <w:tcPr>
            <w:tcW w:w="799" w:type="dxa"/>
          </w:tcPr>
          <w:p>
            <w:pPr>
              <w:pStyle w:val="TableParagraph"/>
              <w:spacing w:line="225" w:lineRule="exact"/>
              <w:ind w:left="23" w:right="21"/>
              <w:jc w:val="center"/>
              <w:rPr>
                <w:sz w:val="20"/>
              </w:rPr>
            </w:pPr>
            <w:r>
              <w:rPr>
                <w:spacing w:val="-5"/>
                <w:sz w:val="20"/>
              </w:rPr>
              <w:t>1.5</w:t>
            </w:r>
          </w:p>
        </w:tc>
        <w:tc>
          <w:tcPr>
            <w:tcW w:w="626" w:type="dxa"/>
          </w:tcPr>
          <w:p>
            <w:pPr>
              <w:pStyle w:val="TableParagraph"/>
              <w:spacing w:line="225" w:lineRule="exact"/>
              <w:ind w:left="20" w:right="18"/>
              <w:jc w:val="center"/>
              <w:rPr>
                <w:sz w:val="20"/>
              </w:rPr>
            </w:pPr>
            <w:r>
              <w:rPr>
                <w:spacing w:val="-10"/>
                <w:sz w:val="20"/>
              </w:rPr>
              <w:t>1</w:t>
            </w:r>
          </w:p>
        </w:tc>
        <w:tc>
          <w:tcPr>
            <w:tcW w:w="770" w:type="dxa"/>
          </w:tcPr>
          <w:p>
            <w:pPr>
              <w:pStyle w:val="TableParagraph"/>
              <w:spacing w:line="225" w:lineRule="exact"/>
              <w:ind w:left="42" w:right="21"/>
              <w:jc w:val="center"/>
              <w:rPr>
                <w:sz w:val="20"/>
              </w:rPr>
            </w:pPr>
            <w:r>
              <w:rPr>
                <w:spacing w:val="-5"/>
                <w:sz w:val="20"/>
              </w:rPr>
              <w:t>0.5</w:t>
            </w:r>
          </w:p>
        </w:tc>
        <w:tc>
          <w:tcPr>
            <w:tcW w:w="709" w:type="dxa"/>
          </w:tcPr>
          <w:p>
            <w:pPr>
              <w:pStyle w:val="TableParagraph"/>
              <w:spacing w:line="225" w:lineRule="exact"/>
              <w:ind w:left="51" w:right="71"/>
              <w:jc w:val="center"/>
              <w:rPr>
                <w:sz w:val="20"/>
              </w:rPr>
            </w:pPr>
            <w:r>
              <w:rPr>
                <w:spacing w:val="-5"/>
                <w:sz w:val="20"/>
              </w:rPr>
              <w:t>203</w:t>
            </w:r>
          </w:p>
        </w:tc>
        <w:tc>
          <w:tcPr>
            <w:tcW w:w="720" w:type="dxa"/>
            <w:tcBorders>
              <w:right w:val="single" w:sz="4" w:space="0" w:color="000000"/>
            </w:tcBorders>
          </w:tcPr>
          <w:p>
            <w:pPr>
              <w:pStyle w:val="TableParagraph"/>
              <w:spacing w:line="225" w:lineRule="exact"/>
              <w:ind w:left="67" w:right="65"/>
              <w:jc w:val="center"/>
              <w:rPr>
                <w:sz w:val="20"/>
              </w:rPr>
            </w:pPr>
            <w:r>
              <w:rPr>
                <w:spacing w:val="-4"/>
                <w:sz w:val="20"/>
              </w:rPr>
              <w:t>43.8</w:t>
            </w:r>
          </w:p>
        </w:tc>
      </w:tr>
      <w:tr>
        <w:trPr>
          <w:trHeight w:val="268" w:hRule="exact"/>
        </w:trPr>
        <w:tc>
          <w:tcPr>
            <w:tcW w:w="4146" w:type="dxa"/>
            <w:gridSpan w:val="4"/>
            <w:tcBorders>
              <w:left w:val="single" w:sz="4" w:space="0" w:color="000000"/>
            </w:tcBorders>
          </w:tcPr>
          <w:p>
            <w:pPr>
              <w:pStyle w:val="TableParagraph"/>
              <w:rPr>
                <w:rFonts w:ascii="Times New Roman"/>
                <w:sz w:val="18"/>
              </w:rPr>
            </w:pPr>
          </w:p>
        </w:tc>
        <w:tc>
          <w:tcPr>
            <w:tcW w:w="1796" w:type="dxa"/>
          </w:tcPr>
          <w:p>
            <w:pPr>
              <w:pStyle w:val="TableParagraph"/>
              <w:spacing w:before="12"/>
              <w:ind w:left="106"/>
              <w:rPr>
                <w:sz w:val="20"/>
              </w:rPr>
            </w:pPr>
            <w:r>
              <w:rPr>
                <w:sz w:val="20"/>
              </w:rPr>
              <w:t>Top</w:t>
            </w:r>
            <w:r>
              <w:rPr>
                <w:spacing w:val="-1"/>
                <w:sz w:val="20"/>
              </w:rPr>
              <w:t> </w:t>
            </w:r>
            <w:r>
              <w:rPr>
                <w:spacing w:val="-2"/>
                <w:sz w:val="20"/>
              </w:rPr>
              <w:t>Management</w:t>
            </w:r>
          </w:p>
        </w:tc>
        <w:tc>
          <w:tcPr>
            <w:tcW w:w="707" w:type="dxa"/>
          </w:tcPr>
          <w:p>
            <w:pPr>
              <w:pStyle w:val="TableParagraph"/>
              <w:spacing w:before="12"/>
              <w:ind w:left="64" w:right="49"/>
              <w:jc w:val="center"/>
              <w:rPr>
                <w:sz w:val="20"/>
              </w:rPr>
            </w:pPr>
            <w:r>
              <w:rPr>
                <w:spacing w:val="-5"/>
                <w:sz w:val="20"/>
              </w:rPr>
              <w:t>10</w:t>
            </w:r>
          </w:p>
        </w:tc>
        <w:tc>
          <w:tcPr>
            <w:tcW w:w="749" w:type="dxa"/>
          </w:tcPr>
          <w:p>
            <w:pPr>
              <w:pStyle w:val="TableParagraph"/>
              <w:spacing w:before="12"/>
              <w:ind w:left="14" w:right="10"/>
              <w:jc w:val="center"/>
              <w:rPr>
                <w:sz w:val="20"/>
              </w:rPr>
            </w:pPr>
            <w:r>
              <w:rPr>
                <w:spacing w:val="-4"/>
                <w:sz w:val="20"/>
              </w:rPr>
              <w:t>43.5</w:t>
            </w:r>
          </w:p>
        </w:tc>
        <w:tc>
          <w:tcPr>
            <w:tcW w:w="691" w:type="dxa"/>
          </w:tcPr>
          <w:p>
            <w:pPr>
              <w:pStyle w:val="TableParagraph"/>
              <w:spacing w:before="12"/>
              <w:ind w:left="22" w:right="22"/>
              <w:jc w:val="center"/>
              <w:rPr>
                <w:sz w:val="20"/>
              </w:rPr>
            </w:pPr>
            <w:r>
              <w:rPr>
                <w:spacing w:val="-5"/>
                <w:sz w:val="20"/>
              </w:rPr>
              <w:t>13</w:t>
            </w:r>
          </w:p>
        </w:tc>
        <w:tc>
          <w:tcPr>
            <w:tcW w:w="777" w:type="dxa"/>
          </w:tcPr>
          <w:p>
            <w:pPr>
              <w:pStyle w:val="TableParagraph"/>
              <w:spacing w:before="12"/>
              <w:ind w:left="6" w:right="28"/>
              <w:jc w:val="center"/>
              <w:rPr>
                <w:sz w:val="20"/>
              </w:rPr>
            </w:pPr>
            <w:r>
              <w:rPr>
                <w:spacing w:val="-4"/>
                <w:sz w:val="20"/>
              </w:rPr>
              <w:t>56.5</w:t>
            </w:r>
          </w:p>
        </w:tc>
        <w:tc>
          <w:tcPr>
            <w:tcW w:w="686" w:type="dxa"/>
          </w:tcPr>
          <w:p>
            <w:pPr>
              <w:pStyle w:val="TableParagraph"/>
              <w:spacing w:before="12"/>
              <w:ind w:right="52"/>
              <w:jc w:val="center"/>
              <w:rPr>
                <w:sz w:val="20"/>
              </w:rPr>
            </w:pPr>
            <w:r>
              <w:rPr>
                <w:spacing w:val="-10"/>
                <w:sz w:val="20"/>
              </w:rPr>
              <w:t>-</w:t>
            </w:r>
          </w:p>
        </w:tc>
        <w:tc>
          <w:tcPr>
            <w:tcW w:w="902" w:type="dxa"/>
          </w:tcPr>
          <w:p>
            <w:pPr>
              <w:pStyle w:val="TableParagraph"/>
              <w:spacing w:before="12"/>
              <w:ind w:left="20" w:right="21"/>
              <w:jc w:val="center"/>
              <w:rPr>
                <w:sz w:val="20"/>
              </w:rPr>
            </w:pPr>
            <w:r>
              <w:rPr>
                <w:spacing w:val="-10"/>
                <w:sz w:val="20"/>
              </w:rPr>
              <w:t>-</w:t>
            </w:r>
          </w:p>
        </w:tc>
        <w:tc>
          <w:tcPr>
            <w:tcW w:w="684" w:type="dxa"/>
          </w:tcPr>
          <w:p>
            <w:pPr>
              <w:pStyle w:val="TableParagraph"/>
              <w:spacing w:before="12"/>
              <w:ind w:left="68" w:right="25"/>
              <w:jc w:val="center"/>
              <w:rPr>
                <w:sz w:val="20"/>
              </w:rPr>
            </w:pPr>
            <w:r>
              <w:rPr>
                <w:spacing w:val="-10"/>
                <w:sz w:val="20"/>
              </w:rPr>
              <w:t>-</w:t>
            </w:r>
          </w:p>
        </w:tc>
        <w:tc>
          <w:tcPr>
            <w:tcW w:w="799" w:type="dxa"/>
          </w:tcPr>
          <w:p>
            <w:pPr>
              <w:pStyle w:val="TableParagraph"/>
              <w:spacing w:before="12"/>
              <w:ind w:left="23" w:right="23"/>
              <w:jc w:val="center"/>
              <w:rPr>
                <w:sz w:val="20"/>
              </w:rPr>
            </w:pPr>
            <w:r>
              <w:rPr>
                <w:spacing w:val="-10"/>
                <w:sz w:val="20"/>
              </w:rPr>
              <w:t>-</w:t>
            </w:r>
          </w:p>
        </w:tc>
        <w:tc>
          <w:tcPr>
            <w:tcW w:w="626" w:type="dxa"/>
          </w:tcPr>
          <w:p>
            <w:pPr>
              <w:pStyle w:val="TableParagraph"/>
              <w:spacing w:before="12"/>
              <w:ind w:left="20" w:right="22"/>
              <w:jc w:val="center"/>
              <w:rPr>
                <w:sz w:val="20"/>
              </w:rPr>
            </w:pPr>
            <w:r>
              <w:rPr>
                <w:spacing w:val="-10"/>
                <w:sz w:val="20"/>
              </w:rPr>
              <w:t>-</w:t>
            </w:r>
          </w:p>
        </w:tc>
        <w:tc>
          <w:tcPr>
            <w:tcW w:w="770" w:type="dxa"/>
          </w:tcPr>
          <w:p>
            <w:pPr>
              <w:pStyle w:val="TableParagraph"/>
              <w:spacing w:before="12"/>
              <w:ind w:left="42" w:right="23"/>
              <w:jc w:val="center"/>
              <w:rPr>
                <w:sz w:val="20"/>
              </w:rPr>
            </w:pPr>
            <w:r>
              <w:rPr>
                <w:spacing w:val="-10"/>
                <w:sz w:val="20"/>
              </w:rPr>
              <w:t>-</w:t>
            </w:r>
          </w:p>
        </w:tc>
        <w:tc>
          <w:tcPr>
            <w:tcW w:w="709" w:type="dxa"/>
          </w:tcPr>
          <w:p>
            <w:pPr>
              <w:pStyle w:val="TableParagraph"/>
              <w:spacing w:before="12"/>
              <w:ind w:left="51" w:right="67"/>
              <w:jc w:val="center"/>
              <w:rPr>
                <w:sz w:val="20"/>
              </w:rPr>
            </w:pPr>
            <w:r>
              <w:rPr>
                <w:spacing w:val="-5"/>
                <w:sz w:val="20"/>
              </w:rPr>
              <w:t>23</w:t>
            </w:r>
          </w:p>
        </w:tc>
        <w:tc>
          <w:tcPr>
            <w:tcW w:w="720" w:type="dxa"/>
            <w:tcBorders>
              <w:right w:val="single" w:sz="4" w:space="0" w:color="000000"/>
            </w:tcBorders>
          </w:tcPr>
          <w:p>
            <w:pPr>
              <w:pStyle w:val="TableParagraph"/>
              <w:spacing w:before="12"/>
              <w:ind w:left="65" w:right="65"/>
              <w:jc w:val="center"/>
              <w:rPr>
                <w:sz w:val="20"/>
              </w:rPr>
            </w:pPr>
            <w:r>
              <w:rPr>
                <w:spacing w:val="-5"/>
                <w:sz w:val="20"/>
              </w:rPr>
              <w:t>5.0</w:t>
            </w:r>
          </w:p>
        </w:tc>
      </w:tr>
      <w:tr>
        <w:trPr>
          <w:trHeight w:val="254" w:hRule="exact"/>
        </w:trPr>
        <w:tc>
          <w:tcPr>
            <w:tcW w:w="4146" w:type="dxa"/>
            <w:gridSpan w:val="4"/>
            <w:tcBorders>
              <w:left w:val="single" w:sz="4" w:space="0" w:color="000000"/>
            </w:tcBorders>
          </w:tcPr>
          <w:p>
            <w:pPr>
              <w:pStyle w:val="TableParagraph"/>
              <w:tabs>
                <w:tab w:pos="825" w:val="left" w:leader="none"/>
              </w:tabs>
              <w:spacing w:line="213" w:lineRule="exact" w:before="21"/>
              <w:ind w:left="215"/>
              <w:rPr>
                <w:sz w:val="20"/>
              </w:rPr>
            </w:pPr>
            <w:r>
              <w:rPr>
                <w:spacing w:val="-5"/>
                <w:sz w:val="20"/>
              </w:rPr>
              <w:t>82.</w:t>
            </w:r>
            <w:r>
              <w:rPr>
                <w:sz w:val="20"/>
              </w:rPr>
              <w:tab/>
              <w:t>Learning</w:t>
            </w:r>
            <w:r>
              <w:rPr>
                <w:spacing w:val="71"/>
                <w:sz w:val="20"/>
              </w:rPr>
              <w:t> </w:t>
            </w:r>
            <w:r>
              <w:rPr>
                <w:sz w:val="20"/>
              </w:rPr>
              <w:t>and</w:t>
            </w:r>
            <w:r>
              <w:rPr>
                <w:spacing w:val="74"/>
                <w:sz w:val="20"/>
              </w:rPr>
              <w:t> </w:t>
            </w:r>
            <w:r>
              <w:rPr>
                <w:sz w:val="20"/>
              </w:rPr>
              <w:t>teaching</w:t>
            </w:r>
            <w:r>
              <w:rPr>
                <w:spacing w:val="71"/>
                <w:sz w:val="20"/>
              </w:rPr>
              <w:t> </w:t>
            </w:r>
            <w:r>
              <w:rPr>
                <w:sz w:val="20"/>
              </w:rPr>
              <w:t>are</w:t>
            </w:r>
            <w:r>
              <w:rPr>
                <w:spacing w:val="72"/>
                <w:sz w:val="20"/>
              </w:rPr>
              <w:t> </w:t>
            </w:r>
            <w:r>
              <w:rPr>
                <w:spacing w:val="-4"/>
                <w:sz w:val="20"/>
              </w:rPr>
              <w:t>made</w:t>
            </w:r>
          </w:p>
        </w:tc>
        <w:tc>
          <w:tcPr>
            <w:tcW w:w="1796" w:type="dxa"/>
          </w:tcPr>
          <w:p>
            <w:pPr>
              <w:pStyle w:val="TableParagraph"/>
              <w:spacing w:line="213" w:lineRule="exact" w:before="21"/>
              <w:ind w:left="106"/>
              <w:rPr>
                <w:sz w:val="20"/>
              </w:rPr>
            </w:pPr>
            <w:r>
              <w:rPr>
                <w:sz w:val="20"/>
              </w:rPr>
              <w:t>No.</w:t>
            </w:r>
            <w:r>
              <w:rPr>
                <w:spacing w:val="-5"/>
                <w:sz w:val="20"/>
              </w:rPr>
              <w:t> </w:t>
            </w:r>
            <w:r>
              <w:rPr>
                <w:sz w:val="20"/>
              </w:rPr>
              <w:t>of</w:t>
            </w:r>
            <w:r>
              <w:rPr>
                <w:spacing w:val="-2"/>
                <w:sz w:val="20"/>
              </w:rPr>
              <w:t> missing</w:t>
            </w:r>
          </w:p>
        </w:tc>
        <w:tc>
          <w:tcPr>
            <w:tcW w:w="1456" w:type="dxa"/>
            <w:gridSpan w:val="2"/>
          </w:tcPr>
          <w:p>
            <w:pPr>
              <w:pStyle w:val="TableParagraph"/>
              <w:rPr>
                <w:rFonts w:ascii="Times New Roman"/>
                <w:sz w:val="18"/>
              </w:rPr>
            </w:pPr>
          </w:p>
        </w:tc>
        <w:tc>
          <w:tcPr>
            <w:tcW w:w="1468" w:type="dxa"/>
            <w:gridSpan w:val="2"/>
          </w:tcPr>
          <w:p>
            <w:pPr>
              <w:pStyle w:val="TableParagraph"/>
              <w:rPr>
                <w:rFonts w:ascii="Times New Roman"/>
                <w:sz w:val="18"/>
              </w:rPr>
            </w:pPr>
          </w:p>
        </w:tc>
        <w:tc>
          <w:tcPr>
            <w:tcW w:w="1588" w:type="dxa"/>
            <w:gridSpan w:val="2"/>
          </w:tcPr>
          <w:p>
            <w:pPr>
              <w:pStyle w:val="TableParagraph"/>
              <w:rPr>
                <w:rFonts w:ascii="Times New Roman"/>
                <w:sz w:val="18"/>
              </w:rPr>
            </w:pPr>
          </w:p>
        </w:tc>
        <w:tc>
          <w:tcPr>
            <w:tcW w:w="1483" w:type="dxa"/>
            <w:gridSpan w:val="2"/>
          </w:tcPr>
          <w:p>
            <w:pPr>
              <w:pStyle w:val="TableParagraph"/>
              <w:rPr>
                <w:rFonts w:ascii="Times New Roman"/>
                <w:sz w:val="18"/>
              </w:rPr>
            </w:pPr>
          </w:p>
        </w:tc>
        <w:tc>
          <w:tcPr>
            <w:tcW w:w="1396" w:type="dxa"/>
            <w:gridSpan w:val="2"/>
          </w:tcPr>
          <w:p>
            <w:pPr>
              <w:pStyle w:val="TableParagraph"/>
              <w:rPr>
                <w:rFonts w:ascii="Times New Roman"/>
                <w:sz w:val="18"/>
              </w:rPr>
            </w:pPr>
          </w:p>
        </w:tc>
        <w:tc>
          <w:tcPr>
            <w:tcW w:w="709" w:type="dxa"/>
          </w:tcPr>
          <w:p>
            <w:pPr>
              <w:pStyle w:val="TableParagraph"/>
              <w:rPr>
                <w:rFonts w:ascii="Times New Roman"/>
                <w:sz w:val="18"/>
              </w:rPr>
            </w:pPr>
          </w:p>
        </w:tc>
        <w:tc>
          <w:tcPr>
            <w:tcW w:w="720" w:type="dxa"/>
            <w:tcBorders>
              <w:right w:val="single" w:sz="4" w:space="0" w:color="000000"/>
            </w:tcBorders>
          </w:tcPr>
          <w:p>
            <w:pPr>
              <w:pStyle w:val="TableParagraph"/>
              <w:rPr>
                <w:rFonts w:ascii="Times New Roman"/>
                <w:sz w:val="18"/>
              </w:rPr>
            </w:pPr>
          </w:p>
        </w:tc>
      </w:tr>
      <w:tr>
        <w:trPr>
          <w:trHeight w:val="230" w:hRule="exact"/>
        </w:trPr>
        <w:tc>
          <w:tcPr>
            <w:tcW w:w="712" w:type="dxa"/>
            <w:tcBorders>
              <w:left w:val="single" w:sz="4" w:space="0" w:color="000000"/>
            </w:tcBorders>
          </w:tcPr>
          <w:p>
            <w:pPr>
              <w:pStyle w:val="TableParagraph"/>
              <w:rPr>
                <w:rFonts w:ascii="Times New Roman"/>
                <w:sz w:val="16"/>
              </w:rPr>
            </w:pPr>
          </w:p>
        </w:tc>
        <w:tc>
          <w:tcPr>
            <w:tcW w:w="1837" w:type="dxa"/>
          </w:tcPr>
          <w:p>
            <w:pPr>
              <w:pStyle w:val="TableParagraph"/>
              <w:tabs>
                <w:tab w:pos="934" w:val="left" w:leader="none"/>
              </w:tabs>
              <w:spacing w:line="210" w:lineRule="exact"/>
              <w:ind w:left="118"/>
              <w:rPr>
                <w:sz w:val="20"/>
              </w:rPr>
            </w:pPr>
            <w:r>
              <w:rPr>
                <w:spacing w:val="-2"/>
                <w:sz w:val="20"/>
              </w:rPr>
              <w:t>faster</w:t>
            </w:r>
            <w:r>
              <w:rPr>
                <w:sz w:val="20"/>
              </w:rPr>
              <w:tab/>
            </w:r>
            <w:r>
              <w:rPr>
                <w:spacing w:val="-2"/>
                <w:sz w:val="20"/>
              </w:rPr>
              <w:t>through</w:t>
            </w:r>
          </w:p>
        </w:tc>
        <w:tc>
          <w:tcPr>
            <w:tcW w:w="1050" w:type="dxa"/>
          </w:tcPr>
          <w:p>
            <w:pPr>
              <w:pStyle w:val="TableParagraph"/>
              <w:tabs>
                <w:tab w:pos="641" w:val="left" w:leader="none"/>
              </w:tabs>
              <w:spacing w:line="210" w:lineRule="exact"/>
              <w:ind w:left="46"/>
              <w:jc w:val="center"/>
              <w:rPr>
                <w:sz w:val="20"/>
              </w:rPr>
            </w:pPr>
            <w:r>
              <w:rPr>
                <w:spacing w:val="-5"/>
                <w:sz w:val="20"/>
              </w:rPr>
              <w:t>the</w:t>
            </w:r>
            <w:r>
              <w:rPr>
                <w:sz w:val="20"/>
              </w:rPr>
              <w:tab/>
            </w:r>
            <w:r>
              <w:rPr>
                <w:spacing w:val="-5"/>
                <w:sz w:val="20"/>
              </w:rPr>
              <w:t>use</w:t>
            </w:r>
          </w:p>
        </w:tc>
        <w:tc>
          <w:tcPr>
            <w:tcW w:w="547" w:type="dxa"/>
          </w:tcPr>
          <w:p>
            <w:pPr>
              <w:pStyle w:val="TableParagraph"/>
              <w:spacing w:line="210" w:lineRule="exact"/>
              <w:ind w:left="217" w:right="63"/>
              <w:jc w:val="center"/>
              <w:rPr>
                <w:sz w:val="20"/>
              </w:rPr>
            </w:pPr>
            <w:r>
              <w:rPr>
                <w:spacing w:val="-5"/>
                <w:sz w:val="20"/>
              </w:rPr>
              <w:t>of</w:t>
            </w:r>
          </w:p>
        </w:tc>
        <w:tc>
          <w:tcPr>
            <w:tcW w:w="1796" w:type="dxa"/>
          </w:tcPr>
          <w:p>
            <w:pPr>
              <w:pStyle w:val="TableParagraph"/>
              <w:spacing w:line="210" w:lineRule="exact"/>
              <w:ind w:left="106"/>
              <w:rPr>
                <w:sz w:val="20"/>
              </w:rPr>
            </w:pPr>
            <w:r>
              <w:rPr>
                <w:spacing w:val="-2"/>
                <w:sz w:val="20"/>
              </w:rPr>
              <w:t>observations</w:t>
            </w:r>
          </w:p>
        </w:tc>
        <w:tc>
          <w:tcPr>
            <w:tcW w:w="707" w:type="dxa"/>
          </w:tcPr>
          <w:p>
            <w:pPr>
              <w:pStyle w:val="TableParagraph"/>
              <w:spacing w:line="210" w:lineRule="exact"/>
              <w:ind w:left="64" w:right="44"/>
              <w:jc w:val="center"/>
              <w:rPr>
                <w:sz w:val="20"/>
              </w:rPr>
            </w:pPr>
            <w:r>
              <w:rPr>
                <w:spacing w:val="-10"/>
                <w:sz w:val="20"/>
              </w:rPr>
              <w:t>1</w:t>
            </w:r>
          </w:p>
        </w:tc>
        <w:tc>
          <w:tcPr>
            <w:tcW w:w="749" w:type="dxa"/>
          </w:tcPr>
          <w:p>
            <w:pPr>
              <w:pStyle w:val="TableParagraph"/>
              <w:spacing w:line="210" w:lineRule="exact"/>
              <w:ind w:left="14" w:right="10"/>
              <w:jc w:val="center"/>
              <w:rPr>
                <w:sz w:val="20"/>
              </w:rPr>
            </w:pPr>
            <w:r>
              <w:rPr>
                <w:spacing w:val="-4"/>
                <w:sz w:val="20"/>
              </w:rPr>
              <w:t>50.0</w:t>
            </w:r>
          </w:p>
        </w:tc>
        <w:tc>
          <w:tcPr>
            <w:tcW w:w="691" w:type="dxa"/>
          </w:tcPr>
          <w:p>
            <w:pPr>
              <w:pStyle w:val="TableParagraph"/>
              <w:spacing w:line="210" w:lineRule="exact"/>
              <w:ind w:left="22" w:right="18"/>
              <w:jc w:val="center"/>
              <w:rPr>
                <w:sz w:val="20"/>
              </w:rPr>
            </w:pPr>
            <w:r>
              <w:rPr>
                <w:spacing w:val="-10"/>
                <w:sz w:val="20"/>
              </w:rPr>
              <w:t>1</w:t>
            </w:r>
          </w:p>
        </w:tc>
        <w:tc>
          <w:tcPr>
            <w:tcW w:w="777" w:type="dxa"/>
          </w:tcPr>
          <w:p>
            <w:pPr>
              <w:pStyle w:val="TableParagraph"/>
              <w:spacing w:line="210" w:lineRule="exact"/>
              <w:ind w:left="6" w:right="28"/>
              <w:jc w:val="center"/>
              <w:rPr>
                <w:sz w:val="20"/>
              </w:rPr>
            </w:pPr>
            <w:r>
              <w:rPr>
                <w:spacing w:val="-4"/>
                <w:sz w:val="20"/>
              </w:rPr>
              <w:t>50.0</w:t>
            </w:r>
          </w:p>
        </w:tc>
        <w:tc>
          <w:tcPr>
            <w:tcW w:w="686" w:type="dxa"/>
          </w:tcPr>
          <w:p>
            <w:pPr>
              <w:pStyle w:val="TableParagraph"/>
              <w:spacing w:line="210" w:lineRule="exact"/>
              <w:ind w:right="52"/>
              <w:jc w:val="center"/>
              <w:rPr>
                <w:sz w:val="20"/>
              </w:rPr>
            </w:pPr>
            <w:r>
              <w:rPr>
                <w:spacing w:val="-10"/>
                <w:sz w:val="20"/>
              </w:rPr>
              <w:t>-</w:t>
            </w:r>
          </w:p>
        </w:tc>
        <w:tc>
          <w:tcPr>
            <w:tcW w:w="902" w:type="dxa"/>
          </w:tcPr>
          <w:p>
            <w:pPr>
              <w:pStyle w:val="TableParagraph"/>
              <w:spacing w:line="210" w:lineRule="exact"/>
              <w:ind w:left="20" w:right="21"/>
              <w:jc w:val="center"/>
              <w:rPr>
                <w:sz w:val="20"/>
              </w:rPr>
            </w:pPr>
            <w:r>
              <w:rPr>
                <w:spacing w:val="-10"/>
                <w:sz w:val="20"/>
              </w:rPr>
              <w:t>-</w:t>
            </w:r>
          </w:p>
        </w:tc>
        <w:tc>
          <w:tcPr>
            <w:tcW w:w="684" w:type="dxa"/>
          </w:tcPr>
          <w:p>
            <w:pPr>
              <w:pStyle w:val="TableParagraph"/>
              <w:spacing w:line="210" w:lineRule="exact"/>
              <w:ind w:left="68" w:right="25"/>
              <w:jc w:val="center"/>
              <w:rPr>
                <w:sz w:val="20"/>
              </w:rPr>
            </w:pPr>
            <w:r>
              <w:rPr>
                <w:spacing w:val="-10"/>
                <w:sz w:val="20"/>
              </w:rPr>
              <w:t>-</w:t>
            </w:r>
          </w:p>
        </w:tc>
        <w:tc>
          <w:tcPr>
            <w:tcW w:w="799" w:type="dxa"/>
          </w:tcPr>
          <w:p>
            <w:pPr>
              <w:pStyle w:val="TableParagraph"/>
              <w:spacing w:line="210" w:lineRule="exact"/>
              <w:ind w:left="23" w:right="23"/>
              <w:jc w:val="center"/>
              <w:rPr>
                <w:sz w:val="20"/>
              </w:rPr>
            </w:pPr>
            <w:r>
              <w:rPr>
                <w:spacing w:val="-10"/>
                <w:sz w:val="20"/>
              </w:rPr>
              <w:t>-</w:t>
            </w:r>
          </w:p>
        </w:tc>
        <w:tc>
          <w:tcPr>
            <w:tcW w:w="626" w:type="dxa"/>
          </w:tcPr>
          <w:p>
            <w:pPr>
              <w:pStyle w:val="TableParagraph"/>
              <w:spacing w:line="210" w:lineRule="exact"/>
              <w:ind w:left="20" w:right="22"/>
              <w:jc w:val="center"/>
              <w:rPr>
                <w:sz w:val="20"/>
              </w:rPr>
            </w:pPr>
            <w:r>
              <w:rPr>
                <w:spacing w:val="-10"/>
                <w:sz w:val="20"/>
              </w:rPr>
              <w:t>-</w:t>
            </w:r>
          </w:p>
        </w:tc>
        <w:tc>
          <w:tcPr>
            <w:tcW w:w="770" w:type="dxa"/>
          </w:tcPr>
          <w:p>
            <w:pPr>
              <w:pStyle w:val="TableParagraph"/>
              <w:spacing w:line="210" w:lineRule="exact"/>
              <w:ind w:left="42" w:right="23"/>
              <w:jc w:val="center"/>
              <w:rPr>
                <w:sz w:val="20"/>
              </w:rPr>
            </w:pPr>
            <w:r>
              <w:rPr>
                <w:spacing w:val="-10"/>
                <w:sz w:val="20"/>
              </w:rPr>
              <w:t>-</w:t>
            </w:r>
          </w:p>
        </w:tc>
        <w:tc>
          <w:tcPr>
            <w:tcW w:w="709" w:type="dxa"/>
          </w:tcPr>
          <w:p>
            <w:pPr>
              <w:pStyle w:val="TableParagraph"/>
              <w:spacing w:line="210" w:lineRule="exact"/>
              <w:ind w:left="51" w:right="62"/>
              <w:jc w:val="center"/>
              <w:rPr>
                <w:sz w:val="20"/>
              </w:rPr>
            </w:pPr>
            <w:r>
              <w:rPr>
                <w:spacing w:val="-10"/>
                <w:sz w:val="20"/>
              </w:rPr>
              <w:t>2</w:t>
            </w:r>
          </w:p>
        </w:tc>
        <w:tc>
          <w:tcPr>
            <w:tcW w:w="720" w:type="dxa"/>
            <w:tcBorders>
              <w:right w:val="single" w:sz="4" w:space="0" w:color="000000"/>
            </w:tcBorders>
          </w:tcPr>
          <w:p>
            <w:pPr>
              <w:pStyle w:val="TableParagraph"/>
              <w:spacing w:line="210" w:lineRule="exact"/>
              <w:ind w:left="65" w:right="65"/>
              <w:jc w:val="center"/>
              <w:rPr>
                <w:sz w:val="20"/>
              </w:rPr>
            </w:pPr>
            <w:r>
              <w:rPr>
                <w:spacing w:val="-5"/>
                <w:sz w:val="20"/>
              </w:rPr>
              <w:t>0.4</w:t>
            </w:r>
          </w:p>
        </w:tc>
      </w:tr>
      <w:tr>
        <w:trPr>
          <w:trHeight w:val="230" w:hRule="exact"/>
        </w:trPr>
        <w:tc>
          <w:tcPr>
            <w:tcW w:w="4146" w:type="dxa"/>
            <w:gridSpan w:val="4"/>
            <w:tcBorders>
              <w:left w:val="single" w:sz="4" w:space="0" w:color="000000"/>
            </w:tcBorders>
          </w:tcPr>
          <w:p>
            <w:pPr>
              <w:pStyle w:val="TableParagraph"/>
              <w:spacing w:line="210" w:lineRule="exact"/>
              <w:ind w:left="825"/>
              <w:rPr>
                <w:sz w:val="20"/>
              </w:rPr>
            </w:pPr>
            <w:r>
              <w:rPr>
                <w:sz w:val="20"/>
              </w:rPr>
              <w:t>information</w:t>
            </w:r>
            <w:r>
              <w:rPr>
                <w:spacing w:val="-13"/>
                <w:sz w:val="20"/>
              </w:rPr>
              <w:t> </w:t>
            </w:r>
            <w:r>
              <w:rPr>
                <w:sz w:val="20"/>
              </w:rPr>
              <w:t>technology</w:t>
            </w:r>
            <w:r>
              <w:rPr>
                <w:spacing w:val="-5"/>
                <w:sz w:val="20"/>
              </w:rPr>
              <w:t> </w:t>
            </w:r>
            <w:r>
              <w:rPr>
                <w:spacing w:val="-2"/>
                <w:sz w:val="20"/>
              </w:rPr>
              <w:t>devices.</w:t>
            </w:r>
          </w:p>
        </w:tc>
        <w:tc>
          <w:tcPr>
            <w:tcW w:w="1796" w:type="dxa"/>
          </w:tcPr>
          <w:p>
            <w:pPr>
              <w:pStyle w:val="TableParagraph"/>
              <w:spacing w:line="210" w:lineRule="exact"/>
              <w:ind w:left="106"/>
              <w:rPr>
                <w:sz w:val="20"/>
              </w:rPr>
            </w:pPr>
            <w:r>
              <w:rPr>
                <w:spacing w:val="-2"/>
                <w:sz w:val="20"/>
              </w:rPr>
              <w:t>Students</w:t>
            </w:r>
          </w:p>
        </w:tc>
        <w:tc>
          <w:tcPr>
            <w:tcW w:w="707" w:type="dxa"/>
          </w:tcPr>
          <w:p>
            <w:pPr>
              <w:pStyle w:val="TableParagraph"/>
              <w:spacing w:line="210" w:lineRule="exact"/>
              <w:ind w:left="64" w:right="54"/>
              <w:jc w:val="center"/>
              <w:rPr>
                <w:sz w:val="20"/>
              </w:rPr>
            </w:pPr>
            <w:r>
              <w:rPr>
                <w:spacing w:val="-5"/>
                <w:sz w:val="20"/>
              </w:rPr>
              <w:t>144</w:t>
            </w:r>
          </w:p>
        </w:tc>
        <w:tc>
          <w:tcPr>
            <w:tcW w:w="749" w:type="dxa"/>
          </w:tcPr>
          <w:p>
            <w:pPr>
              <w:pStyle w:val="TableParagraph"/>
              <w:spacing w:line="210" w:lineRule="exact"/>
              <w:ind w:left="14" w:right="10"/>
              <w:jc w:val="center"/>
              <w:rPr>
                <w:sz w:val="20"/>
              </w:rPr>
            </w:pPr>
            <w:r>
              <w:rPr>
                <w:spacing w:val="-4"/>
                <w:sz w:val="20"/>
              </w:rPr>
              <w:t>61.3</w:t>
            </w:r>
          </w:p>
        </w:tc>
        <w:tc>
          <w:tcPr>
            <w:tcW w:w="691" w:type="dxa"/>
          </w:tcPr>
          <w:p>
            <w:pPr>
              <w:pStyle w:val="TableParagraph"/>
              <w:spacing w:line="210" w:lineRule="exact"/>
              <w:ind w:left="22" w:right="22"/>
              <w:jc w:val="center"/>
              <w:rPr>
                <w:sz w:val="20"/>
              </w:rPr>
            </w:pPr>
            <w:r>
              <w:rPr>
                <w:spacing w:val="-5"/>
                <w:sz w:val="20"/>
              </w:rPr>
              <w:t>79</w:t>
            </w:r>
          </w:p>
        </w:tc>
        <w:tc>
          <w:tcPr>
            <w:tcW w:w="777" w:type="dxa"/>
          </w:tcPr>
          <w:p>
            <w:pPr>
              <w:pStyle w:val="TableParagraph"/>
              <w:spacing w:line="210" w:lineRule="exact"/>
              <w:ind w:left="6" w:right="28"/>
              <w:jc w:val="center"/>
              <w:rPr>
                <w:sz w:val="20"/>
              </w:rPr>
            </w:pPr>
            <w:r>
              <w:rPr>
                <w:spacing w:val="-4"/>
                <w:sz w:val="20"/>
              </w:rPr>
              <w:t>33.6</w:t>
            </w:r>
          </w:p>
        </w:tc>
        <w:tc>
          <w:tcPr>
            <w:tcW w:w="686" w:type="dxa"/>
          </w:tcPr>
          <w:p>
            <w:pPr>
              <w:pStyle w:val="TableParagraph"/>
              <w:spacing w:line="210" w:lineRule="exact"/>
              <w:ind w:left="2" w:right="52"/>
              <w:jc w:val="center"/>
              <w:rPr>
                <w:sz w:val="20"/>
              </w:rPr>
            </w:pPr>
            <w:r>
              <w:rPr>
                <w:spacing w:val="-5"/>
                <w:sz w:val="20"/>
              </w:rPr>
              <w:t>10</w:t>
            </w:r>
          </w:p>
        </w:tc>
        <w:tc>
          <w:tcPr>
            <w:tcW w:w="902" w:type="dxa"/>
          </w:tcPr>
          <w:p>
            <w:pPr>
              <w:pStyle w:val="TableParagraph"/>
              <w:spacing w:line="210" w:lineRule="exact"/>
              <w:ind w:left="20" w:right="20"/>
              <w:jc w:val="center"/>
              <w:rPr>
                <w:sz w:val="20"/>
              </w:rPr>
            </w:pPr>
            <w:r>
              <w:rPr>
                <w:spacing w:val="-5"/>
                <w:sz w:val="20"/>
              </w:rPr>
              <w:t>4.3</w:t>
            </w:r>
          </w:p>
        </w:tc>
        <w:tc>
          <w:tcPr>
            <w:tcW w:w="684" w:type="dxa"/>
          </w:tcPr>
          <w:p>
            <w:pPr>
              <w:pStyle w:val="TableParagraph"/>
              <w:spacing w:line="210" w:lineRule="exact"/>
              <w:ind w:left="68" w:right="18"/>
              <w:jc w:val="center"/>
              <w:rPr>
                <w:sz w:val="20"/>
              </w:rPr>
            </w:pPr>
            <w:r>
              <w:rPr>
                <w:spacing w:val="-10"/>
                <w:sz w:val="20"/>
              </w:rPr>
              <w:t>1</w:t>
            </w:r>
          </w:p>
        </w:tc>
        <w:tc>
          <w:tcPr>
            <w:tcW w:w="799" w:type="dxa"/>
          </w:tcPr>
          <w:p>
            <w:pPr>
              <w:pStyle w:val="TableParagraph"/>
              <w:spacing w:line="210" w:lineRule="exact"/>
              <w:ind w:left="23" w:right="21"/>
              <w:jc w:val="center"/>
              <w:rPr>
                <w:sz w:val="20"/>
              </w:rPr>
            </w:pPr>
            <w:r>
              <w:rPr>
                <w:spacing w:val="-5"/>
                <w:sz w:val="20"/>
              </w:rPr>
              <w:t>0.4</w:t>
            </w:r>
          </w:p>
        </w:tc>
        <w:tc>
          <w:tcPr>
            <w:tcW w:w="626" w:type="dxa"/>
          </w:tcPr>
          <w:p>
            <w:pPr>
              <w:pStyle w:val="TableParagraph"/>
              <w:spacing w:line="210" w:lineRule="exact"/>
              <w:ind w:left="20" w:right="18"/>
              <w:jc w:val="center"/>
              <w:rPr>
                <w:sz w:val="20"/>
              </w:rPr>
            </w:pPr>
            <w:r>
              <w:rPr>
                <w:spacing w:val="-10"/>
                <w:sz w:val="20"/>
              </w:rPr>
              <w:t>1</w:t>
            </w:r>
          </w:p>
        </w:tc>
        <w:tc>
          <w:tcPr>
            <w:tcW w:w="770" w:type="dxa"/>
          </w:tcPr>
          <w:p>
            <w:pPr>
              <w:pStyle w:val="TableParagraph"/>
              <w:spacing w:line="210" w:lineRule="exact"/>
              <w:ind w:left="42" w:right="21"/>
              <w:jc w:val="center"/>
              <w:rPr>
                <w:sz w:val="20"/>
              </w:rPr>
            </w:pPr>
            <w:r>
              <w:rPr>
                <w:spacing w:val="-5"/>
                <w:sz w:val="20"/>
              </w:rPr>
              <w:t>0.4</w:t>
            </w:r>
          </w:p>
        </w:tc>
        <w:tc>
          <w:tcPr>
            <w:tcW w:w="709" w:type="dxa"/>
          </w:tcPr>
          <w:p>
            <w:pPr>
              <w:pStyle w:val="TableParagraph"/>
              <w:spacing w:line="210" w:lineRule="exact"/>
              <w:ind w:left="51" w:right="71"/>
              <w:jc w:val="center"/>
              <w:rPr>
                <w:sz w:val="20"/>
              </w:rPr>
            </w:pPr>
            <w:r>
              <w:rPr>
                <w:spacing w:val="-5"/>
                <w:sz w:val="20"/>
              </w:rPr>
              <w:t>235</w:t>
            </w:r>
          </w:p>
        </w:tc>
        <w:tc>
          <w:tcPr>
            <w:tcW w:w="720" w:type="dxa"/>
            <w:tcBorders>
              <w:right w:val="single" w:sz="4" w:space="0" w:color="000000"/>
            </w:tcBorders>
          </w:tcPr>
          <w:p>
            <w:pPr>
              <w:pStyle w:val="TableParagraph"/>
              <w:spacing w:line="210" w:lineRule="exact"/>
              <w:ind w:left="67" w:right="65"/>
              <w:jc w:val="center"/>
              <w:rPr>
                <w:sz w:val="20"/>
              </w:rPr>
            </w:pPr>
            <w:r>
              <w:rPr>
                <w:spacing w:val="-4"/>
                <w:sz w:val="20"/>
              </w:rPr>
              <w:t>50.8</w:t>
            </w:r>
          </w:p>
        </w:tc>
      </w:tr>
      <w:tr>
        <w:trPr>
          <w:trHeight w:val="235" w:hRule="exact"/>
        </w:trPr>
        <w:tc>
          <w:tcPr>
            <w:tcW w:w="4146" w:type="dxa"/>
            <w:gridSpan w:val="4"/>
            <w:tcBorders>
              <w:left w:val="single" w:sz="4" w:space="0" w:color="000000"/>
            </w:tcBorders>
          </w:tcPr>
          <w:p>
            <w:pPr>
              <w:pStyle w:val="TableParagraph"/>
              <w:rPr>
                <w:rFonts w:ascii="Times New Roman"/>
                <w:sz w:val="16"/>
              </w:rPr>
            </w:pPr>
          </w:p>
        </w:tc>
        <w:tc>
          <w:tcPr>
            <w:tcW w:w="1796" w:type="dxa"/>
          </w:tcPr>
          <w:p>
            <w:pPr>
              <w:pStyle w:val="TableParagraph"/>
              <w:spacing w:line="215" w:lineRule="exact"/>
              <w:ind w:left="106"/>
              <w:rPr>
                <w:sz w:val="20"/>
              </w:rPr>
            </w:pPr>
            <w:r>
              <w:rPr>
                <w:sz w:val="20"/>
              </w:rPr>
              <w:t>Service</w:t>
            </w:r>
            <w:r>
              <w:rPr>
                <w:spacing w:val="-9"/>
                <w:sz w:val="20"/>
              </w:rPr>
              <w:t> </w:t>
            </w:r>
            <w:r>
              <w:rPr>
                <w:spacing w:val="-2"/>
                <w:sz w:val="20"/>
              </w:rPr>
              <w:t>Staff</w:t>
            </w:r>
          </w:p>
        </w:tc>
        <w:tc>
          <w:tcPr>
            <w:tcW w:w="707" w:type="dxa"/>
          </w:tcPr>
          <w:p>
            <w:pPr>
              <w:pStyle w:val="TableParagraph"/>
              <w:spacing w:line="215" w:lineRule="exact"/>
              <w:ind w:left="64" w:right="54"/>
              <w:jc w:val="center"/>
              <w:rPr>
                <w:sz w:val="20"/>
              </w:rPr>
            </w:pPr>
            <w:r>
              <w:rPr>
                <w:spacing w:val="-5"/>
                <w:sz w:val="20"/>
              </w:rPr>
              <w:t>102</w:t>
            </w:r>
          </w:p>
        </w:tc>
        <w:tc>
          <w:tcPr>
            <w:tcW w:w="749" w:type="dxa"/>
          </w:tcPr>
          <w:p>
            <w:pPr>
              <w:pStyle w:val="TableParagraph"/>
              <w:spacing w:line="215" w:lineRule="exact"/>
              <w:ind w:left="14" w:right="10"/>
              <w:jc w:val="center"/>
              <w:rPr>
                <w:sz w:val="20"/>
              </w:rPr>
            </w:pPr>
            <w:r>
              <w:rPr>
                <w:spacing w:val="-4"/>
                <w:sz w:val="20"/>
              </w:rPr>
              <w:t>50.2</w:t>
            </w:r>
          </w:p>
        </w:tc>
        <w:tc>
          <w:tcPr>
            <w:tcW w:w="691" w:type="dxa"/>
          </w:tcPr>
          <w:p>
            <w:pPr>
              <w:pStyle w:val="TableParagraph"/>
              <w:spacing w:line="215" w:lineRule="exact"/>
              <w:ind w:left="22" w:right="22"/>
              <w:jc w:val="center"/>
              <w:rPr>
                <w:sz w:val="20"/>
              </w:rPr>
            </w:pPr>
            <w:r>
              <w:rPr>
                <w:spacing w:val="-5"/>
                <w:sz w:val="20"/>
              </w:rPr>
              <w:t>80</w:t>
            </w:r>
          </w:p>
        </w:tc>
        <w:tc>
          <w:tcPr>
            <w:tcW w:w="777" w:type="dxa"/>
          </w:tcPr>
          <w:p>
            <w:pPr>
              <w:pStyle w:val="TableParagraph"/>
              <w:spacing w:line="215" w:lineRule="exact"/>
              <w:ind w:left="6" w:right="28"/>
              <w:jc w:val="center"/>
              <w:rPr>
                <w:sz w:val="20"/>
              </w:rPr>
            </w:pPr>
            <w:r>
              <w:rPr>
                <w:spacing w:val="-4"/>
                <w:sz w:val="20"/>
              </w:rPr>
              <w:t>39.4</w:t>
            </w:r>
          </w:p>
        </w:tc>
        <w:tc>
          <w:tcPr>
            <w:tcW w:w="686" w:type="dxa"/>
          </w:tcPr>
          <w:p>
            <w:pPr>
              <w:pStyle w:val="TableParagraph"/>
              <w:spacing w:line="215" w:lineRule="exact"/>
              <w:ind w:left="2" w:right="52"/>
              <w:jc w:val="center"/>
              <w:rPr>
                <w:sz w:val="20"/>
              </w:rPr>
            </w:pPr>
            <w:r>
              <w:rPr>
                <w:spacing w:val="-5"/>
                <w:sz w:val="20"/>
              </w:rPr>
              <w:t>15</w:t>
            </w:r>
          </w:p>
        </w:tc>
        <w:tc>
          <w:tcPr>
            <w:tcW w:w="902" w:type="dxa"/>
          </w:tcPr>
          <w:p>
            <w:pPr>
              <w:pStyle w:val="TableParagraph"/>
              <w:spacing w:line="215" w:lineRule="exact"/>
              <w:ind w:left="20" w:right="20"/>
              <w:jc w:val="center"/>
              <w:rPr>
                <w:sz w:val="20"/>
              </w:rPr>
            </w:pPr>
            <w:r>
              <w:rPr>
                <w:spacing w:val="-5"/>
                <w:sz w:val="20"/>
              </w:rPr>
              <w:t>7.4</w:t>
            </w:r>
          </w:p>
        </w:tc>
        <w:tc>
          <w:tcPr>
            <w:tcW w:w="684" w:type="dxa"/>
          </w:tcPr>
          <w:p>
            <w:pPr>
              <w:pStyle w:val="TableParagraph"/>
              <w:spacing w:line="215" w:lineRule="exact"/>
              <w:ind w:left="68" w:right="18"/>
              <w:jc w:val="center"/>
              <w:rPr>
                <w:sz w:val="20"/>
              </w:rPr>
            </w:pPr>
            <w:r>
              <w:rPr>
                <w:spacing w:val="-10"/>
                <w:sz w:val="20"/>
              </w:rPr>
              <w:t>6</w:t>
            </w:r>
          </w:p>
        </w:tc>
        <w:tc>
          <w:tcPr>
            <w:tcW w:w="799" w:type="dxa"/>
          </w:tcPr>
          <w:p>
            <w:pPr>
              <w:pStyle w:val="TableParagraph"/>
              <w:spacing w:line="215" w:lineRule="exact"/>
              <w:ind w:left="23" w:right="21"/>
              <w:jc w:val="center"/>
              <w:rPr>
                <w:sz w:val="20"/>
              </w:rPr>
            </w:pPr>
            <w:r>
              <w:rPr>
                <w:spacing w:val="-5"/>
                <w:sz w:val="20"/>
              </w:rPr>
              <w:t>3.0</w:t>
            </w:r>
          </w:p>
        </w:tc>
        <w:tc>
          <w:tcPr>
            <w:tcW w:w="626" w:type="dxa"/>
          </w:tcPr>
          <w:p>
            <w:pPr>
              <w:pStyle w:val="TableParagraph"/>
              <w:spacing w:line="215" w:lineRule="exact"/>
              <w:ind w:left="20" w:right="22"/>
              <w:jc w:val="center"/>
              <w:rPr>
                <w:sz w:val="20"/>
              </w:rPr>
            </w:pPr>
            <w:r>
              <w:rPr>
                <w:spacing w:val="-10"/>
                <w:sz w:val="20"/>
              </w:rPr>
              <w:t>-</w:t>
            </w:r>
          </w:p>
        </w:tc>
        <w:tc>
          <w:tcPr>
            <w:tcW w:w="770" w:type="dxa"/>
          </w:tcPr>
          <w:p>
            <w:pPr>
              <w:pStyle w:val="TableParagraph"/>
              <w:spacing w:line="215" w:lineRule="exact"/>
              <w:ind w:left="42" w:right="23"/>
              <w:jc w:val="center"/>
              <w:rPr>
                <w:sz w:val="20"/>
              </w:rPr>
            </w:pPr>
            <w:r>
              <w:rPr>
                <w:spacing w:val="-10"/>
                <w:sz w:val="20"/>
              </w:rPr>
              <w:t>-</w:t>
            </w:r>
          </w:p>
        </w:tc>
        <w:tc>
          <w:tcPr>
            <w:tcW w:w="709" w:type="dxa"/>
          </w:tcPr>
          <w:p>
            <w:pPr>
              <w:pStyle w:val="TableParagraph"/>
              <w:spacing w:line="215" w:lineRule="exact"/>
              <w:ind w:left="51" w:right="71"/>
              <w:jc w:val="center"/>
              <w:rPr>
                <w:sz w:val="20"/>
              </w:rPr>
            </w:pPr>
            <w:r>
              <w:rPr>
                <w:spacing w:val="-5"/>
                <w:sz w:val="20"/>
              </w:rPr>
              <w:t>203</w:t>
            </w:r>
          </w:p>
        </w:tc>
        <w:tc>
          <w:tcPr>
            <w:tcW w:w="720" w:type="dxa"/>
            <w:tcBorders>
              <w:right w:val="single" w:sz="4" w:space="0" w:color="000000"/>
            </w:tcBorders>
          </w:tcPr>
          <w:p>
            <w:pPr>
              <w:pStyle w:val="TableParagraph"/>
              <w:spacing w:line="215" w:lineRule="exact"/>
              <w:ind w:left="67" w:right="65"/>
              <w:jc w:val="center"/>
              <w:rPr>
                <w:sz w:val="20"/>
              </w:rPr>
            </w:pPr>
            <w:r>
              <w:rPr>
                <w:spacing w:val="-4"/>
                <w:sz w:val="20"/>
              </w:rPr>
              <w:t>43.8</w:t>
            </w:r>
          </w:p>
        </w:tc>
      </w:tr>
      <w:tr>
        <w:trPr>
          <w:trHeight w:val="261" w:hRule="exact"/>
        </w:trPr>
        <w:tc>
          <w:tcPr>
            <w:tcW w:w="4146" w:type="dxa"/>
            <w:gridSpan w:val="4"/>
            <w:tcBorders>
              <w:left w:val="single" w:sz="4" w:space="0" w:color="000000"/>
            </w:tcBorders>
          </w:tcPr>
          <w:p>
            <w:pPr>
              <w:pStyle w:val="TableParagraph"/>
              <w:rPr>
                <w:rFonts w:ascii="Times New Roman"/>
                <w:sz w:val="18"/>
              </w:rPr>
            </w:pPr>
          </w:p>
        </w:tc>
        <w:tc>
          <w:tcPr>
            <w:tcW w:w="1796" w:type="dxa"/>
          </w:tcPr>
          <w:p>
            <w:pPr>
              <w:pStyle w:val="TableParagraph"/>
              <w:spacing w:before="2"/>
              <w:ind w:left="106"/>
              <w:rPr>
                <w:sz w:val="20"/>
              </w:rPr>
            </w:pPr>
            <w:r>
              <w:rPr>
                <w:sz w:val="20"/>
              </w:rPr>
              <w:t>Top</w:t>
            </w:r>
            <w:r>
              <w:rPr>
                <w:spacing w:val="-1"/>
                <w:sz w:val="20"/>
              </w:rPr>
              <w:t> </w:t>
            </w:r>
            <w:r>
              <w:rPr>
                <w:spacing w:val="-2"/>
                <w:sz w:val="20"/>
              </w:rPr>
              <w:t>Management</w:t>
            </w:r>
          </w:p>
        </w:tc>
        <w:tc>
          <w:tcPr>
            <w:tcW w:w="707" w:type="dxa"/>
          </w:tcPr>
          <w:p>
            <w:pPr>
              <w:pStyle w:val="TableParagraph"/>
              <w:spacing w:before="2"/>
              <w:ind w:left="64" w:right="49"/>
              <w:jc w:val="center"/>
              <w:rPr>
                <w:sz w:val="20"/>
              </w:rPr>
            </w:pPr>
            <w:r>
              <w:rPr>
                <w:spacing w:val="-5"/>
                <w:sz w:val="20"/>
              </w:rPr>
              <w:t>12</w:t>
            </w:r>
          </w:p>
        </w:tc>
        <w:tc>
          <w:tcPr>
            <w:tcW w:w="749" w:type="dxa"/>
          </w:tcPr>
          <w:p>
            <w:pPr>
              <w:pStyle w:val="TableParagraph"/>
              <w:spacing w:before="2"/>
              <w:ind w:left="14" w:right="10"/>
              <w:jc w:val="center"/>
              <w:rPr>
                <w:sz w:val="20"/>
              </w:rPr>
            </w:pPr>
            <w:r>
              <w:rPr>
                <w:spacing w:val="-4"/>
                <w:sz w:val="20"/>
              </w:rPr>
              <w:t>52.2</w:t>
            </w:r>
          </w:p>
        </w:tc>
        <w:tc>
          <w:tcPr>
            <w:tcW w:w="691" w:type="dxa"/>
          </w:tcPr>
          <w:p>
            <w:pPr>
              <w:pStyle w:val="TableParagraph"/>
              <w:spacing w:before="2"/>
              <w:ind w:left="22" w:right="22"/>
              <w:jc w:val="center"/>
              <w:rPr>
                <w:sz w:val="20"/>
              </w:rPr>
            </w:pPr>
            <w:r>
              <w:rPr>
                <w:spacing w:val="-5"/>
                <w:sz w:val="20"/>
              </w:rPr>
              <w:t>11</w:t>
            </w:r>
          </w:p>
        </w:tc>
        <w:tc>
          <w:tcPr>
            <w:tcW w:w="777" w:type="dxa"/>
          </w:tcPr>
          <w:p>
            <w:pPr>
              <w:pStyle w:val="TableParagraph"/>
              <w:spacing w:before="2"/>
              <w:ind w:left="6" w:right="28"/>
              <w:jc w:val="center"/>
              <w:rPr>
                <w:sz w:val="20"/>
              </w:rPr>
            </w:pPr>
            <w:r>
              <w:rPr>
                <w:spacing w:val="-4"/>
                <w:sz w:val="20"/>
              </w:rPr>
              <w:t>47.8</w:t>
            </w:r>
          </w:p>
        </w:tc>
        <w:tc>
          <w:tcPr>
            <w:tcW w:w="686" w:type="dxa"/>
          </w:tcPr>
          <w:p>
            <w:pPr>
              <w:pStyle w:val="TableParagraph"/>
              <w:spacing w:before="2"/>
              <w:ind w:right="52"/>
              <w:jc w:val="center"/>
              <w:rPr>
                <w:sz w:val="20"/>
              </w:rPr>
            </w:pPr>
            <w:r>
              <w:rPr>
                <w:spacing w:val="-10"/>
                <w:sz w:val="20"/>
              </w:rPr>
              <w:t>-</w:t>
            </w:r>
          </w:p>
        </w:tc>
        <w:tc>
          <w:tcPr>
            <w:tcW w:w="902" w:type="dxa"/>
          </w:tcPr>
          <w:p>
            <w:pPr>
              <w:pStyle w:val="TableParagraph"/>
              <w:spacing w:before="2"/>
              <w:ind w:left="20" w:right="21"/>
              <w:jc w:val="center"/>
              <w:rPr>
                <w:sz w:val="20"/>
              </w:rPr>
            </w:pPr>
            <w:r>
              <w:rPr>
                <w:spacing w:val="-10"/>
                <w:sz w:val="20"/>
              </w:rPr>
              <w:t>-</w:t>
            </w:r>
          </w:p>
        </w:tc>
        <w:tc>
          <w:tcPr>
            <w:tcW w:w="684" w:type="dxa"/>
          </w:tcPr>
          <w:p>
            <w:pPr>
              <w:pStyle w:val="TableParagraph"/>
              <w:spacing w:before="2"/>
              <w:ind w:left="68" w:right="25"/>
              <w:jc w:val="center"/>
              <w:rPr>
                <w:sz w:val="20"/>
              </w:rPr>
            </w:pPr>
            <w:r>
              <w:rPr>
                <w:spacing w:val="-10"/>
                <w:sz w:val="20"/>
              </w:rPr>
              <w:t>-</w:t>
            </w:r>
          </w:p>
        </w:tc>
        <w:tc>
          <w:tcPr>
            <w:tcW w:w="799" w:type="dxa"/>
          </w:tcPr>
          <w:p>
            <w:pPr>
              <w:pStyle w:val="TableParagraph"/>
              <w:spacing w:before="2"/>
              <w:ind w:left="23" w:right="23"/>
              <w:jc w:val="center"/>
              <w:rPr>
                <w:sz w:val="20"/>
              </w:rPr>
            </w:pPr>
            <w:r>
              <w:rPr>
                <w:spacing w:val="-10"/>
                <w:sz w:val="20"/>
              </w:rPr>
              <w:t>-</w:t>
            </w:r>
          </w:p>
        </w:tc>
        <w:tc>
          <w:tcPr>
            <w:tcW w:w="626" w:type="dxa"/>
          </w:tcPr>
          <w:p>
            <w:pPr>
              <w:pStyle w:val="TableParagraph"/>
              <w:spacing w:before="2"/>
              <w:ind w:left="20" w:right="22"/>
              <w:jc w:val="center"/>
              <w:rPr>
                <w:sz w:val="20"/>
              </w:rPr>
            </w:pPr>
            <w:r>
              <w:rPr>
                <w:spacing w:val="-10"/>
                <w:sz w:val="20"/>
              </w:rPr>
              <w:t>-</w:t>
            </w:r>
          </w:p>
        </w:tc>
        <w:tc>
          <w:tcPr>
            <w:tcW w:w="770" w:type="dxa"/>
          </w:tcPr>
          <w:p>
            <w:pPr>
              <w:pStyle w:val="TableParagraph"/>
              <w:spacing w:before="2"/>
              <w:ind w:left="42" w:right="23"/>
              <w:jc w:val="center"/>
              <w:rPr>
                <w:sz w:val="20"/>
              </w:rPr>
            </w:pPr>
            <w:r>
              <w:rPr>
                <w:spacing w:val="-10"/>
                <w:sz w:val="20"/>
              </w:rPr>
              <w:t>-</w:t>
            </w:r>
          </w:p>
        </w:tc>
        <w:tc>
          <w:tcPr>
            <w:tcW w:w="709" w:type="dxa"/>
          </w:tcPr>
          <w:p>
            <w:pPr>
              <w:pStyle w:val="TableParagraph"/>
              <w:spacing w:before="2"/>
              <w:ind w:left="51" w:right="67"/>
              <w:jc w:val="center"/>
              <w:rPr>
                <w:sz w:val="20"/>
              </w:rPr>
            </w:pPr>
            <w:r>
              <w:rPr>
                <w:spacing w:val="-5"/>
                <w:sz w:val="20"/>
              </w:rPr>
              <w:t>23</w:t>
            </w:r>
          </w:p>
        </w:tc>
        <w:tc>
          <w:tcPr>
            <w:tcW w:w="720" w:type="dxa"/>
            <w:tcBorders>
              <w:right w:val="single" w:sz="4" w:space="0" w:color="000000"/>
            </w:tcBorders>
          </w:tcPr>
          <w:p>
            <w:pPr>
              <w:pStyle w:val="TableParagraph"/>
              <w:spacing w:before="2"/>
              <w:ind w:left="65" w:right="65"/>
              <w:jc w:val="center"/>
              <w:rPr>
                <w:sz w:val="20"/>
              </w:rPr>
            </w:pPr>
            <w:r>
              <w:rPr>
                <w:spacing w:val="-5"/>
                <w:sz w:val="20"/>
              </w:rPr>
              <w:t>5.0</w:t>
            </w:r>
          </w:p>
        </w:tc>
      </w:tr>
      <w:tr>
        <w:trPr>
          <w:trHeight w:val="256" w:hRule="exact"/>
        </w:trPr>
        <w:tc>
          <w:tcPr>
            <w:tcW w:w="4146" w:type="dxa"/>
            <w:gridSpan w:val="4"/>
            <w:tcBorders>
              <w:left w:val="single" w:sz="4" w:space="0" w:color="000000"/>
            </w:tcBorders>
          </w:tcPr>
          <w:p>
            <w:pPr>
              <w:pStyle w:val="TableParagraph"/>
              <w:tabs>
                <w:tab w:pos="825" w:val="left" w:leader="none"/>
              </w:tabs>
              <w:spacing w:line="213" w:lineRule="exact" w:before="24"/>
              <w:ind w:left="215"/>
              <w:rPr>
                <w:sz w:val="20"/>
              </w:rPr>
            </w:pPr>
            <w:r>
              <w:rPr>
                <w:spacing w:val="-5"/>
                <w:sz w:val="20"/>
              </w:rPr>
              <w:t>83.</w:t>
            </w:r>
            <w:r>
              <w:rPr>
                <w:sz w:val="20"/>
              </w:rPr>
              <w:tab/>
              <w:t>Most</w:t>
            </w:r>
            <w:r>
              <w:rPr>
                <w:spacing w:val="30"/>
                <w:sz w:val="20"/>
              </w:rPr>
              <w:t> </w:t>
            </w:r>
            <w:r>
              <w:rPr>
                <w:sz w:val="20"/>
              </w:rPr>
              <w:t>of</w:t>
            </w:r>
            <w:r>
              <w:rPr>
                <w:spacing w:val="35"/>
                <w:sz w:val="20"/>
              </w:rPr>
              <w:t> </w:t>
            </w:r>
            <w:r>
              <w:rPr>
                <w:sz w:val="20"/>
              </w:rPr>
              <w:t>the</w:t>
            </w:r>
            <w:r>
              <w:rPr>
                <w:spacing w:val="28"/>
                <w:sz w:val="20"/>
              </w:rPr>
              <w:t> </w:t>
            </w:r>
            <w:r>
              <w:rPr>
                <w:sz w:val="20"/>
              </w:rPr>
              <w:t>information</w:t>
            </w:r>
            <w:r>
              <w:rPr>
                <w:spacing w:val="28"/>
                <w:sz w:val="20"/>
              </w:rPr>
              <w:t> </w:t>
            </w:r>
            <w:r>
              <w:rPr>
                <w:spacing w:val="-2"/>
                <w:sz w:val="20"/>
              </w:rPr>
              <w:t>technology</w:t>
            </w:r>
          </w:p>
        </w:tc>
        <w:tc>
          <w:tcPr>
            <w:tcW w:w="1796" w:type="dxa"/>
          </w:tcPr>
          <w:p>
            <w:pPr>
              <w:pStyle w:val="TableParagraph"/>
              <w:spacing w:line="213" w:lineRule="exact" w:before="24"/>
              <w:ind w:left="106"/>
              <w:rPr>
                <w:sz w:val="20"/>
              </w:rPr>
            </w:pPr>
            <w:r>
              <w:rPr>
                <w:sz w:val="20"/>
              </w:rPr>
              <w:t>No.</w:t>
            </w:r>
            <w:r>
              <w:rPr>
                <w:spacing w:val="-5"/>
                <w:sz w:val="20"/>
              </w:rPr>
              <w:t> </w:t>
            </w:r>
            <w:r>
              <w:rPr>
                <w:sz w:val="20"/>
              </w:rPr>
              <w:t>of</w:t>
            </w:r>
            <w:r>
              <w:rPr>
                <w:spacing w:val="-2"/>
                <w:sz w:val="20"/>
              </w:rPr>
              <w:t> missing</w:t>
            </w:r>
          </w:p>
        </w:tc>
        <w:tc>
          <w:tcPr>
            <w:tcW w:w="1456" w:type="dxa"/>
            <w:gridSpan w:val="2"/>
          </w:tcPr>
          <w:p>
            <w:pPr>
              <w:pStyle w:val="TableParagraph"/>
              <w:rPr>
                <w:rFonts w:ascii="Times New Roman"/>
                <w:sz w:val="18"/>
              </w:rPr>
            </w:pPr>
          </w:p>
        </w:tc>
        <w:tc>
          <w:tcPr>
            <w:tcW w:w="1468" w:type="dxa"/>
            <w:gridSpan w:val="2"/>
          </w:tcPr>
          <w:p>
            <w:pPr>
              <w:pStyle w:val="TableParagraph"/>
              <w:rPr>
                <w:rFonts w:ascii="Times New Roman"/>
                <w:sz w:val="18"/>
              </w:rPr>
            </w:pPr>
          </w:p>
        </w:tc>
        <w:tc>
          <w:tcPr>
            <w:tcW w:w="1588" w:type="dxa"/>
            <w:gridSpan w:val="2"/>
          </w:tcPr>
          <w:p>
            <w:pPr>
              <w:pStyle w:val="TableParagraph"/>
              <w:rPr>
                <w:rFonts w:ascii="Times New Roman"/>
                <w:sz w:val="18"/>
              </w:rPr>
            </w:pPr>
          </w:p>
        </w:tc>
        <w:tc>
          <w:tcPr>
            <w:tcW w:w="1483" w:type="dxa"/>
            <w:gridSpan w:val="2"/>
          </w:tcPr>
          <w:p>
            <w:pPr>
              <w:pStyle w:val="TableParagraph"/>
              <w:rPr>
                <w:rFonts w:ascii="Times New Roman"/>
                <w:sz w:val="18"/>
              </w:rPr>
            </w:pPr>
          </w:p>
        </w:tc>
        <w:tc>
          <w:tcPr>
            <w:tcW w:w="1396" w:type="dxa"/>
            <w:gridSpan w:val="2"/>
          </w:tcPr>
          <w:p>
            <w:pPr>
              <w:pStyle w:val="TableParagraph"/>
              <w:rPr>
                <w:rFonts w:ascii="Times New Roman"/>
                <w:sz w:val="18"/>
              </w:rPr>
            </w:pPr>
          </w:p>
        </w:tc>
        <w:tc>
          <w:tcPr>
            <w:tcW w:w="709" w:type="dxa"/>
          </w:tcPr>
          <w:p>
            <w:pPr>
              <w:pStyle w:val="TableParagraph"/>
              <w:rPr>
                <w:rFonts w:ascii="Times New Roman"/>
                <w:sz w:val="18"/>
              </w:rPr>
            </w:pPr>
          </w:p>
        </w:tc>
        <w:tc>
          <w:tcPr>
            <w:tcW w:w="720" w:type="dxa"/>
            <w:tcBorders>
              <w:right w:val="single" w:sz="4" w:space="0" w:color="000000"/>
            </w:tcBorders>
          </w:tcPr>
          <w:p>
            <w:pPr>
              <w:pStyle w:val="TableParagraph"/>
              <w:rPr>
                <w:rFonts w:ascii="Times New Roman"/>
                <w:sz w:val="18"/>
              </w:rPr>
            </w:pPr>
          </w:p>
        </w:tc>
      </w:tr>
      <w:tr>
        <w:trPr>
          <w:trHeight w:val="230" w:hRule="exact"/>
        </w:trPr>
        <w:tc>
          <w:tcPr>
            <w:tcW w:w="4146" w:type="dxa"/>
            <w:gridSpan w:val="4"/>
            <w:tcBorders>
              <w:left w:val="single" w:sz="4" w:space="0" w:color="000000"/>
            </w:tcBorders>
          </w:tcPr>
          <w:p>
            <w:pPr>
              <w:pStyle w:val="TableParagraph"/>
              <w:spacing w:line="210" w:lineRule="exact"/>
              <w:ind w:left="825"/>
              <w:rPr>
                <w:sz w:val="20"/>
              </w:rPr>
            </w:pPr>
            <w:r>
              <w:rPr>
                <w:sz w:val="20"/>
              </w:rPr>
              <w:t>services</w:t>
            </w:r>
            <w:r>
              <w:rPr>
                <w:spacing w:val="57"/>
                <w:w w:val="150"/>
                <w:sz w:val="20"/>
              </w:rPr>
              <w:t> </w:t>
            </w:r>
            <w:r>
              <w:rPr>
                <w:sz w:val="20"/>
              </w:rPr>
              <w:t>are</w:t>
            </w:r>
            <w:r>
              <w:rPr>
                <w:spacing w:val="61"/>
                <w:w w:val="150"/>
                <w:sz w:val="20"/>
              </w:rPr>
              <w:t> </w:t>
            </w:r>
            <w:r>
              <w:rPr>
                <w:sz w:val="20"/>
              </w:rPr>
              <w:t>provided</w:t>
            </w:r>
            <w:r>
              <w:rPr>
                <w:spacing w:val="61"/>
                <w:w w:val="150"/>
                <w:sz w:val="20"/>
              </w:rPr>
              <w:t> </w:t>
            </w:r>
            <w:r>
              <w:rPr>
                <w:sz w:val="20"/>
              </w:rPr>
              <w:t>by</w:t>
            </w:r>
            <w:r>
              <w:rPr>
                <w:spacing w:val="61"/>
                <w:w w:val="150"/>
                <w:sz w:val="20"/>
              </w:rPr>
              <w:t> </w:t>
            </w:r>
            <w:r>
              <w:rPr>
                <w:spacing w:val="-2"/>
                <w:sz w:val="20"/>
              </w:rPr>
              <w:t>private</w:t>
            </w:r>
          </w:p>
        </w:tc>
        <w:tc>
          <w:tcPr>
            <w:tcW w:w="1796" w:type="dxa"/>
          </w:tcPr>
          <w:p>
            <w:pPr>
              <w:pStyle w:val="TableParagraph"/>
              <w:spacing w:line="210" w:lineRule="exact"/>
              <w:ind w:left="106"/>
              <w:rPr>
                <w:sz w:val="20"/>
              </w:rPr>
            </w:pPr>
            <w:r>
              <w:rPr>
                <w:spacing w:val="-2"/>
                <w:sz w:val="20"/>
              </w:rPr>
              <w:t>observations</w:t>
            </w:r>
          </w:p>
        </w:tc>
        <w:tc>
          <w:tcPr>
            <w:tcW w:w="707" w:type="dxa"/>
          </w:tcPr>
          <w:p>
            <w:pPr>
              <w:pStyle w:val="TableParagraph"/>
              <w:spacing w:line="210" w:lineRule="exact"/>
              <w:ind w:left="64" w:right="44"/>
              <w:jc w:val="center"/>
              <w:rPr>
                <w:sz w:val="20"/>
              </w:rPr>
            </w:pPr>
            <w:r>
              <w:rPr>
                <w:spacing w:val="-10"/>
                <w:sz w:val="20"/>
              </w:rPr>
              <w:t>1</w:t>
            </w:r>
          </w:p>
        </w:tc>
        <w:tc>
          <w:tcPr>
            <w:tcW w:w="749" w:type="dxa"/>
          </w:tcPr>
          <w:p>
            <w:pPr>
              <w:pStyle w:val="TableParagraph"/>
              <w:spacing w:line="210" w:lineRule="exact"/>
              <w:ind w:left="14" w:right="10"/>
              <w:jc w:val="center"/>
              <w:rPr>
                <w:sz w:val="20"/>
              </w:rPr>
            </w:pPr>
            <w:r>
              <w:rPr>
                <w:spacing w:val="-4"/>
                <w:sz w:val="20"/>
              </w:rPr>
              <w:t>50.0</w:t>
            </w:r>
          </w:p>
        </w:tc>
        <w:tc>
          <w:tcPr>
            <w:tcW w:w="691" w:type="dxa"/>
          </w:tcPr>
          <w:p>
            <w:pPr>
              <w:pStyle w:val="TableParagraph"/>
              <w:spacing w:line="210" w:lineRule="exact"/>
              <w:ind w:left="22" w:right="22"/>
              <w:jc w:val="center"/>
              <w:rPr>
                <w:sz w:val="20"/>
              </w:rPr>
            </w:pPr>
            <w:r>
              <w:rPr>
                <w:spacing w:val="-10"/>
                <w:sz w:val="20"/>
              </w:rPr>
              <w:t>-</w:t>
            </w:r>
          </w:p>
        </w:tc>
        <w:tc>
          <w:tcPr>
            <w:tcW w:w="777" w:type="dxa"/>
          </w:tcPr>
          <w:p>
            <w:pPr>
              <w:pStyle w:val="TableParagraph"/>
              <w:spacing w:line="210" w:lineRule="exact"/>
              <w:ind w:right="28"/>
              <w:jc w:val="center"/>
              <w:rPr>
                <w:sz w:val="20"/>
              </w:rPr>
            </w:pPr>
            <w:r>
              <w:rPr>
                <w:spacing w:val="-10"/>
                <w:sz w:val="20"/>
              </w:rPr>
              <w:t>-</w:t>
            </w:r>
          </w:p>
        </w:tc>
        <w:tc>
          <w:tcPr>
            <w:tcW w:w="686" w:type="dxa"/>
          </w:tcPr>
          <w:p>
            <w:pPr>
              <w:pStyle w:val="TableParagraph"/>
              <w:spacing w:line="210" w:lineRule="exact"/>
              <w:ind w:right="52"/>
              <w:jc w:val="center"/>
              <w:rPr>
                <w:sz w:val="20"/>
              </w:rPr>
            </w:pPr>
            <w:r>
              <w:rPr>
                <w:spacing w:val="-10"/>
                <w:sz w:val="20"/>
              </w:rPr>
              <w:t>-</w:t>
            </w:r>
          </w:p>
        </w:tc>
        <w:tc>
          <w:tcPr>
            <w:tcW w:w="902" w:type="dxa"/>
          </w:tcPr>
          <w:p>
            <w:pPr>
              <w:pStyle w:val="TableParagraph"/>
              <w:spacing w:line="210" w:lineRule="exact"/>
              <w:ind w:left="20" w:right="21"/>
              <w:jc w:val="center"/>
              <w:rPr>
                <w:sz w:val="20"/>
              </w:rPr>
            </w:pPr>
            <w:r>
              <w:rPr>
                <w:spacing w:val="-10"/>
                <w:sz w:val="20"/>
              </w:rPr>
              <w:t>-</w:t>
            </w:r>
          </w:p>
        </w:tc>
        <w:tc>
          <w:tcPr>
            <w:tcW w:w="684" w:type="dxa"/>
          </w:tcPr>
          <w:p>
            <w:pPr>
              <w:pStyle w:val="TableParagraph"/>
              <w:spacing w:line="210" w:lineRule="exact"/>
              <w:ind w:left="68" w:right="25"/>
              <w:jc w:val="center"/>
              <w:rPr>
                <w:sz w:val="20"/>
              </w:rPr>
            </w:pPr>
            <w:r>
              <w:rPr>
                <w:spacing w:val="-10"/>
                <w:sz w:val="20"/>
              </w:rPr>
              <w:t>-</w:t>
            </w:r>
          </w:p>
        </w:tc>
        <w:tc>
          <w:tcPr>
            <w:tcW w:w="799" w:type="dxa"/>
          </w:tcPr>
          <w:p>
            <w:pPr>
              <w:pStyle w:val="TableParagraph"/>
              <w:spacing w:line="210" w:lineRule="exact"/>
              <w:ind w:left="23" w:right="23"/>
              <w:jc w:val="center"/>
              <w:rPr>
                <w:sz w:val="20"/>
              </w:rPr>
            </w:pPr>
            <w:r>
              <w:rPr>
                <w:spacing w:val="-10"/>
                <w:sz w:val="20"/>
              </w:rPr>
              <w:t>-</w:t>
            </w:r>
          </w:p>
        </w:tc>
        <w:tc>
          <w:tcPr>
            <w:tcW w:w="626" w:type="dxa"/>
          </w:tcPr>
          <w:p>
            <w:pPr>
              <w:pStyle w:val="TableParagraph"/>
              <w:spacing w:line="210" w:lineRule="exact"/>
              <w:ind w:left="20" w:right="18"/>
              <w:jc w:val="center"/>
              <w:rPr>
                <w:sz w:val="20"/>
              </w:rPr>
            </w:pPr>
            <w:r>
              <w:rPr>
                <w:spacing w:val="-10"/>
                <w:sz w:val="20"/>
              </w:rPr>
              <w:t>1</w:t>
            </w:r>
          </w:p>
        </w:tc>
        <w:tc>
          <w:tcPr>
            <w:tcW w:w="770" w:type="dxa"/>
          </w:tcPr>
          <w:p>
            <w:pPr>
              <w:pStyle w:val="TableParagraph"/>
              <w:spacing w:line="210" w:lineRule="exact"/>
              <w:ind w:left="42" w:right="16"/>
              <w:jc w:val="center"/>
              <w:rPr>
                <w:sz w:val="20"/>
              </w:rPr>
            </w:pPr>
            <w:r>
              <w:rPr>
                <w:spacing w:val="-4"/>
                <w:sz w:val="20"/>
              </w:rPr>
              <w:t>50.0</w:t>
            </w:r>
          </w:p>
        </w:tc>
        <w:tc>
          <w:tcPr>
            <w:tcW w:w="709" w:type="dxa"/>
          </w:tcPr>
          <w:p>
            <w:pPr>
              <w:pStyle w:val="TableParagraph"/>
              <w:spacing w:line="210" w:lineRule="exact"/>
              <w:ind w:left="51" w:right="62"/>
              <w:jc w:val="center"/>
              <w:rPr>
                <w:sz w:val="20"/>
              </w:rPr>
            </w:pPr>
            <w:r>
              <w:rPr>
                <w:spacing w:val="-10"/>
                <w:sz w:val="20"/>
              </w:rPr>
              <w:t>2</w:t>
            </w:r>
          </w:p>
        </w:tc>
        <w:tc>
          <w:tcPr>
            <w:tcW w:w="720" w:type="dxa"/>
            <w:tcBorders>
              <w:right w:val="single" w:sz="4" w:space="0" w:color="000000"/>
            </w:tcBorders>
          </w:tcPr>
          <w:p>
            <w:pPr>
              <w:pStyle w:val="TableParagraph"/>
              <w:spacing w:line="210" w:lineRule="exact"/>
              <w:ind w:left="65" w:right="65"/>
              <w:jc w:val="center"/>
              <w:rPr>
                <w:sz w:val="20"/>
              </w:rPr>
            </w:pPr>
            <w:r>
              <w:rPr>
                <w:spacing w:val="-5"/>
                <w:sz w:val="20"/>
              </w:rPr>
              <w:t>0.4</w:t>
            </w:r>
          </w:p>
        </w:tc>
      </w:tr>
      <w:tr>
        <w:trPr>
          <w:trHeight w:val="227" w:hRule="exact"/>
        </w:trPr>
        <w:tc>
          <w:tcPr>
            <w:tcW w:w="4146" w:type="dxa"/>
            <w:gridSpan w:val="4"/>
            <w:tcBorders>
              <w:left w:val="single" w:sz="4" w:space="0" w:color="000000"/>
            </w:tcBorders>
          </w:tcPr>
          <w:p>
            <w:pPr>
              <w:pStyle w:val="TableParagraph"/>
              <w:spacing w:line="208" w:lineRule="exact"/>
              <w:ind w:left="825"/>
              <w:rPr>
                <w:sz w:val="20"/>
              </w:rPr>
            </w:pPr>
            <w:r>
              <w:rPr>
                <w:sz w:val="20"/>
              </w:rPr>
              <w:t>individuals</w:t>
            </w:r>
            <w:r>
              <w:rPr>
                <w:spacing w:val="10"/>
                <w:sz w:val="20"/>
              </w:rPr>
              <w:t> </w:t>
            </w:r>
            <w:r>
              <w:rPr>
                <w:sz w:val="20"/>
              </w:rPr>
              <w:t>whose</w:t>
            </w:r>
            <w:r>
              <w:rPr>
                <w:spacing w:val="16"/>
                <w:sz w:val="20"/>
              </w:rPr>
              <w:t> </w:t>
            </w:r>
            <w:r>
              <w:rPr>
                <w:sz w:val="20"/>
              </w:rPr>
              <w:t>charges</w:t>
            </w:r>
            <w:r>
              <w:rPr>
                <w:spacing w:val="10"/>
                <w:sz w:val="20"/>
              </w:rPr>
              <w:t> </w:t>
            </w:r>
            <w:r>
              <w:rPr>
                <w:sz w:val="20"/>
              </w:rPr>
              <w:t>are</w:t>
            </w:r>
            <w:r>
              <w:rPr>
                <w:spacing w:val="17"/>
                <w:sz w:val="20"/>
              </w:rPr>
              <w:t> </w:t>
            </w:r>
            <w:r>
              <w:rPr>
                <w:spacing w:val="-4"/>
                <w:sz w:val="20"/>
              </w:rPr>
              <w:t>very</w:t>
            </w:r>
          </w:p>
        </w:tc>
        <w:tc>
          <w:tcPr>
            <w:tcW w:w="1796" w:type="dxa"/>
          </w:tcPr>
          <w:p>
            <w:pPr>
              <w:pStyle w:val="TableParagraph"/>
              <w:spacing w:line="208" w:lineRule="exact"/>
              <w:ind w:left="106"/>
              <w:rPr>
                <w:sz w:val="20"/>
              </w:rPr>
            </w:pPr>
            <w:r>
              <w:rPr>
                <w:spacing w:val="-2"/>
                <w:sz w:val="20"/>
              </w:rPr>
              <w:t>Students</w:t>
            </w:r>
          </w:p>
        </w:tc>
        <w:tc>
          <w:tcPr>
            <w:tcW w:w="707" w:type="dxa"/>
          </w:tcPr>
          <w:p>
            <w:pPr>
              <w:pStyle w:val="TableParagraph"/>
              <w:spacing w:line="208" w:lineRule="exact"/>
              <w:ind w:left="64" w:right="49"/>
              <w:jc w:val="center"/>
              <w:rPr>
                <w:sz w:val="20"/>
              </w:rPr>
            </w:pPr>
            <w:r>
              <w:rPr>
                <w:spacing w:val="-5"/>
                <w:sz w:val="20"/>
              </w:rPr>
              <w:t>99</w:t>
            </w:r>
          </w:p>
        </w:tc>
        <w:tc>
          <w:tcPr>
            <w:tcW w:w="749" w:type="dxa"/>
          </w:tcPr>
          <w:p>
            <w:pPr>
              <w:pStyle w:val="TableParagraph"/>
              <w:spacing w:line="208" w:lineRule="exact"/>
              <w:ind w:left="14" w:right="10"/>
              <w:jc w:val="center"/>
              <w:rPr>
                <w:sz w:val="20"/>
              </w:rPr>
            </w:pPr>
            <w:r>
              <w:rPr>
                <w:spacing w:val="-4"/>
                <w:sz w:val="20"/>
              </w:rPr>
              <w:t>42.1</w:t>
            </w:r>
          </w:p>
        </w:tc>
        <w:tc>
          <w:tcPr>
            <w:tcW w:w="691" w:type="dxa"/>
          </w:tcPr>
          <w:p>
            <w:pPr>
              <w:pStyle w:val="TableParagraph"/>
              <w:spacing w:line="208" w:lineRule="exact"/>
              <w:ind w:left="22" w:right="24"/>
              <w:jc w:val="center"/>
              <w:rPr>
                <w:sz w:val="20"/>
              </w:rPr>
            </w:pPr>
            <w:r>
              <w:rPr>
                <w:spacing w:val="-5"/>
                <w:sz w:val="20"/>
              </w:rPr>
              <w:t>104</w:t>
            </w:r>
          </w:p>
        </w:tc>
        <w:tc>
          <w:tcPr>
            <w:tcW w:w="777" w:type="dxa"/>
          </w:tcPr>
          <w:p>
            <w:pPr>
              <w:pStyle w:val="TableParagraph"/>
              <w:spacing w:line="208" w:lineRule="exact"/>
              <w:ind w:left="6" w:right="28"/>
              <w:jc w:val="center"/>
              <w:rPr>
                <w:sz w:val="20"/>
              </w:rPr>
            </w:pPr>
            <w:r>
              <w:rPr>
                <w:spacing w:val="-4"/>
                <w:sz w:val="20"/>
              </w:rPr>
              <w:t>44.3</w:t>
            </w:r>
          </w:p>
        </w:tc>
        <w:tc>
          <w:tcPr>
            <w:tcW w:w="686" w:type="dxa"/>
          </w:tcPr>
          <w:p>
            <w:pPr>
              <w:pStyle w:val="TableParagraph"/>
              <w:spacing w:line="208" w:lineRule="exact"/>
              <w:ind w:left="2" w:right="52"/>
              <w:jc w:val="center"/>
              <w:rPr>
                <w:sz w:val="20"/>
              </w:rPr>
            </w:pPr>
            <w:r>
              <w:rPr>
                <w:spacing w:val="-5"/>
                <w:sz w:val="20"/>
              </w:rPr>
              <w:t>16</w:t>
            </w:r>
          </w:p>
        </w:tc>
        <w:tc>
          <w:tcPr>
            <w:tcW w:w="902" w:type="dxa"/>
          </w:tcPr>
          <w:p>
            <w:pPr>
              <w:pStyle w:val="TableParagraph"/>
              <w:spacing w:line="208" w:lineRule="exact"/>
              <w:ind w:left="20" w:right="20"/>
              <w:jc w:val="center"/>
              <w:rPr>
                <w:sz w:val="20"/>
              </w:rPr>
            </w:pPr>
            <w:r>
              <w:rPr>
                <w:spacing w:val="-5"/>
                <w:sz w:val="20"/>
              </w:rPr>
              <w:t>6.8</w:t>
            </w:r>
          </w:p>
        </w:tc>
        <w:tc>
          <w:tcPr>
            <w:tcW w:w="684" w:type="dxa"/>
          </w:tcPr>
          <w:p>
            <w:pPr>
              <w:pStyle w:val="TableParagraph"/>
              <w:spacing w:line="208" w:lineRule="exact"/>
              <w:ind w:left="68" w:right="23"/>
              <w:jc w:val="center"/>
              <w:rPr>
                <w:sz w:val="20"/>
              </w:rPr>
            </w:pPr>
            <w:r>
              <w:rPr>
                <w:spacing w:val="-5"/>
                <w:sz w:val="20"/>
              </w:rPr>
              <w:t>12</w:t>
            </w:r>
          </w:p>
        </w:tc>
        <w:tc>
          <w:tcPr>
            <w:tcW w:w="799" w:type="dxa"/>
          </w:tcPr>
          <w:p>
            <w:pPr>
              <w:pStyle w:val="TableParagraph"/>
              <w:spacing w:line="208" w:lineRule="exact"/>
              <w:ind w:left="23" w:right="21"/>
              <w:jc w:val="center"/>
              <w:rPr>
                <w:sz w:val="20"/>
              </w:rPr>
            </w:pPr>
            <w:r>
              <w:rPr>
                <w:spacing w:val="-5"/>
                <w:sz w:val="20"/>
              </w:rPr>
              <w:t>5.1</w:t>
            </w:r>
          </w:p>
        </w:tc>
        <w:tc>
          <w:tcPr>
            <w:tcW w:w="626" w:type="dxa"/>
          </w:tcPr>
          <w:p>
            <w:pPr>
              <w:pStyle w:val="TableParagraph"/>
              <w:spacing w:line="208" w:lineRule="exact"/>
              <w:ind w:left="20" w:right="18"/>
              <w:jc w:val="center"/>
              <w:rPr>
                <w:sz w:val="20"/>
              </w:rPr>
            </w:pPr>
            <w:r>
              <w:rPr>
                <w:spacing w:val="-10"/>
                <w:sz w:val="20"/>
              </w:rPr>
              <w:t>4</w:t>
            </w:r>
          </w:p>
        </w:tc>
        <w:tc>
          <w:tcPr>
            <w:tcW w:w="770" w:type="dxa"/>
          </w:tcPr>
          <w:p>
            <w:pPr>
              <w:pStyle w:val="TableParagraph"/>
              <w:spacing w:line="208" w:lineRule="exact"/>
              <w:ind w:left="42" w:right="21"/>
              <w:jc w:val="center"/>
              <w:rPr>
                <w:sz w:val="20"/>
              </w:rPr>
            </w:pPr>
            <w:r>
              <w:rPr>
                <w:spacing w:val="-5"/>
                <w:sz w:val="20"/>
              </w:rPr>
              <w:t>1.7</w:t>
            </w:r>
          </w:p>
        </w:tc>
        <w:tc>
          <w:tcPr>
            <w:tcW w:w="709" w:type="dxa"/>
          </w:tcPr>
          <w:p>
            <w:pPr>
              <w:pStyle w:val="TableParagraph"/>
              <w:spacing w:line="208" w:lineRule="exact"/>
              <w:ind w:left="51" w:right="71"/>
              <w:jc w:val="center"/>
              <w:rPr>
                <w:sz w:val="20"/>
              </w:rPr>
            </w:pPr>
            <w:r>
              <w:rPr>
                <w:spacing w:val="-5"/>
                <w:sz w:val="20"/>
              </w:rPr>
              <w:t>235</w:t>
            </w:r>
          </w:p>
        </w:tc>
        <w:tc>
          <w:tcPr>
            <w:tcW w:w="720" w:type="dxa"/>
            <w:tcBorders>
              <w:right w:val="single" w:sz="4" w:space="0" w:color="000000"/>
            </w:tcBorders>
          </w:tcPr>
          <w:p>
            <w:pPr>
              <w:pStyle w:val="TableParagraph"/>
              <w:spacing w:line="208" w:lineRule="exact"/>
              <w:ind w:left="67" w:right="65"/>
              <w:jc w:val="center"/>
              <w:rPr>
                <w:sz w:val="20"/>
              </w:rPr>
            </w:pPr>
            <w:r>
              <w:rPr>
                <w:spacing w:val="-4"/>
                <w:sz w:val="20"/>
              </w:rPr>
              <w:t>50.8</w:t>
            </w:r>
          </w:p>
        </w:tc>
      </w:tr>
      <w:tr>
        <w:trPr>
          <w:trHeight w:val="688" w:hRule="exact"/>
        </w:trPr>
        <w:tc>
          <w:tcPr>
            <w:tcW w:w="4146" w:type="dxa"/>
            <w:gridSpan w:val="4"/>
            <w:tcBorders>
              <w:left w:val="single" w:sz="4" w:space="0" w:color="000000"/>
            </w:tcBorders>
          </w:tcPr>
          <w:p>
            <w:pPr>
              <w:pStyle w:val="TableParagraph"/>
              <w:spacing w:line="225" w:lineRule="exact"/>
              <w:ind w:left="825"/>
              <w:rPr>
                <w:sz w:val="20"/>
              </w:rPr>
            </w:pPr>
            <w:r>
              <w:rPr>
                <w:sz w:val="20"/>
              </w:rPr>
              <w:t>expensive</w:t>
            </w:r>
            <w:r>
              <w:rPr>
                <w:spacing w:val="4"/>
                <w:sz w:val="20"/>
              </w:rPr>
              <w:t> </w:t>
            </w:r>
            <w:r>
              <w:rPr>
                <w:sz w:val="20"/>
              </w:rPr>
              <w:t>and</w:t>
            </w:r>
            <w:r>
              <w:rPr>
                <w:spacing w:val="9"/>
                <w:sz w:val="20"/>
              </w:rPr>
              <w:t> </w:t>
            </w:r>
            <w:r>
              <w:rPr>
                <w:sz w:val="20"/>
              </w:rPr>
              <w:t>exploitative</w:t>
            </w:r>
            <w:r>
              <w:rPr>
                <w:spacing w:val="9"/>
                <w:sz w:val="20"/>
              </w:rPr>
              <w:t> </w:t>
            </w:r>
            <w:r>
              <w:rPr>
                <w:spacing w:val="-2"/>
                <w:sz w:val="20"/>
              </w:rPr>
              <w:t>because</w:t>
            </w:r>
          </w:p>
          <w:p>
            <w:pPr>
              <w:pStyle w:val="TableParagraph"/>
              <w:tabs>
                <w:tab w:pos="1468" w:val="left" w:leader="none"/>
                <w:tab w:pos="2078" w:val="left" w:leader="none"/>
                <w:tab w:pos="2621" w:val="left" w:leader="none"/>
              </w:tabs>
              <w:spacing w:line="230" w:lineRule="atLeast"/>
              <w:ind w:left="825" w:right="104"/>
              <w:rPr>
                <w:sz w:val="20"/>
              </w:rPr>
            </w:pPr>
            <w:r>
              <w:rPr>
                <w:spacing w:val="-4"/>
                <w:sz w:val="20"/>
              </w:rPr>
              <w:t>they</w:t>
            </w:r>
            <w:r>
              <w:rPr>
                <w:sz w:val="20"/>
              </w:rPr>
              <w:tab/>
            </w:r>
            <w:r>
              <w:rPr>
                <w:spacing w:val="-4"/>
                <w:sz w:val="20"/>
              </w:rPr>
              <w:t>rent</w:t>
            </w:r>
            <w:r>
              <w:rPr>
                <w:sz w:val="20"/>
              </w:rPr>
              <w:tab/>
            </w:r>
            <w:r>
              <w:rPr>
                <w:spacing w:val="-4"/>
                <w:sz w:val="20"/>
              </w:rPr>
              <w:t>the</w:t>
            </w:r>
            <w:r>
              <w:rPr>
                <w:sz w:val="20"/>
              </w:rPr>
              <w:tab/>
            </w:r>
            <w:r>
              <w:rPr>
                <w:spacing w:val="-2"/>
                <w:sz w:val="20"/>
              </w:rPr>
              <w:t>accommodation spaces</w:t>
            </w:r>
          </w:p>
        </w:tc>
        <w:tc>
          <w:tcPr>
            <w:tcW w:w="1796" w:type="dxa"/>
          </w:tcPr>
          <w:p>
            <w:pPr>
              <w:pStyle w:val="TableParagraph"/>
              <w:spacing w:before="48"/>
              <w:ind w:left="106"/>
              <w:rPr>
                <w:sz w:val="20"/>
              </w:rPr>
            </w:pPr>
            <w:r>
              <w:rPr>
                <w:sz w:val="20"/>
              </w:rPr>
              <w:t>Service</w:t>
            </w:r>
            <w:r>
              <w:rPr>
                <w:spacing w:val="-9"/>
                <w:sz w:val="20"/>
              </w:rPr>
              <w:t> </w:t>
            </w:r>
            <w:r>
              <w:rPr>
                <w:spacing w:val="-2"/>
                <w:sz w:val="20"/>
              </w:rPr>
              <w:t>Staff</w:t>
            </w:r>
          </w:p>
          <w:p>
            <w:pPr>
              <w:pStyle w:val="TableParagraph"/>
              <w:ind w:left="106"/>
              <w:rPr>
                <w:sz w:val="20"/>
              </w:rPr>
            </w:pPr>
            <w:r>
              <w:rPr>
                <w:sz w:val="20"/>
              </w:rPr>
              <w:t>Top</w:t>
            </w:r>
            <w:r>
              <w:rPr>
                <w:spacing w:val="-1"/>
                <w:sz w:val="20"/>
              </w:rPr>
              <w:t> </w:t>
            </w:r>
            <w:r>
              <w:rPr>
                <w:spacing w:val="-2"/>
                <w:sz w:val="20"/>
              </w:rPr>
              <w:t>Management</w:t>
            </w:r>
          </w:p>
        </w:tc>
        <w:tc>
          <w:tcPr>
            <w:tcW w:w="707" w:type="dxa"/>
          </w:tcPr>
          <w:p>
            <w:pPr>
              <w:pStyle w:val="TableParagraph"/>
              <w:spacing w:before="48"/>
              <w:ind w:left="64" w:right="49"/>
              <w:jc w:val="center"/>
              <w:rPr>
                <w:sz w:val="20"/>
              </w:rPr>
            </w:pPr>
            <w:r>
              <w:rPr>
                <w:spacing w:val="-5"/>
                <w:sz w:val="20"/>
              </w:rPr>
              <w:t>73</w:t>
            </w:r>
          </w:p>
          <w:p>
            <w:pPr>
              <w:pStyle w:val="TableParagraph"/>
              <w:ind w:left="64" w:right="44"/>
              <w:jc w:val="center"/>
              <w:rPr>
                <w:sz w:val="20"/>
              </w:rPr>
            </w:pPr>
            <w:r>
              <w:rPr>
                <w:spacing w:val="-10"/>
                <w:sz w:val="20"/>
              </w:rPr>
              <w:t>5</w:t>
            </w:r>
          </w:p>
        </w:tc>
        <w:tc>
          <w:tcPr>
            <w:tcW w:w="749" w:type="dxa"/>
          </w:tcPr>
          <w:p>
            <w:pPr>
              <w:pStyle w:val="TableParagraph"/>
              <w:spacing w:before="48"/>
              <w:ind w:left="181"/>
              <w:rPr>
                <w:sz w:val="20"/>
              </w:rPr>
            </w:pPr>
            <w:r>
              <w:rPr>
                <w:spacing w:val="-4"/>
                <w:sz w:val="20"/>
              </w:rPr>
              <w:t>36.0</w:t>
            </w:r>
          </w:p>
          <w:p>
            <w:pPr>
              <w:pStyle w:val="TableParagraph"/>
              <w:ind w:left="181"/>
              <w:rPr>
                <w:sz w:val="20"/>
              </w:rPr>
            </w:pPr>
            <w:r>
              <w:rPr>
                <w:spacing w:val="-4"/>
                <w:sz w:val="20"/>
              </w:rPr>
              <w:t>21.7</w:t>
            </w:r>
          </w:p>
        </w:tc>
        <w:tc>
          <w:tcPr>
            <w:tcW w:w="691" w:type="dxa"/>
          </w:tcPr>
          <w:p>
            <w:pPr>
              <w:pStyle w:val="TableParagraph"/>
              <w:spacing w:before="48"/>
              <w:ind w:left="22" w:right="22"/>
              <w:jc w:val="center"/>
              <w:rPr>
                <w:sz w:val="20"/>
              </w:rPr>
            </w:pPr>
            <w:r>
              <w:rPr>
                <w:spacing w:val="-5"/>
                <w:sz w:val="20"/>
              </w:rPr>
              <w:t>94</w:t>
            </w:r>
          </w:p>
          <w:p>
            <w:pPr>
              <w:pStyle w:val="TableParagraph"/>
              <w:ind w:left="22" w:right="22"/>
              <w:jc w:val="center"/>
              <w:rPr>
                <w:sz w:val="20"/>
              </w:rPr>
            </w:pPr>
            <w:r>
              <w:rPr>
                <w:spacing w:val="-5"/>
                <w:sz w:val="20"/>
              </w:rPr>
              <w:t>16</w:t>
            </w:r>
          </w:p>
        </w:tc>
        <w:tc>
          <w:tcPr>
            <w:tcW w:w="777" w:type="dxa"/>
          </w:tcPr>
          <w:p>
            <w:pPr>
              <w:pStyle w:val="TableParagraph"/>
              <w:spacing w:before="48"/>
              <w:ind w:left="181"/>
              <w:rPr>
                <w:sz w:val="20"/>
              </w:rPr>
            </w:pPr>
            <w:r>
              <w:rPr>
                <w:spacing w:val="-4"/>
                <w:sz w:val="20"/>
              </w:rPr>
              <w:t>46.3</w:t>
            </w:r>
          </w:p>
          <w:p>
            <w:pPr>
              <w:pStyle w:val="TableParagraph"/>
              <w:ind w:left="181"/>
              <w:rPr>
                <w:sz w:val="20"/>
              </w:rPr>
            </w:pPr>
            <w:r>
              <w:rPr>
                <w:spacing w:val="-4"/>
                <w:sz w:val="20"/>
              </w:rPr>
              <w:t>69.6</w:t>
            </w:r>
          </w:p>
        </w:tc>
        <w:tc>
          <w:tcPr>
            <w:tcW w:w="686" w:type="dxa"/>
          </w:tcPr>
          <w:p>
            <w:pPr>
              <w:pStyle w:val="TableParagraph"/>
              <w:spacing w:before="48"/>
              <w:ind w:left="2" w:right="52"/>
              <w:jc w:val="center"/>
              <w:rPr>
                <w:sz w:val="20"/>
              </w:rPr>
            </w:pPr>
            <w:r>
              <w:rPr>
                <w:spacing w:val="-5"/>
                <w:sz w:val="20"/>
              </w:rPr>
              <w:t>15</w:t>
            </w:r>
          </w:p>
          <w:p>
            <w:pPr>
              <w:pStyle w:val="TableParagraph"/>
              <w:ind w:right="52"/>
              <w:jc w:val="center"/>
              <w:rPr>
                <w:sz w:val="20"/>
              </w:rPr>
            </w:pPr>
            <w:r>
              <w:rPr>
                <w:spacing w:val="-10"/>
                <w:sz w:val="20"/>
              </w:rPr>
              <w:t>-</w:t>
            </w:r>
          </w:p>
        </w:tc>
        <w:tc>
          <w:tcPr>
            <w:tcW w:w="902" w:type="dxa"/>
          </w:tcPr>
          <w:p>
            <w:pPr>
              <w:pStyle w:val="TableParagraph"/>
              <w:spacing w:before="48"/>
              <w:ind w:left="20" w:right="20"/>
              <w:jc w:val="center"/>
              <w:rPr>
                <w:sz w:val="20"/>
              </w:rPr>
            </w:pPr>
            <w:r>
              <w:rPr>
                <w:spacing w:val="-5"/>
                <w:sz w:val="20"/>
              </w:rPr>
              <w:t>7.4</w:t>
            </w:r>
          </w:p>
          <w:p>
            <w:pPr>
              <w:pStyle w:val="TableParagraph"/>
              <w:ind w:left="20" w:right="21"/>
              <w:jc w:val="center"/>
              <w:rPr>
                <w:sz w:val="20"/>
              </w:rPr>
            </w:pPr>
            <w:r>
              <w:rPr>
                <w:spacing w:val="-10"/>
                <w:sz w:val="20"/>
              </w:rPr>
              <w:t>-</w:t>
            </w:r>
          </w:p>
        </w:tc>
        <w:tc>
          <w:tcPr>
            <w:tcW w:w="684" w:type="dxa"/>
          </w:tcPr>
          <w:p>
            <w:pPr>
              <w:pStyle w:val="TableParagraph"/>
              <w:spacing w:before="48"/>
              <w:ind w:left="68" w:right="23"/>
              <w:jc w:val="center"/>
              <w:rPr>
                <w:sz w:val="20"/>
              </w:rPr>
            </w:pPr>
            <w:r>
              <w:rPr>
                <w:spacing w:val="-5"/>
                <w:sz w:val="20"/>
              </w:rPr>
              <w:t>20</w:t>
            </w:r>
          </w:p>
          <w:p>
            <w:pPr>
              <w:pStyle w:val="TableParagraph"/>
              <w:ind w:left="68" w:right="18"/>
              <w:jc w:val="center"/>
              <w:rPr>
                <w:sz w:val="20"/>
              </w:rPr>
            </w:pPr>
            <w:r>
              <w:rPr>
                <w:spacing w:val="-10"/>
                <w:sz w:val="20"/>
              </w:rPr>
              <w:t>2</w:t>
            </w:r>
          </w:p>
        </w:tc>
        <w:tc>
          <w:tcPr>
            <w:tcW w:w="799" w:type="dxa"/>
          </w:tcPr>
          <w:p>
            <w:pPr>
              <w:pStyle w:val="TableParagraph"/>
              <w:spacing w:before="48"/>
              <w:ind w:left="260"/>
              <w:rPr>
                <w:sz w:val="20"/>
              </w:rPr>
            </w:pPr>
            <w:r>
              <w:rPr>
                <w:spacing w:val="-5"/>
                <w:sz w:val="20"/>
              </w:rPr>
              <w:t>9.9</w:t>
            </w:r>
          </w:p>
          <w:p>
            <w:pPr>
              <w:pStyle w:val="TableParagraph"/>
              <w:ind w:left="260"/>
              <w:rPr>
                <w:sz w:val="20"/>
              </w:rPr>
            </w:pPr>
            <w:r>
              <w:rPr>
                <w:spacing w:val="-5"/>
                <w:sz w:val="20"/>
              </w:rPr>
              <w:t>8.7</w:t>
            </w:r>
          </w:p>
        </w:tc>
        <w:tc>
          <w:tcPr>
            <w:tcW w:w="626" w:type="dxa"/>
          </w:tcPr>
          <w:p>
            <w:pPr>
              <w:pStyle w:val="TableParagraph"/>
              <w:spacing w:before="48"/>
              <w:ind w:left="20" w:right="18"/>
              <w:jc w:val="center"/>
              <w:rPr>
                <w:sz w:val="20"/>
              </w:rPr>
            </w:pPr>
            <w:r>
              <w:rPr>
                <w:spacing w:val="-10"/>
                <w:sz w:val="20"/>
              </w:rPr>
              <w:t>1</w:t>
            </w:r>
          </w:p>
          <w:p>
            <w:pPr>
              <w:pStyle w:val="TableParagraph"/>
              <w:ind w:left="20" w:right="22"/>
              <w:jc w:val="center"/>
              <w:rPr>
                <w:sz w:val="20"/>
              </w:rPr>
            </w:pPr>
            <w:r>
              <w:rPr>
                <w:spacing w:val="-10"/>
                <w:sz w:val="20"/>
              </w:rPr>
              <w:t>-</w:t>
            </w:r>
          </w:p>
        </w:tc>
        <w:tc>
          <w:tcPr>
            <w:tcW w:w="770" w:type="dxa"/>
          </w:tcPr>
          <w:p>
            <w:pPr>
              <w:pStyle w:val="TableParagraph"/>
              <w:spacing w:before="48"/>
              <w:ind w:left="42" w:right="21"/>
              <w:jc w:val="center"/>
              <w:rPr>
                <w:sz w:val="20"/>
              </w:rPr>
            </w:pPr>
            <w:r>
              <w:rPr>
                <w:spacing w:val="-5"/>
                <w:sz w:val="20"/>
              </w:rPr>
              <w:t>0.5</w:t>
            </w:r>
          </w:p>
          <w:p>
            <w:pPr>
              <w:pStyle w:val="TableParagraph"/>
              <w:ind w:left="42" w:right="23"/>
              <w:jc w:val="center"/>
              <w:rPr>
                <w:sz w:val="20"/>
              </w:rPr>
            </w:pPr>
            <w:r>
              <w:rPr>
                <w:spacing w:val="-10"/>
                <w:sz w:val="20"/>
              </w:rPr>
              <w:t>-</w:t>
            </w:r>
          </w:p>
        </w:tc>
        <w:tc>
          <w:tcPr>
            <w:tcW w:w="709" w:type="dxa"/>
          </w:tcPr>
          <w:p>
            <w:pPr>
              <w:pStyle w:val="TableParagraph"/>
              <w:spacing w:before="48"/>
              <w:ind w:left="176"/>
              <w:rPr>
                <w:sz w:val="20"/>
              </w:rPr>
            </w:pPr>
            <w:r>
              <w:rPr>
                <w:spacing w:val="-5"/>
                <w:sz w:val="20"/>
              </w:rPr>
              <w:t>203</w:t>
            </w:r>
          </w:p>
          <w:p>
            <w:pPr>
              <w:pStyle w:val="TableParagraph"/>
              <w:ind w:left="234"/>
              <w:rPr>
                <w:sz w:val="20"/>
              </w:rPr>
            </w:pPr>
            <w:r>
              <w:rPr>
                <w:spacing w:val="-5"/>
                <w:sz w:val="20"/>
              </w:rPr>
              <w:t>23</w:t>
            </w:r>
          </w:p>
        </w:tc>
        <w:tc>
          <w:tcPr>
            <w:tcW w:w="720" w:type="dxa"/>
            <w:tcBorders>
              <w:right w:val="single" w:sz="4" w:space="0" w:color="000000"/>
            </w:tcBorders>
          </w:tcPr>
          <w:p>
            <w:pPr>
              <w:pStyle w:val="TableParagraph"/>
              <w:spacing w:before="48"/>
              <w:ind w:left="163"/>
              <w:rPr>
                <w:sz w:val="20"/>
              </w:rPr>
            </w:pPr>
            <w:r>
              <w:rPr>
                <w:spacing w:val="-4"/>
                <w:sz w:val="20"/>
              </w:rPr>
              <w:t>43.8</w:t>
            </w:r>
          </w:p>
          <w:p>
            <w:pPr>
              <w:pStyle w:val="TableParagraph"/>
              <w:ind w:left="215"/>
              <w:rPr>
                <w:sz w:val="20"/>
              </w:rPr>
            </w:pPr>
            <w:r>
              <w:rPr>
                <w:spacing w:val="-5"/>
                <w:sz w:val="20"/>
              </w:rPr>
              <w:t>5.0</w:t>
            </w:r>
          </w:p>
        </w:tc>
      </w:tr>
      <w:tr>
        <w:trPr>
          <w:trHeight w:val="230" w:hRule="exact"/>
        </w:trPr>
        <w:tc>
          <w:tcPr>
            <w:tcW w:w="4146" w:type="dxa"/>
            <w:gridSpan w:val="4"/>
            <w:tcBorders>
              <w:left w:val="single" w:sz="4" w:space="0" w:color="000000"/>
            </w:tcBorders>
          </w:tcPr>
          <w:p>
            <w:pPr>
              <w:pStyle w:val="TableParagraph"/>
              <w:tabs>
                <w:tab w:pos="825" w:val="left" w:leader="none"/>
              </w:tabs>
              <w:spacing w:line="210" w:lineRule="exact"/>
              <w:ind w:left="215"/>
              <w:rPr>
                <w:sz w:val="20"/>
              </w:rPr>
            </w:pPr>
            <w:r>
              <w:rPr>
                <w:spacing w:val="-5"/>
                <w:sz w:val="20"/>
              </w:rPr>
              <w:t>84.</w:t>
            </w:r>
            <w:r>
              <w:rPr>
                <w:sz w:val="20"/>
              </w:rPr>
              <w:tab/>
              <w:t>Bookshops</w:t>
            </w:r>
            <w:r>
              <w:rPr>
                <w:spacing w:val="-1"/>
                <w:sz w:val="20"/>
              </w:rPr>
              <w:t> </w:t>
            </w:r>
            <w:r>
              <w:rPr>
                <w:sz w:val="20"/>
              </w:rPr>
              <w:t>and</w:t>
            </w:r>
            <w:r>
              <w:rPr>
                <w:spacing w:val="-2"/>
                <w:sz w:val="20"/>
              </w:rPr>
              <w:t> </w:t>
            </w:r>
            <w:r>
              <w:rPr>
                <w:sz w:val="20"/>
              </w:rPr>
              <w:t>publication</w:t>
            </w:r>
            <w:r>
              <w:rPr>
                <w:spacing w:val="-1"/>
                <w:sz w:val="20"/>
              </w:rPr>
              <w:t> </w:t>
            </w:r>
            <w:r>
              <w:rPr>
                <w:spacing w:val="-2"/>
                <w:sz w:val="20"/>
              </w:rPr>
              <w:t>services</w:t>
            </w:r>
          </w:p>
        </w:tc>
        <w:tc>
          <w:tcPr>
            <w:tcW w:w="1796" w:type="dxa"/>
          </w:tcPr>
          <w:p>
            <w:pPr>
              <w:pStyle w:val="TableParagraph"/>
              <w:spacing w:line="210" w:lineRule="exact"/>
              <w:ind w:left="106"/>
              <w:rPr>
                <w:sz w:val="20"/>
              </w:rPr>
            </w:pPr>
            <w:r>
              <w:rPr>
                <w:sz w:val="20"/>
              </w:rPr>
              <w:t>No.</w:t>
            </w:r>
            <w:r>
              <w:rPr>
                <w:spacing w:val="-5"/>
                <w:sz w:val="20"/>
              </w:rPr>
              <w:t> </w:t>
            </w:r>
            <w:r>
              <w:rPr>
                <w:sz w:val="20"/>
              </w:rPr>
              <w:t>of</w:t>
            </w:r>
            <w:r>
              <w:rPr>
                <w:spacing w:val="-2"/>
                <w:sz w:val="20"/>
              </w:rPr>
              <w:t> missing</w:t>
            </w:r>
          </w:p>
        </w:tc>
        <w:tc>
          <w:tcPr>
            <w:tcW w:w="1456" w:type="dxa"/>
            <w:gridSpan w:val="2"/>
          </w:tcPr>
          <w:p>
            <w:pPr>
              <w:pStyle w:val="TableParagraph"/>
              <w:rPr>
                <w:rFonts w:ascii="Times New Roman"/>
                <w:sz w:val="16"/>
              </w:rPr>
            </w:pPr>
          </w:p>
        </w:tc>
        <w:tc>
          <w:tcPr>
            <w:tcW w:w="1468" w:type="dxa"/>
            <w:gridSpan w:val="2"/>
          </w:tcPr>
          <w:p>
            <w:pPr>
              <w:pStyle w:val="TableParagraph"/>
              <w:rPr>
                <w:rFonts w:ascii="Times New Roman"/>
                <w:sz w:val="16"/>
              </w:rPr>
            </w:pPr>
          </w:p>
        </w:tc>
        <w:tc>
          <w:tcPr>
            <w:tcW w:w="1588" w:type="dxa"/>
            <w:gridSpan w:val="2"/>
          </w:tcPr>
          <w:p>
            <w:pPr>
              <w:pStyle w:val="TableParagraph"/>
              <w:rPr>
                <w:rFonts w:ascii="Times New Roman"/>
                <w:sz w:val="16"/>
              </w:rPr>
            </w:pPr>
          </w:p>
        </w:tc>
        <w:tc>
          <w:tcPr>
            <w:tcW w:w="1483" w:type="dxa"/>
            <w:gridSpan w:val="2"/>
          </w:tcPr>
          <w:p>
            <w:pPr>
              <w:pStyle w:val="TableParagraph"/>
              <w:rPr>
                <w:rFonts w:ascii="Times New Roman"/>
                <w:sz w:val="16"/>
              </w:rPr>
            </w:pPr>
          </w:p>
        </w:tc>
        <w:tc>
          <w:tcPr>
            <w:tcW w:w="1396" w:type="dxa"/>
            <w:gridSpan w:val="2"/>
          </w:tcPr>
          <w:p>
            <w:pPr>
              <w:pStyle w:val="TableParagraph"/>
              <w:rPr>
                <w:rFonts w:ascii="Times New Roman"/>
                <w:sz w:val="16"/>
              </w:rPr>
            </w:pPr>
          </w:p>
        </w:tc>
        <w:tc>
          <w:tcPr>
            <w:tcW w:w="709" w:type="dxa"/>
          </w:tcPr>
          <w:p>
            <w:pPr>
              <w:pStyle w:val="TableParagraph"/>
              <w:rPr>
                <w:rFonts w:ascii="Times New Roman"/>
                <w:sz w:val="16"/>
              </w:rPr>
            </w:pPr>
          </w:p>
        </w:tc>
        <w:tc>
          <w:tcPr>
            <w:tcW w:w="720" w:type="dxa"/>
            <w:tcBorders>
              <w:right w:val="single" w:sz="4" w:space="0" w:color="000000"/>
            </w:tcBorders>
          </w:tcPr>
          <w:p>
            <w:pPr>
              <w:pStyle w:val="TableParagraph"/>
              <w:rPr>
                <w:rFonts w:ascii="Times New Roman"/>
                <w:sz w:val="16"/>
              </w:rPr>
            </w:pPr>
          </w:p>
        </w:tc>
      </w:tr>
      <w:tr>
        <w:trPr>
          <w:trHeight w:val="230" w:hRule="exact"/>
        </w:trPr>
        <w:tc>
          <w:tcPr>
            <w:tcW w:w="712" w:type="dxa"/>
            <w:tcBorders>
              <w:left w:val="single" w:sz="4" w:space="0" w:color="000000"/>
            </w:tcBorders>
          </w:tcPr>
          <w:p>
            <w:pPr>
              <w:pStyle w:val="TableParagraph"/>
              <w:rPr>
                <w:rFonts w:ascii="Times New Roman"/>
                <w:sz w:val="16"/>
              </w:rPr>
            </w:pPr>
          </w:p>
        </w:tc>
        <w:tc>
          <w:tcPr>
            <w:tcW w:w="1837" w:type="dxa"/>
          </w:tcPr>
          <w:p>
            <w:pPr>
              <w:pStyle w:val="TableParagraph"/>
              <w:tabs>
                <w:tab w:pos="718" w:val="left" w:leader="none"/>
              </w:tabs>
              <w:spacing w:line="210" w:lineRule="exact"/>
              <w:ind w:left="118"/>
              <w:rPr>
                <w:sz w:val="20"/>
              </w:rPr>
            </w:pPr>
            <w:r>
              <w:rPr>
                <w:spacing w:val="-5"/>
                <w:sz w:val="20"/>
              </w:rPr>
              <w:t>are</w:t>
            </w:r>
            <w:r>
              <w:rPr>
                <w:sz w:val="20"/>
              </w:rPr>
              <w:tab/>
            </w:r>
            <w:r>
              <w:rPr>
                <w:spacing w:val="-2"/>
                <w:sz w:val="20"/>
              </w:rPr>
              <w:t>adequately</w:t>
            </w:r>
          </w:p>
        </w:tc>
        <w:tc>
          <w:tcPr>
            <w:tcW w:w="1050" w:type="dxa"/>
          </w:tcPr>
          <w:p>
            <w:pPr>
              <w:pStyle w:val="TableParagraph"/>
              <w:spacing w:line="210" w:lineRule="exact"/>
              <w:ind w:left="65"/>
              <w:jc w:val="center"/>
              <w:rPr>
                <w:sz w:val="20"/>
              </w:rPr>
            </w:pPr>
            <w:r>
              <w:rPr>
                <w:spacing w:val="-2"/>
                <w:sz w:val="20"/>
              </w:rPr>
              <w:t>provided</w:t>
            </w:r>
          </w:p>
        </w:tc>
        <w:tc>
          <w:tcPr>
            <w:tcW w:w="547" w:type="dxa"/>
          </w:tcPr>
          <w:p>
            <w:pPr>
              <w:pStyle w:val="TableParagraph"/>
              <w:spacing w:line="210" w:lineRule="exact"/>
              <w:ind w:left="87"/>
              <w:jc w:val="center"/>
              <w:rPr>
                <w:sz w:val="20"/>
              </w:rPr>
            </w:pPr>
            <w:r>
              <w:rPr>
                <w:spacing w:val="-5"/>
                <w:sz w:val="20"/>
              </w:rPr>
              <w:t>for</w:t>
            </w:r>
          </w:p>
        </w:tc>
        <w:tc>
          <w:tcPr>
            <w:tcW w:w="1796" w:type="dxa"/>
          </w:tcPr>
          <w:p>
            <w:pPr>
              <w:pStyle w:val="TableParagraph"/>
              <w:spacing w:line="210" w:lineRule="exact"/>
              <w:ind w:left="106"/>
              <w:rPr>
                <w:sz w:val="20"/>
              </w:rPr>
            </w:pPr>
            <w:r>
              <w:rPr>
                <w:spacing w:val="-2"/>
                <w:sz w:val="20"/>
              </w:rPr>
              <w:t>observations</w:t>
            </w:r>
          </w:p>
        </w:tc>
        <w:tc>
          <w:tcPr>
            <w:tcW w:w="707" w:type="dxa"/>
          </w:tcPr>
          <w:p>
            <w:pPr>
              <w:pStyle w:val="TableParagraph"/>
              <w:spacing w:line="210" w:lineRule="exact"/>
              <w:ind w:left="64" w:right="51"/>
              <w:jc w:val="center"/>
              <w:rPr>
                <w:sz w:val="20"/>
              </w:rPr>
            </w:pPr>
            <w:r>
              <w:rPr>
                <w:spacing w:val="-10"/>
                <w:sz w:val="20"/>
              </w:rPr>
              <w:t>-</w:t>
            </w:r>
          </w:p>
        </w:tc>
        <w:tc>
          <w:tcPr>
            <w:tcW w:w="749" w:type="dxa"/>
          </w:tcPr>
          <w:p>
            <w:pPr>
              <w:pStyle w:val="TableParagraph"/>
              <w:spacing w:line="210" w:lineRule="exact"/>
              <w:ind w:left="14" w:right="14"/>
              <w:jc w:val="center"/>
              <w:rPr>
                <w:sz w:val="20"/>
              </w:rPr>
            </w:pPr>
            <w:r>
              <w:rPr>
                <w:spacing w:val="-10"/>
                <w:sz w:val="20"/>
              </w:rPr>
              <w:t>-</w:t>
            </w:r>
          </w:p>
        </w:tc>
        <w:tc>
          <w:tcPr>
            <w:tcW w:w="691" w:type="dxa"/>
          </w:tcPr>
          <w:p>
            <w:pPr>
              <w:pStyle w:val="TableParagraph"/>
              <w:spacing w:line="210" w:lineRule="exact"/>
              <w:ind w:left="22" w:right="18"/>
              <w:jc w:val="center"/>
              <w:rPr>
                <w:sz w:val="20"/>
              </w:rPr>
            </w:pPr>
            <w:r>
              <w:rPr>
                <w:spacing w:val="-10"/>
                <w:sz w:val="20"/>
              </w:rPr>
              <w:t>1</w:t>
            </w:r>
          </w:p>
        </w:tc>
        <w:tc>
          <w:tcPr>
            <w:tcW w:w="777" w:type="dxa"/>
          </w:tcPr>
          <w:p>
            <w:pPr>
              <w:pStyle w:val="TableParagraph"/>
              <w:spacing w:line="210" w:lineRule="exact"/>
              <w:ind w:left="6" w:right="28"/>
              <w:jc w:val="center"/>
              <w:rPr>
                <w:sz w:val="20"/>
              </w:rPr>
            </w:pPr>
            <w:r>
              <w:rPr>
                <w:spacing w:val="-4"/>
                <w:sz w:val="20"/>
              </w:rPr>
              <w:t>50.0</w:t>
            </w:r>
          </w:p>
        </w:tc>
        <w:tc>
          <w:tcPr>
            <w:tcW w:w="686" w:type="dxa"/>
          </w:tcPr>
          <w:p>
            <w:pPr>
              <w:pStyle w:val="TableParagraph"/>
              <w:spacing w:line="210" w:lineRule="exact"/>
              <w:ind w:right="52"/>
              <w:jc w:val="center"/>
              <w:rPr>
                <w:sz w:val="20"/>
              </w:rPr>
            </w:pPr>
            <w:r>
              <w:rPr>
                <w:spacing w:val="-10"/>
                <w:sz w:val="20"/>
              </w:rPr>
              <w:t>-</w:t>
            </w:r>
          </w:p>
        </w:tc>
        <w:tc>
          <w:tcPr>
            <w:tcW w:w="902" w:type="dxa"/>
          </w:tcPr>
          <w:p>
            <w:pPr>
              <w:pStyle w:val="TableParagraph"/>
              <w:spacing w:line="210" w:lineRule="exact"/>
              <w:ind w:left="20" w:right="21"/>
              <w:jc w:val="center"/>
              <w:rPr>
                <w:sz w:val="20"/>
              </w:rPr>
            </w:pPr>
            <w:r>
              <w:rPr>
                <w:spacing w:val="-10"/>
                <w:sz w:val="20"/>
              </w:rPr>
              <w:t>-</w:t>
            </w:r>
          </w:p>
        </w:tc>
        <w:tc>
          <w:tcPr>
            <w:tcW w:w="684" w:type="dxa"/>
          </w:tcPr>
          <w:p>
            <w:pPr>
              <w:pStyle w:val="TableParagraph"/>
              <w:spacing w:line="210" w:lineRule="exact"/>
              <w:ind w:left="68" w:right="25"/>
              <w:jc w:val="center"/>
              <w:rPr>
                <w:sz w:val="20"/>
              </w:rPr>
            </w:pPr>
            <w:r>
              <w:rPr>
                <w:spacing w:val="-10"/>
                <w:sz w:val="20"/>
              </w:rPr>
              <w:t>-</w:t>
            </w:r>
          </w:p>
        </w:tc>
        <w:tc>
          <w:tcPr>
            <w:tcW w:w="799" w:type="dxa"/>
          </w:tcPr>
          <w:p>
            <w:pPr>
              <w:pStyle w:val="TableParagraph"/>
              <w:spacing w:line="210" w:lineRule="exact"/>
              <w:ind w:left="23" w:right="23"/>
              <w:jc w:val="center"/>
              <w:rPr>
                <w:sz w:val="20"/>
              </w:rPr>
            </w:pPr>
            <w:r>
              <w:rPr>
                <w:spacing w:val="-10"/>
                <w:sz w:val="20"/>
              </w:rPr>
              <w:t>-</w:t>
            </w:r>
          </w:p>
        </w:tc>
        <w:tc>
          <w:tcPr>
            <w:tcW w:w="626" w:type="dxa"/>
          </w:tcPr>
          <w:p>
            <w:pPr>
              <w:pStyle w:val="TableParagraph"/>
              <w:spacing w:line="210" w:lineRule="exact"/>
              <w:ind w:left="20" w:right="18"/>
              <w:jc w:val="center"/>
              <w:rPr>
                <w:sz w:val="20"/>
              </w:rPr>
            </w:pPr>
            <w:r>
              <w:rPr>
                <w:spacing w:val="-10"/>
                <w:sz w:val="20"/>
              </w:rPr>
              <w:t>1</w:t>
            </w:r>
          </w:p>
        </w:tc>
        <w:tc>
          <w:tcPr>
            <w:tcW w:w="770" w:type="dxa"/>
          </w:tcPr>
          <w:p>
            <w:pPr>
              <w:pStyle w:val="TableParagraph"/>
              <w:spacing w:line="210" w:lineRule="exact"/>
              <w:ind w:left="42" w:right="16"/>
              <w:jc w:val="center"/>
              <w:rPr>
                <w:sz w:val="20"/>
              </w:rPr>
            </w:pPr>
            <w:r>
              <w:rPr>
                <w:spacing w:val="-4"/>
                <w:sz w:val="20"/>
              </w:rPr>
              <w:t>50.0</w:t>
            </w:r>
          </w:p>
        </w:tc>
        <w:tc>
          <w:tcPr>
            <w:tcW w:w="709" w:type="dxa"/>
          </w:tcPr>
          <w:p>
            <w:pPr>
              <w:pStyle w:val="TableParagraph"/>
              <w:spacing w:line="210" w:lineRule="exact"/>
              <w:ind w:left="51" w:right="62"/>
              <w:jc w:val="center"/>
              <w:rPr>
                <w:sz w:val="20"/>
              </w:rPr>
            </w:pPr>
            <w:r>
              <w:rPr>
                <w:spacing w:val="-10"/>
                <w:sz w:val="20"/>
              </w:rPr>
              <w:t>2</w:t>
            </w:r>
          </w:p>
        </w:tc>
        <w:tc>
          <w:tcPr>
            <w:tcW w:w="720" w:type="dxa"/>
            <w:tcBorders>
              <w:right w:val="single" w:sz="4" w:space="0" w:color="000000"/>
            </w:tcBorders>
          </w:tcPr>
          <w:p>
            <w:pPr>
              <w:pStyle w:val="TableParagraph"/>
              <w:spacing w:line="210" w:lineRule="exact"/>
              <w:ind w:left="65" w:right="65"/>
              <w:jc w:val="center"/>
              <w:rPr>
                <w:sz w:val="20"/>
              </w:rPr>
            </w:pPr>
            <w:r>
              <w:rPr>
                <w:spacing w:val="-5"/>
                <w:sz w:val="20"/>
              </w:rPr>
              <w:t>0.4</w:t>
            </w:r>
          </w:p>
        </w:tc>
      </w:tr>
      <w:tr>
        <w:trPr>
          <w:trHeight w:val="230" w:hRule="exact"/>
        </w:trPr>
        <w:tc>
          <w:tcPr>
            <w:tcW w:w="712" w:type="dxa"/>
            <w:tcBorders>
              <w:left w:val="single" w:sz="4" w:space="0" w:color="000000"/>
            </w:tcBorders>
          </w:tcPr>
          <w:p>
            <w:pPr>
              <w:pStyle w:val="TableParagraph"/>
              <w:rPr>
                <w:rFonts w:ascii="Times New Roman"/>
                <w:sz w:val="16"/>
              </w:rPr>
            </w:pPr>
          </w:p>
        </w:tc>
        <w:tc>
          <w:tcPr>
            <w:tcW w:w="1837" w:type="dxa"/>
          </w:tcPr>
          <w:p>
            <w:pPr>
              <w:pStyle w:val="TableParagraph"/>
              <w:spacing w:line="210" w:lineRule="exact"/>
              <w:ind w:left="118"/>
              <w:rPr>
                <w:sz w:val="20"/>
              </w:rPr>
            </w:pPr>
            <w:r>
              <w:rPr>
                <w:sz w:val="20"/>
              </w:rPr>
              <w:t>students</w:t>
            </w:r>
            <w:r>
              <w:rPr>
                <w:spacing w:val="28"/>
                <w:sz w:val="20"/>
              </w:rPr>
              <w:t>  </w:t>
            </w:r>
            <w:r>
              <w:rPr>
                <w:sz w:val="20"/>
              </w:rPr>
              <w:t>so</w:t>
            </w:r>
            <w:r>
              <w:rPr>
                <w:spacing w:val="28"/>
                <w:sz w:val="20"/>
              </w:rPr>
              <w:t>  </w:t>
            </w:r>
            <w:r>
              <w:rPr>
                <w:spacing w:val="-4"/>
                <w:sz w:val="20"/>
              </w:rPr>
              <w:t>that</w:t>
            </w:r>
          </w:p>
        </w:tc>
        <w:tc>
          <w:tcPr>
            <w:tcW w:w="1050" w:type="dxa"/>
          </w:tcPr>
          <w:p>
            <w:pPr>
              <w:pStyle w:val="TableParagraph"/>
              <w:spacing w:line="210" w:lineRule="exact"/>
              <w:ind w:left="52"/>
              <w:jc w:val="center"/>
              <w:rPr>
                <w:sz w:val="20"/>
              </w:rPr>
            </w:pPr>
            <w:r>
              <w:rPr>
                <w:sz w:val="20"/>
              </w:rPr>
              <w:t>they</w:t>
            </w:r>
            <w:r>
              <w:rPr>
                <w:spacing w:val="31"/>
                <w:sz w:val="20"/>
              </w:rPr>
              <w:t>  </w:t>
            </w:r>
            <w:r>
              <w:rPr>
                <w:spacing w:val="-5"/>
                <w:sz w:val="20"/>
              </w:rPr>
              <w:t>can</w:t>
            </w:r>
          </w:p>
        </w:tc>
        <w:tc>
          <w:tcPr>
            <w:tcW w:w="547" w:type="dxa"/>
          </w:tcPr>
          <w:p>
            <w:pPr>
              <w:pStyle w:val="TableParagraph"/>
              <w:spacing w:line="210" w:lineRule="exact"/>
              <w:ind w:left="87" w:right="78"/>
              <w:jc w:val="center"/>
              <w:rPr>
                <w:sz w:val="20"/>
              </w:rPr>
            </w:pPr>
            <w:r>
              <w:rPr>
                <w:spacing w:val="-5"/>
                <w:sz w:val="20"/>
              </w:rPr>
              <w:t>buy</w:t>
            </w:r>
          </w:p>
        </w:tc>
        <w:tc>
          <w:tcPr>
            <w:tcW w:w="1796" w:type="dxa"/>
          </w:tcPr>
          <w:p>
            <w:pPr>
              <w:pStyle w:val="TableParagraph"/>
              <w:spacing w:line="210" w:lineRule="exact"/>
              <w:ind w:left="106"/>
              <w:rPr>
                <w:sz w:val="20"/>
              </w:rPr>
            </w:pPr>
            <w:r>
              <w:rPr>
                <w:spacing w:val="-2"/>
                <w:sz w:val="20"/>
              </w:rPr>
              <w:t>Students</w:t>
            </w:r>
          </w:p>
        </w:tc>
        <w:tc>
          <w:tcPr>
            <w:tcW w:w="707" w:type="dxa"/>
          </w:tcPr>
          <w:p>
            <w:pPr>
              <w:pStyle w:val="TableParagraph"/>
              <w:spacing w:line="210" w:lineRule="exact"/>
              <w:ind w:left="64" w:right="49"/>
              <w:jc w:val="center"/>
              <w:rPr>
                <w:sz w:val="20"/>
              </w:rPr>
            </w:pPr>
            <w:r>
              <w:rPr>
                <w:spacing w:val="-5"/>
                <w:sz w:val="20"/>
              </w:rPr>
              <w:t>46</w:t>
            </w:r>
          </w:p>
        </w:tc>
        <w:tc>
          <w:tcPr>
            <w:tcW w:w="749" w:type="dxa"/>
          </w:tcPr>
          <w:p>
            <w:pPr>
              <w:pStyle w:val="TableParagraph"/>
              <w:spacing w:line="210" w:lineRule="exact"/>
              <w:ind w:left="14" w:right="10"/>
              <w:jc w:val="center"/>
              <w:rPr>
                <w:sz w:val="20"/>
              </w:rPr>
            </w:pPr>
            <w:r>
              <w:rPr>
                <w:spacing w:val="-4"/>
                <w:sz w:val="20"/>
              </w:rPr>
              <w:t>19.6</w:t>
            </w:r>
          </w:p>
        </w:tc>
        <w:tc>
          <w:tcPr>
            <w:tcW w:w="691" w:type="dxa"/>
          </w:tcPr>
          <w:p>
            <w:pPr>
              <w:pStyle w:val="TableParagraph"/>
              <w:spacing w:line="210" w:lineRule="exact"/>
              <w:ind w:left="22" w:right="22"/>
              <w:jc w:val="center"/>
              <w:rPr>
                <w:sz w:val="20"/>
              </w:rPr>
            </w:pPr>
            <w:r>
              <w:rPr>
                <w:spacing w:val="-5"/>
                <w:sz w:val="20"/>
              </w:rPr>
              <w:t>57</w:t>
            </w:r>
          </w:p>
        </w:tc>
        <w:tc>
          <w:tcPr>
            <w:tcW w:w="777" w:type="dxa"/>
          </w:tcPr>
          <w:p>
            <w:pPr>
              <w:pStyle w:val="TableParagraph"/>
              <w:spacing w:line="210" w:lineRule="exact"/>
              <w:ind w:left="6" w:right="28"/>
              <w:jc w:val="center"/>
              <w:rPr>
                <w:sz w:val="20"/>
              </w:rPr>
            </w:pPr>
            <w:r>
              <w:rPr>
                <w:spacing w:val="-4"/>
                <w:sz w:val="20"/>
              </w:rPr>
              <w:t>24.3</w:t>
            </w:r>
          </w:p>
        </w:tc>
        <w:tc>
          <w:tcPr>
            <w:tcW w:w="686" w:type="dxa"/>
          </w:tcPr>
          <w:p>
            <w:pPr>
              <w:pStyle w:val="TableParagraph"/>
              <w:spacing w:line="210" w:lineRule="exact"/>
              <w:ind w:left="2" w:right="52"/>
              <w:jc w:val="center"/>
              <w:rPr>
                <w:sz w:val="20"/>
              </w:rPr>
            </w:pPr>
            <w:r>
              <w:rPr>
                <w:spacing w:val="-5"/>
                <w:sz w:val="20"/>
              </w:rPr>
              <w:t>32</w:t>
            </w:r>
          </w:p>
        </w:tc>
        <w:tc>
          <w:tcPr>
            <w:tcW w:w="902" w:type="dxa"/>
          </w:tcPr>
          <w:p>
            <w:pPr>
              <w:pStyle w:val="TableParagraph"/>
              <w:spacing w:line="210" w:lineRule="exact"/>
              <w:ind w:left="20" w:right="16"/>
              <w:jc w:val="center"/>
              <w:rPr>
                <w:sz w:val="20"/>
              </w:rPr>
            </w:pPr>
            <w:r>
              <w:rPr>
                <w:spacing w:val="-4"/>
                <w:sz w:val="20"/>
              </w:rPr>
              <w:t>13.6</w:t>
            </w:r>
          </w:p>
        </w:tc>
        <w:tc>
          <w:tcPr>
            <w:tcW w:w="684" w:type="dxa"/>
          </w:tcPr>
          <w:p>
            <w:pPr>
              <w:pStyle w:val="TableParagraph"/>
              <w:spacing w:line="210" w:lineRule="exact"/>
              <w:ind w:left="68" w:right="23"/>
              <w:jc w:val="center"/>
              <w:rPr>
                <w:sz w:val="20"/>
              </w:rPr>
            </w:pPr>
            <w:r>
              <w:rPr>
                <w:spacing w:val="-5"/>
                <w:sz w:val="20"/>
              </w:rPr>
              <w:t>72</w:t>
            </w:r>
          </w:p>
        </w:tc>
        <w:tc>
          <w:tcPr>
            <w:tcW w:w="799" w:type="dxa"/>
          </w:tcPr>
          <w:p>
            <w:pPr>
              <w:pStyle w:val="TableParagraph"/>
              <w:spacing w:line="210" w:lineRule="exact"/>
              <w:ind w:left="23" w:right="16"/>
              <w:jc w:val="center"/>
              <w:rPr>
                <w:sz w:val="20"/>
              </w:rPr>
            </w:pPr>
            <w:r>
              <w:rPr>
                <w:spacing w:val="-4"/>
                <w:sz w:val="20"/>
              </w:rPr>
              <w:t>30.6</w:t>
            </w:r>
          </w:p>
        </w:tc>
        <w:tc>
          <w:tcPr>
            <w:tcW w:w="626" w:type="dxa"/>
          </w:tcPr>
          <w:p>
            <w:pPr>
              <w:pStyle w:val="TableParagraph"/>
              <w:spacing w:line="210" w:lineRule="exact"/>
              <w:ind w:left="20" w:right="20"/>
              <w:jc w:val="center"/>
              <w:rPr>
                <w:sz w:val="20"/>
              </w:rPr>
            </w:pPr>
            <w:r>
              <w:rPr>
                <w:spacing w:val="-5"/>
                <w:sz w:val="20"/>
              </w:rPr>
              <w:t>28</w:t>
            </w:r>
          </w:p>
        </w:tc>
        <w:tc>
          <w:tcPr>
            <w:tcW w:w="770" w:type="dxa"/>
          </w:tcPr>
          <w:p>
            <w:pPr>
              <w:pStyle w:val="TableParagraph"/>
              <w:spacing w:line="210" w:lineRule="exact"/>
              <w:ind w:left="42" w:right="16"/>
              <w:jc w:val="center"/>
              <w:rPr>
                <w:sz w:val="20"/>
              </w:rPr>
            </w:pPr>
            <w:r>
              <w:rPr>
                <w:spacing w:val="-4"/>
                <w:sz w:val="20"/>
              </w:rPr>
              <w:t>11.9</w:t>
            </w:r>
          </w:p>
        </w:tc>
        <w:tc>
          <w:tcPr>
            <w:tcW w:w="709" w:type="dxa"/>
          </w:tcPr>
          <w:p>
            <w:pPr>
              <w:pStyle w:val="TableParagraph"/>
              <w:spacing w:line="210" w:lineRule="exact"/>
              <w:ind w:left="51" w:right="71"/>
              <w:jc w:val="center"/>
              <w:rPr>
                <w:sz w:val="20"/>
              </w:rPr>
            </w:pPr>
            <w:r>
              <w:rPr>
                <w:spacing w:val="-5"/>
                <w:sz w:val="20"/>
              </w:rPr>
              <w:t>235</w:t>
            </w:r>
          </w:p>
        </w:tc>
        <w:tc>
          <w:tcPr>
            <w:tcW w:w="720" w:type="dxa"/>
            <w:tcBorders>
              <w:right w:val="single" w:sz="4" w:space="0" w:color="000000"/>
            </w:tcBorders>
          </w:tcPr>
          <w:p>
            <w:pPr>
              <w:pStyle w:val="TableParagraph"/>
              <w:spacing w:line="210" w:lineRule="exact"/>
              <w:ind w:left="67" w:right="65"/>
              <w:jc w:val="center"/>
              <w:rPr>
                <w:sz w:val="20"/>
              </w:rPr>
            </w:pPr>
            <w:r>
              <w:rPr>
                <w:spacing w:val="-4"/>
                <w:sz w:val="20"/>
              </w:rPr>
              <w:t>50.8</w:t>
            </w:r>
          </w:p>
        </w:tc>
      </w:tr>
      <w:tr>
        <w:trPr>
          <w:trHeight w:val="235" w:hRule="exact"/>
        </w:trPr>
        <w:tc>
          <w:tcPr>
            <w:tcW w:w="712" w:type="dxa"/>
            <w:tcBorders>
              <w:left w:val="single" w:sz="4" w:space="0" w:color="000000"/>
            </w:tcBorders>
          </w:tcPr>
          <w:p>
            <w:pPr>
              <w:pStyle w:val="TableParagraph"/>
              <w:rPr>
                <w:rFonts w:ascii="Times New Roman"/>
                <w:sz w:val="16"/>
              </w:rPr>
            </w:pPr>
          </w:p>
        </w:tc>
        <w:tc>
          <w:tcPr>
            <w:tcW w:w="1837" w:type="dxa"/>
          </w:tcPr>
          <w:p>
            <w:pPr>
              <w:pStyle w:val="TableParagraph"/>
              <w:spacing w:line="215" w:lineRule="exact"/>
              <w:ind w:left="118"/>
              <w:rPr>
                <w:sz w:val="20"/>
              </w:rPr>
            </w:pPr>
            <w:r>
              <w:rPr>
                <w:sz w:val="20"/>
              </w:rPr>
              <w:t>prescribed</w:t>
            </w:r>
            <w:r>
              <w:rPr>
                <w:spacing w:val="64"/>
                <w:w w:val="150"/>
                <w:sz w:val="20"/>
              </w:rPr>
              <w:t> </w:t>
            </w:r>
            <w:r>
              <w:rPr>
                <w:spacing w:val="-2"/>
                <w:sz w:val="20"/>
              </w:rPr>
              <w:t>books</w:t>
            </w:r>
          </w:p>
        </w:tc>
        <w:tc>
          <w:tcPr>
            <w:tcW w:w="1050" w:type="dxa"/>
          </w:tcPr>
          <w:p>
            <w:pPr>
              <w:pStyle w:val="TableParagraph"/>
              <w:spacing w:line="215" w:lineRule="exact"/>
              <w:ind w:left="46" w:right="92"/>
              <w:jc w:val="center"/>
              <w:rPr>
                <w:sz w:val="20"/>
              </w:rPr>
            </w:pPr>
            <w:r>
              <w:rPr>
                <w:sz w:val="20"/>
              </w:rPr>
              <w:t>and</w:t>
            </w:r>
            <w:r>
              <w:rPr>
                <w:spacing w:val="77"/>
                <w:w w:val="150"/>
                <w:sz w:val="20"/>
              </w:rPr>
              <w:t> </w:t>
            </w:r>
            <w:r>
              <w:rPr>
                <w:spacing w:val="-4"/>
                <w:sz w:val="20"/>
              </w:rPr>
              <w:t>also</w:t>
            </w:r>
          </w:p>
        </w:tc>
        <w:tc>
          <w:tcPr>
            <w:tcW w:w="547" w:type="dxa"/>
          </w:tcPr>
          <w:p>
            <w:pPr>
              <w:pStyle w:val="TableParagraph"/>
              <w:spacing w:line="215" w:lineRule="exact"/>
              <w:ind w:right="63"/>
              <w:jc w:val="center"/>
              <w:rPr>
                <w:sz w:val="20"/>
              </w:rPr>
            </w:pPr>
            <w:r>
              <w:rPr>
                <w:spacing w:val="-2"/>
                <w:sz w:val="20"/>
              </w:rPr>
              <w:t>their</w:t>
            </w:r>
          </w:p>
        </w:tc>
        <w:tc>
          <w:tcPr>
            <w:tcW w:w="1796" w:type="dxa"/>
          </w:tcPr>
          <w:p>
            <w:pPr>
              <w:pStyle w:val="TableParagraph"/>
              <w:spacing w:line="208" w:lineRule="exact" w:before="7"/>
              <w:ind w:left="106"/>
              <w:rPr>
                <w:sz w:val="20"/>
              </w:rPr>
            </w:pPr>
            <w:r>
              <w:rPr>
                <w:sz w:val="20"/>
              </w:rPr>
              <w:t>Service</w:t>
            </w:r>
            <w:r>
              <w:rPr>
                <w:spacing w:val="-9"/>
                <w:sz w:val="20"/>
              </w:rPr>
              <w:t> </w:t>
            </w:r>
            <w:r>
              <w:rPr>
                <w:spacing w:val="-2"/>
                <w:sz w:val="20"/>
              </w:rPr>
              <w:t>Staff</w:t>
            </w:r>
          </w:p>
        </w:tc>
        <w:tc>
          <w:tcPr>
            <w:tcW w:w="707" w:type="dxa"/>
          </w:tcPr>
          <w:p>
            <w:pPr>
              <w:pStyle w:val="TableParagraph"/>
              <w:spacing w:line="208" w:lineRule="exact" w:before="7"/>
              <w:ind w:left="64" w:right="49"/>
              <w:jc w:val="center"/>
              <w:rPr>
                <w:sz w:val="20"/>
              </w:rPr>
            </w:pPr>
            <w:r>
              <w:rPr>
                <w:spacing w:val="-5"/>
                <w:sz w:val="20"/>
              </w:rPr>
              <w:t>25</w:t>
            </w:r>
          </w:p>
        </w:tc>
        <w:tc>
          <w:tcPr>
            <w:tcW w:w="749" w:type="dxa"/>
          </w:tcPr>
          <w:p>
            <w:pPr>
              <w:pStyle w:val="TableParagraph"/>
              <w:spacing w:line="208" w:lineRule="exact" w:before="7"/>
              <w:ind w:left="14" w:right="10"/>
              <w:jc w:val="center"/>
              <w:rPr>
                <w:sz w:val="20"/>
              </w:rPr>
            </w:pPr>
            <w:r>
              <w:rPr>
                <w:spacing w:val="-4"/>
                <w:sz w:val="20"/>
              </w:rPr>
              <w:t>12.3</w:t>
            </w:r>
          </w:p>
        </w:tc>
        <w:tc>
          <w:tcPr>
            <w:tcW w:w="691" w:type="dxa"/>
          </w:tcPr>
          <w:p>
            <w:pPr>
              <w:pStyle w:val="TableParagraph"/>
              <w:spacing w:line="208" w:lineRule="exact" w:before="7"/>
              <w:ind w:left="22" w:right="22"/>
              <w:jc w:val="center"/>
              <w:rPr>
                <w:sz w:val="20"/>
              </w:rPr>
            </w:pPr>
            <w:r>
              <w:rPr>
                <w:spacing w:val="-5"/>
                <w:sz w:val="20"/>
              </w:rPr>
              <w:t>64</w:t>
            </w:r>
          </w:p>
        </w:tc>
        <w:tc>
          <w:tcPr>
            <w:tcW w:w="777" w:type="dxa"/>
          </w:tcPr>
          <w:p>
            <w:pPr>
              <w:pStyle w:val="TableParagraph"/>
              <w:spacing w:line="208" w:lineRule="exact" w:before="7"/>
              <w:ind w:left="6" w:right="28"/>
              <w:jc w:val="center"/>
              <w:rPr>
                <w:sz w:val="20"/>
              </w:rPr>
            </w:pPr>
            <w:r>
              <w:rPr>
                <w:spacing w:val="-4"/>
                <w:sz w:val="20"/>
              </w:rPr>
              <w:t>31.5</w:t>
            </w:r>
          </w:p>
        </w:tc>
        <w:tc>
          <w:tcPr>
            <w:tcW w:w="686" w:type="dxa"/>
          </w:tcPr>
          <w:p>
            <w:pPr>
              <w:pStyle w:val="TableParagraph"/>
              <w:spacing w:line="208" w:lineRule="exact" w:before="7"/>
              <w:ind w:left="2" w:right="52"/>
              <w:jc w:val="center"/>
              <w:rPr>
                <w:sz w:val="20"/>
              </w:rPr>
            </w:pPr>
            <w:r>
              <w:rPr>
                <w:spacing w:val="-5"/>
                <w:sz w:val="20"/>
              </w:rPr>
              <w:t>18</w:t>
            </w:r>
          </w:p>
        </w:tc>
        <w:tc>
          <w:tcPr>
            <w:tcW w:w="902" w:type="dxa"/>
          </w:tcPr>
          <w:p>
            <w:pPr>
              <w:pStyle w:val="TableParagraph"/>
              <w:spacing w:line="208" w:lineRule="exact" w:before="7"/>
              <w:ind w:left="20" w:right="20"/>
              <w:jc w:val="center"/>
              <w:rPr>
                <w:sz w:val="20"/>
              </w:rPr>
            </w:pPr>
            <w:r>
              <w:rPr>
                <w:spacing w:val="-5"/>
                <w:sz w:val="20"/>
              </w:rPr>
              <w:t>8.9</w:t>
            </w:r>
          </w:p>
        </w:tc>
        <w:tc>
          <w:tcPr>
            <w:tcW w:w="684" w:type="dxa"/>
          </w:tcPr>
          <w:p>
            <w:pPr>
              <w:pStyle w:val="TableParagraph"/>
              <w:spacing w:line="208" w:lineRule="exact" w:before="7"/>
              <w:ind w:left="68" w:right="23"/>
              <w:jc w:val="center"/>
              <w:rPr>
                <w:sz w:val="20"/>
              </w:rPr>
            </w:pPr>
            <w:r>
              <w:rPr>
                <w:spacing w:val="-5"/>
                <w:sz w:val="20"/>
              </w:rPr>
              <w:t>74</w:t>
            </w:r>
          </w:p>
        </w:tc>
        <w:tc>
          <w:tcPr>
            <w:tcW w:w="799" w:type="dxa"/>
          </w:tcPr>
          <w:p>
            <w:pPr>
              <w:pStyle w:val="TableParagraph"/>
              <w:spacing w:line="208" w:lineRule="exact" w:before="7"/>
              <w:ind w:left="23" w:right="16"/>
              <w:jc w:val="center"/>
              <w:rPr>
                <w:sz w:val="20"/>
              </w:rPr>
            </w:pPr>
            <w:r>
              <w:rPr>
                <w:spacing w:val="-4"/>
                <w:sz w:val="20"/>
              </w:rPr>
              <w:t>36.5</w:t>
            </w:r>
          </w:p>
        </w:tc>
        <w:tc>
          <w:tcPr>
            <w:tcW w:w="626" w:type="dxa"/>
          </w:tcPr>
          <w:p>
            <w:pPr>
              <w:pStyle w:val="TableParagraph"/>
              <w:spacing w:line="208" w:lineRule="exact" w:before="7"/>
              <w:ind w:left="20" w:right="20"/>
              <w:jc w:val="center"/>
              <w:rPr>
                <w:sz w:val="20"/>
              </w:rPr>
            </w:pPr>
            <w:r>
              <w:rPr>
                <w:spacing w:val="-5"/>
                <w:sz w:val="20"/>
              </w:rPr>
              <w:t>22</w:t>
            </w:r>
          </w:p>
        </w:tc>
        <w:tc>
          <w:tcPr>
            <w:tcW w:w="770" w:type="dxa"/>
          </w:tcPr>
          <w:p>
            <w:pPr>
              <w:pStyle w:val="TableParagraph"/>
              <w:spacing w:line="208" w:lineRule="exact" w:before="7"/>
              <w:ind w:left="42" w:right="16"/>
              <w:jc w:val="center"/>
              <w:rPr>
                <w:sz w:val="20"/>
              </w:rPr>
            </w:pPr>
            <w:r>
              <w:rPr>
                <w:spacing w:val="-4"/>
                <w:sz w:val="20"/>
              </w:rPr>
              <w:t>10.8</w:t>
            </w:r>
          </w:p>
        </w:tc>
        <w:tc>
          <w:tcPr>
            <w:tcW w:w="709" w:type="dxa"/>
          </w:tcPr>
          <w:p>
            <w:pPr>
              <w:pStyle w:val="TableParagraph"/>
              <w:spacing w:line="208" w:lineRule="exact" w:before="7"/>
              <w:ind w:left="51" w:right="71"/>
              <w:jc w:val="center"/>
              <w:rPr>
                <w:sz w:val="20"/>
              </w:rPr>
            </w:pPr>
            <w:r>
              <w:rPr>
                <w:spacing w:val="-5"/>
                <w:sz w:val="20"/>
              </w:rPr>
              <w:t>203</w:t>
            </w:r>
          </w:p>
        </w:tc>
        <w:tc>
          <w:tcPr>
            <w:tcW w:w="720" w:type="dxa"/>
            <w:tcBorders>
              <w:right w:val="single" w:sz="4" w:space="0" w:color="000000"/>
            </w:tcBorders>
          </w:tcPr>
          <w:p>
            <w:pPr>
              <w:pStyle w:val="TableParagraph"/>
              <w:spacing w:line="208" w:lineRule="exact" w:before="7"/>
              <w:ind w:left="67" w:right="65"/>
              <w:jc w:val="center"/>
              <w:rPr>
                <w:sz w:val="20"/>
              </w:rPr>
            </w:pPr>
            <w:r>
              <w:rPr>
                <w:spacing w:val="-4"/>
                <w:sz w:val="20"/>
              </w:rPr>
              <w:t>43.8</w:t>
            </w:r>
          </w:p>
        </w:tc>
      </w:tr>
      <w:tr>
        <w:trPr>
          <w:trHeight w:val="463" w:hRule="exact"/>
        </w:trPr>
        <w:tc>
          <w:tcPr>
            <w:tcW w:w="4146" w:type="dxa"/>
            <w:gridSpan w:val="4"/>
            <w:tcBorders>
              <w:left w:val="single" w:sz="4" w:space="0" w:color="000000"/>
              <w:bottom w:val="single" w:sz="4" w:space="0" w:color="000000"/>
            </w:tcBorders>
          </w:tcPr>
          <w:p>
            <w:pPr>
              <w:pStyle w:val="TableParagraph"/>
              <w:spacing w:line="223" w:lineRule="exact"/>
              <w:ind w:left="825"/>
              <w:rPr>
                <w:sz w:val="20"/>
              </w:rPr>
            </w:pPr>
            <w:r>
              <w:rPr>
                <w:sz w:val="20"/>
              </w:rPr>
              <w:t>master</w:t>
            </w:r>
            <w:r>
              <w:rPr>
                <w:spacing w:val="54"/>
                <w:sz w:val="20"/>
              </w:rPr>
              <w:t> </w:t>
            </w:r>
            <w:r>
              <w:rPr>
                <w:sz w:val="20"/>
              </w:rPr>
              <w:t>piece</w:t>
            </w:r>
            <w:r>
              <w:rPr>
                <w:spacing w:val="53"/>
                <w:sz w:val="20"/>
              </w:rPr>
              <w:t> </w:t>
            </w:r>
            <w:r>
              <w:rPr>
                <w:sz w:val="20"/>
              </w:rPr>
              <w:t>published</w:t>
            </w:r>
            <w:r>
              <w:rPr>
                <w:spacing w:val="53"/>
                <w:sz w:val="20"/>
              </w:rPr>
              <w:t> </w:t>
            </w:r>
            <w:r>
              <w:rPr>
                <w:sz w:val="20"/>
              </w:rPr>
              <w:t>or</w:t>
            </w:r>
            <w:r>
              <w:rPr>
                <w:spacing w:val="55"/>
                <w:sz w:val="20"/>
              </w:rPr>
              <w:t> </w:t>
            </w:r>
            <w:r>
              <w:rPr>
                <w:spacing w:val="-2"/>
                <w:sz w:val="20"/>
              </w:rPr>
              <w:t>printed</w:t>
            </w:r>
          </w:p>
          <w:p>
            <w:pPr>
              <w:pStyle w:val="TableParagraph"/>
              <w:spacing w:line="215" w:lineRule="exact"/>
              <w:ind w:left="825"/>
              <w:rPr>
                <w:sz w:val="20"/>
              </w:rPr>
            </w:pPr>
            <w:r>
              <w:rPr>
                <w:sz w:val="20"/>
              </w:rPr>
              <w:t>without</w:t>
            </w:r>
            <w:r>
              <w:rPr>
                <w:spacing w:val="-3"/>
                <w:sz w:val="20"/>
              </w:rPr>
              <w:t> </w:t>
            </w:r>
            <w:r>
              <w:rPr>
                <w:sz w:val="20"/>
              </w:rPr>
              <w:t>going</w:t>
            </w:r>
            <w:r>
              <w:rPr>
                <w:spacing w:val="-5"/>
                <w:sz w:val="20"/>
              </w:rPr>
              <w:t> </w:t>
            </w:r>
            <w:r>
              <w:rPr>
                <w:sz w:val="20"/>
              </w:rPr>
              <w:t>outside</w:t>
            </w:r>
            <w:r>
              <w:rPr>
                <w:spacing w:val="-5"/>
                <w:sz w:val="20"/>
              </w:rPr>
              <w:t> </w:t>
            </w:r>
            <w:r>
              <w:rPr>
                <w:sz w:val="20"/>
              </w:rPr>
              <w:t>the</w:t>
            </w:r>
            <w:r>
              <w:rPr>
                <w:spacing w:val="-9"/>
                <w:sz w:val="20"/>
              </w:rPr>
              <w:t> </w:t>
            </w:r>
            <w:r>
              <w:rPr>
                <w:spacing w:val="-2"/>
                <w:sz w:val="20"/>
              </w:rPr>
              <w:t>campus.</w:t>
            </w:r>
          </w:p>
        </w:tc>
        <w:tc>
          <w:tcPr>
            <w:tcW w:w="1796" w:type="dxa"/>
            <w:tcBorders>
              <w:bottom w:val="single" w:sz="4" w:space="0" w:color="000000"/>
            </w:tcBorders>
          </w:tcPr>
          <w:p>
            <w:pPr>
              <w:pStyle w:val="TableParagraph"/>
              <w:spacing w:before="2"/>
              <w:ind w:left="106"/>
              <w:rPr>
                <w:sz w:val="20"/>
              </w:rPr>
            </w:pPr>
            <w:r>
              <w:rPr>
                <w:sz w:val="20"/>
              </w:rPr>
              <w:t>Top</w:t>
            </w:r>
            <w:r>
              <w:rPr>
                <w:spacing w:val="-1"/>
                <w:sz w:val="20"/>
              </w:rPr>
              <w:t> </w:t>
            </w:r>
            <w:r>
              <w:rPr>
                <w:spacing w:val="-2"/>
                <w:sz w:val="20"/>
              </w:rPr>
              <w:t>Management</w:t>
            </w:r>
          </w:p>
        </w:tc>
        <w:tc>
          <w:tcPr>
            <w:tcW w:w="707" w:type="dxa"/>
            <w:tcBorders>
              <w:bottom w:val="single" w:sz="4" w:space="0" w:color="000000"/>
            </w:tcBorders>
          </w:tcPr>
          <w:p>
            <w:pPr>
              <w:pStyle w:val="TableParagraph"/>
              <w:spacing w:before="2"/>
              <w:ind w:left="64" w:right="44"/>
              <w:jc w:val="center"/>
              <w:rPr>
                <w:sz w:val="20"/>
              </w:rPr>
            </w:pPr>
            <w:r>
              <w:rPr>
                <w:spacing w:val="-10"/>
                <w:sz w:val="20"/>
              </w:rPr>
              <w:t>2</w:t>
            </w:r>
          </w:p>
        </w:tc>
        <w:tc>
          <w:tcPr>
            <w:tcW w:w="749" w:type="dxa"/>
            <w:tcBorders>
              <w:bottom w:val="single" w:sz="4" w:space="0" w:color="000000"/>
            </w:tcBorders>
          </w:tcPr>
          <w:p>
            <w:pPr>
              <w:pStyle w:val="TableParagraph"/>
              <w:spacing w:before="2"/>
              <w:ind w:left="14" w:right="14"/>
              <w:jc w:val="center"/>
              <w:rPr>
                <w:sz w:val="20"/>
              </w:rPr>
            </w:pPr>
            <w:r>
              <w:rPr>
                <w:spacing w:val="-5"/>
                <w:sz w:val="20"/>
              </w:rPr>
              <w:t>8.7</w:t>
            </w:r>
          </w:p>
        </w:tc>
        <w:tc>
          <w:tcPr>
            <w:tcW w:w="691" w:type="dxa"/>
            <w:tcBorders>
              <w:bottom w:val="single" w:sz="4" w:space="0" w:color="000000"/>
            </w:tcBorders>
          </w:tcPr>
          <w:p>
            <w:pPr>
              <w:pStyle w:val="TableParagraph"/>
              <w:spacing w:before="2"/>
              <w:ind w:left="22" w:right="22"/>
              <w:jc w:val="center"/>
              <w:rPr>
                <w:sz w:val="20"/>
              </w:rPr>
            </w:pPr>
            <w:r>
              <w:rPr>
                <w:spacing w:val="-5"/>
                <w:sz w:val="20"/>
              </w:rPr>
              <w:t>11</w:t>
            </w:r>
          </w:p>
        </w:tc>
        <w:tc>
          <w:tcPr>
            <w:tcW w:w="777" w:type="dxa"/>
            <w:tcBorders>
              <w:bottom w:val="single" w:sz="4" w:space="0" w:color="000000"/>
            </w:tcBorders>
          </w:tcPr>
          <w:p>
            <w:pPr>
              <w:pStyle w:val="TableParagraph"/>
              <w:spacing w:before="2"/>
              <w:ind w:left="6" w:right="28"/>
              <w:jc w:val="center"/>
              <w:rPr>
                <w:sz w:val="20"/>
              </w:rPr>
            </w:pPr>
            <w:r>
              <w:rPr>
                <w:spacing w:val="-4"/>
                <w:sz w:val="20"/>
              </w:rPr>
              <w:t>47.8</w:t>
            </w:r>
          </w:p>
        </w:tc>
        <w:tc>
          <w:tcPr>
            <w:tcW w:w="686" w:type="dxa"/>
            <w:tcBorders>
              <w:bottom w:val="single" w:sz="4" w:space="0" w:color="000000"/>
            </w:tcBorders>
          </w:tcPr>
          <w:p>
            <w:pPr>
              <w:pStyle w:val="TableParagraph"/>
              <w:spacing w:before="2"/>
              <w:ind w:left="6" w:right="52"/>
              <w:jc w:val="center"/>
              <w:rPr>
                <w:sz w:val="20"/>
              </w:rPr>
            </w:pPr>
            <w:r>
              <w:rPr>
                <w:spacing w:val="-10"/>
                <w:sz w:val="20"/>
              </w:rPr>
              <w:t>2</w:t>
            </w:r>
          </w:p>
        </w:tc>
        <w:tc>
          <w:tcPr>
            <w:tcW w:w="902" w:type="dxa"/>
            <w:tcBorders>
              <w:bottom w:val="single" w:sz="4" w:space="0" w:color="000000"/>
            </w:tcBorders>
          </w:tcPr>
          <w:p>
            <w:pPr>
              <w:pStyle w:val="TableParagraph"/>
              <w:spacing w:before="2"/>
              <w:ind w:left="20" w:right="20"/>
              <w:jc w:val="center"/>
              <w:rPr>
                <w:sz w:val="20"/>
              </w:rPr>
            </w:pPr>
            <w:r>
              <w:rPr>
                <w:spacing w:val="-5"/>
                <w:sz w:val="20"/>
              </w:rPr>
              <w:t>8.7</w:t>
            </w:r>
          </w:p>
        </w:tc>
        <w:tc>
          <w:tcPr>
            <w:tcW w:w="684" w:type="dxa"/>
            <w:tcBorders>
              <w:bottom w:val="single" w:sz="4" w:space="0" w:color="000000"/>
            </w:tcBorders>
          </w:tcPr>
          <w:p>
            <w:pPr>
              <w:pStyle w:val="TableParagraph"/>
              <w:spacing w:before="2"/>
              <w:ind w:left="68" w:right="18"/>
              <w:jc w:val="center"/>
              <w:rPr>
                <w:sz w:val="20"/>
              </w:rPr>
            </w:pPr>
            <w:r>
              <w:rPr>
                <w:spacing w:val="-10"/>
                <w:sz w:val="20"/>
              </w:rPr>
              <w:t>8</w:t>
            </w:r>
          </w:p>
        </w:tc>
        <w:tc>
          <w:tcPr>
            <w:tcW w:w="799" w:type="dxa"/>
            <w:tcBorders>
              <w:bottom w:val="single" w:sz="4" w:space="0" w:color="000000"/>
            </w:tcBorders>
          </w:tcPr>
          <w:p>
            <w:pPr>
              <w:pStyle w:val="TableParagraph"/>
              <w:spacing w:before="2"/>
              <w:ind w:left="23" w:right="16"/>
              <w:jc w:val="center"/>
              <w:rPr>
                <w:sz w:val="20"/>
              </w:rPr>
            </w:pPr>
            <w:r>
              <w:rPr>
                <w:spacing w:val="-4"/>
                <w:sz w:val="20"/>
              </w:rPr>
              <w:t>34.8</w:t>
            </w:r>
          </w:p>
        </w:tc>
        <w:tc>
          <w:tcPr>
            <w:tcW w:w="626" w:type="dxa"/>
            <w:tcBorders>
              <w:bottom w:val="single" w:sz="4" w:space="0" w:color="000000"/>
            </w:tcBorders>
          </w:tcPr>
          <w:p>
            <w:pPr>
              <w:pStyle w:val="TableParagraph"/>
              <w:spacing w:before="2"/>
              <w:ind w:left="20" w:right="22"/>
              <w:jc w:val="center"/>
              <w:rPr>
                <w:sz w:val="20"/>
              </w:rPr>
            </w:pPr>
            <w:r>
              <w:rPr>
                <w:spacing w:val="-10"/>
                <w:sz w:val="20"/>
              </w:rPr>
              <w:t>-</w:t>
            </w:r>
          </w:p>
        </w:tc>
        <w:tc>
          <w:tcPr>
            <w:tcW w:w="770" w:type="dxa"/>
            <w:tcBorders>
              <w:bottom w:val="single" w:sz="4" w:space="0" w:color="000000"/>
            </w:tcBorders>
          </w:tcPr>
          <w:p>
            <w:pPr>
              <w:pStyle w:val="TableParagraph"/>
              <w:spacing w:before="2"/>
              <w:ind w:left="42" w:right="23"/>
              <w:jc w:val="center"/>
              <w:rPr>
                <w:sz w:val="20"/>
              </w:rPr>
            </w:pPr>
            <w:r>
              <w:rPr>
                <w:spacing w:val="-10"/>
                <w:sz w:val="20"/>
              </w:rPr>
              <w:t>-</w:t>
            </w:r>
          </w:p>
        </w:tc>
        <w:tc>
          <w:tcPr>
            <w:tcW w:w="709" w:type="dxa"/>
            <w:tcBorders>
              <w:bottom w:val="single" w:sz="4" w:space="0" w:color="000000"/>
            </w:tcBorders>
          </w:tcPr>
          <w:p>
            <w:pPr>
              <w:pStyle w:val="TableParagraph"/>
              <w:spacing w:before="2"/>
              <w:ind w:left="51" w:right="67"/>
              <w:jc w:val="center"/>
              <w:rPr>
                <w:sz w:val="20"/>
              </w:rPr>
            </w:pPr>
            <w:r>
              <w:rPr>
                <w:spacing w:val="-5"/>
                <w:sz w:val="20"/>
              </w:rPr>
              <w:t>23</w:t>
            </w:r>
          </w:p>
        </w:tc>
        <w:tc>
          <w:tcPr>
            <w:tcW w:w="720" w:type="dxa"/>
            <w:tcBorders>
              <w:right w:val="single" w:sz="4" w:space="0" w:color="000000"/>
            </w:tcBorders>
          </w:tcPr>
          <w:p>
            <w:pPr>
              <w:pStyle w:val="TableParagraph"/>
              <w:spacing w:before="2"/>
              <w:ind w:left="65" w:right="65"/>
              <w:jc w:val="center"/>
              <w:rPr>
                <w:sz w:val="20"/>
              </w:rPr>
            </w:pPr>
            <w:r>
              <w:rPr>
                <w:spacing w:val="-5"/>
                <w:sz w:val="20"/>
              </w:rPr>
              <w:t>5.0</w:t>
            </w:r>
          </w:p>
        </w:tc>
      </w:tr>
    </w:tbl>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spacing w:before="4"/>
        <w:rPr>
          <w:rFonts w:ascii="Arial"/>
          <w:b/>
          <w:sz w:val="28"/>
        </w:rPr>
      </w:pPr>
    </w:p>
    <w:p>
      <w:pPr>
        <w:pStyle w:val="BodyText"/>
        <w:spacing w:before="1"/>
        <w:ind w:left="3" w:right="433"/>
        <w:jc w:val="center"/>
        <w:rPr>
          <w:rFonts w:ascii="Times New Roman"/>
        </w:rPr>
      </w:pPr>
      <w:r>
        <w:rPr>
          <w:rFonts w:ascii="Times New Roman"/>
          <w:spacing w:val="-5"/>
        </w:rPr>
        <w:t>169</w:t>
      </w:r>
    </w:p>
    <w:p>
      <w:pPr>
        <w:spacing w:after="0"/>
        <w:jc w:val="center"/>
        <w:rPr>
          <w:rFonts w:ascii="Times New Roman"/>
        </w:rPr>
        <w:sectPr>
          <w:headerReference w:type="default" r:id="rId379"/>
          <w:footerReference w:type="default" r:id="rId380"/>
          <w:pgSz w:w="15840" w:h="12240" w:orient="landscape"/>
          <w:pgMar w:header="0" w:footer="0" w:top="640" w:bottom="280" w:left="500" w:right="360"/>
        </w:sectPr>
      </w:pPr>
    </w:p>
    <w:p>
      <w:pPr>
        <w:pStyle w:val="BodyText"/>
        <w:spacing w:line="480" w:lineRule="auto" w:before="82"/>
        <w:ind w:left="820" w:right="115" w:firstLine="720"/>
        <w:jc w:val="both"/>
      </w:pPr>
      <w:r>
        <w:rPr/>
        <w:t>It was with this view that item 81 expressed the need for universities to provide access for students to computers and internet cafes in order to get informed about world events. 96.6 percent of students, 92.1 percent of service staff and 100 percent of top management were strongly in support of the statement. Only very negligible percent were either undecided or in</w:t>
      </w:r>
      <w:r>
        <w:rPr>
          <w:spacing w:val="40"/>
        </w:rPr>
        <w:t> </w:t>
      </w:r>
      <w:r>
        <w:rPr>
          <w:spacing w:val="-2"/>
        </w:rPr>
        <w:t>disagreement.</w:t>
      </w:r>
    </w:p>
    <w:p>
      <w:pPr>
        <w:pStyle w:val="BodyText"/>
        <w:spacing w:line="480" w:lineRule="auto"/>
        <w:ind w:left="820" w:right="119" w:firstLine="720"/>
        <w:jc w:val="both"/>
      </w:pPr>
      <w:r>
        <w:rPr/>
        <w:t>94.9 percent of students, 89.6 percent of service staff and 100 percent of top management staff reached</w:t>
      </w:r>
      <w:r>
        <w:rPr>
          <w:spacing w:val="-2"/>
        </w:rPr>
        <w:t> </w:t>
      </w:r>
      <w:r>
        <w:rPr/>
        <w:t>a consensus that learning and teaching are made faster in the university system through the use of information technology devices as viewed by item 82. Information could be easily tapped and stored in</w:t>
      </w:r>
      <w:r>
        <w:rPr>
          <w:spacing w:val="40"/>
        </w:rPr>
        <w:t> </w:t>
      </w:r>
      <w:r>
        <w:rPr/>
        <w:t>computers particularly with the use of Laptop</w:t>
      </w:r>
      <w:r>
        <w:rPr>
          <w:spacing w:val="-1"/>
        </w:rPr>
        <w:t> </w:t>
      </w:r>
      <w:r>
        <w:rPr/>
        <w:t>device, which were very handy and mobile. One could get access to information in one’s bedroom or office without going far.</w:t>
      </w:r>
    </w:p>
    <w:p>
      <w:pPr>
        <w:pStyle w:val="BodyText"/>
        <w:spacing w:line="480" w:lineRule="auto"/>
        <w:ind w:left="820" w:right="114" w:firstLine="720"/>
        <w:jc w:val="both"/>
      </w:pPr>
      <w:r>
        <w:rPr/>
        <w:t>Though the universities could not provide all the devices, some services were usually provided by private business individuals at very expensive and exploitative</w:t>
      </w:r>
      <w:r>
        <w:rPr>
          <w:spacing w:val="-3"/>
        </w:rPr>
        <w:t> </w:t>
      </w:r>
      <w:r>
        <w:rPr/>
        <w:t>charges.</w:t>
      </w:r>
      <w:r>
        <w:rPr>
          <w:spacing w:val="-3"/>
        </w:rPr>
        <w:t> </w:t>
      </w:r>
      <w:r>
        <w:rPr/>
        <w:t>Hence</w:t>
      </w:r>
      <w:r>
        <w:rPr>
          <w:spacing w:val="-3"/>
        </w:rPr>
        <w:t> </w:t>
      </w:r>
      <w:r>
        <w:rPr/>
        <w:t>poor</w:t>
      </w:r>
      <w:r>
        <w:rPr>
          <w:spacing w:val="-2"/>
        </w:rPr>
        <w:t> </w:t>
      </w:r>
      <w:r>
        <w:rPr/>
        <w:t>students</w:t>
      </w:r>
      <w:r>
        <w:rPr>
          <w:spacing w:val="-3"/>
        </w:rPr>
        <w:t> </w:t>
      </w:r>
      <w:r>
        <w:rPr/>
        <w:t>could</w:t>
      </w:r>
      <w:r>
        <w:rPr>
          <w:spacing w:val="-3"/>
        </w:rPr>
        <w:t> </w:t>
      </w:r>
      <w:r>
        <w:rPr/>
        <w:t>not</w:t>
      </w:r>
      <w:r>
        <w:rPr>
          <w:spacing w:val="-3"/>
        </w:rPr>
        <w:t> </w:t>
      </w:r>
      <w:r>
        <w:rPr/>
        <w:t>get</w:t>
      </w:r>
      <w:r>
        <w:rPr>
          <w:spacing w:val="-3"/>
        </w:rPr>
        <w:t> </w:t>
      </w:r>
      <w:r>
        <w:rPr/>
        <w:t>the</w:t>
      </w:r>
      <w:r>
        <w:rPr>
          <w:spacing w:val="-3"/>
        </w:rPr>
        <w:t> </w:t>
      </w:r>
      <w:r>
        <w:rPr/>
        <w:t>best</w:t>
      </w:r>
      <w:r>
        <w:rPr>
          <w:spacing w:val="-3"/>
        </w:rPr>
        <w:t> </w:t>
      </w:r>
      <w:r>
        <w:rPr/>
        <w:t>service</w:t>
      </w:r>
      <w:r>
        <w:rPr>
          <w:spacing w:val="-3"/>
        </w:rPr>
        <w:t> </w:t>
      </w:r>
      <w:r>
        <w:rPr/>
        <w:t>because of the expenses. This view was expressed by item 83 is supported by 86.4 percent of students, 82.3 percent of service staff and 91.3 percent of top management staff. This called for the universities to improve their services to students in this aspect.</w:t>
      </w:r>
    </w:p>
    <w:p>
      <w:pPr>
        <w:pStyle w:val="BodyText"/>
        <w:spacing w:line="480" w:lineRule="auto" w:before="1"/>
        <w:ind w:left="820" w:right="116" w:firstLine="720"/>
        <w:jc w:val="both"/>
      </w:pPr>
      <w:r>
        <w:rPr/>
        <w:t>Item 84 was of the view that bookshops and publication services were adequately provided for students so that they could buy prescribed modern</w:t>
      </w:r>
      <w:r>
        <w:rPr>
          <w:spacing w:val="40"/>
        </w:rPr>
        <w:t> </w:t>
      </w:r>
      <w:r>
        <w:rPr/>
        <w:t>books and their masterpiece could be published or printed without going outside university</w:t>
      </w:r>
      <w:r>
        <w:rPr>
          <w:spacing w:val="10"/>
        </w:rPr>
        <w:t> </w:t>
      </w:r>
      <w:r>
        <w:rPr/>
        <w:t>campuses.</w:t>
      </w:r>
      <w:r>
        <w:rPr>
          <w:spacing w:val="12"/>
        </w:rPr>
        <w:t> </w:t>
      </w:r>
      <w:r>
        <w:rPr/>
        <w:t>43.9</w:t>
      </w:r>
      <w:r>
        <w:rPr>
          <w:spacing w:val="12"/>
        </w:rPr>
        <w:t> </w:t>
      </w:r>
      <w:r>
        <w:rPr/>
        <w:t>percent</w:t>
      </w:r>
      <w:r>
        <w:rPr>
          <w:spacing w:val="12"/>
        </w:rPr>
        <w:t> </w:t>
      </w:r>
      <w:r>
        <w:rPr/>
        <w:t>of</w:t>
      </w:r>
      <w:r>
        <w:rPr>
          <w:spacing w:val="11"/>
        </w:rPr>
        <w:t> </w:t>
      </w:r>
      <w:r>
        <w:rPr/>
        <w:t>students,</w:t>
      </w:r>
      <w:r>
        <w:rPr>
          <w:spacing w:val="12"/>
        </w:rPr>
        <w:t> </w:t>
      </w:r>
      <w:r>
        <w:rPr/>
        <w:t>43.8</w:t>
      </w:r>
      <w:r>
        <w:rPr>
          <w:spacing w:val="12"/>
        </w:rPr>
        <w:t> </w:t>
      </w:r>
      <w:r>
        <w:rPr/>
        <w:t>percent</w:t>
      </w:r>
      <w:r>
        <w:rPr>
          <w:spacing w:val="7"/>
        </w:rPr>
        <w:t> </w:t>
      </w:r>
      <w:r>
        <w:rPr/>
        <w:t>of</w:t>
      </w:r>
      <w:r>
        <w:rPr>
          <w:spacing w:val="12"/>
        </w:rPr>
        <w:t> </w:t>
      </w:r>
      <w:r>
        <w:rPr/>
        <w:t>service</w:t>
      </w:r>
      <w:r>
        <w:rPr>
          <w:spacing w:val="11"/>
        </w:rPr>
        <w:t> </w:t>
      </w:r>
      <w:r>
        <w:rPr/>
        <w:t>staff</w:t>
      </w:r>
      <w:r>
        <w:rPr>
          <w:spacing w:val="8"/>
        </w:rPr>
        <w:t> </w:t>
      </w:r>
      <w:r>
        <w:rPr>
          <w:spacing w:val="-5"/>
        </w:rPr>
        <w:t>and</w:t>
      </w:r>
    </w:p>
    <w:p>
      <w:pPr>
        <w:spacing w:after="0" w:line="480" w:lineRule="auto"/>
        <w:jc w:val="both"/>
        <w:sectPr>
          <w:headerReference w:type="default" r:id="rId381"/>
          <w:footerReference w:type="default" r:id="rId382"/>
          <w:pgSz w:w="12240" w:h="15840"/>
          <w:pgMar w:header="722" w:footer="791" w:top="1340" w:bottom="980" w:left="1340" w:right="1320"/>
          <w:pgNumType w:start="170"/>
        </w:sectPr>
      </w:pPr>
    </w:p>
    <w:p>
      <w:pPr>
        <w:pStyle w:val="BodyText"/>
        <w:spacing w:line="480" w:lineRule="auto" w:before="82"/>
        <w:ind w:left="820" w:right="114"/>
        <w:jc w:val="both"/>
      </w:pPr>
      <w:r>
        <w:rPr/>
        <w:t>56.5 percent of top management shared this</w:t>
      </w:r>
      <w:r>
        <w:rPr>
          <w:spacing w:val="-2"/>
        </w:rPr>
        <w:t> </w:t>
      </w:r>
      <w:r>
        <w:rPr/>
        <w:t>view. 42.5 percent of students, 47.3 percent</w:t>
      </w:r>
      <w:r>
        <w:rPr>
          <w:spacing w:val="-1"/>
        </w:rPr>
        <w:t> </w:t>
      </w:r>
      <w:r>
        <w:rPr/>
        <w:t>of</w:t>
      </w:r>
      <w:r>
        <w:rPr>
          <w:spacing w:val="-1"/>
        </w:rPr>
        <w:t> </w:t>
      </w:r>
      <w:r>
        <w:rPr/>
        <w:t>service staff</w:t>
      </w:r>
      <w:r>
        <w:rPr>
          <w:spacing w:val="-1"/>
        </w:rPr>
        <w:t> </w:t>
      </w:r>
      <w:r>
        <w:rPr/>
        <w:t>and 34.8 percent</w:t>
      </w:r>
      <w:r>
        <w:rPr>
          <w:spacing w:val="-1"/>
        </w:rPr>
        <w:t> </w:t>
      </w:r>
      <w:r>
        <w:rPr/>
        <w:t>disagreed with the statement, while only few respondents in the three groups stood undecided. Students who were the users</w:t>
      </w:r>
      <w:r>
        <w:rPr>
          <w:spacing w:val="-2"/>
        </w:rPr>
        <w:t> </w:t>
      </w:r>
      <w:r>
        <w:rPr/>
        <w:t>of</w:t>
      </w:r>
      <w:r>
        <w:rPr>
          <w:spacing w:val="-2"/>
        </w:rPr>
        <w:t> </w:t>
      </w:r>
      <w:r>
        <w:rPr/>
        <w:t>this</w:t>
      </w:r>
      <w:r>
        <w:rPr>
          <w:spacing w:val="-2"/>
        </w:rPr>
        <w:t> </w:t>
      </w:r>
      <w:r>
        <w:rPr/>
        <w:t>facility</w:t>
      </w:r>
      <w:r>
        <w:rPr>
          <w:spacing w:val="-2"/>
        </w:rPr>
        <w:t> </w:t>
      </w:r>
      <w:r>
        <w:rPr/>
        <w:t>disagreed</w:t>
      </w:r>
      <w:r>
        <w:rPr>
          <w:spacing w:val="-1"/>
        </w:rPr>
        <w:t> </w:t>
      </w:r>
      <w:r>
        <w:rPr/>
        <w:t>more</w:t>
      </w:r>
      <w:r>
        <w:rPr>
          <w:spacing w:val="-1"/>
        </w:rPr>
        <w:t> </w:t>
      </w:r>
      <w:r>
        <w:rPr/>
        <w:t>in</w:t>
      </w:r>
      <w:r>
        <w:rPr>
          <w:spacing w:val="-1"/>
        </w:rPr>
        <w:t> </w:t>
      </w:r>
      <w:r>
        <w:rPr/>
        <w:t>their opinions</w:t>
      </w:r>
      <w:r>
        <w:rPr>
          <w:spacing w:val="-2"/>
        </w:rPr>
        <w:t> </w:t>
      </w:r>
      <w:r>
        <w:rPr/>
        <w:t>with</w:t>
      </w:r>
      <w:r>
        <w:rPr>
          <w:spacing w:val="-1"/>
        </w:rPr>
        <w:t> </w:t>
      </w:r>
      <w:r>
        <w:rPr/>
        <w:t>the</w:t>
      </w:r>
      <w:r>
        <w:rPr>
          <w:spacing w:val="-1"/>
        </w:rPr>
        <w:t> </w:t>
      </w:r>
      <w:r>
        <w:rPr/>
        <w:t>statement.</w:t>
      </w:r>
      <w:r>
        <w:rPr>
          <w:spacing w:val="-2"/>
        </w:rPr>
        <w:t> </w:t>
      </w:r>
      <w:r>
        <w:rPr/>
        <w:t>It implied that students had to go out as they could not depend on the scarce facility provided within the campus.</w:t>
      </w:r>
    </w:p>
    <w:p>
      <w:pPr>
        <w:pStyle w:val="Heading2"/>
        <w:numPr>
          <w:ilvl w:val="2"/>
          <w:numId w:val="39"/>
        </w:numPr>
        <w:tabs>
          <w:tab w:pos="817" w:val="left" w:leader="none"/>
          <w:tab w:pos="820" w:val="left" w:leader="none"/>
        </w:tabs>
        <w:spacing w:line="240" w:lineRule="auto" w:before="0" w:after="0"/>
        <w:ind w:left="820" w:right="121" w:hanging="720"/>
        <w:jc w:val="left"/>
        <w:rPr>
          <w:rFonts w:ascii="Arial MT" w:hAnsi="Arial MT"/>
          <w:b w:val="0"/>
        </w:rPr>
      </w:pPr>
      <w:r>
        <w:rPr/>
        <w:t>The</w:t>
      </w:r>
      <w:r>
        <w:rPr>
          <w:spacing w:val="80"/>
        </w:rPr>
        <w:t> </w:t>
      </w:r>
      <w:r>
        <w:rPr/>
        <w:t>impact</w:t>
      </w:r>
      <w:r>
        <w:rPr>
          <w:spacing w:val="80"/>
        </w:rPr>
        <w:t> </w:t>
      </w:r>
      <w:r>
        <w:rPr/>
        <w:t>and</w:t>
      </w:r>
      <w:r>
        <w:rPr>
          <w:spacing w:val="80"/>
        </w:rPr>
        <w:t> </w:t>
      </w:r>
      <w:r>
        <w:rPr/>
        <w:t>influence</w:t>
      </w:r>
      <w:r>
        <w:rPr>
          <w:spacing w:val="80"/>
        </w:rPr>
        <w:t> </w:t>
      </w:r>
      <w:r>
        <w:rPr/>
        <w:t>of</w:t>
      </w:r>
      <w:r>
        <w:rPr>
          <w:spacing w:val="80"/>
        </w:rPr>
        <w:t> </w:t>
      </w:r>
      <w:r>
        <w:rPr/>
        <w:t>Medical</w:t>
      </w:r>
      <w:r>
        <w:rPr>
          <w:spacing w:val="80"/>
        </w:rPr>
        <w:t> </w:t>
      </w:r>
      <w:r>
        <w:rPr/>
        <w:t>or</w:t>
      </w:r>
      <w:r>
        <w:rPr>
          <w:spacing w:val="80"/>
        </w:rPr>
        <w:t> </w:t>
      </w:r>
      <w:r>
        <w:rPr/>
        <w:t>Health</w:t>
      </w:r>
      <w:r>
        <w:rPr>
          <w:spacing w:val="80"/>
        </w:rPr>
        <w:t> </w:t>
      </w:r>
      <w:r>
        <w:rPr/>
        <w:t>services</w:t>
      </w:r>
      <w:r>
        <w:rPr>
          <w:spacing w:val="80"/>
        </w:rPr>
        <w:t> </w:t>
      </w:r>
      <w:r>
        <w:rPr/>
        <w:t>on students’ welfare in the Universities under study</w:t>
      </w:r>
    </w:p>
    <w:p>
      <w:pPr>
        <w:pStyle w:val="BodyText"/>
        <w:spacing w:line="480" w:lineRule="auto" w:before="278"/>
        <w:ind w:left="820" w:right="114" w:firstLine="720"/>
        <w:jc w:val="both"/>
      </w:pPr>
      <w:r>
        <w:rPr/>
        <w:t>This</w:t>
      </w:r>
      <w:r>
        <w:rPr>
          <w:spacing w:val="-3"/>
        </w:rPr>
        <w:t> </w:t>
      </w:r>
      <w:r>
        <w:rPr/>
        <w:t>section</w:t>
      </w:r>
      <w:r>
        <w:rPr>
          <w:spacing w:val="-2"/>
        </w:rPr>
        <w:t> </w:t>
      </w:r>
      <w:r>
        <w:rPr/>
        <w:t>presented</w:t>
      </w:r>
      <w:r>
        <w:rPr>
          <w:spacing w:val="-2"/>
        </w:rPr>
        <w:t> </w:t>
      </w:r>
      <w:r>
        <w:rPr/>
        <w:t>the</w:t>
      </w:r>
      <w:r>
        <w:rPr>
          <w:spacing w:val="-2"/>
        </w:rPr>
        <w:t> </w:t>
      </w:r>
      <w:r>
        <w:rPr/>
        <w:t>analysis</w:t>
      </w:r>
      <w:r>
        <w:rPr>
          <w:spacing w:val="-8"/>
        </w:rPr>
        <w:t> </w:t>
      </w:r>
      <w:r>
        <w:rPr/>
        <w:t>of</w:t>
      </w:r>
      <w:r>
        <w:rPr>
          <w:spacing w:val="-3"/>
        </w:rPr>
        <w:t> </w:t>
      </w:r>
      <w:r>
        <w:rPr/>
        <w:t>responses</w:t>
      </w:r>
      <w:r>
        <w:rPr>
          <w:spacing w:val="-3"/>
        </w:rPr>
        <w:t> </w:t>
      </w:r>
      <w:r>
        <w:rPr/>
        <w:t>of</w:t>
      </w:r>
      <w:r>
        <w:rPr>
          <w:spacing w:val="-3"/>
        </w:rPr>
        <w:t> </w:t>
      </w:r>
      <w:r>
        <w:rPr/>
        <w:t>the</w:t>
      </w:r>
      <w:r>
        <w:rPr>
          <w:spacing w:val="-2"/>
        </w:rPr>
        <w:t> </w:t>
      </w:r>
      <w:r>
        <w:rPr/>
        <w:t>three</w:t>
      </w:r>
      <w:r>
        <w:rPr>
          <w:spacing w:val="-2"/>
        </w:rPr>
        <w:t> </w:t>
      </w:r>
      <w:r>
        <w:rPr/>
        <w:t>categories</w:t>
      </w:r>
      <w:r>
        <w:rPr>
          <w:spacing w:val="-3"/>
        </w:rPr>
        <w:t> </w:t>
      </w:r>
      <w:r>
        <w:rPr/>
        <w:t>of respondents obtained from item 85 to 88 on the positive or negative influence of the Medical or Health services on welfare of students. The four items attempted to investigate how medical facilities were managed and disbursed/administered</w:t>
      </w:r>
      <w:r>
        <w:rPr>
          <w:spacing w:val="40"/>
        </w:rPr>
        <w:t> </w:t>
      </w:r>
      <w:r>
        <w:rPr/>
        <w:t>to students so that they would be medically fit and well to perform better academically. The analysis of respondents were presented in frequencies and percentages as contained in Table 4.3.3.</w:t>
      </w:r>
    </w:p>
    <w:p>
      <w:pPr>
        <w:spacing w:after="0" w:line="480" w:lineRule="auto"/>
        <w:jc w:val="both"/>
        <w:sectPr>
          <w:headerReference w:type="default" r:id="rId383"/>
          <w:footerReference w:type="default" r:id="rId384"/>
          <w:pgSz w:w="12240" w:h="15840"/>
          <w:pgMar w:header="722" w:footer="791" w:top="1340" w:bottom="980" w:left="1340" w:right="1320"/>
        </w:sectPr>
      </w:pPr>
    </w:p>
    <w:p>
      <w:pPr>
        <w:pStyle w:val="BodyText"/>
        <w:spacing w:before="72"/>
        <w:ind w:left="3" w:right="433"/>
        <w:jc w:val="center"/>
        <w:rPr>
          <w:rFonts w:ascii="Times New Roman"/>
        </w:rPr>
      </w:pPr>
      <w:r>
        <w:rPr>
          <w:rFonts w:ascii="Times New Roman"/>
          <w:spacing w:val="-5"/>
        </w:rPr>
        <w:t>172</w:t>
      </w:r>
    </w:p>
    <w:p>
      <w:pPr>
        <w:pStyle w:val="BodyText"/>
        <w:spacing w:before="121"/>
        <w:rPr>
          <w:rFonts w:ascii="Times New Roman"/>
          <w:sz w:val="28"/>
        </w:rPr>
      </w:pPr>
    </w:p>
    <w:p>
      <w:pPr>
        <w:pStyle w:val="Heading2"/>
        <w:spacing w:before="1"/>
        <w:ind w:left="2245" w:right="1237" w:hanging="1594"/>
      </w:pPr>
      <w:r>
        <w:rPr/>
        <w:t>Table</w:t>
      </w:r>
      <w:r>
        <w:rPr>
          <w:spacing w:val="-1"/>
        </w:rPr>
        <w:t> </w:t>
      </w:r>
      <w:r>
        <w:rPr/>
        <w:t>4.3.3:</w:t>
      </w:r>
      <w:r>
        <w:rPr>
          <w:spacing w:val="-1"/>
        </w:rPr>
        <w:t> </w:t>
      </w:r>
      <w:r>
        <w:rPr/>
        <w:t>Opinions</w:t>
      </w:r>
      <w:r>
        <w:rPr>
          <w:spacing w:val="-6"/>
        </w:rPr>
        <w:t> </w:t>
      </w:r>
      <w:r>
        <w:rPr/>
        <w:t>of</w:t>
      </w:r>
      <w:r>
        <w:rPr>
          <w:spacing w:val="-6"/>
        </w:rPr>
        <w:t> </w:t>
      </w:r>
      <w:r>
        <w:rPr/>
        <w:t>respondents</w:t>
      </w:r>
      <w:r>
        <w:rPr>
          <w:spacing w:val="-6"/>
        </w:rPr>
        <w:t> </w:t>
      </w:r>
      <w:r>
        <w:rPr/>
        <w:t>on</w:t>
      </w:r>
      <w:r>
        <w:rPr>
          <w:spacing w:val="-2"/>
        </w:rPr>
        <w:t> </w:t>
      </w:r>
      <w:r>
        <w:rPr/>
        <w:t>the</w:t>
      </w:r>
      <w:r>
        <w:rPr>
          <w:spacing w:val="-6"/>
        </w:rPr>
        <w:t> </w:t>
      </w:r>
      <w:r>
        <w:rPr/>
        <w:t>impact</w:t>
      </w:r>
      <w:r>
        <w:rPr>
          <w:spacing w:val="-2"/>
        </w:rPr>
        <w:t> </w:t>
      </w:r>
      <w:r>
        <w:rPr/>
        <w:t>of</w:t>
      </w:r>
      <w:r>
        <w:rPr>
          <w:spacing w:val="-6"/>
        </w:rPr>
        <w:t> </w:t>
      </w:r>
      <w:r>
        <w:rPr/>
        <w:t>Medical or</w:t>
      </w:r>
      <w:r>
        <w:rPr>
          <w:spacing w:val="-3"/>
        </w:rPr>
        <w:t> </w:t>
      </w:r>
      <w:r>
        <w:rPr/>
        <w:t>Health</w:t>
      </w:r>
      <w:r>
        <w:rPr>
          <w:spacing w:val="-2"/>
        </w:rPr>
        <w:t> </w:t>
      </w:r>
      <w:r>
        <w:rPr/>
        <w:t>services</w:t>
      </w:r>
      <w:r>
        <w:rPr>
          <w:spacing w:val="-6"/>
        </w:rPr>
        <w:t> </w:t>
      </w:r>
      <w:r>
        <w:rPr/>
        <w:t>on</w:t>
      </w:r>
      <w:r>
        <w:rPr>
          <w:spacing w:val="-2"/>
        </w:rPr>
        <w:t> </w:t>
      </w:r>
      <w:r>
        <w:rPr/>
        <w:t>students’ </w:t>
      </w:r>
      <w:r>
        <w:rPr>
          <w:spacing w:val="-2"/>
        </w:rPr>
        <w:t>welfare</w:t>
      </w:r>
    </w:p>
    <w:p>
      <w:pPr>
        <w:pStyle w:val="BodyText"/>
        <w:spacing w:before="55"/>
        <w:rPr>
          <w:rFonts w:ascii="Arial"/>
          <w:b/>
          <w:sz w:val="20"/>
        </w:rPr>
      </w:pPr>
    </w:p>
    <w:tbl>
      <w:tblPr>
        <w:tblW w:w="0" w:type="auto"/>
        <w:jc w:val="left"/>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48"/>
        <w:gridCol w:w="1795"/>
        <w:gridCol w:w="652"/>
        <w:gridCol w:w="831"/>
        <w:gridCol w:w="665"/>
        <w:gridCol w:w="778"/>
        <w:gridCol w:w="687"/>
        <w:gridCol w:w="903"/>
        <w:gridCol w:w="685"/>
        <w:gridCol w:w="800"/>
        <w:gridCol w:w="627"/>
        <w:gridCol w:w="771"/>
        <w:gridCol w:w="692"/>
        <w:gridCol w:w="739"/>
      </w:tblGrid>
      <w:tr>
        <w:trPr>
          <w:trHeight w:val="743" w:hRule="atLeast"/>
        </w:trPr>
        <w:tc>
          <w:tcPr>
            <w:tcW w:w="4148" w:type="dxa"/>
            <w:vMerge w:val="restart"/>
            <w:tcBorders>
              <w:top w:val="single" w:sz="4" w:space="0" w:color="000000"/>
              <w:left w:val="single" w:sz="4" w:space="0" w:color="000000"/>
              <w:bottom w:val="single" w:sz="4" w:space="0" w:color="000000"/>
            </w:tcBorders>
          </w:tcPr>
          <w:p>
            <w:pPr>
              <w:pStyle w:val="TableParagraph"/>
              <w:rPr>
                <w:rFonts w:ascii="Arial"/>
                <w:b/>
                <w:sz w:val="20"/>
              </w:rPr>
            </w:pPr>
          </w:p>
          <w:p>
            <w:pPr>
              <w:pStyle w:val="TableParagraph"/>
              <w:spacing w:before="216"/>
              <w:rPr>
                <w:rFonts w:ascii="Arial"/>
                <w:b/>
                <w:sz w:val="20"/>
              </w:rPr>
            </w:pPr>
          </w:p>
          <w:p>
            <w:pPr>
              <w:pStyle w:val="TableParagraph"/>
              <w:tabs>
                <w:tab w:pos="830" w:val="left" w:leader="none"/>
              </w:tabs>
              <w:ind w:left="134"/>
              <w:rPr>
                <w:rFonts w:ascii="Arial"/>
                <w:b/>
                <w:sz w:val="20"/>
              </w:rPr>
            </w:pPr>
            <w:r>
              <w:rPr>
                <w:rFonts w:ascii="Arial"/>
                <w:b/>
                <w:spacing w:val="-4"/>
                <w:sz w:val="20"/>
              </w:rPr>
              <w:t>S/No</w:t>
            </w:r>
            <w:r>
              <w:rPr>
                <w:rFonts w:ascii="Arial"/>
                <w:b/>
                <w:sz w:val="20"/>
              </w:rPr>
              <w:tab/>
              <w:t>Item</w:t>
            </w:r>
            <w:r>
              <w:rPr>
                <w:rFonts w:ascii="Arial"/>
                <w:b/>
                <w:spacing w:val="-2"/>
                <w:sz w:val="20"/>
              </w:rPr>
              <w:t> Statements</w:t>
            </w:r>
          </w:p>
        </w:tc>
        <w:tc>
          <w:tcPr>
            <w:tcW w:w="1795" w:type="dxa"/>
            <w:vMerge w:val="restart"/>
            <w:tcBorders>
              <w:top w:val="single" w:sz="4" w:space="0" w:color="000000"/>
              <w:bottom w:val="single" w:sz="4" w:space="0" w:color="000000"/>
              <w:right w:val="single" w:sz="4" w:space="0" w:color="000000"/>
            </w:tcBorders>
          </w:tcPr>
          <w:p>
            <w:pPr>
              <w:pStyle w:val="TableParagraph"/>
              <w:spacing w:before="224"/>
              <w:rPr>
                <w:rFonts w:ascii="Arial"/>
                <w:b/>
                <w:sz w:val="20"/>
              </w:rPr>
            </w:pPr>
          </w:p>
          <w:p>
            <w:pPr>
              <w:pStyle w:val="TableParagraph"/>
              <w:spacing w:line="235" w:lineRule="auto"/>
              <w:ind w:left="109"/>
              <w:rPr>
                <w:rFonts w:ascii="Arial"/>
                <w:b/>
                <w:sz w:val="20"/>
              </w:rPr>
            </w:pPr>
            <w:r>
              <w:rPr>
                <w:rFonts w:ascii="Arial"/>
                <w:b/>
                <w:sz w:val="20"/>
              </w:rPr>
              <w:t>Category of </w:t>
            </w:r>
            <w:r>
              <w:rPr>
                <w:rFonts w:ascii="Arial"/>
                <w:b/>
                <w:spacing w:val="-2"/>
                <w:sz w:val="20"/>
              </w:rPr>
              <w:t>Respondents</w:t>
            </w:r>
          </w:p>
        </w:tc>
        <w:tc>
          <w:tcPr>
            <w:tcW w:w="8830" w:type="dxa"/>
            <w:gridSpan w:val="12"/>
            <w:tcBorders>
              <w:top w:val="single" w:sz="4" w:space="0" w:color="000000"/>
              <w:left w:val="single" w:sz="4" w:space="0" w:color="000000"/>
              <w:bottom w:val="single" w:sz="4" w:space="0" w:color="000000"/>
              <w:right w:val="single" w:sz="4" w:space="0" w:color="000000"/>
            </w:tcBorders>
          </w:tcPr>
          <w:p>
            <w:pPr>
              <w:pStyle w:val="TableParagraph"/>
              <w:spacing w:line="267" w:lineRule="exact"/>
              <w:ind w:left="2989"/>
              <w:rPr>
                <w:rFonts w:ascii="Arial"/>
                <w:b/>
                <w:sz w:val="24"/>
              </w:rPr>
            </w:pPr>
            <w:r>
              <w:rPr>
                <w:rFonts w:ascii="Arial"/>
                <w:b/>
                <w:spacing w:val="-2"/>
                <w:sz w:val="24"/>
              </w:rPr>
              <w:t>Responses</w:t>
            </w:r>
          </w:p>
          <w:p>
            <w:pPr>
              <w:pStyle w:val="TableParagraph"/>
              <w:tabs>
                <w:tab w:pos="1875" w:val="left" w:leader="none"/>
                <w:tab w:pos="3191" w:val="left" w:leader="none"/>
                <w:tab w:pos="4813" w:val="left" w:leader="none"/>
                <w:tab w:pos="6243" w:val="left" w:leader="none"/>
                <w:tab w:pos="7856" w:val="left" w:leader="none"/>
              </w:tabs>
              <w:spacing w:line="230" w:lineRule="atLeast"/>
              <w:ind w:left="436" w:right="478" w:hanging="125"/>
              <w:rPr>
                <w:rFonts w:ascii="Arial"/>
                <w:b/>
                <w:sz w:val="20"/>
              </w:rPr>
            </w:pPr>
            <w:r>
              <w:rPr>
                <w:rFonts w:ascii="Arial"/>
                <w:b/>
                <w:spacing w:val="-2"/>
                <w:sz w:val="20"/>
              </w:rPr>
              <w:t>Strongly</w:t>
            </w:r>
            <w:r>
              <w:rPr>
                <w:rFonts w:ascii="Arial"/>
                <w:b/>
                <w:sz w:val="20"/>
              </w:rPr>
              <w:tab/>
            </w:r>
            <w:r>
              <w:rPr>
                <w:rFonts w:ascii="Arial"/>
                <w:b/>
                <w:spacing w:val="-4"/>
                <w:sz w:val="20"/>
              </w:rPr>
              <w:t>Agree</w:t>
            </w:r>
            <w:r>
              <w:rPr>
                <w:rFonts w:ascii="Arial"/>
                <w:b/>
                <w:sz w:val="20"/>
              </w:rPr>
              <w:tab/>
            </w:r>
            <w:r>
              <w:rPr>
                <w:rFonts w:ascii="Arial"/>
                <w:b/>
                <w:spacing w:val="-2"/>
                <w:sz w:val="20"/>
              </w:rPr>
              <w:t>Undecided</w:t>
            </w:r>
            <w:r>
              <w:rPr>
                <w:rFonts w:ascii="Arial"/>
                <w:b/>
                <w:sz w:val="20"/>
              </w:rPr>
              <w:tab/>
            </w:r>
            <w:r>
              <w:rPr>
                <w:rFonts w:ascii="Arial"/>
                <w:b/>
                <w:spacing w:val="-2"/>
                <w:sz w:val="20"/>
              </w:rPr>
              <w:t>Disagree</w:t>
            </w:r>
            <w:r>
              <w:rPr>
                <w:rFonts w:ascii="Arial"/>
                <w:b/>
                <w:sz w:val="20"/>
              </w:rPr>
              <w:tab/>
            </w:r>
            <w:r>
              <w:rPr>
                <w:rFonts w:ascii="Arial"/>
                <w:b/>
                <w:spacing w:val="-42"/>
                <w:sz w:val="20"/>
              </w:rPr>
              <w:t> </w:t>
            </w:r>
            <w:r>
              <w:rPr>
                <w:rFonts w:ascii="Arial"/>
                <w:b/>
                <w:sz w:val="20"/>
              </w:rPr>
              <w:t>Strongly</w:t>
              <w:tab/>
            </w:r>
            <w:r>
              <w:rPr>
                <w:rFonts w:ascii="Arial"/>
                <w:b/>
                <w:spacing w:val="-2"/>
                <w:sz w:val="20"/>
              </w:rPr>
              <w:t>Total Agree</w:t>
            </w:r>
            <w:r>
              <w:rPr>
                <w:rFonts w:ascii="Arial"/>
                <w:b/>
                <w:sz w:val="20"/>
              </w:rPr>
              <w:tab/>
              <w:tab/>
              <w:tab/>
              <w:tab/>
            </w:r>
            <w:r>
              <w:rPr>
                <w:rFonts w:ascii="Arial"/>
                <w:b/>
                <w:spacing w:val="-2"/>
                <w:sz w:val="20"/>
              </w:rPr>
              <w:t>Disagree</w:t>
            </w:r>
          </w:p>
        </w:tc>
      </w:tr>
      <w:tr>
        <w:trPr>
          <w:trHeight w:val="321" w:hRule="atLeast"/>
        </w:trPr>
        <w:tc>
          <w:tcPr>
            <w:tcW w:w="4148" w:type="dxa"/>
            <w:vMerge/>
            <w:tcBorders>
              <w:top w:val="nil"/>
              <w:left w:val="single" w:sz="4" w:space="0" w:color="000000"/>
              <w:bottom w:val="single" w:sz="4" w:space="0" w:color="000000"/>
            </w:tcBorders>
          </w:tcPr>
          <w:p>
            <w:pPr>
              <w:rPr>
                <w:sz w:val="2"/>
                <w:szCs w:val="2"/>
              </w:rPr>
            </w:pPr>
          </w:p>
        </w:tc>
        <w:tc>
          <w:tcPr>
            <w:tcW w:w="1795" w:type="dxa"/>
            <w:vMerge/>
            <w:tcBorders>
              <w:top w:val="nil"/>
              <w:bottom w:val="single" w:sz="4" w:space="0" w:color="000000"/>
              <w:right w:val="single" w:sz="4" w:space="0" w:color="000000"/>
            </w:tcBorders>
          </w:tcPr>
          <w:p>
            <w:pPr>
              <w:rPr>
                <w:sz w:val="2"/>
                <w:szCs w:val="2"/>
              </w:rPr>
            </w:pPr>
          </w:p>
        </w:tc>
        <w:tc>
          <w:tcPr>
            <w:tcW w:w="652" w:type="dxa"/>
            <w:tcBorders>
              <w:top w:val="single" w:sz="4" w:space="0" w:color="000000"/>
              <w:left w:val="single" w:sz="4" w:space="0" w:color="000000"/>
              <w:bottom w:val="single" w:sz="4" w:space="0" w:color="000000"/>
            </w:tcBorders>
          </w:tcPr>
          <w:p>
            <w:pPr>
              <w:pStyle w:val="TableParagraph"/>
              <w:spacing w:line="220" w:lineRule="exact"/>
              <w:ind w:left="79"/>
              <w:jc w:val="center"/>
              <w:rPr>
                <w:rFonts w:ascii="Arial"/>
                <w:b/>
                <w:sz w:val="20"/>
              </w:rPr>
            </w:pPr>
            <w:r>
              <w:rPr>
                <w:rFonts w:ascii="Arial"/>
                <w:b/>
                <w:spacing w:val="-10"/>
                <w:sz w:val="20"/>
              </w:rPr>
              <w:t>F</w:t>
            </w:r>
          </w:p>
        </w:tc>
        <w:tc>
          <w:tcPr>
            <w:tcW w:w="831" w:type="dxa"/>
            <w:tcBorders>
              <w:top w:val="single" w:sz="4" w:space="0" w:color="000000"/>
              <w:bottom w:val="single" w:sz="4" w:space="0" w:color="000000"/>
            </w:tcBorders>
          </w:tcPr>
          <w:p>
            <w:pPr>
              <w:pStyle w:val="TableParagraph"/>
              <w:spacing w:line="220" w:lineRule="exact"/>
              <w:ind w:left="40"/>
              <w:jc w:val="center"/>
              <w:rPr>
                <w:rFonts w:ascii="Arial"/>
                <w:b/>
                <w:sz w:val="20"/>
              </w:rPr>
            </w:pPr>
            <w:r>
              <w:rPr>
                <w:rFonts w:ascii="Arial"/>
                <w:b/>
                <w:spacing w:val="-10"/>
                <w:sz w:val="20"/>
              </w:rPr>
              <w:t>%</w:t>
            </w:r>
          </w:p>
        </w:tc>
        <w:tc>
          <w:tcPr>
            <w:tcW w:w="665" w:type="dxa"/>
            <w:tcBorders>
              <w:top w:val="single" w:sz="4" w:space="0" w:color="000000"/>
              <w:bottom w:val="single" w:sz="4" w:space="0" w:color="000000"/>
            </w:tcBorders>
          </w:tcPr>
          <w:p>
            <w:pPr>
              <w:pStyle w:val="TableParagraph"/>
              <w:spacing w:line="220" w:lineRule="exact"/>
              <w:ind w:left="11" w:right="23"/>
              <w:jc w:val="center"/>
              <w:rPr>
                <w:rFonts w:ascii="Arial"/>
                <w:b/>
                <w:sz w:val="20"/>
              </w:rPr>
            </w:pPr>
            <w:r>
              <w:rPr>
                <w:rFonts w:ascii="Arial"/>
                <w:b/>
                <w:spacing w:val="-10"/>
                <w:sz w:val="20"/>
              </w:rPr>
              <w:t>F</w:t>
            </w:r>
          </w:p>
        </w:tc>
        <w:tc>
          <w:tcPr>
            <w:tcW w:w="778" w:type="dxa"/>
            <w:tcBorders>
              <w:top w:val="single" w:sz="4" w:space="0" w:color="000000"/>
              <w:bottom w:val="single" w:sz="4" w:space="0" w:color="000000"/>
            </w:tcBorders>
          </w:tcPr>
          <w:p>
            <w:pPr>
              <w:pStyle w:val="TableParagraph"/>
              <w:spacing w:line="220" w:lineRule="exact"/>
              <w:ind w:left="55" w:right="71"/>
              <w:jc w:val="center"/>
              <w:rPr>
                <w:rFonts w:ascii="Arial"/>
                <w:b/>
                <w:sz w:val="20"/>
              </w:rPr>
            </w:pPr>
            <w:r>
              <w:rPr>
                <w:rFonts w:ascii="Arial"/>
                <w:b/>
                <w:spacing w:val="-10"/>
                <w:sz w:val="20"/>
              </w:rPr>
              <w:t>%</w:t>
            </w:r>
          </w:p>
        </w:tc>
        <w:tc>
          <w:tcPr>
            <w:tcW w:w="687" w:type="dxa"/>
            <w:tcBorders>
              <w:top w:val="single" w:sz="4" w:space="0" w:color="000000"/>
              <w:bottom w:val="single" w:sz="4" w:space="0" w:color="000000"/>
            </w:tcBorders>
          </w:tcPr>
          <w:p>
            <w:pPr>
              <w:pStyle w:val="TableParagraph"/>
              <w:spacing w:line="220" w:lineRule="exact"/>
              <w:ind w:left="67" w:right="107"/>
              <w:jc w:val="center"/>
              <w:rPr>
                <w:rFonts w:ascii="Arial"/>
                <w:b/>
                <w:sz w:val="20"/>
              </w:rPr>
            </w:pPr>
            <w:r>
              <w:rPr>
                <w:rFonts w:ascii="Arial"/>
                <w:b/>
                <w:spacing w:val="-10"/>
                <w:sz w:val="20"/>
              </w:rPr>
              <w:t>F</w:t>
            </w:r>
          </w:p>
        </w:tc>
        <w:tc>
          <w:tcPr>
            <w:tcW w:w="903" w:type="dxa"/>
            <w:tcBorders>
              <w:top w:val="single" w:sz="4" w:space="0" w:color="000000"/>
              <w:bottom w:val="single" w:sz="4" w:space="0" w:color="000000"/>
            </w:tcBorders>
          </w:tcPr>
          <w:p>
            <w:pPr>
              <w:pStyle w:val="TableParagraph"/>
              <w:spacing w:line="220" w:lineRule="exact"/>
              <w:ind w:left="13" w:right="6"/>
              <w:jc w:val="center"/>
              <w:rPr>
                <w:rFonts w:ascii="Arial"/>
                <w:b/>
                <w:sz w:val="20"/>
              </w:rPr>
            </w:pPr>
            <w:r>
              <w:rPr>
                <w:rFonts w:ascii="Arial"/>
                <w:b/>
                <w:spacing w:val="-10"/>
                <w:sz w:val="20"/>
              </w:rPr>
              <w:t>%</w:t>
            </w:r>
          </w:p>
        </w:tc>
        <w:tc>
          <w:tcPr>
            <w:tcW w:w="685" w:type="dxa"/>
            <w:tcBorders>
              <w:top w:val="single" w:sz="4" w:space="0" w:color="000000"/>
              <w:bottom w:val="single" w:sz="4" w:space="0" w:color="000000"/>
            </w:tcBorders>
          </w:tcPr>
          <w:p>
            <w:pPr>
              <w:pStyle w:val="TableParagraph"/>
              <w:spacing w:line="220" w:lineRule="exact"/>
              <w:ind w:left="85" w:right="32"/>
              <w:jc w:val="center"/>
              <w:rPr>
                <w:rFonts w:ascii="Arial"/>
                <w:b/>
                <w:sz w:val="20"/>
              </w:rPr>
            </w:pPr>
            <w:r>
              <w:rPr>
                <w:rFonts w:ascii="Arial"/>
                <w:b/>
                <w:spacing w:val="-10"/>
                <w:sz w:val="20"/>
              </w:rPr>
              <w:t>F</w:t>
            </w:r>
          </w:p>
        </w:tc>
        <w:tc>
          <w:tcPr>
            <w:tcW w:w="800" w:type="dxa"/>
            <w:tcBorders>
              <w:top w:val="single" w:sz="4" w:space="0" w:color="000000"/>
              <w:bottom w:val="single" w:sz="4" w:space="0" w:color="000000"/>
            </w:tcBorders>
          </w:tcPr>
          <w:p>
            <w:pPr>
              <w:pStyle w:val="TableParagraph"/>
              <w:spacing w:line="220" w:lineRule="exact"/>
              <w:ind w:left="18" w:right="12"/>
              <w:jc w:val="center"/>
              <w:rPr>
                <w:rFonts w:ascii="Arial"/>
                <w:b/>
                <w:sz w:val="20"/>
              </w:rPr>
            </w:pPr>
            <w:r>
              <w:rPr>
                <w:rFonts w:ascii="Arial"/>
                <w:b/>
                <w:spacing w:val="-10"/>
                <w:sz w:val="20"/>
              </w:rPr>
              <w:t>%</w:t>
            </w:r>
          </w:p>
        </w:tc>
        <w:tc>
          <w:tcPr>
            <w:tcW w:w="627" w:type="dxa"/>
            <w:tcBorders>
              <w:top w:val="single" w:sz="4" w:space="0" w:color="000000"/>
              <w:bottom w:val="single" w:sz="4" w:space="0" w:color="000000"/>
            </w:tcBorders>
          </w:tcPr>
          <w:p>
            <w:pPr>
              <w:pStyle w:val="TableParagraph"/>
              <w:spacing w:line="220" w:lineRule="exact"/>
              <w:ind w:left="23" w:right="22"/>
              <w:jc w:val="center"/>
              <w:rPr>
                <w:rFonts w:ascii="Arial"/>
                <w:b/>
                <w:sz w:val="20"/>
              </w:rPr>
            </w:pPr>
            <w:r>
              <w:rPr>
                <w:rFonts w:ascii="Arial"/>
                <w:b/>
                <w:spacing w:val="-10"/>
                <w:sz w:val="20"/>
              </w:rPr>
              <w:t>F</w:t>
            </w:r>
          </w:p>
        </w:tc>
        <w:tc>
          <w:tcPr>
            <w:tcW w:w="771" w:type="dxa"/>
            <w:tcBorders>
              <w:top w:val="single" w:sz="4" w:space="0" w:color="000000"/>
              <w:bottom w:val="single" w:sz="4" w:space="0" w:color="000000"/>
            </w:tcBorders>
          </w:tcPr>
          <w:p>
            <w:pPr>
              <w:pStyle w:val="TableParagraph"/>
              <w:spacing w:line="220" w:lineRule="exact"/>
              <w:ind w:left="45" w:right="22"/>
              <w:jc w:val="center"/>
              <w:rPr>
                <w:rFonts w:ascii="Arial"/>
                <w:b/>
                <w:sz w:val="20"/>
              </w:rPr>
            </w:pPr>
            <w:r>
              <w:rPr>
                <w:rFonts w:ascii="Arial"/>
                <w:b/>
                <w:spacing w:val="-10"/>
                <w:sz w:val="20"/>
              </w:rPr>
              <w:t>%</w:t>
            </w:r>
          </w:p>
        </w:tc>
        <w:tc>
          <w:tcPr>
            <w:tcW w:w="692" w:type="dxa"/>
            <w:tcBorders>
              <w:top w:val="single" w:sz="4" w:space="0" w:color="000000"/>
              <w:bottom w:val="single" w:sz="4" w:space="0" w:color="000000"/>
            </w:tcBorders>
          </w:tcPr>
          <w:p>
            <w:pPr>
              <w:pStyle w:val="TableParagraph"/>
              <w:spacing w:line="220" w:lineRule="exact"/>
              <w:ind w:left="23" w:right="22"/>
              <w:jc w:val="center"/>
              <w:rPr>
                <w:rFonts w:ascii="Arial"/>
                <w:b/>
                <w:sz w:val="20"/>
              </w:rPr>
            </w:pPr>
            <w:r>
              <w:rPr>
                <w:rFonts w:ascii="Arial"/>
                <w:b/>
                <w:spacing w:val="-10"/>
                <w:sz w:val="20"/>
              </w:rPr>
              <w:t>F</w:t>
            </w:r>
          </w:p>
        </w:tc>
        <w:tc>
          <w:tcPr>
            <w:tcW w:w="739" w:type="dxa"/>
            <w:tcBorders>
              <w:top w:val="single" w:sz="4" w:space="0" w:color="000000"/>
              <w:bottom w:val="single" w:sz="4" w:space="0" w:color="000000"/>
              <w:right w:val="single" w:sz="4" w:space="0" w:color="000000"/>
            </w:tcBorders>
          </w:tcPr>
          <w:p>
            <w:pPr>
              <w:pStyle w:val="TableParagraph"/>
              <w:spacing w:line="220" w:lineRule="exact"/>
              <w:ind w:left="36" w:right="22"/>
              <w:jc w:val="center"/>
              <w:rPr>
                <w:rFonts w:ascii="Arial"/>
                <w:b/>
                <w:sz w:val="20"/>
              </w:rPr>
            </w:pPr>
            <w:r>
              <w:rPr>
                <w:rFonts w:ascii="Arial"/>
                <w:b/>
                <w:spacing w:val="-10"/>
                <w:sz w:val="20"/>
              </w:rPr>
              <w:t>%</w:t>
            </w:r>
          </w:p>
        </w:tc>
      </w:tr>
      <w:tr>
        <w:trPr>
          <w:trHeight w:val="227" w:hRule="atLeast"/>
        </w:trPr>
        <w:tc>
          <w:tcPr>
            <w:tcW w:w="4148" w:type="dxa"/>
            <w:tcBorders>
              <w:top w:val="single" w:sz="4" w:space="0" w:color="000000"/>
              <w:left w:val="single" w:sz="4" w:space="0" w:color="000000"/>
            </w:tcBorders>
          </w:tcPr>
          <w:p>
            <w:pPr>
              <w:pStyle w:val="TableParagraph"/>
              <w:tabs>
                <w:tab w:pos="609" w:val="left" w:leader="none"/>
              </w:tabs>
              <w:spacing w:line="208" w:lineRule="exact"/>
              <w:ind w:right="102"/>
              <w:jc w:val="right"/>
              <w:rPr>
                <w:sz w:val="20"/>
              </w:rPr>
            </w:pPr>
            <w:r>
              <w:rPr>
                <w:spacing w:val="-5"/>
                <w:sz w:val="20"/>
              </w:rPr>
              <w:t>85.</w:t>
            </w:r>
            <w:r>
              <w:rPr>
                <w:sz w:val="20"/>
              </w:rPr>
              <w:tab/>
              <w:t>Adequate</w:t>
            </w:r>
            <w:r>
              <w:rPr>
                <w:spacing w:val="24"/>
                <w:sz w:val="20"/>
              </w:rPr>
              <w:t> </w:t>
            </w:r>
            <w:r>
              <w:rPr>
                <w:sz w:val="20"/>
              </w:rPr>
              <w:t>and</w:t>
            </w:r>
            <w:r>
              <w:rPr>
                <w:spacing w:val="24"/>
                <w:sz w:val="20"/>
              </w:rPr>
              <w:t> </w:t>
            </w:r>
            <w:r>
              <w:rPr>
                <w:sz w:val="20"/>
              </w:rPr>
              <w:t>free</w:t>
            </w:r>
            <w:r>
              <w:rPr>
                <w:spacing w:val="24"/>
                <w:sz w:val="20"/>
              </w:rPr>
              <w:t> </w:t>
            </w:r>
            <w:r>
              <w:rPr>
                <w:sz w:val="20"/>
              </w:rPr>
              <w:t>medical</w:t>
            </w:r>
            <w:r>
              <w:rPr>
                <w:spacing w:val="28"/>
                <w:sz w:val="20"/>
              </w:rPr>
              <w:t> </w:t>
            </w:r>
            <w:r>
              <w:rPr>
                <w:sz w:val="20"/>
              </w:rPr>
              <w:t>care</w:t>
            </w:r>
            <w:r>
              <w:rPr>
                <w:spacing w:val="20"/>
                <w:sz w:val="20"/>
              </w:rPr>
              <w:t> </w:t>
            </w:r>
            <w:r>
              <w:rPr>
                <w:spacing w:val="-5"/>
                <w:sz w:val="20"/>
              </w:rPr>
              <w:t>in</w:t>
            </w:r>
          </w:p>
        </w:tc>
        <w:tc>
          <w:tcPr>
            <w:tcW w:w="1795" w:type="dxa"/>
            <w:tcBorders>
              <w:top w:val="single" w:sz="4" w:space="0" w:color="000000"/>
            </w:tcBorders>
          </w:tcPr>
          <w:p>
            <w:pPr>
              <w:pStyle w:val="TableParagraph"/>
              <w:spacing w:line="208" w:lineRule="exact"/>
              <w:ind w:left="109"/>
              <w:rPr>
                <w:sz w:val="20"/>
              </w:rPr>
            </w:pPr>
            <w:r>
              <w:rPr>
                <w:sz w:val="20"/>
              </w:rPr>
              <w:t>No.</w:t>
            </w:r>
            <w:r>
              <w:rPr>
                <w:spacing w:val="-5"/>
                <w:sz w:val="20"/>
              </w:rPr>
              <w:t> </w:t>
            </w:r>
            <w:r>
              <w:rPr>
                <w:sz w:val="20"/>
              </w:rPr>
              <w:t>of</w:t>
            </w:r>
            <w:r>
              <w:rPr>
                <w:spacing w:val="-2"/>
                <w:sz w:val="20"/>
              </w:rPr>
              <w:t> missing</w:t>
            </w:r>
          </w:p>
        </w:tc>
        <w:tc>
          <w:tcPr>
            <w:tcW w:w="652" w:type="dxa"/>
            <w:tcBorders>
              <w:top w:val="single" w:sz="4" w:space="0" w:color="000000"/>
            </w:tcBorders>
          </w:tcPr>
          <w:p>
            <w:pPr>
              <w:pStyle w:val="TableParagraph"/>
              <w:rPr>
                <w:rFonts w:ascii="Times New Roman"/>
                <w:sz w:val="16"/>
              </w:rPr>
            </w:pPr>
          </w:p>
        </w:tc>
        <w:tc>
          <w:tcPr>
            <w:tcW w:w="831" w:type="dxa"/>
            <w:tcBorders>
              <w:top w:val="single" w:sz="4" w:space="0" w:color="000000"/>
            </w:tcBorders>
          </w:tcPr>
          <w:p>
            <w:pPr>
              <w:pStyle w:val="TableParagraph"/>
              <w:rPr>
                <w:rFonts w:ascii="Times New Roman"/>
                <w:sz w:val="16"/>
              </w:rPr>
            </w:pPr>
          </w:p>
        </w:tc>
        <w:tc>
          <w:tcPr>
            <w:tcW w:w="665" w:type="dxa"/>
            <w:tcBorders>
              <w:top w:val="single" w:sz="4" w:space="0" w:color="000000"/>
            </w:tcBorders>
          </w:tcPr>
          <w:p>
            <w:pPr>
              <w:pStyle w:val="TableParagraph"/>
              <w:rPr>
                <w:rFonts w:ascii="Times New Roman"/>
                <w:sz w:val="16"/>
              </w:rPr>
            </w:pPr>
          </w:p>
        </w:tc>
        <w:tc>
          <w:tcPr>
            <w:tcW w:w="778" w:type="dxa"/>
            <w:tcBorders>
              <w:top w:val="single" w:sz="4" w:space="0" w:color="000000"/>
            </w:tcBorders>
          </w:tcPr>
          <w:p>
            <w:pPr>
              <w:pStyle w:val="TableParagraph"/>
              <w:rPr>
                <w:rFonts w:ascii="Times New Roman"/>
                <w:sz w:val="16"/>
              </w:rPr>
            </w:pPr>
          </w:p>
        </w:tc>
        <w:tc>
          <w:tcPr>
            <w:tcW w:w="687" w:type="dxa"/>
            <w:tcBorders>
              <w:top w:val="single" w:sz="4" w:space="0" w:color="000000"/>
            </w:tcBorders>
          </w:tcPr>
          <w:p>
            <w:pPr>
              <w:pStyle w:val="TableParagraph"/>
              <w:rPr>
                <w:rFonts w:ascii="Times New Roman"/>
                <w:sz w:val="16"/>
              </w:rPr>
            </w:pPr>
          </w:p>
        </w:tc>
        <w:tc>
          <w:tcPr>
            <w:tcW w:w="903" w:type="dxa"/>
            <w:tcBorders>
              <w:top w:val="single" w:sz="4" w:space="0" w:color="000000"/>
            </w:tcBorders>
          </w:tcPr>
          <w:p>
            <w:pPr>
              <w:pStyle w:val="TableParagraph"/>
              <w:rPr>
                <w:rFonts w:ascii="Times New Roman"/>
                <w:sz w:val="16"/>
              </w:rPr>
            </w:pPr>
          </w:p>
        </w:tc>
        <w:tc>
          <w:tcPr>
            <w:tcW w:w="685" w:type="dxa"/>
            <w:tcBorders>
              <w:top w:val="single" w:sz="4" w:space="0" w:color="000000"/>
            </w:tcBorders>
          </w:tcPr>
          <w:p>
            <w:pPr>
              <w:pStyle w:val="TableParagraph"/>
              <w:rPr>
                <w:rFonts w:ascii="Times New Roman"/>
                <w:sz w:val="16"/>
              </w:rPr>
            </w:pPr>
          </w:p>
        </w:tc>
        <w:tc>
          <w:tcPr>
            <w:tcW w:w="800" w:type="dxa"/>
            <w:tcBorders>
              <w:top w:val="single" w:sz="4" w:space="0" w:color="000000"/>
            </w:tcBorders>
          </w:tcPr>
          <w:p>
            <w:pPr>
              <w:pStyle w:val="TableParagraph"/>
              <w:rPr>
                <w:rFonts w:ascii="Times New Roman"/>
                <w:sz w:val="16"/>
              </w:rPr>
            </w:pPr>
          </w:p>
        </w:tc>
        <w:tc>
          <w:tcPr>
            <w:tcW w:w="627" w:type="dxa"/>
            <w:tcBorders>
              <w:top w:val="single" w:sz="4" w:space="0" w:color="000000"/>
            </w:tcBorders>
          </w:tcPr>
          <w:p>
            <w:pPr>
              <w:pStyle w:val="TableParagraph"/>
              <w:rPr>
                <w:rFonts w:ascii="Times New Roman"/>
                <w:sz w:val="16"/>
              </w:rPr>
            </w:pPr>
          </w:p>
        </w:tc>
        <w:tc>
          <w:tcPr>
            <w:tcW w:w="771" w:type="dxa"/>
            <w:tcBorders>
              <w:top w:val="single" w:sz="4" w:space="0" w:color="000000"/>
            </w:tcBorders>
          </w:tcPr>
          <w:p>
            <w:pPr>
              <w:pStyle w:val="TableParagraph"/>
              <w:rPr>
                <w:rFonts w:ascii="Times New Roman"/>
                <w:sz w:val="16"/>
              </w:rPr>
            </w:pPr>
          </w:p>
        </w:tc>
        <w:tc>
          <w:tcPr>
            <w:tcW w:w="692" w:type="dxa"/>
            <w:tcBorders>
              <w:top w:val="single" w:sz="4" w:space="0" w:color="000000"/>
            </w:tcBorders>
          </w:tcPr>
          <w:p>
            <w:pPr>
              <w:pStyle w:val="TableParagraph"/>
              <w:rPr>
                <w:rFonts w:ascii="Times New Roman"/>
                <w:sz w:val="16"/>
              </w:rPr>
            </w:pPr>
          </w:p>
        </w:tc>
        <w:tc>
          <w:tcPr>
            <w:tcW w:w="739" w:type="dxa"/>
            <w:tcBorders>
              <w:top w:val="single" w:sz="4" w:space="0" w:color="000000"/>
              <w:right w:val="single" w:sz="4" w:space="0" w:color="000000"/>
            </w:tcBorders>
          </w:tcPr>
          <w:p>
            <w:pPr>
              <w:pStyle w:val="TableParagraph"/>
              <w:rPr>
                <w:rFonts w:ascii="Times New Roman"/>
                <w:sz w:val="16"/>
              </w:rPr>
            </w:pPr>
          </w:p>
        </w:tc>
      </w:tr>
      <w:tr>
        <w:trPr>
          <w:trHeight w:val="230" w:hRule="atLeast"/>
        </w:trPr>
        <w:tc>
          <w:tcPr>
            <w:tcW w:w="4148" w:type="dxa"/>
            <w:tcBorders>
              <w:left w:val="single" w:sz="4" w:space="0" w:color="000000"/>
            </w:tcBorders>
          </w:tcPr>
          <w:p>
            <w:pPr>
              <w:pStyle w:val="TableParagraph"/>
              <w:spacing w:line="210" w:lineRule="exact"/>
              <w:ind w:right="104"/>
              <w:jc w:val="right"/>
              <w:rPr>
                <w:sz w:val="20"/>
              </w:rPr>
            </w:pPr>
            <w:r>
              <w:rPr>
                <w:sz w:val="20"/>
              </w:rPr>
              <w:t>form</w:t>
            </w:r>
            <w:r>
              <w:rPr>
                <w:spacing w:val="26"/>
                <w:sz w:val="20"/>
              </w:rPr>
              <w:t> </w:t>
            </w:r>
            <w:r>
              <w:rPr>
                <w:sz w:val="20"/>
              </w:rPr>
              <w:t>of</w:t>
            </w:r>
            <w:r>
              <w:rPr>
                <w:spacing w:val="24"/>
                <w:sz w:val="20"/>
              </w:rPr>
              <w:t> </w:t>
            </w:r>
            <w:r>
              <w:rPr>
                <w:sz w:val="20"/>
              </w:rPr>
              <w:t>medical</w:t>
            </w:r>
            <w:r>
              <w:rPr>
                <w:spacing w:val="29"/>
                <w:sz w:val="20"/>
              </w:rPr>
              <w:t> </w:t>
            </w:r>
            <w:r>
              <w:rPr>
                <w:sz w:val="20"/>
              </w:rPr>
              <w:t>examination,</w:t>
            </w:r>
            <w:r>
              <w:rPr>
                <w:spacing w:val="24"/>
                <w:sz w:val="20"/>
              </w:rPr>
              <w:t> </w:t>
            </w:r>
            <w:r>
              <w:rPr>
                <w:spacing w:val="-4"/>
                <w:sz w:val="20"/>
              </w:rPr>
              <w:t>ante-</w:t>
            </w:r>
          </w:p>
        </w:tc>
        <w:tc>
          <w:tcPr>
            <w:tcW w:w="1795" w:type="dxa"/>
          </w:tcPr>
          <w:p>
            <w:pPr>
              <w:pStyle w:val="TableParagraph"/>
              <w:spacing w:line="210" w:lineRule="exact"/>
              <w:ind w:left="109"/>
              <w:rPr>
                <w:sz w:val="20"/>
              </w:rPr>
            </w:pPr>
            <w:r>
              <w:rPr>
                <w:spacing w:val="-2"/>
                <w:sz w:val="20"/>
              </w:rPr>
              <w:t>observations</w:t>
            </w:r>
          </w:p>
        </w:tc>
        <w:tc>
          <w:tcPr>
            <w:tcW w:w="652" w:type="dxa"/>
          </w:tcPr>
          <w:p>
            <w:pPr>
              <w:pStyle w:val="TableParagraph"/>
              <w:spacing w:line="210" w:lineRule="exact"/>
              <w:ind w:left="84" w:right="1"/>
              <w:jc w:val="center"/>
              <w:rPr>
                <w:sz w:val="20"/>
              </w:rPr>
            </w:pPr>
            <w:r>
              <w:rPr>
                <w:spacing w:val="-10"/>
                <w:sz w:val="20"/>
              </w:rPr>
              <w:t>2</w:t>
            </w:r>
          </w:p>
        </w:tc>
        <w:tc>
          <w:tcPr>
            <w:tcW w:w="831" w:type="dxa"/>
          </w:tcPr>
          <w:p>
            <w:pPr>
              <w:pStyle w:val="TableParagraph"/>
              <w:spacing w:line="210" w:lineRule="exact"/>
              <w:ind w:left="40" w:right="5"/>
              <w:jc w:val="center"/>
              <w:rPr>
                <w:sz w:val="20"/>
              </w:rPr>
            </w:pPr>
            <w:r>
              <w:rPr>
                <w:spacing w:val="-2"/>
                <w:sz w:val="20"/>
              </w:rPr>
              <w:t>100.0</w:t>
            </w:r>
          </w:p>
        </w:tc>
        <w:tc>
          <w:tcPr>
            <w:tcW w:w="665" w:type="dxa"/>
          </w:tcPr>
          <w:p>
            <w:pPr>
              <w:pStyle w:val="TableParagraph"/>
              <w:spacing w:line="210" w:lineRule="exact"/>
              <w:ind w:left="3" w:right="23"/>
              <w:jc w:val="center"/>
              <w:rPr>
                <w:sz w:val="20"/>
              </w:rPr>
            </w:pPr>
            <w:r>
              <w:rPr>
                <w:spacing w:val="-10"/>
                <w:sz w:val="20"/>
              </w:rPr>
              <w:t>-</w:t>
            </w:r>
          </w:p>
        </w:tc>
        <w:tc>
          <w:tcPr>
            <w:tcW w:w="778" w:type="dxa"/>
          </w:tcPr>
          <w:p>
            <w:pPr>
              <w:pStyle w:val="TableParagraph"/>
              <w:spacing w:line="210" w:lineRule="exact"/>
              <w:ind w:left="48" w:right="71"/>
              <w:jc w:val="center"/>
              <w:rPr>
                <w:sz w:val="20"/>
              </w:rPr>
            </w:pPr>
            <w:r>
              <w:rPr>
                <w:spacing w:val="-10"/>
                <w:sz w:val="20"/>
              </w:rPr>
              <w:t>-</w:t>
            </w:r>
          </w:p>
        </w:tc>
        <w:tc>
          <w:tcPr>
            <w:tcW w:w="687" w:type="dxa"/>
          </w:tcPr>
          <w:p>
            <w:pPr>
              <w:pStyle w:val="TableParagraph"/>
              <w:spacing w:line="210" w:lineRule="exact"/>
              <w:ind w:left="67" w:right="115"/>
              <w:jc w:val="center"/>
              <w:rPr>
                <w:sz w:val="20"/>
              </w:rPr>
            </w:pPr>
            <w:r>
              <w:rPr>
                <w:spacing w:val="-10"/>
                <w:sz w:val="20"/>
              </w:rPr>
              <w:t>-</w:t>
            </w:r>
          </w:p>
        </w:tc>
        <w:tc>
          <w:tcPr>
            <w:tcW w:w="903" w:type="dxa"/>
          </w:tcPr>
          <w:p>
            <w:pPr>
              <w:pStyle w:val="TableParagraph"/>
              <w:spacing w:line="210" w:lineRule="exact"/>
              <w:ind w:left="13" w:right="12"/>
              <w:jc w:val="center"/>
              <w:rPr>
                <w:sz w:val="20"/>
              </w:rPr>
            </w:pPr>
            <w:r>
              <w:rPr>
                <w:spacing w:val="-10"/>
                <w:sz w:val="20"/>
              </w:rPr>
              <w:t>-</w:t>
            </w:r>
          </w:p>
        </w:tc>
        <w:tc>
          <w:tcPr>
            <w:tcW w:w="685" w:type="dxa"/>
          </w:tcPr>
          <w:p>
            <w:pPr>
              <w:pStyle w:val="TableParagraph"/>
              <w:spacing w:line="210" w:lineRule="exact"/>
              <w:ind w:left="77" w:right="32"/>
              <w:jc w:val="center"/>
              <w:rPr>
                <w:sz w:val="20"/>
              </w:rPr>
            </w:pPr>
            <w:r>
              <w:rPr>
                <w:spacing w:val="-10"/>
                <w:sz w:val="20"/>
              </w:rPr>
              <w:t>-</w:t>
            </w:r>
          </w:p>
        </w:tc>
        <w:tc>
          <w:tcPr>
            <w:tcW w:w="800" w:type="dxa"/>
          </w:tcPr>
          <w:p>
            <w:pPr>
              <w:pStyle w:val="TableParagraph"/>
              <w:spacing w:line="210" w:lineRule="exact"/>
              <w:ind w:left="18" w:right="18"/>
              <w:jc w:val="center"/>
              <w:rPr>
                <w:sz w:val="20"/>
              </w:rPr>
            </w:pPr>
            <w:r>
              <w:rPr>
                <w:spacing w:val="-10"/>
                <w:sz w:val="20"/>
              </w:rPr>
              <w:t>-</w:t>
            </w:r>
          </w:p>
        </w:tc>
        <w:tc>
          <w:tcPr>
            <w:tcW w:w="627" w:type="dxa"/>
          </w:tcPr>
          <w:p>
            <w:pPr>
              <w:pStyle w:val="TableParagraph"/>
              <w:spacing w:line="210" w:lineRule="exact"/>
              <w:ind w:left="23" w:right="27"/>
              <w:jc w:val="center"/>
              <w:rPr>
                <w:sz w:val="20"/>
              </w:rPr>
            </w:pPr>
            <w:r>
              <w:rPr>
                <w:spacing w:val="-10"/>
                <w:sz w:val="20"/>
              </w:rPr>
              <w:t>-</w:t>
            </w:r>
          </w:p>
        </w:tc>
        <w:tc>
          <w:tcPr>
            <w:tcW w:w="771" w:type="dxa"/>
          </w:tcPr>
          <w:p>
            <w:pPr>
              <w:pStyle w:val="TableParagraph"/>
              <w:spacing w:line="210" w:lineRule="exact"/>
              <w:ind w:left="45" w:right="29"/>
              <w:jc w:val="center"/>
              <w:rPr>
                <w:sz w:val="20"/>
              </w:rPr>
            </w:pPr>
            <w:r>
              <w:rPr>
                <w:spacing w:val="-10"/>
                <w:sz w:val="20"/>
              </w:rPr>
              <w:t>-</w:t>
            </w:r>
          </w:p>
        </w:tc>
        <w:tc>
          <w:tcPr>
            <w:tcW w:w="692" w:type="dxa"/>
          </w:tcPr>
          <w:p>
            <w:pPr>
              <w:pStyle w:val="TableParagraph"/>
              <w:spacing w:line="210" w:lineRule="exact"/>
              <w:ind w:left="23" w:right="23"/>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27"/>
              <w:jc w:val="center"/>
              <w:rPr>
                <w:sz w:val="20"/>
              </w:rPr>
            </w:pPr>
            <w:r>
              <w:rPr>
                <w:spacing w:val="-5"/>
                <w:sz w:val="20"/>
              </w:rPr>
              <w:t>0.4</w:t>
            </w:r>
          </w:p>
        </w:tc>
      </w:tr>
      <w:tr>
        <w:trPr>
          <w:trHeight w:val="230" w:hRule="atLeast"/>
        </w:trPr>
        <w:tc>
          <w:tcPr>
            <w:tcW w:w="4148" w:type="dxa"/>
            <w:tcBorders>
              <w:left w:val="single" w:sz="4" w:space="0" w:color="000000"/>
            </w:tcBorders>
          </w:tcPr>
          <w:p>
            <w:pPr>
              <w:pStyle w:val="TableParagraph"/>
              <w:tabs>
                <w:tab w:pos="734" w:val="left" w:leader="none"/>
                <w:tab w:pos="1627" w:val="left" w:leader="none"/>
                <w:tab w:pos="2452" w:val="left" w:leader="none"/>
              </w:tabs>
              <w:spacing w:line="210" w:lineRule="exact"/>
              <w:ind w:right="102"/>
              <w:jc w:val="right"/>
              <w:rPr>
                <w:sz w:val="20"/>
              </w:rPr>
            </w:pPr>
            <w:r>
              <w:rPr>
                <w:spacing w:val="-2"/>
                <w:sz w:val="20"/>
              </w:rPr>
              <w:t>natal</w:t>
            </w:r>
            <w:r>
              <w:rPr>
                <w:sz w:val="20"/>
              </w:rPr>
              <w:tab/>
            </w:r>
            <w:r>
              <w:rPr>
                <w:spacing w:val="-2"/>
                <w:sz w:val="20"/>
              </w:rPr>
              <w:t>clinics,</w:t>
            </w:r>
            <w:r>
              <w:rPr>
                <w:sz w:val="20"/>
              </w:rPr>
              <w:tab/>
            </w:r>
            <w:r>
              <w:rPr>
                <w:spacing w:val="-2"/>
                <w:sz w:val="20"/>
              </w:rPr>
              <w:t>family</w:t>
            </w:r>
            <w:r>
              <w:rPr>
                <w:sz w:val="20"/>
              </w:rPr>
              <w:tab/>
            </w:r>
            <w:r>
              <w:rPr>
                <w:spacing w:val="-2"/>
                <w:sz w:val="20"/>
              </w:rPr>
              <w:t>planning</w:t>
            </w:r>
          </w:p>
        </w:tc>
        <w:tc>
          <w:tcPr>
            <w:tcW w:w="1795" w:type="dxa"/>
          </w:tcPr>
          <w:p>
            <w:pPr>
              <w:pStyle w:val="TableParagraph"/>
              <w:spacing w:line="210" w:lineRule="exact"/>
              <w:ind w:left="109"/>
              <w:rPr>
                <w:sz w:val="20"/>
              </w:rPr>
            </w:pPr>
            <w:r>
              <w:rPr>
                <w:spacing w:val="-2"/>
                <w:sz w:val="20"/>
              </w:rPr>
              <w:t>Students</w:t>
            </w:r>
          </w:p>
        </w:tc>
        <w:tc>
          <w:tcPr>
            <w:tcW w:w="652" w:type="dxa"/>
          </w:tcPr>
          <w:p>
            <w:pPr>
              <w:pStyle w:val="TableParagraph"/>
              <w:spacing w:line="210" w:lineRule="exact"/>
              <w:ind w:left="83" w:right="5"/>
              <w:jc w:val="center"/>
              <w:rPr>
                <w:sz w:val="20"/>
              </w:rPr>
            </w:pPr>
            <w:r>
              <w:rPr>
                <w:spacing w:val="-5"/>
                <w:sz w:val="20"/>
              </w:rPr>
              <w:t>25</w:t>
            </w:r>
          </w:p>
        </w:tc>
        <w:tc>
          <w:tcPr>
            <w:tcW w:w="831" w:type="dxa"/>
          </w:tcPr>
          <w:p>
            <w:pPr>
              <w:pStyle w:val="TableParagraph"/>
              <w:spacing w:line="210" w:lineRule="exact"/>
              <w:ind w:left="40"/>
              <w:jc w:val="center"/>
              <w:rPr>
                <w:sz w:val="20"/>
              </w:rPr>
            </w:pPr>
            <w:r>
              <w:rPr>
                <w:spacing w:val="-4"/>
                <w:sz w:val="20"/>
              </w:rPr>
              <w:t>10.6</w:t>
            </w:r>
          </w:p>
        </w:tc>
        <w:tc>
          <w:tcPr>
            <w:tcW w:w="665" w:type="dxa"/>
          </w:tcPr>
          <w:p>
            <w:pPr>
              <w:pStyle w:val="TableParagraph"/>
              <w:spacing w:line="210" w:lineRule="exact"/>
              <w:ind w:left="5" w:right="23"/>
              <w:jc w:val="center"/>
              <w:rPr>
                <w:sz w:val="20"/>
              </w:rPr>
            </w:pPr>
            <w:r>
              <w:rPr>
                <w:spacing w:val="-5"/>
                <w:sz w:val="20"/>
              </w:rPr>
              <w:t>50</w:t>
            </w:r>
          </w:p>
        </w:tc>
        <w:tc>
          <w:tcPr>
            <w:tcW w:w="778" w:type="dxa"/>
          </w:tcPr>
          <w:p>
            <w:pPr>
              <w:pStyle w:val="TableParagraph"/>
              <w:spacing w:line="210" w:lineRule="exact"/>
              <w:ind w:left="55" w:right="71"/>
              <w:jc w:val="center"/>
              <w:rPr>
                <w:sz w:val="20"/>
              </w:rPr>
            </w:pPr>
            <w:r>
              <w:rPr>
                <w:spacing w:val="-4"/>
                <w:sz w:val="20"/>
              </w:rPr>
              <w:t>21.3</w:t>
            </w:r>
          </w:p>
        </w:tc>
        <w:tc>
          <w:tcPr>
            <w:tcW w:w="687" w:type="dxa"/>
          </w:tcPr>
          <w:p>
            <w:pPr>
              <w:pStyle w:val="TableParagraph"/>
              <w:spacing w:line="210" w:lineRule="exact"/>
              <w:ind w:left="67" w:right="113"/>
              <w:jc w:val="center"/>
              <w:rPr>
                <w:sz w:val="20"/>
              </w:rPr>
            </w:pPr>
            <w:r>
              <w:rPr>
                <w:spacing w:val="-5"/>
                <w:sz w:val="20"/>
              </w:rPr>
              <w:t>39</w:t>
            </w:r>
          </w:p>
        </w:tc>
        <w:tc>
          <w:tcPr>
            <w:tcW w:w="903" w:type="dxa"/>
          </w:tcPr>
          <w:p>
            <w:pPr>
              <w:pStyle w:val="TableParagraph"/>
              <w:spacing w:line="210" w:lineRule="exact"/>
              <w:ind w:left="13" w:right="6"/>
              <w:jc w:val="center"/>
              <w:rPr>
                <w:sz w:val="20"/>
              </w:rPr>
            </w:pPr>
            <w:r>
              <w:rPr>
                <w:spacing w:val="-4"/>
                <w:sz w:val="20"/>
              </w:rPr>
              <w:t>16.6</w:t>
            </w:r>
          </w:p>
        </w:tc>
        <w:tc>
          <w:tcPr>
            <w:tcW w:w="685" w:type="dxa"/>
          </w:tcPr>
          <w:p>
            <w:pPr>
              <w:pStyle w:val="TableParagraph"/>
              <w:spacing w:line="210" w:lineRule="exact"/>
              <w:ind w:left="79" w:right="32"/>
              <w:jc w:val="center"/>
              <w:rPr>
                <w:sz w:val="20"/>
              </w:rPr>
            </w:pPr>
            <w:r>
              <w:rPr>
                <w:spacing w:val="-5"/>
                <w:sz w:val="20"/>
              </w:rPr>
              <w:t>65</w:t>
            </w:r>
          </w:p>
        </w:tc>
        <w:tc>
          <w:tcPr>
            <w:tcW w:w="800" w:type="dxa"/>
          </w:tcPr>
          <w:p>
            <w:pPr>
              <w:pStyle w:val="TableParagraph"/>
              <w:spacing w:line="210" w:lineRule="exact"/>
              <w:ind w:left="18" w:right="12"/>
              <w:jc w:val="center"/>
              <w:rPr>
                <w:sz w:val="20"/>
              </w:rPr>
            </w:pPr>
            <w:r>
              <w:rPr>
                <w:spacing w:val="-4"/>
                <w:sz w:val="20"/>
              </w:rPr>
              <w:t>27.7</w:t>
            </w:r>
          </w:p>
        </w:tc>
        <w:tc>
          <w:tcPr>
            <w:tcW w:w="627" w:type="dxa"/>
          </w:tcPr>
          <w:p>
            <w:pPr>
              <w:pStyle w:val="TableParagraph"/>
              <w:spacing w:line="210" w:lineRule="exact"/>
              <w:ind w:left="23" w:right="25"/>
              <w:jc w:val="center"/>
              <w:rPr>
                <w:sz w:val="20"/>
              </w:rPr>
            </w:pPr>
            <w:r>
              <w:rPr>
                <w:spacing w:val="-5"/>
                <w:sz w:val="20"/>
              </w:rPr>
              <w:t>56</w:t>
            </w:r>
          </w:p>
        </w:tc>
        <w:tc>
          <w:tcPr>
            <w:tcW w:w="771" w:type="dxa"/>
          </w:tcPr>
          <w:p>
            <w:pPr>
              <w:pStyle w:val="TableParagraph"/>
              <w:spacing w:line="210" w:lineRule="exact"/>
              <w:ind w:left="45" w:right="22"/>
              <w:jc w:val="center"/>
              <w:rPr>
                <w:sz w:val="20"/>
              </w:rPr>
            </w:pPr>
            <w:r>
              <w:rPr>
                <w:spacing w:val="-4"/>
                <w:sz w:val="20"/>
              </w:rPr>
              <w:t>23.8</w:t>
            </w:r>
          </w:p>
        </w:tc>
        <w:tc>
          <w:tcPr>
            <w:tcW w:w="692" w:type="dxa"/>
          </w:tcPr>
          <w:p>
            <w:pPr>
              <w:pStyle w:val="TableParagraph"/>
              <w:spacing w:line="210" w:lineRule="exact"/>
              <w:ind w:left="23" w:right="30"/>
              <w:jc w:val="center"/>
              <w:rPr>
                <w:sz w:val="20"/>
              </w:rPr>
            </w:pPr>
            <w:r>
              <w:rPr>
                <w:spacing w:val="-5"/>
                <w:sz w:val="20"/>
              </w:rPr>
              <w:t>235</w:t>
            </w:r>
          </w:p>
        </w:tc>
        <w:tc>
          <w:tcPr>
            <w:tcW w:w="739" w:type="dxa"/>
            <w:tcBorders>
              <w:right w:val="single" w:sz="4" w:space="0" w:color="000000"/>
            </w:tcBorders>
          </w:tcPr>
          <w:p>
            <w:pPr>
              <w:pStyle w:val="TableParagraph"/>
              <w:spacing w:line="210" w:lineRule="exact"/>
              <w:ind w:left="36" w:right="22"/>
              <w:jc w:val="center"/>
              <w:rPr>
                <w:sz w:val="20"/>
              </w:rPr>
            </w:pPr>
            <w:r>
              <w:rPr>
                <w:spacing w:val="-4"/>
                <w:sz w:val="20"/>
              </w:rPr>
              <w:t>50.8</w:t>
            </w:r>
          </w:p>
        </w:tc>
      </w:tr>
      <w:tr>
        <w:trPr>
          <w:trHeight w:val="230" w:hRule="atLeast"/>
        </w:trPr>
        <w:tc>
          <w:tcPr>
            <w:tcW w:w="4148" w:type="dxa"/>
            <w:tcBorders>
              <w:left w:val="single" w:sz="4" w:space="0" w:color="000000"/>
            </w:tcBorders>
          </w:tcPr>
          <w:p>
            <w:pPr>
              <w:pStyle w:val="TableParagraph"/>
              <w:spacing w:line="210" w:lineRule="exact"/>
              <w:ind w:right="107"/>
              <w:jc w:val="right"/>
              <w:rPr>
                <w:sz w:val="20"/>
              </w:rPr>
            </w:pPr>
            <w:r>
              <w:rPr>
                <w:sz w:val="20"/>
              </w:rPr>
              <w:t>services,</w:t>
            </w:r>
            <w:r>
              <w:rPr>
                <w:spacing w:val="5"/>
                <w:sz w:val="20"/>
              </w:rPr>
              <w:t> </w:t>
            </w:r>
            <w:r>
              <w:rPr>
                <w:sz w:val="20"/>
              </w:rPr>
              <w:t>first</w:t>
            </w:r>
            <w:r>
              <w:rPr>
                <w:spacing w:val="10"/>
                <w:sz w:val="20"/>
              </w:rPr>
              <w:t> </w:t>
            </w:r>
            <w:r>
              <w:rPr>
                <w:sz w:val="20"/>
              </w:rPr>
              <w:t>aid</w:t>
            </w:r>
            <w:r>
              <w:rPr>
                <w:spacing w:val="6"/>
                <w:sz w:val="20"/>
              </w:rPr>
              <w:t> </w:t>
            </w:r>
            <w:r>
              <w:rPr>
                <w:sz w:val="20"/>
              </w:rPr>
              <w:t>and</w:t>
            </w:r>
            <w:r>
              <w:rPr>
                <w:spacing w:val="7"/>
                <w:sz w:val="20"/>
              </w:rPr>
              <w:t> </w:t>
            </w:r>
            <w:r>
              <w:rPr>
                <w:sz w:val="20"/>
              </w:rPr>
              <w:t>other</w:t>
            </w:r>
            <w:r>
              <w:rPr>
                <w:spacing w:val="9"/>
                <w:sz w:val="20"/>
              </w:rPr>
              <w:t> </w:t>
            </w:r>
            <w:r>
              <w:rPr>
                <w:spacing w:val="-2"/>
                <w:sz w:val="20"/>
              </w:rPr>
              <w:t>medical</w:t>
            </w:r>
          </w:p>
        </w:tc>
        <w:tc>
          <w:tcPr>
            <w:tcW w:w="1795" w:type="dxa"/>
          </w:tcPr>
          <w:p>
            <w:pPr>
              <w:pStyle w:val="TableParagraph"/>
              <w:spacing w:line="210" w:lineRule="exact"/>
              <w:ind w:left="109"/>
              <w:rPr>
                <w:sz w:val="20"/>
              </w:rPr>
            </w:pPr>
            <w:r>
              <w:rPr>
                <w:sz w:val="20"/>
              </w:rPr>
              <w:t>Service</w:t>
            </w:r>
            <w:r>
              <w:rPr>
                <w:spacing w:val="-9"/>
                <w:sz w:val="20"/>
              </w:rPr>
              <w:t> </w:t>
            </w:r>
            <w:r>
              <w:rPr>
                <w:spacing w:val="-2"/>
                <w:sz w:val="20"/>
              </w:rPr>
              <w:t>Staff</w:t>
            </w:r>
          </w:p>
        </w:tc>
        <w:tc>
          <w:tcPr>
            <w:tcW w:w="652" w:type="dxa"/>
          </w:tcPr>
          <w:p>
            <w:pPr>
              <w:pStyle w:val="TableParagraph"/>
              <w:spacing w:line="210" w:lineRule="exact"/>
              <w:ind w:left="83" w:right="5"/>
              <w:jc w:val="center"/>
              <w:rPr>
                <w:sz w:val="20"/>
              </w:rPr>
            </w:pPr>
            <w:r>
              <w:rPr>
                <w:spacing w:val="-5"/>
                <w:sz w:val="20"/>
              </w:rPr>
              <w:t>26</w:t>
            </w:r>
          </w:p>
        </w:tc>
        <w:tc>
          <w:tcPr>
            <w:tcW w:w="831" w:type="dxa"/>
          </w:tcPr>
          <w:p>
            <w:pPr>
              <w:pStyle w:val="TableParagraph"/>
              <w:spacing w:line="210" w:lineRule="exact"/>
              <w:ind w:left="40"/>
              <w:jc w:val="center"/>
              <w:rPr>
                <w:sz w:val="20"/>
              </w:rPr>
            </w:pPr>
            <w:r>
              <w:rPr>
                <w:spacing w:val="-4"/>
                <w:sz w:val="20"/>
              </w:rPr>
              <w:t>12.8</w:t>
            </w:r>
          </w:p>
        </w:tc>
        <w:tc>
          <w:tcPr>
            <w:tcW w:w="665" w:type="dxa"/>
          </w:tcPr>
          <w:p>
            <w:pPr>
              <w:pStyle w:val="TableParagraph"/>
              <w:spacing w:line="210" w:lineRule="exact"/>
              <w:ind w:left="5" w:right="23"/>
              <w:jc w:val="center"/>
              <w:rPr>
                <w:sz w:val="20"/>
              </w:rPr>
            </w:pPr>
            <w:r>
              <w:rPr>
                <w:spacing w:val="-5"/>
                <w:sz w:val="20"/>
              </w:rPr>
              <w:t>58</w:t>
            </w:r>
          </w:p>
        </w:tc>
        <w:tc>
          <w:tcPr>
            <w:tcW w:w="778" w:type="dxa"/>
          </w:tcPr>
          <w:p>
            <w:pPr>
              <w:pStyle w:val="TableParagraph"/>
              <w:spacing w:line="210" w:lineRule="exact"/>
              <w:ind w:left="55" w:right="71"/>
              <w:jc w:val="center"/>
              <w:rPr>
                <w:sz w:val="20"/>
              </w:rPr>
            </w:pPr>
            <w:r>
              <w:rPr>
                <w:spacing w:val="-4"/>
                <w:sz w:val="20"/>
              </w:rPr>
              <w:t>28.6</w:t>
            </w:r>
          </w:p>
        </w:tc>
        <w:tc>
          <w:tcPr>
            <w:tcW w:w="687" w:type="dxa"/>
          </w:tcPr>
          <w:p>
            <w:pPr>
              <w:pStyle w:val="TableParagraph"/>
              <w:spacing w:line="210" w:lineRule="exact"/>
              <w:ind w:left="67" w:right="113"/>
              <w:jc w:val="center"/>
              <w:rPr>
                <w:sz w:val="20"/>
              </w:rPr>
            </w:pPr>
            <w:r>
              <w:rPr>
                <w:spacing w:val="-5"/>
                <w:sz w:val="20"/>
              </w:rPr>
              <w:t>31</w:t>
            </w:r>
          </w:p>
        </w:tc>
        <w:tc>
          <w:tcPr>
            <w:tcW w:w="903" w:type="dxa"/>
          </w:tcPr>
          <w:p>
            <w:pPr>
              <w:pStyle w:val="TableParagraph"/>
              <w:spacing w:line="210" w:lineRule="exact"/>
              <w:ind w:left="13" w:right="6"/>
              <w:jc w:val="center"/>
              <w:rPr>
                <w:sz w:val="20"/>
              </w:rPr>
            </w:pPr>
            <w:r>
              <w:rPr>
                <w:spacing w:val="-4"/>
                <w:sz w:val="20"/>
              </w:rPr>
              <w:t>15.3</w:t>
            </w:r>
          </w:p>
        </w:tc>
        <w:tc>
          <w:tcPr>
            <w:tcW w:w="685" w:type="dxa"/>
          </w:tcPr>
          <w:p>
            <w:pPr>
              <w:pStyle w:val="TableParagraph"/>
              <w:spacing w:line="210" w:lineRule="exact"/>
              <w:ind w:left="79" w:right="32"/>
              <w:jc w:val="center"/>
              <w:rPr>
                <w:sz w:val="20"/>
              </w:rPr>
            </w:pPr>
            <w:r>
              <w:rPr>
                <w:spacing w:val="-5"/>
                <w:sz w:val="20"/>
              </w:rPr>
              <w:t>69</w:t>
            </w:r>
          </w:p>
        </w:tc>
        <w:tc>
          <w:tcPr>
            <w:tcW w:w="800" w:type="dxa"/>
          </w:tcPr>
          <w:p>
            <w:pPr>
              <w:pStyle w:val="TableParagraph"/>
              <w:spacing w:line="210" w:lineRule="exact"/>
              <w:ind w:left="18" w:right="12"/>
              <w:jc w:val="center"/>
              <w:rPr>
                <w:sz w:val="20"/>
              </w:rPr>
            </w:pPr>
            <w:r>
              <w:rPr>
                <w:spacing w:val="-4"/>
                <w:sz w:val="20"/>
              </w:rPr>
              <w:t>34.0</w:t>
            </w:r>
          </w:p>
        </w:tc>
        <w:tc>
          <w:tcPr>
            <w:tcW w:w="627" w:type="dxa"/>
          </w:tcPr>
          <w:p>
            <w:pPr>
              <w:pStyle w:val="TableParagraph"/>
              <w:spacing w:line="210" w:lineRule="exact"/>
              <w:ind w:left="23" w:right="25"/>
              <w:jc w:val="center"/>
              <w:rPr>
                <w:sz w:val="20"/>
              </w:rPr>
            </w:pPr>
            <w:r>
              <w:rPr>
                <w:spacing w:val="-5"/>
                <w:sz w:val="20"/>
              </w:rPr>
              <w:t>19</w:t>
            </w:r>
          </w:p>
        </w:tc>
        <w:tc>
          <w:tcPr>
            <w:tcW w:w="771" w:type="dxa"/>
          </w:tcPr>
          <w:p>
            <w:pPr>
              <w:pStyle w:val="TableParagraph"/>
              <w:spacing w:line="210" w:lineRule="exact"/>
              <w:ind w:left="45" w:right="27"/>
              <w:jc w:val="center"/>
              <w:rPr>
                <w:sz w:val="20"/>
              </w:rPr>
            </w:pPr>
            <w:r>
              <w:rPr>
                <w:spacing w:val="-5"/>
                <w:sz w:val="20"/>
              </w:rPr>
              <w:t>9.4</w:t>
            </w:r>
          </w:p>
        </w:tc>
        <w:tc>
          <w:tcPr>
            <w:tcW w:w="692" w:type="dxa"/>
          </w:tcPr>
          <w:p>
            <w:pPr>
              <w:pStyle w:val="TableParagraph"/>
              <w:spacing w:line="210" w:lineRule="exact"/>
              <w:ind w:left="23" w:right="30"/>
              <w:jc w:val="center"/>
              <w:rPr>
                <w:sz w:val="20"/>
              </w:rPr>
            </w:pPr>
            <w:r>
              <w:rPr>
                <w:spacing w:val="-5"/>
                <w:sz w:val="20"/>
              </w:rPr>
              <w:t>203</w:t>
            </w:r>
          </w:p>
        </w:tc>
        <w:tc>
          <w:tcPr>
            <w:tcW w:w="739" w:type="dxa"/>
            <w:tcBorders>
              <w:right w:val="single" w:sz="4" w:space="0" w:color="000000"/>
            </w:tcBorders>
          </w:tcPr>
          <w:p>
            <w:pPr>
              <w:pStyle w:val="TableParagraph"/>
              <w:spacing w:line="210" w:lineRule="exact"/>
              <w:ind w:left="36" w:right="22"/>
              <w:jc w:val="center"/>
              <w:rPr>
                <w:sz w:val="20"/>
              </w:rPr>
            </w:pPr>
            <w:r>
              <w:rPr>
                <w:spacing w:val="-4"/>
                <w:sz w:val="20"/>
              </w:rPr>
              <w:t>43.8</w:t>
            </w:r>
          </w:p>
        </w:tc>
      </w:tr>
      <w:tr>
        <w:trPr>
          <w:trHeight w:val="518" w:hRule="atLeast"/>
        </w:trPr>
        <w:tc>
          <w:tcPr>
            <w:tcW w:w="4148" w:type="dxa"/>
            <w:tcBorders>
              <w:left w:val="single" w:sz="4" w:space="0" w:color="000000"/>
            </w:tcBorders>
          </w:tcPr>
          <w:p>
            <w:pPr>
              <w:pStyle w:val="TableParagraph"/>
              <w:ind w:left="830" w:right="11"/>
              <w:rPr>
                <w:sz w:val="20"/>
              </w:rPr>
            </w:pPr>
            <w:r>
              <w:rPr>
                <w:sz w:val="20"/>
              </w:rPr>
              <w:t>aids</w:t>
            </w:r>
            <w:r>
              <w:rPr>
                <w:spacing w:val="-9"/>
                <w:sz w:val="20"/>
              </w:rPr>
              <w:t> </w:t>
            </w:r>
            <w:r>
              <w:rPr>
                <w:sz w:val="20"/>
              </w:rPr>
              <w:t>with</w:t>
            </w:r>
            <w:r>
              <w:rPr>
                <w:spacing w:val="-6"/>
                <w:sz w:val="20"/>
              </w:rPr>
              <w:t> </w:t>
            </w:r>
            <w:r>
              <w:rPr>
                <w:sz w:val="20"/>
              </w:rPr>
              <w:t>broad</w:t>
            </w:r>
            <w:r>
              <w:rPr>
                <w:spacing w:val="-6"/>
                <w:sz w:val="20"/>
              </w:rPr>
              <w:t> </w:t>
            </w:r>
            <w:r>
              <w:rPr>
                <w:sz w:val="20"/>
              </w:rPr>
              <w:t>based</w:t>
            </w:r>
            <w:r>
              <w:rPr>
                <w:spacing w:val="-6"/>
                <w:sz w:val="20"/>
              </w:rPr>
              <w:t> </w:t>
            </w:r>
            <w:r>
              <w:rPr>
                <w:sz w:val="20"/>
              </w:rPr>
              <w:t>services</w:t>
            </w:r>
            <w:r>
              <w:rPr>
                <w:spacing w:val="-9"/>
                <w:sz w:val="20"/>
              </w:rPr>
              <w:t> </w:t>
            </w:r>
            <w:r>
              <w:rPr>
                <w:sz w:val="20"/>
              </w:rPr>
              <w:t>exist in the University campuses.</w:t>
            </w:r>
          </w:p>
        </w:tc>
        <w:tc>
          <w:tcPr>
            <w:tcW w:w="1795" w:type="dxa"/>
          </w:tcPr>
          <w:p>
            <w:pPr>
              <w:pStyle w:val="TableParagraph"/>
              <w:spacing w:before="26"/>
              <w:ind w:left="109"/>
              <w:rPr>
                <w:sz w:val="20"/>
              </w:rPr>
            </w:pPr>
            <w:r>
              <w:rPr>
                <w:sz w:val="20"/>
              </w:rPr>
              <w:t>Top</w:t>
            </w:r>
            <w:r>
              <w:rPr>
                <w:spacing w:val="-1"/>
                <w:sz w:val="20"/>
              </w:rPr>
              <w:t> </w:t>
            </w:r>
            <w:r>
              <w:rPr>
                <w:spacing w:val="-2"/>
                <w:sz w:val="20"/>
              </w:rPr>
              <w:t>Management</w:t>
            </w:r>
          </w:p>
        </w:tc>
        <w:tc>
          <w:tcPr>
            <w:tcW w:w="652" w:type="dxa"/>
          </w:tcPr>
          <w:p>
            <w:pPr>
              <w:pStyle w:val="TableParagraph"/>
              <w:spacing w:before="26"/>
              <w:ind w:left="84" w:right="1"/>
              <w:jc w:val="center"/>
              <w:rPr>
                <w:sz w:val="20"/>
              </w:rPr>
            </w:pPr>
            <w:r>
              <w:rPr>
                <w:spacing w:val="-10"/>
                <w:sz w:val="20"/>
              </w:rPr>
              <w:t>3</w:t>
            </w:r>
          </w:p>
        </w:tc>
        <w:tc>
          <w:tcPr>
            <w:tcW w:w="831" w:type="dxa"/>
          </w:tcPr>
          <w:p>
            <w:pPr>
              <w:pStyle w:val="TableParagraph"/>
              <w:spacing w:before="26"/>
              <w:ind w:left="40"/>
              <w:jc w:val="center"/>
              <w:rPr>
                <w:sz w:val="20"/>
              </w:rPr>
            </w:pPr>
            <w:r>
              <w:rPr>
                <w:spacing w:val="-4"/>
                <w:sz w:val="20"/>
              </w:rPr>
              <w:t>13.0</w:t>
            </w:r>
          </w:p>
        </w:tc>
        <w:tc>
          <w:tcPr>
            <w:tcW w:w="665" w:type="dxa"/>
          </w:tcPr>
          <w:p>
            <w:pPr>
              <w:pStyle w:val="TableParagraph"/>
              <w:spacing w:before="26"/>
              <w:ind w:left="10" w:right="23"/>
              <w:jc w:val="center"/>
              <w:rPr>
                <w:sz w:val="20"/>
              </w:rPr>
            </w:pPr>
            <w:r>
              <w:rPr>
                <w:spacing w:val="-10"/>
                <w:sz w:val="20"/>
              </w:rPr>
              <w:t>8</w:t>
            </w:r>
          </w:p>
        </w:tc>
        <w:tc>
          <w:tcPr>
            <w:tcW w:w="778" w:type="dxa"/>
          </w:tcPr>
          <w:p>
            <w:pPr>
              <w:pStyle w:val="TableParagraph"/>
              <w:spacing w:before="26"/>
              <w:ind w:left="55" w:right="71"/>
              <w:jc w:val="center"/>
              <w:rPr>
                <w:sz w:val="20"/>
              </w:rPr>
            </w:pPr>
            <w:r>
              <w:rPr>
                <w:spacing w:val="-4"/>
                <w:sz w:val="20"/>
              </w:rPr>
              <w:t>34.8</w:t>
            </w:r>
          </w:p>
        </w:tc>
        <w:tc>
          <w:tcPr>
            <w:tcW w:w="687" w:type="dxa"/>
          </w:tcPr>
          <w:p>
            <w:pPr>
              <w:pStyle w:val="TableParagraph"/>
              <w:spacing w:before="26"/>
              <w:ind w:left="67" w:right="108"/>
              <w:jc w:val="center"/>
              <w:rPr>
                <w:sz w:val="20"/>
              </w:rPr>
            </w:pPr>
            <w:r>
              <w:rPr>
                <w:spacing w:val="-10"/>
                <w:sz w:val="20"/>
              </w:rPr>
              <w:t>5</w:t>
            </w:r>
          </w:p>
        </w:tc>
        <w:tc>
          <w:tcPr>
            <w:tcW w:w="903" w:type="dxa"/>
          </w:tcPr>
          <w:p>
            <w:pPr>
              <w:pStyle w:val="TableParagraph"/>
              <w:spacing w:before="26"/>
              <w:ind w:left="13" w:right="6"/>
              <w:jc w:val="center"/>
              <w:rPr>
                <w:sz w:val="20"/>
              </w:rPr>
            </w:pPr>
            <w:r>
              <w:rPr>
                <w:spacing w:val="-4"/>
                <w:sz w:val="20"/>
              </w:rPr>
              <w:t>21.7</w:t>
            </w:r>
          </w:p>
        </w:tc>
        <w:tc>
          <w:tcPr>
            <w:tcW w:w="685" w:type="dxa"/>
          </w:tcPr>
          <w:p>
            <w:pPr>
              <w:pStyle w:val="TableParagraph"/>
              <w:spacing w:before="26"/>
              <w:ind w:left="83" w:right="32"/>
              <w:jc w:val="center"/>
              <w:rPr>
                <w:sz w:val="20"/>
              </w:rPr>
            </w:pPr>
            <w:r>
              <w:rPr>
                <w:spacing w:val="-10"/>
                <w:sz w:val="20"/>
              </w:rPr>
              <w:t>4</w:t>
            </w:r>
          </w:p>
        </w:tc>
        <w:tc>
          <w:tcPr>
            <w:tcW w:w="800" w:type="dxa"/>
          </w:tcPr>
          <w:p>
            <w:pPr>
              <w:pStyle w:val="TableParagraph"/>
              <w:spacing w:before="26"/>
              <w:ind w:left="18" w:right="12"/>
              <w:jc w:val="center"/>
              <w:rPr>
                <w:sz w:val="20"/>
              </w:rPr>
            </w:pPr>
            <w:r>
              <w:rPr>
                <w:spacing w:val="-4"/>
                <w:sz w:val="20"/>
              </w:rPr>
              <w:t>17.4</w:t>
            </w:r>
          </w:p>
        </w:tc>
        <w:tc>
          <w:tcPr>
            <w:tcW w:w="627" w:type="dxa"/>
          </w:tcPr>
          <w:p>
            <w:pPr>
              <w:pStyle w:val="TableParagraph"/>
              <w:spacing w:before="26"/>
              <w:ind w:left="23" w:right="23"/>
              <w:jc w:val="center"/>
              <w:rPr>
                <w:sz w:val="20"/>
              </w:rPr>
            </w:pPr>
            <w:r>
              <w:rPr>
                <w:spacing w:val="-10"/>
                <w:sz w:val="20"/>
              </w:rPr>
              <w:t>3</w:t>
            </w:r>
          </w:p>
        </w:tc>
        <w:tc>
          <w:tcPr>
            <w:tcW w:w="771" w:type="dxa"/>
          </w:tcPr>
          <w:p>
            <w:pPr>
              <w:pStyle w:val="TableParagraph"/>
              <w:spacing w:before="26"/>
              <w:ind w:left="45" w:right="22"/>
              <w:jc w:val="center"/>
              <w:rPr>
                <w:sz w:val="20"/>
              </w:rPr>
            </w:pPr>
            <w:r>
              <w:rPr>
                <w:spacing w:val="-4"/>
                <w:sz w:val="20"/>
              </w:rPr>
              <w:t>13.0</w:t>
            </w:r>
          </w:p>
        </w:tc>
        <w:tc>
          <w:tcPr>
            <w:tcW w:w="692" w:type="dxa"/>
          </w:tcPr>
          <w:p>
            <w:pPr>
              <w:pStyle w:val="TableParagraph"/>
              <w:spacing w:before="26"/>
              <w:ind w:left="23" w:right="25"/>
              <w:jc w:val="center"/>
              <w:rPr>
                <w:sz w:val="20"/>
              </w:rPr>
            </w:pPr>
            <w:r>
              <w:rPr>
                <w:spacing w:val="-5"/>
                <w:sz w:val="20"/>
              </w:rPr>
              <w:t>23</w:t>
            </w:r>
          </w:p>
        </w:tc>
        <w:tc>
          <w:tcPr>
            <w:tcW w:w="739" w:type="dxa"/>
            <w:tcBorders>
              <w:right w:val="single" w:sz="4" w:space="0" w:color="000000"/>
            </w:tcBorders>
          </w:tcPr>
          <w:p>
            <w:pPr>
              <w:pStyle w:val="TableParagraph"/>
              <w:spacing w:before="26"/>
              <w:ind w:left="36" w:right="27"/>
              <w:jc w:val="center"/>
              <w:rPr>
                <w:sz w:val="20"/>
              </w:rPr>
            </w:pPr>
            <w:r>
              <w:rPr>
                <w:spacing w:val="-5"/>
                <w:sz w:val="20"/>
              </w:rPr>
              <w:t>5.0</w:t>
            </w:r>
          </w:p>
        </w:tc>
      </w:tr>
      <w:tr>
        <w:trPr>
          <w:trHeight w:val="288" w:hRule="atLeast"/>
        </w:trPr>
        <w:tc>
          <w:tcPr>
            <w:tcW w:w="4148" w:type="dxa"/>
            <w:tcBorders>
              <w:left w:val="single" w:sz="4" w:space="0" w:color="000000"/>
            </w:tcBorders>
          </w:tcPr>
          <w:p>
            <w:pPr>
              <w:pStyle w:val="TableParagraph"/>
              <w:tabs>
                <w:tab w:pos="609" w:val="left" w:leader="none"/>
                <w:tab w:pos="1223" w:val="left" w:leader="none"/>
                <w:tab w:pos="2188" w:val="left" w:leader="none"/>
                <w:tab w:pos="3110" w:val="left" w:leader="none"/>
                <w:tab w:pos="3537" w:val="left" w:leader="none"/>
              </w:tabs>
              <w:spacing w:line="213" w:lineRule="exact" w:before="55"/>
              <w:ind w:right="102"/>
              <w:jc w:val="right"/>
              <w:rPr>
                <w:sz w:val="20"/>
              </w:rPr>
            </w:pPr>
            <w:r>
              <w:rPr>
                <w:spacing w:val="-5"/>
                <w:sz w:val="20"/>
              </w:rPr>
              <w:t>86.</w:t>
            </w:r>
            <w:r>
              <w:rPr>
                <w:sz w:val="20"/>
              </w:rPr>
              <w:tab/>
            </w:r>
            <w:r>
              <w:rPr>
                <w:spacing w:val="-5"/>
                <w:sz w:val="20"/>
              </w:rPr>
              <w:t>The</w:t>
            </w:r>
            <w:r>
              <w:rPr>
                <w:sz w:val="20"/>
              </w:rPr>
              <w:tab/>
            </w:r>
            <w:r>
              <w:rPr>
                <w:spacing w:val="-2"/>
                <w:sz w:val="20"/>
              </w:rPr>
              <w:t>medical</w:t>
            </w:r>
            <w:r>
              <w:rPr>
                <w:sz w:val="20"/>
              </w:rPr>
              <w:tab/>
            </w:r>
            <w:r>
              <w:rPr>
                <w:spacing w:val="-2"/>
                <w:sz w:val="20"/>
              </w:rPr>
              <w:t>centers</w:t>
            </w:r>
            <w:r>
              <w:rPr>
                <w:sz w:val="20"/>
              </w:rPr>
              <w:tab/>
            </w:r>
            <w:r>
              <w:rPr>
                <w:spacing w:val="-5"/>
                <w:sz w:val="20"/>
              </w:rPr>
              <w:t>in</w:t>
            </w:r>
            <w:r>
              <w:rPr>
                <w:sz w:val="20"/>
              </w:rPr>
              <w:tab/>
            </w:r>
            <w:r>
              <w:rPr>
                <w:spacing w:val="-5"/>
                <w:sz w:val="20"/>
              </w:rPr>
              <w:t>the</w:t>
            </w:r>
          </w:p>
        </w:tc>
        <w:tc>
          <w:tcPr>
            <w:tcW w:w="1795" w:type="dxa"/>
          </w:tcPr>
          <w:p>
            <w:pPr>
              <w:pStyle w:val="TableParagraph"/>
              <w:spacing w:line="213" w:lineRule="exact" w:before="55"/>
              <w:ind w:left="109"/>
              <w:rPr>
                <w:sz w:val="20"/>
              </w:rPr>
            </w:pPr>
            <w:r>
              <w:rPr>
                <w:sz w:val="20"/>
              </w:rPr>
              <w:t>No.</w:t>
            </w:r>
            <w:r>
              <w:rPr>
                <w:spacing w:val="-5"/>
                <w:sz w:val="20"/>
              </w:rPr>
              <w:t> </w:t>
            </w:r>
            <w:r>
              <w:rPr>
                <w:sz w:val="20"/>
              </w:rPr>
              <w:t>of</w:t>
            </w:r>
            <w:r>
              <w:rPr>
                <w:spacing w:val="-2"/>
                <w:sz w:val="20"/>
              </w:rPr>
              <w:t> missing</w:t>
            </w:r>
          </w:p>
        </w:tc>
        <w:tc>
          <w:tcPr>
            <w:tcW w:w="652" w:type="dxa"/>
          </w:tcPr>
          <w:p>
            <w:pPr>
              <w:pStyle w:val="TableParagraph"/>
              <w:rPr>
                <w:rFonts w:ascii="Times New Roman"/>
                <w:sz w:val="20"/>
              </w:rPr>
            </w:pPr>
          </w:p>
        </w:tc>
        <w:tc>
          <w:tcPr>
            <w:tcW w:w="831" w:type="dxa"/>
          </w:tcPr>
          <w:p>
            <w:pPr>
              <w:pStyle w:val="TableParagraph"/>
              <w:rPr>
                <w:rFonts w:ascii="Times New Roman"/>
                <w:sz w:val="20"/>
              </w:rPr>
            </w:pPr>
          </w:p>
        </w:tc>
        <w:tc>
          <w:tcPr>
            <w:tcW w:w="665" w:type="dxa"/>
          </w:tcPr>
          <w:p>
            <w:pPr>
              <w:pStyle w:val="TableParagraph"/>
              <w:rPr>
                <w:rFonts w:ascii="Times New Roman"/>
                <w:sz w:val="20"/>
              </w:rPr>
            </w:pPr>
          </w:p>
        </w:tc>
        <w:tc>
          <w:tcPr>
            <w:tcW w:w="778" w:type="dxa"/>
          </w:tcPr>
          <w:p>
            <w:pPr>
              <w:pStyle w:val="TableParagraph"/>
              <w:rPr>
                <w:rFonts w:ascii="Times New Roman"/>
                <w:sz w:val="20"/>
              </w:rPr>
            </w:pPr>
          </w:p>
        </w:tc>
        <w:tc>
          <w:tcPr>
            <w:tcW w:w="687" w:type="dxa"/>
          </w:tcPr>
          <w:p>
            <w:pPr>
              <w:pStyle w:val="TableParagraph"/>
              <w:rPr>
                <w:rFonts w:ascii="Times New Roman"/>
                <w:sz w:val="20"/>
              </w:rPr>
            </w:pPr>
          </w:p>
        </w:tc>
        <w:tc>
          <w:tcPr>
            <w:tcW w:w="903" w:type="dxa"/>
          </w:tcPr>
          <w:p>
            <w:pPr>
              <w:pStyle w:val="TableParagraph"/>
              <w:rPr>
                <w:rFonts w:ascii="Times New Roman"/>
                <w:sz w:val="20"/>
              </w:rPr>
            </w:pPr>
          </w:p>
        </w:tc>
        <w:tc>
          <w:tcPr>
            <w:tcW w:w="685" w:type="dxa"/>
          </w:tcPr>
          <w:p>
            <w:pPr>
              <w:pStyle w:val="TableParagraph"/>
              <w:rPr>
                <w:rFonts w:ascii="Times New Roman"/>
                <w:sz w:val="20"/>
              </w:rPr>
            </w:pPr>
          </w:p>
        </w:tc>
        <w:tc>
          <w:tcPr>
            <w:tcW w:w="800" w:type="dxa"/>
          </w:tcPr>
          <w:p>
            <w:pPr>
              <w:pStyle w:val="TableParagraph"/>
              <w:rPr>
                <w:rFonts w:ascii="Times New Roman"/>
                <w:sz w:val="20"/>
              </w:rPr>
            </w:pPr>
          </w:p>
        </w:tc>
        <w:tc>
          <w:tcPr>
            <w:tcW w:w="627" w:type="dxa"/>
          </w:tcPr>
          <w:p>
            <w:pPr>
              <w:pStyle w:val="TableParagraph"/>
              <w:rPr>
                <w:rFonts w:ascii="Times New Roman"/>
                <w:sz w:val="20"/>
              </w:rPr>
            </w:pPr>
          </w:p>
        </w:tc>
        <w:tc>
          <w:tcPr>
            <w:tcW w:w="771" w:type="dxa"/>
          </w:tcPr>
          <w:p>
            <w:pPr>
              <w:pStyle w:val="TableParagraph"/>
              <w:rPr>
                <w:rFonts w:ascii="Times New Roman"/>
                <w:sz w:val="20"/>
              </w:rPr>
            </w:pPr>
          </w:p>
        </w:tc>
        <w:tc>
          <w:tcPr>
            <w:tcW w:w="692" w:type="dxa"/>
          </w:tcPr>
          <w:p>
            <w:pPr>
              <w:pStyle w:val="TableParagraph"/>
              <w:rPr>
                <w:rFonts w:ascii="Times New Roman"/>
                <w:sz w:val="20"/>
              </w:rPr>
            </w:pPr>
          </w:p>
        </w:tc>
        <w:tc>
          <w:tcPr>
            <w:tcW w:w="739" w:type="dxa"/>
            <w:tcBorders>
              <w:right w:val="single" w:sz="4" w:space="0" w:color="000000"/>
            </w:tcBorders>
          </w:tcPr>
          <w:p>
            <w:pPr>
              <w:pStyle w:val="TableParagraph"/>
              <w:rPr>
                <w:rFonts w:ascii="Times New Roman"/>
                <w:sz w:val="20"/>
              </w:rPr>
            </w:pPr>
          </w:p>
        </w:tc>
      </w:tr>
      <w:tr>
        <w:trPr>
          <w:trHeight w:val="230" w:hRule="atLeast"/>
        </w:trPr>
        <w:tc>
          <w:tcPr>
            <w:tcW w:w="4148" w:type="dxa"/>
            <w:tcBorders>
              <w:left w:val="single" w:sz="4" w:space="0" w:color="000000"/>
            </w:tcBorders>
          </w:tcPr>
          <w:p>
            <w:pPr>
              <w:pStyle w:val="TableParagraph"/>
              <w:tabs>
                <w:tab w:pos="1377" w:val="left" w:leader="none"/>
                <w:tab w:pos="2011" w:val="left" w:leader="none"/>
                <w:tab w:pos="2851" w:val="left" w:leader="none"/>
              </w:tabs>
              <w:spacing w:line="210" w:lineRule="exact"/>
              <w:ind w:right="101"/>
              <w:jc w:val="right"/>
              <w:rPr>
                <w:sz w:val="20"/>
              </w:rPr>
            </w:pPr>
            <w:r>
              <w:rPr>
                <w:spacing w:val="-2"/>
                <w:sz w:val="20"/>
              </w:rPr>
              <w:t>Universities</w:t>
            </w:r>
            <w:r>
              <w:rPr>
                <w:sz w:val="20"/>
              </w:rPr>
              <w:tab/>
            </w:r>
            <w:r>
              <w:rPr>
                <w:spacing w:val="-5"/>
                <w:sz w:val="20"/>
              </w:rPr>
              <w:t>are</w:t>
            </w:r>
            <w:r>
              <w:rPr>
                <w:sz w:val="20"/>
              </w:rPr>
              <w:tab/>
            </w:r>
            <w:r>
              <w:rPr>
                <w:spacing w:val="-4"/>
                <w:sz w:val="20"/>
              </w:rPr>
              <w:t>faced</w:t>
            </w:r>
            <w:r>
              <w:rPr>
                <w:sz w:val="20"/>
              </w:rPr>
              <w:tab/>
            </w:r>
            <w:r>
              <w:rPr>
                <w:spacing w:val="-4"/>
                <w:sz w:val="20"/>
              </w:rPr>
              <w:t>with</w:t>
            </w:r>
          </w:p>
        </w:tc>
        <w:tc>
          <w:tcPr>
            <w:tcW w:w="1795" w:type="dxa"/>
          </w:tcPr>
          <w:p>
            <w:pPr>
              <w:pStyle w:val="TableParagraph"/>
              <w:spacing w:line="210" w:lineRule="exact"/>
              <w:ind w:left="109"/>
              <w:rPr>
                <w:sz w:val="20"/>
              </w:rPr>
            </w:pPr>
            <w:r>
              <w:rPr>
                <w:spacing w:val="-2"/>
                <w:sz w:val="20"/>
              </w:rPr>
              <w:t>observations</w:t>
            </w:r>
          </w:p>
        </w:tc>
        <w:tc>
          <w:tcPr>
            <w:tcW w:w="652" w:type="dxa"/>
          </w:tcPr>
          <w:p>
            <w:pPr>
              <w:pStyle w:val="TableParagraph"/>
              <w:spacing w:line="210" w:lineRule="exact"/>
              <w:ind w:left="84" w:right="1"/>
              <w:jc w:val="center"/>
              <w:rPr>
                <w:sz w:val="20"/>
              </w:rPr>
            </w:pPr>
            <w:r>
              <w:rPr>
                <w:spacing w:val="-10"/>
                <w:sz w:val="20"/>
              </w:rPr>
              <w:t>1</w:t>
            </w:r>
          </w:p>
        </w:tc>
        <w:tc>
          <w:tcPr>
            <w:tcW w:w="831" w:type="dxa"/>
          </w:tcPr>
          <w:p>
            <w:pPr>
              <w:pStyle w:val="TableParagraph"/>
              <w:spacing w:line="210" w:lineRule="exact"/>
              <w:ind w:left="40"/>
              <w:jc w:val="center"/>
              <w:rPr>
                <w:sz w:val="20"/>
              </w:rPr>
            </w:pPr>
            <w:r>
              <w:rPr>
                <w:spacing w:val="-4"/>
                <w:sz w:val="20"/>
              </w:rPr>
              <w:t>50.0</w:t>
            </w:r>
          </w:p>
        </w:tc>
        <w:tc>
          <w:tcPr>
            <w:tcW w:w="665" w:type="dxa"/>
          </w:tcPr>
          <w:p>
            <w:pPr>
              <w:pStyle w:val="TableParagraph"/>
              <w:spacing w:line="210" w:lineRule="exact"/>
              <w:ind w:left="3" w:right="23"/>
              <w:jc w:val="center"/>
              <w:rPr>
                <w:sz w:val="20"/>
              </w:rPr>
            </w:pPr>
            <w:r>
              <w:rPr>
                <w:spacing w:val="-10"/>
                <w:sz w:val="20"/>
              </w:rPr>
              <w:t>-</w:t>
            </w:r>
          </w:p>
        </w:tc>
        <w:tc>
          <w:tcPr>
            <w:tcW w:w="778" w:type="dxa"/>
          </w:tcPr>
          <w:p>
            <w:pPr>
              <w:pStyle w:val="TableParagraph"/>
              <w:spacing w:line="210" w:lineRule="exact"/>
              <w:ind w:left="48" w:right="71"/>
              <w:jc w:val="center"/>
              <w:rPr>
                <w:sz w:val="20"/>
              </w:rPr>
            </w:pPr>
            <w:r>
              <w:rPr>
                <w:spacing w:val="-10"/>
                <w:sz w:val="20"/>
              </w:rPr>
              <w:t>-</w:t>
            </w:r>
          </w:p>
        </w:tc>
        <w:tc>
          <w:tcPr>
            <w:tcW w:w="687" w:type="dxa"/>
          </w:tcPr>
          <w:p>
            <w:pPr>
              <w:pStyle w:val="TableParagraph"/>
              <w:spacing w:line="210" w:lineRule="exact"/>
              <w:ind w:left="67" w:right="115"/>
              <w:jc w:val="center"/>
              <w:rPr>
                <w:sz w:val="20"/>
              </w:rPr>
            </w:pPr>
            <w:r>
              <w:rPr>
                <w:spacing w:val="-10"/>
                <w:sz w:val="20"/>
              </w:rPr>
              <w:t>-</w:t>
            </w:r>
          </w:p>
        </w:tc>
        <w:tc>
          <w:tcPr>
            <w:tcW w:w="903" w:type="dxa"/>
          </w:tcPr>
          <w:p>
            <w:pPr>
              <w:pStyle w:val="TableParagraph"/>
              <w:spacing w:line="210" w:lineRule="exact"/>
              <w:ind w:left="13" w:right="12"/>
              <w:jc w:val="center"/>
              <w:rPr>
                <w:sz w:val="20"/>
              </w:rPr>
            </w:pPr>
            <w:r>
              <w:rPr>
                <w:spacing w:val="-10"/>
                <w:sz w:val="20"/>
              </w:rPr>
              <w:t>-</w:t>
            </w:r>
          </w:p>
        </w:tc>
        <w:tc>
          <w:tcPr>
            <w:tcW w:w="685" w:type="dxa"/>
          </w:tcPr>
          <w:p>
            <w:pPr>
              <w:pStyle w:val="TableParagraph"/>
              <w:spacing w:line="210" w:lineRule="exact"/>
              <w:ind w:left="77" w:right="32"/>
              <w:jc w:val="center"/>
              <w:rPr>
                <w:sz w:val="20"/>
              </w:rPr>
            </w:pPr>
            <w:r>
              <w:rPr>
                <w:spacing w:val="-10"/>
                <w:sz w:val="20"/>
              </w:rPr>
              <w:t>-</w:t>
            </w:r>
          </w:p>
        </w:tc>
        <w:tc>
          <w:tcPr>
            <w:tcW w:w="800" w:type="dxa"/>
          </w:tcPr>
          <w:p>
            <w:pPr>
              <w:pStyle w:val="TableParagraph"/>
              <w:spacing w:line="210" w:lineRule="exact"/>
              <w:ind w:left="18" w:right="18"/>
              <w:jc w:val="center"/>
              <w:rPr>
                <w:sz w:val="20"/>
              </w:rPr>
            </w:pPr>
            <w:r>
              <w:rPr>
                <w:spacing w:val="-10"/>
                <w:sz w:val="20"/>
              </w:rPr>
              <w:t>-</w:t>
            </w:r>
          </w:p>
        </w:tc>
        <w:tc>
          <w:tcPr>
            <w:tcW w:w="627" w:type="dxa"/>
          </w:tcPr>
          <w:p>
            <w:pPr>
              <w:pStyle w:val="TableParagraph"/>
              <w:spacing w:line="210" w:lineRule="exact"/>
              <w:ind w:left="23" w:right="23"/>
              <w:jc w:val="center"/>
              <w:rPr>
                <w:sz w:val="20"/>
              </w:rPr>
            </w:pPr>
            <w:r>
              <w:rPr>
                <w:spacing w:val="-10"/>
                <w:sz w:val="20"/>
              </w:rPr>
              <w:t>1</w:t>
            </w:r>
          </w:p>
        </w:tc>
        <w:tc>
          <w:tcPr>
            <w:tcW w:w="771" w:type="dxa"/>
          </w:tcPr>
          <w:p>
            <w:pPr>
              <w:pStyle w:val="TableParagraph"/>
              <w:spacing w:line="210" w:lineRule="exact"/>
              <w:ind w:left="45" w:right="22"/>
              <w:jc w:val="center"/>
              <w:rPr>
                <w:sz w:val="20"/>
              </w:rPr>
            </w:pPr>
            <w:r>
              <w:rPr>
                <w:spacing w:val="-4"/>
                <w:sz w:val="20"/>
              </w:rPr>
              <w:t>50.0</w:t>
            </w:r>
          </w:p>
        </w:tc>
        <w:tc>
          <w:tcPr>
            <w:tcW w:w="692" w:type="dxa"/>
          </w:tcPr>
          <w:p>
            <w:pPr>
              <w:pStyle w:val="TableParagraph"/>
              <w:spacing w:line="210" w:lineRule="exact"/>
              <w:ind w:left="23" w:right="23"/>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27"/>
              <w:jc w:val="center"/>
              <w:rPr>
                <w:sz w:val="20"/>
              </w:rPr>
            </w:pPr>
            <w:r>
              <w:rPr>
                <w:spacing w:val="-5"/>
                <w:sz w:val="20"/>
              </w:rPr>
              <w:t>0.4</w:t>
            </w:r>
          </w:p>
        </w:tc>
      </w:tr>
      <w:tr>
        <w:trPr>
          <w:trHeight w:val="230" w:hRule="atLeast"/>
        </w:trPr>
        <w:tc>
          <w:tcPr>
            <w:tcW w:w="4148" w:type="dxa"/>
            <w:tcBorders>
              <w:left w:val="single" w:sz="4" w:space="0" w:color="000000"/>
            </w:tcBorders>
          </w:tcPr>
          <w:p>
            <w:pPr>
              <w:pStyle w:val="TableParagraph"/>
              <w:spacing w:line="210" w:lineRule="exact"/>
              <w:ind w:right="101"/>
              <w:jc w:val="right"/>
              <w:rPr>
                <w:sz w:val="20"/>
              </w:rPr>
            </w:pPr>
            <w:r>
              <w:rPr>
                <w:sz w:val="20"/>
              </w:rPr>
              <w:t>enormous</w:t>
            </w:r>
            <w:r>
              <w:rPr>
                <w:spacing w:val="28"/>
                <w:sz w:val="20"/>
              </w:rPr>
              <w:t> </w:t>
            </w:r>
            <w:r>
              <w:rPr>
                <w:sz w:val="20"/>
              </w:rPr>
              <w:t>problems</w:t>
            </w:r>
            <w:r>
              <w:rPr>
                <w:spacing w:val="28"/>
                <w:sz w:val="20"/>
              </w:rPr>
              <w:t> </w:t>
            </w:r>
            <w:r>
              <w:rPr>
                <w:sz w:val="20"/>
              </w:rPr>
              <w:t>of</w:t>
            </w:r>
            <w:r>
              <w:rPr>
                <w:spacing w:val="38"/>
                <w:sz w:val="20"/>
              </w:rPr>
              <w:t> </w:t>
            </w:r>
            <w:r>
              <w:rPr>
                <w:sz w:val="20"/>
              </w:rPr>
              <w:t>coping</w:t>
            </w:r>
            <w:r>
              <w:rPr>
                <w:spacing w:val="32"/>
                <w:sz w:val="20"/>
              </w:rPr>
              <w:t> </w:t>
            </w:r>
            <w:r>
              <w:rPr>
                <w:spacing w:val="-4"/>
                <w:sz w:val="20"/>
              </w:rPr>
              <w:t>with</w:t>
            </w:r>
          </w:p>
        </w:tc>
        <w:tc>
          <w:tcPr>
            <w:tcW w:w="1795" w:type="dxa"/>
          </w:tcPr>
          <w:p>
            <w:pPr>
              <w:pStyle w:val="TableParagraph"/>
              <w:spacing w:line="210" w:lineRule="exact"/>
              <w:ind w:left="109"/>
              <w:rPr>
                <w:sz w:val="20"/>
              </w:rPr>
            </w:pPr>
            <w:r>
              <w:rPr>
                <w:spacing w:val="-2"/>
                <w:sz w:val="20"/>
              </w:rPr>
              <w:t>Students</w:t>
            </w:r>
          </w:p>
        </w:tc>
        <w:tc>
          <w:tcPr>
            <w:tcW w:w="652" w:type="dxa"/>
          </w:tcPr>
          <w:p>
            <w:pPr>
              <w:pStyle w:val="TableParagraph"/>
              <w:spacing w:line="210" w:lineRule="exact"/>
              <w:ind w:left="83" w:right="5"/>
              <w:jc w:val="center"/>
              <w:rPr>
                <w:sz w:val="20"/>
              </w:rPr>
            </w:pPr>
            <w:r>
              <w:rPr>
                <w:spacing w:val="-5"/>
                <w:sz w:val="20"/>
              </w:rPr>
              <w:t>67</w:t>
            </w:r>
          </w:p>
        </w:tc>
        <w:tc>
          <w:tcPr>
            <w:tcW w:w="831" w:type="dxa"/>
          </w:tcPr>
          <w:p>
            <w:pPr>
              <w:pStyle w:val="TableParagraph"/>
              <w:spacing w:line="210" w:lineRule="exact"/>
              <w:ind w:left="40"/>
              <w:jc w:val="center"/>
              <w:rPr>
                <w:sz w:val="20"/>
              </w:rPr>
            </w:pPr>
            <w:r>
              <w:rPr>
                <w:spacing w:val="-4"/>
                <w:sz w:val="20"/>
              </w:rPr>
              <w:t>28.5</w:t>
            </w:r>
          </w:p>
        </w:tc>
        <w:tc>
          <w:tcPr>
            <w:tcW w:w="665" w:type="dxa"/>
          </w:tcPr>
          <w:p>
            <w:pPr>
              <w:pStyle w:val="TableParagraph"/>
              <w:spacing w:line="210" w:lineRule="exact"/>
              <w:ind w:right="23"/>
              <w:jc w:val="center"/>
              <w:rPr>
                <w:sz w:val="20"/>
              </w:rPr>
            </w:pPr>
            <w:r>
              <w:rPr>
                <w:spacing w:val="-5"/>
                <w:sz w:val="20"/>
              </w:rPr>
              <w:t>112</w:t>
            </w:r>
          </w:p>
        </w:tc>
        <w:tc>
          <w:tcPr>
            <w:tcW w:w="778" w:type="dxa"/>
          </w:tcPr>
          <w:p>
            <w:pPr>
              <w:pStyle w:val="TableParagraph"/>
              <w:spacing w:line="210" w:lineRule="exact"/>
              <w:ind w:left="55" w:right="71"/>
              <w:jc w:val="center"/>
              <w:rPr>
                <w:sz w:val="20"/>
              </w:rPr>
            </w:pPr>
            <w:r>
              <w:rPr>
                <w:spacing w:val="-4"/>
                <w:sz w:val="20"/>
              </w:rPr>
              <w:t>47.7</w:t>
            </w:r>
          </w:p>
        </w:tc>
        <w:tc>
          <w:tcPr>
            <w:tcW w:w="687" w:type="dxa"/>
          </w:tcPr>
          <w:p>
            <w:pPr>
              <w:pStyle w:val="TableParagraph"/>
              <w:spacing w:line="210" w:lineRule="exact"/>
              <w:ind w:left="67" w:right="113"/>
              <w:jc w:val="center"/>
              <w:rPr>
                <w:sz w:val="20"/>
              </w:rPr>
            </w:pPr>
            <w:r>
              <w:rPr>
                <w:spacing w:val="-5"/>
                <w:sz w:val="20"/>
              </w:rPr>
              <w:t>28</w:t>
            </w:r>
          </w:p>
        </w:tc>
        <w:tc>
          <w:tcPr>
            <w:tcW w:w="903" w:type="dxa"/>
          </w:tcPr>
          <w:p>
            <w:pPr>
              <w:pStyle w:val="TableParagraph"/>
              <w:spacing w:line="210" w:lineRule="exact"/>
              <w:ind w:left="13" w:right="6"/>
              <w:jc w:val="center"/>
              <w:rPr>
                <w:sz w:val="20"/>
              </w:rPr>
            </w:pPr>
            <w:r>
              <w:rPr>
                <w:spacing w:val="-4"/>
                <w:sz w:val="20"/>
              </w:rPr>
              <w:t>11.9</w:t>
            </w:r>
          </w:p>
        </w:tc>
        <w:tc>
          <w:tcPr>
            <w:tcW w:w="685" w:type="dxa"/>
          </w:tcPr>
          <w:p>
            <w:pPr>
              <w:pStyle w:val="TableParagraph"/>
              <w:spacing w:line="210" w:lineRule="exact"/>
              <w:ind w:left="79" w:right="32"/>
              <w:jc w:val="center"/>
              <w:rPr>
                <w:sz w:val="20"/>
              </w:rPr>
            </w:pPr>
            <w:r>
              <w:rPr>
                <w:spacing w:val="-5"/>
                <w:sz w:val="20"/>
              </w:rPr>
              <w:t>19</w:t>
            </w:r>
          </w:p>
        </w:tc>
        <w:tc>
          <w:tcPr>
            <w:tcW w:w="800" w:type="dxa"/>
          </w:tcPr>
          <w:p>
            <w:pPr>
              <w:pStyle w:val="TableParagraph"/>
              <w:spacing w:line="210" w:lineRule="exact"/>
              <w:ind w:left="18" w:right="17"/>
              <w:jc w:val="center"/>
              <w:rPr>
                <w:sz w:val="20"/>
              </w:rPr>
            </w:pPr>
            <w:r>
              <w:rPr>
                <w:spacing w:val="-5"/>
                <w:sz w:val="20"/>
              </w:rPr>
              <w:t>8.1</w:t>
            </w:r>
          </w:p>
        </w:tc>
        <w:tc>
          <w:tcPr>
            <w:tcW w:w="627" w:type="dxa"/>
          </w:tcPr>
          <w:p>
            <w:pPr>
              <w:pStyle w:val="TableParagraph"/>
              <w:spacing w:line="210" w:lineRule="exact"/>
              <w:ind w:left="23" w:right="23"/>
              <w:jc w:val="center"/>
              <w:rPr>
                <w:sz w:val="20"/>
              </w:rPr>
            </w:pPr>
            <w:r>
              <w:rPr>
                <w:spacing w:val="-10"/>
                <w:sz w:val="20"/>
              </w:rPr>
              <w:t>9</w:t>
            </w:r>
          </w:p>
        </w:tc>
        <w:tc>
          <w:tcPr>
            <w:tcW w:w="771" w:type="dxa"/>
          </w:tcPr>
          <w:p>
            <w:pPr>
              <w:pStyle w:val="TableParagraph"/>
              <w:spacing w:line="210" w:lineRule="exact"/>
              <w:ind w:left="45" w:right="27"/>
              <w:jc w:val="center"/>
              <w:rPr>
                <w:sz w:val="20"/>
              </w:rPr>
            </w:pPr>
            <w:r>
              <w:rPr>
                <w:spacing w:val="-5"/>
                <w:sz w:val="20"/>
              </w:rPr>
              <w:t>3.8</w:t>
            </w:r>
          </w:p>
        </w:tc>
        <w:tc>
          <w:tcPr>
            <w:tcW w:w="692" w:type="dxa"/>
          </w:tcPr>
          <w:p>
            <w:pPr>
              <w:pStyle w:val="TableParagraph"/>
              <w:spacing w:line="210" w:lineRule="exact"/>
              <w:ind w:left="23" w:right="30"/>
              <w:jc w:val="center"/>
              <w:rPr>
                <w:sz w:val="20"/>
              </w:rPr>
            </w:pPr>
            <w:r>
              <w:rPr>
                <w:spacing w:val="-5"/>
                <w:sz w:val="20"/>
              </w:rPr>
              <w:t>235</w:t>
            </w:r>
          </w:p>
        </w:tc>
        <w:tc>
          <w:tcPr>
            <w:tcW w:w="739" w:type="dxa"/>
            <w:tcBorders>
              <w:right w:val="single" w:sz="4" w:space="0" w:color="000000"/>
            </w:tcBorders>
          </w:tcPr>
          <w:p>
            <w:pPr>
              <w:pStyle w:val="TableParagraph"/>
              <w:spacing w:line="210" w:lineRule="exact"/>
              <w:ind w:left="36" w:right="22"/>
              <w:jc w:val="center"/>
              <w:rPr>
                <w:sz w:val="20"/>
              </w:rPr>
            </w:pPr>
            <w:r>
              <w:rPr>
                <w:spacing w:val="-4"/>
                <w:sz w:val="20"/>
              </w:rPr>
              <w:t>50.8</w:t>
            </w:r>
          </w:p>
        </w:tc>
      </w:tr>
      <w:tr>
        <w:trPr>
          <w:trHeight w:val="230" w:hRule="atLeast"/>
        </w:trPr>
        <w:tc>
          <w:tcPr>
            <w:tcW w:w="4148" w:type="dxa"/>
            <w:tcBorders>
              <w:left w:val="single" w:sz="4" w:space="0" w:color="000000"/>
            </w:tcBorders>
          </w:tcPr>
          <w:p>
            <w:pPr>
              <w:pStyle w:val="TableParagraph"/>
              <w:spacing w:line="210" w:lineRule="exact"/>
              <w:ind w:right="103"/>
              <w:jc w:val="right"/>
              <w:rPr>
                <w:sz w:val="20"/>
              </w:rPr>
            </w:pPr>
            <w:r>
              <w:rPr>
                <w:sz w:val="20"/>
              </w:rPr>
              <w:t>numerous</w:t>
            </w:r>
            <w:r>
              <w:rPr>
                <w:spacing w:val="63"/>
                <w:w w:val="150"/>
                <w:sz w:val="20"/>
              </w:rPr>
              <w:t> </w:t>
            </w:r>
            <w:r>
              <w:rPr>
                <w:sz w:val="20"/>
              </w:rPr>
              <w:t>patients</w:t>
            </w:r>
            <w:r>
              <w:rPr>
                <w:spacing w:val="69"/>
                <w:w w:val="150"/>
                <w:sz w:val="20"/>
              </w:rPr>
              <w:t> </w:t>
            </w:r>
            <w:r>
              <w:rPr>
                <w:sz w:val="20"/>
              </w:rPr>
              <w:t>which</w:t>
            </w:r>
            <w:r>
              <w:rPr>
                <w:spacing w:val="66"/>
                <w:w w:val="150"/>
                <w:sz w:val="20"/>
              </w:rPr>
              <w:t> </w:t>
            </w:r>
            <w:r>
              <w:rPr>
                <w:spacing w:val="-2"/>
                <w:sz w:val="20"/>
              </w:rPr>
              <w:t>usually</w:t>
            </w:r>
          </w:p>
        </w:tc>
        <w:tc>
          <w:tcPr>
            <w:tcW w:w="1795" w:type="dxa"/>
          </w:tcPr>
          <w:p>
            <w:pPr>
              <w:pStyle w:val="TableParagraph"/>
              <w:spacing w:line="210" w:lineRule="exact"/>
              <w:ind w:left="109"/>
              <w:rPr>
                <w:sz w:val="20"/>
              </w:rPr>
            </w:pPr>
            <w:r>
              <w:rPr>
                <w:sz w:val="20"/>
              </w:rPr>
              <w:t>Service</w:t>
            </w:r>
            <w:r>
              <w:rPr>
                <w:spacing w:val="-9"/>
                <w:sz w:val="20"/>
              </w:rPr>
              <w:t> </w:t>
            </w:r>
            <w:r>
              <w:rPr>
                <w:spacing w:val="-2"/>
                <w:sz w:val="20"/>
              </w:rPr>
              <w:t>Staff</w:t>
            </w:r>
          </w:p>
        </w:tc>
        <w:tc>
          <w:tcPr>
            <w:tcW w:w="652" w:type="dxa"/>
          </w:tcPr>
          <w:p>
            <w:pPr>
              <w:pStyle w:val="TableParagraph"/>
              <w:spacing w:line="210" w:lineRule="exact"/>
              <w:ind w:left="83" w:right="5"/>
              <w:jc w:val="center"/>
              <w:rPr>
                <w:sz w:val="20"/>
              </w:rPr>
            </w:pPr>
            <w:r>
              <w:rPr>
                <w:spacing w:val="-5"/>
                <w:sz w:val="20"/>
              </w:rPr>
              <w:t>57</w:t>
            </w:r>
          </w:p>
        </w:tc>
        <w:tc>
          <w:tcPr>
            <w:tcW w:w="831" w:type="dxa"/>
          </w:tcPr>
          <w:p>
            <w:pPr>
              <w:pStyle w:val="TableParagraph"/>
              <w:spacing w:line="210" w:lineRule="exact"/>
              <w:ind w:left="40"/>
              <w:jc w:val="center"/>
              <w:rPr>
                <w:sz w:val="20"/>
              </w:rPr>
            </w:pPr>
            <w:r>
              <w:rPr>
                <w:spacing w:val="-4"/>
                <w:sz w:val="20"/>
              </w:rPr>
              <w:t>28.1</w:t>
            </w:r>
          </w:p>
        </w:tc>
        <w:tc>
          <w:tcPr>
            <w:tcW w:w="665" w:type="dxa"/>
          </w:tcPr>
          <w:p>
            <w:pPr>
              <w:pStyle w:val="TableParagraph"/>
              <w:spacing w:line="210" w:lineRule="exact"/>
              <w:ind w:right="23"/>
              <w:jc w:val="center"/>
              <w:rPr>
                <w:sz w:val="20"/>
              </w:rPr>
            </w:pPr>
            <w:r>
              <w:rPr>
                <w:spacing w:val="-5"/>
                <w:sz w:val="20"/>
              </w:rPr>
              <w:t>102</w:t>
            </w:r>
          </w:p>
        </w:tc>
        <w:tc>
          <w:tcPr>
            <w:tcW w:w="778" w:type="dxa"/>
          </w:tcPr>
          <w:p>
            <w:pPr>
              <w:pStyle w:val="TableParagraph"/>
              <w:spacing w:line="210" w:lineRule="exact"/>
              <w:ind w:left="55" w:right="71"/>
              <w:jc w:val="center"/>
              <w:rPr>
                <w:sz w:val="20"/>
              </w:rPr>
            </w:pPr>
            <w:r>
              <w:rPr>
                <w:spacing w:val="-4"/>
                <w:sz w:val="20"/>
              </w:rPr>
              <w:t>50.2</w:t>
            </w:r>
          </w:p>
        </w:tc>
        <w:tc>
          <w:tcPr>
            <w:tcW w:w="687" w:type="dxa"/>
          </w:tcPr>
          <w:p>
            <w:pPr>
              <w:pStyle w:val="TableParagraph"/>
              <w:spacing w:line="210" w:lineRule="exact"/>
              <w:ind w:left="67" w:right="113"/>
              <w:jc w:val="center"/>
              <w:rPr>
                <w:sz w:val="20"/>
              </w:rPr>
            </w:pPr>
            <w:r>
              <w:rPr>
                <w:spacing w:val="-5"/>
                <w:sz w:val="20"/>
              </w:rPr>
              <w:t>23</w:t>
            </w:r>
          </w:p>
        </w:tc>
        <w:tc>
          <w:tcPr>
            <w:tcW w:w="903" w:type="dxa"/>
          </w:tcPr>
          <w:p>
            <w:pPr>
              <w:pStyle w:val="TableParagraph"/>
              <w:spacing w:line="210" w:lineRule="exact"/>
              <w:ind w:left="13" w:right="6"/>
              <w:jc w:val="center"/>
              <w:rPr>
                <w:sz w:val="20"/>
              </w:rPr>
            </w:pPr>
            <w:r>
              <w:rPr>
                <w:spacing w:val="-4"/>
                <w:sz w:val="20"/>
              </w:rPr>
              <w:t>11.3</w:t>
            </w:r>
          </w:p>
        </w:tc>
        <w:tc>
          <w:tcPr>
            <w:tcW w:w="685" w:type="dxa"/>
          </w:tcPr>
          <w:p>
            <w:pPr>
              <w:pStyle w:val="TableParagraph"/>
              <w:spacing w:line="210" w:lineRule="exact"/>
              <w:ind w:left="79" w:right="32"/>
              <w:jc w:val="center"/>
              <w:rPr>
                <w:sz w:val="20"/>
              </w:rPr>
            </w:pPr>
            <w:r>
              <w:rPr>
                <w:spacing w:val="-5"/>
                <w:sz w:val="20"/>
              </w:rPr>
              <w:t>17</w:t>
            </w:r>
          </w:p>
        </w:tc>
        <w:tc>
          <w:tcPr>
            <w:tcW w:w="800" w:type="dxa"/>
          </w:tcPr>
          <w:p>
            <w:pPr>
              <w:pStyle w:val="TableParagraph"/>
              <w:spacing w:line="210" w:lineRule="exact"/>
              <w:ind w:left="18" w:right="17"/>
              <w:jc w:val="center"/>
              <w:rPr>
                <w:sz w:val="20"/>
              </w:rPr>
            </w:pPr>
            <w:r>
              <w:rPr>
                <w:spacing w:val="-5"/>
                <w:sz w:val="20"/>
              </w:rPr>
              <w:t>8.4</w:t>
            </w:r>
          </w:p>
        </w:tc>
        <w:tc>
          <w:tcPr>
            <w:tcW w:w="627" w:type="dxa"/>
          </w:tcPr>
          <w:p>
            <w:pPr>
              <w:pStyle w:val="TableParagraph"/>
              <w:spacing w:line="210" w:lineRule="exact"/>
              <w:ind w:left="23" w:right="23"/>
              <w:jc w:val="center"/>
              <w:rPr>
                <w:sz w:val="20"/>
              </w:rPr>
            </w:pPr>
            <w:r>
              <w:rPr>
                <w:spacing w:val="-10"/>
                <w:sz w:val="20"/>
              </w:rPr>
              <w:t>4</w:t>
            </w:r>
          </w:p>
        </w:tc>
        <w:tc>
          <w:tcPr>
            <w:tcW w:w="771" w:type="dxa"/>
          </w:tcPr>
          <w:p>
            <w:pPr>
              <w:pStyle w:val="TableParagraph"/>
              <w:spacing w:line="210" w:lineRule="exact"/>
              <w:ind w:left="45" w:right="27"/>
              <w:jc w:val="center"/>
              <w:rPr>
                <w:sz w:val="20"/>
              </w:rPr>
            </w:pPr>
            <w:r>
              <w:rPr>
                <w:spacing w:val="-5"/>
                <w:sz w:val="20"/>
              </w:rPr>
              <w:t>2.0</w:t>
            </w:r>
          </w:p>
        </w:tc>
        <w:tc>
          <w:tcPr>
            <w:tcW w:w="692" w:type="dxa"/>
          </w:tcPr>
          <w:p>
            <w:pPr>
              <w:pStyle w:val="TableParagraph"/>
              <w:spacing w:line="210" w:lineRule="exact"/>
              <w:ind w:left="23" w:right="30"/>
              <w:jc w:val="center"/>
              <w:rPr>
                <w:sz w:val="20"/>
              </w:rPr>
            </w:pPr>
            <w:r>
              <w:rPr>
                <w:spacing w:val="-5"/>
                <w:sz w:val="20"/>
              </w:rPr>
              <w:t>203</w:t>
            </w:r>
          </w:p>
        </w:tc>
        <w:tc>
          <w:tcPr>
            <w:tcW w:w="739" w:type="dxa"/>
            <w:tcBorders>
              <w:right w:val="single" w:sz="4" w:space="0" w:color="000000"/>
            </w:tcBorders>
          </w:tcPr>
          <w:p>
            <w:pPr>
              <w:pStyle w:val="TableParagraph"/>
              <w:spacing w:line="210" w:lineRule="exact"/>
              <w:ind w:left="36" w:right="22"/>
              <w:jc w:val="center"/>
              <w:rPr>
                <w:sz w:val="20"/>
              </w:rPr>
            </w:pPr>
            <w:r>
              <w:rPr>
                <w:spacing w:val="-4"/>
                <w:sz w:val="20"/>
              </w:rPr>
              <w:t>43.8</w:t>
            </w:r>
          </w:p>
        </w:tc>
      </w:tr>
      <w:tr>
        <w:trPr>
          <w:trHeight w:val="460" w:hRule="atLeast"/>
        </w:trPr>
        <w:tc>
          <w:tcPr>
            <w:tcW w:w="4148" w:type="dxa"/>
            <w:tcBorders>
              <w:left w:val="single" w:sz="4" w:space="0" w:color="000000"/>
            </w:tcBorders>
          </w:tcPr>
          <w:p>
            <w:pPr>
              <w:pStyle w:val="TableParagraph"/>
              <w:spacing w:line="230" w:lineRule="exact"/>
              <w:ind w:left="830"/>
              <w:rPr>
                <w:sz w:val="20"/>
              </w:rPr>
            </w:pPr>
            <w:r>
              <w:rPr>
                <w:sz w:val="20"/>
              </w:rPr>
              <w:t>lead</w:t>
            </w:r>
            <w:r>
              <w:rPr>
                <w:spacing w:val="80"/>
                <w:sz w:val="20"/>
              </w:rPr>
              <w:t> </w:t>
            </w:r>
            <w:r>
              <w:rPr>
                <w:sz w:val="20"/>
              </w:rPr>
              <w:t>to</w:t>
            </w:r>
            <w:r>
              <w:rPr>
                <w:spacing w:val="80"/>
                <w:sz w:val="20"/>
              </w:rPr>
              <w:t> </w:t>
            </w:r>
            <w:r>
              <w:rPr>
                <w:sz w:val="20"/>
              </w:rPr>
              <w:t>lack</w:t>
            </w:r>
            <w:r>
              <w:rPr>
                <w:spacing w:val="80"/>
                <w:sz w:val="20"/>
              </w:rPr>
              <w:t> </w:t>
            </w:r>
            <w:r>
              <w:rPr>
                <w:sz w:val="20"/>
              </w:rPr>
              <w:t>of</w:t>
            </w:r>
            <w:r>
              <w:rPr>
                <w:spacing w:val="80"/>
                <w:sz w:val="20"/>
              </w:rPr>
              <w:t> </w:t>
            </w:r>
            <w:r>
              <w:rPr>
                <w:sz w:val="20"/>
              </w:rPr>
              <w:t>prompt</w:t>
            </w:r>
            <w:r>
              <w:rPr>
                <w:spacing w:val="80"/>
                <w:sz w:val="20"/>
              </w:rPr>
              <w:t> </w:t>
            </w:r>
            <w:r>
              <w:rPr>
                <w:sz w:val="20"/>
              </w:rPr>
              <w:t>medical attention</w:t>
            </w:r>
            <w:r>
              <w:rPr>
                <w:spacing w:val="12"/>
                <w:sz w:val="20"/>
              </w:rPr>
              <w:t> </w:t>
            </w:r>
            <w:r>
              <w:rPr>
                <w:sz w:val="20"/>
              </w:rPr>
              <w:t>and</w:t>
            </w:r>
            <w:r>
              <w:rPr>
                <w:spacing w:val="13"/>
                <w:sz w:val="20"/>
              </w:rPr>
              <w:t> </w:t>
            </w:r>
            <w:r>
              <w:rPr>
                <w:sz w:val="20"/>
              </w:rPr>
              <w:t>provision</w:t>
            </w:r>
            <w:r>
              <w:rPr>
                <w:spacing w:val="13"/>
                <w:sz w:val="20"/>
              </w:rPr>
              <w:t> </w:t>
            </w:r>
            <w:r>
              <w:rPr>
                <w:sz w:val="20"/>
              </w:rPr>
              <w:t>of</w:t>
            </w:r>
            <w:r>
              <w:rPr>
                <w:spacing w:val="21"/>
                <w:sz w:val="20"/>
              </w:rPr>
              <w:t> </w:t>
            </w:r>
            <w:r>
              <w:rPr>
                <w:spacing w:val="-2"/>
                <w:sz w:val="20"/>
              </w:rPr>
              <w:t>adequate</w:t>
            </w:r>
          </w:p>
        </w:tc>
        <w:tc>
          <w:tcPr>
            <w:tcW w:w="1795" w:type="dxa"/>
          </w:tcPr>
          <w:p>
            <w:pPr>
              <w:pStyle w:val="TableParagraph"/>
              <w:spacing w:before="12"/>
              <w:ind w:left="109"/>
              <w:rPr>
                <w:sz w:val="20"/>
              </w:rPr>
            </w:pPr>
            <w:r>
              <w:rPr>
                <w:sz w:val="20"/>
              </w:rPr>
              <w:t>Top</w:t>
            </w:r>
            <w:r>
              <w:rPr>
                <w:spacing w:val="-1"/>
                <w:sz w:val="20"/>
              </w:rPr>
              <w:t> </w:t>
            </w:r>
            <w:r>
              <w:rPr>
                <w:spacing w:val="-2"/>
                <w:sz w:val="20"/>
              </w:rPr>
              <w:t>Management</w:t>
            </w:r>
          </w:p>
        </w:tc>
        <w:tc>
          <w:tcPr>
            <w:tcW w:w="652" w:type="dxa"/>
          </w:tcPr>
          <w:p>
            <w:pPr>
              <w:pStyle w:val="TableParagraph"/>
              <w:spacing w:before="12"/>
              <w:ind w:left="84" w:right="1"/>
              <w:jc w:val="center"/>
              <w:rPr>
                <w:sz w:val="20"/>
              </w:rPr>
            </w:pPr>
            <w:r>
              <w:rPr>
                <w:spacing w:val="-10"/>
                <w:sz w:val="20"/>
              </w:rPr>
              <w:t>7</w:t>
            </w:r>
          </w:p>
        </w:tc>
        <w:tc>
          <w:tcPr>
            <w:tcW w:w="831" w:type="dxa"/>
          </w:tcPr>
          <w:p>
            <w:pPr>
              <w:pStyle w:val="TableParagraph"/>
              <w:spacing w:before="12"/>
              <w:ind w:left="40"/>
              <w:jc w:val="center"/>
              <w:rPr>
                <w:sz w:val="20"/>
              </w:rPr>
            </w:pPr>
            <w:r>
              <w:rPr>
                <w:spacing w:val="-4"/>
                <w:sz w:val="20"/>
              </w:rPr>
              <w:t>30.4</w:t>
            </w:r>
          </w:p>
        </w:tc>
        <w:tc>
          <w:tcPr>
            <w:tcW w:w="665" w:type="dxa"/>
          </w:tcPr>
          <w:p>
            <w:pPr>
              <w:pStyle w:val="TableParagraph"/>
              <w:spacing w:before="12"/>
              <w:ind w:left="5" w:right="23"/>
              <w:jc w:val="center"/>
              <w:rPr>
                <w:sz w:val="20"/>
              </w:rPr>
            </w:pPr>
            <w:r>
              <w:rPr>
                <w:spacing w:val="-5"/>
                <w:sz w:val="20"/>
              </w:rPr>
              <w:t>10</w:t>
            </w:r>
          </w:p>
        </w:tc>
        <w:tc>
          <w:tcPr>
            <w:tcW w:w="778" w:type="dxa"/>
          </w:tcPr>
          <w:p>
            <w:pPr>
              <w:pStyle w:val="TableParagraph"/>
              <w:spacing w:before="12"/>
              <w:ind w:left="55" w:right="71"/>
              <w:jc w:val="center"/>
              <w:rPr>
                <w:sz w:val="20"/>
              </w:rPr>
            </w:pPr>
            <w:r>
              <w:rPr>
                <w:spacing w:val="-4"/>
                <w:sz w:val="20"/>
              </w:rPr>
              <w:t>43.5</w:t>
            </w:r>
          </w:p>
        </w:tc>
        <w:tc>
          <w:tcPr>
            <w:tcW w:w="687" w:type="dxa"/>
          </w:tcPr>
          <w:p>
            <w:pPr>
              <w:pStyle w:val="TableParagraph"/>
              <w:spacing w:before="12"/>
              <w:ind w:left="67" w:right="108"/>
              <w:jc w:val="center"/>
              <w:rPr>
                <w:sz w:val="20"/>
              </w:rPr>
            </w:pPr>
            <w:r>
              <w:rPr>
                <w:spacing w:val="-10"/>
                <w:sz w:val="20"/>
              </w:rPr>
              <w:t>2</w:t>
            </w:r>
          </w:p>
        </w:tc>
        <w:tc>
          <w:tcPr>
            <w:tcW w:w="903" w:type="dxa"/>
          </w:tcPr>
          <w:p>
            <w:pPr>
              <w:pStyle w:val="TableParagraph"/>
              <w:spacing w:before="12"/>
              <w:ind w:left="13" w:right="11"/>
              <w:jc w:val="center"/>
              <w:rPr>
                <w:sz w:val="20"/>
              </w:rPr>
            </w:pPr>
            <w:r>
              <w:rPr>
                <w:spacing w:val="-5"/>
                <w:sz w:val="20"/>
              </w:rPr>
              <w:t>8.7</w:t>
            </w:r>
          </w:p>
        </w:tc>
        <w:tc>
          <w:tcPr>
            <w:tcW w:w="685" w:type="dxa"/>
          </w:tcPr>
          <w:p>
            <w:pPr>
              <w:pStyle w:val="TableParagraph"/>
              <w:spacing w:before="12"/>
              <w:ind w:left="83" w:right="32"/>
              <w:jc w:val="center"/>
              <w:rPr>
                <w:sz w:val="20"/>
              </w:rPr>
            </w:pPr>
            <w:r>
              <w:rPr>
                <w:spacing w:val="-10"/>
                <w:sz w:val="20"/>
              </w:rPr>
              <w:t>4</w:t>
            </w:r>
          </w:p>
        </w:tc>
        <w:tc>
          <w:tcPr>
            <w:tcW w:w="800" w:type="dxa"/>
          </w:tcPr>
          <w:p>
            <w:pPr>
              <w:pStyle w:val="TableParagraph"/>
              <w:spacing w:before="12"/>
              <w:ind w:left="18" w:right="12"/>
              <w:jc w:val="center"/>
              <w:rPr>
                <w:sz w:val="20"/>
              </w:rPr>
            </w:pPr>
            <w:r>
              <w:rPr>
                <w:spacing w:val="-4"/>
                <w:sz w:val="20"/>
              </w:rPr>
              <w:t>17.4</w:t>
            </w:r>
          </w:p>
        </w:tc>
        <w:tc>
          <w:tcPr>
            <w:tcW w:w="627" w:type="dxa"/>
          </w:tcPr>
          <w:p>
            <w:pPr>
              <w:pStyle w:val="TableParagraph"/>
              <w:spacing w:before="12"/>
              <w:ind w:left="23" w:right="27"/>
              <w:jc w:val="center"/>
              <w:rPr>
                <w:sz w:val="20"/>
              </w:rPr>
            </w:pPr>
            <w:r>
              <w:rPr>
                <w:spacing w:val="-10"/>
                <w:sz w:val="20"/>
              </w:rPr>
              <w:t>-</w:t>
            </w:r>
          </w:p>
        </w:tc>
        <w:tc>
          <w:tcPr>
            <w:tcW w:w="771" w:type="dxa"/>
          </w:tcPr>
          <w:p>
            <w:pPr>
              <w:pStyle w:val="TableParagraph"/>
              <w:spacing w:before="12"/>
              <w:ind w:left="45" w:right="29"/>
              <w:jc w:val="center"/>
              <w:rPr>
                <w:sz w:val="20"/>
              </w:rPr>
            </w:pPr>
            <w:r>
              <w:rPr>
                <w:spacing w:val="-10"/>
                <w:sz w:val="20"/>
              </w:rPr>
              <w:t>-</w:t>
            </w:r>
          </w:p>
        </w:tc>
        <w:tc>
          <w:tcPr>
            <w:tcW w:w="692" w:type="dxa"/>
          </w:tcPr>
          <w:p>
            <w:pPr>
              <w:pStyle w:val="TableParagraph"/>
              <w:spacing w:before="12"/>
              <w:ind w:left="23" w:right="25"/>
              <w:jc w:val="center"/>
              <w:rPr>
                <w:sz w:val="20"/>
              </w:rPr>
            </w:pPr>
            <w:r>
              <w:rPr>
                <w:spacing w:val="-5"/>
                <w:sz w:val="20"/>
              </w:rPr>
              <w:t>23</w:t>
            </w:r>
          </w:p>
        </w:tc>
        <w:tc>
          <w:tcPr>
            <w:tcW w:w="739" w:type="dxa"/>
            <w:tcBorders>
              <w:right w:val="single" w:sz="4" w:space="0" w:color="000000"/>
            </w:tcBorders>
          </w:tcPr>
          <w:p>
            <w:pPr>
              <w:pStyle w:val="TableParagraph"/>
              <w:spacing w:before="12"/>
              <w:ind w:left="36" w:right="27"/>
              <w:jc w:val="center"/>
              <w:rPr>
                <w:sz w:val="20"/>
              </w:rPr>
            </w:pPr>
            <w:r>
              <w:rPr>
                <w:spacing w:val="-5"/>
                <w:sz w:val="20"/>
              </w:rPr>
              <w:t>5.0</w:t>
            </w:r>
          </w:p>
        </w:tc>
      </w:tr>
      <w:tr>
        <w:trPr>
          <w:trHeight w:val="230" w:hRule="atLeast"/>
        </w:trPr>
        <w:tc>
          <w:tcPr>
            <w:tcW w:w="4148" w:type="dxa"/>
            <w:tcBorders>
              <w:left w:val="single" w:sz="4" w:space="0" w:color="000000"/>
            </w:tcBorders>
          </w:tcPr>
          <w:p>
            <w:pPr>
              <w:pStyle w:val="TableParagraph"/>
              <w:spacing w:line="210" w:lineRule="exact"/>
              <w:ind w:left="830"/>
              <w:rPr>
                <w:sz w:val="20"/>
              </w:rPr>
            </w:pPr>
            <w:r>
              <w:rPr>
                <w:sz w:val="20"/>
              </w:rPr>
              <w:t>drug</w:t>
            </w:r>
            <w:r>
              <w:rPr>
                <w:spacing w:val="-5"/>
                <w:sz w:val="20"/>
              </w:rPr>
              <w:t> </w:t>
            </w:r>
            <w:r>
              <w:rPr>
                <w:sz w:val="20"/>
              </w:rPr>
              <w:t>and</w:t>
            </w:r>
            <w:r>
              <w:rPr>
                <w:spacing w:val="-4"/>
                <w:sz w:val="20"/>
              </w:rPr>
              <w:t> </w:t>
            </w:r>
            <w:r>
              <w:rPr>
                <w:spacing w:val="-2"/>
                <w:sz w:val="20"/>
              </w:rPr>
              <w:t>manpower.</w:t>
            </w:r>
          </w:p>
        </w:tc>
        <w:tc>
          <w:tcPr>
            <w:tcW w:w="1795" w:type="dxa"/>
          </w:tcPr>
          <w:p>
            <w:pPr>
              <w:pStyle w:val="TableParagraph"/>
              <w:rPr>
                <w:rFonts w:ascii="Times New Roman"/>
                <w:sz w:val="16"/>
              </w:rPr>
            </w:pPr>
          </w:p>
        </w:tc>
        <w:tc>
          <w:tcPr>
            <w:tcW w:w="652" w:type="dxa"/>
          </w:tcPr>
          <w:p>
            <w:pPr>
              <w:pStyle w:val="TableParagraph"/>
              <w:rPr>
                <w:rFonts w:ascii="Times New Roman"/>
                <w:sz w:val="16"/>
              </w:rPr>
            </w:pPr>
          </w:p>
        </w:tc>
        <w:tc>
          <w:tcPr>
            <w:tcW w:w="831" w:type="dxa"/>
          </w:tcPr>
          <w:p>
            <w:pPr>
              <w:pStyle w:val="TableParagraph"/>
              <w:rPr>
                <w:rFonts w:ascii="Times New Roman"/>
                <w:sz w:val="16"/>
              </w:rPr>
            </w:pPr>
          </w:p>
        </w:tc>
        <w:tc>
          <w:tcPr>
            <w:tcW w:w="665" w:type="dxa"/>
          </w:tcPr>
          <w:p>
            <w:pPr>
              <w:pStyle w:val="TableParagraph"/>
              <w:rPr>
                <w:rFonts w:ascii="Times New Roman"/>
                <w:sz w:val="16"/>
              </w:rPr>
            </w:pPr>
          </w:p>
        </w:tc>
        <w:tc>
          <w:tcPr>
            <w:tcW w:w="778" w:type="dxa"/>
          </w:tcPr>
          <w:p>
            <w:pPr>
              <w:pStyle w:val="TableParagraph"/>
              <w:rPr>
                <w:rFonts w:ascii="Times New Roman"/>
                <w:sz w:val="16"/>
              </w:rPr>
            </w:pPr>
          </w:p>
        </w:tc>
        <w:tc>
          <w:tcPr>
            <w:tcW w:w="687" w:type="dxa"/>
          </w:tcPr>
          <w:p>
            <w:pPr>
              <w:pStyle w:val="TableParagraph"/>
              <w:rPr>
                <w:rFonts w:ascii="Times New Roman"/>
                <w:sz w:val="16"/>
              </w:rPr>
            </w:pPr>
          </w:p>
        </w:tc>
        <w:tc>
          <w:tcPr>
            <w:tcW w:w="903" w:type="dxa"/>
          </w:tcPr>
          <w:p>
            <w:pPr>
              <w:pStyle w:val="TableParagraph"/>
              <w:rPr>
                <w:rFonts w:ascii="Times New Roman"/>
                <w:sz w:val="16"/>
              </w:rPr>
            </w:pPr>
          </w:p>
        </w:tc>
        <w:tc>
          <w:tcPr>
            <w:tcW w:w="685" w:type="dxa"/>
          </w:tcPr>
          <w:p>
            <w:pPr>
              <w:pStyle w:val="TableParagraph"/>
              <w:rPr>
                <w:rFonts w:ascii="Times New Roman"/>
                <w:sz w:val="16"/>
              </w:rPr>
            </w:pPr>
          </w:p>
        </w:tc>
        <w:tc>
          <w:tcPr>
            <w:tcW w:w="800" w:type="dxa"/>
          </w:tcPr>
          <w:p>
            <w:pPr>
              <w:pStyle w:val="TableParagraph"/>
              <w:rPr>
                <w:rFonts w:ascii="Times New Roman"/>
                <w:sz w:val="16"/>
              </w:rPr>
            </w:pPr>
          </w:p>
        </w:tc>
        <w:tc>
          <w:tcPr>
            <w:tcW w:w="627" w:type="dxa"/>
          </w:tcPr>
          <w:p>
            <w:pPr>
              <w:pStyle w:val="TableParagraph"/>
              <w:rPr>
                <w:rFonts w:ascii="Times New Roman"/>
                <w:sz w:val="16"/>
              </w:rPr>
            </w:pPr>
          </w:p>
        </w:tc>
        <w:tc>
          <w:tcPr>
            <w:tcW w:w="771" w:type="dxa"/>
          </w:tcPr>
          <w:p>
            <w:pPr>
              <w:pStyle w:val="TableParagraph"/>
              <w:rPr>
                <w:rFonts w:ascii="Times New Roman"/>
                <w:sz w:val="16"/>
              </w:rPr>
            </w:pPr>
          </w:p>
        </w:tc>
        <w:tc>
          <w:tcPr>
            <w:tcW w:w="692"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30" w:hRule="atLeast"/>
        </w:trPr>
        <w:tc>
          <w:tcPr>
            <w:tcW w:w="4148" w:type="dxa"/>
            <w:tcBorders>
              <w:left w:val="single" w:sz="4" w:space="0" w:color="000000"/>
            </w:tcBorders>
          </w:tcPr>
          <w:p>
            <w:pPr>
              <w:pStyle w:val="TableParagraph"/>
              <w:tabs>
                <w:tab w:pos="609" w:val="left" w:leader="none"/>
              </w:tabs>
              <w:spacing w:line="210" w:lineRule="exact"/>
              <w:ind w:right="111"/>
              <w:jc w:val="right"/>
              <w:rPr>
                <w:sz w:val="20"/>
              </w:rPr>
            </w:pPr>
            <w:r>
              <w:rPr>
                <w:spacing w:val="-5"/>
                <w:sz w:val="20"/>
              </w:rPr>
              <w:t>87.</w:t>
            </w:r>
            <w:r>
              <w:rPr>
                <w:sz w:val="20"/>
              </w:rPr>
              <w:tab/>
              <w:t>There</w:t>
            </w:r>
            <w:r>
              <w:rPr>
                <w:spacing w:val="44"/>
                <w:sz w:val="20"/>
              </w:rPr>
              <w:t> </w:t>
            </w:r>
            <w:r>
              <w:rPr>
                <w:sz w:val="20"/>
              </w:rPr>
              <w:t>is</w:t>
            </w:r>
            <w:r>
              <w:rPr>
                <w:spacing w:val="42"/>
                <w:sz w:val="20"/>
              </w:rPr>
              <w:t> </w:t>
            </w:r>
            <w:r>
              <w:rPr>
                <w:sz w:val="20"/>
              </w:rPr>
              <w:t>no</w:t>
            </w:r>
            <w:r>
              <w:rPr>
                <w:spacing w:val="44"/>
                <w:sz w:val="20"/>
              </w:rPr>
              <w:t> </w:t>
            </w:r>
            <w:r>
              <w:rPr>
                <w:sz w:val="20"/>
              </w:rPr>
              <w:t>need</w:t>
            </w:r>
            <w:r>
              <w:rPr>
                <w:spacing w:val="45"/>
                <w:sz w:val="20"/>
              </w:rPr>
              <w:t> </w:t>
            </w:r>
            <w:r>
              <w:rPr>
                <w:sz w:val="20"/>
              </w:rPr>
              <w:t>to</w:t>
            </w:r>
            <w:r>
              <w:rPr>
                <w:spacing w:val="44"/>
                <w:sz w:val="20"/>
              </w:rPr>
              <w:t> </w:t>
            </w:r>
            <w:r>
              <w:rPr>
                <w:sz w:val="20"/>
              </w:rPr>
              <w:t>upgrade</w:t>
            </w:r>
            <w:r>
              <w:rPr>
                <w:spacing w:val="45"/>
                <w:sz w:val="20"/>
              </w:rPr>
              <w:t> </w:t>
            </w:r>
            <w:r>
              <w:rPr>
                <w:spacing w:val="-5"/>
                <w:sz w:val="20"/>
              </w:rPr>
              <w:t>and</w:t>
            </w:r>
          </w:p>
        </w:tc>
        <w:tc>
          <w:tcPr>
            <w:tcW w:w="1795" w:type="dxa"/>
          </w:tcPr>
          <w:p>
            <w:pPr>
              <w:pStyle w:val="TableParagraph"/>
              <w:spacing w:line="210" w:lineRule="exact"/>
              <w:ind w:left="109"/>
              <w:rPr>
                <w:sz w:val="20"/>
              </w:rPr>
            </w:pPr>
            <w:r>
              <w:rPr>
                <w:sz w:val="20"/>
              </w:rPr>
              <w:t>No.</w:t>
            </w:r>
            <w:r>
              <w:rPr>
                <w:spacing w:val="-5"/>
                <w:sz w:val="20"/>
              </w:rPr>
              <w:t> </w:t>
            </w:r>
            <w:r>
              <w:rPr>
                <w:sz w:val="20"/>
              </w:rPr>
              <w:t>of</w:t>
            </w:r>
            <w:r>
              <w:rPr>
                <w:spacing w:val="-2"/>
                <w:sz w:val="20"/>
              </w:rPr>
              <w:t> missing</w:t>
            </w:r>
          </w:p>
        </w:tc>
        <w:tc>
          <w:tcPr>
            <w:tcW w:w="652" w:type="dxa"/>
          </w:tcPr>
          <w:p>
            <w:pPr>
              <w:pStyle w:val="TableParagraph"/>
              <w:rPr>
                <w:rFonts w:ascii="Times New Roman"/>
                <w:sz w:val="16"/>
              </w:rPr>
            </w:pPr>
          </w:p>
        </w:tc>
        <w:tc>
          <w:tcPr>
            <w:tcW w:w="831" w:type="dxa"/>
          </w:tcPr>
          <w:p>
            <w:pPr>
              <w:pStyle w:val="TableParagraph"/>
              <w:rPr>
                <w:rFonts w:ascii="Times New Roman"/>
                <w:sz w:val="16"/>
              </w:rPr>
            </w:pPr>
          </w:p>
        </w:tc>
        <w:tc>
          <w:tcPr>
            <w:tcW w:w="665" w:type="dxa"/>
          </w:tcPr>
          <w:p>
            <w:pPr>
              <w:pStyle w:val="TableParagraph"/>
              <w:rPr>
                <w:rFonts w:ascii="Times New Roman"/>
                <w:sz w:val="16"/>
              </w:rPr>
            </w:pPr>
          </w:p>
        </w:tc>
        <w:tc>
          <w:tcPr>
            <w:tcW w:w="778" w:type="dxa"/>
          </w:tcPr>
          <w:p>
            <w:pPr>
              <w:pStyle w:val="TableParagraph"/>
              <w:rPr>
                <w:rFonts w:ascii="Times New Roman"/>
                <w:sz w:val="16"/>
              </w:rPr>
            </w:pPr>
          </w:p>
        </w:tc>
        <w:tc>
          <w:tcPr>
            <w:tcW w:w="687" w:type="dxa"/>
          </w:tcPr>
          <w:p>
            <w:pPr>
              <w:pStyle w:val="TableParagraph"/>
              <w:rPr>
                <w:rFonts w:ascii="Times New Roman"/>
                <w:sz w:val="16"/>
              </w:rPr>
            </w:pPr>
          </w:p>
        </w:tc>
        <w:tc>
          <w:tcPr>
            <w:tcW w:w="903" w:type="dxa"/>
          </w:tcPr>
          <w:p>
            <w:pPr>
              <w:pStyle w:val="TableParagraph"/>
              <w:rPr>
                <w:rFonts w:ascii="Times New Roman"/>
                <w:sz w:val="16"/>
              </w:rPr>
            </w:pPr>
          </w:p>
        </w:tc>
        <w:tc>
          <w:tcPr>
            <w:tcW w:w="685" w:type="dxa"/>
          </w:tcPr>
          <w:p>
            <w:pPr>
              <w:pStyle w:val="TableParagraph"/>
              <w:rPr>
                <w:rFonts w:ascii="Times New Roman"/>
                <w:sz w:val="16"/>
              </w:rPr>
            </w:pPr>
          </w:p>
        </w:tc>
        <w:tc>
          <w:tcPr>
            <w:tcW w:w="800" w:type="dxa"/>
          </w:tcPr>
          <w:p>
            <w:pPr>
              <w:pStyle w:val="TableParagraph"/>
              <w:rPr>
                <w:rFonts w:ascii="Times New Roman"/>
                <w:sz w:val="16"/>
              </w:rPr>
            </w:pPr>
          </w:p>
        </w:tc>
        <w:tc>
          <w:tcPr>
            <w:tcW w:w="627" w:type="dxa"/>
          </w:tcPr>
          <w:p>
            <w:pPr>
              <w:pStyle w:val="TableParagraph"/>
              <w:rPr>
                <w:rFonts w:ascii="Times New Roman"/>
                <w:sz w:val="16"/>
              </w:rPr>
            </w:pPr>
          </w:p>
        </w:tc>
        <w:tc>
          <w:tcPr>
            <w:tcW w:w="771" w:type="dxa"/>
          </w:tcPr>
          <w:p>
            <w:pPr>
              <w:pStyle w:val="TableParagraph"/>
              <w:rPr>
                <w:rFonts w:ascii="Times New Roman"/>
                <w:sz w:val="16"/>
              </w:rPr>
            </w:pPr>
          </w:p>
        </w:tc>
        <w:tc>
          <w:tcPr>
            <w:tcW w:w="692"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30" w:hRule="atLeast"/>
        </w:trPr>
        <w:tc>
          <w:tcPr>
            <w:tcW w:w="4148" w:type="dxa"/>
            <w:tcBorders>
              <w:left w:val="single" w:sz="4" w:space="0" w:color="000000"/>
            </w:tcBorders>
          </w:tcPr>
          <w:p>
            <w:pPr>
              <w:pStyle w:val="TableParagraph"/>
              <w:spacing w:line="210" w:lineRule="exact"/>
              <w:ind w:right="107"/>
              <w:jc w:val="right"/>
              <w:rPr>
                <w:sz w:val="20"/>
              </w:rPr>
            </w:pPr>
            <w:r>
              <w:rPr>
                <w:sz w:val="20"/>
              </w:rPr>
              <w:t>expand</w:t>
            </w:r>
            <w:r>
              <w:rPr>
                <w:spacing w:val="71"/>
                <w:sz w:val="20"/>
              </w:rPr>
              <w:t> </w:t>
            </w:r>
            <w:r>
              <w:rPr>
                <w:sz w:val="20"/>
              </w:rPr>
              <w:t>the</w:t>
            </w:r>
            <w:r>
              <w:rPr>
                <w:spacing w:val="68"/>
                <w:sz w:val="20"/>
              </w:rPr>
              <w:t> </w:t>
            </w:r>
            <w:r>
              <w:rPr>
                <w:sz w:val="20"/>
              </w:rPr>
              <w:t>medical</w:t>
            </w:r>
            <w:r>
              <w:rPr>
                <w:spacing w:val="71"/>
                <w:sz w:val="20"/>
              </w:rPr>
              <w:t> </w:t>
            </w:r>
            <w:r>
              <w:rPr>
                <w:sz w:val="20"/>
              </w:rPr>
              <w:t>facilities</w:t>
            </w:r>
            <w:r>
              <w:rPr>
                <w:spacing w:val="70"/>
                <w:sz w:val="20"/>
              </w:rPr>
              <w:t> </w:t>
            </w:r>
            <w:r>
              <w:rPr>
                <w:spacing w:val="-5"/>
                <w:sz w:val="20"/>
              </w:rPr>
              <w:t>and</w:t>
            </w:r>
          </w:p>
        </w:tc>
        <w:tc>
          <w:tcPr>
            <w:tcW w:w="1795" w:type="dxa"/>
          </w:tcPr>
          <w:p>
            <w:pPr>
              <w:pStyle w:val="TableParagraph"/>
              <w:spacing w:line="210" w:lineRule="exact"/>
              <w:ind w:left="109"/>
              <w:rPr>
                <w:sz w:val="20"/>
              </w:rPr>
            </w:pPr>
            <w:r>
              <w:rPr>
                <w:spacing w:val="-2"/>
                <w:sz w:val="20"/>
              </w:rPr>
              <w:t>observations</w:t>
            </w:r>
          </w:p>
        </w:tc>
        <w:tc>
          <w:tcPr>
            <w:tcW w:w="652" w:type="dxa"/>
          </w:tcPr>
          <w:p>
            <w:pPr>
              <w:pStyle w:val="TableParagraph"/>
              <w:spacing w:line="210" w:lineRule="exact"/>
              <w:ind w:left="84" w:right="1"/>
              <w:jc w:val="center"/>
              <w:rPr>
                <w:sz w:val="20"/>
              </w:rPr>
            </w:pPr>
            <w:r>
              <w:rPr>
                <w:spacing w:val="-10"/>
                <w:sz w:val="20"/>
              </w:rPr>
              <w:t>1</w:t>
            </w:r>
          </w:p>
        </w:tc>
        <w:tc>
          <w:tcPr>
            <w:tcW w:w="831" w:type="dxa"/>
          </w:tcPr>
          <w:p>
            <w:pPr>
              <w:pStyle w:val="TableParagraph"/>
              <w:spacing w:line="210" w:lineRule="exact"/>
              <w:ind w:left="40"/>
              <w:jc w:val="center"/>
              <w:rPr>
                <w:sz w:val="20"/>
              </w:rPr>
            </w:pPr>
            <w:r>
              <w:rPr>
                <w:spacing w:val="-4"/>
                <w:sz w:val="20"/>
              </w:rPr>
              <w:t>50.0</w:t>
            </w:r>
          </w:p>
        </w:tc>
        <w:tc>
          <w:tcPr>
            <w:tcW w:w="665" w:type="dxa"/>
          </w:tcPr>
          <w:p>
            <w:pPr>
              <w:pStyle w:val="TableParagraph"/>
              <w:spacing w:line="210" w:lineRule="exact"/>
              <w:ind w:left="10" w:right="23"/>
              <w:jc w:val="center"/>
              <w:rPr>
                <w:sz w:val="20"/>
              </w:rPr>
            </w:pPr>
            <w:r>
              <w:rPr>
                <w:spacing w:val="-10"/>
                <w:sz w:val="20"/>
              </w:rPr>
              <w:t>1</w:t>
            </w:r>
          </w:p>
        </w:tc>
        <w:tc>
          <w:tcPr>
            <w:tcW w:w="778" w:type="dxa"/>
          </w:tcPr>
          <w:p>
            <w:pPr>
              <w:pStyle w:val="TableParagraph"/>
              <w:spacing w:line="210" w:lineRule="exact"/>
              <w:ind w:left="55" w:right="71"/>
              <w:jc w:val="center"/>
              <w:rPr>
                <w:sz w:val="20"/>
              </w:rPr>
            </w:pPr>
            <w:r>
              <w:rPr>
                <w:spacing w:val="-4"/>
                <w:sz w:val="20"/>
              </w:rPr>
              <w:t>50.0</w:t>
            </w:r>
          </w:p>
        </w:tc>
        <w:tc>
          <w:tcPr>
            <w:tcW w:w="687" w:type="dxa"/>
          </w:tcPr>
          <w:p>
            <w:pPr>
              <w:pStyle w:val="TableParagraph"/>
              <w:spacing w:line="210" w:lineRule="exact"/>
              <w:ind w:left="67" w:right="115"/>
              <w:jc w:val="center"/>
              <w:rPr>
                <w:sz w:val="20"/>
              </w:rPr>
            </w:pPr>
            <w:r>
              <w:rPr>
                <w:spacing w:val="-10"/>
                <w:sz w:val="20"/>
              </w:rPr>
              <w:t>-</w:t>
            </w:r>
          </w:p>
        </w:tc>
        <w:tc>
          <w:tcPr>
            <w:tcW w:w="903" w:type="dxa"/>
          </w:tcPr>
          <w:p>
            <w:pPr>
              <w:pStyle w:val="TableParagraph"/>
              <w:spacing w:line="210" w:lineRule="exact"/>
              <w:ind w:left="13" w:right="12"/>
              <w:jc w:val="center"/>
              <w:rPr>
                <w:sz w:val="20"/>
              </w:rPr>
            </w:pPr>
            <w:r>
              <w:rPr>
                <w:spacing w:val="-10"/>
                <w:sz w:val="20"/>
              </w:rPr>
              <w:t>-</w:t>
            </w:r>
          </w:p>
        </w:tc>
        <w:tc>
          <w:tcPr>
            <w:tcW w:w="685" w:type="dxa"/>
          </w:tcPr>
          <w:p>
            <w:pPr>
              <w:pStyle w:val="TableParagraph"/>
              <w:spacing w:line="210" w:lineRule="exact"/>
              <w:ind w:left="77" w:right="32"/>
              <w:jc w:val="center"/>
              <w:rPr>
                <w:sz w:val="20"/>
              </w:rPr>
            </w:pPr>
            <w:r>
              <w:rPr>
                <w:spacing w:val="-10"/>
                <w:sz w:val="20"/>
              </w:rPr>
              <w:t>-</w:t>
            </w:r>
          </w:p>
        </w:tc>
        <w:tc>
          <w:tcPr>
            <w:tcW w:w="800" w:type="dxa"/>
          </w:tcPr>
          <w:p>
            <w:pPr>
              <w:pStyle w:val="TableParagraph"/>
              <w:spacing w:line="210" w:lineRule="exact"/>
              <w:ind w:left="18" w:right="18"/>
              <w:jc w:val="center"/>
              <w:rPr>
                <w:sz w:val="20"/>
              </w:rPr>
            </w:pPr>
            <w:r>
              <w:rPr>
                <w:spacing w:val="-10"/>
                <w:sz w:val="20"/>
              </w:rPr>
              <w:t>-</w:t>
            </w:r>
          </w:p>
        </w:tc>
        <w:tc>
          <w:tcPr>
            <w:tcW w:w="627" w:type="dxa"/>
          </w:tcPr>
          <w:p>
            <w:pPr>
              <w:pStyle w:val="TableParagraph"/>
              <w:spacing w:line="210" w:lineRule="exact"/>
              <w:ind w:left="23" w:right="27"/>
              <w:jc w:val="center"/>
              <w:rPr>
                <w:sz w:val="20"/>
              </w:rPr>
            </w:pPr>
            <w:r>
              <w:rPr>
                <w:spacing w:val="-10"/>
                <w:sz w:val="20"/>
              </w:rPr>
              <w:t>-</w:t>
            </w:r>
          </w:p>
        </w:tc>
        <w:tc>
          <w:tcPr>
            <w:tcW w:w="771" w:type="dxa"/>
          </w:tcPr>
          <w:p>
            <w:pPr>
              <w:pStyle w:val="TableParagraph"/>
              <w:spacing w:line="210" w:lineRule="exact"/>
              <w:ind w:left="45" w:right="29"/>
              <w:jc w:val="center"/>
              <w:rPr>
                <w:sz w:val="20"/>
              </w:rPr>
            </w:pPr>
            <w:r>
              <w:rPr>
                <w:spacing w:val="-10"/>
                <w:sz w:val="20"/>
              </w:rPr>
              <w:t>-</w:t>
            </w:r>
          </w:p>
        </w:tc>
        <w:tc>
          <w:tcPr>
            <w:tcW w:w="692" w:type="dxa"/>
          </w:tcPr>
          <w:p>
            <w:pPr>
              <w:pStyle w:val="TableParagraph"/>
              <w:spacing w:line="210" w:lineRule="exact"/>
              <w:ind w:left="23" w:right="23"/>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27"/>
              <w:jc w:val="center"/>
              <w:rPr>
                <w:sz w:val="20"/>
              </w:rPr>
            </w:pPr>
            <w:r>
              <w:rPr>
                <w:spacing w:val="-5"/>
                <w:sz w:val="20"/>
              </w:rPr>
              <w:t>0.4</w:t>
            </w:r>
          </w:p>
        </w:tc>
      </w:tr>
      <w:tr>
        <w:trPr>
          <w:trHeight w:val="230" w:hRule="atLeast"/>
        </w:trPr>
        <w:tc>
          <w:tcPr>
            <w:tcW w:w="4148" w:type="dxa"/>
            <w:tcBorders>
              <w:left w:val="single" w:sz="4" w:space="0" w:color="000000"/>
            </w:tcBorders>
          </w:tcPr>
          <w:p>
            <w:pPr>
              <w:pStyle w:val="TableParagraph"/>
              <w:spacing w:line="210" w:lineRule="exact"/>
              <w:ind w:right="98"/>
              <w:jc w:val="right"/>
              <w:rPr>
                <w:sz w:val="20"/>
              </w:rPr>
            </w:pPr>
            <w:r>
              <w:rPr>
                <w:sz w:val="20"/>
              </w:rPr>
              <w:t>manpower</w:t>
            </w:r>
            <w:r>
              <w:rPr>
                <w:spacing w:val="62"/>
                <w:sz w:val="20"/>
              </w:rPr>
              <w:t> </w:t>
            </w:r>
            <w:r>
              <w:rPr>
                <w:sz w:val="20"/>
              </w:rPr>
              <w:t>in</w:t>
            </w:r>
            <w:r>
              <w:rPr>
                <w:spacing w:val="61"/>
                <w:sz w:val="20"/>
              </w:rPr>
              <w:t> </w:t>
            </w:r>
            <w:r>
              <w:rPr>
                <w:sz w:val="20"/>
              </w:rPr>
              <w:t>the</w:t>
            </w:r>
            <w:r>
              <w:rPr>
                <w:spacing w:val="57"/>
                <w:sz w:val="20"/>
              </w:rPr>
              <w:t> </w:t>
            </w:r>
            <w:r>
              <w:rPr>
                <w:sz w:val="20"/>
              </w:rPr>
              <w:t>medical</w:t>
            </w:r>
            <w:r>
              <w:rPr>
                <w:spacing w:val="66"/>
                <w:sz w:val="20"/>
              </w:rPr>
              <w:t> </w:t>
            </w:r>
            <w:r>
              <w:rPr>
                <w:spacing w:val="-2"/>
                <w:sz w:val="20"/>
              </w:rPr>
              <w:t>centers</w:t>
            </w:r>
          </w:p>
        </w:tc>
        <w:tc>
          <w:tcPr>
            <w:tcW w:w="1795" w:type="dxa"/>
          </w:tcPr>
          <w:p>
            <w:pPr>
              <w:pStyle w:val="TableParagraph"/>
              <w:spacing w:line="210" w:lineRule="exact"/>
              <w:ind w:left="109"/>
              <w:rPr>
                <w:sz w:val="20"/>
              </w:rPr>
            </w:pPr>
            <w:r>
              <w:rPr>
                <w:spacing w:val="-2"/>
                <w:sz w:val="20"/>
              </w:rPr>
              <w:t>Students</w:t>
            </w:r>
          </w:p>
        </w:tc>
        <w:tc>
          <w:tcPr>
            <w:tcW w:w="652" w:type="dxa"/>
          </w:tcPr>
          <w:p>
            <w:pPr>
              <w:pStyle w:val="TableParagraph"/>
              <w:spacing w:line="210" w:lineRule="exact"/>
              <w:ind w:left="83" w:right="5"/>
              <w:jc w:val="center"/>
              <w:rPr>
                <w:sz w:val="20"/>
              </w:rPr>
            </w:pPr>
            <w:r>
              <w:rPr>
                <w:spacing w:val="-5"/>
                <w:sz w:val="20"/>
              </w:rPr>
              <w:t>33</w:t>
            </w:r>
          </w:p>
        </w:tc>
        <w:tc>
          <w:tcPr>
            <w:tcW w:w="831" w:type="dxa"/>
          </w:tcPr>
          <w:p>
            <w:pPr>
              <w:pStyle w:val="TableParagraph"/>
              <w:spacing w:line="210" w:lineRule="exact"/>
              <w:ind w:left="40"/>
              <w:jc w:val="center"/>
              <w:rPr>
                <w:sz w:val="20"/>
              </w:rPr>
            </w:pPr>
            <w:r>
              <w:rPr>
                <w:spacing w:val="-4"/>
                <w:sz w:val="20"/>
              </w:rPr>
              <w:t>14.0</w:t>
            </w:r>
          </w:p>
        </w:tc>
        <w:tc>
          <w:tcPr>
            <w:tcW w:w="665" w:type="dxa"/>
          </w:tcPr>
          <w:p>
            <w:pPr>
              <w:pStyle w:val="TableParagraph"/>
              <w:spacing w:line="210" w:lineRule="exact"/>
              <w:ind w:left="5" w:right="23"/>
              <w:jc w:val="center"/>
              <w:rPr>
                <w:sz w:val="20"/>
              </w:rPr>
            </w:pPr>
            <w:r>
              <w:rPr>
                <w:spacing w:val="-5"/>
                <w:sz w:val="20"/>
              </w:rPr>
              <w:t>49</w:t>
            </w:r>
          </w:p>
        </w:tc>
        <w:tc>
          <w:tcPr>
            <w:tcW w:w="778" w:type="dxa"/>
          </w:tcPr>
          <w:p>
            <w:pPr>
              <w:pStyle w:val="TableParagraph"/>
              <w:spacing w:line="210" w:lineRule="exact"/>
              <w:ind w:left="55" w:right="71"/>
              <w:jc w:val="center"/>
              <w:rPr>
                <w:sz w:val="20"/>
              </w:rPr>
            </w:pPr>
            <w:r>
              <w:rPr>
                <w:spacing w:val="-4"/>
                <w:sz w:val="20"/>
              </w:rPr>
              <w:t>20.9</w:t>
            </w:r>
          </w:p>
        </w:tc>
        <w:tc>
          <w:tcPr>
            <w:tcW w:w="687" w:type="dxa"/>
          </w:tcPr>
          <w:p>
            <w:pPr>
              <w:pStyle w:val="TableParagraph"/>
              <w:spacing w:line="210" w:lineRule="exact"/>
              <w:ind w:left="67" w:right="113"/>
              <w:jc w:val="center"/>
              <w:rPr>
                <w:sz w:val="20"/>
              </w:rPr>
            </w:pPr>
            <w:r>
              <w:rPr>
                <w:spacing w:val="-5"/>
                <w:sz w:val="20"/>
              </w:rPr>
              <w:t>28</w:t>
            </w:r>
          </w:p>
        </w:tc>
        <w:tc>
          <w:tcPr>
            <w:tcW w:w="903" w:type="dxa"/>
          </w:tcPr>
          <w:p>
            <w:pPr>
              <w:pStyle w:val="TableParagraph"/>
              <w:spacing w:line="210" w:lineRule="exact"/>
              <w:ind w:left="13" w:right="6"/>
              <w:jc w:val="center"/>
              <w:rPr>
                <w:sz w:val="20"/>
              </w:rPr>
            </w:pPr>
            <w:r>
              <w:rPr>
                <w:spacing w:val="-4"/>
                <w:sz w:val="20"/>
              </w:rPr>
              <w:t>11.9</w:t>
            </w:r>
          </w:p>
        </w:tc>
        <w:tc>
          <w:tcPr>
            <w:tcW w:w="685" w:type="dxa"/>
          </w:tcPr>
          <w:p>
            <w:pPr>
              <w:pStyle w:val="TableParagraph"/>
              <w:spacing w:line="210" w:lineRule="exact"/>
              <w:ind w:left="79" w:right="32"/>
              <w:jc w:val="center"/>
              <w:rPr>
                <w:sz w:val="20"/>
              </w:rPr>
            </w:pPr>
            <w:r>
              <w:rPr>
                <w:spacing w:val="-5"/>
                <w:sz w:val="20"/>
              </w:rPr>
              <w:t>74</w:t>
            </w:r>
          </w:p>
        </w:tc>
        <w:tc>
          <w:tcPr>
            <w:tcW w:w="800" w:type="dxa"/>
          </w:tcPr>
          <w:p>
            <w:pPr>
              <w:pStyle w:val="TableParagraph"/>
              <w:spacing w:line="210" w:lineRule="exact"/>
              <w:ind w:left="18" w:right="12"/>
              <w:jc w:val="center"/>
              <w:rPr>
                <w:sz w:val="20"/>
              </w:rPr>
            </w:pPr>
            <w:r>
              <w:rPr>
                <w:spacing w:val="-4"/>
                <w:sz w:val="20"/>
              </w:rPr>
              <w:t>31.5</w:t>
            </w:r>
          </w:p>
        </w:tc>
        <w:tc>
          <w:tcPr>
            <w:tcW w:w="627" w:type="dxa"/>
          </w:tcPr>
          <w:p>
            <w:pPr>
              <w:pStyle w:val="TableParagraph"/>
              <w:spacing w:line="210" w:lineRule="exact"/>
              <w:ind w:left="23" w:right="25"/>
              <w:jc w:val="center"/>
              <w:rPr>
                <w:sz w:val="20"/>
              </w:rPr>
            </w:pPr>
            <w:r>
              <w:rPr>
                <w:spacing w:val="-5"/>
                <w:sz w:val="20"/>
              </w:rPr>
              <w:t>51</w:t>
            </w:r>
          </w:p>
        </w:tc>
        <w:tc>
          <w:tcPr>
            <w:tcW w:w="771" w:type="dxa"/>
          </w:tcPr>
          <w:p>
            <w:pPr>
              <w:pStyle w:val="TableParagraph"/>
              <w:spacing w:line="210" w:lineRule="exact"/>
              <w:ind w:left="45" w:right="22"/>
              <w:jc w:val="center"/>
              <w:rPr>
                <w:sz w:val="20"/>
              </w:rPr>
            </w:pPr>
            <w:r>
              <w:rPr>
                <w:spacing w:val="-4"/>
                <w:sz w:val="20"/>
              </w:rPr>
              <w:t>21.7</w:t>
            </w:r>
          </w:p>
        </w:tc>
        <w:tc>
          <w:tcPr>
            <w:tcW w:w="692" w:type="dxa"/>
          </w:tcPr>
          <w:p>
            <w:pPr>
              <w:pStyle w:val="TableParagraph"/>
              <w:spacing w:line="210" w:lineRule="exact"/>
              <w:ind w:left="23" w:right="30"/>
              <w:jc w:val="center"/>
              <w:rPr>
                <w:sz w:val="20"/>
              </w:rPr>
            </w:pPr>
            <w:r>
              <w:rPr>
                <w:spacing w:val="-5"/>
                <w:sz w:val="20"/>
              </w:rPr>
              <w:t>235</w:t>
            </w:r>
          </w:p>
        </w:tc>
        <w:tc>
          <w:tcPr>
            <w:tcW w:w="739" w:type="dxa"/>
            <w:tcBorders>
              <w:right w:val="single" w:sz="4" w:space="0" w:color="000000"/>
            </w:tcBorders>
          </w:tcPr>
          <w:p>
            <w:pPr>
              <w:pStyle w:val="TableParagraph"/>
              <w:spacing w:line="210" w:lineRule="exact"/>
              <w:ind w:left="36" w:right="22"/>
              <w:jc w:val="center"/>
              <w:rPr>
                <w:sz w:val="20"/>
              </w:rPr>
            </w:pPr>
            <w:r>
              <w:rPr>
                <w:spacing w:val="-4"/>
                <w:sz w:val="20"/>
              </w:rPr>
              <w:t>50.8</w:t>
            </w:r>
          </w:p>
        </w:tc>
      </w:tr>
      <w:tr>
        <w:trPr>
          <w:trHeight w:val="686" w:hRule="atLeast"/>
        </w:trPr>
        <w:tc>
          <w:tcPr>
            <w:tcW w:w="4148" w:type="dxa"/>
            <w:tcBorders>
              <w:left w:val="single" w:sz="4" w:space="0" w:color="000000"/>
            </w:tcBorders>
          </w:tcPr>
          <w:p>
            <w:pPr>
              <w:pStyle w:val="TableParagraph"/>
              <w:spacing w:line="235" w:lineRule="auto" w:before="1"/>
              <w:ind w:left="830"/>
              <w:rPr>
                <w:sz w:val="20"/>
              </w:rPr>
            </w:pPr>
            <w:r>
              <w:rPr>
                <w:sz w:val="20"/>
              </w:rPr>
              <w:t>on</w:t>
            </w:r>
            <w:r>
              <w:rPr>
                <w:spacing w:val="-3"/>
                <w:sz w:val="20"/>
              </w:rPr>
              <w:t> </w:t>
            </w:r>
            <w:r>
              <w:rPr>
                <w:sz w:val="20"/>
              </w:rPr>
              <w:t>campus</w:t>
            </w:r>
            <w:r>
              <w:rPr>
                <w:spacing w:val="-11"/>
                <w:sz w:val="20"/>
              </w:rPr>
              <w:t> </w:t>
            </w:r>
            <w:r>
              <w:rPr>
                <w:sz w:val="20"/>
              </w:rPr>
              <w:t>for</w:t>
            </w:r>
            <w:r>
              <w:rPr>
                <w:spacing w:val="-6"/>
                <w:sz w:val="20"/>
              </w:rPr>
              <w:t> </w:t>
            </w:r>
            <w:r>
              <w:rPr>
                <w:sz w:val="20"/>
              </w:rPr>
              <w:t>treatment</w:t>
            </w:r>
            <w:r>
              <w:rPr>
                <w:spacing w:val="-5"/>
                <w:sz w:val="20"/>
              </w:rPr>
              <w:t> </w:t>
            </w:r>
            <w:r>
              <w:rPr>
                <w:sz w:val="20"/>
              </w:rPr>
              <w:t>of all</w:t>
            </w:r>
            <w:r>
              <w:rPr>
                <w:spacing w:val="-8"/>
                <w:sz w:val="20"/>
              </w:rPr>
              <w:t> </w:t>
            </w:r>
            <w:r>
              <w:rPr>
                <w:sz w:val="20"/>
              </w:rPr>
              <w:t>forms of</w:t>
            </w:r>
            <w:r>
              <w:rPr>
                <w:spacing w:val="30"/>
                <w:sz w:val="20"/>
              </w:rPr>
              <w:t>  </w:t>
            </w:r>
            <w:r>
              <w:rPr>
                <w:sz w:val="20"/>
              </w:rPr>
              <w:t>infirmity</w:t>
            </w:r>
            <w:r>
              <w:rPr>
                <w:spacing w:val="30"/>
                <w:sz w:val="20"/>
              </w:rPr>
              <w:t>  </w:t>
            </w:r>
            <w:r>
              <w:rPr>
                <w:sz w:val="20"/>
              </w:rPr>
              <w:t>as</w:t>
            </w:r>
            <w:r>
              <w:rPr>
                <w:spacing w:val="28"/>
                <w:sz w:val="20"/>
              </w:rPr>
              <w:t>  </w:t>
            </w:r>
            <w:r>
              <w:rPr>
                <w:sz w:val="20"/>
              </w:rPr>
              <w:t>arrangement</w:t>
            </w:r>
            <w:r>
              <w:rPr>
                <w:spacing w:val="31"/>
                <w:sz w:val="20"/>
              </w:rPr>
              <w:t>  </w:t>
            </w:r>
            <w:r>
              <w:rPr>
                <w:spacing w:val="-5"/>
                <w:sz w:val="20"/>
              </w:rPr>
              <w:t>are</w:t>
            </w:r>
          </w:p>
          <w:p>
            <w:pPr>
              <w:pStyle w:val="TableParagraph"/>
              <w:spacing w:line="213" w:lineRule="exact" w:before="1"/>
              <w:ind w:left="830"/>
              <w:rPr>
                <w:sz w:val="20"/>
              </w:rPr>
            </w:pPr>
            <w:r>
              <w:rPr>
                <w:sz w:val="20"/>
              </w:rPr>
              <w:t>made</w:t>
            </w:r>
            <w:r>
              <w:rPr>
                <w:spacing w:val="35"/>
                <w:sz w:val="20"/>
              </w:rPr>
              <w:t>  </w:t>
            </w:r>
            <w:r>
              <w:rPr>
                <w:sz w:val="20"/>
              </w:rPr>
              <w:t>to</w:t>
            </w:r>
            <w:r>
              <w:rPr>
                <w:spacing w:val="36"/>
                <w:sz w:val="20"/>
              </w:rPr>
              <w:t>  </w:t>
            </w:r>
            <w:r>
              <w:rPr>
                <w:sz w:val="20"/>
              </w:rPr>
              <w:t>refer</w:t>
            </w:r>
            <w:r>
              <w:rPr>
                <w:spacing w:val="36"/>
                <w:sz w:val="20"/>
              </w:rPr>
              <w:t>  </w:t>
            </w:r>
            <w:r>
              <w:rPr>
                <w:sz w:val="20"/>
              </w:rPr>
              <w:t>some</w:t>
            </w:r>
            <w:r>
              <w:rPr>
                <w:spacing w:val="36"/>
                <w:sz w:val="20"/>
              </w:rPr>
              <w:t>  </w:t>
            </w:r>
            <w:r>
              <w:rPr>
                <w:sz w:val="20"/>
              </w:rPr>
              <w:t>cases</w:t>
            </w:r>
            <w:r>
              <w:rPr>
                <w:spacing w:val="37"/>
                <w:sz w:val="20"/>
              </w:rPr>
              <w:t>  </w:t>
            </w:r>
            <w:r>
              <w:rPr>
                <w:spacing w:val="-5"/>
                <w:sz w:val="20"/>
              </w:rPr>
              <w:t>to</w:t>
            </w:r>
          </w:p>
        </w:tc>
        <w:tc>
          <w:tcPr>
            <w:tcW w:w="1795" w:type="dxa"/>
          </w:tcPr>
          <w:p>
            <w:pPr>
              <w:pStyle w:val="TableParagraph"/>
              <w:spacing w:before="45"/>
              <w:ind w:left="109"/>
              <w:rPr>
                <w:sz w:val="20"/>
              </w:rPr>
            </w:pPr>
            <w:r>
              <w:rPr>
                <w:sz w:val="20"/>
              </w:rPr>
              <w:t>Service</w:t>
            </w:r>
            <w:r>
              <w:rPr>
                <w:spacing w:val="-9"/>
                <w:sz w:val="20"/>
              </w:rPr>
              <w:t> </w:t>
            </w:r>
            <w:r>
              <w:rPr>
                <w:spacing w:val="-2"/>
                <w:sz w:val="20"/>
              </w:rPr>
              <w:t>Staff</w:t>
            </w:r>
          </w:p>
          <w:p>
            <w:pPr>
              <w:pStyle w:val="TableParagraph"/>
              <w:spacing w:before="1"/>
              <w:ind w:left="109"/>
              <w:rPr>
                <w:sz w:val="20"/>
              </w:rPr>
            </w:pPr>
            <w:r>
              <w:rPr>
                <w:sz w:val="20"/>
              </w:rPr>
              <w:t>Top</w:t>
            </w:r>
            <w:r>
              <w:rPr>
                <w:spacing w:val="-1"/>
                <w:sz w:val="20"/>
              </w:rPr>
              <w:t> </w:t>
            </w:r>
            <w:r>
              <w:rPr>
                <w:spacing w:val="-2"/>
                <w:sz w:val="20"/>
              </w:rPr>
              <w:t>Management</w:t>
            </w:r>
          </w:p>
        </w:tc>
        <w:tc>
          <w:tcPr>
            <w:tcW w:w="652" w:type="dxa"/>
          </w:tcPr>
          <w:p>
            <w:pPr>
              <w:pStyle w:val="TableParagraph"/>
              <w:spacing w:before="45"/>
              <w:ind w:left="83" w:right="5"/>
              <w:jc w:val="center"/>
              <w:rPr>
                <w:sz w:val="20"/>
              </w:rPr>
            </w:pPr>
            <w:r>
              <w:rPr>
                <w:spacing w:val="-5"/>
                <w:sz w:val="20"/>
              </w:rPr>
              <w:t>23</w:t>
            </w:r>
          </w:p>
          <w:p>
            <w:pPr>
              <w:pStyle w:val="TableParagraph"/>
              <w:spacing w:before="1"/>
              <w:ind w:left="84" w:right="1"/>
              <w:jc w:val="center"/>
              <w:rPr>
                <w:sz w:val="20"/>
              </w:rPr>
            </w:pPr>
            <w:r>
              <w:rPr>
                <w:spacing w:val="-10"/>
                <w:sz w:val="20"/>
              </w:rPr>
              <w:t>4</w:t>
            </w:r>
          </w:p>
        </w:tc>
        <w:tc>
          <w:tcPr>
            <w:tcW w:w="831" w:type="dxa"/>
          </w:tcPr>
          <w:p>
            <w:pPr>
              <w:pStyle w:val="TableParagraph"/>
              <w:spacing w:before="45"/>
              <w:ind w:left="240"/>
              <w:rPr>
                <w:sz w:val="20"/>
              </w:rPr>
            </w:pPr>
            <w:r>
              <w:rPr>
                <w:spacing w:val="-4"/>
                <w:sz w:val="20"/>
              </w:rPr>
              <w:t>11.3</w:t>
            </w:r>
          </w:p>
          <w:p>
            <w:pPr>
              <w:pStyle w:val="TableParagraph"/>
              <w:spacing w:before="1"/>
              <w:ind w:left="240"/>
              <w:rPr>
                <w:sz w:val="20"/>
              </w:rPr>
            </w:pPr>
            <w:r>
              <w:rPr>
                <w:spacing w:val="-4"/>
                <w:sz w:val="20"/>
              </w:rPr>
              <w:t>17.4</w:t>
            </w:r>
          </w:p>
        </w:tc>
        <w:tc>
          <w:tcPr>
            <w:tcW w:w="665" w:type="dxa"/>
          </w:tcPr>
          <w:p>
            <w:pPr>
              <w:pStyle w:val="TableParagraph"/>
              <w:spacing w:before="45"/>
              <w:ind w:left="5" w:right="23"/>
              <w:jc w:val="center"/>
              <w:rPr>
                <w:sz w:val="20"/>
              </w:rPr>
            </w:pPr>
            <w:r>
              <w:rPr>
                <w:spacing w:val="-5"/>
                <w:sz w:val="20"/>
              </w:rPr>
              <w:t>40</w:t>
            </w:r>
          </w:p>
          <w:p>
            <w:pPr>
              <w:pStyle w:val="TableParagraph"/>
              <w:spacing w:before="1"/>
              <w:ind w:left="10" w:right="23"/>
              <w:jc w:val="center"/>
              <w:rPr>
                <w:sz w:val="20"/>
              </w:rPr>
            </w:pPr>
            <w:r>
              <w:rPr>
                <w:spacing w:val="-10"/>
                <w:sz w:val="20"/>
              </w:rPr>
              <w:t>6</w:t>
            </w:r>
          </w:p>
        </w:tc>
        <w:tc>
          <w:tcPr>
            <w:tcW w:w="778" w:type="dxa"/>
          </w:tcPr>
          <w:p>
            <w:pPr>
              <w:pStyle w:val="TableParagraph"/>
              <w:spacing w:before="45"/>
              <w:ind w:left="184"/>
              <w:rPr>
                <w:sz w:val="20"/>
              </w:rPr>
            </w:pPr>
            <w:r>
              <w:rPr>
                <w:spacing w:val="-4"/>
                <w:sz w:val="20"/>
              </w:rPr>
              <w:t>19.7</w:t>
            </w:r>
          </w:p>
          <w:p>
            <w:pPr>
              <w:pStyle w:val="TableParagraph"/>
              <w:spacing w:before="1"/>
              <w:ind w:left="184"/>
              <w:rPr>
                <w:sz w:val="20"/>
              </w:rPr>
            </w:pPr>
            <w:r>
              <w:rPr>
                <w:spacing w:val="-4"/>
                <w:sz w:val="20"/>
              </w:rPr>
              <w:t>26.1</w:t>
            </w:r>
          </w:p>
        </w:tc>
        <w:tc>
          <w:tcPr>
            <w:tcW w:w="687" w:type="dxa"/>
          </w:tcPr>
          <w:p>
            <w:pPr>
              <w:pStyle w:val="TableParagraph"/>
              <w:spacing w:before="45"/>
              <w:ind w:left="67" w:right="113"/>
              <w:jc w:val="center"/>
              <w:rPr>
                <w:sz w:val="20"/>
              </w:rPr>
            </w:pPr>
            <w:r>
              <w:rPr>
                <w:spacing w:val="-5"/>
                <w:sz w:val="20"/>
              </w:rPr>
              <w:t>22</w:t>
            </w:r>
          </w:p>
          <w:p>
            <w:pPr>
              <w:pStyle w:val="TableParagraph"/>
              <w:spacing w:before="1"/>
              <w:ind w:left="67" w:right="108"/>
              <w:jc w:val="center"/>
              <w:rPr>
                <w:sz w:val="20"/>
              </w:rPr>
            </w:pPr>
            <w:r>
              <w:rPr>
                <w:spacing w:val="-10"/>
                <w:sz w:val="20"/>
              </w:rPr>
              <w:t>2</w:t>
            </w:r>
          </w:p>
        </w:tc>
        <w:tc>
          <w:tcPr>
            <w:tcW w:w="903" w:type="dxa"/>
          </w:tcPr>
          <w:p>
            <w:pPr>
              <w:pStyle w:val="TableParagraph"/>
              <w:spacing w:before="45"/>
              <w:ind w:left="13" w:right="6"/>
              <w:jc w:val="center"/>
              <w:rPr>
                <w:sz w:val="20"/>
              </w:rPr>
            </w:pPr>
            <w:r>
              <w:rPr>
                <w:spacing w:val="-4"/>
                <w:sz w:val="20"/>
              </w:rPr>
              <w:t>10.8</w:t>
            </w:r>
          </w:p>
          <w:p>
            <w:pPr>
              <w:pStyle w:val="TableParagraph"/>
              <w:spacing w:before="1"/>
              <w:ind w:left="13" w:right="11"/>
              <w:jc w:val="center"/>
              <w:rPr>
                <w:sz w:val="20"/>
              </w:rPr>
            </w:pPr>
            <w:r>
              <w:rPr>
                <w:spacing w:val="-5"/>
                <w:sz w:val="20"/>
              </w:rPr>
              <w:t>8.7</w:t>
            </w:r>
          </w:p>
        </w:tc>
        <w:tc>
          <w:tcPr>
            <w:tcW w:w="685" w:type="dxa"/>
          </w:tcPr>
          <w:p>
            <w:pPr>
              <w:pStyle w:val="TableParagraph"/>
              <w:spacing w:before="45"/>
              <w:ind w:left="79" w:right="32"/>
              <w:jc w:val="center"/>
              <w:rPr>
                <w:sz w:val="20"/>
              </w:rPr>
            </w:pPr>
            <w:r>
              <w:rPr>
                <w:spacing w:val="-5"/>
                <w:sz w:val="20"/>
              </w:rPr>
              <w:t>72</w:t>
            </w:r>
          </w:p>
          <w:p>
            <w:pPr>
              <w:pStyle w:val="TableParagraph"/>
              <w:spacing w:before="1"/>
              <w:ind w:left="83" w:right="32"/>
              <w:jc w:val="center"/>
              <w:rPr>
                <w:sz w:val="20"/>
              </w:rPr>
            </w:pPr>
            <w:r>
              <w:rPr>
                <w:spacing w:val="-10"/>
                <w:sz w:val="20"/>
              </w:rPr>
              <w:t>7</w:t>
            </w:r>
          </w:p>
        </w:tc>
        <w:tc>
          <w:tcPr>
            <w:tcW w:w="800" w:type="dxa"/>
          </w:tcPr>
          <w:p>
            <w:pPr>
              <w:pStyle w:val="TableParagraph"/>
              <w:spacing w:before="45"/>
              <w:ind w:left="207"/>
              <w:rPr>
                <w:sz w:val="20"/>
              </w:rPr>
            </w:pPr>
            <w:r>
              <w:rPr>
                <w:spacing w:val="-4"/>
                <w:sz w:val="20"/>
              </w:rPr>
              <w:t>35.5</w:t>
            </w:r>
          </w:p>
          <w:p>
            <w:pPr>
              <w:pStyle w:val="TableParagraph"/>
              <w:spacing w:before="1"/>
              <w:ind w:left="207"/>
              <w:rPr>
                <w:sz w:val="20"/>
              </w:rPr>
            </w:pPr>
            <w:r>
              <w:rPr>
                <w:spacing w:val="-4"/>
                <w:sz w:val="20"/>
              </w:rPr>
              <w:t>30.4</w:t>
            </w:r>
          </w:p>
        </w:tc>
        <w:tc>
          <w:tcPr>
            <w:tcW w:w="627" w:type="dxa"/>
          </w:tcPr>
          <w:p>
            <w:pPr>
              <w:pStyle w:val="TableParagraph"/>
              <w:spacing w:before="45"/>
              <w:ind w:left="23" w:right="25"/>
              <w:jc w:val="center"/>
              <w:rPr>
                <w:sz w:val="20"/>
              </w:rPr>
            </w:pPr>
            <w:r>
              <w:rPr>
                <w:spacing w:val="-5"/>
                <w:sz w:val="20"/>
              </w:rPr>
              <w:t>46</w:t>
            </w:r>
          </w:p>
          <w:p>
            <w:pPr>
              <w:pStyle w:val="TableParagraph"/>
              <w:spacing w:before="1"/>
              <w:ind w:left="23" w:right="23"/>
              <w:jc w:val="center"/>
              <w:rPr>
                <w:sz w:val="20"/>
              </w:rPr>
            </w:pPr>
            <w:r>
              <w:rPr>
                <w:spacing w:val="-10"/>
                <w:sz w:val="20"/>
              </w:rPr>
              <w:t>4</w:t>
            </w:r>
          </w:p>
        </w:tc>
        <w:tc>
          <w:tcPr>
            <w:tcW w:w="771" w:type="dxa"/>
          </w:tcPr>
          <w:p>
            <w:pPr>
              <w:pStyle w:val="TableParagraph"/>
              <w:spacing w:before="45"/>
              <w:ind w:left="201"/>
              <w:rPr>
                <w:sz w:val="20"/>
              </w:rPr>
            </w:pPr>
            <w:r>
              <w:rPr>
                <w:spacing w:val="-4"/>
                <w:sz w:val="20"/>
              </w:rPr>
              <w:t>22.7</w:t>
            </w:r>
          </w:p>
          <w:p>
            <w:pPr>
              <w:pStyle w:val="TableParagraph"/>
              <w:spacing w:before="1"/>
              <w:ind w:left="201"/>
              <w:rPr>
                <w:sz w:val="20"/>
              </w:rPr>
            </w:pPr>
            <w:r>
              <w:rPr>
                <w:spacing w:val="-4"/>
                <w:sz w:val="20"/>
              </w:rPr>
              <w:t>17.4</w:t>
            </w:r>
          </w:p>
        </w:tc>
        <w:tc>
          <w:tcPr>
            <w:tcW w:w="692" w:type="dxa"/>
          </w:tcPr>
          <w:p>
            <w:pPr>
              <w:pStyle w:val="TableParagraph"/>
              <w:spacing w:before="45"/>
              <w:ind w:left="23" w:right="30"/>
              <w:jc w:val="center"/>
              <w:rPr>
                <w:sz w:val="20"/>
              </w:rPr>
            </w:pPr>
            <w:r>
              <w:rPr>
                <w:spacing w:val="-5"/>
                <w:sz w:val="20"/>
              </w:rPr>
              <w:t>203</w:t>
            </w:r>
          </w:p>
          <w:p>
            <w:pPr>
              <w:pStyle w:val="TableParagraph"/>
              <w:spacing w:before="1"/>
              <w:ind w:left="23" w:right="25"/>
              <w:jc w:val="center"/>
              <w:rPr>
                <w:sz w:val="20"/>
              </w:rPr>
            </w:pPr>
            <w:r>
              <w:rPr>
                <w:spacing w:val="-5"/>
                <w:sz w:val="20"/>
              </w:rPr>
              <w:t>23</w:t>
            </w:r>
          </w:p>
        </w:tc>
        <w:tc>
          <w:tcPr>
            <w:tcW w:w="739" w:type="dxa"/>
            <w:tcBorders>
              <w:right w:val="single" w:sz="4" w:space="0" w:color="000000"/>
            </w:tcBorders>
          </w:tcPr>
          <w:p>
            <w:pPr>
              <w:pStyle w:val="TableParagraph"/>
              <w:spacing w:before="45"/>
              <w:ind w:left="178"/>
              <w:rPr>
                <w:sz w:val="20"/>
              </w:rPr>
            </w:pPr>
            <w:r>
              <w:rPr>
                <w:spacing w:val="-4"/>
                <w:sz w:val="20"/>
              </w:rPr>
              <w:t>43.8</w:t>
            </w:r>
          </w:p>
          <w:p>
            <w:pPr>
              <w:pStyle w:val="TableParagraph"/>
              <w:spacing w:before="1"/>
              <w:ind w:left="231"/>
              <w:rPr>
                <w:sz w:val="20"/>
              </w:rPr>
            </w:pPr>
            <w:r>
              <w:rPr>
                <w:spacing w:val="-5"/>
                <w:sz w:val="20"/>
              </w:rPr>
              <w:t>5.0</w:t>
            </w:r>
          </w:p>
        </w:tc>
      </w:tr>
      <w:tr>
        <w:trPr>
          <w:trHeight w:val="230" w:hRule="atLeast"/>
        </w:trPr>
        <w:tc>
          <w:tcPr>
            <w:tcW w:w="4148" w:type="dxa"/>
            <w:tcBorders>
              <w:left w:val="single" w:sz="4" w:space="0" w:color="000000"/>
            </w:tcBorders>
          </w:tcPr>
          <w:p>
            <w:pPr>
              <w:pStyle w:val="TableParagraph"/>
              <w:spacing w:line="210" w:lineRule="exact"/>
              <w:ind w:right="106"/>
              <w:jc w:val="right"/>
              <w:rPr>
                <w:sz w:val="20"/>
              </w:rPr>
            </w:pPr>
            <w:r>
              <w:rPr>
                <w:sz w:val="20"/>
              </w:rPr>
              <w:t>General,</w:t>
            </w:r>
            <w:r>
              <w:rPr>
                <w:spacing w:val="76"/>
                <w:sz w:val="20"/>
              </w:rPr>
              <w:t> </w:t>
            </w:r>
            <w:r>
              <w:rPr>
                <w:sz w:val="20"/>
              </w:rPr>
              <w:t>Specialist</w:t>
            </w:r>
            <w:r>
              <w:rPr>
                <w:spacing w:val="77"/>
                <w:sz w:val="20"/>
              </w:rPr>
              <w:t> </w:t>
            </w:r>
            <w:r>
              <w:rPr>
                <w:sz w:val="20"/>
              </w:rPr>
              <w:t>and</w:t>
            </w:r>
            <w:r>
              <w:rPr>
                <w:spacing w:val="74"/>
                <w:sz w:val="20"/>
              </w:rPr>
              <w:t> </w:t>
            </w:r>
            <w:r>
              <w:rPr>
                <w:spacing w:val="-2"/>
                <w:sz w:val="20"/>
              </w:rPr>
              <w:t>Teaching</w:t>
            </w:r>
          </w:p>
        </w:tc>
        <w:tc>
          <w:tcPr>
            <w:tcW w:w="1795" w:type="dxa"/>
          </w:tcPr>
          <w:p>
            <w:pPr>
              <w:pStyle w:val="TableParagraph"/>
              <w:rPr>
                <w:rFonts w:ascii="Times New Roman"/>
                <w:sz w:val="16"/>
              </w:rPr>
            </w:pPr>
          </w:p>
        </w:tc>
        <w:tc>
          <w:tcPr>
            <w:tcW w:w="652" w:type="dxa"/>
          </w:tcPr>
          <w:p>
            <w:pPr>
              <w:pStyle w:val="TableParagraph"/>
              <w:rPr>
                <w:rFonts w:ascii="Times New Roman"/>
                <w:sz w:val="16"/>
              </w:rPr>
            </w:pPr>
          </w:p>
        </w:tc>
        <w:tc>
          <w:tcPr>
            <w:tcW w:w="831" w:type="dxa"/>
          </w:tcPr>
          <w:p>
            <w:pPr>
              <w:pStyle w:val="TableParagraph"/>
              <w:rPr>
                <w:rFonts w:ascii="Times New Roman"/>
                <w:sz w:val="16"/>
              </w:rPr>
            </w:pPr>
          </w:p>
        </w:tc>
        <w:tc>
          <w:tcPr>
            <w:tcW w:w="665" w:type="dxa"/>
          </w:tcPr>
          <w:p>
            <w:pPr>
              <w:pStyle w:val="TableParagraph"/>
              <w:rPr>
                <w:rFonts w:ascii="Times New Roman"/>
                <w:sz w:val="16"/>
              </w:rPr>
            </w:pPr>
          </w:p>
        </w:tc>
        <w:tc>
          <w:tcPr>
            <w:tcW w:w="778" w:type="dxa"/>
          </w:tcPr>
          <w:p>
            <w:pPr>
              <w:pStyle w:val="TableParagraph"/>
              <w:rPr>
                <w:rFonts w:ascii="Times New Roman"/>
                <w:sz w:val="16"/>
              </w:rPr>
            </w:pPr>
          </w:p>
        </w:tc>
        <w:tc>
          <w:tcPr>
            <w:tcW w:w="687" w:type="dxa"/>
          </w:tcPr>
          <w:p>
            <w:pPr>
              <w:pStyle w:val="TableParagraph"/>
              <w:rPr>
                <w:rFonts w:ascii="Times New Roman"/>
                <w:sz w:val="16"/>
              </w:rPr>
            </w:pPr>
          </w:p>
        </w:tc>
        <w:tc>
          <w:tcPr>
            <w:tcW w:w="903" w:type="dxa"/>
          </w:tcPr>
          <w:p>
            <w:pPr>
              <w:pStyle w:val="TableParagraph"/>
              <w:rPr>
                <w:rFonts w:ascii="Times New Roman"/>
                <w:sz w:val="16"/>
              </w:rPr>
            </w:pPr>
          </w:p>
        </w:tc>
        <w:tc>
          <w:tcPr>
            <w:tcW w:w="685" w:type="dxa"/>
          </w:tcPr>
          <w:p>
            <w:pPr>
              <w:pStyle w:val="TableParagraph"/>
              <w:rPr>
                <w:rFonts w:ascii="Times New Roman"/>
                <w:sz w:val="16"/>
              </w:rPr>
            </w:pPr>
          </w:p>
        </w:tc>
        <w:tc>
          <w:tcPr>
            <w:tcW w:w="800" w:type="dxa"/>
          </w:tcPr>
          <w:p>
            <w:pPr>
              <w:pStyle w:val="TableParagraph"/>
              <w:rPr>
                <w:rFonts w:ascii="Times New Roman"/>
                <w:sz w:val="16"/>
              </w:rPr>
            </w:pPr>
          </w:p>
        </w:tc>
        <w:tc>
          <w:tcPr>
            <w:tcW w:w="627" w:type="dxa"/>
          </w:tcPr>
          <w:p>
            <w:pPr>
              <w:pStyle w:val="TableParagraph"/>
              <w:rPr>
                <w:rFonts w:ascii="Times New Roman"/>
                <w:sz w:val="16"/>
              </w:rPr>
            </w:pPr>
          </w:p>
        </w:tc>
        <w:tc>
          <w:tcPr>
            <w:tcW w:w="771" w:type="dxa"/>
          </w:tcPr>
          <w:p>
            <w:pPr>
              <w:pStyle w:val="TableParagraph"/>
              <w:rPr>
                <w:rFonts w:ascii="Times New Roman"/>
                <w:sz w:val="16"/>
              </w:rPr>
            </w:pPr>
          </w:p>
        </w:tc>
        <w:tc>
          <w:tcPr>
            <w:tcW w:w="692"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30" w:hRule="atLeast"/>
        </w:trPr>
        <w:tc>
          <w:tcPr>
            <w:tcW w:w="4148" w:type="dxa"/>
            <w:tcBorders>
              <w:left w:val="single" w:sz="4" w:space="0" w:color="000000"/>
            </w:tcBorders>
          </w:tcPr>
          <w:p>
            <w:pPr>
              <w:pStyle w:val="TableParagraph"/>
              <w:spacing w:line="210" w:lineRule="exact"/>
              <w:ind w:left="830"/>
              <w:rPr>
                <w:sz w:val="20"/>
              </w:rPr>
            </w:pPr>
            <w:r>
              <w:rPr>
                <w:sz w:val="20"/>
              </w:rPr>
              <w:t>hospitals</w:t>
            </w:r>
            <w:r>
              <w:rPr>
                <w:spacing w:val="-5"/>
                <w:sz w:val="20"/>
              </w:rPr>
              <w:t> </w:t>
            </w:r>
            <w:r>
              <w:rPr>
                <w:sz w:val="20"/>
              </w:rPr>
              <w:t>for</w:t>
            </w:r>
            <w:r>
              <w:rPr>
                <w:spacing w:val="-5"/>
                <w:sz w:val="20"/>
              </w:rPr>
              <w:t> </w:t>
            </w:r>
            <w:r>
              <w:rPr>
                <w:sz w:val="20"/>
              </w:rPr>
              <w:t>better</w:t>
            </w:r>
            <w:r>
              <w:rPr>
                <w:spacing w:val="-5"/>
                <w:sz w:val="20"/>
              </w:rPr>
              <w:t> </w:t>
            </w:r>
            <w:r>
              <w:rPr>
                <w:spacing w:val="-2"/>
                <w:sz w:val="20"/>
              </w:rPr>
              <w:t>treatment.</w:t>
            </w:r>
          </w:p>
        </w:tc>
        <w:tc>
          <w:tcPr>
            <w:tcW w:w="1795" w:type="dxa"/>
          </w:tcPr>
          <w:p>
            <w:pPr>
              <w:pStyle w:val="TableParagraph"/>
              <w:rPr>
                <w:rFonts w:ascii="Times New Roman"/>
                <w:sz w:val="16"/>
              </w:rPr>
            </w:pPr>
          </w:p>
        </w:tc>
        <w:tc>
          <w:tcPr>
            <w:tcW w:w="652" w:type="dxa"/>
          </w:tcPr>
          <w:p>
            <w:pPr>
              <w:pStyle w:val="TableParagraph"/>
              <w:rPr>
                <w:rFonts w:ascii="Times New Roman"/>
                <w:sz w:val="16"/>
              </w:rPr>
            </w:pPr>
          </w:p>
        </w:tc>
        <w:tc>
          <w:tcPr>
            <w:tcW w:w="831" w:type="dxa"/>
          </w:tcPr>
          <w:p>
            <w:pPr>
              <w:pStyle w:val="TableParagraph"/>
              <w:rPr>
                <w:rFonts w:ascii="Times New Roman"/>
                <w:sz w:val="16"/>
              </w:rPr>
            </w:pPr>
          </w:p>
        </w:tc>
        <w:tc>
          <w:tcPr>
            <w:tcW w:w="665" w:type="dxa"/>
          </w:tcPr>
          <w:p>
            <w:pPr>
              <w:pStyle w:val="TableParagraph"/>
              <w:rPr>
                <w:rFonts w:ascii="Times New Roman"/>
                <w:sz w:val="16"/>
              </w:rPr>
            </w:pPr>
          </w:p>
        </w:tc>
        <w:tc>
          <w:tcPr>
            <w:tcW w:w="778" w:type="dxa"/>
          </w:tcPr>
          <w:p>
            <w:pPr>
              <w:pStyle w:val="TableParagraph"/>
              <w:rPr>
                <w:rFonts w:ascii="Times New Roman"/>
                <w:sz w:val="16"/>
              </w:rPr>
            </w:pPr>
          </w:p>
        </w:tc>
        <w:tc>
          <w:tcPr>
            <w:tcW w:w="687" w:type="dxa"/>
          </w:tcPr>
          <w:p>
            <w:pPr>
              <w:pStyle w:val="TableParagraph"/>
              <w:rPr>
                <w:rFonts w:ascii="Times New Roman"/>
                <w:sz w:val="16"/>
              </w:rPr>
            </w:pPr>
          </w:p>
        </w:tc>
        <w:tc>
          <w:tcPr>
            <w:tcW w:w="903" w:type="dxa"/>
          </w:tcPr>
          <w:p>
            <w:pPr>
              <w:pStyle w:val="TableParagraph"/>
              <w:rPr>
                <w:rFonts w:ascii="Times New Roman"/>
                <w:sz w:val="16"/>
              </w:rPr>
            </w:pPr>
          </w:p>
        </w:tc>
        <w:tc>
          <w:tcPr>
            <w:tcW w:w="685" w:type="dxa"/>
          </w:tcPr>
          <w:p>
            <w:pPr>
              <w:pStyle w:val="TableParagraph"/>
              <w:rPr>
                <w:rFonts w:ascii="Times New Roman"/>
                <w:sz w:val="16"/>
              </w:rPr>
            </w:pPr>
          </w:p>
        </w:tc>
        <w:tc>
          <w:tcPr>
            <w:tcW w:w="800" w:type="dxa"/>
          </w:tcPr>
          <w:p>
            <w:pPr>
              <w:pStyle w:val="TableParagraph"/>
              <w:rPr>
                <w:rFonts w:ascii="Times New Roman"/>
                <w:sz w:val="16"/>
              </w:rPr>
            </w:pPr>
          </w:p>
        </w:tc>
        <w:tc>
          <w:tcPr>
            <w:tcW w:w="627" w:type="dxa"/>
          </w:tcPr>
          <w:p>
            <w:pPr>
              <w:pStyle w:val="TableParagraph"/>
              <w:rPr>
                <w:rFonts w:ascii="Times New Roman"/>
                <w:sz w:val="16"/>
              </w:rPr>
            </w:pPr>
          </w:p>
        </w:tc>
        <w:tc>
          <w:tcPr>
            <w:tcW w:w="771" w:type="dxa"/>
          </w:tcPr>
          <w:p>
            <w:pPr>
              <w:pStyle w:val="TableParagraph"/>
              <w:rPr>
                <w:rFonts w:ascii="Times New Roman"/>
                <w:sz w:val="16"/>
              </w:rPr>
            </w:pPr>
          </w:p>
        </w:tc>
        <w:tc>
          <w:tcPr>
            <w:tcW w:w="692"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30" w:hRule="atLeast"/>
        </w:trPr>
        <w:tc>
          <w:tcPr>
            <w:tcW w:w="4148" w:type="dxa"/>
            <w:tcBorders>
              <w:left w:val="single" w:sz="4" w:space="0" w:color="000000"/>
            </w:tcBorders>
          </w:tcPr>
          <w:p>
            <w:pPr>
              <w:pStyle w:val="TableParagraph"/>
              <w:tabs>
                <w:tab w:pos="609" w:val="left" w:leader="none"/>
              </w:tabs>
              <w:spacing w:line="210" w:lineRule="exact"/>
              <w:ind w:right="102"/>
              <w:jc w:val="right"/>
              <w:rPr>
                <w:sz w:val="20"/>
              </w:rPr>
            </w:pPr>
            <w:r>
              <w:rPr>
                <w:spacing w:val="-5"/>
                <w:sz w:val="20"/>
              </w:rPr>
              <w:t>88.</w:t>
            </w:r>
            <w:r>
              <w:rPr>
                <w:sz w:val="20"/>
              </w:rPr>
              <w:tab/>
              <w:t>The</w:t>
            </w:r>
            <w:r>
              <w:rPr>
                <w:spacing w:val="39"/>
                <w:sz w:val="20"/>
              </w:rPr>
              <w:t>  </w:t>
            </w:r>
            <w:r>
              <w:rPr>
                <w:sz w:val="20"/>
              </w:rPr>
              <w:t>medical</w:t>
            </w:r>
            <w:r>
              <w:rPr>
                <w:spacing w:val="41"/>
                <w:sz w:val="20"/>
              </w:rPr>
              <w:t>  </w:t>
            </w:r>
            <w:r>
              <w:rPr>
                <w:sz w:val="20"/>
              </w:rPr>
              <w:t>services</w:t>
            </w:r>
            <w:r>
              <w:rPr>
                <w:spacing w:val="39"/>
                <w:sz w:val="20"/>
              </w:rPr>
              <w:t>  </w:t>
            </w:r>
            <w:r>
              <w:rPr>
                <w:sz w:val="20"/>
              </w:rPr>
              <w:t>given</w:t>
            </w:r>
            <w:r>
              <w:rPr>
                <w:spacing w:val="39"/>
                <w:sz w:val="20"/>
              </w:rPr>
              <w:t>  </w:t>
            </w:r>
            <w:r>
              <w:rPr>
                <w:spacing w:val="-5"/>
                <w:sz w:val="20"/>
              </w:rPr>
              <w:t>to</w:t>
            </w:r>
          </w:p>
        </w:tc>
        <w:tc>
          <w:tcPr>
            <w:tcW w:w="1795" w:type="dxa"/>
          </w:tcPr>
          <w:p>
            <w:pPr>
              <w:pStyle w:val="TableParagraph"/>
              <w:spacing w:line="210" w:lineRule="exact"/>
              <w:ind w:left="109"/>
              <w:rPr>
                <w:sz w:val="20"/>
              </w:rPr>
            </w:pPr>
            <w:r>
              <w:rPr>
                <w:sz w:val="20"/>
              </w:rPr>
              <w:t>No.</w:t>
            </w:r>
            <w:r>
              <w:rPr>
                <w:spacing w:val="-5"/>
                <w:sz w:val="20"/>
              </w:rPr>
              <w:t> </w:t>
            </w:r>
            <w:r>
              <w:rPr>
                <w:sz w:val="20"/>
              </w:rPr>
              <w:t>of</w:t>
            </w:r>
            <w:r>
              <w:rPr>
                <w:spacing w:val="-2"/>
                <w:sz w:val="20"/>
              </w:rPr>
              <w:t> missing</w:t>
            </w:r>
          </w:p>
        </w:tc>
        <w:tc>
          <w:tcPr>
            <w:tcW w:w="652" w:type="dxa"/>
          </w:tcPr>
          <w:p>
            <w:pPr>
              <w:pStyle w:val="TableParagraph"/>
              <w:rPr>
                <w:rFonts w:ascii="Times New Roman"/>
                <w:sz w:val="16"/>
              </w:rPr>
            </w:pPr>
          </w:p>
        </w:tc>
        <w:tc>
          <w:tcPr>
            <w:tcW w:w="831" w:type="dxa"/>
          </w:tcPr>
          <w:p>
            <w:pPr>
              <w:pStyle w:val="TableParagraph"/>
              <w:rPr>
                <w:rFonts w:ascii="Times New Roman"/>
                <w:sz w:val="16"/>
              </w:rPr>
            </w:pPr>
          </w:p>
        </w:tc>
        <w:tc>
          <w:tcPr>
            <w:tcW w:w="665" w:type="dxa"/>
          </w:tcPr>
          <w:p>
            <w:pPr>
              <w:pStyle w:val="TableParagraph"/>
              <w:rPr>
                <w:rFonts w:ascii="Times New Roman"/>
                <w:sz w:val="16"/>
              </w:rPr>
            </w:pPr>
          </w:p>
        </w:tc>
        <w:tc>
          <w:tcPr>
            <w:tcW w:w="778" w:type="dxa"/>
          </w:tcPr>
          <w:p>
            <w:pPr>
              <w:pStyle w:val="TableParagraph"/>
              <w:rPr>
                <w:rFonts w:ascii="Times New Roman"/>
                <w:sz w:val="16"/>
              </w:rPr>
            </w:pPr>
          </w:p>
        </w:tc>
        <w:tc>
          <w:tcPr>
            <w:tcW w:w="687" w:type="dxa"/>
          </w:tcPr>
          <w:p>
            <w:pPr>
              <w:pStyle w:val="TableParagraph"/>
              <w:rPr>
                <w:rFonts w:ascii="Times New Roman"/>
                <w:sz w:val="16"/>
              </w:rPr>
            </w:pPr>
          </w:p>
        </w:tc>
        <w:tc>
          <w:tcPr>
            <w:tcW w:w="903" w:type="dxa"/>
          </w:tcPr>
          <w:p>
            <w:pPr>
              <w:pStyle w:val="TableParagraph"/>
              <w:rPr>
                <w:rFonts w:ascii="Times New Roman"/>
                <w:sz w:val="16"/>
              </w:rPr>
            </w:pPr>
          </w:p>
        </w:tc>
        <w:tc>
          <w:tcPr>
            <w:tcW w:w="685" w:type="dxa"/>
          </w:tcPr>
          <w:p>
            <w:pPr>
              <w:pStyle w:val="TableParagraph"/>
              <w:rPr>
                <w:rFonts w:ascii="Times New Roman"/>
                <w:sz w:val="16"/>
              </w:rPr>
            </w:pPr>
          </w:p>
        </w:tc>
        <w:tc>
          <w:tcPr>
            <w:tcW w:w="800" w:type="dxa"/>
          </w:tcPr>
          <w:p>
            <w:pPr>
              <w:pStyle w:val="TableParagraph"/>
              <w:rPr>
                <w:rFonts w:ascii="Times New Roman"/>
                <w:sz w:val="16"/>
              </w:rPr>
            </w:pPr>
          </w:p>
        </w:tc>
        <w:tc>
          <w:tcPr>
            <w:tcW w:w="627" w:type="dxa"/>
          </w:tcPr>
          <w:p>
            <w:pPr>
              <w:pStyle w:val="TableParagraph"/>
              <w:rPr>
                <w:rFonts w:ascii="Times New Roman"/>
                <w:sz w:val="16"/>
              </w:rPr>
            </w:pPr>
          </w:p>
        </w:tc>
        <w:tc>
          <w:tcPr>
            <w:tcW w:w="771" w:type="dxa"/>
          </w:tcPr>
          <w:p>
            <w:pPr>
              <w:pStyle w:val="TableParagraph"/>
              <w:rPr>
                <w:rFonts w:ascii="Times New Roman"/>
                <w:sz w:val="16"/>
              </w:rPr>
            </w:pPr>
          </w:p>
        </w:tc>
        <w:tc>
          <w:tcPr>
            <w:tcW w:w="692" w:type="dxa"/>
          </w:tcPr>
          <w:p>
            <w:pPr>
              <w:pStyle w:val="TableParagraph"/>
              <w:rPr>
                <w:rFonts w:ascii="Times New Roman"/>
                <w:sz w:val="16"/>
              </w:rPr>
            </w:pPr>
          </w:p>
        </w:tc>
        <w:tc>
          <w:tcPr>
            <w:tcW w:w="739" w:type="dxa"/>
            <w:tcBorders>
              <w:right w:val="single" w:sz="4" w:space="0" w:color="000000"/>
            </w:tcBorders>
          </w:tcPr>
          <w:p>
            <w:pPr>
              <w:pStyle w:val="TableParagraph"/>
              <w:rPr>
                <w:rFonts w:ascii="Times New Roman"/>
                <w:sz w:val="16"/>
              </w:rPr>
            </w:pPr>
          </w:p>
        </w:tc>
      </w:tr>
      <w:tr>
        <w:trPr>
          <w:trHeight w:val="230" w:hRule="atLeast"/>
        </w:trPr>
        <w:tc>
          <w:tcPr>
            <w:tcW w:w="4148" w:type="dxa"/>
            <w:tcBorders>
              <w:left w:val="single" w:sz="4" w:space="0" w:color="000000"/>
            </w:tcBorders>
          </w:tcPr>
          <w:p>
            <w:pPr>
              <w:pStyle w:val="TableParagraph"/>
              <w:spacing w:line="210" w:lineRule="exact"/>
              <w:ind w:right="107"/>
              <w:jc w:val="right"/>
              <w:rPr>
                <w:sz w:val="20"/>
              </w:rPr>
            </w:pPr>
            <w:r>
              <w:rPr>
                <w:sz w:val="20"/>
              </w:rPr>
              <w:t>students</w:t>
            </w:r>
            <w:r>
              <w:rPr>
                <w:spacing w:val="77"/>
                <w:w w:val="150"/>
                <w:sz w:val="20"/>
              </w:rPr>
              <w:t> </w:t>
            </w:r>
            <w:r>
              <w:rPr>
                <w:sz w:val="20"/>
              </w:rPr>
              <w:t>by</w:t>
            </w:r>
            <w:r>
              <w:rPr>
                <w:spacing w:val="78"/>
                <w:w w:val="150"/>
                <w:sz w:val="20"/>
              </w:rPr>
              <w:t> </w:t>
            </w:r>
            <w:r>
              <w:rPr>
                <w:sz w:val="20"/>
              </w:rPr>
              <w:t>medical</w:t>
            </w:r>
            <w:r>
              <w:rPr>
                <w:spacing w:val="76"/>
                <w:w w:val="150"/>
                <w:sz w:val="20"/>
              </w:rPr>
              <w:t> </w:t>
            </w:r>
            <w:r>
              <w:rPr>
                <w:sz w:val="20"/>
              </w:rPr>
              <w:t>centers</w:t>
            </w:r>
            <w:r>
              <w:rPr>
                <w:spacing w:val="73"/>
                <w:w w:val="150"/>
                <w:sz w:val="20"/>
              </w:rPr>
              <w:t> </w:t>
            </w:r>
            <w:r>
              <w:rPr>
                <w:spacing w:val="-5"/>
                <w:sz w:val="20"/>
              </w:rPr>
              <w:t>on</w:t>
            </w:r>
          </w:p>
        </w:tc>
        <w:tc>
          <w:tcPr>
            <w:tcW w:w="1795" w:type="dxa"/>
          </w:tcPr>
          <w:p>
            <w:pPr>
              <w:pStyle w:val="TableParagraph"/>
              <w:spacing w:line="210" w:lineRule="exact"/>
              <w:ind w:left="109"/>
              <w:rPr>
                <w:sz w:val="20"/>
              </w:rPr>
            </w:pPr>
            <w:r>
              <w:rPr>
                <w:spacing w:val="-2"/>
                <w:sz w:val="20"/>
              </w:rPr>
              <w:t>observations</w:t>
            </w:r>
          </w:p>
        </w:tc>
        <w:tc>
          <w:tcPr>
            <w:tcW w:w="652" w:type="dxa"/>
          </w:tcPr>
          <w:p>
            <w:pPr>
              <w:pStyle w:val="TableParagraph"/>
              <w:spacing w:line="210" w:lineRule="exact"/>
              <w:ind w:left="84" w:right="1"/>
              <w:jc w:val="center"/>
              <w:rPr>
                <w:sz w:val="20"/>
              </w:rPr>
            </w:pPr>
            <w:r>
              <w:rPr>
                <w:spacing w:val="-10"/>
                <w:sz w:val="20"/>
              </w:rPr>
              <w:t>1</w:t>
            </w:r>
          </w:p>
        </w:tc>
        <w:tc>
          <w:tcPr>
            <w:tcW w:w="831" w:type="dxa"/>
          </w:tcPr>
          <w:p>
            <w:pPr>
              <w:pStyle w:val="TableParagraph"/>
              <w:spacing w:line="210" w:lineRule="exact"/>
              <w:ind w:left="40"/>
              <w:jc w:val="center"/>
              <w:rPr>
                <w:sz w:val="20"/>
              </w:rPr>
            </w:pPr>
            <w:r>
              <w:rPr>
                <w:spacing w:val="-4"/>
                <w:sz w:val="20"/>
              </w:rPr>
              <w:t>50.0</w:t>
            </w:r>
          </w:p>
        </w:tc>
        <w:tc>
          <w:tcPr>
            <w:tcW w:w="665" w:type="dxa"/>
          </w:tcPr>
          <w:p>
            <w:pPr>
              <w:pStyle w:val="TableParagraph"/>
              <w:spacing w:line="210" w:lineRule="exact"/>
              <w:ind w:left="10" w:right="23"/>
              <w:jc w:val="center"/>
              <w:rPr>
                <w:sz w:val="20"/>
              </w:rPr>
            </w:pPr>
            <w:r>
              <w:rPr>
                <w:spacing w:val="-10"/>
                <w:sz w:val="20"/>
              </w:rPr>
              <w:t>1</w:t>
            </w:r>
          </w:p>
        </w:tc>
        <w:tc>
          <w:tcPr>
            <w:tcW w:w="778" w:type="dxa"/>
          </w:tcPr>
          <w:p>
            <w:pPr>
              <w:pStyle w:val="TableParagraph"/>
              <w:spacing w:line="210" w:lineRule="exact"/>
              <w:ind w:left="55" w:right="71"/>
              <w:jc w:val="center"/>
              <w:rPr>
                <w:sz w:val="20"/>
              </w:rPr>
            </w:pPr>
            <w:r>
              <w:rPr>
                <w:spacing w:val="-4"/>
                <w:sz w:val="20"/>
              </w:rPr>
              <w:t>50.0</w:t>
            </w:r>
          </w:p>
        </w:tc>
        <w:tc>
          <w:tcPr>
            <w:tcW w:w="687" w:type="dxa"/>
          </w:tcPr>
          <w:p>
            <w:pPr>
              <w:pStyle w:val="TableParagraph"/>
              <w:spacing w:line="210" w:lineRule="exact"/>
              <w:ind w:left="67" w:right="115"/>
              <w:jc w:val="center"/>
              <w:rPr>
                <w:sz w:val="20"/>
              </w:rPr>
            </w:pPr>
            <w:r>
              <w:rPr>
                <w:spacing w:val="-10"/>
                <w:sz w:val="20"/>
              </w:rPr>
              <w:t>-</w:t>
            </w:r>
          </w:p>
        </w:tc>
        <w:tc>
          <w:tcPr>
            <w:tcW w:w="903" w:type="dxa"/>
          </w:tcPr>
          <w:p>
            <w:pPr>
              <w:pStyle w:val="TableParagraph"/>
              <w:spacing w:line="210" w:lineRule="exact"/>
              <w:ind w:left="13" w:right="12"/>
              <w:jc w:val="center"/>
              <w:rPr>
                <w:sz w:val="20"/>
              </w:rPr>
            </w:pPr>
            <w:r>
              <w:rPr>
                <w:spacing w:val="-10"/>
                <w:sz w:val="20"/>
              </w:rPr>
              <w:t>-</w:t>
            </w:r>
          </w:p>
        </w:tc>
        <w:tc>
          <w:tcPr>
            <w:tcW w:w="685" w:type="dxa"/>
          </w:tcPr>
          <w:p>
            <w:pPr>
              <w:pStyle w:val="TableParagraph"/>
              <w:spacing w:line="210" w:lineRule="exact"/>
              <w:ind w:left="77" w:right="32"/>
              <w:jc w:val="center"/>
              <w:rPr>
                <w:sz w:val="20"/>
              </w:rPr>
            </w:pPr>
            <w:r>
              <w:rPr>
                <w:spacing w:val="-10"/>
                <w:sz w:val="20"/>
              </w:rPr>
              <w:t>-</w:t>
            </w:r>
          </w:p>
        </w:tc>
        <w:tc>
          <w:tcPr>
            <w:tcW w:w="800" w:type="dxa"/>
          </w:tcPr>
          <w:p>
            <w:pPr>
              <w:pStyle w:val="TableParagraph"/>
              <w:spacing w:line="210" w:lineRule="exact"/>
              <w:ind w:left="18" w:right="18"/>
              <w:jc w:val="center"/>
              <w:rPr>
                <w:sz w:val="20"/>
              </w:rPr>
            </w:pPr>
            <w:r>
              <w:rPr>
                <w:spacing w:val="-10"/>
                <w:sz w:val="20"/>
              </w:rPr>
              <w:t>-</w:t>
            </w:r>
          </w:p>
        </w:tc>
        <w:tc>
          <w:tcPr>
            <w:tcW w:w="627" w:type="dxa"/>
          </w:tcPr>
          <w:p>
            <w:pPr>
              <w:pStyle w:val="TableParagraph"/>
              <w:spacing w:line="210" w:lineRule="exact"/>
              <w:ind w:left="23" w:right="27"/>
              <w:jc w:val="center"/>
              <w:rPr>
                <w:sz w:val="20"/>
              </w:rPr>
            </w:pPr>
            <w:r>
              <w:rPr>
                <w:spacing w:val="-10"/>
                <w:sz w:val="20"/>
              </w:rPr>
              <w:t>-</w:t>
            </w:r>
          </w:p>
        </w:tc>
        <w:tc>
          <w:tcPr>
            <w:tcW w:w="771" w:type="dxa"/>
          </w:tcPr>
          <w:p>
            <w:pPr>
              <w:pStyle w:val="TableParagraph"/>
              <w:spacing w:line="210" w:lineRule="exact"/>
              <w:ind w:left="45" w:right="29"/>
              <w:jc w:val="center"/>
              <w:rPr>
                <w:sz w:val="20"/>
              </w:rPr>
            </w:pPr>
            <w:r>
              <w:rPr>
                <w:spacing w:val="-10"/>
                <w:sz w:val="20"/>
              </w:rPr>
              <w:t>-</w:t>
            </w:r>
          </w:p>
        </w:tc>
        <w:tc>
          <w:tcPr>
            <w:tcW w:w="692" w:type="dxa"/>
          </w:tcPr>
          <w:p>
            <w:pPr>
              <w:pStyle w:val="TableParagraph"/>
              <w:spacing w:line="210" w:lineRule="exact"/>
              <w:ind w:left="23" w:right="23"/>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27"/>
              <w:jc w:val="center"/>
              <w:rPr>
                <w:sz w:val="20"/>
              </w:rPr>
            </w:pPr>
            <w:r>
              <w:rPr>
                <w:spacing w:val="-5"/>
                <w:sz w:val="20"/>
              </w:rPr>
              <w:t>0.4</w:t>
            </w:r>
          </w:p>
        </w:tc>
      </w:tr>
      <w:tr>
        <w:trPr>
          <w:trHeight w:val="230" w:hRule="atLeast"/>
        </w:trPr>
        <w:tc>
          <w:tcPr>
            <w:tcW w:w="4148" w:type="dxa"/>
            <w:tcBorders>
              <w:left w:val="single" w:sz="4" w:space="0" w:color="000000"/>
            </w:tcBorders>
          </w:tcPr>
          <w:p>
            <w:pPr>
              <w:pStyle w:val="TableParagraph"/>
              <w:spacing w:line="210" w:lineRule="exact"/>
              <w:ind w:right="109"/>
              <w:jc w:val="right"/>
              <w:rPr>
                <w:sz w:val="20"/>
              </w:rPr>
            </w:pPr>
            <w:r>
              <w:rPr>
                <w:sz w:val="20"/>
              </w:rPr>
              <w:t>University</w:t>
            </w:r>
            <w:r>
              <w:rPr>
                <w:spacing w:val="56"/>
                <w:sz w:val="20"/>
              </w:rPr>
              <w:t> </w:t>
            </w:r>
            <w:r>
              <w:rPr>
                <w:sz w:val="20"/>
              </w:rPr>
              <w:t>campuses</w:t>
            </w:r>
            <w:r>
              <w:rPr>
                <w:spacing w:val="57"/>
                <w:sz w:val="20"/>
              </w:rPr>
              <w:t> </w:t>
            </w:r>
            <w:r>
              <w:rPr>
                <w:sz w:val="20"/>
              </w:rPr>
              <w:t>can</w:t>
            </w:r>
            <w:r>
              <w:rPr>
                <w:spacing w:val="60"/>
                <w:sz w:val="20"/>
              </w:rPr>
              <w:t> </w:t>
            </w:r>
            <w:r>
              <w:rPr>
                <w:sz w:val="20"/>
              </w:rPr>
              <w:t>be</w:t>
            </w:r>
            <w:r>
              <w:rPr>
                <w:spacing w:val="60"/>
                <w:sz w:val="20"/>
              </w:rPr>
              <w:t> </w:t>
            </w:r>
            <w:r>
              <w:rPr>
                <w:spacing w:val="-4"/>
                <w:sz w:val="20"/>
              </w:rPr>
              <w:t>best</w:t>
            </w:r>
          </w:p>
        </w:tc>
        <w:tc>
          <w:tcPr>
            <w:tcW w:w="1795" w:type="dxa"/>
          </w:tcPr>
          <w:p>
            <w:pPr>
              <w:pStyle w:val="TableParagraph"/>
              <w:spacing w:line="210" w:lineRule="exact"/>
              <w:ind w:left="109"/>
              <w:rPr>
                <w:sz w:val="20"/>
              </w:rPr>
            </w:pPr>
            <w:r>
              <w:rPr>
                <w:spacing w:val="-2"/>
                <w:sz w:val="20"/>
              </w:rPr>
              <w:t>Students</w:t>
            </w:r>
          </w:p>
        </w:tc>
        <w:tc>
          <w:tcPr>
            <w:tcW w:w="652" w:type="dxa"/>
          </w:tcPr>
          <w:p>
            <w:pPr>
              <w:pStyle w:val="TableParagraph"/>
              <w:spacing w:line="210" w:lineRule="exact"/>
              <w:ind w:left="83" w:right="5"/>
              <w:jc w:val="center"/>
              <w:rPr>
                <w:sz w:val="20"/>
              </w:rPr>
            </w:pPr>
            <w:r>
              <w:rPr>
                <w:spacing w:val="-5"/>
                <w:sz w:val="20"/>
              </w:rPr>
              <w:t>75</w:t>
            </w:r>
          </w:p>
        </w:tc>
        <w:tc>
          <w:tcPr>
            <w:tcW w:w="831" w:type="dxa"/>
          </w:tcPr>
          <w:p>
            <w:pPr>
              <w:pStyle w:val="TableParagraph"/>
              <w:spacing w:line="210" w:lineRule="exact"/>
              <w:ind w:left="40"/>
              <w:jc w:val="center"/>
              <w:rPr>
                <w:sz w:val="20"/>
              </w:rPr>
            </w:pPr>
            <w:r>
              <w:rPr>
                <w:spacing w:val="-4"/>
                <w:sz w:val="20"/>
              </w:rPr>
              <w:t>31.9</w:t>
            </w:r>
          </w:p>
        </w:tc>
        <w:tc>
          <w:tcPr>
            <w:tcW w:w="665" w:type="dxa"/>
          </w:tcPr>
          <w:p>
            <w:pPr>
              <w:pStyle w:val="TableParagraph"/>
              <w:spacing w:line="210" w:lineRule="exact"/>
              <w:ind w:right="23"/>
              <w:jc w:val="center"/>
              <w:rPr>
                <w:sz w:val="20"/>
              </w:rPr>
            </w:pPr>
            <w:r>
              <w:rPr>
                <w:spacing w:val="-5"/>
                <w:sz w:val="20"/>
              </w:rPr>
              <w:t>110</w:t>
            </w:r>
          </w:p>
        </w:tc>
        <w:tc>
          <w:tcPr>
            <w:tcW w:w="778" w:type="dxa"/>
          </w:tcPr>
          <w:p>
            <w:pPr>
              <w:pStyle w:val="TableParagraph"/>
              <w:spacing w:line="210" w:lineRule="exact"/>
              <w:ind w:left="55" w:right="71"/>
              <w:jc w:val="center"/>
              <w:rPr>
                <w:sz w:val="20"/>
              </w:rPr>
            </w:pPr>
            <w:r>
              <w:rPr>
                <w:spacing w:val="-4"/>
                <w:sz w:val="20"/>
              </w:rPr>
              <w:t>46.8</w:t>
            </w:r>
          </w:p>
        </w:tc>
        <w:tc>
          <w:tcPr>
            <w:tcW w:w="687" w:type="dxa"/>
          </w:tcPr>
          <w:p>
            <w:pPr>
              <w:pStyle w:val="TableParagraph"/>
              <w:spacing w:line="210" w:lineRule="exact"/>
              <w:ind w:left="67" w:right="113"/>
              <w:jc w:val="center"/>
              <w:rPr>
                <w:sz w:val="20"/>
              </w:rPr>
            </w:pPr>
            <w:r>
              <w:rPr>
                <w:spacing w:val="-5"/>
                <w:sz w:val="20"/>
              </w:rPr>
              <w:t>26</w:t>
            </w:r>
          </w:p>
        </w:tc>
        <w:tc>
          <w:tcPr>
            <w:tcW w:w="903" w:type="dxa"/>
          </w:tcPr>
          <w:p>
            <w:pPr>
              <w:pStyle w:val="TableParagraph"/>
              <w:spacing w:line="210" w:lineRule="exact"/>
              <w:ind w:left="13" w:right="6"/>
              <w:jc w:val="center"/>
              <w:rPr>
                <w:sz w:val="20"/>
              </w:rPr>
            </w:pPr>
            <w:r>
              <w:rPr>
                <w:spacing w:val="-4"/>
                <w:sz w:val="20"/>
              </w:rPr>
              <w:t>11.1</w:t>
            </w:r>
          </w:p>
        </w:tc>
        <w:tc>
          <w:tcPr>
            <w:tcW w:w="685" w:type="dxa"/>
          </w:tcPr>
          <w:p>
            <w:pPr>
              <w:pStyle w:val="TableParagraph"/>
              <w:spacing w:line="210" w:lineRule="exact"/>
              <w:ind w:left="79" w:right="32"/>
              <w:jc w:val="center"/>
              <w:rPr>
                <w:sz w:val="20"/>
              </w:rPr>
            </w:pPr>
            <w:r>
              <w:rPr>
                <w:spacing w:val="-5"/>
                <w:sz w:val="20"/>
              </w:rPr>
              <w:t>19</w:t>
            </w:r>
          </w:p>
        </w:tc>
        <w:tc>
          <w:tcPr>
            <w:tcW w:w="800" w:type="dxa"/>
          </w:tcPr>
          <w:p>
            <w:pPr>
              <w:pStyle w:val="TableParagraph"/>
              <w:spacing w:line="210" w:lineRule="exact"/>
              <w:ind w:left="18" w:right="17"/>
              <w:jc w:val="center"/>
              <w:rPr>
                <w:sz w:val="20"/>
              </w:rPr>
            </w:pPr>
            <w:r>
              <w:rPr>
                <w:spacing w:val="-5"/>
                <w:sz w:val="20"/>
              </w:rPr>
              <w:t>8.1</w:t>
            </w:r>
          </w:p>
        </w:tc>
        <w:tc>
          <w:tcPr>
            <w:tcW w:w="627" w:type="dxa"/>
          </w:tcPr>
          <w:p>
            <w:pPr>
              <w:pStyle w:val="TableParagraph"/>
              <w:spacing w:line="210" w:lineRule="exact"/>
              <w:ind w:left="23" w:right="23"/>
              <w:jc w:val="center"/>
              <w:rPr>
                <w:sz w:val="20"/>
              </w:rPr>
            </w:pPr>
            <w:r>
              <w:rPr>
                <w:spacing w:val="-10"/>
                <w:sz w:val="20"/>
              </w:rPr>
              <w:t>5</w:t>
            </w:r>
          </w:p>
        </w:tc>
        <w:tc>
          <w:tcPr>
            <w:tcW w:w="771" w:type="dxa"/>
          </w:tcPr>
          <w:p>
            <w:pPr>
              <w:pStyle w:val="TableParagraph"/>
              <w:spacing w:line="210" w:lineRule="exact"/>
              <w:ind w:left="45" w:right="27"/>
              <w:jc w:val="center"/>
              <w:rPr>
                <w:sz w:val="20"/>
              </w:rPr>
            </w:pPr>
            <w:r>
              <w:rPr>
                <w:spacing w:val="-5"/>
                <w:sz w:val="20"/>
              </w:rPr>
              <w:t>2.1</w:t>
            </w:r>
          </w:p>
        </w:tc>
        <w:tc>
          <w:tcPr>
            <w:tcW w:w="692" w:type="dxa"/>
          </w:tcPr>
          <w:p>
            <w:pPr>
              <w:pStyle w:val="TableParagraph"/>
              <w:spacing w:line="210" w:lineRule="exact"/>
              <w:ind w:left="23" w:right="30"/>
              <w:jc w:val="center"/>
              <w:rPr>
                <w:sz w:val="20"/>
              </w:rPr>
            </w:pPr>
            <w:r>
              <w:rPr>
                <w:spacing w:val="-5"/>
                <w:sz w:val="20"/>
              </w:rPr>
              <w:t>235</w:t>
            </w:r>
          </w:p>
        </w:tc>
        <w:tc>
          <w:tcPr>
            <w:tcW w:w="739" w:type="dxa"/>
            <w:tcBorders>
              <w:right w:val="single" w:sz="4" w:space="0" w:color="000000"/>
            </w:tcBorders>
          </w:tcPr>
          <w:p>
            <w:pPr>
              <w:pStyle w:val="TableParagraph"/>
              <w:spacing w:line="210" w:lineRule="exact"/>
              <w:ind w:left="36" w:right="22"/>
              <w:jc w:val="center"/>
              <w:rPr>
                <w:sz w:val="20"/>
              </w:rPr>
            </w:pPr>
            <w:r>
              <w:rPr>
                <w:spacing w:val="-4"/>
                <w:sz w:val="20"/>
              </w:rPr>
              <w:t>50.8</w:t>
            </w:r>
          </w:p>
        </w:tc>
      </w:tr>
      <w:tr>
        <w:trPr>
          <w:trHeight w:val="240" w:hRule="atLeast"/>
        </w:trPr>
        <w:tc>
          <w:tcPr>
            <w:tcW w:w="4148" w:type="dxa"/>
            <w:tcBorders>
              <w:left w:val="single" w:sz="4" w:space="0" w:color="000000"/>
            </w:tcBorders>
          </w:tcPr>
          <w:p>
            <w:pPr>
              <w:pStyle w:val="TableParagraph"/>
              <w:spacing w:line="220" w:lineRule="exact"/>
              <w:ind w:left="830"/>
              <w:rPr>
                <w:sz w:val="20"/>
              </w:rPr>
            </w:pPr>
            <w:r>
              <w:rPr>
                <w:sz w:val="20"/>
              </w:rPr>
              <w:t>described</w:t>
            </w:r>
            <w:r>
              <w:rPr>
                <w:spacing w:val="-10"/>
                <w:sz w:val="20"/>
              </w:rPr>
              <w:t> </w:t>
            </w:r>
            <w:r>
              <w:rPr>
                <w:sz w:val="20"/>
              </w:rPr>
              <w:t>as</w:t>
            </w:r>
            <w:r>
              <w:rPr>
                <w:spacing w:val="-9"/>
                <w:sz w:val="20"/>
              </w:rPr>
              <w:t> </w:t>
            </w:r>
            <w:r>
              <w:rPr>
                <w:sz w:val="20"/>
              </w:rPr>
              <w:t>inadequate</w:t>
            </w:r>
            <w:r>
              <w:rPr>
                <w:spacing w:val="-7"/>
                <w:sz w:val="20"/>
              </w:rPr>
              <w:t> </w:t>
            </w:r>
            <w:r>
              <w:rPr>
                <w:sz w:val="20"/>
              </w:rPr>
              <w:t>and</w:t>
            </w:r>
            <w:r>
              <w:rPr>
                <w:spacing w:val="-7"/>
                <w:sz w:val="20"/>
              </w:rPr>
              <w:t> </w:t>
            </w:r>
            <w:r>
              <w:rPr>
                <w:spacing w:val="-2"/>
                <w:sz w:val="20"/>
              </w:rPr>
              <w:t>poor.</w:t>
            </w:r>
          </w:p>
        </w:tc>
        <w:tc>
          <w:tcPr>
            <w:tcW w:w="1795" w:type="dxa"/>
          </w:tcPr>
          <w:p>
            <w:pPr>
              <w:pStyle w:val="TableParagraph"/>
              <w:spacing w:line="213" w:lineRule="exact" w:before="7"/>
              <w:ind w:left="109"/>
              <w:rPr>
                <w:sz w:val="20"/>
              </w:rPr>
            </w:pPr>
            <w:r>
              <w:rPr>
                <w:sz w:val="20"/>
              </w:rPr>
              <w:t>Service</w:t>
            </w:r>
            <w:r>
              <w:rPr>
                <w:spacing w:val="-9"/>
                <w:sz w:val="20"/>
              </w:rPr>
              <w:t> </w:t>
            </w:r>
            <w:r>
              <w:rPr>
                <w:spacing w:val="-2"/>
                <w:sz w:val="20"/>
              </w:rPr>
              <w:t>Staff</w:t>
            </w:r>
          </w:p>
        </w:tc>
        <w:tc>
          <w:tcPr>
            <w:tcW w:w="652" w:type="dxa"/>
          </w:tcPr>
          <w:p>
            <w:pPr>
              <w:pStyle w:val="TableParagraph"/>
              <w:spacing w:line="213" w:lineRule="exact" w:before="7"/>
              <w:ind w:left="83" w:right="5"/>
              <w:jc w:val="center"/>
              <w:rPr>
                <w:sz w:val="20"/>
              </w:rPr>
            </w:pPr>
            <w:r>
              <w:rPr>
                <w:spacing w:val="-5"/>
                <w:sz w:val="20"/>
              </w:rPr>
              <w:t>45</w:t>
            </w:r>
          </w:p>
        </w:tc>
        <w:tc>
          <w:tcPr>
            <w:tcW w:w="831" w:type="dxa"/>
          </w:tcPr>
          <w:p>
            <w:pPr>
              <w:pStyle w:val="TableParagraph"/>
              <w:spacing w:line="213" w:lineRule="exact" w:before="7"/>
              <w:ind w:left="40"/>
              <w:jc w:val="center"/>
              <w:rPr>
                <w:sz w:val="20"/>
              </w:rPr>
            </w:pPr>
            <w:r>
              <w:rPr>
                <w:spacing w:val="-4"/>
                <w:sz w:val="20"/>
              </w:rPr>
              <w:t>22.2</w:t>
            </w:r>
          </w:p>
        </w:tc>
        <w:tc>
          <w:tcPr>
            <w:tcW w:w="665" w:type="dxa"/>
          </w:tcPr>
          <w:p>
            <w:pPr>
              <w:pStyle w:val="TableParagraph"/>
              <w:spacing w:line="213" w:lineRule="exact" w:before="7"/>
              <w:ind w:left="5" w:right="23"/>
              <w:jc w:val="center"/>
              <w:rPr>
                <w:sz w:val="20"/>
              </w:rPr>
            </w:pPr>
            <w:r>
              <w:rPr>
                <w:spacing w:val="-5"/>
                <w:sz w:val="20"/>
              </w:rPr>
              <w:t>89</w:t>
            </w:r>
          </w:p>
        </w:tc>
        <w:tc>
          <w:tcPr>
            <w:tcW w:w="778" w:type="dxa"/>
          </w:tcPr>
          <w:p>
            <w:pPr>
              <w:pStyle w:val="TableParagraph"/>
              <w:spacing w:line="213" w:lineRule="exact" w:before="7"/>
              <w:ind w:left="55" w:right="71"/>
              <w:jc w:val="center"/>
              <w:rPr>
                <w:sz w:val="20"/>
              </w:rPr>
            </w:pPr>
            <w:r>
              <w:rPr>
                <w:spacing w:val="-4"/>
                <w:sz w:val="20"/>
              </w:rPr>
              <w:t>43.8</w:t>
            </w:r>
          </w:p>
        </w:tc>
        <w:tc>
          <w:tcPr>
            <w:tcW w:w="687" w:type="dxa"/>
          </w:tcPr>
          <w:p>
            <w:pPr>
              <w:pStyle w:val="TableParagraph"/>
              <w:spacing w:line="213" w:lineRule="exact" w:before="7"/>
              <w:ind w:left="67" w:right="113"/>
              <w:jc w:val="center"/>
              <w:rPr>
                <w:sz w:val="20"/>
              </w:rPr>
            </w:pPr>
            <w:r>
              <w:rPr>
                <w:spacing w:val="-5"/>
                <w:sz w:val="20"/>
              </w:rPr>
              <w:t>21</w:t>
            </w:r>
          </w:p>
        </w:tc>
        <w:tc>
          <w:tcPr>
            <w:tcW w:w="903" w:type="dxa"/>
          </w:tcPr>
          <w:p>
            <w:pPr>
              <w:pStyle w:val="TableParagraph"/>
              <w:spacing w:line="213" w:lineRule="exact" w:before="7"/>
              <w:ind w:left="13" w:right="6"/>
              <w:jc w:val="center"/>
              <w:rPr>
                <w:sz w:val="20"/>
              </w:rPr>
            </w:pPr>
            <w:r>
              <w:rPr>
                <w:spacing w:val="-4"/>
                <w:sz w:val="20"/>
              </w:rPr>
              <w:t>10.3</w:t>
            </w:r>
          </w:p>
        </w:tc>
        <w:tc>
          <w:tcPr>
            <w:tcW w:w="685" w:type="dxa"/>
          </w:tcPr>
          <w:p>
            <w:pPr>
              <w:pStyle w:val="TableParagraph"/>
              <w:spacing w:line="213" w:lineRule="exact" w:before="7"/>
              <w:ind w:left="79" w:right="32"/>
              <w:jc w:val="center"/>
              <w:rPr>
                <w:sz w:val="20"/>
              </w:rPr>
            </w:pPr>
            <w:r>
              <w:rPr>
                <w:spacing w:val="-5"/>
                <w:sz w:val="20"/>
              </w:rPr>
              <w:t>33</w:t>
            </w:r>
          </w:p>
        </w:tc>
        <w:tc>
          <w:tcPr>
            <w:tcW w:w="800" w:type="dxa"/>
          </w:tcPr>
          <w:p>
            <w:pPr>
              <w:pStyle w:val="TableParagraph"/>
              <w:spacing w:line="213" w:lineRule="exact" w:before="7"/>
              <w:ind w:left="18" w:right="12"/>
              <w:jc w:val="center"/>
              <w:rPr>
                <w:sz w:val="20"/>
              </w:rPr>
            </w:pPr>
            <w:r>
              <w:rPr>
                <w:spacing w:val="-4"/>
                <w:sz w:val="20"/>
              </w:rPr>
              <w:t>16.3</w:t>
            </w:r>
          </w:p>
        </w:tc>
        <w:tc>
          <w:tcPr>
            <w:tcW w:w="627" w:type="dxa"/>
          </w:tcPr>
          <w:p>
            <w:pPr>
              <w:pStyle w:val="TableParagraph"/>
              <w:spacing w:line="213" w:lineRule="exact" w:before="7"/>
              <w:ind w:left="23" w:right="25"/>
              <w:jc w:val="center"/>
              <w:rPr>
                <w:sz w:val="20"/>
              </w:rPr>
            </w:pPr>
            <w:r>
              <w:rPr>
                <w:spacing w:val="-5"/>
                <w:sz w:val="20"/>
              </w:rPr>
              <w:t>15</w:t>
            </w:r>
          </w:p>
        </w:tc>
        <w:tc>
          <w:tcPr>
            <w:tcW w:w="771" w:type="dxa"/>
          </w:tcPr>
          <w:p>
            <w:pPr>
              <w:pStyle w:val="TableParagraph"/>
              <w:spacing w:line="213" w:lineRule="exact" w:before="7"/>
              <w:ind w:left="45" w:right="27"/>
              <w:jc w:val="center"/>
              <w:rPr>
                <w:sz w:val="20"/>
              </w:rPr>
            </w:pPr>
            <w:r>
              <w:rPr>
                <w:spacing w:val="-5"/>
                <w:sz w:val="20"/>
              </w:rPr>
              <w:t>7.4</w:t>
            </w:r>
          </w:p>
        </w:tc>
        <w:tc>
          <w:tcPr>
            <w:tcW w:w="692" w:type="dxa"/>
          </w:tcPr>
          <w:p>
            <w:pPr>
              <w:pStyle w:val="TableParagraph"/>
              <w:spacing w:line="213" w:lineRule="exact" w:before="7"/>
              <w:ind w:left="23" w:right="30"/>
              <w:jc w:val="center"/>
              <w:rPr>
                <w:sz w:val="20"/>
              </w:rPr>
            </w:pPr>
            <w:r>
              <w:rPr>
                <w:spacing w:val="-5"/>
                <w:sz w:val="20"/>
              </w:rPr>
              <w:t>203</w:t>
            </w:r>
          </w:p>
        </w:tc>
        <w:tc>
          <w:tcPr>
            <w:tcW w:w="739" w:type="dxa"/>
            <w:tcBorders>
              <w:right w:val="single" w:sz="4" w:space="0" w:color="000000"/>
            </w:tcBorders>
          </w:tcPr>
          <w:p>
            <w:pPr>
              <w:pStyle w:val="TableParagraph"/>
              <w:spacing w:line="213" w:lineRule="exact" w:before="7"/>
              <w:ind w:left="36" w:right="22"/>
              <w:jc w:val="center"/>
              <w:rPr>
                <w:sz w:val="20"/>
              </w:rPr>
            </w:pPr>
            <w:r>
              <w:rPr>
                <w:spacing w:val="-4"/>
                <w:sz w:val="20"/>
              </w:rPr>
              <w:t>43.8</w:t>
            </w:r>
          </w:p>
        </w:tc>
      </w:tr>
      <w:tr>
        <w:trPr>
          <w:trHeight w:val="232" w:hRule="atLeast"/>
        </w:trPr>
        <w:tc>
          <w:tcPr>
            <w:tcW w:w="4148" w:type="dxa"/>
            <w:tcBorders>
              <w:left w:val="single" w:sz="4" w:space="0" w:color="000000"/>
              <w:bottom w:val="single" w:sz="4" w:space="0" w:color="000000"/>
            </w:tcBorders>
          </w:tcPr>
          <w:p>
            <w:pPr>
              <w:pStyle w:val="TableParagraph"/>
              <w:rPr>
                <w:rFonts w:ascii="Times New Roman"/>
                <w:sz w:val="16"/>
              </w:rPr>
            </w:pPr>
          </w:p>
        </w:tc>
        <w:tc>
          <w:tcPr>
            <w:tcW w:w="1795" w:type="dxa"/>
            <w:tcBorders>
              <w:bottom w:val="single" w:sz="4" w:space="0" w:color="000000"/>
            </w:tcBorders>
          </w:tcPr>
          <w:p>
            <w:pPr>
              <w:pStyle w:val="TableParagraph"/>
              <w:spacing w:line="213" w:lineRule="exact"/>
              <w:ind w:left="109"/>
              <w:rPr>
                <w:sz w:val="20"/>
              </w:rPr>
            </w:pPr>
            <w:r>
              <w:rPr>
                <w:sz w:val="20"/>
              </w:rPr>
              <w:t>Top</w:t>
            </w:r>
            <w:r>
              <w:rPr>
                <w:spacing w:val="-1"/>
                <w:sz w:val="20"/>
              </w:rPr>
              <w:t> </w:t>
            </w:r>
            <w:r>
              <w:rPr>
                <w:spacing w:val="-2"/>
                <w:sz w:val="20"/>
              </w:rPr>
              <w:t>Management</w:t>
            </w:r>
          </w:p>
        </w:tc>
        <w:tc>
          <w:tcPr>
            <w:tcW w:w="652" w:type="dxa"/>
            <w:tcBorders>
              <w:bottom w:val="single" w:sz="4" w:space="0" w:color="000000"/>
            </w:tcBorders>
          </w:tcPr>
          <w:p>
            <w:pPr>
              <w:pStyle w:val="TableParagraph"/>
              <w:spacing w:line="213" w:lineRule="exact"/>
              <w:ind w:left="84" w:right="1"/>
              <w:jc w:val="center"/>
              <w:rPr>
                <w:sz w:val="20"/>
              </w:rPr>
            </w:pPr>
            <w:r>
              <w:rPr>
                <w:spacing w:val="-10"/>
                <w:sz w:val="20"/>
              </w:rPr>
              <w:t>6</w:t>
            </w:r>
          </w:p>
        </w:tc>
        <w:tc>
          <w:tcPr>
            <w:tcW w:w="831" w:type="dxa"/>
            <w:tcBorders>
              <w:bottom w:val="single" w:sz="4" w:space="0" w:color="000000"/>
            </w:tcBorders>
          </w:tcPr>
          <w:p>
            <w:pPr>
              <w:pStyle w:val="TableParagraph"/>
              <w:spacing w:line="213" w:lineRule="exact"/>
              <w:ind w:left="40"/>
              <w:jc w:val="center"/>
              <w:rPr>
                <w:sz w:val="20"/>
              </w:rPr>
            </w:pPr>
            <w:r>
              <w:rPr>
                <w:spacing w:val="-4"/>
                <w:sz w:val="20"/>
              </w:rPr>
              <w:t>26.1</w:t>
            </w:r>
          </w:p>
        </w:tc>
        <w:tc>
          <w:tcPr>
            <w:tcW w:w="665" w:type="dxa"/>
            <w:tcBorders>
              <w:bottom w:val="single" w:sz="4" w:space="0" w:color="000000"/>
            </w:tcBorders>
          </w:tcPr>
          <w:p>
            <w:pPr>
              <w:pStyle w:val="TableParagraph"/>
              <w:spacing w:line="213" w:lineRule="exact"/>
              <w:ind w:left="5" w:right="23"/>
              <w:jc w:val="center"/>
              <w:rPr>
                <w:sz w:val="20"/>
              </w:rPr>
            </w:pPr>
            <w:r>
              <w:rPr>
                <w:spacing w:val="-5"/>
                <w:sz w:val="20"/>
              </w:rPr>
              <w:t>10</w:t>
            </w:r>
          </w:p>
        </w:tc>
        <w:tc>
          <w:tcPr>
            <w:tcW w:w="778" w:type="dxa"/>
            <w:tcBorders>
              <w:bottom w:val="single" w:sz="4" w:space="0" w:color="000000"/>
            </w:tcBorders>
          </w:tcPr>
          <w:p>
            <w:pPr>
              <w:pStyle w:val="TableParagraph"/>
              <w:spacing w:line="213" w:lineRule="exact"/>
              <w:ind w:left="55" w:right="71"/>
              <w:jc w:val="center"/>
              <w:rPr>
                <w:sz w:val="20"/>
              </w:rPr>
            </w:pPr>
            <w:r>
              <w:rPr>
                <w:spacing w:val="-4"/>
                <w:sz w:val="20"/>
              </w:rPr>
              <w:t>43.5</w:t>
            </w:r>
          </w:p>
        </w:tc>
        <w:tc>
          <w:tcPr>
            <w:tcW w:w="687" w:type="dxa"/>
            <w:tcBorders>
              <w:bottom w:val="single" w:sz="4" w:space="0" w:color="000000"/>
            </w:tcBorders>
          </w:tcPr>
          <w:p>
            <w:pPr>
              <w:pStyle w:val="TableParagraph"/>
              <w:spacing w:line="213" w:lineRule="exact"/>
              <w:ind w:left="67" w:right="108"/>
              <w:jc w:val="center"/>
              <w:rPr>
                <w:sz w:val="20"/>
              </w:rPr>
            </w:pPr>
            <w:r>
              <w:rPr>
                <w:spacing w:val="-10"/>
                <w:sz w:val="20"/>
              </w:rPr>
              <w:t>3</w:t>
            </w:r>
          </w:p>
        </w:tc>
        <w:tc>
          <w:tcPr>
            <w:tcW w:w="903" w:type="dxa"/>
            <w:tcBorders>
              <w:bottom w:val="single" w:sz="4" w:space="0" w:color="000000"/>
            </w:tcBorders>
          </w:tcPr>
          <w:p>
            <w:pPr>
              <w:pStyle w:val="TableParagraph"/>
              <w:spacing w:line="213" w:lineRule="exact"/>
              <w:ind w:left="13" w:right="6"/>
              <w:jc w:val="center"/>
              <w:rPr>
                <w:sz w:val="20"/>
              </w:rPr>
            </w:pPr>
            <w:r>
              <w:rPr>
                <w:spacing w:val="-4"/>
                <w:sz w:val="20"/>
              </w:rPr>
              <w:t>13.0</w:t>
            </w:r>
          </w:p>
        </w:tc>
        <w:tc>
          <w:tcPr>
            <w:tcW w:w="685" w:type="dxa"/>
            <w:tcBorders>
              <w:bottom w:val="single" w:sz="4" w:space="0" w:color="000000"/>
            </w:tcBorders>
          </w:tcPr>
          <w:p>
            <w:pPr>
              <w:pStyle w:val="TableParagraph"/>
              <w:spacing w:line="213" w:lineRule="exact"/>
              <w:ind w:left="83" w:right="32"/>
              <w:jc w:val="center"/>
              <w:rPr>
                <w:sz w:val="20"/>
              </w:rPr>
            </w:pPr>
            <w:r>
              <w:rPr>
                <w:spacing w:val="-10"/>
                <w:sz w:val="20"/>
              </w:rPr>
              <w:t>4</w:t>
            </w:r>
          </w:p>
        </w:tc>
        <w:tc>
          <w:tcPr>
            <w:tcW w:w="800" w:type="dxa"/>
            <w:tcBorders>
              <w:bottom w:val="single" w:sz="4" w:space="0" w:color="000000"/>
            </w:tcBorders>
          </w:tcPr>
          <w:p>
            <w:pPr>
              <w:pStyle w:val="TableParagraph"/>
              <w:spacing w:line="213" w:lineRule="exact"/>
              <w:ind w:left="18" w:right="12"/>
              <w:jc w:val="center"/>
              <w:rPr>
                <w:sz w:val="20"/>
              </w:rPr>
            </w:pPr>
            <w:r>
              <w:rPr>
                <w:spacing w:val="-4"/>
                <w:sz w:val="20"/>
              </w:rPr>
              <w:t>17.4</w:t>
            </w:r>
          </w:p>
        </w:tc>
        <w:tc>
          <w:tcPr>
            <w:tcW w:w="627" w:type="dxa"/>
            <w:tcBorders>
              <w:bottom w:val="single" w:sz="4" w:space="0" w:color="000000"/>
            </w:tcBorders>
          </w:tcPr>
          <w:p>
            <w:pPr>
              <w:pStyle w:val="TableParagraph"/>
              <w:spacing w:line="213" w:lineRule="exact"/>
              <w:ind w:left="23" w:right="27"/>
              <w:jc w:val="center"/>
              <w:rPr>
                <w:sz w:val="20"/>
              </w:rPr>
            </w:pPr>
            <w:r>
              <w:rPr>
                <w:spacing w:val="-10"/>
                <w:sz w:val="20"/>
              </w:rPr>
              <w:t>-</w:t>
            </w:r>
          </w:p>
        </w:tc>
        <w:tc>
          <w:tcPr>
            <w:tcW w:w="771" w:type="dxa"/>
            <w:tcBorders>
              <w:bottom w:val="single" w:sz="4" w:space="0" w:color="000000"/>
            </w:tcBorders>
          </w:tcPr>
          <w:p>
            <w:pPr>
              <w:pStyle w:val="TableParagraph"/>
              <w:spacing w:line="213" w:lineRule="exact"/>
              <w:ind w:left="45" w:right="29"/>
              <w:jc w:val="center"/>
              <w:rPr>
                <w:sz w:val="20"/>
              </w:rPr>
            </w:pPr>
            <w:r>
              <w:rPr>
                <w:spacing w:val="-10"/>
                <w:sz w:val="20"/>
              </w:rPr>
              <w:t>-</w:t>
            </w:r>
          </w:p>
        </w:tc>
        <w:tc>
          <w:tcPr>
            <w:tcW w:w="692" w:type="dxa"/>
            <w:tcBorders>
              <w:bottom w:val="single" w:sz="4" w:space="0" w:color="000000"/>
            </w:tcBorders>
          </w:tcPr>
          <w:p>
            <w:pPr>
              <w:pStyle w:val="TableParagraph"/>
              <w:spacing w:line="213" w:lineRule="exact"/>
              <w:ind w:left="23" w:right="25"/>
              <w:jc w:val="center"/>
              <w:rPr>
                <w:sz w:val="20"/>
              </w:rPr>
            </w:pPr>
            <w:r>
              <w:rPr>
                <w:spacing w:val="-5"/>
                <w:sz w:val="20"/>
              </w:rPr>
              <w:t>23</w:t>
            </w:r>
          </w:p>
        </w:tc>
        <w:tc>
          <w:tcPr>
            <w:tcW w:w="739" w:type="dxa"/>
            <w:tcBorders>
              <w:bottom w:val="single" w:sz="4" w:space="0" w:color="000000"/>
              <w:right w:val="single" w:sz="4" w:space="0" w:color="000000"/>
            </w:tcBorders>
          </w:tcPr>
          <w:p>
            <w:pPr>
              <w:pStyle w:val="TableParagraph"/>
              <w:spacing w:line="213" w:lineRule="exact"/>
              <w:ind w:left="36" w:right="27"/>
              <w:jc w:val="center"/>
              <w:rPr>
                <w:sz w:val="20"/>
              </w:rPr>
            </w:pPr>
            <w:r>
              <w:rPr>
                <w:spacing w:val="-5"/>
                <w:sz w:val="20"/>
              </w:rPr>
              <w:t>5.0</w:t>
            </w:r>
          </w:p>
        </w:tc>
      </w:tr>
    </w:tbl>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spacing w:before="61"/>
        <w:rPr>
          <w:rFonts w:ascii="Arial"/>
          <w:b/>
          <w:sz w:val="28"/>
        </w:rPr>
      </w:pPr>
    </w:p>
    <w:p>
      <w:pPr>
        <w:pStyle w:val="BodyText"/>
        <w:spacing w:before="1"/>
        <w:ind w:left="3" w:right="433"/>
        <w:jc w:val="center"/>
        <w:rPr>
          <w:rFonts w:ascii="Times New Roman"/>
        </w:rPr>
      </w:pPr>
      <w:r>
        <w:rPr>
          <w:rFonts w:ascii="Times New Roman"/>
          <w:spacing w:val="-5"/>
        </w:rPr>
        <w:t>172</w:t>
      </w:r>
    </w:p>
    <w:p>
      <w:pPr>
        <w:spacing w:after="0"/>
        <w:jc w:val="center"/>
        <w:rPr>
          <w:rFonts w:ascii="Times New Roman"/>
        </w:rPr>
        <w:sectPr>
          <w:headerReference w:type="default" r:id="rId385"/>
          <w:footerReference w:type="default" r:id="rId386"/>
          <w:pgSz w:w="15840" w:h="12240" w:orient="landscape"/>
          <w:pgMar w:header="0" w:footer="0" w:top="640" w:bottom="280" w:left="500" w:right="360"/>
        </w:sectPr>
      </w:pPr>
    </w:p>
    <w:p>
      <w:pPr>
        <w:pStyle w:val="BodyText"/>
        <w:spacing w:line="480" w:lineRule="auto" w:before="82"/>
        <w:ind w:left="820" w:right="113" w:firstLine="720"/>
        <w:jc w:val="both"/>
      </w:pPr>
      <w:r>
        <w:rPr/>
        <w:t>As can be seen in the analysis of item 85, 51.5 percent of students, 43.4 percent of service staff disagreed with the view that adequate and free medical care in form of antenatal clinics, medical examination, family planning services, first aid, other aids with broad based services existed in all universities in the three geopolitical zones in Northern part of Nigeria. Students felt that there was no free medical services in the universities, as apart from payment of medical fees by every student during registration, they paid for drugs and medication at hospitals and even bought drugs in private hospitals. However 31.9 percent of students, 41.4 percent of service staff and 47.8 percent of top management subscribed to the view</w:t>
      </w:r>
      <w:r>
        <w:rPr>
          <w:spacing w:val="-6"/>
        </w:rPr>
        <w:t> </w:t>
      </w:r>
      <w:r>
        <w:rPr/>
        <w:t>while a negligible percent</w:t>
      </w:r>
      <w:r>
        <w:rPr>
          <w:spacing w:val="-1"/>
        </w:rPr>
        <w:t> </w:t>
      </w:r>
      <w:r>
        <w:rPr/>
        <w:t>stood undecided.</w:t>
      </w:r>
      <w:r>
        <w:rPr>
          <w:spacing w:val="-1"/>
        </w:rPr>
        <w:t> </w:t>
      </w:r>
      <w:r>
        <w:rPr/>
        <w:t>Item</w:t>
      </w:r>
      <w:r>
        <w:rPr>
          <w:spacing w:val="-9"/>
        </w:rPr>
        <w:t> </w:t>
      </w:r>
      <w:r>
        <w:rPr/>
        <w:t>86 stated that the medical centers in the Universities under study were said to be facing enormous problems of coping with</w:t>
      </w:r>
      <w:r>
        <w:rPr>
          <w:spacing w:val="-2"/>
        </w:rPr>
        <w:t> </w:t>
      </w:r>
      <w:r>
        <w:rPr/>
        <w:t>numerous</w:t>
      </w:r>
      <w:r>
        <w:rPr>
          <w:spacing w:val="-3"/>
        </w:rPr>
        <w:t> </w:t>
      </w:r>
      <w:r>
        <w:rPr/>
        <w:t>patients which usually</w:t>
      </w:r>
      <w:r>
        <w:rPr>
          <w:spacing w:val="-8"/>
        </w:rPr>
        <w:t> </w:t>
      </w:r>
      <w:r>
        <w:rPr/>
        <w:t>led</w:t>
      </w:r>
      <w:r>
        <w:rPr>
          <w:spacing w:val="-2"/>
        </w:rPr>
        <w:t> </w:t>
      </w:r>
      <w:r>
        <w:rPr/>
        <w:t>to lack of prompt medical attention and adequate drugs and manpower. As a result of this, students usually patronized private clinics and chemist stores outside the university where they could get prompt attention despite the charges and risk of fake drugs and unhygienic state of the clinics. This statement seemed to be supported by 76.2 percent students, 78. 3 percent of service staff and 73.9 percent</w:t>
      </w:r>
      <w:r>
        <w:rPr>
          <w:spacing w:val="9"/>
        </w:rPr>
        <w:t> </w:t>
      </w:r>
      <w:r>
        <w:rPr/>
        <w:t>of</w:t>
      </w:r>
      <w:r>
        <w:rPr>
          <w:spacing w:val="10"/>
        </w:rPr>
        <w:t> </w:t>
      </w:r>
      <w:r>
        <w:rPr/>
        <w:t>top</w:t>
      </w:r>
      <w:r>
        <w:rPr>
          <w:spacing w:val="10"/>
        </w:rPr>
        <w:t> </w:t>
      </w:r>
      <w:r>
        <w:rPr/>
        <w:t>management</w:t>
      </w:r>
      <w:r>
        <w:rPr>
          <w:spacing w:val="10"/>
        </w:rPr>
        <w:t> </w:t>
      </w:r>
      <w:r>
        <w:rPr/>
        <w:t>staff.</w:t>
      </w:r>
      <w:r>
        <w:rPr>
          <w:spacing w:val="10"/>
        </w:rPr>
        <w:t> </w:t>
      </w:r>
      <w:r>
        <w:rPr/>
        <w:t>However,</w:t>
      </w:r>
      <w:r>
        <w:rPr>
          <w:spacing w:val="10"/>
        </w:rPr>
        <w:t> </w:t>
      </w:r>
      <w:r>
        <w:rPr/>
        <w:t>the</w:t>
      </w:r>
      <w:r>
        <w:rPr>
          <w:spacing w:val="9"/>
        </w:rPr>
        <w:t> </w:t>
      </w:r>
      <w:r>
        <w:rPr/>
        <w:t>opinion</w:t>
      </w:r>
      <w:r>
        <w:rPr>
          <w:spacing w:val="10"/>
        </w:rPr>
        <w:t> </w:t>
      </w:r>
      <w:r>
        <w:rPr/>
        <w:t>had</w:t>
      </w:r>
      <w:r>
        <w:rPr>
          <w:spacing w:val="10"/>
        </w:rPr>
        <w:t> </w:t>
      </w:r>
      <w:r>
        <w:rPr/>
        <w:t>not</w:t>
      </w:r>
      <w:r>
        <w:rPr>
          <w:spacing w:val="10"/>
        </w:rPr>
        <w:t> </w:t>
      </w:r>
      <w:r>
        <w:rPr/>
        <w:t>been</w:t>
      </w:r>
      <w:r>
        <w:rPr>
          <w:spacing w:val="10"/>
        </w:rPr>
        <w:t> </w:t>
      </w:r>
      <w:r>
        <w:rPr/>
        <w:t>shared</w:t>
      </w:r>
      <w:r>
        <w:rPr>
          <w:spacing w:val="10"/>
        </w:rPr>
        <w:t> </w:t>
      </w:r>
      <w:r>
        <w:rPr>
          <w:spacing w:val="-5"/>
        </w:rPr>
        <w:t>by</w:t>
      </w:r>
    </w:p>
    <w:p>
      <w:pPr>
        <w:pStyle w:val="BodyText"/>
        <w:spacing w:line="480" w:lineRule="auto" w:before="1"/>
        <w:ind w:left="820" w:right="117"/>
        <w:jc w:val="both"/>
      </w:pPr>
      <w:r>
        <w:rPr/>
        <w:t>11.9 percent of students, 10.4 percent of service staff and 17.4 percent of top management staff, while 11.9 percent of students, 11.3 percent of service staff and 8.7 percent of top management staff were undecided.</w:t>
      </w:r>
    </w:p>
    <w:p>
      <w:pPr>
        <w:pStyle w:val="BodyText"/>
        <w:spacing w:line="480" w:lineRule="auto"/>
        <w:ind w:left="820" w:right="115" w:firstLine="720"/>
        <w:jc w:val="both"/>
      </w:pPr>
      <w:r>
        <w:rPr/>
        <w:t>The opinions of the three groups of respondents on item 87 which stated that</w:t>
      </w:r>
      <w:r>
        <w:rPr>
          <w:spacing w:val="75"/>
        </w:rPr>
        <w:t> </w:t>
      </w:r>
      <w:r>
        <w:rPr/>
        <w:t>there</w:t>
      </w:r>
      <w:r>
        <w:rPr>
          <w:spacing w:val="76"/>
        </w:rPr>
        <w:t> </w:t>
      </w:r>
      <w:r>
        <w:rPr/>
        <w:t>was</w:t>
      </w:r>
      <w:r>
        <w:rPr>
          <w:spacing w:val="75"/>
        </w:rPr>
        <w:t> </w:t>
      </w:r>
      <w:r>
        <w:rPr/>
        <w:t>no</w:t>
      </w:r>
      <w:r>
        <w:rPr>
          <w:spacing w:val="76"/>
        </w:rPr>
        <w:t> </w:t>
      </w:r>
      <w:r>
        <w:rPr/>
        <w:t>need</w:t>
      </w:r>
      <w:r>
        <w:rPr>
          <w:spacing w:val="76"/>
        </w:rPr>
        <w:t> </w:t>
      </w:r>
      <w:r>
        <w:rPr/>
        <w:t>to</w:t>
      </w:r>
      <w:r>
        <w:rPr>
          <w:spacing w:val="76"/>
        </w:rPr>
        <w:t> </w:t>
      </w:r>
      <w:r>
        <w:rPr/>
        <w:t>upgrade</w:t>
      </w:r>
      <w:r>
        <w:rPr>
          <w:spacing w:val="71"/>
        </w:rPr>
        <w:t> </w:t>
      </w:r>
      <w:r>
        <w:rPr/>
        <w:t>and</w:t>
      </w:r>
      <w:r>
        <w:rPr>
          <w:spacing w:val="72"/>
        </w:rPr>
        <w:t> </w:t>
      </w:r>
      <w:r>
        <w:rPr/>
        <w:t>expand</w:t>
      </w:r>
      <w:r>
        <w:rPr>
          <w:spacing w:val="76"/>
        </w:rPr>
        <w:t> </w:t>
      </w:r>
      <w:r>
        <w:rPr/>
        <w:t>the</w:t>
      </w:r>
      <w:r>
        <w:rPr>
          <w:spacing w:val="76"/>
        </w:rPr>
        <w:t> </w:t>
      </w:r>
      <w:r>
        <w:rPr/>
        <w:t>medical</w:t>
      </w:r>
      <w:r>
        <w:rPr>
          <w:spacing w:val="74"/>
        </w:rPr>
        <w:t> </w:t>
      </w:r>
      <w:r>
        <w:rPr/>
        <w:t>facilities</w:t>
      </w:r>
      <w:r>
        <w:rPr>
          <w:spacing w:val="75"/>
        </w:rPr>
        <w:t> </w:t>
      </w:r>
      <w:r>
        <w:rPr>
          <w:spacing w:val="-5"/>
        </w:rPr>
        <w:t>and</w:t>
      </w:r>
    </w:p>
    <w:p>
      <w:pPr>
        <w:spacing w:after="0" w:line="480" w:lineRule="auto"/>
        <w:jc w:val="both"/>
        <w:sectPr>
          <w:headerReference w:type="default" r:id="rId387"/>
          <w:footerReference w:type="default" r:id="rId388"/>
          <w:pgSz w:w="12240" w:h="15840"/>
          <w:pgMar w:header="722" w:footer="791" w:top="1340" w:bottom="980" w:left="1340" w:right="1320"/>
          <w:pgNumType w:start="173"/>
        </w:sectPr>
      </w:pPr>
    </w:p>
    <w:p>
      <w:pPr>
        <w:pStyle w:val="BodyText"/>
        <w:spacing w:line="480" w:lineRule="auto" w:before="82"/>
        <w:ind w:left="820" w:right="115"/>
        <w:jc w:val="both"/>
      </w:pPr>
      <w:r>
        <w:rPr/>
        <w:t>manpower in University Medical centers since arrangements were usually made to refer sick students to General, Specialist and Teaching hospitals for better treatment were not in agreement. This was shown by the opinion of 53.2 percent of students and 58 percent of service staff. The opinions of top management however was 43.5 percent in agreement with the statement. The high percent of respondents who disagreed with the view could be based on the fact that some universities are naturally very far away from the Hospitals. The charges were</w:t>
      </w:r>
      <w:r>
        <w:rPr>
          <w:spacing w:val="80"/>
        </w:rPr>
        <w:t> </w:t>
      </w:r>
      <w:r>
        <w:rPr/>
        <w:t>also exorbitant. Even if there were financial arrangements the university might</w:t>
      </w:r>
      <w:r>
        <w:rPr>
          <w:spacing w:val="40"/>
        </w:rPr>
        <w:t> </w:t>
      </w:r>
      <w:r>
        <w:rPr/>
        <w:t>not settle all the</w:t>
      </w:r>
      <w:r>
        <w:rPr>
          <w:spacing w:val="-1"/>
        </w:rPr>
        <w:t> </w:t>
      </w:r>
      <w:r>
        <w:rPr/>
        <w:t>bills.</w:t>
      </w:r>
      <w:r>
        <w:rPr>
          <w:spacing w:val="-2"/>
        </w:rPr>
        <w:t> </w:t>
      </w:r>
      <w:r>
        <w:rPr/>
        <w:t>The patients paid</w:t>
      </w:r>
      <w:r>
        <w:rPr>
          <w:spacing w:val="-1"/>
        </w:rPr>
        <w:t> </w:t>
      </w:r>
      <w:r>
        <w:rPr/>
        <w:t>three</w:t>
      </w:r>
      <w:r>
        <w:rPr>
          <w:spacing w:val="-1"/>
        </w:rPr>
        <w:t> </w:t>
      </w:r>
      <w:r>
        <w:rPr/>
        <w:t>quarters or half. It could be a better option to upgrade and expand the medical facilities and manpower in the university medical centers on campuses for treatment of all forms of infirmity.</w:t>
      </w:r>
    </w:p>
    <w:p>
      <w:pPr>
        <w:pStyle w:val="BodyText"/>
        <w:spacing w:line="480" w:lineRule="auto"/>
        <w:ind w:left="820" w:right="115" w:firstLine="720"/>
        <w:jc w:val="both"/>
      </w:pPr>
      <w:r>
        <w:rPr/>
        <w:t>Item 88 was of the view that the medical services provided to students by medical centers, on university campuses could be described as inadequate and poor.</w:t>
      </w:r>
      <w:r>
        <w:rPr>
          <w:spacing w:val="-1"/>
        </w:rPr>
        <w:t> </w:t>
      </w:r>
      <w:r>
        <w:rPr/>
        <w:t>78.7 percent</w:t>
      </w:r>
      <w:r>
        <w:rPr>
          <w:spacing w:val="-1"/>
        </w:rPr>
        <w:t> </w:t>
      </w:r>
      <w:r>
        <w:rPr/>
        <w:t>of</w:t>
      </w:r>
      <w:r>
        <w:rPr>
          <w:spacing w:val="-1"/>
        </w:rPr>
        <w:t> </w:t>
      </w:r>
      <w:r>
        <w:rPr/>
        <w:t>students,</w:t>
      </w:r>
      <w:r>
        <w:rPr>
          <w:spacing w:val="-1"/>
        </w:rPr>
        <w:t> </w:t>
      </w:r>
      <w:r>
        <w:rPr/>
        <w:t>66 percent</w:t>
      </w:r>
      <w:r>
        <w:rPr>
          <w:spacing w:val="-1"/>
        </w:rPr>
        <w:t> </w:t>
      </w:r>
      <w:r>
        <w:rPr/>
        <w:t>of</w:t>
      </w:r>
      <w:r>
        <w:rPr>
          <w:spacing w:val="-1"/>
        </w:rPr>
        <w:t> </w:t>
      </w:r>
      <w:r>
        <w:rPr/>
        <w:t>service staff</w:t>
      </w:r>
      <w:r>
        <w:rPr>
          <w:spacing w:val="-1"/>
        </w:rPr>
        <w:t> </w:t>
      </w:r>
      <w:r>
        <w:rPr/>
        <w:t>and 69.6 percent</w:t>
      </w:r>
      <w:r>
        <w:rPr>
          <w:spacing w:val="-1"/>
        </w:rPr>
        <w:t> </w:t>
      </w:r>
      <w:r>
        <w:rPr/>
        <w:t>of</w:t>
      </w:r>
      <w:r>
        <w:rPr>
          <w:spacing w:val="-1"/>
        </w:rPr>
        <w:t> </w:t>
      </w:r>
      <w:r>
        <w:rPr/>
        <w:t>top management staff supported this view, while only 10.2 percent of students, 23.7 percent of service staff and 17.4 percent of top management did not share the view. A negligible percent of the groups were undecided</w:t>
      </w:r>
      <w:r>
        <w:rPr>
          <w:spacing w:val="-1"/>
        </w:rPr>
        <w:t> </w:t>
      </w:r>
      <w:r>
        <w:rPr/>
        <w:t>in their opinions. Due to ever growing population of students</w:t>
      </w:r>
      <w:r>
        <w:rPr>
          <w:spacing w:val="-3"/>
        </w:rPr>
        <w:t> </w:t>
      </w:r>
      <w:r>
        <w:rPr/>
        <w:t>and staff</w:t>
      </w:r>
      <w:r>
        <w:rPr>
          <w:spacing w:val="-3"/>
        </w:rPr>
        <w:t> </w:t>
      </w:r>
      <w:r>
        <w:rPr/>
        <w:t>of the universities, coupled with the problem of under-funding which made it difficult to procure enough drugs for the medical centers the performance of the medical centers could undoubtedly be inadequate as the opinions of respondents seemed to imply.</w:t>
      </w:r>
    </w:p>
    <w:p>
      <w:pPr>
        <w:spacing w:after="0" w:line="480" w:lineRule="auto"/>
        <w:jc w:val="both"/>
        <w:sectPr>
          <w:headerReference w:type="default" r:id="rId389"/>
          <w:footerReference w:type="default" r:id="rId390"/>
          <w:pgSz w:w="12240" w:h="15840"/>
          <w:pgMar w:header="722" w:footer="791" w:top="1340" w:bottom="980" w:left="1340" w:right="1320"/>
        </w:sectPr>
      </w:pPr>
    </w:p>
    <w:p>
      <w:pPr>
        <w:pStyle w:val="BodyText"/>
        <w:spacing w:before="308"/>
        <w:rPr>
          <w:sz w:val="28"/>
        </w:rPr>
      </w:pPr>
    </w:p>
    <w:p>
      <w:pPr>
        <w:pStyle w:val="Heading2"/>
        <w:numPr>
          <w:ilvl w:val="2"/>
          <w:numId w:val="39"/>
        </w:numPr>
        <w:tabs>
          <w:tab w:pos="817" w:val="left" w:leader="none"/>
          <w:tab w:pos="820" w:val="left" w:leader="none"/>
        </w:tabs>
        <w:spacing w:line="240" w:lineRule="auto" w:before="0" w:after="0"/>
        <w:ind w:left="820" w:right="121" w:hanging="720"/>
        <w:jc w:val="both"/>
        <w:rPr>
          <w:rFonts w:ascii="Arial MT" w:hAnsi="Arial MT"/>
          <w:b w:val="0"/>
        </w:rPr>
      </w:pPr>
      <w:r>
        <w:rPr/>
        <w:t>The impact and influence of Environmental services on</w:t>
      </w:r>
      <w:r>
        <w:rPr>
          <w:spacing w:val="40"/>
        </w:rPr>
        <w:t> </w:t>
      </w:r>
      <w:r>
        <w:rPr/>
        <w:t>students’ welfare in Universities in three geopolitical zones in Northern part of Nigeria</w:t>
      </w:r>
    </w:p>
    <w:p>
      <w:pPr>
        <w:pStyle w:val="BodyText"/>
        <w:spacing w:line="480" w:lineRule="auto" w:before="281"/>
        <w:ind w:left="820" w:right="115" w:firstLine="720"/>
        <w:jc w:val="both"/>
      </w:pPr>
      <w:r>
        <w:rPr/>
        <w:t>This section presented the responses of respondents on 89 to 92 of the questionnaire. The items attempted to establish whether or not environmental factors provided in the universities under study influenced students’ welfare for improved academic performance. The environmental welfare specifically talked on the conducive ‘tone’ of the universities emanating from relationships between students and staff, physical appearance and the tranquility of the universities. This finding is achieved by analysis in frequency table and simple percentages</w:t>
      </w:r>
      <w:r>
        <w:rPr>
          <w:spacing w:val="80"/>
        </w:rPr>
        <w:t> </w:t>
      </w:r>
      <w:r>
        <w:rPr/>
        <w:t>as seen in Table 4.3.4.</w:t>
      </w:r>
    </w:p>
    <w:p>
      <w:pPr>
        <w:spacing w:after="0" w:line="480" w:lineRule="auto"/>
        <w:jc w:val="both"/>
        <w:sectPr>
          <w:headerReference w:type="default" r:id="rId391"/>
          <w:footerReference w:type="default" r:id="rId392"/>
          <w:pgSz w:w="12240" w:h="15840"/>
          <w:pgMar w:header="722" w:footer="791" w:top="1340" w:bottom="980" w:left="1340" w:right="1320"/>
        </w:sectPr>
      </w:pPr>
    </w:p>
    <w:p>
      <w:pPr>
        <w:pStyle w:val="BodyText"/>
        <w:spacing w:before="72"/>
        <w:ind w:left="3" w:right="433"/>
        <w:jc w:val="center"/>
        <w:rPr>
          <w:rFonts w:ascii="Times New Roman"/>
        </w:rPr>
      </w:pPr>
      <w:r>
        <w:rPr>
          <w:rFonts w:ascii="Times New Roman"/>
          <w:spacing w:val="-5"/>
        </w:rPr>
        <w:t>176</w:t>
      </w:r>
    </w:p>
    <w:p>
      <w:pPr>
        <w:pStyle w:val="BodyText"/>
        <w:spacing w:before="121"/>
        <w:rPr>
          <w:rFonts w:ascii="Times New Roman"/>
          <w:sz w:val="28"/>
        </w:rPr>
      </w:pPr>
    </w:p>
    <w:p>
      <w:pPr>
        <w:pStyle w:val="Heading2"/>
        <w:spacing w:before="1"/>
        <w:ind w:left="652"/>
      </w:pPr>
      <w:r>
        <w:rPr/>
        <w:t>Table</w:t>
      </w:r>
      <w:r>
        <w:rPr>
          <w:spacing w:val="-7"/>
        </w:rPr>
        <w:t> </w:t>
      </w:r>
      <w:r>
        <w:rPr/>
        <w:t>4.3.4:</w:t>
      </w:r>
      <w:r>
        <w:rPr>
          <w:spacing w:val="-7"/>
        </w:rPr>
        <w:t> </w:t>
      </w:r>
      <w:r>
        <w:rPr/>
        <w:t>Opinions</w:t>
      </w:r>
      <w:r>
        <w:rPr>
          <w:spacing w:val="-11"/>
        </w:rPr>
        <w:t> </w:t>
      </w:r>
      <w:r>
        <w:rPr/>
        <w:t>of</w:t>
      </w:r>
      <w:r>
        <w:rPr>
          <w:spacing w:val="-11"/>
        </w:rPr>
        <w:t> </w:t>
      </w:r>
      <w:r>
        <w:rPr/>
        <w:t>respondents</w:t>
      </w:r>
      <w:r>
        <w:rPr>
          <w:spacing w:val="-11"/>
        </w:rPr>
        <w:t> </w:t>
      </w:r>
      <w:r>
        <w:rPr/>
        <w:t>on</w:t>
      </w:r>
      <w:r>
        <w:rPr>
          <w:spacing w:val="-7"/>
        </w:rPr>
        <w:t> </w:t>
      </w:r>
      <w:r>
        <w:rPr/>
        <w:t>the</w:t>
      </w:r>
      <w:r>
        <w:rPr>
          <w:spacing w:val="-11"/>
        </w:rPr>
        <w:t> </w:t>
      </w:r>
      <w:r>
        <w:rPr/>
        <w:t>impact</w:t>
      </w:r>
      <w:r>
        <w:rPr>
          <w:spacing w:val="-8"/>
        </w:rPr>
        <w:t> </w:t>
      </w:r>
      <w:r>
        <w:rPr/>
        <w:t>of</w:t>
      </w:r>
      <w:r>
        <w:rPr>
          <w:spacing w:val="-7"/>
        </w:rPr>
        <w:t> </w:t>
      </w:r>
      <w:r>
        <w:rPr/>
        <w:t>environmental</w:t>
      </w:r>
      <w:r>
        <w:rPr>
          <w:spacing w:val="-6"/>
        </w:rPr>
        <w:t> </w:t>
      </w:r>
      <w:r>
        <w:rPr/>
        <w:t>services</w:t>
      </w:r>
      <w:r>
        <w:rPr>
          <w:spacing w:val="-6"/>
        </w:rPr>
        <w:t> </w:t>
      </w:r>
      <w:r>
        <w:rPr/>
        <w:t>on</w:t>
      </w:r>
      <w:r>
        <w:rPr>
          <w:spacing w:val="-8"/>
        </w:rPr>
        <w:t> </w:t>
      </w:r>
      <w:r>
        <w:rPr/>
        <w:t>students’</w:t>
      </w:r>
      <w:r>
        <w:rPr>
          <w:spacing w:val="-10"/>
        </w:rPr>
        <w:t> </w:t>
      </w:r>
      <w:r>
        <w:rPr>
          <w:spacing w:val="-2"/>
        </w:rPr>
        <w:t>welfare</w:t>
      </w:r>
    </w:p>
    <w:p>
      <w:pPr>
        <w:pStyle w:val="BodyText"/>
        <w:spacing w:before="56"/>
        <w:rPr>
          <w:rFonts w:ascii="Arial"/>
          <w:b/>
          <w:sz w:val="20"/>
        </w:rPr>
      </w:pPr>
    </w:p>
    <w:tbl>
      <w:tblPr>
        <w:tblW w:w="0" w:type="auto"/>
        <w:jc w:val="left"/>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46"/>
        <w:gridCol w:w="1796"/>
        <w:gridCol w:w="706"/>
        <w:gridCol w:w="748"/>
        <w:gridCol w:w="690"/>
        <w:gridCol w:w="776"/>
        <w:gridCol w:w="685"/>
        <w:gridCol w:w="927"/>
        <w:gridCol w:w="633"/>
        <w:gridCol w:w="848"/>
        <w:gridCol w:w="602"/>
        <w:gridCol w:w="737"/>
        <w:gridCol w:w="719"/>
        <w:gridCol w:w="737"/>
      </w:tblGrid>
      <w:tr>
        <w:trPr>
          <w:trHeight w:val="273" w:hRule="atLeast"/>
        </w:trPr>
        <w:tc>
          <w:tcPr>
            <w:tcW w:w="4146" w:type="dxa"/>
            <w:vMerge w:val="restart"/>
            <w:tcBorders>
              <w:top w:val="single" w:sz="4" w:space="0" w:color="000000"/>
              <w:left w:val="single" w:sz="4" w:space="0" w:color="000000"/>
              <w:bottom w:val="single" w:sz="4" w:space="0" w:color="000000"/>
            </w:tcBorders>
          </w:tcPr>
          <w:p>
            <w:pPr>
              <w:pStyle w:val="TableParagraph"/>
              <w:rPr>
                <w:rFonts w:ascii="Arial"/>
                <w:b/>
                <w:sz w:val="20"/>
              </w:rPr>
            </w:pPr>
          </w:p>
          <w:p>
            <w:pPr>
              <w:pStyle w:val="TableParagraph"/>
              <w:spacing w:before="216"/>
              <w:rPr>
                <w:rFonts w:ascii="Arial"/>
                <w:b/>
                <w:sz w:val="20"/>
              </w:rPr>
            </w:pPr>
          </w:p>
          <w:p>
            <w:pPr>
              <w:pStyle w:val="TableParagraph"/>
              <w:tabs>
                <w:tab w:pos="830" w:val="left" w:leader="none"/>
              </w:tabs>
              <w:ind w:left="134"/>
              <w:rPr>
                <w:rFonts w:ascii="Arial"/>
                <w:b/>
                <w:sz w:val="20"/>
              </w:rPr>
            </w:pPr>
            <w:r>
              <w:rPr>
                <w:rFonts w:ascii="Arial"/>
                <w:b/>
                <w:spacing w:val="-4"/>
                <w:sz w:val="20"/>
              </w:rPr>
              <w:t>S/No</w:t>
            </w:r>
            <w:r>
              <w:rPr>
                <w:rFonts w:ascii="Arial"/>
                <w:b/>
                <w:sz w:val="20"/>
              </w:rPr>
              <w:tab/>
              <w:t>Item</w:t>
            </w:r>
            <w:r>
              <w:rPr>
                <w:rFonts w:ascii="Arial"/>
                <w:b/>
                <w:spacing w:val="-2"/>
                <w:sz w:val="20"/>
              </w:rPr>
              <w:t> Statements</w:t>
            </w:r>
          </w:p>
        </w:tc>
        <w:tc>
          <w:tcPr>
            <w:tcW w:w="1796" w:type="dxa"/>
            <w:vMerge w:val="restart"/>
            <w:tcBorders>
              <w:top w:val="single" w:sz="4" w:space="0" w:color="000000"/>
              <w:bottom w:val="single" w:sz="4" w:space="0" w:color="000000"/>
              <w:right w:val="single" w:sz="4" w:space="0" w:color="000000"/>
            </w:tcBorders>
          </w:tcPr>
          <w:p>
            <w:pPr>
              <w:pStyle w:val="TableParagraph"/>
              <w:spacing w:before="215"/>
              <w:rPr>
                <w:rFonts w:ascii="Arial"/>
                <w:b/>
                <w:sz w:val="20"/>
              </w:rPr>
            </w:pPr>
          </w:p>
          <w:p>
            <w:pPr>
              <w:pStyle w:val="TableParagraph"/>
              <w:spacing w:before="1"/>
              <w:ind w:left="111"/>
              <w:rPr>
                <w:rFonts w:ascii="Arial"/>
                <w:b/>
                <w:sz w:val="20"/>
              </w:rPr>
            </w:pPr>
            <w:r>
              <w:rPr>
                <w:rFonts w:ascii="Arial"/>
                <w:b/>
                <w:sz w:val="20"/>
              </w:rPr>
              <w:t>Category of </w:t>
            </w:r>
            <w:r>
              <w:rPr>
                <w:rFonts w:ascii="Arial"/>
                <w:b/>
                <w:spacing w:val="-2"/>
                <w:sz w:val="20"/>
              </w:rPr>
              <w:t>Respondents</w:t>
            </w:r>
          </w:p>
        </w:tc>
        <w:tc>
          <w:tcPr>
            <w:tcW w:w="8808" w:type="dxa"/>
            <w:gridSpan w:val="12"/>
            <w:tcBorders>
              <w:top w:val="single" w:sz="4" w:space="0" w:color="000000"/>
              <w:left w:val="single" w:sz="4" w:space="0" w:color="000000"/>
              <w:bottom w:val="single" w:sz="4" w:space="0" w:color="000000"/>
              <w:right w:val="single" w:sz="4" w:space="0" w:color="000000"/>
            </w:tcBorders>
          </w:tcPr>
          <w:p>
            <w:pPr>
              <w:pStyle w:val="TableParagraph"/>
              <w:spacing w:line="253" w:lineRule="exact"/>
              <w:ind w:right="1530"/>
              <w:jc w:val="center"/>
              <w:rPr>
                <w:rFonts w:ascii="Arial"/>
                <w:b/>
                <w:sz w:val="24"/>
              </w:rPr>
            </w:pPr>
            <w:r>
              <w:rPr>
                <w:rFonts w:ascii="Arial"/>
                <w:b/>
                <w:spacing w:val="-2"/>
                <w:sz w:val="24"/>
              </w:rPr>
              <w:t>Responses</w:t>
            </w:r>
          </w:p>
        </w:tc>
      </w:tr>
      <w:tr>
        <w:trPr>
          <w:trHeight w:val="460" w:hRule="atLeast"/>
        </w:trPr>
        <w:tc>
          <w:tcPr>
            <w:tcW w:w="4146" w:type="dxa"/>
            <w:vMerge/>
            <w:tcBorders>
              <w:top w:val="nil"/>
              <w:left w:val="single" w:sz="4" w:space="0" w:color="000000"/>
              <w:bottom w:val="single" w:sz="4" w:space="0" w:color="000000"/>
            </w:tcBorders>
          </w:tcPr>
          <w:p>
            <w:pPr>
              <w:rPr>
                <w:sz w:val="2"/>
                <w:szCs w:val="2"/>
              </w:rPr>
            </w:pPr>
          </w:p>
        </w:tc>
        <w:tc>
          <w:tcPr>
            <w:tcW w:w="1796" w:type="dxa"/>
            <w:vMerge/>
            <w:tcBorders>
              <w:top w:val="nil"/>
              <w:bottom w:val="single" w:sz="4" w:space="0" w:color="000000"/>
              <w:right w:val="single" w:sz="4" w:space="0" w:color="000000"/>
            </w:tcBorders>
          </w:tcPr>
          <w:p>
            <w:pPr>
              <w:rPr>
                <w:sz w:val="2"/>
                <w:szCs w:val="2"/>
              </w:rPr>
            </w:pPr>
          </w:p>
        </w:tc>
        <w:tc>
          <w:tcPr>
            <w:tcW w:w="8808" w:type="dxa"/>
            <w:gridSpan w:val="12"/>
            <w:tcBorders>
              <w:top w:val="single" w:sz="4" w:space="0" w:color="000000"/>
              <w:left w:val="single" w:sz="4" w:space="0" w:color="000000"/>
              <w:bottom w:val="single" w:sz="4" w:space="0" w:color="000000"/>
              <w:right w:val="single" w:sz="4" w:space="0" w:color="000000"/>
            </w:tcBorders>
          </w:tcPr>
          <w:p>
            <w:pPr>
              <w:pStyle w:val="TableParagraph"/>
              <w:tabs>
                <w:tab w:pos="1876" w:val="left" w:leader="none"/>
                <w:tab w:pos="3192" w:val="left" w:leader="none"/>
                <w:tab w:pos="4814" w:val="left" w:leader="none"/>
                <w:tab w:pos="6259" w:val="left" w:leader="none"/>
                <w:tab w:pos="7857" w:val="left" w:leader="none"/>
              </w:tabs>
              <w:spacing w:line="220" w:lineRule="exact"/>
              <w:ind w:left="312"/>
              <w:rPr>
                <w:rFonts w:ascii="Arial"/>
                <w:b/>
                <w:sz w:val="20"/>
              </w:rPr>
            </w:pPr>
            <w:r>
              <w:rPr>
                <w:rFonts w:ascii="Arial"/>
                <w:b/>
                <w:spacing w:val="-2"/>
                <w:sz w:val="20"/>
              </w:rPr>
              <w:t>Strongly</w:t>
            </w:r>
            <w:r>
              <w:rPr>
                <w:rFonts w:ascii="Arial"/>
                <w:b/>
                <w:sz w:val="20"/>
              </w:rPr>
              <w:tab/>
            </w:r>
            <w:r>
              <w:rPr>
                <w:rFonts w:ascii="Arial"/>
                <w:b/>
                <w:spacing w:val="-4"/>
                <w:sz w:val="20"/>
              </w:rPr>
              <w:t>Agree</w:t>
            </w:r>
            <w:r>
              <w:rPr>
                <w:rFonts w:ascii="Arial"/>
                <w:b/>
                <w:sz w:val="20"/>
              </w:rPr>
              <w:tab/>
            </w:r>
            <w:r>
              <w:rPr>
                <w:rFonts w:ascii="Arial"/>
                <w:b/>
                <w:spacing w:val="-2"/>
                <w:sz w:val="20"/>
              </w:rPr>
              <w:t>Undecided</w:t>
            </w:r>
            <w:r>
              <w:rPr>
                <w:rFonts w:ascii="Arial"/>
                <w:b/>
                <w:sz w:val="20"/>
              </w:rPr>
              <w:tab/>
            </w:r>
            <w:r>
              <w:rPr>
                <w:rFonts w:ascii="Arial"/>
                <w:b/>
                <w:spacing w:val="-2"/>
                <w:sz w:val="20"/>
              </w:rPr>
              <w:t>Disagree</w:t>
            </w:r>
            <w:r>
              <w:rPr>
                <w:rFonts w:ascii="Arial"/>
                <w:b/>
                <w:sz w:val="20"/>
              </w:rPr>
              <w:tab/>
            </w:r>
            <w:r>
              <w:rPr>
                <w:rFonts w:ascii="Arial"/>
                <w:b/>
                <w:spacing w:val="-2"/>
                <w:sz w:val="20"/>
              </w:rPr>
              <w:t>Strongly</w:t>
            </w:r>
            <w:r>
              <w:rPr>
                <w:rFonts w:ascii="Arial"/>
                <w:b/>
                <w:sz w:val="20"/>
              </w:rPr>
              <w:tab/>
            </w:r>
            <w:r>
              <w:rPr>
                <w:rFonts w:ascii="Arial"/>
                <w:b/>
                <w:spacing w:val="-2"/>
                <w:sz w:val="20"/>
              </w:rPr>
              <w:t>Total</w:t>
            </w:r>
          </w:p>
          <w:p>
            <w:pPr>
              <w:pStyle w:val="TableParagraph"/>
              <w:tabs>
                <w:tab w:pos="6244" w:val="left" w:leader="none"/>
              </w:tabs>
              <w:spacing w:line="220" w:lineRule="exact"/>
              <w:ind w:left="437"/>
              <w:rPr>
                <w:rFonts w:ascii="Arial"/>
                <w:b/>
                <w:sz w:val="20"/>
              </w:rPr>
            </w:pPr>
            <w:r>
              <w:rPr>
                <w:rFonts w:ascii="Arial"/>
                <w:b/>
                <w:spacing w:val="-2"/>
                <w:sz w:val="20"/>
              </w:rPr>
              <w:t>Agree</w:t>
            </w:r>
            <w:r>
              <w:rPr>
                <w:rFonts w:ascii="Arial"/>
                <w:b/>
                <w:sz w:val="20"/>
              </w:rPr>
              <w:tab/>
            </w:r>
            <w:r>
              <w:rPr>
                <w:rFonts w:ascii="Arial"/>
                <w:b/>
                <w:spacing w:val="-2"/>
                <w:sz w:val="20"/>
              </w:rPr>
              <w:t>Disagree</w:t>
            </w:r>
          </w:p>
        </w:tc>
      </w:tr>
      <w:tr>
        <w:trPr>
          <w:trHeight w:val="321" w:hRule="atLeast"/>
        </w:trPr>
        <w:tc>
          <w:tcPr>
            <w:tcW w:w="4146" w:type="dxa"/>
            <w:vMerge/>
            <w:tcBorders>
              <w:top w:val="nil"/>
              <w:left w:val="single" w:sz="4" w:space="0" w:color="000000"/>
              <w:bottom w:val="single" w:sz="4" w:space="0" w:color="000000"/>
            </w:tcBorders>
          </w:tcPr>
          <w:p>
            <w:pPr>
              <w:rPr>
                <w:sz w:val="2"/>
                <w:szCs w:val="2"/>
              </w:rPr>
            </w:pPr>
          </w:p>
        </w:tc>
        <w:tc>
          <w:tcPr>
            <w:tcW w:w="1796" w:type="dxa"/>
            <w:vMerge/>
            <w:tcBorders>
              <w:top w:val="nil"/>
              <w:bottom w:val="single" w:sz="4" w:space="0" w:color="000000"/>
              <w:right w:val="single" w:sz="4" w:space="0" w:color="000000"/>
            </w:tcBorders>
          </w:tcPr>
          <w:p>
            <w:pPr>
              <w:rPr>
                <w:sz w:val="2"/>
                <w:szCs w:val="2"/>
              </w:rPr>
            </w:pPr>
          </w:p>
        </w:tc>
        <w:tc>
          <w:tcPr>
            <w:tcW w:w="706" w:type="dxa"/>
            <w:tcBorders>
              <w:top w:val="single" w:sz="4" w:space="0" w:color="000000"/>
              <w:left w:val="single" w:sz="4" w:space="0" w:color="000000"/>
              <w:bottom w:val="single" w:sz="4" w:space="0" w:color="000000"/>
            </w:tcBorders>
          </w:tcPr>
          <w:p>
            <w:pPr>
              <w:pStyle w:val="TableParagraph"/>
              <w:spacing w:line="220" w:lineRule="exact"/>
              <w:ind w:left="27"/>
              <w:jc w:val="center"/>
              <w:rPr>
                <w:rFonts w:ascii="Arial"/>
                <w:b/>
                <w:sz w:val="20"/>
              </w:rPr>
            </w:pPr>
            <w:r>
              <w:rPr>
                <w:rFonts w:ascii="Arial"/>
                <w:b/>
                <w:spacing w:val="-10"/>
                <w:sz w:val="20"/>
              </w:rPr>
              <w:t>F</w:t>
            </w:r>
          </w:p>
        </w:tc>
        <w:tc>
          <w:tcPr>
            <w:tcW w:w="748" w:type="dxa"/>
            <w:tcBorders>
              <w:top w:val="single" w:sz="4" w:space="0" w:color="000000"/>
              <w:bottom w:val="single" w:sz="4" w:space="0" w:color="000000"/>
            </w:tcBorders>
          </w:tcPr>
          <w:p>
            <w:pPr>
              <w:pStyle w:val="TableParagraph"/>
              <w:spacing w:line="220" w:lineRule="exact"/>
              <w:ind w:left="18" w:right="1"/>
              <w:jc w:val="center"/>
              <w:rPr>
                <w:rFonts w:ascii="Arial"/>
                <w:b/>
                <w:sz w:val="20"/>
              </w:rPr>
            </w:pPr>
            <w:r>
              <w:rPr>
                <w:rFonts w:ascii="Arial"/>
                <w:b/>
                <w:spacing w:val="-10"/>
                <w:sz w:val="20"/>
              </w:rPr>
              <w:t>%</w:t>
            </w:r>
          </w:p>
        </w:tc>
        <w:tc>
          <w:tcPr>
            <w:tcW w:w="690" w:type="dxa"/>
            <w:tcBorders>
              <w:top w:val="single" w:sz="4" w:space="0" w:color="000000"/>
              <w:bottom w:val="single" w:sz="4" w:space="0" w:color="000000"/>
            </w:tcBorders>
          </w:tcPr>
          <w:p>
            <w:pPr>
              <w:pStyle w:val="TableParagraph"/>
              <w:spacing w:line="220" w:lineRule="exact"/>
              <w:ind w:left="22" w:right="2"/>
              <w:jc w:val="center"/>
              <w:rPr>
                <w:rFonts w:ascii="Arial"/>
                <w:b/>
                <w:sz w:val="20"/>
              </w:rPr>
            </w:pPr>
            <w:r>
              <w:rPr>
                <w:rFonts w:ascii="Arial"/>
                <w:b/>
                <w:spacing w:val="-10"/>
                <w:sz w:val="20"/>
              </w:rPr>
              <w:t>F</w:t>
            </w:r>
          </w:p>
        </w:tc>
        <w:tc>
          <w:tcPr>
            <w:tcW w:w="776" w:type="dxa"/>
            <w:tcBorders>
              <w:top w:val="single" w:sz="4" w:space="0" w:color="000000"/>
              <w:bottom w:val="single" w:sz="4" w:space="0" w:color="000000"/>
            </w:tcBorders>
          </w:tcPr>
          <w:p>
            <w:pPr>
              <w:pStyle w:val="TableParagraph"/>
              <w:spacing w:line="220" w:lineRule="exact"/>
              <w:ind w:left="7" w:right="11"/>
              <w:jc w:val="center"/>
              <w:rPr>
                <w:rFonts w:ascii="Arial"/>
                <w:b/>
                <w:sz w:val="20"/>
              </w:rPr>
            </w:pPr>
            <w:r>
              <w:rPr>
                <w:rFonts w:ascii="Arial"/>
                <w:b/>
                <w:spacing w:val="-10"/>
                <w:sz w:val="20"/>
              </w:rPr>
              <w:t>%</w:t>
            </w:r>
          </w:p>
        </w:tc>
        <w:tc>
          <w:tcPr>
            <w:tcW w:w="685" w:type="dxa"/>
            <w:tcBorders>
              <w:top w:val="single" w:sz="4" w:space="0" w:color="000000"/>
              <w:bottom w:val="single" w:sz="4" w:space="0" w:color="000000"/>
            </w:tcBorders>
          </w:tcPr>
          <w:p>
            <w:pPr>
              <w:pStyle w:val="TableParagraph"/>
              <w:spacing w:line="220" w:lineRule="exact"/>
              <w:ind w:left="59" w:right="83"/>
              <w:jc w:val="center"/>
              <w:rPr>
                <w:rFonts w:ascii="Arial"/>
                <w:b/>
                <w:sz w:val="20"/>
              </w:rPr>
            </w:pPr>
            <w:r>
              <w:rPr>
                <w:rFonts w:ascii="Arial"/>
                <w:b/>
                <w:spacing w:val="-10"/>
                <w:sz w:val="20"/>
              </w:rPr>
              <w:t>F</w:t>
            </w:r>
          </w:p>
        </w:tc>
        <w:tc>
          <w:tcPr>
            <w:tcW w:w="927" w:type="dxa"/>
            <w:tcBorders>
              <w:top w:val="single" w:sz="4" w:space="0" w:color="000000"/>
              <w:bottom w:val="single" w:sz="4" w:space="0" w:color="000000"/>
            </w:tcBorders>
          </w:tcPr>
          <w:p>
            <w:pPr>
              <w:pStyle w:val="TableParagraph"/>
              <w:spacing w:line="220" w:lineRule="exact"/>
              <w:ind w:left="3" w:right="2"/>
              <w:jc w:val="center"/>
              <w:rPr>
                <w:rFonts w:ascii="Arial"/>
                <w:b/>
                <w:sz w:val="20"/>
              </w:rPr>
            </w:pPr>
            <w:r>
              <w:rPr>
                <w:rFonts w:ascii="Arial"/>
                <w:b/>
                <w:spacing w:val="-10"/>
                <w:sz w:val="20"/>
              </w:rPr>
              <w:t>%</w:t>
            </w:r>
          </w:p>
        </w:tc>
        <w:tc>
          <w:tcPr>
            <w:tcW w:w="633" w:type="dxa"/>
            <w:tcBorders>
              <w:top w:val="single" w:sz="4" w:space="0" w:color="000000"/>
              <w:bottom w:val="single" w:sz="4" w:space="0" w:color="000000"/>
            </w:tcBorders>
          </w:tcPr>
          <w:p>
            <w:pPr>
              <w:pStyle w:val="TableParagraph"/>
              <w:spacing w:line="220" w:lineRule="exact"/>
              <w:ind w:left="75"/>
              <w:jc w:val="center"/>
              <w:rPr>
                <w:rFonts w:ascii="Arial"/>
                <w:b/>
                <w:sz w:val="20"/>
              </w:rPr>
            </w:pPr>
            <w:r>
              <w:rPr>
                <w:rFonts w:ascii="Arial"/>
                <w:b/>
                <w:spacing w:val="-10"/>
                <w:sz w:val="20"/>
              </w:rPr>
              <w:t>F</w:t>
            </w:r>
          </w:p>
        </w:tc>
        <w:tc>
          <w:tcPr>
            <w:tcW w:w="848" w:type="dxa"/>
            <w:tcBorders>
              <w:top w:val="single" w:sz="4" w:space="0" w:color="000000"/>
              <w:bottom w:val="single" w:sz="4" w:space="0" w:color="000000"/>
            </w:tcBorders>
          </w:tcPr>
          <w:p>
            <w:pPr>
              <w:pStyle w:val="TableParagraph"/>
              <w:spacing w:line="220" w:lineRule="exact"/>
              <w:ind w:left="32"/>
              <w:jc w:val="center"/>
              <w:rPr>
                <w:rFonts w:ascii="Arial"/>
                <w:b/>
                <w:sz w:val="20"/>
              </w:rPr>
            </w:pPr>
            <w:r>
              <w:rPr>
                <w:rFonts w:ascii="Arial"/>
                <w:b/>
                <w:spacing w:val="-10"/>
                <w:sz w:val="20"/>
              </w:rPr>
              <w:t>%</w:t>
            </w:r>
          </w:p>
        </w:tc>
        <w:tc>
          <w:tcPr>
            <w:tcW w:w="602" w:type="dxa"/>
            <w:tcBorders>
              <w:top w:val="single" w:sz="4" w:space="0" w:color="000000"/>
              <w:bottom w:val="single" w:sz="4" w:space="0" w:color="000000"/>
            </w:tcBorders>
          </w:tcPr>
          <w:p>
            <w:pPr>
              <w:pStyle w:val="TableParagraph"/>
              <w:spacing w:line="220" w:lineRule="exact"/>
              <w:ind w:left="5" w:right="1"/>
              <w:jc w:val="center"/>
              <w:rPr>
                <w:rFonts w:ascii="Arial"/>
                <w:b/>
                <w:sz w:val="20"/>
              </w:rPr>
            </w:pPr>
            <w:r>
              <w:rPr>
                <w:rFonts w:ascii="Arial"/>
                <w:b/>
                <w:spacing w:val="-10"/>
                <w:sz w:val="20"/>
              </w:rPr>
              <w:t>F</w:t>
            </w:r>
          </w:p>
        </w:tc>
        <w:tc>
          <w:tcPr>
            <w:tcW w:w="737" w:type="dxa"/>
            <w:tcBorders>
              <w:top w:val="single" w:sz="4" w:space="0" w:color="000000"/>
              <w:bottom w:val="single" w:sz="4" w:space="0" w:color="000000"/>
            </w:tcBorders>
          </w:tcPr>
          <w:p>
            <w:pPr>
              <w:pStyle w:val="TableParagraph"/>
              <w:spacing w:line="220" w:lineRule="exact"/>
              <w:ind w:left="85"/>
              <w:jc w:val="center"/>
              <w:rPr>
                <w:rFonts w:ascii="Arial"/>
                <w:b/>
                <w:sz w:val="20"/>
              </w:rPr>
            </w:pPr>
            <w:r>
              <w:rPr>
                <w:rFonts w:ascii="Arial"/>
                <w:b/>
                <w:spacing w:val="-10"/>
                <w:sz w:val="20"/>
              </w:rPr>
              <w:t>%</w:t>
            </w:r>
          </w:p>
        </w:tc>
        <w:tc>
          <w:tcPr>
            <w:tcW w:w="719" w:type="dxa"/>
            <w:tcBorders>
              <w:top w:val="single" w:sz="4" w:space="0" w:color="000000"/>
              <w:bottom w:val="single" w:sz="4" w:space="0" w:color="000000"/>
            </w:tcBorders>
          </w:tcPr>
          <w:p>
            <w:pPr>
              <w:pStyle w:val="TableParagraph"/>
              <w:spacing w:line="220" w:lineRule="exact"/>
              <w:ind w:left="70"/>
              <w:jc w:val="center"/>
              <w:rPr>
                <w:rFonts w:ascii="Arial"/>
                <w:b/>
                <w:sz w:val="20"/>
              </w:rPr>
            </w:pPr>
            <w:r>
              <w:rPr>
                <w:rFonts w:ascii="Arial"/>
                <w:b/>
                <w:spacing w:val="-10"/>
                <w:sz w:val="20"/>
              </w:rPr>
              <w:t>F</w:t>
            </w:r>
          </w:p>
        </w:tc>
        <w:tc>
          <w:tcPr>
            <w:tcW w:w="737" w:type="dxa"/>
            <w:tcBorders>
              <w:top w:val="single" w:sz="4" w:space="0" w:color="000000"/>
              <w:bottom w:val="single" w:sz="4" w:space="0" w:color="000000"/>
              <w:right w:val="single" w:sz="4" w:space="0" w:color="000000"/>
            </w:tcBorders>
          </w:tcPr>
          <w:p>
            <w:pPr>
              <w:pStyle w:val="TableParagraph"/>
              <w:spacing w:line="220" w:lineRule="exact"/>
              <w:ind w:left="63" w:right="5"/>
              <w:jc w:val="center"/>
              <w:rPr>
                <w:rFonts w:ascii="Arial"/>
                <w:b/>
                <w:sz w:val="20"/>
              </w:rPr>
            </w:pPr>
            <w:r>
              <w:rPr>
                <w:rFonts w:ascii="Arial"/>
                <w:b/>
                <w:spacing w:val="-10"/>
                <w:sz w:val="20"/>
              </w:rPr>
              <w:t>%</w:t>
            </w:r>
          </w:p>
        </w:tc>
      </w:tr>
      <w:tr>
        <w:trPr>
          <w:trHeight w:val="227" w:hRule="atLeast"/>
        </w:trPr>
        <w:tc>
          <w:tcPr>
            <w:tcW w:w="4146" w:type="dxa"/>
            <w:tcBorders>
              <w:top w:val="single" w:sz="4" w:space="0" w:color="000000"/>
              <w:left w:val="single" w:sz="4" w:space="0" w:color="000000"/>
            </w:tcBorders>
          </w:tcPr>
          <w:p>
            <w:pPr>
              <w:pStyle w:val="TableParagraph"/>
              <w:tabs>
                <w:tab w:pos="609" w:val="left" w:leader="none"/>
              </w:tabs>
              <w:spacing w:line="208" w:lineRule="exact"/>
              <w:ind w:right="99"/>
              <w:jc w:val="right"/>
              <w:rPr>
                <w:sz w:val="20"/>
              </w:rPr>
            </w:pPr>
            <w:r>
              <w:rPr>
                <w:spacing w:val="-5"/>
                <w:sz w:val="20"/>
              </w:rPr>
              <w:t>89.</w:t>
            </w:r>
            <w:r>
              <w:rPr>
                <w:sz w:val="20"/>
              </w:rPr>
              <w:tab/>
              <w:t>Good</w:t>
            </w:r>
            <w:r>
              <w:rPr>
                <w:spacing w:val="56"/>
                <w:sz w:val="20"/>
              </w:rPr>
              <w:t> </w:t>
            </w:r>
            <w:r>
              <w:rPr>
                <w:sz w:val="20"/>
              </w:rPr>
              <w:t>and</w:t>
            </w:r>
            <w:r>
              <w:rPr>
                <w:spacing w:val="56"/>
                <w:sz w:val="20"/>
              </w:rPr>
              <w:t> </w:t>
            </w:r>
            <w:r>
              <w:rPr>
                <w:sz w:val="20"/>
              </w:rPr>
              <w:t>neat</w:t>
            </w:r>
            <w:r>
              <w:rPr>
                <w:spacing w:val="59"/>
                <w:sz w:val="20"/>
              </w:rPr>
              <w:t> </w:t>
            </w:r>
            <w:r>
              <w:rPr>
                <w:sz w:val="20"/>
              </w:rPr>
              <w:t>environment,</w:t>
            </w:r>
            <w:r>
              <w:rPr>
                <w:spacing w:val="59"/>
                <w:sz w:val="20"/>
              </w:rPr>
              <w:t> </w:t>
            </w:r>
            <w:r>
              <w:rPr>
                <w:spacing w:val="-4"/>
                <w:sz w:val="20"/>
              </w:rPr>
              <w:t>with</w:t>
            </w:r>
          </w:p>
        </w:tc>
        <w:tc>
          <w:tcPr>
            <w:tcW w:w="1796" w:type="dxa"/>
            <w:tcBorders>
              <w:top w:val="single" w:sz="4" w:space="0" w:color="000000"/>
            </w:tcBorders>
          </w:tcPr>
          <w:p>
            <w:pPr>
              <w:pStyle w:val="TableParagraph"/>
              <w:spacing w:line="208" w:lineRule="exact"/>
              <w:ind w:left="111"/>
              <w:rPr>
                <w:sz w:val="20"/>
              </w:rPr>
            </w:pPr>
            <w:r>
              <w:rPr>
                <w:sz w:val="20"/>
              </w:rPr>
              <w:t>No.</w:t>
            </w:r>
            <w:r>
              <w:rPr>
                <w:spacing w:val="-5"/>
                <w:sz w:val="20"/>
              </w:rPr>
              <w:t> </w:t>
            </w:r>
            <w:r>
              <w:rPr>
                <w:sz w:val="20"/>
              </w:rPr>
              <w:t>of</w:t>
            </w:r>
            <w:r>
              <w:rPr>
                <w:spacing w:val="-2"/>
                <w:sz w:val="20"/>
              </w:rPr>
              <w:t> missing</w:t>
            </w:r>
          </w:p>
        </w:tc>
        <w:tc>
          <w:tcPr>
            <w:tcW w:w="706" w:type="dxa"/>
            <w:tcBorders>
              <w:top w:val="single" w:sz="4" w:space="0" w:color="000000"/>
            </w:tcBorders>
          </w:tcPr>
          <w:p>
            <w:pPr>
              <w:pStyle w:val="TableParagraph"/>
              <w:rPr>
                <w:rFonts w:ascii="Times New Roman"/>
                <w:sz w:val="16"/>
              </w:rPr>
            </w:pPr>
          </w:p>
        </w:tc>
        <w:tc>
          <w:tcPr>
            <w:tcW w:w="748" w:type="dxa"/>
            <w:tcBorders>
              <w:top w:val="single" w:sz="4" w:space="0" w:color="000000"/>
            </w:tcBorders>
          </w:tcPr>
          <w:p>
            <w:pPr>
              <w:pStyle w:val="TableParagraph"/>
              <w:rPr>
                <w:rFonts w:ascii="Times New Roman"/>
                <w:sz w:val="16"/>
              </w:rPr>
            </w:pPr>
          </w:p>
        </w:tc>
        <w:tc>
          <w:tcPr>
            <w:tcW w:w="690" w:type="dxa"/>
            <w:tcBorders>
              <w:top w:val="single" w:sz="4" w:space="0" w:color="000000"/>
            </w:tcBorders>
          </w:tcPr>
          <w:p>
            <w:pPr>
              <w:pStyle w:val="TableParagraph"/>
              <w:rPr>
                <w:rFonts w:ascii="Times New Roman"/>
                <w:sz w:val="16"/>
              </w:rPr>
            </w:pPr>
          </w:p>
        </w:tc>
        <w:tc>
          <w:tcPr>
            <w:tcW w:w="776" w:type="dxa"/>
            <w:tcBorders>
              <w:top w:val="single" w:sz="4" w:space="0" w:color="000000"/>
            </w:tcBorders>
          </w:tcPr>
          <w:p>
            <w:pPr>
              <w:pStyle w:val="TableParagraph"/>
              <w:rPr>
                <w:rFonts w:ascii="Times New Roman"/>
                <w:sz w:val="16"/>
              </w:rPr>
            </w:pPr>
          </w:p>
        </w:tc>
        <w:tc>
          <w:tcPr>
            <w:tcW w:w="685" w:type="dxa"/>
            <w:tcBorders>
              <w:top w:val="single" w:sz="4" w:space="0" w:color="000000"/>
            </w:tcBorders>
          </w:tcPr>
          <w:p>
            <w:pPr>
              <w:pStyle w:val="TableParagraph"/>
              <w:rPr>
                <w:rFonts w:ascii="Times New Roman"/>
                <w:sz w:val="16"/>
              </w:rPr>
            </w:pPr>
          </w:p>
        </w:tc>
        <w:tc>
          <w:tcPr>
            <w:tcW w:w="927" w:type="dxa"/>
            <w:tcBorders>
              <w:top w:val="single" w:sz="4" w:space="0" w:color="000000"/>
            </w:tcBorders>
          </w:tcPr>
          <w:p>
            <w:pPr>
              <w:pStyle w:val="TableParagraph"/>
              <w:rPr>
                <w:rFonts w:ascii="Times New Roman"/>
                <w:sz w:val="16"/>
              </w:rPr>
            </w:pPr>
          </w:p>
        </w:tc>
        <w:tc>
          <w:tcPr>
            <w:tcW w:w="633" w:type="dxa"/>
            <w:tcBorders>
              <w:top w:val="single" w:sz="4" w:space="0" w:color="000000"/>
            </w:tcBorders>
          </w:tcPr>
          <w:p>
            <w:pPr>
              <w:pStyle w:val="TableParagraph"/>
              <w:rPr>
                <w:rFonts w:ascii="Times New Roman"/>
                <w:sz w:val="16"/>
              </w:rPr>
            </w:pPr>
          </w:p>
        </w:tc>
        <w:tc>
          <w:tcPr>
            <w:tcW w:w="848" w:type="dxa"/>
            <w:tcBorders>
              <w:top w:val="single" w:sz="4" w:space="0" w:color="000000"/>
            </w:tcBorders>
          </w:tcPr>
          <w:p>
            <w:pPr>
              <w:pStyle w:val="TableParagraph"/>
              <w:rPr>
                <w:rFonts w:ascii="Times New Roman"/>
                <w:sz w:val="16"/>
              </w:rPr>
            </w:pPr>
          </w:p>
        </w:tc>
        <w:tc>
          <w:tcPr>
            <w:tcW w:w="602" w:type="dxa"/>
            <w:tcBorders>
              <w:top w:val="single" w:sz="4" w:space="0" w:color="000000"/>
            </w:tcBorders>
          </w:tcPr>
          <w:p>
            <w:pPr>
              <w:pStyle w:val="TableParagraph"/>
              <w:rPr>
                <w:rFonts w:ascii="Times New Roman"/>
                <w:sz w:val="16"/>
              </w:rPr>
            </w:pPr>
          </w:p>
        </w:tc>
        <w:tc>
          <w:tcPr>
            <w:tcW w:w="737" w:type="dxa"/>
            <w:tcBorders>
              <w:top w:val="single" w:sz="4" w:space="0" w:color="000000"/>
            </w:tcBorders>
          </w:tcPr>
          <w:p>
            <w:pPr>
              <w:pStyle w:val="TableParagraph"/>
              <w:rPr>
                <w:rFonts w:ascii="Times New Roman"/>
                <w:sz w:val="16"/>
              </w:rPr>
            </w:pPr>
          </w:p>
        </w:tc>
        <w:tc>
          <w:tcPr>
            <w:tcW w:w="719" w:type="dxa"/>
            <w:tcBorders>
              <w:top w:val="single" w:sz="4" w:space="0" w:color="000000"/>
            </w:tcBorders>
          </w:tcPr>
          <w:p>
            <w:pPr>
              <w:pStyle w:val="TableParagraph"/>
              <w:rPr>
                <w:rFonts w:ascii="Times New Roman"/>
                <w:sz w:val="16"/>
              </w:rPr>
            </w:pPr>
          </w:p>
        </w:tc>
        <w:tc>
          <w:tcPr>
            <w:tcW w:w="737" w:type="dxa"/>
            <w:tcBorders>
              <w:top w:val="single" w:sz="4" w:space="0" w:color="000000"/>
              <w:right w:val="single" w:sz="4" w:space="0" w:color="000000"/>
            </w:tcBorders>
          </w:tcPr>
          <w:p>
            <w:pPr>
              <w:pStyle w:val="TableParagraph"/>
              <w:rPr>
                <w:rFonts w:ascii="Times New Roman"/>
                <w:sz w:val="16"/>
              </w:rPr>
            </w:pPr>
          </w:p>
        </w:tc>
      </w:tr>
      <w:tr>
        <w:trPr>
          <w:trHeight w:val="230" w:hRule="atLeast"/>
        </w:trPr>
        <w:tc>
          <w:tcPr>
            <w:tcW w:w="4146" w:type="dxa"/>
            <w:tcBorders>
              <w:left w:val="single" w:sz="4" w:space="0" w:color="000000"/>
            </w:tcBorders>
          </w:tcPr>
          <w:p>
            <w:pPr>
              <w:pStyle w:val="TableParagraph"/>
              <w:spacing w:line="210" w:lineRule="exact"/>
              <w:ind w:right="103"/>
              <w:jc w:val="right"/>
              <w:rPr>
                <w:sz w:val="20"/>
              </w:rPr>
            </w:pPr>
            <w:r>
              <w:rPr>
                <w:sz w:val="20"/>
              </w:rPr>
              <w:t>adequate</w:t>
            </w:r>
            <w:r>
              <w:rPr>
                <w:spacing w:val="54"/>
                <w:w w:val="150"/>
                <w:sz w:val="20"/>
              </w:rPr>
              <w:t> </w:t>
            </w:r>
            <w:r>
              <w:rPr>
                <w:sz w:val="20"/>
              </w:rPr>
              <w:t>sanitation,</w:t>
            </w:r>
            <w:r>
              <w:rPr>
                <w:spacing w:val="52"/>
                <w:w w:val="150"/>
                <w:sz w:val="20"/>
              </w:rPr>
              <w:t> </w:t>
            </w:r>
            <w:r>
              <w:rPr>
                <w:sz w:val="20"/>
              </w:rPr>
              <w:t>street</w:t>
            </w:r>
            <w:r>
              <w:rPr>
                <w:spacing w:val="52"/>
                <w:w w:val="150"/>
                <w:sz w:val="20"/>
              </w:rPr>
              <w:t> </w:t>
            </w:r>
            <w:r>
              <w:rPr>
                <w:spacing w:val="-2"/>
                <w:sz w:val="20"/>
              </w:rPr>
              <w:t>lights,</w:t>
            </w:r>
          </w:p>
        </w:tc>
        <w:tc>
          <w:tcPr>
            <w:tcW w:w="1796" w:type="dxa"/>
          </w:tcPr>
          <w:p>
            <w:pPr>
              <w:pStyle w:val="TableParagraph"/>
              <w:spacing w:line="210" w:lineRule="exact"/>
              <w:ind w:left="111"/>
              <w:rPr>
                <w:sz w:val="20"/>
              </w:rPr>
            </w:pPr>
            <w:r>
              <w:rPr>
                <w:spacing w:val="-2"/>
                <w:sz w:val="20"/>
              </w:rPr>
              <w:t>observations</w:t>
            </w:r>
          </w:p>
        </w:tc>
        <w:tc>
          <w:tcPr>
            <w:tcW w:w="706" w:type="dxa"/>
          </w:tcPr>
          <w:p>
            <w:pPr>
              <w:pStyle w:val="TableParagraph"/>
              <w:spacing w:line="210" w:lineRule="exact"/>
              <w:ind w:left="31"/>
              <w:jc w:val="center"/>
              <w:rPr>
                <w:sz w:val="20"/>
              </w:rPr>
            </w:pPr>
            <w:r>
              <w:rPr>
                <w:spacing w:val="-10"/>
                <w:sz w:val="20"/>
              </w:rPr>
              <w:t>1</w:t>
            </w:r>
          </w:p>
        </w:tc>
        <w:tc>
          <w:tcPr>
            <w:tcW w:w="748" w:type="dxa"/>
          </w:tcPr>
          <w:p>
            <w:pPr>
              <w:pStyle w:val="TableParagraph"/>
              <w:spacing w:line="210" w:lineRule="exact"/>
              <w:ind w:left="18" w:right="1"/>
              <w:jc w:val="center"/>
              <w:rPr>
                <w:sz w:val="20"/>
              </w:rPr>
            </w:pPr>
            <w:r>
              <w:rPr>
                <w:spacing w:val="-4"/>
                <w:sz w:val="20"/>
              </w:rPr>
              <w:t>50.0</w:t>
            </w:r>
          </w:p>
        </w:tc>
        <w:tc>
          <w:tcPr>
            <w:tcW w:w="690" w:type="dxa"/>
          </w:tcPr>
          <w:p>
            <w:pPr>
              <w:pStyle w:val="TableParagraph"/>
              <w:spacing w:line="210" w:lineRule="exact"/>
              <w:ind w:left="22" w:right="3"/>
              <w:jc w:val="center"/>
              <w:rPr>
                <w:sz w:val="20"/>
              </w:rPr>
            </w:pPr>
            <w:r>
              <w:rPr>
                <w:spacing w:val="-10"/>
                <w:sz w:val="20"/>
              </w:rPr>
              <w:t>1</w:t>
            </w:r>
          </w:p>
        </w:tc>
        <w:tc>
          <w:tcPr>
            <w:tcW w:w="776" w:type="dxa"/>
          </w:tcPr>
          <w:p>
            <w:pPr>
              <w:pStyle w:val="TableParagraph"/>
              <w:spacing w:line="210" w:lineRule="exact"/>
              <w:ind w:left="7" w:right="11"/>
              <w:jc w:val="center"/>
              <w:rPr>
                <w:sz w:val="20"/>
              </w:rPr>
            </w:pPr>
            <w:r>
              <w:rPr>
                <w:spacing w:val="-4"/>
                <w:sz w:val="20"/>
              </w:rPr>
              <w:t>50.0</w:t>
            </w:r>
          </w:p>
        </w:tc>
        <w:tc>
          <w:tcPr>
            <w:tcW w:w="685" w:type="dxa"/>
          </w:tcPr>
          <w:p>
            <w:pPr>
              <w:pStyle w:val="TableParagraph"/>
              <w:spacing w:line="210" w:lineRule="exact"/>
              <w:ind w:left="59" w:right="91"/>
              <w:jc w:val="center"/>
              <w:rPr>
                <w:sz w:val="20"/>
              </w:rPr>
            </w:pPr>
            <w:r>
              <w:rPr>
                <w:spacing w:val="-10"/>
                <w:sz w:val="20"/>
              </w:rPr>
              <w:t>-</w:t>
            </w:r>
          </w:p>
        </w:tc>
        <w:tc>
          <w:tcPr>
            <w:tcW w:w="927" w:type="dxa"/>
          </w:tcPr>
          <w:p>
            <w:pPr>
              <w:pStyle w:val="TableParagraph"/>
              <w:spacing w:line="210" w:lineRule="exact"/>
              <w:ind w:left="1" w:right="3"/>
              <w:jc w:val="center"/>
              <w:rPr>
                <w:sz w:val="20"/>
              </w:rPr>
            </w:pPr>
            <w:r>
              <w:rPr>
                <w:spacing w:val="-10"/>
                <w:sz w:val="20"/>
              </w:rPr>
              <w:t>-</w:t>
            </w:r>
          </w:p>
        </w:tc>
        <w:tc>
          <w:tcPr>
            <w:tcW w:w="633" w:type="dxa"/>
          </w:tcPr>
          <w:p>
            <w:pPr>
              <w:pStyle w:val="TableParagraph"/>
              <w:spacing w:line="210" w:lineRule="exact"/>
              <w:ind w:left="75" w:right="8"/>
              <w:jc w:val="center"/>
              <w:rPr>
                <w:sz w:val="20"/>
              </w:rPr>
            </w:pPr>
            <w:r>
              <w:rPr>
                <w:spacing w:val="-10"/>
                <w:sz w:val="20"/>
              </w:rPr>
              <w:t>-</w:t>
            </w:r>
          </w:p>
        </w:tc>
        <w:tc>
          <w:tcPr>
            <w:tcW w:w="848" w:type="dxa"/>
          </w:tcPr>
          <w:p>
            <w:pPr>
              <w:pStyle w:val="TableParagraph"/>
              <w:spacing w:line="210" w:lineRule="exact"/>
              <w:ind w:left="32" w:right="6"/>
              <w:jc w:val="center"/>
              <w:rPr>
                <w:sz w:val="20"/>
              </w:rPr>
            </w:pPr>
            <w:r>
              <w:rPr>
                <w:spacing w:val="-10"/>
                <w:sz w:val="20"/>
              </w:rPr>
              <w:t>-</w:t>
            </w:r>
          </w:p>
        </w:tc>
        <w:tc>
          <w:tcPr>
            <w:tcW w:w="602" w:type="dxa"/>
          </w:tcPr>
          <w:p>
            <w:pPr>
              <w:pStyle w:val="TableParagraph"/>
              <w:spacing w:line="210" w:lineRule="exact"/>
              <w:ind w:left="4" w:right="5"/>
              <w:jc w:val="center"/>
              <w:rPr>
                <w:sz w:val="20"/>
              </w:rPr>
            </w:pPr>
            <w:r>
              <w:rPr>
                <w:spacing w:val="-10"/>
                <w:sz w:val="20"/>
              </w:rPr>
              <w:t>-</w:t>
            </w:r>
          </w:p>
        </w:tc>
        <w:tc>
          <w:tcPr>
            <w:tcW w:w="737" w:type="dxa"/>
          </w:tcPr>
          <w:p>
            <w:pPr>
              <w:pStyle w:val="TableParagraph"/>
              <w:spacing w:line="210" w:lineRule="exact"/>
              <w:ind w:left="85" w:right="7"/>
              <w:jc w:val="center"/>
              <w:rPr>
                <w:sz w:val="20"/>
              </w:rPr>
            </w:pPr>
            <w:r>
              <w:rPr>
                <w:spacing w:val="-10"/>
                <w:sz w:val="20"/>
              </w:rPr>
              <w:t>-</w:t>
            </w:r>
          </w:p>
        </w:tc>
        <w:tc>
          <w:tcPr>
            <w:tcW w:w="719" w:type="dxa"/>
          </w:tcPr>
          <w:p>
            <w:pPr>
              <w:pStyle w:val="TableParagraph"/>
              <w:spacing w:line="210" w:lineRule="exact"/>
              <w:ind w:left="70" w:right="1"/>
              <w:jc w:val="center"/>
              <w:rPr>
                <w:sz w:val="20"/>
              </w:rPr>
            </w:pPr>
            <w:r>
              <w:rPr>
                <w:spacing w:val="-10"/>
                <w:sz w:val="20"/>
              </w:rPr>
              <w:t>2</w:t>
            </w:r>
          </w:p>
        </w:tc>
        <w:tc>
          <w:tcPr>
            <w:tcW w:w="737" w:type="dxa"/>
            <w:tcBorders>
              <w:right w:val="single" w:sz="4" w:space="0" w:color="000000"/>
            </w:tcBorders>
          </w:tcPr>
          <w:p>
            <w:pPr>
              <w:pStyle w:val="TableParagraph"/>
              <w:spacing w:line="210" w:lineRule="exact"/>
              <w:ind w:left="58" w:right="5"/>
              <w:jc w:val="center"/>
              <w:rPr>
                <w:sz w:val="20"/>
              </w:rPr>
            </w:pPr>
            <w:r>
              <w:rPr>
                <w:spacing w:val="-5"/>
                <w:sz w:val="20"/>
              </w:rPr>
              <w:t>0.4</w:t>
            </w:r>
          </w:p>
        </w:tc>
      </w:tr>
      <w:tr>
        <w:trPr>
          <w:trHeight w:val="230" w:hRule="atLeast"/>
        </w:trPr>
        <w:tc>
          <w:tcPr>
            <w:tcW w:w="4146" w:type="dxa"/>
            <w:tcBorders>
              <w:left w:val="single" w:sz="4" w:space="0" w:color="000000"/>
            </w:tcBorders>
          </w:tcPr>
          <w:p>
            <w:pPr>
              <w:pStyle w:val="TableParagraph"/>
              <w:spacing w:line="210" w:lineRule="exact"/>
              <w:ind w:right="105"/>
              <w:jc w:val="right"/>
              <w:rPr>
                <w:sz w:val="20"/>
              </w:rPr>
            </w:pPr>
            <w:r>
              <w:rPr>
                <w:sz w:val="20"/>
              </w:rPr>
              <w:t>parks,</w:t>
            </w:r>
            <w:r>
              <w:rPr>
                <w:spacing w:val="67"/>
                <w:w w:val="150"/>
                <w:sz w:val="20"/>
              </w:rPr>
              <w:t> </w:t>
            </w:r>
            <w:r>
              <w:rPr>
                <w:sz w:val="20"/>
              </w:rPr>
              <w:t>gardens,</w:t>
            </w:r>
            <w:r>
              <w:rPr>
                <w:spacing w:val="67"/>
                <w:w w:val="150"/>
                <w:sz w:val="20"/>
              </w:rPr>
              <w:t> </w:t>
            </w:r>
            <w:r>
              <w:rPr>
                <w:sz w:val="20"/>
              </w:rPr>
              <w:t>paths,</w:t>
            </w:r>
            <w:r>
              <w:rPr>
                <w:spacing w:val="71"/>
                <w:w w:val="150"/>
                <w:sz w:val="20"/>
              </w:rPr>
              <w:t> </w:t>
            </w:r>
            <w:r>
              <w:rPr>
                <w:spacing w:val="-2"/>
                <w:sz w:val="20"/>
              </w:rPr>
              <w:t>walkways</w:t>
            </w:r>
          </w:p>
        </w:tc>
        <w:tc>
          <w:tcPr>
            <w:tcW w:w="1796" w:type="dxa"/>
          </w:tcPr>
          <w:p>
            <w:pPr>
              <w:pStyle w:val="TableParagraph"/>
              <w:spacing w:line="210" w:lineRule="exact"/>
              <w:ind w:left="111"/>
              <w:rPr>
                <w:sz w:val="20"/>
              </w:rPr>
            </w:pPr>
            <w:r>
              <w:rPr>
                <w:spacing w:val="-2"/>
                <w:sz w:val="20"/>
              </w:rPr>
              <w:t>Students</w:t>
            </w:r>
          </w:p>
        </w:tc>
        <w:tc>
          <w:tcPr>
            <w:tcW w:w="706" w:type="dxa"/>
          </w:tcPr>
          <w:p>
            <w:pPr>
              <w:pStyle w:val="TableParagraph"/>
              <w:spacing w:line="210" w:lineRule="exact"/>
              <w:ind w:left="31" w:right="10"/>
              <w:jc w:val="center"/>
              <w:rPr>
                <w:sz w:val="20"/>
              </w:rPr>
            </w:pPr>
            <w:r>
              <w:rPr>
                <w:spacing w:val="-5"/>
                <w:sz w:val="20"/>
              </w:rPr>
              <w:t>135</w:t>
            </w:r>
          </w:p>
        </w:tc>
        <w:tc>
          <w:tcPr>
            <w:tcW w:w="748" w:type="dxa"/>
          </w:tcPr>
          <w:p>
            <w:pPr>
              <w:pStyle w:val="TableParagraph"/>
              <w:spacing w:line="210" w:lineRule="exact"/>
              <w:ind w:left="18" w:right="1"/>
              <w:jc w:val="center"/>
              <w:rPr>
                <w:sz w:val="20"/>
              </w:rPr>
            </w:pPr>
            <w:r>
              <w:rPr>
                <w:spacing w:val="-4"/>
                <w:sz w:val="20"/>
              </w:rPr>
              <w:t>57.4</w:t>
            </w:r>
          </w:p>
        </w:tc>
        <w:tc>
          <w:tcPr>
            <w:tcW w:w="690" w:type="dxa"/>
          </w:tcPr>
          <w:p>
            <w:pPr>
              <w:pStyle w:val="TableParagraph"/>
              <w:spacing w:line="210" w:lineRule="exact"/>
              <w:ind w:left="22" w:right="8"/>
              <w:jc w:val="center"/>
              <w:rPr>
                <w:sz w:val="20"/>
              </w:rPr>
            </w:pPr>
            <w:r>
              <w:rPr>
                <w:spacing w:val="-5"/>
                <w:sz w:val="20"/>
              </w:rPr>
              <w:t>87</w:t>
            </w:r>
          </w:p>
        </w:tc>
        <w:tc>
          <w:tcPr>
            <w:tcW w:w="776" w:type="dxa"/>
          </w:tcPr>
          <w:p>
            <w:pPr>
              <w:pStyle w:val="TableParagraph"/>
              <w:spacing w:line="210" w:lineRule="exact"/>
              <w:ind w:left="7" w:right="11"/>
              <w:jc w:val="center"/>
              <w:rPr>
                <w:sz w:val="20"/>
              </w:rPr>
            </w:pPr>
            <w:r>
              <w:rPr>
                <w:spacing w:val="-4"/>
                <w:sz w:val="20"/>
              </w:rPr>
              <w:t>37.0</w:t>
            </w:r>
          </w:p>
        </w:tc>
        <w:tc>
          <w:tcPr>
            <w:tcW w:w="685" w:type="dxa"/>
          </w:tcPr>
          <w:p>
            <w:pPr>
              <w:pStyle w:val="TableParagraph"/>
              <w:spacing w:line="210" w:lineRule="exact"/>
              <w:ind w:left="59" w:right="89"/>
              <w:jc w:val="center"/>
              <w:rPr>
                <w:sz w:val="20"/>
              </w:rPr>
            </w:pPr>
            <w:r>
              <w:rPr>
                <w:spacing w:val="-5"/>
                <w:sz w:val="20"/>
              </w:rPr>
              <w:t>12</w:t>
            </w:r>
          </w:p>
        </w:tc>
        <w:tc>
          <w:tcPr>
            <w:tcW w:w="927" w:type="dxa"/>
          </w:tcPr>
          <w:p>
            <w:pPr>
              <w:pStyle w:val="TableParagraph"/>
              <w:spacing w:line="210" w:lineRule="exact"/>
              <w:ind w:left="1" w:right="2"/>
              <w:jc w:val="center"/>
              <w:rPr>
                <w:sz w:val="20"/>
              </w:rPr>
            </w:pPr>
            <w:r>
              <w:rPr>
                <w:spacing w:val="-5"/>
                <w:sz w:val="20"/>
              </w:rPr>
              <w:t>5.1</w:t>
            </w:r>
          </w:p>
        </w:tc>
        <w:tc>
          <w:tcPr>
            <w:tcW w:w="633" w:type="dxa"/>
          </w:tcPr>
          <w:p>
            <w:pPr>
              <w:pStyle w:val="TableParagraph"/>
              <w:spacing w:line="210" w:lineRule="exact"/>
              <w:ind w:left="75" w:right="8"/>
              <w:jc w:val="center"/>
              <w:rPr>
                <w:sz w:val="20"/>
              </w:rPr>
            </w:pPr>
            <w:r>
              <w:rPr>
                <w:spacing w:val="-10"/>
                <w:sz w:val="20"/>
              </w:rPr>
              <w:t>-</w:t>
            </w:r>
          </w:p>
        </w:tc>
        <w:tc>
          <w:tcPr>
            <w:tcW w:w="848" w:type="dxa"/>
          </w:tcPr>
          <w:p>
            <w:pPr>
              <w:pStyle w:val="TableParagraph"/>
              <w:spacing w:line="210" w:lineRule="exact"/>
              <w:ind w:left="32" w:right="6"/>
              <w:jc w:val="center"/>
              <w:rPr>
                <w:sz w:val="20"/>
              </w:rPr>
            </w:pPr>
            <w:r>
              <w:rPr>
                <w:spacing w:val="-10"/>
                <w:sz w:val="20"/>
              </w:rPr>
              <w:t>-</w:t>
            </w:r>
          </w:p>
        </w:tc>
        <w:tc>
          <w:tcPr>
            <w:tcW w:w="602" w:type="dxa"/>
          </w:tcPr>
          <w:p>
            <w:pPr>
              <w:pStyle w:val="TableParagraph"/>
              <w:spacing w:line="210" w:lineRule="exact"/>
              <w:ind w:left="4" w:right="1"/>
              <w:jc w:val="center"/>
              <w:rPr>
                <w:sz w:val="20"/>
              </w:rPr>
            </w:pPr>
            <w:r>
              <w:rPr>
                <w:spacing w:val="-10"/>
                <w:sz w:val="20"/>
              </w:rPr>
              <w:t>1</w:t>
            </w:r>
          </w:p>
        </w:tc>
        <w:tc>
          <w:tcPr>
            <w:tcW w:w="737" w:type="dxa"/>
          </w:tcPr>
          <w:p>
            <w:pPr>
              <w:pStyle w:val="TableParagraph"/>
              <w:spacing w:line="210" w:lineRule="exact"/>
              <w:ind w:left="85" w:right="5"/>
              <w:jc w:val="center"/>
              <w:rPr>
                <w:sz w:val="20"/>
              </w:rPr>
            </w:pPr>
            <w:r>
              <w:rPr>
                <w:spacing w:val="-5"/>
                <w:sz w:val="20"/>
              </w:rPr>
              <w:t>0.4</w:t>
            </w:r>
          </w:p>
        </w:tc>
        <w:tc>
          <w:tcPr>
            <w:tcW w:w="719" w:type="dxa"/>
          </w:tcPr>
          <w:p>
            <w:pPr>
              <w:pStyle w:val="TableParagraph"/>
              <w:spacing w:line="210" w:lineRule="exact"/>
              <w:ind w:left="70" w:right="11"/>
              <w:jc w:val="center"/>
              <w:rPr>
                <w:sz w:val="20"/>
              </w:rPr>
            </w:pPr>
            <w:r>
              <w:rPr>
                <w:spacing w:val="-5"/>
                <w:sz w:val="20"/>
              </w:rPr>
              <w:t>235</w:t>
            </w:r>
          </w:p>
        </w:tc>
        <w:tc>
          <w:tcPr>
            <w:tcW w:w="737" w:type="dxa"/>
            <w:tcBorders>
              <w:right w:val="single" w:sz="4" w:space="0" w:color="000000"/>
            </w:tcBorders>
          </w:tcPr>
          <w:p>
            <w:pPr>
              <w:pStyle w:val="TableParagraph"/>
              <w:spacing w:line="210" w:lineRule="exact"/>
              <w:ind w:left="63" w:right="5"/>
              <w:jc w:val="center"/>
              <w:rPr>
                <w:sz w:val="20"/>
              </w:rPr>
            </w:pPr>
            <w:r>
              <w:rPr>
                <w:spacing w:val="-4"/>
                <w:sz w:val="20"/>
              </w:rPr>
              <w:t>50.8</w:t>
            </w:r>
          </w:p>
        </w:tc>
      </w:tr>
      <w:tr>
        <w:trPr>
          <w:trHeight w:val="230" w:hRule="atLeast"/>
        </w:trPr>
        <w:tc>
          <w:tcPr>
            <w:tcW w:w="4146" w:type="dxa"/>
            <w:tcBorders>
              <w:left w:val="single" w:sz="4" w:space="0" w:color="000000"/>
            </w:tcBorders>
          </w:tcPr>
          <w:p>
            <w:pPr>
              <w:pStyle w:val="TableParagraph"/>
              <w:tabs>
                <w:tab w:pos="552" w:val="left" w:leader="none"/>
                <w:tab w:pos="1305" w:val="left" w:leader="none"/>
                <w:tab w:pos="2055" w:val="left" w:leader="none"/>
                <w:tab w:pos="3038" w:val="left" w:leader="none"/>
              </w:tabs>
              <w:spacing w:line="210" w:lineRule="exact"/>
              <w:ind w:right="100"/>
              <w:jc w:val="right"/>
              <w:rPr>
                <w:sz w:val="20"/>
              </w:rPr>
            </w:pPr>
            <w:r>
              <w:rPr>
                <w:spacing w:val="-5"/>
                <w:sz w:val="20"/>
              </w:rPr>
              <w:t>and</w:t>
            </w:r>
            <w:r>
              <w:rPr>
                <w:sz w:val="20"/>
              </w:rPr>
              <w:tab/>
            </w:r>
            <w:r>
              <w:rPr>
                <w:spacing w:val="-2"/>
                <w:sz w:val="20"/>
              </w:rPr>
              <w:t>flower</w:t>
            </w:r>
            <w:r>
              <w:rPr>
                <w:sz w:val="20"/>
              </w:rPr>
              <w:tab/>
            </w:r>
            <w:r>
              <w:rPr>
                <w:spacing w:val="-4"/>
                <w:sz w:val="20"/>
              </w:rPr>
              <w:t>sheds</w:t>
            </w:r>
            <w:r>
              <w:rPr>
                <w:sz w:val="20"/>
              </w:rPr>
              <w:tab/>
            </w:r>
            <w:r>
              <w:rPr>
                <w:spacing w:val="-2"/>
                <w:sz w:val="20"/>
              </w:rPr>
              <w:t>combine</w:t>
            </w:r>
            <w:r>
              <w:rPr>
                <w:sz w:val="20"/>
              </w:rPr>
              <w:tab/>
            </w:r>
            <w:r>
              <w:rPr>
                <w:spacing w:val="-5"/>
                <w:sz w:val="20"/>
              </w:rPr>
              <w:t>to</w:t>
            </w:r>
          </w:p>
        </w:tc>
        <w:tc>
          <w:tcPr>
            <w:tcW w:w="1796" w:type="dxa"/>
          </w:tcPr>
          <w:p>
            <w:pPr>
              <w:pStyle w:val="TableParagraph"/>
              <w:spacing w:line="210" w:lineRule="exact"/>
              <w:ind w:left="111"/>
              <w:rPr>
                <w:sz w:val="20"/>
              </w:rPr>
            </w:pPr>
            <w:r>
              <w:rPr>
                <w:sz w:val="20"/>
              </w:rPr>
              <w:t>Service</w:t>
            </w:r>
            <w:r>
              <w:rPr>
                <w:spacing w:val="-9"/>
                <w:sz w:val="20"/>
              </w:rPr>
              <w:t> </w:t>
            </w:r>
            <w:r>
              <w:rPr>
                <w:spacing w:val="-2"/>
                <w:sz w:val="20"/>
              </w:rPr>
              <w:t>Staff</w:t>
            </w:r>
          </w:p>
        </w:tc>
        <w:tc>
          <w:tcPr>
            <w:tcW w:w="706" w:type="dxa"/>
          </w:tcPr>
          <w:p>
            <w:pPr>
              <w:pStyle w:val="TableParagraph"/>
              <w:spacing w:line="210" w:lineRule="exact"/>
              <w:ind w:left="31" w:right="5"/>
              <w:jc w:val="center"/>
              <w:rPr>
                <w:sz w:val="20"/>
              </w:rPr>
            </w:pPr>
            <w:r>
              <w:rPr>
                <w:spacing w:val="-5"/>
                <w:sz w:val="20"/>
              </w:rPr>
              <w:t>97</w:t>
            </w:r>
          </w:p>
        </w:tc>
        <w:tc>
          <w:tcPr>
            <w:tcW w:w="748" w:type="dxa"/>
          </w:tcPr>
          <w:p>
            <w:pPr>
              <w:pStyle w:val="TableParagraph"/>
              <w:spacing w:line="210" w:lineRule="exact"/>
              <w:ind w:left="18" w:right="1"/>
              <w:jc w:val="center"/>
              <w:rPr>
                <w:sz w:val="20"/>
              </w:rPr>
            </w:pPr>
            <w:r>
              <w:rPr>
                <w:spacing w:val="-4"/>
                <w:sz w:val="20"/>
              </w:rPr>
              <w:t>47.8</w:t>
            </w:r>
          </w:p>
        </w:tc>
        <w:tc>
          <w:tcPr>
            <w:tcW w:w="690" w:type="dxa"/>
          </w:tcPr>
          <w:p>
            <w:pPr>
              <w:pStyle w:val="TableParagraph"/>
              <w:spacing w:line="210" w:lineRule="exact"/>
              <w:ind w:left="22" w:right="8"/>
              <w:jc w:val="center"/>
              <w:rPr>
                <w:sz w:val="20"/>
              </w:rPr>
            </w:pPr>
            <w:r>
              <w:rPr>
                <w:spacing w:val="-5"/>
                <w:sz w:val="20"/>
              </w:rPr>
              <w:t>90</w:t>
            </w:r>
          </w:p>
        </w:tc>
        <w:tc>
          <w:tcPr>
            <w:tcW w:w="776" w:type="dxa"/>
          </w:tcPr>
          <w:p>
            <w:pPr>
              <w:pStyle w:val="TableParagraph"/>
              <w:spacing w:line="210" w:lineRule="exact"/>
              <w:ind w:left="7" w:right="11"/>
              <w:jc w:val="center"/>
              <w:rPr>
                <w:sz w:val="20"/>
              </w:rPr>
            </w:pPr>
            <w:r>
              <w:rPr>
                <w:spacing w:val="-4"/>
                <w:sz w:val="20"/>
              </w:rPr>
              <w:t>44.3</w:t>
            </w:r>
          </w:p>
        </w:tc>
        <w:tc>
          <w:tcPr>
            <w:tcW w:w="685" w:type="dxa"/>
          </w:tcPr>
          <w:p>
            <w:pPr>
              <w:pStyle w:val="TableParagraph"/>
              <w:spacing w:line="210" w:lineRule="exact"/>
              <w:ind w:left="59" w:right="84"/>
              <w:jc w:val="center"/>
              <w:rPr>
                <w:sz w:val="20"/>
              </w:rPr>
            </w:pPr>
            <w:r>
              <w:rPr>
                <w:spacing w:val="-10"/>
                <w:sz w:val="20"/>
              </w:rPr>
              <w:t>8</w:t>
            </w:r>
          </w:p>
        </w:tc>
        <w:tc>
          <w:tcPr>
            <w:tcW w:w="927" w:type="dxa"/>
          </w:tcPr>
          <w:p>
            <w:pPr>
              <w:pStyle w:val="TableParagraph"/>
              <w:spacing w:line="210" w:lineRule="exact"/>
              <w:ind w:left="1" w:right="2"/>
              <w:jc w:val="center"/>
              <w:rPr>
                <w:sz w:val="20"/>
              </w:rPr>
            </w:pPr>
            <w:r>
              <w:rPr>
                <w:spacing w:val="-5"/>
                <w:sz w:val="20"/>
              </w:rPr>
              <w:t>3.9</w:t>
            </w:r>
          </w:p>
        </w:tc>
        <w:tc>
          <w:tcPr>
            <w:tcW w:w="633" w:type="dxa"/>
          </w:tcPr>
          <w:p>
            <w:pPr>
              <w:pStyle w:val="TableParagraph"/>
              <w:spacing w:line="210" w:lineRule="exact"/>
              <w:ind w:left="75" w:right="2"/>
              <w:jc w:val="center"/>
              <w:rPr>
                <w:sz w:val="20"/>
              </w:rPr>
            </w:pPr>
            <w:r>
              <w:rPr>
                <w:spacing w:val="-10"/>
                <w:sz w:val="20"/>
              </w:rPr>
              <w:t>6</w:t>
            </w:r>
          </w:p>
        </w:tc>
        <w:tc>
          <w:tcPr>
            <w:tcW w:w="848" w:type="dxa"/>
          </w:tcPr>
          <w:p>
            <w:pPr>
              <w:pStyle w:val="TableParagraph"/>
              <w:spacing w:line="210" w:lineRule="exact"/>
              <w:ind w:left="32" w:right="5"/>
              <w:jc w:val="center"/>
              <w:rPr>
                <w:sz w:val="20"/>
              </w:rPr>
            </w:pPr>
            <w:r>
              <w:rPr>
                <w:spacing w:val="-5"/>
                <w:sz w:val="20"/>
              </w:rPr>
              <w:t>3.0</w:t>
            </w:r>
          </w:p>
        </w:tc>
        <w:tc>
          <w:tcPr>
            <w:tcW w:w="602" w:type="dxa"/>
          </w:tcPr>
          <w:p>
            <w:pPr>
              <w:pStyle w:val="TableParagraph"/>
              <w:spacing w:line="210" w:lineRule="exact"/>
              <w:ind w:left="4" w:right="1"/>
              <w:jc w:val="center"/>
              <w:rPr>
                <w:sz w:val="20"/>
              </w:rPr>
            </w:pPr>
            <w:r>
              <w:rPr>
                <w:spacing w:val="-10"/>
                <w:sz w:val="20"/>
              </w:rPr>
              <w:t>2</w:t>
            </w:r>
          </w:p>
        </w:tc>
        <w:tc>
          <w:tcPr>
            <w:tcW w:w="737" w:type="dxa"/>
          </w:tcPr>
          <w:p>
            <w:pPr>
              <w:pStyle w:val="TableParagraph"/>
              <w:spacing w:line="210" w:lineRule="exact"/>
              <w:ind w:left="85" w:right="5"/>
              <w:jc w:val="center"/>
              <w:rPr>
                <w:sz w:val="20"/>
              </w:rPr>
            </w:pPr>
            <w:r>
              <w:rPr>
                <w:spacing w:val="-5"/>
                <w:sz w:val="20"/>
              </w:rPr>
              <w:t>1.0</w:t>
            </w:r>
          </w:p>
        </w:tc>
        <w:tc>
          <w:tcPr>
            <w:tcW w:w="719" w:type="dxa"/>
          </w:tcPr>
          <w:p>
            <w:pPr>
              <w:pStyle w:val="TableParagraph"/>
              <w:spacing w:line="210" w:lineRule="exact"/>
              <w:ind w:left="70" w:right="11"/>
              <w:jc w:val="center"/>
              <w:rPr>
                <w:sz w:val="20"/>
              </w:rPr>
            </w:pPr>
            <w:r>
              <w:rPr>
                <w:spacing w:val="-5"/>
                <w:sz w:val="20"/>
              </w:rPr>
              <w:t>203</w:t>
            </w:r>
          </w:p>
        </w:tc>
        <w:tc>
          <w:tcPr>
            <w:tcW w:w="737" w:type="dxa"/>
            <w:tcBorders>
              <w:right w:val="single" w:sz="4" w:space="0" w:color="000000"/>
            </w:tcBorders>
          </w:tcPr>
          <w:p>
            <w:pPr>
              <w:pStyle w:val="TableParagraph"/>
              <w:spacing w:line="210" w:lineRule="exact"/>
              <w:ind w:left="63" w:right="5"/>
              <w:jc w:val="center"/>
              <w:rPr>
                <w:sz w:val="20"/>
              </w:rPr>
            </w:pPr>
            <w:r>
              <w:rPr>
                <w:spacing w:val="-4"/>
                <w:sz w:val="20"/>
              </w:rPr>
              <w:t>43.8</w:t>
            </w:r>
          </w:p>
        </w:tc>
      </w:tr>
      <w:tr>
        <w:trPr>
          <w:trHeight w:val="456" w:hRule="atLeast"/>
        </w:trPr>
        <w:tc>
          <w:tcPr>
            <w:tcW w:w="4146" w:type="dxa"/>
            <w:tcBorders>
              <w:left w:val="single" w:sz="4" w:space="0" w:color="000000"/>
            </w:tcBorders>
          </w:tcPr>
          <w:p>
            <w:pPr>
              <w:pStyle w:val="TableParagraph"/>
              <w:tabs>
                <w:tab w:pos="1852" w:val="left" w:leader="none"/>
                <w:tab w:pos="2870" w:val="left" w:leader="none"/>
                <w:tab w:pos="3864" w:val="left" w:leader="none"/>
              </w:tabs>
              <w:spacing w:line="226" w:lineRule="exact"/>
              <w:ind w:left="830" w:right="108"/>
              <w:rPr>
                <w:sz w:val="20"/>
              </w:rPr>
            </w:pPr>
            <w:r>
              <w:rPr>
                <w:spacing w:val="-2"/>
                <w:sz w:val="20"/>
              </w:rPr>
              <w:t>stimulate</w:t>
            </w:r>
            <w:r>
              <w:rPr>
                <w:sz w:val="20"/>
              </w:rPr>
              <w:tab/>
            </w:r>
            <w:r>
              <w:rPr>
                <w:spacing w:val="-2"/>
                <w:sz w:val="20"/>
              </w:rPr>
              <w:t>students’</w:t>
            </w:r>
            <w:r>
              <w:rPr>
                <w:sz w:val="20"/>
              </w:rPr>
              <w:tab/>
            </w:r>
            <w:r>
              <w:rPr>
                <w:spacing w:val="-2"/>
                <w:sz w:val="20"/>
              </w:rPr>
              <w:t>standard</w:t>
            </w:r>
            <w:r>
              <w:rPr>
                <w:sz w:val="20"/>
              </w:rPr>
              <w:tab/>
            </w:r>
            <w:r>
              <w:rPr>
                <w:spacing w:val="-6"/>
                <w:sz w:val="20"/>
              </w:rPr>
              <w:t>of </w:t>
            </w:r>
            <w:r>
              <w:rPr>
                <w:sz w:val="20"/>
              </w:rPr>
              <w:t>living,</w:t>
            </w:r>
            <w:r>
              <w:rPr>
                <w:spacing w:val="22"/>
                <w:sz w:val="20"/>
              </w:rPr>
              <w:t> </w:t>
            </w:r>
            <w:r>
              <w:rPr>
                <w:sz w:val="20"/>
              </w:rPr>
              <w:t>confidence</w:t>
            </w:r>
            <w:r>
              <w:rPr>
                <w:spacing w:val="18"/>
                <w:sz w:val="20"/>
              </w:rPr>
              <w:t> </w:t>
            </w:r>
            <w:r>
              <w:rPr>
                <w:sz w:val="20"/>
              </w:rPr>
              <w:t>and</w:t>
            </w:r>
            <w:r>
              <w:rPr>
                <w:spacing w:val="18"/>
                <w:sz w:val="20"/>
              </w:rPr>
              <w:t> </w:t>
            </w:r>
            <w:r>
              <w:rPr>
                <w:sz w:val="20"/>
              </w:rPr>
              <w:t>promotion</w:t>
            </w:r>
            <w:r>
              <w:rPr>
                <w:spacing w:val="19"/>
                <w:sz w:val="20"/>
              </w:rPr>
              <w:t> </w:t>
            </w:r>
            <w:r>
              <w:rPr>
                <w:spacing w:val="-5"/>
                <w:sz w:val="20"/>
              </w:rPr>
              <w:t>of</w:t>
            </w:r>
          </w:p>
        </w:tc>
        <w:tc>
          <w:tcPr>
            <w:tcW w:w="1796" w:type="dxa"/>
          </w:tcPr>
          <w:p>
            <w:pPr>
              <w:pStyle w:val="TableParagraph"/>
              <w:spacing w:before="26"/>
              <w:ind w:left="111"/>
              <w:rPr>
                <w:sz w:val="20"/>
              </w:rPr>
            </w:pPr>
            <w:r>
              <w:rPr>
                <w:sz w:val="20"/>
              </w:rPr>
              <w:t>Top</w:t>
            </w:r>
            <w:r>
              <w:rPr>
                <w:spacing w:val="-1"/>
                <w:sz w:val="20"/>
              </w:rPr>
              <w:t> </w:t>
            </w:r>
            <w:r>
              <w:rPr>
                <w:spacing w:val="-2"/>
                <w:sz w:val="20"/>
              </w:rPr>
              <w:t>Management</w:t>
            </w:r>
          </w:p>
        </w:tc>
        <w:tc>
          <w:tcPr>
            <w:tcW w:w="706" w:type="dxa"/>
          </w:tcPr>
          <w:p>
            <w:pPr>
              <w:pStyle w:val="TableParagraph"/>
              <w:spacing w:before="26"/>
              <w:ind w:left="31" w:right="5"/>
              <w:jc w:val="center"/>
              <w:rPr>
                <w:sz w:val="20"/>
              </w:rPr>
            </w:pPr>
            <w:r>
              <w:rPr>
                <w:spacing w:val="-5"/>
                <w:sz w:val="20"/>
              </w:rPr>
              <w:t>14</w:t>
            </w:r>
          </w:p>
        </w:tc>
        <w:tc>
          <w:tcPr>
            <w:tcW w:w="748" w:type="dxa"/>
          </w:tcPr>
          <w:p>
            <w:pPr>
              <w:pStyle w:val="TableParagraph"/>
              <w:spacing w:before="26"/>
              <w:ind w:left="18" w:right="1"/>
              <w:jc w:val="center"/>
              <w:rPr>
                <w:sz w:val="20"/>
              </w:rPr>
            </w:pPr>
            <w:r>
              <w:rPr>
                <w:spacing w:val="-4"/>
                <w:sz w:val="20"/>
              </w:rPr>
              <w:t>60.9</w:t>
            </w:r>
          </w:p>
        </w:tc>
        <w:tc>
          <w:tcPr>
            <w:tcW w:w="690" w:type="dxa"/>
          </w:tcPr>
          <w:p>
            <w:pPr>
              <w:pStyle w:val="TableParagraph"/>
              <w:spacing w:before="26"/>
              <w:ind w:left="22" w:right="3"/>
              <w:jc w:val="center"/>
              <w:rPr>
                <w:sz w:val="20"/>
              </w:rPr>
            </w:pPr>
            <w:r>
              <w:rPr>
                <w:spacing w:val="-10"/>
                <w:sz w:val="20"/>
              </w:rPr>
              <w:t>7</w:t>
            </w:r>
          </w:p>
        </w:tc>
        <w:tc>
          <w:tcPr>
            <w:tcW w:w="776" w:type="dxa"/>
          </w:tcPr>
          <w:p>
            <w:pPr>
              <w:pStyle w:val="TableParagraph"/>
              <w:spacing w:before="26"/>
              <w:ind w:left="7" w:right="11"/>
              <w:jc w:val="center"/>
              <w:rPr>
                <w:sz w:val="20"/>
              </w:rPr>
            </w:pPr>
            <w:r>
              <w:rPr>
                <w:spacing w:val="-4"/>
                <w:sz w:val="20"/>
              </w:rPr>
              <w:t>30.4</w:t>
            </w:r>
          </w:p>
        </w:tc>
        <w:tc>
          <w:tcPr>
            <w:tcW w:w="685" w:type="dxa"/>
          </w:tcPr>
          <w:p>
            <w:pPr>
              <w:pStyle w:val="TableParagraph"/>
              <w:spacing w:before="26"/>
              <w:ind w:left="59" w:right="84"/>
              <w:jc w:val="center"/>
              <w:rPr>
                <w:sz w:val="20"/>
              </w:rPr>
            </w:pPr>
            <w:r>
              <w:rPr>
                <w:spacing w:val="-10"/>
                <w:sz w:val="20"/>
              </w:rPr>
              <w:t>1</w:t>
            </w:r>
          </w:p>
        </w:tc>
        <w:tc>
          <w:tcPr>
            <w:tcW w:w="927" w:type="dxa"/>
          </w:tcPr>
          <w:p>
            <w:pPr>
              <w:pStyle w:val="TableParagraph"/>
              <w:spacing w:before="26"/>
              <w:ind w:left="1" w:right="2"/>
              <w:jc w:val="center"/>
              <w:rPr>
                <w:sz w:val="20"/>
              </w:rPr>
            </w:pPr>
            <w:r>
              <w:rPr>
                <w:spacing w:val="-5"/>
                <w:sz w:val="20"/>
              </w:rPr>
              <w:t>4.3</w:t>
            </w:r>
          </w:p>
        </w:tc>
        <w:tc>
          <w:tcPr>
            <w:tcW w:w="633" w:type="dxa"/>
          </w:tcPr>
          <w:p>
            <w:pPr>
              <w:pStyle w:val="TableParagraph"/>
              <w:spacing w:before="26"/>
              <w:ind w:left="75" w:right="8"/>
              <w:jc w:val="center"/>
              <w:rPr>
                <w:sz w:val="20"/>
              </w:rPr>
            </w:pPr>
            <w:r>
              <w:rPr>
                <w:spacing w:val="-10"/>
                <w:sz w:val="20"/>
              </w:rPr>
              <w:t>-</w:t>
            </w:r>
          </w:p>
        </w:tc>
        <w:tc>
          <w:tcPr>
            <w:tcW w:w="848" w:type="dxa"/>
          </w:tcPr>
          <w:p>
            <w:pPr>
              <w:pStyle w:val="TableParagraph"/>
              <w:spacing w:before="26"/>
              <w:ind w:left="32" w:right="6"/>
              <w:jc w:val="center"/>
              <w:rPr>
                <w:sz w:val="20"/>
              </w:rPr>
            </w:pPr>
            <w:r>
              <w:rPr>
                <w:spacing w:val="-10"/>
                <w:sz w:val="20"/>
              </w:rPr>
              <w:t>-</w:t>
            </w:r>
          </w:p>
        </w:tc>
        <w:tc>
          <w:tcPr>
            <w:tcW w:w="602" w:type="dxa"/>
          </w:tcPr>
          <w:p>
            <w:pPr>
              <w:pStyle w:val="TableParagraph"/>
              <w:spacing w:before="26"/>
              <w:ind w:left="4" w:right="1"/>
              <w:jc w:val="center"/>
              <w:rPr>
                <w:sz w:val="20"/>
              </w:rPr>
            </w:pPr>
            <w:r>
              <w:rPr>
                <w:spacing w:val="-10"/>
                <w:sz w:val="20"/>
              </w:rPr>
              <w:t>1</w:t>
            </w:r>
          </w:p>
        </w:tc>
        <w:tc>
          <w:tcPr>
            <w:tcW w:w="737" w:type="dxa"/>
          </w:tcPr>
          <w:p>
            <w:pPr>
              <w:pStyle w:val="TableParagraph"/>
              <w:spacing w:before="26"/>
              <w:ind w:left="85" w:right="5"/>
              <w:jc w:val="center"/>
              <w:rPr>
                <w:sz w:val="20"/>
              </w:rPr>
            </w:pPr>
            <w:r>
              <w:rPr>
                <w:spacing w:val="-5"/>
                <w:sz w:val="20"/>
              </w:rPr>
              <w:t>4.3</w:t>
            </w:r>
          </w:p>
        </w:tc>
        <w:tc>
          <w:tcPr>
            <w:tcW w:w="719" w:type="dxa"/>
          </w:tcPr>
          <w:p>
            <w:pPr>
              <w:pStyle w:val="TableParagraph"/>
              <w:spacing w:before="26"/>
              <w:ind w:left="70" w:right="6"/>
              <w:jc w:val="center"/>
              <w:rPr>
                <w:sz w:val="20"/>
              </w:rPr>
            </w:pPr>
            <w:r>
              <w:rPr>
                <w:spacing w:val="-5"/>
                <w:sz w:val="20"/>
              </w:rPr>
              <w:t>23</w:t>
            </w:r>
          </w:p>
        </w:tc>
        <w:tc>
          <w:tcPr>
            <w:tcW w:w="737" w:type="dxa"/>
            <w:tcBorders>
              <w:right w:val="single" w:sz="4" w:space="0" w:color="000000"/>
            </w:tcBorders>
          </w:tcPr>
          <w:p>
            <w:pPr>
              <w:pStyle w:val="TableParagraph"/>
              <w:spacing w:before="26"/>
              <w:ind w:left="58" w:right="5"/>
              <w:jc w:val="center"/>
              <w:rPr>
                <w:sz w:val="20"/>
              </w:rPr>
            </w:pPr>
            <w:r>
              <w:rPr>
                <w:spacing w:val="-5"/>
                <w:sz w:val="20"/>
              </w:rPr>
              <w:t>5.0</w:t>
            </w:r>
          </w:p>
        </w:tc>
      </w:tr>
      <w:tr>
        <w:trPr>
          <w:trHeight w:val="290" w:hRule="atLeast"/>
        </w:trPr>
        <w:tc>
          <w:tcPr>
            <w:tcW w:w="4146" w:type="dxa"/>
            <w:tcBorders>
              <w:left w:val="single" w:sz="4" w:space="0" w:color="000000"/>
            </w:tcBorders>
          </w:tcPr>
          <w:p>
            <w:pPr>
              <w:pStyle w:val="TableParagraph"/>
              <w:spacing w:line="227" w:lineRule="exact"/>
              <w:ind w:left="830"/>
              <w:rPr>
                <w:sz w:val="20"/>
              </w:rPr>
            </w:pPr>
            <w:r>
              <w:rPr>
                <w:sz w:val="20"/>
              </w:rPr>
              <w:t>academic</w:t>
            </w:r>
            <w:r>
              <w:rPr>
                <w:spacing w:val="-5"/>
                <w:sz w:val="20"/>
              </w:rPr>
              <w:t> </w:t>
            </w:r>
            <w:r>
              <w:rPr>
                <w:spacing w:val="-2"/>
                <w:sz w:val="20"/>
              </w:rPr>
              <w:t>performance.</w:t>
            </w:r>
          </w:p>
        </w:tc>
        <w:tc>
          <w:tcPr>
            <w:tcW w:w="1796" w:type="dxa"/>
          </w:tcPr>
          <w:p>
            <w:pPr>
              <w:pStyle w:val="TableParagraph"/>
              <w:rPr>
                <w:rFonts w:ascii="Times New Roman"/>
                <w:sz w:val="20"/>
              </w:rPr>
            </w:pPr>
          </w:p>
        </w:tc>
        <w:tc>
          <w:tcPr>
            <w:tcW w:w="706" w:type="dxa"/>
          </w:tcPr>
          <w:p>
            <w:pPr>
              <w:pStyle w:val="TableParagraph"/>
              <w:rPr>
                <w:rFonts w:ascii="Times New Roman"/>
                <w:sz w:val="20"/>
              </w:rPr>
            </w:pPr>
          </w:p>
        </w:tc>
        <w:tc>
          <w:tcPr>
            <w:tcW w:w="748" w:type="dxa"/>
          </w:tcPr>
          <w:p>
            <w:pPr>
              <w:pStyle w:val="TableParagraph"/>
              <w:rPr>
                <w:rFonts w:ascii="Times New Roman"/>
                <w:sz w:val="20"/>
              </w:rPr>
            </w:pPr>
          </w:p>
        </w:tc>
        <w:tc>
          <w:tcPr>
            <w:tcW w:w="690" w:type="dxa"/>
          </w:tcPr>
          <w:p>
            <w:pPr>
              <w:pStyle w:val="TableParagraph"/>
              <w:rPr>
                <w:rFonts w:ascii="Times New Roman"/>
                <w:sz w:val="20"/>
              </w:rPr>
            </w:pPr>
          </w:p>
        </w:tc>
        <w:tc>
          <w:tcPr>
            <w:tcW w:w="776" w:type="dxa"/>
          </w:tcPr>
          <w:p>
            <w:pPr>
              <w:pStyle w:val="TableParagraph"/>
              <w:rPr>
                <w:rFonts w:ascii="Times New Roman"/>
                <w:sz w:val="20"/>
              </w:rPr>
            </w:pPr>
          </w:p>
        </w:tc>
        <w:tc>
          <w:tcPr>
            <w:tcW w:w="685" w:type="dxa"/>
          </w:tcPr>
          <w:p>
            <w:pPr>
              <w:pStyle w:val="TableParagraph"/>
              <w:rPr>
                <w:rFonts w:ascii="Times New Roman"/>
                <w:sz w:val="20"/>
              </w:rPr>
            </w:pPr>
          </w:p>
        </w:tc>
        <w:tc>
          <w:tcPr>
            <w:tcW w:w="927" w:type="dxa"/>
          </w:tcPr>
          <w:p>
            <w:pPr>
              <w:pStyle w:val="TableParagraph"/>
              <w:rPr>
                <w:rFonts w:ascii="Times New Roman"/>
                <w:sz w:val="20"/>
              </w:rPr>
            </w:pPr>
          </w:p>
        </w:tc>
        <w:tc>
          <w:tcPr>
            <w:tcW w:w="633" w:type="dxa"/>
          </w:tcPr>
          <w:p>
            <w:pPr>
              <w:pStyle w:val="TableParagraph"/>
              <w:rPr>
                <w:rFonts w:ascii="Times New Roman"/>
                <w:sz w:val="20"/>
              </w:rPr>
            </w:pPr>
          </w:p>
        </w:tc>
        <w:tc>
          <w:tcPr>
            <w:tcW w:w="848" w:type="dxa"/>
          </w:tcPr>
          <w:p>
            <w:pPr>
              <w:pStyle w:val="TableParagraph"/>
              <w:rPr>
                <w:rFonts w:ascii="Times New Roman"/>
                <w:sz w:val="20"/>
              </w:rPr>
            </w:pPr>
          </w:p>
        </w:tc>
        <w:tc>
          <w:tcPr>
            <w:tcW w:w="602" w:type="dxa"/>
          </w:tcPr>
          <w:p>
            <w:pPr>
              <w:pStyle w:val="TableParagraph"/>
              <w:rPr>
                <w:rFonts w:ascii="Times New Roman"/>
                <w:sz w:val="20"/>
              </w:rPr>
            </w:pPr>
          </w:p>
        </w:tc>
        <w:tc>
          <w:tcPr>
            <w:tcW w:w="737" w:type="dxa"/>
          </w:tcPr>
          <w:p>
            <w:pPr>
              <w:pStyle w:val="TableParagraph"/>
              <w:rPr>
                <w:rFonts w:ascii="Times New Roman"/>
                <w:sz w:val="20"/>
              </w:rPr>
            </w:pPr>
          </w:p>
        </w:tc>
        <w:tc>
          <w:tcPr>
            <w:tcW w:w="719" w:type="dxa"/>
          </w:tcPr>
          <w:p>
            <w:pPr>
              <w:pStyle w:val="TableParagraph"/>
              <w:rPr>
                <w:rFonts w:ascii="Times New Roman"/>
                <w:sz w:val="20"/>
              </w:rPr>
            </w:pPr>
          </w:p>
        </w:tc>
        <w:tc>
          <w:tcPr>
            <w:tcW w:w="737" w:type="dxa"/>
            <w:tcBorders>
              <w:right w:val="single" w:sz="4" w:space="0" w:color="000000"/>
            </w:tcBorders>
          </w:tcPr>
          <w:p>
            <w:pPr>
              <w:pStyle w:val="TableParagraph"/>
              <w:rPr>
                <w:rFonts w:ascii="Times New Roman"/>
                <w:sz w:val="20"/>
              </w:rPr>
            </w:pPr>
          </w:p>
        </w:tc>
      </w:tr>
      <w:tr>
        <w:trPr>
          <w:trHeight w:val="290" w:hRule="atLeast"/>
        </w:trPr>
        <w:tc>
          <w:tcPr>
            <w:tcW w:w="4146" w:type="dxa"/>
            <w:tcBorders>
              <w:left w:val="single" w:sz="4" w:space="0" w:color="000000"/>
            </w:tcBorders>
          </w:tcPr>
          <w:p>
            <w:pPr>
              <w:pStyle w:val="TableParagraph"/>
              <w:tabs>
                <w:tab w:pos="609" w:val="left" w:leader="none"/>
              </w:tabs>
              <w:spacing w:line="213" w:lineRule="exact" w:before="57"/>
              <w:ind w:right="99"/>
              <w:jc w:val="right"/>
              <w:rPr>
                <w:sz w:val="20"/>
              </w:rPr>
            </w:pPr>
            <w:r>
              <w:rPr>
                <w:spacing w:val="-5"/>
                <w:sz w:val="20"/>
              </w:rPr>
              <w:t>90.</w:t>
            </w:r>
            <w:r>
              <w:rPr>
                <w:sz w:val="20"/>
              </w:rPr>
              <w:tab/>
              <w:t>Mutual</w:t>
            </w:r>
            <w:r>
              <w:rPr>
                <w:spacing w:val="65"/>
                <w:w w:val="150"/>
                <w:sz w:val="20"/>
              </w:rPr>
              <w:t> </w:t>
            </w:r>
            <w:r>
              <w:rPr>
                <w:sz w:val="20"/>
              </w:rPr>
              <w:t>understanding</w:t>
            </w:r>
            <w:r>
              <w:rPr>
                <w:spacing w:val="61"/>
                <w:w w:val="150"/>
                <w:sz w:val="20"/>
              </w:rPr>
              <w:t> </w:t>
            </w:r>
            <w:r>
              <w:rPr>
                <w:spacing w:val="-2"/>
                <w:sz w:val="20"/>
              </w:rPr>
              <w:t>relationship</w:t>
            </w:r>
          </w:p>
        </w:tc>
        <w:tc>
          <w:tcPr>
            <w:tcW w:w="1796" w:type="dxa"/>
          </w:tcPr>
          <w:p>
            <w:pPr>
              <w:pStyle w:val="TableParagraph"/>
              <w:spacing w:line="213" w:lineRule="exact" w:before="57"/>
              <w:ind w:left="111"/>
              <w:rPr>
                <w:sz w:val="20"/>
              </w:rPr>
            </w:pPr>
            <w:r>
              <w:rPr>
                <w:sz w:val="20"/>
              </w:rPr>
              <w:t>No.</w:t>
            </w:r>
            <w:r>
              <w:rPr>
                <w:spacing w:val="-5"/>
                <w:sz w:val="20"/>
              </w:rPr>
              <w:t> </w:t>
            </w:r>
            <w:r>
              <w:rPr>
                <w:sz w:val="20"/>
              </w:rPr>
              <w:t>of</w:t>
            </w:r>
            <w:r>
              <w:rPr>
                <w:spacing w:val="-2"/>
                <w:sz w:val="20"/>
              </w:rPr>
              <w:t> missing</w:t>
            </w:r>
          </w:p>
        </w:tc>
        <w:tc>
          <w:tcPr>
            <w:tcW w:w="706" w:type="dxa"/>
          </w:tcPr>
          <w:p>
            <w:pPr>
              <w:pStyle w:val="TableParagraph"/>
              <w:rPr>
                <w:rFonts w:ascii="Times New Roman"/>
                <w:sz w:val="20"/>
              </w:rPr>
            </w:pPr>
          </w:p>
        </w:tc>
        <w:tc>
          <w:tcPr>
            <w:tcW w:w="748" w:type="dxa"/>
          </w:tcPr>
          <w:p>
            <w:pPr>
              <w:pStyle w:val="TableParagraph"/>
              <w:rPr>
                <w:rFonts w:ascii="Times New Roman"/>
                <w:sz w:val="20"/>
              </w:rPr>
            </w:pPr>
          </w:p>
        </w:tc>
        <w:tc>
          <w:tcPr>
            <w:tcW w:w="690" w:type="dxa"/>
          </w:tcPr>
          <w:p>
            <w:pPr>
              <w:pStyle w:val="TableParagraph"/>
              <w:rPr>
                <w:rFonts w:ascii="Times New Roman"/>
                <w:sz w:val="20"/>
              </w:rPr>
            </w:pPr>
          </w:p>
        </w:tc>
        <w:tc>
          <w:tcPr>
            <w:tcW w:w="776" w:type="dxa"/>
          </w:tcPr>
          <w:p>
            <w:pPr>
              <w:pStyle w:val="TableParagraph"/>
              <w:rPr>
                <w:rFonts w:ascii="Times New Roman"/>
                <w:sz w:val="20"/>
              </w:rPr>
            </w:pPr>
          </w:p>
        </w:tc>
        <w:tc>
          <w:tcPr>
            <w:tcW w:w="685" w:type="dxa"/>
          </w:tcPr>
          <w:p>
            <w:pPr>
              <w:pStyle w:val="TableParagraph"/>
              <w:rPr>
                <w:rFonts w:ascii="Times New Roman"/>
                <w:sz w:val="20"/>
              </w:rPr>
            </w:pPr>
          </w:p>
        </w:tc>
        <w:tc>
          <w:tcPr>
            <w:tcW w:w="927" w:type="dxa"/>
          </w:tcPr>
          <w:p>
            <w:pPr>
              <w:pStyle w:val="TableParagraph"/>
              <w:rPr>
                <w:rFonts w:ascii="Times New Roman"/>
                <w:sz w:val="20"/>
              </w:rPr>
            </w:pPr>
          </w:p>
        </w:tc>
        <w:tc>
          <w:tcPr>
            <w:tcW w:w="633" w:type="dxa"/>
          </w:tcPr>
          <w:p>
            <w:pPr>
              <w:pStyle w:val="TableParagraph"/>
              <w:rPr>
                <w:rFonts w:ascii="Times New Roman"/>
                <w:sz w:val="20"/>
              </w:rPr>
            </w:pPr>
          </w:p>
        </w:tc>
        <w:tc>
          <w:tcPr>
            <w:tcW w:w="848" w:type="dxa"/>
          </w:tcPr>
          <w:p>
            <w:pPr>
              <w:pStyle w:val="TableParagraph"/>
              <w:rPr>
                <w:rFonts w:ascii="Times New Roman"/>
                <w:sz w:val="20"/>
              </w:rPr>
            </w:pPr>
          </w:p>
        </w:tc>
        <w:tc>
          <w:tcPr>
            <w:tcW w:w="602" w:type="dxa"/>
          </w:tcPr>
          <w:p>
            <w:pPr>
              <w:pStyle w:val="TableParagraph"/>
              <w:rPr>
                <w:rFonts w:ascii="Times New Roman"/>
                <w:sz w:val="20"/>
              </w:rPr>
            </w:pPr>
          </w:p>
        </w:tc>
        <w:tc>
          <w:tcPr>
            <w:tcW w:w="737" w:type="dxa"/>
          </w:tcPr>
          <w:p>
            <w:pPr>
              <w:pStyle w:val="TableParagraph"/>
              <w:rPr>
                <w:rFonts w:ascii="Times New Roman"/>
                <w:sz w:val="20"/>
              </w:rPr>
            </w:pPr>
          </w:p>
        </w:tc>
        <w:tc>
          <w:tcPr>
            <w:tcW w:w="719" w:type="dxa"/>
          </w:tcPr>
          <w:p>
            <w:pPr>
              <w:pStyle w:val="TableParagraph"/>
              <w:rPr>
                <w:rFonts w:ascii="Times New Roman"/>
                <w:sz w:val="20"/>
              </w:rPr>
            </w:pPr>
          </w:p>
        </w:tc>
        <w:tc>
          <w:tcPr>
            <w:tcW w:w="737" w:type="dxa"/>
            <w:tcBorders>
              <w:right w:val="single" w:sz="4" w:space="0" w:color="000000"/>
            </w:tcBorders>
          </w:tcPr>
          <w:p>
            <w:pPr>
              <w:pStyle w:val="TableParagraph"/>
              <w:rPr>
                <w:rFonts w:ascii="Times New Roman"/>
                <w:sz w:val="20"/>
              </w:rPr>
            </w:pPr>
          </w:p>
        </w:tc>
      </w:tr>
      <w:tr>
        <w:trPr>
          <w:trHeight w:val="230" w:hRule="atLeast"/>
        </w:trPr>
        <w:tc>
          <w:tcPr>
            <w:tcW w:w="4146" w:type="dxa"/>
            <w:tcBorders>
              <w:left w:val="single" w:sz="4" w:space="0" w:color="000000"/>
            </w:tcBorders>
          </w:tcPr>
          <w:p>
            <w:pPr>
              <w:pStyle w:val="TableParagraph"/>
              <w:tabs>
                <w:tab w:pos="1027" w:val="left" w:leader="none"/>
                <w:tab w:pos="2759" w:val="left" w:leader="none"/>
              </w:tabs>
              <w:spacing w:line="210" w:lineRule="exact"/>
              <w:ind w:right="105"/>
              <w:jc w:val="right"/>
              <w:rPr>
                <w:sz w:val="20"/>
              </w:rPr>
            </w:pPr>
            <w:r>
              <w:rPr>
                <w:spacing w:val="-2"/>
                <w:sz w:val="20"/>
              </w:rPr>
              <w:t>between</w:t>
            </w:r>
            <w:r>
              <w:rPr>
                <w:sz w:val="20"/>
              </w:rPr>
              <w:tab/>
            </w:r>
            <w:r>
              <w:rPr>
                <w:spacing w:val="-2"/>
                <w:sz w:val="20"/>
              </w:rPr>
              <w:t>adviser-advisee,</w:t>
            </w:r>
            <w:r>
              <w:rPr>
                <w:sz w:val="20"/>
              </w:rPr>
              <w:tab/>
            </w:r>
            <w:r>
              <w:rPr>
                <w:spacing w:val="-2"/>
                <w:sz w:val="20"/>
              </w:rPr>
              <w:t>instill</w:t>
            </w:r>
          </w:p>
        </w:tc>
        <w:tc>
          <w:tcPr>
            <w:tcW w:w="1796" w:type="dxa"/>
          </w:tcPr>
          <w:p>
            <w:pPr>
              <w:pStyle w:val="TableParagraph"/>
              <w:spacing w:line="210" w:lineRule="exact"/>
              <w:ind w:left="111"/>
              <w:rPr>
                <w:sz w:val="20"/>
              </w:rPr>
            </w:pPr>
            <w:r>
              <w:rPr>
                <w:spacing w:val="-2"/>
                <w:sz w:val="20"/>
              </w:rPr>
              <w:t>observations</w:t>
            </w:r>
          </w:p>
        </w:tc>
        <w:tc>
          <w:tcPr>
            <w:tcW w:w="706" w:type="dxa"/>
          </w:tcPr>
          <w:p>
            <w:pPr>
              <w:pStyle w:val="TableParagraph"/>
              <w:spacing w:line="210" w:lineRule="exact"/>
              <w:ind w:left="31"/>
              <w:jc w:val="center"/>
              <w:rPr>
                <w:sz w:val="20"/>
              </w:rPr>
            </w:pPr>
            <w:r>
              <w:rPr>
                <w:spacing w:val="-10"/>
                <w:sz w:val="20"/>
              </w:rPr>
              <w:t>1</w:t>
            </w:r>
          </w:p>
        </w:tc>
        <w:tc>
          <w:tcPr>
            <w:tcW w:w="748" w:type="dxa"/>
          </w:tcPr>
          <w:p>
            <w:pPr>
              <w:pStyle w:val="TableParagraph"/>
              <w:spacing w:line="210" w:lineRule="exact"/>
              <w:ind w:left="18" w:right="1"/>
              <w:jc w:val="center"/>
              <w:rPr>
                <w:sz w:val="20"/>
              </w:rPr>
            </w:pPr>
            <w:r>
              <w:rPr>
                <w:spacing w:val="-4"/>
                <w:sz w:val="20"/>
              </w:rPr>
              <w:t>50.0</w:t>
            </w:r>
          </w:p>
        </w:tc>
        <w:tc>
          <w:tcPr>
            <w:tcW w:w="690" w:type="dxa"/>
          </w:tcPr>
          <w:p>
            <w:pPr>
              <w:pStyle w:val="TableParagraph"/>
              <w:spacing w:line="210" w:lineRule="exact"/>
              <w:ind w:left="22" w:right="10"/>
              <w:jc w:val="center"/>
              <w:rPr>
                <w:sz w:val="20"/>
              </w:rPr>
            </w:pPr>
            <w:r>
              <w:rPr>
                <w:spacing w:val="-10"/>
                <w:sz w:val="20"/>
              </w:rPr>
              <w:t>-</w:t>
            </w:r>
          </w:p>
        </w:tc>
        <w:tc>
          <w:tcPr>
            <w:tcW w:w="776" w:type="dxa"/>
          </w:tcPr>
          <w:p>
            <w:pPr>
              <w:pStyle w:val="TableParagraph"/>
              <w:spacing w:line="210" w:lineRule="exact"/>
              <w:ind w:right="11"/>
              <w:jc w:val="center"/>
              <w:rPr>
                <w:sz w:val="20"/>
              </w:rPr>
            </w:pPr>
            <w:r>
              <w:rPr>
                <w:spacing w:val="-10"/>
                <w:sz w:val="20"/>
              </w:rPr>
              <w:t>-</w:t>
            </w:r>
          </w:p>
        </w:tc>
        <w:tc>
          <w:tcPr>
            <w:tcW w:w="685" w:type="dxa"/>
          </w:tcPr>
          <w:p>
            <w:pPr>
              <w:pStyle w:val="TableParagraph"/>
              <w:spacing w:line="210" w:lineRule="exact"/>
              <w:ind w:left="59" w:right="84"/>
              <w:jc w:val="center"/>
              <w:rPr>
                <w:sz w:val="20"/>
              </w:rPr>
            </w:pPr>
            <w:r>
              <w:rPr>
                <w:spacing w:val="-10"/>
                <w:sz w:val="20"/>
              </w:rPr>
              <w:t>1</w:t>
            </w:r>
          </w:p>
        </w:tc>
        <w:tc>
          <w:tcPr>
            <w:tcW w:w="927" w:type="dxa"/>
          </w:tcPr>
          <w:p>
            <w:pPr>
              <w:pStyle w:val="TableParagraph"/>
              <w:spacing w:line="210" w:lineRule="exact"/>
              <w:ind w:left="3" w:right="2"/>
              <w:jc w:val="center"/>
              <w:rPr>
                <w:sz w:val="20"/>
              </w:rPr>
            </w:pPr>
            <w:r>
              <w:rPr>
                <w:spacing w:val="-4"/>
                <w:sz w:val="20"/>
              </w:rPr>
              <w:t>50.0</w:t>
            </w:r>
          </w:p>
        </w:tc>
        <w:tc>
          <w:tcPr>
            <w:tcW w:w="633" w:type="dxa"/>
          </w:tcPr>
          <w:p>
            <w:pPr>
              <w:pStyle w:val="TableParagraph"/>
              <w:spacing w:line="210" w:lineRule="exact"/>
              <w:ind w:left="75" w:right="8"/>
              <w:jc w:val="center"/>
              <w:rPr>
                <w:sz w:val="20"/>
              </w:rPr>
            </w:pPr>
            <w:r>
              <w:rPr>
                <w:spacing w:val="-10"/>
                <w:sz w:val="20"/>
              </w:rPr>
              <w:t>-</w:t>
            </w:r>
          </w:p>
        </w:tc>
        <w:tc>
          <w:tcPr>
            <w:tcW w:w="848" w:type="dxa"/>
          </w:tcPr>
          <w:p>
            <w:pPr>
              <w:pStyle w:val="TableParagraph"/>
              <w:spacing w:line="210" w:lineRule="exact"/>
              <w:ind w:left="32" w:right="6"/>
              <w:jc w:val="center"/>
              <w:rPr>
                <w:sz w:val="20"/>
              </w:rPr>
            </w:pPr>
            <w:r>
              <w:rPr>
                <w:spacing w:val="-10"/>
                <w:sz w:val="20"/>
              </w:rPr>
              <w:t>-</w:t>
            </w:r>
          </w:p>
        </w:tc>
        <w:tc>
          <w:tcPr>
            <w:tcW w:w="602" w:type="dxa"/>
          </w:tcPr>
          <w:p>
            <w:pPr>
              <w:pStyle w:val="TableParagraph"/>
              <w:spacing w:line="210" w:lineRule="exact"/>
              <w:ind w:left="4" w:right="5"/>
              <w:jc w:val="center"/>
              <w:rPr>
                <w:sz w:val="20"/>
              </w:rPr>
            </w:pPr>
            <w:r>
              <w:rPr>
                <w:spacing w:val="-10"/>
                <w:sz w:val="20"/>
              </w:rPr>
              <w:t>-</w:t>
            </w:r>
          </w:p>
        </w:tc>
        <w:tc>
          <w:tcPr>
            <w:tcW w:w="737" w:type="dxa"/>
          </w:tcPr>
          <w:p>
            <w:pPr>
              <w:pStyle w:val="TableParagraph"/>
              <w:spacing w:line="210" w:lineRule="exact"/>
              <w:ind w:left="85" w:right="7"/>
              <w:jc w:val="center"/>
              <w:rPr>
                <w:sz w:val="20"/>
              </w:rPr>
            </w:pPr>
            <w:r>
              <w:rPr>
                <w:spacing w:val="-10"/>
                <w:sz w:val="20"/>
              </w:rPr>
              <w:t>-</w:t>
            </w:r>
          </w:p>
        </w:tc>
        <w:tc>
          <w:tcPr>
            <w:tcW w:w="719" w:type="dxa"/>
          </w:tcPr>
          <w:p>
            <w:pPr>
              <w:pStyle w:val="TableParagraph"/>
              <w:spacing w:line="210" w:lineRule="exact"/>
              <w:ind w:left="70" w:right="1"/>
              <w:jc w:val="center"/>
              <w:rPr>
                <w:sz w:val="20"/>
              </w:rPr>
            </w:pPr>
            <w:r>
              <w:rPr>
                <w:spacing w:val="-10"/>
                <w:sz w:val="20"/>
              </w:rPr>
              <w:t>2</w:t>
            </w:r>
          </w:p>
        </w:tc>
        <w:tc>
          <w:tcPr>
            <w:tcW w:w="737" w:type="dxa"/>
            <w:tcBorders>
              <w:right w:val="single" w:sz="4" w:space="0" w:color="000000"/>
            </w:tcBorders>
          </w:tcPr>
          <w:p>
            <w:pPr>
              <w:pStyle w:val="TableParagraph"/>
              <w:spacing w:line="210" w:lineRule="exact"/>
              <w:ind w:left="58" w:right="5"/>
              <w:jc w:val="center"/>
              <w:rPr>
                <w:sz w:val="20"/>
              </w:rPr>
            </w:pPr>
            <w:r>
              <w:rPr>
                <w:spacing w:val="-5"/>
                <w:sz w:val="20"/>
              </w:rPr>
              <w:t>0.4</w:t>
            </w:r>
          </w:p>
        </w:tc>
      </w:tr>
      <w:tr>
        <w:trPr>
          <w:trHeight w:val="230" w:hRule="atLeast"/>
        </w:trPr>
        <w:tc>
          <w:tcPr>
            <w:tcW w:w="4146" w:type="dxa"/>
            <w:tcBorders>
              <w:left w:val="single" w:sz="4" w:space="0" w:color="000000"/>
            </w:tcBorders>
          </w:tcPr>
          <w:p>
            <w:pPr>
              <w:pStyle w:val="TableParagraph"/>
              <w:spacing w:line="210" w:lineRule="exact"/>
              <w:ind w:right="101"/>
              <w:jc w:val="right"/>
              <w:rPr>
                <w:sz w:val="20"/>
              </w:rPr>
            </w:pPr>
            <w:r>
              <w:rPr>
                <w:sz w:val="20"/>
              </w:rPr>
              <w:t>confidence</w:t>
            </w:r>
            <w:r>
              <w:rPr>
                <w:spacing w:val="55"/>
                <w:w w:val="150"/>
                <w:sz w:val="20"/>
              </w:rPr>
              <w:t> </w:t>
            </w:r>
            <w:r>
              <w:rPr>
                <w:sz w:val="20"/>
              </w:rPr>
              <w:t>in</w:t>
            </w:r>
            <w:r>
              <w:rPr>
                <w:spacing w:val="55"/>
                <w:w w:val="150"/>
                <w:sz w:val="20"/>
              </w:rPr>
              <w:t> </w:t>
            </w:r>
            <w:r>
              <w:rPr>
                <w:sz w:val="20"/>
              </w:rPr>
              <w:t>students</w:t>
            </w:r>
            <w:r>
              <w:rPr>
                <w:spacing w:val="52"/>
                <w:w w:val="150"/>
                <w:sz w:val="20"/>
              </w:rPr>
              <w:t> </w:t>
            </w:r>
            <w:r>
              <w:rPr>
                <w:sz w:val="20"/>
              </w:rPr>
              <w:t>for</w:t>
            </w:r>
            <w:r>
              <w:rPr>
                <w:spacing w:val="57"/>
                <w:w w:val="150"/>
                <w:sz w:val="20"/>
              </w:rPr>
              <w:t> </w:t>
            </w:r>
            <w:r>
              <w:rPr>
                <w:spacing w:val="-2"/>
                <w:sz w:val="20"/>
              </w:rPr>
              <w:t>better</w:t>
            </w:r>
          </w:p>
        </w:tc>
        <w:tc>
          <w:tcPr>
            <w:tcW w:w="1796" w:type="dxa"/>
          </w:tcPr>
          <w:p>
            <w:pPr>
              <w:pStyle w:val="TableParagraph"/>
              <w:spacing w:line="210" w:lineRule="exact"/>
              <w:ind w:left="111"/>
              <w:rPr>
                <w:sz w:val="20"/>
              </w:rPr>
            </w:pPr>
            <w:r>
              <w:rPr>
                <w:spacing w:val="-2"/>
                <w:sz w:val="20"/>
              </w:rPr>
              <w:t>Students</w:t>
            </w:r>
          </w:p>
        </w:tc>
        <w:tc>
          <w:tcPr>
            <w:tcW w:w="706" w:type="dxa"/>
          </w:tcPr>
          <w:p>
            <w:pPr>
              <w:pStyle w:val="TableParagraph"/>
              <w:spacing w:line="210" w:lineRule="exact"/>
              <w:ind w:left="31" w:right="10"/>
              <w:jc w:val="center"/>
              <w:rPr>
                <w:sz w:val="20"/>
              </w:rPr>
            </w:pPr>
            <w:r>
              <w:rPr>
                <w:spacing w:val="-5"/>
                <w:sz w:val="20"/>
              </w:rPr>
              <w:t>111</w:t>
            </w:r>
          </w:p>
        </w:tc>
        <w:tc>
          <w:tcPr>
            <w:tcW w:w="748" w:type="dxa"/>
          </w:tcPr>
          <w:p>
            <w:pPr>
              <w:pStyle w:val="TableParagraph"/>
              <w:spacing w:line="210" w:lineRule="exact"/>
              <w:ind w:left="18" w:right="1"/>
              <w:jc w:val="center"/>
              <w:rPr>
                <w:sz w:val="20"/>
              </w:rPr>
            </w:pPr>
            <w:r>
              <w:rPr>
                <w:spacing w:val="-4"/>
                <w:sz w:val="20"/>
              </w:rPr>
              <w:t>47.2</w:t>
            </w:r>
          </w:p>
        </w:tc>
        <w:tc>
          <w:tcPr>
            <w:tcW w:w="690" w:type="dxa"/>
          </w:tcPr>
          <w:p>
            <w:pPr>
              <w:pStyle w:val="TableParagraph"/>
              <w:spacing w:line="210" w:lineRule="exact"/>
              <w:ind w:left="22" w:right="13"/>
              <w:jc w:val="center"/>
              <w:rPr>
                <w:sz w:val="20"/>
              </w:rPr>
            </w:pPr>
            <w:r>
              <w:rPr>
                <w:spacing w:val="-5"/>
                <w:sz w:val="20"/>
              </w:rPr>
              <w:t>104</w:t>
            </w:r>
          </w:p>
        </w:tc>
        <w:tc>
          <w:tcPr>
            <w:tcW w:w="776" w:type="dxa"/>
          </w:tcPr>
          <w:p>
            <w:pPr>
              <w:pStyle w:val="TableParagraph"/>
              <w:spacing w:line="210" w:lineRule="exact"/>
              <w:ind w:left="7" w:right="11"/>
              <w:jc w:val="center"/>
              <w:rPr>
                <w:sz w:val="20"/>
              </w:rPr>
            </w:pPr>
            <w:r>
              <w:rPr>
                <w:spacing w:val="-4"/>
                <w:sz w:val="20"/>
              </w:rPr>
              <w:t>44.3</w:t>
            </w:r>
          </w:p>
        </w:tc>
        <w:tc>
          <w:tcPr>
            <w:tcW w:w="685" w:type="dxa"/>
          </w:tcPr>
          <w:p>
            <w:pPr>
              <w:pStyle w:val="TableParagraph"/>
              <w:spacing w:line="210" w:lineRule="exact"/>
              <w:ind w:left="59" w:right="89"/>
              <w:jc w:val="center"/>
              <w:rPr>
                <w:sz w:val="20"/>
              </w:rPr>
            </w:pPr>
            <w:r>
              <w:rPr>
                <w:spacing w:val="-5"/>
                <w:sz w:val="20"/>
              </w:rPr>
              <w:t>20</w:t>
            </w:r>
          </w:p>
        </w:tc>
        <w:tc>
          <w:tcPr>
            <w:tcW w:w="927" w:type="dxa"/>
          </w:tcPr>
          <w:p>
            <w:pPr>
              <w:pStyle w:val="TableParagraph"/>
              <w:spacing w:line="210" w:lineRule="exact"/>
              <w:ind w:left="1" w:right="2"/>
              <w:jc w:val="center"/>
              <w:rPr>
                <w:sz w:val="20"/>
              </w:rPr>
            </w:pPr>
            <w:r>
              <w:rPr>
                <w:spacing w:val="-5"/>
                <w:sz w:val="20"/>
              </w:rPr>
              <w:t>8.5</w:t>
            </w:r>
          </w:p>
        </w:tc>
        <w:tc>
          <w:tcPr>
            <w:tcW w:w="633" w:type="dxa"/>
          </w:tcPr>
          <w:p>
            <w:pPr>
              <w:pStyle w:val="TableParagraph"/>
              <w:spacing w:line="210" w:lineRule="exact"/>
              <w:ind w:left="75" w:right="8"/>
              <w:jc w:val="center"/>
              <w:rPr>
                <w:sz w:val="20"/>
              </w:rPr>
            </w:pPr>
            <w:r>
              <w:rPr>
                <w:spacing w:val="-10"/>
                <w:sz w:val="20"/>
              </w:rPr>
              <w:t>-</w:t>
            </w:r>
          </w:p>
        </w:tc>
        <w:tc>
          <w:tcPr>
            <w:tcW w:w="848" w:type="dxa"/>
          </w:tcPr>
          <w:p>
            <w:pPr>
              <w:pStyle w:val="TableParagraph"/>
              <w:spacing w:line="210" w:lineRule="exact"/>
              <w:ind w:left="32" w:right="6"/>
              <w:jc w:val="center"/>
              <w:rPr>
                <w:sz w:val="20"/>
              </w:rPr>
            </w:pPr>
            <w:r>
              <w:rPr>
                <w:spacing w:val="-10"/>
                <w:sz w:val="20"/>
              </w:rPr>
              <w:t>-</w:t>
            </w:r>
          </w:p>
        </w:tc>
        <w:tc>
          <w:tcPr>
            <w:tcW w:w="602" w:type="dxa"/>
          </w:tcPr>
          <w:p>
            <w:pPr>
              <w:pStyle w:val="TableParagraph"/>
              <w:spacing w:line="210" w:lineRule="exact"/>
              <w:ind w:left="4" w:right="5"/>
              <w:jc w:val="center"/>
              <w:rPr>
                <w:sz w:val="20"/>
              </w:rPr>
            </w:pPr>
            <w:r>
              <w:rPr>
                <w:spacing w:val="-10"/>
                <w:sz w:val="20"/>
              </w:rPr>
              <w:t>-</w:t>
            </w:r>
          </w:p>
        </w:tc>
        <w:tc>
          <w:tcPr>
            <w:tcW w:w="737" w:type="dxa"/>
          </w:tcPr>
          <w:p>
            <w:pPr>
              <w:pStyle w:val="TableParagraph"/>
              <w:spacing w:line="210" w:lineRule="exact"/>
              <w:ind w:left="85" w:right="7"/>
              <w:jc w:val="center"/>
              <w:rPr>
                <w:sz w:val="20"/>
              </w:rPr>
            </w:pPr>
            <w:r>
              <w:rPr>
                <w:spacing w:val="-10"/>
                <w:sz w:val="20"/>
              </w:rPr>
              <w:t>-</w:t>
            </w:r>
          </w:p>
        </w:tc>
        <w:tc>
          <w:tcPr>
            <w:tcW w:w="719" w:type="dxa"/>
          </w:tcPr>
          <w:p>
            <w:pPr>
              <w:pStyle w:val="TableParagraph"/>
              <w:spacing w:line="210" w:lineRule="exact"/>
              <w:ind w:left="70" w:right="11"/>
              <w:jc w:val="center"/>
              <w:rPr>
                <w:sz w:val="20"/>
              </w:rPr>
            </w:pPr>
            <w:r>
              <w:rPr>
                <w:spacing w:val="-5"/>
                <w:sz w:val="20"/>
              </w:rPr>
              <w:t>235</w:t>
            </w:r>
          </w:p>
        </w:tc>
        <w:tc>
          <w:tcPr>
            <w:tcW w:w="737" w:type="dxa"/>
            <w:tcBorders>
              <w:right w:val="single" w:sz="4" w:space="0" w:color="000000"/>
            </w:tcBorders>
          </w:tcPr>
          <w:p>
            <w:pPr>
              <w:pStyle w:val="TableParagraph"/>
              <w:spacing w:line="210" w:lineRule="exact"/>
              <w:ind w:left="63" w:right="5"/>
              <w:jc w:val="center"/>
              <w:rPr>
                <w:sz w:val="20"/>
              </w:rPr>
            </w:pPr>
            <w:r>
              <w:rPr>
                <w:spacing w:val="-4"/>
                <w:sz w:val="20"/>
              </w:rPr>
              <w:t>50.8</w:t>
            </w:r>
          </w:p>
        </w:tc>
      </w:tr>
      <w:tr>
        <w:trPr>
          <w:trHeight w:val="235" w:hRule="atLeast"/>
        </w:trPr>
        <w:tc>
          <w:tcPr>
            <w:tcW w:w="4146" w:type="dxa"/>
            <w:tcBorders>
              <w:left w:val="single" w:sz="4" w:space="0" w:color="000000"/>
            </w:tcBorders>
          </w:tcPr>
          <w:p>
            <w:pPr>
              <w:pStyle w:val="TableParagraph"/>
              <w:spacing w:line="215" w:lineRule="exact"/>
              <w:ind w:left="830"/>
              <w:rPr>
                <w:sz w:val="20"/>
              </w:rPr>
            </w:pPr>
            <w:r>
              <w:rPr>
                <w:sz w:val="20"/>
              </w:rPr>
              <w:t>academic</w:t>
            </w:r>
            <w:r>
              <w:rPr>
                <w:spacing w:val="-5"/>
                <w:sz w:val="20"/>
              </w:rPr>
              <w:t> </w:t>
            </w:r>
            <w:r>
              <w:rPr>
                <w:spacing w:val="-2"/>
                <w:sz w:val="20"/>
              </w:rPr>
              <w:t>performance.</w:t>
            </w:r>
          </w:p>
        </w:tc>
        <w:tc>
          <w:tcPr>
            <w:tcW w:w="1796" w:type="dxa"/>
          </w:tcPr>
          <w:p>
            <w:pPr>
              <w:pStyle w:val="TableParagraph"/>
              <w:spacing w:line="215" w:lineRule="exact"/>
              <w:ind w:left="111"/>
              <w:rPr>
                <w:sz w:val="20"/>
              </w:rPr>
            </w:pPr>
            <w:r>
              <w:rPr>
                <w:sz w:val="20"/>
              </w:rPr>
              <w:t>Service</w:t>
            </w:r>
            <w:r>
              <w:rPr>
                <w:spacing w:val="-9"/>
                <w:sz w:val="20"/>
              </w:rPr>
              <w:t> </w:t>
            </w:r>
            <w:r>
              <w:rPr>
                <w:spacing w:val="-2"/>
                <w:sz w:val="20"/>
              </w:rPr>
              <w:t>Staff</w:t>
            </w:r>
          </w:p>
        </w:tc>
        <w:tc>
          <w:tcPr>
            <w:tcW w:w="706" w:type="dxa"/>
          </w:tcPr>
          <w:p>
            <w:pPr>
              <w:pStyle w:val="TableParagraph"/>
              <w:spacing w:line="215" w:lineRule="exact"/>
              <w:ind w:left="31" w:right="5"/>
              <w:jc w:val="center"/>
              <w:rPr>
                <w:sz w:val="20"/>
              </w:rPr>
            </w:pPr>
            <w:r>
              <w:rPr>
                <w:spacing w:val="-5"/>
                <w:sz w:val="20"/>
              </w:rPr>
              <w:t>77</w:t>
            </w:r>
          </w:p>
        </w:tc>
        <w:tc>
          <w:tcPr>
            <w:tcW w:w="748" w:type="dxa"/>
          </w:tcPr>
          <w:p>
            <w:pPr>
              <w:pStyle w:val="TableParagraph"/>
              <w:spacing w:line="215" w:lineRule="exact"/>
              <w:ind w:left="18" w:right="1"/>
              <w:jc w:val="center"/>
              <w:rPr>
                <w:sz w:val="20"/>
              </w:rPr>
            </w:pPr>
            <w:r>
              <w:rPr>
                <w:spacing w:val="-4"/>
                <w:sz w:val="20"/>
              </w:rPr>
              <w:t>37.9</w:t>
            </w:r>
          </w:p>
        </w:tc>
        <w:tc>
          <w:tcPr>
            <w:tcW w:w="690" w:type="dxa"/>
          </w:tcPr>
          <w:p>
            <w:pPr>
              <w:pStyle w:val="TableParagraph"/>
              <w:spacing w:line="215" w:lineRule="exact"/>
              <w:ind w:left="22" w:right="13"/>
              <w:jc w:val="center"/>
              <w:rPr>
                <w:sz w:val="20"/>
              </w:rPr>
            </w:pPr>
            <w:r>
              <w:rPr>
                <w:spacing w:val="-5"/>
                <w:sz w:val="20"/>
              </w:rPr>
              <w:t>110</w:t>
            </w:r>
          </w:p>
        </w:tc>
        <w:tc>
          <w:tcPr>
            <w:tcW w:w="776" w:type="dxa"/>
          </w:tcPr>
          <w:p>
            <w:pPr>
              <w:pStyle w:val="TableParagraph"/>
              <w:spacing w:line="215" w:lineRule="exact"/>
              <w:ind w:left="7" w:right="11"/>
              <w:jc w:val="center"/>
              <w:rPr>
                <w:sz w:val="20"/>
              </w:rPr>
            </w:pPr>
            <w:r>
              <w:rPr>
                <w:spacing w:val="-4"/>
                <w:sz w:val="20"/>
              </w:rPr>
              <w:t>54.2</w:t>
            </w:r>
          </w:p>
        </w:tc>
        <w:tc>
          <w:tcPr>
            <w:tcW w:w="685" w:type="dxa"/>
          </w:tcPr>
          <w:p>
            <w:pPr>
              <w:pStyle w:val="TableParagraph"/>
              <w:spacing w:line="215" w:lineRule="exact"/>
              <w:ind w:left="59" w:right="89"/>
              <w:jc w:val="center"/>
              <w:rPr>
                <w:sz w:val="20"/>
              </w:rPr>
            </w:pPr>
            <w:r>
              <w:rPr>
                <w:spacing w:val="-5"/>
                <w:sz w:val="20"/>
              </w:rPr>
              <w:t>13</w:t>
            </w:r>
          </w:p>
        </w:tc>
        <w:tc>
          <w:tcPr>
            <w:tcW w:w="927" w:type="dxa"/>
          </w:tcPr>
          <w:p>
            <w:pPr>
              <w:pStyle w:val="TableParagraph"/>
              <w:spacing w:line="215" w:lineRule="exact"/>
              <w:ind w:left="1" w:right="2"/>
              <w:jc w:val="center"/>
              <w:rPr>
                <w:sz w:val="20"/>
              </w:rPr>
            </w:pPr>
            <w:r>
              <w:rPr>
                <w:spacing w:val="-5"/>
                <w:sz w:val="20"/>
              </w:rPr>
              <w:t>6.4</w:t>
            </w:r>
          </w:p>
        </w:tc>
        <w:tc>
          <w:tcPr>
            <w:tcW w:w="633" w:type="dxa"/>
          </w:tcPr>
          <w:p>
            <w:pPr>
              <w:pStyle w:val="TableParagraph"/>
              <w:spacing w:line="215" w:lineRule="exact"/>
              <w:ind w:left="75" w:right="2"/>
              <w:jc w:val="center"/>
              <w:rPr>
                <w:sz w:val="20"/>
              </w:rPr>
            </w:pPr>
            <w:r>
              <w:rPr>
                <w:spacing w:val="-10"/>
                <w:sz w:val="20"/>
              </w:rPr>
              <w:t>3</w:t>
            </w:r>
          </w:p>
        </w:tc>
        <w:tc>
          <w:tcPr>
            <w:tcW w:w="848" w:type="dxa"/>
          </w:tcPr>
          <w:p>
            <w:pPr>
              <w:pStyle w:val="TableParagraph"/>
              <w:spacing w:line="215" w:lineRule="exact"/>
              <w:ind w:left="32" w:right="5"/>
              <w:jc w:val="center"/>
              <w:rPr>
                <w:sz w:val="20"/>
              </w:rPr>
            </w:pPr>
            <w:r>
              <w:rPr>
                <w:spacing w:val="-5"/>
                <w:sz w:val="20"/>
              </w:rPr>
              <w:t>1.5</w:t>
            </w:r>
          </w:p>
        </w:tc>
        <w:tc>
          <w:tcPr>
            <w:tcW w:w="602" w:type="dxa"/>
          </w:tcPr>
          <w:p>
            <w:pPr>
              <w:pStyle w:val="TableParagraph"/>
              <w:spacing w:line="215" w:lineRule="exact"/>
              <w:ind w:left="4" w:right="5"/>
              <w:jc w:val="center"/>
              <w:rPr>
                <w:sz w:val="20"/>
              </w:rPr>
            </w:pPr>
            <w:r>
              <w:rPr>
                <w:spacing w:val="-10"/>
                <w:sz w:val="20"/>
              </w:rPr>
              <w:t>-</w:t>
            </w:r>
          </w:p>
        </w:tc>
        <w:tc>
          <w:tcPr>
            <w:tcW w:w="737" w:type="dxa"/>
          </w:tcPr>
          <w:p>
            <w:pPr>
              <w:pStyle w:val="TableParagraph"/>
              <w:spacing w:line="215" w:lineRule="exact"/>
              <w:ind w:left="85" w:right="7"/>
              <w:jc w:val="center"/>
              <w:rPr>
                <w:sz w:val="20"/>
              </w:rPr>
            </w:pPr>
            <w:r>
              <w:rPr>
                <w:spacing w:val="-10"/>
                <w:sz w:val="20"/>
              </w:rPr>
              <w:t>-</w:t>
            </w:r>
          </w:p>
        </w:tc>
        <w:tc>
          <w:tcPr>
            <w:tcW w:w="719" w:type="dxa"/>
          </w:tcPr>
          <w:p>
            <w:pPr>
              <w:pStyle w:val="TableParagraph"/>
              <w:spacing w:line="215" w:lineRule="exact"/>
              <w:ind w:left="70" w:right="11"/>
              <w:jc w:val="center"/>
              <w:rPr>
                <w:sz w:val="20"/>
              </w:rPr>
            </w:pPr>
            <w:r>
              <w:rPr>
                <w:spacing w:val="-5"/>
                <w:sz w:val="20"/>
              </w:rPr>
              <w:t>203</w:t>
            </w:r>
          </w:p>
        </w:tc>
        <w:tc>
          <w:tcPr>
            <w:tcW w:w="737" w:type="dxa"/>
            <w:tcBorders>
              <w:right w:val="single" w:sz="4" w:space="0" w:color="000000"/>
            </w:tcBorders>
          </w:tcPr>
          <w:p>
            <w:pPr>
              <w:pStyle w:val="TableParagraph"/>
              <w:spacing w:line="215" w:lineRule="exact"/>
              <w:ind w:left="63" w:right="5"/>
              <w:jc w:val="center"/>
              <w:rPr>
                <w:sz w:val="20"/>
              </w:rPr>
            </w:pPr>
            <w:r>
              <w:rPr>
                <w:spacing w:val="-4"/>
                <w:sz w:val="20"/>
              </w:rPr>
              <w:t>43.8</w:t>
            </w:r>
          </w:p>
        </w:tc>
      </w:tr>
      <w:tr>
        <w:trPr>
          <w:trHeight w:val="261" w:hRule="atLeast"/>
        </w:trPr>
        <w:tc>
          <w:tcPr>
            <w:tcW w:w="4146" w:type="dxa"/>
            <w:tcBorders>
              <w:left w:val="single" w:sz="4" w:space="0" w:color="000000"/>
            </w:tcBorders>
          </w:tcPr>
          <w:p>
            <w:pPr>
              <w:pStyle w:val="TableParagraph"/>
              <w:rPr>
                <w:rFonts w:ascii="Times New Roman"/>
                <w:sz w:val="18"/>
              </w:rPr>
            </w:pPr>
          </w:p>
        </w:tc>
        <w:tc>
          <w:tcPr>
            <w:tcW w:w="1796" w:type="dxa"/>
          </w:tcPr>
          <w:p>
            <w:pPr>
              <w:pStyle w:val="TableParagraph"/>
              <w:spacing w:before="2"/>
              <w:ind w:left="111"/>
              <w:rPr>
                <w:sz w:val="20"/>
              </w:rPr>
            </w:pPr>
            <w:r>
              <w:rPr>
                <w:sz w:val="20"/>
              </w:rPr>
              <w:t>Top</w:t>
            </w:r>
            <w:r>
              <w:rPr>
                <w:spacing w:val="-1"/>
                <w:sz w:val="20"/>
              </w:rPr>
              <w:t> </w:t>
            </w:r>
            <w:r>
              <w:rPr>
                <w:spacing w:val="-2"/>
                <w:sz w:val="20"/>
              </w:rPr>
              <w:t>Management</w:t>
            </w:r>
          </w:p>
        </w:tc>
        <w:tc>
          <w:tcPr>
            <w:tcW w:w="706" w:type="dxa"/>
          </w:tcPr>
          <w:p>
            <w:pPr>
              <w:pStyle w:val="TableParagraph"/>
              <w:spacing w:before="2"/>
              <w:ind w:left="31" w:right="5"/>
              <w:jc w:val="center"/>
              <w:rPr>
                <w:sz w:val="20"/>
              </w:rPr>
            </w:pPr>
            <w:r>
              <w:rPr>
                <w:spacing w:val="-5"/>
                <w:sz w:val="20"/>
              </w:rPr>
              <w:t>11</w:t>
            </w:r>
          </w:p>
        </w:tc>
        <w:tc>
          <w:tcPr>
            <w:tcW w:w="748" w:type="dxa"/>
          </w:tcPr>
          <w:p>
            <w:pPr>
              <w:pStyle w:val="TableParagraph"/>
              <w:spacing w:before="2"/>
              <w:ind w:left="18" w:right="1"/>
              <w:jc w:val="center"/>
              <w:rPr>
                <w:sz w:val="20"/>
              </w:rPr>
            </w:pPr>
            <w:r>
              <w:rPr>
                <w:spacing w:val="-4"/>
                <w:sz w:val="20"/>
              </w:rPr>
              <w:t>47.8</w:t>
            </w:r>
          </w:p>
        </w:tc>
        <w:tc>
          <w:tcPr>
            <w:tcW w:w="690" w:type="dxa"/>
          </w:tcPr>
          <w:p>
            <w:pPr>
              <w:pStyle w:val="TableParagraph"/>
              <w:spacing w:before="2"/>
              <w:ind w:left="22" w:right="8"/>
              <w:jc w:val="center"/>
              <w:rPr>
                <w:sz w:val="20"/>
              </w:rPr>
            </w:pPr>
            <w:r>
              <w:rPr>
                <w:spacing w:val="-5"/>
                <w:sz w:val="20"/>
              </w:rPr>
              <w:t>10</w:t>
            </w:r>
          </w:p>
        </w:tc>
        <w:tc>
          <w:tcPr>
            <w:tcW w:w="776" w:type="dxa"/>
          </w:tcPr>
          <w:p>
            <w:pPr>
              <w:pStyle w:val="TableParagraph"/>
              <w:spacing w:before="2"/>
              <w:ind w:left="7" w:right="11"/>
              <w:jc w:val="center"/>
              <w:rPr>
                <w:sz w:val="20"/>
              </w:rPr>
            </w:pPr>
            <w:r>
              <w:rPr>
                <w:spacing w:val="-4"/>
                <w:sz w:val="20"/>
              </w:rPr>
              <w:t>43.5</w:t>
            </w:r>
          </w:p>
        </w:tc>
        <w:tc>
          <w:tcPr>
            <w:tcW w:w="685" w:type="dxa"/>
          </w:tcPr>
          <w:p>
            <w:pPr>
              <w:pStyle w:val="TableParagraph"/>
              <w:spacing w:before="2"/>
              <w:ind w:left="59" w:right="84"/>
              <w:jc w:val="center"/>
              <w:rPr>
                <w:sz w:val="20"/>
              </w:rPr>
            </w:pPr>
            <w:r>
              <w:rPr>
                <w:spacing w:val="-10"/>
                <w:sz w:val="20"/>
              </w:rPr>
              <w:t>1</w:t>
            </w:r>
          </w:p>
        </w:tc>
        <w:tc>
          <w:tcPr>
            <w:tcW w:w="927" w:type="dxa"/>
          </w:tcPr>
          <w:p>
            <w:pPr>
              <w:pStyle w:val="TableParagraph"/>
              <w:spacing w:before="2"/>
              <w:ind w:left="1" w:right="2"/>
              <w:jc w:val="center"/>
              <w:rPr>
                <w:sz w:val="20"/>
              </w:rPr>
            </w:pPr>
            <w:r>
              <w:rPr>
                <w:spacing w:val="-5"/>
                <w:sz w:val="20"/>
              </w:rPr>
              <w:t>4.3</w:t>
            </w:r>
          </w:p>
        </w:tc>
        <w:tc>
          <w:tcPr>
            <w:tcW w:w="633" w:type="dxa"/>
          </w:tcPr>
          <w:p>
            <w:pPr>
              <w:pStyle w:val="TableParagraph"/>
              <w:spacing w:before="2"/>
              <w:ind w:left="75" w:right="2"/>
              <w:jc w:val="center"/>
              <w:rPr>
                <w:sz w:val="20"/>
              </w:rPr>
            </w:pPr>
            <w:r>
              <w:rPr>
                <w:spacing w:val="-10"/>
                <w:sz w:val="20"/>
              </w:rPr>
              <w:t>1</w:t>
            </w:r>
          </w:p>
        </w:tc>
        <w:tc>
          <w:tcPr>
            <w:tcW w:w="848" w:type="dxa"/>
          </w:tcPr>
          <w:p>
            <w:pPr>
              <w:pStyle w:val="TableParagraph"/>
              <w:spacing w:before="2"/>
              <w:ind w:left="32" w:right="5"/>
              <w:jc w:val="center"/>
              <w:rPr>
                <w:sz w:val="20"/>
              </w:rPr>
            </w:pPr>
            <w:r>
              <w:rPr>
                <w:spacing w:val="-5"/>
                <w:sz w:val="20"/>
              </w:rPr>
              <w:t>4.3</w:t>
            </w:r>
          </w:p>
        </w:tc>
        <w:tc>
          <w:tcPr>
            <w:tcW w:w="602" w:type="dxa"/>
          </w:tcPr>
          <w:p>
            <w:pPr>
              <w:pStyle w:val="TableParagraph"/>
              <w:spacing w:before="2"/>
              <w:ind w:left="4" w:right="5"/>
              <w:jc w:val="center"/>
              <w:rPr>
                <w:sz w:val="20"/>
              </w:rPr>
            </w:pPr>
            <w:r>
              <w:rPr>
                <w:spacing w:val="-10"/>
                <w:sz w:val="20"/>
              </w:rPr>
              <w:t>-</w:t>
            </w:r>
          </w:p>
        </w:tc>
        <w:tc>
          <w:tcPr>
            <w:tcW w:w="737" w:type="dxa"/>
          </w:tcPr>
          <w:p>
            <w:pPr>
              <w:pStyle w:val="TableParagraph"/>
              <w:spacing w:before="2"/>
              <w:ind w:left="85" w:right="7"/>
              <w:jc w:val="center"/>
              <w:rPr>
                <w:sz w:val="20"/>
              </w:rPr>
            </w:pPr>
            <w:r>
              <w:rPr>
                <w:spacing w:val="-10"/>
                <w:sz w:val="20"/>
              </w:rPr>
              <w:t>-</w:t>
            </w:r>
          </w:p>
        </w:tc>
        <w:tc>
          <w:tcPr>
            <w:tcW w:w="719" w:type="dxa"/>
          </w:tcPr>
          <w:p>
            <w:pPr>
              <w:pStyle w:val="TableParagraph"/>
              <w:spacing w:before="2"/>
              <w:ind w:left="70" w:right="6"/>
              <w:jc w:val="center"/>
              <w:rPr>
                <w:sz w:val="20"/>
              </w:rPr>
            </w:pPr>
            <w:r>
              <w:rPr>
                <w:spacing w:val="-5"/>
                <w:sz w:val="20"/>
              </w:rPr>
              <w:t>23</w:t>
            </w:r>
          </w:p>
        </w:tc>
        <w:tc>
          <w:tcPr>
            <w:tcW w:w="737" w:type="dxa"/>
            <w:tcBorders>
              <w:right w:val="single" w:sz="4" w:space="0" w:color="000000"/>
            </w:tcBorders>
          </w:tcPr>
          <w:p>
            <w:pPr>
              <w:pStyle w:val="TableParagraph"/>
              <w:spacing w:before="2"/>
              <w:ind w:left="58" w:right="5"/>
              <w:jc w:val="center"/>
              <w:rPr>
                <w:sz w:val="20"/>
              </w:rPr>
            </w:pPr>
            <w:r>
              <w:rPr>
                <w:spacing w:val="-5"/>
                <w:sz w:val="20"/>
              </w:rPr>
              <w:t>5.0</w:t>
            </w:r>
          </w:p>
        </w:tc>
      </w:tr>
      <w:tr>
        <w:trPr>
          <w:trHeight w:val="256" w:hRule="atLeast"/>
        </w:trPr>
        <w:tc>
          <w:tcPr>
            <w:tcW w:w="4146" w:type="dxa"/>
            <w:tcBorders>
              <w:left w:val="single" w:sz="4" w:space="0" w:color="000000"/>
            </w:tcBorders>
          </w:tcPr>
          <w:p>
            <w:pPr>
              <w:pStyle w:val="TableParagraph"/>
              <w:tabs>
                <w:tab w:pos="609" w:val="left" w:leader="none"/>
              </w:tabs>
              <w:spacing w:line="213" w:lineRule="exact" w:before="24"/>
              <w:ind w:right="109"/>
              <w:jc w:val="right"/>
              <w:rPr>
                <w:sz w:val="20"/>
              </w:rPr>
            </w:pPr>
            <w:r>
              <w:rPr>
                <w:spacing w:val="-5"/>
                <w:sz w:val="20"/>
              </w:rPr>
              <w:t>91.</w:t>
            </w:r>
            <w:r>
              <w:rPr>
                <w:sz w:val="20"/>
              </w:rPr>
              <w:tab/>
              <w:t>Conflicts,</w:t>
            </w:r>
            <w:r>
              <w:rPr>
                <w:spacing w:val="52"/>
                <w:w w:val="150"/>
                <w:sz w:val="20"/>
              </w:rPr>
              <w:t> </w:t>
            </w:r>
            <w:r>
              <w:rPr>
                <w:sz w:val="20"/>
              </w:rPr>
              <w:t>strikes</w:t>
            </w:r>
            <w:r>
              <w:rPr>
                <w:spacing w:val="75"/>
                <w:sz w:val="20"/>
              </w:rPr>
              <w:t> </w:t>
            </w:r>
            <w:r>
              <w:rPr>
                <w:sz w:val="20"/>
              </w:rPr>
              <w:t>and</w:t>
            </w:r>
            <w:r>
              <w:rPr>
                <w:spacing w:val="78"/>
                <w:sz w:val="20"/>
              </w:rPr>
              <w:t> </w:t>
            </w:r>
            <w:r>
              <w:rPr>
                <w:sz w:val="20"/>
              </w:rPr>
              <w:t>crisis-</w:t>
            </w:r>
            <w:r>
              <w:rPr>
                <w:spacing w:val="-4"/>
                <w:sz w:val="20"/>
              </w:rPr>
              <w:t>prone</w:t>
            </w:r>
          </w:p>
        </w:tc>
        <w:tc>
          <w:tcPr>
            <w:tcW w:w="1796" w:type="dxa"/>
          </w:tcPr>
          <w:p>
            <w:pPr>
              <w:pStyle w:val="TableParagraph"/>
              <w:spacing w:line="213" w:lineRule="exact" w:before="24"/>
              <w:ind w:left="111"/>
              <w:rPr>
                <w:sz w:val="20"/>
              </w:rPr>
            </w:pPr>
            <w:r>
              <w:rPr>
                <w:sz w:val="20"/>
              </w:rPr>
              <w:t>No.</w:t>
            </w:r>
            <w:r>
              <w:rPr>
                <w:spacing w:val="-5"/>
                <w:sz w:val="20"/>
              </w:rPr>
              <w:t> </w:t>
            </w:r>
            <w:r>
              <w:rPr>
                <w:sz w:val="20"/>
              </w:rPr>
              <w:t>of</w:t>
            </w:r>
            <w:r>
              <w:rPr>
                <w:spacing w:val="-2"/>
                <w:sz w:val="20"/>
              </w:rPr>
              <w:t> missing</w:t>
            </w:r>
          </w:p>
        </w:tc>
        <w:tc>
          <w:tcPr>
            <w:tcW w:w="706" w:type="dxa"/>
          </w:tcPr>
          <w:p>
            <w:pPr>
              <w:pStyle w:val="TableParagraph"/>
              <w:rPr>
                <w:rFonts w:ascii="Times New Roman"/>
                <w:sz w:val="18"/>
              </w:rPr>
            </w:pPr>
          </w:p>
        </w:tc>
        <w:tc>
          <w:tcPr>
            <w:tcW w:w="748" w:type="dxa"/>
          </w:tcPr>
          <w:p>
            <w:pPr>
              <w:pStyle w:val="TableParagraph"/>
              <w:rPr>
                <w:rFonts w:ascii="Times New Roman"/>
                <w:sz w:val="18"/>
              </w:rPr>
            </w:pPr>
          </w:p>
        </w:tc>
        <w:tc>
          <w:tcPr>
            <w:tcW w:w="690" w:type="dxa"/>
          </w:tcPr>
          <w:p>
            <w:pPr>
              <w:pStyle w:val="TableParagraph"/>
              <w:rPr>
                <w:rFonts w:ascii="Times New Roman"/>
                <w:sz w:val="18"/>
              </w:rPr>
            </w:pPr>
          </w:p>
        </w:tc>
        <w:tc>
          <w:tcPr>
            <w:tcW w:w="776" w:type="dxa"/>
          </w:tcPr>
          <w:p>
            <w:pPr>
              <w:pStyle w:val="TableParagraph"/>
              <w:rPr>
                <w:rFonts w:ascii="Times New Roman"/>
                <w:sz w:val="18"/>
              </w:rPr>
            </w:pPr>
          </w:p>
        </w:tc>
        <w:tc>
          <w:tcPr>
            <w:tcW w:w="685" w:type="dxa"/>
          </w:tcPr>
          <w:p>
            <w:pPr>
              <w:pStyle w:val="TableParagraph"/>
              <w:rPr>
                <w:rFonts w:ascii="Times New Roman"/>
                <w:sz w:val="18"/>
              </w:rPr>
            </w:pPr>
          </w:p>
        </w:tc>
        <w:tc>
          <w:tcPr>
            <w:tcW w:w="927" w:type="dxa"/>
          </w:tcPr>
          <w:p>
            <w:pPr>
              <w:pStyle w:val="TableParagraph"/>
              <w:rPr>
                <w:rFonts w:ascii="Times New Roman"/>
                <w:sz w:val="18"/>
              </w:rPr>
            </w:pPr>
          </w:p>
        </w:tc>
        <w:tc>
          <w:tcPr>
            <w:tcW w:w="633" w:type="dxa"/>
          </w:tcPr>
          <w:p>
            <w:pPr>
              <w:pStyle w:val="TableParagraph"/>
              <w:rPr>
                <w:rFonts w:ascii="Times New Roman"/>
                <w:sz w:val="18"/>
              </w:rPr>
            </w:pPr>
          </w:p>
        </w:tc>
        <w:tc>
          <w:tcPr>
            <w:tcW w:w="848" w:type="dxa"/>
          </w:tcPr>
          <w:p>
            <w:pPr>
              <w:pStyle w:val="TableParagraph"/>
              <w:rPr>
                <w:rFonts w:ascii="Times New Roman"/>
                <w:sz w:val="18"/>
              </w:rPr>
            </w:pPr>
          </w:p>
        </w:tc>
        <w:tc>
          <w:tcPr>
            <w:tcW w:w="602" w:type="dxa"/>
          </w:tcPr>
          <w:p>
            <w:pPr>
              <w:pStyle w:val="TableParagraph"/>
              <w:rPr>
                <w:rFonts w:ascii="Times New Roman"/>
                <w:sz w:val="18"/>
              </w:rPr>
            </w:pPr>
          </w:p>
        </w:tc>
        <w:tc>
          <w:tcPr>
            <w:tcW w:w="737" w:type="dxa"/>
          </w:tcPr>
          <w:p>
            <w:pPr>
              <w:pStyle w:val="TableParagraph"/>
              <w:rPr>
                <w:rFonts w:ascii="Times New Roman"/>
                <w:sz w:val="18"/>
              </w:rPr>
            </w:pPr>
          </w:p>
        </w:tc>
        <w:tc>
          <w:tcPr>
            <w:tcW w:w="719" w:type="dxa"/>
          </w:tcPr>
          <w:p>
            <w:pPr>
              <w:pStyle w:val="TableParagraph"/>
              <w:rPr>
                <w:rFonts w:ascii="Times New Roman"/>
                <w:sz w:val="18"/>
              </w:rPr>
            </w:pPr>
          </w:p>
        </w:tc>
        <w:tc>
          <w:tcPr>
            <w:tcW w:w="737" w:type="dxa"/>
            <w:tcBorders>
              <w:right w:val="single" w:sz="4" w:space="0" w:color="000000"/>
            </w:tcBorders>
          </w:tcPr>
          <w:p>
            <w:pPr>
              <w:pStyle w:val="TableParagraph"/>
              <w:rPr>
                <w:rFonts w:ascii="Times New Roman"/>
                <w:sz w:val="18"/>
              </w:rPr>
            </w:pPr>
          </w:p>
        </w:tc>
      </w:tr>
      <w:tr>
        <w:trPr>
          <w:trHeight w:val="230" w:hRule="atLeast"/>
        </w:trPr>
        <w:tc>
          <w:tcPr>
            <w:tcW w:w="4146" w:type="dxa"/>
            <w:tcBorders>
              <w:left w:val="single" w:sz="4" w:space="0" w:color="000000"/>
            </w:tcBorders>
          </w:tcPr>
          <w:p>
            <w:pPr>
              <w:pStyle w:val="TableParagraph"/>
              <w:tabs>
                <w:tab w:pos="1339" w:val="left" w:leader="none"/>
                <w:tab w:pos="1919" w:val="left" w:leader="none"/>
              </w:tabs>
              <w:spacing w:line="210" w:lineRule="exact"/>
              <w:ind w:right="101"/>
              <w:jc w:val="right"/>
              <w:rPr>
                <w:sz w:val="20"/>
              </w:rPr>
            </w:pPr>
            <w:r>
              <w:rPr>
                <w:sz w:val="20"/>
              </w:rPr>
              <w:t>campus</w:t>
            </w:r>
            <w:r>
              <w:rPr>
                <w:spacing w:val="40"/>
                <w:sz w:val="20"/>
              </w:rPr>
              <w:t>  </w:t>
            </w:r>
            <w:r>
              <w:rPr>
                <w:spacing w:val="-4"/>
                <w:sz w:val="20"/>
              </w:rPr>
              <w:t>kill</w:t>
            </w:r>
            <w:r>
              <w:rPr>
                <w:sz w:val="20"/>
              </w:rPr>
              <w:tab/>
            </w:r>
            <w:r>
              <w:rPr>
                <w:spacing w:val="-4"/>
                <w:sz w:val="20"/>
              </w:rPr>
              <w:t>staff</w:t>
            </w:r>
            <w:r>
              <w:rPr>
                <w:sz w:val="20"/>
              </w:rPr>
              <w:tab/>
              <w:t>and</w:t>
            </w:r>
            <w:r>
              <w:rPr>
                <w:spacing w:val="41"/>
                <w:sz w:val="20"/>
              </w:rPr>
              <w:t>  </w:t>
            </w:r>
            <w:r>
              <w:rPr>
                <w:spacing w:val="-2"/>
                <w:sz w:val="20"/>
              </w:rPr>
              <w:t>students</w:t>
            </w:r>
          </w:p>
        </w:tc>
        <w:tc>
          <w:tcPr>
            <w:tcW w:w="1796" w:type="dxa"/>
          </w:tcPr>
          <w:p>
            <w:pPr>
              <w:pStyle w:val="TableParagraph"/>
              <w:spacing w:line="210" w:lineRule="exact"/>
              <w:ind w:left="111"/>
              <w:rPr>
                <w:sz w:val="20"/>
              </w:rPr>
            </w:pPr>
            <w:r>
              <w:rPr>
                <w:spacing w:val="-2"/>
                <w:sz w:val="20"/>
              </w:rPr>
              <w:t>observations</w:t>
            </w:r>
          </w:p>
        </w:tc>
        <w:tc>
          <w:tcPr>
            <w:tcW w:w="706" w:type="dxa"/>
          </w:tcPr>
          <w:p>
            <w:pPr>
              <w:pStyle w:val="TableParagraph"/>
              <w:spacing w:line="210" w:lineRule="exact"/>
              <w:ind w:left="31"/>
              <w:jc w:val="center"/>
              <w:rPr>
                <w:sz w:val="20"/>
              </w:rPr>
            </w:pPr>
            <w:r>
              <w:rPr>
                <w:spacing w:val="-10"/>
                <w:sz w:val="20"/>
              </w:rPr>
              <w:t>1</w:t>
            </w:r>
          </w:p>
        </w:tc>
        <w:tc>
          <w:tcPr>
            <w:tcW w:w="748" w:type="dxa"/>
          </w:tcPr>
          <w:p>
            <w:pPr>
              <w:pStyle w:val="TableParagraph"/>
              <w:spacing w:line="210" w:lineRule="exact"/>
              <w:ind w:left="18" w:right="1"/>
              <w:jc w:val="center"/>
              <w:rPr>
                <w:sz w:val="20"/>
              </w:rPr>
            </w:pPr>
            <w:r>
              <w:rPr>
                <w:spacing w:val="-4"/>
                <w:sz w:val="20"/>
              </w:rPr>
              <w:t>50.0</w:t>
            </w:r>
          </w:p>
        </w:tc>
        <w:tc>
          <w:tcPr>
            <w:tcW w:w="690" w:type="dxa"/>
          </w:tcPr>
          <w:p>
            <w:pPr>
              <w:pStyle w:val="TableParagraph"/>
              <w:spacing w:line="210" w:lineRule="exact"/>
              <w:ind w:left="22" w:right="10"/>
              <w:jc w:val="center"/>
              <w:rPr>
                <w:sz w:val="20"/>
              </w:rPr>
            </w:pPr>
            <w:r>
              <w:rPr>
                <w:spacing w:val="-10"/>
                <w:sz w:val="20"/>
              </w:rPr>
              <w:t>-</w:t>
            </w:r>
          </w:p>
        </w:tc>
        <w:tc>
          <w:tcPr>
            <w:tcW w:w="776" w:type="dxa"/>
          </w:tcPr>
          <w:p>
            <w:pPr>
              <w:pStyle w:val="TableParagraph"/>
              <w:spacing w:line="210" w:lineRule="exact"/>
              <w:ind w:right="11"/>
              <w:jc w:val="center"/>
              <w:rPr>
                <w:sz w:val="20"/>
              </w:rPr>
            </w:pPr>
            <w:r>
              <w:rPr>
                <w:spacing w:val="-10"/>
                <w:sz w:val="20"/>
              </w:rPr>
              <w:t>-</w:t>
            </w:r>
          </w:p>
        </w:tc>
        <w:tc>
          <w:tcPr>
            <w:tcW w:w="685" w:type="dxa"/>
          </w:tcPr>
          <w:p>
            <w:pPr>
              <w:pStyle w:val="TableParagraph"/>
              <w:spacing w:line="210" w:lineRule="exact"/>
              <w:ind w:left="59" w:right="91"/>
              <w:jc w:val="center"/>
              <w:rPr>
                <w:sz w:val="20"/>
              </w:rPr>
            </w:pPr>
            <w:r>
              <w:rPr>
                <w:spacing w:val="-10"/>
                <w:sz w:val="20"/>
              </w:rPr>
              <w:t>-</w:t>
            </w:r>
          </w:p>
        </w:tc>
        <w:tc>
          <w:tcPr>
            <w:tcW w:w="927" w:type="dxa"/>
          </w:tcPr>
          <w:p>
            <w:pPr>
              <w:pStyle w:val="TableParagraph"/>
              <w:spacing w:line="210" w:lineRule="exact"/>
              <w:ind w:left="1" w:right="3"/>
              <w:jc w:val="center"/>
              <w:rPr>
                <w:sz w:val="20"/>
              </w:rPr>
            </w:pPr>
            <w:r>
              <w:rPr>
                <w:spacing w:val="-10"/>
                <w:sz w:val="20"/>
              </w:rPr>
              <w:t>-</w:t>
            </w:r>
          </w:p>
        </w:tc>
        <w:tc>
          <w:tcPr>
            <w:tcW w:w="633" w:type="dxa"/>
          </w:tcPr>
          <w:p>
            <w:pPr>
              <w:pStyle w:val="TableParagraph"/>
              <w:spacing w:line="210" w:lineRule="exact"/>
              <w:ind w:left="75" w:right="2"/>
              <w:jc w:val="center"/>
              <w:rPr>
                <w:sz w:val="20"/>
              </w:rPr>
            </w:pPr>
            <w:r>
              <w:rPr>
                <w:spacing w:val="-10"/>
                <w:sz w:val="20"/>
              </w:rPr>
              <w:t>1</w:t>
            </w:r>
          </w:p>
        </w:tc>
        <w:tc>
          <w:tcPr>
            <w:tcW w:w="848" w:type="dxa"/>
          </w:tcPr>
          <w:p>
            <w:pPr>
              <w:pStyle w:val="TableParagraph"/>
              <w:spacing w:line="210" w:lineRule="exact"/>
              <w:ind w:left="32"/>
              <w:jc w:val="center"/>
              <w:rPr>
                <w:sz w:val="20"/>
              </w:rPr>
            </w:pPr>
            <w:r>
              <w:rPr>
                <w:spacing w:val="-4"/>
                <w:sz w:val="20"/>
              </w:rPr>
              <w:t>50.0</w:t>
            </w:r>
          </w:p>
        </w:tc>
        <w:tc>
          <w:tcPr>
            <w:tcW w:w="602" w:type="dxa"/>
          </w:tcPr>
          <w:p>
            <w:pPr>
              <w:pStyle w:val="TableParagraph"/>
              <w:spacing w:line="210" w:lineRule="exact"/>
              <w:ind w:left="4" w:right="5"/>
              <w:jc w:val="center"/>
              <w:rPr>
                <w:sz w:val="20"/>
              </w:rPr>
            </w:pPr>
            <w:r>
              <w:rPr>
                <w:spacing w:val="-10"/>
                <w:sz w:val="20"/>
              </w:rPr>
              <w:t>-</w:t>
            </w:r>
          </w:p>
        </w:tc>
        <w:tc>
          <w:tcPr>
            <w:tcW w:w="737" w:type="dxa"/>
          </w:tcPr>
          <w:p>
            <w:pPr>
              <w:pStyle w:val="TableParagraph"/>
              <w:spacing w:line="210" w:lineRule="exact"/>
              <w:ind w:left="85" w:right="7"/>
              <w:jc w:val="center"/>
              <w:rPr>
                <w:sz w:val="20"/>
              </w:rPr>
            </w:pPr>
            <w:r>
              <w:rPr>
                <w:spacing w:val="-10"/>
                <w:sz w:val="20"/>
              </w:rPr>
              <w:t>-</w:t>
            </w:r>
          </w:p>
        </w:tc>
        <w:tc>
          <w:tcPr>
            <w:tcW w:w="719" w:type="dxa"/>
          </w:tcPr>
          <w:p>
            <w:pPr>
              <w:pStyle w:val="TableParagraph"/>
              <w:spacing w:line="210" w:lineRule="exact"/>
              <w:ind w:left="70" w:right="1"/>
              <w:jc w:val="center"/>
              <w:rPr>
                <w:sz w:val="20"/>
              </w:rPr>
            </w:pPr>
            <w:r>
              <w:rPr>
                <w:spacing w:val="-10"/>
                <w:sz w:val="20"/>
              </w:rPr>
              <w:t>2</w:t>
            </w:r>
          </w:p>
        </w:tc>
        <w:tc>
          <w:tcPr>
            <w:tcW w:w="737" w:type="dxa"/>
            <w:tcBorders>
              <w:right w:val="single" w:sz="4" w:space="0" w:color="000000"/>
            </w:tcBorders>
          </w:tcPr>
          <w:p>
            <w:pPr>
              <w:pStyle w:val="TableParagraph"/>
              <w:spacing w:line="210" w:lineRule="exact"/>
              <w:ind w:left="58" w:right="5"/>
              <w:jc w:val="center"/>
              <w:rPr>
                <w:sz w:val="20"/>
              </w:rPr>
            </w:pPr>
            <w:r>
              <w:rPr>
                <w:spacing w:val="-5"/>
                <w:sz w:val="20"/>
              </w:rPr>
              <w:t>0.4</w:t>
            </w:r>
          </w:p>
        </w:tc>
      </w:tr>
      <w:tr>
        <w:trPr>
          <w:trHeight w:val="230" w:hRule="atLeast"/>
        </w:trPr>
        <w:tc>
          <w:tcPr>
            <w:tcW w:w="4146" w:type="dxa"/>
            <w:tcBorders>
              <w:left w:val="single" w:sz="4" w:space="0" w:color="000000"/>
            </w:tcBorders>
          </w:tcPr>
          <w:p>
            <w:pPr>
              <w:pStyle w:val="TableParagraph"/>
              <w:spacing w:line="210" w:lineRule="exact"/>
              <w:ind w:right="102"/>
              <w:jc w:val="right"/>
              <w:rPr>
                <w:sz w:val="20"/>
              </w:rPr>
            </w:pPr>
            <w:r>
              <w:rPr>
                <w:sz w:val="20"/>
              </w:rPr>
              <w:t>morale,</w:t>
            </w:r>
            <w:r>
              <w:rPr>
                <w:spacing w:val="40"/>
                <w:sz w:val="20"/>
              </w:rPr>
              <w:t>  </w:t>
            </w:r>
            <w:r>
              <w:rPr>
                <w:sz w:val="20"/>
              </w:rPr>
              <w:t>resulting</w:t>
            </w:r>
            <w:r>
              <w:rPr>
                <w:spacing w:val="39"/>
                <w:sz w:val="20"/>
              </w:rPr>
              <w:t>  </w:t>
            </w:r>
            <w:r>
              <w:rPr>
                <w:sz w:val="20"/>
              </w:rPr>
              <w:t>into</w:t>
            </w:r>
            <w:r>
              <w:rPr>
                <w:spacing w:val="39"/>
                <w:sz w:val="20"/>
              </w:rPr>
              <w:t>  </w:t>
            </w:r>
            <w:r>
              <w:rPr>
                <w:spacing w:val="-2"/>
                <w:sz w:val="20"/>
              </w:rPr>
              <w:t>unfriendly</w:t>
            </w:r>
          </w:p>
        </w:tc>
        <w:tc>
          <w:tcPr>
            <w:tcW w:w="1796" w:type="dxa"/>
          </w:tcPr>
          <w:p>
            <w:pPr>
              <w:pStyle w:val="TableParagraph"/>
              <w:spacing w:line="210" w:lineRule="exact"/>
              <w:ind w:left="111"/>
              <w:rPr>
                <w:sz w:val="20"/>
              </w:rPr>
            </w:pPr>
            <w:r>
              <w:rPr>
                <w:spacing w:val="-2"/>
                <w:sz w:val="20"/>
              </w:rPr>
              <w:t>Students</w:t>
            </w:r>
          </w:p>
        </w:tc>
        <w:tc>
          <w:tcPr>
            <w:tcW w:w="706" w:type="dxa"/>
          </w:tcPr>
          <w:p>
            <w:pPr>
              <w:pStyle w:val="TableParagraph"/>
              <w:spacing w:line="210" w:lineRule="exact"/>
              <w:ind w:left="31" w:right="10"/>
              <w:jc w:val="center"/>
              <w:rPr>
                <w:sz w:val="20"/>
              </w:rPr>
            </w:pPr>
            <w:r>
              <w:rPr>
                <w:spacing w:val="-5"/>
                <w:sz w:val="20"/>
              </w:rPr>
              <w:t>124</w:t>
            </w:r>
          </w:p>
        </w:tc>
        <w:tc>
          <w:tcPr>
            <w:tcW w:w="748" w:type="dxa"/>
          </w:tcPr>
          <w:p>
            <w:pPr>
              <w:pStyle w:val="TableParagraph"/>
              <w:spacing w:line="210" w:lineRule="exact"/>
              <w:ind w:left="18" w:right="1"/>
              <w:jc w:val="center"/>
              <w:rPr>
                <w:sz w:val="20"/>
              </w:rPr>
            </w:pPr>
            <w:r>
              <w:rPr>
                <w:spacing w:val="-4"/>
                <w:sz w:val="20"/>
              </w:rPr>
              <w:t>52.8</w:t>
            </w:r>
          </w:p>
        </w:tc>
        <w:tc>
          <w:tcPr>
            <w:tcW w:w="690" w:type="dxa"/>
          </w:tcPr>
          <w:p>
            <w:pPr>
              <w:pStyle w:val="TableParagraph"/>
              <w:spacing w:line="210" w:lineRule="exact"/>
              <w:ind w:left="22" w:right="8"/>
              <w:jc w:val="center"/>
              <w:rPr>
                <w:sz w:val="20"/>
              </w:rPr>
            </w:pPr>
            <w:r>
              <w:rPr>
                <w:spacing w:val="-5"/>
                <w:sz w:val="20"/>
              </w:rPr>
              <w:t>84</w:t>
            </w:r>
          </w:p>
        </w:tc>
        <w:tc>
          <w:tcPr>
            <w:tcW w:w="776" w:type="dxa"/>
          </w:tcPr>
          <w:p>
            <w:pPr>
              <w:pStyle w:val="TableParagraph"/>
              <w:spacing w:line="210" w:lineRule="exact"/>
              <w:ind w:left="7" w:right="11"/>
              <w:jc w:val="center"/>
              <w:rPr>
                <w:sz w:val="20"/>
              </w:rPr>
            </w:pPr>
            <w:r>
              <w:rPr>
                <w:spacing w:val="-4"/>
                <w:sz w:val="20"/>
              </w:rPr>
              <w:t>35.7</w:t>
            </w:r>
          </w:p>
        </w:tc>
        <w:tc>
          <w:tcPr>
            <w:tcW w:w="685" w:type="dxa"/>
          </w:tcPr>
          <w:p>
            <w:pPr>
              <w:pStyle w:val="TableParagraph"/>
              <w:spacing w:line="210" w:lineRule="exact"/>
              <w:ind w:left="59" w:right="89"/>
              <w:jc w:val="center"/>
              <w:rPr>
                <w:sz w:val="20"/>
              </w:rPr>
            </w:pPr>
            <w:r>
              <w:rPr>
                <w:spacing w:val="-5"/>
                <w:sz w:val="20"/>
              </w:rPr>
              <w:t>22</w:t>
            </w:r>
          </w:p>
        </w:tc>
        <w:tc>
          <w:tcPr>
            <w:tcW w:w="927" w:type="dxa"/>
          </w:tcPr>
          <w:p>
            <w:pPr>
              <w:pStyle w:val="TableParagraph"/>
              <w:spacing w:line="210" w:lineRule="exact"/>
              <w:ind w:left="1" w:right="2"/>
              <w:jc w:val="center"/>
              <w:rPr>
                <w:sz w:val="20"/>
              </w:rPr>
            </w:pPr>
            <w:r>
              <w:rPr>
                <w:spacing w:val="-5"/>
                <w:sz w:val="20"/>
              </w:rPr>
              <w:t>9.4</w:t>
            </w:r>
          </w:p>
        </w:tc>
        <w:tc>
          <w:tcPr>
            <w:tcW w:w="633" w:type="dxa"/>
          </w:tcPr>
          <w:p>
            <w:pPr>
              <w:pStyle w:val="TableParagraph"/>
              <w:spacing w:line="210" w:lineRule="exact"/>
              <w:ind w:left="75" w:right="2"/>
              <w:jc w:val="center"/>
              <w:rPr>
                <w:sz w:val="20"/>
              </w:rPr>
            </w:pPr>
            <w:r>
              <w:rPr>
                <w:spacing w:val="-10"/>
                <w:sz w:val="20"/>
              </w:rPr>
              <w:t>2</w:t>
            </w:r>
          </w:p>
        </w:tc>
        <w:tc>
          <w:tcPr>
            <w:tcW w:w="848" w:type="dxa"/>
          </w:tcPr>
          <w:p>
            <w:pPr>
              <w:pStyle w:val="TableParagraph"/>
              <w:spacing w:line="210" w:lineRule="exact"/>
              <w:ind w:left="32" w:right="5"/>
              <w:jc w:val="center"/>
              <w:rPr>
                <w:sz w:val="20"/>
              </w:rPr>
            </w:pPr>
            <w:r>
              <w:rPr>
                <w:spacing w:val="-5"/>
                <w:sz w:val="20"/>
              </w:rPr>
              <w:t>0.9</w:t>
            </w:r>
          </w:p>
        </w:tc>
        <w:tc>
          <w:tcPr>
            <w:tcW w:w="602" w:type="dxa"/>
          </w:tcPr>
          <w:p>
            <w:pPr>
              <w:pStyle w:val="TableParagraph"/>
              <w:spacing w:line="210" w:lineRule="exact"/>
              <w:ind w:left="4" w:right="1"/>
              <w:jc w:val="center"/>
              <w:rPr>
                <w:sz w:val="20"/>
              </w:rPr>
            </w:pPr>
            <w:r>
              <w:rPr>
                <w:spacing w:val="-10"/>
                <w:sz w:val="20"/>
              </w:rPr>
              <w:t>3</w:t>
            </w:r>
          </w:p>
        </w:tc>
        <w:tc>
          <w:tcPr>
            <w:tcW w:w="737" w:type="dxa"/>
          </w:tcPr>
          <w:p>
            <w:pPr>
              <w:pStyle w:val="TableParagraph"/>
              <w:spacing w:line="210" w:lineRule="exact"/>
              <w:ind w:left="85" w:right="5"/>
              <w:jc w:val="center"/>
              <w:rPr>
                <w:sz w:val="20"/>
              </w:rPr>
            </w:pPr>
            <w:r>
              <w:rPr>
                <w:spacing w:val="-5"/>
                <w:sz w:val="20"/>
              </w:rPr>
              <w:t>1.3</w:t>
            </w:r>
          </w:p>
        </w:tc>
        <w:tc>
          <w:tcPr>
            <w:tcW w:w="719" w:type="dxa"/>
          </w:tcPr>
          <w:p>
            <w:pPr>
              <w:pStyle w:val="TableParagraph"/>
              <w:spacing w:line="210" w:lineRule="exact"/>
              <w:ind w:left="70" w:right="11"/>
              <w:jc w:val="center"/>
              <w:rPr>
                <w:sz w:val="20"/>
              </w:rPr>
            </w:pPr>
            <w:r>
              <w:rPr>
                <w:spacing w:val="-5"/>
                <w:sz w:val="20"/>
              </w:rPr>
              <w:t>235</w:t>
            </w:r>
          </w:p>
        </w:tc>
        <w:tc>
          <w:tcPr>
            <w:tcW w:w="737" w:type="dxa"/>
            <w:tcBorders>
              <w:right w:val="single" w:sz="4" w:space="0" w:color="000000"/>
            </w:tcBorders>
          </w:tcPr>
          <w:p>
            <w:pPr>
              <w:pStyle w:val="TableParagraph"/>
              <w:spacing w:line="210" w:lineRule="exact"/>
              <w:ind w:left="63" w:right="5"/>
              <w:jc w:val="center"/>
              <w:rPr>
                <w:sz w:val="20"/>
              </w:rPr>
            </w:pPr>
            <w:r>
              <w:rPr>
                <w:spacing w:val="-4"/>
                <w:sz w:val="20"/>
              </w:rPr>
              <w:t>50.8</w:t>
            </w:r>
          </w:p>
        </w:tc>
      </w:tr>
      <w:tr>
        <w:trPr>
          <w:trHeight w:val="513" w:hRule="atLeast"/>
        </w:trPr>
        <w:tc>
          <w:tcPr>
            <w:tcW w:w="4146" w:type="dxa"/>
            <w:tcBorders>
              <w:left w:val="single" w:sz="4" w:space="0" w:color="000000"/>
            </w:tcBorders>
          </w:tcPr>
          <w:p>
            <w:pPr>
              <w:pStyle w:val="TableParagraph"/>
              <w:tabs>
                <w:tab w:pos="2155" w:val="left" w:leader="none"/>
                <w:tab w:pos="2668" w:val="left" w:leader="none"/>
                <w:tab w:pos="3701" w:val="left" w:leader="none"/>
              </w:tabs>
              <w:spacing w:line="235" w:lineRule="auto" w:before="1"/>
              <w:ind w:left="830" w:right="104"/>
              <w:rPr>
                <w:sz w:val="20"/>
              </w:rPr>
            </w:pPr>
            <w:r>
              <w:rPr>
                <w:spacing w:val="-2"/>
                <w:sz w:val="20"/>
              </w:rPr>
              <w:t>atmosphere</w:t>
            </w:r>
            <w:r>
              <w:rPr>
                <w:sz w:val="20"/>
              </w:rPr>
              <w:tab/>
            </w:r>
            <w:r>
              <w:rPr>
                <w:spacing w:val="-4"/>
                <w:sz w:val="20"/>
              </w:rPr>
              <w:t>for</w:t>
            </w:r>
            <w:r>
              <w:rPr>
                <w:sz w:val="20"/>
              </w:rPr>
              <w:tab/>
            </w:r>
            <w:r>
              <w:rPr>
                <w:spacing w:val="-2"/>
                <w:sz w:val="20"/>
              </w:rPr>
              <w:t>teaching</w:t>
            </w:r>
            <w:r>
              <w:rPr>
                <w:sz w:val="20"/>
              </w:rPr>
              <w:tab/>
            </w:r>
            <w:r>
              <w:rPr>
                <w:spacing w:val="-4"/>
                <w:sz w:val="20"/>
              </w:rPr>
              <w:t>and </w:t>
            </w:r>
            <w:r>
              <w:rPr>
                <w:spacing w:val="-2"/>
                <w:sz w:val="20"/>
              </w:rPr>
              <w:t>learning.</w:t>
            </w:r>
          </w:p>
        </w:tc>
        <w:tc>
          <w:tcPr>
            <w:tcW w:w="1796" w:type="dxa"/>
          </w:tcPr>
          <w:p>
            <w:pPr>
              <w:pStyle w:val="TableParagraph"/>
              <w:spacing w:before="45"/>
              <w:ind w:left="111"/>
              <w:rPr>
                <w:sz w:val="20"/>
              </w:rPr>
            </w:pPr>
            <w:r>
              <w:rPr>
                <w:sz w:val="20"/>
              </w:rPr>
              <w:t>Service</w:t>
            </w:r>
            <w:r>
              <w:rPr>
                <w:spacing w:val="-9"/>
                <w:sz w:val="20"/>
              </w:rPr>
              <w:t> </w:t>
            </w:r>
            <w:r>
              <w:rPr>
                <w:spacing w:val="-2"/>
                <w:sz w:val="20"/>
              </w:rPr>
              <w:t>Staff</w:t>
            </w:r>
          </w:p>
          <w:p>
            <w:pPr>
              <w:pStyle w:val="TableParagraph"/>
              <w:spacing w:line="218" w:lineRule="exact" w:before="1"/>
              <w:ind w:left="111"/>
              <w:rPr>
                <w:sz w:val="20"/>
              </w:rPr>
            </w:pPr>
            <w:r>
              <w:rPr>
                <w:sz w:val="20"/>
              </w:rPr>
              <w:t>Top</w:t>
            </w:r>
            <w:r>
              <w:rPr>
                <w:spacing w:val="-1"/>
                <w:sz w:val="20"/>
              </w:rPr>
              <w:t> </w:t>
            </w:r>
            <w:r>
              <w:rPr>
                <w:spacing w:val="-2"/>
                <w:sz w:val="20"/>
              </w:rPr>
              <w:t>Management</w:t>
            </w:r>
          </w:p>
        </w:tc>
        <w:tc>
          <w:tcPr>
            <w:tcW w:w="706" w:type="dxa"/>
          </w:tcPr>
          <w:p>
            <w:pPr>
              <w:pStyle w:val="TableParagraph"/>
              <w:spacing w:before="45"/>
              <w:ind w:left="31" w:right="10"/>
              <w:jc w:val="center"/>
              <w:rPr>
                <w:sz w:val="20"/>
              </w:rPr>
            </w:pPr>
            <w:r>
              <w:rPr>
                <w:spacing w:val="-5"/>
                <w:sz w:val="20"/>
              </w:rPr>
              <w:t>101</w:t>
            </w:r>
          </w:p>
          <w:p>
            <w:pPr>
              <w:pStyle w:val="TableParagraph"/>
              <w:spacing w:line="218" w:lineRule="exact" w:before="1"/>
              <w:ind w:left="31"/>
              <w:jc w:val="center"/>
              <w:rPr>
                <w:sz w:val="20"/>
              </w:rPr>
            </w:pPr>
            <w:r>
              <w:rPr>
                <w:spacing w:val="-10"/>
                <w:sz w:val="20"/>
              </w:rPr>
              <w:t>7</w:t>
            </w:r>
          </w:p>
        </w:tc>
        <w:tc>
          <w:tcPr>
            <w:tcW w:w="748" w:type="dxa"/>
          </w:tcPr>
          <w:p>
            <w:pPr>
              <w:pStyle w:val="TableParagraph"/>
              <w:spacing w:before="45"/>
              <w:ind w:left="187"/>
              <w:rPr>
                <w:sz w:val="20"/>
              </w:rPr>
            </w:pPr>
            <w:r>
              <w:rPr>
                <w:spacing w:val="-4"/>
                <w:sz w:val="20"/>
              </w:rPr>
              <w:t>49.8</w:t>
            </w:r>
          </w:p>
          <w:p>
            <w:pPr>
              <w:pStyle w:val="TableParagraph"/>
              <w:spacing w:line="218" w:lineRule="exact" w:before="1"/>
              <w:ind w:left="187"/>
              <w:rPr>
                <w:sz w:val="20"/>
              </w:rPr>
            </w:pPr>
            <w:r>
              <w:rPr>
                <w:spacing w:val="-4"/>
                <w:sz w:val="20"/>
              </w:rPr>
              <w:t>30.4</w:t>
            </w:r>
          </w:p>
        </w:tc>
        <w:tc>
          <w:tcPr>
            <w:tcW w:w="690" w:type="dxa"/>
          </w:tcPr>
          <w:p>
            <w:pPr>
              <w:pStyle w:val="TableParagraph"/>
              <w:spacing w:before="45"/>
              <w:ind w:left="240"/>
              <w:rPr>
                <w:sz w:val="20"/>
              </w:rPr>
            </w:pPr>
            <w:r>
              <w:rPr>
                <w:spacing w:val="-5"/>
                <w:sz w:val="20"/>
              </w:rPr>
              <w:t>82</w:t>
            </w:r>
          </w:p>
          <w:p>
            <w:pPr>
              <w:pStyle w:val="TableParagraph"/>
              <w:spacing w:line="218" w:lineRule="exact" w:before="1"/>
              <w:ind w:left="240"/>
              <w:rPr>
                <w:sz w:val="20"/>
              </w:rPr>
            </w:pPr>
            <w:r>
              <w:rPr>
                <w:spacing w:val="-5"/>
                <w:sz w:val="20"/>
              </w:rPr>
              <w:t>15</w:t>
            </w:r>
          </w:p>
        </w:tc>
        <w:tc>
          <w:tcPr>
            <w:tcW w:w="776" w:type="dxa"/>
          </w:tcPr>
          <w:p>
            <w:pPr>
              <w:pStyle w:val="TableParagraph"/>
              <w:spacing w:before="45"/>
              <w:ind w:left="189"/>
              <w:rPr>
                <w:sz w:val="20"/>
              </w:rPr>
            </w:pPr>
            <w:r>
              <w:rPr>
                <w:spacing w:val="-4"/>
                <w:sz w:val="20"/>
              </w:rPr>
              <w:t>40.4</w:t>
            </w:r>
          </w:p>
          <w:p>
            <w:pPr>
              <w:pStyle w:val="TableParagraph"/>
              <w:spacing w:line="218" w:lineRule="exact" w:before="1"/>
              <w:ind w:left="189"/>
              <w:rPr>
                <w:sz w:val="20"/>
              </w:rPr>
            </w:pPr>
            <w:r>
              <w:rPr>
                <w:spacing w:val="-4"/>
                <w:sz w:val="20"/>
              </w:rPr>
              <w:t>65.2</w:t>
            </w:r>
          </w:p>
        </w:tc>
        <w:tc>
          <w:tcPr>
            <w:tcW w:w="685" w:type="dxa"/>
          </w:tcPr>
          <w:p>
            <w:pPr>
              <w:pStyle w:val="TableParagraph"/>
              <w:spacing w:before="45"/>
              <w:ind w:left="59" w:right="84"/>
              <w:jc w:val="center"/>
              <w:rPr>
                <w:sz w:val="20"/>
              </w:rPr>
            </w:pPr>
            <w:r>
              <w:rPr>
                <w:spacing w:val="-10"/>
                <w:sz w:val="20"/>
              </w:rPr>
              <w:t>8</w:t>
            </w:r>
          </w:p>
          <w:p>
            <w:pPr>
              <w:pStyle w:val="TableParagraph"/>
              <w:spacing w:line="218" w:lineRule="exact" w:before="1"/>
              <w:ind w:left="59" w:right="91"/>
              <w:jc w:val="center"/>
              <w:rPr>
                <w:sz w:val="20"/>
              </w:rPr>
            </w:pPr>
            <w:r>
              <w:rPr>
                <w:spacing w:val="-10"/>
                <w:sz w:val="20"/>
              </w:rPr>
              <w:t>-</w:t>
            </w:r>
          </w:p>
        </w:tc>
        <w:tc>
          <w:tcPr>
            <w:tcW w:w="927" w:type="dxa"/>
          </w:tcPr>
          <w:p>
            <w:pPr>
              <w:pStyle w:val="TableParagraph"/>
              <w:spacing w:before="45"/>
              <w:ind w:left="1" w:right="2"/>
              <w:jc w:val="center"/>
              <w:rPr>
                <w:sz w:val="20"/>
              </w:rPr>
            </w:pPr>
            <w:r>
              <w:rPr>
                <w:spacing w:val="-5"/>
                <w:sz w:val="20"/>
              </w:rPr>
              <w:t>3.9</w:t>
            </w:r>
          </w:p>
          <w:p>
            <w:pPr>
              <w:pStyle w:val="TableParagraph"/>
              <w:spacing w:line="218" w:lineRule="exact" w:before="1"/>
              <w:ind w:left="1" w:right="3"/>
              <w:jc w:val="center"/>
              <w:rPr>
                <w:sz w:val="20"/>
              </w:rPr>
            </w:pPr>
            <w:r>
              <w:rPr>
                <w:spacing w:val="-10"/>
                <w:sz w:val="20"/>
              </w:rPr>
              <w:t>-</w:t>
            </w:r>
          </w:p>
        </w:tc>
        <w:tc>
          <w:tcPr>
            <w:tcW w:w="633" w:type="dxa"/>
          </w:tcPr>
          <w:p>
            <w:pPr>
              <w:pStyle w:val="TableParagraph"/>
              <w:spacing w:before="45"/>
              <w:ind w:left="75" w:right="2"/>
              <w:jc w:val="center"/>
              <w:rPr>
                <w:sz w:val="20"/>
              </w:rPr>
            </w:pPr>
            <w:r>
              <w:rPr>
                <w:spacing w:val="-10"/>
                <w:sz w:val="20"/>
              </w:rPr>
              <w:t>9</w:t>
            </w:r>
          </w:p>
          <w:p>
            <w:pPr>
              <w:pStyle w:val="TableParagraph"/>
              <w:spacing w:line="218" w:lineRule="exact" w:before="1"/>
              <w:ind w:left="75" w:right="2"/>
              <w:jc w:val="center"/>
              <w:rPr>
                <w:sz w:val="20"/>
              </w:rPr>
            </w:pPr>
            <w:r>
              <w:rPr>
                <w:spacing w:val="-10"/>
                <w:sz w:val="20"/>
              </w:rPr>
              <w:t>1</w:t>
            </w:r>
          </w:p>
        </w:tc>
        <w:tc>
          <w:tcPr>
            <w:tcW w:w="848" w:type="dxa"/>
          </w:tcPr>
          <w:p>
            <w:pPr>
              <w:pStyle w:val="TableParagraph"/>
              <w:spacing w:before="45"/>
              <w:ind w:left="297"/>
              <w:rPr>
                <w:sz w:val="20"/>
              </w:rPr>
            </w:pPr>
            <w:r>
              <w:rPr>
                <w:spacing w:val="-5"/>
                <w:sz w:val="20"/>
              </w:rPr>
              <w:t>4.4</w:t>
            </w:r>
          </w:p>
          <w:p>
            <w:pPr>
              <w:pStyle w:val="TableParagraph"/>
              <w:spacing w:line="218" w:lineRule="exact" w:before="1"/>
              <w:ind w:left="297"/>
              <w:rPr>
                <w:sz w:val="20"/>
              </w:rPr>
            </w:pPr>
            <w:r>
              <w:rPr>
                <w:spacing w:val="-5"/>
                <w:sz w:val="20"/>
              </w:rPr>
              <w:t>4.3</w:t>
            </w:r>
          </w:p>
        </w:tc>
        <w:tc>
          <w:tcPr>
            <w:tcW w:w="602" w:type="dxa"/>
          </w:tcPr>
          <w:p>
            <w:pPr>
              <w:pStyle w:val="TableParagraph"/>
              <w:spacing w:before="45"/>
              <w:ind w:left="4" w:right="1"/>
              <w:jc w:val="center"/>
              <w:rPr>
                <w:sz w:val="20"/>
              </w:rPr>
            </w:pPr>
            <w:r>
              <w:rPr>
                <w:spacing w:val="-10"/>
                <w:sz w:val="20"/>
              </w:rPr>
              <w:t>3</w:t>
            </w:r>
          </w:p>
          <w:p>
            <w:pPr>
              <w:pStyle w:val="TableParagraph"/>
              <w:spacing w:line="218" w:lineRule="exact" w:before="1"/>
              <w:ind w:left="4" w:right="5"/>
              <w:jc w:val="center"/>
              <w:rPr>
                <w:sz w:val="20"/>
              </w:rPr>
            </w:pPr>
            <w:r>
              <w:rPr>
                <w:spacing w:val="-10"/>
                <w:sz w:val="20"/>
              </w:rPr>
              <w:t>-</w:t>
            </w:r>
          </w:p>
        </w:tc>
        <w:tc>
          <w:tcPr>
            <w:tcW w:w="737" w:type="dxa"/>
          </w:tcPr>
          <w:p>
            <w:pPr>
              <w:pStyle w:val="TableParagraph"/>
              <w:spacing w:before="45"/>
              <w:ind w:left="85" w:right="5"/>
              <w:jc w:val="center"/>
              <w:rPr>
                <w:sz w:val="20"/>
              </w:rPr>
            </w:pPr>
            <w:r>
              <w:rPr>
                <w:spacing w:val="-5"/>
                <w:sz w:val="20"/>
              </w:rPr>
              <w:t>1.5</w:t>
            </w:r>
          </w:p>
          <w:p>
            <w:pPr>
              <w:pStyle w:val="TableParagraph"/>
              <w:spacing w:line="218" w:lineRule="exact" w:before="1"/>
              <w:ind w:left="85" w:right="7"/>
              <w:jc w:val="center"/>
              <w:rPr>
                <w:sz w:val="20"/>
              </w:rPr>
            </w:pPr>
            <w:r>
              <w:rPr>
                <w:spacing w:val="-10"/>
                <w:sz w:val="20"/>
              </w:rPr>
              <w:t>-</w:t>
            </w:r>
          </w:p>
        </w:tc>
        <w:tc>
          <w:tcPr>
            <w:tcW w:w="719" w:type="dxa"/>
          </w:tcPr>
          <w:p>
            <w:pPr>
              <w:pStyle w:val="TableParagraph"/>
              <w:spacing w:before="45"/>
              <w:ind w:left="222"/>
              <w:rPr>
                <w:sz w:val="20"/>
              </w:rPr>
            </w:pPr>
            <w:r>
              <w:rPr>
                <w:spacing w:val="-5"/>
                <w:sz w:val="20"/>
              </w:rPr>
              <w:t>203</w:t>
            </w:r>
          </w:p>
          <w:p>
            <w:pPr>
              <w:pStyle w:val="TableParagraph"/>
              <w:spacing w:line="218" w:lineRule="exact" w:before="1"/>
              <w:ind w:left="280"/>
              <w:rPr>
                <w:sz w:val="20"/>
              </w:rPr>
            </w:pPr>
            <w:r>
              <w:rPr>
                <w:spacing w:val="-5"/>
                <w:sz w:val="20"/>
              </w:rPr>
              <w:t>23</w:t>
            </w:r>
          </w:p>
        </w:tc>
        <w:tc>
          <w:tcPr>
            <w:tcW w:w="737" w:type="dxa"/>
            <w:tcBorders>
              <w:right w:val="single" w:sz="4" w:space="0" w:color="000000"/>
            </w:tcBorders>
          </w:tcPr>
          <w:p>
            <w:pPr>
              <w:pStyle w:val="TableParagraph"/>
              <w:spacing w:before="45"/>
              <w:ind w:left="199"/>
              <w:rPr>
                <w:sz w:val="20"/>
              </w:rPr>
            </w:pPr>
            <w:r>
              <w:rPr>
                <w:spacing w:val="-4"/>
                <w:sz w:val="20"/>
              </w:rPr>
              <w:t>43.8</w:t>
            </w:r>
          </w:p>
          <w:p>
            <w:pPr>
              <w:pStyle w:val="TableParagraph"/>
              <w:spacing w:line="218" w:lineRule="exact" w:before="1"/>
              <w:ind w:left="252"/>
              <w:rPr>
                <w:sz w:val="20"/>
              </w:rPr>
            </w:pPr>
            <w:r>
              <w:rPr>
                <w:spacing w:val="-5"/>
                <w:sz w:val="20"/>
              </w:rPr>
              <w:t>5.0</w:t>
            </w:r>
          </w:p>
        </w:tc>
      </w:tr>
      <w:tr>
        <w:trPr>
          <w:trHeight w:val="235" w:hRule="atLeast"/>
        </w:trPr>
        <w:tc>
          <w:tcPr>
            <w:tcW w:w="4146" w:type="dxa"/>
            <w:tcBorders>
              <w:left w:val="single" w:sz="4" w:space="0" w:color="000000"/>
            </w:tcBorders>
          </w:tcPr>
          <w:p>
            <w:pPr>
              <w:pStyle w:val="TableParagraph"/>
              <w:tabs>
                <w:tab w:pos="609" w:val="left" w:leader="none"/>
              </w:tabs>
              <w:spacing w:line="213" w:lineRule="exact" w:before="2"/>
              <w:ind w:right="99"/>
              <w:jc w:val="right"/>
              <w:rPr>
                <w:sz w:val="20"/>
              </w:rPr>
            </w:pPr>
            <w:r>
              <w:rPr>
                <w:spacing w:val="-5"/>
                <w:sz w:val="20"/>
              </w:rPr>
              <w:t>92.</w:t>
            </w:r>
            <w:r>
              <w:rPr>
                <w:sz w:val="20"/>
              </w:rPr>
              <w:tab/>
              <w:t>Effective</w:t>
            </w:r>
            <w:r>
              <w:rPr>
                <w:spacing w:val="19"/>
                <w:sz w:val="20"/>
              </w:rPr>
              <w:t> </w:t>
            </w:r>
            <w:r>
              <w:rPr>
                <w:sz w:val="20"/>
              </w:rPr>
              <w:t>teaching</w:t>
            </w:r>
            <w:r>
              <w:rPr>
                <w:spacing w:val="24"/>
                <w:sz w:val="20"/>
              </w:rPr>
              <w:t> </w:t>
            </w:r>
            <w:r>
              <w:rPr>
                <w:sz w:val="20"/>
              </w:rPr>
              <w:t>and</w:t>
            </w:r>
            <w:r>
              <w:rPr>
                <w:spacing w:val="24"/>
                <w:sz w:val="20"/>
              </w:rPr>
              <w:t> </w:t>
            </w:r>
            <w:r>
              <w:rPr>
                <w:sz w:val="20"/>
              </w:rPr>
              <w:t>learning</w:t>
            </w:r>
            <w:r>
              <w:rPr>
                <w:spacing w:val="25"/>
                <w:sz w:val="20"/>
              </w:rPr>
              <w:t> </w:t>
            </w:r>
            <w:r>
              <w:rPr>
                <w:spacing w:val="-5"/>
                <w:sz w:val="20"/>
              </w:rPr>
              <w:t>are</w:t>
            </w:r>
          </w:p>
        </w:tc>
        <w:tc>
          <w:tcPr>
            <w:tcW w:w="1796" w:type="dxa"/>
          </w:tcPr>
          <w:p>
            <w:pPr>
              <w:pStyle w:val="TableParagraph"/>
              <w:spacing w:line="213" w:lineRule="exact" w:before="2"/>
              <w:ind w:left="111"/>
              <w:rPr>
                <w:sz w:val="20"/>
              </w:rPr>
            </w:pPr>
            <w:r>
              <w:rPr>
                <w:sz w:val="20"/>
              </w:rPr>
              <w:t>No.</w:t>
            </w:r>
            <w:r>
              <w:rPr>
                <w:spacing w:val="-5"/>
                <w:sz w:val="20"/>
              </w:rPr>
              <w:t> </w:t>
            </w:r>
            <w:r>
              <w:rPr>
                <w:sz w:val="20"/>
              </w:rPr>
              <w:t>of</w:t>
            </w:r>
            <w:r>
              <w:rPr>
                <w:spacing w:val="-2"/>
                <w:sz w:val="20"/>
              </w:rPr>
              <w:t> missing</w:t>
            </w:r>
          </w:p>
        </w:tc>
        <w:tc>
          <w:tcPr>
            <w:tcW w:w="706" w:type="dxa"/>
          </w:tcPr>
          <w:p>
            <w:pPr>
              <w:pStyle w:val="TableParagraph"/>
              <w:rPr>
                <w:rFonts w:ascii="Times New Roman"/>
                <w:sz w:val="16"/>
              </w:rPr>
            </w:pPr>
          </w:p>
        </w:tc>
        <w:tc>
          <w:tcPr>
            <w:tcW w:w="748" w:type="dxa"/>
          </w:tcPr>
          <w:p>
            <w:pPr>
              <w:pStyle w:val="TableParagraph"/>
              <w:rPr>
                <w:rFonts w:ascii="Times New Roman"/>
                <w:sz w:val="16"/>
              </w:rPr>
            </w:pPr>
          </w:p>
        </w:tc>
        <w:tc>
          <w:tcPr>
            <w:tcW w:w="690" w:type="dxa"/>
          </w:tcPr>
          <w:p>
            <w:pPr>
              <w:pStyle w:val="TableParagraph"/>
              <w:rPr>
                <w:rFonts w:ascii="Times New Roman"/>
                <w:sz w:val="16"/>
              </w:rPr>
            </w:pPr>
          </w:p>
        </w:tc>
        <w:tc>
          <w:tcPr>
            <w:tcW w:w="776" w:type="dxa"/>
          </w:tcPr>
          <w:p>
            <w:pPr>
              <w:pStyle w:val="TableParagraph"/>
              <w:rPr>
                <w:rFonts w:ascii="Times New Roman"/>
                <w:sz w:val="16"/>
              </w:rPr>
            </w:pPr>
          </w:p>
        </w:tc>
        <w:tc>
          <w:tcPr>
            <w:tcW w:w="685" w:type="dxa"/>
          </w:tcPr>
          <w:p>
            <w:pPr>
              <w:pStyle w:val="TableParagraph"/>
              <w:rPr>
                <w:rFonts w:ascii="Times New Roman"/>
                <w:sz w:val="16"/>
              </w:rPr>
            </w:pPr>
          </w:p>
        </w:tc>
        <w:tc>
          <w:tcPr>
            <w:tcW w:w="927" w:type="dxa"/>
          </w:tcPr>
          <w:p>
            <w:pPr>
              <w:pStyle w:val="TableParagraph"/>
              <w:rPr>
                <w:rFonts w:ascii="Times New Roman"/>
                <w:sz w:val="16"/>
              </w:rPr>
            </w:pPr>
          </w:p>
        </w:tc>
        <w:tc>
          <w:tcPr>
            <w:tcW w:w="633" w:type="dxa"/>
          </w:tcPr>
          <w:p>
            <w:pPr>
              <w:pStyle w:val="TableParagraph"/>
              <w:rPr>
                <w:rFonts w:ascii="Times New Roman"/>
                <w:sz w:val="16"/>
              </w:rPr>
            </w:pPr>
          </w:p>
        </w:tc>
        <w:tc>
          <w:tcPr>
            <w:tcW w:w="848" w:type="dxa"/>
          </w:tcPr>
          <w:p>
            <w:pPr>
              <w:pStyle w:val="TableParagraph"/>
              <w:rPr>
                <w:rFonts w:ascii="Times New Roman"/>
                <w:sz w:val="16"/>
              </w:rPr>
            </w:pPr>
          </w:p>
        </w:tc>
        <w:tc>
          <w:tcPr>
            <w:tcW w:w="602" w:type="dxa"/>
          </w:tcPr>
          <w:p>
            <w:pPr>
              <w:pStyle w:val="TableParagraph"/>
              <w:rPr>
                <w:rFonts w:ascii="Times New Roman"/>
                <w:sz w:val="16"/>
              </w:rPr>
            </w:pPr>
          </w:p>
        </w:tc>
        <w:tc>
          <w:tcPr>
            <w:tcW w:w="737" w:type="dxa"/>
          </w:tcPr>
          <w:p>
            <w:pPr>
              <w:pStyle w:val="TableParagraph"/>
              <w:rPr>
                <w:rFonts w:ascii="Times New Roman"/>
                <w:sz w:val="16"/>
              </w:rPr>
            </w:pPr>
          </w:p>
        </w:tc>
        <w:tc>
          <w:tcPr>
            <w:tcW w:w="719" w:type="dxa"/>
          </w:tcPr>
          <w:p>
            <w:pPr>
              <w:pStyle w:val="TableParagraph"/>
              <w:rPr>
                <w:rFonts w:ascii="Times New Roman"/>
                <w:sz w:val="16"/>
              </w:rPr>
            </w:pPr>
          </w:p>
        </w:tc>
        <w:tc>
          <w:tcPr>
            <w:tcW w:w="737" w:type="dxa"/>
            <w:tcBorders>
              <w:right w:val="single" w:sz="4" w:space="0" w:color="000000"/>
            </w:tcBorders>
          </w:tcPr>
          <w:p>
            <w:pPr>
              <w:pStyle w:val="TableParagraph"/>
              <w:rPr>
                <w:rFonts w:ascii="Times New Roman"/>
                <w:sz w:val="16"/>
              </w:rPr>
            </w:pPr>
          </w:p>
        </w:tc>
      </w:tr>
      <w:tr>
        <w:trPr>
          <w:trHeight w:val="230" w:hRule="atLeast"/>
        </w:trPr>
        <w:tc>
          <w:tcPr>
            <w:tcW w:w="4146" w:type="dxa"/>
            <w:tcBorders>
              <w:left w:val="single" w:sz="4" w:space="0" w:color="000000"/>
            </w:tcBorders>
          </w:tcPr>
          <w:p>
            <w:pPr>
              <w:pStyle w:val="TableParagraph"/>
              <w:spacing w:line="210" w:lineRule="exact"/>
              <w:ind w:right="103"/>
              <w:jc w:val="right"/>
              <w:rPr>
                <w:sz w:val="20"/>
              </w:rPr>
            </w:pPr>
            <w:r>
              <w:rPr>
                <w:sz w:val="20"/>
              </w:rPr>
              <w:t>achieved</w:t>
            </w:r>
            <w:r>
              <w:rPr>
                <w:spacing w:val="-10"/>
                <w:sz w:val="20"/>
              </w:rPr>
              <w:t> </w:t>
            </w:r>
            <w:r>
              <w:rPr>
                <w:sz w:val="20"/>
              </w:rPr>
              <w:t>in</w:t>
            </w:r>
            <w:r>
              <w:rPr>
                <w:spacing w:val="-4"/>
                <w:sz w:val="20"/>
              </w:rPr>
              <w:t> </w:t>
            </w:r>
            <w:r>
              <w:rPr>
                <w:sz w:val="20"/>
              </w:rPr>
              <w:t>a</w:t>
            </w:r>
            <w:r>
              <w:rPr>
                <w:spacing w:val="-5"/>
                <w:sz w:val="20"/>
              </w:rPr>
              <w:t> </w:t>
            </w:r>
            <w:r>
              <w:rPr>
                <w:sz w:val="20"/>
              </w:rPr>
              <w:t>noise-free,</w:t>
            </w:r>
            <w:r>
              <w:rPr>
                <w:spacing w:val="-1"/>
                <w:sz w:val="20"/>
              </w:rPr>
              <w:t> </w:t>
            </w:r>
            <w:r>
              <w:rPr>
                <w:sz w:val="20"/>
              </w:rPr>
              <w:t>crime-</w:t>
            </w:r>
            <w:r>
              <w:rPr>
                <w:spacing w:val="-4"/>
                <w:sz w:val="20"/>
              </w:rPr>
              <w:t>free,</w:t>
            </w:r>
          </w:p>
        </w:tc>
        <w:tc>
          <w:tcPr>
            <w:tcW w:w="1796" w:type="dxa"/>
          </w:tcPr>
          <w:p>
            <w:pPr>
              <w:pStyle w:val="TableParagraph"/>
              <w:spacing w:line="210" w:lineRule="exact"/>
              <w:ind w:left="111"/>
              <w:rPr>
                <w:sz w:val="20"/>
              </w:rPr>
            </w:pPr>
            <w:r>
              <w:rPr>
                <w:spacing w:val="-2"/>
                <w:sz w:val="20"/>
              </w:rPr>
              <w:t>observations</w:t>
            </w:r>
          </w:p>
        </w:tc>
        <w:tc>
          <w:tcPr>
            <w:tcW w:w="706" w:type="dxa"/>
          </w:tcPr>
          <w:p>
            <w:pPr>
              <w:pStyle w:val="TableParagraph"/>
              <w:spacing w:line="210" w:lineRule="exact"/>
              <w:ind w:left="31"/>
              <w:jc w:val="center"/>
              <w:rPr>
                <w:sz w:val="20"/>
              </w:rPr>
            </w:pPr>
            <w:r>
              <w:rPr>
                <w:spacing w:val="-10"/>
                <w:sz w:val="20"/>
              </w:rPr>
              <w:t>1</w:t>
            </w:r>
          </w:p>
        </w:tc>
        <w:tc>
          <w:tcPr>
            <w:tcW w:w="748" w:type="dxa"/>
          </w:tcPr>
          <w:p>
            <w:pPr>
              <w:pStyle w:val="TableParagraph"/>
              <w:spacing w:line="210" w:lineRule="exact"/>
              <w:ind w:left="18" w:right="1"/>
              <w:jc w:val="center"/>
              <w:rPr>
                <w:sz w:val="20"/>
              </w:rPr>
            </w:pPr>
            <w:r>
              <w:rPr>
                <w:spacing w:val="-4"/>
                <w:sz w:val="20"/>
              </w:rPr>
              <w:t>50.0</w:t>
            </w:r>
          </w:p>
        </w:tc>
        <w:tc>
          <w:tcPr>
            <w:tcW w:w="690" w:type="dxa"/>
          </w:tcPr>
          <w:p>
            <w:pPr>
              <w:pStyle w:val="TableParagraph"/>
              <w:spacing w:line="210" w:lineRule="exact"/>
              <w:ind w:left="22" w:right="10"/>
              <w:jc w:val="center"/>
              <w:rPr>
                <w:sz w:val="20"/>
              </w:rPr>
            </w:pPr>
            <w:r>
              <w:rPr>
                <w:spacing w:val="-10"/>
                <w:sz w:val="20"/>
              </w:rPr>
              <w:t>-</w:t>
            </w:r>
          </w:p>
        </w:tc>
        <w:tc>
          <w:tcPr>
            <w:tcW w:w="776" w:type="dxa"/>
          </w:tcPr>
          <w:p>
            <w:pPr>
              <w:pStyle w:val="TableParagraph"/>
              <w:spacing w:line="210" w:lineRule="exact"/>
              <w:ind w:right="11"/>
              <w:jc w:val="center"/>
              <w:rPr>
                <w:sz w:val="20"/>
              </w:rPr>
            </w:pPr>
            <w:r>
              <w:rPr>
                <w:spacing w:val="-10"/>
                <w:sz w:val="20"/>
              </w:rPr>
              <w:t>-</w:t>
            </w:r>
          </w:p>
        </w:tc>
        <w:tc>
          <w:tcPr>
            <w:tcW w:w="685" w:type="dxa"/>
          </w:tcPr>
          <w:p>
            <w:pPr>
              <w:pStyle w:val="TableParagraph"/>
              <w:spacing w:line="210" w:lineRule="exact"/>
              <w:ind w:left="59" w:right="84"/>
              <w:jc w:val="center"/>
              <w:rPr>
                <w:sz w:val="20"/>
              </w:rPr>
            </w:pPr>
            <w:r>
              <w:rPr>
                <w:spacing w:val="-10"/>
                <w:sz w:val="20"/>
              </w:rPr>
              <w:t>1</w:t>
            </w:r>
          </w:p>
        </w:tc>
        <w:tc>
          <w:tcPr>
            <w:tcW w:w="927" w:type="dxa"/>
          </w:tcPr>
          <w:p>
            <w:pPr>
              <w:pStyle w:val="TableParagraph"/>
              <w:spacing w:line="210" w:lineRule="exact"/>
              <w:ind w:left="3" w:right="2"/>
              <w:jc w:val="center"/>
              <w:rPr>
                <w:sz w:val="20"/>
              </w:rPr>
            </w:pPr>
            <w:r>
              <w:rPr>
                <w:spacing w:val="-4"/>
                <w:sz w:val="20"/>
              </w:rPr>
              <w:t>50.0</w:t>
            </w:r>
          </w:p>
        </w:tc>
        <w:tc>
          <w:tcPr>
            <w:tcW w:w="633" w:type="dxa"/>
          </w:tcPr>
          <w:p>
            <w:pPr>
              <w:pStyle w:val="TableParagraph"/>
              <w:spacing w:line="210" w:lineRule="exact"/>
              <w:ind w:left="75" w:right="8"/>
              <w:jc w:val="center"/>
              <w:rPr>
                <w:sz w:val="20"/>
              </w:rPr>
            </w:pPr>
            <w:r>
              <w:rPr>
                <w:spacing w:val="-10"/>
                <w:sz w:val="20"/>
              </w:rPr>
              <w:t>-</w:t>
            </w:r>
          </w:p>
        </w:tc>
        <w:tc>
          <w:tcPr>
            <w:tcW w:w="848" w:type="dxa"/>
          </w:tcPr>
          <w:p>
            <w:pPr>
              <w:pStyle w:val="TableParagraph"/>
              <w:spacing w:line="210" w:lineRule="exact"/>
              <w:ind w:left="32" w:right="6"/>
              <w:jc w:val="center"/>
              <w:rPr>
                <w:sz w:val="20"/>
              </w:rPr>
            </w:pPr>
            <w:r>
              <w:rPr>
                <w:spacing w:val="-10"/>
                <w:sz w:val="20"/>
              </w:rPr>
              <w:t>-</w:t>
            </w:r>
          </w:p>
        </w:tc>
        <w:tc>
          <w:tcPr>
            <w:tcW w:w="602" w:type="dxa"/>
          </w:tcPr>
          <w:p>
            <w:pPr>
              <w:pStyle w:val="TableParagraph"/>
              <w:spacing w:line="210" w:lineRule="exact"/>
              <w:ind w:left="4" w:right="5"/>
              <w:jc w:val="center"/>
              <w:rPr>
                <w:sz w:val="20"/>
              </w:rPr>
            </w:pPr>
            <w:r>
              <w:rPr>
                <w:spacing w:val="-10"/>
                <w:sz w:val="20"/>
              </w:rPr>
              <w:t>-</w:t>
            </w:r>
          </w:p>
        </w:tc>
        <w:tc>
          <w:tcPr>
            <w:tcW w:w="737" w:type="dxa"/>
          </w:tcPr>
          <w:p>
            <w:pPr>
              <w:pStyle w:val="TableParagraph"/>
              <w:spacing w:line="210" w:lineRule="exact"/>
              <w:ind w:left="85" w:right="7"/>
              <w:jc w:val="center"/>
              <w:rPr>
                <w:sz w:val="20"/>
              </w:rPr>
            </w:pPr>
            <w:r>
              <w:rPr>
                <w:spacing w:val="-10"/>
                <w:sz w:val="20"/>
              </w:rPr>
              <w:t>-</w:t>
            </w:r>
          </w:p>
        </w:tc>
        <w:tc>
          <w:tcPr>
            <w:tcW w:w="719" w:type="dxa"/>
          </w:tcPr>
          <w:p>
            <w:pPr>
              <w:pStyle w:val="TableParagraph"/>
              <w:spacing w:line="210" w:lineRule="exact"/>
              <w:ind w:left="70" w:right="1"/>
              <w:jc w:val="center"/>
              <w:rPr>
                <w:sz w:val="20"/>
              </w:rPr>
            </w:pPr>
            <w:r>
              <w:rPr>
                <w:spacing w:val="-10"/>
                <w:sz w:val="20"/>
              </w:rPr>
              <w:t>2</w:t>
            </w:r>
          </w:p>
        </w:tc>
        <w:tc>
          <w:tcPr>
            <w:tcW w:w="737" w:type="dxa"/>
            <w:tcBorders>
              <w:right w:val="single" w:sz="4" w:space="0" w:color="000000"/>
            </w:tcBorders>
          </w:tcPr>
          <w:p>
            <w:pPr>
              <w:pStyle w:val="TableParagraph"/>
              <w:spacing w:line="210" w:lineRule="exact"/>
              <w:ind w:left="58" w:right="5"/>
              <w:jc w:val="center"/>
              <w:rPr>
                <w:sz w:val="20"/>
              </w:rPr>
            </w:pPr>
            <w:r>
              <w:rPr>
                <w:spacing w:val="-5"/>
                <w:sz w:val="20"/>
              </w:rPr>
              <w:t>0.4</w:t>
            </w:r>
          </w:p>
        </w:tc>
      </w:tr>
      <w:tr>
        <w:trPr>
          <w:trHeight w:val="230" w:hRule="atLeast"/>
        </w:trPr>
        <w:tc>
          <w:tcPr>
            <w:tcW w:w="4146" w:type="dxa"/>
            <w:tcBorders>
              <w:left w:val="single" w:sz="4" w:space="0" w:color="000000"/>
            </w:tcBorders>
          </w:tcPr>
          <w:p>
            <w:pPr>
              <w:pStyle w:val="TableParagraph"/>
              <w:tabs>
                <w:tab w:pos="1114" w:val="left" w:leader="none"/>
                <w:tab w:pos="1728" w:val="left" w:leader="none"/>
                <w:tab w:pos="2875" w:val="left" w:leader="none"/>
              </w:tabs>
              <w:spacing w:line="210" w:lineRule="exact"/>
              <w:ind w:right="99"/>
              <w:jc w:val="right"/>
              <w:rPr>
                <w:sz w:val="20"/>
              </w:rPr>
            </w:pPr>
            <w:r>
              <w:rPr>
                <w:spacing w:val="-2"/>
                <w:sz w:val="20"/>
              </w:rPr>
              <w:t>spacious,</w:t>
            </w:r>
            <w:r>
              <w:rPr>
                <w:sz w:val="20"/>
              </w:rPr>
              <w:tab/>
            </w:r>
            <w:r>
              <w:rPr>
                <w:spacing w:val="-4"/>
                <w:sz w:val="20"/>
              </w:rPr>
              <w:t>well</w:t>
            </w:r>
            <w:r>
              <w:rPr>
                <w:sz w:val="20"/>
              </w:rPr>
              <w:tab/>
            </w:r>
            <w:r>
              <w:rPr>
                <w:spacing w:val="-2"/>
                <w:sz w:val="20"/>
              </w:rPr>
              <w:t>organized</w:t>
            </w:r>
            <w:r>
              <w:rPr>
                <w:sz w:val="20"/>
              </w:rPr>
              <w:tab/>
            </w:r>
            <w:r>
              <w:rPr>
                <w:spacing w:val="-5"/>
                <w:sz w:val="20"/>
              </w:rPr>
              <w:t>and</w:t>
            </w:r>
          </w:p>
        </w:tc>
        <w:tc>
          <w:tcPr>
            <w:tcW w:w="1796" w:type="dxa"/>
          </w:tcPr>
          <w:p>
            <w:pPr>
              <w:pStyle w:val="TableParagraph"/>
              <w:spacing w:line="210" w:lineRule="exact"/>
              <w:ind w:left="111"/>
              <w:rPr>
                <w:sz w:val="20"/>
              </w:rPr>
            </w:pPr>
            <w:r>
              <w:rPr>
                <w:spacing w:val="-2"/>
                <w:sz w:val="20"/>
              </w:rPr>
              <w:t>Students</w:t>
            </w:r>
          </w:p>
        </w:tc>
        <w:tc>
          <w:tcPr>
            <w:tcW w:w="706" w:type="dxa"/>
          </w:tcPr>
          <w:p>
            <w:pPr>
              <w:pStyle w:val="TableParagraph"/>
              <w:spacing w:line="210" w:lineRule="exact"/>
              <w:ind w:left="31" w:right="10"/>
              <w:jc w:val="center"/>
              <w:rPr>
                <w:sz w:val="20"/>
              </w:rPr>
            </w:pPr>
            <w:r>
              <w:rPr>
                <w:spacing w:val="-5"/>
                <w:sz w:val="20"/>
              </w:rPr>
              <w:t>144</w:t>
            </w:r>
          </w:p>
        </w:tc>
        <w:tc>
          <w:tcPr>
            <w:tcW w:w="748" w:type="dxa"/>
          </w:tcPr>
          <w:p>
            <w:pPr>
              <w:pStyle w:val="TableParagraph"/>
              <w:spacing w:line="210" w:lineRule="exact"/>
              <w:ind w:left="18" w:right="1"/>
              <w:jc w:val="center"/>
              <w:rPr>
                <w:sz w:val="20"/>
              </w:rPr>
            </w:pPr>
            <w:r>
              <w:rPr>
                <w:spacing w:val="-4"/>
                <w:sz w:val="20"/>
              </w:rPr>
              <w:t>61.3</w:t>
            </w:r>
          </w:p>
        </w:tc>
        <w:tc>
          <w:tcPr>
            <w:tcW w:w="690" w:type="dxa"/>
          </w:tcPr>
          <w:p>
            <w:pPr>
              <w:pStyle w:val="TableParagraph"/>
              <w:spacing w:line="210" w:lineRule="exact"/>
              <w:ind w:left="22" w:right="8"/>
              <w:jc w:val="center"/>
              <w:rPr>
                <w:sz w:val="20"/>
              </w:rPr>
            </w:pPr>
            <w:r>
              <w:rPr>
                <w:spacing w:val="-5"/>
                <w:sz w:val="20"/>
              </w:rPr>
              <w:t>56</w:t>
            </w:r>
          </w:p>
        </w:tc>
        <w:tc>
          <w:tcPr>
            <w:tcW w:w="776" w:type="dxa"/>
          </w:tcPr>
          <w:p>
            <w:pPr>
              <w:pStyle w:val="TableParagraph"/>
              <w:spacing w:line="210" w:lineRule="exact"/>
              <w:ind w:left="7" w:right="11"/>
              <w:jc w:val="center"/>
              <w:rPr>
                <w:sz w:val="20"/>
              </w:rPr>
            </w:pPr>
            <w:r>
              <w:rPr>
                <w:spacing w:val="-4"/>
                <w:sz w:val="20"/>
              </w:rPr>
              <w:t>23.8</w:t>
            </w:r>
          </w:p>
        </w:tc>
        <w:tc>
          <w:tcPr>
            <w:tcW w:w="685" w:type="dxa"/>
          </w:tcPr>
          <w:p>
            <w:pPr>
              <w:pStyle w:val="TableParagraph"/>
              <w:spacing w:line="210" w:lineRule="exact"/>
              <w:ind w:left="59" w:right="89"/>
              <w:jc w:val="center"/>
              <w:rPr>
                <w:sz w:val="20"/>
              </w:rPr>
            </w:pPr>
            <w:r>
              <w:rPr>
                <w:spacing w:val="-5"/>
                <w:sz w:val="20"/>
              </w:rPr>
              <w:t>21</w:t>
            </w:r>
          </w:p>
        </w:tc>
        <w:tc>
          <w:tcPr>
            <w:tcW w:w="927" w:type="dxa"/>
          </w:tcPr>
          <w:p>
            <w:pPr>
              <w:pStyle w:val="TableParagraph"/>
              <w:spacing w:line="210" w:lineRule="exact"/>
              <w:ind w:left="1" w:right="2"/>
              <w:jc w:val="center"/>
              <w:rPr>
                <w:sz w:val="20"/>
              </w:rPr>
            </w:pPr>
            <w:r>
              <w:rPr>
                <w:spacing w:val="-5"/>
                <w:sz w:val="20"/>
              </w:rPr>
              <w:t>8.9</w:t>
            </w:r>
          </w:p>
        </w:tc>
        <w:tc>
          <w:tcPr>
            <w:tcW w:w="633" w:type="dxa"/>
          </w:tcPr>
          <w:p>
            <w:pPr>
              <w:pStyle w:val="TableParagraph"/>
              <w:spacing w:line="210" w:lineRule="exact"/>
              <w:ind w:left="75" w:right="2"/>
              <w:jc w:val="center"/>
              <w:rPr>
                <w:sz w:val="20"/>
              </w:rPr>
            </w:pPr>
            <w:r>
              <w:rPr>
                <w:spacing w:val="-10"/>
                <w:sz w:val="20"/>
              </w:rPr>
              <w:t>8</w:t>
            </w:r>
          </w:p>
        </w:tc>
        <w:tc>
          <w:tcPr>
            <w:tcW w:w="848" w:type="dxa"/>
          </w:tcPr>
          <w:p>
            <w:pPr>
              <w:pStyle w:val="TableParagraph"/>
              <w:spacing w:line="210" w:lineRule="exact"/>
              <w:ind w:left="32" w:right="5"/>
              <w:jc w:val="center"/>
              <w:rPr>
                <w:sz w:val="20"/>
              </w:rPr>
            </w:pPr>
            <w:r>
              <w:rPr>
                <w:spacing w:val="-5"/>
                <w:sz w:val="20"/>
              </w:rPr>
              <w:t>3.4</w:t>
            </w:r>
          </w:p>
        </w:tc>
        <w:tc>
          <w:tcPr>
            <w:tcW w:w="602" w:type="dxa"/>
          </w:tcPr>
          <w:p>
            <w:pPr>
              <w:pStyle w:val="TableParagraph"/>
              <w:spacing w:line="210" w:lineRule="exact"/>
              <w:ind w:left="4" w:right="1"/>
              <w:jc w:val="center"/>
              <w:rPr>
                <w:sz w:val="20"/>
              </w:rPr>
            </w:pPr>
            <w:r>
              <w:rPr>
                <w:spacing w:val="-10"/>
                <w:sz w:val="20"/>
              </w:rPr>
              <w:t>6</w:t>
            </w:r>
          </w:p>
        </w:tc>
        <w:tc>
          <w:tcPr>
            <w:tcW w:w="737" w:type="dxa"/>
          </w:tcPr>
          <w:p>
            <w:pPr>
              <w:pStyle w:val="TableParagraph"/>
              <w:spacing w:line="210" w:lineRule="exact"/>
              <w:ind w:left="85" w:right="5"/>
              <w:jc w:val="center"/>
              <w:rPr>
                <w:sz w:val="20"/>
              </w:rPr>
            </w:pPr>
            <w:r>
              <w:rPr>
                <w:spacing w:val="-5"/>
                <w:sz w:val="20"/>
              </w:rPr>
              <w:t>2.6</w:t>
            </w:r>
          </w:p>
        </w:tc>
        <w:tc>
          <w:tcPr>
            <w:tcW w:w="719" w:type="dxa"/>
          </w:tcPr>
          <w:p>
            <w:pPr>
              <w:pStyle w:val="TableParagraph"/>
              <w:spacing w:line="210" w:lineRule="exact"/>
              <w:ind w:left="70" w:right="11"/>
              <w:jc w:val="center"/>
              <w:rPr>
                <w:sz w:val="20"/>
              </w:rPr>
            </w:pPr>
            <w:r>
              <w:rPr>
                <w:spacing w:val="-5"/>
                <w:sz w:val="20"/>
              </w:rPr>
              <w:t>235</w:t>
            </w:r>
          </w:p>
        </w:tc>
        <w:tc>
          <w:tcPr>
            <w:tcW w:w="737" w:type="dxa"/>
            <w:tcBorders>
              <w:right w:val="single" w:sz="4" w:space="0" w:color="000000"/>
            </w:tcBorders>
          </w:tcPr>
          <w:p>
            <w:pPr>
              <w:pStyle w:val="TableParagraph"/>
              <w:spacing w:line="210" w:lineRule="exact"/>
              <w:ind w:left="63" w:right="5"/>
              <w:jc w:val="center"/>
              <w:rPr>
                <w:sz w:val="20"/>
              </w:rPr>
            </w:pPr>
            <w:r>
              <w:rPr>
                <w:spacing w:val="-4"/>
                <w:sz w:val="20"/>
              </w:rPr>
              <w:t>50.8</w:t>
            </w:r>
          </w:p>
        </w:tc>
      </w:tr>
      <w:tr>
        <w:trPr>
          <w:trHeight w:val="240" w:hRule="atLeast"/>
        </w:trPr>
        <w:tc>
          <w:tcPr>
            <w:tcW w:w="4146" w:type="dxa"/>
            <w:tcBorders>
              <w:left w:val="single" w:sz="4" w:space="0" w:color="000000"/>
            </w:tcBorders>
          </w:tcPr>
          <w:p>
            <w:pPr>
              <w:pStyle w:val="TableParagraph"/>
              <w:spacing w:line="220" w:lineRule="exact"/>
              <w:ind w:left="830"/>
              <w:rPr>
                <w:sz w:val="20"/>
              </w:rPr>
            </w:pPr>
            <w:r>
              <w:rPr>
                <w:sz w:val="20"/>
              </w:rPr>
              <w:t>beautiful</w:t>
            </w:r>
            <w:r>
              <w:rPr>
                <w:spacing w:val="-5"/>
                <w:sz w:val="20"/>
              </w:rPr>
              <w:t> </w:t>
            </w:r>
            <w:r>
              <w:rPr>
                <w:spacing w:val="-2"/>
                <w:sz w:val="20"/>
              </w:rPr>
              <w:t>environment.</w:t>
            </w:r>
          </w:p>
        </w:tc>
        <w:tc>
          <w:tcPr>
            <w:tcW w:w="1796" w:type="dxa"/>
          </w:tcPr>
          <w:p>
            <w:pPr>
              <w:pStyle w:val="TableParagraph"/>
              <w:spacing w:line="213" w:lineRule="exact" w:before="7"/>
              <w:ind w:left="111"/>
              <w:rPr>
                <w:sz w:val="20"/>
              </w:rPr>
            </w:pPr>
            <w:r>
              <w:rPr>
                <w:sz w:val="20"/>
              </w:rPr>
              <w:t>Service</w:t>
            </w:r>
            <w:r>
              <w:rPr>
                <w:spacing w:val="-9"/>
                <w:sz w:val="20"/>
              </w:rPr>
              <w:t> </w:t>
            </w:r>
            <w:r>
              <w:rPr>
                <w:spacing w:val="-2"/>
                <w:sz w:val="20"/>
              </w:rPr>
              <w:t>Staff</w:t>
            </w:r>
          </w:p>
        </w:tc>
        <w:tc>
          <w:tcPr>
            <w:tcW w:w="706" w:type="dxa"/>
          </w:tcPr>
          <w:p>
            <w:pPr>
              <w:pStyle w:val="TableParagraph"/>
              <w:spacing w:line="213" w:lineRule="exact" w:before="7"/>
              <w:ind w:left="31" w:right="10"/>
              <w:jc w:val="center"/>
              <w:rPr>
                <w:sz w:val="20"/>
              </w:rPr>
            </w:pPr>
            <w:r>
              <w:rPr>
                <w:spacing w:val="-5"/>
                <w:sz w:val="20"/>
              </w:rPr>
              <w:t>131</w:t>
            </w:r>
          </w:p>
        </w:tc>
        <w:tc>
          <w:tcPr>
            <w:tcW w:w="748" w:type="dxa"/>
          </w:tcPr>
          <w:p>
            <w:pPr>
              <w:pStyle w:val="TableParagraph"/>
              <w:spacing w:line="213" w:lineRule="exact" w:before="7"/>
              <w:ind w:left="18" w:right="1"/>
              <w:jc w:val="center"/>
              <w:rPr>
                <w:sz w:val="20"/>
              </w:rPr>
            </w:pPr>
            <w:r>
              <w:rPr>
                <w:spacing w:val="-4"/>
                <w:sz w:val="20"/>
              </w:rPr>
              <w:t>64.5</w:t>
            </w:r>
          </w:p>
        </w:tc>
        <w:tc>
          <w:tcPr>
            <w:tcW w:w="690" w:type="dxa"/>
          </w:tcPr>
          <w:p>
            <w:pPr>
              <w:pStyle w:val="TableParagraph"/>
              <w:spacing w:line="213" w:lineRule="exact" w:before="7"/>
              <w:ind w:left="22" w:right="8"/>
              <w:jc w:val="center"/>
              <w:rPr>
                <w:sz w:val="20"/>
              </w:rPr>
            </w:pPr>
            <w:r>
              <w:rPr>
                <w:spacing w:val="-5"/>
                <w:sz w:val="20"/>
              </w:rPr>
              <w:t>53</w:t>
            </w:r>
          </w:p>
        </w:tc>
        <w:tc>
          <w:tcPr>
            <w:tcW w:w="776" w:type="dxa"/>
          </w:tcPr>
          <w:p>
            <w:pPr>
              <w:pStyle w:val="TableParagraph"/>
              <w:spacing w:line="213" w:lineRule="exact" w:before="7"/>
              <w:ind w:left="7" w:right="11"/>
              <w:jc w:val="center"/>
              <w:rPr>
                <w:sz w:val="20"/>
              </w:rPr>
            </w:pPr>
            <w:r>
              <w:rPr>
                <w:spacing w:val="-4"/>
                <w:sz w:val="20"/>
              </w:rPr>
              <w:t>26.1</w:t>
            </w:r>
          </w:p>
        </w:tc>
        <w:tc>
          <w:tcPr>
            <w:tcW w:w="685" w:type="dxa"/>
          </w:tcPr>
          <w:p>
            <w:pPr>
              <w:pStyle w:val="TableParagraph"/>
              <w:spacing w:line="213" w:lineRule="exact" w:before="7"/>
              <w:ind w:left="59" w:right="89"/>
              <w:jc w:val="center"/>
              <w:rPr>
                <w:sz w:val="20"/>
              </w:rPr>
            </w:pPr>
            <w:r>
              <w:rPr>
                <w:spacing w:val="-5"/>
                <w:sz w:val="20"/>
              </w:rPr>
              <w:t>11</w:t>
            </w:r>
          </w:p>
        </w:tc>
        <w:tc>
          <w:tcPr>
            <w:tcW w:w="927" w:type="dxa"/>
          </w:tcPr>
          <w:p>
            <w:pPr>
              <w:pStyle w:val="TableParagraph"/>
              <w:spacing w:line="213" w:lineRule="exact" w:before="7"/>
              <w:ind w:left="1" w:right="2"/>
              <w:jc w:val="center"/>
              <w:rPr>
                <w:sz w:val="20"/>
              </w:rPr>
            </w:pPr>
            <w:r>
              <w:rPr>
                <w:spacing w:val="-5"/>
                <w:sz w:val="20"/>
              </w:rPr>
              <w:t>5.4</w:t>
            </w:r>
          </w:p>
        </w:tc>
        <w:tc>
          <w:tcPr>
            <w:tcW w:w="633" w:type="dxa"/>
          </w:tcPr>
          <w:p>
            <w:pPr>
              <w:pStyle w:val="TableParagraph"/>
              <w:spacing w:line="213" w:lineRule="exact" w:before="7"/>
              <w:ind w:left="75" w:right="2"/>
              <w:jc w:val="center"/>
              <w:rPr>
                <w:sz w:val="20"/>
              </w:rPr>
            </w:pPr>
            <w:r>
              <w:rPr>
                <w:spacing w:val="-10"/>
                <w:sz w:val="20"/>
              </w:rPr>
              <w:t>5</w:t>
            </w:r>
          </w:p>
        </w:tc>
        <w:tc>
          <w:tcPr>
            <w:tcW w:w="848" w:type="dxa"/>
          </w:tcPr>
          <w:p>
            <w:pPr>
              <w:pStyle w:val="TableParagraph"/>
              <w:spacing w:line="213" w:lineRule="exact" w:before="7"/>
              <w:ind w:left="32" w:right="5"/>
              <w:jc w:val="center"/>
              <w:rPr>
                <w:sz w:val="20"/>
              </w:rPr>
            </w:pPr>
            <w:r>
              <w:rPr>
                <w:spacing w:val="-5"/>
                <w:sz w:val="20"/>
              </w:rPr>
              <w:t>2.5</w:t>
            </w:r>
          </w:p>
        </w:tc>
        <w:tc>
          <w:tcPr>
            <w:tcW w:w="602" w:type="dxa"/>
          </w:tcPr>
          <w:p>
            <w:pPr>
              <w:pStyle w:val="TableParagraph"/>
              <w:spacing w:line="213" w:lineRule="exact" w:before="7"/>
              <w:ind w:left="4" w:right="1"/>
              <w:jc w:val="center"/>
              <w:rPr>
                <w:sz w:val="20"/>
              </w:rPr>
            </w:pPr>
            <w:r>
              <w:rPr>
                <w:spacing w:val="-10"/>
                <w:sz w:val="20"/>
              </w:rPr>
              <w:t>3</w:t>
            </w:r>
          </w:p>
        </w:tc>
        <w:tc>
          <w:tcPr>
            <w:tcW w:w="737" w:type="dxa"/>
          </w:tcPr>
          <w:p>
            <w:pPr>
              <w:pStyle w:val="TableParagraph"/>
              <w:spacing w:line="213" w:lineRule="exact" w:before="7"/>
              <w:ind w:left="85" w:right="5"/>
              <w:jc w:val="center"/>
              <w:rPr>
                <w:sz w:val="20"/>
              </w:rPr>
            </w:pPr>
            <w:r>
              <w:rPr>
                <w:spacing w:val="-5"/>
                <w:sz w:val="20"/>
              </w:rPr>
              <w:t>1.5</w:t>
            </w:r>
          </w:p>
        </w:tc>
        <w:tc>
          <w:tcPr>
            <w:tcW w:w="719" w:type="dxa"/>
          </w:tcPr>
          <w:p>
            <w:pPr>
              <w:pStyle w:val="TableParagraph"/>
              <w:spacing w:line="213" w:lineRule="exact" w:before="7"/>
              <w:ind w:left="70" w:right="11"/>
              <w:jc w:val="center"/>
              <w:rPr>
                <w:sz w:val="20"/>
              </w:rPr>
            </w:pPr>
            <w:r>
              <w:rPr>
                <w:spacing w:val="-5"/>
                <w:sz w:val="20"/>
              </w:rPr>
              <w:t>203</w:t>
            </w:r>
          </w:p>
        </w:tc>
        <w:tc>
          <w:tcPr>
            <w:tcW w:w="737" w:type="dxa"/>
            <w:tcBorders>
              <w:right w:val="single" w:sz="4" w:space="0" w:color="000000"/>
            </w:tcBorders>
          </w:tcPr>
          <w:p>
            <w:pPr>
              <w:pStyle w:val="TableParagraph"/>
              <w:spacing w:line="213" w:lineRule="exact" w:before="7"/>
              <w:ind w:left="63" w:right="5"/>
              <w:jc w:val="center"/>
              <w:rPr>
                <w:sz w:val="20"/>
              </w:rPr>
            </w:pPr>
            <w:r>
              <w:rPr>
                <w:spacing w:val="-4"/>
                <w:sz w:val="20"/>
              </w:rPr>
              <w:t>43.8</w:t>
            </w:r>
          </w:p>
        </w:tc>
      </w:tr>
      <w:tr>
        <w:trPr>
          <w:trHeight w:val="232" w:hRule="atLeast"/>
        </w:trPr>
        <w:tc>
          <w:tcPr>
            <w:tcW w:w="4146" w:type="dxa"/>
            <w:tcBorders>
              <w:left w:val="single" w:sz="4" w:space="0" w:color="000000"/>
              <w:bottom w:val="single" w:sz="4" w:space="0" w:color="000000"/>
            </w:tcBorders>
          </w:tcPr>
          <w:p>
            <w:pPr>
              <w:pStyle w:val="TableParagraph"/>
              <w:rPr>
                <w:rFonts w:ascii="Times New Roman"/>
                <w:sz w:val="16"/>
              </w:rPr>
            </w:pPr>
          </w:p>
        </w:tc>
        <w:tc>
          <w:tcPr>
            <w:tcW w:w="1796" w:type="dxa"/>
            <w:tcBorders>
              <w:bottom w:val="single" w:sz="4" w:space="0" w:color="000000"/>
            </w:tcBorders>
          </w:tcPr>
          <w:p>
            <w:pPr>
              <w:pStyle w:val="TableParagraph"/>
              <w:spacing w:line="213" w:lineRule="exact"/>
              <w:ind w:left="111"/>
              <w:rPr>
                <w:sz w:val="20"/>
              </w:rPr>
            </w:pPr>
            <w:r>
              <w:rPr>
                <w:sz w:val="20"/>
              </w:rPr>
              <w:t>Top</w:t>
            </w:r>
            <w:r>
              <w:rPr>
                <w:spacing w:val="-1"/>
                <w:sz w:val="20"/>
              </w:rPr>
              <w:t> </w:t>
            </w:r>
            <w:r>
              <w:rPr>
                <w:spacing w:val="-2"/>
                <w:sz w:val="20"/>
              </w:rPr>
              <w:t>Management</w:t>
            </w:r>
          </w:p>
        </w:tc>
        <w:tc>
          <w:tcPr>
            <w:tcW w:w="706" w:type="dxa"/>
            <w:tcBorders>
              <w:bottom w:val="single" w:sz="4" w:space="0" w:color="000000"/>
            </w:tcBorders>
          </w:tcPr>
          <w:p>
            <w:pPr>
              <w:pStyle w:val="TableParagraph"/>
              <w:spacing w:line="213" w:lineRule="exact"/>
              <w:ind w:left="31" w:right="5"/>
              <w:jc w:val="center"/>
              <w:rPr>
                <w:sz w:val="20"/>
              </w:rPr>
            </w:pPr>
            <w:r>
              <w:rPr>
                <w:spacing w:val="-5"/>
                <w:sz w:val="20"/>
              </w:rPr>
              <w:t>12</w:t>
            </w:r>
          </w:p>
        </w:tc>
        <w:tc>
          <w:tcPr>
            <w:tcW w:w="748" w:type="dxa"/>
            <w:tcBorders>
              <w:bottom w:val="single" w:sz="4" w:space="0" w:color="000000"/>
            </w:tcBorders>
          </w:tcPr>
          <w:p>
            <w:pPr>
              <w:pStyle w:val="TableParagraph"/>
              <w:spacing w:line="213" w:lineRule="exact"/>
              <w:ind w:left="18" w:right="1"/>
              <w:jc w:val="center"/>
              <w:rPr>
                <w:sz w:val="20"/>
              </w:rPr>
            </w:pPr>
            <w:r>
              <w:rPr>
                <w:spacing w:val="-4"/>
                <w:sz w:val="20"/>
              </w:rPr>
              <w:t>52.2</w:t>
            </w:r>
          </w:p>
        </w:tc>
        <w:tc>
          <w:tcPr>
            <w:tcW w:w="690" w:type="dxa"/>
            <w:tcBorders>
              <w:bottom w:val="single" w:sz="4" w:space="0" w:color="000000"/>
            </w:tcBorders>
          </w:tcPr>
          <w:p>
            <w:pPr>
              <w:pStyle w:val="TableParagraph"/>
              <w:spacing w:line="213" w:lineRule="exact"/>
              <w:ind w:left="22" w:right="3"/>
              <w:jc w:val="center"/>
              <w:rPr>
                <w:sz w:val="20"/>
              </w:rPr>
            </w:pPr>
            <w:r>
              <w:rPr>
                <w:spacing w:val="-10"/>
                <w:sz w:val="20"/>
              </w:rPr>
              <w:t>9</w:t>
            </w:r>
          </w:p>
        </w:tc>
        <w:tc>
          <w:tcPr>
            <w:tcW w:w="776" w:type="dxa"/>
            <w:tcBorders>
              <w:bottom w:val="single" w:sz="4" w:space="0" w:color="000000"/>
            </w:tcBorders>
          </w:tcPr>
          <w:p>
            <w:pPr>
              <w:pStyle w:val="TableParagraph"/>
              <w:spacing w:line="213" w:lineRule="exact"/>
              <w:ind w:left="7" w:right="11"/>
              <w:jc w:val="center"/>
              <w:rPr>
                <w:sz w:val="20"/>
              </w:rPr>
            </w:pPr>
            <w:r>
              <w:rPr>
                <w:spacing w:val="-4"/>
                <w:sz w:val="20"/>
              </w:rPr>
              <w:t>39.1</w:t>
            </w:r>
          </w:p>
        </w:tc>
        <w:tc>
          <w:tcPr>
            <w:tcW w:w="685" w:type="dxa"/>
            <w:tcBorders>
              <w:bottom w:val="single" w:sz="4" w:space="0" w:color="000000"/>
            </w:tcBorders>
          </w:tcPr>
          <w:p>
            <w:pPr>
              <w:pStyle w:val="TableParagraph"/>
              <w:spacing w:line="213" w:lineRule="exact"/>
              <w:ind w:left="59" w:right="84"/>
              <w:jc w:val="center"/>
              <w:rPr>
                <w:sz w:val="20"/>
              </w:rPr>
            </w:pPr>
            <w:r>
              <w:rPr>
                <w:spacing w:val="-10"/>
                <w:sz w:val="20"/>
              </w:rPr>
              <w:t>1</w:t>
            </w:r>
          </w:p>
        </w:tc>
        <w:tc>
          <w:tcPr>
            <w:tcW w:w="927" w:type="dxa"/>
            <w:tcBorders>
              <w:bottom w:val="single" w:sz="4" w:space="0" w:color="000000"/>
            </w:tcBorders>
          </w:tcPr>
          <w:p>
            <w:pPr>
              <w:pStyle w:val="TableParagraph"/>
              <w:spacing w:line="213" w:lineRule="exact"/>
              <w:ind w:left="1" w:right="2"/>
              <w:jc w:val="center"/>
              <w:rPr>
                <w:sz w:val="20"/>
              </w:rPr>
            </w:pPr>
            <w:r>
              <w:rPr>
                <w:spacing w:val="-5"/>
                <w:sz w:val="20"/>
              </w:rPr>
              <w:t>4.3</w:t>
            </w:r>
          </w:p>
        </w:tc>
        <w:tc>
          <w:tcPr>
            <w:tcW w:w="633" w:type="dxa"/>
            <w:tcBorders>
              <w:bottom w:val="single" w:sz="4" w:space="0" w:color="000000"/>
            </w:tcBorders>
          </w:tcPr>
          <w:p>
            <w:pPr>
              <w:pStyle w:val="TableParagraph"/>
              <w:spacing w:line="213" w:lineRule="exact"/>
              <w:ind w:left="75" w:right="2"/>
              <w:jc w:val="center"/>
              <w:rPr>
                <w:sz w:val="20"/>
              </w:rPr>
            </w:pPr>
            <w:r>
              <w:rPr>
                <w:spacing w:val="-10"/>
                <w:sz w:val="20"/>
              </w:rPr>
              <w:t>1</w:t>
            </w:r>
          </w:p>
        </w:tc>
        <w:tc>
          <w:tcPr>
            <w:tcW w:w="848" w:type="dxa"/>
            <w:tcBorders>
              <w:bottom w:val="single" w:sz="4" w:space="0" w:color="000000"/>
            </w:tcBorders>
          </w:tcPr>
          <w:p>
            <w:pPr>
              <w:pStyle w:val="TableParagraph"/>
              <w:spacing w:line="213" w:lineRule="exact"/>
              <w:ind w:left="32" w:right="5"/>
              <w:jc w:val="center"/>
              <w:rPr>
                <w:sz w:val="20"/>
              </w:rPr>
            </w:pPr>
            <w:r>
              <w:rPr>
                <w:spacing w:val="-5"/>
                <w:sz w:val="20"/>
              </w:rPr>
              <w:t>4.3</w:t>
            </w:r>
          </w:p>
        </w:tc>
        <w:tc>
          <w:tcPr>
            <w:tcW w:w="602" w:type="dxa"/>
            <w:tcBorders>
              <w:bottom w:val="single" w:sz="4" w:space="0" w:color="000000"/>
            </w:tcBorders>
          </w:tcPr>
          <w:p>
            <w:pPr>
              <w:pStyle w:val="TableParagraph"/>
              <w:spacing w:line="213" w:lineRule="exact"/>
              <w:ind w:left="4" w:right="5"/>
              <w:jc w:val="center"/>
              <w:rPr>
                <w:sz w:val="20"/>
              </w:rPr>
            </w:pPr>
            <w:r>
              <w:rPr>
                <w:spacing w:val="-10"/>
                <w:sz w:val="20"/>
              </w:rPr>
              <w:t>-</w:t>
            </w:r>
          </w:p>
        </w:tc>
        <w:tc>
          <w:tcPr>
            <w:tcW w:w="737" w:type="dxa"/>
            <w:tcBorders>
              <w:bottom w:val="single" w:sz="4" w:space="0" w:color="000000"/>
            </w:tcBorders>
          </w:tcPr>
          <w:p>
            <w:pPr>
              <w:pStyle w:val="TableParagraph"/>
              <w:spacing w:line="213" w:lineRule="exact"/>
              <w:ind w:left="85" w:right="7"/>
              <w:jc w:val="center"/>
              <w:rPr>
                <w:sz w:val="20"/>
              </w:rPr>
            </w:pPr>
            <w:r>
              <w:rPr>
                <w:spacing w:val="-10"/>
                <w:sz w:val="20"/>
              </w:rPr>
              <w:t>-</w:t>
            </w:r>
          </w:p>
        </w:tc>
        <w:tc>
          <w:tcPr>
            <w:tcW w:w="719" w:type="dxa"/>
            <w:tcBorders>
              <w:bottom w:val="single" w:sz="4" w:space="0" w:color="000000"/>
            </w:tcBorders>
          </w:tcPr>
          <w:p>
            <w:pPr>
              <w:pStyle w:val="TableParagraph"/>
              <w:spacing w:line="213" w:lineRule="exact"/>
              <w:ind w:left="70" w:right="6"/>
              <w:jc w:val="center"/>
              <w:rPr>
                <w:sz w:val="20"/>
              </w:rPr>
            </w:pPr>
            <w:r>
              <w:rPr>
                <w:spacing w:val="-5"/>
                <w:sz w:val="20"/>
              </w:rPr>
              <w:t>23</w:t>
            </w:r>
          </w:p>
        </w:tc>
        <w:tc>
          <w:tcPr>
            <w:tcW w:w="737" w:type="dxa"/>
            <w:tcBorders>
              <w:bottom w:val="single" w:sz="4" w:space="0" w:color="000000"/>
              <w:right w:val="single" w:sz="4" w:space="0" w:color="000000"/>
            </w:tcBorders>
          </w:tcPr>
          <w:p>
            <w:pPr>
              <w:pStyle w:val="TableParagraph"/>
              <w:spacing w:line="213" w:lineRule="exact"/>
              <w:ind w:left="58" w:right="5"/>
              <w:jc w:val="center"/>
              <w:rPr>
                <w:sz w:val="20"/>
              </w:rPr>
            </w:pPr>
            <w:r>
              <w:rPr>
                <w:spacing w:val="-5"/>
                <w:sz w:val="20"/>
              </w:rPr>
              <w:t>5.0</w:t>
            </w:r>
          </w:p>
        </w:tc>
      </w:tr>
    </w:tbl>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spacing w:before="213"/>
        <w:rPr>
          <w:rFonts w:ascii="Arial"/>
          <w:b/>
          <w:sz w:val="28"/>
        </w:rPr>
      </w:pPr>
    </w:p>
    <w:p>
      <w:pPr>
        <w:pStyle w:val="BodyText"/>
        <w:ind w:left="3" w:right="433"/>
        <w:jc w:val="center"/>
        <w:rPr>
          <w:rFonts w:ascii="Times New Roman"/>
        </w:rPr>
      </w:pPr>
      <w:r>
        <w:rPr>
          <w:rFonts w:ascii="Times New Roman"/>
          <w:spacing w:val="-5"/>
        </w:rPr>
        <w:t>176</w:t>
      </w:r>
    </w:p>
    <w:p>
      <w:pPr>
        <w:spacing w:after="0"/>
        <w:jc w:val="center"/>
        <w:rPr>
          <w:rFonts w:ascii="Times New Roman"/>
        </w:rPr>
        <w:sectPr>
          <w:headerReference w:type="default" r:id="rId393"/>
          <w:footerReference w:type="default" r:id="rId394"/>
          <w:pgSz w:w="15840" w:h="12240" w:orient="landscape"/>
          <w:pgMar w:header="0" w:footer="0" w:top="640" w:bottom="280" w:left="500" w:right="360"/>
        </w:sectPr>
      </w:pPr>
    </w:p>
    <w:p>
      <w:pPr>
        <w:pStyle w:val="BodyText"/>
        <w:spacing w:line="480" w:lineRule="auto" w:before="82"/>
        <w:ind w:left="820" w:right="113" w:firstLine="720"/>
        <w:jc w:val="both"/>
      </w:pPr>
      <w:r>
        <w:rPr/>
        <w:t>As to whether or not good and neat environment with adequate sanitation, street lights, parks, gardens, paths, walkways and flower beds combined to stimulate students standard of living, confidence and academic performance raised in item</w:t>
      </w:r>
      <w:r>
        <w:rPr>
          <w:spacing w:val="-4"/>
        </w:rPr>
        <w:t> </w:t>
      </w:r>
      <w:r>
        <w:rPr/>
        <w:t>89. 94.4 percent of students, 92.1 percent of service staff and 91.3 percent of top management staff strongly agreed to the statement. Very</w:t>
      </w:r>
      <w:r>
        <w:rPr>
          <w:spacing w:val="40"/>
        </w:rPr>
        <w:t> </w:t>
      </w:r>
      <w:r>
        <w:rPr/>
        <w:t>negligible percentage of respondents did not share the opinion. It was very obvious that any clean and conducive environment could stimulate mental work. Overcrowded and filthy environment could not be synonymous with academic work. Item 90 sought to find out as to whether or not mutual understanding relationship between adviser-advisee instilled confidence in students for better academic performance in the University system. Based on simple psychology, learning is never achieved in a harsh, rigid and tense atmosphere. Renown psychologist like Skinner (1959), Pavlov (1929) etc had to establish good relationship between their rats and dogs to get good result in their experiments. This view seemed to be expressed by 91.5 percent of students, 92.1 percent of service staff and 91.3 percent of top management staff. The number and percentage of respondents who disagreed or stood undecided were very </w:t>
      </w:r>
      <w:r>
        <w:rPr>
          <w:spacing w:val="-2"/>
        </w:rPr>
        <w:t>negligible.</w:t>
      </w:r>
    </w:p>
    <w:p>
      <w:pPr>
        <w:pStyle w:val="BodyText"/>
        <w:spacing w:line="480" w:lineRule="auto" w:before="1"/>
        <w:ind w:left="820" w:right="114" w:firstLine="720"/>
        <w:jc w:val="both"/>
      </w:pPr>
      <w:r>
        <w:rPr/>
        <w:t>In response to the statement that conflicts, strikes and crisis-prone</w:t>
      </w:r>
      <w:r>
        <w:rPr>
          <w:spacing w:val="40"/>
        </w:rPr>
        <w:t> </w:t>
      </w:r>
      <w:r>
        <w:rPr/>
        <w:t>campus kill staff’s and students’ morale, resulting into unfriendly atmosphere for teaching</w:t>
      </w:r>
      <w:r>
        <w:rPr>
          <w:spacing w:val="-1"/>
        </w:rPr>
        <w:t> </w:t>
      </w:r>
      <w:r>
        <w:rPr/>
        <w:t>and</w:t>
      </w:r>
      <w:r>
        <w:rPr>
          <w:spacing w:val="-1"/>
        </w:rPr>
        <w:t> </w:t>
      </w:r>
      <w:r>
        <w:rPr/>
        <w:t>learning</w:t>
      </w:r>
      <w:r>
        <w:rPr>
          <w:spacing w:val="-1"/>
        </w:rPr>
        <w:t> </w:t>
      </w:r>
      <w:r>
        <w:rPr/>
        <w:t>raised</w:t>
      </w:r>
      <w:r>
        <w:rPr>
          <w:spacing w:val="-1"/>
        </w:rPr>
        <w:t> </w:t>
      </w:r>
      <w:r>
        <w:rPr/>
        <w:t>by</w:t>
      </w:r>
      <w:r>
        <w:rPr>
          <w:spacing w:val="-7"/>
        </w:rPr>
        <w:t> </w:t>
      </w:r>
      <w:r>
        <w:rPr/>
        <w:t>item</w:t>
      </w:r>
      <w:r>
        <w:rPr>
          <w:spacing w:val="-10"/>
        </w:rPr>
        <w:t> </w:t>
      </w:r>
      <w:r>
        <w:rPr/>
        <w:t>91,</w:t>
      </w:r>
      <w:r>
        <w:rPr>
          <w:spacing w:val="-2"/>
        </w:rPr>
        <w:t> </w:t>
      </w:r>
      <w:r>
        <w:rPr/>
        <w:t>88.5</w:t>
      </w:r>
      <w:r>
        <w:rPr>
          <w:spacing w:val="-1"/>
        </w:rPr>
        <w:t> </w:t>
      </w:r>
      <w:r>
        <w:rPr/>
        <w:t>percent</w:t>
      </w:r>
      <w:r>
        <w:rPr>
          <w:spacing w:val="-2"/>
        </w:rPr>
        <w:t> </w:t>
      </w:r>
      <w:r>
        <w:rPr/>
        <w:t>of</w:t>
      </w:r>
      <w:r>
        <w:rPr>
          <w:spacing w:val="-2"/>
        </w:rPr>
        <w:t> </w:t>
      </w:r>
      <w:r>
        <w:rPr/>
        <w:t>students,</w:t>
      </w:r>
      <w:r>
        <w:rPr>
          <w:spacing w:val="-2"/>
        </w:rPr>
        <w:t> </w:t>
      </w:r>
      <w:r>
        <w:rPr/>
        <w:t>90.2</w:t>
      </w:r>
      <w:r>
        <w:rPr>
          <w:spacing w:val="-5"/>
        </w:rPr>
        <w:t> </w:t>
      </w:r>
      <w:r>
        <w:rPr/>
        <w:t>percent</w:t>
      </w:r>
      <w:r>
        <w:rPr>
          <w:spacing w:val="-2"/>
        </w:rPr>
        <w:t> </w:t>
      </w:r>
      <w:r>
        <w:rPr/>
        <w:t>of service staff and 95.2 percent of top management staff were in complete agreement.</w:t>
      </w:r>
      <w:r>
        <w:rPr>
          <w:spacing w:val="29"/>
        </w:rPr>
        <w:t> </w:t>
      </w:r>
      <w:r>
        <w:rPr/>
        <w:t>Based</w:t>
      </w:r>
      <w:r>
        <w:rPr>
          <w:spacing w:val="30"/>
        </w:rPr>
        <w:t> </w:t>
      </w:r>
      <w:r>
        <w:rPr/>
        <w:t>on</w:t>
      </w:r>
      <w:r>
        <w:rPr>
          <w:spacing w:val="30"/>
        </w:rPr>
        <w:t> </w:t>
      </w:r>
      <w:r>
        <w:rPr/>
        <w:t>nasty</w:t>
      </w:r>
      <w:r>
        <w:rPr>
          <w:spacing w:val="30"/>
        </w:rPr>
        <w:t> </w:t>
      </w:r>
      <w:r>
        <w:rPr/>
        <w:t>experiences</w:t>
      </w:r>
      <w:r>
        <w:rPr>
          <w:spacing w:val="25"/>
        </w:rPr>
        <w:t> </w:t>
      </w:r>
      <w:r>
        <w:rPr/>
        <w:t>many</w:t>
      </w:r>
      <w:r>
        <w:rPr>
          <w:spacing w:val="29"/>
        </w:rPr>
        <w:t> </w:t>
      </w:r>
      <w:r>
        <w:rPr/>
        <w:t>universities</w:t>
      </w:r>
      <w:r>
        <w:rPr>
          <w:spacing w:val="29"/>
        </w:rPr>
        <w:t> </w:t>
      </w:r>
      <w:r>
        <w:rPr/>
        <w:t>under</w:t>
      </w:r>
      <w:r>
        <w:rPr>
          <w:spacing w:val="27"/>
        </w:rPr>
        <w:t> </w:t>
      </w:r>
      <w:r>
        <w:rPr/>
        <w:t>study</w:t>
      </w:r>
      <w:r>
        <w:rPr>
          <w:spacing w:val="25"/>
        </w:rPr>
        <w:t> </w:t>
      </w:r>
      <w:r>
        <w:rPr/>
        <w:t>had</w:t>
      </w:r>
      <w:r>
        <w:rPr>
          <w:spacing w:val="25"/>
        </w:rPr>
        <w:t> </w:t>
      </w:r>
      <w:r>
        <w:rPr>
          <w:spacing w:val="-5"/>
        </w:rPr>
        <w:t>at</w:t>
      </w:r>
    </w:p>
    <w:p>
      <w:pPr>
        <w:spacing w:after="0" w:line="480" w:lineRule="auto"/>
        <w:jc w:val="both"/>
        <w:sectPr>
          <w:headerReference w:type="default" r:id="rId395"/>
          <w:footerReference w:type="default" r:id="rId396"/>
          <w:pgSz w:w="12240" w:h="15840"/>
          <w:pgMar w:header="722" w:footer="791" w:top="1340" w:bottom="980" w:left="1340" w:right="1320"/>
          <w:pgNumType w:start="177"/>
        </w:sectPr>
      </w:pPr>
    </w:p>
    <w:p>
      <w:pPr>
        <w:pStyle w:val="BodyText"/>
        <w:spacing w:line="480" w:lineRule="auto" w:before="82"/>
        <w:ind w:left="820" w:right="117"/>
        <w:jc w:val="both"/>
      </w:pPr>
      <w:r>
        <w:rPr/>
        <w:t>one time or another been closed down indefinitely because of crisis, strikes and conflicts. Such closures had disrupted academic calendars and generated permanent psychological fear in students’ minds.</w:t>
      </w:r>
    </w:p>
    <w:p>
      <w:pPr>
        <w:pStyle w:val="BodyText"/>
        <w:spacing w:line="480" w:lineRule="auto"/>
        <w:ind w:left="820" w:right="114" w:firstLine="720"/>
        <w:jc w:val="both"/>
      </w:pPr>
      <w:r>
        <w:rPr/>
        <w:t>It was supported by 85.1 percent of students, 90.6 percent of service staff and 91.3 percent of top management staff that effective teaching and learning could</w:t>
      </w:r>
      <w:r>
        <w:rPr>
          <w:spacing w:val="-5"/>
        </w:rPr>
        <w:t> </w:t>
      </w:r>
      <w:r>
        <w:rPr/>
        <w:t>better</w:t>
      </w:r>
      <w:r>
        <w:rPr>
          <w:spacing w:val="-1"/>
        </w:rPr>
        <w:t> </w:t>
      </w:r>
      <w:r>
        <w:rPr/>
        <w:t>be</w:t>
      </w:r>
      <w:r>
        <w:rPr>
          <w:spacing w:val="-2"/>
        </w:rPr>
        <w:t> </w:t>
      </w:r>
      <w:r>
        <w:rPr/>
        <w:t>achieved</w:t>
      </w:r>
      <w:r>
        <w:rPr>
          <w:spacing w:val="-5"/>
        </w:rPr>
        <w:t> </w:t>
      </w:r>
      <w:r>
        <w:rPr/>
        <w:t>in</w:t>
      </w:r>
      <w:r>
        <w:rPr>
          <w:spacing w:val="-2"/>
        </w:rPr>
        <w:t> </w:t>
      </w:r>
      <w:r>
        <w:rPr/>
        <w:t>a</w:t>
      </w:r>
      <w:r>
        <w:rPr>
          <w:spacing w:val="-2"/>
        </w:rPr>
        <w:t> </w:t>
      </w:r>
      <w:r>
        <w:rPr/>
        <w:t>noise-free,</w:t>
      </w:r>
      <w:r>
        <w:rPr>
          <w:spacing w:val="-3"/>
        </w:rPr>
        <w:t> </w:t>
      </w:r>
      <w:r>
        <w:rPr/>
        <w:t>crime</w:t>
      </w:r>
      <w:r>
        <w:rPr>
          <w:spacing w:val="-2"/>
        </w:rPr>
        <w:t> </w:t>
      </w:r>
      <w:r>
        <w:rPr/>
        <w:t>free,</w:t>
      </w:r>
      <w:r>
        <w:rPr>
          <w:spacing w:val="-3"/>
        </w:rPr>
        <w:t> </w:t>
      </w:r>
      <w:r>
        <w:rPr/>
        <w:t>spacious,</w:t>
      </w:r>
      <w:r>
        <w:rPr>
          <w:spacing w:val="-3"/>
        </w:rPr>
        <w:t> </w:t>
      </w:r>
      <w:r>
        <w:rPr/>
        <w:t>well-organized</w:t>
      </w:r>
      <w:r>
        <w:rPr>
          <w:spacing w:val="-5"/>
        </w:rPr>
        <w:t> </w:t>
      </w:r>
      <w:r>
        <w:rPr/>
        <w:t>and beautiful environment as raised in item 92. This high consensus seemed to support the idea of building learning institutions very far from railway stations, market places,</w:t>
      </w:r>
      <w:r>
        <w:rPr>
          <w:spacing w:val="-2"/>
        </w:rPr>
        <w:t> </w:t>
      </w:r>
      <w:r>
        <w:rPr/>
        <w:t>hotels,</w:t>
      </w:r>
      <w:r>
        <w:rPr>
          <w:spacing w:val="-2"/>
        </w:rPr>
        <w:t> </w:t>
      </w:r>
      <w:r>
        <w:rPr/>
        <w:t>airports,</w:t>
      </w:r>
      <w:r>
        <w:rPr>
          <w:spacing w:val="-6"/>
        </w:rPr>
        <w:t> </w:t>
      </w:r>
      <w:r>
        <w:rPr/>
        <w:t>industries and</w:t>
      </w:r>
      <w:r>
        <w:rPr>
          <w:spacing w:val="-2"/>
        </w:rPr>
        <w:t> </w:t>
      </w:r>
      <w:r>
        <w:rPr/>
        <w:t>any other</w:t>
      </w:r>
      <w:r>
        <w:rPr>
          <w:spacing w:val="-1"/>
        </w:rPr>
        <w:t> </w:t>
      </w:r>
      <w:r>
        <w:rPr/>
        <w:t>noisy</w:t>
      </w:r>
      <w:r>
        <w:rPr>
          <w:spacing w:val="-3"/>
        </w:rPr>
        <w:t> </w:t>
      </w:r>
      <w:r>
        <w:rPr/>
        <w:t>place. Similarly, an institution should be spacious so as to accommodate all infrastructures and enough room for future expansion. A lot of academic achievement could usually be made in a well organized, beautiful and crime free academic environment.</w:t>
      </w:r>
    </w:p>
    <w:p>
      <w:pPr>
        <w:pStyle w:val="Heading2"/>
        <w:numPr>
          <w:ilvl w:val="1"/>
          <w:numId w:val="39"/>
        </w:numPr>
        <w:tabs>
          <w:tab w:pos="818" w:val="left" w:leader="none"/>
          <w:tab w:pos="820" w:val="left" w:leader="none"/>
        </w:tabs>
        <w:spacing w:line="240" w:lineRule="auto" w:before="0" w:after="0"/>
        <w:ind w:left="820" w:right="121" w:hanging="720"/>
        <w:jc w:val="both"/>
      </w:pPr>
      <w:r>
        <w:rPr/>
        <w:t>Strategies for effective Management of students’ welfare in Universities in three geopolitical zones in Northern part of </w:t>
      </w:r>
      <w:r>
        <w:rPr>
          <w:spacing w:val="-2"/>
        </w:rPr>
        <w:t>Nigeria</w:t>
      </w:r>
    </w:p>
    <w:p>
      <w:pPr>
        <w:pStyle w:val="BodyText"/>
        <w:spacing w:line="480" w:lineRule="auto" w:before="278"/>
        <w:ind w:left="820" w:right="112" w:firstLine="720"/>
        <w:jc w:val="both"/>
      </w:pPr>
      <w:r>
        <w:rPr/>
        <w:t>This section presented the analysis of the opinions of respondents on some strategies generally identified for effective management of students’</w:t>
      </w:r>
      <w:r>
        <w:rPr>
          <w:spacing w:val="40"/>
        </w:rPr>
        <w:t> </w:t>
      </w:r>
      <w:r>
        <w:rPr/>
        <w:t>welfare services</w:t>
      </w:r>
      <w:r>
        <w:rPr>
          <w:spacing w:val="-6"/>
        </w:rPr>
        <w:t> </w:t>
      </w:r>
      <w:r>
        <w:rPr/>
        <w:t>in Universities</w:t>
      </w:r>
      <w:r>
        <w:rPr>
          <w:spacing w:val="-1"/>
        </w:rPr>
        <w:t> </w:t>
      </w:r>
      <w:r>
        <w:rPr/>
        <w:t>system.</w:t>
      </w:r>
      <w:r>
        <w:rPr>
          <w:spacing w:val="-1"/>
        </w:rPr>
        <w:t> </w:t>
      </w:r>
      <w:r>
        <w:rPr/>
        <w:t>Seven item</w:t>
      </w:r>
      <w:r>
        <w:rPr>
          <w:spacing w:val="-9"/>
        </w:rPr>
        <w:t> </w:t>
      </w:r>
      <w:r>
        <w:rPr/>
        <w:t>statements</w:t>
      </w:r>
      <w:r>
        <w:rPr>
          <w:spacing w:val="-1"/>
        </w:rPr>
        <w:t> </w:t>
      </w:r>
      <w:r>
        <w:rPr/>
        <w:t>from</w:t>
      </w:r>
      <w:r>
        <w:rPr>
          <w:spacing w:val="-9"/>
        </w:rPr>
        <w:t> </w:t>
      </w:r>
      <w:r>
        <w:rPr/>
        <w:t>93 to 99 had been used for the section by the use of frequency and simple percentages. The analysis of opinions of respondents is presented in Table 4.4.1.</w:t>
      </w:r>
    </w:p>
    <w:p>
      <w:pPr>
        <w:spacing w:after="0" w:line="480" w:lineRule="auto"/>
        <w:jc w:val="both"/>
        <w:sectPr>
          <w:headerReference w:type="default" r:id="rId397"/>
          <w:footerReference w:type="default" r:id="rId398"/>
          <w:pgSz w:w="12240" w:h="15840"/>
          <w:pgMar w:header="722" w:footer="791" w:top="1340" w:bottom="980" w:left="1340" w:right="1320"/>
        </w:sectPr>
      </w:pPr>
    </w:p>
    <w:p>
      <w:pPr>
        <w:pStyle w:val="Heading2"/>
        <w:spacing w:before="79"/>
        <w:ind w:left="2245" w:right="1237" w:hanging="1594"/>
      </w:pPr>
      <w:r>
        <w:rPr/>
        <w:t>Table</w:t>
      </w:r>
      <w:r>
        <w:rPr>
          <w:spacing w:val="-2"/>
        </w:rPr>
        <w:t> </w:t>
      </w:r>
      <w:r>
        <w:rPr/>
        <w:t>4.4.1:</w:t>
      </w:r>
      <w:r>
        <w:rPr>
          <w:spacing w:val="-2"/>
        </w:rPr>
        <w:t> </w:t>
      </w:r>
      <w:r>
        <w:rPr/>
        <w:t>Opinions</w:t>
      </w:r>
      <w:r>
        <w:rPr>
          <w:spacing w:val="-7"/>
        </w:rPr>
        <w:t> </w:t>
      </w:r>
      <w:r>
        <w:rPr/>
        <w:t>of</w:t>
      </w:r>
      <w:r>
        <w:rPr>
          <w:spacing w:val="-7"/>
        </w:rPr>
        <w:t> </w:t>
      </w:r>
      <w:r>
        <w:rPr/>
        <w:t>respondents</w:t>
      </w:r>
      <w:r>
        <w:rPr>
          <w:spacing w:val="-7"/>
        </w:rPr>
        <w:t> </w:t>
      </w:r>
      <w:r>
        <w:rPr/>
        <w:t>on</w:t>
      </w:r>
      <w:r>
        <w:rPr>
          <w:spacing w:val="-3"/>
        </w:rPr>
        <w:t> </w:t>
      </w:r>
      <w:r>
        <w:rPr/>
        <w:t>strategies</w:t>
      </w:r>
      <w:r>
        <w:rPr>
          <w:spacing w:val="-7"/>
        </w:rPr>
        <w:t> </w:t>
      </w:r>
      <w:r>
        <w:rPr/>
        <w:t>for</w:t>
      </w:r>
      <w:r>
        <w:rPr>
          <w:spacing w:val="-4"/>
        </w:rPr>
        <w:t> </w:t>
      </w:r>
      <w:r>
        <w:rPr/>
        <w:t>effective</w:t>
      </w:r>
      <w:r>
        <w:rPr>
          <w:spacing w:val="-2"/>
        </w:rPr>
        <w:t> </w:t>
      </w:r>
      <w:r>
        <w:rPr/>
        <w:t>management</w:t>
      </w:r>
      <w:r>
        <w:rPr>
          <w:spacing w:val="-2"/>
        </w:rPr>
        <w:t> </w:t>
      </w:r>
      <w:r>
        <w:rPr/>
        <w:t>of</w:t>
      </w:r>
      <w:r>
        <w:rPr>
          <w:spacing w:val="-7"/>
        </w:rPr>
        <w:t> </w:t>
      </w:r>
      <w:r>
        <w:rPr/>
        <w:t>students’</w:t>
      </w:r>
      <w:r>
        <w:rPr>
          <w:spacing w:val="-1"/>
        </w:rPr>
        <w:t> </w:t>
      </w:r>
      <w:r>
        <w:rPr/>
        <w:t>welfare in Universities in the three geopolitical zones in Northern part of Nigeria</w:t>
      </w:r>
    </w:p>
    <w:p>
      <w:pPr>
        <w:pStyle w:val="BodyText"/>
        <w:spacing w:before="99"/>
        <w:rPr>
          <w:rFonts w:ascii="Arial"/>
          <w:b/>
          <w:sz w:val="20"/>
        </w:rPr>
      </w:pPr>
    </w:p>
    <w:tbl>
      <w:tblPr>
        <w:tblW w:w="0" w:type="auto"/>
        <w:jc w:val="left"/>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46"/>
        <w:gridCol w:w="1796"/>
        <w:gridCol w:w="707"/>
        <w:gridCol w:w="749"/>
        <w:gridCol w:w="691"/>
        <w:gridCol w:w="777"/>
        <w:gridCol w:w="686"/>
        <w:gridCol w:w="902"/>
        <w:gridCol w:w="684"/>
        <w:gridCol w:w="799"/>
        <w:gridCol w:w="626"/>
        <w:gridCol w:w="770"/>
        <w:gridCol w:w="691"/>
        <w:gridCol w:w="738"/>
      </w:tblGrid>
      <w:tr>
        <w:trPr>
          <w:trHeight w:val="277" w:hRule="atLeast"/>
        </w:trPr>
        <w:tc>
          <w:tcPr>
            <w:tcW w:w="4146" w:type="dxa"/>
            <w:vMerge w:val="restart"/>
            <w:tcBorders>
              <w:top w:val="single" w:sz="4" w:space="0" w:color="000000"/>
              <w:left w:val="single" w:sz="4" w:space="0" w:color="000000"/>
              <w:bottom w:val="single" w:sz="4" w:space="0" w:color="000000"/>
            </w:tcBorders>
          </w:tcPr>
          <w:p>
            <w:pPr>
              <w:pStyle w:val="TableParagraph"/>
              <w:rPr>
                <w:rFonts w:ascii="Arial"/>
                <w:b/>
                <w:sz w:val="20"/>
              </w:rPr>
            </w:pPr>
          </w:p>
          <w:p>
            <w:pPr>
              <w:pStyle w:val="TableParagraph"/>
              <w:spacing w:before="221"/>
              <w:rPr>
                <w:rFonts w:ascii="Arial"/>
                <w:b/>
                <w:sz w:val="20"/>
              </w:rPr>
            </w:pPr>
          </w:p>
          <w:p>
            <w:pPr>
              <w:pStyle w:val="TableParagraph"/>
              <w:tabs>
                <w:tab w:pos="830" w:val="left" w:leader="none"/>
              </w:tabs>
              <w:ind w:left="134"/>
              <w:rPr>
                <w:rFonts w:ascii="Arial"/>
                <w:b/>
                <w:sz w:val="20"/>
              </w:rPr>
            </w:pPr>
            <w:r>
              <w:rPr>
                <w:rFonts w:ascii="Arial"/>
                <w:b/>
                <w:spacing w:val="-4"/>
                <w:sz w:val="20"/>
              </w:rPr>
              <w:t>S/No</w:t>
            </w:r>
            <w:r>
              <w:rPr>
                <w:rFonts w:ascii="Arial"/>
                <w:b/>
                <w:sz w:val="20"/>
              </w:rPr>
              <w:tab/>
              <w:t>Item</w:t>
            </w:r>
            <w:r>
              <w:rPr>
                <w:rFonts w:ascii="Arial"/>
                <w:b/>
                <w:spacing w:val="-2"/>
                <w:sz w:val="20"/>
              </w:rPr>
              <w:t> Statements</w:t>
            </w:r>
          </w:p>
        </w:tc>
        <w:tc>
          <w:tcPr>
            <w:tcW w:w="1796" w:type="dxa"/>
            <w:vMerge w:val="restart"/>
            <w:tcBorders>
              <w:top w:val="single" w:sz="4" w:space="0" w:color="000000"/>
              <w:bottom w:val="single" w:sz="4" w:space="0" w:color="000000"/>
              <w:right w:val="single" w:sz="4" w:space="0" w:color="000000"/>
            </w:tcBorders>
          </w:tcPr>
          <w:p>
            <w:pPr>
              <w:pStyle w:val="TableParagraph"/>
              <w:spacing w:before="220"/>
              <w:rPr>
                <w:rFonts w:ascii="Arial"/>
                <w:b/>
                <w:sz w:val="20"/>
              </w:rPr>
            </w:pPr>
          </w:p>
          <w:p>
            <w:pPr>
              <w:pStyle w:val="TableParagraph"/>
              <w:ind w:left="111"/>
              <w:rPr>
                <w:rFonts w:ascii="Arial"/>
                <w:b/>
                <w:sz w:val="20"/>
              </w:rPr>
            </w:pPr>
            <w:r>
              <w:rPr>
                <w:rFonts w:ascii="Arial"/>
                <w:b/>
                <w:sz w:val="20"/>
              </w:rPr>
              <w:t>Category of </w:t>
            </w:r>
            <w:r>
              <w:rPr>
                <w:rFonts w:ascii="Arial"/>
                <w:b/>
                <w:spacing w:val="-2"/>
                <w:sz w:val="20"/>
              </w:rPr>
              <w:t>Respondents</w:t>
            </w:r>
          </w:p>
        </w:tc>
        <w:tc>
          <w:tcPr>
            <w:tcW w:w="8820" w:type="dxa"/>
            <w:gridSpan w:val="12"/>
            <w:tcBorders>
              <w:top w:val="single" w:sz="4" w:space="0" w:color="000000"/>
              <w:left w:val="single" w:sz="4" w:space="0" w:color="000000"/>
              <w:bottom w:val="single" w:sz="4" w:space="0" w:color="000000"/>
              <w:right w:val="single" w:sz="4" w:space="0" w:color="000000"/>
            </w:tcBorders>
          </w:tcPr>
          <w:p>
            <w:pPr>
              <w:pStyle w:val="TableParagraph"/>
              <w:spacing w:line="258" w:lineRule="exact"/>
              <w:ind w:left="13" w:right="1555"/>
              <w:jc w:val="center"/>
              <w:rPr>
                <w:rFonts w:ascii="Arial"/>
                <w:b/>
                <w:sz w:val="24"/>
              </w:rPr>
            </w:pPr>
            <w:r>
              <w:rPr>
                <w:rFonts w:ascii="Arial"/>
                <w:b/>
                <w:spacing w:val="-2"/>
                <w:sz w:val="24"/>
              </w:rPr>
              <w:t>Responses</w:t>
            </w:r>
          </w:p>
        </w:tc>
      </w:tr>
      <w:tr>
        <w:trPr>
          <w:trHeight w:val="460" w:hRule="atLeast"/>
        </w:trPr>
        <w:tc>
          <w:tcPr>
            <w:tcW w:w="4146" w:type="dxa"/>
            <w:vMerge/>
            <w:tcBorders>
              <w:top w:val="nil"/>
              <w:left w:val="single" w:sz="4" w:space="0" w:color="000000"/>
              <w:bottom w:val="single" w:sz="4" w:space="0" w:color="000000"/>
            </w:tcBorders>
          </w:tcPr>
          <w:p>
            <w:pPr>
              <w:rPr>
                <w:sz w:val="2"/>
                <w:szCs w:val="2"/>
              </w:rPr>
            </w:pPr>
          </w:p>
        </w:tc>
        <w:tc>
          <w:tcPr>
            <w:tcW w:w="1796" w:type="dxa"/>
            <w:vMerge/>
            <w:tcBorders>
              <w:top w:val="nil"/>
              <w:bottom w:val="single" w:sz="4" w:space="0" w:color="000000"/>
              <w:right w:val="single" w:sz="4" w:space="0" w:color="000000"/>
            </w:tcBorders>
          </w:tcPr>
          <w:p>
            <w:pPr>
              <w:rPr>
                <w:sz w:val="2"/>
                <w:szCs w:val="2"/>
              </w:rPr>
            </w:pPr>
          </w:p>
        </w:tc>
        <w:tc>
          <w:tcPr>
            <w:tcW w:w="8820" w:type="dxa"/>
            <w:gridSpan w:val="12"/>
            <w:tcBorders>
              <w:top w:val="single" w:sz="4" w:space="0" w:color="000000"/>
              <w:left w:val="single" w:sz="4" w:space="0" w:color="000000"/>
              <w:bottom w:val="single" w:sz="4" w:space="0" w:color="000000"/>
              <w:right w:val="single" w:sz="4" w:space="0" w:color="000000"/>
            </w:tcBorders>
          </w:tcPr>
          <w:p>
            <w:pPr>
              <w:pStyle w:val="TableParagraph"/>
              <w:tabs>
                <w:tab w:pos="1876" w:val="left" w:leader="none"/>
                <w:tab w:pos="3192" w:val="left" w:leader="none"/>
                <w:tab w:pos="4814" w:val="left" w:leader="none"/>
                <w:tab w:pos="6259" w:val="left" w:leader="none"/>
                <w:tab w:pos="7857" w:val="left" w:leader="none"/>
              </w:tabs>
              <w:spacing w:line="220" w:lineRule="exact"/>
              <w:ind w:left="312"/>
              <w:rPr>
                <w:rFonts w:ascii="Arial"/>
                <w:b/>
                <w:sz w:val="20"/>
              </w:rPr>
            </w:pPr>
            <w:r>
              <w:rPr>
                <w:rFonts w:ascii="Arial"/>
                <w:b/>
                <w:spacing w:val="-2"/>
                <w:sz w:val="20"/>
              </w:rPr>
              <w:t>Strongly</w:t>
            </w:r>
            <w:r>
              <w:rPr>
                <w:rFonts w:ascii="Arial"/>
                <w:b/>
                <w:sz w:val="20"/>
              </w:rPr>
              <w:tab/>
            </w:r>
            <w:r>
              <w:rPr>
                <w:rFonts w:ascii="Arial"/>
                <w:b/>
                <w:spacing w:val="-4"/>
                <w:sz w:val="20"/>
              </w:rPr>
              <w:t>Agree</w:t>
            </w:r>
            <w:r>
              <w:rPr>
                <w:rFonts w:ascii="Arial"/>
                <w:b/>
                <w:sz w:val="20"/>
              </w:rPr>
              <w:tab/>
            </w:r>
            <w:r>
              <w:rPr>
                <w:rFonts w:ascii="Arial"/>
                <w:b/>
                <w:spacing w:val="-2"/>
                <w:sz w:val="20"/>
              </w:rPr>
              <w:t>Undecided</w:t>
            </w:r>
            <w:r>
              <w:rPr>
                <w:rFonts w:ascii="Arial"/>
                <w:b/>
                <w:sz w:val="20"/>
              </w:rPr>
              <w:tab/>
            </w:r>
            <w:r>
              <w:rPr>
                <w:rFonts w:ascii="Arial"/>
                <w:b/>
                <w:spacing w:val="-2"/>
                <w:sz w:val="20"/>
              </w:rPr>
              <w:t>Disagree</w:t>
            </w:r>
            <w:r>
              <w:rPr>
                <w:rFonts w:ascii="Arial"/>
                <w:b/>
                <w:sz w:val="20"/>
              </w:rPr>
              <w:tab/>
            </w:r>
            <w:r>
              <w:rPr>
                <w:rFonts w:ascii="Arial"/>
                <w:b/>
                <w:spacing w:val="-2"/>
                <w:sz w:val="20"/>
              </w:rPr>
              <w:t>Strongly</w:t>
            </w:r>
            <w:r>
              <w:rPr>
                <w:rFonts w:ascii="Arial"/>
                <w:b/>
                <w:sz w:val="20"/>
              </w:rPr>
              <w:tab/>
            </w:r>
            <w:r>
              <w:rPr>
                <w:rFonts w:ascii="Arial"/>
                <w:b/>
                <w:spacing w:val="-2"/>
                <w:sz w:val="20"/>
              </w:rPr>
              <w:t>Total</w:t>
            </w:r>
          </w:p>
          <w:p>
            <w:pPr>
              <w:pStyle w:val="TableParagraph"/>
              <w:tabs>
                <w:tab w:pos="6244" w:val="left" w:leader="none"/>
              </w:tabs>
              <w:spacing w:line="220" w:lineRule="exact"/>
              <w:ind w:left="437"/>
              <w:rPr>
                <w:rFonts w:ascii="Arial"/>
                <w:b/>
                <w:sz w:val="20"/>
              </w:rPr>
            </w:pPr>
            <w:r>
              <w:rPr>
                <w:rFonts w:ascii="Arial"/>
                <w:b/>
                <w:spacing w:val="-2"/>
                <w:sz w:val="20"/>
              </w:rPr>
              <w:t>Agree</w:t>
            </w:r>
            <w:r>
              <w:rPr>
                <w:rFonts w:ascii="Arial"/>
                <w:b/>
                <w:sz w:val="20"/>
              </w:rPr>
              <w:tab/>
            </w:r>
            <w:r>
              <w:rPr>
                <w:rFonts w:ascii="Arial"/>
                <w:b/>
                <w:spacing w:val="-2"/>
                <w:sz w:val="20"/>
              </w:rPr>
              <w:t>Disagree</w:t>
            </w:r>
          </w:p>
        </w:tc>
      </w:tr>
      <w:tr>
        <w:trPr>
          <w:trHeight w:val="316" w:hRule="atLeast"/>
        </w:trPr>
        <w:tc>
          <w:tcPr>
            <w:tcW w:w="4146" w:type="dxa"/>
            <w:vMerge/>
            <w:tcBorders>
              <w:top w:val="nil"/>
              <w:left w:val="single" w:sz="4" w:space="0" w:color="000000"/>
              <w:bottom w:val="single" w:sz="4" w:space="0" w:color="000000"/>
            </w:tcBorders>
          </w:tcPr>
          <w:p>
            <w:pPr>
              <w:rPr>
                <w:sz w:val="2"/>
                <w:szCs w:val="2"/>
              </w:rPr>
            </w:pPr>
          </w:p>
        </w:tc>
        <w:tc>
          <w:tcPr>
            <w:tcW w:w="1796" w:type="dxa"/>
            <w:vMerge/>
            <w:tcBorders>
              <w:top w:val="nil"/>
              <w:bottom w:val="single" w:sz="4" w:space="0" w:color="000000"/>
              <w:right w:val="single" w:sz="4" w:space="0" w:color="000000"/>
            </w:tcBorders>
          </w:tcPr>
          <w:p>
            <w:pPr>
              <w:rPr>
                <w:sz w:val="2"/>
                <w:szCs w:val="2"/>
              </w:rPr>
            </w:pPr>
          </w:p>
        </w:tc>
        <w:tc>
          <w:tcPr>
            <w:tcW w:w="707" w:type="dxa"/>
            <w:tcBorders>
              <w:top w:val="single" w:sz="4" w:space="0" w:color="000000"/>
              <w:left w:val="single" w:sz="4" w:space="0" w:color="000000"/>
              <w:bottom w:val="single" w:sz="4" w:space="0" w:color="000000"/>
            </w:tcBorders>
          </w:tcPr>
          <w:p>
            <w:pPr>
              <w:pStyle w:val="TableParagraph"/>
              <w:spacing w:line="220" w:lineRule="exact"/>
              <w:ind w:left="64" w:right="38"/>
              <w:jc w:val="center"/>
              <w:rPr>
                <w:rFonts w:ascii="Arial"/>
                <w:b/>
                <w:sz w:val="20"/>
              </w:rPr>
            </w:pPr>
            <w:r>
              <w:rPr>
                <w:rFonts w:ascii="Arial"/>
                <w:b/>
                <w:spacing w:val="-10"/>
                <w:sz w:val="20"/>
              </w:rPr>
              <w:t>F</w:t>
            </w:r>
          </w:p>
        </w:tc>
        <w:tc>
          <w:tcPr>
            <w:tcW w:w="749" w:type="dxa"/>
            <w:tcBorders>
              <w:top w:val="single" w:sz="4" w:space="0" w:color="000000"/>
              <w:bottom w:val="single" w:sz="4" w:space="0" w:color="000000"/>
            </w:tcBorders>
          </w:tcPr>
          <w:p>
            <w:pPr>
              <w:pStyle w:val="TableParagraph"/>
              <w:spacing w:line="220" w:lineRule="exact"/>
              <w:ind w:left="14"/>
              <w:jc w:val="center"/>
              <w:rPr>
                <w:rFonts w:ascii="Arial"/>
                <w:b/>
                <w:sz w:val="20"/>
              </w:rPr>
            </w:pPr>
            <w:r>
              <w:rPr>
                <w:rFonts w:ascii="Arial"/>
                <w:b/>
                <w:spacing w:val="-10"/>
                <w:sz w:val="20"/>
              </w:rPr>
              <w:t>%</w:t>
            </w:r>
          </w:p>
        </w:tc>
        <w:tc>
          <w:tcPr>
            <w:tcW w:w="691" w:type="dxa"/>
            <w:tcBorders>
              <w:top w:val="single" w:sz="4" w:space="0" w:color="000000"/>
              <w:bottom w:val="single" w:sz="4" w:space="0" w:color="000000"/>
            </w:tcBorders>
          </w:tcPr>
          <w:p>
            <w:pPr>
              <w:pStyle w:val="TableParagraph"/>
              <w:spacing w:line="220" w:lineRule="exact"/>
              <w:ind w:left="22" w:right="7"/>
              <w:jc w:val="center"/>
              <w:rPr>
                <w:rFonts w:ascii="Arial"/>
                <w:b/>
                <w:sz w:val="20"/>
              </w:rPr>
            </w:pPr>
            <w:r>
              <w:rPr>
                <w:rFonts w:ascii="Arial"/>
                <w:b/>
                <w:spacing w:val="-10"/>
                <w:sz w:val="20"/>
              </w:rPr>
              <w:t>F</w:t>
            </w:r>
          </w:p>
        </w:tc>
        <w:tc>
          <w:tcPr>
            <w:tcW w:w="777" w:type="dxa"/>
            <w:tcBorders>
              <w:top w:val="single" w:sz="4" w:space="0" w:color="000000"/>
              <w:bottom w:val="single" w:sz="4" w:space="0" w:color="000000"/>
            </w:tcBorders>
          </w:tcPr>
          <w:p>
            <w:pPr>
              <w:pStyle w:val="TableParagraph"/>
              <w:spacing w:line="220" w:lineRule="exact"/>
              <w:ind w:left="17" w:right="28"/>
              <w:jc w:val="center"/>
              <w:rPr>
                <w:rFonts w:ascii="Arial"/>
                <w:b/>
                <w:sz w:val="20"/>
              </w:rPr>
            </w:pPr>
            <w:r>
              <w:rPr>
                <w:rFonts w:ascii="Arial"/>
                <w:b/>
                <w:spacing w:val="-10"/>
                <w:sz w:val="20"/>
              </w:rPr>
              <w:t>%</w:t>
            </w:r>
          </w:p>
        </w:tc>
        <w:tc>
          <w:tcPr>
            <w:tcW w:w="686" w:type="dxa"/>
            <w:tcBorders>
              <w:top w:val="single" w:sz="4" w:space="0" w:color="000000"/>
              <w:bottom w:val="single" w:sz="4" w:space="0" w:color="000000"/>
            </w:tcBorders>
          </w:tcPr>
          <w:p>
            <w:pPr>
              <w:pStyle w:val="TableParagraph"/>
              <w:spacing w:line="220" w:lineRule="exact"/>
              <w:ind w:left="19" w:right="52"/>
              <w:jc w:val="center"/>
              <w:rPr>
                <w:rFonts w:ascii="Arial"/>
                <w:b/>
                <w:sz w:val="20"/>
              </w:rPr>
            </w:pPr>
            <w:r>
              <w:rPr>
                <w:rFonts w:ascii="Arial"/>
                <w:b/>
                <w:spacing w:val="-10"/>
                <w:sz w:val="20"/>
              </w:rPr>
              <w:t>F</w:t>
            </w:r>
          </w:p>
        </w:tc>
        <w:tc>
          <w:tcPr>
            <w:tcW w:w="902" w:type="dxa"/>
            <w:tcBorders>
              <w:top w:val="single" w:sz="4" w:space="0" w:color="000000"/>
              <w:bottom w:val="single" w:sz="4" w:space="0" w:color="000000"/>
            </w:tcBorders>
          </w:tcPr>
          <w:p>
            <w:pPr>
              <w:pStyle w:val="TableParagraph"/>
              <w:spacing w:line="220" w:lineRule="exact"/>
              <w:ind w:left="20" w:right="4"/>
              <w:jc w:val="center"/>
              <w:rPr>
                <w:rFonts w:ascii="Arial"/>
                <w:b/>
                <w:sz w:val="20"/>
              </w:rPr>
            </w:pPr>
            <w:r>
              <w:rPr>
                <w:rFonts w:ascii="Arial"/>
                <w:b/>
                <w:spacing w:val="-10"/>
                <w:sz w:val="20"/>
              </w:rPr>
              <w:t>%</w:t>
            </w:r>
          </w:p>
        </w:tc>
        <w:tc>
          <w:tcPr>
            <w:tcW w:w="684" w:type="dxa"/>
            <w:tcBorders>
              <w:top w:val="single" w:sz="4" w:space="0" w:color="000000"/>
              <w:bottom w:val="single" w:sz="4" w:space="0" w:color="000000"/>
            </w:tcBorders>
          </w:tcPr>
          <w:p>
            <w:pPr>
              <w:pStyle w:val="TableParagraph"/>
              <w:spacing w:line="220" w:lineRule="exact"/>
              <w:ind w:left="68" w:right="4"/>
              <w:jc w:val="center"/>
              <w:rPr>
                <w:rFonts w:ascii="Arial"/>
                <w:b/>
                <w:sz w:val="20"/>
              </w:rPr>
            </w:pPr>
            <w:r>
              <w:rPr>
                <w:rFonts w:ascii="Arial"/>
                <w:b/>
                <w:spacing w:val="-10"/>
                <w:sz w:val="20"/>
              </w:rPr>
              <w:t>F</w:t>
            </w:r>
          </w:p>
        </w:tc>
        <w:tc>
          <w:tcPr>
            <w:tcW w:w="799" w:type="dxa"/>
            <w:tcBorders>
              <w:top w:val="single" w:sz="4" w:space="0" w:color="000000"/>
              <w:bottom w:val="single" w:sz="4" w:space="0" w:color="000000"/>
            </w:tcBorders>
          </w:tcPr>
          <w:p>
            <w:pPr>
              <w:pStyle w:val="TableParagraph"/>
              <w:spacing w:line="220" w:lineRule="exact"/>
              <w:ind w:left="23" w:right="4"/>
              <w:jc w:val="center"/>
              <w:rPr>
                <w:rFonts w:ascii="Arial"/>
                <w:b/>
                <w:sz w:val="20"/>
              </w:rPr>
            </w:pPr>
            <w:r>
              <w:rPr>
                <w:rFonts w:ascii="Arial"/>
                <w:b/>
                <w:spacing w:val="-10"/>
                <w:sz w:val="20"/>
              </w:rPr>
              <w:t>%</w:t>
            </w:r>
          </w:p>
        </w:tc>
        <w:tc>
          <w:tcPr>
            <w:tcW w:w="626" w:type="dxa"/>
            <w:tcBorders>
              <w:top w:val="single" w:sz="4" w:space="0" w:color="000000"/>
              <w:bottom w:val="single" w:sz="4" w:space="0" w:color="000000"/>
            </w:tcBorders>
          </w:tcPr>
          <w:p>
            <w:pPr>
              <w:pStyle w:val="TableParagraph"/>
              <w:spacing w:line="220" w:lineRule="exact"/>
              <w:ind w:left="20" w:right="4"/>
              <w:jc w:val="center"/>
              <w:rPr>
                <w:rFonts w:ascii="Arial"/>
                <w:b/>
                <w:sz w:val="20"/>
              </w:rPr>
            </w:pPr>
            <w:r>
              <w:rPr>
                <w:rFonts w:ascii="Arial"/>
                <w:b/>
                <w:spacing w:val="-10"/>
                <w:sz w:val="20"/>
              </w:rPr>
              <w:t>F</w:t>
            </w:r>
          </w:p>
        </w:tc>
        <w:tc>
          <w:tcPr>
            <w:tcW w:w="770" w:type="dxa"/>
            <w:tcBorders>
              <w:top w:val="single" w:sz="4" w:space="0" w:color="000000"/>
              <w:bottom w:val="single" w:sz="4" w:space="0" w:color="000000"/>
            </w:tcBorders>
          </w:tcPr>
          <w:p>
            <w:pPr>
              <w:pStyle w:val="TableParagraph"/>
              <w:spacing w:line="220" w:lineRule="exact"/>
              <w:ind w:left="43" w:right="3"/>
              <w:jc w:val="center"/>
              <w:rPr>
                <w:rFonts w:ascii="Arial"/>
                <w:b/>
                <w:sz w:val="20"/>
              </w:rPr>
            </w:pPr>
            <w:r>
              <w:rPr>
                <w:rFonts w:ascii="Arial"/>
                <w:b/>
                <w:spacing w:val="-10"/>
                <w:sz w:val="20"/>
              </w:rPr>
              <w:t>%</w:t>
            </w:r>
          </w:p>
        </w:tc>
        <w:tc>
          <w:tcPr>
            <w:tcW w:w="691" w:type="dxa"/>
            <w:tcBorders>
              <w:top w:val="single" w:sz="4" w:space="0" w:color="000000"/>
              <w:bottom w:val="single" w:sz="4" w:space="0" w:color="000000"/>
            </w:tcBorders>
          </w:tcPr>
          <w:p>
            <w:pPr>
              <w:pStyle w:val="TableParagraph"/>
              <w:spacing w:line="220" w:lineRule="exact"/>
              <w:ind w:left="22" w:right="2"/>
              <w:jc w:val="center"/>
              <w:rPr>
                <w:rFonts w:ascii="Arial"/>
                <w:b/>
                <w:sz w:val="20"/>
              </w:rPr>
            </w:pPr>
            <w:r>
              <w:rPr>
                <w:rFonts w:ascii="Arial"/>
                <w:b/>
                <w:spacing w:val="-10"/>
                <w:sz w:val="20"/>
              </w:rPr>
              <w:t>F</w:t>
            </w:r>
          </w:p>
        </w:tc>
        <w:tc>
          <w:tcPr>
            <w:tcW w:w="738" w:type="dxa"/>
            <w:tcBorders>
              <w:top w:val="single" w:sz="4" w:space="0" w:color="000000"/>
              <w:bottom w:val="single" w:sz="4" w:space="0" w:color="000000"/>
              <w:right w:val="single" w:sz="4" w:space="0" w:color="000000"/>
            </w:tcBorders>
          </w:tcPr>
          <w:p>
            <w:pPr>
              <w:pStyle w:val="TableParagraph"/>
              <w:spacing w:line="220" w:lineRule="exact"/>
              <w:ind w:left="53" w:right="18"/>
              <w:jc w:val="center"/>
              <w:rPr>
                <w:rFonts w:ascii="Arial"/>
                <w:b/>
                <w:sz w:val="20"/>
              </w:rPr>
            </w:pPr>
            <w:r>
              <w:rPr>
                <w:rFonts w:ascii="Arial"/>
                <w:b/>
                <w:spacing w:val="-10"/>
                <w:sz w:val="20"/>
              </w:rPr>
              <w:t>%</w:t>
            </w:r>
          </w:p>
        </w:tc>
      </w:tr>
      <w:tr>
        <w:trPr>
          <w:trHeight w:val="229" w:hRule="atLeast"/>
        </w:trPr>
        <w:tc>
          <w:tcPr>
            <w:tcW w:w="4146" w:type="dxa"/>
            <w:tcBorders>
              <w:top w:val="single" w:sz="4" w:space="0" w:color="000000"/>
              <w:left w:val="single" w:sz="4" w:space="0" w:color="000000"/>
            </w:tcBorders>
          </w:tcPr>
          <w:p>
            <w:pPr>
              <w:pStyle w:val="TableParagraph"/>
              <w:tabs>
                <w:tab w:pos="609" w:val="left" w:leader="none"/>
              </w:tabs>
              <w:spacing w:line="210" w:lineRule="exact"/>
              <w:ind w:right="102"/>
              <w:jc w:val="right"/>
              <w:rPr>
                <w:sz w:val="20"/>
              </w:rPr>
            </w:pPr>
            <w:r>
              <w:rPr>
                <w:spacing w:val="-5"/>
                <w:sz w:val="20"/>
              </w:rPr>
              <w:t>93.</w:t>
            </w:r>
            <w:r>
              <w:rPr>
                <w:sz w:val="20"/>
              </w:rPr>
              <w:tab/>
              <w:t>It</w:t>
            </w:r>
            <w:r>
              <w:rPr>
                <w:spacing w:val="13"/>
                <w:sz w:val="20"/>
              </w:rPr>
              <w:t> </w:t>
            </w:r>
            <w:r>
              <w:rPr>
                <w:sz w:val="20"/>
              </w:rPr>
              <w:t>is</w:t>
            </w:r>
            <w:r>
              <w:rPr>
                <w:spacing w:val="8"/>
                <w:sz w:val="20"/>
              </w:rPr>
              <w:t> </w:t>
            </w:r>
            <w:r>
              <w:rPr>
                <w:sz w:val="20"/>
              </w:rPr>
              <w:t>believed</w:t>
            </w:r>
            <w:r>
              <w:rPr>
                <w:spacing w:val="10"/>
                <w:sz w:val="20"/>
              </w:rPr>
              <w:t> </w:t>
            </w:r>
            <w:r>
              <w:rPr>
                <w:sz w:val="20"/>
              </w:rPr>
              <w:t>that</w:t>
            </w:r>
            <w:r>
              <w:rPr>
                <w:spacing w:val="14"/>
                <w:sz w:val="20"/>
              </w:rPr>
              <w:t> </w:t>
            </w:r>
            <w:r>
              <w:rPr>
                <w:sz w:val="20"/>
              </w:rPr>
              <w:t>shortage</w:t>
            </w:r>
            <w:r>
              <w:rPr>
                <w:spacing w:val="10"/>
                <w:sz w:val="20"/>
              </w:rPr>
              <w:t> </w:t>
            </w:r>
            <w:r>
              <w:rPr>
                <w:sz w:val="20"/>
              </w:rPr>
              <w:t>of</w:t>
            </w:r>
            <w:r>
              <w:rPr>
                <w:spacing w:val="14"/>
                <w:sz w:val="20"/>
              </w:rPr>
              <w:t> </w:t>
            </w:r>
            <w:r>
              <w:rPr>
                <w:spacing w:val="-4"/>
                <w:sz w:val="20"/>
              </w:rPr>
              <w:t>funds</w:t>
            </w:r>
          </w:p>
        </w:tc>
        <w:tc>
          <w:tcPr>
            <w:tcW w:w="1796" w:type="dxa"/>
            <w:tcBorders>
              <w:top w:val="single" w:sz="4" w:space="0" w:color="000000"/>
            </w:tcBorders>
          </w:tcPr>
          <w:p>
            <w:pPr>
              <w:pStyle w:val="TableParagraph"/>
              <w:spacing w:line="210" w:lineRule="exact"/>
              <w:ind w:left="111"/>
              <w:rPr>
                <w:sz w:val="20"/>
              </w:rPr>
            </w:pPr>
            <w:r>
              <w:rPr>
                <w:sz w:val="20"/>
              </w:rPr>
              <w:t>No.</w:t>
            </w:r>
            <w:r>
              <w:rPr>
                <w:spacing w:val="-5"/>
                <w:sz w:val="20"/>
              </w:rPr>
              <w:t> </w:t>
            </w:r>
            <w:r>
              <w:rPr>
                <w:sz w:val="20"/>
              </w:rPr>
              <w:t>of</w:t>
            </w:r>
            <w:r>
              <w:rPr>
                <w:spacing w:val="-2"/>
                <w:sz w:val="20"/>
              </w:rPr>
              <w:t> missing</w:t>
            </w:r>
          </w:p>
        </w:tc>
        <w:tc>
          <w:tcPr>
            <w:tcW w:w="707" w:type="dxa"/>
            <w:tcBorders>
              <w:top w:val="single" w:sz="4" w:space="0" w:color="000000"/>
            </w:tcBorders>
          </w:tcPr>
          <w:p>
            <w:pPr>
              <w:pStyle w:val="TableParagraph"/>
              <w:rPr>
                <w:rFonts w:ascii="Times New Roman"/>
                <w:sz w:val="16"/>
              </w:rPr>
            </w:pPr>
          </w:p>
        </w:tc>
        <w:tc>
          <w:tcPr>
            <w:tcW w:w="749" w:type="dxa"/>
            <w:tcBorders>
              <w:top w:val="single" w:sz="4" w:space="0" w:color="000000"/>
            </w:tcBorders>
          </w:tcPr>
          <w:p>
            <w:pPr>
              <w:pStyle w:val="TableParagraph"/>
              <w:rPr>
                <w:rFonts w:ascii="Times New Roman"/>
                <w:sz w:val="16"/>
              </w:rPr>
            </w:pPr>
          </w:p>
        </w:tc>
        <w:tc>
          <w:tcPr>
            <w:tcW w:w="691" w:type="dxa"/>
            <w:tcBorders>
              <w:top w:val="single" w:sz="4" w:space="0" w:color="000000"/>
            </w:tcBorders>
          </w:tcPr>
          <w:p>
            <w:pPr>
              <w:pStyle w:val="TableParagraph"/>
              <w:rPr>
                <w:rFonts w:ascii="Times New Roman"/>
                <w:sz w:val="16"/>
              </w:rPr>
            </w:pPr>
          </w:p>
        </w:tc>
        <w:tc>
          <w:tcPr>
            <w:tcW w:w="777" w:type="dxa"/>
            <w:tcBorders>
              <w:top w:val="single" w:sz="4" w:space="0" w:color="000000"/>
            </w:tcBorders>
          </w:tcPr>
          <w:p>
            <w:pPr>
              <w:pStyle w:val="TableParagraph"/>
              <w:rPr>
                <w:rFonts w:ascii="Times New Roman"/>
                <w:sz w:val="16"/>
              </w:rPr>
            </w:pPr>
          </w:p>
        </w:tc>
        <w:tc>
          <w:tcPr>
            <w:tcW w:w="686" w:type="dxa"/>
            <w:tcBorders>
              <w:top w:val="single" w:sz="4" w:space="0" w:color="000000"/>
            </w:tcBorders>
          </w:tcPr>
          <w:p>
            <w:pPr>
              <w:pStyle w:val="TableParagraph"/>
              <w:rPr>
                <w:rFonts w:ascii="Times New Roman"/>
                <w:sz w:val="16"/>
              </w:rPr>
            </w:pPr>
          </w:p>
        </w:tc>
        <w:tc>
          <w:tcPr>
            <w:tcW w:w="902" w:type="dxa"/>
            <w:tcBorders>
              <w:top w:val="single" w:sz="4" w:space="0" w:color="000000"/>
            </w:tcBorders>
          </w:tcPr>
          <w:p>
            <w:pPr>
              <w:pStyle w:val="TableParagraph"/>
              <w:rPr>
                <w:rFonts w:ascii="Times New Roman"/>
                <w:sz w:val="16"/>
              </w:rPr>
            </w:pPr>
          </w:p>
        </w:tc>
        <w:tc>
          <w:tcPr>
            <w:tcW w:w="684" w:type="dxa"/>
            <w:tcBorders>
              <w:top w:val="single" w:sz="4" w:space="0" w:color="000000"/>
            </w:tcBorders>
          </w:tcPr>
          <w:p>
            <w:pPr>
              <w:pStyle w:val="TableParagraph"/>
              <w:rPr>
                <w:rFonts w:ascii="Times New Roman"/>
                <w:sz w:val="16"/>
              </w:rPr>
            </w:pPr>
          </w:p>
        </w:tc>
        <w:tc>
          <w:tcPr>
            <w:tcW w:w="799" w:type="dxa"/>
            <w:tcBorders>
              <w:top w:val="single" w:sz="4" w:space="0" w:color="000000"/>
            </w:tcBorders>
          </w:tcPr>
          <w:p>
            <w:pPr>
              <w:pStyle w:val="TableParagraph"/>
              <w:rPr>
                <w:rFonts w:ascii="Times New Roman"/>
                <w:sz w:val="16"/>
              </w:rPr>
            </w:pPr>
          </w:p>
        </w:tc>
        <w:tc>
          <w:tcPr>
            <w:tcW w:w="626" w:type="dxa"/>
            <w:tcBorders>
              <w:top w:val="single" w:sz="4" w:space="0" w:color="000000"/>
            </w:tcBorders>
          </w:tcPr>
          <w:p>
            <w:pPr>
              <w:pStyle w:val="TableParagraph"/>
              <w:rPr>
                <w:rFonts w:ascii="Times New Roman"/>
                <w:sz w:val="16"/>
              </w:rPr>
            </w:pPr>
          </w:p>
        </w:tc>
        <w:tc>
          <w:tcPr>
            <w:tcW w:w="770" w:type="dxa"/>
            <w:tcBorders>
              <w:top w:val="single" w:sz="4" w:space="0" w:color="000000"/>
            </w:tcBorders>
          </w:tcPr>
          <w:p>
            <w:pPr>
              <w:pStyle w:val="TableParagraph"/>
              <w:rPr>
                <w:rFonts w:ascii="Times New Roman"/>
                <w:sz w:val="16"/>
              </w:rPr>
            </w:pPr>
          </w:p>
        </w:tc>
        <w:tc>
          <w:tcPr>
            <w:tcW w:w="691" w:type="dxa"/>
            <w:tcBorders>
              <w:top w:val="single" w:sz="4" w:space="0" w:color="000000"/>
            </w:tcBorders>
          </w:tcPr>
          <w:p>
            <w:pPr>
              <w:pStyle w:val="TableParagraph"/>
              <w:rPr>
                <w:rFonts w:ascii="Times New Roman"/>
                <w:sz w:val="16"/>
              </w:rPr>
            </w:pPr>
          </w:p>
        </w:tc>
        <w:tc>
          <w:tcPr>
            <w:tcW w:w="738" w:type="dxa"/>
            <w:tcBorders>
              <w:top w:val="single" w:sz="4" w:space="0" w:color="000000"/>
              <w:right w:val="single" w:sz="4" w:space="0" w:color="000000"/>
            </w:tcBorders>
          </w:tcPr>
          <w:p>
            <w:pPr>
              <w:pStyle w:val="TableParagraph"/>
              <w:rPr>
                <w:rFonts w:ascii="Times New Roman"/>
                <w:sz w:val="16"/>
              </w:rPr>
            </w:pPr>
          </w:p>
        </w:tc>
      </w:tr>
      <w:tr>
        <w:trPr>
          <w:trHeight w:val="227" w:hRule="atLeast"/>
        </w:trPr>
        <w:tc>
          <w:tcPr>
            <w:tcW w:w="4146" w:type="dxa"/>
            <w:tcBorders>
              <w:left w:val="single" w:sz="4" w:space="0" w:color="000000"/>
            </w:tcBorders>
          </w:tcPr>
          <w:p>
            <w:pPr>
              <w:pStyle w:val="TableParagraph"/>
              <w:spacing w:line="208" w:lineRule="exact"/>
              <w:ind w:right="100"/>
              <w:jc w:val="right"/>
              <w:rPr>
                <w:sz w:val="20"/>
              </w:rPr>
            </w:pPr>
            <w:r>
              <w:rPr>
                <w:sz w:val="20"/>
              </w:rPr>
              <w:t>is</w:t>
            </w:r>
            <w:r>
              <w:rPr>
                <w:spacing w:val="3"/>
                <w:sz w:val="20"/>
              </w:rPr>
              <w:t> </w:t>
            </w:r>
            <w:r>
              <w:rPr>
                <w:sz w:val="20"/>
              </w:rPr>
              <w:t>instrumental</w:t>
            </w:r>
            <w:r>
              <w:rPr>
                <w:spacing w:val="10"/>
                <w:sz w:val="20"/>
              </w:rPr>
              <w:t> </w:t>
            </w:r>
            <w:r>
              <w:rPr>
                <w:sz w:val="20"/>
              </w:rPr>
              <w:t>to</w:t>
            </w:r>
            <w:r>
              <w:rPr>
                <w:spacing w:val="6"/>
                <w:sz w:val="20"/>
              </w:rPr>
              <w:t> </w:t>
            </w:r>
            <w:r>
              <w:rPr>
                <w:sz w:val="20"/>
              </w:rPr>
              <w:t>the</w:t>
            </w:r>
            <w:r>
              <w:rPr>
                <w:spacing w:val="6"/>
                <w:sz w:val="20"/>
              </w:rPr>
              <w:t> </w:t>
            </w:r>
            <w:r>
              <w:rPr>
                <w:sz w:val="20"/>
              </w:rPr>
              <w:t>inability</w:t>
            </w:r>
            <w:r>
              <w:rPr>
                <w:spacing w:val="8"/>
                <w:sz w:val="20"/>
              </w:rPr>
              <w:t> </w:t>
            </w:r>
            <w:r>
              <w:rPr>
                <w:sz w:val="20"/>
              </w:rPr>
              <w:t>of</w:t>
            </w:r>
            <w:r>
              <w:rPr>
                <w:spacing w:val="14"/>
                <w:sz w:val="20"/>
              </w:rPr>
              <w:t> </w:t>
            </w:r>
            <w:r>
              <w:rPr>
                <w:spacing w:val="-5"/>
                <w:sz w:val="20"/>
              </w:rPr>
              <w:t>the</w:t>
            </w:r>
          </w:p>
        </w:tc>
        <w:tc>
          <w:tcPr>
            <w:tcW w:w="1796" w:type="dxa"/>
          </w:tcPr>
          <w:p>
            <w:pPr>
              <w:pStyle w:val="TableParagraph"/>
              <w:spacing w:line="208" w:lineRule="exact"/>
              <w:ind w:left="111"/>
              <w:rPr>
                <w:sz w:val="20"/>
              </w:rPr>
            </w:pPr>
            <w:r>
              <w:rPr>
                <w:spacing w:val="-2"/>
                <w:sz w:val="20"/>
              </w:rPr>
              <w:t>observations</w:t>
            </w:r>
          </w:p>
        </w:tc>
        <w:tc>
          <w:tcPr>
            <w:tcW w:w="707" w:type="dxa"/>
          </w:tcPr>
          <w:p>
            <w:pPr>
              <w:pStyle w:val="TableParagraph"/>
              <w:spacing w:line="208" w:lineRule="exact"/>
              <w:ind w:left="64" w:right="34"/>
              <w:jc w:val="center"/>
              <w:rPr>
                <w:sz w:val="20"/>
              </w:rPr>
            </w:pPr>
            <w:r>
              <w:rPr>
                <w:spacing w:val="-10"/>
                <w:sz w:val="20"/>
              </w:rPr>
              <w:t>1</w:t>
            </w:r>
          </w:p>
        </w:tc>
        <w:tc>
          <w:tcPr>
            <w:tcW w:w="749" w:type="dxa"/>
          </w:tcPr>
          <w:p>
            <w:pPr>
              <w:pStyle w:val="TableParagraph"/>
              <w:spacing w:line="208" w:lineRule="exact"/>
              <w:ind w:left="14"/>
              <w:jc w:val="center"/>
              <w:rPr>
                <w:sz w:val="20"/>
              </w:rPr>
            </w:pPr>
            <w:r>
              <w:rPr>
                <w:spacing w:val="-4"/>
                <w:sz w:val="20"/>
              </w:rPr>
              <w:t>50.0</w:t>
            </w:r>
          </w:p>
        </w:tc>
        <w:tc>
          <w:tcPr>
            <w:tcW w:w="691" w:type="dxa"/>
          </w:tcPr>
          <w:p>
            <w:pPr>
              <w:pStyle w:val="TableParagraph"/>
              <w:spacing w:line="208" w:lineRule="exact"/>
              <w:ind w:left="22" w:right="15"/>
              <w:jc w:val="center"/>
              <w:rPr>
                <w:sz w:val="20"/>
              </w:rPr>
            </w:pPr>
            <w:r>
              <w:rPr>
                <w:spacing w:val="-10"/>
                <w:sz w:val="20"/>
              </w:rPr>
              <w:t>-</w:t>
            </w:r>
          </w:p>
        </w:tc>
        <w:tc>
          <w:tcPr>
            <w:tcW w:w="777" w:type="dxa"/>
          </w:tcPr>
          <w:p>
            <w:pPr>
              <w:pStyle w:val="TableParagraph"/>
              <w:spacing w:line="208" w:lineRule="exact"/>
              <w:ind w:left="10" w:right="28"/>
              <w:jc w:val="center"/>
              <w:rPr>
                <w:sz w:val="20"/>
              </w:rPr>
            </w:pPr>
            <w:r>
              <w:rPr>
                <w:spacing w:val="-10"/>
                <w:sz w:val="20"/>
              </w:rPr>
              <w:t>-</w:t>
            </w:r>
          </w:p>
        </w:tc>
        <w:tc>
          <w:tcPr>
            <w:tcW w:w="686" w:type="dxa"/>
          </w:tcPr>
          <w:p>
            <w:pPr>
              <w:pStyle w:val="TableParagraph"/>
              <w:spacing w:line="208" w:lineRule="exact"/>
              <w:ind w:left="18" w:right="52"/>
              <w:jc w:val="center"/>
              <w:rPr>
                <w:sz w:val="20"/>
              </w:rPr>
            </w:pPr>
            <w:r>
              <w:rPr>
                <w:spacing w:val="-10"/>
                <w:sz w:val="20"/>
              </w:rPr>
              <w:t>1</w:t>
            </w:r>
          </w:p>
        </w:tc>
        <w:tc>
          <w:tcPr>
            <w:tcW w:w="902" w:type="dxa"/>
          </w:tcPr>
          <w:p>
            <w:pPr>
              <w:pStyle w:val="TableParagraph"/>
              <w:spacing w:line="208" w:lineRule="exact"/>
              <w:ind w:left="20" w:right="4"/>
              <w:jc w:val="center"/>
              <w:rPr>
                <w:sz w:val="20"/>
              </w:rPr>
            </w:pPr>
            <w:r>
              <w:rPr>
                <w:spacing w:val="-4"/>
                <w:sz w:val="20"/>
              </w:rPr>
              <w:t>50.0</w:t>
            </w:r>
          </w:p>
        </w:tc>
        <w:tc>
          <w:tcPr>
            <w:tcW w:w="684" w:type="dxa"/>
          </w:tcPr>
          <w:p>
            <w:pPr>
              <w:pStyle w:val="TableParagraph"/>
              <w:spacing w:line="208" w:lineRule="exact"/>
              <w:ind w:left="68" w:right="12"/>
              <w:jc w:val="center"/>
              <w:rPr>
                <w:sz w:val="20"/>
              </w:rPr>
            </w:pPr>
            <w:r>
              <w:rPr>
                <w:spacing w:val="-10"/>
                <w:sz w:val="20"/>
              </w:rPr>
              <w:t>-</w:t>
            </w:r>
          </w:p>
        </w:tc>
        <w:tc>
          <w:tcPr>
            <w:tcW w:w="799" w:type="dxa"/>
          </w:tcPr>
          <w:p>
            <w:pPr>
              <w:pStyle w:val="TableParagraph"/>
              <w:spacing w:line="208" w:lineRule="exact"/>
              <w:ind w:left="23" w:right="10"/>
              <w:jc w:val="center"/>
              <w:rPr>
                <w:sz w:val="20"/>
              </w:rPr>
            </w:pPr>
            <w:r>
              <w:rPr>
                <w:spacing w:val="-10"/>
                <w:sz w:val="20"/>
              </w:rPr>
              <w:t>-</w:t>
            </w:r>
          </w:p>
        </w:tc>
        <w:tc>
          <w:tcPr>
            <w:tcW w:w="626" w:type="dxa"/>
          </w:tcPr>
          <w:p>
            <w:pPr>
              <w:pStyle w:val="TableParagraph"/>
              <w:spacing w:line="208" w:lineRule="exact"/>
              <w:ind w:left="20" w:right="12"/>
              <w:jc w:val="center"/>
              <w:rPr>
                <w:sz w:val="20"/>
              </w:rPr>
            </w:pPr>
            <w:r>
              <w:rPr>
                <w:spacing w:val="-10"/>
                <w:sz w:val="20"/>
              </w:rPr>
              <w:t>-</w:t>
            </w:r>
          </w:p>
        </w:tc>
        <w:tc>
          <w:tcPr>
            <w:tcW w:w="770" w:type="dxa"/>
          </w:tcPr>
          <w:p>
            <w:pPr>
              <w:pStyle w:val="TableParagraph"/>
              <w:spacing w:line="208" w:lineRule="exact"/>
              <w:ind w:left="42" w:right="9"/>
              <w:jc w:val="center"/>
              <w:rPr>
                <w:sz w:val="20"/>
              </w:rPr>
            </w:pPr>
            <w:r>
              <w:rPr>
                <w:spacing w:val="-10"/>
                <w:sz w:val="20"/>
              </w:rPr>
              <w:t>-</w:t>
            </w:r>
          </w:p>
        </w:tc>
        <w:tc>
          <w:tcPr>
            <w:tcW w:w="691" w:type="dxa"/>
          </w:tcPr>
          <w:p>
            <w:pPr>
              <w:pStyle w:val="TableParagraph"/>
              <w:spacing w:line="208" w:lineRule="exact"/>
              <w:ind w:left="22" w:right="3"/>
              <w:jc w:val="center"/>
              <w:rPr>
                <w:sz w:val="20"/>
              </w:rPr>
            </w:pPr>
            <w:r>
              <w:rPr>
                <w:spacing w:val="-10"/>
                <w:sz w:val="20"/>
              </w:rPr>
              <w:t>2</w:t>
            </w:r>
          </w:p>
        </w:tc>
        <w:tc>
          <w:tcPr>
            <w:tcW w:w="738" w:type="dxa"/>
            <w:tcBorders>
              <w:right w:val="single" w:sz="4" w:space="0" w:color="000000"/>
            </w:tcBorders>
          </w:tcPr>
          <w:p>
            <w:pPr>
              <w:pStyle w:val="TableParagraph"/>
              <w:spacing w:line="208" w:lineRule="exact"/>
              <w:ind w:left="53" w:right="23"/>
              <w:jc w:val="center"/>
              <w:rPr>
                <w:sz w:val="20"/>
              </w:rPr>
            </w:pPr>
            <w:r>
              <w:rPr>
                <w:spacing w:val="-5"/>
                <w:sz w:val="20"/>
              </w:rPr>
              <w:t>0.4</w:t>
            </w:r>
          </w:p>
        </w:tc>
      </w:tr>
      <w:tr>
        <w:trPr>
          <w:trHeight w:val="230" w:hRule="atLeast"/>
        </w:trPr>
        <w:tc>
          <w:tcPr>
            <w:tcW w:w="4146" w:type="dxa"/>
            <w:tcBorders>
              <w:left w:val="single" w:sz="4" w:space="0" w:color="000000"/>
            </w:tcBorders>
          </w:tcPr>
          <w:p>
            <w:pPr>
              <w:pStyle w:val="TableParagraph"/>
              <w:spacing w:line="210" w:lineRule="exact"/>
              <w:ind w:right="105"/>
              <w:jc w:val="right"/>
              <w:rPr>
                <w:sz w:val="20"/>
              </w:rPr>
            </w:pPr>
            <w:r>
              <w:rPr>
                <w:sz w:val="20"/>
              </w:rPr>
              <w:t>universities</w:t>
            </w:r>
            <w:r>
              <w:rPr>
                <w:spacing w:val="2"/>
                <w:sz w:val="20"/>
              </w:rPr>
              <w:t> </w:t>
            </w:r>
            <w:r>
              <w:rPr>
                <w:sz w:val="20"/>
              </w:rPr>
              <w:t>to</w:t>
            </w:r>
            <w:r>
              <w:rPr>
                <w:spacing w:val="6"/>
                <w:sz w:val="20"/>
              </w:rPr>
              <w:t> </w:t>
            </w:r>
            <w:r>
              <w:rPr>
                <w:sz w:val="20"/>
              </w:rPr>
              <w:t>manage</w:t>
            </w:r>
            <w:r>
              <w:rPr>
                <w:spacing w:val="6"/>
                <w:sz w:val="20"/>
              </w:rPr>
              <w:t> </w:t>
            </w:r>
            <w:r>
              <w:rPr>
                <w:sz w:val="20"/>
              </w:rPr>
              <w:t>and</w:t>
            </w:r>
            <w:r>
              <w:rPr>
                <w:spacing w:val="6"/>
                <w:sz w:val="20"/>
              </w:rPr>
              <w:t> </w:t>
            </w:r>
            <w:r>
              <w:rPr>
                <w:sz w:val="20"/>
              </w:rPr>
              <w:t>meet</w:t>
            </w:r>
            <w:r>
              <w:rPr>
                <w:spacing w:val="9"/>
                <w:sz w:val="20"/>
              </w:rPr>
              <w:t> </w:t>
            </w:r>
            <w:r>
              <w:rPr>
                <w:spacing w:val="-5"/>
                <w:sz w:val="20"/>
              </w:rPr>
              <w:t>all</w:t>
            </w:r>
          </w:p>
        </w:tc>
        <w:tc>
          <w:tcPr>
            <w:tcW w:w="1796" w:type="dxa"/>
          </w:tcPr>
          <w:p>
            <w:pPr>
              <w:pStyle w:val="TableParagraph"/>
              <w:spacing w:line="210" w:lineRule="exact"/>
              <w:ind w:left="111"/>
              <w:rPr>
                <w:sz w:val="20"/>
              </w:rPr>
            </w:pPr>
            <w:r>
              <w:rPr>
                <w:spacing w:val="-2"/>
                <w:sz w:val="20"/>
              </w:rPr>
              <w:t>Students</w:t>
            </w:r>
          </w:p>
        </w:tc>
        <w:tc>
          <w:tcPr>
            <w:tcW w:w="707" w:type="dxa"/>
          </w:tcPr>
          <w:p>
            <w:pPr>
              <w:pStyle w:val="TableParagraph"/>
              <w:spacing w:line="210" w:lineRule="exact"/>
              <w:ind w:left="64" w:right="44"/>
              <w:jc w:val="center"/>
              <w:rPr>
                <w:sz w:val="20"/>
              </w:rPr>
            </w:pPr>
            <w:r>
              <w:rPr>
                <w:spacing w:val="-5"/>
                <w:sz w:val="20"/>
              </w:rPr>
              <w:t>106</w:t>
            </w:r>
          </w:p>
        </w:tc>
        <w:tc>
          <w:tcPr>
            <w:tcW w:w="749" w:type="dxa"/>
          </w:tcPr>
          <w:p>
            <w:pPr>
              <w:pStyle w:val="TableParagraph"/>
              <w:spacing w:line="210" w:lineRule="exact"/>
              <w:ind w:left="14"/>
              <w:jc w:val="center"/>
              <w:rPr>
                <w:sz w:val="20"/>
              </w:rPr>
            </w:pPr>
            <w:r>
              <w:rPr>
                <w:spacing w:val="-4"/>
                <w:sz w:val="20"/>
              </w:rPr>
              <w:t>45.1</w:t>
            </w:r>
          </w:p>
        </w:tc>
        <w:tc>
          <w:tcPr>
            <w:tcW w:w="691" w:type="dxa"/>
          </w:tcPr>
          <w:p>
            <w:pPr>
              <w:pStyle w:val="TableParagraph"/>
              <w:spacing w:line="210" w:lineRule="exact"/>
              <w:ind w:left="22" w:right="13"/>
              <w:jc w:val="center"/>
              <w:rPr>
                <w:sz w:val="20"/>
              </w:rPr>
            </w:pPr>
            <w:r>
              <w:rPr>
                <w:spacing w:val="-5"/>
                <w:sz w:val="20"/>
              </w:rPr>
              <w:t>94</w:t>
            </w:r>
          </w:p>
        </w:tc>
        <w:tc>
          <w:tcPr>
            <w:tcW w:w="777" w:type="dxa"/>
          </w:tcPr>
          <w:p>
            <w:pPr>
              <w:pStyle w:val="TableParagraph"/>
              <w:spacing w:line="210" w:lineRule="exact"/>
              <w:ind w:left="17" w:right="28"/>
              <w:jc w:val="center"/>
              <w:rPr>
                <w:sz w:val="20"/>
              </w:rPr>
            </w:pPr>
            <w:r>
              <w:rPr>
                <w:spacing w:val="-4"/>
                <w:sz w:val="20"/>
              </w:rPr>
              <w:t>40.0</w:t>
            </w:r>
          </w:p>
        </w:tc>
        <w:tc>
          <w:tcPr>
            <w:tcW w:w="686" w:type="dxa"/>
          </w:tcPr>
          <w:p>
            <w:pPr>
              <w:pStyle w:val="TableParagraph"/>
              <w:spacing w:line="210" w:lineRule="exact"/>
              <w:ind w:left="13" w:right="52"/>
              <w:jc w:val="center"/>
              <w:rPr>
                <w:sz w:val="20"/>
              </w:rPr>
            </w:pPr>
            <w:r>
              <w:rPr>
                <w:spacing w:val="-5"/>
                <w:sz w:val="20"/>
              </w:rPr>
              <w:t>23</w:t>
            </w:r>
          </w:p>
        </w:tc>
        <w:tc>
          <w:tcPr>
            <w:tcW w:w="902" w:type="dxa"/>
          </w:tcPr>
          <w:p>
            <w:pPr>
              <w:pStyle w:val="TableParagraph"/>
              <w:spacing w:line="210" w:lineRule="exact"/>
              <w:ind w:left="20" w:right="9"/>
              <w:jc w:val="center"/>
              <w:rPr>
                <w:sz w:val="20"/>
              </w:rPr>
            </w:pPr>
            <w:r>
              <w:rPr>
                <w:spacing w:val="-5"/>
                <w:sz w:val="20"/>
              </w:rPr>
              <w:t>9.8</w:t>
            </w:r>
          </w:p>
        </w:tc>
        <w:tc>
          <w:tcPr>
            <w:tcW w:w="684" w:type="dxa"/>
          </w:tcPr>
          <w:p>
            <w:pPr>
              <w:pStyle w:val="TableParagraph"/>
              <w:spacing w:line="210" w:lineRule="exact"/>
              <w:ind w:left="68" w:right="6"/>
              <w:jc w:val="center"/>
              <w:rPr>
                <w:sz w:val="20"/>
              </w:rPr>
            </w:pPr>
            <w:r>
              <w:rPr>
                <w:spacing w:val="-10"/>
                <w:sz w:val="20"/>
              </w:rPr>
              <w:t>7</w:t>
            </w:r>
          </w:p>
        </w:tc>
        <w:tc>
          <w:tcPr>
            <w:tcW w:w="799" w:type="dxa"/>
          </w:tcPr>
          <w:p>
            <w:pPr>
              <w:pStyle w:val="TableParagraph"/>
              <w:spacing w:line="210" w:lineRule="exact"/>
              <w:ind w:left="23" w:right="9"/>
              <w:jc w:val="center"/>
              <w:rPr>
                <w:sz w:val="20"/>
              </w:rPr>
            </w:pPr>
            <w:r>
              <w:rPr>
                <w:spacing w:val="-5"/>
                <w:sz w:val="20"/>
              </w:rPr>
              <w:t>3.0</w:t>
            </w:r>
          </w:p>
        </w:tc>
        <w:tc>
          <w:tcPr>
            <w:tcW w:w="626" w:type="dxa"/>
          </w:tcPr>
          <w:p>
            <w:pPr>
              <w:pStyle w:val="TableParagraph"/>
              <w:spacing w:line="210" w:lineRule="exact"/>
              <w:ind w:left="20" w:right="5"/>
              <w:jc w:val="center"/>
              <w:rPr>
                <w:sz w:val="20"/>
              </w:rPr>
            </w:pPr>
            <w:r>
              <w:rPr>
                <w:spacing w:val="-10"/>
                <w:sz w:val="20"/>
              </w:rPr>
              <w:t>5</w:t>
            </w:r>
          </w:p>
        </w:tc>
        <w:tc>
          <w:tcPr>
            <w:tcW w:w="770" w:type="dxa"/>
          </w:tcPr>
          <w:p>
            <w:pPr>
              <w:pStyle w:val="TableParagraph"/>
              <w:spacing w:line="210" w:lineRule="exact"/>
              <w:ind w:left="42" w:right="7"/>
              <w:jc w:val="center"/>
              <w:rPr>
                <w:sz w:val="20"/>
              </w:rPr>
            </w:pPr>
            <w:r>
              <w:rPr>
                <w:spacing w:val="-5"/>
                <w:sz w:val="20"/>
              </w:rPr>
              <w:t>2.1</w:t>
            </w:r>
          </w:p>
        </w:tc>
        <w:tc>
          <w:tcPr>
            <w:tcW w:w="691" w:type="dxa"/>
          </w:tcPr>
          <w:p>
            <w:pPr>
              <w:pStyle w:val="TableParagraph"/>
              <w:spacing w:line="210" w:lineRule="exact"/>
              <w:ind w:left="22" w:right="13"/>
              <w:jc w:val="center"/>
              <w:rPr>
                <w:sz w:val="20"/>
              </w:rPr>
            </w:pPr>
            <w:r>
              <w:rPr>
                <w:spacing w:val="-5"/>
                <w:sz w:val="20"/>
              </w:rPr>
              <w:t>235</w:t>
            </w:r>
          </w:p>
        </w:tc>
        <w:tc>
          <w:tcPr>
            <w:tcW w:w="738" w:type="dxa"/>
            <w:tcBorders>
              <w:right w:val="single" w:sz="4" w:space="0" w:color="000000"/>
            </w:tcBorders>
          </w:tcPr>
          <w:p>
            <w:pPr>
              <w:pStyle w:val="TableParagraph"/>
              <w:spacing w:line="210" w:lineRule="exact"/>
              <w:ind w:left="53" w:right="18"/>
              <w:jc w:val="center"/>
              <w:rPr>
                <w:sz w:val="20"/>
              </w:rPr>
            </w:pPr>
            <w:r>
              <w:rPr>
                <w:spacing w:val="-4"/>
                <w:sz w:val="20"/>
              </w:rPr>
              <w:t>50.8</w:t>
            </w:r>
          </w:p>
        </w:tc>
      </w:tr>
      <w:tr>
        <w:trPr>
          <w:trHeight w:val="230" w:hRule="atLeast"/>
        </w:trPr>
        <w:tc>
          <w:tcPr>
            <w:tcW w:w="4146" w:type="dxa"/>
            <w:tcBorders>
              <w:left w:val="single" w:sz="4" w:space="0" w:color="000000"/>
            </w:tcBorders>
          </w:tcPr>
          <w:p>
            <w:pPr>
              <w:pStyle w:val="TableParagraph"/>
              <w:spacing w:line="210" w:lineRule="exact"/>
              <w:ind w:right="99"/>
              <w:jc w:val="right"/>
              <w:rPr>
                <w:sz w:val="20"/>
              </w:rPr>
            </w:pPr>
            <w:r>
              <w:rPr>
                <w:sz w:val="20"/>
              </w:rPr>
              <w:t>the</w:t>
            </w:r>
            <w:r>
              <w:rPr>
                <w:spacing w:val="54"/>
                <w:sz w:val="20"/>
              </w:rPr>
              <w:t> </w:t>
            </w:r>
            <w:r>
              <w:rPr>
                <w:sz w:val="20"/>
              </w:rPr>
              <w:t>welfare</w:t>
            </w:r>
            <w:r>
              <w:rPr>
                <w:spacing w:val="54"/>
                <w:sz w:val="20"/>
              </w:rPr>
              <w:t> </w:t>
            </w:r>
            <w:r>
              <w:rPr>
                <w:sz w:val="20"/>
              </w:rPr>
              <w:t>needs</w:t>
            </w:r>
            <w:r>
              <w:rPr>
                <w:spacing w:val="51"/>
                <w:sz w:val="20"/>
              </w:rPr>
              <w:t> </w:t>
            </w:r>
            <w:r>
              <w:rPr>
                <w:sz w:val="20"/>
              </w:rPr>
              <w:t>of</w:t>
            </w:r>
            <w:r>
              <w:rPr>
                <w:spacing w:val="61"/>
                <w:sz w:val="20"/>
              </w:rPr>
              <w:t> </w:t>
            </w:r>
            <w:r>
              <w:rPr>
                <w:sz w:val="20"/>
              </w:rPr>
              <w:t>the</w:t>
            </w:r>
            <w:r>
              <w:rPr>
                <w:spacing w:val="55"/>
                <w:sz w:val="20"/>
              </w:rPr>
              <w:t> </w:t>
            </w:r>
            <w:r>
              <w:rPr>
                <w:spacing w:val="-2"/>
                <w:sz w:val="20"/>
              </w:rPr>
              <w:t>teeming</w:t>
            </w:r>
          </w:p>
        </w:tc>
        <w:tc>
          <w:tcPr>
            <w:tcW w:w="1796" w:type="dxa"/>
          </w:tcPr>
          <w:p>
            <w:pPr>
              <w:pStyle w:val="TableParagraph"/>
              <w:spacing w:line="210" w:lineRule="exact"/>
              <w:ind w:left="111"/>
              <w:rPr>
                <w:sz w:val="20"/>
              </w:rPr>
            </w:pPr>
            <w:r>
              <w:rPr>
                <w:sz w:val="20"/>
              </w:rPr>
              <w:t>Service</w:t>
            </w:r>
            <w:r>
              <w:rPr>
                <w:spacing w:val="-9"/>
                <w:sz w:val="20"/>
              </w:rPr>
              <w:t> </w:t>
            </w:r>
            <w:r>
              <w:rPr>
                <w:spacing w:val="-2"/>
                <w:sz w:val="20"/>
              </w:rPr>
              <w:t>Staff</w:t>
            </w:r>
          </w:p>
        </w:tc>
        <w:tc>
          <w:tcPr>
            <w:tcW w:w="707" w:type="dxa"/>
          </w:tcPr>
          <w:p>
            <w:pPr>
              <w:pStyle w:val="TableParagraph"/>
              <w:spacing w:line="210" w:lineRule="exact"/>
              <w:ind w:left="64" w:right="44"/>
              <w:jc w:val="center"/>
              <w:rPr>
                <w:sz w:val="20"/>
              </w:rPr>
            </w:pPr>
            <w:r>
              <w:rPr>
                <w:spacing w:val="-5"/>
                <w:sz w:val="20"/>
              </w:rPr>
              <w:t>108</w:t>
            </w:r>
          </w:p>
        </w:tc>
        <w:tc>
          <w:tcPr>
            <w:tcW w:w="749" w:type="dxa"/>
          </w:tcPr>
          <w:p>
            <w:pPr>
              <w:pStyle w:val="TableParagraph"/>
              <w:spacing w:line="210" w:lineRule="exact"/>
              <w:ind w:left="14"/>
              <w:jc w:val="center"/>
              <w:rPr>
                <w:sz w:val="20"/>
              </w:rPr>
            </w:pPr>
            <w:r>
              <w:rPr>
                <w:spacing w:val="-4"/>
                <w:sz w:val="20"/>
              </w:rPr>
              <w:t>53.2</w:t>
            </w:r>
          </w:p>
        </w:tc>
        <w:tc>
          <w:tcPr>
            <w:tcW w:w="691" w:type="dxa"/>
          </w:tcPr>
          <w:p>
            <w:pPr>
              <w:pStyle w:val="TableParagraph"/>
              <w:spacing w:line="210" w:lineRule="exact"/>
              <w:ind w:left="22" w:right="13"/>
              <w:jc w:val="center"/>
              <w:rPr>
                <w:sz w:val="20"/>
              </w:rPr>
            </w:pPr>
            <w:r>
              <w:rPr>
                <w:spacing w:val="-5"/>
                <w:sz w:val="20"/>
              </w:rPr>
              <w:t>72</w:t>
            </w:r>
          </w:p>
        </w:tc>
        <w:tc>
          <w:tcPr>
            <w:tcW w:w="777" w:type="dxa"/>
          </w:tcPr>
          <w:p>
            <w:pPr>
              <w:pStyle w:val="TableParagraph"/>
              <w:spacing w:line="210" w:lineRule="exact"/>
              <w:ind w:left="17" w:right="28"/>
              <w:jc w:val="center"/>
              <w:rPr>
                <w:sz w:val="20"/>
              </w:rPr>
            </w:pPr>
            <w:r>
              <w:rPr>
                <w:spacing w:val="-4"/>
                <w:sz w:val="20"/>
              </w:rPr>
              <w:t>35.5</w:t>
            </w:r>
          </w:p>
        </w:tc>
        <w:tc>
          <w:tcPr>
            <w:tcW w:w="686" w:type="dxa"/>
          </w:tcPr>
          <w:p>
            <w:pPr>
              <w:pStyle w:val="TableParagraph"/>
              <w:spacing w:line="210" w:lineRule="exact"/>
              <w:ind w:left="13" w:right="52"/>
              <w:jc w:val="center"/>
              <w:rPr>
                <w:sz w:val="20"/>
              </w:rPr>
            </w:pPr>
            <w:r>
              <w:rPr>
                <w:spacing w:val="-5"/>
                <w:sz w:val="20"/>
              </w:rPr>
              <w:t>11</w:t>
            </w:r>
          </w:p>
        </w:tc>
        <w:tc>
          <w:tcPr>
            <w:tcW w:w="902" w:type="dxa"/>
          </w:tcPr>
          <w:p>
            <w:pPr>
              <w:pStyle w:val="TableParagraph"/>
              <w:spacing w:line="210" w:lineRule="exact"/>
              <w:ind w:left="20" w:right="9"/>
              <w:jc w:val="center"/>
              <w:rPr>
                <w:sz w:val="20"/>
              </w:rPr>
            </w:pPr>
            <w:r>
              <w:rPr>
                <w:spacing w:val="-5"/>
                <w:sz w:val="20"/>
              </w:rPr>
              <w:t>5.4</w:t>
            </w:r>
          </w:p>
        </w:tc>
        <w:tc>
          <w:tcPr>
            <w:tcW w:w="684" w:type="dxa"/>
          </w:tcPr>
          <w:p>
            <w:pPr>
              <w:pStyle w:val="TableParagraph"/>
              <w:spacing w:line="210" w:lineRule="exact"/>
              <w:ind w:left="68" w:right="10"/>
              <w:jc w:val="center"/>
              <w:rPr>
                <w:sz w:val="20"/>
              </w:rPr>
            </w:pPr>
            <w:r>
              <w:rPr>
                <w:spacing w:val="-5"/>
                <w:sz w:val="20"/>
              </w:rPr>
              <w:t>11</w:t>
            </w:r>
          </w:p>
        </w:tc>
        <w:tc>
          <w:tcPr>
            <w:tcW w:w="799" w:type="dxa"/>
          </w:tcPr>
          <w:p>
            <w:pPr>
              <w:pStyle w:val="TableParagraph"/>
              <w:spacing w:line="210" w:lineRule="exact"/>
              <w:ind w:left="23" w:right="9"/>
              <w:jc w:val="center"/>
              <w:rPr>
                <w:sz w:val="20"/>
              </w:rPr>
            </w:pPr>
            <w:r>
              <w:rPr>
                <w:spacing w:val="-5"/>
                <w:sz w:val="20"/>
              </w:rPr>
              <w:t>5.4</w:t>
            </w:r>
          </w:p>
        </w:tc>
        <w:tc>
          <w:tcPr>
            <w:tcW w:w="626" w:type="dxa"/>
          </w:tcPr>
          <w:p>
            <w:pPr>
              <w:pStyle w:val="TableParagraph"/>
              <w:spacing w:line="210" w:lineRule="exact"/>
              <w:ind w:left="20" w:right="5"/>
              <w:jc w:val="center"/>
              <w:rPr>
                <w:sz w:val="20"/>
              </w:rPr>
            </w:pPr>
            <w:r>
              <w:rPr>
                <w:spacing w:val="-10"/>
                <w:sz w:val="20"/>
              </w:rPr>
              <w:t>1</w:t>
            </w:r>
          </w:p>
        </w:tc>
        <w:tc>
          <w:tcPr>
            <w:tcW w:w="770" w:type="dxa"/>
          </w:tcPr>
          <w:p>
            <w:pPr>
              <w:pStyle w:val="TableParagraph"/>
              <w:spacing w:line="210" w:lineRule="exact"/>
              <w:ind w:left="42" w:right="7"/>
              <w:jc w:val="center"/>
              <w:rPr>
                <w:sz w:val="20"/>
              </w:rPr>
            </w:pPr>
            <w:r>
              <w:rPr>
                <w:spacing w:val="-5"/>
                <w:sz w:val="20"/>
              </w:rPr>
              <w:t>0.5</w:t>
            </w:r>
          </w:p>
        </w:tc>
        <w:tc>
          <w:tcPr>
            <w:tcW w:w="691" w:type="dxa"/>
          </w:tcPr>
          <w:p>
            <w:pPr>
              <w:pStyle w:val="TableParagraph"/>
              <w:spacing w:line="210" w:lineRule="exact"/>
              <w:ind w:left="22" w:right="13"/>
              <w:jc w:val="center"/>
              <w:rPr>
                <w:sz w:val="20"/>
              </w:rPr>
            </w:pPr>
            <w:r>
              <w:rPr>
                <w:spacing w:val="-5"/>
                <w:sz w:val="20"/>
              </w:rPr>
              <w:t>203</w:t>
            </w:r>
          </w:p>
        </w:tc>
        <w:tc>
          <w:tcPr>
            <w:tcW w:w="738" w:type="dxa"/>
            <w:tcBorders>
              <w:right w:val="single" w:sz="4" w:space="0" w:color="000000"/>
            </w:tcBorders>
          </w:tcPr>
          <w:p>
            <w:pPr>
              <w:pStyle w:val="TableParagraph"/>
              <w:spacing w:line="210" w:lineRule="exact"/>
              <w:ind w:left="53" w:right="18"/>
              <w:jc w:val="center"/>
              <w:rPr>
                <w:sz w:val="20"/>
              </w:rPr>
            </w:pPr>
            <w:r>
              <w:rPr>
                <w:spacing w:val="-4"/>
                <w:sz w:val="20"/>
              </w:rPr>
              <w:t>43.8</w:t>
            </w:r>
          </w:p>
        </w:tc>
      </w:tr>
      <w:tr>
        <w:trPr>
          <w:trHeight w:val="304" w:hRule="atLeast"/>
        </w:trPr>
        <w:tc>
          <w:tcPr>
            <w:tcW w:w="4146" w:type="dxa"/>
            <w:tcBorders>
              <w:left w:val="single" w:sz="4" w:space="0" w:color="000000"/>
            </w:tcBorders>
          </w:tcPr>
          <w:p>
            <w:pPr>
              <w:pStyle w:val="TableParagraph"/>
              <w:spacing w:line="227" w:lineRule="exact"/>
              <w:ind w:left="830"/>
              <w:rPr>
                <w:sz w:val="20"/>
              </w:rPr>
            </w:pPr>
            <w:r>
              <w:rPr>
                <w:sz w:val="20"/>
              </w:rPr>
              <w:t>population</w:t>
            </w:r>
            <w:r>
              <w:rPr>
                <w:spacing w:val="-6"/>
                <w:sz w:val="20"/>
              </w:rPr>
              <w:t> </w:t>
            </w:r>
            <w:r>
              <w:rPr>
                <w:sz w:val="20"/>
              </w:rPr>
              <w:t>of</w:t>
            </w:r>
            <w:r>
              <w:rPr>
                <w:spacing w:val="-3"/>
                <w:sz w:val="20"/>
              </w:rPr>
              <w:t> </w:t>
            </w:r>
            <w:r>
              <w:rPr>
                <w:spacing w:val="-2"/>
                <w:sz w:val="20"/>
              </w:rPr>
              <w:t>students.</w:t>
            </w:r>
          </w:p>
        </w:tc>
        <w:tc>
          <w:tcPr>
            <w:tcW w:w="1796" w:type="dxa"/>
          </w:tcPr>
          <w:p>
            <w:pPr>
              <w:pStyle w:val="TableParagraph"/>
              <w:spacing w:before="26"/>
              <w:ind w:left="111"/>
              <w:rPr>
                <w:sz w:val="20"/>
              </w:rPr>
            </w:pPr>
            <w:r>
              <w:rPr>
                <w:sz w:val="20"/>
              </w:rPr>
              <w:t>Top</w:t>
            </w:r>
            <w:r>
              <w:rPr>
                <w:spacing w:val="-1"/>
                <w:sz w:val="20"/>
              </w:rPr>
              <w:t> </w:t>
            </w:r>
            <w:r>
              <w:rPr>
                <w:spacing w:val="-2"/>
                <w:sz w:val="20"/>
              </w:rPr>
              <w:t>Management</w:t>
            </w:r>
          </w:p>
        </w:tc>
        <w:tc>
          <w:tcPr>
            <w:tcW w:w="707" w:type="dxa"/>
          </w:tcPr>
          <w:p>
            <w:pPr>
              <w:pStyle w:val="TableParagraph"/>
              <w:spacing w:before="26"/>
              <w:ind w:left="64" w:right="39"/>
              <w:jc w:val="center"/>
              <w:rPr>
                <w:sz w:val="20"/>
              </w:rPr>
            </w:pPr>
            <w:r>
              <w:rPr>
                <w:spacing w:val="-5"/>
                <w:sz w:val="20"/>
              </w:rPr>
              <w:t>14</w:t>
            </w:r>
          </w:p>
        </w:tc>
        <w:tc>
          <w:tcPr>
            <w:tcW w:w="749" w:type="dxa"/>
          </w:tcPr>
          <w:p>
            <w:pPr>
              <w:pStyle w:val="TableParagraph"/>
              <w:spacing w:before="26"/>
              <w:ind w:left="14"/>
              <w:jc w:val="center"/>
              <w:rPr>
                <w:sz w:val="20"/>
              </w:rPr>
            </w:pPr>
            <w:r>
              <w:rPr>
                <w:spacing w:val="-4"/>
                <w:sz w:val="20"/>
              </w:rPr>
              <w:t>60.9</w:t>
            </w:r>
          </w:p>
        </w:tc>
        <w:tc>
          <w:tcPr>
            <w:tcW w:w="691" w:type="dxa"/>
          </w:tcPr>
          <w:p>
            <w:pPr>
              <w:pStyle w:val="TableParagraph"/>
              <w:spacing w:before="26"/>
              <w:ind w:left="22" w:right="8"/>
              <w:jc w:val="center"/>
              <w:rPr>
                <w:sz w:val="20"/>
              </w:rPr>
            </w:pPr>
            <w:r>
              <w:rPr>
                <w:spacing w:val="-10"/>
                <w:sz w:val="20"/>
              </w:rPr>
              <w:t>8</w:t>
            </w:r>
          </w:p>
        </w:tc>
        <w:tc>
          <w:tcPr>
            <w:tcW w:w="777" w:type="dxa"/>
          </w:tcPr>
          <w:p>
            <w:pPr>
              <w:pStyle w:val="TableParagraph"/>
              <w:spacing w:before="26"/>
              <w:ind w:left="17" w:right="28"/>
              <w:jc w:val="center"/>
              <w:rPr>
                <w:sz w:val="20"/>
              </w:rPr>
            </w:pPr>
            <w:r>
              <w:rPr>
                <w:spacing w:val="-4"/>
                <w:sz w:val="20"/>
              </w:rPr>
              <w:t>34.8</w:t>
            </w:r>
          </w:p>
        </w:tc>
        <w:tc>
          <w:tcPr>
            <w:tcW w:w="686" w:type="dxa"/>
          </w:tcPr>
          <w:p>
            <w:pPr>
              <w:pStyle w:val="TableParagraph"/>
              <w:spacing w:before="26"/>
              <w:ind w:left="18" w:right="52"/>
              <w:jc w:val="center"/>
              <w:rPr>
                <w:sz w:val="20"/>
              </w:rPr>
            </w:pPr>
            <w:r>
              <w:rPr>
                <w:spacing w:val="-10"/>
                <w:sz w:val="20"/>
              </w:rPr>
              <w:t>1</w:t>
            </w:r>
          </w:p>
        </w:tc>
        <w:tc>
          <w:tcPr>
            <w:tcW w:w="902" w:type="dxa"/>
          </w:tcPr>
          <w:p>
            <w:pPr>
              <w:pStyle w:val="TableParagraph"/>
              <w:spacing w:before="26"/>
              <w:ind w:left="20" w:right="9"/>
              <w:jc w:val="center"/>
              <w:rPr>
                <w:sz w:val="20"/>
              </w:rPr>
            </w:pPr>
            <w:r>
              <w:rPr>
                <w:spacing w:val="-5"/>
                <w:sz w:val="20"/>
              </w:rPr>
              <w:t>4.3</w:t>
            </w:r>
          </w:p>
        </w:tc>
        <w:tc>
          <w:tcPr>
            <w:tcW w:w="684" w:type="dxa"/>
          </w:tcPr>
          <w:p>
            <w:pPr>
              <w:pStyle w:val="TableParagraph"/>
              <w:spacing w:before="26"/>
              <w:ind w:left="68" w:right="12"/>
              <w:jc w:val="center"/>
              <w:rPr>
                <w:sz w:val="20"/>
              </w:rPr>
            </w:pPr>
            <w:r>
              <w:rPr>
                <w:spacing w:val="-10"/>
                <w:sz w:val="20"/>
              </w:rPr>
              <w:t>-</w:t>
            </w:r>
          </w:p>
        </w:tc>
        <w:tc>
          <w:tcPr>
            <w:tcW w:w="799" w:type="dxa"/>
          </w:tcPr>
          <w:p>
            <w:pPr>
              <w:pStyle w:val="TableParagraph"/>
              <w:spacing w:before="26"/>
              <w:ind w:left="23" w:right="10"/>
              <w:jc w:val="center"/>
              <w:rPr>
                <w:sz w:val="20"/>
              </w:rPr>
            </w:pPr>
            <w:r>
              <w:rPr>
                <w:spacing w:val="-10"/>
                <w:sz w:val="20"/>
              </w:rPr>
              <w:t>-</w:t>
            </w:r>
          </w:p>
        </w:tc>
        <w:tc>
          <w:tcPr>
            <w:tcW w:w="626" w:type="dxa"/>
          </w:tcPr>
          <w:p>
            <w:pPr>
              <w:pStyle w:val="TableParagraph"/>
              <w:spacing w:before="26"/>
              <w:ind w:left="20" w:right="12"/>
              <w:jc w:val="center"/>
              <w:rPr>
                <w:sz w:val="20"/>
              </w:rPr>
            </w:pPr>
            <w:r>
              <w:rPr>
                <w:spacing w:val="-10"/>
                <w:sz w:val="20"/>
              </w:rPr>
              <w:t>-</w:t>
            </w:r>
          </w:p>
        </w:tc>
        <w:tc>
          <w:tcPr>
            <w:tcW w:w="770" w:type="dxa"/>
          </w:tcPr>
          <w:p>
            <w:pPr>
              <w:pStyle w:val="TableParagraph"/>
              <w:spacing w:before="26"/>
              <w:ind w:left="42" w:right="9"/>
              <w:jc w:val="center"/>
              <w:rPr>
                <w:sz w:val="20"/>
              </w:rPr>
            </w:pPr>
            <w:r>
              <w:rPr>
                <w:spacing w:val="-10"/>
                <w:sz w:val="20"/>
              </w:rPr>
              <w:t>-</w:t>
            </w:r>
          </w:p>
        </w:tc>
        <w:tc>
          <w:tcPr>
            <w:tcW w:w="691" w:type="dxa"/>
          </w:tcPr>
          <w:p>
            <w:pPr>
              <w:pStyle w:val="TableParagraph"/>
              <w:spacing w:before="26"/>
              <w:ind w:left="22" w:right="8"/>
              <w:jc w:val="center"/>
              <w:rPr>
                <w:sz w:val="20"/>
              </w:rPr>
            </w:pPr>
            <w:r>
              <w:rPr>
                <w:spacing w:val="-5"/>
                <w:sz w:val="20"/>
              </w:rPr>
              <w:t>23</w:t>
            </w:r>
          </w:p>
        </w:tc>
        <w:tc>
          <w:tcPr>
            <w:tcW w:w="738" w:type="dxa"/>
            <w:tcBorders>
              <w:right w:val="single" w:sz="4" w:space="0" w:color="000000"/>
            </w:tcBorders>
          </w:tcPr>
          <w:p>
            <w:pPr>
              <w:pStyle w:val="TableParagraph"/>
              <w:spacing w:before="26"/>
              <w:ind w:left="53" w:right="23"/>
              <w:jc w:val="center"/>
              <w:rPr>
                <w:sz w:val="20"/>
              </w:rPr>
            </w:pPr>
            <w:r>
              <w:rPr>
                <w:spacing w:val="-5"/>
                <w:sz w:val="20"/>
              </w:rPr>
              <w:t>5.0</w:t>
            </w:r>
          </w:p>
        </w:tc>
      </w:tr>
      <w:tr>
        <w:trPr>
          <w:trHeight w:val="276" w:hRule="atLeast"/>
        </w:trPr>
        <w:tc>
          <w:tcPr>
            <w:tcW w:w="4146" w:type="dxa"/>
            <w:tcBorders>
              <w:left w:val="single" w:sz="4" w:space="0" w:color="000000"/>
            </w:tcBorders>
          </w:tcPr>
          <w:p>
            <w:pPr>
              <w:pStyle w:val="TableParagraph"/>
              <w:tabs>
                <w:tab w:pos="609" w:val="left" w:leader="none"/>
              </w:tabs>
              <w:spacing w:line="213" w:lineRule="exact" w:before="43"/>
              <w:ind w:right="100"/>
              <w:jc w:val="right"/>
              <w:rPr>
                <w:sz w:val="20"/>
              </w:rPr>
            </w:pPr>
            <w:r>
              <w:rPr>
                <w:spacing w:val="-5"/>
                <w:sz w:val="20"/>
              </w:rPr>
              <w:t>94.</w:t>
            </w:r>
            <w:r>
              <w:rPr>
                <w:sz w:val="20"/>
              </w:rPr>
              <w:tab/>
              <w:t>The</w:t>
            </w:r>
            <w:r>
              <w:rPr>
                <w:spacing w:val="-1"/>
                <w:sz w:val="20"/>
              </w:rPr>
              <w:t> </w:t>
            </w:r>
            <w:r>
              <w:rPr>
                <w:sz w:val="20"/>
              </w:rPr>
              <w:t>role</w:t>
            </w:r>
            <w:r>
              <w:rPr>
                <w:spacing w:val="-5"/>
                <w:sz w:val="20"/>
              </w:rPr>
              <w:t> </w:t>
            </w:r>
            <w:r>
              <w:rPr>
                <w:sz w:val="20"/>
              </w:rPr>
              <w:t>of</w:t>
            </w:r>
            <w:r>
              <w:rPr>
                <w:spacing w:val="6"/>
                <w:sz w:val="20"/>
              </w:rPr>
              <w:t> </w:t>
            </w:r>
            <w:r>
              <w:rPr>
                <w:sz w:val="20"/>
              </w:rPr>
              <w:t>Students</w:t>
            </w:r>
            <w:r>
              <w:rPr>
                <w:spacing w:val="-3"/>
                <w:sz w:val="20"/>
              </w:rPr>
              <w:t> </w:t>
            </w:r>
            <w:r>
              <w:rPr>
                <w:sz w:val="20"/>
              </w:rPr>
              <w:t>Affairs</w:t>
            </w:r>
            <w:r>
              <w:rPr>
                <w:spacing w:val="-3"/>
                <w:sz w:val="20"/>
              </w:rPr>
              <w:t> </w:t>
            </w:r>
            <w:r>
              <w:rPr>
                <w:spacing w:val="-2"/>
                <w:sz w:val="20"/>
              </w:rPr>
              <w:t>Division</w:t>
            </w:r>
          </w:p>
        </w:tc>
        <w:tc>
          <w:tcPr>
            <w:tcW w:w="1796" w:type="dxa"/>
          </w:tcPr>
          <w:p>
            <w:pPr>
              <w:pStyle w:val="TableParagraph"/>
              <w:spacing w:line="213" w:lineRule="exact" w:before="43"/>
              <w:ind w:left="111"/>
              <w:rPr>
                <w:sz w:val="20"/>
              </w:rPr>
            </w:pPr>
            <w:r>
              <w:rPr>
                <w:sz w:val="20"/>
              </w:rPr>
              <w:t>No.</w:t>
            </w:r>
            <w:r>
              <w:rPr>
                <w:spacing w:val="-5"/>
                <w:sz w:val="20"/>
              </w:rPr>
              <w:t> </w:t>
            </w:r>
            <w:r>
              <w:rPr>
                <w:sz w:val="20"/>
              </w:rPr>
              <w:t>of</w:t>
            </w:r>
            <w:r>
              <w:rPr>
                <w:spacing w:val="-2"/>
                <w:sz w:val="20"/>
              </w:rPr>
              <w:t> missing</w:t>
            </w:r>
          </w:p>
        </w:tc>
        <w:tc>
          <w:tcPr>
            <w:tcW w:w="707" w:type="dxa"/>
          </w:tcPr>
          <w:p>
            <w:pPr>
              <w:pStyle w:val="TableParagraph"/>
              <w:rPr>
                <w:rFonts w:ascii="Times New Roman"/>
                <w:sz w:val="20"/>
              </w:rPr>
            </w:pPr>
          </w:p>
        </w:tc>
        <w:tc>
          <w:tcPr>
            <w:tcW w:w="749" w:type="dxa"/>
          </w:tcPr>
          <w:p>
            <w:pPr>
              <w:pStyle w:val="TableParagraph"/>
              <w:rPr>
                <w:rFonts w:ascii="Times New Roman"/>
                <w:sz w:val="20"/>
              </w:rPr>
            </w:pPr>
          </w:p>
        </w:tc>
        <w:tc>
          <w:tcPr>
            <w:tcW w:w="691" w:type="dxa"/>
          </w:tcPr>
          <w:p>
            <w:pPr>
              <w:pStyle w:val="TableParagraph"/>
              <w:rPr>
                <w:rFonts w:ascii="Times New Roman"/>
                <w:sz w:val="20"/>
              </w:rPr>
            </w:pPr>
          </w:p>
        </w:tc>
        <w:tc>
          <w:tcPr>
            <w:tcW w:w="777" w:type="dxa"/>
          </w:tcPr>
          <w:p>
            <w:pPr>
              <w:pStyle w:val="TableParagraph"/>
              <w:rPr>
                <w:rFonts w:ascii="Times New Roman"/>
                <w:sz w:val="20"/>
              </w:rPr>
            </w:pPr>
          </w:p>
        </w:tc>
        <w:tc>
          <w:tcPr>
            <w:tcW w:w="686" w:type="dxa"/>
          </w:tcPr>
          <w:p>
            <w:pPr>
              <w:pStyle w:val="TableParagraph"/>
              <w:rPr>
                <w:rFonts w:ascii="Times New Roman"/>
                <w:sz w:val="20"/>
              </w:rPr>
            </w:pPr>
          </w:p>
        </w:tc>
        <w:tc>
          <w:tcPr>
            <w:tcW w:w="902" w:type="dxa"/>
          </w:tcPr>
          <w:p>
            <w:pPr>
              <w:pStyle w:val="TableParagraph"/>
              <w:rPr>
                <w:rFonts w:ascii="Times New Roman"/>
                <w:sz w:val="20"/>
              </w:rPr>
            </w:pPr>
          </w:p>
        </w:tc>
        <w:tc>
          <w:tcPr>
            <w:tcW w:w="684" w:type="dxa"/>
          </w:tcPr>
          <w:p>
            <w:pPr>
              <w:pStyle w:val="TableParagraph"/>
              <w:rPr>
                <w:rFonts w:ascii="Times New Roman"/>
                <w:sz w:val="20"/>
              </w:rPr>
            </w:pPr>
          </w:p>
        </w:tc>
        <w:tc>
          <w:tcPr>
            <w:tcW w:w="799" w:type="dxa"/>
          </w:tcPr>
          <w:p>
            <w:pPr>
              <w:pStyle w:val="TableParagraph"/>
              <w:rPr>
                <w:rFonts w:ascii="Times New Roman"/>
                <w:sz w:val="20"/>
              </w:rPr>
            </w:pPr>
          </w:p>
        </w:tc>
        <w:tc>
          <w:tcPr>
            <w:tcW w:w="626" w:type="dxa"/>
          </w:tcPr>
          <w:p>
            <w:pPr>
              <w:pStyle w:val="TableParagraph"/>
              <w:rPr>
                <w:rFonts w:ascii="Times New Roman"/>
                <w:sz w:val="20"/>
              </w:rPr>
            </w:pPr>
          </w:p>
        </w:tc>
        <w:tc>
          <w:tcPr>
            <w:tcW w:w="770" w:type="dxa"/>
          </w:tcPr>
          <w:p>
            <w:pPr>
              <w:pStyle w:val="TableParagraph"/>
              <w:rPr>
                <w:rFonts w:ascii="Times New Roman"/>
                <w:sz w:val="20"/>
              </w:rPr>
            </w:pPr>
          </w:p>
        </w:tc>
        <w:tc>
          <w:tcPr>
            <w:tcW w:w="691" w:type="dxa"/>
          </w:tcPr>
          <w:p>
            <w:pPr>
              <w:pStyle w:val="TableParagraph"/>
              <w:rPr>
                <w:rFonts w:ascii="Times New Roman"/>
                <w:sz w:val="20"/>
              </w:rPr>
            </w:pPr>
          </w:p>
        </w:tc>
        <w:tc>
          <w:tcPr>
            <w:tcW w:w="738" w:type="dxa"/>
            <w:tcBorders>
              <w:right w:val="single" w:sz="4" w:space="0" w:color="000000"/>
            </w:tcBorders>
          </w:tcPr>
          <w:p>
            <w:pPr>
              <w:pStyle w:val="TableParagraph"/>
              <w:rPr>
                <w:rFonts w:ascii="Times New Roman"/>
                <w:sz w:val="20"/>
              </w:rPr>
            </w:pPr>
          </w:p>
        </w:tc>
      </w:tr>
      <w:tr>
        <w:trPr>
          <w:trHeight w:val="230" w:hRule="atLeast"/>
        </w:trPr>
        <w:tc>
          <w:tcPr>
            <w:tcW w:w="4146" w:type="dxa"/>
            <w:tcBorders>
              <w:left w:val="single" w:sz="4" w:space="0" w:color="000000"/>
            </w:tcBorders>
          </w:tcPr>
          <w:p>
            <w:pPr>
              <w:pStyle w:val="TableParagraph"/>
              <w:tabs>
                <w:tab w:pos="2338" w:val="left" w:leader="none"/>
              </w:tabs>
              <w:spacing w:line="210" w:lineRule="exact"/>
              <w:ind w:right="99"/>
              <w:jc w:val="right"/>
              <w:rPr>
                <w:sz w:val="20"/>
              </w:rPr>
            </w:pPr>
            <w:r>
              <w:rPr>
                <w:spacing w:val="-2"/>
                <w:sz w:val="20"/>
              </w:rPr>
              <w:t>Accommodation</w:t>
            </w:r>
            <w:r>
              <w:rPr>
                <w:sz w:val="20"/>
              </w:rPr>
              <w:tab/>
            </w:r>
            <w:r>
              <w:rPr>
                <w:spacing w:val="-2"/>
                <w:sz w:val="20"/>
              </w:rPr>
              <w:t>Allocation</w:t>
            </w:r>
          </w:p>
        </w:tc>
        <w:tc>
          <w:tcPr>
            <w:tcW w:w="1796" w:type="dxa"/>
          </w:tcPr>
          <w:p>
            <w:pPr>
              <w:pStyle w:val="TableParagraph"/>
              <w:spacing w:line="210" w:lineRule="exact"/>
              <w:ind w:left="111"/>
              <w:rPr>
                <w:sz w:val="20"/>
              </w:rPr>
            </w:pPr>
            <w:r>
              <w:rPr>
                <w:spacing w:val="-2"/>
                <w:sz w:val="20"/>
              </w:rPr>
              <w:t>observations</w:t>
            </w:r>
          </w:p>
        </w:tc>
        <w:tc>
          <w:tcPr>
            <w:tcW w:w="707" w:type="dxa"/>
          </w:tcPr>
          <w:p>
            <w:pPr>
              <w:pStyle w:val="TableParagraph"/>
              <w:spacing w:line="210" w:lineRule="exact"/>
              <w:ind w:left="64" w:right="41"/>
              <w:jc w:val="center"/>
              <w:rPr>
                <w:sz w:val="20"/>
              </w:rPr>
            </w:pPr>
            <w:r>
              <w:rPr>
                <w:spacing w:val="-10"/>
                <w:sz w:val="20"/>
              </w:rPr>
              <w:t>-</w:t>
            </w:r>
          </w:p>
        </w:tc>
        <w:tc>
          <w:tcPr>
            <w:tcW w:w="749" w:type="dxa"/>
          </w:tcPr>
          <w:p>
            <w:pPr>
              <w:pStyle w:val="TableParagraph"/>
              <w:spacing w:line="210" w:lineRule="exact"/>
              <w:ind w:left="14" w:right="7"/>
              <w:jc w:val="center"/>
              <w:rPr>
                <w:sz w:val="20"/>
              </w:rPr>
            </w:pPr>
            <w:r>
              <w:rPr>
                <w:spacing w:val="-10"/>
                <w:sz w:val="20"/>
              </w:rPr>
              <w:t>-</w:t>
            </w:r>
          </w:p>
        </w:tc>
        <w:tc>
          <w:tcPr>
            <w:tcW w:w="691" w:type="dxa"/>
          </w:tcPr>
          <w:p>
            <w:pPr>
              <w:pStyle w:val="TableParagraph"/>
              <w:spacing w:line="210" w:lineRule="exact"/>
              <w:ind w:left="22" w:right="8"/>
              <w:jc w:val="center"/>
              <w:rPr>
                <w:sz w:val="20"/>
              </w:rPr>
            </w:pPr>
            <w:r>
              <w:rPr>
                <w:spacing w:val="-10"/>
                <w:sz w:val="20"/>
              </w:rPr>
              <w:t>1</w:t>
            </w:r>
          </w:p>
        </w:tc>
        <w:tc>
          <w:tcPr>
            <w:tcW w:w="777" w:type="dxa"/>
          </w:tcPr>
          <w:p>
            <w:pPr>
              <w:pStyle w:val="TableParagraph"/>
              <w:spacing w:line="210" w:lineRule="exact"/>
              <w:ind w:left="17" w:right="28"/>
              <w:jc w:val="center"/>
              <w:rPr>
                <w:sz w:val="20"/>
              </w:rPr>
            </w:pPr>
            <w:r>
              <w:rPr>
                <w:spacing w:val="-4"/>
                <w:sz w:val="20"/>
              </w:rPr>
              <w:t>50.0</w:t>
            </w:r>
          </w:p>
        </w:tc>
        <w:tc>
          <w:tcPr>
            <w:tcW w:w="686" w:type="dxa"/>
          </w:tcPr>
          <w:p>
            <w:pPr>
              <w:pStyle w:val="TableParagraph"/>
              <w:spacing w:line="210" w:lineRule="exact"/>
              <w:ind w:left="18" w:right="52"/>
              <w:jc w:val="center"/>
              <w:rPr>
                <w:sz w:val="20"/>
              </w:rPr>
            </w:pPr>
            <w:r>
              <w:rPr>
                <w:spacing w:val="-10"/>
                <w:sz w:val="20"/>
              </w:rPr>
              <w:t>1</w:t>
            </w:r>
          </w:p>
        </w:tc>
        <w:tc>
          <w:tcPr>
            <w:tcW w:w="902" w:type="dxa"/>
          </w:tcPr>
          <w:p>
            <w:pPr>
              <w:pStyle w:val="TableParagraph"/>
              <w:spacing w:line="210" w:lineRule="exact"/>
              <w:ind w:left="20" w:right="4"/>
              <w:jc w:val="center"/>
              <w:rPr>
                <w:sz w:val="20"/>
              </w:rPr>
            </w:pPr>
            <w:r>
              <w:rPr>
                <w:spacing w:val="-4"/>
                <w:sz w:val="20"/>
              </w:rPr>
              <w:t>50.0</w:t>
            </w:r>
          </w:p>
        </w:tc>
        <w:tc>
          <w:tcPr>
            <w:tcW w:w="684" w:type="dxa"/>
          </w:tcPr>
          <w:p>
            <w:pPr>
              <w:pStyle w:val="TableParagraph"/>
              <w:spacing w:line="210" w:lineRule="exact"/>
              <w:ind w:left="68" w:right="12"/>
              <w:jc w:val="center"/>
              <w:rPr>
                <w:sz w:val="20"/>
              </w:rPr>
            </w:pPr>
            <w:r>
              <w:rPr>
                <w:spacing w:val="-10"/>
                <w:sz w:val="20"/>
              </w:rPr>
              <w:t>-</w:t>
            </w:r>
          </w:p>
        </w:tc>
        <w:tc>
          <w:tcPr>
            <w:tcW w:w="799" w:type="dxa"/>
          </w:tcPr>
          <w:p>
            <w:pPr>
              <w:pStyle w:val="TableParagraph"/>
              <w:spacing w:line="210" w:lineRule="exact"/>
              <w:ind w:left="23" w:right="10"/>
              <w:jc w:val="center"/>
              <w:rPr>
                <w:sz w:val="20"/>
              </w:rPr>
            </w:pPr>
            <w:r>
              <w:rPr>
                <w:spacing w:val="-10"/>
                <w:sz w:val="20"/>
              </w:rPr>
              <w:t>-</w:t>
            </w:r>
          </w:p>
        </w:tc>
        <w:tc>
          <w:tcPr>
            <w:tcW w:w="626" w:type="dxa"/>
          </w:tcPr>
          <w:p>
            <w:pPr>
              <w:pStyle w:val="TableParagraph"/>
              <w:spacing w:line="210" w:lineRule="exact"/>
              <w:ind w:left="20" w:right="12"/>
              <w:jc w:val="center"/>
              <w:rPr>
                <w:sz w:val="20"/>
              </w:rPr>
            </w:pPr>
            <w:r>
              <w:rPr>
                <w:spacing w:val="-10"/>
                <w:sz w:val="20"/>
              </w:rPr>
              <w:t>-</w:t>
            </w:r>
          </w:p>
        </w:tc>
        <w:tc>
          <w:tcPr>
            <w:tcW w:w="770" w:type="dxa"/>
          </w:tcPr>
          <w:p>
            <w:pPr>
              <w:pStyle w:val="TableParagraph"/>
              <w:spacing w:line="210" w:lineRule="exact"/>
              <w:ind w:left="42" w:right="9"/>
              <w:jc w:val="center"/>
              <w:rPr>
                <w:sz w:val="20"/>
              </w:rPr>
            </w:pPr>
            <w:r>
              <w:rPr>
                <w:spacing w:val="-10"/>
                <w:sz w:val="20"/>
              </w:rPr>
              <w:t>-</w:t>
            </w:r>
          </w:p>
        </w:tc>
        <w:tc>
          <w:tcPr>
            <w:tcW w:w="691" w:type="dxa"/>
          </w:tcPr>
          <w:p>
            <w:pPr>
              <w:pStyle w:val="TableParagraph"/>
              <w:spacing w:line="210" w:lineRule="exact"/>
              <w:ind w:left="22" w:right="3"/>
              <w:jc w:val="center"/>
              <w:rPr>
                <w:sz w:val="20"/>
              </w:rPr>
            </w:pPr>
            <w:r>
              <w:rPr>
                <w:spacing w:val="-10"/>
                <w:sz w:val="20"/>
              </w:rPr>
              <w:t>2</w:t>
            </w:r>
          </w:p>
        </w:tc>
        <w:tc>
          <w:tcPr>
            <w:tcW w:w="738" w:type="dxa"/>
            <w:tcBorders>
              <w:right w:val="single" w:sz="4" w:space="0" w:color="000000"/>
            </w:tcBorders>
          </w:tcPr>
          <w:p>
            <w:pPr>
              <w:pStyle w:val="TableParagraph"/>
              <w:spacing w:line="210" w:lineRule="exact"/>
              <w:ind w:left="53" w:right="23"/>
              <w:jc w:val="center"/>
              <w:rPr>
                <w:sz w:val="20"/>
              </w:rPr>
            </w:pPr>
            <w:r>
              <w:rPr>
                <w:spacing w:val="-5"/>
                <w:sz w:val="20"/>
              </w:rPr>
              <w:t>0.4</w:t>
            </w:r>
          </w:p>
        </w:tc>
      </w:tr>
      <w:tr>
        <w:trPr>
          <w:trHeight w:val="230" w:hRule="atLeast"/>
        </w:trPr>
        <w:tc>
          <w:tcPr>
            <w:tcW w:w="4146" w:type="dxa"/>
            <w:tcBorders>
              <w:left w:val="single" w:sz="4" w:space="0" w:color="000000"/>
            </w:tcBorders>
          </w:tcPr>
          <w:p>
            <w:pPr>
              <w:pStyle w:val="TableParagraph"/>
              <w:tabs>
                <w:tab w:pos="1291" w:val="left" w:leader="none"/>
                <w:tab w:pos="2520" w:val="left" w:leader="none"/>
              </w:tabs>
              <w:spacing w:line="210" w:lineRule="exact"/>
              <w:ind w:right="102"/>
              <w:jc w:val="right"/>
              <w:rPr>
                <w:sz w:val="20"/>
              </w:rPr>
            </w:pPr>
            <w:r>
              <w:rPr>
                <w:spacing w:val="-2"/>
                <w:sz w:val="20"/>
              </w:rPr>
              <w:t>Committee,</w:t>
            </w:r>
            <w:r>
              <w:rPr>
                <w:sz w:val="20"/>
              </w:rPr>
              <w:tab/>
            </w:r>
            <w:r>
              <w:rPr>
                <w:spacing w:val="-2"/>
                <w:sz w:val="20"/>
              </w:rPr>
              <w:t>Committee</w:t>
            </w:r>
            <w:r>
              <w:rPr>
                <w:sz w:val="20"/>
              </w:rPr>
              <w:tab/>
            </w:r>
            <w:r>
              <w:rPr>
                <w:spacing w:val="-2"/>
                <w:sz w:val="20"/>
              </w:rPr>
              <w:t>system,</w:t>
            </w:r>
          </w:p>
        </w:tc>
        <w:tc>
          <w:tcPr>
            <w:tcW w:w="1796" w:type="dxa"/>
          </w:tcPr>
          <w:p>
            <w:pPr>
              <w:pStyle w:val="TableParagraph"/>
              <w:spacing w:line="210" w:lineRule="exact"/>
              <w:ind w:left="111"/>
              <w:rPr>
                <w:sz w:val="20"/>
              </w:rPr>
            </w:pPr>
            <w:r>
              <w:rPr>
                <w:spacing w:val="-2"/>
                <w:sz w:val="20"/>
              </w:rPr>
              <w:t>Students</w:t>
            </w:r>
          </w:p>
        </w:tc>
        <w:tc>
          <w:tcPr>
            <w:tcW w:w="707" w:type="dxa"/>
          </w:tcPr>
          <w:p>
            <w:pPr>
              <w:pStyle w:val="TableParagraph"/>
              <w:spacing w:line="210" w:lineRule="exact"/>
              <w:ind w:left="64" w:right="39"/>
              <w:jc w:val="center"/>
              <w:rPr>
                <w:sz w:val="20"/>
              </w:rPr>
            </w:pPr>
            <w:r>
              <w:rPr>
                <w:spacing w:val="-5"/>
                <w:sz w:val="20"/>
              </w:rPr>
              <w:t>66</w:t>
            </w:r>
          </w:p>
        </w:tc>
        <w:tc>
          <w:tcPr>
            <w:tcW w:w="749" w:type="dxa"/>
          </w:tcPr>
          <w:p>
            <w:pPr>
              <w:pStyle w:val="TableParagraph"/>
              <w:spacing w:line="210" w:lineRule="exact"/>
              <w:ind w:left="14"/>
              <w:jc w:val="center"/>
              <w:rPr>
                <w:sz w:val="20"/>
              </w:rPr>
            </w:pPr>
            <w:r>
              <w:rPr>
                <w:spacing w:val="-4"/>
                <w:sz w:val="20"/>
              </w:rPr>
              <w:t>28.1</w:t>
            </w:r>
          </w:p>
        </w:tc>
        <w:tc>
          <w:tcPr>
            <w:tcW w:w="691" w:type="dxa"/>
          </w:tcPr>
          <w:p>
            <w:pPr>
              <w:pStyle w:val="TableParagraph"/>
              <w:spacing w:line="210" w:lineRule="exact"/>
              <w:ind w:left="22" w:right="18"/>
              <w:jc w:val="center"/>
              <w:rPr>
                <w:sz w:val="20"/>
              </w:rPr>
            </w:pPr>
            <w:r>
              <w:rPr>
                <w:spacing w:val="-5"/>
                <w:sz w:val="20"/>
              </w:rPr>
              <w:t>128</w:t>
            </w:r>
          </w:p>
        </w:tc>
        <w:tc>
          <w:tcPr>
            <w:tcW w:w="777" w:type="dxa"/>
          </w:tcPr>
          <w:p>
            <w:pPr>
              <w:pStyle w:val="TableParagraph"/>
              <w:spacing w:line="210" w:lineRule="exact"/>
              <w:ind w:left="17" w:right="28"/>
              <w:jc w:val="center"/>
              <w:rPr>
                <w:sz w:val="20"/>
              </w:rPr>
            </w:pPr>
            <w:r>
              <w:rPr>
                <w:spacing w:val="-4"/>
                <w:sz w:val="20"/>
              </w:rPr>
              <w:t>54.5</w:t>
            </w:r>
          </w:p>
        </w:tc>
        <w:tc>
          <w:tcPr>
            <w:tcW w:w="686" w:type="dxa"/>
          </w:tcPr>
          <w:p>
            <w:pPr>
              <w:pStyle w:val="TableParagraph"/>
              <w:spacing w:line="210" w:lineRule="exact"/>
              <w:ind w:left="13" w:right="52"/>
              <w:jc w:val="center"/>
              <w:rPr>
                <w:sz w:val="20"/>
              </w:rPr>
            </w:pPr>
            <w:r>
              <w:rPr>
                <w:spacing w:val="-5"/>
                <w:sz w:val="20"/>
              </w:rPr>
              <w:t>29</w:t>
            </w:r>
          </w:p>
        </w:tc>
        <w:tc>
          <w:tcPr>
            <w:tcW w:w="902" w:type="dxa"/>
          </w:tcPr>
          <w:p>
            <w:pPr>
              <w:pStyle w:val="TableParagraph"/>
              <w:spacing w:line="210" w:lineRule="exact"/>
              <w:ind w:left="20" w:right="4"/>
              <w:jc w:val="center"/>
              <w:rPr>
                <w:sz w:val="20"/>
              </w:rPr>
            </w:pPr>
            <w:r>
              <w:rPr>
                <w:spacing w:val="-4"/>
                <w:sz w:val="20"/>
              </w:rPr>
              <w:t>12.3</w:t>
            </w:r>
          </w:p>
        </w:tc>
        <w:tc>
          <w:tcPr>
            <w:tcW w:w="684" w:type="dxa"/>
          </w:tcPr>
          <w:p>
            <w:pPr>
              <w:pStyle w:val="TableParagraph"/>
              <w:spacing w:line="210" w:lineRule="exact"/>
              <w:ind w:left="68" w:right="10"/>
              <w:jc w:val="center"/>
              <w:rPr>
                <w:sz w:val="20"/>
              </w:rPr>
            </w:pPr>
            <w:r>
              <w:rPr>
                <w:spacing w:val="-5"/>
                <w:sz w:val="20"/>
              </w:rPr>
              <w:t>10</w:t>
            </w:r>
          </w:p>
        </w:tc>
        <w:tc>
          <w:tcPr>
            <w:tcW w:w="799" w:type="dxa"/>
          </w:tcPr>
          <w:p>
            <w:pPr>
              <w:pStyle w:val="TableParagraph"/>
              <w:spacing w:line="210" w:lineRule="exact"/>
              <w:ind w:left="23" w:right="9"/>
              <w:jc w:val="center"/>
              <w:rPr>
                <w:sz w:val="20"/>
              </w:rPr>
            </w:pPr>
            <w:r>
              <w:rPr>
                <w:spacing w:val="-5"/>
                <w:sz w:val="20"/>
              </w:rPr>
              <w:t>4.3</w:t>
            </w:r>
          </w:p>
        </w:tc>
        <w:tc>
          <w:tcPr>
            <w:tcW w:w="626" w:type="dxa"/>
          </w:tcPr>
          <w:p>
            <w:pPr>
              <w:pStyle w:val="TableParagraph"/>
              <w:spacing w:line="210" w:lineRule="exact"/>
              <w:ind w:left="20" w:right="5"/>
              <w:jc w:val="center"/>
              <w:rPr>
                <w:sz w:val="20"/>
              </w:rPr>
            </w:pPr>
            <w:r>
              <w:rPr>
                <w:spacing w:val="-10"/>
                <w:sz w:val="20"/>
              </w:rPr>
              <w:t>2</w:t>
            </w:r>
          </w:p>
        </w:tc>
        <w:tc>
          <w:tcPr>
            <w:tcW w:w="770" w:type="dxa"/>
          </w:tcPr>
          <w:p>
            <w:pPr>
              <w:pStyle w:val="TableParagraph"/>
              <w:spacing w:line="210" w:lineRule="exact"/>
              <w:ind w:left="42" w:right="7"/>
              <w:jc w:val="center"/>
              <w:rPr>
                <w:sz w:val="20"/>
              </w:rPr>
            </w:pPr>
            <w:r>
              <w:rPr>
                <w:spacing w:val="-5"/>
                <w:sz w:val="20"/>
              </w:rPr>
              <w:t>0.9</w:t>
            </w:r>
          </w:p>
        </w:tc>
        <w:tc>
          <w:tcPr>
            <w:tcW w:w="691" w:type="dxa"/>
          </w:tcPr>
          <w:p>
            <w:pPr>
              <w:pStyle w:val="TableParagraph"/>
              <w:spacing w:line="210" w:lineRule="exact"/>
              <w:ind w:left="22" w:right="13"/>
              <w:jc w:val="center"/>
              <w:rPr>
                <w:sz w:val="20"/>
              </w:rPr>
            </w:pPr>
            <w:r>
              <w:rPr>
                <w:spacing w:val="-5"/>
                <w:sz w:val="20"/>
              </w:rPr>
              <w:t>235</w:t>
            </w:r>
          </w:p>
        </w:tc>
        <w:tc>
          <w:tcPr>
            <w:tcW w:w="738" w:type="dxa"/>
            <w:tcBorders>
              <w:right w:val="single" w:sz="4" w:space="0" w:color="000000"/>
            </w:tcBorders>
          </w:tcPr>
          <w:p>
            <w:pPr>
              <w:pStyle w:val="TableParagraph"/>
              <w:spacing w:line="210" w:lineRule="exact"/>
              <w:ind w:left="53" w:right="18"/>
              <w:jc w:val="center"/>
              <w:rPr>
                <w:sz w:val="20"/>
              </w:rPr>
            </w:pPr>
            <w:r>
              <w:rPr>
                <w:spacing w:val="-4"/>
                <w:sz w:val="20"/>
              </w:rPr>
              <w:t>50.8</w:t>
            </w:r>
          </w:p>
        </w:tc>
      </w:tr>
      <w:tr>
        <w:trPr>
          <w:trHeight w:val="230" w:hRule="atLeast"/>
        </w:trPr>
        <w:tc>
          <w:tcPr>
            <w:tcW w:w="4146" w:type="dxa"/>
            <w:tcBorders>
              <w:left w:val="single" w:sz="4" w:space="0" w:color="000000"/>
            </w:tcBorders>
          </w:tcPr>
          <w:p>
            <w:pPr>
              <w:pStyle w:val="TableParagraph"/>
              <w:tabs>
                <w:tab w:pos="1305" w:val="left" w:leader="none"/>
                <w:tab w:pos="2505" w:val="left" w:leader="none"/>
              </w:tabs>
              <w:spacing w:line="210" w:lineRule="exact"/>
              <w:ind w:right="102"/>
              <w:jc w:val="right"/>
              <w:rPr>
                <w:sz w:val="20"/>
              </w:rPr>
            </w:pPr>
            <w:r>
              <w:rPr>
                <w:spacing w:val="-2"/>
                <w:sz w:val="20"/>
              </w:rPr>
              <w:t>students</w:t>
            </w:r>
            <w:r>
              <w:rPr>
                <w:sz w:val="20"/>
              </w:rPr>
              <w:tab/>
            </w:r>
            <w:r>
              <w:rPr>
                <w:spacing w:val="-2"/>
                <w:sz w:val="20"/>
              </w:rPr>
              <w:t>welfare</w:t>
            </w:r>
            <w:r>
              <w:rPr>
                <w:sz w:val="20"/>
              </w:rPr>
              <w:tab/>
            </w:r>
            <w:r>
              <w:rPr>
                <w:spacing w:val="-2"/>
                <w:sz w:val="20"/>
              </w:rPr>
              <w:t>service-</w:t>
            </w:r>
          </w:p>
        </w:tc>
        <w:tc>
          <w:tcPr>
            <w:tcW w:w="1796" w:type="dxa"/>
          </w:tcPr>
          <w:p>
            <w:pPr>
              <w:pStyle w:val="TableParagraph"/>
              <w:spacing w:line="210" w:lineRule="exact"/>
              <w:ind w:left="111"/>
              <w:rPr>
                <w:sz w:val="20"/>
              </w:rPr>
            </w:pPr>
            <w:r>
              <w:rPr>
                <w:sz w:val="20"/>
              </w:rPr>
              <w:t>Service</w:t>
            </w:r>
            <w:r>
              <w:rPr>
                <w:spacing w:val="-9"/>
                <w:sz w:val="20"/>
              </w:rPr>
              <w:t> </w:t>
            </w:r>
            <w:r>
              <w:rPr>
                <w:spacing w:val="-2"/>
                <w:sz w:val="20"/>
              </w:rPr>
              <w:t>Staff</w:t>
            </w:r>
          </w:p>
        </w:tc>
        <w:tc>
          <w:tcPr>
            <w:tcW w:w="707" w:type="dxa"/>
          </w:tcPr>
          <w:p>
            <w:pPr>
              <w:pStyle w:val="TableParagraph"/>
              <w:spacing w:line="210" w:lineRule="exact"/>
              <w:ind w:left="64" w:right="39"/>
              <w:jc w:val="center"/>
              <w:rPr>
                <w:sz w:val="20"/>
              </w:rPr>
            </w:pPr>
            <w:r>
              <w:rPr>
                <w:spacing w:val="-5"/>
                <w:sz w:val="20"/>
              </w:rPr>
              <w:t>58</w:t>
            </w:r>
          </w:p>
        </w:tc>
        <w:tc>
          <w:tcPr>
            <w:tcW w:w="749" w:type="dxa"/>
          </w:tcPr>
          <w:p>
            <w:pPr>
              <w:pStyle w:val="TableParagraph"/>
              <w:spacing w:line="210" w:lineRule="exact"/>
              <w:ind w:left="14"/>
              <w:jc w:val="center"/>
              <w:rPr>
                <w:sz w:val="20"/>
              </w:rPr>
            </w:pPr>
            <w:r>
              <w:rPr>
                <w:spacing w:val="-4"/>
                <w:sz w:val="20"/>
              </w:rPr>
              <w:t>28.6</w:t>
            </w:r>
          </w:p>
        </w:tc>
        <w:tc>
          <w:tcPr>
            <w:tcW w:w="691" w:type="dxa"/>
          </w:tcPr>
          <w:p>
            <w:pPr>
              <w:pStyle w:val="TableParagraph"/>
              <w:spacing w:line="210" w:lineRule="exact"/>
              <w:ind w:left="22" w:right="18"/>
              <w:jc w:val="center"/>
              <w:rPr>
                <w:sz w:val="20"/>
              </w:rPr>
            </w:pPr>
            <w:r>
              <w:rPr>
                <w:spacing w:val="-5"/>
                <w:sz w:val="20"/>
              </w:rPr>
              <w:t>122</w:t>
            </w:r>
          </w:p>
        </w:tc>
        <w:tc>
          <w:tcPr>
            <w:tcW w:w="777" w:type="dxa"/>
          </w:tcPr>
          <w:p>
            <w:pPr>
              <w:pStyle w:val="TableParagraph"/>
              <w:spacing w:line="210" w:lineRule="exact"/>
              <w:ind w:left="17" w:right="28"/>
              <w:jc w:val="center"/>
              <w:rPr>
                <w:sz w:val="20"/>
              </w:rPr>
            </w:pPr>
            <w:r>
              <w:rPr>
                <w:spacing w:val="-4"/>
                <w:sz w:val="20"/>
              </w:rPr>
              <w:t>60.1</w:t>
            </w:r>
          </w:p>
        </w:tc>
        <w:tc>
          <w:tcPr>
            <w:tcW w:w="686" w:type="dxa"/>
          </w:tcPr>
          <w:p>
            <w:pPr>
              <w:pStyle w:val="TableParagraph"/>
              <w:spacing w:line="210" w:lineRule="exact"/>
              <w:ind w:left="13" w:right="52"/>
              <w:jc w:val="center"/>
              <w:rPr>
                <w:sz w:val="20"/>
              </w:rPr>
            </w:pPr>
            <w:r>
              <w:rPr>
                <w:spacing w:val="-5"/>
                <w:sz w:val="20"/>
              </w:rPr>
              <w:t>18</w:t>
            </w:r>
          </w:p>
        </w:tc>
        <w:tc>
          <w:tcPr>
            <w:tcW w:w="902" w:type="dxa"/>
          </w:tcPr>
          <w:p>
            <w:pPr>
              <w:pStyle w:val="TableParagraph"/>
              <w:spacing w:line="210" w:lineRule="exact"/>
              <w:ind w:left="20" w:right="9"/>
              <w:jc w:val="center"/>
              <w:rPr>
                <w:sz w:val="20"/>
              </w:rPr>
            </w:pPr>
            <w:r>
              <w:rPr>
                <w:spacing w:val="-5"/>
                <w:sz w:val="20"/>
              </w:rPr>
              <w:t>8.9</w:t>
            </w:r>
          </w:p>
        </w:tc>
        <w:tc>
          <w:tcPr>
            <w:tcW w:w="684" w:type="dxa"/>
          </w:tcPr>
          <w:p>
            <w:pPr>
              <w:pStyle w:val="TableParagraph"/>
              <w:spacing w:line="210" w:lineRule="exact"/>
              <w:ind w:left="68" w:right="6"/>
              <w:jc w:val="center"/>
              <w:rPr>
                <w:sz w:val="20"/>
              </w:rPr>
            </w:pPr>
            <w:r>
              <w:rPr>
                <w:spacing w:val="-10"/>
                <w:sz w:val="20"/>
              </w:rPr>
              <w:t>4</w:t>
            </w:r>
          </w:p>
        </w:tc>
        <w:tc>
          <w:tcPr>
            <w:tcW w:w="799" w:type="dxa"/>
          </w:tcPr>
          <w:p>
            <w:pPr>
              <w:pStyle w:val="TableParagraph"/>
              <w:spacing w:line="210" w:lineRule="exact"/>
              <w:ind w:left="23" w:right="9"/>
              <w:jc w:val="center"/>
              <w:rPr>
                <w:sz w:val="20"/>
              </w:rPr>
            </w:pPr>
            <w:r>
              <w:rPr>
                <w:spacing w:val="-5"/>
                <w:sz w:val="20"/>
              </w:rPr>
              <w:t>2.0</w:t>
            </w:r>
          </w:p>
        </w:tc>
        <w:tc>
          <w:tcPr>
            <w:tcW w:w="626" w:type="dxa"/>
          </w:tcPr>
          <w:p>
            <w:pPr>
              <w:pStyle w:val="TableParagraph"/>
              <w:spacing w:line="210" w:lineRule="exact"/>
              <w:ind w:left="20" w:right="5"/>
              <w:jc w:val="center"/>
              <w:rPr>
                <w:sz w:val="20"/>
              </w:rPr>
            </w:pPr>
            <w:r>
              <w:rPr>
                <w:spacing w:val="-10"/>
                <w:sz w:val="20"/>
              </w:rPr>
              <w:t>1</w:t>
            </w:r>
          </w:p>
        </w:tc>
        <w:tc>
          <w:tcPr>
            <w:tcW w:w="770" w:type="dxa"/>
          </w:tcPr>
          <w:p>
            <w:pPr>
              <w:pStyle w:val="TableParagraph"/>
              <w:spacing w:line="210" w:lineRule="exact"/>
              <w:ind w:left="42" w:right="7"/>
              <w:jc w:val="center"/>
              <w:rPr>
                <w:sz w:val="20"/>
              </w:rPr>
            </w:pPr>
            <w:r>
              <w:rPr>
                <w:spacing w:val="-5"/>
                <w:sz w:val="20"/>
              </w:rPr>
              <w:t>0.5</w:t>
            </w:r>
          </w:p>
        </w:tc>
        <w:tc>
          <w:tcPr>
            <w:tcW w:w="691" w:type="dxa"/>
          </w:tcPr>
          <w:p>
            <w:pPr>
              <w:pStyle w:val="TableParagraph"/>
              <w:spacing w:line="210" w:lineRule="exact"/>
              <w:ind w:left="22" w:right="13"/>
              <w:jc w:val="center"/>
              <w:rPr>
                <w:sz w:val="20"/>
              </w:rPr>
            </w:pPr>
            <w:r>
              <w:rPr>
                <w:spacing w:val="-5"/>
                <w:sz w:val="20"/>
              </w:rPr>
              <w:t>203</w:t>
            </w:r>
          </w:p>
        </w:tc>
        <w:tc>
          <w:tcPr>
            <w:tcW w:w="738" w:type="dxa"/>
            <w:tcBorders>
              <w:right w:val="single" w:sz="4" w:space="0" w:color="000000"/>
            </w:tcBorders>
          </w:tcPr>
          <w:p>
            <w:pPr>
              <w:pStyle w:val="TableParagraph"/>
              <w:spacing w:line="210" w:lineRule="exact"/>
              <w:ind w:left="53" w:right="18"/>
              <w:jc w:val="center"/>
              <w:rPr>
                <w:sz w:val="20"/>
              </w:rPr>
            </w:pPr>
            <w:r>
              <w:rPr>
                <w:spacing w:val="-4"/>
                <w:sz w:val="20"/>
              </w:rPr>
              <w:t>43.8</w:t>
            </w:r>
          </w:p>
        </w:tc>
      </w:tr>
      <w:tr>
        <w:trPr>
          <w:trHeight w:val="460" w:hRule="atLeast"/>
        </w:trPr>
        <w:tc>
          <w:tcPr>
            <w:tcW w:w="4146" w:type="dxa"/>
            <w:tcBorders>
              <w:left w:val="single" w:sz="4" w:space="0" w:color="000000"/>
            </w:tcBorders>
          </w:tcPr>
          <w:p>
            <w:pPr>
              <w:pStyle w:val="TableParagraph"/>
              <w:tabs>
                <w:tab w:pos="1968" w:val="left" w:leader="none"/>
                <w:tab w:pos="2462" w:val="left" w:leader="none"/>
                <w:tab w:pos="3168" w:val="left" w:leader="none"/>
                <w:tab w:pos="3489" w:val="left" w:leader="none"/>
              </w:tabs>
              <w:spacing w:line="230" w:lineRule="exact"/>
              <w:ind w:left="830" w:right="101"/>
              <w:rPr>
                <w:sz w:val="20"/>
              </w:rPr>
            </w:pPr>
            <w:r>
              <w:rPr>
                <w:spacing w:val="-2"/>
                <w:sz w:val="20"/>
              </w:rPr>
              <w:t>management</w:t>
            </w:r>
            <w:r>
              <w:rPr>
                <w:sz w:val="20"/>
              </w:rPr>
              <w:tab/>
            </w:r>
            <w:r>
              <w:rPr>
                <w:spacing w:val="-2"/>
                <w:sz w:val="20"/>
              </w:rPr>
              <w:t>board,</w:t>
            </w:r>
            <w:r>
              <w:rPr>
                <w:sz w:val="20"/>
              </w:rPr>
              <w:tab/>
              <w:tab/>
            </w:r>
            <w:r>
              <w:rPr>
                <w:spacing w:val="-2"/>
                <w:sz w:val="20"/>
              </w:rPr>
              <w:t>sports committee</w:t>
            </w:r>
            <w:r>
              <w:rPr>
                <w:sz w:val="20"/>
              </w:rPr>
              <w:tab/>
            </w:r>
            <w:r>
              <w:rPr>
                <w:spacing w:val="-5"/>
                <w:sz w:val="20"/>
              </w:rPr>
              <w:t>are</w:t>
            </w:r>
            <w:r>
              <w:rPr>
                <w:sz w:val="20"/>
              </w:rPr>
              <w:tab/>
            </w:r>
            <w:r>
              <w:rPr>
                <w:spacing w:val="-52"/>
                <w:sz w:val="20"/>
              </w:rPr>
              <w:t> </w:t>
            </w:r>
            <w:r>
              <w:rPr>
                <w:spacing w:val="-2"/>
                <w:sz w:val="20"/>
              </w:rPr>
              <w:t>some</w:t>
            </w:r>
            <w:r>
              <w:rPr>
                <w:sz w:val="20"/>
              </w:rPr>
              <w:tab/>
            </w:r>
            <w:r>
              <w:rPr>
                <w:spacing w:val="-2"/>
                <w:sz w:val="20"/>
              </w:rPr>
              <w:t>strategies</w:t>
            </w:r>
          </w:p>
        </w:tc>
        <w:tc>
          <w:tcPr>
            <w:tcW w:w="1796" w:type="dxa"/>
          </w:tcPr>
          <w:p>
            <w:pPr>
              <w:pStyle w:val="TableParagraph"/>
              <w:spacing w:before="7"/>
              <w:ind w:left="111"/>
              <w:rPr>
                <w:sz w:val="20"/>
              </w:rPr>
            </w:pPr>
            <w:r>
              <w:rPr>
                <w:sz w:val="20"/>
              </w:rPr>
              <w:t>Top</w:t>
            </w:r>
            <w:r>
              <w:rPr>
                <w:spacing w:val="-1"/>
                <w:sz w:val="20"/>
              </w:rPr>
              <w:t> </w:t>
            </w:r>
            <w:r>
              <w:rPr>
                <w:spacing w:val="-2"/>
                <w:sz w:val="20"/>
              </w:rPr>
              <w:t>Management</w:t>
            </w:r>
          </w:p>
        </w:tc>
        <w:tc>
          <w:tcPr>
            <w:tcW w:w="707" w:type="dxa"/>
          </w:tcPr>
          <w:p>
            <w:pPr>
              <w:pStyle w:val="TableParagraph"/>
              <w:spacing w:before="7"/>
              <w:ind w:left="64" w:right="39"/>
              <w:jc w:val="center"/>
              <w:rPr>
                <w:sz w:val="20"/>
              </w:rPr>
            </w:pPr>
            <w:r>
              <w:rPr>
                <w:spacing w:val="-5"/>
                <w:sz w:val="20"/>
              </w:rPr>
              <w:t>11</w:t>
            </w:r>
          </w:p>
        </w:tc>
        <w:tc>
          <w:tcPr>
            <w:tcW w:w="749" w:type="dxa"/>
          </w:tcPr>
          <w:p>
            <w:pPr>
              <w:pStyle w:val="TableParagraph"/>
              <w:spacing w:before="7"/>
              <w:ind w:left="14"/>
              <w:jc w:val="center"/>
              <w:rPr>
                <w:sz w:val="20"/>
              </w:rPr>
            </w:pPr>
            <w:r>
              <w:rPr>
                <w:spacing w:val="-4"/>
                <w:sz w:val="20"/>
              </w:rPr>
              <w:t>47.8</w:t>
            </w:r>
          </w:p>
        </w:tc>
        <w:tc>
          <w:tcPr>
            <w:tcW w:w="691" w:type="dxa"/>
          </w:tcPr>
          <w:p>
            <w:pPr>
              <w:pStyle w:val="TableParagraph"/>
              <w:spacing w:before="7"/>
              <w:ind w:left="22" w:right="13"/>
              <w:jc w:val="center"/>
              <w:rPr>
                <w:sz w:val="20"/>
              </w:rPr>
            </w:pPr>
            <w:r>
              <w:rPr>
                <w:spacing w:val="-5"/>
                <w:sz w:val="20"/>
              </w:rPr>
              <w:t>10</w:t>
            </w:r>
          </w:p>
        </w:tc>
        <w:tc>
          <w:tcPr>
            <w:tcW w:w="777" w:type="dxa"/>
          </w:tcPr>
          <w:p>
            <w:pPr>
              <w:pStyle w:val="TableParagraph"/>
              <w:spacing w:before="7"/>
              <w:ind w:left="17" w:right="28"/>
              <w:jc w:val="center"/>
              <w:rPr>
                <w:sz w:val="20"/>
              </w:rPr>
            </w:pPr>
            <w:r>
              <w:rPr>
                <w:spacing w:val="-4"/>
                <w:sz w:val="20"/>
              </w:rPr>
              <w:t>43.5</w:t>
            </w:r>
          </w:p>
        </w:tc>
        <w:tc>
          <w:tcPr>
            <w:tcW w:w="686" w:type="dxa"/>
          </w:tcPr>
          <w:p>
            <w:pPr>
              <w:pStyle w:val="TableParagraph"/>
              <w:spacing w:before="7"/>
              <w:ind w:left="18" w:right="52"/>
              <w:jc w:val="center"/>
              <w:rPr>
                <w:sz w:val="20"/>
              </w:rPr>
            </w:pPr>
            <w:r>
              <w:rPr>
                <w:spacing w:val="-10"/>
                <w:sz w:val="20"/>
              </w:rPr>
              <w:t>1</w:t>
            </w:r>
          </w:p>
        </w:tc>
        <w:tc>
          <w:tcPr>
            <w:tcW w:w="902" w:type="dxa"/>
          </w:tcPr>
          <w:p>
            <w:pPr>
              <w:pStyle w:val="TableParagraph"/>
              <w:spacing w:before="7"/>
              <w:ind w:left="20" w:right="9"/>
              <w:jc w:val="center"/>
              <w:rPr>
                <w:sz w:val="20"/>
              </w:rPr>
            </w:pPr>
            <w:r>
              <w:rPr>
                <w:spacing w:val="-5"/>
                <w:sz w:val="20"/>
              </w:rPr>
              <w:t>4.3</w:t>
            </w:r>
          </w:p>
        </w:tc>
        <w:tc>
          <w:tcPr>
            <w:tcW w:w="684" w:type="dxa"/>
          </w:tcPr>
          <w:p>
            <w:pPr>
              <w:pStyle w:val="TableParagraph"/>
              <w:spacing w:before="7"/>
              <w:ind w:left="68" w:right="6"/>
              <w:jc w:val="center"/>
              <w:rPr>
                <w:sz w:val="20"/>
              </w:rPr>
            </w:pPr>
            <w:r>
              <w:rPr>
                <w:spacing w:val="-10"/>
                <w:sz w:val="20"/>
              </w:rPr>
              <w:t>1</w:t>
            </w:r>
          </w:p>
        </w:tc>
        <w:tc>
          <w:tcPr>
            <w:tcW w:w="799" w:type="dxa"/>
          </w:tcPr>
          <w:p>
            <w:pPr>
              <w:pStyle w:val="TableParagraph"/>
              <w:spacing w:before="7"/>
              <w:ind w:left="23" w:right="9"/>
              <w:jc w:val="center"/>
              <w:rPr>
                <w:sz w:val="20"/>
              </w:rPr>
            </w:pPr>
            <w:r>
              <w:rPr>
                <w:spacing w:val="-5"/>
                <w:sz w:val="20"/>
              </w:rPr>
              <w:t>4.3</w:t>
            </w:r>
          </w:p>
        </w:tc>
        <w:tc>
          <w:tcPr>
            <w:tcW w:w="626" w:type="dxa"/>
          </w:tcPr>
          <w:p>
            <w:pPr>
              <w:pStyle w:val="TableParagraph"/>
              <w:spacing w:before="7"/>
              <w:ind w:left="20" w:right="12"/>
              <w:jc w:val="center"/>
              <w:rPr>
                <w:sz w:val="20"/>
              </w:rPr>
            </w:pPr>
            <w:r>
              <w:rPr>
                <w:spacing w:val="-10"/>
                <w:sz w:val="20"/>
              </w:rPr>
              <w:t>-</w:t>
            </w:r>
          </w:p>
        </w:tc>
        <w:tc>
          <w:tcPr>
            <w:tcW w:w="770" w:type="dxa"/>
          </w:tcPr>
          <w:p>
            <w:pPr>
              <w:pStyle w:val="TableParagraph"/>
              <w:spacing w:before="7"/>
              <w:ind w:left="42" w:right="9"/>
              <w:jc w:val="center"/>
              <w:rPr>
                <w:sz w:val="20"/>
              </w:rPr>
            </w:pPr>
            <w:r>
              <w:rPr>
                <w:spacing w:val="-10"/>
                <w:sz w:val="20"/>
              </w:rPr>
              <w:t>-</w:t>
            </w:r>
          </w:p>
        </w:tc>
        <w:tc>
          <w:tcPr>
            <w:tcW w:w="691" w:type="dxa"/>
          </w:tcPr>
          <w:p>
            <w:pPr>
              <w:pStyle w:val="TableParagraph"/>
              <w:spacing w:before="7"/>
              <w:ind w:left="22" w:right="8"/>
              <w:jc w:val="center"/>
              <w:rPr>
                <w:sz w:val="20"/>
              </w:rPr>
            </w:pPr>
            <w:r>
              <w:rPr>
                <w:spacing w:val="-5"/>
                <w:sz w:val="20"/>
              </w:rPr>
              <w:t>23</w:t>
            </w:r>
          </w:p>
        </w:tc>
        <w:tc>
          <w:tcPr>
            <w:tcW w:w="738" w:type="dxa"/>
            <w:tcBorders>
              <w:right w:val="single" w:sz="4" w:space="0" w:color="000000"/>
            </w:tcBorders>
          </w:tcPr>
          <w:p>
            <w:pPr>
              <w:pStyle w:val="TableParagraph"/>
              <w:spacing w:before="7"/>
              <w:ind w:left="53" w:right="23"/>
              <w:jc w:val="center"/>
              <w:rPr>
                <w:sz w:val="20"/>
              </w:rPr>
            </w:pPr>
            <w:r>
              <w:rPr>
                <w:spacing w:val="-5"/>
                <w:sz w:val="20"/>
              </w:rPr>
              <w:t>5.0</w:t>
            </w:r>
          </w:p>
        </w:tc>
      </w:tr>
      <w:tr>
        <w:trPr>
          <w:trHeight w:val="230" w:hRule="atLeast"/>
        </w:trPr>
        <w:tc>
          <w:tcPr>
            <w:tcW w:w="4146" w:type="dxa"/>
            <w:tcBorders>
              <w:left w:val="single" w:sz="4" w:space="0" w:color="000000"/>
            </w:tcBorders>
          </w:tcPr>
          <w:p>
            <w:pPr>
              <w:pStyle w:val="TableParagraph"/>
              <w:tabs>
                <w:tab w:pos="1089" w:val="left" w:leader="none"/>
                <w:tab w:pos="1670" w:val="left" w:leader="none"/>
                <w:tab w:pos="2323" w:val="left" w:leader="none"/>
              </w:tabs>
              <w:spacing w:line="210" w:lineRule="exact"/>
              <w:ind w:right="101"/>
              <w:jc w:val="right"/>
              <w:rPr>
                <w:sz w:val="20"/>
              </w:rPr>
            </w:pPr>
            <w:r>
              <w:rPr>
                <w:spacing w:val="-2"/>
                <w:sz w:val="20"/>
              </w:rPr>
              <w:t>adopted</w:t>
            </w:r>
            <w:r>
              <w:rPr>
                <w:sz w:val="20"/>
              </w:rPr>
              <w:tab/>
            </w:r>
            <w:r>
              <w:rPr>
                <w:spacing w:val="-5"/>
                <w:sz w:val="20"/>
              </w:rPr>
              <w:t>by</w:t>
            </w:r>
            <w:r>
              <w:rPr>
                <w:sz w:val="20"/>
              </w:rPr>
              <w:tab/>
            </w:r>
            <w:r>
              <w:rPr>
                <w:spacing w:val="-5"/>
                <w:sz w:val="20"/>
              </w:rPr>
              <w:t>the</w:t>
            </w:r>
            <w:r>
              <w:rPr>
                <w:sz w:val="20"/>
              </w:rPr>
              <w:tab/>
            </w:r>
            <w:r>
              <w:rPr>
                <w:spacing w:val="-2"/>
                <w:sz w:val="20"/>
              </w:rPr>
              <w:t>University</w:t>
            </w:r>
          </w:p>
        </w:tc>
        <w:tc>
          <w:tcPr>
            <w:tcW w:w="1796" w:type="dxa"/>
          </w:tcPr>
          <w:p>
            <w:pPr>
              <w:pStyle w:val="TableParagraph"/>
              <w:rPr>
                <w:rFonts w:ascii="Times New Roman"/>
                <w:sz w:val="16"/>
              </w:rPr>
            </w:pPr>
          </w:p>
        </w:tc>
        <w:tc>
          <w:tcPr>
            <w:tcW w:w="707" w:type="dxa"/>
          </w:tcPr>
          <w:p>
            <w:pPr>
              <w:pStyle w:val="TableParagraph"/>
              <w:rPr>
                <w:rFonts w:ascii="Times New Roman"/>
                <w:sz w:val="16"/>
              </w:rPr>
            </w:pPr>
          </w:p>
        </w:tc>
        <w:tc>
          <w:tcPr>
            <w:tcW w:w="749" w:type="dxa"/>
          </w:tcPr>
          <w:p>
            <w:pPr>
              <w:pStyle w:val="TableParagraph"/>
              <w:rPr>
                <w:rFonts w:ascii="Times New Roman"/>
                <w:sz w:val="16"/>
              </w:rPr>
            </w:pPr>
          </w:p>
        </w:tc>
        <w:tc>
          <w:tcPr>
            <w:tcW w:w="691" w:type="dxa"/>
          </w:tcPr>
          <w:p>
            <w:pPr>
              <w:pStyle w:val="TableParagraph"/>
              <w:rPr>
                <w:rFonts w:ascii="Times New Roman"/>
                <w:sz w:val="16"/>
              </w:rPr>
            </w:pPr>
          </w:p>
        </w:tc>
        <w:tc>
          <w:tcPr>
            <w:tcW w:w="777" w:type="dxa"/>
          </w:tcPr>
          <w:p>
            <w:pPr>
              <w:pStyle w:val="TableParagraph"/>
              <w:rPr>
                <w:rFonts w:ascii="Times New Roman"/>
                <w:sz w:val="16"/>
              </w:rPr>
            </w:pPr>
          </w:p>
        </w:tc>
        <w:tc>
          <w:tcPr>
            <w:tcW w:w="686" w:type="dxa"/>
          </w:tcPr>
          <w:p>
            <w:pPr>
              <w:pStyle w:val="TableParagraph"/>
              <w:rPr>
                <w:rFonts w:ascii="Times New Roman"/>
                <w:sz w:val="16"/>
              </w:rPr>
            </w:pPr>
          </w:p>
        </w:tc>
        <w:tc>
          <w:tcPr>
            <w:tcW w:w="902" w:type="dxa"/>
          </w:tcPr>
          <w:p>
            <w:pPr>
              <w:pStyle w:val="TableParagraph"/>
              <w:rPr>
                <w:rFonts w:ascii="Times New Roman"/>
                <w:sz w:val="16"/>
              </w:rPr>
            </w:pPr>
          </w:p>
        </w:tc>
        <w:tc>
          <w:tcPr>
            <w:tcW w:w="684" w:type="dxa"/>
          </w:tcPr>
          <w:p>
            <w:pPr>
              <w:pStyle w:val="TableParagraph"/>
              <w:rPr>
                <w:rFonts w:ascii="Times New Roman"/>
                <w:sz w:val="16"/>
              </w:rPr>
            </w:pPr>
          </w:p>
        </w:tc>
        <w:tc>
          <w:tcPr>
            <w:tcW w:w="799" w:type="dxa"/>
          </w:tcPr>
          <w:p>
            <w:pPr>
              <w:pStyle w:val="TableParagraph"/>
              <w:rPr>
                <w:rFonts w:ascii="Times New Roman"/>
                <w:sz w:val="16"/>
              </w:rPr>
            </w:pPr>
          </w:p>
        </w:tc>
        <w:tc>
          <w:tcPr>
            <w:tcW w:w="626" w:type="dxa"/>
          </w:tcPr>
          <w:p>
            <w:pPr>
              <w:pStyle w:val="TableParagraph"/>
              <w:rPr>
                <w:rFonts w:ascii="Times New Roman"/>
                <w:sz w:val="16"/>
              </w:rPr>
            </w:pPr>
          </w:p>
        </w:tc>
        <w:tc>
          <w:tcPr>
            <w:tcW w:w="770" w:type="dxa"/>
          </w:tcPr>
          <w:p>
            <w:pPr>
              <w:pStyle w:val="TableParagraph"/>
              <w:rPr>
                <w:rFonts w:ascii="Times New Roman"/>
                <w:sz w:val="16"/>
              </w:rPr>
            </w:pPr>
          </w:p>
        </w:tc>
        <w:tc>
          <w:tcPr>
            <w:tcW w:w="691" w:type="dxa"/>
          </w:tcPr>
          <w:p>
            <w:pPr>
              <w:pStyle w:val="TableParagraph"/>
              <w:rPr>
                <w:rFonts w:ascii="Times New Roman"/>
                <w:sz w:val="16"/>
              </w:rPr>
            </w:pPr>
          </w:p>
        </w:tc>
        <w:tc>
          <w:tcPr>
            <w:tcW w:w="738" w:type="dxa"/>
            <w:tcBorders>
              <w:right w:val="single" w:sz="4" w:space="0" w:color="000000"/>
            </w:tcBorders>
          </w:tcPr>
          <w:p>
            <w:pPr>
              <w:pStyle w:val="TableParagraph"/>
              <w:rPr>
                <w:rFonts w:ascii="Times New Roman"/>
                <w:sz w:val="16"/>
              </w:rPr>
            </w:pPr>
          </w:p>
        </w:tc>
      </w:tr>
      <w:tr>
        <w:trPr>
          <w:trHeight w:val="227" w:hRule="atLeast"/>
        </w:trPr>
        <w:tc>
          <w:tcPr>
            <w:tcW w:w="4146" w:type="dxa"/>
            <w:tcBorders>
              <w:left w:val="single" w:sz="4" w:space="0" w:color="000000"/>
            </w:tcBorders>
          </w:tcPr>
          <w:p>
            <w:pPr>
              <w:pStyle w:val="TableParagraph"/>
              <w:tabs>
                <w:tab w:pos="1502" w:val="left" w:leader="none"/>
                <w:tab w:pos="2174" w:val="left" w:leader="none"/>
                <w:tab w:pos="2832" w:val="left" w:leader="none"/>
              </w:tabs>
              <w:spacing w:line="208" w:lineRule="exact"/>
              <w:ind w:right="100"/>
              <w:jc w:val="right"/>
              <w:rPr>
                <w:sz w:val="20"/>
              </w:rPr>
            </w:pPr>
            <w:r>
              <w:rPr>
                <w:spacing w:val="-2"/>
                <w:sz w:val="20"/>
              </w:rPr>
              <w:t>management</w:t>
            </w:r>
            <w:r>
              <w:rPr>
                <w:sz w:val="20"/>
              </w:rPr>
              <w:tab/>
            </w:r>
            <w:r>
              <w:rPr>
                <w:spacing w:val="-4"/>
                <w:sz w:val="20"/>
              </w:rPr>
              <w:t>that</w:t>
            </w:r>
            <w:r>
              <w:rPr>
                <w:sz w:val="20"/>
              </w:rPr>
              <w:tab/>
            </w:r>
            <w:r>
              <w:rPr>
                <w:spacing w:val="-5"/>
                <w:sz w:val="20"/>
              </w:rPr>
              <w:t>can</w:t>
            </w:r>
            <w:r>
              <w:rPr>
                <w:sz w:val="20"/>
              </w:rPr>
              <w:tab/>
            </w:r>
            <w:r>
              <w:rPr>
                <w:spacing w:val="-4"/>
                <w:sz w:val="20"/>
              </w:rPr>
              <w:t>help</w:t>
            </w:r>
          </w:p>
        </w:tc>
        <w:tc>
          <w:tcPr>
            <w:tcW w:w="1796" w:type="dxa"/>
          </w:tcPr>
          <w:p>
            <w:pPr>
              <w:pStyle w:val="TableParagraph"/>
              <w:rPr>
                <w:rFonts w:ascii="Times New Roman"/>
                <w:sz w:val="16"/>
              </w:rPr>
            </w:pPr>
          </w:p>
        </w:tc>
        <w:tc>
          <w:tcPr>
            <w:tcW w:w="707" w:type="dxa"/>
          </w:tcPr>
          <w:p>
            <w:pPr>
              <w:pStyle w:val="TableParagraph"/>
              <w:rPr>
                <w:rFonts w:ascii="Times New Roman"/>
                <w:sz w:val="16"/>
              </w:rPr>
            </w:pPr>
          </w:p>
        </w:tc>
        <w:tc>
          <w:tcPr>
            <w:tcW w:w="749" w:type="dxa"/>
          </w:tcPr>
          <w:p>
            <w:pPr>
              <w:pStyle w:val="TableParagraph"/>
              <w:rPr>
                <w:rFonts w:ascii="Times New Roman"/>
                <w:sz w:val="16"/>
              </w:rPr>
            </w:pPr>
          </w:p>
        </w:tc>
        <w:tc>
          <w:tcPr>
            <w:tcW w:w="691" w:type="dxa"/>
          </w:tcPr>
          <w:p>
            <w:pPr>
              <w:pStyle w:val="TableParagraph"/>
              <w:rPr>
                <w:rFonts w:ascii="Times New Roman"/>
                <w:sz w:val="16"/>
              </w:rPr>
            </w:pPr>
          </w:p>
        </w:tc>
        <w:tc>
          <w:tcPr>
            <w:tcW w:w="777" w:type="dxa"/>
          </w:tcPr>
          <w:p>
            <w:pPr>
              <w:pStyle w:val="TableParagraph"/>
              <w:rPr>
                <w:rFonts w:ascii="Times New Roman"/>
                <w:sz w:val="16"/>
              </w:rPr>
            </w:pPr>
          </w:p>
        </w:tc>
        <w:tc>
          <w:tcPr>
            <w:tcW w:w="686" w:type="dxa"/>
          </w:tcPr>
          <w:p>
            <w:pPr>
              <w:pStyle w:val="TableParagraph"/>
              <w:rPr>
                <w:rFonts w:ascii="Times New Roman"/>
                <w:sz w:val="16"/>
              </w:rPr>
            </w:pPr>
          </w:p>
        </w:tc>
        <w:tc>
          <w:tcPr>
            <w:tcW w:w="902" w:type="dxa"/>
          </w:tcPr>
          <w:p>
            <w:pPr>
              <w:pStyle w:val="TableParagraph"/>
              <w:rPr>
                <w:rFonts w:ascii="Times New Roman"/>
                <w:sz w:val="16"/>
              </w:rPr>
            </w:pPr>
          </w:p>
        </w:tc>
        <w:tc>
          <w:tcPr>
            <w:tcW w:w="684" w:type="dxa"/>
          </w:tcPr>
          <w:p>
            <w:pPr>
              <w:pStyle w:val="TableParagraph"/>
              <w:rPr>
                <w:rFonts w:ascii="Times New Roman"/>
                <w:sz w:val="16"/>
              </w:rPr>
            </w:pPr>
          </w:p>
        </w:tc>
        <w:tc>
          <w:tcPr>
            <w:tcW w:w="799" w:type="dxa"/>
          </w:tcPr>
          <w:p>
            <w:pPr>
              <w:pStyle w:val="TableParagraph"/>
              <w:rPr>
                <w:rFonts w:ascii="Times New Roman"/>
                <w:sz w:val="16"/>
              </w:rPr>
            </w:pPr>
          </w:p>
        </w:tc>
        <w:tc>
          <w:tcPr>
            <w:tcW w:w="626" w:type="dxa"/>
          </w:tcPr>
          <w:p>
            <w:pPr>
              <w:pStyle w:val="TableParagraph"/>
              <w:rPr>
                <w:rFonts w:ascii="Times New Roman"/>
                <w:sz w:val="16"/>
              </w:rPr>
            </w:pPr>
          </w:p>
        </w:tc>
        <w:tc>
          <w:tcPr>
            <w:tcW w:w="770" w:type="dxa"/>
          </w:tcPr>
          <w:p>
            <w:pPr>
              <w:pStyle w:val="TableParagraph"/>
              <w:rPr>
                <w:rFonts w:ascii="Times New Roman"/>
                <w:sz w:val="16"/>
              </w:rPr>
            </w:pPr>
          </w:p>
        </w:tc>
        <w:tc>
          <w:tcPr>
            <w:tcW w:w="691" w:type="dxa"/>
          </w:tcPr>
          <w:p>
            <w:pPr>
              <w:pStyle w:val="TableParagraph"/>
              <w:rPr>
                <w:rFonts w:ascii="Times New Roman"/>
                <w:sz w:val="16"/>
              </w:rPr>
            </w:pPr>
          </w:p>
        </w:tc>
        <w:tc>
          <w:tcPr>
            <w:tcW w:w="738" w:type="dxa"/>
            <w:tcBorders>
              <w:right w:val="single" w:sz="4" w:space="0" w:color="000000"/>
            </w:tcBorders>
          </w:tcPr>
          <w:p>
            <w:pPr>
              <w:pStyle w:val="TableParagraph"/>
              <w:rPr>
                <w:rFonts w:ascii="Times New Roman"/>
                <w:sz w:val="16"/>
              </w:rPr>
            </w:pPr>
          </w:p>
        </w:tc>
      </w:tr>
      <w:tr>
        <w:trPr>
          <w:trHeight w:val="227" w:hRule="atLeast"/>
        </w:trPr>
        <w:tc>
          <w:tcPr>
            <w:tcW w:w="4146" w:type="dxa"/>
            <w:tcBorders>
              <w:left w:val="single" w:sz="4" w:space="0" w:color="000000"/>
            </w:tcBorders>
          </w:tcPr>
          <w:p>
            <w:pPr>
              <w:pStyle w:val="TableParagraph"/>
              <w:spacing w:line="208" w:lineRule="exact"/>
              <w:ind w:right="100"/>
              <w:jc w:val="right"/>
              <w:rPr>
                <w:sz w:val="20"/>
              </w:rPr>
            </w:pPr>
            <w:r>
              <w:rPr>
                <w:sz w:val="20"/>
              </w:rPr>
              <w:t>immensely</w:t>
            </w:r>
            <w:r>
              <w:rPr>
                <w:spacing w:val="75"/>
                <w:w w:val="150"/>
                <w:sz w:val="20"/>
              </w:rPr>
              <w:t> </w:t>
            </w:r>
            <w:r>
              <w:rPr>
                <w:sz w:val="20"/>
              </w:rPr>
              <w:t>in</w:t>
            </w:r>
            <w:r>
              <w:rPr>
                <w:spacing w:val="77"/>
                <w:w w:val="150"/>
                <w:sz w:val="20"/>
              </w:rPr>
              <w:t> </w:t>
            </w:r>
            <w:r>
              <w:rPr>
                <w:sz w:val="20"/>
              </w:rPr>
              <w:t>yielding</w:t>
            </w:r>
            <w:r>
              <w:rPr>
                <w:spacing w:val="78"/>
                <w:w w:val="150"/>
                <w:sz w:val="20"/>
              </w:rPr>
              <w:t> </w:t>
            </w:r>
            <w:r>
              <w:rPr>
                <w:sz w:val="20"/>
              </w:rPr>
              <w:t>results</w:t>
            </w:r>
            <w:r>
              <w:rPr>
                <w:spacing w:val="75"/>
                <w:w w:val="150"/>
                <w:sz w:val="20"/>
              </w:rPr>
              <w:t> </w:t>
            </w:r>
            <w:r>
              <w:rPr>
                <w:spacing w:val="-5"/>
                <w:sz w:val="20"/>
              </w:rPr>
              <w:t>in</w:t>
            </w:r>
          </w:p>
        </w:tc>
        <w:tc>
          <w:tcPr>
            <w:tcW w:w="1796" w:type="dxa"/>
          </w:tcPr>
          <w:p>
            <w:pPr>
              <w:pStyle w:val="TableParagraph"/>
              <w:rPr>
                <w:rFonts w:ascii="Times New Roman"/>
                <w:sz w:val="16"/>
              </w:rPr>
            </w:pPr>
          </w:p>
        </w:tc>
        <w:tc>
          <w:tcPr>
            <w:tcW w:w="707" w:type="dxa"/>
          </w:tcPr>
          <w:p>
            <w:pPr>
              <w:pStyle w:val="TableParagraph"/>
              <w:rPr>
                <w:rFonts w:ascii="Times New Roman"/>
                <w:sz w:val="16"/>
              </w:rPr>
            </w:pPr>
          </w:p>
        </w:tc>
        <w:tc>
          <w:tcPr>
            <w:tcW w:w="749" w:type="dxa"/>
          </w:tcPr>
          <w:p>
            <w:pPr>
              <w:pStyle w:val="TableParagraph"/>
              <w:rPr>
                <w:rFonts w:ascii="Times New Roman"/>
                <w:sz w:val="16"/>
              </w:rPr>
            </w:pPr>
          </w:p>
        </w:tc>
        <w:tc>
          <w:tcPr>
            <w:tcW w:w="691" w:type="dxa"/>
          </w:tcPr>
          <w:p>
            <w:pPr>
              <w:pStyle w:val="TableParagraph"/>
              <w:rPr>
                <w:rFonts w:ascii="Times New Roman"/>
                <w:sz w:val="16"/>
              </w:rPr>
            </w:pPr>
          </w:p>
        </w:tc>
        <w:tc>
          <w:tcPr>
            <w:tcW w:w="777" w:type="dxa"/>
          </w:tcPr>
          <w:p>
            <w:pPr>
              <w:pStyle w:val="TableParagraph"/>
              <w:rPr>
                <w:rFonts w:ascii="Times New Roman"/>
                <w:sz w:val="16"/>
              </w:rPr>
            </w:pPr>
          </w:p>
        </w:tc>
        <w:tc>
          <w:tcPr>
            <w:tcW w:w="686" w:type="dxa"/>
          </w:tcPr>
          <w:p>
            <w:pPr>
              <w:pStyle w:val="TableParagraph"/>
              <w:rPr>
                <w:rFonts w:ascii="Times New Roman"/>
                <w:sz w:val="16"/>
              </w:rPr>
            </w:pPr>
          </w:p>
        </w:tc>
        <w:tc>
          <w:tcPr>
            <w:tcW w:w="902" w:type="dxa"/>
          </w:tcPr>
          <w:p>
            <w:pPr>
              <w:pStyle w:val="TableParagraph"/>
              <w:rPr>
                <w:rFonts w:ascii="Times New Roman"/>
                <w:sz w:val="16"/>
              </w:rPr>
            </w:pPr>
          </w:p>
        </w:tc>
        <w:tc>
          <w:tcPr>
            <w:tcW w:w="684" w:type="dxa"/>
          </w:tcPr>
          <w:p>
            <w:pPr>
              <w:pStyle w:val="TableParagraph"/>
              <w:rPr>
                <w:rFonts w:ascii="Times New Roman"/>
                <w:sz w:val="16"/>
              </w:rPr>
            </w:pPr>
          </w:p>
        </w:tc>
        <w:tc>
          <w:tcPr>
            <w:tcW w:w="799" w:type="dxa"/>
          </w:tcPr>
          <w:p>
            <w:pPr>
              <w:pStyle w:val="TableParagraph"/>
              <w:rPr>
                <w:rFonts w:ascii="Times New Roman"/>
                <w:sz w:val="16"/>
              </w:rPr>
            </w:pPr>
          </w:p>
        </w:tc>
        <w:tc>
          <w:tcPr>
            <w:tcW w:w="626" w:type="dxa"/>
          </w:tcPr>
          <w:p>
            <w:pPr>
              <w:pStyle w:val="TableParagraph"/>
              <w:rPr>
                <w:rFonts w:ascii="Times New Roman"/>
                <w:sz w:val="16"/>
              </w:rPr>
            </w:pPr>
          </w:p>
        </w:tc>
        <w:tc>
          <w:tcPr>
            <w:tcW w:w="770" w:type="dxa"/>
          </w:tcPr>
          <w:p>
            <w:pPr>
              <w:pStyle w:val="TableParagraph"/>
              <w:rPr>
                <w:rFonts w:ascii="Times New Roman"/>
                <w:sz w:val="16"/>
              </w:rPr>
            </w:pPr>
          </w:p>
        </w:tc>
        <w:tc>
          <w:tcPr>
            <w:tcW w:w="691" w:type="dxa"/>
          </w:tcPr>
          <w:p>
            <w:pPr>
              <w:pStyle w:val="TableParagraph"/>
              <w:rPr>
                <w:rFonts w:ascii="Times New Roman"/>
                <w:sz w:val="16"/>
              </w:rPr>
            </w:pPr>
          </w:p>
        </w:tc>
        <w:tc>
          <w:tcPr>
            <w:tcW w:w="738" w:type="dxa"/>
            <w:tcBorders>
              <w:right w:val="single" w:sz="4" w:space="0" w:color="000000"/>
            </w:tcBorders>
          </w:tcPr>
          <w:p>
            <w:pPr>
              <w:pStyle w:val="TableParagraph"/>
              <w:rPr>
                <w:rFonts w:ascii="Times New Roman"/>
                <w:sz w:val="16"/>
              </w:rPr>
            </w:pPr>
          </w:p>
        </w:tc>
      </w:tr>
      <w:tr>
        <w:trPr>
          <w:trHeight w:val="230" w:hRule="atLeast"/>
        </w:trPr>
        <w:tc>
          <w:tcPr>
            <w:tcW w:w="4146" w:type="dxa"/>
            <w:tcBorders>
              <w:left w:val="single" w:sz="4" w:space="0" w:color="000000"/>
            </w:tcBorders>
          </w:tcPr>
          <w:p>
            <w:pPr>
              <w:pStyle w:val="TableParagraph"/>
              <w:spacing w:line="210" w:lineRule="exact"/>
              <w:ind w:left="830"/>
              <w:rPr>
                <w:sz w:val="20"/>
              </w:rPr>
            </w:pPr>
            <w:r>
              <w:rPr>
                <w:sz w:val="20"/>
              </w:rPr>
              <w:t>students’</w:t>
            </w:r>
            <w:r>
              <w:rPr>
                <w:spacing w:val="-12"/>
                <w:sz w:val="20"/>
              </w:rPr>
              <w:t> </w:t>
            </w:r>
            <w:r>
              <w:rPr>
                <w:spacing w:val="-2"/>
                <w:sz w:val="20"/>
              </w:rPr>
              <w:t>welfare.</w:t>
            </w:r>
          </w:p>
        </w:tc>
        <w:tc>
          <w:tcPr>
            <w:tcW w:w="1796" w:type="dxa"/>
          </w:tcPr>
          <w:p>
            <w:pPr>
              <w:pStyle w:val="TableParagraph"/>
              <w:rPr>
                <w:rFonts w:ascii="Times New Roman"/>
                <w:sz w:val="16"/>
              </w:rPr>
            </w:pPr>
          </w:p>
        </w:tc>
        <w:tc>
          <w:tcPr>
            <w:tcW w:w="707" w:type="dxa"/>
          </w:tcPr>
          <w:p>
            <w:pPr>
              <w:pStyle w:val="TableParagraph"/>
              <w:rPr>
                <w:rFonts w:ascii="Times New Roman"/>
                <w:sz w:val="16"/>
              </w:rPr>
            </w:pPr>
          </w:p>
        </w:tc>
        <w:tc>
          <w:tcPr>
            <w:tcW w:w="749" w:type="dxa"/>
          </w:tcPr>
          <w:p>
            <w:pPr>
              <w:pStyle w:val="TableParagraph"/>
              <w:rPr>
                <w:rFonts w:ascii="Times New Roman"/>
                <w:sz w:val="16"/>
              </w:rPr>
            </w:pPr>
          </w:p>
        </w:tc>
        <w:tc>
          <w:tcPr>
            <w:tcW w:w="691" w:type="dxa"/>
          </w:tcPr>
          <w:p>
            <w:pPr>
              <w:pStyle w:val="TableParagraph"/>
              <w:rPr>
                <w:rFonts w:ascii="Times New Roman"/>
                <w:sz w:val="16"/>
              </w:rPr>
            </w:pPr>
          </w:p>
        </w:tc>
        <w:tc>
          <w:tcPr>
            <w:tcW w:w="777" w:type="dxa"/>
          </w:tcPr>
          <w:p>
            <w:pPr>
              <w:pStyle w:val="TableParagraph"/>
              <w:rPr>
                <w:rFonts w:ascii="Times New Roman"/>
                <w:sz w:val="16"/>
              </w:rPr>
            </w:pPr>
          </w:p>
        </w:tc>
        <w:tc>
          <w:tcPr>
            <w:tcW w:w="686" w:type="dxa"/>
          </w:tcPr>
          <w:p>
            <w:pPr>
              <w:pStyle w:val="TableParagraph"/>
              <w:rPr>
                <w:rFonts w:ascii="Times New Roman"/>
                <w:sz w:val="16"/>
              </w:rPr>
            </w:pPr>
          </w:p>
        </w:tc>
        <w:tc>
          <w:tcPr>
            <w:tcW w:w="902" w:type="dxa"/>
          </w:tcPr>
          <w:p>
            <w:pPr>
              <w:pStyle w:val="TableParagraph"/>
              <w:rPr>
                <w:rFonts w:ascii="Times New Roman"/>
                <w:sz w:val="16"/>
              </w:rPr>
            </w:pPr>
          </w:p>
        </w:tc>
        <w:tc>
          <w:tcPr>
            <w:tcW w:w="684" w:type="dxa"/>
          </w:tcPr>
          <w:p>
            <w:pPr>
              <w:pStyle w:val="TableParagraph"/>
              <w:rPr>
                <w:rFonts w:ascii="Times New Roman"/>
                <w:sz w:val="16"/>
              </w:rPr>
            </w:pPr>
          </w:p>
        </w:tc>
        <w:tc>
          <w:tcPr>
            <w:tcW w:w="799" w:type="dxa"/>
          </w:tcPr>
          <w:p>
            <w:pPr>
              <w:pStyle w:val="TableParagraph"/>
              <w:rPr>
                <w:rFonts w:ascii="Times New Roman"/>
                <w:sz w:val="16"/>
              </w:rPr>
            </w:pPr>
          </w:p>
        </w:tc>
        <w:tc>
          <w:tcPr>
            <w:tcW w:w="626" w:type="dxa"/>
          </w:tcPr>
          <w:p>
            <w:pPr>
              <w:pStyle w:val="TableParagraph"/>
              <w:rPr>
                <w:rFonts w:ascii="Times New Roman"/>
                <w:sz w:val="16"/>
              </w:rPr>
            </w:pPr>
          </w:p>
        </w:tc>
        <w:tc>
          <w:tcPr>
            <w:tcW w:w="770" w:type="dxa"/>
          </w:tcPr>
          <w:p>
            <w:pPr>
              <w:pStyle w:val="TableParagraph"/>
              <w:rPr>
                <w:rFonts w:ascii="Times New Roman"/>
                <w:sz w:val="16"/>
              </w:rPr>
            </w:pPr>
          </w:p>
        </w:tc>
        <w:tc>
          <w:tcPr>
            <w:tcW w:w="691" w:type="dxa"/>
          </w:tcPr>
          <w:p>
            <w:pPr>
              <w:pStyle w:val="TableParagraph"/>
              <w:rPr>
                <w:rFonts w:ascii="Times New Roman"/>
                <w:sz w:val="16"/>
              </w:rPr>
            </w:pPr>
          </w:p>
        </w:tc>
        <w:tc>
          <w:tcPr>
            <w:tcW w:w="738" w:type="dxa"/>
            <w:tcBorders>
              <w:right w:val="single" w:sz="4" w:space="0" w:color="000000"/>
            </w:tcBorders>
          </w:tcPr>
          <w:p>
            <w:pPr>
              <w:pStyle w:val="TableParagraph"/>
              <w:rPr>
                <w:rFonts w:ascii="Times New Roman"/>
                <w:sz w:val="16"/>
              </w:rPr>
            </w:pPr>
          </w:p>
        </w:tc>
      </w:tr>
      <w:tr>
        <w:trPr>
          <w:trHeight w:val="230" w:hRule="atLeast"/>
        </w:trPr>
        <w:tc>
          <w:tcPr>
            <w:tcW w:w="4146" w:type="dxa"/>
            <w:tcBorders>
              <w:left w:val="single" w:sz="4" w:space="0" w:color="000000"/>
            </w:tcBorders>
          </w:tcPr>
          <w:p>
            <w:pPr>
              <w:pStyle w:val="TableParagraph"/>
              <w:tabs>
                <w:tab w:pos="609" w:val="left" w:leader="none"/>
              </w:tabs>
              <w:spacing w:line="210" w:lineRule="exact"/>
              <w:ind w:right="108"/>
              <w:jc w:val="right"/>
              <w:rPr>
                <w:sz w:val="20"/>
              </w:rPr>
            </w:pPr>
            <w:r>
              <w:rPr>
                <w:spacing w:val="-5"/>
                <w:sz w:val="20"/>
              </w:rPr>
              <w:t>95.</w:t>
            </w:r>
            <w:r>
              <w:rPr>
                <w:sz w:val="20"/>
              </w:rPr>
              <w:tab/>
              <w:t>Good</w:t>
            </w:r>
            <w:r>
              <w:rPr>
                <w:spacing w:val="62"/>
                <w:sz w:val="20"/>
              </w:rPr>
              <w:t> </w:t>
            </w:r>
            <w:r>
              <w:rPr>
                <w:sz w:val="20"/>
              </w:rPr>
              <w:t>policies,</w:t>
            </w:r>
            <w:r>
              <w:rPr>
                <w:spacing w:val="64"/>
                <w:sz w:val="20"/>
              </w:rPr>
              <w:t> </w:t>
            </w:r>
            <w:r>
              <w:rPr>
                <w:sz w:val="20"/>
              </w:rPr>
              <w:t>laws</w:t>
            </w:r>
            <w:r>
              <w:rPr>
                <w:spacing w:val="60"/>
                <w:sz w:val="20"/>
              </w:rPr>
              <w:t> </w:t>
            </w:r>
            <w:r>
              <w:rPr>
                <w:sz w:val="20"/>
              </w:rPr>
              <w:t>and</w:t>
            </w:r>
            <w:r>
              <w:rPr>
                <w:spacing w:val="67"/>
                <w:sz w:val="20"/>
              </w:rPr>
              <w:t> </w:t>
            </w:r>
            <w:r>
              <w:rPr>
                <w:spacing w:val="-2"/>
                <w:sz w:val="20"/>
              </w:rPr>
              <w:t>statutes,</w:t>
            </w:r>
          </w:p>
        </w:tc>
        <w:tc>
          <w:tcPr>
            <w:tcW w:w="1796" w:type="dxa"/>
          </w:tcPr>
          <w:p>
            <w:pPr>
              <w:pStyle w:val="TableParagraph"/>
              <w:spacing w:line="210" w:lineRule="exact"/>
              <w:ind w:left="111"/>
              <w:rPr>
                <w:sz w:val="20"/>
              </w:rPr>
            </w:pPr>
            <w:r>
              <w:rPr>
                <w:sz w:val="20"/>
              </w:rPr>
              <w:t>No.</w:t>
            </w:r>
            <w:r>
              <w:rPr>
                <w:spacing w:val="-5"/>
                <w:sz w:val="20"/>
              </w:rPr>
              <w:t> </w:t>
            </w:r>
            <w:r>
              <w:rPr>
                <w:sz w:val="20"/>
              </w:rPr>
              <w:t>of</w:t>
            </w:r>
            <w:r>
              <w:rPr>
                <w:spacing w:val="-2"/>
                <w:sz w:val="20"/>
              </w:rPr>
              <w:t> missing</w:t>
            </w:r>
          </w:p>
        </w:tc>
        <w:tc>
          <w:tcPr>
            <w:tcW w:w="707" w:type="dxa"/>
          </w:tcPr>
          <w:p>
            <w:pPr>
              <w:pStyle w:val="TableParagraph"/>
              <w:rPr>
                <w:rFonts w:ascii="Times New Roman"/>
                <w:sz w:val="16"/>
              </w:rPr>
            </w:pPr>
          </w:p>
        </w:tc>
        <w:tc>
          <w:tcPr>
            <w:tcW w:w="749" w:type="dxa"/>
          </w:tcPr>
          <w:p>
            <w:pPr>
              <w:pStyle w:val="TableParagraph"/>
              <w:rPr>
                <w:rFonts w:ascii="Times New Roman"/>
                <w:sz w:val="16"/>
              </w:rPr>
            </w:pPr>
          </w:p>
        </w:tc>
        <w:tc>
          <w:tcPr>
            <w:tcW w:w="691" w:type="dxa"/>
          </w:tcPr>
          <w:p>
            <w:pPr>
              <w:pStyle w:val="TableParagraph"/>
              <w:rPr>
                <w:rFonts w:ascii="Times New Roman"/>
                <w:sz w:val="16"/>
              </w:rPr>
            </w:pPr>
          </w:p>
        </w:tc>
        <w:tc>
          <w:tcPr>
            <w:tcW w:w="777" w:type="dxa"/>
          </w:tcPr>
          <w:p>
            <w:pPr>
              <w:pStyle w:val="TableParagraph"/>
              <w:rPr>
                <w:rFonts w:ascii="Times New Roman"/>
                <w:sz w:val="16"/>
              </w:rPr>
            </w:pPr>
          </w:p>
        </w:tc>
        <w:tc>
          <w:tcPr>
            <w:tcW w:w="686" w:type="dxa"/>
          </w:tcPr>
          <w:p>
            <w:pPr>
              <w:pStyle w:val="TableParagraph"/>
              <w:rPr>
                <w:rFonts w:ascii="Times New Roman"/>
                <w:sz w:val="16"/>
              </w:rPr>
            </w:pPr>
          </w:p>
        </w:tc>
        <w:tc>
          <w:tcPr>
            <w:tcW w:w="902" w:type="dxa"/>
          </w:tcPr>
          <w:p>
            <w:pPr>
              <w:pStyle w:val="TableParagraph"/>
              <w:rPr>
                <w:rFonts w:ascii="Times New Roman"/>
                <w:sz w:val="16"/>
              </w:rPr>
            </w:pPr>
          </w:p>
        </w:tc>
        <w:tc>
          <w:tcPr>
            <w:tcW w:w="684" w:type="dxa"/>
          </w:tcPr>
          <w:p>
            <w:pPr>
              <w:pStyle w:val="TableParagraph"/>
              <w:rPr>
                <w:rFonts w:ascii="Times New Roman"/>
                <w:sz w:val="16"/>
              </w:rPr>
            </w:pPr>
          </w:p>
        </w:tc>
        <w:tc>
          <w:tcPr>
            <w:tcW w:w="799" w:type="dxa"/>
          </w:tcPr>
          <w:p>
            <w:pPr>
              <w:pStyle w:val="TableParagraph"/>
              <w:rPr>
                <w:rFonts w:ascii="Times New Roman"/>
                <w:sz w:val="16"/>
              </w:rPr>
            </w:pPr>
          </w:p>
        </w:tc>
        <w:tc>
          <w:tcPr>
            <w:tcW w:w="626" w:type="dxa"/>
          </w:tcPr>
          <w:p>
            <w:pPr>
              <w:pStyle w:val="TableParagraph"/>
              <w:rPr>
                <w:rFonts w:ascii="Times New Roman"/>
                <w:sz w:val="16"/>
              </w:rPr>
            </w:pPr>
          </w:p>
        </w:tc>
        <w:tc>
          <w:tcPr>
            <w:tcW w:w="770" w:type="dxa"/>
          </w:tcPr>
          <w:p>
            <w:pPr>
              <w:pStyle w:val="TableParagraph"/>
              <w:rPr>
                <w:rFonts w:ascii="Times New Roman"/>
                <w:sz w:val="16"/>
              </w:rPr>
            </w:pPr>
          </w:p>
        </w:tc>
        <w:tc>
          <w:tcPr>
            <w:tcW w:w="691" w:type="dxa"/>
          </w:tcPr>
          <w:p>
            <w:pPr>
              <w:pStyle w:val="TableParagraph"/>
              <w:rPr>
                <w:rFonts w:ascii="Times New Roman"/>
                <w:sz w:val="16"/>
              </w:rPr>
            </w:pPr>
          </w:p>
        </w:tc>
        <w:tc>
          <w:tcPr>
            <w:tcW w:w="738" w:type="dxa"/>
            <w:tcBorders>
              <w:right w:val="single" w:sz="4" w:space="0" w:color="000000"/>
            </w:tcBorders>
          </w:tcPr>
          <w:p>
            <w:pPr>
              <w:pStyle w:val="TableParagraph"/>
              <w:rPr>
                <w:rFonts w:ascii="Times New Roman"/>
                <w:sz w:val="16"/>
              </w:rPr>
            </w:pPr>
          </w:p>
        </w:tc>
      </w:tr>
      <w:tr>
        <w:trPr>
          <w:trHeight w:val="230" w:hRule="atLeast"/>
        </w:trPr>
        <w:tc>
          <w:tcPr>
            <w:tcW w:w="4146" w:type="dxa"/>
            <w:tcBorders>
              <w:left w:val="single" w:sz="4" w:space="0" w:color="000000"/>
            </w:tcBorders>
          </w:tcPr>
          <w:p>
            <w:pPr>
              <w:pStyle w:val="TableParagraph"/>
              <w:spacing w:line="210" w:lineRule="exact"/>
              <w:ind w:right="100"/>
              <w:jc w:val="right"/>
              <w:rPr>
                <w:sz w:val="20"/>
              </w:rPr>
            </w:pPr>
            <w:r>
              <w:rPr>
                <w:sz w:val="20"/>
              </w:rPr>
              <w:t>rules</w:t>
            </w:r>
            <w:r>
              <w:rPr>
                <w:spacing w:val="72"/>
                <w:w w:val="150"/>
                <w:sz w:val="20"/>
              </w:rPr>
              <w:t> </w:t>
            </w:r>
            <w:r>
              <w:rPr>
                <w:sz w:val="20"/>
              </w:rPr>
              <w:t>and</w:t>
            </w:r>
            <w:r>
              <w:rPr>
                <w:spacing w:val="76"/>
                <w:w w:val="150"/>
                <w:sz w:val="20"/>
              </w:rPr>
              <w:t> </w:t>
            </w:r>
            <w:r>
              <w:rPr>
                <w:sz w:val="20"/>
              </w:rPr>
              <w:t>regulation</w:t>
            </w:r>
            <w:r>
              <w:rPr>
                <w:spacing w:val="76"/>
                <w:w w:val="150"/>
                <w:sz w:val="20"/>
              </w:rPr>
              <w:t> </w:t>
            </w:r>
            <w:r>
              <w:rPr>
                <w:sz w:val="20"/>
              </w:rPr>
              <w:t>to</w:t>
            </w:r>
            <w:r>
              <w:rPr>
                <w:spacing w:val="71"/>
                <w:w w:val="150"/>
                <w:sz w:val="20"/>
              </w:rPr>
              <w:t> </w:t>
            </w:r>
            <w:r>
              <w:rPr>
                <w:spacing w:val="-2"/>
                <w:sz w:val="20"/>
              </w:rPr>
              <w:t>facilitate</w:t>
            </w:r>
          </w:p>
        </w:tc>
        <w:tc>
          <w:tcPr>
            <w:tcW w:w="1796" w:type="dxa"/>
          </w:tcPr>
          <w:p>
            <w:pPr>
              <w:pStyle w:val="TableParagraph"/>
              <w:spacing w:line="210" w:lineRule="exact"/>
              <w:ind w:left="111"/>
              <w:rPr>
                <w:sz w:val="20"/>
              </w:rPr>
            </w:pPr>
            <w:r>
              <w:rPr>
                <w:spacing w:val="-2"/>
                <w:sz w:val="20"/>
              </w:rPr>
              <w:t>observations</w:t>
            </w:r>
          </w:p>
        </w:tc>
        <w:tc>
          <w:tcPr>
            <w:tcW w:w="707" w:type="dxa"/>
          </w:tcPr>
          <w:p>
            <w:pPr>
              <w:pStyle w:val="TableParagraph"/>
              <w:spacing w:line="210" w:lineRule="exact"/>
              <w:ind w:left="64" w:right="41"/>
              <w:jc w:val="center"/>
              <w:rPr>
                <w:sz w:val="20"/>
              </w:rPr>
            </w:pPr>
            <w:r>
              <w:rPr>
                <w:spacing w:val="-10"/>
                <w:sz w:val="20"/>
              </w:rPr>
              <w:t>-</w:t>
            </w:r>
          </w:p>
        </w:tc>
        <w:tc>
          <w:tcPr>
            <w:tcW w:w="749" w:type="dxa"/>
          </w:tcPr>
          <w:p>
            <w:pPr>
              <w:pStyle w:val="TableParagraph"/>
              <w:spacing w:line="210" w:lineRule="exact"/>
              <w:ind w:left="14" w:right="7"/>
              <w:jc w:val="center"/>
              <w:rPr>
                <w:sz w:val="20"/>
              </w:rPr>
            </w:pPr>
            <w:r>
              <w:rPr>
                <w:spacing w:val="-10"/>
                <w:sz w:val="20"/>
              </w:rPr>
              <w:t>-</w:t>
            </w:r>
          </w:p>
        </w:tc>
        <w:tc>
          <w:tcPr>
            <w:tcW w:w="691" w:type="dxa"/>
          </w:tcPr>
          <w:p>
            <w:pPr>
              <w:pStyle w:val="TableParagraph"/>
              <w:spacing w:line="210" w:lineRule="exact"/>
              <w:ind w:left="22" w:right="8"/>
              <w:jc w:val="center"/>
              <w:rPr>
                <w:sz w:val="20"/>
              </w:rPr>
            </w:pPr>
            <w:r>
              <w:rPr>
                <w:spacing w:val="-10"/>
                <w:sz w:val="20"/>
              </w:rPr>
              <w:t>1</w:t>
            </w:r>
          </w:p>
        </w:tc>
        <w:tc>
          <w:tcPr>
            <w:tcW w:w="777" w:type="dxa"/>
          </w:tcPr>
          <w:p>
            <w:pPr>
              <w:pStyle w:val="TableParagraph"/>
              <w:spacing w:line="210" w:lineRule="exact"/>
              <w:ind w:left="17" w:right="28"/>
              <w:jc w:val="center"/>
              <w:rPr>
                <w:sz w:val="20"/>
              </w:rPr>
            </w:pPr>
            <w:r>
              <w:rPr>
                <w:spacing w:val="-4"/>
                <w:sz w:val="20"/>
              </w:rPr>
              <w:t>50.0</w:t>
            </w:r>
          </w:p>
        </w:tc>
        <w:tc>
          <w:tcPr>
            <w:tcW w:w="686" w:type="dxa"/>
          </w:tcPr>
          <w:p>
            <w:pPr>
              <w:pStyle w:val="TableParagraph"/>
              <w:spacing w:line="210" w:lineRule="exact"/>
              <w:ind w:left="11" w:right="52"/>
              <w:jc w:val="center"/>
              <w:rPr>
                <w:sz w:val="20"/>
              </w:rPr>
            </w:pPr>
            <w:r>
              <w:rPr>
                <w:spacing w:val="-10"/>
                <w:sz w:val="20"/>
              </w:rPr>
              <w:t>-</w:t>
            </w:r>
          </w:p>
        </w:tc>
        <w:tc>
          <w:tcPr>
            <w:tcW w:w="902" w:type="dxa"/>
          </w:tcPr>
          <w:p>
            <w:pPr>
              <w:pStyle w:val="TableParagraph"/>
              <w:spacing w:line="210" w:lineRule="exact"/>
              <w:ind w:left="20" w:right="10"/>
              <w:jc w:val="center"/>
              <w:rPr>
                <w:sz w:val="20"/>
              </w:rPr>
            </w:pPr>
            <w:r>
              <w:rPr>
                <w:spacing w:val="-10"/>
                <w:sz w:val="20"/>
              </w:rPr>
              <w:t>-</w:t>
            </w:r>
          </w:p>
        </w:tc>
        <w:tc>
          <w:tcPr>
            <w:tcW w:w="684" w:type="dxa"/>
          </w:tcPr>
          <w:p>
            <w:pPr>
              <w:pStyle w:val="TableParagraph"/>
              <w:spacing w:line="210" w:lineRule="exact"/>
              <w:ind w:left="68" w:right="6"/>
              <w:jc w:val="center"/>
              <w:rPr>
                <w:sz w:val="20"/>
              </w:rPr>
            </w:pPr>
            <w:r>
              <w:rPr>
                <w:spacing w:val="-10"/>
                <w:sz w:val="20"/>
              </w:rPr>
              <w:t>1</w:t>
            </w:r>
          </w:p>
        </w:tc>
        <w:tc>
          <w:tcPr>
            <w:tcW w:w="799" w:type="dxa"/>
          </w:tcPr>
          <w:p>
            <w:pPr>
              <w:pStyle w:val="TableParagraph"/>
              <w:spacing w:line="210" w:lineRule="exact"/>
              <w:ind w:left="23" w:right="4"/>
              <w:jc w:val="center"/>
              <w:rPr>
                <w:sz w:val="20"/>
              </w:rPr>
            </w:pPr>
            <w:r>
              <w:rPr>
                <w:spacing w:val="-4"/>
                <w:sz w:val="20"/>
              </w:rPr>
              <w:t>50.0</w:t>
            </w:r>
          </w:p>
        </w:tc>
        <w:tc>
          <w:tcPr>
            <w:tcW w:w="626" w:type="dxa"/>
          </w:tcPr>
          <w:p>
            <w:pPr>
              <w:pStyle w:val="TableParagraph"/>
              <w:spacing w:line="210" w:lineRule="exact"/>
              <w:ind w:left="20" w:right="12"/>
              <w:jc w:val="center"/>
              <w:rPr>
                <w:sz w:val="20"/>
              </w:rPr>
            </w:pPr>
            <w:r>
              <w:rPr>
                <w:spacing w:val="-10"/>
                <w:sz w:val="20"/>
              </w:rPr>
              <w:t>-</w:t>
            </w:r>
          </w:p>
        </w:tc>
        <w:tc>
          <w:tcPr>
            <w:tcW w:w="770" w:type="dxa"/>
          </w:tcPr>
          <w:p>
            <w:pPr>
              <w:pStyle w:val="TableParagraph"/>
              <w:spacing w:line="210" w:lineRule="exact"/>
              <w:ind w:left="42" w:right="9"/>
              <w:jc w:val="center"/>
              <w:rPr>
                <w:sz w:val="20"/>
              </w:rPr>
            </w:pPr>
            <w:r>
              <w:rPr>
                <w:spacing w:val="-10"/>
                <w:sz w:val="20"/>
              </w:rPr>
              <w:t>-</w:t>
            </w:r>
          </w:p>
        </w:tc>
        <w:tc>
          <w:tcPr>
            <w:tcW w:w="691" w:type="dxa"/>
          </w:tcPr>
          <w:p>
            <w:pPr>
              <w:pStyle w:val="TableParagraph"/>
              <w:spacing w:line="210" w:lineRule="exact"/>
              <w:ind w:left="22" w:right="3"/>
              <w:jc w:val="center"/>
              <w:rPr>
                <w:sz w:val="20"/>
              </w:rPr>
            </w:pPr>
            <w:r>
              <w:rPr>
                <w:spacing w:val="-10"/>
                <w:sz w:val="20"/>
              </w:rPr>
              <w:t>2</w:t>
            </w:r>
          </w:p>
        </w:tc>
        <w:tc>
          <w:tcPr>
            <w:tcW w:w="738" w:type="dxa"/>
            <w:tcBorders>
              <w:right w:val="single" w:sz="4" w:space="0" w:color="000000"/>
            </w:tcBorders>
          </w:tcPr>
          <w:p>
            <w:pPr>
              <w:pStyle w:val="TableParagraph"/>
              <w:spacing w:line="210" w:lineRule="exact"/>
              <w:ind w:left="53" w:right="23"/>
              <w:jc w:val="center"/>
              <w:rPr>
                <w:sz w:val="20"/>
              </w:rPr>
            </w:pPr>
            <w:r>
              <w:rPr>
                <w:spacing w:val="-5"/>
                <w:sz w:val="20"/>
              </w:rPr>
              <w:t>0.4</w:t>
            </w:r>
          </w:p>
        </w:tc>
      </w:tr>
      <w:tr>
        <w:trPr>
          <w:trHeight w:val="230" w:hRule="atLeast"/>
        </w:trPr>
        <w:tc>
          <w:tcPr>
            <w:tcW w:w="4146" w:type="dxa"/>
            <w:tcBorders>
              <w:left w:val="single" w:sz="4" w:space="0" w:color="000000"/>
            </w:tcBorders>
          </w:tcPr>
          <w:p>
            <w:pPr>
              <w:pStyle w:val="TableParagraph"/>
              <w:spacing w:line="210" w:lineRule="exact"/>
              <w:ind w:right="104"/>
              <w:jc w:val="right"/>
              <w:rPr>
                <w:sz w:val="20"/>
              </w:rPr>
            </w:pPr>
            <w:r>
              <w:rPr>
                <w:sz w:val="20"/>
              </w:rPr>
              <w:t>effective</w:t>
            </w:r>
            <w:r>
              <w:rPr>
                <w:spacing w:val="27"/>
                <w:sz w:val="20"/>
              </w:rPr>
              <w:t> </w:t>
            </w:r>
            <w:r>
              <w:rPr>
                <w:sz w:val="20"/>
              </w:rPr>
              <w:t>and</w:t>
            </w:r>
            <w:r>
              <w:rPr>
                <w:spacing w:val="27"/>
                <w:sz w:val="20"/>
              </w:rPr>
              <w:t> </w:t>
            </w:r>
            <w:r>
              <w:rPr>
                <w:sz w:val="20"/>
              </w:rPr>
              <w:t>efficient</w:t>
            </w:r>
            <w:r>
              <w:rPr>
                <w:spacing w:val="22"/>
                <w:sz w:val="20"/>
              </w:rPr>
              <w:t> </w:t>
            </w:r>
            <w:r>
              <w:rPr>
                <w:spacing w:val="-2"/>
                <w:sz w:val="20"/>
              </w:rPr>
              <w:t>management</w:t>
            </w:r>
          </w:p>
        </w:tc>
        <w:tc>
          <w:tcPr>
            <w:tcW w:w="1796" w:type="dxa"/>
          </w:tcPr>
          <w:p>
            <w:pPr>
              <w:pStyle w:val="TableParagraph"/>
              <w:spacing w:line="210" w:lineRule="exact"/>
              <w:ind w:left="111"/>
              <w:rPr>
                <w:sz w:val="20"/>
              </w:rPr>
            </w:pPr>
            <w:r>
              <w:rPr>
                <w:spacing w:val="-2"/>
                <w:sz w:val="20"/>
              </w:rPr>
              <w:t>Students</w:t>
            </w:r>
          </w:p>
        </w:tc>
        <w:tc>
          <w:tcPr>
            <w:tcW w:w="707" w:type="dxa"/>
          </w:tcPr>
          <w:p>
            <w:pPr>
              <w:pStyle w:val="TableParagraph"/>
              <w:spacing w:line="210" w:lineRule="exact"/>
              <w:ind w:left="64" w:right="39"/>
              <w:jc w:val="center"/>
              <w:rPr>
                <w:sz w:val="20"/>
              </w:rPr>
            </w:pPr>
            <w:r>
              <w:rPr>
                <w:spacing w:val="-5"/>
                <w:sz w:val="20"/>
              </w:rPr>
              <w:t>32</w:t>
            </w:r>
          </w:p>
        </w:tc>
        <w:tc>
          <w:tcPr>
            <w:tcW w:w="749" w:type="dxa"/>
          </w:tcPr>
          <w:p>
            <w:pPr>
              <w:pStyle w:val="TableParagraph"/>
              <w:spacing w:line="210" w:lineRule="exact"/>
              <w:ind w:left="14"/>
              <w:jc w:val="center"/>
              <w:rPr>
                <w:sz w:val="20"/>
              </w:rPr>
            </w:pPr>
            <w:r>
              <w:rPr>
                <w:spacing w:val="-4"/>
                <w:sz w:val="20"/>
              </w:rPr>
              <w:t>13.6</w:t>
            </w:r>
          </w:p>
        </w:tc>
        <w:tc>
          <w:tcPr>
            <w:tcW w:w="691" w:type="dxa"/>
          </w:tcPr>
          <w:p>
            <w:pPr>
              <w:pStyle w:val="TableParagraph"/>
              <w:spacing w:line="210" w:lineRule="exact"/>
              <w:ind w:left="22" w:right="13"/>
              <w:jc w:val="center"/>
              <w:rPr>
                <w:sz w:val="20"/>
              </w:rPr>
            </w:pPr>
            <w:r>
              <w:rPr>
                <w:spacing w:val="-5"/>
                <w:sz w:val="20"/>
              </w:rPr>
              <w:t>83</w:t>
            </w:r>
          </w:p>
        </w:tc>
        <w:tc>
          <w:tcPr>
            <w:tcW w:w="777" w:type="dxa"/>
          </w:tcPr>
          <w:p>
            <w:pPr>
              <w:pStyle w:val="TableParagraph"/>
              <w:spacing w:line="210" w:lineRule="exact"/>
              <w:ind w:left="17" w:right="28"/>
              <w:jc w:val="center"/>
              <w:rPr>
                <w:sz w:val="20"/>
              </w:rPr>
            </w:pPr>
            <w:r>
              <w:rPr>
                <w:spacing w:val="-4"/>
                <w:sz w:val="20"/>
              </w:rPr>
              <w:t>35.3</w:t>
            </w:r>
          </w:p>
        </w:tc>
        <w:tc>
          <w:tcPr>
            <w:tcW w:w="686" w:type="dxa"/>
          </w:tcPr>
          <w:p>
            <w:pPr>
              <w:pStyle w:val="TableParagraph"/>
              <w:spacing w:line="210" w:lineRule="exact"/>
              <w:ind w:left="13" w:right="52"/>
              <w:jc w:val="center"/>
              <w:rPr>
                <w:sz w:val="20"/>
              </w:rPr>
            </w:pPr>
            <w:r>
              <w:rPr>
                <w:spacing w:val="-5"/>
                <w:sz w:val="20"/>
              </w:rPr>
              <w:t>52</w:t>
            </w:r>
          </w:p>
        </w:tc>
        <w:tc>
          <w:tcPr>
            <w:tcW w:w="902" w:type="dxa"/>
          </w:tcPr>
          <w:p>
            <w:pPr>
              <w:pStyle w:val="TableParagraph"/>
              <w:spacing w:line="210" w:lineRule="exact"/>
              <w:ind w:left="20" w:right="4"/>
              <w:jc w:val="center"/>
              <w:rPr>
                <w:sz w:val="20"/>
              </w:rPr>
            </w:pPr>
            <w:r>
              <w:rPr>
                <w:spacing w:val="-4"/>
                <w:sz w:val="20"/>
              </w:rPr>
              <w:t>22.1</w:t>
            </w:r>
          </w:p>
        </w:tc>
        <w:tc>
          <w:tcPr>
            <w:tcW w:w="684" w:type="dxa"/>
          </w:tcPr>
          <w:p>
            <w:pPr>
              <w:pStyle w:val="TableParagraph"/>
              <w:spacing w:line="210" w:lineRule="exact"/>
              <w:ind w:left="68" w:right="10"/>
              <w:jc w:val="center"/>
              <w:rPr>
                <w:sz w:val="20"/>
              </w:rPr>
            </w:pPr>
            <w:r>
              <w:rPr>
                <w:spacing w:val="-5"/>
                <w:sz w:val="20"/>
              </w:rPr>
              <w:t>60</w:t>
            </w:r>
          </w:p>
        </w:tc>
        <w:tc>
          <w:tcPr>
            <w:tcW w:w="799" w:type="dxa"/>
          </w:tcPr>
          <w:p>
            <w:pPr>
              <w:pStyle w:val="TableParagraph"/>
              <w:spacing w:line="210" w:lineRule="exact"/>
              <w:ind w:left="23" w:right="4"/>
              <w:jc w:val="center"/>
              <w:rPr>
                <w:sz w:val="20"/>
              </w:rPr>
            </w:pPr>
            <w:r>
              <w:rPr>
                <w:spacing w:val="-4"/>
                <w:sz w:val="20"/>
              </w:rPr>
              <w:t>25.5</w:t>
            </w:r>
          </w:p>
        </w:tc>
        <w:tc>
          <w:tcPr>
            <w:tcW w:w="626" w:type="dxa"/>
          </w:tcPr>
          <w:p>
            <w:pPr>
              <w:pStyle w:val="TableParagraph"/>
              <w:spacing w:line="210" w:lineRule="exact"/>
              <w:ind w:left="20" w:right="5"/>
              <w:jc w:val="center"/>
              <w:rPr>
                <w:sz w:val="20"/>
              </w:rPr>
            </w:pPr>
            <w:r>
              <w:rPr>
                <w:spacing w:val="-10"/>
                <w:sz w:val="20"/>
              </w:rPr>
              <w:t>8</w:t>
            </w:r>
          </w:p>
        </w:tc>
        <w:tc>
          <w:tcPr>
            <w:tcW w:w="770" w:type="dxa"/>
          </w:tcPr>
          <w:p>
            <w:pPr>
              <w:pStyle w:val="TableParagraph"/>
              <w:spacing w:line="210" w:lineRule="exact"/>
              <w:ind w:left="42" w:right="7"/>
              <w:jc w:val="center"/>
              <w:rPr>
                <w:sz w:val="20"/>
              </w:rPr>
            </w:pPr>
            <w:r>
              <w:rPr>
                <w:spacing w:val="-5"/>
                <w:sz w:val="20"/>
              </w:rPr>
              <w:t>3.4</w:t>
            </w:r>
          </w:p>
        </w:tc>
        <w:tc>
          <w:tcPr>
            <w:tcW w:w="691" w:type="dxa"/>
          </w:tcPr>
          <w:p>
            <w:pPr>
              <w:pStyle w:val="TableParagraph"/>
              <w:spacing w:line="210" w:lineRule="exact"/>
              <w:ind w:left="22" w:right="13"/>
              <w:jc w:val="center"/>
              <w:rPr>
                <w:sz w:val="20"/>
              </w:rPr>
            </w:pPr>
            <w:r>
              <w:rPr>
                <w:spacing w:val="-5"/>
                <w:sz w:val="20"/>
              </w:rPr>
              <w:t>235</w:t>
            </w:r>
          </w:p>
        </w:tc>
        <w:tc>
          <w:tcPr>
            <w:tcW w:w="738" w:type="dxa"/>
            <w:tcBorders>
              <w:right w:val="single" w:sz="4" w:space="0" w:color="000000"/>
            </w:tcBorders>
          </w:tcPr>
          <w:p>
            <w:pPr>
              <w:pStyle w:val="TableParagraph"/>
              <w:spacing w:line="210" w:lineRule="exact"/>
              <w:ind w:left="53" w:right="18"/>
              <w:jc w:val="center"/>
              <w:rPr>
                <w:sz w:val="20"/>
              </w:rPr>
            </w:pPr>
            <w:r>
              <w:rPr>
                <w:spacing w:val="-4"/>
                <w:sz w:val="20"/>
              </w:rPr>
              <w:t>50.8</w:t>
            </w:r>
          </w:p>
        </w:tc>
      </w:tr>
      <w:tr>
        <w:trPr>
          <w:trHeight w:val="516" w:hRule="atLeast"/>
        </w:trPr>
        <w:tc>
          <w:tcPr>
            <w:tcW w:w="4146" w:type="dxa"/>
            <w:tcBorders>
              <w:left w:val="single" w:sz="4" w:space="0" w:color="000000"/>
            </w:tcBorders>
          </w:tcPr>
          <w:p>
            <w:pPr>
              <w:pStyle w:val="TableParagraph"/>
              <w:ind w:left="830"/>
              <w:rPr>
                <w:sz w:val="20"/>
              </w:rPr>
            </w:pPr>
            <w:r>
              <w:rPr>
                <w:sz w:val="20"/>
              </w:rPr>
              <w:t>of students’ welfare</w:t>
            </w:r>
            <w:r>
              <w:rPr>
                <w:spacing w:val="-1"/>
                <w:sz w:val="20"/>
              </w:rPr>
              <w:t> </w:t>
            </w:r>
            <w:r>
              <w:rPr>
                <w:sz w:val="20"/>
              </w:rPr>
              <w:t>has been put in place by the University authorities.</w:t>
            </w:r>
          </w:p>
        </w:tc>
        <w:tc>
          <w:tcPr>
            <w:tcW w:w="1796" w:type="dxa"/>
          </w:tcPr>
          <w:p>
            <w:pPr>
              <w:pStyle w:val="TableParagraph"/>
              <w:spacing w:before="45"/>
              <w:ind w:left="111"/>
              <w:rPr>
                <w:sz w:val="20"/>
              </w:rPr>
            </w:pPr>
            <w:r>
              <w:rPr>
                <w:sz w:val="20"/>
              </w:rPr>
              <w:t>Service</w:t>
            </w:r>
            <w:r>
              <w:rPr>
                <w:spacing w:val="-9"/>
                <w:sz w:val="20"/>
              </w:rPr>
              <w:t> </w:t>
            </w:r>
            <w:r>
              <w:rPr>
                <w:spacing w:val="-2"/>
                <w:sz w:val="20"/>
              </w:rPr>
              <w:t>Staff</w:t>
            </w:r>
          </w:p>
          <w:p>
            <w:pPr>
              <w:pStyle w:val="TableParagraph"/>
              <w:spacing w:line="220" w:lineRule="exact" w:before="1"/>
              <w:ind w:left="111"/>
              <w:rPr>
                <w:sz w:val="20"/>
              </w:rPr>
            </w:pPr>
            <w:r>
              <w:rPr>
                <w:sz w:val="20"/>
              </w:rPr>
              <w:t>Top</w:t>
            </w:r>
            <w:r>
              <w:rPr>
                <w:spacing w:val="-1"/>
                <w:sz w:val="20"/>
              </w:rPr>
              <w:t> </w:t>
            </w:r>
            <w:r>
              <w:rPr>
                <w:spacing w:val="-2"/>
                <w:sz w:val="20"/>
              </w:rPr>
              <w:t>Management</w:t>
            </w:r>
          </w:p>
        </w:tc>
        <w:tc>
          <w:tcPr>
            <w:tcW w:w="707" w:type="dxa"/>
          </w:tcPr>
          <w:p>
            <w:pPr>
              <w:pStyle w:val="TableParagraph"/>
              <w:spacing w:before="45"/>
              <w:ind w:left="64" w:right="39"/>
              <w:jc w:val="center"/>
              <w:rPr>
                <w:sz w:val="20"/>
              </w:rPr>
            </w:pPr>
            <w:r>
              <w:rPr>
                <w:spacing w:val="-5"/>
                <w:sz w:val="20"/>
              </w:rPr>
              <w:t>31</w:t>
            </w:r>
          </w:p>
          <w:p>
            <w:pPr>
              <w:pStyle w:val="TableParagraph"/>
              <w:spacing w:line="220" w:lineRule="exact" w:before="1"/>
              <w:ind w:left="64" w:right="34"/>
              <w:jc w:val="center"/>
              <w:rPr>
                <w:sz w:val="20"/>
              </w:rPr>
            </w:pPr>
            <w:r>
              <w:rPr>
                <w:spacing w:val="-10"/>
                <w:sz w:val="20"/>
              </w:rPr>
              <w:t>4</w:t>
            </w:r>
          </w:p>
        </w:tc>
        <w:tc>
          <w:tcPr>
            <w:tcW w:w="749" w:type="dxa"/>
          </w:tcPr>
          <w:p>
            <w:pPr>
              <w:pStyle w:val="TableParagraph"/>
              <w:spacing w:before="45"/>
              <w:ind w:left="186"/>
              <w:rPr>
                <w:sz w:val="20"/>
              </w:rPr>
            </w:pPr>
            <w:r>
              <w:rPr>
                <w:spacing w:val="-4"/>
                <w:sz w:val="20"/>
              </w:rPr>
              <w:t>15.3</w:t>
            </w:r>
          </w:p>
          <w:p>
            <w:pPr>
              <w:pStyle w:val="TableParagraph"/>
              <w:spacing w:line="220" w:lineRule="exact" w:before="1"/>
              <w:ind w:left="186"/>
              <w:rPr>
                <w:sz w:val="20"/>
              </w:rPr>
            </w:pPr>
            <w:r>
              <w:rPr>
                <w:spacing w:val="-4"/>
                <w:sz w:val="20"/>
              </w:rPr>
              <w:t>17.4</w:t>
            </w:r>
          </w:p>
        </w:tc>
        <w:tc>
          <w:tcPr>
            <w:tcW w:w="691" w:type="dxa"/>
          </w:tcPr>
          <w:p>
            <w:pPr>
              <w:pStyle w:val="TableParagraph"/>
              <w:spacing w:before="45"/>
              <w:ind w:left="181"/>
              <w:rPr>
                <w:sz w:val="20"/>
              </w:rPr>
            </w:pPr>
            <w:r>
              <w:rPr>
                <w:spacing w:val="-5"/>
                <w:sz w:val="20"/>
              </w:rPr>
              <w:t>100</w:t>
            </w:r>
          </w:p>
          <w:p>
            <w:pPr>
              <w:pStyle w:val="TableParagraph"/>
              <w:spacing w:line="220" w:lineRule="exact" w:before="1"/>
              <w:ind w:left="238"/>
              <w:rPr>
                <w:sz w:val="20"/>
              </w:rPr>
            </w:pPr>
            <w:r>
              <w:rPr>
                <w:spacing w:val="-5"/>
                <w:sz w:val="20"/>
              </w:rPr>
              <w:t>10</w:t>
            </w:r>
          </w:p>
        </w:tc>
        <w:tc>
          <w:tcPr>
            <w:tcW w:w="777" w:type="dxa"/>
          </w:tcPr>
          <w:p>
            <w:pPr>
              <w:pStyle w:val="TableParagraph"/>
              <w:spacing w:before="45"/>
              <w:ind w:left="186"/>
              <w:rPr>
                <w:sz w:val="20"/>
              </w:rPr>
            </w:pPr>
            <w:r>
              <w:rPr>
                <w:spacing w:val="-4"/>
                <w:sz w:val="20"/>
              </w:rPr>
              <w:t>49.3</w:t>
            </w:r>
          </w:p>
          <w:p>
            <w:pPr>
              <w:pStyle w:val="TableParagraph"/>
              <w:spacing w:line="220" w:lineRule="exact" w:before="1"/>
              <w:ind w:left="186"/>
              <w:rPr>
                <w:sz w:val="20"/>
              </w:rPr>
            </w:pPr>
            <w:r>
              <w:rPr>
                <w:spacing w:val="-4"/>
                <w:sz w:val="20"/>
              </w:rPr>
              <w:t>43.5</w:t>
            </w:r>
          </w:p>
        </w:tc>
        <w:tc>
          <w:tcPr>
            <w:tcW w:w="686" w:type="dxa"/>
          </w:tcPr>
          <w:p>
            <w:pPr>
              <w:pStyle w:val="TableParagraph"/>
              <w:spacing w:before="45"/>
              <w:ind w:left="13" w:right="52"/>
              <w:jc w:val="center"/>
              <w:rPr>
                <w:sz w:val="20"/>
              </w:rPr>
            </w:pPr>
            <w:r>
              <w:rPr>
                <w:spacing w:val="-5"/>
                <w:sz w:val="20"/>
              </w:rPr>
              <w:t>39</w:t>
            </w:r>
          </w:p>
          <w:p>
            <w:pPr>
              <w:pStyle w:val="TableParagraph"/>
              <w:spacing w:line="220" w:lineRule="exact" w:before="1"/>
              <w:ind w:left="18" w:right="52"/>
              <w:jc w:val="center"/>
              <w:rPr>
                <w:sz w:val="20"/>
              </w:rPr>
            </w:pPr>
            <w:r>
              <w:rPr>
                <w:spacing w:val="-10"/>
                <w:sz w:val="20"/>
              </w:rPr>
              <w:t>5</w:t>
            </w:r>
          </w:p>
        </w:tc>
        <w:tc>
          <w:tcPr>
            <w:tcW w:w="902" w:type="dxa"/>
          </w:tcPr>
          <w:p>
            <w:pPr>
              <w:pStyle w:val="TableParagraph"/>
              <w:spacing w:before="45"/>
              <w:ind w:left="263"/>
              <w:rPr>
                <w:sz w:val="20"/>
              </w:rPr>
            </w:pPr>
            <w:r>
              <w:rPr>
                <w:spacing w:val="-4"/>
                <w:sz w:val="20"/>
              </w:rPr>
              <w:t>19.2</w:t>
            </w:r>
          </w:p>
          <w:p>
            <w:pPr>
              <w:pStyle w:val="TableParagraph"/>
              <w:spacing w:line="220" w:lineRule="exact" w:before="1"/>
              <w:ind w:left="263"/>
              <w:rPr>
                <w:sz w:val="20"/>
              </w:rPr>
            </w:pPr>
            <w:r>
              <w:rPr>
                <w:spacing w:val="-4"/>
                <w:sz w:val="20"/>
              </w:rPr>
              <w:t>21.7</w:t>
            </w:r>
          </w:p>
        </w:tc>
        <w:tc>
          <w:tcPr>
            <w:tcW w:w="684" w:type="dxa"/>
          </w:tcPr>
          <w:p>
            <w:pPr>
              <w:pStyle w:val="TableParagraph"/>
              <w:spacing w:before="45"/>
              <w:ind w:left="68" w:right="10"/>
              <w:jc w:val="center"/>
              <w:rPr>
                <w:sz w:val="20"/>
              </w:rPr>
            </w:pPr>
            <w:r>
              <w:rPr>
                <w:spacing w:val="-5"/>
                <w:sz w:val="20"/>
              </w:rPr>
              <w:t>32</w:t>
            </w:r>
          </w:p>
          <w:p>
            <w:pPr>
              <w:pStyle w:val="TableParagraph"/>
              <w:spacing w:line="220" w:lineRule="exact" w:before="1"/>
              <w:ind w:left="68" w:right="6"/>
              <w:jc w:val="center"/>
              <w:rPr>
                <w:sz w:val="20"/>
              </w:rPr>
            </w:pPr>
            <w:r>
              <w:rPr>
                <w:spacing w:val="-10"/>
                <w:sz w:val="20"/>
              </w:rPr>
              <w:t>4</w:t>
            </w:r>
          </w:p>
        </w:tc>
        <w:tc>
          <w:tcPr>
            <w:tcW w:w="799" w:type="dxa"/>
          </w:tcPr>
          <w:p>
            <w:pPr>
              <w:pStyle w:val="TableParagraph"/>
              <w:spacing w:before="45"/>
              <w:ind w:left="213"/>
              <w:rPr>
                <w:sz w:val="20"/>
              </w:rPr>
            </w:pPr>
            <w:r>
              <w:rPr>
                <w:spacing w:val="-4"/>
                <w:sz w:val="20"/>
              </w:rPr>
              <w:t>15.8</w:t>
            </w:r>
          </w:p>
          <w:p>
            <w:pPr>
              <w:pStyle w:val="TableParagraph"/>
              <w:spacing w:line="220" w:lineRule="exact" w:before="1"/>
              <w:ind w:left="213"/>
              <w:rPr>
                <w:sz w:val="20"/>
              </w:rPr>
            </w:pPr>
            <w:r>
              <w:rPr>
                <w:spacing w:val="-4"/>
                <w:sz w:val="20"/>
              </w:rPr>
              <w:t>17.0</w:t>
            </w:r>
          </w:p>
        </w:tc>
        <w:tc>
          <w:tcPr>
            <w:tcW w:w="626" w:type="dxa"/>
          </w:tcPr>
          <w:p>
            <w:pPr>
              <w:pStyle w:val="TableParagraph"/>
              <w:spacing w:before="45"/>
              <w:ind w:left="20" w:right="5"/>
              <w:jc w:val="center"/>
              <w:rPr>
                <w:sz w:val="20"/>
              </w:rPr>
            </w:pPr>
            <w:r>
              <w:rPr>
                <w:spacing w:val="-10"/>
                <w:sz w:val="20"/>
              </w:rPr>
              <w:t>1</w:t>
            </w:r>
          </w:p>
          <w:p>
            <w:pPr>
              <w:pStyle w:val="TableParagraph"/>
              <w:spacing w:line="220" w:lineRule="exact" w:before="1"/>
              <w:ind w:left="20" w:right="12"/>
              <w:jc w:val="center"/>
              <w:rPr>
                <w:sz w:val="20"/>
              </w:rPr>
            </w:pPr>
            <w:r>
              <w:rPr>
                <w:spacing w:val="-10"/>
                <w:sz w:val="20"/>
              </w:rPr>
              <w:t>-</w:t>
            </w:r>
          </w:p>
        </w:tc>
        <w:tc>
          <w:tcPr>
            <w:tcW w:w="770" w:type="dxa"/>
          </w:tcPr>
          <w:p>
            <w:pPr>
              <w:pStyle w:val="TableParagraph"/>
              <w:spacing w:before="45"/>
              <w:ind w:left="42" w:right="7"/>
              <w:jc w:val="center"/>
              <w:rPr>
                <w:sz w:val="20"/>
              </w:rPr>
            </w:pPr>
            <w:r>
              <w:rPr>
                <w:spacing w:val="-5"/>
                <w:sz w:val="20"/>
              </w:rPr>
              <w:t>0.5</w:t>
            </w:r>
          </w:p>
          <w:p>
            <w:pPr>
              <w:pStyle w:val="TableParagraph"/>
              <w:spacing w:line="220" w:lineRule="exact" w:before="1"/>
              <w:ind w:left="42" w:right="9"/>
              <w:jc w:val="center"/>
              <w:rPr>
                <w:sz w:val="20"/>
              </w:rPr>
            </w:pPr>
            <w:r>
              <w:rPr>
                <w:spacing w:val="-10"/>
                <w:sz w:val="20"/>
              </w:rPr>
              <w:t>-</w:t>
            </w:r>
          </w:p>
        </w:tc>
        <w:tc>
          <w:tcPr>
            <w:tcW w:w="691" w:type="dxa"/>
          </w:tcPr>
          <w:p>
            <w:pPr>
              <w:pStyle w:val="TableParagraph"/>
              <w:spacing w:before="45"/>
              <w:ind w:left="183"/>
              <w:rPr>
                <w:sz w:val="20"/>
              </w:rPr>
            </w:pPr>
            <w:r>
              <w:rPr>
                <w:spacing w:val="-5"/>
                <w:sz w:val="20"/>
              </w:rPr>
              <w:t>203</w:t>
            </w:r>
          </w:p>
          <w:p>
            <w:pPr>
              <w:pStyle w:val="TableParagraph"/>
              <w:spacing w:line="220" w:lineRule="exact" w:before="1"/>
              <w:ind w:left="241"/>
              <w:rPr>
                <w:sz w:val="20"/>
              </w:rPr>
            </w:pPr>
            <w:r>
              <w:rPr>
                <w:spacing w:val="-5"/>
                <w:sz w:val="20"/>
              </w:rPr>
              <w:t>23</w:t>
            </w:r>
          </w:p>
        </w:tc>
        <w:tc>
          <w:tcPr>
            <w:tcW w:w="738" w:type="dxa"/>
            <w:tcBorders>
              <w:right w:val="single" w:sz="4" w:space="0" w:color="000000"/>
            </w:tcBorders>
          </w:tcPr>
          <w:p>
            <w:pPr>
              <w:pStyle w:val="TableParagraph"/>
              <w:spacing w:before="45"/>
              <w:ind w:left="188"/>
              <w:rPr>
                <w:sz w:val="20"/>
              </w:rPr>
            </w:pPr>
            <w:r>
              <w:rPr>
                <w:spacing w:val="-4"/>
                <w:sz w:val="20"/>
              </w:rPr>
              <w:t>43.8</w:t>
            </w:r>
          </w:p>
          <w:p>
            <w:pPr>
              <w:pStyle w:val="TableParagraph"/>
              <w:spacing w:line="220" w:lineRule="exact" w:before="1"/>
              <w:ind w:left="241"/>
              <w:rPr>
                <w:sz w:val="20"/>
              </w:rPr>
            </w:pPr>
            <w:r>
              <w:rPr>
                <w:spacing w:val="-5"/>
                <w:sz w:val="20"/>
              </w:rPr>
              <w:t>5.0</w:t>
            </w:r>
          </w:p>
        </w:tc>
      </w:tr>
      <w:tr>
        <w:trPr>
          <w:trHeight w:val="237" w:hRule="atLeast"/>
        </w:trPr>
        <w:tc>
          <w:tcPr>
            <w:tcW w:w="4146" w:type="dxa"/>
            <w:tcBorders>
              <w:left w:val="single" w:sz="4" w:space="0" w:color="000000"/>
            </w:tcBorders>
          </w:tcPr>
          <w:p>
            <w:pPr>
              <w:pStyle w:val="TableParagraph"/>
              <w:tabs>
                <w:tab w:pos="609" w:val="left" w:leader="none"/>
              </w:tabs>
              <w:spacing w:line="213" w:lineRule="exact" w:before="4"/>
              <w:ind w:right="99"/>
              <w:jc w:val="right"/>
              <w:rPr>
                <w:sz w:val="20"/>
              </w:rPr>
            </w:pPr>
            <w:r>
              <w:rPr>
                <w:spacing w:val="-5"/>
                <w:sz w:val="20"/>
              </w:rPr>
              <w:t>96.</w:t>
            </w:r>
            <w:r>
              <w:rPr>
                <w:sz w:val="20"/>
              </w:rPr>
              <w:tab/>
              <w:t>Central</w:t>
            </w:r>
            <w:r>
              <w:rPr>
                <w:spacing w:val="57"/>
                <w:w w:val="150"/>
                <w:sz w:val="20"/>
              </w:rPr>
              <w:t> </w:t>
            </w:r>
            <w:r>
              <w:rPr>
                <w:sz w:val="20"/>
              </w:rPr>
              <w:t>accommodation</w:t>
            </w:r>
            <w:r>
              <w:rPr>
                <w:spacing w:val="53"/>
                <w:w w:val="150"/>
                <w:sz w:val="20"/>
              </w:rPr>
              <w:t> </w:t>
            </w:r>
            <w:r>
              <w:rPr>
                <w:spacing w:val="-2"/>
                <w:sz w:val="20"/>
              </w:rPr>
              <w:t>allocation</w:t>
            </w:r>
          </w:p>
        </w:tc>
        <w:tc>
          <w:tcPr>
            <w:tcW w:w="1796" w:type="dxa"/>
          </w:tcPr>
          <w:p>
            <w:pPr>
              <w:pStyle w:val="TableParagraph"/>
              <w:spacing w:line="213" w:lineRule="exact" w:before="4"/>
              <w:ind w:left="111"/>
              <w:rPr>
                <w:sz w:val="20"/>
              </w:rPr>
            </w:pPr>
            <w:r>
              <w:rPr>
                <w:sz w:val="20"/>
              </w:rPr>
              <w:t>No.</w:t>
            </w:r>
            <w:r>
              <w:rPr>
                <w:spacing w:val="-5"/>
                <w:sz w:val="20"/>
              </w:rPr>
              <w:t> </w:t>
            </w:r>
            <w:r>
              <w:rPr>
                <w:sz w:val="20"/>
              </w:rPr>
              <w:t>of</w:t>
            </w:r>
            <w:r>
              <w:rPr>
                <w:spacing w:val="-2"/>
                <w:sz w:val="20"/>
              </w:rPr>
              <w:t> missing</w:t>
            </w:r>
          </w:p>
        </w:tc>
        <w:tc>
          <w:tcPr>
            <w:tcW w:w="707" w:type="dxa"/>
          </w:tcPr>
          <w:p>
            <w:pPr>
              <w:pStyle w:val="TableParagraph"/>
              <w:rPr>
                <w:rFonts w:ascii="Times New Roman"/>
                <w:sz w:val="16"/>
              </w:rPr>
            </w:pPr>
          </w:p>
        </w:tc>
        <w:tc>
          <w:tcPr>
            <w:tcW w:w="749" w:type="dxa"/>
          </w:tcPr>
          <w:p>
            <w:pPr>
              <w:pStyle w:val="TableParagraph"/>
              <w:rPr>
                <w:rFonts w:ascii="Times New Roman"/>
                <w:sz w:val="16"/>
              </w:rPr>
            </w:pPr>
          </w:p>
        </w:tc>
        <w:tc>
          <w:tcPr>
            <w:tcW w:w="691" w:type="dxa"/>
          </w:tcPr>
          <w:p>
            <w:pPr>
              <w:pStyle w:val="TableParagraph"/>
              <w:rPr>
                <w:rFonts w:ascii="Times New Roman"/>
                <w:sz w:val="16"/>
              </w:rPr>
            </w:pPr>
          </w:p>
        </w:tc>
        <w:tc>
          <w:tcPr>
            <w:tcW w:w="777" w:type="dxa"/>
          </w:tcPr>
          <w:p>
            <w:pPr>
              <w:pStyle w:val="TableParagraph"/>
              <w:rPr>
                <w:rFonts w:ascii="Times New Roman"/>
                <w:sz w:val="16"/>
              </w:rPr>
            </w:pPr>
          </w:p>
        </w:tc>
        <w:tc>
          <w:tcPr>
            <w:tcW w:w="686" w:type="dxa"/>
          </w:tcPr>
          <w:p>
            <w:pPr>
              <w:pStyle w:val="TableParagraph"/>
              <w:rPr>
                <w:rFonts w:ascii="Times New Roman"/>
                <w:sz w:val="16"/>
              </w:rPr>
            </w:pPr>
          </w:p>
        </w:tc>
        <w:tc>
          <w:tcPr>
            <w:tcW w:w="902" w:type="dxa"/>
          </w:tcPr>
          <w:p>
            <w:pPr>
              <w:pStyle w:val="TableParagraph"/>
              <w:rPr>
                <w:rFonts w:ascii="Times New Roman"/>
                <w:sz w:val="16"/>
              </w:rPr>
            </w:pPr>
          </w:p>
        </w:tc>
        <w:tc>
          <w:tcPr>
            <w:tcW w:w="684" w:type="dxa"/>
          </w:tcPr>
          <w:p>
            <w:pPr>
              <w:pStyle w:val="TableParagraph"/>
              <w:rPr>
                <w:rFonts w:ascii="Times New Roman"/>
                <w:sz w:val="16"/>
              </w:rPr>
            </w:pPr>
          </w:p>
        </w:tc>
        <w:tc>
          <w:tcPr>
            <w:tcW w:w="799" w:type="dxa"/>
          </w:tcPr>
          <w:p>
            <w:pPr>
              <w:pStyle w:val="TableParagraph"/>
              <w:rPr>
                <w:rFonts w:ascii="Times New Roman"/>
                <w:sz w:val="16"/>
              </w:rPr>
            </w:pPr>
          </w:p>
        </w:tc>
        <w:tc>
          <w:tcPr>
            <w:tcW w:w="626" w:type="dxa"/>
          </w:tcPr>
          <w:p>
            <w:pPr>
              <w:pStyle w:val="TableParagraph"/>
              <w:rPr>
                <w:rFonts w:ascii="Times New Roman"/>
                <w:sz w:val="16"/>
              </w:rPr>
            </w:pPr>
          </w:p>
        </w:tc>
        <w:tc>
          <w:tcPr>
            <w:tcW w:w="770" w:type="dxa"/>
          </w:tcPr>
          <w:p>
            <w:pPr>
              <w:pStyle w:val="TableParagraph"/>
              <w:rPr>
                <w:rFonts w:ascii="Times New Roman"/>
                <w:sz w:val="16"/>
              </w:rPr>
            </w:pPr>
          </w:p>
        </w:tc>
        <w:tc>
          <w:tcPr>
            <w:tcW w:w="691" w:type="dxa"/>
          </w:tcPr>
          <w:p>
            <w:pPr>
              <w:pStyle w:val="TableParagraph"/>
              <w:rPr>
                <w:rFonts w:ascii="Times New Roman"/>
                <w:sz w:val="16"/>
              </w:rPr>
            </w:pPr>
          </w:p>
        </w:tc>
        <w:tc>
          <w:tcPr>
            <w:tcW w:w="738" w:type="dxa"/>
            <w:tcBorders>
              <w:right w:val="single" w:sz="4" w:space="0" w:color="000000"/>
            </w:tcBorders>
          </w:tcPr>
          <w:p>
            <w:pPr>
              <w:pStyle w:val="TableParagraph"/>
              <w:rPr>
                <w:rFonts w:ascii="Times New Roman"/>
                <w:sz w:val="16"/>
              </w:rPr>
            </w:pPr>
          </w:p>
        </w:tc>
      </w:tr>
      <w:tr>
        <w:trPr>
          <w:trHeight w:val="230" w:hRule="atLeast"/>
        </w:trPr>
        <w:tc>
          <w:tcPr>
            <w:tcW w:w="4146" w:type="dxa"/>
            <w:tcBorders>
              <w:left w:val="single" w:sz="4" w:space="0" w:color="000000"/>
            </w:tcBorders>
          </w:tcPr>
          <w:p>
            <w:pPr>
              <w:pStyle w:val="TableParagraph"/>
              <w:spacing w:line="210" w:lineRule="exact"/>
              <w:ind w:right="106"/>
              <w:jc w:val="right"/>
              <w:rPr>
                <w:sz w:val="20"/>
              </w:rPr>
            </w:pPr>
            <w:r>
              <w:rPr>
                <w:sz w:val="20"/>
              </w:rPr>
              <w:t>committee</w:t>
            </w:r>
            <w:r>
              <w:rPr>
                <w:spacing w:val="67"/>
                <w:sz w:val="20"/>
              </w:rPr>
              <w:t> </w:t>
            </w:r>
            <w:r>
              <w:rPr>
                <w:sz w:val="20"/>
              </w:rPr>
              <w:t>in</w:t>
            </w:r>
            <w:r>
              <w:rPr>
                <w:spacing w:val="67"/>
                <w:sz w:val="20"/>
              </w:rPr>
              <w:t> </w:t>
            </w:r>
            <w:r>
              <w:rPr>
                <w:sz w:val="20"/>
              </w:rPr>
              <w:t>the</w:t>
            </w:r>
            <w:r>
              <w:rPr>
                <w:spacing w:val="68"/>
                <w:sz w:val="20"/>
              </w:rPr>
              <w:t> </w:t>
            </w:r>
            <w:r>
              <w:rPr>
                <w:sz w:val="20"/>
              </w:rPr>
              <w:t>universities</w:t>
            </w:r>
            <w:r>
              <w:rPr>
                <w:spacing w:val="65"/>
                <w:sz w:val="20"/>
              </w:rPr>
              <w:t> </w:t>
            </w:r>
            <w:r>
              <w:rPr>
                <w:spacing w:val="-5"/>
                <w:sz w:val="20"/>
              </w:rPr>
              <w:t>has</w:t>
            </w:r>
          </w:p>
        </w:tc>
        <w:tc>
          <w:tcPr>
            <w:tcW w:w="1796" w:type="dxa"/>
          </w:tcPr>
          <w:p>
            <w:pPr>
              <w:pStyle w:val="TableParagraph"/>
              <w:spacing w:line="210" w:lineRule="exact"/>
              <w:ind w:left="111"/>
              <w:rPr>
                <w:sz w:val="20"/>
              </w:rPr>
            </w:pPr>
            <w:r>
              <w:rPr>
                <w:spacing w:val="-2"/>
                <w:sz w:val="20"/>
              </w:rPr>
              <w:t>observations</w:t>
            </w:r>
          </w:p>
        </w:tc>
        <w:tc>
          <w:tcPr>
            <w:tcW w:w="707" w:type="dxa"/>
          </w:tcPr>
          <w:p>
            <w:pPr>
              <w:pStyle w:val="TableParagraph"/>
              <w:spacing w:line="210" w:lineRule="exact"/>
              <w:ind w:left="64" w:right="34"/>
              <w:jc w:val="center"/>
              <w:rPr>
                <w:sz w:val="20"/>
              </w:rPr>
            </w:pPr>
            <w:r>
              <w:rPr>
                <w:spacing w:val="-10"/>
                <w:sz w:val="20"/>
              </w:rPr>
              <w:t>1</w:t>
            </w:r>
          </w:p>
        </w:tc>
        <w:tc>
          <w:tcPr>
            <w:tcW w:w="749" w:type="dxa"/>
          </w:tcPr>
          <w:p>
            <w:pPr>
              <w:pStyle w:val="TableParagraph"/>
              <w:spacing w:line="210" w:lineRule="exact"/>
              <w:ind w:left="14"/>
              <w:jc w:val="center"/>
              <w:rPr>
                <w:sz w:val="20"/>
              </w:rPr>
            </w:pPr>
            <w:r>
              <w:rPr>
                <w:spacing w:val="-4"/>
                <w:sz w:val="20"/>
              </w:rPr>
              <w:t>50.0</w:t>
            </w:r>
          </w:p>
        </w:tc>
        <w:tc>
          <w:tcPr>
            <w:tcW w:w="691" w:type="dxa"/>
          </w:tcPr>
          <w:p>
            <w:pPr>
              <w:pStyle w:val="TableParagraph"/>
              <w:spacing w:line="210" w:lineRule="exact"/>
              <w:ind w:left="22" w:right="8"/>
              <w:jc w:val="center"/>
              <w:rPr>
                <w:sz w:val="20"/>
              </w:rPr>
            </w:pPr>
            <w:r>
              <w:rPr>
                <w:spacing w:val="-10"/>
                <w:sz w:val="20"/>
              </w:rPr>
              <w:t>1</w:t>
            </w:r>
          </w:p>
        </w:tc>
        <w:tc>
          <w:tcPr>
            <w:tcW w:w="777" w:type="dxa"/>
          </w:tcPr>
          <w:p>
            <w:pPr>
              <w:pStyle w:val="TableParagraph"/>
              <w:spacing w:line="210" w:lineRule="exact"/>
              <w:ind w:left="17" w:right="28"/>
              <w:jc w:val="center"/>
              <w:rPr>
                <w:sz w:val="20"/>
              </w:rPr>
            </w:pPr>
            <w:r>
              <w:rPr>
                <w:spacing w:val="-4"/>
                <w:sz w:val="20"/>
              </w:rPr>
              <w:t>50.0</w:t>
            </w:r>
          </w:p>
        </w:tc>
        <w:tc>
          <w:tcPr>
            <w:tcW w:w="686" w:type="dxa"/>
          </w:tcPr>
          <w:p>
            <w:pPr>
              <w:pStyle w:val="TableParagraph"/>
              <w:spacing w:line="210" w:lineRule="exact"/>
              <w:ind w:left="11" w:right="52"/>
              <w:jc w:val="center"/>
              <w:rPr>
                <w:sz w:val="20"/>
              </w:rPr>
            </w:pPr>
            <w:r>
              <w:rPr>
                <w:spacing w:val="-10"/>
                <w:sz w:val="20"/>
              </w:rPr>
              <w:t>-</w:t>
            </w:r>
          </w:p>
        </w:tc>
        <w:tc>
          <w:tcPr>
            <w:tcW w:w="902" w:type="dxa"/>
          </w:tcPr>
          <w:p>
            <w:pPr>
              <w:pStyle w:val="TableParagraph"/>
              <w:spacing w:line="210" w:lineRule="exact"/>
              <w:ind w:left="20" w:right="10"/>
              <w:jc w:val="center"/>
              <w:rPr>
                <w:sz w:val="20"/>
              </w:rPr>
            </w:pPr>
            <w:r>
              <w:rPr>
                <w:spacing w:val="-10"/>
                <w:sz w:val="20"/>
              </w:rPr>
              <w:t>-</w:t>
            </w:r>
          </w:p>
        </w:tc>
        <w:tc>
          <w:tcPr>
            <w:tcW w:w="684" w:type="dxa"/>
          </w:tcPr>
          <w:p>
            <w:pPr>
              <w:pStyle w:val="TableParagraph"/>
              <w:spacing w:line="210" w:lineRule="exact"/>
              <w:ind w:left="68" w:right="12"/>
              <w:jc w:val="center"/>
              <w:rPr>
                <w:sz w:val="20"/>
              </w:rPr>
            </w:pPr>
            <w:r>
              <w:rPr>
                <w:spacing w:val="-10"/>
                <w:sz w:val="20"/>
              </w:rPr>
              <w:t>-</w:t>
            </w:r>
          </w:p>
        </w:tc>
        <w:tc>
          <w:tcPr>
            <w:tcW w:w="799" w:type="dxa"/>
          </w:tcPr>
          <w:p>
            <w:pPr>
              <w:pStyle w:val="TableParagraph"/>
              <w:spacing w:line="210" w:lineRule="exact"/>
              <w:ind w:left="23" w:right="10"/>
              <w:jc w:val="center"/>
              <w:rPr>
                <w:sz w:val="20"/>
              </w:rPr>
            </w:pPr>
            <w:r>
              <w:rPr>
                <w:spacing w:val="-10"/>
                <w:sz w:val="20"/>
              </w:rPr>
              <w:t>-</w:t>
            </w:r>
          </w:p>
        </w:tc>
        <w:tc>
          <w:tcPr>
            <w:tcW w:w="626" w:type="dxa"/>
          </w:tcPr>
          <w:p>
            <w:pPr>
              <w:pStyle w:val="TableParagraph"/>
              <w:spacing w:line="210" w:lineRule="exact"/>
              <w:ind w:left="20" w:right="12"/>
              <w:jc w:val="center"/>
              <w:rPr>
                <w:sz w:val="20"/>
              </w:rPr>
            </w:pPr>
            <w:r>
              <w:rPr>
                <w:spacing w:val="-10"/>
                <w:sz w:val="20"/>
              </w:rPr>
              <w:t>-</w:t>
            </w:r>
          </w:p>
        </w:tc>
        <w:tc>
          <w:tcPr>
            <w:tcW w:w="770" w:type="dxa"/>
          </w:tcPr>
          <w:p>
            <w:pPr>
              <w:pStyle w:val="TableParagraph"/>
              <w:spacing w:line="210" w:lineRule="exact"/>
              <w:ind w:left="42" w:right="9"/>
              <w:jc w:val="center"/>
              <w:rPr>
                <w:sz w:val="20"/>
              </w:rPr>
            </w:pPr>
            <w:r>
              <w:rPr>
                <w:spacing w:val="-10"/>
                <w:sz w:val="20"/>
              </w:rPr>
              <w:t>-</w:t>
            </w:r>
          </w:p>
        </w:tc>
        <w:tc>
          <w:tcPr>
            <w:tcW w:w="691" w:type="dxa"/>
          </w:tcPr>
          <w:p>
            <w:pPr>
              <w:pStyle w:val="TableParagraph"/>
              <w:spacing w:line="210" w:lineRule="exact"/>
              <w:ind w:left="22" w:right="3"/>
              <w:jc w:val="center"/>
              <w:rPr>
                <w:sz w:val="20"/>
              </w:rPr>
            </w:pPr>
            <w:r>
              <w:rPr>
                <w:spacing w:val="-10"/>
                <w:sz w:val="20"/>
              </w:rPr>
              <w:t>2</w:t>
            </w:r>
          </w:p>
        </w:tc>
        <w:tc>
          <w:tcPr>
            <w:tcW w:w="738" w:type="dxa"/>
            <w:tcBorders>
              <w:right w:val="single" w:sz="4" w:space="0" w:color="000000"/>
            </w:tcBorders>
          </w:tcPr>
          <w:p>
            <w:pPr>
              <w:pStyle w:val="TableParagraph"/>
              <w:spacing w:line="210" w:lineRule="exact"/>
              <w:ind w:left="53" w:right="23"/>
              <w:jc w:val="center"/>
              <w:rPr>
                <w:sz w:val="20"/>
              </w:rPr>
            </w:pPr>
            <w:r>
              <w:rPr>
                <w:spacing w:val="-5"/>
                <w:sz w:val="20"/>
              </w:rPr>
              <w:t>0.4</w:t>
            </w:r>
          </w:p>
        </w:tc>
      </w:tr>
      <w:tr>
        <w:trPr>
          <w:trHeight w:val="228" w:hRule="atLeast"/>
        </w:trPr>
        <w:tc>
          <w:tcPr>
            <w:tcW w:w="4146" w:type="dxa"/>
            <w:tcBorders>
              <w:left w:val="single" w:sz="4" w:space="0" w:color="000000"/>
            </w:tcBorders>
          </w:tcPr>
          <w:p>
            <w:pPr>
              <w:pStyle w:val="TableParagraph"/>
              <w:spacing w:line="208" w:lineRule="exact"/>
              <w:ind w:right="105"/>
              <w:jc w:val="right"/>
              <w:rPr>
                <w:sz w:val="20"/>
              </w:rPr>
            </w:pPr>
            <w:r>
              <w:rPr>
                <w:sz w:val="20"/>
              </w:rPr>
              <w:t>eased</w:t>
            </w:r>
            <w:r>
              <w:rPr>
                <w:spacing w:val="65"/>
                <w:w w:val="150"/>
                <w:sz w:val="20"/>
              </w:rPr>
              <w:t> </w:t>
            </w:r>
            <w:r>
              <w:rPr>
                <w:sz w:val="20"/>
              </w:rPr>
              <w:t>the</w:t>
            </w:r>
            <w:r>
              <w:rPr>
                <w:spacing w:val="66"/>
                <w:w w:val="150"/>
                <w:sz w:val="20"/>
              </w:rPr>
              <w:t> </w:t>
            </w:r>
            <w:r>
              <w:rPr>
                <w:sz w:val="20"/>
              </w:rPr>
              <w:t>problem</w:t>
            </w:r>
            <w:r>
              <w:rPr>
                <w:spacing w:val="68"/>
                <w:w w:val="150"/>
                <w:sz w:val="20"/>
              </w:rPr>
              <w:t> </w:t>
            </w:r>
            <w:r>
              <w:rPr>
                <w:sz w:val="20"/>
              </w:rPr>
              <w:t>of</w:t>
            </w:r>
            <w:r>
              <w:rPr>
                <w:spacing w:val="73"/>
                <w:w w:val="150"/>
                <w:sz w:val="20"/>
              </w:rPr>
              <w:t> </w:t>
            </w:r>
            <w:r>
              <w:rPr>
                <w:spacing w:val="-2"/>
                <w:sz w:val="20"/>
              </w:rPr>
              <w:t>bedspace</w:t>
            </w:r>
          </w:p>
        </w:tc>
        <w:tc>
          <w:tcPr>
            <w:tcW w:w="1796" w:type="dxa"/>
          </w:tcPr>
          <w:p>
            <w:pPr>
              <w:pStyle w:val="TableParagraph"/>
              <w:spacing w:line="208" w:lineRule="exact"/>
              <w:ind w:left="111"/>
              <w:rPr>
                <w:sz w:val="20"/>
              </w:rPr>
            </w:pPr>
            <w:r>
              <w:rPr>
                <w:spacing w:val="-2"/>
                <w:sz w:val="20"/>
              </w:rPr>
              <w:t>Students</w:t>
            </w:r>
          </w:p>
        </w:tc>
        <w:tc>
          <w:tcPr>
            <w:tcW w:w="707" w:type="dxa"/>
          </w:tcPr>
          <w:p>
            <w:pPr>
              <w:pStyle w:val="TableParagraph"/>
              <w:spacing w:line="208" w:lineRule="exact"/>
              <w:ind w:left="64" w:right="39"/>
              <w:jc w:val="center"/>
              <w:rPr>
                <w:sz w:val="20"/>
              </w:rPr>
            </w:pPr>
            <w:r>
              <w:rPr>
                <w:spacing w:val="-5"/>
                <w:sz w:val="20"/>
              </w:rPr>
              <w:t>19</w:t>
            </w:r>
          </w:p>
        </w:tc>
        <w:tc>
          <w:tcPr>
            <w:tcW w:w="749" w:type="dxa"/>
          </w:tcPr>
          <w:p>
            <w:pPr>
              <w:pStyle w:val="TableParagraph"/>
              <w:spacing w:line="208" w:lineRule="exact"/>
              <w:ind w:left="14" w:right="5"/>
              <w:jc w:val="center"/>
              <w:rPr>
                <w:sz w:val="20"/>
              </w:rPr>
            </w:pPr>
            <w:r>
              <w:rPr>
                <w:spacing w:val="-5"/>
                <w:sz w:val="20"/>
              </w:rPr>
              <w:t>8.1</w:t>
            </w:r>
          </w:p>
        </w:tc>
        <w:tc>
          <w:tcPr>
            <w:tcW w:w="691" w:type="dxa"/>
          </w:tcPr>
          <w:p>
            <w:pPr>
              <w:pStyle w:val="TableParagraph"/>
              <w:spacing w:line="208" w:lineRule="exact"/>
              <w:ind w:left="22" w:right="13"/>
              <w:jc w:val="center"/>
              <w:rPr>
                <w:sz w:val="20"/>
              </w:rPr>
            </w:pPr>
            <w:r>
              <w:rPr>
                <w:spacing w:val="-5"/>
                <w:sz w:val="20"/>
              </w:rPr>
              <w:t>59</w:t>
            </w:r>
          </w:p>
        </w:tc>
        <w:tc>
          <w:tcPr>
            <w:tcW w:w="777" w:type="dxa"/>
          </w:tcPr>
          <w:p>
            <w:pPr>
              <w:pStyle w:val="TableParagraph"/>
              <w:spacing w:line="208" w:lineRule="exact"/>
              <w:ind w:left="17" w:right="28"/>
              <w:jc w:val="center"/>
              <w:rPr>
                <w:sz w:val="20"/>
              </w:rPr>
            </w:pPr>
            <w:r>
              <w:rPr>
                <w:spacing w:val="-4"/>
                <w:sz w:val="20"/>
              </w:rPr>
              <w:t>25.1</w:t>
            </w:r>
          </w:p>
        </w:tc>
        <w:tc>
          <w:tcPr>
            <w:tcW w:w="686" w:type="dxa"/>
          </w:tcPr>
          <w:p>
            <w:pPr>
              <w:pStyle w:val="TableParagraph"/>
              <w:spacing w:line="208" w:lineRule="exact"/>
              <w:ind w:left="13" w:right="52"/>
              <w:jc w:val="center"/>
              <w:rPr>
                <w:sz w:val="20"/>
              </w:rPr>
            </w:pPr>
            <w:r>
              <w:rPr>
                <w:spacing w:val="-5"/>
                <w:sz w:val="20"/>
              </w:rPr>
              <w:t>46</w:t>
            </w:r>
          </w:p>
        </w:tc>
        <w:tc>
          <w:tcPr>
            <w:tcW w:w="902" w:type="dxa"/>
          </w:tcPr>
          <w:p>
            <w:pPr>
              <w:pStyle w:val="TableParagraph"/>
              <w:spacing w:line="208" w:lineRule="exact"/>
              <w:ind w:left="20" w:right="4"/>
              <w:jc w:val="center"/>
              <w:rPr>
                <w:sz w:val="20"/>
              </w:rPr>
            </w:pPr>
            <w:r>
              <w:rPr>
                <w:spacing w:val="-4"/>
                <w:sz w:val="20"/>
              </w:rPr>
              <w:t>19.6</w:t>
            </w:r>
          </w:p>
        </w:tc>
        <w:tc>
          <w:tcPr>
            <w:tcW w:w="684" w:type="dxa"/>
          </w:tcPr>
          <w:p>
            <w:pPr>
              <w:pStyle w:val="TableParagraph"/>
              <w:spacing w:line="208" w:lineRule="exact"/>
              <w:ind w:left="68" w:right="10"/>
              <w:jc w:val="center"/>
              <w:rPr>
                <w:sz w:val="20"/>
              </w:rPr>
            </w:pPr>
            <w:r>
              <w:rPr>
                <w:spacing w:val="-5"/>
                <w:sz w:val="20"/>
              </w:rPr>
              <w:t>78</w:t>
            </w:r>
          </w:p>
        </w:tc>
        <w:tc>
          <w:tcPr>
            <w:tcW w:w="799" w:type="dxa"/>
          </w:tcPr>
          <w:p>
            <w:pPr>
              <w:pStyle w:val="TableParagraph"/>
              <w:spacing w:line="208" w:lineRule="exact"/>
              <w:ind w:left="23" w:right="4"/>
              <w:jc w:val="center"/>
              <w:rPr>
                <w:sz w:val="20"/>
              </w:rPr>
            </w:pPr>
            <w:r>
              <w:rPr>
                <w:spacing w:val="-4"/>
                <w:sz w:val="20"/>
              </w:rPr>
              <w:t>33.2</w:t>
            </w:r>
          </w:p>
        </w:tc>
        <w:tc>
          <w:tcPr>
            <w:tcW w:w="626" w:type="dxa"/>
          </w:tcPr>
          <w:p>
            <w:pPr>
              <w:pStyle w:val="TableParagraph"/>
              <w:spacing w:line="208" w:lineRule="exact"/>
              <w:ind w:left="20" w:right="10"/>
              <w:jc w:val="center"/>
              <w:rPr>
                <w:sz w:val="20"/>
              </w:rPr>
            </w:pPr>
            <w:r>
              <w:rPr>
                <w:spacing w:val="-5"/>
                <w:sz w:val="20"/>
              </w:rPr>
              <w:t>33</w:t>
            </w:r>
          </w:p>
        </w:tc>
        <w:tc>
          <w:tcPr>
            <w:tcW w:w="770" w:type="dxa"/>
          </w:tcPr>
          <w:p>
            <w:pPr>
              <w:pStyle w:val="TableParagraph"/>
              <w:spacing w:line="208" w:lineRule="exact"/>
              <w:ind w:left="43" w:right="3"/>
              <w:jc w:val="center"/>
              <w:rPr>
                <w:sz w:val="20"/>
              </w:rPr>
            </w:pPr>
            <w:r>
              <w:rPr>
                <w:spacing w:val="-4"/>
                <w:sz w:val="20"/>
              </w:rPr>
              <w:t>14.0</w:t>
            </w:r>
          </w:p>
        </w:tc>
        <w:tc>
          <w:tcPr>
            <w:tcW w:w="691" w:type="dxa"/>
          </w:tcPr>
          <w:p>
            <w:pPr>
              <w:pStyle w:val="TableParagraph"/>
              <w:spacing w:line="208" w:lineRule="exact"/>
              <w:ind w:left="22" w:right="13"/>
              <w:jc w:val="center"/>
              <w:rPr>
                <w:sz w:val="20"/>
              </w:rPr>
            </w:pPr>
            <w:r>
              <w:rPr>
                <w:spacing w:val="-5"/>
                <w:sz w:val="20"/>
              </w:rPr>
              <w:t>235</w:t>
            </w:r>
          </w:p>
        </w:tc>
        <w:tc>
          <w:tcPr>
            <w:tcW w:w="738" w:type="dxa"/>
            <w:tcBorders>
              <w:right w:val="single" w:sz="4" w:space="0" w:color="000000"/>
            </w:tcBorders>
          </w:tcPr>
          <w:p>
            <w:pPr>
              <w:pStyle w:val="TableParagraph"/>
              <w:spacing w:line="208" w:lineRule="exact"/>
              <w:ind w:left="53" w:right="18"/>
              <w:jc w:val="center"/>
              <w:rPr>
                <w:sz w:val="20"/>
              </w:rPr>
            </w:pPr>
            <w:r>
              <w:rPr>
                <w:spacing w:val="-4"/>
                <w:sz w:val="20"/>
              </w:rPr>
              <w:t>50.8</w:t>
            </w:r>
          </w:p>
        </w:tc>
      </w:tr>
      <w:tr>
        <w:trPr>
          <w:trHeight w:val="240" w:hRule="atLeast"/>
        </w:trPr>
        <w:tc>
          <w:tcPr>
            <w:tcW w:w="4146" w:type="dxa"/>
            <w:tcBorders>
              <w:left w:val="single" w:sz="4" w:space="0" w:color="000000"/>
            </w:tcBorders>
          </w:tcPr>
          <w:p>
            <w:pPr>
              <w:pStyle w:val="TableParagraph"/>
              <w:spacing w:line="220" w:lineRule="exact"/>
              <w:ind w:right="218"/>
              <w:jc w:val="right"/>
              <w:rPr>
                <w:sz w:val="20"/>
              </w:rPr>
            </w:pPr>
            <w:r>
              <w:rPr>
                <w:sz w:val="20"/>
              </w:rPr>
              <w:t>allocation</w:t>
            </w:r>
            <w:r>
              <w:rPr>
                <w:spacing w:val="-8"/>
                <w:sz w:val="20"/>
              </w:rPr>
              <w:t> </w:t>
            </w:r>
            <w:r>
              <w:rPr>
                <w:sz w:val="20"/>
              </w:rPr>
              <w:t>to</w:t>
            </w:r>
            <w:r>
              <w:rPr>
                <w:spacing w:val="-3"/>
                <w:sz w:val="20"/>
              </w:rPr>
              <w:t> </w:t>
            </w:r>
            <w:r>
              <w:rPr>
                <w:sz w:val="20"/>
              </w:rPr>
              <w:t>students</w:t>
            </w:r>
            <w:r>
              <w:rPr>
                <w:spacing w:val="-6"/>
                <w:sz w:val="20"/>
              </w:rPr>
              <w:t> </w:t>
            </w:r>
            <w:r>
              <w:rPr>
                <w:sz w:val="20"/>
              </w:rPr>
              <w:t>in</w:t>
            </w:r>
            <w:r>
              <w:rPr>
                <w:spacing w:val="-3"/>
                <w:sz w:val="20"/>
              </w:rPr>
              <w:t> </w:t>
            </w:r>
            <w:r>
              <w:rPr>
                <w:sz w:val="20"/>
              </w:rPr>
              <w:t>all</w:t>
            </w:r>
            <w:r>
              <w:rPr>
                <w:spacing w:val="-3"/>
                <w:sz w:val="20"/>
              </w:rPr>
              <w:t> </w:t>
            </w:r>
            <w:r>
              <w:rPr>
                <w:spacing w:val="-2"/>
                <w:sz w:val="20"/>
              </w:rPr>
              <w:t>hostels.</w:t>
            </w:r>
          </w:p>
        </w:tc>
        <w:tc>
          <w:tcPr>
            <w:tcW w:w="1796" w:type="dxa"/>
          </w:tcPr>
          <w:p>
            <w:pPr>
              <w:pStyle w:val="TableParagraph"/>
              <w:spacing w:line="211" w:lineRule="exact" w:before="9"/>
              <w:ind w:left="111"/>
              <w:rPr>
                <w:sz w:val="20"/>
              </w:rPr>
            </w:pPr>
            <w:r>
              <w:rPr>
                <w:sz w:val="20"/>
              </w:rPr>
              <w:t>Service</w:t>
            </w:r>
            <w:r>
              <w:rPr>
                <w:spacing w:val="-9"/>
                <w:sz w:val="20"/>
              </w:rPr>
              <w:t> </w:t>
            </w:r>
            <w:r>
              <w:rPr>
                <w:spacing w:val="-2"/>
                <w:sz w:val="20"/>
              </w:rPr>
              <w:t>Staff</w:t>
            </w:r>
          </w:p>
        </w:tc>
        <w:tc>
          <w:tcPr>
            <w:tcW w:w="707" w:type="dxa"/>
          </w:tcPr>
          <w:p>
            <w:pPr>
              <w:pStyle w:val="TableParagraph"/>
              <w:spacing w:line="211" w:lineRule="exact" w:before="9"/>
              <w:ind w:left="64" w:right="39"/>
              <w:jc w:val="center"/>
              <w:rPr>
                <w:sz w:val="20"/>
              </w:rPr>
            </w:pPr>
            <w:r>
              <w:rPr>
                <w:spacing w:val="-5"/>
                <w:sz w:val="20"/>
              </w:rPr>
              <w:t>15</w:t>
            </w:r>
          </w:p>
        </w:tc>
        <w:tc>
          <w:tcPr>
            <w:tcW w:w="749" w:type="dxa"/>
          </w:tcPr>
          <w:p>
            <w:pPr>
              <w:pStyle w:val="TableParagraph"/>
              <w:spacing w:line="211" w:lineRule="exact" w:before="9"/>
              <w:ind w:left="14" w:right="5"/>
              <w:jc w:val="center"/>
              <w:rPr>
                <w:sz w:val="20"/>
              </w:rPr>
            </w:pPr>
            <w:r>
              <w:rPr>
                <w:spacing w:val="-5"/>
                <w:sz w:val="20"/>
              </w:rPr>
              <w:t>7.4</w:t>
            </w:r>
          </w:p>
        </w:tc>
        <w:tc>
          <w:tcPr>
            <w:tcW w:w="691" w:type="dxa"/>
          </w:tcPr>
          <w:p>
            <w:pPr>
              <w:pStyle w:val="TableParagraph"/>
              <w:spacing w:line="211" w:lineRule="exact" w:before="9"/>
              <w:ind w:left="22" w:right="13"/>
              <w:jc w:val="center"/>
              <w:rPr>
                <w:sz w:val="20"/>
              </w:rPr>
            </w:pPr>
            <w:r>
              <w:rPr>
                <w:spacing w:val="-5"/>
                <w:sz w:val="20"/>
              </w:rPr>
              <w:t>69</w:t>
            </w:r>
          </w:p>
        </w:tc>
        <w:tc>
          <w:tcPr>
            <w:tcW w:w="777" w:type="dxa"/>
          </w:tcPr>
          <w:p>
            <w:pPr>
              <w:pStyle w:val="TableParagraph"/>
              <w:spacing w:line="211" w:lineRule="exact" w:before="9"/>
              <w:ind w:left="17" w:right="28"/>
              <w:jc w:val="center"/>
              <w:rPr>
                <w:sz w:val="20"/>
              </w:rPr>
            </w:pPr>
            <w:r>
              <w:rPr>
                <w:spacing w:val="-4"/>
                <w:sz w:val="20"/>
              </w:rPr>
              <w:t>34.0</w:t>
            </w:r>
          </w:p>
        </w:tc>
        <w:tc>
          <w:tcPr>
            <w:tcW w:w="686" w:type="dxa"/>
          </w:tcPr>
          <w:p>
            <w:pPr>
              <w:pStyle w:val="TableParagraph"/>
              <w:spacing w:line="211" w:lineRule="exact" w:before="9"/>
              <w:ind w:left="13" w:right="52"/>
              <w:jc w:val="center"/>
              <w:rPr>
                <w:sz w:val="20"/>
              </w:rPr>
            </w:pPr>
            <w:r>
              <w:rPr>
                <w:spacing w:val="-5"/>
                <w:sz w:val="20"/>
              </w:rPr>
              <w:t>42</w:t>
            </w:r>
          </w:p>
        </w:tc>
        <w:tc>
          <w:tcPr>
            <w:tcW w:w="902" w:type="dxa"/>
          </w:tcPr>
          <w:p>
            <w:pPr>
              <w:pStyle w:val="TableParagraph"/>
              <w:spacing w:line="211" w:lineRule="exact" w:before="9"/>
              <w:ind w:left="20" w:right="4"/>
              <w:jc w:val="center"/>
              <w:rPr>
                <w:sz w:val="20"/>
              </w:rPr>
            </w:pPr>
            <w:r>
              <w:rPr>
                <w:spacing w:val="-4"/>
                <w:sz w:val="20"/>
              </w:rPr>
              <w:t>20.7</w:t>
            </w:r>
          </w:p>
        </w:tc>
        <w:tc>
          <w:tcPr>
            <w:tcW w:w="684" w:type="dxa"/>
          </w:tcPr>
          <w:p>
            <w:pPr>
              <w:pStyle w:val="TableParagraph"/>
              <w:spacing w:line="211" w:lineRule="exact" w:before="9"/>
              <w:ind w:left="68" w:right="10"/>
              <w:jc w:val="center"/>
              <w:rPr>
                <w:sz w:val="20"/>
              </w:rPr>
            </w:pPr>
            <w:r>
              <w:rPr>
                <w:spacing w:val="-5"/>
                <w:sz w:val="20"/>
              </w:rPr>
              <w:t>60</w:t>
            </w:r>
          </w:p>
        </w:tc>
        <w:tc>
          <w:tcPr>
            <w:tcW w:w="799" w:type="dxa"/>
          </w:tcPr>
          <w:p>
            <w:pPr>
              <w:pStyle w:val="TableParagraph"/>
              <w:spacing w:line="211" w:lineRule="exact" w:before="9"/>
              <w:ind w:left="23" w:right="4"/>
              <w:jc w:val="center"/>
              <w:rPr>
                <w:sz w:val="20"/>
              </w:rPr>
            </w:pPr>
            <w:r>
              <w:rPr>
                <w:spacing w:val="-4"/>
                <w:sz w:val="20"/>
              </w:rPr>
              <w:t>29.6</w:t>
            </w:r>
          </w:p>
        </w:tc>
        <w:tc>
          <w:tcPr>
            <w:tcW w:w="626" w:type="dxa"/>
          </w:tcPr>
          <w:p>
            <w:pPr>
              <w:pStyle w:val="TableParagraph"/>
              <w:spacing w:line="211" w:lineRule="exact" w:before="9"/>
              <w:ind w:left="20" w:right="10"/>
              <w:jc w:val="center"/>
              <w:rPr>
                <w:sz w:val="20"/>
              </w:rPr>
            </w:pPr>
            <w:r>
              <w:rPr>
                <w:spacing w:val="-5"/>
                <w:sz w:val="20"/>
              </w:rPr>
              <w:t>17</w:t>
            </w:r>
          </w:p>
        </w:tc>
        <w:tc>
          <w:tcPr>
            <w:tcW w:w="770" w:type="dxa"/>
          </w:tcPr>
          <w:p>
            <w:pPr>
              <w:pStyle w:val="TableParagraph"/>
              <w:spacing w:line="211" w:lineRule="exact" w:before="9"/>
              <w:ind w:left="42" w:right="7"/>
              <w:jc w:val="center"/>
              <w:rPr>
                <w:sz w:val="20"/>
              </w:rPr>
            </w:pPr>
            <w:r>
              <w:rPr>
                <w:spacing w:val="-5"/>
                <w:sz w:val="20"/>
              </w:rPr>
              <w:t>8.4</w:t>
            </w:r>
          </w:p>
        </w:tc>
        <w:tc>
          <w:tcPr>
            <w:tcW w:w="691" w:type="dxa"/>
          </w:tcPr>
          <w:p>
            <w:pPr>
              <w:pStyle w:val="TableParagraph"/>
              <w:spacing w:line="211" w:lineRule="exact" w:before="9"/>
              <w:ind w:left="22" w:right="13"/>
              <w:jc w:val="center"/>
              <w:rPr>
                <w:sz w:val="20"/>
              </w:rPr>
            </w:pPr>
            <w:r>
              <w:rPr>
                <w:spacing w:val="-5"/>
                <w:sz w:val="20"/>
              </w:rPr>
              <w:t>203</w:t>
            </w:r>
          </w:p>
        </w:tc>
        <w:tc>
          <w:tcPr>
            <w:tcW w:w="738" w:type="dxa"/>
            <w:tcBorders>
              <w:right w:val="single" w:sz="4" w:space="0" w:color="000000"/>
            </w:tcBorders>
          </w:tcPr>
          <w:p>
            <w:pPr>
              <w:pStyle w:val="TableParagraph"/>
              <w:spacing w:line="211" w:lineRule="exact" w:before="9"/>
              <w:ind w:left="53" w:right="18"/>
              <w:jc w:val="center"/>
              <w:rPr>
                <w:sz w:val="20"/>
              </w:rPr>
            </w:pPr>
            <w:r>
              <w:rPr>
                <w:spacing w:val="-4"/>
                <w:sz w:val="20"/>
              </w:rPr>
              <w:t>43.8</w:t>
            </w:r>
          </w:p>
        </w:tc>
      </w:tr>
      <w:tr>
        <w:trPr>
          <w:trHeight w:val="227" w:hRule="atLeast"/>
        </w:trPr>
        <w:tc>
          <w:tcPr>
            <w:tcW w:w="4146" w:type="dxa"/>
            <w:tcBorders>
              <w:left w:val="single" w:sz="4" w:space="0" w:color="000000"/>
            </w:tcBorders>
          </w:tcPr>
          <w:p>
            <w:pPr>
              <w:pStyle w:val="TableParagraph"/>
              <w:rPr>
                <w:rFonts w:ascii="Times New Roman"/>
                <w:sz w:val="16"/>
              </w:rPr>
            </w:pPr>
          </w:p>
        </w:tc>
        <w:tc>
          <w:tcPr>
            <w:tcW w:w="1796" w:type="dxa"/>
          </w:tcPr>
          <w:p>
            <w:pPr>
              <w:pStyle w:val="TableParagraph"/>
              <w:spacing w:line="208" w:lineRule="exact"/>
              <w:ind w:left="111"/>
              <w:rPr>
                <w:sz w:val="20"/>
              </w:rPr>
            </w:pPr>
            <w:r>
              <w:rPr>
                <w:sz w:val="20"/>
              </w:rPr>
              <w:t>Top</w:t>
            </w:r>
            <w:r>
              <w:rPr>
                <w:spacing w:val="-1"/>
                <w:sz w:val="20"/>
              </w:rPr>
              <w:t> </w:t>
            </w:r>
            <w:r>
              <w:rPr>
                <w:spacing w:val="-2"/>
                <w:sz w:val="20"/>
              </w:rPr>
              <w:t>Management</w:t>
            </w:r>
          </w:p>
        </w:tc>
        <w:tc>
          <w:tcPr>
            <w:tcW w:w="707" w:type="dxa"/>
          </w:tcPr>
          <w:p>
            <w:pPr>
              <w:pStyle w:val="TableParagraph"/>
              <w:spacing w:line="208" w:lineRule="exact"/>
              <w:ind w:left="64" w:right="34"/>
              <w:jc w:val="center"/>
              <w:rPr>
                <w:sz w:val="20"/>
              </w:rPr>
            </w:pPr>
            <w:r>
              <w:rPr>
                <w:spacing w:val="-10"/>
                <w:sz w:val="20"/>
              </w:rPr>
              <w:t>5</w:t>
            </w:r>
          </w:p>
        </w:tc>
        <w:tc>
          <w:tcPr>
            <w:tcW w:w="749" w:type="dxa"/>
          </w:tcPr>
          <w:p>
            <w:pPr>
              <w:pStyle w:val="TableParagraph"/>
              <w:spacing w:line="208" w:lineRule="exact"/>
              <w:ind w:left="14"/>
              <w:jc w:val="center"/>
              <w:rPr>
                <w:sz w:val="20"/>
              </w:rPr>
            </w:pPr>
            <w:r>
              <w:rPr>
                <w:spacing w:val="-4"/>
                <w:sz w:val="20"/>
              </w:rPr>
              <w:t>17.4</w:t>
            </w:r>
          </w:p>
        </w:tc>
        <w:tc>
          <w:tcPr>
            <w:tcW w:w="691" w:type="dxa"/>
          </w:tcPr>
          <w:p>
            <w:pPr>
              <w:pStyle w:val="TableParagraph"/>
              <w:spacing w:line="208" w:lineRule="exact"/>
              <w:ind w:left="22" w:right="8"/>
              <w:jc w:val="center"/>
              <w:rPr>
                <w:sz w:val="20"/>
              </w:rPr>
            </w:pPr>
            <w:r>
              <w:rPr>
                <w:spacing w:val="-10"/>
                <w:sz w:val="20"/>
              </w:rPr>
              <w:t>7</w:t>
            </w:r>
          </w:p>
        </w:tc>
        <w:tc>
          <w:tcPr>
            <w:tcW w:w="777" w:type="dxa"/>
          </w:tcPr>
          <w:p>
            <w:pPr>
              <w:pStyle w:val="TableParagraph"/>
              <w:spacing w:line="208" w:lineRule="exact"/>
              <w:ind w:left="17" w:right="28"/>
              <w:jc w:val="center"/>
              <w:rPr>
                <w:sz w:val="20"/>
              </w:rPr>
            </w:pPr>
            <w:r>
              <w:rPr>
                <w:spacing w:val="-4"/>
                <w:sz w:val="20"/>
              </w:rPr>
              <w:t>30.4</w:t>
            </w:r>
          </w:p>
        </w:tc>
        <w:tc>
          <w:tcPr>
            <w:tcW w:w="686" w:type="dxa"/>
          </w:tcPr>
          <w:p>
            <w:pPr>
              <w:pStyle w:val="TableParagraph"/>
              <w:spacing w:line="208" w:lineRule="exact"/>
              <w:ind w:left="18" w:right="52"/>
              <w:jc w:val="center"/>
              <w:rPr>
                <w:sz w:val="20"/>
              </w:rPr>
            </w:pPr>
            <w:r>
              <w:rPr>
                <w:spacing w:val="-10"/>
                <w:sz w:val="20"/>
              </w:rPr>
              <w:t>6</w:t>
            </w:r>
          </w:p>
        </w:tc>
        <w:tc>
          <w:tcPr>
            <w:tcW w:w="902" w:type="dxa"/>
          </w:tcPr>
          <w:p>
            <w:pPr>
              <w:pStyle w:val="TableParagraph"/>
              <w:spacing w:line="208" w:lineRule="exact"/>
              <w:ind w:left="20" w:right="4"/>
              <w:jc w:val="center"/>
              <w:rPr>
                <w:sz w:val="20"/>
              </w:rPr>
            </w:pPr>
            <w:r>
              <w:rPr>
                <w:spacing w:val="-4"/>
                <w:sz w:val="20"/>
              </w:rPr>
              <w:t>26.1</w:t>
            </w:r>
          </w:p>
        </w:tc>
        <w:tc>
          <w:tcPr>
            <w:tcW w:w="684" w:type="dxa"/>
          </w:tcPr>
          <w:p>
            <w:pPr>
              <w:pStyle w:val="TableParagraph"/>
              <w:spacing w:line="208" w:lineRule="exact"/>
              <w:ind w:left="68" w:right="6"/>
              <w:jc w:val="center"/>
              <w:rPr>
                <w:sz w:val="20"/>
              </w:rPr>
            </w:pPr>
            <w:r>
              <w:rPr>
                <w:spacing w:val="-10"/>
                <w:sz w:val="20"/>
              </w:rPr>
              <w:t>5</w:t>
            </w:r>
          </w:p>
        </w:tc>
        <w:tc>
          <w:tcPr>
            <w:tcW w:w="799" w:type="dxa"/>
          </w:tcPr>
          <w:p>
            <w:pPr>
              <w:pStyle w:val="TableParagraph"/>
              <w:spacing w:line="208" w:lineRule="exact"/>
              <w:ind w:left="23" w:right="4"/>
              <w:jc w:val="center"/>
              <w:rPr>
                <w:sz w:val="20"/>
              </w:rPr>
            </w:pPr>
            <w:r>
              <w:rPr>
                <w:spacing w:val="-4"/>
                <w:sz w:val="20"/>
              </w:rPr>
              <w:t>21.7</w:t>
            </w:r>
          </w:p>
        </w:tc>
        <w:tc>
          <w:tcPr>
            <w:tcW w:w="626" w:type="dxa"/>
          </w:tcPr>
          <w:p>
            <w:pPr>
              <w:pStyle w:val="TableParagraph"/>
              <w:spacing w:line="208" w:lineRule="exact"/>
              <w:ind w:left="20" w:right="5"/>
              <w:jc w:val="center"/>
              <w:rPr>
                <w:sz w:val="20"/>
              </w:rPr>
            </w:pPr>
            <w:r>
              <w:rPr>
                <w:spacing w:val="-10"/>
                <w:sz w:val="20"/>
              </w:rPr>
              <w:t>1</w:t>
            </w:r>
          </w:p>
        </w:tc>
        <w:tc>
          <w:tcPr>
            <w:tcW w:w="770" w:type="dxa"/>
          </w:tcPr>
          <w:p>
            <w:pPr>
              <w:pStyle w:val="TableParagraph"/>
              <w:spacing w:line="208" w:lineRule="exact"/>
              <w:ind w:left="42" w:right="7"/>
              <w:jc w:val="center"/>
              <w:rPr>
                <w:sz w:val="20"/>
              </w:rPr>
            </w:pPr>
            <w:r>
              <w:rPr>
                <w:spacing w:val="-5"/>
                <w:sz w:val="20"/>
              </w:rPr>
              <w:t>4.3</w:t>
            </w:r>
          </w:p>
        </w:tc>
        <w:tc>
          <w:tcPr>
            <w:tcW w:w="691" w:type="dxa"/>
          </w:tcPr>
          <w:p>
            <w:pPr>
              <w:pStyle w:val="TableParagraph"/>
              <w:spacing w:line="208" w:lineRule="exact"/>
              <w:ind w:left="22" w:right="8"/>
              <w:jc w:val="center"/>
              <w:rPr>
                <w:sz w:val="20"/>
              </w:rPr>
            </w:pPr>
            <w:r>
              <w:rPr>
                <w:spacing w:val="-5"/>
                <w:sz w:val="20"/>
              </w:rPr>
              <w:t>23</w:t>
            </w:r>
          </w:p>
        </w:tc>
        <w:tc>
          <w:tcPr>
            <w:tcW w:w="738" w:type="dxa"/>
            <w:tcBorders>
              <w:right w:val="single" w:sz="4" w:space="0" w:color="000000"/>
            </w:tcBorders>
          </w:tcPr>
          <w:p>
            <w:pPr>
              <w:pStyle w:val="TableParagraph"/>
              <w:spacing w:line="208" w:lineRule="exact"/>
              <w:ind w:left="53" w:right="23"/>
              <w:jc w:val="center"/>
              <w:rPr>
                <w:sz w:val="20"/>
              </w:rPr>
            </w:pPr>
            <w:r>
              <w:rPr>
                <w:spacing w:val="-5"/>
                <w:sz w:val="20"/>
              </w:rPr>
              <w:t>5.0</w:t>
            </w:r>
          </w:p>
        </w:tc>
      </w:tr>
      <w:tr>
        <w:trPr>
          <w:trHeight w:val="230" w:hRule="atLeast"/>
        </w:trPr>
        <w:tc>
          <w:tcPr>
            <w:tcW w:w="4146" w:type="dxa"/>
            <w:tcBorders>
              <w:left w:val="single" w:sz="4" w:space="0" w:color="000000"/>
            </w:tcBorders>
          </w:tcPr>
          <w:p>
            <w:pPr>
              <w:pStyle w:val="TableParagraph"/>
              <w:tabs>
                <w:tab w:pos="609" w:val="left" w:leader="none"/>
                <w:tab w:pos="2059" w:val="left" w:leader="none"/>
                <w:tab w:pos="3481" w:val="left" w:leader="none"/>
              </w:tabs>
              <w:spacing w:line="210" w:lineRule="exact"/>
              <w:ind w:right="105"/>
              <w:jc w:val="right"/>
              <w:rPr>
                <w:sz w:val="20"/>
              </w:rPr>
            </w:pPr>
            <w:r>
              <w:rPr>
                <w:spacing w:val="-5"/>
                <w:sz w:val="20"/>
              </w:rPr>
              <w:t>97.</w:t>
            </w:r>
            <w:r>
              <w:rPr>
                <w:sz w:val="20"/>
              </w:rPr>
              <w:tab/>
            </w:r>
            <w:r>
              <w:rPr>
                <w:spacing w:val="-2"/>
                <w:sz w:val="20"/>
              </w:rPr>
              <w:t>Security</w:t>
            </w:r>
            <w:r>
              <w:rPr>
                <w:sz w:val="20"/>
              </w:rPr>
              <w:tab/>
            </w:r>
            <w:r>
              <w:rPr>
                <w:spacing w:val="-2"/>
                <w:sz w:val="20"/>
              </w:rPr>
              <w:t>network</w:t>
            </w:r>
            <w:r>
              <w:rPr>
                <w:sz w:val="20"/>
              </w:rPr>
              <w:tab/>
            </w:r>
            <w:r>
              <w:rPr>
                <w:spacing w:val="-5"/>
                <w:sz w:val="20"/>
              </w:rPr>
              <w:t>and</w:t>
            </w:r>
          </w:p>
        </w:tc>
        <w:tc>
          <w:tcPr>
            <w:tcW w:w="1796" w:type="dxa"/>
          </w:tcPr>
          <w:p>
            <w:pPr>
              <w:pStyle w:val="TableParagraph"/>
              <w:spacing w:line="210" w:lineRule="exact"/>
              <w:ind w:left="111"/>
              <w:rPr>
                <w:sz w:val="20"/>
              </w:rPr>
            </w:pPr>
            <w:r>
              <w:rPr>
                <w:sz w:val="20"/>
              </w:rPr>
              <w:t>No.</w:t>
            </w:r>
            <w:r>
              <w:rPr>
                <w:spacing w:val="-5"/>
                <w:sz w:val="20"/>
              </w:rPr>
              <w:t> </w:t>
            </w:r>
            <w:r>
              <w:rPr>
                <w:sz w:val="20"/>
              </w:rPr>
              <w:t>of</w:t>
            </w:r>
            <w:r>
              <w:rPr>
                <w:spacing w:val="-2"/>
                <w:sz w:val="20"/>
              </w:rPr>
              <w:t> missing</w:t>
            </w:r>
          </w:p>
        </w:tc>
        <w:tc>
          <w:tcPr>
            <w:tcW w:w="707" w:type="dxa"/>
          </w:tcPr>
          <w:p>
            <w:pPr>
              <w:pStyle w:val="TableParagraph"/>
              <w:rPr>
                <w:rFonts w:ascii="Times New Roman"/>
                <w:sz w:val="16"/>
              </w:rPr>
            </w:pPr>
          </w:p>
        </w:tc>
        <w:tc>
          <w:tcPr>
            <w:tcW w:w="749" w:type="dxa"/>
          </w:tcPr>
          <w:p>
            <w:pPr>
              <w:pStyle w:val="TableParagraph"/>
              <w:rPr>
                <w:rFonts w:ascii="Times New Roman"/>
                <w:sz w:val="16"/>
              </w:rPr>
            </w:pPr>
          </w:p>
        </w:tc>
        <w:tc>
          <w:tcPr>
            <w:tcW w:w="691" w:type="dxa"/>
          </w:tcPr>
          <w:p>
            <w:pPr>
              <w:pStyle w:val="TableParagraph"/>
              <w:rPr>
                <w:rFonts w:ascii="Times New Roman"/>
                <w:sz w:val="16"/>
              </w:rPr>
            </w:pPr>
          </w:p>
        </w:tc>
        <w:tc>
          <w:tcPr>
            <w:tcW w:w="777" w:type="dxa"/>
          </w:tcPr>
          <w:p>
            <w:pPr>
              <w:pStyle w:val="TableParagraph"/>
              <w:rPr>
                <w:rFonts w:ascii="Times New Roman"/>
                <w:sz w:val="16"/>
              </w:rPr>
            </w:pPr>
          </w:p>
        </w:tc>
        <w:tc>
          <w:tcPr>
            <w:tcW w:w="686" w:type="dxa"/>
          </w:tcPr>
          <w:p>
            <w:pPr>
              <w:pStyle w:val="TableParagraph"/>
              <w:rPr>
                <w:rFonts w:ascii="Times New Roman"/>
                <w:sz w:val="16"/>
              </w:rPr>
            </w:pPr>
          </w:p>
        </w:tc>
        <w:tc>
          <w:tcPr>
            <w:tcW w:w="902" w:type="dxa"/>
          </w:tcPr>
          <w:p>
            <w:pPr>
              <w:pStyle w:val="TableParagraph"/>
              <w:rPr>
                <w:rFonts w:ascii="Times New Roman"/>
                <w:sz w:val="16"/>
              </w:rPr>
            </w:pPr>
          </w:p>
        </w:tc>
        <w:tc>
          <w:tcPr>
            <w:tcW w:w="684" w:type="dxa"/>
          </w:tcPr>
          <w:p>
            <w:pPr>
              <w:pStyle w:val="TableParagraph"/>
              <w:rPr>
                <w:rFonts w:ascii="Times New Roman"/>
                <w:sz w:val="16"/>
              </w:rPr>
            </w:pPr>
          </w:p>
        </w:tc>
        <w:tc>
          <w:tcPr>
            <w:tcW w:w="799" w:type="dxa"/>
          </w:tcPr>
          <w:p>
            <w:pPr>
              <w:pStyle w:val="TableParagraph"/>
              <w:rPr>
                <w:rFonts w:ascii="Times New Roman"/>
                <w:sz w:val="16"/>
              </w:rPr>
            </w:pPr>
          </w:p>
        </w:tc>
        <w:tc>
          <w:tcPr>
            <w:tcW w:w="626" w:type="dxa"/>
          </w:tcPr>
          <w:p>
            <w:pPr>
              <w:pStyle w:val="TableParagraph"/>
              <w:rPr>
                <w:rFonts w:ascii="Times New Roman"/>
                <w:sz w:val="16"/>
              </w:rPr>
            </w:pPr>
          </w:p>
        </w:tc>
        <w:tc>
          <w:tcPr>
            <w:tcW w:w="770" w:type="dxa"/>
          </w:tcPr>
          <w:p>
            <w:pPr>
              <w:pStyle w:val="TableParagraph"/>
              <w:rPr>
                <w:rFonts w:ascii="Times New Roman"/>
                <w:sz w:val="16"/>
              </w:rPr>
            </w:pPr>
          </w:p>
        </w:tc>
        <w:tc>
          <w:tcPr>
            <w:tcW w:w="691" w:type="dxa"/>
          </w:tcPr>
          <w:p>
            <w:pPr>
              <w:pStyle w:val="TableParagraph"/>
              <w:rPr>
                <w:rFonts w:ascii="Times New Roman"/>
                <w:sz w:val="16"/>
              </w:rPr>
            </w:pPr>
          </w:p>
        </w:tc>
        <w:tc>
          <w:tcPr>
            <w:tcW w:w="738" w:type="dxa"/>
            <w:tcBorders>
              <w:right w:val="single" w:sz="4" w:space="0" w:color="000000"/>
            </w:tcBorders>
          </w:tcPr>
          <w:p>
            <w:pPr>
              <w:pStyle w:val="TableParagraph"/>
              <w:rPr>
                <w:rFonts w:ascii="Times New Roman"/>
                <w:sz w:val="16"/>
              </w:rPr>
            </w:pPr>
          </w:p>
        </w:tc>
      </w:tr>
      <w:tr>
        <w:trPr>
          <w:trHeight w:val="230" w:hRule="atLeast"/>
        </w:trPr>
        <w:tc>
          <w:tcPr>
            <w:tcW w:w="4146" w:type="dxa"/>
            <w:tcBorders>
              <w:left w:val="single" w:sz="4" w:space="0" w:color="000000"/>
            </w:tcBorders>
          </w:tcPr>
          <w:p>
            <w:pPr>
              <w:pStyle w:val="TableParagraph"/>
              <w:tabs>
                <w:tab w:pos="1574" w:val="left" w:leader="none"/>
                <w:tab w:pos="2592" w:val="left" w:leader="none"/>
              </w:tabs>
              <w:spacing w:line="210" w:lineRule="exact"/>
              <w:ind w:right="103"/>
              <w:jc w:val="right"/>
              <w:rPr>
                <w:sz w:val="20"/>
              </w:rPr>
            </w:pPr>
            <w:r>
              <w:rPr>
                <w:spacing w:val="-2"/>
                <w:sz w:val="20"/>
              </w:rPr>
              <w:t>communication</w:t>
            </w:r>
            <w:r>
              <w:rPr>
                <w:sz w:val="20"/>
              </w:rPr>
              <w:tab/>
            </w:r>
            <w:r>
              <w:rPr>
                <w:spacing w:val="-2"/>
                <w:sz w:val="20"/>
              </w:rPr>
              <w:t>including</w:t>
            </w:r>
            <w:r>
              <w:rPr>
                <w:sz w:val="20"/>
              </w:rPr>
              <w:tab/>
            </w:r>
            <w:r>
              <w:rPr>
                <w:spacing w:val="-2"/>
                <w:sz w:val="20"/>
              </w:rPr>
              <w:t>market</w:t>
            </w:r>
          </w:p>
        </w:tc>
        <w:tc>
          <w:tcPr>
            <w:tcW w:w="1796" w:type="dxa"/>
          </w:tcPr>
          <w:p>
            <w:pPr>
              <w:pStyle w:val="TableParagraph"/>
              <w:spacing w:line="210" w:lineRule="exact"/>
              <w:ind w:left="111"/>
              <w:rPr>
                <w:sz w:val="20"/>
              </w:rPr>
            </w:pPr>
            <w:r>
              <w:rPr>
                <w:spacing w:val="-2"/>
                <w:sz w:val="20"/>
              </w:rPr>
              <w:t>observations</w:t>
            </w:r>
          </w:p>
        </w:tc>
        <w:tc>
          <w:tcPr>
            <w:tcW w:w="707" w:type="dxa"/>
          </w:tcPr>
          <w:p>
            <w:pPr>
              <w:pStyle w:val="TableParagraph"/>
              <w:spacing w:line="210" w:lineRule="exact"/>
              <w:ind w:left="64" w:right="34"/>
              <w:jc w:val="center"/>
              <w:rPr>
                <w:sz w:val="20"/>
              </w:rPr>
            </w:pPr>
            <w:r>
              <w:rPr>
                <w:spacing w:val="-10"/>
                <w:sz w:val="20"/>
              </w:rPr>
              <w:t>1</w:t>
            </w:r>
          </w:p>
        </w:tc>
        <w:tc>
          <w:tcPr>
            <w:tcW w:w="749" w:type="dxa"/>
          </w:tcPr>
          <w:p>
            <w:pPr>
              <w:pStyle w:val="TableParagraph"/>
              <w:spacing w:line="210" w:lineRule="exact"/>
              <w:ind w:left="14"/>
              <w:jc w:val="center"/>
              <w:rPr>
                <w:sz w:val="20"/>
              </w:rPr>
            </w:pPr>
            <w:r>
              <w:rPr>
                <w:spacing w:val="-4"/>
                <w:sz w:val="20"/>
              </w:rPr>
              <w:t>50.0</w:t>
            </w:r>
          </w:p>
        </w:tc>
        <w:tc>
          <w:tcPr>
            <w:tcW w:w="691" w:type="dxa"/>
          </w:tcPr>
          <w:p>
            <w:pPr>
              <w:pStyle w:val="TableParagraph"/>
              <w:spacing w:line="210" w:lineRule="exact"/>
              <w:ind w:left="22" w:right="8"/>
              <w:jc w:val="center"/>
              <w:rPr>
                <w:sz w:val="20"/>
              </w:rPr>
            </w:pPr>
            <w:r>
              <w:rPr>
                <w:spacing w:val="-10"/>
                <w:sz w:val="20"/>
              </w:rPr>
              <w:t>1</w:t>
            </w:r>
          </w:p>
        </w:tc>
        <w:tc>
          <w:tcPr>
            <w:tcW w:w="777" w:type="dxa"/>
          </w:tcPr>
          <w:p>
            <w:pPr>
              <w:pStyle w:val="TableParagraph"/>
              <w:spacing w:line="210" w:lineRule="exact"/>
              <w:ind w:left="17" w:right="28"/>
              <w:jc w:val="center"/>
              <w:rPr>
                <w:sz w:val="20"/>
              </w:rPr>
            </w:pPr>
            <w:r>
              <w:rPr>
                <w:spacing w:val="-4"/>
                <w:sz w:val="20"/>
              </w:rPr>
              <w:t>50.0</w:t>
            </w:r>
          </w:p>
        </w:tc>
        <w:tc>
          <w:tcPr>
            <w:tcW w:w="686" w:type="dxa"/>
          </w:tcPr>
          <w:p>
            <w:pPr>
              <w:pStyle w:val="TableParagraph"/>
              <w:spacing w:line="210" w:lineRule="exact"/>
              <w:ind w:left="11" w:right="52"/>
              <w:jc w:val="center"/>
              <w:rPr>
                <w:sz w:val="20"/>
              </w:rPr>
            </w:pPr>
            <w:r>
              <w:rPr>
                <w:spacing w:val="-10"/>
                <w:sz w:val="20"/>
              </w:rPr>
              <w:t>-</w:t>
            </w:r>
          </w:p>
        </w:tc>
        <w:tc>
          <w:tcPr>
            <w:tcW w:w="902" w:type="dxa"/>
          </w:tcPr>
          <w:p>
            <w:pPr>
              <w:pStyle w:val="TableParagraph"/>
              <w:spacing w:line="210" w:lineRule="exact"/>
              <w:ind w:left="20" w:right="10"/>
              <w:jc w:val="center"/>
              <w:rPr>
                <w:sz w:val="20"/>
              </w:rPr>
            </w:pPr>
            <w:r>
              <w:rPr>
                <w:spacing w:val="-10"/>
                <w:sz w:val="20"/>
              </w:rPr>
              <w:t>-</w:t>
            </w:r>
          </w:p>
        </w:tc>
        <w:tc>
          <w:tcPr>
            <w:tcW w:w="684" w:type="dxa"/>
          </w:tcPr>
          <w:p>
            <w:pPr>
              <w:pStyle w:val="TableParagraph"/>
              <w:spacing w:line="210" w:lineRule="exact"/>
              <w:ind w:left="68" w:right="12"/>
              <w:jc w:val="center"/>
              <w:rPr>
                <w:sz w:val="20"/>
              </w:rPr>
            </w:pPr>
            <w:r>
              <w:rPr>
                <w:spacing w:val="-10"/>
                <w:sz w:val="20"/>
              </w:rPr>
              <w:t>-</w:t>
            </w:r>
          </w:p>
        </w:tc>
        <w:tc>
          <w:tcPr>
            <w:tcW w:w="799" w:type="dxa"/>
          </w:tcPr>
          <w:p>
            <w:pPr>
              <w:pStyle w:val="TableParagraph"/>
              <w:spacing w:line="210" w:lineRule="exact"/>
              <w:ind w:left="23" w:right="10"/>
              <w:jc w:val="center"/>
              <w:rPr>
                <w:sz w:val="20"/>
              </w:rPr>
            </w:pPr>
            <w:r>
              <w:rPr>
                <w:spacing w:val="-10"/>
                <w:sz w:val="20"/>
              </w:rPr>
              <w:t>-</w:t>
            </w:r>
          </w:p>
        </w:tc>
        <w:tc>
          <w:tcPr>
            <w:tcW w:w="626" w:type="dxa"/>
          </w:tcPr>
          <w:p>
            <w:pPr>
              <w:pStyle w:val="TableParagraph"/>
              <w:spacing w:line="210" w:lineRule="exact"/>
              <w:ind w:left="20" w:right="12"/>
              <w:jc w:val="center"/>
              <w:rPr>
                <w:sz w:val="20"/>
              </w:rPr>
            </w:pPr>
            <w:r>
              <w:rPr>
                <w:spacing w:val="-10"/>
                <w:sz w:val="20"/>
              </w:rPr>
              <w:t>-</w:t>
            </w:r>
          </w:p>
        </w:tc>
        <w:tc>
          <w:tcPr>
            <w:tcW w:w="770" w:type="dxa"/>
          </w:tcPr>
          <w:p>
            <w:pPr>
              <w:pStyle w:val="TableParagraph"/>
              <w:spacing w:line="210" w:lineRule="exact"/>
              <w:ind w:left="42" w:right="9"/>
              <w:jc w:val="center"/>
              <w:rPr>
                <w:sz w:val="20"/>
              </w:rPr>
            </w:pPr>
            <w:r>
              <w:rPr>
                <w:spacing w:val="-10"/>
                <w:sz w:val="20"/>
              </w:rPr>
              <w:t>-</w:t>
            </w:r>
          </w:p>
        </w:tc>
        <w:tc>
          <w:tcPr>
            <w:tcW w:w="691" w:type="dxa"/>
          </w:tcPr>
          <w:p>
            <w:pPr>
              <w:pStyle w:val="TableParagraph"/>
              <w:spacing w:line="210" w:lineRule="exact"/>
              <w:ind w:left="22" w:right="3"/>
              <w:jc w:val="center"/>
              <w:rPr>
                <w:sz w:val="20"/>
              </w:rPr>
            </w:pPr>
            <w:r>
              <w:rPr>
                <w:spacing w:val="-10"/>
                <w:sz w:val="20"/>
              </w:rPr>
              <w:t>2</w:t>
            </w:r>
          </w:p>
        </w:tc>
        <w:tc>
          <w:tcPr>
            <w:tcW w:w="738" w:type="dxa"/>
            <w:tcBorders>
              <w:right w:val="single" w:sz="4" w:space="0" w:color="000000"/>
            </w:tcBorders>
          </w:tcPr>
          <w:p>
            <w:pPr>
              <w:pStyle w:val="TableParagraph"/>
              <w:spacing w:line="210" w:lineRule="exact"/>
              <w:ind w:left="53" w:right="23"/>
              <w:jc w:val="center"/>
              <w:rPr>
                <w:sz w:val="20"/>
              </w:rPr>
            </w:pPr>
            <w:r>
              <w:rPr>
                <w:spacing w:val="-5"/>
                <w:sz w:val="20"/>
              </w:rPr>
              <w:t>0.4</w:t>
            </w:r>
          </w:p>
        </w:tc>
      </w:tr>
      <w:tr>
        <w:trPr>
          <w:trHeight w:val="230" w:hRule="atLeast"/>
        </w:trPr>
        <w:tc>
          <w:tcPr>
            <w:tcW w:w="4146" w:type="dxa"/>
            <w:tcBorders>
              <w:left w:val="single" w:sz="4" w:space="0" w:color="000000"/>
            </w:tcBorders>
          </w:tcPr>
          <w:p>
            <w:pPr>
              <w:pStyle w:val="TableParagraph"/>
              <w:spacing w:line="210" w:lineRule="exact"/>
              <w:ind w:right="99"/>
              <w:jc w:val="right"/>
              <w:rPr>
                <w:sz w:val="20"/>
              </w:rPr>
            </w:pPr>
            <w:r>
              <w:rPr>
                <w:sz w:val="20"/>
              </w:rPr>
              <w:t>management</w:t>
            </w:r>
            <w:r>
              <w:rPr>
                <w:spacing w:val="8"/>
                <w:sz w:val="20"/>
              </w:rPr>
              <w:t> </w:t>
            </w:r>
            <w:r>
              <w:rPr>
                <w:sz w:val="20"/>
              </w:rPr>
              <w:t>committee</w:t>
            </w:r>
            <w:r>
              <w:rPr>
                <w:spacing w:val="5"/>
                <w:sz w:val="20"/>
              </w:rPr>
              <w:t> </w:t>
            </w:r>
            <w:r>
              <w:rPr>
                <w:sz w:val="20"/>
              </w:rPr>
              <w:t>are</w:t>
            </w:r>
            <w:r>
              <w:rPr>
                <w:spacing w:val="6"/>
                <w:sz w:val="20"/>
              </w:rPr>
              <w:t> </w:t>
            </w:r>
            <w:r>
              <w:rPr>
                <w:spacing w:val="-4"/>
                <w:sz w:val="20"/>
              </w:rPr>
              <w:t>among</w:t>
            </w:r>
          </w:p>
        </w:tc>
        <w:tc>
          <w:tcPr>
            <w:tcW w:w="1796" w:type="dxa"/>
          </w:tcPr>
          <w:p>
            <w:pPr>
              <w:pStyle w:val="TableParagraph"/>
              <w:spacing w:line="210" w:lineRule="exact"/>
              <w:ind w:left="111"/>
              <w:rPr>
                <w:sz w:val="20"/>
              </w:rPr>
            </w:pPr>
            <w:r>
              <w:rPr>
                <w:spacing w:val="-2"/>
                <w:sz w:val="20"/>
              </w:rPr>
              <w:t>Students</w:t>
            </w:r>
          </w:p>
        </w:tc>
        <w:tc>
          <w:tcPr>
            <w:tcW w:w="707" w:type="dxa"/>
          </w:tcPr>
          <w:p>
            <w:pPr>
              <w:pStyle w:val="TableParagraph"/>
              <w:spacing w:line="210" w:lineRule="exact"/>
              <w:ind w:left="64" w:right="39"/>
              <w:jc w:val="center"/>
              <w:rPr>
                <w:sz w:val="20"/>
              </w:rPr>
            </w:pPr>
            <w:r>
              <w:rPr>
                <w:spacing w:val="-5"/>
                <w:sz w:val="20"/>
              </w:rPr>
              <w:t>32</w:t>
            </w:r>
          </w:p>
        </w:tc>
        <w:tc>
          <w:tcPr>
            <w:tcW w:w="749" w:type="dxa"/>
          </w:tcPr>
          <w:p>
            <w:pPr>
              <w:pStyle w:val="TableParagraph"/>
              <w:spacing w:line="210" w:lineRule="exact"/>
              <w:ind w:left="14"/>
              <w:jc w:val="center"/>
              <w:rPr>
                <w:sz w:val="20"/>
              </w:rPr>
            </w:pPr>
            <w:r>
              <w:rPr>
                <w:spacing w:val="-4"/>
                <w:sz w:val="20"/>
              </w:rPr>
              <w:t>13.6</w:t>
            </w:r>
          </w:p>
        </w:tc>
        <w:tc>
          <w:tcPr>
            <w:tcW w:w="691" w:type="dxa"/>
          </w:tcPr>
          <w:p>
            <w:pPr>
              <w:pStyle w:val="TableParagraph"/>
              <w:spacing w:line="210" w:lineRule="exact"/>
              <w:ind w:left="22" w:right="18"/>
              <w:jc w:val="center"/>
              <w:rPr>
                <w:sz w:val="20"/>
              </w:rPr>
            </w:pPr>
            <w:r>
              <w:rPr>
                <w:spacing w:val="-5"/>
                <w:sz w:val="20"/>
              </w:rPr>
              <w:t>128</w:t>
            </w:r>
          </w:p>
        </w:tc>
        <w:tc>
          <w:tcPr>
            <w:tcW w:w="777" w:type="dxa"/>
          </w:tcPr>
          <w:p>
            <w:pPr>
              <w:pStyle w:val="TableParagraph"/>
              <w:spacing w:line="210" w:lineRule="exact"/>
              <w:ind w:left="17" w:right="28"/>
              <w:jc w:val="center"/>
              <w:rPr>
                <w:sz w:val="20"/>
              </w:rPr>
            </w:pPr>
            <w:r>
              <w:rPr>
                <w:spacing w:val="-4"/>
                <w:sz w:val="20"/>
              </w:rPr>
              <w:t>54.5</w:t>
            </w:r>
          </w:p>
        </w:tc>
        <w:tc>
          <w:tcPr>
            <w:tcW w:w="686" w:type="dxa"/>
          </w:tcPr>
          <w:p>
            <w:pPr>
              <w:pStyle w:val="TableParagraph"/>
              <w:spacing w:line="210" w:lineRule="exact"/>
              <w:ind w:left="13" w:right="52"/>
              <w:jc w:val="center"/>
              <w:rPr>
                <w:sz w:val="20"/>
              </w:rPr>
            </w:pPr>
            <w:r>
              <w:rPr>
                <w:spacing w:val="-5"/>
                <w:sz w:val="20"/>
              </w:rPr>
              <w:t>58</w:t>
            </w:r>
          </w:p>
        </w:tc>
        <w:tc>
          <w:tcPr>
            <w:tcW w:w="902" w:type="dxa"/>
          </w:tcPr>
          <w:p>
            <w:pPr>
              <w:pStyle w:val="TableParagraph"/>
              <w:spacing w:line="210" w:lineRule="exact"/>
              <w:ind w:left="20" w:right="4"/>
              <w:jc w:val="center"/>
              <w:rPr>
                <w:sz w:val="20"/>
              </w:rPr>
            </w:pPr>
            <w:r>
              <w:rPr>
                <w:spacing w:val="-4"/>
                <w:sz w:val="20"/>
              </w:rPr>
              <w:t>24.7</w:t>
            </w:r>
          </w:p>
        </w:tc>
        <w:tc>
          <w:tcPr>
            <w:tcW w:w="684" w:type="dxa"/>
          </w:tcPr>
          <w:p>
            <w:pPr>
              <w:pStyle w:val="TableParagraph"/>
              <w:spacing w:line="210" w:lineRule="exact"/>
              <w:ind w:left="68" w:right="10"/>
              <w:jc w:val="center"/>
              <w:rPr>
                <w:sz w:val="20"/>
              </w:rPr>
            </w:pPr>
            <w:r>
              <w:rPr>
                <w:spacing w:val="-5"/>
                <w:sz w:val="20"/>
              </w:rPr>
              <w:t>15</w:t>
            </w:r>
          </w:p>
        </w:tc>
        <w:tc>
          <w:tcPr>
            <w:tcW w:w="799" w:type="dxa"/>
          </w:tcPr>
          <w:p>
            <w:pPr>
              <w:pStyle w:val="TableParagraph"/>
              <w:spacing w:line="210" w:lineRule="exact"/>
              <w:ind w:left="23" w:right="9"/>
              <w:jc w:val="center"/>
              <w:rPr>
                <w:sz w:val="20"/>
              </w:rPr>
            </w:pPr>
            <w:r>
              <w:rPr>
                <w:spacing w:val="-5"/>
                <w:sz w:val="20"/>
              </w:rPr>
              <w:t>6.4</w:t>
            </w:r>
          </w:p>
        </w:tc>
        <w:tc>
          <w:tcPr>
            <w:tcW w:w="626" w:type="dxa"/>
          </w:tcPr>
          <w:p>
            <w:pPr>
              <w:pStyle w:val="TableParagraph"/>
              <w:spacing w:line="210" w:lineRule="exact"/>
              <w:ind w:left="20" w:right="5"/>
              <w:jc w:val="center"/>
              <w:rPr>
                <w:sz w:val="20"/>
              </w:rPr>
            </w:pPr>
            <w:r>
              <w:rPr>
                <w:spacing w:val="-10"/>
                <w:sz w:val="20"/>
              </w:rPr>
              <w:t>2</w:t>
            </w:r>
          </w:p>
        </w:tc>
        <w:tc>
          <w:tcPr>
            <w:tcW w:w="770" w:type="dxa"/>
          </w:tcPr>
          <w:p>
            <w:pPr>
              <w:pStyle w:val="TableParagraph"/>
              <w:spacing w:line="210" w:lineRule="exact"/>
              <w:ind w:left="42" w:right="7"/>
              <w:jc w:val="center"/>
              <w:rPr>
                <w:sz w:val="20"/>
              </w:rPr>
            </w:pPr>
            <w:r>
              <w:rPr>
                <w:spacing w:val="-5"/>
                <w:sz w:val="20"/>
              </w:rPr>
              <w:t>0.9</w:t>
            </w:r>
          </w:p>
        </w:tc>
        <w:tc>
          <w:tcPr>
            <w:tcW w:w="691" w:type="dxa"/>
          </w:tcPr>
          <w:p>
            <w:pPr>
              <w:pStyle w:val="TableParagraph"/>
              <w:spacing w:line="210" w:lineRule="exact"/>
              <w:ind w:left="22" w:right="13"/>
              <w:jc w:val="center"/>
              <w:rPr>
                <w:sz w:val="20"/>
              </w:rPr>
            </w:pPr>
            <w:r>
              <w:rPr>
                <w:spacing w:val="-5"/>
                <w:sz w:val="20"/>
              </w:rPr>
              <w:t>235</w:t>
            </w:r>
          </w:p>
        </w:tc>
        <w:tc>
          <w:tcPr>
            <w:tcW w:w="738" w:type="dxa"/>
            <w:tcBorders>
              <w:right w:val="single" w:sz="4" w:space="0" w:color="000000"/>
            </w:tcBorders>
          </w:tcPr>
          <w:p>
            <w:pPr>
              <w:pStyle w:val="TableParagraph"/>
              <w:spacing w:line="210" w:lineRule="exact"/>
              <w:ind w:left="53" w:right="18"/>
              <w:jc w:val="center"/>
              <w:rPr>
                <w:sz w:val="20"/>
              </w:rPr>
            </w:pPr>
            <w:r>
              <w:rPr>
                <w:spacing w:val="-4"/>
                <w:sz w:val="20"/>
              </w:rPr>
              <w:t>50.8</w:t>
            </w:r>
          </w:p>
        </w:tc>
      </w:tr>
      <w:tr>
        <w:trPr>
          <w:trHeight w:val="235" w:hRule="atLeast"/>
        </w:trPr>
        <w:tc>
          <w:tcPr>
            <w:tcW w:w="4146" w:type="dxa"/>
            <w:tcBorders>
              <w:left w:val="single" w:sz="4" w:space="0" w:color="000000"/>
            </w:tcBorders>
          </w:tcPr>
          <w:p>
            <w:pPr>
              <w:pStyle w:val="TableParagraph"/>
              <w:spacing w:line="215" w:lineRule="exact"/>
              <w:ind w:right="99"/>
              <w:jc w:val="right"/>
              <w:rPr>
                <w:sz w:val="20"/>
              </w:rPr>
            </w:pPr>
            <w:r>
              <w:rPr>
                <w:sz w:val="20"/>
              </w:rPr>
              <w:t>mechanisms</w:t>
            </w:r>
            <w:r>
              <w:rPr>
                <w:spacing w:val="60"/>
                <w:w w:val="150"/>
                <w:sz w:val="20"/>
              </w:rPr>
              <w:t> </w:t>
            </w:r>
            <w:r>
              <w:rPr>
                <w:sz w:val="20"/>
              </w:rPr>
              <w:t>deviced</w:t>
            </w:r>
            <w:r>
              <w:rPr>
                <w:spacing w:val="63"/>
                <w:w w:val="150"/>
                <w:sz w:val="20"/>
              </w:rPr>
              <w:t> </w:t>
            </w:r>
            <w:r>
              <w:rPr>
                <w:sz w:val="20"/>
              </w:rPr>
              <w:t>to</w:t>
            </w:r>
            <w:r>
              <w:rPr>
                <w:spacing w:val="63"/>
                <w:w w:val="150"/>
                <w:sz w:val="20"/>
              </w:rPr>
              <w:t> </w:t>
            </w:r>
            <w:r>
              <w:rPr>
                <w:spacing w:val="-2"/>
                <w:sz w:val="20"/>
              </w:rPr>
              <w:t>enhance</w:t>
            </w:r>
          </w:p>
        </w:tc>
        <w:tc>
          <w:tcPr>
            <w:tcW w:w="1796" w:type="dxa"/>
          </w:tcPr>
          <w:p>
            <w:pPr>
              <w:pStyle w:val="TableParagraph"/>
              <w:spacing w:line="208" w:lineRule="exact" w:before="7"/>
              <w:ind w:left="111"/>
              <w:rPr>
                <w:sz w:val="20"/>
              </w:rPr>
            </w:pPr>
            <w:r>
              <w:rPr>
                <w:sz w:val="20"/>
              </w:rPr>
              <w:t>Service</w:t>
            </w:r>
            <w:r>
              <w:rPr>
                <w:spacing w:val="-9"/>
                <w:sz w:val="20"/>
              </w:rPr>
              <w:t> </w:t>
            </w:r>
            <w:r>
              <w:rPr>
                <w:spacing w:val="-2"/>
                <w:sz w:val="20"/>
              </w:rPr>
              <w:t>Staff</w:t>
            </w:r>
          </w:p>
        </w:tc>
        <w:tc>
          <w:tcPr>
            <w:tcW w:w="707" w:type="dxa"/>
          </w:tcPr>
          <w:p>
            <w:pPr>
              <w:pStyle w:val="TableParagraph"/>
              <w:spacing w:line="208" w:lineRule="exact" w:before="7"/>
              <w:ind w:left="64" w:right="39"/>
              <w:jc w:val="center"/>
              <w:rPr>
                <w:sz w:val="20"/>
              </w:rPr>
            </w:pPr>
            <w:r>
              <w:rPr>
                <w:spacing w:val="-5"/>
                <w:sz w:val="20"/>
              </w:rPr>
              <w:t>28</w:t>
            </w:r>
          </w:p>
        </w:tc>
        <w:tc>
          <w:tcPr>
            <w:tcW w:w="749" w:type="dxa"/>
          </w:tcPr>
          <w:p>
            <w:pPr>
              <w:pStyle w:val="TableParagraph"/>
              <w:spacing w:line="208" w:lineRule="exact" w:before="7"/>
              <w:ind w:left="14"/>
              <w:jc w:val="center"/>
              <w:rPr>
                <w:sz w:val="20"/>
              </w:rPr>
            </w:pPr>
            <w:r>
              <w:rPr>
                <w:spacing w:val="-4"/>
                <w:sz w:val="20"/>
              </w:rPr>
              <w:t>13.8</w:t>
            </w:r>
          </w:p>
        </w:tc>
        <w:tc>
          <w:tcPr>
            <w:tcW w:w="691" w:type="dxa"/>
          </w:tcPr>
          <w:p>
            <w:pPr>
              <w:pStyle w:val="TableParagraph"/>
              <w:spacing w:line="208" w:lineRule="exact" w:before="7"/>
              <w:ind w:left="22" w:right="18"/>
              <w:jc w:val="center"/>
              <w:rPr>
                <w:sz w:val="20"/>
              </w:rPr>
            </w:pPr>
            <w:r>
              <w:rPr>
                <w:spacing w:val="-5"/>
                <w:sz w:val="20"/>
              </w:rPr>
              <w:t>127</w:t>
            </w:r>
          </w:p>
        </w:tc>
        <w:tc>
          <w:tcPr>
            <w:tcW w:w="777" w:type="dxa"/>
          </w:tcPr>
          <w:p>
            <w:pPr>
              <w:pStyle w:val="TableParagraph"/>
              <w:spacing w:line="208" w:lineRule="exact" w:before="7"/>
              <w:ind w:left="17" w:right="28"/>
              <w:jc w:val="center"/>
              <w:rPr>
                <w:sz w:val="20"/>
              </w:rPr>
            </w:pPr>
            <w:r>
              <w:rPr>
                <w:spacing w:val="-4"/>
                <w:sz w:val="20"/>
              </w:rPr>
              <w:t>62.6</w:t>
            </w:r>
          </w:p>
        </w:tc>
        <w:tc>
          <w:tcPr>
            <w:tcW w:w="686" w:type="dxa"/>
          </w:tcPr>
          <w:p>
            <w:pPr>
              <w:pStyle w:val="TableParagraph"/>
              <w:spacing w:line="208" w:lineRule="exact" w:before="7"/>
              <w:ind w:left="13" w:right="52"/>
              <w:jc w:val="center"/>
              <w:rPr>
                <w:sz w:val="20"/>
              </w:rPr>
            </w:pPr>
            <w:r>
              <w:rPr>
                <w:spacing w:val="-5"/>
                <w:sz w:val="20"/>
              </w:rPr>
              <w:t>28</w:t>
            </w:r>
          </w:p>
        </w:tc>
        <w:tc>
          <w:tcPr>
            <w:tcW w:w="902" w:type="dxa"/>
          </w:tcPr>
          <w:p>
            <w:pPr>
              <w:pStyle w:val="TableParagraph"/>
              <w:spacing w:line="208" w:lineRule="exact" w:before="7"/>
              <w:ind w:left="20" w:right="4"/>
              <w:jc w:val="center"/>
              <w:rPr>
                <w:sz w:val="20"/>
              </w:rPr>
            </w:pPr>
            <w:r>
              <w:rPr>
                <w:spacing w:val="-4"/>
                <w:sz w:val="20"/>
              </w:rPr>
              <w:t>13.8</w:t>
            </w:r>
          </w:p>
        </w:tc>
        <w:tc>
          <w:tcPr>
            <w:tcW w:w="684" w:type="dxa"/>
          </w:tcPr>
          <w:p>
            <w:pPr>
              <w:pStyle w:val="TableParagraph"/>
              <w:spacing w:line="208" w:lineRule="exact" w:before="7"/>
              <w:ind w:left="68" w:right="10"/>
              <w:jc w:val="center"/>
              <w:rPr>
                <w:sz w:val="20"/>
              </w:rPr>
            </w:pPr>
            <w:r>
              <w:rPr>
                <w:spacing w:val="-5"/>
                <w:sz w:val="20"/>
              </w:rPr>
              <w:t>18</w:t>
            </w:r>
          </w:p>
        </w:tc>
        <w:tc>
          <w:tcPr>
            <w:tcW w:w="799" w:type="dxa"/>
          </w:tcPr>
          <w:p>
            <w:pPr>
              <w:pStyle w:val="TableParagraph"/>
              <w:spacing w:line="208" w:lineRule="exact" w:before="7"/>
              <w:ind w:left="23" w:right="9"/>
              <w:jc w:val="center"/>
              <w:rPr>
                <w:sz w:val="20"/>
              </w:rPr>
            </w:pPr>
            <w:r>
              <w:rPr>
                <w:spacing w:val="-5"/>
                <w:sz w:val="20"/>
              </w:rPr>
              <w:t>8.9</w:t>
            </w:r>
          </w:p>
        </w:tc>
        <w:tc>
          <w:tcPr>
            <w:tcW w:w="626" w:type="dxa"/>
          </w:tcPr>
          <w:p>
            <w:pPr>
              <w:pStyle w:val="TableParagraph"/>
              <w:spacing w:line="208" w:lineRule="exact" w:before="7"/>
              <w:ind w:left="20" w:right="5"/>
              <w:jc w:val="center"/>
              <w:rPr>
                <w:sz w:val="20"/>
              </w:rPr>
            </w:pPr>
            <w:r>
              <w:rPr>
                <w:spacing w:val="-10"/>
                <w:sz w:val="20"/>
              </w:rPr>
              <w:t>2</w:t>
            </w:r>
          </w:p>
        </w:tc>
        <w:tc>
          <w:tcPr>
            <w:tcW w:w="770" w:type="dxa"/>
          </w:tcPr>
          <w:p>
            <w:pPr>
              <w:pStyle w:val="TableParagraph"/>
              <w:spacing w:line="208" w:lineRule="exact" w:before="7"/>
              <w:ind w:left="42" w:right="7"/>
              <w:jc w:val="center"/>
              <w:rPr>
                <w:sz w:val="20"/>
              </w:rPr>
            </w:pPr>
            <w:r>
              <w:rPr>
                <w:spacing w:val="-5"/>
                <w:sz w:val="20"/>
              </w:rPr>
              <w:t>1.0</w:t>
            </w:r>
          </w:p>
        </w:tc>
        <w:tc>
          <w:tcPr>
            <w:tcW w:w="691" w:type="dxa"/>
          </w:tcPr>
          <w:p>
            <w:pPr>
              <w:pStyle w:val="TableParagraph"/>
              <w:spacing w:line="208" w:lineRule="exact" w:before="7"/>
              <w:ind w:left="22" w:right="13"/>
              <w:jc w:val="center"/>
              <w:rPr>
                <w:sz w:val="20"/>
              </w:rPr>
            </w:pPr>
            <w:r>
              <w:rPr>
                <w:spacing w:val="-5"/>
                <w:sz w:val="20"/>
              </w:rPr>
              <w:t>203</w:t>
            </w:r>
          </w:p>
        </w:tc>
        <w:tc>
          <w:tcPr>
            <w:tcW w:w="738" w:type="dxa"/>
            <w:tcBorders>
              <w:right w:val="single" w:sz="4" w:space="0" w:color="000000"/>
            </w:tcBorders>
          </w:tcPr>
          <w:p>
            <w:pPr>
              <w:pStyle w:val="TableParagraph"/>
              <w:spacing w:line="208" w:lineRule="exact" w:before="7"/>
              <w:ind w:left="53" w:right="18"/>
              <w:jc w:val="center"/>
              <w:rPr>
                <w:sz w:val="20"/>
              </w:rPr>
            </w:pPr>
            <w:r>
              <w:rPr>
                <w:spacing w:val="-4"/>
                <w:sz w:val="20"/>
              </w:rPr>
              <w:t>43.8</w:t>
            </w:r>
          </w:p>
        </w:tc>
      </w:tr>
      <w:tr>
        <w:trPr>
          <w:trHeight w:val="237" w:hRule="atLeast"/>
        </w:trPr>
        <w:tc>
          <w:tcPr>
            <w:tcW w:w="4146" w:type="dxa"/>
            <w:tcBorders>
              <w:left w:val="single" w:sz="4" w:space="0" w:color="000000"/>
              <w:bottom w:val="single" w:sz="4" w:space="0" w:color="000000"/>
            </w:tcBorders>
          </w:tcPr>
          <w:p>
            <w:pPr>
              <w:pStyle w:val="TableParagraph"/>
              <w:spacing w:line="218" w:lineRule="exact"/>
              <w:ind w:left="830"/>
              <w:rPr>
                <w:sz w:val="20"/>
              </w:rPr>
            </w:pPr>
            <w:r>
              <w:rPr>
                <w:sz w:val="20"/>
              </w:rPr>
              <w:t>students’</w:t>
            </w:r>
            <w:r>
              <w:rPr>
                <w:spacing w:val="-8"/>
                <w:sz w:val="20"/>
              </w:rPr>
              <w:t> </w:t>
            </w:r>
            <w:r>
              <w:rPr>
                <w:sz w:val="20"/>
              </w:rPr>
              <w:t>welfare</w:t>
            </w:r>
            <w:r>
              <w:rPr>
                <w:spacing w:val="-12"/>
                <w:sz w:val="20"/>
              </w:rPr>
              <w:t> </w:t>
            </w:r>
            <w:r>
              <w:rPr>
                <w:spacing w:val="-2"/>
                <w:sz w:val="20"/>
              </w:rPr>
              <w:t>management.</w:t>
            </w:r>
          </w:p>
        </w:tc>
        <w:tc>
          <w:tcPr>
            <w:tcW w:w="1796" w:type="dxa"/>
            <w:tcBorders>
              <w:bottom w:val="single" w:sz="4" w:space="0" w:color="000000"/>
            </w:tcBorders>
          </w:tcPr>
          <w:p>
            <w:pPr>
              <w:pStyle w:val="TableParagraph"/>
              <w:spacing w:line="215" w:lineRule="exact" w:before="2"/>
              <w:ind w:left="111"/>
              <w:rPr>
                <w:sz w:val="20"/>
              </w:rPr>
            </w:pPr>
            <w:r>
              <w:rPr>
                <w:sz w:val="20"/>
              </w:rPr>
              <w:t>Top</w:t>
            </w:r>
            <w:r>
              <w:rPr>
                <w:spacing w:val="-1"/>
                <w:sz w:val="20"/>
              </w:rPr>
              <w:t> </w:t>
            </w:r>
            <w:r>
              <w:rPr>
                <w:spacing w:val="-2"/>
                <w:sz w:val="20"/>
              </w:rPr>
              <w:t>Management</w:t>
            </w:r>
          </w:p>
        </w:tc>
        <w:tc>
          <w:tcPr>
            <w:tcW w:w="707" w:type="dxa"/>
            <w:tcBorders>
              <w:bottom w:val="single" w:sz="4" w:space="0" w:color="000000"/>
            </w:tcBorders>
          </w:tcPr>
          <w:p>
            <w:pPr>
              <w:pStyle w:val="TableParagraph"/>
              <w:spacing w:line="215" w:lineRule="exact" w:before="2"/>
              <w:ind w:left="64" w:right="34"/>
              <w:jc w:val="center"/>
              <w:rPr>
                <w:sz w:val="20"/>
              </w:rPr>
            </w:pPr>
            <w:r>
              <w:rPr>
                <w:spacing w:val="-10"/>
                <w:sz w:val="20"/>
              </w:rPr>
              <w:t>4</w:t>
            </w:r>
          </w:p>
        </w:tc>
        <w:tc>
          <w:tcPr>
            <w:tcW w:w="749" w:type="dxa"/>
            <w:tcBorders>
              <w:bottom w:val="single" w:sz="4" w:space="0" w:color="000000"/>
            </w:tcBorders>
          </w:tcPr>
          <w:p>
            <w:pPr>
              <w:pStyle w:val="TableParagraph"/>
              <w:spacing w:line="215" w:lineRule="exact" w:before="2"/>
              <w:ind w:left="14"/>
              <w:jc w:val="center"/>
              <w:rPr>
                <w:sz w:val="20"/>
              </w:rPr>
            </w:pPr>
            <w:r>
              <w:rPr>
                <w:spacing w:val="-4"/>
                <w:sz w:val="20"/>
              </w:rPr>
              <w:t>17.4</w:t>
            </w:r>
          </w:p>
        </w:tc>
        <w:tc>
          <w:tcPr>
            <w:tcW w:w="691" w:type="dxa"/>
            <w:tcBorders>
              <w:bottom w:val="single" w:sz="4" w:space="0" w:color="000000"/>
            </w:tcBorders>
          </w:tcPr>
          <w:p>
            <w:pPr>
              <w:pStyle w:val="TableParagraph"/>
              <w:spacing w:line="215" w:lineRule="exact" w:before="2"/>
              <w:ind w:left="22" w:right="13"/>
              <w:jc w:val="center"/>
              <w:rPr>
                <w:sz w:val="20"/>
              </w:rPr>
            </w:pPr>
            <w:r>
              <w:rPr>
                <w:spacing w:val="-5"/>
                <w:sz w:val="20"/>
              </w:rPr>
              <w:t>15</w:t>
            </w:r>
          </w:p>
        </w:tc>
        <w:tc>
          <w:tcPr>
            <w:tcW w:w="777" w:type="dxa"/>
            <w:tcBorders>
              <w:bottom w:val="single" w:sz="4" w:space="0" w:color="000000"/>
            </w:tcBorders>
          </w:tcPr>
          <w:p>
            <w:pPr>
              <w:pStyle w:val="TableParagraph"/>
              <w:spacing w:line="215" w:lineRule="exact" w:before="2"/>
              <w:ind w:left="17" w:right="28"/>
              <w:jc w:val="center"/>
              <w:rPr>
                <w:sz w:val="20"/>
              </w:rPr>
            </w:pPr>
            <w:r>
              <w:rPr>
                <w:spacing w:val="-4"/>
                <w:sz w:val="20"/>
              </w:rPr>
              <w:t>65.2</w:t>
            </w:r>
          </w:p>
        </w:tc>
        <w:tc>
          <w:tcPr>
            <w:tcW w:w="686" w:type="dxa"/>
            <w:tcBorders>
              <w:bottom w:val="single" w:sz="4" w:space="0" w:color="000000"/>
            </w:tcBorders>
          </w:tcPr>
          <w:p>
            <w:pPr>
              <w:pStyle w:val="TableParagraph"/>
              <w:spacing w:line="215" w:lineRule="exact" w:before="2"/>
              <w:ind w:left="18" w:right="52"/>
              <w:jc w:val="center"/>
              <w:rPr>
                <w:sz w:val="20"/>
              </w:rPr>
            </w:pPr>
            <w:r>
              <w:rPr>
                <w:spacing w:val="-10"/>
                <w:sz w:val="20"/>
              </w:rPr>
              <w:t>3</w:t>
            </w:r>
          </w:p>
        </w:tc>
        <w:tc>
          <w:tcPr>
            <w:tcW w:w="902" w:type="dxa"/>
            <w:tcBorders>
              <w:bottom w:val="single" w:sz="4" w:space="0" w:color="000000"/>
            </w:tcBorders>
          </w:tcPr>
          <w:p>
            <w:pPr>
              <w:pStyle w:val="TableParagraph"/>
              <w:spacing w:line="215" w:lineRule="exact" w:before="2"/>
              <w:ind w:left="20" w:right="4"/>
              <w:jc w:val="center"/>
              <w:rPr>
                <w:sz w:val="20"/>
              </w:rPr>
            </w:pPr>
            <w:r>
              <w:rPr>
                <w:spacing w:val="-4"/>
                <w:sz w:val="20"/>
              </w:rPr>
              <w:t>13.0</w:t>
            </w:r>
          </w:p>
        </w:tc>
        <w:tc>
          <w:tcPr>
            <w:tcW w:w="684" w:type="dxa"/>
            <w:tcBorders>
              <w:bottom w:val="single" w:sz="4" w:space="0" w:color="000000"/>
            </w:tcBorders>
          </w:tcPr>
          <w:p>
            <w:pPr>
              <w:pStyle w:val="TableParagraph"/>
              <w:spacing w:line="215" w:lineRule="exact" w:before="2"/>
              <w:ind w:left="68" w:right="6"/>
              <w:jc w:val="center"/>
              <w:rPr>
                <w:sz w:val="20"/>
              </w:rPr>
            </w:pPr>
            <w:r>
              <w:rPr>
                <w:spacing w:val="-10"/>
                <w:sz w:val="20"/>
              </w:rPr>
              <w:t>1</w:t>
            </w:r>
          </w:p>
        </w:tc>
        <w:tc>
          <w:tcPr>
            <w:tcW w:w="799" w:type="dxa"/>
            <w:tcBorders>
              <w:bottom w:val="single" w:sz="4" w:space="0" w:color="000000"/>
            </w:tcBorders>
          </w:tcPr>
          <w:p>
            <w:pPr>
              <w:pStyle w:val="TableParagraph"/>
              <w:spacing w:line="215" w:lineRule="exact" w:before="2"/>
              <w:ind w:left="23" w:right="9"/>
              <w:jc w:val="center"/>
              <w:rPr>
                <w:sz w:val="20"/>
              </w:rPr>
            </w:pPr>
            <w:r>
              <w:rPr>
                <w:spacing w:val="-5"/>
                <w:sz w:val="20"/>
              </w:rPr>
              <w:t>4.3</w:t>
            </w:r>
          </w:p>
        </w:tc>
        <w:tc>
          <w:tcPr>
            <w:tcW w:w="626" w:type="dxa"/>
            <w:tcBorders>
              <w:bottom w:val="single" w:sz="4" w:space="0" w:color="000000"/>
            </w:tcBorders>
          </w:tcPr>
          <w:p>
            <w:pPr>
              <w:pStyle w:val="TableParagraph"/>
              <w:spacing w:line="215" w:lineRule="exact" w:before="2"/>
              <w:ind w:left="20" w:right="12"/>
              <w:jc w:val="center"/>
              <w:rPr>
                <w:sz w:val="20"/>
              </w:rPr>
            </w:pPr>
            <w:r>
              <w:rPr>
                <w:spacing w:val="-10"/>
                <w:sz w:val="20"/>
              </w:rPr>
              <w:t>-</w:t>
            </w:r>
          </w:p>
        </w:tc>
        <w:tc>
          <w:tcPr>
            <w:tcW w:w="770" w:type="dxa"/>
            <w:tcBorders>
              <w:bottom w:val="single" w:sz="4" w:space="0" w:color="000000"/>
            </w:tcBorders>
          </w:tcPr>
          <w:p>
            <w:pPr>
              <w:pStyle w:val="TableParagraph"/>
              <w:spacing w:line="215" w:lineRule="exact" w:before="2"/>
              <w:ind w:left="42" w:right="9"/>
              <w:jc w:val="center"/>
              <w:rPr>
                <w:sz w:val="20"/>
              </w:rPr>
            </w:pPr>
            <w:r>
              <w:rPr>
                <w:spacing w:val="-10"/>
                <w:sz w:val="20"/>
              </w:rPr>
              <w:t>-</w:t>
            </w:r>
          </w:p>
        </w:tc>
        <w:tc>
          <w:tcPr>
            <w:tcW w:w="691" w:type="dxa"/>
            <w:tcBorders>
              <w:bottom w:val="single" w:sz="4" w:space="0" w:color="000000"/>
            </w:tcBorders>
          </w:tcPr>
          <w:p>
            <w:pPr>
              <w:pStyle w:val="TableParagraph"/>
              <w:spacing w:line="215" w:lineRule="exact" w:before="2"/>
              <w:ind w:left="22" w:right="8"/>
              <w:jc w:val="center"/>
              <w:rPr>
                <w:sz w:val="20"/>
              </w:rPr>
            </w:pPr>
            <w:r>
              <w:rPr>
                <w:spacing w:val="-5"/>
                <w:sz w:val="20"/>
              </w:rPr>
              <w:t>23</w:t>
            </w:r>
          </w:p>
        </w:tc>
        <w:tc>
          <w:tcPr>
            <w:tcW w:w="738" w:type="dxa"/>
            <w:tcBorders>
              <w:bottom w:val="single" w:sz="4" w:space="0" w:color="000000"/>
              <w:right w:val="single" w:sz="4" w:space="0" w:color="000000"/>
            </w:tcBorders>
          </w:tcPr>
          <w:p>
            <w:pPr>
              <w:pStyle w:val="TableParagraph"/>
              <w:spacing w:line="215" w:lineRule="exact" w:before="2"/>
              <w:ind w:left="53" w:right="23"/>
              <w:jc w:val="center"/>
              <w:rPr>
                <w:sz w:val="20"/>
              </w:rPr>
            </w:pPr>
            <w:r>
              <w:rPr>
                <w:spacing w:val="-5"/>
                <w:sz w:val="20"/>
              </w:rPr>
              <w:t>5.0</w:t>
            </w:r>
          </w:p>
        </w:tc>
      </w:tr>
    </w:tbl>
    <w:p>
      <w:pPr>
        <w:spacing w:after="0" w:line="215" w:lineRule="exact"/>
        <w:jc w:val="center"/>
        <w:rPr>
          <w:sz w:val="20"/>
        </w:rPr>
        <w:sectPr>
          <w:headerReference w:type="default" r:id="rId399"/>
          <w:footerReference w:type="default" r:id="rId400"/>
          <w:pgSz w:w="15840" w:h="12240" w:orient="landscape"/>
          <w:pgMar w:header="722" w:footer="791" w:top="1340" w:bottom="980" w:left="500" w:right="360"/>
        </w:sectPr>
      </w:pPr>
    </w:p>
    <w:p>
      <w:pPr>
        <w:pStyle w:val="BodyText"/>
        <w:spacing w:before="131"/>
        <w:rPr>
          <w:rFonts w:ascii="Arial"/>
          <w:b/>
          <w:sz w:val="20"/>
        </w:rPr>
      </w:pPr>
    </w:p>
    <w:tbl>
      <w:tblPr>
        <w:tblW w:w="0" w:type="auto"/>
        <w:jc w:val="left"/>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46"/>
        <w:gridCol w:w="1796"/>
        <w:gridCol w:w="651"/>
        <w:gridCol w:w="830"/>
        <w:gridCol w:w="664"/>
        <w:gridCol w:w="777"/>
        <w:gridCol w:w="686"/>
        <w:gridCol w:w="902"/>
        <w:gridCol w:w="710"/>
        <w:gridCol w:w="770"/>
        <w:gridCol w:w="632"/>
        <w:gridCol w:w="739"/>
        <w:gridCol w:w="721"/>
        <w:gridCol w:w="739"/>
      </w:tblGrid>
      <w:tr>
        <w:trPr>
          <w:trHeight w:val="278" w:hRule="atLeast"/>
        </w:trPr>
        <w:tc>
          <w:tcPr>
            <w:tcW w:w="4146" w:type="dxa"/>
            <w:vMerge w:val="restart"/>
            <w:tcBorders>
              <w:top w:val="single" w:sz="4" w:space="0" w:color="000000"/>
              <w:left w:val="single" w:sz="4" w:space="0" w:color="000000"/>
              <w:bottom w:val="single" w:sz="4" w:space="0" w:color="000000"/>
            </w:tcBorders>
          </w:tcPr>
          <w:p>
            <w:pPr>
              <w:pStyle w:val="TableParagraph"/>
              <w:rPr>
                <w:rFonts w:ascii="Arial"/>
                <w:b/>
                <w:sz w:val="20"/>
              </w:rPr>
            </w:pPr>
          </w:p>
          <w:p>
            <w:pPr>
              <w:pStyle w:val="TableParagraph"/>
              <w:spacing w:before="221"/>
              <w:rPr>
                <w:rFonts w:ascii="Arial"/>
                <w:b/>
                <w:sz w:val="20"/>
              </w:rPr>
            </w:pPr>
          </w:p>
          <w:p>
            <w:pPr>
              <w:pStyle w:val="TableParagraph"/>
              <w:tabs>
                <w:tab w:pos="830" w:val="left" w:leader="none"/>
              </w:tabs>
              <w:ind w:left="134"/>
              <w:rPr>
                <w:rFonts w:ascii="Arial"/>
                <w:b/>
                <w:sz w:val="20"/>
              </w:rPr>
            </w:pPr>
            <w:r>
              <w:rPr>
                <w:rFonts w:ascii="Arial"/>
                <w:b/>
                <w:spacing w:val="-4"/>
                <w:sz w:val="20"/>
              </w:rPr>
              <w:t>S/No</w:t>
            </w:r>
            <w:r>
              <w:rPr>
                <w:rFonts w:ascii="Arial"/>
                <w:b/>
                <w:sz w:val="20"/>
              </w:rPr>
              <w:tab/>
              <w:t>Item</w:t>
            </w:r>
            <w:r>
              <w:rPr>
                <w:rFonts w:ascii="Arial"/>
                <w:b/>
                <w:spacing w:val="-2"/>
                <w:sz w:val="20"/>
              </w:rPr>
              <w:t> Statements</w:t>
            </w:r>
          </w:p>
        </w:tc>
        <w:tc>
          <w:tcPr>
            <w:tcW w:w="1796" w:type="dxa"/>
            <w:vMerge w:val="restart"/>
            <w:tcBorders>
              <w:top w:val="single" w:sz="4" w:space="0" w:color="000000"/>
              <w:bottom w:val="single" w:sz="4" w:space="0" w:color="000000"/>
              <w:right w:val="single" w:sz="4" w:space="0" w:color="000000"/>
            </w:tcBorders>
          </w:tcPr>
          <w:p>
            <w:pPr>
              <w:pStyle w:val="TableParagraph"/>
              <w:spacing w:before="220"/>
              <w:rPr>
                <w:rFonts w:ascii="Arial"/>
                <w:b/>
                <w:sz w:val="20"/>
              </w:rPr>
            </w:pPr>
          </w:p>
          <w:p>
            <w:pPr>
              <w:pStyle w:val="TableParagraph"/>
              <w:ind w:left="111"/>
              <w:rPr>
                <w:rFonts w:ascii="Arial"/>
                <w:b/>
                <w:sz w:val="20"/>
              </w:rPr>
            </w:pPr>
            <w:r>
              <w:rPr>
                <w:rFonts w:ascii="Arial"/>
                <w:b/>
                <w:sz w:val="20"/>
              </w:rPr>
              <w:t>Category of </w:t>
            </w:r>
            <w:r>
              <w:rPr>
                <w:rFonts w:ascii="Arial"/>
                <w:b/>
                <w:spacing w:val="-2"/>
                <w:sz w:val="20"/>
              </w:rPr>
              <w:t>Respondents</w:t>
            </w:r>
          </w:p>
        </w:tc>
        <w:tc>
          <w:tcPr>
            <w:tcW w:w="8821" w:type="dxa"/>
            <w:gridSpan w:val="12"/>
            <w:tcBorders>
              <w:top w:val="single" w:sz="4" w:space="0" w:color="000000"/>
              <w:left w:val="single" w:sz="4" w:space="0" w:color="000000"/>
              <w:bottom w:val="single" w:sz="4" w:space="0" w:color="000000"/>
              <w:right w:val="single" w:sz="4" w:space="0" w:color="000000"/>
            </w:tcBorders>
          </w:tcPr>
          <w:p>
            <w:pPr>
              <w:pStyle w:val="TableParagraph"/>
              <w:spacing w:line="258" w:lineRule="exact"/>
              <w:ind w:right="1543"/>
              <w:jc w:val="center"/>
              <w:rPr>
                <w:rFonts w:ascii="Arial"/>
                <w:b/>
                <w:sz w:val="24"/>
              </w:rPr>
            </w:pPr>
            <w:r>
              <w:rPr>
                <w:rFonts w:ascii="Arial"/>
                <w:b/>
                <w:spacing w:val="-2"/>
                <w:sz w:val="24"/>
              </w:rPr>
              <w:t>Responses</w:t>
            </w:r>
          </w:p>
        </w:tc>
      </w:tr>
      <w:tr>
        <w:trPr>
          <w:trHeight w:val="460" w:hRule="atLeast"/>
        </w:trPr>
        <w:tc>
          <w:tcPr>
            <w:tcW w:w="4146" w:type="dxa"/>
            <w:vMerge/>
            <w:tcBorders>
              <w:top w:val="nil"/>
              <w:left w:val="single" w:sz="4" w:space="0" w:color="000000"/>
              <w:bottom w:val="single" w:sz="4" w:space="0" w:color="000000"/>
            </w:tcBorders>
          </w:tcPr>
          <w:p>
            <w:pPr>
              <w:rPr>
                <w:sz w:val="2"/>
                <w:szCs w:val="2"/>
              </w:rPr>
            </w:pPr>
          </w:p>
        </w:tc>
        <w:tc>
          <w:tcPr>
            <w:tcW w:w="1796" w:type="dxa"/>
            <w:vMerge/>
            <w:tcBorders>
              <w:top w:val="nil"/>
              <w:bottom w:val="single" w:sz="4" w:space="0" w:color="000000"/>
              <w:right w:val="single" w:sz="4" w:space="0" w:color="000000"/>
            </w:tcBorders>
          </w:tcPr>
          <w:p>
            <w:pPr>
              <w:rPr>
                <w:sz w:val="2"/>
                <w:szCs w:val="2"/>
              </w:rPr>
            </w:pPr>
          </w:p>
        </w:tc>
        <w:tc>
          <w:tcPr>
            <w:tcW w:w="8821" w:type="dxa"/>
            <w:gridSpan w:val="12"/>
            <w:tcBorders>
              <w:top w:val="single" w:sz="4" w:space="0" w:color="000000"/>
              <w:left w:val="single" w:sz="4" w:space="0" w:color="000000"/>
              <w:bottom w:val="single" w:sz="4" w:space="0" w:color="000000"/>
              <w:right w:val="single" w:sz="4" w:space="0" w:color="000000"/>
            </w:tcBorders>
          </w:tcPr>
          <w:p>
            <w:pPr>
              <w:pStyle w:val="TableParagraph"/>
              <w:tabs>
                <w:tab w:pos="1876" w:val="left" w:leader="none"/>
                <w:tab w:pos="3192" w:val="left" w:leader="none"/>
                <w:tab w:pos="4814" w:val="left" w:leader="none"/>
                <w:tab w:pos="6259" w:val="left" w:leader="none"/>
                <w:tab w:pos="7857" w:val="left" w:leader="none"/>
              </w:tabs>
              <w:spacing w:line="220" w:lineRule="exact"/>
              <w:ind w:left="312"/>
              <w:rPr>
                <w:rFonts w:ascii="Arial"/>
                <w:b/>
                <w:sz w:val="20"/>
              </w:rPr>
            </w:pPr>
            <w:r>
              <w:rPr>
                <w:rFonts w:ascii="Arial"/>
                <w:b/>
                <w:spacing w:val="-2"/>
                <w:sz w:val="20"/>
              </w:rPr>
              <w:t>Strongly</w:t>
            </w:r>
            <w:r>
              <w:rPr>
                <w:rFonts w:ascii="Arial"/>
                <w:b/>
                <w:sz w:val="20"/>
              </w:rPr>
              <w:tab/>
            </w:r>
            <w:r>
              <w:rPr>
                <w:rFonts w:ascii="Arial"/>
                <w:b/>
                <w:spacing w:val="-4"/>
                <w:sz w:val="20"/>
              </w:rPr>
              <w:t>Agree</w:t>
            </w:r>
            <w:r>
              <w:rPr>
                <w:rFonts w:ascii="Arial"/>
                <w:b/>
                <w:sz w:val="20"/>
              </w:rPr>
              <w:tab/>
            </w:r>
            <w:r>
              <w:rPr>
                <w:rFonts w:ascii="Arial"/>
                <w:b/>
                <w:spacing w:val="-2"/>
                <w:sz w:val="20"/>
              </w:rPr>
              <w:t>Undecided</w:t>
            </w:r>
            <w:r>
              <w:rPr>
                <w:rFonts w:ascii="Arial"/>
                <w:b/>
                <w:sz w:val="20"/>
              </w:rPr>
              <w:tab/>
            </w:r>
            <w:r>
              <w:rPr>
                <w:rFonts w:ascii="Arial"/>
                <w:b/>
                <w:spacing w:val="-2"/>
                <w:sz w:val="20"/>
              </w:rPr>
              <w:t>Disagree</w:t>
            </w:r>
            <w:r>
              <w:rPr>
                <w:rFonts w:ascii="Arial"/>
                <w:b/>
                <w:sz w:val="20"/>
              </w:rPr>
              <w:tab/>
            </w:r>
            <w:r>
              <w:rPr>
                <w:rFonts w:ascii="Arial"/>
                <w:b/>
                <w:spacing w:val="-2"/>
                <w:sz w:val="20"/>
              </w:rPr>
              <w:t>Strongly</w:t>
            </w:r>
            <w:r>
              <w:rPr>
                <w:rFonts w:ascii="Arial"/>
                <w:b/>
                <w:sz w:val="20"/>
              </w:rPr>
              <w:tab/>
            </w:r>
            <w:r>
              <w:rPr>
                <w:rFonts w:ascii="Arial"/>
                <w:b/>
                <w:spacing w:val="-2"/>
                <w:sz w:val="20"/>
              </w:rPr>
              <w:t>Total</w:t>
            </w:r>
          </w:p>
          <w:p>
            <w:pPr>
              <w:pStyle w:val="TableParagraph"/>
              <w:tabs>
                <w:tab w:pos="6244" w:val="left" w:leader="none"/>
              </w:tabs>
              <w:spacing w:line="220" w:lineRule="exact"/>
              <w:ind w:left="437"/>
              <w:rPr>
                <w:rFonts w:ascii="Arial"/>
                <w:b/>
                <w:sz w:val="20"/>
              </w:rPr>
            </w:pPr>
            <w:r>
              <w:rPr>
                <w:rFonts w:ascii="Arial"/>
                <w:b/>
                <w:spacing w:val="-2"/>
                <w:sz w:val="20"/>
              </w:rPr>
              <w:t>Agree</w:t>
            </w:r>
            <w:r>
              <w:rPr>
                <w:rFonts w:ascii="Arial"/>
                <w:b/>
                <w:sz w:val="20"/>
              </w:rPr>
              <w:tab/>
            </w:r>
            <w:r>
              <w:rPr>
                <w:rFonts w:ascii="Arial"/>
                <w:b/>
                <w:spacing w:val="-2"/>
                <w:sz w:val="20"/>
              </w:rPr>
              <w:t>Disagree</w:t>
            </w:r>
          </w:p>
        </w:tc>
      </w:tr>
      <w:tr>
        <w:trPr>
          <w:trHeight w:val="321" w:hRule="atLeast"/>
        </w:trPr>
        <w:tc>
          <w:tcPr>
            <w:tcW w:w="4146" w:type="dxa"/>
            <w:vMerge/>
            <w:tcBorders>
              <w:top w:val="nil"/>
              <w:left w:val="single" w:sz="4" w:space="0" w:color="000000"/>
              <w:bottom w:val="single" w:sz="4" w:space="0" w:color="000000"/>
            </w:tcBorders>
          </w:tcPr>
          <w:p>
            <w:pPr>
              <w:rPr>
                <w:sz w:val="2"/>
                <w:szCs w:val="2"/>
              </w:rPr>
            </w:pPr>
          </w:p>
        </w:tc>
        <w:tc>
          <w:tcPr>
            <w:tcW w:w="1796" w:type="dxa"/>
            <w:vMerge/>
            <w:tcBorders>
              <w:top w:val="nil"/>
              <w:bottom w:val="single" w:sz="4" w:space="0" w:color="000000"/>
              <w:right w:val="single" w:sz="4" w:space="0" w:color="000000"/>
            </w:tcBorders>
          </w:tcPr>
          <w:p>
            <w:pPr>
              <w:rPr>
                <w:sz w:val="2"/>
                <w:szCs w:val="2"/>
              </w:rPr>
            </w:pPr>
          </w:p>
        </w:tc>
        <w:tc>
          <w:tcPr>
            <w:tcW w:w="651" w:type="dxa"/>
            <w:tcBorders>
              <w:top w:val="single" w:sz="4" w:space="0" w:color="000000"/>
              <w:left w:val="single" w:sz="4" w:space="0" w:color="000000"/>
              <w:bottom w:val="single" w:sz="4" w:space="0" w:color="000000"/>
            </w:tcBorders>
          </w:tcPr>
          <w:p>
            <w:pPr>
              <w:pStyle w:val="TableParagraph"/>
              <w:spacing w:line="220" w:lineRule="exact"/>
              <w:ind w:left="82"/>
              <w:jc w:val="center"/>
              <w:rPr>
                <w:rFonts w:ascii="Arial"/>
                <w:b/>
                <w:sz w:val="20"/>
              </w:rPr>
            </w:pPr>
            <w:r>
              <w:rPr>
                <w:rFonts w:ascii="Arial"/>
                <w:b/>
                <w:spacing w:val="-10"/>
                <w:sz w:val="20"/>
              </w:rPr>
              <w:t>F</w:t>
            </w:r>
          </w:p>
        </w:tc>
        <w:tc>
          <w:tcPr>
            <w:tcW w:w="830" w:type="dxa"/>
            <w:tcBorders>
              <w:top w:val="single" w:sz="4" w:space="0" w:color="000000"/>
              <w:bottom w:val="single" w:sz="4" w:space="0" w:color="000000"/>
            </w:tcBorders>
          </w:tcPr>
          <w:p>
            <w:pPr>
              <w:pStyle w:val="TableParagraph"/>
              <w:spacing w:line="220" w:lineRule="exact"/>
              <w:ind w:left="45"/>
              <w:jc w:val="center"/>
              <w:rPr>
                <w:rFonts w:ascii="Arial"/>
                <w:b/>
                <w:sz w:val="20"/>
              </w:rPr>
            </w:pPr>
            <w:r>
              <w:rPr>
                <w:rFonts w:ascii="Arial"/>
                <w:b/>
                <w:spacing w:val="-10"/>
                <w:sz w:val="20"/>
              </w:rPr>
              <w:t>%</w:t>
            </w:r>
          </w:p>
        </w:tc>
        <w:tc>
          <w:tcPr>
            <w:tcW w:w="664" w:type="dxa"/>
            <w:tcBorders>
              <w:top w:val="single" w:sz="4" w:space="0" w:color="000000"/>
              <w:bottom w:val="single" w:sz="4" w:space="0" w:color="000000"/>
            </w:tcBorders>
          </w:tcPr>
          <w:p>
            <w:pPr>
              <w:pStyle w:val="TableParagraph"/>
              <w:spacing w:line="220" w:lineRule="exact"/>
              <w:ind w:left="11" w:right="16"/>
              <w:jc w:val="center"/>
              <w:rPr>
                <w:rFonts w:ascii="Arial"/>
                <w:b/>
                <w:sz w:val="20"/>
              </w:rPr>
            </w:pPr>
            <w:r>
              <w:rPr>
                <w:rFonts w:ascii="Arial"/>
                <w:b/>
                <w:spacing w:val="-10"/>
                <w:sz w:val="20"/>
              </w:rPr>
              <w:t>F</w:t>
            </w:r>
          </w:p>
        </w:tc>
        <w:tc>
          <w:tcPr>
            <w:tcW w:w="777" w:type="dxa"/>
            <w:tcBorders>
              <w:top w:val="single" w:sz="4" w:space="0" w:color="000000"/>
              <w:bottom w:val="single" w:sz="4" w:space="0" w:color="000000"/>
            </w:tcBorders>
          </w:tcPr>
          <w:p>
            <w:pPr>
              <w:pStyle w:val="TableParagraph"/>
              <w:spacing w:line="220" w:lineRule="exact"/>
              <w:ind w:left="21" w:right="28"/>
              <w:jc w:val="center"/>
              <w:rPr>
                <w:rFonts w:ascii="Arial"/>
                <w:b/>
                <w:sz w:val="20"/>
              </w:rPr>
            </w:pPr>
            <w:r>
              <w:rPr>
                <w:rFonts w:ascii="Arial"/>
                <w:b/>
                <w:spacing w:val="-10"/>
                <w:sz w:val="20"/>
              </w:rPr>
              <w:t>%</w:t>
            </w:r>
          </w:p>
        </w:tc>
        <w:tc>
          <w:tcPr>
            <w:tcW w:w="686" w:type="dxa"/>
            <w:tcBorders>
              <w:top w:val="single" w:sz="4" w:space="0" w:color="000000"/>
              <w:bottom w:val="single" w:sz="4" w:space="0" w:color="000000"/>
            </w:tcBorders>
          </w:tcPr>
          <w:p>
            <w:pPr>
              <w:pStyle w:val="TableParagraph"/>
              <w:spacing w:line="220" w:lineRule="exact"/>
              <w:ind w:left="23" w:right="52"/>
              <w:jc w:val="center"/>
              <w:rPr>
                <w:rFonts w:ascii="Arial"/>
                <w:b/>
                <w:sz w:val="20"/>
              </w:rPr>
            </w:pPr>
            <w:r>
              <w:rPr>
                <w:rFonts w:ascii="Arial"/>
                <w:b/>
                <w:spacing w:val="-10"/>
                <w:sz w:val="20"/>
              </w:rPr>
              <w:t>F</w:t>
            </w:r>
          </w:p>
        </w:tc>
        <w:tc>
          <w:tcPr>
            <w:tcW w:w="902" w:type="dxa"/>
            <w:tcBorders>
              <w:top w:val="single" w:sz="4" w:space="0" w:color="000000"/>
              <w:bottom w:val="single" w:sz="4" w:space="0" w:color="000000"/>
            </w:tcBorders>
          </w:tcPr>
          <w:p>
            <w:pPr>
              <w:pStyle w:val="TableParagraph"/>
              <w:spacing w:line="220" w:lineRule="exact"/>
              <w:ind w:left="21" w:right="1"/>
              <w:jc w:val="center"/>
              <w:rPr>
                <w:rFonts w:ascii="Arial"/>
                <w:b/>
                <w:sz w:val="20"/>
              </w:rPr>
            </w:pPr>
            <w:r>
              <w:rPr>
                <w:rFonts w:ascii="Arial"/>
                <w:b/>
                <w:spacing w:val="-10"/>
                <w:sz w:val="20"/>
              </w:rPr>
              <w:t>%</w:t>
            </w:r>
          </w:p>
        </w:tc>
        <w:tc>
          <w:tcPr>
            <w:tcW w:w="710" w:type="dxa"/>
            <w:tcBorders>
              <w:top w:val="single" w:sz="4" w:space="0" w:color="000000"/>
              <w:bottom w:val="single" w:sz="4" w:space="0" w:color="000000"/>
            </w:tcBorders>
          </w:tcPr>
          <w:p>
            <w:pPr>
              <w:pStyle w:val="TableParagraph"/>
              <w:spacing w:line="220" w:lineRule="exact"/>
              <w:ind w:left="98" w:right="56"/>
              <w:jc w:val="center"/>
              <w:rPr>
                <w:rFonts w:ascii="Arial"/>
                <w:b/>
                <w:sz w:val="20"/>
              </w:rPr>
            </w:pPr>
            <w:r>
              <w:rPr>
                <w:rFonts w:ascii="Arial"/>
                <w:b/>
                <w:spacing w:val="-10"/>
                <w:sz w:val="20"/>
              </w:rPr>
              <w:t>F</w:t>
            </w:r>
          </w:p>
        </w:tc>
        <w:tc>
          <w:tcPr>
            <w:tcW w:w="770" w:type="dxa"/>
            <w:tcBorders>
              <w:top w:val="single" w:sz="4" w:space="0" w:color="000000"/>
              <w:bottom w:val="single" w:sz="4" w:space="0" w:color="000000"/>
            </w:tcBorders>
          </w:tcPr>
          <w:p>
            <w:pPr>
              <w:pStyle w:val="TableParagraph"/>
              <w:spacing w:line="220" w:lineRule="exact"/>
              <w:ind w:left="42" w:right="42"/>
              <w:jc w:val="center"/>
              <w:rPr>
                <w:rFonts w:ascii="Arial"/>
                <w:b/>
                <w:sz w:val="20"/>
              </w:rPr>
            </w:pPr>
            <w:r>
              <w:rPr>
                <w:rFonts w:ascii="Arial"/>
                <w:b/>
                <w:spacing w:val="-10"/>
                <w:sz w:val="20"/>
              </w:rPr>
              <w:t>%</w:t>
            </w:r>
          </w:p>
        </w:tc>
        <w:tc>
          <w:tcPr>
            <w:tcW w:w="632" w:type="dxa"/>
            <w:tcBorders>
              <w:top w:val="single" w:sz="4" w:space="0" w:color="000000"/>
              <w:bottom w:val="single" w:sz="4" w:space="0" w:color="000000"/>
            </w:tcBorders>
          </w:tcPr>
          <w:p>
            <w:pPr>
              <w:pStyle w:val="TableParagraph"/>
              <w:spacing w:line="220" w:lineRule="exact"/>
              <w:ind w:left="69" w:right="49"/>
              <w:jc w:val="center"/>
              <w:rPr>
                <w:rFonts w:ascii="Arial"/>
                <w:b/>
                <w:sz w:val="20"/>
              </w:rPr>
            </w:pPr>
            <w:r>
              <w:rPr>
                <w:rFonts w:ascii="Arial"/>
                <w:b/>
                <w:spacing w:val="-10"/>
                <w:sz w:val="20"/>
              </w:rPr>
              <w:t>F</w:t>
            </w:r>
          </w:p>
        </w:tc>
        <w:tc>
          <w:tcPr>
            <w:tcW w:w="739" w:type="dxa"/>
            <w:tcBorders>
              <w:top w:val="single" w:sz="4" w:space="0" w:color="000000"/>
              <w:bottom w:val="single" w:sz="4" w:space="0" w:color="000000"/>
            </w:tcBorders>
          </w:tcPr>
          <w:p>
            <w:pPr>
              <w:pStyle w:val="TableParagraph"/>
              <w:spacing w:line="220" w:lineRule="exact"/>
              <w:ind w:left="75" w:right="6"/>
              <w:jc w:val="center"/>
              <w:rPr>
                <w:rFonts w:ascii="Arial"/>
                <w:b/>
                <w:sz w:val="20"/>
              </w:rPr>
            </w:pPr>
            <w:r>
              <w:rPr>
                <w:rFonts w:ascii="Arial"/>
                <w:b/>
                <w:spacing w:val="-10"/>
                <w:sz w:val="20"/>
              </w:rPr>
              <w:t>%</w:t>
            </w:r>
          </w:p>
        </w:tc>
        <w:tc>
          <w:tcPr>
            <w:tcW w:w="721" w:type="dxa"/>
            <w:tcBorders>
              <w:top w:val="single" w:sz="4" w:space="0" w:color="000000"/>
              <w:bottom w:val="single" w:sz="4" w:space="0" w:color="000000"/>
            </w:tcBorders>
          </w:tcPr>
          <w:p>
            <w:pPr>
              <w:pStyle w:val="TableParagraph"/>
              <w:spacing w:line="220" w:lineRule="exact"/>
              <w:ind w:left="50"/>
              <w:jc w:val="center"/>
              <w:rPr>
                <w:rFonts w:ascii="Arial"/>
                <w:b/>
                <w:sz w:val="20"/>
              </w:rPr>
            </w:pPr>
            <w:r>
              <w:rPr>
                <w:rFonts w:ascii="Arial"/>
                <w:b/>
                <w:spacing w:val="-10"/>
                <w:sz w:val="20"/>
              </w:rPr>
              <w:t>F</w:t>
            </w:r>
          </w:p>
        </w:tc>
        <w:tc>
          <w:tcPr>
            <w:tcW w:w="739" w:type="dxa"/>
            <w:tcBorders>
              <w:top w:val="single" w:sz="4" w:space="0" w:color="000000"/>
              <w:bottom w:val="single" w:sz="4" w:space="0" w:color="000000"/>
              <w:right w:val="single" w:sz="4" w:space="0" w:color="000000"/>
            </w:tcBorders>
          </w:tcPr>
          <w:p>
            <w:pPr>
              <w:pStyle w:val="TableParagraph"/>
              <w:spacing w:line="220" w:lineRule="exact"/>
              <w:ind w:left="36" w:right="2"/>
              <w:jc w:val="center"/>
              <w:rPr>
                <w:rFonts w:ascii="Arial"/>
                <w:b/>
                <w:sz w:val="20"/>
              </w:rPr>
            </w:pPr>
            <w:r>
              <w:rPr>
                <w:rFonts w:ascii="Arial"/>
                <w:b/>
                <w:spacing w:val="-10"/>
                <w:sz w:val="20"/>
              </w:rPr>
              <w:t>%</w:t>
            </w:r>
          </w:p>
        </w:tc>
      </w:tr>
      <w:tr>
        <w:trPr>
          <w:trHeight w:val="227" w:hRule="atLeast"/>
        </w:trPr>
        <w:tc>
          <w:tcPr>
            <w:tcW w:w="4146" w:type="dxa"/>
            <w:tcBorders>
              <w:top w:val="single" w:sz="4" w:space="0" w:color="000000"/>
              <w:left w:val="single" w:sz="4" w:space="0" w:color="000000"/>
            </w:tcBorders>
          </w:tcPr>
          <w:p>
            <w:pPr>
              <w:pStyle w:val="TableParagraph"/>
              <w:tabs>
                <w:tab w:pos="609" w:val="left" w:leader="none"/>
              </w:tabs>
              <w:spacing w:line="208" w:lineRule="exact"/>
              <w:ind w:right="100"/>
              <w:jc w:val="right"/>
              <w:rPr>
                <w:sz w:val="20"/>
              </w:rPr>
            </w:pPr>
            <w:r>
              <w:rPr>
                <w:spacing w:val="-5"/>
                <w:sz w:val="20"/>
              </w:rPr>
              <w:t>98.</w:t>
            </w:r>
            <w:r>
              <w:rPr>
                <w:sz w:val="20"/>
              </w:rPr>
              <w:tab/>
              <w:t>Efficient</w:t>
            </w:r>
            <w:r>
              <w:rPr>
                <w:spacing w:val="53"/>
                <w:sz w:val="20"/>
              </w:rPr>
              <w:t> </w:t>
            </w:r>
            <w:r>
              <w:rPr>
                <w:sz w:val="20"/>
              </w:rPr>
              <w:t>provision</w:t>
            </w:r>
            <w:r>
              <w:rPr>
                <w:spacing w:val="51"/>
                <w:sz w:val="20"/>
              </w:rPr>
              <w:t> </w:t>
            </w:r>
            <w:r>
              <w:rPr>
                <w:sz w:val="20"/>
              </w:rPr>
              <w:t>and</w:t>
            </w:r>
            <w:r>
              <w:rPr>
                <w:spacing w:val="52"/>
                <w:sz w:val="20"/>
              </w:rPr>
              <w:t> </w:t>
            </w:r>
            <w:r>
              <w:rPr>
                <w:spacing w:val="-2"/>
                <w:sz w:val="20"/>
              </w:rPr>
              <w:t>supervision</w:t>
            </w:r>
          </w:p>
        </w:tc>
        <w:tc>
          <w:tcPr>
            <w:tcW w:w="1796" w:type="dxa"/>
            <w:tcBorders>
              <w:top w:val="single" w:sz="4" w:space="0" w:color="000000"/>
            </w:tcBorders>
          </w:tcPr>
          <w:p>
            <w:pPr>
              <w:pStyle w:val="TableParagraph"/>
              <w:spacing w:line="208" w:lineRule="exact"/>
              <w:ind w:left="111"/>
              <w:rPr>
                <w:sz w:val="20"/>
              </w:rPr>
            </w:pPr>
            <w:r>
              <w:rPr>
                <w:sz w:val="20"/>
              </w:rPr>
              <w:t>No.</w:t>
            </w:r>
            <w:r>
              <w:rPr>
                <w:spacing w:val="-5"/>
                <w:sz w:val="20"/>
              </w:rPr>
              <w:t> </w:t>
            </w:r>
            <w:r>
              <w:rPr>
                <w:sz w:val="20"/>
              </w:rPr>
              <w:t>of</w:t>
            </w:r>
            <w:r>
              <w:rPr>
                <w:spacing w:val="-2"/>
                <w:sz w:val="20"/>
              </w:rPr>
              <w:t> missing</w:t>
            </w:r>
          </w:p>
        </w:tc>
        <w:tc>
          <w:tcPr>
            <w:tcW w:w="651" w:type="dxa"/>
            <w:tcBorders>
              <w:top w:val="single" w:sz="4" w:space="0" w:color="000000"/>
            </w:tcBorders>
          </w:tcPr>
          <w:p>
            <w:pPr>
              <w:pStyle w:val="TableParagraph"/>
              <w:rPr>
                <w:rFonts w:ascii="Times New Roman"/>
                <w:sz w:val="16"/>
              </w:rPr>
            </w:pPr>
          </w:p>
        </w:tc>
        <w:tc>
          <w:tcPr>
            <w:tcW w:w="830" w:type="dxa"/>
            <w:tcBorders>
              <w:top w:val="single" w:sz="4" w:space="0" w:color="000000"/>
            </w:tcBorders>
          </w:tcPr>
          <w:p>
            <w:pPr>
              <w:pStyle w:val="TableParagraph"/>
              <w:rPr>
                <w:rFonts w:ascii="Times New Roman"/>
                <w:sz w:val="16"/>
              </w:rPr>
            </w:pPr>
          </w:p>
        </w:tc>
        <w:tc>
          <w:tcPr>
            <w:tcW w:w="664" w:type="dxa"/>
            <w:tcBorders>
              <w:top w:val="single" w:sz="4" w:space="0" w:color="000000"/>
            </w:tcBorders>
          </w:tcPr>
          <w:p>
            <w:pPr>
              <w:pStyle w:val="TableParagraph"/>
              <w:rPr>
                <w:rFonts w:ascii="Times New Roman"/>
                <w:sz w:val="16"/>
              </w:rPr>
            </w:pPr>
          </w:p>
        </w:tc>
        <w:tc>
          <w:tcPr>
            <w:tcW w:w="777" w:type="dxa"/>
            <w:tcBorders>
              <w:top w:val="single" w:sz="4" w:space="0" w:color="000000"/>
            </w:tcBorders>
          </w:tcPr>
          <w:p>
            <w:pPr>
              <w:pStyle w:val="TableParagraph"/>
              <w:rPr>
                <w:rFonts w:ascii="Times New Roman"/>
                <w:sz w:val="16"/>
              </w:rPr>
            </w:pPr>
          </w:p>
        </w:tc>
        <w:tc>
          <w:tcPr>
            <w:tcW w:w="686" w:type="dxa"/>
            <w:tcBorders>
              <w:top w:val="single" w:sz="4" w:space="0" w:color="000000"/>
            </w:tcBorders>
          </w:tcPr>
          <w:p>
            <w:pPr>
              <w:pStyle w:val="TableParagraph"/>
              <w:rPr>
                <w:rFonts w:ascii="Times New Roman"/>
                <w:sz w:val="16"/>
              </w:rPr>
            </w:pPr>
          </w:p>
        </w:tc>
        <w:tc>
          <w:tcPr>
            <w:tcW w:w="902" w:type="dxa"/>
            <w:tcBorders>
              <w:top w:val="single" w:sz="4" w:space="0" w:color="000000"/>
            </w:tcBorders>
          </w:tcPr>
          <w:p>
            <w:pPr>
              <w:pStyle w:val="TableParagraph"/>
              <w:rPr>
                <w:rFonts w:ascii="Times New Roman"/>
                <w:sz w:val="16"/>
              </w:rPr>
            </w:pPr>
          </w:p>
        </w:tc>
        <w:tc>
          <w:tcPr>
            <w:tcW w:w="710" w:type="dxa"/>
            <w:tcBorders>
              <w:top w:val="single" w:sz="4" w:space="0" w:color="000000"/>
            </w:tcBorders>
          </w:tcPr>
          <w:p>
            <w:pPr>
              <w:pStyle w:val="TableParagraph"/>
              <w:rPr>
                <w:rFonts w:ascii="Times New Roman"/>
                <w:sz w:val="16"/>
              </w:rPr>
            </w:pPr>
          </w:p>
        </w:tc>
        <w:tc>
          <w:tcPr>
            <w:tcW w:w="770" w:type="dxa"/>
            <w:tcBorders>
              <w:top w:val="single" w:sz="4" w:space="0" w:color="000000"/>
            </w:tcBorders>
          </w:tcPr>
          <w:p>
            <w:pPr>
              <w:pStyle w:val="TableParagraph"/>
              <w:rPr>
                <w:rFonts w:ascii="Times New Roman"/>
                <w:sz w:val="16"/>
              </w:rPr>
            </w:pPr>
          </w:p>
        </w:tc>
        <w:tc>
          <w:tcPr>
            <w:tcW w:w="632" w:type="dxa"/>
            <w:tcBorders>
              <w:top w:val="single" w:sz="4" w:space="0" w:color="000000"/>
            </w:tcBorders>
          </w:tcPr>
          <w:p>
            <w:pPr>
              <w:pStyle w:val="TableParagraph"/>
              <w:rPr>
                <w:rFonts w:ascii="Times New Roman"/>
                <w:sz w:val="16"/>
              </w:rPr>
            </w:pPr>
          </w:p>
        </w:tc>
        <w:tc>
          <w:tcPr>
            <w:tcW w:w="739" w:type="dxa"/>
            <w:tcBorders>
              <w:top w:val="single" w:sz="4" w:space="0" w:color="000000"/>
            </w:tcBorders>
          </w:tcPr>
          <w:p>
            <w:pPr>
              <w:pStyle w:val="TableParagraph"/>
              <w:rPr>
                <w:rFonts w:ascii="Times New Roman"/>
                <w:sz w:val="16"/>
              </w:rPr>
            </w:pPr>
          </w:p>
        </w:tc>
        <w:tc>
          <w:tcPr>
            <w:tcW w:w="721" w:type="dxa"/>
            <w:tcBorders>
              <w:top w:val="single" w:sz="4" w:space="0" w:color="000000"/>
            </w:tcBorders>
          </w:tcPr>
          <w:p>
            <w:pPr>
              <w:pStyle w:val="TableParagraph"/>
              <w:rPr>
                <w:rFonts w:ascii="Times New Roman"/>
                <w:sz w:val="16"/>
              </w:rPr>
            </w:pPr>
          </w:p>
        </w:tc>
        <w:tc>
          <w:tcPr>
            <w:tcW w:w="739" w:type="dxa"/>
            <w:tcBorders>
              <w:top w:val="single" w:sz="4" w:space="0" w:color="000000"/>
              <w:right w:val="single" w:sz="4" w:space="0" w:color="000000"/>
            </w:tcBorders>
          </w:tcPr>
          <w:p>
            <w:pPr>
              <w:pStyle w:val="TableParagraph"/>
              <w:rPr>
                <w:rFonts w:ascii="Times New Roman"/>
                <w:sz w:val="16"/>
              </w:rPr>
            </w:pPr>
          </w:p>
        </w:tc>
      </w:tr>
      <w:tr>
        <w:trPr>
          <w:trHeight w:val="230" w:hRule="atLeast"/>
        </w:trPr>
        <w:tc>
          <w:tcPr>
            <w:tcW w:w="4146" w:type="dxa"/>
            <w:tcBorders>
              <w:left w:val="single" w:sz="4" w:space="0" w:color="000000"/>
            </w:tcBorders>
          </w:tcPr>
          <w:p>
            <w:pPr>
              <w:pStyle w:val="TableParagraph"/>
              <w:spacing w:line="210" w:lineRule="exact"/>
              <w:ind w:right="108"/>
              <w:jc w:val="right"/>
              <w:rPr>
                <w:sz w:val="20"/>
              </w:rPr>
            </w:pPr>
            <w:r>
              <w:rPr>
                <w:sz w:val="20"/>
              </w:rPr>
              <w:t>of</w:t>
            </w:r>
            <w:r>
              <w:rPr>
                <w:spacing w:val="28"/>
                <w:sz w:val="20"/>
              </w:rPr>
              <w:t> </w:t>
            </w:r>
            <w:r>
              <w:rPr>
                <w:sz w:val="20"/>
              </w:rPr>
              <w:t>social</w:t>
            </w:r>
            <w:r>
              <w:rPr>
                <w:spacing w:val="26"/>
                <w:sz w:val="20"/>
              </w:rPr>
              <w:t> </w:t>
            </w:r>
            <w:r>
              <w:rPr>
                <w:sz w:val="20"/>
              </w:rPr>
              <w:t>services</w:t>
            </w:r>
            <w:r>
              <w:rPr>
                <w:spacing w:val="19"/>
                <w:sz w:val="20"/>
              </w:rPr>
              <w:t> </w:t>
            </w:r>
            <w:r>
              <w:rPr>
                <w:sz w:val="20"/>
              </w:rPr>
              <w:t>including</w:t>
            </w:r>
            <w:r>
              <w:rPr>
                <w:spacing w:val="22"/>
                <w:sz w:val="20"/>
              </w:rPr>
              <w:t> </w:t>
            </w:r>
            <w:r>
              <w:rPr>
                <w:spacing w:val="-2"/>
                <w:sz w:val="20"/>
              </w:rPr>
              <w:t>student</w:t>
            </w:r>
          </w:p>
        </w:tc>
        <w:tc>
          <w:tcPr>
            <w:tcW w:w="1796" w:type="dxa"/>
          </w:tcPr>
          <w:p>
            <w:pPr>
              <w:pStyle w:val="TableParagraph"/>
              <w:spacing w:line="210" w:lineRule="exact"/>
              <w:ind w:left="111"/>
              <w:rPr>
                <w:sz w:val="20"/>
              </w:rPr>
            </w:pPr>
            <w:r>
              <w:rPr>
                <w:spacing w:val="-2"/>
                <w:sz w:val="20"/>
              </w:rPr>
              <w:t>observations</w:t>
            </w:r>
          </w:p>
        </w:tc>
        <w:tc>
          <w:tcPr>
            <w:tcW w:w="651" w:type="dxa"/>
          </w:tcPr>
          <w:p>
            <w:pPr>
              <w:pStyle w:val="TableParagraph"/>
              <w:spacing w:line="210" w:lineRule="exact"/>
              <w:ind w:left="86"/>
              <w:jc w:val="center"/>
              <w:rPr>
                <w:sz w:val="20"/>
              </w:rPr>
            </w:pPr>
            <w:r>
              <w:rPr>
                <w:spacing w:val="-10"/>
                <w:sz w:val="20"/>
              </w:rPr>
              <w:t>2</w:t>
            </w:r>
          </w:p>
        </w:tc>
        <w:tc>
          <w:tcPr>
            <w:tcW w:w="830" w:type="dxa"/>
          </w:tcPr>
          <w:p>
            <w:pPr>
              <w:pStyle w:val="TableParagraph"/>
              <w:spacing w:line="210" w:lineRule="exact"/>
              <w:ind w:left="45" w:right="5"/>
              <w:jc w:val="center"/>
              <w:rPr>
                <w:sz w:val="20"/>
              </w:rPr>
            </w:pPr>
            <w:r>
              <w:rPr>
                <w:spacing w:val="-2"/>
                <w:sz w:val="20"/>
              </w:rPr>
              <w:t>100.0</w:t>
            </w:r>
          </w:p>
        </w:tc>
        <w:tc>
          <w:tcPr>
            <w:tcW w:w="664" w:type="dxa"/>
          </w:tcPr>
          <w:p>
            <w:pPr>
              <w:pStyle w:val="TableParagraph"/>
              <w:spacing w:line="210" w:lineRule="exact"/>
              <w:ind w:left="3" w:right="16"/>
              <w:jc w:val="center"/>
              <w:rPr>
                <w:sz w:val="20"/>
              </w:rPr>
            </w:pPr>
            <w:r>
              <w:rPr>
                <w:spacing w:val="-10"/>
                <w:sz w:val="20"/>
              </w:rPr>
              <w:t>-</w:t>
            </w:r>
          </w:p>
        </w:tc>
        <w:tc>
          <w:tcPr>
            <w:tcW w:w="777" w:type="dxa"/>
          </w:tcPr>
          <w:p>
            <w:pPr>
              <w:pStyle w:val="TableParagraph"/>
              <w:spacing w:line="210" w:lineRule="exact"/>
              <w:ind w:left="14" w:right="28"/>
              <w:jc w:val="center"/>
              <w:rPr>
                <w:sz w:val="20"/>
              </w:rPr>
            </w:pPr>
            <w:r>
              <w:rPr>
                <w:spacing w:val="-10"/>
                <w:sz w:val="20"/>
              </w:rPr>
              <w:t>-</w:t>
            </w:r>
          </w:p>
        </w:tc>
        <w:tc>
          <w:tcPr>
            <w:tcW w:w="686" w:type="dxa"/>
          </w:tcPr>
          <w:p>
            <w:pPr>
              <w:pStyle w:val="TableParagraph"/>
              <w:spacing w:line="210" w:lineRule="exact"/>
              <w:ind w:left="15" w:right="52"/>
              <w:jc w:val="center"/>
              <w:rPr>
                <w:sz w:val="20"/>
              </w:rPr>
            </w:pPr>
            <w:r>
              <w:rPr>
                <w:spacing w:val="-10"/>
                <w:sz w:val="20"/>
              </w:rPr>
              <w:t>-</w:t>
            </w:r>
          </w:p>
        </w:tc>
        <w:tc>
          <w:tcPr>
            <w:tcW w:w="902" w:type="dxa"/>
          </w:tcPr>
          <w:p>
            <w:pPr>
              <w:pStyle w:val="TableParagraph"/>
              <w:spacing w:line="210" w:lineRule="exact"/>
              <w:ind w:left="20" w:right="6"/>
              <w:jc w:val="center"/>
              <w:rPr>
                <w:sz w:val="20"/>
              </w:rPr>
            </w:pPr>
            <w:r>
              <w:rPr>
                <w:spacing w:val="-10"/>
                <w:sz w:val="20"/>
              </w:rPr>
              <w:t>-</w:t>
            </w:r>
          </w:p>
        </w:tc>
        <w:tc>
          <w:tcPr>
            <w:tcW w:w="710" w:type="dxa"/>
          </w:tcPr>
          <w:p>
            <w:pPr>
              <w:pStyle w:val="TableParagraph"/>
              <w:spacing w:line="210" w:lineRule="exact"/>
              <w:ind w:left="98" w:right="64"/>
              <w:jc w:val="center"/>
              <w:rPr>
                <w:sz w:val="20"/>
              </w:rPr>
            </w:pPr>
            <w:r>
              <w:rPr>
                <w:spacing w:val="-10"/>
                <w:sz w:val="20"/>
              </w:rPr>
              <w:t>-</w:t>
            </w:r>
          </w:p>
        </w:tc>
        <w:tc>
          <w:tcPr>
            <w:tcW w:w="770" w:type="dxa"/>
          </w:tcPr>
          <w:p>
            <w:pPr>
              <w:pStyle w:val="TableParagraph"/>
              <w:spacing w:line="210" w:lineRule="exact"/>
              <w:ind w:left="42" w:right="45"/>
              <w:jc w:val="center"/>
              <w:rPr>
                <w:sz w:val="20"/>
              </w:rPr>
            </w:pPr>
            <w:r>
              <w:rPr>
                <w:spacing w:val="-10"/>
                <w:sz w:val="20"/>
              </w:rPr>
              <w:t>-</w:t>
            </w:r>
          </w:p>
        </w:tc>
        <w:tc>
          <w:tcPr>
            <w:tcW w:w="632" w:type="dxa"/>
          </w:tcPr>
          <w:p>
            <w:pPr>
              <w:pStyle w:val="TableParagraph"/>
              <w:spacing w:line="210" w:lineRule="exact"/>
              <w:ind w:left="61" w:right="49"/>
              <w:jc w:val="center"/>
              <w:rPr>
                <w:sz w:val="20"/>
              </w:rPr>
            </w:pPr>
            <w:r>
              <w:rPr>
                <w:spacing w:val="-10"/>
                <w:sz w:val="20"/>
              </w:rPr>
              <w:t>-</w:t>
            </w:r>
          </w:p>
        </w:tc>
        <w:tc>
          <w:tcPr>
            <w:tcW w:w="739" w:type="dxa"/>
          </w:tcPr>
          <w:p>
            <w:pPr>
              <w:pStyle w:val="TableParagraph"/>
              <w:spacing w:line="210" w:lineRule="exact"/>
              <w:ind w:left="75" w:right="13"/>
              <w:jc w:val="center"/>
              <w:rPr>
                <w:sz w:val="20"/>
              </w:rPr>
            </w:pPr>
            <w:r>
              <w:rPr>
                <w:spacing w:val="-10"/>
                <w:sz w:val="20"/>
              </w:rPr>
              <w:t>-</w:t>
            </w:r>
          </w:p>
        </w:tc>
        <w:tc>
          <w:tcPr>
            <w:tcW w:w="721" w:type="dxa"/>
          </w:tcPr>
          <w:p>
            <w:pPr>
              <w:pStyle w:val="TableParagraph"/>
              <w:spacing w:line="210" w:lineRule="exact"/>
              <w:ind w:left="50" w:right="1"/>
              <w:jc w:val="center"/>
              <w:rPr>
                <w:sz w:val="20"/>
              </w:rPr>
            </w:pPr>
            <w:r>
              <w:rPr>
                <w:spacing w:val="-10"/>
                <w:sz w:val="20"/>
              </w:rPr>
              <w:t>2</w:t>
            </w:r>
          </w:p>
        </w:tc>
        <w:tc>
          <w:tcPr>
            <w:tcW w:w="739" w:type="dxa"/>
            <w:tcBorders>
              <w:right w:val="single" w:sz="4" w:space="0" w:color="000000"/>
            </w:tcBorders>
          </w:tcPr>
          <w:p>
            <w:pPr>
              <w:pStyle w:val="TableParagraph"/>
              <w:spacing w:line="210" w:lineRule="exact"/>
              <w:ind w:left="36" w:right="7"/>
              <w:jc w:val="center"/>
              <w:rPr>
                <w:sz w:val="20"/>
              </w:rPr>
            </w:pPr>
            <w:r>
              <w:rPr>
                <w:spacing w:val="-5"/>
                <w:sz w:val="20"/>
              </w:rPr>
              <w:t>0.4</w:t>
            </w:r>
          </w:p>
        </w:tc>
      </w:tr>
      <w:tr>
        <w:trPr>
          <w:trHeight w:val="230" w:hRule="atLeast"/>
        </w:trPr>
        <w:tc>
          <w:tcPr>
            <w:tcW w:w="4146" w:type="dxa"/>
            <w:tcBorders>
              <w:left w:val="single" w:sz="4" w:space="0" w:color="000000"/>
            </w:tcBorders>
          </w:tcPr>
          <w:p>
            <w:pPr>
              <w:pStyle w:val="TableParagraph"/>
              <w:spacing w:line="210" w:lineRule="exact"/>
              <w:ind w:right="106"/>
              <w:jc w:val="right"/>
              <w:rPr>
                <w:sz w:val="20"/>
              </w:rPr>
            </w:pPr>
            <w:r>
              <w:rPr>
                <w:sz w:val="20"/>
              </w:rPr>
              <w:t>union</w:t>
            </w:r>
            <w:r>
              <w:rPr>
                <w:spacing w:val="75"/>
                <w:sz w:val="20"/>
              </w:rPr>
              <w:t> </w:t>
            </w:r>
            <w:r>
              <w:rPr>
                <w:sz w:val="20"/>
              </w:rPr>
              <w:t>matters,</w:t>
            </w:r>
            <w:r>
              <w:rPr>
                <w:spacing w:val="78"/>
                <w:sz w:val="20"/>
              </w:rPr>
              <w:t> </w:t>
            </w:r>
            <w:r>
              <w:rPr>
                <w:sz w:val="20"/>
              </w:rPr>
              <w:t>religion</w:t>
            </w:r>
            <w:r>
              <w:rPr>
                <w:spacing w:val="75"/>
                <w:sz w:val="20"/>
              </w:rPr>
              <w:t> </w:t>
            </w:r>
            <w:r>
              <w:rPr>
                <w:sz w:val="20"/>
              </w:rPr>
              <w:t>and</w:t>
            </w:r>
            <w:r>
              <w:rPr>
                <w:spacing w:val="76"/>
                <w:sz w:val="20"/>
              </w:rPr>
              <w:t> </w:t>
            </w:r>
            <w:r>
              <w:rPr>
                <w:spacing w:val="-4"/>
                <w:sz w:val="20"/>
              </w:rPr>
              <w:t>other</w:t>
            </w:r>
          </w:p>
        </w:tc>
        <w:tc>
          <w:tcPr>
            <w:tcW w:w="1796" w:type="dxa"/>
          </w:tcPr>
          <w:p>
            <w:pPr>
              <w:pStyle w:val="TableParagraph"/>
              <w:spacing w:line="210" w:lineRule="exact"/>
              <w:ind w:left="111"/>
              <w:rPr>
                <w:sz w:val="20"/>
              </w:rPr>
            </w:pPr>
            <w:r>
              <w:rPr>
                <w:spacing w:val="-2"/>
                <w:sz w:val="20"/>
              </w:rPr>
              <w:t>Students</w:t>
            </w:r>
          </w:p>
        </w:tc>
        <w:tc>
          <w:tcPr>
            <w:tcW w:w="651" w:type="dxa"/>
          </w:tcPr>
          <w:p>
            <w:pPr>
              <w:pStyle w:val="TableParagraph"/>
              <w:spacing w:line="210" w:lineRule="exact"/>
              <w:ind w:left="86" w:right="5"/>
              <w:jc w:val="center"/>
              <w:rPr>
                <w:sz w:val="20"/>
              </w:rPr>
            </w:pPr>
            <w:r>
              <w:rPr>
                <w:spacing w:val="-5"/>
                <w:sz w:val="20"/>
              </w:rPr>
              <w:t>44</w:t>
            </w:r>
          </w:p>
        </w:tc>
        <w:tc>
          <w:tcPr>
            <w:tcW w:w="830" w:type="dxa"/>
          </w:tcPr>
          <w:p>
            <w:pPr>
              <w:pStyle w:val="TableParagraph"/>
              <w:spacing w:line="210" w:lineRule="exact"/>
              <w:ind w:left="45"/>
              <w:jc w:val="center"/>
              <w:rPr>
                <w:sz w:val="20"/>
              </w:rPr>
            </w:pPr>
            <w:r>
              <w:rPr>
                <w:spacing w:val="-4"/>
                <w:sz w:val="20"/>
              </w:rPr>
              <w:t>18.7</w:t>
            </w:r>
          </w:p>
        </w:tc>
        <w:tc>
          <w:tcPr>
            <w:tcW w:w="664" w:type="dxa"/>
          </w:tcPr>
          <w:p>
            <w:pPr>
              <w:pStyle w:val="TableParagraph"/>
              <w:spacing w:line="210" w:lineRule="exact"/>
              <w:ind w:right="16"/>
              <w:jc w:val="center"/>
              <w:rPr>
                <w:sz w:val="20"/>
              </w:rPr>
            </w:pPr>
            <w:r>
              <w:rPr>
                <w:spacing w:val="-5"/>
                <w:sz w:val="20"/>
              </w:rPr>
              <w:t>132</w:t>
            </w:r>
          </w:p>
        </w:tc>
        <w:tc>
          <w:tcPr>
            <w:tcW w:w="777" w:type="dxa"/>
          </w:tcPr>
          <w:p>
            <w:pPr>
              <w:pStyle w:val="TableParagraph"/>
              <w:spacing w:line="210" w:lineRule="exact"/>
              <w:ind w:left="21" w:right="28"/>
              <w:jc w:val="center"/>
              <w:rPr>
                <w:sz w:val="20"/>
              </w:rPr>
            </w:pPr>
            <w:r>
              <w:rPr>
                <w:spacing w:val="-4"/>
                <w:sz w:val="20"/>
              </w:rPr>
              <w:t>56.2</w:t>
            </w:r>
          </w:p>
        </w:tc>
        <w:tc>
          <w:tcPr>
            <w:tcW w:w="686" w:type="dxa"/>
          </w:tcPr>
          <w:p>
            <w:pPr>
              <w:pStyle w:val="TableParagraph"/>
              <w:spacing w:line="210" w:lineRule="exact"/>
              <w:ind w:left="17" w:right="52"/>
              <w:jc w:val="center"/>
              <w:rPr>
                <w:sz w:val="20"/>
              </w:rPr>
            </w:pPr>
            <w:r>
              <w:rPr>
                <w:spacing w:val="-5"/>
                <w:sz w:val="20"/>
              </w:rPr>
              <w:t>35</w:t>
            </w:r>
          </w:p>
        </w:tc>
        <w:tc>
          <w:tcPr>
            <w:tcW w:w="902" w:type="dxa"/>
          </w:tcPr>
          <w:p>
            <w:pPr>
              <w:pStyle w:val="TableParagraph"/>
              <w:spacing w:line="210" w:lineRule="exact"/>
              <w:ind w:left="21" w:right="1"/>
              <w:jc w:val="center"/>
              <w:rPr>
                <w:sz w:val="20"/>
              </w:rPr>
            </w:pPr>
            <w:r>
              <w:rPr>
                <w:spacing w:val="-4"/>
                <w:sz w:val="20"/>
              </w:rPr>
              <w:t>14.9</w:t>
            </w:r>
          </w:p>
        </w:tc>
        <w:tc>
          <w:tcPr>
            <w:tcW w:w="710" w:type="dxa"/>
          </w:tcPr>
          <w:p>
            <w:pPr>
              <w:pStyle w:val="TableParagraph"/>
              <w:spacing w:line="210" w:lineRule="exact"/>
              <w:ind w:left="98" w:right="62"/>
              <w:jc w:val="center"/>
              <w:rPr>
                <w:sz w:val="20"/>
              </w:rPr>
            </w:pPr>
            <w:r>
              <w:rPr>
                <w:spacing w:val="-5"/>
                <w:sz w:val="20"/>
              </w:rPr>
              <w:t>22</w:t>
            </w:r>
          </w:p>
        </w:tc>
        <w:tc>
          <w:tcPr>
            <w:tcW w:w="770" w:type="dxa"/>
          </w:tcPr>
          <w:p>
            <w:pPr>
              <w:pStyle w:val="TableParagraph"/>
              <w:spacing w:line="210" w:lineRule="exact"/>
              <w:ind w:left="42" w:right="44"/>
              <w:jc w:val="center"/>
              <w:rPr>
                <w:sz w:val="20"/>
              </w:rPr>
            </w:pPr>
            <w:r>
              <w:rPr>
                <w:spacing w:val="-5"/>
                <w:sz w:val="20"/>
              </w:rPr>
              <w:t>9.4</w:t>
            </w:r>
          </w:p>
        </w:tc>
        <w:tc>
          <w:tcPr>
            <w:tcW w:w="632" w:type="dxa"/>
          </w:tcPr>
          <w:p>
            <w:pPr>
              <w:pStyle w:val="TableParagraph"/>
              <w:spacing w:line="210" w:lineRule="exact"/>
              <w:ind w:left="68" w:right="49"/>
              <w:jc w:val="center"/>
              <w:rPr>
                <w:sz w:val="20"/>
              </w:rPr>
            </w:pPr>
            <w:r>
              <w:rPr>
                <w:spacing w:val="-10"/>
                <w:sz w:val="20"/>
              </w:rPr>
              <w:t>2</w:t>
            </w:r>
          </w:p>
        </w:tc>
        <w:tc>
          <w:tcPr>
            <w:tcW w:w="739" w:type="dxa"/>
          </w:tcPr>
          <w:p>
            <w:pPr>
              <w:pStyle w:val="TableParagraph"/>
              <w:spacing w:line="210" w:lineRule="exact"/>
              <w:ind w:left="75" w:right="11"/>
              <w:jc w:val="center"/>
              <w:rPr>
                <w:sz w:val="20"/>
              </w:rPr>
            </w:pPr>
            <w:r>
              <w:rPr>
                <w:spacing w:val="-5"/>
                <w:sz w:val="20"/>
              </w:rPr>
              <w:t>0.9</w:t>
            </w:r>
          </w:p>
        </w:tc>
        <w:tc>
          <w:tcPr>
            <w:tcW w:w="721" w:type="dxa"/>
          </w:tcPr>
          <w:p>
            <w:pPr>
              <w:pStyle w:val="TableParagraph"/>
              <w:spacing w:line="210" w:lineRule="exact"/>
              <w:ind w:left="50" w:right="11"/>
              <w:jc w:val="center"/>
              <w:rPr>
                <w:sz w:val="20"/>
              </w:rPr>
            </w:pPr>
            <w:r>
              <w:rPr>
                <w:spacing w:val="-5"/>
                <w:sz w:val="20"/>
              </w:rPr>
              <w:t>235</w:t>
            </w:r>
          </w:p>
        </w:tc>
        <w:tc>
          <w:tcPr>
            <w:tcW w:w="739" w:type="dxa"/>
            <w:tcBorders>
              <w:right w:val="single" w:sz="4" w:space="0" w:color="000000"/>
            </w:tcBorders>
          </w:tcPr>
          <w:p>
            <w:pPr>
              <w:pStyle w:val="TableParagraph"/>
              <w:spacing w:line="210" w:lineRule="exact"/>
              <w:ind w:left="36" w:right="2"/>
              <w:jc w:val="center"/>
              <w:rPr>
                <w:sz w:val="20"/>
              </w:rPr>
            </w:pPr>
            <w:r>
              <w:rPr>
                <w:spacing w:val="-4"/>
                <w:sz w:val="20"/>
              </w:rPr>
              <w:t>50.8</w:t>
            </w:r>
          </w:p>
        </w:tc>
      </w:tr>
      <w:tr>
        <w:trPr>
          <w:trHeight w:val="227" w:hRule="atLeast"/>
        </w:trPr>
        <w:tc>
          <w:tcPr>
            <w:tcW w:w="4146" w:type="dxa"/>
            <w:tcBorders>
              <w:left w:val="single" w:sz="4" w:space="0" w:color="000000"/>
            </w:tcBorders>
          </w:tcPr>
          <w:p>
            <w:pPr>
              <w:pStyle w:val="TableParagraph"/>
              <w:spacing w:line="208" w:lineRule="exact"/>
              <w:ind w:right="110"/>
              <w:jc w:val="right"/>
              <w:rPr>
                <w:sz w:val="20"/>
              </w:rPr>
            </w:pPr>
            <w:r>
              <w:rPr>
                <w:sz w:val="20"/>
              </w:rPr>
              <w:t>sensitive</w:t>
            </w:r>
            <w:r>
              <w:rPr>
                <w:spacing w:val="-5"/>
                <w:sz w:val="20"/>
              </w:rPr>
              <w:t> </w:t>
            </w:r>
            <w:r>
              <w:rPr>
                <w:sz w:val="20"/>
              </w:rPr>
              <w:t>issues</w:t>
            </w:r>
            <w:r>
              <w:rPr>
                <w:spacing w:val="-3"/>
                <w:sz w:val="20"/>
              </w:rPr>
              <w:t> </w:t>
            </w:r>
            <w:r>
              <w:rPr>
                <w:sz w:val="20"/>
              </w:rPr>
              <w:t>that</w:t>
            </w:r>
            <w:r>
              <w:rPr>
                <w:spacing w:val="-2"/>
                <w:sz w:val="20"/>
              </w:rPr>
              <w:t> </w:t>
            </w:r>
            <w:r>
              <w:rPr>
                <w:sz w:val="20"/>
              </w:rPr>
              <w:t>affect</w:t>
            </w:r>
            <w:r>
              <w:rPr>
                <w:spacing w:val="-2"/>
                <w:sz w:val="20"/>
              </w:rPr>
              <w:t> students’</w:t>
            </w:r>
          </w:p>
        </w:tc>
        <w:tc>
          <w:tcPr>
            <w:tcW w:w="1796" w:type="dxa"/>
          </w:tcPr>
          <w:p>
            <w:pPr>
              <w:pStyle w:val="TableParagraph"/>
              <w:spacing w:line="208" w:lineRule="exact"/>
              <w:ind w:left="111"/>
              <w:rPr>
                <w:sz w:val="20"/>
              </w:rPr>
            </w:pPr>
            <w:r>
              <w:rPr>
                <w:sz w:val="20"/>
              </w:rPr>
              <w:t>Service</w:t>
            </w:r>
            <w:r>
              <w:rPr>
                <w:spacing w:val="-9"/>
                <w:sz w:val="20"/>
              </w:rPr>
              <w:t> </w:t>
            </w:r>
            <w:r>
              <w:rPr>
                <w:spacing w:val="-2"/>
                <w:sz w:val="20"/>
              </w:rPr>
              <w:t>Staff</w:t>
            </w:r>
          </w:p>
        </w:tc>
        <w:tc>
          <w:tcPr>
            <w:tcW w:w="651" w:type="dxa"/>
          </w:tcPr>
          <w:p>
            <w:pPr>
              <w:pStyle w:val="TableParagraph"/>
              <w:spacing w:line="208" w:lineRule="exact"/>
              <w:ind w:left="86" w:right="5"/>
              <w:jc w:val="center"/>
              <w:rPr>
                <w:sz w:val="20"/>
              </w:rPr>
            </w:pPr>
            <w:r>
              <w:rPr>
                <w:spacing w:val="-5"/>
                <w:sz w:val="20"/>
              </w:rPr>
              <w:t>45</w:t>
            </w:r>
          </w:p>
        </w:tc>
        <w:tc>
          <w:tcPr>
            <w:tcW w:w="830" w:type="dxa"/>
          </w:tcPr>
          <w:p>
            <w:pPr>
              <w:pStyle w:val="TableParagraph"/>
              <w:spacing w:line="208" w:lineRule="exact"/>
              <w:ind w:left="45"/>
              <w:jc w:val="center"/>
              <w:rPr>
                <w:sz w:val="20"/>
              </w:rPr>
            </w:pPr>
            <w:r>
              <w:rPr>
                <w:spacing w:val="-4"/>
                <w:sz w:val="20"/>
              </w:rPr>
              <w:t>22.2</w:t>
            </w:r>
          </w:p>
        </w:tc>
        <w:tc>
          <w:tcPr>
            <w:tcW w:w="664" w:type="dxa"/>
          </w:tcPr>
          <w:p>
            <w:pPr>
              <w:pStyle w:val="TableParagraph"/>
              <w:spacing w:line="208" w:lineRule="exact"/>
              <w:ind w:right="16"/>
              <w:jc w:val="center"/>
              <w:rPr>
                <w:sz w:val="20"/>
              </w:rPr>
            </w:pPr>
            <w:r>
              <w:rPr>
                <w:spacing w:val="-5"/>
                <w:sz w:val="20"/>
              </w:rPr>
              <w:t>121</w:t>
            </w:r>
          </w:p>
        </w:tc>
        <w:tc>
          <w:tcPr>
            <w:tcW w:w="777" w:type="dxa"/>
          </w:tcPr>
          <w:p>
            <w:pPr>
              <w:pStyle w:val="TableParagraph"/>
              <w:spacing w:line="208" w:lineRule="exact"/>
              <w:ind w:left="21" w:right="28"/>
              <w:jc w:val="center"/>
              <w:rPr>
                <w:sz w:val="20"/>
              </w:rPr>
            </w:pPr>
            <w:r>
              <w:rPr>
                <w:spacing w:val="-4"/>
                <w:sz w:val="20"/>
              </w:rPr>
              <w:t>59.6</w:t>
            </w:r>
          </w:p>
        </w:tc>
        <w:tc>
          <w:tcPr>
            <w:tcW w:w="686" w:type="dxa"/>
          </w:tcPr>
          <w:p>
            <w:pPr>
              <w:pStyle w:val="TableParagraph"/>
              <w:spacing w:line="208" w:lineRule="exact"/>
              <w:ind w:left="17" w:right="52"/>
              <w:jc w:val="center"/>
              <w:rPr>
                <w:sz w:val="20"/>
              </w:rPr>
            </w:pPr>
            <w:r>
              <w:rPr>
                <w:spacing w:val="-5"/>
                <w:sz w:val="20"/>
              </w:rPr>
              <w:t>23</w:t>
            </w:r>
          </w:p>
        </w:tc>
        <w:tc>
          <w:tcPr>
            <w:tcW w:w="902" w:type="dxa"/>
          </w:tcPr>
          <w:p>
            <w:pPr>
              <w:pStyle w:val="TableParagraph"/>
              <w:spacing w:line="208" w:lineRule="exact"/>
              <w:ind w:left="21" w:right="1"/>
              <w:jc w:val="center"/>
              <w:rPr>
                <w:sz w:val="20"/>
              </w:rPr>
            </w:pPr>
            <w:r>
              <w:rPr>
                <w:spacing w:val="-4"/>
                <w:sz w:val="20"/>
              </w:rPr>
              <w:t>11.3</w:t>
            </w:r>
          </w:p>
        </w:tc>
        <w:tc>
          <w:tcPr>
            <w:tcW w:w="710" w:type="dxa"/>
          </w:tcPr>
          <w:p>
            <w:pPr>
              <w:pStyle w:val="TableParagraph"/>
              <w:spacing w:line="208" w:lineRule="exact"/>
              <w:ind w:left="98" w:right="62"/>
              <w:jc w:val="center"/>
              <w:rPr>
                <w:sz w:val="20"/>
              </w:rPr>
            </w:pPr>
            <w:r>
              <w:rPr>
                <w:spacing w:val="-5"/>
                <w:sz w:val="20"/>
              </w:rPr>
              <w:t>11</w:t>
            </w:r>
          </w:p>
        </w:tc>
        <w:tc>
          <w:tcPr>
            <w:tcW w:w="770" w:type="dxa"/>
          </w:tcPr>
          <w:p>
            <w:pPr>
              <w:pStyle w:val="TableParagraph"/>
              <w:spacing w:line="208" w:lineRule="exact"/>
              <w:ind w:left="42" w:right="44"/>
              <w:jc w:val="center"/>
              <w:rPr>
                <w:sz w:val="20"/>
              </w:rPr>
            </w:pPr>
            <w:r>
              <w:rPr>
                <w:spacing w:val="-5"/>
                <w:sz w:val="20"/>
              </w:rPr>
              <w:t>5.4</w:t>
            </w:r>
          </w:p>
        </w:tc>
        <w:tc>
          <w:tcPr>
            <w:tcW w:w="632" w:type="dxa"/>
          </w:tcPr>
          <w:p>
            <w:pPr>
              <w:pStyle w:val="TableParagraph"/>
              <w:spacing w:line="208" w:lineRule="exact"/>
              <w:ind w:left="68" w:right="49"/>
              <w:jc w:val="center"/>
              <w:rPr>
                <w:sz w:val="20"/>
              </w:rPr>
            </w:pPr>
            <w:r>
              <w:rPr>
                <w:spacing w:val="-10"/>
                <w:sz w:val="20"/>
              </w:rPr>
              <w:t>3</w:t>
            </w:r>
          </w:p>
        </w:tc>
        <w:tc>
          <w:tcPr>
            <w:tcW w:w="739" w:type="dxa"/>
          </w:tcPr>
          <w:p>
            <w:pPr>
              <w:pStyle w:val="TableParagraph"/>
              <w:spacing w:line="208" w:lineRule="exact"/>
              <w:ind w:left="75" w:right="11"/>
              <w:jc w:val="center"/>
              <w:rPr>
                <w:sz w:val="20"/>
              </w:rPr>
            </w:pPr>
            <w:r>
              <w:rPr>
                <w:spacing w:val="-5"/>
                <w:sz w:val="20"/>
              </w:rPr>
              <w:t>1.5</w:t>
            </w:r>
          </w:p>
        </w:tc>
        <w:tc>
          <w:tcPr>
            <w:tcW w:w="721" w:type="dxa"/>
          </w:tcPr>
          <w:p>
            <w:pPr>
              <w:pStyle w:val="TableParagraph"/>
              <w:spacing w:line="208" w:lineRule="exact"/>
              <w:ind w:left="50" w:right="11"/>
              <w:jc w:val="center"/>
              <w:rPr>
                <w:sz w:val="20"/>
              </w:rPr>
            </w:pPr>
            <w:r>
              <w:rPr>
                <w:spacing w:val="-5"/>
                <w:sz w:val="20"/>
              </w:rPr>
              <w:t>203</w:t>
            </w:r>
          </w:p>
        </w:tc>
        <w:tc>
          <w:tcPr>
            <w:tcW w:w="739" w:type="dxa"/>
            <w:tcBorders>
              <w:right w:val="single" w:sz="4" w:space="0" w:color="000000"/>
            </w:tcBorders>
          </w:tcPr>
          <w:p>
            <w:pPr>
              <w:pStyle w:val="TableParagraph"/>
              <w:spacing w:line="208" w:lineRule="exact"/>
              <w:ind w:left="36" w:right="2"/>
              <w:jc w:val="center"/>
              <w:rPr>
                <w:sz w:val="20"/>
              </w:rPr>
            </w:pPr>
            <w:r>
              <w:rPr>
                <w:spacing w:val="-4"/>
                <w:sz w:val="20"/>
              </w:rPr>
              <w:t>43.8</w:t>
            </w:r>
          </w:p>
        </w:tc>
      </w:tr>
      <w:tr>
        <w:trPr>
          <w:trHeight w:val="458" w:hRule="atLeast"/>
        </w:trPr>
        <w:tc>
          <w:tcPr>
            <w:tcW w:w="4146" w:type="dxa"/>
            <w:tcBorders>
              <w:left w:val="single" w:sz="4" w:space="0" w:color="000000"/>
            </w:tcBorders>
          </w:tcPr>
          <w:p>
            <w:pPr>
              <w:pStyle w:val="TableParagraph"/>
              <w:spacing w:line="225" w:lineRule="exact"/>
              <w:ind w:left="830"/>
              <w:rPr>
                <w:sz w:val="20"/>
              </w:rPr>
            </w:pPr>
            <w:r>
              <w:rPr>
                <w:sz w:val="20"/>
              </w:rPr>
              <w:t>welfare</w:t>
            </w:r>
            <w:r>
              <w:rPr>
                <w:spacing w:val="52"/>
                <w:sz w:val="20"/>
              </w:rPr>
              <w:t> </w:t>
            </w:r>
            <w:r>
              <w:rPr>
                <w:sz w:val="20"/>
              </w:rPr>
              <w:t>are</w:t>
            </w:r>
            <w:r>
              <w:rPr>
                <w:spacing w:val="52"/>
                <w:sz w:val="20"/>
              </w:rPr>
              <w:t> </w:t>
            </w:r>
            <w:r>
              <w:rPr>
                <w:sz w:val="20"/>
              </w:rPr>
              <w:t>evidence</w:t>
            </w:r>
            <w:r>
              <w:rPr>
                <w:spacing w:val="52"/>
                <w:sz w:val="20"/>
              </w:rPr>
              <w:t> </w:t>
            </w:r>
            <w:r>
              <w:rPr>
                <w:sz w:val="20"/>
              </w:rPr>
              <w:t>of</w:t>
            </w:r>
            <w:r>
              <w:rPr>
                <w:spacing w:val="55"/>
                <w:sz w:val="20"/>
              </w:rPr>
              <w:t> </w:t>
            </w:r>
            <w:r>
              <w:rPr>
                <w:spacing w:val="-2"/>
                <w:sz w:val="20"/>
              </w:rPr>
              <w:t>university</w:t>
            </w:r>
          </w:p>
          <w:p>
            <w:pPr>
              <w:pStyle w:val="TableParagraph"/>
              <w:tabs>
                <w:tab w:pos="2496" w:val="left" w:leader="none"/>
                <w:tab w:pos="3869" w:val="left" w:leader="none"/>
              </w:tabs>
              <w:spacing w:line="213" w:lineRule="exact"/>
              <w:ind w:left="830"/>
              <w:rPr>
                <w:sz w:val="20"/>
              </w:rPr>
            </w:pPr>
            <w:r>
              <w:rPr>
                <w:spacing w:val="-2"/>
                <w:sz w:val="20"/>
              </w:rPr>
              <w:t>administrations’</w:t>
            </w:r>
            <w:r>
              <w:rPr>
                <w:sz w:val="20"/>
              </w:rPr>
              <w:tab/>
            </w:r>
            <w:r>
              <w:rPr>
                <w:spacing w:val="-2"/>
                <w:sz w:val="20"/>
              </w:rPr>
              <w:t>commitment</w:t>
            </w:r>
            <w:r>
              <w:rPr>
                <w:sz w:val="20"/>
              </w:rPr>
              <w:tab/>
            </w:r>
            <w:r>
              <w:rPr>
                <w:spacing w:val="-5"/>
                <w:sz w:val="20"/>
              </w:rPr>
              <w:t>to</w:t>
            </w:r>
          </w:p>
        </w:tc>
        <w:tc>
          <w:tcPr>
            <w:tcW w:w="1796" w:type="dxa"/>
          </w:tcPr>
          <w:p>
            <w:pPr>
              <w:pStyle w:val="TableParagraph"/>
              <w:spacing w:before="28"/>
              <w:ind w:left="111"/>
              <w:rPr>
                <w:sz w:val="20"/>
              </w:rPr>
            </w:pPr>
            <w:r>
              <w:rPr>
                <w:sz w:val="20"/>
              </w:rPr>
              <w:t>Top</w:t>
            </w:r>
            <w:r>
              <w:rPr>
                <w:spacing w:val="-1"/>
                <w:sz w:val="20"/>
              </w:rPr>
              <w:t> </w:t>
            </w:r>
            <w:r>
              <w:rPr>
                <w:spacing w:val="-2"/>
                <w:sz w:val="20"/>
              </w:rPr>
              <w:t>Management</w:t>
            </w:r>
          </w:p>
        </w:tc>
        <w:tc>
          <w:tcPr>
            <w:tcW w:w="651" w:type="dxa"/>
          </w:tcPr>
          <w:p>
            <w:pPr>
              <w:pStyle w:val="TableParagraph"/>
              <w:spacing w:before="28"/>
              <w:ind w:left="86"/>
              <w:jc w:val="center"/>
              <w:rPr>
                <w:sz w:val="20"/>
              </w:rPr>
            </w:pPr>
            <w:r>
              <w:rPr>
                <w:spacing w:val="-10"/>
                <w:sz w:val="20"/>
              </w:rPr>
              <w:t>6</w:t>
            </w:r>
          </w:p>
        </w:tc>
        <w:tc>
          <w:tcPr>
            <w:tcW w:w="830" w:type="dxa"/>
          </w:tcPr>
          <w:p>
            <w:pPr>
              <w:pStyle w:val="TableParagraph"/>
              <w:spacing w:before="28"/>
              <w:ind w:left="45"/>
              <w:jc w:val="center"/>
              <w:rPr>
                <w:sz w:val="20"/>
              </w:rPr>
            </w:pPr>
            <w:r>
              <w:rPr>
                <w:spacing w:val="-4"/>
                <w:sz w:val="20"/>
              </w:rPr>
              <w:t>26.1</w:t>
            </w:r>
          </w:p>
        </w:tc>
        <w:tc>
          <w:tcPr>
            <w:tcW w:w="664" w:type="dxa"/>
          </w:tcPr>
          <w:p>
            <w:pPr>
              <w:pStyle w:val="TableParagraph"/>
              <w:spacing w:before="28"/>
              <w:ind w:left="5" w:right="16"/>
              <w:jc w:val="center"/>
              <w:rPr>
                <w:sz w:val="20"/>
              </w:rPr>
            </w:pPr>
            <w:r>
              <w:rPr>
                <w:spacing w:val="-5"/>
                <w:sz w:val="20"/>
              </w:rPr>
              <w:t>10</w:t>
            </w:r>
          </w:p>
        </w:tc>
        <w:tc>
          <w:tcPr>
            <w:tcW w:w="777" w:type="dxa"/>
          </w:tcPr>
          <w:p>
            <w:pPr>
              <w:pStyle w:val="TableParagraph"/>
              <w:spacing w:before="28"/>
              <w:ind w:left="21" w:right="28"/>
              <w:jc w:val="center"/>
              <w:rPr>
                <w:sz w:val="20"/>
              </w:rPr>
            </w:pPr>
            <w:r>
              <w:rPr>
                <w:spacing w:val="-4"/>
                <w:sz w:val="20"/>
              </w:rPr>
              <w:t>43.5</w:t>
            </w:r>
          </w:p>
        </w:tc>
        <w:tc>
          <w:tcPr>
            <w:tcW w:w="686" w:type="dxa"/>
          </w:tcPr>
          <w:p>
            <w:pPr>
              <w:pStyle w:val="TableParagraph"/>
              <w:spacing w:before="28"/>
              <w:ind w:left="22" w:right="52"/>
              <w:jc w:val="center"/>
              <w:rPr>
                <w:sz w:val="20"/>
              </w:rPr>
            </w:pPr>
            <w:r>
              <w:rPr>
                <w:spacing w:val="-10"/>
                <w:sz w:val="20"/>
              </w:rPr>
              <w:t>6</w:t>
            </w:r>
          </w:p>
        </w:tc>
        <w:tc>
          <w:tcPr>
            <w:tcW w:w="902" w:type="dxa"/>
          </w:tcPr>
          <w:p>
            <w:pPr>
              <w:pStyle w:val="TableParagraph"/>
              <w:spacing w:before="28"/>
              <w:ind w:left="21" w:right="1"/>
              <w:jc w:val="center"/>
              <w:rPr>
                <w:sz w:val="20"/>
              </w:rPr>
            </w:pPr>
            <w:r>
              <w:rPr>
                <w:spacing w:val="-4"/>
                <w:sz w:val="20"/>
              </w:rPr>
              <w:t>26.1</w:t>
            </w:r>
          </w:p>
        </w:tc>
        <w:tc>
          <w:tcPr>
            <w:tcW w:w="710" w:type="dxa"/>
          </w:tcPr>
          <w:p>
            <w:pPr>
              <w:pStyle w:val="TableParagraph"/>
              <w:spacing w:before="28"/>
              <w:ind w:left="98" w:right="58"/>
              <w:jc w:val="center"/>
              <w:rPr>
                <w:sz w:val="20"/>
              </w:rPr>
            </w:pPr>
            <w:r>
              <w:rPr>
                <w:spacing w:val="-10"/>
                <w:sz w:val="20"/>
              </w:rPr>
              <w:t>1</w:t>
            </w:r>
          </w:p>
        </w:tc>
        <w:tc>
          <w:tcPr>
            <w:tcW w:w="770" w:type="dxa"/>
          </w:tcPr>
          <w:p>
            <w:pPr>
              <w:pStyle w:val="TableParagraph"/>
              <w:spacing w:before="28"/>
              <w:ind w:left="42" w:right="44"/>
              <w:jc w:val="center"/>
              <w:rPr>
                <w:sz w:val="20"/>
              </w:rPr>
            </w:pPr>
            <w:r>
              <w:rPr>
                <w:spacing w:val="-5"/>
                <w:sz w:val="20"/>
              </w:rPr>
              <w:t>4.3</w:t>
            </w:r>
          </w:p>
        </w:tc>
        <w:tc>
          <w:tcPr>
            <w:tcW w:w="632" w:type="dxa"/>
          </w:tcPr>
          <w:p>
            <w:pPr>
              <w:pStyle w:val="TableParagraph"/>
              <w:spacing w:before="28"/>
              <w:ind w:left="61" w:right="49"/>
              <w:jc w:val="center"/>
              <w:rPr>
                <w:sz w:val="20"/>
              </w:rPr>
            </w:pPr>
            <w:r>
              <w:rPr>
                <w:spacing w:val="-10"/>
                <w:sz w:val="20"/>
              </w:rPr>
              <w:t>-</w:t>
            </w:r>
          </w:p>
        </w:tc>
        <w:tc>
          <w:tcPr>
            <w:tcW w:w="739" w:type="dxa"/>
          </w:tcPr>
          <w:p>
            <w:pPr>
              <w:pStyle w:val="TableParagraph"/>
              <w:spacing w:before="28"/>
              <w:ind w:left="75" w:right="13"/>
              <w:jc w:val="center"/>
              <w:rPr>
                <w:sz w:val="20"/>
              </w:rPr>
            </w:pPr>
            <w:r>
              <w:rPr>
                <w:spacing w:val="-10"/>
                <w:sz w:val="20"/>
              </w:rPr>
              <w:t>-</w:t>
            </w:r>
          </w:p>
        </w:tc>
        <w:tc>
          <w:tcPr>
            <w:tcW w:w="721" w:type="dxa"/>
          </w:tcPr>
          <w:p>
            <w:pPr>
              <w:pStyle w:val="TableParagraph"/>
              <w:spacing w:before="28"/>
              <w:ind w:left="50" w:right="6"/>
              <w:jc w:val="center"/>
              <w:rPr>
                <w:sz w:val="20"/>
              </w:rPr>
            </w:pPr>
            <w:r>
              <w:rPr>
                <w:spacing w:val="-5"/>
                <w:sz w:val="20"/>
              </w:rPr>
              <w:t>23</w:t>
            </w:r>
          </w:p>
        </w:tc>
        <w:tc>
          <w:tcPr>
            <w:tcW w:w="739" w:type="dxa"/>
            <w:tcBorders>
              <w:right w:val="single" w:sz="4" w:space="0" w:color="000000"/>
            </w:tcBorders>
          </w:tcPr>
          <w:p>
            <w:pPr>
              <w:pStyle w:val="TableParagraph"/>
              <w:spacing w:before="28"/>
              <w:ind w:left="36" w:right="7"/>
              <w:jc w:val="center"/>
              <w:rPr>
                <w:sz w:val="20"/>
              </w:rPr>
            </w:pPr>
            <w:r>
              <w:rPr>
                <w:spacing w:val="-5"/>
                <w:sz w:val="20"/>
              </w:rPr>
              <w:t>5.0</w:t>
            </w:r>
          </w:p>
        </w:tc>
      </w:tr>
      <w:tr>
        <w:trPr>
          <w:trHeight w:val="290" w:hRule="atLeast"/>
        </w:trPr>
        <w:tc>
          <w:tcPr>
            <w:tcW w:w="4146" w:type="dxa"/>
            <w:tcBorders>
              <w:left w:val="single" w:sz="4" w:space="0" w:color="000000"/>
            </w:tcBorders>
          </w:tcPr>
          <w:p>
            <w:pPr>
              <w:pStyle w:val="TableParagraph"/>
              <w:spacing w:line="227" w:lineRule="exact"/>
              <w:ind w:left="830"/>
              <w:rPr>
                <w:sz w:val="20"/>
              </w:rPr>
            </w:pPr>
            <w:r>
              <w:rPr>
                <w:sz w:val="20"/>
              </w:rPr>
              <w:t>students’</w:t>
            </w:r>
            <w:r>
              <w:rPr>
                <w:spacing w:val="-12"/>
                <w:sz w:val="20"/>
              </w:rPr>
              <w:t> </w:t>
            </w:r>
            <w:r>
              <w:rPr>
                <w:spacing w:val="-2"/>
                <w:sz w:val="20"/>
              </w:rPr>
              <w:t>welfare.</w:t>
            </w:r>
          </w:p>
        </w:tc>
        <w:tc>
          <w:tcPr>
            <w:tcW w:w="1796" w:type="dxa"/>
          </w:tcPr>
          <w:p>
            <w:pPr>
              <w:pStyle w:val="TableParagraph"/>
              <w:rPr>
                <w:rFonts w:ascii="Times New Roman"/>
                <w:sz w:val="20"/>
              </w:rPr>
            </w:pPr>
          </w:p>
        </w:tc>
        <w:tc>
          <w:tcPr>
            <w:tcW w:w="651" w:type="dxa"/>
          </w:tcPr>
          <w:p>
            <w:pPr>
              <w:pStyle w:val="TableParagraph"/>
              <w:rPr>
                <w:rFonts w:ascii="Times New Roman"/>
                <w:sz w:val="20"/>
              </w:rPr>
            </w:pPr>
          </w:p>
        </w:tc>
        <w:tc>
          <w:tcPr>
            <w:tcW w:w="830" w:type="dxa"/>
          </w:tcPr>
          <w:p>
            <w:pPr>
              <w:pStyle w:val="TableParagraph"/>
              <w:rPr>
                <w:rFonts w:ascii="Times New Roman"/>
                <w:sz w:val="20"/>
              </w:rPr>
            </w:pPr>
          </w:p>
        </w:tc>
        <w:tc>
          <w:tcPr>
            <w:tcW w:w="664" w:type="dxa"/>
          </w:tcPr>
          <w:p>
            <w:pPr>
              <w:pStyle w:val="TableParagraph"/>
              <w:rPr>
                <w:rFonts w:ascii="Times New Roman"/>
                <w:sz w:val="20"/>
              </w:rPr>
            </w:pPr>
          </w:p>
        </w:tc>
        <w:tc>
          <w:tcPr>
            <w:tcW w:w="777" w:type="dxa"/>
          </w:tcPr>
          <w:p>
            <w:pPr>
              <w:pStyle w:val="TableParagraph"/>
              <w:rPr>
                <w:rFonts w:ascii="Times New Roman"/>
                <w:sz w:val="20"/>
              </w:rPr>
            </w:pPr>
          </w:p>
        </w:tc>
        <w:tc>
          <w:tcPr>
            <w:tcW w:w="686" w:type="dxa"/>
          </w:tcPr>
          <w:p>
            <w:pPr>
              <w:pStyle w:val="TableParagraph"/>
              <w:rPr>
                <w:rFonts w:ascii="Times New Roman"/>
                <w:sz w:val="20"/>
              </w:rPr>
            </w:pPr>
          </w:p>
        </w:tc>
        <w:tc>
          <w:tcPr>
            <w:tcW w:w="902" w:type="dxa"/>
          </w:tcPr>
          <w:p>
            <w:pPr>
              <w:pStyle w:val="TableParagraph"/>
              <w:rPr>
                <w:rFonts w:ascii="Times New Roman"/>
                <w:sz w:val="20"/>
              </w:rPr>
            </w:pPr>
          </w:p>
        </w:tc>
        <w:tc>
          <w:tcPr>
            <w:tcW w:w="710" w:type="dxa"/>
          </w:tcPr>
          <w:p>
            <w:pPr>
              <w:pStyle w:val="TableParagraph"/>
              <w:rPr>
                <w:rFonts w:ascii="Times New Roman"/>
                <w:sz w:val="20"/>
              </w:rPr>
            </w:pPr>
          </w:p>
        </w:tc>
        <w:tc>
          <w:tcPr>
            <w:tcW w:w="770" w:type="dxa"/>
          </w:tcPr>
          <w:p>
            <w:pPr>
              <w:pStyle w:val="TableParagraph"/>
              <w:rPr>
                <w:rFonts w:ascii="Times New Roman"/>
                <w:sz w:val="20"/>
              </w:rPr>
            </w:pPr>
          </w:p>
        </w:tc>
        <w:tc>
          <w:tcPr>
            <w:tcW w:w="632" w:type="dxa"/>
          </w:tcPr>
          <w:p>
            <w:pPr>
              <w:pStyle w:val="TableParagraph"/>
              <w:rPr>
                <w:rFonts w:ascii="Times New Roman"/>
                <w:sz w:val="20"/>
              </w:rPr>
            </w:pPr>
          </w:p>
        </w:tc>
        <w:tc>
          <w:tcPr>
            <w:tcW w:w="739" w:type="dxa"/>
          </w:tcPr>
          <w:p>
            <w:pPr>
              <w:pStyle w:val="TableParagraph"/>
              <w:rPr>
                <w:rFonts w:ascii="Times New Roman"/>
                <w:sz w:val="20"/>
              </w:rPr>
            </w:pPr>
          </w:p>
        </w:tc>
        <w:tc>
          <w:tcPr>
            <w:tcW w:w="721" w:type="dxa"/>
          </w:tcPr>
          <w:p>
            <w:pPr>
              <w:pStyle w:val="TableParagraph"/>
              <w:rPr>
                <w:rFonts w:ascii="Times New Roman"/>
                <w:sz w:val="20"/>
              </w:rPr>
            </w:pPr>
          </w:p>
        </w:tc>
        <w:tc>
          <w:tcPr>
            <w:tcW w:w="739" w:type="dxa"/>
            <w:tcBorders>
              <w:right w:val="single" w:sz="4" w:space="0" w:color="000000"/>
            </w:tcBorders>
          </w:tcPr>
          <w:p>
            <w:pPr>
              <w:pStyle w:val="TableParagraph"/>
              <w:rPr>
                <w:rFonts w:ascii="Times New Roman"/>
                <w:sz w:val="20"/>
              </w:rPr>
            </w:pPr>
          </w:p>
        </w:tc>
      </w:tr>
      <w:tr>
        <w:trPr>
          <w:trHeight w:val="290" w:hRule="atLeast"/>
        </w:trPr>
        <w:tc>
          <w:tcPr>
            <w:tcW w:w="4146" w:type="dxa"/>
            <w:tcBorders>
              <w:left w:val="single" w:sz="4" w:space="0" w:color="000000"/>
            </w:tcBorders>
          </w:tcPr>
          <w:p>
            <w:pPr>
              <w:pStyle w:val="TableParagraph"/>
              <w:tabs>
                <w:tab w:pos="609" w:val="left" w:leader="none"/>
              </w:tabs>
              <w:spacing w:line="213" w:lineRule="exact" w:before="57"/>
              <w:ind w:right="104"/>
              <w:jc w:val="right"/>
              <w:rPr>
                <w:sz w:val="20"/>
              </w:rPr>
            </w:pPr>
            <w:r>
              <w:rPr>
                <w:spacing w:val="-5"/>
                <w:sz w:val="20"/>
              </w:rPr>
              <w:t>99.</w:t>
            </w:r>
            <w:r>
              <w:rPr>
                <w:sz w:val="20"/>
              </w:rPr>
              <w:tab/>
              <w:t>The</w:t>
            </w:r>
            <w:r>
              <w:rPr>
                <w:spacing w:val="66"/>
                <w:w w:val="150"/>
                <w:sz w:val="20"/>
              </w:rPr>
              <w:t> </w:t>
            </w:r>
            <w:r>
              <w:rPr>
                <w:sz w:val="20"/>
              </w:rPr>
              <w:t>use</w:t>
            </w:r>
            <w:r>
              <w:rPr>
                <w:spacing w:val="66"/>
                <w:w w:val="150"/>
                <w:sz w:val="20"/>
              </w:rPr>
              <w:t> </w:t>
            </w:r>
            <w:r>
              <w:rPr>
                <w:sz w:val="20"/>
              </w:rPr>
              <w:t>of</w:t>
            </w:r>
            <w:r>
              <w:rPr>
                <w:spacing w:val="74"/>
                <w:w w:val="150"/>
                <w:sz w:val="20"/>
              </w:rPr>
              <w:t> </w:t>
            </w:r>
            <w:r>
              <w:rPr>
                <w:sz w:val="20"/>
              </w:rPr>
              <w:t>casual</w:t>
            </w:r>
            <w:r>
              <w:rPr>
                <w:spacing w:val="71"/>
                <w:w w:val="150"/>
                <w:sz w:val="20"/>
              </w:rPr>
              <w:t> </w:t>
            </w:r>
            <w:r>
              <w:rPr>
                <w:sz w:val="20"/>
              </w:rPr>
              <w:t>labourers</w:t>
            </w:r>
            <w:r>
              <w:rPr>
                <w:spacing w:val="64"/>
                <w:w w:val="150"/>
                <w:sz w:val="20"/>
              </w:rPr>
              <w:t> </w:t>
            </w:r>
            <w:r>
              <w:rPr>
                <w:spacing w:val="-5"/>
                <w:sz w:val="20"/>
              </w:rPr>
              <w:t>to</w:t>
            </w:r>
          </w:p>
        </w:tc>
        <w:tc>
          <w:tcPr>
            <w:tcW w:w="1796" w:type="dxa"/>
          </w:tcPr>
          <w:p>
            <w:pPr>
              <w:pStyle w:val="TableParagraph"/>
              <w:spacing w:line="213" w:lineRule="exact" w:before="57"/>
              <w:ind w:left="111"/>
              <w:rPr>
                <w:sz w:val="20"/>
              </w:rPr>
            </w:pPr>
            <w:r>
              <w:rPr>
                <w:sz w:val="20"/>
              </w:rPr>
              <w:t>No.</w:t>
            </w:r>
            <w:r>
              <w:rPr>
                <w:spacing w:val="-5"/>
                <w:sz w:val="20"/>
              </w:rPr>
              <w:t> </w:t>
            </w:r>
            <w:r>
              <w:rPr>
                <w:sz w:val="20"/>
              </w:rPr>
              <w:t>of</w:t>
            </w:r>
            <w:r>
              <w:rPr>
                <w:spacing w:val="-2"/>
                <w:sz w:val="20"/>
              </w:rPr>
              <w:t> missing</w:t>
            </w:r>
          </w:p>
        </w:tc>
        <w:tc>
          <w:tcPr>
            <w:tcW w:w="651" w:type="dxa"/>
          </w:tcPr>
          <w:p>
            <w:pPr>
              <w:pStyle w:val="TableParagraph"/>
              <w:rPr>
                <w:rFonts w:ascii="Times New Roman"/>
                <w:sz w:val="20"/>
              </w:rPr>
            </w:pPr>
          </w:p>
        </w:tc>
        <w:tc>
          <w:tcPr>
            <w:tcW w:w="830" w:type="dxa"/>
          </w:tcPr>
          <w:p>
            <w:pPr>
              <w:pStyle w:val="TableParagraph"/>
              <w:rPr>
                <w:rFonts w:ascii="Times New Roman"/>
                <w:sz w:val="20"/>
              </w:rPr>
            </w:pPr>
          </w:p>
        </w:tc>
        <w:tc>
          <w:tcPr>
            <w:tcW w:w="664" w:type="dxa"/>
          </w:tcPr>
          <w:p>
            <w:pPr>
              <w:pStyle w:val="TableParagraph"/>
              <w:rPr>
                <w:rFonts w:ascii="Times New Roman"/>
                <w:sz w:val="20"/>
              </w:rPr>
            </w:pPr>
          </w:p>
        </w:tc>
        <w:tc>
          <w:tcPr>
            <w:tcW w:w="777" w:type="dxa"/>
          </w:tcPr>
          <w:p>
            <w:pPr>
              <w:pStyle w:val="TableParagraph"/>
              <w:rPr>
                <w:rFonts w:ascii="Times New Roman"/>
                <w:sz w:val="20"/>
              </w:rPr>
            </w:pPr>
          </w:p>
        </w:tc>
        <w:tc>
          <w:tcPr>
            <w:tcW w:w="686" w:type="dxa"/>
          </w:tcPr>
          <w:p>
            <w:pPr>
              <w:pStyle w:val="TableParagraph"/>
              <w:rPr>
                <w:rFonts w:ascii="Times New Roman"/>
                <w:sz w:val="20"/>
              </w:rPr>
            </w:pPr>
          </w:p>
        </w:tc>
        <w:tc>
          <w:tcPr>
            <w:tcW w:w="902" w:type="dxa"/>
          </w:tcPr>
          <w:p>
            <w:pPr>
              <w:pStyle w:val="TableParagraph"/>
              <w:rPr>
                <w:rFonts w:ascii="Times New Roman"/>
                <w:sz w:val="20"/>
              </w:rPr>
            </w:pPr>
          </w:p>
        </w:tc>
        <w:tc>
          <w:tcPr>
            <w:tcW w:w="710" w:type="dxa"/>
          </w:tcPr>
          <w:p>
            <w:pPr>
              <w:pStyle w:val="TableParagraph"/>
              <w:rPr>
                <w:rFonts w:ascii="Times New Roman"/>
                <w:sz w:val="20"/>
              </w:rPr>
            </w:pPr>
          </w:p>
        </w:tc>
        <w:tc>
          <w:tcPr>
            <w:tcW w:w="770" w:type="dxa"/>
          </w:tcPr>
          <w:p>
            <w:pPr>
              <w:pStyle w:val="TableParagraph"/>
              <w:rPr>
                <w:rFonts w:ascii="Times New Roman"/>
                <w:sz w:val="20"/>
              </w:rPr>
            </w:pPr>
          </w:p>
        </w:tc>
        <w:tc>
          <w:tcPr>
            <w:tcW w:w="632" w:type="dxa"/>
          </w:tcPr>
          <w:p>
            <w:pPr>
              <w:pStyle w:val="TableParagraph"/>
              <w:rPr>
                <w:rFonts w:ascii="Times New Roman"/>
                <w:sz w:val="20"/>
              </w:rPr>
            </w:pPr>
          </w:p>
        </w:tc>
        <w:tc>
          <w:tcPr>
            <w:tcW w:w="739" w:type="dxa"/>
          </w:tcPr>
          <w:p>
            <w:pPr>
              <w:pStyle w:val="TableParagraph"/>
              <w:rPr>
                <w:rFonts w:ascii="Times New Roman"/>
                <w:sz w:val="20"/>
              </w:rPr>
            </w:pPr>
          </w:p>
        </w:tc>
        <w:tc>
          <w:tcPr>
            <w:tcW w:w="721" w:type="dxa"/>
          </w:tcPr>
          <w:p>
            <w:pPr>
              <w:pStyle w:val="TableParagraph"/>
              <w:rPr>
                <w:rFonts w:ascii="Times New Roman"/>
                <w:sz w:val="20"/>
              </w:rPr>
            </w:pPr>
          </w:p>
        </w:tc>
        <w:tc>
          <w:tcPr>
            <w:tcW w:w="739" w:type="dxa"/>
            <w:tcBorders>
              <w:right w:val="single" w:sz="4" w:space="0" w:color="000000"/>
            </w:tcBorders>
          </w:tcPr>
          <w:p>
            <w:pPr>
              <w:pStyle w:val="TableParagraph"/>
              <w:rPr>
                <w:rFonts w:ascii="Times New Roman"/>
                <w:sz w:val="20"/>
              </w:rPr>
            </w:pPr>
          </w:p>
        </w:tc>
      </w:tr>
      <w:tr>
        <w:trPr>
          <w:trHeight w:val="230" w:hRule="atLeast"/>
        </w:trPr>
        <w:tc>
          <w:tcPr>
            <w:tcW w:w="4146" w:type="dxa"/>
            <w:tcBorders>
              <w:left w:val="single" w:sz="4" w:space="0" w:color="000000"/>
            </w:tcBorders>
          </w:tcPr>
          <w:p>
            <w:pPr>
              <w:pStyle w:val="TableParagraph"/>
              <w:tabs>
                <w:tab w:pos="720" w:val="left" w:leader="none"/>
                <w:tab w:pos="1238" w:val="left" w:leader="none"/>
                <w:tab w:pos="2684" w:val="left" w:leader="none"/>
              </w:tabs>
              <w:spacing w:line="210" w:lineRule="exact"/>
              <w:ind w:right="101"/>
              <w:jc w:val="right"/>
              <w:rPr>
                <w:sz w:val="20"/>
              </w:rPr>
            </w:pPr>
            <w:r>
              <w:rPr>
                <w:spacing w:val="-2"/>
                <w:sz w:val="20"/>
              </w:rPr>
              <w:t>clean</w:t>
            </w:r>
            <w:r>
              <w:rPr>
                <w:sz w:val="20"/>
              </w:rPr>
              <w:tab/>
            </w:r>
            <w:r>
              <w:rPr>
                <w:spacing w:val="-5"/>
                <w:sz w:val="20"/>
              </w:rPr>
              <w:t>the</w:t>
            </w:r>
            <w:r>
              <w:rPr>
                <w:sz w:val="20"/>
              </w:rPr>
              <w:tab/>
            </w:r>
            <w:r>
              <w:rPr>
                <w:spacing w:val="-2"/>
                <w:sz w:val="20"/>
              </w:rPr>
              <w:t>surroundings,</w:t>
            </w:r>
            <w:r>
              <w:rPr>
                <w:sz w:val="20"/>
              </w:rPr>
              <w:tab/>
            </w:r>
            <w:r>
              <w:rPr>
                <w:spacing w:val="-2"/>
                <w:sz w:val="20"/>
              </w:rPr>
              <w:t>public</w:t>
            </w:r>
          </w:p>
        </w:tc>
        <w:tc>
          <w:tcPr>
            <w:tcW w:w="1796" w:type="dxa"/>
          </w:tcPr>
          <w:p>
            <w:pPr>
              <w:pStyle w:val="TableParagraph"/>
              <w:spacing w:line="210" w:lineRule="exact"/>
              <w:ind w:left="111"/>
              <w:rPr>
                <w:sz w:val="20"/>
              </w:rPr>
            </w:pPr>
            <w:r>
              <w:rPr>
                <w:spacing w:val="-2"/>
                <w:sz w:val="20"/>
              </w:rPr>
              <w:t>observations</w:t>
            </w:r>
          </w:p>
        </w:tc>
        <w:tc>
          <w:tcPr>
            <w:tcW w:w="651" w:type="dxa"/>
          </w:tcPr>
          <w:p>
            <w:pPr>
              <w:pStyle w:val="TableParagraph"/>
              <w:spacing w:line="210" w:lineRule="exact"/>
              <w:ind w:left="86" w:right="7"/>
              <w:jc w:val="center"/>
              <w:rPr>
                <w:sz w:val="20"/>
              </w:rPr>
            </w:pPr>
            <w:r>
              <w:rPr>
                <w:spacing w:val="-10"/>
                <w:sz w:val="20"/>
              </w:rPr>
              <w:t>-</w:t>
            </w:r>
          </w:p>
        </w:tc>
        <w:tc>
          <w:tcPr>
            <w:tcW w:w="830" w:type="dxa"/>
          </w:tcPr>
          <w:p>
            <w:pPr>
              <w:pStyle w:val="TableParagraph"/>
              <w:spacing w:line="210" w:lineRule="exact"/>
              <w:ind w:left="45" w:right="7"/>
              <w:jc w:val="center"/>
              <w:rPr>
                <w:sz w:val="20"/>
              </w:rPr>
            </w:pPr>
            <w:r>
              <w:rPr>
                <w:spacing w:val="-10"/>
                <w:sz w:val="20"/>
              </w:rPr>
              <w:t>-</w:t>
            </w:r>
          </w:p>
        </w:tc>
        <w:tc>
          <w:tcPr>
            <w:tcW w:w="664" w:type="dxa"/>
          </w:tcPr>
          <w:p>
            <w:pPr>
              <w:pStyle w:val="TableParagraph"/>
              <w:spacing w:line="210" w:lineRule="exact"/>
              <w:ind w:left="3" w:right="16"/>
              <w:jc w:val="center"/>
              <w:rPr>
                <w:sz w:val="20"/>
              </w:rPr>
            </w:pPr>
            <w:r>
              <w:rPr>
                <w:spacing w:val="-10"/>
                <w:sz w:val="20"/>
              </w:rPr>
              <w:t>-</w:t>
            </w:r>
          </w:p>
        </w:tc>
        <w:tc>
          <w:tcPr>
            <w:tcW w:w="777" w:type="dxa"/>
          </w:tcPr>
          <w:p>
            <w:pPr>
              <w:pStyle w:val="TableParagraph"/>
              <w:spacing w:line="210" w:lineRule="exact"/>
              <w:ind w:left="14" w:right="28"/>
              <w:jc w:val="center"/>
              <w:rPr>
                <w:sz w:val="20"/>
              </w:rPr>
            </w:pPr>
            <w:r>
              <w:rPr>
                <w:spacing w:val="-10"/>
                <w:sz w:val="20"/>
              </w:rPr>
              <w:t>-</w:t>
            </w:r>
          </w:p>
        </w:tc>
        <w:tc>
          <w:tcPr>
            <w:tcW w:w="686" w:type="dxa"/>
          </w:tcPr>
          <w:p>
            <w:pPr>
              <w:pStyle w:val="TableParagraph"/>
              <w:spacing w:line="210" w:lineRule="exact"/>
              <w:ind w:left="15" w:right="52"/>
              <w:jc w:val="center"/>
              <w:rPr>
                <w:sz w:val="20"/>
              </w:rPr>
            </w:pPr>
            <w:r>
              <w:rPr>
                <w:spacing w:val="-10"/>
                <w:sz w:val="20"/>
              </w:rPr>
              <w:t>-</w:t>
            </w:r>
          </w:p>
        </w:tc>
        <w:tc>
          <w:tcPr>
            <w:tcW w:w="902" w:type="dxa"/>
          </w:tcPr>
          <w:p>
            <w:pPr>
              <w:pStyle w:val="TableParagraph"/>
              <w:spacing w:line="210" w:lineRule="exact"/>
              <w:ind w:left="20" w:right="6"/>
              <w:jc w:val="center"/>
              <w:rPr>
                <w:sz w:val="20"/>
              </w:rPr>
            </w:pPr>
            <w:r>
              <w:rPr>
                <w:spacing w:val="-10"/>
                <w:sz w:val="20"/>
              </w:rPr>
              <w:t>-</w:t>
            </w:r>
          </w:p>
        </w:tc>
        <w:tc>
          <w:tcPr>
            <w:tcW w:w="710" w:type="dxa"/>
          </w:tcPr>
          <w:p>
            <w:pPr>
              <w:pStyle w:val="TableParagraph"/>
              <w:spacing w:line="210" w:lineRule="exact"/>
              <w:ind w:left="98" w:right="64"/>
              <w:jc w:val="center"/>
              <w:rPr>
                <w:sz w:val="20"/>
              </w:rPr>
            </w:pPr>
            <w:r>
              <w:rPr>
                <w:spacing w:val="-10"/>
                <w:sz w:val="20"/>
              </w:rPr>
              <w:t>-</w:t>
            </w:r>
          </w:p>
        </w:tc>
        <w:tc>
          <w:tcPr>
            <w:tcW w:w="770" w:type="dxa"/>
          </w:tcPr>
          <w:p>
            <w:pPr>
              <w:pStyle w:val="TableParagraph"/>
              <w:spacing w:line="210" w:lineRule="exact"/>
              <w:ind w:left="42" w:right="45"/>
              <w:jc w:val="center"/>
              <w:rPr>
                <w:sz w:val="20"/>
              </w:rPr>
            </w:pPr>
            <w:r>
              <w:rPr>
                <w:spacing w:val="-10"/>
                <w:sz w:val="20"/>
              </w:rPr>
              <w:t>-</w:t>
            </w:r>
          </w:p>
        </w:tc>
        <w:tc>
          <w:tcPr>
            <w:tcW w:w="632" w:type="dxa"/>
          </w:tcPr>
          <w:p>
            <w:pPr>
              <w:pStyle w:val="TableParagraph"/>
              <w:spacing w:line="210" w:lineRule="exact"/>
              <w:ind w:left="61" w:right="49"/>
              <w:jc w:val="center"/>
              <w:rPr>
                <w:sz w:val="20"/>
              </w:rPr>
            </w:pPr>
            <w:r>
              <w:rPr>
                <w:spacing w:val="-10"/>
                <w:sz w:val="20"/>
              </w:rPr>
              <w:t>-</w:t>
            </w:r>
          </w:p>
        </w:tc>
        <w:tc>
          <w:tcPr>
            <w:tcW w:w="739" w:type="dxa"/>
          </w:tcPr>
          <w:p>
            <w:pPr>
              <w:pStyle w:val="TableParagraph"/>
              <w:spacing w:line="210" w:lineRule="exact"/>
              <w:ind w:left="75" w:right="13"/>
              <w:jc w:val="center"/>
              <w:rPr>
                <w:sz w:val="20"/>
              </w:rPr>
            </w:pPr>
            <w:r>
              <w:rPr>
                <w:spacing w:val="-10"/>
                <w:sz w:val="20"/>
              </w:rPr>
              <w:t>-</w:t>
            </w:r>
          </w:p>
        </w:tc>
        <w:tc>
          <w:tcPr>
            <w:tcW w:w="721" w:type="dxa"/>
          </w:tcPr>
          <w:p>
            <w:pPr>
              <w:pStyle w:val="TableParagraph"/>
              <w:spacing w:line="210" w:lineRule="exact"/>
              <w:ind w:left="50" w:right="8"/>
              <w:jc w:val="center"/>
              <w:rPr>
                <w:sz w:val="20"/>
              </w:rPr>
            </w:pPr>
            <w:r>
              <w:rPr>
                <w:spacing w:val="-10"/>
                <w:sz w:val="20"/>
              </w:rPr>
              <w:t>-</w:t>
            </w:r>
          </w:p>
        </w:tc>
        <w:tc>
          <w:tcPr>
            <w:tcW w:w="739" w:type="dxa"/>
            <w:tcBorders>
              <w:right w:val="single" w:sz="4" w:space="0" w:color="000000"/>
            </w:tcBorders>
          </w:tcPr>
          <w:p>
            <w:pPr>
              <w:pStyle w:val="TableParagraph"/>
              <w:spacing w:line="210" w:lineRule="exact"/>
              <w:ind w:left="36" w:right="9"/>
              <w:jc w:val="center"/>
              <w:rPr>
                <w:sz w:val="20"/>
              </w:rPr>
            </w:pPr>
            <w:r>
              <w:rPr>
                <w:spacing w:val="-10"/>
                <w:sz w:val="20"/>
              </w:rPr>
              <w:t>-</w:t>
            </w:r>
          </w:p>
        </w:tc>
      </w:tr>
      <w:tr>
        <w:trPr>
          <w:trHeight w:val="230" w:hRule="atLeast"/>
        </w:trPr>
        <w:tc>
          <w:tcPr>
            <w:tcW w:w="4146" w:type="dxa"/>
            <w:tcBorders>
              <w:left w:val="single" w:sz="4" w:space="0" w:color="000000"/>
            </w:tcBorders>
          </w:tcPr>
          <w:p>
            <w:pPr>
              <w:pStyle w:val="TableParagraph"/>
              <w:spacing w:line="210" w:lineRule="exact"/>
              <w:ind w:right="108"/>
              <w:jc w:val="right"/>
              <w:rPr>
                <w:sz w:val="20"/>
              </w:rPr>
            </w:pPr>
            <w:r>
              <w:rPr>
                <w:sz w:val="20"/>
              </w:rPr>
              <w:t>toilets,</w:t>
            </w:r>
            <w:r>
              <w:rPr>
                <w:spacing w:val="11"/>
                <w:sz w:val="20"/>
              </w:rPr>
              <w:t> </w:t>
            </w:r>
            <w:r>
              <w:rPr>
                <w:sz w:val="20"/>
              </w:rPr>
              <w:t>and</w:t>
            </w:r>
            <w:r>
              <w:rPr>
                <w:spacing w:val="9"/>
                <w:sz w:val="20"/>
              </w:rPr>
              <w:t> </w:t>
            </w:r>
            <w:r>
              <w:rPr>
                <w:sz w:val="20"/>
              </w:rPr>
              <w:t>maintenance</w:t>
            </w:r>
            <w:r>
              <w:rPr>
                <w:spacing w:val="8"/>
                <w:sz w:val="20"/>
              </w:rPr>
              <w:t> </w:t>
            </w:r>
            <w:r>
              <w:rPr>
                <w:sz w:val="20"/>
              </w:rPr>
              <w:t>of</w:t>
            </w:r>
            <w:r>
              <w:rPr>
                <w:spacing w:val="12"/>
                <w:sz w:val="20"/>
              </w:rPr>
              <w:t> </w:t>
            </w:r>
            <w:r>
              <w:rPr>
                <w:spacing w:val="-2"/>
                <w:sz w:val="20"/>
              </w:rPr>
              <w:t>flowers,</w:t>
            </w:r>
          </w:p>
        </w:tc>
        <w:tc>
          <w:tcPr>
            <w:tcW w:w="1796" w:type="dxa"/>
          </w:tcPr>
          <w:p>
            <w:pPr>
              <w:pStyle w:val="TableParagraph"/>
              <w:spacing w:line="210" w:lineRule="exact"/>
              <w:ind w:left="111"/>
              <w:rPr>
                <w:sz w:val="20"/>
              </w:rPr>
            </w:pPr>
            <w:r>
              <w:rPr>
                <w:spacing w:val="-2"/>
                <w:sz w:val="20"/>
              </w:rPr>
              <w:t>Students</w:t>
            </w:r>
          </w:p>
        </w:tc>
        <w:tc>
          <w:tcPr>
            <w:tcW w:w="651" w:type="dxa"/>
          </w:tcPr>
          <w:p>
            <w:pPr>
              <w:pStyle w:val="TableParagraph"/>
              <w:spacing w:line="210" w:lineRule="exact"/>
              <w:ind w:left="86" w:right="5"/>
              <w:jc w:val="center"/>
              <w:rPr>
                <w:sz w:val="20"/>
              </w:rPr>
            </w:pPr>
            <w:r>
              <w:rPr>
                <w:spacing w:val="-5"/>
                <w:sz w:val="20"/>
              </w:rPr>
              <w:t>85</w:t>
            </w:r>
          </w:p>
        </w:tc>
        <w:tc>
          <w:tcPr>
            <w:tcW w:w="830" w:type="dxa"/>
          </w:tcPr>
          <w:p>
            <w:pPr>
              <w:pStyle w:val="TableParagraph"/>
              <w:spacing w:line="210" w:lineRule="exact"/>
              <w:ind w:left="45"/>
              <w:jc w:val="center"/>
              <w:rPr>
                <w:sz w:val="20"/>
              </w:rPr>
            </w:pPr>
            <w:r>
              <w:rPr>
                <w:spacing w:val="-4"/>
                <w:sz w:val="20"/>
              </w:rPr>
              <w:t>36.3</w:t>
            </w:r>
          </w:p>
        </w:tc>
        <w:tc>
          <w:tcPr>
            <w:tcW w:w="664" w:type="dxa"/>
          </w:tcPr>
          <w:p>
            <w:pPr>
              <w:pStyle w:val="TableParagraph"/>
              <w:spacing w:line="210" w:lineRule="exact"/>
              <w:ind w:right="16"/>
              <w:jc w:val="center"/>
              <w:rPr>
                <w:sz w:val="20"/>
              </w:rPr>
            </w:pPr>
            <w:r>
              <w:rPr>
                <w:spacing w:val="-5"/>
                <w:sz w:val="20"/>
              </w:rPr>
              <w:t>105</w:t>
            </w:r>
          </w:p>
        </w:tc>
        <w:tc>
          <w:tcPr>
            <w:tcW w:w="777" w:type="dxa"/>
          </w:tcPr>
          <w:p>
            <w:pPr>
              <w:pStyle w:val="TableParagraph"/>
              <w:spacing w:line="210" w:lineRule="exact"/>
              <w:ind w:left="21" w:right="28"/>
              <w:jc w:val="center"/>
              <w:rPr>
                <w:sz w:val="20"/>
              </w:rPr>
            </w:pPr>
            <w:r>
              <w:rPr>
                <w:spacing w:val="-4"/>
                <w:sz w:val="20"/>
              </w:rPr>
              <w:t>44.9</w:t>
            </w:r>
          </w:p>
        </w:tc>
        <w:tc>
          <w:tcPr>
            <w:tcW w:w="686" w:type="dxa"/>
          </w:tcPr>
          <w:p>
            <w:pPr>
              <w:pStyle w:val="TableParagraph"/>
              <w:spacing w:line="210" w:lineRule="exact"/>
              <w:ind w:left="17" w:right="52"/>
              <w:jc w:val="center"/>
              <w:rPr>
                <w:sz w:val="20"/>
              </w:rPr>
            </w:pPr>
            <w:r>
              <w:rPr>
                <w:spacing w:val="-5"/>
                <w:sz w:val="20"/>
              </w:rPr>
              <w:t>30</w:t>
            </w:r>
          </w:p>
        </w:tc>
        <w:tc>
          <w:tcPr>
            <w:tcW w:w="902" w:type="dxa"/>
          </w:tcPr>
          <w:p>
            <w:pPr>
              <w:pStyle w:val="TableParagraph"/>
              <w:spacing w:line="210" w:lineRule="exact"/>
              <w:ind w:left="21" w:right="1"/>
              <w:jc w:val="center"/>
              <w:rPr>
                <w:sz w:val="20"/>
              </w:rPr>
            </w:pPr>
            <w:r>
              <w:rPr>
                <w:spacing w:val="-4"/>
                <w:sz w:val="20"/>
              </w:rPr>
              <w:t>12.8</w:t>
            </w:r>
          </w:p>
        </w:tc>
        <w:tc>
          <w:tcPr>
            <w:tcW w:w="710" w:type="dxa"/>
          </w:tcPr>
          <w:p>
            <w:pPr>
              <w:pStyle w:val="TableParagraph"/>
              <w:spacing w:line="210" w:lineRule="exact"/>
              <w:ind w:left="98" w:right="62"/>
              <w:jc w:val="center"/>
              <w:rPr>
                <w:sz w:val="20"/>
              </w:rPr>
            </w:pPr>
            <w:r>
              <w:rPr>
                <w:spacing w:val="-5"/>
                <w:sz w:val="20"/>
              </w:rPr>
              <w:t>11</w:t>
            </w:r>
          </w:p>
        </w:tc>
        <w:tc>
          <w:tcPr>
            <w:tcW w:w="770" w:type="dxa"/>
          </w:tcPr>
          <w:p>
            <w:pPr>
              <w:pStyle w:val="TableParagraph"/>
              <w:spacing w:line="210" w:lineRule="exact"/>
              <w:ind w:left="42" w:right="44"/>
              <w:jc w:val="center"/>
              <w:rPr>
                <w:sz w:val="20"/>
              </w:rPr>
            </w:pPr>
            <w:r>
              <w:rPr>
                <w:spacing w:val="-5"/>
                <w:sz w:val="20"/>
              </w:rPr>
              <w:t>4.7</w:t>
            </w:r>
          </w:p>
        </w:tc>
        <w:tc>
          <w:tcPr>
            <w:tcW w:w="632" w:type="dxa"/>
          </w:tcPr>
          <w:p>
            <w:pPr>
              <w:pStyle w:val="TableParagraph"/>
              <w:spacing w:line="210" w:lineRule="exact"/>
              <w:ind w:left="68" w:right="49"/>
              <w:jc w:val="center"/>
              <w:rPr>
                <w:sz w:val="20"/>
              </w:rPr>
            </w:pPr>
            <w:r>
              <w:rPr>
                <w:spacing w:val="-10"/>
                <w:sz w:val="20"/>
              </w:rPr>
              <w:t>3</w:t>
            </w:r>
          </w:p>
        </w:tc>
        <w:tc>
          <w:tcPr>
            <w:tcW w:w="739" w:type="dxa"/>
          </w:tcPr>
          <w:p>
            <w:pPr>
              <w:pStyle w:val="TableParagraph"/>
              <w:spacing w:line="210" w:lineRule="exact"/>
              <w:ind w:left="75" w:right="11"/>
              <w:jc w:val="center"/>
              <w:rPr>
                <w:sz w:val="20"/>
              </w:rPr>
            </w:pPr>
            <w:r>
              <w:rPr>
                <w:spacing w:val="-5"/>
                <w:sz w:val="20"/>
              </w:rPr>
              <w:t>1.3</w:t>
            </w:r>
          </w:p>
        </w:tc>
        <w:tc>
          <w:tcPr>
            <w:tcW w:w="721" w:type="dxa"/>
          </w:tcPr>
          <w:p>
            <w:pPr>
              <w:pStyle w:val="TableParagraph"/>
              <w:spacing w:line="210" w:lineRule="exact"/>
              <w:ind w:left="50" w:right="11"/>
              <w:jc w:val="center"/>
              <w:rPr>
                <w:sz w:val="20"/>
              </w:rPr>
            </w:pPr>
            <w:r>
              <w:rPr>
                <w:spacing w:val="-5"/>
                <w:sz w:val="20"/>
              </w:rPr>
              <w:t>234</w:t>
            </w:r>
          </w:p>
        </w:tc>
        <w:tc>
          <w:tcPr>
            <w:tcW w:w="739" w:type="dxa"/>
            <w:tcBorders>
              <w:right w:val="single" w:sz="4" w:space="0" w:color="000000"/>
            </w:tcBorders>
          </w:tcPr>
          <w:p>
            <w:pPr>
              <w:pStyle w:val="TableParagraph"/>
              <w:spacing w:line="210" w:lineRule="exact"/>
              <w:ind w:left="36" w:right="2"/>
              <w:jc w:val="center"/>
              <w:rPr>
                <w:sz w:val="20"/>
              </w:rPr>
            </w:pPr>
            <w:r>
              <w:rPr>
                <w:spacing w:val="-4"/>
                <w:sz w:val="20"/>
              </w:rPr>
              <w:t>51.1</w:t>
            </w:r>
          </w:p>
        </w:tc>
      </w:tr>
      <w:tr>
        <w:trPr>
          <w:trHeight w:val="230" w:hRule="atLeast"/>
        </w:trPr>
        <w:tc>
          <w:tcPr>
            <w:tcW w:w="4146" w:type="dxa"/>
            <w:tcBorders>
              <w:left w:val="single" w:sz="4" w:space="0" w:color="000000"/>
            </w:tcBorders>
          </w:tcPr>
          <w:p>
            <w:pPr>
              <w:pStyle w:val="TableParagraph"/>
              <w:spacing w:line="210" w:lineRule="exact"/>
              <w:ind w:right="99"/>
              <w:jc w:val="right"/>
              <w:rPr>
                <w:sz w:val="20"/>
              </w:rPr>
            </w:pPr>
            <w:r>
              <w:rPr>
                <w:sz w:val="20"/>
              </w:rPr>
              <w:t>landscaping</w:t>
            </w:r>
            <w:r>
              <w:rPr>
                <w:spacing w:val="-1"/>
                <w:sz w:val="20"/>
              </w:rPr>
              <w:t> </w:t>
            </w:r>
            <w:r>
              <w:rPr>
                <w:sz w:val="20"/>
              </w:rPr>
              <w:t>will</w:t>
            </w:r>
            <w:r>
              <w:rPr>
                <w:spacing w:val="-1"/>
                <w:sz w:val="20"/>
              </w:rPr>
              <w:t> </w:t>
            </w:r>
            <w:r>
              <w:rPr>
                <w:sz w:val="20"/>
              </w:rPr>
              <w:t>enhance</w:t>
            </w:r>
            <w:r>
              <w:rPr>
                <w:spacing w:val="-5"/>
                <w:sz w:val="20"/>
              </w:rPr>
              <w:t> </w:t>
            </w:r>
            <w:r>
              <w:rPr>
                <w:spacing w:val="-2"/>
                <w:sz w:val="20"/>
              </w:rPr>
              <w:t>conducive</w:t>
            </w:r>
          </w:p>
        </w:tc>
        <w:tc>
          <w:tcPr>
            <w:tcW w:w="1796" w:type="dxa"/>
          </w:tcPr>
          <w:p>
            <w:pPr>
              <w:pStyle w:val="TableParagraph"/>
              <w:spacing w:line="210" w:lineRule="exact"/>
              <w:ind w:left="111"/>
              <w:rPr>
                <w:sz w:val="20"/>
              </w:rPr>
            </w:pPr>
            <w:r>
              <w:rPr>
                <w:sz w:val="20"/>
              </w:rPr>
              <w:t>Service</w:t>
            </w:r>
            <w:r>
              <w:rPr>
                <w:spacing w:val="-9"/>
                <w:sz w:val="20"/>
              </w:rPr>
              <w:t> </w:t>
            </w:r>
            <w:r>
              <w:rPr>
                <w:spacing w:val="-2"/>
                <w:sz w:val="20"/>
              </w:rPr>
              <w:t>Staff</w:t>
            </w:r>
          </w:p>
        </w:tc>
        <w:tc>
          <w:tcPr>
            <w:tcW w:w="651" w:type="dxa"/>
          </w:tcPr>
          <w:p>
            <w:pPr>
              <w:pStyle w:val="TableParagraph"/>
              <w:spacing w:line="210" w:lineRule="exact"/>
              <w:ind w:left="86" w:right="5"/>
              <w:jc w:val="center"/>
              <w:rPr>
                <w:sz w:val="20"/>
              </w:rPr>
            </w:pPr>
            <w:r>
              <w:rPr>
                <w:spacing w:val="-5"/>
                <w:sz w:val="20"/>
              </w:rPr>
              <w:t>81</w:t>
            </w:r>
          </w:p>
        </w:tc>
        <w:tc>
          <w:tcPr>
            <w:tcW w:w="830" w:type="dxa"/>
          </w:tcPr>
          <w:p>
            <w:pPr>
              <w:pStyle w:val="TableParagraph"/>
              <w:spacing w:line="210" w:lineRule="exact"/>
              <w:ind w:left="45"/>
              <w:jc w:val="center"/>
              <w:rPr>
                <w:sz w:val="20"/>
              </w:rPr>
            </w:pPr>
            <w:r>
              <w:rPr>
                <w:spacing w:val="-4"/>
                <w:sz w:val="20"/>
              </w:rPr>
              <w:t>40.1</w:t>
            </w:r>
          </w:p>
        </w:tc>
        <w:tc>
          <w:tcPr>
            <w:tcW w:w="664" w:type="dxa"/>
          </w:tcPr>
          <w:p>
            <w:pPr>
              <w:pStyle w:val="TableParagraph"/>
              <w:spacing w:line="210" w:lineRule="exact"/>
              <w:ind w:left="5" w:right="16"/>
              <w:jc w:val="center"/>
              <w:rPr>
                <w:sz w:val="20"/>
              </w:rPr>
            </w:pPr>
            <w:r>
              <w:rPr>
                <w:spacing w:val="-5"/>
                <w:sz w:val="20"/>
              </w:rPr>
              <w:t>91</w:t>
            </w:r>
          </w:p>
        </w:tc>
        <w:tc>
          <w:tcPr>
            <w:tcW w:w="777" w:type="dxa"/>
          </w:tcPr>
          <w:p>
            <w:pPr>
              <w:pStyle w:val="TableParagraph"/>
              <w:spacing w:line="210" w:lineRule="exact"/>
              <w:ind w:left="21" w:right="28"/>
              <w:jc w:val="center"/>
              <w:rPr>
                <w:sz w:val="20"/>
              </w:rPr>
            </w:pPr>
            <w:r>
              <w:rPr>
                <w:spacing w:val="-4"/>
                <w:sz w:val="20"/>
              </w:rPr>
              <w:t>45.0</w:t>
            </w:r>
          </w:p>
        </w:tc>
        <w:tc>
          <w:tcPr>
            <w:tcW w:w="686" w:type="dxa"/>
          </w:tcPr>
          <w:p>
            <w:pPr>
              <w:pStyle w:val="TableParagraph"/>
              <w:spacing w:line="210" w:lineRule="exact"/>
              <w:ind w:left="17" w:right="52"/>
              <w:jc w:val="center"/>
              <w:rPr>
                <w:sz w:val="20"/>
              </w:rPr>
            </w:pPr>
            <w:r>
              <w:rPr>
                <w:spacing w:val="-5"/>
                <w:sz w:val="20"/>
              </w:rPr>
              <w:t>17</w:t>
            </w:r>
          </w:p>
        </w:tc>
        <w:tc>
          <w:tcPr>
            <w:tcW w:w="902" w:type="dxa"/>
          </w:tcPr>
          <w:p>
            <w:pPr>
              <w:pStyle w:val="TableParagraph"/>
              <w:spacing w:line="210" w:lineRule="exact"/>
              <w:ind w:left="20" w:right="5"/>
              <w:jc w:val="center"/>
              <w:rPr>
                <w:sz w:val="20"/>
              </w:rPr>
            </w:pPr>
            <w:r>
              <w:rPr>
                <w:spacing w:val="-5"/>
                <w:sz w:val="20"/>
              </w:rPr>
              <w:t>8.4</w:t>
            </w:r>
          </w:p>
        </w:tc>
        <w:tc>
          <w:tcPr>
            <w:tcW w:w="710" w:type="dxa"/>
          </w:tcPr>
          <w:p>
            <w:pPr>
              <w:pStyle w:val="TableParagraph"/>
              <w:spacing w:line="210" w:lineRule="exact"/>
              <w:ind w:left="98" w:right="58"/>
              <w:jc w:val="center"/>
              <w:rPr>
                <w:sz w:val="20"/>
              </w:rPr>
            </w:pPr>
            <w:r>
              <w:rPr>
                <w:spacing w:val="-10"/>
                <w:sz w:val="20"/>
              </w:rPr>
              <w:t>8</w:t>
            </w:r>
          </w:p>
        </w:tc>
        <w:tc>
          <w:tcPr>
            <w:tcW w:w="770" w:type="dxa"/>
          </w:tcPr>
          <w:p>
            <w:pPr>
              <w:pStyle w:val="TableParagraph"/>
              <w:spacing w:line="210" w:lineRule="exact"/>
              <w:ind w:left="42" w:right="44"/>
              <w:jc w:val="center"/>
              <w:rPr>
                <w:sz w:val="20"/>
              </w:rPr>
            </w:pPr>
            <w:r>
              <w:rPr>
                <w:spacing w:val="-5"/>
                <w:sz w:val="20"/>
              </w:rPr>
              <w:t>4.0</w:t>
            </w:r>
          </w:p>
        </w:tc>
        <w:tc>
          <w:tcPr>
            <w:tcW w:w="632" w:type="dxa"/>
          </w:tcPr>
          <w:p>
            <w:pPr>
              <w:pStyle w:val="TableParagraph"/>
              <w:spacing w:line="210" w:lineRule="exact"/>
              <w:ind w:left="68" w:right="49"/>
              <w:jc w:val="center"/>
              <w:rPr>
                <w:sz w:val="20"/>
              </w:rPr>
            </w:pPr>
            <w:r>
              <w:rPr>
                <w:spacing w:val="-10"/>
                <w:sz w:val="20"/>
              </w:rPr>
              <w:t>5</w:t>
            </w:r>
          </w:p>
        </w:tc>
        <w:tc>
          <w:tcPr>
            <w:tcW w:w="739" w:type="dxa"/>
          </w:tcPr>
          <w:p>
            <w:pPr>
              <w:pStyle w:val="TableParagraph"/>
              <w:spacing w:line="210" w:lineRule="exact"/>
              <w:ind w:left="75" w:right="11"/>
              <w:jc w:val="center"/>
              <w:rPr>
                <w:sz w:val="20"/>
              </w:rPr>
            </w:pPr>
            <w:r>
              <w:rPr>
                <w:spacing w:val="-5"/>
                <w:sz w:val="20"/>
              </w:rPr>
              <w:t>2.5</w:t>
            </w:r>
          </w:p>
        </w:tc>
        <w:tc>
          <w:tcPr>
            <w:tcW w:w="721" w:type="dxa"/>
          </w:tcPr>
          <w:p>
            <w:pPr>
              <w:pStyle w:val="TableParagraph"/>
              <w:spacing w:line="210" w:lineRule="exact"/>
              <w:ind w:left="50" w:right="11"/>
              <w:jc w:val="center"/>
              <w:rPr>
                <w:sz w:val="20"/>
              </w:rPr>
            </w:pPr>
            <w:r>
              <w:rPr>
                <w:spacing w:val="-5"/>
                <w:sz w:val="20"/>
              </w:rPr>
              <w:t>202</w:t>
            </w:r>
          </w:p>
        </w:tc>
        <w:tc>
          <w:tcPr>
            <w:tcW w:w="739" w:type="dxa"/>
            <w:tcBorders>
              <w:right w:val="single" w:sz="4" w:space="0" w:color="000000"/>
            </w:tcBorders>
          </w:tcPr>
          <w:p>
            <w:pPr>
              <w:pStyle w:val="TableParagraph"/>
              <w:spacing w:line="210" w:lineRule="exact"/>
              <w:ind w:left="36" w:right="2"/>
              <w:jc w:val="center"/>
              <w:rPr>
                <w:sz w:val="20"/>
              </w:rPr>
            </w:pPr>
            <w:r>
              <w:rPr>
                <w:spacing w:val="-4"/>
                <w:sz w:val="20"/>
              </w:rPr>
              <w:t>44.1</w:t>
            </w:r>
          </w:p>
        </w:tc>
      </w:tr>
      <w:tr>
        <w:trPr>
          <w:trHeight w:val="463" w:hRule="atLeast"/>
        </w:trPr>
        <w:tc>
          <w:tcPr>
            <w:tcW w:w="4146" w:type="dxa"/>
            <w:tcBorders>
              <w:left w:val="single" w:sz="4" w:space="0" w:color="000000"/>
              <w:bottom w:val="single" w:sz="4" w:space="0" w:color="000000"/>
            </w:tcBorders>
          </w:tcPr>
          <w:p>
            <w:pPr>
              <w:pStyle w:val="TableParagraph"/>
              <w:tabs>
                <w:tab w:pos="2202" w:val="left" w:leader="none"/>
                <w:tab w:pos="2716" w:val="left" w:leader="none"/>
                <w:tab w:pos="3700" w:val="left" w:leader="none"/>
              </w:tabs>
              <w:spacing w:line="230" w:lineRule="exact"/>
              <w:ind w:left="830" w:right="105"/>
              <w:rPr>
                <w:sz w:val="20"/>
              </w:rPr>
            </w:pPr>
            <w:r>
              <w:rPr>
                <w:spacing w:val="-2"/>
                <w:sz w:val="20"/>
              </w:rPr>
              <w:t>environment</w:t>
            </w:r>
            <w:r>
              <w:rPr>
                <w:sz w:val="20"/>
              </w:rPr>
              <w:tab/>
            </w:r>
            <w:r>
              <w:rPr>
                <w:spacing w:val="-4"/>
                <w:sz w:val="20"/>
              </w:rPr>
              <w:t>for</w:t>
            </w:r>
            <w:r>
              <w:rPr>
                <w:sz w:val="20"/>
              </w:rPr>
              <w:tab/>
            </w:r>
            <w:r>
              <w:rPr>
                <w:spacing w:val="-2"/>
                <w:sz w:val="20"/>
              </w:rPr>
              <w:t>learning</w:t>
            </w:r>
            <w:r>
              <w:rPr>
                <w:sz w:val="20"/>
              </w:rPr>
              <w:tab/>
            </w:r>
            <w:r>
              <w:rPr>
                <w:spacing w:val="-4"/>
                <w:sz w:val="20"/>
              </w:rPr>
              <w:t>and </w:t>
            </w:r>
            <w:r>
              <w:rPr>
                <w:spacing w:val="-2"/>
                <w:sz w:val="20"/>
              </w:rPr>
              <w:t>research.</w:t>
            </w:r>
          </w:p>
        </w:tc>
        <w:tc>
          <w:tcPr>
            <w:tcW w:w="1796" w:type="dxa"/>
            <w:tcBorders>
              <w:bottom w:val="single" w:sz="4" w:space="0" w:color="000000"/>
            </w:tcBorders>
          </w:tcPr>
          <w:p>
            <w:pPr>
              <w:pStyle w:val="TableParagraph"/>
              <w:spacing w:before="7"/>
              <w:ind w:left="111"/>
              <w:rPr>
                <w:sz w:val="20"/>
              </w:rPr>
            </w:pPr>
            <w:r>
              <w:rPr>
                <w:sz w:val="20"/>
              </w:rPr>
              <w:t>Top</w:t>
            </w:r>
            <w:r>
              <w:rPr>
                <w:spacing w:val="-1"/>
                <w:sz w:val="20"/>
              </w:rPr>
              <w:t> </w:t>
            </w:r>
            <w:r>
              <w:rPr>
                <w:spacing w:val="-2"/>
                <w:sz w:val="20"/>
              </w:rPr>
              <w:t>Management</w:t>
            </w:r>
          </w:p>
        </w:tc>
        <w:tc>
          <w:tcPr>
            <w:tcW w:w="651" w:type="dxa"/>
            <w:tcBorders>
              <w:bottom w:val="single" w:sz="4" w:space="0" w:color="000000"/>
            </w:tcBorders>
          </w:tcPr>
          <w:p>
            <w:pPr>
              <w:pStyle w:val="TableParagraph"/>
              <w:spacing w:before="7"/>
              <w:ind w:left="86" w:right="5"/>
              <w:jc w:val="center"/>
              <w:rPr>
                <w:sz w:val="20"/>
              </w:rPr>
            </w:pPr>
            <w:r>
              <w:rPr>
                <w:spacing w:val="-5"/>
                <w:sz w:val="20"/>
              </w:rPr>
              <w:t>10</w:t>
            </w:r>
          </w:p>
        </w:tc>
        <w:tc>
          <w:tcPr>
            <w:tcW w:w="830" w:type="dxa"/>
            <w:tcBorders>
              <w:bottom w:val="single" w:sz="4" w:space="0" w:color="000000"/>
            </w:tcBorders>
          </w:tcPr>
          <w:p>
            <w:pPr>
              <w:pStyle w:val="TableParagraph"/>
              <w:spacing w:before="7"/>
              <w:ind w:left="45"/>
              <w:jc w:val="center"/>
              <w:rPr>
                <w:sz w:val="20"/>
              </w:rPr>
            </w:pPr>
            <w:r>
              <w:rPr>
                <w:spacing w:val="-4"/>
                <w:sz w:val="20"/>
              </w:rPr>
              <w:t>45.5</w:t>
            </w:r>
          </w:p>
        </w:tc>
        <w:tc>
          <w:tcPr>
            <w:tcW w:w="664" w:type="dxa"/>
            <w:tcBorders>
              <w:bottom w:val="single" w:sz="4" w:space="0" w:color="000000"/>
            </w:tcBorders>
          </w:tcPr>
          <w:p>
            <w:pPr>
              <w:pStyle w:val="TableParagraph"/>
              <w:spacing w:before="7"/>
              <w:ind w:left="10" w:right="16"/>
              <w:jc w:val="center"/>
              <w:rPr>
                <w:sz w:val="20"/>
              </w:rPr>
            </w:pPr>
            <w:r>
              <w:rPr>
                <w:spacing w:val="-10"/>
                <w:sz w:val="20"/>
              </w:rPr>
              <w:t>8</w:t>
            </w:r>
          </w:p>
        </w:tc>
        <w:tc>
          <w:tcPr>
            <w:tcW w:w="777" w:type="dxa"/>
            <w:tcBorders>
              <w:bottom w:val="single" w:sz="4" w:space="0" w:color="000000"/>
            </w:tcBorders>
          </w:tcPr>
          <w:p>
            <w:pPr>
              <w:pStyle w:val="TableParagraph"/>
              <w:spacing w:before="7"/>
              <w:ind w:left="21" w:right="28"/>
              <w:jc w:val="center"/>
              <w:rPr>
                <w:sz w:val="20"/>
              </w:rPr>
            </w:pPr>
            <w:r>
              <w:rPr>
                <w:spacing w:val="-4"/>
                <w:sz w:val="20"/>
              </w:rPr>
              <w:t>36.4</w:t>
            </w:r>
          </w:p>
        </w:tc>
        <w:tc>
          <w:tcPr>
            <w:tcW w:w="686" w:type="dxa"/>
            <w:tcBorders>
              <w:bottom w:val="single" w:sz="4" w:space="0" w:color="000000"/>
            </w:tcBorders>
          </w:tcPr>
          <w:p>
            <w:pPr>
              <w:pStyle w:val="TableParagraph"/>
              <w:spacing w:before="7"/>
              <w:ind w:left="22" w:right="52"/>
              <w:jc w:val="center"/>
              <w:rPr>
                <w:sz w:val="20"/>
              </w:rPr>
            </w:pPr>
            <w:r>
              <w:rPr>
                <w:spacing w:val="-10"/>
                <w:sz w:val="20"/>
              </w:rPr>
              <w:t>4</w:t>
            </w:r>
          </w:p>
        </w:tc>
        <w:tc>
          <w:tcPr>
            <w:tcW w:w="902" w:type="dxa"/>
            <w:tcBorders>
              <w:bottom w:val="single" w:sz="4" w:space="0" w:color="000000"/>
            </w:tcBorders>
          </w:tcPr>
          <w:p>
            <w:pPr>
              <w:pStyle w:val="TableParagraph"/>
              <w:spacing w:before="7"/>
              <w:ind w:left="21" w:right="1"/>
              <w:jc w:val="center"/>
              <w:rPr>
                <w:sz w:val="20"/>
              </w:rPr>
            </w:pPr>
            <w:r>
              <w:rPr>
                <w:spacing w:val="-4"/>
                <w:sz w:val="20"/>
              </w:rPr>
              <w:t>18.2</w:t>
            </w:r>
          </w:p>
        </w:tc>
        <w:tc>
          <w:tcPr>
            <w:tcW w:w="710" w:type="dxa"/>
            <w:tcBorders>
              <w:bottom w:val="single" w:sz="4" w:space="0" w:color="000000"/>
            </w:tcBorders>
          </w:tcPr>
          <w:p>
            <w:pPr>
              <w:pStyle w:val="TableParagraph"/>
              <w:spacing w:before="7"/>
              <w:ind w:left="98" w:right="64"/>
              <w:jc w:val="center"/>
              <w:rPr>
                <w:sz w:val="20"/>
              </w:rPr>
            </w:pPr>
            <w:r>
              <w:rPr>
                <w:spacing w:val="-10"/>
                <w:sz w:val="20"/>
              </w:rPr>
              <w:t>-</w:t>
            </w:r>
          </w:p>
        </w:tc>
        <w:tc>
          <w:tcPr>
            <w:tcW w:w="770" w:type="dxa"/>
            <w:tcBorders>
              <w:bottom w:val="single" w:sz="4" w:space="0" w:color="000000"/>
            </w:tcBorders>
          </w:tcPr>
          <w:p>
            <w:pPr>
              <w:pStyle w:val="TableParagraph"/>
              <w:spacing w:before="7"/>
              <w:ind w:left="42" w:right="45"/>
              <w:jc w:val="center"/>
              <w:rPr>
                <w:sz w:val="20"/>
              </w:rPr>
            </w:pPr>
            <w:r>
              <w:rPr>
                <w:spacing w:val="-10"/>
                <w:sz w:val="20"/>
              </w:rPr>
              <w:t>-</w:t>
            </w:r>
          </w:p>
        </w:tc>
        <w:tc>
          <w:tcPr>
            <w:tcW w:w="632" w:type="dxa"/>
            <w:tcBorders>
              <w:bottom w:val="single" w:sz="4" w:space="0" w:color="000000"/>
            </w:tcBorders>
          </w:tcPr>
          <w:p>
            <w:pPr>
              <w:pStyle w:val="TableParagraph"/>
              <w:spacing w:before="7"/>
              <w:ind w:left="61" w:right="49"/>
              <w:jc w:val="center"/>
              <w:rPr>
                <w:sz w:val="20"/>
              </w:rPr>
            </w:pPr>
            <w:r>
              <w:rPr>
                <w:spacing w:val="-10"/>
                <w:sz w:val="20"/>
              </w:rPr>
              <w:t>-</w:t>
            </w:r>
          </w:p>
        </w:tc>
        <w:tc>
          <w:tcPr>
            <w:tcW w:w="739" w:type="dxa"/>
            <w:tcBorders>
              <w:bottom w:val="single" w:sz="4" w:space="0" w:color="000000"/>
            </w:tcBorders>
          </w:tcPr>
          <w:p>
            <w:pPr>
              <w:pStyle w:val="TableParagraph"/>
              <w:spacing w:before="7"/>
              <w:ind w:left="75" w:right="13"/>
              <w:jc w:val="center"/>
              <w:rPr>
                <w:sz w:val="20"/>
              </w:rPr>
            </w:pPr>
            <w:r>
              <w:rPr>
                <w:spacing w:val="-10"/>
                <w:sz w:val="20"/>
              </w:rPr>
              <w:t>-</w:t>
            </w:r>
          </w:p>
        </w:tc>
        <w:tc>
          <w:tcPr>
            <w:tcW w:w="721" w:type="dxa"/>
            <w:tcBorders>
              <w:bottom w:val="single" w:sz="4" w:space="0" w:color="000000"/>
            </w:tcBorders>
          </w:tcPr>
          <w:p>
            <w:pPr>
              <w:pStyle w:val="TableParagraph"/>
              <w:spacing w:before="7"/>
              <w:ind w:left="50" w:right="6"/>
              <w:jc w:val="center"/>
              <w:rPr>
                <w:sz w:val="20"/>
              </w:rPr>
            </w:pPr>
            <w:r>
              <w:rPr>
                <w:spacing w:val="-5"/>
                <w:sz w:val="20"/>
              </w:rPr>
              <w:t>22</w:t>
            </w:r>
          </w:p>
        </w:tc>
        <w:tc>
          <w:tcPr>
            <w:tcW w:w="739" w:type="dxa"/>
            <w:tcBorders>
              <w:bottom w:val="single" w:sz="4" w:space="0" w:color="000000"/>
              <w:right w:val="single" w:sz="4" w:space="0" w:color="000000"/>
            </w:tcBorders>
          </w:tcPr>
          <w:p>
            <w:pPr>
              <w:pStyle w:val="TableParagraph"/>
              <w:spacing w:before="7"/>
              <w:ind w:left="36" w:right="7"/>
              <w:jc w:val="center"/>
              <w:rPr>
                <w:sz w:val="20"/>
              </w:rPr>
            </w:pPr>
            <w:r>
              <w:rPr>
                <w:spacing w:val="-5"/>
                <w:sz w:val="20"/>
              </w:rPr>
              <w:t>4.8</w:t>
            </w:r>
          </w:p>
        </w:tc>
      </w:tr>
    </w:tbl>
    <w:p>
      <w:pPr>
        <w:spacing w:after="0"/>
        <w:jc w:val="center"/>
        <w:rPr>
          <w:sz w:val="20"/>
        </w:rPr>
        <w:sectPr>
          <w:headerReference w:type="default" r:id="rId401"/>
          <w:footerReference w:type="default" r:id="rId402"/>
          <w:pgSz w:w="15840" w:h="12240" w:orient="landscape"/>
          <w:pgMar w:header="722" w:footer="791" w:top="1340" w:bottom="980" w:left="500" w:right="360"/>
        </w:sectPr>
      </w:pPr>
    </w:p>
    <w:p>
      <w:pPr>
        <w:pStyle w:val="BodyText"/>
        <w:spacing w:before="171"/>
        <w:rPr>
          <w:rFonts w:ascii="Arial"/>
          <w:b/>
        </w:rPr>
      </w:pPr>
    </w:p>
    <w:p>
      <w:pPr>
        <w:pStyle w:val="BodyText"/>
        <w:spacing w:line="480" w:lineRule="auto"/>
        <w:ind w:left="840" w:right="555" w:firstLine="720"/>
        <w:jc w:val="both"/>
      </w:pPr>
      <w:r>
        <w:rPr/>
        <w:t>There seemed to be a general consensus of opinion among the three categories of respondents in the belief that shortage of funds is instrumental to the inability of the universities to manage and meet the welfare needs of the teeming population of students. This view</w:t>
      </w:r>
      <w:r>
        <w:rPr>
          <w:spacing w:val="-1"/>
        </w:rPr>
        <w:t> </w:t>
      </w:r>
      <w:r>
        <w:rPr/>
        <w:t>was expressed by the opinions of 85.1 percent of students, 88.5 percent of service staff and 95.7 percent of top management staff. This high consensus might be influenced by the constant</w:t>
      </w:r>
      <w:r>
        <w:rPr>
          <w:spacing w:val="40"/>
        </w:rPr>
        <w:t> </w:t>
      </w:r>
      <w:r>
        <w:rPr/>
        <w:t>hues and cries by campus unions, stake holders, parents and even individuals that</w:t>
      </w:r>
      <w:r>
        <w:rPr>
          <w:spacing w:val="-3"/>
        </w:rPr>
        <w:t> </w:t>
      </w:r>
      <w:r>
        <w:rPr/>
        <w:t>universities</w:t>
      </w:r>
      <w:r>
        <w:rPr>
          <w:spacing w:val="-3"/>
        </w:rPr>
        <w:t> </w:t>
      </w:r>
      <w:r>
        <w:rPr/>
        <w:t>have</w:t>
      </w:r>
      <w:r>
        <w:rPr>
          <w:spacing w:val="-2"/>
        </w:rPr>
        <w:t> </w:t>
      </w:r>
      <w:r>
        <w:rPr/>
        <w:t>over</w:t>
      </w:r>
      <w:r>
        <w:rPr>
          <w:spacing w:val="-1"/>
        </w:rPr>
        <w:t> </w:t>
      </w:r>
      <w:r>
        <w:rPr/>
        <w:t>the</w:t>
      </w:r>
      <w:r>
        <w:rPr>
          <w:spacing w:val="-2"/>
        </w:rPr>
        <w:t> </w:t>
      </w:r>
      <w:r>
        <w:rPr/>
        <w:t>years</w:t>
      </w:r>
      <w:r>
        <w:rPr>
          <w:spacing w:val="-3"/>
        </w:rPr>
        <w:t> </w:t>
      </w:r>
      <w:r>
        <w:rPr/>
        <w:t>been</w:t>
      </w:r>
      <w:r>
        <w:rPr>
          <w:spacing w:val="-2"/>
        </w:rPr>
        <w:t> </w:t>
      </w:r>
      <w:r>
        <w:rPr/>
        <w:t>starved</w:t>
      </w:r>
      <w:r>
        <w:rPr>
          <w:spacing w:val="-2"/>
        </w:rPr>
        <w:t> </w:t>
      </w:r>
      <w:r>
        <w:rPr/>
        <w:t>of</w:t>
      </w:r>
      <w:r>
        <w:rPr>
          <w:spacing w:val="-3"/>
        </w:rPr>
        <w:t> </w:t>
      </w:r>
      <w:r>
        <w:rPr/>
        <w:t>funds,</w:t>
      </w:r>
      <w:r>
        <w:rPr>
          <w:spacing w:val="-3"/>
        </w:rPr>
        <w:t> </w:t>
      </w:r>
      <w:r>
        <w:rPr/>
        <w:t>which</w:t>
      </w:r>
      <w:r>
        <w:rPr>
          <w:spacing w:val="-2"/>
        </w:rPr>
        <w:t> </w:t>
      </w:r>
      <w:r>
        <w:rPr/>
        <w:t>made</w:t>
      </w:r>
      <w:r>
        <w:rPr>
          <w:spacing w:val="-2"/>
        </w:rPr>
        <w:t> </w:t>
      </w:r>
      <w:r>
        <w:rPr/>
        <w:t>it</w:t>
      </w:r>
      <w:r>
        <w:rPr>
          <w:spacing w:val="-3"/>
        </w:rPr>
        <w:t> </w:t>
      </w:r>
      <w:r>
        <w:rPr/>
        <w:t>difficult for the universities to carryout their mandate of teaching, learning and research. This complaint had been of serious concern, particularly to stake holders, as no achievement can be made without funds.</w:t>
      </w:r>
    </w:p>
    <w:p>
      <w:pPr>
        <w:pStyle w:val="BodyText"/>
        <w:spacing w:line="480" w:lineRule="auto" w:before="1"/>
        <w:ind w:left="840" w:right="555" w:firstLine="720"/>
        <w:jc w:val="both"/>
      </w:pPr>
      <w:r>
        <w:rPr/>
        <w:t>It was agreed by 82.6 percent of students, 88.7 percent of service staff</w:t>
      </w:r>
      <w:r>
        <w:rPr>
          <w:spacing w:val="40"/>
        </w:rPr>
        <w:t> </w:t>
      </w:r>
      <w:r>
        <w:rPr/>
        <w:t>and 91.3 percent of top management that the role of Students’ Affairs Division, Accommodation Allocation Committee, University Committee system, Student Welfare Service Management Board, Sports Committee were seen as some of the useful strategies adopted by University Management under study to assist immensely in yielding positive results in students’ welfare. Very negligible percentage of respondents</w:t>
      </w:r>
      <w:r>
        <w:rPr>
          <w:spacing w:val="-4"/>
        </w:rPr>
        <w:t> </w:t>
      </w:r>
      <w:r>
        <w:rPr/>
        <w:t>however disagreed</w:t>
      </w:r>
      <w:r>
        <w:rPr>
          <w:spacing w:val="-3"/>
        </w:rPr>
        <w:t> </w:t>
      </w:r>
      <w:r>
        <w:rPr/>
        <w:t>in their</w:t>
      </w:r>
      <w:r>
        <w:rPr>
          <w:spacing w:val="-2"/>
        </w:rPr>
        <w:t> </w:t>
      </w:r>
      <w:r>
        <w:rPr/>
        <w:t>opinion</w:t>
      </w:r>
      <w:r>
        <w:rPr>
          <w:spacing w:val="-3"/>
        </w:rPr>
        <w:t> </w:t>
      </w:r>
      <w:r>
        <w:rPr/>
        <w:t>with this</w:t>
      </w:r>
      <w:r>
        <w:rPr>
          <w:spacing w:val="-4"/>
        </w:rPr>
        <w:t> </w:t>
      </w:r>
      <w:r>
        <w:rPr/>
        <w:t>view. The high percent in congruence seemed to uphold that multiple methodologies of managing a problem assisted tremendously. In the university system the use of committee system could give room for flexible exchange of ideas, democratic device for faster problem solving techniques.</w:t>
      </w:r>
    </w:p>
    <w:p>
      <w:pPr>
        <w:spacing w:after="0" w:line="480" w:lineRule="auto"/>
        <w:jc w:val="both"/>
        <w:sectPr>
          <w:headerReference w:type="default" r:id="rId403"/>
          <w:footerReference w:type="default" r:id="rId404"/>
          <w:pgSz w:w="12240" w:h="15840"/>
          <w:pgMar w:header="722" w:footer="791" w:top="980" w:bottom="980" w:left="1320" w:right="880"/>
        </w:sectPr>
      </w:pPr>
    </w:p>
    <w:p>
      <w:pPr>
        <w:pStyle w:val="BodyText"/>
        <w:spacing w:before="171"/>
      </w:pPr>
    </w:p>
    <w:p>
      <w:pPr>
        <w:pStyle w:val="BodyText"/>
        <w:spacing w:line="480" w:lineRule="auto"/>
        <w:ind w:left="840" w:right="554" w:firstLine="720"/>
        <w:jc w:val="both"/>
      </w:pPr>
      <w:r>
        <w:rPr/>
        <w:t>Item 95 talked about application of good policies,</w:t>
      </w:r>
      <w:r>
        <w:rPr>
          <w:spacing w:val="-1"/>
        </w:rPr>
        <w:t> </w:t>
      </w:r>
      <w:r>
        <w:rPr/>
        <w:t>laws, statutes, rules and regulations for facilitation of effective and efficient management of students’ welfare by the university management. This opinion was submitted by 48.9 percent of students, 64.6 percent of service staff and 60.9 percent of top management staff. The importance of application and strict adherence to rule of laws, rules and regulation could contribute in no small measure to peaceful coexistence of inhabitants, particularly large groups like institutions and organizations. No society did exist without norms, values and standards which are tools for control and peace. According to 47.2 percent of students the Accommodation Allocation Committee had not eased any problem of bedspace allocation to students</w:t>
      </w:r>
      <w:r>
        <w:rPr>
          <w:spacing w:val="-5"/>
        </w:rPr>
        <w:t> </w:t>
      </w:r>
      <w:r>
        <w:rPr/>
        <w:t>in all hostels as raised by item</w:t>
      </w:r>
      <w:r>
        <w:rPr>
          <w:spacing w:val="-8"/>
        </w:rPr>
        <w:t> </w:t>
      </w:r>
      <w:r>
        <w:rPr/>
        <w:t>96. However 41.4 percent of service</w:t>
      </w:r>
      <w:r>
        <w:rPr>
          <w:spacing w:val="18"/>
        </w:rPr>
        <w:t> </w:t>
      </w:r>
      <w:r>
        <w:rPr/>
        <w:t>staff</w:t>
      </w:r>
      <w:r>
        <w:rPr>
          <w:spacing w:val="17"/>
        </w:rPr>
        <w:t> </w:t>
      </w:r>
      <w:r>
        <w:rPr/>
        <w:t>and</w:t>
      </w:r>
      <w:r>
        <w:rPr>
          <w:spacing w:val="18"/>
        </w:rPr>
        <w:t> </w:t>
      </w:r>
      <w:r>
        <w:rPr/>
        <w:t>47.8</w:t>
      </w:r>
      <w:r>
        <w:rPr>
          <w:spacing w:val="18"/>
        </w:rPr>
        <w:t> </w:t>
      </w:r>
      <w:r>
        <w:rPr/>
        <w:t>percent</w:t>
      </w:r>
      <w:r>
        <w:rPr>
          <w:spacing w:val="18"/>
        </w:rPr>
        <w:t> </w:t>
      </w:r>
      <w:r>
        <w:rPr/>
        <w:t>of</w:t>
      </w:r>
      <w:r>
        <w:rPr>
          <w:spacing w:val="17"/>
        </w:rPr>
        <w:t> </w:t>
      </w:r>
      <w:r>
        <w:rPr/>
        <w:t>top</w:t>
      </w:r>
      <w:r>
        <w:rPr>
          <w:spacing w:val="18"/>
        </w:rPr>
        <w:t> </w:t>
      </w:r>
      <w:r>
        <w:rPr/>
        <w:t>management</w:t>
      </w:r>
      <w:r>
        <w:rPr>
          <w:spacing w:val="18"/>
        </w:rPr>
        <w:t> </w:t>
      </w:r>
      <w:r>
        <w:rPr/>
        <w:t>had</w:t>
      </w:r>
      <w:r>
        <w:rPr>
          <w:spacing w:val="18"/>
        </w:rPr>
        <w:t> </w:t>
      </w:r>
      <w:r>
        <w:rPr/>
        <w:t>a</w:t>
      </w:r>
      <w:r>
        <w:rPr>
          <w:spacing w:val="18"/>
        </w:rPr>
        <w:t> </w:t>
      </w:r>
      <w:r>
        <w:rPr/>
        <w:t>contrary</w:t>
      </w:r>
      <w:r>
        <w:rPr>
          <w:spacing w:val="17"/>
        </w:rPr>
        <w:t> </w:t>
      </w:r>
      <w:r>
        <w:rPr/>
        <w:t>opinion</w:t>
      </w:r>
      <w:r>
        <w:rPr>
          <w:spacing w:val="19"/>
        </w:rPr>
        <w:t> </w:t>
      </w:r>
      <w:r>
        <w:rPr>
          <w:spacing w:val="-2"/>
        </w:rPr>
        <w:t>while</w:t>
      </w:r>
    </w:p>
    <w:p>
      <w:pPr>
        <w:pStyle w:val="BodyText"/>
        <w:spacing w:line="480" w:lineRule="auto" w:before="1"/>
        <w:ind w:left="840" w:right="555"/>
        <w:jc w:val="both"/>
      </w:pPr>
      <w:r>
        <w:rPr/>
        <w:t>19.7 percent of students, 20.7 percent of service staff and 26.1 percent of top management stood undecided.</w:t>
      </w:r>
      <w:r>
        <w:rPr>
          <w:spacing w:val="-5"/>
        </w:rPr>
        <w:t> </w:t>
      </w:r>
      <w:r>
        <w:rPr/>
        <w:t>The</w:t>
      </w:r>
      <w:r>
        <w:rPr>
          <w:spacing w:val="-4"/>
        </w:rPr>
        <w:t> </w:t>
      </w:r>
      <w:r>
        <w:rPr/>
        <w:t>divergence in opinion could be contributed to the fact that a number of universities delegated the responsibility of allocating bedspaces to the hall administrators rather than through the Committee system. And where hostels were rented from third party by the university, such allocation of bedspaces might not require a committee.</w:t>
      </w:r>
    </w:p>
    <w:p>
      <w:pPr>
        <w:pStyle w:val="BodyText"/>
        <w:spacing w:line="480" w:lineRule="auto"/>
        <w:ind w:left="840" w:right="557" w:firstLine="720"/>
        <w:jc w:val="both"/>
      </w:pPr>
      <w:r>
        <w:rPr/>
        <w:t>There seemed to be a consensus of opinions among the three groups of respondents that security and communication network and other committees like Market Management Committee, Student Union Committees, Hall Management Committee etcetera are among the mechanisms devised to enhance students’ welfare</w:t>
      </w:r>
      <w:r>
        <w:rPr>
          <w:spacing w:val="8"/>
        </w:rPr>
        <w:t> </w:t>
      </w:r>
      <w:r>
        <w:rPr/>
        <w:t>management</w:t>
      </w:r>
      <w:r>
        <w:rPr>
          <w:spacing w:val="8"/>
        </w:rPr>
        <w:t> </w:t>
      </w:r>
      <w:r>
        <w:rPr/>
        <w:t>in</w:t>
      </w:r>
      <w:r>
        <w:rPr>
          <w:spacing w:val="8"/>
        </w:rPr>
        <w:t> </w:t>
      </w:r>
      <w:r>
        <w:rPr/>
        <w:t>the</w:t>
      </w:r>
      <w:r>
        <w:rPr>
          <w:spacing w:val="9"/>
        </w:rPr>
        <w:t> </w:t>
      </w:r>
      <w:r>
        <w:rPr/>
        <w:t>Universities</w:t>
      </w:r>
      <w:r>
        <w:rPr>
          <w:spacing w:val="7"/>
        </w:rPr>
        <w:t> </w:t>
      </w:r>
      <w:r>
        <w:rPr/>
        <w:t>under</w:t>
      </w:r>
      <w:r>
        <w:rPr>
          <w:spacing w:val="9"/>
        </w:rPr>
        <w:t> </w:t>
      </w:r>
      <w:r>
        <w:rPr/>
        <w:t>study.</w:t>
      </w:r>
      <w:r>
        <w:rPr>
          <w:spacing w:val="4"/>
        </w:rPr>
        <w:t> </w:t>
      </w:r>
      <w:r>
        <w:rPr/>
        <w:t>This</w:t>
      </w:r>
      <w:r>
        <w:rPr>
          <w:spacing w:val="4"/>
        </w:rPr>
        <w:t> </w:t>
      </w:r>
      <w:r>
        <w:rPr/>
        <w:t>view</w:t>
      </w:r>
      <w:r>
        <w:rPr>
          <w:spacing w:val="3"/>
        </w:rPr>
        <w:t> </w:t>
      </w:r>
      <w:r>
        <w:rPr/>
        <w:t>raised</w:t>
      </w:r>
      <w:r>
        <w:rPr>
          <w:spacing w:val="4"/>
        </w:rPr>
        <w:t> </w:t>
      </w:r>
      <w:r>
        <w:rPr/>
        <w:t>in item</w:t>
      </w:r>
      <w:r>
        <w:rPr>
          <w:spacing w:val="1"/>
        </w:rPr>
        <w:t> </w:t>
      </w:r>
      <w:r>
        <w:rPr>
          <w:spacing w:val="-5"/>
        </w:rPr>
        <w:t>97</w:t>
      </w:r>
    </w:p>
    <w:p>
      <w:pPr>
        <w:spacing w:after="0" w:line="480" w:lineRule="auto"/>
        <w:jc w:val="both"/>
        <w:sectPr>
          <w:headerReference w:type="default" r:id="rId405"/>
          <w:footerReference w:type="default" r:id="rId406"/>
          <w:pgSz w:w="12240" w:h="15840"/>
          <w:pgMar w:header="722" w:footer="791" w:top="980" w:bottom="980" w:left="1320" w:right="880"/>
        </w:sectPr>
      </w:pPr>
    </w:p>
    <w:p>
      <w:pPr>
        <w:pStyle w:val="BodyText"/>
        <w:spacing w:before="171"/>
      </w:pPr>
    </w:p>
    <w:p>
      <w:pPr>
        <w:pStyle w:val="BodyText"/>
        <w:spacing w:line="480" w:lineRule="auto"/>
        <w:ind w:left="840" w:right="556"/>
        <w:jc w:val="both"/>
      </w:pPr>
      <w:r>
        <w:rPr/>
        <w:t>was submitted by 68.1 percent of</w:t>
      </w:r>
      <w:r>
        <w:rPr>
          <w:spacing w:val="-2"/>
        </w:rPr>
        <w:t> </w:t>
      </w:r>
      <w:r>
        <w:rPr/>
        <w:t>students, 76.4 percent of service staff and</w:t>
      </w:r>
      <w:r>
        <w:rPr>
          <w:spacing w:val="-2"/>
        </w:rPr>
        <w:t> </w:t>
      </w:r>
      <w:r>
        <w:rPr/>
        <w:t>82.6 percent of top management. Generally their opinion suggested that the management of any affairs by application of as many relevant committees as could be found could give the best management result.</w:t>
      </w:r>
    </w:p>
    <w:p>
      <w:pPr>
        <w:pStyle w:val="BodyText"/>
        <w:spacing w:line="480" w:lineRule="auto" w:before="1"/>
        <w:ind w:left="840" w:right="552" w:firstLine="720"/>
        <w:jc w:val="both"/>
      </w:pPr>
      <w:r>
        <w:rPr/>
        <w:t>Efficient provision and supervision of social services including student union matters, religious and other sensitive issues that could affect students’ welfare were evidence of university administrators’ commitment to students’ welfare in the university system. This was the popular view of 74.9 percent of students, 81.8 percent of service staff and 69.6 percent of top management as can be observed in items 98. Only very few respondents did not share the</w:t>
      </w:r>
      <w:r>
        <w:rPr>
          <w:spacing w:val="40"/>
        </w:rPr>
        <w:t> </w:t>
      </w:r>
      <w:r>
        <w:rPr/>
        <w:t>opinion and very negligible percent chose to be undecided. This consensus</w:t>
      </w:r>
      <w:r>
        <w:rPr>
          <w:spacing w:val="80"/>
        </w:rPr>
        <w:t> </w:t>
      </w:r>
      <w:r>
        <w:rPr/>
        <w:t>might be influenced by the fact that any activity that is well supervised normally produces better results and returns.</w:t>
      </w:r>
    </w:p>
    <w:p>
      <w:pPr>
        <w:pStyle w:val="BodyText"/>
        <w:ind w:left="1560"/>
        <w:jc w:val="both"/>
      </w:pPr>
      <w:r>
        <w:rPr/>
        <w:t>According</w:t>
      </w:r>
      <w:r>
        <w:rPr>
          <w:spacing w:val="28"/>
        </w:rPr>
        <w:t> </w:t>
      </w:r>
      <w:r>
        <w:rPr/>
        <w:t>to</w:t>
      </w:r>
      <w:r>
        <w:rPr>
          <w:spacing w:val="28"/>
        </w:rPr>
        <w:t> </w:t>
      </w:r>
      <w:r>
        <w:rPr/>
        <w:t>81.2</w:t>
      </w:r>
      <w:r>
        <w:rPr>
          <w:spacing w:val="29"/>
        </w:rPr>
        <w:t> </w:t>
      </w:r>
      <w:r>
        <w:rPr/>
        <w:t>percent</w:t>
      </w:r>
      <w:r>
        <w:rPr>
          <w:spacing w:val="27"/>
        </w:rPr>
        <w:t> </w:t>
      </w:r>
      <w:r>
        <w:rPr/>
        <w:t>of</w:t>
      </w:r>
      <w:r>
        <w:rPr>
          <w:spacing w:val="28"/>
        </w:rPr>
        <w:t> </w:t>
      </w:r>
      <w:r>
        <w:rPr/>
        <w:t>students,</w:t>
      </w:r>
      <w:r>
        <w:rPr>
          <w:spacing w:val="27"/>
        </w:rPr>
        <w:t> </w:t>
      </w:r>
      <w:r>
        <w:rPr/>
        <w:t>85.1</w:t>
      </w:r>
      <w:r>
        <w:rPr>
          <w:spacing w:val="29"/>
        </w:rPr>
        <w:t> </w:t>
      </w:r>
      <w:r>
        <w:rPr/>
        <w:t>percent</w:t>
      </w:r>
      <w:r>
        <w:rPr>
          <w:spacing w:val="27"/>
        </w:rPr>
        <w:t> </w:t>
      </w:r>
      <w:r>
        <w:rPr/>
        <w:t>of</w:t>
      </w:r>
      <w:r>
        <w:rPr>
          <w:spacing w:val="28"/>
        </w:rPr>
        <w:t> </w:t>
      </w:r>
      <w:r>
        <w:rPr/>
        <w:t>service</w:t>
      </w:r>
      <w:r>
        <w:rPr>
          <w:spacing w:val="28"/>
        </w:rPr>
        <w:t> </w:t>
      </w:r>
      <w:r>
        <w:rPr/>
        <w:t>staff</w:t>
      </w:r>
      <w:r>
        <w:rPr>
          <w:spacing w:val="28"/>
        </w:rPr>
        <w:t> </w:t>
      </w:r>
      <w:r>
        <w:rPr>
          <w:spacing w:val="-5"/>
        </w:rPr>
        <w:t>and</w:t>
      </w:r>
    </w:p>
    <w:p>
      <w:pPr>
        <w:pStyle w:val="BodyText"/>
      </w:pPr>
    </w:p>
    <w:p>
      <w:pPr>
        <w:pStyle w:val="BodyText"/>
        <w:spacing w:line="480" w:lineRule="auto"/>
        <w:ind w:left="840" w:right="555"/>
        <w:jc w:val="both"/>
      </w:pPr>
      <w:r>
        <w:rPr/>
        <w:t>81.9 percent of top management staff, the use of casual labourers to clean the surroundings, public toilets and maintenance of flowers and landscaping usually enhanced conducive environment for teaching, learning and research as identified by item 99.</w:t>
      </w:r>
    </w:p>
    <w:p>
      <w:pPr>
        <w:pStyle w:val="BodyText"/>
        <w:spacing w:line="480" w:lineRule="auto"/>
        <w:ind w:left="840" w:right="556" w:firstLine="720"/>
        <w:jc w:val="both"/>
      </w:pPr>
      <w:r>
        <w:rPr/>
        <w:t>It is evident that ever since the decision by some University Management in these universities under study to employ casual labourers to clean the university environment many university compounds have been sanitized. The opinions of the respondents seemed to conclude that casual workers perform better</w:t>
      </w:r>
      <w:r>
        <w:rPr>
          <w:spacing w:val="27"/>
        </w:rPr>
        <w:t> </w:t>
      </w:r>
      <w:r>
        <w:rPr/>
        <w:t>jobs</w:t>
      </w:r>
      <w:r>
        <w:rPr>
          <w:spacing w:val="26"/>
        </w:rPr>
        <w:t> </w:t>
      </w:r>
      <w:r>
        <w:rPr/>
        <w:t>than</w:t>
      </w:r>
      <w:r>
        <w:rPr>
          <w:spacing w:val="27"/>
        </w:rPr>
        <w:t> </w:t>
      </w:r>
      <w:r>
        <w:rPr/>
        <w:t>the</w:t>
      </w:r>
      <w:r>
        <w:rPr>
          <w:spacing w:val="27"/>
        </w:rPr>
        <w:t> </w:t>
      </w:r>
      <w:r>
        <w:rPr/>
        <w:t>permanent</w:t>
      </w:r>
      <w:r>
        <w:rPr>
          <w:spacing w:val="26"/>
        </w:rPr>
        <w:t> </w:t>
      </w:r>
      <w:r>
        <w:rPr/>
        <w:t>cleaners</w:t>
      </w:r>
      <w:r>
        <w:rPr>
          <w:spacing w:val="26"/>
        </w:rPr>
        <w:t> </w:t>
      </w:r>
      <w:r>
        <w:rPr/>
        <w:t>despite</w:t>
      </w:r>
      <w:r>
        <w:rPr>
          <w:spacing w:val="27"/>
        </w:rPr>
        <w:t> </w:t>
      </w:r>
      <w:r>
        <w:rPr/>
        <w:t>the</w:t>
      </w:r>
      <w:r>
        <w:rPr>
          <w:spacing w:val="27"/>
        </w:rPr>
        <w:t> </w:t>
      </w:r>
      <w:r>
        <w:rPr/>
        <w:t>meager</w:t>
      </w:r>
      <w:r>
        <w:rPr>
          <w:spacing w:val="27"/>
        </w:rPr>
        <w:t> </w:t>
      </w:r>
      <w:r>
        <w:rPr/>
        <w:t>wages</w:t>
      </w:r>
      <w:r>
        <w:rPr>
          <w:spacing w:val="26"/>
        </w:rPr>
        <w:t> </w:t>
      </w:r>
      <w:r>
        <w:rPr/>
        <w:t>earned</w:t>
      </w:r>
      <w:r>
        <w:rPr>
          <w:spacing w:val="27"/>
        </w:rPr>
        <w:t> </w:t>
      </w:r>
      <w:r>
        <w:rPr>
          <w:spacing w:val="-5"/>
        </w:rPr>
        <w:t>by</w:t>
      </w:r>
    </w:p>
    <w:p>
      <w:pPr>
        <w:spacing w:after="0" w:line="480" w:lineRule="auto"/>
        <w:jc w:val="both"/>
        <w:sectPr>
          <w:headerReference w:type="default" r:id="rId407"/>
          <w:footerReference w:type="default" r:id="rId408"/>
          <w:pgSz w:w="12240" w:h="15840"/>
          <w:pgMar w:header="722" w:footer="791" w:top="980" w:bottom="980" w:left="1320" w:right="880"/>
        </w:sectPr>
      </w:pPr>
    </w:p>
    <w:p>
      <w:pPr>
        <w:pStyle w:val="BodyText"/>
        <w:spacing w:before="171"/>
      </w:pPr>
    </w:p>
    <w:p>
      <w:pPr>
        <w:pStyle w:val="BodyText"/>
        <w:spacing w:line="480" w:lineRule="auto"/>
        <w:ind w:left="840" w:right="558"/>
        <w:jc w:val="both"/>
      </w:pPr>
      <w:r>
        <w:rPr/>
        <w:t>the former. This seemed to suggest that universities could depend better on services of hired parties and casual labourers for cleaning their environments</w:t>
      </w:r>
      <w:r>
        <w:rPr>
          <w:spacing w:val="40"/>
        </w:rPr>
        <w:t> </w:t>
      </w:r>
      <w:r>
        <w:rPr/>
        <w:t>and even for improved security system.</w:t>
      </w:r>
    </w:p>
    <w:p>
      <w:pPr>
        <w:pStyle w:val="Heading4"/>
        <w:numPr>
          <w:ilvl w:val="1"/>
          <w:numId w:val="39"/>
        </w:numPr>
        <w:tabs>
          <w:tab w:pos="839" w:val="left" w:leader="none"/>
        </w:tabs>
        <w:spacing w:line="240" w:lineRule="auto" w:before="2" w:after="0"/>
        <w:ind w:left="839" w:right="0" w:hanging="719"/>
        <w:jc w:val="left"/>
        <w:rPr>
          <w:rFonts w:ascii="Arial MT"/>
          <w:b w:val="0"/>
          <w:sz w:val="28"/>
        </w:rPr>
      </w:pPr>
      <w:r>
        <w:rPr/>
        <w:t>Hypotheses</w:t>
      </w:r>
      <w:r>
        <w:rPr>
          <w:spacing w:val="-17"/>
        </w:rPr>
        <w:t> </w:t>
      </w:r>
      <w:r>
        <w:rPr>
          <w:spacing w:val="-2"/>
        </w:rPr>
        <w:t>Testing</w:t>
      </w:r>
    </w:p>
    <w:p>
      <w:pPr>
        <w:pStyle w:val="BodyText"/>
        <w:spacing w:before="44"/>
        <w:rPr>
          <w:rFonts w:ascii="Arial"/>
          <w:b/>
        </w:rPr>
      </w:pPr>
    </w:p>
    <w:p>
      <w:pPr>
        <w:pStyle w:val="BodyText"/>
        <w:spacing w:line="480" w:lineRule="auto"/>
        <w:ind w:left="840" w:right="555" w:firstLine="720"/>
        <w:jc w:val="both"/>
      </w:pPr>
      <w:r>
        <w:rPr/>
        <w:t>Twenty hypotheses were formulated and tested for this study. The hypotheses were based on data collected on the items related to provision and management of students’ welfare services in the universities under study. The testing was on all items or variables related to types and availability of students’ services in terms of social, academic, medical or health and environmental services. Also the testing of hypotheses focused specifically on the impact of all the services; feeding, Hostel accommodation, Guidance and counselling, sports and recreation, security and communication, Transport Services, Religious services, Banking and Telecommunications, library services, classroom, laboratories and field trips. It also focused on Information Technologies, Health and Medical, Environmental, and strategies for effective management.</w:t>
      </w:r>
    </w:p>
    <w:p>
      <w:pPr>
        <w:pStyle w:val="BodyText"/>
        <w:spacing w:line="480" w:lineRule="auto"/>
        <w:ind w:left="840" w:right="555" w:firstLine="720"/>
        <w:jc w:val="both"/>
      </w:pPr>
      <w:r>
        <w:rPr/>
        <w:t>Analysis of variance and scheffe’s test were used in testing the hypotheses. The level of significance set for the study is 0.05. By this, when the probability value is lower than the level of significance set for the study the hypotheses is rejected. And when the probability value was higher than the level of significance the hypothesis was retained.</w:t>
      </w:r>
    </w:p>
    <w:p>
      <w:pPr>
        <w:pStyle w:val="BodyText"/>
        <w:spacing w:line="480" w:lineRule="auto" w:before="1"/>
        <w:ind w:left="840" w:right="561" w:firstLine="720"/>
        <w:jc w:val="both"/>
      </w:pPr>
      <w:r>
        <w:rPr/>
        <w:t>Where the hypothesis was rejected, scheffe’s test was used to determine the differences in respondents’ opinions.</w:t>
      </w:r>
    </w:p>
    <w:p>
      <w:pPr>
        <w:spacing w:after="0" w:line="480" w:lineRule="auto"/>
        <w:jc w:val="both"/>
        <w:sectPr>
          <w:headerReference w:type="default" r:id="rId409"/>
          <w:footerReference w:type="default" r:id="rId410"/>
          <w:pgSz w:w="12240" w:h="15840"/>
          <w:pgMar w:header="722" w:footer="791" w:top="980" w:bottom="980" w:left="1320" w:right="880"/>
        </w:sectPr>
      </w:pPr>
    </w:p>
    <w:p>
      <w:pPr>
        <w:pStyle w:val="BodyText"/>
        <w:spacing w:before="172"/>
      </w:pPr>
    </w:p>
    <w:p>
      <w:pPr>
        <w:pStyle w:val="Heading4"/>
        <w:numPr>
          <w:ilvl w:val="2"/>
          <w:numId w:val="39"/>
        </w:numPr>
        <w:tabs>
          <w:tab w:pos="837" w:val="left" w:leader="none"/>
        </w:tabs>
        <w:spacing w:line="240" w:lineRule="auto" w:before="0" w:after="0"/>
        <w:ind w:left="837" w:right="0" w:hanging="717"/>
        <w:jc w:val="left"/>
        <w:rPr>
          <w:rFonts w:ascii="Arial MT"/>
          <w:b w:val="0"/>
          <w:sz w:val="28"/>
        </w:rPr>
      </w:pPr>
      <w:r>
        <w:rPr/>
        <w:t>Null</w:t>
      </w:r>
      <w:r>
        <w:rPr>
          <w:spacing w:val="-11"/>
        </w:rPr>
        <w:t> </w:t>
      </w:r>
      <w:r>
        <w:rPr/>
        <w:t>Hypothesis</w:t>
      </w:r>
      <w:r>
        <w:rPr>
          <w:spacing w:val="-10"/>
        </w:rPr>
        <w:t> 1</w:t>
      </w:r>
    </w:p>
    <w:p>
      <w:pPr>
        <w:pStyle w:val="BodyText"/>
        <w:spacing w:before="45"/>
        <w:rPr>
          <w:rFonts w:ascii="Arial"/>
          <w:b/>
        </w:rPr>
      </w:pPr>
    </w:p>
    <w:p>
      <w:pPr>
        <w:pStyle w:val="BodyText"/>
        <w:spacing w:line="480" w:lineRule="auto"/>
        <w:ind w:left="840" w:right="554" w:firstLine="720"/>
        <w:jc w:val="both"/>
      </w:pPr>
      <w:r>
        <w:rPr/>
        <w:t>There is no significant difference in the opinions of students, service staff and top management staff with respect to the types and availability of students’ welfare services in universities in the three geopolitical zones in Northern part of </w:t>
      </w:r>
      <w:r>
        <w:rPr>
          <w:spacing w:val="-2"/>
        </w:rPr>
        <w:t>Nigeria.</w:t>
      </w:r>
    </w:p>
    <w:p>
      <w:pPr>
        <w:pStyle w:val="BodyText"/>
        <w:spacing w:line="480" w:lineRule="auto"/>
        <w:ind w:left="840" w:right="555" w:firstLine="720"/>
        <w:jc w:val="both"/>
      </w:pPr>
      <w:r>
        <w:rPr/>
        <w:t>The data collected in respect of items 1 to 32 on all the four types of services classified into social, academic, medical and Environmental services in the questionnaire, were put together to analyse the opinions pertaining to the perceived types and the degree of availability of the services in the universities. The ANOVA statistical procedure was used to record the differences in respondents’ opinions. The results of the test are presented in Table 4.5.1.</w:t>
      </w:r>
    </w:p>
    <w:p>
      <w:pPr>
        <w:pStyle w:val="Heading2"/>
        <w:spacing w:after="4"/>
        <w:ind w:left="2433" w:right="585" w:hanging="1594"/>
      </w:pPr>
      <w:r>
        <w:rPr/>
        <w:t>Table</w:t>
      </w:r>
      <w:r>
        <w:rPr>
          <w:spacing w:val="-3"/>
        </w:rPr>
        <w:t> </w:t>
      </w:r>
      <w:r>
        <w:rPr/>
        <w:t>4.5.1:</w:t>
      </w:r>
      <w:r>
        <w:rPr>
          <w:spacing w:val="-4"/>
        </w:rPr>
        <w:t> </w:t>
      </w:r>
      <w:r>
        <w:rPr/>
        <w:t>One</w:t>
      </w:r>
      <w:r>
        <w:rPr>
          <w:spacing w:val="-3"/>
        </w:rPr>
        <w:t> </w:t>
      </w:r>
      <w:r>
        <w:rPr/>
        <w:t>way</w:t>
      </w:r>
      <w:r>
        <w:rPr>
          <w:spacing w:val="-12"/>
        </w:rPr>
        <w:t> </w:t>
      </w:r>
      <w:r>
        <w:rPr/>
        <w:t>analysis</w:t>
      </w:r>
      <w:r>
        <w:rPr>
          <w:spacing w:val="-4"/>
        </w:rPr>
        <w:t> </w:t>
      </w:r>
      <w:r>
        <w:rPr/>
        <w:t>of variance</w:t>
      </w:r>
      <w:r>
        <w:rPr>
          <w:spacing w:val="-4"/>
        </w:rPr>
        <w:t> </w:t>
      </w:r>
      <w:r>
        <w:rPr/>
        <w:t>(ANOVA)</w:t>
      </w:r>
      <w:r>
        <w:rPr>
          <w:spacing w:val="-7"/>
        </w:rPr>
        <w:t> </w:t>
      </w:r>
      <w:r>
        <w:rPr/>
        <w:t>on</w:t>
      </w:r>
      <w:r>
        <w:rPr>
          <w:spacing w:val="-4"/>
        </w:rPr>
        <w:t> </w:t>
      </w:r>
      <w:r>
        <w:rPr/>
        <w:t>the</w:t>
      </w:r>
      <w:r>
        <w:rPr>
          <w:spacing w:val="-7"/>
        </w:rPr>
        <w:t> </w:t>
      </w:r>
      <w:r>
        <w:rPr/>
        <w:t>type and adequacy of students’ welfare services in the </w:t>
      </w:r>
      <w:r>
        <w:rPr>
          <w:spacing w:val="-2"/>
        </w:rPr>
        <w:t>universities</w:t>
      </w:r>
    </w:p>
    <w:tbl>
      <w:tblPr>
        <w:tblW w:w="0" w:type="auto"/>
        <w:jc w:val="left"/>
        <w:tblInd w:w="8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54"/>
        <w:gridCol w:w="1045"/>
        <w:gridCol w:w="1637"/>
        <w:gridCol w:w="1348"/>
        <w:gridCol w:w="1237"/>
        <w:gridCol w:w="1498"/>
      </w:tblGrid>
      <w:tr>
        <w:trPr>
          <w:trHeight w:val="551" w:hRule="atLeast"/>
        </w:trPr>
        <w:tc>
          <w:tcPr>
            <w:tcW w:w="2054" w:type="dxa"/>
            <w:tcBorders>
              <w:top w:val="single" w:sz="4" w:space="0" w:color="000000"/>
              <w:left w:val="single" w:sz="4" w:space="0" w:color="000000"/>
              <w:bottom w:val="single" w:sz="4" w:space="0" w:color="000000"/>
            </w:tcBorders>
          </w:tcPr>
          <w:p>
            <w:pPr>
              <w:pStyle w:val="TableParagraph"/>
              <w:spacing w:line="267" w:lineRule="exact"/>
              <w:ind w:left="523"/>
              <w:rPr>
                <w:rFonts w:ascii="Arial"/>
                <w:b/>
                <w:sz w:val="24"/>
              </w:rPr>
            </w:pPr>
            <w:r>
              <w:rPr>
                <w:rFonts w:ascii="Arial"/>
                <w:b/>
                <w:sz w:val="24"/>
              </w:rPr>
              <w:t>Source</w:t>
            </w:r>
            <w:r>
              <w:rPr>
                <w:rFonts w:ascii="Arial"/>
                <w:b/>
                <w:spacing w:val="-12"/>
                <w:sz w:val="24"/>
              </w:rPr>
              <w:t> </w:t>
            </w:r>
            <w:r>
              <w:rPr>
                <w:rFonts w:ascii="Arial"/>
                <w:b/>
                <w:spacing w:val="-5"/>
                <w:sz w:val="24"/>
              </w:rPr>
              <w:t>of</w:t>
            </w:r>
          </w:p>
          <w:p>
            <w:pPr>
              <w:pStyle w:val="TableParagraph"/>
              <w:spacing w:line="263" w:lineRule="exact" w:before="2"/>
              <w:ind w:left="575"/>
              <w:rPr>
                <w:rFonts w:ascii="Arial"/>
                <w:b/>
                <w:sz w:val="24"/>
              </w:rPr>
            </w:pPr>
            <w:r>
              <w:rPr>
                <w:rFonts w:ascii="Arial"/>
                <w:b/>
                <w:spacing w:val="-2"/>
                <w:sz w:val="24"/>
              </w:rPr>
              <w:t>variation</w:t>
            </w:r>
          </w:p>
        </w:tc>
        <w:tc>
          <w:tcPr>
            <w:tcW w:w="1045" w:type="dxa"/>
            <w:tcBorders>
              <w:top w:val="single" w:sz="4" w:space="0" w:color="000000"/>
              <w:bottom w:val="single" w:sz="4" w:space="0" w:color="000000"/>
            </w:tcBorders>
          </w:tcPr>
          <w:p>
            <w:pPr>
              <w:pStyle w:val="TableParagraph"/>
              <w:spacing w:line="267" w:lineRule="exact"/>
              <w:ind w:left="485"/>
              <w:rPr>
                <w:rFonts w:ascii="Arial"/>
                <w:b/>
                <w:sz w:val="24"/>
              </w:rPr>
            </w:pPr>
            <w:r>
              <w:rPr>
                <w:rFonts w:ascii="Arial"/>
                <w:b/>
                <w:spacing w:val="-5"/>
                <w:sz w:val="24"/>
              </w:rPr>
              <w:t>DF</w:t>
            </w:r>
          </w:p>
        </w:tc>
        <w:tc>
          <w:tcPr>
            <w:tcW w:w="1637" w:type="dxa"/>
            <w:tcBorders>
              <w:top w:val="single" w:sz="4" w:space="0" w:color="000000"/>
              <w:bottom w:val="single" w:sz="4" w:space="0" w:color="000000"/>
            </w:tcBorders>
          </w:tcPr>
          <w:p>
            <w:pPr>
              <w:pStyle w:val="TableParagraph"/>
              <w:spacing w:line="267" w:lineRule="exact"/>
              <w:ind w:left="544"/>
              <w:rPr>
                <w:rFonts w:ascii="Arial"/>
                <w:b/>
                <w:sz w:val="24"/>
              </w:rPr>
            </w:pPr>
            <w:r>
              <w:rPr>
                <w:rFonts w:ascii="Arial"/>
                <w:b/>
                <w:sz w:val="24"/>
              </w:rPr>
              <w:t>Sum</w:t>
            </w:r>
            <w:r>
              <w:rPr>
                <w:rFonts w:ascii="Arial"/>
                <w:b/>
                <w:spacing w:val="-13"/>
                <w:sz w:val="24"/>
              </w:rPr>
              <w:t> </w:t>
            </w:r>
            <w:r>
              <w:rPr>
                <w:rFonts w:ascii="Arial"/>
                <w:b/>
                <w:spacing w:val="-5"/>
                <w:sz w:val="24"/>
              </w:rPr>
              <w:t>of</w:t>
            </w:r>
          </w:p>
          <w:p>
            <w:pPr>
              <w:pStyle w:val="TableParagraph"/>
              <w:spacing w:line="263" w:lineRule="exact" w:before="2"/>
              <w:ind w:left="491"/>
              <w:rPr>
                <w:rFonts w:ascii="Arial"/>
                <w:b/>
                <w:sz w:val="24"/>
              </w:rPr>
            </w:pPr>
            <w:r>
              <w:rPr>
                <w:rFonts w:ascii="Arial"/>
                <w:b/>
                <w:spacing w:val="-2"/>
                <w:sz w:val="24"/>
              </w:rPr>
              <w:t>squares</w:t>
            </w:r>
          </w:p>
        </w:tc>
        <w:tc>
          <w:tcPr>
            <w:tcW w:w="1348" w:type="dxa"/>
            <w:tcBorders>
              <w:top w:val="single" w:sz="4" w:space="0" w:color="000000"/>
              <w:bottom w:val="single" w:sz="4" w:space="0" w:color="000000"/>
            </w:tcBorders>
          </w:tcPr>
          <w:p>
            <w:pPr>
              <w:pStyle w:val="TableParagraph"/>
              <w:spacing w:line="267" w:lineRule="exact"/>
              <w:ind w:left="169"/>
              <w:jc w:val="center"/>
              <w:rPr>
                <w:rFonts w:ascii="Arial"/>
                <w:b/>
                <w:sz w:val="24"/>
              </w:rPr>
            </w:pPr>
            <w:r>
              <w:rPr>
                <w:rFonts w:ascii="Arial"/>
                <w:b/>
                <w:spacing w:val="-4"/>
                <w:sz w:val="24"/>
              </w:rPr>
              <w:t>Mean</w:t>
            </w:r>
          </w:p>
          <w:p>
            <w:pPr>
              <w:pStyle w:val="TableParagraph"/>
              <w:spacing w:line="263" w:lineRule="exact" w:before="2"/>
              <w:ind w:left="169" w:right="8"/>
              <w:jc w:val="center"/>
              <w:rPr>
                <w:rFonts w:ascii="Arial"/>
                <w:b/>
                <w:sz w:val="24"/>
              </w:rPr>
            </w:pPr>
            <w:r>
              <w:rPr>
                <w:rFonts w:ascii="Arial"/>
                <w:b/>
                <w:spacing w:val="-2"/>
                <w:sz w:val="24"/>
              </w:rPr>
              <w:t>squares</w:t>
            </w:r>
          </w:p>
        </w:tc>
        <w:tc>
          <w:tcPr>
            <w:tcW w:w="1237" w:type="dxa"/>
            <w:tcBorders>
              <w:top w:val="single" w:sz="4" w:space="0" w:color="000000"/>
              <w:bottom w:val="single" w:sz="4" w:space="0" w:color="000000"/>
            </w:tcBorders>
          </w:tcPr>
          <w:p>
            <w:pPr>
              <w:pStyle w:val="TableParagraph"/>
              <w:spacing w:line="267" w:lineRule="exact"/>
              <w:ind w:left="218"/>
              <w:rPr>
                <w:rFonts w:ascii="Arial"/>
                <w:b/>
                <w:sz w:val="24"/>
              </w:rPr>
            </w:pPr>
            <w:r>
              <w:rPr>
                <w:rFonts w:ascii="Arial"/>
                <w:b/>
                <w:sz w:val="24"/>
              </w:rPr>
              <w:t>F.</w:t>
            </w:r>
            <w:r>
              <w:rPr>
                <w:rFonts w:ascii="Arial"/>
                <w:b/>
                <w:spacing w:val="-1"/>
                <w:sz w:val="24"/>
              </w:rPr>
              <w:t> </w:t>
            </w:r>
            <w:r>
              <w:rPr>
                <w:rFonts w:ascii="Arial"/>
                <w:b/>
                <w:spacing w:val="-2"/>
                <w:sz w:val="24"/>
              </w:rPr>
              <w:t>Ratio</w:t>
            </w:r>
          </w:p>
        </w:tc>
        <w:tc>
          <w:tcPr>
            <w:tcW w:w="1498" w:type="dxa"/>
            <w:tcBorders>
              <w:top w:val="single" w:sz="4" w:space="0" w:color="000000"/>
              <w:bottom w:val="single" w:sz="4" w:space="0" w:color="000000"/>
              <w:right w:val="single" w:sz="4" w:space="0" w:color="000000"/>
            </w:tcBorders>
          </w:tcPr>
          <w:p>
            <w:pPr>
              <w:pStyle w:val="TableParagraph"/>
              <w:spacing w:line="263" w:lineRule="exact" w:before="269"/>
              <w:ind w:left="152"/>
              <w:rPr>
                <w:rFonts w:ascii="Arial"/>
                <w:b/>
                <w:sz w:val="24"/>
              </w:rPr>
            </w:pPr>
            <w:r>
              <w:rPr>
                <w:rFonts w:ascii="Arial"/>
                <w:b/>
                <w:spacing w:val="-2"/>
                <w:sz w:val="24"/>
              </w:rPr>
              <w:t>Probability</w:t>
            </w:r>
          </w:p>
        </w:tc>
      </w:tr>
      <w:tr>
        <w:trPr>
          <w:trHeight w:val="413" w:hRule="atLeast"/>
        </w:trPr>
        <w:tc>
          <w:tcPr>
            <w:tcW w:w="2054" w:type="dxa"/>
            <w:tcBorders>
              <w:top w:val="single" w:sz="4" w:space="0" w:color="000000"/>
              <w:left w:val="single" w:sz="4" w:space="0" w:color="000000"/>
            </w:tcBorders>
          </w:tcPr>
          <w:p>
            <w:pPr>
              <w:pStyle w:val="TableParagraph"/>
              <w:spacing w:line="271" w:lineRule="exact"/>
              <w:ind w:left="105"/>
              <w:rPr>
                <w:sz w:val="24"/>
              </w:rPr>
            </w:pPr>
            <w:r>
              <w:rPr>
                <w:sz w:val="24"/>
              </w:rPr>
              <w:t>Between</w:t>
            </w:r>
            <w:r>
              <w:rPr>
                <w:spacing w:val="-13"/>
                <w:sz w:val="24"/>
              </w:rPr>
              <w:t> </w:t>
            </w:r>
            <w:r>
              <w:rPr>
                <w:spacing w:val="-2"/>
                <w:sz w:val="24"/>
              </w:rPr>
              <w:t>groups</w:t>
            </w:r>
          </w:p>
        </w:tc>
        <w:tc>
          <w:tcPr>
            <w:tcW w:w="1045" w:type="dxa"/>
            <w:tcBorders>
              <w:top w:val="single" w:sz="4" w:space="0" w:color="000000"/>
            </w:tcBorders>
          </w:tcPr>
          <w:p>
            <w:pPr>
              <w:pStyle w:val="TableParagraph"/>
              <w:spacing w:line="271" w:lineRule="exact"/>
              <w:ind w:left="216"/>
              <w:rPr>
                <w:sz w:val="24"/>
              </w:rPr>
            </w:pPr>
            <w:r>
              <w:rPr>
                <w:spacing w:val="-10"/>
                <w:sz w:val="24"/>
              </w:rPr>
              <w:t>2</w:t>
            </w:r>
          </w:p>
        </w:tc>
        <w:tc>
          <w:tcPr>
            <w:tcW w:w="1637" w:type="dxa"/>
            <w:tcBorders>
              <w:top w:val="single" w:sz="4" w:space="0" w:color="000000"/>
            </w:tcBorders>
          </w:tcPr>
          <w:p>
            <w:pPr>
              <w:pStyle w:val="TableParagraph"/>
              <w:spacing w:line="271" w:lineRule="exact"/>
              <w:ind w:left="251"/>
              <w:rPr>
                <w:sz w:val="24"/>
              </w:rPr>
            </w:pPr>
            <w:r>
              <w:rPr>
                <w:spacing w:val="-2"/>
                <w:sz w:val="24"/>
              </w:rPr>
              <w:t>2.6996</w:t>
            </w:r>
          </w:p>
        </w:tc>
        <w:tc>
          <w:tcPr>
            <w:tcW w:w="1348" w:type="dxa"/>
            <w:tcBorders>
              <w:top w:val="single" w:sz="4" w:space="0" w:color="000000"/>
            </w:tcBorders>
          </w:tcPr>
          <w:p>
            <w:pPr>
              <w:pStyle w:val="TableParagraph"/>
              <w:spacing w:line="271" w:lineRule="exact"/>
              <w:ind w:left="236"/>
              <w:rPr>
                <w:sz w:val="24"/>
              </w:rPr>
            </w:pPr>
            <w:r>
              <w:rPr>
                <w:spacing w:val="-2"/>
                <w:sz w:val="24"/>
              </w:rPr>
              <w:t>1.3498</w:t>
            </w:r>
          </w:p>
        </w:tc>
        <w:tc>
          <w:tcPr>
            <w:tcW w:w="1237" w:type="dxa"/>
            <w:tcBorders>
              <w:top w:val="single" w:sz="4" w:space="0" w:color="000000"/>
            </w:tcBorders>
          </w:tcPr>
          <w:p>
            <w:pPr>
              <w:pStyle w:val="TableParagraph"/>
              <w:spacing w:line="271" w:lineRule="exact"/>
              <w:ind w:left="146"/>
              <w:rPr>
                <w:sz w:val="24"/>
              </w:rPr>
            </w:pPr>
            <w:r>
              <w:rPr>
                <w:spacing w:val="-2"/>
                <w:sz w:val="24"/>
              </w:rPr>
              <w:t>4.9446</w:t>
            </w:r>
          </w:p>
        </w:tc>
        <w:tc>
          <w:tcPr>
            <w:tcW w:w="1498" w:type="dxa"/>
            <w:tcBorders>
              <w:top w:val="single" w:sz="4" w:space="0" w:color="000000"/>
              <w:right w:val="single" w:sz="4" w:space="0" w:color="000000"/>
            </w:tcBorders>
          </w:tcPr>
          <w:p>
            <w:pPr>
              <w:pStyle w:val="TableParagraph"/>
              <w:spacing w:line="271" w:lineRule="exact"/>
              <w:ind w:left="152"/>
              <w:rPr>
                <w:sz w:val="24"/>
              </w:rPr>
            </w:pPr>
            <w:r>
              <w:rPr>
                <w:spacing w:val="-2"/>
                <w:sz w:val="24"/>
              </w:rPr>
              <w:t>0.0075</w:t>
            </w:r>
          </w:p>
        </w:tc>
      </w:tr>
      <w:tr>
        <w:trPr>
          <w:trHeight w:val="690" w:hRule="atLeast"/>
        </w:trPr>
        <w:tc>
          <w:tcPr>
            <w:tcW w:w="2054" w:type="dxa"/>
            <w:tcBorders>
              <w:left w:val="single" w:sz="4" w:space="0" w:color="000000"/>
              <w:bottom w:val="single" w:sz="4" w:space="0" w:color="000000"/>
            </w:tcBorders>
          </w:tcPr>
          <w:p>
            <w:pPr>
              <w:pStyle w:val="TableParagraph"/>
              <w:spacing w:before="134"/>
              <w:ind w:left="105"/>
              <w:rPr>
                <w:sz w:val="24"/>
              </w:rPr>
            </w:pPr>
            <w:r>
              <w:rPr>
                <w:sz w:val="24"/>
              </w:rPr>
              <w:t>Within</w:t>
            </w:r>
            <w:r>
              <w:rPr>
                <w:spacing w:val="-3"/>
                <w:sz w:val="24"/>
              </w:rPr>
              <w:t> </w:t>
            </w:r>
            <w:r>
              <w:rPr>
                <w:spacing w:val="-2"/>
                <w:sz w:val="24"/>
              </w:rPr>
              <w:t>groups</w:t>
            </w:r>
          </w:p>
        </w:tc>
        <w:tc>
          <w:tcPr>
            <w:tcW w:w="1045" w:type="dxa"/>
            <w:tcBorders>
              <w:bottom w:val="single" w:sz="4" w:space="0" w:color="000000"/>
            </w:tcBorders>
          </w:tcPr>
          <w:p>
            <w:pPr>
              <w:pStyle w:val="TableParagraph"/>
              <w:spacing w:before="134"/>
              <w:ind w:left="216"/>
              <w:rPr>
                <w:sz w:val="24"/>
              </w:rPr>
            </w:pPr>
            <w:r>
              <w:rPr>
                <w:spacing w:val="-5"/>
                <w:sz w:val="24"/>
              </w:rPr>
              <w:t>458</w:t>
            </w:r>
          </w:p>
        </w:tc>
        <w:tc>
          <w:tcPr>
            <w:tcW w:w="1637" w:type="dxa"/>
            <w:tcBorders>
              <w:bottom w:val="single" w:sz="4" w:space="0" w:color="000000"/>
            </w:tcBorders>
          </w:tcPr>
          <w:p>
            <w:pPr>
              <w:pStyle w:val="TableParagraph"/>
              <w:spacing w:before="134"/>
              <w:ind w:left="251"/>
              <w:rPr>
                <w:sz w:val="24"/>
              </w:rPr>
            </w:pPr>
            <w:r>
              <w:rPr>
                <w:spacing w:val="-2"/>
                <w:sz w:val="24"/>
              </w:rPr>
              <w:t>125.0272</w:t>
            </w:r>
          </w:p>
        </w:tc>
        <w:tc>
          <w:tcPr>
            <w:tcW w:w="1348" w:type="dxa"/>
            <w:tcBorders>
              <w:bottom w:val="single" w:sz="4" w:space="0" w:color="000000"/>
            </w:tcBorders>
          </w:tcPr>
          <w:p>
            <w:pPr>
              <w:pStyle w:val="TableParagraph"/>
              <w:spacing w:before="134"/>
              <w:ind w:left="236"/>
              <w:rPr>
                <w:sz w:val="24"/>
              </w:rPr>
            </w:pPr>
            <w:r>
              <w:rPr>
                <w:spacing w:val="-2"/>
                <w:sz w:val="24"/>
              </w:rPr>
              <w:t>0.2730</w:t>
            </w:r>
          </w:p>
        </w:tc>
        <w:tc>
          <w:tcPr>
            <w:tcW w:w="1237" w:type="dxa"/>
            <w:tcBorders>
              <w:bottom w:val="single" w:sz="4" w:space="0" w:color="000000"/>
            </w:tcBorders>
          </w:tcPr>
          <w:p>
            <w:pPr>
              <w:pStyle w:val="TableParagraph"/>
              <w:rPr>
                <w:rFonts w:ascii="Times New Roman"/>
                <w:sz w:val="24"/>
              </w:rPr>
            </w:pPr>
          </w:p>
        </w:tc>
        <w:tc>
          <w:tcPr>
            <w:tcW w:w="1498" w:type="dxa"/>
            <w:tcBorders>
              <w:bottom w:val="single" w:sz="4" w:space="0" w:color="000000"/>
              <w:right w:val="single" w:sz="4" w:space="0" w:color="000000"/>
            </w:tcBorders>
          </w:tcPr>
          <w:p>
            <w:pPr>
              <w:pStyle w:val="TableParagraph"/>
              <w:rPr>
                <w:rFonts w:ascii="Times New Roman"/>
                <w:sz w:val="24"/>
              </w:rPr>
            </w:pPr>
          </w:p>
        </w:tc>
      </w:tr>
      <w:tr>
        <w:trPr>
          <w:trHeight w:val="278" w:hRule="atLeast"/>
        </w:trPr>
        <w:tc>
          <w:tcPr>
            <w:tcW w:w="2054" w:type="dxa"/>
            <w:tcBorders>
              <w:top w:val="single" w:sz="4" w:space="0" w:color="000000"/>
              <w:left w:val="single" w:sz="4" w:space="0" w:color="000000"/>
              <w:bottom w:val="single" w:sz="4" w:space="0" w:color="000000"/>
            </w:tcBorders>
          </w:tcPr>
          <w:p>
            <w:pPr>
              <w:pStyle w:val="TableParagraph"/>
              <w:spacing w:line="258" w:lineRule="exact"/>
              <w:ind w:left="105"/>
              <w:rPr>
                <w:sz w:val="24"/>
              </w:rPr>
            </w:pPr>
            <w:r>
              <w:rPr>
                <w:spacing w:val="-2"/>
                <w:sz w:val="24"/>
              </w:rPr>
              <w:t>Total</w:t>
            </w:r>
          </w:p>
        </w:tc>
        <w:tc>
          <w:tcPr>
            <w:tcW w:w="1045" w:type="dxa"/>
            <w:tcBorders>
              <w:top w:val="single" w:sz="4" w:space="0" w:color="000000"/>
              <w:bottom w:val="single" w:sz="4" w:space="0" w:color="000000"/>
            </w:tcBorders>
          </w:tcPr>
          <w:p>
            <w:pPr>
              <w:pStyle w:val="TableParagraph"/>
              <w:spacing w:line="258" w:lineRule="exact"/>
              <w:ind w:left="216"/>
              <w:rPr>
                <w:sz w:val="24"/>
              </w:rPr>
            </w:pPr>
            <w:r>
              <w:rPr>
                <w:spacing w:val="-5"/>
                <w:sz w:val="24"/>
              </w:rPr>
              <w:t>460</w:t>
            </w:r>
          </w:p>
        </w:tc>
        <w:tc>
          <w:tcPr>
            <w:tcW w:w="1637" w:type="dxa"/>
            <w:tcBorders>
              <w:top w:val="single" w:sz="4" w:space="0" w:color="000000"/>
              <w:bottom w:val="single" w:sz="4" w:space="0" w:color="000000"/>
            </w:tcBorders>
          </w:tcPr>
          <w:p>
            <w:pPr>
              <w:pStyle w:val="TableParagraph"/>
              <w:spacing w:line="258" w:lineRule="exact"/>
              <w:ind w:left="251"/>
              <w:rPr>
                <w:sz w:val="24"/>
              </w:rPr>
            </w:pPr>
            <w:r>
              <w:rPr>
                <w:spacing w:val="-2"/>
                <w:sz w:val="24"/>
              </w:rPr>
              <w:t>127.7268</w:t>
            </w:r>
          </w:p>
        </w:tc>
        <w:tc>
          <w:tcPr>
            <w:tcW w:w="1348" w:type="dxa"/>
            <w:tcBorders>
              <w:top w:val="single" w:sz="4" w:space="0" w:color="000000"/>
              <w:bottom w:val="single" w:sz="4" w:space="0" w:color="000000"/>
            </w:tcBorders>
          </w:tcPr>
          <w:p>
            <w:pPr>
              <w:pStyle w:val="TableParagraph"/>
              <w:rPr>
                <w:rFonts w:ascii="Times New Roman"/>
                <w:sz w:val="20"/>
              </w:rPr>
            </w:pPr>
          </w:p>
        </w:tc>
        <w:tc>
          <w:tcPr>
            <w:tcW w:w="1237" w:type="dxa"/>
            <w:tcBorders>
              <w:top w:val="single" w:sz="4" w:space="0" w:color="000000"/>
              <w:bottom w:val="single" w:sz="4" w:space="0" w:color="000000"/>
            </w:tcBorders>
          </w:tcPr>
          <w:p>
            <w:pPr>
              <w:pStyle w:val="TableParagraph"/>
              <w:rPr>
                <w:rFonts w:ascii="Times New Roman"/>
                <w:sz w:val="20"/>
              </w:rPr>
            </w:pPr>
          </w:p>
        </w:tc>
        <w:tc>
          <w:tcPr>
            <w:tcW w:w="1498" w:type="dxa"/>
            <w:tcBorders>
              <w:top w:val="single" w:sz="4" w:space="0" w:color="000000"/>
              <w:bottom w:val="single" w:sz="4" w:space="0" w:color="000000"/>
              <w:right w:val="single" w:sz="4" w:space="0" w:color="000000"/>
            </w:tcBorders>
          </w:tcPr>
          <w:p>
            <w:pPr>
              <w:pStyle w:val="TableParagraph"/>
              <w:rPr>
                <w:rFonts w:ascii="Times New Roman"/>
                <w:sz w:val="20"/>
              </w:rPr>
            </w:pPr>
          </w:p>
        </w:tc>
      </w:tr>
    </w:tbl>
    <w:p>
      <w:pPr>
        <w:pStyle w:val="Heading4"/>
        <w:ind w:left="840"/>
      </w:pPr>
      <w:r>
        <w:rPr/>
        <w:t>F.</w:t>
      </w:r>
      <w:r>
        <w:rPr>
          <w:spacing w:val="-6"/>
        </w:rPr>
        <w:t> </w:t>
      </w:r>
      <w:r>
        <w:rPr/>
        <w:t>Probability</w:t>
      </w:r>
      <w:r>
        <w:rPr>
          <w:spacing w:val="-8"/>
        </w:rPr>
        <w:t> </w:t>
      </w:r>
      <w:r>
        <w:rPr/>
        <w:t>value</w:t>
      </w:r>
      <w:r>
        <w:rPr>
          <w:spacing w:val="-4"/>
        </w:rPr>
        <w:t> </w:t>
      </w:r>
      <w:r>
        <w:rPr/>
        <w:t>&lt;</w:t>
      </w:r>
      <w:r>
        <w:rPr>
          <w:spacing w:val="-7"/>
        </w:rPr>
        <w:t> </w:t>
      </w:r>
      <w:r>
        <w:rPr/>
        <w:t>0.05</w:t>
      </w:r>
      <w:r>
        <w:rPr>
          <w:spacing w:val="-3"/>
        </w:rPr>
        <w:t> </w:t>
      </w:r>
      <w:r>
        <w:rPr/>
        <w:t>=&gt;</w:t>
      </w:r>
      <w:r>
        <w:rPr>
          <w:spacing w:val="-6"/>
        </w:rPr>
        <w:t> </w:t>
      </w:r>
      <w:r>
        <w:rPr/>
        <w:t>HO</w:t>
      </w:r>
      <w:r>
        <w:rPr>
          <w:spacing w:val="-5"/>
        </w:rPr>
        <w:t> Rjd</w:t>
      </w:r>
    </w:p>
    <w:p>
      <w:pPr>
        <w:pStyle w:val="BodyText"/>
        <w:spacing w:line="480" w:lineRule="auto" w:before="272"/>
        <w:ind w:left="840" w:right="554" w:firstLine="720"/>
        <w:jc w:val="both"/>
      </w:pPr>
      <w:r>
        <w:rPr/>
        <w:t>As</w:t>
      </w:r>
      <w:r>
        <w:rPr>
          <w:spacing w:val="-2"/>
        </w:rPr>
        <w:t> </w:t>
      </w:r>
      <w:r>
        <w:rPr/>
        <w:t>can</w:t>
      </w:r>
      <w:r>
        <w:rPr>
          <w:spacing w:val="-1"/>
        </w:rPr>
        <w:t> </w:t>
      </w:r>
      <w:r>
        <w:rPr/>
        <w:t>be</w:t>
      </w:r>
      <w:r>
        <w:rPr>
          <w:spacing w:val="-1"/>
        </w:rPr>
        <w:t> </w:t>
      </w:r>
      <w:r>
        <w:rPr/>
        <w:t>seen</w:t>
      </w:r>
      <w:r>
        <w:rPr>
          <w:spacing w:val="-1"/>
        </w:rPr>
        <w:t> </w:t>
      </w:r>
      <w:r>
        <w:rPr/>
        <w:t>from</w:t>
      </w:r>
      <w:r>
        <w:rPr>
          <w:spacing w:val="-10"/>
        </w:rPr>
        <w:t> </w:t>
      </w:r>
      <w:r>
        <w:rPr/>
        <w:t>Table</w:t>
      </w:r>
      <w:r>
        <w:rPr>
          <w:spacing w:val="-1"/>
        </w:rPr>
        <w:t> </w:t>
      </w:r>
      <w:r>
        <w:rPr/>
        <w:t>4.5.1</w:t>
      </w:r>
      <w:r>
        <w:rPr>
          <w:spacing w:val="-1"/>
        </w:rPr>
        <w:t> </w:t>
      </w:r>
      <w:r>
        <w:rPr/>
        <w:t>above</w:t>
      </w:r>
      <w:r>
        <w:rPr>
          <w:spacing w:val="-1"/>
        </w:rPr>
        <w:t> </w:t>
      </w:r>
      <w:r>
        <w:rPr/>
        <w:t>the</w:t>
      </w:r>
      <w:r>
        <w:rPr>
          <w:spacing w:val="-1"/>
        </w:rPr>
        <w:t> </w:t>
      </w:r>
      <w:r>
        <w:rPr/>
        <w:t>computed</w:t>
      </w:r>
      <w:r>
        <w:rPr>
          <w:spacing w:val="-1"/>
        </w:rPr>
        <w:t> </w:t>
      </w:r>
      <w:r>
        <w:rPr/>
        <w:t>probability</w:t>
      </w:r>
      <w:r>
        <w:rPr>
          <w:spacing w:val="-2"/>
        </w:rPr>
        <w:t> </w:t>
      </w:r>
      <w:r>
        <w:rPr/>
        <w:t>is</w:t>
      </w:r>
      <w:r>
        <w:rPr>
          <w:spacing w:val="-7"/>
        </w:rPr>
        <w:t> </w:t>
      </w:r>
      <w:r>
        <w:rPr/>
        <w:t>0.0075 and this is lower than the accepted</w:t>
      </w:r>
      <w:r>
        <w:rPr>
          <w:spacing w:val="40"/>
        </w:rPr>
        <w:t> </w:t>
      </w:r>
      <w:r>
        <w:rPr/>
        <w:t>P-value of 0.05 set for the study. Therefore, the HO was rejected.</w:t>
      </w:r>
      <w:r>
        <w:rPr>
          <w:spacing w:val="80"/>
        </w:rPr>
        <w:t> </w:t>
      </w:r>
      <w:r>
        <w:rPr/>
        <w:t>It can be concluded that there were significant differences in the opinions of the categories of respondents regarding the types and degree of availability of the students’ services in the universities. To ascertain the extent</w:t>
      </w:r>
    </w:p>
    <w:p>
      <w:pPr>
        <w:spacing w:after="0" w:line="480" w:lineRule="auto"/>
        <w:jc w:val="both"/>
        <w:sectPr>
          <w:headerReference w:type="default" r:id="rId411"/>
          <w:footerReference w:type="default" r:id="rId412"/>
          <w:pgSz w:w="12240" w:h="15840"/>
          <w:pgMar w:header="722" w:footer="791" w:top="980" w:bottom="980" w:left="1320" w:right="880"/>
        </w:sectPr>
      </w:pPr>
    </w:p>
    <w:p>
      <w:pPr>
        <w:pStyle w:val="BodyText"/>
        <w:spacing w:before="171"/>
      </w:pPr>
    </w:p>
    <w:p>
      <w:pPr>
        <w:pStyle w:val="BodyText"/>
        <w:spacing w:line="480" w:lineRule="auto"/>
        <w:ind w:left="840" w:right="585"/>
      </w:pPr>
      <w:r>
        <w:rPr/>
        <w:t>of</w:t>
      </w:r>
      <w:r>
        <w:rPr>
          <w:spacing w:val="80"/>
        </w:rPr>
        <w:t> </w:t>
      </w:r>
      <w:r>
        <w:rPr/>
        <w:t>the</w:t>
      </w:r>
      <w:r>
        <w:rPr>
          <w:spacing w:val="80"/>
        </w:rPr>
        <w:t> </w:t>
      </w:r>
      <w:r>
        <w:rPr/>
        <w:t>relationship</w:t>
      </w:r>
      <w:r>
        <w:rPr>
          <w:spacing w:val="80"/>
        </w:rPr>
        <w:t> </w:t>
      </w:r>
      <w:r>
        <w:rPr/>
        <w:t>in</w:t>
      </w:r>
      <w:r>
        <w:rPr>
          <w:spacing w:val="80"/>
        </w:rPr>
        <w:t> </w:t>
      </w:r>
      <w:r>
        <w:rPr/>
        <w:t>the</w:t>
      </w:r>
      <w:r>
        <w:rPr>
          <w:spacing w:val="80"/>
        </w:rPr>
        <w:t> </w:t>
      </w:r>
      <w:r>
        <w:rPr/>
        <w:t>opinions</w:t>
      </w:r>
      <w:r>
        <w:rPr>
          <w:spacing w:val="80"/>
        </w:rPr>
        <w:t> </w:t>
      </w:r>
      <w:r>
        <w:rPr/>
        <w:t>of</w:t>
      </w:r>
      <w:r>
        <w:rPr>
          <w:spacing w:val="80"/>
        </w:rPr>
        <w:t> </w:t>
      </w:r>
      <w:r>
        <w:rPr/>
        <w:t>the</w:t>
      </w:r>
      <w:r>
        <w:rPr>
          <w:spacing w:val="80"/>
        </w:rPr>
        <w:t> </w:t>
      </w:r>
      <w:r>
        <w:rPr/>
        <w:t>three</w:t>
      </w:r>
      <w:r>
        <w:rPr>
          <w:spacing w:val="80"/>
        </w:rPr>
        <w:t> </w:t>
      </w:r>
      <w:r>
        <w:rPr/>
        <w:t>categories</w:t>
      </w:r>
      <w:r>
        <w:rPr>
          <w:spacing w:val="79"/>
        </w:rPr>
        <w:t> </w:t>
      </w:r>
      <w:r>
        <w:rPr/>
        <w:t>of</w:t>
      </w:r>
      <w:r>
        <w:rPr>
          <w:spacing w:val="80"/>
        </w:rPr>
        <w:t> </w:t>
      </w:r>
      <w:r>
        <w:rPr/>
        <w:t>respondents, Scheffe’s Test was carried out as presented in Table 4.5.2.</w:t>
      </w:r>
    </w:p>
    <w:p>
      <w:pPr>
        <w:pStyle w:val="Heading2"/>
        <w:ind w:left="2280" w:right="562" w:hanging="1440"/>
        <w:jc w:val="both"/>
      </w:pPr>
      <w:r>
        <w:rPr/>
        <w:t>Table 4.5.2: Scheffe’s Multiple Comparison Test on the opinions of students, service staff and top management on the types and adequacy of students’ welfare services in the universities</w:t>
      </w:r>
    </w:p>
    <w:p>
      <w:pPr>
        <w:pStyle w:val="BodyText"/>
        <w:spacing w:before="52"/>
        <w:rPr>
          <w:rFonts w:ascii="Arial"/>
          <w:b/>
          <w:sz w:val="20"/>
        </w:rPr>
      </w:pPr>
    </w:p>
    <w:tbl>
      <w:tblPr>
        <w:tblW w:w="0" w:type="auto"/>
        <w:jc w:val="left"/>
        <w:tblInd w:w="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52"/>
        <w:gridCol w:w="1596"/>
        <w:gridCol w:w="1754"/>
        <w:gridCol w:w="1682"/>
        <w:gridCol w:w="1260"/>
        <w:gridCol w:w="1611"/>
      </w:tblGrid>
      <w:tr>
        <w:trPr>
          <w:trHeight w:val="825" w:hRule="atLeast"/>
        </w:trPr>
        <w:tc>
          <w:tcPr>
            <w:tcW w:w="1452" w:type="dxa"/>
            <w:tcBorders>
              <w:top w:val="single" w:sz="4" w:space="0" w:color="000000"/>
              <w:left w:val="single" w:sz="4" w:space="0" w:color="000000"/>
              <w:bottom w:val="single" w:sz="4" w:space="0" w:color="000000"/>
            </w:tcBorders>
          </w:tcPr>
          <w:p>
            <w:pPr>
              <w:pStyle w:val="TableParagraph"/>
              <w:spacing w:line="237" w:lineRule="auto"/>
              <w:ind w:left="95"/>
              <w:rPr>
                <w:sz w:val="24"/>
              </w:rPr>
            </w:pPr>
            <w:r>
              <w:rPr>
                <w:spacing w:val="-2"/>
                <w:sz w:val="24"/>
              </w:rPr>
              <w:t>Dependent Variable</w:t>
            </w:r>
          </w:p>
        </w:tc>
        <w:tc>
          <w:tcPr>
            <w:tcW w:w="1596" w:type="dxa"/>
            <w:tcBorders>
              <w:top w:val="single" w:sz="4" w:space="0" w:color="000000"/>
              <w:bottom w:val="single" w:sz="4" w:space="0" w:color="000000"/>
            </w:tcBorders>
          </w:tcPr>
          <w:p>
            <w:pPr>
              <w:pStyle w:val="TableParagraph"/>
              <w:spacing w:line="271" w:lineRule="exact"/>
              <w:ind w:left="180"/>
              <w:rPr>
                <w:sz w:val="24"/>
              </w:rPr>
            </w:pPr>
            <w:r>
              <w:rPr>
                <w:sz w:val="24"/>
              </w:rPr>
              <w:t>(I) </w:t>
            </w:r>
            <w:r>
              <w:rPr>
                <w:spacing w:val="-2"/>
                <w:sz w:val="24"/>
              </w:rPr>
              <w:t>Status</w:t>
            </w:r>
          </w:p>
        </w:tc>
        <w:tc>
          <w:tcPr>
            <w:tcW w:w="1754" w:type="dxa"/>
            <w:tcBorders>
              <w:top w:val="single" w:sz="4" w:space="0" w:color="000000"/>
              <w:bottom w:val="single" w:sz="4" w:space="0" w:color="000000"/>
            </w:tcBorders>
          </w:tcPr>
          <w:p>
            <w:pPr>
              <w:pStyle w:val="TableParagraph"/>
              <w:spacing w:line="271" w:lineRule="exact"/>
              <w:ind w:left="292"/>
              <w:rPr>
                <w:sz w:val="24"/>
              </w:rPr>
            </w:pPr>
            <w:r>
              <w:rPr>
                <w:sz w:val="24"/>
              </w:rPr>
              <w:t>(J) </w:t>
            </w:r>
            <w:r>
              <w:rPr>
                <w:spacing w:val="-2"/>
                <w:sz w:val="24"/>
              </w:rPr>
              <w:t>Status</w:t>
            </w:r>
          </w:p>
        </w:tc>
        <w:tc>
          <w:tcPr>
            <w:tcW w:w="1682" w:type="dxa"/>
            <w:tcBorders>
              <w:top w:val="single" w:sz="4" w:space="0" w:color="000000"/>
              <w:bottom w:val="single" w:sz="4" w:space="0" w:color="000000"/>
            </w:tcBorders>
          </w:tcPr>
          <w:p>
            <w:pPr>
              <w:pStyle w:val="TableParagraph"/>
              <w:spacing w:line="237" w:lineRule="auto"/>
              <w:ind w:left="338"/>
              <w:rPr>
                <w:sz w:val="24"/>
              </w:rPr>
            </w:pPr>
            <w:r>
              <w:rPr>
                <w:spacing w:val="-4"/>
                <w:sz w:val="24"/>
              </w:rPr>
              <w:t>Mean </w:t>
            </w:r>
            <w:r>
              <w:rPr>
                <w:spacing w:val="-2"/>
                <w:sz w:val="24"/>
              </w:rPr>
              <w:t>Difference</w:t>
            </w:r>
          </w:p>
          <w:p>
            <w:pPr>
              <w:pStyle w:val="TableParagraph"/>
              <w:spacing w:line="258" w:lineRule="exact" w:before="1"/>
              <w:ind w:left="338"/>
              <w:rPr>
                <w:sz w:val="24"/>
              </w:rPr>
            </w:pPr>
            <w:r>
              <w:rPr>
                <w:sz w:val="24"/>
              </w:rPr>
              <w:t>(I – </w:t>
            </w:r>
            <w:r>
              <w:rPr>
                <w:spacing w:val="-5"/>
                <w:sz w:val="24"/>
              </w:rPr>
              <w:t>J)</w:t>
            </w:r>
          </w:p>
        </w:tc>
        <w:tc>
          <w:tcPr>
            <w:tcW w:w="1260" w:type="dxa"/>
            <w:tcBorders>
              <w:top w:val="single" w:sz="4" w:space="0" w:color="000000"/>
              <w:bottom w:val="single" w:sz="4" w:space="0" w:color="000000"/>
            </w:tcBorders>
          </w:tcPr>
          <w:p>
            <w:pPr>
              <w:pStyle w:val="TableParagraph"/>
              <w:spacing w:line="237" w:lineRule="auto" w:before="137"/>
              <w:ind w:left="96"/>
              <w:rPr>
                <w:sz w:val="24"/>
              </w:rPr>
            </w:pPr>
            <w:r>
              <w:rPr>
                <w:spacing w:val="-2"/>
                <w:sz w:val="24"/>
              </w:rPr>
              <w:t>Standard Error</w:t>
            </w:r>
          </w:p>
        </w:tc>
        <w:tc>
          <w:tcPr>
            <w:tcW w:w="1611" w:type="dxa"/>
            <w:tcBorders>
              <w:top w:val="single" w:sz="4" w:space="0" w:color="000000"/>
              <w:bottom w:val="single" w:sz="4" w:space="0" w:color="000000"/>
              <w:right w:val="single" w:sz="4" w:space="0" w:color="000000"/>
            </w:tcBorders>
          </w:tcPr>
          <w:p>
            <w:pPr>
              <w:pStyle w:val="TableParagraph"/>
              <w:spacing w:before="269"/>
              <w:ind w:left="94"/>
              <w:rPr>
                <w:sz w:val="24"/>
              </w:rPr>
            </w:pPr>
            <w:r>
              <w:rPr>
                <w:spacing w:val="-2"/>
                <w:sz w:val="24"/>
              </w:rPr>
              <w:t>Significance</w:t>
            </w:r>
          </w:p>
        </w:tc>
      </w:tr>
      <w:tr>
        <w:trPr>
          <w:trHeight w:val="276" w:hRule="atLeast"/>
        </w:trPr>
        <w:tc>
          <w:tcPr>
            <w:tcW w:w="1452" w:type="dxa"/>
            <w:tcBorders>
              <w:top w:val="single" w:sz="4" w:space="0" w:color="000000"/>
              <w:left w:val="single" w:sz="4" w:space="0" w:color="000000"/>
            </w:tcBorders>
          </w:tcPr>
          <w:p>
            <w:pPr>
              <w:pStyle w:val="TableParagraph"/>
              <w:rPr>
                <w:rFonts w:ascii="Times New Roman"/>
                <w:sz w:val="20"/>
              </w:rPr>
            </w:pPr>
          </w:p>
        </w:tc>
        <w:tc>
          <w:tcPr>
            <w:tcW w:w="1596" w:type="dxa"/>
            <w:tcBorders>
              <w:top w:val="single" w:sz="4" w:space="0" w:color="000000"/>
            </w:tcBorders>
          </w:tcPr>
          <w:p>
            <w:pPr>
              <w:pStyle w:val="TableParagraph"/>
              <w:spacing w:line="257" w:lineRule="exact"/>
              <w:ind w:left="180"/>
              <w:rPr>
                <w:sz w:val="24"/>
              </w:rPr>
            </w:pPr>
            <w:r>
              <w:rPr>
                <w:spacing w:val="-2"/>
                <w:sz w:val="24"/>
              </w:rPr>
              <w:t>Student</w:t>
            </w:r>
          </w:p>
        </w:tc>
        <w:tc>
          <w:tcPr>
            <w:tcW w:w="1754" w:type="dxa"/>
            <w:tcBorders>
              <w:top w:val="single" w:sz="4" w:space="0" w:color="000000"/>
            </w:tcBorders>
          </w:tcPr>
          <w:p>
            <w:pPr>
              <w:pStyle w:val="TableParagraph"/>
              <w:spacing w:line="257" w:lineRule="exact"/>
              <w:ind w:left="292"/>
              <w:rPr>
                <w:sz w:val="24"/>
              </w:rPr>
            </w:pPr>
            <w:r>
              <w:rPr>
                <w:spacing w:val="-4"/>
                <w:sz w:val="24"/>
              </w:rPr>
              <w:t>Staff</w:t>
            </w:r>
          </w:p>
        </w:tc>
        <w:tc>
          <w:tcPr>
            <w:tcW w:w="1682" w:type="dxa"/>
            <w:tcBorders>
              <w:top w:val="single" w:sz="4" w:space="0" w:color="000000"/>
            </w:tcBorders>
          </w:tcPr>
          <w:p>
            <w:pPr>
              <w:pStyle w:val="TableParagraph"/>
              <w:spacing w:line="257" w:lineRule="exact"/>
              <w:ind w:right="85"/>
              <w:jc w:val="right"/>
              <w:rPr>
                <w:sz w:val="24"/>
              </w:rPr>
            </w:pPr>
            <w:r>
              <w:rPr>
                <w:spacing w:val="-2"/>
                <w:sz w:val="24"/>
              </w:rPr>
              <w:t>.14524(*)</w:t>
            </w:r>
          </w:p>
        </w:tc>
        <w:tc>
          <w:tcPr>
            <w:tcW w:w="1260" w:type="dxa"/>
            <w:tcBorders>
              <w:top w:val="single" w:sz="4" w:space="0" w:color="000000"/>
            </w:tcBorders>
          </w:tcPr>
          <w:p>
            <w:pPr>
              <w:pStyle w:val="TableParagraph"/>
              <w:spacing w:line="257" w:lineRule="exact"/>
              <w:ind w:right="82"/>
              <w:jc w:val="right"/>
              <w:rPr>
                <w:sz w:val="24"/>
              </w:rPr>
            </w:pPr>
            <w:r>
              <w:rPr>
                <w:spacing w:val="-2"/>
                <w:sz w:val="24"/>
              </w:rPr>
              <w:t>.04917</w:t>
            </w:r>
          </w:p>
        </w:tc>
        <w:tc>
          <w:tcPr>
            <w:tcW w:w="1611" w:type="dxa"/>
            <w:tcBorders>
              <w:top w:val="single" w:sz="4" w:space="0" w:color="000000"/>
              <w:right w:val="single" w:sz="4" w:space="0" w:color="000000"/>
            </w:tcBorders>
          </w:tcPr>
          <w:p>
            <w:pPr>
              <w:pStyle w:val="TableParagraph"/>
              <w:spacing w:line="257" w:lineRule="exact"/>
              <w:ind w:right="80"/>
              <w:jc w:val="right"/>
              <w:rPr>
                <w:sz w:val="24"/>
              </w:rPr>
            </w:pPr>
            <w:r>
              <w:rPr>
                <w:spacing w:val="-4"/>
                <w:sz w:val="24"/>
              </w:rPr>
              <w:t>.013</w:t>
            </w:r>
          </w:p>
        </w:tc>
      </w:tr>
      <w:tr>
        <w:trPr>
          <w:trHeight w:val="275" w:hRule="atLeast"/>
        </w:trPr>
        <w:tc>
          <w:tcPr>
            <w:tcW w:w="1452" w:type="dxa"/>
            <w:tcBorders>
              <w:left w:val="single" w:sz="4" w:space="0" w:color="000000"/>
            </w:tcBorders>
          </w:tcPr>
          <w:p>
            <w:pPr>
              <w:pStyle w:val="TableParagraph"/>
              <w:rPr>
                <w:rFonts w:ascii="Times New Roman"/>
                <w:sz w:val="20"/>
              </w:rPr>
            </w:pPr>
          </w:p>
        </w:tc>
        <w:tc>
          <w:tcPr>
            <w:tcW w:w="1596" w:type="dxa"/>
          </w:tcPr>
          <w:p>
            <w:pPr>
              <w:pStyle w:val="TableParagraph"/>
              <w:rPr>
                <w:rFonts w:ascii="Times New Roman"/>
                <w:sz w:val="20"/>
              </w:rPr>
            </w:pPr>
          </w:p>
        </w:tc>
        <w:tc>
          <w:tcPr>
            <w:tcW w:w="1754" w:type="dxa"/>
          </w:tcPr>
          <w:p>
            <w:pPr>
              <w:pStyle w:val="TableParagraph"/>
              <w:spacing w:line="256" w:lineRule="exact"/>
              <w:ind w:left="292"/>
              <w:rPr>
                <w:sz w:val="24"/>
              </w:rPr>
            </w:pPr>
            <w:r>
              <w:rPr>
                <w:spacing w:val="-2"/>
                <w:sz w:val="24"/>
              </w:rPr>
              <w:t>Managmet</w:t>
            </w:r>
          </w:p>
        </w:tc>
        <w:tc>
          <w:tcPr>
            <w:tcW w:w="1682" w:type="dxa"/>
          </w:tcPr>
          <w:p>
            <w:pPr>
              <w:pStyle w:val="TableParagraph"/>
              <w:spacing w:line="256" w:lineRule="exact"/>
              <w:ind w:right="84"/>
              <w:jc w:val="right"/>
              <w:rPr>
                <w:sz w:val="24"/>
              </w:rPr>
            </w:pPr>
            <w:r>
              <w:rPr>
                <w:spacing w:val="-2"/>
                <w:sz w:val="24"/>
              </w:rPr>
              <w:t>.11313</w:t>
            </w:r>
          </w:p>
        </w:tc>
        <w:tc>
          <w:tcPr>
            <w:tcW w:w="1260" w:type="dxa"/>
          </w:tcPr>
          <w:p>
            <w:pPr>
              <w:pStyle w:val="TableParagraph"/>
              <w:spacing w:line="256" w:lineRule="exact"/>
              <w:ind w:right="82"/>
              <w:jc w:val="right"/>
              <w:rPr>
                <w:sz w:val="24"/>
              </w:rPr>
            </w:pPr>
            <w:r>
              <w:rPr>
                <w:spacing w:val="-2"/>
                <w:sz w:val="24"/>
              </w:rPr>
              <w:t>.11195</w:t>
            </w:r>
          </w:p>
        </w:tc>
        <w:tc>
          <w:tcPr>
            <w:tcW w:w="1611" w:type="dxa"/>
            <w:tcBorders>
              <w:right w:val="single" w:sz="4" w:space="0" w:color="000000"/>
            </w:tcBorders>
          </w:tcPr>
          <w:p>
            <w:pPr>
              <w:pStyle w:val="TableParagraph"/>
              <w:spacing w:line="256" w:lineRule="exact"/>
              <w:ind w:right="80"/>
              <w:jc w:val="right"/>
              <w:rPr>
                <w:sz w:val="24"/>
              </w:rPr>
            </w:pPr>
            <w:r>
              <w:rPr>
                <w:spacing w:val="-4"/>
                <w:sz w:val="24"/>
              </w:rPr>
              <w:t>.600</w:t>
            </w:r>
          </w:p>
        </w:tc>
      </w:tr>
      <w:tr>
        <w:trPr>
          <w:trHeight w:val="275" w:hRule="atLeast"/>
        </w:trPr>
        <w:tc>
          <w:tcPr>
            <w:tcW w:w="1452" w:type="dxa"/>
            <w:tcBorders>
              <w:left w:val="single" w:sz="4" w:space="0" w:color="000000"/>
            </w:tcBorders>
          </w:tcPr>
          <w:p>
            <w:pPr>
              <w:pStyle w:val="TableParagraph"/>
              <w:rPr>
                <w:rFonts w:ascii="Times New Roman"/>
                <w:sz w:val="20"/>
              </w:rPr>
            </w:pPr>
          </w:p>
        </w:tc>
        <w:tc>
          <w:tcPr>
            <w:tcW w:w="1596" w:type="dxa"/>
          </w:tcPr>
          <w:p>
            <w:pPr>
              <w:pStyle w:val="TableParagraph"/>
              <w:spacing w:line="256" w:lineRule="exact"/>
              <w:ind w:left="180"/>
              <w:rPr>
                <w:sz w:val="24"/>
              </w:rPr>
            </w:pPr>
            <w:r>
              <w:rPr>
                <w:spacing w:val="-4"/>
                <w:sz w:val="24"/>
              </w:rPr>
              <w:t>Staff</w:t>
            </w:r>
          </w:p>
        </w:tc>
        <w:tc>
          <w:tcPr>
            <w:tcW w:w="1754" w:type="dxa"/>
          </w:tcPr>
          <w:p>
            <w:pPr>
              <w:pStyle w:val="TableParagraph"/>
              <w:spacing w:line="256" w:lineRule="exact"/>
              <w:ind w:left="292"/>
              <w:rPr>
                <w:sz w:val="24"/>
              </w:rPr>
            </w:pPr>
            <w:r>
              <w:rPr>
                <w:spacing w:val="-2"/>
                <w:sz w:val="24"/>
              </w:rPr>
              <w:t>Student</w:t>
            </w:r>
          </w:p>
        </w:tc>
        <w:tc>
          <w:tcPr>
            <w:tcW w:w="1682" w:type="dxa"/>
          </w:tcPr>
          <w:p>
            <w:pPr>
              <w:pStyle w:val="TableParagraph"/>
              <w:spacing w:line="256" w:lineRule="exact"/>
              <w:ind w:right="85"/>
              <w:jc w:val="right"/>
              <w:rPr>
                <w:sz w:val="24"/>
              </w:rPr>
            </w:pPr>
            <w:r>
              <w:rPr>
                <w:sz w:val="24"/>
              </w:rPr>
              <w:t>-</w:t>
            </w:r>
            <w:r>
              <w:rPr>
                <w:spacing w:val="-2"/>
                <w:sz w:val="24"/>
              </w:rPr>
              <w:t>.14524(*)</w:t>
            </w:r>
          </w:p>
        </w:tc>
        <w:tc>
          <w:tcPr>
            <w:tcW w:w="1260" w:type="dxa"/>
          </w:tcPr>
          <w:p>
            <w:pPr>
              <w:pStyle w:val="TableParagraph"/>
              <w:spacing w:line="256" w:lineRule="exact"/>
              <w:ind w:right="82"/>
              <w:jc w:val="right"/>
              <w:rPr>
                <w:sz w:val="24"/>
              </w:rPr>
            </w:pPr>
            <w:r>
              <w:rPr>
                <w:spacing w:val="-2"/>
                <w:sz w:val="24"/>
              </w:rPr>
              <w:t>.04917</w:t>
            </w:r>
          </w:p>
        </w:tc>
        <w:tc>
          <w:tcPr>
            <w:tcW w:w="1611" w:type="dxa"/>
            <w:tcBorders>
              <w:right w:val="single" w:sz="4" w:space="0" w:color="000000"/>
            </w:tcBorders>
          </w:tcPr>
          <w:p>
            <w:pPr>
              <w:pStyle w:val="TableParagraph"/>
              <w:spacing w:line="256" w:lineRule="exact"/>
              <w:ind w:right="80"/>
              <w:jc w:val="right"/>
              <w:rPr>
                <w:sz w:val="24"/>
              </w:rPr>
            </w:pPr>
            <w:r>
              <w:rPr>
                <w:spacing w:val="-4"/>
                <w:sz w:val="24"/>
              </w:rPr>
              <w:t>.013</w:t>
            </w:r>
          </w:p>
        </w:tc>
      </w:tr>
      <w:tr>
        <w:trPr>
          <w:trHeight w:val="276" w:hRule="atLeast"/>
        </w:trPr>
        <w:tc>
          <w:tcPr>
            <w:tcW w:w="1452" w:type="dxa"/>
            <w:tcBorders>
              <w:left w:val="single" w:sz="4" w:space="0" w:color="000000"/>
            </w:tcBorders>
          </w:tcPr>
          <w:p>
            <w:pPr>
              <w:pStyle w:val="TableParagraph"/>
              <w:spacing w:line="256" w:lineRule="exact"/>
              <w:ind w:left="95"/>
              <w:rPr>
                <w:sz w:val="24"/>
              </w:rPr>
            </w:pPr>
            <w:r>
              <w:rPr>
                <w:spacing w:val="-2"/>
                <w:sz w:val="24"/>
              </w:rPr>
              <w:t>Services</w:t>
            </w:r>
          </w:p>
        </w:tc>
        <w:tc>
          <w:tcPr>
            <w:tcW w:w="1596" w:type="dxa"/>
          </w:tcPr>
          <w:p>
            <w:pPr>
              <w:pStyle w:val="TableParagraph"/>
              <w:rPr>
                <w:rFonts w:ascii="Times New Roman"/>
                <w:sz w:val="20"/>
              </w:rPr>
            </w:pPr>
          </w:p>
        </w:tc>
        <w:tc>
          <w:tcPr>
            <w:tcW w:w="1754" w:type="dxa"/>
          </w:tcPr>
          <w:p>
            <w:pPr>
              <w:pStyle w:val="TableParagraph"/>
              <w:spacing w:line="256" w:lineRule="exact"/>
              <w:ind w:left="292"/>
              <w:rPr>
                <w:sz w:val="24"/>
              </w:rPr>
            </w:pPr>
            <w:r>
              <w:rPr>
                <w:spacing w:val="-2"/>
                <w:sz w:val="24"/>
              </w:rPr>
              <w:t>Managmet</w:t>
            </w:r>
          </w:p>
        </w:tc>
        <w:tc>
          <w:tcPr>
            <w:tcW w:w="1682" w:type="dxa"/>
          </w:tcPr>
          <w:p>
            <w:pPr>
              <w:pStyle w:val="TableParagraph"/>
              <w:spacing w:line="256" w:lineRule="exact"/>
              <w:ind w:right="84"/>
              <w:jc w:val="right"/>
              <w:rPr>
                <w:sz w:val="24"/>
              </w:rPr>
            </w:pPr>
            <w:r>
              <w:rPr>
                <w:sz w:val="24"/>
              </w:rPr>
              <w:t>-</w:t>
            </w:r>
            <w:r>
              <w:rPr>
                <w:spacing w:val="-2"/>
                <w:sz w:val="24"/>
              </w:rPr>
              <w:t>.03211</w:t>
            </w:r>
          </w:p>
        </w:tc>
        <w:tc>
          <w:tcPr>
            <w:tcW w:w="1260" w:type="dxa"/>
          </w:tcPr>
          <w:p>
            <w:pPr>
              <w:pStyle w:val="TableParagraph"/>
              <w:spacing w:line="256" w:lineRule="exact"/>
              <w:ind w:right="82"/>
              <w:jc w:val="right"/>
              <w:rPr>
                <w:sz w:val="24"/>
              </w:rPr>
            </w:pPr>
            <w:r>
              <w:rPr>
                <w:spacing w:val="-2"/>
                <w:sz w:val="24"/>
              </w:rPr>
              <w:t>.11277</w:t>
            </w:r>
          </w:p>
        </w:tc>
        <w:tc>
          <w:tcPr>
            <w:tcW w:w="1611" w:type="dxa"/>
            <w:tcBorders>
              <w:right w:val="single" w:sz="4" w:space="0" w:color="000000"/>
            </w:tcBorders>
          </w:tcPr>
          <w:p>
            <w:pPr>
              <w:pStyle w:val="TableParagraph"/>
              <w:spacing w:line="256" w:lineRule="exact"/>
              <w:ind w:right="80"/>
              <w:jc w:val="right"/>
              <w:rPr>
                <w:sz w:val="24"/>
              </w:rPr>
            </w:pPr>
            <w:r>
              <w:rPr>
                <w:spacing w:val="-4"/>
                <w:sz w:val="24"/>
              </w:rPr>
              <w:t>.960</w:t>
            </w:r>
          </w:p>
        </w:tc>
      </w:tr>
      <w:tr>
        <w:trPr>
          <w:trHeight w:val="334" w:hRule="atLeast"/>
        </w:trPr>
        <w:tc>
          <w:tcPr>
            <w:tcW w:w="1452" w:type="dxa"/>
            <w:tcBorders>
              <w:left w:val="single" w:sz="4" w:space="0" w:color="000000"/>
            </w:tcBorders>
          </w:tcPr>
          <w:p>
            <w:pPr>
              <w:pStyle w:val="TableParagraph"/>
              <w:rPr>
                <w:rFonts w:ascii="Times New Roman"/>
                <w:sz w:val="24"/>
              </w:rPr>
            </w:pPr>
          </w:p>
        </w:tc>
        <w:tc>
          <w:tcPr>
            <w:tcW w:w="1596" w:type="dxa"/>
          </w:tcPr>
          <w:p>
            <w:pPr>
              <w:pStyle w:val="TableParagraph"/>
              <w:spacing w:line="271" w:lineRule="exact"/>
              <w:ind w:left="180"/>
              <w:rPr>
                <w:sz w:val="24"/>
              </w:rPr>
            </w:pPr>
            <w:r>
              <w:rPr>
                <w:spacing w:val="-2"/>
                <w:sz w:val="24"/>
              </w:rPr>
              <w:t>Managmet</w:t>
            </w:r>
          </w:p>
        </w:tc>
        <w:tc>
          <w:tcPr>
            <w:tcW w:w="1754" w:type="dxa"/>
          </w:tcPr>
          <w:p>
            <w:pPr>
              <w:pStyle w:val="TableParagraph"/>
              <w:spacing w:line="271" w:lineRule="exact"/>
              <w:ind w:left="292"/>
              <w:rPr>
                <w:sz w:val="24"/>
              </w:rPr>
            </w:pPr>
            <w:r>
              <w:rPr>
                <w:spacing w:val="-2"/>
                <w:sz w:val="24"/>
              </w:rPr>
              <w:t>Student</w:t>
            </w:r>
          </w:p>
        </w:tc>
        <w:tc>
          <w:tcPr>
            <w:tcW w:w="1682" w:type="dxa"/>
          </w:tcPr>
          <w:p>
            <w:pPr>
              <w:pStyle w:val="TableParagraph"/>
              <w:spacing w:line="271" w:lineRule="exact"/>
              <w:ind w:right="84"/>
              <w:jc w:val="right"/>
              <w:rPr>
                <w:sz w:val="24"/>
              </w:rPr>
            </w:pPr>
            <w:r>
              <w:rPr>
                <w:sz w:val="24"/>
              </w:rPr>
              <w:t>-</w:t>
            </w:r>
            <w:r>
              <w:rPr>
                <w:spacing w:val="-2"/>
                <w:sz w:val="24"/>
              </w:rPr>
              <w:t>.11313</w:t>
            </w:r>
          </w:p>
        </w:tc>
        <w:tc>
          <w:tcPr>
            <w:tcW w:w="1260" w:type="dxa"/>
          </w:tcPr>
          <w:p>
            <w:pPr>
              <w:pStyle w:val="TableParagraph"/>
              <w:spacing w:line="271" w:lineRule="exact"/>
              <w:ind w:right="82"/>
              <w:jc w:val="right"/>
              <w:rPr>
                <w:sz w:val="24"/>
              </w:rPr>
            </w:pPr>
            <w:r>
              <w:rPr>
                <w:spacing w:val="-2"/>
                <w:sz w:val="24"/>
              </w:rPr>
              <w:t>.11195</w:t>
            </w:r>
          </w:p>
        </w:tc>
        <w:tc>
          <w:tcPr>
            <w:tcW w:w="1611" w:type="dxa"/>
            <w:tcBorders>
              <w:right w:val="single" w:sz="4" w:space="0" w:color="000000"/>
            </w:tcBorders>
          </w:tcPr>
          <w:p>
            <w:pPr>
              <w:pStyle w:val="TableParagraph"/>
              <w:spacing w:line="271" w:lineRule="exact"/>
              <w:ind w:right="80"/>
              <w:jc w:val="right"/>
              <w:rPr>
                <w:sz w:val="24"/>
              </w:rPr>
            </w:pPr>
            <w:r>
              <w:rPr>
                <w:spacing w:val="-4"/>
                <w:sz w:val="24"/>
              </w:rPr>
              <w:t>.600</w:t>
            </w:r>
          </w:p>
        </w:tc>
      </w:tr>
      <w:tr>
        <w:trPr>
          <w:trHeight w:val="495" w:hRule="atLeast"/>
        </w:trPr>
        <w:tc>
          <w:tcPr>
            <w:tcW w:w="1452" w:type="dxa"/>
            <w:tcBorders>
              <w:left w:val="single" w:sz="4" w:space="0" w:color="000000"/>
              <w:bottom w:val="single" w:sz="4" w:space="0" w:color="000000"/>
            </w:tcBorders>
          </w:tcPr>
          <w:p>
            <w:pPr>
              <w:pStyle w:val="TableParagraph"/>
              <w:rPr>
                <w:rFonts w:ascii="Times New Roman"/>
                <w:sz w:val="24"/>
              </w:rPr>
            </w:pPr>
          </w:p>
        </w:tc>
        <w:tc>
          <w:tcPr>
            <w:tcW w:w="1596" w:type="dxa"/>
            <w:tcBorders>
              <w:bottom w:val="single" w:sz="4" w:space="0" w:color="000000"/>
            </w:tcBorders>
          </w:tcPr>
          <w:p>
            <w:pPr>
              <w:pStyle w:val="TableParagraph"/>
              <w:rPr>
                <w:rFonts w:ascii="Times New Roman"/>
                <w:sz w:val="24"/>
              </w:rPr>
            </w:pPr>
          </w:p>
        </w:tc>
        <w:tc>
          <w:tcPr>
            <w:tcW w:w="1754" w:type="dxa"/>
            <w:tcBorders>
              <w:bottom w:val="single" w:sz="4" w:space="0" w:color="000000"/>
            </w:tcBorders>
          </w:tcPr>
          <w:p>
            <w:pPr>
              <w:pStyle w:val="TableParagraph"/>
              <w:spacing w:line="215" w:lineRule="exact"/>
              <w:ind w:left="292"/>
              <w:rPr>
                <w:sz w:val="24"/>
              </w:rPr>
            </w:pPr>
            <w:r>
              <w:rPr>
                <w:spacing w:val="-4"/>
                <w:sz w:val="24"/>
              </w:rPr>
              <w:t>Staff</w:t>
            </w:r>
          </w:p>
        </w:tc>
        <w:tc>
          <w:tcPr>
            <w:tcW w:w="1682" w:type="dxa"/>
            <w:tcBorders>
              <w:bottom w:val="single" w:sz="4" w:space="0" w:color="000000"/>
            </w:tcBorders>
          </w:tcPr>
          <w:p>
            <w:pPr>
              <w:pStyle w:val="TableParagraph"/>
              <w:spacing w:before="78"/>
              <w:ind w:right="84"/>
              <w:jc w:val="right"/>
              <w:rPr>
                <w:sz w:val="24"/>
              </w:rPr>
            </w:pPr>
            <w:r>
              <w:rPr>
                <w:spacing w:val="-2"/>
                <w:sz w:val="24"/>
              </w:rPr>
              <w:t>.03211</w:t>
            </w:r>
          </w:p>
        </w:tc>
        <w:tc>
          <w:tcPr>
            <w:tcW w:w="1260" w:type="dxa"/>
            <w:tcBorders>
              <w:bottom w:val="single" w:sz="4" w:space="0" w:color="000000"/>
            </w:tcBorders>
          </w:tcPr>
          <w:p>
            <w:pPr>
              <w:pStyle w:val="TableParagraph"/>
              <w:spacing w:before="78"/>
              <w:ind w:right="82"/>
              <w:jc w:val="right"/>
              <w:rPr>
                <w:sz w:val="24"/>
              </w:rPr>
            </w:pPr>
            <w:r>
              <w:rPr>
                <w:spacing w:val="-2"/>
                <w:sz w:val="24"/>
              </w:rPr>
              <w:t>.11277</w:t>
            </w:r>
          </w:p>
        </w:tc>
        <w:tc>
          <w:tcPr>
            <w:tcW w:w="1611" w:type="dxa"/>
            <w:tcBorders>
              <w:bottom w:val="single" w:sz="4" w:space="0" w:color="000000"/>
              <w:right w:val="single" w:sz="4" w:space="0" w:color="000000"/>
            </w:tcBorders>
          </w:tcPr>
          <w:p>
            <w:pPr>
              <w:pStyle w:val="TableParagraph"/>
              <w:spacing w:before="78"/>
              <w:ind w:right="80"/>
              <w:jc w:val="right"/>
              <w:rPr>
                <w:sz w:val="24"/>
              </w:rPr>
            </w:pPr>
            <w:r>
              <w:rPr>
                <w:spacing w:val="-4"/>
                <w:sz w:val="24"/>
              </w:rPr>
              <w:t>.960</w:t>
            </w:r>
          </w:p>
        </w:tc>
      </w:tr>
    </w:tbl>
    <w:p>
      <w:pPr>
        <w:pStyle w:val="BodyText"/>
        <w:ind w:left="840"/>
      </w:pPr>
      <w:r>
        <w:rPr/>
        <w:t>*</w:t>
      </w:r>
      <w:r>
        <w:rPr>
          <w:spacing w:val="-7"/>
        </w:rPr>
        <w:t> </w:t>
      </w:r>
      <w:r>
        <w:rPr/>
        <w:t>Mean</w:t>
      </w:r>
      <w:r>
        <w:rPr>
          <w:spacing w:val="-4"/>
        </w:rPr>
        <w:t> </w:t>
      </w:r>
      <w:r>
        <w:rPr/>
        <w:t>difference</w:t>
      </w:r>
      <w:r>
        <w:rPr>
          <w:spacing w:val="-8"/>
        </w:rPr>
        <w:t> </w:t>
      </w:r>
      <w:r>
        <w:rPr/>
        <w:t>is</w:t>
      </w:r>
      <w:r>
        <w:rPr>
          <w:spacing w:val="-5"/>
        </w:rPr>
        <w:t> </w:t>
      </w:r>
      <w:r>
        <w:rPr/>
        <w:t>significant</w:t>
      </w:r>
      <w:r>
        <w:rPr>
          <w:spacing w:val="-3"/>
        </w:rPr>
        <w:t> </w:t>
      </w:r>
      <w:r>
        <w:rPr/>
        <w:t>at</w:t>
      </w:r>
      <w:r>
        <w:rPr>
          <w:spacing w:val="-8"/>
        </w:rPr>
        <w:t> </w:t>
      </w:r>
      <w:r>
        <w:rPr/>
        <w:t>the</w:t>
      </w:r>
      <w:r>
        <w:rPr>
          <w:spacing w:val="-4"/>
        </w:rPr>
        <w:t> </w:t>
      </w:r>
      <w:r>
        <w:rPr/>
        <w:t>.05</w:t>
      </w:r>
      <w:r>
        <w:rPr>
          <w:spacing w:val="-8"/>
        </w:rPr>
        <w:t> </w:t>
      </w:r>
      <w:r>
        <w:rPr>
          <w:spacing w:val="-4"/>
        </w:rPr>
        <w:t>level</w:t>
      </w:r>
    </w:p>
    <w:p>
      <w:pPr>
        <w:pStyle w:val="BodyText"/>
        <w:spacing w:before="272"/>
      </w:pPr>
    </w:p>
    <w:p>
      <w:pPr>
        <w:pStyle w:val="BodyText"/>
        <w:spacing w:line="480" w:lineRule="auto"/>
        <w:ind w:left="840" w:right="554" w:firstLine="720"/>
        <w:jc w:val="both"/>
      </w:pPr>
      <w:r>
        <w:rPr/>
        <w:t>From the Scheffe’s Multiple Comparison Test, it is clear that differences existed in the opinions of the respondents on the types and degree of availability of students’ welfare</w:t>
      </w:r>
      <w:r>
        <w:rPr>
          <w:spacing w:val="-2"/>
        </w:rPr>
        <w:t> </w:t>
      </w:r>
      <w:r>
        <w:rPr/>
        <w:t>services</w:t>
      </w:r>
      <w:r>
        <w:rPr>
          <w:spacing w:val="-3"/>
        </w:rPr>
        <w:t> </w:t>
      </w:r>
      <w:r>
        <w:rPr/>
        <w:t>in the</w:t>
      </w:r>
      <w:r>
        <w:rPr>
          <w:spacing w:val="-2"/>
        </w:rPr>
        <w:t> </w:t>
      </w:r>
      <w:r>
        <w:rPr/>
        <w:t>universities under</w:t>
      </w:r>
      <w:r>
        <w:rPr>
          <w:spacing w:val="-1"/>
        </w:rPr>
        <w:t> </w:t>
      </w:r>
      <w:r>
        <w:rPr/>
        <w:t>study.</w:t>
      </w:r>
      <w:r>
        <w:rPr>
          <w:spacing w:val="-3"/>
        </w:rPr>
        <w:t> </w:t>
      </w:r>
      <w:r>
        <w:rPr/>
        <w:t>The mean difference of service staff and student seemed to be more in agreement. However, there seemed to be significant difference of opinions of students compared with that of service staff and top management. Opinions</w:t>
      </w:r>
      <w:r>
        <w:rPr>
          <w:spacing w:val="-2"/>
        </w:rPr>
        <w:t> </w:t>
      </w:r>
      <w:r>
        <w:rPr/>
        <w:t>of students as the consumers of the services disagreed with the top management who as managers claimed that the types of services were adequately provided by the universities. The students expected the management to facilitate the provision of more types of students’ welfare service than what is obtained in the universities</w:t>
      </w:r>
    </w:p>
    <w:p>
      <w:pPr>
        <w:pStyle w:val="BodyText"/>
        <w:spacing w:line="480" w:lineRule="auto"/>
        <w:ind w:left="840" w:right="556" w:firstLine="720"/>
        <w:jc w:val="both"/>
      </w:pPr>
      <w:r>
        <w:rPr/>
        <w:t>The opinion of students desired prompt and critical examination as they saw</w:t>
      </w:r>
      <w:r>
        <w:rPr>
          <w:spacing w:val="41"/>
        </w:rPr>
        <w:t> </w:t>
      </w:r>
      <w:r>
        <w:rPr/>
        <w:t>directly</w:t>
      </w:r>
      <w:r>
        <w:rPr>
          <w:spacing w:val="46"/>
        </w:rPr>
        <w:t> </w:t>
      </w:r>
      <w:r>
        <w:rPr/>
        <w:t>with</w:t>
      </w:r>
      <w:r>
        <w:rPr>
          <w:spacing w:val="44"/>
        </w:rPr>
        <w:t> </w:t>
      </w:r>
      <w:r>
        <w:rPr/>
        <w:t>the</w:t>
      </w:r>
      <w:r>
        <w:rPr>
          <w:spacing w:val="42"/>
        </w:rPr>
        <w:t> </w:t>
      </w:r>
      <w:r>
        <w:rPr/>
        <w:t>realities</w:t>
      </w:r>
      <w:r>
        <w:rPr>
          <w:spacing w:val="42"/>
        </w:rPr>
        <w:t> </w:t>
      </w:r>
      <w:r>
        <w:rPr/>
        <w:t>on</w:t>
      </w:r>
      <w:r>
        <w:rPr>
          <w:spacing w:val="47"/>
        </w:rPr>
        <w:t> </w:t>
      </w:r>
      <w:r>
        <w:rPr/>
        <w:t>the</w:t>
      </w:r>
      <w:r>
        <w:rPr>
          <w:spacing w:val="48"/>
        </w:rPr>
        <w:t> </w:t>
      </w:r>
      <w:r>
        <w:rPr/>
        <w:t>ground</w:t>
      </w:r>
      <w:r>
        <w:rPr>
          <w:spacing w:val="47"/>
        </w:rPr>
        <w:t> </w:t>
      </w:r>
      <w:r>
        <w:rPr/>
        <w:t>being</w:t>
      </w:r>
      <w:r>
        <w:rPr>
          <w:spacing w:val="47"/>
        </w:rPr>
        <w:t> </w:t>
      </w:r>
      <w:r>
        <w:rPr/>
        <w:t>central</w:t>
      </w:r>
      <w:r>
        <w:rPr>
          <w:spacing w:val="47"/>
        </w:rPr>
        <w:t> </w:t>
      </w:r>
      <w:r>
        <w:rPr/>
        <w:t>to</w:t>
      </w:r>
      <w:r>
        <w:rPr>
          <w:spacing w:val="47"/>
        </w:rPr>
        <w:t> </w:t>
      </w:r>
      <w:r>
        <w:rPr/>
        <w:t>all</w:t>
      </w:r>
      <w:r>
        <w:rPr>
          <w:spacing w:val="45"/>
        </w:rPr>
        <w:t> </w:t>
      </w:r>
      <w:r>
        <w:rPr/>
        <w:t>types</w:t>
      </w:r>
      <w:r>
        <w:rPr>
          <w:spacing w:val="47"/>
        </w:rPr>
        <w:t> </w:t>
      </w:r>
      <w:r>
        <w:rPr/>
        <w:t>of</w:t>
      </w:r>
      <w:r>
        <w:rPr>
          <w:spacing w:val="46"/>
        </w:rPr>
        <w:t> </w:t>
      </w:r>
      <w:r>
        <w:rPr>
          <w:spacing w:val="-5"/>
        </w:rPr>
        <w:t>the</w:t>
      </w:r>
    </w:p>
    <w:p>
      <w:pPr>
        <w:spacing w:after="0" w:line="480" w:lineRule="auto"/>
        <w:jc w:val="both"/>
        <w:sectPr>
          <w:headerReference w:type="default" r:id="rId413"/>
          <w:footerReference w:type="default" r:id="rId414"/>
          <w:pgSz w:w="12240" w:h="15840"/>
          <w:pgMar w:header="722" w:footer="791" w:top="980" w:bottom="980" w:left="1320" w:right="880"/>
        </w:sectPr>
      </w:pPr>
    </w:p>
    <w:p>
      <w:pPr>
        <w:pStyle w:val="BodyText"/>
        <w:spacing w:before="171"/>
      </w:pPr>
    </w:p>
    <w:p>
      <w:pPr>
        <w:pStyle w:val="BodyText"/>
        <w:spacing w:line="480" w:lineRule="auto"/>
        <w:ind w:left="840" w:right="585"/>
      </w:pPr>
      <w:r>
        <w:rPr/>
        <w:t>services available. For their academic performance to be enhanced, all types of relevant services should avail in the university system.</w:t>
      </w:r>
    </w:p>
    <w:p>
      <w:pPr>
        <w:pStyle w:val="Heading4"/>
        <w:numPr>
          <w:ilvl w:val="2"/>
          <w:numId w:val="39"/>
        </w:numPr>
        <w:tabs>
          <w:tab w:pos="837" w:val="left" w:leader="none"/>
        </w:tabs>
        <w:spacing w:line="240" w:lineRule="auto" w:before="1" w:after="0"/>
        <w:ind w:left="837" w:right="0" w:hanging="717"/>
        <w:jc w:val="left"/>
        <w:rPr>
          <w:rFonts w:ascii="Arial MT"/>
          <w:b w:val="0"/>
          <w:sz w:val="28"/>
        </w:rPr>
      </w:pPr>
      <w:r>
        <w:rPr/>
        <w:t>Null</w:t>
      </w:r>
      <w:r>
        <w:rPr>
          <w:spacing w:val="-11"/>
        </w:rPr>
        <w:t> </w:t>
      </w:r>
      <w:r>
        <w:rPr/>
        <w:t>Hypothesis</w:t>
      </w:r>
      <w:r>
        <w:rPr>
          <w:spacing w:val="-10"/>
        </w:rPr>
        <w:t> 2</w:t>
      </w:r>
    </w:p>
    <w:p>
      <w:pPr>
        <w:pStyle w:val="BodyText"/>
        <w:spacing w:before="45"/>
        <w:rPr>
          <w:rFonts w:ascii="Arial"/>
          <w:b/>
        </w:rPr>
      </w:pPr>
    </w:p>
    <w:p>
      <w:pPr>
        <w:pStyle w:val="BodyText"/>
        <w:spacing w:line="480" w:lineRule="auto"/>
        <w:ind w:left="840" w:right="561" w:firstLine="720"/>
        <w:jc w:val="both"/>
      </w:pPr>
      <w:r>
        <w:rPr/>
        <w:t>There is no significant difference in the opinions of students, service staff and top management staff in respect of the availability and adequacy of social services</w:t>
      </w:r>
      <w:r>
        <w:rPr>
          <w:spacing w:val="-2"/>
        </w:rPr>
        <w:t> </w:t>
      </w:r>
      <w:r>
        <w:rPr/>
        <w:t>in universities</w:t>
      </w:r>
      <w:r>
        <w:rPr>
          <w:spacing w:val="-2"/>
        </w:rPr>
        <w:t> </w:t>
      </w:r>
      <w:r>
        <w:rPr/>
        <w:t>in the three geopolitical zones</w:t>
      </w:r>
      <w:r>
        <w:rPr>
          <w:spacing w:val="-2"/>
        </w:rPr>
        <w:t> </w:t>
      </w:r>
      <w:r>
        <w:rPr/>
        <w:t>in Northern Part of Nigeria.</w:t>
      </w:r>
    </w:p>
    <w:p>
      <w:pPr>
        <w:pStyle w:val="BodyText"/>
        <w:spacing w:line="480" w:lineRule="auto"/>
        <w:ind w:left="840" w:right="558" w:firstLine="720"/>
        <w:jc w:val="both"/>
      </w:pPr>
      <w:r>
        <w:rPr/>
        <w:t>To test this hypothesis, items 1 to 12 in the questionnaire were used to</w:t>
      </w:r>
      <w:r>
        <w:rPr>
          <w:spacing w:val="40"/>
        </w:rPr>
        <w:t> </w:t>
      </w:r>
      <w:r>
        <w:rPr/>
        <w:t>find out differences of respondents’ opinions on the availability and adequacy of social services in the universities. Therefore to test the Null hypothesis, one way analysis of variance was used and the results are presented in Table 4.5.3</w:t>
      </w:r>
      <w:r>
        <w:rPr>
          <w:spacing w:val="40"/>
        </w:rPr>
        <w:t> </w:t>
      </w:r>
      <w:r>
        <w:rPr>
          <w:spacing w:val="-2"/>
        </w:rPr>
        <w:t>below.</w:t>
      </w:r>
    </w:p>
    <w:p>
      <w:pPr>
        <w:pStyle w:val="Heading2"/>
        <w:ind w:left="2433" w:right="585" w:hanging="1594"/>
      </w:pPr>
      <w:r>
        <w:rPr/>
        <w:t>Table 4.5.3: One way analysis of variance (ANOVA) on the availability</w:t>
      </w:r>
      <w:r>
        <w:rPr>
          <w:spacing w:val="-12"/>
        </w:rPr>
        <w:t> </w:t>
      </w:r>
      <w:r>
        <w:rPr/>
        <w:t>and</w:t>
      </w:r>
      <w:r>
        <w:rPr>
          <w:spacing w:val="-9"/>
        </w:rPr>
        <w:t> </w:t>
      </w:r>
      <w:r>
        <w:rPr/>
        <w:t>adequacy</w:t>
      </w:r>
      <w:r>
        <w:rPr>
          <w:spacing w:val="-8"/>
        </w:rPr>
        <w:t> </w:t>
      </w:r>
      <w:r>
        <w:rPr/>
        <w:t>of</w:t>
      </w:r>
      <w:r>
        <w:rPr>
          <w:spacing w:val="-4"/>
        </w:rPr>
        <w:t> </w:t>
      </w:r>
      <w:r>
        <w:rPr/>
        <w:t>social</w:t>
      </w:r>
      <w:r>
        <w:rPr>
          <w:spacing w:val="-3"/>
        </w:rPr>
        <w:t> </w:t>
      </w:r>
      <w:r>
        <w:rPr/>
        <w:t>welfare</w:t>
      </w:r>
      <w:r>
        <w:rPr>
          <w:spacing w:val="-4"/>
        </w:rPr>
        <w:t> </w:t>
      </w:r>
      <w:r>
        <w:rPr/>
        <w:t>services in universities under study</w:t>
      </w:r>
    </w:p>
    <w:p>
      <w:pPr>
        <w:pStyle w:val="BodyText"/>
        <w:spacing w:before="95"/>
        <w:rPr>
          <w:rFonts w:ascii="Arial"/>
          <w:b/>
          <w:sz w:val="20"/>
        </w:rPr>
      </w:pPr>
    </w:p>
    <w:tbl>
      <w:tblPr>
        <w:tblW w:w="0" w:type="auto"/>
        <w:jc w:val="left"/>
        <w:tblInd w:w="6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54"/>
        <w:gridCol w:w="1045"/>
        <w:gridCol w:w="1728"/>
        <w:gridCol w:w="1288"/>
        <w:gridCol w:w="1206"/>
        <w:gridCol w:w="1494"/>
      </w:tblGrid>
      <w:tr>
        <w:trPr>
          <w:trHeight w:val="551" w:hRule="atLeast"/>
        </w:trPr>
        <w:tc>
          <w:tcPr>
            <w:tcW w:w="2054" w:type="dxa"/>
            <w:tcBorders>
              <w:top w:val="single" w:sz="4" w:space="0" w:color="000000"/>
              <w:left w:val="single" w:sz="4" w:space="0" w:color="000000"/>
              <w:bottom w:val="single" w:sz="4" w:space="0" w:color="000000"/>
            </w:tcBorders>
          </w:tcPr>
          <w:p>
            <w:pPr>
              <w:pStyle w:val="TableParagraph"/>
              <w:spacing w:line="267" w:lineRule="exact"/>
              <w:ind w:left="523"/>
              <w:rPr>
                <w:rFonts w:ascii="Arial"/>
                <w:b/>
                <w:sz w:val="24"/>
              </w:rPr>
            </w:pPr>
            <w:r>
              <w:rPr>
                <w:rFonts w:ascii="Arial"/>
                <w:b/>
                <w:sz w:val="24"/>
              </w:rPr>
              <w:t>Source</w:t>
            </w:r>
            <w:r>
              <w:rPr>
                <w:rFonts w:ascii="Arial"/>
                <w:b/>
                <w:spacing w:val="-12"/>
                <w:sz w:val="24"/>
              </w:rPr>
              <w:t> </w:t>
            </w:r>
            <w:r>
              <w:rPr>
                <w:rFonts w:ascii="Arial"/>
                <w:b/>
                <w:spacing w:val="-5"/>
                <w:sz w:val="24"/>
              </w:rPr>
              <w:t>of</w:t>
            </w:r>
          </w:p>
          <w:p>
            <w:pPr>
              <w:pStyle w:val="TableParagraph"/>
              <w:spacing w:line="263" w:lineRule="exact" w:before="2"/>
              <w:ind w:left="575"/>
              <w:rPr>
                <w:rFonts w:ascii="Arial"/>
                <w:b/>
                <w:sz w:val="24"/>
              </w:rPr>
            </w:pPr>
            <w:r>
              <w:rPr>
                <w:rFonts w:ascii="Arial"/>
                <w:b/>
                <w:spacing w:val="-2"/>
                <w:sz w:val="24"/>
              </w:rPr>
              <w:t>variation</w:t>
            </w:r>
          </w:p>
        </w:tc>
        <w:tc>
          <w:tcPr>
            <w:tcW w:w="1045" w:type="dxa"/>
            <w:tcBorders>
              <w:top w:val="single" w:sz="4" w:space="0" w:color="000000"/>
              <w:bottom w:val="single" w:sz="4" w:space="0" w:color="000000"/>
            </w:tcBorders>
          </w:tcPr>
          <w:p>
            <w:pPr>
              <w:pStyle w:val="TableParagraph"/>
              <w:spacing w:line="267" w:lineRule="exact"/>
              <w:ind w:left="485"/>
              <w:rPr>
                <w:rFonts w:ascii="Arial"/>
                <w:b/>
                <w:sz w:val="24"/>
              </w:rPr>
            </w:pPr>
            <w:r>
              <w:rPr>
                <w:rFonts w:ascii="Arial"/>
                <w:b/>
                <w:spacing w:val="-5"/>
                <w:sz w:val="24"/>
              </w:rPr>
              <w:t>DF</w:t>
            </w:r>
          </w:p>
        </w:tc>
        <w:tc>
          <w:tcPr>
            <w:tcW w:w="1728" w:type="dxa"/>
            <w:tcBorders>
              <w:top w:val="single" w:sz="4" w:space="0" w:color="000000"/>
              <w:bottom w:val="single" w:sz="4" w:space="0" w:color="000000"/>
            </w:tcBorders>
          </w:tcPr>
          <w:p>
            <w:pPr>
              <w:pStyle w:val="TableParagraph"/>
              <w:spacing w:line="267" w:lineRule="exact"/>
              <w:ind w:left="606"/>
              <w:rPr>
                <w:rFonts w:ascii="Arial"/>
                <w:b/>
                <w:sz w:val="24"/>
              </w:rPr>
            </w:pPr>
            <w:r>
              <w:rPr>
                <w:rFonts w:ascii="Arial"/>
                <w:b/>
                <w:sz w:val="24"/>
              </w:rPr>
              <w:t>Sum</w:t>
            </w:r>
            <w:r>
              <w:rPr>
                <w:rFonts w:ascii="Arial"/>
                <w:b/>
                <w:spacing w:val="-13"/>
                <w:sz w:val="24"/>
              </w:rPr>
              <w:t> </w:t>
            </w:r>
            <w:r>
              <w:rPr>
                <w:rFonts w:ascii="Arial"/>
                <w:b/>
                <w:spacing w:val="-5"/>
                <w:sz w:val="24"/>
              </w:rPr>
              <w:t>of</w:t>
            </w:r>
          </w:p>
          <w:p>
            <w:pPr>
              <w:pStyle w:val="TableParagraph"/>
              <w:spacing w:line="263" w:lineRule="exact" w:before="2"/>
              <w:ind w:left="553"/>
              <w:rPr>
                <w:rFonts w:ascii="Arial"/>
                <w:b/>
                <w:sz w:val="24"/>
              </w:rPr>
            </w:pPr>
            <w:r>
              <w:rPr>
                <w:rFonts w:ascii="Arial"/>
                <w:b/>
                <w:spacing w:val="-2"/>
                <w:sz w:val="24"/>
              </w:rPr>
              <w:t>squares</w:t>
            </w:r>
          </w:p>
        </w:tc>
        <w:tc>
          <w:tcPr>
            <w:tcW w:w="1288" w:type="dxa"/>
            <w:tcBorders>
              <w:top w:val="single" w:sz="4" w:space="0" w:color="000000"/>
              <w:bottom w:val="single" w:sz="4" w:space="0" w:color="000000"/>
            </w:tcBorders>
          </w:tcPr>
          <w:p>
            <w:pPr>
              <w:pStyle w:val="TableParagraph"/>
              <w:spacing w:line="267" w:lineRule="exact"/>
              <w:ind w:left="164" w:right="2"/>
              <w:jc w:val="center"/>
              <w:rPr>
                <w:rFonts w:ascii="Arial"/>
                <w:b/>
                <w:sz w:val="24"/>
              </w:rPr>
            </w:pPr>
            <w:r>
              <w:rPr>
                <w:rFonts w:ascii="Arial"/>
                <w:b/>
                <w:spacing w:val="-4"/>
                <w:sz w:val="24"/>
              </w:rPr>
              <w:t>Mean</w:t>
            </w:r>
          </w:p>
          <w:p>
            <w:pPr>
              <w:pStyle w:val="TableParagraph"/>
              <w:spacing w:line="263" w:lineRule="exact" w:before="2"/>
              <w:ind w:left="164"/>
              <w:jc w:val="center"/>
              <w:rPr>
                <w:rFonts w:ascii="Arial"/>
                <w:b/>
                <w:sz w:val="24"/>
              </w:rPr>
            </w:pPr>
            <w:r>
              <w:rPr>
                <w:rFonts w:ascii="Arial"/>
                <w:b/>
                <w:spacing w:val="-2"/>
                <w:sz w:val="24"/>
              </w:rPr>
              <w:t>squares</w:t>
            </w:r>
          </w:p>
        </w:tc>
        <w:tc>
          <w:tcPr>
            <w:tcW w:w="1206" w:type="dxa"/>
            <w:tcBorders>
              <w:top w:val="single" w:sz="4" w:space="0" w:color="000000"/>
              <w:bottom w:val="single" w:sz="4" w:space="0" w:color="000000"/>
            </w:tcBorders>
          </w:tcPr>
          <w:p>
            <w:pPr>
              <w:pStyle w:val="TableParagraph"/>
              <w:spacing w:line="267" w:lineRule="exact"/>
              <w:ind w:left="187"/>
              <w:rPr>
                <w:rFonts w:ascii="Arial"/>
                <w:b/>
                <w:sz w:val="24"/>
              </w:rPr>
            </w:pPr>
            <w:r>
              <w:rPr>
                <w:rFonts w:ascii="Arial"/>
                <w:b/>
                <w:sz w:val="24"/>
              </w:rPr>
              <w:t>F.</w:t>
            </w:r>
            <w:r>
              <w:rPr>
                <w:rFonts w:ascii="Arial"/>
                <w:b/>
                <w:spacing w:val="-1"/>
                <w:sz w:val="24"/>
              </w:rPr>
              <w:t> </w:t>
            </w:r>
            <w:r>
              <w:rPr>
                <w:rFonts w:ascii="Arial"/>
                <w:b/>
                <w:spacing w:val="-2"/>
                <w:sz w:val="24"/>
              </w:rPr>
              <w:t>Ratio</w:t>
            </w:r>
          </w:p>
        </w:tc>
        <w:tc>
          <w:tcPr>
            <w:tcW w:w="1494" w:type="dxa"/>
            <w:tcBorders>
              <w:top w:val="single" w:sz="4" w:space="0" w:color="000000"/>
              <w:bottom w:val="single" w:sz="4" w:space="0" w:color="000000"/>
              <w:right w:val="single" w:sz="4" w:space="0" w:color="000000"/>
            </w:tcBorders>
          </w:tcPr>
          <w:p>
            <w:pPr>
              <w:pStyle w:val="TableParagraph"/>
              <w:spacing w:line="267" w:lineRule="exact"/>
              <w:ind w:left="62" w:right="4"/>
              <w:jc w:val="center"/>
              <w:rPr>
                <w:rFonts w:ascii="Arial"/>
                <w:b/>
                <w:sz w:val="24"/>
              </w:rPr>
            </w:pPr>
            <w:r>
              <w:rPr>
                <w:rFonts w:ascii="Arial"/>
                <w:b/>
                <w:spacing w:val="-5"/>
                <w:sz w:val="24"/>
              </w:rPr>
              <w:t>F.</w:t>
            </w:r>
          </w:p>
          <w:p>
            <w:pPr>
              <w:pStyle w:val="TableParagraph"/>
              <w:spacing w:line="263" w:lineRule="exact" w:before="2"/>
              <w:ind w:left="62"/>
              <w:jc w:val="center"/>
              <w:rPr>
                <w:rFonts w:ascii="Arial"/>
                <w:b/>
                <w:sz w:val="24"/>
              </w:rPr>
            </w:pPr>
            <w:r>
              <w:rPr>
                <w:rFonts w:ascii="Arial"/>
                <w:b/>
                <w:spacing w:val="-2"/>
                <w:sz w:val="24"/>
              </w:rPr>
              <w:t>Probability</w:t>
            </w:r>
          </w:p>
        </w:tc>
      </w:tr>
      <w:tr>
        <w:trPr>
          <w:trHeight w:val="418" w:hRule="atLeast"/>
        </w:trPr>
        <w:tc>
          <w:tcPr>
            <w:tcW w:w="2054" w:type="dxa"/>
            <w:tcBorders>
              <w:top w:val="single" w:sz="4" w:space="0" w:color="000000"/>
              <w:left w:val="single" w:sz="4" w:space="0" w:color="000000"/>
            </w:tcBorders>
          </w:tcPr>
          <w:p>
            <w:pPr>
              <w:pStyle w:val="TableParagraph"/>
              <w:ind w:left="105"/>
              <w:rPr>
                <w:sz w:val="24"/>
              </w:rPr>
            </w:pPr>
            <w:r>
              <w:rPr>
                <w:sz w:val="24"/>
              </w:rPr>
              <w:t>Between</w:t>
            </w:r>
            <w:r>
              <w:rPr>
                <w:spacing w:val="-13"/>
                <w:sz w:val="24"/>
              </w:rPr>
              <w:t> </w:t>
            </w:r>
            <w:r>
              <w:rPr>
                <w:spacing w:val="-2"/>
                <w:sz w:val="24"/>
              </w:rPr>
              <w:t>groups</w:t>
            </w:r>
          </w:p>
        </w:tc>
        <w:tc>
          <w:tcPr>
            <w:tcW w:w="1045" w:type="dxa"/>
            <w:tcBorders>
              <w:top w:val="single" w:sz="4" w:space="0" w:color="000000"/>
            </w:tcBorders>
          </w:tcPr>
          <w:p>
            <w:pPr>
              <w:pStyle w:val="TableParagraph"/>
              <w:ind w:left="216"/>
              <w:rPr>
                <w:sz w:val="24"/>
              </w:rPr>
            </w:pPr>
            <w:r>
              <w:rPr>
                <w:spacing w:val="-10"/>
                <w:sz w:val="24"/>
              </w:rPr>
              <w:t>2</w:t>
            </w:r>
          </w:p>
        </w:tc>
        <w:tc>
          <w:tcPr>
            <w:tcW w:w="1728" w:type="dxa"/>
            <w:tcBorders>
              <w:top w:val="single" w:sz="4" w:space="0" w:color="000000"/>
            </w:tcBorders>
          </w:tcPr>
          <w:p>
            <w:pPr>
              <w:pStyle w:val="TableParagraph"/>
              <w:ind w:left="251"/>
              <w:rPr>
                <w:sz w:val="24"/>
              </w:rPr>
            </w:pPr>
            <w:r>
              <w:rPr>
                <w:spacing w:val="-2"/>
                <w:sz w:val="24"/>
              </w:rPr>
              <w:t>.7173</w:t>
            </w:r>
          </w:p>
        </w:tc>
        <w:tc>
          <w:tcPr>
            <w:tcW w:w="1288" w:type="dxa"/>
            <w:tcBorders>
              <w:top w:val="single" w:sz="4" w:space="0" w:color="000000"/>
            </w:tcBorders>
          </w:tcPr>
          <w:p>
            <w:pPr>
              <w:pStyle w:val="TableParagraph"/>
              <w:ind w:left="265"/>
              <w:rPr>
                <w:sz w:val="24"/>
              </w:rPr>
            </w:pPr>
            <w:r>
              <w:rPr>
                <w:spacing w:val="-2"/>
                <w:sz w:val="24"/>
              </w:rPr>
              <w:t>.3586</w:t>
            </w:r>
          </w:p>
        </w:tc>
        <w:tc>
          <w:tcPr>
            <w:tcW w:w="1206" w:type="dxa"/>
            <w:tcBorders>
              <w:top w:val="single" w:sz="4" w:space="0" w:color="000000"/>
            </w:tcBorders>
          </w:tcPr>
          <w:p>
            <w:pPr>
              <w:pStyle w:val="TableParagraph"/>
              <w:ind w:left="115"/>
              <w:rPr>
                <w:sz w:val="24"/>
              </w:rPr>
            </w:pPr>
            <w:r>
              <w:rPr>
                <w:spacing w:val="-2"/>
                <w:sz w:val="24"/>
              </w:rPr>
              <w:t>1.2565</w:t>
            </w:r>
          </w:p>
        </w:tc>
        <w:tc>
          <w:tcPr>
            <w:tcW w:w="1494" w:type="dxa"/>
            <w:tcBorders>
              <w:top w:val="single" w:sz="4" w:space="0" w:color="000000"/>
              <w:right w:val="single" w:sz="4" w:space="0" w:color="000000"/>
            </w:tcBorders>
          </w:tcPr>
          <w:p>
            <w:pPr>
              <w:pStyle w:val="TableParagraph"/>
              <w:ind w:left="152"/>
              <w:rPr>
                <w:sz w:val="24"/>
              </w:rPr>
            </w:pPr>
            <w:r>
              <w:rPr>
                <w:spacing w:val="-2"/>
                <w:sz w:val="24"/>
              </w:rPr>
              <w:t>0.2856</w:t>
            </w:r>
          </w:p>
        </w:tc>
      </w:tr>
      <w:tr>
        <w:trPr>
          <w:trHeight w:val="690" w:hRule="atLeast"/>
        </w:trPr>
        <w:tc>
          <w:tcPr>
            <w:tcW w:w="2054" w:type="dxa"/>
            <w:tcBorders>
              <w:left w:val="single" w:sz="4" w:space="0" w:color="000000"/>
              <w:bottom w:val="single" w:sz="4" w:space="0" w:color="000000"/>
            </w:tcBorders>
          </w:tcPr>
          <w:p>
            <w:pPr>
              <w:pStyle w:val="TableParagraph"/>
              <w:spacing w:before="134"/>
              <w:ind w:left="105"/>
              <w:rPr>
                <w:sz w:val="24"/>
              </w:rPr>
            </w:pPr>
            <w:r>
              <w:rPr>
                <w:sz w:val="24"/>
              </w:rPr>
              <w:t>Within</w:t>
            </w:r>
            <w:r>
              <w:rPr>
                <w:spacing w:val="-3"/>
                <w:sz w:val="24"/>
              </w:rPr>
              <w:t> </w:t>
            </w:r>
            <w:r>
              <w:rPr>
                <w:spacing w:val="-2"/>
                <w:sz w:val="24"/>
              </w:rPr>
              <w:t>groups</w:t>
            </w:r>
          </w:p>
        </w:tc>
        <w:tc>
          <w:tcPr>
            <w:tcW w:w="1045" w:type="dxa"/>
            <w:tcBorders>
              <w:bottom w:val="single" w:sz="4" w:space="0" w:color="000000"/>
            </w:tcBorders>
          </w:tcPr>
          <w:p>
            <w:pPr>
              <w:pStyle w:val="TableParagraph"/>
              <w:spacing w:before="134"/>
              <w:ind w:left="216"/>
              <w:rPr>
                <w:sz w:val="24"/>
              </w:rPr>
            </w:pPr>
            <w:r>
              <w:rPr>
                <w:spacing w:val="-5"/>
                <w:sz w:val="24"/>
              </w:rPr>
              <w:t>458</w:t>
            </w:r>
          </w:p>
        </w:tc>
        <w:tc>
          <w:tcPr>
            <w:tcW w:w="1728" w:type="dxa"/>
            <w:tcBorders>
              <w:bottom w:val="single" w:sz="4" w:space="0" w:color="000000"/>
            </w:tcBorders>
          </w:tcPr>
          <w:p>
            <w:pPr>
              <w:pStyle w:val="TableParagraph"/>
              <w:spacing w:before="134"/>
              <w:ind w:left="251"/>
              <w:rPr>
                <w:sz w:val="24"/>
              </w:rPr>
            </w:pPr>
            <w:r>
              <w:rPr>
                <w:spacing w:val="-2"/>
                <w:sz w:val="24"/>
              </w:rPr>
              <w:t>130.7259</w:t>
            </w:r>
          </w:p>
        </w:tc>
        <w:tc>
          <w:tcPr>
            <w:tcW w:w="1288" w:type="dxa"/>
            <w:tcBorders>
              <w:bottom w:val="single" w:sz="4" w:space="0" w:color="000000"/>
            </w:tcBorders>
          </w:tcPr>
          <w:p>
            <w:pPr>
              <w:pStyle w:val="TableParagraph"/>
              <w:spacing w:before="134"/>
              <w:ind w:left="265"/>
              <w:rPr>
                <w:sz w:val="24"/>
              </w:rPr>
            </w:pPr>
            <w:r>
              <w:rPr>
                <w:spacing w:val="-2"/>
                <w:sz w:val="24"/>
              </w:rPr>
              <w:t>.2854</w:t>
            </w:r>
          </w:p>
        </w:tc>
        <w:tc>
          <w:tcPr>
            <w:tcW w:w="1206" w:type="dxa"/>
            <w:tcBorders>
              <w:bottom w:val="single" w:sz="4" w:space="0" w:color="000000"/>
            </w:tcBorders>
          </w:tcPr>
          <w:p>
            <w:pPr>
              <w:pStyle w:val="TableParagraph"/>
              <w:rPr>
                <w:rFonts w:ascii="Times New Roman"/>
                <w:sz w:val="24"/>
              </w:rPr>
            </w:pPr>
          </w:p>
        </w:tc>
        <w:tc>
          <w:tcPr>
            <w:tcW w:w="1494" w:type="dxa"/>
            <w:tcBorders>
              <w:bottom w:val="single" w:sz="4" w:space="0" w:color="000000"/>
              <w:right w:val="single" w:sz="4" w:space="0" w:color="000000"/>
            </w:tcBorders>
          </w:tcPr>
          <w:p>
            <w:pPr>
              <w:pStyle w:val="TableParagraph"/>
              <w:rPr>
                <w:rFonts w:ascii="Times New Roman"/>
                <w:sz w:val="24"/>
              </w:rPr>
            </w:pPr>
          </w:p>
        </w:tc>
      </w:tr>
      <w:tr>
        <w:trPr>
          <w:trHeight w:val="273" w:hRule="atLeast"/>
        </w:trPr>
        <w:tc>
          <w:tcPr>
            <w:tcW w:w="2054" w:type="dxa"/>
            <w:tcBorders>
              <w:top w:val="single" w:sz="4" w:space="0" w:color="000000"/>
              <w:left w:val="single" w:sz="4" w:space="0" w:color="000000"/>
              <w:bottom w:val="single" w:sz="4" w:space="0" w:color="000000"/>
            </w:tcBorders>
          </w:tcPr>
          <w:p>
            <w:pPr>
              <w:pStyle w:val="TableParagraph"/>
              <w:spacing w:line="253" w:lineRule="exact"/>
              <w:ind w:left="105"/>
              <w:rPr>
                <w:sz w:val="24"/>
              </w:rPr>
            </w:pPr>
            <w:r>
              <w:rPr>
                <w:spacing w:val="-2"/>
                <w:sz w:val="24"/>
              </w:rPr>
              <w:t>Total</w:t>
            </w:r>
          </w:p>
        </w:tc>
        <w:tc>
          <w:tcPr>
            <w:tcW w:w="1045" w:type="dxa"/>
            <w:tcBorders>
              <w:top w:val="single" w:sz="4" w:space="0" w:color="000000"/>
              <w:bottom w:val="single" w:sz="4" w:space="0" w:color="000000"/>
            </w:tcBorders>
          </w:tcPr>
          <w:p>
            <w:pPr>
              <w:pStyle w:val="TableParagraph"/>
              <w:spacing w:line="253" w:lineRule="exact"/>
              <w:ind w:left="216"/>
              <w:rPr>
                <w:sz w:val="24"/>
              </w:rPr>
            </w:pPr>
            <w:r>
              <w:rPr>
                <w:spacing w:val="-5"/>
                <w:sz w:val="24"/>
              </w:rPr>
              <w:t>460</w:t>
            </w:r>
          </w:p>
        </w:tc>
        <w:tc>
          <w:tcPr>
            <w:tcW w:w="1728" w:type="dxa"/>
            <w:tcBorders>
              <w:top w:val="single" w:sz="4" w:space="0" w:color="000000"/>
              <w:bottom w:val="single" w:sz="4" w:space="0" w:color="000000"/>
            </w:tcBorders>
          </w:tcPr>
          <w:p>
            <w:pPr>
              <w:pStyle w:val="TableParagraph"/>
              <w:spacing w:line="253" w:lineRule="exact"/>
              <w:ind w:left="251"/>
              <w:rPr>
                <w:sz w:val="24"/>
              </w:rPr>
            </w:pPr>
            <w:r>
              <w:rPr>
                <w:spacing w:val="-2"/>
                <w:sz w:val="24"/>
              </w:rPr>
              <w:t>131.4432</w:t>
            </w:r>
          </w:p>
        </w:tc>
        <w:tc>
          <w:tcPr>
            <w:tcW w:w="1288" w:type="dxa"/>
            <w:tcBorders>
              <w:top w:val="single" w:sz="4" w:space="0" w:color="000000"/>
              <w:bottom w:val="single" w:sz="4" w:space="0" w:color="000000"/>
            </w:tcBorders>
          </w:tcPr>
          <w:p>
            <w:pPr>
              <w:pStyle w:val="TableParagraph"/>
              <w:rPr>
                <w:rFonts w:ascii="Times New Roman"/>
                <w:sz w:val="20"/>
              </w:rPr>
            </w:pPr>
          </w:p>
        </w:tc>
        <w:tc>
          <w:tcPr>
            <w:tcW w:w="1206" w:type="dxa"/>
            <w:tcBorders>
              <w:top w:val="single" w:sz="4" w:space="0" w:color="000000"/>
              <w:bottom w:val="single" w:sz="4" w:space="0" w:color="000000"/>
            </w:tcBorders>
          </w:tcPr>
          <w:p>
            <w:pPr>
              <w:pStyle w:val="TableParagraph"/>
              <w:rPr>
                <w:rFonts w:ascii="Times New Roman"/>
                <w:sz w:val="20"/>
              </w:rPr>
            </w:pPr>
          </w:p>
        </w:tc>
        <w:tc>
          <w:tcPr>
            <w:tcW w:w="1494" w:type="dxa"/>
            <w:tcBorders>
              <w:top w:val="single" w:sz="4" w:space="0" w:color="000000"/>
              <w:bottom w:val="single" w:sz="4" w:space="0" w:color="000000"/>
              <w:right w:val="single" w:sz="4" w:space="0" w:color="000000"/>
            </w:tcBorders>
          </w:tcPr>
          <w:p>
            <w:pPr>
              <w:pStyle w:val="TableParagraph"/>
              <w:rPr>
                <w:rFonts w:ascii="Times New Roman"/>
                <w:sz w:val="20"/>
              </w:rPr>
            </w:pPr>
          </w:p>
        </w:tc>
      </w:tr>
    </w:tbl>
    <w:p>
      <w:pPr>
        <w:pStyle w:val="Heading4"/>
        <w:ind w:left="840"/>
      </w:pPr>
      <w:r>
        <w:rPr/>
        <w:t>F/Probability</w:t>
      </w:r>
      <w:r>
        <w:rPr>
          <w:spacing w:val="-9"/>
        </w:rPr>
        <w:t> </w:t>
      </w:r>
      <w:r>
        <w:rPr/>
        <w:t>value</w:t>
      </w:r>
      <w:r>
        <w:rPr>
          <w:spacing w:val="-6"/>
        </w:rPr>
        <w:t> </w:t>
      </w:r>
      <w:r>
        <w:rPr/>
        <w:t>&gt;</w:t>
      </w:r>
      <w:r>
        <w:rPr>
          <w:spacing w:val="-7"/>
        </w:rPr>
        <w:t> </w:t>
      </w:r>
      <w:r>
        <w:rPr/>
        <w:t>0.05</w:t>
      </w:r>
      <w:r>
        <w:rPr>
          <w:spacing w:val="-5"/>
        </w:rPr>
        <w:t> </w:t>
      </w:r>
      <w:r>
        <w:rPr/>
        <w:t>=&gt;</w:t>
      </w:r>
      <w:r>
        <w:rPr>
          <w:spacing w:val="-7"/>
        </w:rPr>
        <w:t> </w:t>
      </w:r>
      <w:r>
        <w:rPr/>
        <w:t>HO</w:t>
      </w:r>
      <w:r>
        <w:rPr>
          <w:spacing w:val="-6"/>
        </w:rPr>
        <w:t> </w:t>
      </w:r>
      <w:r>
        <w:rPr>
          <w:spacing w:val="-4"/>
        </w:rPr>
        <w:t>Rtd.</w:t>
      </w:r>
    </w:p>
    <w:p>
      <w:pPr>
        <w:pStyle w:val="BodyText"/>
        <w:spacing w:line="480" w:lineRule="auto" w:before="272"/>
        <w:ind w:left="840" w:right="554" w:firstLine="720"/>
        <w:jc w:val="both"/>
      </w:pPr>
      <w:r>
        <w:rPr/>
        <w:t>It was evident from this table that F. probability which is 0.2856 is higher than the accepted P-value of 0.05 set for the study the HO was therefore retained.</w:t>
      </w:r>
      <w:r>
        <w:rPr>
          <w:spacing w:val="80"/>
          <w:w w:val="150"/>
        </w:rPr>
        <w:t> </w:t>
      </w:r>
      <w:r>
        <w:rPr/>
        <w:t>This implied that there were no significant differences in the opinions</w:t>
      </w:r>
      <w:r>
        <w:rPr>
          <w:spacing w:val="40"/>
        </w:rPr>
        <w:t> </w:t>
      </w:r>
      <w:r>
        <w:rPr/>
        <w:t>of students, service staff and top management staff in respect of the social service</w:t>
      </w:r>
      <w:r>
        <w:rPr>
          <w:spacing w:val="-4"/>
        </w:rPr>
        <w:t> </w:t>
      </w:r>
      <w:r>
        <w:rPr/>
        <w:t>like feeding, hostel</w:t>
      </w:r>
      <w:r>
        <w:rPr>
          <w:spacing w:val="3"/>
        </w:rPr>
        <w:t> </w:t>
      </w:r>
      <w:r>
        <w:rPr/>
        <w:t>accommodation,</w:t>
      </w:r>
      <w:r>
        <w:rPr>
          <w:spacing w:val="-1"/>
        </w:rPr>
        <w:t> </w:t>
      </w:r>
      <w:r>
        <w:rPr/>
        <w:t>guidance</w:t>
      </w:r>
      <w:r>
        <w:rPr>
          <w:spacing w:val="1"/>
        </w:rPr>
        <w:t> </w:t>
      </w:r>
      <w:r>
        <w:rPr/>
        <w:t>and</w:t>
      </w:r>
      <w:r>
        <w:rPr>
          <w:spacing w:val="2"/>
        </w:rPr>
        <w:t> </w:t>
      </w:r>
      <w:r>
        <w:rPr/>
        <w:t>counseling sports</w:t>
      </w:r>
      <w:r>
        <w:rPr>
          <w:spacing w:val="-1"/>
        </w:rPr>
        <w:t> </w:t>
      </w:r>
      <w:r>
        <w:rPr>
          <w:spacing w:val="-5"/>
        </w:rPr>
        <w:t>and</w:t>
      </w:r>
    </w:p>
    <w:p>
      <w:pPr>
        <w:spacing w:after="0" w:line="480" w:lineRule="auto"/>
        <w:jc w:val="both"/>
        <w:sectPr>
          <w:headerReference w:type="default" r:id="rId415"/>
          <w:footerReference w:type="default" r:id="rId416"/>
          <w:pgSz w:w="12240" w:h="15840"/>
          <w:pgMar w:header="722" w:footer="791" w:top="980" w:bottom="980" w:left="1320" w:right="880"/>
        </w:sectPr>
      </w:pPr>
    </w:p>
    <w:p>
      <w:pPr>
        <w:pStyle w:val="BodyText"/>
        <w:spacing w:before="171"/>
      </w:pPr>
    </w:p>
    <w:p>
      <w:pPr>
        <w:pStyle w:val="BodyText"/>
        <w:spacing w:line="480" w:lineRule="auto"/>
        <w:ind w:left="840" w:right="554"/>
        <w:jc w:val="both"/>
      </w:pPr>
      <w:r>
        <w:rPr/>
        <w:t>recreation, security matters, transportation services, Banking Religious services, clubs, societies, associations, shopping and marketing facilities student centers, electricity and water supplies. Most of these facilities and services were concluded to be adequately available. This consensus in opinions by the respondents could be attributed to the fact that at the time this study was conceived (1999) to the time respondents filled the questionnaire (2006) the universities might have likely improved or introduced some social welfare</w:t>
      </w:r>
      <w:r>
        <w:rPr>
          <w:spacing w:val="40"/>
        </w:rPr>
        <w:t> </w:t>
      </w:r>
      <w:r>
        <w:rPr/>
        <w:t>facilities on growing population and millennium demand. It is pertinent to emphasize that universities in these zones should face-lift and maintain the provision of social services to keep students abreast with world challenges, particularly sports, games communication and information technology services.</w:t>
      </w:r>
    </w:p>
    <w:p>
      <w:pPr>
        <w:pStyle w:val="Heading4"/>
        <w:numPr>
          <w:ilvl w:val="2"/>
          <w:numId w:val="39"/>
        </w:numPr>
        <w:tabs>
          <w:tab w:pos="837" w:val="left" w:leader="none"/>
        </w:tabs>
        <w:spacing w:line="240" w:lineRule="auto" w:before="2" w:after="0"/>
        <w:ind w:left="837" w:right="0" w:hanging="717"/>
        <w:jc w:val="left"/>
        <w:rPr>
          <w:rFonts w:ascii="Arial MT"/>
          <w:b w:val="0"/>
          <w:sz w:val="28"/>
        </w:rPr>
      </w:pPr>
      <w:r>
        <w:rPr/>
        <w:t>Null</w:t>
      </w:r>
      <w:r>
        <w:rPr>
          <w:spacing w:val="-11"/>
        </w:rPr>
        <w:t> </w:t>
      </w:r>
      <w:r>
        <w:rPr/>
        <w:t>Hypothesis</w:t>
      </w:r>
      <w:r>
        <w:rPr>
          <w:spacing w:val="-10"/>
        </w:rPr>
        <w:t> 3</w:t>
      </w:r>
    </w:p>
    <w:p>
      <w:pPr>
        <w:pStyle w:val="BodyText"/>
        <w:spacing w:before="44"/>
        <w:rPr>
          <w:rFonts w:ascii="Arial"/>
          <w:b/>
        </w:rPr>
      </w:pPr>
    </w:p>
    <w:p>
      <w:pPr>
        <w:pStyle w:val="BodyText"/>
        <w:spacing w:line="480" w:lineRule="auto"/>
        <w:ind w:left="840" w:right="556" w:firstLine="720"/>
        <w:jc w:val="both"/>
      </w:pPr>
      <w:r>
        <w:rPr/>
        <w:t>There is no significant difference in the opinions of students, service staff and top management staff in respect of the availability and adequacy of</w:t>
      </w:r>
      <w:r>
        <w:rPr>
          <w:spacing w:val="40"/>
        </w:rPr>
        <w:t> </w:t>
      </w:r>
      <w:r>
        <w:rPr/>
        <w:t>academic services</w:t>
      </w:r>
      <w:r>
        <w:rPr>
          <w:spacing w:val="-3"/>
        </w:rPr>
        <w:t> </w:t>
      </w:r>
      <w:r>
        <w:rPr/>
        <w:t>in the universities under study. The</w:t>
      </w:r>
      <w:r>
        <w:rPr>
          <w:spacing w:val="-2"/>
        </w:rPr>
        <w:t> </w:t>
      </w:r>
      <w:r>
        <w:rPr/>
        <w:t>responses of</w:t>
      </w:r>
      <w:r>
        <w:rPr>
          <w:spacing w:val="-3"/>
        </w:rPr>
        <w:t> </w:t>
      </w:r>
      <w:r>
        <w:rPr/>
        <w:t>respondents on items 13 to 20 under section 13 of part II were collected and analysed to find out the availability and adequacy of facilities that make up academic services in the university systems. The academic services included libraries, classrooms, theatres,</w:t>
      </w:r>
      <w:r>
        <w:rPr>
          <w:spacing w:val="-2"/>
        </w:rPr>
        <w:t> </w:t>
      </w:r>
      <w:r>
        <w:rPr/>
        <w:t>laboratories,</w:t>
      </w:r>
      <w:r>
        <w:rPr>
          <w:spacing w:val="-2"/>
        </w:rPr>
        <w:t> </w:t>
      </w:r>
      <w:r>
        <w:rPr/>
        <w:t>information technology,</w:t>
      </w:r>
      <w:r>
        <w:rPr>
          <w:spacing w:val="-1"/>
        </w:rPr>
        <w:t> </w:t>
      </w:r>
      <w:r>
        <w:rPr/>
        <w:t>learning gadgets bookshops, e.t.c. In testing the hypothesis One Way Analysis of Variance (ANOVA) statistical procedure</w:t>
      </w:r>
      <w:r>
        <w:rPr>
          <w:spacing w:val="-1"/>
        </w:rPr>
        <w:t> </w:t>
      </w:r>
      <w:r>
        <w:rPr/>
        <w:t>was</w:t>
      </w:r>
      <w:r>
        <w:rPr>
          <w:spacing w:val="-2"/>
        </w:rPr>
        <w:t> </w:t>
      </w:r>
      <w:r>
        <w:rPr/>
        <w:t>used.</w:t>
      </w:r>
      <w:r>
        <w:rPr>
          <w:spacing w:val="-2"/>
        </w:rPr>
        <w:t> </w:t>
      </w:r>
      <w:r>
        <w:rPr/>
        <w:t>This</w:t>
      </w:r>
      <w:r>
        <w:rPr>
          <w:spacing w:val="-2"/>
        </w:rPr>
        <w:t> </w:t>
      </w:r>
      <w:r>
        <w:rPr/>
        <w:t>assisted</w:t>
      </w:r>
      <w:r>
        <w:rPr>
          <w:spacing w:val="-1"/>
        </w:rPr>
        <w:t> </w:t>
      </w:r>
      <w:r>
        <w:rPr/>
        <w:t>in</w:t>
      </w:r>
      <w:r>
        <w:rPr>
          <w:spacing w:val="-1"/>
        </w:rPr>
        <w:t> </w:t>
      </w:r>
      <w:r>
        <w:rPr/>
        <w:t>bringing</w:t>
      </w:r>
      <w:r>
        <w:rPr>
          <w:spacing w:val="-5"/>
        </w:rPr>
        <w:t> </w:t>
      </w:r>
      <w:r>
        <w:rPr/>
        <w:t>out</w:t>
      </w:r>
      <w:r>
        <w:rPr>
          <w:spacing w:val="-2"/>
        </w:rPr>
        <w:t> </w:t>
      </w:r>
      <w:r>
        <w:rPr/>
        <w:t>the</w:t>
      </w:r>
      <w:r>
        <w:rPr>
          <w:spacing w:val="-1"/>
        </w:rPr>
        <w:t> </w:t>
      </w:r>
      <w:r>
        <w:rPr/>
        <w:t>differences</w:t>
      </w:r>
      <w:r>
        <w:rPr>
          <w:spacing w:val="-2"/>
        </w:rPr>
        <w:t> </w:t>
      </w:r>
      <w:r>
        <w:rPr/>
        <w:t>of</w:t>
      </w:r>
      <w:r>
        <w:rPr>
          <w:spacing w:val="-2"/>
        </w:rPr>
        <w:t> </w:t>
      </w:r>
      <w:r>
        <w:rPr/>
        <w:t>respondents’ opinions on the availability and adequacy of the academic services as can be seen in Table 4.5.4</w:t>
      </w:r>
    </w:p>
    <w:p>
      <w:pPr>
        <w:spacing w:after="0" w:line="480" w:lineRule="auto"/>
        <w:jc w:val="both"/>
        <w:sectPr>
          <w:headerReference w:type="default" r:id="rId417"/>
          <w:footerReference w:type="default" r:id="rId418"/>
          <w:pgSz w:w="12240" w:h="15840"/>
          <w:pgMar w:header="722" w:footer="791" w:top="980" w:bottom="980" w:left="1320" w:right="880"/>
        </w:sectPr>
      </w:pPr>
    </w:p>
    <w:p>
      <w:pPr>
        <w:pStyle w:val="BodyText"/>
        <w:rPr>
          <w:sz w:val="28"/>
        </w:rPr>
      </w:pPr>
    </w:p>
    <w:p>
      <w:pPr>
        <w:pStyle w:val="BodyText"/>
        <w:spacing w:before="73"/>
        <w:rPr>
          <w:sz w:val="28"/>
        </w:rPr>
      </w:pPr>
    </w:p>
    <w:p>
      <w:pPr>
        <w:pStyle w:val="Heading2"/>
        <w:spacing w:line="242" w:lineRule="auto" w:after="3"/>
        <w:ind w:left="2433" w:right="1000" w:hanging="1594"/>
      </w:pPr>
      <w:r>
        <w:rPr/>
        <w:t>Table 4.5.4: One way analysis of variance (ANOVA) on the availability</w:t>
      </w:r>
      <w:r>
        <w:rPr>
          <w:spacing w:val="-12"/>
        </w:rPr>
        <w:t> </w:t>
      </w:r>
      <w:r>
        <w:rPr/>
        <w:t>and</w:t>
      </w:r>
      <w:r>
        <w:rPr>
          <w:spacing w:val="-8"/>
        </w:rPr>
        <w:t> </w:t>
      </w:r>
      <w:r>
        <w:rPr/>
        <w:t>adequacy</w:t>
      </w:r>
      <w:r>
        <w:rPr>
          <w:spacing w:val="-7"/>
        </w:rPr>
        <w:t> </w:t>
      </w:r>
      <w:r>
        <w:rPr/>
        <w:t>of</w:t>
      </w:r>
      <w:r>
        <w:rPr>
          <w:spacing w:val="-3"/>
        </w:rPr>
        <w:t> </w:t>
      </w:r>
      <w:r>
        <w:rPr/>
        <w:t>academic</w:t>
      </w:r>
      <w:r>
        <w:rPr>
          <w:spacing w:val="-7"/>
        </w:rPr>
        <w:t> </w:t>
      </w:r>
      <w:r>
        <w:rPr/>
        <w:t>services</w:t>
      </w:r>
      <w:r>
        <w:rPr>
          <w:spacing w:val="-3"/>
        </w:rPr>
        <w:t> </w:t>
      </w:r>
      <w:r>
        <w:rPr/>
        <w:t>in the universities</w:t>
      </w:r>
    </w:p>
    <w:tbl>
      <w:tblPr>
        <w:tblW w:w="0" w:type="auto"/>
        <w:jc w:val="left"/>
        <w:tblInd w:w="8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54"/>
        <w:gridCol w:w="1045"/>
        <w:gridCol w:w="1524"/>
        <w:gridCol w:w="1312"/>
        <w:gridCol w:w="1160"/>
        <w:gridCol w:w="1570"/>
      </w:tblGrid>
      <w:tr>
        <w:trPr>
          <w:trHeight w:val="551" w:hRule="atLeast"/>
        </w:trPr>
        <w:tc>
          <w:tcPr>
            <w:tcW w:w="2054" w:type="dxa"/>
            <w:tcBorders>
              <w:top w:val="single" w:sz="4" w:space="0" w:color="000000"/>
              <w:left w:val="single" w:sz="4" w:space="0" w:color="000000"/>
              <w:bottom w:val="single" w:sz="4" w:space="0" w:color="000000"/>
            </w:tcBorders>
          </w:tcPr>
          <w:p>
            <w:pPr>
              <w:pStyle w:val="TableParagraph"/>
              <w:spacing w:line="265" w:lineRule="exact"/>
              <w:ind w:left="523"/>
              <w:rPr>
                <w:rFonts w:ascii="Arial"/>
                <w:b/>
                <w:sz w:val="24"/>
              </w:rPr>
            </w:pPr>
            <w:r>
              <w:rPr>
                <w:rFonts w:ascii="Arial"/>
                <w:b/>
                <w:sz w:val="24"/>
              </w:rPr>
              <w:t>Source</w:t>
            </w:r>
            <w:r>
              <w:rPr>
                <w:rFonts w:ascii="Arial"/>
                <w:b/>
                <w:spacing w:val="-12"/>
                <w:sz w:val="24"/>
              </w:rPr>
              <w:t> </w:t>
            </w:r>
            <w:r>
              <w:rPr>
                <w:rFonts w:ascii="Arial"/>
                <w:b/>
                <w:spacing w:val="-5"/>
                <w:sz w:val="24"/>
              </w:rPr>
              <w:t>of</w:t>
            </w:r>
          </w:p>
          <w:p>
            <w:pPr>
              <w:pStyle w:val="TableParagraph"/>
              <w:spacing w:line="266" w:lineRule="exact"/>
              <w:ind w:left="575"/>
              <w:rPr>
                <w:rFonts w:ascii="Arial"/>
                <w:b/>
                <w:sz w:val="24"/>
              </w:rPr>
            </w:pPr>
            <w:r>
              <w:rPr>
                <w:rFonts w:ascii="Arial"/>
                <w:b/>
                <w:spacing w:val="-2"/>
                <w:sz w:val="24"/>
              </w:rPr>
              <w:t>variation</w:t>
            </w:r>
          </w:p>
        </w:tc>
        <w:tc>
          <w:tcPr>
            <w:tcW w:w="1045" w:type="dxa"/>
            <w:tcBorders>
              <w:top w:val="single" w:sz="4" w:space="0" w:color="000000"/>
              <w:bottom w:val="single" w:sz="4" w:space="0" w:color="000000"/>
            </w:tcBorders>
          </w:tcPr>
          <w:p>
            <w:pPr>
              <w:pStyle w:val="TableParagraph"/>
              <w:spacing w:line="267" w:lineRule="exact"/>
              <w:ind w:left="485"/>
              <w:rPr>
                <w:rFonts w:ascii="Arial"/>
                <w:b/>
                <w:sz w:val="24"/>
              </w:rPr>
            </w:pPr>
            <w:r>
              <w:rPr>
                <w:rFonts w:ascii="Arial"/>
                <w:b/>
                <w:spacing w:val="-5"/>
                <w:sz w:val="24"/>
              </w:rPr>
              <w:t>DF</w:t>
            </w:r>
          </w:p>
        </w:tc>
        <w:tc>
          <w:tcPr>
            <w:tcW w:w="1524" w:type="dxa"/>
            <w:tcBorders>
              <w:top w:val="single" w:sz="4" w:space="0" w:color="000000"/>
              <w:bottom w:val="single" w:sz="4" w:space="0" w:color="000000"/>
            </w:tcBorders>
          </w:tcPr>
          <w:p>
            <w:pPr>
              <w:pStyle w:val="TableParagraph"/>
              <w:spacing w:line="265" w:lineRule="exact"/>
              <w:ind w:left="472"/>
              <w:rPr>
                <w:rFonts w:ascii="Arial"/>
                <w:b/>
                <w:sz w:val="24"/>
              </w:rPr>
            </w:pPr>
            <w:r>
              <w:rPr>
                <w:rFonts w:ascii="Arial"/>
                <w:b/>
                <w:sz w:val="24"/>
              </w:rPr>
              <w:t>Sum</w:t>
            </w:r>
            <w:r>
              <w:rPr>
                <w:rFonts w:ascii="Arial"/>
                <w:b/>
                <w:spacing w:val="-13"/>
                <w:sz w:val="24"/>
              </w:rPr>
              <w:t> </w:t>
            </w:r>
            <w:r>
              <w:rPr>
                <w:rFonts w:ascii="Arial"/>
                <w:b/>
                <w:spacing w:val="-5"/>
                <w:sz w:val="24"/>
              </w:rPr>
              <w:t>of</w:t>
            </w:r>
          </w:p>
          <w:p>
            <w:pPr>
              <w:pStyle w:val="TableParagraph"/>
              <w:spacing w:line="266" w:lineRule="exact"/>
              <w:ind w:left="414"/>
              <w:rPr>
                <w:rFonts w:ascii="Arial"/>
                <w:b/>
                <w:sz w:val="24"/>
              </w:rPr>
            </w:pPr>
            <w:r>
              <w:rPr>
                <w:rFonts w:ascii="Arial"/>
                <w:b/>
                <w:spacing w:val="-2"/>
                <w:sz w:val="24"/>
              </w:rPr>
              <w:t>squares</w:t>
            </w:r>
          </w:p>
        </w:tc>
        <w:tc>
          <w:tcPr>
            <w:tcW w:w="1312" w:type="dxa"/>
            <w:tcBorders>
              <w:top w:val="single" w:sz="4" w:space="0" w:color="000000"/>
              <w:bottom w:val="single" w:sz="4" w:space="0" w:color="000000"/>
            </w:tcBorders>
          </w:tcPr>
          <w:p>
            <w:pPr>
              <w:pStyle w:val="TableParagraph"/>
              <w:spacing w:line="265" w:lineRule="exact"/>
              <w:ind w:left="133"/>
              <w:jc w:val="center"/>
              <w:rPr>
                <w:rFonts w:ascii="Arial"/>
                <w:b/>
                <w:sz w:val="24"/>
              </w:rPr>
            </w:pPr>
            <w:r>
              <w:rPr>
                <w:rFonts w:ascii="Arial"/>
                <w:b/>
                <w:spacing w:val="-4"/>
                <w:sz w:val="24"/>
              </w:rPr>
              <w:t>Mean</w:t>
            </w:r>
          </w:p>
          <w:p>
            <w:pPr>
              <w:pStyle w:val="TableParagraph"/>
              <w:spacing w:line="266" w:lineRule="exact"/>
              <w:ind w:left="133" w:right="8"/>
              <w:jc w:val="center"/>
              <w:rPr>
                <w:rFonts w:ascii="Arial"/>
                <w:b/>
                <w:sz w:val="24"/>
              </w:rPr>
            </w:pPr>
            <w:r>
              <w:rPr>
                <w:rFonts w:ascii="Arial"/>
                <w:b/>
                <w:spacing w:val="-2"/>
                <w:sz w:val="24"/>
              </w:rPr>
              <w:t>squares</w:t>
            </w:r>
          </w:p>
        </w:tc>
        <w:tc>
          <w:tcPr>
            <w:tcW w:w="1160" w:type="dxa"/>
            <w:tcBorders>
              <w:top w:val="single" w:sz="4" w:space="0" w:color="000000"/>
              <w:bottom w:val="single" w:sz="4" w:space="0" w:color="000000"/>
            </w:tcBorders>
          </w:tcPr>
          <w:p>
            <w:pPr>
              <w:pStyle w:val="TableParagraph"/>
              <w:spacing w:line="267" w:lineRule="exact"/>
              <w:ind w:left="165"/>
              <w:rPr>
                <w:rFonts w:ascii="Arial"/>
                <w:b/>
                <w:sz w:val="24"/>
              </w:rPr>
            </w:pPr>
            <w:r>
              <w:rPr>
                <w:rFonts w:ascii="Arial"/>
                <w:b/>
                <w:sz w:val="24"/>
              </w:rPr>
              <w:t>F.</w:t>
            </w:r>
            <w:r>
              <w:rPr>
                <w:rFonts w:ascii="Arial"/>
                <w:b/>
                <w:spacing w:val="-1"/>
                <w:sz w:val="24"/>
              </w:rPr>
              <w:t> </w:t>
            </w:r>
            <w:r>
              <w:rPr>
                <w:rFonts w:ascii="Arial"/>
                <w:b/>
                <w:spacing w:val="-2"/>
                <w:sz w:val="24"/>
              </w:rPr>
              <w:t>Ratio</w:t>
            </w:r>
          </w:p>
        </w:tc>
        <w:tc>
          <w:tcPr>
            <w:tcW w:w="1570" w:type="dxa"/>
            <w:tcBorders>
              <w:top w:val="single" w:sz="4" w:space="0" w:color="000000"/>
              <w:bottom w:val="single" w:sz="4" w:space="0" w:color="000000"/>
              <w:right w:val="single" w:sz="4" w:space="0" w:color="000000"/>
            </w:tcBorders>
          </w:tcPr>
          <w:p>
            <w:pPr>
              <w:pStyle w:val="TableParagraph"/>
              <w:spacing w:line="265" w:lineRule="exact"/>
              <w:ind w:left="44" w:right="13"/>
              <w:jc w:val="center"/>
              <w:rPr>
                <w:rFonts w:ascii="Arial"/>
                <w:b/>
                <w:sz w:val="24"/>
              </w:rPr>
            </w:pPr>
            <w:r>
              <w:rPr>
                <w:rFonts w:ascii="Arial"/>
                <w:b/>
                <w:spacing w:val="-5"/>
                <w:sz w:val="24"/>
              </w:rPr>
              <w:t>F.</w:t>
            </w:r>
          </w:p>
          <w:p>
            <w:pPr>
              <w:pStyle w:val="TableParagraph"/>
              <w:spacing w:line="266" w:lineRule="exact"/>
              <w:ind w:left="44"/>
              <w:jc w:val="center"/>
              <w:rPr>
                <w:rFonts w:ascii="Arial"/>
                <w:b/>
                <w:sz w:val="24"/>
              </w:rPr>
            </w:pPr>
            <w:r>
              <w:rPr>
                <w:rFonts w:ascii="Arial"/>
                <w:b/>
                <w:spacing w:val="-2"/>
                <w:sz w:val="24"/>
              </w:rPr>
              <w:t>Probability</w:t>
            </w:r>
          </w:p>
        </w:tc>
      </w:tr>
      <w:tr>
        <w:trPr>
          <w:trHeight w:val="413" w:hRule="atLeast"/>
        </w:trPr>
        <w:tc>
          <w:tcPr>
            <w:tcW w:w="2054" w:type="dxa"/>
            <w:tcBorders>
              <w:top w:val="single" w:sz="4" w:space="0" w:color="000000"/>
              <w:left w:val="single" w:sz="4" w:space="0" w:color="000000"/>
            </w:tcBorders>
          </w:tcPr>
          <w:p>
            <w:pPr>
              <w:pStyle w:val="TableParagraph"/>
              <w:spacing w:line="271" w:lineRule="exact"/>
              <w:ind w:left="105"/>
              <w:rPr>
                <w:sz w:val="24"/>
              </w:rPr>
            </w:pPr>
            <w:r>
              <w:rPr>
                <w:sz w:val="24"/>
              </w:rPr>
              <w:t>Between</w:t>
            </w:r>
            <w:r>
              <w:rPr>
                <w:spacing w:val="-13"/>
                <w:sz w:val="24"/>
              </w:rPr>
              <w:t> </w:t>
            </w:r>
            <w:r>
              <w:rPr>
                <w:spacing w:val="-2"/>
                <w:sz w:val="24"/>
              </w:rPr>
              <w:t>groups</w:t>
            </w:r>
          </w:p>
        </w:tc>
        <w:tc>
          <w:tcPr>
            <w:tcW w:w="1045" w:type="dxa"/>
            <w:tcBorders>
              <w:top w:val="single" w:sz="4" w:space="0" w:color="000000"/>
            </w:tcBorders>
          </w:tcPr>
          <w:p>
            <w:pPr>
              <w:pStyle w:val="TableParagraph"/>
              <w:spacing w:line="271" w:lineRule="exact"/>
              <w:ind w:left="216"/>
              <w:rPr>
                <w:sz w:val="24"/>
              </w:rPr>
            </w:pPr>
            <w:r>
              <w:rPr>
                <w:spacing w:val="-10"/>
                <w:sz w:val="24"/>
              </w:rPr>
              <w:t>2</w:t>
            </w:r>
          </w:p>
        </w:tc>
        <w:tc>
          <w:tcPr>
            <w:tcW w:w="1524" w:type="dxa"/>
            <w:tcBorders>
              <w:top w:val="single" w:sz="4" w:space="0" w:color="000000"/>
            </w:tcBorders>
          </w:tcPr>
          <w:p>
            <w:pPr>
              <w:pStyle w:val="TableParagraph"/>
              <w:spacing w:line="271" w:lineRule="exact"/>
              <w:ind w:left="251"/>
              <w:rPr>
                <w:sz w:val="24"/>
              </w:rPr>
            </w:pPr>
            <w:r>
              <w:rPr>
                <w:spacing w:val="-2"/>
                <w:sz w:val="24"/>
              </w:rPr>
              <w:t>1.3714</w:t>
            </w:r>
          </w:p>
        </w:tc>
        <w:tc>
          <w:tcPr>
            <w:tcW w:w="1312" w:type="dxa"/>
            <w:tcBorders>
              <w:top w:val="single" w:sz="4" w:space="0" w:color="000000"/>
            </w:tcBorders>
          </w:tcPr>
          <w:p>
            <w:pPr>
              <w:pStyle w:val="TableParagraph"/>
              <w:spacing w:line="271" w:lineRule="exact"/>
              <w:ind w:left="201"/>
              <w:rPr>
                <w:sz w:val="24"/>
              </w:rPr>
            </w:pPr>
            <w:r>
              <w:rPr>
                <w:spacing w:val="-2"/>
                <w:sz w:val="24"/>
              </w:rPr>
              <w:t>.6857</w:t>
            </w:r>
          </w:p>
        </w:tc>
        <w:tc>
          <w:tcPr>
            <w:tcW w:w="1160" w:type="dxa"/>
            <w:tcBorders>
              <w:top w:val="single" w:sz="4" w:space="0" w:color="000000"/>
            </w:tcBorders>
          </w:tcPr>
          <w:p>
            <w:pPr>
              <w:pStyle w:val="TableParagraph"/>
              <w:spacing w:line="271" w:lineRule="exact"/>
              <w:ind w:left="146"/>
              <w:rPr>
                <w:sz w:val="24"/>
              </w:rPr>
            </w:pPr>
            <w:r>
              <w:rPr>
                <w:spacing w:val="-2"/>
                <w:sz w:val="24"/>
              </w:rPr>
              <w:t>1.8518</w:t>
            </w:r>
          </w:p>
        </w:tc>
        <w:tc>
          <w:tcPr>
            <w:tcW w:w="1570" w:type="dxa"/>
            <w:tcBorders>
              <w:top w:val="single" w:sz="4" w:space="0" w:color="000000"/>
              <w:right w:val="single" w:sz="4" w:space="0" w:color="000000"/>
            </w:tcBorders>
          </w:tcPr>
          <w:p>
            <w:pPr>
              <w:pStyle w:val="TableParagraph"/>
              <w:spacing w:line="271" w:lineRule="exact"/>
              <w:ind w:left="128"/>
              <w:rPr>
                <w:sz w:val="24"/>
              </w:rPr>
            </w:pPr>
            <w:r>
              <w:rPr>
                <w:spacing w:val="-2"/>
                <w:sz w:val="24"/>
              </w:rPr>
              <w:t>0.1581</w:t>
            </w:r>
          </w:p>
        </w:tc>
      </w:tr>
      <w:tr>
        <w:trPr>
          <w:trHeight w:val="690" w:hRule="atLeast"/>
        </w:trPr>
        <w:tc>
          <w:tcPr>
            <w:tcW w:w="2054" w:type="dxa"/>
            <w:tcBorders>
              <w:left w:val="single" w:sz="4" w:space="0" w:color="000000"/>
              <w:bottom w:val="single" w:sz="4" w:space="0" w:color="000000"/>
            </w:tcBorders>
          </w:tcPr>
          <w:p>
            <w:pPr>
              <w:pStyle w:val="TableParagraph"/>
              <w:spacing w:before="134"/>
              <w:ind w:left="105"/>
              <w:rPr>
                <w:sz w:val="24"/>
              </w:rPr>
            </w:pPr>
            <w:r>
              <w:rPr>
                <w:sz w:val="24"/>
              </w:rPr>
              <w:t>Within</w:t>
            </w:r>
            <w:r>
              <w:rPr>
                <w:spacing w:val="-3"/>
                <w:sz w:val="24"/>
              </w:rPr>
              <w:t> </w:t>
            </w:r>
            <w:r>
              <w:rPr>
                <w:spacing w:val="-2"/>
                <w:sz w:val="24"/>
              </w:rPr>
              <w:t>groups</w:t>
            </w:r>
          </w:p>
        </w:tc>
        <w:tc>
          <w:tcPr>
            <w:tcW w:w="1045" w:type="dxa"/>
            <w:tcBorders>
              <w:bottom w:val="single" w:sz="4" w:space="0" w:color="000000"/>
            </w:tcBorders>
          </w:tcPr>
          <w:p>
            <w:pPr>
              <w:pStyle w:val="TableParagraph"/>
              <w:spacing w:before="134"/>
              <w:ind w:left="216"/>
              <w:rPr>
                <w:sz w:val="24"/>
              </w:rPr>
            </w:pPr>
            <w:r>
              <w:rPr>
                <w:spacing w:val="-5"/>
                <w:sz w:val="24"/>
              </w:rPr>
              <w:t>458</w:t>
            </w:r>
          </w:p>
        </w:tc>
        <w:tc>
          <w:tcPr>
            <w:tcW w:w="1524" w:type="dxa"/>
            <w:tcBorders>
              <w:bottom w:val="single" w:sz="4" w:space="0" w:color="000000"/>
            </w:tcBorders>
          </w:tcPr>
          <w:p>
            <w:pPr>
              <w:pStyle w:val="TableParagraph"/>
              <w:spacing w:before="134"/>
              <w:ind w:left="251"/>
              <w:rPr>
                <w:sz w:val="24"/>
              </w:rPr>
            </w:pPr>
            <w:r>
              <w:rPr>
                <w:spacing w:val="-2"/>
                <w:sz w:val="24"/>
              </w:rPr>
              <w:t>169.6012</w:t>
            </w:r>
          </w:p>
        </w:tc>
        <w:tc>
          <w:tcPr>
            <w:tcW w:w="1312" w:type="dxa"/>
            <w:tcBorders>
              <w:bottom w:val="single" w:sz="4" w:space="0" w:color="000000"/>
            </w:tcBorders>
          </w:tcPr>
          <w:p>
            <w:pPr>
              <w:pStyle w:val="TableParagraph"/>
              <w:spacing w:before="134"/>
              <w:ind w:left="201"/>
              <w:rPr>
                <w:sz w:val="24"/>
              </w:rPr>
            </w:pPr>
            <w:r>
              <w:rPr>
                <w:spacing w:val="-2"/>
                <w:sz w:val="24"/>
              </w:rPr>
              <w:t>.3703</w:t>
            </w:r>
          </w:p>
        </w:tc>
        <w:tc>
          <w:tcPr>
            <w:tcW w:w="1160" w:type="dxa"/>
            <w:tcBorders>
              <w:bottom w:val="single" w:sz="4" w:space="0" w:color="000000"/>
            </w:tcBorders>
          </w:tcPr>
          <w:p>
            <w:pPr>
              <w:pStyle w:val="TableParagraph"/>
              <w:rPr>
                <w:rFonts w:ascii="Times New Roman"/>
                <w:sz w:val="24"/>
              </w:rPr>
            </w:pPr>
          </w:p>
        </w:tc>
        <w:tc>
          <w:tcPr>
            <w:tcW w:w="1570" w:type="dxa"/>
            <w:tcBorders>
              <w:bottom w:val="single" w:sz="4" w:space="0" w:color="000000"/>
              <w:right w:val="single" w:sz="4" w:space="0" w:color="000000"/>
            </w:tcBorders>
          </w:tcPr>
          <w:p>
            <w:pPr>
              <w:pStyle w:val="TableParagraph"/>
              <w:rPr>
                <w:rFonts w:ascii="Times New Roman"/>
                <w:sz w:val="24"/>
              </w:rPr>
            </w:pPr>
          </w:p>
        </w:tc>
      </w:tr>
      <w:tr>
        <w:trPr>
          <w:trHeight w:val="277" w:hRule="atLeast"/>
        </w:trPr>
        <w:tc>
          <w:tcPr>
            <w:tcW w:w="2054" w:type="dxa"/>
            <w:tcBorders>
              <w:top w:val="single" w:sz="4" w:space="0" w:color="000000"/>
              <w:left w:val="single" w:sz="4" w:space="0" w:color="000000"/>
              <w:bottom w:val="single" w:sz="4" w:space="0" w:color="000000"/>
            </w:tcBorders>
          </w:tcPr>
          <w:p>
            <w:pPr>
              <w:pStyle w:val="TableParagraph"/>
              <w:spacing w:line="258" w:lineRule="exact"/>
              <w:ind w:left="105"/>
              <w:rPr>
                <w:sz w:val="24"/>
              </w:rPr>
            </w:pPr>
            <w:r>
              <w:rPr>
                <w:spacing w:val="-2"/>
                <w:sz w:val="24"/>
              </w:rPr>
              <w:t>Total</w:t>
            </w:r>
          </w:p>
        </w:tc>
        <w:tc>
          <w:tcPr>
            <w:tcW w:w="1045" w:type="dxa"/>
            <w:tcBorders>
              <w:top w:val="single" w:sz="4" w:space="0" w:color="000000"/>
              <w:bottom w:val="single" w:sz="4" w:space="0" w:color="000000"/>
            </w:tcBorders>
          </w:tcPr>
          <w:p>
            <w:pPr>
              <w:pStyle w:val="TableParagraph"/>
              <w:spacing w:line="258" w:lineRule="exact"/>
              <w:ind w:left="216"/>
              <w:rPr>
                <w:sz w:val="24"/>
              </w:rPr>
            </w:pPr>
            <w:r>
              <w:rPr>
                <w:spacing w:val="-5"/>
                <w:sz w:val="24"/>
              </w:rPr>
              <w:t>460</w:t>
            </w:r>
          </w:p>
        </w:tc>
        <w:tc>
          <w:tcPr>
            <w:tcW w:w="1524" w:type="dxa"/>
            <w:tcBorders>
              <w:top w:val="single" w:sz="4" w:space="0" w:color="000000"/>
              <w:bottom w:val="single" w:sz="4" w:space="0" w:color="000000"/>
            </w:tcBorders>
          </w:tcPr>
          <w:p>
            <w:pPr>
              <w:pStyle w:val="TableParagraph"/>
              <w:spacing w:line="258" w:lineRule="exact"/>
              <w:ind w:left="251"/>
              <w:rPr>
                <w:sz w:val="24"/>
              </w:rPr>
            </w:pPr>
            <w:r>
              <w:rPr>
                <w:spacing w:val="-2"/>
                <w:sz w:val="24"/>
              </w:rPr>
              <w:t>170.9726</w:t>
            </w:r>
          </w:p>
        </w:tc>
        <w:tc>
          <w:tcPr>
            <w:tcW w:w="1312" w:type="dxa"/>
            <w:tcBorders>
              <w:top w:val="single" w:sz="4" w:space="0" w:color="000000"/>
              <w:bottom w:val="single" w:sz="4" w:space="0" w:color="000000"/>
            </w:tcBorders>
          </w:tcPr>
          <w:p>
            <w:pPr>
              <w:pStyle w:val="TableParagraph"/>
              <w:rPr>
                <w:rFonts w:ascii="Times New Roman"/>
                <w:sz w:val="20"/>
              </w:rPr>
            </w:pPr>
          </w:p>
        </w:tc>
        <w:tc>
          <w:tcPr>
            <w:tcW w:w="1160" w:type="dxa"/>
            <w:tcBorders>
              <w:top w:val="single" w:sz="4" w:space="0" w:color="000000"/>
              <w:bottom w:val="single" w:sz="4" w:space="0" w:color="000000"/>
            </w:tcBorders>
          </w:tcPr>
          <w:p>
            <w:pPr>
              <w:pStyle w:val="TableParagraph"/>
              <w:rPr>
                <w:rFonts w:ascii="Times New Roman"/>
                <w:sz w:val="20"/>
              </w:rPr>
            </w:pPr>
          </w:p>
        </w:tc>
        <w:tc>
          <w:tcPr>
            <w:tcW w:w="1570" w:type="dxa"/>
            <w:tcBorders>
              <w:top w:val="single" w:sz="4" w:space="0" w:color="000000"/>
              <w:bottom w:val="single" w:sz="4" w:space="0" w:color="000000"/>
              <w:right w:val="single" w:sz="4" w:space="0" w:color="000000"/>
            </w:tcBorders>
          </w:tcPr>
          <w:p>
            <w:pPr>
              <w:pStyle w:val="TableParagraph"/>
              <w:rPr>
                <w:rFonts w:ascii="Times New Roman"/>
                <w:sz w:val="20"/>
              </w:rPr>
            </w:pPr>
          </w:p>
        </w:tc>
      </w:tr>
    </w:tbl>
    <w:p>
      <w:pPr>
        <w:pStyle w:val="Heading4"/>
        <w:ind w:left="840"/>
      </w:pPr>
      <w:r>
        <w:rPr/>
        <w:t>F.</w:t>
      </w:r>
      <w:r>
        <w:rPr>
          <w:spacing w:val="-6"/>
        </w:rPr>
        <w:t> </w:t>
      </w:r>
      <w:r>
        <w:rPr/>
        <w:t>Probability</w:t>
      </w:r>
      <w:r>
        <w:rPr>
          <w:spacing w:val="-8"/>
        </w:rPr>
        <w:t> </w:t>
      </w:r>
      <w:r>
        <w:rPr/>
        <w:t>value</w:t>
      </w:r>
      <w:r>
        <w:rPr>
          <w:spacing w:val="-4"/>
        </w:rPr>
        <w:t> </w:t>
      </w:r>
      <w:r>
        <w:rPr/>
        <w:t>&gt;</w:t>
      </w:r>
      <w:r>
        <w:rPr>
          <w:spacing w:val="-7"/>
        </w:rPr>
        <w:t> </w:t>
      </w:r>
      <w:r>
        <w:rPr/>
        <w:t>0.05</w:t>
      </w:r>
      <w:r>
        <w:rPr>
          <w:spacing w:val="-4"/>
        </w:rPr>
        <w:t> </w:t>
      </w:r>
      <w:r>
        <w:rPr/>
        <w:t>=&gt;</w:t>
      </w:r>
      <w:r>
        <w:rPr>
          <w:spacing w:val="-6"/>
        </w:rPr>
        <w:t> </w:t>
      </w:r>
      <w:r>
        <w:rPr/>
        <w:t>HO</w:t>
      </w:r>
      <w:r>
        <w:rPr>
          <w:spacing w:val="-5"/>
        </w:rPr>
        <w:t> Rtd</w:t>
      </w:r>
    </w:p>
    <w:p>
      <w:pPr>
        <w:pStyle w:val="BodyText"/>
        <w:spacing w:line="480" w:lineRule="auto" w:before="273"/>
        <w:ind w:left="840" w:right="554" w:firstLine="720"/>
        <w:jc w:val="both"/>
      </w:pPr>
      <w:r>
        <w:rPr/>
        <w:t>Table 4.5.4 above shows that the computed F. probability from the test is 0.1581, which is higher than the accepted P-value of 0.05 adopted for the study. Therefore, the HO was retained.</w:t>
      </w:r>
      <w:r>
        <w:rPr>
          <w:spacing w:val="80"/>
        </w:rPr>
        <w:t> </w:t>
      </w:r>
      <w:r>
        <w:rPr/>
        <w:t>Based on this result one can conclude that there was no significant difference in the opinions of the students, service staff and top management staff in respect of the availability and adequacy of</w:t>
      </w:r>
      <w:r>
        <w:rPr>
          <w:spacing w:val="40"/>
        </w:rPr>
        <w:t> </w:t>
      </w:r>
      <w:r>
        <w:rPr/>
        <w:t>academic welfare services in universities under study. This consensus in</w:t>
      </w:r>
      <w:r>
        <w:rPr>
          <w:spacing w:val="40"/>
        </w:rPr>
        <w:t> </w:t>
      </w:r>
      <w:r>
        <w:rPr/>
        <w:t>opinions</w:t>
      </w:r>
      <w:r>
        <w:rPr>
          <w:spacing w:val="-2"/>
        </w:rPr>
        <w:t> </w:t>
      </w:r>
      <w:r>
        <w:rPr/>
        <w:t>seemed</w:t>
      </w:r>
      <w:r>
        <w:rPr>
          <w:spacing w:val="-2"/>
        </w:rPr>
        <w:t> </w:t>
      </w:r>
      <w:r>
        <w:rPr/>
        <w:t>to</w:t>
      </w:r>
      <w:r>
        <w:rPr>
          <w:spacing w:val="-2"/>
        </w:rPr>
        <w:t> </w:t>
      </w:r>
      <w:r>
        <w:rPr/>
        <w:t>suggest</w:t>
      </w:r>
      <w:r>
        <w:rPr>
          <w:spacing w:val="-2"/>
        </w:rPr>
        <w:t> </w:t>
      </w:r>
      <w:r>
        <w:rPr/>
        <w:t>that</w:t>
      </w:r>
      <w:r>
        <w:rPr>
          <w:spacing w:val="-3"/>
        </w:rPr>
        <w:t> </w:t>
      </w:r>
      <w:r>
        <w:rPr/>
        <w:t>academic</w:t>
      </w:r>
      <w:r>
        <w:rPr>
          <w:spacing w:val="-2"/>
        </w:rPr>
        <w:t> </w:t>
      </w:r>
      <w:r>
        <w:rPr/>
        <w:t>services</w:t>
      </w:r>
      <w:r>
        <w:rPr>
          <w:spacing w:val="-3"/>
        </w:rPr>
        <w:t> </w:t>
      </w:r>
      <w:r>
        <w:rPr/>
        <w:t>which</w:t>
      </w:r>
      <w:r>
        <w:rPr>
          <w:spacing w:val="-2"/>
        </w:rPr>
        <w:t> </w:t>
      </w:r>
      <w:r>
        <w:rPr/>
        <w:t>form</w:t>
      </w:r>
      <w:r>
        <w:rPr>
          <w:spacing w:val="-10"/>
        </w:rPr>
        <w:t> </w:t>
      </w:r>
      <w:r>
        <w:rPr/>
        <w:t>crucial part</w:t>
      </w:r>
      <w:r>
        <w:rPr>
          <w:spacing w:val="-2"/>
        </w:rPr>
        <w:t> </w:t>
      </w:r>
      <w:r>
        <w:rPr/>
        <w:t>of</w:t>
      </w:r>
      <w:r>
        <w:rPr>
          <w:spacing w:val="-3"/>
        </w:rPr>
        <w:t> </w:t>
      </w:r>
      <w:r>
        <w:rPr/>
        <w:t>the main mandate of students’ presence in the university were not adequate. It is</w:t>
      </w:r>
      <w:r>
        <w:rPr>
          <w:spacing w:val="40"/>
        </w:rPr>
        <w:t> </w:t>
      </w:r>
      <w:r>
        <w:rPr/>
        <w:t>very important that the facilities were provided. Infact, before students were usually admitted into the universities academic infrastructures should be put in place. So there was reason to believe that no university existed without classrooms, libraries, teaching staff, lecture halls and information services. Thus provision and adequacy of academic facilities should be a primary issue for the university management being the representative of the Federal Ministry of Education via National Universities Commission (NUC) or State Boards for</w:t>
      </w:r>
      <w:r>
        <w:rPr>
          <w:spacing w:val="40"/>
        </w:rPr>
        <w:t> </w:t>
      </w:r>
      <w:r>
        <w:rPr/>
        <w:t>Higher Education to give it a top priority.</w:t>
      </w:r>
    </w:p>
    <w:p>
      <w:pPr>
        <w:spacing w:after="0" w:line="480" w:lineRule="auto"/>
        <w:jc w:val="both"/>
        <w:sectPr>
          <w:headerReference w:type="default" r:id="rId419"/>
          <w:footerReference w:type="default" r:id="rId420"/>
          <w:pgSz w:w="12240" w:h="15840"/>
          <w:pgMar w:header="722" w:footer="791" w:top="980" w:bottom="980" w:left="1320" w:right="880"/>
        </w:sectPr>
      </w:pPr>
    </w:p>
    <w:p>
      <w:pPr>
        <w:pStyle w:val="BodyText"/>
        <w:spacing w:before="172"/>
      </w:pPr>
    </w:p>
    <w:p>
      <w:pPr>
        <w:pStyle w:val="Heading4"/>
        <w:numPr>
          <w:ilvl w:val="2"/>
          <w:numId w:val="39"/>
        </w:numPr>
        <w:tabs>
          <w:tab w:pos="837" w:val="left" w:leader="none"/>
        </w:tabs>
        <w:spacing w:line="240" w:lineRule="auto" w:before="0" w:after="0"/>
        <w:ind w:left="837" w:right="0" w:hanging="717"/>
        <w:jc w:val="left"/>
        <w:rPr>
          <w:rFonts w:ascii="Arial MT"/>
          <w:b w:val="0"/>
          <w:sz w:val="28"/>
        </w:rPr>
      </w:pPr>
      <w:r>
        <w:rPr/>
        <w:t>Null</w:t>
      </w:r>
      <w:r>
        <w:rPr>
          <w:spacing w:val="-12"/>
        </w:rPr>
        <w:t> </w:t>
      </w:r>
      <w:r>
        <w:rPr/>
        <w:t>Hypothesis</w:t>
      </w:r>
      <w:r>
        <w:rPr>
          <w:spacing w:val="-10"/>
        </w:rPr>
        <w:t> 4</w:t>
      </w:r>
    </w:p>
    <w:p>
      <w:pPr>
        <w:pStyle w:val="BodyText"/>
        <w:spacing w:before="45"/>
        <w:rPr>
          <w:rFonts w:ascii="Arial"/>
          <w:b/>
        </w:rPr>
      </w:pPr>
    </w:p>
    <w:p>
      <w:pPr>
        <w:pStyle w:val="BodyText"/>
        <w:spacing w:line="480" w:lineRule="auto"/>
        <w:ind w:left="840" w:right="556" w:firstLine="720"/>
        <w:jc w:val="both"/>
      </w:pPr>
      <w:r>
        <w:rPr/>
        <w:t>There is no significant difference in the opinions of students, service staff and top management in respect of the availability and adequacy of Medical/Health services in the Universities under study.</w:t>
      </w:r>
    </w:p>
    <w:p>
      <w:pPr>
        <w:pStyle w:val="BodyText"/>
        <w:spacing w:line="480" w:lineRule="auto"/>
        <w:ind w:left="840" w:right="553" w:firstLine="720"/>
        <w:jc w:val="both"/>
      </w:pPr>
      <w:r>
        <w:rPr/>
        <w:t>Items</w:t>
      </w:r>
      <w:r>
        <w:rPr>
          <w:spacing w:val="-2"/>
        </w:rPr>
        <w:t> </w:t>
      </w:r>
      <w:r>
        <w:rPr/>
        <w:t>21</w:t>
      </w:r>
      <w:r>
        <w:rPr>
          <w:spacing w:val="-1"/>
        </w:rPr>
        <w:t> </w:t>
      </w:r>
      <w:r>
        <w:rPr/>
        <w:t>to</w:t>
      </w:r>
      <w:r>
        <w:rPr>
          <w:spacing w:val="-1"/>
        </w:rPr>
        <w:t> </w:t>
      </w:r>
      <w:r>
        <w:rPr/>
        <w:t>27</w:t>
      </w:r>
      <w:r>
        <w:rPr>
          <w:spacing w:val="-1"/>
        </w:rPr>
        <w:t> </w:t>
      </w:r>
      <w:r>
        <w:rPr/>
        <w:t>of</w:t>
      </w:r>
      <w:r>
        <w:rPr>
          <w:spacing w:val="-2"/>
        </w:rPr>
        <w:t> </w:t>
      </w:r>
      <w:r>
        <w:rPr/>
        <w:t>the</w:t>
      </w:r>
      <w:r>
        <w:rPr>
          <w:spacing w:val="-1"/>
        </w:rPr>
        <w:t> </w:t>
      </w:r>
      <w:r>
        <w:rPr/>
        <w:t>questionnaire</w:t>
      </w:r>
      <w:r>
        <w:rPr>
          <w:spacing w:val="-1"/>
        </w:rPr>
        <w:t> </w:t>
      </w:r>
      <w:r>
        <w:rPr/>
        <w:t>were</w:t>
      </w:r>
      <w:r>
        <w:rPr>
          <w:spacing w:val="-1"/>
        </w:rPr>
        <w:t> </w:t>
      </w:r>
      <w:r>
        <w:rPr/>
        <w:t>used</w:t>
      </w:r>
      <w:r>
        <w:rPr>
          <w:spacing w:val="-5"/>
        </w:rPr>
        <w:t> </w:t>
      </w:r>
      <w:r>
        <w:rPr/>
        <w:t>to</w:t>
      </w:r>
      <w:r>
        <w:rPr>
          <w:spacing w:val="-1"/>
        </w:rPr>
        <w:t> </w:t>
      </w:r>
      <w:r>
        <w:rPr/>
        <w:t>enquire</w:t>
      </w:r>
      <w:r>
        <w:rPr>
          <w:spacing w:val="-5"/>
        </w:rPr>
        <w:t> </w:t>
      </w:r>
      <w:r>
        <w:rPr/>
        <w:t>the</w:t>
      </w:r>
      <w:r>
        <w:rPr>
          <w:spacing w:val="-1"/>
        </w:rPr>
        <w:t> </w:t>
      </w:r>
      <w:r>
        <w:rPr/>
        <w:t>differences</w:t>
      </w:r>
      <w:r>
        <w:rPr>
          <w:spacing w:val="-7"/>
        </w:rPr>
        <w:t> </w:t>
      </w:r>
      <w:r>
        <w:rPr/>
        <w:t>of respondents opinions</w:t>
      </w:r>
      <w:r>
        <w:rPr>
          <w:spacing w:val="-4"/>
        </w:rPr>
        <w:t> </w:t>
      </w:r>
      <w:r>
        <w:rPr/>
        <w:t>on the</w:t>
      </w:r>
      <w:r>
        <w:rPr>
          <w:spacing w:val="-3"/>
        </w:rPr>
        <w:t> </w:t>
      </w:r>
      <w:r>
        <w:rPr/>
        <w:t>availability of</w:t>
      </w:r>
      <w:r>
        <w:rPr>
          <w:spacing w:val="-3"/>
        </w:rPr>
        <w:t> </w:t>
      </w:r>
      <w:r>
        <w:rPr/>
        <w:t>services</w:t>
      </w:r>
      <w:r>
        <w:rPr>
          <w:spacing w:val="-4"/>
        </w:rPr>
        <w:t> </w:t>
      </w:r>
      <w:r>
        <w:rPr/>
        <w:t>tagged as</w:t>
      </w:r>
      <w:r>
        <w:rPr>
          <w:spacing w:val="-4"/>
        </w:rPr>
        <w:t> </w:t>
      </w:r>
      <w:r>
        <w:rPr/>
        <w:t>medical and health services in these universities. These among others included sick bays or clinics, medical centres sanitation facilities, Drugs, vaccines/inoculations, curative and preventive treatments and hospitals. Thus, to test the hypothesis, One Way Analysis</w:t>
      </w:r>
      <w:r>
        <w:rPr>
          <w:spacing w:val="7"/>
        </w:rPr>
        <w:t> </w:t>
      </w:r>
      <w:r>
        <w:rPr/>
        <w:t>of</w:t>
      </w:r>
      <w:r>
        <w:rPr>
          <w:spacing w:val="15"/>
        </w:rPr>
        <w:t> </w:t>
      </w:r>
      <w:r>
        <w:rPr/>
        <w:t>Variance</w:t>
      </w:r>
      <w:r>
        <w:rPr>
          <w:spacing w:val="8"/>
        </w:rPr>
        <w:t> </w:t>
      </w:r>
      <w:r>
        <w:rPr/>
        <w:t>(ANOVA)</w:t>
      </w:r>
      <w:r>
        <w:rPr>
          <w:spacing w:val="14"/>
        </w:rPr>
        <w:t> </w:t>
      </w:r>
      <w:r>
        <w:rPr/>
        <w:t>was</w:t>
      </w:r>
      <w:r>
        <w:rPr>
          <w:spacing w:val="13"/>
        </w:rPr>
        <w:t> </w:t>
      </w:r>
      <w:r>
        <w:rPr/>
        <w:t>used</w:t>
      </w:r>
      <w:r>
        <w:rPr>
          <w:spacing w:val="13"/>
        </w:rPr>
        <w:t> </w:t>
      </w:r>
      <w:r>
        <w:rPr/>
        <w:t>and</w:t>
      </w:r>
      <w:r>
        <w:rPr>
          <w:spacing w:val="10"/>
        </w:rPr>
        <w:t> </w:t>
      </w:r>
      <w:r>
        <w:rPr/>
        <w:t>the</w:t>
      </w:r>
      <w:r>
        <w:rPr>
          <w:spacing w:val="9"/>
        </w:rPr>
        <w:t> </w:t>
      </w:r>
      <w:r>
        <w:rPr/>
        <w:t>results</w:t>
      </w:r>
      <w:r>
        <w:rPr>
          <w:spacing w:val="8"/>
        </w:rPr>
        <w:t> </w:t>
      </w:r>
      <w:r>
        <w:rPr/>
        <w:t>are</w:t>
      </w:r>
      <w:r>
        <w:rPr>
          <w:spacing w:val="10"/>
        </w:rPr>
        <w:t> </w:t>
      </w:r>
      <w:r>
        <w:rPr/>
        <w:t>presented</w:t>
      </w:r>
      <w:r>
        <w:rPr>
          <w:spacing w:val="9"/>
        </w:rPr>
        <w:t> </w:t>
      </w:r>
      <w:r>
        <w:rPr/>
        <w:t>in</w:t>
      </w:r>
      <w:r>
        <w:rPr>
          <w:spacing w:val="9"/>
        </w:rPr>
        <w:t> </w:t>
      </w:r>
      <w:r>
        <w:rPr>
          <w:spacing w:val="-2"/>
        </w:rPr>
        <w:t>Table</w:t>
      </w:r>
    </w:p>
    <w:p>
      <w:pPr>
        <w:pStyle w:val="ListParagraph"/>
        <w:numPr>
          <w:ilvl w:val="2"/>
          <w:numId w:val="39"/>
        </w:numPr>
        <w:tabs>
          <w:tab w:pos="1442" w:val="left" w:leader="none"/>
        </w:tabs>
        <w:spacing w:line="240" w:lineRule="auto" w:before="0" w:after="0"/>
        <w:ind w:left="1442" w:right="0" w:hanging="602"/>
        <w:jc w:val="both"/>
        <w:rPr>
          <w:sz w:val="24"/>
        </w:rPr>
      </w:pPr>
      <w:r>
        <w:rPr>
          <w:spacing w:val="-2"/>
          <w:sz w:val="24"/>
        </w:rPr>
        <w:t>below:</w:t>
      </w:r>
    </w:p>
    <w:p>
      <w:pPr>
        <w:pStyle w:val="Heading2"/>
        <w:spacing w:before="272" w:after="7"/>
        <w:ind w:left="2505" w:right="381" w:hanging="1666"/>
      </w:pPr>
      <w:r>
        <w:rPr/>
        <w:t>Table 4.5.5: One way Analysis of variance (ANOVA) on the availability</w:t>
      </w:r>
      <w:r>
        <w:rPr>
          <w:spacing w:val="-11"/>
        </w:rPr>
        <w:t> </w:t>
      </w:r>
      <w:r>
        <w:rPr/>
        <w:t>and</w:t>
      </w:r>
      <w:r>
        <w:rPr>
          <w:spacing w:val="-7"/>
        </w:rPr>
        <w:t> </w:t>
      </w:r>
      <w:r>
        <w:rPr/>
        <w:t>adequacy</w:t>
      </w:r>
      <w:r>
        <w:rPr>
          <w:spacing w:val="-11"/>
        </w:rPr>
        <w:t> </w:t>
      </w:r>
      <w:r>
        <w:rPr/>
        <w:t>of</w:t>
      </w:r>
      <w:r>
        <w:rPr>
          <w:spacing w:val="-11"/>
        </w:rPr>
        <w:t> </w:t>
      </w:r>
      <w:r>
        <w:rPr/>
        <w:t>medical/Health</w:t>
      </w:r>
      <w:r>
        <w:rPr>
          <w:spacing w:val="-7"/>
        </w:rPr>
        <w:t> </w:t>
      </w:r>
      <w:r>
        <w:rPr/>
        <w:t>services in the Universities in the three geopolitical zones in the Northern part of Nigeria</w:t>
      </w:r>
    </w:p>
    <w:tbl>
      <w:tblPr>
        <w:tblW w:w="0" w:type="auto"/>
        <w:jc w:val="left"/>
        <w:tblInd w:w="8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65"/>
        <w:gridCol w:w="820"/>
        <w:gridCol w:w="1592"/>
        <w:gridCol w:w="1486"/>
        <w:gridCol w:w="1204"/>
        <w:gridCol w:w="1573"/>
      </w:tblGrid>
      <w:tr>
        <w:trPr>
          <w:trHeight w:val="551" w:hRule="atLeast"/>
        </w:trPr>
        <w:tc>
          <w:tcPr>
            <w:tcW w:w="1965" w:type="dxa"/>
            <w:tcBorders>
              <w:top w:val="single" w:sz="4" w:space="0" w:color="000000"/>
              <w:left w:val="single" w:sz="4" w:space="0" w:color="000000"/>
              <w:bottom w:val="single" w:sz="4" w:space="0" w:color="000000"/>
            </w:tcBorders>
          </w:tcPr>
          <w:p>
            <w:pPr>
              <w:pStyle w:val="TableParagraph"/>
              <w:spacing w:line="267" w:lineRule="exact"/>
              <w:ind w:left="431"/>
              <w:rPr>
                <w:rFonts w:ascii="Arial"/>
                <w:b/>
                <w:sz w:val="24"/>
              </w:rPr>
            </w:pPr>
            <w:r>
              <w:rPr>
                <w:rFonts w:ascii="Arial"/>
                <w:b/>
                <w:sz w:val="24"/>
              </w:rPr>
              <w:t>Source</w:t>
            </w:r>
            <w:r>
              <w:rPr>
                <w:rFonts w:ascii="Arial"/>
                <w:b/>
                <w:spacing w:val="-12"/>
                <w:sz w:val="24"/>
              </w:rPr>
              <w:t> </w:t>
            </w:r>
            <w:r>
              <w:rPr>
                <w:rFonts w:ascii="Arial"/>
                <w:b/>
                <w:spacing w:val="-5"/>
                <w:sz w:val="24"/>
              </w:rPr>
              <w:t>of</w:t>
            </w:r>
          </w:p>
          <w:p>
            <w:pPr>
              <w:pStyle w:val="TableParagraph"/>
              <w:spacing w:line="263" w:lineRule="exact" w:before="2"/>
              <w:ind w:left="484"/>
              <w:rPr>
                <w:rFonts w:ascii="Arial"/>
                <w:b/>
                <w:sz w:val="24"/>
              </w:rPr>
            </w:pPr>
            <w:r>
              <w:rPr>
                <w:rFonts w:ascii="Arial"/>
                <w:b/>
                <w:spacing w:val="-2"/>
                <w:sz w:val="24"/>
              </w:rPr>
              <w:t>variation</w:t>
            </w:r>
          </w:p>
        </w:tc>
        <w:tc>
          <w:tcPr>
            <w:tcW w:w="820" w:type="dxa"/>
            <w:tcBorders>
              <w:top w:val="single" w:sz="4" w:space="0" w:color="000000"/>
              <w:bottom w:val="single" w:sz="4" w:space="0" w:color="000000"/>
            </w:tcBorders>
          </w:tcPr>
          <w:p>
            <w:pPr>
              <w:pStyle w:val="TableParagraph"/>
              <w:spacing w:line="267" w:lineRule="exact"/>
              <w:ind w:left="305"/>
              <w:rPr>
                <w:rFonts w:ascii="Arial"/>
                <w:b/>
                <w:sz w:val="24"/>
              </w:rPr>
            </w:pPr>
            <w:r>
              <w:rPr>
                <w:rFonts w:ascii="Arial"/>
                <w:b/>
                <w:spacing w:val="-5"/>
                <w:sz w:val="24"/>
              </w:rPr>
              <w:t>DF</w:t>
            </w:r>
          </w:p>
        </w:tc>
        <w:tc>
          <w:tcPr>
            <w:tcW w:w="1592" w:type="dxa"/>
            <w:tcBorders>
              <w:top w:val="single" w:sz="4" w:space="0" w:color="000000"/>
              <w:bottom w:val="single" w:sz="4" w:space="0" w:color="000000"/>
            </w:tcBorders>
          </w:tcPr>
          <w:p>
            <w:pPr>
              <w:pStyle w:val="TableParagraph"/>
              <w:spacing w:line="267" w:lineRule="exact"/>
              <w:ind w:left="498"/>
              <w:rPr>
                <w:rFonts w:ascii="Arial"/>
                <w:b/>
                <w:sz w:val="24"/>
              </w:rPr>
            </w:pPr>
            <w:r>
              <w:rPr>
                <w:rFonts w:ascii="Arial"/>
                <w:b/>
                <w:sz w:val="24"/>
              </w:rPr>
              <w:t>Sum</w:t>
            </w:r>
            <w:r>
              <w:rPr>
                <w:rFonts w:ascii="Arial"/>
                <w:b/>
                <w:spacing w:val="-13"/>
                <w:sz w:val="24"/>
              </w:rPr>
              <w:t> </w:t>
            </w:r>
            <w:r>
              <w:rPr>
                <w:rFonts w:ascii="Arial"/>
                <w:b/>
                <w:spacing w:val="-5"/>
                <w:sz w:val="24"/>
              </w:rPr>
              <w:t>of</w:t>
            </w:r>
          </w:p>
          <w:p>
            <w:pPr>
              <w:pStyle w:val="TableParagraph"/>
              <w:spacing w:line="263" w:lineRule="exact" w:before="2"/>
              <w:ind w:left="445"/>
              <w:rPr>
                <w:rFonts w:ascii="Arial"/>
                <w:b/>
                <w:sz w:val="24"/>
              </w:rPr>
            </w:pPr>
            <w:r>
              <w:rPr>
                <w:rFonts w:ascii="Arial"/>
                <w:b/>
                <w:spacing w:val="-2"/>
                <w:sz w:val="24"/>
              </w:rPr>
              <w:t>squares</w:t>
            </w:r>
          </w:p>
        </w:tc>
        <w:tc>
          <w:tcPr>
            <w:tcW w:w="1486" w:type="dxa"/>
            <w:tcBorders>
              <w:top w:val="single" w:sz="4" w:space="0" w:color="000000"/>
              <w:bottom w:val="single" w:sz="4" w:space="0" w:color="000000"/>
            </w:tcBorders>
          </w:tcPr>
          <w:p>
            <w:pPr>
              <w:pStyle w:val="TableParagraph"/>
              <w:spacing w:line="267" w:lineRule="exact"/>
              <w:ind w:left="211"/>
              <w:jc w:val="center"/>
              <w:rPr>
                <w:rFonts w:ascii="Arial"/>
                <w:b/>
                <w:sz w:val="24"/>
              </w:rPr>
            </w:pPr>
            <w:r>
              <w:rPr>
                <w:rFonts w:ascii="Arial"/>
                <w:b/>
                <w:spacing w:val="-4"/>
                <w:sz w:val="24"/>
              </w:rPr>
              <w:t>Mean</w:t>
            </w:r>
          </w:p>
          <w:p>
            <w:pPr>
              <w:pStyle w:val="TableParagraph"/>
              <w:spacing w:line="263" w:lineRule="exact" w:before="2"/>
              <w:ind w:left="211" w:right="8"/>
              <w:jc w:val="center"/>
              <w:rPr>
                <w:rFonts w:ascii="Arial"/>
                <w:b/>
                <w:sz w:val="24"/>
              </w:rPr>
            </w:pPr>
            <w:r>
              <w:rPr>
                <w:rFonts w:ascii="Arial"/>
                <w:b/>
                <w:spacing w:val="-2"/>
                <w:sz w:val="24"/>
              </w:rPr>
              <w:t>squares</w:t>
            </w:r>
          </w:p>
        </w:tc>
        <w:tc>
          <w:tcPr>
            <w:tcW w:w="1204" w:type="dxa"/>
            <w:tcBorders>
              <w:top w:val="single" w:sz="4" w:space="0" w:color="000000"/>
              <w:bottom w:val="single" w:sz="4" w:space="0" w:color="000000"/>
            </w:tcBorders>
          </w:tcPr>
          <w:p>
            <w:pPr>
              <w:pStyle w:val="TableParagraph"/>
              <w:spacing w:line="267" w:lineRule="exact"/>
              <w:ind w:left="208"/>
              <w:rPr>
                <w:rFonts w:ascii="Arial"/>
                <w:b/>
                <w:sz w:val="24"/>
              </w:rPr>
            </w:pPr>
            <w:r>
              <w:rPr>
                <w:rFonts w:ascii="Arial"/>
                <w:b/>
                <w:sz w:val="24"/>
              </w:rPr>
              <w:t>F.</w:t>
            </w:r>
            <w:r>
              <w:rPr>
                <w:rFonts w:ascii="Arial"/>
                <w:b/>
                <w:spacing w:val="-1"/>
                <w:sz w:val="24"/>
              </w:rPr>
              <w:t> </w:t>
            </w:r>
            <w:r>
              <w:rPr>
                <w:rFonts w:ascii="Arial"/>
                <w:b/>
                <w:spacing w:val="-2"/>
                <w:sz w:val="24"/>
              </w:rPr>
              <w:t>Ratio</w:t>
            </w:r>
          </w:p>
        </w:tc>
        <w:tc>
          <w:tcPr>
            <w:tcW w:w="1573" w:type="dxa"/>
            <w:tcBorders>
              <w:top w:val="single" w:sz="4" w:space="0" w:color="000000"/>
              <w:bottom w:val="single" w:sz="4" w:space="0" w:color="000000"/>
              <w:right w:val="single" w:sz="4" w:space="0" w:color="000000"/>
            </w:tcBorders>
          </w:tcPr>
          <w:p>
            <w:pPr>
              <w:pStyle w:val="TableParagraph"/>
              <w:spacing w:line="267" w:lineRule="exact"/>
              <w:ind w:left="30" w:right="13"/>
              <w:jc w:val="center"/>
              <w:rPr>
                <w:rFonts w:ascii="Arial"/>
                <w:b/>
                <w:sz w:val="24"/>
              </w:rPr>
            </w:pPr>
            <w:r>
              <w:rPr>
                <w:rFonts w:ascii="Arial"/>
                <w:b/>
                <w:spacing w:val="-5"/>
                <w:sz w:val="24"/>
              </w:rPr>
              <w:t>F.</w:t>
            </w:r>
          </w:p>
          <w:p>
            <w:pPr>
              <w:pStyle w:val="TableParagraph"/>
              <w:spacing w:line="263" w:lineRule="exact" w:before="2"/>
              <w:ind w:left="30"/>
              <w:jc w:val="center"/>
              <w:rPr>
                <w:rFonts w:ascii="Arial"/>
                <w:b/>
                <w:sz w:val="24"/>
              </w:rPr>
            </w:pPr>
            <w:r>
              <w:rPr>
                <w:rFonts w:ascii="Arial"/>
                <w:b/>
                <w:spacing w:val="-2"/>
                <w:sz w:val="24"/>
              </w:rPr>
              <w:t>Probability</w:t>
            </w:r>
          </w:p>
        </w:tc>
      </w:tr>
      <w:tr>
        <w:trPr>
          <w:trHeight w:val="418" w:hRule="atLeast"/>
        </w:trPr>
        <w:tc>
          <w:tcPr>
            <w:tcW w:w="1965" w:type="dxa"/>
            <w:tcBorders>
              <w:top w:val="single" w:sz="4" w:space="0" w:color="000000"/>
              <w:left w:val="single" w:sz="4" w:space="0" w:color="000000"/>
            </w:tcBorders>
          </w:tcPr>
          <w:p>
            <w:pPr>
              <w:pStyle w:val="TableParagraph"/>
              <w:ind w:left="105"/>
              <w:rPr>
                <w:sz w:val="24"/>
              </w:rPr>
            </w:pPr>
            <w:r>
              <w:rPr>
                <w:sz w:val="24"/>
              </w:rPr>
              <w:t>Between</w:t>
            </w:r>
            <w:r>
              <w:rPr>
                <w:spacing w:val="-13"/>
                <w:sz w:val="24"/>
              </w:rPr>
              <w:t> </w:t>
            </w:r>
            <w:r>
              <w:rPr>
                <w:spacing w:val="-2"/>
                <w:sz w:val="24"/>
              </w:rPr>
              <w:t>groups</w:t>
            </w:r>
          </w:p>
        </w:tc>
        <w:tc>
          <w:tcPr>
            <w:tcW w:w="820" w:type="dxa"/>
            <w:tcBorders>
              <w:top w:val="single" w:sz="4" w:space="0" w:color="000000"/>
            </w:tcBorders>
          </w:tcPr>
          <w:p>
            <w:pPr>
              <w:pStyle w:val="TableParagraph"/>
              <w:ind w:left="127"/>
              <w:rPr>
                <w:sz w:val="24"/>
              </w:rPr>
            </w:pPr>
            <w:r>
              <w:rPr>
                <w:spacing w:val="-10"/>
                <w:sz w:val="24"/>
              </w:rPr>
              <w:t>2</w:t>
            </w:r>
          </w:p>
        </w:tc>
        <w:tc>
          <w:tcPr>
            <w:tcW w:w="1592" w:type="dxa"/>
            <w:tcBorders>
              <w:top w:val="single" w:sz="4" w:space="0" w:color="000000"/>
            </w:tcBorders>
          </w:tcPr>
          <w:p>
            <w:pPr>
              <w:pStyle w:val="TableParagraph"/>
              <w:ind w:left="205"/>
              <w:rPr>
                <w:sz w:val="24"/>
              </w:rPr>
            </w:pPr>
            <w:r>
              <w:rPr>
                <w:spacing w:val="-2"/>
                <w:sz w:val="24"/>
              </w:rPr>
              <w:t>4.016</w:t>
            </w:r>
          </w:p>
        </w:tc>
        <w:tc>
          <w:tcPr>
            <w:tcW w:w="1486" w:type="dxa"/>
            <w:tcBorders>
              <w:top w:val="single" w:sz="4" w:space="0" w:color="000000"/>
            </w:tcBorders>
          </w:tcPr>
          <w:p>
            <w:pPr>
              <w:pStyle w:val="TableParagraph"/>
              <w:ind w:left="235"/>
              <w:rPr>
                <w:sz w:val="24"/>
              </w:rPr>
            </w:pPr>
            <w:r>
              <w:rPr>
                <w:spacing w:val="-2"/>
                <w:sz w:val="24"/>
              </w:rPr>
              <w:t>2.0458</w:t>
            </w:r>
          </w:p>
        </w:tc>
        <w:tc>
          <w:tcPr>
            <w:tcW w:w="1204" w:type="dxa"/>
            <w:tcBorders>
              <w:top w:val="single" w:sz="4" w:space="0" w:color="000000"/>
            </w:tcBorders>
          </w:tcPr>
          <w:p>
            <w:pPr>
              <w:pStyle w:val="TableParagraph"/>
              <w:ind w:left="189"/>
              <w:rPr>
                <w:sz w:val="24"/>
              </w:rPr>
            </w:pPr>
            <w:r>
              <w:rPr>
                <w:spacing w:val="-2"/>
                <w:sz w:val="24"/>
              </w:rPr>
              <w:t>4.1873</w:t>
            </w:r>
          </w:p>
        </w:tc>
        <w:tc>
          <w:tcPr>
            <w:tcW w:w="1573" w:type="dxa"/>
            <w:tcBorders>
              <w:top w:val="single" w:sz="4" w:space="0" w:color="000000"/>
              <w:right w:val="single" w:sz="4" w:space="0" w:color="000000"/>
            </w:tcBorders>
          </w:tcPr>
          <w:p>
            <w:pPr>
              <w:pStyle w:val="TableParagraph"/>
              <w:ind w:left="123"/>
              <w:rPr>
                <w:sz w:val="24"/>
              </w:rPr>
            </w:pPr>
            <w:r>
              <w:rPr>
                <w:spacing w:val="-2"/>
                <w:sz w:val="24"/>
              </w:rPr>
              <w:t>0.0158</w:t>
            </w:r>
          </w:p>
        </w:tc>
      </w:tr>
      <w:tr>
        <w:trPr>
          <w:trHeight w:val="690" w:hRule="atLeast"/>
        </w:trPr>
        <w:tc>
          <w:tcPr>
            <w:tcW w:w="1965" w:type="dxa"/>
            <w:tcBorders>
              <w:left w:val="single" w:sz="4" w:space="0" w:color="000000"/>
              <w:bottom w:val="single" w:sz="4" w:space="0" w:color="000000"/>
            </w:tcBorders>
          </w:tcPr>
          <w:p>
            <w:pPr>
              <w:pStyle w:val="TableParagraph"/>
              <w:spacing w:before="134"/>
              <w:ind w:left="105"/>
              <w:rPr>
                <w:sz w:val="24"/>
              </w:rPr>
            </w:pPr>
            <w:r>
              <w:rPr>
                <w:sz w:val="24"/>
              </w:rPr>
              <w:t>Within</w:t>
            </w:r>
            <w:r>
              <w:rPr>
                <w:spacing w:val="-3"/>
                <w:sz w:val="24"/>
              </w:rPr>
              <w:t> </w:t>
            </w:r>
            <w:r>
              <w:rPr>
                <w:spacing w:val="-2"/>
                <w:sz w:val="24"/>
              </w:rPr>
              <w:t>groups</w:t>
            </w:r>
          </w:p>
        </w:tc>
        <w:tc>
          <w:tcPr>
            <w:tcW w:w="820" w:type="dxa"/>
            <w:tcBorders>
              <w:bottom w:val="single" w:sz="4" w:space="0" w:color="000000"/>
            </w:tcBorders>
          </w:tcPr>
          <w:p>
            <w:pPr>
              <w:pStyle w:val="TableParagraph"/>
              <w:spacing w:before="134"/>
              <w:ind w:left="127"/>
              <w:rPr>
                <w:sz w:val="24"/>
              </w:rPr>
            </w:pPr>
            <w:r>
              <w:rPr>
                <w:spacing w:val="-5"/>
                <w:sz w:val="24"/>
              </w:rPr>
              <w:t>458</w:t>
            </w:r>
          </w:p>
        </w:tc>
        <w:tc>
          <w:tcPr>
            <w:tcW w:w="1592" w:type="dxa"/>
            <w:tcBorders>
              <w:bottom w:val="single" w:sz="4" w:space="0" w:color="000000"/>
            </w:tcBorders>
          </w:tcPr>
          <w:p>
            <w:pPr>
              <w:pStyle w:val="TableParagraph"/>
              <w:spacing w:before="134"/>
              <w:ind w:left="205"/>
              <w:rPr>
                <w:sz w:val="24"/>
              </w:rPr>
            </w:pPr>
            <w:r>
              <w:rPr>
                <w:spacing w:val="-2"/>
                <w:sz w:val="24"/>
              </w:rPr>
              <w:t>223.7618</w:t>
            </w:r>
          </w:p>
        </w:tc>
        <w:tc>
          <w:tcPr>
            <w:tcW w:w="1486" w:type="dxa"/>
            <w:tcBorders>
              <w:bottom w:val="single" w:sz="4" w:space="0" w:color="000000"/>
            </w:tcBorders>
          </w:tcPr>
          <w:p>
            <w:pPr>
              <w:pStyle w:val="TableParagraph"/>
              <w:spacing w:before="134"/>
              <w:ind w:left="235"/>
              <w:rPr>
                <w:sz w:val="24"/>
              </w:rPr>
            </w:pPr>
            <w:r>
              <w:rPr>
                <w:spacing w:val="-2"/>
                <w:sz w:val="24"/>
              </w:rPr>
              <w:t>.4886</w:t>
            </w:r>
          </w:p>
        </w:tc>
        <w:tc>
          <w:tcPr>
            <w:tcW w:w="1204" w:type="dxa"/>
            <w:tcBorders>
              <w:bottom w:val="single" w:sz="4" w:space="0" w:color="000000"/>
            </w:tcBorders>
          </w:tcPr>
          <w:p>
            <w:pPr>
              <w:pStyle w:val="TableParagraph"/>
              <w:rPr>
                <w:rFonts w:ascii="Times New Roman"/>
                <w:sz w:val="24"/>
              </w:rPr>
            </w:pPr>
          </w:p>
        </w:tc>
        <w:tc>
          <w:tcPr>
            <w:tcW w:w="1573" w:type="dxa"/>
            <w:tcBorders>
              <w:bottom w:val="single" w:sz="4" w:space="0" w:color="000000"/>
              <w:right w:val="single" w:sz="4" w:space="0" w:color="000000"/>
            </w:tcBorders>
          </w:tcPr>
          <w:p>
            <w:pPr>
              <w:pStyle w:val="TableParagraph"/>
              <w:rPr>
                <w:rFonts w:ascii="Times New Roman"/>
                <w:sz w:val="24"/>
              </w:rPr>
            </w:pPr>
          </w:p>
        </w:tc>
      </w:tr>
      <w:tr>
        <w:trPr>
          <w:trHeight w:val="273" w:hRule="atLeast"/>
        </w:trPr>
        <w:tc>
          <w:tcPr>
            <w:tcW w:w="1965" w:type="dxa"/>
            <w:tcBorders>
              <w:top w:val="single" w:sz="4" w:space="0" w:color="000000"/>
              <w:left w:val="single" w:sz="4" w:space="0" w:color="000000"/>
              <w:bottom w:val="single" w:sz="4" w:space="0" w:color="000000"/>
            </w:tcBorders>
          </w:tcPr>
          <w:p>
            <w:pPr>
              <w:pStyle w:val="TableParagraph"/>
              <w:spacing w:line="253" w:lineRule="exact"/>
              <w:ind w:left="105"/>
              <w:rPr>
                <w:sz w:val="24"/>
              </w:rPr>
            </w:pPr>
            <w:r>
              <w:rPr>
                <w:spacing w:val="-2"/>
                <w:sz w:val="24"/>
              </w:rPr>
              <w:t>Total</w:t>
            </w:r>
          </w:p>
        </w:tc>
        <w:tc>
          <w:tcPr>
            <w:tcW w:w="820" w:type="dxa"/>
            <w:tcBorders>
              <w:top w:val="single" w:sz="4" w:space="0" w:color="000000"/>
              <w:bottom w:val="single" w:sz="4" w:space="0" w:color="000000"/>
            </w:tcBorders>
          </w:tcPr>
          <w:p>
            <w:pPr>
              <w:pStyle w:val="TableParagraph"/>
              <w:spacing w:line="253" w:lineRule="exact"/>
              <w:ind w:left="127"/>
              <w:rPr>
                <w:sz w:val="24"/>
              </w:rPr>
            </w:pPr>
            <w:r>
              <w:rPr>
                <w:spacing w:val="-5"/>
                <w:sz w:val="24"/>
              </w:rPr>
              <w:t>460</w:t>
            </w:r>
          </w:p>
        </w:tc>
        <w:tc>
          <w:tcPr>
            <w:tcW w:w="1592" w:type="dxa"/>
            <w:tcBorders>
              <w:top w:val="single" w:sz="4" w:space="0" w:color="000000"/>
              <w:bottom w:val="single" w:sz="4" w:space="0" w:color="000000"/>
            </w:tcBorders>
          </w:tcPr>
          <w:p>
            <w:pPr>
              <w:pStyle w:val="TableParagraph"/>
              <w:spacing w:line="253" w:lineRule="exact"/>
              <w:ind w:left="205"/>
              <w:rPr>
                <w:sz w:val="24"/>
              </w:rPr>
            </w:pPr>
            <w:r>
              <w:rPr>
                <w:spacing w:val="-2"/>
                <w:sz w:val="24"/>
              </w:rPr>
              <w:t>227.8534</w:t>
            </w:r>
          </w:p>
        </w:tc>
        <w:tc>
          <w:tcPr>
            <w:tcW w:w="1486" w:type="dxa"/>
            <w:tcBorders>
              <w:top w:val="single" w:sz="4" w:space="0" w:color="000000"/>
              <w:bottom w:val="single" w:sz="4" w:space="0" w:color="000000"/>
            </w:tcBorders>
          </w:tcPr>
          <w:p>
            <w:pPr>
              <w:pStyle w:val="TableParagraph"/>
              <w:rPr>
                <w:rFonts w:ascii="Times New Roman"/>
                <w:sz w:val="20"/>
              </w:rPr>
            </w:pPr>
          </w:p>
        </w:tc>
        <w:tc>
          <w:tcPr>
            <w:tcW w:w="1204" w:type="dxa"/>
            <w:tcBorders>
              <w:top w:val="single" w:sz="4" w:space="0" w:color="000000"/>
              <w:bottom w:val="single" w:sz="4" w:space="0" w:color="000000"/>
            </w:tcBorders>
          </w:tcPr>
          <w:p>
            <w:pPr>
              <w:pStyle w:val="TableParagraph"/>
              <w:rPr>
                <w:rFonts w:ascii="Times New Roman"/>
                <w:sz w:val="20"/>
              </w:rPr>
            </w:pPr>
          </w:p>
        </w:tc>
        <w:tc>
          <w:tcPr>
            <w:tcW w:w="1573" w:type="dxa"/>
            <w:tcBorders>
              <w:top w:val="single" w:sz="4" w:space="0" w:color="000000"/>
              <w:bottom w:val="single" w:sz="4" w:space="0" w:color="000000"/>
              <w:right w:val="single" w:sz="4" w:space="0" w:color="000000"/>
            </w:tcBorders>
          </w:tcPr>
          <w:p>
            <w:pPr>
              <w:pStyle w:val="TableParagraph"/>
              <w:rPr>
                <w:rFonts w:ascii="Times New Roman"/>
                <w:sz w:val="20"/>
              </w:rPr>
            </w:pPr>
          </w:p>
        </w:tc>
      </w:tr>
    </w:tbl>
    <w:p>
      <w:pPr>
        <w:pStyle w:val="Heading4"/>
        <w:ind w:left="840"/>
        <w:jc w:val="both"/>
      </w:pPr>
      <w:r>
        <w:rPr/>
        <w:t>F.</w:t>
      </w:r>
      <w:r>
        <w:rPr>
          <w:spacing w:val="-6"/>
        </w:rPr>
        <w:t> </w:t>
      </w:r>
      <w:r>
        <w:rPr/>
        <w:t>Probability</w:t>
      </w:r>
      <w:r>
        <w:rPr>
          <w:spacing w:val="-7"/>
        </w:rPr>
        <w:t> </w:t>
      </w:r>
      <w:r>
        <w:rPr/>
        <w:t>Value</w:t>
      </w:r>
      <w:r>
        <w:rPr>
          <w:spacing w:val="-5"/>
        </w:rPr>
        <w:t> </w:t>
      </w:r>
      <w:r>
        <w:rPr/>
        <w:t>&lt;</w:t>
      </w:r>
      <w:r>
        <w:rPr>
          <w:spacing w:val="-6"/>
        </w:rPr>
        <w:t> </w:t>
      </w:r>
      <w:r>
        <w:rPr/>
        <w:t>0.05</w:t>
      </w:r>
      <w:r>
        <w:rPr>
          <w:spacing w:val="-4"/>
        </w:rPr>
        <w:t> </w:t>
      </w:r>
      <w:r>
        <w:rPr/>
        <w:t>=&gt;</w:t>
      </w:r>
      <w:r>
        <w:rPr>
          <w:spacing w:val="-6"/>
        </w:rPr>
        <w:t> </w:t>
      </w:r>
      <w:r>
        <w:rPr/>
        <w:t>HO</w:t>
      </w:r>
      <w:r>
        <w:rPr>
          <w:spacing w:val="-4"/>
        </w:rPr>
        <w:t> </w:t>
      </w:r>
      <w:r>
        <w:rPr>
          <w:spacing w:val="-5"/>
        </w:rPr>
        <w:t>Rjt</w:t>
      </w:r>
    </w:p>
    <w:p>
      <w:pPr>
        <w:pStyle w:val="BodyText"/>
        <w:spacing w:line="480" w:lineRule="auto" w:before="272"/>
        <w:ind w:left="840" w:right="556" w:firstLine="720"/>
        <w:jc w:val="both"/>
      </w:pPr>
      <w:r>
        <w:rPr/>
        <w:t>It is very clear from table 4.5.5 that the computed F. Probability which is 0.0158 is below the accepted P-value of 0.05 designed for the study. The HO was therefore</w:t>
      </w:r>
      <w:r>
        <w:rPr>
          <w:spacing w:val="-2"/>
        </w:rPr>
        <w:t> </w:t>
      </w:r>
      <w:r>
        <w:rPr/>
        <w:t>rejected.</w:t>
      </w:r>
      <w:r>
        <w:rPr>
          <w:spacing w:val="40"/>
        </w:rPr>
        <w:t> </w:t>
      </w:r>
      <w:r>
        <w:rPr/>
        <w:t>It</w:t>
      </w:r>
      <w:r>
        <w:rPr>
          <w:spacing w:val="-3"/>
        </w:rPr>
        <w:t> </w:t>
      </w:r>
      <w:r>
        <w:rPr/>
        <w:t>is, therefore,</w:t>
      </w:r>
      <w:r>
        <w:rPr>
          <w:spacing w:val="-3"/>
        </w:rPr>
        <w:t> </w:t>
      </w:r>
      <w:r>
        <w:rPr/>
        <w:t>to be</w:t>
      </w:r>
      <w:r>
        <w:rPr>
          <w:spacing w:val="-6"/>
        </w:rPr>
        <w:t> </w:t>
      </w:r>
      <w:r>
        <w:rPr/>
        <w:t>concluded that significant difference existed in the opinions of respondents regarding the availability and adequacy of medical</w:t>
      </w:r>
      <w:r>
        <w:rPr>
          <w:spacing w:val="49"/>
          <w:w w:val="150"/>
        </w:rPr>
        <w:t> </w:t>
      </w:r>
      <w:r>
        <w:rPr/>
        <w:t>and</w:t>
      </w:r>
      <w:r>
        <w:rPr>
          <w:spacing w:val="47"/>
          <w:w w:val="150"/>
        </w:rPr>
        <w:t> </w:t>
      </w:r>
      <w:r>
        <w:rPr/>
        <w:t>Health</w:t>
      </w:r>
      <w:r>
        <w:rPr>
          <w:spacing w:val="75"/>
        </w:rPr>
        <w:t> </w:t>
      </w:r>
      <w:r>
        <w:rPr/>
        <w:t>services</w:t>
      </w:r>
      <w:r>
        <w:rPr>
          <w:spacing w:val="74"/>
        </w:rPr>
        <w:t> </w:t>
      </w:r>
      <w:r>
        <w:rPr/>
        <w:t>in</w:t>
      </w:r>
      <w:r>
        <w:rPr>
          <w:spacing w:val="47"/>
          <w:w w:val="150"/>
        </w:rPr>
        <w:t> </w:t>
      </w:r>
      <w:r>
        <w:rPr/>
        <w:t>universities</w:t>
      </w:r>
      <w:r>
        <w:rPr>
          <w:spacing w:val="79"/>
        </w:rPr>
        <w:t> </w:t>
      </w:r>
      <w:r>
        <w:rPr/>
        <w:t>under</w:t>
      </w:r>
      <w:r>
        <w:rPr>
          <w:spacing w:val="76"/>
        </w:rPr>
        <w:t> </w:t>
      </w:r>
      <w:r>
        <w:rPr/>
        <w:t>study.</w:t>
      </w:r>
      <w:r>
        <w:rPr>
          <w:spacing w:val="77"/>
        </w:rPr>
        <w:t>  </w:t>
      </w:r>
      <w:r>
        <w:rPr/>
        <w:t>To</w:t>
      </w:r>
      <w:r>
        <w:rPr>
          <w:spacing w:val="76"/>
        </w:rPr>
        <w:t> </w:t>
      </w:r>
      <w:r>
        <w:rPr/>
        <w:t>examine</w:t>
      </w:r>
      <w:r>
        <w:rPr>
          <w:spacing w:val="47"/>
          <w:w w:val="150"/>
        </w:rPr>
        <w:t> </w:t>
      </w:r>
      <w:r>
        <w:rPr>
          <w:spacing w:val="-5"/>
        </w:rPr>
        <w:t>the</w:t>
      </w:r>
    </w:p>
    <w:p>
      <w:pPr>
        <w:spacing w:after="0" w:line="480" w:lineRule="auto"/>
        <w:jc w:val="both"/>
        <w:sectPr>
          <w:headerReference w:type="default" r:id="rId421"/>
          <w:footerReference w:type="default" r:id="rId422"/>
          <w:pgSz w:w="12240" w:h="15840"/>
          <w:pgMar w:header="722" w:footer="791" w:top="980" w:bottom="980" w:left="1320" w:right="880"/>
        </w:sectPr>
      </w:pPr>
    </w:p>
    <w:p>
      <w:pPr>
        <w:pStyle w:val="BodyText"/>
        <w:spacing w:before="171"/>
      </w:pPr>
    </w:p>
    <w:p>
      <w:pPr>
        <w:pStyle w:val="BodyText"/>
        <w:spacing w:line="480" w:lineRule="auto"/>
        <w:ind w:left="840" w:right="555"/>
        <w:jc w:val="both"/>
      </w:pPr>
      <w:r>
        <w:rPr/>
        <w:t>relationship in the opinions of respondents on the availability and adequacy of</w:t>
      </w:r>
      <w:r>
        <w:rPr>
          <w:spacing w:val="40"/>
        </w:rPr>
        <w:t> </w:t>
      </w:r>
      <w:r>
        <w:rPr/>
        <w:t>the medical and Health facilities in the Universities, scheffe’s test was adopted and the results of the test are presented in table 4.5.6.</w:t>
      </w:r>
    </w:p>
    <w:p>
      <w:pPr>
        <w:pStyle w:val="Heading2"/>
        <w:ind w:left="2510" w:right="585" w:hanging="1671"/>
      </w:pPr>
      <w:r>
        <w:rPr/>
        <w:t>Table 4.5.6: Scheffe’s Multiple Comparison Test on the availability</w:t>
      </w:r>
      <w:r>
        <w:rPr>
          <w:spacing w:val="-6"/>
        </w:rPr>
        <w:t> </w:t>
      </w:r>
      <w:r>
        <w:rPr/>
        <w:t>and</w:t>
      </w:r>
      <w:r>
        <w:rPr>
          <w:spacing w:val="-7"/>
        </w:rPr>
        <w:t> </w:t>
      </w:r>
      <w:r>
        <w:rPr/>
        <w:t>adequacy</w:t>
      </w:r>
      <w:r>
        <w:rPr>
          <w:spacing w:val="-6"/>
        </w:rPr>
        <w:t> </w:t>
      </w:r>
      <w:r>
        <w:rPr/>
        <w:t>of</w:t>
      </w:r>
      <w:r>
        <w:rPr>
          <w:spacing w:val="-6"/>
        </w:rPr>
        <w:t> </w:t>
      </w:r>
      <w:r>
        <w:rPr/>
        <w:t>medical</w:t>
      </w:r>
      <w:r>
        <w:rPr>
          <w:spacing w:val="-6"/>
        </w:rPr>
        <w:t> </w:t>
      </w:r>
      <w:r>
        <w:rPr/>
        <w:t>and</w:t>
      </w:r>
      <w:r>
        <w:rPr>
          <w:spacing w:val="-7"/>
        </w:rPr>
        <w:t> </w:t>
      </w:r>
      <w:r>
        <w:rPr/>
        <w:t>Health services in the universities</w:t>
      </w:r>
    </w:p>
    <w:p>
      <w:pPr>
        <w:pStyle w:val="BodyText"/>
        <w:spacing w:before="124"/>
        <w:rPr>
          <w:rFonts w:ascii="Arial"/>
          <w:b/>
          <w:sz w:val="20"/>
        </w:rPr>
      </w:pPr>
    </w:p>
    <w:tbl>
      <w:tblPr>
        <w:tblW w:w="0" w:type="auto"/>
        <w:jc w:val="left"/>
        <w:tblInd w:w="2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47"/>
        <w:gridCol w:w="1551"/>
        <w:gridCol w:w="1664"/>
        <w:gridCol w:w="1558"/>
        <w:gridCol w:w="1417"/>
        <w:gridCol w:w="1550"/>
      </w:tblGrid>
      <w:tr>
        <w:trPr>
          <w:trHeight w:val="830" w:hRule="atLeast"/>
        </w:trPr>
        <w:tc>
          <w:tcPr>
            <w:tcW w:w="1447" w:type="dxa"/>
            <w:tcBorders>
              <w:top w:val="single" w:sz="4" w:space="0" w:color="000000"/>
              <w:left w:val="single" w:sz="4" w:space="0" w:color="000000"/>
              <w:bottom w:val="single" w:sz="4" w:space="0" w:color="000000"/>
            </w:tcBorders>
          </w:tcPr>
          <w:p>
            <w:pPr>
              <w:pStyle w:val="TableParagraph"/>
              <w:spacing w:line="242" w:lineRule="auto"/>
              <w:ind w:left="91"/>
              <w:rPr>
                <w:sz w:val="24"/>
              </w:rPr>
            </w:pPr>
            <w:r>
              <w:rPr>
                <w:spacing w:val="-2"/>
                <w:sz w:val="24"/>
              </w:rPr>
              <w:t>Dependent Variable</w:t>
            </w:r>
          </w:p>
        </w:tc>
        <w:tc>
          <w:tcPr>
            <w:tcW w:w="1551" w:type="dxa"/>
            <w:tcBorders>
              <w:top w:val="single" w:sz="4" w:space="0" w:color="000000"/>
              <w:bottom w:val="single" w:sz="4" w:space="0" w:color="000000"/>
            </w:tcBorders>
          </w:tcPr>
          <w:p>
            <w:pPr>
              <w:pStyle w:val="TableParagraph"/>
              <w:spacing w:line="271" w:lineRule="exact"/>
              <w:ind w:left="180"/>
              <w:rPr>
                <w:sz w:val="24"/>
              </w:rPr>
            </w:pPr>
            <w:r>
              <w:rPr>
                <w:sz w:val="24"/>
              </w:rPr>
              <w:t>(I) </w:t>
            </w:r>
            <w:r>
              <w:rPr>
                <w:spacing w:val="-2"/>
                <w:sz w:val="24"/>
              </w:rPr>
              <w:t>Status</w:t>
            </w:r>
          </w:p>
        </w:tc>
        <w:tc>
          <w:tcPr>
            <w:tcW w:w="1664" w:type="dxa"/>
            <w:tcBorders>
              <w:top w:val="single" w:sz="4" w:space="0" w:color="000000"/>
              <w:bottom w:val="single" w:sz="4" w:space="0" w:color="000000"/>
            </w:tcBorders>
          </w:tcPr>
          <w:p>
            <w:pPr>
              <w:pStyle w:val="TableParagraph"/>
              <w:spacing w:line="271" w:lineRule="exact"/>
              <w:ind w:left="246"/>
              <w:rPr>
                <w:sz w:val="24"/>
              </w:rPr>
            </w:pPr>
            <w:r>
              <w:rPr>
                <w:sz w:val="24"/>
              </w:rPr>
              <w:t>(J) </w:t>
            </w:r>
            <w:r>
              <w:rPr>
                <w:spacing w:val="-2"/>
                <w:sz w:val="24"/>
              </w:rPr>
              <w:t>Status</w:t>
            </w:r>
          </w:p>
        </w:tc>
        <w:tc>
          <w:tcPr>
            <w:tcW w:w="1558" w:type="dxa"/>
            <w:tcBorders>
              <w:top w:val="single" w:sz="4" w:space="0" w:color="000000"/>
              <w:bottom w:val="single" w:sz="4" w:space="0" w:color="000000"/>
            </w:tcBorders>
          </w:tcPr>
          <w:p>
            <w:pPr>
              <w:pStyle w:val="TableParagraph"/>
              <w:spacing w:line="271" w:lineRule="exact"/>
              <w:ind w:left="291"/>
              <w:rPr>
                <w:sz w:val="24"/>
              </w:rPr>
            </w:pPr>
            <w:r>
              <w:rPr>
                <w:spacing w:val="-4"/>
                <w:sz w:val="24"/>
              </w:rPr>
              <w:t>Mean</w:t>
            </w:r>
          </w:p>
          <w:p>
            <w:pPr>
              <w:pStyle w:val="TableParagraph"/>
              <w:spacing w:line="274" w:lineRule="exact"/>
              <w:ind w:left="291" w:right="251"/>
              <w:rPr>
                <w:sz w:val="24"/>
              </w:rPr>
            </w:pPr>
            <w:r>
              <w:rPr>
                <w:spacing w:val="-2"/>
                <w:sz w:val="24"/>
              </w:rPr>
              <w:t>differenc </w:t>
            </w:r>
            <w:r>
              <w:rPr>
                <w:sz w:val="24"/>
              </w:rPr>
              <w:t>e (I – J)</w:t>
            </w:r>
          </w:p>
        </w:tc>
        <w:tc>
          <w:tcPr>
            <w:tcW w:w="1417" w:type="dxa"/>
            <w:tcBorders>
              <w:top w:val="single" w:sz="4" w:space="0" w:color="000000"/>
              <w:bottom w:val="single" w:sz="4" w:space="0" w:color="000000"/>
            </w:tcBorders>
          </w:tcPr>
          <w:p>
            <w:pPr>
              <w:pStyle w:val="TableParagraph"/>
              <w:spacing w:line="275" w:lineRule="exact" w:before="134"/>
              <w:ind w:right="157"/>
              <w:jc w:val="right"/>
              <w:rPr>
                <w:sz w:val="24"/>
              </w:rPr>
            </w:pPr>
            <w:r>
              <w:rPr>
                <w:spacing w:val="-2"/>
                <w:sz w:val="24"/>
              </w:rPr>
              <w:t>Standard</w:t>
            </w:r>
          </w:p>
          <w:p>
            <w:pPr>
              <w:pStyle w:val="TableParagraph"/>
              <w:spacing w:line="275" w:lineRule="exact"/>
              <w:ind w:right="153"/>
              <w:jc w:val="right"/>
              <w:rPr>
                <w:sz w:val="24"/>
              </w:rPr>
            </w:pPr>
            <w:r>
              <w:rPr>
                <w:spacing w:val="-2"/>
                <w:sz w:val="24"/>
              </w:rPr>
              <w:t>Error</w:t>
            </w:r>
          </w:p>
        </w:tc>
        <w:tc>
          <w:tcPr>
            <w:tcW w:w="1550" w:type="dxa"/>
            <w:tcBorders>
              <w:top w:val="single" w:sz="4" w:space="0" w:color="000000"/>
              <w:bottom w:val="single" w:sz="4" w:space="0" w:color="000000"/>
              <w:right w:val="single" w:sz="4" w:space="0" w:color="000000"/>
            </w:tcBorders>
          </w:tcPr>
          <w:p>
            <w:pPr>
              <w:pStyle w:val="TableParagraph"/>
              <w:spacing w:before="274"/>
              <w:ind w:right="85"/>
              <w:jc w:val="right"/>
              <w:rPr>
                <w:sz w:val="24"/>
              </w:rPr>
            </w:pPr>
            <w:r>
              <w:rPr>
                <w:spacing w:val="-2"/>
                <w:sz w:val="24"/>
              </w:rPr>
              <w:t>Significance</w:t>
            </w:r>
          </w:p>
        </w:tc>
      </w:tr>
      <w:tr>
        <w:trPr>
          <w:trHeight w:val="274" w:hRule="atLeast"/>
        </w:trPr>
        <w:tc>
          <w:tcPr>
            <w:tcW w:w="1447" w:type="dxa"/>
            <w:tcBorders>
              <w:top w:val="single" w:sz="4" w:space="0" w:color="000000"/>
              <w:left w:val="single" w:sz="4" w:space="0" w:color="000000"/>
            </w:tcBorders>
          </w:tcPr>
          <w:p>
            <w:pPr>
              <w:pStyle w:val="TableParagraph"/>
              <w:rPr>
                <w:rFonts w:ascii="Times New Roman"/>
                <w:sz w:val="20"/>
              </w:rPr>
            </w:pPr>
          </w:p>
        </w:tc>
        <w:tc>
          <w:tcPr>
            <w:tcW w:w="1551" w:type="dxa"/>
            <w:tcBorders>
              <w:top w:val="single" w:sz="4" w:space="0" w:color="000000"/>
            </w:tcBorders>
          </w:tcPr>
          <w:p>
            <w:pPr>
              <w:pStyle w:val="TableParagraph"/>
              <w:spacing w:line="254" w:lineRule="exact"/>
              <w:ind w:left="180"/>
              <w:rPr>
                <w:sz w:val="24"/>
              </w:rPr>
            </w:pPr>
            <w:r>
              <w:rPr>
                <w:spacing w:val="-2"/>
                <w:sz w:val="24"/>
              </w:rPr>
              <w:t>Student</w:t>
            </w:r>
          </w:p>
        </w:tc>
        <w:tc>
          <w:tcPr>
            <w:tcW w:w="1664" w:type="dxa"/>
            <w:tcBorders>
              <w:top w:val="single" w:sz="4" w:space="0" w:color="000000"/>
            </w:tcBorders>
          </w:tcPr>
          <w:p>
            <w:pPr>
              <w:pStyle w:val="TableParagraph"/>
              <w:spacing w:line="254" w:lineRule="exact"/>
              <w:ind w:left="246"/>
              <w:rPr>
                <w:sz w:val="24"/>
              </w:rPr>
            </w:pPr>
            <w:r>
              <w:rPr>
                <w:spacing w:val="-4"/>
                <w:sz w:val="24"/>
              </w:rPr>
              <w:t>Staff</w:t>
            </w:r>
          </w:p>
        </w:tc>
        <w:tc>
          <w:tcPr>
            <w:tcW w:w="1558" w:type="dxa"/>
            <w:tcBorders>
              <w:top w:val="single" w:sz="4" w:space="0" w:color="000000"/>
            </w:tcBorders>
          </w:tcPr>
          <w:p>
            <w:pPr>
              <w:pStyle w:val="TableParagraph"/>
              <w:spacing w:line="254" w:lineRule="exact"/>
              <w:ind w:right="272"/>
              <w:jc w:val="right"/>
              <w:rPr>
                <w:sz w:val="24"/>
              </w:rPr>
            </w:pPr>
            <w:r>
              <w:rPr>
                <w:spacing w:val="-2"/>
                <w:sz w:val="24"/>
              </w:rPr>
              <w:t>.156(*)</w:t>
            </w:r>
          </w:p>
        </w:tc>
        <w:tc>
          <w:tcPr>
            <w:tcW w:w="1417" w:type="dxa"/>
            <w:tcBorders>
              <w:top w:val="single" w:sz="4" w:space="0" w:color="000000"/>
            </w:tcBorders>
          </w:tcPr>
          <w:p>
            <w:pPr>
              <w:pStyle w:val="TableParagraph"/>
              <w:spacing w:line="254" w:lineRule="exact"/>
              <w:ind w:right="153"/>
              <w:jc w:val="right"/>
              <w:rPr>
                <w:sz w:val="24"/>
              </w:rPr>
            </w:pPr>
            <w:r>
              <w:rPr>
                <w:spacing w:val="-4"/>
                <w:sz w:val="24"/>
              </w:rPr>
              <w:t>.063</w:t>
            </w:r>
          </w:p>
        </w:tc>
        <w:tc>
          <w:tcPr>
            <w:tcW w:w="1550" w:type="dxa"/>
            <w:tcBorders>
              <w:top w:val="single" w:sz="4" w:space="0" w:color="000000"/>
              <w:right w:val="single" w:sz="4" w:space="0" w:color="000000"/>
            </w:tcBorders>
          </w:tcPr>
          <w:p>
            <w:pPr>
              <w:pStyle w:val="TableParagraph"/>
              <w:spacing w:line="254" w:lineRule="exact"/>
              <w:ind w:right="85"/>
              <w:jc w:val="right"/>
              <w:rPr>
                <w:sz w:val="24"/>
              </w:rPr>
            </w:pPr>
            <w:r>
              <w:rPr>
                <w:spacing w:val="-4"/>
                <w:sz w:val="24"/>
              </w:rPr>
              <w:t>.048</w:t>
            </w:r>
          </w:p>
        </w:tc>
      </w:tr>
      <w:tr>
        <w:trPr>
          <w:trHeight w:val="275" w:hRule="atLeast"/>
        </w:trPr>
        <w:tc>
          <w:tcPr>
            <w:tcW w:w="1447" w:type="dxa"/>
            <w:tcBorders>
              <w:left w:val="single" w:sz="4" w:space="0" w:color="000000"/>
            </w:tcBorders>
          </w:tcPr>
          <w:p>
            <w:pPr>
              <w:pStyle w:val="TableParagraph"/>
              <w:rPr>
                <w:rFonts w:ascii="Times New Roman"/>
                <w:sz w:val="20"/>
              </w:rPr>
            </w:pPr>
          </w:p>
        </w:tc>
        <w:tc>
          <w:tcPr>
            <w:tcW w:w="1551" w:type="dxa"/>
          </w:tcPr>
          <w:p>
            <w:pPr>
              <w:pStyle w:val="TableParagraph"/>
              <w:rPr>
                <w:rFonts w:ascii="Times New Roman"/>
                <w:sz w:val="20"/>
              </w:rPr>
            </w:pPr>
          </w:p>
        </w:tc>
        <w:tc>
          <w:tcPr>
            <w:tcW w:w="1664" w:type="dxa"/>
          </w:tcPr>
          <w:p>
            <w:pPr>
              <w:pStyle w:val="TableParagraph"/>
              <w:spacing w:line="256" w:lineRule="exact"/>
              <w:ind w:left="246"/>
              <w:rPr>
                <w:sz w:val="24"/>
              </w:rPr>
            </w:pPr>
            <w:r>
              <w:rPr>
                <w:spacing w:val="-2"/>
                <w:sz w:val="24"/>
              </w:rPr>
              <w:t>Managmet</w:t>
            </w:r>
          </w:p>
        </w:tc>
        <w:tc>
          <w:tcPr>
            <w:tcW w:w="1558" w:type="dxa"/>
          </w:tcPr>
          <w:p>
            <w:pPr>
              <w:pStyle w:val="TableParagraph"/>
              <w:spacing w:line="256" w:lineRule="exact"/>
              <w:ind w:right="272"/>
              <w:jc w:val="right"/>
              <w:rPr>
                <w:sz w:val="24"/>
              </w:rPr>
            </w:pPr>
            <w:r>
              <w:rPr>
                <w:spacing w:val="-4"/>
                <w:sz w:val="24"/>
              </w:rPr>
              <w:t>.126</w:t>
            </w:r>
          </w:p>
        </w:tc>
        <w:tc>
          <w:tcPr>
            <w:tcW w:w="1417" w:type="dxa"/>
          </w:tcPr>
          <w:p>
            <w:pPr>
              <w:pStyle w:val="TableParagraph"/>
              <w:spacing w:line="256" w:lineRule="exact"/>
              <w:ind w:right="153"/>
              <w:jc w:val="right"/>
              <w:rPr>
                <w:sz w:val="24"/>
              </w:rPr>
            </w:pPr>
            <w:r>
              <w:rPr>
                <w:spacing w:val="-4"/>
                <w:sz w:val="24"/>
              </w:rPr>
              <w:t>.143</w:t>
            </w:r>
          </w:p>
        </w:tc>
        <w:tc>
          <w:tcPr>
            <w:tcW w:w="1550" w:type="dxa"/>
            <w:tcBorders>
              <w:right w:val="single" w:sz="4" w:space="0" w:color="000000"/>
            </w:tcBorders>
          </w:tcPr>
          <w:p>
            <w:pPr>
              <w:pStyle w:val="TableParagraph"/>
              <w:spacing w:line="256" w:lineRule="exact"/>
              <w:ind w:right="85"/>
              <w:jc w:val="right"/>
              <w:rPr>
                <w:sz w:val="24"/>
              </w:rPr>
            </w:pPr>
            <w:r>
              <w:rPr>
                <w:spacing w:val="-4"/>
                <w:sz w:val="24"/>
              </w:rPr>
              <w:t>.678</w:t>
            </w:r>
          </w:p>
        </w:tc>
      </w:tr>
      <w:tr>
        <w:trPr>
          <w:trHeight w:val="275" w:hRule="atLeast"/>
        </w:trPr>
        <w:tc>
          <w:tcPr>
            <w:tcW w:w="1447" w:type="dxa"/>
            <w:tcBorders>
              <w:left w:val="single" w:sz="4" w:space="0" w:color="000000"/>
            </w:tcBorders>
          </w:tcPr>
          <w:p>
            <w:pPr>
              <w:pStyle w:val="TableParagraph"/>
              <w:rPr>
                <w:rFonts w:ascii="Times New Roman"/>
                <w:sz w:val="20"/>
              </w:rPr>
            </w:pPr>
          </w:p>
        </w:tc>
        <w:tc>
          <w:tcPr>
            <w:tcW w:w="1551" w:type="dxa"/>
          </w:tcPr>
          <w:p>
            <w:pPr>
              <w:pStyle w:val="TableParagraph"/>
              <w:spacing w:line="256" w:lineRule="exact"/>
              <w:ind w:left="180"/>
              <w:rPr>
                <w:sz w:val="24"/>
              </w:rPr>
            </w:pPr>
            <w:r>
              <w:rPr>
                <w:spacing w:val="-4"/>
                <w:sz w:val="24"/>
              </w:rPr>
              <w:t>Staff</w:t>
            </w:r>
          </w:p>
        </w:tc>
        <w:tc>
          <w:tcPr>
            <w:tcW w:w="1664" w:type="dxa"/>
          </w:tcPr>
          <w:p>
            <w:pPr>
              <w:pStyle w:val="TableParagraph"/>
              <w:spacing w:line="256" w:lineRule="exact"/>
              <w:ind w:left="246"/>
              <w:rPr>
                <w:sz w:val="24"/>
              </w:rPr>
            </w:pPr>
            <w:r>
              <w:rPr>
                <w:spacing w:val="-2"/>
                <w:sz w:val="24"/>
              </w:rPr>
              <w:t>Student</w:t>
            </w:r>
          </w:p>
        </w:tc>
        <w:tc>
          <w:tcPr>
            <w:tcW w:w="1558" w:type="dxa"/>
          </w:tcPr>
          <w:p>
            <w:pPr>
              <w:pStyle w:val="TableParagraph"/>
              <w:spacing w:line="256" w:lineRule="exact"/>
              <w:ind w:right="272"/>
              <w:jc w:val="right"/>
              <w:rPr>
                <w:sz w:val="24"/>
              </w:rPr>
            </w:pPr>
            <w:r>
              <w:rPr>
                <w:sz w:val="24"/>
              </w:rPr>
              <w:t>-</w:t>
            </w:r>
            <w:r>
              <w:rPr>
                <w:spacing w:val="-2"/>
                <w:sz w:val="24"/>
              </w:rPr>
              <w:t>.156(*)</w:t>
            </w:r>
          </w:p>
        </w:tc>
        <w:tc>
          <w:tcPr>
            <w:tcW w:w="1417" w:type="dxa"/>
          </w:tcPr>
          <w:p>
            <w:pPr>
              <w:pStyle w:val="TableParagraph"/>
              <w:spacing w:line="256" w:lineRule="exact"/>
              <w:ind w:right="153"/>
              <w:jc w:val="right"/>
              <w:rPr>
                <w:sz w:val="24"/>
              </w:rPr>
            </w:pPr>
            <w:r>
              <w:rPr>
                <w:spacing w:val="-4"/>
                <w:sz w:val="24"/>
              </w:rPr>
              <w:t>.063</w:t>
            </w:r>
          </w:p>
        </w:tc>
        <w:tc>
          <w:tcPr>
            <w:tcW w:w="1550" w:type="dxa"/>
            <w:tcBorders>
              <w:right w:val="single" w:sz="4" w:space="0" w:color="000000"/>
            </w:tcBorders>
          </w:tcPr>
          <w:p>
            <w:pPr>
              <w:pStyle w:val="TableParagraph"/>
              <w:spacing w:line="256" w:lineRule="exact"/>
              <w:ind w:right="85"/>
              <w:jc w:val="right"/>
              <w:rPr>
                <w:sz w:val="24"/>
              </w:rPr>
            </w:pPr>
            <w:r>
              <w:rPr>
                <w:spacing w:val="-4"/>
                <w:sz w:val="24"/>
              </w:rPr>
              <w:t>.048</w:t>
            </w:r>
          </w:p>
        </w:tc>
      </w:tr>
      <w:tr>
        <w:trPr>
          <w:trHeight w:val="276" w:hRule="atLeast"/>
        </w:trPr>
        <w:tc>
          <w:tcPr>
            <w:tcW w:w="1447" w:type="dxa"/>
            <w:tcBorders>
              <w:left w:val="single" w:sz="4" w:space="0" w:color="000000"/>
            </w:tcBorders>
          </w:tcPr>
          <w:p>
            <w:pPr>
              <w:pStyle w:val="TableParagraph"/>
              <w:spacing w:line="256" w:lineRule="exact"/>
              <w:ind w:left="91"/>
              <w:rPr>
                <w:sz w:val="24"/>
              </w:rPr>
            </w:pPr>
            <w:r>
              <w:rPr>
                <w:spacing w:val="-2"/>
                <w:sz w:val="24"/>
              </w:rPr>
              <w:t>Medical</w:t>
            </w:r>
          </w:p>
        </w:tc>
        <w:tc>
          <w:tcPr>
            <w:tcW w:w="1551" w:type="dxa"/>
          </w:tcPr>
          <w:p>
            <w:pPr>
              <w:pStyle w:val="TableParagraph"/>
              <w:rPr>
                <w:rFonts w:ascii="Times New Roman"/>
                <w:sz w:val="20"/>
              </w:rPr>
            </w:pPr>
          </w:p>
        </w:tc>
        <w:tc>
          <w:tcPr>
            <w:tcW w:w="1664" w:type="dxa"/>
          </w:tcPr>
          <w:p>
            <w:pPr>
              <w:pStyle w:val="TableParagraph"/>
              <w:spacing w:line="256" w:lineRule="exact"/>
              <w:ind w:left="246"/>
              <w:rPr>
                <w:sz w:val="24"/>
              </w:rPr>
            </w:pPr>
            <w:r>
              <w:rPr>
                <w:spacing w:val="-2"/>
                <w:sz w:val="24"/>
              </w:rPr>
              <w:t>Managmet</w:t>
            </w:r>
          </w:p>
        </w:tc>
        <w:tc>
          <w:tcPr>
            <w:tcW w:w="1558" w:type="dxa"/>
          </w:tcPr>
          <w:p>
            <w:pPr>
              <w:pStyle w:val="TableParagraph"/>
              <w:spacing w:line="256" w:lineRule="exact"/>
              <w:ind w:right="272"/>
              <w:jc w:val="right"/>
              <w:rPr>
                <w:sz w:val="24"/>
              </w:rPr>
            </w:pPr>
            <w:r>
              <w:rPr>
                <w:sz w:val="24"/>
              </w:rPr>
              <w:t>-</w:t>
            </w:r>
            <w:r>
              <w:rPr>
                <w:spacing w:val="-4"/>
                <w:sz w:val="24"/>
              </w:rPr>
              <w:t>.030</w:t>
            </w:r>
          </w:p>
        </w:tc>
        <w:tc>
          <w:tcPr>
            <w:tcW w:w="1417" w:type="dxa"/>
          </w:tcPr>
          <w:p>
            <w:pPr>
              <w:pStyle w:val="TableParagraph"/>
              <w:spacing w:line="256" w:lineRule="exact"/>
              <w:ind w:right="153"/>
              <w:jc w:val="right"/>
              <w:rPr>
                <w:sz w:val="24"/>
              </w:rPr>
            </w:pPr>
            <w:r>
              <w:rPr>
                <w:spacing w:val="-4"/>
                <w:sz w:val="24"/>
              </w:rPr>
              <w:t>.144</w:t>
            </w:r>
          </w:p>
        </w:tc>
        <w:tc>
          <w:tcPr>
            <w:tcW w:w="1550" w:type="dxa"/>
            <w:tcBorders>
              <w:right w:val="single" w:sz="4" w:space="0" w:color="000000"/>
            </w:tcBorders>
          </w:tcPr>
          <w:p>
            <w:pPr>
              <w:pStyle w:val="TableParagraph"/>
              <w:spacing w:line="256" w:lineRule="exact"/>
              <w:ind w:right="85"/>
              <w:jc w:val="right"/>
              <w:rPr>
                <w:sz w:val="24"/>
              </w:rPr>
            </w:pPr>
            <w:r>
              <w:rPr>
                <w:spacing w:val="-4"/>
                <w:sz w:val="24"/>
              </w:rPr>
              <w:t>.979</w:t>
            </w:r>
          </w:p>
        </w:tc>
      </w:tr>
      <w:tr>
        <w:trPr>
          <w:trHeight w:val="334" w:hRule="atLeast"/>
        </w:trPr>
        <w:tc>
          <w:tcPr>
            <w:tcW w:w="1447" w:type="dxa"/>
            <w:tcBorders>
              <w:left w:val="single" w:sz="4" w:space="0" w:color="000000"/>
            </w:tcBorders>
          </w:tcPr>
          <w:p>
            <w:pPr>
              <w:pStyle w:val="TableParagraph"/>
              <w:rPr>
                <w:rFonts w:ascii="Times New Roman"/>
                <w:sz w:val="24"/>
              </w:rPr>
            </w:pPr>
          </w:p>
        </w:tc>
        <w:tc>
          <w:tcPr>
            <w:tcW w:w="1551" w:type="dxa"/>
          </w:tcPr>
          <w:p>
            <w:pPr>
              <w:pStyle w:val="TableParagraph"/>
              <w:spacing w:line="273" w:lineRule="exact"/>
              <w:ind w:left="180"/>
              <w:rPr>
                <w:sz w:val="24"/>
              </w:rPr>
            </w:pPr>
            <w:r>
              <w:rPr>
                <w:spacing w:val="-2"/>
                <w:sz w:val="24"/>
              </w:rPr>
              <w:t>Managmet</w:t>
            </w:r>
          </w:p>
        </w:tc>
        <w:tc>
          <w:tcPr>
            <w:tcW w:w="1664" w:type="dxa"/>
          </w:tcPr>
          <w:p>
            <w:pPr>
              <w:pStyle w:val="TableParagraph"/>
              <w:spacing w:line="273" w:lineRule="exact"/>
              <w:ind w:left="246"/>
              <w:rPr>
                <w:sz w:val="24"/>
              </w:rPr>
            </w:pPr>
            <w:r>
              <w:rPr>
                <w:spacing w:val="-2"/>
                <w:sz w:val="24"/>
              </w:rPr>
              <w:t>Student</w:t>
            </w:r>
          </w:p>
        </w:tc>
        <w:tc>
          <w:tcPr>
            <w:tcW w:w="1558" w:type="dxa"/>
          </w:tcPr>
          <w:p>
            <w:pPr>
              <w:pStyle w:val="TableParagraph"/>
              <w:spacing w:line="273" w:lineRule="exact"/>
              <w:ind w:right="272"/>
              <w:jc w:val="right"/>
              <w:rPr>
                <w:sz w:val="24"/>
              </w:rPr>
            </w:pPr>
            <w:r>
              <w:rPr>
                <w:sz w:val="24"/>
              </w:rPr>
              <w:t>-</w:t>
            </w:r>
            <w:r>
              <w:rPr>
                <w:spacing w:val="-4"/>
                <w:sz w:val="24"/>
              </w:rPr>
              <w:t>.126</w:t>
            </w:r>
          </w:p>
        </w:tc>
        <w:tc>
          <w:tcPr>
            <w:tcW w:w="1417" w:type="dxa"/>
          </w:tcPr>
          <w:p>
            <w:pPr>
              <w:pStyle w:val="TableParagraph"/>
              <w:spacing w:line="273" w:lineRule="exact"/>
              <w:ind w:right="153"/>
              <w:jc w:val="right"/>
              <w:rPr>
                <w:sz w:val="24"/>
              </w:rPr>
            </w:pPr>
            <w:r>
              <w:rPr>
                <w:spacing w:val="-4"/>
                <w:sz w:val="24"/>
              </w:rPr>
              <w:t>.143</w:t>
            </w:r>
          </w:p>
        </w:tc>
        <w:tc>
          <w:tcPr>
            <w:tcW w:w="1550" w:type="dxa"/>
            <w:tcBorders>
              <w:right w:val="single" w:sz="4" w:space="0" w:color="000000"/>
            </w:tcBorders>
          </w:tcPr>
          <w:p>
            <w:pPr>
              <w:pStyle w:val="TableParagraph"/>
              <w:spacing w:line="273" w:lineRule="exact"/>
              <w:ind w:right="85"/>
              <w:jc w:val="right"/>
              <w:rPr>
                <w:sz w:val="24"/>
              </w:rPr>
            </w:pPr>
            <w:r>
              <w:rPr>
                <w:spacing w:val="-4"/>
                <w:sz w:val="24"/>
              </w:rPr>
              <w:t>.678</w:t>
            </w:r>
          </w:p>
        </w:tc>
      </w:tr>
      <w:tr>
        <w:trPr>
          <w:trHeight w:val="492" w:hRule="atLeast"/>
        </w:trPr>
        <w:tc>
          <w:tcPr>
            <w:tcW w:w="1447" w:type="dxa"/>
            <w:tcBorders>
              <w:left w:val="single" w:sz="4" w:space="0" w:color="000000"/>
              <w:bottom w:val="single" w:sz="4" w:space="0" w:color="000000"/>
            </w:tcBorders>
          </w:tcPr>
          <w:p>
            <w:pPr>
              <w:pStyle w:val="TableParagraph"/>
              <w:rPr>
                <w:rFonts w:ascii="Times New Roman"/>
                <w:sz w:val="24"/>
              </w:rPr>
            </w:pPr>
          </w:p>
        </w:tc>
        <w:tc>
          <w:tcPr>
            <w:tcW w:w="1551" w:type="dxa"/>
            <w:tcBorders>
              <w:bottom w:val="single" w:sz="4" w:space="0" w:color="000000"/>
            </w:tcBorders>
          </w:tcPr>
          <w:p>
            <w:pPr>
              <w:pStyle w:val="TableParagraph"/>
              <w:rPr>
                <w:rFonts w:ascii="Times New Roman"/>
                <w:sz w:val="24"/>
              </w:rPr>
            </w:pPr>
          </w:p>
        </w:tc>
        <w:tc>
          <w:tcPr>
            <w:tcW w:w="1664" w:type="dxa"/>
            <w:tcBorders>
              <w:bottom w:val="single" w:sz="4" w:space="0" w:color="000000"/>
            </w:tcBorders>
          </w:tcPr>
          <w:p>
            <w:pPr>
              <w:pStyle w:val="TableParagraph"/>
              <w:spacing w:line="213" w:lineRule="exact"/>
              <w:ind w:left="246"/>
              <w:rPr>
                <w:sz w:val="24"/>
              </w:rPr>
            </w:pPr>
            <w:r>
              <w:rPr>
                <w:spacing w:val="-4"/>
                <w:sz w:val="24"/>
              </w:rPr>
              <w:t>Staff</w:t>
            </w:r>
          </w:p>
        </w:tc>
        <w:tc>
          <w:tcPr>
            <w:tcW w:w="1558" w:type="dxa"/>
            <w:tcBorders>
              <w:bottom w:val="single" w:sz="4" w:space="0" w:color="000000"/>
            </w:tcBorders>
          </w:tcPr>
          <w:p>
            <w:pPr>
              <w:pStyle w:val="TableParagraph"/>
              <w:spacing w:before="76"/>
              <w:ind w:right="272"/>
              <w:jc w:val="right"/>
              <w:rPr>
                <w:sz w:val="24"/>
              </w:rPr>
            </w:pPr>
            <w:r>
              <w:rPr>
                <w:spacing w:val="-4"/>
                <w:sz w:val="24"/>
              </w:rPr>
              <w:t>.030</w:t>
            </w:r>
          </w:p>
        </w:tc>
        <w:tc>
          <w:tcPr>
            <w:tcW w:w="1417" w:type="dxa"/>
            <w:tcBorders>
              <w:bottom w:val="single" w:sz="4" w:space="0" w:color="000000"/>
            </w:tcBorders>
          </w:tcPr>
          <w:p>
            <w:pPr>
              <w:pStyle w:val="TableParagraph"/>
              <w:spacing w:before="76"/>
              <w:ind w:right="153"/>
              <w:jc w:val="right"/>
              <w:rPr>
                <w:sz w:val="24"/>
              </w:rPr>
            </w:pPr>
            <w:r>
              <w:rPr>
                <w:spacing w:val="-4"/>
                <w:sz w:val="24"/>
              </w:rPr>
              <w:t>.144</w:t>
            </w:r>
          </w:p>
        </w:tc>
        <w:tc>
          <w:tcPr>
            <w:tcW w:w="1550" w:type="dxa"/>
            <w:tcBorders>
              <w:bottom w:val="single" w:sz="4" w:space="0" w:color="000000"/>
              <w:right w:val="single" w:sz="4" w:space="0" w:color="000000"/>
            </w:tcBorders>
          </w:tcPr>
          <w:p>
            <w:pPr>
              <w:pStyle w:val="TableParagraph"/>
              <w:spacing w:before="76"/>
              <w:ind w:right="85"/>
              <w:jc w:val="right"/>
              <w:rPr>
                <w:sz w:val="24"/>
              </w:rPr>
            </w:pPr>
            <w:r>
              <w:rPr>
                <w:spacing w:val="-4"/>
                <w:sz w:val="24"/>
              </w:rPr>
              <w:t>.979</w:t>
            </w:r>
          </w:p>
        </w:tc>
      </w:tr>
    </w:tbl>
    <w:p>
      <w:pPr>
        <w:pStyle w:val="BodyText"/>
        <w:ind w:left="254"/>
      </w:pPr>
      <w:r>
        <w:rPr/>
        <w:t>*Mean</w:t>
      </w:r>
      <w:r>
        <w:rPr>
          <w:spacing w:val="-6"/>
        </w:rPr>
        <w:t> </w:t>
      </w:r>
      <w:r>
        <w:rPr/>
        <w:t>difference</w:t>
      </w:r>
      <w:r>
        <w:rPr>
          <w:spacing w:val="-10"/>
        </w:rPr>
        <w:t> </w:t>
      </w:r>
      <w:r>
        <w:rPr/>
        <w:t>is</w:t>
      </w:r>
      <w:r>
        <w:rPr>
          <w:spacing w:val="-6"/>
        </w:rPr>
        <w:t> </w:t>
      </w:r>
      <w:r>
        <w:rPr/>
        <w:t>significant</w:t>
      </w:r>
      <w:r>
        <w:rPr>
          <w:spacing w:val="-7"/>
        </w:rPr>
        <w:t> </w:t>
      </w:r>
      <w:r>
        <w:rPr/>
        <w:t>at</w:t>
      </w:r>
      <w:r>
        <w:rPr>
          <w:spacing w:val="-7"/>
        </w:rPr>
        <w:t> </w:t>
      </w:r>
      <w:r>
        <w:rPr/>
        <w:t>the</w:t>
      </w:r>
      <w:r>
        <w:rPr>
          <w:spacing w:val="-6"/>
        </w:rPr>
        <w:t> </w:t>
      </w:r>
      <w:r>
        <w:rPr/>
        <w:t>.05</w:t>
      </w:r>
      <w:r>
        <w:rPr>
          <w:spacing w:val="-9"/>
        </w:rPr>
        <w:t> </w:t>
      </w:r>
      <w:r>
        <w:rPr>
          <w:spacing w:val="-2"/>
        </w:rPr>
        <w:t>level.</w:t>
      </w:r>
    </w:p>
    <w:p>
      <w:pPr>
        <w:pStyle w:val="BodyText"/>
        <w:spacing w:line="480" w:lineRule="auto" w:before="274"/>
        <w:ind w:left="840" w:right="553" w:firstLine="720"/>
        <w:jc w:val="both"/>
      </w:pPr>
      <w:r>
        <w:rPr/>
        <w:t>It is evident</w:t>
      </w:r>
      <w:r>
        <w:rPr>
          <w:spacing w:val="80"/>
        </w:rPr>
        <w:t> </w:t>
      </w:r>
      <w:r>
        <w:rPr/>
        <w:t>from scheffe’s test that differences existed in the opinions of the three groups of respondents on the availability and adequacy of medical and health facilities in these universities. The mean difference of service staff and management seemed to agree while the opinion of students was significantly different as shown by their mean differences which are lower, particularly between students and service staff. This revealed the unconformity of students with the other two groups on the issue that relates to the availability of the medical and Health facilities in the system. Most students submitted that the facilities were lacking. This revealed that there was need to improve on the provision of medical and Health facilities in these Universities.</w:t>
      </w:r>
    </w:p>
    <w:p>
      <w:pPr>
        <w:spacing w:after="0" w:line="480" w:lineRule="auto"/>
        <w:jc w:val="both"/>
        <w:sectPr>
          <w:headerReference w:type="default" r:id="rId423"/>
          <w:footerReference w:type="default" r:id="rId424"/>
          <w:pgSz w:w="12240" w:h="15840"/>
          <w:pgMar w:header="722" w:footer="791" w:top="980" w:bottom="980" w:left="1320" w:right="880"/>
        </w:sectPr>
      </w:pPr>
    </w:p>
    <w:p>
      <w:pPr>
        <w:pStyle w:val="BodyText"/>
        <w:spacing w:before="172"/>
      </w:pPr>
    </w:p>
    <w:p>
      <w:pPr>
        <w:pStyle w:val="Heading4"/>
        <w:numPr>
          <w:ilvl w:val="2"/>
          <w:numId w:val="43"/>
        </w:numPr>
        <w:tabs>
          <w:tab w:pos="837" w:val="left" w:leader="none"/>
        </w:tabs>
        <w:spacing w:line="240" w:lineRule="auto" w:before="0" w:after="0"/>
        <w:ind w:left="837" w:right="0" w:hanging="717"/>
        <w:jc w:val="left"/>
      </w:pPr>
      <w:r>
        <w:rPr/>
        <w:t>Null</w:t>
      </w:r>
      <w:r>
        <w:rPr>
          <w:spacing w:val="-11"/>
        </w:rPr>
        <w:t> </w:t>
      </w:r>
      <w:r>
        <w:rPr/>
        <w:t>Hypothesis</w:t>
      </w:r>
      <w:r>
        <w:rPr>
          <w:spacing w:val="-10"/>
        </w:rPr>
        <w:t> 5</w:t>
      </w:r>
    </w:p>
    <w:p>
      <w:pPr>
        <w:pStyle w:val="BodyText"/>
        <w:spacing w:before="45"/>
        <w:rPr>
          <w:rFonts w:ascii="Arial"/>
          <w:b/>
        </w:rPr>
      </w:pPr>
    </w:p>
    <w:p>
      <w:pPr>
        <w:pStyle w:val="BodyText"/>
        <w:spacing w:line="480" w:lineRule="auto"/>
        <w:ind w:left="840" w:right="556" w:firstLine="720"/>
        <w:jc w:val="both"/>
      </w:pPr>
      <w:r>
        <w:rPr/>
        <w:t>There is no significant difference in the opinions of students, service staff and top management staff in respect of the availability and adequacy of environmental services in universities in the three geopolitical zones in the Northern part of Nigeria.</w:t>
      </w:r>
    </w:p>
    <w:p>
      <w:pPr>
        <w:pStyle w:val="BodyText"/>
        <w:spacing w:line="480" w:lineRule="auto"/>
        <w:ind w:left="840" w:right="554" w:firstLine="720"/>
        <w:jc w:val="both"/>
      </w:pPr>
      <w:r>
        <w:rPr/>
        <w:t>Data collected on the responses of respondents pertaining to the availability</w:t>
      </w:r>
      <w:r>
        <w:rPr>
          <w:spacing w:val="-7"/>
        </w:rPr>
        <w:t> </w:t>
      </w:r>
      <w:r>
        <w:rPr/>
        <w:t>and</w:t>
      </w:r>
      <w:r>
        <w:rPr>
          <w:spacing w:val="-1"/>
        </w:rPr>
        <w:t> </w:t>
      </w:r>
      <w:r>
        <w:rPr/>
        <w:t>adequacy</w:t>
      </w:r>
      <w:r>
        <w:rPr>
          <w:spacing w:val="-2"/>
        </w:rPr>
        <w:t> </w:t>
      </w:r>
      <w:r>
        <w:rPr/>
        <w:t>of</w:t>
      </w:r>
      <w:r>
        <w:rPr>
          <w:spacing w:val="-2"/>
        </w:rPr>
        <w:t> </w:t>
      </w:r>
      <w:r>
        <w:rPr/>
        <w:t>environmental services</w:t>
      </w:r>
      <w:r>
        <w:rPr>
          <w:spacing w:val="-7"/>
        </w:rPr>
        <w:t> </w:t>
      </w:r>
      <w:r>
        <w:rPr/>
        <w:t>in</w:t>
      </w:r>
      <w:r>
        <w:rPr>
          <w:spacing w:val="40"/>
        </w:rPr>
        <w:t> </w:t>
      </w:r>
      <w:r>
        <w:rPr/>
        <w:t>universities</w:t>
      </w:r>
      <w:r>
        <w:rPr>
          <w:spacing w:val="-2"/>
        </w:rPr>
        <w:t> </w:t>
      </w:r>
      <w:r>
        <w:rPr/>
        <w:t>were</w:t>
      </w:r>
      <w:r>
        <w:rPr>
          <w:spacing w:val="-1"/>
        </w:rPr>
        <w:t> </w:t>
      </w:r>
      <w:r>
        <w:rPr/>
        <w:t>obtained from items 28 to 32 of the questionnaire. Specifically, the items included conducive environment for learning and teaching, the tone of the universities, student-teacher relationship, student-student relationship and sense of belongingness, freedom, safety etc. To test the hypothesis, One</w:t>
      </w:r>
      <w:r>
        <w:rPr>
          <w:spacing w:val="-5"/>
        </w:rPr>
        <w:t> </w:t>
      </w:r>
      <w:r>
        <w:rPr/>
        <w:t>Way Analysis of Variance (ANOVA) statistical procedure was employed and differences of respondents’ opinions were noted, recorded and summarized as contained in table 4.5.7.</w:t>
      </w:r>
    </w:p>
    <w:p>
      <w:pPr>
        <w:pStyle w:val="Heading2"/>
        <w:ind w:left="2428" w:right="585" w:hanging="1589"/>
      </w:pPr>
      <w:r>
        <w:rPr/>
        <w:t>Table 4.5.7: One way Analysis of variance (ANOVA) on the availability</w:t>
      </w:r>
      <w:r>
        <w:rPr>
          <w:spacing w:val="-10"/>
        </w:rPr>
        <w:t> </w:t>
      </w:r>
      <w:r>
        <w:rPr/>
        <w:t>and</w:t>
      </w:r>
      <w:r>
        <w:rPr>
          <w:spacing w:val="-6"/>
        </w:rPr>
        <w:t> </w:t>
      </w:r>
      <w:r>
        <w:rPr/>
        <w:t>adequacy</w:t>
      </w:r>
      <w:r>
        <w:rPr>
          <w:spacing w:val="-10"/>
        </w:rPr>
        <w:t> </w:t>
      </w:r>
      <w:r>
        <w:rPr/>
        <w:t>of</w:t>
      </w:r>
      <w:r>
        <w:rPr>
          <w:spacing w:val="-10"/>
        </w:rPr>
        <w:t> </w:t>
      </w:r>
      <w:r>
        <w:rPr/>
        <w:t>environmental</w:t>
      </w:r>
      <w:r>
        <w:rPr>
          <w:spacing w:val="-5"/>
        </w:rPr>
        <w:t> </w:t>
      </w:r>
      <w:r>
        <w:rPr/>
        <w:t>services in universities in the three geopolitical zones in the Northern part of Nigeria</w:t>
      </w:r>
    </w:p>
    <w:p>
      <w:pPr>
        <w:pStyle w:val="BodyText"/>
        <w:spacing w:before="95"/>
        <w:rPr>
          <w:rFonts w:ascii="Arial"/>
          <w:b/>
          <w:sz w:val="20"/>
        </w:rPr>
      </w:pPr>
    </w:p>
    <w:tbl>
      <w:tblPr>
        <w:tblW w:w="0" w:type="auto"/>
        <w:jc w:val="left"/>
        <w:tblInd w:w="1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63"/>
        <w:gridCol w:w="820"/>
        <w:gridCol w:w="1458"/>
        <w:gridCol w:w="1441"/>
        <w:gridCol w:w="1284"/>
        <w:gridCol w:w="1495"/>
      </w:tblGrid>
      <w:tr>
        <w:trPr>
          <w:trHeight w:val="551" w:hRule="atLeast"/>
        </w:trPr>
        <w:tc>
          <w:tcPr>
            <w:tcW w:w="1963" w:type="dxa"/>
            <w:tcBorders>
              <w:top w:val="single" w:sz="4" w:space="0" w:color="000000"/>
              <w:left w:val="single" w:sz="4" w:space="0" w:color="000000"/>
              <w:bottom w:val="single" w:sz="4" w:space="0" w:color="000000"/>
            </w:tcBorders>
          </w:tcPr>
          <w:p>
            <w:pPr>
              <w:pStyle w:val="TableParagraph"/>
              <w:spacing w:line="267" w:lineRule="exact"/>
              <w:ind w:left="431"/>
              <w:rPr>
                <w:rFonts w:ascii="Arial"/>
                <w:b/>
                <w:sz w:val="24"/>
              </w:rPr>
            </w:pPr>
            <w:r>
              <w:rPr>
                <w:rFonts w:ascii="Arial"/>
                <w:b/>
                <w:sz w:val="24"/>
              </w:rPr>
              <w:t>Source</w:t>
            </w:r>
            <w:r>
              <w:rPr>
                <w:rFonts w:ascii="Arial"/>
                <w:b/>
                <w:spacing w:val="-12"/>
                <w:sz w:val="24"/>
              </w:rPr>
              <w:t> </w:t>
            </w:r>
            <w:r>
              <w:rPr>
                <w:rFonts w:ascii="Arial"/>
                <w:b/>
                <w:spacing w:val="-5"/>
                <w:sz w:val="24"/>
              </w:rPr>
              <w:t>of</w:t>
            </w:r>
          </w:p>
          <w:p>
            <w:pPr>
              <w:pStyle w:val="TableParagraph"/>
              <w:spacing w:line="263" w:lineRule="exact" w:before="2"/>
              <w:ind w:left="484"/>
              <w:rPr>
                <w:rFonts w:ascii="Arial"/>
                <w:b/>
                <w:sz w:val="24"/>
              </w:rPr>
            </w:pPr>
            <w:r>
              <w:rPr>
                <w:rFonts w:ascii="Arial"/>
                <w:b/>
                <w:spacing w:val="-2"/>
                <w:sz w:val="24"/>
              </w:rPr>
              <w:t>variation</w:t>
            </w:r>
          </w:p>
        </w:tc>
        <w:tc>
          <w:tcPr>
            <w:tcW w:w="820" w:type="dxa"/>
            <w:tcBorders>
              <w:top w:val="single" w:sz="4" w:space="0" w:color="000000"/>
              <w:bottom w:val="single" w:sz="4" w:space="0" w:color="000000"/>
            </w:tcBorders>
          </w:tcPr>
          <w:p>
            <w:pPr>
              <w:pStyle w:val="TableParagraph"/>
              <w:spacing w:line="267" w:lineRule="exact"/>
              <w:ind w:left="302"/>
              <w:rPr>
                <w:rFonts w:ascii="Arial"/>
                <w:b/>
                <w:sz w:val="24"/>
              </w:rPr>
            </w:pPr>
            <w:r>
              <w:rPr>
                <w:rFonts w:ascii="Arial"/>
                <w:b/>
                <w:spacing w:val="-5"/>
                <w:sz w:val="24"/>
              </w:rPr>
              <w:t>DF</w:t>
            </w:r>
          </w:p>
        </w:tc>
        <w:tc>
          <w:tcPr>
            <w:tcW w:w="1458" w:type="dxa"/>
            <w:tcBorders>
              <w:top w:val="single" w:sz="4" w:space="0" w:color="000000"/>
              <w:bottom w:val="single" w:sz="4" w:space="0" w:color="000000"/>
            </w:tcBorders>
          </w:tcPr>
          <w:p>
            <w:pPr>
              <w:pStyle w:val="TableParagraph"/>
              <w:spacing w:line="267" w:lineRule="exact"/>
              <w:ind w:left="413"/>
              <w:rPr>
                <w:rFonts w:ascii="Arial"/>
                <w:b/>
                <w:sz w:val="24"/>
              </w:rPr>
            </w:pPr>
            <w:r>
              <w:rPr>
                <w:rFonts w:ascii="Arial"/>
                <w:b/>
                <w:sz w:val="24"/>
              </w:rPr>
              <w:t>Sum</w:t>
            </w:r>
            <w:r>
              <w:rPr>
                <w:rFonts w:ascii="Arial"/>
                <w:b/>
                <w:spacing w:val="-13"/>
                <w:sz w:val="24"/>
              </w:rPr>
              <w:t> </w:t>
            </w:r>
            <w:r>
              <w:rPr>
                <w:rFonts w:ascii="Arial"/>
                <w:b/>
                <w:spacing w:val="-5"/>
                <w:sz w:val="24"/>
              </w:rPr>
              <w:t>of</w:t>
            </w:r>
          </w:p>
          <w:p>
            <w:pPr>
              <w:pStyle w:val="TableParagraph"/>
              <w:spacing w:line="263" w:lineRule="exact" w:before="2"/>
              <w:ind w:left="356"/>
              <w:rPr>
                <w:rFonts w:ascii="Arial"/>
                <w:b/>
                <w:sz w:val="24"/>
              </w:rPr>
            </w:pPr>
            <w:r>
              <w:rPr>
                <w:rFonts w:ascii="Arial"/>
                <w:b/>
                <w:spacing w:val="-2"/>
                <w:sz w:val="24"/>
              </w:rPr>
              <w:t>squares</w:t>
            </w:r>
          </w:p>
        </w:tc>
        <w:tc>
          <w:tcPr>
            <w:tcW w:w="1441" w:type="dxa"/>
            <w:tcBorders>
              <w:top w:val="single" w:sz="4" w:space="0" w:color="000000"/>
              <w:bottom w:val="single" w:sz="4" w:space="0" w:color="000000"/>
            </w:tcBorders>
          </w:tcPr>
          <w:p>
            <w:pPr>
              <w:pStyle w:val="TableParagraph"/>
              <w:spacing w:line="267" w:lineRule="exact"/>
              <w:ind w:left="164"/>
              <w:jc w:val="center"/>
              <w:rPr>
                <w:rFonts w:ascii="Arial"/>
                <w:b/>
                <w:sz w:val="24"/>
              </w:rPr>
            </w:pPr>
            <w:r>
              <w:rPr>
                <w:rFonts w:ascii="Arial"/>
                <w:b/>
                <w:spacing w:val="-4"/>
                <w:sz w:val="24"/>
              </w:rPr>
              <w:t>Mean</w:t>
            </w:r>
          </w:p>
          <w:p>
            <w:pPr>
              <w:pStyle w:val="TableParagraph"/>
              <w:spacing w:line="263" w:lineRule="exact" w:before="2"/>
              <w:ind w:left="164" w:right="8"/>
              <w:jc w:val="center"/>
              <w:rPr>
                <w:rFonts w:ascii="Arial"/>
                <w:b/>
                <w:sz w:val="24"/>
              </w:rPr>
            </w:pPr>
            <w:r>
              <w:rPr>
                <w:rFonts w:ascii="Arial"/>
                <w:b/>
                <w:spacing w:val="-2"/>
                <w:sz w:val="24"/>
              </w:rPr>
              <w:t>squares</w:t>
            </w:r>
          </w:p>
        </w:tc>
        <w:tc>
          <w:tcPr>
            <w:tcW w:w="1284" w:type="dxa"/>
            <w:tcBorders>
              <w:top w:val="single" w:sz="4" w:space="0" w:color="000000"/>
              <w:bottom w:val="single" w:sz="4" w:space="0" w:color="000000"/>
            </w:tcBorders>
          </w:tcPr>
          <w:p>
            <w:pPr>
              <w:pStyle w:val="TableParagraph"/>
              <w:spacing w:line="267" w:lineRule="exact"/>
              <w:ind w:left="260"/>
              <w:rPr>
                <w:rFonts w:ascii="Arial"/>
                <w:b/>
                <w:sz w:val="24"/>
              </w:rPr>
            </w:pPr>
            <w:r>
              <w:rPr>
                <w:rFonts w:ascii="Arial"/>
                <w:b/>
                <w:sz w:val="24"/>
              </w:rPr>
              <w:t>F.</w:t>
            </w:r>
            <w:r>
              <w:rPr>
                <w:rFonts w:ascii="Arial"/>
                <w:b/>
                <w:spacing w:val="-1"/>
                <w:sz w:val="24"/>
              </w:rPr>
              <w:t> </w:t>
            </w:r>
            <w:r>
              <w:rPr>
                <w:rFonts w:ascii="Arial"/>
                <w:b/>
                <w:spacing w:val="-2"/>
                <w:sz w:val="24"/>
              </w:rPr>
              <w:t>Ratio</w:t>
            </w:r>
          </w:p>
        </w:tc>
        <w:tc>
          <w:tcPr>
            <w:tcW w:w="1495" w:type="dxa"/>
            <w:tcBorders>
              <w:top w:val="single" w:sz="4" w:space="0" w:color="000000"/>
              <w:bottom w:val="single" w:sz="4" w:space="0" w:color="000000"/>
              <w:right w:val="single" w:sz="4" w:space="0" w:color="000000"/>
            </w:tcBorders>
          </w:tcPr>
          <w:p>
            <w:pPr>
              <w:pStyle w:val="TableParagraph"/>
              <w:spacing w:line="267" w:lineRule="exact"/>
              <w:ind w:left="51" w:right="4"/>
              <w:jc w:val="center"/>
              <w:rPr>
                <w:rFonts w:ascii="Arial"/>
                <w:b/>
                <w:sz w:val="24"/>
              </w:rPr>
            </w:pPr>
            <w:r>
              <w:rPr>
                <w:rFonts w:ascii="Arial"/>
                <w:b/>
                <w:spacing w:val="-5"/>
                <w:sz w:val="24"/>
              </w:rPr>
              <w:t>F.</w:t>
            </w:r>
          </w:p>
          <w:p>
            <w:pPr>
              <w:pStyle w:val="TableParagraph"/>
              <w:spacing w:line="263" w:lineRule="exact" w:before="2"/>
              <w:ind w:left="51"/>
              <w:jc w:val="center"/>
              <w:rPr>
                <w:rFonts w:ascii="Arial"/>
                <w:b/>
                <w:sz w:val="24"/>
              </w:rPr>
            </w:pPr>
            <w:r>
              <w:rPr>
                <w:rFonts w:ascii="Arial"/>
                <w:b/>
                <w:spacing w:val="-2"/>
                <w:sz w:val="24"/>
              </w:rPr>
              <w:t>Probability</w:t>
            </w:r>
          </w:p>
        </w:tc>
      </w:tr>
      <w:tr>
        <w:trPr>
          <w:trHeight w:val="348" w:hRule="atLeast"/>
        </w:trPr>
        <w:tc>
          <w:tcPr>
            <w:tcW w:w="1963" w:type="dxa"/>
            <w:tcBorders>
              <w:top w:val="single" w:sz="4" w:space="0" w:color="000000"/>
              <w:left w:val="single" w:sz="4" w:space="0" w:color="000000"/>
            </w:tcBorders>
          </w:tcPr>
          <w:p>
            <w:pPr>
              <w:pStyle w:val="TableParagraph"/>
              <w:ind w:left="105"/>
              <w:rPr>
                <w:sz w:val="24"/>
              </w:rPr>
            </w:pPr>
            <w:r>
              <w:rPr>
                <w:sz w:val="24"/>
              </w:rPr>
              <w:t>Between</w:t>
            </w:r>
            <w:r>
              <w:rPr>
                <w:spacing w:val="-13"/>
                <w:sz w:val="24"/>
              </w:rPr>
              <w:t> </w:t>
            </w:r>
            <w:r>
              <w:rPr>
                <w:spacing w:val="-2"/>
                <w:sz w:val="24"/>
              </w:rPr>
              <w:t>groups</w:t>
            </w:r>
          </w:p>
        </w:tc>
        <w:tc>
          <w:tcPr>
            <w:tcW w:w="820" w:type="dxa"/>
            <w:tcBorders>
              <w:top w:val="single" w:sz="4" w:space="0" w:color="000000"/>
            </w:tcBorders>
          </w:tcPr>
          <w:p>
            <w:pPr>
              <w:pStyle w:val="TableParagraph"/>
              <w:ind w:left="125"/>
              <w:rPr>
                <w:sz w:val="24"/>
              </w:rPr>
            </w:pPr>
            <w:r>
              <w:rPr>
                <w:spacing w:val="-10"/>
                <w:sz w:val="24"/>
              </w:rPr>
              <w:t>2</w:t>
            </w:r>
          </w:p>
        </w:tc>
        <w:tc>
          <w:tcPr>
            <w:tcW w:w="1458" w:type="dxa"/>
            <w:tcBorders>
              <w:top w:val="single" w:sz="4" w:space="0" w:color="000000"/>
            </w:tcBorders>
          </w:tcPr>
          <w:p>
            <w:pPr>
              <w:pStyle w:val="TableParagraph"/>
              <w:ind w:left="207"/>
              <w:rPr>
                <w:sz w:val="24"/>
              </w:rPr>
            </w:pPr>
            <w:r>
              <w:rPr>
                <w:spacing w:val="-2"/>
                <w:sz w:val="24"/>
              </w:rPr>
              <w:t>6.5729</w:t>
            </w:r>
          </w:p>
        </w:tc>
        <w:tc>
          <w:tcPr>
            <w:tcW w:w="1441" w:type="dxa"/>
            <w:tcBorders>
              <w:top w:val="single" w:sz="4" w:space="0" w:color="000000"/>
            </w:tcBorders>
          </w:tcPr>
          <w:p>
            <w:pPr>
              <w:pStyle w:val="TableParagraph"/>
              <w:ind w:left="189"/>
              <w:rPr>
                <w:sz w:val="24"/>
              </w:rPr>
            </w:pPr>
            <w:r>
              <w:rPr>
                <w:spacing w:val="-2"/>
                <w:sz w:val="24"/>
              </w:rPr>
              <w:t>3.2865</w:t>
            </w:r>
          </w:p>
        </w:tc>
        <w:tc>
          <w:tcPr>
            <w:tcW w:w="1284" w:type="dxa"/>
            <w:tcBorders>
              <w:top w:val="single" w:sz="4" w:space="0" w:color="000000"/>
            </w:tcBorders>
          </w:tcPr>
          <w:p>
            <w:pPr>
              <w:pStyle w:val="TableParagraph"/>
              <w:ind w:left="188"/>
              <w:rPr>
                <w:sz w:val="24"/>
              </w:rPr>
            </w:pPr>
            <w:r>
              <w:rPr>
                <w:spacing w:val="-2"/>
                <w:sz w:val="24"/>
              </w:rPr>
              <w:t>6.9430</w:t>
            </w:r>
          </w:p>
        </w:tc>
        <w:tc>
          <w:tcPr>
            <w:tcW w:w="1495" w:type="dxa"/>
            <w:tcBorders>
              <w:top w:val="single" w:sz="4" w:space="0" w:color="000000"/>
              <w:right w:val="single" w:sz="4" w:space="0" w:color="000000"/>
            </w:tcBorders>
          </w:tcPr>
          <w:p>
            <w:pPr>
              <w:pStyle w:val="TableParagraph"/>
              <w:ind w:left="147"/>
              <w:rPr>
                <w:sz w:val="24"/>
              </w:rPr>
            </w:pPr>
            <w:r>
              <w:rPr>
                <w:spacing w:val="-2"/>
                <w:sz w:val="24"/>
              </w:rPr>
              <w:t>0.0011</w:t>
            </w:r>
          </w:p>
        </w:tc>
      </w:tr>
      <w:tr>
        <w:trPr>
          <w:trHeight w:val="481" w:hRule="atLeast"/>
        </w:trPr>
        <w:tc>
          <w:tcPr>
            <w:tcW w:w="1963" w:type="dxa"/>
            <w:tcBorders>
              <w:left w:val="single" w:sz="4" w:space="0" w:color="000000"/>
              <w:bottom w:val="single" w:sz="4" w:space="0" w:color="000000"/>
            </w:tcBorders>
          </w:tcPr>
          <w:p>
            <w:pPr>
              <w:pStyle w:val="TableParagraph"/>
              <w:spacing w:before="64"/>
              <w:ind w:left="105"/>
              <w:rPr>
                <w:sz w:val="24"/>
              </w:rPr>
            </w:pPr>
            <w:r>
              <w:rPr>
                <w:sz w:val="24"/>
              </w:rPr>
              <w:t>Within</w:t>
            </w:r>
            <w:r>
              <w:rPr>
                <w:spacing w:val="-3"/>
                <w:sz w:val="24"/>
              </w:rPr>
              <w:t> </w:t>
            </w:r>
            <w:r>
              <w:rPr>
                <w:spacing w:val="-2"/>
                <w:sz w:val="24"/>
              </w:rPr>
              <w:t>groups</w:t>
            </w:r>
          </w:p>
        </w:tc>
        <w:tc>
          <w:tcPr>
            <w:tcW w:w="820" w:type="dxa"/>
            <w:tcBorders>
              <w:bottom w:val="single" w:sz="4" w:space="0" w:color="000000"/>
            </w:tcBorders>
          </w:tcPr>
          <w:p>
            <w:pPr>
              <w:pStyle w:val="TableParagraph"/>
              <w:spacing w:before="64"/>
              <w:ind w:left="125"/>
              <w:rPr>
                <w:sz w:val="24"/>
              </w:rPr>
            </w:pPr>
            <w:r>
              <w:rPr>
                <w:spacing w:val="-5"/>
                <w:sz w:val="24"/>
              </w:rPr>
              <w:t>458</w:t>
            </w:r>
          </w:p>
        </w:tc>
        <w:tc>
          <w:tcPr>
            <w:tcW w:w="1458" w:type="dxa"/>
            <w:tcBorders>
              <w:bottom w:val="single" w:sz="4" w:space="0" w:color="000000"/>
            </w:tcBorders>
          </w:tcPr>
          <w:p>
            <w:pPr>
              <w:pStyle w:val="TableParagraph"/>
              <w:spacing w:before="64"/>
              <w:ind w:left="207"/>
              <w:rPr>
                <w:sz w:val="24"/>
              </w:rPr>
            </w:pPr>
            <w:r>
              <w:rPr>
                <w:spacing w:val="-2"/>
                <w:sz w:val="24"/>
              </w:rPr>
              <w:t>216.7940</w:t>
            </w:r>
          </w:p>
        </w:tc>
        <w:tc>
          <w:tcPr>
            <w:tcW w:w="1441" w:type="dxa"/>
            <w:tcBorders>
              <w:bottom w:val="single" w:sz="4" w:space="0" w:color="000000"/>
            </w:tcBorders>
          </w:tcPr>
          <w:p>
            <w:pPr>
              <w:pStyle w:val="TableParagraph"/>
              <w:spacing w:before="64"/>
              <w:ind w:left="189"/>
              <w:rPr>
                <w:sz w:val="24"/>
              </w:rPr>
            </w:pPr>
            <w:r>
              <w:rPr>
                <w:spacing w:val="-2"/>
                <w:sz w:val="24"/>
              </w:rPr>
              <w:t>.4733</w:t>
            </w:r>
          </w:p>
        </w:tc>
        <w:tc>
          <w:tcPr>
            <w:tcW w:w="1284" w:type="dxa"/>
            <w:tcBorders>
              <w:bottom w:val="single" w:sz="4" w:space="0" w:color="000000"/>
            </w:tcBorders>
          </w:tcPr>
          <w:p>
            <w:pPr>
              <w:pStyle w:val="TableParagraph"/>
              <w:rPr>
                <w:rFonts w:ascii="Times New Roman"/>
                <w:sz w:val="24"/>
              </w:rPr>
            </w:pPr>
          </w:p>
        </w:tc>
        <w:tc>
          <w:tcPr>
            <w:tcW w:w="1495" w:type="dxa"/>
            <w:tcBorders>
              <w:bottom w:val="single" w:sz="4" w:space="0" w:color="000000"/>
              <w:right w:val="single" w:sz="4" w:space="0" w:color="000000"/>
            </w:tcBorders>
          </w:tcPr>
          <w:p>
            <w:pPr>
              <w:pStyle w:val="TableParagraph"/>
              <w:rPr>
                <w:rFonts w:ascii="Times New Roman"/>
                <w:sz w:val="24"/>
              </w:rPr>
            </w:pPr>
          </w:p>
        </w:tc>
      </w:tr>
      <w:tr>
        <w:trPr>
          <w:trHeight w:val="277" w:hRule="atLeast"/>
        </w:trPr>
        <w:tc>
          <w:tcPr>
            <w:tcW w:w="1963" w:type="dxa"/>
            <w:tcBorders>
              <w:top w:val="single" w:sz="4" w:space="0" w:color="000000"/>
              <w:left w:val="single" w:sz="4" w:space="0" w:color="000000"/>
              <w:bottom w:val="single" w:sz="4" w:space="0" w:color="000000"/>
            </w:tcBorders>
          </w:tcPr>
          <w:p>
            <w:pPr>
              <w:pStyle w:val="TableParagraph"/>
              <w:spacing w:line="258" w:lineRule="exact"/>
              <w:ind w:left="105"/>
              <w:rPr>
                <w:sz w:val="24"/>
              </w:rPr>
            </w:pPr>
            <w:r>
              <w:rPr>
                <w:spacing w:val="-2"/>
                <w:sz w:val="24"/>
              </w:rPr>
              <w:t>Total</w:t>
            </w:r>
          </w:p>
        </w:tc>
        <w:tc>
          <w:tcPr>
            <w:tcW w:w="820" w:type="dxa"/>
            <w:tcBorders>
              <w:top w:val="single" w:sz="4" w:space="0" w:color="000000"/>
              <w:bottom w:val="single" w:sz="4" w:space="0" w:color="000000"/>
            </w:tcBorders>
          </w:tcPr>
          <w:p>
            <w:pPr>
              <w:pStyle w:val="TableParagraph"/>
              <w:spacing w:line="258" w:lineRule="exact"/>
              <w:ind w:left="125"/>
              <w:rPr>
                <w:sz w:val="24"/>
              </w:rPr>
            </w:pPr>
            <w:r>
              <w:rPr>
                <w:spacing w:val="-5"/>
                <w:sz w:val="24"/>
              </w:rPr>
              <w:t>460</w:t>
            </w:r>
          </w:p>
        </w:tc>
        <w:tc>
          <w:tcPr>
            <w:tcW w:w="1458" w:type="dxa"/>
            <w:tcBorders>
              <w:top w:val="single" w:sz="4" w:space="0" w:color="000000"/>
              <w:bottom w:val="single" w:sz="4" w:space="0" w:color="000000"/>
            </w:tcBorders>
          </w:tcPr>
          <w:p>
            <w:pPr>
              <w:pStyle w:val="TableParagraph"/>
              <w:spacing w:line="258" w:lineRule="exact"/>
              <w:ind w:left="207"/>
              <w:rPr>
                <w:sz w:val="24"/>
              </w:rPr>
            </w:pPr>
            <w:r>
              <w:rPr>
                <w:spacing w:val="-2"/>
                <w:sz w:val="24"/>
              </w:rPr>
              <w:t>223.3669</w:t>
            </w:r>
          </w:p>
        </w:tc>
        <w:tc>
          <w:tcPr>
            <w:tcW w:w="1441" w:type="dxa"/>
            <w:tcBorders>
              <w:top w:val="single" w:sz="4" w:space="0" w:color="000000"/>
              <w:bottom w:val="single" w:sz="4" w:space="0" w:color="000000"/>
            </w:tcBorders>
          </w:tcPr>
          <w:p>
            <w:pPr>
              <w:pStyle w:val="TableParagraph"/>
              <w:rPr>
                <w:rFonts w:ascii="Times New Roman"/>
                <w:sz w:val="20"/>
              </w:rPr>
            </w:pPr>
          </w:p>
        </w:tc>
        <w:tc>
          <w:tcPr>
            <w:tcW w:w="1284" w:type="dxa"/>
            <w:tcBorders>
              <w:top w:val="single" w:sz="4" w:space="0" w:color="000000"/>
              <w:bottom w:val="single" w:sz="4" w:space="0" w:color="000000"/>
            </w:tcBorders>
          </w:tcPr>
          <w:p>
            <w:pPr>
              <w:pStyle w:val="TableParagraph"/>
              <w:rPr>
                <w:rFonts w:ascii="Times New Roman"/>
                <w:sz w:val="20"/>
              </w:rPr>
            </w:pPr>
          </w:p>
        </w:tc>
        <w:tc>
          <w:tcPr>
            <w:tcW w:w="1495" w:type="dxa"/>
            <w:tcBorders>
              <w:top w:val="single" w:sz="4" w:space="0" w:color="000000"/>
              <w:bottom w:val="single" w:sz="4" w:space="0" w:color="000000"/>
              <w:right w:val="single" w:sz="4" w:space="0" w:color="000000"/>
            </w:tcBorders>
          </w:tcPr>
          <w:p>
            <w:pPr>
              <w:pStyle w:val="TableParagraph"/>
              <w:rPr>
                <w:rFonts w:ascii="Times New Roman"/>
                <w:sz w:val="20"/>
              </w:rPr>
            </w:pPr>
          </w:p>
        </w:tc>
      </w:tr>
    </w:tbl>
    <w:p>
      <w:pPr>
        <w:pStyle w:val="Heading4"/>
        <w:ind w:left="1560"/>
      </w:pPr>
      <w:r>
        <w:rPr/>
        <w:t>Probability</w:t>
      </w:r>
      <w:r>
        <w:rPr>
          <w:spacing w:val="-9"/>
        </w:rPr>
        <w:t> </w:t>
      </w:r>
      <w:r>
        <w:rPr/>
        <w:t>value</w:t>
      </w:r>
      <w:r>
        <w:rPr>
          <w:spacing w:val="-4"/>
        </w:rPr>
        <w:t> </w:t>
      </w:r>
      <w:r>
        <w:rPr/>
        <w:t>&lt;</w:t>
      </w:r>
      <w:r>
        <w:rPr>
          <w:spacing w:val="-6"/>
        </w:rPr>
        <w:t> </w:t>
      </w:r>
      <w:r>
        <w:rPr/>
        <w:t>0.05</w:t>
      </w:r>
      <w:r>
        <w:rPr>
          <w:spacing w:val="-5"/>
        </w:rPr>
        <w:t> </w:t>
      </w:r>
      <w:r>
        <w:rPr/>
        <w:t>=&gt;</w:t>
      </w:r>
      <w:r>
        <w:rPr>
          <w:spacing w:val="-6"/>
        </w:rPr>
        <w:t> </w:t>
      </w:r>
      <w:r>
        <w:rPr/>
        <w:t>HO</w:t>
      </w:r>
      <w:r>
        <w:rPr>
          <w:spacing w:val="-5"/>
        </w:rPr>
        <w:t> Rjt</w:t>
      </w:r>
    </w:p>
    <w:p>
      <w:pPr>
        <w:pStyle w:val="BodyText"/>
        <w:spacing w:line="480" w:lineRule="auto" w:before="274"/>
        <w:ind w:left="840" w:right="553" w:firstLine="720"/>
        <w:jc w:val="both"/>
      </w:pPr>
      <w:r>
        <w:rPr/>
        <w:t>It could be observed in able 4.5.7 above that the computed F. probability</w:t>
      </w:r>
      <w:r>
        <w:rPr>
          <w:spacing w:val="80"/>
        </w:rPr>
        <w:t> </w:t>
      </w:r>
      <w:r>
        <w:rPr/>
        <w:t>is</w:t>
      </w:r>
      <w:r>
        <w:rPr>
          <w:spacing w:val="68"/>
        </w:rPr>
        <w:t> </w:t>
      </w:r>
      <w:r>
        <w:rPr/>
        <w:t>0.0011.</w:t>
      </w:r>
      <w:r>
        <w:rPr>
          <w:spacing w:val="69"/>
        </w:rPr>
        <w:t> </w:t>
      </w:r>
      <w:r>
        <w:rPr/>
        <w:t>This</w:t>
      </w:r>
      <w:r>
        <w:rPr>
          <w:spacing w:val="64"/>
        </w:rPr>
        <w:t> </w:t>
      </w:r>
      <w:r>
        <w:rPr/>
        <w:t>is</w:t>
      </w:r>
      <w:r>
        <w:rPr>
          <w:spacing w:val="68"/>
        </w:rPr>
        <w:t> </w:t>
      </w:r>
      <w:r>
        <w:rPr/>
        <w:t>far</w:t>
      </w:r>
      <w:r>
        <w:rPr>
          <w:spacing w:val="70"/>
        </w:rPr>
        <w:t> </w:t>
      </w:r>
      <w:r>
        <w:rPr/>
        <w:t>below</w:t>
      </w:r>
      <w:r>
        <w:rPr>
          <w:spacing w:val="64"/>
        </w:rPr>
        <w:t> </w:t>
      </w:r>
      <w:r>
        <w:rPr/>
        <w:t>the</w:t>
      </w:r>
      <w:r>
        <w:rPr>
          <w:spacing w:val="71"/>
        </w:rPr>
        <w:t> </w:t>
      </w:r>
      <w:r>
        <w:rPr/>
        <w:t>accepted</w:t>
      </w:r>
      <w:r>
        <w:rPr>
          <w:spacing w:val="65"/>
        </w:rPr>
        <w:t> </w:t>
      </w:r>
      <w:r>
        <w:rPr/>
        <w:t>P-value</w:t>
      </w:r>
      <w:r>
        <w:rPr>
          <w:spacing w:val="70"/>
        </w:rPr>
        <w:t> </w:t>
      </w:r>
      <w:r>
        <w:rPr/>
        <w:t>0.05</w:t>
      </w:r>
      <w:r>
        <w:rPr>
          <w:spacing w:val="70"/>
        </w:rPr>
        <w:t>  </w:t>
      </w:r>
      <w:r>
        <w:rPr/>
        <w:t>set</w:t>
      </w:r>
      <w:r>
        <w:rPr>
          <w:spacing w:val="69"/>
        </w:rPr>
        <w:t> </w:t>
      </w:r>
      <w:r>
        <w:rPr/>
        <w:t>for</w:t>
      </w:r>
      <w:r>
        <w:rPr>
          <w:spacing w:val="70"/>
        </w:rPr>
        <w:t> </w:t>
      </w:r>
      <w:r>
        <w:rPr/>
        <w:t>the</w:t>
      </w:r>
      <w:r>
        <w:rPr>
          <w:spacing w:val="69"/>
        </w:rPr>
        <w:t> </w:t>
      </w:r>
      <w:r>
        <w:rPr>
          <w:spacing w:val="-2"/>
        </w:rPr>
        <w:t>study.</w:t>
      </w:r>
    </w:p>
    <w:p>
      <w:pPr>
        <w:spacing w:after="0" w:line="480" w:lineRule="auto"/>
        <w:jc w:val="both"/>
        <w:sectPr>
          <w:headerReference w:type="default" r:id="rId425"/>
          <w:footerReference w:type="default" r:id="rId426"/>
          <w:pgSz w:w="12240" w:h="15840"/>
          <w:pgMar w:header="722" w:footer="791" w:top="980" w:bottom="980" w:left="1320" w:right="880"/>
        </w:sectPr>
      </w:pPr>
    </w:p>
    <w:p>
      <w:pPr>
        <w:pStyle w:val="BodyText"/>
        <w:spacing w:before="171"/>
      </w:pPr>
    </w:p>
    <w:p>
      <w:pPr>
        <w:pStyle w:val="BodyText"/>
        <w:spacing w:line="480" w:lineRule="auto"/>
        <w:ind w:left="840" w:right="557"/>
        <w:jc w:val="both"/>
      </w:pPr>
      <w:r>
        <w:rPr/>
        <w:t>Therefore, HO was rejected.</w:t>
      </w:r>
      <w:r>
        <w:rPr>
          <w:spacing w:val="80"/>
        </w:rPr>
        <w:t> </w:t>
      </w:r>
      <w:r>
        <w:rPr/>
        <w:t>With this value, it could be concluded that there was significant difference in the opinions of respondents pertaining to the availability and adequacy of environmental services in these Universities.</w:t>
      </w:r>
    </w:p>
    <w:p>
      <w:pPr>
        <w:pStyle w:val="BodyText"/>
        <w:spacing w:line="480" w:lineRule="auto" w:before="1"/>
        <w:ind w:left="840" w:right="556" w:firstLine="720"/>
        <w:jc w:val="both"/>
      </w:pPr>
      <w:r>
        <w:rPr/>
        <w:t>To</w:t>
      </w:r>
      <w:r>
        <w:rPr>
          <w:spacing w:val="-1"/>
        </w:rPr>
        <w:t> </w:t>
      </w:r>
      <w:r>
        <w:rPr/>
        <w:t>find</w:t>
      </w:r>
      <w:r>
        <w:rPr>
          <w:spacing w:val="-1"/>
        </w:rPr>
        <w:t> </w:t>
      </w:r>
      <w:r>
        <w:rPr/>
        <w:t>out</w:t>
      </w:r>
      <w:r>
        <w:rPr>
          <w:spacing w:val="-2"/>
        </w:rPr>
        <w:t> </w:t>
      </w:r>
      <w:r>
        <w:rPr/>
        <w:t>the</w:t>
      </w:r>
      <w:r>
        <w:rPr>
          <w:spacing w:val="-1"/>
        </w:rPr>
        <w:t> </w:t>
      </w:r>
      <w:r>
        <w:rPr/>
        <w:t>degree</w:t>
      </w:r>
      <w:r>
        <w:rPr>
          <w:spacing w:val="-5"/>
        </w:rPr>
        <w:t> </w:t>
      </w:r>
      <w:r>
        <w:rPr/>
        <w:t>of</w:t>
      </w:r>
      <w:r>
        <w:rPr>
          <w:spacing w:val="-2"/>
        </w:rPr>
        <w:t> </w:t>
      </w:r>
      <w:r>
        <w:rPr/>
        <w:t>relationship</w:t>
      </w:r>
      <w:r>
        <w:rPr>
          <w:spacing w:val="-5"/>
        </w:rPr>
        <w:t> </w:t>
      </w:r>
      <w:r>
        <w:rPr/>
        <w:t>in</w:t>
      </w:r>
      <w:r>
        <w:rPr>
          <w:spacing w:val="-1"/>
        </w:rPr>
        <w:t> </w:t>
      </w:r>
      <w:r>
        <w:rPr/>
        <w:t>the</w:t>
      </w:r>
      <w:r>
        <w:rPr>
          <w:spacing w:val="-1"/>
        </w:rPr>
        <w:t> </w:t>
      </w:r>
      <w:r>
        <w:rPr/>
        <w:t>opinions</w:t>
      </w:r>
      <w:r>
        <w:rPr>
          <w:spacing w:val="-7"/>
        </w:rPr>
        <w:t> </w:t>
      </w:r>
      <w:r>
        <w:rPr/>
        <w:t>of</w:t>
      </w:r>
      <w:r>
        <w:rPr>
          <w:spacing w:val="-2"/>
        </w:rPr>
        <w:t> </w:t>
      </w:r>
      <w:r>
        <w:rPr/>
        <w:t>respondents</w:t>
      </w:r>
      <w:r>
        <w:rPr>
          <w:spacing w:val="-2"/>
        </w:rPr>
        <w:t> </w:t>
      </w:r>
      <w:r>
        <w:rPr/>
        <w:t>on</w:t>
      </w:r>
      <w:r>
        <w:rPr>
          <w:spacing w:val="-1"/>
        </w:rPr>
        <w:t> </w:t>
      </w:r>
      <w:r>
        <w:rPr/>
        <w:t>the issue of the availability and adequacy of the environmental resources in the university system, scheffe’s test was carried out and the results of the test are presented in table 4.5.8.</w:t>
      </w:r>
    </w:p>
    <w:p>
      <w:pPr>
        <w:pStyle w:val="Heading2"/>
        <w:ind w:left="2568" w:right="562" w:hanging="1728"/>
        <w:jc w:val="both"/>
      </w:pPr>
      <w:r>
        <w:rPr/>
        <w:t>Table</w:t>
      </w:r>
      <w:r>
        <w:rPr>
          <w:spacing w:val="-3"/>
        </w:rPr>
        <w:t> </w:t>
      </w:r>
      <w:r>
        <w:rPr/>
        <w:t>4.5.8:</w:t>
      </w:r>
      <w:r>
        <w:rPr>
          <w:spacing w:val="40"/>
        </w:rPr>
        <w:t> </w:t>
      </w:r>
      <w:r>
        <w:rPr/>
        <w:t>Scheffe’s Multiple Comparison test on the opinions of students, service staff and</w:t>
      </w:r>
      <w:r>
        <w:rPr>
          <w:spacing w:val="-1"/>
        </w:rPr>
        <w:t> </w:t>
      </w:r>
      <w:r>
        <w:rPr/>
        <w:t>top</w:t>
      </w:r>
      <w:r>
        <w:rPr>
          <w:spacing w:val="-1"/>
        </w:rPr>
        <w:t> </w:t>
      </w:r>
      <w:r>
        <w:rPr/>
        <w:t>management staff on the availability and adequacy of environmental services in</w:t>
      </w:r>
      <w:r>
        <w:rPr>
          <w:spacing w:val="40"/>
        </w:rPr>
        <w:t> </w:t>
      </w:r>
      <w:r>
        <w:rPr/>
        <w:t>universities in the three geopolitical zones in</w:t>
      </w:r>
      <w:r>
        <w:rPr>
          <w:spacing w:val="40"/>
        </w:rPr>
        <w:t> </w:t>
      </w:r>
      <w:r>
        <w:rPr/>
        <w:t>Northern part of Nigeria</w:t>
      </w:r>
    </w:p>
    <w:p>
      <w:pPr>
        <w:pStyle w:val="BodyText"/>
        <w:spacing w:before="51"/>
        <w:rPr>
          <w:rFonts w:ascii="Arial"/>
          <w:b/>
          <w:sz w:val="20"/>
        </w:rPr>
      </w:pPr>
    </w:p>
    <w:tbl>
      <w:tblPr>
        <w:tblW w:w="0" w:type="auto"/>
        <w:jc w:val="left"/>
        <w:tblInd w:w="1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6"/>
        <w:gridCol w:w="1692"/>
        <w:gridCol w:w="1620"/>
        <w:gridCol w:w="1514"/>
        <w:gridCol w:w="1289"/>
        <w:gridCol w:w="1671"/>
      </w:tblGrid>
      <w:tr>
        <w:trPr>
          <w:trHeight w:val="825" w:hRule="atLeast"/>
        </w:trPr>
        <w:tc>
          <w:tcPr>
            <w:tcW w:w="1756" w:type="dxa"/>
            <w:tcBorders>
              <w:top w:val="single" w:sz="4" w:space="0" w:color="000000"/>
              <w:left w:val="single" w:sz="4" w:space="0" w:color="000000"/>
              <w:bottom w:val="single" w:sz="4" w:space="0" w:color="000000"/>
            </w:tcBorders>
          </w:tcPr>
          <w:p>
            <w:pPr>
              <w:pStyle w:val="TableParagraph"/>
              <w:spacing w:line="237" w:lineRule="auto"/>
              <w:ind w:left="91"/>
              <w:rPr>
                <w:sz w:val="24"/>
              </w:rPr>
            </w:pPr>
            <w:r>
              <w:rPr>
                <w:spacing w:val="-2"/>
                <w:sz w:val="24"/>
              </w:rPr>
              <w:t>Dependent Variable</w:t>
            </w:r>
          </w:p>
        </w:tc>
        <w:tc>
          <w:tcPr>
            <w:tcW w:w="1692" w:type="dxa"/>
            <w:tcBorders>
              <w:top w:val="single" w:sz="4" w:space="0" w:color="000000"/>
              <w:bottom w:val="single" w:sz="4" w:space="0" w:color="000000"/>
            </w:tcBorders>
          </w:tcPr>
          <w:p>
            <w:pPr>
              <w:pStyle w:val="TableParagraph"/>
              <w:spacing w:line="271" w:lineRule="exact"/>
              <w:ind w:left="322"/>
              <w:rPr>
                <w:sz w:val="24"/>
              </w:rPr>
            </w:pPr>
            <w:r>
              <w:rPr>
                <w:sz w:val="24"/>
              </w:rPr>
              <w:t>(I) </w:t>
            </w:r>
            <w:r>
              <w:rPr>
                <w:spacing w:val="-2"/>
                <w:sz w:val="24"/>
              </w:rPr>
              <w:t>Status</w:t>
            </w:r>
          </w:p>
        </w:tc>
        <w:tc>
          <w:tcPr>
            <w:tcW w:w="1620" w:type="dxa"/>
            <w:tcBorders>
              <w:top w:val="single" w:sz="4" w:space="0" w:color="000000"/>
              <w:bottom w:val="single" w:sz="4" w:space="0" w:color="000000"/>
            </w:tcBorders>
          </w:tcPr>
          <w:p>
            <w:pPr>
              <w:pStyle w:val="TableParagraph"/>
              <w:spacing w:line="271" w:lineRule="exact"/>
              <w:ind w:left="248"/>
              <w:rPr>
                <w:sz w:val="24"/>
              </w:rPr>
            </w:pPr>
            <w:r>
              <w:rPr>
                <w:sz w:val="24"/>
              </w:rPr>
              <w:t>(J) </w:t>
            </w:r>
            <w:r>
              <w:rPr>
                <w:spacing w:val="-2"/>
                <w:sz w:val="24"/>
              </w:rPr>
              <w:t>Status</w:t>
            </w:r>
          </w:p>
        </w:tc>
        <w:tc>
          <w:tcPr>
            <w:tcW w:w="1514" w:type="dxa"/>
            <w:tcBorders>
              <w:top w:val="single" w:sz="4" w:space="0" w:color="000000"/>
              <w:bottom w:val="single" w:sz="4" w:space="0" w:color="000000"/>
            </w:tcBorders>
          </w:tcPr>
          <w:p>
            <w:pPr>
              <w:pStyle w:val="TableParagraph"/>
              <w:spacing w:line="237" w:lineRule="auto"/>
              <w:ind w:left="250"/>
              <w:rPr>
                <w:sz w:val="24"/>
              </w:rPr>
            </w:pPr>
            <w:r>
              <w:rPr>
                <w:spacing w:val="-4"/>
                <w:sz w:val="24"/>
              </w:rPr>
              <w:t>Mean </w:t>
            </w:r>
            <w:r>
              <w:rPr>
                <w:spacing w:val="-2"/>
                <w:sz w:val="24"/>
              </w:rPr>
              <w:t>Difference</w:t>
            </w:r>
          </w:p>
          <w:p>
            <w:pPr>
              <w:pStyle w:val="TableParagraph"/>
              <w:spacing w:line="258" w:lineRule="exact" w:before="1"/>
              <w:ind w:left="250"/>
              <w:rPr>
                <w:sz w:val="24"/>
              </w:rPr>
            </w:pPr>
            <w:r>
              <w:rPr>
                <w:spacing w:val="-2"/>
                <w:sz w:val="24"/>
              </w:rPr>
              <w:t>(I-</w:t>
            </w:r>
            <w:r>
              <w:rPr>
                <w:spacing w:val="-5"/>
                <w:sz w:val="24"/>
              </w:rPr>
              <w:t>J)</w:t>
            </w:r>
          </w:p>
        </w:tc>
        <w:tc>
          <w:tcPr>
            <w:tcW w:w="1289" w:type="dxa"/>
            <w:tcBorders>
              <w:top w:val="single" w:sz="4" w:space="0" w:color="000000"/>
              <w:bottom w:val="single" w:sz="4" w:space="0" w:color="000000"/>
            </w:tcBorders>
          </w:tcPr>
          <w:p>
            <w:pPr>
              <w:pStyle w:val="TableParagraph"/>
              <w:spacing w:line="237" w:lineRule="auto" w:before="137"/>
              <w:ind w:left="176"/>
              <w:rPr>
                <w:sz w:val="24"/>
              </w:rPr>
            </w:pPr>
            <w:r>
              <w:rPr>
                <w:spacing w:val="-2"/>
                <w:sz w:val="24"/>
              </w:rPr>
              <w:t>Standard Error</w:t>
            </w:r>
          </w:p>
        </w:tc>
        <w:tc>
          <w:tcPr>
            <w:tcW w:w="1671" w:type="dxa"/>
            <w:tcBorders>
              <w:top w:val="single" w:sz="4" w:space="0" w:color="000000"/>
              <w:bottom w:val="single" w:sz="4" w:space="0" w:color="000000"/>
              <w:right w:val="single" w:sz="4" w:space="0" w:color="000000"/>
            </w:tcBorders>
          </w:tcPr>
          <w:p>
            <w:pPr>
              <w:pStyle w:val="TableParagraph"/>
              <w:spacing w:before="269"/>
              <w:ind w:left="145"/>
              <w:rPr>
                <w:sz w:val="24"/>
              </w:rPr>
            </w:pPr>
            <w:r>
              <w:rPr>
                <w:spacing w:val="-2"/>
                <w:sz w:val="24"/>
              </w:rPr>
              <w:t>Significance</w:t>
            </w:r>
          </w:p>
        </w:tc>
      </w:tr>
      <w:tr>
        <w:trPr>
          <w:trHeight w:val="276" w:hRule="atLeast"/>
        </w:trPr>
        <w:tc>
          <w:tcPr>
            <w:tcW w:w="1756" w:type="dxa"/>
            <w:tcBorders>
              <w:top w:val="single" w:sz="4" w:space="0" w:color="000000"/>
              <w:left w:val="single" w:sz="4" w:space="0" w:color="000000"/>
            </w:tcBorders>
          </w:tcPr>
          <w:p>
            <w:pPr>
              <w:pStyle w:val="TableParagraph"/>
              <w:rPr>
                <w:rFonts w:ascii="Times New Roman"/>
                <w:sz w:val="20"/>
              </w:rPr>
            </w:pPr>
          </w:p>
        </w:tc>
        <w:tc>
          <w:tcPr>
            <w:tcW w:w="1692" w:type="dxa"/>
            <w:tcBorders>
              <w:top w:val="single" w:sz="4" w:space="0" w:color="000000"/>
            </w:tcBorders>
          </w:tcPr>
          <w:p>
            <w:pPr>
              <w:pStyle w:val="TableParagraph"/>
              <w:spacing w:line="257" w:lineRule="exact"/>
              <w:ind w:left="322"/>
              <w:rPr>
                <w:sz w:val="24"/>
              </w:rPr>
            </w:pPr>
            <w:r>
              <w:rPr>
                <w:spacing w:val="-4"/>
                <w:sz w:val="24"/>
              </w:rPr>
              <w:t>Staff</w:t>
            </w:r>
          </w:p>
        </w:tc>
        <w:tc>
          <w:tcPr>
            <w:tcW w:w="1620" w:type="dxa"/>
            <w:tcBorders>
              <w:top w:val="single" w:sz="4" w:space="0" w:color="000000"/>
            </w:tcBorders>
          </w:tcPr>
          <w:p>
            <w:pPr>
              <w:pStyle w:val="TableParagraph"/>
              <w:spacing w:line="257" w:lineRule="exact"/>
              <w:ind w:left="248"/>
              <w:rPr>
                <w:sz w:val="24"/>
              </w:rPr>
            </w:pPr>
            <w:r>
              <w:rPr>
                <w:spacing w:val="-2"/>
                <w:sz w:val="24"/>
              </w:rPr>
              <w:t>Managmet</w:t>
            </w:r>
          </w:p>
        </w:tc>
        <w:tc>
          <w:tcPr>
            <w:tcW w:w="1514" w:type="dxa"/>
            <w:tcBorders>
              <w:top w:val="single" w:sz="4" w:space="0" w:color="000000"/>
            </w:tcBorders>
          </w:tcPr>
          <w:p>
            <w:pPr>
              <w:pStyle w:val="TableParagraph"/>
              <w:spacing w:line="257" w:lineRule="exact"/>
              <w:ind w:left="250"/>
              <w:rPr>
                <w:sz w:val="24"/>
              </w:rPr>
            </w:pPr>
            <w:r>
              <w:rPr>
                <w:spacing w:val="-2"/>
                <w:sz w:val="24"/>
              </w:rPr>
              <w:t>.205(*)</w:t>
            </w:r>
          </w:p>
        </w:tc>
        <w:tc>
          <w:tcPr>
            <w:tcW w:w="1289" w:type="dxa"/>
            <w:tcBorders>
              <w:top w:val="single" w:sz="4" w:space="0" w:color="000000"/>
            </w:tcBorders>
          </w:tcPr>
          <w:p>
            <w:pPr>
              <w:pStyle w:val="TableParagraph"/>
              <w:spacing w:line="257" w:lineRule="exact"/>
              <w:ind w:left="176"/>
              <w:rPr>
                <w:sz w:val="24"/>
              </w:rPr>
            </w:pPr>
            <w:r>
              <w:rPr>
                <w:spacing w:val="-4"/>
                <w:sz w:val="24"/>
              </w:rPr>
              <w:t>.060</w:t>
            </w:r>
          </w:p>
        </w:tc>
        <w:tc>
          <w:tcPr>
            <w:tcW w:w="1671" w:type="dxa"/>
            <w:tcBorders>
              <w:top w:val="single" w:sz="4" w:space="0" w:color="000000"/>
              <w:right w:val="single" w:sz="4" w:space="0" w:color="000000"/>
            </w:tcBorders>
          </w:tcPr>
          <w:p>
            <w:pPr>
              <w:pStyle w:val="TableParagraph"/>
              <w:spacing w:line="257" w:lineRule="exact"/>
              <w:ind w:left="145"/>
              <w:rPr>
                <w:sz w:val="24"/>
              </w:rPr>
            </w:pPr>
            <w:r>
              <w:rPr>
                <w:spacing w:val="-4"/>
                <w:sz w:val="24"/>
              </w:rPr>
              <w:t>.003</w:t>
            </w:r>
          </w:p>
        </w:tc>
      </w:tr>
      <w:tr>
        <w:trPr>
          <w:trHeight w:val="276" w:hRule="atLeast"/>
        </w:trPr>
        <w:tc>
          <w:tcPr>
            <w:tcW w:w="1756" w:type="dxa"/>
            <w:tcBorders>
              <w:left w:val="single" w:sz="4" w:space="0" w:color="000000"/>
            </w:tcBorders>
          </w:tcPr>
          <w:p>
            <w:pPr>
              <w:pStyle w:val="TableParagraph"/>
              <w:rPr>
                <w:rFonts w:ascii="Times New Roman"/>
                <w:sz w:val="20"/>
              </w:rPr>
            </w:pPr>
          </w:p>
        </w:tc>
        <w:tc>
          <w:tcPr>
            <w:tcW w:w="1692" w:type="dxa"/>
          </w:tcPr>
          <w:p>
            <w:pPr>
              <w:pStyle w:val="TableParagraph"/>
              <w:rPr>
                <w:rFonts w:ascii="Times New Roman"/>
                <w:sz w:val="20"/>
              </w:rPr>
            </w:pPr>
          </w:p>
        </w:tc>
        <w:tc>
          <w:tcPr>
            <w:tcW w:w="1620" w:type="dxa"/>
          </w:tcPr>
          <w:p>
            <w:pPr>
              <w:pStyle w:val="TableParagraph"/>
              <w:spacing w:line="256" w:lineRule="exact"/>
              <w:ind w:left="248"/>
              <w:rPr>
                <w:sz w:val="24"/>
              </w:rPr>
            </w:pPr>
            <w:r>
              <w:rPr>
                <w:spacing w:val="-2"/>
                <w:sz w:val="24"/>
              </w:rPr>
              <w:t>Student</w:t>
            </w:r>
          </w:p>
        </w:tc>
        <w:tc>
          <w:tcPr>
            <w:tcW w:w="1514" w:type="dxa"/>
          </w:tcPr>
          <w:p>
            <w:pPr>
              <w:pStyle w:val="TableParagraph"/>
              <w:spacing w:line="256" w:lineRule="exact"/>
              <w:ind w:left="250"/>
              <w:rPr>
                <w:sz w:val="24"/>
              </w:rPr>
            </w:pPr>
            <w:r>
              <w:rPr>
                <w:spacing w:val="-4"/>
                <w:sz w:val="24"/>
              </w:rPr>
              <w:t>.270</w:t>
            </w:r>
          </w:p>
        </w:tc>
        <w:tc>
          <w:tcPr>
            <w:tcW w:w="1289" w:type="dxa"/>
          </w:tcPr>
          <w:p>
            <w:pPr>
              <w:pStyle w:val="TableParagraph"/>
              <w:spacing w:line="256" w:lineRule="exact"/>
              <w:ind w:left="176"/>
              <w:rPr>
                <w:sz w:val="24"/>
              </w:rPr>
            </w:pPr>
            <w:r>
              <w:rPr>
                <w:spacing w:val="-4"/>
                <w:sz w:val="24"/>
              </w:rPr>
              <w:t>.136</w:t>
            </w:r>
          </w:p>
        </w:tc>
        <w:tc>
          <w:tcPr>
            <w:tcW w:w="1671" w:type="dxa"/>
            <w:tcBorders>
              <w:right w:val="single" w:sz="4" w:space="0" w:color="000000"/>
            </w:tcBorders>
          </w:tcPr>
          <w:p>
            <w:pPr>
              <w:pStyle w:val="TableParagraph"/>
              <w:spacing w:line="256" w:lineRule="exact"/>
              <w:ind w:left="145"/>
              <w:rPr>
                <w:sz w:val="24"/>
              </w:rPr>
            </w:pPr>
            <w:r>
              <w:rPr>
                <w:spacing w:val="-4"/>
                <w:sz w:val="24"/>
              </w:rPr>
              <w:t>.140</w:t>
            </w:r>
          </w:p>
        </w:tc>
      </w:tr>
      <w:tr>
        <w:trPr>
          <w:trHeight w:val="276" w:hRule="atLeast"/>
        </w:trPr>
        <w:tc>
          <w:tcPr>
            <w:tcW w:w="1756" w:type="dxa"/>
            <w:tcBorders>
              <w:left w:val="single" w:sz="4" w:space="0" w:color="000000"/>
            </w:tcBorders>
          </w:tcPr>
          <w:p>
            <w:pPr>
              <w:pStyle w:val="TableParagraph"/>
              <w:spacing w:line="256" w:lineRule="exact"/>
              <w:ind w:left="91"/>
              <w:rPr>
                <w:sz w:val="24"/>
              </w:rPr>
            </w:pPr>
            <w:r>
              <w:rPr>
                <w:spacing w:val="-2"/>
                <w:sz w:val="24"/>
              </w:rPr>
              <w:t>Environment</w:t>
            </w:r>
          </w:p>
        </w:tc>
        <w:tc>
          <w:tcPr>
            <w:tcW w:w="1692" w:type="dxa"/>
          </w:tcPr>
          <w:p>
            <w:pPr>
              <w:pStyle w:val="TableParagraph"/>
              <w:spacing w:line="256" w:lineRule="exact"/>
              <w:ind w:left="322"/>
              <w:rPr>
                <w:sz w:val="24"/>
              </w:rPr>
            </w:pPr>
            <w:r>
              <w:rPr>
                <w:spacing w:val="-2"/>
                <w:sz w:val="24"/>
              </w:rPr>
              <w:t>Managmet</w:t>
            </w:r>
          </w:p>
        </w:tc>
        <w:tc>
          <w:tcPr>
            <w:tcW w:w="1620" w:type="dxa"/>
          </w:tcPr>
          <w:p>
            <w:pPr>
              <w:pStyle w:val="TableParagraph"/>
              <w:spacing w:line="256" w:lineRule="exact"/>
              <w:ind w:left="248"/>
              <w:rPr>
                <w:sz w:val="24"/>
              </w:rPr>
            </w:pPr>
            <w:r>
              <w:rPr>
                <w:spacing w:val="-4"/>
                <w:sz w:val="24"/>
              </w:rPr>
              <w:t>Staff</w:t>
            </w:r>
          </w:p>
        </w:tc>
        <w:tc>
          <w:tcPr>
            <w:tcW w:w="1514" w:type="dxa"/>
          </w:tcPr>
          <w:p>
            <w:pPr>
              <w:pStyle w:val="TableParagraph"/>
              <w:spacing w:line="256" w:lineRule="exact"/>
              <w:ind w:left="250"/>
              <w:rPr>
                <w:sz w:val="24"/>
              </w:rPr>
            </w:pPr>
            <w:r>
              <w:rPr>
                <w:sz w:val="24"/>
              </w:rPr>
              <w:t>-</w:t>
            </w:r>
            <w:r>
              <w:rPr>
                <w:spacing w:val="-2"/>
                <w:sz w:val="24"/>
              </w:rPr>
              <w:t>.205(*)</w:t>
            </w:r>
          </w:p>
        </w:tc>
        <w:tc>
          <w:tcPr>
            <w:tcW w:w="1289" w:type="dxa"/>
          </w:tcPr>
          <w:p>
            <w:pPr>
              <w:pStyle w:val="TableParagraph"/>
              <w:spacing w:line="256" w:lineRule="exact"/>
              <w:ind w:left="176"/>
              <w:rPr>
                <w:sz w:val="24"/>
              </w:rPr>
            </w:pPr>
            <w:r>
              <w:rPr>
                <w:spacing w:val="-4"/>
                <w:sz w:val="24"/>
              </w:rPr>
              <w:t>.060</w:t>
            </w:r>
          </w:p>
        </w:tc>
        <w:tc>
          <w:tcPr>
            <w:tcW w:w="1671" w:type="dxa"/>
            <w:tcBorders>
              <w:right w:val="single" w:sz="4" w:space="0" w:color="000000"/>
            </w:tcBorders>
          </w:tcPr>
          <w:p>
            <w:pPr>
              <w:pStyle w:val="TableParagraph"/>
              <w:spacing w:line="256" w:lineRule="exact"/>
              <w:ind w:left="145"/>
              <w:rPr>
                <w:sz w:val="24"/>
              </w:rPr>
            </w:pPr>
            <w:r>
              <w:rPr>
                <w:spacing w:val="-4"/>
                <w:sz w:val="24"/>
              </w:rPr>
              <w:t>.003</w:t>
            </w:r>
          </w:p>
        </w:tc>
      </w:tr>
      <w:tr>
        <w:trPr>
          <w:trHeight w:val="275" w:hRule="atLeast"/>
        </w:trPr>
        <w:tc>
          <w:tcPr>
            <w:tcW w:w="1756" w:type="dxa"/>
            <w:tcBorders>
              <w:left w:val="single" w:sz="4" w:space="0" w:color="000000"/>
            </w:tcBorders>
          </w:tcPr>
          <w:p>
            <w:pPr>
              <w:pStyle w:val="TableParagraph"/>
              <w:rPr>
                <w:rFonts w:ascii="Times New Roman"/>
                <w:sz w:val="20"/>
              </w:rPr>
            </w:pPr>
          </w:p>
        </w:tc>
        <w:tc>
          <w:tcPr>
            <w:tcW w:w="1692" w:type="dxa"/>
          </w:tcPr>
          <w:p>
            <w:pPr>
              <w:pStyle w:val="TableParagraph"/>
              <w:rPr>
                <w:rFonts w:ascii="Times New Roman"/>
                <w:sz w:val="20"/>
              </w:rPr>
            </w:pPr>
          </w:p>
        </w:tc>
        <w:tc>
          <w:tcPr>
            <w:tcW w:w="1620" w:type="dxa"/>
          </w:tcPr>
          <w:p>
            <w:pPr>
              <w:pStyle w:val="TableParagraph"/>
              <w:spacing w:line="256" w:lineRule="exact"/>
              <w:ind w:left="248"/>
              <w:rPr>
                <w:sz w:val="24"/>
              </w:rPr>
            </w:pPr>
            <w:r>
              <w:rPr>
                <w:spacing w:val="-2"/>
                <w:sz w:val="24"/>
              </w:rPr>
              <w:t>Student</w:t>
            </w:r>
          </w:p>
        </w:tc>
        <w:tc>
          <w:tcPr>
            <w:tcW w:w="1514" w:type="dxa"/>
          </w:tcPr>
          <w:p>
            <w:pPr>
              <w:pStyle w:val="TableParagraph"/>
              <w:spacing w:line="256" w:lineRule="exact"/>
              <w:ind w:left="250"/>
              <w:rPr>
                <w:sz w:val="24"/>
              </w:rPr>
            </w:pPr>
            <w:r>
              <w:rPr>
                <w:spacing w:val="-4"/>
                <w:sz w:val="24"/>
              </w:rPr>
              <w:t>.065</w:t>
            </w:r>
          </w:p>
        </w:tc>
        <w:tc>
          <w:tcPr>
            <w:tcW w:w="1289" w:type="dxa"/>
          </w:tcPr>
          <w:p>
            <w:pPr>
              <w:pStyle w:val="TableParagraph"/>
              <w:spacing w:line="256" w:lineRule="exact"/>
              <w:ind w:left="176"/>
              <w:rPr>
                <w:sz w:val="24"/>
              </w:rPr>
            </w:pPr>
            <w:r>
              <w:rPr>
                <w:spacing w:val="-4"/>
                <w:sz w:val="24"/>
              </w:rPr>
              <w:t>.137</w:t>
            </w:r>
          </w:p>
        </w:tc>
        <w:tc>
          <w:tcPr>
            <w:tcW w:w="1671" w:type="dxa"/>
            <w:tcBorders>
              <w:right w:val="single" w:sz="4" w:space="0" w:color="000000"/>
            </w:tcBorders>
          </w:tcPr>
          <w:p>
            <w:pPr>
              <w:pStyle w:val="TableParagraph"/>
              <w:spacing w:line="256" w:lineRule="exact"/>
              <w:ind w:left="145"/>
              <w:rPr>
                <w:sz w:val="24"/>
              </w:rPr>
            </w:pPr>
            <w:r>
              <w:rPr>
                <w:spacing w:val="-4"/>
                <w:sz w:val="24"/>
              </w:rPr>
              <w:t>.894</w:t>
            </w:r>
          </w:p>
        </w:tc>
      </w:tr>
      <w:tr>
        <w:trPr>
          <w:trHeight w:val="276" w:hRule="atLeast"/>
        </w:trPr>
        <w:tc>
          <w:tcPr>
            <w:tcW w:w="1756" w:type="dxa"/>
            <w:tcBorders>
              <w:left w:val="single" w:sz="4" w:space="0" w:color="000000"/>
            </w:tcBorders>
          </w:tcPr>
          <w:p>
            <w:pPr>
              <w:pStyle w:val="TableParagraph"/>
              <w:rPr>
                <w:rFonts w:ascii="Times New Roman"/>
                <w:sz w:val="20"/>
              </w:rPr>
            </w:pPr>
          </w:p>
        </w:tc>
        <w:tc>
          <w:tcPr>
            <w:tcW w:w="1692" w:type="dxa"/>
          </w:tcPr>
          <w:p>
            <w:pPr>
              <w:pStyle w:val="TableParagraph"/>
              <w:spacing w:line="256" w:lineRule="exact"/>
              <w:ind w:left="322"/>
              <w:rPr>
                <w:sz w:val="24"/>
              </w:rPr>
            </w:pPr>
            <w:r>
              <w:rPr>
                <w:spacing w:val="-2"/>
                <w:sz w:val="24"/>
              </w:rPr>
              <w:t>Student</w:t>
            </w:r>
          </w:p>
        </w:tc>
        <w:tc>
          <w:tcPr>
            <w:tcW w:w="1620" w:type="dxa"/>
          </w:tcPr>
          <w:p>
            <w:pPr>
              <w:pStyle w:val="TableParagraph"/>
              <w:spacing w:line="256" w:lineRule="exact"/>
              <w:ind w:left="248"/>
              <w:rPr>
                <w:sz w:val="24"/>
              </w:rPr>
            </w:pPr>
            <w:r>
              <w:rPr>
                <w:spacing w:val="-2"/>
                <w:sz w:val="24"/>
              </w:rPr>
              <w:t>Managmet</w:t>
            </w:r>
          </w:p>
        </w:tc>
        <w:tc>
          <w:tcPr>
            <w:tcW w:w="1514" w:type="dxa"/>
          </w:tcPr>
          <w:p>
            <w:pPr>
              <w:pStyle w:val="TableParagraph"/>
              <w:spacing w:line="256" w:lineRule="exact"/>
              <w:ind w:left="250"/>
              <w:rPr>
                <w:sz w:val="24"/>
              </w:rPr>
            </w:pPr>
            <w:r>
              <w:rPr>
                <w:sz w:val="24"/>
              </w:rPr>
              <w:t>-</w:t>
            </w:r>
            <w:r>
              <w:rPr>
                <w:spacing w:val="-4"/>
                <w:sz w:val="24"/>
              </w:rPr>
              <w:t>.270</w:t>
            </w:r>
          </w:p>
        </w:tc>
        <w:tc>
          <w:tcPr>
            <w:tcW w:w="1289" w:type="dxa"/>
          </w:tcPr>
          <w:p>
            <w:pPr>
              <w:pStyle w:val="TableParagraph"/>
              <w:spacing w:line="256" w:lineRule="exact"/>
              <w:ind w:left="176"/>
              <w:rPr>
                <w:sz w:val="24"/>
              </w:rPr>
            </w:pPr>
            <w:r>
              <w:rPr>
                <w:spacing w:val="-4"/>
                <w:sz w:val="24"/>
              </w:rPr>
              <w:t>.136</w:t>
            </w:r>
          </w:p>
        </w:tc>
        <w:tc>
          <w:tcPr>
            <w:tcW w:w="1671" w:type="dxa"/>
            <w:tcBorders>
              <w:right w:val="single" w:sz="4" w:space="0" w:color="000000"/>
            </w:tcBorders>
          </w:tcPr>
          <w:p>
            <w:pPr>
              <w:pStyle w:val="TableParagraph"/>
              <w:spacing w:line="256" w:lineRule="exact"/>
              <w:ind w:left="145"/>
              <w:rPr>
                <w:sz w:val="24"/>
              </w:rPr>
            </w:pPr>
            <w:r>
              <w:rPr>
                <w:spacing w:val="-4"/>
                <w:sz w:val="24"/>
              </w:rPr>
              <w:t>.140</w:t>
            </w:r>
          </w:p>
        </w:tc>
      </w:tr>
      <w:tr>
        <w:trPr>
          <w:trHeight w:val="279" w:hRule="atLeast"/>
        </w:trPr>
        <w:tc>
          <w:tcPr>
            <w:tcW w:w="1756" w:type="dxa"/>
            <w:tcBorders>
              <w:left w:val="single" w:sz="4" w:space="0" w:color="000000"/>
              <w:bottom w:val="single" w:sz="4" w:space="0" w:color="000000"/>
            </w:tcBorders>
          </w:tcPr>
          <w:p>
            <w:pPr>
              <w:pStyle w:val="TableParagraph"/>
              <w:rPr>
                <w:rFonts w:ascii="Times New Roman"/>
                <w:sz w:val="20"/>
              </w:rPr>
            </w:pPr>
          </w:p>
        </w:tc>
        <w:tc>
          <w:tcPr>
            <w:tcW w:w="1692" w:type="dxa"/>
            <w:tcBorders>
              <w:bottom w:val="single" w:sz="4" w:space="0" w:color="000000"/>
            </w:tcBorders>
          </w:tcPr>
          <w:p>
            <w:pPr>
              <w:pStyle w:val="TableParagraph"/>
              <w:rPr>
                <w:rFonts w:ascii="Times New Roman"/>
                <w:sz w:val="20"/>
              </w:rPr>
            </w:pPr>
          </w:p>
        </w:tc>
        <w:tc>
          <w:tcPr>
            <w:tcW w:w="1620" w:type="dxa"/>
            <w:tcBorders>
              <w:bottom w:val="single" w:sz="4" w:space="0" w:color="000000"/>
            </w:tcBorders>
          </w:tcPr>
          <w:p>
            <w:pPr>
              <w:pStyle w:val="TableParagraph"/>
              <w:spacing w:line="260" w:lineRule="exact"/>
              <w:ind w:left="248"/>
              <w:rPr>
                <w:sz w:val="24"/>
              </w:rPr>
            </w:pPr>
            <w:r>
              <w:rPr>
                <w:spacing w:val="-4"/>
                <w:sz w:val="24"/>
              </w:rPr>
              <w:t>Staff</w:t>
            </w:r>
          </w:p>
        </w:tc>
        <w:tc>
          <w:tcPr>
            <w:tcW w:w="1514" w:type="dxa"/>
            <w:tcBorders>
              <w:bottom w:val="single" w:sz="4" w:space="0" w:color="000000"/>
            </w:tcBorders>
          </w:tcPr>
          <w:p>
            <w:pPr>
              <w:pStyle w:val="TableParagraph"/>
              <w:spacing w:line="260" w:lineRule="exact"/>
              <w:ind w:left="250"/>
              <w:rPr>
                <w:sz w:val="24"/>
              </w:rPr>
            </w:pPr>
            <w:r>
              <w:rPr>
                <w:sz w:val="24"/>
              </w:rPr>
              <w:t>-</w:t>
            </w:r>
            <w:r>
              <w:rPr>
                <w:spacing w:val="-4"/>
                <w:sz w:val="24"/>
              </w:rPr>
              <w:t>.065</w:t>
            </w:r>
          </w:p>
        </w:tc>
        <w:tc>
          <w:tcPr>
            <w:tcW w:w="1289" w:type="dxa"/>
            <w:tcBorders>
              <w:bottom w:val="single" w:sz="4" w:space="0" w:color="000000"/>
            </w:tcBorders>
          </w:tcPr>
          <w:p>
            <w:pPr>
              <w:pStyle w:val="TableParagraph"/>
              <w:spacing w:line="260" w:lineRule="exact"/>
              <w:ind w:left="176"/>
              <w:rPr>
                <w:sz w:val="24"/>
              </w:rPr>
            </w:pPr>
            <w:r>
              <w:rPr>
                <w:spacing w:val="-4"/>
                <w:sz w:val="24"/>
              </w:rPr>
              <w:t>.137</w:t>
            </w:r>
          </w:p>
        </w:tc>
        <w:tc>
          <w:tcPr>
            <w:tcW w:w="1671" w:type="dxa"/>
            <w:tcBorders>
              <w:bottom w:val="single" w:sz="4" w:space="0" w:color="000000"/>
              <w:right w:val="single" w:sz="4" w:space="0" w:color="000000"/>
            </w:tcBorders>
          </w:tcPr>
          <w:p>
            <w:pPr>
              <w:pStyle w:val="TableParagraph"/>
              <w:spacing w:line="260" w:lineRule="exact"/>
              <w:ind w:left="145"/>
              <w:rPr>
                <w:sz w:val="24"/>
              </w:rPr>
            </w:pPr>
            <w:r>
              <w:rPr>
                <w:spacing w:val="-4"/>
                <w:sz w:val="24"/>
              </w:rPr>
              <w:t>.894</w:t>
            </w:r>
          </w:p>
        </w:tc>
      </w:tr>
    </w:tbl>
    <w:p>
      <w:pPr>
        <w:pStyle w:val="BodyText"/>
        <w:ind w:left="840"/>
        <w:jc w:val="both"/>
      </w:pPr>
      <w:r>
        <w:rPr/>
        <w:t>*</w:t>
      </w:r>
      <w:r>
        <w:rPr>
          <w:spacing w:val="-7"/>
        </w:rPr>
        <w:t> </w:t>
      </w:r>
      <w:r>
        <w:rPr/>
        <w:t>Mean</w:t>
      </w:r>
      <w:r>
        <w:rPr>
          <w:spacing w:val="-4"/>
        </w:rPr>
        <w:t> </w:t>
      </w:r>
      <w:r>
        <w:rPr/>
        <w:t>difference</w:t>
      </w:r>
      <w:r>
        <w:rPr>
          <w:spacing w:val="-8"/>
        </w:rPr>
        <w:t> </w:t>
      </w:r>
      <w:r>
        <w:rPr/>
        <w:t>is</w:t>
      </w:r>
      <w:r>
        <w:rPr>
          <w:spacing w:val="-5"/>
        </w:rPr>
        <w:t> </w:t>
      </w:r>
      <w:r>
        <w:rPr/>
        <w:t>significant</w:t>
      </w:r>
      <w:r>
        <w:rPr>
          <w:spacing w:val="-3"/>
        </w:rPr>
        <w:t> </w:t>
      </w:r>
      <w:r>
        <w:rPr/>
        <w:t>at</w:t>
      </w:r>
      <w:r>
        <w:rPr>
          <w:spacing w:val="-8"/>
        </w:rPr>
        <w:t> </w:t>
      </w:r>
      <w:r>
        <w:rPr/>
        <w:t>the</w:t>
      </w:r>
      <w:r>
        <w:rPr>
          <w:spacing w:val="-4"/>
        </w:rPr>
        <w:t> </w:t>
      </w:r>
      <w:r>
        <w:rPr/>
        <w:t>.05</w:t>
      </w:r>
      <w:r>
        <w:rPr>
          <w:spacing w:val="-8"/>
        </w:rPr>
        <w:t> </w:t>
      </w:r>
      <w:r>
        <w:rPr>
          <w:spacing w:val="-4"/>
        </w:rPr>
        <w:t>level</w:t>
      </w:r>
    </w:p>
    <w:p>
      <w:pPr>
        <w:pStyle w:val="BodyText"/>
        <w:spacing w:line="480" w:lineRule="auto" w:before="274"/>
        <w:ind w:left="840" w:right="557" w:firstLine="720"/>
        <w:jc w:val="both"/>
      </w:pPr>
      <w:r>
        <w:rPr/>
        <w:t>From the scheffe’s test above, it is evident that differences existed in the opinions of respondents on the availability and adequacy of environmental facilities in these universities. Based on the mean differences in score of management and service staff there seemed to be an agreement in their opinions. However, significant difference</w:t>
      </w:r>
      <w:r>
        <w:rPr>
          <w:spacing w:val="-1"/>
        </w:rPr>
        <w:t> </w:t>
      </w:r>
      <w:r>
        <w:rPr/>
        <w:t>on the opinion</w:t>
      </w:r>
      <w:r>
        <w:rPr>
          <w:spacing w:val="-3"/>
        </w:rPr>
        <w:t> </w:t>
      </w:r>
      <w:r>
        <w:rPr/>
        <w:t>of students was eminent. This means that the students did not agree with the opinions of the two groups. Going by the opinions of the students who were also the beneficiaries of the facilities</w:t>
      </w:r>
      <w:r>
        <w:rPr>
          <w:spacing w:val="35"/>
        </w:rPr>
        <w:t> </w:t>
      </w:r>
      <w:r>
        <w:rPr/>
        <w:t>in</w:t>
      </w:r>
      <w:r>
        <w:rPr>
          <w:spacing w:val="37"/>
        </w:rPr>
        <w:t> </w:t>
      </w:r>
      <w:r>
        <w:rPr/>
        <w:t>the</w:t>
      </w:r>
      <w:r>
        <w:rPr>
          <w:spacing w:val="42"/>
        </w:rPr>
        <w:t> </w:t>
      </w:r>
      <w:r>
        <w:rPr/>
        <w:t>system,</w:t>
      </w:r>
      <w:r>
        <w:rPr>
          <w:spacing w:val="41"/>
        </w:rPr>
        <w:t> </w:t>
      </w:r>
      <w:r>
        <w:rPr/>
        <w:t>it</w:t>
      </w:r>
      <w:r>
        <w:rPr>
          <w:spacing w:val="41"/>
        </w:rPr>
        <w:t> </w:t>
      </w:r>
      <w:r>
        <w:rPr/>
        <w:t>could</w:t>
      </w:r>
      <w:r>
        <w:rPr>
          <w:spacing w:val="41"/>
        </w:rPr>
        <w:t> </w:t>
      </w:r>
      <w:r>
        <w:rPr/>
        <w:t>be</w:t>
      </w:r>
      <w:r>
        <w:rPr>
          <w:spacing w:val="41"/>
        </w:rPr>
        <w:t> </w:t>
      </w:r>
      <w:r>
        <w:rPr/>
        <w:t>concluded</w:t>
      </w:r>
      <w:r>
        <w:rPr>
          <w:spacing w:val="41"/>
        </w:rPr>
        <w:t> </w:t>
      </w:r>
      <w:r>
        <w:rPr/>
        <w:t>that</w:t>
      </w:r>
      <w:r>
        <w:rPr>
          <w:spacing w:val="41"/>
        </w:rPr>
        <w:t> </w:t>
      </w:r>
      <w:r>
        <w:rPr/>
        <w:t>the</w:t>
      </w:r>
      <w:r>
        <w:rPr>
          <w:spacing w:val="42"/>
        </w:rPr>
        <w:t> </w:t>
      </w:r>
      <w:r>
        <w:rPr/>
        <w:t>environmental</w:t>
      </w:r>
      <w:r>
        <w:rPr>
          <w:spacing w:val="44"/>
        </w:rPr>
        <w:t> </w:t>
      </w:r>
      <w:r>
        <w:rPr>
          <w:spacing w:val="-2"/>
        </w:rPr>
        <w:t>services</w:t>
      </w:r>
    </w:p>
    <w:p>
      <w:pPr>
        <w:spacing w:after="0" w:line="480" w:lineRule="auto"/>
        <w:jc w:val="both"/>
        <w:sectPr>
          <w:headerReference w:type="default" r:id="rId427"/>
          <w:footerReference w:type="default" r:id="rId428"/>
          <w:pgSz w:w="12240" w:h="15840"/>
          <w:pgMar w:header="722" w:footer="791" w:top="980" w:bottom="980" w:left="1320" w:right="880"/>
        </w:sectPr>
      </w:pPr>
    </w:p>
    <w:p>
      <w:pPr>
        <w:pStyle w:val="BodyText"/>
        <w:spacing w:before="171"/>
      </w:pPr>
    </w:p>
    <w:p>
      <w:pPr>
        <w:pStyle w:val="BodyText"/>
        <w:spacing w:line="480" w:lineRule="auto"/>
        <w:ind w:left="840" w:right="585"/>
      </w:pPr>
      <w:r>
        <w:rPr/>
        <w:t>were</w:t>
      </w:r>
      <w:r>
        <w:rPr>
          <w:spacing w:val="40"/>
        </w:rPr>
        <w:t> </w:t>
      </w:r>
      <w:r>
        <w:rPr/>
        <w:t>not</w:t>
      </w:r>
      <w:r>
        <w:rPr>
          <w:spacing w:val="40"/>
        </w:rPr>
        <w:t> </w:t>
      </w:r>
      <w:r>
        <w:rPr/>
        <w:t>adequately</w:t>
      </w:r>
      <w:r>
        <w:rPr>
          <w:spacing w:val="40"/>
        </w:rPr>
        <w:t> </w:t>
      </w:r>
      <w:r>
        <w:rPr/>
        <w:t>available</w:t>
      </w:r>
      <w:r>
        <w:rPr>
          <w:spacing w:val="40"/>
        </w:rPr>
        <w:t> </w:t>
      </w:r>
      <w:r>
        <w:rPr/>
        <w:t>in</w:t>
      </w:r>
      <w:r>
        <w:rPr>
          <w:spacing w:val="40"/>
        </w:rPr>
        <w:t> </w:t>
      </w:r>
      <w:r>
        <w:rPr/>
        <w:t>these</w:t>
      </w:r>
      <w:r>
        <w:rPr>
          <w:spacing w:val="40"/>
        </w:rPr>
        <w:t> </w:t>
      </w:r>
      <w:r>
        <w:rPr/>
        <w:t>universities.</w:t>
      </w:r>
      <w:r>
        <w:rPr>
          <w:spacing w:val="40"/>
        </w:rPr>
        <w:t> </w:t>
      </w:r>
      <w:r>
        <w:rPr/>
        <w:t>Hence,</w:t>
      </w:r>
      <w:r>
        <w:rPr>
          <w:spacing w:val="40"/>
        </w:rPr>
        <w:t> </w:t>
      </w:r>
      <w:r>
        <w:rPr/>
        <w:t>the</w:t>
      </w:r>
      <w:r>
        <w:rPr>
          <w:spacing w:val="40"/>
        </w:rPr>
        <w:t> </w:t>
      </w:r>
      <w:r>
        <w:rPr/>
        <w:t>need</w:t>
      </w:r>
      <w:r>
        <w:rPr>
          <w:spacing w:val="40"/>
        </w:rPr>
        <w:t> </w:t>
      </w:r>
      <w:r>
        <w:rPr/>
        <w:t>for</w:t>
      </w:r>
      <w:r>
        <w:rPr>
          <w:spacing w:val="40"/>
        </w:rPr>
        <w:t> </w:t>
      </w:r>
      <w:r>
        <w:rPr/>
        <w:t>the management to provide the services.</w:t>
      </w:r>
    </w:p>
    <w:p>
      <w:pPr>
        <w:pStyle w:val="Heading4"/>
        <w:numPr>
          <w:ilvl w:val="2"/>
          <w:numId w:val="43"/>
        </w:numPr>
        <w:tabs>
          <w:tab w:pos="837" w:val="left" w:leader="none"/>
        </w:tabs>
        <w:spacing w:line="240" w:lineRule="auto" w:before="1" w:after="0"/>
        <w:ind w:left="837" w:right="0" w:hanging="717"/>
        <w:jc w:val="left"/>
      </w:pPr>
      <w:r>
        <w:rPr/>
        <w:t>Null</w:t>
      </w:r>
      <w:r>
        <w:rPr>
          <w:spacing w:val="-11"/>
        </w:rPr>
        <w:t> </w:t>
      </w:r>
      <w:r>
        <w:rPr/>
        <w:t>Hypothesis</w:t>
      </w:r>
      <w:r>
        <w:rPr>
          <w:spacing w:val="-10"/>
        </w:rPr>
        <w:t> 6</w:t>
      </w:r>
    </w:p>
    <w:p>
      <w:pPr>
        <w:pStyle w:val="BodyText"/>
        <w:spacing w:before="45"/>
        <w:rPr>
          <w:rFonts w:ascii="Arial"/>
          <w:b/>
        </w:rPr>
      </w:pPr>
    </w:p>
    <w:p>
      <w:pPr>
        <w:pStyle w:val="BodyText"/>
        <w:spacing w:line="480" w:lineRule="auto"/>
        <w:ind w:left="840" w:right="557" w:firstLine="720"/>
        <w:jc w:val="both"/>
      </w:pPr>
      <w:r>
        <w:rPr/>
        <w:t>There is no significant difference in the opinions of students, service staff and top management staff in respect of the impact of the provision and management of diverse services (social, academic, medical/Health and environmental services), on students’ welfare services in these universities.</w:t>
      </w:r>
    </w:p>
    <w:p>
      <w:pPr>
        <w:pStyle w:val="BodyText"/>
        <w:spacing w:line="480" w:lineRule="auto"/>
        <w:ind w:left="840" w:right="554" w:firstLine="720"/>
        <w:jc w:val="both"/>
      </w:pPr>
      <w:r>
        <w:rPr/>
        <w:t>The data related to all the perceived types of students’ welfare services,</w:t>
      </w:r>
      <w:r>
        <w:rPr>
          <w:spacing w:val="40"/>
        </w:rPr>
        <w:t> </w:t>
      </w:r>
      <w:r>
        <w:rPr/>
        <w:t>be it social, academic, medical and health and environmental as contained in items</w:t>
      </w:r>
      <w:r>
        <w:rPr>
          <w:spacing w:val="-3"/>
        </w:rPr>
        <w:t> </w:t>
      </w:r>
      <w:r>
        <w:rPr/>
        <w:t>33</w:t>
      </w:r>
      <w:r>
        <w:rPr>
          <w:spacing w:val="-2"/>
        </w:rPr>
        <w:t> </w:t>
      </w:r>
      <w:r>
        <w:rPr/>
        <w:t>to</w:t>
      </w:r>
      <w:r>
        <w:rPr>
          <w:spacing w:val="-2"/>
        </w:rPr>
        <w:t> </w:t>
      </w:r>
      <w:r>
        <w:rPr/>
        <w:t>92</w:t>
      </w:r>
      <w:r>
        <w:rPr>
          <w:spacing w:val="-2"/>
        </w:rPr>
        <w:t> </w:t>
      </w:r>
      <w:r>
        <w:rPr/>
        <w:t>of</w:t>
      </w:r>
      <w:r>
        <w:rPr>
          <w:spacing w:val="-3"/>
        </w:rPr>
        <w:t> </w:t>
      </w:r>
      <w:r>
        <w:rPr/>
        <w:t>the</w:t>
      </w:r>
      <w:r>
        <w:rPr>
          <w:spacing w:val="-6"/>
        </w:rPr>
        <w:t> </w:t>
      </w:r>
      <w:r>
        <w:rPr/>
        <w:t>questionnaire</w:t>
      </w:r>
      <w:r>
        <w:rPr>
          <w:spacing w:val="-2"/>
        </w:rPr>
        <w:t> </w:t>
      </w:r>
      <w:r>
        <w:rPr/>
        <w:t>were</w:t>
      </w:r>
      <w:r>
        <w:rPr>
          <w:spacing w:val="-2"/>
        </w:rPr>
        <w:t> </w:t>
      </w:r>
      <w:r>
        <w:rPr/>
        <w:t>used.</w:t>
      </w:r>
      <w:r>
        <w:rPr>
          <w:spacing w:val="-3"/>
        </w:rPr>
        <w:t> </w:t>
      </w:r>
      <w:r>
        <w:rPr/>
        <w:t>The</w:t>
      </w:r>
      <w:r>
        <w:rPr>
          <w:spacing w:val="-2"/>
        </w:rPr>
        <w:t> </w:t>
      </w:r>
      <w:r>
        <w:rPr/>
        <w:t>responses</w:t>
      </w:r>
      <w:r>
        <w:rPr>
          <w:spacing w:val="-3"/>
        </w:rPr>
        <w:t> </w:t>
      </w:r>
      <w:r>
        <w:rPr/>
        <w:t>of</w:t>
      </w:r>
      <w:r>
        <w:rPr>
          <w:spacing w:val="-3"/>
        </w:rPr>
        <w:t> </w:t>
      </w:r>
      <w:r>
        <w:rPr/>
        <w:t>the</w:t>
      </w:r>
      <w:r>
        <w:rPr>
          <w:spacing w:val="-2"/>
        </w:rPr>
        <w:t> </w:t>
      </w:r>
      <w:r>
        <w:rPr/>
        <w:t>respondents were collected, and analysed to find out the consensus in the opinions of the respondents pertaining to the impact of the provision and management of all the aspects of the students’ services on students’ welfare in the universities in</w:t>
      </w:r>
      <w:r>
        <w:rPr>
          <w:spacing w:val="40"/>
        </w:rPr>
        <w:t> </w:t>
      </w:r>
      <w:r>
        <w:rPr/>
        <w:t>the three geopolitical zones in the Northern part of Nigeria. In testing the hypothesis, therefore, all items were used. One Way Analysis of Variance (ANOVA)</w:t>
      </w:r>
      <w:r>
        <w:rPr>
          <w:spacing w:val="80"/>
        </w:rPr>
        <w:t> </w:t>
      </w:r>
      <w:r>
        <w:rPr/>
        <w:t>statistical procedure was applied to record the result of differences in opinions of the respondents as presented in Table 4.5.9</w:t>
      </w:r>
    </w:p>
    <w:p>
      <w:pPr>
        <w:pStyle w:val="Heading2"/>
        <w:tabs>
          <w:tab w:pos="3436" w:val="left" w:leader="none"/>
          <w:tab w:pos="4929" w:val="left" w:leader="none"/>
          <w:tab w:pos="7108" w:val="left" w:leader="none"/>
          <w:tab w:pos="9134" w:val="left" w:leader="none"/>
        </w:tabs>
        <w:spacing w:after="4"/>
        <w:ind w:left="2428" w:right="561" w:hanging="1589"/>
      </w:pPr>
      <w:r>
        <w:rPr/>
        <w:t>Table 4.5.9: Analysis of Variance (ANOVA) on the impact of </w:t>
      </w:r>
      <w:r>
        <w:rPr>
          <w:spacing w:val="-2"/>
        </w:rPr>
        <w:t>social</w:t>
      </w:r>
      <w:r>
        <w:rPr/>
        <w:tab/>
      </w:r>
      <w:r>
        <w:rPr>
          <w:spacing w:val="-2"/>
        </w:rPr>
        <w:t>academic</w:t>
      </w:r>
      <w:r>
        <w:rPr/>
        <w:tab/>
      </w:r>
      <w:r>
        <w:rPr>
          <w:spacing w:val="-2"/>
        </w:rPr>
        <w:t>Medical/Health</w:t>
      </w:r>
      <w:r>
        <w:rPr/>
        <w:tab/>
      </w:r>
      <w:r>
        <w:rPr>
          <w:spacing w:val="-2"/>
        </w:rPr>
        <w:t>Environment)</w:t>
      </w:r>
      <w:r>
        <w:rPr/>
        <w:tab/>
      </w:r>
      <w:r>
        <w:rPr>
          <w:spacing w:val="-6"/>
        </w:rPr>
        <w:t>on </w:t>
      </w:r>
      <w:r>
        <w:rPr/>
        <w:t>Students</w:t>
      </w:r>
      <w:r>
        <w:rPr>
          <w:spacing w:val="40"/>
        </w:rPr>
        <w:t> </w:t>
      </w:r>
      <w:r>
        <w:rPr/>
        <w:t>welfare</w:t>
      </w:r>
      <w:r>
        <w:rPr>
          <w:spacing w:val="40"/>
        </w:rPr>
        <w:t> </w:t>
      </w:r>
      <w:r>
        <w:rPr/>
        <w:t>services</w:t>
      </w:r>
      <w:r>
        <w:rPr>
          <w:spacing w:val="40"/>
        </w:rPr>
        <w:t> </w:t>
      </w:r>
      <w:r>
        <w:rPr/>
        <w:t>in</w:t>
      </w:r>
      <w:r>
        <w:rPr>
          <w:spacing w:val="40"/>
        </w:rPr>
        <w:t> </w:t>
      </w:r>
      <w:r>
        <w:rPr/>
        <w:t>Universities</w:t>
      </w:r>
      <w:r>
        <w:rPr>
          <w:spacing w:val="40"/>
        </w:rPr>
        <w:t> </w:t>
      </w:r>
      <w:r>
        <w:rPr/>
        <w:t>in</w:t>
      </w:r>
      <w:r>
        <w:rPr>
          <w:spacing w:val="40"/>
        </w:rPr>
        <w:t> </w:t>
      </w:r>
      <w:r>
        <w:rPr/>
        <w:t>three</w:t>
      </w:r>
      <w:r>
        <w:rPr>
          <w:spacing w:val="40"/>
        </w:rPr>
        <w:t> </w:t>
      </w:r>
      <w:r>
        <w:rPr/>
        <w:t>geopolitical zones in Northern part of Nigeria</w:t>
      </w:r>
    </w:p>
    <w:tbl>
      <w:tblPr>
        <w:tblW w:w="0" w:type="auto"/>
        <w:jc w:val="left"/>
        <w:tblInd w:w="1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63"/>
        <w:gridCol w:w="686"/>
        <w:gridCol w:w="1290"/>
        <w:gridCol w:w="1194"/>
        <w:gridCol w:w="982"/>
        <w:gridCol w:w="1988"/>
      </w:tblGrid>
      <w:tr>
        <w:trPr>
          <w:trHeight w:val="551" w:hRule="atLeast"/>
        </w:trPr>
        <w:tc>
          <w:tcPr>
            <w:tcW w:w="1963" w:type="dxa"/>
            <w:tcBorders>
              <w:top w:val="single" w:sz="4" w:space="0" w:color="000000"/>
              <w:left w:val="single" w:sz="4" w:space="0" w:color="000000"/>
              <w:bottom w:val="single" w:sz="4" w:space="0" w:color="000000"/>
            </w:tcBorders>
          </w:tcPr>
          <w:p>
            <w:pPr>
              <w:pStyle w:val="TableParagraph"/>
              <w:spacing w:line="267" w:lineRule="exact"/>
              <w:ind w:left="431"/>
              <w:rPr>
                <w:rFonts w:ascii="Arial"/>
                <w:b/>
                <w:sz w:val="24"/>
              </w:rPr>
            </w:pPr>
            <w:r>
              <w:rPr>
                <w:rFonts w:ascii="Arial"/>
                <w:b/>
                <w:sz w:val="24"/>
              </w:rPr>
              <w:t>Source</w:t>
            </w:r>
            <w:r>
              <w:rPr>
                <w:rFonts w:ascii="Arial"/>
                <w:b/>
                <w:spacing w:val="-12"/>
                <w:sz w:val="24"/>
              </w:rPr>
              <w:t> </w:t>
            </w:r>
            <w:r>
              <w:rPr>
                <w:rFonts w:ascii="Arial"/>
                <w:b/>
                <w:spacing w:val="-5"/>
                <w:sz w:val="24"/>
              </w:rPr>
              <w:t>of</w:t>
            </w:r>
          </w:p>
          <w:p>
            <w:pPr>
              <w:pStyle w:val="TableParagraph"/>
              <w:spacing w:line="263" w:lineRule="exact" w:before="2"/>
              <w:ind w:left="470"/>
              <w:rPr>
                <w:rFonts w:ascii="Arial"/>
                <w:b/>
                <w:sz w:val="24"/>
              </w:rPr>
            </w:pPr>
            <w:r>
              <w:rPr>
                <w:rFonts w:ascii="Arial"/>
                <w:b/>
                <w:spacing w:val="-2"/>
                <w:sz w:val="24"/>
              </w:rPr>
              <w:t>Variation</w:t>
            </w:r>
          </w:p>
        </w:tc>
        <w:tc>
          <w:tcPr>
            <w:tcW w:w="686" w:type="dxa"/>
            <w:tcBorders>
              <w:top w:val="single" w:sz="4" w:space="0" w:color="000000"/>
              <w:bottom w:val="single" w:sz="4" w:space="0" w:color="000000"/>
            </w:tcBorders>
          </w:tcPr>
          <w:p>
            <w:pPr>
              <w:pStyle w:val="TableParagraph"/>
              <w:spacing w:line="267" w:lineRule="exact"/>
              <w:ind w:left="216"/>
              <w:rPr>
                <w:rFonts w:ascii="Arial"/>
                <w:b/>
                <w:sz w:val="24"/>
              </w:rPr>
            </w:pPr>
            <w:r>
              <w:rPr>
                <w:rFonts w:ascii="Arial"/>
                <w:b/>
                <w:spacing w:val="-5"/>
                <w:sz w:val="24"/>
              </w:rPr>
              <w:t>DF</w:t>
            </w:r>
          </w:p>
        </w:tc>
        <w:tc>
          <w:tcPr>
            <w:tcW w:w="1290" w:type="dxa"/>
            <w:tcBorders>
              <w:top w:val="single" w:sz="4" w:space="0" w:color="000000"/>
              <w:bottom w:val="single" w:sz="4" w:space="0" w:color="000000"/>
            </w:tcBorders>
          </w:tcPr>
          <w:p>
            <w:pPr>
              <w:pStyle w:val="TableParagraph"/>
              <w:spacing w:line="267" w:lineRule="exact"/>
              <w:ind w:left="274"/>
              <w:rPr>
                <w:rFonts w:ascii="Arial"/>
                <w:b/>
                <w:sz w:val="24"/>
              </w:rPr>
            </w:pPr>
            <w:r>
              <w:rPr>
                <w:rFonts w:ascii="Arial"/>
                <w:b/>
                <w:sz w:val="24"/>
              </w:rPr>
              <w:t>Sum</w:t>
            </w:r>
            <w:r>
              <w:rPr>
                <w:rFonts w:ascii="Arial"/>
                <w:b/>
                <w:spacing w:val="-13"/>
                <w:sz w:val="24"/>
              </w:rPr>
              <w:t> </w:t>
            </w:r>
            <w:r>
              <w:rPr>
                <w:rFonts w:ascii="Arial"/>
                <w:b/>
                <w:spacing w:val="-5"/>
                <w:sz w:val="24"/>
              </w:rPr>
              <w:t>of</w:t>
            </w:r>
          </w:p>
          <w:p>
            <w:pPr>
              <w:pStyle w:val="TableParagraph"/>
              <w:spacing w:line="263" w:lineRule="exact" w:before="2"/>
              <w:ind w:left="216"/>
              <w:rPr>
                <w:rFonts w:ascii="Arial"/>
                <w:b/>
                <w:sz w:val="24"/>
              </w:rPr>
            </w:pPr>
            <w:r>
              <w:rPr>
                <w:rFonts w:ascii="Arial"/>
                <w:b/>
                <w:spacing w:val="-2"/>
                <w:sz w:val="24"/>
              </w:rPr>
              <w:t>squares</w:t>
            </w:r>
          </w:p>
        </w:tc>
        <w:tc>
          <w:tcPr>
            <w:tcW w:w="1194" w:type="dxa"/>
            <w:tcBorders>
              <w:top w:val="single" w:sz="4" w:space="0" w:color="000000"/>
              <w:bottom w:val="single" w:sz="4" w:space="0" w:color="000000"/>
            </w:tcBorders>
          </w:tcPr>
          <w:p>
            <w:pPr>
              <w:pStyle w:val="TableParagraph"/>
              <w:spacing w:line="267" w:lineRule="exact"/>
              <w:ind w:left="37" w:right="2"/>
              <w:jc w:val="center"/>
              <w:rPr>
                <w:rFonts w:ascii="Arial"/>
                <w:b/>
                <w:sz w:val="24"/>
              </w:rPr>
            </w:pPr>
            <w:r>
              <w:rPr>
                <w:rFonts w:ascii="Arial"/>
                <w:b/>
                <w:spacing w:val="-4"/>
                <w:sz w:val="24"/>
              </w:rPr>
              <w:t>Mean</w:t>
            </w:r>
          </w:p>
          <w:p>
            <w:pPr>
              <w:pStyle w:val="TableParagraph"/>
              <w:spacing w:line="263" w:lineRule="exact" w:before="2"/>
              <w:ind w:left="37"/>
              <w:jc w:val="center"/>
              <w:rPr>
                <w:rFonts w:ascii="Arial"/>
                <w:b/>
                <w:sz w:val="24"/>
              </w:rPr>
            </w:pPr>
            <w:r>
              <w:rPr>
                <w:rFonts w:ascii="Arial"/>
                <w:b/>
                <w:spacing w:val="-2"/>
                <w:sz w:val="24"/>
              </w:rPr>
              <w:t>squares</w:t>
            </w:r>
          </w:p>
        </w:tc>
        <w:tc>
          <w:tcPr>
            <w:tcW w:w="982" w:type="dxa"/>
            <w:tcBorders>
              <w:top w:val="single" w:sz="4" w:space="0" w:color="000000"/>
              <w:bottom w:val="single" w:sz="4" w:space="0" w:color="000000"/>
            </w:tcBorders>
          </w:tcPr>
          <w:p>
            <w:pPr>
              <w:pStyle w:val="TableParagraph"/>
              <w:spacing w:line="267" w:lineRule="exact"/>
              <w:ind w:left="19"/>
              <w:jc w:val="center"/>
              <w:rPr>
                <w:rFonts w:ascii="Arial"/>
                <w:b/>
                <w:sz w:val="24"/>
              </w:rPr>
            </w:pPr>
            <w:r>
              <w:rPr>
                <w:rFonts w:ascii="Arial"/>
                <w:b/>
                <w:sz w:val="24"/>
              </w:rPr>
              <w:t>F </w:t>
            </w:r>
            <w:r>
              <w:rPr>
                <w:rFonts w:ascii="Arial"/>
                <w:b/>
                <w:spacing w:val="-2"/>
                <w:sz w:val="24"/>
              </w:rPr>
              <w:t>ratio</w:t>
            </w:r>
          </w:p>
        </w:tc>
        <w:tc>
          <w:tcPr>
            <w:tcW w:w="1988" w:type="dxa"/>
            <w:tcBorders>
              <w:top w:val="single" w:sz="4" w:space="0" w:color="000000"/>
              <w:bottom w:val="single" w:sz="4" w:space="0" w:color="000000"/>
              <w:right w:val="single" w:sz="4" w:space="0" w:color="000000"/>
            </w:tcBorders>
          </w:tcPr>
          <w:p>
            <w:pPr>
              <w:pStyle w:val="TableParagraph"/>
              <w:spacing w:line="267" w:lineRule="exact"/>
              <w:ind w:left="273"/>
              <w:rPr>
                <w:rFonts w:ascii="Arial"/>
                <w:b/>
                <w:sz w:val="24"/>
              </w:rPr>
            </w:pPr>
            <w:r>
              <w:rPr>
                <w:rFonts w:ascii="Arial"/>
                <w:b/>
                <w:sz w:val="24"/>
              </w:rPr>
              <w:t>F </w:t>
            </w:r>
            <w:r>
              <w:rPr>
                <w:rFonts w:ascii="Arial"/>
                <w:b/>
                <w:spacing w:val="-2"/>
                <w:sz w:val="24"/>
              </w:rPr>
              <w:t>probability</w:t>
            </w:r>
          </w:p>
        </w:tc>
      </w:tr>
      <w:tr>
        <w:trPr>
          <w:trHeight w:val="346" w:hRule="atLeast"/>
        </w:trPr>
        <w:tc>
          <w:tcPr>
            <w:tcW w:w="1963" w:type="dxa"/>
            <w:tcBorders>
              <w:top w:val="single" w:sz="4" w:space="0" w:color="000000"/>
              <w:left w:val="single" w:sz="4" w:space="0" w:color="000000"/>
            </w:tcBorders>
          </w:tcPr>
          <w:p>
            <w:pPr>
              <w:pStyle w:val="TableParagraph"/>
              <w:spacing w:line="271" w:lineRule="exact"/>
              <w:ind w:left="105"/>
              <w:rPr>
                <w:sz w:val="24"/>
              </w:rPr>
            </w:pPr>
            <w:r>
              <w:rPr>
                <w:sz w:val="24"/>
              </w:rPr>
              <w:t>Between</w:t>
            </w:r>
            <w:r>
              <w:rPr>
                <w:spacing w:val="-13"/>
                <w:sz w:val="24"/>
              </w:rPr>
              <w:t> </w:t>
            </w:r>
            <w:r>
              <w:rPr>
                <w:spacing w:val="-2"/>
                <w:sz w:val="24"/>
              </w:rPr>
              <w:t>groups</w:t>
            </w:r>
          </w:p>
        </w:tc>
        <w:tc>
          <w:tcPr>
            <w:tcW w:w="686" w:type="dxa"/>
            <w:tcBorders>
              <w:top w:val="single" w:sz="4" w:space="0" w:color="000000"/>
            </w:tcBorders>
          </w:tcPr>
          <w:p>
            <w:pPr>
              <w:pStyle w:val="TableParagraph"/>
              <w:spacing w:line="271" w:lineRule="exact"/>
              <w:ind w:left="125"/>
              <w:rPr>
                <w:sz w:val="24"/>
              </w:rPr>
            </w:pPr>
            <w:r>
              <w:rPr>
                <w:spacing w:val="-10"/>
                <w:sz w:val="24"/>
              </w:rPr>
              <w:t>2</w:t>
            </w:r>
          </w:p>
        </w:tc>
        <w:tc>
          <w:tcPr>
            <w:tcW w:w="1290" w:type="dxa"/>
            <w:tcBorders>
              <w:top w:val="single" w:sz="4" w:space="0" w:color="000000"/>
            </w:tcBorders>
          </w:tcPr>
          <w:p>
            <w:pPr>
              <w:pStyle w:val="TableParagraph"/>
              <w:spacing w:line="271" w:lineRule="exact"/>
              <w:ind w:left="158"/>
              <w:rPr>
                <w:sz w:val="24"/>
              </w:rPr>
            </w:pPr>
            <w:r>
              <w:rPr>
                <w:spacing w:val="-2"/>
                <w:sz w:val="24"/>
              </w:rPr>
              <w:t>3.3181</w:t>
            </w:r>
          </w:p>
        </w:tc>
        <w:tc>
          <w:tcPr>
            <w:tcW w:w="1194" w:type="dxa"/>
            <w:tcBorders>
              <w:top w:val="single" w:sz="4" w:space="0" w:color="000000"/>
            </w:tcBorders>
          </w:tcPr>
          <w:p>
            <w:pPr>
              <w:pStyle w:val="TableParagraph"/>
              <w:spacing w:line="271" w:lineRule="exact"/>
              <w:ind w:left="131"/>
              <w:rPr>
                <w:sz w:val="24"/>
              </w:rPr>
            </w:pPr>
            <w:r>
              <w:rPr>
                <w:spacing w:val="-2"/>
                <w:sz w:val="24"/>
              </w:rPr>
              <w:t>1.6591</w:t>
            </w:r>
          </w:p>
        </w:tc>
        <w:tc>
          <w:tcPr>
            <w:tcW w:w="982" w:type="dxa"/>
            <w:tcBorders>
              <w:top w:val="single" w:sz="4" w:space="0" w:color="000000"/>
            </w:tcBorders>
          </w:tcPr>
          <w:p>
            <w:pPr>
              <w:pStyle w:val="TableParagraph"/>
              <w:spacing w:line="271" w:lineRule="exact"/>
              <w:ind w:left="19" w:right="18"/>
              <w:jc w:val="center"/>
              <w:rPr>
                <w:sz w:val="24"/>
              </w:rPr>
            </w:pPr>
            <w:r>
              <w:rPr>
                <w:spacing w:val="-2"/>
                <w:sz w:val="24"/>
              </w:rPr>
              <w:t>6.7611</w:t>
            </w:r>
          </w:p>
        </w:tc>
        <w:tc>
          <w:tcPr>
            <w:tcW w:w="1988" w:type="dxa"/>
            <w:tcBorders>
              <w:top w:val="single" w:sz="4" w:space="0" w:color="000000"/>
              <w:right w:val="single" w:sz="4" w:space="0" w:color="000000"/>
            </w:tcBorders>
          </w:tcPr>
          <w:p>
            <w:pPr>
              <w:pStyle w:val="TableParagraph"/>
              <w:spacing w:line="271" w:lineRule="exact"/>
              <w:ind w:left="115"/>
              <w:rPr>
                <w:sz w:val="24"/>
              </w:rPr>
            </w:pPr>
            <w:r>
              <w:rPr>
                <w:spacing w:val="-2"/>
                <w:sz w:val="24"/>
              </w:rPr>
              <w:t>0.0013</w:t>
            </w:r>
          </w:p>
        </w:tc>
      </w:tr>
      <w:tr>
        <w:trPr>
          <w:trHeight w:val="483" w:hRule="atLeast"/>
        </w:trPr>
        <w:tc>
          <w:tcPr>
            <w:tcW w:w="1963" w:type="dxa"/>
            <w:tcBorders>
              <w:left w:val="single" w:sz="4" w:space="0" w:color="000000"/>
              <w:bottom w:val="single" w:sz="4" w:space="0" w:color="000000"/>
            </w:tcBorders>
          </w:tcPr>
          <w:p>
            <w:pPr>
              <w:pStyle w:val="TableParagraph"/>
              <w:spacing w:before="67"/>
              <w:ind w:left="105"/>
              <w:rPr>
                <w:sz w:val="24"/>
              </w:rPr>
            </w:pPr>
            <w:r>
              <w:rPr>
                <w:sz w:val="24"/>
              </w:rPr>
              <w:t>Within</w:t>
            </w:r>
            <w:r>
              <w:rPr>
                <w:spacing w:val="-3"/>
                <w:sz w:val="24"/>
              </w:rPr>
              <w:t> </w:t>
            </w:r>
            <w:r>
              <w:rPr>
                <w:spacing w:val="-2"/>
                <w:sz w:val="24"/>
              </w:rPr>
              <w:t>groups</w:t>
            </w:r>
          </w:p>
        </w:tc>
        <w:tc>
          <w:tcPr>
            <w:tcW w:w="686" w:type="dxa"/>
            <w:tcBorders>
              <w:bottom w:val="single" w:sz="4" w:space="0" w:color="000000"/>
            </w:tcBorders>
          </w:tcPr>
          <w:p>
            <w:pPr>
              <w:pStyle w:val="TableParagraph"/>
              <w:spacing w:before="67"/>
              <w:ind w:left="125"/>
              <w:rPr>
                <w:sz w:val="24"/>
              </w:rPr>
            </w:pPr>
            <w:r>
              <w:rPr>
                <w:spacing w:val="-5"/>
                <w:sz w:val="24"/>
              </w:rPr>
              <w:t>458</w:t>
            </w:r>
          </w:p>
        </w:tc>
        <w:tc>
          <w:tcPr>
            <w:tcW w:w="1290" w:type="dxa"/>
            <w:tcBorders>
              <w:bottom w:val="single" w:sz="4" w:space="0" w:color="000000"/>
            </w:tcBorders>
          </w:tcPr>
          <w:p>
            <w:pPr>
              <w:pStyle w:val="TableParagraph"/>
              <w:spacing w:before="67"/>
              <w:ind w:left="158"/>
              <w:rPr>
                <w:sz w:val="24"/>
              </w:rPr>
            </w:pPr>
            <w:r>
              <w:rPr>
                <w:spacing w:val="-2"/>
                <w:sz w:val="24"/>
              </w:rPr>
              <w:t>112.3861</w:t>
            </w:r>
          </w:p>
        </w:tc>
        <w:tc>
          <w:tcPr>
            <w:tcW w:w="1194" w:type="dxa"/>
            <w:tcBorders>
              <w:bottom w:val="single" w:sz="4" w:space="0" w:color="000000"/>
            </w:tcBorders>
          </w:tcPr>
          <w:p>
            <w:pPr>
              <w:pStyle w:val="TableParagraph"/>
              <w:spacing w:before="67"/>
              <w:ind w:left="131"/>
              <w:rPr>
                <w:sz w:val="24"/>
              </w:rPr>
            </w:pPr>
            <w:r>
              <w:rPr>
                <w:spacing w:val="-2"/>
                <w:sz w:val="24"/>
              </w:rPr>
              <w:t>0.2454</w:t>
            </w:r>
          </w:p>
        </w:tc>
        <w:tc>
          <w:tcPr>
            <w:tcW w:w="982" w:type="dxa"/>
            <w:tcBorders>
              <w:bottom w:val="single" w:sz="4" w:space="0" w:color="000000"/>
            </w:tcBorders>
          </w:tcPr>
          <w:p>
            <w:pPr>
              <w:pStyle w:val="TableParagraph"/>
              <w:rPr>
                <w:rFonts w:ascii="Times New Roman"/>
                <w:sz w:val="24"/>
              </w:rPr>
            </w:pPr>
          </w:p>
        </w:tc>
        <w:tc>
          <w:tcPr>
            <w:tcW w:w="1988" w:type="dxa"/>
            <w:tcBorders>
              <w:bottom w:val="single" w:sz="4" w:space="0" w:color="000000"/>
              <w:right w:val="single" w:sz="4" w:space="0" w:color="000000"/>
            </w:tcBorders>
          </w:tcPr>
          <w:p>
            <w:pPr>
              <w:pStyle w:val="TableParagraph"/>
              <w:rPr>
                <w:rFonts w:ascii="Times New Roman"/>
                <w:sz w:val="24"/>
              </w:rPr>
            </w:pPr>
          </w:p>
        </w:tc>
      </w:tr>
      <w:tr>
        <w:trPr>
          <w:trHeight w:val="278" w:hRule="atLeast"/>
        </w:trPr>
        <w:tc>
          <w:tcPr>
            <w:tcW w:w="1963"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686" w:type="dxa"/>
            <w:tcBorders>
              <w:top w:val="single" w:sz="4" w:space="0" w:color="000000"/>
              <w:bottom w:val="single" w:sz="4" w:space="0" w:color="000000"/>
            </w:tcBorders>
          </w:tcPr>
          <w:p>
            <w:pPr>
              <w:pStyle w:val="TableParagraph"/>
              <w:spacing w:line="258" w:lineRule="exact"/>
              <w:ind w:left="125"/>
              <w:rPr>
                <w:sz w:val="24"/>
              </w:rPr>
            </w:pPr>
            <w:r>
              <w:rPr>
                <w:spacing w:val="-5"/>
                <w:sz w:val="24"/>
              </w:rPr>
              <w:t>460</w:t>
            </w:r>
          </w:p>
        </w:tc>
        <w:tc>
          <w:tcPr>
            <w:tcW w:w="1290" w:type="dxa"/>
            <w:tcBorders>
              <w:top w:val="single" w:sz="4" w:space="0" w:color="000000"/>
              <w:bottom w:val="single" w:sz="4" w:space="0" w:color="000000"/>
            </w:tcBorders>
          </w:tcPr>
          <w:p>
            <w:pPr>
              <w:pStyle w:val="TableParagraph"/>
              <w:spacing w:line="258" w:lineRule="exact"/>
              <w:ind w:left="158"/>
              <w:rPr>
                <w:sz w:val="24"/>
              </w:rPr>
            </w:pPr>
            <w:r>
              <w:rPr>
                <w:spacing w:val="-2"/>
                <w:sz w:val="24"/>
              </w:rPr>
              <w:t>115.7042</w:t>
            </w:r>
          </w:p>
        </w:tc>
        <w:tc>
          <w:tcPr>
            <w:tcW w:w="1194" w:type="dxa"/>
            <w:tcBorders>
              <w:top w:val="single" w:sz="4" w:space="0" w:color="000000"/>
              <w:bottom w:val="single" w:sz="4" w:space="0" w:color="000000"/>
            </w:tcBorders>
          </w:tcPr>
          <w:p>
            <w:pPr>
              <w:pStyle w:val="TableParagraph"/>
              <w:rPr>
                <w:rFonts w:ascii="Times New Roman"/>
                <w:sz w:val="20"/>
              </w:rPr>
            </w:pPr>
          </w:p>
        </w:tc>
        <w:tc>
          <w:tcPr>
            <w:tcW w:w="982" w:type="dxa"/>
            <w:tcBorders>
              <w:top w:val="single" w:sz="4" w:space="0" w:color="000000"/>
              <w:bottom w:val="single" w:sz="4" w:space="0" w:color="000000"/>
            </w:tcBorders>
          </w:tcPr>
          <w:p>
            <w:pPr>
              <w:pStyle w:val="TableParagraph"/>
              <w:rPr>
                <w:rFonts w:ascii="Times New Roman"/>
                <w:sz w:val="20"/>
              </w:rPr>
            </w:pPr>
          </w:p>
        </w:tc>
        <w:tc>
          <w:tcPr>
            <w:tcW w:w="1988" w:type="dxa"/>
            <w:tcBorders>
              <w:top w:val="single" w:sz="4" w:space="0" w:color="000000"/>
              <w:bottom w:val="single" w:sz="4" w:space="0" w:color="000000"/>
              <w:right w:val="single" w:sz="4" w:space="0" w:color="000000"/>
            </w:tcBorders>
          </w:tcPr>
          <w:p>
            <w:pPr>
              <w:pStyle w:val="TableParagraph"/>
              <w:rPr>
                <w:rFonts w:ascii="Times New Roman"/>
                <w:sz w:val="20"/>
              </w:rPr>
            </w:pPr>
          </w:p>
        </w:tc>
      </w:tr>
    </w:tbl>
    <w:p>
      <w:pPr>
        <w:pStyle w:val="BodyText"/>
        <w:ind w:left="1560"/>
      </w:pPr>
      <w:r>
        <w:rPr/>
        <w:t>F.</w:t>
      </w:r>
      <w:r>
        <w:rPr>
          <w:spacing w:val="-5"/>
        </w:rPr>
        <w:t> </w:t>
      </w:r>
      <w:r>
        <w:rPr/>
        <w:t>Probability</w:t>
      </w:r>
      <w:r>
        <w:rPr>
          <w:spacing w:val="-5"/>
        </w:rPr>
        <w:t> </w:t>
      </w:r>
      <w:r>
        <w:rPr/>
        <w:t>&lt;</w:t>
      </w:r>
      <w:r>
        <w:rPr>
          <w:spacing w:val="-5"/>
        </w:rPr>
        <w:t> </w:t>
      </w:r>
      <w:r>
        <w:rPr/>
        <w:t>0.05</w:t>
      </w:r>
      <w:r>
        <w:rPr>
          <w:spacing w:val="-4"/>
        </w:rPr>
        <w:t> </w:t>
      </w:r>
      <w:r>
        <w:rPr/>
        <w:t>=&gt;</w:t>
      </w:r>
      <w:r>
        <w:rPr>
          <w:spacing w:val="-6"/>
        </w:rPr>
        <w:t> </w:t>
      </w:r>
      <w:r>
        <w:rPr/>
        <w:t>HO</w:t>
      </w:r>
      <w:r>
        <w:rPr>
          <w:spacing w:val="-3"/>
        </w:rPr>
        <w:t> </w:t>
      </w:r>
      <w:r>
        <w:rPr>
          <w:spacing w:val="-5"/>
        </w:rPr>
        <w:t>Rjt</w:t>
      </w:r>
    </w:p>
    <w:p>
      <w:pPr>
        <w:spacing w:after="0"/>
        <w:sectPr>
          <w:headerReference w:type="default" r:id="rId429"/>
          <w:footerReference w:type="default" r:id="rId430"/>
          <w:pgSz w:w="12240" w:h="15840"/>
          <w:pgMar w:header="722" w:footer="791" w:top="980" w:bottom="980" w:left="1320" w:right="880"/>
        </w:sectPr>
      </w:pPr>
    </w:p>
    <w:p>
      <w:pPr>
        <w:pStyle w:val="BodyText"/>
        <w:spacing w:before="171"/>
      </w:pPr>
    </w:p>
    <w:p>
      <w:pPr>
        <w:pStyle w:val="BodyText"/>
        <w:spacing w:line="480" w:lineRule="auto"/>
        <w:ind w:left="840" w:right="554" w:firstLine="720"/>
        <w:jc w:val="both"/>
      </w:pPr>
      <w:r>
        <w:rPr/>
        <w:t>Table, 4.5.9 above shows that the F probability is 0.0013, which is lower than the accepted P-value of 0.05 slated for the study. The HO was therefore rejected.</w:t>
      </w:r>
      <w:r>
        <w:rPr>
          <w:spacing w:val="40"/>
        </w:rPr>
        <w:t> </w:t>
      </w:r>
      <w:r>
        <w:rPr/>
        <w:t>In view of this result, it could be concluded that there is significant difference in the opinions of the three sets of respondents with respect to the impact of the provision and management of perceived students’ welfare in these universities. To determine the extent of the relationship of three groups of respondents regarding the impact of the provision and management of the diverse students’</w:t>
      </w:r>
      <w:r>
        <w:rPr>
          <w:spacing w:val="-2"/>
        </w:rPr>
        <w:t> </w:t>
      </w:r>
      <w:r>
        <w:rPr/>
        <w:t>welfare</w:t>
      </w:r>
      <w:r>
        <w:rPr>
          <w:spacing w:val="-1"/>
        </w:rPr>
        <w:t> </w:t>
      </w:r>
      <w:r>
        <w:rPr/>
        <w:t>services</w:t>
      </w:r>
      <w:r>
        <w:rPr>
          <w:spacing w:val="-2"/>
        </w:rPr>
        <w:t> </w:t>
      </w:r>
      <w:r>
        <w:rPr/>
        <w:t>in</w:t>
      </w:r>
      <w:r>
        <w:rPr>
          <w:spacing w:val="-1"/>
        </w:rPr>
        <w:t> </w:t>
      </w:r>
      <w:r>
        <w:rPr/>
        <w:t>universities</w:t>
      </w:r>
      <w:r>
        <w:rPr>
          <w:spacing w:val="-2"/>
        </w:rPr>
        <w:t> </w:t>
      </w:r>
      <w:r>
        <w:rPr/>
        <w:t>in the three</w:t>
      </w:r>
      <w:r>
        <w:rPr>
          <w:spacing w:val="-1"/>
        </w:rPr>
        <w:t> </w:t>
      </w:r>
      <w:r>
        <w:rPr/>
        <w:t>geopolitical zones</w:t>
      </w:r>
      <w:r>
        <w:rPr>
          <w:spacing w:val="-7"/>
        </w:rPr>
        <w:t> </w:t>
      </w:r>
      <w:r>
        <w:rPr/>
        <w:t>in Northern part of Nigeria, scheffe’s test was employed and the outcome of the result is presented in Table 4.5.10.</w:t>
      </w:r>
    </w:p>
    <w:p>
      <w:pPr>
        <w:pStyle w:val="Heading2"/>
        <w:ind w:left="2568" w:right="561" w:hanging="1728"/>
        <w:jc w:val="both"/>
      </w:pPr>
      <w:r>
        <w:rPr/>
        <w:t>Table</w:t>
      </w:r>
      <w:r>
        <w:rPr>
          <w:spacing w:val="-18"/>
        </w:rPr>
        <w:t> </w:t>
      </w:r>
      <w:r>
        <w:rPr/>
        <w:t>4.5.10:</w:t>
      </w:r>
      <w:r>
        <w:rPr>
          <w:spacing w:val="-19"/>
        </w:rPr>
        <w:t> </w:t>
      </w:r>
      <w:r>
        <w:rPr/>
        <w:t>Scheffe’s</w:t>
      </w:r>
      <w:r>
        <w:rPr>
          <w:spacing w:val="-5"/>
        </w:rPr>
        <w:t> </w:t>
      </w:r>
      <w:r>
        <w:rPr/>
        <w:t>Multiple</w:t>
      </w:r>
      <w:r>
        <w:rPr>
          <w:spacing w:val="-6"/>
        </w:rPr>
        <w:t> </w:t>
      </w:r>
      <w:r>
        <w:rPr/>
        <w:t>Comparison</w:t>
      </w:r>
      <w:r>
        <w:rPr>
          <w:spacing w:val="-6"/>
        </w:rPr>
        <w:t> </w:t>
      </w:r>
      <w:r>
        <w:rPr/>
        <w:t>Test</w:t>
      </w:r>
      <w:r>
        <w:rPr>
          <w:spacing w:val="-6"/>
        </w:rPr>
        <w:t> </w:t>
      </w:r>
      <w:r>
        <w:rPr/>
        <w:t>on</w:t>
      </w:r>
      <w:r>
        <w:rPr>
          <w:spacing w:val="-6"/>
        </w:rPr>
        <w:t> </w:t>
      </w:r>
      <w:r>
        <w:rPr/>
        <w:t>the</w:t>
      </w:r>
      <w:r>
        <w:rPr>
          <w:spacing w:val="-6"/>
        </w:rPr>
        <w:t> </w:t>
      </w:r>
      <w:r>
        <w:rPr/>
        <w:t>opinions of respondents with</w:t>
      </w:r>
      <w:r>
        <w:rPr>
          <w:spacing w:val="80"/>
        </w:rPr>
        <w:t> </w:t>
      </w:r>
      <w:r>
        <w:rPr/>
        <w:t>respect to the impact of provision and management of diverse services in term of social, academic, medical/health and environmental services on students’ welfare services in universities in the three geopolitical zones in Northern part of</w:t>
      </w:r>
      <w:r>
        <w:rPr>
          <w:spacing w:val="40"/>
        </w:rPr>
        <w:t> </w:t>
      </w:r>
      <w:r>
        <w:rPr/>
        <w:t>Nigeria</w:t>
      </w:r>
    </w:p>
    <w:p>
      <w:pPr>
        <w:pStyle w:val="BodyText"/>
        <w:spacing w:before="51"/>
        <w:rPr>
          <w:rFonts w:ascii="Arial"/>
          <w:b/>
          <w:sz w:val="20"/>
        </w:rPr>
      </w:pPr>
    </w:p>
    <w:tbl>
      <w:tblPr>
        <w:tblW w:w="0" w:type="auto"/>
        <w:jc w:val="left"/>
        <w:tblInd w:w="9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16"/>
        <w:gridCol w:w="1783"/>
        <w:gridCol w:w="1711"/>
        <w:gridCol w:w="1514"/>
        <w:gridCol w:w="1289"/>
        <w:gridCol w:w="951"/>
      </w:tblGrid>
      <w:tr>
        <w:trPr>
          <w:trHeight w:val="830" w:hRule="atLeast"/>
        </w:trPr>
        <w:tc>
          <w:tcPr>
            <w:tcW w:w="1516" w:type="dxa"/>
            <w:tcBorders>
              <w:top w:val="single" w:sz="4" w:space="0" w:color="000000"/>
              <w:left w:val="single" w:sz="4" w:space="0" w:color="000000"/>
              <w:bottom w:val="single" w:sz="4" w:space="0" w:color="000000"/>
            </w:tcBorders>
          </w:tcPr>
          <w:p>
            <w:pPr>
              <w:pStyle w:val="TableParagraph"/>
              <w:spacing w:line="242" w:lineRule="auto"/>
              <w:ind w:left="91"/>
              <w:rPr>
                <w:sz w:val="24"/>
              </w:rPr>
            </w:pPr>
            <w:r>
              <w:rPr>
                <w:spacing w:val="-2"/>
                <w:sz w:val="24"/>
              </w:rPr>
              <w:t>Depend Variable</w:t>
            </w:r>
          </w:p>
        </w:tc>
        <w:tc>
          <w:tcPr>
            <w:tcW w:w="1783" w:type="dxa"/>
            <w:tcBorders>
              <w:top w:val="single" w:sz="4" w:space="0" w:color="000000"/>
              <w:bottom w:val="single" w:sz="4" w:space="0" w:color="000000"/>
            </w:tcBorders>
          </w:tcPr>
          <w:p>
            <w:pPr>
              <w:pStyle w:val="TableParagraph"/>
              <w:spacing w:line="271" w:lineRule="exact"/>
              <w:ind w:left="322"/>
              <w:rPr>
                <w:sz w:val="24"/>
              </w:rPr>
            </w:pPr>
            <w:r>
              <w:rPr>
                <w:sz w:val="24"/>
              </w:rPr>
              <w:t>(I) </w:t>
            </w:r>
            <w:r>
              <w:rPr>
                <w:spacing w:val="-2"/>
                <w:sz w:val="24"/>
              </w:rPr>
              <w:t>Status</w:t>
            </w:r>
          </w:p>
        </w:tc>
        <w:tc>
          <w:tcPr>
            <w:tcW w:w="1711" w:type="dxa"/>
            <w:tcBorders>
              <w:top w:val="single" w:sz="4" w:space="0" w:color="000000"/>
              <w:bottom w:val="single" w:sz="4" w:space="0" w:color="000000"/>
            </w:tcBorders>
          </w:tcPr>
          <w:p>
            <w:pPr>
              <w:pStyle w:val="TableParagraph"/>
              <w:spacing w:line="271" w:lineRule="exact"/>
              <w:ind w:left="339"/>
              <w:rPr>
                <w:sz w:val="24"/>
              </w:rPr>
            </w:pPr>
            <w:r>
              <w:rPr>
                <w:sz w:val="24"/>
              </w:rPr>
              <w:t>(J) </w:t>
            </w:r>
            <w:r>
              <w:rPr>
                <w:spacing w:val="-2"/>
                <w:sz w:val="24"/>
              </w:rPr>
              <w:t>Status</w:t>
            </w:r>
          </w:p>
        </w:tc>
        <w:tc>
          <w:tcPr>
            <w:tcW w:w="1514" w:type="dxa"/>
            <w:tcBorders>
              <w:top w:val="single" w:sz="4" w:space="0" w:color="000000"/>
              <w:bottom w:val="single" w:sz="4" w:space="0" w:color="000000"/>
            </w:tcBorders>
          </w:tcPr>
          <w:p>
            <w:pPr>
              <w:pStyle w:val="TableParagraph"/>
              <w:spacing w:line="271" w:lineRule="exact"/>
              <w:ind w:left="250"/>
              <w:rPr>
                <w:sz w:val="24"/>
              </w:rPr>
            </w:pPr>
            <w:r>
              <w:rPr>
                <w:spacing w:val="-4"/>
                <w:sz w:val="24"/>
              </w:rPr>
              <w:t>Mean</w:t>
            </w:r>
          </w:p>
          <w:p>
            <w:pPr>
              <w:pStyle w:val="TableParagraph"/>
              <w:spacing w:line="274" w:lineRule="exact"/>
              <w:ind w:left="250" w:right="163"/>
              <w:rPr>
                <w:sz w:val="24"/>
              </w:rPr>
            </w:pPr>
            <w:r>
              <w:rPr>
                <w:spacing w:val="-2"/>
                <w:sz w:val="24"/>
              </w:rPr>
              <w:t>Difference (I-J)</w:t>
            </w:r>
          </w:p>
        </w:tc>
        <w:tc>
          <w:tcPr>
            <w:tcW w:w="1289" w:type="dxa"/>
            <w:tcBorders>
              <w:top w:val="single" w:sz="4" w:space="0" w:color="000000"/>
              <w:bottom w:val="single" w:sz="4" w:space="0" w:color="000000"/>
            </w:tcBorders>
          </w:tcPr>
          <w:p>
            <w:pPr>
              <w:pStyle w:val="TableParagraph"/>
              <w:spacing w:line="237" w:lineRule="auto" w:before="137"/>
              <w:ind w:left="176"/>
              <w:rPr>
                <w:sz w:val="24"/>
              </w:rPr>
            </w:pPr>
            <w:r>
              <w:rPr>
                <w:spacing w:val="-2"/>
                <w:sz w:val="24"/>
              </w:rPr>
              <w:t>Standard Error</w:t>
            </w:r>
          </w:p>
        </w:tc>
        <w:tc>
          <w:tcPr>
            <w:tcW w:w="951" w:type="dxa"/>
            <w:tcBorders>
              <w:top w:val="single" w:sz="4" w:space="0" w:color="000000"/>
              <w:bottom w:val="single" w:sz="4" w:space="0" w:color="000000"/>
              <w:right w:val="single" w:sz="4" w:space="0" w:color="000000"/>
            </w:tcBorders>
          </w:tcPr>
          <w:p>
            <w:pPr>
              <w:pStyle w:val="TableParagraph"/>
              <w:spacing w:line="237" w:lineRule="auto" w:before="137"/>
              <w:ind w:left="145" w:right="141"/>
              <w:rPr>
                <w:sz w:val="24"/>
              </w:rPr>
            </w:pPr>
            <w:r>
              <w:rPr>
                <w:spacing w:val="-2"/>
                <w:sz w:val="24"/>
              </w:rPr>
              <w:t>Signifi </w:t>
            </w:r>
            <w:r>
              <w:rPr>
                <w:spacing w:val="-4"/>
                <w:sz w:val="24"/>
              </w:rPr>
              <w:t>cance</w:t>
            </w:r>
          </w:p>
        </w:tc>
      </w:tr>
      <w:tr>
        <w:trPr>
          <w:trHeight w:val="274" w:hRule="atLeast"/>
        </w:trPr>
        <w:tc>
          <w:tcPr>
            <w:tcW w:w="1516" w:type="dxa"/>
            <w:tcBorders>
              <w:top w:val="single" w:sz="4" w:space="0" w:color="000000"/>
              <w:left w:val="single" w:sz="4" w:space="0" w:color="000000"/>
            </w:tcBorders>
          </w:tcPr>
          <w:p>
            <w:pPr>
              <w:pStyle w:val="TableParagraph"/>
              <w:rPr>
                <w:rFonts w:ascii="Times New Roman"/>
                <w:sz w:val="20"/>
              </w:rPr>
            </w:pPr>
          </w:p>
        </w:tc>
        <w:tc>
          <w:tcPr>
            <w:tcW w:w="1783" w:type="dxa"/>
            <w:tcBorders>
              <w:top w:val="single" w:sz="4" w:space="0" w:color="000000"/>
            </w:tcBorders>
          </w:tcPr>
          <w:p>
            <w:pPr>
              <w:pStyle w:val="TableParagraph"/>
              <w:spacing w:line="254" w:lineRule="exact"/>
              <w:ind w:left="322"/>
              <w:rPr>
                <w:sz w:val="24"/>
              </w:rPr>
            </w:pPr>
            <w:r>
              <w:rPr>
                <w:spacing w:val="-2"/>
                <w:sz w:val="24"/>
              </w:rPr>
              <w:t>Student</w:t>
            </w:r>
          </w:p>
        </w:tc>
        <w:tc>
          <w:tcPr>
            <w:tcW w:w="1711" w:type="dxa"/>
            <w:tcBorders>
              <w:top w:val="single" w:sz="4" w:space="0" w:color="000000"/>
            </w:tcBorders>
          </w:tcPr>
          <w:p>
            <w:pPr>
              <w:pStyle w:val="TableParagraph"/>
              <w:spacing w:line="254" w:lineRule="exact"/>
              <w:ind w:left="339"/>
              <w:rPr>
                <w:sz w:val="24"/>
              </w:rPr>
            </w:pPr>
            <w:r>
              <w:rPr>
                <w:spacing w:val="-4"/>
                <w:sz w:val="24"/>
              </w:rPr>
              <w:t>Staff</w:t>
            </w:r>
          </w:p>
        </w:tc>
        <w:tc>
          <w:tcPr>
            <w:tcW w:w="1514" w:type="dxa"/>
            <w:tcBorders>
              <w:top w:val="single" w:sz="4" w:space="0" w:color="000000"/>
            </w:tcBorders>
          </w:tcPr>
          <w:p>
            <w:pPr>
              <w:pStyle w:val="TableParagraph"/>
              <w:spacing w:line="254" w:lineRule="exact"/>
              <w:ind w:left="250"/>
              <w:rPr>
                <w:sz w:val="24"/>
              </w:rPr>
            </w:pPr>
            <w:r>
              <w:rPr>
                <w:spacing w:val="-2"/>
                <w:sz w:val="24"/>
              </w:rPr>
              <w:t>.16827(*)</w:t>
            </w:r>
          </w:p>
        </w:tc>
        <w:tc>
          <w:tcPr>
            <w:tcW w:w="1289" w:type="dxa"/>
            <w:tcBorders>
              <w:top w:val="single" w:sz="4" w:space="0" w:color="000000"/>
            </w:tcBorders>
          </w:tcPr>
          <w:p>
            <w:pPr>
              <w:pStyle w:val="TableParagraph"/>
              <w:spacing w:line="254" w:lineRule="exact"/>
              <w:ind w:left="176"/>
              <w:rPr>
                <w:sz w:val="24"/>
              </w:rPr>
            </w:pPr>
            <w:r>
              <w:rPr>
                <w:spacing w:val="-2"/>
                <w:sz w:val="24"/>
              </w:rPr>
              <w:t>.04491</w:t>
            </w:r>
          </w:p>
        </w:tc>
        <w:tc>
          <w:tcPr>
            <w:tcW w:w="951" w:type="dxa"/>
            <w:tcBorders>
              <w:top w:val="single" w:sz="4" w:space="0" w:color="000000"/>
              <w:right w:val="single" w:sz="4" w:space="0" w:color="000000"/>
            </w:tcBorders>
          </w:tcPr>
          <w:p>
            <w:pPr>
              <w:pStyle w:val="TableParagraph"/>
              <w:spacing w:line="254" w:lineRule="exact"/>
              <w:ind w:left="145"/>
              <w:rPr>
                <w:sz w:val="24"/>
              </w:rPr>
            </w:pPr>
            <w:r>
              <w:rPr>
                <w:spacing w:val="-4"/>
                <w:sz w:val="24"/>
              </w:rPr>
              <w:t>.001</w:t>
            </w:r>
          </w:p>
        </w:tc>
      </w:tr>
      <w:tr>
        <w:trPr>
          <w:trHeight w:val="275" w:hRule="atLeast"/>
        </w:trPr>
        <w:tc>
          <w:tcPr>
            <w:tcW w:w="1516" w:type="dxa"/>
            <w:tcBorders>
              <w:left w:val="single" w:sz="4" w:space="0" w:color="000000"/>
            </w:tcBorders>
          </w:tcPr>
          <w:p>
            <w:pPr>
              <w:pStyle w:val="TableParagraph"/>
              <w:rPr>
                <w:rFonts w:ascii="Times New Roman"/>
                <w:sz w:val="20"/>
              </w:rPr>
            </w:pPr>
          </w:p>
        </w:tc>
        <w:tc>
          <w:tcPr>
            <w:tcW w:w="1783" w:type="dxa"/>
          </w:tcPr>
          <w:p>
            <w:pPr>
              <w:pStyle w:val="TableParagraph"/>
              <w:rPr>
                <w:rFonts w:ascii="Times New Roman"/>
                <w:sz w:val="20"/>
              </w:rPr>
            </w:pPr>
          </w:p>
        </w:tc>
        <w:tc>
          <w:tcPr>
            <w:tcW w:w="1711" w:type="dxa"/>
          </w:tcPr>
          <w:p>
            <w:pPr>
              <w:pStyle w:val="TableParagraph"/>
              <w:spacing w:line="256" w:lineRule="exact"/>
              <w:ind w:left="339"/>
              <w:rPr>
                <w:sz w:val="24"/>
              </w:rPr>
            </w:pPr>
            <w:r>
              <w:rPr>
                <w:spacing w:val="-2"/>
                <w:sz w:val="24"/>
              </w:rPr>
              <w:t>Managmet</w:t>
            </w:r>
          </w:p>
        </w:tc>
        <w:tc>
          <w:tcPr>
            <w:tcW w:w="1514" w:type="dxa"/>
          </w:tcPr>
          <w:p>
            <w:pPr>
              <w:pStyle w:val="TableParagraph"/>
              <w:spacing w:line="256" w:lineRule="exact"/>
              <w:ind w:left="250"/>
              <w:rPr>
                <w:sz w:val="24"/>
              </w:rPr>
            </w:pPr>
            <w:r>
              <w:rPr>
                <w:sz w:val="24"/>
              </w:rPr>
              <w:t>-</w:t>
            </w:r>
            <w:r>
              <w:rPr>
                <w:spacing w:val="-2"/>
                <w:sz w:val="24"/>
              </w:rPr>
              <w:t>.08301(*)</w:t>
            </w:r>
          </w:p>
        </w:tc>
        <w:tc>
          <w:tcPr>
            <w:tcW w:w="1289" w:type="dxa"/>
          </w:tcPr>
          <w:p>
            <w:pPr>
              <w:pStyle w:val="TableParagraph"/>
              <w:spacing w:line="256" w:lineRule="exact"/>
              <w:ind w:left="176"/>
              <w:rPr>
                <w:sz w:val="24"/>
              </w:rPr>
            </w:pPr>
            <w:r>
              <w:rPr>
                <w:spacing w:val="-2"/>
                <w:sz w:val="24"/>
              </w:rPr>
              <w:t>.10239</w:t>
            </w:r>
          </w:p>
        </w:tc>
        <w:tc>
          <w:tcPr>
            <w:tcW w:w="951" w:type="dxa"/>
            <w:tcBorders>
              <w:right w:val="single" w:sz="4" w:space="0" w:color="000000"/>
            </w:tcBorders>
          </w:tcPr>
          <w:p>
            <w:pPr>
              <w:pStyle w:val="TableParagraph"/>
              <w:spacing w:line="256" w:lineRule="exact"/>
              <w:ind w:left="145"/>
              <w:rPr>
                <w:sz w:val="24"/>
              </w:rPr>
            </w:pPr>
            <w:r>
              <w:rPr>
                <w:spacing w:val="-4"/>
                <w:sz w:val="24"/>
              </w:rPr>
              <w:t>.020</w:t>
            </w:r>
          </w:p>
        </w:tc>
      </w:tr>
      <w:tr>
        <w:trPr>
          <w:trHeight w:val="276" w:hRule="atLeast"/>
        </w:trPr>
        <w:tc>
          <w:tcPr>
            <w:tcW w:w="1516" w:type="dxa"/>
            <w:tcBorders>
              <w:left w:val="single" w:sz="4" w:space="0" w:color="000000"/>
            </w:tcBorders>
          </w:tcPr>
          <w:p>
            <w:pPr>
              <w:pStyle w:val="TableParagraph"/>
              <w:spacing w:line="256" w:lineRule="exact"/>
              <w:ind w:left="91"/>
              <w:rPr>
                <w:sz w:val="24"/>
              </w:rPr>
            </w:pPr>
            <w:r>
              <w:rPr>
                <w:sz w:val="24"/>
              </w:rPr>
              <w:t>Impacts</w:t>
            </w:r>
            <w:r>
              <w:rPr>
                <w:spacing w:val="-10"/>
                <w:sz w:val="24"/>
              </w:rPr>
              <w:t> </w:t>
            </w:r>
            <w:r>
              <w:rPr>
                <w:spacing w:val="-5"/>
                <w:sz w:val="24"/>
              </w:rPr>
              <w:t>of</w:t>
            </w:r>
          </w:p>
        </w:tc>
        <w:tc>
          <w:tcPr>
            <w:tcW w:w="1783" w:type="dxa"/>
          </w:tcPr>
          <w:p>
            <w:pPr>
              <w:pStyle w:val="TableParagraph"/>
              <w:spacing w:line="256" w:lineRule="exact"/>
              <w:ind w:left="322"/>
              <w:rPr>
                <w:sz w:val="24"/>
              </w:rPr>
            </w:pPr>
            <w:r>
              <w:rPr>
                <w:spacing w:val="-4"/>
                <w:sz w:val="24"/>
              </w:rPr>
              <w:t>Staff</w:t>
            </w:r>
          </w:p>
        </w:tc>
        <w:tc>
          <w:tcPr>
            <w:tcW w:w="1711" w:type="dxa"/>
          </w:tcPr>
          <w:p>
            <w:pPr>
              <w:pStyle w:val="TableParagraph"/>
              <w:spacing w:line="256" w:lineRule="exact"/>
              <w:ind w:left="339"/>
              <w:rPr>
                <w:sz w:val="24"/>
              </w:rPr>
            </w:pPr>
            <w:r>
              <w:rPr>
                <w:spacing w:val="-2"/>
                <w:sz w:val="24"/>
              </w:rPr>
              <w:t>Student</w:t>
            </w:r>
          </w:p>
        </w:tc>
        <w:tc>
          <w:tcPr>
            <w:tcW w:w="1514" w:type="dxa"/>
          </w:tcPr>
          <w:p>
            <w:pPr>
              <w:pStyle w:val="TableParagraph"/>
              <w:spacing w:line="256" w:lineRule="exact"/>
              <w:ind w:left="250"/>
              <w:rPr>
                <w:sz w:val="24"/>
              </w:rPr>
            </w:pPr>
            <w:r>
              <w:rPr>
                <w:sz w:val="24"/>
              </w:rPr>
              <w:t>-</w:t>
            </w:r>
            <w:r>
              <w:rPr>
                <w:spacing w:val="-2"/>
                <w:sz w:val="24"/>
              </w:rPr>
              <w:t>.16827(*)</w:t>
            </w:r>
          </w:p>
        </w:tc>
        <w:tc>
          <w:tcPr>
            <w:tcW w:w="1289" w:type="dxa"/>
          </w:tcPr>
          <w:p>
            <w:pPr>
              <w:pStyle w:val="TableParagraph"/>
              <w:spacing w:line="256" w:lineRule="exact"/>
              <w:ind w:left="176"/>
              <w:rPr>
                <w:sz w:val="24"/>
              </w:rPr>
            </w:pPr>
            <w:r>
              <w:rPr>
                <w:spacing w:val="-2"/>
                <w:sz w:val="24"/>
              </w:rPr>
              <w:t>.04491</w:t>
            </w:r>
          </w:p>
        </w:tc>
        <w:tc>
          <w:tcPr>
            <w:tcW w:w="951" w:type="dxa"/>
            <w:tcBorders>
              <w:right w:val="single" w:sz="4" w:space="0" w:color="000000"/>
            </w:tcBorders>
          </w:tcPr>
          <w:p>
            <w:pPr>
              <w:pStyle w:val="TableParagraph"/>
              <w:spacing w:line="256" w:lineRule="exact"/>
              <w:ind w:left="145"/>
              <w:rPr>
                <w:sz w:val="24"/>
              </w:rPr>
            </w:pPr>
            <w:r>
              <w:rPr>
                <w:spacing w:val="-4"/>
                <w:sz w:val="24"/>
              </w:rPr>
              <w:t>.001</w:t>
            </w:r>
          </w:p>
        </w:tc>
      </w:tr>
      <w:tr>
        <w:trPr>
          <w:trHeight w:val="276" w:hRule="atLeast"/>
        </w:trPr>
        <w:tc>
          <w:tcPr>
            <w:tcW w:w="1516" w:type="dxa"/>
            <w:tcBorders>
              <w:left w:val="single" w:sz="4" w:space="0" w:color="000000"/>
            </w:tcBorders>
          </w:tcPr>
          <w:p>
            <w:pPr>
              <w:pStyle w:val="TableParagraph"/>
              <w:spacing w:line="256" w:lineRule="exact"/>
              <w:ind w:left="91"/>
              <w:rPr>
                <w:sz w:val="24"/>
              </w:rPr>
            </w:pPr>
            <w:r>
              <w:rPr>
                <w:spacing w:val="-2"/>
                <w:sz w:val="24"/>
              </w:rPr>
              <w:t>Diverse</w:t>
            </w:r>
          </w:p>
        </w:tc>
        <w:tc>
          <w:tcPr>
            <w:tcW w:w="1783" w:type="dxa"/>
          </w:tcPr>
          <w:p>
            <w:pPr>
              <w:pStyle w:val="TableParagraph"/>
              <w:rPr>
                <w:rFonts w:ascii="Times New Roman"/>
                <w:sz w:val="20"/>
              </w:rPr>
            </w:pPr>
          </w:p>
        </w:tc>
        <w:tc>
          <w:tcPr>
            <w:tcW w:w="1711" w:type="dxa"/>
          </w:tcPr>
          <w:p>
            <w:pPr>
              <w:pStyle w:val="TableParagraph"/>
              <w:spacing w:line="256" w:lineRule="exact"/>
              <w:ind w:left="339"/>
              <w:rPr>
                <w:sz w:val="24"/>
              </w:rPr>
            </w:pPr>
            <w:r>
              <w:rPr>
                <w:spacing w:val="-2"/>
                <w:sz w:val="24"/>
              </w:rPr>
              <w:t>Managmet</w:t>
            </w:r>
          </w:p>
        </w:tc>
        <w:tc>
          <w:tcPr>
            <w:tcW w:w="1514" w:type="dxa"/>
          </w:tcPr>
          <w:p>
            <w:pPr>
              <w:pStyle w:val="TableParagraph"/>
              <w:spacing w:line="256" w:lineRule="exact"/>
              <w:ind w:left="250"/>
              <w:rPr>
                <w:sz w:val="24"/>
              </w:rPr>
            </w:pPr>
            <w:r>
              <w:rPr>
                <w:sz w:val="24"/>
              </w:rPr>
              <w:t>-</w:t>
            </w:r>
            <w:r>
              <w:rPr>
                <w:spacing w:val="-2"/>
                <w:sz w:val="24"/>
              </w:rPr>
              <w:t>.25128</w:t>
            </w:r>
          </w:p>
        </w:tc>
        <w:tc>
          <w:tcPr>
            <w:tcW w:w="1289" w:type="dxa"/>
          </w:tcPr>
          <w:p>
            <w:pPr>
              <w:pStyle w:val="TableParagraph"/>
              <w:spacing w:line="256" w:lineRule="exact"/>
              <w:ind w:left="176"/>
              <w:rPr>
                <w:sz w:val="24"/>
              </w:rPr>
            </w:pPr>
            <w:r>
              <w:rPr>
                <w:spacing w:val="-2"/>
                <w:sz w:val="24"/>
              </w:rPr>
              <w:t>.10311</w:t>
            </w:r>
          </w:p>
        </w:tc>
        <w:tc>
          <w:tcPr>
            <w:tcW w:w="951" w:type="dxa"/>
            <w:tcBorders>
              <w:right w:val="single" w:sz="4" w:space="0" w:color="000000"/>
            </w:tcBorders>
          </w:tcPr>
          <w:p>
            <w:pPr>
              <w:pStyle w:val="TableParagraph"/>
              <w:spacing w:line="256" w:lineRule="exact"/>
              <w:ind w:left="145"/>
              <w:rPr>
                <w:sz w:val="24"/>
              </w:rPr>
            </w:pPr>
            <w:r>
              <w:rPr>
                <w:spacing w:val="-4"/>
                <w:sz w:val="24"/>
              </w:rPr>
              <w:t>.052</w:t>
            </w:r>
          </w:p>
        </w:tc>
      </w:tr>
      <w:tr>
        <w:trPr>
          <w:trHeight w:val="275" w:hRule="atLeast"/>
        </w:trPr>
        <w:tc>
          <w:tcPr>
            <w:tcW w:w="1516" w:type="dxa"/>
            <w:tcBorders>
              <w:left w:val="single" w:sz="4" w:space="0" w:color="000000"/>
            </w:tcBorders>
          </w:tcPr>
          <w:p>
            <w:pPr>
              <w:pStyle w:val="TableParagraph"/>
              <w:spacing w:line="256" w:lineRule="exact"/>
              <w:ind w:left="91"/>
              <w:rPr>
                <w:sz w:val="24"/>
              </w:rPr>
            </w:pPr>
            <w:r>
              <w:rPr>
                <w:spacing w:val="-2"/>
                <w:sz w:val="24"/>
              </w:rPr>
              <w:t>Services</w:t>
            </w:r>
          </w:p>
        </w:tc>
        <w:tc>
          <w:tcPr>
            <w:tcW w:w="1783" w:type="dxa"/>
          </w:tcPr>
          <w:p>
            <w:pPr>
              <w:pStyle w:val="TableParagraph"/>
              <w:spacing w:line="256" w:lineRule="exact"/>
              <w:ind w:left="322"/>
              <w:rPr>
                <w:sz w:val="24"/>
              </w:rPr>
            </w:pPr>
            <w:r>
              <w:rPr>
                <w:spacing w:val="-2"/>
                <w:sz w:val="24"/>
              </w:rPr>
              <w:t>Managmet</w:t>
            </w:r>
          </w:p>
        </w:tc>
        <w:tc>
          <w:tcPr>
            <w:tcW w:w="1711" w:type="dxa"/>
          </w:tcPr>
          <w:p>
            <w:pPr>
              <w:pStyle w:val="TableParagraph"/>
              <w:spacing w:line="256" w:lineRule="exact"/>
              <w:ind w:left="339"/>
              <w:rPr>
                <w:sz w:val="24"/>
              </w:rPr>
            </w:pPr>
            <w:r>
              <w:rPr>
                <w:spacing w:val="-2"/>
                <w:sz w:val="24"/>
              </w:rPr>
              <w:t>Student</w:t>
            </w:r>
          </w:p>
        </w:tc>
        <w:tc>
          <w:tcPr>
            <w:tcW w:w="1514" w:type="dxa"/>
          </w:tcPr>
          <w:p>
            <w:pPr>
              <w:pStyle w:val="TableParagraph"/>
              <w:spacing w:line="256" w:lineRule="exact"/>
              <w:ind w:left="250"/>
              <w:rPr>
                <w:sz w:val="24"/>
              </w:rPr>
            </w:pPr>
            <w:r>
              <w:rPr>
                <w:spacing w:val="-2"/>
                <w:sz w:val="24"/>
              </w:rPr>
              <w:t>.08301(*)</w:t>
            </w:r>
          </w:p>
        </w:tc>
        <w:tc>
          <w:tcPr>
            <w:tcW w:w="1289" w:type="dxa"/>
          </w:tcPr>
          <w:p>
            <w:pPr>
              <w:pStyle w:val="TableParagraph"/>
              <w:spacing w:line="256" w:lineRule="exact"/>
              <w:ind w:left="176"/>
              <w:rPr>
                <w:sz w:val="24"/>
              </w:rPr>
            </w:pPr>
            <w:r>
              <w:rPr>
                <w:spacing w:val="-2"/>
                <w:sz w:val="24"/>
              </w:rPr>
              <w:t>.10239</w:t>
            </w:r>
          </w:p>
        </w:tc>
        <w:tc>
          <w:tcPr>
            <w:tcW w:w="951" w:type="dxa"/>
            <w:tcBorders>
              <w:right w:val="single" w:sz="4" w:space="0" w:color="000000"/>
            </w:tcBorders>
          </w:tcPr>
          <w:p>
            <w:pPr>
              <w:pStyle w:val="TableParagraph"/>
              <w:spacing w:line="256" w:lineRule="exact"/>
              <w:ind w:left="145"/>
              <w:rPr>
                <w:sz w:val="24"/>
              </w:rPr>
            </w:pPr>
            <w:r>
              <w:rPr>
                <w:spacing w:val="-4"/>
                <w:sz w:val="24"/>
              </w:rPr>
              <w:t>.020</w:t>
            </w:r>
          </w:p>
        </w:tc>
      </w:tr>
      <w:tr>
        <w:trPr>
          <w:trHeight w:val="276" w:hRule="atLeast"/>
        </w:trPr>
        <w:tc>
          <w:tcPr>
            <w:tcW w:w="1516" w:type="dxa"/>
            <w:tcBorders>
              <w:left w:val="single" w:sz="4" w:space="0" w:color="000000"/>
            </w:tcBorders>
          </w:tcPr>
          <w:p>
            <w:pPr>
              <w:pStyle w:val="TableParagraph"/>
              <w:rPr>
                <w:rFonts w:ascii="Times New Roman"/>
                <w:sz w:val="20"/>
              </w:rPr>
            </w:pPr>
          </w:p>
        </w:tc>
        <w:tc>
          <w:tcPr>
            <w:tcW w:w="1783" w:type="dxa"/>
          </w:tcPr>
          <w:p>
            <w:pPr>
              <w:pStyle w:val="TableParagraph"/>
              <w:rPr>
                <w:rFonts w:ascii="Times New Roman"/>
                <w:sz w:val="20"/>
              </w:rPr>
            </w:pPr>
          </w:p>
        </w:tc>
        <w:tc>
          <w:tcPr>
            <w:tcW w:w="1711" w:type="dxa"/>
          </w:tcPr>
          <w:p>
            <w:pPr>
              <w:pStyle w:val="TableParagraph"/>
              <w:spacing w:line="256" w:lineRule="exact"/>
              <w:ind w:left="339"/>
              <w:rPr>
                <w:sz w:val="24"/>
              </w:rPr>
            </w:pPr>
            <w:r>
              <w:rPr>
                <w:spacing w:val="-4"/>
                <w:sz w:val="24"/>
              </w:rPr>
              <w:t>Staff</w:t>
            </w:r>
          </w:p>
        </w:tc>
        <w:tc>
          <w:tcPr>
            <w:tcW w:w="1514" w:type="dxa"/>
          </w:tcPr>
          <w:p>
            <w:pPr>
              <w:pStyle w:val="TableParagraph"/>
              <w:rPr>
                <w:rFonts w:ascii="Times New Roman"/>
                <w:sz w:val="20"/>
              </w:rPr>
            </w:pPr>
          </w:p>
        </w:tc>
        <w:tc>
          <w:tcPr>
            <w:tcW w:w="1289" w:type="dxa"/>
          </w:tcPr>
          <w:p>
            <w:pPr>
              <w:pStyle w:val="TableParagraph"/>
              <w:rPr>
                <w:rFonts w:ascii="Times New Roman"/>
                <w:sz w:val="20"/>
              </w:rPr>
            </w:pPr>
          </w:p>
        </w:tc>
        <w:tc>
          <w:tcPr>
            <w:tcW w:w="951" w:type="dxa"/>
            <w:tcBorders>
              <w:right w:val="single" w:sz="4" w:space="0" w:color="000000"/>
            </w:tcBorders>
          </w:tcPr>
          <w:p>
            <w:pPr>
              <w:pStyle w:val="TableParagraph"/>
              <w:rPr>
                <w:rFonts w:ascii="Times New Roman"/>
                <w:sz w:val="20"/>
              </w:rPr>
            </w:pPr>
          </w:p>
        </w:tc>
      </w:tr>
      <w:tr>
        <w:trPr>
          <w:trHeight w:val="553" w:hRule="atLeast"/>
        </w:trPr>
        <w:tc>
          <w:tcPr>
            <w:tcW w:w="1516" w:type="dxa"/>
            <w:tcBorders>
              <w:left w:val="single" w:sz="4" w:space="0" w:color="000000"/>
              <w:bottom w:val="single" w:sz="4" w:space="0" w:color="000000"/>
            </w:tcBorders>
          </w:tcPr>
          <w:p>
            <w:pPr>
              <w:pStyle w:val="TableParagraph"/>
              <w:rPr>
                <w:rFonts w:ascii="Times New Roman"/>
                <w:sz w:val="24"/>
              </w:rPr>
            </w:pPr>
          </w:p>
        </w:tc>
        <w:tc>
          <w:tcPr>
            <w:tcW w:w="1783" w:type="dxa"/>
            <w:tcBorders>
              <w:bottom w:val="single" w:sz="4" w:space="0" w:color="000000"/>
            </w:tcBorders>
          </w:tcPr>
          <w:p>
            <w:pPr>
              <w:pStyle w:val="TableParagraph"/>
              <w:rPr>
                <w:rFonts w:ascii="Times New Roman"/>
                <w:sz w:val="24"/>
              </w:rPr>
            </w:pPr>
          </w:p>
        </w:tc>
        <w:tc>
          <w:tcPr>
            <w:tcW w:w="1711" w:type="dxa"/>
            <w:tcBorders>
              <w:bottom w:val="single" w:sz="4" w:space="0" w:color="000000"/>
            </w:tcBorders>
          </w:tcPr>
          <w:p>
            <w:pPr>
              <w:pStyle w:val="TableParagraph"/>
              <w:rPr>
                <w:rFonts w:ascii="Times New Roman"/>
                <w:sz w:val="24"/>
              </w:rPr>
            </w:pPr>
          </w:p>
        </w:tc>
        <w:tc>
          <w:tcPr>
            <w:tcW w:w="1514" w:type="dxa"/>
            <w:tcBorders>
              <w:bottom w:val="single" w:sz="4" w:space="0" w:color="000000"/>
            </w:tcBorders>
          </w:tcPr>
          <w:p>
            <w:pPr>
              <w:pStyle w:val="TableParagraph"/>
              <w:spacing w:line="273" w:lineRule="exact"/>
              <w:ind w:left="250"/>
              <w:rPr>
                <w:sz w:val="24"/>
              </w:rPr>
            </w:pPr>
            <w:r>
              <w:rPr>
                <w:spacing w:val="-2"/>
                <w:sz w:val="24"/>
              </w:rPr>
              <w:t>.25128</w:t>
            </w:r>
          </w:p>
        </w:tc>
        <w:tc>
          <w:tcPr>
            <w:tcW w:w="1289" w:type="dxa"/>
            <w:tcBorders>
              <w:bottom w:val="single" w:sz="4" w:space="0" w:color="000000"/>
            </w:tcBorders>
          </w:tcPr>
          <w:p>
            <w:pPr>
              <w:pStyle w:val="TableParagraph"/>
              <w:spacing w:line="273" w:lineRule="exact"/>
              <w:ind w:left="176"/>
              <w:rPr>
                <w:sz w:val="24"/>
              </w:rPr>
            </w:pPr>
            <w:r>
              <w:rPr>
                <w:spacing w:val="-2"/>
                <w:sz w:val="24"/>
              </w:rPr>
              <w:t>.10311</w:t>
            </w:r>
          </w:p>
        </w:tc>
        <w:tc>
          <w:tcPr>
            <w:tcW w:w="951" w:type="dxa"/>
            <w:tcBorders>
              <w:bottom w:val="single" w:sz="4" w:space="0" w:color="000000"/>
              <w:right w:val="single" w:sz="4" w:space="0" w:color="000000"/>
            </w:tcBorders>
          </w:tcPr>
          <w:p>
            <w:pPr>
              <w:pStyle w:val="TableParagraph"/>
              <w:spacing w:line="273" w:lineRule="exact"/>
              <w:ind w:left="145"/>
              <w:rPr>
                <w:sz w:val="24"/>
              </w:rPr>
            </w:pPr>
            <w:r>
              <w:rPr>
                <w:spacing w:val="-4"/>
                <w:sz w:val="24"/>
              </w:rPr>
              <w:t>.052</w:t>
            </w:r>
          </w:p>
        </w:tc>
      </w:tr>
    </w:tbl>
    <w:p>
      <w:pPr>
        <w:pStyle w:val="BodyText"/>
        <w:ind w:left="840"/>
      </w:pPr>
      <w:r>
        <w:rPr/>
        <w:t>*</w:t>
      </w:r>
      <w:r>
        <w:rPr>
          <w:spacing w:val="-7"/>
        </w:rPr>
        <w:t> </w:t>
      </w:r>
      <w:r>
        <w:rPr/>
        <w:t>Mean</w:t>
      </w:r>
      <w:r>
        <w:rPr>
          <w:spacing w:val="-4"/>
        </w:rPr>
        <w:t> </w:t>
      </w:r>
      <w:r>
        <w:rPr/>
        <w:t>difference</w:t>
      </w:r>
      <w:r>
        <w:rPr>
          <w:spacing w:val="-8"/>
        </w:rPr>
        <w:t> </w:t>
      </w:r>
      <w:r>
        <w:rPr/>
        <w:t>is</w:t>
      </w:r>
      <w:r>
        <w:rPr>
          <w:spacing w:val="-4"/>
        </w:rPr>
        <w:t> </w:t>
      </w:r>
      <w:r>
        <w:rPr/>
        <w:t>significant</w:t>
      </w:r>
      <w:r>
        <w:rPr>
          <w:spacing w:val="-4"/>
        </w:rPr>
        <w:t> </w:t>
      </w:r>
      <w:r>
        <w:rPr/>
        <w:t>at</w:t>
      </w:r>
      <w:r>
        <w:rPr>
          <w:spacing w:val="-9"/>
        </w:rPr>
        <w:t> </w:t>
      </w:r>
      <w:r>
        <w:rPr/>
        <w:t>the</w:t>
      </w:r>
      <w:r>
        <w:rPr>
          <w:spacing w:val="-3"/>
        </w:rPr>
        <w:t> </w:t>
      </w:r>
      <w:r>
        <w:rPr/>
        <w:t>.05</w:t>
      </w:r>
      <w:r>
        <w:rPr>
          <w:spacing w:val="-8"/>
        </w:rPr>
        <w:t> </w:t>
      </w:r>
      <w:r>
        <w:rPr>
          <w:spacing w:val="-2"/>
        </w:rPr>
        <w:t>level</w:t>
      </w:r>
    </w:p>
    <w:p>
      <w:pPr>
        <w:pStyle w:val="BodyText"/>
        <w:spacing w:before="271"/>
      </w:pPr>
    </w:p>
    <w:p>
      <w:pPr>
        <w:pStyle w:val="BodyText"/>
        <w:spacing w:line="480" w:lineRule="auto"/>
        <w:ind w:left="840" w:right="555" w:firstLine="720"/>
        <w:jc w:val="both"/>
      </w:pPr>
      <w:r>
        <w:rPr/>
        <w:t>From the position of the scheffe’s Multiple Comparison Test as contained in</w:t>
      </w:r>
      <w:r>
        <w:rPr>
          <w:spacing w:val="28"/>
        </w:rPr>
        <w:t> </w:t>
      </w:r>
      <w:r>
        <w:rPr/>
        <w:t>Table</w:t>
      </w:r>
      <w:r>
        <w:rPr>
          <w:spacing w:val="28"/>
        </w:rPr>
        <w:t> </w:t>
      </w:r>
      <w:r>
        <w:rPr/>
        <w:t>4.5.10,</w:t>
      </w:r>
      <w:r>
        <w:rPr>
          <w:spacing w:val="29"/>
        </w:rPr>
        <w:t> </w:t>
      </w:r>
      <w:r>
        <w:rPr/>
        <w:t>it</w:t>
      </w:r>
      <w:r>
        <w:rPr>
          <w:spacing w:val="32"/>
        </w:rPr>
        <w:t> </w:t>
      </w:r>
      <w:r>
        <w:rPr/>
        <w:t>could</w:t>
      </w:r>
      <w:r>
        <w:rPr>
          <w:spacing w:val="29"/>
        </w:rPr>
        <w:t> </w:t>
      </w:r>
      <w:r>
        <w:rPr/>
        <w:t>be</w:t>
      </w:r>
      <w:r>
        <w:rPr>
          <w:spacing w:val="28"/>
        </w:rPr>
        <w:t> </w:t>
      </w:r>
      <w:r>
        <w:rPr/>
        <w:t>noted</w:t>
      </w:r>
      <w:r>
        <w:rPr>
          <w:spacing w:val="33"/>
        </w:rPr>
        <w:t> </w:t>
      </w:r>
      <w:r>
        <w:rPr/>
        <w:t>that</w:t>
      </w:r>
      <w:r>
        <w:rPr>
          <w:spacing w:val="33"/>
        </w:rPr>
        <w:t> </w:t>
      </w:r>
      <w:r>
        <w:rPr/>
        <w:t>there</w:t>
      </w:r>
      <w:r>
        <w:rPr>
          <w:spacing w:val="28"/>
        </w:rPr>
        <w:t> </w:t>
      </w:r>
      <w:r>
        <w:rPr/>
        <w:t>were</w:t>
      </w:r>
      <w:r>
        <w:rPr>
          <w:spacing w:val="33"/>
        </w:rPr>
        <w:t> </w:t>
      </w:r>
      <w:r>
        <w:rPr/>
        <w:t>differences</w:t>
      </w:r>
      <w:r>
        <w:rPr>
          <w:spacing w:val="28"/>
        </w:rPr>
        <w:t> </w:t>
      </w:r>
      <w:r>
        <w:rPr/>
        <w:t>in</w:t>
      </w:r>
      <w:r>
        <w:rPr>
          <w:spacing w:val="33"/>
        </w:rPr>
        <w:t> </w:t>
      </w:r>
      <w:r>
        <w:rPr/>
        <w:t>the</w:t>
      </w:r>
      <w:r>
        <w:rPr>
          <w:spacing w:val="33"/>
        </w:rPr>
        <w:t> </w:t>
      </w:r>
      <w:r>
        <w:rPr/>
        <w:t>degree</w:t>
      </w:r>
      <w:r>
        <w:rPr>
          <w:spacing w:val="29"/>
        </w:rPr>
        <w:t> </w:t>
      </w:r>
      <w:r>
        <w:rPr>
          <w:spacing w:val="-5"/>
        </w:rPr>
        <w:t>of</w:t>
      </w:r>
    </w:p>
    <w:p>
      <w:pPr>
        <w:spacing w:after="0" w:line="480" w:lineRule="auto"/>
        <w:jc w:val="both"/>
        <w:sectPr>
          <w:headerReference w:type="default" r:id="rId431"/>
          <w:footerReference w:type="default" r:id="rId432"/>
          <w:pgSz w:w="12240" w:h="15840"/>
          <w:pgMar w:header="722" w:footer="791" w:top="980" w:bottom="980" w:left="1320" w:right="880"/>
        </w:sectPr>
      </w:pPr>
    </w:p>
    <w:p>
      <w:pPr>
        <w:pStyle w:val="BodyText"/>
        <w:spacing w:before="171"/>
      </w:pPr>
    </w:p>
    <w:p>
      <w:pPr>
        <w:pStyle w:val="BodyText"/>
        <w:spacing w:line="480" w:lineRule="auto"/>
        <w:ind w:left="840" w:right="554"/>
        <w:jc w:val="both"/>
      </w:pPr>
      <w:r>
        <w:rPr/>
        <w:t>agreement of respondents’ opinions as regards the impact of the provision and management of diverse student services on students’ welfare in the universities under study. The mean difference of service staff and students seemed to show significant difference while the management opinion disagreed with the two groups particularly, the high gap between the student and the management. This could be attributed to the fact that since the top management had been involved in</w:t>
      </w:r>
      <w:r>
        <w:rPr>
          <w:spacing w:val="-2"/>
        </w:rPr>
        <w:t> </w:t>
      </w:r>
      <w:r>
        <w:rPr/>
        <w:t>the</w:t>
      </w:r>
      <w:r>
        <w:rPr>
          <w:spacing w:val="-2"/>
        </w:rPr>
        <w:t> </w:t>
      </w:r>
      <w:r>
        <w:rPr/>
        <w:t>provision</w:t>
      </w:r>
      <w:r>
        <w:rPr>
          <w:spacing w:val="-6"/>
        </w:rPr>
        <w:t> </w:t>
      </w:r>
      <w:r>
        <w:rPr/>
        <w:t>and</w:t>
      </w:r>
      <w:r>
        <w:rPr>
          <w:spacing w:val="-2"/>
        </w:rPr>
        <w:t> </w:t>
      </w:r>
      <w:r>
        <w:rPr/>
        <w:t>management</w:t>
      </w:r>
      <w:r>
        <w:rPr>
          <w:spacing w:val="-3"/>
        </w:rPr>
        <w:t> </w:t>
      </w:r>
      <w:r>
        <w:rPr/>
        <w:t>of</w:t>
      </w:r>
      <w:r>
        <w:rPr>
          <w:spacing w:val="-3"/>
        </w:rPr>
        <w:t> </w:t>
      </w:r>
      <w:r>
        <w:rPr/>
        <w:t>the</w:t>
      </w:r>
      <w:r>
        <w:rPr>
          <w:spacing w:val="-2"/>
        </w:rPr>
        <w:t> </w:t>
      </w:r>
      <w:r>
        <w:rPr/>
        <w:t>facilities</w:t>
      </w:r>
      <w:r>
        <w:rPr>
          <w:spacing w:val="-3"/>
        </w:rPr>
        <w:t> </w:t>
      </w:r>
      <w:r>
        <w:rPr/>
        <w:t>that</w:t>
      </w:r>
      <w:r>
        <w:rPr>
          <w:spacing w:val="-3"/>
        </w:rPr>
        <w:t> </w:t>
      </w:r>
      <w:r>
        <w:rPr/>
        <w:t>make</w:t>
      </w:r>
      <w:r>
        <w:rPr>
          <w:spacing w:val="-2"/>
        </w:rPr>
        <w:t> </w:t>
      </w:r>
      <w:r>
        <w:rPr/>
        <w:t>up</w:t>
      </w:r>
      <w:r>
        <w:rPr>
          <w:spacing w:val="-2"/>
        </w:rPr>
        <w:t> </w:t>
      </w:r>
      <w:r>
        <w:rPr/>
        <w:t>students’</w:t>
      </w:r>
      <w:r>
        <w:rPr>
          <w:spacing w:val="-3"/>
        </w:rPr>
        <w:t> </w:t>
      </w:r>
      <w:r>
        <w:rPr/>
        <w:t>services, they have the tendency to believe that the facilities were provided and well managed by them. In view of this reasoning, it is paramount that universality management in these universities should face the reality and provide as many varieties of students’ services as can be found and managed so that the aims</w:t>
      </w:r>
      <w:r>
        <w:rPr>
          <w:spacing w:val="40"/>
        </w:rPr>
        <w:t> </w:t>
      </w:r>
      <w:r>
        <w:rPr/>
        <w:t>and objectives for the students’ presence on the university campuses are </w:t>
      </w:r>
      <w:r>
        <w:rPr>
          <w:spacing w:val="-2"/>
        </w:rPr>
        <w:t>achieved.</w:t>
      </w:r>
    </w:p>
    <w:p>
      <w:pPr>
        <w:pStyle w:val="Heading4"/>
        <w:numPr>
          <w:ilvl w:val="2"/>
          <w:numId w:val="43"/>
        </w:numPr>
        <w:tabs>
          <w:tab w:pos="837" w:val="left" w:leader="none"/>
        </w:tabs>
        <w:spacing w:line="240" w:lineRule="auto" w:before="2" w:after="0"/>
        <w:ind w:left="837" w:right="0" w:hanging="717"/>
        <w:jc w:val="left"/>
      </w:pPr>
      <w:r>
        <w:rPr/>
        <w:t>Null</w:t>
      </w:r>
      <w:r>
        <w:rPr>
          <w:spacing w:val="-10"/>
        </w:rPr>
        <w:t> </w:t>
      </w:r>
      <w:r>
        <w:rPr/>
        <w:t>hypothesis</w:t>
      </w:r>
      <w:r>
        <w:rPr>
          <w:spacing w:val="-9"/>
        </w:rPr>
        <w:t> </w:t>
      </w:r>
      <w:r>
        <w:rPr>
          <w:spacing w:val="-10"/>
        </w:rPr>
        <w:t>7</w:t>
      </w:r>
    </w:p>
    <w:p>
      <w:pPr>
        <w:pStyle w:val="BodyText"/>
        <w:spacing w:before="44"/>
        <w:rPr>
          <w:rFonts w:ascii="Arial"/>
          <w:b/>
        </w:rPr>
      </w:pPr>
    </w:p>
    <w:p>
      <w:pPr>
        <w:pStyle w:val="BodyText"/>
        <w:spacing w:line="480" w:lineRule="auto"/>
        <w:ind w:left="840" w:right="558" w:firstLine="720"/>
        <w:jc w:val="both"/>
      </w:pPr>
      <w:r>
        <w:rPr/>
        <w:t>There is no significant difference in the opinions of students, service staff and top management staff in respect of the impact of feeding on students’</w:t>
      </w:r>
      <w:r>
        <w:rPr>
          <w:spacing w:val="40"/>
        </w:rPr>
        <w:t> </w:t>
      </w:r>
      <w:r>
        <w:rPr/>
        <w:t>welfare services in some universities.</w:t>
      </w:r>
    </w:p>
    <w:p>
      <w:pPr>
        <w:pStyle w:val="BodyText"/>
        <w:spacing w:line="480" w:lineRule="auto"/>
        <w:ind w:left="840" w:right="552" w:firstLine="720"/>
        <w:jc w:val="both"/>
      </w:pPr>
      <w:r>
        <w:rPr/>
        <w:t>Responses of respondents related to items 33 to 37 of the questionnaire were collected and analyzed to ascertain the degree of agreement of the respondents’ opinions regarding the impact of feeding facilities on the students’ welfare services in the university system. To test the hypothesis, One Way Analysis</w:t>
      </w:r>
      <w:r>
        <w:rPr>
          <w:spacing w:val="45"/>
        </w:rPr>
        <w:t> </w:t>
      </w:r>
      <w:r>
        <w:rPr/>
        <w:t>of</w:t>
      </w:r>
      <w:r>
        <w:rPr>
          <w:spacing w:val="47"/>
        </w:rPr>
        <w:t> </w:t>
      </w:r>
      <w:r>
        <w:rPr/>
        <w:t>Variance</w:t>
      </w:r>
      <w:r>
        <w:rPr>
          <w:spacing w:val="41"/>
        </w:rPr>
        <w:t> </w:t>
      </w:r>
      <w:r>
        <w:rPr/>
        <w:t>(ANOVA)</w:t>
      </w:r>
      <w:r>
        <w:rPr>
          <w:spacing w:val="47"/>
        </w:rPr>
        <w:t> </w:t>
      </w:r>
      <w:r>
        <w:rPr/>
        <w:t>statistical</w:t>
      </w:r>
      <w:r>
        <w:rPr>
          <w:spacing w:val="50"/>
        </w:rPr>
        <w:t> </w:t>
      </w:r>
      <w:r>
        <w:rPr/>
        <w:t>procedure</w:t>
      </w:r>
      <w:r>
        <w:rPr>
          <w:spacing w:val="46"/>
        </w:rPr>
        <w:t> </w:t>
      </w:r>
      <w:r>
        <w:rPr/>
        <w:t>was</w:t>
      </w:r>
      <w:r>
        <w:rPr>
          <w:spacing w:val="45"/>
        </w:rPr>
        <w:t> </w:t>
      </w:r>
      <w:r>
        <w:rPr/>
        <w:t>used</w:t>
      </w:r>
      <w:r>
        <w:rPr>
          <w:spacing w:val="46"/>
        </w:rPr>
        <w:t> </w:t>
      </w:r>
      <w:r>
        <w:rPr/>
        <w:t>to</w:t>
      </w:r>
      <w:r>
        <w:rPr>
          <w:spacing w:val="46"/>
        </w:rPr>
        <w:t> </w:t>
      </w:r>
      <w:r>
        <w:rPr/>
        <w:t>find</w:t>
      </w:r>
      <w:r>
        <w:rPr>
          <w:spacing w:val="46"/>
        </w:rPr>
        <w:t> </w:t>
      </w:r>
      <w:r>
        <w:rPr/>
        <w:t>out</w:t>
      </w:r>
      <w:r>
        <w:rPr>
          <w:spacing w:val="46"/>
        </w:rPr>
        <w:t> </w:t>
      </w:r>
      <w:r>
        <w:rPr>
          <w:spacing w:val="-5"/>
        </w:rPr>
        <w:t>the</w:t>
      </w:r>
    </w:p>
    <w:p>
      <w:pPr>
        <w:spacing w:after="0" w:line="480" w:lineRule="auto"/>
        <w:jc w:val="both"/>
        <w:sectPr>
          <w:headerReference w:type="default" r:id="rId433"/>
          <w:footerReference w:type="default" r:id="rId434"/>
          <w:pgSz w:w="12240" w:h="15840"/>
          <w:pgMar w:header="722" w:footer="791" w:top="980" w:bottom="980" w:left="1320" w:right="880"/>
        </w:sectPr>
      </w:pPr>
    </w:p>
    <w:p>
      <w:pPr>
        <w:pStyle w:val="BodyText"/>
        <w:spacing w:before="171"/>
      </w:pPr>
    </w:p>
    <w:p>
      <w:pPr>
        <w:pStyle w:val="BodyText"/>
        <w:spacing w:line="480" w:lineRule="auto"/>
        <w:ind w:left="840" w:right="585"/>
      </w:pPr>
      <w:r>
        <w:rPr/>
        <w:t>differences in the opinions of respondents. This was recorded and presented as shown in Table 4.5.11.</w:t>
      </w:r>
    </w:p>
    <w:p>
      <w:pPr>
        <w:pStyle w:val="Heading2"/>
        <w:ind w:left="2587" w:right="585" w:hanging="1748"/>
      </w:pPr>
      <w:r>
        <w:rPr/>
        <w:t>Table</w:t>
      </w:r>
      <w:r>
        <w:rPr>
          <w:spacing w:val="-3"/>
        </w:rPr>
        <w:t> </w:t>
      </w:r>
      <w:r>
        <w:rPr/>
        <w:t>4.5.11</w:t>
      </w:r>
      <w:r>
        <w:rPr>
          <w:rFonts w:ascii="Arial MT"/>
          <w:b w:val="0"/>
        </w:rPr>
        <w:t>:</w:t>
      </w:r>
      <w:r>
        <w:rPr>
          <w:rFonts w:ascii="Arial MT"/>
          <w:b w:val="0"/>
          <w:spacing w:val="-3"/>
        </w:rPr>
        <w:t> </w:t>
      </w:r>
      <w:r>
        <w:rPr/>
        <w:t>Analysis</w:t>
      </w:r>
      <w:r>
        <w:rPr>
          <w:spacing w:val="-4"/>
        </w:rPr>
        <w:t> </w:t>
      </w:r>
      <w:r>
        <w:rPr/>
        <w:t>of</w:t>
      </w:r>
      <w:r>
        <w:rPr>
          <w:spacing w:val="-8"/>
        </w:rPr>
        <w:t> </w:t>
      </w:r>
      <w:r>
        <w:rPr/>
        <w:t>Variance</w:t>
      </w:r>
      <w:r>
        <w:rPr>
          <w:spacing w:val="-8"/>
        </w:rPr>
        <w:t> </w:t>
      </w:r>
      <w:r>
        <w:rPr/>
        <w:t>(ANOVA)</w:t>
      </w:r>
      <w:r>
        <w:rPr>
          <w:spacing w:val="-4"/>
        </w:rPr>
        <w:t> </w:t>
      </w:r>
      <w:r>
        <w:rPr/>
        <w:t>on</w:t>
      </w:r>
      <w:r>
        <w:rPr>
          <w:spacing w:val="-4"/>
        </w:rPr>
        <w:t> </w:t>
      </w:r>
      <w:r>
        <w:rPr/>
        <w:t>the</w:t>
      </w:r>
      <w:r>
        <w:rPr>
          <w:spacing w:val="-8"/>
        </w:rPr>
        <w:t> </w:t>
      </w:r>
      <w:r>
        <w:rPr/>
        <w:t>impact</w:t>
      </w:r>
      <w:r>
        <w:rPr>
          <w:spacing w:val="-4"/>
        </w:rPr>
        <w:t> </w:t>
      </w:r>
      <w:r>
        <w:rPr/>
        <w:t>of feeding on students welfare services in the Universities in the three geopolitical zones in Northern part of Nigeria</w:t>
      </w:r>
    </w:p>
    <w:p>
      <w:pPr>
        <w:pStyle w:val="BodyText"/>
        <w:spacing w:before="95"/>
        <w:rPr>
          <w:rFonts w:ascii="Arial"/>
          <w:b/>
          <w:sz w:val="20"/>
        </w:rPr>
      </w:pPr>
    </w:p>
    <w:tbl>
      <w:tblPr>
        <w:tblW w:w="0" w:type="auto"/>
        <w:jc w:val="left"/>
        <w:tblInd w:w="1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63"/>
        <w:gridCol w:w="954"/>
        <w:gridCol w:w="1500"/>
        <w:gridCol w:w="1439"/>
        <w:gridCol w:w="1124"/>
        <w:gridCol w:w="1474"/>
      </w:tblGrid>
      <w:tr>
        <w:trPr>
          <w:trHeight w:val="551" w:hRule="atLeast"/>
        </w:trPr>
        <w:tc>
          <w:tcPr>
            <w:tcW w:w="1963" w:type="dxa"/>
            <w:tcBorders>
              <w:top w:val="single" w:sz="4" w:space="0" w:color="000000"/>
              <w:left w:val="single" w:sz="4" w:space="0" w:color="000000"/>
              <w:bottom w:val="single" w:sz="4" w:space="0" w:color="000000"/>
            </w:tcBorders>
          </w:tcPr>
          <w:p>
            <w:pPr>
              <w:pStyle w:val="TableParagraph"/>
              <w:spacing w:line="267" w:lineRule="exact"/>
              <w:ind w:left="431"/>
              <w:rPr>
                <w:rFonts w:ascii="Arial"/>
                <w:b/>
                <w:sz w:val="24"/>
              </w:rPr>
            </w:pPr>
            <w:r>
              <w:rPr>
                <w:rFonts w:ascii="Arial"/>
                <w:b/>
                <w:sz w:val="24"/>
              </w:rPr>
              <w:t>Source</w:t>
            </w:r>
            <w:r>
              <w:rPr>
                <w:rFonts w:ascii="Arial"/>
                <w:b/>
                <w:spacing w:val="-12"/>
                <w:sz w:val="24"/>
              </w:rPr>
              <w:t> </w:t>
            </w:r>
            <w:r>
              <w:rPr>
                <w:rFonts w:ascii="Arial"/>
                <w:b/>
                <w:spacing w:val="-5"/>
                <w:sz w:val="24"/>
              </w:rPr>
              <w:t>of</w:t>
            </w:r>
          </w:p>
          <w:p>
            <w:pPr>
              <w:pStyle w:val="TableParagraph"/>
              <w:spacing w:line="263" w:lineRule="exact" w:before="2"/>
              <w:ind w:left="470"/>
              <w:rPr>
                <w:rFonts w:ascii="Arial"/>
                <w:b/>
                <w:sz w:val="24"/>
              </w:rPr>
            </w:pPr>
            <w:r>
              <w:rPr>
                <w:rFonts w:ascii="Arial"/>
                <w:b/>
                <w:spacing w:val="-2"/>
                <w:sz w:val="24"/>
              </w:rPr>
              <w:t>Variation</w:t>
            </w:r>
          </w:p>
        </w:tc>
        <w:tc>
          <w:tcPr>
            <w:tcW w:w="954" w:type="dxa"/>
            <w:tcBorders>
              <w:top w:val="single" w:sz="4" w:space="0" w:color="000000"/>
              <w:bottom w:val="single" w:sz="4" w:space="0" w:color="000000"/>
            </w:tcBorders>
          </w:tcPr>
          <w:p>
            <w:pPr>
              <w:pStyle w:val="TableParagraph"/>
              <w:spacing w:line="267" w:lineRule="exact"/>
              <w:ind w:left="393"/>
              <w:rPr>
                <w:rFonts w:ascii="Arial"/>
                <w:b/>
                <w:sz w:val="24"/>
              </w:rPr>
            </w:pPr>
            <w:r>
              <w:rPr>
                <w:rFonts w:ascii="Arial"/>
                <w:b/>
                <w:spacing w:val="-5"/>
                <w:sz w:val="24"/>
              </w:rPr>
              <w:t>DF</w:t>
            </w:r>
          </w:p>
        </w:tc>
        <w:tc>
          <w:tcPr>
            <w:tcW w:w="1500" w:type="dxa"/>
            <w:tcBorders>
              <w:top w:val="single" w:sz="4" w:space="0" w:color="000000"/>
              <w:bottom w:val="single" w:sz="4" w:space="0" w:color="000000"/>
            </w:tcBorders>
          </w:tcPr>
          <w:p>
            <w:pPr>
              <w:pStyle w:val="TableParagraph"/>
              <w:spacing w:line="267" w:lineRule="exact"/>
              <w:ind w:left="457"/>
              <w:rPr>
                <w:rFonts w:ascii="Arial"/>
                <w:b/>
                <w:sz w:val="24"/>
              </w:rPr>
            </w:pPr>
            <w:r>
              <w:rPr>
                <w:rFonts w:ascii="Arial"/>
                <w:b/>
                <w:sz w:val="24"/>
              </w:rPr>
              <w:t>Sum</w:t>
            </w:r>
            <w:r>
              <w:rPr>
                <w:rFonts w:ascii="Arial"/>
                <w:b/>
                <w:spacing w:val="-13"/>
                <w:sz w:val="24"/>
              </w:rPr>
              <w:t> </w:t>
            </w:r>
            <w:r>
              <w:rPr>
                <w:rFonts w:ascii="Arial"/>
                <w:b/>
                <w:spacing w:val="-5"/>
                <w:sz w:val="24"/>
              </w:rPr>
              <w:t>of</w:t>
            </w:r>
          </w:p>
          <w:p>
            <w:pPr>
              <w:pStyle w:val="TableParagraph"/>
              <w:spacing w:line="263" w:lineRule="exact" w:before="2"/>
              <w:ind w:left="399"/>
              <w:rPr>
                <w:rFonts w:ascii="Arial"/>
                <w:b/>
                <w:sz w:val="24"/>
              </w:rPr>
            </w:pPr>
            <w:r>
              <w:rPr>
                <w:rFonts w:ascii="Arial"/>
                <w:b/>
                <w:spacing w:val="-2"/>
                <w:sz w:val="24"/>
              </w:rPr>
              <w:t>squares</w:t>
            </w:r>
          </w:p>
        </w:tc>
        <w:tc>
          <w:tcPr>
            <w:tcW w:w="1439" w:type="dxa"/>
            <w:tcBorders>
              <w:top w:val="single" w:sz="4" w:space="0" w:color="000000"/>
              <w:bottom w:val="single" w:sz="4" w:space="0" w:color="000000"/>
            </w:tcBorders>
          </w:tcPr>
          <w:p>
            <w:pPr>
              <w:pStyle w:val="TableParagraph"/>
              <w:spacing w:line="267" w:lineRule="exact"/>
              <w:ind w:left="169"/>
              <w:jc w:val="center"/>
              <w:rPr>
                <w:rFonts w:ascii="Arial"/>
                <w:b/>
                <w:sz w:val="24"/>
              </w:rPr>
            </w:pPr>
            <w:r>
              <w:rPr>
                <w:rFonts w:ascii="Arial"/>
                <w:b/>
                <w:spacing w:val="-4"/>
                <w:sz w:val="24"/>
              </w:rPr>
              <w:t>Mean</w:t>
            </w:r>
          </w:p>
          <w:p>
            <w:pPr>
              <w:pStyle w:val="TableParagraph"/>
              <w:spacing w:line="263" w:lineRule="exact" w:before="2"/>
              <w:ind w:left="169" w:right="8"/>
              <w:jc w:val="center"/>
              <w:rPr>
                <w:rFonts w:ascii="Arial"/>
                <w:b/>
                <w:sz w:val="24"/>
              </w:rPr>
            </w:pPr>
            <w:r>
              <w:rPr>
                <w:rFonts w:ascii="Arial"/>
                <w:b/>
                <w:spacing w:val="-2"/>
                <w:sz w:val="24"/>
              </w:rPr>
              <w:t>squares</w:t>
            </w:r>
          </w:p>
        </w:tc>
        <w:tc>
          <w:tcPr>
            <w:tcW w:w="1124" w:type="dxa"/>
            <w:tcBorders>
              <w:top w:val="single" w:sz="4" w:space="0" w:color="000000"/>
              <w:bottom w:val="single" w:sz="4" w:space="0" w:color="000000"/>
            </w:tcBorders>
          </w:tcPr>
          <w:p>
            <w:pPr>
              <w:pStyle w:val="TableParagraph"/>
              <w:spacing w:line="267" w:lineRule="exact"/>
              <w:ind w:right="131"/>
              <w:jc w:val="right"/>
              <w:rPr>
                <w:rFonts w:ascii="Arial"/>
                <w:b/>
                <w:sz w:val="24"/>
              </w:rPr>
            </w:pPr>
            <w:r>
              <w:rPr>
                <w:rFonts w:ascii="Arial"/>
                <w:b/>
                <w:sz w:val="24"/>
              </w:rPr>
              <w:t>F </w:t>
            </w:r>
            <w:r>
              <w:rPr>
                <w:rFonts w:ascii="Arial"/>
                <w:b/>
                <w:spacing w:val="-2"/>
                <w:sz w:val="24"/>
              </w:rPr>
              <w:t>ratio</w:t>
            </w:r>
          </w:p>
        </w:tc>
        <w:tc>
          <w:tcPr>
            <w:tcW w:w="1474" w:type="dxa"/>
            <w:tcBorders>
              <w:top w:val="single" w:sz="4" w:space="0" w:color="000000"/>
              <w:bottom w:val="single" w:sz="4" w:space="0" w:color="000000"/>
              <w:right w:val="single" w:sz="4" w:space="0" w:color="000000"/>
            </w:tcBorders>
          </w:tcPr>
          <w:p>
            <w:pPr>
              <w:pStyle w:val="TableParagraph"/>
              <w:spacing w:line="267" w:lineRule="exact"/>
              <w:ind w:left="59" w:right="11"/>
              <w:jc w:val="center"/>
              <w:rPr>
                <w:rFonts w:ascii="Arial"/>
                <w:b/>
                <w:sz w:val="24"/>
              </w:rPr>
            </w:pPr>
            <w:r>
              <w:rPr>
                <w:rFonts w:ascii="Arial"/>
                <w:b/>
                <w:spacing w:val="-10"/>
                <w:sz w:val="24"/>
              </w:rPr>
              <w:t>F</w:t>
            </w:r>
          </w:p>
          <w:p>
            <w:pPr>
              <w:pStyle w:val="TableParagraph"/>
              <w:spacing w:line="263" w:lineRule="exact" w:before="2"/>
              <w:ind w:left="59"/>
              <w:jc w:val="center"/>
              <w:rPr>
                <w:rFonts w:ascii="Arial"/>
                <w:b/>
                <w:sz w:val="24"/>
              </w:rPr>
            </w:pPr>
            <w:r>
              <w:rPr>
                <w:rFonts w:ascii="Arial"/>
                <w:b/>
                <w:spacing w:val="-2"/>
                <w:sz w:val="24"/>
              </w:rPr>
              <w:t>probability</w:t>
            </w:r>
          </w:p>
        </w:tc>
      </w:tr>
      <w:tr>
        <w:trPr>
          <w:trHeight w:val="348" w:hRule="atLeast"/>
        </w:trPr>
        <w:tc>
          <w:tcPr>
            <w:tcW w:w="1963" w:type="dxa"/>
            <w:tcBorders>
              <w:top w:val="single" w:sz="4" w:space="0" w:color="000000"/>
              <w:left w:val="single" w:sz="4" w:space="0" w:color="000000"/>
            </w:tcBorders>
          </w:tcPr>
          <w:p>
            <w:pPr>
              <w:pStyle w:val="TableParagraph"/>
              <w:ind w:left="105"/>
              <w:rPr>
                <w:sz w:val="24"/>
              </w:rPr>
            </w:pPr>
            <w:r>
              <w:rPr>
                <w:sz w:val="24"/>
              </w:rPr>
              <w:t>Between</w:t>
            </w:r>
            <w:r>
              <w:rPr>
                <w:spacing w:val="-13"/>
                <w:sz w:val="24"/>
              </w:rPr>
              <w:t> </w:t>
            </w:r>
            <w:r>
              <w:rPr>
                <w:spacing w:val="-2"/>
                <w:sz w:val="24"/>
              </w:rPr>
              <w:t>groups</w:t>
            </w:r>
          </w:p>
        </w:tc>
        <w:tc>
          <w:tcPr>
            <w:tcW w:w="954" w:type="dxa"/>
            <w:tcBorders>
              <w:top w:val="single" w:sz="4" w:space="0" w:color="000000"/>
            </w:tcBorders>
          </w:tcPr>
          <w:p>
            <w:pPr>
              <w:pStyle w:val="TableParagraph"/>
              <w:ind w:left="125"/>
              <w:rPr>
                <w:sz w:val="24"/>
              </w:rPr>
            </w:pPr>
            <w:r>
              <w:rPr>
                <w:spacing w:val="-10"/>
                <w:sz w:val="24"/>
              </w:rPr>
              <w:t>2</w:t>
            </w:r>
          </w:p>
        </w:tc>
        <w:tc>
          <w:tcPr>
            <w:tcW w:w="1500" w:type="dxa"/>
            <w:tcBorders>
              <w:top w:val="single" w:sz="4" w:space="0" w:color="000000"/>
            </w:tcBorders>
          </w:tcPr>
          <w:p>
            <w:pPr>
              <w:pStyle w:val="TableParagraph"/>
              <w:ind w:left="250"/>
              <w:rPr>
                <w:sz w:val="24"/>
              </w:rPr>
            </w:pPr>
            <w:r>
              <w:rPr>
                <w:spacing w:val="-2"/>
                <w:sz w:val="24"/>
              </w:rPr>
              <w:t>4.7058</w:t>
            </w:r>
          </w:p>
        </w:tc>
        <w:tc>
          <w:tcPr>
            <w:tcW w:w="1439" w:type="dxa"/>
            <w:tcBorders>
              <w:top w:val="single" w:sz="4" w:space="0" w:color="000000"/>
            </w:tcBorders>
          </w:tcPr>
          <w:p>
            <w:pPr>
              <w:pStyle w:val="TableParagraph"/>
              <w:ind w:left="190"/>
              <w:rPr>
                <w:sz w:val="24"/>
              </w:rPr>
            </w:pPr>
            <w:r>
              <w:rPr>
                <w:spacing w:val="-2"/>
                <w:sz w:val="24"/>
              </w:rPr>
              <w:t>2.3529</w:t>
            </w:r>
          </w:p>
        </w:tc>
        <w:tc>
          <w:tcPr>
            <w:tcW w:w="1124" w:type="dxa"/>
            <w:tcBorders>
              <w:top w:val="single" w:sz="4" w:space="0" w:color="000000"/>
            </w:tcBorders>
          </w:tcPr>
          <w:p>
            <w:pPr>
              <w:pStyle w:val="TableParagraph"/>
              <w:ind w:right="192"/>
              <w:jc w:val="right"/>
              <w:rPr>
                <w:sz w:val="24"/>
              </w:rPr>
            </w:pPr>
            <w:r>
              <w:rPr>
                <w:spacing w:val="-2"/>
                <w:sz w:val="24"/>
              </w:rPr>
              <w:t>5.3983</w:t>
            </w:r>
          </w:p>
        </w:tc>
        <w:tc>
          <w:tcPr>
            <w:tcW w:w="1474" w:type="dxa"/>
            <w:tcBorders>
              <w:top w:val="single" w:sz="4" w:space="0" w:color="000000"/>
              <w:right w:val="single" w:sz="4" w:space="0" w:color="000000"/>
            </w:tcBorders>
          </w:tcPr>
          <w:p>
            <w:pPr>
              <w:pStyle w:val="TableParagraph"/>
              <w:ind w:left="147"/>
              <w:rPr>
                <w:sz w:val="24"/>
              </w:rPr>
            </w:pPr>
            <w:r>
              <w:rPr>
                <w:spacing w:val="-2"/>
                <w:sz w:val="24"/>
              </w:rPr>
              <w:t>0.0048</w:t>
            </w:r>
          </w:p>
        </w:tc>
      </w:tr>
      <w:tr>
        <w:trPr>
          <w:trHeight w:val="481" w:hRule="atLeast"/>
        </w:trPr>
        <w:tc>
          <w:tcPr>
            <w:tcW w:w="1963" w:type="dxa"/>
            <w:tcBorders>
              <w:left w:val="single" w:sz="4" w:space="0" w:color="000000"/>
              <w:bottom w:val="single" w:sz="4" w:space="0" w:color="000000"/>
            </w:tcBorders>
          </w:tcPr>
          <w:p>
            <w:pPr>
              <w:pStyle w:val="TableParagraph"/>
              <w:spacing w:before="64"/>
              <w:ind w:left="105"/>
              <w:rPr>
                <w:sz w:val="24"/>
              </w:rPr>
            </w:pPr>
            <w:r>
              <w:rPr>
                <w:sz w:val="24"/>
              </w:rPr>
              <w:t>Within</w:t>
            </w:r>
            <w:r>
              <w:rPr>
                <w:spacing w:val="-3"/>
                <w:sz w:val="24"/>
              </w:rPr>
              <w:t> </w:t>
            </w:r>
            <w:r>
              <w:rPr>
                <w:spacing w:val="-2"/>
                <w:sz w:val="24"/>
              </w:rPr>
              <w:t>groups</w:t>
            </w:r>
          </w:p>
        </w:tc>
        <w:tc>
          <w:tcPr>
            <w:tcW w:w="954" w:type="dxa"/>
            <w:tcBorders>
              <w:bottom w:val="single" w:sz="4" w:space="0" w:color="000000"/>
            </w:tcBorders>
          </w:tcPr>
          <w:p>
            <w:pPr>
              <w:pStyle w:val="TableParagraph"/>
              <w:spacing w:before="64"/>
              <w:ind w:left="125"/>
              <w:rPr>
                <w:sz w:val="24"/>
              </w:rPr>
            </w:pPr>
            <w:r>
              <w:rPr>
                <w:spacing w:val="-5"/>
                <w:sz w:val="24"/>
              </w:rPr>
              <w:t>458</w:t>
            </w:r>
          </w:p>
        </w:tc>
        <w:tc>
          <w:tcPr>
            <w:tcW w:w="1500" w:type="dxa"/>
            <w:tcBorders>
              <w:bottom w:val="single" w:sz="4" w:space="0" w:color="000000"/>
            </w:tcBorders>
          </w:tcPr>
          <w:p>
            <w:pPr>
              <w:pStyle w:val="TableParagraph"/>
              <w:spacing w:before="64"/>
              <w:ind w:left="250"/>
              <w:rPr>
                <w:sz w:val="24"/>
              </w:rPr>
            </w:pPr>
            <w:r>
              <w:rPr>
                <w:spacing w:val="-2"/>
                <w:sz w:val="24"/>
              </w:rPr>
              <w:t>199.6226</w:t>
            </w:r>
          </w:p>
        </w:tc>
        <w:tc>
          <w:tcPr>
            <w:tcW w:w="1439" w:type="dxa"/>
            <w:tcBorders>
              <w:bottom w:val="single" w:sz="4" w:space="0" w:color="000000"/>
            </w:tcBorders>
          </w:tcPr>
          <w:p>
            <w:pPr>
              <w:pStyle w:val="TableParagraph"/>
              <w:spacing w:before="64"/>
              <w:ind w:left="190"/>
              <w:rPr>
                <w:sz w:val="24"/>
              </w:rPr>
            </w:pPr>
            <w:r>
              <w:rPr>
                <w:spacing w:val="-2"/>
                <w:sz w:val="24"/>
              </w:rPr>
              <w:t>0.4359</w:t>
            </w:r>
          </w:p>
        </w:tc>
        <w:tc>
          <w:tcPr>
            <w:tcW w:w="1124" w:type="dxa"/>
            <w:tcBorders>
              <w:bottom w:val="single" w:sz="4" w:space="0" w:color="000000"/>
            </w:tcBorders>
          </w:tcPr>
          <w:p>
            <w:pPr>
              <w:pStyle w:val="TableParagraph"/>
              <w:rPr>
                <w:rFonts w:ascii="Times New Roman"/>
                <w:sz w:val="24"/>
              </w:rPr>
            </w:pPr>
          </w:p>
        </w:tc>
        <w:tc>
          <w:tcPr>
            <w:tcW w:w="1474" w:type="dxa"/>
            <w:tcBorders>
              <w:bottom w:val="single" w:sz="4" w:space="0" w:color="000000"/>
              <w:right w:val="single" w:sz="4" w:space="0" w:color="000000"/>
            </w:tcBorders>
          </w:tcPr>
          <w:p>
            <w:pPr>
              <w:pStyle w:val="TableParagraph"/>
              <w:rPr>
                <w:rFonts w:ascii="Times New Roman"/>
                <w:sz w:val="24"/>
              </w:rPr>
            </w:pPr>
          </w:p>
        </w:tc>
      </w:tr>
      <w:tr>
        <w:trPr>
          <w:trHeight w:val="278" w:hRule="atLeast"/>
        </w:trPr>
        <w:tc>
          <w:tcPr>
            <w:tcW w:w="1963"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954" w:type="dxa"/>
            <w:tcBorders>
              <w:top w:val="single" w:sz="4" w:space="0" w:color="000000"/>
              <w:bottom w:val="single" w:sz="4" w:space="0" w:color="000000"/>
            </w:tcBorders>
          </w:tcPr>
          <w:p>
            <w:pPr>
              <w:pStyle w:val="TableParagraph"/>
              <w:spacing w:line="258" w:lineRule="exact"/>
              <w:ind w:left="125"/>
              <w:rPr>
                <w:sz w:val="24"/>
              </w:rPr>
            </w:pPr>
            <w:r>
              <w:rPr>
                <w:spacing w:val="-5"/>
                <w:sz w:val="24"/>
              </w:rPr>
              <w:t>460</w:t>
            </w:r>
          </w:p>
        </w:tc>
        <w:tc>
          <w:tcPr>
            <w:tcW w:w="1500" w:type="dxa"/>
            <w:tcBorders>
              <w:top w:val="single" w:sz="4" w:space="0" w:color="000000"/>
              <w:bottom w:val="single" w:sz="4" w:space="0" w:color="000000"/>
            </w:tcBorders>
          </w:tcPr>
          <w:p>
            <w:pPr>
              <w:pStyle w:val="TableParagraph"/>
              <w:spacing w:line="258" w:lineRule="exact"/>
              <w:ind w:left="250"/>
              <w:rPr>
                <w:sz w:val="24"/>
              </w:rPr>
            </w:pPr>
            <w:r>
              <w:rPr>
                <w:spacing w:val="-2"/>
                <w:sz w:val="24"/>
              </w:rPr>
              <w:t>204.3283</w:t>
            </w:r>
          </w:p>
        </w:tc>
        <w:tc>
          <w:tcPr>
            <w:tcW w:w="1439" w:type="dxa"/>
            <w:tcBorders>
              <w:top w:val="single" w:sz="4" w:space="0" w:color="000000"/>
              <w:bottom w:val="single" w:sz="4" w:space="0" w:color="000000"/>
            </w:tcBorders>
          </w:tcPr>
          <w:p>
            <w:pPr>
              <w:pStyle w:val="TableParagraph"/>
              <w:rPr>
                <w:rFonts w:ascii="Times New Roman"/>
                <w:sz w:val="20"/>
              </w:rPr>
            </w:pPr>
          </w:p>
        </w:tc>
        <w:tc>
          <w:tcPr>
            <w:tcW w:w="1124" w:type="dxa"/>
            <w:tcBorders>
              <w:top w:val="single" w:sz="4" w:space="0" w:color="000000"/>
              <w:bottom w:val="single" w:sz="4" w:space="0" w:color="000000"/>
            </w:tcBorders>
          </w:tcPr>
          <w:p>
            <w:pPr>
              <w:pStyle w:val="TableParagraph"/>
              <w:rPr>
                <w:rFonts w:ascii="Times New Roman"/>
                <w:sz w:val="20"/>
              </w:rPr>
            </w:pPr>
          </w:p>
        </w:tc>
        <w:tc>
          <w:tcPr>
            <w:tcW w:w="1474" w:type="dxa"/>
            <w:tcBorders>
              <w:top w:val="single" w:sz="4" w:space="0" w:color="000000"/>
              <w:bottom w:val="single" w:sz="4" w:space="0" w:color="000000"/>
              <w:right w:val="single" w:sz="4" w:space="0" w:color="000000"/>
            </w:tcBorders>
          </w:tcPr>
          <w:p>
            <w:pPr>
              <w:pStyle w:val="TableParagraph"/>
              <w:rPr>
                <w:rFonts w:ascii="Times New Roman"/>
                <w:sz w:val="20"/>
              </w:rPr>
            </w:pPr>
          </w:p>
        </w:tc>
      </w:tr>
    </w:tbl>
    <w:p>
      <w:pPr>
        <w:pStyle w:val="BodyText"/>
        <w:ind w:left="1560"/>
      </w:pPr>
      <w:r>
        <w:rPr/>
        <w:t>F.</w:t>
      </w:r>
      <w:r>
        <w:rPr>
          <w:spacing w:val="-5"/>
        </w:rPr>
        <w:t> </w:t>
      </w:r>
      <w:r>
        <w:rPr/>
        <w:t>Probability</w:t>
      </w:r>
      <w:r>
        <w:rPr>
          <w:spacing w:val="-5"/>
        </w:rPr>
        <w:t> </w:t>
      </w:r>
      <w:r>
        <w:rPr/>
        <w:t>&lt;</w:t>
      </w:r>
      <w:r>
        <w:rPr>
          <w:spacing w:val="-5"/>
        </w:rPr>
        <w:t> </w:t>
      </w:r>
      <w:r>
        <w:rPr/>
        <w:t>0.05</w:t>
      </w:r>
      <w:r>
        <w:rPr>
          <w:spacing w:val="-4"/>
        </w:rPr>
        <w:t> </w:t>
      </w:r>
      <w:r>
        <w:rPr/>
        <w:t>=&gt;</w:t>
      </w:r>
      <w:r>
        <w:rPr>
          <w:spacing w:val="-6"/>
        </w:rPr>
        <w:t> </w:t>
      </w:r>
      <w:r>
        <w:rPr/>
        <w:t>HO</w:t>
      </w:r>
      <w:r>
        <w:rPr>
          <w:spacing w:val="-3"/>
        </w:rPr>
        <w:t> </w:t>
      </w:r>
      <w:r>
        <w:rPr>
          <w:spacing w:val="-5"/>
        </w:rPr>
        <w:t>Rjt</w:t>
      </w:r>
    </w:p>
    <w:p>
      <w:pPr>
        <w:pStyle w:val="BodyText"/>
        <w:spacing w:line="480" w:lineRule="auto" w:before="273"/>
        <w:ind w:left="840" w:right="556" w:firstLine="720"/>
        <w:jc w:val="both"/>
      </w:pPr>
      <w:r>
        <w:rPr/>
        <w:t>From table 4.5.11, the computed F probability is 0.0048 which is lower than the accepted P-value 0.05 of set for the study. Therefore, HO is rejected.</w:t>
      </w:r>
      <w:r>
        <w:rPr>
          <w:spacing w:val="40"/>
        </w:rPr>
        <w:t> </w:t>
      </w:r>
      <w:r>
        <w:rPr/>
        <w:t>It could, therefore, be concluded that there was significant difference in the</w:t>
      </w:r>
      <w:r>
        <w:rPr>
          <w:spacing w:val="40"/>
        </w:rPr>
        <w:t> </w:t>
      </w:r>
      <w:r>
        <w:rPr/>
        <w:t>opinions of the respondents in respect of the impact of feeding services on the students’ welfare in the these universities. To find out the extent of the relationships</w:t>
      </w:r>
      <w:r>
        <w:rPr>
          <w:spacing w:val="-7"/>
        </w:rPr>
        <w:t> </w:t>
      </w:r>
      <w:r>
        <w:rPr/>
        <w:t>in the</w:t>
      </w:r>
      <w:r>
        <w:rPr>
          <w:spacing w:val="-2"/>
        </w:rPr>
        <w:t> </w:t>
      </w:r>
      <w:r>
        <w:rPr/>
        <w:t>opinion of the three categories of</w:t>
      </w:r>
      <w:r>
        <w:rPr>
          <w:spacing w:val="-2"/>
        </w:rPr>
        <w:t> </w:t>
      </w:r>
      <w:r>
        <w:rPr/>
        <w:t>respondents</w:t>
      </w:r>
      <w:r>
        <w:rPr>
          <w:spacing w:val="-2"/>
        </w:rPr>
        <w:t> </w:t>
      </w:r>
      <w:r>
        <w:rPr/>
        <w:t>with regards</w:t>
      </w:r>
      <w:r>
        <w:rPr>
          <w:spacing w:val="-2"/>
        </w:rPr>
        <w:t> </w:t>
      </w:r>
      <w:r>
        <w:rPr/>
        <w:t>to the impact of feeding on the students’ welfare services in these universities, scheffe’s test was carried out and the result is presented in Table 4.5.12</w:t>
      </w:r>
    </w:p>
    <w:p>
      <w:pPr>
        <w:spacing w:after="0" w:line="480" w:lineRule="auto"/>
        <w:jc w:val="both"/>
        <w:sectPr>
          <w:headerReference w:type="default" r:id="rId435"/>
          <w:footerReference w:type="default" r:id="rId436"/>
          <w:pgSz w:w="12240" w:h="15840"/>
          <w:pgMar w:header="722" w:footer="791" w:top="980" w:bottom="980" w:left="1320" w:right="880"/>
        </w:sectPr>
      </w:pPr>
    </w:p>
    <w:p>
      <w:pPr>
        <w:pStyle w:val="BodyText"/>
        <w:spacing w:before="121"/>
        <w:rPr>
          <w:sz w:val="28"/>
        </w:rPr>
      </w:pPr>
    </w:p>
    <w:p>
      <w:pPr>
        <w:pStyle w:val="Heading2"/>
        <w:spacing w:before="1" w:after="6"/>
        <w:ind w:left="2712" w:right="561" w:hanging="1872"/>
        <w:jc w:val="both"/>
      </w:pPr>
      <w:r>
        <w:rPr/>
        <w:t>Table 4.5.12: Scheffe’s Multiple Comparison Test on the Opinions of service staff and management staff with respect to the impact of feeding on students’ welfare services in</w:t>
      </w:r>
      <w:r>
        <w:rPr>
          <w:spacing w:val="40"/>
        </w:rPr>
        <w:t> </w:t>
      </w:r>
      <w:r>
        <w:rPr/>
        <w:t>universities in three geopolitical zones in Northern part of Nigeria</w:t>
      </w:r>
    </w:p>
    <w:tbl>
      <w:tblPr>
        <w:tblW w:w="0" w:type="auto"/>
        <w:jc w:val="left"/>
        <w:tblInd w:w="7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47"/>
        <w:gridCol w:w="1553"/>
        <w:gridCol w:w="1620"/>
        <w:gridCol w:w="1511"/>
        <w:gridCol w:w="1291"/>
        <w:gridCol w:w="1668"/>
      </w:tblGrid>
      <w:tr>
        <w:trPr>
          <w:trHeight w:val="830" w:hRule="atLeast"/>
        </w:trPr>
        <w:tc>
          <w:tcPr>
            <w:tcW w:w="1447" w:type="dxa"/>
            <w:tcBorders>
              <w:top w:val="single" w:sz="4" w:space="0" w:color="000000"/>
              <w:left w:val="single" w:sz="4" w:space="0" w:color="000000"/>
              <w:bottom w:val="single" w:sz="4" w:space="0" w:color="000000"/>
            </w:tcBorders>
          </w:tcPr>
          <w:p>
            <w:pPr>
              <w:pStyle w:val="TableParagraph"/>
              <w:spacing w:line="242" w:lineRule="auto"/>
              <w:ind w:left="91"/>
              <w:rPr>
                <w:sz w:val="24"/>
              </w:rPr>
            </w:pPr>
            <w:r>
              <w:rPr>
                <w:spacing w:val="-2"/>
                <w:sz w:val="24"/>
              </w:rPr>
              <w:t>Dependent Variable</w:t>
            </w:r>
          </w:p>
        </w:tc>
        <w:tc>
          <w:tcPr>
            <w:tcW w:w="1553" w:type="dxa"/>
            <w:tcBorders>
              <w:top w:val="single" w:sz="4" w:space="0" w:color="000000"/>
              <w:bottom w:val="single" w:sz="4" w:space="0" w:color="000000"/>
            </w:tcBorders>
          </w:tcPr>
          <w:p>
            <w:pPr>
              <w:pStyle w:val="TableParagraph"/>
              <w:spacing w:line="271" w:lineRule="exact"/>
              <w:ind w:left="180"/>
              <w:rPr>
                <w:sz w:val="24"/>
              </w:rPr>
            </w:pPr>
            <w:r>
              <w:rPr>
                <w:sz w:val="24"/>
              </w:rPr>
              <w:t>(I) </w:t>
            </w:r>
            <w:r>
              <w:rPr>
                <w:spacing w:val="-2"/>
                <w:sz w:val="24"/>
              </w:rPr>
              <w:t>Status</w:t>
            </w:r>
          </w:p>
        </w:tc>
        <w:tc>
          <w:tcPr>
            <w:tcW w:w="1620" w:type="dxa"/>
            <w:tcBorders>
              <w:top w:val="single" w:sz="4" w:space="0" w:color="000000"/>
              <w:bottom w:val="single" w:sz="4" w:space="0" w:color="000000"/>
            </w:tcBorders>
          </w:tcPr>
          <w:p>
            <w:pPr>
              <w:pStyle w:val="TableParagraph"/>
              <w:spacing w:line="271" w:lineRule="exact"/>
              <w:ind w:left="249"/>
              <w:rPr>
                <w:sz w:val="24"/>
              </w:rPr>
            </w:pPr>
            <w:r>
              <w:rPr>
                <w:sz w:val="24"/>
              </w:rPr>
              <w:t>(J) </w:t>
            </w:r>
            <w:r>
              <w:rPr>
                <w:spacing w:val="-2"/>
                <w:sz w:val="24"/>
              </w:rPr>
              <w:t>Status</w:t>
            </w:r>
          </w:p>
        </w:tc>
        <w:tc>
          <w:tcPr>
            <w:tcW w:w="1511" w:type="dxa"/>
            <w:tcBorders>
              <w:top w:val="single" w:sz="4" w:space="0" w:color="000000"/>
              <w:bottom w:val="single" w:sz="4" w:space="0" w:color="000000"/>
            </w:tcBorders>
          </w:tcPr>
          <w:p>
            <w:pPr>
              <w:pStyle w:val="TableParagraph"/>
              <w:spacing w:line="271" w:lineRule="exact"/>
              <w:ind w:left="247"/>
              <w:rPr>
                <w:sz w:val="24"/>
              </w:rPr>
            </w:pPr>
            <w:r>
              <w:rPr>
                <w:spacing w:val="-4"/>
                <w:sz w:val="24"/>
              </w:rPr>
              <w:t>Mean</w:t>
            </w:r>
          </w:p>
          <w:p>
            <w:pPr>
              <w:pStyle w:val="TableParagraph"/>
              <w:spacing w:line="274" w:lineRule="exact"/>
              <w:ind w:left="247" w:right="164"/>
              <w:rPr>
                <w:sz w:val="24"/>
              </w:rPr>
            </w:pPr>
            <w:r>
              <w:rPr>
                <w:spacing w:val="-2"/>
                <w:sz w:val="24"/>
              </w:rPr>
              <w:t>Difference (I-J)</w:t>
            </w:r>
          </w:p>
        </w:tc>
        <w:tc>
          <w:tcPr>
            <w:tcW w:w="1291" w:type="dxa"/>
            <w:tcBorders>
              <w:top w:val="single" w:sz="4" w:space="0" w:color="000000"/>
              <w:bottom w:val="single" w:sz="4" w:space="0" w:color="000000"/>
            </w:tcBorders>
          </w:tcPr>
          <w:p>
            <w:pPr>
              <w:pStyle w:val="TableParagraph"/>
              <w:spacing w:line="242" w:lineRule="auto" w:before="134"/>
              <w:ind w:left="176"/>
              <w:rPr>
                <w:sz w:val="24"/>
              </w:rPr>
            </w:pPr>
            <w:r>
              <w:rPr>
                <w:spacing w:val="-2"/>
                <w:sz w:val="24"/>
              </w:rPr>
              <w:t>Standard Error</w:t>
            </w:r>
          </w:p>
        </w:tc>
        <w:tc>
          <w:tcPr>
            <w:tcW w:w="1668" w:type="dxa"/>
            <w:tcBorders>
              <w:top w:val="single" w:sz="4" w:space="0" w:color="000000"/>
              <w:bottom w:val="single" w:sz="4" w:space="0" w:color="000000"/>
              <w:right w:val="single" w:sz="4" w:space="0" w:color="000000"/>
            </w:tcBorders>
          </w:tcPr>
          <w:p>
            <w:pPr>
              <w:pStyle w:val="TableParagraph"/>
              <w:spacing w:before="274"/>
              <w:ind w:left="147"/>
              <w:rPr>
                <w:sz w:val="24"/>
              </w:rPr>
            </w:pPr>
            <w:r>
              <w:rPr>
                <w:spacing w:val="-2"/>
                <w:sz w:val="24"/>
              </w:rPr>
              <w:t>Significance</w:t>
            </w:r>
          </w:p>
        </w:tc>
      </w:tr>
      <w:tr>
        <w:trPr>
          <w:trHeight w:val="276" w:hRule="atLeast"/>
        </w:trPr>
        <w:tc>
          <w:tcPr>
            <w:tcW w:w="1447" w:type="dxa"/>
            <w:tcBorders>
              <w:top w:val="single" w:sz="4" w:space="0" w:color="000000"/>
              <w:left w:val="single" w:sz="4" w:space="0" w:color="000000"/>
            </w:tcBorders>
          </w:tcPr>
          <w:p>
            <w:pPr>
              <w:pStyle w:val="TableParagraph"/>
              <w:rPr>
                <w:rFonts w:ascii="Times New Roman"/>
                <w:sz w:val="20"/>
              </w:rPr>
            </w:pPr>
          </w:p>
        </w:tc>
        <w:tc>
          <w:tcPr>
            <w:tcW w:w="1553" w:type="dxa"/>
            <w:tcBorders>
              <w:top w:val="single" w:sz="4" w:space="0" w:color="000000"/>
            </w:tcBorders>
          </w:tcPr>
          <w:p>
            <w:pPr>
              <w:pStyle w:val="TableParagraph"/>
              <w:spacing w:line="257" w:lineRule="exact"/>
              <w:ind w:left="180"/>
              <w:rPr>
                <w:sz w:val="24"/>
              </w:rPr>
            </w:pPr>
            <w:r>
              <w:rPr>
                <w:spacing w:val="-2"/>
                <w:sz w:val="24"/>
              </w:rPr>
              <w:t>Student</w:t>
            </w:r>
          </w:p>
        </w:tc>
        <w:tc>
          <w:tcPr>
            <w:tcW w:w="1620" w:type="dxa"/>
            <w:tcBorders>
              <w:top w:val="single" w:sz="4" w:space="0" w:color="000000"/>
            </w:tcBorders>
          </w:tcPr>
          <w:p>
            <w:pPr>
              <w:pStyle w:val="TableParagraph"/>
              <w:spacing w:line="257" w:lineRule="exact"/>
              <w:ind w:left="249"/>
              <w:rPr>
                <w:sz w:val="24"/>
              </w:rPr>
            </w:pPr>
            <w:r>
              <w:rPr>
                <w:spacing w:val="-4"/>
                <w:sz w:val="24"/>
              </w:rPr>
              <w:t>Staff</w:t>
            </w:r>
          </w:p>
        </w:tc>
        <w:tc>
          <w:tcPr>
            <w:tcW w:w="1511" w:type="dxa"/>
            <w:tcBorders>
              <w:top w:val="single" w:sz="4" w:space="0" w:color="000000"/>
            </w:tcBorders>
          </w:tcPr>
          <w:p>
            <w:pPr>
              <w:pStyle w:val="TableParagraph"/>
              <w:spacing w:line="257" w:lineRule="exact"/>
              <w:ind w:left="247"/>
              <w:rPr>
                <w:sz w:val="24"/>
              </w:rPr>
            </w:pPr>
            <w:r>
              <w:rPr>
                <w:spacing w:val="-2"/>
                <w:sz w:val="24"/>
              </w:rPr>
              <w:t>.1500(*)</w:t>
            </w:r>
          </w:p>
        </w:tc>
        <w:tc>
          <w:tcPr>
            <w:tcW w:w="1291" w:type="dxa"/>
            <w:tcBorders>
              <w:top w:val="single" w:sz="4" w:space="0" w:color="000000"/>
            </w:tcBorders>
          </w:tcPr>
          <w:p>
            <w:pPr>
              <w:pStyle w:val="TableParagraph"/>
              <w:spacing w:line="257" w:lineRule="exact"/>
              <w:ind w:left="176"/>
              <w:rPr>
                <w:sz w:val="24"/>
              </w:rPr>
            </w:pPr>
            <w:r>
              <w:rPr>
                <w:spacing w:val="-2"/>
                <w:sz w:val="24"/>
              </w:rPr>
              <w:t>.0596</w:t>
            </w:r>
          </w:p>
        </w:tc>
        <w:tc>
          <w:tcPr>
            <w:tcW w:w="1668" w:type="dxa"/>
            <w:tcBorders>
              <w:top w:val="single" w:sz="4" w:space="0" w:color="000000"/>
              <w:right w:val="single" w:sz="4" w:space="0" w:color="000000"/>
            </w:tcBorders>
          </w:tcPr>
          <w:p>
            <w:pPr>
              <w:pStyle w:val="TableParagraph"/>
              <w:spacing w:line="257" w:lineRule="exact"/>
              <w:ind w:left="147"/>
              <w:rPr>
                <w:sz w:val="24"/>
              </w:rPr>
            </w:pPr>
            <w:r>
              <w:rPr>
                <w:spacing w:val="-4"/>
                <w:sz w:val="24"/>
              </w:rPr>
              <w:t>.043</w:t>
            </w:r>
          </w:p>
        </w:tc>
      </w:tr>
      <w:tr>
        <w:trPr>
          <w:trHeight w:val="276" w:hRule="atLeast"/>
        </w:trPr>
        <w:tc>
          <w:tcPr>
            <w:tcW w:w="1447" w:type="dxa"/>
            <w:tcBorders>
              <w:left w:val="single" w:sz="4" w:space="0" w:color="000000"/>
            </w:tcBorders>
          </w:tcPr>
          <w:p>
            <w:pPr>
              <w:pStyle w:val="TableParagraph"/>
              <w:rPr>
                <w:rFonts w:ascii="Times New Roman"/>
                <w:sz w:val="20"/>
              </w:rPr>
            </w:pPr>
          </w:p>
        </w:tc>
        <w:tc>
          <w:tcPr>
            <w:tcW w:w="1553" w:type="dxa"/>
          </w:tcPr>
          <w:p>
            <w:pPr>
              <w:pStyle w:val="TableParagraph"/>
              <w:rPr>
                <w:rFonts w:ascii="Times New Roman"/>
                <w:sz w:val="20"/>
              </w:rPr>
            </w:pPr>
          </w:p>
        </w:tc>
        <w:tc>
          <w:tcPr>
            <w:tcW w:w="1620" w:type="dxa"/>
          </w:tcPr>
          <w:p>
            <w:pPr>
              <w:pStyle w:val="TableParagraph"/>
              <w:spacing w:line="256" w:lineRule="exact"/>
              <w:ind w:left="249"/>
              <w:rPr>
                <w:sz w:val="24"/>
              </w:rPr>
            </w:pPr>
            <w:r>
              <w:rPr>
                <w:spacing w:val="-2"/>
                <w:sz w:val="24"/>
              </w:rPr>
              <w:t>Managmet</w:t>
            </w:r>
          </w:p>
        </w:tc>
        <w:tc>
          <w:tcPr>
            <w:tcW w:w="1511" w:type="dxa"/>
          </w:tcPr>
          <w:p>
            <w:pPr>
              <w:pStyle w:val="TableParagraph"/>
              <w:spacing w:line="256" w:lineRule="exact"/>
              <w:ind w:left="247"/>
              <w:rPr>
                <w:sz w:val="24"/>
              </w:rPr>
            </w:pPr>
            <w:r>
              <w:rPr>
                <w:sz w:val="24"/>
              </w:rPr>
              <w:t>-</w:t>
            </w:r>
            <w:r>
              <w:rPr>
                <w:spacing w:val="-2"/>
                <w:sz w:val="24"/>
              </w:rPr>
              <w:t>.1281(*)</w:t>
            </w:r>
          </w:p>
        </w:tc>
        <w:tc>
          <w:tcPr>
            <w:tcW w:w="1291" w:type="dxa"/>
          </w:tcPr>
          <w:p>
            <w:pPr>
              <w:pStyle w:val="TableParagraph"/>
              <w:spacing w:line="256" w:lineRule="exact"/>
              <w:ind w:left="176"/>
              <w:rPr>
                <w:sz w:val="24"/>
              </w:rPr>
            </w:pPr>
            <w:r>
              <w:rPr>
                <w:spacing w:val="-2"/>
                <w:sz w:val="24"/>
              </w:rPr>
              <w:t>.1355</w:t>
            </w:r>
          </w:p>
        </w:tc>
        <w:tc>
          <w:tcPr>
            <w:tcW w:w="1668" w:type="dxa"/>
            <w:tcBorders>
              <w:right w:val="single" w:sz="4" w:space="0" w:color="000000"/>
            </w:tcBorders>
          </w:tcPr>
          <w:p>
            <w:pPr>
              <w:pStyle w:val="TableParagraph"/>
              <w:spacing w:line="256" w:lineRule="exact"/>
              <w:ind w:left="147"/>
              <w:rPr>
                <w:sz w:val="24"/>
              </w:rPr>
            </w:pPr>
            <w:r>
              <w:rPr>
                <w:spacing w:val="-4"/>
                <w:sz w:val="24"/>
              </w:rPr>
              <w:t>.640</w:t>
            </w:r>
          </w:p>
        </w:tc>
      </w:tr>
      <w:tr>
        <w:trPr>
          <w:trHeight w:val="275" w:hRule="atLeast"/>
        </w:trPr>
        <w:tc>
          <w:tcPr>
            <w:tcW w:w="1447" w:type="dxa"/>
            <w:tcBorders>
              <w:left w:val="single" w:sz="4" w:space="0" w:color="000000"/>
            </w:tcBorders>
          </w:tcPr>
          <w:p>
            <w:pPr>
              <w:pStyle w:val="TableParagraph"/>
              <w:spacing w:line="256" w:lineRule="exact"/>
              <w:ind w:left="91"/>
              <w:rPr>
                <w:sz w:val="24"/>
              </w:rPr>
            </w:pPr>
            <w:r>
              <w:rPr>
                <w:spacing w:val="-2"/>
                <w:sz w:val="24"/>
              </w:rPr>
              <w:t>Impact</w:t>
            </w:r>
          </w:p>
        </w:tc>
        <w:tc>
          <w:tcPr>
            <w:tcW w:w="1553" w:type="dxa"/>
          </w:tcPr>
          <w:p>
            <w:pPr>
              <w:pStyle w:val="TableParagraph"/>
              <w:spacing w:line="256" w:lineRule="exact"/>
              <w:ind w:left="180"/>
              <w:rPr>
                <w:sz w:val="24"/>
              </w:rPr>
            </w:pPr>
            <w:r>
              <w:rPr>
                <w:spacing w:val="-4"/>
                <w:sz w:val="24"/>
              </w:rPr>
              <w:t>Staff</w:t>
            </w:r>
          </w:p>
        </w:tc>
        <w:tc>
          <w:tcPr>
            <w:tcW w:w="1620" w:type="dxa"/>
          </w:tcPr>
          <w:p>
            <w:pPr>
              <w:pStyle w:val="TableParagraph"/>
              <w:spacing w:line="256" w:lineRule="exact"/>
              <w:ind w:left="249"/>
              <w:rPr>
                <w:sz w:val="24"/>
              </w:rPr>
            </w:pPr>
            <w:r>
              <w:rPr>
                <w:spacing w:val="-2"/>
                <w:sz w:val="24"/>
              </w:rPr>
              <w:t>Student</w:t>
            </w:r>
          </w:p>
        </w:tc>
        <w:tc>
          <w:tcPr>
            <w:tcW w:w="1511" w:type="dxa"/>
          </w:tcPr>
          <w:p>
            <w:pPr>
              <w:pStyle w:val="TableParagraph"/>
              <w:spacing w:line="256" w:lineRule="exact"/>
              <w:ind w:left="247"/>
              <w:rPr>
                <w:sz w:val="24"/>
              </w:rPr>
            </w:pPr>
            <w:r>
              <w:rPr>
                <w:sz w:val="24"/>
              </w:rPr>
              <w:t>-</w:t>
            </w:r>
            <w:r>
              <w:rPr>
                <w:spacing w:val="-2"/>
                <w:sz w:val="24"/>
              </w:rPr>
              <w:t>.1500(*)</w:t>
            </w:r>
          </w:p>
        </w:tc>
        <w:tc>
          <w:tcPr>
            <w:tcW w:w="1291" w:type="dxa"/>
          </w:tcPr>
          <w:p>
            <w:pPr>
              <w:pStyle w:val="TableParagraph"/>
              <w:spacing w:line="256" w:lineRule="exact"/>
              <w:ind w:left="176"/>
              <w:rPr>
                <w:sz w:val="24"/>
              </w:rPr>
            </w:pPr>
            <w:r>
              <w:rPr>
                <w:spacing w:val="-2"/>
                <w:sz w:val="24"/>
              </w:rPr>
              <w:t>.0596</w:t>
            </w:r>
          </w:p>
        </w:tc>
        <w:tc>
          <w:tcPr>
            <w:tcW w:w="1668" w:type="dxa"/>
            <w:tcBorders>
              <w:right w:val="single" w:sz="4" w:space="0" w:color="000000"/>
            </w:tcBorders>
          </w:tcPr>
          <w:p>
            <w:pPr>
              <w:pStyle w:val="TableParagraph"/>
              <w:spacing w:line="256" w:lineRule="exact"/>
              <w:ind w:left="147"/>
              <w:rPr>
                <w:sz w:val="24"/>
              </w:rPr>
            </w:pPr>
            <w:r>
              <w:rPr>
                <w:spacing w:val="-4"/>
                <w:sz w:val="24"/>
              </w:rPr>
              <w:t>.043</w:t>
            </w:r>
          </w:p>
        </w:tc>
      </w:tr>
      <w:tr>
        <w:trPr>
          <w:trHeight w:val="275" w:hRule="atLeast"/>
        </w:trPr>
        <w:tc>
          <w:tcPr>
            <w:tcW w:w="1447" w:type="dxa"/>
            <w:tcBorders>
              <w:left w:val="single" w:sz="4" w:space="0" w:color="000000"/>
            </w:tcBorders>
          </w:tcPr>
          <w:p>
            <w:pPr>
              <w:pStyle w:val="TableParagraph"/>
              <w:spacing w:line="256" w:lineRule="exact"/>
              <w:ind w:left="91"/>
              <w:rPr>
                <w:sz w:val="24"/>
              </w:rPr>
            </w:pPr>
            <w:r>
              <w:rPr>
                <w:spacing w:val="-2"/>
                <w:sz w:val="24"/>
              </w:rPr>
              <w:t>(Feeding)</w:t>
            </w:r>
          </w:p>
        </w:tc>
        <w:tc>
          <w:tcPr>
            <w:tcW w:w="1553" w:type="dxa"/>
          </w:tcPr>
          <w:p>
            <w:pPr>
              <w:pStyle w:val="TableParagraph"/>
              <w:rPr>
                <w:rFonts w:ascii="Times New Roman"/>
                <w:sz w:val="20"/>
              </w:rPr>
            </w:pPr>
          </w:p>
        </w:tc>
        <w:tc>
          <w:tcPr>
            <w:tcW w:w="1620" w:type="dxa"/>
          </w:tcPr>
          <w:p>
            <w:pPr>
              <w:pStyle w:val="TableParagraph"/>
              <w:spacing w:line="256" w:lineRule="exact"/>
              <w:ind w:left="249"/>
              <w:rPr>
                <w:sz w:val="24"/>
              </w:rPr>
            </w:pPr>
            <w:r>
              <w:rPr>
                <w:spacing w:val="-2"/>
                <w:sz w:val="24"/>
              </w:rPr>
              <w:t>Managmet</w:t>
            </w:r>
          </w:p>
        </w:tc>
        <w:tc>
          <w:tcPr>
            <w:tcW w:w="1511" w:type="dxa"/>
          </w:tcPr>
          <w:p>
            <w:pPr>
              <w:pStyle w:val="TableParagraph"/>
              <w:spacing w:line="256" w:lineRule="exact"/>
              <w:ind w:left="247"/>
              <w:rPr>
                <w:sz w:val="24"/>
              </w:rPr>
            </w:pPr>
            <w:r>
              <w:rPr>
                <w:sz w:val="24"/>
              </w:rPr>
              <w:t>-</w:t>
            </w:r>
            <w:r>
              <w:rPr>
                <w:spacing w:val="-2"/>
                <w:sz w:val="24"/>
              </w:rPr>
              <w:t>.2781</w:t>
            </w:r>
          </w:p>
        </w:tc>
        <w:tc>
          <w:tcPr>
            <w:tcW w:w="1291" w:type="dxa"/>
          </w:tcPr>
          <w:p>
            <w:pPr>
              <w:pStyle w:val="TableParagraph"/>
              <w:spacing w:line="256" w:lineRule="exact"/>
              <w:ind w:left="176"/>
              <w:rPr>
                <w:sz w:val="24"/>
              </w:rPr>
            </w:pPr>
            <w:r>
              <w:rPr>
                <w:spacing w:val="-2"/>
                <w:sz w:val="24"/>
              </w:rPr>
              <w:t>.1365</w:t>
            </w:r>
          </w:p>
        </w:tc>
        <w:tc>
          <w:tcPr>
            <w:tcW w:w="1668" w:type="dxa"/>
            <w:tcBorders>
              <w:right w:val="single" w:sz="4" w:space="0" w:color="000000"/>
            </w:tcBorders>
          </w:tcPr>
          <w:p>
            <w:pPr>
              <w:pStyle w:val="TableParagraph"/>
              <w:spacing w:line="256" w:lineRule="exact"/>
              <w:ind w:left="147"/>
              <w:rPr>
                <w:sz w:val="24"/>
              </w:rPr>
            </w:pPr>
            <w:r>
              <w:rPr>
                <w:spacing w:val="-4"/>
                <w:sz w:val="24"/>
              </w:rPr>
              <w:t>.127</w:t>
            </w:r>
          </w:p>
        </w:tc>
      </w:tr>
      <w:tr>
        <w:trPr>
          <w:trHeight w:val="331" w:hRule="atLeast"/>
        </w:trPr>
        <w:tc>
          <w:tcPr>
            <w:tcW w:w="1447" w:type="dxa"/>
            <w:tcBorders>
              <w:left w:val="single" w:sz="4" w:space="0" w:color="000000"/>
            </w:tcBorders>
          </w:tcPr>
          <w:p>
            <w:pPr>
              <w:pStyle w:val="TableParagraph"/>
              <w:rPr>
                <w:rFonts w:ascii="Times New Roman"/>
                <w:sz w:val="24"/>
              </w:rPr>
            </w:pPr>
          </w:p>
        </w:tc>
        <w:tc>
          <w:tcPr>
            <w:tcW w:w="1553" w:type="dxa"/>
          </w:tcPr>
          <w:p>
            <w:pPr>
              <w:pStyle w:val="TableParagraph"/>
              <w:spacing w:line="271" w:lineRule="exact"/>
              <w:ind w:left="180"/>
              <w:rPr>
                <w:sz w:val="24"/>
              </w:rPr>
            </w:pPr>
            <w:r>
              <w:rPr>
                <w:spacing w:val="-2"/>
                <w:sz w:val="24"/>
              </w:rPr>
              <w:t>Managmet</w:t>
            </w:r>
          </w:p>
        </w:tc>
        <w:tc>
          <w:tcPr>
            <w:tcW w:w="1620" w:type="dxa"/>
          </w:tcPr>
          <w:p>
            <w:pPr>
              <w:pStyle w:val="TableParagraph"/>
              <w:spacing w:line="271" w:lineRule="exact"/>
              <w:ind w:left="249"/>
              <w:rPr>
                <w:sz w:val="24"/>
              </w:rPr>
            </w:pPr>
            <w:r>
              <w:rPr>
                <w:spacing w:val="-2"/>
                <w:sz w:val="24"/>
              </w:rPr>
              <w:t>Student</w:t>
            </w:r>
          </w:p>
        </w:tc>
        <w:tc>
          <w:tcPr>
            <w:tcW w:w="1511" w:type="dxa"/>
          </w:tcPr>
          <w:p>
            <w:pPr>
              <w:pStyle w:val="TableParagraph"/>
              <w:spacing w:line="271" w:lineRule="exact"/>
              <w:ind w:left="247"/>
              <w:rPr>
                <w:sz w:val="24"/>
              </w:rPr>
            </w:pPr>
            <w:r>
              <w:rPr>
                <w:spacing w:val="-2"/>
                <w:sz w:val="24"/>
              </w:rPr>
              <w:t>.1281(*)</w:t>
            </w:r>
          </w:p>
        </w:tc>
        <w:tc>
          <w:tcPr>
            <w:tcW w:w="1291" w:type="dxa"/>
          </w:tcPr>
          <w:p>
            <w:pPr>
              <w:pStyle w:val="TableParagraph"/>
              <w:spacing w:line="271" w:lineRule="exact"/>
              <w:ind w:left="176"/>
              <w:rPr>
                <w:sz w:val="24"/>
              </w:rPr>
            </w:pPr>
            <w:r>
              <w:rPr>
                <w:spacing w:val="-2"/>
                <w:sz w:val="24"/>
              </w:rPr>
              <w:t>.1355</w:t>
            </w:r>
          </w:p>
        </w:tc>
        <w:tc>
          <w:tcPr>
            <w:tcW w:w="1668" w:type="dxa"/>
            <w:tcBorders>
              <w:right w:val="single" w:sz="4" w:space="0" w:color="000000"/>
            </w:tcBorders>
          </w:tcPr>
          <w:p>
            <w:pPr>
              <w:pStyle w:val="TableParagraph"/>
              <w:spacing w:line="271" w:lineRule="exact"/>
              <w:ind w:left="147"/>
              <w:rPr>
                <w:sz w:val="24"/>
              </w:rPr>
            </w:pPr>
            <w:r>
              <w:rPr>
                <w:spacing w:val="-4"/>
                <w:sz w:val="24"/>
              </w:rPr>
              <w:t>.040</w:t>
            </w:r>
          </w:p>
        </w:tc>
      </w:tr>
      <w:tr>
        <w:trPr>
          <w:trHeight w:val="497" w:hRule="atLeast"/>
        </w:trPr>
        <w:tc>
          <w:tcPr>
            <w:tcW w:w="1447" w:type="dxa"/>
            <w:tcBorders>
              <w:left w:val="single" w:sz="4" w:space="0" w:color="000000"/>
              <w:bottom w:val="single" w:sz="4" w:space="0" w:color="000000"/>
            </w:tcBorders>
          </w:tcPr>
          <w:p>
            <w:pPr>
              <w:pStyle w:val="TableParagraph"/>
              <w:rPr>
                <w:rFonts w:ascii="Times New Roman"/>
                <w:sz w:val="24"/>
              </w:rPr>
            </w:pPr>
          </w:p>
        </w:tc>
        <w:tc>
          <w:tcPr>
            <w:tcW w:w="1553" w:type="dxa"/>
            <w:tcBorders>
              <w:bottom w:val="single" w:sz="4" w:space="0" w:color="000000"/>
            </w:tcBorders>
          </w:tcPr>
          <w:p>
            <w:pPr>
              <w:pStyle w:val="TableParagraph"/>
              <w:rPr>
                <w:rFonts w:ascii="Times New Roman"/>
                <w:sz w:val="24"/>
              </w:rPr>
            </w:pPr>
          </w:p>
        </w:tc>
        <w:tc>
          <w:tcPr>
            <w:tcW w:w="1620" w:type="dxa"/>
            <w:tcBorders>
              <w:bottom w:val="single" w:sz="4" w:space="0" w:color="000000"/>
            </w:tcBorders>
          </w:tcPr>
          <w:p>
            <w:pPr>
              <w:pStyle w:val="TableParagraph"/>
              <w:spacing w:line="217" w:lineRule="exact"/>
              <w:ind w:left="249"/>
              <w:rPr>
                <w:sz w:val="24"/>
              </w:rPr>
            </w:pPr>
            <w:r>
              <w:rPr>
                <w:spacing w:val="-4"/>
                <w:sz w:val="24"/>
              </w:rPr>
              <w:t>Staff</w:t>
            </w:r>
          </w:p>
        </w:tc>
        <w:tc>
          <w:tcPr>
            <w:tcW w:w="1511" w:type="dxa"/>
            <w:tcBorders>
              <w:bottom w:val="single" w:sz="4" w:space="0" w:color="000000"/>
            </w:tcBorders>
          </w:tcPr>
          <w:p>
            <w:pPr>
              <w:pStyle w:val="TableParagraph"/>
              <w:rPr>
                <w:rFonts w:ascii="Times New Roman"/>
                <w:sz w:val="24"/>
              </w:rPr>
            </w:pPr>
          </w:p>
        </w:tc>
        <w:tc>
          <w:tcPr>
            <w:tcW w:w="1291" w:type="dxa"/>
            <w:tcBorders>
              <w:bottom w:val="single" w:sz="4" w:space="0" w:color="000000"/>
            </w:tcBorders>
          </w:tcPr>
          <w:p>
            <w:pPr>
              <w:pStyle w:val="TableParagraph"/>
              <w:spacing w:before="76"/>
              <w:ind w:left="176"/>
              <w:rPr>
                <w:sz w:val="24"/>
              </w:rPr>
            </w:pPr>
            <w:r>
              <w:rPr>
                <w:spacing w:val="-2"/>
                <w:sz w:val="24"/>
              </w:rPr>
              <w:t>.1365</w:t>
            </w:r>
          </w:p>
        </w:tc>
        <w:tc>
          <w:tcPr>
            <w:tcW w:w="1668" w:type="dxa"/>
            <w:tcBorders>
              <w:bottom w:val="single" w:sz="4" w:space="0" w:color="000000"/>
              <w:right w:val="single" w:sz="4" w:space="0" w:color="000000"/>
            </w:tcBorders>
          </w:tcPr>
          <w:p>
            <w:pPr>
              <w:pStyle w:val="TableParagraph"/>
              <w:spacing w:before="76"/>
              <w:ind w:left="147"/>
              <w:rPr>
                <w:sz w:val="24"/>
              </w:rPr>
            </w:pPr>
            <w:r>
              <w:rPr>
                <w:spacing w:val="-4"/>
                <w:sz w:val="24"/>
              </w:rPr>
              <w:t>.127</w:t>
            </w:r>
          </w:p>
        </w:tc>
      </w:tr>
    </w:tbl>
    <w:p>
      <w:pPr>
        <w:pStyle w:val="BodyText"/>
        <w:ind w:left="840"/>
      </w:pPr>
      <w:r>
        <w:rPr/>
        <w:t>*Mean</w:t>
      </w:r>
      <w:r>
        <w:rPr>
          <w:spacing w:val="-5"/>
        </w:rPr>
        <w:t> </w:t>
      </w:r>
      <w:r>
        <w:rPr/>
        <w:t>difference</w:t>
      </w:r>
      <w:r>
        <w:rPr>
          <w:spacing w:val="-9"/>
        </w:rPr>
        <w:t> </w:t>
      </w:r>
      <w:r>
        <w:rPr/>
        <w:t>is</w:t>
      </w:r>
      <w:r>
        <w:rPr>
          <w:spacing w:val="-6"/>
        </w:rPr>
        <w:t> </w:t>
      </w:r>
      <w:r>
        <w:rPr/>
        <w:t>significant</w:t>
      </w:r>
      <w:r>
        <w:rPr>
          <w:spacing w:val="-5"/>
        </w:rPr>
        <w:t> </w:t>
      </w:r>
      <w:r>
        <w:rPr/>
        <w:t>at</w:t>
      </w:r>
      <w:r>
        <w:rPr>
          <w:spacing w:val="-10"/>
        </w:rPr>
        <w:t> </w:t>
      </w:r>
      <w:r>
        <w:rPr/>
        <w:t>the</w:t>
      </w:r>
      <w:r>
        <w:rPr>
          <w:spacing w:val="-5"/>
        </w:rPr>
        <w:t> </w:t>
      </w:r>
      <w:r>
        <w:rPr/>
        <w:t>.05</w:t>
      </w:r>
      <w:r>
        <w:rPr>
          <w:spacing w:val="-8"/>
        </w:rPr>
        <w:t> </w:t>
      </w:r>
      <w:r>
        <w:rPr>
          <w:spacing w:val="-4"/>
        </w:rPr>
        <w:t>level</w:t>
      </w:r>
    </w:p>
    <w:p>
      <w:pPr>
        <w:pStyle w:val="BodyText"/>
        <w:spacing w:before="272"/>
      </w:pPr>
    </w:p>
    <w:p>
      <w:pPr>
        <w:pStyle w:val="BodyText"/>
        <w:spacing w:line="480" w:lineRule="auto" w:before="1"/>
        <w:ind w:left="840" w:right="554" w:firstLine="720"/>
        <w:jc w:val="both"/>
      </w:pPr>
      <w:r>
        <w:rPr/>
        <w:t>The result of Scheffe’s Multiple Comparison Test in table 4.5.12 reveals that there was differences</w:t>
      </w:r>
      <w:r>
        <w:rPr>
          <w:spacing w:val="-2"/>
        </w:rPr>
        <w:t> </w:t>
      </w:r>
      <w:r>
        <w:rPr/>
        <w:t>in the degree</w:t>
      </w:r>
      <w:r>
        <w:rPr>
          <w:spacing w:val="-1"/>
        </w:rPr>
        <w:t> </w:t>
      </w:r>
      <w:r>
        <w:rPr/>
        <w:t>of opinions</w:t>
      </w:r>
      <w:r>
        <w:rPr>
          <w:spacing w:val="-2"/>
        </w:rPr>
        <w:t> </w:t>
      </w:r>
      <w:r>
        <w:rPr/>
        <w:t>of the</w:t>
      </w:r>
      <w:r>
        <w:rPr>
          <w:spacing w:val="-1"/>
        </w:rPr>
        <w:t> </w:t>
      </w:r>
      <w:r>
        <w:rPr/>
        <w:t>respondents</w:t>
      </w:r>
      <w:r>
        <w:rPr>
          <w:spacing w:val="-2"/>
        </w:rPr>
        <w:t> </w:t>
      </w:r>
      <w:r>
        <w:rPr/>
        <w:t>regarding the impact of feeding on the students’ welfare services in the universities under study. Significant difference is prominent between mean differences of services staff and students while management and service staff behaved together, students behaved differently in their opinions.</w:t>
      </w:r>
    </w:p>
    <w:p>
      <w:pPr>
        <w:pStyle w:val="BodyText"/>
        <w:spacing w:line="480" w:lineRule="auto"/>
        <w:ind w:left="840" w:right="555" w:firstLine="720"/>
        <w:jc w:val="both"/>
      </w:pPr>
      <w:r>
        <w:rPr/>
        <w:t>These differences in opinions could entail the hardships students faced when feeding subsidy was banned and private caterers were invited to handle</w:t>
      </w:r>
      <w:r>
        <w:rPr>
          <w:spacing w:val="40"/>
        </w:rPr>
        <w:t> </w:t>
      </w:r>
      <w:r>
        <w:rPr/>
        <w:t>the catering services to students. The arrangement was not easy for the management to supervise effectively. Hence the possibility of being ignorant of the type and quantity of meals prepared and amount charged per plate to students.</w:t>
      </w:r>
      <w:r>
        <w:rPr>
          <w:spacing w:val="-1"/>
        </w:rPr>
        <w:t> </w:t>
      </w:r>
      <w:r>
        <w:rPr/>
        <w:t>The students</w:t>
      </w:r>
      <w:r>
        <w:rPr>
          <w:spacing w:val="-1"/>
        </w:rPr>
        <w:t> </w:t>
      </w:r>
      <w:r>
        <w:rPr/>
        <w:t>were in the best</w:t>
      </w:r>
      <w:r>
        <w:rPr>
          <w:spacing w:val="-1"/>
        </w:rPr>
        <w:t> </w:t>
      </w:r>
      <w:r>
        <w:rPr/>
        <w:t>position to know</w:t>
      </w:r>
      <w:r>
        <w:rPr>
          <w:spacing w:val="-6"/>
        </w:rPr>
        <w:t> </w:t>
      </w:r>
      <w:r>
        <w:rPr/>
        <w:t>the repercussions</w:t>
      </w:r>
      <w:r>
        <w:rPr>
          <w:spacing w:val="-1"/>
        </w:rPr>
        <w:t> </w:t>
      </w:r>
      <w:r>
        <w:rPr/>
        <w:t>of</w:t>
      </w:r>
      <w:r>
        <w:rPr>
          <w:spacing w:val="-1"/>
        </w:rPr>
        <w:t> </w:t>
      </w:r>
      <w:r>
        <w:rPr/>
        <w:t>the withdrawal of feeding subsidy. Therefore, the marked difference in their opinion on</w:t>
      </w:r>
      <w:r>
        <w:rPr>
          <w:spacing w:val="27"/>
        </w:rPr>
        <w:t> </w:t>
      </w:r>
      <w:r>
        <w:rPr/>
        <w:t>the</w:t>
      </w:r>
      <w:r>
        <w:rPr>
          <w:spacing w:val="24"/>
        </w:rPr>
        <w:t> </w:t>
      </w:r>
      <w:r>
        <w:rPr/>
        <w:t>impact</w:t>
      </w:r>
      <w:r>
        <w:rPr>
          <w:spacing w:val="26"/>
        </w:rPr>
        <w:t> </w:t>
      </w:r>
      <w:r>
        <w:rPr/>
        <w:t>of</w:t>
      </w:r>
      <w:r>
        <w:rPr>
          <w:spacing w:val="27"/>
        </w:rPr>
        <w:t> </w:t>
      </w:r>
      <w:r>
        <w:rPr/>
        <w:t>feeding</w:t>
      </w:r>
      <w:r>
        <w:rPr>
          <w:spacing w:val="28"/>
        </w:rPr>
        <w:t> </w:t>
      </w:r>
      <w:r>
        <w:rPr/>
        <w:t>on</w:t>
      </w:r>
      <w:r>
        <w:rPr>
          <w:spacing w:val="27"/>
        </w:rPr>
        <w:t> </w:t>
      </w:r>
      <w:r>
        <w:rPr/>
        <w:t>students’</w:t>
      </w:r>
      <w:r>
        <w:rPr>
          <w:spacing w:val="27"/>
        </w:rPr>
        <w:t> </w:t>
      </w:r>
      <w:r>
        <w:rPr/>
        <w:t>welfare</w:t>
      </w:r>
      <w:r>
        <w:rPr>
          <w:spacing w:val="27"/>
        </w:rPr>
        <w:t> </w:t>
      </w:r>
      <w:r>
        <w:rPr/>
        <w:t>in</w:t>
      </w:r>
      <w:r>
        <w:rPr>
          <w:spacing w:val="28"/>
        </w:rPr>
        <w:t> </w:t>
      </w:r>
      <w:r>
        <w:rPr/>
        <w:t>the</w:t>
      </w:r>
      <w:r>
        <w:rPr>
          <w:spacing w:val="24"/>
        </w:rPr>
        <w:t> </w:t>
      </w:r>
      <w:r>
        <w:rPr/>
        <w:t>these</w:t>
      </w:r>
      <w:r>
        <w:rPr>
          <w:spacing w:val="24"/>
        </w:rPr>
        <w:t> </w:t>
      </w:r>
      <w:r>
        <w:rPr/>
        <w:t>universities</w:t>
      </w:r>
      <w:r>
        <w:rPr>
          <w:spacing w:val="22"/>
        </w:rPr>
        <w:t> </w:t>
      </w:r>
      <w:r>
        <w:rPr>
          <w:spacing w:val="-2"/>
        </w:rPr>
        <w:t>entailed</w:t>
      </w:r>
    </w:p>
    <w:p>
      <w:pPr>
        <w:spacing w:after="0" w:line="480" w:lineRule="auto"/>
        <w:jc w:val="both"/>
        <w:sectPr>
          <w:headerReference w:type="default" r:id="rId437"/>
          <w:footerReference w:type="default" r:id="rId438"/>
          <w:pgSz w:w="12240" w:h="15840"/>
          <w:pgMar w:header="722" w:footer="791" w:top="980" w:bottom="980" w:left="1320" w:right="880"/>
        </w:sectPr>
      </w:pPr>
    </w:p>
    <w:p>
      <w:pPr>
        <w:pStyle w:val="BodyText"/>
        <w:spacing w:before="171"/>
      </w:pPr>
    </w:p>
    <w:p>
      <w:pPr>
        <w:pStyle w:val="BodyText"/>
        <w:spacing w:line="480" w:lineRule="auto"/>
        <w:ind w:left="840" w:right="554"/>
        <w:jc w:val="both"/>
      </w:pPr>
      <w:r>
        <w:rPr/>
        <w:t>that it had not been easy for them to cope with the new system of feeding, although</w:t>
      </w:r>
      <w:r>
        <w:rPr>
          <w:spacing w:val="-2"/>
        </w:rPr>
        <w:t> </w:t>
      </w:r>
      <w:r>
        <w:rPr/>
        <w:t>they must have</w:t>
      </w:r>
      <w:r>
        <w:rPr>
          <w:spacing w:val="-1"/>
        </w:rPr>
        <w:t> </w:t>
      </w:r>
      <w:r>
        <w:rPr/>
        <w:t>gradually</w:t>
      </w:r>
      <w:r>
        <w:rPr>
          <w:spacing w:val="-8"/>
        </w:rPr>
        <w:t> </w:t>
      </w:r>
      <w:r>
        <w:rPr/>
        <w:t>learnt to</w:t>
      </w:r>
      <w:r>
        <w:rPr>
          <w:spacing w:val="-2"/>
        </w:rPr>
        <w:t> </w:t>
      </w:r>
      <w:r>
        <w:rPr/>
        <w:t>adapt since</w:t>
      </w:r>
      <w:r>
        <w:rPr>
          <w:spacing w:val="-2"/>
        </w:rPr>
        <w:t> </w:t>
      </w:r>
      <w:r>
        <w:rPr/>
        <w:t>there could never be any hope for lifting the ban on the withdrawal of the feeding subsidy by the </w:t>
      </w:r>
      <w:r>
        <w:rPr>
          <w:spacing w:val="-2"/>
        </w:rPr>
        <w:t>Government.</w:t>
      </w:r>
    </w:p>
    <w:p>
      <w:pPr>
        <w:pStyle w:val="BodyText"/>
        <w:spacing w:line="480" w:lineRule="auto" w:before="1"/>
        <w:ind w:left="840" w:right="555" w:firstLine="720"/>
        <w:jc w:val="both"/>
      </w:pPr>
      <w:r>
        <w:rPr/>
        <w:t>However, the management could intervene intensively in the supervision</w:t>
      </w:r>
      <w:r>
        <w:rPr>
          <w:spacing w:val="40"/>
        </w:rPr>
        <w:t> </w:t>
      </w:r>
      <w:r>
        <w:rPr/>
        <w:t>of the menus provided by the private caterers to reduce the possible exploitation as perceived by students.</w:t>
      </w:r>
    </w:p>
    <w:p>
      <w:pPr>
        <w:pStyle w:val="Heading4"/>
        <w:numPr>
          <w:ilvl w:val="2"/>
          <w:numId w:val="43"/>
        </w:numPr>
        <w:tabs>
          <w:tab w:pos="837" w:val="left" w:leader="none"/>
        </w:tabs>
        <w:spacing w:line="240" w:lineRule="auto" w:before="1" w:after="0"/>
        <w:ind w:left="837" w:right="0" w:hanging="717"/>
        <w:jc w:val="left"/>
      </w:pPr>
      <w:r>
        <w:rPr/>
        <w:t>Null</w:t>
      </w:r>
      <w:r>
        <w:rPr>
          <w:spacing w:val="-11"/>
        </w:rPr>
        <w:t> </w:t>
      </w:r>
      <w:r>
        <w:rPr/>
        <w:t>Hypothesis</w:t>
      </w:r>
      <w:r>
        <w:rPr>
          <w:spacing w:val="-10"/>
        </w:rPr>
        <w:t> 8</w:t>
      </w:r>
    </w:p>
    <w:p>
      <w:pPr>
        <w:pStyle w:val="BodyText"/>
        <w:spacing w:before="44"/>
        <w:rPr>
          <w:rFonts w:ascii="Arial"/>
          <w:b/>
        </w:rPr>
      </w:pPr>
    </w:p>
    <w:p>
      <w:pPr>
        <w:pStyle w:val="BodyText"/>
        <w:spacing w:line="480" w:lineRule="auto"/>
        <w:ind w:left="840" w:right="561" w:firstLine="720"/>
        <w:jc w:val="both"/>
      </w:pPr>
      <w:r>
        <w:rPr/>
        <w:t>There is no significant difference in the opinions of students, service staff and top management staff with respect to the impact of hostel accommodation</w:t>
      </w:r>
      <w:r>
        <w:rPr>
          <w:spacing w:val="40"/>
        </w:rPr>
        <w:t> </w:t>
      </w:r>
      <w:r>
        <w:rPr/>
        <w:t>on students’ welfare in the universities under study.</w:t>
      </w:r>
    </w:p>
    <w:p>
      <w:pPr>
        <w:pStyle w:val="BodyText"/>
        <w:spacing w:line="480" w:lineRule="auto"/>
        <w:ind w:left="840" w:right="556" w:firstLine="720"/>
        <w:jc w:val="both"/>
      </w:pPr>
      <w:r>
        <w:rPr/>
        <w:t>Data related to this hypothesis were obtained from the responses of respondents from items 38 to 42 of the questionnaire to determine the level of agreement in the opinions of the categories of respondents pertaining to the impact of hostel accommodation on students’ welfare in these universities. In testing this hypothesis, all the five items were used by adopting One Way Analysis of Variance (ANOVA) statistical procedure to determine the possible differences of respondents’ opinions. The results of the test are presented in Table 4.5.13.</w:t>
      </w:r>
    </w:p>
    <w:p>
      <w:pPr>
        <w:spacing w:after="0" w:line="480" w:lineRule="auto"/>
        <w:jc w:val="both"/>
        <w:sectPr>
          <w:headerReference w:type="default" r:id="rId439"/>
          <w:footerReference w:type="default" r:id="rId440"/>
          <w:pgSz w:w="12240" w:h="15840"/>
          <w:pgMar w:header="722" w:footer="791" w:top="980" w:bottom="980" w:left="1320" w:right="880"/>
        </w:sectPr>
      </w:pPr>
    </w:p>
    <w:p>
      <w:pPr>
        <w:pStyle w:val="BodyText"/>
        <w:spacing w:before="121"/>
        <w:rPr>
          <w:sz w:val="28"/>
        </w:rPr>
      </w:pPr>
    </w:p>
    <w:p>
      <w:pPr>
        <w:pStyle w:val="Heading2"/>
        <w:spacing w:before="1"/>
        <w:ind w:left="2510" w:right="643" w:hanging="1671"/>
      </w:pPr>
      <w:r>
        <w:rPr/>
        <w:t>Table 4.5.13:Analysis of Variance (ANOVA) on the impact of hostel accommodation on students’ welfare services</w:t>
      </w:r>
      <w:r>
        <w:rPr>
          <w:spacing w:val="-4"/>
        </w:rPr>
        <w:t> </w:t>
      </w:r>
      <w:r>
        <w:rPr/>
        <w:t>in</w:t>
      </w:r>
      <w:r>
        <w:rPr>
          <w:spacing w:val="-5"/>
        </w:rPr>
        <w:t> </w:t>
      </w:r>
      <w:r>
        <w:rPr/>
        <w:t>the</w:t>
      </w:r>
      <w:r>
        <w:rPr>
          <w:spacing w:val="-8"/>
        </w:rPr>
        <w:t> </w:t>
      </w:r>
      <w:r>
        <w:rPr/>
        <w:t>Universities</w:t>
      </w:r>
      <w:r>
        <w:rPr>
          <w:spacing w:val="-8"/>
        </w:rPr>
        <w:t> </w:t>
      </w:r>
      <w:r>
        <w:rPr/>
        <w:t>in</w:t>
      </w:r>
      <w:r>
        <w:rPr>
          <w:spacing w:val="-9"/>
        </w:rPr>
        <w:t> </w:t>
      </w:r>
      <w:r>
        <w:rPr/>
        <w:t>three</w:t>
      </w:r>
      <w:r>
        <w:rPr>
          <w:spacing w:val="-8"/>
        </w:rPr>
        <w:t> </w:t>
      </w:r>
      <w:r>
        <w:rPr/>
        <w:t>geopolitical zones in Northern part of Nigeria</w:t>
      </w:r>
    </w:p>
    <w:p>
      <w:pPr>
        <w:pStyle w:val="BodyText"/>
        <w:spacing w:before="98"/>
        <w:rPr>
          <w:rFonts w:ascii="Arial"/>
          <w:b/>
          <w:sz w:val="20"/>
        </w:rPr>
      </w:pPr>
    </w:p>
    <w:tbl>
      <w:tblPr>
        <w:tblW w:w="0" w:type="auto"/>
        <w:jc w:val="left"/>
        <w:tblInd w:w="1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63"/>
        <w:gridCol w:w="954"/>
        <w:gridCol w:w="1642"/>
        <w:gridCol w:w="1351"/>
        <w:gridCol w:w="1228"/>
        <w:gridCol w:w="1319"/>
      </w:tblGrid>
      <w:tr>
        <w:trPr>
          <w:trHeight w:val="551" w:hRule="atLeast"/>
        </w:trPr>
        <w:tc>
          <w:tcPr>
            <w:tcW w:w="1963" w:type="dxa"/>
            <w:tcBorders>
              <w:top w:val="single" w:sz="4" w:space="0" w:color="000000"/>
              <w:left w:val="single" w:sz="4" w:space="0" w:color="000000"/>
              <w:bottom w:val="single" w:sz="4" w:space="0" w:color="000000"/>
            </w:tcBorders>
          </w:tcPr>
          <w:p>
            <w:pPr>
              <w:pStyle w:val="TableParagraph"/>
              <w:spacing w:line="267" w:lineRule="exact"/>
              <w:ind w:left="431"/>
              <w:rPr>
                <w:rFonts w:ascii="Arial"/>
                <w:b/>
                <w:sz w:val="24"/>
              </w:rPr>
            </w:pPr>
            <w:r>
              <w:rPr>
                <w:rFonts w:ascii="Arial"/>
                <w:b/>
                <w:sz w:val="24"/>
              </w:rPr>
              <w:t>Source</w:t>
            </w:r>
            <w:r>
              <w:rPr>
                <w:rFonts w:ascii="Arial"/>
                <w:b/>
                <w:spacing w:val="-12"/>
                <w:sz w:val="24"/>
              </w:rPr>
              <w:t> </w:t>
            </w:r>
            <w:r>
              <w:rPr>
                <w:rFonts w:ascii="Arial"/>
                <w:b/>
                <w:spacing w:val="-5"/>
                <w:sz w:val="24"/>
              </w:rPr>
              <w:t>of</w:t>
            </w:r>
          </w:p>
          <w:p>
            <w:pPr>
              <w:pStyle w:val="TableParagraph"/>
              <w:spacing w:line="263" w:lineRule="exact" w:before="2"/>
              <w:ind w:left="470"/>
              <w:rPr>
                <w:rFonts w:ascii="Arial"/>
                <w:b/>
                <w:sz w:val="24"/>
              </w:rPr>
            </w:pPr>
            <w:r>
              <w:rPr>
                <w:rFonts w:ascii="Arial"/>
                <w:b/>
                <w:spacing w:val="-2"/>
                <w:sz w:val="24"/>
              </w:rPr>
              <w:t>Variation</w:t>
            </w:r>
          </w:p>
        </w:tc>
        <w:tc>
          <w:tcPr>
            <w:tcW w:w="954" w:type="dxa"/>
            <w:tcBorders>
              <w:top w:val="single" w:sz="4" w:space="0" w:color="000000"/>
              <w:bottom w:val="single" w:sz="4" w:space="0" w:color="000000"/>
            </w:tcBorders>
          </w:tcPr>
          <w:p>
            <w:pPr>
              <w:pStyle w:val="TableParagraph"/>
              <w:spacing w:line="267" w:lineRule="exact"/>
              <w:ind w:left="393"/>
              <w:rPr>
                <w:rFonts w:ascii="Arial"/>
                <w:b/>
                <w:sz w:val="24"/>
              </w:rPr>
            </w:pPr>
            <w:r>
              <w:rPr>
                <w:rFonts w:ascii="Arial"/>
                <w:b/>
                <w:spacing w:val="-5"/>
                <w:sz w:val="24"/>
              </w:rPr>
              <w:t>DF</w:t>
            </w:r>
          </w:p>
        </w:tc>
        <w:tc>
          <w:tcPr>
            <w:tcW w:w="1642" w:type="dxa"/>
            <w:tcBorders>
              <w:top w:val="single" w:sz="4" w:space="0" w:color="000000"/>
              <w:bottom w:val="single" w:sz="4" w:space="0" w:color="000000"/>
            </w:tcBorders>
          </w:tcPr>
          <w:p>
            <w:pPr>
              <w:pStyle w:val="TableParagraph"/>
              <w:spacing w:line="267" w:lineRule="exact"/>
              <w:ind w:left="543"/>
              <w:rPr>
                <w:rFonts w:ascii="Arial"/>
                <w:b/>
                <w:sz w:val="24"/>
              </w:rPr>
            </w:pPr>
            <w:r>
              <w:rPr>
                <w:rFonts w:ascii="Arial"/>
                <w:b/>
                <w:sz w:val="24"/>
              </w:rPr>
              <w:t>Sum</w:t>
            </w:r>
            <w:r>
              <w:rPr>
                <w:rFonts w:ascii="Arial"/>
                <w:b/>
                <w:spacing w:val="-13"/>
                <w:sz w:val="24"/>
              </w:rPr>
              <w:t> </w:t>
            </w:r>
            <w:r>
              <w:rPr>
                <w:rFonts w:ascii="Arial"/>
                <w:b/>
                <w:spacing w:val="-5"/>
                <w:sz w:val="24"/>
              </w:rPr>
              <w:t>of</w:t>
            </w:r>
          </w:p>
          <w:p>
            <w:pPr>
              <w:pStyle w:val="TableParagraph"/>
              <w:spacing w:line="263" w:lineRule="exact" w:before="2"/>
              <w:ind w:left="476"/>
              <w:rPr>
                <w:rFonts w:ascii="Arial"/>
                <w:b/>
                <w:sz w:val="24"/>
              </w:rPr>
            </w:pPr>
            <w:r>
              <w:rPr>
                <w:rFonts w:ascii="Arial"/>
                <w:b/>
                <w:spacing w:val="-2"/>
                <w:sz w:val="24"/>
              </w:rPr>
              <w:t>Squares</w:t>
            </w:r>
          </w:p>
        </w:tc>
        <w:tc>
          <w:tcPr>
            <w:tcW w:w="1351" w:type="dxa"/>
            <w:tcBorders>
              <w:top w:val="single" w:sz="4" w:space="0" w:color="000000"/>
              <w:bottom w:val="single" w:sz="4" w:space="0" w:color="000000"/>
            </w:tcBorders>
          </w:tcPr>
          <w:p>
            <w:pPr>
              <w:pStyle w:val="TableParagraph"/>
              <w:spacing w:line="267" w:lineRule="exact"/>
              <w:ind w:left="155"/>
              <w:jc w:val="center"/>
              <w:rPr>
                <w:rFonts w:ascii="Arial"/>
                <w:b/>
                <w:sz w:val="24"/>
              </w:rPr>
            </w:pPr>
            <w:r>
              <w:rPr>
                <w:rFonts w:ascii="Arial"/>
                <w:b/>
                <w:spacing w:val="-4"/>
                <w:sz w:val="24"/>
              </w:rPr>
              <w:t>Mean</w:t>
            </w:r>
          </w:p>
          <w:p>
            <w:pPr>
              <w:pStyle w:val="TableParagraph"/>
              <w:spacing w:line="263" w:lineRule="exact" w:before="2"/>
              <w:ind w:left="155" w:right="3"/>
              <w:jc w:val="center"/>
              <w:rPr>
                <w:rFonts w:ascii="Arial"/>
                <w:b/>
                <w:sz w:val="24"/>
              </w:rPr>
            </w:pPr>
            <w:r>
              <w:rPr>
                <w:rFonts w:ascii="Arial"/>
                <w:b/>
                <w:spacing w:val="-2"/>
                <w:sz w:val="24"/>
              </w:rPr>
              <w:t>Squares</w:t>
            </w:r>
          </w:p>
        </w:tc>
        <w:tc>
          <w:tcPr>
            <w:tcW w:w="1228" w:type="dxa"/>
            <w:tcBorders>
              <w:top w:val="single" w:sz="4" w:space="0" w:color="000000"/>
              <w:bottom w:val="single" w:sz="4" w:space="0" w:color="000000"/>
            </w:tcBorders>
          </w:tcPr>
          <w:p>
            <w:pPr>
              <w:pStyle w:val="TableParagraph"/>
              <w:spacing w:line="267" w:lineRule="exact"/>
              <w:ind w:left="253"/>
              <w:rPr>
                <w:rFonts w:ascii="Arial"/>
                <w:b/>
                <w:sz w:val="24"/>
              </w:rPr>
            </w:pPr>
            <w:r>
              <w:rPr>
                <w:rFonts w:ascii="Arial"/>
                <w:b/>
                <w:sz w:val="24"/>
              </w:rPr>
              <w:t>F </w:t>
            </w:r>
            <w:r>
              <w:rPr>
                <w:rFonts w:ascii="Arial"/>
                <w:b/>
                <w:spacing w:val="-2"/>
                <w:sz w:val="24"/>
              </w:rPr>
              <w:t>Ratio</w:t>
            </w:r>
          </w:p>
        </w:tc>
        <w:tc>
          <w:tcPr>
            <w:tcW w:w="1319" w:type="dxa"/>
            <w:tcBorders>
              <w:top w:val="single" w:sz="4" w:space="0" w:color="000000"/>
              <w:bottom w:val="single" w:sz="4" w:space="0" w:color="000000"/>
              <w:right w:val="single" w:sz="4" w:space="0" w:color="000000"/>
            </w:tcBorders>
          </w:tcPr>
          <w:p>
            <w:pPr>
              <w:pStyle w:val="TableParagraph"/>
              <w:spacing w:line="267" w:lineRule="exact"/>
              <w:ind w:left="258"/>
              <w:rPr>
                <w:rFonts w:ascii="Arial"/>
                <w:b/>
                <w:sz w:val="24"/>
              </w:rPr>
            </w:pPr>
            <w:r>
              <w:rPr>
                <w:rFonts w:ascii="Arial"/>
                <w:b/>
                <w:sz w:val="24"/>
              </w:rPr>
              <w:t>P</w:t>
            </w:r>
            <w:r>
              <w:rPr>
                <w:rFonts w:ascii="Arial"/>
                <w:b/>
                <w:spacing w:val="-3"/>
                <w:sz w:val="24"/>
              </w:rPr>
              <w:t> </w:t>
            </w:r>
            <w:r>
              <w:rPr>
                <w:rFonts w:ascii="Arial"/>
                <w:b/>
                <w:spacing w:val="-2"/>
                <w:sz w:val="24"/>
              </w:rPr>
              <w:t>Value</w:t>
            </w:r>
          </w:p>
        </w:tc>
      </w:tr>
      <w:tr>
        <w:trPr>
          <w:trHeight w:val="348" w:hRule="atLeast"/>
        </w:trPr>
        <w:tc>
          <w:tcPr>
            <w:tcW w:w="1963" w:type="dxa"/>
            <w:tcBorders>
              <w:top w:val="single" w:sz="4" w:space="0" w:color="000000"/>
              <w:left w:val="single" w:sz="4" w:space="0" w:color="000000"/>
            </w:tcBorders>
          </w:tcPr>
          <w:p>
            <w:pPr>
              <w:pStyle w:val="TableParagraph"/>
              <w:ind w:left="105"/>
              <w:rPr>
                <w:sz w:val="24"/>
              </w:rPr>
            </w:pPr>
            <w:r>
              <w:rPr>
                <w:sz w:val="24"/>
              </w:rPr>
              <w:t>Between</w:t>
            </w:r>
            <w:r>
              <w:rPr>
                <w:spacing w:val="-13"/>
                <w:sz w:val="24"/>
              </w:rPr>
              <w:t> </w:t>
            </w:r>
            <w:r>
              <w:rPr>
                <w:spacing w:val="-2"/>
                <w:sz w:val="24"/>
              </w:rPr>
              <w:t>groups</w:t>
            </w:r>
          </w:p>
        </w:tc>
        <w:tc>
          <w:tcPr>
            <w:tcW w:w="954" w:type="dxa"/>
            <w:tcBorders>
              <w:top w:val="single" w:sz="4" w:space="0" w:color="000000"/>
            </w:tcBorders>
          </w:tcPr>
          <w:p>
            <w:pPr>
              <w:pStyle w:val="TableParagraph"/>
              <w:ind w:left="125"/>
              <w:rPr>
                <w:sz w:val="24"/>
              </w:rPr>
            </w:pPr>
            <w:r>
              <w:rPr>
                <w:spacing w:val="-10"/>
                <w:sz w:val="24"/>
              </w:rPr>
              <w:t>2</w:t>
            </w:r>
          </w:p>
        </w:tc>
        <w:tc>
          <w:tcPr>
            <w:tcW w:w="1642" w:type="dxa"/>
            <w:tcBorders>
              <w:top w:val="single" w:sz="4" w:space="0" w:color="000000"/>
            </w:tcBorders>
          </w:tcPr>
          <w:p>
            <w:pPr>
              <w:pStyle w:val="TableParagraph"/>
              <w:ind w:left="250"/>
              <w:rPr>
                <w:sz w:val="24"/>
              </w:rPr>
            </w:pPr>
            <w:r>
              <w:rPr>
                <w:spacing w:val="-2"/>
                <w:sz w:val="24"/>
              </w:rPr>
              <w:t>7.0313</w:t>
            </w:r>
          </w:p>
        </w:tc>
        <w:tc>
          <w:tcPr>
            <w:tcW w:w="1351" w:type="dxa"/>
            <w:tcBorders>
              <w:top w:val="single" w:sz="4" w:space="0" w:color="000000"/>
            </w:tcBorders>
          </w:tcPr>
          <w:p>
            <w:pPr>
              <w:pStyle w:val="TableParagraph"/>
              <w:ind w:left="231"/>
              <w:rPr>
                <w:sz w:val="24"/>
              </w:rPr>
            </w:pPr>
            <w:r>
              <w:rPr>
                <w:spacing w:val="-2"/>
                <w:sz w:val="24"/>
              </w:rPr>
              <w:t>3.5156</w:t>
            </w:r>
          </w:p>
        </w:tc>
        <w:tc>
          <w:tcPr>
            <w:tcW w:w="1228" w:type="dxa"/>
            <w:tcBorders>
              <w:top w:val="single" w:sz="4" w:space="0" w:color="000000"/>
            </w:tcBorders>
          </w:tcPr>
          <w:p>
            <w:pPr>
              <w:pStyle w:val="TableParagraph"/>
              <w:ind w:left="137"/>
              <w:rPr>
                <w:sz w:val="24"/>
              </w:rPr>
            </w:pPr>
            <w:r>
              <w:rPr>
                <w:spacing w:val="-2"/>
                <w:sz w:val="24"/>
              </w:rPr>
              <w:t>6.2052</w:t>
            </w:r>
          </w:p>
        </w:tc>
        <w:tc>
          <w:tcPr>
            <w:tcW w:w="1319" w:type="dxa"/>
            <w:tcBorders>
              <w:top w:val="single" w:sz="4" w:space="0" w:color="000000"/>
              <w:right w:val="single" w:sz="4" w:space="0" w:color="000000"/>
            </w:tcBorders>
          </w:tcPr>
          <w:p>
            <w:pPr>
              <w:pStyle w:val="TableParagraph"/>
              <w:ind w:left="172"/>
              <w:rPr>
                <w:sz w:val="24"/>
              </w:rPr>
            </w:pPr>
            <w:r>
              <w:rPr>
                <w:spacing w:val="-2"/>
                <w:sz w:val="24"/>
              </w:rPr>
              <w:t>0.0022</w:t>
            </w:r>
          </w:p>
        </w:tc>
      </w:tr>
      <w:tr>
        <w:trPr>
          <w:trHeight w:val="481" w:hRule="atLeast"/>
        </w:trPr>
        <w:tc>
          <w:tcPr>
            <w:tcW w:w="1963" w:type="dxa"/>
            <w:tcBorders>
              <w:left w:val="single" w:sz="4" w:space="0" w:color="000000"/>
              <w:bottom w:val="single" w:sz="4" w:space="0" w:color="000000"/>
            </w:tcBorders>
          </w:tcPr>
          <w:p>
            <w:pPr>
              <w:pStyle w:val="TableParagraph"/>
              <w:spacing w:before="64"/>
              <w:ind w:left="105"/>
              <w:rPr>
                <w:sz w:val="24"/>
              </w:rPr>
            </w:pPr>
            <w:r>
              <w:rPr>
                <w:sz w:val="24"/>
              </w:rPr>
              <w:t>Within</w:t>
            </w:r>
            <w:r>
              <w:rPr>
                <w:spacing w:val="-3"/>
                <w:sz w:val="24"/>
              </w:rPr>
              <w:t> </w:t>
            </w:r>
            <w:r>
              <w:rPr>
                <w:spacing w:val="-2"/>
                <w:sz w:val="24"/>
              </w:rPr>
              <w:t>groups</w:t>
            </w:r>
          </w:p>
        </w:tc>
        <w:tc>
          <w:tcPr>
            <w:tcW w:w="954" w:type="dxa"/>
            <w:tcBorders>
              <w:bottom w:val="single" w:sz="4" w:space="0" w:color="000000"/>
            </w:tcBorders>
          </w:tcPr>
          <w:p>
            <w:pPr>
              <w:pStyle w:val="TableParagraph"/>
              <w:spacing w:before="64"/>
              <w:ind w:left="125"/>
              <w:rPr>
                <w:sz w:val="24"/>
              </w:rPr>
            </w:pPr>
            <w:r>
              <w:rPr>
                <w:spacing w:val="-5"/>
                <w:sz w:val="24"/>
              </w:rPr>
              <w:t>458</w:t>
            </w:r>
          </w:p>
        </w:tc>
        <w:tc>
          <w:tcPr>
            <w:tcW w:w="1642" w:type="dxa"/>
            <w:tcBorders>
              <w:bottom w:val="single" w:sz="4" w:space="0" w:color="000000"/>
            </w:tcBorders>
          </w:tcPr>
          <w:p>
            <w:pPr>
              <w:pStyle w:val="TableParagraph"/>
              <w:spacing w:before="64"/>
              <w:ind w:left="250"/>
              <w:rPr>
                <w:sz w:val="24"/>
              </w:rPr>
            </w:pPr>
            <w:r>
              <w:rPr>
                <w:spacing w:val="-2"/>
                <w:sz w:val="24"/>
              </w:rPr>
              <w:t>259.4867</w:t>
            </w:r>
          </w:p>
        </w:tc>
        <w:tc>
          <w:tcPr>
            <w:tcW w:w="1351" w:type="dxa"/>
            <w:tcBorders>
              <w:bottom w:val="single" w:sz="4" w:space="0" w:color="000000"/>
            </w:tcBorders>
          </w:tcPr>
          <w:p>
            <w:pPr>
              <w:pStyle w:val="TableParagraph"/>
              <w:spacing w:before="64"/>
              <w:ind w:left="231"/>
              <w:rPr>
                <w:sz w:val="24"/>
              </w:rPr>
            </w:pPr>
            <w:r>
              <w:rPr>
                <w:spacing w:val="-2"/>
                <w:sz w:val="24"/>
              </w:rPr>
              <w:t>0.5666</w:t>
            </w:r>
          </w:p>
        </w:tc>
        <w:tc>
          <w:tcPr>
            <w:tcW w:w="1228" w:type="dxa"/>
            <w:tcBorders>
              <w:bottom w:val="single" w:sz="4" w:space="0" w:color="000000"/>
            </w:tcBorders>
          </w:tcPr>
          <w:p>
            <w:pPr>
              <w:pStyle w:val="TableParagraph"/>
              <w:rPr>
                <w:rFonts w:ascii="Times New Roman"/>
                <w:sz w:val="24"/>
              </w:rPr>
            </w:pPr>
          </w:p>
        </w:tc>
        <w:tc>
          <w:tcPr>
            <w:tcW w:w="1319" w:type="dxa"/>
            <w:tcBorders>
              <w:bottom w:val="single" w:sz="4" w:space="0" w:color="000000"/>
              <w:right w:val="single" w:sz="4" w:space="0" w:color="000000"/>
            </w:tcBorders>
          </w:tcPr>
          <w:p>
            <w:pPr>
              <w:pStyle w:val="TableParagraph"/>
              <w:rPr>
                <w:rFonts w:ascii="Times New Roman"/>
                <w:sz w:val="24"/>
              </w:rPr>
            </w:pPr>
          </w:p>
        </w:tc>
      </w:tr>
      <w:tr>
        <w:trPr>
          <w:trHeight w:val="277" w:hRule="atLeast"/>
        </w:trPr>
        <w:tc>
          <w:tcPr>
            <w:tcW w:w="1963"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954" w:type="dxa"/>
            <w:tcBorders>
              <w:top w:val="single" w:sz="4" w:space="0" w:color="000000"/>
              <w:bottom w:val="single" w:sz="4" w:space="0" w:color="000000"/>
            </w:tcBorders>
          </w:tcPr>
          <w:p>
            <w:pPr>
              <w:pStyle w:val="TableParagraph"/>
              <w:spacing w:line="258" w:lineRule="exact"/>
              <w:ind w:left="125"/>
              <w:rPr>
                <w:sz w:val="24"/>
              </w:rPr>
            </w:pPr>
            <w:r>
              <w:rPr>
                <w:spacing w:val="-5"/>
                <w:sz w:val="24"/>
              </w:rPr>
              <w:t>460</w:t>
            </w:r>
          </w:p>
        </w:tc>
        <w:tc>
          <w:tcPr>
            <w:tcW w:w="1642" w:type="dxa"/>
            <w:tcBorders>
              <w:top w:val="single" w:sz="4" w:space="0" w:color="000000"/>
              <w:bottom w:val="single" w:sz="4" w:space="0" w:color="000000"/>
            </w:tcBorders>
          </w:tcPr>
          <w:p>
            <w:pPr>
              <w:pStyle w:val="TableParagraph"/>
              <w:spacing w:line="258" w:lineRule="exact"/>
              <w:ind w:left="250"/>
              <w:rPr>
                <w:sz w:val="24"/>
              </w:rPr>
            </w:pPr>
            <w:r>
              <w:rPr>
                <w:spacing w:val="-2"/>
                <w:sz w:val="24"/>
              </w:rPr>
              <w:t>266.5180</w:t>
            </w:r>
          </w:p>
        </w:tc>
        <w:tc>
          <w:tcPr>
            <w:tcW w:w="1351" w:type="dxa"/>
            <w:tcBorders>
              <w:top w:val="single" w:sz="4" w:space="0" w:color="000000"/>
              <w:bottom w:val="single" w:sz="4" w:space="0" w:color="000000"/>
            </w:tcBorders>
          </w:tcPr>
          <w:p>
            <w:pPr>
              <w:pStyle w:val="TableParagraph"/>
              <w:rPr>
                <w:rFonts w:ascii="Times New Roman"/>
                <w:sz w:val="20"/>
              </w:rPr>
            </w:pPr>
          </w:p>
        </w:tc>
        <w:tc>
          <w:tcPr>
            <w:tcW w:w="1228" w:type="dxa"/>
            <w:tcBorders>
              <w:top w:val="single" w:sz="4" w:space="0" w:color="000000"/>
              <w:bottom w:val="single" w:sz="4" w:space="0" w:color="000000"/>
            </w:tcBorders>
          </w:tcPr>
          <w:p>
            <w:pPr>
              <w:pStyle w:val="TableParagraph"/>
              <w:rPr>
                <w:rFonts w:ascii="Times New Roman"/>
                <w:sz w:val="20"/>
              </w:rPr>
            </w:pPr>
          </w:p>
        </w:tc>
        <w:tc>
          <w:tcPr>
            <w:tcW w:w="1319" w:type="dxa"/>
            <w:tcBorders>
              <w:top w:val="single" w:sz="4" w:space="0" w:color="000000"/>
              <w:bottom w:val="single" w:sz="4" w:space="0" w:color="000000"/>
              <w:right w:val="single" w:sz="4" w:space="0" w:color="000000"/>
            </w:tcBorders>
          </w:tcPr>
          <w:p>
            <w:pPr>
              <w:pStyle w:val="TableParagraph"/>
              <w:rPr>
                <w:rFonts w:ascii="Times New Roman"/>
                <w:sz w:val="20"/>
              </w:rPr>
            </w:pPr>
          </w:p>
        </w:tc>
      </w:tr>
    </w:tbl>
    <w:p>
      <w:pPr>
        <w:pStyle w:val="BodyText"/>
        <w:ind w:left="1560"/>
      </w:pPr>
      <w:r>
        <w:rPr/>
        <w:t>F.</w:t>
      </w:r>
      <w:r>
        <w:rPr>
          <w:spacing w:val="-5"/>
        </w:rPr>
        <w:t> </w:t>
      </w:r>
      <w:r>
        <w:rPr/>
        <w:t>Probability</w:t>
      </w:r>
      <w:r>
        <w:rPr>
          <w:spacing w:val="-5"/>
        </w:rPr>
        <w:t> </w:t>
      </w:r>
      <w:r>
        <w:rPr/>
        <w:t>&lt;</w:t>
      </w:r>
      <w:r>
        <w:rPr>
          <w:spacing w:val="-5"/>
        </w:rPr>
        <w:t> </w:t>
      </w:r>
      <w:r>
        <w:rPr/>
        <w:t>0.05</w:t>
      </w:r>
      <w:r>
        <w:rPr>
          <w:spacing w:val="-4"/>
        </w:rPr>
        <w:t> </w:t>
      </w:r>
      <w:r>
        <w:rPr/>
        <w:t>=&gt;</w:t>
      </w:r>
      <w:r>
        <w:rPr>
          <w:spacing w:val="-6"/>
        </w:rPr>
        <w:t> </w:t>
      </w:r>
      <w:r>
        <w:rPr/>
        <w:t>HO</w:t>
      </w:r>
      <w:r>
        <w:rPr>
          <w:spacing w:val="-3"/>
        </w:rPr>
        <w:t> </w:t>
      </w:r>
      <w:r>
        <w:rPr>
          <w:spacing w:val="-5"/>
        </w:rPr>
        <w:t>Rjt</w:t>
      </w:r>
    </w:p>
    <w:p>
      <w:pPr>
        <w:pStyle w:val="BodyText"/>
        <w:spacing w:line="480" w:lineRule="auto" w:before="274"/>
        <w:ind w:left="840" w:right="554" w:firstLine="720"/>
        <w:jc w:val="both"/>
      </w:pPr>
      <w:r>
        <w:rPr/>
        <w:t>It was glaringly evident from Table 4.5.13 that the computed F. probability is 0.0022. This was lower than the accepted P-value of 0.05 set for the study. Therefore, the HO was rejected.</w:t>
      </w:r>
      <w:r>
        <w:rPr>
          <w:spacing w:val="80"/>
        </w:rPr>
        <w:t> </w:t>
      </w:r>
      <w:r>
        <w:rPr/>
        <w:t>It could, therefore, be concluded that there</w:t>
      </w:r>
      <w:r>
        <w:rPr>
          <w:spacing w:val="40"/>
        </w:rPr>
        <w:t> </w:t>
      </w:r>
      <w:r>
        <w:rPr/>
        <w:t>were significant differences in the opinions of the respondents in respect of the impact of hostel accommodation on the students’ welfare services in the universities under study. To determine the magnitude of the relationship in the opinions of respondents on these hypotheses, scheffe’s test was employed and the outcome of the test is given in Tale 4.5.14.</w:t>
      </w:r>
    </w:p>
    <w:p>
      <w:pPr>
        <w:pStyle w:val="Heading2"/>
        <w:spacing w:after="3"/>
        <w:ind w:left="2568" w:right="561" w:hanging="1728"/>
        <w:jc w:val="both"/>
      </w:pPr>
      <w:r>
        <w:rPr/>
        <w:t>Table</w:t>
      </w:r>
      <w:r>
        <w:rPr>
          <w:spacing w:val="-18"/>
        </w:rPr>
        <w:t> </w:t>
      </w:r>
      <w:r>
        <w:rPr/>
        <w:t>4.5.14:</w:t>
      </w:r>
      <w:r>
        <w:rPr>
          <w:spacing w:val="-19"/>
        </w:rPr>
        <w:t> </w:t>
      </w:r>
      <w:r>
        <w:rPr/>
        <w:t>Scheffe’s</w:t>
      </w:r>
      <w:r>
        <w:rPr>
          <w:spacing w:val="-5"/>
        </w:rPr>
        <w:t> </w:t>
      </w:r>
      <w:r>
        <w:rPr/>
        <w:t>Multiple</w:t>
      </w:r>
      <w:r>
        <w:rPr>
          <w:spacing w:val="-6"/>
        </w:rPr>
        <w:t> </w:t>
      </w:r>
      <w:r>
        <w:rPr/>
        <w:t>Comparison</w:t>
      </w:r>
      <w:r>
        <w:rPr>
          <w:spacing w:val="-6"/>
        </w:rPr>
        <w:t> </w:t>
      </w:r>
      <w:r>
        <w:rPr/>
        <w:t>Test</w:t>
      </w:r>
      <w:r>
        <w:rPr>
          <w:spacing w:val="-6"/>
        </w:rPr>
        <w:t> </w:t>
      </w:r>
      <w:r>
        <w:rPr/>
        <w:t>on</w:t>
      </w:r>
      <w:r>
        <w:rPr>
          <w:spacing w:val="-6"/>
        </w:rPr>
        <w:t> </w:t>
      </w:r>
      <w:r>
        <w:rPr/>
        <w:t>the</w:t>
      </w:r>
      <w:r>
        <w:rPr>
          <w:spacing w:val="-6"/>
        </w:rPr>
        <w:t> </w:t>
      </w:r>
      <w:r>
        <w:rPr/>
        <w:t>opinions of students, service staff and top management on the impact of hostel accommodation on students’ welfare services in the universities in three geopolitical zones in Northern part of Nigeria</w:t>
      </w:r>
    </w:p>
    <w:tbl>
      <w:tblPr>
        <w:tblW w:w="0" w:type="auto"/>
        <w:jc w:val="left"/>
        <w:tblInd w:w="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73"/>
        <w:gridCol w:w="1529"/>
        <w:gridCol w:w="1620"/>
        <w:gridCol w:w="1511"/>
        <w:gridCol w:w="1291"/>
        <w:gridCol w:w="948"/>
      </w:tblGrid>
      <w:tr>
        <w:trPr>
          <w:trHeight w:val="830" w:hRule="atLeast"/>
        </w:trPr>
        <w:tc>
          <w:tcPr>
            <w:tcW w:w="2373" w:type="dxa"/>
            <w:tcBorders>
              <w:top w:val="single" w:sz="4" w:space="0" w:color="000000"/>
              <w:left w:val="single" w:sz="4" w:space="0" w:color="000000"/>
              <w:bottom w:val="single" w:sz="4" w:space="0" w:color="000000"/>
            </w:tcBorders>
          </w:tcPr>
          <w:p>
            <w:pPr>
              <w:pStyle w:val="TableParagraph"/>
              <w:spacing w:line="271" w:lineRule="exact"/>
              <w:ind w:left="95"/>
              <w:rPr>
                <w:sz w:val="24"/>
              </w:rPr>
            </w:pPr>
            <w:r>
              <w:rPr>
                <w:sz w:val="24"/>
              </w:rPr>
              <w:t>Dependent</w:t>
            </w:r>
            <w:r>
              <w:rPr>
                <w:spacing w:val="-6"/>
                <w:sz w:val="24"/>
              </w:rPr>
              <w:t> </w:t>
            </w:r>
            <w:r>
              <w:rPr>
                <w:spacing w:val="-2"/>
                <w:sz w:val="24"/>
              </w:rPr>
              <w:t>Variable</w:t>
            </w:r>
          </w:p>
        </w:tc>
        <w:tc>
          <w:tcPr>
            <w:tcW w:w="1529" w:type="dxa"/>
            <w:tcBorders>
              <w:top w:val="single" w:sz="4" w:space="0" w:color="000000"/>
              <w:bottom w:val="single" w:sz="4" w:space="0" w:color="000000"/>
            </w:tcBorders>
          </w:tcPr>
          <w:p>
            <w:pPr>
              <w:pStyle w:val="TableParagraph"/>
              <w:spacing w:line="271" w:lineRule="exact"/>
              <w:ind w:left="156"/>
              <w:rPr>
                <w:sz w:val="24"/>
              </w:rPr>
            </w:pPr>
            <w:r>
              <w:rPr>
                <w:sz w:val="24"/>
              </w:rPr>
              <w:t>(I) </w:t>
            </w:r>
            <w:r>
              <w:rPr>
                <w:spacing w:val="-2"/>
                <w:sz w:val="24"/>
              </w:rPr>
              <w:t>Status</w:t>
            </w:r>
          </w:p>
        </w:tc>
        <w:tc>
          <w:tcPr>
            <w:tcW w:w="1620" w:type="dxa"/>
            <w:tcBorders>
              <w:top w:val="single" w:sz="4" w:space="0" w:color="000000"/>
              <w:bottom w:val="single" w:sz="4" w:space="0" w:color="000000"/>
            </w:tcBorders>
          </w:tcPr>
          <w:p>
            <w:pPr>
              <w:pStyle w:val="TableParagraph"/>
              <w:spacing w:line="271" w:lineRule="exact"/>
              <w:ind w:left="250"/>
              <w:rPr>
                <w:sz w:val="24"/>
              </w:rPr>
            </w:pPr>
            <w:r>
              <w:rPr>
                <w:sz w:val="24"/>
              </w:rPr>
              <w:t>(J) </w:t>
            </w:r>
            <w:r>
              <w:rPr>
                <w:spacing w:val="-2"/>
                <w:sz w:val="24"/>
              </w:rPr>
              <w:t>Status</w:t>
            </w:r>
          </w:p>
        </w:tc>
        <w:tc>
          <w:tcPr>
            <w:tcW w:w="1511" w:type="dxa"/>
            <w:tcBorders>
              <w:top w:val="single" w:sz="4" w:space="0" w:color="000000"/>
              <w:bottom w:val="single" w:sz="4" w:space="0" w:color="000000"/>
            </w:tcBorders>
          </w:tcPr>
          <w:p>
            <w:pPr>
              <w:pStyle w:val="TableParagraph"/>
              <w:spacing w:line="271" w:lineRule="exact"/>
              <w:ind w:left="247"/>
              <w:rPr>
                <w:sz w:val="24"/>
              </w:rPr>
            </w:pPr>
            <w:r>
              <w:rPr>
                <w:spacing w:val="-4"/>
                <w:sz w:val="24"/>
              </w:rPr>
              <w:t>Mean</w:t>
            </w:r>
          </w:p>
          <w:p>
            <w:pPr>
              <w:pStyle w:val="TableParagraph"/>
              <w:spacing w:line="274" w:lineRule="exact"/>
              <w:ind w:left="247" w:right="163"/>
              <w:rPr>
                <w:sz w:val="24"/>
              </w:rPr>
            </w:pPr>
            <w:r>
              <w:rPr>
                <w:spacing w:val="-2"/>
                <w:sz w:val="24"/>
              </w:rPr>
              <w:t>Difference (I-J)</w:t>
            </w:r>
          </w:p>
        </w:tc>
        <w:tc>
          <w:tcPr>
            <w:tcW w:w="1291" w:type="dxa"/>
            <w:tcBorders>
              <w:top w:val="single" w:sz="4" w:space="0" w:color="000000"/>
              <w:bottom w:val="single" w:sz="4" w:space="0" w:color="000000"/>
            </w:tcBorders>
          </w:tcPr>
          <w:p>
            <w:pPr>
              <w:pStyle w:val="TableParagraph"/>
              <w:spacing w:line="237" w:lineRule="auto" w:before="137"/>
              <w:ind w:left="176"/>
              <w:rPr>
                <w:sz w:val="24"/>
              </w:rPr>
            </w:pPr>
            <w:r>
              <w:rPr>
                <w:spacing w:val="-2"/>
                <w:sz w:val="24"/>
              </w:rPr>
              <w:t>Standard Error</w:t>
            </w:r>
          </w:p>
        </w:tc>
        <w:tc>
          <w:tcPr>
            <w:tcW w:w="948" w:type="dxa"/>
            <w:tcBorders>
              <w:top w:val="single" w:sz="4" w:space="0" w:color="000000"/>
              <w:bottom w:val="single" w:sz="4" w:space="0" w:color="000000"/>
              <w:right w:val="single" w:sz="4" w:space="0" w:color="000000"/>
            </w:tcBorders>
          </w:tcPr>
          <w:p>
            <w:pPr>
              <w:pStyle w:val="TableParagraph"/>
              <w:spacing w:line="237" w:lineRule="auto" w:before="137"/>
              <w:ind w:left="147" w:right="136"/>
              <w:rPr>
                <w:sz w:val="24"/>
              </w:rPr>
            </w:pPr>
            <w:r>
              <w:rPr>
                <w:spacing w:val="-2"/>
                <w:sz w:val="24"/>
              </w:rPr>
              <w:t>Signifi </w:t>
            </w:r>
            <w:r>
              <w:rPr>
                <w:spacing w:val="-4"/>
                <w:sz w:val="24"/>
              </w:rPr>
              <w:t>cance</w:t>
            </w:r>
          </w:p>
        </w:tc>
      </w:tr>
      <w:tr>
        <w:trPr>
          <w:trHeight w:val="274" w:hRule="atLeast"/>
        </w:trPr>
        <w:tc>
          <w:tcPr>
            <w:tcW w:w="2373" w:type="dxa"/>
            <w:tcBorders>
              <w:top w:val="single" w:sz="4" w:space="0" w:color="000000"/>
              <w:left w:val="single" w:sz="4" w:space="0" w:color="000000"/>
            </w:tcBorders>
          </w:tcPr>
          <w:p>
            <w:pPr>
              <w:pStyle w:val="TableParagraph"/>
              <w:rPr>
                <w:rFonts w:ascii="Times New Roman"/>
                <w:sz w:val="20"/>
              </w:rPr>
            </w:pPr>
          </w:p>
        </w:tc>
        <w:tc>
          <w:tcPr>
            <w:tcW w:w="1529" w:type="dxa"/>
            <w:tcBorders>
              <w:top w:val="single" w:sz="4" w:space="0" w:color="000000"/>
            </w:tcBorders>
          </w:tcPr>
          <w:p>
            <w:pPr>
              <w:pStyle w:val="TableParagraph"/>
              <w:spacing w:line="254" w:lineRule="exact"/>
              <w:ind w:left="156"/>
              <w:rPr>
                <w:sz w:val="24"/>
              </w:rPr>
            </w:pPr>
            <w:r>
              <w:rPr>
                <w:spacing w:val="-2"/>
                <w:sz w:val="24"/>
              </w:rPr>
              <w:t>Student</w:t>
            </w:r>
          </w:p>
        </w:tc>
        <w:tc>
          <w:tcPr>
            <w:tcW w:w="1620" w:type="dxa"/>
            <w:tcBorders>
              <w:top w:val="single" w:sz="4" w:space="0" w:color="000000"/>
            </w:tcBorders>
          </w:tcPr>
          <w:p>
            <w:pPr>
              <w:pStyle w:val="TableParagraph"/>
              <w:spacing w:line="254" w:lineRule="exact"/>
              <w:ind w:left="250"/>
              <w:rPr>
                <w:sz w:val="24"/>
              </w:rPr>
            </w:pPr>
            <w:r>
              <w:rPr>
                <w:spacing w:val="-4"/>
                <w:sz w:val="24"/>
              </w:rPr>
              <w:t>Staff</w:t>
            </w:r>
          </w:p>
        </w:tc>
        <w:tc>
          <w:tcPr>
            <w:tcW w:w="1511" w:type="dxa"/>
            <w:tcBorders>
              <w:top w:val="single" w:sz="4" w:space="0" w:color="000000"/>
            </w:tcBorders>
          </w:tcPr>
          <w:p>
            <w:pPr>
              <w:pStyle w:val="TableParagraph"/>
              <w:spacing w:line="254" w:lineRule="exact"/>
              <w:ind w:left="247"/>
              <w:rPr>
                <w:sz w:val="24"/>
              </w:rPr>
            </w:pPr>
            <w:r>
              <w:rPr>
                <w:sz w:val="24"/>
              </w:rPr>
              <w:t>-</w:t>
            </w:r>
            <w:r>
              <w:rPr>
                <w:spacing w:val="-2"/>
                <w:sz w:val="24"/>
              </w:rPr>
              <w:t>.144(*)</w:t>
            </w:r>
          </w:p>
        </w:tc>
        <w:tc>
          <w:tcPr>
            <w:tcW w:w="1291" w:type="dxa"/>
            <w:tcBorders>
              <w:top w:val="single" w:sz="4" w:space="0" w:color="000000"/>
            </w:tcBorders>
          </w:tcPr>
          <w:p>
            <w:pPr>
              <w:pStyle w:val="TableParagraph"/>
              <w:spacing w:line="254" w:lineRule="exact"/>
              <w:ind w:left="176"/>
              <w:rPr>
                <w:sz w:val="24"/>
              </w:rPr>
            </w:pPr>
            <w:r>
              <w:rPr>
                <w:spacing w:val="-4"/>
                <w:sz w:val="24"/>
              </w:rPr>
              <w:t>.057</w:t>
            </w:r>
          </w:p>
        </w:tc>
        <w:tc>
          <w:tcPr>
            <w:tcW w:w="948" w:type="dxa"/>
            <w:tcBorders>
              <w:top w:val="single" w:sz="4" w:space="0" w:color="000000"/>
              <w:right w:val="single" w:sz="4" w:space="0" w:color="000000"/>
            </w:tcBorders>
          </w:tcPr>
          <w:p>
            <w:pPr>
              <w:pStyle w:val="TableParagraph"/>
              <w:spacing w:line="254" w:lineRule="exact"/>
              <w:ind w:left="147"/>
              <w:rPr>
                <w:sz w:val="24"/>
              </w:rPr>
            </w:pPr>
            <w:r>
              <w:rPr>
                <w:spacing w:val="-4"/>
                <w:sz w:val="24"/>
              </w:rPr>
              <w:t>.040</w:t>
            </w:r>
          </w:p>
        </w:tc>
      </w:tr>
      <w:tr>
        <w:trPr>
          <w:trHeight w:val="275" w:hRule="atLeast"/>
        </w:trPr>
        <w:tc>
          <w:tcPr>
            <w:tcW w:w="2373" w:type="dxa"/>
            <w:tcBorders>
              <w:left w:val="single" w:sz="4" w:space="0" w:color="000000"/>
            </w:tcBorders>
          </w:tcPr>
          <w:p>
            <w:pPr>
              <w:pStyle w:val="TableParagraph"/>
              <w:rPr>
                <w:rFonts w:ascii="Times New Roman"/>
                <w:sz w:val="20"/>
              </w:rPr>
            </w:pPr>
          </w:p>
        </w:tc>
        <w:tc>
          <w:tcPr>
            <w:tcW w:w="1529" w:type="dxa"/>
          </w:tcPr>
          <w:p>
            <w:pPr>
              <w:pStyle w:val="TableParagraph"/>
              <w:rPr>
                <w:rFonts w:ascii="Times New Roman"/>
                <w:sz w:val="20"/>
              </w:rPr>
            </w:pPr>
          </w:p>
        </w:tc>
        <w:tc>
          <w:tcPr>
            <w:tcW w:w="1620" w:type="dxa"/>
          </w:tcPr>
          <w:p>
            <w:pPr>
              <w:pStyle w:val="TableParagraph"/>
              <w:spacing w:line="256" w:lineRule="exact"/>
              <w:ind w:left="250"/>
              <w:rPr>
                <w:sz w:val="24"/>
              </w:rPr>
            </w:pPr>
            <w:r>
              <w:rPr>
                <w:spacing w:val="-2"/>
                <w:sz w:val="24"/>
              </w:rPr>
              <w:t>Managmet</w:t>
            </w:r>
          </w:p>
        </w:tc>
        <w:tc>
          <w:tcPr>
            <w:tcW w:w="1511" w:type="dxa"/>
          </w:tcPr>
          <w:p>
            <w:pPr>
              <w:pStyle w:val="TableParagraph"/>
              <w:spacing w:line="256" w:lineRule="exact"/>
              <w:ind w:left="247"/>
              <w:rPr>
                <w:sz w:val="24"/>
              </w:rPr>
            </w:pPr>
            <w:r>
              <w:rPr>
                <w:sz w:val="24"/>
              </w:rPr>
              <w:t>-</w:t>
            </w:r>
            <w:r>
              <w:rPr>
                <w:spacing w:val="-2"/>
                <w:sz w:val="24"/>
              </w:rPr>
              <w:t>.323(*)</w:t>
            </w:r>
          </w:p>
        </w:tc>
        <w:tc>
          <w:tcPr>
            <w:tcW w:w="1291" w:type="dxa"/>
          </w:tcPr>
          <w:p>
            <w:pPr>
              <w:pStyle w:val="TableParagraph"/>
              <w:spacing w:line="256" w:lineRule="exact"/>
              <w:ind w:left="176"/>
              <w:rPr>
                <w:sz w:val="24"/>
              </w:rPr>
            </w:pPr>
            <w:r>
              <w:rPr>
                <w:spacing w:val="-4"/>
                <w:sz w:val="24"/>
              </w:rPr>
              <w:t>.130</w:t>
            </w:r>
          </w:p>
        </w:tc>
        <w:tc>
          <w:tcPr>
            <w:tcW w:w="948" w:type="dxa"/>
            <w:tcBorders>
              <w:right w:val="single" w:sz="4" w:space="0" w:color="000000"/>
            </w:tcBorders>
          </w:tcPr>
          <w:p>
            <w:pPr>
              <w:pStyle w:val="TableParagraph"/>
              <w:spacing w:line="256" w:lineRule="exact"/>
              <w:ind w:left="147"/>
              <w:rPr>
                <w:sz w:val="24"/>
              </w:rPr>
            </w:pPr>
            <w:r>
              <w:rPr>
                <w:spacing w:val="-4"/>
                <w:sz w:val="24"/>
              </w:rPr>
              <w:t>.046</w:t>
            </w:r>
          </w:p>
        </w:tc>
      </w:tr>
      <w:tr>
        <w:trPr>
          <w:trHeight w:val="276" w:hRule="atLeast"/>
        </w:trPr>
        <w:tc>
          <w:tcPr>
            <w:tcW w:w="2373" w:type="dxa"/>
            <w:tcBorders>
              <w:left w:val="single" w:sz="4" w:space="0" w:color="000000"/>
            </w:tcBorders>
          </w:tcPr>
          <w:p>
            <w:pPr>
              <w:pStyle w:val="TableParagraph"/>
              <w:spacing w:line="256" w:lineRule="exact"/>
              <w:ind w:left="95"/>
              <w:rPr>
                <w:sz w:val="24"/>
              </w:rPr>
            </w:pPr>
            <w:r>
              <w:rPr>
                <w:spacing w:val="-2"/>
                <w:sz w:val="24"/>
              </w:rPr>
              <w:t>Accommodation</w:t>
            </w:r>
          </w:p>
        </w:tc>
        <w:tc>
          <w:tcPr>
            <w:tcW w:w="1529" w:type="dxa"/>
          </w:tcPr>
          <w:p>
            <w:pPr>
              <w:pStyle w:val="TableParagraph"/>
              <w:spacing w:line="256" w:lineRule="exact"/>
              <w:ind w:left="156"/>
              <w:rPr>
                <w:sz w:val="24"/>
              </w:rPr>
            </w:pPr>
            <w:r>
              <w:rPr>
                <w:spacing w:val="-4"/>
                <w:sz w:val="24"/>
              </w:rPr>
              <w:t>Staff</w:t>
            </w:r>
          </w:p>
        </w:tc>
        <w:tc>
          <w:tcPr>
            <w:tcW w:w="1620" w:type="dxa"/>
          </w:tcPr>
          <w:p>
            <w:pPr>
              <w:pStyle w:val="TableParagraph"/>
              <w:spacing w:line="256" w:lineRule="exact"/>
              <w:ind w:left="250"/>
              <w:rPr>
                <w:sz w:val="24"/>
              </w:rPr>
            </w:pPr>
            <w:r>
              <w:rPr>
                <w:spacing w:val="-2"/>
                <w:sz w:val="24"/>
              </w:rPr>
              <w:t>Student</w:t>
            </w:r>
          </w:p>
        </w:tc>
        <w:tc>
          <w:tcPr>
            <w:tcW w:w="1511" w:type="dxa"/>
          </w:tcPr>
          <w:p>
            <w:pPr>
              <w:pStyle w:val="TableParagraph"/>
              <w:spacing w:line="256" w:lineRule="exact"/>
              <w:ind w:left="247"/>
              <w:rPr>
                <w:sz w:val="24"/>
              </w:rPr>
            </w:pPr>
            <w:r>
              <w:rPr>
                <w:spacing w:val="-2"/>
                <w:sz w:val="24"/>
              </w:rPr>
              <w:t>.144(*)</w:t>
            </w:r>
          </w:p>
        </w:tc>
        <w:tc>
          <w:tcPr>
            <w:tcW w:w="1291" w:type="dxa"/>
          </w:tcPr>
          <w:p>
            <w:pPr>
              <w:pStyle w:val="TableParagraph"/>
              <w:spacing w:line="256" w:lineRule="exact"/>
              <w:ind w:left="176"/>
              <w:rPr>
                <w:sz w:val="24"/>
              </w:rPr>
            </w:pPr>
            <w:r>
              <w:rPr>
                <w:spacing w:val="-4"/>
                <w:sz w:val="24"/>
              </w:rPr>
              <w:t>.057</w:t>
            </w:r>
          </w:p>
        </w:tc>
        <w:tc>
          <w:tcPr>
            <w:tcW w:w="948" w:type="dxa"/>
            <w:tcBorders>
              <w:right w:val="single" w:sz="4" w:space="0" w:color="000000"/>
            </w:tcBorders>
          </w:tcPr>
          <w:p>
            <w:pPr>
              <w:pStyle w:val="TableParagraph"/>
              <w:spacing w:line="256" w:lineRule="exact"/>
              <w:ind w:left="147"/>
              <w:rPr>
                <w:sz w:val="24"/>
              </w:rPr>
            </w:pPr>
            <w:r>
              <w:rPr>
                <w:spacing w:val="-4"/>
                <w:sz w:val="24"/>
              </w:rPr>
              <w:t>.040</w:t>
            </w:r>
          </w:p>
        </w:tc>
      </w:tr>
      <w:tr>
        <w:trPr>
          <w:trHeight w:val="276" w:hRule="atLeast"/>
        </w:trPr>
        <w:tc>
          <w:tcPr>
            <w:tcW w:w="2373" w:type="dxa"/>
            <w:tcBorders>
              <w:left w:val="single" w:sz="4" w:space="0" w:color="000000"/>
            </w:tcBorders>
          </w:tcPr>
          <w:p>
            <w:pPr>
              <w:pStyle w:val="TableParagraph"/>
              <w:rPr>
                <w:rFonts w:ascii="Times New Roman"/>
                <w:sz w:val="20"/>
              </w:rPr>
            </w:pPr>
          </w:p>
        </w:tc>
        <w:tc>
          <w:tcPr>
            <w:tcW w:w="1529" w:type="dxa"/>
          </w:tcPr>
          <w:p>
            <w:pPr>
              <w:pStyle w:val="TableParagraph"/>
              <w:rPr>
                <w:rFonts w:ascii="Times New Roman"/>
                <w:sz w:val="20"/>
              </w:rPr>
            </w:pPr>
          </w:p>
        </w:tc>
        <w:tc>
          <w:tcPr>
            <w:tcW w:w="1620" w:type="dxa"/>
          </w:tcPr>
          <w:p>
            <w:pPr>
              <w:pStyle w:val="TableParagraph"/>
              <w:spacing w:line="256" w:lineRule="exact"/>
              <w:ind w:left="250"/>
              <w:rPr>
                <w:sz w:val="24"/>
              </w:rPr>
            </w:pPr>
            <w:r>
              <w:rPr>
                <w:spacing w:val="-2"/>
                <w:sz w:val="24"/>
              </w:rPr>
              <w:t>Managmet</w:t>
            </w:r>
          </w:p>
        </w:tc>
        <w:tc>
          <w:tcPr>
            <w:tcW w:w="1511" w:type="dxa"/>
          </w:tcPr>
          <w:p>
            <w:pPr>
              <w:pStyle w:val="TableParagraph"/>
              <w:spacing w:line="256" w:lineRule="exact"/>
              <w:ind w:left="247"/>
              <w:rPr>
                <w:sz w:val="24"/>
              </w:rPr>
            </w:pPr>
            <w:r>
              <w:rPr>
                <w:sz w:val="24"/>
              </w:rPr>
              <w:t>-</w:t>
            </w:r>
            <w:r>
              <w:rPr>
                <w:spacing w:val="-4"/>
                <w:sz w:val="24"/>
              </w:rPr>
              <w:t>.179</w:t>
            </w:r>
          </w:p>
        </w:tc>
        <w:tc>
          <w:tcPr>
            <w:tcW w:w="1291" w:type="dxa"/>
          </w:tcPr>
          <w:p>
            <w:pPr>
              <w:pStyle w:val="TableParagraph"/>
              <w:spacing w:line="256" w:lineRule="exact"/>
              <w:ind w:left="176"/>
              <w:rPr>
                <w:sz w:val="24"/>
              </w:rPr>
            </w:pPr>
            <w:r>
              <w:rPr>
                <w:spacing w:val="-4"/>
                <w:sz w:val="24"/>
              </w:rPr>
              <w:t>.131</w:t>
            </w:r>
          </w:p>
        </w:tc>
        <w:tc>
          <w:tcPr>
            <w:tcW w:w="948" w:type="dxa"/>
            <w:tcBorders>
              <w:right w:val="single" w:sz="4" w:space="0" w:color="000000"/>
            </w:tcBorders>
          </w:tcPr>
          <w:p>
            <w:pPr>
              <w:pStyle w:val="TableParagraph"/>
              <w:spacing w:line="256" w:lineRule="exact"/>
              <w:ind w:left="147"/>
              <w:rPr>
                <w:sz w:val="24"/>
              </w:rPr>
            </w:pPr>
            <w:r>
              <w:rPr>
                <w:spacing w:val="-4"/>
                <w:sz w:val="24"/>
              </w:rPr>
              <w:t>.394</w:t>
            </w:r>
          </w:p>
        </w:tc>
      </w:tr>
      <w:tr>
        <w:trPr>
          <w:trHeight w:val="275" w:hRule="atLeast"/>
        </w:trPr>
        <w:tc>
          <w:tcPr>
            <w:tcW w:w="2373" w:type="dxa"/>
            <w:tcBorders>
              <w:left w:val="single" w:sz="4" w:space="0" w:color="000000"/>
            </w:tcBorders>
          </w:tcPr>
          <w:p>
            <w:pPr>
              <w:pStyle w:val="TableParagraph"/>
              <w:rPr>
                <w:rFonts w:ascii="Times New Roman"/>
                <w:sz w:val="20"/>
              </w:rPr>
            </w:pPr>
          </w:p>
        </w:tc>
        <w:tc>
          <w:tcPr>
            <w:tcW w:w="1529" w:type="dxa"/>
          </w:tcPr>
          <w:p>
            <w:pPr>
              <w:pStyle w:val="TableParagraph"/>
              <w:spacing w:line="256" w:lineRule="exact"/>
              <w:ind w:left="156"/>
              <w:rPr>
                <w:sz w:val="24"/>
              </w:rPr>
            </w:pPr>
            <w:r>
              <w:rPr>
                <w:spacing w:val="-2"/>
                <w:sz w:val="24"/>
              </w:rPr>
              <w:t>Managmet</w:t>
            </w:r>
          </w:p>
        </w:tc>
        <w:tc>
          <w:tcPr>
            <w:tcW w:w="1620" w:type="dxa"/>
          </w:tcPr>
          <w:p>
            <w:pPr>
              <w:pStyle w:val="TableParagraph"/>
              <w:spacing w:line="256" w:lineRule="exact"/>
              <w:ind w:left="250"/>
              <w:rPr>
                <w:sz w:val="24"/>
              </w:rPr>
            </w:pPr>
            <w:r>
              <w:rPr>
                <w:spacing w:val="-2"/>
                <w:sz w:val="24"/>
              </w:rPr>
              <w:t>Student</w:t>
            </w:r>
          </w:p>
        </w:tc>
        <w:tc>
          <w:tcPr>
            <w:tcW w:w="1511" w:type="dxa"/>
          </w:tcPr>
          <w:p>
            <w:pPr>
              <w:pStyle w:val="TableParagraph"/>
              <w:spacing w:line="256" w:lineRule="exact"/>
              <w:ind w:left="247"/>
              <w:rPr>
                <w:sz w:val="24"/>
              </w:rPr>
            </w:pPr>
            <w:r>
              <w:rPr>
                <w:spacing w:val="-2"/>
                <w:sz w:val="24"/>
              </w:rPr>
              <w:t>.323(*)</w:t>
            </w:r>
          </w:p>
        </w:tc>
        <w:tc>
          <w:tcPr>
            <w:tcW w:w="1291" w:type="dxa"/>
          </w:tcPr>
          <w:p>
            <w:pPr>
              <w:pStyle w:val="TableParagraph"/>
              <w:spacing w:line="256" w:lineRule="exact"/>
              <w:ind w:left="176"/>
              <w:rPr>
                <w:sz w:val="24"/>
              </w:rPr>
            </w:pPr>
            <w:r>
              <w:rPr>
                <w:spacing w:val="-4"/>
                <w:sz w:val="24"/>
              </w:rPr>
              <w:t>.130</w:t>
            </w:r>
          </w:p>
        </w:tc>
        <w:tc>
          <w:tcPr>
            <w:tcW w:w="948" w:type="dxa"/>
            <w:tcBorders>
              <w:right w:val="single" w:sz="4" w:space="0" w:color="000000"/>
            </w:tcBorders>
          </w:tcPr>
          <w:p>
            <w:pPr>
              <w:pStyle w:val="TableParagraph"/>
              <w:spacing w:line="256" w:lineRule="exact"/>
              <w:ind w:left="147"/>
              <w:rPr>
                <w:sz w:val="24"/>
              </w:rPr>
            </w:pPr>
            <w:r>
              <w:rPr>
                <w:spacing w:val="-4"/>
                <w:sz w:val="24"/>
              </w:rPr>
              <w:t>.046</w:t>
            </w:r>
          </w:p>
        </w:tc>
      </w:tr>
      <w:tr>
        <w:trPr>
          <w:trHeight w:val="277" w:hRule="atLeast"/>
        </w:trPr>
        <w:tc>
          <w:tcPr>
            <w:tcW w:w="2373" w:type="dxa"/>
            <w:tcBorders>
              <w:left w:val="single" w:sz="4" w:space="0" w:color="000000"/>
              <w:bottom w:val="single" w:sz="4" w:space="0" w:color="000000"/>
            </w:tcBorders>
          </w:tcPr>
          <w:p>
            <w:pPr>
              <w:pStyle w:val="TableParagraph"/>
              <w:rPr>
                <w:rFonts w:ascii="Times New Roman"/>
                <w:sz w:val="20"/>
              </w:rPr>
            </w:pPr>
          </w:p>
        </w:tc>
        <w:tc>
          <w:tcPr>
            <w:tcW w:w="1529" w:type="dxa"/>
            <w:tcBorders>
              <w:bottom w:val="single" w:sz="4" w:space="0" w:color="000000"/>
            </w:tcBorders>
          </w:tcPr>
          <w:p>
            <w:pPr>
              <w:pStyle w:val="TableParagraph"/>
              <w:rPr>
                <w:rFonts w:ascii="Times New Roman"/>
                <w:sz w:val="20"/>
              </w:rPr>
            </w:pPr>
          </w:p>
        </w:tc>
        <w:tc>
          <w:tcPr>
            <w:tcW w:w="1620" w:type="dxa"/>
            <w:tcBorders>
              <w:bottom w:val="single" w:sz="4" w:space="0" w:color="000000"/>
            </w:tcBorders>
          </w:tcPr>
          <w:p>
            <w:pPr>
              <w:pStyle w:val="TableParagraph"/>
              <w:spacing w:line="257" w:lineRule="exact"/>
              <w:ind w:left="250"/>
              <w:rPr>
                <w:sz w:val="24"/>
              </w:rPr>
            </w:pPr>
            <w:r>
              <w:rPr>
                <w:spacing w:val="-4"/>
                <w:sz w:val="24"/>
              </w:rPr>
              <w:t>Staff</w:t>
            </w:r>
          </w:p>
        </w:tc>
        <w:tc>
          <w:tcPr>
            <w:tcW w:w="1511" w:type="dxa"/>
            <w:tcBorders>
              <w:bottom w:val="single" w:sz="4" w:space="0" w:color="000000"/>
            </w:tcBorders>
          </w:tcPr>
          <w:p>
            <w:pPr>
              <w:pStyle w:val="TableParagraph"/>
              <w:spacing w:line="257" w:lineRule="exact"/>
              <w:ind w:left="247"/>
              <w:rPr>
                <w:sz w:val="24"/>
              </w:rPr>
            </w:pPr>
            <w:r>
              <w:rPr>
                <w:spacing w:val="-4"/>
                <w:sz w:val="24"/>
              </w:rPr>
              <w:t>.179</w:t>
            </w:r>
          </w:p>
        </w:tc>
        <w:tc>
          <w:tcPr>
            <w:tcW w:w="1291" w:type="dxa"/>
            <w:tcBorders>
              <w:bottom w:val="single" w:sz="4" w:space="0" w:color="000000"/>
            </w:tcBorders>
          </w:tcPr>
          <w:p>
            <w:pPr>
              <w:pStyle w:val="TableParagraph"/>
              <w:spacing w:line="257" w:lineRule="exact"/>
              <w:ind w:left="176"/>
              <w:rPr>
                <w:sz w:val="24"/>
              </w:rPr>
            </w:pPr>
            <w:r>
              <w:rPr>
                <w:spacing w:val="-4"/>
                <w:sz w:val="24"/>
              </w:rPr>
              <w:t>.131</w:t>
            </w:r>
          </w:p>
        </w:tc>
        <w:tc>
          <w:tcPr>
            <w:tcW w:w="948" w:type="dxa"/>
            <w:tcBorders>
              <w:bottom w:val="single" w:sz="4" w:space="0" w:color="000000"/>
              <w:right w:val="single" w:sz="4" w:space="0" w:color="000000"/>
            </w:tcBorders>
          </w:tcPr>
          <w:p>
            <w:pPr>
              <w:pStyle w:val="TableParagraph"/>
              <w:spacing w:line="257" w:lineRule="exact"/>
              <w:ind w:left="147"/>
              <w:rPr>
                <w:sz w:val="24"/>
              </w:rPr>
            </w:pPr>
            <w:r>
              <w:rPr>
                <w:spacing w:val="-4"/>
                <w:sz w:val="24"/>
              </w:rPr>
              <w:t>.394</w:t>
            </w:r>
          </w:p>
        </w:tc>
      </w:tr>
    </w:tbl>
    <w:p>
      <w:pPr>
        <w:pStyle w:val="BodyText"/>
        <w:ind w:left="840"/>
      </w:pPr>
      <w:r>
        <w:rPr/>
        <w:t>*Mean</w:t>
      </w:r>
      <w:r>
        <w:rPr>
          <w:spacing w:val="-6"/>
        </w:rPr>
        <w:t> </w:t>
      </w:r>
      <w:r>
        <w:rPr/>
        <w:t>difference</w:t>
      </w:r>
      <w:r>
        <w:rPr>
          <w:spacing w:val="-8"/>
        </w:rPr>
        <w:t> </w:t>
      </w:r>
      <w:r>
        <w:rPr/>
        <w:t>is</w:t>
      </w:r>
      <w:r>
        <w:rPr>
          <w:spacing w:val="-6"/>
        </w:rPr>
        <w:t> </w:t>
      </w:r>
      <w:r>
        <w:rPr/>
        <w:t>significance</w:t>
      </w:r>
      <w:r>
        <w:rPr>
          <w:spacing w:val="-5"/>
        </w:rPr>
        <w:t> </w:t>
      </w:r>
      <w:r>
        <w:rPr/>
        <w:t>at</w:t>
      </w:r>
      <w:r>
        <w:rPr>
          <w:spacing w:val="-10"/>
        </w:rPr>
        <w:t> </w:t>
      </w:r>
      <w:r>
        <w:rPr/>
        <w:t>.05</w:t>
      </w:r>
      <w:r>
        <w:rPr>
          <w:spacing w:val="-9"/>
        </w:rPr>
        <w:t> </w:t>
      </w:r>
      <w:r>
        <w:rPr>
          <w:spacing w:val="-4"/>
        </w:rPr>
        <w:t>level</w:t>
      </w:r>
    </w:p>
    <w:p>
      <w:pPr>
        <w:spacing w:after="0"/>
        <w:sectPr>
          <w:headerReference w:type="default" r:id="rId441"/>
          <w:footerReference w:type="default" r:id="rId442"/>
          <w:pgSz w:w="12240" w:h="15840"/>
          <w:pgMar w:header="722" w:footer="791" w:top="980" w:bottom="980" w:left="1320" w:right="880"/>
        </w:sectPr>
      </w:pPr>
    </w:p>
    <w:p>
      <w:pPr>
        <w:pStyle w:val="BodyText"/>
        <w:spacing w:before="171"/>
      </w:pPr>
    </w:p>
    <w:p>
      <w:pPr>
        <w:pStyle w:val="BodyText"/>
        <w:spacing w:line="480" w:lineRule="auto"/>
        <w:ind w:left="840" w:right="553" w:firstLine="720"/>
        <w:jc w:val="both"/>
      </w:pPr>
      <w:r>
        <w:rPr/>
        <w:t>The</w:t>
      </w:r>
      <w:r>
        <w:rPr>
          <w:spacing w:val="-1"/>
        </w:rPr>
        <w:t> </w:t>
      </w:r>
      <w:r>
        <w:rPr/>
        <w:t>scheffe’s</w:t>
      </w:r>
      <w:r>
        <w:rPr>
          <w:spacing w:val="-2"/>
        </w:rPr>
        <w:t> </w:t>
      </w:r>
      <w:r>
        <w:rPr/>
        <w:t>Multiple</w:t>
      </w:r>
      <w:r>
        <w:rPr>
          <w:spacing w:val="-1"/>
        </w:rPr>
        <w:t> </w:t>
      </w:r>
      <w:r>
        <w:rPr/>
        <w:t>Comparison</w:t>
      </w:r>
      <w:r>
        <w:rPr>
          <w:spacing w:val="-1"/>
        </w:rPr>
        <w:t> </w:t>
      </w:r>
      <w:r>
        <w:rPr/>
        <w:t>Test</w:t>
      </w:r>
      <w:r>
        <w:rPr>
          <w:spacing w:val="-2"/>
        </w:rPr>
        <w:t> </w:t>
      </w:r>
      <w:r>
        <w:rPr/>
        <w:t>showed</w:t>
      </w:r>
      <w:r>
        <w:rPr>
          <w:spacing w:val="-1"/>
        </w:rPr>
        <w:t> </w:t>
      </w:r>
      <w:r>
        <w:rPr/>
        <w:t>that</w:t>
      </w:r>
      <w:r>
        <w:rPr>
          <w:spacing w:val="-2"/>
        </w:rPr>
        <w:t> </w:t>
      </w:r>
      <w:r>
        <w:rPr/>
        <w:t>differences</w:t>
      </w:r>
      <w:r>
        <w:rPr>
          <w:spacing w:val="-2"/>
        </w:rPr>
        <w:t> </w:t>
      </w:r>
      <w:r>
        <w:rPr/>
        <w:t>existed</w:t>
      </w:r>
      <w:r>
        <w:rPr>
          <w:spacing w:val="-1"/>
        </w:rPr>
        <w:t> </w:t>
      </w:r>
      <w:r>
        <w:rPr/>
        <w:t>in the opinions of the three sets of respondents on the impact of the hostel accommodation in these universities. The mean difference score showed significance agreement with one another.</w:t>
      </w:r>
      <w:r>
        <w:rPr>
          <w:spacing w:val="40"/>
        </w:rPr>
        <w:t> </w:t>
      </w:r>
      <w:r>
        <w:rPr/>
        <w:t>However, the mean difference of the management seemed to show wide difference in agreement with service staff. The</w:t>
      </w:r>
      <w:r>
        <w:rPr>
          <w:spacing w:val="-5"/>
        </w:rPr>
        <w:t> </w:t>
      </w:r>
      <w:r>
        <w:rPr/>
        <w:t>lack</w:t>
      </w:r>
      <w:r>
        <w:rPr>
          <w:spacing w:val="-3"/>
        </w:rPr>
        <w:t> </w:t>
      </w:r>
      <w:r>
        <w:rPr/>
        <w:t>of</w:t>
      </w:r>
      <w:r>
        <w:rPr>
          <w:spacing w:val="-3"/>
        </w:rPr>
        <w:t> </w:t>
      </w:r>
      <w:r>
        <w:rPr/>
        <w:t>agreement</w:t>
      </w:r>
      <w:r>
        <w:rPr>
          <w:spacing w:val="-3"/>
        </w:rPr>
        <w:t> </w:t>
      </w:r>
      <w:r>
        <w:rPr/>
        <w:t>in</w:t>
      </w:r>
      <w:r>
        <w:rPr>
          <w:spacing w:val="-2"/>
        </w:rPr>
        <w:t> </w:t>
      </w:r>
      <w:r>
        <w:rPr/>
        <w:t>the</w:t>
      </w:r>
      <w:r>
        <w:rPr>
          <w:spacing w:val="-1"/>
        </w:rPr>
        <w:t> </w:t>
      </w:r>
      <w:r>
        <w:rPr/>
        <w:t>opinions</w:t>
      </w:r>
      <w:r>
        <w:rPr>
          <w:spacing w:val="-3"/>
        </w:rPr>
        <w:t> </w:t>
      </w:r>
      <w:r>
        <w:rPr/>
        <w:t>could</w:t>
      </w:r>
      <w:r>
        <w:rPr>
          <w:spacing w:val="-2"/>
        </w:rPr>
        <w:t> </w:t>
      </w:r>
      <w:r>
        <w:rPr/>
        <w:t>be</w:t>
      </w:r>
      <w:r>
        <w:rPr>
          <w:spacing w:val="-2"/>
        </w:rPr>
        <w:t> </w:t>
      </w:r>
      <w:r>
        <w:rPr/>
        <w:t>attributed</w:t>
      </w:r>
      <w:r>
        <w:rPr>
          <w:spacing w:val="-2"/>
        </w:rPr>
        <w:t> </w:t>
      </w:r>
      <w:r>
        <w:rPr/>
        <w:t>to</w:t>
      </w:r>
      <w:r>
        <w:rPr>
          <w:spacing w:val="-2"/>
        </w:rPr>
        <w:t> </w:t>
      </w:r>
      <w:r>
        <w:rPr/>
        <w:t>the</w:t>
      </w:r>
      <w:r>
        <w:rPr>
          <w:spacing w:val="-2"/>
        </w:rPr>
        <w:t> </w:t>
      </w:r>
      <w:r>
        <w:rPr/>
        <w:t>peculiar</w:t>
      </w:r>
      <w:r>
        <w:rPr>
          <w:spacing w:val="-5"/>
        </w:rPr>
        <w:t> </w:t>
      </w:r>
      <w:r>
        <w:rPr/>
        <w:t>nature</w:t>
      </w:r>
      <w:r>
        <w:rPr>
          <w:spacing w:val="-2"/>
        </w:rPr>
        <w:t> </w:t>
      </w:r>
      <w:r>
        <w:rPr/>
        <w:t>of individual universities.</w:t>
      </w:r>
      <w:r>
        <w:rPr>
          <w:spacing w:val="-8"/>
        </w:rPr>
        <w:t> </w:t>
      </w:r>
      <w:r>
        <w:rPr/>
        <w:t>While</w:t>
      </w:r>
      <w:r>
        <w:rPr>
          <w:spacing w:val="-3"/>
        </w:rPr>
        <w:t> </w:t>
      </w:r>
      <w:r>
        <w:rPr/>
        <w:t>some</w:t>
      </w:r>
      <w:r>
        <w:rPr>
          <w:spacing w:val="-3"/>
        </w:rPr>
        <w:t> </w:t>
      </w:r>
      <w:r>
        <w:rPr/>
        <w:t>had</w:t>
      </w:r>
      <w:r>
        <w:rPr>
          <w:spacing w:val="-3"/>
        </w:rPr>
        <w:t> </w:t>
      </w:r>
      <w:r>
        <w:rPr/>
        <w:t>near</w:t>
      </w:r>
      <w:r>
        <w:rPr>
          <w:spacing w:val="-2"/>
        </w:rPr>
        <w:t> </w:t>
      </w:r>
      <w:r>
        <w:rPr/>
        <w:t>adequate</w:t>
      </w:r>
      <w:r>
        <w:rPr>
          <w:spacing w:val="-3"/>
        </w:rPr>
        <w:t> </w:t>
      </w:r>
      <w:r>
        <w:rPr/>
        <w:t>accommodation</w:t>
      </w:r>
      <w:r>
        <w:rPr>
          <w:spacing w:val="-3"/>
        </w:rPr>
        <w:t> </w:t>
      </w:r>
      <w:r>
        <w:rPr/>
        <w:t>due</w:t>
      </w:r>
      <w:r>
        <w:rPr>
          <w:spacing w:val="-3"/>
        </w:rPr>
        <w:t> </w:t>
      </w:r>
      <w:r>
        <w:rPr/>
        <w:t>to</w:t>
      </w:r>
      <w:r>
        <w:rPr>
          <w:spacing w:val="-3"/>
        </w:rPr>
        <w:t> </w:t>
      </w:r>
      <w:r>
        <w:rPr/>
        <w:t>the manageable student population, others were assumed to have overshot their admission figures thereby congesting their campuses for more than the accommodation</w:t>
      </w:r>
      <w:r>
        <w:rPr>
          <w:spacing w:val="-1"/>
        </w:rPr>
        <w:t> </w:t>
      </w:r>
      <w:r>
        <w:rPr/>
        <w:t>facilities.</w:t>
      </w:r>
      <w:r>
        <w:rPr>
          <w:spacing w:val="-6"/>
        </w:rPr>
        <w:t> </w:t>
      </w:r>
      <w:r>
        <w:rPr/>
        <w:t>This</w:t>
      </w:r>
      <w:r>
        <w:rPr>
          <w:spacing w:val="-2"/>
        </w:rPr>
        <w:t> </w:t>
      </w:r>
      <w:r>
        <w:rPr/>
        <w:t>condition</w:t>
      </w:r>
      <w:r>
        <w:rPr>
          <w:spacing w:val="-1"/>
        </w:rPr>
        <w:t> </w:t>
      </w:r>
      <w:r>
        <w:rPr/>
        <w:t>called</w:t>
      </w:r>
      <w:r>
        <w:rPr>
          <w:spacing w:val="-1"/>
        </w:rPr>
        <w:t> </w:t>
      </w:r>
      <w:r>
        <w:rPr/>
        <w:t>for their</w:t>
      </w:r>
      <w:r>
        <w:rPr>
          <w:spacing w:val="-5"/>
        </w:rPr>
        <w:t> </w:t>
      </w:r>
      <w:r>
        <w:rPr/>
        <w:t>increase</w:t>
      </w:r>
      <w:r>
        <w:rPr>
          <w:spacing w:val="-5"/>
        </w:rPr>
        <w:t> </w:t>
      </w:r>
      <w:r>
        <w:rPr/>
        <w:t>in</w:t>
      </w:r>
      <w:r>
        <w:rPr>
          <w:spacing w:val="-5"/>
        </w:rPr>
        <w:t> </w:t>
      </w:r>
      <w:r>
        <w:rPr/>
        <w:t>the</w:t>
      </w:r>
      <w:r>
        <w:rPr>
          <w:spacing w:val="-1"/>
        </w:rPr>
        <w:t> </w:t>
      </w:r>
      <w:r>
        <w:rPr/>
        <w:t>facilities</w:t>
      </w:r>
      <w:r>
        <w:rPr>
          <w:spacing w:val="-2"/>
        </w:rPr>
        <w:t> </w:t>
      </w:r>
      <w:r>
        <w:rPr/>
        <w:t>or slash in the admission figure to commensurate with the facilities.</w:t>
      </w:r>
    </w:p>
    <w:p>
      <w:pPr>
        <w:pStyle w:val="Heading4"/>
        <w:numPr>
          <w:ilvl w:val="2"/>
          <w:numId w:val="43"/>
        </w:numPr>
        <w:tabs>
          <w:tab w:pos="813" w:val="left" w:leader="none"/>
        </w:tabs>
        <w:spacing w:line="240" w:lineRule="auto" w:before="2" w:after="0"/>
        <w:ind w:left="813" w:right="0" w:hanging="693"/>
        <w:jc w:val="left"/>
      </w:pPr>
      <w:r>
        <w:rPr/>
        <w:t>Null</w:t>
      </w:r>
      <w:r>
        <w:rPr>
          <w:spacing w:val="-9"/>
        </w:rPr>
        <w:t> </w:t>
      </w:r>
      <w:r>
        <w:rPr/>
        <w:t>Hypothesis</w:t>
      </w:r>
      <w:r>
        <w:rPr>
          <w:spacing w:val="-8"/>
        </w:rPr>
        <w:t> </w:t>
      </w:r>
      <w:r>
        <w:rPr>
          <w:spacing w:val="-10"/>
        </w:rPr>
        <w:t>9</w:t>
      </w:r>
    </w:p>
    <w:p>
      <w:pPr>
        <w:pStyle w:val="BodyText"/>
        <w:spacing w:before="44"/>
        <w:rPr>
          <w:rFonts w:ascii="Arial"/>
          <w:b/>
        </w:rPr>
      </w:pPr>
    </w:p>
    <w:p>
      <w:pPr>
        <w:pStyle w:val="BodyText"/>
        <w:spacing w:line="480" w:lineRule="auto"/>
        <w:ind w:left="840" w:right="559" w:firstLine="720"/>
        <w:jc w:val="both"/>
      </w:pPr>
      <w:r>
        <w:rPr/>
        <w:t>There is no significant difference in the opinions of students, service staff and top management staff in respect of the impact of guidance and counselling services on students’ welfare services in the universities.</w:t>
      </w:r>
    </w:p>
    <w:p>
      <w:pPr>
        <w:pStyle w:val="BodyText"/>
        <w:spacing w:line="480" w:lineRule="auto"/>
        <w:ind w:left="840" w:right="555" w:firstLine="720"/>
        <w:jc w:val="both"/>
      </w:pPr>
      <w:r>
        <w:rPr/>
        <w:t>Items 43 to 47</w:t>
      </w:r>
      <w:r>
        <w:rPr>
          <w:spacing w:val="-2"/>
        </w:rPr>
        <w:t> </w:t>
      </w:r>
      <w:r>
        <w:rPr/>
        <w:t>in the</w:t>
      </w:r>
      <w:r>
        <w:rPr>
          <w:spacing w:val="-2"/>
        </w:rPr>
        <w:t> </w:t>
      </w:r>
      <w:r>
        <w:rPr/>
        <w:t>questionnaire were used</w:t>
      </w:r>
      <w:r>
        <w:rPr>
          <w:spacing w:val="-2"/>
        </w:rPr>
        <w:t> </w:t>
      </w:r>
      <w:r>
        <w:rPr/>
        <w:t>to find</w:t>
      </w:r>
      <w:r>
        <w:rPr>
          <w:spacing w:val="-2"/>
        </w:rPr>
        <w:t> </w:t>
      </w:r>
      <w:r>
        <w:rPr/>
        <w:t>out</w:t>
      </w:r>
      <w:r>
        <w:rPr>
          <w:spacing w:val="-2"/>
        </w:rPr>
        <w:t> </w:t>
      </w:r>
      <w:r>
        <w:rPr/>
        <w:t>the differences</w:t>
      </w:r>
      <w:r>
        <w:rPr>
          <w:spacing w:val="-3"/>
        </w:rPr>
        <w:t> </w:t>
      </w:r>
      <w:r>
        <w:rPr/>
        <w:t>in opinions of the respondents on the impact of the guidance and counselling services on the students’ welfare in</w:t>
      </w:r>
      <w:r>
        <w:rPr>
          <w:spacing w:val="80"/>
        </w:rPr>
        <w:t> </w:t>
      </w:r>
      <w:r>
        <w:rPr/>
        <w:t>the universities under study. Thus, to test</w:t>
      </w:r>
      <w:r>
        <w:rPr>
          <w:spacing w:val="40"/>
        </w:rPr>
        <w:t> </w:t>
      </w:r>
      <w:r>
        <w:rPr/>
        <w:t>the hypothesis One Way Analysis of Variance (ANOVA) was adopted and the results are presented in Table 4.5.15.</w:t>
      </w:r>
    </w:p>
    <w:p>
      <w:pPr>
        <w:spacing w:after="0" w:line="480" w:lineRule="auto"/>
        <w:jc w:val="both"/>
        <w:sectPr>
          <w:headerReference w:type="default" r:id="rId443"/>
          <w:footerReference w:type="default" r:id="rId444"/>
          <w:pgSz w:w="12240" w:h="15840"/>
          <w:pgMar w:header="722" w:footer="791" w:top="980" w:bottom="980" w:left="1320" w:right="880"/>
        </w:sectPr>
      </w:pPr>
    </w:p>
    <w:p>
      <w:pPr>
        <w:pStyle w:val="BodyText"/>
        <w:spacing w:before="121"/>
        <w:rPr>
          <w:sz w:val="28"/>
        </w:rPr>
      </w:pPr>
    </w:p>
    <w:p>
      <w:pPr>
        <w:pStyle w:val="Heading2"/>
        <w:spacing w:before="1" w:after="7"/>
        <w:ind w:left="2587" w:right="1000" w:hanging="1748"/>
      </w:pPr>
      <w:r>
        <w:rPr/>
        <w:t>Table 4.5.15: Analysis of Variance (ANOVA) on the impact of guidance</w:t>
      </w:r>
      <w:r>
        <w:rPr>
          <w:spacing w:val="-10"/>
        </w:rPr>
        <w:t> </w:t>
      </w:r>
      <w:r>
        <w:rPr/>
        <w:t>and</w:t>
      </w:r>
      <w:r>
        <w:rPr>
          <w:spacing w:val="-11"/>
        </w:rPr>
        <w:t> </w:t>
      </w:r>
      <w:r>
        <w:rPr/>
        <w:t>counselling</w:t>
      </w:r>
      <w:r>
        <w:rPr>
          <w:spacing w:val="-7"/>
        </w:rPr>
        <w:t> </w:t>
      </w:r>
      <w:r>
        <w:rPr/>
        <w:t>services</w:t>
      </w:r>
      <w:r>
        <w:rPr>
          <w:spacing w:val="-10"/>
        </w:rPr>
        <w:t> </w:t>
      </w:r>
      <w:r>
        <w:rPr/>
        <w:t>on</w:t>
      </w:r>
      <w:r>
        <w:rPr>
          <w:spacing w:val="-7"/>
        </w:rPr>
        <w:t> </w:t>
      </w:r>
      <w:r>
        <w:rPr/>
        <w:t>students’ welfare in Universities in three geopolitical zones in Northern part of Nigeria</w:t>
      </w:r>
    </w:p>
    <w:tbl>
      <w:tblPr>
        <w:tblW w:w="0" w:type="auto"/>
        <w:jc w:val="left"/>
        <w:tblInd w:w="1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63"/>
        <w:gridCol w:w="686"/>
        <w:gridCol w:w="1417"/>
        <w:gridCol w:w="1575"/>
        <w:gridCol w:w="1185"/>
        <w:gridCol w:w="1634"/>
      </w:tblGrid>
      <w:tr>
        <w:trPr>
          <w:trHeight w:val="551" w:hRule="atLeast"/>
        </w:trPr>
        <w:tc>
          <w:tcPr>
            <w:tcW w:w="1963" w:type="dxa"/>
            <w:tcBorders>
              <w:top w:val="single" w:sz="4" w:space="0" w:color="000000"/>
              <w:left w:val="single" w:sz="4" w:space="0" w:color="000000"/>
              <w:bottom w:val="single" w:sz="4" w:space="0" w:color="000000"/>
            </w:tcBorders>
          </w:tcPr>
          <w:p>
            <w:pPr>
              <w:pStyle w:val="TableParagraph"/>
              <w:spacing w:line="267" w:lineRule="exact"/>
              <w:ind w:left="431"/>
              <w:rPr>
                <w:rFonts w:ascii="Arial"/>
                <w:b/>
                <w:sz w:val="24"/>
              </w:rPr>
            </w:pPr>
            <w:r>
              <w:rPr>
                <w:rFonts w:ascii="Arial"/>
                <w:b/>
                <w:sz w:val="24"/>
              </w:rPr>
              <w:t>Source</w:t>
            </w:r>
            <w:r>
              <w:rPr>
                <w:rFonts w:ascii="Arial"/>
                <w:b/>
                <w:spacing w:val="-12"/>
                <w:sz w:val="24"/>
              </w:rPr>
              <w:t> </w:t>
            </w:r>
            <w:r>
              <w:rPr>
                <w:rFonts w:ascii="Arial"/>
                <w:b/>
                <w:spacing w:val="-5"/>
                <w:sz w:val="24"/>
              </w:rPr>
              <w:t>of</w:t>
            </w:r>
          </w:p>
          <w:p>
            <w:pPr>
              <w:pStyle w:val="TableParagraph"/>
              <w:spacing w:line="263" w:lineRule="exact" w:before="2"/>
              <w:ind w:left="470"/>
              <w:rPr>
                <w:rFonts w:ascii="Arial"/>
                <w:b/>
                <w:sz w:val="24"/>
              </w:rPr>
            </w:pPr>
            <w:r>
              <w:rPr>
                <w:rFonts w:ascii="Arial"/>
                <w:b/>
                <w:spacing w:val="-2"/>
                <w:sz w:val="24"/>
              </w:rPr>
              <w:t>Variation</w:t>
            </w:r>
          </w:p>
        </w:tc>
        <w:tc>
          <w:tcPr>
            <w:tcW w:w="686" w:type="dxa"/>
            <w:tcBorders>
              <w:top w:val="single" w:sz="4" w:space="0" w:color="000000"/>
              <w:bottom w:val="single" w:sz="4" w:space="0" w:color="000000"/>
            </w:tcBorders>
          </w:tcPr>
          <w:p>
            <w:pPr>
              <w:pStyle w:val="TableParagraph"/>
              <w:spacing w:line="267" w:lineRule="exact"/>
              <w:ind w:left="216"/>
              <w:rPr>
                <w:rFonts w:ascii="Arial"/>
                <w:b/>
                <w:sz w:val="24"/>
              </w:rPr>
            </w:pPr>
            <w:r>
              <w:rPr>
                <w:rFonts w:ascii="Arial"/>
                <w:b/>
                <w:spacing w:val="-5"/>
                <w:sz w:val="24"/>
              </w:rPr>
              <w:t>DF</w:t>
            </w:r>
          </w:p>
        </w:tc>
        <w:tc>
          <w:tcPr>
            <w:tcW w:w="1417" w:type="dxa"/>
            <w:tcBorders>
              <w:top w:val="single" w:sz="4" w:space="0" w:color="000000"/>
              <w:bottom w:val="single" w:sz="4" w:space="0" w:color="000000"/>
            </w:tcBorders>
          </w:tcPr>
          <w:p>
            <w:pPr>
              <w:pStyle w:val="TableParagraph"/>
              <w:spacing w:line="267" w:lineRule="exact"/>
              <w:ind w:left="365"/>
              <w:rPr>
                <w:rFonts w:ascii="Arial"/>
                <w:b/>
                <w:sz w:val="24"/>
              </w:rPr>
            </w:pPr>
            <w:r>
              <w:rPr>
                <w:rFonts w:ascii="Arial"/>
                <w:b/>
                <w:sz w:val="24"/>
              </w:rPr>
              <w:t>Sum</w:t>
            </w:r>
            <w:r>
              <w:rPr>
                <w:rFonts w:ascii="Arial"/>
                <w:b/>
                <w:spacing w:val="-13"/>
                <w:sz w:val="24"/>
              </w:rPr>
              <w:t> </w:t>
            </w:r>
            <w:r>
              <w:rPr>
                <w:rFonts w:ascii="Arial"/>
                <w:b/>
                <w:spacing w:val="-5"/>
                <w:sz w:val="24"/>
              </w:rPr>
              <w:t>of</w:t>
            </w:r>
          </w:p>
          <w:p>
            <w:pPr>
              <w:pStyle w:val="TableParagraph"/>
              <w:spacing w:line="263" w:lineRule="exact" w:before="2"/>
              <w:ind w:left="298"/>
              <w:rPr>
                <w:rFonts w:ascii="Arial"/>
                <w:b/>
                <w:sz w:val="24"/>
              </w:rPr>
            </w:pPr>
            <w:r>
              <w:rPr>
                <w:rFonts w:ascii="Arial"/>
                <w:b/>
                <w:spacing w:val="-2"/>
                <w:sz w:val="24"/>
              </w:rPr>
              <w:t>Squares</w:t>
            </w:r>
          </w:p>
        </w:tc>
        <w:tc>
          <w:tcPr>
            <w:tcW w:w="1575" w:type="dxa"/>
            <w:tcBorders>
              <w:top w:val="single" w:sz="4" w:space="0" w:color="000000"/>
              <w:bottom w:val="single" w:sz="4" w:space="0" w:color="000000"/>
            </w:tcBorders>
          </w:tcPr>
          <w:p>
            <w:pPr>
              <w:pStyle w:val="TableParagraph"/>
              <w:spacing w:line="267" w:lineRule="exact"/>
              <w:ind w:left="188"/>
              <w:jc w:val="center"/>
              <w:rPr>
                <w:rFonts w:ascii="Arial"/>
                <w:b/>
                <w:sz w:val="24"/>
              </w:rPr>
            </w:pPr>
            <w:r>
              <w:rPr>
                <w:rFonts w:ascii="Arial"/>
                <w:b/>
                <w:spacing w:val="-4"/>
                <w:sz w:val="24"/>
              </w:rPr>
              <w:t>Mean</w:t>
            </w:r>
          </w:p>
          <w:p>
            <w:pPr>
              <w:pStyle w:val="TableParagraph"/>
              <w:spacing w:line="263" w:lineRule="exact" w:before="2"/>
              <w:ind w:left="188" w:right="4"/>
              <w:jc w:val="center"/>
              <w:rPr>
                <w:rFonts w:ascii="Arial"/>
                <w:b/>
                <w:sz w:val="24"/>
              </w:rPr>
            </w:pPr>
            <w:r>
              <w:rPr>
                <w:rFonts w:ascii="Arial"/>
                <w:b/>
                <w:spacing w:val="-2"/>
                <w:sz w:val="24"/>
              </w:rPr>
              <w:t>Squares</w:t>
            </w:r>
          </w:p>
        </w:tc>
        <w:tc>
          <w:tcPr>
            <w:tcW w:w="1185" w:type="dxa"/>
            <w:tcBorders>
              <w:top w:val="single" w:sz="4" w:space="0" w:color="000000"/>
              <w:bottom w:val="single" w:sz="4" w:space="0" w:color="000000"/>
            </w:tcBorders>
          </w:tcPr>
          <w:p>
            <w:pPr>
              <w:pStyle w:val="TableParagraph"/>
              <w:spacing w:line="267" w:lineRule="exact"/>
              <w:ind w:left="135"/>
              <w:jc w:val="center"/>
              <w:rPr>
                <w:rFonts w:ascii="Arial"/>
                <w:b/>
                <w:sz w:val="24"/>
              </w:rPr>
            </w:pPr>
            <w:r>
              <w:rPr>
                <w:rFonts w:ascii="Arial"/>
                <w:b/>
                <w:sz w:val="24"/>
              </w:rPr>
              <w:t>F </w:t>
            </w:r>
            <w:r>
              <w:rPr>
                <w:rFonts w:ascii="Arial"/>
                <w:b/>
                <w:spacing w:val="-2"/>
                <w:sz w:val="24"/>
              </w:rPr>
              <w:t>Ratio</w:t>
            </w:r>
          </w:p>
        </w:tc>
        <w:tc>
          <w:tcPr>
            <w:tcW w:w="1634" w:type="dxa"/>
            <w:tcBorders>
              <w:top w:val="single" w:sz="4" w:space="0" w:color="000000"/>
              <w:bottom w:val="single" w:sz="4" w:space="0" w:color="000000"/>
              <w:right w:val="single" w:sz="4" w:space="0" w:color="000000"/>
            </w:tcBorders>
          </w:tcPr>
          <w:p>
            <w:pPr>
              <w:pStyle w:val="TableParagraph"/>
              <w:spacing w:line="267" w:lineRule="exact"/>
              <w:ind w:left="29" w:right="12"/>
              <w:jc w:val="center"/>
              <w:rPr>
                <w:rFonts w:ascii="Arial"/>
                <w:b/>
                <w:sz w:val="24"/>
              </w:rPr>
            </w:pPr>
            <w:r>
              <w:rPr>
                <w:rFonts w:ascii="Arial"/>
                <w:b/>
                <w:spacing w:val="-10"/>
                <w:sz w:val="24"/>
              </w:rPr>
              <w:t>P</w:t>
            </w:r>
          </w:p>
          <w:p>
            <w:pPr>
              <w:pStyle w:val="TableParagraph"/>
              <w:spacing w:line="263" w:lineRule="exact" w:before="2"/>
              <w:ind w:left="29"/>
              <w:jc w:val="center"/>
              <w:rPr>
                <w:rFonts w:ascii="Arial"/>
                <w:b/>
                <w:sz w:val="24"/>
              </w:rPr>
            </w:pPr>
            <w:r>
              <w:rPr>
                <w:rFonts w:ascii="Arial"/>
                <w:b/>
                <w:spacing w:val="-2"/>
                <w:sz w:val="24"/>
              </w:rPr>
              <w:t>Probability</w:t>
            </w:r>
          </w:p>
        </w:tc>
      </w:tr>
      <w:tr>
        <w:trPr>
          <w:trHeight w:val="346" w:hRule="atLeast"/>
        </w:trPr>
        <w:tc>
          <w:tcPr>
            <w:tcW w:w="1963" w:type="dxa"/>
            <w:tcBorders>
              <w:top w:val="single" w:sz="4" w:space="0" w:color="000000"/>
              <w:left w:val="single" w:sz="4" w:space="0" w:color="000000"/>
            </w:tcBorders>
          </w:tcPr>
          <w:p>
            <w:pPr>
              <w:pStyle w:val="TableParagraph"/>
              <w:spacing w:line="271" w:lineRule="exact"/>
              <w:ind w:left="105"/>
              <w:rPr>
                <w:sz w:val="24"/>
              </w:rPr>
            </w:pPr>
            <w:r>
              <w:rPr>
                <w:sz w:val="24"/>
              </w:rPr>
              <w:t>Between</w:t>
            </w:r>
            <w:r>
              <w:rPr>
                <w:spacing w:val="-13"/>
                <w:sz w:val="24"/>
              </w:rPr>
              <w:t> </w:t>
            </w:r>
            <w:r>
              <w:rPr>
                <w:spacing w:val="-2"/>
                <w:sz w:val="24"/>
              </w:rPr>
              <w:t>groups</w:t>
            </w:r>
          </w:p>
        </w:tc>
        <w:tc>
          <w:tcPr>
            <w:tcW w:w="686" w:type="dxa"/>
            <w:tcBorders>
              <w:top w:val="single" w:sz="4" w:space="0" w:color="000000"/>
            </w:tcBorders>
          </w:tcPr>
          <w:p>
            <w:pPr>
              <w:pStyle w:val="TableParagraph"/>
              <w:spacing w:line="271" w:lineRule="exact"/>
              <w:ind w:left="125"/>
              <w:rPr>
                <w:sz w:val="24"/>
              </w:rPr>
            </w:pPr>
            <w:r>
              <w:rPr>
                <w:spacing w:val="-10"/>
                <w:sz w:val="24"/>
              </w:rPr>
              <w:t>2</w:t>
            </w:r>
          </w:p>
        </w:tc>
        <w:tc>
          <w:tcPr>
            <w:tcW w:w="1417" w:type="dxa"/>
            <w:tcBorders>
              <w:top w:val="single" w:sz="4" w:space="0" w:color="000000"/>
            </w:tcBorders>
          </w:tcPr>
          <w:p>
            <w:pPr>
              <w:pStyle w:val="TableParagraph"/>
              <w:spacing w:line="271" w:lineRule="exact"/>
              <w:ind w:left="158"/>
              <w:rPr>
                <w:sz w:val="24"/>
              </w:rPr>
            </w:pPr>
            <w:r>
              <w:rPr>
                <w:spacing w:val="-2"/>
                <w:sz w:val="24"/>
              </w:rPr>
              <w:t>1.5601</w:t>
            </w:r>
          </w:p>
        </w:tc>
        <w:tc>
          <w:tcPr>
            <w:tcW w:w="1575" w:type="dxa"/>
            <w:tcBorders>
              <w:top w:val="single" w:sz="4" w:space="0" w:color="000000"/>
            </w:tcBorders>
          </w:tcPr>
          <w:p>
            <w:pPr>
              <w:pStyle w:val="TableParagraph"/>
              <w:spacing w:line="271" w:lineRule="exact"/>
              <w:ind w:left="182"/>
              <w:rPr>
                <w:sz w:val="24"/>
              </w:rPr>
            </w:pPr>
            <w:r>
              <w:rPr>
                <w:spacing w:val="-2"/>
                <w:sz w:val="24"/>
              </w:rPr>
              <w:t>.7801</w:t>
            </w:r>
          </w:p>
        </w:tc>
        <w:tc>
          <w:tcPr>
            <w:tcW w:w="1185" w:type="dxa"/>
            <w:tcBorders>
              <w:top w:val="single" w:sz="4" w:space="0" w:color="000000"/>
            </w:tcBorders>
          </w:tcPr>
          <w:p>
            <w:pPr>
              <w:pStyle w:val="TableParagraph"/>
              <w:spacing w:line="271" w:lineRule="exact"/>
              <w:ind w:left="11"/>
              <w:jc w:val="center"/>
              <w:rPr>
                <w:sz w:val="24"/>
              </w:rPr>
            </w:pPr>
            <w:r>
              <w:rPr>
                <w:spacing w:val="-2"/>
                <w:sz w:val="24"/>
              </w:rPr>
              <w:t>1.2413</w:t>
            </w:r>
          </w:p>
        </w:tc>
        <w:tc>
          <w:tcPr>
            <w:tcW w:w="1634" w:type="dxa"/>
            <w:tcBorders>
              <w:top w:val="single" w:sz="4" w:space="0" w:color="000000"/>
              <w:right w:val="single" w:sz="4" w:space="0" w:color="000000"/>
            </w:tcBorders>
          </w:tcPr>
          <w:p>
            <w:pPr>
              <w:pStyle w:val="TableParagraph"/>
              <w:spacing w:line="271" w:lineRule="exact"/>
              <w:ind w:left="124"/>
              <w:rPr>
                <w:sz w:val="24"/>
              </w:rPr>
            </w:pPr>
            <w:r>
              <w:rPr>
                <w:spacing w:val="-2"/>
                <w:sz w:val="24"/>
              </w:rPr>
              <w:t>.2900</w:t>
            </w:r>
          </w:p>
        </w:tc>
      </w:tr>
      <w:tr>
        <w:trPr>
          <w:trHeight w:val="483" w:hRule="atLeast"/>
        </w:trPr>
        <w:tc>
          <w:tcPr>
            <w:tcW w:w="1963" w:type="dxa"/>
            <w:tcBorders>
              <w:left w:val="single" w:sz="4" w:space="0" w:color="000000"/>
              <w:bottom w:val="single" w:sz="4" w:space="0" w:color="000000"/>
            </w:tcBorders>
          </w:tcPr>
          <w:p>
            <w:pPr>
              <w:pStyle w:val="TableParagraph"/>
              <w:spacing w:before="67"/>
              <w:ind w:left="105"/>
              <w:rPr>
                <w:sz w:val="24"/>
              </w:rPr>
            </w:pPr>
            <w:r>
              <w:rPr>
                <w:sz w:val="24"/>
              </w:rPr>
              <w:t>Within</w:t>
            </w:r>
            <w:r>
              <w:rPr>
                <w:spacing w:val="-3"/>
                <w:sz w:val="24"/>
              </w:rPr>
              <w:t> </w:t>
            </w:r>
            <w:r>
              <w:rPr>
                <w:spacing w:val="-2"/>
                <w:sz w:val="24"/>
              </w:rPr>
              <w:t>groups</w:t>
            </w:r>
          </w:p>
        </w:tc>
        <w:tc>
          <w:tcPr>
            <w:tcW w:w="686" w:type="dxa"/>
            <w:tcBorders>
              <w:bottom w:val="single" w:sz="4" w:space="0" w:color="000000"/>
            </w:tcBorders>
          </w:tcPr>
          <w:p>
            <w:pPr>
              <w:pStyle w:val="TableParagraph"/>
              <w:spacing w:before="67"/>
              <w:ind w:left="125"/>
              <w:rPr>
                <w:sz w:val="24"/>
              </w:rPr>
            </w:pPr>
            <w:r>
              <w:rPr>
                <w:spacing w:val="-5"/>
                <w:sz w:val="24"/>
              </w:rPr>
              <w:t>458</w:t>
            </w:r>
          </w:p>
        </w:tc>
        <w:tc>
          <w:tcPr>
            <w:tcW w:w="1417" w:type="dxa"/>
            <w:tcBorders>
              <w:bottom w:val="single" w:sz="4" w:space="0" w:color="000000"/>
            </w:tcBorders>
          </w:tcPr>
          <w:p>
            <w:pPr>
              <w:pStyle w:val="TableParagraph"/>
              <w:spacing w:before="67"/>
              <w:ind w:left="158"/>
              <w:rPr>
                <w:sz w:val="24"/>
              </w:rPr>
            </w:pPr>
            <w:r>
              <w:rPr>
                <w:spacing w:val="-2"/>
                <w:sz w:val="24"/>
              </w:rPr>
              <w:t>287.8252</w:t>
            </w:r>
          </w:p>
        </w:tc>
        <w:tc>
          <w:tcPr>
            <w:tcW w:w="1575" w:type="dxa"/>
            <w:tcBorders>
              <w:bottom w:val="single" w:sz="4" w:space="0" w:color="000000"/>
            </w:tcBorders>
          </w:tcPr>
          <w:p>
            <w:pPr>
              <w:pStyle w:val="TableParagraph"/>
              <w:spacing w:before="67"/>
              <w:ind w:left="182"/>
              <w:rPr>
                <w:sz w:val="24"/>
              </w:rPr>
            </w:pPr>
            <w:r>
              <w:rPr>
                <w:spacing w:val="-2"/>
                <w:sz w:val="24"/>
              </w:rPr>
              <w:t>.6284</w:t>
            </w:r>
          </w:p>
        </w:tc>
        <w:tc>
          <w:tcPr>
            <w:tcW w:w="1185" w:type="dxa"/>
            <w:tcBorders>
              <w:bottom w:val="single" w:sz="4" w:space="0" w:color="000000"/>
            </w:tcBorders>
          </w:tcPr>
          <w:p>
            <w:pPr>
              <w:pStyle w:val="TableParagraph"/>
              <w:rPr>
                <w:rFonts w:ascii="Times New Roman"/>
                <w:sz w:val="24"/>
              </w:rPr>
            </w:pPr>
          </w:p>
        </w:tc>
        <w:tc>
          <w:tcPr>
            <w:tcW w:w="1634" w:type="dxa"/>
            <w:tcBorders>
              <w:bottom w:val="single" w:sz="4" w:space="0" w:color="000000"/>
              <w:right w:val="single" w:sz="4" w:space="0" w:color="000000"/>
            </w:tcBorders>
          </w:tcPr>
          <w:p>
            <w:pPr>
              <w:pStyle w:val="TableParagraph"/>
              <w:rPr>
                <w:rFonts w:ascii="Times New Roman"/>
                <w:sz w:val="24"/>
              </w:rPr>
            </w:pPr>
          </w:p>
        </w:tc>
      </w:tr>
      <w:tr>
        <w:trPr>
          <w:trHeight w:val="277" w:hRule="atLeast"/>
        </w:trPr>
        <w:tc>
          <w:tcPr>
            <w:tcW w:w="1963"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686" w:type="dxa"/>
            <w:tcBorders>
              <w:top w:val="single" w:sz="4" w:space="0" w:color="000000"/>
              <w:bottom w:val="single" w:sz="4" w:space="0" w:color="000000"/>
            </w:tcBorders>
          </w:tcPr>
          <w:p>
            <w:pPr>
              <w:pStyle w:val="TableParagraph"/>
              <w:spacing w:line="258" w:lineRule="exact"/>
              <w:ind w:left="125"/>
              <w:rPr>
                <w:sz w:val="24"/>
              </w:rPr>
            </w:pPr>
            <w:r>
              <w:rPr>
                <w:spacing w:val="-5"/>
                <w:sz w:val="24"/>
              </w:rPr>
              <w:t>460</w:t>
            </w:r>
          </w:p>
        </w:tc>
        <w:tc>
          <w:tcPr>
            <w:tcW w:w="1417" w:type="dxa"/>
            <w:tcBorders>
              <w:top w:val="single" w:sz="4" w:space="0" w:color="000000"/>
              <w:bottom w:val="single" w:sz="4" w:space="0" w:color="000000"/>
            </w:tcBorders>
          </w:tcPr>
          <w:p>
            <w:pPr>
              <w:pStyle w:val="TableParagraph"/>
              <w:spacing w:line="258" w:lineRule="exact"/>
              <w:ind w:left="158"/>
              <w:rPr>
                <w:sz w:val="24"/>
              </w:rPr>
            </w:pPr>
            <w:r>
              <w:rPr>
                <w:spacing w:val="-2"/>
                <w:sz w:val="24"/>
              </w:rPr>
              <w:t>289.3853</w:t>
            </w:r>
          </w:p>
        </w:tc>
        <w:tc>
          <w:tcPr>
            <w:tcW w:w="1575" w:type="dxa"/>
            <w:tcBorders>
              <w:top w:val="single" w:sz="4" w:space="0" w:color="000000"/>
              <w:bottom w:val="single" w:sz="4" w:space="0" w:color="000000"/>
            </w:tcBorders>
          </w:tcPr>
          <w:p>
            <w:pPr>
              <w:pStyle w:val="TableParagraph"/>
              <w:rPr>
                <w:rFonts w:ascii="Times New Roman"/>
                <w:sz w:val="20"/>
              </w:rPr>
            </w:pPr>
          </w:p>
        </w:tc>
        <w:tc>
          <w:tcPr>
            <w:tcW w:w="1185" w:type="dxa"/>
            <w:tcBorders>
              <w:top w:val="single" w:sz="4" w:space="0" w:color="000000"/>
              <w:bottom w:val="single" w:sz="4" w:space="0" w:color="000000"/>
            </w:tcBorders>
          </w:tcPr>
          <w:p>
            <w:pPr>
              <w:pStyle w:val="TableParagraph"/>
              <w:rPr>
                <w:rFonts w:ascii="Times New Roman"/>
                <w:sz w:val="20"/>
              </w:rPr>
            </w:pPr>
          </w:p>
        </w:tc>
        <w:tc>
          <w:tcPr>
            <w:tcW w:w="1634" w:type="dxa"/>
            <w:tcBorders>
              <w:top w:val="single" w:sz="4" w:space="0" w:color="000000"/>
              <w:bottom w:val="single" w:sz="4" w:space="0" w:color="000000"/>
              <w:right w:val="single" w:sz="4" w:space="0" w:color="000000"/>
            </w:tcBorders>
          </w:tcPr>
          <w:p>
            <w:pPr>
              <w:pStyle w:val="TableParagraph"/>
              <w:rPr>
                <w:rFonts w:ascii="Times New Roman"/>
                <w:sz w:val="20"/>
              </w:rPr>
            </w:pPr>
          </w:p>
        </w:tc>
      </w:tr>
    </w:tbl>
    <w:p>
      <w:pPr>
        <w:pStyle w:val="BodyText"/>
        <w:ind w:left="1560"/>
      </w:pPr>
      <w:r>
        <w:rPr/>
        <w:t>F</w:t>
      </w:r>
      <w:r>
        <w:rPr>
          <w:spacing w:val="-2"/>
        </w:rPr>
        <w:t> </w:t>
      </w:r>
      <w:r>
        <w:rPr/>
        <w:t>Value</w:t>
      </w:r>
      <w:r>
        <w:rPr>
          <w:spacing w:val="-2"/>
        </w:rPr>
        <w:t> </w:t>
      </w:r>
      <w:r>
        <w:rPr/>
        <w:t>&gt;</w:t>
      </w:r>
      <w:r>
        <w:rPr>
          <w:spacing w:val="-5"/>
        </w:rPr>
        <w:t> </w:t>
      </w:r>
      <w:r>
        <w:rPr/>
        <w:t>0.05</w:t>
      </w:r>
      <w:r>
        <w:rPr>
          <w:spacing w:val="-6"/>
        </w:rPr>
        <w:t> </w:t>
      </w:r>
      <w:r>
        <w:rPr/>
        <w:t>=&gt;</w:t>
      </w:r>
      <w:r>
        <w:rPr>
          <w:spacing w:val="-4"/>
        </w:rPr>
        <w:t> </w:t>
      </w:r>
      <w:r>
        <w:rPr/>
        <w:t>HO</w:t>
      </w:r>
      <w:r>
        <w:rPr>
          <w:spacing w:val="-3"/>
        </w:rPr>
        <w:t> </w:t>
      </w:r>
      <w:r>
        <w:rPr>
          <w:spacing w:val="-5"/>
        </w:rPr>
        <w:t>Rtd</w:t>
      </w:r>
    </w:p>
    <w:p>
      <w:pPr>
        <w:pStyle w:val="BodyText"/>
        <w:spacing w:line="480" w:lineRule="auto" w:before="274"/>
        <w:ind w:left="840" w:right="553" w:firstLine="720"/>
        <w:jc w:val="both"/>
      </w:pPr>
      <w:r>
        <w:rPr/>
        <w:t>It was evident from Table 4.5.15 that the computed F probability was 0.2900. This was higher than the accepted</w:t>
      </w:r>
      <w:r>
        <w:rPr>
          <w:spacing w:val="40"/>
        </w:rPr>
        <w:t> </w:t>
      </w:r>
      <w:r>
        <w:rPr/>
        <w:t>P-value of 0.05 set for the study. Therefore HO was retained.</w:t>
      </w:r>
      <w:r>
        <w:rPr>
          <w:spacing w:val="40"/>
        </w:rPr>
        <w:t> </w:t>
      </w:r>
      <w:r>
        <w:rPr/>
        <w:t>It is, therefore, to be concluded that significant difference did not exist in the opinions of the three groups of respondents in respect</w:t>
      </w:r>
      <w:r>
        <w:rPr>
          <w:spacing w:val="-1"/>
        </w:rPr>
        <w:t> </w:t>
      </w:r>
      <w:r>
        <w:rPr/>
        <w:t>of</w:t>
      </w:r>
      <w:r>
        <w:rPr>
          <w:spacing w:val="-1"/>
        </w:rPr>
        <w:t> </w:t>
      </w:r>
      <w:r>
        <w:rPr/>
        <w:t>the</w:t>
      </w:r>
      <w:r>
        <w:rPr>
          <w:spacing w:val="-4"/>
        </w:rPr>
        <w:t> </w:t>
      </w:r>
      <w:r>
        <w:rPr/>
        <w:t>impact</w:t>
      </w:r>
      <w:r>
        <w:rPr>
          <w:spacing w:val="-1"/>
        </w:rPr>
        <w:t> </w:t>
      </w:r>
      <w:r>
        <w:rPr/>
        <w:t>of</w:t>
      </w:r>
      <w:r>
        <w:rPr>
          <w:spacing w:val="-1"/>
        </w:rPr>
        <w:t> </w:t>
      </w:r>
      <w:r>
        <w:rPr/>
        <w:t>guidance and counseling on students’</w:t>
      </w:r>
      <w:r>
        <w:rPr>
          <w:spacing w:val="-1"/>
        </w:rPr>
        <w:t> </w:t>
      </w:r>
      <w:r>
        <w:rPr/>
        <w:t>welfare services</w:t>
      </w:r>
      <w:r>
        <w:rPr>
          <w:spacing w:val="-6"/>
        </w:rPr>
        <w:t> </w:t>
      </w:r>
      <w:r>
        <w:rPr/>
        <w:t>in these universities. The consensus of opinions among the respondents revealed that guidance and counseling in these universities played significant role, particularly in moulding students’ character and behaviour. It was perceived that the unit actively handled various individual and social problems ranging from family and peer group habits, financial predicament, environmental adaptability, study plans, psychological or mental instability, etcetera.</w:t>
      </w:r>
    </w:p>
    <w:p>
      <w:pPr>
        <w:pStyle w:val="Heading4"/>
        <w:numPr>
          <w:ilvl w:val="2"/>
          <w:numId w:val="43"/>
        </w:numPr>
        <w:tabs>
          <w:tab w:pos="967" w:val="left" w:leader="none"/>
        </w:tabs>
        <w:spacing w:line="319" w:lineRule="exact" w:before="0" w:after="0"/>
        <w:ind w:left="967" w:right="0" w:hanging="847"/>
        <w:jc w:val="left"/>
      </w:pPr>
      <w:r>
        <w:rPr/>
        <w:t>Null</w:t>
      </w:r>
      <w:r>
        <w:rPr>
          <w:spacing w:val="-7"/>
        </w:rPr>
        <w:t> </w:t>
      </w:r>
      <w:r>
        <w:rPr/>
        <w:t>Hypotheses</w:t>
      </w:r>
      <w:r>
        <w:rPr>
          <w:spacing w:val="-5"/>
        </w:rPr>
        <w:t> 10</w:t>
      </w:r>
    </w:p>
    <w:p>
      <w:pPr>
        <w:pStyle w:val="BodyText"/>
        <w:spacing w:before="49"/>
        <w:rPr>
          <w:rFonts w:ascii="Arial"/>
          <w:b/>
        </w:rPr>
      </w:pPr>
    </w:p>
    <w:p>
      <w:pPr>
        <w:pStyle w:val="BodyText"/>
        <w:spacing w:line="480" w:lineRule="auto"/>
        <w:ind w:left="840" w:right="561" w:firstLine="720"/>
        <w:jc w:val="both"/>
      </w:pPr>
      <w:r>
        <w:rPr/>
        <w:t>There is no significant difference in the opinions of students, service staff and top management staff with respect to the impact of sports and recreation on students’ welfare services in these universities.</w:t>
      </w:r>
    </w:p>
    <w:p>
      <w:pPr>
        <w:pStyle w:val="BodyText"/>
        <w:spacing w:line="480" w:lineRule="auto"/>
        <w:ind w:left="840" w:right="559" w:firstLine="720"/>
        <w:jc w:val="both"/>
      </w:pPr>
      <w:r>
        <w:rPr/>
        <w:t>Data related to this hypothesis were obtained from items 48 to 53 of the questionnaire</w:t>
      </w:r>
      <w:r>
        <w:rPr>
          <w:spacing w:val="3"/>
        </w:rPr>
        <w:t> </w:t>
      </w:r>
      <w:r>
        <w:rPr/>
        <w:t>to</w:t>
      </w:r>
      <w:r>
        <w:rPr>
          <w:spacing w:val="3"/>
        </w:rPr>
        <w:t> </w:t>
      </w:r>
      <w:r>
        <w:rPr/>
        <w:t>determine</w:t>
      </w:r>
      <w:r>
        <w:rPr>
          <w:spacing w:val="3"/>
        </w:rPr>
        <w:t> </w:t>
      </w:r>
      <w:r>
        <w:rPr/>
        <w:t>the</w:t>
      </w:r>
      <w:r>
        <w:rPr>
          <w:spacing w:val="-1"/>
        </w:rPr>
        <w:t> </w:t>
      </w:r>
      <w:r>
        <w:rPr/>
        <w:t>level</w:t>
      </w:r>
      <w:r>
        <w:rPr>
          <w:spacing w:val="1"/>
        </w:rPr>
        <w:t> </w:t>
      </w:r>
      <w:r>
        <w:rPr/>
        <w:t>of</w:t>
      </w:r>
      <w:r>
        <w:rPr>
          <w:spacing w:val="-2"/>
        </w:rPr>
        <w:t> </w:t>
      </w:r>
      <w:r>
        <w:rPr/>
        <w:t>agreement</w:t>
      </w:r>
      <w:r>
        <w:rPr>
          <w:spacing w:val="2"/>
        </w:rPr>
        <w:t> </w:t>
      </w:r>
      <w:r>
        <w:rPr/>
        <w:t>in</w:t>
      </w:r>
      <w:r>
        <w:rPr>
          <w:spacing w:val="4"/>
        </w:rPr>
        <w:t> </w:t>
      </w:r>
      <w:r>
        <w:rPr/>
        <w:t>the</w:t>
      </w:r>
      <w:r>
        <w:rPr>
          <w:spacing w:val="-2"/>
        </w:rPr>
        <w:t> </w:t>
      </w:r>
      <w:r>
        <w:rPr/>
        <w:t>opinions</w:t>
      </w:r>
      <w:r>
        <w:rPr>
          <w:spacing w:val="2"/>
        </w:rPr>
        <w:t> </w:t>
      </w:r>
      <w:r>
        <w:rPr/>
        <w:t>of</w:t>
      </w:r>
      <w:r>
        <w:rPr>
          <w:spacing w:val="-2"/>
        </w:rPr>
        <w:t> respondents</w:t>
      </w:r>
    </w:p>
    <w:p>
      <w:pPr>
        <w:spacing w:after="0" w:line="480" w:lineRule="auto"/>
        <w:jc w:val="both"/>
        <w:sectPr>
          <w:headerReference w:type="default" r:id="rId445"/>
          <w:footerReference w:type="default" r:id="rId446"/>
          <w:pgSz w:w="12240" w:h="15840"/>
          <w:pgMar w:header="722" w:footer="791" w:top="980" w:bottom="980" w:left="1320" w:right="880"/>
        </w:sectPr>
      </w:pPr>
    </w:p>
    <w:p>
      <w:pPr>
        <w:pStyle w:val="BodyText"/>
        <w:spacing w:before="171"/>
      </w:pPr>
    </w:p>
    <w:p>
      <w:pPr>
        <w:pStyle w:val="BodyText"/>
        <w:spacing w:line="480" w:lineRule="auto"/>
        <w:ind w:left="840" w:right="554"/>
        <w:jc w:val="both"/>
      </w:pPr>
      <w:r>
        <w:rPr/>
        <w:t>pertaining to the impact of sports and recreation services on welfare services in the universities. In testing the hypothesis all the items were used, by applying One Way Analysis of variance procedure to obtain the possible difference of respondents’ responses. The results of the test are presented in Table 4.5.16.</w:t>
      </w:r>
    </w:p>
    <w:p>
      <w:pPr>
        <w:pStyle w:val="Heading2"/>
        <w:ind w:left="2587" w:right="585" w:hanging="1748"/>
      </w:pPr>
      <w:r>
        <w:rPr/>
        <w:t>Table 4.5.16: Analysis of Variance (ANOVA) on the impact of sports</w:t>
      </w:r>
      <w:r>
        <w:rPr>
          <w:spacing w:val="-4"/>
        </w:rPr>
        <w:t> </w:t>
      </w:r>
      <w:r>
        <w:rPr/>
        <w:t>and</w:t>
      </w:r>
      <w:r>
        <w:rPr>
          <w:spacing w:val="-9"/>
        </w:rPr>
        <w:t> </w:t>
      </w:r>
      <w:r>
        <w:rPr/>
        <w:t>recreation</w:t>
      </w:r>
      <w:r>
        <w:rPr>
          <w:spacing w:val="-4"/>
        </w:rPr>
        <w:t> </w:t>
      </w:r>
      <w:r>
        <w:rPr/>
        <w:t>on</w:t>
      </w:r>
      <w:r>
        <w:rPr>
          <w:spacing w:val="-9"/>
        </w:rPr>
        <w:t> </w:t>
      </w:r>
      <w:r>
        <w:rPr/>
        <w:t>students’</w:t>
      </w:r>
      <w:r>
        <w:rPr>
          <w:spacing w:val="-8"/>
        </w:rPr>
        <w:t> </w:t>
      </w:r>
      <w:r>
        <w:rPr/>
        <w:t>welfare</w:t>
      </w:r>
      <w:r>
        <w:rPr>
          <w:spacing w:val="-3"/>
        </w:rPr>
        <w:t> </w:t>
      </w:r>
      <w:r>
        <w:rPr/>
        <w:t>in</w:t>
      </w:r>
      <w:r>
        <w:rPr>
          <w:spacing w:val="-4"/>
        </w:rPr>
        <w:t> </w:t>
      </w:r>
      <w:r>
        <w:rPr/>
        <w:t>the </w:t>
      </w:r>
      <w:r>
        <w:rPr>
          <w:spacing w:val="-2"/>
        </w:rPr>
        <w:t>Universities</w:t>
      </w:r>
    </w:p>
    <w:p>
      <w:pPr>
        <w:pStyle w:val="BodyText"/>
        <w:spacing w:before="95"/>
        <w:rPr>
          <w:rFonts w:ascii="Arial"/>
          <w:b/>
          <w:sz w:val="20"/>
        </w:rPr>
      </w:pPr>
    </w:p>
    <w:tbl>
      <w:tblPr>
        <w:tblW w:w="0" w:type="auto"/>
        <w:jc w:val="left"/>
        <w:tblInd w:w="1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63"/>
        <w:gridCol w:w="686"/>
        <w:gridCol w:w="1290"/>
        <w:gridCol w:w="1391"/>
        <w:gridCol w:w="1417"/>
        <w:gridCol w:w="1538"/>
      </w:tblGrid>
      <w:tr>
        <w:trPr>
          <w:trHeight w:val="551" w:hRule="atLeast"/>
        </w:trPr>
        <w:tc>
          <w:tcPr>
            <w:tcW w:w="1963" w:type="dxa"/>
            <w:tcBorders>
              <w:top w:val="single" w:sz="4" w:space="0" w:color="000000"/>
              <w:left w:val="single" w:sz="4" w:space="0" w:color="000000"/>
              <w:bottom w:val="single" w:sz="4" w:space="0" w:color="000000"/>
            </w:tcBorders>
          </w:tcPr>
          <w:p>
            <w:pPr>
              <w:pStyle w:val="TableParagraph"/>
              <w:spacing w:line="267" w:lineRule="exact"/>
              <w:ind w:left="431"/>
              <w:rPr>
                <w:rFonts w:ascii="Arial"/>
                <w:b/>
                <w:sz w:val="24"/>
              </w:rPr>
            </w:pPr>
            <w:r>
              <w:rPr>
                <w:rFonts w:ascii="Arial"/>
                <w:b/>
                <w:sz w:val="24"/>
              </w:rPr>
              <w:t>Source</w:t>
            </w:r>
            <w:r>
              <w:rPr>
                <w:rFonts w:ascii="Arial"/>
                <w:b/>
                <w:spacing w:val="-12"/>
                <w:sz w:val="24"/>
              </w:rPr>
              <w:t> </w:t>
            </w:r>
            <w:r>
              <w:rPr>
                <w:rFonts w:ascii="Arial"/>
                <w:b/>
                <w:spacing w:val="-5"/>
                <w:sz w:val="24"/>
              </w:rPr>
              <w:t>of</w:t>
            </w:r>
          </w:p>
          <w:p>
            <w:pPr>
              <w:pStyle w:val="TableParagraph"/>
              <w:spacing w:line="263" w:lineRule="exact" w:before="2"/>
              <w:ind w:left="470"/>
              <w:rPr>
                <w:rFonts w:ascii="Arial"/>
                <w:b/>
                <w:sz w:val="24"/>
              </w:rPr>
            </w:pPr>
            <w:r>
              <w:rPr>
                <w:rFonts w:ascii="Arial"/>
                <w:b/>
                <w:spacing w:val="-2"/>
                <w:sz w:val="24"/>
              </w:rPr>
              <w:t>Variation</w:t>
            </w:r>
          </w:p>
        </w:tc>
        <w:tc>
          <w:tcPr>
            <w:tcW w:w="686" w:type="dxa"/>
            <w:tcBorders>
              <w:top w:val="single" w:sz="4" w:space="0" w:color="000000"/>
              <w:bottom w:val="single" w:sz="4" w:space="0" w:color="000000"/>
            </w:tcBorders>
          </w:tcPr>
          <w:p>
            <w:pPr>
              <w:pStyle w:val="TableParagraph"/>
              <w:spacing w:line="267" w:lineRule="exact"/>
              <w:ind w:left="216"/>
              <w:rPr>
                <w:rFonts w:ascii="Arial"/>
                <w:b/>
                <w:sz w:val="24"/>
              </w:rPr>
            </w:pPr>
            <w:r>
              <w:rPr>
                <w:rFonts w:ascii="Arial"/>
                <w:b/>
                <w:spacing w:val="-5"/>
                <w:sz w:val="24"/>
              </w:rPr>
              <w:t>DF</w:t>
            </w:r>
          </w:p>
        </w:tc>
        <w:tc>
          <w:tcPr>
            <w:tcW w:w="1290" w:type="dxa"/>
            <w:tcBorders>
              <w:top w:val="single" w:sz="4" w:space="0" w:color="000000"/>
              <w:bottom w:val="single" w:sz="4" w:space="0" w:color="000000"/>
            </w:tcBorders>
          </w:tcPr>
          <w:p>
            <w:pPr>
              <w:pStyle w:val="TableParagraph"/>
              <w:spacing w:line="267" w:lineRule="exact"/>
              <w:ind w:left="274"/>
              <w:rPr>
                <w:rFonts w:ascii="Arial"/>
                <w:b/>
                <w:sz w:val="24"/>
              </w:rPr>
            </w:pPr>
            <w:r>
              <w:rPr>
                <w:rFonts w:ascii="Arial"/>
                <w:b/>
                <w:sz w:val="24"/>
              </w:rPr>
              <w:t>Sum</w:t>
            </w:r>
            <w:r>
              <w:rPr>
                <w:rFonts w:ascii="Arial"/>
                <w:b/>
                <w:spacing w:val="-13"/>
                <w:sz w:val="24"/>
              </w:rPr>
              <w:t> </w:t>
            </w:r>
            <w:r>
              <w:rPr>
                <w:rFonts w:ascii="Arial"/>
                <w:b/>
                <w:spacing w:val="-5"/>
                <w:sz w:val="24"/>
              </w:rPr>
              <w:t>of</w:t>
            </w:r>
          </w:p>
          <w:p>
            <w:pPr>
              <w:pStyle w:val="TableParagraph"/>
              <w:spacing w:line="263" w:lineRule="exact" w:before="2"/>
              <w:ind w:left="207"/>
              <w:rPr>
                <w:rFonts w:ascii="Arial"/>
                <w:b/>
                <w:sz w:val="24"/>
              </w:rPr>
            </w:pPr>
            <w:r>
              <w:rPr>
                <w:rFonts w:ascii="Arial"/>
                <w:b/>
                <w:spacing w:val="-2"/>
                <w:sz w:val="24"/>
              </w:rPr>
              <w:t>Squares</w:t>
            </w:r>
          </w:p>
        </w:tc>
        <w:tc>
          <w:tcPr>
            <w:tcW w:w="1391" w:type="dxa"/>
            <w:tcBorders>
              <w:top w:val="single" w:sz="4" w:space="0" w:color="000000"/>
              <w:bottom w:val="single" w:sz="4" w:space="0" w:color="000000"/>
            </w:tcBorders>
          </w:tcPr>
          <w:p>
            <w:pPr>
              <w:pStyle w:val="TableParagraph"/>
              <w:spacing w:line="267" w:lineRule="exact"/>
              <w:ind w:left="134" w:right="36"/>
              <w:jc w:val="center"/>
              <w:rPr>
                <w:rFonts w:ascii="Arial"/>
                <w:b/>
                <w:sz w:val="24"/>
              </w:rPr>
            </w:pPr>
            <w:r>
              <w:rPr>
                <w:rFonts w:ascii="Arial"/>
                <w:b/>
                <w:spacing w:val="-4"/>
                <w:sz w:val="24"/>
              </w:rPr>
              <w:t>Mean</w:t>
            </w:r>
          </w:p>
          <w:p>
            <w:pPr>
              <w:pStyle w:val="TableParagraph"/>
              <w:spacing w:line="263" w:lineRule="exact" w:before="2"/>
              <w:ind w:left="130" w:right="36"/>
              <w:jc w:val="center"/>
              <w:rPr>
                <w:rFonts w:ascii="Arial"/>
                <w:b/>
                <w:sz w:val="24"/>
              </w:rPr>
            </w:pPr>
            <w:r>
              <w:rPr>
                <w:rFonts w:ascii="Arial"/>
                <w:b/>
                <w:spacing w:val="-2"/>
                <w:sz w:val="24"/>
              </w:rPr>
              <w:t>Squares</w:t>
            </w:r>
          </w:p>
        </w:tc>
        <w:tc>
          <w:tcPr>
            <w:tcW w:w="1417" w:type="dxa"/>
            <w:tcBorders>
              <w:top w:val="single" w:sz="4" w:space="0" w:color="000000"/>
              <w:bottom w:val="single" w:sz="4" w:space="0" w:color="000000"/>
            </w:tcBorders>
          </w:tcPr>
          <w:p>
            <w:pPr>
              <w:pStyle w:val="TableParagraph"/>
              <w:spacing w:line="267" w:lineRule="exact"/>
              <w:ind w:left="362"/>
              <w:rPr>
                <w:rFonts w:ascii="Arial"/>
                <w:b/>
                <w:sz w:val="24"/>
              </w:rPr>
            </w:pPr>
            <w:r>
              <w:rPr>
                <w:rFonts w:ascii="Arial"/>
                <w:b/>
                <w:sz w:val="24"/>
              </w:rPr>
              <w:t>F </w:t>
            </w:r>
            <w:r>
              <w:rPr>
                <w:rFonts w:ascii="Arial"/>
                <w:b/>
                <w:spacing w:val="-2"/>
                <w:sz w:val="24"/>
              </w:rPr>
              <w:t>Value</w:t>
            </w:r>
          </w:p>
        </w:tc>
        <w:tc>
          <w:tcPr>
            <w:tcW w:w="1538" w:type="dxa"/>
            <w:tcBorders>
              <w:top w:val="single" w:sz="4" w:space="0" w:color="000000"/>
              <w:bottom w:val="single" w:sz="4" w:space="0" w:color="000000"/>
              <w:right w:val="single" w:sz="4" w:space="0" w:color="000000"/>
            </w:tcBorders>
          </w:tcPr>
          <w:p>
            <w:pPr>
              <w:pStyle w:val="TableParagraph"/>
              <w:spacing w:line="267" w:lineRule="exact"/>
              <w:ind w:left="380"/>
              <w:rPr>
                <w:rFonts w:ascii="Arial"/>
                <w:b/>
                <w:sz w:val="24"/>
              </w:rPr>
            </w:pPr>
            <w:r>
              <w:rPr>
                <w:rFonts w:ascii="Arial"/>
                <w:b/>
                <w:sz w:val="24"/>
              </w:rPr>
              <w:t>P</w:t>
            </w:r>
            <w:r>
              <w:rPr>
                <w:rFonts w:ascii="Arial"/>
                <w:b/>
                <w:spacing w:val="-3"/>
                <w:sz w:val="24"/>
              </w:rPr>
              <w:t> </w:t>
            </w:r>
            <w:r>
              <w:rPr>
                <w:rFonts w:ascii="Arial"/>
                <w:b/>
                <w:spacing w:val="-2"/>
                <w:sz w:val="24"/>
              </w:rPr>
              <w:t>Value</w:t>
            </w:r>
          </w:p>
        </w:tc>
      </w:tr>
      <w:tr>
        <w:trPr>
          <w:trHeight w:val="346" w:hRule="atLeast"/>
        </w:trPr>
        <w:tc>
          <w:tcPr>
            <w:tcW w:w="1963" w:type="dxa"/>
            <w:tcBorders>
              <w:top w:val="single" w:sz="4" w:space="0" w:color="000000"/>
              <w:left w:val="single" w:sz="4" w:space="0" w:color="000000"/>
            </w:tcBorders>
          </w:tcPr>
          <w:p>
            <w:pPr>
              <w:pStyle w:val="TableParagraph"/>
              <w:spacing w:line="271" w:lineRule="exact"/>
              <w:ind w:left="105"/>
              <w:rPr>
                <w:sz w:val="24"/>
              </w:rPr>
            </w:pPr>
            <w:r>
              <w:rPr>
                <w:sz w:val="24"/>
              </w:rPr>
              <w:t>Between</w:t>
            </w:r>
            <w:r>
              <w:rPr>
                <w:spacing w:val="-13"/>
                <w:sz w:val="24"/>
              </w:rPr>
              <w:t> </w:t>
            </w:r>
            <w:r>
              <w:rPr>
                <w:spacing w:val="-2"/>
                <w:sz w:val="24"/>
              </w:rPr>
              <w:t>groups</w:t>
            </w:r>
          </w:p>
        </w:tc>
        <w:tc>
          <w:tcPr>
            <w:tcW w:w="686" w:type="dxa"/>
            <w:tcBorders>
              <w:top w:val="single" w:sz="4" w:space="0" w:color="000000"/>
            </w:tcBorders>
          </w:tcPr>
          <w:p>
            <w:pPr>
              <w:pStyle w:val="TableParagraph"/>
              <w:spacing w:line="271" w:lineRule="exact"/>
              <w:ind w:left="125"/>
              <w:rPr>
                <w:sz w:val="24"/>
              </w:rPr>
            </w:pPr>
            <w:r>
              <w:rPr>
                <w:spacing w:val="-10"/>
                <w:sz w:val="24"/>
              </w:rPr>
              <w:t>2</w:t>
            </w:r>
          </w:p>
        </w:tc>
        <w:tc>
          <w:tcPr>
            <w:tcW w:w="1290" w:type="dxa"/>
            <w:tcBorders>
              <w:top w:val="single" w:sz="4" w:space="0" w:color="000000"/>
            </w:tcBorders>
          </w:tcPr>
          <w:p>
            <w:pPr>
              <w:pStyle w:val="TableParagraph"/>
              <w:spacing w:line="271" w:lineRule="exact"/>
              <w:ind w:left="158"/>
              <w:rPr>
                <w:sz w:val="24"/>
              </w:rPr>
            </w:pPr>
            <w:r>
              <w:rPr>
                <w:spacing w:val="-2"/>
                <w:sz w:val="24"/>
              </w:rPr>
              <w:t>0.8005</w:t>
            </w:r>
          </w:p>
        </w:tc>
        <w:tc>
          <w:tcPr>
            <w:tcW w:w="1391" w:type="dxa"/>
            <w:tcBorders>
              <w:top w:val="single" w:sz="4" w:space="0" w:color="000000"/>
            </w:tcBorders>
          </w:tcPr>
          <w:p>
            <w:pPr>
              <w:pStyle w:val="TableParagraph"/>
              <w:spacing w:line="271" w:lineRule="exact"/>
              <w:ind w:left="131"/>
              <w:rPr>
                <w:sz w:val="24"/>
              </w:rPr>
            </w:pPr>
            <w:r>
              <w:rPr>
                <w:spacing w:val="-2"/>
                <w:sz w:val="24"/>
              </w:rPr>
              <w:t>0.4003</w:t>
            </w:r>
          </w:p>
        </w:tc>
        <w:tc>
          <w:tcPr>
            <w:tcW w:w="1417" w:type="dxa"/>
            <w:tcBorders>
              <w:top w:val="single" w:sz="4" w:space="0" w:color="000000"/>
            </w:tcBorders>
          </w:tcPr>
          <w:p>
            <w:pPr>
              <w:pStyle w:val="TableParagraph"/>
              <w:spacing w:line="271" w:lineRule="exact"/>
              <w:ind w:left="180"/>
              <w:rPr>
                <w:sz w:val="24"/>
              </w:rPr>
            </w:pPr>
            <w:r>
              <w:rPr>
                <w:spacing w:val="-2"/>
                <w:sz w:val="24"/>
              </w:rPr>
              <w:t>0.6085</w:t>
            </w:r>
          </w:p>
        </w:tc>
        <w:tc>
          <w:tcPr>
            <w:tcW w:w="1538" w:type="dxa"/>
            <w:tcBorders>
              <w:top w:val="single" w:sz="4" w:space="0" w:color="000000"/>
              <w:right w:val="single" w:sz="4" w:space="0" w:color="000000"/>
            </w:tcBorders>
          </w:tcPr>
          <w:p>
            <w:pPr>
              <w:pStyle w:val="TableParagraph"/>
              <w:spacing w:line="271" w:lineRule="exact"/>
              <w:ind w:left="203"/>
              <w:rPr>
                <w:sz w:val="24"/>
              </w:rPr>
            </w:pPr>
            <w:r>
              <w:rPr>
                <w:spacing w:val="-2"/>
                <w:sz w:val="24"/>
              </w:rPr>
              <w:t>0.5446</w:t>
            </w:r>
          </w:p>
        </w:tc>
      </w:tr>
      <w:tr>
        <w:trPr>
          <w:trHeight w:val="483" w:hRule="atLeast"/>
        </w:trPr>
        <w:tc>
          <w:tcPr>
            <w:tcW w:w="1963" w:type="dxa"/>
            <w:tcBorders>
              <w:left w:val="single" w:sz="4" w:space="0" w:color="000000"/>
              <w:bottom w:val="single" w:sz="4" w:space="0" w:color="000000"/>
            </w:tcBorders>
          </w:tcPr>
          <w:p>
            <w:pPr>
              <w:pStyle w:val="TableParagraph"/>
              <w:spacing w:before="67"/>
              <w:ind w:left="105"/>
              <w:rPr>
                <w:sz w:val="24"/>
              </w:rPr>
            </w:pPr>
            <w:r>
              <w:rPr>
                <w:sz w:val="24"/>
              </w:rPr>
              <w:t>Within</w:t>
            </w:r>
            <w:r>
              <w:rPr>
                <w:spacing w:val="-3"/>
                <w:sz w:val="24"/>
              </w:rPr>
              <w:t> </w:t>
            </w:r>
            <w:r>
              <w:rPr>
                <w:spacing w:val="-2"/>
                <w:sz w:val="24"/>
              </w:rPr>
              <w:t>groups</w:t>
            </w:r>
          </w:p>
        </w:tc>
        <w:tc>
          <w:tcPr>
            <w:tcW w:w="686" w:type="dxa"/>
            <w:tcBorders>
              <w:bottom w:val="single" w:sz="4" w:space="0" w:color="000000"/>
            </w:tcBorders>
          </w:tcPr>
          <w:p>
            <w:pPr>
              <w:pStyle w:val="TableParagraph"/>
              <w:spacing w:before="67"/>
              <w:ind w:left="125"/>
              <w:rPr>
                <w:sz w:val="24"/>
              </w:rPr>
            </w:pPr>
            <w:r>
              <w:rPr>
                <w:spacing w:val="-5"/>
                <w:sz w:val="24"/>
              </w:rPr>
              <w:t>458</w:t>
            </w:r>
          </w:p>
        </w:tc>
        <w:tc>
          <w:tcPr>
            <w:tcW w:w="1290" w:type="dxa"/>
            <w:tcBorders>
              <w:bottom w:val="single" w:sz="4" w:space="0" w:color="000000"/>
            </w:tcBorders>
          </w:tcPr>
          <w:p>
            <w:pPr>
              <w:pStyle w:val="TableParagraph"/>
              <w:spacing w:before="67"/>
              <w:ind w:left="158"/>
              <w:rPr>
                <w:sz w:val="24"/>
              </w:rPr>
            </w:pPr>
            <w:r>
              <w:rPr>
                <w:spacing w:val="-2"/>
                <w:sz w:val="24"/>
              </w:rPr>
              <w:t>301.2596</w:t>
            </w:r>
          </w:p>
        </w:tc>
        <w:tc>
          <w:tcPr>
            <w:tcW w:w="1391" w:type="dxa"/>
            <w:tcBorders>
              <w:bottom w:val="single" w:sz="4" w:space="0" w:color="000000"/>
            </w:tcBorders>
          </w:tcPr>
          <w:p>
            <w:pPr>
              <w:pStyle w:val="TableParagraph"/>
              <w:spacing w:before="67"/>
              <w:ind w:left="131"/>
              <w:rPr>
                <w:sz w:val="24"/>
              </w:rPr>
            </w:pPr>
            <w:r>
              <w:rPr>
                <w:spacing w:val="-2"/>
                <w:sz w:val="24"/>
              </w:rPr>
              <w:t>0.6578</w:t>
            </w:r>
          </w:p>
        </w:tc>
        <w:tc>
          <w:tcPr>
            <w:tcW w:w="1417" w:type="dxa"/>
            <w:tcBorders>
              <w:bottom w:val="single" w:sz="4" w:space="0" w:color="000000"/>
            </w:tcBorders>
          </w:tcPr>
          <w:p>
            <w:pPr>
              <w:pStyle w:val="TableParagraph"/>
              <w:rPr>
                <w:rFonts w:ascii="Times New Roman"/>
                <w:sz w:val="24"/>
              </w:rPr>
            </w:pPr>
          </w:p>
        </w:tc>
        <w:tc>
          <w:tcPr>
            <w:tcW w:w="1538" w:type="dxa"/>
            <w:tcBorders>
              <w:bottom w:val="single" w:sz="4" w:space="0" w:color="000000"/>
              <w:right w:val="single" w:sz="4" w:space="0" w:color="000000"/>
            </w:tcBorders>
          </w:tcPr>
          <w:p>
            <w:pPr>
              <w:pStyle w:val="TableParagraph"/>
              <w:rPr>
                <w:rFonts w:ascii="Times New Roman"/>
                <w:sz w:val="24"/>
              </w:rPr>
            </w:pPr>
          </w:p>
        </w:tc>
      </w:tr>
      <w:tr>
        <w:trPr>
          <w:trHeight w:val="278" w:hRule="atLeast"/>
        </w:trPr>
        <w:tc>
          <w:tcPr>
            <w:tcW w:w="1963"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686" w:type="dxa"/>
            <w:tcBorders>
              <w:top w:val="single" w:sz="4" w:space="0" w:color="000000"/>
              <w:bottom w:val="single" w:sz="4" w:space="0" w:color="000000"/>
            </w:tcBorders>
          </w:tcPr>
          <w:p>
            <w:pPr>
              <w:pStyle w:val="TableParagraph"/>
              <w:spacing w:line="258" w:lineRule="exact"/>
              <w:ind w:left="125"/>
              <w:rPr>
                <w:sz w:val="24"/>
              </w:rPr>
            </w:pPr>
            <w:r>
              <w:rPr>
                <w:spacing w:val="-5"/>
                <w:sz w:val="24"/>
              </w:rPr>
              <w:t>460</w:t>
            </w:r>
          </w:p>
        </w:tc>
        <w:tc>
          <w:tcPr>
            <w:tcW w:w="1290" w:type="dxa"/>
            <w:tcBorders>
              <w:top w:val="single" w:sz="4" w:space="0" w:color="000000"/>
              <w:bottom w:val="single" w:sz="4" w:space="0" w:color="000000"/>
            </w:tcBorders>
          </w:tcPr>
          <w:p>
            <w:pPr>
              <w:pStyle w:val="TableParagraph"/>
              <w:spacing w:line="258" w:lineRule="exact"/>
              <w:ind w:left="158"/>
              <w:rPr>
                <w:sz w:val="24"/>
              </w:rPr>
            </w:pPr>
            <w:r>
              <w:rPr>
                <w:spacing w:val="-2"/>
                <w:sz w:val="24"/>
              </w:rPr>
              <w:t>302.0601</w:t>
            </w:r>
          </w:p>
        </w:tc>
        <w:tc>
          <w:tcPr>
            <w:tcW w:w="1391" w:type="dxa"/>
            <w:tcBorders>
              <w:top w:val="single" w:sz="4" w:space="0" w:color="000000"/>
              <w:bottom w:val="single" w:sz="4" w:space="0" w:color="000000"/>
            </w:tcBorders>
          </w:tcPr>
          <w:p>
            <w:pPr>
              <w:pStyle w:val="TableParagraph"/>
              <w:rPr>
                <w:rFonts w:ascii="Times New Roman"/>
                <w:sz w:val="20"/>
              </w:rPr>
            </w:pPr>
          </w:p>
        </w:tc>
        <w:tc>
          <w:tcPr>
            <w:tcW w:w="1417" w:type="dxa"/>
            <w:tcBorders>
              <w:top w:val="single" w:sz="4" w:space="0" w:color="000000"/>
              <w:bottom w:val="single" w:sz="4" w:space="0" w:color="000000"/>
            </w:tcBorders>
          </w:tcPr>
          <w:p>
            <w:pPr>
              <w:pStyle w:val="TableParagraph"/>
              <w:rPr>
                <w:rFonts w:ascii="Times New Roman"/>
                <w:sz w:val="20"/>
              </w:rPr>
            </w:pPr>
          </w:p>
        </w:tc>
        <w:tc>
          <w:tcPr>
            <w:tcW w:w="1538" w:type="dxa"/>
            <w:tcBorders>
              <w:top w:val="single" w:sz="4" w:space="0" w:color="000000"/>
              <w:bottom w:val="single" w:sz="4" w:space="0" w:color="000000"/>
              <w:right w:val="single" w:sz="4" w:space="0" w:color="000000"/>
            </w:tcBorders>
          </w:tcPr>
          <w:p>
            <w:pPr>
              <w:pStyle w:val="TableParagraph"/>
              <w:rPr>
                <w:rFonts w:ascii="Times New Roman"/>
                <w:sz w:val="20"/>
              </w:rPr>
            </w:pPr>
          </w:p>
        </w:tc>
      </w:tr>
    </w:tbl>
    <w:p>
      <w:pPr>
        <w:pStyle w:val="BodyText"/>
        <w:ind w:left="1560"/>
      </w:pPr>
      <w:r>
        <w:rPr/>
        <w:t>F</w:t>
      </w:r>
      <w:r>
        <w:rPr>
          <w:spacing w:val="-3"/>
        </w:rPr>
        <w:t> </w:t>
      </w:r>
      <w:r>
        <w:rPr/>
        <w:t>Probability</w:t>
      </w:r>
      <w:r>
        <w:rPr>
          <w:spacing w:val="-5"/>
        </w:rPr>
        <w:t> </w:t>
      </w:r>
      <w:r>
        <w:rPr/>
        <w:t>&gt;</w:t>
      </w:r>
      <w:r>
        <w:rPr>
          <w:spacing w:val="-6"/>
        </w:rPr>
        <w:t> </w:t>
      </w:r>
      <w:r>
        <w:rPr/>
        <w:t>0.05</w:t>
      </w:r>
      <w:r>
        <w:rPr>
          <w:spacing w:val="-4"/>
        </w:rPr>
        <w:t> </w:t>
      </w:r>
      <w:r>
        <w:rPr/>
        <w:t>=&gt;</w:t>
      </w:r>
      <w:r>
        <w:rPr>
          <w:spacing w:val="-6"/>
        </w:rPr>
        <w:t> </w:t>
      </w:r>
      <w:r>
        <w:rPr/>
        <w:t>HO</w:t>
      </w:r>
      <w:r>
        <w:rPr>
          <w:spacing w:val="-4"/>
        </w:rPr>
        <w:t> Rtd.</w:t>
      </w:r>
    </w:p>
    <w:p>
      <w:pPr>
        <w:pStyle w:val="BodyText"/>
        <w:spacing w:line="480" w:lineRule="auto" w:before="273"/>
        <w:ind w:left="840" w:right="553" w:firstLine="720"/>
        <w:jc w:val="both"/>
      </w:pPr>
      <w:r>
        <w:rPr/>
        <w:t>As could be seen from Table 4.5.16, the computed F. probability was found to be 0.5446 and it was higher than the accepted P-value of 0.05. Therefore, the HO was retained.</w:t>
      </w:r>
      <w:r>
        <w:rPr>
          <w:spacing w:val="40"/>
        </w:rPr>
        <w:t> </w:t>
      </w:r>
      <w:r>
        <w:rPr/>
        <w:t>It could be concluded that there were no significant</w:t>
      </w:r>
      <w:r>
        <w:rPr>
          <w:spacing w:val="-1"/>
        </w:rPr>
        <w:t> </w:t>
      </w:r>
      <w:r>
        <w:rPr/>
        <w:t>differences</w:t>
      </w:r>
      <w:r>
        <w:rPr>
          <w:spacing w:val="-6"/>
        </w:rPr>
        <w:t> </w:t>
      </w:r>
      <w:r>
        <w:rPr/>
        <w:t>in the opinions</w:t>
      </w:r>
      <w:r>
        <w:rPr>
          <w:spacing w:val="-6"/>
        </w:rPr>
        <w:t> </w:t>
      </w:r>
      <w:r>
        <w:rPr/>
        <w:t>of</w:t>
      </w:r>
      <w:r>
        <w:rPr>
          <w:spacing w:val="-1"/>
        </w:rPr>
        <w:t> </w:t>
      </w:r>
      <w:r>
        <w:rPr/>
        <w:t>three</w:t>
      </w:r>
      <w:r>
        <w:rPr>
          <w:spacing w:val="-4"/>
        </w:rPr>
        <w:t> </w:t>
      </w:r>
      <w:r>
        <w:rPr/>
        <w:t>groups</w:t>
      </w:r>
      <w:r>
        <w:rPr>
          <w:spacing w:val="-1"/>
        </w:rPr>
        <w:t> </w:t>
      </w:r>
      <w:r>
        <w:rPr/>
        <w:t>of</w:t>
      </w:r>
      <w:r>
        <w:rPr>
          <w:spacing w:val="-5"/>
        </w:rPr>
        <w:t> </w:t>
      </w:r>
      <w:r>
        <w:rPr/>
        <w:t>respondents</w:t>
      </w:r>
      <w:r>
        <w:rPr>
          <w:spacing w:val="-6"/>
        </w:rPr>
        <w:t> </w:t>
      </w:r>
      <w:r>
        <w:rPr/>
        <w:t>in</w:t>
      </w:r>
      <w:r>
        <w:rPr>
          <w:spacing w:val="-4"/>
        </w:rPr>
        <w:t> </w:t>
      </w:r>
      <w:r>
        <w:rPr/>
        <w:t>respect</w:t>
      </w:r>
      <w:r>
        <w:rPr>
          <w:spacing w:val="-1"/>
        </w:rPr>
        <w:t> </w:t>
      </w:r>
      <w:r>
        <w:rPr/>
        <w:t>of the impact of sports and recreation on the students’ welfare in these universities under study.</w:t>
      </w:r>
    </w:p>
    <w:p>
      <w:pPr>
        <w:pStyle w:val="BodyText"/>
        <w:spacing w:line="480" w:lineRule="auto"/>
        <w:ind w:left="840" w:right="555" w:firstLine="720"/>
        <w:jc w:val="both"/>
      </w:pPr>
      <w:r>
        <w:rPr/>
        <w:t>The consensus of opinions among the three groups of respondents could be attributed to the fact that as sports and recreation rank among the top most subjects in the school or university curriculum, management placed importance on the provision and management of varies types of games, sports and</w:t>
      </w:r>
      <w:r>
        <w:rPr>
          <w:spacing w:val="40"/>
        </w:rPr>
        <w:t> </w:t>
      </w:r>
      <w:r>
        <w:rPr/>
        <w:t>recreation activities in the system. Sports and recreation did not only play crucial role in physical development of students but also excited their minds for faster and</w:t>
      </w:r>
      <w:r>
        <w:rPr>
          <w:spacing w:val="3"/>
        </w:rPr>
        <w:t> </w:t>
      </w:r>
      <w:r>
        <w:rPr/>
        <w:t>effective learning.</w:t>
      </w:r>
      <w:r>
        <w:rPr>
          <w:spacing w:val="-2"/>
        </w:rPr>
        <w:t> </w:t>
      </w:r>
      <w:r>
        <w:rPr/>
        <w:t>This</w:t>
      </w:r>
      <w:r>
        <w:rPr>
          <w:spacing w:val="2"/>
        </w:rPr>
        <w:t> </w:t>
      </w:r>
      <w:r>
        <w:rPr/>
        <w:t>means</w:t>
      </w:r>
      <w:r>
        <w:rPr>
          <w:spacing w:val="2"/>
        </w:rPr>
        <w:t> </w:t>
      </w:r>
      <w:r>
        <w:rPr/>
        <w:t>that</w:t>
      </w:r>
      <w:r>
        <w:rPr>
          <w:spacing w:val="-2"/>
        </w:rPr>
        <w:t> </w:t>
      </w:r>
      <w:r>
        <w:rPr/>
        <w:t>sports</w:t>
      </w:r>
      <w:r>
        <w:rPr>
          <w:spacing w:val="-1"/>
        </w:rPr>
        <w:t> </w:t>
      </w:r>
      <w:r>
        <w:rPr/>
        <w:t>and</w:t>
      </w:r>
      <w:r>
        <w:rPr>
          <w:spacing w:val="-1"/>
        </w:rPr>
        <w:t> </w:t>
      </w:r>
      <w:r>
        <w:rPr/>
        <w:t>activities</w:t>
      </w:r>
      <w:r>
        <w:rPr>
          <w:spacing w:val="2"/>
        </w:rPr>
        <w:t> </w:t>
      </w:r>
      <w:r>
        <w:rPr/>
        <w:t>play</w:t>
      </w:r>
      <w:r>
        <w:rPr>
          <w:spacing w:val="2"/>
        </w:rPr>
        <w:t> </w:t>
      </w:r>
      <w:r>
        <w:rPr/>
        <w:t>very</w:t>
      </w:r>
      <w:r>
        <w:rPr>
          <w:spacing w:val="2"/>
        </w:rPr>
        <w:t> </w:t>
      </w:r>
      <w:r>
        <w:rPr/>
        <w:t>vital</w:t>
      </w:r>
      <w:r>
        <w:rPr>
          <w:spacing w:val="2"/>
        </w:rPr>
        <w:t> </w:t>
      </w:r>
      <w:r>
        <w:rPr/>
        <w:t>role</w:t>
      </w:r>
      <w:r>
        <w:rPr>
          <w:spacing w:val="-5"/>
        </w:rPr>
        <w:t> in</w:t>
      </w:r>
    </w:p>
    <w:p>
      <w:pPr>
        <w:spacing w:after="0" w:line="480" w:lineRule="auto"/>
        <w:jc w:val="both"/>
        <w:sectPr>
          <w:headerReference w:type="default" r:id="rId447"/>
          <w:footerReference w:type="default" r:id="rId448"/>
          <w:pgSz w:w="12240" w:h="15840"/>
          <w:pgMar w:header="722" w:footer="791" w:top="980" w:bottom="980" w:left="1320" w:right="880"/>
        </w:sectPr>
      </w:pPr>
    </w:p>
    <w:p>
      <w:pPr>
        <w:pStyle w:val="BodyText"/>
        <w:spacing w:before="171"/>
      </w:pPr>
    </w:p>
    <w:p>
      <w:pPr>
        <w:pStyle w:val="BodyText"/>
        <w:spacing w:line="480" w:lineRule="auto"/>
        <w:ind w:left="840" w:right="557"/>
        <w:jc w:val="both"/>
      </w:pPr>
      <w:r>
        <w:rPr/>
        <w:t>students’ academic performance in the university system under study. In view of the respondents’ consensus</w:t>
      </w:r>
      <w:r>
        <w:rPr>
          <w:spacing w:val="-3"/>
        </w:rPr>
        <w:t> </w:t>
      </w:r>
      <w:r>
        <w:rPr/>
        <w:t>of opinions</w:t>
      </w:r>
      <w:r>
        <w:rPr>
          <w:spacing w:val="-3"/>
        </w:rPr>
        <w:t> </w:t>
      </w:r>
      <w:r>
        <w:rPr/>
        <w:t>it becomes very necessary to encourage management to uphold the provision and management of sports and recreation</w:t>
      </w:r>
      <w:r>
        <w:rPr>
          <w:spacing w:val="40"/>
        </w:rPr>
        <w:t> </w:t>
      </w:r>
      <w:r>
        <w:rPr/>
        <w:t>in these universities.</w:t>
      </w:r>
    </w:p>
    <w:p>
      <w:pPr>
        <w:pStyle w:val="Heading4"/>
        <w:numPr>
          <w:ilvl w:val="2"/>
          <w:numId w:val="43"/>
        </w:numPr>
        <w:tabs>
          <w:tab w:pos="967" w:val="left" w:leader="none"/>
        </w:tabs>
        <w:spacing w:line="240" w:lineRule="auto" w:before="2" w:after="0"/>
        <w:ind w:left="967" w:right="0" w:hanging="847"/>
        <w:jc w:val="left"/>
      </w:pPr>
      <w:r>
        <w:rPr/>
        <w:t>Null</w:t>
      </w:r>
      <w:r>
        <w:rPr>
          <w:spacing w:val="-7"/>
        </w:rPr>
        <w:t> </w:t>
      </w:r>
      <w:r>
        <w:rPr/>
        <w:t>Hypothesis</w:t>
      </w:r>
      <w:r>
        <w:rPr>
          <w:spacing w:val="-5"/>
        </w:rPr>
        <w:t> 11</w:t>
      </w:r>
    </w:p>
    <w:p>
      <w:pPr>
        <w:pStyle w:val="BodyText"/>
        <w:spacing w:before="44"/>
        <w:rPr>
          <w:rFonts w:ascii="Arial"/>
          <w:b/>
        </w:rPr>
      </w:pPr>
    </w:p>
    <w:p>
      <w:pPr>
        <w:pStyle w:val="BodyText"/>
        <w:spacing w:line="480" w:lineRule="auto"/>
        <w:ind w:left="840" w:right="560" w:firstLine="720"/>
        <w:jc w:val="both"/>
      </w:pPr>
      <w:r>
        <w:rPr/>
        <w:t>There is no significant difference in the opinions of students, service staff and management staff in respect of the impact of security and communication service on students’ welfare in</w:t>
      </w:r>
      <w:r>
        <w:rPr>
          <w:spacing w:val="40"/>
        </w:rPr>
        <w:t> </w:t>
      </w:r>
      <w:r>
        <w:rPr/>
        <w:t>universities under study.</w:t>
      </w:r>
    </w:p>
    <w:p>
      <w:pPr>
        <w:pStyle w:val="BodyText"/>
        <w:spacing w:line="480" w:lineRule="auto"/>
        <w:ind w:left="840" w:right="553" w:firstLine="720"/>
        <w:jc w:val="both"/>
      </w:pPr>
      <w:r>
        <w:rPr/>
        <w:t>Data collected in respect of the respondents’ responses from items 54 to 58 in the questionnaire were used to analyze the extent of agreement in the opinions of the respondents in respect of the impact of the security and communication services on students’ welfare in these universities. To lest this hypothesis the responses of respondents were analyzed, using One Way Analysis of Variance statistical procedure. The differences of the respondents’ opinions were recorded and the results are presented in Table 4.5.17 below.</w:t>
      </w:r>
    </w:p>
    <w:p>
      <w:pPr>
        <w:pStyle w:val="Heading2"/>
        <w:ind w:left="2587" w:right="585" w:hanging="1748"/>
      </w:pPr>
      <w:r>
        <w:rPr/>
        <w:t>Table 4.5.17: Analysis of Variance (ANOVA) on the impact of security</w:t>
      </w:r>
      <w:r>
        <w:rPr>
          <w:spacing w:val="-14"/>
        </w:rPr>
        <w:t> </w:t>
      </w:r>
      <w:r>
        <w:rPr/>
        <w:t>and</w:t>
      </w:r>
      <w:r>
        <w:rPr>
          <w:spacing w:val="-6"/>
        </w:rPr>
        <w:t> </w:t>
      </w:r>
      <w:r>
        <w:rPr/>
        <w:t>communication</w:t>
      </w:r>
      <w:r>
        <w:rPr>
          <w:spacing w:val="-10"/>
        </w:rPr>
        <w:t> </w:t>
      </w:r>
      <w:r>
        <w:rPr/>
        <w:t>service</w:t>
      </w:r>
      <w:r>
        <w:rPr>
          <w:spacing w:val="-6"/>
        </w:rPr>
        <w:t> </w:t>
      </w:r>
      <w:r>
        <w:rPr/>
        <w:t>on</w:t>
      </w:r>
      <w:r>
        <w:rPr>
          <w:spacing w:val="-6"/>
        </w:rPr>
        <w:t> </w:t>
      </w:r>
      <w:r>
        <w:rPr/>
        <w:t>students’ welfare in the Universities</w:t>
      </w:r>
    </w:p>
    <w:p>
      <w:pPr>
        <w:pStyle w:val="BodyText"/>
        <w:spacing w:before="52"/>
        <w:rPr>
          <w:rFonts w:ascii="Arial"/>
          <w:b/>
          <w:sz w:val="20"/>
        </w:rPr>
      </w:pPr>
    </w:p>
    <w:tbl>
      <w:tblPr>
        <w:tblW w:w="0" w:type="auto"/>
        <w:jc w:val="left"/>
        <w:tblInd w:w="1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54"/>
        <w:gridCol w:w="909"/>
        <w:gridCol w:w="1400"/>
        <w:gridCol w:w="1212"/>
        <w:gridCol w:w="1212"/>
        <w:gridCol w:w="1671"/>
      </w:tblGrid>
      <w:tr>
        <w:trPr>
          <w:trHeight w:val="551" w:hRule="atLeast"/>
        </w:trPr>
        <w:tc>
          <w:tcPr>
            <w:tcW w:w="2054" w:type="dxa"/>
            <w:tcBorders>
              <w:top w:val="single" w:sz="4" w:space="0" w:color="000000"/>
              <w:left w:val="single" w:sz="4" w:space="0" w:color="000000"/>
              <w:bottom w:val="single" w:sz="4" w:space="0" w:color="000000"/>
            </w:tcBorders>
          </w:tcPr>
          <w:p>
            <w:pPr>
              <w:pStyle w:val="TableParagraph"/>
              <w:spacing w:line="265" w:lineRule="exact"/>
              <w:ind w:left="523"/>
              <w:rPr>
                <w:rFonts w:ascii="Arial"/>
                <w:b/>
                <w:sz w:val="24"/>
              </w:rPr>
            </w:pPr>
            <w:r>
              <w:rPr>
                <w:rFonts w:ascii="Arial"/>
                <w:b/>
                <w:sz w:val="24"/>
              </w:rPr>
              <w:t>Source</w:t>
            </w:r>
            <w:r>
              <w:rPr>
                <w:rFonts w:ascii="Arial"/>
                <w:b/>
                <w:spacing w:val="-12"/>
                <w:sz w:val="24"/>
              </w:rPr>
              <w:t> </w:t>
            </w:r>
            <w:r>
              <w:rPr>
                <w:rFonts w:ascii="Arial"/>
                <w:b/>
                <w:spacing w:val="-5"/>
                <w:sz w:val="24"/>
              </w:rPr>
              <w:t>of</w:t>
            </w:r>
          </w:p>
          <w:p>
            <w:pPr>
              <w:pStyle w:val="TableParagraph"/>
              <w:spacing w:line="266" w:lineRule="exact"/>
              <w:ind w:left="561"/>
              <w:rPr>
                <w:rFonts w:ascii="Arial"/>
                <w:b/>
                <w:sz w:val="24"/>
              </w:rPr>
            </w:pPr>
            <w:r>
              <w:rPr>
                <w:rFonts w:ascii="Arial"/>
                <w:b/>
                <w:spacing w:val="-2"/>
                <w:sz w:val="24"/>
              </w:rPr>
              <w:t>Variation</w:t>
            </w:r>
          </w:p>
        </w:tc>
        <w:tc>
          <w:tcPr>
            <w:tcW w:w="909" w:type="dxa"/>
            <w:tcBorders>
              <w:top w:val="single" w:sz="4" w:space="0" w:color="000000"/>
              <w:bottom w:val="single" w:sz="4" w:space="0" w:color="000000"/>
            </w:tcBorders>
          </w:tcPr>
          <w:p>
            <w:pPr>
              <w:pStyle w:val="TableParagraph"/>
              <w:spacing w:line="267" w:lineRule="exact"/>
              <w:ind w:left="394"/>
              <w:rPr>
                <w:rFonts w:ascii="Arial"/>
                <w:b/>
                <w:sz w:val="24"/>
              </w:rPr>
            </w:pPr>
            <w:r>
              <w:rPr>
                <w:rFonts w:ascii="Arial"/>
                <w:b/>
                <w:spacing w:val="-5"/>
                <w:sz w:val="24"/>
              </w:rPr>
              <w:t>DF</w:t>
            </w:r>
          </w:p>
        </w:tc>
        <w:tc>
          <w:tcPr>
            <w:tcW w:w="1400" w:type="dxa"/>
            <w:tcBorders>
              <w:top w:val="single" w:sz="4" w:space="0" w:color="000000"/>
              <w:bottom w:val="single" w:sz="4" w:space="0" w:color="000000"/>
            </w:tcBorders>
          </w:tcPr>
          <w:p>
            <w:pPr>
              <w:pStyle w:val="TableParagraph"/>
              <w:spacing w:line="265" w:lineRule="exact"/>
              <w:ind w:left="368"/>
              <w:rPr>
                <w:rFonts w:ascii="Arial"/>
                <w:b/>
                <w:sz w:val="24"/>
              </w:rPr>
            </w:pPr>
            <w:r>
              <w:rPr>
                <w:rFonts w:ascii="Arial"/>
                <w:b/>
                <w:sz w:val="24"/>
              </w:rPr>
              <w:t>Sum</w:t>
            </w:r>
            <w:r>
              <w:rPr>
                <w:rFonts w:ascii="Arial"/>
                <w:b/>
                <w:spacing w:val="-13"/>
                <w:sz w:val="24"/>
              </w:rPr>
              <w:t> </w:t>
            </w:r>
            <w:r>
              <w:rPr>
                <w:rFonts w:ascii="Arial"/>
                <w:b/>
                <w:spacing w:val="-5"/>
                <w:sz w:val="24"/>
              </w:rPr>
              <w:t>of</w:t>
            </w:r>
          </w:p>
          <w:p>
            <w:pPr>
              <w:pStyle w:val="TableParagraph"/>
              <w:spacing w:line="266" w:lineRule="exact"/>
              <w:ind w:left="301"/>
              <w:rPr>
                <w:rFonts w:ascii="Arial"/>
                <w:b/>
                <w:sz w:val="24"/>
              </w:rPr>
            </w:pPr>
            <w:r>
              <w:rPr>
                <w:rFonts w:ascii="Arial"/>
                <w:b/>
                <w:spacing w:val="-2"/>
                <w:sz w:val="24"/>
              </w:rPr>
              <w:t>Squares</w:t>
            </w:r>
          </w:p>
        </w:tc>
        <w:tc>
          <w:tcPr>
            <w:tcW w:w="1212" w:type="dxa"/>
            <w:tcBorders>
              <w:top w:val="single" w:sz="4" w:space="0" w:color="000000"/>
              <w:bottom w:val="single" w:sz="4" w:space="0" w:color="000000"/>
            </w:tcBorders>
          </w:tcPr>
          <w:p>
            <w:pPr>
              <w:pStyle w:val="TableParagraph"/>
              <w:spacing w:line="265" w:lineRule="exact"/>
              <w:ind w:left="62"/>
              <w:jc w:val="center"/>
              <w:rPr>
                <w:rFonts w:ascii="Arial"/>
                <w:b/>
                <w:sz w:val="24"/>
              </w:rPr>
            </w:pPr>
            <w:r>
              <w:rPr>
                <w:rFonts w:ascii="Arial"/>
                <w:b/>
                <w:spacing w:val="-4"/>
                <w:sz w:val="24"/>
              </w:rPr>
              <w:t>Mean</w:t>
            </w:r>
          </w:p>
          <w:p>
            <w:pPr>
              <w:pStyle w:val="TableParagraph"/>
              <w:spacing w:line="266" w:lineRule="exact"/>
              <w:ind w:left="62" w:right="3"/>
              <w:jc w:val="center"/>
              <w:rPr>
                <w:rFonts w:ascii="Arial"/>
                <w:b/>
                <w:sz w:val="24"/>
              </w:rPr>
            </w:pPr>
            <w:r>
              <w:rPr>
                <w:rFonts w:ascii="Arial"/>
                <w:b/>
                <w:spacing w:val="-2"/>
                <w:sz w:val="24"/>
              </w:rPr>
              <w:t>Squares</w:t>
            </w:r>
          </w:p>
        </w:tc>
        <w:tc>
          <w:tcPr>
            <w:tcW w:w="1212" w:type="dxa"/>
            <w:tcBorders>
              <w:top w:val="single" w:sz="4" w:space="0" w:color="000000"/>
              <w:bottom w:val="single" w:sz="4" w:space="0" w:color="000000"/>
            </w:tcBorders>
          </w:tcPr>
          <w:p>
            <w:pPr>
              <w:pStyle w:val="TableParagraph"/>
              <w:spacing w:line="267" w:lineRule="exact"/>
              <w:ind w:left="204"/>
              <w:rPr>
                <w:rFonts w:ascii="Arial"/>
                <w:b/>
                <w:sz w:val="24"/>
              </w:rPr>
            </w:pPr>
            <w:r>
              <w:rPr>
                <w:rFonts w:ascii="Arial"/>
                <w:b/>
                <w:sz w:val="24"/>
              </w:rPr>
              <w:t>F </w:t>
            </w:r>
            <w:r>
              <w:rPr>
                <w:rFonts w:ascii="Arial"/>
                <w:b/>
                <w:spacing w:val="-2"/>
                <w:sz w:val="24"/>
              </w:rPr>
              <w:t>Value</w:t>
            </w:r>
          </w:p>
        </w:tc>
        <w:tc>
          <w:tcPr>
            <w:tcW w:w="1671" w:type="dxa"/>
            <w:tcBorders>
              <w:top w:val="single" w:sz="4" w:space="0" w:color="000000"/>
              <w:bottom w:val="single" w:sz="4" w:space="0" w:color="000000"/>
              <w:right w:val="single" w:sz="4" w:space="0" w:color="000000"/>
            </w:tcBorders>
          </w:tcPr>
          <w:p>
            <w:pPr>
              <w:pStyle w:val="TableParagraph"/>
              <w:spacing w:line="265" w:lineRule="exact"/>
              <w:ind w:left="70" w:right="12"/>
              <w:jc w:val="center"/>
              <w:rPr>
                <w:rFonts w:ascii="Arial"/>
                <w:b/>
                <w:sz w:val="24"/>
              </w:rPr>
            </w:pPr>
            <w:r>
              <w:rPr>
                <w:rFonts w:ascii="Arial"/>
                <w:b/>
                <w:spacing w:val="-10"/>
                <w:sz w:val="24"/>
              </w:rPr>
              <w:t>P</w:t>
            </w:r>
          </w:p>
          <w:p>
            <w:pPr>
              <w:pStyle w:val="TableParagraph"/>
              <w:spacing w:line="266" w:lineRule="exact"/>
              <w:ind w:left="70"/>
              <w:jc w:val="center"/>
              <w:rPr>
                <w:rFonts w:ascii="Arial"/>
                <w:b/>
                <w:sz w:val="24"/>
              </w:rPr>
            </w:pPr>
            <w:r>
              <w:rPr>
                <w:rFonts w:ascii="Arial"/>
                <w:b/>
                <w:spacing w:val="-2"/>
                <w:sz w:val="24"/>
              </w:rPr>
              <w:t>Probability</w:t>
            </w:r>
          </w:p>
        </w:tc>
      </w:tr>
      <w:tr>
        <w:trPr>
          <w:trHeight w:val="343" w:hRule="atLeast"/>
        </w:trPr>
        <w:tc>
          <w:tcPr>
            <w:tcW w:w="2054" w:type="dxa"/>
            <w:tcBorders>
              <w:top w:val="single" w:sz="4" w:space="0" w:color="000000"/>
              <w:left w:val="single" w:sz="4" w:space="0" w:color="000000"/>
            </w:tcBorders>
          </w:tcPr>
          <w:p>
            <w:pPr>
              <w:pStyle w:val="TableParagraph"/>
              <w:spacing w:line="271" w:lineRule="exact"/>
              <w:ind w:left="105"/>
              <w:rPr>
                <w:sz w:val="24"/>
              </w:rPr>
            </w:pPr>
            <w:r>
              <w:rPr>
                <w:sz w:val="24"/>
              </w:rPr>
              <w:t>Between</w:t>
            </w:r>
            <w:r>
              <w:rPr>
                <w:spacing w:val="-13"/>
                <w:sz w:val="24"/>
              </w:rPr>
              <w:t> </w:t>
            </w:r>
            <w:r>
              <w:rPr>
                <w:spacing w:val="-2"/>
                <w:sz w:val="24"/>
              </w:rPr>
              <w:t>groups</w:t>
            </w:r>
          </w:p>
        </w:tc>
        <w:tc>
          <w:tcPr>
            <w:tcW w:w="909" w:type="dxa"/>
            <w:tcBorders>
              <w:top w:val="single" w:sz="4" w:space="0" w:color="000000"/>
            </w:tcBorders>
          </w:tcPr>
          <w:p>
            <w:pPr>
              <w:pStyle w:val="TableParagraph"/>
              <w:spacing w:line="271" w:lineRule="exact"/>
              <w:ind w:left="216"/>
              <w:rPr>
                <w:sz w:val="24"/>
              </w:rPr>
            </w:pPr>
            <w:r>
              <w:rPr>
                <w:spacing w:val="-10"/>
                <w:sz w:val="24"/>
              </w:rPr>
              <w:t>2</w:t>
            </w:r>
          </w:p>
        </w:tc>
        <w:tc>
          <w:tcPr>
            <w:tcW w:w="1400" w:type="dxa"/>
            <w:tcBorders>
              <w:top w:val="single" w:sz="4" w:space="0" w:color="000000"/>
            </w:tcBorders>
          </w:tcPr>
          <w:p>
            <w:pPr>
              <w:pStyle w:val="TableParagraph"/>
              <w:spacing w:line="271" w:lineRule="exact"/>
              <w:ind w:left="205"/>
              <w:rPr>
                <w:sz w:val="24"/>
              </w:rPr>
            </w:pPr>
            <w:r>
              <w:rPr>
                <w:spacing w:val="-2"/>
                <w:sz w:val="24"/>
              </w:rPr>
              <w:t>5.3512</w:t>
            </w:r>
          </w:p>
        </w:tc>
        <w:tc>
          <w:tcPr>
            <w:tcW w:w="1212" w:type="dxa"/>
            <w:tcBorders>
              <w:top w:val="single" w:sz="4" w:space="0" w:color="000000"/>
            </w:tcBorders>
          </w:tcPr>
          <w:p>
            <w:pPr>
              <w:pStyle w:val="TableParagraph"/>
              <w:spacing w:line="271" w:lineRule="exact"/>
              <w:ind w:left="163"/>
              <w:rPr>
                <w:sz w:val="24"/>
              </w:rPr>
            </w:pPr>
            <w:r>
              <w:rPr>
                <w:spacing w:val="-2"/>
                <w:sz w:val="24"/>
              </w:rPr>
              <w:t>2.6756</w:t>
            </w:r>
          </w:p>
        </w:tc>
        <w:tc>
          <w:tcPr>
            <w:tcW w:w="1212" w:type="dxa"/>
            <w:tcBorders>
              <w:top w:val="single" w:sz="4" w:space="0" w:color="000000"/>
            </w:tcBorders>
          </w:tcPr>
          <w:p>
            <w:pPr>
              <w:pStyle w:val="TableParagraph"/>
              <w:spacing w:line="271" w:lineRule="exact"/>
              <w:ind w:left="112"/>
              <w:rPr>
                <w:sz w:val="24"/>
              </w:rPr>
            </w:pPr>
            <w:r>
              <w:rPr>
                <w:spacing w:val="-2"/>
                <w:sz w:val="24"/>
              </w:rPr>
              <w:t>3.3639</w:t>
            </w:r>
          </w:p>
        </w:tc>
        <w:tc>
          <w:tcPr>
            <w:tcW w:w="1671" w:type="dxa"/>
            <w:tcBorders>
              <w:top w:val="single" w:sz="4" w:space="0" w:color="000000"/>
              <w:right w:val="single" w:sz="4" w:space="0" w:color="000000"/>
            </w:tcBorders>
          </w:tcPr>
          <w:p>
            <w:pPr>
              <w:pStyle w:val="TableParagraph"/>
              <w:spacing w:line="271" w:lineRule="exact"/>
              <w:ind w:left="163"/>
              <w:rPr>
                <w:sz w:val="24"/>
              </w:rPr>
            </w:pPr>
            <w:r>
              <w:rPr>
                <w:spacing w:val="-2"/>
                <w:sz w:val="24"/>
              </w:rPr>
              <w:t>0.0355</w:t>
            </w:r>
          </w:p>
        </w:tc>
      </w:tr>
      <w:tr>
        <w:trPr>
          <w:trHeight w:val="481" w:hRule="atLeast"/>
        </w:trPr>
        <w:tc>
          <w:tcPr>
            <w:tcW w:w="2054" w:type="dxa"/>
            <w:tcBorders>
              <w:left w:val="single" w:sz="4" w:space="0" w:color="000000"/>
              <w:bottom w:val="single" w:sz="4" w:space="0" w:color="000000"/>
            </w:tcBorders>
          </w:tcPr>
          <w:p>
            <w:pPr>
              <w:pStyle w:val="TableParagraph"/>
              <w:spacing w:before="64"/>
              <w:ind w:left="105"/>
              <w:rPr>
                <w:sz w:val="24"/>
              </w:rPr>
            </w:pPr>
            <w:r>
              <w:rPr>
                <w:sz w:val="24"/>
              </w:rPr>
              <w:t>Within</w:t>
            </w:r>
            <w:r>
              <w:rPr>
                <w:spacing w:val="-3"/>
                <w:sz w:val="24"/>
              </w:rPr>
              <w:t> </w:t>
            </w:r>
            <w:r>
              <w:rPr>
                <w:spacing w:val="-2"/>
                <w:sz w:val="24"/>
              </w:rPr>
              <w:t>groups</w:t>
            </w:r>
          </w:p>
        </w:tc>
        <w:tc>
          <w:tcPr>
            <w:tcW w:w="909" w:type="dxa"/>
            <w:tcBorders>
              <w:bottom w:val="single" w:sz="4" w:space="0" w:color="000000"/>
            </w:tcBorders>
          </w:tcPr>
          <w:p>
            <w:pPr>
              <w:pStyle w:val="TableParagraph"/>
              <w:spacing w:before="64"/>
              <w:ind w:left="216"/>
              <w:rPr>
                <w:sz w:val="24"/>
              </w:rPr>
            </w:pPr>
            <w:r>
              <w:rPr>
                <w:spacing w:val="-5"/>
                <w:sz w:val="24"/>
              </w:rPr>
              <w:t>458</w:t>
            </w:r>
          </w:p>
        </w:tc>
        <w:tc>
          <w:tcPr>
            <w:tcW w:w="1400" w:type="dxa"/>
            <w:tcBorders>
              <w:bottom w:val="single" w:sz="4" w:space="0" w:color="000000"/>
            </w:tcBorders>
          </w:tcPr>
          <w:p>
            <w:pPr>
              <w:pStyle w:val="TableParagraph"/>
              <w:spacing w:before="64"/>
              <w:ind w:left="205"/>
              <w:rPr>
                <w:sz w:val="24"/>
              </w:rPr>
            </w:pPr>
            <w:r>
              <w:rPr>
                <w:spacing w:val="-2"/>
                <w:sz w:val="24"/>
              </w:rPr>
              <w:t>364.2842</w:t>
            </w:r>
          </w:p>
        </w:tc>
        <w:tc>
          <w:tcPr>
            <w:tcW w:w="1212" w:type="dxa"/>
            <w:tcBorders>
              <w:bottom w:val="single" w:sz="4" w:space="0" w:color="000000"/>
            </w:tcBorders>
          </w:tcPr>
          <w:p>
            <w:pPr>
              <w:pStyle w:val="TableParagraph"/>
              <w:spacing w:before="64"/>
              <w:ind w:left="163"/>
              <w:rPr>
                <w:sz w:val="24"/>
              </w:rPr>
            </w:pPr>
            <w:r>
              <w:rPr>
                <w:spacing w:val="-2"/>
                <w:sz w:val="24"/>
              </w:rPr>
              <w:t>0.7954</w:t>
            </w:r>
          </w:p>
        </w:tc>
        <w:tc>
          <w:tcPr>
            <w:tcW w:w="1212" w:type="dxa"/>
            <w:tcBorders>
              <w:bottom w:val="single" w:sz="4" w:space="0" w:color="000000"/>
            </w:tcBorders>
          </w:tcPr>
          <w:p>
            <w:pPr>
              <w:pStyle w:val="TableParagraph"/>
              <w:rPr>
                <w:rFonts w:ascii="Times New Roman"/>
                <w:sz w:val="24"/>
              </w:rPr>
            </w:pPr>
          </w:p>
        </w:tc>
        <w:tc>
          <w:tcPr>
            <w:tcW w:w="1671" w:type="dxa"/>
            <w:tcBorders>
              <w:bottom w:val="single" w:sz="4" w:space="0" w:color="000000"/>
              <w:right w:val="single" w:sz="4" w:space="0" w:color="000000"/>
            </w:tcBorders>
          </w:tcPr>
          <w:p>
            <w:pPr>
              <w:pStyle w:val="TableParagraph"/>
              <w:rPr>
                <w:rFonts w:ascii="Times New Roman"/>
                <w:sz w:val="24"/>
              </w:rPr>
            </w:pPr>
          </w:p>
        </w:tc>
      </w:tr>
      <w:tr>
        <w:trPr>
          <w:trHeight w:val="277" w:hRule="atLeast"/>
        </w:trPr>
        <w:tc>
          <w:tcPr>
            <w:tcW w:w="2054"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909" w:type="dxa"/>
            <w:tcBorders>
              <w:top w:val="single" w:sz="4" w:space="0" w:color="000000"/>
              <w:bottom w:val="single" w:sz="4" w:space="0" w:color="000000"/>
            </w:tcBorders>
          </w:tcPr>
          <w:p>
            <w:pPr>
              <w:pStyle w:val="TableParagraph"/>
              <w:spacing w:line="258" w:lineRule="exact"/>
              <w:ind w:left="216"/>
              <w:rPr>
                <w:sz w:val="24"/>
              </w:rPr>
            </w:pPr>
            <w:r>
              <w:rPr>
                <w:spacing w:val="-5"/>
                <w:sz w:val="24"/>
              </w:rPr>
              <w:t>460</w:t>
            </w:r>
          </w:p>
        </w:tc>
        <w:tc>
          <w:tcPr>
            <w:tcW w:w="1400" w:type="dxa"/>
            <w:tcBorders>
              <w:top w:val="single" w:sz="4" w:space="0" w:color="000000"/>
              <w:bottom w:val="single" w:sz="4" w:space="0" w:color="000000"/>
            </w:tcBorders>
          </w:tcPr>
          <w:p>
            <w:pPr>
              <w:pStyle w:val="TableParagraph"/>
              <w:spacing w:line="258" w:lineRule="exact"/>
              <w:ind w:left="205"/>
              <w:rPr>
                <w:sz w:val="24"/>
              </w:rPr>
            </w:pPr>
            <w:r>
              <w:rPr>
                <w:spacing w:val="-2"/>
                <w:sz w:val="24"/>
              </w:rPr>
              <w:t>369.6354</w:t>
            </w:r>
          </w:p>
        </w:tc>
        <w:tc>
          <w:tcPr>
            <w:tcW w:w="1212" w:type="dxa"/>
            <w:tcBorders>
              <w:top w:val="single" w:sz="4" w:space="0" w:color="000000"/>
              <w:bottom w:val="single" w:sz="4" w:space="0" w:color="000000"/>
            </w:tcBorders>
          </w:tcPr>
          <w:p>
            <w:pPr>
              <w:pStyle w:val="TableParagraph"/>
              <w:rPr>
                <w:rFonts w:ascii="Times New Roman"/>
                <w:sz w:val="20"/>
              </w:rPr>
            </w:pPr>
          </w:p>
        </w:tc>
        <w:tc>
          <w:tcPr>
            <w:tcW w:w="1212" w:type="dxa"/>
            <w:tcBorders>
              <w:top w:val="single" w:sz="4" w:space="0" w:color="000000"/>
              <w:bottom w:val="single" w:sz="4" w:space="0" w:color="000000"/>
            </w:tcBorders>
          </w:tcPr>
          <w:p>
            <w:pPr>
              <w:pStyle w:val="TableParagraph"/>
              <w:rPr>
                <w:rFonts w:ascii="Times New Roman"/>
                <w:sz w:val="20"/>
              </w:rPr>
            </w:pPr>
          </w:p>
        </w:tc>
        <w:tc>
          <w:tcPr>
            <w:tcW w:w="1671" w:type="dxa"/>
            <w:tcBorders>
              <w:top w:val="single" w:sz="4" w:space="0" w:color="000000"/>
              <w:bottom w:val="single" w:sz="4" w:space="0" w:color="000000"/>
              <w:right w:val="single" w:sz="4" w:space="0" w:color="000000"/>
            </w:tcBorders>
          </w:tcPr>
          <w:p>
            <w:pPr>
              <w:pStyle w:val="TableParagraph"/>
              <w:rPr>
                <w:rFonts w:ascii="Times New Roman"/>
                <w:sz w:val="20"/>
              </w:rPr>
            </w:pPr>
          </w:p>
        </w:tc>
      </w:tr>
    </w:tbl>
    <w:p>
      <w:pPr>
        <w:pStyle w:val="BodyText"/>
        <w:ind w:left="1560"/>
      </w:pPr>
      <w:r>
        <w:rPr/>
        <w:t>F</w:t>
      </w:r>
      <w:r>
        <w:rPr>
          <w:spacing w:val="-3"/>
        </w:rPr>
        <w:t> </w:t>
      </w:r>
      <w:r>
        <w:rPr/>
        <w:t>Probability</w:t>
      </w:r>
      <w:r>
        <w:rPr>
          <w:spacing w:val="-5"/>
        </w:rPr>
        <w:t> </w:t>
      </w:r>
      <w:r>
        <w:rPr/>
        <w:t>&lt;</w:t>
      </w:r>
      <w:r>
        <w:rPr>
          <w:spacing w:val="-6"/>
        </w:rPr>
        <w:t> </w:t>
      </w:r>
      <w:r>
        <w:rPr/>
        <w:t>0.05</w:t>
      </w:r>
      <w:r>
        <w:rPr>
          <w:spacing w:val="-4"/>
        </w:rPr>
        <w:t> </w:t>
      </w:r>
      <w:r>
        <w:rPr/>
        <w:t>=&gt;</w:t>
      </w:r>
      <w:r>
        <w:rPr>
          <w:spacing w:val="-6"/>
        </w:rPr>
        <w:t> </w:t>
      </w:r>
      <w:r>
        <w:rPr/>
        <w:t>HO</w:t>
      </w:r>
      <w:r>
        <w:rPr>
          <w:spacing w:val="-4"/>
        </w:rPr>
        <w:t> </w:t>
      </w:r>
      <w:r>
        <w:rPr>
          <w:spacing w:val="-5"/>
        </w:rPr>
        <w:t>Rjt</w:t>
      </w:r>
    </w:p>
    <w:p>
      <w:pPr>
        <w:pStyle w:val="BodyText"/>
        <w:spacing w:line="480" w:lineRule="auto" w:before="274"/>
        <w:ind w:left="840" w:right="556" w:firstLine="720"/>
        <w:jc w:val="both"/>
      </w:pPr>
      <w:r>
        <w:rPr/>
        <w:t>In Table 4.5.17 above, it could be observed that the computed F. probability</w:t>
      </w:r>
      <w:r>
        <w:rPr>
          <w:spacing w:val="10"/>
        </w:rPr>
        <w:t> </w:t>
      </w:r>
      <w:r>
        <w:rPr/>
        <w:t>was</w:t>
      </w:r>
      <w:r>
        <w:rPr>
          <w:spacing w:val="10"/>
        </w:rPr>
        <w:t> </w:t>
      </w:r>
      <w:r>
        <w:rPr/>
        <w:t>0.0355.</w:t>
      </w:r>
      <w:r>
        <w:rPr>
          <w:spacing w:val="11"/>
        </w:rPr>
        <w:t> </w:t>
      </w:r>
      <w:r>
        <w:rPr/>
        <w:t>This</w:t>
      </w:r>
      <w:r>
        <w:rPr>
          <w:spacing w:val="10"/>
        </w:rPr>
        <w:t> </w:t>
      </w:r>
      <w:r>
        <w:rPr/>
        <w:t>was</w:t>
      </w:r>
      <w:r>
        <w:rPr>
          <w:spacing w:val="10"/>
        </w:rPr>
        <w:t> </w:t>
      </w:r>
      <w:r>
        <w:rPr/>
        <w:t>below</w:t>
      </w:r>
      <w:r>
        <w:rPr>
          <w:spacing w:val="5"/>
        </w:rPr>
        <w:t> </w:t>
      </w:r>
      <w:r>
        <w:rPr/>
        <w:t>the</w:t>
      </w:r>
      <w:r>
        <w:rPr>
          <w:spacing w:val="14"/>
        </w:rPr>
        <w:t> </w:t>
      </w:r>
      <w:r>
        <w:rPr/>
        <w:t>accepted</w:t>
      </w:r>
      <w:r>
        <w:rPr>
          <w:spacing w:val="11"/>
        </w:rPr>
        <w:t> </w:t>
      </w:r>
      <w:r>
        <w:rPr/>
        <w:t>P-value</w:t>
      </w:r>
      <w:r>
        <w:rPr>
          <w:spacing w:val="12"/>
        </w:rPr>
        <w:t> </w:t>
      </w:r>
      <w:r>
        <w:rPr/>
        <w:t>of</w:t>
      </w:r>
      <w:r>
        <w:rPr>
          <w:spacing w:val="10"/>
        </w:rPr>
        <w:t> </w:t>
      </w:r>
      <w:r>
        <w:rPr/>
        <w:t>0.05</w:t>
      </w:r>
      <w:r>
        <w:rPr>
          <w:spacing w:val="11"/>
        </w:rPr>
        <w:t> </w:t>
      </w:r>
      <w:r>
        <w:rPr/>
        <w:t>set</w:t>
      </w:r>
      <w:r>
        <w:rPr>
          <w:spacing w:val="11"/>
        </w:rPr>
        <w:t> </w:t>
      </w:r>
      <w:r>
        <w:rPr/>
        <w:t>for</w:t>
      </w:r>
      <w:r>
        <w:rPr>
          <w:spacing w:val="12"/>
        </w:rPr>
        <w:t> </w:t>
      </w:r>
      <w:r>
        <w:rPr>
          <w:spacing w:val="-5"/>
        </w:rPr>
        <w:t>the</w:t>
      </w:r>
    </w:p>
    <w:p>
      <w:pPr>
        <w:spacing w:after="0" w:line="480" w:lineRule="auto"/>
        <w:jc w:val="both"/>
        <w:sectPr>
          <w:headerReference w:type="default" r:id="rId449"/>
          <w:footerReference w:type="default" r:id="rId450"/>
          <w:pgSz w:w="12240" w:h="15840"/>
          <w:pgMar w:header="722" w:footer="791" w:top="980" w:bottom="980" w:left="1320" w:right="880"/>
        </w:sectPr>
      </w:pPr>
    </w:p>
    <w:p>
      <w:pPr>
        <w:pStyle w:val="BodyText"/>
        <w:spacing w:before="171"/>
      </w:pPr>
    </w:p>
    <w:p>
      <w:pPr>
        <w:pStyle w:val="BodyText"/>
        <w:spacing w:line="480" w:lineRule="auto"/>
        <w:ind w:left="840" w:right="558"/>
        <w:jc w:val="both"/>
      </w:pPr>
      <w:r>
        <w:rPr/>
        <w:t>study. Therefore, the HO was rejected.</w:t>
      </w:r>
      <w:r>
        <w:rPr>
          <w:spacing w:val="80"/>
        </w:rPr>
        <w:t> </w:t>
      </w:r>
      <w:r>
        <w:rPr/>
        <w:t>This means that there were differences at significant level in the opinion of the three groups of respondents in respect of the</w:t>
      </w:r>
      <w:r>
        <w:rPr>
          <w:spacing w:val="-1"/>
        </w:rPr>
        <w:t> </w:t>
      </w:r>
      <w:r>
        <w:rPr/>
        <w:t>impact</w:t>
      </w:r>
      <w:r>
        <w:rPr>
          <w:spacing w:val="-2"/>
        </w:rPr>
        <w:t> </w:t>
      </w:r>
      <w:r>
        <w:rPr/>
        <w:t>of</w:t>
      </w:r>
      <w:r>
        <w:rPr>
          <w:spacing w:val="-2"/>
        </w:rPr>
        <w:t> </w:t>
      </w:r>
      <w:r>
        <w:rPr/>
        <w:t>the</w:t>
      </w:r>
      <w:r>
        <w:rPr>
          <w:spacing w:val="-1"/>
        </w:rPr>
        <w:t> </w:t>
      </w:r>
      <w:r>
        <w:rPr/>
        <w:t>security</w:t>
      </w:r>
      <w:r>
        <w:rPr>
          <w:spacing w:val="-2"/>
        </w:rPr>
        <w:t> </w:t>
      </w:r>
      <w:r>
        <w:rPr/>
        <w:t>and</w:t>
      </w:r>
      <w:r>
        <w:rPr>
          <w:spacing w:val="-1"/>
        </w:rPr>
        <w:t> </w:t>
      </w:r>
      <w:r>
        <w:rPr/>
        <w:t>communication</w:t>
      </w:r>
      <w:r>
        <w:rPr>
          <w:spacing w:val="-1"/>
        </w:rPr>
        <w:t> </w:t>
      </w:r>
      <w:r>
        <w:rPr/>
        <w:t>services</w:t>
      </w:r>
      <w:r>
        <w:rPr>
          <w:spacing w:val="-2"/>
        </w:rPr>
        <w:t> </w:t>
      </w:r>
      <w:r>
        <w:rPr/>
        <w:t>on</w:t>
      </w:r>
      <w:r>
        <w:rPr>
          <w:spacing w:val="-1"/>
        </w:rPr>
        <w:t> </w:t>
      </w:r>
      <w:r>
        <w:rPr/>
        <w:t>students’</w:t>
      </w:r>
      <w:r>
        <w:rPr>
          <w:spacing w:val="-2"/>
        </w:rPr>
        <w:t> </w:t>
      </w:r>
      <w:r>
        <w:rPr/>
        <w:t>welfare</w:t>
      </w:r>
      <w:r>
        <w:rPr>
          <w:spacing w:val="-5"/>
        </w:rPr>
        <w:t> </w:t>
      </w:r>
      <w:r>
        <w:rPr/>
        <w:t>in</w:t>
      </w:r>
      <w:r>
        <w:rPr>
          <w:spacing w:val="-1"/>
        </w:rPr>
        <w:t> </w:t>
      </w:r>
      <w:r>
        <w:rPr/>
        <w:t>the </w:t>
      </w:r>
      <w:r>
        <w:rPr>
          <w:spacing w:val="-2"/>
        </w:rPr>
        <w:t>universities.</w:t>
      </w:r>
    </w:p>
    <w:p>
      <w:pPr>
        <w:pStyle w:val="BodyText"/>
        <w:spacing w:line="480" w:lineRule="auto" w:before="1"/>
        <w:ind w:left="840" w:right="558" w:firstLine="720"/>
        <w:jc w:val="both"/>
      </w:pPr>
      <w:r>
        <w:rPr/>
        <w:t>To</w:t>
      </w:r>
      <w:r>
        <w:rPr>
          <w:spacing w:val="-1"/>
        </w:rPr>
        <w:t> </w:t>
      </w:r>
      <w:r>
        <w:rPr/>
        <w:t>find</w:t>
      </w:r>
      <w:r>
        <w:rPr>
          <w:spacing w:val="-1"/>
        </w:rPr>
        <w:t> </w:t>
      </w:r>
      <w:r>
        <w:rPr/>
        <w:t>out</w:t>
      </w:r>
      <w:r>
        <w:rPr>
          <w:spacing w:val="-2"/>
        </w:rPr>
        <w:t> </w:t>
      </w:r>
      <w:r>
        <w:rPr/>
        <w:t>the</w:t>
      </w:r>
      <w:r>
        <w:rPr>
          <w:spacing w:val="-1"/>
        </w:rPr>
        <w:t> </w:t>
      </w:r>
      <w:r>
        <w:rPr/>
        <w:t>extent</w:t>
      </w:r>
      <w:r>
        <w:rPr>
          <w:spacing w:val="-2"/>
        </w:rPr>
        <w:t> </w:t>
      </w:r>
      <w:r>
        <w:rPr/>
        <w:t>of</w:t>
      </w:r>
      <w:r>
        <w:rPr>
          <w:spacing w:val="-2"/>
        </w:rPr>
        <w:t> </w:t>
      </w:r>
      <w:r>
        <w:rPr/>
        <w:t>differences</w:t>
      </w:r>
      <w:r>
        <w:rPr>
          <w:spacing w:val="-2"/>
        </w:rPr>
        <w:t> </w:t>
      </w:r>
      <w:r>
        <w:rPr/>
        <w:t>in</w:t>
      </w:r>
      <w:r>
        <w:rPr>
          <w:spacing w:val="-1"/>
        </w:rPr>
        <w:t> </w:t>
      </w:r>
      <w:r>
        <w:rPr/>
        <w:t>agreement or otherwise</w:t>
      </w:r>
      <w:r>
        <w:rPr>
          <w:spacing w:val="-1"/>
        </w:rPr>
        <w:t> </w:t>
      </w:r>
      <w:r>
        <w:rPr/>
        <w:t>of</w:t>
      </w:r>
      <w:r>
        <w:rPr>
          <w:spacing w:val="-2"/>
        </w:rPr>
        <w:t> </w:t>
      </w:r>
      <w:r>
        <w:rPr/>
        <w:t>the</w:t>
      </w:r>
      <w:r>
        <w:rPr>
          <w:spacing w:val="-1"/>
        </w:rPr>
        <w:t> </w:t>
      </w:r>
      <w:r>
        <w:rPr/>
        <w:t>three groups of respondents, scheffe’s Multiple Comparison Test was applied and the results are shown in Table 4.5.18.</w:t>
      </w:r>
    </w:p>
    <w:p>
      <w:pPr>
        <w:pStyle w:val="Heading2"/>
        <w:ind w:left="2568" w:right="561" w:hanging="1728"/>
        <w:jc w:val="both"/>
      </w:pPr>
      <w:r>
        <w:rPr/>
        <w:t>Table</w:t>
      </w:r>
      <w:r>
        <w:rPr>
          <w:spacing w:val="-18"/>
        </w:rPr>
        <w:t> </w:t>
      </w:r>
      <w:r>
        <w:rPr/>
        <w:t>4.5.18:</w:t>
      </w:r>
      <w:r>
        <w:rPr>
          <w:spacing w:val="-19"/>
        </w:rPr>
        <w:t> </w:t>
      </w:r>
      <w:r>
        <w:rPr/>
        <w:t>Scheffe’s</w:t>
      </w:r>
      <w:r>
        <w:rPr>
          <w:spacing w:val="-5"/>
        </w:rPr>
        <w:t> </w:t>
      </w:r>
      <w:r>
        <w:rPr/>
        <w:t>Multiple</w:t>
      </w:r>
      <w:r>
        <w:rPr>
          <w:spacing w:val="-6"/>
        </w:rPr>
        <w:t> </w:t>
      </w:r>
      <w:r>
        <w:rPr/>
        <w:t>Comparison</w:t>
      </w:r>
      <w:r>
        <w:rPr>
          <w:spacing w:val="-6"/>
        </w:rPr>
        <w:t> </w:t>
      </w:r>
      <w:r>
        <w:rPr/>
        <w:t>Test</w:t>
      </w:r>
      <w:r>
        <w:rPr>
          <w:spacing w:val="-6"/>
        </w:rPr>
        <w:t> </w:t>
      </w:r>
      <w:r>
        <w:rPr/>
        <w:t>on</w:t>
      </w:r>
      <w:r>
        <w:rPr>
          <w:spacing w:val="-6"/>
        </w:rPr>
        <w:t> </w:t>
      </w:r>
      <w:r>
        <w:rPr/>
        <w:t>the</w:t>
      </w:r>
      <w:r>
        <w:rPr>
          <w:spacing w:val="-6"/>
        </w:rPr>
        <w:t> </w:t>
      </w:r>
      <w:r>
        <w:rPr/>
        <w:t>opinions of students, service staff and management staff on the impact of security and communication service on students’ welfare in the universities</w:t>
      </w:r>
    </w:p>
    <w:p>
      <w:pPr>
        <w:pStyle w:val="BodyText"/>
        <w:spacing w:before="51"/>
        <w:rPr>
          <w:rFonts w:ascii="Arial"/>
          <w:b/>
          <w:sz w:val="20"/>
        </w:rPr>
      </w:pPr>
    </w:p>
    <w:tbl>
      <w:tblPr>
        <w:tblW w:w="0" w:type="auto"/>
        <w:jc w:val="left"/>
        <w:tblInd w:w="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86"/>
        <w:gridCol w:w="1730"/>
        <w:gridCol w:w="1665"/>
        <w:gridCol w:w="1513"/>
        <w:gridCol w:w="1288"/>
        <w:gridCol w:w="1128"/>
      </w:tblGrid>
      <w:tr>
        <w:trPr>
          <w:trHeight w:val="825" w:hRule="atLeast"/>
        </w:trPr>
        <w:tc>
          <w:tcPr>
            <w:tcW w:w="1586" w:type="dxa"/>
            <w:tcBorders>
              <w:top w:val="single" w:sz="4" w:space="0" w:color="000000"/>
              <w:left w:val="single" w:sz="4" w:space="0" w:color="000000"/>
              <w:bottom w:val="single" w:sz="4" w:space="0" w:color="000000"/>
            </w:tcBorders>
          </w:tcPr>
          <w:p>
            <w:pPr>
              <w:pStyle w:val="TableParagraph"/>
              <w:spacing w:line="237" w:lineRule="auto"/>
              <w:ind w:left="95"/>
              <w:rPr>
                <w:sz w:val="24"/>
              </w:rPr>
            </w:pPr>
            <w:r>
              <w:rPr>
                <w:spacing w:val="-2"/>
                <w:sz w:val="24"/>
              </w:rPr>
              <w:t>Dependent Variable</w:t>
            </w:r>
          </w:p>
        </w:tc>
        <w:tc>
          <w:tcPr>
            <w:tcW w:w="1730" w:type="dxa"/>
            <w:tcBorders>
              <w:top w:val="single" w:sz="4" w:space="0" w:color="000000"/>
              <w:bottom w:val="single" w:sz="4" w:space="0" w:color="000000"/>
            </w:tcBorders>
          </w:tcPr>
          <w:p>
            <w:pPr>
              <w:pStyle w:val="TableParagraph"/>
              <w:spacing w:line="271" w:lineRule="exact"/>
              <w:ind w:left="314"/>
              <w:rPr>
                <w:sz w:val="24"/>
              </w:rPr>
            </w:pPr>
            <w:r>
              <w:rPr>
                <w:sz w:val="24"/>
              </w:rPr>
              <w:t>(I) </w:t>
            </w:r>
            <w:r>
              <w:rPr>
                <w:spacing w:val="-2"/>
                <w:sz w:val="24"/>
              </w:rPr>
              <w:t>Status</w:t>
            </w:r>
          </w:p>
        </w:tc>
        <w:tc>
          <w:tcPr>
            <w:tcW w:w="1665" w:type="dxa"/>
            <w:tcBorders>
              <w:top w:val="single" w:sz="4" w:space="0" w:color="000000"/>
              <w:bottom w:val="single" w:sz="4" w:space="0" w:color="000000"/>
            </w:tcBorders>
          </w:tcPr>
          <w:p>
            <w:pPr>
              <w:pStyle w:val="TableParagraph"/>
              <w:spacing w:line="271" w:lineRule="exact"/>
              <w:ind w:left="293"/>
              <w:rPr>
                <w:sz w:val="24"/>
              </w:rPr>
            </w:pPr>
            <w:r>
              <w:rPr>
                <w:sz w:val="24"/>
              </w:rPr>
              <w:t>(J) </w:t>
            </w:r>
            <w:r>
              <w:rPr>
                <w:spacing w:val="-2"/>
                <w:sz w:val="24"/>
              </w:rPr>
              <w:t>Status</w:t>
            </w:r>
          </w:p>
        </w:tc>
        <w:tc>
          <w:tcPr>
            <w:tcW w:w="1513" w:type="dxa"/>
            <w:tcBorders>
              <w:top w:val="single" w:sz="4" w:space="0" w:color="000000"/>
              <w:bottom w:val="single" w:sz="4" w:space="0" w:color="000000"/>
            </w:tcBorders>
          </w:tcPr>
          <w:p>
            <w:pPr>
              <w:pStyle w:val="TableParagraph"/>
              <w:spacing w:line="237" w:lineRule="auto"/>
              <w:ind w:left="251"/>
              <w:rPr>
                <w:sz w:val="24"/>
              </w:rPr>
            </w:pPr>
            <w:r>
              <w:rPr>
                <w:spacing w:val="-4"/>
                <w:sz w:val="24"/>
              </w:rPr>
              <w:t>Mean </w:t>
            </w:r>
            <w:r>
              <w:rPr>
                <w:spacing w:val="-2"/>
                <w:sz w:val="24"/>
              </w:rPr>
              <w:t>Difference</w:t>
            </w:r>
          </w:p>
          <w:p>
            <w:pPr>
              <w:pStyle w:val="TableParagraph"/>
              <w:spacing w:line="258" w:lineRule="exact" w:before="1"/>
              <w:ind w:left="251"/>
              <w:rPr>
                <w:sz w:val="24"/>
              </w:rPr>
            </w:pPr>
            <w:r>
              <w:rPr>
                <w:spacing w:val="-2"/>
                <w:sz w:val="24"/>
              </w:rPr>
              <w:t>(I-</w:t>
            </w:r>
            <w:r>
              <w:rPr>
                <w:spacing w:val="-5"/>
                <w:sz w:val="24"/>
              </w:rPr>
              <w:t>J)</w:t>
            </w:r>
          </w:p>
        </w:tc>
        <w:tc>
          <w:tcPr>
            <w:tcW w:w="1288" w:type="dxa"/>
            <w:tcBorders>
              <w:top w:val="single" w:sz="4" w:space="0" w:color="000000"/>
              <w:bottom w:val="single" w:sz="4" w:space="0" w:color="000000"/>
            </w:tcBorders>
          </w:tcPr>
          <w:p>
            <w:pPr>
              <w:pStyle w:val="TableParagraph"/>
              <w:spacing w:line="237" w:lineRule="auto" w:before="137"/>
              <w:ind w:left="178"/>
              <w:rPr>
                <w:sz w:val="24"/>
              </w:rPr>
            </w:pPr>
            <w:r>
              <w:rPr>
                <w:spacing w:val="-2"/>
                <w:sz w:val="24"/>
              </w:rPr>
              <w:t>Standard Error</w:t>
            </w:r>
          </w:p>
        </w:tc>
        <w:tc>
          <w:tcPr>
            <w:tcW w:w="1128" w:type="dxa"/>
            <w:tcBorders>
              <w:top w:val="single" w:sz="4" w:space="0" w:color="000000"/>
              <w:bottom w:val="single" w:sz="4" w:space="0" w:color="000000"/>
              <w:right w:val="single" w:sz="4" w:space="0" w:color="000000"/>
            </w:tcBorders>
          </w:tcPr>
          <w:p>
            <w:pPr>
              <w:pStyle w:val="TableParagraph"/>
              <w:spacing w:line="237" w:lineRule="auto" w:before="137"/>
              <w:ind w:left="147"/>
              <w:rPr>
                <w:sz w:val="24"/>
              </w:rPr>
            </w:pPr>
            <w:r>
              <w:rPr>
                <w:spacing w:val="-2"/>
                <w:sz w:val="24"/>
              </w:rPr>
              <w:t>Signifi- </w:t>
            </w:r>
            <w:r>
              <w:rPr>
                <w:spacing w:val="-4"/>
                <w:sz w:val="24"/>
              </w:rPr>
              <w:t>cance</w:t>
            </w:r>
          </w:p>
        </w:tc>
      </w:tr>
      <w:tr>
        <w:trPr>
          <w:trHeight w:val="276" w:hRule="atLeast"/>
        </w:trPr>
        <w:tc>
          <w:tcPr>
            <w:tcW w:w="1586" w:type="dxa"/>
            <w:tcBorders>
              <w:top w:val="single" w:sz="4" w:space="0" w:color="000000"/>
              <w:left w:val="single" w:sz="4" w:space="0" w:color="000000"/>
            </w:tcBorders>
          </w:tcPr>
          <w:p>
            <w:pPr>
              <w:pStyle w:val="TableParagraph"/>
              <w:rPr>
                <w:rFonts w:ascii="Times New Roman"/>
                <w:sz w:val="20"/>
              </w:rPr>
            </w:pPr>
          </w:p>
        </w:tc>
        <w:tc>
          <w:tcPr>
            <w:tcW w:w="1730" w:type="dxa"/>
            <w:tcBorders>
              <w:top w:val="single" w:sz="4" w:space="0" w:color="000000"/>
            </w:tcBorders>
          </w:tcPr>
          <w:p>
            <w:pPr>
              <w:pStyle w:val="TableParagraph"/>
              <w:spacing w:line="257" w:lineRule="exact"/>
              <w:ind w:left="314"/>
              <w:rPr>
                <w:sz w:val="24"/>
              </w:rPr>
            </w:pPr>
            <w:r>
              <w:rPr>
                <w:spacing w:val="-4"/>
                <w:sz w:val="24"/>
              </w:rPr>
              <w:t>Staff</w:t>
            </w:r>
          </w:p>
        </w:tc>
        <w:tc>
          <w:tcPr>
            <w:tcW w:w="1665" w:type="dxa"/>
            <w:tcBorders>
              <w:top w:val="single" w:sz="4" w:space="0" w:color="000000"/>
            </w:tcBorders>
          </w:tcPr>
          <w:p>
            <w:pPr>
              <w:pStyle w:val="TableParagraph"/>
              <w:spacing w:line="257" w:lineRule="exact"/>
              <w:ind w:left="293"/>
              <w:rPr>
                <w:sz w:val="24"/>
              </w:rPr>
            </w:pPr>
            <w:r>
              <w:rPr>
                <w:spacing w:val="-4"/>
                <w:sz w:val="24"/>
              </w:rPr>
              <w:t>Staff</w:t>
            </w:r>
          </w:p>
        </w:tc>
        <w:tc>
          <w:tcPr>
            <w:tcW w:w="1513" w:type="dxa"/>
            <w:tcBorders>
              <w:top w:val="single" w:sz="4" w:space="0" w:color="000000"/>
            </w:tcBorders>
          </w:tcPr>
          <w:p>
            <w:pPr>
              <w:pStyle w:val="TableParagraph"/>
              <w:spacing w:line="257" w:lineRule="exact"/>
              <w:ind w:left="251"/>
              <w:rPr>
                <w:sz w:val="24"/>
              </w:rPr>
            </w:pPr>
            <w:r>
              <w:rPr>
                <w:spacing w:val="-2"/>
                <w:sz w:val="24"/>
              </w:rPr>
              <w:t>.1895(*)</w:t>
            </w:r>
          </w:p>
        </w:tc>
        <w:tc>
          <w:tcPr>
            <w:tcW w:w="1288" w:type="dxa"/>
            <w:tcBorders>
              <w:top w:val="single" w:sz="4" w:space="0" w:color="000000"/>
            </w:tcBorders>
          </w:tcPr>
          <w:p>
            <w:pPr>
              <w:pStyle w:val="TableParagraph"/>
              <w:spacing w:line="257" w:lineRule="exact"/>
              <w:ind w:left="178"/>
              <w:rPr>
                <w:sz w:val="24"/>
              </w:rPr>
            </w:pPr>
            <w:r>
              <w:rPr>
                <w:spacing w:val="-2"/>
                <w:sz w:val="24"/>
              </w:rPr>
              <w:t>.1777</w:t>
            </w:r>
          </w:p>
        </w:tc>
        <w:tc>
          <w:tcPr>
            <w:tcW w:w="1128" w:type="dxa"/>
            <w:tcBorders>
              <w:top w:val="single" w:sz="4" w:space="0" w:color="000000"/>
              <w:right w:val="single" w:sz="4" w:space="0" w:color="000000"/>
            </w:tcBorders>
          </w:tcPr>
          <w:p>
            <w:pPr>
              <w:pStyle w:val="TableParagraph"/>
              <w:spacing w:line="257" w:lineRule="exact"/>
              <w:ind w:left="147"/>
              <w:rPr>
                <w:sz w:val="24"/>
              </w:rPr>
            </w:pPr>
            <w:r>
              <w:rPr>
                <w:spacing w:val="-4"/>
                <w:sz w:val="24"/>
              </w:rPr>
              <w:t>.001</w:t>
            </w:r>
          </w:p>
        </w:tc>
      </w:tr>
      <w:tr>
        <w:trPr>
          <w:trHeight w:val="276" w:hRule="atLeast"/>
        </w:trPr>
        <w:tc>
          <w:tcPr>
            <w:tcW w:w="1586" w:type="dxa"/>
            <w:tcBorders>
              <w:left w:val="single" w:sz="4" w:space="0" w:color="000000"/>
            </w:tcBorders>
          </w:tcPr>
          <w:p>
            <w:pPr>
              <w:pStyle w:val="TableParagraph"/>
              <w:rPr>
                <w:rFonts w:ascii="Times New Roman"/>
                <w:sz w:val="20"/>
              </w:rPr>
            </w:pPr>
          </w:p>
        </w:tc>
        <w:tc>
          <w:tcPr>
            <w:tcW w:w="1730" w:type="dxa"/>
          </w:tcPr>
          <w:p>
            <w:pPr>
              <w:pStyle w:val="TableParagraph"/>
              <w:rPr>
                <w:rFonts w:ascii="Times New Roman"/>
                <w:sz w:val="20"/>
              </w:rPr>
            </w:pPr>
          </w:p>
        </w:tc>
        <w:tc>
          <w:tcPr>
            <w:tcW w:w="1665" w:type="dxa"/>
          </w:tcPr>
          <w:p>
            <w:pPr>
              <w:pStyle w:val="TableParagraph"/>
              <w:spacing w:line="256" w:lineRule="exact"/>
              <w:ind w:left="293"/>
              <w:rPr>
                <w:sz w:val="24"/>
              </w:rPr>
            </w:pPr>
            <w:r>
              <w:rPr>
                <w:spacing w:val="-2"/>
                <w:sz w:val="24"/>
              </w:rPr>
              <w:t>Managmet</w:t>
            </w:r>
          </w:p>
        </w:tc>
        <w:tc>
          <w:tcPr>
            <w:tcW w:w="1513" w:type="dxa"/>
          </w:tcPr>
          <w:p>
            <w:pPr>
              <w:pStyle w:val="TableParagraph"/>
              <w:spacing w:line="256" w:lineRule="exact"/>
              <w:ind w:left="251"/>
              <w:rPr>
                <w:sz w:val="24"/>
              </w:rPr>
            </w:pPr>
            <w:r>
              <w:rPr>
                <w:sz w:val="24"/>
              </w:rPr>
              <w:t>-</w:t>
            </w:r>
            <w:r>
              <w:rPr>
                <w:spacing w:val="-2"/>
                <w:sz w:val="24"/>
              </w:rPr>
              <w:t>.2199</w:t>
            </w:r>
          </w:p>
        </w:tc>
        <w:tc>
          <w:tcPr>
            <w:tcW w:w="1288" w:type="dxa"/>
          </w:tcPr>
          <w:p>
            <w:pPr>
              <w:pStyle w:val="TableParagraph"/>
              <w:spacing w:line="256" w:lineRule="exact"/>
              <w:ind w:left="178"/>
              <w:rPr>
                <w:sz w:val="24"/>
              </w:rPr>
            </w:pPr>
            <w:r>
              <w:rPr>
                <w:spacing w:val="-2"/>
                <w:sz w:val="24"/>
              </w:rPr>
              <w:t>.1757</w:t>
            </w:r>
          </w:p>
        </w:tc>
        <w:tc>
          <w:tcPr>
            <w:tcW w:w="1128" w:type="dxa"/>
            <w:tcBorders>
              <w:right w:val="single" w:sz="4" w:space="0" w:color="000000"/>
            </w:tcBorders>
          </w:tcPr>
          <w:p>
            <w:pPr>
              <w:pStyle w:val="TableParagraph"/>
              <w:spacing w:line="256" w:lineRule="exact"/>
              <w:ind w:left="147"/>
              <w:rPr>
                <w:sz w:val="24"/>
              </w:rPr>
            </w:pPr>
            <w:r>
              <w:rPr>
                <w:spacing w:val="-4"/>
                <w:sz w:val="24"/>
              </w:rPr>
              <w:t>.457</w:t>
            </w:r>
          </w:p>
        </w:tc>
      </w:tr>
      <w:tr>
        <w:trPr>
          <w:trHeight w:val="275" w:hRule="atLeast"/>
        </w:trPr>
        <w:tc>
          <w:tcPr>
            <w:tcW w:w="1586" w:type="dxa"/>
            <w:tcBorders>
              <w:left w:val="single" w:sz="4" w:space="0" w:color="000000"/>
            </w:tcBorders>
          </w:tcPr>
          <w:p>
            <w:pPr>
              <w:pStyle w:val="TableParagraph"/>
              <w:spacing w:line="256" w:lineRule="exact"/>
              <w:ind w:left="95"/>
              <w:rPr>
                <w:sz w:val="24"/>
              </w:rPr>
            </w:pPr>
            <w:r>
              <w:rPr>
                <w:spacing w:val="-2"/>
                <w:sz w:val="24"/>
              </w:rPr>
              <w:t>Security</w:t>
            </w:r>
          </w:p>
        </w:tc>
        <w:tc>
          <w:tcPr>
            <w:tcW w:w="1730" w:type="dxa"/>
          </w:tcPr>
          <w:p>
            <w:pPr>
              <w:pStyle w:val="TableParagraph"/>
              <w:spacing w:line="256" w:lineRule="exact"/>
              <w:ind w:left="314"/>
              <w:rPr>
                <w:sz w:val="24"/>
              </w:rPr>
            </w:pPr>
            <w:r>
              <w:rPr>
                <w:spacing w:val="-4"/>
                <w:sz w:val="24"/>
              </w:rPr>
              <w:t>Staff</w:t>
            </w:r>
          </w:p>
        </w:tc>
        <w:tc>
          <w:tcPr>
            <w:tcW w:w="1665" w:type="dxa"/>
          </w:tcPr>
          <w:p>
            <w:pPr>
              <w:pStyle w:val="TableParagraph"/>
              <w:spacing w:line="256" w:lineRule="exact"/>
              <w:ind w:left="293"/>
              <w:rPr>
                <w:sz w:val="24"/>
              </w:rPr>
            </w:pPr>
            <w:r>
              <w:rPr>
                <w:spacing w:val="-2"/>
                <w:sz w:val="24"/>
              </w:rPr>
              <w:t>Student</w:t>
            </w:r>
          </w:p>
        </w:tc>
        <w:tc>
          <w:tcPr>
            <w:tcW w:w="1513" w:type="dxa"/>
          </w:tcPr>
          <w:p>
            <w:pPr>
              <w:pStyle w:val="TableParagraph"/>
              <w:spacing w:line="256" w:lineRule="exact"/>
              <w:ind w:left="251"/>
              <w:rPr>
                <w:sz w:val="24"/>
              </w:rPr>
            </w:pPr>
            <w:r>
              <w:rPr>
                <w:sz w:val="24"/>
              </w:rPr>
              <w:t>-</w:t>
            </w:r>
            <w:r>
              <w:rPr>
                <w:spacing w:val="-2"/>
                <w:sz w:val="24"/>
              </w:rPr>
              <w:t>.1895(*)</w:t>
            </w:r>
          </w:p>
        </w:tc>
        <w:tc>
          <w:tcPr>
            <w:tcW w:w="1288" w:type="dxa"/>
          </w:tcPr>
          <w:p>
            <w:pPr>
              <w:pStyle w:val="TableParagraph"/>
              <w:spacing w:line="256" w:lineRule="exact"/>
              <w:ind w:left="178"/>
              <w:rPr>
                <w:sz w:val="24"/>
              </w:rPr>
            </w:pPr>
            <w:r>
              <w:rPr>
                <w:spacing w:val="-2"/>
                <w:sz w:val="24"/>
              </w:rPr>
              <w:t>.1777</w:t>
            </w:r>
          </w:p>
        </w:tc>
        <w:tc>
          <w:tcPr>
            <w:tcW w:w="1128" w:type="dxa"/>
            <w:tcBorders>
              <w:right w:val="single" w:sz="4" w:space="0" w:color="000000"/>
            </w:tcBorders>
          </w:tcPr>
          <w:p>
            <w:pPr>
              <w:pStyle w:val="TableParagraph"/>
              <w:spacing w:line="256" w:lineRule="exact"/>
              <w:ind w:left="147"/>
              <w:rPr>
                <w:sz w:val="24"/>
              </w:rPr>
            </w:pPr>
            <w:r>
              <w:rPr>
                <w:spacing w:val="-4"/>
                <w:sz w:val="24"/>
              </w:rPr>
              <w:t>.001</w:t>
            </w:r>
          </w:p>
        </w:tc>
      </w:tr>
      <w:tr>
        <w:trPr>
          <w:trHeight w:val="276" w:hRule="atLeast"/>
        </w:trPr>
        <w:tc>
          <w:tcPr>
            <w:tcW w:w="1586" w:type="dxa"/>
            <w:tcBorders>
              <w:left w:val="single" w:sz="4" w:space="0" w:color="000000"/>
            </w:tcBorders>
          </w:tcPr>
          <w:p>
            <w:pPr>
              <w:pStyle w:val="TableParagraph"/>
              <w:rPr>
                <w:rFonts w:ascii="Times New Roman"/>
                <w:sz w:val="20"/>
              </w:rPr>
            </w:pPr>
          </w:p>
        </w:tc>
        <w:tc>
          <w:tcPr>
            <w:tcW w:w="1730" w:type="dxa"/>
          </w:tcPr>
          <w:p>
            <w:pPr>
              <w:pStyle w:val="TableParagraph"/>
              <w:rPr>
                <w:rFonts w:ascii="Times New Roman"/>
                <w:sz w:val="20"/>
              </w:rPr>
            </w:pPr>
          </w:p>
        </w:tc>
        <w:tc>
          <w:tcPr>
            <w:tcW w:w="1665" w:type="dxa"/>
          </w:tcPr>
          <w:p>
            <w:pPr>
              <w:pStyle w:val="TableParagraph"/>
              <w:spacing w:line="256" w:lineRule="exact"/>
              <w:ind w:left="293"/>
              <w:rPr>
                <w:sz w:val="24"/>
              </w:rPr>
            </w:pPr>
            <w:r>
              <w:rPr>
                <w:spacing w:val="-2"/>
                <w:sz w:val="24"/>
              </w:rPr>
              <w:t>Managmet</w:t>
            </w:r>
          </w:p>
        </w:tc>
        <w:tc>
          <w:tcPr>
            <w:tcW w:w="1513" w:type="dxa"/>
          </w:tcPr>
          <w:p>
            <w:pPr>
              <w:pStyle w:val="TableParagraph"/>
              <w:spacing w:line="256" w:lineRule="exact"/>
              <w:ind w:left="251"/>
              <w:rPr>
                <w:sz w:val="24"/>
              </w:rPr>
            </w:pPr>
            <w:r>
              <w:rPr>
                <w:sz w:val="24"/>
              </w:rPr>
              <w:t>-</w:t>
            </w:r>
            <w:r>
              <w:rPr>
                <w:spacing w:val="-2"/>
                <w:sz w:val="24"/>
              </w:rPr>
              <w:t>.3094</w:t>
            </w:r>
          </w:p>
        </w:tc>
        <w:tc>
          <w:tcPr>
            <w:tcW w:w="1288" w:type="dxa"/>
          </w:tcPr>
          <w:p>
            <w:pPr>
              <w:pStyle w:val="TableParagraph"/>
              <w:spacing w:line="256" w:lineRule="exact"/>
              <w:ind w:left="178"/>
              <w:rPr>
                <w:sz w:val="24"/>
              </w:rPr>
            </w:pPr>
            <w:r>
              <w:rPr>
                <w:spacing w:val="-2"/>
                <w:sz w:val="24"/>
              </w:rPr>
              <w:t>.1771</w:t>
            </w:r>
          </w:p>
        </w:tc>
        <w:tc>
          <w:tcPr>
            <w:tcW w:w="1128" w:type="dxa"/>
            <w:tcBorders>
              <w:right w:val="single" w:sz="4" w:space="0" w:color="000000"/>
            </w:tcBorders>
          </w:tcPr>
          <w:p>
            <w:pPr>
              <w:pStyle w:val="TableParagraph"/>
              <w:spacing w:line="256" w:lineRule="exact"/>
              <w:ind w:left="147"/>
              <w:rPr>
                <w:sz w:val="24"/>
              </w:rPr>
            </w:pPr>
            <w:r>
              <w:rPr>
                <w:spacing w:val="-4"/>
                <w:sz w:val="24"/>
              </w:rPr>
              <w:t>.219</w:t>
            </w:r>
          </w:p>
        </w:tc>
      </w:tr>
      <w:tr>
        <w:trPr>
          <w:trHeight w:val="275" w:hRule="atLeast"/>
        </w:trPr>
        <w:tc>
          <w:tcPr>
            <w:tcW w:w="1586" w:type="dxa"/>
            <w:tcBorders>
              <w:left w:val="single" w:sz="4" w:space="0" w:color="000000"/>
            </w:tcBorders>
          </w:tcPr>
          <w:p>
            <w:pPr>
              <w:pStyle w:val="TableParagraph"/>
              <w:rPr>
                <w:rFonts w:ascii="Times New Roman"/>
                <w:sz w:val="20"/>
              </w:rPr>
            </w:pPr>
          </w:p>
        </w:tc>
        <w:tc>
          <w:tcPr>
            <w:tcW w:w="1730" w:type="dxa"/>
          </w:tcPr>
          <w:p>
            <w:pPr>
              <w:pStyle w:val="TableParagraph"/>
              <w:spacing w:line="256" w:lineRule="exact"/>
              <w:ind w:left="314"/>
              <w:rPr>
                <w:sz w:val="24"/>
              </w:rPr>
            </w:pPr>
            <w:r>
              <w:rPr>
                <w:spacing w:val="-2"/>
                <w:sz w:val="24"/>
              </w:rPr>
              <w:t>Managmet</w:t>
            </w:r>
          </w:p>
        </w:tc>
        <w:tc>
          <w:tcPr>
            <w:tcW w:w="1665" w:type="dxa"/>
          </w:tcPr>
          <w:p>
            <w:pPr>
              <w:pStyle w:val="TableParagraph"/>
              <w:spacing w:line="256" w:lineRule="exact"/>
              <w:ind w:left="293"/>
              <w:rPr>
                <w:sz w:val="24"/>
              </w:rPr>
            </w:pPr>
            <w:r>
              <w:rPr>
                <w:spacing w:val="-2"/>
                <w:sz w:val="24"/>
              </w:rPr>
              <w:t>Student</w:t>
            </w:r>
          </w:p>
        </w:tc>
        <w:tc>
          <w:tcPr>
            <w:tcW w:w="1513" w:type="dxa"/>
          </w:tcPr>
          <w:p>
            <w:pPr>
              <w:pStyle w:val="TableParagraph"/>
              <w:spacing w:line="256" w:lineRule="exact"/>
              <w:ind w:left="251"/>
              <w:rPr>
                <w:sz w:val="24"/>
              </w:rPr>
            </w:pPr>
            <w:r>
              <w:rPr>
                <w:spacing w:val="-2"/>
                <w:sz w:val="24"/>
              </w:rPr>
              <w:t>.2199</w:t>
            </w:r>
          </w:p>
        </w:tc>
        <w:tc>
          <w:tcPr>
            <w:tcW w:w="1288" w:type="dxa"/>
          </w:tcPr>
          <w:p>
            <w:pPr>
              <w:pStyle w:val="TableParagraph"/>
              <w:spacing w:line="256" w:lineRule="exact"/>
              <w:ind w:left="178"/>
              <w:rPr>
                <w:sz w:val="24"/>
              </w:rPr>
            </w:pPr>
            <w:r>
              <w:rPr>
                <w:spacing w:val="-2"/>
                <w:sz w:val="24"/>
              </w:rPr>
              <w:t>.1757</w:t>
            </w:r>
          </w:p>
        </w:tc>
        <w:tc>
          <w:tcPr>
            <w:tcW w:w="1128" w:type="dxa"/>
            <w:tcBorders>
              <w:right w:val="single" w:sz="4" w:space="0" w:color="000000"/>
            </w:tcBorders>
          </w:tcPr>
          <w:p>
            <w:pPr>
              <w:pStyle w:val="TableParagraph"/>
              <w:spacing w:line="256" w:lineRule="exact"/>
              <w:ind w:left="147"/>
              <w:rPr>
                <w:sz w:val="24"/>
              </w:rPr>
            </w:pPr>
            <w:r>
              <w:rPr>
                <w:spacing w:val="-4"/>
                <w:sz w:val="24"/>
              </w:rPr>
              <w:t>.457</w:t>
            </w:r>
          </w:p>
        </w:tc>
      </w:tr>
      <w:tr>
        <w:trPr>
          <w:trHeight w:val="275" w:hRule="atLeast"/>
        </w:trPr>
        <w:tc>
          <w:tcPr>
            <w:tcW w:w="1586" w:type="dxa"/>
            <w:tcBorders>
              <w:left w:val="single" w:sz="4" w:space="0" w:color="000000"/>
              <w:bottom w:val="single" w:sz="4" w:space="0" w:color="000000"/>
            </w:tcBorders>
          </w:tcPr>
          <w:p>
            <w:pPr>
              <w:pStyle w:val="TableParagraph"/>
              <w:rPr>
                <w:rFonts w:ascii="Times New Roman"/>
                <w:sz w:val="20"/>
              </w:rPr>
            </w:pPr>
          </w:p>
        </w:tc>
        <w:tc>
          <w:tcPr>
            <w:tcW w:w="1730" w:type="dxa"/>
            <w:tcBorders>
              <w:bottom w:val="single" w:sz="4" w:space="0" w:color="000000"/>
            </w:tcBorders>
          </w:tcPr>
          <w:p>
            <w:pPr>
              <w:pStyle w:val="TableParagraph"/>
              <w:rPr>
                <w:rFonts w:ascii="Times New Roman"/>
                <w:sz w:val="20"/>
              </w:rPr>
            </w:pPr>
          </w:p>
        </w:tc>
        <w:tc>
          <w:tcPr>
            <w:tcW w:w="1665" w:type="dxa"/>
            <w:tcBorders>
              <w:bottom w:val="single" w:sz="4" w:space="0" w:color="000000"/>
            </w:tcBorders>
          </w:tcPr>
          <w:p>
            <w:pPr>
              <w:pStyle w:val="TableParagraph"/>
              <w:spacing w:line="255" w:lineRule="exact"/>
              <w:ind w:left="293"/>
              <w:rPr>
                <w:sz w:val="24"/>
              </w:rPr>
            </w:pPr>
            <w:r>
              <w:rPr>
                <w:spacing w:val="-4"/>
                <w:sz w:val="24"/>
              </w:rPr>
              <w:t>Staff</w:t>
            </w:r>
          </w:p>
        </w:tc>
        <w:tc>
          <w:tcPr>
            <w:tcW w:w="1513" w:type="dxa"/>
            <w:tcBorders>
              <w:bottom w:val="single" w:sz="4" w:space="0" w:color="000000"/>
            </w:tcBorders>
          </w:tcPr>
          <w:p>
            <w:pPr>
              <w:pStyle w:val="TableParagraph"/>
              <w:spacing w:line="255" w:lineRule="exact"/>
              <w:ind w:left="251"/>
              <w:rPr>
                <w:sz w:val="24"/>
              </w:rPr>
            </w:pPr>
            <w:r>
              <w:rPr>
                <w:spacing w:val="-2"/>
                <w:sz w:val="24"/>
              </w:rPr>
              <w:t>.3094</w:t>
            </w:r>
          </w:p>
        </w:tc>
        <w:tc>
          <w:tcPr>
            <w:tcW w:w="1288" w:type="dxa"/>
            <w:tcBorders>
              <w:bottom w:val="single" w:sz="4" w:space="0" w:color="000000"/>
            </w:tcBorders>
          </w:tcPr>
          <w:p>
            <w:pPr>
              <w:pStyle w:val="TableParagraph"/>
              <w:spacing w:line="255" w:lineRule="exact"/>
              <w:ind w:left="178"/>
              <w:rPr>
                <w:sz w:val="24"/>
              </w:rPr>
            </w:pPr>
            <w:r>
              <w:rPr>
                <w:spacing w:val="-2"/>
                <w:sz w:val="24"/>
              </w:rPr>
              <w:t>.1771</w:t>
            </w:r>
          </w:p>
        </w:tc>
        <w:tc>
          <w:tcPr>
            <w:tcW w:w="1128" w:type="dxa"/>
            <w:tcBorders>
              <w:bottom w:val="single" w:sz="4" w:space="0" w:color="000000"/>
              <w:right w:val="single" w:sz="4" w:space="0" w:color="000000"/>
            </w:tcBorders>
          </w:tcPr>
          <w:p>
            <w:pPr>
              <w:pStyle w:val="TableParagraph"/>
              <w:spacing w:line="255" w:lineRule="exact"/>
              <w:ind w:left="147"/>
              <w:rPr>
                <w:sz w:val="24"/>
              </w:rPr>
            </w:pPr>
            <w:r>
              <w:rPr>
                <w:spacing w:val="-4"/>
                <w:sz w:val="24"/>
              </w:rPr>
              <w:t>.219</w:t>
            </w:r>
          </w:p>
        </w:tc>
      </w:tr>
    </w:tbl>
    <w:p>
      <w:pPr>
        <w:pStyle w:val="BodyText"/>
        <w:ind w:left="840"/>
        <w:jc w:val="both"/>
      </w:pPr>
      <w:r>
        <w:rPr/>
        <w:t>*Mean</w:t>
      </w:r>
      <w:r>
        <w:rPr>
          <w:spacing w:val="-6"/>
        </w:rPr>
        <w:t> </w:t>
      </w:r>
      <w:r>
        <w:rPr/>
        <w:t>difference</w:t>
      </w:r>
      <w:r>
        <w:rPr>
          <w:spacing w:val="-8"/>
        </w:rPr>
        <w:t> </w:t>
      </w:r>
      <w:r>
        <w:rPr/>
        <w:t>is</w:t>
      </w:r>
      <w:r>
        <w:rPr>
          <w:spacing w:val="-6"/>
        </w:rPr>
        <w:t> </w:t>
      </w:r>
      <w:r>
        <w:rPr/>
        <w:t>significance</w:t>
      </w:r>
      <w:r>
        <w:rPr>
          <w:spacing w:val="-5"/>
        </w:rPr>
        <w:t> </w:t>
      </w:r>
      <w:r>
        <w:rPr/>
        <w:t>at</w:t>
      </w:r>
      <w:r>
        <w:rPr>
          <w:spacing w:val="-10"/>
        </w:rPr>
        <w:t> </w:t>
      </w:r>
      <w:r>
        <w:rPr/>
        <w:t>.05</w:t>
      </w:r>
      <w:r>
        <w:rPr>
          <w:spacing w:val="-9"/>
        </w:rPr>
        <w:t> </w:t>
      </w:r>
      <w:r>
        <w:rPr>
          <w:spacing w:val="-2"/>
        </w:rPr>
        <w:t>level.</w:t>
      </w:r>
    </w:p>
    <w:p>
      <w:pPr>
        <w:pStyle w:val="BodyText"/>
        <w:spacing w:line="480" w:lineRule="auto" w:before="274"/>
        <w:ind w:left="840" w:right="559" w:firstLine="720"/>
        <w:jc w:val="both"/>
      </w:pPr>
      <w:r>
        <w:rPr/>
        <w:t>From</w:t>
      </w:r>
      <w:r>
        <w:rPr>
          <w:spacing w:val="-5"/>
        </w:rPr>
        <w:t> </w:t>
      </w:r>
      <w:r>
        <w:rPr/>
        <w:t>the position</w:t>
      </w:r>
      <w:r>
        <w:rPr>
          <w:spacing w:val="-1"/>
        </w:rPr>
        <w:t> </w:t>
      </w:r>
      <w:r>
        <w:rPr/>
        <w:t>of</w:t>
      </w:r>
      <w:r>
        <w:rPr>
          <w:spacing w:val="-1"/>
        </w:rPr>
        <w:t> </w:t>
      </w:r>
      <w:r>
        <w:rPr/>
        <w:t>scheffe’s</w:t>
      </w:r>
      <w:r>
        <w:rPr>
          <w:spacing w:val="-2"/>
        </w:rPr>
        <w:t> </w:t>
      </w:r>
      <w:r>
        <w:rPr/>
        <w:t>Multiple</w:t>
      </w:r>
      <w:r>
        <w:rPr>
          <w:spacing w:val="-1"/>
        </w:rPr>
        <w:t> </w:t>
      </w:r>
      <w:r>
        <w:rPr/>
        <w:t>Comparison</w:t>
      </w:r>
      <w:r>
        <w:rPr>
          <w:spacing w:val="-1"/>
        </w:rPr>
        <w:t> </w:t>
      </w:r>
      <w:r>
        <w:rPr/>
        <w:t>Test as</w:t>
      </w:r>
      <w:r>
        <w:rPr>
          <w:spacing w:val="-2"/>
        </w:rPr>
        <w:t> </w:t>
      </w:r>
      <w:r>
        <w:rPr/>
        <w:t>revealed</w:t>
      </w:r>
      <w:r>
        <w:rPr>
          <w:spacing w:val="-1"/>
        </w:rPr>
        <w:t> </w:t>
      </w:r>
      <w:r>
        <w:rPr/>
        <w:t>in the table above, it would be noted that there are differences in the degree of agreement of the respondents’ opinions regarding the impact of security and communication services on students’ welfare in the universities. The mean difference between the students and service staff seemed to be in agreement. However, the mean score of management staff was in complete disagreement with</w:t>
      </w:r>
      <w:r>
        <w:rPr>
          <w:spacing w:val="-1"/>
        </w:rPr>
        <w:t> </w:t>
      </w:r>
      <w:r>
        <w:rPr/>
        <w:t>views</w:t>
      </w:r>
      <w:r>
        <w:rPr>
          <w:spacing w:val="-2"/>
        </w:rPr>
        <w:t> </w:t>
      </w:r>
      <w:r>
        <w:rPr/>
        <w:t>of</w:t>
      </w:r>
      <w:r>
        <w:rPr>
          <w:spacing w:val="-2"/>
        </w:rPr>
        <w:t> </w:t>
      </w:r>
      <w:r>
        <w:rPr/>
        <w:t>the</w:t>
      </w:r>
      <w:r>
        <w:rPr>
          <w:spacing w:val="-1"/>
        </w:rPr>
        <w:t> </w:t>
      </w:r>
      <w:r>
        <w:rPr/>
        <w:t>two</w:t>
      </w:r>
      <w:r>
        <w:rPr>
          <w:spacing w:val="-1"/>
        </w:rPr>
        <w:t> </w:t>
      </w:r>
      <w:r>
        <w:rPr/>
        <w:t>groups.</w:t>
      </w:r>
      <w:r>
        <w:rPr>
          <w:spacing w:val="-2"/>
        </w:rPr>
        <w:t> </w:t>
      </w:r>
      <w:r>
        <w:rPr/>
        <w:t>The</w:t>
      </w:r>
      <w:r>
        <w:rPr>
          <w:spacing w:val="-1"/>
        </w:rPr>
        <w:t> </w:t>
      </w:r>
      <w:r>
        <w:rPr/>
        <w:t>position</w:t>
      </w:r>
      <w:r>
        <w:rPr>
          <w:spacing w:val="-1"/>
        </w:rPr>
        <w:t> </w:t>
      </w:r>
      <w:r>
        <w:rPr/>
        <w:t>of</w:t>
      </w:r>
      <w:r>
        <w:rPr>
          <w:spacing w:val="-2"/>
        </w:rPr>
        <w:t> </w:t>
      </w:r>
      <w:r>
        <w:rPr/>
        <w:t>the</w:t>
      </w:r>
      <w:r>
        <w:rPr>
          <w:spacing w:val="-1"/>
        </w:rPr>
        <w:t> </w:t>
      </w:r>
      <w:r>
        <w:rPr/>
        <w:t>top management</w:t>
      </w:r>
      <w:r>
        <w:rPr>
          <w:spacing w:val="-2"/>
        </w:rPr>
        <w:t> </w:t>
      </w:r>
      <w:r>
        <w:rPr/>
        <w:t>staff</w:t>
      </w:r>
      <w:r>
        <w:rPr>
          <w:spacing w:val="-2"/>
        </w:rPr>
        <w:t> </w:t>
      </w:r>
      <w:r>
        <w:rPr/>
        <w:t>in</w:t>
      </w:r>
      <w:r>
        <w:rPr>
          <w:spacing w:val="-1"/>
        </w:rPr>
        <w:t> </w:t>
      </w:r>
      <w:r>
        <w:rPr/>
        <w:t>respect of</w:t>
      </w:r>
      <w:r>
        <w:rPr>
          <w:spacing w:val="21"/>
        </w:rPr>
        <w:t> </w:t>
      </w:r>
      <w:r>
        <w:rPr/>
        <w:t>their</w:t>
      </w:r>
      <w:r>
        <w:rPr>
          <w:spacing w:val="18"/>
        </w:rPr>
        <w:t> </w:t>
      </w:r>
      <w:r>
        <w:rPr/>
        <w:t>opinions</w:t>
      </w:r>
      <w:r>
        <w:rPr>
          <w:spacing w:val="21"/>
        </w:rPr>
        <w:t> </w:t>
      </w:r>
      <w:r>
        <w:rPr/>
        <w:t>on</w:t>
      </w:r>
      <w:r>
        <w:rPr>
          <w:spacing w:val="18"/>
        </w:rPr>
        <w:t> </w:t>
      </w:r>
      <w:r>
        <w:rPr/>
        <w:t>the</w:t>
      </w:r>
      <w:r>
        <w:rPr>
          <w:spacing w:val="18"/>
        </w:rPr>
        <w:t> </w:t>
      </w:r>
      <w:r>
        <w:rPr/>
        <w:t>positive</w:t>
      </w:r>
      <w:r>
        <w:rPr>
          <w:spacing w:val="17"/>
        </w:rPr>
        <w:t> </w:t>
      </w:r>
      <w:r>
        <w:rPr/>
        <w:t>impact</w:t>
      </w:r>
      <w:r>
        <w:rPr>
          <w:spacing w:val="21"/>
        </w:rPr>
        <w:t> </w:t>
      </w:r>
      <w:r>
        <w:rPr/>
        <w:t>of</w:t>
      </w:r>
      <w:r>
        <w:rPr>
          <w:spacing w:val="22"/>
        </w:rPr>
        <w:t> </w:t>
      </w:r>
      <w:r>
        <w:rPr/>
        <w:t>security</w:t>
      </w:r>
      <w:r>
        <w:rPr>
          <w:spacing w:val="21"/>
        </w:rPr>
        <w:t> </w:t>
      </w:r>
      <w:r>
        <w:rPr/>
        <w:t>and</w:t>
      </w:r>
      <w:r>
        <w:rPr>
          <w:spacing w:val="22"/>
        </w:rPr>
        <w:t> </w:t>
      </w:r>
      <w:r>
        <w:rPr/>
        <w:t>communication</w:t>
      </w:r>
      <w:r>
        <w:rPr>
          <w:spacing w:val="22"/>
        </w:rPr>
        <w:t> </w:t>
      </w:r>
      <w:r>
        <w:rPr>
          <w:spacing w:val="-2"/>
        </w:rPr>
        <w:t>services</w:t>
      </w:r>
    </w:p>
    <w:p>
      <w:pPr>
        <w:spacing w:after="0" w:line="480" w:lineRule="auto"/>
        <w:jc w:val="both"/>
        <w:sectPr>
          <w:headerReference w:type="default" r:id="rId451"/>
          <w:footerReference w:type="default" r:id="rId452"/>
          <w:pgSz w:w="12240" w:h="15840"/>
          <w:pgMar w:header="722" w:footer="791" w:top="980" w:bottom="980" w:left="1320" w:right="880"/>
        </w:sectPr>
      </w:pPr>
    </w:p>
    <w:p>
      <w:pPr>
        <w:pStyle w:val="BodyText"/>
        <w:spacing w:before="171"/>
      </w:pPr>
    </w:p>
    <w:p>
      <w:pPr>
        <w:pStyle w:val="BodyText"/>
        <w:spacing w:line="480" w:lineRule="auto"/>
        <w:ind w:left="840" w:right="556"/>
        <w:jc w:val="both"/>
      </w:pPr>
      <w:r>
        <w:rPr/>
        <w:t>on</w:t>
      </w:r>
      <w:r>
        <w:rPr>
          <w:spacing w:val="-2"/>
        </w:rPr>
        <w:t> </w:t>
      </w:r>
      <w:r>
        <w:rPr/>
        <w:t>students’</w:t>
      </w:r>
      <w:r>
        <w:rPr>
          <w:spacing w:val="-3"/>
        </w:rPr>
        <w:t> </w:t>
      </w:r>
      <w:r>
        <w:rPr/>
        <w:t>welfare</w:t>
      </w:r>
      <w:r>
        <w:rPr>
          <w:spacing w:val="-2"/>
        </w:rPr>
        <w:t> </w:t>
      </w:r>
      <w:r>
        <w:rPr/>
        <w:t>services</w:t>
      </w:r>
      <w:r>
        <w:rPr>
          <w:spacing w:val="-7"/>
        </w:rPr>
        <w:t> </w:t>
      </w:r>
      <w:r>
        <w:rPr/>
        <w:t>in</w:t>
      </w:r>
      <w:r>
        <w:rPr>
          <w:spacing w:val="-2"/>
        </w:rPr>
        <w:t> </w:t>
      </w:r>
      <w:r>
        <w:rPr/>
        <w:t>the</w:t>
      </w:r>
      <w:r>
        <w:rPr>
          <w:spacing w:val="-2"/>
        </w:rPr>
        <w:t> </w:t>
      </w:r>
      <w:r>
        <w:rPr/>
        <w:t>universities</w:t>
      </w:r>
      <w:r>
        <w:rPr>
          <w:spacing w:val="-3"/>
        </w:rPr>
        <w:t> </w:t>
      </w:r>
      <w:r>
        <w:rPr/>
        <w:t>could</w:t>
      </w:r>
      <w:r>
        <w:rPr>
          <w:spacing w:val="-6"/>
        </w:rPr>
        <w:t> </w:t>
      </w:r>
      <w:r>
        <w:rPr/>
        <w:t>be</w:t>
      </w:r>
      <w:r>
        <w:rPr>
          <w:spacing w:val="-2"/>
        </w:rPr>
        <w:t> </w:t>
      </w:r>
      <w:r>
        <w:rPr/>
        <w:t>attributed</w:t>
      </w:r>
      <w:r>
        <w:rPr>
          <w:spacing w:val="-2"/>
        </w:rPr>
        <w:t> </w:t>
      </w:r>
      <w:r>
        <w:rPr/>
        <w:t>to</w:t>
      </w:r>
      <w:r>
        <w:rPr>
          <w:spacing w:val="-2"/>
        </w:rPr>
        <w:t> </w:t>
      </w:r>
      <w:r>
        <w:rPr/>
        <w:t>the</w:t>
      </w:r>
      <w:r>
        <w:rPr>
          <w:spacing w:val="-2"/>
        </w:rPr>
        <w:t> </w:t>
      </w:r>
      <w:r>
        <w:rPr/>
        <w:t>fact</w:t>
      </w:r>
      <w:r>
        <w:rPr>
          <w:spacing w:val="-3"/>
        </w:rPr>
        <w:t> </w:t>
      </w:r>
      <w:r>
        <w:rPr/>
        <w:t>that administrators in some universities have provided and managed security outfit to the best of their ability. The two groups seem to imply from their responses that with the springing up of cultism in these universities, problems of security had increased as cultists became blood thirsty and manifested nefarious activities such as theft,</w:t>
      </w:r>
      <w:r>
        <w:rPr>
          <w:spacing w:val="-3"/>
        </w:rPr>
        <w:t> </w:t>
      </w:r>
      <w:r>
        <w:rPr/>
        <w:t>robbery, raping, fighting, etcetera, which are characteristics of their behaviour. It</w:t>
      </w:r>
      <w:r>
        <w:rPr>
          <w:spacing w:val="-3"/>
        </w:rPr>
        <w:t> </w:t>
      </w:r>
      <w:r>
        <w:rPr/>
        <w:t>is</w:t>
      </w:r>
      <w:r>
        <w:rPr>
          <w:spacing w:val="-7"/>
        </w:rPr>
        <w:t> </w:t>
      </w:r>
      <w:r>
        <w:rPr/>
        <w:t>imperative to state the</w:t>
      </w:r>
      <w:r>
        <w:rPr>
          <w:spacing w:val="-2"/>
        </w:rPr>
        <w:t> </w:t>
      </w:r>
      <w:r>
        <w:rPr/>
        <w:t>need for management of the</w:t>
      </w:r>
      <w:r>
        <w:rPr>
          <w:spacing w:val="-2"/>
        </w:rPr>
        <w:t> </w:t>
      </w:r>
      <w:r>
        <w:rPr/>
        <w:t>universities</w:t>
      </w:r>
      <w:r>
        <w:rPr>
          <w:spacing w:val="-3"/>
        </w:rPr>
        <w:t> </w:t>
      </w:r>
      <w:r>
        <w:rPr/>
        <w:t>in general to beef up more security services, using modern communication gadgets to involve and sanitize all groups and individuals on security matters in the campuses for peace and smooth academic activities to manifest.</w:t>
      </w:r>
    </w:p>
    <w:p>
      <w:pPr>
        <w:pStyle w:val="Heading4"/>
        <w:numPr>
          <w:ilvl w:val="2"/>
          <w:numId w:val="43"/>
        </w:numPr>
        <w:tabs>
          <w:tab w:pos="958" w:val="left" w:leader="none"/>
        </w:tabs>
        <w:spacing w:line="240" w:lineRule="auto" w:before="2" w:after="0"/>
        <w:ind w:left="958" w:right="0" w:hanging="838"/>
        <w:jc w:val="left"/>
      </w:pPr>
      <w:r>
        <w:rPr/>
        <w:t>Hypothesis</w:t>
      </w:r>
      <w:r>
        <w:rPr>
          <w:spacing w:val="-8"/>
        </w:rPr>
        <w:t> </w:t>
      </w:r>
      <w:r>
        <w:rPr>
          <w:spacing w:val="-5"/>
        </w:rPr>
        <w:t>12</w:t>
      </w:r>
    </w:p>
    <w:p>
      <w:pPr>
        <w:pStyle w:val="BodyText"/>
        <w:spacing w:before="44"/>
        <w:rPr>
          <w:rFonts w:ascii="Arial"/>
          <w:b/>
        </w:rPr>
      </w:pPr>
    </w:p>
    <w:p>
      <w:pPr>
        <w:pStyle w:val="BodyText"/>
        <w:spacing w:line="480" w:lineRule="auto"/>
        <w:ind w:left="840" w:right="561" w:firstLine="720"/>
        <w:jc w:val="both"/>
      </w:pPr>
      <w:r>
        <w:rPr/>
        <w:t>There is no significant difference in the opinions of students, service staff and top management staff in respect of the impact of transportation services on the students’ welfare in the universities.</w:t>
      </w:r>
    </w:p>
    <w:p>
      <w:pPr>
        <w:pStyle w:val="BodyText"/>
        <w:spacing w:line="480" w:lineRule="auto"/>
        <w:ind w:left="840" w:right="555" w:firstLine="720"/>
        <w:jc w:val="both"/>
      </w:pPr>
      <w:r>
        <w:rPr/>
        <w:t>Data related to items ranging from 59 to 62 in the questionnaire based on the</w:t>
      </w:r>
      <w:r>
        <w:rPr>
          <w:spacing w:val="-1"/>
        </w:rPr>
        <w:t> </w:t>
      </w:r>
      <w:r>
        <w:rPr/>
        <w:t>responses</w:t>
      </w:r>
      <w:r>
        <w:rPr>
          <w:spacing w:val="-2"/>
        </w:rPr>
        <w:t> </w:t>
      </w:r>
      <w:r>
        <w:rPr/>
        <w:t>of</w:t>
      </w:r>
      <w:r>
        <w:rPr>
          <w:spacing w:val="-2"/>
        </w:rPr>
        <w:t> </w:t>
      </w:r>
      <w:r>
        <w:rPr/>
        <w:t>respondents</w:t>
      </w:r>
      <w:r>
        <w:rPr>
          <w:spacing w:val="-2"/>
        </w:rPr>
        <w:t> </w:t>
      </w:r>
      <w:r>
        <w:rPr/>
        <w:t>were</w:t>
      </w:r>
      <w:r>
        <w:rPr>
          <w:spacing w:val="-1"/>
        </w:rPr>
        <w:t> </w:t>
      </w:r>
      <w:r>
        <w:rPr/>
        <w:t>collected</w:t>
      </w:r>
      <w:r>
        <w:rPr>
          <w:spacing w:val="-5"/>
        </w:rPr>
        <w:t> </w:t>
      </w:r>
      <w:r>
        <w:rPr/>
        <w:t>and</w:t>
      </w:r>
      <w:r>
        <w:rPr>
          <w:spacing w:val="-1"/>
        </w:rPr>
        <w:t> </w:t>
      </w:r>
      <w:r>
        <w:rPr/>
        <w:t>analyzed</w:t>
      </w:r>
      <w:r>
        <w:rPr>
          <w:spacing w:val="-1"/>
        </w:rPr>
        <w:t> </w:t>
      </w:r>
      <w:r>
        <w:rPr/>
        <w:t>to</w:t>
      </w:r>
      <w:r>
        <w:rPr>
          <w:spacing w:val="-1"/>
        </w:rPr>
        <w:t> </w:t>
      </w:r>
      <w:r>
        <w:rPr/>
        <w:t>determine</w:t>
      </w:r>
      <w:r>
        <w:rPr>
          <w:spacing w:val="-1"/>
        </w:rPr>
        <w:t> </w:t>
      </w:r>
      <w:r>
        <w:rPr/>
        <w:t>the</w:t>
      </w:r>
      <w:r>
        <w:rPr>
          <w:spacing w:val="-1"/>
        </w:rPr>
        <w:t> </w:t>
      </w:r>
      <w:r>
        <w:rPr/>
        <w:t>level of agreement or otherwise in their opinions concerning the impact of transportation services on students’ welfare in the universities under study. The hypothesis was tested using One Way Analysis of variance where respondents’ differences of opinions were recorded and presented in Table 4.5.19.</w:t>
      </w:r>
    </w:p>
    <w:p>
      <w:pPr>
        <w:spacing w:after="0" w:line="480" w:lineRule="auto"/>
        <w:jc w:val="both"/>
        <w:sectPr>
          <w:headerReference w:type="default" r:id="rId453"/>
          <w:footerReference w:type="default" r:id="rId454"/>
          <w:pgSz w:w="12240" w:h="15840"/>
          <w:pgMar w:header="722" w:footer="791" w:top="980" w:bottom="980" w:left="1320" w:right="880"/>
        </w:sectPr>
      </w:pPr>
    </w:p>
    <w:p>
      <w:pPr>
        <w:pStyle w:val="BodyText"/>
        <w:spacing w:before="121"/>
        <w:rPr>
          <w:sz w:val="28"/>
        </w:rPr>
      </w:pPr>
    </w:p>
    <w:p>
      <w:pPr>
        <w:pStyle w:val="Heading2"/>
        <w:tabs>
          <w:tab w:pos="4031" w:val="left" w:leader="none"/>
          <w:tab w:pos="5370" w:val="left" w:leader="none"/>
          <w:tab w:pos="5936" w:val="left" w:leader="none"/>
          <w:tab w:pos="7405" w:val="left" w:leader="none"/>
          <w:tab w:pos="8585" w:val="left" w:leader="none"/>
          <w:tab w:pos="9060" w:val="left" w:leader="none"/>
        </w:tabs>
        <w:spacing w:before="1"/>
        <w:ind w:left="2582" w:right="558" w:hanging="1743"/>
      </w:pPr>
      <w:r>
        <w:rPr/>
        <w:t>Table 4.5.19: Analysis of Variance (ANOVA) on the impact of </w:t>
      </w:r>
      <w:r>
        <w:rPr>
          <w:spacing w:val="-2"/>
        </w:rPr>
        <w:t>transport</w:t>
      </w:r>
      <w:r>
        <w:rPr/>
        <w:tab/>
      </w:r>
      <w:r>
        <w:rPr>
          <w:spacing w:val="-2"/>
        </w:rPr>
        <w:t>services</w:t>
      </w:r>
      <w:r>
        <w:rPr/>
        <w:tab/>
      </w:r>
      <w:r>
        <w:rPr>
          <w:spacing w:val="-6"/>
        </w:rPr>
        <w:t>on</w:t>
      </w:r>
      <w:r>
        <w:rPr/>
        <w:tab/>
      </w:r>
      <w:r>
        <w:rPr>
          <w:spacing w:val="-2"/>
        </w:rPr>
        <w:t>students’</w:t>
      </w:r>
      <w:r>
        <w:rPr/>
        <w:tab/>
      </w:r>
      <w:r>
        <w:rPr>
          <w:spacing w:val="-2"/>
        </w:rPr>
        <w:t>welfare</w:t>
      </w:r>
      <w:r>
        <w:rPr/>
        <w:tab/>
      </w:r>
      <w:r>
        <w:rPr>
          <w:spacing w:val="-6"/>
        </w:rPr>
        <w:t>in</w:t>
      </w:r>
      <w:r>
        <w:rPr/>
        <w:tab/>
      </w:r>
      <w:r>
        <w:rPr>
          <w:spacing w:val="-4"/>
        </w:rPr>
        <w:t>the </w:t>
      </w:r>
      <w:r>
        <w:rPr/>
        <w:t>Universities</w:t>
      </w:r>
      <w:r>
        <w:rPr>
          <w:spacing w:val="40"/>
        </w:rPr>
        <w:t> </w:t>
      </w:r>
      <w:r>
        <w:rPr/>
        <w:t>in</w:t>
      </w:r>
      <w:r>
        <w:rPr>
          <w:spacing w:val="40"/>
        </w:rPr>
        <w:t> </w:t>
      </w:r>
      <w:r>
        <w:rPr/>
        <w:t>the</w:t>
      </w:r>
      <w:r>
        <w:rPr>
          <w:spacing w:val="40"/>
        </w:rPr>
        <w:t> </w:t>
      </w:r>
      <w:r>
        <w:rPr/>
        <w:t>three</w:t>
      </w:r>
      <w:r>
        <w:rPr>
          <w:spacing w:val="40"/>
        </w:rPr>
        <w:t> </w:t>
      </w:r>
      <w:r>
        <w:rPr/>
        <w:t>geopolitical</w:t>
      </w:r>
      <w:r>
        <w:rPr>
          <w:spacing w:val="40"/>
        </w:rPr>
        <w:t> </w:t>
      </w:r>
      <w:r>
        <w:rPr/>
        <w:t>zones</w:t>
      </w:r>
      <w:r>
        <w:rPr>
          <w:spacing w:val="40"/>
        </w:rPr>
        <w:t> </w:t>
      </w:r>
      <w:r>
        <w:rPr/>
        <w:t>in</w:t>
      </w:r>
      <w:r>
        <w:rPr>
          <w:spacing w:val="40"/>
        </w:rPr>
        <w:t> </w:t>
      </w:r>
      <w:r>
        <w:rPr/>
        <w:t>the Northern part of Nigeria</w:t>
      </w:r>
    </w:p>
    <w:p>
      <w:pPr>
        <w:pStyle w:val="BodyText"/>
        <w:spacing w:before="98"/>
        <w:rPr>
          <w:rFonts w:ascii="Arial"/>
          <w:b/>
          <w:sz w:val="20"/>
        </w:rPr>
      </w:pPr>
    </w:p>
    <w:tbl>
      <w:tblPr>
        <w:tblW w:w="0" w:type="auto"/>
        <w:jc w:val="left"/>
        <w:tblInd w:w="1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54"/>
        <w:gridCol w:w="777"/>
        <w:gridCol w:w="1287"/>
        <w:gridCol w:w="1253"/>
        <w:gridCol w:w="1104"/>
        <w:gridCol w:w="1983"/>
      </w:tblGrid>
      <w:tr>
        <w:trPr>
          <w:trHeight w:val="551" w:hRule="atLeast"/>
        </w:trPr>
        <w:tc>
          <w:tcPr>
            <w:tcW w:w="2054" w:type="dxa"/>
            <w:tcBorders>
              <w:top w:val="single" w:sz="4" w:space="0" w:color="000000"/>
              <w:left w:val="single" w:sz="4" w:space="0" w:color="000000"/>
              <w:bottom w:val="single" w:sz="4" w:space="0" w:color="000000"/>
            </w:tcBorders>
          </w:tcPr>
          <w:p>
            <w:pPr>
              <w:pStyle w:val="TableParagraph"/>
              <w:spacing w:line="267" w:lineRule="exact"/>
              <w:ind w:left="523"/>
              <w:rPr>
                <w:rFonts w:ascii="Arial"/>
                <w:b/>
                <w:sz w:val="24"/>
              </w:rPr>
            </w:pPr>
            <w:r>
              <w:rPr>
                <w:rFonts w:ascii="Arial"/>
                <w:b/>
                <w:sz w:val="24"/>
              </w:rPr>
              <w:t>Source</w:t>
            </w:r>
            <w:r>
              <w:rPr>
                <w:rFonts w:ascii="Arial"/>
                <w:b/>
                <w:spacing w:val="-12"/>
                <w:sz w:val="24"/>
              </w:rPr>
              <w:t> </w:t>
            </w:r>
            <w:r>
              <w:rPr>
                <w:rFonts w:ascii="Arial"/>
                <w:b/>
                <w:spacing w:val="-5"/>
                <w:sz w:val="24"/>
              </w:rPr>
              <w:t>of</w:t>
            </w:r>
          </w:p>
          <w:p>
            <w:pPr>
              <w:pStyle w:val="TableParagraph"/>
              <w:spacing w:line="263" w:lineRule="exact" w:before="2"/>
              <w:ind w:left="561"/>
              <w:rPr>
                <w:rFonts w:ascii="Arial"/>
                <w:b/>
                <w:sz w:val="24"/>
              </w:rPr>
            </w:pPr>
            <w:r>
              <w:rPr>
                <w:rFonts w:ascii="Arial"/>
                <w:b/>
                <w:spacing w:val="-2"/>
                <w:sz w:val="24"/>
              </w:rPr>
              <w:t>Variation</w:t>
            </w:r>
          </w:p>
        </w:tc>
        <w:tc>
          <w:tcPr>
            <w:tcW w:w="777" w:type="dxa"/>
            <w:tcBorders>
              <w:top w:val="single" w:sz="4" w:space="0" w:color="000000"/>
              <w:bottom w:val="single" w:sz="4" w:space="0" w:color="000000"/>
            </w:tcBorders>
          </w:tcPr>
          <w:p>
            <w:pPr>
              <w:pStyle w:val="TableParagraph"/>
              <w:spacing w:line="267" w:lineRule="exact"/>
              <w:ind w:right="148"/>
              <w:jc w:val="right"/>
              <w:rPr>
                <w:rFonts w:ascii="Arial"/>
                <w:b/>
                <w:sz w:val="24"/>
              </w:rPr>
            </w:pPr>
            <w:r>
              <w:rPr>
                <w:rFonts w:ascii="Arial"/>
                <w:b/>
                <w:spacing w:val="-5"/>
                <w:sz w:val="24"/>
              </w:rPr>
              <w:t>DF</w:t>
            </w:r>
          </w:p>
        </w:tc>
        <w:tc>
          <w:tcPr>
            <w:tcW w:w="1287" w:type="dxa"/>
            <w:tcBorders>
              <w:top w:val="single" w:sz="4" w:space="0" w:color="000000"/>
              <w:bottom w:val="single" w:sz="4" w:space="0" w:color="000000"/>
            </w:tcBorders>
          </w:tcPr>
          <w:p>
            <w:pPr>
              <w:pStyle w:val="TableParagraph"/>
              <w:spacing w:line="267" w:lineRule="exact"/>
              <w:ind w:left="274"/>
              <w:rPr>
                <w:rFonts w:ascii="Arial"/>
                <w:b/>
                <w:sz w:val="24"/>
              </w:rPr>
            </w:pPr>
            <w:r>
              <w:rPr>
                <w:rFonts w:ascii="Arial"/>
                <w:b/>
                <w:sz w:val="24"/>
              </w:rPr>
              <w:t>Sum</w:t>
            </w:r>
            <w:r>
              <w:rPr>
                <w:rFonts w:ascii="Arial"/>
                <w:b/>
                <w:spacing w:val="-13"/>
                <w:sz w:val="24"/>
              </w:rPr>
              <w:t> </w:t>
            </w:r>
            <w:r>
              <w:rPr>
                <w:rFonts w:ascii="Arial"/>
                <w:b/>
                <w:spacing w:val="-5"/>
                <w:sz w:val="24"/>
              </w:rPr>
              <w:t>of</w:t>
            </w:r>
          </w:p>
          <w:p>
            <w:pPr>
              <w:pStyle w:val="TableParagraph"/>
              <w:spacing w:line="263" w:lineRule="exact" w:before="2"/>
              <w:ind w:left="207"/>
              <w:rPr>
                <w:rFonts w:ascii="Arial"/>
                <w:b/>
                <w:sz w:val="24"/>
              </w:rPr>
            </w:pPr>
            <w:r>
              <w:rPr>
                <w:rFonts w:ascii="Arial"/>
                <w:b/>
                <w:spacing w:val="-2"/>
                <w:sz w:val="24"/>
              </w:rPr>
              <w:t>Squares</w:t>
            </w:r>
          </w:p>
        </w:tc>
        <w:tc>
          <w:tcPr>
            <w:tcW w:w="1253" w:type="dxa"/>
            <w:tcBorders>
              <w:top w:val="single" w:sz="4" w:space="0" w:color="000000"/>
              <w:bottom w:val="single" w:sz="4" w:space="0" w:color="000000"/>
            </w:tcBorders>
          </w:tcPr>
          <w:p>
            <w:pPr>
              <w:pStyle w:val="TableParagraph"/>
              <w:spacing w:line="267" w:lineRule="exact"/>
              <w:ind w:left="50"/>
              <w:jc w:val="center"/>
              <w:rPr>
                <w:rFonts w:ascii="Arial"/>
                <w:b/>
                <w:sz w:val="24"/>
              </w:rPr>
            </w:pPr>
            <w:r>
              <w:rPr>
                <w:rFonts w:ascii="Arial"/>
                <w:b/>
                <w:spacing w:val="-4"/>
                <w:sz w:val="24"/>
              </w:rPr>
              <w:t>Mean</w:t>
            </w:r>
          </w:p>
          <w:p>
            <w:pPr>
              <w:pStyle w:val="TableParagraph"/>
              <w:spacing w:line="263" w:lineRule="exact" w:before="2"/>
              <w:ind w:left="50" w:right="3"/>
              <w:jc w:val="center"/>
              <w:rPr>
                <w:rFonts w:ascii="Arial"/>
                <w:b/>
                <w:sz w:val="24"/>
              </w:rPr>
            </w:pPr>
            <w:r>
              <w:rPr>
                <w:rFonts w:ascii="Arial"/>
                <w:b/>
                <w:spacing w:val="-2"/>
                <w:sz w:val="24"/>
              </w:rPr>
              <w:t>Squares</w:t>
            </w:r>
          </w:p>
        </w:tc>
        <w:tc>
          <w:tcPr>
            <w:tcW w:w="1104" w:type="dxa"/>
            <w:tcBorders>
              <w:top w:val="single" w:sz="4" w:space="0" w:color="000000"/>
              <w:bottom w:val="single" w:sz="4" w:space="0" w:color="000000"/>
            </w:tcBorders>
          </w:tcPr>
          <w:p>
            <w:pPr>
              <w:pStyle w:val="TableParagraph"/>
              <w:spacing w:line="267" w:lineRule="exact"/>
              <w:ind w:left="122" w:right="85"/>
              <w:jc w:val="center"/>
              <w:rPr>
                <w:rFonts w:ascii="Arial"/>
                <w:b/>
                <w:sz w:val="24"/>
              </w:rPr>
            </w:pPr>
            <w:r>
              <w:rPr>
                <w:rFonts w:ascii="Arial"/>
                <w:b/>
                <w:sz w:val="24"/>
              </w:rPr>
              <w:t>F </w:t>
            </w:r>
            <w:r>
              <w:rPr>
                <w:rFonts w:ascii="Arial"/>
                <w:b/>
                <w:spacing w:val="-2"/>
                <w:sz w:val="24"/>
              </w:rPr>
              <w:t>Value</w:t>
            </w:r>
          </w:p>
        </w:tc>
        <w:tc>
          <w:tcPr>
            <w:tcW w:w="1983" w:type="dxa"/>
            <w:tcBorders>
              <w:top w:val="single" w:sz="4" w:space="0" w:color="000000"/>
              <w:bottom w:val="single" w:sz="4" w:space="0" w:color="000000"/>
              <w:right w:val="single" w:sz="4" w:space="0" w:color="000000"/>
            </w:tcBorders>
          </w:tcPr>
          <w:p>
            <w:pPr>
              <w:pStyle w:val="TableParagraph"/>
              <w:spacing w:line="267" w:lineRule="exact"/>
              <w:ind w:left="259"/>
              <w:rPr>
                <w:rFonts w:ascii="Arial"/>
                <w:b/>
                <w:sz w:val="24"/>
              </w:rPr>
            </w:pPr>
            <w:r>
              <w:rPr>
                <w:rFonts w:ascii="Arial"/>
                <w:b/>
                <w:sz w:val="24"/>
              </w:rPr>
              <w:t>P</w:t>
            </w:r>
            <w:r>
              <w:rPr>
                <w:rFonts w:ascii="Arial"/>
                <w:b/>
                <w:spacing w:val="-3"/>
                <w:sz w:val="24"/>
              </w:rPr>
              <w:t> </w:t>
            </w:r>
            <w:r>
              <w:rPr>
                <w:rFonts w:ascii="Arial"/>
                <w:b/>
                <w:spacing w:val="-2"/>
                <w:sz w:val="24"/>
              </w:rPr>
              <w:t>Probability</w:t>
            </w:r>
          </w:p>
        </w:tc>
      </w:tr>
      <w:tr>
        <w:trPr>
          <w:trHeight w:val="348" w:hRule="atLeast"/>
        </w:trPr>
        <w:tc>
          <w:tcPr>
            <w:tcW w:w="2054" w:type="dxa"/>
            <w:tcBorders>
              <w:top w:val="single" w:sz="4" w:space="0" w:color="000000"/>
              <w:left w:val="single" w:sz="4" w:space="0" w:color="000000"/>
            </w:tcBorders>
          </w:tcPr>
          <w:p>
            <w:pPr>
              <w:pStyle w:val="TableParagraph"/>
              <w:ind w:left="105"/>
              <w:rPr>
                <w:sz w:val="24"/>
              </w:rPr>
            </w:pPr>
            <w:r>
              <w:rPr>
                <w:sz w:val="24"/>
              </w:rPr>
              <w:t>Between</w:t>
            </w:r>
            <w:r>
              <w:rPr>
                <w:spacing w:val="-13"/>
                <w:sz w:val="24"/>
              </w:rPr>
              <w:t> </w:t>
            </w:r>
            <w:r>
              <w:rPr>
                <w:spacing w:val="-2"/>
                <w:sz w:val="24"/>
              </w:rPr>
              <w:t>groups</w:t>
            </w:r>
          </w:p>
        </w:tc>
        <w:tc>
          <w:tcPr>
            <w:tcW w:w="777" w:type="dxa"/>
            <w:tcBorders>
              <w:top w:val="single" w:sz="4" w:space="0" w:color="000000"/>
            </w:tcBorders>
          </w:tcPr>
          <w:p>
            <w:pPr>
              <w:pStyle w:val="TableParagraph"/>
              <w:ind w:left="216"/>
              <w:rPr>
                <w:sz w:val="24"/>
              </w:rPr>
            </w:pPr>
            <w:r>
              <w:rPr>
                <w:spacing w:val="-10"/>
                <w:sz w:val="24"/>
              </w:rPr>
              <w:t>2</w:t>
            </w:r>
          </w:p>
        </w:tc>
        <w:tc>
          <w:tcPr>
            <w:tcW w:w="1287" w:type="dxa"/>
            <w:tcBorders>
              <w:top w:val="single" w:sz="4" w:space="0" w:color="000000"/>
            </w:tcBorders>
          </w:tcPr>
          <w:p>
            <w:pPr>
              <w:pStyle w:val="TableParagraph"/>
              <w:ind w:left="159"/>
              <w:rPr>
                <w:sz w:val="24"/>
              </w:rPr>
            </w:pPr>
            <w:r>
              <w:rPr>
                <w:spacing w:val="-2"/>
                <w:sz w:val="24"/>
              </w:rPr>
              <w:t>2.1826</w:t>
            </w:r>
          </w:p>
        </w:tc>
        <w:tc>
          <w:tcPr>
            <w:tcW w:w="1253" w:type="dxa"/>
            <w:tcBorders>
              <w:top w:val="single" w:sz="4" w:space="0" w:color="000000"/>
            </w:tcBorders>
          </w:tcPr>
          <w:p>
            <w:pPr>
              <w:pStyle w:val="TableParagraph"/>
              <w:ind w:left="130"/>
              <w:rPr>
                <w:sz w:val="24"/>
              </w:rPr>
            </w:pPr>
            <w:r>
              <w:rPr>
                <w:spacing w:val="-2"/>
                <w:sz w:val="24"/>
              </w:rPr>
              <w:t>1.0913</w:t>
            </w:r>
          </w:p>
        </w:tc>
        <w:tc>
          <w:tcPr>
            <w:tcW w:w="1104" w:type="dxa"/>
            <w:tcBorders>
              <w:top w:val="single" w:sz="4" w:space="0" w:color="000000"/>
            </w:tcBorders>
          </w:tcPr>
          <w:p>
            <w:pPr>
              <w:pStyle w:val="TableParagraph"/>
              <w:ind w:right="85"/>
              <w:jc w:val="center"/>
              <w:rPr>
                <w:sz w:val="24"/>
              </w:rPr>
            </w:pPr>
            <w:r>
              <w:rPr>
                <w:spacing w:val="-2"/>
                <w:sz w:val="24"/>
              </w:rPr>
              <w:t>1.6431</w:t>
            </w:r>
          </w:p>
        </w:tc>
        <w:tc>
          <w:tcPr>
            <w:tcW w:w="1983" w:type="dxa"/>
            <w:tcBorders>
              <w:top w:val="single" w:sz="4" w:space="0" w:color="000000"/>
              <w:right w:val="single" w:sz="4" w:space="0" w:color="000000"/>
            </w:tcBorders>
          </w:tcPr>
          <w:p>
            <w:pPr>
              <w:pStyle w:val="TableParagraph"/>
              <w:ind w:left="115"/>
              <w:rPr>
                <w:sz w:val="24"/>
              </w:rPr>
            </w:pPr>
            <w:r>
              <w:rPr>
                <w:spacing w:val="-2"/>
                <w:sz w:val="24"/>
              </w:rPr>
              <w:t>0.1945</w:t>
            </w:r>
          </w:p>
        </w:tc>
      </w:tr>
      <w:tr>
        <w:trPr>
          <w:trHeight w:val="481" w:hRule="atLeast"/>
        </w:trPr>
        <w:tc>
          <w:tcPr>
            <w:tcW w:w="2054" w:type="dxa"/>
            <w:tcBorders>
              <w:left w:val="single" w:sz="4" w:space="0" w:color="000000"/>
              <w:bottom w:val="single" w:sz="4" w:space="0" w:color="000000"/>
            </w:tcBorders>
          </w:tcPr>
          <w:p>
            <w:pPr>
              <w:pStyle w:val="TableParagraph"/>
              <w:spacing w:before="64"/>
              <w:ind w:left="105"/>
              <w:rPr>
                <w:sz w:val="24"/>
              </w:rPr>
            </w:pPr>
            <w:r>
              <w:rPr>
                <w:sz w:val="24"/>
              </w:rPr>
              <w:t>Within</w:t>
            </w:r>
            <w:r>
              <w:rPr>
                <w:spacing w:val="-3"/>
                <w:sz w:val="24"/>
              </w:rPr>
              <w:t> </w:t>
            </w:r>
            <w:r>
              <w:rPr>
                <w:spacing w:val="-2"/>
                <w:sz w:val="24"/>
              </w:rPr>
              <w:t>groups</w:t>
            </w:r>
          </w:p>
        </w:tc>
        <w:tc>
          <w:tcPr>
            <w:tcW w:w="777" w:type="dxa"/>
            <w:tcBorders>
              <w:bottom w:val="single" w:sz="4" w:space="0" w:color="000000"/>
            </w:tcBorders>
          </w:tcPr>
          <w:p>
            <w:pPr>
              <w:pStyle w:val="TableParagraph"/>
              <w:spacing w:before="64"/>
              <w:ind w:right="156"/>
              <w:jc w:val="right"/>
              <w:rPr>
                <w:sz w:val="24"/>
              </w:rPr>
            </w:pPr>
            <w:r>
              <w:rPr>
                <w:spacing w:val="-5"/>
                <w:sz w:val="24"/>
              </w:rPr>
              <w:t>458</w:t>
            </w:r>
          </w:p>
        </w:tc>
        <w:tc>
          <w:tcPr>
            <w:tcW w:w="1287" w:type="dxa"/>
            <w:tcBorders>
              <w:bottom w:val="single" w:sz="4" w:space="0" w:color="000000"/>
            </w:tcBorders>
          </w:tcPr>
          <w:p>
            <w:pPr>
              <w:pStyle w:val="TableParagraph"/>
              <w:spacing w:before="64"/>
              <w:ind w:left="159"/>
              <w:rPr>
                <w:sz w:val="24"/>
              </w:rPr>
            </w:pPr>
            <w:r>
              <w:rPr>
                <w:spacing w:val="-2"/>
                <w:sz w:val="24"/>
              </w:rPr>
              <w:t>304.1789</w:t>
            </w:r>
          </w:p>
        </w:tc>
        <w:tc>
          <w:tcPr>
            <w:tcW w:w="1253" w:type="dxa"/>
            <w:tcBorders>
              <w:bottom w:val="single" w:sz="4" w:space="0" w:color="000000"/>
            </w:tcBorders>
          </w:tcPr>
          <w:p>
            <w:pPr>
              <w:pStyle w:val="TableParagraph"/>
              <w:spacing w:before="64"/>
              <w:ind w:left="130"/>
              <w:rPr>
                <w:sz w:val="24"/>
              </w:rPr>
            </w:pPr>
            <w:r>
              <w:rPr>
                <w:spacing w:val="-2"/>
                <w:sz w:val="24"/>
              </w:rPr>
              <w:t>0.6641</w:t>
            </w:r>
          </w:p>
        </w:tc>
        <w:tc>
          <w:tcPr>
            <w:tcW w:w="1104" w:type="dxa"/>
            <w:tcBorders>
              <w:bottom w:val="single" w:sz="4" w:space="0" w:color="000000"/>
            </w:tcBorders>
          </w:tcPr>
          <w:p>
            <w:pPr>
              <w:pStyle w:val="TableParagraph"/>
              <w:rPr>
                <w:rFonts w:ascii="Times New Roman"/>
                <w:sz w:val="24"/>
              </w:rPr>
            </w:pPr>
          </w:p>
        </w:tc>
        <w:tc>
          <w:tcPr>
            <w:tcW w:w="1983" w:type="dxa"/>
            <w:tcBorders>
              <w:bottom w:val="single" w:sz="4" w:space="0" w:color="000000"/>
              <w:right w:val="single" w:sz="4" w:space="0" w:color="000000"/>
            </w:tcBorders>
          </w:tcPr>
          <w:p>
            <w:pPr>
              <w:pStyle w:val="TableParagraph"/>
              <w:rPr>
                <w:rFonts w:ascii="Times New Roman"/>
                <w:sz w:val="24"/>
              </w:rPr>
            </w:pPr>
          </w:p>
        </w:tc>
      </w:tr>
      <w:tr>
        <w:trPr>
          <w:trHeight w:val="277" w:hRule="atLeast"/>
        </w:trPr>
        <w:tc>
          <w:tcPr>
            <w:tcW w:w="2054"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777" w:type="dxa"/>
            <w:tcBorders>
              <w:top w:val="single" w:sz="4" w:space="0" w:color="000000"/>
              <w:bottom w:val="single" w:sz="4" w:space="0" w:color="000000"/>
            </w:tcBorders>
          </w:tcPr>
          <w:p>
            <w:pPr>
              <w:pStyle w:val="TableParagraph"/>
              <w:spacing w:line="258" w:lineRule="exact"/>
              <w:ind w:right="156"/>
              <w:jc w:val="right"/>
              <w:rPr>
                <w:sz w:val="24"/>
              </w:rPr>
            </w:pPr>
            <w:r>
              <w:rPr>
                <w:spacing w:val="-5"/>
                <w:sz w:val="24"/>
              </w:rPr>
              <w:t>460</w:t>
            </w:r>
          </w:p>
        </w:tc>
        <w:tc>
          <w:tcPr>
            <w:tcW w:w="1287" w:type="dxa"/>
            <w:tcBorders>
              <w:top w:val="single" w:sz="4" w:space="0" w:color="000000"/>
              <w:bottom w:val="single" w:sz="4" w:space="0" w:color="000000"/>
            </w:tcBorders>
          </w:tcPr>
          <w:p>
            <w:pPr>
              <w:pStyle w:val="TableParagraph"/>
              <w:spacing w:line="258" w:lineRule="exact"/>
              <w:ind w:left="159"/>
              <w:rPr>
                <w:sz w:val="24"/>
              </w:rPr>
            </w:pPr>
            <w:r>
              <w:rPr>
                <w:spacing w:val="-2"/>
                <w:sz w:val="24"/>
              </w:rPr>
              <w:t>306.3614</w:t>
            </w:r>
          </w:p>
        </w:tc>
        <w:tc>
          <w:tcPr>
            <w:tcW w:w="1253" w:type="dxa"/>
            <w:tcBorders>
              <w:top w:val="single" w:sz="4" w:space="0" w:color="000000"/>
              <w:bottom w:val="single" w:sz="4" w:space="0" w:color="000000"/>
            </w:tcBorders>
          </w:tcPr>
          <w:p>
            <w:pPr>
              <w:pStyle w:val="TableParagraph"/>
              <w:rPr>
                <w:rFonts w:ascii="Times New Roman"/>
                <w:sz w:val="20"/>
              </w:rPr>
            </w:pPr>
          </w:p>
        </w:tc>
        <w:tc>
          <w:tcPr>
            <w:tcW w:w="1104" w:type="dxa"/>
            <w:tcBorders>
              <w:top w:val="single" w:sz="4" w:space="0" w:color="000000"/>
              <w:bottom w:val="single" w:sz="4" w:space="0" w:color="000000"/>
            </w:tcBorders>
          </w:tcPr>
          <w:p>
            <w:pPr>
              <w:pStyle w:val="TableParagraph"/>
              <w:rPr>
                <w:rFonts w:ascii="Times New Roman"/>
                <w:sz w:val="20"/>
              </w:rPr>
            </w:pPr>
          </w:p>
        </w:tc>
        <w:tc>
          <w:tcPr>
            <w:tcW w:w="1983" w:type="dxa"/>
            <w:tcBorders>
              <w:top w:val="single" w:sz="4" w:space="0" w:color="000000"/>
              <w:bottom w:val="single" w:sz="4" w:space="0" w:color="000000"/>
              <w:right w:val="single" w:sz="4" w:space="0" w:color="000000"/>
            </w:tcBorders>
          </w:tcPr>
          <w:p>
            <w:pPr>
              <w:pStyle w:val="TableParagraph"/>
              <w:rPr>
                <w:rFonts w:ascii="Times New Roman"/>
                <w:sz w:val="20"/>
              </w:rPr>
            </w:pPr>
          </w:p>
        </w:tc>
      </w:tr>
    </w:tbl>
    <w:p>
      <w:pPr>
        <w:pStyle w:val="BodyText"/>
        <w:ind w:left="1560"/>
      </w:pPr>
      <w:r>
        <w:rPr/>
        <w:t>F</w:t>
      </w:r>
      <w:r>
        <w:rPr>
          <w:spacing w:val="-3"/>
        </w:rPr>
        <w:t> </w:t>
      </w:r>
      <w:r>
        <w:rPr/>
        <w:t>Probability</w:t>
      </w:r>
      <w:r>
        <w:rPr>
          <w:spacing w:val="-5"/>
        </w:rPr>
        <w:t> </w:t>
      </w:r>
      <w:r>
        <w:rPr/>
        <w:t>&gt;</w:t>
      </w:r>
      <w:r>
        <w:rPr>
          <w:spacing w:val="-6"/>
        </w:rPr>
        <w:t> </w:t>
      </w:r>
      <w:r>
        <w:rPr/>
        <w:t>0.05</w:t>
      </w:r>
      <w:r>
        <w:rPr>
          <w:spacing w:val="-4"/>
        </w:rPr>
        <w:t> </w:t>
      </w:r>
      <w:r>
        <w:rPr/>
        <w:t>=&gt;</w:t>
      </w:r>
      <w:r>
        <w:rPr>
          <w:spacing w:val="-6"/>
        </w:rPr>
        <w:t> </w:t>
      </w:r>
      <w:r>
        <w:rPr/>
        <w:t>HO</w:t>
      </w:r>
      <w:r>
        <w:rPr>
          <w:spacing w:val="-4"/>
        </w:rPr>
        <w:t> </w:t>
      </w:r>
      <w:r>
        <w:rPr>
          <w:spacing w:val="-5"/>
        </w:rPr>
        <w:t>Rtd</w:t>
      </w:r>
    </w:p>
    <w:p>
      <w:pPr>
        <w:pStyle w:val="BodyText"/>
        <w:spacing w:line="480" w:lineRule="auto" w:before="274"/>
        <w:ind w:left="840" w:right="556" w:firstLine="720"/>
        <w:jc w:val="both"/>
      </w:pPr>
      <w:r>
        <w:rPr/>
        <w:t>Table</w:t>
      </w:r>
      <w:r>
        <w:rPr>
          <w:spacing w:val="-1"/>
        </w:rPr>
        <w:t> </w:t>
      </w:r>
      <w:r>
        <w:rPr/>
        <w:t>4.5.19</w:t>
      </w:r>
      <w:r>
        <w:rPr>
          <w:spacing w:val="-1"/>
        </w:rPr>
        <w:t> </w:t>
      </w:r>
      <w:r>
        <w:rPr/>
        <w:t>above</w:t>
      </w:r>
      <w:r>
        <w:rPr>
          <w:spacing w:val="-1"/>
        </w:rPr>
        <w:t> </w:t>
      </w:r>
      <w:r>
        <w:rPr/>
        <w:t>shows</w:t>
      </w:r>
      <w:r>
        <w:rPr>
          <w:spacing w:val="-2"/>
        </w:rPr>
        <w:t> </w:t>
      </w:r>
      <w:r>
        <w:rPr/>
        <w:t>that</w:t>
      </w:r>
      <w:r>
        <w:rPr>
          <w:spacing w:val="-2"/>
        </w:rPr>
        <w:t> </w:t>
      </w:r>
      <w:r>
        <w:rPr/>
        <w:t>the</w:t>
      </w:r>
      <w:r>
        <w:rPr>
          <w:spacing w:val="-1"/>
        </w:rPr>
        <w:t> </w:t>
      </w:r>
      <w:r>
        <w:rPr/>
        <w:t>computed</w:t>
      </w:r>
      <w:r>
        <w:rPr>
          <w:spacing w:val="-1"/>
        </w:rPr>
        <w:t> </w:t>
      </w:r>
      <w:r>
        <w:rPr/>
        <w:t>probability</w:t>
      </w:r>
      <w:r>
        <w:rPr>
          <w:spacing w:val="-7"/>
        </w:rPr>
        <w:t> </w:t>
      </w:r>
      <w:r>
        <w:rPr/>
        <w:t>is</w:t>
      </w:r>
      <w:r>
        <w:rPr>
          <w:spacing w:val="-2"/>
        </w:rPr>
        <w:t> </w:t>
      </w:r>
      <w:r>
        <w:rPr/>
        <w:t>0.1945</w:t>
      </w:r>
      <w:r>
        <w:rPr>
          <w:spacing w:val="-1"/>
        </w:rPr>
        <w:t> </w:t>
      </w:r>
      <w:r>
        <w:rPr/>
        <w:t>and</w:t>
      </w:r>
      <w:r>
        <w:rPr>
          <w:spacing w:val="-1"/>
        </w:rPr>
        <w:t> </w:t>
      </w:r>
      <w:r>
        <w:rPr/>
        <w:t>this is higher than the accepted P-value 0.05 designed for the study. The HO was therefore rejected.</w:t>
      </w:r>
      <w:r>
        <w:rPr>
          <w:spacing w:val="40"/>
        </w:rPr>
        <w:t> </w:t>
      </w:r>
      <w:r>
        <w:rPr/>
        <w:t>It could, therefore, be concluded that there was no significant difference in the opinions of the three groups of respondents in respect of the positive impact of transportation facilities on the students’ welfare in the universities under study.</w:t>
      </w:r>
      <w:r>
        <w:rPr>
          <w:spacing w:val="80"/>
        </w:rPr>
        <w:t> </w:t>
      </w:r>
      <w:r>
        <w:rPr/>
        <w:t>This consensus among the respondents showed that improvement in transportation system generally in the country has eased the transportation problem. It is observed that</w:t>
      </w:r>
      <w:r>
        <w:rPr>
          <w:spacing w:val="-2"/>
        </w:rPr>
        <w:t> </w:t>
      </w:r>
      <w:r>
        <w:rPr/>
        <w:t>the</w:t>
      </w:r>
      <w:r>
        <w:rPr>
          <w:spacing w:val="-1"/>
        </w:rPr>
        <w:t> </w:t>
      </w:r>
      <w:r>
        <w:rPr/>
        <w:t>services of motorcyclists known as “okada”, “achaba”, “express” have come to ease transportation problems of members of the universities generally. For students who lived off campuses, taxis, buses and private cars could be available to transport them to the campuses.</w:t>
      </w:r>
      <w:r>
        <w:rPr>
          <w:spacing w:val="-4"/>
        </w:rPr>
        <w:t> </w:t>
      </w:r>
      <w:r>
        <w:rPr/>
        <w:t>Where</w:t>
      </w:r>
      <w:r>
        <w:rPr>
          <w:spacing w:val="-3"/>
        </w:rPr>
        <w:t> </w:t>
      </w:r>
      <w:r>
        <w:rPr/>
        <w:t>communicable buses were</w:t>
      </w:r>
      <w:r>
        <w:rPr>
          <w:spacing w:val="-3"/>
        </w:rPr>
        <w:t> </w:t>
      </w:r>
      <w:r>
        <w:rPr/>
        <w:t>not</w:t>
      </w:r>
      <w:r>
        <w:rPr>
          <w:spacing w:val="-4"/>
        </w:rPr>
        <w:t> </w:t>
      </w:r>
      <w:r>
        <w:rPr/>
        <w:t>allowed to go</w:t>
      </w:r>
      <w:r>
        <w:rPr>
          <w:spacing w:val="-7"/>
        </w:rPr>
        <w:t> </w:t>
      </w:r>
      <w:r>
        <w:rPr/>
        <w:t>in the campuses, most universities had made convenient arrangements for the motorcyclists to convey people in and out of the campuses.</w:t>
      </w:r>
    </w:p>
    <w:p>
      <w:pPr>
        <w:pStyle w:val="BodyText"/>
        <w:spacing w:line="480" w:lineRule="auto"/>
        <w:ind w:left="840" w:right="554" w:firstLine="720"/>
        <w:jc w:val="both"/>
      </w:pPr>
      <w:r>
        <w:rPr/>
        <w:t>For excursions, field trips, sports and other outside visits, the managements</w:t>
      </w:r>
      <w:r>
        <w:rPr>
          <w:spacing w:val="23"/>
        </w:rPr>
        <w:t> </w:t>
      </w:r>
      <w:r>
        <w:rPr/>
        <w:t>usually</w:t>
      </w:r>
      <w:r>
        <w:rPr>
          <w:spacing w:val="24"/>
        </w:rPr>
        <w:t> </w:t>
      </w:r>
      <w:r>
        <w:rPr/>
        <w:t>made</w:t>
      </w:r>
      <w:r>
        <w:rPr>
          <w:spacing w:val="25"/>
        </w:rPr>
        <w:t> </w:t>
      </w:r>
      <w:r>
        <w:rPr/>
        <w:t>concrete</w:t>
      </w:r>
      <w:r>
        <w:rPr>
          <w:spacing w:val="24"/>
        </w:rPr>
        <w:t> </w:t>
      </w:r>
      <w:r>
        <w:rPr/>
        <w:t>arrangements</w:t>
      </w:r>
      <w:r>
        <w:rPr>
          <w:spacing w:val="24"/>
        </w:rPr>
        <w:t> </w:t>
      </w:r>
      <w:r>
        <w:rPr/>
        <w:t>to</w:t>
      </w:r>
      <w:r>
        <w:rPr>
          <w:spacing w:val="24"/>
        </w:rPr>
        <w:t> </w:t>
      </w:r>
      <w:r>
        <w:rPr/>
        <w:t>convey</w:t>
      </w:r>
      <w:r>
        <w:rPr>
          <w:spacing w:val="24"/>
        </w:rPr>
        <w:t> </w:t>
      </w:r>
      <w:r>
        <w:rPr/>
        <w:t>students</w:t>
      </w:r>
      <w:r>
        <w:rPr>
          <w:spacing w:val="20"/>
        </w:rPr>
        <w:t> </w:t>
      </w:r>
      <w:r>
        <w:rPr/>
        <w:t>to</w:t>
      </w:r>
      <w:r>
        <w:rPr>
          <w:spacing w:val="24"/>
        </w:rPr>
        <w:t> </w:t>
      </w:r>
      <w:r>
        <w:rPr>
          <w:spacing w:val="-5"/>
        </w:rPr>
        <w:t>and</w:t>
      </w:r>
    </w:p>
    <w:p>
      <w:pPr>
        <w:spacing w:after="0" w:line="480" w:lineRule="auto"/>
        <w:jc w:val="both"/>
        <w:sectPr>
          <w:headerReference w:type="default" r:id="rId455"/>
          <w:footerReference w:type="default" r:id="rId456"/>
          <w:pgSz w:w="12240" w:h="15840"/>
          <w:pgMar w:header="722" w:footer="791" w:top="980" w:bottom="980" w:left="1320" w:right="880"/>
        </w:sectPr>
      </w:pPr>
    </w:p>
    <w:p>
      <w:pPr>
        <w:pStyle w:val="BodyText"/>
        <w:spacing w:before="171"/>
      </w:pPr>
    </w:p>
    <w:p>
      <w:pPr>
        <w:pStyle w:val="BodyText"/>
        <w:spacing w:line="480" w:lineRule="auto"/>
        <w:ind w:left="840"/>
      </w:pPr>
      <w:r>
        <w:rPr/>
        <w:t>from</w:t>
      </w:r>
      <w:r>
        <w:rPr>
          <w:spacing w:val="71"/>
        </w:rPr>
        <w:t> </w:t>
      </w:r>
      <w:r>
        <w:rPr/>
        <w:t>without</w:t>
      </w:r>
      <w:r>
        <w:rPr>
          <w:spacing w:val="75"/>
        </w:rPr>
        <w:t> </w:t>
      </w:r>
      <w:r>
        <w:rPr/>
        <w:t>stress.</w:t>
      </w:r>
      <w:r>
        <w:rPr>
          <w:spacing w:val="75"/>
        </w:rPr>
        <w:t> </w:t>
      </w:r>
      <w:r>
        <w:rPr/>
        <w:t>It</w:t>
      </w:r>
      <w:r>
        <w:rPr>
          <w:spacing w:val="70"/>
        </w:rPr>
        <w:t> </w:t>
      </w:r>
      <w:r>
        <w:rPr/>
        <w:t>could,</w:t>
      </w:r>
      <w:r>
        <w:rPr>
          <w:spacing w:val="70"/>
        </w:rPr>
        <w:t> </w:t>
      </w:r>
      <w:r>
        <w:rPr/>
        <w:t>therefore,</w:t>
      </w:r>
      <w:r>
        <w:rPr>
          <w:spacing w:val="75"/>
        </w:rPr>
        <w:t> </w:t>
      </w:r>
      <w:r>
        <w:rPr/>
        <w:t>be</w:t>
      </w:r>
      <w:r>
        <w:rPr>
          <w:spacing w:val="71"/>
        </w:rPr>
        <w:t> </w:t>
      </w:r>
      <w:r>
        <w:rPr/>
        <w:t>concluded</w:t>
      </w:r>
      <w:r>
        <w:rPr>
          <w:spacing w:val="71"/>
        </w:rPr>
        <w:t> </w:t>
      </w:r>
      <w:r>
        <w:rPr/>
        <w:t>that</w:t>
      </w:r>
      <w:r>
        <w:rPr>
          <w:spacing w:val="70"/>
        </w:rPr>
        <w:t> </w:t>
      </w:r>
      <w:r>
        <w:rPr/>
        <w:t>students</w:t>
      </w:r>
      <w:r>
        <w:rPr>
          <w:spacing w:val="74"/>
        </w:rPr>
        <w:t> </w:t>
      </w:r>
      <w:r>
        <w:rPr/>
        <w:t>did</w:t>
      </w:r>
      <w:r>
        <w:rPr>
          <w:spacing w:val="70"/>
        </w:rPr>
        <w:t> </w:t>
      </w:r>
      <w:r>
        <w:rPr/>
        <w:t>not experience problem of transportation in their universities.</w:t>
      </w:r>
    </w:p>
    <w:p>
      <w:pPr>
        <w:pStyle w:val="Heading4"/>
        <w:numPr>
          <w:ilvl w:val="2"/>
          <w:numId w:val="43"/>
        </w:numPr>
        <w:tabs>
          <w:tab w:pos="1020" w:val="left" w:leader="none"/>
        </w:tabs>
        <w:spacing w:line="240" w:lineRule="auto" w:before="1" w:after="0"/>
        <w:ind w:left="1020" w:right="0" w:hanging="900"/>
        <w:jc w:val="left"/>
      </w:pPr>
      <w:r>
        <w:rPr/>
        <w:t>Null</w:t>
      </w:r>
      <w:r>
        <w:rPr>
          <w:spacing w:val="-11"/>
        </w:rPr>
        <w:t> </w:t>
      </w:r>
      <w:r>
        <w:rPr/>
        <w:t>Hypothesis</w:t>
      </w:r>
      <w:r>
        <w:rPr>
          <w:spacing w:val="-10"/>
        </w:rPr>
        <w:t> </w:t>
      </w:r>
      <w:r>
        <w:rPr>
          <w:spacing w:val="-5"/>
        </w:rPr>
        <w:t>13</w:t>
      </w:r>
    </w:p>
    <w:p>
      <w:pPr>
        <w:pStyle w:val="BodyText"/>
        <w:spacing w:before="45"/>
        <w:rPr>
          <w:rFonts w:ascii="Arial"/>
          <w:b/>
        </w:rPr>
      </w:pPr>
    </w:p>
    <w:p>
      <w:pPr>
        <w:pStyle w:val="BodyText"/>
        <w:spacing w:line="480" w:lineRule="auto"/>
        <w:ind w:left="840" w:right="555" w:firstLine="720"/>
        <w:jc w:val="both"/>
      </w:pPr>
      <w:r>
        <w:rPr/>
        <w:t>There is no significant difference in the opinions of students, service staff and management staff in respect of the impact of religious services on the students’ welfare services in</w:t>
      </w:r>
      <w:r>
        <w:rPr>
          <w:spacing w:val="40"/>
        </w:rPr>
        <w:t> </w:t>
      </w:r>
      <w:r>
        <w:rPr/>
        <w:t>universities under study.</w:t>
      </w:r>
    </w:p>
    <w:p>
      <w:pPr>
        <w:pStyle w:val="BodyText"/>
        <w:spacing w:line="480" w:lineRule="auto"/>
        <w:ind w:left="840" w:right="558" w:firstLine="720"/>
        <w:jc w:val="both"/>
      </w:pPr>
      <w:r>
        <w:rPr/>
        <w:t>Data collected from the respondents on their responses in respect of the impact of religious services on the students’ welfare in these universities were based on items 63 to 67 in the questionnaire. One way analysis of variance (ANOVA) statistical procedure was used to test the null hypothesis. The differences of respondents’ responses were noted, recorded and presented in a summary form in Table 4.5.20.</w:t>
      </w:r>
    </w:p>
    <w:p>
      <w:pPr>
        <w:pStyle w:val="Heading2"/>
        <w:ind w:left="2587" w:right="585" w:hanging="1748"/>
      </w:pPr>
      <w:r>
        <w:rPr/>
        <w:t>Table</w:t>
      </w:r>
      <w:r>
        <w:rPr>
          <w:spacing w:val="-3"/>
        </w:rPr>
        <w:t> </w:t>
      </w:r>
      <w:r>
        <w:rPr/>
        <w:t>4.5.20:</w:t>
      </w:r>
      <w:r>
        <w:rPr>
          <w:spacing w:val="-4"/>
        </w:rPr>
        <w:t> </w:t>
      </w:r>
      <w:r>
        <w:rPr/>
        <w:t>Analysis</w:t>
      </w:r>
      <w:r>
        <w:rPr>
          <w:spacing w:val="-4"/>
        </w:rPr>
        <w:t> </w:t>
      </w:r>
      <w:r>
        <w:rPr/>
        <w:t>of</w:t>
      </w:r>
      <w:r>
        <w:rPr>
          <w:spacing w:val="-4"/>
        </w:rPr>
        <w:t> </w:t>
      </w:r>
      <w:r>
        <w:rPr/>
        <w:t>Variance</w:t>
      </w:r>
      <w:r>
        <w:rPr>
          <w:spacing w:val="-8"/>
        </w:rPr>
        <w:t> </w:t>
      </w:r>
      <w:r>
        <w:rPr/>
        <w:t>(ANOVA)</w:t>
      </w:r>
      <w:r>
        <w:rPr>
          <w:spacing w:val="-4"/>
        </w:rPr>
        <w:t> </w:t>
      </w:r>
      <w:r>
        <w:rPr/>
        <w:t>on</w:t>
      </w:r>
      <w:r>
        <w:rPr>
          <w:spacing w:val="-4"/>
        </w:rPr>
        <w:t> </w:t>
      </w:r>
      <w:r>
        <w:rPr/>
        <w:t>the</w:t>
      </w:r>
      <w:r>
        <w:rPr>
          <w:spacing w:val="-8"/>
        </w:rPr>
        <w:t> </w:t>
      </w:r>
      <w:r>
        <w:rPr/>
        <w:t>impact</w:t>
      </w:r>
      <w:r>
        <w:rPr>
          <w:spacing w:val="-4"/>
        </w:rPr>
        <w:t> </w:t>
      </w:r>
      <w:r>
        <w:rPr/>
        <w:t>of religious services on students’ welfare in the Universities under study</w:t>
      </w:r>
    </w:p>
    <w:p>
      <w:pPr>
        <w:pStyle w:val="BodyText"/>
        <w:spacing w:before="52"/>
        <w:rPr>
          <w:rFonts w:ascii="Arial"/>
          <w:b/>
          <w:sz w:val="20"/>
        </w:rPr>
      </w:pPr>
    </w:p>
    <w:tbl>
      <w:tblPr>
        <w:tblW w:w="0" w:type="auto"/>
        <w:jc w:val="left"/>
        <w:tblInd w:w="1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43"/>
        <w:gridCol w:w="866"/>
        <w:gridCol w:w="1290"/>
        <w:gridCol w:w="1254"/>
        <w:gridCol w:w="1237"/>
        <w:gridCol w:w="1672"/>
      </w:tblGrid>
      <w:tr>
        <w:trPr>
          <w:trHeight w:val="551" w:hRule="atLeast"/>
        </w:trPr>
        <w:tc>
          <w:tcPr>
            <w:tcW w:w="2143" w:type="dxa"/>
            <w:tcBorders>
              <w:top w:val="single" w:sz="4" w:space="0" w:color="000000"/>
              <w:left w:val="single" w:sz="4" w:space="0" w:color="000000"/>
              <w:bottom w:val="single" w:sz="4" w:space="0" w:color="000000"/>
            </w:tcBorders>
          </w:tcPr>
          <w:p>
            <w:pPr>
              <w:pStyle w:val="TableParagraph"/>
              <w:spacing w:line="265" w:lineRule="exact"/>
              <w:ind w:left="609"/>
              <w:rPr>
                <w:rFonts w:ascii="Arial"/>
                <w:b/>
                <w:sz w:val="24"/>
              </w:rPr>
            </w:pPr>
            <w:r>
              <w:rPr>
                <w:rFonts w:ascii="Arial"/>
                <w:b/>
                <w:sz w:val="24"/>
              </w:rPr>
              <w:t>Source</w:t>
            </w:r>
            <w:r>
              <w:rPr>
                <w:rFonts w:ascii="Arial"/>
                <w:b/>
                <w:spacing w:val="-12"/>
                <w:sz w:val="24"/>
              </w:rPr>
              <w:t> </w:t>
            </w:r>
            <w:r>
              <w:rPr>
                <w:rFonts w:ascii="Arial"/>
                <w:b/>
                <w:spacing w:val="-5"/>
                <w:sz w:val="24"/>
              </w:rPr>
              <w:t>of</w:t>
            </w:r>
          </w:p>
          <w:p>
            <w:pPr>
              <w:pStyle w:val="TableParagraph"/>
              <w:spacing w:line="266" w:lineRule="exact"/>
              <w:ind w:left="652"/>
              <w:rPr>
                <w:rFonts w:ascii="Arial"/>
                <w:b/>
                <w:sz w:val="24"/>
              </w:rPr>
            </w:pPr>
            <w:r>
              <w:rPr>
                <w:rFonts w:ascii="Arial"/>
                <w:b/>
                <w:spacing w:val="-2"/>
                <w:sz w:val="24"/>
              </w:rPr>
              <w:t>Variation</w:t>
            </w:r>
          </w:p>
        </w:tc>
        <w:tc>
          <w:tcPr>
            <w:tcW w:w="866" w:type="dxa"/>
            <w:tcBorders>
              <w:top w:val="single" w:sz="4" w:space="0" w:color="000000"/>
              <w:bottom w:val="single" w:sz="4" w:space="0" w:color="000000"/>
            </w:tcBorders>
          </w:tcPr>
          <w:p>
            <w:pPr>
              <w:pStyle w:val="TableParagraph"/>
              <w:spacing w:line="267" w:lineRule="exact"/>
              <w:ind w:right="148"/>
              <w:jc w:val="right"/>
              <w:rPr>
                <w:rFonts w:ascii="Arial"/>
                <w:b/>
                <w:sz w:val="24"/>
              </w:rPr>
            </w:pPr>
            <w:r>
              <w:rPr>
                <w:rFonts w:ascii="Arial"/>
                <w:b/>
                <w:spacing w:val="-5"/>
                <w:sz w:val="24"/>
              </w:rPr>
              <w:t>DF</w:t>
            </w:r>
          </w:p>
        </w:tc>
        <w:tc>
          <w:tcPr>
            <w:tcW w:w="1290" w:type="dxa"/>
            <w:tcBorders>
              <w:top w:val="single" w:sz="4" w:space="0" w:color="000000"/>
              <w:bottom w:val="single" w:sz="4" w:space="0" w:color="000000"/>
            </w:tcBorders>
          </w:tcPr>
          <w:p>
            <w:pPr>
              <w:pStyle w:val="TableParagraph"/>
              <w:spacing w:line="265" w:lineRule="exact"/>
              <w:ind w:left="274"/>
              <w:rPr>
                <w:rFonts w:ascii="Arial"/>
                <w:b/>
                <w:sz w:val="24"/>
              </w:rPr>
            </w:pPr>
            <w:r>
              <w:rPr>
                <w:rFonts w:ascii="Arial"/>
                <w:b/>
                <w:sz w:val="24"/>
              </w:rPr>
              <w:t>Sum</w:t>
            </w:r>
            <w:r>
              <w:rPr>
                <w:rFonts w:ascii="Arial"/>
                <w:b/>
                <w:spacing w:val="-13"/>
                <w:sz w:val="24"/>
              </w:rPr>
              <w:t> </w:t>
            </w:r>
            <w:r>
              <w:rPr>
                <w:rFonts w:ascii="Arial"/>
                <w:b/>
                <w:spacing w:val="-5"/>
                <w:sz w:val="24"/>
              </w:rPr>
              <w:t>of</w:t>
            </w:r>
          </w:p>
          <w:p>
            <w:pPr>
              <w:pStyle w:val="TableParagraph"/>
              <w:spacing w:line="266" w:lineRule="exact"/>
              <w:ind w:left="207"/>
              <w:rPr>
                <w:rFonts w:ascii="Arial"/>
                <w:b/>
                <w:sz w:val="24"/>
              </w:rPr>
            </w:pPr>
            <w:r>
              <w:rPr>
                <w:rFonts w:ascii="Arial"/>
                <w:b/>
                <w:spacing w:val="-2"/>
                <w:sz w:val="24"/>
              </w:rPr>
              <w:t>Squares</w:t>
            </w:r>
          </w:p>
        </w:tc>
        <w:tc>
          <w:tcPr>
            <w:tcW w:w="1254" w:type="dxa"/>
            <w:tcBorders>
              <w:top w:val="single" w:sz="4" w:space="0" w:color="000000"/>
              <w:bottom w:val="single" w:sz="4" w:space="0" w:color="000000"/>
            </w:tcBorders>
          </w:tcPr>
          <w:p>
            <w:pPr>
              <w:pStyle w:val="TableParagraph"/>
              <w:spacing w:line="265" w:lineRule="exact"/>
              <w:ind w:left="52"/>
              <w:jc w:val="center"/>
              <w:rPr>
                <w:rFonts w:ascii="Arial"/>
                <w:b/>
                <w:sz w:val="24"/>
              </w:rPr>
            </w:pPr>
            <w:r>
              <w:rPr>
                <w:rFonts w:ascii="Arial"/>
                <w:b/>
                <w:spacing w:val="-4"/>
                <w:sz w:val="24"/>
              </w:rPr>
              <w:t>Mean</w:t>
            </w:r>
          </w:p>
          <w:p>
            <w:pPr>
              <w:pStyle w:val="TableParagraph"/>
              <w:spacing w:line="266" w:lineRule="exact"/>
              <w:ind w:left="52" w:right="3"/>
              <w:jc w:val="center"/>
              <w:rPr>
                <w:rFonts w:ascii="Arial"/>
                <w:b/>
                <w:sz w:val="24"/>
              </w:rPr>
            </w:pPr>
            <w:r>
              <w:rPr>
                <w:rFonts w:ascii="Arial"/>
                <w:b/>
                <w:spacing w:val="-2"/>
                <w:sz w:val="24"/>
              </w:rPr>
              <w:t>Squares</w:t>
            </w:r>
          </w:p>
        </w:tc>
        <w:tc>
          <w:tcPr>
            <w:tcW w:w="1237" w:type="dxa"/>
            <w:tcBorders>
              <w:top w:val="single" w:sz="4" w:space="0" w:color="000000"/>
              <w:bottom w:val="single" w:sz="4" w:space="0" w:color="000000"/>
            </w:tcBorders>
          </w:tcPr>
          <w:p>
            <w:pPr>
              <w:pStyle w:val="TableParagraph"/>
              <w:spacing w:line="267" w:lineRule="exact"/>
              <w:ind w:left="226"/>
              <w:rPr>
                <w:rFonts w:ascii="Arial"/>
                <w:b/>
                <w:sz w:val="24"/>
              </w:rPr>
            </w:pPr>
            <w:r>
              <w:rPr>
                <w:rFonts w:ascii="Arial"/>
                <w:b/>
                <w:sz w:val="24"/>
              </w:rPr>
              <w:t>F </w:t>
            </w:r>
            <w:r>
              <w:rPr>
                <w:rFonts w:ascii="Arial"/>
                <w:b/>
                <w:spacing w:val="-2"/>
                <w:sz w:val="24"/>
              </w:rPr>
              <w:t>Value</w:t>
            </w:r>
          </w:p>
        </w:tc>
        <w:tc>
          <w:tcPr>
            <w:tcW w:w="1672" w:type="dxa"/>
            <w:tcBorders>
              <w:top w:val="single" w:sz="4" w:space="0" w:color="000000"/>
              <w:bottom w:val="single" w:sz="4" w:space="0" w:color="000000"/>
              <w:right w:val="single" w:sz="4" w:space="0" w:color="000000"/>
            </w:tcBorders>
          </w:tcPr>
          <w:p>
            <w:pPr>
              <w:pStyle w:val="TableParagraph"/>
              <w:spacing w:line="265" w:lineRule="exact"/>
              <w:ind w:left="67" w:right="16"/>
              <w:jc w:val="center"/>
              <w:rPr>
                <w:rFonts w:ascii="Arial"/>
                <w:b/>
                <w:sz w:val="24"/>
              </w:rPr>
            </w:pPr>
            <w:r>
              <w:rPr>
                <w:rFonts w:ascii="Arial"/>
                <w:b/>
                <w:spacing w:val="-10"/>
                <w:sz w:val="24"/>
              </w:rPr>
              <w:t>P</w:t>
            </w:r>
          </w:p>
          <w:p>
            <w:pPr>
              <w:pStyle w:val="TableParagraph"/>
              <w:spacing w:line="266" w:lineRule="exact"/>
              <w:ind w:left="67" w:right="4"/>
              <w:jc w:val="center"/>
              <w:rPr>
                <w:rFonts w:ascii="Arial"/>
                <w:b/>
                <w:sz w:val="24"/>
              </w:rPr>
            </w:pPr>
            <w:r>
              <w:rPr>
                <w:rFonts w:ascii="Arial"/>
                <w:b/>
                <w:spacing w:val="-2"/>
                <w:sz w:val="24"/>
              </w:rPr>
              <w:t>Probability</w:t>
            </w:r>
          </w:p>
        </w:tc>
      </w:tr>
      <w:tr>
        <w:trPr>
          <w:trHeight w:val="413" w:hRule="atLeast"/>
        </w:trPr>
        <w:tc>
          <w:tcPr>
            <w:tcW w:w="2143" w:type="dxa"/>
            <w:tcBorders>
              <w:top w:val="single" w:sz="4" w:space="0" w:color="000000"/>
              <w:left w:val="single" w:sz="4" w:space="0" w:color="000000"/>
            </w:tcBorders>
          </w:tcPr>
          <w:p>
            <w:pPr>
              <w:pStyle w:val="TableParagraph"/>
              <w:spacing w:line="271" w:lineRule="exact"/>
              <w:ind w:left="105"/>
              <w:rPr>
                <w:sz w:val="24"/>
              </w:rPr>
            </w:pPr>
            <w:r>
              <w:rPr>
                <w:sz w:val="24"/>
              </w:rPr>
              <w:t>Between</w:t>
            </w:r>
            <w:r>
              <w:rPr>
                <w:spacing w:val="-13"/>
                <w:sz w:val="24"/>
              </w:rPr>
              <w:t> </w:t>
            </w:r>
            <w:r>
              <w:rPr>
                <w:spacing w:val="-2"/>
                <w:sz w:val="24"/>
              </w:rPr>
              <w:t>groups</w:t>
            </w:r>
          </w:p>
        </w:tc>
        <w:tc>
          <w:tcPr>
            <w:tcW w:w="866" w:type="dxa"/>
            <w:tcBorders>
              <w:top w:val="single" w:sz="4" w:space="0" w:color="000000"/>
            </w:tcBorders>
          </w:tcPr>
          <w:p>
            <w:pPr>
              <w:pStyle w:val="TableParagraph"/>
              <w:spacing w:line="271" w:lineRule="exact"/>
              <w:ind w:right="120"/>
              <w:jc w:val="center"/>
              <w:rPr>
                <w:sz w:val="24"/>
              </w:rPr>
            </w:pPr>
            <w:r>
              <w:rPr>
                <w:spacing w:val="-10"/>
                <w:sz w:val="24"/>
              </w:rPr>
              <w:t>2</w:t>
            </w:r>
          </w:p>
        </w:tc>
        <w:tc>
          <w:tcPr>
            <w:tcW w:w="1290" w:type="dxa"/>
            <w:tcBorders>
              <w:top w:val="single" w:sz="4" w:space="0" w:color="000000"/>
            </w:tcBorders>
          </w:tcPr>
          <w:p>
            <w:pPr>
              <w:pStyle w:val="TableParagraph"/>
              <w:spacing w:line="271" w:lineRule="exact"/>
              <w:ind w:left="158"/>
              <w:rPr>
                <w:sz w:val="24"/>
              </w:rPr>
            </w:pPr>
            <w:r>
              <w:rPr>
                <w:spacing w:val="-2"/>
                <w:sz w:val="24"/>
              </w:rPr>
              <w:t>7.1192</w:t>
            </w:r>
          </w:p>
        </w:tc>
        <w:tc>
          <w:tcPr>
            <w:tcW w:w="1254" w:type="dxa"/>
            <w:tcBorders>
              <w:top w:val="single" w:sz="4" w:space="0" w:color="000000"/>
            </w:tcBorders>
          </w:tcPr>
          <w:p>
            <w:pPr>
              <w:pStyle w:val="TableParagraph"/>
              <w:spacing w:line="271" w:lineRule="exact"/>
              <w:ind w:left="131"/>
              <w:rPr>
                <w:sz w:val="24"/>
              </w:rPr>
            </w:pPr>
            <w:r>
              <w:rPr>
                <w:spacing w:val="-2"/>
                <w:sz w:val="24"/>
              </w:rPr>
              <w:t>3.5596</w:t>
            </w:r>
          </w:p>
        </w:tc>
        <w:tc>
          <w:tcPr>
            <w:tcW w:w="1237" w:type="dxa"/>
            <w:tcBorders>
              <w:top w:val="single" w:sz="4" w:space="0" w:color="000000"/>
            </w:tcBorders>
          </w:tcPr>
          <w:p>
            <w:pPr>
              <w:pStyle w:val="TableParagraph"/>
              <w:spacing w:line="271" w:lineRule="exact"/>
              <w:ind w:left="135"/>
              <w:rPr>
                <w:sz w:val="24"/>
              </w:rPr>
            </w:pPr>
            <w:r>
              <w:rPr>
                <w:spacing w:val="-2"/>
                <w:sz w:val="24"/>
              </w:rPr>
              <w:t>7.2968</w:t>
            </w:r>
          </w:p>
        </w:tc>
        <w:tc>
          <w:tcPr>
            <w:tcW w:w="1672" w:type="dxa"/>
            <w:tcBorders>
              <w:top w:val="single" w:sz="4" w:space="0" w:color="000000"/>
              <w:right w:val="single" w:sz="4" w:space="0" w:color="000000"/>
            </w:tcBorders>
          </w:tcPr>
          <w:p>
            <w:pPr>
              <w:pStyle w:val="TableParagraph"/>
              <w:spacing w:line="271" w:lineRule="exact"/>
              <w:ind w:left="160"/>
              <w:rPr>
                <w:sz w:val="24"/>
              </w:rPr>
            </w:pPr>
            <w:r>
              <w:rPr>
                <w:spacing w:val="-2"/>
                <w:sz w:val="24"/>
              </w:rPr>
              <w:t>0.0008</w:t>
            </w:r>
          </w:p>
        </w:tc>
      </w:tr>
      <w:tr>
        <w:trPr>
          <w:trHeight w:val="690" w:hRule="atLeast"/>
        </w:trPr>
        <w:tc>
          <w:tcPr>
            <w:tcW w:w="2143" w:type="dxa"/>
            <w:tcBorders>
              <w:left w:val="single" w:sz="4" w:space="0" w:color="000000"/>
              <w:bottom w:val="single" w:sz="4" w:space="0" w:color="000000"/>
            </w:tcBorders>
          </w:tcPr>
          <w:p>
            <w:pPr>
              <w:pStyle w:val="TableParagraph"/>
              <w:spacing w:before="134"/>
              <w:ind w:left="105"/>
              <w:rPr>
                <w:sz w:val="24"/>
              </w:rPr>
            </w:pPr>
            <w:r>
              <w:rPr>
                <w:sz w:val="24"/>
              </w:rPr>
              <w:t>Within</w:t>
            </w:r>
            <w:r>
              <w:rPr>
                <w:spacing w:val="-3"/>
                <w:sz w:val="24"/>
              </w:rPr>
              <w:t> </w:t>
            </w:r>
            <w:r>
              <w:rPr>
                <w:spacing w:val="-2"/>
                <w:sz w:val="24"/>
              </w:rPr>
              <w:t>groups</w:t>
            </w:r>
          </w:p>
        </w:tc>
        <w:tc>
          <w:tcPr>
            <w:tcW w:w="866" w:type="dxa"/>
            <w:tcBorders>
              <w:bottom w:val="single" w:sz="4" w:space="0" w:color="000000"/>
            </w:tcBorders>
          </w:tcPr>
          <w:p>
            <w:pPr>
              <w:pStyle w:val="TableParagraph"/>
              <w:spacing w:before="134"/>
              <w:ind w:right="157"/>
              <w:jc w:val="right"/>
              <w:rPr>
                <w:sz w:val="24"/>
              </w:rPr>
            </w:pPr>
            <w:r>
              <w:rPr>
                <w:spacing w:val="-5"/>
                <w:sz w:val="24"/>
              </w:rPr>
              <w:t>458</w:t>
            </w:r>
          </w:p>
        </w:tc>
        <w:tc>
          <w:tcPr>
            <w:tcW w:w="1290" w:type="dxa"/>
            <w:tcBorders>
              <w:bottom w:val="single" w:sz="4" w:space="0" w:color="000000"/>
            </w:tcBorders>
          </w:tcPr>
          <w:p>
            <w:pPr>
              <w:pStyle w:val="TableParagraph"/>
              <w:spacing w:before="134"/>
              <w:ind w:left="158"/>
              <w:rPr>
                <w:sz w:val="24"/>
              </w:rPr>
            </w:pPr>
            <w:r>
              <w:rPr>
                <w:spacing w:val="-2"/>
                <w:sz w:val="24"/>
              </w:rPr>
              <w:t>223.4252</w:t>
            </w:r>
          </w:p>
        </w:tc>
        <w:tc>
          <w:tcPr>
            <w:tcW w:w="1254" w:type="dxa"/>
            <w:tcBorders>
              <w:bottom w:val="single" w:sz="4" w:space="0" w:color="000000"/>
            </w:tcBorders>
          </w:tcPr>
          <w:p>
            <w:pPr>
              <w:pStyle w:val="TableParagraph"/>
              <w:spacing w:before="134"/>
              <w:ind w:left="131"/>
              <w:rPr>
                <w:sz w:val="24"/>
              </w:rPr>
            </w:pPr>
            <w:r>
              <w:rPr>
                <w:spacing w:val="-2"/>
                <w:sz w:val="24"/>
              </w:rPr>
              <w:t>0.4878</w:t>
            </w:r>
          </w:p>
        </w:tc>
        <w:tc>
          <w:tcPr>
            <w:tcW w:w="1237" w:type="dxa"/>
            <w:tcBorders>
              <w:bottom w:val="single" w:sz="4" w:space="0" w:color="000000"/>
            </w:tcBorders>
          </w:tcPr>
          <w:p>
            <w:pPr>
              <w:pStyle w:val="TableParagraph"/>
              <w:rPr>
                <w:rFonts w:ascii="Times New Roman"/>
                <w:sz w:val="24"/>
              </w:rPr>
            </w:pPr>
          </w:p>
        </w:tc>
        <w:tc>
          <w:tcPr>
            <w:tcW w:w="1672" w:type="dxa"/>
            <w:tcBorders>
              <w:bottom w:val="single" w:sz="4" w:space="0" w:color="000000"/>
              <w:right w:val="single" w:sz="4" w:space="0" w:color="000000"/>
            </w:tcBorders>
          </w:tcPr>
          <w:p>
            <w:pPr>
              <w:pStyle w:val="TableParagraph"/>
              <w:rPr>
                <w:rFonts w:ascii="Times New Roman"/>
                <w:sz w:val="24"/>
              </w:rPr>
            </w:pPr>
          </w:p>
        </w:tc>
      </w:tr>
      <w:tr>
        <w:trPr>
          <w:trHeight w:val="277" w:hRule="atLeast"/>
        </w:trPr>
        <w:tc>
          <w:tcPr>
            <w:tcW w:w="2143"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866" w:type="dxa"/>
            <w:tcBorders>
              <w:top w:val="single" w:sz="4" w:space="0" w:color="000000"/>
              <w:bottom w:val="single" w:sz="4" w:space="0" w:color="000000"/>
            </w:tcBorders>
          </w:tcPr>
          <w:p>
            <w:pPr>
              <w:pStyle w:val="TableParagraph"/>
              <w:spacing w:line="258" w:lineRule="exact"/>
              <w:ind w:right="157"/>
              <w:jc w:val="right"/>
              <w:rPr>
                <w:sz w:val="24"/>
              </w:rPr>
            </w:pPr>
            <w:r>
              <w:rPr>
                <w:spacing w:val="-5"/>
                <w:sz w:val="24"/>
              </w:rPr>
              <w:t>460</w:t>
            </w:r>
          </w:p>
        </w:tc>
        <w:tc>
          <w:tcPr>
            <w:tcW w:w="1290" w:type="dxa"/>
            <w:tcBorders>
              <w:top w:val="single" w:sz="4" w:space="0" w:color="000000"/>
              <w:bottom w:val="single" w:sz="4" w:space="0" w:color="000000"/>
            </w:tcBorders>
          </w:tcPr>
          <w:p>
            <w:pPr>
              <w:pStyle w:val="TableParagraph"/>
              <w:spacing w:line="258" w:lineRule="exact"/>
              <w:ind w:left="158"/>
              <w:rPr>
                <w:sz w:val="24"/>
              </w:rPr>
            </w:pPr>
            <w:r>
              <w:rPr>
                <w:spacing w:val="-2"/>
                <w:sz w:val="24"/>
              </w:rPr>
              <w:t>230.5444</w:t>
            </w:r>
          </w:p>
        </w:tc>
        <w:tc>
          <w:tcPr>
            <w:tcW w:w="1254" w:type="dxa"/>
            <w:tcBorders>
              <w:top w:val="single" w:sz="4" w:space="0" w:color="000000"/>
              <w:bottom w:val="single" w:sz="4" w:space="0" w:color="000000"/>
            </w:tcBorders>
          </w:tcPr>
          <w:p>
            <w:pPr>
              <w:pStyle w:val="TableParagraph"/>
              <w:rPr>
                <w:rFonts w:ascii="Times New Roman"/>
                <w:sz w:val="20"/>
              </w:rPr>
            </w:pPr>
          </w:p>
        </w:tc>
        <w:tc>
          <w:tcPr>
            <w:tcW w:w="1237" w:type="dxa"/>
            <w:tcBorders>
              <w:top w:val="single" w:sz="4" w:space="0" w:color="000000"/>
              <w:bottom w:val="single" w:sz="4" w:space="0" w:color="000000"/>
            </w:tcBorders>
          </w:tcPr>
          <w:p>
            <w:pPr>
              <w:pStyle w:val="TableParagraph"/>
              <w:rPr>
                <w:rFonts w:ascii="Times New Roman"/>
                <w:sz w:val="20"/>
              </w:rPr>
            </w:pPr>
          </w:p>
        </w:tc>
        <w:tc>
          <w:tcPr>
            <w:tcW w:w="1672" w:type="dxa"/>
            <w:tcBorders>
              <w:top w:val="single" w:sz="4" w:space="0" w:color="000000"/>
              <w:bottom w:val="single" w:sz="4" w:space="0" w:color="000000"/>
              <w:right w:val="single" w:sz="4" w:space="0" w:color="000000"/>
            </w:tcBorders>
          </w:tcPr>
          <w:p>
            <w:pPr>
              <w:pStyle w:val="TableParagraph"/>
              <w:rPr>
                <w:rFonts w:ascii="Times New Roman"/>
                <w:sz w:val="20"/>
              </w:rPr>
            </w:pPr>
          </w:p>
        </w:tc>
      </w:tr>
    </w:tbl>
    <w:p>
      <w:pPr>
        <w:pStyle w:val="BodyText"/>
        <w:ind w:left="1560"/>
      </w:pPr>
      <w:r>
        <w:rPr/>
        <w:t>F</w:t>
      </w:r>
      <w:r>
        <w:rPr>
          <w:spacing w:val="-4"/>
        </w:rPr>
        <w:t> </w:t>
      </w:r>
      <w:r>
        <w:rPr/>
        <w:t>Probability</w:t>
      </w:r>
      <w:r>
        <w:rPr>
          <w:spacing w:val="-5"/>
        </w:rPr>
        <w:t> </w:t>
      </w:r>
      <w:r>
        <w:rPr/>
        <w:t>&lt;</w:t>
      </w:r>
      <w:r>
        <w:rPr>
          <w:spacing w:val="-6"/>
        </w:rPr>
        <w:t> </w:t>
      </w:r>
      <w:r>
        <w:rPr/>
        <w:t>0.05</w:t>
      </w:r>
      <w:r>
        <w:rPr>
          <w:spacing w:val="-4"/>
        </w:rPr>
        <w:t> </w:t>
      </w:r>
      <w:r>
        <w:rPr/>
        <w:t>=&gt;</w:t>
      </w:r>
      <w:r>
        <w:rPr>
          <w:spacing w:val="-6"/>
        </w:rPr>
        <w:t> </w:t>
      </w:r>
      <w:r>
        <w:rPr>
          <w:spacing w:val="-5"/>
        </w:rPr>
        <w:t>Rjd</w:t>
      </w:r>
    </w:p>
    <w:p>
      <w:pPr>
        <w:pStyle w:val="BodyText"/>
        <w:spacing w:line="480" w:lineRule="auto" w:before="273"/>
        <w:ind w:left="840" w:right="555" w:firstLine="720"/>
        <w:jc w:val="both"/>
      </w:pPr>
      <w:r>
        <w:rPr/>
        <w:t>From Table 4.5.20 above, it could be observed that the computed F probability is 0.0008. This is lower than accepted P-value of 0.05 set for the study.</w:t>
      </w:r>
      <w:r>
        <w:rPr>
          <w:spacing w:val="47"/>
        </w:rPr>
        <w:t> </w:t>
      </w:r>
      <w:r>
        <w:rPr/>
        <w:t>The</w:t>
      </w:r>
      <w:r>
        <w:rPr>
          <w:spacing w:val="47"/>
        </w:rPr>
        <w:t> </w:t>
      </w:r>
      <w:r>
        <w:rPr/>
        <w:t>HO</w:t>
      </w:r>
      <w:r>
        <w:rPr>
          <w:spacing w:val="47"/>
        </w:rPr>
        <w:t> </w:t>
      </w:r>
      <w:r>
        <w:rPr/>
        <w:t>was</w:t>
      </w:r>
      <w:r>
        <w:rPr>
          <w:spacing w:val="46"/>
        </w:rPr>
        <w:t> </w:t>
      </w:r>
      <w:r>
        <w:rPr/>
        <w:t>therefore</w:t>
      </w:r>
      <w:r>
        <w:rPr>
          <w:spacing w:val="48"/>
        </w:rPr>
        <w:t> </w:t>
      </w:r>
      <w:r>
        <w:rPr/>
        <w:t>rejected.</w:t>
      </w:r>
      <w:r>
        <w:rPr>
          <w:spacing w:val="47"/>
        </w:rPr>
        <w:t>  </w:t>
      </w:r>
      <w:r>
        <w:rPr/>
        <w:t>It</w:t>
      </w:r>
      <w:r>
        <w:rPr>
          <w:spacing w:val="44"/>
        </w:rPr>
        <w:t> </w:t>
      </w:r>
      <w:r>
        <w:rPr/>
        <w:t>is,</w:t>
      </w:r>
      <w:r>
        <w:rPr>
          <w:spacing w:val="46"/>
        </w:rPr>
        <w:t> </w:t>
      </w:r>
      <w:r>
        <w:rPr/>
        <w:t>therefore,</w:t>
      </w:r>
      <w:r>
        <w:rPr>
          <w:spacing w:val="46"/>
        </w:rPr>
        <w:t> </w:t>
      </w:r>
      <w:r>
        <w:rPr/>
        <w:t>to</w:t>
      </w:r>
      <w:r>
        <w:rPr>
          <w:spacing w:val="47"/>
        </w:rPr>
        <w:t> </w:t>
      </w:r>
      <w:r>
        <w:rPr/>
        <w:t>be</w:t>
      </w:r>
      <w:r>
        <w:rPr>
          <w:spacing w:val="47"/>
        </w:rPr>
        <w:t> </w:t>
      </w:r>
      <w:r>
        <w:rPr/>
        <w:t>concluded</w:t>
      </w:r>
      <w:r>
        <w:rPr>
          <w:spacing w:val="47"/>
        </w:rPr>
        <w:t> </w:t>
      </w:r>
      <w:r>
        <w:rPr>
          <w:spacing w:val="-4"/>
        </w:rPr>
        <w:t>that</w:t>
      </w:r>
    </w:p>
    <w:p>
      <w:pPr>
        <w:spacing w:after="0" w:line="480" w:lineRule="auto"/>
        <w:jc w:val="both"/>
        <w:sectPr>
          <w:headerReference w:type="default" r:id="rId457"/>
          <w:footerReference w:type="default" r:id="rId458"/>
          <w:pgSz w:w="12240" w:h="15840"/>
          <w:pgMar w:header="722" w:footer="791" w:top="980" w:bottom="980" w:left="1320" w:right="880"/>
        </w:sectPr>
      </w:pPr>
    </w:p>
    <w:p>
      <w:pPr>
        <w:pStyle w:val="BodyText"/>
        <w:spacing w:before="171"/>
      </w:pPr>
    </w:p>
    <w:p>
      <w:pPr>
        <w:pStyle w:val="BodyText"/>
        <w:spacing w:line="480" w:lineRule="auto"/>
        <w:ind w:left="840" w:right="563"/>
        <w:jc w:val="both"/>
      </w:pPr>
      <w:r>
        <w:rPr/>
        <w:t>significant difference existed in the opinions of respondents on the impact of religious services on students’ welfare in the universities.</w:t>
      </w:r>
    </w:p>
    <w:p>
      <w:pPr>
        <w:pStyle w:val="BodyText"/>
        <w:spacing w:line="480" w:lineRule="auto" w:before="1"/>
        <w:ind w:left="840" w:right="554" w:firstLine="720"/>
        <w:jc w:val="both"/>
      </w:pPr>
      <w:r>
        <w:rPr/>
        <w:t>To examine the degree of relationship in the opinions of respondents on the impact of religious service on students’ welfare in these universities.</w:t>
      </w:r>
      <w:r>
        <w:rPr>
          <w:spacing w:val="40"/>
        </w:rPr>
        <w:t> </w:t>
      </w:r>
      <w:r>
        <w:rPr/>
        <w:t>Scheffe’s Multiple Comparison Test was adopted and the result is recorded and presented in Table 4.5.21.</w:t>
      </w:r>
    </w:p>
    <w:p>
      <w:pPr>
        <w:pStyle w:val="Heading2"/>
        <w:ind w:left="2568" w:right="561" w:hanging="1728"/>
        <w:jc w:val="both"/>
      </w:pPr>
      <w:r>
        <w:rPr/>
        <w:t>Table</w:t>
      </w:r>
      <w:r>
        <w:rPr>
          <w:spacing w:val="-18"/>
        </w:rPr>
        <w:t> </w:t>
      </w:r>
      <w:r>
        <w:rPr/>
        <w:t>4.5.21:</w:t>
      </w:r>
      <w:r>
        <w:rPr>
          <w:spacing w:val="-19"/>
        </w:rPr>
        <w:t> </w:t>
      </w:r>
      <w:r>
        <w:rPr/>
        <w:t>Scheffe’s</w:t>
      </w:r>
      <w:r>
        <w:rPr>
          <w:spacing w:val="-5"/>
        </w:rPr>
        <w:t> </w:t>
      </w:r>
      <w:r>
        <w:rPr/>
        <w:t>Multiple</w:t>
      </w:r>
      <w:r>
        <w:rPr>
          <w:spacing w:val="-6"/>
        </w:rPr>
        <w:t> </w:t>
      </w:r>
      <w:r>
        <w:rPr/>
        <w:t>Comparison</w:t>
      </w:r>
      <w:r>
        <w:rPr>
          <w:spacing w:val="-6"/>
        </w:rPr>
        <w:t> </w:t>
      </w:r>
      <w:r>
        <w:rPr/>
        <w:t>Test</w:t>
      </w:r>
      <w:r>
        <w:rPr>
          <w:spacing w:val="-6"/>
        </w:rPr>
        <w:t> </w:t>
      </w:r>
      <w:r>
        <w:rPr/>
        <w:t>on</w:t>
      </w:r>
      <w:r>
        <w:rPr>
          <w:spacing w:val="-6"/>
        </w:rPr>
        <w:t> </w:t>
      </w:r>
      <w:r>
        <w:rPr/>
        <w:t>the</w:t>
      </w:r>
      <w:r>
        <w:rPr>
          <w:spacing w:val="-6"/>
        </w:rPr>
        <w:t> </w:t>
      </w:r>
      <w:r>
        <w:rPr/>
        <w:t>opinions of respondents on the impact of religious services on the students’ welfare</w:t>
      </w:r>
      <w:r>
        <w:rPr>
          <w:spacing w:val="80"/>
        </w:rPr>
        <w:t> </w:t>
      </w:r>
      <w:r>
        <w:rPr/>
        <w:t>in universities under</w:t>
      </w:r>
      <w:r>
        <w:rPr>
          <w:spacing w:val="80"/>
        </w:rPr>
        <w:t> </w:t>
      </w:r>
      <w:r>
        <w:rPr>
          <w:spacing w:val="-4"/>
        </w:rPr>
        <w:t>study</w:t>
      </w:r>
    </w:p>
    <w:p>
      <w:pPr>
        <w:pStyle w:val="BodyText"/>
        <w:spacing w:before="51"/>
        <w:rPr>
          <w:rFonts w:ascii="Arial"/>
          <w:b/>
          <w:sz w:val="20"/>
        </w:rPr>
      </w:pPr>
    </w:p>
    <w:tbl>
      <w:tblPr>
        <w:tblW w:w="0" w:type="auto"/>
        <w:jc w:val="left"/>
        <w:tblInd w:w="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86"/>
        <w:gridCol w:w="1730"/>
        <w:gridCol w:w="1665"/>
        <w:gridCol w:w="1592"/>
        <w:gridCol w:w="1259"/>
        <w:gridCol w:w="900"/>
      </w:tblGrid>
      <w:tr>
        <w:trPr>
          <w:trHeight w:val="825" w:hRule="atLeast"/>
        </w:trPr>
        <w:tc>
          <w:tcPr>
            <w:tcW w:w="1586" w:type="dxa"/>
            <w:tcBorders>
              <w:top w:val="single" w:sz="4" w:space="0" w:color="000000"/>
              <w:left w:val="single" w:sz="4" w:space="0" w:color="000000"/>
              <w:bottom w:val="single" w:sz="4" w:space="0" w:color="000000"/>
            </w:tcBorders>
          </w:tcPr>
          <w:p>
            <w:pPr>
              <w:pStyle w:val="TableParagraph"/>
              <w:spacing w:line="237" w:lineRule="auto"/>
              <w:ind w:left="95"/>
              <w:rPr>
                <w:sz w:val="24"/>
              </w:rPr>
            </w:pPr>
            <w:r>
              <w:rPr>
                <w:spacing w:val="-2"/>
                <w:sz w:val="24"/>
              </w:rPr>
              <w:t>Dependent Variable</w:t>
            </w:r>
          </w:p>
        </w:tc>
        <w:tc>
          <w:tcPr>
            <w:tcW w:w="1730" w:type="dxa"/>
            <w:tcBorders>
              <w:top w:val="single" w:sz="4" w:space="0" w:color="000000"/>
              <w:bottom w:val="single" w:sz="4" w:space="0" w:color="000000"/>
            </w:tcBorders>
          </w:tcPr>
          <w:p>
            <w:pPr>
              <w:pStyle w:val="TableParagraph"/>
              <w:spacing w:line="271" w:lineRule="exact"/>
              <w:ind w:left="314"/>
              <w:rPr>
                <w:sz w:val="24"/>
              </w:rPr>
            </w:pPr>
            <w:r>
              <w:rPr>
                <w:sz w:val="24"/>
              </w:rPr>
              <w:t>(I) </w:t>
            </w:r>
            <w:r>
              <w:rPr>
                <w:spacing w:val="-2"/>
                <w:sz w:val="24"/>
              </w:rPr>
              <w:t>Status</w:t>
            </w:r>
          </w:p>
        </w:tc>
        <w:tc>
          <w:tcPr>
            <w:tcW w:w="1665" w:type="dxa"/>
            <w:tcBorders>
              <w:top w:val="single" w:sz="4" w:space="0" w:color="000000"/>
              <w:bottom w:val="single" w:sz="4" w:space="0" w:color="000000"/>
            </w:tcBorders>
          </w:tcPr>
          <w:p>
            <w:pPr>
              <w:pStyle w:val="TableParagraph"/>
              <w:spacing w:line="271" w:lineRule="exact"/>
              <w:ind w:left="293"/>
              <w:rPr>
                <w:sz w:val="24"/>
              </w:rPr>
            </w:pPr>
            <w:r>
              <w:rPr>
                <w:sz w:val="24"/>
              </w:rPr>
              <w:t>(J) </w:t>
            </w:r>
            <w:r>
              <w:rPr>
                <w:spacing w:val="-2"/>
                <w:sz w:val="24"/>
              </w:rPr>
              <w:t>Status</w:t>
            </w:r>
          </w:p>
        </w:tc>
        <w:tc>
          <w:tcPr>
            <w:tcW w:w="1592" w:type="dxa"/>
            <w:tcBorders>
              <w:top w:val="single" w:sz="4" w:space="0" w:color="000000"/>
              <w:bottom w:val="single" w:sz="4" w:space="0" w:color="000000"/>
            </w:tcBorders>
          </w:tcPr>
          <w:p>
            <w:pPr>
              <w:pStyle w:val="TableParagraph"/>
              <w:spacing w:line="237" w:lineRule="auto"/>
              <w:ind w:left="404" w:right="84" w:firstLine="499"/>
              <w:rPr>
                <w:sz w:val="24"/>
              </w:rPr>
            </w:pPr>
            <w:r>
              <w:rPr>
                <w:spacing w:val="-4"/>
                <w:sz w:val="24"/>
              </w:rPr>
              <w:t>Mean </w:t>
            </w:r>
            <w:r>
              <w:rPr>
                <w:spacing w:val="-2"/>
                <w:sz w:val="24"/>
              </w:rPr>
              <w:t>Difference</w:t>
            </w:r>
          </w:p>
          <w:p>
            <w:pPr>
              <w:pStyle w:val="TableParagraph"/>
              <w:spacing w:line="258" w:lineRule="exact" w:before="1"/>
              <w:ind w:right="83"/>
              <w:jc w:val="right"/>
              <w:rPr>
                <w:sz w:val="24"/>
              </w:rPr>
            </w:pPr>
            <w:r>
              <w:rPr>
                <w:spacing w:val="-2"/>
                <w:sz w:val="24"/>
              </w:rPr>
              <w:t>(I-</w:t>
            </w:r>
            <w:r>
              <w:rPr>
                <w:spacing w:val="-5"/>
                <w:sz w:val="24"/>
              </w:rPr>
              <w:t>J)</w:t>
            </w:r>
          </w:p>
        </w:tc>
        <w:tc>
          <w:tcPr>
            <w:tcW w:w="1259" w:type="dxa"/>
            <w:tcBorders>
              <w:top w:val="single" w:sz="4" w:space="0" w:color="000000"/>
              <w:bottom w:val="single" w:sz="4" w:space="0" w:color="000000"/>
            </w:tcBorders>
          </w:tcPr>
          <w:p>
            <w:pPr>
              <w:pStyle w:val="TableParagraph"/>
              <w:spacing w:line="275" w:lineRule="exact" w:before="134"/>
              <w:ind w:right="84"/>
              <w:jc w:val="right"/>
              <w:rPr>
                <w:sz w:val="24"/>
              </w:rPr>
            </w:pPr>
            <w:r>
              <w:rPr>
                <w:spacing w:val="-2"/>
                <w:sz w:val="24"/>
              </w:rPr>
              <w:t>Standard</w:t>
            </w:r>
          </w:p>
          <w:p>
            <w:pPr>
              <w:pStyle w:val="TableParagraph"/>
              <w:spacing w:line="275" w:lineRule="exact"/>
              <w:ind w:right="79"/>
              <w:jc w:val="right"/>
              <w:rPr>
                <w:sz w:val="24"/>
              </w:rPr>
            </w:pPr>
            <w:r>
              <w:rPr>
                <w:spacing w:val="-2"/>
                <w:sz w:val="24"/>
              </w:rPr>
              <w:t>Error</w:t>
            </w:r>
          </w:p>
        </w:tc>
        <w:tc>
          <w:tcPr>
            <w:tcW w:w="900" w:type="dxa"/>
            <w:tcBorders>
              <w:top w:val="single" w:sz="4" w:space="0" w:color="000000"/>
              <w:bottom w:val="single" w:sz="4" w:space="0" w:color="000000"/>
              <w:right w:val="single" w:sz="4" w:space="0" w:color="000000"/>
            </w:tcBorders>
          </w:tcPr>
          <w:p>
            <w:pPr>
              <w:pStyle w:val="TableParagraph"/>
              <w:spacing w:line="237" w:lineRule="auto" w:before="137"/>
              <w:ind w:left="116" w:firstLine="14"/>
              <w:rPr>
                <w:sz w:val="24"/>
              </w:rPr>
            </w:pPr>
            <w:r>
              <w:rPr>
                <w:spacing w:val="-2"/>
                <w:sz w:val="24"/>
              </w:rPr>
              <w:t>Signif- icance</w:t>
            </w:r>
          </w:p>
        </w:tc>
      </w:tr>
      <w:tr>
        <w:trPr>
          <w:trHeight w:val="276" w:hRule="atLeast"/>
        </w:trPr>
        <w:tc>
          <w:tcPr>
            <w:tcW w:w="1586" w:type="dxa"/>
            <w:tcBorders>
              <w:top w:val="single" w:sz="4" w:space="0" w:color="000000"/>
              <w:left w:val="single" w:sz="4" w:space="0" w:color="000000"/>
            </w:tcBorders>
          </w:tcPr>
          <w:p>
            <w:pPr>
              <w:pStyle w:val="TableParagraph"/>
              <w:rPr>
                <w:rFonts w:ascii="Times New Roman"/>
                <w:sz w:val="20"/>
              </w:rPr>
            </w:pPr>
          </w:p>
        </w:tc>
        <w:tc>
          <w:tcPr>
            <w:tcW w:w="1730" w:type="dxa"/>
            <w:tcBorders>
              <w:top w:val="single" w:sz="4" w:space="0" w:color="000000"/>
            </w:tcBorders>
          </w:tcPr>
          <w:p>
            <w:pPr>
              <w:pStyle w:val="TableParagraph"/>
              <w:spacing w:line="257" w:lineRule="exact"/>
              <w:ind w:left="314"/>
              <w:rPr>
                <w:sz w:val="24"/>
              </w:rPr>
            </w:pPr>
            <w:r>
              <w:rPr>
                <w:spacing w:val="-2"/>
                <w:sz w:val="24"/>
              </w:rPr>
              <w:t>Student</w:t>
            </w:r>
          </w:p>
        </w:tc>
        <w:tc>
          <w:tcPr>
            <w:tcW w:w="1665" w:type="dxa"/>
            <w:tcBorders>
              <w:top w:val="single" w:sz="4" w:space="0" w:color="000000"/>
            </w:tcBorders>
          </w:tcPr>
          <w:p>
            <w:pPr>
              <w:pStyle w:val="TableParagraph"/>
              <w:spacing w:line="257" w:lineRule="exact"/>
              <w:ind w:left="293"/>
              <w:rPr>
                <w:sz w:val="24"/>
              </w:rPr>
            </w:pPr>
            <w:r>
              <w:rPr>
                <w:spacing w:val="-4"/>
                <w:sz w:val="24"/>
              </w:rPr>
              <w:t>Staff</w:t>
            </w:r>
          </w:p>
        </w:tc>
        <w:tc>
          <w:tcPr>
            <w:tcW w:w="1592" w:type="dxa"/>
            <w:tcBorders>
              <w:top w:val="single" w:sz="4" w:space="0" w:color="000000"/>
            </w:tcBorders>
          </w:tcPr>
          <w:p>
            <w:pPr>
              <w:pStyle w:val="TableParagraph"/>
              <w:spacing w:line="257" w:lineRule="exact"/>
              <w:ind w:left="251"/>
              <w:rPr>
                <w:sz w:val="24"/>
              </w:rPr>
            </w:pPr>
            <w:r>
              <w:rPr>
                <w:spacing w:val="-2"/>
                <w:sz w:val="24"/>
              </w:rPr>
              <w:t>.1110(*)</w:t>
            </w:r>
          </w:p>
        </w:tc>
        <w:tc>
          <w:tcPr>
            <w:tcW w:w="1259" w:type="dxa"/>
            <w:tcBorders>
              <w:top w:val="single" w:sz="4" w:space="0" w:color="000000"/>
            </w:tcBorders>
          </w:tcPr>
          <w:p>
            <w:pPr>
              <w:pStyle w:val="TableParagraph"/>
              <w:spacing w:line="257" w:lineRule="exact"/>
              <w:ind w:left="98"/>
              <w:rPr>
                <w:sz w:val="24"/>
              </w:rPr>
            </w:pPr>
            <w:r>
              <w:rPr>
                <w:spacing w:val="-2"/>
                <w:sz w:val="24"/>
              </w:rPr>
              <w:t>.0528</w:t>
            </w:r>
          </w:p>
        </w:tc>
        <w:tc>
          <w:tcPr>
            <w:tcW w:w="900" w:type="dxa"/>
            <w:tcBorders>
              <w:top w:val="single" w:sz="4" w:space="0" w:color="000000"/>
              <w:right w:val="single" w:sz="4" w:space="0" w:color="000000"/>
            </w:tcBorders>
          </w:tcPr>
          <w:p>
            <w:pPr>
              <w:pStyle w:val="TableParagraph"/>
              <w:spacing w:line="257" w:lineRule="exact"/>
              <w:ind w:left="97"/>
              <w:rPr>
                <w:sz w:val="24"/>
              </w:rPr>
            </w:pPr>
            <w:r>
              <w:rPr>
                <w:spacing w:val="-4"/>
                <w:sz w:val="24"/>
              </w:rPr>
              <w:t>.111</w:t>
            </w:r>
          </w:p>
        </w:tc>
      </w:tr>
      <w:tr>
        <w:trPr>
          <w:trHeight w:val="275" w:hRule="atLeast"/>
        </w:trPr>
        <w:tc>
          <w:tcPr>
            <w:tcW w:w="1586" w:type="dxa"/>
            <w:tcBorders>
              <w:left w:val="single" w:sz="4" w:space="0" w:color="000000"/>
            </w:tcBorders>
          </w:tcPr>
          <w:p>
            <w:pPr>
              <w:pStyle w:val="TableParagraph"/>
              <w:rPr>
                <w:rFonts w:ascii="Times New Roman"/>
                <w:sz w:val="20"/>
              </w:rPr>
            </w:pPr>
          </w:p>
        </w:tc>
        <w:tc>
          <w:tcPr>
            <w:tcW w:w="1730" w:type="dxa"/>
          </w:tcPr>
          <w:p>
            <w:pPr>
              <w:pStyle w:val="TableParagraph"/>
              <w:rPr>
                <w:rFonts w:ascii="Times New Roman"/>
                <w:sz w:val="20"/>
              </w:rPr>
            </w:pPr>
          </w:p>
        </w:tc>
        <w:tc>
          <w:tcPr>
            <w:tcW w:w="1665" w:type="dxa"/>
          </w:tcPr>
          <w:p>
            <w:pPr>
              <w:pStyle w:val="TableParagraph"/>
              <w:spacing w:line="256" w:lineRule="exact"/>
              <w:ind w:left="293"/>
              <w:rPr>
                <w:sz w:val="24"/>
              </w:rPr>
            </w:pPr>
            <w:r>
              <w:rPr>
                <w:spacing w:val="-2"/>
                <w:sz w:val="24"/>
              </w:rPr>
              <w:t>Managmet</w:t>
            </w:r>
          </w:p>
        </w:tc>
        <w:tc>
          <w:tcPr>
            <w:tcW w:w="1592" w:type="dxa"/>
          </w:tcPr>
          <w:p>
            <w:pPr>
              <w:pStyle w:val="TableParagraph"/>
              <w:spacing w:line="256" w:lineRule="exact"/>
              <w:ind w:left="251"/>
              <w:rPr>
                <w:sz w:val="24"/>
              </w:rPr>
            </w:pPr>
            <w:r>
              <w:rPr>
                <w:sz w:val="24"/>
              </w:rPr>
              <w:t>-</w:t>
            </w:r>
            <w:r>
              <w:rPr>
                <w:spacing w:val="-2"/>
                <w:sz w:val="24"/>
              </w:rPr>
              <w:t>.1618(*)</w:t>
            </w:r>
          </w:p>
        </w:tc>
        <w:tc>
          <w:tcPr>
            <w:tcW w:w="1259" w:type="dxa"/>
          </w:tcPr>
          <w:p>
            <w:pPr>
              <w:pStyle w:val="TableParagraph"/>
              <w:spacing w:line="256" w:lineRule="exact"/>
              <w:ind w:left="98"/>
              <w:rPr>
                <w:sz w:val="24"/>
              </w:rPr>
            </w:pPr>
            <w:r>
              <w:rPr>
                <w:spacing w:val="-2"/>
                <w:sz w:val="24"/>
              </w:rPr>
              <w:t>.1195(*)</w:t>
            </w:r>
          </w:p>
        </w:tc>
        <w:tc>
          <w:tcPr>
            <w:tcW w:w="900" w:type="dxa"/>
            <w:tcBorders>
              <w:right w:val="single" w:sz="4" w:space="0" w:color="000000"/>
            </w:tcBorders>
          </w:tcPr>
          <w:p>
            <w:pPr>
              <w:pStyle w:val="TableParagraph"/>
              <w:spacing w:line="256" w:lineRule="exact"/>
              <w:ind w:left="97"/>
              <w:rPr>
                <w:sz w:val="24"/>
              </w:rPr>
            </w:pPr>
            <w:r>
              <w:rPr>
                <w:spacing w:val="-4"/>
                <w:sz w:val="24"/>
              </w:rPr>
              <w:t>.041</w:t>
            </w:r>
          </w:p>
        </w:tc>
      </w:tr>
      <w:tr>
        <w:trPr>
          <w:trHeight w:val="276" w:hRule="atLeast"/>
        </w:trPr>
        <w:tc>
          <w:tcPr>
            <w:tcW w:w="1586" w:type="dxa"/>
            <w:tcBorders>
              <w:left w:val="single" w:sz="4" w:space="0" w:color="000000"/>
            </w:tcBorders>
          </w:tcPr>
          <w:p>
            <w:pPr>
              <w:pStyle w:val="TableParagraph"/>
              <w:spacing w:line="256" w:lineRule="exact"/>
              <w:ind w:left="95"/>
              <w:rPr>
                <w:sz w:val="24"/>
              </w:rPr>
            </w:pPr>
            <w:r>
              <w:rPr>
                <w:spacing w:val="-2"/>
                <w:sz w:val="24"/>
              </w:rPr>
              <w:t>Religion</w:t>
            </w:r>
          </w:p>
        </w:tc>
        <w:tc>
          <w:tcPr>
            <w:tcW w:w="1730" w:type="dxa"/>
          </w:tcPr>
          <w:p>
            <w:pPr>
              <w:pStyle w:val="TableParagraph"/>
              <w:spacing w:line="256" w:lineRule="exact"/>
              <w:ind w:left="314"/>
              <w:rPr>
                <w:sz w:val="24"/>
              </w:rPr>
            </w:pPr>
            <w:r>
              <w:rPr>
                <w:spacing w:val="-2"/>
                <w:sz w:val="24"/>
              </w:rPr>
              <w:t>Student</w:t>
            </w:r>
          </w:p>
        </w:tc>
        <w:tc>
          <w:tcPr>
            <w:tcW w:w="1665" w:type="dxa"/>
          </w:tcPr>
          <w:p>
            <w:pPr>
              <w:pStyle w:val="TableParagraph"/>
              <w:spacing w:line="256" w:lineRule="exact"/>
              <w:ind w:left="293"/>
              <w:rPr>
                <w:sz w:val="24"/>
              </w:rPr>
            </w:pPr>
            <w:r>
              <w:rPr>
                <w:spacing w:val="-4"/>
                <w:sz w:val="24"/>
              </w:rPr>
              <w:t>Staff</w:t>
            </w:r>
          </w:p>
        </w:tc>
        <w:tc>
          <w:tcPr>
            <w:tcW w:w="1592" w:type="dxa"/>
          </w:tcPr>
          <w:p>
            <w:pPr>
              <w:pStyle w:val="TableParagraph"/>
              <w:spacing w:line="256" w:lineRule="exact"/>
              <w:ind w:left="251"/>
              <w:rPr>
                <w:sz w:val="24"/>
              </w:rPr>
            </w:pPr>
            <w:r>
              <w:rPr>
                <w:sz w:val="24"/>
              </w:rPr>
              <w:t>-</w:t>
            </w:r>
            <w:r>
              <w:rPr>
                <w:spacing w:val="-2"/>
                <w:sz w:val="24"/>
              </w:rPr>
              <w:t>.1110</w:t>
            </w:r>
          </w:p>
        </w:tc>
        <w:tc>
          <w:tcPr>
            <w:tcW w:w="1259" w:type="dxa"/>
          </w:tcPr>
          <w:p>
            <w:pPr>
              <w:pStyle w:val="TableParagraph"/>
              <w:spacing w:line="256" w:lineRule="exact"/>
              <w:ind w:left="98"/>
              <w:rPr>
                <w:sz w:val="24"/>
              </w:rPr>
            </w:pPr>
            <w:r>
              <w:rPr>
                <w:spacing w:val="-2"/>
                <w:sz w:val="24"/>
              </w:rPr>
              <w:t>.0528</w:t>
            </w:r>
          </w:p>
        </w:tc>
        <w:tc>
          <w:tcPr>
            <w:tcW w:w="900" w:type="dxa"/>
            <w:tcBorders>
              <w:right w:val="single" w:sz="4" w:space="0" w:color="000000"/>
            </w:tcBorders>
          </w:tcPr>
          <w:p>
            <w:pPr>
              <w:pStyle w:val="TableParagraph"/>
              <w:spacing w:line="256" w:lineRule="exact"/>
              <w:ind w:left="97"/>
              <w:rPr>
                <w:sz w:val="24"/>
              </w:rPr>
            </w:pPr>
            <w:r>
              <w:rPr>
                <w:spacing w:val="-4"/>
                <w:sz w:val="24"/>
              </w:rPr>
              <w:t>.111</w:t>
            </w:r>
          </w:p>
        </w:tc>
      </w:tr>
      <w:tr>
        <w:trPr>
          <w:trHeight w:val="276" w:hRule="atLeast"/>
        </w:trPr>
        <w:tc>
          <w:tcPr>
            <w:tcW w:w="1586" w:type="dxa"/>
            <w:tcBorders>
              <w:left w:val="single" w:sz="4" w:space="0" w:color="000000"/>
            </w:tcBorders>
          </w:tcPr>
          <w:p>
            <w:pPr>
              <w:pStyle w:val="TableParagraph"/>
              <w:rPr>
                <w:rFonts w:ascii="Times New Roman"/>
                <w:sz w:val="20"/>
              </w:rPr>
            </w:pPr>
          </w:p>
        </w:tc>
        <w:tc>
          <w:tcPr>
            <w:tcW w:w="1730" w:type="dxa"/>
          </w:tcPr>
          <w:p>
            <w:pPr>
              <w:pStyle w:val="TableParagraph"/>
              <w:rPr>
                <w:rFonts w:ascii="Times New Roman"/>
                <w:sz w:val="20"/>
              </w:rPr>
            </w:pPr>
          </w:p>
        </w:tc>
        <w:tc>
          <w:tcPr>
            <w:tcW w:w="1665" w:type="dxa"/>
          </w:tcPr>
          <w:p>
            <w:pPr>
              <w:pStyle w:val="TableParagraph"/>
              <w:spacing w:line="256" w:lineRule="exact"/>
              <w:ind w:left="293"/>
              <w:rPr>
                <w:sz w:val="24"/>
              </w:rPr>
            </w:pPr>
            <w:r>
              <w:rPr>
                <w:spacing w:val="-2"/>
                <w:sz w:val="24"/>
              </w:rPr>
              <w:t>Managmet</w:t>
            </w:r>
          </w:p>
        </w:tc>
        <w:tc>
          <w:tcPr>
            <w:tcW w:w="1592" w:type="dxa"/>
          </w:tcPr>
          <w:p>
            <w:pPr>
              <w:pStyle w:val="TableParagraph"/>
              <w:spacing w:line="256" w:lineRule="exact"/>
              <w:ind w:left="251"/>
              <w:rPr>
                <w:sz w:val="24"/>
              </w:rPr>
            </w:pPr>
            <w:r>
              <w:rPr>
                <w:sz w:val="24"/>
              </w:rPr>
              <w:t>-</w:t>
            </w:r>
            <w:r>
              <w:rPr>
                <w:spacing w:val="-2"/>
                <w:sz w:val="24"/>
              </w:rPr>
              <w:t>.2728</w:t>
            </w:r>
          </w:p>
        </w:tc>
        <w:tc>
          <w:tcPr>
            <w:tcW w:w="1259" w:type="dxa"/>
          </w:tcPr>
          <w:p>
            <w:pPr>
              <w:pStyle w:val="TableParagraph"/>
              <w:spacing w:line="256" w:lineRule="exact"/>
              <w:ind w:left="98"/>
              <w:rPr>
                <w:sz w:val="24"/>
              </w:rPr>
            </w:pPr>
            <w:r>
              <w:rPr>
                <w:spacing w:val="-2"/>
                <w:sz w:val="24"/>
              </w:rPr>
              <w:t>.1205</w:t>
            </w:r>
          </w:p>
        </w:tc>
        <w:tc>
          <w:tcPr>
            <w:tcW w:w="900" w:type="dxa"/>
            <w:tcBorders>
              <w:right w:val="single" w:sz="4" w:space="0" w:color="000000"/>
            </w:tcBorders>
          </w:tcPr>
          <w:p>
            <w:pPr>
              <w:pStyle w:val="TableParagraph"/>
              <w:spacing w:line="256" w:lineRule="exact"/>
              <w:ind w:left="97"/>
              <w:rPr>
                <w:sz w:val="24"/>
              </w:rPr>
            </w:pPr>
            <w:r>
              <w:rPr>
                <w:spacing w:val="-4"/>
                <w:sz w:val="24"/>
              </w:rPr>
              <w:t>.078</w:t>
            </w:r>
          </w:p>
        </w:tc>
      </w:tr>
      <w:tr>
        <w:trPr>
          <w:trHeight w:val="275" w:hRule="atLeast"/>
        </w:trPr>
        <w:tc>
          <w:tcPr>
            <w:tcW w:w="1586" w:type="dxa"/>
            <w:tcBorders>
              <w:left w:val="single" w:sz="4" w:space="0" w:color="000000"/>
            </w:tcBorders>
          </w:tcPr>
          <w:p>
            <w:pPr>
              <w:pStyle w:val="TableParagraph"/>
              <w:rPr>
                <w:rFonts w:ascii="Times New Roman"/>
                <w:sz w:val="20"/>
              </w:rPr>
            </w:pPr>
          </w:p>
        </w:tc>
        <w:tc>
          <w:tcPr>
            <w:tcW w:w="1730" w:type="dxa"/>
          </w:tcPr>
          <w:p>
            <w:pPr>
              <w:pStyle w:val="TableParagraph"/>
              <w:spacing w:line="256" w:lineRule="exact"/>
              <w:ind w:left="314"/>
              <w:rPr>
                <w:sz w:val="24"/>
              </w:rPr>
            </w:pPr>
            <w:r>
              <w:rPr>
                <w:spacing w:val="-2"/>
                <w:sz w:val="24"/>
              </w:rPr>
              <w:t>Managmet</w:t>
            </w:r>
          </w:p>
        </w:tc>
        <w:tc>
          <w:tcPr>
            <w:tcW w:w="1665" w:type="dxa"/>
          </w:tcPr>
          <w:p>
            <w:pPr>
              <w:pStyle w:val="TableParagraph"/>
              <w:spacing w:line="256" w:lineRule="exact"/>
              <w:ind w:left="293"/>
              <w:rPr>
                <w:sz w:val="24"/>
              </w:rPr>
            </w:pPr>
            <w:r>
              <w:rPr>
                <w:spacing w:val="-2"/>
                <w:sz w:val="24"/>
              </w:rPr>
              <w:t>Student</w:t>
            </w:r>
          </w:p>
        </w:tc>
        <w:tc>
          <w:tcPr>
            <w:tcW w:w="1592" w:type="dxa"/>
          </w:tcPr>
          <w:p>
            <w:pPr>
              <w:pStyle w:val="TableParagraph"/>
              <w:spacing w:line="256" w:lineRule="exact"/>
              <w:ind w:left="251"/>
              <w:rPr>
                <w:sz w:val="24"/>
              </w:rPr>
            </w:pPr>
            <w:r>
              <w:rPr>
                <w:sz w:val="24"/>
              </w:rPr>
              <w:t>.1618</w:t>
            </w:r>
            <w:r>
              <w:rPr>
                <w:spacing w:val="-4"/>
                <w:sz w:val="24"/>
              </w:rPr>
              <w:t> </w:t>
            </w:r>
            <w:r>
              <w:rPr>
                <w:spacing w:val="-5"/>
                <w:sz w:val="24"/>
              </w:rPr>
              <w:t>(*)</w:t>
            </w:r>
          </w:p>
        </w:tc>
        <w:tc>
          <w:tcPr>
            <w:tcW w:w="1259" w:type="dxa"/>
          </w:tcPr>
          <w:p>
            <w:pPr>
              <w:pStyle w:val="TableParagraph"/>
              <w:spacing w:line="256" w:lineRule="exact"/>
              <w:ind w:left="98"/>
              <w:rPr>
                <w:sz w:val="24"/>
              </w:rPr>
            </w:pPr>
            <w:r>
              <w:rPr>
                <w:spacing w:val="-2"/>
                <w:sz w:val="24"/>
              </w:rPr>
              <w:t>.1195(*)</w:t>
            </w:r>
          </w:p>
        </w:tc>
        <w:tc>
          <w:tcPr>
            <w:tcW w:w="900" w:type="dxa"/>
            <w:tcBorders>
              <w:right w:val="single" w:sz="4" w:space="0" w:color="000000"/>
            </w:tcBorders>
          </w:tcPr>
          <w:p>
            <w:pPr>
              <w:pStyle w:val="TableParagraph"/>
              <w:spacing w:line="256" w:lineRule="exact"/>
              <w:ind w:left="97"/>
              <w:rPr>
                <w:sz w:val="24"/>
              </w:rPr>
            </w:pPr>
            <w:r>
              <w:rPr>
                <w:spacing w:val="-4"/>
                <w:sz w:val="24"/>
              </w:rPr>
              <w:t>.041</w:t>
            </w:r>
          </w:p>
        </w:tc>
      </w:tr>
      <w:tr>
        <w:trPr>
          <w:trHeight w:val="275" w:hRule="atLeast"/>
        </w:trPr>
        <w:tc>
          <w:tcPr>
            <w:tcW w:w="1586" w:type="dxa"/>
            <w:tcBorders>
              <w:left w:val="single" w:sz="4" w:space="0" w:color="000000"/>
              <w:bottom w:val="single" w:sz="4" w:space="0" w:color="000000"/>
            </w:tcBorders>
          </w:tcPr>
          <w:p>
            <w:pPr>
              <w:pStyle w:val="TableParagraph"/>
              <w:rPr>
                <w:rFonts w:ascii="Times New Roman"/>
                <w:sz w:val="20"/>
              </w:rPr>
            </w:pPr>
          </w:p>
        </w:tc>
        <w:tc>
          <w:tcPr>
            <w:tcW w:w="1730" w:type="dxa"/>
            <w:tcBorders>
              <w:bottom w:val="single" w:sz="4" w:space="0" w:color="000000"/>
            </w:tcBorders>
          </w:tcPr>
          <w:p>
            <w:pPr>
              <w:pStyle w:val="TableParagraph"/>
              <w:rPr>
                <w:rFonts w:ascii="Times New Roman"/>
                <w:sz w:val="20"/>
              </w:rPr>
            </w:pPr>
          </w:p>
        </w:tc>
        <w:tc>
          <w:tcPr>
            <w:tcW w:w="1665" w:type="dxa"/>
            <w:tcBorders>
              <w:bottom w:val="single" w:sz="4" w:space="0" w:color="000000"/>
            </w:tcBorders>
          </w:tcPr>
          <w:p>
            <w:pPr>
              <w:pStyle w:val="TableParagraph"/>
              <w:spacing w:line="255" w:lineRule="exact"/>
              <w:ind w:left="293"/>
              <w:rPr>
                <w:sz w:val="24"/>
              </w:rPr>
            </w:pPr>
            <w:r>
              <w:rPr>
                <w:spacing w:val="-4"/>
                <w:sz w:val="24"/>
              </w:rPr>
              <w:t>Staff</w:t>
            </w:r>
          </w:p>
        </w:tc>
        <w:tc>
          <w:tcPr>
            <w:tcW w:w="1592" w:type="dxa"/>
            <w:tcBorders>
              <w:bottom w:val="single" w:sz="4" w:space="0" w:color="000000"/>
            </w:tcBorders>
          </w:tcPr>
          <w:p>
            <w:pPr>
              <w:pStyle w:val="TableParagraph"/>
              <w:spacing w:line="255" w:lineRule="exact"/>
              <w:ind w:left="251"/>
              <w:rPr>
                <w:sz w:val="24"/>
              </w:rPr>
            </w:pPr>
            <w:r>
              <w:rPr>
                <w:spacing w:val="-2"/>
                <w:sz w:val="24"/>
              </w:rPr>
              <w:t>.2728</w:t>
            </w:r>
          </w:p>
        </w:tc>
        <w:tc>
          <w:tcPr>
            <w:tcW w:w="1259" w:type="dxa"/>
            <w:tcBorders>
              <w:bottom w:val="single" w:sz="4" w:space="0" w:color="000000"/>
            </w:tcBorders>
          </w:tcPr>
          <w:p>
            <w:pPr>
              <w:pStyle w:val="TableParagraph"/>
              <w:spacing w:line="255" w:lineRule="exact"/>
              <w:ind w:left="98"/>
              <w:rPr>
                <w:sz w:val="24"/>
              </w:rPr>
            </w:pPr>
            <w:r>
              <w:rPr>
                <w:spacing w:val="-2"/>
                <w:sz w:val="24"/>
              </w:rPr>
              <w:t>.1205</w:t>
            </w:r>
          </w:p>
        </w:tc>
        <w:tc>
          <w:tcPr>
            <w:tcW w:w="900" w:type="dxa"/>
            <w:tcBorders>
              <w:bottom w:val="single" w:sz="4" w:space="0" w:color="000000"/>
              <w:right w:val="single" w:sz="4" w:space="0" w:color="000000"/>
            </w:tcBorders>
          </w:tcPr>
          <w:p>
            <w:pPr>
              <w:pStyle w:val="TableParagraph"/>
              <w:spacing w:line="255" w:lineRule="exact"/>
              <w:ind w:left="97"/>
              <w:rPr>
                <w:sz w:val="24"/>
              </w:rPr>
            </w:pPr>
            <w:r>
              <w:rPr>
                <w:spacing w:val="-4"/>
                <w:sz w:val="24"/>
              </w:rPr>
              <w:t>.078</w:t>
            </w:r>
          </w:p>
        </w:tc>
      </w:tr>
    </w:tbl>
    <w:p>
      <w:pPr>
        <w:pStyle w:val="BodyText"/>
        <w:ind w:left="840"/>
        <w:jc w:val="both"/>
      </w:pPr>
      <w:r>
        <w:rPr/>
        <w:t>*Mean</w:t>
      </w:r>
      <w:r>
        <w:rPr>
          <w:spacing w:val="-6"/>
        </w:rPr>
        <w:t> </w:t>
      </w:r>
      <w:r>
        <w:rPr/>
        <w:t>difference</w:t>
      </w:r>
      <w:r>
        <w:rPr>
          <w:spacing w:val="-8"/>
        </w:rPr>
        <w:t> </w:t>
      </w:r>
      <w:r>
        <w:rPr/>
        <w:t>is</w:t>
      </w:r>
      <w:r>
        <w:rPr>
          <w:spacing w:val="-6"/>
        </w:rPr>
        <w:t> </w:t>
      </w:r>
      <w:r>
        <w:rPr/>
        <w:t>significance</w:t>
      </w:r>
      <w:r>
        <w:rPr>
          <w:spacing w:val="-5"/>
        </w:rPr>
        <w:t> </w:t>
      </w:r>
      <w:r>
        <w:rPr/>
        <w:t>at</w:t>
      </w:r>
      <w:r>
        <w:rPr>
          <w:spacing w:val="-10"/>
        </w:rPr>
        <w:t> </w:t>
      </w:r>
      <w:r>
        <w:rPr/>
        <w:t>.05</w:t>
      </w:r>
      <w:r>
        <w:rPr>
          <w:spacing w:val="-9"/>
        </w:rPr>
        <w:t> </w:t>
      </w:r>
      <w:r>
        <w:rPr>
          <w:spacing w:val="-2"/>
        </w:rPr>
        <w:t>level.</w:t>
      </w:r>
    </w:p>
    <w:p>
      <w:pPr>
        <w:pStyle w:val="BodyText"/>
        <w:spacing w:line="480" w:lineRule="auto" w:before="274"/>
        <w:ind w:left="840" w:right="554" w:firstLine="720"/>
        <w:jc w:val="both"/>
      </w:pPr>
      <w:r>
        <w:rPr/>
        <w:t>Based on the results of Scheffe’s Multiple Comparison Test in table</w:t>
      </w:r>
      <w:r>
        <w:rPr>
          <w:spacing w:val="40"/>
        </w:rPr>
        <w:t> </w:t>
      </w:r>
      <w:r>
        <w:rPr/>
        <w:t>4.5.21, it was evident that differences existed in the opinions of the three sets of respondents on the impact of religious services on students’ welfare in these universities. The mean difference of students and management staff seemed to agree and it could mean that the students and management shared the same view on the impact of religious services on students’ welfare. The mean score of service staff however, disagreed with both students and top management. This difference in opinion amongst the groups of respondents could suggest that the two</w:t>
      </w:r>
      <w:r>
        <w:rPr>
          <w:spacing w:val="55"/>
          <w:w w:val="150"/>
        </w:rPr>
        <w:t> </w:t>
      </w:r>
      <w:r>
        <w:rPr/>
        <w:t>predominant</w:t>
      </w:r>
      <w:r>
        <w:rPr>
          <w:spacing w:val="56"/>
          <w:w w:val="150"/>
        </w:rPr>
        <w:t> </w:t>
      </w:r>
      <w:r>
        <w:rPr/>
        <w:t>religious</w:t>
      </w:r>
      <w:r>
        <w:rPr>
          <w:spacing w:val="55"/>
          <w:w w:val="150"/>
        </w:rPr>
        <w:t> </w:t>
      </w:r>
      <w:r>
        <w:rPr/>
        <w:t>faiths;</w:t>
      </w:r>
      <w:r>
        <w:rPr>
          <w:spacing w:val="51"/>
          <w:w w:val="150"/>
        </w:rPr>
        <w:t> </w:t>
      </w:r>
      <w:r>
        <w:rPr/>
        <w:t>Islam</w:t>
      </w:r>
      <w:r>
        <w:rPr>
          <w:spacing w:val="48"/>
          <w:w w:val="150"/>
        </w:rPr>
        <w:t> </w:t>
      </w:r>
      <w:r>
        <w:rPr/>
        <w:t>and</w:t>
      </w:r>
      <w:r>
        <w:rPr>
          <w:spacing w:val="56"/>
          <w:w w:val="150"/>
        </w:rPr>
        <w:t> </w:t>
      </w:r>
      <w:r>
        <w:rPr/>
        <w:t>Christianity</w:t>
      </w:r>
      <w:r>
        <w:rPr>
          <w:spacing w:val="57"/>
          <w:w w:val="150"/>
        </w:rPr>
        <w:t> </w:t>
      </w:r>
      <w:r>
        <w:rPr/>
        <w:t>could</w:t>
      </w:r>
      <w:r>
        <w:rPr>
          <w:spacing w:val="55"/>
          <w:w w:val="150"/>
        </w:rPr>
        <w:t> </w:t>
      </w:r>
      <w:r>
        <w:rPr/>
        <w:t>be</w:t>
      </w:r>
      <w:r>
        <w:rPr>
          <w:spacing w:val="52"/>
          <w:w w:val="150"/>
        </w:rPr>
        <w:t> </w:t>
      </w:r>
      <w:r>
        <w:rPr/>
        <w:t>the</w:t>
      </w:r>
      <w:r>
        <w:rPr>
          <w:spacing w:val="52"/>
          <w:w w:val="150"/>
        </w:rPr>
        <w:t> </w:t>
      </w:r>
      <w:r>
        <w:rPr>
          <w:spacing w:val="-4"/>
        </w:rPr>
        <w:t>only</w:t>
      </w:r>
    </w:p>
    <w:p>
      <w:pPr>
        <w:spacing w:after="0" w:line="480" w:lineRule="auto"/>
        <w:jc w:val="both"/>
        <w:sectPr>
          <w:headerReference w:type="default" r:id="rId459"/>
          <w:footerReference w:type="default" r:id="rId460"/>
          <w:pgSz w:w="12240" w:h="15840"/>
          <w:pgMar w:header="722" w:footer="791" w:top="980" w:bottom="980" w:left="1320" w:right="880"/>
        </w:sectPr>
      </w:pPr>
    </w:p>
    <w:p>
      <w:pPr>
        <w:pStyle w:val="BodyText"/>
        <w:spacing w:before="171"/>
      </w:pPr>
    </w:p>
    <w:p>
      <w:pPr>
        <w:pStyle w:val="BodyText"/>
        <w:spacing w:line="480" w:lineRule="auto"/>
        <w:ind w:left="840" w:right="557"/>
        <w:jc w:val="both"/>
      </w:pPr>
      <w:r>
        <w:rPr/>
        <w:t>religious faiths considered. Other beliefs, denominations and sects might not have been given the privileged facilities enjoyed by the two religious beliefs. It could be concluded that to condone various sets, denominations and shrines on the campuses, would tantamount to breeding crimes detrimental to the peaceful environment for academic pursuit.</w:t>
      </w:r>
    </w:p>
    <w:p>
      <w:pPr>
        <w:pStyle w:val="Heading4"/>
        <w:numPr>
          <w:ilvl w:val="2"/>
          <w:numId w:val="43"/>
        </w:numPr>
        <w:tabs>
          <w:tab w:pos="1049" w:val="left" w:leader="none"/>
        </w:tabs>
        <w:spacing w:line="240" w:lineRule="auto" w:before="2" w:after="0"/>
        <w:ind w:left="1049" w:right="0" w:hanging="929"/>
        <w:jc w:val="left"/>
      </w:pPr>
      <w:r>
        <w:rPr/>
        <w:t>Null</w:t>
      </w:r>
      <w:r>
        <w:rPr>
          <w:spacing w:val="-9"/>
        </w:rPr>
        <w:t> </w:t>
      </w:r>
      <w:r>
        <w:rPr/>
        <w:t>Hypothesis</w:t>
      </w:r>
      <w:r>
        <w:rPr>
          <w:spacing w:val="-7"/>
        </w:rPr>
        <w:t> </w:t>
      </w:r>
      <w:r>
        <w:rPr>
          <w:spacing w:val="-5"/>
        </w:rPr>
        <w:t>14</w:t>
      </w:r>
    </w:p>
    <w:p>
      <w:pPr>
        <w:pStyle w:val="BodyText"/>
        <w:spacing w:before="44"/>
        <w:rPr>
          <w:rFonts w:ascii="Arial"/>
          <w:b/>
        </w:rPr>
      </w:pPr>
    </w:p>
    <w:p>
      <w:pPr>
        <w:pStyle w:val="BodyText"/>
        <w:spacing w:line="480" w:lineRule="auto"/>
        <w:ind w:left="840" w:right="561" w:firstLine="720"/>
        <w:jc w:val="both"/>
      </w:pPr>
      <w:r>
        <w:rPr/>
        <w:t>There is no significant difference in the opinions of students, service staff and top management staff in respect of the impact of banking and telecommunications services on students’ welfare in universities.</w:t>
      </w:r>
    </w:p>
    <w:p>
      <w:pPr>
        <w:pStyle w:val="BodyText"/>
        <w:spacing w:line="480" w:lineRule="auto"/>
        <w:ind w:left="840" w:right="554" w:firstLine="720"/>
        <w:jc w:val="both"/>
      </w:pPr>
      <w:r>
        <w:rPr/>
        <w:t>Based on the respondents’ responses on items 68 to 71 in the questionnaire, data were collected to find out the impact of banking and telecommunications services on students’ welfare in the universities. In testing the hypothesis, One Way Analysis of Variance (ANOVA) statistical procedure</w:t>
      </w:r>
      <w:r>
        <w:rPr>
          <w:spacing w:val="40"/>
        </w:rPr>
        <w:t> </w:t>
      </w:r>
      <w:r>
        <w:rPr/>
        <w:t>was used and this assisted in bringing out the difference of respondents clearly on their opinions on the impact of banking and telecommunications services in these universities. The result of the test is given in Table 4.5.22.</w:t>
      </w:r>
    </w:p>
    <w:p>
      <w:pPr>
        <w:pStyle w:val="Heading2"/>
        <w:ind w:left="2587" w:right="585" w:hanging="1748"/>
      </w:pPr>
      <w:r>
        <w:rPr/>
        <w:t>Table 4.5.22: Analysis of Variance (ANOVA) on the impact of banking and telecommunication services on students’</w:t>
      </w:r>
      <w:r>
        <w:rPr>
          <w:spacing w:val="-5"/>
        </w:rPr>
        <w:t> </w:t>
      </w:r>
      <w:r>
        <w:rPr/>
        <w:t>welfare</w:t>
      </w:r>
      <w:r>
        <w:rPr>
          <w:spacing w:val="-6"/>
        </w:rPr>
        <w:t> </w:t>
      </w:r>
      <w:r>
        <w:rPr/>
        <w:t>in</w:t>
      </w:r>
      <w:r>
        <w:rPr>
          <w:spacing w:val="-6"/>
        </w:rPr>
        <w:t> </w:t>
      </w:r>
      <w:r>
        <w:rPr/>
        <w:t>the</w:t>
      </w:r>
      <w:r>
        <w:rPr>
          <w:spacing w:val="-10"/>
        </w:rPr>
        <w:t> </w:t>
      </w:r>
      <w:r>
        <w:rPr/>
        <w:t>Universities</w:t>
      </w:r>
      <w:r>
        <w:rPr>
          <w:spacing w:val="-6"/>
        </w:rPr>
        <w:t> </w:t>
      </w:r>
      <w:r>
        <w:rPr/>
        <w:t>under</w:t>
      </w:r>
      <w:r>
        <w:rPr>
          <w:spacing w:val="-3"/>
        </w:rPr>
        <w:t> </w:t>
      </w:r>
      <w:r>
        <w:rPr/>
        <w:t>study</w:t>
      </w:r>
    </w:p>
    <w:p>
      <w:pPr>
        <w:pStyle w:val="BodyText"/>
        <w:spacing w:before="95"/>
        <w:rPr>
          <w:rFonts w:ascii="Arial"/>
          <w:b/>
          <w:sz w:val="20"/>
        </w:rPr>
      </w:pPr>
    </w:p>
    <w:tbl>
      <w:tblPr>
        <w:tblW w:w="0" w:type="auto"/>
        <w:jc w:val="left"/>
        <w:tblInd w:w="1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63"/>
        <w:gridCol w:w="820"/>
        <w:gridCol w:w="1335"/>
        <w:gridCol w:w="1253"/>
        <w:gridCol w:w="1373"/>
        <w:gridCol w:w="1715"/>
      </w:tblGrid>
      <w:tr>
        <w:trPr>
          <w:trHeight w:val="551" w:hRule="atLeast"/>
        </w:trPr>
        <w:tc>
          <w:tcPr>
            <w:tcW w:w="1963" w:type="dxa"/>
            <w:tcBorders>
              <w:top w:val="single" w:sz="4" w:space="0" w:color="000000"/>
              <w:left w:val="single" w:sz="4" w:space="0" w:color="000000"/>
              <w:bottom w:val="single" w:sz="4" w:space="0" w:color="000000"/>
            </w:tcBorders>
          </w:tcPr>
          <w:p>
            <w:pPr>
              <w:pStyle w:val="TableParagraph"/>
              <w:spacing w:line="267" w:lineRule="exact"/>
              <w:ind w:left="431"/>
              <w:rPr>
                <w:rFonts w:ascii="Arial"/>
                <w:b/>
                <w:sz w:val="24"/>
              </w:rPr>
            </w:pPr>
            <w:r>
              <w:rPr>
                <w:rFonts w:ascii="Arial"/>
                <w:b/>
                <w:sz w:val="24"/>
              </w:rPr>
              <w:t>Source</w:t>
            </w:r>
            <w:r>
              <w:rPr>
                <w:rFonts w:ascii="Arial"/>
                <w:b/>
                <w:spacing w:val="-12"/>
                <w:sz w:val="24"/>
              </w:rPr>
              <w:t> </w:t>
            </w:r>
            <w:r>
              <w:rPr>
                <w:rFonts w:ascii="Arial"/>
                <w:b/>
                <w:spacing w:val="-5"/>
                <w:sz w:val="24"/>
              </w:rPr>
              <w:t>of</w:t>
            </w:r>
          </w:p>
          <w:p>
            <w:pPr>
              <w:pStyle w:val="TableParagraph"/>
              <w:spacing w:line="263" w:lineRule="exact" w:before="2"/>
              <w:ind w:left="470"/>
              <w:rPr>
                <w:rFonts w:ascii="Arial"/>
                <w:b/>
                <w:sz w:val="24"/>
              </w:rPr>
            </w:pPr>
            <w:r>
              <w:rPr>
                <w:rFonts w:ascii="Arial"/>
                <w:b/>
                <w:spacing w:val="-2"/>
                <w:sz w:val="24"/>
              </w:rPr>
              <w:t>Variation</w:t>
            </w:r>
          </w:p>
        </w:tc>
        <w:tc>
          <w:tcPr>
            <w:tcW w:w="820" w:type="dxa"/>
            <w:tcBorders>
              <w:top w:val="single" w:sz="4" w:space="0" w:color="000000"/>
              <w:bottom w:val="single" w:sz="4" w:space="0" w:color="000000"/>
            </w:tcBorders>
          </w:tcPr>
          <w:p>
            <w:pPr>
              <w:pStyle w:val="TableParagraph"/>
              <w:spacing w:line="267" w:lineRule="exact"/>
              <w:ind w:left="302"/>
              <w:rPr>
                <w:rFonts w:ascii="Arial"/>
                <w:b/>
                <w:sz w:val="24"/>
              </w:rPr>
            </w:pPr>
            <w:r>
              <w:rPr>
                <w:rFonts w:ascii="Arial"/>
                <w:b/>
                <w:spacing w:val="-5"/>
                <w:sz w:val="24"/>
              </w:rPr>
              <w:t>DF</w:t>
            </w:r>
          </w:p>
        </w:tc>
        <w:tc>
          <w:tcPr>
            <w:tcW w:w="1335" w:type="dxa"/>
            <w:tcBorders>
              <w:top w:val="single" w:sz="4" w:space="0" w:color="000000"/>
              <w:bottom w:val="single" w:sz="4" w:space="0" w:color="000000"/>
            </w:tcBorders>
          </w:tcPr>
          <w:p>
            <w:pPr>
              <w:pStyle w:val="TableParagraph"/>
              <w:spacing w:line="267" w:lineRule="exact"/>
              <w:ind w:left="322"/>
              <w:rPr>
                <w:rFonts w:ascii="Arial"/>
                <w:b/>
                <w:sz w:val="24"/>
              </w:rPr>
            </w:pPr>
            <w:r>
              <w:rPr>
                <w:rFonts w:ascii="Arial"/>
                <w:b/>
                <w:sz w:val="24"/>
              </w:rPr>
              <w:t>Sum</w:t>
            </w:r>
            <w:r>
              <w:rPr>
                <w:rFonts w:ascii="Arial"/>
                <w:b/>
                <w:spacing w:val="-13"/>
                <w:sz w:val="24"/>
              </w:rPr>
              <w:t> </w:t>
            </w:r>
            <w:r>
              <w:rPr>
                <w:rFonts w:ascii="Arial"/>
                <w:b/>
                <w:spacing w:val="-5"/>
                <w:sz w:val="24"/>
              </w:rPr>
              <w:t>of</w:t>
            </w:r>
          </w:p>
          <w:p>
            <w:pPr>
              <w:pStyle w:val="TableParagraph"/>
              <w:spacing w:line="263" w:lineRule="exact" w:before="2"/>
              <w:ind w:left="255"/>
              <w:rPr>
                <w:rFonts w:ascii="Arial"/>
                <w:b/>
                <w:sz w:val="24"/>
              </w:rPr>
            </w:pPr>
            <w:r>
              <w:rPr>
                <w:rFonts w:ascii="Arial"/>
                <w:b/>
                <w:spacing w:val="-2"/>
                <w:sz w:val="24"/>
              </w:rPr>
              <w:t>Squares</w:t>
            </w:r>
          </w:p>
        </w:tc>
        <w:tc>
          <w:tcPr>
            <w:tcW w:w="1253" w:type="dxa"/>
            <w:tcBorders>
              <w:top w:val="single" w:sz="4" w:space="0" w:color="000000"/>
              <w:bottom w:val="single" w:sz="4" w:space="0" w:color="000000"/>
            </w:tcBorders>
          </w:tcPr>
          <w:p>
            <w:pPr>
              <w:pStyle w:val="TableParagraph"/>
              <w:spacing w:line="267" w:lineRule="exact"/>
              <w:ind w:left="50"/>
              <w:jc w:val="center"/>
              <w:rPr>
                <w:rFonts w:ascii="Arial"/>
                <w:b/>
                <w:sz w:val="24"/>
              </w:rPr>
            </w:pPr>
            <w:r>
              <w:rPr>
                <w:rFonts w:ascii="Arial"/>
                <w:b/>
                <w:spacing w:val="-4"/>
                <w:sz w:val="24"/>
              </w:rPr>
              <w:t>Mean</w:t>
            </w:r>
          </w:p>
          <w:p>
            <w:pPr>
              <w:pStyle w:val="TableParagraph"/>
              <w:spacing w:line="263" w:lineRule="exact" w:before="2"/>
              <w:ind w:left="50" w:right="3"/>
              <w:jc w:val="center"/>
              <w:rPr>
                <w:rFonts w:ascii="Arial"/>
                <w:b/>
                <w:sz w:val="24"/>
              </w:rPr>
            </w:pPr>
            <w:r>
              <w:rPr>
                <w:rFonts w:ascii="Arial"/>
                <w:b/>
                <w:spacing w:val="-2"/>
                <w:sz w:val="24"/>
              </w:rPr>
              <w:t>Squares</w:t>
            </w:r>
          </w:p>
        </w:tc>
        <w:tc>
          <w:tcPr>
            <w:tcW w:w="1373" w:type="dxa"/>
            <w:tcBorders>
              <w:top w:val="single" w:sz="4" w:space="0" w:color="000000"/>
              <w:bottom w:val="single" w:sz="4" w:space="0" w:color="000000"/>
            </w:tcBorders>
          </w:tcPr>
          <w:p>
            <w:pPr>
              <w:pStyle w:val="TableParagraph"/>
              <w:spacing w:line="267" w:lineRule="exact"/>
              <w:ind w:left="321"/>
              <w:rPr>
                <w:rFonts w:ascii="Arial"/>
                <w:b/>
                <w:sz w:val="24"/>
              </w:rPr>
            </w:pPr>
            <w:r>
              <w:rPr>
                <w:rFonts w:ascii="Arial"/>
                <w:b/>
                <w:sz w:val="24"/>
              </w:rPr>
              <w:t>F </w:t>
            </w:r>
            <w:r>
              <w:rPr>
                <w:rFonts w:ascii="Arial"/>
                <w:b/>
                <w:spacing w:val="-2"/>
                <w:sz w:val="24"/>
              </w:rPr>
              <w:t>Value</w:t>
            </w:r>
          </w:p>
        </w:tc>
        <w:tc>
          <w:tcPr>
            <w:tcW w:w="1715" w:type="dxa"/>
            <w:tcBorders>
              <w:top w:val="single" w:sz="4" w:space="0" w:color="000000"/>
              <w:bottom w:val="single" w:sz="4" w:space="0" w:color="000000"/>
              <w:right w:val="single" w:sz="4" w:space="0" w:color="000000"/>
            </w:tcBorders>
          </w:tcPr>
          <w:p>
            <w:pPr>
              <w:pStyle w:val="TableParagraph"/>
              <w:spacing w:line="267" w:lineRule="exact"/>
              <w:ind w:left="112" w:right="12"/>
              <w:jc w:val="center"/>
              <w:rPr>
                <w:rFonts w:ascii="Arial"/>
                <w:b/>
                <w:sz w:val="24"/>
              </w:rPr>
            </w:pPr>
            <w:r>
              <w:rPr>
                <w:rFonts w:ascii="Arial"/>
                <w:b/>
                <w:spacing w:val="-10"/>
                <w:sz w:val="24"/>
              </w:rPr>
              <w:t>P</w:t>
            </w:r>
          </w:p>
          <w:p>
            <w:pPr>
              <w:pStyle w:val="TableParagraph"/>
              <w:spacing w:line="263" w:lineRule="exact" w:before="2"/>
              <w:ind w:left="112"/>
              <w:jc w:val="center"/>
              <w:rPr>
                <w:rFonts w:ascii="Arial"/>
                <w:b/>
                <w:sz w:val="24"/>
              </w:rPr>
            </w:pPr>
            <w:r>
              <w:rPr>
                <w:rFonts w:ascii="Arial"/>
                <w:b/>
                <w:spacing w:val="-2"/>
                <w:sz w:val="24"/>
              </w:rPr>
              <w:t>Probability</w:t>
            </w:r>
          </w:p>
        </w:tc>
      </w:tr>
      <w:tr>
        <w:trPr>
          <w:trHeight w:val="346" w:hRule="atLeast"/>
        </w:trPr>
        <w:tc>
          <w:tcPr>
            <w:tcW w:w="1963" w:type="dxa"/>
            <w:tcBorders>
              <w:top w:val="single" w:sz="4" w:space="0" w:color="000000"/>
              <w:left w:val="single" w:sz="4" w:space="0" w:color="000000"/>
            </w:tcBorders>
          </w:tcPr>
          <w:p>
            <w:pPr>
              <w:pStyle w:val="TableParagraph"/>
              <w:spacing w:line="271" w:lineRule="exact"/>
              <w:ind w:left="105"/>
              <w:rPr>
                <w:sz w:val="24"/>
              </w:rPr>
            </w:pPr>
            <w:r>
              <w:rPr>
                <w:sz w:val="24"/>
              </w:rPr>
              <w:t>Between</w:t>
            </w:r>
            <w:r>
              <w:rPr>
                <w:spacing w:val="-13"/>
                <w:sz w:val="24"/>
              </w:rPr>
              <w:t> </w:t>
            </w:r>
            <w:r>
              <w:rPr>
                <w:spacing w:val="-2"/>
                <w:sz w:val="24"/>
              </w:rPr>
              <w:t>groups</w:t>
            </w:r>
          </w:p>
        </w:tc>
        <w:tc>
          <w:tcPr>
            <w:tcW w:w="820" w:type="dxa"/>
            <w:tcBorders>
              <w:top w:val="single" w:sz="4" w:space="0" w:color="000000"/>
            </w:tcBorders>
          </w:tcPr>
          <w:p>
            <w:pPr>
              <w:pStyle w:val="TableParagraph"/>
              <w:spacing w:line="271" w:lineRule="exact"/>
              <w:ind w:left="125"/>
              <w:rPr>
                <w:sz w:val="24"/>
              </w:rPr>
            </w:pPr>
            <w:r>
              <w:rPr>
                <w:spacing w:val="-10"/>
                <w:sz w:val="24"/>
              </w:rPr>
              <w:t>2</w:t>
            </w:r>
          </w:p>
        </w:tc>
        <w:tc>
          <w:tcPr>
            <w:tcW w:w="1335" w:type="dxa"/>
            <w:tcBorders>
              <w:top w:val="single" w:sz="4" w:space="0" w:color="000000"/>
            </w:tcBorders>
          </w:tcPr>
          <w:p>
            <w:pPr>
              <w:pStyle w:val="TableParagraph"/>
              <w:spacing w:line="271" w:lineRule="exact"/>
              <w:ind w:left="207"/>
              <w:rPr>
                <w:sz w:val="24"/>
              </w:rPr>
            </w:pPr>
            <w:r>
              <w:rPr>
                <w:spacing w:val="-2"/>
                <w:sz w:val="24"/>
              </w:rPr>
              <w:t>3.0816</w:t>
            </w:r>
          </w:p>
        </w:tc>
        <w:tc>
          <w:tcPr>
            <w:tcW w:w="1253" w:type="dxa"/>
            <w:tcBorders>
              <w:top w:val="single" w:sz="4" w:space="0" w:color="000000"/>
            </w:tcBorders>
          </w:tcPr>
          <w:p>
            <w:pPr>
              <w:pStyle w:val="TableParagraph"/>
              <w:spacing w:line="271" w:lineRule="exact"/>
              <w:ind w:left="130"/>
              <w:rPr>
                <w:sz w:val="24"/>
              </w:rPr>
            </w:pPr>
            <w:r>
              <w:rPr>
                <w:spacing w:val="-2"/>
                <w:sz w:val="24"/>
              </w:rPr>
              <w:t>1.5408</w:t>
            </w:r>
          </w:p>
        </w:tc>
        <w:tc>
          <w:tcPr>
            <w:tcW w:w="1373" w:type="dxa"/>
            <w:tcBorders>
              <w:top w:val="single" w:sz="4" w:space="0" w:color="000000"/>
            </w:tcBorders>
          </w:tcPr>
          <w:p>
            <w:pPr>
              <w:pStyle w:val="TableParagraph"/>
              <w:spacing w:line="271" w:lineRule="exact"/>
              <w:ind w:left="139"/>
              <w:rPr>
                <w:sz w:val="24"/>
              </w:rPr>
            </w:pPr>
            <w:r>
              <w:rPr>
                <w:spacing w:val="-2"/>
                <w:sz w:val="24"/>
              </w:rPr>
              <w:t>3.3053</w:t>
            </w:r>
          </w:p>
        </w:tc>
        <w:tc>
          <w:tcPr>
            <w:tcW w:w="1715" w:type="dxa"/>
            <w:tcBorders>
              <w:top w:val="single" w:sz="4" w:space="0" w:color="000000"/>
              <w:right w:val="single" w:sz="4" w:space="0" w:color="000000"/>
            </w:tcBorders>
          </w:tcPr>
          <w:p>
            <w:pPr>
              <w:pStyle w:val="TableParagraph"/>
              <w:spacing w:line="271" w:lineRule="exact"/>
              <w:ind w:left="206"/>
              <w:rPr>
                <w:sz w:val="24"/>
              </w:rPr>
            </w:pPr>
            <w:r>
              <w:rPr>
                <w:spacing w:val="-2"/>
                <w:sz w:val="24"/>
              </w:rPr>
              <w:t>0.0376</w:t>
            </w:r>
          </w:p>
        </w:tc>
      </w:tr>
      <w:tr>
        <w:trPr>
          <w:trHeight w:val="483" w:hRule="atLeast"/>
        </w:trPr>
        <w:tc>
          <w:tcPr>
            <w:tcW w:w="1963" w:type="dxa"/>
            <w:tcBorders>
              <w:left w:val="single" w:sz="4" w:space="0" w:color="000000"/>
              <w:bottom w:val="single" w:sz="4" w:space="0" w:color="000000"/>
            </w:tcBorders>
          </w:tcPr>
          <w:p>
            <w:pPr>
              <w:pStyle w:val="TableParagraph"/>
              <w:spacing w:before="67"/>
              <w:ind w:left="105"/>
              <w:rPr>
                <w:sz w:val="24"/>
              </w:rPr>
            </w:pPr>
            <w:r>
              <w:rPr>
                <w:sz w:val="24"/>
              </w:rPr>
              <w:t>Within</w:t>
            </w:r>
            <w:r>
              <w:rPr>
                <w:spacing w:val="-3"/>
                <w:sz w:val="24"/>
              </w:rPr>
              <w:t> </w:t>
            </w:r>
            <w:r>
              <w:rPr>
                <w:spacing w:val="-2"/>
                <w:sz w:val="24"/>
              </w:rPr>
              <w:t>groups</w:t>
            </w:r>
          </w:p>
        </w:tc>
        <w:tc>
          <w:tcPr>
            <w:tcW w:w="820" w:type="dxa"/>
            <w:tcBorders>
              <w:bottom w:val="single" w:sz="4" w:space="0" w:color="000000"/>
            </w:tcBorders>
          </w:tcPr>
          <w:p>
            <w:pPr>
              <w:pStyle w:val="TableParagraph"/>
              <w:spacing w:before="67"/>
              <w:ind w:left="125"/>
              <w:rPr>
                <w:sz w:val="24"/>
              </w:rPr>
            </w:pPr>
            <w:r>
              <w:rPr>
                <w:spacing w:val="-5"/>
                <w:sz w:val="24"/>
              </w:rPr>
              <w:t>458</w:t>
            </w:r>
          </w:p>
        </w:tc>
        <w:tc>
          <w:tcPr>
            <w:tcW w:w="1335" w:type="dxa"/>
            <w:tcBorders>
              <w:bottom w:val="single" w:sz="4" w:space="0" w:color="000000"/>
            </w:tcBorders>
          </w:tcPr>
          <w:p>
            <w:pPr>
              <w:pStyle w:val="TableParagraph"/>
              <w:spacing w:before="67"/>
              <w:ind w:left="207"/>
              <w:rPr>
                <w:sz w:val="24"/>
              </w:rPr>
            </w:pPr>
            <w:r>
              <w:rPr>
                <w:spacing w:val="-2"/>
                <w:sz w:val="24"/>
              </w:rPr>
              <w:t>213.4960</w:t>
            </w:r>
          </w:p>
        </w:tc>
        <w:tc>
          <w:tcPr>
            <w:tcW w:w="1253" w:type="dxa"/>
            <w:tcBorders>
              <w:bottom w:val="single" w:sz="4" w:space="0" w:color="000000"/>
            </w:tcBorders>
          </w:tcPr>
          <w:p>
            <w:pPr>
              <w:pStyle w:val="TableParagraph"/>
              <w:spacing w:before="67"/>
              <w:ind w:left="130"/>
              <w:rPr>
                <w:sz w:val="24"/>
              </w:rPr>
            </w:pPr>
            <w:r>
              <w:rPr>
                <w:spacing w:val="-2"/>
                <w:sz w:val="24"/>
              </w:rPr>
              <w:t>0.4661</w:t>
            </w:r>
          </w:p>
        </w:tc>
        <w:tc>
          <w:tcPr>
            <w:tcW w:w="1373" w:type="dxa"/>
            <w:tcBorders>
              <w:bottom w:val="single" w:sz="4" w:space="0" w:color="000000"/>
            </w:tcBorders>
          </w:tcPr>
          <w:p>
            <w:pPr>
              <w:pStyle w:val="TableParagraph"/>
              <w:rPr>
                <w:rFonts w:ascii="Times New Roman"/>
                <w:sz w:val="24"/>
              </w:rPr>
            </w:pPr>
          </w:p>
        </w:tc>
        <w:tc>
          <w:tcPr>
            <w:tcW w:w="1715" w:type="dxa"/>
            <w:tcBorders>
              <w:bottom w:val="single" w:sz="4" w:space="0" w:color="000000"/>
              <w:right w:val="single" w:sz="4" w:space="0" w:color="000000"/>
            </w:tcBorders>
          </w:tcPr>
          <w:p>
            <w:pPr>
              <w:pStyle w:val="TableParagraph"/>
              <w:rPr>
                <w:rFonts w:ascii="Times New Roman"/>
                <w:sz w:val="24"/>
              </w:rPr>
            </w:pPr>
          </w:p>
        </w:tc>
      </w:tr>
      <w:tr>
        <w:trPr>
          <w:trHeight w:val="277" w:hRule="atLeast"/>
        </w:trPr>
        <w:tc>
          <w:tcPr>
            <w:tcW w:w="1963"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820" w:type="dxa"/>
            <w:tcBorders>
              <w:top w:val="single" w:sz="4" w:space="0" w:color="000000"/>
              <w:bottom w:val="single" w:sz="4" w:space="0" w:color="000000"/>
            </w:tcBorders>
          </w:tcPr>
          <w:p>
            <w:pPr>
              <w:pStyle w:val="TableParagraph"/>
              <w:spacing w:line="258" w:lineRule="exact"/>
              <w:ind w:left="125"/>
              <w:rPr>
                <w:sz w:val="24"/>
              </w:rPr>
            </w:pPr>
            <w:r>
              <w:rPr>
                <w:spacing w:val="-5"/>
                <w:sz w:val="24"/>
              </w:rPr>
              <w:t>460</w:t>
            </w:r>
          </w:p>
        </w:tc>
        <w:tc>
          <w:tcPr>
            <w:tcW w:w="1335" w:type="dxa"/>
            <w:tcBorders>
              <w:top w:val="single" w:sz="4" w:space="0" w:color="000000"/>
              <w:bottom w:val="single" w:sz="4" w:space="0" w:color="000000"/>
            </w:tcBorders>
          </w:tcPr>
          <w:p>
            <w:pPr>
              <w:pStyle w:val="TableParagraph"/>
              <w:spacing w:line="258" w:lineRule="exact"/>
              <w:ind w:left="207"/>
              <w:rPr>
                <w:sz w:val="24"/>
              </w:rPr>
            </w:pPr>
            <w:r>
              <w:rPr>
                <w:spacing w:val="-2"/>
                <w:sz w:val="24"/>
              </w:rPr>
              <w:t>216.5775</w:t>
            </w:r>
          </w:p>
        </w:tc>
        <w:tc>
          <w:tcPr>
            <w:tcW w:w="1253" w:type="dxa"/>
            <w:tcBorders>
              <w:top w:val="single" w:sz="4" w:space="0" w:color="000000"/>
              <w:bottom w:val="single" w:sz="4" w:space="0" w:color="000000"/>
            </w:tcBorders>
          </w:tcPr>
          <w:p>
            <w:pPr>
              <w:pStyle w:val="TableParagraph"/>
              <w:rPr>
                <w:rFonts w:ascii="Times New Roman"/>
                <w:sz w:val="20"/>
              </w:rPr>
            </w:pPr>
          </w:p>
        </w:tc>
        <w:tc>
          <w:tcPr>
            <w:tcW w:w="1373" w:type="dxa"/>
            <w:tcBorders>
              <w:top w:val="single" w:sz="4" w:space="0" w:color="000000"/>
              <w:bottom w:val="single" w:sz="4" w:space="0" w:color="000000"/>
            </w:tcBorders>
          </w:tcPr>
          <w:p>
            <w:pPr>
              <w:pStyle w:val="TableParagraph"/>
              <w:rPr>
                <w:rFonts w:ascii="Times New Roman"/>
                <w:sz w:val="20"/>
              </w:rPr>
            </w:pPr>
          </w:p>
        </w:tc>
        <w:tc>
          <w:tcPr>
            <w:tcW w:w="1715" w:type="dxa"/>
            <w:tcBorders>
              <w:top w:val="single" w:sz="4" w:space="0" w:color="000000"/>
              <w:bottom w:val="single" w:sz="4" w:space="0" w:color="000000"/>
              <w:right w:val="single" w:sz="4" w:space="0" w:color="000000"/>
            </w:tcBorders>
          </w:tcPr>
          <w:p>
            <w:pPr>
              <w:pStyle w:val="TableParagraph"/>
              <w:rPr>
                <w:rFonts w:ascii="Times New Roman"/>
                <w:sz w:val="20"/>
              </w:rPr>
            </w:pPr>
          </w:p>
        </w:tc>
      </w:tr>
    </w:tbl>
    <w:p>
      <w:pPr>
        <w:pStyle w:val="BodyText"/>
        <w:ind w:left="1560"/>
      </w:pPr>
      <w:r>
        <w:rPr/>
        <w:t>F</w:t>
      </w:r>
      <w:r>
        <w:rPr>
          <w:spacing w:val="-3"/>
        </w:rPr>
        <w:t> </w:t>
      </w:r>
      <w:r>
        <w:rPr/>
        <w:t>Probability</w:t>
      </w:r>
      <w:r>
        <w:rPr>
          <w:spacing w:val="-5"/>
        </w:rPr>
        <w:t> </w:t>
      </w:r>
      <w:r>
        <w:rPr/>
        <w:t>&lt;</w:t>
      </w:r>
      <w:r>
        <w:rPr>
          <w:spacing w:val="-6"/>
        </w:rPr>
        <w:t> </w:t>
      </w:r>
      <w:r>
        <w:rPr/>
        <w:t>0.05</w:t>
      </w:r>
      <w:r>
        <w:rPr>
          <w:spacing w:val="-4"/>
        </w:rPr>
        <w:t> </w:t>
      </w:r>
      <w:r>
        <w:rPr/>
        <w:t>=&gt;</w:t>
      </w:r>
      <w:r>
        <w:rPr>
          <w:spacing w:val="-6"/>
        </w:rPr>
        <w:t> </w:t>
      </w:r>
      <w:r>
        <w:rPr/>
        <w:t>HO</w:t>
      </w:r>
      <w:r>
        <w:rPr>
          <w:spacing w:val="-4"/>
        </w:rPr>
        <w:t> </w:t>
      </w:r>
      <w:r>
        <w:rPr>
          <w:spacing w:val="-5"/>
        </w:rPr>
        <w:t>Rtd</w:t>
      </w:r>
    </w:p>
    <w:p>
      <w:pPr>
        <w:spacing w:after="0"/>
        <w:sectPr>
          <w:headerReference w:type="default" r:id="rId461"/>
          <w:footerReference w:type="default" r:id="rId462"/>
          <w:pgSz w:w="12240" w:h="15840"/>
          <w:pgMar w:header="722" w:footer="791" w:top="980" w:bottom="980" w:left="1320" w:right="880"/>
        </w:sectPr>
      </w:pPr>
    </w:p>
    <w:p>
      <w:pPr>
        <w:pStyle w:val="BodyText"/>
        <w:spacing w:before="171"/>
      </w:pPr>
    </w:p>
    <w:p>
      <w:pPr>
        <w:pStyle w:val="BodyText"/>
        <w:spacing w:line="480" w:lineRule="auto"/>
        <w:ind w:left="840" w:right="558" w:firstLine="720"/>
        <w:jc w:val="both"/>
      </w:pPr>
      <w:r>
        <w:rPr/>
        <w:t>A cursory glance at the result of the test in Table 4.5.22 shows that the computed</w:t>
      </w:r>
      <w:r>
        <w:rPr>
          <w:spacing w:val="42"/>
        </w:rPr>
        <w:t> </w:t>
      </w:r>
      <w:r>
        <w:rPr/>
        <w:t>F</w:t>
      </w:r>
      <w:r>
        <w:rPr>
          <w:spacing w:val="44"/>
        </w:rPr>
        <w:t> </w:t>
      </w:r>
      <w:r>
        <w:rPr/>
        <w:t>probability</w:t>
      </w:r>
      <w:r>
        <w:rPr>
          <w:spacing w:val="37"/>
        </w:rPr>
        <w:t> </w:t>
      </w:r>
      <w:r>
        <w:rPr/>
        <w:t>is</w:t>
      </w:r>
      <w:r>
        <w:rPr>
          <w:spacing w:val="41"/>
        </w:rPr>
        <w:t> </w:t>
      </w:r>
      <w:r>
        <w:rPr/>
        <w:t>0.0376.</w:t>
      </w:r>
      <w:r>
        <w:rPr>
          <w:spacing w:val="38"/>
        </w:rPr>
        <w:t> </w:t>
      </w:r>
      <w:r>
        <w:rPr/>
        <w:t>This</w:t>
      </w:r>
      <w:r>
        <w:rPr>
          <w:spacing w:val="36"/>
        </w:rPr>
        <w:t> </w:t>
      </w:r>
      <w:r>
        <w:rPr/>
        <w:t>is</w:t>
      </w:r>
      <w:r>
        <w:rPr>
          <w:spacing w:val="37"/>
        </w:rPr>
        <w:t> </w:t>
      </w:r>
      <w:r>
        <w:rPr/>
        <w:t>lower</w:t>
      </w:r>
      <w:r>
        <w:rPr>
          <w:spacing w:val="43"/>
        </w:rPr>
        <w:t> </w:t>
      </w:r>
      <w:r>
        <w:rPr/>
        <w:t>than</w:t>
      </w:r>
      <w:r>
        <w:rPr>
          <w:spacing w:val="42"/>
        </w:rPr>
        <w:t> </w:t>
      </w:r>
      <w:r>
        <w:rPr/>
        <w:t>the</w:t>
      </w:r>
      <w:r>
        <w:rPr>
          <w:spacing w:val="43"/>
        </w:rPr>
        <w:t> </w:t>
      </w:r>
      <w:r>
        <w:rPr/>
        <w:t>accepted</w:t>
      </w:r>
      <w:r>
        <w:rPr>
          <w:spacing w:val="47"/>
        </w:rPr>
        <w:t> </w:t>
      </w:r>
      <w:r>
        <w:rPr/>
        <w:t>P-value</w:t>
      </w:r>
      <w:r>
        <w:rPr>
          <w:spacing w:val="42"/>
        </w:rPr>
        <w:t> </w:t>
      </w:r>
      <w:r>
        <w:rPr>
          <w:spacing w:val="-5"/>
        </w:rPr>
        <w:t>of</w:t>
      </w:r>
    </w:p>
    <w:p>
      <w:pPr>
        <w:pStyle w:val="BodyText"/>
        <w:spacing w:line="480" w:lineRule="auto" w:before="1"/>
        <w:ind w:left="840" w:right="554"/>
        <w:jc w:val="both"/>
      </w:pPr>
      <w:r>
        <w:rPr/>
        <w:t>0.05.</w:t>
      </w:r>
      <w:r>
        <w:rPr>
          <w:spacing w:val="40"/>
        </w:rPr>
        <w:t> </w:t>
      </w:r>
      <w:r>
        <w:rPr/>
        <w:t>Therefore, HO was retained.</w:t>
      </w:r>
      <w:r>
        <w:rPr>
          <w:spacing w:val="40"/>
        </w:rPr>
        <w:t> </w:t>
      </w:r>
      <w:r>
        <w:rPr/>
        <w:t>This gives one the conclusions that differences were evident</w:t>
      </w:r>
      <w:r>
        <w:rPr>
          <w:spacing w:val="-1"/>
        </w:rPr>
        <w:t> </w:t>
      </w:r>
      <w:r>
        <w:rPr/>
        <w:t>in the opinions of respondents on the impact of banking and telecommunication services on students’ welfare in the universities.</w:t>
      </w:r>
    </w:p>
    <w:p>
      <w:pPr>
        <w:pStyle w:val="BodyText"/>
        <w:spacing w:line="480" w:lineRule="auto"/>
        <w:ind w:left="840" w:right="554" w:firstLine="720"/>
        <w:jc w:val="both"/>
      </w:pPr>
      <w:r>
        <w:rPr/>
        <w:t>To determine the extent of the relationship</w:t>
      </w:r>
      <w:r>
        <w:rPr>
          <w:spacing w:val="-3"/>
        </w:rPr>
        <w:t> </w:t>
      </w:r>
      <w:r>
        <w:rPr/>
        <w:t>in opinions of the respondents, Scheffe’s Multiple Comparison Test was conducted and the result is recorded</w:t>
      </w:r>
      <w:r>
        <w:rPr>
          <w:spacing w:val="40"/>
        </w:rPr>
        <w:t> </w:t>
      </w:r>
      <w:r>
        <w:rPr/>
        <w:t>and presented in Table 4.5.23.</w:t>
      </w:r>
    </w:p>
    <w:p>
      <w:pPr>
        <w:pStyle w:val="Heading2"/>
        <w:tabs>
          <w:tab w:pos="2999" w:val="left" w:leader="none"/>
          <w:tab w:pos="4281" w:val="left" w:leader="none"/>
          <w:tab w:pos="4405" w:val="left" w:leader="none"/>
          <w:tab w:pos="4905" w:val="left" w:leader="none"/>
          <w:tab w:pos="4986" w:val="left" w:leader="none"/>
          <w:tab w:pos="6829" w:val="left" w:leader="none"/>
          <w:tab w:pos="7410" w:val="left" w:leader="none"/>
          <w:tab w:pos="7487" w:val="left" w:leader="none"/>
          <w:tab w:pos="7963" w:val="left" w:leader="none"/>
          <w:tab w:pos="8073" w:val="left" w:leader="none"/>
          <w:tab w:pos="9134" w:val="left" w:leader="none"/>
          <w:tab w:pos="9216" w:val="left" w:leader="none"/>
        </w:tabs>
        <w:ind w:left="3000" w:right="561" w:hanging="2160"/>
      </w:pPr>
      <w:r>
        <w:rPr/>
        <w:t>Table 4.5.23:</w:t>
        <w:tab/>
        <w:t>Scheffe’s Multiple Comparison Test on the </w:t>
      </w:r>
      <w:r>
        <w:rPr>
          <w:spacing w:val="-2"/>
        </w:rPr>
        <w:t>opinions</w:t>
      </w:r>
      <w:r>
        <w:rPr/>
        <w:tab/>
        <w:tab/>
      </w:r>
      <w:r>
        <w:rPr>
          <w:spacing w:val="-6"/>
        </w:rPr>
        <w:t>of</w:t>
      </w:r>
      <w:r>
        <w:rPr/>
        <w:tab/>
      </w:r>
      <w:r>
        <w:rPr>
          <w:spacing w:val="-2"/>
        </w:rPr>
        <w:t>respondents</w:t>
      </w:r>
      <w:r>
        <w:rPr/>
        <w:tab/>
      </w:r>
      <w:r>
        <w:rPr>
          <w:spacing w:val="-6"/>
        </w:rPr>
        <w:t>on</w:t>
      </w:r>
      <w:r>
        <w:rPr/>
        <w:tab/>
      </w:r>
      <w:r>
        <w:rPr>
          <w:spacing w:val="-4"/>
        </w:rPr>
        <w:t>the</w:t>
      </w:r>
      <w:r>
        <w:rPr/>
        <w:tab/>
        <w:tab/>
      </w:r>
      <w:r>
        <w:rPr>
          <w:spacing w:val="-2"/>
        </w:rPr>
        <w:t>impact</w:t>
      </w:r>
      <w:r>
        <w:rPr/>
        <w:tab/>
        <w:tab/>
      </w:r>
      <w:r>
        <w:rPr>
          <w:spacing w:val="-6"/>
        </w:rPr>
        <w:t>of </w:t>
      </w:r>
      <w:r>
        <w:rPr>
          <w:spacing w:val="-2"/>
        </w:rPr>
        <w:t>banking</w:t>
      </w:r>
      <w:r>
        <w:rPr/>
        <w:tab/>
      </w:r>
      <w:r>
        <w:rPr>
          <w:spacing w:val="-4"/>
        </w:rPr>
        <w:t>and</w:t>
      </w:r>
      <w:r>
        <w:rPr/>
        <w:tab/>
        <w:tab/>
      </w:r>
      <w:r>
        <w:rPr>
          <w:spacing w:val="-2"/>
        </w:rPr>
        <w:t>telecommunication</w:t>
      </w:r>
      <w:r>
        <w:rPr/>
        <w:tab/>
      </w:r>
      <w:r>
        <w:rPr>
          <w:spacing w:val="-2"/>
        </w:rPr>
        <w:t>service</w:t>
      </w:r>
      <w:r>
        <w:rPr/>
        <w:tab/>
      </w:r>
      <w:r>
        <w:rPr>
          <w:spacing w:val="-6"/>
        </w:rPr>
        <w:t>on </w:t>
      </w:r>
      <w:r>
        <w:rPr/>
        <w:t>students’</w:t>
      </w:r>
      <w:r>
        <w:rPr>
          <w:spacing w:val="80"/>
        </w:rPr>
        <w:t> </w:t>
      </w:r>
      <w:r>
        <w:rPr/>
        <w:t>welfare</w:t>
      </w:r>
      <w:r>
        <w:rPr>
          <w:spacing w:val="80"/>
        </w:rPr>
        <w:t> </w:t>
      </w:r>
      <w:r>
        <w:rPr/>
        <w:t>services</w:t>
      </w:r>
      <w:r>
        <w:rPr>
          <w:spacing w:val="40"/>
        </w:rPr>
        <w:t> </w:t>
      </w:r>
      <w:r>
        <w:rPr/>
        <w:t>in</w:t>
        <w:tab/>
        <w:tab/>
        <w:t>universities</w:t>
      </w:r>
      <w:r>
        <w:rPr>
          <w:spacing w:val="40"/>
        </w:rPr>
        <w:t> </w:t>
      </w:r>
      <w:r>
        <w:rPr/>
        <w:t>in three geopolitical zones in</w:t>
      </w:r>
    </w:p>
    <w:p>
      <w:pPr>
        <w:pStyle w:val="Heading2"/>
        <w:spacing w:line="320" w:lineRule="exact" w:after="4"/>
        <w:ind w:left="3000"/>
      </w:pPr>
      <w:bookmarkStart w:name="_TOC_250011" w:id="57"/>
      <w:r>
        <w:rPr/>
        <w:t>Northern</w:t>
      </w:r>
      <w:r>
        <w:rPr>
          <w:spacing w:val="-3"/>
        </w:rPr>
        <w:t> </w:t>
      </w:r>
      <w:r>
        <w:rPr/>
        <w:t>part</w:t>
      </w:r>
      <w:r>
        <w:rPr>
          <w:spacing w:val="-7"/>
        </w:rPr>
        <w:t> </w:t>
      </w:r>
      <w:r>
        <w:rPr/>
        <w:t>of</w:t>
      </w:r>
      <w:r>
        <w:rPr>
          <w:spacing w:val="-6"/>
        </w:rPr>
        <w:t> </w:t>
      </w:r>
      <w:bookmarkEnd w:id="57"/>
      <w:r>
        <w:rPr>
          <w:spacing w:val="-2"/>
        </w:rPr>
        <w:t>Nigeria</w:t>
      </w:r>
    </w:p>
    <w:tbl>
      <w:tblPr>
        <w:tblW w:w="0" w:type="auto"/>
        <w:jc w:val="left"/>
        <w:tblInd w:w="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79"/>
        <w:gridCol w:w="1637"/>
        <w:gridCol w:w="1666"/>
        <w:gridCol w:w="1514"/>
        <w:gridCol w:w="1289"/>
        <w:gridCol w:w="1129"/>
      </w:tblGrid>
      <w:tr>
        <w:trPr>
          <w:trHeight w:val="830" w:hRule="atLeast"/>
        </w:trPr>
        <w:tc>
          <w:tcPr>
            <w:tcW w:w="1679" w:type="dxa"/>
            <w:tcBorders>
              <w:top w:val="single" w:sz="4" w:space="0" w:color="000000"/>
              <w:left w:val="single" w:sz="4" w:space="0" w:color="000000"/>
              <w:bottom w:val="single" w:sz="4" w:space="0" w:color="000000"/>
            </w:tcBorders>
          </w:tcPr>
          <w:p>
            <w:pPr>
              <w:pStyle w:val="TableParagraph"/>
              <w:spacing w:line="242" w:lineRule="auto"/>
              <w:ind w:left="95"/>
              <w:rPr>
                <w:sz w:val="24"/>
              </w:rPr>
            </w:pPr>
            <w:r>
              <w:rPr>
                <w:spacing w:val="-2"/>
                <w:sz w:val="24"/>
              </w:rPr>
              <w:t>Dependent Variable</w:t>
            </w:r>
          </w:p>
        </w:tc>
        <w:tc>
          <w:tcPr>
            <w:tcW w:w="1637" w:type="dxa"/>
            <w:tcBorders>
              <w:top w:val="single" w:sz="4" w:space="0" w:color="000000"/>
              <w:bottom w:val="single" w:sz="4" w:space="0" w:color="000000"/>
            </w:tcBorders>
          </w:tcPr>
          <w:p>
            <w:pPr>
              <w:pStyle w:val="TableParagraph"/>
              <w:spacing w:line="271" w:lineRule="exact"/>
              <w:ind w:left="221"/>
              <w:rPr>
                <w:sz w:val="24"/>
              </w:rPr>
            </w:pPr>
            <w:r>
              <w:rPr>
                <w:sz w:val="24"/>
              </w:rPr>
              <w:t>(I) </w:t>
            </w:r>
            <w:r>
              <w:rPr>
                <w:spacing w:val="-2"/>
                <w:sz w:val="24"/>
              </w:rPr>
              <w:t>Status</w:t>
            </w:r>
          </w:p>
        </w:tc>
        <w:tc>
          <w:tcPr>
            <w:tcW w:w="1666" w:type="dxa"/>
            <w:tcBorders>
              <w:top w:val="single" w:sz="4" w:space="0" w:color="000000"/>
              <w:bottom w:val="single" w:sz="4" w:space="0" w:color="000000"/>
            </w:tcBorders>
          </w:tcPr>
          <w:p>
            <w:pPr>
              <w:pStyle w:val="TableParagraph"/>
              <w:spacing w:line="271" w:lineRule="exact"/>
              <w:ind w:left="293"/>
              <w:rPr>
                <w:sz w:val="24"/>
              </w:rPr>
            </w:pPr>
            <w:r>
              <w:rPr>
                <w:sz w:val="24"/>
              </w:rPr>
              <w:t>(J) </w:t>
            </w:r>
            <w:r>
              <w:rPr>
                <w:spacing w:val="-2"/>
                <w:sz w:val="24"/>
              </w:rPr>
              <w:t>Status</w:t>
            </w:r>
          </w:p>
        </w:tc>
        <w:tc>
          <w:tcPr>
            <w:tcW w:w="1514" w:type="dxa"/>
            <w:tcBorders>
              <w:top w:val="single" w:sz="4" w:space="0" w:color="000000"/>
              <w:bottom w:val="single" w:sz="4" w:space="0" w:color="000000"/>
            </w:tcBorders>
          </w:tcPr>
          <w:p>
            <w:pPr>
              <w:pStyle w:val="TableParagraph"/>
              <w:spacing w:line="271" w:lineRule="exact"/>
              <w:ind w:left="250"/>
              <w:rPr>
                <w:sz w:val="24"/>
              </w:rPr>
            </w:pPr>
            <w:r>
              <w:rPr>
                <w:spacing w:val="-4"/>
                <w:sz w:val="24"/>
              </w:rPr>
              <w:t>Mean</w:t>
            </w:r>
          </w:p>
          <w:p>
            <w:pPr>
              <w:pStyle w:val="TableParagraph"/>
              <w:spacing w:line="274" w:lineRule="exact"/>
              <w:ind w:left="250" w:right="164"/>
              <w:rPr>
                <w:sz w:val="24"/>
              </w:rPr>
            </w:pPr>
            <w:r>
              <w:rPr>
                <w:spacing w:val="-2"/>
                <w:sz w:val="24"/>
              </w:rPr>
              <w:t>Difference (I-J)</w:t>
            </w:r>
          </w:p>
        </w:tc>
        <w:tc>
          <w:tcPr>
            <w:tcW w:w="1289" w:type="dxa"/>
            <w:tcBorders>
              <w:top w:val="single" w:sz="4" w:space="0" w:color="000000"/>
              <w:bottom w:val="single" w:sz="4" w:space="0" w:color="000000"/>
            </w:tcBorders>
          </w:tcPr>
          <w:p>
            <w:pPr>
              <w:pStyle w:val="TableParagraph"/>
              <w:spacing w:line="242" w:lineRule="auto" w:before="134"/>
              <w:ind w:left="176"/>
              <w:rPr>
                <w:sz w:val="24"/>
              </w:rPr>
            </w:pPr>
            <w:r>
              <w:rPr>
                <w:spacing w:val="-2"/>
                <w:sz w:val="24"/>
              </w:rPr>
              <w:t>Standard Error</w:t>
            </w:r>
          </w:p>
        </w:tc>
        <w:tc>
          <w:tcPr>
            <w:tcW w:w="1129" w:type="dxa"/>
            <w:tcBorders>
              <w:top w:val="single" w:sz="4" w:space="0" w:color="000000"/>
              <w:bottom w:val="single" w:sz="4" w:space="0" w:color="000000"/>
              <w:right w:val="single" w:sz="4" w:space="0" w:color="000000"/>
            </w:tcBorders>
          </w:tcPr>
          <w:p>
            <w:pPr>
              <w:pStyle w:val="TableParagraph"/>
              <w:spacing w:line="242" w:lineRule="auto" w:before="134"/>
              <w:ind w:left="144"/>
              <w:rPr>
                <w:sz w:val="24"/>
              </w:rPr>
            </w:pPr>
            <w:r>
              <w:rPr>
                <w:spacing w:val="-2"/>
                <w:sz w:val="24"/>
              </w:rPr>
              <w:t>Signifi- </w:t>
            </w:r>
            <w:r>
              <w:rPr>
                <w:spacing w:val="-4"/>
                <w:sz w:val="24"/>
              </w:rPr>
              <w:t>cance</w:t>
            </w:r>
          </w:p>
        </w:tc>
      </w:tr>
      <w:tr>
        <w:trPr>
          <w:trHeight w:val="276" w:hRule="atLeast"/>
        </w:trPr>
        <w:tc>
          <w:tcPr>
            <w:tcW w:w="1679" w:type="dxa"/>
            <w:tcBorders>
              <w:top w:val="single" w:sz="4" w:space="0" w:color="000000"/>
              <w:left w:val="single" w:sz="4" w:space="0" w:color="000000"/>
            </w:tcBorders>
          </w:tcPr>
          <w:p>
            <w:pPr>
              <w:pStyle w:val="TableParagraph"/>
              <w:rPr>
                <w:rFonts w:ascii="Times New Roman"/>
                <w:sz w:val="20"/>
              </w:rPr>
            </w:pPr>
          </w:p>
        </w:tc>
        <w:tc>
          <w:tcPr>
            <w:tcW w:w="1637" w:type="dxa"/>
            <w:tcBorders>
              <w:top w:val="single" w:sz="4" w:space="0" w:color="000000"/>
            </w:tcBorders>
          </w:tcPr>
          <w:p>
            <w:pPr>
              <w:pStyle w:val="TableParagraph"/>
              <w:spacing w:line="257" w:lineRule="exact"/>
              <w:ind w:left="221"/>
              <w:rPr>
                <w:sz w:val="24"/>
              </w:rPr>
            </w:pPr>
            <w:r>
              <w:rPr>
                <w:spacing w:val="-2"/>
                <w:sz w:val="24"/>
              </w:rPr>
              <w:t>Student</w:t>
            </w:r>
          </w:p>
        </w:tc>
        <w:tc>
          <w:tcPr>
            <w:tcW w:w="1666" w:type="dxa"/>
            <w:tcBorders>
              <w:top w:val="single" w:sz="4" w:space="0" w:color="000000"/>
            </w:tcBorders>
          </w:tcPr>
          <w:p>
            <w:pPr>
              <w:pStyle w:val="TableParagraph"/>
              <w:spacing w:line="257" w:lineRule="exact"/>
              <w:ind w:left="293"/>
              <w:rPr>
                <w:sz w:val="24"/>
              </w:rPr>
            </w:pPr>
            <w:r>
              <w:rPr>
                <w:spacing w:val="-4"/>
                <w:sz w:val="24"/>
              </w:rPr>
              <w:t>Staff</w:t>
            </w:r>
          </w:p>
        </w:tc>
        <w:tc>
          <w:tcPr>
            <w:tcW w:w="1514" w:type="dxa"/>
            <w:tcBorders>
              <w:top w:val="single" w:sz="4" w:space="0" w:color="000000"/>
            </w:tcBorders>
          </w:tcPr>
          <w:p>
            <w:pPr>
              <w:pStyle w:val="TableParagraph"/>
              <w:spacing w:line="257" w:lineRule="exact"/>
              <w:ind w:left="250"/>
              <w:rPr>
                <w:sz w:val="24"/>
              </w:rPr>
            </w:pPr>
            <w:r>
              <w:rPr>
                <w:spacing w:val="-2"/>
                <w:sz w:val="24"/>
              </w:rPr>
              <w:t>.0215</w:t>
            </w:r>
          </w:p>
        </w:tc>
        <w:tc>
          <w:tcPr>
            <w:tcW w:w="1289" w:type="dxa"/>
            <w:tcBorders>
              <w:top w:val="single" w:sz="4" w:space="0" w:color="000000"/>
            </w:tcBorders>
          </w:tcPr>
          <w:p>
            <w:pPr>
              <w:pStyle w:val="TableParagraph"/>
              <w:spacing w:line="257" w:lineRule="exact"/>
              <w:ind w:left="176"/>
              <w:rPr>
                <w:sz w:val="24"/>
              </w:rPr>
            </w:pPr>
            <w:r>
              <w:rPr>
                <w:spacing w:val="-2"/>
                <w:sz w:val="24"/>
              </w:rPr>
              <w:t>.0498</w:t>
            </w:r>
          </w:p>
        </w:tc>
        <w:tc>
          <w:tcPr>
            <w:tcW w:w="1129" w:type="dxa"/>
            <w:tcBorders>
              <w:top w:val="single" w:sz="4" w:space="0" w:color="000000"/>
              <w:right w:val="single" w:sz="4" w:space="0" w:color="000000"/>
            </w:tcBorders>
          </w:tcPr>
          <w:p>
            <w:pPr>
              <w:pStyle w:val="TableParagraph"/>
              <w:spacing w:line="257" w:lineRule="exact"/>
              <w:ind w:left="144"/>
              <w:rPr>
                <w:sz w:val="24"/>
              </w:rPr>
            </w:pPr>
            <w:r>
              <w:rPr>
                <w:spacing w:val="-4"/>
                <w:sz w:val="24"/>
              </w:rPr>
              <w:t>.911</w:t>
            </w:r>
          </w:p>
        </w:tc>
      </w:tr>
      <w:tr>
        <w:trPr>
          <w:trHeight w:val="276" w:hRule="atLeast"/>
        </w:trPr>
        <w:tc>
          <w:tcPr>
            <w:tcW w:w="1679" w:type="dxa"/>
            <w:tcBorders>
              <w:left w:val="single" w:sz="4" w:space="0" w:color="000000"/>
            </w:tcBorders>
          </w:tcPr>
          <w:p>
            <w:pPr>
              <w:pStyle w:val="TableParagraph"/>
              <w:rPr>
                <w:rFonts w:ascii="Times New Roman"/>
                <w:sz w:val="20"/>
              </w:rPr>
            </w:pPr>
          </w:p>
        </w:tc>
        <w:tc>
          <w:tcPr>
            <w:tcW w:w="1637" w:type="dxa"/>
          </w:tcPr>
          <w:p>
            <w:pPr>
              <w:pStyle w:val="TableParagraph"/>
              <w:rPr>
                <w:rFonts w:ascii="Times New Roman"/>
                <w:sz w:val="20"/>
              </w:rPr>
            </w:pPr>
          </w:p>
        </w:tc>
        <w:tc>
          <w:tcPr>
            <w:tcW w:w="1666" w:type="dxa"/>
          </w:tcPr>
          <w:p>
            <w:pPr>
              <w:pStyle w:val="TableParagraph"/>
              <w:spacing w:line="256" w:lineRule="exact"/>
              <w:ind w:left="293"/>
              <w:rPr>
                <w:sz w:val="24"/>
              </w:rPr>
            </w:pPr>
            <w:r>
              <w:rPr>
                <w:spacing w:val="-2"/>
                <w:sz w:val="24"/>
              </w:rPr>
              <w:t>Managmet</w:t>
            </w:r>
          </w:p>
        </w:tc>
        <w:tc>
          <w:tcPr>
            <w:tcW w:w="1514" w:type="dxa"/>
          </w:tcPr>
          <w:p>
            <w:pPr>
              <w:pStyle w:val="TableParagraph"/>
              <w:spacing w:line="256" w:lineRule="exact"/>
              <w:ind w:left="250"/>
              <w:rPr>
                <w:sz w:val="24"/>
              </w:rPr>
            </w:pPr>
            <w:r>
              <w:rPr>
                <w:sz w:val="24"/>
              </w:rPr>
              <w:t>-.1433</w:t>
            </w:r>
            <w:r>
              <w:rPr>
                <w:spacing w:val="-6"/>
                <w:sz w:val="24"/>
              </w:rPr>
              <w:t> </w:t>
            </w:r>
            <w:r>
              <w:rPr>
                <w:spacing w:val="-5"/>
                <w:sz w:val="24"/>
              </w:rPr>
              <w:t>(*)</w:t>
            </w:r>
          </w:p>
        </w:tc>
        <w:tc>
          <w:tcPr>
            <w:tcW w:w="1289" w:type="dxa"/>
          </w:tcPr>
          <w:p>
            <w:pPr>
              <w:pStyle w:val="TableParagraph"/>
              <w:spacing w:line="256" w:lineRule="exact"/>
              <w:ind w:left="176"/>
              <w:rPr>
                <w:sz w:val="24"/>
              </w:rPr>
            </w:pPr>
            <w:r>
              <w:rPr>
                <w:spacing w:val="-2"/>
                <w:sz w:val="24"/>
              </w:rPr>
              <w:t>.1125</w:t>
            </w:r>
          </w:p>
        </w:tc>
        <w:tc>
          <w:tcPr>
            <w:tcW w:w="1129" w:type="dxa"/>
            <w:tcBorders>
              <w:right w:val="single" w:sz="4" w:space="0" w:color="000000"/>
            </w:tcBorders>
          </w:tcPr>
          <w:p>
            <w:pPr>
              <w:pStyle w:val="TableParagraph"/>
              <w:spacing w:line="256" w:lineRule="exact"/>
              <w:ind w:left="144"/>
              <w:rPr>
                <w:sz w:val="24"/>
              </w:rPr>
            </w:pPr>
            <w:r>
              <w:rPr>
                <w:spacing w:val="-4"/>
                <w:sz w:val="24"/>
              </w:rPr>
              <w:t>.045</w:t>
            </w:r>
          </w:p>
        </w:tc>
      </w:tr>
      <w:tr>
        <w:trPr>
          <w:trHeight w:val="276" w:hRule="atLeast"/>
        </w:trPr>
        <w:tc>
          <w:tcPr>
            <w:tcW w:w="1679" w:type="dxa"/>
            <w:tcBorders>
              <w:left w:val="single" w:sz="4" w:space="0" w:color="000000"/>
            </w:tcBorders>
          </w:tcPr>
          <w:p>
            <w:pPr>
              <w:pStyle w:val="TableParagraph"/>
              <w:spacing w:line="256" w:lineRule="exact"/>
              <w:ind w:left="95"/>
              <w:rPr>
                <w:sz w:val="24"/>
              </w:rPr>
            </w:pPr>
            <w:r>
              <w:rPr>
                <w:sz w:val="24"/>
              </w:rPr>
              <w:t>Banking</w:t>
            </w:r>
            <w:r>
              <w:rPr>
                <w:spacing w:val="-4"/>
                <w:sz w:val="24"/>
              </w:rPr>
              <w:t> </w:t>
            </w:r>
            <w:r>
              <w:rPr>
                <w:spacing w:val="-5"/>
                <w:sz w:val="24"/>
              </w:rPr>
              <w:t>And</w:t>
            </w:r>
          </w:p>
        </w:tc>
        <w:tc>
          <w:tcPr>
            <w:tcW w:w="1637" w:type="dxa"/>
          </w:tcPr>
          <w:p>
            <w:pPr>
              <w:pStyle w:val="TableParagraph"/>
              <w:spacing w:line="256" w:lineRule="exact"/>
              <w:ind w:left="221"/>
              <w:rPr>
                <w:sz w:val="24"/>
              </w:rPr>
            </w:pPr>
            <w:r>
              <w:rPr>
                <w:spacing w:val="-4"/>
                <w:sz w:val="24"/>
              </w:rPr>
              <w:t>Staff</w:t>
            </w:r>
          </w:p>
        </w:tc>
        <w:tc>
          <w:tcPr>
            <w:tcW w:w="1666" w:type="dxa"/>
          </w:tcPr>
          <w:p>
            <w:pPr>
              <w:pStyle w:val="TableParagraph"/>
              <w:spacing w:line="256" w:lineRule="exact"/>
              <w:ind w:left="293"/>
              <w:rPr>
                <w:sz w:val="24"/>
              </w:rPr>
            </w:pPr>
            <w:r>
              <w:rPr>
                <w:spacing w:val="-2"/>
                <w:sz w:val="24"/>
              </w:rPr>
              <w:t>Student</w:t>
            </w:r>
          </w:p>
        </w:tc>
        <w:tc>
          <w:tcPr>
            <w:tcW w:w="1514" w:type="dxa"/>
          </w:tcPr>
          <w:p>
            <w:pPr>
              <w:pStyle w:val="TableParagraph"/>
              <w:spacing w:line="256" w:lineRule="exact"/>
              <w:ind w:left="250"/>
              <w:rPr>
                <w:sz w:val="24"/>
              </w:rPr>
            </w:pPr>
            <w:r>
              <w:rPr>
                <w:sz w:val="24"/>
              </w:rPr>
              <w:t>-</w:t>
            </w:r>
            <w:r>
              <w:rPr>
                <w:spacing w:val="-2"/>
                <w:sz w:val="24"/>
              </w:rPr>
              <w:t>.0215</w:t>
            </w:r>
          </w:p>
        </w:tc>
        <w:tc>
          <w:tcPr>
            <w:tcW w:w="1289" w:type="dxa"/>
          </w:tcPr>
          <w:p>
            <w:pPr>
              <w:pStyle w:val="TableParagraph"/>
              <w:spacing w:line="256" w:lineRule="exact"/>
              <w:ind w:left="176"/>
              <w:rPr>
                <w:sz w:val="24"/>
              </w:rPr>
            </w:pPr>
            <w:r>
              <w:rPr>
                <w:spacing w:val="-2"/>
                <w:sz w:val="24"/>
              </w:rPr>
              <w:t>.0498</w:t>
            </w:r>
          </w:p>
        </w:tc>
        <w:tc>
          <w:tcPr>
            <w:tcW w:w="1129" w:type="dxa"/>
            <w:tcBorders>
              <w:right w:val="single" w:sz="4" w:space="0" w:color="000000"/>
            </w:tcBorders>
          </w:tcPr>
          <w:p>
            <w:pPr>
              <w:pStyle w:val="TableParagraph"/>
              <w:spacing w:line="256" w:lineRule="exact"/>
              <w:ind w:left="144"/>
              <w:rPr>
                <w:sz w:val="24"/>
              </w:rPr>
            </w:pPr>
            <w:r>
              <w:rPr>
                <w:spacing w:val="-4"/>
                <w:sz w:val="24"/>
              </w:rPr>
              <w:t>.911</w:t>
            </w:r>
          </w:p>
        </w:tc>
      </w:tr>
      <w:tr>
        <w:trPr>
          <w:trHeight w:val="275" w:hRule="atLeast"/>
        </w:trPr>
        <w:tc>
          <w:tcPr>
            <w:tcW w:w="1679" w:type="dxa"/>
            <w:tcBorders>
              <w:left w:val="single" w:sz="4" w:space="0" w:color="000000"/>
            </w:tcBorders>
          </w:tcPr>
          <w:p>
            <w:pPr>
              <w:pStyle w:val="TableParagraph"/>
              <w:spacing w:line="256" w:lineRule="exact"/>
              <w:ind w:left="95"/>
              <w:rPr>
                <w:sz w:val="24"/>
              </w:rPr>
            </w:pPr>
            <w:r>
              <w:rPr>
                <w:spacing w:val="-2"/>
                <w:sz w:val="24"/>
              </w:rPr>
              <w:t>Telecom</w:t>
            </w:r>
          </w:p>
        </w:tc>
        <w:tc>
          <w:tcPr>
            <w:tcW w:w="1637" w:type="dxa"/>
          </w:tcPr>
          <w:p>
            <w:pPr>
              <w:pStyle w:val="TableParagraph"/>
              <w:rPr>
                <w:rFonts w:ascii="Times New Roman"/>
                <w:sz w:val="20"/>
              </w:rPr>
            </w:pPr>
          </w:p>
        </w:tc>
        <w:tc>
          <w:tcPr>
            <w:tcW w:w="1666" w:type="dxa"/>
          </w:tcPr>
          <w:p>
            <w:pPr>
              <w:pStyle w:val="TableParagraph"/>
              <w:spacing w:line="256" w:lineRule="exact"/>
              <w:ind w:left="293"/>
              <w:rPr>
                <w:sz w:val="24"/>
              </w:rPr>
            </w:pPr>
            <w:r>
              <w:rPr>
                <w:spacing w:val="-2"/>
                <w:sz w:val="24"/>
              </w:rPr>
              <w:t>Managmet</w:t>
            </w:r>
          </w:p>
        </w:tc>
        <w:tc>
          <w:tcPr>
            <w:tcW w:w="1514" w:type="dxa"/>
          </w:tcPr>
          <w:p>
            <w:pPr>
              <w:pStyle w:val="TableParagraph"/>
              <w:spacing w:line="256" w:lineRule="exact"/>
              <w:ind w:left="250"/>
              <w:rPr>
                <w:sz w:val="24"/>
              </w:rPr>
            </w:pPr>
            <w:r>
              <w:rPr>
                <w:sz w:val="24"/>
              </w:rPr>
              <w:t>-</w:t>
            </w:r>
            <w:r>
              <w:rPr>
                <w:spacing w:val="-2"/>
                <w:sz w:val="24"/>
              </w:rPr>
              <w:t>.1648</w:t>
            </w:r>
          </w:p>
        </w:tc>
        <w:tc>
          <w:tcPr>
            <w:tcW w:w="1289" w:type="dxa"/>
          </w:tcPr>
          <w:p>
            <w:pPr>
              <w:pStyle w:val="TableParagraph"/>
              <w:spacing w:line="256" w:lineRule="exact"/>
              <w:ind w:left="176"/>
              <w:rPr>
                <w:sz w:val="24"/>
              </w:rPr>
            </w:pPr>
            <w:r>
              <w:rPr>
                <w:spacing w:val="-2"/>
                <w:sz w:val="24"/>
              </w:rPr>
              <w:t>.1135</w:t>
            </w:r>
          </w:p>
        </w:tc>
        <w:tc>
          <w:tcPr>
            <w:tcW w:w="1129" w:type="dxa"/>
            <w:tcBorders>
              <w:right w:val="single" w:sz="4" w:space="0" w:color="000000"/>
            </w:tcBorders>
          </w:tcPr>
          <w:p>
            <w:pPr>
              <w:pStyle w:val="TableParagraph"/>
              <w:spacing w:line="256" w:lineRule="exact"/>
              <w:ind w:left="144"/>
              <w:rPr>
                <w:sz w:val="24"/>
              </w:rPr>
            </w:pPr>
            <w:r>
              <w:rPr>
                <w:spacing w:val="-4"/>
                <w:sz w:val="24"/>
              </w:rPr>
              <w:t>.349</w:t>
            </w:r>
          </w:p>
        </w:tc>
      </w:tr>
      <w:tr>
        <w:trPr>
          <w:trHeight w:val="331" w:hRule="atLeast"/>
        </w:trPr>
        <w:tc>
          <w:tcPr>
            <w:tcW w:w="1679" w:type="dxa"/>
            <w:tcBorders>
              <w:left w:val="single" w:sz="4" w:space="0" w:color="000000"/>
            </w:tcBorders>
          </w:tcPr>
          <w:p>
            <w:pPr>
              <w:pStyle w:val="TableParagraph"/>
              <w:rPr>
                <w:rFonts w:ascii="Times New Roman"/>
                <w:sz w:val="24"/>
              </w:rPr>
            </w:pPr>
          </w:p>
        </w:tc>
        <w:tc>
          <w:tcPr>
            <w:tcW w:w="1637" w:type="dxa"/>
          </w:tcPr>
          <w:p>
            <w:pPr>
              <w:pStyle w:val="TableParagraph"/>
              <w:spacing w:line="271" w:lineRule="exact"/>
              <w:ind w:left="221"/>
              <w:rPr>
                <w:sz w:val="24"/>
              </w:rPr>
            </w:pPr>
            <w:r>
              <w:rPr>
                <w:spacing w:val="-2"/>
                <w:sz w:val="24"/>
              </w:rPr>
              <w:t>Managmet</w:t>
            </w:r>
          </w:p>
        </w:tc>
        <w:tc>
          <w:tcPr>
            <w:tcW w:w="1666" w:type="dxa"/>
          </w:tcPr>
          <w:p>
            <w:pPr>
              <w:pStyle w:val="TableParagraph"/>
              <w:spacing w:line="271" w:lineRule="exact"/>
              <w:ind w:left="293"/>
              <w:rPr>
                <w:sz w:val="24"/>
              </w:rPr>
            </w:pPr>
            <w:r>
              <w:rPr>
                <w:spacing w:val="-2"/>
                <w:sz w:val="24"/>
              </w:rPr>
              <w:t>Student</w:t>
            </w:r>
          </w:p>
        </w:tc>
        <w:tc>
          <w:tcPr>
            <w:tcW w:w="1514" w:type="dxa"/>
          </w:tcPr>
          <w:p>
            <w:pPr>
              <w:pStyle w:val="TableParagraph"/>
              <w:spacing w:line="271" w:lineRule="exact"/>
              <w:ind w:left="250"/>
              <w:rPr>
                <w:sz w:val="24"/>
              </w:rPr>
            </w:pPr>
            <w:r>
              <w:rPr>
                <w:sz w:val="24"/>
              </w:rPr>
              <w:t>.1433</w:t>
            </w:r>
            <w:r>
              <w:rPr>
                <w:spacing w:val="-4"/>
                <w:sz w:val="24"/>
              </w:rPr>
              <w:t> </w:t>
            </w:r>
            <w:r>
              <w:rPr>
                <w:spacing w:val="-5"/>
                <w:sz w:val="24"/>
              </w:rPr>
              <w:t>(*)</w:t>
            </w:r>
          </w:p>
        </w:tc>
        <w:tc>
          <w:tcPr>
            <w:tcW w:w="1289" w:type="dxa"/>
          </w:tcPr>
          <w:p>
            <w:pPr>
              <w:pStyle w:val="TableParagraph"/>
              <w:spacing w:line="271" w:lineRule="exact"/>
              <w:ind w:left="176"/>
              <w:rPr>
                <w:sz w:val="24"/>
              </w:rPr>
            </w:pPr>
            <w:r>
              <w:rPr>
                <w:spacing w:val="-2"/>
                <w:sz w:val="24"/>
              </w:rPr>
              <w:t>.1125</w:t>
            </w:r>
          </w:p>
        </w:tc>
        <w:tc>
          <w:tcPr>
            <w:tcW w:w="1129" w:type="dxa"/>
            <w:tcBorders>
              <w:right w:val="single" w:sz="4" w:space="0" w:color="000000"/>
            </w:tcBorders>
          </w:tcPr>
          <w:p>
            <w:pPr>
              <w:pStyle w:val="TableParagraph"/>
              <w:spacing w:line="271" w:lineRule="exact"/>
              <w:ind w:left="144"/>
              <w:rPr>
                <w:sz w:val="24"/>
              </w:rPr>
            </w:pPr>
            <w:r>
              <w:rPr>
                <w:spacing w:val="-4"/>
                <w:sz w:val="24"/>
              </w:rPr>
              <w:t>.045</w:t>
            </w:r>
          </w:p>
        </w:tc>
      </w:tr>
      <w:tr>
        <w:trPr>
          <w:trHeight w:val="497" w:hRule="atLeast"/>
        </w:trPr>
        <w:tc>
          <w:tcPr>
            <w:tcW w:w="1679" w:type="dxa"/>
            <w:tcBorders>
              <w:left w:val="single" w:sz="4" w:space="0" w:color="000000"/>
              <w:bottom w:val="single" w:sz="4" w:space="0" w:color="000000"/>
            </w:tcBorders>
          </w:tcPr>
          <w:p>
            <w:pPr>
              <w:pStyle w:val="TableParagraph"/>
              <w:rPr>
                <w:rFonts w:ascii="Times New Roman"/>
                <w:sz w:val="24"/>
              </w:rPr>
            </w:pPr>
          </w:p>
        </w:tc>
        <w:tc>
          <w:tcPr>
            <w:tcW w:w="1637" w:type="dxa"/>
            <w:tcBorders>
              <w:bottom w:val="single" w:sz="4" w:space="0" w:color="000000"/>
            </w:tcBorders>
          </w:tcPr>
          <w:p>
            <w:pPr>
              <w:pStyle w:val="TableParagraph"/>
              <w:rPr>
                <w:rFonts w:ascii="Times New Roman"/>
                <w:sz w:val="24"/>
              </w:rPr>
            </w:pPr>
          </w:p>
        </w:tc>
        <w:tc>
          <w:tcPr>
            <w:tcW w:w="1666" w:type="dxa"/>
            <w:tcBorders>
              <w:bottom w:val="single" w:sz="4" w:space="0" w:color="000000"/>
            </w:tcBorders>
          </w:tcPr>
          <w:p>
            <w:pPr>
              <w:pStyle w:val="TableParagraph"/>
              <w:spacing w:line="263" w:lineRule="exact" w:before="215"/>
              <w:ind w:left="293"/>
              <w:rPr>
                <w:sz w:val="24"/>
              </w:rPr>
            </w:pPr>
            <w:r>
              <w:rPr>
                <w:spacing w:val="-2"/>
                <w:sz w:val="24"/>
              </w:rPr>
              <w:t>STAFF</w:t>
            </w:r>
          </w:p>
        </w:tc>
        <w:tc>
          <w:tcPr>
            <w:tcW w:w="1514" w:type="dxa"/>
            <w:tcBorders>
              <w:bottom w:val="single" w:sz="4" w:space="0" w:color="000000"/>
            </w:tcBorders>
          </w:tcPr>
          <w:p>
            <w:pPr>
              <w:pStyle w:val="TableParagraph"/>
              <w:spacing w:before="76"/>
              <w:ind w:left="250"/>
              <w:rPr>
                <w:sz w:val="24"/>
              </w:rPr>
            </w:pPr>
            <w:r>
              <w:rPr>
                <w:spacing w:val="-2"/>
                <w:sz w:val="24"/>
              </w:rPr>
              <w:t>.1648</w:t>
            </w:r>
          </w:p>
        </w:tc>
        <w:tc>
          <w:tcPr>
            <w:tcW w:w="1289" w:type="dxa"/>
            <w:tcBorders>
              <w:bottom w:val="single" w:sz="4" w:space="0" w:color="000000"/>
            </w:tcBorders>
          </w:tcPr>
          <w:p>
            <w:pPr>
              <w:pStyle w:val="TableParagraph"/>
              <w:spacing w:before="76"/>
              <w:ind w:left="176"/>
              <w:rPr>
                <w:sz w:val="24"/>
              </w:rPr>
            </w:pPr>
            <w:r>
              <w:rPr>
                <w:spacing w:val="-2"/>
                <w:sz w:val="24"/>
              </w:rPr>
              <w:t>.1135</w:t>
            </w:r>
          </w:p>
        </w:tc>
        <w:tc>
          <w:tcPr>
            <w:tcW w:w="1129" w:type="dxa"/>
            <w:tcBorders>
              <w:bottom w:val="single" w:sz="4" w:space="0" w:color="000000"/>
              <w:right w:val="single" w:sz="4" w:space="0" w:color="000000"/>
            </w:tcBorders>
          </w:tcPr>
          <w:p>
            <w:pPr>
              <w:pStyle w:val="TableParagraph"/>
              <w:spacing w:before="76"/>
              <w:ind w:left="144"/>
              <w:rPr>
                <w:sz w:val="24"/>
              </w:rPr>
            </w:pPr>
            <w:r>
              <w:rPr>
                <w:spacing w:val="-4"/>
                <w:sz w:val="24"/>
              </w:rPr>
              <w:t>.349</w:t>
            </w:r>
          </w:p>
        </w:tc>
      </w:tr>
    </w:tbl>
    <w:p>
      <w:pPr>
        <w:pStyle w:val="BodyText"/>
        <w:ind w:left="840"/>
      </w:pPr>
      <w:r>
        <w:rPr/>
        <w:t>*Mean</w:t>
      </w:r>
      <w:r>
        <w:rPr>
          <w:spacing w:val="-5"/>
        </w:rPr>
        <w:t> </w:t>
      </w:r>
      <w:r>
        <w:rPr/>
        <w:t>difference</w:t>
      </w:r>
      <w:r>
        <w:rPr>
          <w:spacing w:val="-8"/>
        </w:rPr>
        <w:t> </w:t>
      </w:r>
      <w:r>
        <w:rPr/>
        <w:t>is</w:t>
      </w:r>
      <w:r>
        <w:rPr>
          <w:spacing w:val="-6"/>
        </w:rPr>
        <w:t> </w:t>
      </w:r>
      <w:r>
        <w:rPr/>
        <w:t>significant</w:t>
      </w:r>
      <w:r>
        <w:rPr>
          <w:spacing w:val="-5"/>
        </w:rPr>
        <w:t> </w:t>
      </w:r>
      <w:r>
        <w:rPr/>
        <w:t>at</w:t>
      </w:r>
      <w:r>
        <w:rPr>
          <w:spacing w:val="-9"/>
        </w:rPr>
        <w:t> </w:t>
      </w:r>
      <w:r>
        <w:rPr/>
        <w:t>.05</w:t>
      </w:r>
      <w:r>
        <w:rPr>
          <w:spacing w:val="-9"/>
        </w:rPr>
        <w:t> </w:t>
      </w:r>
      <w:r>
        <w:rPr>
          <w:spacing w:val="-2"/>
        </w:rPr>
        <w:t>level.</w:t>
      </w:r>
    </w:p>
    <w:p>
      <w:pPr>
        <w:pStyle w:val="BodyText"/>
        <w:spacing w:line="480" w:lineRule="auto" w:before="274"/>
        <w:ind w:left="840" w:right="555" w:firstLine="720"/>
        <w:jc w:val="both"/>
      </w:pPr>
      <w:r>
        <w:rPr/>
        <w:t>From the Scheffe’s Multiple Comparison Test above, it was evident that differences existed in the opinions of the three groups of respondents regarding the</w:t>
      </w:r>
      <w:r>
        <w:rPr>
          <w:spacing w:val="-2"/>
        </w:rPr>
        <w:t> </w:t>
      </w:r>
      <w:r>
        <w:rPr/>
        <w:t>impact</w:t>
      </w:r>
      <w:r>
        <w:rPr>
          <w:spacing w:val="-3"/>
        </w:rPr>
        <w:t> </w:t>
      </w:r>
      <w:r>
        <w:rPr/>
        <w:t>of</w:t>
      </w:r>
      <w:r>
        <w:rPr>
          <w:spacing w:val="-3"/>
        </w:rPr>
        <w:t> </w:t>
      </w:r>
      <w:r>
        <w:rPr/>
        <w:t>banking</w:t>
      </w:r>
      <w:r>
        <w:rPr>
          <w:spacing w:val="-2"/>
        </w:rPr>
        <w:t> </w:t>
      </w:r>
      <w:r>
        <w:rPr/>
        <w:t>and</w:t>
      </w:r>
      <w:r>
        <w:rPr>
          <w:spacing w:val="-2"/>
        </w:rPr>
        <w:t> </w:t>
      </w:r>
      <w:r>
        <w:rPr/>
        <w:t>telecommunication services</w:t>
      </w:r>
      <w:r>
        <w:rPr>
          <w:spacing w:val="-2"/>
        </w:rPr>
        <w:t> </w:t>
      </w:r>
      <w:r>
        <w:rPr/>
        <w:t>on</w:t>
      </w:r>
      <w:r>
        <w:rPr>
          <w:spacing w:val="-2"/>
        </w:rPr>
        <w:t> </w:t>
      </w:r>
      <w:r>
        <w:rPr/>
        <w:t>students’</w:t>
      </w:r>
      <w:r>
        <w:rPr>
          <w:spacing w:val="-3"/>
        </w:rPr>
        <w:t> </w:t>
      </w:r>
      <w:r>
        <w:rPr/>
        <w:t>welfare</w:t>
      </w:r>
      <w:r>
        <w:rPr>
          <w:spacing w:val="-2"/>
        </w:rPr>
        <w:t> </w:t>
      </w:r>
      <w:r>
        <w:rPr/>
        <w:t>in</w:t>
      </w:r>
      <w:r>
        <w:rPr>
          <w:spacing w:val="-2"/>
        </w:rPr>
        <w:t> </w:t>
      </w:r>
      <w:r>
        <w:rPr/>
        <w:t>the universities. The mean differences of students and top management seemed to be in agreement while that of the service staff disagreed with those of students and</w:t>
      </w:r>
      <w:r>
        <w:rPr>
          <w:spacing w:val="4"/>
        </w:rPr>
        <w:t> </w:t>
      </w:r>
      <w:r>
        <w:rPr/>
        <w:t>management.</w:t>
      </w:r>
      <w:r>
        <w:rPr>
          <w:spacing w:val="3"/>
        </w:rPr>
        <w:t> </w:t>
      </w:r>
      <w:r>
        <w:rPr/>
        <w:t>This</w:t>
      </w:r>
      <w:r>
        <w:rPr>
          <w:spacing w:val="-1"/>
        </w:rPr>
        <w:t> </w:t>
      </w:r>
      <w:r>
        <w:rPr/>
        <w:t>lacked</w:t>
      </w:r>
      <w:r>
        <w:rPr>
          <w:spacing w:val="4"/>
        </w:rPr>
        <w:t> </w:t>
      </w:r>
      <w:r>
        <w:rPr/>
        <w:t>consensus</w:t>
      </w:r>
      <w:r>
        <w:rPr>
          <w:spacing w:val="-1"/>
        </w:rPr>
        <w:t> </w:t>
      </w:r>
      <w:r>
        <w:rPr/>
        <w:t>in</w:t>
      </w:r>
      <w:r>
        <w:rPr>
          <w:spacing w:val="4"/>
        </w:rPr>
        <w:t> </w:t>
      </w:r>
      <w:r>
        <w:rPr/>
        <w:t>the</w:t>
      </w:r>
      <w:r>
        <w:rPr>
          <w:spacing w:val="4"/>
        </w:rPr>
        <w:t> </w:t>
      </w:r>
      <w:r>
        <w:rPr/>
        <w:t>opinions</w:t>
      </w:r>
      <w:r>
        <w:rPr>
          <w:spacing w:val="-1"/>
        </w:rPr>
        <w:t> </w:t>
      </w:r>
      <w:r>
        <w:rPr/>
        <w:t>of</w:t>
      </w:r>
      <w:r>
        <w:rPr>
          <w:spacing w:val="3"/>
        </w:rPr>
        <w:t> </w:t>
      </w:r>
      <w:r>
        <w:rPr/>
        <w:t>the</w:t>
      </w:r>
      <w:r>
        <w:rPr>
          <w:spacing w:val="5"/>
        </w:rPr>
        <w:t> </w:t>
      </w:r>
      <w:r>
        <w:rPr/>
        <w:t>service</w:t>
      </w:r>
      <w:r>
        <w:rPr>
          <w:spacing w:val="4"/>
        </w:rPr>
        <w:t> </w:t>
      </w:r>
      <w:r>
        <w:rPr/>
        <w:t>staff</w:t>
      </w:r>
      <w:r>
        <w:rPr>
          <w:spacing w:val="3"/>
        </w:rPr>
        <w:t> </w:t>
      </w:r>
      <w:r>
        <w:rPr>
          <w:spacing w:val="-5"/>
        </w:rPr>
        <w:t>and</w:t>
      </w:r>
    </w:p>
    <w:p>
      <w:pPr>
        <w:spacing w:after="0" w:line="480" w:lineRule="auto"/>
        <w:jc w:val="both"/>
        <w:sectPr>
          <w:headerReference w:type="default" r:id="rId463"/>
          <w:footerReference w:type="default" r:id="rId464"/>
          <w:pgSz w:w="12240" w:h="15840"/>
          <w:pgMar w:header="722" w:footer="791" w:top="980" w:bottom="980" w:left="1320" w:right="880"/>
        </w:sectPr>
      </w:pPr>
    </w:p>
    <w:p>
      <w:pPr>
        <w:pStyle w:val="BodyText"/>
        <w:spacing w:before="171"/>
      </w:pPr>
    </w:p>
    <w:p>
      <w:pPr>
        <w:pStyle w:val="BodyText"/>
        <w:spacing w:line="480" w:lineRule="auto"/>
        <w:ind w:left="840" w:right="553"/>
        <w:jc w:val="both"/>
      </w:pPr>
      <w:r>
        <w:rPr/>
        <w:t>the two groups of respondents could be attributed to the fact that the students as users, and the management who are providers of the facilities, could attest more to the provision of the facilities. There were assumptions that most university campuses had branches</w:t>
      </w:r>
      <w:r>
        <w:rPr>
          <w:spacing w:val="-3"/>
        </w:rPr>
        <w:t> </w:t>
      </w:r>
      <w:r>
        <w:rPr/>
        <w:t>of commercial banks. Likewise</w:t>
      </w:r>
      <w:r>
        <w:rPr>
          <w:spacing w:val="-2"/>
        </w:rPr>
        <w:t> </w:t>
      </w:r>
      <w:r>
        <w:rPr/>
        <w:t>post offices, speed post, e-mails, GSM, and internet were within the reach of the students. There is, however, the need to encourage the banking and telecommunication services to manifest on the campuses to reduce students’ stress of traveling out for these </w:t>
      </w:r>
      <w:r>
        <w:rPr>
          <w:spacing w:val="-2"/>
        </w:rPr>
        <w:t>services.</w:t>
      </w:r>
    </w:p>
    <w:p>
      <w:pPr>
        <w:pStyle w:val="Heading4"/>
        <w:numPr>
          <w:ilvl w:val="2"/>
          <w:numId w:val="43"/>
        </w:numPr>
        <w:tabs>
          <w:tab w:pos="967" w:val="left" w:leader="none"/>
        </w:tabs>
        <w:spacing w:line="240" w:lineRule="auto" w:before="2" w:after="0"/>
        <w:ind w:left="967" w:right="0" w:hanging="847"/>
        <w:jc w:val="left"/>
      </w:pPr>
      <w:bookmarkStart w:name="_TOC_250010" w:id="58"/>
      <w:r>
        <w:rPr/>
        <w:t>Null</w:t>
      </w:r>
      <w:r>
        <w:rPr>
          <w:spacing w:val="-7"/>
        </w:rPr>
        <w:t> </w:t>
      </w:r>
      <w:r>
        <w:rPr/>
        <w:t>Hypothesis</w:t>
      </w:r>
      <w:r>
        <w:rPr>
          <w:spacing w:val="-4"/>
        </w:rPr>
        <w:t> </w:t>
      </w:r>
      <w:bookmarkEnd w:id="58"/>
      <w:r>
        <w:rPr>
          <w:spacing w:val="-5"/>
        </w:rPr>
        <w:t>15</w:t>
      </w:r>
    </w:p>
    <w:p>
      <w:pPr>
        <w:pStyle w:val="BodyText"/>
        <w:spacing w:before="44"/>
        <w:rPr>
          <w:rFonts w:ascii="Arial"/>
          <w:b/>
        </w:rPr>
      </w:pPr>
    </w:p>
    <w:p>
      <w:pPr>
        <w:pStyle w:val="BodyText"/>
        <w:spacing w:line="480" w:lineRule="auto"/>
        <w:ind w:left="840" w:right="561" w:firstLine="720"/>
        <w:jc w:val="both"/>
      </w:pPr>
      <w:r>
        <w:rPr/>
        <w:t>There is no significant difference in the opinions of students, service staff and management staff in respect of the impact of library services on students’ welfare in the universities.</w:t>
      </w:r>
    </w:p>
    <w:p>
      <w:pPr>
        <w:pStyle w:val="BodyText"/>
        <w:spacing w:line="480" w:lineRule="auto"/>
        <w:ind w:left="840" w:right="553" w:firstLine="720"/>
        <w:jc w:val="both"/>
      </w:pPr>
      <w:r>
        <w:rPr/>
        <w:t>Items 73 to 76 in the questionnaire were used to find out differences of respondents’</w:t>
      </w:r>
      <w:r>
        <w:rPr>
          <w:spacing w:val="-1"/>
        </w:rPr>
        <w:t> </w:t>
      </w:r>
      <w:r>
        <w:rPr/>
        <w:t>opinions</w:t>
      </w:r>
      <w:r>
        <w:rPr>
          <w:spacing w:val="-6"/>
        </w:rPr>
        <w:t> </w:t>
      </w:r>
      <w:r>
        <w:rPr/>
        <w:t>on the</w:t>
      </w:r>
      <w:r>
        <w:rPr>
          <w:spacing w:val="-4"/>
        </w:rPr>
        <w:t> </w:t>
      </w:r>
      <w:r>
        <w:rPr/>
        <w:t>impact</w:t>
      </w:r>
      <w:r>
        <w:rPr>
          <w:spacing w:val="-1"/>
        </w:rPr>
        <w:t> </w:t>
      </w:r>
      <w:r>
        <w:rPr/>
        <w:t>of</w:t>
      </w:r>
      <w:r>
        <w:rPr>
          <w:spacing w:val="-1"/>
        </w:rPr>
        <w:t> </w:t>
      </w:r>
      <w:r>
        <w:rPr/>
        <w:t>library</w:t>
      </w:r>
      <w:r>
        <w:rPr>
          <w:spacing w:val="-6"/>
        </w:rPr>
        <w:t> </w:t>
      </w:r>
      <w:r>
        <w:rPr/>
        <w:t>services</w:t>
      </w:r>
      <w:r>
        <w:rPr>
          <w:spacing w:val="-1"/>
        </w:rPr>
        <w:t> </w:t>
      </w:r>
      <w:r>
        <w:rPr/>
        <w:t>on students’</w:t>
      </w:r>
      <w:r>
        <w:rPr>
          <w:spacing w:val="-1"/>
        </w:rPr>
        <w:t> </w:t>
      </w:r>
      <w:r>
        <w:rPr/>
        <w:t>welfare</w:t>
      </w:r>
      <w:r>
        <w:rPr>
          <w:spacing w:val="-4"/>
        </w:rPr>
        <w:t> </w:t>
      </w:r>
      <w:r>
        <w:rPr/>
        <w:t>in the universities.</w:t>
      </w:r>
      <w:r>
        <w:rPr>
          <w:spacing w:val="-1"/>
        </w:rPr>
        <w:t> </w:t>
      </w:r>
      <w:r>
        <w:rPr/>
        <w:t>To</w:t>
      </w:r>
      <w:r>
        <w:rPr>
          <w:spacing w:val="-1"/>
        </w:rPr>
        <w:t> </w:t>
      </w:r>
      <w:r>
        <w:rPr/>
        <w:t>test</w:t>
      </w:r>
      <w:r>
        <w:rPr>
          <w:spacing w:val="-1"/>
        </w:rPr>
        <w:t> </w:t>
      </w:r>
      <w:r>
        <w:rPr/>
        <w:t>the</w:t>
      </w:r>
      <w:r>
        <w:rPr>
          <w:spacing w:val="-1"/>
        </w:rPr>
        <w:t> </w:t>
      </w:r>
      <w:r>
        <w:rPr/>
        <w:t>hypothesis, One</w:t>
      </w:r>
      <w:r>
        <w:rPr>
          <w:spacing w:val="-5"/>
        </w:rPr>
        <w:t> </w:t>
      </w:r>
      <w:r>
        <w:rPr/>
        <w:t>Way</w:t>
      </w:r>
      <w:r>
        <w:rPr>
          <w:spacing w:val="-6"/>
        </w:rPr>
        <w:t> </w:t>
      </w:r>
      <w:r>
        <w:rPr/>
        <w:t>Analysis</w:t>
      </w:r>
      <w:r>
        <w:rPr>
          <w:spacing w:val="-1"/>
        </w:rPr>
        <w:t> </w:t>
      </w:r>
      <w:r>
        <w:rPr/>
        <w:t>of Variance</w:t>
      </w:r>
      <w:r>
        <w:rPr>
          <w:spacing w:val="-1"/>
        </w:rPr>
        <w:t> </w:t>
      </w:r>
      <w:r>
        <w:rPr/>
        <w:t>(ANOVA) was used and the results are presented in Table 4.5.24.</w:t>
      </w:r>
    </w:p>
    <w:p>
      <w:pPr>
        <w:pStyle w:val="Heading2"/>
        <w:spacing w:after="4"/>
        <w:ind w:left="2587" w:right="1000" w:hanging="1748"/>
      </w:pPr>
      <w:r>
        <w:rPr/>
        <w:t>Table</w:t>
      </w:r>
      <w:r>
        <w:rPr>
          <w:spacing w:val="-3"/>
        </w:rPr>
        <w:t> </w:t>
      </w:r>
      <w:r>
        <w:rPr/>
        <w:t>4.5.24:</w:t>
      </w:r>
      <w:r>
        <w:rPr>
          <w:spacing w:val="-4"/>
        </w:rPr>
        <w:t> </w:t>
      </w:r>
      <w:r>
        <w:rPr/>
        <w:t>Analysis</w:t>
      </w:r>
      <w:r>
        <w:rPr>
          <w:spacing w:val="-4"/>
        </w:rPr>
        <w:t> </w:t>
      </w:r>
      <w:r>
        <w:rPr/>
        <w:t>of</w:t>
      </w:r>
      <w:r>
        <w:rPr>
          <w:spacing w:val="-4"/>
        </w:rPr>
        <w:t> </w:t>
      </w:r>
      <w:r>
        <w:rPr/>
        <w:t>Variance</w:t>
      </w:r>
      <w:r>
        <w:rPr>
          <w:spacing w:val="-8"/>
        </w:rPr>
        <w:t> </w:t>
      </w:r>
      <w:r>
        <w:rPr/>
        <w:t>(ANOVA)</w:t>
      </w:r>
      <w:r>
        <w:rPr>
          <w:spacing w:val="-4"/>
        </w:rPr>
        <w:t> </w:t>
      </w:r>
      <w:r>
        <w:rPr/>
        <w:t>on</w:t>
      </w:r>
      <w:r>
        <w:rPr>
          <w:spacing w:val="-4"/>
        </w:rPr>
        <w:t> </w:t>
      </w:r>
      <w:r>
        <w:rPr/>
        <w:t>the</w:t>
      </w:r>
      <w:r>
        <w:rPr>
          <w:spacing w:val="-8"/>
        </w:rPr>
        <w:t> </w:t>
      </w:r>
      <w:r>
        <w:rPr/>
        <w:t>impact</w:t>
      </w:r>
      <w:r>
        <w:rPr>
          <w:spacing w:val="-4"/>
        </w:rPr>
        <w:t> </w:t>
      </w:r>
      <w:r>
        <w:rPr/>
        <w:t>of library services on students’ welfare in Universities in three geopolitical zones in Northern part of Nigeria</w:t>
      </w:r>
    </w:p>
    <w:tbl>
      <w:tblPr>
        <w:tblW w:w="0" w:type="auto"/>
        <w:jc w:val="left"/>
        <w:tblInd w:w="1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63"/>
        <w:gridCol w:w="820"/>
        <w:gridCol w:w="1597"/>
        <w:gridCol w:w="1351"/>
        <w:gridCol w:w="1104"/>
        <w:gridCol w:w="1623"/>
      </w:tblGrid>
      <w:tr>
        <w:trPr>
          <w:trHeight w:val="551" w:hRule="atLeast"/>
        </w:trPr>
        <w:tc>
          <w:tcPr>
            <w:tcW w:w="1963" w:type="dxa"/>
            <w:tcBorders>
              <w:top w:val="single" w:sz="4" w:space="0" w:color="000000"/>
              <w:left w:val="single" w:sz="4" w:space="0" w:color="000000"/>
              <w:bottom w:val="single" w:sz="4" w:space="0" w:color="000000"/>
            </w:tcBorders>
          </w:tcPr>
          <w:p>
            <w:pPr>
              <w:pStyle w:val="TableParagraph"/>
              <w:spacing w:line="267" w:lineRule="exact"/>
              <w:ind w:left="431"/>
              <w:rPr>
                <w:rFonts w:ascii="Arial"/>
                <w:b/>
                <w:sz w:val="24"/>
              </w:rPr>
            </w:pPr>
            <w:r>
              <w:rPr>
                <w:rFonts w:ascii="Arial"/>
                <w:b/>
                <w:sz w:val="24"/>
              </w:rPr>
              <w:t>Source</w:t>
            </w:r>
            <w:r>
              <w:rPr>
                <w:rFonts w:ascii="Arial"/>
                <w:b/>
                <w:spacing w:val="-12"/>
                <w:sz w:val="24"/>
              </w:rPr>
              <w:t> </w:t>
            </w:r>
            <w:r>
              <w:rPr>
                <w:rFonts w:ascii="Arial"/>
                <w:b/>
                <w:spacing w:val="-5"/>
                <w:sz w:val="24"/>
              </w:rPr>
              <w:t>of</w:t>
            </w:r>
          </w:p>
          <w:p>
            <w:pPr>
              <w:pStyle w:val="TableParagraph"/>
              <w:spacing w:line="263" w:lineRule="exact" w:before="2"/>
              <w:ind w:left="470"/>
              <w:rPr>
                <w:rFonts w:ascii="Arial"/>
                <w:b/>
                <w:sz w:val="24"/>
              </w:rPr>
            </w:pPr>
            <w:r>
              <w:rPr>
                <w:rFonts w:ascii="Arial"/>
                <w:b/>
                <w:spacing w:val="-2"/>
                <w:sz w:val="24"/>
              </w:rPr>
              <w:t>Variation</w:t>
            </w:r>
          </w:p>
        </w:tc>
        <w:tc>
          <w:tcPr>
            <w:tcW w:w="820" w:type="dxa"/>
            <w:tcBorders>
              <w:top w:val="single" w:sz="4" w:space="0" w:color="000000"/>
              <w:bottom w:val="single" w:sz="4" w:space="0" w:color="000000"/>
            </w:tcBorders>
          </w:tcPr>
          <w:p>
            <w:pPr>
              <w:pStyle w:val="TableParagraph"/>
              <w:spacing w:line="267" w:lineRule="exact"/>
              <w:ind w:left="302"/>
              <w:rPr>
                <w:rFonts w:ascii="Arial"/>
                <w:b/>
                <w:sz w:val="24"/>
              </w:rPr>
            </w:pPr>
            <w:r>
              <w:rPr>
                <w:rFonts w:ascii="Arial"/>
                <w:b/>
                <w:spacing w:val="-5"/>
                <w:sz w:val="24"/>
              </w:rPr>
              <w:t>DF</w:t>
            </w:r>
          </w:p>
        </w:tc>
        <w:tc>
          <w:tcPr>
            <w:tcW w:w="1597" w:type="dxa"/>
            <w:tcBorders>
              <w:top w:val="single" w:sz="4" w:space="0" w:color="000000"/>
              <w:bottom w:val="single" w:sz="4" w:space="0" w:color="000000"/>
            </w:tcBorders>
          </w:tcPr>
          <w:p>
            <w:pPr>
              <w:pStyle w:val="TableParagraph"/>
              <w:spacing w:line="267" w:lineRule="exact"/>
              <w:ind w:left="500"/>
              <w:rPr>
                <w:rFonts w:ascii="Arial"/>
                <w:b/>
                <w:sz w:val="24"/>
              </w:rPr>
            </w:pPr>
            <w:r>
              <w:rPr>
                <w:rFonts w:ascii="Arial"/>
                <w:b/>
                <w:sz w:val="24"/>
              </w:rPr>
              <w:t>Sum</w:t>
            </w:r>
            <w:r>
              <w:rPr>
                <w:rFonts w:ascii="Arial"/>
                <w:b/>
                <w:spacing w:val="-13"/>
                <w:sz w:val="24"/>
              </w:rPr>
              <w:t> </w:t>
            </w:r>
            <w:r>
              <w:rPr>
                <w:rFonts w:ascii="Arial"/>
                <w:b/>
                <w:spacing w:val="-5"/>
                <w:sz w:val="24"/>
              </w:rPr>
              <w:t>of</w:t>
            </w:r>
          </w:p>
          <w:p>
            <w:pPr>
              <w:pStyle w:val="TableParagraph"/>
              <w:spacing w:line="263" w:lineRule="exact" w:before="2"/>
              <w:ind w:left="433"/>
              <w:rPr>
                <w:rFonts w:ascii="Arial"/>
                <w:b/>
                <w:sz w:val="24"/>
              </w:rPr>
            </w:pPr>
            <w:r>
              <w:rPr>
                <w:rFonts w:ascii="Arial"/>
                <w:b/>
                <w:spacing w:val="-2"/>
                <w:sz w:val="24"/>
              </w:rPr>
              <w:t>Squares</w:t>
            </w:r>
          </w:p>
        </w:tc>
        <w:tc>
          <w:tcPr>
            <w:tcW w:w="1351" w:type="dxa"/>
            <w:tcBorders>
              <w:top w:val="single" w:sz="4" w:space="0" w:color="000000"/>
              <w:bottom w:val="single" w:sz="4" w:space="0" w:color="000000"/>
            </w:tcBorders>
          </w:tcPr>
          <w:p>
            <w:pPr>
              <w:pStyle w:val="TableParagraph"/>
              <w:spacing w:line="267" w:lineRule="exact"/>
              <w:ind w:left="155" w:right="7"/>
              <w:jc w:val="center"/>
              <w:rPr>
                <w:rFonts w:ascii="Arial"/>
                <w:b/>
                <w:sz w:val="24"/>
              </w:rPr>
            </w:pPr>
            <w:r>
              <w:rPr>
                <w:rFonts w:ascii="Arial"/>
                <w:b/>
                <w:spacing w:val="-4"/>
                <w:sz w:val="24"/>
              </w:rPr>
              <w:t>Mean</w:t>
            </w:r>
          </w:p>
          <w:p>
            <w:pPr>
              <w:pStyle w:val="TableParagraph"/>
              <w:spacing w:line="263" w:lineRule="exact" w:before="2"/>
              <w:ind w:left="155" w:right="10"/>
              <w:jc w:val="center"/>
              <w:rPr>
                <w:rFonts w:ascii="Arial"/>
                <w:b/>
                <w:sz w:val="24"/>
              </w:rPr>
            </w:pPr>
            <w:r>
              <w:rPr>
                <w:rFonts w:ascii="Arial"/>
                <w:b/>
                <w:spacing w:val="-2"/>
                <w:sz w:val="24"/>
              </w:rPr>
              <w:t>Squares</w:t>
            </w:r>
          </w:p>
        </w:tc>
        <w:tc>
          <w:tcPr>
            <w:tcW w:w="1104" w:type="dxa"/>
            <w:tcBorders>
              <w:top w:val="single" w:sz="4" w:space="0" w:color="000000"/>
              <w:bottom w:val="single" w:sz="4" w:space="0" w:color="000000"/>
            </w:tcBorders>
          </w:tcPr>
          <w:p>
            <w:pPr>
              <w:pStyle w:val="TableParagraph"/>
              <w:spacing w:line="267" w:lineRule="exact"/>
              <w:ind w:left="122" w:right="85"/>
              <w:jc w:val="center"/>
              <w:rPr>
                <w:rFonts w:ascii="Arial"/>
                <w:b/>
                <w:sz w:val="24"/>
              </w:rPr>
            </w:pPr>
            <w:r>
              <w:rPr>
                <w:rFonts w:ascii="Arial"/>
                <w:b/>
                <w:sz w:val="24"/>
              </w:rPr>
              <w:t>F </w:t>
            </w:r>
            <w:r>
              <w:rPr>
                <w:rFonts w:ascii="Arial"/>
                <w:b/>
                <w:spacing w:val="-2"/>
                <w:sz w:val="24"/>
              </w:rPr>
              <w:t>Value</w:t>
            </w:r>
          </w:p>
        </w:tc>
        <w:tc>
          <w:tcPr>
            <w:tcW w:w="1623" w:type="dxa"/>
            <w:tcBorders>
              <w:top w:val="single" w:sz="4" w:space="0" w:color="000000"/>
              <w:bottom w:val="single" w:sz="4" w:space="0" w:color="000000"/>
              <w:right w:val="single" w:sz="4" w:space="0" w:color="000000"/>
            </w:tcBorders>
          </w:tcPr>
          <w:p>
            <w:pPr>
              <w:pStyle w:val="TableParagraph"/>
              <w:spacing w:line="267" w:lineRule="exact"/>
              <w:ind w:left="22" w:right="12"/>
              <w:jc w:val="center"/>
              <w:rPr>
                <w:rFonts w:ascii="Arial"/>
                <w:b/>
                <w:sz w:val="24"/>
              </w:rPr>
            </w:pPr>
            <w:r>
              <w:rPr>
                <w:rFonts w:ascii="Arial"/>
                <w:b/>
                <w:spacing w:val="-10"/>
                <w:sz w:val="24"/>
              </w:rPr>
              <w:t>P</w:t>
            </w:r>
          </w:p>
          <w:p>
            <w:pPr>
              <w:pStyle w:val="TableParagraph"/>
              <w:spacing w:line="263" w:lineRule="exact" w:before="2"/>
              <w:ind w:left="22"/>
              <w:jc w:val="center"/>
              <w:rPr>
                <w:rFonts w:ascii="Arial"/>
                <w:b/>
                <w:sz w:val="24"/>
              </w:rPr>
            </w:pPr>
            <w:r>
              <w:rPr>
                <w:rFonts w:ascii="Arial"/>
                <w:b/>
                <w:spacing w:val="-2"/>
                <w:sz w:val="24"/>
              </w:rPr>
              <w:t>Probability</w:t>
            </w:r>
          </w:p>
        </w:tc>
      </w:tr>
      <w:tr>
        <w:trPr>
          <w:trHeight w:val="346" w:hRule="atLeast"/>
        </w:trPr>
        <w:tc>
          <w:tcPr>
            <w:tcW w:w="1963" w:type="dxa"/>
            <w:tcBorders>
              <w:top w:val="single" w:sz="4" w:space="0" w:color="000000"/>
              <w:left w:val="single" w:sz="4" w:space="0" w:color="000000"/>
            </w:tcBorders>
          </w:tcPr>
          <w:p>
            <w:pPr>
              <w:pStyle w:val="TableParagraph"/>
              <w:spacing w:line="271" w:lineRule="exact"/>
              <w:ind w:left="105"/>
              <w:rPr>
                <w:sz w:val="24"/>
              </w:rPr>
            </w:pPr>
            <w:r>
              <w:rPr>
                <w:sz w:val="24"/>
              </w:rPr>
              <w:t>Between</w:t>
            </w:r>
            <w:r>
              <w:rPr>
                <w:spacing w:val="-13"/>
                <w:sz w:val="24"/>
              </w:rPr>
              <w:t> </w:t>
            </w:r>
            <w:r>
              <w:rPr>
                <w:spacing w:val="-2"/>
                <w:sz w:val="24"/>
              </w:rPr>
              <w:t>groups</w:t>
            </w:r>
          </w:p>
        </w:tc>
        <w:tc>
          <w:tcPr>
            <w:tcW w:w="820" w:type="dxa"/>
            <w:tcBorders>
              <w:top w:val="single" w:sz="4" w:space="0" w:color="000000"/>
            </w:tcBorders>
          </w:tcPr>
          <w:p>
            <w:pPr>
              <w:pStyle w:val="TableParagraph"/>
              <w:spacing w:line="271" w:lineRule="exact"/>
              <w:ind w:left="125"/>
              <w:rPr>
                <w:sz w:val="24"/>
              </w:rPr>
            </w:pPr>
            <w:r>
              <w:rPr>
                <w:spacing w:val="-10"/>
                <w:sz w:val="24"/>
              </w:rPr>
              <w:t>2</w:t>
            </w:r>
          </w:p>
        </w:tc>
        <w:tc>
          <w:tcPr>
            <w:tcW w:w="1597" w:type="dxa"/>
            <w:tcBorders>
              <w:top w:val="single" w:sz="4" w:space="0" w:color="000000"/>
            </w:tcBorders>
          </w:tcPr>
          <w:p>
            <w:pPr>
              <w:pStyle w:val="TableParagraph"/>
              <w:spacing w:line="271" w:lineRule="exact"/>
              <w:ind w:left="207"/>
              <w:rPr>
                <w:sz w:val="24"/>
              </w:rPr>
            </w:pPr>
            <w:r>
              <w:rPr>
                <w:spacing w:val="-2"/>
                <w:sz w:val="24"/>
              </w:rPr>
              <w:t>3.6800</w:t>
            </w:r>
          </w:p>
        </w:tc>
        <w:tc>
          <w:tcPr>
            <w:tcW w:w="1351" w:type="dxa"/>
            <w:tcBorders>
              <w:top w:val="single" w:sz="4" w:space="0" w:color="000000"/>
            </w:tcBorders>
          </w:tcPr>
          <w:p>
            <w:pPr>
              <w:pStyle w:val="TableParagraph"/>
              <w:spacing w:line="271" w:lineRule="exact"/>
              <w:ind w:left="227"/>
              <w:rPr>
                <w:sz w:val="24"/>
              </w:rPr>
            </w:pPr>
            <w:r>
              <w:rPr>
                <w:spacing w:val="-2"/>
                <w:sz w:val="24"/>
              </w:rPr>
              <w:t>1.8400</w:t>
            </w:r>
          </w:p>
        </w:tc>
        <w:tc>
          <w:tcPr>
            <w:tcW w:w="1104" w:type="dxa"/>
            <w:tcBorders>
              <w:top w:val="single" w:sz="4" w:space="0" w:color="000000"/>
            </w:tcBorders>
          </w:tcPr>
          <w:p>
            <w:pPr>
              <w:pStyle w:val="TableParagraph"/>
              <w:spacing w:line="271" w:lineRule="exact"/>
              <w:ind w:right="85"/>
              <w:jc w:val="center"/>
              <w:rPr>
                <w:sz w:val="24"/>
              </w:rPr>
            </w:pPr>
            <w:r>
              <w:rPr>
                <w:spacing w:val="-2"/>
                <w:sz w:val="24"/>
              </w:rPr>
              <w:t>3.6157</w:t>
            </w:r>
          </w:p>
        </w:tc>
        <w:tc>
          <w:tcPr>
            <w:tcW w:w="1623" w:type="dxa"/>
            <w:tcBorders>
              <w:top w:val="single" w:sz="4" w:space="0" w:color="000000"/>
              <w:right w:val="single" w:sz="4" w:space="0" w:color="000000"/>
            </w:tcBorders>
          </w:tcPr>
          <w:p>
            <w:pPr>
              <w:pStyle w:val="TableParagraph"/>
              <w:spacing w:line="271" w:lineRule="exact"/>
              <w:ind w:left="115"/>
              <w:rPr>
                <w:sz w:val="24"/>
              </w:rPr>
            </w:pPr>
            <w:r>
              <w:rPr>
                <w:spacing w:val="-2"/>
                <w:sz w:val="24"/>
              </w:rPr>
              <w:t>0.0277</w:t>
            </w:r>
          </w:p>
        </w:tc>
      </w:tr>
      <w:tr>
        <w:trPr>
          <w:trHeight w:val="483" w:hRule="atLeast"/>
        </w:trPr>
        <w:tc>
          <w:tcPr>
            <w:tcW w:w="1963" w:type="dxa"/>
            <w:tcBorders>
              <w:left w:val="single" w:sz="4" w:space="0" w:color="000000"/>
              <w:bottom w:val="single" w:sz="4" w:space="0" w:color="000000"/>
            </w:tcBorders>
          </w:tcPr>
          <w:p>
            <w:pPr>
              <w:pStyle w:val="TableParagraph"/>
              <w:spacing w:before="67"/>
              <w:ind w:left="105"/>
              <w:rPr>
                <w:sz w:val="24"/>
              </w:rPr>
            </w:pPr>
            <w:r>
              <w:rPr>
                <w:sz w:val="24"/>
              </w:rPr>
              <w:t>Within</w:t>
            </w:r>
            <w:r>
              <w:rPr>
                <w:spacing w:val="-3"/>
                <w:sz w:val="24"/>
              </w:rPr>
              <w:t> </w:t>
            </w:r>
            <w:r>
              <w:rPr>
                <w:spacing w:val="-2"/>
                <w:sz w:val="24"/>
              </w:rPr>
              <w:t>groups</w:t>
            </w:r>
          </w:p>
        </w:tc>
        <w:tc>
          <w:tcPr>
            <w:tcW w:w="820" w:type="dxa"/>
            <w:tcBorders>
              <w:bottom w:val="single" w:sz="4" w:space="0" w:color="000000"/>
            </w:tcBorders>
          </w:tcPr>
          <w:p>
            <w:pPr>
              <w:pStyle w:val="TableParagraph"/>
              <w:spacing w:before="67"/>
              <w:ind w:left="125"/>
              <w:rPr>
                <w:sz w:val="24"/>
              </w:rPr>
            </w:pPr>
            <w:r>
              <w:rPr>
                <w:spacing w:val="-5"/>
                <w:sz w:val="24"/>
              </w:rPr>
              <w:t>458</w:t>
            </w:r>
          </w:p>
        </w:tc>
        <w:tc>
          <w:tcPr>
            <w:tcW w:w="1597" w:type="dxa"/>
            <w:tcBorders>
              <w:bottom w:val="single" w:sz="4" w:space="0" w:color="000000"/>
            </w:tcBorders>
          </w:tcPr>
          <w:p>
            <w:pPr>
              <w:pStyle w:val="TableParagraph"/>
              <w:spacing w:before="67"/>
              <w:ind w:left="207"/>
              <w:rPr>
                <w:sz w:val="24"/>
              </w:rPr>
            </w:pPr>
            <w:r>
              <w:rPr>
                <w:spacing w:val="-2"/>
                <w:sz w:val="24"/>
              </w:rPr>
              <w:t>233.0719</w:t>
            </w:r>
          </w:p>
        </w:tc>
        <w:tc>
          <w:tcPr>
            <w:tcW w:w="1351" w:type="dxa"/>
            <w:tcBorders>
              <w:bottom w:val="single" w:sz="4" w:space="0" w:color="000000"/>
            </w:tcBorders>
          </w:tcPr>
          <w:p>
            <w:pPr>
              <w:pStyle w:val="TableParagraph"/>
              <w:spacing w:before="67"/>
              <w:ind w:left="227"/>
              <w:rPr>
                <w:sz w:val="24"/>
              </w:rPr>
            </w:pPr>
            <w:r>
              <w:rPr>
                <w:spacing w:val="-2"/>
                <w:sz w:val="24"/>
              </w:rPr>
              <w:t>0.5089</w:t>
            </w:r>
          </w:p>
        </w:tc>
        <w:tc>
          <w:tcPr>
            <w:tcW w:w="1104" w:type="dxa"/>
            <w:tcBorders>
              <w:bottom w:val="single" w:sz="4" w:space="0" w:color="000000"/>
            </w:tcBorders>
          </w:tcPr>
          <w:p>
            <w:pPr>
              <w:pStyle w:val="TableParagraph"/>
              <w:rPr>
                <w:rFonts w:ascii="Times New Roman"/>
                <w:sz w:val="24"/>
              </w:rPr>
            </w:pPr>
          </w:p>
        </w:tc>
        <w:tc>
          <w:tcPr>
            <w:tcW w:w="1623" w:type="dxa"/>
            <w:tcBorders>
              <w:bottom w:val="single" w:sz="4" w:space="0" w:color="000000"/>
              <w:right w:val="single" w:sz="4" w:space="0" w:color="000000"/>
            </w:tcBorders>
          </w:tcPr>
          <w:p>
            <w:pPr>
              <w:pStyle w:val="TableParagraph"/>
              <w:rPr>
                <w:rFonts w:ascii="Times New Roman"/>
                <w:sz w:val="24"/>
              </w:rPr>
            </w:pPr>
          </w:p>
        </w:tc>
      </w:tr>
      <w:tr>
        <w:trPr>
          <w:trHeight w:val="277" w:hRule="atLeast"/>
        </w:trPr>
        <w:tc>
          <w:tcPr>
            <w:tcW w:w="1963"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820" w:type="dxa"/>
            <w:tcBorders>
              <w:top w:val="single" w:sz="4" w:space="0" w:color="000000"/>
              <w:bottom w:val="single" w:sz="4" w:space="0" w:color="000000"/>
            </w:tcBorders>
          </w:tcPr>
          <w:p>
            <w:pPr>
              <w:pStyle w:val="TableParagraph"/>
              <w:spacing w:line="258" w:lineRule="exact"/>
              <w:ind w:left="125"/>
              <w:rPr>
                <w:sz w:val="24"/>
              </w:rPr>
            </w:pPr>
            <w:r>
              <w:rPr>
                <w:spacing w:val="-5"/>
                <w:sz w:val="24"/>
              </w:rPr>
              <w:t>460</w:t>
            </w:r>
          </w:p>
        </w:tc>
        <w:tc>
          <w:tcPr>
            <w:tcW w:w="1597" w:type="dxa"/>
            <w:tcBorders>
              <w:top w:val="single" w:sz="4" w:space="0" w:color="000000"/>
              <w:bottom w:val="single" w:sz="4" w:space="0" w:color="000000"/>
            </w:tcBorders>
          </w:tcPr>
          <w:p>
            <w:pPr>
              <w:pStyle w:val="TableParagraph"/>
              <w:spacing w:line="258" w:lineRule="exact"/>
              <w:ind w:left="207"/>
              <w:rPr>
                <w:sz w:val="24"/>
              </w:rPr>
            </w:pPr>
            <w:r>
              <w:rPr>
                <w:spacing w:val="-2"/>
                <w:sz w:val="24"/>
              </w:rPr>
              <w:t>236.7519</w:t>
            </w:r>
          </w:p>
        </w:tc>
        <w:tc>
          <w:tcPr>
            <w:tcW w:w="1351" w:type="dxa"/>
            <w:tcBorders>
              <w:top w:val="single" w:sz="4" w:space="0" w:color="000000"/>
              <w:bottom w:val="single" w:sz="4" w:space="0" w:color="000000"/>
            </w:tcBorders>
          </w:tcPr>
          <w:p>
            <w:pPr>
              <w:pStyle w:val="TableParagraph"/>
              <w:rPr>
                <w:rFonts w:ascii="Times New Roman"/>
                <w:sz w:val="20"/>
              </w:rPr>
            </w:pPr>
          </w:p>
        </w:tc>
        <w:tc>
          <w:tcPr>
            <w:tcW w:w="1104" w:type="dxa"/>
            <w:tcBorders>
              <w:top w:val="single" w:sz="4" w:space="0" w:color="000000"/>
              <w:bottom w:val="single" w:sz="4" w:space="0" w:color="000000"/>
            </w:tcBorders>
          </w:tcPr>
          <w:p>
            <w:pPr>
              <w:pStyle w:val="TableParagraph"/>
              <w:rPr>
                <w:rFonts w:ascii="Times New Roman"/>
                <w:sz w:val="20"/>
              </w:rPr>
            </w:pPr>
          </w:p>
        </w:tc>
        <w:tc>
          <w:tcPr>
            <w:tcW w:w="1623" w:type="dxa"/>
            <w:tcBorders>
              <w:top w:val="single" w:sz="4" w:space="0" w:color="000000"/>
              <w:bottom w:val="single" w:sz="4" w:space="0" w:color="000000"/>
              <w:right w:val="single" w:sz="4" w:space="0" w:color="000000"/>
            </w:tcBorders>
          </w:tcPr>
          <w:p>
            <w:pPr>
              <w:pStyle w:val="TableParagraph"/>
              <w:rPr>
                <w:rFonts w:ascii="Times New Roman"/>
                <w:sz w:val="20"/>
              </w:rPr>
            </w:pPr>
          </w:p>
        </w:tc>
      </w:tr>
    </w:tbl>
    <w:p>
      <w:pPr>
        <w:pStyle w:val="BodyText"/>
        <w:ind w:left="1560"/>
      </w:pPr>
      <w:r>
        <w:rPr/>
        <w:t>F</w:t>
      </w:r>
      <w:r>
        <w:rPr>
          <w:spacing w:val="-4"/>
        </w:rPr>
        <w:t> </w:t>
      </w:r>
      <w:r>
        <w:rPr/>
        <w:t>Probability</w:t>
      </w:r>
      <w:r>
        <w:rPr>
          <w:spacing w:val="-5"/>
        </w:rPr>
        <w:t> </w:t>
      </w:r>
      <w:r>
        <w:rPr/>
        <w:t>&lt;</w:t>
      </w:r>
      <w:r>
        <w:rPr>
          <w:spacing w:val="-6"/>
        </w:rPr>
        <w:t> </w:t>
      </w:r>
      <w:r>
        <w:rPr/>
        <w:t>0.05</w:t>
      </w:r>
      <w:r>
        <w:rPr>
          <w:spacing w:val="-4"/>
        </w:rPr>
        <w:t> </w:t>
      </w:r>
      <w:r>
        <w:rPr/>
        <w:t>=&gt;</w:t>
      </w:r>
      <w:r>
        <w:rPr>
          <w:spacing w:val="-6"/>
        </w:rPr>
        <w:t> </w:t>
      </w:r>
      <w:r>
        <w:rPr>
          <w:spacing w:val="-4"/>
        </w:rPr>
        <w:t>Rjt.</w:t>
      </w:r>
    </w:p>
    <w:p>
      <w:pPr>
        <w:spacing w:after="0"/>
        <w:sectPr>
          <w:headerReference w:type="default" r:id="rId465"/>
          <w:footerReference w:type="default" r:id="rId466"/>
          <w:pgSz w:w="12240" w:h="15840"/>
          <w:pgMar w:header="722" w:footer="791" w:top="980" w:bottom="980" w:left="1320" w:right="880"/>
        </w:sectPr>
      </w:pPr>
    </w:p>
    <w:p>
      <w:pPr>
        <w:pStyle w:val="BodyText"/>
        <w:spacing w:before="171"/>
      </w:pPr>
    </w:p>
    <w:p>
      <w:pPr>
        <w:pStyle w:val="BodyText"/>
        <w:spacing w:line="480" w:lineRule="auto"/>
        <w:ind w:left="840" w:right="555" w:firstLine="720"/>
        <w:jc w:val="both"/>
      </w:pPr>
      <w:r>
        <w:rPr/>
        <w:t>As can be seen in Table 4.5.24 the computed F probability is lower than the accepted P-value of 0.05 set for the study. The HO was rejected.</w:t>
      </w:r>
      <w:r>
        <w:rPr>
          <w:spacing w:val="40"/>
        </w:rPr>
        <w:t> </w:t>
      </w:r>
      <w:r>
        <w:rPr/>
        <w:t>It is, therefore, to be concluded that significant differences existed in the opinions of the respondents on the impact of library services on students’ welfare in the universities. Thus, hypothesis stated in null form was rejected. To examine the extent of relationship in the opinions of respondents on the impact of the library services on students’ welfare in these universities, Scheffe’s test was adopted and the result is recorded and presented in Table 4.5.25 below.</w:t>
      </w:r>
    </w:p>
    <w:p>
      <w:pPr>
        <w:pStyle w:val="Heading2"/>
        <w:spacing w:after="4"/>
        <w:ind w:left="3000" w:right="557" w:hanging="2160"/>
        <w:jc w:val="both"/>
      </w:pPr>
      <w:r>
        <w:rPr/>
        <w:t>Table 4.5.25:</w:t>
      </w:r>
      <w:r>
        <w:rPr>
          <w:spacing w:val="80"/>
        </w:rPr>
        <w:t> </w:t>
      </w:r>
      <w:r>
        <w:rPr/>
        <w:t>Scheffe’s Multiple Comparison Test on the opinions of respondents on the impact of</w:t>
      </w:r>
      <w:r>
        <w:rPr>
          <w:spacing w:val="-4"/>
        </w:rPr>
        <w:t> </w:t>
      </w:r>
      <w:r>
        <w:rPr/>
        <w:t>library service on students’ welfare services in universities in three geopolitical</w:t>
      </w:r>
      <w:r>
        <w:rPr>
          <w:spacing w:val="40"/>
        </w:rPr>
        <w:t> </w:t>
      </w:r>
      <w:r>
        <w:rPr/>
        <w:t>zones in Northern part of Nigeria</w:t>
      </w:r>
    </w:p>
    <w:tbl>
      <w:tblPr>
        <w:tblW w:w="0" w:type="auto"/>
        <w:jc w:val="left"/>
        <w:tblInd w:w="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86"/>
        <w:gridCol w:w="1730"/>
        <w:gridCol w:w="1665"/>
        <w:gridCol w:w="1513"/>
        <w:gridCol w:w="1288"/>
        <w:gridCol w:w="1128"/>
      </w:tblGrid>
      <w:tr>
        <w:trPr>
          <w:trHeight w:val="830" w:hRule="atLeast"/>
        </w:trPr>
        <w:tc>
          <w:tcPr>
            <w:tcW w:w="1586" w:type="dxa"/>
            <w:tcBorders>
              <w:top w:val="single" w:sz="4" w:space="0" w:color="000000"/>
              <w:left w:val="single" w:sz="4" w:space="0" w:color="000000"/>
              <w:bottom w:val="single" w:sz="4" w:space="0" w:color="000000"/>
            </w:tcBorders>
          </w:tcPr>
          <w:p>
            <w:pPr>
              <w:pStyle w:val="TableParagraph"/>
              <w:spacing w:line="242" w:lineRule="auto"/>
              <w:ind w:left="95"/>
              <w:rPr>
                <w:sz w:val="24"/>
              </w:rPr>
            </w:pPr>
            <w:r>
              <w:rPr>
                <w:spacing w:val="-2"/>
                <w:sz w:val="24"/>
              </w:rPr>
              <w:t>Dependent Variable</w:t>
            </w:r>
          </w:p>
        </w:tc>
        <w:tc>
          <w:tcPr>
            <w:tcW w:w="1730" w:type="dxa"/>
            <w:tcBorders>
              <w:top w:val="single" w:sz="4" w:space="0" w:color="000000"/>
              <w:bottom w:val="single" w:sz="4" w:space="0" w:color="000000"/>
            </w:tcBorders>
          </w:tcPr>
          <w:p>
            <w:pPr>
              <w:pStyle w:val="TableParagraph"/>
              <w:spacing w:line="271" w:lineRule="exact"/>
              <w:ind w:left="314"/>
              <w:rPr>
                <w:sz w:val="24"/>
              </w:rPr>
            </w:pPr>
            <w:r>
              <w:rPr>
                <w:sz w:val="24"/>
              </w:rPr>
              <w:t>(I) </w:t>
            </w:r>
            <w:r>
              <w:rPr>
                <w:spacing w:val="-2"/>
                <w:sz w:val="24"/>
              </w:rPr>
              <w:t>Status</w:t>
            </w:r>
          </w:p>
        </w:tc>
        <w:tc>
          <w:tcPr>
            <w:tcW w:w="1665" w:type="dxa"/>
            <w:tcBorders>
              <w:top w:val="single" w:sz="4" w:space="0" w:color="000000"/>
              <w:bottom w:val="single" w:sz="4" w:space="0" w:color="000000"/>
            </w:tcBorders>
          </w:tcPr>
          <w:p>
            <w:pPr>
              <w:pStyle w:val="TableParagraph"/>
              <w:spacing w:line="271" w:lineRule="exact"/>
              <w:ind w:left="293"/>
              <w:rPr>
                <w:sz w:val="24"/>
              </w:rPr>
            </w:pPr>
            <w:r>
              <w:rPr>
                <w:sz w:val="24"/>
              </w:rPr>
              <w:t>(J) </w:t>
            </w:r>
            <w:r>
              <w:rPr>
                <w:spacing w:val="-2"/>
                <w:sz w:val="24"/>
              </w:rPr>
              <w:t>Status</w:t>
            </w:r>
          </w:p>
        </w:tc>
        <w:tc>
          <w:tcPr>
            <w:tcW w:w="1513" w:type="dxa"/>
            <w:tcBorders>
              <w:top w:val="single" w:sz="4" w:space="0" w:color="000000"/>
              <w:bottom w:val="single" w:sz="4" w:space="0" w:color="000000"/>
            </w:tcBorders>
          </w:tcPr>
          <w:p>
            <w:pPr>
              <w:pStyle w:val="TableParagraph"/>
              <w:spacing w:line="271" w:lineRule="exact"/>
              <w:ind w:left="251"/>
              <w:rPr>
                <w:sz w:val="24"/>
              </w:rPr>
            </w:pPr>
            <w:r>
              <w:rPr>
                <w:spacing w:val="-4"/>
                <w:sz w:val="24"/>
              </w:rPr>
              <w:t>Mean</w:t>
            </w:r>
          </w:p>
          <w:p>
            <w:pPr>
              <w:pStyle w:val="TableParagraph"/>
              <w:spacing w:line="274" w:lineRule="exact"/>
              <w:ind w:left="251" w:right="162"/>
              <w:rPr>
                <w:sz w:val="24"/>
              </w:rPr>
            </w:pPr>
            <w:r>
              <w:rPr>
                <w:spacing w:val="-2"/>
                <w:sz w:val="24"/>
              </w:rPr>
              <w:t>Difference (I-J)</w:t>
            </w:r>
          </w:p>
        </w:tc>
        <w:tc>
          <w:tcPr>
            <w:tcW w:w="1288" w:type="dxa"/>
            <w:tcBorders>
              <w:top w:val="single" w:sz="4" w:space="0" w:color="000000"/>
              <w:bottom w:val="single" w:sz="4" w:space="0" w:color="000000"/>
            </w:tcBorders>
          </w:tcPr>
          <w:p>
            <w:pPr>
              <w:pStyle w:val="TableParagraph"/>
              <w:spacing w:line="242" w:lineRule="auto" w:before="134"/>
              <w:ind w:left="178"/>
              <w:rPr>
                <w:sz w:val="24"/>
              </w:rPr>
            </w:pPr>
            <w:r>
              <w:rPr>
                <w:spacing w:val="-2"/>
                <w:sz w:val="24"/>
              </w:rPr>
              <w:t>Standard Error</w:t>
            </w:r>
          </w:p>
        </w:tc>
        <w:tc>
          <w:tcPr>
            <w:tcW w:w="1128" w:type="dxa"/>
            <w:tcBorders>
              <w:top w:val="single" w:sz="4" w:space="0" w:color="000000"/>
              <w:bottom w:val="single" w:sz="4" w:space="0" w:color="000000"/>
              <w:right w:val="single" w:sz="4" w:space="0" w:color="000000"/>
            </w:tcBorders>
          </w:tcPr>
          <w:p>
            <w:pPr>
              <w:pStyle w:val="TableParagraph"/>
              <w:spacing w:line="242" w:lineRule="auto" w:before="134"/>
              <w:ind w:left="147"/>
              <w:rPr>
                <w:sz w:val="24"/>
              </w:rPr>
            </w:pPr>
            <w:r>
              <w:rPr>
                <w:spacing w:val="-2"/>
                <w:sz w:val="24"/>
              </w:rPr>
              <w:t>Signifi- </w:t>
            </w:r>
            <w:r>
              <w:rPr>
                <w:spacing w:val="-4"/>
                <w:sz w:val="24"/>
              </w:rPr>
              <w:t>cance</w:t>
            </w:r>
          </w:p>
        </w:tc>
      </w:tr>
      <w:tr>
        <w:trPr>
          <w:trHeight w:val="274" w:hRule="atLeast"/>
        </w:trPr>
        <w:tc>
          <w:tcPr>
            <w:tcW w:w="1586" w:type="dxa"/>
            <w:tcBorders>
              <w:top w:val="single" w:sz="4" w:space="0" w:color="000000"/>
              <w:left w:val="single" w:sz="4" w:space="0" w:color="000000"/>
            </w:tcBorders>
          </w:tcPr>
          <w:p>
            <w:pPr>
              <w:pStyle w:val="TableParagraph"/>
              <w:rPr>
                <w:rFonts w:ascii="Times New Roman"/>
                <w:sz w:val="20"/>
              </w:rPr>
            </w:pPr>
          </w:p>
        </w:tc>
        <w:tc>
          <w:tcPr>
            <w:tcW w:w="1730" w:type="dxa"/>
            <w:tcBorders>
              <w:top w:val="single" w:sz="4" w:space="0" w:color="000000"/>
            </w:tcBorders>
          </w:tcPr>
          <w:p>
            <w:pPr>
              <w:pStyle w:val="TableParagraph"/>
              <w:spacing w:line="254" w:lineRule="exact"/>
              <w:ind w:left="314"/>
              <w:rPr>
                <w:sz w:val="24"/>
              </w:rPr>
            </w:pPr>
            <w:r>
              <w:rPr>
                <w:spacing w:val="-2"/>
                <w:sz w:val="24"/>
              </w:rPr>
              <w:t>Student</w:t>
            </w:r>
          </w:p>
        </w:tc>
        <w:tc>
          <w:tcPr>
            <w:tcW w:w="1665" w:type="dxa"/>
            <w:tcBorders>
              <w:top w:val="single" w:sz="4" w:space="0" w:color="000000"/>
            </w:tcBorders>
          </w:tcPr>
          <w:p>
            <w:pPr>
              <w:pStyle w:val="TableParagraph"/>
              <w:spacing w:line="254" w:lineRule="exact"/>
              <w:ind w:left="293"/>
              <w:rPr>
                <w:sz w:val="24"/>
              </w:rPr>
            </w:pPr>
            <w:r>
              <w:rPr>
                <w:spacing w:val="-4"/>
                <w:sz w:val="24"/>
              </w:rPr>
              <w:t>Staff</w:t>
            </w:r>
          </w:p>
        </w:tc>
        <w:tc>
          <w:tcPr>
            <w:tcW w:w="1513" w:type="dxa"/>
            <w:tcBorders>
              <w:top w:val="single" w:sz="4" w:space="0" w:color="000000"/>
            </w:tcBorders>
          </w:tcPr>
          <w:p>
            <w:pPr>
              <w:pStyle w:val="TableParagraph"/>
              <w:spacing w:line="254" w:lineRule="exact"/>
              <w:ind w:left="251"/>
              <w:rPr>
                <w:sz w:val="24"/>
              </w:rPr>
            </w:pPr>
            <w:r>
              <w:rPr>
                <w:spacing w:val="-2"/>
                <w:sz w:val="24"/>
              </w:rPr>
              <w:t>.1711(*)</w:t>
            </w:r>
          </w:p>
        </w:tc>
        <w:tc>
          <w:tcPr>
            <w:tcW w:w="1288" w:type="dxa"/>
            <w:tcBorders>
              <w:top w:val="single" w:sz="4" w:space="0" w:color="000000"/>
            </w:tcBorders>
          </w:tcPr>
          <w:p>
            <w:pPr>
              <w:pStyle w:val="TableParagraph"/>
              <w:spacing w:line="254" w:lineRule="exact"/>
              <w:ind w:left="178"/>
              <w:rPr>
                <w:sz w:val="24"/>
              </w:rPr>
            </w:pPr>
            <w:r>
              <w:rPr>
                <w:spacing w:val="-2"/>
                <w:sz w:val="24"/>
              </w:rPr>
              <w:t>.0500</w:t>
            </w:r>
          </w:p>
        </w:tc>
        <w:tc>
          <w:tcPr>
            <w:tcW w:w="1128" w:type="dxa"/>
            <w:tcBorders>
              <w:top w:val="single" w:sz="4" w:space="0" w:color="000000"/>
              <w:right w:val="single" w:sz="4" w:space="0" w:color="000000"/>
            </w:tcBorders>
          </w:tcPr>
          <w:p>
            <w:pPr>
              <w:pStyle w:val="TableParagraph"/>
              <w:spacing w:line="254" w:lineRule="exact"/>
              <w:ind w:left="147"/>
              <w:rPr>
                <w:sz w:val="24"/>
              </w:rPr>
            </w:pPr>
            <w:r>
              <w:rPr>
                <w:spacing w:val="-4"/>
                <w:sz w:val="24"/>
              </w:rPr>
              <w:t>.003</w:t>
            </w:r>
          </w:p>
        </w:tc>
      </w:tr>
      <w:tr>
        <w:trPr>
          <w:trHeight w:val="276" w:hRule="atLeast"/>
        </w:trPr>
        <w:tc>
          <w:tcPr>
            <w:tcW w:w="1586" w:type="dxa"/>
            <w:tcBorders>
              <w:left w:val="single" w:sz="4" w:space="0" w:color="000000"/>
            </w:tcBorders>
          </w:tcPr>
          <w:p>
            <w:pPr>
              <w:pStyle w:val="TableParagraph"/>
              <w:rPr>
                <w:rFonts w:ascii="Times New Roman"/>
                <w:sz w:val="20"/>
              </w:rPr>
            </w:pPr>
          </w:p>
        </w:tc>
        <w:tc>
          <w:tcPr>
            <w:tcW w:w="1730" w:type="dxa"/>
          </w:tcPr>
          <w:p>
            <w:pPr>
              <w:pStyle w:val="TableParagraph"/>
              <w:rPr>
                <w:rFonts w:ascii="Times New Roman"/>
                <w:sz w:val="20"/>
              </w:rPr>
            </w:pPr>
          </w:p>
        </w:tc>
        <w:tc>
          <w:tcPr>
            <w:tcW w:w="1665" w:type="dxa"/>
          </w:tcPr>
          <w:p>
            <w:pPr>
              <w:pStyle w:val="TableParagraph"/>
              <w:spacing w:line="256" w:lineRule="exact"/>
              <w:ind w:left="293"/>
              <w:rPr>
                <w:sz w:val="24"/>
              </w:rPr>
            </w:pPr>
            <w:r>
              <w:rPr>
                <w:spacing w:val="-2"/>
                <w:sz w:val="24"/>
              </w:rPr>
              <w:t>Managmet</w:t>
            </w:r>
          </w:p>
        </w:tc>
        <w:tc>
          <w:tcPr>
            <w:tcW w:w="1513" w:type="dxa"/>
          </w:tcPr>
          <w:p>
            <w:pPr>
              <w:pStyle w:val="TableParagraph"/>
              <w:spacing w:line="256" w:lineRule="exact"/>
              <w:ind w:left="251"/>
              <w:rPr>
                <w:sz w:val="24"/>
              </w:rPr>
            </w:pPr>
            <w:r>
              <w:rPr>
                <w:spacing w:val="-2"/>
                <w:sz w:val="24"/>
              </w:rPr>
              <w:t>.0473</w:t>
            </w:r>
          </w:p>
        </w:tc>
        <w:tc>
          <w:tcPr>
            <w:tcW w:w="1288" w:type="dxa"/>
          </w:tcPr>
          <w:p>
            <w:pPr>
              <w:pStyle w:val="TableParagraph"/>
              <w:spacing w:line="256" w:lineRule="exact"/>
              <w:ind w:left="178"/>
              <w:rPr>
                <w:sz w:val="24"/>
              </w:rPr>
            </w:pPr>
            <w:r>
              <w:rPr>
                <w:spacing w:val="-2"/>
                <w:sz w:val="24"/>
              </w:rPr>
              <w:t>.1131</w:t>
            </w:r>
          </w:p>
        </w:tc>
        <w:tc>
          <w:tcPr>
            <w:tcW w:w="1128" w:type="dxa"/>
            <w:tcBorders>
              <w:right w:val="single" w:sz="4" w:space="0" w:color="000000"/>
            </w:tcBorders>
          </w:tcPr>
          <w:p>
            <w:pPr>
              <w:pStyle w:val="TableParagraph"/>
              <w:spacing w:line="256" w:lineRule="exact"/>
              <w:ind w:left="147"/>
              <w:rPr>
                <w:sz w:val="24"/>
              </w:rPr>
            </w:pPr>
            <w:r>
              <w:rPr>
                <w:spacing w:val="-4"/>
                <w:sz w:val="24"/>
              </w:rPr>
              <w:t>.916</w:t>
            </w:r>
          </w:p>
        </w:tc>
      </w:tr>
      <w:tr>
        <w:trPr>
          <w:trHeight w:val="275" w:hRule="atLeast"/>
        </w:trPr>
        <w:tc>
          <w:tcPr>
            <w:tcW w:w="1586" w:type="dxa"/>
            <w:tcBorders>
              <w:left w:val="single" w:sz="4" w:space="0" w:color="000000"/>
            </w:tcBorders>
          </w:tcPr>
          <w:p>
            <w:pPr>
              <w:pStyle w:val="TableParagraph"/>
              <w:spacing w:line="256" w:lineRule="exact"/>
              <w:ind w:left="95"/>
              <w:rPr>
                <w:sz w:val="24"/>
              </w:rPr>
            </w:pPr>
            <w:r>
              <w:rPr>
                <w:spacing w:val="-2"/>
                <w:sz w:val="24"/>
              </w:rPr>
              <w:t>Library</w:t>
            </w:r>
          </w:p>
        </w:tc>
        <w:tc>
          <w:tcPr>
            <w:tcW w:w="1730" w:type="dxa"/>
          </w:tcPr>
          <w:p>
            <w:pPr>
              <w:pStyle w:val="TableParagraph"/>
              <w:spacing w:line="256" w:lineRule="exact"/>
              <w:ind w:left="314"/>
              <w:rPr>
                <w:sz w:val="24"/>
              </w:rPr>
            </w:pPr>
            <w:r>
              <w:rPr>
                <w:spacing w:val="-4"/>
                <w:sz w:val="24"/>
              </w:rPr>
              <w:t>Staff</w:t>
            </w:r>
          </w:p>
        </w:tc>
        <w:tc>
          <w:tcPr>
            <w:tcW w:w="1665" w:type="dxa"/>
          </w:tcPr>
          <w:p>
            <w:pPr>
              <w:pStyle w:val="TableParagraph"/>
              <w:spacing w:line="256" w:lineRule="exact"/>
              <w:ind w:left="293"/>
              <w:rPr>
                <w:sz w:val="24"/>
              </w:rPr>
            </w:pPr>
            <w:r>
              <w:rPr>
                <w:spacing w:val="-2"/>
                <w:sz w:val="24"/>
              </w:rPr>
              <w:t>Student</w:t>
            </w:r>
          </w:p>
        </w:tc>
        <w:tc>
          <w:tcPr>
            <w:tcW w:w="1513" w:type="dxa"/>
          </w:tcPr>
          <w:p>
            <w:pPr>
              <w:pStyle w:val="TableParagraph"/>
              <w:spacing w:line="256" w:lineRule="exact"/>
              <w:ind w:left="251"/>
              <w:rPr>
                <w:sz w:val="24"/>
              </w:rPr>
            </w:pPr>
            <w:r>
              <w:rPr>
                <w:sz w:val="24"/>
              </w:rPr>
              <w:t>-</w:t>
            </w:r>
            <w:r>
              <w:rPr>
                <w:spacing w:val="-2"/>
                <w:sz w:val="24"/>
              </w:rPr>
              <w:t>.1711(*)</w:t>
            </w:r>
          </w:p>
        </w:tc>
        <w:tc>
          <w:tcPr>
            <w:tcW w:w="1288" w:type="dxa"/>
          </w:tcPr>
          <w:p>
            <w:pPr>
              <w:pStyle w:val="TableParagraph"/>
              <w:spacing w:line="256" w:lineRule="exact"/>
              <w:ind w:left="178"/>
              <w:rPr>
                <w:sz w:val="24"/>
              </w:rPr>
            </w:pPr>
            <w:r>
              <w:rPr>
                <w:spacing w:val="-2"/>
                <w:sz w:val="24"/>
              </w:rPr>
              <w:t>.0500</w:t>
            </w:r>
          </w:p>
        </w:tc>
        <w:tc>
          <w:tcPr>
            <w:tcW w:w="1128" w:type="dxa"/>
            <w:tcBorders>
              <w:right w:val="single" w:sz="4" w:space="0" w:color="000000"/>
            </w:tcBorders>
          </w:tcPr>
          <w:p>
            <w:pPr>
              <w:pStyle w:val="TableParagraph"/>
              <w:spacing w:line="256" w:lineRule="exact"/>
              <w:ind w:left="147"/>
              <w:rPr>
                <w:sz w:val="24"/>
              </w:rPr>
            </w:pPr>
            <w:r>
              <w:rPr>
                <w:spacing w:val="-4"/>
                <w:sz w:val="24"/>
              </w:rPr>
              <w:t>.003</w:t>
            </w:r>
          </w:p>
        </w:tc>
      </w:tr>
      <w:tr>
        <w:trPr>
          <w:trHeight w:val="276" w:hRule="atLeast"/>
        </w:trPr>
        <w:tc>
          <w:tcPr>
            <w:tcW w:w="1586" w:type="dxa"/>
            <w:tcBorders>
              <w:left w:val="single" w:sz="4" w:space="0" w:color="000000"/>
            </w:tcBorders>
          </w:tcPr>
          <w:p>
            <w:pPr>
              <w:pStyle w:val="TableParagraph"/>
              <w:rPr>
                <w:rFonts w:ascii="Times New Roman"/>
                <w:sz w:val="20"/>
              </w:rPr>
            </w:pPr>
          </w:p>
        </w:tc>
        <w:tc>
          <w:tcPr>
            <w:tcW w:w="1730" w:type="dxa"/>
          </w:tcPr>
          <w:p>
            <w:pPr>
              <w:pStyle w:val="TableParagraph"/>
              <w:rPr>
                <w:rFonts w:ascii="Times New Roman"/>
                <w:sz w:val="20"/>
              </w:rPr>
            </w:pPr>
          </w:p>
        </w:tc>
        <w:tc>
          <w:tcPr>
            <w:tcW w:w="1665" w:type="dxa"/>
          </w:tcPr>
          <w:p>
            <w:pPr>
              <w:pStyle w:val="TableParagraph"/>
              <w:spacing w:line="256" w:lineRule="exact"/>
              <w:ind w:left="293"/>
              <w:rPr>
                <w:sz w:val="24"/>
              </w:rPr>
            </w:pPr>
            <w:r>
              <w:rPr>
                <w:spacing w:val="-2"/>
                <w:sz w:val="24"/>
              </w:rPr>
              <w:t>Managmet</w:t>
            </w:r>
          </w:p>
        </w:tc>
        <w:tc>
          <w:tcPr>
            <w:tcW w:w="1513" w:type="dxa"/>
          </w:tcPr>
          <w:p>
            <w:pPr>
              <w:pStyle w:val="TableParagraph"/>
              <w:spacing w:line="256" w:lineRule="exact"/>
              <w:ind w:left="251"/>
              <w:rPr>
                <w:sz w:val="24"/>
              </w:rPr>
            </w:pPr>
            <w:r>
              <w:rPr>
                <w:sz w:val="24"/>
              </w:rPr>
              <w:t>-</w:t>
            </w:r>
            <w:r>
              <w:rPr>
                <w:spacing w:val="-2"/>
                <w:sz w:val="24"/>
              </w:rPr>
              <w:t>.1238</w:t>
            </w:r>
          </w:p>
        </w:tc>
        <w:tc>
          <w:tcPr>
            <w:tcW w:w="1288" w:type="dxa"/>
          </w:tcPr>
          <w:p>
            <w:pPr>
              <w:pStyle w:val="TableParagraph"/>
              <w:spacing w:line="256" w:lineRule="exact"/>
              <w:ind w:left="178"/>
              <w:rPr>
                <w:sz w:val="24"/>
              </w:rPr>
            </w:pPr>
            <w:r>
              <w:rPr>
                <w:spacing w:val="-2"/>
                <w:sz w:val="24"/>
              </w:rPr>
              <w:t>.1139</w:t>
            </w:r>
          </w:p>
        </w:tc>
        <w:tc>
          <w:tcPr>
            <w:tcW w:w="1128" w:type="dxa"/>
            <w:tcBorders>
              <w:right w:val="single" w:sz="4" w:space="0" w:color="000000"/>
            </w:tcBorders>
          </w:tcPr>
          <w:p>
            <w:pPr>
              <w:pStyle w:val="TableParagraph"/>
              <w:spacing w:line="256" w:lineRule="exact"/>
              <w:ind w:left="147"/>
              <w:rPr>
                <w:sz w:val="24"/>
              </w:rPr>
            </w:pPr>
            <w:r>
              <w:rPr>
                <w:spacing w:val="-4"/>
                <w:sz w:val="24"/>
              </w:rPr>
              <w:t>.554</w:t>
            </w:r>
          </w:p>
        </w:tc>
      </w:tr>
      <w:tr>
        <w:trPr>
          <w:trHeight w:val="334" w:hRule="atLeast"/>
        </w:trPr>
        <w:tc>
          <w:tcPr>
            <w:tcW w:w="1586" w:type="dxa"/>
            <w:tcBorders>
              <w:left w:val="single" w:sz="4" w:space="0" w:color="000000"/>
            </w:tcBorders>
          </w:tcPr>
          <w:p>
            <w:pPr>
              <w:pStyle w:val="TableParagraph"/>
              <w:rPr>
                <w:rFonts w:ascii="Times New Roman"/>
                <w:sz w:val="24"/>
              </w:rPr>
            </w:pPr>
          </w:p>
        </w:tc>
        <w:tc>
          <w:tcPr>
            <w:tcW w:w="1730" w:type="dxa"/>
          </w:tcPr>
          <w:p>
            <w:pPr>
              <w:pStyle w:val="TableParagraph"/>
              <w:spacing w:line="273" w:lineRule="exact"/>
              <w:ind w:left="314"/>
              <w:rPr>
                <w:sz w:val="24"/>
              </w:rPr>
            </w:pPr>
            <w:r>
              <w:rPr>
                <w:spacing w:val="-2"/>
                <w:sz w:val="24"/>
              </w:rPr>
              <w:t>Managmet</w:t>
            </w:r>
          </w:p>
        </w:tc>
        <w:tc>
          <w:tcPr>
            <w:tcW w:w="1665" w:type="dxa"/>
          </w:tcPr>
          <w:p>
            <w:pPr>
              <w:pStyle w:val="TableParagraph"/>
              <w:spacing w:line="273" w:lineRule="exact"/>
              <w:ind w:left="293"/>
              <w:rPr>
                <w:sz w:val="24"/>
              </w:rPr>
            </w:pPr>
            <w:r>
              <w:rPr>
                <w:spacing w:val="-2"/>
                <w:sz w:val="24"/>
              </w:rPr>
              <w:t>Student</w:t>
            </w:r>
          </w:p>
        </w:tc>
        <w:tc>
          <w:tcPr>
            <w:tcW w:w="1513" w:type="dxa"/>
          </w:tcPr>
          <w:p>
            <w:pPr>
              <w:pStyle w:val="TableParagraph"/>
              <w:spacing w:line="273" w:lineRule="exact"/>
              <w:ind w:left="251"/>
              <w:rPr>
                <w:sz w:val="24"/>
              </w:rPr>
            </w:pPr>
            <w:r>
              <w:rPr>
                <w:sz w:val="24"/>
              </w:rPr>
              <w:t>-</w:t>
            </w:r>
            <w:r>
              <w:rPr>
                <w:spacing w:val="-2"/>
                <w:sz w:val="24"/>
              </w:rPr>
              <w:t>.0473</w:t>
            </w:r>
          </w:p>
        </w:tc>
        <w:tc>
          <w:tcPr>
            <w:tcW w:w="1288" w:type="dxa"/>
          </w:tcPr>
          <w:p>
            <w:pPr>
              <w:pStyle w:val="TableParagraph"/>
              <w:spacing w:line="273" w:lineRule="exact"/>
              <w:ind w:left="178"/>
              <w:rPr>
                <w:sz w:val="24"/>
              </w:rPr>
            </w:pPr>
            <w:r>
              <w:rPr>
                <w:spacing w:val="-2"/>
                <w:sz w:val="24"/>
              </w:rPr>
              <w:t>.1131</w:t>
            </w:r>
          </w:p>
        </w:tc>
        <w:tc>
          <w:tcPr>
            <w:tcW w:w="1128" w:type="dxa"/>
            <w:tcBorders>
              <w:right w:val="single" w:sz="4" w:space="0" w:color="000000"/>
            </w:tcBorders>
          </w:tcPr>
          <w:p>
            <w:pPr>
              <w:pStyle w:val="TableParagraph"/>
              <w:spacing w:line="273" w:lineRule="exact"/>
              <w:ind w:left="147"/>
              <w:rPr>
                <w:sz w:val="24"/>
              </w:rPr>
            </w:pPr>
            <w:r>
              <w:rPr>
                <w:spacing w:val="-4"/>
                <w:sz w:val="24"/>
              </w:rPr>
              <w:t>.916</w:t>
            </w:r>
          </w:p>
        </w:tc>
      </w:tr>
      <w:tr>
        <w:trPr>
          <w:trHeight w:val="497" w:hRule="atLeast"/>
        </w:trPr>
        <w:tc>
          <w:tcPr>
            <w:tcW w:w="1586" w:type="dxa"/>
            <w:tcBorders>
              <w:left w:val="single" w:sz="4" w:space="0" w:color="000000"/>
              <w:bottom w:val="single" w:sz="4" w:space="0" w:color="000000"/>
            </w:tcBorders>
          </w:tcPr>
          <w:p>
            <w:pPr>
              <w:pStyle w:val="TableParagraph"/>
              <w:rPr>
                <w:rFonts w:ascii="Times New Roman"/>
                <w:sz w:val="24"/>
              </w:rPr>
            </w:pPr>
          </w:p>
        </w:tc>
        <w:tc>
          <w:tcPr>
            <w:tcW w:w="1730" w:type="dxa"/>
            <w:tcBorders>
              <w:bottom w:val="single" w:sz="4" w:space="0" w:color="000000"/>
            </w:tcBorders>
          </w:tcPr>
          <w:p>
            <w:pPr>
              <w:pStyle w:val="TableParagraph"/>
              <w:rPr>
                <w:rFonts w:ascii="Times New Roman"/>
                <w:sz w:val="24"/>
              </w:rPr>
            </w:pPr>
          </w:p>
        </w:tc>
        <w:tc>
          <w:tcPr>
            <w:tcW w:w="1665" w:type="dxa"/>
            <w:tcBorders>
              <w:bottom w:val="single" w:sz="4" w:space="0" w:color="000000"/>
            </w:tcBorders>
          </w:tcPr>
          <w:p>
            <w:pPr>
              <w:pStyle w:val="TableParagraph"/>
              <w:spacing w:line="213" w:lineRule="exact"/>
              <w:ind w:left="293"/>
              <w:rPr>
                <w:sz w:val="24"/>
              </w:rPr>
            </w:pPr>
            <w:r>
              <w:rPr>
                <w:spacing w:val="-4"/>
                <w:sz w:val="24"/>
              </w:rPr>
              <w:t>Staff</w:t>
            </w:r>
          </w:p>
        </w:tc>
        <w:tc>
          <w:tcPr>
            <w:tcW w:w="1513" w:type="dxa"/>
            <w:tcBorders>
              <w:bottom w:val="single" w:sz="4" w:space="0" w:color="000000"/>
            </w:tcBorders>
          </w:tcPr>
          <w:p>
            <w:pPr>
              <w:pStyle w:val="TableParagraph"/>
              <w:spacing w:before="76"/>
              <w:ind w:left="251"/>
              <w:rPr>
                <w:sz w:val="24"/>
              </w:rPr>
            </w:pPr>
            <w:r>
              <w:rPr>
                <w:spacing w:val="-2"/>
                <w:sz w:val="24"/>
              </w:rPr>
              <w:t>.1238</w:t>
            </w:r>
          </w:p>
        </w:tc>
        <w:tc>
          <w:tcPr>
            <w:tcW w:w="1288" w:type="dxa"/>
            <w:tcBorders>
              <w:bottom w:val="single" w:sz="4" w:space="0" w:color="000000"/>
            </w:tcBorders>
          </w:tcPr>
          <w:p>
            <w:pPr>
              <w:pStyle w:val="TableParagraph"/>
              <w:spacing w:before="76"/>
              <w:ind w:left="178"/>
              <w:rPr>
                <w:sz w:val="24"/>
              </w:rPr>
            </w:pPr>
            <w:r>
              <w:rPr>
                <w:spacing w:val="-2"/>
                <w:sz w:val="24"/>
              </w:rPr>
              <w:t>.1139</w:t>
            </w:r>
          </w:p>
        </w:tc>
        <w:tc>
          <w:tcPr>
            <w:tcW w:w="1128" w:type="dxa"/>
            <w:tcBorders>
              <w:bottom w:val="single" w:sz="4" w:space="0" w:color="000000"/>
              <w:right w:val="single" w:sz="4" w:space="0" w:color="000000"/>
            </w:tcBorders>
          </w:tcPr>
          <w:p>
            <w:pPr>
              <w:pStyle w:val="TableParagraph"/>
              <w:spacing w:before="76"/>
              <w:ind w:left="147"/>
              <w:rPr>
                <w:sz w:val="24"/>
              </w:rPr>
            </w:pPr>
            <w:r>
              <w:rPr>
                <w:spacing w:val="-4"/>
                <w:sz w:val="24"/>
              </w:rPr>
              <w:t>.554</w:t>
            </w:r>
          </w:p>
        </w:tc>
      </w:tr>
    </w:tbl>
    <w:p>
      <w:pPr>
        <w:pStyle w:val="BodyText"/>
        <w:ind w:left="840"/>
      </w:pPr>
      <w:r>
        <w:rPr/>
        <w:t>*Mean</w:t>
      </w:r>
      <w:r>
        <w:rPr>
          <w:spacing w:val="-5"/>
        </w:rPr>
        <w:t> </w:t>
      </w:r>
      <w:r>
        <w:rPr/>
        <w:t>difference</w:t>
      </w:r>
      <w:r>
        <w:rPr>
          <w:spacing w:val="-9"/>
        </w:rPr>
        <w:t> </w:t>
      </w:r>
      <w:r>
        <w:rPr/>
        <w:t>is</w:t>
      </w:r>
      <w:r>
        <w:rPr>
          <w:spacing w:val="-6"/>
        </w:rPr>
        <w:t> </w:t>
      </w:r>
      <w:r>
        <w:rPr/>
        <w:t>significance</w:t>
      </w:r>
      <w:r>
        <w:rPr>
          <w:spacing w:val="-5"/>
        </w:rPr>
        <w:t> </w:t>
      </w:r>
      <w:r>
        <w:rPr/>
        <w:t>at</w:t>
      </w:r>
      <w:r>
        <w:rPr>
          <w:spacing w:val="-9"/>
        </w:rPr>
        <w:t> </w:t>
      </w:r>
      <w:r>
        <w:rPr/>
        <w:t>.05</w:t>
      </w:r>
      <w:r>
        <w:rPr>
          <w:spacing w:val="-9"/>
        </w:rPr>
        <w:t> </w:t>
      </w:r>
      <w:r>
        <w:rPr>
          <w:spacing w:val="-4"/>
        </w:rPr>
        <w:t>level</w:t>
      </w:r>
    </w:p>
    <w:p>
      <w:pPr>
        <w:pStyle w:val="BodyText"/>
        <w:spacing w:line="480" w:lineRule="auto" w:before="273"/>
        <w:ind w:left="840" w:right="555" w:firstLine="720"/>
        <w:jc w:val="both"/>
      </w:pPr>
      <w:r>
        <w:rPr/>
        <w:t>It is evident from this Scheffe’s Multiple Comparison Test that differences existed in the opinions of the three groups on the impact of library services on students’ welfare in</w:t>
      </w:r>
      <w:r>
        <w:rPr>
          <w:spacing w:val="40"/>
        </w:rPr>
        <w:t> </w:t>
      </w:r>
      <w:r>
        <w:rPr/>
        <w:t>the universities. The mean difference of students and top management seemed to agree</w:t>
      </w:r>
      <w:r>
        <w:rPr>
          <w:spacing w:val="-4"/>
        </w:rPr>
        <w:t> </w:t>
      </w:r>
      <w:r>
        <w:rPr/>
        <w:t>while the mean difference</w:t>
      </w:r>
      <w:r>
        <w:rPr>
          <w:spacing w:val="-3"/>
        </w:rPr>
        <w:t> </w:t>
      </w:r>
      <w:r>
        <w:rPr/>
        <w:t>of service staff seemed to disagree with that of the students and the</w:t>
      </w:r>
      <w:r>
        <w:rPr>
          <w:spacing w:val="-1"/>
        </w:rPr>
        <w:t> </w:t>
      </w:r>
      <w:r>
        <w:rPr/>
        <w:t>management. This revealed that the conformity between students and management on the impact of the library service</w:t>
      </w:r>
      <w:r>
        <w:rPr>
          <w:spacing w:val="32"/>
        </w:rPr>
        <w:t> </w:t>
      </w:r>
      <w:r>
        <w:rPr/>
        <w:t>would</w:t>
      </w:r>
      <w:r>
        <w:rPr>
          <w:spacing w:val="28"/>
        </w:rPr>
        <w:t> </w:t>
      </w:r>
      <w:r>
        <w:rPr/>
        <w:t>imply</w:t>
      </w:r>
      <w:r>
        <w:rPr>
          <w:spacing w:val="32"/>
        </w:rPr>
        <w:t> </w:t>
      </w:r>
      <w:r>
        <w:rPr/>
        <w:t>that</w:t>
      </w:r>
      <w:r>
        <w:rPr>
          <w:spacing w:val="27"/>
        </w:rPr>
        <w:t> </w:t>
      </w:r>
      <w:r>
        <w:rPr/>
        <w:t>the</w:t>
      </w:r>
      <w:r>
        <w:rPr>
          <w:spacing w:val="33"/>
        </w:rPr>
        <w:t> </w:t>
      </w:r>
      <w:r>
        <w:rPr/>
        <w:t>provision</w:t>
      </w:r>
      <w:r>
        <w:rPr>
          <w:spacing w:val="33"/>
        </w:rPr>
        <w:t> </w:t>
      </w:r>
      <w:r>
        <w:rPr/>
        <w:t>and</w:t>
      </w:r>
      <w:r>
        <w:rPr>
          <w:spacing w:val="28"/>
        </w:rPr>
        <w:t> </w:t>
      </w:r>
      <w:r>
        <w:rPr/>
        <w:t>management</w:t>
      </w:r>
      <w:r>
        <w:rPr>
          <w:spacing w:val="32"/>
        </w:rPr>
        <w:t> </w:t>
      </w:r>
      <w:r>
        <w:rPr/>
        <w:t>of</w:t>
      </w:r>
      <w:r>
        <w:rPr>
          <w:spacing w:val="32"/>
        </w:rPr>
        <w:t> </w:t>
      </w:r>
      <w:r>
        <w:rPr/>
        <w:t>the</w:t>
      </w:r>
      <w:r>
        <w:rPr>
          <w:spacing w:val="32"/>
        </w:rPr>
        <w:t> </w:t>
      </w:r>
      <w:r>
        <w:rPr/>
        <w:t>library</w:t>
      </w:r>
      <w:r>
        <w:rPr>
          <w:spacing w:val="32"/>
        </w:rPr>
        <w:t> </w:t>
      </w:r>
      <w:r>
        <w:rPr>
          <w:spacing w:val="-2"/>
        </w:rPr>
        <w:t>facilities</w:t>
      </w:r>
    </w:p>
    <w:p>
      <w:pPr>
        <w:spacing w:after="0" w:line="480" w:lineRule="auto"/>
        <w:jc w:val="both"/>
        <w:sectPr>
          <w:headerReference w:type="default" r:id="rId467"/>
          <w:footerReference w:type="default" r:id="rId468"/>
          <w:pgSz w:w="12240" w:h="15840"/>
          <w:pgMar w:header="722" w:footer="791" w:top="980" w:bottom="980" w:left="1320" w:right="880"/>
        </w:sectPr>
      </w:pPr>
    </w:p>
    <w:p>
      <w:pPr>
        <w:pStyle w:val="BodyText"/>
        <w:spacing w:before="171"/>
      </w:pPr>
    </w:p>
    <w:p>
      <w:pPr>
        <w:pStyle w:val="BodyText"/>
        <w:spacing w:line="480" w:lineRule="auto"/>
        <w:ind w:left="840" w:right="553"/>
        <w:jc w:val="both"/>
      </w:pPr>
      <w:r>
        <w:rPr/>
        <w:t>might not be the problem. The biting issue could be that the students were not assisted by the service staff in utilizing the services of the library effectively. There is, therefore, the need for the students to be oriented very well and the service staff should extend positive relationship to students on the use of library so as to enhance the academic performance of the former.</w:t>
      </w:r>
    </w:p>
    <w:p>
      <w:pPr>
        <w:pStyle w:val="Heading4"/>
        <w:numPr>
          <w:ilvl w:val="2"/>
          <w:numId w:val="43"/>
        </w:numPr>
        <w:tabs>
          <w:tab w:pos="967" w:val="left" w:leader="none"/>
        </w:tabs>
        <w:spacing w:line="240" w:lineRule="auto" w:before="2" w:after="0"/>
        <w:ind w:left="967" w:right="0" w:hanging="847"/>
        <w:jc w:val="left"/>
      </w:pPr>
      <w:bookmarkStart w:name="_TOC_250009" w:id="59"/>
      <w:r>
        <w:rPr/>
        <w:t>Null</w:t>
      </w:r>
      <w:r>
        <w:rPr>
          <w:spacing w:val="-7"/>
        </w:rPr>
        <w:t> </w:t>
      </w:r>
      <w:r>
        <w:rPr/>
        <w:t>Hypothesis</w:t>
      </w:r>
      <w:bookmarkEnd w:id="59"/>
      <w:r>
        <w:rPr>
          <w:spacing w:val="-5"/>
        </w:rPr>
        <w:t> 16</w:t>
      </w:r>
    </w:p>
    <w:p>
      <w:pPr>
        <w:pStyle w:val="BodyText"/>
        <w:spacing w:before="44"/>
        <w:rPr>
          <w:rFonts w:ascii="Arial"/>
          <w:b/>
        </w:rPr>
      </w:pPr>
    </w:p>
    <w:p>
      <w:pPr>
        <w:pStyle w:val="BodyText"/>
        <w:spacing w:line="480" w:lineRule="auto"/>
        <w:ind w:left="840" w:right="558" w:firstLine="720"/>
        <w:jc w:val="both"/>
      </w:pPr>
      <w:r>
        <w:rPr/>
        <w:t>There is no significant difference in the opinions of students, service staff and top management staff with respect to the impact of classrooms, laboratories workshops, field trips facility services on students’ welfare in these universities.</w:t>
      </w:r>
    </w:p>
    <w:p>
      <w:pPr>
        <w:pStyle w:val="BodyText"/>
        <w:spacing w:line="480" w:lineRule="auto"/>
        <w:ind w:left="840" w:right="559" w:firstLine="720"/>
        <w:jc w:val="both"/>
      </w:pPr>
      <w:r>
        <w:rPr/>
        <w:t>Data collected on the responses of respondents regarding the impact of classrooms, laboratories, workshops, field trips facilities on students’ welfare in Nigerian universities were from items 77 to 80. And to test the hypothesis One Way Analysis of Variance statistical procedure was used. The result of the test are presented in table 4.5.26.</w:t>
      </w:r>
    </w:p>
    <w:p>
      <w:pPr>
        <w:pStyle w:val="Heading2"/>
        <w:spacing w:after="4"/>
        <w:ind w:left="2582" w:right="558" w:hanging="1743"/>
      </w:pPr>
      <w:r>
        <w:rPr/>
        <w:t>Table 4.5.26: Analysis of Variance (ANOVA) on the impact of classroom,</w:t>
      </w:r>
      <w:r>
        <w:rPr>
          <w:spacing w:val="-1"/>
        </w:rPr>
        <w:t> </w:t>
      </w:r>
      <w:r>
        <w:rPr/>
        <w:t>laboratory,</w:t>
      </w:r>
      <w:r>
        <w:rPr>
          <w:spacing w:val="-1"/>
        </w:rPr>
        <w:t> </w:t>
      </w:r>
      <w:r>
        <w:rPr/>
        <w:t>workshop,</w:t>
      </w:r>
      <w:r>
        <w:rPr>
          <w:spacing w:val="-1"/>
        </w:rPr>
        <w:t> </w:t>
      </w:r>
      <w:r>
        <w:rPr/>
        <w:t>field</w:t>
      </w:r>
      <w:r>
        <w:rPr>
          <w:spacing w:val="-3"/>
        </w:rPr>
        <w:t> </w:t>
      </w:r>
      <w:r>
        <w:rPr/>
        <w:t>trip</w:t>
      </w:r>
      <w:r>
        <w:rPr>
          <w:spacing w:val="-3"/>
        </w:rPr>
        <w:t> </w:t>
      </w:r>
      <w:r>
        <w:rPr/>
        <w:t>facilities on student welfare in the Universities</w:t>
      </w:r>
    </w:p>
    <w:tbl>
      <w:tblPr>
        <w:tblW w:w="0" w:type="auto"/>
        <w:jc w:val="left"/>
        <w:tblInd w:w="1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63"/>
        <w:gridCol w:w="820"/>
        <w:gridCol w:w="1335"/>
        <w:gridCol w:w="1388"/>
        <w:gridCol w:w="1282"/>
        <w:gridCol w:w="1672"/>
      </w:tblGrid>
      <w:tr>
        <w:trPr>
          <w:trHeight w:val="551" w:hRule="atLeast"/>
        </w:trPr>
        <w:tc>
          <w:tcPr>
            <w:tcW w:w="1963" w:type="dxa"/>
            <w:tcBorders>
              <w:top w:val="single" w:sz="4" w:space="0" w:color="000000"/>
              <w:left w:val="single" w:sz="4" w:space="0" w:color="000000"/>
              <w:bottom w:val="single" w:sz="4" w:space="0" w:color="000000"/>
            </w:tcBorders>
          </w:tcPr>
          <w:p>
            <w:pPr>
              <w:pStyle w:val="TableParagraph"/>
              <w:spacing w:line="267" w:lineRule="exact"/>
              <w:ind w:left="431"/>
              <w:rPr>
                <w:rFonts w:ascii="Arial"/>
                <w:b/>
                <w:sz w:val="24"/>
              </w:rPr>
            </w:pPr>
            <w:r>
              <w:rPr>
                <w:rFonts w:ascii="Arial"/>
                <w:b/>
                <w:sz w:val="24"/>
              </w:rPr>
              <w:t>Source</w:t>
            </w:r>
            <w:r>
              <w:rPr>
                <w:rFonts w:ascii="Arial"/>
                <w:b/>
                <w:spacing w:val="-12"/>
                <w:sz w:val="24"/>
              </w:rPr>
              <w:t> </w:t>
            </w:r>
            <w:r>
              <w:rPr>
                <w:rFonts w:ascii="Arial"/>
                <w:b/>
                <w:spacing w:val="-5"/>
                <w:sz w:val="24"/>
              </w:rPr>
              <w:t>of</w:t>
            </w:r>
          </w:p>
          <w:p>
            <w:pPr>
              <w:pStyle w:val="TableParagraph"/>
              <w:spacing w:line="263" w:lineRule="exact" w:before="2"/>
              <w:ind w:left="470"/>
              <w:rPr>
                <w:rFonts w:ascii="Arial"/>
                <w:b/>
                <w:sz w:val="24"/>
              </w:rPr>
            </w:pPr>
            <w:r>
              <w:rPr>
                <w:rFonts w:ascii="Arial"/>
                <w:b/>
                <w:spacing w:val="-2"/>
                <w:sz w:val="24"/>
              </w:rPr>
              <w:t>Variation</w:t>
            </w:r>
          </w:p>
        </w:tc>
        <w:tc>
          <w:tcPr>
            <w:tcW w:w="820" w:type="dxa"/>
            <w:tcBorders>
              <w:top w:val="single" w:sz="4" w:space="0" w:color="000000"/>
              <w:bottom w:val="single" w:sz="4" w:space="0" w:color="000000"/>
            </w:tcBorders>
          </w:tcPr>
          <w:p>
            <w:pPr>
              <w:pStyle w:val="TableParagraph"/>
              <w:spacing w:line="267" w:lineRule="exact"/>
              <w:ind w:left="302"/>
              <w:rPr>
                <w:rFonts w:ascii="Arial"/>
                <w:b/>
                <w:sz w:val="24"/>
              </w:rPr>
            </w:pPr>
            <w:r>
              <w:rPr>
                <w:rFonts w:ascii="Arial"/>
                <w:b/>
                <w:spacing w:val="-5"/>
                <w:sz w:val="24"/>
              </w:rPr>
              <w:t>DF</w:t>
            </w:r>
          </w:p>
        </w:tc>
        <w:tc>
          <w:tcPr>
            <w:tcW w:w="1335" w:type="dxa"/>
            <w:tcBorders>
              <w:top w:val="single" w:sz="4" w:space="0" w:color="000000"/>
              <w:bottom w:val="single" w:sz="4" w:space="0" w:color="000000"/>
            </w:tcBorders>
          </w:tcPr>
          <w:p>
            <w:pPr>
              <w:pStyle w:val="TableParagraph"/>
              <w:spacing w:line="267" w:lineRule="exact"/>
              <w:ind w:left="322"/>
              <w:rPr>
                <w:rFonts w:ascii="Arial"/>
                <w:b/>
                <w:sz w:val="24"/>
              </w:rPr>
            </w:pPr>
            <w:r>
              <w:rPr>
                <w:rFonts w:ascii="Arial"/>
                <w:b/>
                <w:sz w:val="24"/>
              </w:rPr>
              <w:t>Sum</w:t>
            </w:r>
            <w:r>
              <w:rPr>
                <w:rFonts w:ascii="Arial"/>
                <w:b/>
                <w:spacing w:val="-13"/>
                <w:sz w:val="24"/>
              </w:rPr>
              <w:t> </w:t>
            </w:r>
            <w:r>
              <w:rPr>
                <w:rFonts w:ascii="Arial"/>
                <w:b/>
                <w:spacing w:val="-5"/>
                <w:sz w:val="24"/>
              </w:rPr>
              <w:t>of</w:t>
            </w:r>
          </w:p>
          <w:p>
            <w:pPr>
              <w:pStyle w:val="TableParagraph"/>
              <w:spacing w:line="263" w:lineRule="exact" w:before="2"/>
              <w:ind w:left="255"/>
              <w:rPr>
                <w:rFonts w:ascii="Arial"/>
                <w:b/>
                <w:sz w:val="24"/>
              </w:rPr>
            </w:pPr>
            <w:r>
              <w:rPr>
                <w:rFonts w:ascii="Arial"/>
                <w:b/>
                <w:spacing w:val="-2"/>
                <w:sz w:val="24"/>
              </w:rPr>
              <w:t>Squares</w:t>
            </w:r>
          </w:p>
        </w:tc>
        <w:tc>
          <w:tcPr>
            <w:tcW w:w="1388" w:type="dxa"/>
            <w:tcBorders>
              <w:top w:val="single" w:sz="4" w:space="0" w:color="000000"/>
              <w:bottom w:val="single" w:sz="4" w:space="0" w:color="000000"/>
            </w:tcBorders>
          </w:tcPr>
          <w:p>
            <w:pPr>
              <w:pStyle w:val="TableParagraph"/>
              <w:spacing w:line="267" w:lineRule="exact"/>
              <w:ind w:left="98"/>
              <w:jc w:val="center"/>
              <w:rPr>
                <w:rFonts w:ascii="Arial"/>
                <w:b/>
                <w:sz w:val="24"/>
              </w:rPr>
            </w:pPr>
            <w:r>
              <w:rPr>
                <w:rFonts w:ascii="Arial"/>
                <w:b/>
                <w:spacing w:val="-4"/>
                <w:sz w:val="24"/>
              </w:rPr>
              <w:t>Mean</w:t>
            </w:r>
          </w:p>
          <w:p>
            <w:pPr>
              <w:pStyle w:val="TableParagraph"/>
              <w:spacing w:line="263" w:lineRule="exact" w:before="2"/>
              <w:ind w:left="98" w:right="3"/>
              <w:jc w:val="center"/>
              <w:rPr>
                <w:rFonts w:ascii="Arial"/>
                <w:b/>
                <w:sz w:val="24"/>
              </w:rPr>
            </w:pPr>
            <w:r>
              <w:rPr>
                <w:rFonts w:ascii="Arial"/>
                <w:b/>
                <w:spacing w:val="-2"/>
                <w:sz w:val="24"/>
              </w:rPr>
              <w:t>Squares</w:t>
            </w:r>
          </w:p>
        </w:tc>
        <w:tc>
          <w:tcPr>
            <w:tcW w:w="1282" w:type="dxa"/>
            <w:tcBorders>
              <w:top w:val="single" w:sz="4" w:space="0" w:color="000000"/>
              <w:bottom w:val="single" w:sz="4" w:space="0" w:color="000000"/>
            </w:tcBorders>
          </w:tcPr>
          <w:p>
            <w:pPr>
              <w:pStyle w:val="TableParagraph"/>
              <w:spacing w:line="267" w:lineRule="exact"/>
              <w:ind w:left="273"/>
              <w:rPr>
                <w:rFonts w:ascii="Arial"/>
                <w:b/>
                <w:sz w:val="24"/>
              </w:rPr>
            </w:pPr>
            <w:r>
              <w:rPr>
                <w:rFonts w:ascii="Arial"/>
                <w:b/>
                <w:sz w:val="24"/>
              </w:rPr>
              <w:t>F </w:t>
            </w:r>
            <w:r>
              <w:rPr>
                <w:rFonts w:ascii="Arial"/>
                <w:b/>
                <w:spacing w:val="-2"/>
                <w:sz w:val="24"/>
              </w:rPr>
              <w:t>Value</w:t>
            </w:r>
          </w:p>
        </w:tc>
        <w:tc>
          <w:tcPr>
            <w:tcW w:w="1672" w:type="dxa"/>
            <w:tcBorders>
              <w:top w:val="single" w:sz="4" w:space="0" w:color="000000"/>
              <w:bottom w:val="single" w:sz="4" w:space="0" w:color="000000"/>
              <w:right w:val="single" w:sz="4" w:space="0" w:color="000000"/>
            </w:tcBorders>
          </w:tcPr>
          <w:p>
            <w:pPr>
              <w:pStyle w:val="TableParagraph"/>
              <w:spacing w:line="267" w:lineRule="exact"/>
              <w:ind w:left="67" w:right="12"/>
              <w:jc w:val="center"/>
              <w:rPr>
                <w:rFonts w:ascii="Arial"/>
                <w:b/>
                <w:sz w:val="24"/>
              </w:rPr>
            </w:pPr>
            <w:r>
              <w:rPr>
                <w:rFonts w:ascii="Arial"/>
                <w:b/>
                <w:spacing w:val="-10"/>
                <w:sz w:val="24"/>
              </w:rPr>
              <w:t>P</w:t>
            </w:r>
          </w:p>
          <w:p>
            <w:pPr>
              <w:pStyle w:val="TableParagraph"/>
              <w:spacing w:line="263" w:lineRule="exact" w:before="2"/>
              <w:ind w:left="67"/>
              <w:jc w:val="center"/>
              <w:rPr>
                <w:rFonts w:ascii="Arial"/>
                <w:b/>
                <w:sz w:val="24"/>
              </w:rPr>
            </w:pPr>
            <w:r>
              <w:rPr>
                <w:rFonts w:ascii="Arial"/>
                <w:b/>
                <w:spacing w:val="-2"/>
                <w:sz w:val="24"/>
              </w:rPr>
              <w:t>Probability</w:t>
            </w:r>
          </w:p>
        </w:tc>
      </w:tr>
      <w:tr>
        <w:trPr>
          <w:trHeight w:val="346" w:hRule="atLeast"/>
        </w:trPr>
        <w:tc>
          <w:tcPr>
            <w:tcW w:w="1963" w:type="dxa"/>
            <w:tcBorders>
              <w:top w:val="single" w:sz="4" w:space="0" w:color="000000"/>
              <w:left w:val="single" w:sz="4" w:space="0" w:color="000000"/>
            </w:tcBorders>
          </w:tcPr>
          <w:p>
            <w:pPr>
              <w:pStyle w:val="TableParagraph"/>
              <w:spacing w:line="271" w:lineRule="exact"/>
              <w:ind w:left="105"/>
              <w:rPr>
                <w:sz w:val="24"/>
              </w:rPr>
            </w:pPr>
            <w:r>
              <w:rPr>
                <w:sz w:val="24"/>
              </w:rPr>
              <w:t>Between</w:t>
            </w:r>
            <w:r>
              <w:rPr>
                <w:spacing w:val="-13"/>
                <w:sz w:val="24"/>
              </w:rPr>
              <w:t> </w:t>
            </w:r>
            <w:r>
              <w:rPr>
                <w:spacing w:val="-2"/>
                <w:sz w:val="24"/>
              </w:rPr>
              <w:t>groups</w:t>
            </w:r>
          </w:p>
        </w:tc>
        <w:tc>
          <w:tcPr>
            <w:tcW w:w="820" w:type="dxa"/>
            <w:tcBorders>
              <w:top w:val="single" w:sz="4" w:space="0" w:color="000000"/>
            </w:tcBorders>
          </w:tcPr>
          <w:p>
            <w:pPr>
              <w:pStyle w:val="TableParagraph"/>
              <w:spacing w:line="271" w:lineRule="exact"/>
              <w:ind w:left="125"/>
              <w:rPr>
                <w:sz w:val="24"/>
              </w:rPr>
            </w:pPr>
            <w:r>
              <w:rPr>
                <w:spacing w:val="-10"/>
                <w:sz w:val="24"/>
              </w:rPr>
              <w:t>2</w:t>
            </w:r>
          </w:p>
        </w:tc>
        <w:tc>
          <w:tcPr>
            <w:tcW w:w="1335" w:type="dxa"/>
            <w:tcBorders>
              <w:top w:val="single" w:sz="4" w:space="0" w:color="000000"/>
            </w:tcBorders>
          </w:tcPr>
          <w:p>
            <w:pPr>
              <w:pStyle w:val="TableParagraph"/>
              <w:spacing w:line="271" w:lineRule="exact"/>
              <w:ind w:left="207"/>
              <w:rPr>
                <w:sz w:val="24"/>
              </w:rPr>
            </w:pPr>
            <w:r>
              <w:rPr>
                <w:spacing w:val="-2"/>
                <w:sz w:val="24"/>
              </w:rPr>
              <w:t>5.6231</w:t>
            </w:r>
          </w:p>
        </w:tc>
        <w:tc>
          <w:tcPr>
            <w:tcW w:w="1388" w:type="dxa"/>
            <w:tcBorders>
              <w:top w:val="single" w:sz="4" w:space="0" w:color="000000"/>
            </w:tcBorders>
          </w:tcPr>
          <w:p>
            <w:pPr>
              <w:pStyle w:val="TableParagraph"/>
              <w:spacing w:line="271" w:lineRule="exact"/>
              <w:ind w:left="130"/>
              <w:rPr>
                <w:sz w:val="24"/>
              </w:rPr>
            </w:pPr>
            <w:r>
              <w:rPr>
                <w:spacing w:val="-2"/>
                <w:sz w:val="24"/>
              </w:rPr>
              <w:t>2.8115</w:t>
            </w:r>
          </w:p>
        </w:tc>
        <w:tc>
          <w:tcPr>
            <w:tcW w:w="1282" w:type="dxa"/>
            <w:tcBorders>
              <w:top w:val="single" w:sz="4" w:space="0" w:color="000000"/>
            </w:tcBorders>
          </w:tcPr>
          <w:p>
            <w:pPr>
              <w:pStyle w:val="TableParagraph"/>
              <w:spacing w:line="271" w:lineRule="exact"/>
              <w:ind w:left="182"/>
              <w:rPr>
                <w:sz w:val="24"/>
              </w:rPr>
            </w:pPr>
            <w:r>
              <w:rPr>
                <w:spacing w:val="-2"/>
                <w:sz w:val="24"/>
              </w:rPr>
              <w:t>3.4322</w:t>
            </w:r>
          </w:p>
        </w:tc>
        <w:tc>
          <w:tcPr>
            <w:tcW w:w="1672" w:type="dxa"/>
            <w:tcBorders>
              <w:top w:val="single" w:sz="4" w:space="0" w:color="000000"/>
              <w:right w:val="single" w:sz="4" w:space="0" w:color="000000"/>
            </w:tcBorders>
          </w:tcPr>
          <w:p>
            <w:pPr>
              <w:pStyle w:val="TableParagraph"/>
              <w:spacing w:line="271" w:lineRule="exact"/>
              <w:ind w:left="162"/>
              <w:rPr>
                <w:sz w:val="24"/>
              </w:rPr>
            </w:pPr>
            <w:r>
              <w:rPr>
                <w:spacing w:val="-2"/>
                <w:sz w:val="24"/>
              </w:rPr>
              <w:t>0.0331</w:t>
            </w:r>
          </w:p>
        </w:tc>
      </w:tr>
      <w:tr>
        <w:trPr>
          <w:trHeight w:val="483" w:hRule="atLeast"/>
        </w:trPr>
        <w:tc>
          <w:tcPr>
            <w:tcW w:w="1963" w:type="dxa"/>
            <w:tcBorders>
              <w:left w:val="single" w:sz="4" w:space="0" w:color="000000"/>
              <w:bottom w:val="single" w:sz="4" w:space="0" w:color="000000"/>
            </w:tcBorders>
          </w:tcPr>
          <w:p>
            <w:pPr>
              <w:pStyle w:val="TableParagraph"/>
              <w:spacing w:before="67"/>
              <w:ind w:left="105"/>
              <w:rPr>
                <w:sz w:val="24"/>
              </w:rPr>
            </w:pPr>
            <w:r>
              <w:rPr>
                <w:sz w:val="24"/>
              </w:rPr>
              <w:t>Within</w:t>
            </w:r>
            <w:r>
              <w:rPr>
                <w:spacing w:val="-3"/>
                <w:sz w:val="24"/>
              </w:rPr>
              <w:t> </w:t>
            </w:r>
            <w:r>
              <w:rPr>
                <w:spacing w:val="-2"/>
                <w:sz w:val="24"/>
              </w:rPr>
              <w:t>groups</w:t>
            </w:r>
          </w:p>
        </w:tc>
        <w:tc>
          <w:tcPr>
            <w:tcW w:w="820" w:type="dxa"/>
            <w:tcBorders>
              <w:bottom w:val="single" w:sz="4" w:space="0" w:color="000000"/>
            </w:tcBorders>
          </w:tcPr>
          <w:p>
            <w:pPr>
              <w:pStyle w:val="TableParagraph"/>
              <w:spacing w:before="67"/>
              <w:ind w:left="125"/>
              <w:rPr>
                <w:sz w:val="24"/>
              </w:rPr>
            </w:pPr>
            <w:r>
              <w:rPr>
                <w:spacing w:val="-5"/>
                <w:sz w:val="24"/>
              </w:rPr>
              <w:t>458</w:t>
            </w:r>
          </w:p>
        </w:tc>
        <w:tc>
          <w:tcPr>
            <w:tcW w:w="1335" w:type="dxa"/>
            <w:tcBorders>
              <w:bottom w:val="single" w:sz="4" w:space="0" w:color="000000"/>
            </w:tcBorders>
          </w:tcPr>
          <w:p>
            <w:pPr>
              <w:pStyle w:val="TableParagraph"/>
              <w:spacing w:before="67"/>
              <w:ind w:left="207"/>
              <w:rPr>
                <w:sz w:val="24"/>
              </w:rPr>
            </w:pPr>
            <w:r>
              <w:rPr>
                <w:spacing w:val="-2"/>
                <w:sz w:val="24"/>
              </w:rPr>
              <w:t>375.1803</w:t>
            </w:r>
          </w:p>
        </w:tc>
        <w:tc>
          <w:tcPr>
            <w:tcW w:w="1388" w:type="dxa"/>
            <w:tcBorders>
              <w:bottom w:val="single" w:sz="4" w:space="0" w:color="000000"/>
            </w:tcBorders>
          </w:tcPr>
          <w:p>
            <w:pPr>
              <w:pStyle w:val="TableParagraph"/>
              <w:spacing w:before="67"/>
              <w:ind w:left="130"/>
              <w:rPr>
                <w:sz w:val="24"/>
              </w:rPr>
            </w:pPr>
            <w:r>
              <w:rPr>
                <w:spacing w:val="-2"/>
                <w:sz w:val="24"/>
              </w:rPr>
              <w:t>0.8192</w:t>
            </w:r>
          </w:p>
        </w:tc>
        <w:tc>
          <w:tcPr>
            <w:tcW w:w="1282" w:type="dxa"/>
            <w:tcBorders>
              <w:bottom w:val="single" w:sz="4" w:space="0" w:color="000000"/>
            </w:tcBorders>
          </w:tcPr>
          <w:p>
            <w:pPr>
              <w:pStyle w:val="TableParagraph"/>
              <w:rPr>
                <w:rFonts w:ascii="Times New Roman"/>
                <w:sz w:val="24"/>
              </w:rPr>
            </w:pPr>
          </w:p>
        </w:tc>
        <w:tc>
          <w:tcPr>
            <w:tcW w:w="1672" w:type="dxa"/>
            <w:tcBorders>
              <w:bottom w:val="single" w:sz="4" w:space="0" w:color="000000"/>
              <w:right w:val="single" w:sz="4" w:space="0" w:color="000000"/>
            </w:tcBorders>
          </w:tcPr>
          <w:p>
            <w:pPr>
              <w:pStyle w:val="TableParagraph"/>
              <w:rPr>
                <w:rFonts w:ascii="Times New Roman"/>
                <w:sz w:val="24"/>
              </w:rPr>
            </w:pPr>
          </w:p>
        </w:tc>
      </w:tr>
      <w:tr>
        <w:trPr>
          <w:trHeight w:val="278" w:hRule="atLeast"/>
        </w:trPr>
        <w:tc>
          <w:tcPr>
            <w:tcW w:w="1963"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820" w:type="dxa"/>
            <w:tcBorders>
              <w:top w:val="single" w:sz="4" w:space="0" w:color="000000"/>
              <w:bottom w:val="single" w:sz="4" w:space="0" w:color="000000"/>
            </w:tcBorders>
          </w:tcPr>
          <w:p>
            <w:pPr>
              <w:pStyle w:val="TableParagraph"/>
              <w:spacing w:line="258" w:lineRule="exact"/>
              <w:ind w:left="125"/>
              <w:rPr>
                <w:sz w:val="24"/>
              </w:rPr>
            </w:pPr>
            <w:r>
              <w:rPr>
                <w:spacing w:val="-5"/>
                <w:sz w:val="24"/>
              </w:rPr>
              <w:t>460</w:t>
            </w:r>
          </w:p>
        </w:tc>
        <w:tc>
          <w:tcPr>
            <w:tcW w:w="1335" w:type="dxa"/>
            <w:tcBorders>
              <w:top w:val="single" w:sz="4" w:space="0" w:color="000000"/>
              <w:bottom w:val="single" w:sz="4" w:space="0" w:color="000000"/>
            </w:tcBorders>
          </w:tcPr>
          <w:p>
            <w:pPr>
              <w:pStyle w:val="TableParagraph"/>
              <w:spacing w:line="258" w:lineRule="exact"/>
              <w:ind w:left="207"/>
              <w:rPr>
                <w:sz w:val="24"/>
              </w:rPr>
            </w:pPr>
            <w:r>
              <w:rPr>
                <w:spacing w:val="-2"/>
                <w:sz w:val="24"/>
              </w:rPr>
              <w:t>380.8034</w:t>
            </w:r>
          </w:p>
        </w:tc>
        <w:tc>
          <w:tcPr>
            <w:tcW w:w="1388" w:type="dxa"/>
            <w:tcBorders>
              <w:top w:val="single" w:sz="4" w:space="0" w:color="000000"/>
              <w:bottom w:val="single" w:sz="4" w:space="0" w:color="000000"/>
            </w:tcBorders>
          </w:tcPr>
          <w:p>
            <w:pPr>
              <w:pStyle w:val="TableParagraph"/>
              <w:rPr>
                <w:rFonts w:ascii="Times New Roman"/>
                <w:sz w:val="20"/>
              </w:rPr>
            </w:pPr>
          </w:p>
        </w:tc>
        <w:tc>
          <w:tcPr>
            <w:tcW w:w="1282" w:type="dxa"/>
            <w:tcBorders>
              <w:top w:val="single" w:sz="4" w:space="0" w:color="000000"/>
              <w:bottom w:val="single" w:sz="4" w:space="0" w:color="000000"/>
            </w:tcBorders>
          </w:tcPr>
          <w:p>
            <w:pPr>
              <w:pStyle w:val="TableParagraph"/>
              <w:rPr>
                <w:rFonts w:ascii="Times New Roman"/>
                <w:sz w:val="20"/>
              </w:rPr>
            </w:pPr>
          </w:p>
        </w:tc>
        <w:tc>
          <w:tcPr>
            <w:tcW w:w="1672" w:type="dxa"/>
            <w:tcBorders>
              <w:top w:val="single" w:sz="4" w:space="0" w:color="000000"/>
              <w:bottom w:val="single" w:sz="4" w:space="0" w:color="000000"/>
              <w:right w:val="single" w:sz="4" w:space="0" w:color="000000"/>
            </w:tcBorders>
          </w:tcPr>
          <w:p>
            <w:pPr>
              <w:pStyle w:val="TableParagraph"/>
              <w:rPr>
                <w:rFonts w:ascii="Times New Roman"/>
                <w:sz w:val="20"/>
              </w:rPr>
            </w:pPr>
          </w:p>
        </w:tc>
      </w:tr>
    </w:tbl>
    <w:p>
      <w:pPr>
        <w:pStyle w:val="BodyText"/>
        <w:ind w:left="1560"/>
      </w:pPr>
      <w:r>
        <w:rPr/>
        <w:t>F</w:t>
      </w:r>
      <w:r>
        <w:rPr>
          <w:spacing w:val="-3"/>
        </w:rPr>
        <w:t> </w:t>
      </w:r>
      <w:r>
        <w:rPr/>
        <w:t>Probability</w:t>
      </w:r>
      <w:r>
        <w:rPr>
          <w:spacing w:val="-5"/>
        </w:rPr>
        <w:t> </w:t>
      </w:r>
      <w:r>
        <w:rPr/>
        <w:t>&lt;</w:t>
      </w:r>
      <w:r>
        <w:rPr>
          <w:spacing w:val="-6"/>
        </w:rPr>
        <w:t> </w:t>
      </w:r>
      <w:r>
        <w:rPr/>
        <w:t>0.05</w:t>
      </w:r>
      <w:r>
        <w:rPr>
          <w:spacing w:val="-4"/>
        </w:rPr>
        <w:t> </w:t>
      </w:r>
      <w:r>
        <w:rPr/>
        <w:t>=&gt;</w:t>
      </w:r>
      <w:r>
        <w:rPr>
          <w:spacing w:val="-6"/>
        </w:rPr>
        <w:t> </w:t>
      </w:r>
      <w:r>
        <w:rPr/>
        <w:t>HO</w:t>
      </w:r>
      <w:r>
        <w:rPr>
          <w:spacing w:val="-4"/>
        </w:rPr>
        <w:t> Rjt.</w:t>
      </w:r>
    </w:p>
    <w:p>
      <w:pPr>
        <w:pStyle w:val="BodyText"/>
        <w:spacing w:line="480" w:lineRule="auto" w:before="273"/>
        <w:ind w:left="840" w:right="555" w:firstLine="720"/>
        <w:jc w:val="both"/>
      </w:pPr>
      <w:r>
        <w:rPr/>
        <w:t>It is evident from table 4.5.26, that the computed F. probability is 0.0331. This is below the accepted P-value of 0.05 level of significance adopted for the study.</w:t>
      </w:r>
      <w:r>
        <w:rPr>
          <w:spacing w:val="40"/>
        </w:rPr>
        <w:t> </w:t>
      </w:r>
      <w:r>
        <w:rPr/>
        <w:t>The</w:t>
      </w:r>
      <w:r>
        <w:rPr>
          <w:spacing w:val="40"/>
        </w:rPr>
        <w:t> </w:t>
      </w:r>
      <w:r>
        <w:rPr/>
        <w:t>HO</w:t>
      </w:r>
      <w:r>
        <w:rPr>
          <w:spacing w:val="39"/>
        </w:rPr>
        <w:t> </w:t>
      </w:r>
      <w:r>
        <w:rPr/>
        <w:t>was</w:t>
      </w:r>
      <w:r>
        <w:rPr>
          <w:spacing w:val="39"/>
        </w:rPr>
        <w:t> </w:t>
      </w:r>
      <w:r>
        <w:rPr/>
        <w:t>rejected.</w:t>
      </w:r>
      <w:r>
        <w:rPr>
          <w:spacing w:val="40"/>
        </w:rPr>
        <w:t>  </w:t>
      </w:r>
      <w:r>
        <w:rPr/>
        <w:t>Therefore,</w:t>
      </w:r>
      <w:r>
        <w:rPr>
          <w:spacing w:val="35"/>
        </w:rPr>
        <w:t> </w:t>
      </w:r>
      <w:r>
        <w:rPr/>
        <w:t>it</w:t>
      </w:r>
      <w:r>
        <w:rPr>
          <w:spacing w:val="39"/>
        </w:rPr>
        <w:t> </w:t>
      </w:r>
      <w:r>
        <w:rPr/>
        <w:t>is</w:t>
      </w:r>
      <w:r>
        <w:rPr>
          <w:spacing w:val="39"/>
        </w:rPr>
        <w:t> </w:t>
      </w:r>
      <w:r>
        <w:rPr/>
        <w:t>to</w:t>
      </w:r>
      <w:r>
        <w:rPr>
          <w:spacing w:val="40"/>
        </w:rPr>
        <w:t> </w:t>
      </w:r>
      <w:r>
        <w:rPr/>
        <w:t>be</w:t>
      </w:r>
      <w:r>
        <w:rPr>
          <w:spacing w:val="40"/>
        </w:rPr>
        <w:t> </w:t>
      </w:r>
      <w:r>
        <w:rPr/>
        <w:t>concluded</w:t>
      </w:r>
      <w:r>
        <w:rPr>
          <w:spacing w:val="40"/>
        </w:rPr>
        <w:t> </w:t>
      </w:r>
      <w:r>
        <w:rPr/>
        <w:t>that</w:t>
      </w:r>
      <w:r>
        <w:rPr>
          <w:spacing w:val="40"/>
        </w:rPr>
        <w:t> </w:t>
      </w:r>
      <w:r>
        <w:rPr>
          <w:spacing w:val="-2"/>
        </w:rPr>
        <w:t>significant</w:t>
      </w:r>
    </w:p>
    <w:p>
      <w:pPr>
        <w:spacing w:after="0" w:line="480" w:lineRule="auto"/>
        <w:jc w:val="both"/>
        <w:sectPr>
          <w:headerReference w:type="default" r:id="rId469"/>
          <w:footerReference w:type="default" r:id="rId470"/>
          <w:pgSz w:w="12240" w:h="15840"/>
          <w:pgMar w:header="722" w:footer="791" w:top="980" w:bottom="980" w:left="1320" w:right="880"/>
        </w:sectPr>
      </w:pPr>
    </w:p>
    <w:p>
      <w:pPr>
        <w:pStyle w:val="BodyText"/>
        <w:spacing w:before="171"/>
      </w:pPr>
    </w:p>
    <w:p>
      <w:pPr>
        <w:pStyle w:val="BodyText"/>
        <w:spacing w:line="480" w:lineRule="auto"/>
        <w:ind w:left="840" w:right="556"/>
        <w:jc w:val="both"/>
      </w:pPr>
      <w:r>
        <w:rPr/>
        <w:t>differences existed in the opinions of respondents in respect of the impact of the classroom, laboratory, workshop and field work facilities on the students’ welfare in the universities. To determine the degree of relationship in the opinions of the respondents on the impact of the classroom, laboratory, field trip, facilities and workshop on the students’ welfare</w:t>
      </w:r>
      <w:r>
        <w:rPr>
          <w:spacing w:val="-3"/>
        </w:rPr>
        <w:t> </w:t>
      </w:r>
      <w:r>
        <w:rPr/>
        <w:t>in the universities. Scheffe’s test was adopted and the result was recorded and presented in Table 4.5.27 below.</w:t>
      </w:r>
    </w:p>
    <w:p>
      <w:pPr>
        <w:pStyle w:val="Heading2"/>
        <w:spacing w:after="4"/>
        <w:ind w:left="2568" w:right="562" w:hanging="1728"/>
        <w:jc w:val="both"/>
      </w:pPr>
      <w:r>
        <w:rPr/>
        <w:t>Table</w:t>
      </w:r>
      <w:r>
        <w:rPr>
          <w:spacing w:val="-18"/>
        </w:rPr>
        <w:t> </w:t>
      </w:r>
      <w:r>
        <w:rPr/>
        <w:t>4.5.27:</w:t>
      </w:r>
      <w:r>
        <w:rPr>
          <w:spacing w:val="-19"/>
        </w:rPr>
        <w:t> </w:t>
      </w:r>
      <w:r>
        <w:rPr/>
        <w:t>Scheffe’s</w:t>
      </w:r>
      <w:r>
        <w:rPr>
          <w:spacing w:val="-5"/>
        </w:rPr>
        <w:t> </w:t>
      </w:r>
      <w:r>
        <w:rPr/>
        <w:t>Multiple</w:t>
      </w:r>
      <w:r>
        <w:rPr>
          <w:spacing w:val="-6"/>
        </w:rPr>
        <w:t> </w:t>
      </w:r>
      <w:r>
        <w:rPr/>
        <w:t>Comparison</w:t>
      </w:r>
      <w:r>
        <w:rPr>
          <w:spacing w:val="-6"/>
        </w:rPr>
        <w:t> </w:t>
      </w:r>
      <w:r>
        <w:rPr/>
        <w:t>Test</w:t>
      </w:r>
      <w:r>
        <w:rPr>
          <w:spacing w:val="-6"/>
        </w:rPr>
        <w:t> </w:t>
      </w:r>
      <w:r>
        <w:rPr/>
        <w:t>on</w:t>
      </w:r>
      <w:r>
        <w:rPr>
          <w:spacing w:val="-6"/>
        </w:rPr>
        <w:t> </w:t>
      </w:r>
      <w:r>
        <w:rPr/>
        <w:t>the</w:t>
      </w:r>
      <w:r>
        <w:rPr>
          <w:spacing w:val="-6"/>
        </w:rPr>
        <w:t> </w:t>
      </w:r>
      <w:r>
        <w:rPr/>
        <w:t>opinions of respondents on the impact of classrooms, laboratory, workshops</w:t>
      </w:r>
      <w:r>
        <w:rPr>
          <w:spacing w:val="40"/>
        </w:rPr>
        <w:t> </w:t>
      </w:r>
      <w:r>
        <w:rPr/>
        <w:t>and field trips etc on the students’ welfare in</w:t>
      </w:r>
      <w:r>
        <w:rPr>
          <w:spacing w:val="40"/>
        </w:rPr>
        <w:t> </w:t>
      </w:r>
      <w:r>
        <w:rPr/>
        <w:t>universities</w:t>
      </w:r>
    </w:p>
    <w:tbl>
      <w:tblPr>
        <w:tblW w:w="0" w:type="auto"/>
        <w:jc w:val="left"/>
        <w:tblInd w:w="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97"/>
        <w:gridCol w:w="1519"/>
        <w:gridCol w:w="1665"/>
        <w:gridCol w:w="1513"/>
        <w:gridCol w:w="1288"/>
        <w:gridCol w:w="1310"/>
      </w:tblGrid>
      <w:tr>
        <w:trPr>
          <w:trHeight w:val="830" w:hRule="atLeast"/>
        </w:trPr>
        <w:tc>
          <w:tcPr>
            <w:tcW w:w="1797" w:type="dxa"/>
            <w:tcBorders>
              <w:top w:val="single" w:sz="4" w:space="0" w:color="000000"/>
              <w:left w:val="single" w:sz="4" w:space="0" w:color="000000"/>
              <w:bottom w:val="single" w:sz="4" w:space="0" w:color="000000"/>
            </w:tcBorders>
          </w:tcPr>
          <w:p>
            <w:pPr>
              <w:pStyle w:val="TableParagraph"/>
              <w:spacing w:line="242" w:lineRule="auto"/>
              <w:ind w:left="95"/>
              <w:rPr>
                <w:sz w:val="24"/>
              </w:rPr>
            </w:pPr>
            <w:r>
              <w:rPr>
                <w:spacing w:val="-2"/>
                <w:sz w:val="24"/>
              </w:rPr>
              <w:t>Dependent Variable</w:t>
            </w:r>
          </w:p>
        </w:tc>
        <w:tc>
          <w:tcPr>
            <w:tcW w:w="1519" w:type="dxa"/>
            <w:tcBorders>
              <w:top w:val="single" w:sz="4" w:space="0" w:color="000000"/>
              <w:bottom w:val="single" w:sz="4" w:space="0" w:color="000000"/>
            </w:tcBorders>
          </w:tcPr>
          <w:p>
            <w:pPr>
              <w:pStyle w:val="TableParagraph"/>
              <w:spacing w:line="271" w:lineRule="exact"/>
              <w:ind w:left="103"/>
              <w:rPr>
                <w:sz w:val="24"/>
              </w:rPr>
            </w:pPr>
            <w:r>
              <w:rPr>
                <w:sz w:val="24"/>
              </w:rPr>
              <w:t>(I) </w:t>
            </w:r>
            <w:r>
              <w:rPr>
                <w:spacing w:val="-2"/>
                <w:sz w:val="24"/>
              </w:rPr>
              <w:t>Status</w:t>
            </w:r>
          </w:p>
        </w:tc>
        <w:tc>
          <w:tcPr>
            <w:tcW w:w="1665" w:type="dxa"/>
            <w:tcBorders>
              <w:top w:val="single" w:sz="4" w:space="0" w:color="000000"/>
              <w:bottom w:val="single" w:sz="4" w:space="0" w:color="000000"/>
            </w:tcBorders>
          </w:tcPr>
          <w:p>
            <w:pPr>
              <w:pStyle w:val="TableParagraph"/>
              <w:spacing w:line="271" w:lineRule="exact"/>
              <w:ind w:left="293"/>
              <w:rPr>
                <w:sz w:val="24"/>
              </w:rPr>
            </w:pPr>
            <w:r>
              <w:rPr>
                <w:sz w:val="24"/>
              </w:rPr>
              <w:t>(J) </w:t>
            </w:r>
            <w:r>
              <w:rPr>
                <w:spacing w:val="-2"/>
                <w:sz w:val="24"/>
              </w:rPr>
              <w:t>Status</w:t>
            </w:r>
          </w:p>
        </w:tc>
        <w:tc>
          <w:tcPr>
            <w:tcW w:w="1513" w:type="dxa"/>
            <w:tcBorders>
              <w:top w:val="single" w:sz="4" w:space="0" w:color="000000"/>
              <w:bottom w:val="single" w:sz="4" w:space="0" w:color="000000"/>
            </w:tcBorders>
          </w:tcPr>
          <w:p>
            <w:pPr>
              <w:pStyle w:val="TableParagraph"/>
              <w:spacing w:line="271" w:lineRule="exact"/>
              <w:ind w:left="251"/>
              <w:rPr>
                <w:sz w:val="24"/>
              </w:rPr>
            </w:pPr>
            <w:r>
              <w:rPr>
                <w:spacing w:val="-4"/>
                <w:sz w:val="24"/>
              </w:rPr>
              <w:t>Mean</w:t>
            </w:r>
          </w:p>
          <w:p>
            <w:pPr>
              <w:pStyle w:val="TableParagraph"/>
              <w:spacing w:line="274" w:lineRule="exact"/>
              <w:ind w:left="251" w:right="162"/>
              <w:rPr>
                <w:sz w:val="24"/>
              </w:rPr>
            </w:pPr>
            <w:r>
              <w:rPr>
                <w:spacing w:val="-2"/>
                <w:sz w:val="24"/>
              </w:rPr>
              <w:t>Difference (I-J)</w:t>
            </w:r>
          </w:p>
        </w:tc>
        <w:tc>
          <w:tcPr>
            <w:tcW w:w="1288" w:type="dxa"/>
            <w:tcBorders>
              <w:top w:val="single" w:sz="4" w:space="0" w:color="000000"/>
              <w:bottom w:val="single" w:sz="4" w:space="0" w:color="000000"/>
            </w:tcBorders>
          </w:tcPr>
          <w:p>
            <w:pPr>
              <w:pStyle w:val="TableParagraph"/>
              <w:spacing w:line="242" w:lineRule="auto" w:before="134"/>
              <w:ind w:left="178"/>
              <w:rPr>
                <w:sz w:val="24"/>
              </w:rPr>
            </w:pPr>
            <w:r>
              <w:rPr>
                <w:spacing w:val="-2"/>
                <w:sz w:val="24"/>
              </w:rPr>
              <w:t>Standard Error</w:t>
            </w:r>
          </w:p>
        </w:tc>
        <w:tc>
          <w:tcPr>
            <w:tcW w:w="1310" w:type="dxa"/>
            <w:tcBorders>
              <w:top w:val="single" w:sz="4" w:space="0" w:color="000000"/>
              <w:bottom w:val="single" w:sz="4" w:space="0" w:color="000000"/>
              <w:right w:val="single" w:sz="4" w:space="0" w:color="000000"/>
            </w:tcBorders>
          </w:tcPr>
          <w:p>
            <w:pPr>
              <w:pStyle w:val="TableParagraph"/>
              <w:spacing w:line="242" w:lineRule="auto" w:before="134"/>
              <w:ind w:left="147"/>
              <w:rPr>
                <w:sz w:val="24"/>
              </w:rPr>
            </w:pPr>
            <w:r>
              <w:rPr>
                <w:spacing w:val="-2"/>
                <w:sz w:val="24"/>
              </w:rPr>
              <w:t>Signifi- </w:t>
            </w:r>
            <w:r>
              <w:rPr>
                <w:spacing w:val="-4"/>
                <w:sz w:val="24"/>
              </w:rPr>
              <w:t>cance</w:t>
            </w:r>
          </w:p>
        </w:tc>
      </w:tr>
      <w:tr>
        <w:trPr>
          <w:trHeight w:val="274" w:hRule="atLeast"/>
        </w:trPr>
        <w:tc>
          <w:tcPr>
            <w:tcW w:w="1797" w:type="dxa"/>
            <w:tcBorders>
              <w:top w:val="single" w:sz="4" w:space="0" w:color="000000"/>
              <w:left w:val="single" w:sz="4" w:space="0" w:color="000000"/>
            </w:tcBorders>
          </w:tcPr>
          <w:p>
            <w:pPr>
              <w:pStyle w:val="TableParagraph"/>
              <w:rPr>
                <w:rFonts w:ascii="Times New Roman"/>
                <w:sz w:val="20"/>
              </w:rPr>
            </w:pPr>
          </w:p>
        </w:tc>
        <w:tc>
          <w:tcPr>
            <w:tcW w:w="1519" w:type="dxa"/>
            <w:tcBorders>
              <w:top w:val="single" w:sz="4" w:space="0" w:color="000000"/>
            </w:tcBorders>
          </w:tcPr>
          <w:p>
            <w:pPr>
              <w:pStyle w:val="TableParagraph"/>
              <w:spacing w:line="254" w:lineRule="exact"/>
              <w:ind w:left="103"/>
              <w:rPr>
                <w:sz w:val="24"/>
              </w:rPr>
            </w:pPr>
            <w:r>
              <w:rPr>
                <w:spacing w:val="-2"/>
                <w:sz w:val="24"/>
              </w:rPr>
              <w:t>Student</w:t>
            </w:r>
          </w:p>
        </w:tc>
        <w:tc>
          <w:tcPr>
            <w:tcW w:w="1665" w:type="dxa"/>
            <w:tcBorders>
              <w:top w:val="single" w:sz="4" w:space="0" w:color="000000"/>
            </w:tcBorders>
          </w:tcPr>
          <w:p>
            <w:pPr>
              <w:pStyle w:val="TableParagraph"/>
              <w:spacing w:line="254" w:lineRule="exact"/>
              <w:ind w:left="293"/>
              <w:rPr>
                <w:sz w:val="24"/>
              </w:rPr>
            </w:pPr>
            <w:r>
              <w:rPr>
                <w:spacing w:val="-4"/>
                <w:sz w:val="24"/>
              </w:rPr>
              <w:t>Staff</w:t>
            </w:r>
          </w:p>
        </w:tc>
        <w:tc>
          <w:tcPr>
            <w:tcW w:w="1513" w:type="dxa"/>
            <w:tcBorders>
              <w:top w:val="single" w:sz="4" w:space="0" w:color="000000"/>
            </w:tcBorders>
          </w:tcPr>
          <w:p>
            <w:pPr>
              <w:pStyle w:val="TableParagraph"/>
              <w:spacing w:line="254" w:lineRule="exact"/>
              <w:ind w:left="251"/>
              <w:rPr>
                <w:sz w:val="24"/>
              </w:rPr>
            </w:pPr>
            <w:r>
              <w:rPr>
                <w:spacing w:val="-2"/>
                <w:sz w:val="24"/>
              </w:rPr>
              <w:t>.1875(*)</w:t>
            </w:r>
          </w:p>
        </w:tc>
        <w:tc>
          <w:tcPr>
            <w:tcW w:w="1288" w:type="dxa"/>
            <w:tcBorders>
              <w:top w:val="single" w:sz="4" w:space="0" w:color="000000"/>
            </w:tcBorders>
          </w:tcPr>
          <w:p>
            <w:pPr>
              <w:pStyle w:val="TableParagraph"/>
              <w:spacing w:line="254" w:lineRule="exact"/>
              <w:ind w:left="178"/>
              <w:rPr>
                <w:sz w:val="24"/>
              </w:rPr>
            </w:pPr>
            <w:r>
              <w:rPr>
                <w:spacing w:val="-2"/>
                <w:sz w:val="24"/>
              </w:rPr>
              <w:t>.1682</w:t>
            </w:r>
          </w:p>
        </w:tc>
        <w:tc>
          <w:tcPr>
            <w:tcW w:w="1310" w:type="dxa"/>
            <w:tcBorders>
              <w:top w:val="single" w:sz="4" w:space="0" w:color="000000"/>
              <w:right w:val="single" w:sz="4" w:space="0" w:color="000000"/>
            </w:tcBorders>
          </w:tcPr>
          <w:p>
            <w:pPr>
              <w:pStyle w:val="TableParagraph"/>
              <w:spacing w:line="254" w:lineRule="exact"/>
              <w:ind w:left="147"/>
              <w:rPr>
                <w:sz w:val="24"/>
              </w:rPr>
            </w:pPr>
            <w:r>
              <w:rPr>
                <w:spacing w:val="-2"/>
                <w:sz w:val="24"/>
              </w:rPr>
              <w:t>.0.14</w:t>
            </w:r>
          </w:p>
        </w:tc>
      </w:tr>
      <w:tr>
        <w:trPr>
          <w:trHeight w:val="276" w:hRule="atLeast"/>
        </w:trPr>
        <w:tc>
          <w:tcPr>
            <w:tcW w:w="1797" w:type="dxa"/>
            <w:tcBorders>
              <w:left w:val="single" w:sz="4" w:space="0" w:color="000000"/>
            </w:tcBorders>
          </w:tcPr>
          <w:p>
            <w:pPr>
              <w:pStyle w:val="TableParagraph"/>
              <w:rPr>
                <w:rFonts w:ascii="Times New Roman"/>
                <w:sz w:val="20"/>
              </w:rPr>
            </w:pPr>
          </w:p>
        </w:tc>
        <w:tc>
          <w:tcPr>
            <w:tcW w:w="1519" w:type="dxa"/>
          </w:tcPr>
          <w:p>
            <w:pPr>
              <w:pStyle w:val="TableParagraph"/>
              <w:rPr>
                <w:rFonts w:ascii="Times New Roman"/>
                <w:sz w:val="20"/>
              </w:rPr>
            </w:pPr>
          </w:p>
        </w:tc>
        <w:tc>
          <w:tcPr>
            <w:tcW w:w="1665" w:type="dxa"/>
          </w:tcPr>
          <w:p>
            <w:pPr>
              <w:pStyle w:val="TableParagraph"/>
              <w:spacing w:line="256" w:lineRule="exact"/>
              <w:ind w:left="293"/>
              <w:rPr>
                <w:sz w:val="24"/>
              </w:rPr>
            </w:pPr>
            <w:r>
              <w:rPr>
                <w:spacing w:val="-2"/>
                <w:sz w:val="24"/>
              </w:rPr>
              <w:t>Managmet</w:t>
            </w:r>
          </w:p>
        </w:tc>
        <w:tc>
          <w:tcPr>
            <w:tcW w:w="1513" w:type="dxa"/>
          </w:tcPr>
          <w:p>
            <w:pPr>
              <w:pStyle w:val="TableParagraph"/>
              <w:spacing w:line="256" w:lineRule="exact"/>
              <w:ind w:left="251"/>
              <w:rPr>
                <w:sz w:val="24"/>
              </w:rPr>
            </w:pPr>
            <w:r>
              <w:rPr>
                <w:sz w:val="24"/>
              </w:rPr>
              <w:t>-</w:t>
            </w:r>
            <w:r>
              <w:rPr>
                <w:spacing w:val="-2"/>
                <w:sz w:val="24"/>
              </w:rPr>
              <w:t>.1347</w:t>
            </w:r>
          </w:p>
        </w:tc>
        <w:tc>
          <w:tcPr>
            <w:tcW w:w="1288" w:type="dxa"/>
          </w:tcPr>
          <w:p>
            <w:pPr>
              <w:pStyle w:val="TableParagraph"/>
              <w:spacing w:line="256" w:lineRule="exact"/>
              <w:ind w:left="178"/>
              <w:rPr>
                <w:sz w:val="24"/>
              </w:rPr>
            </w:pPr>
            <w:r>
              <w:rPr>
                <w:spacing w:val="-2"/>
                <w:sz w:val="24"/>
              </w:rPr>
              <w:t>.1539</w:t>
            </w:r>
          </w:p>
        </w:tc>
        <w:tc>
          <w:tcPr>
            <w:tcW w:w="1310" w:type="dxa"/>
            <w:tcBorders>
              <w:right w:val="single" w:sz="4" w:space="0" w:color="000000"/>
            </w:tcBorders>
          </w:tcPr>
          <w:p>
            <w:pPr>
              <w:pStyle w:val="TableParagraph"/>
              <w:spacing w:line="256" w:lineRule="exact"/>
              <w:ind w:left="147"/>
              <w:rPr>
                <w:sz w:val="24"/>
              </w:rPr>
            </w:pPr>
            <w:r>
              <w:rPr>
                <w:spacing w:val="-4"/>
                <w:sz w:val="24"/>
              </w:rPr>
              <w:t>.682</w:t>
            </w:r>
          </w:p>
        </w:tc>
      </w:tr>
      <w:tr>
        <w:trPr>
          <w:trHeight w:val="275" w:hRule="atLeast"/>
        </w:trPr>
        <w:tc>
          <w:tcPr>
            <w:tcW w:w="1797" w:type="dxa"/>
            <w:tcBorders>
              <w:left w:val="single" w:sz="4" w:space="0" w:color="000000"/>
            </w:tcBorders>
          </w:tcPr>
          <w:p>
            <w:pPr>
              <w:pStyle w:val="TableParagraph"/>
              <w:spacing w:line="256" w:lineRule="exact"/>
              <w:ind w:left="95"/>
              <w:rPr>
                <w:sz w:val="24"/>
              </w:rPr>
            </w:pPr>
            <w:r>
              <w:rPr>
                <w:spacing w:val="-2"/>
                <w:sz w:val="24"/>
              </w:rPr>
              <w:t>Classroom,</w:t>
            </w:r>
          </w:p>
        </w:tc>
        <w:tc>
          <w:tcPr>
            <w:tcW w:w="1519" w:type="dxa"/>
          </w:tcPr>
          <w:p>
            <w:pPr>
              <w:pStyle w:val="TableParagraph"/>
              <w:spacing w:line="256" w:lineRule="exact"/>
              <w:ind w:left="103"/>
              <w:rPr>
                <w:sz w:val="24"/>
              </w:rPr>
            </w:pPr>
            <w:r>
              <w:rPr>
                <w:spacing w:val="-4"/>
                <w:sz w:val="24"/>
              </w:rPr>
              <w:t>Staff</w:t>
            </w:r>
          </w:p>
        </w:tc>
        <w:tc>
          <w:tcPr>
            <w:tcW w:w="1665" w:type="dxa"/>
          </w:tcPr>
          <w:p>
            <w:pPr>
              <w:pStyle w:val="TableParagraph"/>
              <w:spacing w:line="256" w:lineRule="exact"/>
              <w:ind w:left="293"/>
              <w:rPr>
                <w:sz w:val="24"/>
              </w:rPr>
            </w:pPr>
            <w:r>
              <w:rPr>
                <w:spacing w:val="-2"/>
                <w:sz w:val="24"/>
              </w:rPr>
              <w:t>Student</w:t>
            </w:r>
          </w:p>
        </w:tc>
        <w:tc>
          <w:tcPr>
            <w:tcW w:w="1513" w:type="dxa"/>
          </w:tcPr>
          <w:p>
            <w:pPr>
              <w:pStyle w:val="TableParagraph"/>
              <w:spacing w:line="256" w:lineRule="exact"/>
              <w:ind w:left="251"/>
              <w:rPr>
                <w:sz w:val="24"/>
              </w:rPr>
            </w:pPr>
            <w:r>
              <w:rPr>
                <w:sz w:val="24"/>
              </w:rPr>
              <w:t>-</w:t>
            </w:r>
            <w:r>
              <w:rPr>
                <w:spacing w:val="-2"/>
                <w:sz w:val="24"/>
              </w:rPr>
              <w:t>.1875(*)</w:t>
            </w:r>
          </w:p>
        </w:tc>
        <w:tc>
          <w:tcPr>
            <w:tcW w:w="1288" w:type="dxa"/>
          </w:tcPr>
          <w:p>
            <w:pPr>
              <w:pStyle w:val="TableParagraph"/>
              <w:spacing w:line="256" w:lineRule="exact"/>
              <w:ind w:left="178"/>
              <w:rPr>
                <w:sz w:val="24"/>
              </w:rPr>
            </w:pPr>
            <w:r>
              <w:rPr>
                <w:spacing w:val="-2"/>
                <w:sz w:val="24"/>
              </w:rPr>
              <w:t>.1682</w:t>
            </w:r>
          </w:p>
        </w:tc>
        <w:tc>
          <w:tcPr>
            <w:tcW w:w="1310" w:type="dxa"/>
            <w:tcBorders>
              <w:right w:val="single" w:sz="4" w:space="0" w:color="000000"/>
            </w:tcBorders>
          </w:tcPr>
          <w:p>
            <w:pPr>
              <w:pStyle w:val="TableParagraph"/>
              <w:spacing w:line="256" w:lineRule="exact"/>
              <w:ind w:left="147"/>
              <w:rPr>
                <w:sz w:val="24"/>
              </w:rPr>
            </w:pPr>
            <w:r>
              <w:rPr>
                <w:spacing w:val="-2"/>
                <w:sz w:val="24"/>
              </w:rPr>
              <w:t>.0.14</w:t>
            </w:r>
          </w:p>
        </w:tc>
      </w:tr>
      <w:tr>
        <w:trPr>
          <w:trHeight w:val="276" w:hRule="atLeast"/>
        </w:trPr>
        <w:tc>
          <w:tcPr>
            <w:tcW w:w="1797" w:type="dxa"/>
            <w:tcBorders>
              <w:left w:val="single" w:sz="4" w:space="0" w:color="000000"/>
            </w:tcBorders>
          </w:tcPr>
          <w:p>
            <w:pPr>
              <w:pStyle w:val="TableParagraph"/>
              <w:spacing w:line="256" w:lineRule="exact"/>
              <w:ind w:left="95"/>
              <w:rPr>
                <w:sz w:val="24"/>
              </w:rPr>
            </w:pPr>
            <w:r>
              <w:rPr>
                <w:sz w:val="24"/>
              </w:rPr>
              <w:t>Labs,</w:t>
            </w:r>
            <w:r>
              <w:rPr>
                <w:spacing w:val="-12"/>
                <w:sz w:val="24"/>
              </w:rPr>
              <w:t> </w:t>
            </w:r>
            <w:r>
              <w:rPr>
                <w:spacing w:val="-2"/>
                <w:sz w:val="24"/>
              </w:rPr>
              <w:t>W/Shop,</w:t>
            </w:r>
          </w:p>
        </w:tc>
        <w:tc>
          <w:tcPr>
            <w:tcW w:w="1519" w:type="dxa"/>
          </w:tcPr>
          <w:p>
            <w:pPr>
              <w:pStyle w:val="TableParagraph"/>
              <w:rPr>
                <w:rFonts w:ascii="Times New Roman"/>
                <w:sz w:val="20"/>
              </w:rPr>
            </w:pPr>
          </w:p>
        </w:tc>
        <w:tc>
          <w:tcPr>
            <w:tcW w:w="1665" w:type="dxa"/>
          </w:tcPr>
          <w:p>
            <w:pPr>
              <w:pStyle w:val="TableParagraph"/>
              <w:spacing w:line="256" w:lineRule="exact"/>
              <w:ind w:left="293"/>
              <w:rPr>
                <w:sz w:val="24"/>
              </w:rPr>
            </w:pPr>
            <w:r>
              <w:rPr>
                <w:spacing w:val="-2"/>
                <w:sz w:val="24"/>
              </w:rPr>
              <w:t>Managmet</w:t>
            </w:r>
          </w:p>
        </w:tc>
        <w:tc>
          <w:tcPr>
            <w:tcW w:w="1513" w:type="dxa"/>
          </w:tcPr>
          <w:p>
            <w:pPr>
              <w:pStyle w:val="TableParagraph"/>
              <w:spacing w:line="256" w:lineRule="exact"/>
              <w:ind w:left="251"/>
              <w:rPr>
                <w:sz w:val="24"/>
              </w:rPr>
            </w:pPr>
            <w:r>
              <w:rPr>
                <w:sz w:val="24"/>
              </w:rPr>
              <w:t>-</w:t>
            </w:r>
            <w:r>
              <w:rPr>
                <w:spacing w:val="-2"/>
                <w:sz w:val="24"/>
              </w:rPr>
              <w:t>.2223</w:t>
            </w:r>
          </w:p>
        </w:tc>
        <w:tc>
          <w:tcPr>
            <w:tcW w:w="1288" w:type="dxa"/>
          </w:tcPr>
          <w:p>
            <w:pPr>
              <w:pStyle w:val="TableParagraph"/>
              <w:spacing w:line="256" w:lineRule="exact"/>
              <w:ind w:left="178"/>
              <w:rPr>
                <w:sz w:val="24"/>
              </w:rPr>
            </w:pPr>
            <w:r>
              <w:rPr>
                <w:spacing w:val="-2"/>
                <w:sz w:val="24"/>
              </w:rPr>
              <w:t>.1552</w:t>
            </w:r>
          </w:p>
        </w:tc>
        <w:tc>
          <w:tcPr>
            <w:tcW w:w="1310" w:type="dxa"/>
            <w:tcBorders>
              <w:right w:val="single" w:sz="4" w:space="0" w:color="000000"/>
            </w:tcBorders>
          </w:tcPr>
          <w:p>
            <w:pPr>
              <w:pStyle w:val="TableParagraph"/>
              <w:spacing w:line="256" w:lineRule="exact"/>
              <w:ind w:left="147"/>
              <w:rPr>
                <w:sz w:val="24"/>
              </w:rPr>
            </w:pPr>
            <w:r>
              <w:rPr>
                <w:spacing w:val="-4"/>
                <w:sz w:val="24"/>
              </w:rPr>
              <w:t>.359</w:t>
            </w:r>
          </w:p>
        </w:tc>
      </w:tr>
      <w:tr>
        <w:trPr>
          <w:trHeight w:val="276" w:hRule="atLeast"/>
        </w:trPr>
        <w:tc>
          <w:tcPr>
            <w:tcW w:w="1797" w:type="dxa"/>
            <w:tcBorders>
              <w:left w:val="single" w:sz="4" w:space="0" w:color="000000"/>
            </w:tcBorders>
          </w:tcPr>
          <w:p>
            <w:pPr>
              <w:pStyle w:val="TableParagraph"/>
              <w:spacing w:line="256" w:lineRule="exact"/>
              <w:ind w:left="95"/>
              <w:rPr>
                <w:sz w:val="24"/>
              </w:rPr>
            </w:pPr>
            <w:r>
              <w:rPr>
                <w:sz w:val="24"/>
              </w:rPr>
              <w:t>Field</w:t>
            </w:r>
            <w:r>
              <w:rPr>
                <w:spacing w:val="-5"/>
                <w:sz w:val="24"/>
              </w:rPr>
              <w:t> </w:t>
            </w:r>
            <w:r>
              <w:rPr>
                <w:sz w:val="24"/>
              </w:rPr>
              <w:t>Trips</w:t>
            </w:r>
            <w:r>
              <w:rPr>
                <w:spacing w:val="-6"/>
                <w:sz w:val="24"/>
              </w:rPr>
              <w:t> </w:t>
            </w:r>
            <w:r>
              <w:rPr>
                <w:spacing w:val="-4"/>
                <w:sz w:val="24"/>
              </w:rPr>
              <w:t>Etc.</w:t>
            </w:r>
          </w:p>
        </w:tc>
        <w:tc>
          <w:tcPr>
            <w:tcW w:w="1519" w:type="dxa"/>
          </w:tcPr>
          <w:p>
            <w:pPr>
              <w:pStyle w:val="TableParagraph"/>
              <w:spacing w:line="256" w:lineRule="exact"/>
              <w:ind w:left="103"/>
              <w:rPr>
                <w:sz w:val="24"/>
              </w:rPr>
            </w:pPr>
            <w:r>
              <w:rPr>
                <w:spacing w:val="-2"/>
                <w:sz w:val="24"/>
              </w:rPr>
              <w:t>Managmet</w:t>
            </w:r>
          </w:p>
        </w:tc>
        <w:tc>
          <w:tcPr>
            <w:tcW w:w="1665" w:type="dxa"/>
          </w:tcPr>
          <w:p>
            <w:pPr>
              <w:pStyle w:val="TableParagraph"/>
              <w:spacing w:line="256" w:lineRule="exact"/>
              <w:ind w:left="293"/>
              <w:rPr>
                <w:sz w:val="24"/>
              </w:rPr>
            </w:pPr>
            <w:r>
              <w:rPr>
                <w:spacing w:val="-2"/>
                <w:sz w:val="24"/>
              </w:rPr>
              <w:t>Student</w:t>
            </w:r>
          </w:p>
        </w:tc>
        <w:tc>
          <w:tcPr>
            <w:tcW w:w="1513" w:type="dxa"/>
          </w:tcPr>
          <w:p>
            <w:pPr>
              <w:pStyle w:val="TableParagraph"/>
              <w:spacing w:line="256" w:lineRule="exact"/>
              <w:ind w:left="251"/>
              <w:rPr>
                <w:sz w:val="24"/>
              </w:rPr>
            </w:pPr>
            <w:r>
              <w:rPr>
                <w:spacing w:val="-2"/>
                <w:sz w:val="24"/>
              </w:rPr>
              <w:t>.1347</w:t>
            </w:r>
          </w:p>
        </w:tc>
        <w:tc>
          <w:tcPr>
            <w:tcW w:w="1288" w:type="dxa"/>
          </w:tcPr>
          <w:p>
            <w:pPr>
              <w:pStyle w:val="TableParagraph"/>
              <w:spacing w:line="256" w:lineRule="exact"/>
              <w:ind w:left="178"/>
              <w:rPr>
                <w:sz w:val="24"/>
              </w:rPr>
            </w:pPr>
            <w:r>
              <w:rPr>
                <w:spacing w:val="-2"/>
                <w:sz w:val="24"/>
              </w:rPr>
              <w:t>.1539</w:t>
            </w:r>
          </w:p>
        </w:tc>
        <w:tc>
          <w:tcPr>
            <w:tcW w:w="1310" w:type="dxa"/>
            <w:tcBorders>
              <w:right w:val="single" w:sz="4" w:space="0" w:color="000000"/>
            </w:tcBorders>
          </w:tcPr>
          <w:p>
            <w:pPr>
              <w:pStyle w:val="TableParagraph"/>
              <w:spacing w:line="256" w:lineRule="exact"/>
              <w:ind w:left="147"/>
              <w:rPr>
                <w:sz w:val="24"/>
              </w:rPr>
            </w:pPr>
            <w:r>
              <w:rPr>
                <w:spacing w:val="-4"/>
                <w:sz w:val="24"/>
              </w:rPr>
              <w:t>.682</w:t>
            </w:r>
          </w:p>
        </w:tc>
      </w:tr>
      <w:tr>
        <w:trPr>
          <w:trHeight w:val="277" w:hRule="atLeast"/>
        </w:trPr>
        <w:tc>
          <w:tcPr>
            <w:tcW w:w="1797" w:type="dxa"/>
            <w:tcBorders>
              <w:left w:val="single" w:sz="4" w:space="0" w:color="000000"/>
              <w:bottom w:val="single" w:sz="4" w:space="0" w:color="000000"/>
            </w:tcBorders>
          </w:tcPr>
          <w:p>
            <w:pPr>
              <w:pStyle w:val="TableParagraph"/>
              <w:rPr>
                <w:rFonts w:ascii="Times New Roman"/>
                <w:sz w:val="20"/>
              </w:rPr>
            </w:pPr>
          </w:p>
        </w:tc>
        <w:tc>
          <w:tcPr>
            <w:tcW w:w="1519" w:type="dxa"/>
            <w:tcBorders>
              <w:bottom w:val="single" w:sz="4" w:space="0" w:color="000000"/>
            </w:tcBorders>
          </w:tcPr>
          <w:p>
            <w:pPr>
              <w:pStyle w:val="TableParagraph"/>
              <w:rPr>
                <w:rFonts w:ascii="Times New Roman"/>
                <w:sz w:val="20"/>
              </w:rPr>
            </w:pPr>
          </w:p>
        </w:tc>
        <w:tc>
          <w:tcPr>
            <w:tcW w:w="1665" w:type="dxa"/>
            <w:tcBorders>
              <w:bottom w:val="single" w:sz="4" w:space="0" w:color="000000"/>
            </w:tcBorders>
          </w:tcPr>
          <w:p>
            <w:pPr>
              <w:pStyle w:val="TableParagraph"/>
              <w:spacing w:line="257" w:lineRule="exact"/>
              <w:ind w:left="293"/>
              <w:rPr>
                <w:sz w:val="24"/>
              </w:rPr>
            </w:pPr>
            <w:r>
              <w:rPr>
                <w:spacing w:val="-4"/>
                <w:sz w:val="24"/>
              </w:rPr>
              <w:t>Staff</w:t>
            </w:r>
          </w:p>
        </w:tc>
        <w:tc>
          <w:tcPr>
            <w:tcW w:w="1513" w:type="dxa"/>
            <w:tcBorders>
              <w:bottom w:val="single" w:sz="4" w:space="0" w:color="000000"/>
            </w:tcBorders>
          </w:tcPr>
          <w:p>
            <w:pPr>
              <w:pStyle w:val="TableParagraph"/>
              <w:spacing w:line="257" w:lineRule="exact"/>
              <w:ind w:left="251"/>
              <w:rPr>
                <w:sz w:val="24"/>
              </w:rPr>
            </w:pPr>
            <w:r>
              <w:rPr>
                <w:spacing w:val="-2"/>
                <w:sz w:val="24"/>
              </w:rPr>
              <w:t>.2223</w:t>
            </w:r>
          </w:p>
        </w:tc>
        <w:tc>
          <w:tcPr>
            <w:tcW w:w="1288" w:type="dxa"/>
            <w:tcBorders>
              <w:bottom w:val="single" w:sz="4" w:space="0" w:color="000000"/>
            </w:tcBorders>
          </w:tcPr>
          <w:p>
            <w:pPr>
              <w:pStyle w:val="TableParagraph"/>
              <w:spacing w:line="257" w:lineRule="exact"/>
              <w:ind w:left="178"/>
              <w:rPr>
                <w:sz w:val="24"/>
              </w:rPr>
            </w:pPr>
            <w:r>
              <w:rPr>
                <w:spacing w:val="-2"/>
                <w:sz w:val="24"/>
              </w:rPr>
              <w:t>.1552</w:t>
            </w:r>
          </w:p>
        </w:tc>
        <w:tc>
          <w:tcPr>
            <w:tcW w:w="1310" w:type="dxa"/>
            <w:tcBorders>
              <w:bottom w:val="single" w:sz="4" w:space="0" w:color="000000"/>
              <w:right w:val="single" w:sz="4" w:space="0" w:color="000000"/>
            </w:tcBorders>
          </w:tcPr>
          <w:p>
            <w:pPr>
              <w:pStyle w:val="TableParagraph"/>
              <w:spacing w:line="257" w:lineRule="exact"/>
              <w:ind w:left="147"/>
              <w:rPr>
                <w:sz w:val="24"/>
              </w:rPr>
            </w:pPr>
            <w:r>
              <w:rPr>
                <w:spacing w:val="-4"/>
                <w:sz w:val="24"/>
              </w:rPr>
              <w:t>.359</w:t>
            </w:r>
          </w:p>
        </w:tc>
      </w:tr>
    </w:tbl>
    <w:p>
      <w:pPr>
        <w:pStyle w:val="BodyText"/>
        <w:ind w:left="840"/>
        <w:jc w:val="both"/>
      </w:pPr>
      <w:r>
        <w:rPr/>
        <w:t>*Mean</w:t>
      </w:r>
      <w:r>
        <w:rPr>
          <w:spacing w:val="-6"/>
        </w:rPr>
        <w:t> </w:t>
      </w:r>
      <w:r>
        <w:rPr/>
        <w:t>difference</w:t>
      </w:r>
      <w:r>
        <w:rPr>
          <w:spacing w:val="-8"/>
        </w:rPr>
        <w:t> </w:t>
      </w:r>
      <w:r>
        <w:rPr/>
        <w:t>is</w:t>
      </w:r>
      <w:r>
        <w:rPr>
          <w:spacing w:val="-6"/>
        </w:rPr>
        <w:t> </w:t>
      </w:r>
      <w:r>
        <w:rPr/>
        <w:t>significance</w:t>
      </w:r>
      <w:r>
        <w:rPr>
          <w:spacing w:val="-5"/>
        </w:rPr>
        <w:t> </w:t>
      </w:r>
      <w:r>
        <w:rPr/>
        <w:t>at</w:t>
      </w:r>
      <w:r>
        <w:rPr>
          <w:spacing w:val="-10"/>
        </w:rPr>
        <w:t> </w:t>
      </w:r>
      <w:r>
        <w:rPr/>
        <w:t>.05</w:t>
      </w:r>
      <w:r>
        <w:rPr>
          <w:spacing w:val="-9"/>
        </w:rPr>
        <w:t> </w:t>
      </w:r>
      <w:r>
        <w:rPr>
          <w:spacing w:val="-4"/>
        </w:rPr>
        <w:t>level</w:t>
      </w:r>
    </w:p>
    <w:p>
      <w:pPr>
        <w:pStyle w:val="BodyText"/>
        <w:spacing w:before="270"/>
      </w:pPr>
    </w:p>
    <w:p>
      <w:pPr>
        <w:pStyle w:val="BodyText"/>
        <w:spacing w:line="480" w:lineRule="auto"/>
        <w:ind w:left="840" w:right="554" w:firstLine="720"/>
        <w:jc w:val="both"/>
      </w:pPr>
      <w:r>
        <w:rPr/>
        <w:t>It is glaring from the Scheffe’s Multiple Comparison Test in table 4.5.27 that differences existed in the opinions of the three groups of respondents on the impact of classrooms, laboratories, workshops, field trips, etcetera on students’ welfare</w:t>
      </w:r>
      <w:r>
        <w:rPr>
          <w:spacing w:val="-2"/>
        </w:rPr>
        <w:t> </w:t>
      </w:r>
      <w:r>
        <w:rPr/>
        <w:t>in the universities. The mean scores</w:t>
      </w:r>
      <w:r>
        <w:rPr>
          <w:spacing w:val="-3"/>
        </w:rPr>
        <w:t> </w:t>
      </w:r>
      <w:r>
        <w:rPr/>
        <w:t>of students</w:t>
      </w:r>
      <w:r>
        <w:rPr>
          <w:spacing w:val="-3"/>
        </w:rPr>
        <w:t> </w:t>
      </w:r>
      <w:r>
        <w:rPr/>
        <w:t>and service staff were in agreement</w:t>
      </w:r>
      <w:r>
        <w:rPr>
          <w:spacing w:val="-3"/>
        </w:rPr>
        <w:t> </w:t>
      </w:r>
      <w:r>
        <w:rPr/>
        <w:t>while</w:t>
      </w:r>
      <w:r>
        <w:rPr>
          <w:spacing w:val="-2"/>
        </w:rPr>
        <w:t> </w:t>
      </w:r>
      <w:r>
        <w:rPr/>
        <w:t>the</w:t>
      </w:r>
      <w:r>
        <w:rPr>
          <w:spacing w:val="-2"/>
        </w:rPr>
        <w:t> </w:t>
      </w:r>
      <w:r>
        <w:rPr/>
        <w:t>mean</w:t>
      </w:r>
      <w:r>
        <w:rPr>
          <w:spacing w:val="-1"/>
        </w:rPr>
        <w:t> </w:t>
      </w:r>
      <w:r>
        <w:rPr/>
        <w:t>difference</w:t>
      </w:r>
      <w:r>
        <w:rPr>
          <w:spacing w:val="-1"/>
        </w:rPr>
        <w:t> </w:t>
      </w:r>
      <w:r>
        <w:rPr/>
        <w:t>of</w:t>
      </w:r>
      <w:r>
        <w:rPr>
          <w:spacing w:val="-3"/>
        </w:rPr>
        <w:t> </w:t>
      </w:r>
      <w:r>
        <w:rPr/>
        <w:t>top</w:t>
      </w:r>
      <w:r>
        <w:rPr>
          <w:spacing w:val="-2"/>
        </w:rPr>
        <w:t> </w:t>
      </w:r>
      <w:r>
        <w:rPr/>
        <w:t>management</w:t>
      </w:r>
      <w:r>
        <w:rPr>
          <w:spacing w:val="-3"/>
        </w:rPr>
        <w:t> </w:t>
      </w:r>
      <w:r>
        <w:rPr/>
        <w:t>disagreed</w:t>
      </w:r>
      <w:r>
        <w:rPr>
          <w:spacing w:val="-2"/>
        </w:rPr>
        <w:t> </w:t>
      </w:r>
      <w:r>
        <w:rPr/>
        <w:t>with</w:t>
      </w:r>
      <w:r>
        <w:rPr>
          <w:spacing w:val="-2"/>
        </w:rPr>
        <w:t> </w:t>
      </w:r>
      <w:r>
        <w:rPr/>
        <w:t>those</w:t>
      </w:r>
      <w:r>
        <w:rPr>
          <w:spacing w:val="-2"/>
        </w:rPr>
        <w:t> </w:t>
      </w:r>
      <w:r>
        <w:rPr/>
        <w:t>of the two groups. The non conformity of top management opinion with that of the students and service staff could imply that the management claimed to have provided adequate structures and facilities for teaching and learning within the reach</w:t>
      </w:r>
      <w:r>
        <w:rPr>
          <w:spacing w:val="23"/>
        </w:rPr>
        <w:t> </w:t>
      </w:r>
      <w:r>
        <w:rPr/>
        <w:t>of</w:t>
      </w:r>
      <w:r>
        <w:rPr>
          <w:spacing w:val="19"/>
        </w:rPr>
        <w:t> </w:t>
      </w:r>
      <w:r>
        <w:rPr/>
        <w:t>their</w:t>
      </w:r>
      <w:r>
        <w:rPr>
          <w:spacing w:val="20"/>
        </w:rPr>
        <w:t> </w:t>
      </w:r>
      <w:r>
        <w:rPr/>
        <w:t>resources</w:t>
      </w:r>
      <w:r>
        <w:rPr>
          <w:spacing w:val="22"/>
        </w:rPr>
        <w:t> </w:t>
      </w:r>
      <w:r>
        <w:rPr/>
        <w:t>since</w:t>
      </w:r>
      <w:r>
        <w:rPr>
          <w:spacing w:val="19"/>
        </w:rPr>
        <w:t> </w:t>
      </w:r>
      <w:r>
        <w:rPr/>
        <w:t>the</w:t>
      </w:r>
      <w:r>
        <w:rPr>
          <w:spacing w:val="19"/>
        </w:rPr>
        <w:t> </w:t>
      </w:r>
      <w:r>
        <w:rPr/>
        <w:t>Federal</w:t>
      </w:r>
      <w:r>
        <w:rPr>
          <w:spacing w:val="25"/>
        </w:rPr>
        <w:t> </w:t>
      </w:r>
      <w:r>
        <w:rPr/>
        <w:t>Government</w:t>
      </w:r>
      <w:r>
        <w:rPr>
          <w:spacing w:val="23"/>
        </w:rPr>
        <w:t> </w:t>
      </w:r>
      <w:r>
        <w:rPr/>
        <w:t>did</w:t>
      </w:r>
      <w:r>
        <w:rPr>
          <w:spacing w:val="19"/>
        </w:rPr>
        <w:t> </w:t>
      </w:r>
      <w:r>
        <w:rPr/>
        <w:t>not</w:t>
      </w:r>
      <w:r>
        <w:rPr>
          <w:spacing w:val="22"/>
        </w:rPr>
        <w:t> </w:t>
      </w:r>
      <w:r>
        <w:rPr/>
        <w:t>provide</w:t>
      </w:r>
      <w:r>
        <w:rPr>
          <w:spacing w:val="24"/>
        </w:rPr>
        <w:t> </w:t>
      </w:r>
      <w:r>
        <w:rPr>
          <w:spacing w:val="-2"/>
        </w:rPr>
        <w:t>enough</w:t>
      </w:r>
    </w:p>
    <w:p>
      <w:pPr>
        <w:spacing w:after="0" w:line="480" w:lineRule="auto"/>
        <w:jc w:val="both"/>
        <w:sectPr>
          <w:headerReference w:type="default" r:id="rId471"/>
          <w:footerReference w:type="default" r:id="rId472"/>
          <w:pgSz w:w="12240" w:h="15840"/>
          <w:pgMar w:header="722" w:footer="791" w:top="980" w:bottom="980" w:left="1320" w:right="880"/>
        </w:sectPr>
      </w:pPr>
    </w:p>
    <w:p>
      <w:pPr>
        <w:pStyle w:val="BodyText"/>
        <w:spacing w:before="171"/>
      </w:pPr>
    </w:p>
    <w:p>
      <w:pPr>
        <w:pStyle w:val="BodyText"/>
        <w:spacing w:line="480" w:lineRule="auto"/>
        <w:ind w:left="840" w:right="554"/>
        <w:jc w:val="both"/>
      </w:pPr>
      <w:r>
        <w:rPr/>
        <w:t>funds for putting up more structures at will. However, since the opinions of students and service staff showed that the facilities were not adequate, there is dire need for the government to provide more funds to the universities or the universities</w:t>
      </w:r>
      <w:r>
        <w:rPr>
          <w:spacing w:val="-2"/>
        </w:rPr>
        <w:t> </w:t>
      </w:r>
      <w:r>
        <w:rPr/>
        <w:t>to</w:t>
      </w:r>
      <w:r>
        <w:rPr>
          <w:spacing w:val="-1"/>
        </w:rPr>
        <w:t> </w:t>
      </w:r>
      <w:r>
        <w:rPr/>
        <w:t>generate</w:t>
      </w:r>
      <w:r>
        <w:rPr>
          <w:spacing w:val="-1"/>
        </w:rPr>
        <w:t> </w:t>
      </w:r>
      <w:r>
        <w:rPr/>
        <w:t>revenue</w:t>
      </w:r>
      <w:r>
        <w:rPr>
          <w:spacing w:val="-1"/>
        </w:rPr>
        <w:t> </w:t>
      </w:r>
      <w:r>
        <w:rPr/>
        <w:t>through</w:t>
      </w:r>
      <w:r>
        <w:rPr>
          <w:spacing w:val="-1"/>
        </w:rPr>
        <w:t> </w:t>
      </w:r>
      <w:r>
        <w:rPr/>
        <w:t>Alumni,</w:t>
      </w:r>
      <w:r>
        <w:rPr>
          <w:spacing w:val="-2"/>
        </w:rPr>
        <w:t> </w:t>
      </w:r>
      <w:r>
        <w:rPr/>
        <w:t>Donors,</w:t>
      </w:r>
      <w:r>
        <w:rPr>
          <w:spacing w:val="-2"/>
        </w:rPr>
        <w:t> </w:t>
      </w:r>
      <w:r>
        <w:rPr/>
        <w:t>NGOs,</w:t>
      </w:r>
      <w:r>
        <w:rPr>
          <w:spacing w:val="-1"/>
        </w:rPr>
        <w:t> </w:t>
      </w:r>
      <w:r>
        <w:rPr/>
        <w:t>Linkages</w:t>
      </w:r>
      <w:r>
        <w:rPr>
          <w:spacing w:val="-2"/>
        </w:rPr>
        <w:t> </w:t>
      </w:r>
      <w:r>
        <w:rPr/>
        <w:t>etc. to put up more structures for the universities to achieve the objectives of teaching, learning and research.</w:t>
      </w:r>
    </w:p>
    <w:p>
      <w:pPr>
        <w:pStyle w:val="Heading4"/>
        <w:numPr>
          <w:ilvl w:val="2"/>
          <w:numId w:val="43"/>
        </w:numPr>
        <w:tabs>
          <w:tab w:pos="967" w:val="left" w:leader="none"/>
        </w:tabs>
        <w:spacing w:line="240" w:lineRule="auto" w:before="2" w:after="0"/>
        <w:ind w:left="967" w:right="0" w:hanging="847"/>
        <w:jc w:val="left"/>
      </w:pPr>
      <w:bookmarkStart w:name="_TOC_250008" w:id="60"/>
      <w:r>
        <w:rPr/>
        <w:t>Null</w:t>
      </w:r>
      <w:r>
        <w:rPr>
          <w:spacing w:val="-7"/>
        </w:rPr>
        <w:t> </w:t>
      </w:r>
      <w:r>
        <w:rPr/>
        <w:t>Hypothesis</w:t>
      </w:r>
      <w:bookmarkEnd w:id="60"/>
      <w:r>
        <w:rPr>
          <w:spacing w:val="-5"/>
        </w:rPr>
        <w:t> 17</w:t>
      </w:r>
    </w:p>
    <w:p>
      <w:pPr>
        <w:pStyle w:val="BodyText"/>
        <w:spacing w:before="44"/>
        <w:rPr>
          <w:rFonts w:ascii="Arial"/>
          <w:b/>
        </w:rPr>
      </w:pPr>
    </w:p>
    <w:p>
      <w:pPr>
        <w:pStyle w:val="BodyText"/>
        <w:spacing w:line="480" w:lineRule="auto"/>
        <w:ind w:left="840" w:right="560" w:firstLine="720"/>
        <w:jc w:val="both"/>
      </w:pPr>
      <w:r>
        <w:rPr/>
        <w:t>There is no significant difference in the opinions of students, service staff and top management with respect to the impact of information technology services on students’ welfare in the universities under study.</w:t>
      </w:r>
    </w:p>
    <w:p>
      <w:pPr>
        <w:pStyle w:val="BodyText"/>
        <w:spacing w:line="480" w:lineRule="auto"/>
        <w:ind w:left="840" w:right="553" w:firstLine="720"/>
        <w:jc w:val="both"/>
      </w:pPr>
      <w:r>
        <w:rPr/>
        <w:t>The data collected in respect of items 81 to 84 in the questionnaire were used to analyse the extent of consensus in the opinions pertaining to the impact of</w:t>
      </w:r>
      <w:r>
        <w:rPr>
          <w:spacing w:val="-1"/>
        </w:rPr>
        <w:t> </w:t>
      </w:r>
      <w:r>
        <w:rPr/>
        <w:t>information technology</w:t>
      </w:r>
      <w:r>
        <w:rPr>
          <w:spacing w:val="-1"/>
        </w:rPr>
        <w:t> </w:t>
      </w:r>
      <w:r>
        <w:rPr/>
        <w:t>on students’</w:t>
      </w:r>
      <w:r>
        <w:rPr>
          <w:spacing w:val="-1"/>
        </w:rPr>
        <w:t> </w:t>
      </w:r>
      <w:r>
        <w:rPr/>
        <w:t>welfare</w:t>
      </w:r>
      <w:r>
        <w:rPr>
          <w:spacing w:val="-4"/>
        </w:rPr>
        <w:t> </w:t>
      </w:r>
      <w:r>
        <w:rPr/>
        <w:t>services</w:t>
      </w:r>
      <w:r>
        <w:rPr>
          <w:spacing w:val="-6"/>
        </w:rPr>
        <w:t> </w:t>
      </w:r>
      <w:r>
        <w:rPr/>
        <w:t>in the universities.</w:t>
      </w:r>
      <w:r>
        <w:rPr>
          <w:spacing w:val="-1"/>
        </w:rPr>
        <w:t> </w:t>
      </w:r>
      <w:r>
        <w:rPr/>
        <w:t>To test the hypothesis, therefore all the related items were subjected to One Way Analysis of Variance statistical procedure to record the differences of the respondents’ opinions. The results of the test are presented in Table 4.5.28.</w:t>
      </w:r>
    </w:p>
    <w:p>
      <w:pPr>
        <w:pStyle w:val="Heading2"/>
        <w:ind w:left="2582" w:right="585" w:hanging="1743"/>
      </w:pPr>
      <w:r>
        <w:rPr/>
        <w:t>Table 4.5.28: Analysis of Variance (ANOVA) on the impact of influences</w:t>
      </w:r>
      <w:r>
        <w:rPr>
          <w:spacing w:val="40"/>
        </w:rPr>
        <w:t> </w:t>
      </w:r>
      <w:r>
        <w:rPr/>
        <w:t>of</w:t>
      </w:r>
      <w:r>
        <w:rPr>
          <w:spacing w:val="40"/>
        </w:rPr>
        <w:t> </w:t>
      </w:r>
      <w:r>
        <w:rPr/>
        <w:t>information</w:t>
      </w:r>
      <w:r>
        <w:rPr>
          <w:spacing w:val="40"/>
        </w:rPr>
        <w:t> </w:t>
      </w:r>
      <w:r>
        <w:rPr/>
        <w:t>technology</w:t>
      </w:r>
      <w:r>
        <w:rPr>
          <w:spacing w:val="40"/>
        </w:rPr>
        <w:t> </w:t>
      </w:r>
      <w:r>
        <w:rPr/>
        <w:t>services</w:t>
      </w:r>
      <w:r>
        <w:rPr>
          <w:spacing w:val="40"/>
        </w:rPr>
        <w:t> </w:t>
      </w:r>
      <w:r>
        <w:rPr/>
        <w:t>on students’ welfare in the Universities under study</w:t>
      </w:r>
    </w:p>
    <w:p>
      <w:pPr>
        <w:pStyle w:val="BodyText"/>
        <w:spacing w:before="95"/>
        <w:rPr>
          <w:rFonts w:ascii="Arial"/>
          <w:b/>
          <w:sz w:val="20"/>
        </w:rPr>
      </w:pPr>
    </w:p>
    <w:tbl>
      <w:tblPr>
        <w:tblW w:w="0" w:type="auto"/>
        <w:jc w:val="left"/>
        <w:tblInd w:w="1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63"/>
        <w:gridCol w:w="686"/>
        <w:gridCol w:w="1552"/>
        <w:gridCol w:w="1489"/>
        <w:gridCol w:w="1270"/>
        <w:gridCol w:w="1501"/>
      </w:tblGrid>
      <w:tr>
        <w:trPr>
          <w:trHeight w:val="551" w:hRule="atLeast"/>
        </w:trPr>
        <w:tc>
          <w:tcPr>
            <w:tcW w:w="1963" w:type="dxa"/>
            <w:tcBorders>
              <w:top w:val="single" w:sz="4" w:space="0" w:color="000000"/>
              <w:left w:val="single" w:sz="4" w:space="0" w:color="000000"/>
              <w:bottom w:val="single" w:sz="4" w:space="0" w:color="000000"/>
            </w:tcBorders>
          </w:tcPr>
          <w:p>
            <w:pPr>
              <w:pStyle w:val="TableParagraph"/>
              <w:spacing w:line="267" w:lineRule="exact"/>
              <w:ind w:left="431"/>
              <w:rPr>
                <w:rFonts w:ascii="Arial"/>
                <w:b/>
                <w:sz w:val="24"/>
              </w:rPr>
            </w:pPr>
            <w:r>
              <w:rPr>
                <w:rFonts w:ascii="Arial"/>
                <w:b/>
                <w:sz w:val="24"/>
              </w:rPr>
              <w:t>Source</w:t>
            </w:r>
            <w:r>
              <w:rPr>
                <w:rFonts w:ascii="Arial"/>
                <w:b/>
                <w:spacing w:val="-12"/>
                <w:sz w:val="24"/>
              </w:rPr>
              <w:t> </w:t>
            </w:r>
            <w:r>
              <w:rPr>
                <w:rFonts w:ascii="Arial"/>
                <w:b/>
                <w:spacing w:val="-5"/>
                <w:sz w:val="24"/>
              </w:rPr>
              <w:t>of</w:t>
            </w:r>
          </w:p>
          <w:p>
            <w:pPr>
              <w:pStyle w:val="TableParagraph"/>
              <w:spacing w:line="263" w:lineRule="exact" w:before="2"/>
              <w:ind w:left="470"/>
              <w:rPr>
                <w:rFonts w:ascii="Arial"/>
                <w:b/>
                <w:sz w:val="24"/>
              </w:rPr>
            </w:pPr>
            <w:r>
              <w:rPr>
                <w:rFonts w:ascii="Arial"/>
                <w:b/>
                <w:spacing w:val="-2"/>
                <w:sz w:val="24"/>
              </w:rPr>
              <w:t>Variation</w:t>
            </w:r>
          </w:p>
        </w:tc>
        <w:tc>
          <w:tcPr>
            <w:tcW w:w="686" w:type="dxa"/>
            <w:tcBorders>
              <w:top w:val="single" w:sz="4" w:space="0" w:color="000000"/>
              <w:bottom w:val="single" w:sz="4" w:space="0" w:color="000000"/>
            </w:tcBorders>
          </w:tcPr>
          <w:p>
            <w:pPr>
              <w:pStyle w:val="TableParagraph"/>
              <w:spacing w:line="267" w:lineRule="exact"/>
              <w:ind w:left="216"/>
              <w:rPr>
                <w:rFonts w:ascii="Arial"/>
                <w:b/>
                <w:sz w:val="24"/>
              </w:rPr>
            </w:pPr>
            <w:r>
              <w:rPr>
                <w:rFonts w:ascii="Arial"/>
                <w:b/>
                <w:spacing w:val="-5"/>
                <w:sz w:val="24"/>
              </w:rPr>
              <w:t>DF</w:t>
            </w:r>
          </w:p>
        </w:tc>
        <w:tc>
          <w:tcPr>
            <w:tcW w:w="1552" w:type="dxa"/>
            <w:tcBorders>
              <w:top w:val="single" w:sz="4" w:space="0" w:color="000000"/>
              <w:bottom w:val="single" w:sz="4" w:space="0" w:color="000000"/>
            </w:tcBorders>
          </w:tcPr>
          <w:p>
            <w:pPr>
              <w:pStyle w:val="TableParagraph"/>
              <w:spacing w:line="267" w:lineRule="exact"/>
              <w:ind w:left="451"/>
              <w:rPr>
                <w:rFonts w:ascii="Arial"/>
                <w:b/>
                <w:sz w:val="24"/>
              </w:rPr>
            </w:pPr>
            <w:r>
              <w:rPr>
                <w:rFonts w:ascii="Arial"/>
                <w:b/>
                <w:sz w:val="24"/>
              </w:rPr>
              <w:t>Sum</w:t>
            </w:r>
            <w:r>
              <w:rPr>
                <w:rFonts w:ascii="Arial"/>
                <w:b/>
                <w:spacing w:val="-13"/>
                <w:sz w:val="24"/>
              </w:rPr>
              <w:t> </w:t>
            </w:r>
            <w:r>
              <w:rPr>
                <w:rFonts w:ascii="Arial"/>
                <w:b/>
                <w:spacing w:val="-5"/>
                <w:sz w:val="24"/>
              </w:rPr>
              <w:t>of</w:t>
            </w:r>
          </w:p>
          <w:p>
            <w:pPr>
              <w:pStyle w:val="TableParagraph"/>
              <w:spacing w:line="263" w:lineRule="exact" w:before="2"/>
              <w:ind w:left="384"/>
              <w:rPr>
                <w:rFonts w:ascii="Arial"/>
                <w:b/>
                <w:sz w:val="24"/>
              </w:rPr>
            </w:pPr>
            <w:r>
              <w:rPr>
                <w:rFonts w:ascii="Arial"/>
                <w:b/>
                <w:spacing w:val="-2"/>
                <w:sz w:val="24"/>
              </w:rPr>
              <w:t>Squares</w:t>
            </w:r>
          </w:p>
        </w:tc>
        <w:tc>
          <w:tcPr>
            <w:tcW w:w="1489" w:type="dxa"/>
            <w:tcBorders>
              <w:top w:val="single" w:sz="4" w:space="0" w:color="000000"/>
              <w:bottom w:val="single" w:sz="4" w:space="0" w:color="000000"/>
            </w:tcBorders>
          </w:tcPr>
          <w:p>
            <w:pPr>
              <w:pStyle w:val="TableParagraph"/>
              <w:spacing w:line="267" w:lineRule="exact"/>
              <w:ind w:left="196"/>
              <w:jc w:val="center"/>
              <w:rPr>
                <w:rFonts w:ascii="Arial"/>
                <w:b/>
                <w:sz w:val="24"/>
              </w:rPr>
            </w:pPr>
            <w:r>
              <w:rPr>
                <w:rFonts w:ascii="Arial"/>
                <w:b/>
                <w:spacing w:val="-4"/>
                <w:sz w:val="24"/>
              </w:rPr>
              <w:t>Mean</w:t>
            </w:r>
          </w:p>
          <w:p>
            <w:pPr>
              <w:pStyle w:val="TableParagraph"/>
              <w:spacing w:line="263" w:lineRule="exact" w:before="2"/>
              <w:ind w:left="196" w:right="4"/>
              <w:jc w:val="center"/>
              <w:rPr>
                <w:rFonts w:ascii="Arial"/>
                <w:b/>
                <w:sz w:val="24"/>
              </w:rPr>
            </w:pPr>
            <w:r>
              <w:rPr>
                <w:rFonts w:ascii="Arial"/>
                <w:b/>
                <w:spacing w:val="-2"/>
                <w:sz w:val="24"/>
              </w:rPr>
              <w:t>Squares</w:t>
            </w:r>
          </w:p>
        </w:tc>
        <w:tc>
          <w:tcPr>
            <w:tcW w:w="1270" w:type="dxa"/>
            <w:tcBorders>
              <w:top w:val="single" w:sz="4" w:space="0" w:color="000000"/>
              <w:bottom w:val="single" w:sz="4" w:space="0" w:color="000000"/>
            </w:tcBorders>
          </w:tcPr>
          <w:p>
            <w:pPr>
              <w:pStyle w:val="TableParagraph"/>
              <w:spacing w:line="267" w:lineRule="exact"/>
              <w:ind w:left="266"/>
              <w:rPr>
                <w:rFonts w:ascii="Arial"/>
                <w:b/>
                <w:sz w:val="24"/>
              </w:rPr>
            </w:pPr>
            <w:r>
              <w:rPr>
                <w:rFonts w:ascii="Arial"/>
                <w:b/>
                <w:sz w:val="24"/>
              </w:rPr>
              <w:t>F </w:t>
            </w:r>
            <w:r>
              <w:rPr>
                <w:rFonts w:ascii="Arial"/>
                <w:b/>
                <w:spacing w:val="-2"/>
                <w:sz w:val="24"/>
              </w:rPr>
              <w:t>Value</w:t>
            </w:r>
          </w:p>
        </w:tc>
        <w:tc>
          <w:tcPr>
            <w:tcW w:w="1501" w:type="dxa"/>
            <w:tcBorders>
              <w:top w:val="single" w:sz="4" w:space="0" w:color="000000"/>
              <w:bottom w:val="single" w:sz="4" w:space="0" w:color="000000"/>
              <w:right w:val="single" w:sz="4" w:space="0" w:color="000000"/>
            </w:tcBorders>
          </w:tcPr>
          <w:p>
            <w:pPr>
              <w:pStyle w:val="TableParagraph"/>
              <w:spacing w:line="267" w:lineRule="exact"/>
              <w:ind w:left="57" w:right="2"/>
              <w:jc w:val="center"/>
              <w:rPr>
                <w:rFonts w:ascii="Arial"/>
                <w:b/>
                <w:sz w:val="24"/>
              </w:rPr>
            </w:pPr>
            <w:r>
              <w:rPr>
                <w:rFonts w:ascii="Arial"/>
                <w:b/>
                <w:spacing w:val="-10"/>
                <w:sz w:val="24"/>
              </w:rPr>
              <w:t>P</w:t>
            </w:r>
          </w:p>
          <w:p>
            <w:pPr>
              <w:pStyle w:val="TableParagraph"/>
              <w:spacing w:line="263" w:lineRule="exact" w:before="2"/>
              <w:ind w:left="57"/>
              <w:jc w:val="center"/>
              <w:rPr>
                <w:rFonts w:ascii="Arial"/>
                <w:b/>
                <w:sz w:val="24"/>
              </w:rPr>
            </w:pPr>
            <w:r>
              <w:rPr>
                <w:rFonts w:ascii="Arial"/>
                <w:b/>
                <w:spacing w:val="-2"/>
                <w:sz w:val="24"/>
              </w:rPr>
              <w:t>Probability</w:t>
            </w:r>
          </w:p>
        </w:tc>
      </w:tr>
      <w:tr>
        <w:trPr>
          <w:trHeight w:val="346" w:hRule="atLeast"/>
        </w:trPr>
        <w:tc>
          <w:tcPr>
            <w:tcW w:w="1963" w:type="dxa"/>
            <w:tcBorders>
              <w:top w:val="single" w:sz="4" w:space="0" w:color="000000"/>
              <w:left w:val="single" w:sz="4" w:space="0" w:color="000000"/>
            </w:tcBorders>
          </w:tcPr>
          <w:p>
            <w:pPr>
              <w:pStyle w:val="TableParagraph"/>
              <w:spacing w:line="271" w:lineRule="exact"/>
              <w:ind w:left="105"/>
              <w:rPr>
                <w:sz w:val="24"/>
              </w:rPr>
            </w:pPr>
            <w:r>
              <w:rPr>
                <w:sz w:val="24"/>
              </w:rPr>
              <w:t>Between</w:t>
            </w:r>
            <w:r>
              <w:rPr>
                <w:spacing w:val="-13"/>
                <w:sz w:val="24"/>
              </w:rPr>
              <w:t> </w:t>
            </w:r>
            <w:r>
              <w:rPr>
                <w:spacing w:val="-2"/>
                <w:sz w:val="24"/>
              </w:rPr>
              <w:t>groups</w:t>
            </w:r>
          </w:p>
        </w:tc>
        <w:tc>
          <w:tcPr>
            <w:tcW w:w="686" w:type="dxa"/>
            <w:tcBorders>
              <w:top w:val="single" w:sz="4" w:space="0" w:color="000000"/>
            </w:tcBorders>
          </w:tcPr>
          <w:p>
            <w:pPr>
              <w:pStyle w:val="TableParagraph"/>
              <w:spacing w:line="271" w:lineRule="exact"/>
              <w:ind w:left="125"/>
              <w:rPr>
                <w:sz w:val="24"/>
              </w:rPr>
            </w:pPr>
            <w:r>
              <w:rPr>
                <w:spacing w:val="-10"/>
                <w:sz w:val="24"/>
              </w:rPr>
              <w:t>2</w:t>
            </w:r>
          </w:p>
        </w:tc>
        <w:tc>
          <w:tcPr>
            <w:tcW w:w="1552" w:type="dxa"/>
            <w:tcBorders>
              <w:top w:val="single" w:sz="4" w:space="0" w:color="000000"/>
            </w:tcBorders>
          </w:tcPr>
          <w:p>
            <w:pPr>
              <w:pStyle w:val="TableParagraph"/>
              <w:spacing w:line="271" w:lineRule="exact"/>
              <w:ind w:left="158"/>
              <w:rPr>
                <w:sz w:val="24"/>
              </w:rPr>
            </w:pPr>
            <w:r>
              <w:rPr>
                <w:spacing w:val="-2"/>
                <w:sz w:val="24"/>
              </w:rPr>
              <w:t>4.6379</w:t>
            </w:r>
          </w:p>
        </w:tc>
        <w:tc>
          <w:tcPr>
            <w:tcW w:w="1489" w:type="dxa"/>
            <w:tcBorders>
              <w:top w:val="single" w:sz="4" w:space="0" w:color="000000"/>
            </w:tcBorders>
          </w:tcPr>
          <w:p>
            <w:pPr>
              <w:pStyle w:val="TableParagraph"/>
              <w:spacing w:line="271" w:lineRule="exact"/>
              <w:ind w:left="229"/>
              <w:rPr>
                <w:sz w:val="24"/>
              </w:rPr>
            </w:pPr>
            <w:r>
              <w:rPr>
                <w:spacing w:val="-2"/>
                <w:sz w:val="24"/>
              </w:rPr>
              <w:t>2.3189</w:t>
            </w:r>
          </w:p>
        </w:tc>
        <w:tc>
          <w:tcPr>
            <w:tcW w:w="1270" w:type="dxa"/>
            <w:tcBorders>
              <w:top w:val="single" w:sz="4" w:space="0" w:color="000000"/>
            </w:tcBorders>
          </w:tcPr>
          <w:p>
            <w:pPr>
              <w:pStyle w:val="TableParagraph"/>
              <w:spacing w:line="271" w:lineRule="exact"/>
              <w:ind w:left="180"/>
              <w:rPr>
                <w:sz w:val="24"/>
              </w:rPr>
            </w:pPr>
            <w:r>
              <w:rPr>
                <w:spacing w:val="-2"/>
                <w:sz w:val="24"/>
              </w:rPr>
              <w:t>4.4095</w:t>
            </w:r>
          </w:p>
        </w:tc>
        <w:tc>
          <w:tcPr>
            <w:tcW w:w="1501" w:type="dxa"/>
            <w:tcBorders>
              <w:top w:val="single" w:sz="4" w:space="0" w:color="000000"/>
              <w:right w:val="single" w:sz="4" w:space="0" w:color="000000"/>
            </w:tcBorders>
          </w:tcPr>
          <w:p>
            <w:pPr>
              <w:pStyle w:val="TableParagraph"/>
              <w:spacing w:line="271" w:lineRule="exact"/>
              <w:ind w:left="153"/>
              <w:rPr>
                <w:sz w:val="24"/>
              </w:rPr>
            </w:pPr>
            <w:r>
              <w:rPr>
                <w:spacing w:val="-2"/>
                <w:sz w:val="24"/>
              </w:rPr>
              <w:t>0.0127</w:t>
            </w:r>
          </w:p>
        </w:tc>
      </w:tr>
      <w:tr>
        <w:trPr>
          <w:trHeight w:val="483" w:hRule="atLeast"/>
        </w:trPr>
        <w:tc>
          <w:tcPr>
            <w:tcW w:w="1963" w:type="dxa"/>
            <w:tcBorders>
              <w:left w:val="single" w:sz="4" w:space="0" w:color="000000"/>
              <w:bottom w:val="single" w:sz="4" w:space="0" w:color="000000"/>
            </w:tcBorders>
          </w:tcPr>
          <w:p>
            <w:pPr>
              <w:pStyle w:val="TableParagraph"/>
              <w:spacing w:before="67"/>
              <w:ind w:left="105"/>
              <w:rPr>
                <w:sz w:val="24"/>
              </w:rPr>
            </w:pPr>
            <w:r>
              <w:rPr>
                <w:sz w:val="24"/>
              </w:rPr>
              <w:t>Within</w:t>
            </w:r>
            <w:r>
              <w:rPr>
                <w:spacing w:val="-3"/>
                <w:sz w:val="24"/>
              </w:rPr>
              <w:t> </w:t>
            </w:r>
            <w:r>
              <w:rPr>
                <w:spacing w:val="-2"/>
                <w:sz w:val="24"/>
              </w:rPr>
              <w:t>groups</w:t>
            </w:r>
          </w:p>
        </w:tc>
        <w:tc>
          <w:tcPr>
            <w:tcW w:w="686" w:type="dxa"/>
            <w:tcBorders>
              <w:bottom w:val="single" w:sz="4" w:space="0" w:color="000000"/>
            </w:tcBorders>
          </w:tcPr>
          <w:p>
            <w:pPr>
              <w:pStyle w:val="TableParagraph"/>
              <w:spacing w:before="67"/>
              <w:ind w:left="125"/>
              <w:rPr>
                <w:sz w:val="24"/>
              </w:rPr>
            </w:pPr>
            <w:r>
              <w:rPr>
                <w:spacing w:val="-5"/>
                <w:sz w:val="24"/>
              </w:rPr>
              <w:t>458</w:t>
            </w:r>
          </w:p>
        </w:tc>
        <w:tc>
          <w:tcPr>
            <w:tcW w:w="1552" w:type="dxa"/>
            <w:tcBorders>
              <w:bottom w:val="single" w:sz="4" w:space="0" w:color="000000"/>
            </w:tcBorders>
          </w:tcPr>
          <w:p>
            <w:pPr>
              <w:pStyle w:val="TableParagraph"/>
              <w:spacing w:before="67"/>
              <w:ind w:left="158"/>
              <w:rPr>
                <w:sz w:val="24"/>
              </w:rPr>
            </w:pPr>
            <w:r>
              <w:rPr>
                <w:spacing w:val="-2"/>
                <w:sz w:val="24"/>
              </w:rPr>
              <w:t>240.8600</w:t>
            </w:r>
          </w:p>
        </w:tc>
        <w:tc>
          <w:tcPr>
            <w:tcW w:w="1489" w:type="dxa"/>
            <w:tcBorders>
              <w:bottom w:val="single" w:sz="4" w:space="0" w:color="000000"/>
            </w:tcBorders>
          </w:tcPr>
          <w:p>
            <w:pPr>
              <w:pStyle w:val="TableParagraph"/>
              <w:spacing w:before="67"/>
              <w:ind w:left="229"/>
              <w:rPr>
                <w:sz w:val="24"/>
              </w:rPr>
            </w:pPr>
            <w:r>
              <w:rPr>
                <w:spacing w:val="-2"/>
                <w:sz w:val="24"/>
              </w:rPr>
              <w:t>0.5259</w:t>
            </w:r>
          </w:p>
        </w:tc>
        <w:tc>
          <w:tcPr>
            <w:tcW w:w="1270" w:type="dxa"/>
            <w:tcBorders>
              <w:bottom w:val="single" w:sz="4" w:space="0" w:color="000000"/>
            </w:tcBorders>
          </w:tcPr>
          <w:p>
            <w:pPr>
              <w:pStyle w:val="TableParagraph"/>
              <w:rPr>
                <w:rFonts w:ascii="Times New Roman"/>
                <w:sz w:val="24"/>
              </w:rPr>
            </w:pPr>
          </w:p>
        </w:tc>
        <w:tc>
          <w:tcPr>
            <w:tcW w:w="1501" w:type="dxa"/>
            <w:tcBorders>
              <w:bottom w:val="single" w:sz="4" w:space="0" w:color="000000"/>
              <w:right w:val="single" w:sz="4" w:space="0" w:color="000000"/>
            </w:tcBorders>
          </w:tcPr>
          <w:p>
            <w:pPr>
              <w:pStyle w:val="TableParagraph"/>
              <w:rPr>
                <w:rFonts w:ascii="Times New Roman"/>
                <w:sz w:val="24"/>
              </w:rPr>
            </w:pPr>
          </w:p>
        </w:tc>
      </w:tr>
      <w:tr>
        <w:trPr>
          <w:trHeight w:val="277" w:hRule="atLeast"/>
        </w:trPr>
        <w:tc>
          <w:tcPr>
            <w:tcW w:w="1963"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686" w:type="dxa"/>
            <w:tcBorders>
              <w:top w:val="single" w:sz="4" w:space="0" w:color="000000"/>
              <w:bottom w:val="single" w:sz="4" w:space="0" w:color="000000"/>
            </w:tcBorders>
          </w:tcPr>
          <w:p>
            <w:pPr>
              <w:pStyle w:val="TableParagraph"/>
              <w:spacing w:line="258" w:lineRule="exact"/>
              <w:ind w:left="125"/>
              <w:rPr>
                <w:sz w:val="24"/>
              </w:rPr>
            </w:pPr>
            <w:r>
              <w:rPr>
                <w:spacing w:val="-5"/>
                <w:sz w:val="24"/>
              </w:rPr>
              <w:t>460</w:t>
            </w:r>
          </w:p>
        </w:tc>
        <w:tc>
          <w:tcPr>
            <w:tcW w:w="1552" w:type="dxa"/>
            <w:tcBorders>
              <w:top w:val="single" w:sz="4" w:space="0" w:color="000000"/>
              <w:bottom w:val="single" w:sz="4" w:space="0" w:color="000000"/>
            </w:tcBorders>
          </w:tcPr>
          <w:p>
            <w:pPr>
              <w:pStyle w:val="TableParagraph"/>
              <w:spacing w:line="258" w:lineRule="exact"/>
              <w:ind w:left="158"/>
              <w:rPr>
                <w:sz w:val="24"/>
              </w:rPr>
            </w:pPr>
            <w:r>
              <w:rPr>
                <w:spacing w:val="-2"/>
                <w:sz w:val="24"/>
              </w:rPr>
              <w:t>245.4978</w:t>
            </w:r>
          </w:p>
        </w:tc>
        <w:tc>
          <w:tcPr>
            <w:tcW w:w="1489" w:type="dxa"/>
            <w:tcBorders>
              <w:top w:val="single" w:sz="4" w:space="0" w:color="000000"/>
              <w:bottom w:val="single" w:sz="4" w:space="0" w:color="000000"/>
            </w:tcBorders>
          </w:tcPr>
          <w:p>
            <w:pPr>
              <w:pStyle w:val="TableParagraph"/>
              <w:rPr>
                <w:rFonts w:ascii="Times New Roman"/>
                <w:sz w:val="20"/>
              </w:rPr>
            </w:pPr>
          </w:p>
        </w:tc>
        <w:tc>
          <w:tcPr>
            <w:tcW w:w="1270" w:type="dxa"/>
            <w:tcBorders>
              <w:top w:val="single" w:sz="4" w:space="0" w:color="000000"/>
              <w:bottom w:val="single" w:sz="4" w:space="0" w:color="000000"/>
            </w:tcBorders>
          </w:tcPr>
          <w:p>
            <w:pPr>
              <w:pStyle w:val="TableParagraph"/>
              <w:rPr>
                <w:rFonts w:ascii="Times New Roman"/>
                <w:sz w:val="20"/>
              </w:rPr>
            </w:pPr>
          </w:p>
        </w:tc>
        <w:tc>
          <w:tcPr>
            <w:tcW w:w="1501" w:type="dxa"/>
            <w:tcBorders>
              <w:top w:val="single" w:sz="4" w:space="0" w:color="000000"/>
              <w:bottom w:val="single" w:sz="4" w:space="0" w:color="000000"/>
              <w:right w:val="single" w:sz="4" w:space="0" w:color="000000"/>
            </w:tcBorders>
          </w:tcPr>
          <w:p>
            <w:pPr>
              <w:pStyle w:val="TableParagraph"/>
              <w:rPr>
                <w:rFonts w:ascii="Times New Roman"/>
                <w:sz w:val="20"/>
              </w:rPr>
            </w:pPr>
          </w:p>
        </w:tc>
      </w:tr>
    </w:tbl>
    <w:p>
      <w:pPr>
        <w:pStyle w:val="BodyText"/>
        <w:ind w:left="1560"/>
      </w:pPr>
      <w:r>
        <w:rPr/>
        <w:t>F</w:t>
      </w:r>
      <w:r>
        <w:rPr>
          <w:spacing w:val="-3"/>
        </w:rPr>
        <w:t> </w:t>
      </w:r>
      <w:r>
        <w:rPr/>
        <w:t>Probability</w:t>
      </w:r>
      <w:r>
        <w:rPr>
          <w:spacing w:val="-5"/>
        </w:rPr>
        <w:t> </w:t>
      </w:r>
      <w:r>
        <w:rPr/>
        <w:t>&lt;</w:t>
      </w:r>
      <w:r>
        <w:rPr>
          <w:spacing w:val="-6"/>
        </w:rPr>
        <w:t> </w:t>
      </w:r>
      <w:r>
        <w:rPr/>
        <w:t>0.05</w:t>
      </w:r>
      <w:r>
        <w:rPr>
          <w:spacing w:val="-4"/>
        </w:rPr>
        <w:t> </w:t>
      </w:r>
      <w:r>
        <w:rPr/>
        <w:t>=&gt;</w:t>
      </w:r>
      <w:r>
        <w:rPr>
          <w:spacing w:val="-6"/>
        </w:rPr>
        <w:t> </w:t>
      </w:r>
      <w:r>
        <w:rPr/>
        <w:t>HO</w:t>
      </w:r>
      <w:r>
        <w:rPr>
          <w:spacing w:val="-4"/>
        </w:rPr>
        <w:t> Rjd.</w:t>
      </w:r>
    </w:p>
    <w:p>
      <w:pPr>
        <w:pStyle w:val="BodyText"/>
        <w:spacing w:line="550" w:lineRule="atLeast"/>
        <w:ind w:left="840" w:right="557" w:firstLine="720"/>
        <w:jc w:val="both"/>
      </w:pPr>
      <w:r>
        <w:rPr/>
        <w:t>Table 4.5.28 above shows that the computed F. probability is 0.0127</w:t>
      </w:r>
      <w:r>
        <w:rPr>
          <w:spacing w:val="40"/>
        </w:rPr>
        <w:t> </w:t>
      </w:r>
      <w:r>
        <w:rPr/>
        <w:t>which</w:t>
      </w:r>
      <w:r>
        <w:rPr>
          <w:spacing w:val="8"/>
        </w:rPr>
        <w:t> </w:t>
      </w:r>
      <w:r>
        <w:rPr/>
        <w:t>is</w:t>
      </w:r>
      <w:r>
        <w:rPr>
          <w:spacing w:val="3"/>
        </w:rPr>
        <w:t> </w:t>
      </w:r>
      <w:r>
        <w:rPr/>
        <w:t>lower</w:t>
      </w:r>
      <w:r>
        <w:rPr>
          <w:spacing w:val="9"/>
        </w:rPr>
        <w:t> </w:t>
      </w:r>
      <w:r>
        <w:rPr/>
        <w:t>than</w:t>
      </w:r>
      <w:r>
        <w:rPr>
          <w:spacing w:val="8"/>
        </w:rPr>
        <w:t> </w:t>
      </w:r>
      <w:r>
        <w:rPr/>
        <w:t>the</w:t>
      </w:r>
      <w:r>
        <w:rPr>
          <w:spacing w:val="11"/>
        </w:rPr>
        <w:t> </w:t>
      </w:r>
      <w:r>
        <w:rPr/>
        <w:t>accepted</w:t>
      </w:r>
      <w:r>
        <w:rPr>
          <w:spacing w:val="8"/>
        </w:rPr>
        <w:t> </w:t>
      </w:r>
      <w:r>
        <w:rPr/>
        <w:t>P-value</w:t>
      </w:r>
      <w:r>
        <w:rPr>
          <w:spacing w:val="8"/>
        </w:rPr>
        <w:t> </w:t>
      </w:r>
      <w:r>
        <w:rPr/>
        <w:t>of</w:t>
      </w:r>
      <w:r>
        <w:rPr>
          <w:spacing w:val="4"/>
        </w:rPr>
        <w:t> </w:t>
      </w:r>
      <w:r>
        <w:rPr/>
        <w:t>0.05</w:t>
      </w:r>
      <w:r>
        <w:rPr>
          <w:spacing w:val="8"/>
        </w:rPr>
        <w:t> </w:t>
      </w:r>
      <w:r>
        <w:rPr/>
        <w:t>percent</w:t>
      </w:r>
      <w:r>
        <w:rPr>
          <w:spacing w:val="9"/>
        </w:rPr>
        <w:t> </w:t>
      </w:r>
      <w:r>
        <w:rPr/>
        <w:t>significant</w:t>
      </w:r>
      <w:r>
        <w:rPr>
          <w:spacing w:val="8"/>
        </w:rPr>
        <w:t> </w:t>
      </w:r>
      <w:r>
        <w:rPr/>
        <w:t>level</w:t>
      </w:r>
      <w:r>
        <w:rPr>
          <w:spacing w:val="12"/>
        </w:rPr>
        <w:t> </w:t>
      </w:r>
      <w:r>
        <w:rPr/>
        <w:t>set</w:t>
      </w:r>
      <w:r>
        <w:rPr>
          <w:spacing w:val="9"/>
        </w:rPr>
        <w:t> </w:t>
      </w:r>
      <w:r>
        <w:rPr>
          <w:spacing w:val="-5"/>
        </w:rPr>
        <w:t>for</w:t>
      </w:r>
    </w:p>
    <w:p>
      <w:pPr>
        <w:spacing w:after="0" w:line="550" w:lineRule="atLeast"/>
        <w:jc w:val="both"/>
        <w:sectPr>
          <w:headerReference w:type="default" r:id="rId473"/>
          <w:footerReference w:type="default" r:id="rId474"/>
          <w:pgSz w:w="12240" w:h="15840"/>
          <w:pgMar w:header="722" w:footer="791" w:top="980" w:bottom="980" w:left="1320" w:right="880"/>
        </w:sectPr>
      </w:pPr>
    </w:p>
    <w:p>
      <w:pPr>
        <w:pStyle w:val="BodyText"/>
        <w:spacing w:before="171"/>
      </w:pPr>
    </w:p>
    <w:p>
      <w:pPr>
        <w:pStyle w:val="BodyText"/>
        <w:spacing w:line="480" w:lineRule="auto"/>
        <w:ind w:left="840" w:right="555"/>
        <w:jc w:val="both"/>
      </w:pPr>
      <w:r>
        <w:rPr/>
        <w:t>the study. The HO was therefore</w:t>
      </w:r>
      <w:r>
        <w:rPr>
          <w:spacing w:val="-1"/>
        </w:rPr>
        <w:t> </w:t>
      </w:r>
      <w:r>
        <w:rPr/>
        <w:t>rejected.</w:t>
      </w:r>
      <w:r>
        <w:rPr>
          <w:spacing w:val="40"/>
        </w:rPr>
        <w:t> </w:t>
      </w:r>
      <w:r>
        <w:rPr/>
        <w:t>In line with this,</w:t>
      </w:r>
      <w:r>
        <w:rPr>
          <w:spacing w:val="-2"/>
        </w:rPr>
        <w:t> </w:t>
      </w:r>
      <w:r>
        <w:rPr/>
        <w:t>it could be concluded that there was significant difference in the opinions of the three sets of respondents in respect of the impact of information technology services on students’ welfare in the universities.</w:t>
      </w:r>
    </w:p>
    <w:p>
      <w:pPr>
        <w:pStyle w:val="BodyText"/>
        <w:spacing w:line="480" w:lineRule="auto" w:before="1"/>
        <w:ind w:left="840" w:right="555" w:firstLine="720"/>
        <w:jc w:val="both"/>
      </w:pPr>
      <w:r>
        <w:rPr/>
        <w:t>To ascertain the extent of relationship in the opinions amongst the three groups of respondents regarding the impact of information technology on students’ welfare in the universities, scheffe’s Multiple Comparison Test was carried out. The outcome of the test is presented in Table 4.5.29.</w:t>
      </w:r>
    </w:p>
    <w:p>
      <w:pPr>
        <w:pStyle w:val="Heading2"/>
        <w:ind w:left="2664" w:right="585" w:hanging="1824"/>
      </w:pPr>
      <w:r>
        <w:rPr/>
        <w:t>Table 4.5.29:</w:t>
      </w:r>
      <w:r>
        <w:rPr>
          <w:spacing w:val="40"/>
        </w:rPr>
        <w:t> </w:t>
      </w:r>
      <w:r>
        <w:rPr/>
        <w:t>Scheffe’s</w:t>
      </w:r>
      <w:r>
        <w:rPr>
          <w:spacing w:val="-4"/>
        </w:rPr>
        <w:t> </w:t>
      </w:r>
      <w:r>
        <w:rPr/>
        <w:t>test on the opinions of</w:t>
      </w:r>
      <w:r>
        <w:rPr>
          <w:spacing w:val="-4"/>
        </w:rPr>
        <w:t> </w:t>
      </w:r>
      <w:r>
        <w:rPr/>
        <w:t>respondents on the</w:t>
      </w:r>
      <w:r>
        <w:rPr>
          <w:spacing w:val="-8"/>
        </w:rPr>
        <w:t> </w:t>
      </w:r>
      <w:r>
        <w:rPr/>
        <w:t>impact</w:t>
      </w:r>
      <w:r>
        <w:rPr>
          <w:spacing w:val="-4"/>
        </w:rPr>
        <w:t> </w:t>
      </w:r>
      <w:r>
        <w:rPr/>
        <w:t>of</w:t>
      </w:r>
      <w:r>
        <w:rPr>
          <w:spacing w:val="-8"/>
        </w:rPr>
        <w:t> </w:t>
      </w:r>
      <w:r>
        <w:rPr/>
        <w:t>information</w:t>
      </w:r>
      <w:r>
        <w:rPr>
          <w:spacing w:val="-4"/>
        </w:rPr>
        <w:t> </w:t>
      </w:r>
      <w:r>
        <w:rPr/>
        <w:t>technology</w:t>
      </w:r>
      <w:r>
        <w:rPr>
          <w:spacing w:val="-13"/>
        </w:rPr>
        <w:t> </w:t>
      </w:r>
      <w:r>
        <w:rPr/>
        <w:t>services</w:t>
      </w:r>
      <w:r>
        <w:rPr>
          <w:spacing w:val="-3"/>
        </w:rPr>
        <w:t> </w:t>
      </w:r>
      <w:r>
        <w:rPr/>
        <w:t>on students’ welfare in universities in three geopolitical zones in Northern part of Nigeria</w:t>
      </w:r>
    </w:p>
    <w:p>
      <w:pPr>
        <w:pStyle w:val="BodyText"/>
        <w:spacing w:before="94"/>
        <w:rPr>
          <w:rFonts w:ascii="Arial"/>
          <w:b/>
          <w:sz w:val="20"/>
        </w:rPr>
      </w:pPr>
    </w:p>
    <w:tbl>
      <w:tblPr>
        <w:tblW w:w="0" w:type="auto"/>
        <w:jc w:val="left"/>
        <w:tblInd w:w="4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10"/>
        <w:gridCol w:w="1527"/>
        <w:gridCol w:w="1666"/>
        <w:gridCol w:w="1512"/>
        <w:gridCol w:w="1292"/>
        <w:gridCol w:w="1127"/>
      </w:tblGrid>
      <w:tr>
        <w:trPr>
          <w:trHeight w:val="830" w:hRule="atLeast"/>
        </w:trPr>
        <w:tc>
          <w:tcPr>
            <w:tcW w:w="1610" w:type="dxa"/>
            <w:tcBorders>
              <w:top w:val="single" w:sz="4" w:space="0" w:color="000000"/>
              <w:left w:val="single" w:sz="4" w:space="0" w:color="000000"/>
              <w:bottom w:val="single" w:sz="4" w:space="0" w:color="000000"/>
            </w:tcBorders>
          </w:tcPr>
          <w:p>
            <w:pPr>
              <w:pStyle w:val="TableParagraph"/>
              <w:spacing w:line="242" w:lineRule="auto"/>
              <w:ind w:left="91"/>
              <w:rPr>
                <w:sz w:val="24"/>
              </w:rPr>
            </w:pPr>
            <w:r>
              <w:rPr>
                <w:spacing w:val="-2"/>
                <w:sz w:val="24"/>
              </w:rPr>
              <w:t>Dependent Variable</w:t>
            </w:r>
          </w:p>
        </w:tc>
        <w:tc>
          <w:tcPr>
            <w:tcW w:w="1527" w:type="dxa"/>
            <w:tcBorders>
              <w:top w:val="single" w:sz="4" w:space="0" w:color="000000"/>
              <w:bottom w:val="single" w:sz="4" w:space="0" w:color="000000"/>
            </w:tcBorders>
          </w:tcPr>
          <w:p>
            <w:pPr>
              <w:pStyle w:val="TableParagraph"/>
              <w:spacing w:line="271" w:lineRule="exact"/>
              <w:ind w:left="108"/>
              <w:rPr>
                <w:sz w:val="24"/>
              </w:rPr>
            </w:pPr>
            <w:r>
              <w:rPr>
                <w:sz w:val="24"/>
              </w:rPr>
              <w:t>(I) </w:t>
            </w:r>
            <w:r>
              <w:rPr>
                <w:spacing w:val="-2"/>
                <w:sz w:val="24"/>
              </w:rPr>
              <w:t>Status</w:t>
            </w:r>
          </w:p>
        </w:tc>
        <w:tc>
          <w:tcPr>
            <w:tcW w:w="1666" w:type="dxa"/>
            <w:tcBorders>
              <w:top w:val="single" w:sz="4" w:space="0" w:color="000000"/>
              <w:bottom w:val="single" w:sz="4" w:space="0" w:color="000000"/>
            </w:tcBorders>
          </w:tcPr>
          <w:p>
            <w:pPr>
              <w:pStyle w:val="TableParagraph"/>
              <w:spacing w:line="271" w:lineRule="exact"/>
              <w:ind w:left="295"/>
              <w:rPr>
                <w:sz w:val="24"/>
              </w:rPr>
            </w:pPr>
            <w:r>
              <w:rPr>
                <w:sz w:val="24"/>
              </w:rPr>
              <w:t>(J) </w:t>
            </w:r>
            <w:r>
              <w:rPr>
                <w:spacing w:val="-2"/>
                <w:sz w:val="24"/>
              </w:rPr>
              <w:t>Status</w:t>
            </w:r>
          </w:p>
        </w:tc>
        <w:tc>
          <w:tcPr>
            <w:tcW w:w="1512" w:type="dxa"/>
            <w:tcBorders>
              <w:top w:val="single" w:sz="4" w:space="0" w:color="000000"/>
              <w:bottom w:val="single" w:sz="4" w:space="0" w:color="000000"/>
            </w:tcBorders>
          </w:tcPr>
          <w:p>
            <w:pPr>
              <w:pStyle w:val="TableParagraph"/>
              <w:spacing w:line="271" w:lineRule="exact"/>
              <w:ind w:left="246"/>
              <w:rPr>
                <w:sz w:val="24"/>
              </w:rPr>
            </w:pPr>
            <w:r>
              <w:rPr>
                <w:spacing w:val="-4"/>
                <w:sz w:val="24"/>
              </w:rPr>
              <w:t>Mean</w:t>
            </w:r>
          </w:p>
          <w:p>
            <w:pPr>
              <w:pStyle w:val="TableParagraph"/>
              <w:spacing w:line="274" w:lineRule="exact"/>
              <w:ind w:left="246" w:right="165"/>
              <w:rPr>
                <w:sz w:val="24"/>
              </w:rPr>
            </w:pPr>
            <w:r>
              <w:rPr>
                <w:spacing w:val="-2"/>
                <w:sz w:val="24"/>
              </w:rPr>
              <w:t>Difference (I-J)</w:t>
            </w:r>
          </w:p>
        </w:tc>
        <w:tc>
          <w:tcPr>
            <w:tcW w:w="1292" w:type="dxa"/>
            <w:tcBorders>
              <w:top w:val="single" w:sz="4" w:space="0" w:color="000000"/>
              <w:bottom w:val="single" w:sz="4" w:space="0" w:color="000000"/>
            </w:tcBorders>
          </w:tcPr>
          <w:p>
            <w:pPr>
              <w:pStyle w:val="TableParagraph"/>
              <w:spacing w:line="242" w:lineRule="auto" w:before="134"/>
              <w:ind w:left="174"/>
              <w:rPr>
                <w:sz w:val="24"/>
              </w:rPr>
            </w:pPr>
            <w:r>
              <w:rPr>
                <w:spacing w:val="-2"/>
                <w:sz w:val="24"/>
              </w:rPr>
              <w:t>Standard Error</w:t>
            </w:r>
          </w:p>
        </w:tc>
        <w:tc>
          <w:tcPr>
            <w:tcW w:w="1127" w:type="dxa"/>
            <w:tcBorders>
              <w:top w:val="single" w:sz="4" w:space="0" w:color="000000"/>
              <w:bottom w:val="single" w:sz="4" w:space="0" w:color="000000"/>
              <w:right w:val="single" w:sz="4" w:space="0" w:color="000000"/>
            </w:tcBorders>
          </w:tcPr>
          <w:p>
            <w:pPr>
              <w:pStyle w:val="TableParagraph"/>
              <w:spacing w:line="242" w:lineRule="auto" w:before="134"/>
              <w:ind w:left="145"/>
              <w:rPr>
                <w:sz w:val="24"/>
              </w:rPr>
            </w:pPr>
            <w:r>
              <w:rPr>
                <w:spacing w:val="-2"/>
                <w:sz w:val="24"/>
              </w:rPr>
              <w:t>Signifi- </w:t>
            </w:r>
            <w:r>
              <w:rPr>
                <w:spacing w:val="-4"/>
                <w:sz w:val="24"/>
              </w:rPr>
              <w:t>cance</w:t>
            </w:r>
          </w:p>
        </w:tc>
      </w:tr>
      <w:tr>
        <w:trPr>
          <w:trHeight w:val="274" w:hRule="atLeast"/>
        </w:trPr>
        <w:tc>
          <w:tcPr>
            <w:tcW w:w="1610" w:type="dxa"/>
            <w:tcBorders>
              <w:top w:val="single" w:sz="4" w:space="0" w:color="000000"/>
              <w:left w:val="single" w:sz="4" w:space="0" w:color="000000"/>
            </w:tcBorders>
          </w:tcPr>
          <w:p>
            <w:pPr>
              <w:pStyle w:val="TableParagraph"/>
              <w:rPr>
                <w:rFonts w:ascii="Times New Roman"/>
                <w:sz w:val="20"/>
              </w:rPr>
            </w:pPr>
          </w:p>
        </w:tc>
        <w:tc>
          <w:tcPr>
            <w:tcW w:w="1527" w:type="dxa"/>
            <w:tcBorders>
              <w:top w:val="single" w:sz="4" w:space="0" w:color="000000"/>
            </w:tcBorders>
          </w:tcPr>
          <w:p>
            <w:pPr>
              <w:pStyle w:val="TableParagraph"/>
              <w:spacing w:line="254" w:lineRule="exact"/>
              <w:ind w:left="108"/>
              <w:rPr>
                <w:sz w:val="24"/>
              </w:rPr>
            </w:pPr>
            <w:r>
              <w:rPr>
                <w:spacing w:val="-2"/>
                <w:sz w:val="24"/>
              </w:rPr>
              <w:t>Student</w:t>
            </w:r>
          </w:p>
        </w:tc>
        <w:tc>
          <w:tcPr>
            <w:tcW w:w="1666" w:type="dxa"/>
            <w:tcBorders>
              <w:top w:val="single" w:sz="4" w:space="0" w:color="000000"/>
            </w:tcBorders>
          </w:tcPr>
          <w:p>
            <w:pPr>
              <w:pStyle w:val="TableParagraph"/>
              <w:spacing w:line="254" w:lineRule="exact"/>
              <w:ind w:left="295"/>
              <w:rPr>
                <w:sz w:val="24"/>
              </w:rPr>
            </w:pPr>
            <w:r>
              <w:rPr>
                <w:spacing w:val="-4"/>
                <w:sz w:val="24"/>
              </w:rPr>
              <w:t>Staff</w:t>
            </w:r>
          </w:p>
        </w:tc>
        <w:tc>
          <w:tcPr>
            <w:tcW w:w="1512" w:type="dxa"/>
            <w:tcBorders>
              <w:top w:val="single" w:sz="4" w:space="0" w:color="000000"/>
            </w:tcBorders>
          </w:tcPr>
          <w:p>
            <w:pPr>
              <w:pStyle w:val="TableParagraph"/>
              <w:spacing w:line="254" w:lineRule="exact"/>
              <w:ind w:left="246"/>
              <w:rPr>
                <w:sz w:val="24"/>
              </w:rPr>
            </w:pPr>
            <w:r>
              <w:rPr>
                <w:spacing w:val="-2"/>
                <w:sz w:val="24"/>
              </w:rPr>
              <w:t>.14031(*)</w:t>
            </w:r>
          </w:p>
        </w:tc>
        <w:tc>
          <w:tcPr>
            <w:tcW w:w="1292" w:type="dxa"/>
            <w:tcBorders>
              <w:top w:val="single" w:sz="4" w:space="0" w:color="000000"/>
            </w:tcBorders>
          </w:tcPr>
          <w:p>
            <w:pPr>
              <w:pStyle w:val="TableParagraph"/>
              <w:spacing w:line="254" w:lineRule="exact"/>
              <w:ind w:left="174"/>
              <w:rPr>
                <w:sz w:val="24"/>
              </w:rPr>
            </w:pPr>
            <w:r>
              <w:rPr>
                <w:spacing w:val="-2"/>
                <w:sz w:val="24"/>
              </w:rPr>
              <w:t>.05180</w:t>
            </w:r>
          </w:p>
        </w:tc>
        <w:tc>
          <w:tcPr>
            <w:tcW w:w="1127" w:type="dxa"/>
            <w:tcBorders>
              <w:top w:val="single" w:sz="4" w:space="0" w:color="000000"/>
              <w:right w:val="single" w:sz="4" w:space="0" w:color="000000"/>
            </w:tcBorders>
          </w:tcPr>
          <w:p>
            <w:pPr>
              <w:pStyle w:val="TableParagraph"/>
              <w:spacing w:line="254" w:lineRule="exact"/>
              <w:ind w:left="145"/>
              <w:rPr>
                <w:sz w:val="24"/>
              </w:rPr>
            </w:pPr>
            <w:r>
              <w:rPr>
                <w:spacing w:val="-4"/>
                <w:sz w:val="24"/>
              </w:rPr>
              <w:t>.026</w:t>
            </w:r>
          </w:p>
        </w:tc>
      </w:tr>
      <w:tr>
        <w:trPr>
          <w:trHeight w:val="276" w:hRule="atLeast"/>
        </w:trPr>
        <w:tc>
          <w:tcPr>
            <w:tcW w:w="1610" w:type="dxa"/>
            <w:tcBorders>
              <w:left w:val="single" w:sz="4" w:space="0" w:color="000000"/>
            </w:tcBorders>
          </w:tcPr>
          <w:p>
            <w:pPr>
              <w:pStyle w:val="TableParagraph"/>
              <w:rPr>
                <w:rFonts w:ascii="Times New Roman"/>
                <w:sz w:val="20"/>
              </w:rPr>
            </w:pPr>
          </w:p>
        </w:tc>
        <w:tc>
          <w:tcPr>
            <w:tcW w:w="1527" w:type="dxa"/>
          </w:tcPr>
          <w:p>
            <w:pPr>
              <w:pStyle w:val="TableParagraph"/>
              <w:rPr>
                <w:rFonts w:ascii="Times New Roman"/>
                <w:sz w:val="20"/>
              </w:rPr>
            </w:pPr>
          </w:p>
        </w:tc>
        <w:tc>
          <w:tcPr>
            <w:tcW w:w="1666" w:type="dxa"/>
          </w:tcPr>
          <w:p>
            <w:pPr>
              <w:pStyle w:val="TableParagraph"/>
              <w:spacing w:line="256" w:lineRule="exact"/>
              <w:ind w:left="295"/>
              <w:rPr>
                <w:sz w:val="24"/>
              </w:rPr>
            </w:pPr>
            <w:r>
              <w:rPr>
                <w:spacing w:val="-2"/>
                <w:sz w:val="24"/>
              </w:rPr>
              <w:t>Managmet</w:t>
            </w:r>
          </w:p>
        </w:tc>
        <w:tc>
          <w:tcPr>
            <w:tcW w:w="1512" w:type="dxa"/>
          </w:tcPr>
          <w:p>
            <w:pPr>
              <w:pStyle w:val="TableParagraph"/>
              <w:spacing w:line="256" w:lineRule="exact"/>
              <w:ind w:left="246"/>
              <w:rPr>
                <w:sz w:val="24"/>
              </w:rPr>
            </w:pPr>
            <w:r>
              <w:rPr>
                <w:spacing w:val="-2"/>
                <w:sz w:val="24"/>
              </w:rPr>
              <w:t>.05160</w:t>
            </w:r>
          </w:p>
        </w:tc>
        <w:tc>
          <w:tcPr>
            <w:tcW w:w="1292" w:type="dxa"/>
          </w:tcPr>
          <w:p>
            <w:pPr>
              <w:pStyle w:val="TableParagraph"/>
              <w:spacing w:line="256" w:lineRule="exact"/>
              <w:ind w:left="174"/>
              <w:rPr>
                <w:sz w:val="24"/>
              </w:rPr>
            </w:pPr>
            <w:r>
              <w:rPr>
                <w:spacing w:val="-2"/>
                <w:sz w:val="24"/>
              </w:rPr>
              <w:t>.11713</w:t>
            </w:r>
          </w:p>
        </w:tc>
        <w:tc>
          <w:tcPr>
            <w:tcW w:w="1127" w:type="dxa"/>
            <w:tcBorders>
              <w:right w:val="single" w:sz="4" w:space="0" w:color="000000"/>
            </w:tcBorders>
          </w:tcPr>
          <w:p>
            <w:pPr>
              <w:pStyle w:val="TableParagraph"/>
              <w:spacing w:line="256" w:lineRule="exact"/>
              <w:ind w:left="145"/>
              <w:rPr>
                <w:sz w:val="24"/>
              </w:rPr>
            </w:pPr>
            <w:r>
              <w:rPr>
                <w:spacing w:val="-4"/>
                <w:sz w:val="24"/>
              </w:rPr>
              <w:t>.908</w:t>
            </w:r>
          </w:p>
        </w:tc>
      </w:tr>
      <w:tr>
        <w:trPr>
          <w:trHeight w:val="275" w:hRule="atLeast"/>
        </w:trPr>
        <w:tc>
          <w:tcPr>
            <w:tcW w:w="1610" w:type="dxa"/>
            <w:tcBorders>
              <w:left w:val="single" w:sz="4" w:space="0" w:color="000000"/>
            </w:tcBorders>
          </w:tcPr>
          <w:p>
            <w:pPr>
              <w:pStyle w:val="TableParagraph"/>
              <w:spacing w:line="256" w:lineRule="exact"/>
              <w:ind w:left="91"/>
              <w:rPr>
                <w:sz w:val="24"/>
              </w:rPr>
            </w:pPr>
            <w:r>
              <w:rPr>
                <w:sz w:val="24"/>
              </w:rPr>
              <w:t>Inform.</w:t>
            </w:r>
            <w:r>
              <w:rPr>
                <w:spacing w:val="-13"/>
                <w:sz w:val="24"/>
              </w:rPr>
              <w:t> </w:t>
            </w:r>
            <w:r>
              <w:rPr>
                <w:spacing w:val="-2"/>
                <w:sz w:val="24"/>
              </w:rPr>
              <w:t>Tech.</w:t>
            </w:r>
          </w:p>
        </w:tc>
        <w:tc>
          <w:tcPr>
            <w:tcW w:w="1527" w:type="dxa"/>
          </w:tcPr>
          <w:p>
            <w:pPr>
              <w:pStyle w:val="TableParagraph"/>
              <w:spacing w:line="256" w:lineRule="exact"/>
              <w:ind w:left="108"/>
              <w:rPr>
                <w:sz w:val="24"/>
              </w:rPr>
            </w:pPr>
            <w:r>
              <w:rPr>
                <w:spacing w:val="-4"/>
                <w:sz w:val="24"/>
              </w:rPr>
              <w:t>Staff</w:t>
            </w:r>
          </w:p>
        </w:tc>
        <w:tc>
          <w:tcPr>
            <w:tcW w:w="1666" w:type="dxa"/>
          </w:tcPr>
          <w:p>
            <w:pPr>
              <w:pStyle w:val="TableParagraph"/>
              <w:spacing w:line="256" w:lineRule="exact"/>
              <w:ind w:left="295"/>
              <w:rPr>
                <w:sz w:val="24"/>
              </w:rPr>
            </w:pPr>
            <w:r>
              <w:rPr>
                <w:spacing w:val="-2"/>
                <w:sz w:val="24"/>
              </w:rPr>
              <w:t>Student</w:t>
            </w:r>
          </w:p>
        </w:tc>
        <w:tc>
          <w:tcPr>
            <w:tcW w:w="1512" w:type="dxa"/>
          </w:tcPr>
          <w:p>
            <w:pPr>
              <w:pStyle w:val="TableParagraph"/>
              <w:spacing w:line="256" w:lineRule="exact"/>
              <w:ind w:left="246"/>
              <w:rPr>
                <w:sz w:val="24"/>
              </w:rPr>
            </w:pPr>
            <w:r>
              <w:rPr>
                <w:sz w:val="24"/>
              </w:rPr>
              <w:t>-</w:t>
            </w:r>
            <w:r>
              <w:rPr>
                <w:spacing w:val="-2"/>
                <w:sz w:val="24"/>
              </w:rPr>
              <w:t>.14031(*)</w:t>
            </w:r>
          </w:p>
        </w:tc>
        <w:tc>
          <w:tcPr>
            <w:tcW w:w="1292" w:type="dxa"/>
          </w:tcPr>
          <w:p>
            <w:pPr>
              <w:pStyle w:val="TableParagraph"/>
              <w:spacing w:line="256" w:lineRule="exact"/>
              <w:ind w:left="174"/>
              <w:rPr>
                <w:sz w:val="24"/>
              </w:rPr>
            </w:pPr>
            <w:r>
              <w:rPr>
                <w:spacing w:val="-2"/>
                <w:sz w:val="24"/>
              </w:rPr>
              <w:t>.05180</w:t>
            </w:r>
          </w:p>
        </w:tc>
        <w:tc>
          <w:tcPr>
            <w:tcW w:w="1127" w:type="dxa"/>
            <w:tcBorders>
              <w:right w:val="single" w:sz="4" w:space="0" w:color="000000"/>
            </w:tcBorders>
          </w:tcPr>
          <w:p>
            <w:pPr>
              <w:pStyle w:val="TableParagraph"/>
              <w:spacing w:line="256" w:lineRule="exact"/>
              <w:ind w:left="145"/>
              <w:rPr>
                <w:sz w:val="24"/>
              </w:rPr>
            </w:pPr>
            <w:r>
              <w:rPr>
                <w:spacing w:val="-4"/>
                <w:sz w:val="24"/>
              </w:rPr>
              <w:t>.026</w:t>
            </w:r>
          </w:p>
        </w:tc>
      </w:tr>
      <w:tr>
        <w:trPr>
          <w:trHeight w:val="276" w:hRule="atLeast"/>
        </w:trPr>
        <w:tc>
          <w:tcPr>
            <w:tcW w:w="1610" w:type="dxa"/>
            <w:tcBorders>
              <w:left w:val="single" w:sz="4" w:space="0" w:color="000000"/>
            </w:tcBorders>
          </w:tcPr>
          <w:p>
            <w:pPr>
              <w:pStyle w:val="TableParagraph"/>
              <w:rPr>
                <w:rFonts w:ascii="Times New Roman"/>
                <w:sz w:val="20"/>
              </w:rPr>
            </w:pPr>
          </w:p>
        </w:tc>
        <w:tc>
          <w:tcPr>
            <w:tcW w:w="1527" w:type="dxa"/>
          </w:tcPr>
          <w:p>
            <w:pPr>
              <w:pStyle w:val="TableParagraph"/>
              <w:rPr>
                <w:rFonts w:ascii="Times New Roman"/>
                <w:sz w:val="20"/>
              </w:rPr>
            </w:pPr>
          </w:p>
        </w:tc>
        <w:tc>
          <w:tcPr>
            <w:tcW w:w="1666" w:type="dxa"/>
          </w:tcPr>
          <w:p>
            <w:pPr>
              <w:pStyle w:val="TableParagraph"/>
              <w:spacing w:line="256" w:lineRule="exact"/>
              <w:ind w:left="295"/>
              <w:rPr>
                <w:sz w:val="24"/>
              </w:rPr>
            </w:pPr>
            <w:r>
              <w:rPr>
                <w:spacing w:val="-2"/>
                <w:sz w:val="24"/>
              </w:rPr>
              <w:t>Managmet</w:t>
            </w:r>
          </w:p>
        </w:tc>
        <w:tc>
          <w:tcPr>
            <w:tcW w:w="1512" w:type="dxa"/>
          </w:tcPr>
          <w:p>
            <w:pPr>
              <w:pStyle w:val="TableParagraph"/>
              <w:spacing w:line="256" w:lineRule="exact"/>
              <w:ind w:left="246"/>
              <w:rPr>
                <w:sz w:val="24"/>
              </w:rPr>
            </w:pPr>
            <w:r>
              <w:rPr>
                <w:sz w:val="24"/>
              </w:rPr>
              <w:t>-</w:t>
            </w:r>
            <w:r>
              <w:rPr>
                <w:spacing w:val="-2"/>
                <w:sz w:val="24"/>
              </w:rPr>
              <w:t>.08871</w:t>
            </w:r>
          </w:p>
        </w:tc>
        <w:tc>
          <w:tcPr>
            <w:tcW w:w="1292" w:type="dxa"/>
          </w:tcPr>
          <w:p>
            <w:pPr>
              <w:pStyle w:val="TableParagraph"/>
              <w:spacing w:line="256" w:lineRule="exact"/>
              <w:ind w:left="174"/>
              <w:rPr>
                <w:sz w:val="24"/>
              </w:rPr>
            </w:pPr>
            <w:r>
              <w:rPr>
                <w:spacing w:val="-2"/>
                <w:sz w:val="24"/>
              </w:rPr>
              <w:t>.11806</w:t>
            </w:r>
          </w:p>
        </w:tc>
        <w:tc>
          <w:tcPr>
            <w:tcW w:w="1127" w:type="dxa"/>
            <w:tcBorders>
              <w:right w:val="single" w:sz="4" w:space="0" w:color="000000"/>
            </w:tcBorders>
          </w:tcPr>
          <w:p>
            <w:pPr>
              <w:pStyle w:val="TableParagraph"/>
              <w:spacing w:line="256" w:lineRule="exact"/>
              <w:ind w:left="145"/>
              <w:rPr>
                <w:sz w:val="24"/>
              </w:rPr>
            </w:pPr>
            <w:r>
              <w:rPr>
                <w:spacing w:val="-4"/>
                <w:sz w:val="24"/>
              </w:rPr>
              <w:t>.754</w:t>
            </w:r>
          </w:p>
        </w:tc>
      </w:tr>
      <w:tr>
        <w:trPr>
          <w:trHeight w:val="275" w:hRule="atLeast"/>
        </w:trPr>
        <w:tc>
          <w:tcPr>
            <w:tcW w:w="1610" w:type="dxa"/>
            <w:tcBorders>
              <w:left w:val="single" w:sz="4" w:space="0" w:color="000000"/>
            </w:tcBorders>
          </w:tcPr>
          <w:p>
            <w:pPr>
              <w:pStyle w:val="TableParagraph"/>
              <w:rPr>
                <w:rFonts w:ascii="Times New Roman"/>
                <w:sz w:val="20"/>
              </w:rPr>
            </w:pPr>
          </w:p>
        </w:tc>
        <w:tc>
          <w:tcPr>
            <w:tcW w:w="1527" w:type="dxa"/>
          </w:tcPr>
          <w:p>
            <w:pPr>
              <w:pStyle w:val="TableParagraph"/>
              <w:spacing w:line="256" w:lineRule="exact"/>
              <w:ind w:left="108"/>
              <w:rPr>
                <w:sz w:val="24"/>
              </w:rPr>
            </w:pPr>
            <w:r>
              <w:rPr>
                <w:spacing w:val="-2"/>
                <w:sz w:val="24"/>
              </w:rPr>
              <w:t>Managmet</w:t>
            </w:r>
          </w:p>
        </w:tc>
        <w:tc>
          <w:tcPr>
            <w:tcW w:w="1666" w:type="dxa"/>
          </w:tcPr>
          <w:p>
            <w:pPr>
              <w:pStyle w:val="TableParagraph"/>
              <w:spacing w:line="256" w:lineRule="exact"/>
              <w:ind w:left="295"/>
              <w:rPr>
                <w:sz w:val="24"/>
              </w:rPr>
            </w:pPr>
            <w:r>
              <w:rPr>
                <w:spacing w:val="-2"/>
                <w:sz w:val="24"/>
              </w:rPr>
              <w:t>Student</w:t>
            </w:r>
          </w:p>
        </w:tc>
        <w:tc>
          <w:tcPr>
            <w:tcW w:w="1512" w:type="dxa"/>
          </w:tcPr>
          <w:p>
            <w:pPr>
              <w:pStyle w:val="TableParagraph"/>
              <w:spacing w:line="256" w:lineRule="exact"/>
              <w:ind w:left="246"/>
              <w:rPr>
                <w:sz w:val="24"/>
              </w:rPr>
            </w:pPr>
            <w:r>
              <w:rPr>
                <w:sz w:val="24"/>
              </w:rPr>
              <w:t>-</w:t>
            </w:r>
            <w:r>
              <w:rPr>
                <w:spacing w:val="-2"/>
                <w:sz w:val="24"/>
              </w:rPr>
              <w:t>.05160</w:t>
            </w:r>
          </w:p>
        </w:tc>
        <w:tc>
          <w:tcPr>
            <w:tcW w:w="1292" w:type="dxa"/>
          </w:tcPr>
          <w:p>
            <w:pPr>
              <w:pStyle w:val="TableParagraph"/>
              <w:spacing w:line="256" w:lineRule="exact"/>
              <w:ind w:left="174"/>
              <w:rPr>
                <w:sz w:val="24"/>
              </w:rPr>
            </w:pPr>
            <w:r>
              <w:rPr>
                <w:spacing w:val="-2"/>
                <w:sz w:val="24"/>
              </w:rPr>
              <w:t>.11713</w:t>
            </w:r>
          </w:p>
        </w:tc>
        <w:tc>
          <w:tcPr>
            <w:tcW w:w="1127" w:type="dxa"/>
            <w:tcBorders>
              <w:right w:val="single" w:sz="4" w:space="0" w:color="000000"/>
            </w:tcBorders>
          </w:tcPr>
          <w:p>
            <w:pPr>
              <w:pStyle w:val="TableParagraph"/>
              <w:spacing w:line="256" w:lineRule="exact"/>
              <w:ind w:left="145"/>
              <w:rPr>
                <w:sz w:val="24"/>
              </w:rPr>
            </w:pPr>
            <w:r>
              <w:rPr>
                <w:spacing w:val="-4"/>
                <w:sz w:val="24"/>
              </w:rPr>
              <w:t>.908</w:t>
            </w:r>
          </w:p>
        </w:tc>
      </w:tr>
      <w:tr>
        <w:trPr>
          <w:trHeight w:val="277" w:hRule="atLeast"/>
        </w:trPr>
        <w:tc>
          <w:tcPr>
            <w:tcW w:w="1610" w:type="dxa"/>
            <w:tcBorders>
              <w:left w:val="single" w:sz="4" w:space="0" w:color="000000"/>
              <w:bottom w:val="single" w:sz="4" w:space="0" w:color="000000"/>
            </w:tcBorders>
          </w:tcPr>
          <w:p>
            <w:pPr>
              <w:pStyle w:val="TableParagraph"/>
              <w:rPr>
                <w:rFonts w:ascii="Times New Roman"/>
                <w:sz w:val="20"/>
              </w:rPr>
            </w:pPr>
          </w:p>
        </w:tc>
        <w:tc>
          <w:tcPr>
            <w:tcW w:w="1527" w:type="dxa"/>
            <w:tcBorders>
              <w:bottom w:val="single" w:sz="4" w:space="0" w:color="000000"/>
            </w:tcBorders>
          </w:tcPr>
          <w:p>
            <w:pPr>
              <w:pStyle w:val="TableParagraph"/>
              <w:rPr>
                <w:rFonts w:ascii="Times New Roman"/>
                <w:sz w:val="20"/>
              </w:rPr>
            </w:pPr>
          </w:p>
        </w:tc>
        <w:tc>
          <w:tcPr>
            <w:tcW w:w="1666" w:type="dxa"/>
            <w:tcBorders>
              <w:bottom w:val="single" w:sz="4" w:space="0" w:color="000000"/>
            </w:tcBorders>
          </w:tcPr>
          <w:p>
            <w:pPr>
              <w:pStyle w:val="TableParagraph"/>
              <w:spacing w:line="257" w:lineRule="exact"/>
              <w:ind w:left="295"/>
              <w:rPr>
                <w:sz w:val="24"/>
              </w:rPr>
            </w:pPr>
            <w:r>
              <w:rPr>
                <w:spacing w:val="-4"/>
                <w:sz w:val="24"/>
              </w:rPr>
              <w:t>Staff</w:t>
            </w:r>
          </w:p>
        </w:tc>
        <w:tc>
          <w:tcPr>
            <w:tcW w:w="1512" w:type="dxa"/>
            <w:tcBorders>
              <w:bottom w:val="single" w:sz="4" w:space="0" w:color="000000"/>
            </w:tcBorders>
          </w:tcPr>
          <w:p>
            <w:pPr>
              <w:pStyle w:val="TableParagraph"/>
              <w:spacing w:line="257" w:lineRule="exact"/>
              <w:ind w:left="246"/>
              <w:rPr>
                <w:sz w:val="24"/>
              </w:rPr>
            </w:pPr>
            <w:r>
              <w:rPr>
                <w:spacing w:val="-2"/>
                <w:sz w:val="24"/>
              </w:rPr>
              <w:t>.08871</w:t>
            </w:r>
          </w:p>
        </w:tc>
        <w:tc>
          <w:tcPr>
            <w:tcW w:w="1292" w:type="dxa"/>
            <w:tcBorders>
              <w:bottom w:val="single" w:sz="4" w:space="0" w:color="000000"/>
            </w:tcBorders>
          </w:tcPr>
          <w:p>
            <w:pPr>
              <w:pStyle w:val="TableParagraph"/>
              <w:spacing w:line="257" w:lineRule="exact"/>
              <w:ind w:left="174"/>
              <w:rPr>
                <w:sz w:val="24"/>
              </w:rPr>
            </w:pPr>
            <w:r>
              <w:rPr>
                <w:spacing w:val="-2"/>
                <w:sz w:val="24"/>
              </w:rPr>
              <w:t>.11806</w:t>
            </w:r>
          </w:p>
        </w:tc>
        <w:tc>
          <w:tcPr>
            <w:tcW w:w="1127" w:type="dxa"/>
            <w:tcBorders>
              <w:bottom w:val="single" w:sz="4" w:space="0" w:color="000000"/>
              <w:right w:val="single" w:sz="4" w:space="0" w:color="000000"/>
            </w:tcBorders>
          </w:tcPr>
          <w:p>
            <w:pPr>
              <w:pStyle w:val="TableParagraph"/>
              <w:spacing w:line="257" w:lineRule="exact"/>
              <w:ind w:left="145"/>
              <w:rPr>
                <w:sz w:val="24"/>
              </w:rPr>
            </w:pPr>
            <w:r>
              <w:rPr>
                <w:spacing w:val="-4"/>
                <w:sz w:val="24"/>
              </w:rPr>
              <w:t>.754</w:t>
            </w:r>
          </w:p>
        </w:tc>
      </w:tr>
    </w:tbl>
    <w:p>
      <w:pPr>
        <w:pStyle w:val="BodyText"/>
        <w:ind w:left="840"/>
        <w:jc w:val="both"/>
      </w:pPr>
      <w:r>
        <w:rPr/>
        <w:t>*Mean</w:t>
      </w:r>
      <w:r>
        <w:rPr>
          <w:spacing w:val="-5"/>
        </w:rPr>
        <w:t> </w:t>
      </w:r>
      <w:r>
        <w:rPr/>
        <w:t>difference</w:t>
      </w:r>
      <w:r>
        <w:rPr>
          <w:spacing w:val="-8"/>
        </w:rPr>
        <w:t> </w:t>
      </w:r>
      <w:r>
        <w:rPr/>
        <w:t>is</w:t>
      </w:r>
      <w:r>
        <w:rPr>
          <w:spacing w:val="-6"/>
        </w:rPr>
        <w:t> </w:t>
      </w:r>
      <w:r>
        <w:rPr/>
        <w:t>significant</w:t>
      </w:r>
      <w:r>
        <w:rPr>
          <w:spacing w:val="-5"/>
        </w:rPr>
        <w:t> </w:t>
      </w:r>
      <w:r>
        <w:rPr/>
        <w:t>at</w:t>
      </w:r>
      <w:r>
        <w:rPr>
          <w:spacing w:val="-9"/>
        </w:rPr>
        <w:t> </w:t>
      </w:r>
      <w:r>
        <w:rPr/>
        <w:t>.05</w:t>
      </w:r>
      <w:r>
        <w:rPr>
          <w:spacing w:val="-9"/>
        </w:rPr>
        <w:t> </w:t>
      </w:r>
      <w:r>
        <w:rPr>
          <w:spacing w:val="-4"/>
        </w:rPr>
        <w:t>level</w:t>
      </w:r>
    </w:p>
    <w:p>
      <w:pPr>
        <w:pStyle w:val="BodyText"/>
        <w:spacing w:line="550" w:lineRule="atLeast"/>
        <w:ind w:left="840" w:right="554" w:firstLine="720"/>
        <w:jc w:val="both"/>
      </w:pPr>
      <w:r>
        <w:rPr/>
        <w:t>From the position of the Scheffe’s Multiple Comparison Test above, it could be concluded that there were differences in the degree of respondents’ opinions regarding the impact of information technology on the students’ welfare in the universities. The mean differences of management and students seemed</w:t>
      </w:r>
      <w:r>
        <w:rPr>
          <w:spacing w:val="40"/>
        </w:rPr>
        <w:t> </w:t>
      </w:r>
      <w:r>
        <w:rPr/>
        <w:t>to be in agreement while the service staff disagreed in their opinions with that of the two groups. The similarity in the opinions of students and management could be attributed to the improved technological gadgets for easy communications. Most universities</w:t>
      </w:r>
      <w:r>
        <w:rPr>
          <w:spacing w:val="-4"/>
        </w:rPr>
        <w:t> </w:t>
      </w:r>
      <w:r>
        <w:rPr/>
        <w:t>had</w:t>
      </w:r>
      <w:r>
        <w:rPr>
          <w:spacing w:val="1"/>
        </w:rPr>
        <w:t> </w:t>
      </w:r>
      <w:r>
        <w:rPr/>
        <w:t>provided</w:t>
      </w:r>
      <w:r>
        <w:rPr>
          <w:spacing w:val="2"/>
        </w:rPr>
        <w:t> </w:t>
      </w:r>
      <w:r>
        <w:rPr/>
        <w:t>computerized</w:t>
      </w:r>
      <w:r>
        <w:rPr>
          <w:spacing w:val="-3"/>
        </w:rPr>
        <w:t> </w:t>
      </w:r>
      <w:r>
        <w:rPr/>
        <w:t>facilities,</w:t>
      </w:r>
      <w:r>
        <w:rPr>
          <w:spacing w:val="-8"/>
        </w:rPr>
        <w:t> </w:t>
      </w:r>
      <w:r>
        <w:rPr/>
        <w:t>internet</w:t>
      </w:r>
      <w:r>
        <w:rPr>
          <w:spacing w:val="1"/>
        </w:rPr>
        <w:t> </w:t>
      </w:r>
      <w:r>
        <w:rPr/>
        <w:t>cafes, private</w:t>
      </w:r>
      <w:r>
        <w:rPr>
          <w:spacing w:val="-3"/>
        </w:rPr>
        <w:t> </w:t>
      </w:r>
      <w:r>
        <w:rPr>
          <w:spacing w:val="-5"/>
        </w:rPr>
        <w:t>and</w:t>
      </w:r>
    </w:p>
    <w:p>
      <w:pPr>
        <w:spacing w:after="0" w:line="550" w:lineRule="atLeast"/>
        <w:jc w:val="both"/>
        <w:sectPr>
          <w:headerReference w:type="default" r:id="rId475"/>
          <w:footerReference w:type="default" r:id="rId476"/>
          <w:pgSz w:w="12240" w:h="15840"/>
          <w:pgMar w:header="722" w:footer="791" w:top="980" w:bottom="980" w:left="1320" w:right="880"/>
        </w:sectPr>
      </w:pPr>
    </w:p>
    <w:p>
      <w:pPr>
        <w:pStyle w:val="BodyText"/>
        <w:spacing w:before="171"/>
      </w:pPr>
    </w:p>
    <w:p>
      <w:pPr>
        <w:pStyle w:val="BodyText"/>
        <w:spacing w:line="480" w:lineRule="auto"/>
        <w:ind w:left="840" w:right="553"/>
        <w:jc w:val="both"/>
      </w:pPr>
      <w:r>
        <w:rPr/>
        <w:t>departmental photocopiers, bookshops and publication service</w:t>
      </w:r>
      <w:r>
        <w:rPr>
          <w:spacing w:val="-3"/>
        </w:rPr>
        <w:t> </w:t>
      </w:r>
      <w:r>
        <w:rPr/>
        <w:t>and with the giant breakthrough</w:t>
      </w:r>
      <w:r>
        <w:rPr>
          <w:spacing w:val="-4"/>
        </w:rPr>
        <w:t> </w:t>
      </w:r>
      <w:r>
        <w:rPr/>
        <w:t>in mobile system</w:t>
      </w:r>
      <w:r>
        <w:rPr>
          <w:spacing w:val="-4"/>
        </w:rPr>
        <w:t> </w:t>
      </w:r>
      <w:r>
        <w:rPr/>
        <w:t>of</w:t>
      </w:r>
      <w:r>
        <w:rPr>
          <w:spacing w:val="-1"/>
        </w:rPr>
        <w:t> </w:t>
      </w:r>
      <w:r>
        <w:rPr/>
        <w:t>communication, gadgets</w:t>
      </w:r>
      <w:r>
        <w:rPr>
          <w:spacing w:val="-6"/>
        </w:rPr>
        <w:t> </w:t>
      </w:r>
      <w:r>
        <w:rPr/>
        <w:t>like laptops</w:t>
      </w:r>
      <w:r>
        <w:rPr>
          <w:spacing w:val="-1"/>
        </w:rPr>
        <w:t> </w:t>
      </w:r>
      <w:r>
        <w:rPr/>
        <w:t>and GSM, mobile phones, might have contributed immensely and positively to students academic performance.</w:t>
      </w:r>
    </w:p>
    <w:p>
      <w:pPr>
        <w:pStyle w:val="Heading4"/>
        <w:numPr>
          <w:ilvl w:val="2"/>
          <w:numId w:val="43"/>
        </w:numPr>
        <w:tabs>
          <w:tab w:pos="1020" w:val="left" w:leader="none"/>
        </w:tabs>
        <w:spacing w:line="240" w:lineRule="auto" w:before="2" w:after="0"/>
        <w:ind w:left="1020" w:right="0" w:hanging="900"/>
        <w:jc w:val="left"/>
      </w:pPr>
      <w:bookmarkStart w:name="_TOC_250007" w:id="61"/>
      <w:r>
        <w:rPr/>
        <w:t>Null</w:t>
      </w:r>
      <w:r>
        <w:rPr>
          <w:spacing w:val="-11"/>
        </w:rPr>
        <w:t> </w:t>
      </w:r>
      <w:r>
        <w:rPr/>
        <w:t>Hypothesis</w:t>
      </w:r>
      <w:r>
        <w:rPr>
          <w:spacing w:val="-10"/>
        </w:rPr>
        <w:t> </w:t>
      </w:r>
      <w:bookmarkEnd w:id="61"/>
      <w:r>
        <w:rPr>
          <w:spacing w:val="-5"/>
        </w:rPr>
        <w:t>18</w:t>
      </w:r>
    </w:p>
    <w:p>
      <w:pPr>
        <w:pStyle w:val="BodyText"/>
        <w:spacing w:before="44"/>
        <w:rPr>
          <w:rFonts w:ascii="Arial"/>
          <w:b/>
        </w:rPr>
      </w:pPr>
    </w:p>
    <w:p>
      <w:pPr>
        <w:pStyle w:val="BodyText"/>
        <w:spacing w:line="480" w:lineRule="auto"/>
        <w:ind w:left="840" w:right="559" w:firstLine="720"/>
        <w:jc w:val="both"/>
      </w:pPr>
      <w:r>
        <w:rPr/>
        <w:t>There is no significant difference in the opinions of students, service staff and top management in respect of the impact of medical/health services on students’ welfare in the universities under the research.</w:t>
      </w:r>
    </w:p>
    <w:p>
      <w:pPr>
        <w:pStyle w:val="BodyText"/>
        <w:spacing w:line="480" w:lineRule="auto"/>
        <w:ind w:left="840" w:right="553" w:firstLine="720"/>
        <w:jc w:val="both"/>
      </w:pPr>
      <w:r>
        <w:rPr/>
        <w:t>The responses of respondents</w:t>
      </w:r>
      <w:r>
        <w:rPr>
          <w:spacing w:val="-2"/>
        </w:rPr>
        <w:t> </w:t>
      </w:r>
      <w:r>
        <w:rPr/>
        <w:t>in items 85 to 88 in the questionnaire were used</w:t>
      </w:r>
      <w:r>
        <w:rPr>
          <w:spacing w:val="-1"/>
        </w:rPr>
        <w:t> </w:t>
      </w:r>
      <w:r>
        <w:rPr/>
        <w:t>to</w:t>
      </w:r>
      <w:r>
        <w:rPr>
          <w:spacing w:val="-2"/>
        </w:rPr>
        <w:t> </w:t>
      </w:r>
      <w:r>
        <w:rPr/>
        <w:t>analyse</w:t>
      </w:r>
      <w:r>
        <w:rPr>
          <w:spacing w:val="-1"/>
        </w:rPr>
        <w:t> </w:t>
      </w:r>
      <w:r>
        <w:rPr/>
        <w:t>the</w:t>
      </w:r>
      <w:r>
        <w:rPr>
          <w:spacing w:val="-1"/>
        </w:rPr>
        <w:t> </w:t>
      </w:r>
      <w:r>
        <w:rPr/>
        <w:t>extent</w:t>
      </w:r>
      <w:r>
        <w:rPr>
          <w:spacing w:val="-2"/>
        </w:rPr>
        <w:t> </w:t>
      </w:r>
      <w:r>
        <w:rPr/>
        <w:t>of</w:t>
      </w:r>
      <w:r>
        <w:rPr>
          <w:spacing w:val="-2"/>
        </w:rPr>
        <w:t> </w:t>
      </w:r>
      <w:r>
        <w:rPr/>
        <w:t>consensus</w:t>
      </w:r>
      <w:r>
        <w:rPr>
          <w:spacing w:val="-7"/>
        </w:rPr>
        <w:t> </w:t>
      </w:r>
      <w:r>
        <w:rPr/>
        <w:t>in</w:t>
      </w:r>
      <w:r>
        <w:rPr>
          <w:spacing w:val="-1"/>
        </w:rPr>
        <w:t> </w:t>
      </w:r>
      <w:r>
        <w:rPr/>
        <w:t>the</w:t>
      </w:r>
      <w:r>
        <w:rPr>
          <w:spacing w:val="-2"/>
        </w:rPr>
        <w:t> </w:t>
      </w:r>
      <w:r>
        <w:rPr/>
        <w:t>opinions</w:t>
      </w:r>
      <w:r>
        <w:rPr>
          <w:spacing w:val="-2"/>
        </w:rPr>
        <w:t> </w:t>
      </w:r>
      <w:r>
        <w:rPr/>
        <w:t>of</w:t>
      </w:r>
      <w:r>
        <w:rPr>
          <w:spacing w:val="-6"/>
        </w:rPr>
        <w:t> </w:t>
      </w:r>
      <w:r>
        <w:rPr/>
        <w:t>respondents</w:t>
      </w:r>
      <w:r>
        <w:rPr>
          <w:spacing w:val="-2"/>
        </w:rPr>
        <w:t> </w:t>
      </w:r>
      <w:r>
        <w:rPr/>
        <w:t>regarding the impact of medical/health services on students’ welfare in the universities under study. To test the hypothesis, therefore, all the related items were used</w:t>
      </w:r>
      <w:r>
        <w:rPr>
          <w:spacing w:val="40"/>
        </w:rPr>
        <w:t> </w:t>
      </w:r>
      <w:r>
        <w:rPr/>
        <w:t>and the One Way Analysis of Variance statistical procedure was used to record the difference of the respondents’ opinions. Thus, the results of the test are presented in Table 4.5.30.</w:t>
      </w:r>
    </w:p>
    <w:p>
      <w:pPr>
        <w:pStyle w:val="Heading2"/>
        <w:spacing w:after="4"/>
        <w:ind w:left="2515" w:right="1000" w:hanging="1676"/>
      </w:pPr>
      <w:r>
        <w:rPr/>
        <w:t>Table</w:t>
      </w:r>
      <w:r>
        <w:rPr>
          <w:spacing w:val="-3"/>
        </w:rPr>
        <w:t> </w:t>
      </w:r>
      <w:r>
        <w:rPr/>
        <w:t>4.5.30:</w:t>
      </w:r>
      <w:r>
        <w:rPr>
          <w:spacing w:val="-4"/>
        </w:rPr>
        <w:t> </w:t>
      </w:r>
      <w:r>
        <w:rPr/>
        <w:t>Analysis</w:t>
      </w:r>
      <w:r>
        <w:rPr>
          <w:spacing w:val="-4"/>
        </w:rPr>
        <w:t> </w:t>
      </w:r>
      <w:r>
        <w:rPr/>
        <w:t>of</w:t>
      </w:r>
      <w:r>
        <w:rPr>
          <w:spacing w:val="-4"/>
        </w:rPr>
        <w:t> </w:t>
      </w:r>
      <w:r>
        <w:rPr/>
        <w:t>Variance</w:t>
      </w:r>
      <w:r>
        <w:rPr>
          <w:spacing w:val="-8"/>
        </w:rPr>
        <w:t> </w:t>
      </w:r>
      <w:r>
        <w:rPr/>
        <w:t>(ANOVA)</w:t>
      </w:r>
      <w:r>
        <w:rPr>
          <w:spacing w:val="-4"/>
        </w:rPr>
        <w:t> </w:t>
      </w:r>
      <w:r>
        <w:rPr/>
        <w:t>on</w:t>
      </w:r>
      <w:r>
        <w:rPr>
          <w:spacing w:val="-4"/>
        </w:rPr>
        <w:t> </w:t>
      </w:r>
      <w:r>
        <w:rPr/>
        <w:t>the</w:t>
      </w:r>
      <w:r>
        <w:rPr>
          <w:spacing w:val="-8"/>
        </w:rPr>
        <w:t> </w:t>
      </w:r>
      <w:r>
        <w:rPr/>
        <w:t>impact</w:t>
      </w:r>
      <w:r>
        <w:rPr>
          <w:spacing w:val="-4"/>
        </w:rPr>
        <w:t> </w:t>
      </w:r>
      <w:r>
        <w:rPr/>
        <w:t>of medical/health services on students’ welfare in Universities in three geopolitical zones in Northern part of Nigeria</w:t>
      </w:r>
    </w:p>
    <w:tbl>
      <w:tblPr>
        <w:tblW w:w="0" w:type="auto"/>
        <w:jc w:val="left"/>
        <w:tblInd w:w="1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63"/>
        <w:gridCol w:w="686"/>
        <w:gridCol w:w="1552"/>
        <w:gridCol w:w="1352"/>
        <w:gridCol w:w="1225"/>
        <w:gridCol w:w="1507"/>
      </w:tblGrid>
      <w:tr>
        <w:trPr>
          <w:trHeight w:val="551" w:hRule="atLeast"/>
        </w:trPr>
        <w:tc>
          <w:tcPr>
            <w:tcW w:w="1963" w:type="dxa"/>
            <w:tcBorders>
              <w:top w:val="single" w:sz="4" w:space="0" w:color="000000"/>
              <w:left w:val="single" w:sz="4" w:space="0" w:color="000000"/>
              <w:bottom w:val="single" w:sz="4" w:space="0" w:color="000000"/>
            </w:tcBorders>
          </w:tcPr>
          <w:p>
            <w:pPr>
              <w:pStyle w:val="TableParagraph"/>
              <w:spacing w:line="267" w:lineRule="exact"/>
              <w:ind w:left="431"/>
              <w:rPr>
                <w:rFonts w:ascii="Arial"/>
                <w:b/>
                <w:sz w:val="24"/>
              </w:rPr>
            </w:pPr>
            <w:r>
              <w:rPr>
                <w:rFonts w:ascii="Arial"/>
                <w:b/>
                <w:sz w:val="24"/>
              </w:rPr>
              <w:t>Source</w:t>
            </w:r>
            <w:r>
              <w:rPr>
                <w:rFonts w:ascii="Arial"/>
                <w:b/>
                <w:spacing w:val="-12"/>
                <w:sz w:val="24"/>
              </w:rPr>
              <w:t> </w:t>
            </w:r>
            <w:r>
              <w:rPr>
                <w:rFonts w:ascii="Arial"/>
                <w:b/>
                <w:spacing w:val="-5"/>
                <w:sz w:val="24"/>
              </w:rPr>
              <w:t>of</w:t>
            </w:r>
          </w:p>
          <w:p>
            <w:pPr>
              <w:pStyle w:val="TableParagraph"/>
              <w:spacing w:line="263" w:lineRule="exact" w:before="2"/>
              <w:ind w:left="470"/>
              <w:rPr>
                <w:rFonts w:ascii="Arial"/>
                <w:b/>
                <w:sz w:val="24"/>
              </w:rPr>
            </w:pPr>
            <w:r>
              <w:rPr>
                <w:rFonts w:ascii="Arial"/>
                <w:b/>
                <w:spacing w:val="-2"/>
                <w:sz w:val="24"/>
              </w:rPr>
              <w:t>Variation</w:t>
            </w:r>
          </w:p>
        </w:tc>
        <w:tc>
          <w:tcPr>
            <w:tcW w:w="686" w:type="dxa"/>
            <w:tcBorders>
              <w:top w:val="single" w:sz="4" w:space="0" w:color="000000"/>
              <w:bottom w:val="single" w:sz="4" w:space="0" w:color="000000"/>
            </w:tcBorders>
          </w:tcPr>
          <w:p>
            <w:pPr>
              <w:pStyle w:val="TableParagraph"/>
              <w:spacing w:line="267" w:lineRule="exact"/>
              <w:ind w:left="216"/>
              <w:rPr>
                <w:rFonts w:ascii="Arial"/>
                <w:b/>
                <w:sz w:val="24"/>
              </w:rPr>
            </w:pPr>
            <w:r>
              <w:rPr>
                <w:rFonts w:ascii="Arial"/>
                <w:b/>
                <w:spacing w:val="-5"/>
                <w:sz w:val="24"/>
              </w:rPr>
              <w:t>DF</w:t>
            </w:r>
          </w:p>
        </w:tc>
        <w:tc>
          <w:tcPr>
            <w:tcW w:w="1552" w:type="dxa"/>
            <w:tcBorders>
              <w:top w:val="single" w:sz="4" w:space="0" w:color="000000"/>
              <w:bottom w:val="single" w:sz="4" w:space="0" w:color="000000"/>
            </w:tcBorders>
          </w:tcPr>
          <w:p>
            <w:pPr>
              <w:pStyle w:val="TableParagraph"/>
              <w:spacing w:line="267" w:lineRule="exact"/>
              <w:ind w:left="451"/>
              <w:rPr>
                <w:rFonts w:ascii="Arial"/>
                <w:b/>
                <w:sz w:val="24"/>
              </w:rPr>
            </w:pPr>
            <w:r>
              <w:rPr>
                <w:rFonts w:ascii="Arial"/>
                <w:b/>
                <w:sz w:val="24"/>
              </w:rPr>
              <w:t>Sum</w:t>
            </w:r>
            <w:r>
              <w:rPr>
                <w:rFonts w:ascii="Arial"/>
                <w:b/>
                <w:spacing w:val="-13"/>
                <w:sz w:val="24"/>
              </w:rPr>
              <w:t> </w:t>
            </w:r>
            <w:r>
              <w:rPr>
                <w:rFonts w:ascii="Arial"/>
                <w:b/>
                <w:spacing w:val="-5"/>
                <w:sz w:val="24"/>
              </w:rPr>
              <w:t>of</w:t>
            </w:r>
          </w:p>
          <w:p>
            <w:pPr>
              <w:pStyle w:val="TableParagraph"/>
              <w:spacing w:line="263" w:lineRule="exact" w:before="2"/>
              <w:ind w:left="384"/>
              <w:rPr>
                <w:rFonts w:ascii="Arial"/>
                <w:b/>
                <w:sz w:val="24"/>
              </w:rPr>
            </w:pPr>
            <w:r>
              <w:rPr>
                <w:rFonts w:ascii="Arial"/>
                <w:b/>
                <w:spacing w:val="-2"/>
                <w:sz w:val="24"/>
              </w:rPr>
              <w:t>Squares</w:t>
            </w:r>
          </w:p>
        </w:tc>
        <w:tc>
          <w:tcPr>
            <w:tcW w:w="1352" w:type="dxa"/>
            <w:tcBorders>
              <w:top w:val="single" w:sz="4" w:space="0" w:color="000000"/>
              <w:bottom w:val="single" w:sz="4" w:space="0" w:color="000000"/>
            </w:tcBorders>
          </w:tcPr>
          <w:p>
            <w:pPr>
              <w:pStyle w:val="TableParagraph"/>
              <w:spacing w:line="267" w:lineRule="exact"/>
              <w:ind w:left="150"/>
              <w:jc w:val="center"/>
              <w:rPr>
                <w:rFonts w:ascii="Arial"/>
                <w:b/>
                <w:sz w:val="24"/>
              </w:rPr>
            </w:pPr>
            <w:r>
              <w:rPr>
                <w:rFonts w:ascii="Arial"/>
                <w:b/>
                <w:spacing w:val="-4"/>
                <w:sz w:val="24"/>
              </w:rPr>
              <w:t>Mean</w:t>
            </w:r>
          </w:p>
          <w:p>
            <w:pPr>
              <w:pStyle w:val="TableParagraph"/>
              <w:spacing w:line="263" w:lineRule="exact" w:before="2"/>
              <w:ind w:left="150" w:right="3"/>
              <w:jc w:val="center"/>
              <w:rPr>
                <w:rFonts w:ascii="Arial"/>
                <w:b/>
                <w:sz w:val="24"/>
              </w:rPr>
            </w:pPr>
            <w:r>
              <w:rPr>
                <w:rFonts w:ascii="Arial"/>
                <w:b/>
                <w:spacing w:val="-2"/>
                <w:sz w:val="24"/>
              </w:rPr>
              <w:t>Squares</w:t>
            </w:r>
          </w:p>
        </w:tc>
        <w:tc>
          <w:tcPr>
            <w:tcW w:w="1225" w:type="dxa"/>
            <w:tcBorders>
              <w:top w:val="single" w:sz="4" w:space="0" w:color="000000"/>
              <w:bottom w:val="single" w:sz="4" w:space="0" w:color="000000"/>
            </w:tcBorders>
          </w:tcPr>
          <w:p>
            <w:pPr>
              <w:pStyle w:val="TableParagraph"/>
              <w:spacing w:line="267" w:lineRule="exact"/>
              <w:ind w:left="221"/>
              <w:rPr>
                <w:rFonts w:ascii="Arial"/>
                <w:b/>
                <w:sz w:val="24"/>
              </w:rPr>
            </w:pPr>
            <w:r>
              <w:rPr>
                <w:rFonts w:ascii="Arial"/>
                <w:b/>
                <w:sz w:val="24"/>
              </w:rPr>
              <w:t>F </w:t>
            </w:r>
            <w:r>
              <w:rPr>
                <w:rFonts w:ascii="Arial"/>
                <w:b/>
                <w:spacing w:val="-2"/>
                <w:sz w:val="24"/>
              </w:rPr>
              <w:t>Value</w:t>
            </w:r>
          </w:p>
        </w:tc>
        <w:tc>
          <w:tcPr>
            <w:tcW w:w="1507" w:type="dxa"/>
            <w:tcBorders>
              <w:top w:val="single" w:sz="4" w:space="0" w:color="000000"/>
              <w:bottom w:val="single" w:sz="4" w:space="0" w:color="000000"/>
              <w:right w:val="single" w:sz="4" w:space="0" w:color="000000"/>
            </w:tcBorders>
          </w:tcPr>
          <w:p>
            <w:pPr>
              <w:pStyle w:val="TableParagraph"/>
              <w:spacing w:line="267" w:lineRule="exact"/>
              <w:ind w:left="50" w:right="2"/>
              <w:jc w:val="center"/>
              <w:rPr>
                <w:rFonts w:ascii="Arial"/>
                <w:b/>
                <w:sz w:val="24"/>
              </w:rPr>
            </w:pPr>
            <w:r>
              <w:rPr>
                <w:rFonts w:ascii="Arial"/>
                <w:b/>
                <w:spacing w:val="-10"/>
                <w:sz w:val="24"/>
              </w:rPr>
              <w:t>P</w:t>
            </w:r>
          </w:p>
          <w:p>
            <w:pPr>
              <w:pStyle w:val="TableParagraph"/>
              <w:spacing w:line="263" w:lineRule="exact" w:before="2"/>
              <w:ind w:left="50"/>
              <w:jc w:val="center"/>
              <w:rPr>
                <w:rFonts w:ascii="Arial"/>
                <w:b/>
                <w:sz w:val="24"/>
              </w:rPr>
            </w:pPr>
            <w:r>
              <w:rPr>
                <w:rFonts w:ascii="Arial"/>
                <w:b/>
                <w:spacing w:val="-2"/>
                <w:sz w:val="24"/>
              </w:rPr>
              <w:t>Probability</w:t>
            </w:r>
          </w:p>
        </w:tc>
      </w:tr>
      <w:tr>
        <w:trPr>
          <w:trHeight w:val="346" w:hRule="atLeast"/>
        </w:trPr>
        <w:tc>
          <w:tcPr>
            <w:tcW w:w="1963" w:type="dxa"/>
            <w:tcBorders>
              <w:top w:val="single" w:sz="4" w:space="0" w:color="000000"/>
              <w:left w:val="single" w:sz="4" w:space="0" w:color="000000"/>
            </w:tcBorders>
          </w:tcPr>
          <w:p>
            <w:pPr>
              <w:pStyle w:val="TableParagraph"/>
              <w:spacing w:line="271" w:lineRule="exact"/>
              <w:ind w:left="105"/>
              <w:rPr>
                <w:sz w:val="24"/>
              </w:rPr>
            </w:pPr>
            <w:r>
              <w:rPr>
                <w:sz w:val="24"/>
              </w:rPr>
              <w:t>Between</w:t>
            </w:r>
            <w:r>
              <w:rPr>
                <w:spacing w:val="-13"/>
                <w:sz w:val="24"/>
              </w:rPr>
              <w:t> </w:t>
            </w:r>
            <w:r>
              <w:rPr>
                <w:spacing w:val="-2"/>
                <w:sz w:val="24"/>
              </w:rPr>
              <w:t>groups</w:t>
            </w:r>
          </w:p>
        </w:tc>
        <w:tc>
          <w:tcPr>
            <w:tcW w:w="686" w:type="dxa"/>
            <w:tcBorders>
              <w:top w:val="single" w:sz="4" w:space="0" w:color="000000"/>
            </w:tcBorders>
          </w:tcPr>
          <w:p>
            <w:pPr>
              <w:pStyle w:val="TableParagraph"/>
              <w:spacing w:line="271" w:lineRule="exact"/>
              <w:ind w:left="125"/>
              <w:rPr>
                <w:sz w:val="24"/>
              </w:rPr>
            </w:pPr>
            <w:r>
              <w:rPr>
                <w:spacing w:val="-10"/>
                <w:sz w:val="24"/>
              </w:rPr>
              <w:t>2</w:t>
            </w:r>
          </w:p>
        </w:tc>
        <w:tc>
          <w:tcPr>
            <w:tcW w:w="1552" w:type="dxa"/>
            <w:tcBorders>
              <w:top w:val="single" w:sz="4" w:space="0" w:color="000000"/>
            </w:tcBorders>
          </w:tcPr>
          <w:p>
            <w:pPr>
              <w:pStyle w:val="TableParagraph"/>
              <w:spacing w:line="271" w:lineRule="exact"/>
              <w:ind w:left="158"/>
              <w:rPr>
                <w:sz w:val="24"/>
              </w:rPr>
            </w:pPr>
            <w:r>
              <w:rPr>
                <w:spacing w:val="-2"/>
                <w:sz w:val="24"/>
              </w:rPr>
              <w:t>2.9355</w:t>
            </w:r>
          </w:p>
        </w:tc>
        <w:tc>
          <w:tcPr>
            <w:tcW w:w="1352" w:type="dxa"/>
            <w:tcBorders>
              <w:top w:val="single" w:sz="4" w:space="0" w:color="000000"/>
            </w:tcBorders>
          </w:tcPr>
          <w:p>
            <w:pPr>
              <w:pStyle w:val="TableParagraph"/>
              <w:spacing w:line="271" w:lineRule="exact"/>
              <w:ind w:left="229"/>
              <w:rPr>
                <w:sz w:val="24"/>
              </w:rPr>
            </w:pPr>
            <w:r>
              <w:rPr>
                <w:spacing w:val="-2"/>
                <w:sz w:val="24"/>
              </w:rPr>
              <w:t>1.4677</w:t>
            </w:r>
          </w:p>
        </w:tc>
        <w:tc>
          <w:tcPr>
            <w:tcW w:w="1225" w:type="dxa"/>
            <w:tcBorders>
              <w:top w:val="single" w:sz="4" w:space="0" w:color="000000"/>
            </w:tcBorders>
          </w:tcPr>
          <w:p>
            <w:pPr>
              <w:pStyle w:val="TableParagraph"/>
              <w:spacing w:line="271" w:lineRule="exact"/>
              <w:ind w:left="135"/>
              <w:rPr>
                <w:sz w:val="24"/>
              </w:rPr>
            </w:pPr>
            <w:r>
              <w:rPr>
                <w:spacing w:val="-2"/>
                <w:sz w:val="24"/>
              </w:rPr>
              <w:t>2.2821</w:t>
            </w:r>
          </w:p>
        </w:tc>
        <w:tc>
          <w:tcPr>
            <w:tcW w:w="1507" w:type="dxa"/>
            <w:tcBorders>
              <w:top w:val="single" w:sz="4" w:space="0" w:color="000000"/>
              <w:right w:val="single" w:sz="4" w:space="0" w:color="000000"/>
            </w:tcBorders>
          </w:tcPr>
          <w:p>
            <w:pPr>
              <w:pStyle w:val="TableParagraph"/>
              <w:spacing w:line="271" w:lineRule="exact"/>
              <w:ind w:left="153"/>
              <w:rPr>
                <w:sz w:val="24"/>
              </w:rPr>
            </w:pPr>
            <w:r>
              <w:rPr>
                <w:spacing w:val="-2"/>
                <w:sz w:val="24"/>
              </w:rPr>
              <w:t>0.1032</w:t>
            </w:r>
          </w:p>
        </w:tc>
      </w:tr>
      <w:tr>
        <w:trPr>
          <w:trHeight w:val="483" w:hRule="atLeast"/>
        </w:trPr>
        <w:tc>
          <w:tcPr>
            <w:tcW w:w="1963" w:type="dxa"/>
            <w:tcBorders>
              <w:left w:val="single" w:sz="4" w:space="0" w:color="000000"/>
              <w:bottom w:val="single" w:sz="4" w:space="0" w:color="000000"/>
            </w:tcBorders>
          </w:tcPr>
          <w:p>
            <w:pPr>
              <w:pStyle w:val="TableParagraph"/>
              <w:spacing w:before="67"/>
              <w:ind w:left="105"/>
              <w:rPr>
                <w:sz w:val="24"/>
              </w:rPr>
            </w:pPr>
            <w:r>
              <w:rPr>
                <w:sz w:val="24"/>
              </w:rPr>
              <w:t>Within</w:t>
            </w:r>
            <w:r>
              <w:rPr>
                <w:spacing w:val="-3"/>
                <w:sz w:val="24"/>
              </w:rPr>
              <w:t> </w:t>
            </w:r>
            <w:r>
              <w:rPr>
                <w:spacing w:val="-2"/>
                <w:sz w:val="24"/>
              </w:rPr>
              <w:t>groups</w:t>
            </w:r>
          </w:p>
        </w:tc>
        <w:tc>
          <w:tcPr>
            <w:tcW w:w="686" w:type="dxa"/>
            <w:tcBorders>
              <w:bottom w:val="single" w:sz="4" w:space="0" w:color="000000"/>
            </w:tcBorders>
          </w:tcPr>
          <w:p>
            <w:pPr>
              <w:pStyle w:val="TableParagraph"/>
              <w:spacing w:before="67"/>
              <w:ind w:left="125"/>
              <w:rPr>
                <w:sz w:val="24"/>
              </w:rPr>
            </w:pPr>
            <w:r>
              <w:rPr>
                <w:spacing w:val="-5"/>
                <w:sz w:val="24"/>
              </w:rPr>
              <w:t>458</w:t>
            </w:r>
          </w:p>
        </w:tc>
        <w:tc>
          <w:tcPr>
            <w:tcW w:w="1552" w:type="dxa"/>
            <w:tcBorders>
              <w:bottom w:val="single" w:sz="4" w:space="0" w:color="000000"/>
            </w:tcBorders>
          </w:tcPr>
          <w:p>
            <w:pPr>
              <w:pStyle w:val="TableParagraph"/>
              <w:spacing w:before="67"/>
              <w:ind w:left="158"/>
              <w:rPr>
                <w:sz w:val="24"/>
              </w:rPr>
            </w:pPr>
            <w:r>
              <w:rPr>
                <w:spacing w:val="-2"/>
                <w:sz w:val="24"/>
              </w:rPr>
              <w:t>294.5675</w:t>
            </w:r>
          </w:p>
        </w:tc>
        <w:tc>
          <w:tcPr>
            <w:tcW w:w="1352" w:type="dxa"/>
            <w:tcBorders>
              <w:bottom w:val="single" w:sz="4" w:space="0" w:color="000000"/>
            </w:tcBorders>
          </w:tcPr>
          <w:p>
            <w:pPr>
              <w:pStyle w:val="TableParagraph"/>
              <w:spacing w:before="67"/>
              <w:ind w:left="229"/>
              <w:rPr>
                <w:sz w:val="24"/>
              </w:rPr>
            </w:pPr>
            <w:r>
              <w:rPr>
                <w:spacing w:val="-2"/>
                <w:sz w:val="24"/>
              </w:rPr>
              <w:t>0.6432</w:t>
            </w:r>
          </w:p>
        </w:tc>
        <w:tc>
          <w:tcPr>
            <w:tcW w:w="1225" w:type="dxa"/>
            <w:tcBorders>
              <w:bottom w:val="single" w:sz="4" w:space="0" w:color="000000"/>
            </w:tcBorders>
          </w:tcPr>
          <w:p>
            <w:pPr>
              <w:pStyle w:val="TableParagraph"/>
              <w:rPr>
                <w:rFonts w:ascii="Times New Roman"/>
                <w:sz w:val="24"/>
              </w:rPr>
            </w:pPr>
          </w:p>
        </w:tc>
        <w:tc>
          <w:tcPr>
            <w:tcW w:w="1507" w:type="dxa"/>
            <w:tcBorders>
              <w:bottom w:val="single" w:sz="4" w:space="0" w:color="000000"/>
              <w:right w:val="single" w:sz="4" w:space="0" w:color="000000"/>
            </w:tcBorders>
          </w:tcPr>
          <w:p>
            <w:pPr>
              <w:pStyle w:val="TableParagraph"/>
              <w:rPr>
                <w:rFonts w:ascii="Times New Roman"/>
                <w:sz w:val="24"/>
              </w:rPr>
            </w:pPr>
          </w:p>
        </w:tc>
      </w:tr>
      <w:tr>
        <w:trPr>
          <w:trHeight w:val="278" w:hRule="atLeast"/>
        </w:trPr>
        <w:tc>
          <w:tcPr>
            <w:tcW w:w="1963"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686" w:type="dxa"/>
            <w:tcBorders>
              <w:top w:val="single" w:sz="4" w:space="0" w:color="000000"/>
              <w:bottom w:val="single" w:sz="4" w:space="0" w:color="000000"/>
            </w:tcBorders>
          </w:tcPr>
          <w:p>
            <w:pPr>
              <w:pStyle w:val="TableParagraph"/>
              <w:spacing w:line="258" w:lineRule="exact"/>
              <w:ind w:left="125"/>
              <w:rPr>
                <w:sz w:val="24"/>
              </w:rPr>
            </w:pPr>
            <w:r>
              <w:rPr>
                <w:spacing w:val="-5"/>
                <w:sz w:val="24"/>
              </w:rPr>
              <w:t>460</w:t>
            </w:r>
          </w:p>
        </w:tc>
        <w:tc>
          <w:tcPr>
            <w:tcW w:w="1552" w:type="dxa"/>
            <w:tcBorders>
              <w:top w:val="single" w:sz="4" w:space="0" w:color="000000"/>
              <w:bottom w:val="single" w:sz="4" w:space="0" w:color="000000"/>
            </w:tcBorders>
          </w:tcPr>
          <w:p>
            <w:pPr>
              <w:pStyle w:val="TableParagraph"/>
              <w:spacing w:line="258" w:lineRule="exact"/>
              <w:ind w:left="158"/>
              <w:rPr>
                <w:sz w:val="24"/>
              </w:rPr>
            </w:pPr>
            <w:r>
              <w:rPr>
                <w:spacing w:val="-2"/>
                <w:sz w:val="24"/>
              </w:rPr>
              <w:t>297.5030</w:t>
            </w:r>
          </w:p>
        </w:tc>
        <w:tc>
          <w:tcPr>
            <w:tcW w:w="1352" w:type="dxa"/>
            <w:tcBorders>
              <w:top w:val="single" w:sz="4" w:space="0" w:color="000000"/>
              <w:bottom w:val="single" w:sz="4" w:space="0" w:color="000000"/>
            </w:tcBorders>
          </w:tcPr>
          <w:p>
            <w:pPr>
              <w:pStyle w:val="TableParagraph"/>
              <w:rPr>
                <w:rFonts w:ascii="Times New Roman"/>
                <w:sz w:val="20"/>
              </w:rPr>
            </w:pPr>
          </w:p>
        </w:tc>
        <w:tc>
          <w:tcPr>
            <w:tcW w:w="1225" w:type="dxa"/>
            <w:tcBorders>
              <w:top w:val="single" w:sz="4" w:space="0" w:color="000000"/>
              <w:bottom w:val="single" w:sz="4" w:space="0" w:color="000000"/>
            </w:tcBorders>
          </w:tcPr>
          <w:p>
            <w:pPr>
              <w:pStyle w:val="TableParagraph"/>
              <w:rPr>
                <w:rFonts w:ascii="Times New Roman"/>
                <w:sz w:val="20"/>
              </w:rPr>
            </w:pPr>
          </w:p>
        </w:tc>
        <w:tc>
          <w:tcPr>
            <w:tcW w:w="1507" w:type="dxa"/>
            <w:tcBorders>
              <w:top w:val="single" w:sz="4" w:space="0" w:color="000000"/>
              <w:bottom w:val="single" w:sz="4" w:space="0" w:color="000000"/>
              <w:right w:val="single" w:sz="4" w:space="0" w:color="000000"/>
            </w:tcBorders>
          </w:tcPr>
          <w:p>
            <w:pPr>
              <w:pStyle w:val="TableParagraph"/>
              <w:rPr>
                <w:rFonts w:ascii="Times New Roman"/>
                <w:sz w:val="20"/>
              </w:rPr>
            </w:pPr>
          </w:p>
        </w:tc>
      </w:tr>
    </w:tbl>
    <w:p>
      <w:pPr>
        <w:pStyle w:val="BodyText"/>
        <w:ind w:left="1560"/>
        <w:jc w:val="both"/>
      </w:pPr>
      <w:r>
        <w:rPr/>
        <w:t>F</w:t>
      </w:r>
      <w:r>
        <w:rPr>
          <w:spacing w:val="-3"/>
        </w:rPr>
        <w:t> </w:t>
      </w:r>
      <w:r>
        <w:rPr/>
        <w:t>Probability</w:t>
      </w:r>
      <w:r>
        <w:rPr>
          <w:spacing w:val="-5"/>
        </w:rPr>
        <w:t> </w:t>
      </w:r>
      <w:r>
        <w:rPr/>
        <w:t>&gt;</w:t>
      </w:r>
      <w:r>
        <w:rPr>
          <w:spacing w:val="-6"/>
        </w:rPr>
        <w:t> </w:t>
      </w:r>
      <w:r>
        <w:rPr/>
        <w:t>0.05</w:t>
      </w:r>
      <w:r>
        <w:rPr>
          <w:spacing w:val="-4"/>
        </w:rPr>
        <w:t> </w:t>
      </w:r>
      <w:r>
        <w:rPr/>
        <w:t>=&gt;</w:t>
      </w:r>
      <w:r>
        <w:rPr>
          <w:spacing w:val="-6"/>
        </w:rPr>
        <w:t> </w:t>
      </w:r>
      <w:r>
        <w:rPr/>
        <w:t>HO</w:t>
      </w:r>
      <w:r>
        <w:rPr>
          <w:spacing w:val="-4"/>
        </w:rPr>
        <w:t> Rtd.</w:t>
      </w:r>
    </w:p>
    <w:p>
      <w:pPr>
        <w:pStyle w:val="BodyText"/>
        <w:spacing w:line="550" w:lineRule="atLeast"/>
        <w:ind w:left="840" w:right="554" w:firstLine="720"/>
        <w:jc w:val="both"/>
      </w:pPr>
      <w:r>
        <w:rPr/>
        <w:t>From Table 4.5.30, the computed F. probability of 0.1035 is higher than</w:t>
      </w:r>
      <w:r>
        <w:rPr>
          <w:spacing w:val="40"/>
        </w:rPr>
        <w:t> </w:t>
      </w:r>
      <w:r>
        <w:rPr/>
        <w:t>the accepted P-value of 0.05 designed for the study. Hence, HO was retained. Therefore, it could be concluded that there were no significant differences in the</w:t>
      </w:r>
    </w:p>
    <w:p>
      <w:pPr>
        <w:spacing w:after="0" w:line="550" w:lineRule="atLeast"/>
        <w:jc w:val="both"/>
        <w:sectPr>
          <w:headerReference w:type="default" r:id="rId477"/>
          <w:footerReference w:type="default" r:id="rId478"/>
          <w:pgSz w:w="12240" w:h="15840"/>
          <w:pgMar w:header="722" w:footer="791" w:top="980" w:bottom="980" w:left="1320" w:right="880"/>
        </w:sectPr>
      </w:pPr>
    </w:p>
    <w:p>
      <w:pPr>
        <w:pStyle w:val="BodyText"/>
        <w:spacing w:before="171"/>
      </w:pPr>
    </w:p>
    <w:p>
      <w:pPr>
        <w:pStyle w:val="BodyText"/>
        <w:spacing w:line="480" w:lineRule="auto"/>
        <w:ind w:left="840" w:right="554"/>
        <w:jc w:val="both"/>
      </w:pPr>
      <w:r>
        <w:rPr/>
        <w:t>opinions of the three groups of respondents relating to the impact of medical and health services on students’ welfare in the universities in the three geopolitical zones in Northern part of Nigeria.</w:t>
      </w:r>
      <w:r>
        <w:rPr>
          <w:spacing w:val="80"/>
        </w:rPr>
        <w:t> </w:t>
      </w:r>
      <w:r>
        <w:rPr/>
        <w:t>Perhaps, the lack of significant difference in the opinions of respondents as postulated on the impact of medical and health services on students’ welfare in</w:t>
      </w:r>
      <w:r>
        <w:rPr>
          <w:spacing w:val="80"/>
        </w:rPr>
        <w:t> </w:t>
      </w:r>
      <w:r>
        <w:rPr/>
        <w:t>the universities could be attributed to the fact that some university management have introduced payment of medical fees by students to supplement what the management could afford to spend on medical facilities like drugs, inoculations, broad based services, like anti natal, post natal, medical examinations, medical consultation and check ups which could be often free of charge. Similarly, some of the universities made concrete arrangements with the hospital authorities in their domains or outside to give students special concessions</w:t>
      </w:r>
      <w:r>
        <w:rPr>
          <w:spacing w:val="-2"/>
        </w:rPr>
        <w:t> </w:t>
      </w:r>
      <w:r>
        <w:rPr/>
        <w:t>which</w:t>
      </w:r>
      <w:r>
        <w:rPr>
          <w:spacing w:val="-1"/>
        </w:rPr>
        <w:t> </w:t>
      </w:r>
      <w:r>
        <w:rPr/>
        <w:t>the</w:t>
      </w:r>
      <w:r>
        <w:rPr>
          <w:spacing w:val="-1"/>
        </w:rPr>
        <w:t> </w:t>
      </w:r>
      <w:r>
        <w:rPr/>
        <w:t>management</w:t>
      </w:r>
      <w:r>
        <w:rPr>
          <w:spacing w:val="-2"/>
        </w:rPr>
        <w:t> </w:t>
      </w:r>
      <w:r>
        <w:rPr/>
        <w:t>of</w:t>
      </w:r>
      <w:r>
        <w:rPr>
          <w:spacing w:val="-2"/>
        </w:rPr>
        <w:t> </w:t>
      </w:r>
      <w:r>
        <w:rPr/>
        <w:t>such</w:t>
      </w:r>
      <w:r>
        <w:rPr>
          <w:spacing w:val="-1"/>
        </w:rPr>
        <w:t> </w:t>
      </w:r>
      <w:r>
        <w:rPr/>
        <w:t>universities</w:t>
      </w:r>
      <w:r>
        <w:rPr>
          <w:spacing w:val="-2"/>
        </w:rPr>
        <w:t> </w:t>
      </w:r>
      <w:r>
        <w:rPr/>
        <w:t>settled</w:t>
      </w:r>
      <w:r>
        <w:rPr>
          <w:spacing w:val="-1"/>
        </w:rPr>
        <w:t> </w:t>
      </w:r>
      <w:r>
        <w:rPr/>
        <w:t>50</w:t>
      </w:r>
      <w:r>
        <w:rPr>
          <w:spacing w:val="-1"/>
        </w:rPr>
        <w:t> </w:t>
      </w:r>
      <w:r>
        <w:rPr/>
        <w:t>percent</w:t>
      </w:r>
      <w:r>
        <w:rPr>
          <w:spacing w:val="-2"/>
        </w:rPr>
        <w:t> </w:t>
      </w:r>
      <w:r>
        <w:rPr/>
        <w:t>of</w:t>
      </w:r>
      <w:r>
        <w:rPr>
          <w:spacing w:val="-2"/>
        </w:rPr>
        <w:t> </w:t>
      </w:r>
      <w:r>
        <w:rPr/>
        <w:t>the medical fees charged. There were also some assumptions that some university clinics worked for 24 hours to alleviate students’ suffering. In view of this perceived development there could be the dire need for the management of the universities to give optimum</w:t>
      </w:r>
      <w:r>
        <w:rPr>
          <w:spacing w:val="-1"/>
        </w:rPr>
        <w:t> </w:t>
      </w:r>
      <w:r>
        <w:rPr/>
        <w:t>priority to the provision and management of medical and health services so that the students acquire the good health for the enhancement of better academic performance.</w:t>
      </w:r>
    </w:p>
    <w:p>
      <w:pPr>
        <w:pStyle w:val="Heading4"/>
        <w:numPr>
          <w:ilvl w:val="2"/>
          <w:numId w:val="43"/>
        </w:numPr>
        <w:tabs>
          <w:tab w:pos="967" w:val="left" w:leader="none"/>
        </w:tabs>
        <w:spacing w:line="240" w:lineRule="auto" w:before="2" w:after="0"/>
        <w:ind w:left="967" w:right="0" w:hanging="847"/>
        <w:jc w:val="left"/>
      </w:pPr>
      <w:bookmarkStart w:name="_TOC_250006" w:id="62"/>
      <w:r>
        <w:rPr/>
        <w:t>Null</w:t>
      </w:r>
      <w:r>
        <w:rPr>
          <w:spacing w:val="-7"/>
        </w:rPr>
        <w:t> </w:t>
      </w:r>
      <w:r>
        <w:rPr/>
        <w:t>Hypothesis</w:t>
      </w:r>
      <w:bookmarkEnd w:id="62"/>
      <w:r>
        <w:rPr>
          <w:spacing w:val="-5"/>
        </w:rPr>
        <w:t> 19</w:t>
      </w:r>
    </w:p>
    <w:p>
      <w:pPr>
        <w:pStyle w:val="BodyText"/>
        <w:spacing w:before="44"/>
        <w:rPr>
          <w:rFonts w:ascii="Arial"/>
          <w:b/>
        </w:rPr>
      </w:pPr>
    </w:p>
    <w:p>
      <w:pPr>
        <w:pStyle w:val="BodyText"/>
        <w:spacing w:line="480" w:lineRule="auto" w:before="1"/>
        <w:ind w:left="840" w:right="557" w:firstLine="720"/>
        <w:jc w:val="both"/>
      </w:pPr>
      <w:r>
        <w:rPr/>
        <w:t>There is no significant difference in the opinions of students service staff and top management staff in respect of the impact of environmental service on students’ welfare in these universities.</w:t>
      </w:r>
    </w:p>
    <w:p>
      <w:pPr>
        <w:spacing w:after="0" w:line="480" w:lineRule="auto"/>
        <w:jc w:val="both"/>
        <w:sectPr>
          <w:headerReference w:type="default" r:id="rId479"/>
          <w:footerReference w:type="default" r:id="rId480"/>
          <w:pgSz w:w="12240" w:h="15840"/>
          <w:pgMar w:header="722" w:footer="791" w:top="980" w:bottom="980" w:left="1320" w:right="880"/>
        </w:sectPr>
      </w:pPr>
    </w:p>
    <w:p>
      <w:pPr>
        <w:pStyle w:val="BodyText"/>
        <w:spacing w:line="480" w:lineRule="auto" w:before="15"/>
        <w:ind w:left="840" w:right="554" w:firstLine="720"/>
        <w:jc w:val="both"/>
      </w:pPr>
      <w:r>
        <w:rPr/>
        <w:t>Data related to items 89 to 92 in the questionnaire on the responses of respondents were collected and analyzed to ascertain the level of agreement in the</w:t>
      </w:r>
      <w:r>
        <w:rPr>
          <w:spacing w:val="-2"/>
        </w:rPr>
        <w:t> </w:t>
      </w:r>
      <w:r>
        <w:rPr/>
        <w:t>opinions</w:t>
      </w:r>
      <w:r>
        <w:rPr>
          <w:spacing w:val="-3"/>
        </w:rPr>
        <w:t> </w:t>
      </w:r>
      <w:r>
        <w:rPr/>
        <w:t>of</w:t>
      </w:r>
      <w:r>
        <w:rPr>
          <w:spacing w:val="-7"/>
        </w:rPr>
        <w:t> </w:t>
      </w:r>
      <w:r>
        <w:rPr/>
        <w:t>respondents</w:t>
      </w:r>
      <w:r>
        <w:rPr>
          <w:spacing w:val="-3"/>
        </w:rPr>
        <w:t> </w:t>
      </w:r>
      <w:r>
        <w:rPr/>
        <w:t>pertaining</w:t>
      </w:r>
      <w:r>
        <w:rPr>
          <w:spacing w:val="-2"/>
        </w:rPr>
        <w:t> </w:t>
      </w:r>
      <w:r>
        <w:rPr/>
        <w:t>to</w:t>
      </w:r>
      <w:r>
        <w:rPr>
          <w:spacing w:val="-2"/>
        </w:rPr>
        <w:t> </w:t>
      </w:r>
      <w:r>
        <w:rPr/>
        <w:t>the</w:t>
      </w:r>
      <w:r>
        <w:rPr>
          <w:spacing w:val="-6"/>
        </w:rPr>
        <w:t> </w:t>
      </w:r>
      <w:r>
        <w:rPr/>
        <w:t>impact</w:t>
      </w:r>
      <w:r>
        <w:rPr>
          <w:spacing w:val="-3"/>
        </w:rPr>
        <w:t> </w:t>
      </w:r>
      <w:r>
        <w:rPr/>
        <w:t>of</w:t>
      </w:r>
      <w:r>
        <w:rPr>
          <w:spacing w:val="-3"/>
        </w:rPr>
        <w:t> </w:t>
      </w:r>
      <w:r>
        <w:rPr/>
        <w:t>environmental services</w:t>
      </w:r>
      <w:r>
        <w:rPr>
          <w:spacing w:val="-3"/>
        </w:rPr>
        <w:t> </w:t>
      </w:r>
      <w:r>
        <w:rPr/>
        <w:t>on students’ welfare in these universities. In testing the hypothesis, all the related items were used and with the application of One Way Analysis of Variance statistical procedure the differences of respondents’ opinions were recorded and the results of the test are presented in Table 4.5.31.</w:t>
      </w:r>
    </w:p>
    <w:p>
      <w:pPr>
        <w:pStyle w:val="Heading2"/>
        <w:spacing w:after="4"/>
        <w:ind w:left="2587" w:right="1000" w:hanging="1748"/>
      </w:pPr>
      <w:r>
        <w:rPr/>
        <w:t>Table</w:t>
      </w:r>
      <w:r>
        <w:rPr>
          <w:spacing w:val="-3"/>
        </w:rPr>
        <w:t> </w:t>
      </w:r>
      <w:r>
        <w:rPr/>
        <w:t>4.5.31:</w:t>
      </w:r>
      <w:r>
        <w:rPr>
          <w:spacing w:val="-4"/>
        </w:rPr>
        <w:t> </w:t>
      </w:r>
      <w:r>
        <w:rPr/>
        <w:t>Analysis</w:t>
      </w:r>
      <w:r>
        <w:rPr>
          <w:spacing w:val="-4"/>
        </w:rPr>
        <w:t> </w:t>
      </w:r>
      <w:r>
        <w:rPr/>
        <w:t>of</w:t>
      </w:r>
      <w:r>
        <w:rPr>
          <w:spacing w:val="-4"/>
        </w:rPr>
        <w:t> </w:t>
      </w:r>
      <w:r>
        <w:rPr/>
        <w:t>Variance</w:t>
      </w:r>
      <w:r>
        <w:rPr>
          <w:spacing w:val="-8"/>
        </w:rPr>
        <w:t> </w:t>
      </w:r>
      <w:r>
        <w:rPr/>
        <w:t>(ANOVA)</w:t>
      </w:r>
      <w:r>
        <w:rPr>
          <w:spacing w:val="-4"/>
        </w:rPr>
        <w:t> </w:t>
      </w:r>
      <w:r>
        <w:rPr/>
        <w:t>on</w:t>
      </w:r>
      <w:r>
        <w:rPr>
          <w:spacing w:val="-4"/>
        </w:rPr>
        <w:t> </w:t>
      </w:r>
      <w:r>
        <w:rPr/>
        <w:t>the</w:t>
      </w:r>
      <w:r>
        <w:rPr>
          <w:spacing w:val="-8"/>
        </w:rPr>
        <w:t> </w:t>
      </w:r>
      <w:r>
        <w:rPr/>
        <w:t>impact</w:t>
      </w:r>
      <w:r>
        <w:rPr>
          <w:spacing w:val="-4"/>
        </w:rPr>
        <w:t> </w:t>
      </w:r>
      <w:r>
        <w:rPr/>
        <w:t>of environmental services on</w:t>
      </w:r>
      <w:r>
        <w:rPr>
          <w:spacing w:val="-4"/>
        </w:rPr>
        <w:t> </w:t>
      </w:r>
      <w:r>
        <w:rPr/>
        <w:t>students’ welfare in Universities in three geopolitical zones in Northern part of Nigeria</w:t>
      </w:r>
    </w:p>
    <w:tbl>
      <w:tblPr>
        <w:tblW w:w="0" w:type="auto"/>
        <w:jc w:val="left"/>
        <w:tblInd w:w="1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43"/>
        <w:gridCol w:w="1000"/>
        <w:gridCol w:w="1465"/>
        <w:gridCol w:w="1303"/>
        <w:gridCol w:w="1101"/>
        <w:gridCol w:w="1267"/>
      </w:tblGrid>
      <w:tr>
        <w:trPr>
          <w:trHeight w:val="830" w:hRule="atLeast"/>
        </w:trPr>
        <w:tc>
          <w:tcPr>
            <w:tcW w:w="2143" w:type="dxa"/>
            <w:tcBorders>
              <w:top w:val="single" w:sz="4" w:space="0" w:color="000000"/>
              <w:left w:val="single" w:sz="4" w:space="0" w:color="000000"/>
              <w:bottom w:val="single" w:sz="4" w:space="0" w:color="000000"/>
            </w:tcBorders>
          </w:tcPr>
          <w:p>
            <w:pPr>
              <w:pStyle w:val="TableParagraph"/>
              <w:spacing w:line="242" w:lineRule="auto"/>
              <w:ind w:left="652" w:hanging="44"/>
              <w:rPr>
                <w:rFonts w:ascii="Arial"/>
                <w:b/>
                <w:sz w:val="24"/>
              </w:rPr>
            </w:pPr>
            <w:r>
              <w:rPr>
                <w:rFonts w:ascii="Arial"/>
                <w:b/>
                <w:sz w:val="24"/>
              </w:rPr>
              <w:t>Source</w:t>
            </w:r>
            <w:r>
              <w:rPr>
                <w:rFonts w:ascii="Arial"/>
                <w:b/>
                <w:spacing w:val="-17"/>
                <w:sz w:val="24"/>
              </w:rPr>
              <w:t> </w:t>
            </w:r>
            <w:r>
              <w:rPr>
                <w:rFonts w:ascii="Arial"/>
                <w:b/>
                <w:sz w:val="24"/>
              </w:rPr>
              <w:t>of </w:t>
            </w:r>
            <w:r>
              <w:rPr>
                <w:rFonts w:ascii="Arial"/>
                <w:b/>
                <w:spacing w:val="-2"/>
                <w:sz w:val="24"/>
              </w:rPr>
              <w:t>Variation</w:t>
            </w:r>
          </w:p>
        </w:tc>
        <w:tc>
          <w:tcPr>
            <w:tcW w:w="1000" w:type="dxa"/>
            <w:tcBorders>
              <w:top w:val="single" w:sz="4" w:space="0" w:color="000000"/>
              <w:bottom w:val="single" w:sz="4" w:space="0" w:color="000000"/>
            </w:tcBorders>
          </w:tcPr>
          <w:p>
            <w:pPr>
              <w:pStyle w:val="TableParagraph"/>
              <w:spacing w:line="267" w:lineRule="exact"/>
              <w:ind w:left="482"/>
              <w:rPr>
                <w:rFonts w:ascii="Arial"/>
                <w:b/>
                <w:sz w:val="24"/>
              </w:rPr>
            </w:pPr>
            <w:r>
              <w:rPr>
                <w:rFonts w:ascii="Arial"/>
                <w:b/>
                <w:spacing w:val="-5"/>
                <w:sz w:val="24"/>
              </w:rPr>
              <w:t>DF</w:t>
            </w:r>
          </w:p>
        </w:tc>
        <w:tc>
          <w:tcPr>
            <w:tcW w:w="1465" w:type="dxa"/>
            <w:tcBorders>
              <w:top w:val="single" w:sz="4" w:space="0" w:color="000000"/>
              <w:bottom w:val="single" w:sz="4" w:space="0" w:color="000000"/>
            </w:tcBorders>
          </w:tcPr>
          <w:p>
            <w:pPr>
              <w:pStyle w:val="TableParagraph"/>
              <w:spacing w:line="242" w:lineRule="auto"/>
              <w:ind w:left="346" w:right="165" w:firstLine="67"/>
              <w:rPr>
                <w:rFonts w:ascii="Arial"/>
                <w:b/>
                <w:sz w:val="24"/>
              </w:rPr>
            </w:pPr>
            <w:r>
              <w:rPr>
                <w:rFonts w:ascii="Arial"/>
                <w:b/>
                <w:sz w:val="24"/>
              </w:rPr>
              <w:t>Sum of </w:t>
            </w:r>
            <w:r>
              <w:rPr>
                <w:rFonts w:ascii="Arial"/>
                <w:b/>
                <w:spacing w:val="-2"/>
                <w:sz w:val="24"/>
              </w:rPr>
              <w:t>Squares</w:t>
            </w:r>
          </w:p>
        </w:tc>
        <w:tc>
          <w:tcPr>
            <w:tcW w:w="1303" w:type="dxa"/>
            <w:tcBorders>
              <w:top w:val="single" w:sz="4" w:space="0" w:color="000000"/>
              <w:bottom w:val="single" w:sz="4" w:space="0" w:color="000000"/>
            </w:tcBorders>
          </w:tcPr>
          <w:p>
            <w:pPr>
              <w:pStyle w:val="TableParagraph"/>
              <w:spacing w:line="242" w:lineRule="auto"/>
              <w:ind w:left="230" w:right="119" w:firstLine="168"/>
              <w:rPr>
                <w:rFonts w:ascii="Arial"/>
                <w:b/>
                <w:sz w:val="24"/>
              </w:rPr>
            </w:pPr>
            <w:r>
              <w:rPr>
                <w:rFonts w:ascii="Arial"/>
                <w:b/>
                <w:spacing w:val="-4"/>
                <w:sz w:val="24"/>
              </w:rPr>
              <w:t>Mean </w:t>
            </w:r>
            <w:r>
              <w:rPr>
                <w:rFonts w:ascii="Arial"/>
                <w:b/>
                <w:spacing w:val="-2"/>
                <w:sz w:val="24"/>
              </w:rPr>
              <w:t>Squares</w:t>
            </w:r>
          </w:p>
        </w:tc>
        <w:tc>
          <w:tcPr>
            <w:tcW w:w="1101" w:type="dxa"/>
            <w:tcBorders>
              <w:top w:val="single" w:sz="4" w:space="0" w:color="000000"/>
              <w:bottom w:val="single" w:sz="4" w:space="0" w:color="000000"/>
            </w:tcBorders>
          </w:tcPr>
          <w:p>
            <w:pPr>
              <w:pStyle w:val="TableParagraph"/>
              <w:spacing w:line="267" w:lineRule="exact"/>
              <w:ind w:left="141"/>
              <w:rPr>
                <w:rFonts w:ascii="Arial"/>
                <w:b/>
                <w:sz w:val="24"/>
              </w:rPr>
            </w:pPr>
            <w:r>
              <w:rPr>
                <w:rFonts w:ascii="Arial"/>
                <w:b/>
                <w:sz w:val="24"/>
              </w:rPr>
              <w:t>F </w:t>
            </w:r>
            <w:r>
              <w:rPr>
                <w:rFonts w:ascii="Arial"/>
                <w:b/>
                <w:spacing w:val="-2"/>
                <w:sz w:val="24"/>
              </w:rPr>
              <w:t>Value</w:t>
            </w:r>
          </w:p>
        </w:tc>
        <w:tc>
          <w:tcPr>
            <w:tcW w:w="1267" w:type="dxa"/>
            <w:tcBorders>
              <w:top w:val="single" w:sz="4" w:space="0" w:color="000000"/>
              <w:bottom w:val="single" w:sz="4" w:space="0" w:color="000000"/>
              <w:right w:val="single" w:sz="4" w:space="0" w:color="000000"/>
            </w:tcBorders>
          </w:tcPr>
          <w:p>
            <w:pPr>
              <w:pStyle w:val="TableParagraph"/>
              <w:spacing w:line="267" w:lineRule="exact"/>
              <w:ind w:left="51" w:right="39"/>
              <w:jc w:val="center"/>
              <w:rPr>
                <w:rFonts w:ascii="Arial"/>
                <w:b/>
                <w:sz w:val="24"/>
              </w:rPr>
            </w:pPr>
            <w:r>
              <w:rPr>
                <w:rFonts w:ascii="Arial"/>
                <w:b/>
                <w:spacing w:val="-10"/>
                <w:sz w:val="24"/>
              </w:rPr>
              <w:t>P</w:t>
            </w:r>
          </w:p>
          <w:p>
            <w:pPr>
              <w:pStyle w:val="TableParagraph"/>
              <w:spacing w:line="274" w:lineRule="exact"/>
              <w:ind w:left="51" w:right="39"/>
              <w:jc w:val="center"/>
              <w:rPr>
                <w:rFonts w:ascii="Arial"/>
                <w:b/>
                <w:sz w:val="24"/>
              </w:rPr>
            </w:pPr>
            <w:r>
              <w:rPr>
                <w:rFonts w:ascii="Arial"/>
                <w:b/>
                <w:spacing w:val="-2"/>
                <w:sz w:val="24"/>
              </w:rPr>
              <w:t>Probabili </w:t>
            </w:r>
            <w:r>
              <w:rPr>
                <w:rFonts w:ascii="Arial"/>
                <w:b/>
                <w:spacing w:val="-6"/>
                <w:sz w:val="24"/>
              </w:rPr>
              <w:t>ty</w:t>
            </w:r>
          </w:p>
        </w:tc>
      </w:tr>
      <w:tr>
        <w:trPr>
          <w:trHeight w:val="413" w:hRule="atLeast"/>
        </w:trPr>
        <w:tc>
          <w:tcPr>
            <w:tcW w:w="2143" w:type="dxa"/>
            <w:tcBorders>
              <w:top w:val="single" w:sz="4" w:space="0" w:color="000000"/>
              <w:left w:val="single" w:sz="4" w:space="0" w:color="000000"/>
            </w:tcBorders>
          </w:tcPr>
          <w:p>
            <w:pPr>
              <w:pStyle w:val="TableParagraph"/>
              <w:spacing w:line="271" w:lineRule="exact"/>
              <w:ind w:left="105"/>
              <w:rPr>
                <w:sz w:val="24"/>
              </w:rPr>
            </w:pPr>
            <w:r>
              <w:rPr>
                <w:sz w:val="24"/>
              </w:rPr>
              <w:t>Between</w:t>
            </w:r>
            <w:r>
              <w:rPr>
                <w:spacing w:val="-13"/>
                <w:sz w:val="24"/>
              </w:rPr>
              <w:t> </w:t>
            </w:r>
            <w:r>
              <w:rPr>
                <w:spacing w:val="-2"/>
                <w:sz w:val="24"/>
              </w:rPr>
              <w:t>groups</w:t>
            </w:r>
          </w:p>
        </w:tc>
        <w:tc>
          <w:tcPr>
            <w:tcW w:w="1000" w:type="dxa"/>
            <w:tcBorders>
              <w:top w:val="single" w:sz="4" w:space="0" w:color="000000"/>
            </w:tcBorders>
          </w:tcPr>
          <w:p>
            <w:pPr>
              <w:pStyle w:val="TableParagraph"/>
              <w:spacing w:line="271" w:lineRule="exact"/>
              <w:ind w:left="305"/>
              <w:rPr>
                <w:sz w:val="24"/>
              </w:rPr>
            </w:pPr>
            <w:r>
              <w:rPr>
                <w:spacing w:val="-10"/>
                <w:sz w:val="24"/>
              </w:rPr>
              <w:t>2</w:t>
            </w:r>
          </w:p>
        </w:tc>
        <w:tc>
          <w:tcPr>
            <w:tcW w:w="1465" w:type="dxa"/>
            <w:tcBorders>
              <w:top w:val="single" w:sz="4" w:space="0" w:color="000000"/>
            </w:tcBorders>
          </w:tcPr>
          <w:p>
            <w:pPr>
              <w:pStyle w:val="TableParagraph"/>
              <w:spacing w:line="271" w:lineRule="exact"/>
              <w:ind w:left="207"/>
              <w:rPr>
                <w:sz w:val="24"/>
              </w:rPr>
            </w:pPr>
            <w:r>
              <w:rPr>
                <w:spacing w:val="-2"/>
                <w:sz w:val="24"/>
              </w:rPr>
              <w:t>0.8586</w:t>
            </w:r>
          </w:p>
        </w:tc>
        <w:tc>
          <w:tcPr>
            <w:tcW w:w="1303" w:type="dxa"/>
            <w:tcBorders>
              <w:top w:val="single" w:sz="4" w:space="0" w:color="000000"/>
            </w:tcBorders>
          </w:tcPr>
          <w:p>
            <w:pPr>
              <w:pStyle w:val="TableParagraph"/>
              <w:spacing w:line="271" w:lineRule="exact"/>
              <w:ind w:left="182"/>
              <w:rPr>
                <w:sz w:val="24"/>
              </w:rPr>
            </w:pPr>
            <w:r>
              <w:rPr>
                <w:spacing w:val="-2"/>
                <w:sz w:val="24"/>
              </w:rPr>
              <w:t>0.4293</w:t>
            </w:r>
          </w:p>
        </w:tc>
        <w:tc>
          <w:tcPr>
            <w:tcW w:w="1101" w:type="dxa"/>
            <w:tcBorders>
              <w:top w:val="single" w:sz="4" w:space="0" w:color="000000"/>
            </w:tcBorders>
          </w:tcPr>
          <w:p>
            <w:pPr>
              <w:pStyle w:val="TableParagraph"/>
              <w:spacing w:line="271" w:lineRule="exact"/>
              <w:ind w:left="137"/>
              <w:rPr>
                <w:sz w:val="24"/>
              </w:rPr>
            </w:pPr>
            <w:r>
              <w:rPr>
                <w:spacing w:val="-2"/>
                <w:sz w:val="24"/>
              </w:rPr>
              <w:t>0.7537</w:t>
            </w:r>
          </w:p>
        </w:tc>
        <w:tc>
          <w:tcPr>
            <w:tcW w:w="1267" w:type="dxa"/>
            <w:tcBorders>
              <w:top w:val="single" w:sz="4" w:space="0" w:color="000000"/>
              <w:right w:val="single" w:sz="4" w:space="0" w:color="000000"/>
            </w:tcBorders>
          </w:tcPr>
          <w:p>
            <w:pPr>
              <w:pStyle w:val="TableParagraph"/>
              <w:spacing w:line="271" w:lineRule="exact"/>
              <w:ind w:left="116"/>
              <w:rPr>
                <w:sz w:val="24"/>
              </w:rPr>
            </w:pPr>
            <w:r>
              <w:rPr>
                <w:spacing w:val="-2"/>
                <w:sz w:val="24"/>
              </w:rPr>
              <w:t>0.4712</w:t>
            </w:r>
          </w:p>
        </w:tc>
      </w:tr>
      <w:tr>
        <w:trPr>
          <w:trHeight w:val="690" w:hRule="atLeast"/>
        </w:trPr>
        <w:tc>
          <w:tcPr>
            <w:tcW w:w="2143" w:type="dxa"/>
            <w:tcBorders>
              <w:left w:val="single" w:sz="4" w:space="0" w:color="000000"/>
              <w:bottom w:val="single" w:sz="4" w:space="0" w:color="000000"/>
            </w:tcBorders>
          </w:tcPr>
          <w:p>
            <w:pPr>
              <w:pStyle w:val="TableParagraph"/>
              <w:spacing w:before="134"/>
              <w:ind w:left="105"/>
              <w:rPr>
                <w:sz w:val="24"/>
              </w:rPr>
            </w:pPr>
            <w:r>
              <w:rPr>
                <w:sz w:val="24"/>
              </w:rPr>
              <w:t>Within</w:t>
            </w:r>
            <w:r>
              <w:rPr>
                <w:spacing w:val="-3"/>
                <w:sz w:val="24"/>
              </w:rPr>
              <w:t> </w:t>
            </w:r>
            <w:r>
              <w:rPr>
                <w:spacing w:val="-2"/>
                <w:sz w:val="24"/>
              </w:rPr>
              <w:t>groups</w:t>
            </w:r>
          </w:p>
        </w:tc>
        <w:tc>
          <w:tcPr>
            <w:tcW w:w="1000" w:type="dxa"/>
            <w:tcBorders>
              <w:bottom w:val="single" w:sz="4" w:space="0" w:color="000000"/>
            </w:tcBorders>
          </w:tcPr>
          <w:p>
            <w:pPr>
              <w:pStyle w:val="TableParagraph"/>
              <w:spacing w:before="134"/>
              <w:ind w:left="305"/>
              <w:rPr>
                <w:sz w:val="24"/>
              </w:rPr>
            </w:pPr>
            <w:r>
              <w:rPr>
                <w:spacing w:val="-5"/>
                <w:sz w:val="24"/>
              </w:rPr>
              <w:t>458</w:t>
            </w:r>
          </w:p>
        </w:tc>
        <w:tc>
          <w:tcPr>
            <w:tcW w:w="1465" w:type="dxa"/>
            <w:tcBorders>
              <w:bottom w:val="single" w:sz="4" w:space="0" w:color="000000"/>
            </w:tcBorders>
          </w:tcPr>
          <w:p>
            <w:pPr>
              <w:pStyle w:val="TableParagraph"/>
              <w:spacing w:before="134"/>
              <w:ind w:left="207"/>
              <w:rPr>
                <w:sz w:val="24"/>
              </w:rPr>
            </w:pPr>
            <w:r>
              <w:rPr>
                <w:spacing w:val="-2"/>
                <w:sz w:val="24"/>
              </w:rPr>
              <w:t>260.8621</w:t>
            </w:r>
          </w:p>
        </w:tc>
        <w:tc>
          <w:tcPr>
            <w:tcW w:w="1303" w:type="dxa"/>
            <w:tcBorders>
              <w:bottom w:val="single" w:sz="4" w:space="0" w:color="000000"/>
            </w:tcBorders>
          </w:tcPr>
          <w:p>
            <w:pPr>
              <w:pStyle w:val="TableParagraph"/>
              <w:spacing w:before="134"/>
              <w:ind w:left="182"/>
              <w:rPr>
                <w:sz w:val="24"/>
              </w:rPr>
            </w:pPr>
            <w:r>
              <w:rPr>
                <w:spacing w:val="-2"/>
                <w:sz w:val="24"/>
              </w:rPr>
              <w:t>0.5696</w:t>
            </w:r>
          </w:p>
        </w:tc>
        <w:tc>
          <w:tcPr>
            <w:tcW w:w="1101" w:type="dxa"/>
            <w:tcBorders>
              <w:bottom w:val="single" w:sz="4" w:space="0" w:color="000000"/>
            </w:tcBorders>
          </w:tcPr>
          <w:p>
            <w:pPr>
              <w:pStyle w:val="TableParagraph"/>
              <w:rPr>
                <w:rFonts w:ascii="Times New Roman"/>
                <w:sz w:val="24"/>
              </w:rPr>
            </w:pPr>
          </w:p>
        </w:tc>
        <w:tc>
          <w:tcPr>
            <w:tcW w:w="1267" w:type="dxa"/>
            <w:tcBorders>
              <w:bottom w:val="single" w:sz="4" w:space="0" w:color="000000"/>
              <w:right w:val="single" w:sz="4" w:space="0" w:color="000000"/>
            </w:tcBorders>
          </w:tcPr>
          <w:p>
            <w:pPr>
              <w:pStyle w:val="TableParagraph"/>
              <w:rPr>
                <w:rFonts w:ascii="Times New Roman"/>
                <w:sz w:val="24"/>
              </w:rPr>
            </w:pPr>
          </w:p>
        </w:tc>
      </w:tr>
      <w:tr>
        <w:trPr>
          <w:trHeight w:val="278" w:hRule="atLeast"/>
        </w:trPr>
        <w:tc>
          <w:tcPr>
            <w:tcW w:w="2143"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1000" w:type="dxa"/>
            <w:tcBorders>
              <w:top w:val="single" w:sz="4" w:space="0" w:color="000000"/>
              <w:bottom w:val="single" w:sz="4" w:space="0" w:color="000000"/>
            </w:tcBorders>
          </w:tcPr>
          <w:p>
            <w:pPr>
              <w:pStyle w:val="TableParagraph"/>
              <w:spacing w:line="258" w:lineRule="exact"/>
              <w:ind w:left="305"/>
              <w:rPr>
                <w:sz w:val="24"/>
              </w:rPr>
            </w:pPr>
            <w:r>
              <w:rPr>
                <w:spacing w:val="-5"/>
                <w:sz w:val="24"/>
              </w:rPr>
              <w:t>460</w:t>
            </w:r>
          </w:p>
        </w:tc>
        <w:tc>
          <w:tcPr>
            <w:tcW w:w="1465" w:type="dxa"/>
            <w:tcBorders>
              <w:top w:val="single" w:sz="4" w:space="0" w:color="000000"/>
              <w:bottom w:val="single" w:sz="4" w:space="0" w:color="000000"/>
            </w:tcBorders>
          </w:tcPr>
          <w:p>
            <w:pPr>
              <w:pStyle w:val="TableParagraph"/>
              <w:spacing w:line="258" w:lineRule="exact"/>
              <w:ind w:left="207"/>
              <w:rPr>
                <w:sz w:val="24"/>
              </w:rPr>
            </w:pPr>
            <w:r>
              <w:rPr>
                <w:spacing w:val="-2"/>
                <w:sz w:val="24"/>
              </w:rPr>
              <w:t>261.7207</w:t>
            </w:r>
          </w:p>
        </w:tc>
        <w:tc>
          <w:tcPr>
            <w:tcW w:w="1303" w:type="dxa"/>
            <w:tcBorders>
              <w:top w:val="single" w:sz="4" w:space="0" w:color="000000"/>
              <w:bottom w:val="single" w:sz="4" w:space="0" w:color="000000"/>
            </w:tcBorders>
          </w:tcPr>
          <w:p>
            <w:pPr>
              <w:pStyle w:val="TableParagraph"/>
              <w:rPr>
                <w:rFonts w:ascii="Times New Roman"/>
                <w:sz w:val="20"/>
              </w:rPr>
            </w:pPr>
          </w:p>
        </w:tc>
        <w:tc>
          <w:tcPr>
            <w:tcW w:w="1101" w:type="dxa"/>
            <w:tcBorders>
              <w:top w:val="single" w:sz="4" w:space="0" w:color="000000"/>
              <w:bottom w:val="single" w:sz="4" w:space="0" w:color="000000"/>
            </w:tcBorders>
          </w:tcPr>
          <w:p>
            <w:pPr>
              <w:pStyle w:val="TableParagraph"/>
              <w:rPr>
                <w:rFonts w:ascii="Times New Roman"/>
                <w:sz w:val="20"/>
              </w:rPr>
            </w:pPr>
          </w:p>
        </w:tc>
        <w:tc>
          <w:tcPr>
            <w:tcW w:w="1267" w:type="dxa"/>
            <w:tcBorders>
              <w:top w:val="single" w:sz="4" w:space="0" w:color="000000"/>
              <w:bottom w:val="single" w:sz="4" w:space="0" w:color="000000"/>
              <w:right w:val="single" w:sz="4" w:space="0" w:color="000000"/>
            </w:tcBorders>
          </w:tcPr>
          <w:p>
            <w:pPr>
              <w:pStyle w:val="TableParagraph"/>
              <w:rPr>
                <w:rFonts w:ascii="Times New Roman"/>
                <w:sz w:val="20"/>
              </w:rPr>
            </w:pPr>
          </w:p>
        </w:tc>
      </w:tr>
    </w:tbl>
    <w:p>
      <w:pPr>
        <w:pStyle w:val="BodyText"/>
        <w:ind w:left="1560"/>
      </w:pPr>
      <w:r>
        <w:rPr/>
        <w:t>F</w:t>
      </w:r>
      <w:r>
        <w:rPr>
          <w:spacing w:val="-3"/>
        </w:rPr>
        <w:t> </w:t>
      </w:r>
      <w:r>
        <w:rPr/>
        <w:t>Probability</w:t>
      </w:r>
      <w:r>
        <w:rPr>
          <w:spacing w:val="-5"/>
        </w:rPr>
        <w:t> </w:t>
      </w:r>
      <w:r>
        <w:rPr/>
        <w:t>&gt;</w:t>
      </w:r>
      <w:r>
        <w:rPr>
          <w:spacing w:val="-5"/>
        </w:rPr>
        <w:t> </w:t>
      </w:r>
      <w:r>
        <w:rPr/>
        <w:t>0.05</w:t>
      </w:r>
      <w:r>
        <w:rPr>
          <w:spacing w:val="-4"/>
        </w:rPr>
        <w:t> </w:t>
      </w:r>
      <w:r>
        <w:rPr/>
        <w:t>=&gt;</w:t>
      </w:r>
      <w:r>
        <w:rPr>
          <w:spacing w:val="-6"/>
        </w:rPr>
        <w:t> </w:t>
      </w:r>
      <w:r>
        <w:rPr/>
        <w:t>HO</w:t>
      </w:r>
      <w:r>
        <w:rPr>
          <w:spacing w:val="-4"/>
        </w:rPr>
        <w:t> Rtd.</w:t>
      </w:r>
    </w:p>
    <w:p>
      <w:pPr>
        <w:pStyle w:val="BodyText"/>
        <w:spacing w:line="480" w:lineRule="auto" w:before="272"/>
        <w:ind w:left="840" w:right="554" w:firstLine="720"/>
        <w:jc w:val="both"/>
      </w:pPr>
      <w:r>
        <w:rPr/>
        <w:t>From</w:t>
      </w:r>
      <w:r>
        <w:rPr>
          <w:spacing w:val="-5"/>
        </w:rPr>
        <w:t> </w:t>
      </w:r>
      <w:r>
        <w:rPr/>
        <w:t>Table 4.5.31,</w:t>
      </w:r>
      <w:r>
        <w:rPr>
          <w:spacing w:val="-7"/>
        </w:rPr>
        <w:t> </w:t>
      </w:r>
      <w:r>
        <w:rPr/>
        <w:t>it</w:t>
      </w:r>
      <w:r>
        <w:rPr>
          <w:spacing w:val="-3"/>
        </w:rPr>
        <w:t> </w:t>
      </w:r>
      <w:r>
        <w:rPr/>
        <w:t>is</w:t>
      </w:r>
      <w:r>
        <w:rPr>
          <w:spacing w:val="-3"/>
        </w:rPr>
        <w:t> </w:t>
      </w:r>
      <w:r>
        <w:rPr/>
        <w:t>evident that the computed</w:t>
      </w:r>
      <w:r>
        <w:rPr>
          <w:spacing w:val="-2"/>
        </w:rPr>
        <w:t> </w:t>
      </w:r>
      <w:r>
        <w:rPr/>
        <w:t>F probability</w:t>
      </w:r>
      <w:r>
        <w:rPr>
          <w:spacing w:val="-3"/>
        </w:rPr>
        <w:t> </w:t>
      </w:r>
      <w:r>
        <w:rPr/>
        <w:t>was higher than accepted P-value of 0.05 set for the study.</w:t>
      </w:r>
      <w:r>
        <w:rPr>
          <w:spacing w:val="80"/>
        </w:rPr>
        <w:t> </w:t>
      </w:r>
      <w:r>
        <w:rPr/>
        <w:t>The HO was therefore retained. It could be concluded from the result that there were no significant differences in the opinions of the three groups of respondents regarding the impact of the environmental services on the students’ welfare in the universities. This lack of differences in the opinions of the respondents could be attributed to the</w:t>
      </w:r>
      <w:r>
        <w:rPr>
          <w:spacing w:val="80"/>
        </w:rPr>
        <w:t> </w:t>
      </w:r>
      <w:r>
        <w:rPr/>
        <w:t>relentless efforts most university managements were making to landscape, sanitize and beautify their campuses with tree and flower plantings. Also most universities had been sited outside townships devoid of noisy environments coupled</w:t>
      </w:r>
      <w:r>
        <w:rPr>
          <w:spacing w:val="1"/>
        </w:rPr>
        <w:t> </w:t>
      </w:r>
      <w:r>
        <w:rPr/>
        <w:t>with</w:t>
      </w:r>
      <w:r>
        <w:rPr>
          <w:spacing w:val="2"/>
        </w:rPr>
        <w:t> </w:t>
      </w:r>
      <w:r>
        <w:rPr/>
        <w:t>large</w:t>
      </w:r>
      <w:r>
        <w:rPr>
          <w:spacing w:val="1"/>
        </w:rPr>
        <w:t> </w:t>
      </w:r>
      <w:r>
        <w:rPr/>
        <w:t>piece</w:t>
      </w:r>
      <w:r>
        <w:rPr>
          <w:spacing w:val="2"/>
        </w:rPr>
        <w:t> </w:t>
      </w:r>
      <w:r>
        <w:rPr/>
        <w:t>of</w:t>
      </w:r>
      <w:r>
        <w:rPr>
          <w:spacing w:val="-4"/>
        </w:rPr>
        <w:t> </w:t>
      </w:r>
      <w:r>
        <w:rPr/>
        <w:t>land</w:t>
      </w:r>
      <w:r>
        <w:rPr>
          <w:spacing w:val="1"/>
        </w:rPr>
        <w:t> </w:t>
      </w:r>
      <w:r>
        <w:rPr/>
        <w:t>for</w:t>
      </w:r>
      <w:r>
        <w:rPr>
          <w:spacing w:val="2"/>
        </w:rPr>
        <w:t> </w:t>
      </w:r>
      <w:r>
        <w:rPr/>
        <w:t>free</w:t>
      </w:r>
      <w:r>
        <w:rPr>
          <w:spacing w:val="2"/>
        </w:rPr>
        <w:t> </w:t>
      </w:r>
      <w:r>
        <w:rPr/>
        <w:t>ventilation</w:t>
      </w:r>
      <w:r>
        <w:rPr>
          <w:spacing w:val="1"/>
        </w:rPr>
        <w:t> </w:t>
      </w:r>
      <w:r>
        <w:rPr/>
        <w:t>and</w:t>
      </w:r>
      <w:r>
        <w:rPr>
          <w:spacing w:val="2"/>
        </w:rPr>
        <w:t> </w:t>
      </w:r>
      <w:r>
        <w:rPr/>
        <w:t>expansion</w:t>
      </w:r>
      <w:r>
        <w:rPr>
          <w:spacing w:val="-3"/>
        </w:rPr>
        <w:t> </w:t>
      </w:r>
      <w:r>
        <w:rPr/>
        <w:t>in</w:t>
      </w:r>
      <w:r>
        <w:rPr>
          <w:spacing w:val="1"/>
        </w:rPr>
        <w:t> </w:t>
      </w:r>
      <w:r>
        <w:rPr/>
        <w:t>the</w:t>
      </w:r>
      <w:r>
        <w:rPr>
          <w:spacing w:val="2"/>
        </w:rPr>
        <w:t> </w:t>
      </w:r>
      <w:r>
        <w:rPr/>
        <w:t>event </w:t>
      </w:r>
      <w:r>
        <w:rPr>
          <w:spacing w:val="-5"/>
        </w:rPr>
        <w:t>of</w:t>
      </w:r>
    </w:p>
    <w:p>
      <w:pPr>
        <w:pStyle w:val="BodyText"/>
        <w:spacing w:line="272" w:lineRule="exact"/>
        <w:ind w:left="840"/>
      </w:pPr>
      <w:r>
        <w:rPr/>
        <w:t>need.</w:t>
      </w:r>
      <w:r>
        <w:rPr>
          <w:spacing w:val="-3"/>
        </w:rPr>
        <w:t> </w:t>
      </w:r>
      <w:r>
        <w:rPr/>
        <w:t>The</w:t>
      </w:r>
      <w:r>
        <w:rPr>
          <w:spacing w:val="3"/>
        </w:rPr>
        <w:t> </w:t>
      </w:r>
      <w:r>
        <w:rPr/>
        <w:t>managements</w:t>
      </w:r>
      <w:r>
        <w:rPr>
          <w:spacing w:val="1"/>
        </w:rPr>
        <w:t> </w:t>
      </w:r>
      <w:r>
        <w:rPr/>
        <w:t>of</w:t>
      </w:r>
      <w:r>
        <w:rPr>
          <w:spacing w:val="2"/>
        </w:rPr>
        <w:t> </w:t>
      </w:r>
      <w:r>
        <w:rPr/>
        <w:t>the</w:t>
      </w:r>
      <w:r>
        <w:rPr>
          <w:spacing w:val="3"/>
        </w:rPr>
        <w:t> </w:t>
      </w:r>
      <w:r>
        <w:rPr/>
        <w:t>universities</w:t>
      </w:r>
      <w:r>
        <w:rPr>
          <w:spacing w:val="-3"/>
        </w:rPr>
        <w:t> </w:t>
      </w:r>
      <w:r>
        <w:rPr/>
        <w:t>also</w:t>
      </w:r>
      <w:r>
        <w:rPr>
          <w:spacing w:val="3"/>
        </w:rPr>
        <w:t> </w:t>
      </w:r>
      <w:r>
        <w:rPr/>
        <w:t>preached</w:t>
      </w:r>
      <w:r>
        <w:rPr>
          <w:spacing w:val="3"/>
        </w:rPr>
        <w:t> </w:t>
      </w:r>
      <w:r>
        <w:rPr/>
        <w:t>good</w:t>
      </w:r>
      <w:r>
        <w:rPr>
          <w:spacing w:val="-2"/>
        </w:rPr>
        <w:t> </w:t>
      </w:r>
      <w:r>
        <w:rPr/>
        <w:t>human</w:t>
      </w:r>
      <w:r>
        <w:rPr>
          <w:spacing w:val="3"/>
        </w:rPr>
        <w:t> </w:t>
      </w:r>
      <w:r>
        <w:rPr>
          <w:spacing w:val="-2"/>
        </w:rPr>
        <w:t>relations</w:t>
      </w:r>
    </w:p>
    <w:p>
      <w:pPr>
        <w:spacing w:after="0" w:line="272" w:lineRule="exact"/>
        <w:sectPr>
          <w:headerReference w:type="default" r:id="rId481"/>
          <w:footerReference w:type="default" r:id="rId482"/>
          <w:pgSz w:w="12240" w:h="15840"/>
          <w:pgMar w:header="722" w:footer="791" w:top="980" w:bottom="980" w:left="1320" w:right="880"/>
        </w:sectPr>
      </w:pPr>
    </w:p>
    <w:p>
      <w:pPr>
        <w:pStyle w:val="BodyText"/>
        <w:spacing w:line="480" w:lineRule="auto" w:before="15"/>
        <w:ind w:left="840" w:right="559"/>
        <w:jc w:val="both"/>
      </w:pPr>
      <w:r>
        <w:rPr/>
        <w:t>particularly amongst staff, between teachers, students and managements and</w:t>
      </w:r>
      <w:r>
        <w:rPr>
          <w:spacing w:val="40"/>
        </w:rPr>
        <w:t> </w:t>
      </w:r>
      <w:r>
        <w:rPr/>
        <w:t>the groups so that the atmosphere of the universities could be made conducive for human coexistence and students’ academic performance. There</w:t>
      </w:r>
      <w:r>
        <w:rPr>
          <w:spacing w:val="-2"/>
        </w:rPr>
        <w:t> </w:t>
      </w:r>
      <w:r>
        <w:rPr/>
        <w:t>is, therefore, the need for management to improve and maintain a conducive environment generally for enhancing students’ academic performance.</w:t>
      </w:r>
    </w:p>
    <w:p>
      <w:pPr>
        <w:pStyle w:val="Heading4"/>
        <w:numPr>
          <w:ilvl w:val="2"/>
          <w:numId w:val="43"/>
        </w:numPr>
        <w:tabs>
          <w:tab w:pos="967" w:val="left" w:leader="none"/>
        </w:tabs>
        <w:spacing w:line="240" w:lineRule="auto" w:before="2" w:after="0"/>
        <w:ind w:left="967" w:right="0" w:hanging="847"/>
        <w:jc w:val="left"/>
      </w:pPr>
      <w:bookmarkStart w:name="_TOC_250005" w:id="63"/>
      <w:r>
        <w:rPr/>
        <w:t>Null</w:t>
      </w:r>
      <w:r>
        <w:rPr>
          <w:spacing w:val="-7"/>
        </w:rPr>
        <w:t> </w:t>
      </w:r>
      <w:r>
        <w:rPr/>
        <w:t>Hypothesis</w:t>
      </w:r>
      <w:bookmarkEnd w:id="63"/>
      <w:r>
        <w:rPr>
          <w:spacing w:val="-5"/>
        </w:rPr>
        <w:t> 20</w:t>
      </w:r>
    </w:p>
    <w:p>
      <w:pPr>
        <w:pStyle w:val="BodyText"/>
        <w:spacing w:before="44"/>
        <w:rPr>
          <w:rFonts w:ascii="Arial"/>
          <w:b/>
        </w:rPr>
      </w:pPr>
    </w:p>
    <w:p>
      <w:pPr>
        <w:pStyle w:val="BodyText"/>
        <w:spacing w:line="480" w:lineRule="auto"/>
        <w:ind w:left="840" w:right="561" w:firstLine="720"/>
        <w:jc w:val="both"/>
      </w:pPr>
      <w:r>
        <w:rPr/>
        <w:t>There is no significant difference in the opinions of students, service staff and top management staff in respect of the perceived strategies for effective management of students’ welfare services in the universities under study.</w:t>
      </w:r>
    </w:p>
    <w:p>
      <w:pPr>
        <w:pStyle w:val="BodyText"/>
        <w:spacing w:line="480" w:lineRule="auto"/>
        <w:ind w:left="840" w:right="555" w:firstLine="720"/>
        <w:jc w:val="both"/>
      </w:pPr>
      <w:r>
        <w:rPr/>
        <w:t>Based on the responses of respondents on items 93 to 99 in the questionnaire data were collected to find out the influence of the perceived strategies for effective management of students welfare services in the universities. In testing the hypothesis, One Way Analysis of Variance (ANOVA) statistical procedure was employed. This assisted in bringing out the differences in respondents’ opinions clearly on the influence of the perceived strategies on students’ welfare services in these universities. The result of the test is given in Table 4.5.32.</w:t>
      </w:r>
    </w:p>
    <w:p>
      <w:pPr>
        <w:pStyle w:val="Heading2"/>
        <w:spacing w:after="4"/>
        <w:ind w:left="2616" w:right="643" w:hanging="1776"/>
      </w:pPr>
      <w:r>
        <w:rPr/>
        <w:t>Table 4.5.32: Analysis of Variance (ANOVA) on the perceived strategies</w:t>
      </w:r>
      <w:r>
        <w:rPr>
          <w:spacing w:val="-7"/>
        </w:rPr>
        <w:t> </w:t>
      </w:r>
      <w:r>
        <w:rPr/>
        <w:t>for</w:t>
      </w:r>
      <w:r>
        <w:rPr>
          <w:spacing w:val="-5"/>
        </w:rPr>
        <w:t> </w:t>
      </w:r>
      <w:r>
        <w:rPr/>
        <w:t>effective</w:t>
      </w:r>
      <w:r>
        <w:rPr>
          <w:spacing w:val="-11"/>
        </w:rPr>
        <w:t> </w:t>
      </w:r>
      <w:r>
        <w:rPr/>
        <w:t>management</w:t>
      </w:r>
      <w:r>
        <w:rPr>
          <w:spacing w:val="-11"/>
        </w:rPr>
        <w:t> </w:t>
      </w:r>
      <w:r>
        <w:rPr/>
        <w:t>of</w:t>
      </w:r>
      <w:r>
        <w:rPr>
          <w:spacing w:val="-11"/>
        </w:rPr>
        <w:t> </w:t>
      </w:r>
      <w:r>
        <w:rPr/>
        <w:t>students’ welfare services in Universities in three geopolitical zones in Northern part of Nigeria</w:t>
      </w:r>
    </w:p>
    <w:tbl>
      <w:tblPr>
        <w:tblW w:w="0" w:type="auto"/>
        <w:jc w:val="left"/>
        <w:tblInd w:w="1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43"/>
        <w:gridCol w:w="866"/>
        <w:gridCol w:w="1417"/>
        <w:gridCol w:w="1440"/>
        <w:gridCol w:w="1080"/>
        <w:gridCol w:w="1513"/>
      </w:tblGrid>
      <w:tr>
        <w:trPr>
          <w:trHeight w:val="551" w:hRule="atLeast"/>
        </w:trPr>
        <w:tc>
          <w:tcPr>
            <w:tcW w:w="2143" w:type="dxa"/>
            <w:tcBorders>
              <w:top w:val="single" w:sz="4" w:space="0" w:color="000000"/>
              <w:left w:val="single" w:sz="4" w:space="0" w:color="000000"/>
              <w:bottom w:val="single" w:sz="4" w:space="0" w:color="000000"/>
            </w:tcBorders>
          </w:tcPr>
          <w:p>
            <w:pPr>
              <w:pStyle w:val="TableParagraph"/>
              <w:spacing w:line="267" w:lineRule="exact"/>
              <w:ind w:left="609"/>
              <w:rPr>
                <w:rFonts w:ascii="Arial"/>
                <w:b/>
                <w:sz w:val="24"/>
              </w:rPr>
            </w:pPr>
            <w:r>
              <w:rPr>
                <w:rFonts w:ascii="Arial"/>
                <w:b/>
                <w:sz w:val="24"/>
              </w:rPr>
              <w:t>Source</w:t>
            </w:r>
            <w:r>
              <w:rPr>
                <w:rFonts w:ascii="Arial"/>
                <w:b/>
                <w:spacing w:val="-12"/>
                <w:sz w:val="24"/>
              </w:rPr>
              <w:t> </w:t>
            </w:r>
            <w:r>
              <w:rPr>
                <w:rFonts w:ascii="Arial"/>
                <w:b/>
                <w:spacing w:val="-5"/>
                <w:sz w:val="24"/>
              </w:rPr>
              <w:t>of</w:t>
            </w:r>
          </w:p>
          <w:p>
            <w:pPr>
              <w:pStyle w:val="TableParagraph"/>
              <w:spacing w:line="263" w:lineRule="exact" w:before="2"/>
              <w:ind w:left="652"/>
              <w:rPr>
                <w:rFonts w:ascii="Arial"/>
                <w:b/>
                <w:sz w:val="24"/>
              </w:rPr>
            </w:pPr>
            <w:r>
              <w:rPr>
                <w:rFonts w:ascii="Arial"/>
                <w:b/>
                <w:spacing w:val="-2"/>
                <w:sz w:val="24"/>
              </w:rPr>
              <w:t>Variation</w:t>
            </w:r>
          </w:p>
        </w:tc>
        <w:tc>
          <w:tcPr>
            <w:tcW w:w="866" w:type="dxa"/>
            <w:tcBorders>
              <w:top w:val="single" w:sz="4" w:space="0" w:color="000000"/>
              <w:bottom w:val="single" w:sz="4" w:space="0" w:color="000000"/>
            </w:tcBorders>
          </w:tcPr>
          <w:p>
            <w:pPr>
              <w:pStyle w:val="TableParagraph"/>
              <w:spacing w:line="267" w:lineRule="exact"/>
              <w:ind w:right="148"/>
              <w:jc w:val="right"/>
              <w:rPr>
                <w:rFonts w:ascii="Arial"/>
                <w:b/>
                <w:sz w:val="24"/>
              </w:rPr>
            </w:pPr>
            <w:r>
              <w:rPr>
                <w:rFonts w:ascii="Arial"/>
                <w:b/>
                <w:spacing w:val="-5"/>
                <w:sz w:val="24"/>
              </w:rPr>
              <w:t>DF</w:t>
            </w:r>
          </w:p>
        </w:tc>
        <w:tc>
          <w:tcPr>
            <w:tcW w:w="1417" w:type="dxa"/>
            <w:tcBorders>
              <w:top w:val="single" w:sz="4" w:space="0" w:color="000000"/>
              <w:bottom w:val="single" w:sz="4" w:space="0" w:color="000000"/>
            </w:tcBorders>
          </w:tcPr>
          <w:p>
            <w:pPr>
              <w:pStyle w:val="TableParagraph"/>
              <w:spacing w:line="267" w:lineRule="exact"/>
              <w:ind w:left="365"/>
              <w:rPr>
                <w:rFonts w:ascii="Arial"/>
                <w:b/>
                <w:sz w:val="24"/>
              </w:rPr>
            </w:pPr>
            <w:r>
              <w:rPr>
                <w:rFonts w:ascii="Arial"/>
                <w:b/>
                <w:sz w:val="24"/>
              </w:rPr>
              <w:t>Sum</w:t>
            </w:r>
            <w:r>
              <w:rPr>
                <w:rFonts w:ascii="Arial"/>
                <w:b/>
                <w:spacing w:val="-13"/>
                <w:sz w:val="24"/>
              </w:rPr>
              <w:t> </w:t>
            </w:r>
            <w:r>
              <w:rPr>
                <w:rFonts w:ascii="Arial"/>
                <w:b/>
                <w:spacing w:val="-5"/>
                <w:sz w:val="24"/>
              </w:rPr>
              <w:t>of</w:t>
            </w:r>
          </w:p>
          <w:p>
            <w:pPr>
              <w:pStyle w:val="TableParagraph"/>
              <w:spacing w:line="263" w:lineRule="exact" w:before="2"/>
              <w:ind w:left="298"/>
              <w:rPr>
                <w:rFonts w:ascii="Arial"/>
                <w:b/>
                <w:sz w:val="24"/>
              </w:rPr>
            </w:pPr>
            <w:r>
              <w:rPr>
                <w:rFonts w:ascii="Arial"/>
                <w:b/>
                <w:spacing w:val="-2"/>
                <w:sz w:val="24"/>
              </w:rPr>
              <w:t>Squares</w:t>
            </w:r>
          </w:p>
        </w:tc>
        <w:tc>
          <w:tcPr>
            <w:tcW w:w="1440" w:type="dxa"/>
            <w:tcBorders>
              <w:top w:val="single" w:sz="4" w:space="0" w:color="000000"/>
              <w:bottom w:val="single" w:sz="4" w:space="0" w:color="000000"/>
            </w:tcBorders>
          </w:tcPr>
          <w:p>
            <w:pPr>
              <w:pStyle w:val="TableParagraph"/>
              <w:spacing w:line="267" w:lineRule="exact"/>
              <w:ind w:left="150"/>
              <w:jc w:val="center"/>
              <w:rPr>
                <w:rFonts w:ascii="Arial"/>
                <w:b/>
                <w:sz w:val="24"/>
              </w:rPr>
            </w:pPr>
            <w:r>
              <w:rPr>
                <w:rFonts w:ascii="Arial"/>
                <w:b/>
                <w:spacing w:val="-4"/>
                <w:sz w:val="24"/>
              </w:rPr>
              <w:t>Mean</w:t>
            </w:r>
          </w:p>
          <w:p>
            <w:pPr>
              <w:pStyle w:val="TableParagraph"/>
              <w:spacing w:line="263" w:lineRule="exact" w:before="2"/>
              <w:ind w:left="150" w:right="3"/>
              <w:jc w:val="center"/>
              <w:rPr>
                <w:rFonts w:ascii="Arial"/>
                <w:b/>
                <w:sz w:val="24"/>
              </w:rPr>
            </w:pPr>
            <w:r>
              <w:rPr>
                <w:rFonts w:ascii="Arial"/>
                <w:b/>
                <w:spacing w:val="-2"/>
                <w:sz w:val="24"/>
              </w:rPr>
              <w:t>Squares</w:t>
            </w:r>
          </w:p>
        </w:tc>
        <w:tc>
          <w:tcPr>
            <w:tcW w:w="1080" w:type="dxa"/>
            <w:tcBorders>
              <w:top w:val="single" w:sz="4" w:space="0" w:color="000000"/>
              <w:bottom w:val="single" w:sz="4" w:space="0" w:color="000000"/>
            </w:tcBorders>
          </w:tcPr>
          <w:p>
            <w:pPr>
              <w:pStyle w:val="TableParagraph"/>
              <w:spacing w:line="267" w:lineRule="exact"/>
              <w:ind w:left="123" w:right="2"/>
              <w:jc w:val="center"/>
              <w:rPr>
                <w:rFonts w:ascii="Arial"/>
                <w:b/>
                <w:sz w:val="24"/>
              </w:rPr>
            </w:pPr>
            <w:r>
              <w:rPr>
                <w:rFonts w:ascii="Arial"/>
                <w:b/>
                <w:spacing w:val="-10"/>
                <w:sz w:val="24"/>
              </w:rPr>
              <w:t>F</w:t>
            </w:r>
          </w:p>
          <w:p>
            <w:pPr>
              <w:pStyle w:val="TableParagraph"/>
              <w:spacing w:line="263" w:lineRule="exact" w:before="2"/>
              <w:ind w:left="123"/>
              <w:jc w:val="center"/>
              <w:rPr>
                <w:rFonts w:ascii="Arial"/>
                <w:b/>
                <w:sz w:val="24"/>
              </w:rPr>
            </w:pPr>
            <w:r>
              <w:rPr>
                <w:rFonts w:ascii="Arial"/>
                <w:b/>
                <w:spacing w:val="-2"/>
                <w:sz w:val="24"/>
              </w:rPr>
              <w:t>Value</w:t>
            </w:r>
          </w:p>
        </w:tc>
        <w:tc>
          <w:tcPr>
            <w:tcW w:w="1513" w:type="dxa"/>
            <w:tcBorders>
              <w:top w:val="single" w:sz="4" w:space="0" w:color="000000"/>
              <w:bottom w:val="single" w:sz="4" w:space="0" w:color="000000"/>
              <w:right w:val="single" w:sz="4" w:space="0" w:color="000000"/>
            </w:tcBorders>
          </w:tcPr>
          <w:p>
            <w:pPr>
              <w:pStyle w:val="TableParagraph"/>
              <w:spacing w:line="267" w:lineRule="exact"/>
              <w:ind w:left="73" w:right="2"/>
              <w:jc w:val="center"/>
              <w:rPr>
                <w:rFonts w:ascii="Arial"/>
                <w:b/>
                <w:sz w:val="24"/>
              </w:rPr>
            </w:pPr>
            <w:r>
              <w:rPr>
                <w:rFonts w:ascii="Arial"/>
                <w:b/>
                <w:spacing w:val="-10"/>
                <w:sz w:val="24"/>
              </w:rPr>
              <w:t>P</w:t>
            </w:r>
          </w:p>
          <w:p>
            <w:pPr>
              <w:pStyle w:val="TableParagraph"/>
              <w:spacing w:line="263" w:lineRule="exact" w:before="2"/>
              <w:ind w:left="73"/>
              <w:jc w:val="center"/>
              <w:rPr>
                <w:rFonts w:ascii="Arial"/>
                <w:b/>
                <w:sz w:val="24"/>
              </w:rPr>
            </w:pPr>
            <w:r>
              <w:rPr>
                <w:rFonts w:ascii="Arial"/>
                <w:b/>
                <w:spacing w:val="-2"/>
                <w:sz w:val="24"/>
              </w:rPr>
              <w:t>Probability</w:t>
            </w:r>
          </w:p>
        </w:tc>
      </w:tr>
      <w:tr>
        <w:trPr>
          <w:trHeight w:val="346" w:hRule="atLeast"/>
        </w:trPr>
        <w:tc>
          <w:tcPr>
            <w:tcW w:w="2143" w:type="dxa"/>
            <w:tcBorders>
              <w:top w:val="single" w:sz="4" w:space="0" w:color="000000"/>
              <w:left w:val="single" w:sz="4" w:space="0" w:color="000000"/>
            </w:tcBorders>
          </w:tcPr>
          <w:p>
            <w:pPr>
              <w:pStyle w:val="TableParagraph"/>
              <w:spacing w:line="271" w:lineRule="exact"/>
              <w:ind w:left="105"/>
              <w:rPr>
                <w:sz w:val="24"/>
              </w:rPr>
            </w:pPr>
            <w:r>
              <w:rPr>
                <w:sz w:val="24"/>
              </w:rPr>
              <w:t>Between</w:t>
            </w:r>
            <w:r>
              <w:rPr>
                <w:spacing w:val="-13"/>
                <w:sz w:val="24"/>
              </w:rPr>
              <w:t> </w:t>
            </w:r>
            <w:r>
              <w:rPr>
                <w:spacing w:val="-2"/>
                <w:sz w:val="24"/>
              </w:rPr>
              <w:t>groups</w:t>
            </w:r>
          </w:p>
        </w:tc>
        <w:tc>
          <w:tcPr>
            <w:tcW w:w="866" w:type="dxa"/>
            <w:tcBorders>
              <w:top w:val="single" w:sz="4" w:space="0" w:color="000000"/>
            </w:tcBorders>
          </w:tcPr>
          <w:p>
            <w:pPr>
              <w:pStyle w:val="TableParagraph"/>
              <w:spacing w:line="271" w:lineRule="exact"/>
              <w:ind w:right="120"/>
              <w:jc w:val="center"/>
              <w:rPr>
                <w:sz w:val="24"/>
              </w:rPr>
            </w:pPr>
            <w:r>
              <w:rPr>
                <w:spacing w:val="-10"/>
                <w:sz w:val="24"/>
              </w:rPr>
              <w:t>2</w:t>
            </w:r>
          </w:p>
        </w:tc>
        <w:tc>
          <w:tcPr>
            <w:tcW w:w="1417" w:type="dxa"/>
            <w:tcBorders>
              <w:top w:val="single" w:sz="4" w:space="0" w:color="000000"/>
            </w:tcBorders>
          </w:tcPr>
          <w:p>
            <w:pPr>
              <w:pStyle w:val="TableParagraph"/>
              <w:spacing w:line="271" w:lineRule="exact"/>
              <w:ind w:left="158"/>
              <w:rPr>
                <w:sz w:val="24"/>
              </w:rPr>
            </w:pPr>
            <w:r>
              <w:rPr>
                <w:spacing w:val="-2"/>
                <w:sz w:val="24"/>
              </w:rPr>
              <w:t>3.6114</w:t>
            </w:r>
          </w:p>
        </w:tc>
        <w:tc>
          <w:tcPr>
            <w:tcW w:w="1440" w:type="dxa"/>
            <w:tcBorders>
              <w:top w:val="single" w:sz="4" w:space="0" w:color="000000"/>
            </w:tcBorders>
          </w:tcPr>
          <w:p>
            <w:pPr>
              <w:pStyle w:val="TableParagraph"/>
              <w:spacing w:line="271" w:lineRule="exact"/>
              <w:ind w:left="182"/>
              <w:rPr>
                <w:sz w:val="24"/>
              </w:rPr>
            </w:pPr>
            <w:r>
              <w:rPr>
                <w:spacing w:val="-2"/>
                <w:sz w:val="24"/>
              </w:rPr>
              <w:t>1.8057</w:t>
            </w:r>
          </w:p>
        </w:tc>
        <w:tc>
          <w:tcPr>
            <w:tcW w:w="1080" w:type="dxa"/>
            <w:tcBorders>
              <w:top w:val="single" w:sz="4" w:space="0" w:color="000000"/>
            </w:tcBorders>
          </w:tcPr>
          <w:p>
            <w:pPr>
              <w:pStyle w:val="TableParagraph"/>
              <w:spacing w:line="271" w:lineRule="exact"/>
              <w:ind w:left="182"/>
              <w:rPr>
                <w:sz w:val="24"/>
              </w:rPr>
            </w:pPr>
            <w:r>
              <w:rPr>
                <w:spacing w:val="-2"/>
                <w:sz w:val="24"/>
              </w:rPr>
              <w:t>2.5787</w:t>
            </w:r>
          </w:p>
        </w:tc>
        <w:tc>
          <w:tcPr>
            <w:tcW w:w="1513" w:type="dxa"/>
            <w:tcBorders>
              <w:top w:val="single" w:sz="4" w:space="0" w:color="000000"/>
              <w:right w:val="single" w:sz="4" w:space="0" w:color="000000"/>
            </w:tcBorders>
          </w:tcPr>
          <w:p>
            <w:pPr>
              <w:pStyle w:val="TableParagraph"/>
              <w:spacing w:line="271" w:lineRule="exact"/>
              <w:ind w:left="167"/>
              <w:rPr>
                <w:sz w:val="24"/>
              </w:rPr>
            </w:pPr>
            <w:r>
              <w:rPr>
                <w:spacing w:val="-2"/>
                <w:sz w:val="24"/>
              </w:rPr>
              <w:t>0.0770</w:t>
            </w:r>
          </w:p>
        </w:tc>
      </w:tr>
      <w:tr>
        <w:trPr>
          <w:trHeight w:val="483" w:hRule="atLeast"/>
        </w:trPr>
        <w:tc>
          <w:tcPr>
            <w:tcW w:w="2143" w:type="dxa"/>
            <w:tcBorders>
              <w:left w:val="single" w:sz="4" w:space="0" w:color="000000"/>
              <w:bottom w:val="single" w:sz="4" w:space="0" w:color="000000"/>
            </w:tcBorders>
          </w:tcPr>
          <w:p>
            <w:pPr>
              <w:pStyle w:val="TableParagraph"/>
              <w:spacing w:before="67"/>
              <w:ind w:left="105"/>
              <w:rPr>
                <w:sz w:val="24"/>
              </w:rPr>
            </w:pPr>
            <w:r>
              <w:rPr>
                <w:sz w:val="24"/>
              </w:rPr>
              <w:t>Within</w:t>
            </w:r>
            <w:r>
              <w:rPr>
                <w:spacing w:val="-3"/>
                <w:sz w:val="24"/>
              </w:rPr>
              <w:t> </w:t>
            </w:r>
            <w:r>
              <w:rPr>
                <w:spacing w:val="-2"/>
                <w:sz w:val="24"/>
              </w:rPr>
              <w:t>groups</w:t>
            </w:r>
          </w:p>
        </w:tc>
        <w:tc>
          <w:tcPr>
            <w:tcW w:w="866" w:type="dxa"/>
            <w:tcBorders>
              <w:bottom w:val="single" w:sz="4" w:space="0" w:color="000000"/>
            </w:tcBorders>
          </w:tcPr>
          <w:p>
            <w:pPr>
              <w:pStyle w:val="TableParagraph"/>
              <w:spacing w:before="67"/>
              <w:ind w:right="157"/>
              <w:jc w:val="right"/>
              <w:rPr>
                <w:sz w:val="24"/>
              </w:rPr>
            </w:pPr>
            <w:r>
              <w:rPr>
                <w:spacing w:val="-5"/>
                <w:sz w:val="24"/>
              </w:rPr>
              <w:t>458</w:t>
            </w:r>
          </w:p>
        </w:tc>
        <w:tc>
          <w:tcPr>
            <w:tcW w:w="1417" w:type="dxa"/>
            <w:tcBorders>
              <w:bottom w:val="single" w:sz="4" w:space="0" w:color="000000"/>
            </w:tcBorders>
          </w:tcPr>
          <w:p>
            <w:pPr>
              <w:pStyle w:val="TableParagraph"/>
              <w:spacing w:before="67"/>
              <w:ind w:left="158"/>
              <w:rPr>
                <w:sz w:val="24"/>
              </w:rPr>
            </w:pPr>
            <w:r>
              <w:rPr>
                <w:spacing w:val="-2"/>
                <w:sz w:val="24"/>
              </w:rPr>
              <w:t>318.6105</w:t>
            </w:r>
          </w:p>
        </w:tc>
        <w:tc>
          <w:tcPr>
            <w:tcW w:w="1440" w:type="dxa"/>
            <w:tcBorders>
              <w:bottom w:val="single" w:sz="4" w:space="0" w:color="000000"/>
            </w:tcBorders>
          </w:tcPr>
          <w:p>
            <w:pPr>
              <w:pStyle w:val="TableParagraph"/>
              <w:spacing w:before="67"/>
              <w:ind w:left="182"/>
              <w:rPr>
                <w:sz w:val="24"/>
              </w:rPr>
            </w:pPr>
            <w:r>
              <w:rPr>
                <w:spacing w:val="-2"/>
                <w:sz w:val="24"/>
              </w:rPr>
              <w:t>0.7002</w:t>
            </w:r>
          </w:p>
        </w:tc>
        <w:tc>
          <w:tcPr>
            <w:tcW w:w="1080" w:type="dxa"/>
            <w:tcBorders>
              <w:bottom w:val="single" w:sz="4" w:space="0" w:color="000000"/>
            </w:tcBorders>
          </w:tcPr>
          <w:p>
            <w:pPr>
              <w:pStyle w:val="TableParagraph"/>
              <w:rPr>
                <w:rFonts w:ascii="Times New Roman"/>
                <w:sz w:val="24"/>
              </w:rPr>
            </w:pPr>
          </w:p>
        </w:tc>
        <w:tc>
          <w:tcPr>
            <w:tcW w:w="1513" w:type="dxa"/>
            <w:tcBorders>
              <w:bottom w:val="single" w:sz="4" w:space="0" w:color="000000"/>
              <w:right w:val="single" w:sz="4" w:space="0" w:color="000000"/>
            </w:tcBorders>
          </w:tcPr>
          <w:p>
            <w:pPr>
              <w:pStyle w:val="TableParagraph"/>
              <w:rPr>
                <w:rFonts w:ascii="Times New Roman"/>
                <w:sz w:val="24"/>
              </w:rPr>
            </w:pPr>
          </w:p>
        </w:tc>
      </w:tr>
      <w:tr>
        <w:trPr>
          <w:trHeight w:val="277" w:hRule="atLeast"/>
        </w:trPr>
        <w:tc>
          <w:tcPr>
            <w:tcW w:w="2143" w:type="dxa"/>
            <w:tcBorders>
              <w:top w:val="single" w:sz="4" w:space="0" w:color="000000"/>
              <w:left w:val="single" w:sz="4" w:space="0" w:color="000000"/>
              <w:bottom w:val="single" w:sz="4" w:space="0" w:color="000000"/>
            </w:tcBorders>
          </w:tcPr>
          <w:p>
            <w:pPr>
              <w:pStyle w:val="TableParagraph"/>
              <w:rPr>
                <w:rFonts w:ascii="Times New Roman"/>
                <w:sz w:val="20"/>
              </w:rPr>
            </w:pPr>
          </w:p>
        </w:tc>
        <w:tc>
          <w:tcPr>
            <w:tcW w:w="866" w:type="dxa"/>
            <w:tcBorders>
              <w:top w:val="single" w:sz="4" w:space="0" w:color="000000"/>
              <w:bottom w:val="single" w:sz="4" w:space="0" w:color="000000"/>
            </w:tcBorders>
          </w:tcPr>
          <w:p>
            <w:pPr>
              <w:pStyle w:val="TableParagraph"/>
              <w:spacing w:line="258" w:lineRule="exact"/>
              <w:ind w:right="157"/>
              <w:jc w:val="right"/>
              <w:rPr>
                <w:sz w:val="24"/>
              </w:rPr>
            </w:pPr>
            <w:r>
              <w:rPr>
                <w:spacing w:val="-5"/>
                <w:sz w:val="24"/>
              </w:rPr>
              <w:t>460</w:t>
            </w:r>
          </w:p>
        </w:tc>
        <w:tc>
          <w:tcPr>
            <w:tcW w:w="1417" w:type="dxa"/>
            <w:tcBorders>
              <w:top w:val="single" w:sz="4" w:space="0" w:color="000000"/>
              <w:bottom w:val="single" w:sz="4" w:space="0" w:color="000000"/>
            </w:tcBorders>
          </w:tcPr>
          <w:p>
            <w:pPr>
              <w:pStyle w:val="TableParagraph"/>
              <w:spacing w:line="258" w:lineRule="exact"/>
              <w:ind w:left="158"/>
              <w:rPr>
                <w:sz w:val="24"/>
              </w:rPr>
            </w:pPr>
            <w:r>
              <w:rPr>
                <w:spacing w:val="-2"/>
                <w:sz w:val="24"/>
              </w:rPr>
              <w:t>322.2219</w:t>
            </w:r>
          </w:p>
        </w:tc>
        <w:tc>
          <w:tcPr>
            <w:tcW w:w="1440" w:type="dxa"/>
            <w:tcBorders>
              <w:top w:val="single" w:sz="4" w:space="0" w:color="000000"/>
              <w:bottom w:val="single" w:sz="4" w:space="0" w:color="000000"/>
            </w:tcBorders>
          </w:tcPr>
          <w:p>
            <w:pPr>
              <w:pStyle w:val="TableParagraph"/>
              <w:rPr>
                <w:rFonts w:ascii="Times New Roman"/>
                <w:sz w:val="20"/>
              </w:rPr>
            </w:pPr>
          </w:p>
        </w:tc>
        <w:tc>
          <w:tcPr>
            <w:tcW w:w="1080" w:type="dxa"/>
            <w:tcBorders>
              <w:top w:val="single" w:sz="4" w:space="0" w:color="000000"/>
              <w:bottom w:val="single" w:sz="4" w:space="0" w:color="000000"/>
            </w:tcBorders>
          </w:tcPr>
          <w:p>
            <w:pPr>
              <w:pStyle w:val="TableParagraph"/>
              <w:rPr>
                <w:rFonts w:ascii="Times New Roman"/>
                <w:sz w:val="20"/>
              </w:rPr>
            </w:pPr>
          </w:p>
        </w:tc>
        <w:tc>
          <w:tcPr>
            <w:tcW w:w="1513" w:type="dxa"/>
            <w:tcBorders>
              <w:top w:val="single" w:sz="4" w:space="0" w:color="000000"/>
              <w:bottom w:val="single" w:sz="4" w:space="0" w:color="000000"/>
              <w:right w:val="single" w:sz="4" w:space="0" w:color="000000"/>
            </w:tcBorders>
          </w:tcPr>
          <w:p>
            <w:pPr>
              <w:pStyle w:val="TableParagraph"/>
              <w:rPr>
                <w:rFonts w:ascii="Times New Roman"/>
                <w:sz w:val="20"/>
              </w:rPr>
            </w:pPr>
          </w:p>
        </w:tc>
      </w:tr>
    </w:tbl>
    <w:p>
      <w:pPr>
        <w:pStyle w:val="BodyText"/>
        <w:ind w:left="1560"/>
      </w:pPr>
      <w:r>
        <w:rPr/>
        <w:t>F</w:t>
      </w:r>
      <w:r>
        <w:rPr>
          <w:spacing w:val="-3"/>
        </w:rPr>
        <w:t> </w:t>
      </w:r>
      <w:r>
        <w:rPr/>
        <w:t>Probability</w:t>
      </w:r>
      <w:r>
        <w:rPr>
          <w:spacing w:val="-5"/>
        </w:rPr>
        <w:t> </w:t>
      </w:r>
      <w:r>
        <w:rPr/>
        <w:t>&gt;</w:t>
      </w:r>
      <w:r>
        <w:rPr>
          <w:spacing w:val="-6"/>
        </w:rPr>
        <w:t> </w:t>
      </w:r>
      <w:r>
        <w:rPr/>
        <w:t>0.05</w:t>
      </w:r>
      <w:r>
        <w:rPr>
          <w:spacing w:val="-4"/>
        </w:rPr>
        <w:t> </w:t>
      </w:r>
      <w:r>
        <w:rPr/>
        <w:t>=&gt;</w:t>
      </w:r>
      <w:r>
        <w:rPr>
          <w:spacing w:val="-6"/>
        </w:rPr>
        <w:t> </w:t>
      </w:r>
      <w:r>
        <w:rPr/>
        <w:t>HO</w:t>
      </w:r>
      <w:r>
        <w:rPr>
          <w:spacing w:val="-4"/>
        </w:rPr>
        <w:t> Rtd.</w:t>
      </w:r>
    </w:p>
    <w:p>
      <w:pPr>
        <w:spacing w:after="0"/>
        <w:sectPr>
          <w:headerReference w:type="default" r:id="rId483"/>
          <w:footerReference w:type="default" r:id="rId484"/>
          <w:pgSz w:w="12240" w:h="15840"/>
          <w:pgMar w:header="722" w:footer="791" w:top="980" w:bottom="980" w:left="1320" w:right="880"/>
        </w:sectPr>
      </w:pPr>
    </w:p>
    <w:p>
      <w:pPr>
        <w:pStyle w:val="BodyText"/>
        <w:spacing w:before="171"/>
      </w:pPr>
    </w:p>
    <w:p>
      <w:pPr>
        <w:pStyle w:val="BodyText"/>
        <w:spacing w:line="480" w:lineRule="auto"/>
        <w:ind w:left="840" w:right="554" w:firstLine="720"/>
        <w:jc w:val="both"/>
      </w:pPr>
      <w:r>
        <w:rPr/>
        <w:t>Table 4.5.32 above shows that the computed F. probability is greater than the accepted P-value 0.05 set for the study. Therefore, the HO was retained.</w:t>
      </w:r>
      <w:r>
        <w:rPr>
          <w:spacing w:val="80"/>
        </w:rPr>
        <w:t> </w:t>
      </w:r>
      <w:r>
        <w:rPr/>
        <w:t>This allowed one to conclude that significant differences were not evident in the opinions of respondents on the effects of the application of perceived strategies for effective management of students’ welfare services in the universities. Perhaps, the lack of significant differences in the opinions of the respondents could be attributed to the fact that most organizations were assumed to survive effectively when relative strategies like laws, ordinances, edicts, policies, constitutions, rules and regulations are formulated to control and regulate them. The universities being complex communities need to be controlled by such strategies. Committees should be usually formed to assist in decision making process which is instrumental to the peaceful coexistence of subjects in the university communities.</w:t>
      </w:r>
    </w:p>
    <w:p>
      <w:pPr>
        <w:pStyle w:val="BodyText"/>
        <w:spacing w:line="480" w:lineRule="auto" w:before="1"/>
        <w:ind w:left="840" w:right="555" w:firstLine="720"/>
        <w:jc w:val="both"/>
      </w:pPr>
      <w:r>
        <w:rPr/>
        <w:t>In view of this observation there is the need for the Ministry of Education via National University Commission and the State Board for Higher Education for the management of the universities to ensure that relative and positive policies are formulated as well as enough funds for the universities to achieve their</w:t>
      </w:r>
      <w:r>
        <w:rPr>
          <w:spacing w:val="80"/>
        </w:rPr>
        <w:t> </w:t>
      </w:r>
      <w:r>
        <w:rPr/>
        <w:t>vision, mission, goals and objectives.</w:t>
      </w:r>
    </w:p>
    <w:p>
      <w:pPr>
        <w:pStyle w:val="BodyText"/>
        <w:ind w:left="1560"/>
        <w:jc w:val="both"/>
      </w:pPr>
      <w:r>
        <w:rPr/>
        <w:t>The</w:t>
      </w:r>
      <w:r>
        <w:rPr>
          <w:spacing w:val="-3"/>
        </w:rPr>
        <w:t> </w:t>
      </w:r>
      <w:r>
        <w:rPr/>
        <w:t>summary</w:t>
      </w:r>
      <w:r>
        <w:rPr>
          <w:spacing w:val="-4"/>
        </w:rPr>
        <w:t> </w:t>
      </w:r>
      <w:r>
        <w:rPr/>
        <w:t>of</w:t>
      </w:r>
      <w:r>
        <w:rPr>
          <w:spacing w:val="-4"/>
        </w:rPr>
        <w:t> </w:t>
      </w:r>
      <w:r>
        <w:rPr/>
        <w:t>the</w:t>
      </w:r>
      <w:r>
        <w:rPr>
          <w:spacing w:val="-3"/>
        </w:rPr>
        <w:t> </w:t>
      </w:r>
      <w:r>
        <w:rPr/>
        <w:t>tests</w:t>
      </w:r>
      <w:r>
        <w:rPr>
          <w:spacing w:val="-4"/>
        </w:rPr>
        <w:t> </w:t>
      </w:r>
      <w:r>
        <w:rPr/>
        <w:t>of</w:t>
      </w:r>
      <w:r>
        <w:rPr>
          <w:spacing w:val="-8"/>
        </w:rPr>
        <w:t> </w:t>
      </w:r>
      <w:r>
        <w:rPr/>
        <w:t>the</w:t>
      </w:r>
      <w:r>
        <w:rPr>
          <w:spacing w:val="-2"/>
        </w:rPr>
        <w:t> </w:t>
      </w:r>
      <w:r>
        <w:rPr/>
        <w:t>hypothesis</w:t>
      </w:r>
      <w:r>
        <w:rPr>
          <w:spacing w:val="-9"/>
        </w:rPr>
        <w:t> </w:t>
      </w:r>
      <w:r>
        <w:rPr/>
        <w:t>is</w:t>
      </w:r>
      <w:r>
        <w:rPr>
          <w:spacing w:val="-9"/>
        </w:rPr>
        <w:t> </w:t>
      </w:r>
      <w:r>
        <w:rPr/>
        <w:t>described</w:t>
      </w:r>
      <w:r>
        <w:rPr>
          <w:spacing w:val="-6"/>
        </w:rPr>
        <w:t> </w:t>
      </w:r>
      <w:r>
        <w:rPr/>
        <w:t>in</w:t>
      </w:r>
      <w:r>
        <w:rPr>
          <w:spacing w:val="-7"/>
        </w:rPr>
        <w:t> </w:t>
      </w:r>
      <w:r>
        <w:rPr/>
        <w:t>table</w:t>
      </w:r>
      <w:r>
        <w:rPr>
          <w:spacing w:val="-3"/>
        </w:rPr>
        <w:t> </w:t>
      </w:r>
      <w:r>
        <w:rPr>
          <w:spacing w:val="-2"/>
        </w:rPr>
        <w:t>4.6.1.</w:t>
      </w:r>
    </w:p>
    <w:p>
      <w:pPr>
        <w:spacing w:after="0"/>
        <w:jc w:val="both"/>
        <w:sectPr>
          <w:headerReference w:type="default" r:id="rId485"/>
          <w:footerReference w:type="default" r:id="rId486"/>
          <w:pgSz w:w="12240" w:h="15840"/>
          <w:pgMar w:header="722" w:footer="791" w:top="980" w:bottom="980" w:left="1320" w:right="880"/>
        </w:sectPr>
      </w:pPr>
    </w:p>
    <w:p>
      <w:pPr>
        <w:tabs>
          <w:tab w:pos="2159" w:val="left" w:leader="none"/>
        </w:tabs>
        <w:spacing w:before="79"/>
        <w:ind w:left="220" w:right="0" w:firstLine="0"/>
        <w:jc w:val="left"/>
        <w:rPr>
          <w:rFonts w:ascii="Arial"/>
          <w:b/>
          <w:sz w:val="28"/>
        </w:rPr>
      </w:pPr>
      <w:r>
        <w:rPr>
          <w:sz w:val="28"/>
        </w:rPr>
        <w:t>Table</w:t>
      </w:r>
      <w:r>
        <w:rPr>
          <w:spacing w:val="-9"/>
          <w:sz w:val="28"/>
        </w:rPr>
        <w:t> </w:t>
      </w:r>
      <w:r>
        <w:rPr>
          <w:spacing w:val="-2"/>
          <w:sz w:val="28"/>
        </w:rPr>
        <w:t>4.5.3.3.</w:t>
      </w:r>
      <w:r>
        <w:rPr>
          <w:sz w:val="28"/>
        </w:rPr>
        <w:tab/>
      </w:r>
      <w:r>
        <w:rPr>
          <w:rFonts w:ascii="Arial"/>
          <w:b/>
          <w:sz w:val="28"/>
        </w:rPr>
        <w:t>Summary</w:t>
      </w:r>
      <w:r>
        <w:rPr>
          <w:rFonts w:ascii="Arial"/>
          <w:b/>
          <w:spacing w:val="-11"/>
          <w:sz w:val="28"/>
        </w:rPr>
        <w:t> </w:t>
      </w:r>
      <w:r>
        <w:rPr>
          <w:rFonts w:ascii="Arial"/>
          <w:b/>
          <w:sz w:val="28"/>
        </w:rPr>
        <w:t>of</w:t>
      </w:r>
      <w:r>
        <w:rPr>
          <w:rFonts w:ascii="Arial"/>
          <w:b/>
          <w:spacing w:val="-7"/>
          <w:sz w:val="28"/>
        </w:rPr>
        <w:t> </w:t>
      </w:r>
      <w:r>
        <w:rPr>
          <w:rFonts w:ascii="Arial"/>
          <w:b/>
          <w:sz w:val="28"/>
        </w:rPr>
        <w:t>Hypothesis</w:t>
      </w:r>
      <w:r>
        <w:rPr>
          <w:rFonts w:ascii="Arial"/>
          <w:b/>
          <w:spacing w:val="-6"/>
          <w:sz w:val="28"/>
        </w:rPr>
        <w:t> </w:t>
      </w:r>
      <w:r>
        <w:rPr>
          <w:rFonts w:ascii="Arial"/>
          <w:b/>
          <w:spacing w:val="-2"/>
          <w:sz w:val="28"/>
        </w:rPr>
        <w:t>Testing</w:t>
      </w:r>
    </w:p>
    <w:p>
      <w:pPr>
        <w:pStyle w:val="BodyText"/>
        <w:spacing w:before="99" w:after="1"/>
        <w:rPr>
          <w:rFonts w:ascii="Arial"/>
          <w:b/>
          <w:sz w:val="20"/>
        </w:rPr>
      </w:pPr>
    </w:p>
    <w:tbl>
      <w:tblPr>
        <w:tblW w:w="0" w:type="auto"/>
        <w:jc w:val="left"/>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8"/>
        <w:gridCol w:w="3855"/>
        <w:gridCol w:w="1964"/>
        <w:gridCol w:w="2142"/>
        <w:gridCol w:w="1628"/>
        <w:gridCol w:w="3058"/>
      </w:tblGrid>
      <w:tr>
        <w:trPr>
          <w:trHeight w:val="551" w:hRule="atLeast"/>
        </w:trPr>
        <w:tc>
          <w:tcPr>
            <w:tcW w:w="538" w:type="dxa"/>
            <w:tcBorders>
              <w:right w:val="nil"/>
            </w:tcBorders>
          </w:tcPr>
          <w:p>
            <w:pPr>
              <w:pStyle w:val="TableParagraph"/>
              <w:spacing w:line="267" w:lineRule="exact"/>
              <w:ind w:left="110"/>
              <w:rPr>
                <w:rFonts w:ascii="Arial"/>
                <w:b/>
                <w:sz w:val="24"/>
              </w:rPr>
            </w:pPr>
            <w:r>
              <w:rPr>
                <w:rFonts w:ascii="Arial"/>
                <w:b/>
                <w:spacing w:val="-5"/>
                <w:sz w:val="24"/>
              </w:rPr>
              <w:t>N</w:t>
            </w:r>
            <w:r>
              <w:rPr>
                <w:rFonts w:ascii="Arial"/>
                <w:b/>
                <w:spacing w:val="-5"/>
                <w:sz w:val="24"/>
                <w:u w:val="single"/>
              </w:rPr>
              <w:t>o</w:t>
            </w:r>
          </w:p>
        </w:tc>
        <w:tc>
          <w:tcPr>
            <w:tcW w:w="3855" w:type="dxa"/>
            <w:tcBorders>
              <w:left w:val="nil"/>
              <w:right w:val="nil"/>
            </w:tcBorders>
          </w:tcPr>
          <w:p>
            <w:pPr>
              <w:pStyle w:val="TableParagraph"/>
              <w:spacing w:line="267" w:lineRule="exact"/>
              <w:ind w:left="671"/>
              <w:rPr>
                <w:rFonts w:ascii="Arial"/>
                <w:b/>
                <w:sz w:val="24"/>
              </w:rPr>
            </w:pPr>
            <w:r>
              <w:rPr>
                <w:rFonts w:ascii="Arial"/>
                <w:b/>
                <w:sz w:val="24"/>
              </w:rPr>
              <w:t>Hypothesis</w:t>
            </w:r>
            <w:r>
              <w:rPr>
                <w:rFonts w:ascii="Arial"/>
                <w:b/>
                <w:spacing w:val="-6"/>
                <w:sz w:val="24"/>
              </w:rPr>
              <w:t> </w:t>
            </w:r>
            <w:r>
              <w:rPr>
                <w:rFonts w:ascii="Arial"/>
                <w:b/>
                <w:spacing w:val="-2"/>
                <w:sz w:val="24"/>
              </w:rPr>
              <w:t>Statement</w:t>
            </w:r>
          </w:p>
        </w:tc>
        <w:tc>
          <w:tcPr>
            <w:tcW w:w="1964" w:type="dxa"/>
            <w:tcBorders>
              <w:left w:val="nil"/>
              <w:right w:val="nil"/>
            </w:tcBorders>
          </w:tcPr>
          <w:p>
            <w:pPr>
              <w:pStyle w:val="TableParagraph"/>
              <w:spacing w:line="267" w:lineRule="exact"/>
              <w:ind w:left="4" w:right="5"/>
              <w:jc w:val="center"/>
              <w:rPr>
                <w:rFonts w:ascii="Arial"/>
                <w:b/>
                <w:sz w:val="24"/>
              </w:rPr>
            </w:pPr>
            <w:r>
              <w:rPr>
                <w:rFonts w:ascii="Arial"/>
                <w:b/>
                <w:sz w:val="24"/>
              </w:rPr>
              <w:t>Statistical</w:t>
            </w:r>
            <w:r>
              <w:rPr>
                <w:rFonts w:ascii="Arial"/>
                <w:b/>
                <w:spacing w:val="-10"/>
                <w:sz w:val="24"/>
              </w:rPr>
              <w:t> </w:t>
            </w:r>
            <w:r>
              <w:rPr>
                <w:rFonts w:ascii="Arial"/>
                <w:b/>
                <w:spacing w:val="-4"/>
                <w:sz w:val="24"/>
              </w:rPr>
              <w:t>Test</w:t>
            </w:r>
          </w:p>
          <w:p>
            <w:pPr>
              <w:pStyle w:val="TableParagraph"/>
              <w:spacing w:line="263" w:lineRule="exact" w:before="2"/>
              <w:ind w:left="5" w:right="1"/>
              <w:jc w:val="center"/>
              <w:rPr>
                <w:rFonts w:ascii="Arial"/>
                <w:b/>
                <w:sz w:val="24"/>
              </w:rPr>
            </w:pPr>
            <w:r>
              <w:rPr>
                <w:rFonts w:ascii="Arial"/>
                <w:b/>
                <w:spacing w:val="-4"/>
                <w:sz w:val="24"/>
              </w:rPr>
              <w:t>Used</w:t>
            </w:r>
          </w:p>
        </w:tc>
        <w:tc>
          <w:tcPr>
            <w:tcW w:w="2142" w:type="dxa"/>
            <w:tcBorders>
              <w:left w:val="nil"/>
              <w:right w:val="nil"/>
            </w:tcBorders>
          </w:tcPr>
          <w:p>
            <w:pPr>
              <w:pStyle w:val="TableParagraph"/>
              <w:spacing w:line="267" w:lineRule="exact"/>
              <w:ind w:left="703"/>
              <w:rPr>
                <w:rFonts w:ascii="Arial"/>
                <w:b/>
                <w:sz w:val="24"/>
              </w:rPr>
            </w:pPr>
            <w:r>
              <w:rPr>
                <w:rFonts w:ascii="Arial"/>
                <w:b/>
                <w:spacing w:val="-2"/>
                <w:sz w:val="24"/>
              </w:rPr>
              <w:t>Result</w:t>
            </w:r>
          </w:p>
        </w:tc>
        <w:tc>
          <w:tcPr>
            <w:tcW w:w="1628" w:type="dxa"/>
            <w:tcBorders>
              <w:left w:val="nil"/>
              <w:right w:val="nil"/>
            </w:tcBorders>
          </w:tcPr>
          <w:p>
            <w:pPr>
              <w:pStyle w:val="TableParagraph"/>
              <w:spacing w:line="267" w:lineRule="exact"/>
              <w:ind w:right="2"/>
              <w:jc w:val="center"/>
              <w:rPr>
                <w:rFonts w:ascii="Arial"/>
                <w:b/>
                <w:sz w:val="24"/>
              </w:rPr>
            </w:pPr>
            <w:r>
              <w:rPr>
                <w:rFonts w:ascii="Arial"/>
                <w:b/>
                <w:sz w:val="24"/>
              </w:rPr>
              <w:t>Level</w:t>
            </w:r>
            <w:r>
              <w:rPr>
                <w:rFonts w:ascii="Arial"/>
                <w:b/>
                <w:spacing w:val="-4"/>
                <w:sz w:val="24"/>
              </w:rPr>
              <w:t> </w:t>
            </w:r>
            <w:r>
              <w:rPr>
                <w:rFonts w:ascii="Arial"/>
                <w:b/>
                <w:spacing w:val="-5"/>
                <w:sz w:val="24"/>
              </w:rPr>
              <w:t>of</w:t>
            </w:r>
          </w:p>
          <w:p>
            <w:pPr>
              <w:pStyle w:val="TableParagraph"/>
              <w:spacing w:line="263" w:lineRule="exact" w:before="2"/>
              <w:ind w:left="2" w:right="2"/>
              <w:jc w:val="center"/>
              <w:rPr>
                <w:rFonts w:ascii="Arial"/>
                <w:b/>
                <w:sz w:val="24"/>
              </w:rPr>
            </w:pPr>
            <w:r>
              <w:rPr>
                <w:rFonts w:ascii="Arial"/>
                <w:b/>
                <w:spacing w:val="-2"/>
                <w:sz w:val="24"/>
              </w:rPr>
              <w:t>Significance</w:t>
            </w:r>
          </w:p>
        </w:tc>
        <w:tc>
          <w:tcPr>
            <w:tcW w:w="3058" w:type="dxa"/>
            <w:tcBorders>
              <w:left w:val="nil"/>
            </w:tcBorders>
          </w:tcPr>
          <w:p>
            <w:pPr>
              <w:pStyle w:val="TableParagraph"/>
              <w:spacing w:line="267" w:lineRule="exact"/>
              <w:ind w:left="874"/>
              <w:rPr>
                <w:rFonts w:ascii="Arial"/>
                <w:b/>
                <w:sz w:val="24"/>
              </w:rPr>
            </w:pPr>
            <w:r>
              <w:rPr>
                <w:rFonts w:ascii="Arial"/>
                <w:b/>
                <w:spacing w:val="-2"/>
                <w:sz w:val="24"/>
              </w:rPr>
              <w:t>Conclusion</w:t>
            </w:r>
          </w:p>
        </w:tc>
      </w:tr>
      <w:tr>
        <w:trPr>
          <w:trHeight w:val="2207" w:hRule="atLeast"/>
        </w:trPr>
        <w:tc>
          <w:tcPr>
            <w:tcW w:w="538" w:type="dxa"/>
          </w:tcPr>
          <w:p>
            <w:pPr>
              <w:pStyle w:val="TableParagraph"/>
              <w:spacing w:line="271" w:lineRule="exact"/>
              <w:ind w:left="110"/>
              <w:rPr>
                <w:sz w:val="24"/>
              </w:rPr>
            </w:pPr>
            <w:r>
              <w:rPr>
                <w:spacing w:val="-10"/>
                <w:sz w:val="24"/>
              </w:rPr>
              <w:t>1</w:t>
            </w:r>
          </w:p>
        </w:tc>
        <w:tc>
          <w:tcPr>
            <w:tcW w:w="3855" w:type="dxa"/>
          </w:tcPr>
          <w:p>
            <w:pPr>
              <w:pStyle w:val="TableParagraph"/>
              <w:ind w:left="109" w:right="117"/>
              <w:rPr>
                <w:sz w:val="24"/>
              </w:rPr>
            </w:pPr>
            <w:r>
              <w:rPr>
                <w:sz w:val="24"/>
              </w:rPr>
              <w:t>There is no significant difference in</w:t>
            </w:r>
            <w:r>
              <w:rPr>
                <w:spacing w:val="-8"/>
                <w:sz w:val="24"/>
              </w:rPr>
              <w:t> </w:t>
            </w:r>
            <w:r>
              <w:rPr>
                <w:sz w:val="24"/>
              </w:rPr>
              <w:t>the</w:t>
            </w:r>
            <w:r>
              <w:rPr>
                <w:spacing w:val="-8"/>
                <w:sz w:val="24"/>
              </w:rPr>
              <w:t> </w:t>
            </w:r>
            <w:r>
              <w:rPr>
                <w:sz w:val="24"/>
              </w:rPr>
              <w:t>opinions</w:t>
            </w:r>
            <w:r>
              <w:rPr>
                <w:spacing w:val="-8"/>
                <w:sz w:val="24"/>
              </w:rPr>
              <w:t> </w:t>
            </w:r>
            <w:r>
              <w:rPr>
                <w:sz w:val="24"/>
              </w:rPr>
              <w:t>of</w:t>
            </w:r>
            <w:r>
              <w:rPr>
                <w:spacing w:val="-8"/>
                <w:sz w:val="24"/>
              </w:rPr>
              <w:t> </w:t>
            </w:r>
            <w:r>
              <w:rPr>
                <w:sz w:val="24"/>
              </w:rPr>
              <w:t>students</w:t>
            </w:r>
            <w:r>
              <w:rPr>
                <w:spacing w:val="-8"/>
                <w:sz w:val="24"/>
              </w:rPr>
              <w:t> </w:t>
            </w:r>
            <w:r>
              <w:rPr>
                <w:sz w:val="24"/>
              </w:rPr>
              <w:t>service staff and top management staff with respect to the types and availability of students’ welfare services in the Universities in three geopolitical zones in</w:t>
            </w:r>
          </w:p>
          <w:p>
            <w:pPr>
              <w:pStyle w:val="TableParagraph"/>
              <w:spacing w:line="258" w:lineRule="exact"/>
              <w:ind w:left="109"/>
              <w:rPr>
                <w:sz w:val="24"/>
              </w:rPr>
            </w:pPr>
            <w:r>
              <w:rPr>
                <w:sz w:val="24"/>
              </w:rPr>
              <w:t>Northern</w:t>
            </w:r>
            <w:r>
              <w:rPr>
                <w:spacing w:val="-4"/>
                <w:sz w:val="24"/>
              </w:rPr>
              <w:t> </w:t>
            </w:r>
            <w:r>
              <w:rPr>
                <w:sz w:val="24"/>
              </w:rPr>
              <w:t>part</w:t>
            </w:r>
            <w:r>
              <w:rPr>
                <w:spacing w:val="-3"/>
                <w:sz w:val="24"/>
              </w:rPr>
              <w:t> </w:t>
            </w:r>
            <w:r>
              <w:rPr>
                <w:sz w:val="24"/>
              </w:rPr>
              <w:t>of</w:t>
            </w:r>
            <w:r>
              <w:rPr>
                <w:spacing w:val="1"/>
                <w:sz w:val="24"/>
              </w:rPr>
              <w:t> </w:t>
            </w:r>
            <w:r>
              <w:rPr>
                <w:spacing w:val="-2"/>
                <w:sz w:val="24"/>
              </w:rPr>
              <w:t>Nigeria.</w:t>
            </w:r>
          </w:p>
        </w:tc>
        <w:tc>
          <w:tcPr>
            <w:tcW w:w="1964" w:type="dxa"/>
          </w:tcPr>
          <w:p>
            <w:pPr>
              <w:pStyle w:val="TableParagraph"/>
              <w:ind w:left="104" w:right="379"/>
              <w:rPr>
                <w:sz w:val="24"/>
              </w:rPr>
            </w:pPr>
            <w:r>
              <w:rPr>
                <w:sz w:val="24"/>
              </w:rPr>
              <w:t>Analysis of </w:t>
            </w:r>
            <w:r>
              <w:rPr>
                <w:spacing w:val="-2"/>
                <w:sz w:val="24"/>
              </w:rPr>
              <w:t>Variance </w:t>
            </w:r>
            <w:r>
              <w:rPr>
                <w:sz w:val="24"/>
              </w:rPr>
              <w:t>(ANOVA)</w:t>
            </w:r>
            <w:r>
              <w:rPr>
                <w:spacing w:val="-17"/>
                <w:sz w:val="24"/>
              </w:rPr>
              <w:t> </w:t>
            </w:r>
            <w:r>
              <w:rPr>
                <w:sz w:val="24"/>
              </w:rPr>
              <w:t>and Scheffe’s</w:t>
            </w:r>
            <w:r>
              <w:rPr>
                <w:spacing w:val="-4"/>
                <w:sz w:val="24"/>
              </w:rPr>
              <w:t> test</w:t>
            </w:r>
          </w:p>
        </w:tc>
        <w:tc>
          <w:tcPr>
            <w:tcW w:w="2142" w:type="dxa"/>
          </w:tcPr>
          <w:p>
            <w:pPr>
              <w:pStyle w:val="TableParagraph"/>
              <w:ind w:left="108"/>
              <w:rPr>
                <w:sz w:val="24"/>
              </w:rPr>
            </w:pPr>
            <w:r>
              <w:rPr>
                <w:sz w:val="24"/>
              </w:rPr>
              <w:t>F</w:t>
            </w:r>
            <w:r>
              <w:rPr>
                <w:spacing w:val="-5"/>
                <w:sz w:val="24"/>
              </w:rPr>
              <w:t> </w:t>
            </w:r>
            <w:r>
              <w:rPr>
                <w:sz w:val="24"/>
              </w:rPr>
              <w:t>ratio</w:t>
            </w:r>
            <w:r>
              <w:rPr>
                <w:spacing w:val="-10"/>
                <w:sz w:val="24"/>
              </w:rPr>
              <w:t> </w:t>
            </w:r>
            <w:r>
              <w:rPr>
                <w:sz w:val="24"/>
              </w:rPr>
              <w:t>is</w:t>
            </w:r>
            <w:r>
              <w:rPr>
                <w:spacing w:val="-11"/>
                <w:sz w:val="24"/>
              </w:rPr>
              <w:t> </w:t>
            </w:r>
            <w:r>
              <w:rPr>
                <w:sz w:val="24"/>
              </w:rPr>
              <w:t>4.9446 and</w:t>
            </w:r>
            <w:r>
              <w:rPr>
                <w:spacing w:val="-17"/>
                <w:sz w:val="24"/>
              </w:rPr>
              <w:t> </w:t>
            </w:r>
            <w:r>
              <w:rPr>
                <w:sz w:val="24"/>
              </w:rPr>
              <w:t>computed</w:t>
            </w:r>
            <w:r>
              <w:rPr>
                <w:spacing w:val="-17"/>
                <w:sz w:val="24"/>
              </w:rPr>
              <w:t> </w:t>
            </w:r>
            <w:r>
              <w:rPr>
                <w:sz w:val="24"/>
              </w:rPr>
              <w:t>F probability is </w:t>
            </w:r>
            <w:r>
              <w:rPr>
                <w:spacing w:val="-2"/>
                <w:sz w:val="24"/>
              </w:rPr>
              <w:t>0.0075</w:t>
            </w:r>
          </w:p>
        </w:tc>
        <w:tc>
          <w:tcPr>
            <w:tcW w:w="1628" w:type="dxa"/>
          </w:tcPr>
          <w:p>
            <w:pPr>
              <w:pStyle w:val="TableParagraph"/>
              <w:spacing w:line="271" w:lineRule="exact"/>
              <w:ind w:left="102"/>
              <w:rPr>
                <w:sz w:val="24"/>
              </w:rPr>
            </w:pPr>
            <w:r>
              <w:rPr>
                <w:spacing w:val="-4"/>
                <w:sz w:val="24"/>
              </w:rPr>
              <w:t>0.05</w:t>
            </w:r>
          </w:p>
        </w:tc>
        <w:tc>
          <w:tcPr>
            <w:tcW w:w="3058" w:type="dxa"/>
          </w:tcPr>
          <w:p>
            <w:pPr>
              <w:pStyle w:val="TableParagraph"/>
              <w:ind w:left="106" w:right="199"/>
              <w:rPr>
                <w:sz w:val="24"/>
              </w:rPr>
            </w:pPr>
            <w:r>
              <w:rPr>
                <w:sz w:val="24"/>
              </w:rPr>
              <w:t>The hypothesis was rejected to mean that significant differences existed</w:t>
            </w:r>
            <w:r>
              <w:rPr>
                <w:spacing w:val="-10"/>
                <w:sz w:val="24"/>
              </w:rPr>
              <w:t> </w:t>
            </w:r>
            <w:r>
              <w:rPr>
                <w:sz w:val="24"/>
              </w:rPr>
              <w:t>in</w:t>
            </w:r>
            <w:r>
              <w:rPr>
                <w:spacing w:val="-7"/>
                <w:sz w:val="24"/>
              </w:rPr>
              <w:t> </w:t>
            </w:r>
            <w:r>
              <w:rPr>
                <w:sz w:val="24"/>
              </w:rPr>
              <w:t>the</w:t>
            </w:r>
            <w:r>
              <w:rPr>
                <w:spacing w:val="-10"/>
                <w:sz w:val="24"/>
              </w:rPr>
              <w:t> </w:t>
            </w:r>
            <w:r>
              <w:rPr>
                <w:sz w:val="24"/>
              </w:rPr>
              <w:t>opinions</w:t>
            </w:r>
            <w:r>
              <w:rPr>
                <w:spacing w:val="-11"/>
                <w:sz w:val="24"/>
              </w:rPr>
              <w:t> </w:t>
            </w:r>
            <w:r>
              <w:rPr>
                <w:sz w:val="24"/>
              </w:rPr>
              <w:t>of </w:t>
            </w:r>
            <w:r>
              <w:rPr>
                <w:spacing w:val="-2"/>
                <w:sz w:val="24"/>
              </w:rPr>
              <w:t>respondents.</w:t>
            </w:r>
          </w:p>
        </w:tc>
      </w:tr>
      <w:tr>
        <w:trPr>
          <w:trHeight w:val="1933" w:hRule="atLeast"/>
        </w:trPr>
        <w:tc>
          <w:tcPr>
            <w:tcW w:w="538" w:type="dxa"/>
          </w:tcPr>
          <w:p>
            <w:pPr>
              <w:pStyle w:val="TableParagraph"/>
              <w:spacing w:line="271" w:lineRule="exact"/>
              <w:ind w:left="110"/>
              <w:rPr>
                <w:sz w:val="24"/>
              </w:rPr>
            </w:pPr>
            <w:r>
              <w:rPr>
                <w:spacing w:val="-10"/>
                <w:sz w:val="24"/>
              </w:rPr>
              <w:t>2</w:t>
            </w:r>
          </w:p>
        </w:tc>
        <w:tc>
          <w:tcPr>
            <w:tcW w:w="3855" w:type="dxa"/>
          </w:tcPr>
          <w:p>
            <w:pPr>
              <w:pStyle w:val="TableParagraph"/>
              <w:ind w:left="109" w:right="122"/>
              <w:rPr>
                <w:sz w:val="24"/>
              </w:rPr>
            </w:pPr>
            <w:r>
              <w:rPr>
                <w:sz w:val="24"/>
              </w:rPr>
              <w:t>There is no significant difference in the opinions of students, service</w:t>
            </w:r>
            <w:r>
              <w:rPr>
                <w:spacing w:val="-10"/>
                <w:sz w:val="24"/>
              </w:rPr>
              <w:t> </w:t>
            </w:r>
            <w:r>
              <w:rPr>
                <w:sz w:val="24"/>
              </w:rPr>
              <w:t>staff</w:t>
            </w:r>
            <w:r>
              <w:rPr>
                <w:spacing w:val="-13"/>
                <w:sz w:val="24"/>
              </w:rPr>
              <w:t> </w:t>
            </w:r>
            <w:r>
              <w:rPr>
                <w:sz w:val="24"/>
              </w:rPr>
              <w:t>and</w:t>
            </w:r>
            <w:r>
              <w:rPr>
                <w:spacing w:val="-10"/>
                <w:sz w:val="24"/>
              </w:rPr>
              <w:t> </w:t>
            </w:r>
            <w:r>
              <w:rPr>
                <w:sz w:val="24"/>
              </w:rPr>
              <w:t>top</w:t>
            </w:r>
            <w:r>
              <w:rPr>
                <w:spacing w:val="-10"/>
                <w:sz w:val="24"/>
              </w:rPr>
              <w:t> </w:t>
            </w:r>
            <w:r>
              <w:rPr>
                <w:sz w:val="24"/>
              </w:rPr>
              <w:t>management staff in respect of the availability and adequacy of social services</w:t>
            </w:r>
          </w:p>
          <w:p>
            <w:pPr>
              <w:pStyle w:val="TableParagraph"/>
              <w:spacing w:line="274" w:lineRule="exact"/>
              <w:ind w:left="109" w:right="117"/>
              <w:rPr>
                <w:sz w:val="24"/>
              </w:rPr>
            </w:pPr>
            <w:r>
              <w:rPr>
                <w:sz w:val="24"/>
              </w:rPr>
              <w:t>in</w:t>
            </w:r>
            <w:r>
              <w:rPr>
                <w:spacing w:val="-8"/>
                <w:sz w:val="24"/>
              </w:rPr>
              <w:t> </w:t>
            </w:r>
            <w:r>
              <w:rPr>
                <w:sz w:val="24"/>
              </w:rPr>
              <w:t>universities</w:t>
            </w:r>
            <w:r>
              <w:rPr>
                <w:spacing w:val="-12"/>
                <w:sz w:val="24"/>
              </w:rPr>
              <w:t> </w:t>
            </w:r>
            <w:r>
              <w:rPr>
                <w:sz w:val="24"/>
              </w:rPr>
              <w:t>in</w:t>
            </w:r>
            <w:r>
              <w:rPr>
                <w:spacing w:val="-11"/>
                <w:sz w:val="24"/>
              </w:rPr>
              <w:t> </w:t>
            </w:r>
            <w:r>
              <w:rPr>
                <w:sz w:val="24"/>
              </w:rPr>
              <w:t>three</w:t>
            </w:r>
            <w:r>
              <w:rPr>
                <w:spacing w:val="-8"/>
                <w:sz w:val="24"/>
              </w:rPr>
              <w:t> </w:t>
            </w:r>
            <w:r>
              <w:rPr>
                <w:sz w:val="24"/>
              </w:rPr>
              <w:t>geopolitical zones in Northern part of Nigeria</w:t>
            </w:r>
          </w:p>
        </w:tc>
        <w:tc>
          <w:tcPr>
            <w:tcW w:w="1964" w:type="dxa"/>
          </w:tcPr>
          <w:p>
            <w:pPr>
              <w:pStyle w:val="TableParagraph"/>
              <w:ind w:left="104" w:right="379"/>
              <w:rPr>
                <w:sz w:val="24"/>
              </w:rPr>
            </w:pPr>
            <w:r>
              <w:rPr>
                <w:sz w:val="24"/>
              </w:rPr>
              <w:t>Analysis</w:t>
            </w:r>
            <w:r>
              <w:rPr>
                <w:spacing w:val="-17"/>
                <w:sz w:val="24"/>
              </w:rPr>
              <w:t> </w:t>
            </w:r>
            <w:r>
              <w:rPr>
                <w:sz w:val="24"/>
              </w:rPr>
              <w:t>of </w:t>
            </w:r>
            <w:r>
              <w:rPr>
                <w:spacing w:val="-2"/>
                <w:sz w:val="24"/>
              </w:rPr>
              <w:t>Variance (ANOVA)</w:t>
            </w:r>
          </w:p>
        </w:tc>
        <w:tc>
          <w:tcPr>
            <w:tcW w:w="2142" w:type="dxa"/>
          </w:tcPr>
          <w:p>
            <w:pPr>
              <w:pStyle w:val="TableParagraph"/>
              <w:ind w:left="108"/>
              <w:rPr>
                <w:sz w:val="24"/>
              </w:rPr>
            </w:pPr>
            <w:r>
              <w:rPr>
                <w:sz w:val="24"/>
              </w:rPr>
              <w:t>F.</w:t>
            </w:r>
            <w:r>
              <w:rPr>
                <w:spacing w:val="-6"/>
                <w:sz w:val="24"/>
              </w:rPr>
              <w:t> </w:t>
            </w:r>
            <w:r>
              <w:rPr>
                <w:sz w:val="24"/>
              </w:rPr>
              <w:t>Ratio</w:t>
            </w:r>
            <w:r>
              <w:rPr>
                <w:spacing w:val="-10"/>
                <w:sz w:val="24"/>
              </w:rPr>
              <w:t> </w:t>
            </w:r>
            <w:r>
              <w:rPr>
                <w:sz w:val="24"/>
              </w:rPr>
              <w:t>is</w:t>
            </w:r>
            <w:r>
              <w:rPr>
                <w:spacing w:val="-6"/>
                <w:sz w:val="24"/>
              </w:rPr>
              <w:t> </w:t>
            </w:r>
            <w:r>
              <w:rPr>
                <w:sz w:val="24"/>
              </w:rPr>
              <w:t>1.2565 and computed F probability</w:t>
            </w:r>
            <w:r>
              <w:rPr>
                <w:spacing w:val="-17"/>
                <w:sz w:val="24"/>
              </w:rPr>
              <w:t> </w:t>
            </w:r>
            <w:r>
              <w:rPr>
                <w:sz w:val="24"/>
              </w:rPr>
              <w:t>0.2856</w:t>
            </w:r>
          </w:p>
        </w:tc>
        <w:tc>
          <w:tcPr>
            <w:tcW w:w="1628" w:type="dxa"/>
          </w:tcPr>
          <w:p>
            <w:pPr>
              <w:pStyle w:val="TableParagraph"/>
              <w:spacing w:line="271" w:lineRule="exact"/>
              <w:ind w:left="102"/>
              <w:rPr>
                <w:sz w:val="24"/>
              </w:rPr>
            </w:pPr>
            <w:r>
              <w:rPr>
                <w:spacing w:val="-4"/>
                <w:sz w:val="24"/>
              </w:rPr>
              <w:t>0.05</w:t>
            </w:r>
          </w:p>
        </w:tc>
        <w:tc>
          <w:tcPr>
            <w:tcW w:w="3058" w:type="dxa"/>
          </w:tcPr>
          <w:p>
            <w:pPr>
              <w:pStyle w:val="TableParagraph"/>
              <w:ind w:left="106" w:right="199"/>
              <w:rPr>
                <w:sz w:val="24"/>
              </w:rPr>
            </w:pPr>
            <w:r>
              <w:rPr>
                <w:sz w:val="24"/>
              </w:rPr>
              <w:t>The hypothesis was retained</w:t>
            </w:r>
            <w:r>
              <w:rPr>
                <w:spacing w:val="-3"/>
                <w:sz w:val="24"/>
              </w:rPr>
              <w:t> </w:t>
            </w:r>
            <w:r>
              <w:rPr>
                <w:sz w:val="24"/>
              </w:rPr>
              <w:t>to mean that no significant differences existed</w:t>
            </w:r>
            <w:r>
              <w:rPr>
                <w:spacing w:val="-10"/>
                <w:sz w:val="24"/>
              </w:rPr>
              <w:t> </w:t>
            </w:r>
            <w:r>
              <w:rPr>
                <w:sz w:val="24"/>
              </w:rPr>
              <w:t>in</w:t>
            </w:r>
            <w:r>
              <w:rPr>
                <w:spacing w:val="-7"/>
                <w:sz w:val="24"/>
              </w:rPr>
              <w:t> </w:t>
            </w:r>
            <w:r>
              <w:rPr>
                <w:sz w:val="24"/>
              </w:rPr>
              <w:t>the</w:t>
            </w:r>
            <w:r>
              <w:rPr>
                <w:spacing w:val="-9"/>
                <w:sz w:val="24"/>
              </w:rPr>
              <w:t> </w:t>
            </w:r>
            <w:r>
              <w:rPr>
                <w:sz w:val="24"/>
              </w:rPr>
              <w:t>opinions</w:t>
            </w:r>
            <w:r>
              <w:rPr>
                <w:spacing w:val="-11"/>
                <w:sz w:val="24"/>
              </w:rPr>
              <w:t> </w:t>
            </w:r>
            <w:r>
              <w:rPr>
                <w:sz w:val="24"/>
              </w:rPr>
              <w:t>of </w:t>
            </w:r>
            <w:r>
              <w:rPr>
                <w:spacing w:val="-2"/>
                <w:sz w:val="24"/>
              </w:rPr>
              <w:t>respondents.</w:t>
            </w:r>
          </w:p>
        </w:tc>
      </w:tr>
      <w:tr>
        <w:trPr>
          <w:trHeight w:val="2207" w:hRule="atLeast"/>
        </w:trPr>
        <w:tc>
          <w:tcPr>
            <w:tcW w:w="538" w:type="dxa"/>
          </w:tcPr>
          <w:p>
            <w:pPr>
              <w:pStyle w:val="TableParagraph"/>
              <w:spacing w:line="271" w:lineRule="exact"/>
              <w:ind w:left="110"/>
              <w:rPr>
                <w:sz w:val="24"/>
              </w:rPr>
            </w:pPr>
            <w:r>
              <w:rPr>
                <w:spacing w:val="-10"/>
                <w:sz w:val="24"/>
              </w:rPr>
              <w:t>3</w:t>
            </w:r>
          </w:p>
        </w:tc>
        <w:tc>
          <w:tcPr>
            <w:tcW w:w="3855" w:type="dxa"/>
          </w:tcPr>
          <w:p>
            <w:pPr>
              <w:pStyle w:val="TableParagraph"/>
              <w:ind w:left="109" w:right="117"/>
              <w:rPr>
                <w:sz w:val="24"/>
              </w:rPr>
            </w:pPr>
            <w:r>
              <w:rPr>
                <w:sz w:val="24"/>
              </w:rPr>
              <w:t>There</w:t>
            </w:r>
            <w:r>
              <w:rPr>
                <w:spacing w:val="-1"/>
                <w:sz w:val="24"/>
              </w:rPr>
              <w:t> </w:t>
            </w:r>
            <w:r>
              <w:rPr>
                <w:sz w:val="24"/>
              </w:rPr>
              <w:t>is</w:t>
            </w:r>
            <w:r>
              <w:rPr>
                <w:spacing w:val="-2"/>
                <w:sz w:val="24"/>
              </w:rPr>
              <w:t> </w:t>
            </w:r>
            <w:r>
              <w:rPr>
                <w:sz w:val="24"/>
              </w:rPr>
              <w:t>no significant difference in the opinions of students services staff and top management in respect of the availability and adequacy of academic</w:t>
            </w:r>
            <w:r>
              <w:rPr>
                <w:spacing w:val="-10"/>
                <w:sz w:val="24"/>
              </w:rPr>
              <w:t> </w:t>
            </w:r>
            <w:r>
              <w:rPr>
                <w:sz w:val="24"/>
              </w:rPr>
              <w:t>services</w:t>
            </w:r>
            <w:r>
              <w:rPr>
                <w:spacing w:val="-15"/>
                <w:sz w:val="24"/>
              </w:rPr>
              <w:t> </w:t>
            </w:r>
            <w:r>
              <w:rPr>
                <w:sz w:val="24"/>
              </w:rPr>
              <w:t>in</w:t>
            </w:r>
            <w:r>
              <w:rPr>
                <w:spacing w:val="-10"/>
                <w:sz w:val="24"/>
              </w:rPr>
              <w:t> </w:t>
            </w:r>
            <w:r>
              <w:rPr>
                <w:sz w:val="24"/>
              </w:rPr>
              <w:t>universities in three geopolitical zones in</w:t>
            </w:r>
          </w:p>
          <w:p>
            <w:pPr>
              <w:pStyle w:val="TableParagraph"/>
              <w:spacing w:line="260" w:lineRule="exact"/>
              <w:ind w:left="109"/>
              <w:rPr>
                <w:sz w:val="24"/>
              </w:rPr>
            </w:pPr>
            <w:r>
              <w:rPr>
                <w:sz w:val="24"/>
              </w:rPr>
              <w:t>Northern</w:t>
            </w:r>
            <w:r>
              <w:rPr>
                <w:spacing w:val="-4"/>
                <w:sz w:val="24"/>
              </w:rPr>
              <w:t> </w:t>
            </w:r>
            <w:r>
              <w:rPr>
                <w:sz w:val="24"/>
              </w:rPr>
              <w:t>part</w:t>
            </w:r>
            <w:r>
              <w:rPr>
                <w:spacing w:val="-3"/>
                <w:sz w:val="24"/>
              </w:rPr>
              <w:t> </w:t>
            </w:r>
            <w:r>
              <w:rPr>
                <w:sz w:val="24"/>
              </w:rPr>
              <w:t>of</w:t>
            </w:r>
            <w:r>
              <w:rPr>
                <w:spacing w:val="1"/>
                <w:sz w:val="24"/>
              </w:rPr>
              <w:t> </w:t>
            </w:r>
            <w:r>
              <w:rPr>
                <w:spacing w:val="-2"/>
                <w:sz w:val="24"/>
              </w:rPr>
              <w:t>Nigeria</w:t>
            </w:r>
          </w:p>
        </w:tc>
        <w:tc>
          <w:tcPr>
            <w:tcW w:w="1964" w:type="dxa"/>
          </w:tcPr>
          <w:p>
            <w:pPr>
              <w:pStyle w:val="TableParagraph"/>
              <w:ind w:left="104" w:right="379"/>
              <w:rPr>
                <w:sz w:val="24"/>
              </w:rPr>
            </w:pPr>
            <w:r>
              <w:rPr>
                <w:sz w:val="24"/>
              </w:rPr>
              <w:t>Analysis</w:t>
            </w:r>
            <w:r>
              <w:rPr>
                <w:spacing w:val="-17"/>
                <w:sz w:val="24"/>
              </w:rPr>
              <w:t> </w:t>
            </w:r>
            <w:r>
              <w:rPr>
                <w:sz w:val="24"/>
              </w:rPr>
              <w:t>of </w:t>
            </w:r>
            <w:r>
              <w:rPr>
                <w:spacing w:val="-2"/>
                <w:sz w:val="24"/>
              </w:rPr>
              <w:t>Variance (ANOVA)</w:t>
            </w:r>
          </w:p>
        </w:tc>
        <w:tc>
          <w:tcPr>
            <w:tcW w:w="2142" w:type="dxa"/>
          </w:tcPr>
          <w:p>
            <w:pPr>
              <w:pStyle w:val="TableParagraph"/>
              <w:ind w:left="108"/>
              <w:rPr>
                <w:sz w:val="24"/>
              </w:rPr>
            </w:pPr>
            <w:r>
              <w:rPr>
                <w:sz w:val="24"/>
              </w:rPr>
              <w:t>F.</w:t>
            </w:r>
            <w:r>
              <w:rPr>
                <w:spacing w:val="-11"/>
                <w:sz w:val="24"/>
              </w:rPr>
              <w:t> </w:t>
            </w:r>
            <w:r>
              <w:rPr>
                <w:sz w:val="24"/>
              </w:rPr>
              <w:t>Ratio</w:t>
            </w:r>
            <w:r>
              <w:rPr>
                <w:spacing w:val="-14"/>
                <w:sz w:val="24"/>
              </w:rPr>
              <w:t> </w:t>
            </w:r>
            <w:r>
              <w:rPr>
                <w:sz w:val="24"/>
              </w:rPr>
              <w:t>is</w:t>
            </w:r>
            <w:r>
              <w:rPr>
                <w:spacing w:val="-11"/>
                <w:sz w:val="24"/>
              </w:rPr>
              <w:t> </w:t>
            </w:r>
            <w:r>
              <w:rPr>
                <w:sz w:val="24"/>
              </w:rPr>
              <w:t>1.8518 and computed F probability is </w:t>
            </w:r>
            <w:r>
              <w:rPr>
                <w:spacing w:val="-2"/>
                <w:sz w:val="24"/>
              </w:rPr>
              <w:t>0.1581</w:t>
            </w:r>
          </w:p>
        </w:tc>
        <w:tc>
          <w:tcPr>
            <w:tcW w:w="1628" w:type="dxa"/>
          </w:tcPr>
          <w:p>
            <w:pPr>
              <w:pStyle w:val="TableParagraph"/>
              <w:spacing w:line="271" w:lineRule="exact"/>
              <w:ind w:left="102"/>
              <w:rPr>
                <w:sz w:val="24"/>
              </w:rPr>
            </w:pPr>
            <w:r>
              <w:rPr>
                <w:spacing w:val="-4"/>
                <w:sz w:val="24"/>
              </w:rPr>
              <w:t>0.05</w:t>
            </w:r>
          </w:p>
        </w:tc>
        <w:tc>
          <w:tcPr>
            <w:tcW w:w="3058" w:type="dxa"/>
          </w:tcPr>
          <w:p>
            <w:pPr>
              <w:pStyle w:val="TableParagraph"/>
              <w:ind w:left="106" w:right="199"/>
              <w:rPr>
                <w:sz w:val="24"/>
              </w:rPr>
            </w:pPr>
            <w:r>
              <w:rPr>
                <w:sz w:val="24"/>
              </w:rPr>
              <w:t>The hypothesis was retained</w:t>
            </w:r>
            <w:r>
              <w:rPr>
                <w:spacing w:val="-3"/>
                <w:sz w:val="24"/>
              </w:rPr>
              <w:t> </w:t>
            </w:r>
            <w:r>
              <w:rPr>
                <w:sz w:val="24"/>
              </w:rPr>
              <w:t>to mean that no significant differences existed</w:t>
            </w:r>
            <w:r>
              <w:rPr>
                <w:spacing w:val="-10"/>
                <w:sz w:val="24"/>
              </w:rPr>
              <w:t> </w:t>
            </w:r>
            <w:r>
              <w:rPr>
                <w:sz w:val="24"/>
              </w:rPr>
              <w:t>in</w:t>
            </w:r>
            <w:r>
              <w:rPr>
                <w:spacing w:val="-7"/>
                <w:sz w:val="24"/>
              </w:rPr>
              <w:t> </w:t>
            </w:r>
            <w:r>
              <w:rPr>
                <w:sz w:val="24"/>
              </w:rPr>
              <w:t>the</w:t>
            </w:r>
            <w:r>
              <w:rPr>
                <w:spacing w:val="-10"/>
                <w:sz w:val="24"/>
              </w:rPr>
              <w:t> </w:t>
            </w:r>
            <w:r>
              <w:rPr>
                <w:sz w:val="24"/>
              </w:rPr>
              <w:t>opinions</w:t>
            </w:r>
            <w:r>
              <w:rPr>
                <w:spacing w:val="-11"/>
                <w:sz w:val="24"/>
              </w:rPr>
              <w:t> </w:t>
            </w:r>
            <w:r>
              <w:rPr>
                <w:sz w:val="24"/>
              </w:rPr>
              <w:t>of </w:t>
            </w:r>
            <w:r>
              <w:rPr>
                <w:spacing w:val="-2"/>
                <w:sz w:val="24"/>
              </w:rPr>
              <w:t>respondents.</w:t>
            </w:r>
          </w:p>
        </w:tc>
      </w:tr>
      <w:tr>
        <w:trPr>
          <w:trHeight w:val="1655" w:hRule="atLeast"/>
        </w:trPr>
        <w:tc>
          <w:tcPr>
            <w:tcW w:w="538" w:type="dxa"/>
          </w:tcPr>
          <w:p>
            <w:pPr>
              <w:pStyle w:val="TableParagraph"/>
              <w:spacing w:line="271" w:lineRule="exact"/>
              <w:ind w:left="110"/>
              <w:rPr>
                <w:sz w:val="24"/>
              </w:rPr>
            </w:pPr>
            <w:r>
              <w:rPr>
                <w:spacing w:val="-10"/>
                <w:sz w:val="24"/>
              </w:rPr>
              <w:t>4</w:t>
            </w:r>
          </w:p>
        </w:tc>
        <w:tc>
          <w:tcPr>
            <w:tcW w:w="3855" w:type="dxa"/>
          </w:tcPr>
          <w:p>
            <w:pPr>
              <w:pStyle w:val="TableParagraph"/>
              <w:ind w:left="109" w:right="214"/>
              <w:rPr>
                <w:sz w:val="24"/>
              </w:rPr>
            </w:pPr>
            <w:r>
              <w:rPr>
                <w:sz w:val="24"/>
              </w:rPr>
              <w:t>There</w:t>
            </w:r>
            <w:r>
              <w:rPr>
                <w:spacing w:val="-11"/>
                <w:sz w:val="24"/>
              </w:rPr>
              <w:t> </w:t>
            </w:r>
            <w:r>
              <w:rPr>
                <w:sz w:val="24"/>
              </w:rPr>
              <w:t>is</w:t>
            </w:r>
            <w:r>
              <w:rPr>
                <w:spacing w:val="-12"/>
                <w:sz w:val="24"/>
              </w:rPr>
              <w:t> </w:t>
            </w:r>
            <w:r>
              <w:rPr>
                <w:sz w:val="24"/>
              </w:rPr>
              <w:t>no</w:t>
            </w:r>
            <w:r>
              <w:rPr>
                <w:spacing w:val="-7"/>
                <w:sz w:val="24"/>
              </w:rPr>
              <w:t> </w:t>
            </w:r>
            <w:r>
              <w:rPr>
                <w:sz w:val="24"/>
              </w:rPr>
              <w:t>significant</w:t>
            </w:r>
            <w:r>
              <w:rPr>
                <w:spacing w:val="-7"/>
                <w:sz w:val="24"/>
              </w:rPr>
              <w:t> </w:t>
            </w:r>
            <w:r>
              <w:rPr>
                <w:sz w:val="24"/>
              </w:rPr>
              <w:t>difference in the opinions of students services staff and top management staff in respect of the availability and adequacy of</w:t>
            </w:r>
          </w:p>
          <w:p>
            <w:pPr>
              <w:pStyle w:val="TableParagraph"/>
              <w:spacing w:line="260" w:lineRule="exact"/>
              <w:ind w:left="109"/>
              <w:rPr>
                <w:sz w:val="24"/>
              </w:rPr>
            </w:pPr>
            <w:r>
              <w:rPr>
                <w:sz w:val="24"/>
              </w:rPr>
              <w:t>medical health</w:t>
            </w:r>
            <w:r>
              <w:rPr>
                <w:spacing w:val="-4"/>
                <w:sz w:val="24"/>
              </w:rPr>
              <w:t> </w:t>
            </w:r>
            <w:r>
              <w:rPr>
                <w:sz w:val="24"/>
              </w:rPr>
              <w:t>services</w:t>
            </w:r>
            <w:r>
              <w:rPr>
                <w:spacing w:val="-9"/>
                <w:sz w:val="24"/>
              </w:rPr>
              <w:t> </w:t>
            </w:r>
            <w:r>
              <w:rPr>
                <w:sz w:val="24"/>
              </w:rPr>
              <w:t>in</w:t>
            </w:r>
            <w:r>
              <w:rPr>
                <w:spacing w:val="-3"/>
                <w:sz w:val="24"/>
              </w:rPr>
              <w:t> </w:t>
            </w:r>
            <w:r>
              <w:rPr>
                <w:spacing w:val="-5"/>
                <w:sz w:val="24"/>
              </w:rPr>
              <w:t>the</w:t>
            </w:r>
          </w:p>
        </w:tc>
        <w:tc>
          <w:tcPr>
            <w:tcW w:w="1964" w:type="dxa"/>
          </w:tcPr>
          <w:p>
            <w:pPr>
              <w:pStyle w:val="TableParagraph"/>
              <w:ind w:left="104" w:right="379"/>
              <w:rPr>
                <w:sz w:val="24"/>
              </w:rPr>
            </w:pPr>
            <w:r>
              <w:rPr>
                <w:sz w:val="24"/>
              </w:rPr>
              <w:t>Analysis of </w:t>
            </w:r>
            <w:r>
              <w:rPr>
                <w:spacing w:val="-2"/>
                <w:sz w:val="24"/>
              </w:rPr>
              <w:t>Variance </w:t>
            </w:r>
            <w:r>
              <w:rPr>
                <w:sz w:val="24"/>
              </w:rPr>
              <w:t>(ANOVA)</w:t>
            </w:r>
            <w:r>
              <w:rPr>
                <w:spacing w:val="-17"/>
                <w:sz w:val="24"/>
              </w:rPr>
              <w:t> </w:t>
            </w:r>
            <w:r>
              <w:rPr>
                <w:sz w:val="24"/>
              </w:rPr>
              <w:t>and Scheffe’s</w:t>
            </w:r>
            <w:r>
              <w:rPr>
                <w:spacing w:val="-4"/>
                <w:sz w:val="24"/>
              </w:rPr>
              <w:t> test</w:t>
            </w:r>
          </w:p>
        </w:tc>
        <w:tc>
          <w:tcPr>
            <w:tcW w:w="2142" w:type="dxa"/>
          </w:tcPr>
          <w:p>
            <w:pPr>
              <w:pStyle w:val="TableParagraph"/>
              <w:ind w:left="108"/>
              <w:rPr>
                <w:sz w:val="24"/>
              </w:rPr>
            </w:pPr>
            <w:r>
              <w:rPr>
                <w:sz w:val="24"/>
              </w:rPr>
              <w:t>F.</w:t>
            </w:r>
            <w:r>
              <w:rPr>
                <w:spacing w:val="-11"/>
                <w:sz w:val="24"/>
              </w:rPr>
              <w:t> </w:t>
            </w:r>
            <w:r>
              <w:rPr>
                <w:sz w:val="24"/>
              </w:rPr>
              <w:t>Ratio</w:t>
            </w:r>
            <w:r>
              <w:rPr>
                <w:spacing w:val="-14"/>
                <w:sz w:val="24"/>
              </w:rPr>
              <w:t> </w:t>
            </w:r>
            <w:r>
              <w:rPr>
                <w:sz w:val="24"/>
              </w:rPr>
              <w:t>is</w:t>
            </w:r>
            <w:r>
              <w:rPr>
                <w:spacing w:val="-11"/>
                <w:sz w:val="24"/>
              </w:rPr>
              <w:t> </w:t>
            </w:r>
            <w:r>
              <w:rPr>
                <w:sz w:val="24"/>
              </w:rPr>
              <w:t>4.1873 and computed F. Probability is </w:t>
            </w:r>
            <w:r>
              <w:rPr>
                <w:spacing w:val="-2"/>
                <w:sz w:val="24"/>
              </w:rPr>
              <w:t>0.0158</w:t>
            </w:r>
          </w:p>
        </w:tc>
        <w:tc>
          <w:tcPr>
            <w:tcW w:w="1628" w:type="dxa"/>
          </w:tcPr>
          <w:p>
            <w:pPr>
              <w:pStyle w:val="TableParagraph"/>
              <w:spacing w:line="271" w:lineRule="exact"/>
              <w:ind w:left="102"/>
              <w:rPr>
                <w:sz w:val="24"/>
              </w:rPr>
            </w:pPr>
            <w:r>
              <w:rPr>
                <w:spacing w:val="-4"/>
                <w:sz w:val="24"/>
              </w:rPr>
              <w:t>0.05</w:t>
            </w:r>
          </w:p>
        </w:tc>
        <w:tc>
          <w:tcPr>
            <w:tcW w:w="3058" w:type="dxa"/>
          </w:tcPr>
          <w:p>
            <w:pPr>
              <w:pStyle w:val="TableParagraph"/>
              <w:ind w:left="106" w:right="199"/>
              <w:rPr>
                <w:sz w:val="24"/>
              </w:rPr>
            </w:pPr>
            <w:r>
              <w:rPr>
                <w:sz w:val="24"/>
              </w:rPr>
              <w:t>The hypothesis was rejected to mean that there</w:t>
            </w:r>
            <w:r>
              <w:rPr>
                <w:spacing w:val="-10"/>
                <w:sz w:val="24"/>
              </w:rPr>
              <w:t> </w:t>
            </w:r>
            <w:r>
              <w:rPr>
                <w:sz w:val="24"/>
              </w:rPr>
              <w:t>was</w:t>
            </w:r>
            <w:r>
              <w:rPr>
                <w:spacing w:val="-10"/>
                <w:sz w:val="24"/>
              </w:rPr>
              <w:t> </w:t>
            </w:r>
            <w:r>
              <w:rPr>
                <w:sz w:val="24"/>
              </w:rPr>
              <w:t>significance</w:t>
            </w:r>
            <w:r>
              <w:rPr>
                <w:spacing w:val="-14"/>
                <w:sz w:val="24"/>
              </w:rPr>
              <w:t> </w:t>
            </w:r>
            <w:r>
              <w:rPr>
                <w:sz w:val="24"/>
              </w:rPr>
              <w:t>in the opinions of </w:t>
            </w:r>
            <w:r>
              <w:rPr>
                <w:spacing w:val="-2"/>
                <w:sz w:val="24"/>
              </w:rPr>
              <w:t>respondents</w:t>
            </w:r>
          </w:p>
        </w:tc>
      </w:tr>
    </w:tbl>
    <w:p>
      <w:pPr>
        <w:spacing w:after="0"/>
        <w:rPr>
          <w:sz w:val="24"/>
        </w:rPr>
        <w:sectPr>
          <w:headerReference w:type="default" r:id="rId487"/>
          <w:footerReference w:type="default" r:id="rId488"/>
          <w:pgSz w:w="15840" w:h="12240" w:orient="landscape"/>
          <w:pgMar w:header="722" w:footer="791" w:top="1340" w:bottom="980" w:left="1220" w:right="1220"/>
        </w:sectPr>
      </w:pPr>
    </w:p>
    <w:p>
      <w:pPr>
        <w:pStyle w:val="BodyText"/>
        <w:spacing w:before="7"/>
        <w:rPr>
          <w:rFonts w:ascii="Arial"/>
          <w:b/>
          <w:sz w:val="7"/>
        </w:rPr>
      </w:pPr>
    </w:p>
    <w:tbl>
      <w:tblPr>
        <w:tblW w:w="0" w:type="auto"/>
        <w:jc w:val="left"/>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8"/>
        <w:gridCol w:w="3855"/>
        <w:gridCol w:w="1964"/>
        <w:gridCol w:w="2142"/>
        <w:gridCol w:w="1628"/>
        <w:gridCol w:w="3058"/>
      </w:tblGrid>
      <w:tr>
        <w:trPr>
          <w:trHeight w:val="830" w:hRule="atLeast"/>
        </w:trPr>
        <w:tc>
          <w:tcPr>
            <w:tcW w:w="538" w:type="dxa"/>
          </w:tcPr>
          <w:p>
            <w:pPr>
              <w:pStyle w:val="TableParagraph"/>
              <w:rPr>
                <w:rFonts w:ascii="Times New Roman"/>
                <w:sz w:val="24"/>
              </w:rPr>
            </w:pPr>
          </w:p>
        </w:tc>
        <w:tc>
          <w:tcPr>
            <w:tcW w:w="3855" w:type="dxa"/>
          </w:tcPr>
          <w:p>
            <w:pPr>
              <w:pStyle w:val="TableParagraph"/>
              <w:spacing w:line="271" w:lineRule="exact"/>
              <w:ind w:left="109"/>
              <w:rPr>
                <w:sz w:val="24"/>
              </w:rPr>
            </w:pPr>
            <w:r>
              <w:rPr>
                <w:sz w:val="24"/>
              </w:rPr>
              <w:t>universities</w:t>
            </w:r>
            <w:r>
              <w:rPr>
                <w:spacing w:val="-9"/>
                <w:sz w:val="24"/>
              </w:rPr>
              <w:t> </w:t>
            </w:r>
            <w:r>
              <w:rPr>
                <w:sz w:val="24"/>
              </w:rPr>
              <w:t>in</w:t>
            </w:r>
            <w:r>
              <w:rPr>
                <w:spacing w:val="-1"/>
                <w:sz w:val="24"/>
              </w:rPr>
              <w:t> </w:t>
            </w:r>
            <w:r>
              <w:rPr>
                <w:sz w:val="24"/>
              </w:rPr>
              <w:t>the</w:t>
            </w:r>
            <w:r>
              <w:rPr>
                <w:spacing w:val="-1"/>
                <w:sz w:val="24"/>
              </w:rPr>
              <w:t> </w:t>
            </w:r>
            <w:r>
              <w:rPr>
                <w:spacing w:val="-4"/>
                <w:sz w:val="24"/>
              </w:rPr>
              <w:t>three</w:t>
            </w:r>
          </w:p>
          <w:p>
            <w:pPr>
              <w:pStyle w:val="TableParagraph"/>
              <w:spacing w:line="274" w:lineRule="exact"/>
              <w:ind w:left="109" w:right="214"/>
              <w:rPr>
                <w:sz w:val="24"/>
              </w:rPr>
            </w:pPr>
            <w:r>
              <w:rPr>
                <w:sz w:val="24"/>
              </w:rPr>
              <w:t>geopolitical</w:t>
            </w:r>
            <w:r>
              <w:rPr>
                <w:spacing w:val="-8"/>
                <w:sz w:val="24"/>
              </w:rPr>
              <w:t> </w:t>
            </w:r>
            <w:r>
              <w:rPr>
                <w:sz w:val="24"/>
              </w:rPr>
              <w:t>zones</w:t>
            </w:r>
            <w:r>
              <w:rPr>
                <w:spacing w:val="-15"/>
                <w:sz w:val="24"/>
              </w:rPr>
              <w:t> </w:t>
            </w:r>
            <w:r>
              <w:rPr>
                <w:sz w:val="24"/>
              </w:rPr>
              <w:t>in</w:t>
            </w:r>
            <w:r>
              <w:rPr>
                <w:spacing w:val="-11"/>
                <w:sz w:val="24"/>
              </w:rPr>
              <w:t> </w:t>
            </w:r>
            <w:r>
              <w:rPr>
                <w:sz w:val="24"/>
              </w:rPr>
              <w:t>Northern part of Nigeria</w:t>
            </w:r>
          </w:p>
        </w:tc>
        <w:tc>
          <w:tcPr>
            <w:tcW w:w="1964" w:type="dxa"/>
          </w:tcPr>
          <w:p>
            <w:pPr>
              <w:pStyle w:val="TableParagraph"/>
              <w:rPr>
                <w:rFonts w:ascii="Times New Roman"/>
                <w:sz w:val="24"/>
              </w:rPr>
            </w:pPr>
          </w:p>
        </w:tc>
        <w:tc>
          <w:tcPr>
            <w:tcW w:w="2142" w:type="dxa"/>
          </w:tcPr>
          <w:p>
            <w:pPr>
              <w:pStyle w:val="TableParagraph"/>
              <w:rPr>
                <w:rFonts w:ascii="Times New Roman"/>
                <w:sz w:val="24"/>
              </w:rPr>
            </w:pPr>
          </w:p>
        </w:tc>
        <w:tc>
          <w:tcPr>
            <w:tcW w:w="1628" w:type="dxa"/>
          </w:tcPr>
          <w:p>
            <w:pPr>
              <w:pStyle w:val="TableParagraph"/>
              <w:rPr>
                <w:rFonts w:ascii="Times New Roman"/>
                <w:sz w:val="24"/>
              </w:rPr>
            </w:pPr>
          </w:p>
        </w:tc>
        <w:tc>
          <w:tcPr>
            <w:tcW w:w="3058" w:type="dxa"/>
          </w:tcPr>
          <w:p>
            <w:pPr>
              <w:pStyle w:val="TableParagraph"/>
              <w:rPr>
                <w:rFonts w:ascii="Times New Roman"/>
                <w:sz w:val="24"/>
              </w:rPr>
            </w:pPr>
          </w:p>
        </w:tc>
      </w:tr>
      <w:tr>
        <w:trPr>
          <w:trHeight w:val="2207" w:hRule="atLeast"/>
        </w:trPr>
        <w:tc>
          <w:tcPr>
            <w:tcW w:w="538" w:type="dxa"/>
          </w:tcPr>
          <w:p>
            <w:pPr>
              <w:pStyle w:val="TableParagraph"/>
              <w:spacing w:line="271" w:lineRule="exact"/>
              <w:ind w:left="110"/>
              <w:rPr>
                <w:sz w:val="24"/>
              </w:rPr>
            </w:pPr>
            <w:r>
              <w:rPr>
                <w:spacing w:val="-10"/>
                <w:sz w:val="24"/>
              </w:rPr>
              <w:t>5</w:t>
            </w:r>
          </w:p>
        </w:tc>
        <w:tc>
          <w:tcPr>
            <w:tcW w:w="3855" w:type="dxa"/>
          </w:tcPr>
          <w:p>
            <w:pPr>
              <w:pStyle w:val="TableParagraph"/>
              <w:ind w:left="109" w:right="122"/>
              <w:rPr>
                <w:sz w:val="24"/>
              </w:rPr>
            </w:pPr>
            <w:r>
              <w:rPr>
                <w:sz w:val="24"/>
              </w:rPr>
              <w:t>There is no significant difference in the opinions of students, service</w:t>
            </w:r>
            <w:r>
              <w:rPr>
                <w:spacing w:val="-10"/>
                <w:sz w:val="24"/>
              </w:rPr>
              <w:t> </w:t>
            </w:r>
            <w:r>
              <w:rPr>
                <w:sz w:val="24"/>
              </w:rPr>
              <w:t>staff</w:t>
            </w:r>
            <w:r>
              <w:rPr>
                <w:spacing w:val="-13"/>
                <w:sz w:val="24"/>
              </w:rPr>
              <w:t> </w:t>
            </w:r>
            <w:r>
              <w:rPr>
                <w:sz w:val="24"/>
              </w:rPr>
              <w:t>and</w:t>
            </w:r>
            <w:r>
              <w:rPr>
                <w:spacing w:val="-10"/>
                <w:sz w:val="24"/>
              </w:rPr>
              <w:t> </w:t>
            </w:r>
            <w:r>
              <w:rPr>
                <w:sz w:val="24"/>
              </w:rPr>
              <w:t>top</w:t>
            </w:r>
            <w:r>
              <w:rPr>
                <w:spacing w:val="-10"/>
                <w:sz w:val="24"/>
              </w:rPr>
              <w:t> </w:t>
            </w:r>
            <w:r>
              <w:rPr>
                <w:sz w:val="24"/>
              </w:rPr>
              <w:t>management staff in respect of the availability and adequacy of environmental services in universities in three</w:t>
            </w:r>
          </w:p>
          <w:p>
            <w:pPr>
              <w:pStyle w:val="TableParagraph"/>
              <w:spacing w:line="274" w:lineRule="exact"/>
              <w:ind w:left="109" w:right="214"/>
              <w:rPr>
                <w:sz w:val="24"/>
              </w:rPr>
            </w:pPr>
            <w:r>
              <w:rPr>
                <w:sz w:val="24"/>
              </w:rPr>
              <w:t>geopolitical</w:t>
            </w:r>
            <w:r>
              <w:rPr>
                <w:spacing w:val="-8"/>
                <w:sz w:val="24"/>
              </w:rPr>
              <w:t> </w:t>
            </w:r>
            <w:r>
              <w:rPr>
                <w:sz w:val="24"/>
              </w:rPr>
              <w:t>zones</w:t>
            </w:r>
            <w:r>
              <w:rPr>
                <w:spacing w:val="-15"/>
                <w:sz w:val="24"/>
              </w:rPr>
              <w:t> </w:t>
            </w:r>
            <w:r>
              <w:rPr>
                <w:sz w:val="24"/>
              </w:rPr>
              <w:t>in</w:t>
            </w:r>
            <w:r>
              <w:rPr>
                <w:spacing w:val="-11"/>
                <w:sz w:val="24"/>
              </w:rPr>
              <w:t> </w:t>
            </w:r>
            <w:r>
              <w:rPr>
                <w:sz w:val="24"/>
              </w:rPr>
              <w:t>Northern part of Nigeria</w:t>
            </w:r>
          </w:p>
        </w:tc>
        <w:tc>
          <w:tcPr>
            <w:tcW w:w="1964" w:type="dxa"/>
          </w:tcPr>
          <w:p>
            <w:pPr>
              <w:pStyle w:val="TableParagraph"/>
              <w:ind w:left="104" w:right="379"/>
              <w:rPr>
                <w:sz w:val="24"/>
              </w:rPr>
            </w:pPr>
            <w:r>
              <w:rPr>
                <w:sz w:val="24"/>
              </w:rPr>
              <w:t>Analysis of </w:t>
            </w:r>
            <w:r>
              <w:rPr>
                <w:spacing w:val="-2"/>
                <w:sz w:val="24"/>
              </w:rPr>
              <w:t>Variance </w:t>
            </w:r>
            <w:r>
              <w:rPr>
                <w:sz w:val="24"/>
              </w:rPr>
              <w:t>ANOVA and Scheffe’s</w:t>
            </w:r>
            <w:r>
              <w:rPr>
                <w:spacing w:val="-17"/>
                <w:sz w:val="24"/>
              </w:rPr>
              <w:t> </w:t>
            </w:r>
            <w:r>
              <w:rPr>
                <w:sz w:val="24"/>
              </w:rPr>
              <w:t>test</w:t>
            </w:r>
          </w:p>
        </w:tc>
        <w:tc>
          <w:tcPr>
            <w:tcW w:w="2142" w:type="dxa"/>
          </w:tcPr>
          <w:p>
            <w:pPr>
              <w:pStyle w:val="TableParagraph"/>
              <w:ind w:left="108"/>
              <w:rPr>
                <w:sz w:val="24"/>
              </w:rPr>
            </w:pPr>
            <w:r>
              <w:rPr>
                <w:sz w:val="24"/>
              </w:rPr>
              <w:t>F.</w:t>
            </w:r>
            <w:r>
              <w:rPr>
                <w:spacing w:val="-11"/>
                <w:sz w:val="24"/>
              </w:rPr>
              <w:t> </w:t>
            </w:r>
            <w:r>
              <w:rPr>
                <w:sz w:val="24"/>
              </w:rPr>
              <w:t>Ratio</w:t>
            </w:r>
            <w:r>
              <w:rPr>
                <w:spacing w:val="-14"/>
                <w:sz w:val="24"/>
              </w:rPr>
              <w:t> </w:t>
            </w:r>
            <w:r>
              <w:rPr>
                <w:sz w:val="24"/>
              </w:rPr>
              <w:t>is</w:t>
            </w:r>
            <w:r>
              <w:rPr>
                <w:spacing w:val="-11"/>
                <w:sz w:val="24"/>
              </w:rPr>
              <w:t> </w:t>
            </w:r>
            <w:r>
              <w:rPr>
                <w:sz w:val="24"/>
              </w:rPr>
              <w:t>6.9430 and computed F probability is </w:t>
            </w:r>
            <w:r>
              <w:rPr>
                <w:spacing w:val="-2"/>
                <w:sz w:val="24"/>
              </w:rPr>
              <w:t>0.0011</w:t>
            </w:r>
          </w:p>
        </w:tc>
        <w:tc>
          <w:tcPr>
            <w:tcW w:w="1628" w:type="dxa"/>
          </w:tcPr>
          <w:p>
            <w:pPr>
              <w:pStyle w:val="TableParagraph"/>
              <w:spacing w:line="271" w:lineRule="exact"/>
              <w:ind w:left="102"/>
              <w:rPr>
                <w:sz w:val="24"/>
              </w:rPr>
            </w:pPr>
            <w:r>
              <w:rPr>
                <w:spacing w:val="-4"/>
                <w:sz w:val="24"/>
              </w:rPr>
              <w:t>0.05</w:t>
            </w:r>
          </w:p>
        </w:tc>
        <w:tc>
          <w:tcPr>
            <w:tcW w:w="3058" w:type="dxa"/>
          </w:tcPr>
          <w:p>
            <w:pPr>
              <w:pStyle w:val="TableParagraph"/>
              <w:ind w:left="106" w:right="153"/>
              <w:rPr>
                <w:sz w:val="24"/>
              </w:rPr>
            </w:pPr>
            <w:r>
              <w:rPr>
                <w:sz w:val="24"/>
              </w:rPr>
              <w:t>The</w:t>
            </w:r>
            <w:r>
              <w:rPr>
                <w:spacing w:val="-12"/>
                <w:sz w:val="24"/>
              </w:rPr>
              <w:t> </w:t>
            </w:r>
            <w:r>
              <w:rPr>
                <w:sz w:val="24"/>
              </w:rPr>
              <w:t>hypothesis</w:t>
            </w:r>
            <w:r>
              <w:rPr>
                <w:spacing w:val="-16"/>
                <w:sz w:val="24"/>
              </w:rPr>
              <w:t> </w:t>
            </w:r>
            <w:r>
              <w:rPr>
                <w:sz w:val="24"/>
              </w:rPr>
              <w:t>is</w:t>
            </w:r>
            <w:r>
              <w:rPr>
                <w:spacing w:val="-12"/>
                <w:sz w:val="24"/>
              </w:rPr>
              <w:t> </w:t>
            </w:r>
            <w:r>
              <w:rPr>
                <w:sz w:val="24"/>
              </w:rPr>
              <w:t>rejected to mean that there was significant difference in the opinions of the </w:t>
            </w:r>
            <w:r>
              <w:rPr>
                <w:spacing w:val="-2"/>
                <w:sz w:val="24"/>
              </w:rPr>
              <w:t>respondents.</w:t>
            </w:r>
          </w:p>
        </w:tc>
      </w:tr>
      <w:tr>
        <w:trPr>
          <w:trHeight w:val="3033" w:hRule="atLeast"/>
        </w:trPr>
        <w:tc>
          <w:tcPr>
            <w:tcW w:w="538" w:type="dxa"/>
          </w:tcPr>
          <w:p>
            <w:pPr>
              <w:pStyle w:val="TableParagraph"/>
              <w:spacing w:line="271" w:lineRule="exact"/>
              <w:ind w:left="110"/>
              <w:rPr>
                <w:sz w:val="24"/>
              </w:rPr>
            </w:pPr>
            <w:r>
              <w:rPr>
                <w:spacing w:val="-10"/>
                <w:sz w:val="24"/>
              </w:rPr>
              <w:t>6</w:t>
            </w:r>
          </w:p>
        </w:tc>
        <w:tc>
          <w:tcPr>
            <w:tcW w:w="3855" w:type="dxa"/>
          </w:tcPr>
          <w:p>
            <w:pPr>
              <w:pStyle w:val="TableParagraph"/>
              <w:ind w:left="109" w:right="122"/>
              <w:rPr>
                <w:sz w:val="24"/>
              </w:rPr>
            </w:pPr>
            <w:r>
              <w:rPr>
                <w:sz w:val="24"/>
              </w:rPr>
              <w:t>There is no significant difference in the opinions of students, service</w:t>
            </w:r>
            <w:r>
              <w:rPr>
                <w:spacing w:val="-10"/>
                <w:sz w:val="24"/>
              </w:rPr>
              <w:t> </w:t>
            </w:r>
            <w:r>
              <w:rPr>
                <w:sz w:val="24"/>
              </w:rPr>
              <w:t>staff</w:t>
            </w:r>
            <w:r>
              <w:rPr>
                <w:spacing w:val="-13"/>
                <w:sz w:val="24"/>
              </w:rPr>
              <w:t> </w:t>
            </w:r>
            <w:r>
              <w:rPr>
                <w:sz w:val="24"/>
              </w:rPr>
              <w:t>and</w:t>
            </w:r>
            <w:r>
              <w:rPr>
                <w:spacing w:val="-10"/>
                <w:sz w:val="24"/>
              </w:rPr>
              <w:t> </w:t>
            </w:r>
            <w:r>
              <w:rPr>
                <w:sz w:val="24"/>
              </w:rPr>
              <w:t>top</w:t>
            </w:r>
            <w:r>
              <w:rPr>
                <w:spacing w:val="-10"/>
                <w:sz w:val="24"/>
              </w:rPr>
              <w:t> </w:t>
            </w:r>
            <w:r>
              <w:rPr>
                <w:sz w:val="24"/>
              </w:rPr>
              <w:t>management staff with respect to the impact of the provision and management of diverse</w:t>
            </w:r>
            <w:r>
              <w:rPr>
                <w:spacing w:val="-3"/>
                <w:sz w:val="24"/>
              </w:rPr>
              <w:t> </w:t>
            </w:r>
            <w:r>
              <w:rPr>
                <w:sz w:val="24"/>
              </w:rPr>
              <w:t>services</w:t>
            </w:r>
            <w:r>
              <w:rPr>
                <w:spacing w:val="-8"/>
                <w:sz w:val="24"/>
              </w:rPr>
              <w:t> </w:t>
            </w:r>
            <w:r>
              <w:rPr>
                <w:sz w:val="24"/>
              </w:rPr>
              <w:t>interms</w:t>
            </w:r>
            <w:r>
              <w:rPr>
                <w:spacing w:val="-3"/>
                <w:sz w:val="24"/>
              </w:rPr>
              <w:t> </w:t>
            </w:r>
            <w:r>
              <w:rPr>
                <w:sz w:val="24"/>
              </w:rPr>
              <w:t>of</w:t>
            </w:r>
            <w:r>
              <w:rPr>
                <w:spacing w:val="-3"/>
                <w:sz w:val="24"/>
              </w:rPr>
              <w:t> </w:t>
            </w:r>
            <w:r>
              <w:rPr>
                <w:sz w:val="24"/>
              </w:rPr>
              <w:t>social, academic</w:t>
            </w:r>
            <w:r>
              <w:rPr>
                <w:spacing w:val="-1"/>
                <w:sz w:val="24"/>
              </w:rPr>
              <w:t> </w:t>
            </w:r>
            <w:r>
              <w:rPr>
                <w:sz w:val="24"/>
              </w:rPr>
              <w:t>medical and</w:t>
            </w:r>
            <w:r>
              <w:rPr>
                <w:spacing w:val="-1"/>
                <w:sz w:val="24"/>
              </w:rPr>
              <w:t> </w:t>
            </w:r>
            <w:r>
              <w:rPr>
                <w:sz w:val="24"/>
              </w:rPr>
              <w:t>health</w:t>
            </w:r>
            <w:r>
              <w:rPr>
                <w:spacing w:val="-5"/>
                <w:sz w:val="24"/>
              </w:rPr>
              <w:t> </w:t>
            </w:r>
            <w:r>
              <w:rPr>
                <w:sz w:val="24"/>
              </w:rPr>
              <w:t>and environ mental services on students’ welfare</w:t>
            </w:r>
            <w:r>
              <w:rPr>
                <w:spacing w:val="-2"/>
                <w:sz w:val="24"/>
              </w:rPr>
              <w:t> </w:t>
            </w:r>
            <w:r>
              <w:rPr>
                <w:sz w:val="24"/>
              </w:rPr>
              <w:t>in universities</w:t>
            </w:r>
            <w:r>
              <w:rPr>
                <w:spacing w:val="-3"/>
                <w:sz w:val="24"/>
              </w:rPr>
              <w:t> </w:t>
            </w:r>
            <w:r>
              <w:rPr>
                <w:sz w:val="24"/>
              </w:rPr>
              <w:t>in three geopolitical zones in</w:t>
            </w:r>
          </w:p>
          <w:p>
            <w:pPr>
              <w:pStyle w:val="TableParagraph"/>
              <w:spacing w:line="258" w:lineRule="exact"/>
              <w:ind w:left="109"/>
              <w:rPr>
                <w:sz w:val="24"/>
              </w:rPr>
            </w:pPr>
            <w:r>
              <w:rPr>
                <w:sz w:val="24"/>
              </w:rPr>
              <w:t>Northern</w:t>
            </w:r>
            <w:r>
              <w:rPr>
                <w:spacing w:val="-4"/>
                <w:sz w:val="24"/>
              </w:rPr>
              <w:t> </w:t>
            </w:r>
            <w:r>
              <w:rPr>
                <w:sz w:val="24"/>
              </w:rPr>
              <w:t>part</w:t>
            </w:r>
            <w:r>
              <w:rPr>
                <w:spacing w:val="-3"/>
                <w:sz w:val="24"/>
              </w:rPr>
              <w:t> </w:t>
            </w:r>
            <w:r>
              <w:rPr>
                <w:sz w:val="24"/>
              </w:rPr>
              <w:t>of</w:t>
            </w:r>
            <w:r>
              <w:rPr>
                <w:spacing w:val="1"/>
                <w:sz w:val="24"/>
              </w:rPr>
              <w:t> </w:t>
            </w:r>
            <w:r>
              <w:rPr>
                <w:spacing w:val="-2"/>
                <w:sz w:val="24"/>
              </w:rPr>
              <w:t>Nigeria.</w:t>
            </w:r>
          </w:p>
        </w:tc>
        <w:tc>
          <w:tcPr>
            <w:tcW w:w="1964" w:type="dxa"/>
          </w:tcPr>
          <w:p>
            <w:pPr>
              <w:pStyle w:val="TableParagraph"/>
              <w:ind w:left="104" w:right="379"/>
              <w:rPr>
                <w:sz w:val="24"/>
              </w:rPr>
            </w:pPr>
            <w:r>
              <w:rPr>
                <w:sz w:val="24"/>
              </w:rPr>
              <w:t>Analysis of </w:t>
            </w:r>
            <w:r>
              <w:rPr>
                <w:spacing w:val="-2"/>
                <w:sz w:val="24"/>
              </w:rPr>
              <w:t>Variance </w:t>
            </w:r>
            <w:r>
              <w:rPr>
                <w:sz w:val="24"/>
              </w:rPr>
              <w:t>(ANOVA)</w:t>
            </w:r>
            <w:r>
              <w:rPr>
                <w:spacing w:val="-17"/>
                <w:sz w:val="24"/>
              </w:rPr>
              <w:t> </w:t>
            </w:r>
            <w:r>
              <w:rPr>
                <w:sz w:val="24"/>
              </w:rPr>
              <w:t>and Scheffe’s</w:t>
            </w:r>
            <w:r>
              <w:rPr>
                <w:spacing w:val="-4"/>
                <w:sz w:val="24"/>
              </w:rPr>
              <w:t> test</w:t>
            </w:r>
          </w:p>
        </w:tc>
        <w:tc>
          <w:tcPr>
            <w:tcW w:w="2142" w:type="dxa"/>
          </w:tcPr>
          <w:p>
            <w:pPr>
              <w:pStyle w:val="TableParagraph"/>
              <w:ind w:left="108"/>
              <w:rPr>
                <w:sz w:val="24"/>
              </w:rPr>
            </w:pPr>
            <w:r>
              <w:rPr>
                <w:sz w:val="24"/>
              </w:rPr>
              <w:t>F.</w:t>
            </w:r>
            <w:r>
              <w:rPr>
                <w:spacing w:val="-11"/>
                <w:sz w:val="24"/>
              </w:rPr>
              <w:t> </w:t>
            </w:r>
            <w:r>
              <w:rPr>
                <w:sz w:val="24"/>
              </w:rPr>
              <w:t>Ratio</w:t>
            </w:r>
            <w:r>
              <w:rPr>
                <w:spacing w:val="-14"/>
                <w:sz w:val="24"/>
              </w:rPr>
              <w:t> </w:t>
            </w:r>
            <w:r>
              <w:rPr>
                <w:sz w:val="24"/>
              </w:rPr>
              <w:t>is</w:t>
            </w:r>
            <w:r>
              <w:rPr>
                <w:spacing w:val="-11"/>
                <w:sz w:val="24"/>
              </w:rPr>
              <w:t> </w:t>
            </w:r>
            <w:r>
              <w:rPr>
                <w:sz w:val="24"/>
              </w:rPr>
              <w:t>6.7613 and computed F. probability is </w:t>
            </w:r>
            <w:r>
              <w:rPr>
                <w:spacing w:val="-2"/>
                <w:sz w:val="24"/>
              </w:rPr>
              <w:t>0.0013</w:t>
            </w:r>
          </w:p>
        </w:tc>
        <w:tc>
          <w:tcPr>
            <w:tcW w:w="1628" w:type="dxa"/>
          </w:tcPr>
          <w:p>
            <w:pPr>
              <w:pStyle w:val="TableParagraph"/>
              <w:spacing w:line="271" w:lineRule="exact"/>
              <w:ind w:left="102"/>
              <w:rPr>
                <w:sz w:val="24"/>
              </w:rPr>
            </w:pPr>
            <w:r>
              <w:rPr>
                <w:spacing w:val="-4"/>
                <w:sz w:val="24"/>
              </w:rPr>
              <w:t>0.05</w:t>
            </w:r>
          </w:p>
        </w:tc>
        <w:tc>
          <w:tcPr>
            <w:tcW w:w="3058" w:type="dxa"/>
          </w:tcPr>
          <w:p>
            <w:pPr>
              <w:pStyle w:val="TableParagraph"/>
              <w:ind w:left="106" w:right="153"/>
              <w:rPr>
                <w:sz w:val="24"/>
              </w:rPr>
            </w:pPr>
            <w:r>
              <w:rPr>
                <w:sz w:val="24"/>
              </w:rPr>
              <w:t>The</w:t>
            </w:r>
            <w:r>
              <w:rPr>
                <w:spacing w:val="-12"/>
                <w:sz w:val="24"/>
              </w:rPr>
              <w:t> </w:t>
            </w:r>
            <w:r>
              <w:rPr>
                <w:sz w:val="24"/>
              </w:rPr>
              <w:t>hypothesis</w:t>
            </w:r>
            <w:r>
              <w:rPr>
                <w:spacing w:val="-16"/>
                <w:sz w:val="24"/>
              </w:rPr>
              <w:t> </w:t>
            </w:r>
            <w:r>
              <w:rPr>
                <w:sz w:val="24"/>
              </w:rPr>
              <w:t>is</w:t>
            </w:r>
            <w:r>
              <w:rPr>
                <w:spacing w:val="-12"/>
                <w:sz w:val="24"/>
              </w:rPr>
              <w:t> </w:t>
            </w:r>
            <w:r>
              <w:rPr>
                <w:sz w:val="24"/>
              </w:rPr>
              <w:t>rejected to mean that there was significant difference in the opinions of the </w:t>
            </w:r>
            <w:r>
              <w:rPr>
                <w:spacing w:val="-2"/>
                <w:sz w:val="24"/>
              </w:rPr>
              <w:t>respondents.</w:t>
            </w:r>
          </w:p>
        </w:tc>
      </w:tr>
      <w:tr>
        <w:trPr>
          <w:trHeight w:val="2207" w:hRule="atLeast"/>
        </w:trPr>
        <w:tc>
          <w:tcPr>
            <w:tcW w:w="538" w:type="dxa"/>
          </w:tcPr>
          <w:p>
            <w:pPr>
              <w:pStyle w:val="TableParagraph"/>
              <w:spacing w:line="271" w:lineRule="exact"/>
              <w:ind w:left="110"/>
              <w:rPr>
                <w:sz w:val="24"/>
              </w:rPr>
            </w:pPr>
            <w:r>
              <w:rPr>
                <w:spacing w:val="-10"/>
                <w:sz w:val="24"/>
              </w:rPr>
              <w:t>7</w:t>
            </w:r>
          </w:p>
        </w:tc>
        <w:tc>
          <w:tcPr>
            <w:tcW w:w="3855" w:type="dxa"/>
          </w:tcPr>
          <w:p>
            <w:pPr>
              <w:pStyle w:val="TableParagraph"/>
              <w:ind w:left="109" w:right="123"/>
              <w:rPr>
                <w:sz w:val="24"/>
              </w:rPr>
            </w:pPr>
            <w:r>
              <w:rPr>
                <w:sz w:val="24"/>
              </w:rPr>
              <w:t>There is no significant difference in the opinions of students’ service</w:t>
            </w:r>
            <w:r>
              <w:rPr>
                <w:spacing w:val="-10"/>
                <w:sz w:val="24"/>
              </w:rPr>
              <w:t> </w:t>
            </w:r>
            <w:r>
              <w:rPr>
                <w:sz w:val="24"/>
              </w:rPr>
              <w:t>staff</w:t>
            </w:r>
            <w:r>
              <w:rPr>
                <w:spacing w:val="-13"/>
                <w:sz w:val="24"/>
              </w:rPr>
              <w:t> </w:t>
            </w:r>
            <w:r>
              <w:rPr>
                <w:sz w:val="24"/>
              </w:rPr>
              <w:t>and</w:t>
            </w:r>
            <w:r>
              <w:rPr>
                <w:spacing w:val="-10"/>
                <w:sz w:val="24"/>
              </w:rPr>
              <w:t> </w:t>
            </w:r>
            <w:r>
              <w:rPr>
                <w:sz w:val="24"/>
              </w:rPr>
              <w:t>top</w:t>
            </w:r>
            <w:r>
              <w:rPr>
                <w:spacing w:val="-10"/>
                <w:sz w:val="24"/>
              </w:rPr>
              <w:t> </w:t>
            </w:r>
            <w:r>
              <w:rPr>
                <w:sz w:val="24"/>
              </w:rPr>
              <w:t>management staff in respect of the impact of feeding on students’ welfare services in universities in three geopolitical zones in Northern</w:t>
            </w:r>
          </w:p>
          <w:p>
            <w:pPr>
              <w:pStyle w:val="TableParagraph"/>
              <w:spacing w:line="258" w:lineRule="exact"/>
              <w:ind w:left="109"/>
              <w:rPr>
                <w:sz w:val="24"/>
              </w:rPr>
            </w:pPr>
            <w:r>
              <w:rPr>
                <w:sz w:val="24"/>
              </w:rPr>
              <w:t>part</w:t>
            </w:r>
            <w:r>
              <w:rPr>
                <w:spacing w:val="-2"/>
                <w:sz w:val="24"/>
              </w:rPr>
              <w:t> </w:t>
            </w:r>
            <w:r>
              <w:rPr>
                <w:sz w:val="24"/>
              </w:rPr>
              <w:t>of</w:t>
            </w:r>
            <w:r>
              <w:rPr>
                <w:spacing w:val="1"/>
                <w:sz w:val="24"/>
              </w:rPr>
              <w:t> </w:t>
            </w:r>
            <w:r>
              <w:rPr>
                <w:spacing w:val="-2"/>
                <w:sz w:val="24"/>
              </w:rPr>
              <w:t>Nigeria.</w:t>
            </w:r>
          </w:p>
        </w:tc>
        <w:tc>
          <w:tcPr>
            <w:tcW w:w="1964" w:type="dxa"/>
          </w:tcPr>
          <w:p>
            <w:pPr>
              <w:pStyle w:val="TableParagraph"/>
              <w:ind w:left="104" w:right="379"/>
              <w:rPr>
                <w:sz w:val="24"/>
              </w:rPr>
            </w:pPr>
            <w:r>
              <w:rPr>
                <w:sz w:val="24"/>
              </w:rPr>
              <w:t>Analysis of </w:t>
            </w:r>
            <w:r>
              <w:rPr>
                <w:spacing w:val="-2"/>
                <w:sz w:val="24"/>
              </w:rPr>
              <w:t>Variance </w:t>
            </w:r>
            <w:r>
              <w:rPr>
                <w:sz w:val="24"/>
              </w:rPr>
              <w:t>(ANOVA)</w:t>
            </w:r>
            <w:r>
              <w:rPr>
                <w:spacing w:val="-17"/>
                <w:sz w:val="24"/>
              </w:rPr>
              <w:t> </w:t>
            </w:r>
            <w:r>
              <w:rPr>
                <w:sz w:val="24"/>
              </w:rPr>
              <w:t>and Scheffe’s</w:t>
            </w:r>
            <w:r>
              <w:rPr>
                <w:spacing w:val="-4"/>
                <w:sz w:val="24"/>
              </w:rPr>
              <w:t> test</w:t>
            </w:r>
          </w:p>
        </w:tc>
        <w:tc>
          <w:tcPr>
            <w:tcW w:w="2142" w:type="dxa"/>
          </w:tcPr>
          <w:p>
            <w:pPr>
              <w:pStyle w:val="TableParagraph"/>
              <w:ind w:left="108"/>
              <w:rPr>
                <w:sz w:val="24"/>
              </w:rPr>
            </w:pPr>
            <w:r>
              <w:rPr>
                <w:sz w:val="24"/>
              </w:rPr>
              <w:t>F</w:t>
            </w:r>
            <w:r>
              <w:rPr>
                <w:spacing w:val="-10"/>
                <w:sz w:val="24"/>
              </w:rPr>
              <w:t> </w:t>
            </w:r>
            <w:r>
              <w:rPr>
                <w:sz w:val="24"/>
              </w:rPr>
              <w:t>Ratio</w:t>
            </w:r>
            <w:r>
              <w:rPr>
                <w:spacing w:val="-15"/>
                <w:sz w:val="24"/>
              </w:rPr>
              <w:t> </w:t>
            </w:r>
            <w:r>
              <w:rPr>
                <w:sz w:val="24"/>
              </w:rPr>
              <w:t>is</w:t>
            </w:r>
            <w:r>
              <w:rPr>
                <w:spacing w:val="-11"/>
                <w:sz w:val="24"/>
              </w:rPr>
              <w:t> </w:t>
            </w:r>
            <w:r>
              <w:rPr>
                <w:sz w:val="24"/>
              </w:rPr>
              <w:t>5.3983 and</w:t>
            </w:r>
            <w:r>
              <w:rPr>
                <w:spacing w:val="-11"/>
                <w:sz w:val="24"/>
              </w:rPr>
              <w:t> </w:t>
            </w:r>
            <w:r>
              <w:rPr>
                <w:sz w:val="24"/>
              </w:rPr>
              <w:t>computed</w:t>
            </w:r>
            <w:r>
              <w:rPr>
                <w:spacing w:val="-11"/>
                <w:sz w:val="24"/>
              </w:rPr>
              <w:t> </w:t>
            </w:r>
            <w:r>
              <w:rPr>
                <w:sz w:val="24"/>
              </w:rPr>
              <w:t>F. Probability is </w:t>
            </w:r>
            <w:r>
              <w:rPr>
                <w:spacing w:val="-2"/>
                <w:sz w:val="24"/>
              </w:rPr>
              <w:t>0.0048</w:t>
            </w:r>
          </w:p>
        </w:tc>
        <w:tc>
          <w:tcPr>
            <w:tcW w:w="1628" w:type="dxa"/>
          </w:tcPr>
          <w:p>
            <w:pPr>
              <w:pStyle w:val="TableParagraph"/>
              <w:spacing w:line="271" w:lineRule="exact"/>
              <w:ind w:left="102"/>
              <w:rPr>
                <w:sz w:val="24"/>
              </w:rPr>
            </w:pPr>
            <w:r>
              <w:rPr>
                <w:spacing w:val="-4"/>
                <w:sz w:val="24"/>
              </w:rPr>
              <w:t>0.05</w:t>
            </w:r>
          </w:p>
        </w:tc>
        <w:tc>
          <w:tcPr>
            <w:tcW w:w="3058" w:type="dxa"/>
          </w:tcPr>
          <w:p>
            <w:pPr>
              <w:pStyle w:val="TableParagraph"/>
              <w:ind w:left="106" w:right="199"/>
              <w:rPr>
                <w:sz w:val="24"/>
              </w:rPr>
            </w:pPr>
            <w:r>
              <w:rPr>
                <w:sz w:val="24"/>
              </w:rPr>
              <w:t>The hypothesis was rejected to mean that there was significant difference</w:t>
            </w:r>
            <w:r>
              <w:rPr>
                <w:spacing w:val="-13"/>
                <w:sz w:val="24"/>
              </w:rPr>
              <w:t> </w:t>
            </w:r>
            <w:r>
              <w:rPr>
                <w:sz w:val="24"/>
              </w:rPr>
              <w:t>in</w:t>
            </w:r>
            <w:r>
              <w:rPr>
                <w:spacing w:val="-10"/>
                <w:sz w:val="24"/>
              </w:rPr>
              <w:t> </w:t>
            </w:r>
            <w:r>
              <w:rPr>
                <w:sz w:val="24"/>
              </w:rPr>
              <w:t>the</w:t>
            </w:r>
            <w:r>
              <w:rPr>
                <w:spacing w:val="-13"/>
                <w:sz w:val="24"/>
              </w:rPr>
              <w:t> </w:t>
            </w:r>
            <w:r>
              <w:rPr>
                <w:sz w:val="24"/>
              </w:rPr>
              <w:t>opinions of the respondents.</w:t>
            </w:r>
          </w:p>
        </w:tc>
      </w:tr>
      <w:tr>
        <w:trPr>
          <w:trHeight w:val="830" w:hRule="atLeast"/>
        </w:trPr>
        <w:tc>
          <w:tcPr>
            <w:tcW w:w="538" w:type="dxa"/>
          </w:tcPr>
          <w:p>
            <w:pPr>
              <w:pStyle w:val="TableParagraph"/>
              <w:spacing w:line="271" w:lineRule="exact"/>
              <w:ind w:left="110"/>
              <w:rPr>
                <w:sz w:val="24"/>
              </w:rPr>
            </w:pPr>
            <w:r>
              <w:rPr>
                <w:spacing w:val="-10"/>
                <w:sz w:val="24"/>
              </w:rPr>
              <w:t>8</w:t>
            </w:r>
          </w:p>
        </w:tc>
        <w:tc>
          <w:tcPr>
            <w:tcW w:w="3855" w:type="dxa"/>
          </w:tcPr>
          <w:p>
            <w:pPr>
              <w:pStyle w:val="TableParagraph"/>
              <w:spacing w:line="271" w:lineRule="exact"/>
              <w:ind w:left="109"/>
              <w:rPr>
                <w:sz w:val="24"/>
              </w:rPr>
            </w:pPr>
            <w:r>
              <w:rPr>
                <w:sz w:val="24"/>
              </w:rPr>
              <w:t>There</w:t>
            </w:r>
            <w:r>
              <w:rPr>
                <w:spacing w:val="-5"/>
                <w:sz w:val="24"/>
              </w:rPr>
              <w:t> </w:t>
            </w:r>
            <w:r>
              <w:rPr>
                <w:sz w:val="24"/>
              </w:rPr>
              <w:t>is</w:t>
            </w:r>
            <w:r>
              <w:rPr>
                <w:spacing w:val="-6"/>
                <w:sz w:val="24"/>
              </w:rPr>
              <w:t> </w:t>
            </w:r>
            <w:r>
              <w:rPr>
                <w:sz w:val="24"/>
              </w:rPr>
              <w:t>no</w:t>
            </w:r>
            <w:r>
              <w:rPr>
                <w:spacing w:val="-1"/>
                <w:sz w:val="24"/>
              </w:rPr>
              <w:t> </w:t>
            </w:r>
            <w:r>
              <w:rPr>
                <w:sz w:val="24"/>
              </w:rPr>
              <w:t>significant </w:t>
            </w:r>
            <w:r>
              <w:rPr>
                <w:spacing w:val="-2"/>
                <w:sz w:val="24"/>
              </w:rPr>
              <w:t>difference</w:t>
            </w:r>
          </w:p>
          <w:p>
            <w:pPr>
              <w:pStyle w:val="TableParagraph"/>
              <w:spacing w:line="274" w:lineRule="exact"/>
              <w:ind w:left="109" w:right="122"/>
              <w:rPr>
                <w:sz w:val="24"/>
              </w:rPr>
            </w:pPr>
            <w:r>
              <w:rPr>
                <w:sz w:val="24"/>
              </w:rPr>
              <w:t>in the opinions of students, service</w:t>
            </w:r>
            <w:r>
              <w:rPr>
                <w:spacing w:val="-10"/>
                <w:sz w:val="24"/>
              </w:rPr>
              <w:t> </w:t>
            </w:r>
            <w:r>
              <w:rPr>
                <w:sz w:val="24"/>
              </w:rPr>
              <w:t>staff</w:t>
            </w:r>
            <w:r>
              <w:rPr>
                <w:spacing w:val="-13"/>
                <w:sz w:val="24"/>
              </w:rPr>
              <w:t> </w:t>
            </w:r>
            <w:r>
              <w:rPr>
                <w:sz w:val="24"/>
              </w:rPr>
              <w:t>and</w:t>
            </w:r>
            <w:r>
              <w:rPr>
                <w:spacing w:val="-10"/>
                <w:sz w:val="24"/>
              </w:rPr>
              <w:t> </w:t>
            </w:r>
            <w:r>
              <w:rPr>
                <w:sz w:val="24"/>
              </w:rPr>
              <w:t>top</w:t>
            </w:r>
            <w:r>
              <w:rPr>
                <w:spacing w:val="-10"/>
                <w:sz w:val="24"/>
              </w:rPr>
              <w:t> </w:t>
            </w:r>
            <w:r>
              <w:rPr>
                <w:sz w:val="24"/>
              </w:rPr>
              <w:t>management</w:t>
            </w:r>
          </w:p>
        </w:tc>
        <w:tc>
          <w:tcPr>
            <w:tcW w:w="1964" w:type="dxa"/>
          </w:tcPr>
          <w:p>
            <w:pPr>
              <w:pStyle w:val="TableParagraph"/>
              <w:spacing w:line="271" w:lineRule="exact"/>
              <w:ind w:left="104"/>
              <w:rPr>
                <w:sz w:val="24"/>
              </w:rPr>
            </w:pPr>
            <w:r>
              <w:rPr>
                <w:sz w:val="24"/>
              </w:rPr>
              <w:t>Analysis</w:t>
            </w:r>
            <w:r>
              <w:rPr>
                <w:spacing w:val="1"/>
                <w:sz w:val="24"/>
              </w:rPr>
              <w:t> </w:t>
            </w:r>
            <w:r>
              <w:rPr>
                <w:spacing w:val="-5"/>
                <w:sz w:val="24"/>
              </w:rPr>
              <w:t>of</w:t>
            </w:r>
          </w:p>
          <w:p>
            <w:pPr>
              <w:pStyle w:val="TableParagraph"/>
              <w:spacing w:line="274" w:lineRule="exact"/>
              <w:ind w:left="104" w:right="379"/>
              <w:rPr>
                <w:sz w:val="24"/>
              </w:rPr>
            </w:pPr>
            <w:r>
              <w:rPr>
                <w:spacing w:val="-2"/>
                <w:sz w:val="24"/>
              </w:rPr>
              <w:t>Variance </w:t>
            </w:r>
            <w:r>
              <w:rPr>
                <w:sz w:val="24"/>
              </w:rPr>
              <w:t>(ANOVA)</w:t>
            </w:r>
            <w:r>
              <w:rPr>
                <w:spacing w:val="-17"/>
                <w:sz w:val="24"/>
              </w:rPr>
              <w:t> </w:t>
            </w:r>
            <w:r>
              <w:rPr>
                <w:sz w:val="24"/>
              </w:rPr>
              <w:t>and</w:t>
            </w:r>
          </w:p>
        </w:tc>
        <w:tc>
          <w:tcPr>
            <w:tcW w:w="2142" w:type="dxa"/>
          </w:tcPr>
          <w:p>
            <w:pPr>
              <w:pStyle w:val="TableParagraph"/>
              <w:spacing w:line="271" w:lineRule="exact"/>
              <w:ind w:left="108"/>
              <w:rPr>
                <w:sz w:val="24"/>
              </w:rPr>
            </w:pPr>
            <w:r>
              <w:rPr>
                <w:sz w:val="24"/>
              </w:rPr>
              <w:t>F.</w:t>
            </w:r>
            <w:r>
              <w:rPr>
                <w:spacing w:val="1"/>
                <w:sz w:val="24"/>
              </w:rPr>
              <w:t> </w:t>
            </w:r>
            <w:r>
              <w:rPr>
                <w:sz w:val="24"/>
              </w:rPr>
              <w:t>Ratio</w:t>
            </w:r>
            <w:r>
              <w:rPr>
                <w:spacing w:val="-4"/>
                <w:sz w:val="24"/>
              </w:rPr>
              <w:t> </w:t>
            </w:r>
            <w:r>
              <w:rPr>
                <w:sz w:val="24"/>
              </w:rPr>
              <w:t>is</w:t>
            </w:r>
            <w:r>
              <w:rPr>
                <w:spacing w:val="2"/>
                <w:sz w:val="24"/>
              </w:rPr>
              <w:t> </w:t>
            </w:r>
            <w:r>
              <w:rPr>
                <w:spacing w:val="-2"/>
                <w:sz w:val="24"/>
              </w:rPr>
              <w:t>6.2052</w:t>
            </w:r>
          </w:p>
          <w:p>
            <w:pPr>
              <w:pStyle w:val="TableParagraph"/>
              <w:spacing w:line="274" w:lineRule="exact"/>
              <w:ind w:left="108"/>
              <w:rPr>
                <w:sz w:val="24"/>
              </w:rPr>
            </w:pPr>
            <w:r>
              <w:rPr>
                <w:sz w:val="24"/>
              </w:rPr>
              <w:t>and</w:t>
            </w:r>
            <w:r>
              <w:rPr>
                <w:spacing w:val="-17"/>
                <w:sz w:val="24"/>
              </w:rPr>
              <w:t> </w:t>
            </w:r>
            <w:r>
              <w:rPr>
                <w:sz w:val="24"/>
              </w:rPr>
              <w:t>computed</w:t>
            </w:r>
            <w:r>
              <w:rPr>
                <w:spacing w:val="-17"/>
                <w:sz w:val="24"/>
              </w:rPr>
              <w:t> </w:t>
            </w:r>
            <w:r>
              <w:rPr>
                <w:sz w:val="24"/>
              </w:rPr>
              <w:t>F. Probability is</w:t>
            </w:r>
          </w:p>
        </w:tc>
        <w:tc>
          <w:tcPr>
            <w:tcW w:w="1628" w:type="dxa"/>
          </w:tcPr>
          <w:p>
            <w:pPr>
              <w:pStyle w:val="TableParagraph"/>
              <w:spacing w:line="271" w:lineRule="exact"/>
              <w:ind w:left="102"/>
              <w:rPr>
                <w:sz w:val="24"/>
              </w:rPr>
            </w:pPr>
            <w:r>
              <w:rPr>
                <w:spacing w:val="-4"/>
                <w:sz w:val="24"/>
              </w:rPr>
              <w:t>0.05</w:t>
            </w:r>
          </w:p>
        </w:tc>
        <w:tc>
          <w:tcPr>
            <w:tcW w:w="3058" w:type="dxa"/>
          </w:tcPr>
          <w:p>
            <w:pPr>
              <w:pStyle w:val="TableParagraph"/>
              <w:spacing w:line="271" w:lineRule="exact"/>
              <w:ind w:left="106"/>
              <w:rPr>
                <w:sz w:val="24"/>
              </w:rPr>
            </w:pPr>
            <w:r>
              <w:rPr>
                <w:sz w:val="24"/>
              </w:rPr>
              <w:t>The</w:t>
            </w:r>
            <w:r>
              <w:rPr>
                <w:spacing w:val="-3"/>
                <w:sz w:val="24"/>
              </w:rPr>
              <w:t> </w:t>
            </w:r>
            <w:r>
              <w:rPr>
                <w:sz w:val="24"/>
              </w:rPr>
              <w:t>hypothesis</w:t>
            </w:r>
            <w:r>
              <w:rPr>
                <w:spacing w:val="-3"/>
                <w:sz w:val="24"/>
              </w:rPr>
              <w:t> </w:t>
            </w:r>
            <w:r>
              <w:rPr>
                <w:spacing w:val="-5"/>
                <w:sz w:val="24"/>
              </w:rPr>
              <w:t>was</w:t>
            </w:r>
          </w:p>
          <w:p>
            <w:pPr>
              <w:pStyle w:val="TableParagraph"/>
              <w:spacing w:line="274" w:lineRule="exact"/>
              <w:ind w:left="106" w:right="199"/>
              <w:rPr>
                <w:sz w:val="24"/>
              </w:rPr>
            </w:pPr>
            <w:r>
              <w:rPr>
                <w:sz w:val="24"/>
              </w:rPr>
              <w:t>rejected</w:t>
            </w:r>
            <w:r>
              <w:rPr>
                <w:spacing w:val="-13"/>
                <w:sz w:val="24"/>
              </w:rPr>
              <w:t> </w:t>
            </w:r>
            <w:r>
              <w:rPr>
                <w:sz w:val="24"/>
              </w:rPr>
              <w:t>to</w:t>
            </w:r>
            <w:r>
              <w:rPr>
                <w:spacing w:val="-13"/>
                <w:sz w:val="24"/>
              </w:rPr>
              <w:t> </w:t>
            </w:r>
            <w:r>
              <w:rPr>
                <w:sz w:val="24"/>
              </w:rPr>
              <w:t>mean</w:t>
            </w:r>
            <w:r>
              <w:rPr>
                <w:spacing w:val="-13"/>
                <w:sz w:val="24"/>
              </w:rPr>
              <w:t> </w:t>
            </w:r>
            <w:r>
              <w:rPr>
                <w:sz w:val="24"/>
              </w:rPr>
              <w:t>that there was significant</w:t>
            </w:r>
          </w:p>
        </w:tc>
      </w:tr>
    </w:tbl>
    <w:p>
      <w:pPr>
        <w:spacing w:after="0" w:line="274" w:lineRule="exact"/>
        <w:rPr>
          <w:sz w:val="24"/>
        </w:rPr>
        <w:sectPr>
          <w:headerReference w:type="default" r:id="rId489"/>
          <w:footerReference w:type="default" r:id="rId490"/>
          <w:pgSz w:w="15840" w:h="12240" w:orient="landscape"/>
          <w:pgMar w:header="722" w:footer="791" w:top="1340" w:bottom="980" w:left="1220" w:right="1220"/>
        </w:sectPr>
      </w:pPr>
    </w:p>
    <w:p>
      <w:pPr>
        <w:pStyle w:val="BodyText"/>
        <w:spacing w:before="7"/>
        <w:rPr>
          <w:rFonts w:ascii="Arial"/>
          <w:b/>
          <w:sz w:val="7"/>
        </w:rPr>
      </w:pPr>
    </w:p>
    <w:tbl>
      <w:tblPr>
        <w:tblW w:w="0" w:type="auto"/>
        <w:jc w:val="left"/>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8"/>
        <w:gridCol w:w="3855"/>
        <w:gridCol w:w="1964"/>
        <w:gridCol w:w="2142"/>
        <w:gridCol w:w="1628"/>
        <w:gridCol w:w="3058"/>
      </w:tblGrid>
      <w:tr>
        <w:trPr>
          <w:trHeight w:val="1381" w:hRule="atLeast"/>
        </w:trPr>
        <w:tc>
          <w:tcPr>
            <w:tcW w:w="538" w:type="dxa"/>
          </w:tcPr>
          <w:p>
            <w:pPr>
              <w:pStyle w:val="TableParagraph"/>
              <w:rPr>
                <w:rFonts w:ascii="Times New Roman"/>
                <w:sz w:val="24"/>
              </w:rPr>
            </w:pPr>
          </w:p>
        </w:tc>
        <w:tc>
          <w:tcPr>
            <w:tcW w:w="3855" w:type="dxa"/>
          </w:tcPr>
          <w:p>
            <w:pPr>
              <w:pStyle w:val="TableParagraph"/>
              <w:ind w:left="109" w:right="117"/>
              <w:rPr>
                <w:sz w:val="24"/>
              </w:rPr>
            </w:pPr>
            <w:r>
              <w:rPr>
                <w:sz w:val="24"/>
              </w:rPr>
              <w:t>staff in respect of the impact of hostel accommodation on students’</w:t>
            </w:r>
            <w:r>
              <w:rPr>
                <w:spacing w:val="-8"/>
                <w:sz w:val="24"/>
              </w:rPr>
              <w:t> </w:t>
            </w:r>
            <w:r>
              <w:rPr>
                <w:sz w:val="24"/>
              </w:rPr>
              <w:t>welfare</w:t>
            </w:r>
            <w:r>
              <w:rPr>
                <w:spacing w:val="-10"/>
                <w:sz w:val="24"/>
              </w:rPr>
              <w:t> </w:t>
            </w:r>
            <w:r>
              <w:rPr>
                <w:sz w:val="24"/>
              </w:rPr>
              <w:t>in</w:t>
            </w:r>
            <w:r>
              <w:rPr>
                <w:spacing w:val="-7"/>
                <w:sz w:val="24"/>
              </w:rPr>
              <w:t> </w:t>
            </w:r>
            <w:r>
              <w:rPr>
                <w:sz w:val="24"/>
              </w:rPr>
              <w:t>universities</w:t>
            </w:r>
            <w:r>
              <w:rPr>
                <w:spacing w:val="-11"/>
                <w:sz w:val="24"/>
              </w:rPr>
              <w:t> </w:t>
            </w:r>
            <w:r>
              <w:rPr>
                <w:sz w:val="24"/>
              </w:rPr>
              <w:t>in</w:t>
            </w:r>
          </w:p>
          <w:p>
            <w:pPr>
              <w:pStyle w:val="TableParagraph"/>
              <w:spacing w:line="274" w:lineRule="exact"/>
              <w:ind w:left="109" w:right="117"/>
              <w:rPr>
                <w:sz w:val="24"/>
              </w:rPr>
            </w:pPr>
            <w:r>
              <w:rPr>
                <w:sz w:val="24"/>
              </w:rPr>
              <w:t>three</w:t>
            </w:r>
            <w:r>
              <w:rPr>
                <w:spacing w:val="-12"/>
                <w:sz w:val="24"/>
              </w:rPr>
              <w:t> </w:t>
            </w:r>
            <w:r>
              <w:rPr>
                <w:sz w:val="24"/>
              </w:rPr>
              <w:t>geopolitical</w:t>
            </w:r>
            <w:r>
              <w:rPr>
                <w:spacing w:val="-9"/>
                <w:sz w:val="24"/>
              </w:rPr>
              <w:t> </w:t>
            </w:r>
            <w:r>
              <w:rPr>
                <w:sz w:val="24"/>
              </w:rPr>
              <w:t>zones</w:t>
            </w:r>
            <w:r>
              <w:rPr>
                <w:spacing w:val="-16"/>
                <w:sz w:val="24"/>
              </w:rPr>
              <w:t> </w:t>
            </w:r>
            <w:r>
              <w:rPr>
                <w:sz w:val="24"/>
              </w:rPr>
              <w:t>in Northern part of Nigeria.</w:t>
            </w:r>
          </w:p>
        </w:tc>
        <w:tc>
          <w:tcPr>
            <w:tcW w:w="1964" w:type="dxa"/>
          </w:tcPr>
          <w:p>
            <w:pPr>
              <w:pStyle w:val="TableParagraph"/>
              <w:spacing w:line="271" w:lineRule="exact"/>
              <w:ind w:left="104"/>
              <w:rPr>
                <w:sz w:val="24"/>
              </w:rPr>
            </w:pPr>
            <w:r>
              <w:rPr>
                <w:sz w:val="24"/>
              </w:rPr>
              <w:t>Scheffe’s</w:t>
            </w:r>
            <w:r>
              <w:rPr>
                <w:spacing w:val="-4"/>
                <w:sz w:val="24"/>
              </w:rPr>
              <w:t> test</w:t>
            </w:r>
          </w:p>
        </w:tc>
        <w:tc>
          <w:tcPr>
            <w:tcW w:w="2142" w:type="dxa"/>
          </w:tcPr>
          <w:p>
            <w:pPr>
              <w:pStyle w:val="TableParagraph"/>
              <w:spacing w:line="271" w:lineRule="exact"/>
              <w:ind w:left="108"/>
              <w:rPr>
                <w:sz w:val="24"/>
              </w:rPr>
            </w:pPr>
            <w:r>
              <w:rPr>
                <w:spacing w:val="-2"/>
                <w:sz w:val="24"/>
              </w:rPr>
              <w:t>0.0022</w:t>
            </w:r>
          </w:p>
        </w:tc>
        <w:tc>
          <w:tcPr>
            <w:tcW w:w="1628" w:type="dxa"/>
          </w:tcPr>
          <w:p>
            <w:pPr>
              <w:pStyle w:val="TableParagraph"/>
              <w:rPr>
                <w:rFonts w:ascii="Times New Roman"/>
                <w:sz w:val="24"/>
              </w:rPr>
            </w:pPr>
          </w:p>
        </w:tc>
        <w:tc>
          <w:tcPr>
            <w:tcW w:w="3058" w:type="dxa"/>
          </w:tcPr>
          <w:p>
            <w:pPr>
              <w:pStyle w:val="TableParagraph"/>
              <w:spacing w:line="242" w:lineRule="auto"/>
              <w:ind w:left="106" w:right="199"/>
              <w:rPr>
                <w:sz w:val="24"/>
              </w:rPr>
            </w:pPr>
            <w:r>
              <w:rPr>
                <w:sz w:val="24"/>
              </w:rPr>
              <w:t>difference</w:t>
            </w:r>
            <w:r>
              <w:rPr>
                <w:spacing w:val="-13"/>
                <w:sz w:val="24"/>
              </w:rPr>
              <w:t> </w:t>
            </w:r>
            <w:r>
              <w:rPr>
                <w:sz w:val="24"/>
              </w:rPr>
              <w:t>in</w:t>
            </w:r>
            <w:r>
              <w:rPr>
                <w:spacing w:val="-10"/>
                <w:sz w:val="24"/>
              </w:rPr>
              <w:t> </w:t>
            </w:r>
            <w:r>
              <w:rPr>
                <w:sz w:val="24"/>
              </w:rPr>
              <w:t>the</w:t>
            </w:r>
            <w:r>
              <w:rPr>
                <w:spacing w:val="-13"/>
                <w:sz w:val="24"/>
              </w:rPr>
              <w:t> </w:t>
            </w:r>
            <w:r>
              <w:rPr>
                <w:sz w:val="24"/>
              </w:rPr>
              <w:t>opinions of the respondents</w:t>
            </w:r>
          </w:p>
          <w:p>
            <w:pPr>
              <w:pStyle w:val="TableParagraph"/>
              <w:spacing w:before="266"/>
              <w:rPr>
                <w:rFonts w:ascii="Arial"/>
                <w:b/>
                <w:sz w:val="24"/>
              </w:rPr>
            </w:pPr>
          </w:p>
          <w:p>
            <w:pPr>
              <w:pStyle w:val="TableParagraph"/>
              <w:spacing w:line="263" w:lineRule="exact"/>
              <w:ind w:left="106"/>
              <w:rPr>
                <w:sz w:val="24"/>
              </w:rPr>
            </w:pPr>
            <w:r>
              <w:rPr>
                <w:spacing w:val="-10"/>
                <w:sz w:val="24"/>
              </w:rPr>
              <w:t>.</w:t>
            </w:r>
          </w:p>
        </w:tc>
      </w:tr>
      <w:tr>
        <w:trPr>
          <w:trHeight w:val="2207" w:hRule="atLeast"/>
        </w:trPr>
        <w:tc>
          <w:tcPr>
            <w:tcW w:w="538" w:type="dxa"/>
          </w:tcPr>
          <w:p>
            <w:pPr>
              <w:pStyle w:val="TableParagraph"/>
              <w:spacing w:line="271" w:lineRule="exact"/>
              <w:ind w:left="110"/>
              <w:rPr>
                <w:sz w:val="24"/>
              </w:rPr>
            </w:pPr>
            <w:r>
              <w:rPr>
                <w:spacing w:val="-10"/>
                <w:sz w:val="24"/>
              </w:rPr>
              <w:t>9</w:t>
            </w:r>
          </w:p>
        </w:tc>
        <w:tc>
          <w:tcPr>
            <w:tcW w:w="3855" w:type="dxa"/>
          </w:tcPr>
          <w:p>
            <w:pPr>
              <w:pStyle w:val="TableParagraph"/>
              <w:ind w:left="109" w:right="117"/>
              <w:rPr>
                <w:sz w:val="24"/>
              </w:rPr>
            </w:pPr>
            <w:r>
              <w:rPr>
                <w:sz w:val="24"/>
              </w:rPr>
              <w:t>There is no significant difference in</w:t>
            </w:r>
            <w:r>
              <w:rPr>
                <w:spacing w:val="-8"/>
                <w:sz w:val="24"/>
              </w:rPr>
              <w:t> </w:t>
            </w:r>
            <w:r>
              <w:rPr>
                <w:sz w:val="24"/>
              </w:rPr>
              <w:t>the</w:t>
            </w:r>
            <w:r>
              <w:rPr>
                <w:spacing w:val="-8"/>
                <w:sz w:val="24"/>
              </w:rPr>
              <w:t> </w:t>
            </w:r>
            <w:r>
              <w:rPr>
                <w:sz w:val="24"/>
              </w:rPr>
              <w:t>opinions</w:t>
            </w:r>
            <w:r>
              <w:rPr>
                <w:spacing w:val="-8"/>
                <w:sz w:val="24"/>
              </w:rPr>
              <w:t> </w:t>
            </w:r>
            <w:r>
              <w:rPr>
                <w:sz w:val="24"/>
              </w:rPr>
              <w:t>of</w:t>
            </w:r>
            <w:r>
              <w:rPr>
                <w:spacing w:val="-8"/>
                <w:sz w:val="24"/>
              </w:rPr>
              <w:t> </w:t>
            </w:r>
            <w:r>
              <w:rPr>
                <w:sz w:val="24"/>
              </w:rPr>
              <w:t>students</w:t>
            </w:r>
            <w:r>
              <w:rPr>
                <w:spacing w:val="-8"/>
                <w:sz w:val="24"/>
              </w:rPr>
              <w:t> </w:t>
            </w:r>
            <w:r>
              <w:rPr>
                <w:sz w:val="24"/>
              </w:rPr>
              <w:t>service staff and top management staff in respect of the impact of guidance and counseling services on students’ welfare</w:t>
            </w:r>
            <w:r>
              <w:rPr>
                <w:spacing w:val="-1"/>
                <w:sz w:val="24"/>
              </w:rPr>
              <w:t> </w:t>
            </w:r>
            <w:r>
              <w:rPr>
                <w:sz w:val="24"/>
              </w:rPr>
              <w:t>in universities</w:t>
            </w:r>
            <w:r>
              <w:rPr>
                <w:spacing w:val="-2"/>
                <w:sz w:val="24"/>
              </w:rPr>
              <w:t> </w:t>
            </w:r>
            <w:r>
              <w:rPr>
                <w:sz w:val="24"/>
              </w:rPr>
              <w:t>in three geopolitical zones in</w:t>
            </w:r>
          </w:p>
          <w:p>
            <w:pPr>
              <w:pStyle w:val="TableParagraph"/>
              <w:spacing w:line="260" w:lineRule="exact"/>
              <w:ind w:left="109"/>
              <w:rPr>
                <w:sz w:val="24"/>
              </w:rPr>
            </w:pPr>
            <w:r>
              <w:rPr>
                <w:sz w:val="24"/>
              </w:rPr>
              <w:t>Northern</w:t>
            </w:r>
            <w:r>
              <w:rPr>
                <w:spacing w:val="-4"/>
                <w:sz w:val="24"/>
              </w:rPr>
              <w:t> </w:t>
            </w:r>
            <w:r>
              <w:rPr>
                <w:sz w:val="24"/>
              </w:rPr>
              <w:t>part</w:t>
            </w:r>
            <w:r>
              <w:rPr>
                <w:spacing w:val="-3"/>
                <w:sz w:val="24"/>
              </w:rPr>
              <w:t> </w:t>
            </w:r>
            <w:r>
              <w:rPr>
                <w:sz w:val="24"/>
              </w:rPr>
              <w:t>of</w:t>
            </w:r>
            <w:r>
              <w:rPr>
                <w:spacing w:val="1"/>
                <w:sz w:val="24"/>
              </w:rPr>
              <w:t> </w:t>
            </w:r>
            <w:r>
              <w:rPr>
                <w:spacing w:val="-2"/>
                <w:sz w:val="24"/>
              </w:rPr>
              <w:t>Nigeria.</w:t>
            </w:r>
          </w:p>
        </w:tc>
        <w:tc>
          <w:tcPr>
            <w:tcW w:w="1964" w:type="dxa"/>
          </w:tcPr>
          <w:p>
            <w:pPr>
              <w:pStyle w:val="TableParagraph"/>
              <w:spacing w:line="237" w:lineRule="auto"/>
              <w:ind w:left="104" w:right="379"/>
              <w:rPr>
                <w:sz w:val="24"/>
              </w:rPr>
            </w:pPr>
            <w:r>
              <w:rPr>
                <w:sz w:val="24"/>
              </w:rPr>
              <w:t>Analysis</w:t>
            </w:r>
            <w:r>
              <w:rPr>
                <w:spacing w:val="-17"/>
                <w:sz w:val="24"/>
              </w:rPr>
              <w:t> </w:t>
            </w:r>
            <w:r>
              <w:rPr>
                <w:sz w:val="24"/>
              </w:rPr>
              <w:t>of </w:t>
            </w:r>
            <w:r>
              <w:rPr>
                <w:spacing w:val="-2"/>
                <w:sz w:val="24"/>
              </w:rPr>
              <w:t>Variance</w:t>
            </w:r>
          </w:p>
        </w:tc>
        <w:tc>
          <w:tcPr>
            <w:tcW w:w="2142" w:type="dxa"/>
          </w:tcPr>
          <w:p>
            <w:pPr>
              <w:pStyle w:val="TableParagraph"/>
              <w:ind w:left="108"/>
              <w:rPr>
                <w:sz w:val="24"/>
              </w:rPr>
            </w:pPr>
            <w:r>
              <w:rPr>
                <w:sz w:val="24"/>
              </w:rPr>
              <w:t>F.</w:t>
            </w:r>
            <w:r>
              <w:rPr>
                <w:spacing w:val="-11"/>
                <w:sz w:val="24"/>
              </w:rPr>
              <w:t> </w:t>
            </w:r>
            <w:r>
              <w:rPr>
                <w:sz w:val="24"/>
              </w:rPr>
              <w:t>Ratio</w:t>
            </w:r>
            <w:r>
              <w:rPr>
                <w:spacing w:val="-14"/>
                <w:sz w:val="24"/>
              </w:rPr>
              <w:t> </w:t>
            </w:r>
            <w:r>
              <w:rPr>
                <w:sz w:val="24"/>
              </w:rPr>
              <w:t>is</w:t>
            </w:r>
            <w:r>
              <w:rPr>
                <w:spacing w:val="-11"/>
                <w:sz w:val="24"/>
              </w:rPr>
              <w:t> </w:t>
            </w:r>
            <w:r>
              <w:rPr>
                <w:sz w:val="24"/>
              </w:rPr>
              <w:t>1.2413 and computed F probability is </w:t>
            </w:r>
            <w:r>
              <w:rPr>
                <w:spacing w:val="-2"/>
                <w:sz w:val="24"/>
              </w:rPr>
              <w:t>0.2900</w:t>
            </w:r>
          </w:p>
        </w:tc>
        <w:tc>
          <w:tcPr>
            <w:tcW w:w="1628" w:type="dxa"/>
          </w:tcPr>
          <w:p>
            <w:pPr>
              <w:pStyle w:val="TableParagraph"/>
              <w:spacing w:line="271" w:lineRule="exact"/>
              <w:ind w:left="102"/>
              <w:rPr>
                <w:sz w:val="24"/>
              </w:rPr>
            </w:pPr>
            <w:r>
              <w:rPr>
                <w:spacing w:val="-4"/>
                <w:sz w:val="24"/>
              </w:rPr>
              <w:t>0.05</w:t>
            </w:r>
          </w:p>
        </w:tc>
        <w:tc>
          <w:tcPr>
            <w:tcW w:w="3058" w:type="dxa"/>
          </w:tcPr>
          <w:p>
            <w:pPr>
              <w:pStyle w:val="TableParagraph"/>
              <w:ind w:left="106" w:right="199"/>
              <w:rPr>
                <w:sz w:val="24"/>
              </w:rPr>
            </w:pPr>
            <w:r>
              <w:rPr>
                <w:sz w:val="24"/>
              </w:rPr>
              <w:t>The hypothesis was retained to mean that there was no significant difference</w:t>
            </w:r>
            <w:r>
              <w:rPr>
                <w:spacing w:val="-13"/>
                <w:sz w:val="24"/>
              </w:rPr>
              <w:t> </w:t>
            </w:r>
            <w:r>
              <w:rPr>
                <w:sz w:val="24"/>
              </w:rPr>
              <w:t>in</w:t>
            </w:r>
            <w:r>
              <w:rPr>
                <w:spacing w:val="-10"/>
                <w:sz w:val="24"/>
              </w:rPr>
              <w:t> </w:t>
            </w:r>
            <w:r>
              <w:rPr>
                <w:sz w:val="24"/>
              </w:rPr>
              <w:t>the</w:t>
            </w:r>
            <w:r>
              <w:rPr>
                <w:spacing w:val="-13"/>
                <w:sz w:val="24"/>
              </w:rPr>
              <w:t> </w:t>
            </w:r>
            <w:r>
              <w:rPr>
                <w:sz w:val="24"/>
              </w:rPr>
              <w:t>opinions of respondents.</w:t>
            </w:r>
          </w:p>
        </w:tc>
      </w:tr>
      <w:tr>
        <w:trPr>
          <w:trHeight w:val="2759" w:hRule="atLeast"/>
        </w:trPr>
        <w:tc>
          <w:tcPr>
            <w:tcW w:w="538" w:type="dxa"/>
          </w:tcPr>
          <w:p>
            <w:pPr>
              <w:pStyle w:val="TableParagraph"/>
              <w:spacing w:line="271" w:lineRule="exact"/>
              <w:ind w:left="110"/>
              <w:rPr>
                <w:sz w:val="24"/>
              </w:rPr>
            </w:pPr>
            <w:r>
              <w:rPr>
                <w:spacing w:val="-5"/>
                <w:sz w:val="24"/>
              </w:rPr>
              <w:t>10</w:t>
            </w:r>
          </w:p>
        </w:tc>
        <w:tc>
          <w:tcPr>
            <w:tcW w:w="3855" w:type="dxa"/>
          </w:tcPr>
          <w:p>
            <w:pPr>
              <w:pStyle w:val="TableParagraph"/>
              <w:ind w:left="109" w:right="214"/>
              <w:rPr>
                <w:sz w:val="24"/>
              </w:rPr>
            </w:pPr>
            <w:r>
              <w:rPr>
                <w:sz w:val="24"/>
              </w:rPr>
              <w:t>There</w:t>
            </w:r>
            <w:r>
              <w:rPr>
                <w:spacing w:val="-11"/>
                <w:sz w:val="24"/>
              </w:rPr>
              <w:t> </w:t>
            </w:r>
            <w:r>
              <w:rPr>
                <w:sz w:val="24"/>
              </w:rPr>
              <w:t>is</w:t>
            </w:r>
            <w:r>
              <w:rPr>
                <w:spacing w:val="-12"/>
                <w:sz w:val="24"/>
              </w:rPr>
              <w:t> </w:t>
            </w:r>
            <w:r>
              <w:rPr>
                <w:sz w:val="24"/>
              </w:rPr>
              <w:t>no</w:t>
            </w:r>
            <w:r>
              <w:rPr>
                <w:spacing w:val="-7"/>
                <w:sz w:val="24"/>
              </w:rPr>
              <w:t> </w:t>
            </w:r>
            <w:r>
              <w:rPr>
                <w:sz w:val="24"/>
              </w:rPr>
              <w:t>significant</w:t>
            </w:r>
            <w:r>
              <w:rPr>
                <w:spacing w:val="-7"/>
                <w:sz w:val="24"/>
              </w:rPr>
              <w:t> </w:t>
            </w:r>
            <w:r>
              <w:rPr>
                <w:sz w:val="24"/>
              </w:rPr>
              <w:t>difference in the opinions of students, services staff and top management staff in respect of the impact of sports and recreation on students’ welfare service in universities in</w:t>
            </w:r>
            <w:r>
              <w:rPr>
                <w:spacing w:val="40"/>
                <w:sz w:val="24"/>
              </w:rPr>
              <w:t> </w:t>
            </w:r>
            <w:r>
              <w:rPr>
                <w:sz w:val="24"/>
              </w:rPr>
              <w:t>three geopolitical zones in Northern part of Nigeria.</w:t>
            </w:r>
          </w:p>
        </w:tc>
        <w:tc>
          <w:tcPr>
            <w:tcW w:w="1964" w:type="dxa"/>
          </w:tcPr>
          <w:p>
            <w:pPr>
              <w:pStyle w:val="TableParagraph"/>
              <w:ind w:left="104" w:right="379"/>
              <w:rPr>
                <w:sz w:val="24"/>
              </w:rPr>
            </w:pPr>
            <w:r>
              <w:rPr>
                <w:sz w:val="24"/>
              </w:rPr>
              <w:t>Analysis</w:t>
            </w:r>
            <w:r>
              <w:rPr>
                <w:spacing w:val="-17"/>
                <w:sz w:val="24"/>
              </w:rPr>
              <w:t> </w:t>
            </w:r>
            <w:r>
              <w:rPr>
                <w:sz w:val="24"/>
              </w:rPr>
              <w:t>of </w:t>
            </w:r>
            <w:r>
              <w:rPr>
                <w:spacing w:val="-2"/>
                <w:sz w:val="24"/>
              </w:rPr>
              <w:t>Variance (ANOVA)</w:t>
            </w:r>
          </w:p>
        </w:tc>
        <w:tc>
          <w:tcPr>
            <w:tcW w:w="2142" w:type="dxa"/>
          </w:tcPr>
          <w:p>
            <w:pPr>
              <w:pStyle w:val="TableParagraph"/>
              <w:ind w:left="108"/>
              <w:rPr>
                <w:sz w:val="24"/>
              </w:rPr>
            </w:pPr>
            <w:r>
              <w:rPr>
                <w:sz w:val="24"/>
              </w:rPr>
              <w:t>F.</w:t>
            </w:r>
            <w:r>
              <w:rPr>
                <w:spacing w:val="-11"/>
                <w:sz w:val="24"/>
              </w:rPr>
              <w:t> </w:t>
            </w:r>
            <w:r>
              <w:rPr>
                <w:sz w:val="24"/>
              </w:rPr>
              <w:t>Ratio</w:t>
            </w:r>
            <w:r>
              <w:rPr>
                <w:spacing w:val="-14"/>
                <w:sz w:val="24"/>
              </w:rPr>
              <w:t> </w:t>
            </w:r>
            <w:r>
              <w:rPr>
                <w:sz w:val="24"/>
              </w:rPr>
              <w:t>is</w:t>
            </w:r>
            <w:r>
              <w:rPr>
                <w:spacing w:val="-11"/>
                <w:sz w:val="24"/>
              </w:rPr>
              <w:t> </w:t>
            </w:r>
            <w:r>
              <w:rPr>
                <w:sz w:val="24"/>
              </w:rPr>
              <w:t>0.6085 and computed F Probability is </w:t>
            </w:r>
            <w:r>
              <w:rPr>
                <w:spacing w:val="-2"/>
                <w:sz w:val="24"/>
              </w:rPr>
              <w:t>0.5446</w:t>
            </w:r>
          </w:p>
        </w:tc>
        <w:tc>
          <w:tcPr>
            <w:tcW w:w="1628" w:type="dxa"/>
          </w:tcPr>
          <w:p>
            <w:pPr>
              <w:pStyle w:val="TableParagraph"/>
              <w:spacing w:line="271" w:lineRule="exact"/>
              <w:ind w:left="102"/>
              <w:rPr>
                <w:sz w:val="24"/>
              </w:rPr>
            </w:pPr>
            <w:r>
              <w:rPr>
                <w:spacing w:val="-4"/>
                <w:sz w:val="24"/>
              </w:rPr>
              <w:t>0.05</w:t>
            </w:r>
          </w:p>
        </w:tc>
        <w:tc>
          <w:tcPr>
            <w:tcW w:w="3058" w:type="dxa"/>
          </w:tcPr>
          <w:p>
            <w:pPr>
              <w:pStyle w:val="TableParagraph"/>
              <w:ind w:left="106" w:right="199"/>
              <w:rPr>
                <w:sz w:val="24"/>
              </w:rPr>
            </w:pPr>
            <w:r>
              <w:rPr>
                <w:sz w:val="24"/>
              </w:rPr>
              <w:t>The hypothesis was retained to mean that there was no significant difference</w:t>
            </w:r>
            <w:r>
              <w:rPr>
                <w:spacing w:val="-13"/>
                <w:sz w:val="24"/>
              </w:rPr>
              <w:t> </w:t>
            </w:r>
            <w:r>
              <w:rPr>
                <w:sz w:val="24"/>
              </w:rPr>
              <w:t>in</w:t>
            </w:r>
            <w:r>
              <w:rPr>
                <w:spacing w:val="-10"/>
                <w:sz w:val="24"/>
              </w:rPr>
              <w:t> </w:t>
            </w:r>
            <w:r>
              <w:rPr>
                <w:sz w:val="24"/>
              </w:rPr>
              <w:t>the</w:t>
            </w:r>
            <w:r>
              <w:rPr>
                <w:spacing w:val="-13"/>
                <w:sz w:val="24"/>
              </w:rPr>
              <w:t> </w:t>
            </w:r>
            <w:r>
              <w:rPr>
                <w:sz w:val="24"/>
              </w:rPr>
              <w:t>opinions of respondents.</w:t>
            </w:r>
          </w:p>
        </w:tc>
      </w:tr>
      <w:tr>
        <w:trPr>
          <w:trHeight w:val="2759" w:hRule="atLeast"/>
        </w:trPr>
        <w:tc>
          <w:tcPr>
            <w:tcW w:w="538" w:type="dxa"/>
          </w:tcPr>
          <w:p>
            <w:pPr>
              <w:pStyle w:val="TableParagraph"/>
              <w:spacing w:line="271" w:lineRule="exact"/>
              <w:ind w:left="110"/>
              <w:rPr>
                <w:sz w:val="24"/>
              </w:rPr>
            </w:pPr>
            <w:r>
              <w:rPr>
                <w:spacing w:val="-5"/>
                <w:sz w:val="24"/>
              </w:rPr>
              <w:t>11</w:t>
            </w:r>
          </w:p>
        </w:tc>
        <w:tc>
          <w:tcPr>
            <w:tcW w:w="3855" w:type="dxa"/>
          </w:tcPr>
          <w:p>
            <w:pPr>
              <w:pStyle w:val="TableParagraph"/>
              <w:ind w:left="109" w:right="122"/>
              <w:rPr>
                <w:sz w:val="24"/>
              </w:rPr>
            </w:pPr>
            <w:r>
              <w:rPr>
                <w:sz w:val="24"/>
              </w:rPr>
              <w:t>There is no significant difference in the opinions of students, service</w:t>
            </w:r>
            <w:r>
              <w:rPr>
                <w:spacing w:val="-10"/>
                <w:sz w:val="24"/>
              </w:rPr>
              <w:t> </w:t>
            </w:r>
            <w:r>
              <w:rPr>
                <w:sz w:val="24"/>
              </w:rPr>
              <w:t>staff</w:t>
            </w:r>
            <w:r>
              <w:rPr>
                <w:spacing w:val="-13"/>
                <w:sz w:val="24"/>
              </w:rPr>
              <w:t> </w:t>
            </w:r>
            <w:r>
              <w:rPr>
                <w:sz w:val="24"/>
              </w:rPr>
              <w:t>and</w:t>
            </w:r>
            <w:r>
              <w:rPr>
                <w:spacing w:val="-10"/>
                <w:sz w:val="24"/>
              </w:rPr>
              <w:t> </w:t>
            </w:r>
            <w:r>
              <w:rPr>
                <w:sz w:val="24"/>
              </w:rPr>
              <w:t>top</w:t>
            </w:r>
            <w:r>
              <w:rPr>
                <w:spacing w:val="-10"/>
                <w:sz w:val="24"/>
              </w:rPr>
              <w:t> </w:t>
            </w:r>
            <w:r>
              <w:rPr>
                <w:sz w:val="24"/>
              </w:rPr>
              <w:t>management staff in respect of the impact of security and communication services on students’ welfare services in universities in</w:t>
            </w:r>
            <w:r>
              <w:rPr>
                <w:spacing w:val="40"/>
                <w:sz w:val="24"/>
              </w:rPr>
              <w:t> </w:t>
            </w:r>
            <w:r>
              <w:rPr>
                <w:sz w:val="24"/>
              </w:rPr>
              <w:t>three geopolitical zones in</w:t>
            </w:r>
            <w:r>
              <w:rPr>
                <w:spacing w:val="40"/>
                <w:sz w:val="24"/>
              </w:rPr>
              <w:t> </w:t>
            </w:r>
            <w:r>
              <w:rPr>
                <w:sz w:val="24"/>
              </w:rPr>
              <w:t>Northern part of Nigeria.</w:t>
            </w:r>
          </w:p>
        </w:tc>
        <w:tc>
          <w:tcPr>
            <w:tcW w:w="1964" w:type="dxa"/>
          </w:tcPr>
          <w:p>
            <w:pPr>
              <w:pStyle w:val="TableParagraph"/>
              <w:ind w:left="104" w:right="379"/>
              <w:rPr>
                <w:sz w:val="24"/>
              </w:rPr>
            </w:pPr>
            <w:r>
              <w:rPr>
                <w:sz w:val="24"/>
              </w:rPr>
              <w:t>Analysis of </w:t>
            </w:r>
            <w:r>
              <w:rPr>
                <w:spacing w:val="-2"/>
                <w:sz w:val="24"/>
              </w:rPr>
              <w:t>Variance </w:t>
            </w:r>
            <w:r>
              <w:rPr>
                <w:sz w:val="24"/>
              </w:rPr>
              <w:t>(ANOVA)</w:t>
            </w:r>
            <w:r>
              <w:rPr>
                <w:spacing w:val="-17"/>
                <w:sz w:val="24"/>
              </w:rPr>
              <w:t> </w:t>
            </w:r>
            <w:r>
              <w:rPr>
                <w:sz w:val="24"/>
              </w:rPr>
              <w:t>and Scheffe’s</w:t>
            </w:r>
            <w:r>
              <w:rPr>
                <w:spacing w:val="-4"/>
                <w:sz w:val="24"/>
              </w:rPr>
              <w:t> test</w:t>
            </w:r>
          </w:p>
        </w:tc>
        <w:tc>
          <w:tcPr>
            <w:tcW w:w="2142" w:type="dxa"/>
          </w:tcPr>
          <w:p>
            <w:pPr>
              <w:pStyle w:val="TableParagraph"/>
              <w:ind w:left="108"/>
              <w:rPr>
                <w:sz w:val="24"/>
              </w:rPr>
            </w:pPr>
            <w:r>
              <w:rPr>
                <w:sz w:val="24"/>
              </w:rPr>
              <w:t>F.</w:t>
            </w:r>
            <w:r>
              <w:rPr>
                <w:spacing w:val="-11"/>
                <w:sz w:val="24"/>
              </w:rPr>
              <w:t> </w:t>
            </w:r>
            <w:r>
              <w:rPr>
                <w:sz w:val="24"/>
              </w:rPr>
              <w:t>Ratio</w:t>
            </w:r>
            <w:r>
              <w:rPr>
                <w:spacing w:val="-14"/>
                <w:sz w:val="24"/>
              </w:rPr>
              <w:t> </w:t>
            </w:r>
            <w:r>
              <w:rPr>
                <w:sz w:val="24"/>
              </w:rPr>
              <w:t>is</w:t>
            </w:r>
            <w:r>
              <w:rPr>
                <w:spacing w:val="-11"/>
                <w:sz w:val="24"/>
              </w:rPr>
              <w:t> </w:t>
            </w:r>
            <w:r>
              <w:rPr>
                <w:sz w:val="24"/>
              </w:rPr>
              <w:t>3.3639 and computed F. Probability is </w:t>
            </w:r>
            <w:r>
              <w:rPr>
                <w:spacing w:val="-2"/>
                <w:sz w:val="24"/>
              </w:rPr>
              <w:t>0.0355</w:t>
            </w:r>
          </w:p>
        </w:tc>
        <w:tc>
          <w:tcPr>
            <w:tcW w:w="1628" w:type="dxa"/>
          </w:tcPr>
          <w:p>
            <w:pPr>
              <w:pStyle w:val="TableParagraph"/>
              <w:spacing w:line="271" w:lineRule="exact"/>
              <w:ind w:left="102"/>
              <w:rPr>
                <w:sz w:val="24"/>
              </w:rPr>
            </w:pPr>
            <w:r>
              <w:rPr>
                <w:spacing w:val="-4"/>
                <w:sz w:val="24"/>
              </w:rPr>
              <w:t>0.05</w:t>
            </w:r>
          </w:p>
        </w:tc>
        <w:tc>
          <w:tcPr>
            <w:tcW w:w="3058" w:type="dxa"/>
          </w:tcPr>
          <w:p>
            <w:pPr>
              <w:pStyle w:val="TableParagraph"/>
              <w:ind w:left="106" w:right="199"/>
              <w:rPr>
                <w:sz w:val="24"/>
              </w:rPr>
            </w:pPr>
            <w:r>
              <w:rPr>
                <w:sz w:val="24"/>
              </w:rPr>
              <w:t>The hypothesis was rejected to mean that there was significant difference</w:t>
            </w:r>
            <w:r>
              <w:rPr>
                <w:spacing w:val="-13"/>
                <w:sz w:val="24"/>
              </w:rPr>
              <w:t> </w:t>
            </w:r>
            <w:r>
              <w:rPr>
                <w:sz w:val="24"/>
              </w:rPr>
              <w:t>in</w:t>
            </w:r>
            <w:r>
              <w:rPr>
                <w:spacing w:val="-10"/>
                <w:sz w:val="24"/>
              </w:rPr>
              <w:t> </w:t>
            </w:r>
            <w:r>
              <w:rPr>
                <w:sz w:val="24"/>
              </w:rPr>
              <w:t>the</w:t>
            </w:r>
            <w:r>
              <w:rPr>
                <w:spacing w:val="-13"/>
                <w:sz w:val="24"/>
              </w:rPr>
              <w:t> </w:t>
            </w:r>
            <w:r>
              <w:rPr>
                <w:sz w:val="24"/>
              </w:rPr>
              <w:t>opinions of respondents.</w:t>
            </w:r>
          </w:p>
        </w:tc>
      </w:tr>
    </w:tbl>
    <w:p>
      <w:pPr>
        <w:spacing w:after="0"/>
        <w:rPr>
          <w:sz w:val="24"/>
        </w:rPr>
        <w:sectPr>
          <w:headerReference w:type="default" r:id="rId491"/>
          <w:footerReference w:type="default" r:id="rId492"/>
          <w:pgSz w:w="15840" w:h="12240" w:orient="landscape"/>
          <w:pgMar w:header="722" w:footer="791" w:top="1340" w:bottom="980" w:left="1220" w:right="1220"/>
        </w:sectPr>
      </w:pPr>
    </w:p>
    <w:p>
      <w:pPr>
        <w:pStyle w:val="BodyText"/>
        <w:spacing w:before="7"/>
        <w:rPr>
          <w:rFonts w:ascii="Arial"/>
          <w:b/>
          <w:sz w:val="7"/>
        </w:rPr>
      </w:pPr>
    </w:p>
    <w:tbl>
      <w:tblPr>
        <w:tblW w:w="0" w:type="auto"/>
        <w:jc w:val="left"/>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8"/>
        <w:gridCol w:w="3855"/>
        <w:gridCol w:w="1964"/>
        <w:gridCol w:w="2142"/>
        <w:gridCol w:w="1628"/>
        <w:gridCol w:w="3058"/>
      </w:tblGrid>
      <w:tr>
        <w:trPr>
          <w:trHeight w:val="2207" w:hRule="atLeast"/>
        </w:trPr>
        <w:tc>
          <w:tcPr>
            <w:tcW w:w="538" w:type="dxa"/>
          </w:tcPr>
          <w:p>
            <w:pPr>
              <w:pStyle w:val="TableParagraph"/>
              <w:spacing w:line="271" w:lineRule="exact"/>
              <w:ind w:right="37"/>
              <w:jc w:val="center"/>
              <w:rPr>
                <w:sz w:val="24"/>
              </w:rPr>
            </w:pPr>
            <w:r>
              <w:rPr>
                <w:spacing w:val="-5"/>
                <w:sz w:val="24"/>
              </w:rPr>
              <w:t>12</w:t>
            </w:r>
          </w:p>
        </w:tc>
        <w:tc>
          <w:tcPr>
            <w:tcW w:w="3855" w:type="dxa"/>
          </w:tcPr>
          <w:p>
            <w:pPr>
              <w:pStyle w:val="TableParagraph"/>
              <w:ind w:left="109" w:right="122"/>
              <w:rPr>
                <w:sz w:val="24"/>
              </w:rPr>
            </w:pPr>
            <w:r>
              <w:rPr>
                <w:sz w:val="24"/>
              </w:rPr>
              <w:t>There is no significant difference in the opinions of students, service</w:t>
            </w:r>
            <w:r>
              <w:rPr>
                <w:spacing w:val="-10"/>
                <w:sz w:val="24"/>
              </w:rPr>
              <w:t> </w:t>
            </w:r>
            <w:r>
              <w:rPr>
                <w:sz w:val="24"/>
              </w:rPr>
              <w:t>staff</w:t>
            </w:r>
            <w:r>
              <w:rPr>
                <w:spacing w:val="-13"/>
                <w:sz w:val="24"/>
              </w:rPr>
              <w:t> </w:t>
            </w:r>
            <w:r>
              <w:rPr>
                <w:sz w:val="24"/>
              </w:rPr>
              <w:t>and</w:t>
            </w:r>
            <w:r>
              <w:rPr>
                <w:spacing w:val="-10"/>
                <w:sz w:val="24"/>
              </w:rPr>
              <w:t> </w:t>
            </w:r>
            <w:r>
              <w:rPr>
                <w:sz w:val="24"/>
              </w:rPr>
              <w:t>top</w:t>
            </w:r>
            <w:r>
              <w:rPr>
                <w:spacing w:val="-10"/>
                <w:sz w:val="24"/>
              </w:rPr>
              <w:t> </w:t>
            </w:r>
            <w:r>
              <w:rPr>
                <w:sz w:val="24"/>
              </w:rPr>
              <w:t>management staff in respect of the impact of transportation services on students’ welfare services in universities in three geopolitical</w:t>
            </w:r>
          </w:p>
          <w:p>
            <w:pPr>
              <w:pStyle w:val="TableParagraph"/>
              <w:spacing w:line="258" w:lineRule="exact"/>
              <w:ind w:left="109"/>
              <w:rPr>
                <w:sz w:val="24"/>
              </w:rPr>
            </w:pPr>
            <w:r>
              <w:rPr>
                <w:sz w:val="24"/>
              </w:rPr>
              <w:t>zones</w:t>
            </w:r>
            <w:r>
              <w:rPr>
                <w:spacing w:val="-5"/>
                <w:sz w:val="24"/>
              </w:rPr>
              <w:t> </w:t>
            </w:r>
            <w:r>
              <w:rPr>
                <w:sz w:val="24"/>
              </w:rPr>
              <w:t>in Northern</w:t>
            </w:r>
            <w:r>
              <w:rPr>
                <w:spacing w:val="-4"/>
                <w:sz w:val="24"/>
              </w:rPr>
              <w:t> </w:t>
            </w:r>
            <w:r>
              <w:rPr>
                <w:sz w:val="24"/>
              </w:rPr>
              <w:t>part</w:t>
            </w:r>
            <w:r>
              <w:rPr>
                <w:spacing w:val="-4"/>
                <w:sz w:val="24"/>
              </w:rPr>
              <w:t> </w:t>
            </w:r>
            <w:r>
              <w:rPr>
                <w:sz w:val="24"/>
              </w:rPr>
              <w:t>of </w:t>
            </w:r>
            <w:r>
              <w:rPr>
                <w:spacing w:val="-2"/>
                <w:sz w:val="24"/>
              </w:rPr>
              <w:t>Nigeria.</w:t>
            </w:r>
          </w:p>
        </w:tc>
        <w:tc>
          <w:tcPr>
            <w:tcW w:w="1964" w:type="dxa"/>
          </w:tcPr>
          <w:p>
            <w:pPr>
              <w:pStyle w:val="TableParagraph"/>
              <w:ind w:left="104" w:right="379"/>
              <w:rPr>
                <w:sz w:val="24"/>
              </w:rPr>
            </w:pPr>
            <w:r>
              <w:rPr>
                <w:sz w:val="24"/>
              </w:rPr>
              <w:t>Analysis</w:t>
            </w:r>
            <w:r>
              <w:rPr>
                <w:spacing w:val="-17"/>
                <w:sz w:val="24"/>
              </w:rPr>
              <w:t> </w:t>
            </w:r>
            <w:r>
              <w:rPr>
                <w:sz w:val="24"/>
              </w:rPr>
              <w:t>of </w:t>
            </w:r>
            <w:r>
              <w:rPr>
                <w:spacing w:val="-2"/>
                <w:sz w:val="24"/>
              </w:rPr>
              <w:t>Variance (ANOVA)</w:t>
            </w:r>
          </w:p>
        </w:tc>
        <w:tc>
          <w:tcPr>
            <w:tcW w:w="2142" w:type="dxa"/>
          </w:tcPr>
          <w:p>
            <w:pPr>
              <w:pStyle w:val="TableParagraph"/>
              <w:ind w:left="108"/>
              <w:rPr>
                <w:sz w:val="24"/>
              </w:rPr>
            </w:pPr>
            <w:r>
              <w:rPr>
                <w:sz w:val="24"/>
              </w:rPr>
              <w:t>F.</w:t>
            </w:r>
            <w:r>
              <w:rPr>
                <w:spacing w:val="-11"/>
                <w:sz w:val="24"/>
              </w:rPr>
              <w:t> </w:t>
            </w:r>
            <w:r>
              <w:rPr>
                <w:sz w:val="24"/>
              </w:rPr>
              <w:t>Ratio</w:t>
            </w:r>
            <w:r>
              <w:rPr>
                <w:spacing w:val="-14"/>
                <w:sz w:val="24"/>
              </w:rPr>
              <w:t> </w:t>
            </w:r>
            <w:r>
              <w:rPr>
                <w:sz w:val="24"/>
              </w:rPr>
              <w:t>is</w:t>
            </w:r>
            <w:r>
              <w:rPr>
                <w:spacing w:val="-11"/>
                <w:sz w:val="24"/>
              </w:rPr>
              <w:t> </w:t>
            </w:r>
            <w:r>
              <w:rPr>
                <w:sz w:val="24"/>
              </w:rPr>
              <w:t>1.6431 and computed F. Probability is </w:t>
            </w:r>
            <w:r>
              <w:rPr>
                <w:spacing w:val="-2"/>
                <w:sz w:val="24"/>
              </w:rPr>
              <w:t>0.1945</w:t>
            </w:r>
          </w:p>
        </w:tc>
        <w:tc>
          <w:tcPr>
            <w:tcW w:w="1628" w:type="dxa"/>
          </w:tcPr>
          <w:p>
            <w:pPr>
              <w:pStyle w:val="TableParagraph"/>
              <w:spacing w:line="271" w:lineRule="exact"/>
              <w:ind w:left="102"/>
              <w:rPr>
                <w:sz w:val="24"/>
              </w:rPr>
            </w:pPr>
            <w:r>
              <w:rPr>
                <w:spacing w:val="-4"/>
                <w:sz w:val="24"/>
              </w:rPr>
              <w:t>0.05</w:t>
            </w:r>
          </w:p>
        </w:tc>
        <w:tc>
          <w:tcPr>
            <w:tcW w:w="3058" w:type="dxa"/>
          </w:tcPr>
          <w:p>
            <w:pPr>
              <w:pStyle w:val="TableParagraph"/>
              <w:ind w:left="106" w:right="199"/>
              <w:rPr>
                <w:sz w:val="24"/>
              </w:rPr>
            </w:pPr>
            <w:r>
              <w:rPr>
                <w:sz w:val="24"/>
              </w:rPr>
              <w:t>The hypothesis was retained to mean that there was no significant difference</w:t>
            </w:r>
            <w:r>
              <w:rPr>
                <w:spacing w:val="-13"/>
                <w:sz w:val="24"/>
              </w:rPr>
              <w:t> </w:t>
            </w:r>
            <w:r>
              <w:rPr>
                <w:sz w:val="24"/>
              </w:rPr>
              <w:t>in</w:t>
            </w:r>
            <w:r>
              <w:rPr>
                <w:spacing w:val="-10"/>
                <w:sz w:val="24"/>
              </w:rPr>
              <w:t> </w:t>
            </w:r>
            <w:r>
              <w:rPr>
                <w:sz w:val="24"/>
              </w:rPr>
              <w:t>the</w:t>
            </w:r>
            <w:r>
              <w:rPr>
                <w:spacing w:val="-13"/>
                <w:sz w:val="24"/>
              </w:rPr>
              <w:t> </w:t>
            </w:r>
            <w:r>
              <w:rPr>
                <w:sz w:val="24"/>
              </w:rPr>
              <w:t>opinions of the respondents.</w:t>
            </w:r>
          </w:p>
        </w:tc>
      </w:tr>
      <w:tr>
        <w:trPr>
          <w:trHeight w:val="2207" w:hRule="atLeast"/>
        </w:trPr>
        <w:tc>
          <w:tcPr>
            <w:tcW w:w="538" w:type="dxa"/>
          </w:tcPr>
          <w:p>
            <w:pPr>
              <w:pStyle w:val="TableParagraph"/>
              <w:spacing w:line="271" w:lineRule="exact"/>
              <w:ind w:right="37"/>
              <w:jc w:val="center"/>
              <w:rPr>
                <w:sz w:val="24"/>
              </w:rPr>
            </w:pPr>
            <w:r>
              <w:rPr>
                <w:spacing w:val="-5"/>
                <w:sz w:val="24"/>
              </w:rPr>
              <w:t>13</w:t>
            </w:r>
          </w:p>
        </w:tc>
        <w:tc>
          <w:tcPr>
            <w:tcW w:w="3855" w:type="dxa"/>
          </w:tcPr>
          <w:p>
            <w:pPr>
              <w:pStyle w:val="TableParagraph"/>
              <w:ind w:left="109" w:right="122"/>
              <w:rPr>
                <w:sz w:val="24"/>
              </w:rPr>
            </w:pPr>
            <w:r>
              <w:rPr>
                <w:sz w:val="24"/>
              </w:rPr>
              <w:t>There is no significant difference in the opinions of students, service</w:t>
            </w:r>
            <w:r>
              <w:rPr>
                <w:spacing w:val="-10"/>
                <w:sz w:val="24"/>
              </w:rPr>
              <w:t> </w:t>
            </w:r>
            <w:r>
              <w:rPr>
                <w:sz w:val="24"/>
              </w:rPr>
              <w:t>staff</w:t>
            </w:r>
            <w:r>
              <w:rPr>
                <w:spacing w:val="-13"/>
                <w:sz w:val="24"/>
              </w:rPr>
              <w:t> </w:t>
            </w:r>
            <w:r>
              <w:rPr>
                <w:sz w:val="24"/>
              </w:rPr>
              <w:t>and</w:t>
            </w:r>
            <w:r>
              <w:rPr>
                <w:spacing w:val="-10"/>
                <w:sz w:val="24"/>
              </w:rPr>
              <w:t> </w:t>
            </w:r>
            <w:r>
              <w:rPr>
                <w:sz w:val="24"/>
              </w:rPr>
              <w:t>top</w:t>
            </w:r>
            <w:r>
              <w:rPr>
                <w:spacing w:val="-10"/>
                <w:sz w:val="24"/>
              </w:rPr>
              <w:t> </w:t>
            </w:r>
            <w:r>
              <w:rPr>
                <w:sz w:val="24"/>
              </w:rPr>
              <w:t>management staff in respect of the impact of religious services on students’ welfare services in universities in</w:t>
            </w:r>
          </w:p>
          <w:p>
            <w:pPr>
              <w:pStyle w:val="TableParagraph"/>
              <w:spacing w:line="278" w:lineRule="exact"/>
              <w:ind w:left="109" w:right="117"/>
              <w:rPr>
                <w:sz w:val="24"/>
              </w:rPr>
            </w:pPr>
            <w:r>
              <w:rPr>
                <w:sz w:val="24"/>
              </w:rPr>
              <w:t>three</w:t>
            </w:r>
            <w:r>
              <w:rPr>
                <w:spacing w:val="-12"/>
                <w:sz w:val="24"/>
              </w:rPr>
              <w:t> </w:t>
            </w:r>
            <w:r>
              <w:rPr>
                <w:sz w:val="24"/>
              </w:rPr>
              <w:t>geopolitical</w:t>
            </w:r>
            <w:r>
              <w:rPr>
                <w:spacing w:val="-9"/>
                <w:sz w:val="24"/>
              </w:rPr>
              <w:t> </w:t>
            </w:r>
            <w:r>
              <w:rPr>
                <w:sz w:val="24"/>
              </w:rPr>
              <w:t>zones</w:t>
            </w:r>
            <w:r>
              <w:rPr>
                <w:spacing w:val="-16"/>
                <w:sz w:val="24"/>
              </w:rPr>
              <w:t> </w:t>
            </w:r>
            <w:r>
              <w:rPr>
                <w:sz w:val="24"/>
              </w:rPr>
              <w:t>in Northern part of Nigeria.</w:t>
            </w:r>
          </w:p>
        </w:tc>
        <w:tc>
          <w:tcPr>
            <w:tcW w:w="1964" w:type="dxa"/>
          </w:tcPr>
          <w:p>
            <w:pPr>
              <w:pStyle w:val="TableParagraph"/>
              <w:ind w:left="104" w:right="379"/>
              <w:rPr>
                <w:sz w:val="24"/>
              </w:rPr>
            </w:pPr>
            <w:r>
              <w:rPr>
                <w:sz w:val="24"/>
              </w:rPr>
              <w:t>Analysis of </w:t>
            </w:r>
            <w:r>
              <w:rPr>
                <w:spacing w:val="-2"/>
                <w:sz w:val="24"/>
              </w:rPr>
              <w:t>Variance </w:t>
            </w:r>
            <w:r>
              <w:rPr>
                <w:sz w:val="24"/>
              </w:rPr>
              <w:t>(ANOVA)</w:t>
            </w:r>
            <w:r>
              <w:rPr>
                <w:spacing w:val="-17"/>
                <w:sz w:val="24"/>
              </w:rPr>
              <w:t> </w:t>
            </w:r>
            <w:r>
              <w:rPr>
                <w:sz w:val="24"/>
              </w:rPr>
              <w:t>and Scheffe’s</w:t>
            </w:r>
            <w:r>
              <w:rPr>
                <w:spacing w:val="-4"/>
                <w:sz w:val="24"/>
              </w:rPr>
              <w:t> test</w:t>
            </w:r>
          </w:p>
        </w:tc>
        <w:tc>
          <w:tcPr>
            <w:tcW w:w="2142" w:type="dxa"/>
          </w:tcPr>
          <w:p>
            <w:pPr>
              <w:pStyle w:val="TableParagraph"/>
              <w:ind w:left="108"/>
              <w:rPr>
                <w:sz w:val="24"/>
              </w:rPr>
            </w:pPr>
            <w:r>
              <w:rPr>
                <w:sz w:val="24"/>
              </w:rPr>
              <w:t>F.</w:t>
            </w:r>
            <w:r>
              <w:rPr>
                <w:spacing w:val="-10"/>
                <w:sz w:val="24"/>
              </w:rPr>
              <w:t> </w:t>
            </w:r>
            <w:r>
              <w:rPr>
                <w:sz w:val="24"/>
              </w:rPr>
              <w:t>Ratio</w:t>
            </w:r>
            <w:r>
              <w:rPr>
                <w:spacing w:val="-14"/>
                <w:sz w:val="24"/>
              </w:rPr>
              <w:t> </w:t>
            </w:r>
            <w:r>
              <w:rPr>
                <w:sz w:val="24"/>
              </w:rPr>
              <w:t>is</w:t>
            </w:r>
            <w:r>
              <w:rPr>
                <w:spacing w:val="-10"/>
                <w:sz w:val="24"/>
              </w:rPr>
              <w:t> </w:t>
            </w:r>
            <w:r>
              <w:rPr>
                <w:sz w:val="24"/>
              </w:rPr>
              <w:t>7.2968 and computed F Probability is </w:t>
            </w:r>
            <w:r>
              <w:rPr>
                <w:spacing w:val="-2"/>
                <w:sz w:val="24"/>
              </w:rPr>
              <w:t>0.0008</w:t>
            </w:r>
          </w:p>
        </w:tc>
        <w:tc>
          <w:tcPr>
            <w:tcW w:w="1628" w:type="dxa"/>
          </w:tcPr>
          <w:p>
            <w:pPr>
              <w:pStyle w:val="TableParagraph"/>
              <w:spacing w:line="271" w:lineRule="exact"/>
              <w:ind w:left="102"/>
              <w:rPr>
                <w:sz w:val="24"/>
              </w:rPr>
            </w:pPr>
            <w:r>
              <w:rPr>
                <w:spacing w:val="-4"/>
                <w:sz w:val="24"/>
              </w:rPr>
              <w:t>0.05</w:t>
            </w:r>
          </w:p>
        </w:tc>
        <w:tc>
          <w:tcPr>
            <w:tcW w:w="3058" w:type="dxa"/>
          </w:tcPr>
          <w:p>
            <w:pPr>
              <w:pStyle w:val="TableParagraph"/>
              <w:ind w:left="106" w:right="199"/>
              <w:rPr>
                <w:sz w:val="24"/>
              </w:rPr>
            </w:pPr>
            <w:r>
              <w:rPr>
                <w:sz w:val="24"/>
              </w:rPr>
              <w:t>The hypothesis was rejected to mean that there was significant difference</w:t>
            </w:r>
            <w:r>
              <w:rPr>
                <w:spacing w:val="-13"/>
                <w:sz w:val="24"/>
              </w:rPr>
              <w:t> </w:t>
            </w:r>
            <w:r>
              <w:rPr>
                <w:sz w:val="24"/>
              </w:rPr>
              <w:t>in</w:t>
            </w:r>
            <w:r>
              <w:rPr>
                <w:spacing w:val="-10"/>
                <w:sz w:val="24"/>
              </w:rPr>
              <w:t> </w:t>
            </w:r>
            <w:r>
              <w:rPr>
                <w:sz w:val="24"/>
              </w:rPr>
              <w:t>the</w:t>
            </w:r>
            <w:r>
              <w:rPr>
                <w:spacing w:val="-13"/>
                <w:sz w:val="24"/>
              </w:rPr>
              <w:t> </w:t>
            </w:r>
            <w:r>
              <w:rPr>
                <w:sz w:val="24"/>
              </w:rPr>
              <w:t>opinions of the respondents</w:t>
            </w:r>
          </w:p>
        </w:tc>
      </w:tr>
      <w:tr>
        <w:trPr>
          <w:trHeight w:val="2203" w:hRule="atLeast"/>
        </w:trPr>
        <w:tc>
          <w:tcPr>
            <w:tcW w:w="538" w:type="dxa"/>
          </w:tcPr>
          <w:p>
            <w:pPr>
              <w:pStyle w:val="TableParagraph"/>
              <w:spacing w:line="267" w:lineRule="exact"/>
              <w:ind w:right="37"/>
              <w:jc w:val="center"/>
              <w:rPr>
                <w:sz w:val="24"/>
              </w:rPr>
            </w:pPr>
            <w:r>
              <w:rPr>
                <w:spacing w:val="-5"/>
                <w:sz w:val="24"/>
              </w:rPr>
              <w:t>14</w:t>
            </w:r>
          </w:p>
        </w:tc>
        <w:tc>
          <w:tcPr>
            <w:tcW w:w="3855" w:type="dxa"/>
          </w:tcPr>
          <w:p>
            <w:pPr>
              <w:pStyle w:val="TableParagraph"/>
              <w:ind w:left="109" w:right="127"/>
              <w:rPr>
                <w:sz w:val="24"/>
              </w:rPr>
            </w:pPr>
            <w:r>
              <w:rPr>
                <w:sz w:val="24"/>
              </w:rPr>
              <w:t>There is no significant difference in the opinions of students, service</w:t>
            </w:r>
            <w:r>
              <w:rPr>
                <w:spacing w:val="-10"/>
                <w:sz w:val="24"/>
              </w:rPr>
              <w:t> </w:t>
            </w:r>
            <w:r>
              <w:rPr>
                <w:sz w:val="24"/>
              </w:rPr>
              <w:t>staff</w:t>
            </w:r>
            <w:r>
              <w:rPr>
                <w:spacing w:val="-13"/>
                <w:sz w:val="24"/>
              </w:rPr>
              <w:t> </w:t>
            </w:r>
            <w:r>
              <w:rPr>
                <w:sz w:val="24"/>
              </w:rPr>
              <w:t>and</w:t>
            </w:r>
            <w:r>
              <w:rPr>
                <w:spacing w:val="-10"/>
                <w:sz w:val="24"/>
              </w:rPr>
              <w:t> </w:t>
            </w:r>
            <w:r>
              <w:rPr>
                <w:sz w:val="24"/>
              </w:rPr>
              <w:t>top</w:t>
            </w:r>
            <w:r>
              <w:rPr>
                <w:spacing w:val="-10"/>
                <w:sz w:val="24"/>
              </w:rPr>
              <w:t> </w:t>
            </w:r>
            <w:r>
              <w:rPr>
                <w:sz w:val="24"/>
              </w:rPr>
              <w:t>management in respect of the impact of</w:t>
            </w:r>
            <w:r>
              <w:rPr>
                <w:spacing w:val="40"/>
                <w:sz w:val="24"/>
              </w:rPr>
              <w:t> </w:t>
            </w:r>
            <w:r>
              <w:rPr>
                <w:sz w:val="24"/>
              </w:rPr>
              <w:t>banking and telecommunication on students’ welfare services in</w:t>
            </w:r>
          </w:p>
          <w:p>
            <w:pPr>
              <w:pStyle w:val="TableParagraph"/>
              <w:spacing w:line="278" w:lineRule="exact"/>
              <w:ind w:left="109" w:right="117"/>
              <w:rPr>
                <w:sz w:val="24"/>
              </w:rPr>
            </w:pPr>
            <w:r>
              <w:rPr>
                <w:sz w:val="24"/>
              </w:rPr>
              <w:t>universities in three geopolitical zones</w:t>
            </w:r>
            <w:r>
              <w:rPr>
                <w:spacing w:val="-10"/>
                <w:sz w:val="24"/>
              </w:rPr>
              <w:t> </w:t>
            </w:r>
            <w:r>
              <w:rPr>
                <w:sz w:val="24"/>
              </w:rPr>
              <w:t>in</w:t>
            </w:r>
            <w:r>
              <w:rPr>
                <w:spacing w:val="-6"/>
                <w:sz w:val="24"/>
              </w:rPr>
              <w:t> </w:t>
            </w:r>
            <w:r>
              <w:rPr>
                <w:sz w:val="24"/>
              </w:rPr>
              <w:t>Northern</w:t>
            </w:r>
            <w:r>
              <w:rPr>
                <w:spacing w:val="-9"/>
                <w:sz w:val="24"/>
              </w:rPr>
              <w:t> </w:t>
            </w:r>
            <w:r>
              <w:rPr>
                <w:sz w:val="24"/>
              </w:rPr>
              <w:t>part</w:t>
            </w:r>
            <w:r>
              <w:rPr>
                <w:spacing w:val="-9"/>
                <w:sz w:val="24"/>
              </w:rPr>
              <w:t> </w:t>
            </w:r>
            <w:r>
              <w:rPr>
                <w:sz w:val="24"/>
              </w:rPr>
              <w:t>of</w:t>
            </w:r>
            <w:r>
              <w:rPr>
                <w:spacing w:val="-6"/>
                <w:sz w:val="24"/>
              </w:rPr>
              <w:t> </w:t>
            </w:r>
            <w:r>
              <w:rPr>
                <w:sz w:val="24"/>
              </w:rPr>
              <w:t>Nigeria.</w:t>
            </w:r>
          </w:p>
        </w:tc>
        <w:tc>
          <w:tcPr>
            <w:tcW w:w="1964" w:type="dxa"/>
          </w:tcPr>
          <w:p>
            <w:pPr>
              <w:pStyle w:val="TableParagraph"/>
              <w:ind w:left="104" w:right="379"/>
              <w:rPr>
                <w:sz w:val="24"/>
              </w:rPr>
            </w:pPr>
            <w:r>
              <w:rPr>
                <w:sz w:val="24"/>
              </w:rPr>
              <w:t>Analysis of </w:t>
            </w:r>
            <w:r>
              <w:rPr>
                <w:spacing w:val="-2"/>
                <w:sz w:val="24"/>
              </w:rPr>
              <w:t>Variance </w:t>
            </w:r>
            <w:r>
              <w:rPr>
                <w:sz w:val="24"/>
              </w:rPr>
              <w:t>(ANOVA)</w:t>
            </w:r>
            <w:r>
              <w:rPr>
                <w:spacing w:val="-17"/>
                <w:sz w:val="24"/>
              </w:rPr>
              <w:t> </w:t>
            </w:r>
            <w:r>
              <w:rPr>
                <w:sz w:val="24"/>
              </w:rPr>
              <w:t>and Scheffe’s</w:t>
            </w:r>
            <w:r>
              <w:rPr>
                <w:spacing w:val="-4"/>
                <w:sz w:val="24"/>
              </w:rPr>
              <w:t> test</w:t>
            </w:r>
          </w:p>
        </w:tc>
        <w:tc>
          <w:tcPr>
            <w:tcW w:w="2142" w:type="dxa"/>
          </w:tcPr>
          <w:p>
            <w:pPr>
              <w:pStyle w:val="TableParagraph"/>
              <w:ind w:left="108"/>
              <w:rPr>
                <w:sz w:val="24"/>
              </w:rPr>
            </w:pPr>
            <w:r>
              <w:rPr>
                <w:sz w:val="24"/>
              </w:rPr>
              <w:t>F.</w:t>
            </w:r>
            <w:r>
              <w:rPr>
                <w:spacing w:val="-11"/>
                <w:sz w:val="24"/>
              </w:rPr>
              <w:t> </w:t>
            </w:r>
            <w:r>
              <w:rPr>
                <w:sz w:val="24"/>
              </w:rPr>
              <w:t>Ratio</w:t>
            </w:r>
            <w:r>
              <w:rPr>
                <w:spacing w:val="-14"/>
                <w:sz w:val="24"/>
              </w:rPr>
              <w:t> </w:t>
            </w:r>
            <w:r>
              <w:rPr>
                <w:sz w:val="24"/>
              </w:rPr>
              <w:t>is</w:t>
            </w:r>
            <w:r>
              <w:rPr>
                <w:spacing w:val="-11"/>
                <w:sz w:val="24"/>
              </w:rPr>
              <w:t> </w:t>
            </w:r>
            <w:r>
              <w:rPr>
                <w:sz w:val="24"/>
              </w:rPr>
              <w:t>3.3053 and computed F Probability is </w:t>
            </w:r>
            <w:r>
              <w:rPr>
                <w:spacing w:val="-2"/>
                <w:sz w:val="24"/>
              </w:rPr>
              <w:t>0.0376</w:t>
            </w:r>
          </w:p>
        </w:tc>
        <w:tc>
          <w:tcPr>
            <w:tcW w:w="1628" w:type="dxa"/>
          </w:tcPr>
          <w:p>
            <w:pPr>
              <w:pStyle w:val="TableParagraph"/>
              <w:spacing w:line="267" w:lineRule="exact"/>
              <w:ind w:left="102"/>
              <w:rPr>
                <w:sz w:val="24"/>
              </w:rPr>
            </w:pPr>
            <w:r>
              <w:rPr>
                <w:spacing w:val="-4"/>
                <w:sz w:val="24"/>
              </w:rPr>
              <w:t>0.05</w:t>
            </w:r>
          </w:p>
        </w:tc>
        <w:tc>
          <w:tcPr>
            <w:tcW w:w="3058" w:type="dxa"/>
          </w:tcPr>
          <w:p>
            <w:pPr>
              <w:pStyle w:val="TableParagraph"/>
              <w:ind w:left="106" w:right="199"/>
              <w:rPr>
                <w:sz w:val="24"/>
              </w:rPr>
            </w:pPr>
            <w:r>
              <w:rPr>
                <w:sz w:val="24"/>
              </w:rPr>
              <w:t>The hypothesis was rejected to mean that significant difference existed</w:t>
            </w:r>
            <w:r>
              <w:rPr>
                <w:spacing w:val="-10"/>
                <w:sz w:val="24"/>
              </w:rPr>
              <w:t> </w:t>
            </w:r>
            <w:r>
              <w:rPr>
                <w:sz w:val="24"/>
              </w:rPr>
              <w:t>in</w:t>
            </w:r>
            <w:r>
              <w:rPr>
                <w:spacing w:val="-7"/>
                <w:sz w:val="24"/>
              </w:rPr>
              <w:t> </w:t>
            </w:r>
            <w:r>
              <w:rPr>
                <w:sz w:val="24"/>
              </w:rPr>
              <w:t>the</w:t>
            </w:r>
            <w:r>
              <w:rPr>
                <w:spacing w:val="-10"/>
                <w:sz w:val="24"/>
              </w:rPr>
              <w:t> </w:t>
            </w:r>
            <w:r>
              <w:rPr>
                <w:sz w:val="24"/>
              </w:rPr>
              <w:t>opinions</w:t>
            </w:r>
            <w:r>
              <w:rPr>
                <w:spacing w:val="-11"/>
                <w:sz w:val="24"/>
              </w:rPr>
              <w:t> </w:t>
            </w:r>
            <w:r>
              <w:rPr>
                <w:sz w:val="24"/>
              </w:rPr>
              <w:t>of </w:t>
            </w:r>
            <w:r>
              <w:rPr>
                <w:spacing w:val="-2"/>
                <w:sz w:val="24"/>
              </w:rPr>
              <w:t>respondents.</w:t>
            </w:r>
          </w:p>
        </w:tc>
      </w:tr>
      <w:tr>
        <w:trPr>
          <w:trHeight w:val="2477" w:hRule="atLeast"/>
        </w:trPr>
        <w:tc>
          <w:tcPr>
            <w:tcW w:w="538" w:type="dxa"/>
          </w:tcPr>
          <w:p>
            <w:pPr>
              <w:pStyle w:val="TableParagraph"/>
              <w:spacing w:line="263" w:lineRule="exact"/>
              <w:ind w:right="37"/>
              <w:jc w:val="center"/>
              <w:rPr>
                <w:sz w:val="24"/>
              </w:rPr>
            </w:pPr>
            <w:r>
              <w:rPr>
                <w:spacing w:val="-5"/>
                <w:sz w:val="24"/>
              </w:rPr>
              <w:t>15</w:t>
            </w:r>
          </w:p>
        </w:tc>
        <w:tc>
          <w:tcPr>
            <w:tcW w:w="3855" w:type="dxa"/>
          </w:tcPr>
          <w:p>
            <w:pPr>
              <w:pStyle w:val="TableParagraph"/>
              <w:ind w:left="109" w:right="117"/>
              <w:rPr>
                <w:sz w:val="24"/>
              </w:rPr>
            </w:pPr>
            <w:r>
              <w:rPr>
                <w:sz w:val="24"/>
              </w:rPr>
              <w:t>There is no significant difference in</w:t>
            </w:r>
            <w:r>
              <w:rPr>
                <w:spacing w:val="-8"/>
                <w:sz w:val="24"/>
              </w:rPr>
              <w:t> </w:t>
            </w:r>
            <w:r>
              <w:rPr>
                <w:sz w:val="24"/>
              </w:rPr>
              <w:t>the</w:t>
            </w:r>
            <w:r>
              <w:rPr>
                <w:spacing w:val="-8"/>
                <w:sz w:val="24"/>
              </w:rPr>
              <w:t> </w:t>
            </w:r>
            <w:r>
              <w:rPr>
                <w:sz w:val="24"/>
              </w:rPr>
              <w:t>opinions</w:t>
            </w:r>
            <w:r>
              <w:rPr>
                <w:spacing w:val="-8"/>
                <w:sz w:val="24"/>
              </w:rPr>
              <w:t> </w:t>
            </w:r>
            <w:r>
              <w:rPr>
                <w:sz w:val="24"/>
              </w:rPr>
              <w:t>of</w:t>
            </w:r>
            <w:r>
              <w:rPr>
                <w:spacing w:val="-8"/>
                <w:sz w:val="24"/>
              </w:rPr>
              <w:t> </w:t>
            </w:r>
            <w:r>
              <w:rPr>
                <w:sz w:val="24"/>
              </w:rPr>
              <w:t>students</w:t>
            </w:r>
            <w:r>
              <w:rPr>
                <w:spacing w:val="-8"/>
                <w:sz w:val="24"/>
              </w:rPr>
              <w:t> </w:t>
            </w:r>
            <w:r>
              <w:rPr>
                <w:sz w:val="24"/>
              </w:rPr>
              <w:t>service staff and top management in respect of the impact of library services on students’ welfare in universities in three geopolitical zones</w:t>
            </w:r>
            <w:r>
              <w:rPr>
                <w:spacing w:val="-8"/>
                <w:sz w:val="24"/>
              </w:rPr>
              <w:t> </w:t>
            </w:r>
            <w:r>
              <w:rPr>
                <w:sz w:val="24"/>
              </w:rPr>
              <w:t>in</w:t>
            </w:r>
            <w:r>
              <w:rPr>
                <w:spacing w:val="40"/>
                <w:sz w:val="24"/>
              </w:rPr>
              <w:t> </w:t>
            </w:r>
            <w:r>
              <w:rPr>
                <w:sz w:val="24"/>
              </w:rPr>
              <w:t>Northern</w:t>
            </w:r>
            <w:r>
              <w:rPr>
                <w:spacing w:val="-3"/>
                <w:sz w:val="24"/>
              </w:rPr>
              <w:t> </w:t>
            </w:r>
            <w:r>
              <w:rPr>
                <w:sz w:val="24"/>
              </w:rPr>
              <w:t>part</w:t>
            </w:r>
            <w:r>
              <w:rPr>
                <w:spacing w:val="-7"/>
                <w:sz w:val="24"/>
              </w:rPr>
              <w:t> </w:t>
            </w:r>
            <w:r>
              <w:rPr>
                <w:sz w:val="24"/>
              </w:rPr>
              <w:t>of</w:t>
            </w:r>
            <w:r>
              <w:rPr>
                <w:spacing w:val="-3"/>
                <w:sz w:val="24"/>
              </w:rPr>
              <w:t> </w:t>
            </w:r>
            <w:r>
              <w:rPr>
                <w:sz w:val="24"/>
              </w:rPr>
              <w:t>Nigeria.</w:t>
            </w:r>
          </w:p>
        </w:tc>
        <w:tc>
          <w:tcPr>
            <w:tcW w:w="1964" w:type="dxa"/>
          </w:tcPr>
          <w:p>
            <w:pPr>
              <w:pStyle w:val="TableParagraph"/>
              <w:ind w:left="104" w:right="379"/>
              <w:rPr>
                <w:sz w:val="24"/>
              </w:rPr>
            </w:pPr>
            <w:r>
              <w:rPr>
                <w:sz w:val="24"/>
              </w:rPr>
              <w:t>Analysis of </w:t>
            </w:r>
            <w:r>
              <w:rPr>
                <w:spacing w:val="-2"/>
                <w:sz w:val="24"/>
              </w:rPr>
              <w:t>Variance </w:t>
            </w:r>
            <w:r>
              <w:rPr>
                <w:sz w:val="24"/>
              </w:rPr>
              <w:t>(ANOVA)</w:t>
            </w:r>
            <w:r>
              <w:rPr>
                <w:spacing w:val="-17"/>
                <w:sz w:val="24"/>
              </w:rPr>
              <w:t> </w:t>
            </w:r>
            <w:r>
              <w:rPr>
                <w:sz w:val="24"/>
              </w:rPr>
              <w:t>and Scheffe’s</w:t>
            </w:r>
            <w:r>
              <w:rPr>
                <w:spacing w:val="-4"/>
                <w:sz w:val="24"/>
              </w:rPr>
              <w:t> test</w:t>
            </w:r>
          </w:p>
        </w:tc>
        <w:tc>
          <w:tcPr>
            <w:tcW w:w="2142" w:type="dxa"/>
          </w:tcPr>
          <w:p>
            <w:pPr>
              <w:pStyle w:val="TableParagraph"/>
              <w:ind w:left="108"/>
              <w:rPr>
                <w:sz w:val="24"/>
              </w:rPr>
            </w:pPr>
            <w:r>
              <w:rPr>
                <w:sz w:val="24"/>
              </w:rPr>
              <w:t>F.</w:t>
            </w:r>
            <w:r>
              <w:rPr>
                <w:spacing w:val="-11"/>
                <w:sz w:val="24"/>
              </w:rPr>
              <w:t> </w:t>
            </w:r>
            <w:r>
              <w:rPr>
                <w:sz w:val="24"/>
              </w:rPr>
              <w:t>Ratio</w:t>
            </w:r>
            <w:r>
              <w:rPr>
                <w:spacing w:val="-14"/>
                <w:sz w:val="24"/>
              </w:rPr>
              <w:t> </w:t>
            </w:r>
            <w:r>
              <w:rPr>
                <w:sz w:val="24"/>
              </w:rPr>
              <w:t>is</w:t>
            </w:r>
            <w:r>
              <w:rPr>
                <w:spacing w:val="-11"/>
                <w:sz w:val="24"/>
              </w:rPr>
              <w:t> </w:t>
            </w:r>
            <w:r>
              <w:rPr>
                <w:sz w:val="24"/>
              </w:rPr>
              <w:t>3.6157 and computed F. Probability is </w:t>
            </w:r>
            <w:r>
              <w:rPr>
                <w:spacing w:val="-2"/>
                <w:sz w:val="24"/>
              </w:rPr>
              <w:t>0.0277</w:t>
            </w:r>
          </w:p>
        </w:tc>
        <w:tc>
          <w:tcPr>
            <w:tcW w:w="1628" w:type="dxa"/>
          </w:tcPr>
          <w:p>
            <w:pPr>
              <w:pStyle w:val="TableParagraph"/>
              <w:spacing w:line="263" w:lineRule="exact"/>
              <w:ind w:left="102"/>
              <w:rPr>
                <w:sz w:val="24"/>
              </w:rPr>
            </w:pPr>
            <w:r>
              <w:rPr>
                <w:spacing w:val="-4"/>
                <w:sz w:val="24"/>
              </w:rPr>
              <w:t>0.05</w:t>
            </w:r>
          </w:p>
        </w:tc>
        <w:tc>
          <w:tcPr>
            <w:tcW w:w="3058" w:type="dxa"/>
          </w:tcPr>
          <w:p>
            <w:pPr>
              <w:pStyle w:val="TableParagraph"/>
              <w:ind w:left="106" w:right="199"/>
              <w:rPr>
                <w:sz w:val="24"/>
              </w:rPr>
            </w:pPr>
            <w:r>
              <w:rPr>
                <w:sz w:val="24"/>
              </w:rPr>
              <w:t>The hypothesis was rejected to mean that there was significant difference</w:t>
            </w:r>
            <w:r>
              <w:rPr>
                <w:spacing w:val="-13"/>
                <w:sz w:val="24"/>
              </w:rPr>
              <w:t> </w:t>
            </w:r>
            <w:r>
              <w:rPr>
                <w:sz w:val="24"/>
              </w:rPr>
              <w:t>in</w:t>
            </w:r>
            <w:r>
              <w:rPr>
                <w:spacing w:val="-10"/>
                <w:sz w:val="24"/>
              </w:rPr>
              <w:t> </w:t>
            </w:r>
            <w:r>
              <w:rPr>
                <w:sz w:val="24"/>
              </w:rPr>
              <w:t>the</w:t>
            </w:r>
            <w:r>
              <w:rPr>
                <w:spacing w:val="-13"/>
                <w:sz w:val="24"/>
              </w:rPr>
              <w:t> </w:t>
            </w:r>
            <w:r>
              <w:rPr>
                <w:sz w:val="24"/>
              </w:rPr>
              <w:t>opinions of respondents.</w:t>
            </w:r>
          </w:p>
        </w:tc>
      </w:tr>
    </w:tbl>
    <w:p>
      <w:pPr>
        <w:spacing w:after="0"/>
        <w:rPr>
          <w:sz w:val="24"/>
        </w:rPr>
        <w:sectPr>
          <w:headerReference w:type="default" r:id="rId493"/>
          <w:footerReference w:type="default" r:id="rId494"/>
          <w:pgSz w:w="15840" w:h="12240" w:orient="landscape"/>
          <w:pgMar w:header="722" w:footer="791" w:top="1340" w:bottom="980" w:left="1220" w:right="1220"/>
        </w:sectPr>
      </w:pPr>
    </w:p>
    <w:p>
      <w:pPr>
        <w:pStyle w:val="BodyText"/>
        <w:spacing w:before="7"/>
        <w:rPr>
          <w:rFonts w:ascii="Arial"/>
          <w:b/>
          <w:sz w:val="7"/>
        </w:rPr>
      </w:pPr>
    </w:p>
    <w:tbl>
      <w:tblPr>
        <w:tblW w:w="0" w:type="auto"/>
        <w:jc w:val="left"/>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8"/>
        <w:gridCol w:w="3855"/>
        <w:gridCol w:w="1964"/>
        <w:gridCol w:w="2142"/>
        <w:gridCol w:w="1628"/>
        <w:gridCol w:w="3058"/>
      </w:tblGrid>
      <w:tr>
        <w:trPr>
          <w:trHeight w:val="2759" w:hRule="atLeast"/>
        </w:trPr>
        <w:tc>
          <w:tcPr>
            <w:tcW w:w="538" w:type="dxa"/>
          </w:tcPr>
          <w:p>
            <w:pPr>
              <w:pStyle w:val="TableParagraph"/>
              <w:spacing w:line="271" w:lineRule="exact"/>
              <w:ind w:right="37"/>
              <w:jc w:val="center"/>
              <w:rPr>
                <w:sz w:val="24"/>
              </w:rPr>
            </w:pPr>
            <w:r>
              <w:rPr>
                <w:spacing w:val="-5"/>
                <w:sz w:val="24"/>
              </w:rPr>
              <w:t>16</w:t>
            </w:r>
          </w:p>
        </w:tc>
        <w:tc>
          <w:tcPr>
            <w:tcW w:w="3855" w:type="dxa"/>
          </w:tcPr>
          <w:p>
            <w:pPr>
              <w:pStyle w:val="TableParagraph"/>
              <w:ind w:left="109" w:right="122"/>
              <w:rPr>
                <w:sz w:val="24"/>
              </w:rPr>
            </w:pPr>
            <w:r>
              <w:rPr>
                <w:sz w:val="24"/>
              </w:rPr>
              <w:t>There is no significant difference in the opinions of students, service</w:t>
            </w:r>
            <w:r>
              <w:rPr>
                <w:spacing w:val="-10"/>
                <w:sz w:val="24"/>
              </w:rPr>
              <w:t> </w:t>
            </w:r>
            <w:r>
              <w:rPr>
                <w:sz w:val="24"/>
              </w:rPr>
              <w:t>staff</w:t>
            </w:r>
            <w:r>
              <w:rPr>
                <w:spacing w:val="-13"/>
                <w:sz w:val="24"/>
              </w:rPr>
              <w:t> </w:t>
            </w:r>
            <w:r>
              <w:rPr>
                <w:sz w:val="24"/>
              </w:rPr>
              <w:t>and</w:t>
            </w:r>
            <w:r>
              <w:rPr>
                <w:spacing w:val="-10"/>
                <w:sz w:val="24"/>
              </w:rPr>
              <w:t> </w:t>
            </w:r>
            <w:r>
              <w:rPr>
                <w:sz w:val="24"/>
              </w:rPr>
              <w:t>top</w:t>
            </w:r>
            <w:r>
              <w:rPr>
                <w:spacing w:val="-10"/>
                <w:sz w:val="24"/>
              </w:rPr>
              <w:t> </w:t>
            </w:r>
            <w:r>
              <w:rPr>
                <w:sz w:val="24"/>
              </w:rPr>
              <w:t>management staff in respect of the impact of classrooms, lecture halls, laboratories workshops, field trips etc on students’ welfare in universities in three geopolitical zones</w:t>
            </w:r>
            <w:r>
              <w:rPr>
                <w:spacing w:val="-9"/>
                <w:sz w:val="24"/>
              </w:rPr>
              <w:t> </w:t>
            </w:r>
            <w:r>
              <w:rPr>
                <w:sz w:val="24"/>
              </w:rPr>
              <w:t>in</w:t>
            </w:r>
            <w:r>
              <w:rPr>
                <w:spacing w:val="40"/>
                <w:sz w:val="24"/>
              </w:rPr>
              <w:t> </w:t>
            </w:r>
            <w:r>
              <w:rPr>
                <w:sz w:val="24"/>
              </w:rPr>
              <w:t>Northern</w:t>
            </w:r>
            <w:r>
              <w:rPr>
                <w:spacing w:val="-4"/>
                <w:sz w:val="24"/>
              </w:rPr>
              <w:t> </w:t>
            </w:r>
            <w:r>
              <w:rPr>
                <w:sz w:val="24"/>
              </w:rPr>
              <w:t>part</w:t>
            </w:r>
            <w:r>
              <w:rPr>
                <w:spacing w:val="-8"/>
                <w:sz w:val="24"/>
              </w:rPr>
              <w:t> </w:t>
            </w:r>
            <w:r>
              <w:rPr>
                <w:sz w:val="24"/>
              </w:rPr>
              <w:t>of</w:t>
            </w:r>
            <w:r>
              <w:rPr>
                <w:spacing w:val="-4"/>
                <w:sz w:val="24"/>
              </w:rPr>
              <w:t> </w:t>
            </w:r>
            <w:r>
              <w:rPr>
                <w:sz w:val="24"/>
              </w:rPr>
              <w:t>Nigeria.</w:t>
            </w:r>
          </w:p>
        </w:tc>
        <w:tc>
          <w:tcPr>
            <w:tcW w:w="1964" w:type="dxa"/>
          </w:tcPr>
          <w:p>
            <w:pPr>
              <w:pStyle w:val="TableParagraph"/>
              <w:ind w:left="104" w:right="379"/>
              <w:rPr>
                <w:sz w:val="24"/>
              </w:rPr>
            </w:pPr>
            <w:r>
              <w:rPr>
                <w:sz w:val="24"/>
              </w:rPr>
              <w:t>Analysis of </w:t>
            </w:r>
            <w:r>
              <w:rPr>
                <w:spacing w:val="-2"/>
                <w:sz w:val="24"/>
              </w:rPr>
              <w:t>Variance </w:t>
            </w:r>
            <w:r>
              <w:rPr>
                <w:sz w:val="24"/>
              </w:rPr>
              <w:t>(ANOVA)</w:t>
            </w:r>
            <w:r>
              <w:rPr>
                <w:spacing w:val="-17"/>
                <w:sz w:val="24"/>
              </w:rPr>
              <w:t> </w:t>
            </w:r>
            <w:r>
              <w:rPr>
                <w:sz w:val="24"/>
              </w:rPr>
              <w:t>and Scheffe’s</w:t>
            </w:r>
            <w:r>
              <w:rPr>
                <w:spacing w:val="-4"/>
                <w:sz w:val="24"/>
              </w:rPr>
              <w:t> test</w:t>
            </w:r>
          </w:p>
        </w:tc>
        <w:tc>
          <w:tcPr>
            <w:tcW w:w="2142" w:type="dxa"/>
          </w:tcPr>
          <w:p>
            <w:pPr>
              <w:pStyle w:val="TableParagraph"/>
              <w:ind w:left="108"/>
              <w:rPr>
                <w:sz w:val="24"/>
              </w:rPr>
            </w:pPr>
            <w:r>
              <w:rPr>
                <w:sz w:val="24"/>
              </w:rPr>
              <w:t>F.</w:t>
            </w:r>
            <w:r>
              <w:rPr>
                <w:spacing w:val="-11"/>
                <w:sz w:val="24"/>
              </w:rPr>
              <w:t> </w:t>
            </w:r>
            <w:r>
              <w:rPr>
                <w:sz w:val="24"/>
              </w:rPr>
              <w:t>Ratio</w:t>
            </w:r>
            <w:r>
              <w:rPr>
                <w:spacing w:val="-14"/>
                <w:sz w:val="24"/>
              </w:rPr>
              <w:t> </w:t>
            </w:r>
            <w:r>
              <w:rPr>
                <w:sz w:val="24"/>
              </w:rPr>
              <w:t>is</w:t>
            </w:r>
            <w:r>
              <w:rPr>
                <w:spacing w:val="-11"/>
                <w:sz w:val="24"/>
              </w:rPr>
              <w:t> </w:t>
            </w:r>
            <w:r>
              <w:rPr>
                <w:sz w:val="24"/>
              </w:rPr>
              <w:t>3.4322 and computed F. Probability is </w:t>
            </w:r>
            <w:r>
              <w:rPr>
                <w:spacing w:val="-2"/>
                <w:sz w:val="24"/>
              </w:rPr>
              <w:t>0.0331</w:t>
            </w:r>
          </w:p>
        </w:tc>
        <w:tc>
          <w:tcPr>
            <w:tcW w:w="1628" w:type="dxa"/>
          </w:tcPr>
          <w:p>
            <w:pPr>
              <w:pStyle w:val="TableParagraph"/>
              <w:spacing w:line="271" w:lineRule="exact"/>
              <w:ind w:left="102"/>
              <w:rPr>
                <w:sz w:val="24"/>
              </w:rPr>
            </w:pPr>
            <w:r>
              <w:rPr>
                <w:spacing w:val="-4"/>
                <w:sz w:val="24"/>
              </w:rPr>
              <w:t>0.05</w:t>
            </w:r>
          </w:p>
        </w:tc>
        <w:tc>
          <w:tcPr>
            <w:tcW w:w="3058" w:type="dxa"/>
          </w:tcPr>
          <w:p>
            <w:pPr>
              <w:pStyle w:val="TableParagraph"/>
              <w:ind w:left="106" w:right="199"/>
              <w:rPr>
                <w:sz w:val="24"/>
              </w:rPr>
            </w:pPr>
            <w:r>
              <w:rPr>
                <w:sz w:val="24"/>
              </w:rPr>
              <w:t>The hypothesis was rejected to mean that there was significant difference</w:t>
            </w:r>
            <w:r>
              <w:rPr>
                <w:spacing w:val="-13"/>
                <w:sz w:val="24"/>
              </w:rPr>
              <w:t> </w:t>
            </w:r>
            <w:r>
              <w:rPr>
                <w:sz w:val="24"/>
              </w:rPr>
              <w:t>in</w:t>
            </w:r>
            <w:r>
              <w:rPr>
                <w:spacing w:val="-10"/>
                <w:sz w:val="24"/>
              </w:rPr>
              <w:t> </w:t>
            </w:r>
            <w:r>
              <w:rPr>
                <w:sz w:val="24"/>
              </w:rPr>
              <w:t>the</w:t>
            </w:r>
            <w:r>
              <w:rPr>
                <w:spacing w:val="-13"/>
                <w:sz w:val="24"/>
              </w:rPr>
              <w:t> </w:t>
            </w:r>
            <w:r>
              <w:rPr>
                <w:sz w:val="24"/>
              </w:rPr>
              <w:t>opinions of respondents</w:t>
            </w:r>
          </w:p>
        </w:tc>
      </w:tr>
      <w:tr>
        <w:trPr>
          <w:trHeight w:val="2486" w:hRule="atLeast"/>
        </w:trPr>
        <w:tc>
          <w:tcPr>
            <w:tcW w:w="538" w:type="dxa"/>
          </w:tcPr>
          <w:p>
            <w:pPr>
              <w:pStyle w:val="TableParagraph"/>
              <w:spacing w:line="271" w:lineRule="exact"/>
              <w:ind w:right="37"/>
              <w:jc w:val="center"/>
              <w:rPr>
                <w:sz w:val="24"/>
              </w:rPr>
            </w:pPr>
            <w:r>
              <w:rPr>
                <w:spacing w:val="-5"/>
                <w:sz w:val="24"/>
              </w:rPr>
              <w:t>17</w:t>
            </w:r>
          </w:p>
        </w:tc>
        <w:tc>
          <w:tcPr>
            <w:tcW w:w="3855" w:type="dxa"/>
          </w:tcPr>
          <w:p>
            <w:pPr>
              <w:pStyle w:val="TableParagraph"/>
              <w:ind w:left="109" w:right="117"/>
              <w:rPr>
                <w:sz w:val="24"/>
              </w:rPr>
            </w:pPr>
            <w:r>
              <w:rPr>
                <w:sz w:val="24"/>
              </w:rPr>
              <w:t>There is no significant difference in the opinions students, service staff</w:t>
            </w:r>
            <w:r>
              <w:rPr>
                <w:spacing w:val="-8"/>
                <w:sz w:val="24"/>
              </w:rPr>
              <w:t> </w:t>
            </w:r>
            <w:r>
              <w:rPr>
                <w:sz w:val="24"/>
              </w:rPr>
              <w:t>and</w:t>
            </w:r>
            <w:r>
              <w:rPr>
                <w:spacing w:val="-8"/>
                <w:sz w:val="24"/>
              </w:rPr>
              <w:t> </w:t>
            </w:r>
            <w:r>
              <w:rPr>
                <w:sz w:val="24"/>
              </w:rPr>
              <w:t>top</w:t>
            </w:r>
            <w:r>
              <w:rPr>
                <w:spacing w:val="-8"/>
                <w:sz w:val="24"/>
              </w:rPr>
              <w:t> </w:t>
            </w:r>
            <w:r>
              <w:rPr>
                <w:sz w:val="24"/>
              </w:rPr>
              <w:t>management</w:t>
            </w:r>
            <w:r>
              <w:rPr>
                <w:spacing w:val="-8"/>
                <w:sz w:val="24"/>
              </w:rPr>
              <w:t> </w:t>
            </w:r>
            <w:r>
              <w:rPr>
                <w:sz w:val="24"/>
              </w:rPr>
              <w:t>staff</w:t>
            </w:r>
            <w:r>
              <w:rPr>
                <w:spacing w:val="-8"/>
                <w:sz w:val="24"/>
              </w:rPr>
              <w:t> </w:t>
            </w:r>
            <w:r>
              <w:rPr>
                <w:sz w:val="24"/>
              </w:rPr>
              <w:t>in respect of the impact and influence of information technology services on students’ welfare in universities in three</w:t>
            </w:r>
          </w:p>
          <w:p>
            <w:pPr>
              <w:pStyle w:val="TableParagraph"/>
              <w:spacing w:line="274" w:lineRule="exact"/>
              <w:ind w:left="109" w:right="214"/>
              <w:rPr>
                <w:sz w:val="24"/>
              </w:rPr>
            </w:pPr>
            <w:r>
              <w:rPr>
                <w:sz w:val="24"/>
              </w:rPr>
              <w:t>geopolitical</w:t>
            </w:r>
            <w:r>
              <w:rPr>
                <w:spacing w:val="-8"/>
                <w:sz w:val="24"/>
              </w:rPr>
              <w:t> </w:t>
            </w:r>
            <w:r>
              <w:rPr>
                <w:sz w:val="24"/>
              </w:rPr>
              <w:t>zones</w:t>
            </w:r>
            <w:r>
              <w:rPr>
                <w:spacing w:val="-15"/>
                <w:sz w:val="24"/>
              </w:rPr>
              <w:t> </w:t>
            </w:r>
            <w:r>
              <w:rPr>
                <w:sz w:val="24"/>
              </w:rPr>
              <w:t>in</w:t>
            </w:r>
            <w:r>
              <w:rPr>
                <w:spacing w:val="-11"/>
                <w:sz w:val="24"/>
              </w:rPr>
              <w:t> </w:t>
            </w:r>
            <w:r>
              <w:rPr>
                <w:sz w:val="24"/>
              </w:rPr>
              <w:t>Northern part of Nigeria.</w:t>
            </w:r>
          </w:p>
        </w:tc>
        <w:tc>
          <w:tcPr>
            <w:tcW w:w="1964" w:type="dxa"/>
          </w:tcPr>
          <w:p>
            <w:pPr>
              <w:pStyle w:val="TableParagraph"/>
              <w:ind w:left="104"/>
              <w:rPr>
                <w:sz w:val="24"/>
              </w:rPr>
            </w:pPr>
            <w:r>
              <w:rPr>
                <w:sz w:val="24"/>
              </w:rPr>
              <w:t>Analysis of </w:t>
            </w:r>
            <w:r>
              <w:rPr>
                <w:spacing w:val="-2"/>
                <w:sz w:val="24"/>
              </w:rPr>
              <w:t>Variance </w:t>
            </w:r>
            <w:r>
              <w:rPr>
                <w:sz w:val="24"/>
              </w:rPr>
              <w:t>(ANOVA) and Scheffe’s</w:t>
            </w:r>
            <w:r>
              <w:rPr>
                <w:spacing w:val="-4"/>
                <w:sz w:val="24"/>
              </w:rPr>
              <w:t> </w:t>
            </w:r>
            <w:r>
              <w:rPr>
                <w:spacing w:val="-2"/>
                <w:sz w:val="24"/>
              </w:rPr>
              <w:t>tests</w:t>
            </w:r>
          </w:p>
        </w:tc>
        <w:tc>
          <w:tcPr>
            <w:tcW w:w="2142" w:type="dxa"/>
          </w:tcPr>
          <w:p>
            <w:pPr>
              <w:pStyle w:val="TableParagraph"/>
              <w:ind w:left="108"/>
              <w:rPr>
                <w:sz w:val="24"/>
              </w:rPr>
            </w:pPr>
            <w:r>
              <w:rPr>
                <w:sz w:val="24"/>
              </w:rPr>
              <w:t>F.</w:t>
            </w:r>
            <w:r>
              <w:rPr>
                <w:spacing w:val="-11"/>
                <w:sz w:val="24"/>
              </w:rPr>
              <w:t> </w:t>
            </w:r>
            <w:r>
              <w:rPr>
                <w:sz w:val="24"/>
              </w:rPr>
              <w:t>Ratio</w:t>
            </w:r>
            <w:r>
              <w:rPr>
                <w:spacing w:val="-14"/>
                <w:sz w:val="24"/>
              </w:rPr>
              <w:t> </w:t>
            </w:r>
            <w:r>
              <w:rPr>
                <w:sz w:val="24"/>
              </w:rPr>
              <w:t>is</w:t>
            </w:r>
            <w:r>
              <w:rPr>
                <w:spacing w:val="-11"/>
                <w:sz w:val="24"/>
              </w:rPr>
              <w:t> </w:t>
            </w:r>
            <w:r>
              <w:rPr>
                <w:sz w:val="24"/>
              </w:rPr>
              <w:t>4.4095 and computed F. Probability is </w:t>
            </w:r>
            <w:r>
              <w:rPr>
                <w:spacing w:val="-2"/>
                <w:sz w:val="24"/>
              </w:rPr>
              <w:t>0.0127</w:t>
            </w:r>
          </w:p>
        </w:tc>
        <w:tc>
          <w:tcPr>
            <w:tcW w:w="1628" w:type="dxa"/>
          </w:tcPr>
          <w:p>
            <w:pPr>
              <w:pStyle w:val="TableParagraph"/>
              <w:spacing w:line="271" w:lineRule="exact"/>
              <w:ind w:left="102"/>
              <w:rPr>
                <w:sz w:val="24"/>
              </w:rPr>
            </w:pPr>
            <w:r>
              <w:rPr>
                <w:spacing w:val="-4"/>
                <w:sz w:val="24"/>
              </w:rPr>
              <w:t>0.05</w:t>
            </w:r>
          </w:p>
        </w:tc>
        <w:tc>
          <w:tcPr>
            <w:tcW w:w="3058" w:type="dxa"/>
          </w:tcPr>
          <w:p>
            <w:pPr>
              <w:pStyle w:val="TableParagraph"/>
              <w:ind w:left="106" w:right="199"/>
              <w:rPr>
                <w:sz w:val="24"/>
              </w:rPr>
            </w:pPr>
            <w:r>
              <w:rPr>
                <w:sz w:val="24"/>
              </w:rPr>
              <w:t>The hypothesis was rejected to mean that significant difference existed</w:t>
            </w:r>
            <w:r>
              <w:rPr>
                <w:spacing w:val="-10"/>
                <w:sz w:val="24"/>
              </w:rPr>
              <w:t> </w:t>
            </w:r>
            <w:r>
              <w:rPr>
                <w:sz w:val="24"/>
              </w:rPr>
              <w:t>in</w:t>
            </w:r>
            <w:r>
              <w:rPr>
                <w:spacing w:val="-7"/>
                <w:sz w:val="24"/>
              </w:rPr>
              <w:t> </w:t>
            </w:r>
            <w:r>
              <w:rPr>
                <w:sz w:val="24"/>
              </w:rPr>
              <w:t>the</w:t>
            </w:r>
            <w:r>
              <w:rPr>
                <w:spacing w:val="-10"/>
                <w:sz w:val="24"/>
              </w:rPr>
              <w:t> </w:t>
            </w:r>
            <w:r>
              <w:rPr>
                <w:sz w:val="24"/>
              </w:rPr>
              <w:t>opinions</w:t>
            </w:r>
            <w:r>
              <w:rPr>
                <w:spacing w:val="-11"/>
                <w:sz w:val="24"/>
              </w:rPr>
              <w:t> </w:t>
            </w:r>
            <w:r>
              <w:rPr>
                <w:sz w:val="24"/>
              </w:rPr>
              <w:t>of </w:t>
            </w:r>
            <w:r>
              <w:rPr>
                <w:spacing w:val="-2"/>
                <w:sz w:val="24"/>
              </w:rPr>
              <w:t>respondents.</w:t>
            </w:r>
          </w:p>
        </w:tc>
      </w:tr>
      <w:tr>
        <w:trPr>
          <w:trHeight w:val="2481" w:hRule="atLeast"/>
        </w:trPr>
        <w:tc>
          <w:tcPr>
            <w:tcW w:w="538" w:type="dxa"/>
          </w:tcPr>
          <w:p>
            <w:pPr>
              <w:pStyle w:val="TableParagraph"/>
              <w:spacing w:line="271" w:lineRule="exact"/>
              <w:ind w:right="37"/>
              <w:jc w:val="center"/>
              <w:rPr>
                <w:sz w:val="24"/>
              </w:rPr>
            </w:pPr>
            <w:r>
              <w:rPr>
                <w:spacing w:val="-5"/>
                <w:sz w:val="24"/>
              </w:rPr>
              <w:t>18</w:t>
            </w:r>
          </w:p>
        </w:tc>
        <w:tc>
          <w:tcPr>
            <w:tcW w:w="3855" w:type="dxa"/>
          </w:tcPr>
          <w:p>
            <w:pPr>
              <w:pStyle w:val="TableParagraph"/>
              <w:ind w:left="109" w:right="214"/>
              <w:rPr>
                <w:sz w:val="24"/>
              </w:rPr>
            </w:pPr>
            <w:r>
              <w:rPr>
                <w:sz w:val="24"/>
              </w:rPr>
              <w:t>There</w:t>
            </w:r>
            <w:r>
              <w:rPr>
                <w:spacing w:val="-5"/>
                <w:sz w:val="24"/>
              </w:rPr>
              <w:t> </w:t>
            </w:r>
            <w:r>
              <w:rPr>
                <w:sz w:val="24"/>
              </w:rPr>
              <w:t>is</w:t>
            </w:r>
            <w:r>
              <w:rPr>
                <w:spacing w:val="-6"/>
                <w:sz w:val="24"/>
              </w:rPr>
              <w:t> </w:t>
            </w:r>
            <w:r>
              <w:rPr>
                <w:sz w:val="24"/>
              </w:rPr>
              <w:t>no</w:t>
            </w:r>
            <w:r>
              <w:rPr>
                <w:spacing w:val="-1"/>
                <w:sz w:val="24"/>
              </w:rPr>
              <w:t> </w:t>
            </w:r>
            <w:r>
              <w:rPr>
                <w:sz w:val="24"/>
              </w:rPr>
              <w:t>significant</w:t>
            </w:r>
            <w:r>
              <w:rPr>
                <w:spacing w:val="-1"/>
                <w:sz w:val="24"/>
              </w:rPr>
              <w:t> </w:t>
            </w:r>
            <w:r>
              <w:rPr>
                <w:sz w:val="24"/>
              </w:rPr>
              <w:t>difference in the opinions of students, services staff and top management staff in respect of the</w:t>
            </w:r>
            <w:r>
              <w:rPr>
                <w:spacing w:val="-7"/>
                <w:sz w:val="24"/>
              </w:rPr>
              <w:t> </w:t>
            </w:r>
            <w:r>
              <w:rPr>
                <w:sz w:val="24"/>
              </w:rPr>
              <w:t>impact</w:t>
            </w:r>
            <w:r>
              <w:rPr>
                <w:spacing w:val="-3"/>
                <w:sz w:val="24"/>
              </w:rPr>
              <w:t> </w:t>
            </w:r>
            <w:r>
              <w:rPr>
                <w:sz w:val="24"/>
              </w:rPr>
              <w:t>of medical and</w:t>
            </w:r>
            <w:r>
              <w:rPr>
                <w:spacing w:val="-7"/>
                <w:sz w:val="24"/>
              </w:rPr>
              <w:t> </w:t>
            </w:r>
            <w:r>
              <w:rPr>
                <w:sz w:val="24"/>
              </w:rPr>
              <w:t>health services</w:t>
            </w:r>
            <w:r>
              <w:rPr>
                <w:spacing w:val="-10"/>
                <w:sz w:val="24"/>
              </w:rPr>
              <w:t> </w:t>
            </w:r>
            <w:r>
              <w:rPr>
                <w:sz w:val="24"/>
              </w:rPr>
              <w:t>on</w:t>
            </w:r>
            <w:r>
              <w:rPr>
                <w:spacing w:val="-10"/>
                <w:sz w:val="24"/>
              </w:rPr>
              <w:t> </w:t>
            </w:r>
            <w:r>
              <w:rPr>
                <w:sz w:val="24"/>
              </w:rPr>
              <w:t>the</w:t>
            </w:r>
            <w:r>
              <w:rPr>
                <w:spacing w:val="-10"/>
                <w:sz w:val="24"/>
              </w:rPr>
              <w:t> </w:t>
            </w:r>
            <w:r>
              <w:rPr>
                <w:sz w:val="24"/>
              </w:rPr>
              <w:t>students’</w:t>
            </w:r>
            <w:r>
              <w:rPr>
                <w:spacing w:val="-11"/>
                <w:sz w:val="24"/>
              </w:rPr>
              <w:t> </w:t>
            </w:r>
            <w:r>
              <w:rPr>
                <w:sz w:val="24"/>
              </w:rPr>
              <w:t>welfare in universities in</w:t>
            </w:r>
            <w:r>
              <w:rPr>
                <w:spacing w:val="40"/>
                <w:sz w:val="24"/>
              </w:rPr>
              <w:t> </w:t>
            </w:r>
            <w:r>
              <w:rPr>
                <w:sz w:val="24"/>
              </w:rPr>
              <w:t>three geopolitical zones in</w:t>
            </w:r>
            <w:r>
              <w:rPr>
                <w:spacing w:val="40"/>
                <w:sz w:val="24"/>
              </w:rPr>
              <w:t> </w:t>
            </w:r>
            <w:r>
              <w:rPr>
                <w:sz w:val="24"/>
              </w:rPr>
              <w:t>Northern</w:t>
            </w:r>
          </w:p>
          <w:p>
            <w:pPr>
              <w:pStyle w:val="TableParagraph"/>
              <w:spacing w:line="258" w:lineRule="exact"/>
              <w:ind w:left="109"/>
              <w:rPr>
                <w:sz w:val="24"/>
              </w:rPr>
            </w:pPr>
            <w:r>
              <w:rPr>
                <w:sz w:val="24"/>
              </w:rPr>
              <w:t>part</w:t>
            </w:r>
            <w:r>
              <w:rPr>
                <w:spacing w:val="-2"/>
                <w:sz w:val="24"/>
              </w:rPr>
              <w:t> </w:t>
            </w:r>
            <w:r>
              <w:rPr>
                <w:sz w:val="24"/>
              </w:rPr>
              <w:t>of</w:t>
            </w:r>
            <w:r>
              <w:rPr>
                <w:spacing w:val="1"/>
                <w:sz w:val="24"/>
              </w:rPr>
              <w:t> </w:t>
            </w:r>
            <w:r>
              <w:rPr>
                <w:spacing w:val="-2"/>
                <w:sz w:val="24"/>
              </w:rPr>
              <w:t>Nigeria.</w:t>
            </w:r>
          </w:p>
        </w:tc>
        <w:tc>
          <w:tcPr>
            <w:tcW w:w="1964" w:type="dxa"/>
          </w:tcPr>
          <w:p>
            <w:pPr>
              <w:pStyle w:val="TableParagraph"/>
              <w:ind w:left="104" w:right="379"/>
              <w:rPr>
                <w:sz w:val="24"/>
              </w:rPr>
            </w:pPr>
            <w:r>
              <w:rPr>
                <w:sz w:val="24"/>
              </w:rPr>
              <w:t>Analysis</w:t>
            </w:r>
            <w:r>
              <w:rPr>
                <w:spacing w:val="-17"/>
                <w:sz w:val="24"/>
              </w:rPr>
              <w:t> </w:t>
            </w:r>
            <w:r>
              <w:rPr>
                <w:sz w:val="24"/>
              </w:rPr>
              <w:t>of </w:t>
            </w:r>
            <w:r>
              <w:rPr>
                <w:spacing w:val="-2"/>
                <w:sz w:val="24"/>
              </w:rPr>
              <w:t>Variance (ANOVA)</w:t>
            </w:r>
          </w:p>
        </w:tc>
        <w:tc>
          <w:tcPr>
            <w:tcW w:w="2142" w:type="dxa"/>
          </w:tcPr>
          <w:p>
            <w:pPr>
              <w:pStyle w:val="TableParagraph"/>
              <w:ind w:left="108"/>
              <w:rPr>
                <w:sz w:val="24"/>
              </w:rPr>
            </w:pPr>
            <w:r>
              <w:rPr>
                <w:sz w:val="24"/>
              </w:rPr>
              <w:t>F.</w:t>
            </w:r>
            <w:r>
              <w:rPr>
                <w:spacing w:val="-11"/>
                <w:sz w:val="24"/>
              </w:rPr>
              <w:t> </w:t>
            </w:r>
            <w:r>
              <w:rPr>
                <w:sz w:val="24"/>
              </w:rPr>
              <w:t>Ratio</w:t>
            </w:r>
            <w:r>
              <w:rPr>
                <w:spacing w:val="-14"/>
                <w:sz w:val="24"/>
              </w:rPr>
              <w:t> </w:t>
            </w:r>
            <w:r>
              <w:rPr>
                <w:sz w:val="24"/>
              </w:rPr>
              <w:t>is</w:t>
            </w:r>
            <w:r>
              <w:rPr>
                <w:spacing w:val="-11"/>
                <w:sz w:val="24"/>
              </w:rPr>
              <w:t> </w:t>
            </w:r>
            <w:r>
              <w:rPr>
                <w:sz w:val="24"/>
              </w:rPr>
              <w:t>2.2521 and computed F. Probability is </w:t>
            </w:r>
            <w:r>
              <w:rPr>
                <w:spacing w:val="-2"/>
                <w:sz w:val="24"/>
              </w:rPr>
              <w:t>0.1032</w:t>
            </w:r>
          </w:p>
        </w:tc>
        <w:tc>
          <w:tcPr>
            <w:tcW w:w="1628" w:type="dxa"/>
          </w:tcPr>
          <w:p>
            <w:pPr>
              <w:pStyle w:val="TableParagraph"/>
              <w:spacing w:line="271" w:lineRule="exact"/>
              <w:ind w:left="102"/>
              <w:rPr>
                <w:sz w:val="24"/>
              </w:rPr>
            </w:pPr>
            <w:r>
              <w:rPr>
                <w:spacing w:val="-4"/>
                <w:sz w:val="24"/>
              </w:rPr>
              <w:t>0.05</w:t>
            </w:r>
          </w:p>
        </w:tc>
        <w:tc>
          <w:tcPr>
            <w:tcW w:w="3058" w:type="dxa"/>
          </w:tcPr>
          <w:p>
            <w:pPr>
              <w:pStyle w:val="TableParagraph"/>
              <w:ind w:left="106" w:right="199"/>
              <w:rPr>
                <w:sz w:val="24"/>
              </w:rPr>
            </w:pPr>
            <w:r>
              <w:rPr>
                <w:sz w:val="24"/>
              </w:rPr>
              <w:t>The hypothesis was retained to mean that there was no significant difference</w:t>
            </w:r>
            <w:r>
              <w:rPr>
                <w:spacing w:val="-13"/>
                <w:sz w:val="24"/>
              </w:rPr>
              <w:t> </w:t>
            </w:r>
            <w:r>
              <w:rPr>
                <w:sz w:val="24"/>
              </w:rPr>
              <w:t>in</w:t>
            </w:r>
            <w:r>
              <w:rPr>
                <w:spacing w:val="-10"/>
                <w:sz w:val="24"/>
              </w:rPr>
              <w:t> </w:t>
            </w:r>
            <w:r>
              <w:rPr>
                <w:sz w:val="24"/>
              </w:rPr>
              <w:t>the</w:t>
            </w:r>
            <w:r>
              <w:rPr>
                <w:spacing w:val="-13"/>
                <w:sz w:val="24"/>
              </w:rPr>
              <w:t> </w:t>
            </w:r>
            <w:r>
              <w:rPr>
                <w:sz w:val="24"/>
              </w:rPr>
              <w:t>opinions of respondents.</w:t>
            </w:r>
          </w:p>
        </w:tc>
      </w:tr>
      <w:tr>
        <w:trPr>
          <w:trHeight w:val="1382" w:hRule="atLeast"/>
        </w:trPr>
        <w:tc>
          <w:tcPr>
            <w:tcW w:w="538" w:type="dxa"/>
          </w:tcPr>
          <w:p>
            <w:pPr>
              <w:pStyle w:val="TableParagraph"/>
              <w:spacing w:line="271" w:lineRule="exact"/>
              <w:ind w:right="37"/>
              <w:jc w:val="center"/>
              <w:rPr>
                <w:sz w:val="24"/>
              </w:rPr>
            </w:pPr>
            <w:r>
              <w:rPr>
                <w:spacing w:val="-5"/>
                <w:sz w:val="24"/>
              </w:rPr>
              <w:t>19</w:t>
            </w:r>
          </w:p>
        </w:tc>
        <w:tc>
          <w:tcPr>
            <w:tcW w:w="3855" w:type="dxa"/>
          </w:tcPr>
          <w:p>
            <w:pPr>
              <w:pStyle w:val="TableParagraph"/>
              <w:ind w:left="109" w:right="122"/>
              <w:rPr>
                <w:sz w:val="24"/>
              </w:rPr>
            </w:pPr>
            <w:r>
              <w:rPr>
                <w:sz w:val="24"/>
              </w:rPr>
              <w:t>There is no significant difference in the opinions of students, service</w:t>
            </w:r>
            <w:r>
              <w:rPr>
                <w:spacing w:val="-10"/>
                <w:sz w:val="24"/>
              </w:rPr>
              <w:t> </w:t>
            </w:r>
            <w:r>
              <w:rPr>
                <w:sz w:val="24"/>
              </w:rPr>
              <w:t>staff</w:t>
            </w:r>
            <w:r>
              <w:rPr>
                <w:spacing w:val="-13"/>
                <w:sz w:val="24"/>
              </w:rPr>
              <w:t> </w:t>
            </w:r>
            <w:r>
              <w:rPr>
                <w:sz w:val="24"/>
              </w:rPr>
              <w:t>and</w:t>
            </w:r>
            <w:r>
              <w:rPr>
                <w:spacing w:val="-10"/>
                <w:sz w:val="24"/>
              </w:rPr>
              <w:t> </w:t>
            </w:r>
            <w:r>
              <w:rPr>
                <w:sz w:val="24"/>
              </w:rPr>
              <w:t>top</w:t>
            </w:r>
            <w:r>
              <w:rPr>
                <w:spacing w:val="-10"/>
                <w:sz w:val="24"/>
              </w:rPr>
              <w:t> </w:t>
            </w:r>
            <w:r>
              <w:rPr>
                <w:sz w:val="24"/>
              </w:rPr>
              <w:t>management</w:t>
            </w:r>
          </w:p>
          <w:p>
            <w:pPr>
              <w:pStyle w:val="TableParagraph"/>
              <w:spacing w:line="274" w:lineRule="exact"/>
              <w:ind w:left="109" w:right="117"/>
              <w:rPr>
                <w:sz w:val="24"/>
              </w:rPr>
            </w:pPr>
            <w:r>
              <w:rPr>
                <w:sz w:val="24"/>
              </w:rPr>
              <w:t>in</w:t>
            </w:r>
            <w:r>
              <w:rPr>
                <w:spacing w:val="-1"/>
                <w:sz w:val="24"/>
              </w:rPr>
              <w:t> </w:t>
            </w:r>
            <w:r>
              <w:rPr>
                <w:sz w:val="24"/>
              </w:rPr>
              <w:t>respect</w:t>
            </w:r>
            <w:r>
              <w:rPr>
                <w:spacing w:val="-1"/>
                <w:sz w:val="24"/>
              </w:rPr>
              <w:t> </w:t>
            </w:r>
            <w:r>
              <w:rPr>
                <w:sz w:val="24"/>
              </w:rPr>
              <w:t>of the</w:t>
            </w:r>
            <w:r>
              <w:rPr>
                <w:spacing w:val="-1"/>
                <w:sz w:val="24"/>
              </w:rPr>
              <w:t> </w:t>
            </w:r>
            <w:r>
              <w:rPr>
                <w:sz w:val="24"/>
              </w:rPr>
              <w:t>impact of environmental</w:t>
            </w:r>
            <w:r>
              <w:rPr>
                <w:spacing w:val="-17"/>
                <w:sz w:val="24"/>
              </w:rPr>
              <w:t> </w:t>
            </w:r>
            <w:r>
              <w:rPr>
                <w:sz w:val="24"/>
              </w:rPr>
              <w:t>services</w:t>
            </w:r>
            <w:r>
              <w:rPr>
                <w:spacing w:val="-17"/>
                <w:sz w:val="24"/>
              </w:rPr>
              <w:t> </w:t>
            </w:r>
            <w:r>
              <w:rPr>
                <w:sz w:val="24"/>
              </w:rPr>
              <w:t>on</w:t>
            </w:r>
          </w:p>
        </w:tc>
        <w:tc>
          <w:tcPr>
            <w:tcW w:w="1964" w:type="dxa"/>
          </w:tcPr>
          <w:p>
            <w:pPr>
              <w:pStyle w:val="TableParagraph"/>
              <w:ind w:left="104" w:right="379"/>
              <w:rPr>
                <w:sz w:val="24"/>
              </w:rPr>
            </w:pPr>
            <w:r>
              <w:rPr>
                <w:sz w:val="24"/>
              </w:rPr>
              <w:t>Analysis</w:t>
            </w:r>
            <w:r>
              <w:rPr>
                <w:spacing w:val="-17"/>
                <w:sz w:val="24"/>
              </w:rPr>
              <w:t> </w:t>
            </w:r>
            <w:r>
              <w:rPr>
                <w:sz w:val="24"/>
              </w:rPr>
              <w:t>of </w:t>
            </w:r>
            <w:r>
              <w:rPr>
                <w:spacing w:val="-2"/>
                <w:sz w:val="24"/>
              </w:rPr>
              <w:t>Variance (ANOVA)</w:t>
            </w:r>
          </w:p>
        </w:tc>
        <w:tc>
          <w:tcPr>
            <w:tcW w:w="2142" w:type="dxa"/>
          </w:tcPr>
          <w:p>
            <w:pPr>
              <w:pStyle w:val="TableParagraph"/>
              <w:ind w:left="108"/>
              <w:rPr>
                <w:sz w:val="24"/>
              </w:rPr>
            </w:pPr>
            <w:r>
              <w:rPr>
                <w:sz w:val="24"/>
              </w:rPr>
              <w:t>F.</w:t>
            </w:r>
            <w:r>
              <w:rPr>
                <w:spacing w:val="-11"/>
                <w:sz w:val="24"/>
              </w:rPr>
              <w:t> </w:t>
            </w:r>
            <w:r>
              <w:rPr>
                <w:sz w:val="24"/>
              </w:rPr>
              <w:t>Ratio</w:t>
            </w:r>
            <w:r>
              <w:rPr>
                <w:spacing w:val="-14"/>
                <w:sz w:val="24"/>
              </w:rPr>
              <w:t> </w:t>
            </w:r>
            <w:r>
              <w:rPr>
                <w:sz w:val="24"/>
              </w:rPr>
              <w:t>is</w:t>
            </w:r>
            <w:r>
              <w:rPr>
                <w:spacing w:val="-11"/>
                <w:sz w:val="24"/>
              </w:rPr>
              <w:t> </w:t>
            </w:r>
            <w:r>
              <w:rPr>
                <w:sz w:val="24"/>
              </w:rPr>
              <w:t>0.7537 and computed F. Probability is </w:t>
            </w:r>
            <w:r>
              <w:rPr>
                <w:spacing w:val="-2"/>
                <w:sz w:val="24"/>
              </w:rPr>
              <w:t>0.4712</w:t>
            </w:r>
          </w:p>
        </w:tc>
        <w:tc>
          <w:tcPr>
            <w:tcW w:w="1628" w:type="dxa"/>
          </w:tcPr>
          <w:p>
            <w:pPr>
              <w:pStyle w:val="TableParagraph"/>
              <w:spacing w:line="271" w:lineRule="exact"/>
              <w:ind w:left="102"/>
              <w:rPr>
                <w:sz w:val="24"/>
              </w:rPr>
            </w:pPr>
            <w:r>
              <w:rPr>
                <w:spacing w:val="-4"/>
                <w:sz w:val="24"/>
              </w:rPr>
              <w:t>0.05</w:t>
            </w:r>
          </w:p>
        </w:tc>
        <w:tc>
          <w:tcPr>
            <w:tcW w:w="3058" w:type="dxa"/>
          </w:tcPr>
          <w:p>
            <w:pPr>
              <w:pStyle w:val="TableParagraph"/>
              <w:ind w:left="106" w:right="199"/>
              <w:rPr>
                <w:sz w:val="24"/>
              </w:rPr>
            </w:pPr>
            <w:r>
              <w:rPr>
                <w:sz w:val="24"/>
              </w:rPr>
              <w:t>The hypothesis was retained to mean that there was no significant</w:t>
            </w:r>
          </w:p>
          <w:p>
            <w:pPr>
              <w:pStyle w:val="TableParagraph"/>
              <w:spacing w:line="274" w:lineRule="exact"/>
              <w:ind w:left="106" w:right="199"/>
              <w:rPr>
                <w:sz w:val="24"/>
              </w:rPr>
            </w:pPr>
            <w:r>
              <w:rPr>
                <w:sz w:val="24"/>
              </w:rPr>
              <w:t>difference</w:t>
            </w:r>
            <w:r>
              <w:rPr>
                <w:spacing w:val="-13"/>
                <w:sz w:val="24"/>
              </w:rPr>
              <w:t> </w:t>
            </w:r>
            <w:r>
              <w:rPr>
                <w:sz w:val="24"/>
              </w:rPr>
              <w:t>in</w:t>
            </w:r>
            <w:r>
              <w:rPr>
                <w:spacing w:val="-10"/>
                <w:sz w:val="24"/>
              </w:rPr>
              <w:t> </w:t>
            </w:r>
            <w:r>
              <w:rPr>
                <w:sz w:val="24"/>
              </w:rPr>
              <w:t>the</w:t>
            </w:r>
            <w:r>
              <w:rPr>
                <w:spacing w:val="-13"/>
                <w:sz w:val="24"/>
              </w:rPr>
              <w:t> </w:t>
            </w:r>
            <w:r>
              <w:rPr>
                <w:sz w:val="24"/>
              </w:rPr>
              <w:t>opinions of respondents</w:t>
            </w:r>
          </w:p>
        </w:tc>
      </w:tr>
    </w:tbl>
    <w:p>
      <w:pPr>
        <w:spacing w:after="0" w:line="274" w:lineRule="exact"/>
        <w:rPr>
          <w:sz w:val="24"/>
        </w:rPr>
        <w:sectPr>
          <w:headerReference w:type="default" r:id="rId495"/>
          <w:footerReference w:type="default" r:id="rId496"/>
          <w:pgSz w:w="15840" w:h="12240" w:orient="landscape"/>
          <w:pgMar w:header="722" w:footer="791" w:top="1340" w:bottom="980" w:left="1220" w:right="1220"/>
        </w:sectPr>
      </w:pPr>
    </w:p>
    <w:p>
      <w:pPr>
        <w:pStyle w:val="BodyText"/>
        <w:spacing w:before="7"/>
        <w:rPr>
          <w:rFonts w:ascii="Arial"/>
          <w:b/>
          <w:sz w:val="7"/>
        </w:rPr>
      </w:pPr>
    </w:p>
    <w:tbl>
      <w:tblPr>
        <w:tblW w:w="0" w:type="auto"/>
        <w:jc w:val="left"/>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8"/>
        <w:gridCol w:w="3855"/>
        <w:gridCol w:w="1964"/>
        <w:gridCol w:w="2142"/>
        <w:gridCol w:w="1628"/>
        <w:gridCol w:w="3058"/>
      </w:tblGrid>
      <w:tr>
        <w:trPr>
          <w:trHeight w:val="830" w:hRule="atLeast"/>
        </w:trPr>
        <w:tc>
          <w:tcPr>
            <w:tcW w:w="538" w:type="dxa"/>
          </w:tcPr>
          <w:p>
            <w:pPr>
              <w:pStyle w:val="TableParagraph"/>
              <w:rPr>
                <w:rFonts w:ascii="Times New Roman"/>
                <w:sz w:val="24"/>
              </w:rPr>
            </w:pPr>
          </w:p>
        </w:tc>
        <w:tc>
          <w:tcPr>
            <w:tcW w:w="3855" w:type="dxa"/>
          </w:tcPr>
          <w:p>
            <w:pPr>
              <w:pStyle w:val="TableParagraph"/>
              <w:spacing w:line="271" w:lineRule="exact"/>
              <w:ind w:left="109"/>
              <w:rPr>
                <w:sz w:val="24"/>
              </w:rPr>
            </w:pPr>
            <w:r>
              <w:rPr>
                <w:sz w:val="24"/>
              </w:rPr>
              <w:t>students’</w:t>
            </w:r>
            <w:r>
              <w:rPr>
                <w:spacing w:val="-4"/>
                <w:sz w:val="24"/>
              </w:rPr>
              <w:t> </w:t>
            </w:r>
            <w:r>
              <w:rPr>
                <w:sz w:val="24"/>
              </w:rPr>
              <w:t>welfare</w:t>
            </w:r>
            <w:r>
              <w:rPr>
                <w:spacing w:val="-6"/>
                <w:sz w:val="24"/>
              </w:rPr>
              <w:t> </w:t>
            </w:r>
            <w:r>
              <w:rPr>
                <w:sz w:val="24"/>
              </w:rPr>
              <w:t>in</w:t>
            </w:r>
            <w:r>
              <w:rPr>
                <w:spacing w:val="-2"/>
                <w:sz w:val="24"/>
              </w:rPr>
              <w:t> </w:t>
            </w:r>
            <w:r>
              <w:rPr>
                <w:sz w:val="24"/>
              </w:rPr>
              <w:t>universities</w:t>
            </w:r>
            <w:r>
              <w:rPr>
                <w:spacing w:val="-7"/>
                <w:sz w:val="24"/>
              </w:rPr>
              <w:t> </w:t>
            </w:r>
            <w:r>
              <w:rPr>
                <w:spacing w:val="-5"/>
                <w:sz w:val="24"/>
              </w:rPr>
              <w:t>in</w:t>
            </w:r>
          </w:p>
          <w:p>
            <w:pPr>
              <w:pStyle w:val="TableParagraph"/>
              <w:spacing w:line="274" w:lineRule="exact"/>
              <w:ind w:left="109" w:right="117"/>
              <w:rPr>
                <w:sz w:val="24"/>
              </w:rPr>
            </w:pPr>
            <w:r>
              <w:rPr>
                <w:sz w:val="24"/>
              </w:rPr>
              <w:t>three</w:t>
            </w:r>
            <w:r>
              <w:rPr>
                <w:spacing w:val="-12"/>
                <w:sz w:val="24"/>
              </w:rPr>
              <w:t> </w:t>
            </w:r>
            <w:r>
              <w:rPr>
                <w:sz w:val="24"/>
              </w:rPr>
              <w:t>geopolitical</w:t>
            </w:r>
            <w:r>
              <w:rPr>
                <w:spacing w:val="-9"/>
                <w:sz w:val="24"/>
              </w:rPr>
              <w:t> </w:t>
            </w:r>
            <w:r>
              <w:rPr>
                <w:sz w:val="24"/>
              </w:rPr>
              <w:t>zones</w:t>
            </w:r>
            <w:r>
              <w:rPr>
                <w:spacing w:val="-16"/>
                <w:sz w:val="24"/>
              </w:rPr>
              <w:t> </w:t>
            </w:r>
            <w:r>
              <w:rPr>
                <w:sz w:val="24"/>
              </w:rPr>
              <w:t>in Northern part of Nigeria.</w:t>
            </w:r>
          </w:p>
        </w:tc>
        <w:tc>
          <w:tcPr>
            <w:tcW w:w="1964" w:type="dxa"/>
          </w:tcPr>
          <w:p>
            <w:pPr>
              <w:pStyle w:val="TableParagraph"/>
              <w:rPr>
                <w:rFonts w:ascii="Times New Roman"/>
                <w:sz w:val="24"/>
              </w:rPr>
            </w:pPr>
          </w:p>
        </w:tc>
        <w:tc>
          <w:tcPr>
            <w:tcW w:w="2142" w:type="dxa"/>
          </w:tcPr>
          <w:p>
            <w:pPr>
              <w:pStyle w:val="TableParagraph"/>
              <w:rPr>
                <w:rFonts w:ascii="Times New Roman"/>
                <w:sz w:val="24"/>
              </w:rPr>
            </w:pPr>
          </w:p>
        </w:tc>
        <w:tc>
          <w:tcPr>
            <w:tcW w:w="1628" w:type="dxa"/>
          </w:tcPr>
          <w:p>
            <w:pPr>
              <w:pStyle w:val="TableParagraph"/>
              <w:rPr>
                <w:rFonts w:ascii="Times New Roman"/>
                <w:sz w:val="24"/>
              </w:rPr>
            </w:pPr>
          </w:p>
        </w:tc>
        <w:tc>
          <w:tcPr>
            <w:tcW w:w="3058" w:type="dxa"/>
          </w:tcPr>
          <w:p>
            <w:pPr>
              <w:pStyle w:val="TableParagraph"/>
              <w:rPr>
                <w:rFonts w:ascii="Times New Roman"/>
                <w:sz w:val="24"/>
              </w:rPr>
            </w:pPr>
          </w:p>
        </w:tc>
      </w:tr>
      <w:tr>
        <w:trPr>
          <w:trHeight w:val="2481" w:hRule="atLeast"/>
        </w:trPr>
        <w:tc>
          <w:tcPr>
            <w:tcW w:w="538" w:type="dxa"/>
          </w:tcPr>
          <w:p>
            <w:pPr>
              <w:pStyle w:val="TableParagraph"/>
              <w:spacing w:line="271" w:lineRule="exact"/>
              <w:ind w:left="110"/>
              <w:rPr>
                <w:sz w:val="24"/>
              </w:rPr>
            </w:pPr>
            <w:r>
              <w:rPr>
                <w:spacing w:val="-5"/>
                <w:sz w:val="24"/>
              </w:rPr>
              <w:t>20</w:t>
            </w:r>
          </w:p>
        </w:tc>
        <w:tc>
          <w:tcPr>
            <w:tcW w:w="3855" w:type="dxa"/>
          </w:tcPr>
          <w:p>
            <w:pPr>
              <w:pStyle w:val="TableParagraph"/>
              <w:ind w:left="109" w:right="127"/>
              <w:rPr>
                <w:sz w:val="24"/>
              </w:rPr>
            </w:pPr>
            <w:r>
              <w:rPr>
                <w:sz w:val="24"/>
              </w:rPr>
              <w:t>There is no significant difference in the opinions of students, service</w:t>
            </w:r>
            <w:r>
              <w:rPr>
                <w:spacing w:val="-10"/>
                <w:sz w:val="24"/>
              </w:rPr>
              <w:t> </w:t>
            </w:r>
            <w:r>
              <w:rPr>
                <w:sz w:val="24"/>
              </w:rPr>
              <w:t>staff</w:t>
            </w:r>
            <w:r>
              <w:rPr>
                <w:spacing w:val="-13"/>
                <w:sz w:val="24"/>
              </w:rPr>
              <w:t> </w:t>
            </w:r>
            <w:r>
              <w:rPr>
                <w:sz w:val="24"/>
              </w:rPr>
              <w:t>and</w:t>
            </w:r>
            <w:r>
              <w:rPr>
                <w:spacing w:val="-10"/>
                <w:sz w:val="24"/>
              </w:rPr>
              <w:t> </w:t>
            </w:r>
            <w:r>
              <w:rPr>
                <w:sz w:val="24"/>
              </w:rPr>
              <w:t>top</w:t>
            </w:r>
            <w:r>
              <w:rPr>
                <w:spacing w:val="-10"/>
                <w:sz w:val="24"/>
              </w:rPr>
              <w:t> </w:t>
            </w:r>
            <w:r>
              <w:rPr>
                <w:sz w:val="24"/>
              </w:rPr>
              <w:t>management staff in respect of the application of perceived strategies for effective management of students’ welfare in the universities in three geopolitical</w:t>
            </w:r>
          </w:p>
          <w:p>
            <w:pPr>
              <w:pStyle w:val="TableParagraph"/>
              <w:spacing w:line="258" w:lineRule="exact"/>
              <w:ind w:left="109"/>
              <w:rPr>
                <w:sz w:val="24"/>
              </w:rPr>
            </w:pPr>
            <w:r>
              <w:rPr>
                <w:sz w:val="24"/>
              </w:rPr>
              <w:t>zones</w:t>
            </w:r>
            <w:r>
              <w:rPr>
                <w:spacing w:val="-5"/>
                <w:sz w:val="24"/>
              </w:rPr>
              <w:t> </w:t>
            </w:r>
            <w:r>
              <w:rPr>
                <w:sz w:val="24"/>
              </w:rPr>
              <w:t>in Northern</w:t>
            </w:r>
            <w:r>
              <w:rPr>
                <w:spacing w:val="-4"/>
                <w:sz w:val="24"/>
              </w:rPr>
              <w:t> </w:t>
            </w:r>
            <w:r>
              <w:rPr>
                <w:sz w:val="24"/>
              </w:rPr>
              <w:t>part</w:t>
            </w:r>
            <w:r>
              <w:rPr>
                <w:spacing w:val="-4"/>
                <w:sz w:val="24"/>
              </w:rPr>
              <w:t> </w:t>
            </w:r>
            <w:r>
              <w:rPr>
                <w:sz w:val="24"/>
              </w:rPr>
              <w:t>of </w:t>
            </w:r>
            <w:r>
              <w:rPr>
                <w:spacing w:val="-2"/>
                <w:sz w:val="24"/>
              </w:rPr>
              <w:t>Nigeria</w:t>
            </w:r>
          </w:p>
        </w:tc>
        <w:tc>
          <w:tcPr>
            <w:tcW w:w="1964" w:type="dxa"/>
          </w:tcPr>
          <w:p>
            <w:pPr>
              <w:pStyle w:val="TableParagraph"/>
              <w:ind w:left="104" w:right="379"/>
              <w:rPr>
                <w:sz w:val="24"/>
              </w:rPr>
            </w:pPr>
            <w:r>
              <w:rPr>
                <w:sz w:val="24"/>
              </w:rPr>
              <w:t>Analysis</w:t>
            </w:r>
            <w:r>
              <w:rPr>
                <w:spacing w:val="-17"/>
                <w:sz w:val="24"/>
              </w:rPr>
              <w:t> </w:t>
            </w:r>
            <w:r>
              <w:rPr>
                <w:sz w:val="24"/>
              </w:rPr>
              <w:t>of </w:t>
            </w:r>
            <w:r>
              <w:rPr>
                <w:spacing w:val="-2"/>
                <w:sz w:val="24"/>
              </w:rPr>
              <w:t>Variance (ANOVA)</w:t>
            </w:r>
          </w:p>
        </w:tc>
        <w:tc>
          <w:tcPr>
            <w:tcW w:w="2142" w:type="dxa"/>
          </w:tcPr>
          <w:p>
            <w:pPr>
              <w:pStyle w:val="TableParagraph"/>
              <w:ind w:left="108"/>
              <w:rPr>
                <w:sz w:val="24"/>
              </w:rPr>
            </w:pPr>
            <w:r>
              <w:rPr>
                <w:sz w:val="24"/>
              </w:rPr>
              <w:t>F.</w:t>
            </w:r>
            <w:r>
              <w:rPr>
                <w:spacing w:val="-11"/>
                <w:sz w:val="24"/>
              </w:rPr>
              <w:t> </w:t>
            </w:r>
            <w:r>
              <w:rPr>
                <w:sz w:val="24"/>
              </w:rPr>
              <w:t>Ratio</w:t>
            </w:r>
            <w:r>
              <w:rPr>
                <w:spacing w:val="-14"/>
                <w:sz w:val="24"/>
              </w:rPr>
              <w:t> </w:t>
            </w:r>
            <w:r>
              <w:rPr>
                <w:sz w:val="24"/>
              </w:rPr>
              <w:t>is</w:t>
            </w:r>
            <w:r>
              <w:rPr>
                <w:spacing w:val="-11"/>
                <w:sz w:val="24"/>
              </w:rPr>
              <w:t> </w:t>
            </w:r>
            <w:r>
              <w:rPr>
                <w:sz w:val="24"/>
              </w:rPr>
              <w:t>2.5787 and computed F Probability is </w:t>
            </w:r>
            <w:r>
              <w:rPr>
                <w:spacing w:val="-2"/>
                <w:sz w:val="24"/>
              </w:rPr>
              <w:t>0.0770</w:t>
            </w:r>
          </w:p>
        </w:tc>
        <w:tc>
          <w:tcPr>
            <w:tcW w:w="1628" w:type="dxa"/>
          </w:tcPr>
          <w:p>
            <w:pPr>
              <w:pStyle w:val="TableParagraph"/>
              <w:spacing w:line="271" w:lineRule="exact"/>
              <w:ind w:left="102"/>
              <w:rPr>
                <w:sz w:val="24"/>
              </w:rPr>
            </w:pPr>
            <w:r>
              <w:rPr>
                <w:spacing w:val="-4"/>
                <w:sz w:val="24"/>
              </w:rPr>
              <w:t>0.05</w:t>
            </w:r>
          </w:p>
        </w:tc>
        <w:tc>
          <w:tcPr>
            <w:tcW w:w="3058" w:type="dxa"/>
          </w:tcPr>
          <w:p>
            <w:pPr>
              <w:pStyle w:val="TableParagraph"/>
              <w:ind w:left="106" w:right="199"/>
              <w:rPr>
                <w:sz w:val="24"/>
              </w:rPr>
            </w:pPr>
            <w:r>
              <w:rPr>
                <w:sz w:val="24"/>
              </w:rPr>
              <w:t>The hypothesis was retained to mean that there was no significant difference</w:t>
            </w:r>
            <w:r>
              <w:rPr>
                <w:spacing w:val="-13"/>
                <w:sz w:val="24"/>
              </w:rPr>
              <w:t> </w:t>
            </w:r>
            <w:r>
              <w:rPr>
                <w:sz w:val="24"/>
              </w:rPr>
              <w:t>in</w:t>
            </w:r>
            <w:r>
              <w:rPr>
                <w:spacing w:val="-10"/>
                <w:sz w:val="24"/>
              </w:rPr>
              <w:t> </w:t>
            </w:r>
            <w:r>
              <w:rPr>
                <w:sz w:val="24"/>
              </w:rPr>
              <w:t>the</w:t>
            </w:r>
            <w:r>
              <w:rPr>
                <w:spacing w:val="-13"/>
                <w:sz w:val="24"/>
              </w:rPr>
              <w:t> </w:t>
            </w:r>
            <w:r>
              <w:rPr>
                <w:sz w:val="24"/>
              </w:rPr>
              <w:t>opinions of respondents.</w:t>
            </w:r>
          </w:p>
        </w:tc>
      </w:tr>
    </w:tbl>
    <w:p>
      <w:pPr>
        <w:spacing w:after="0"/>
        <w:rPr>
          <w:sz w:val="24"/>
        </w:rPr>
        <w:sectPr>
          <w:headerReference w:type="default" r:id="rId497"/>
          <w:footerReference w:type="default" r:id="rId498"/>
          <w:pgSz w:w="15840" w:h="12240" w:orient="landscape"/>
          <w:pgMar w:header="722" w:footer="791" w:top="1340" w:bottom="980" w:left="1220" w:right="1220"/>
        </w:sectPr>
      </w:pPr>
    </w:p>
    <w:p>
      <w:pPr>
        <w:pStyle w:val="BodyText"/>
        <w:spacing w:line="480" w:lineRule="auto" w:before="89"/>
        <w:ind w:left="100" w:right="119" w:firstLine="720"/>
        <w:jc w:val="both"/>
      </w:pPr>
      <w:r>
        <w:rPr/>
        <w:t>From</w:t>
      </w:r>
      <w:r>
        <w:rPr>
          <w:spacing w:val="-3"/>
        </w:rPr>
        <w:t> </w:t>
      </w:r>
      <w:r>
        <w:rPr/>
        <w:t>the summary in table 4.6.1 above, it was observed that hypotheses 2, 3, 9, 10, 12, 18, 19 and 20 were retained while hypotheses 1, 4, 5, 6, 7, 8, 11, 13, 14, 15, 16 and 17 were rejected. With these results the hypotheses can finally be interpreted as:</w:t>
      </w:r>
    </w:p>
    <w:p>
      <w:pPr>
        <w:pStyle w:val="ListParagraph"/>
        <w:numPr>
          <w:ilvl w:val="0"/>
          <w:numId w:val="44"/>
        </w:numPr>
        <w:tabs>
          <w:tab w:pos="818" w:val="left" w:leader="none"/>
          <w:tab w:pos="820" w:val="left" w:leader="none"/>
        </w:tabs>
        <w:spacing w:line="480" w:lineRule="auto" w:before="0" w:after="0"/>
        <w:ind w:left="820" w:right="116" w:hanging="720"/>
        <w:jc w:val="both"/>
        <w:rPr>
          <w:sz w:val="24"/>
        </w:rPr>
      </w:pPr>
      <w:r>
        <w:rPr>
          <w:sz w:val="24"/>
        </w:rPr>
        <w:t>There were significant differences in the opinions of students, service staff and top management in respect of the types and availability of students’ welfare services in the universities in three geopolitical zones in Northern part of Nigeria.</w:t>
      </w:r>
    </w:p>
    <w:p>
      <w:pPr>
        <w:pStyle w:val="ListParagraph"/>
        <w:numPr>
          <w:ilvl w:val="0"/>
          <w:numId w:val="44"/>
        </w:numPr>
        <w:tabs>
          <w:tab w:pos="818" w:val="left" w:leader="none"/>
          <w:tab w:pos="820" w:val="left" w:leader="none"/>
        </w:tabs>
        <w:spacing w:line="480" w:lineRule="auto" w:before="0" w:after="0"/>
        <w:ind w:left="820" w:right="116" w:hanging="720"/>
        <w:jc w:val="both"/>
        <w:rPr>
          <w:sz w:val="24"/>
        </w:rPr>
      </w:pPr>
      <w:r>
        <w:rPr>
          <w:sz w:val="24"/>
        </w:rPr>
        <w:t>There were no significant differences in the opinions of students, service staff</w:t>
      </w:r>
      <w:r>
        <w:rPr>
          <w:spacing w:val="40"/>
          <w:sz w:val="24"/>
        </w:rPr>
        <w:t> </w:t>
      </w:r>
      <w:r>
        <w:rPr>
          <w:sz w:val="24"/>
        </w:rPr>
        <w:t>and top management in respect of the availability and adequacy of social services in the universities in the three geopolitical zones in Northern part of </w:t>
      </w:r>
      <w:r>
        <w:rPr>
          <w:spacing w:val="-2"/>
          <w:sz w:val="24"/>
        </w:rPr>
        <w:t>Nigeria.</w:t>
      </w:r>
    </w:p>
    <w:p>
      <w:pPr>
        <w:pStyle w:val="ListParagraph"/>
        <w:numPr>
          <w:ilvl w:val="0"/>
          <w:numId w:val="44"/>
        </w:numPr>
        <w:tabs>
          <w:tab w:pos="817" w:val="left" w:leader="none"/>
          <w:tab w:pos="820" w:val="left" w:leader="none"/>
        </w:tabs>
        <w:spacing w:line="480" w:lineRule="auto" w:before="0" w:after="0"/>
        <w:ind w:left="820" w:right="116" w:hanging="720"/>
        <w:jc w:val="both"/>
        <w:rPr>
          <w:sz w:val="24"/>
        </w:rPr>
      </w:pPr>
      <w:r>
        <w:rPr>
          <w:sz w:val="24"/>
        </w:rPr>
        <w:t>There were no significant differences in the opinions of students, service staff</w:t>
      </w:r>
      <w:r>
        <w:rPr>
          <w:spacing w:val="40"/>
          <w:sz w:val="24"/>
        </w:rPr>
        <w:t> </w:t>
      </w:r>
      <w:r>
        <w:rPr>
          <w:sz w:val="24"/>
        </w:rPr>
        <w:t>and top management staff in respect of the availability and adequacy of</w:t>
      </w:r>
      <w:r>
        <w:rPr>
          <w:spacing w:val="40"/>
          <w:sz w:val="24"/>
        </w:rPr>
        <w:t> </w:t>
      </w:r>
      <w:r>
        <w:rPr>
          <w:sz w:val="24"/>
        </w:rPr>
        <w:t>academic services in the universities in the three geopolitical zones in Northern part of Nigeria.</w:t>
      </w:r>
    </w:p>
    <w:p>
      <w:pPr>
        <w:pStyle w:val="ListParagraph"/>
        <w:numPr>
          <w:ilvl w:val="0"/>
          <w:numId w:val="44"/>
        </w:numPr>
        <w:tabs>
          <w:tab w:pos="820" w:val="left" w:leader="none"/>
        </w:tabs>
        <w:spacing w:line="480" w:lineRule="auto" w:before="0" w:after="0"/>
        <w:ind w:left="820" w:right="116" w:hanging="720"/>
        <w:jc w:val="both"/>
        <w:rPr>
          <w:sz w:val="24"/>
        </w:rPr>
      </w:pPr>
      <w:r>
        <w:rPr>
          <w:sz w:val="24"/>
        </w:rPr>
        <w:t>There were significant differences in the opinions of students, service staff and top management staff in respect of the availability and adequacy of medical and health services in the universities in the three geopolitical zones in Northern part of Nigeria.</w:t>
      </w:r>
    </w:p>
    <w:p>
      <w:pPr>
        <w:pStyle w:val="ListParagraph"/>
        <w:numPr>
          <w:ilvl w:val="0"/>
          <w:numId w:val="44"/>
        </w:numPr>
        <w:tabs>
          <w:tab w:pos="820" w:val="left" w:leader="none"/>
        </w:tabs>
        <w:spacing w:line="480" w:lineRule="auto" w:before="0" w:after="0"/>
        <w:ind w:left="820" w:right="116" w:hanging="720"/>
        <w:jc w:val="both"/>
        <w:rPr>
          <w:sz w:val="24"/>
        </w:rPr>
      </w:pPr>
      <w:r>
        <w:rPr>
          <w:sz w:val="24"/>
        </w:rPr>
        <w:t>There were significant differences in the opinion of students, services staff and top management staff in respect of the availability and adequacy of environmental services in the universities in the three geopolitical zones in Northern part of Nigeria.</w:t>
      </w:r>
    </w:p>
    <w:p>
      <w:pPr>
        <w:spacing w:after="0" w:line="480" w:lineRule="auto"/>
        <w:jc w:val="both"/>
        <w:rPr>
          <w:sz w:val="24"/>
        </w:rPr>
        <w:sectPr>
          <w:headerReference w:type="default" r:id="rId499"/>
          <w:footerReference w:type="default" r:id="rId500"/>
          <w:pgSz w:w="12240" w:h="15840"/>
          <w:pgMar w:header="722" w:footer="791" w:top="1340" w:bottom="980" w:left="1340" w:right="1320"/>
        </w:sectPr>
      </w:pPr>
    </w:p>
    <w:p>
      <w:pPr>
        <w:pStyle w:val="ListParagraph"/>
        <w:numPr>
          <w:ilvl w:val="0"/>
          <w:numId w:val="44"/>
        </w:numPr>
        <w:tabs>
          <w:tab w:pos="1538" w:val="left" w:leader="none"/>
          <w:tab w:pos="1540" w:val="left" w:leader="none"/>
        </w:tabs>
        <w:spacing w:line="480" w:lineRule="auto" w:before="89" w:after="0"/>
        <w:ind w:left="1540" w:right="117" w:hanging="720"/>
        <w:jc w:val="both"/>
        <w:rPr>
          <w:sz w:val="24"/>
        </w:rPr>
      </w:pPr>
      <w:r>
        <w:rPr>
          <w:sz w:val="24"/>
        </w:rPr>
        <w:t>There was a significant difference in the opinions of students, service staff and top management staff in respect of the impact of the provision and management of diverse services in terms of social, academic, medical health and environmental services on students’ welfare in the universities in the three geopolitical zones in Northern part of Nigeria.</w:t>
      </w:r>
    </w:p>
    <w:p>
      <w:pPr>
        <w:pStyle w:val="ListParagraph"/>
        <w:numPr>
          <w:ilvl w:val="0"/>
          <w:numId w:val="44"/>
        </w:numPr>
        <w:tabs>
          <w:tab w:pos="1537" w:val="left" w:leader="none"/>
          <w:tab w:pos="1540" w:val="left" w:leader="none"/>
        </w:tabs>
        <w:spacing w:line="480" w:lineRule="auto" w:before="0" w:after="0"/>
        <w:ind w:left="1540" w:right="116" w:hanging="720"/>
        <w:jc w:val="both"/>
        <w:rPr>
          <w:sz w:val="24"/>
        </w:rPr>
      </w:pPr>
      <w:r>
        <w:rPr>
          <w:sz w:val="24"/>
        </w:rPr>
        <w:t>There were significant differences in the opinions of students, service staff and top management in respect of the impact of feeding on students’ welfare in the universities in the three geopolitical zones in Northern part</w:t>
      </w:r>
      <w:r>
        <w:rPr>
          <w:spacing w:val="40"/>
          <w:sz w:val="24"/>
        </w:rPr>
        <w:t> </w:t>
      </w:r>
      <w:r>
        <w:rPr>
          <w:sz w:val="24"/>
        </w:rPr>
        <w:t>of Nigeria.</w:t>
      </w:r>
    </w:p>
    <w:p>
      <w:pPr>
        <w:pStyle w:val="ListParagraph"/>
        <w:numPr>
          <w:ilvl w:val="0"/>
          <w:numId w:val="44"/>
        </w:numPr>
        <w:tabs>
          <w:tab w:pos="1537" w:val="left" w:leader="none"/>
          <w:tab w:pos="1540" w:val="left" w:leader="none"/>
        </w:tabs>
        <w:spacing w:line="480" w:lineRule="auto" w:before="0" w:after="0"/>
        <w:ind w:left="1540" w:right="117" w:hanging="720"/>
        <w:jc w:val="both"/>
        <w:rPr>
          <w:sz w:val="24"/>
        </w:rPr>
      </w:pPr>
      <w:r>
        <w:rPr>
          <w:sz w:val="24"/>
        </w:rPr>
        <w:t>There were significant differences in the opinions of students, services staff and top management in respect of the impact of hostel accommodation on students’ welfare in the universities in the three geopolitical zones in Northern part of Nigeria.</w:t>
      </w:r>
    </w:p>
    <w:p>
      <w:pPr>
        <w:pStyle w:val="ListParagraph"/>
        <w:numPr>
          <w:ilvl w:val="0"/>
          <w:numId w:val="44"/>
        </w:numPr>
        <w:tabs>
          <w:tab w:pos="1538" w:val="left" w:leader="none"/>
          <w:tab w:pos="1540" w:val="left" w:leader="none"/>
        </w:tabs>
        <w:spacing w:line="480" w:lineRule="auto" w:before="0" w:after="0"/>
        <w:ind w:left="1540" w:right="117" w:hanging="720"/>
        <w:jc w:val="both"/>
        <w:rPr>
          <w:sz w:val="24"/>
        </w:rPr>
      </w:pPr>
      <w:r>
        <w:rPr>
          <w:sz w:val="24"/>
        </w:rPr>
        <w:t>There was no significant difference in the opinions of students, services staff and top management staff on the impact of guidance and counseling services and students’ welfare in the universities in the three geopolitical zones in Northern part of Nigeria.</w:t>
      </w:r>
    </w:p>
    <w:p>
      <w:pPr>
        <w:pStyle w:val="ListParagraph"/>
        <w:numPr>
          <w:ilvl w:val="0"/>
          <w:numId w:val="44"/>
        </w:numPr>
        <w:tabs>
          <w:tab w:pos="1538" w:val="left" w:leader="none"/>
          <w:tab w:pos="1540" w:val="left" w:leader="none"/>
        </w:tabs>
        <w:spacing w:line="480" w:lineRule="auto" w:before="0" w:after="0"/>
        <w:ind w:left="1540" w:right="119" w:hanging="720"/>
        <w:jc w:val="both"/>
        <w:rPr>
          <w:sz w:val="24"/>
        </w:rPr>
      </w:pPr>
      <w:r>
        <w:rPr>
          <w:sz w:val="24"/>
        </w:rPr>
        <w:t>There were no significant differences in the opinions of students, service staff and top management staff in respect of the impact of sports and recreational activities on students’ welfare in the universities in the three geopolitical zones in Northern part of Nigeria.</w:t>
      </w:r>
    </w:p>
    <w:p>
      <w:pPr>
        <w:pStyle w:val="ListParagraph"/>
        <w:numPr>
          <w:ilvl w:val="0"/>
          <w:numId w:val="44"/>
        </w:numPr>
        <w:tabs>
          <w:tab w:pos="1538" w:val="left" w:leader="none"/>
          <w:tab w:pos="1540" w:val="left" w:leader="none"/>
        </w:tabs>
        <w:spacing w:line="480" w:lineRule="auto" w:before="1" w:after="0"/>
        <w:ind w:left="1540" w:right="121" w:hanging="720"/>
        <w:jc w:val="both"/>
        <w:rPr>
          <w:sz w:val="24"/>
        </w:rPr>
      </w:pPr>
      <w:r>
        <w:rPr>
          <w:sz w:val="24"/>
        </w:rPr>
        <w:t>There were significant differences in the opinions of students, services staff and top management staff with respect to the impact of security and</w:t>
      </w:r>
    </w:p>
    <w:p>
      <w:pPr>
        <w:spacing w:after="0" w:line="480" w:lineRule="auto"/>
        <w:jc w:val="both"/>
        <w:rPr>
          <w:sz w:val="24"/>
        </w:rPr>
        <w:sectPr>
          <w:headerReference w:type="default" r:id="rId501"/>
          <w:footerReference w:type="default" r:id="rId502"/>
          <w:pgSz w:w="12240" w:h="15840"/>
          <w:pgMar w:header="722" w:footer="791" w:top="1340" w:bottom="980" w:left="1340" w:right="1320"/>
        </w:sectPr>
      </w:pPr>
    </w:p>
    <w:p>
      <w:pPr>
        <w:pStyle w:val="BodyText"/>
        <w:spacing w:line="480" w:lineRule="auto" w:before="89"/>
        <w:ind w:left="1540" w:right="115"/>
        <w:jc w:val="both"/>
      </w:pPr>
      <w:r>
        <w:rPr/>
        <w:t>communication services on students’ welfare in the universities in the</w:t>
      </w:r>
      <w:r>
        <w:rPr>
          <w:spacing w:val="40"/>
        </w:rPr>
        <w:t> </w:t>
      </w:r>
      <w:r>
        <w:rPr/>
        <w:t>three geopolitical zones in Northern part of Nigeria.</w:t>
      </w:r>
    </w:p>
    <w:p>
      <w:pPr>
        <w:pStyle w:val="ListParagraph"/>
        <w:numPr>
          <w:ilvl w:val="0"/>
          <w:numId w:val="44"/>
        </w:numPr>
        <w:tabs>
          <w:tab w:pos="1538" w:val="left" w:leader="none"/>
          <w:tab w:pos="1540" w:val="left" w:leader="none"/>
        </w:tabs>
        <w:spacing w:line="480" w:lineRule="auto" w:before="0" w:after="0"/>
        <w:ind w:left="1540" w:right="119" w:hanging="720"/>
        <w:jc w:val="both"/>
        <w:rPr>
          <w:sz w:val="24"/>
        </w:rPr>
      </w:pPr>
      <w:r>
        <w:rPr>
          <w:sz w:val="24"/>
        </w:rPr>
        <w:t>There were no significant differences in the opinions of students services staff and management staff in respect of the impact of transportation services on students’ welfare in the universities in the three geopolitical zones in</w:t>
      </w:r>
      <w:r>
        <w:rPr>
          <w:spacing w:val="40"/>
          <w:sz w:val="24"/>
        </w:rPr>
        <w:t> </w:t>
      </w:r>
      <w:r>
        <w:rPr>
          <w:sz w:val="24"/>
        </w:rPr>
        <w:t>Northern part of Nigeria.</w:t>
      </w:r>
    </w:p>
    <w:p>
      <w:pPr>
        <w:pStyle w:val="ListParagraph"/>
        <w:numPr>
          <w:ilvl w:val="0"/>
          <w:numId w:val="44"/>
        </w:numPr>
        <w:tabs>
          <w:tab w:pos="1538" w:val="left" w:leader="none"/>
          <w:tab w:pos="1540" w:val="left" w:leader="none"/>
        </w:tabs>
        <w:spacing w:line="480" w:lineRule="auto" w:before="0" w:after="0"/>
        <w:ind w:left="1540" w:right="121" w:hanging="720"/>
        <w:jc w:val="both"/>
        <w:rPr>
          <w:sz w:val="24"/>
        </w:rPr>
      </w:pPr>
      <w:r>
        <w:rPr>
          <w:sz w:val="24"/>
        </w:rPr>
        <w:t>There were significant differences in the opinions of students, services staff and top management in respect of the impact of baking and telecommunication services on students’ welfare in the universities in the three geopolitical zones in Northern part of Nigeria.</w:t>
      </w:r>
    </w:p>
    <w:p>
      <w:pPr>
        <w:pStyle w:val="ListParagraph"/>
        <w:numPr>
          <w:ilvl w:val="0"/>
          <w:numId w:val="44"/>
        </w:numPr>
        <w:tabs>
          <w:tab w:pos="1538" w:val="left" w:leader="none"/>
          <w:tab w:pos="1540" w:val="left" w:leader="none"/>
        </w:tabs>
        <w:spacing w:line="480" w:lineRule="auto" w:before="0" w:after="0"/>
        <w:ind w:left="1540" w:right="115" w:hanging="720"/>
        <w:jc w:val="both"/>
        <w:rPr>
          <w:sz w:val="24"/>
        </w:rPr>
      </w:pPr>
      <w:r>
        <w:rPr>
          <w:sz w:val="24"/>
        </w:rPr>
        <w:t>There were significant differences in the opinions of students, service staff and top management in respect of the impact of religious services on students’ welfare in the universities in the three geopolitical zones in Northern part of Nigeria.</w:t>
      </w:r>
    </w:p>
    <w:p>
      <w:pPr>
        <w:pStyle w:val="ListParagraph"/>
        <w:numPr>
          <w:ilvl w:val="0"/>
          <w:numId w:val="44"/>
        </w:numPr>
        <w:tabs>
          <w:tab w:pos="1540" w:val="left" w:leader="none"/>
        </w:tabs>
        <w:spacing w:line="480" w:lineRule="auto" w:before="0" w:after="0"/>
        <w:ind w:left="1540" w:right="119" w:hanging="720"/>
        <w:jc w:val="both"/>
        <w:rPr>
          <w:sz w:val="24"/>
        </w:rPr>
      </w:pPr>
      <w:r>
        <w:rPr>
          <w:sz w:val="24"/>
        </w:rPr>
        <w:t>There were significant differences in the opinions of students, services staff and top management in respect of the impact of library services on students’ welfare in the universities in the three geopolitical zones in Northern part of Nigeria.</w:t>
      </w:r>
    </w:p>
    <w:p>
      <w:pPr>
        <w:pStyle w:val="ListParagraph"/>
        <w:numPr>
          <w:ilvl w:val="0"/>
          <w:numId w:val="44"/>
        </w:numPr>
        <w:tabs>
          <w:tab w:pos="1537" w:val="left" w:leader="none"/>
          <w:tab w:pos="1540" w:val="left" w:leader="none"/>
        </w:tabs>
        <w:spacing w:line="480" w:lineRule="auto" w:before="0" w:after="0"/>
        <w:ind w:left="1540" w:right="117" w:hanging="720"/>
        <w:jc w:val="both"/>
        <w:rPr>
          <w:sz w:val="24"/>
        </w:rPr>
      </w:pPr>
      <w:r>
        <w:rPr>
          <w:sz w:val="24"/>
        </w:rPr>
        <w:t>There were significant differences in the opinions of students, services staff and top management staff in respect of the impact of classrooms lecture halls,</w:t>
      </w:r>
      <w:r>
        <w:rPr>
          <w:spacing w:val="-2"/>
          <w:sz w:val="24"/>
        </w:rPr>
        <w:t> </w:t>
      </w:r>
      <w:r>
        <w:rPr>
          <w:sz w:val="24"/>
        </w:rPr>
        <w:t>laboratories, workshops field trips on students’ welfare in the universities in the three geopolitical zones in Northern part of Nigeria.</w:t>
      </w:r>
    </w:p>
    <w:p>
      <w:pPr>
        <w:spacing w:after="0" w:line="480" w:lineRule="auto"/>
        <w:jc w:val="both"/>
        <w:rPr>
          <w:sz w:val="24"/>
        </w:rPr>
        <w:sectPr>
          <w:headerReference w:type="default" r:id="rId503"/>
          <w:footerReference w:type="default" r:id="rId504"/>
          <w:pgSz w:w="12240" w:h="15840"/>
          <w:pgMar w:header="722" w:footer="791" w:top="1340" w:bottom="980" w:left="1340" w:right="1320"/>
        </w:sectPr>
      </w:pPr>
    </w:p>
    <w:p>
      <w:pPr>
        <w:pStyle w:val="ListParagraph"/>
        <w:numPr>
          <w:ilvl w:val="0"/>
          <w:numId w:val="44"/>
        </w:numPr>
        <w:tabs>
          <w:tab w:pos="1537" w:val="left" w:leader="none"/>
          <w:tab w:pos="1540" w:val="left" w:leader="none"/>
        </w:tabs>
        <w:spacing w:line="480" w:lineRule="auto" w:before="89" w:after="0"/>
        <w:ind w:left="1540" w:right="115" w:hanging="720"/>
        <w:jc w:val="both"/>
        <w:rPr>
          <w:sz w:val="24"/>
        </w:rPr>
      </w:pPr>
      <w:r>
        <w:rPr>
          <w:sz w:val="24"/>
        </w:rPr>
        <w:t>There were differences in the opinions of students, services staff and top management staff in respect the impact and influence of information technology services on students’ welfare services in the universities in three geopolitical zones in the Northern part of Nigeria.</w:t>
      </w:r>
    </w:p>
    <w:p>
      <w:pPr>
        <w:pStyle w:val="ListParagraph"/>
        <w:numPr>
          <w:ilvl w:val="0"/>
          <w:numId w:val="44"/>
        </w:numPr>
        <w:tabs>
          <w:tab w:pos="1536" w:val="left" w:leader="none"/>
          <w:tab w:pos="1540" w:val="left" w:leader="none"/>
        </w:tabs>
        <w:spacing w:line="480" w:lineRule="auto" w:before="0" w:after="0"/>
        <w:ind w:left="1540" w:right="117" w:hanging="720"/>
        <w:jc w:val="both"/>
        <w:rPr>
          <w:sz w:val="24"/>
        </w:rPr>
      </w:pPr>
      <w:r>
        <w:rPr>
          <w:sz w:val="24"/>
        </w:rPr>
        <w:t>There were no significant differences in the opinion of students, service staff and top management staff in respect of the impact of medical and health services on students’ welfare in the universities in the three geopolitical zones in Northern part of Nigeria.</w:t>
      </w:r>
    </w:p>
    <w:p>
      <w:pPr>
        <w:pStyle w:val="ListParagraph"/>
        <w:numPr>
          <w:ilvl w:val="0"/>
          <w:numId w:val="44"/>
        </w:numPr>
        <w:tabs>
          <w:tab w:pos="1538" w:val="left" w:leader="none"/>
          <w:tab w:pos="1540" w:val="left" w:leader="none"/>
        </w:tabs>
        <w:spacing w:line="480" w:lineRule="auto" w:before="0" w:after="0"/>
        <w:ind w:left="1540" w:right="119" w:hanging="720"/>
        <w:jc w:val="both"/>
        <w:rPr>
          <w:sz w:val="24"/>
        </w:rPr>
      </w:pPr>
      <w:r>
        <w:rPr>
          <w:sz w:val="24"/>
        </w:rPr>
        <w:t>There were no significant differences in the opinions of students, service staff and top management in respect of the impact of environmental service on students’ welfare in the universities in the three geopolitical zones in Northern part of Nigeria.</w:t>
      </w:r>
    </w:p>
    <w:p>
      <w:pPr>
        <w:pStyle w:val="ListParagraph"/>
        <w:numPr>
          <w:ilvl w:val="0"/>
          <w:numId w:val="44"/>
        </w:numPr>
        <w:tabs>
          <w:tab w:pos="1540" w:val="left" w:leader="none"/>
        </w:tabs>
        <w:spacing w:line="480" w:lineRule="auto" w:before="0" w:after="0"/>
        <w:ind w:left="1540" w:right="119" w:hanging="720"/>
        <w:jc w:val="both"/>
        <w:rPr>
          <w:sz w:val="24"/>
        </w:rPr>
      </w:pPr>
      <w:r>
        <w:rPr>
          <w:sz w:val="24"/>
        </w:rPr>
        <w:t>There were no significant differences in the opinions of students, service staff and top management staff in respect of the perceived strategies for effective management of students’ welfare services in the universities in the three geopolitical zones in Northern part of Nigeria.</w:t>
      </w:r>
    </w:p>
    <w:p>
      <w:pPr>
        <w:spacing w:after="0" w:line="480" w:lineRule="auto"/>
        <w:jc w:val="both"/>
        <w:rPr>
          <w:sz w:val="24"/>
        </w:rPr>
        <w:sectPr>
          <w:headerReference w:type="default" r:id="rId505"/>
          <w:footerReference w:type="default" r:id="rId506"/>
          <w:pgSz w:w="12240" w:h="15840"/>
          <w:pgMar w:header="722" w:footer="791" w:top="1340" w:bottom="980" w:left="1340" w:right="1320"/>
        </w:sectPr>
      </w:pPr>
    </w:p>
    <w:p>
      <w:pPr>
        <w:pStyle w:val="Heading2"/>
        <w:numPr>
          <w:ilvl w:val="1"/>
          <w:numId w:val="39"/>
        </w:numPr>
        <w:tabs>
          <w:tab w:pos="819" w:val="left" w:leader="none"/>
        </w:tabs>
        <w:spacing w:line="240" w:lineRule="auto" w:before="85" w:after="0"/>
        <w:ind w:left="819" w:right="0" w:hanging="719"/>
        <w:jc w:val="left"/>
        <w:rPr>
          <w:rFonts w:ascii="Arial MT"/>
          <w:b w:val="0"/>
        </w:rPr>
      </w:pPr>
      <w:bookmarkStart w:name="_TOC_250004" w:id="64"/>
      <w:r>
        <w:rPr/>
        <w:t>Discussions</w:t>
      </w:r>
      <w:r>
        <w:rPr>
          <w:spacing w:val="-6"/>
        </w:rPr>
        <w:t> </w:t>
      </w:r>
      <w:r>
        <w:rPr/>
        <w:t>of</w:t>
      </w:r>
      <w:r>
        <w:rPr>
          <w:spacing w:val="-7"/>
        </w:rPr>
        <w:t> </w:t>
      </w:r>
      <w:r>
        <w:rPr/>
        <w:t>the</w:t>
      </w:r>
      <w:r>
        <w:rPr>
          <w:spacing w:val="-6"/>
        </w:rPr>
        <w:t> </w:t>
      </w:r>
      <w:bookmarkEnd w:id="64"/>
      <w:r>
        <w:rPr>
          <w:spacing w:val="-2"/>
        </w:rPr>
        <w:t>findings</w:t>
      </w:r>
    </w:p>
    <w:p>
      <w:pPr>
        <w:pStyle w:val="ListParagraph"/>
        <w:numPr>
          <w:ilvl w:val="2"/>
          <w:numId w:val="39"/>
        </w:numPr>
        <w:tabs>
          <w:tab w:pos="817" w:val="left" w:leader="none"/>
          <w:tab w:pos="820" w:val="left" w:leader="none"/>
        </w:tabs>
        <w:spacing w:line="240" w:lineRule="auto" w:before="321" w:after="0"/>
        <w:ind w:left="820" w:right="122" w:hanging="720"/>
        <w:jc w:val="both"/>
        <w:rPr>
          <w:sz w:val="28"/>
        </w:rPr>
      </w:pPr>
      <w:r>
        <w:rPr>
          <w:rFonts w:ascii="Arial" w:hAnsi="Arial"/>
          <w:b/>
          <w:sz w:val="28"/>
        </w:rPr>
        <w:t>Opinions of respondents on the types and adequacy of</w:t>
      </w:r>
      <w:r>
        <w:rPr>
          <w:rFonts w:ascii="Arial" w:hAnsi="Arial"/>
          <w:b/>
          <w:spacing w:val="40"/>
          <w:sz w:val="28"/>
        </w:rPr>
        <w:t> </w:t>
      </w:r>
      <w:r>
        <w:rPr>
          <w:rFonts w:ascii="Arial" w:hAnsi="Arial"/>
          <w:b/>
          <w:sz w:val="28"/>
        </w:rPr>
        <w:t>students’ welfare services in universities in the three</w:t>
      </w:r>
      <w:r>
        <w:rPr>
          <w:rFonts w:ascii="Arial" w:hAnsi="Arial"/>
          <w:b/>
          <w:spacing w:val="40"/>
          <w:sz w:val="28"/>
        </w:rPr>
        <w:t> </w:t>
      </w:r>
      <w:r>
        <w:rPr>
          <w:rFonts w:ascii="Arial" w:hAnsi="Arial"/>
          <w:b/>
          <w:sz w:val="28"/>
        </w:rPr>
        <w:t>geopolitical zones in Northern part of Nigeria</w:t>
      </w:r>
    </w:p>
    <w:p>
      <w:pPr>
        <w:pStyle w:val="BodyText"/>
        <w:spacing w:line="480" w:lineRule="auto" w:before="281"/>
        <w:ind w:left="820" w:right="116" w:firstLine="720"/>
        <w:jc w:val="both"/>
      </w:pPr>
      <w:r>
        <w:rPr/>
        <w:t>The hypothesis which sought the opinions of respondents regarding the types</w:t>
      </w:r>
      <w:r>
        <w:rPr>
          <w:spacing w:val="-3"/>
        </w:rPr>
        <w:t> </w:t>
      </w:r>
      <w:r>
        <w:rPr/>
        <w:t>of</w:t>
      </w:r>
      <w:r>
        <w:rPr>
          <w:spacing w:val="-3"/>
        </w:rPr>
        <w:t> </w:t>
      </w:r>
      <w:r>
        <w:rPr/>
        <w:t>possible</w:t>
      </w:r>
      <w:r>
        <w:rPr>
          <w:spacing w:val="-2"/>
        </w:rPr>
        <w:t> </w:t>
      </w:r>
      <w:r>
        <w:rPr/>
        <w:t>students’</w:t>
      </w:r>
      <w:r>
        <w:rPr>
          <w:spacing w:val="-3"/>
        </w:rPr>
        <w:t> </w:t>
      </w:r>
      <w:r>
        <w:rPr/>
        <w:t>welfare</w:t>
      </w:r>
      <w:r>
        <w:rPr>
          <w:spacing w:val="-2"/>
        </w:rPr>
        <w:t> </w:t>
      </w:r>
      <w:r>
        <w:rPr/>
        <w:t>services</w:t>
      </w:r>
      <w:r>
        <w:rPr>
          <w:spacing w:val="-3"/>
        </w:rPr>
        <w:t> </w:t>
      </w:r>
      <w:r>
        <w:rPr/>
        <w:t>and</w:t>
      </w:r>
      <w:r>
        <w:rPr>
          <w:spacing w:val="-2"/>
        </w:rPr>
        <w:t> </w:t>
      </w:r>
      <w:r>
        <w:rPr/>
        <w:t>their</w:t>
      </w:r>
      <w:r>
        <w:rPr>
          <w:spacing w:val="-1"/>
        </w:rPr>
        <w:t> </w:t>
      </w:r>
      <w:r>
        <w:rPr/>
        <w:t>adequacy</w:t>
      </w:r>
      <w:r>
        <w:rPr>
          <w:spacing w:val="-8"/>
        </w:rPr>
        <w:t> </w:t>
      </w:r>
      <w:r>
        <w:rPr/>
        <w:t>in</w:t>
      </w:r>
      <w:r>
        <w:rPr>
          <w:spacing w:val="-2"/>
        </w:rPr>
        <w:t> </w:t>
      </w:r>
      <w:r>
        <w:rPr/>
        <w:t>the</w:t>
      </w:r>
      <w:r>
        <w:rPr>
          <w:spacing w:val="-2"/>
        </w:rPr>
        <w:t> </w:t>
      </w:r>
      <w:r>
        <w:rPr/>
        <w:t>universities in</w:t>
      </w:r>
      <w:r>
        <w:rPr>
          <w:spacing w:val="-2"/>
        </w:rPr>
        <w:t> </w:t>
      </w:r>
      <w:r>
        <w:rPr/>
        <w:t>the</w:t>
      </w:r>
      <w:r>
        <w:rPr>
          <w:spacing w:val="-2"/>
        </w:rPr>
        <w:t> </w:t>
      </w:r>
      <w:r>
        <w:rPr/>
        <w:t>three</w:t>
      </w:r>
      <w:r>
        <w:rPr>
          <w:spacing w:val="-2"/>
        </w:rPr>
        <w:t> </w:t>
      </w:r>
      <w:r>
        <w:rPr/>
        <w:t>geopolitical zones</w:t>
      </w:r>
      <w:r>
        <w:rPr>
          <w:spacing w:val="-8"/>
        </w:rPr>
        <w:t> </w:t>
      </w:r>
      <w:r>
        <w:rPr/>
        <w:t>in</w:t>
      </w:r>
      <w:r>
        <w:rPr>
          <w:spacing w:val="-2"/>
        </w:rPr>
        <w:t> </w:t>
      </w:r>
      <w:r>
        <w:rPr/>
        <w:t>Northern</w:t>
      </w:r>
      <w:r>
        <w:rPr>
          <w:spacing w:val="-2"/>
        </w:rPr>
        <w:t> </w:t>
      </w:r>
      <w:r>
        <w:rPr/>
        <w:t>part</w:t>
      </w:r>
      <w:r>
        <w:rPr>
          <w:spacing w:val="-3"/>
        </w:rPr>
        <w:t> </w:t>
      </w:r>
      <w:r>
        <w:rPr/>
        <w:t>of</w:t>
      </w:r>
      <w:r>
        <w:rPr>
          <w:spacing w:val="-3"/>
        </w:rPr>
        <w:t> </w:t>
      </w:r>
      <w:r>
        <w:rPr/>
        <w:t>Nigeria</w:t>
      </w:r>
      <w:r>
        <w:rPr>
          <w:spacing w:val="-2"/>
        </w:rPr>
        <w:t> </w:t>
      </w:r>
      <w:r>
        <w:rPr/>
        <w:t>revealed</w:t>
      </w:r>
      <w:r>
        <w:rPr>
          <w:spacing w:val="-2"/>
        </w:rPr>
        <w:t> </w:t>
      </w:r>
      <w:r>
        <w:rPr/>
        <w:t>that</w:t>
      </w:r>
      <w:r>
        <w:rPr>
          <w:spacing w:val="-3"/>
        </w:rPr>
        <w:t> </w:t>
      </w:r>
      <w:r>
        <w:rPr/>
        <w:t>majority</w:t>
      </w:r>
      <w:r>
        <w:rPr>
          <w:spacing w:val="-3"/>
        </w:rPr>
        <w:t> </w:t>
      </w:r>
      <w:r>
        <w:rPr/>
        <w:t>of students did not agree that the services were available and adequate in the universities. In the contrary, majority of the service staff and management maintained</w:t>
      </w:r>
      <w:r>
        <w:rPr>
          <w:spacing w:val="-3"/>
        </w:rPr>
        <w:t> </w:t>
      </w:r>
      <w:r>
        <w:rPr/>
        <w:t>that the</w:t>
      </w:r>
      <w:r>
        <w:rPr>
          <w:spacing w:val="-3"/>
        </w:rPr>
        <w:t> </w:t>
      </w:r>
      <w:r>
        <w:rPr/>
        <w:t>services were adequate and available.</w:t>
      </w:r>
      <w:r>
        <w:rPr>
          <w:spacing w:val="-4"/>
        </w:rPr>
        <w:t> </w:t>
      </w:r>
      <w:r>
        <w:rPr/>
        <w:t>The</w:t>
      </w:r>
      <w:r>
        <w:rPr>
          <w:spacing w:val="-3"/>
        </w:rPr>
        <w:t> </w:t>
      </w:r>
      <w:r>
        <w:rPr/>
        <w:t>opinion</w:t>
      </w:r>
      <w:r>
        <w:rPr>
          <w:spacing w:val="-3"/>
        </w:rPr>
        <w:t> </w:t>
      </w:r>
      <w:r>
        <w:rPr/>
        <w:t>of service staff and management compared with that of students could be interpreted to mean that though, there was a strong belief by the former that the 32 perceived services reflected in the list were available in the universities, the later, being the beneficiaries of those services, did not agree that the services were adequately provided and managed.</w:t>
      </w:r>
    </w:p>
    <w:p>
      <w:pPr>
        <w:pStyle w:val="BodyText"/>
        <w:spacing w:line="480" w:lineRule="auto" w:before="1"/>
        <w:ind w:left="820" w:right="113" w:firstLine="720"/>
        <w:jc w:val="both"/>
      </w:pPr>
      <w:r>
        <w:rPr/>
        <w:t>To show their solidarity, students had quite often demonstrated against</w:t>
      </w:r>
      <w:r>
        <w:rPr>
          <w:spacing w:val="80"/>
        </w:rPr>
        <w:t> </w:t>
      </w:r>
      <w:r>
        <w:rPr/>
        <w:t>the lack of provision of facilities/services for them by the university management. For instance, the students’ riot in Ahmadu Bello University (ABU) in 1981 over</w:t>
      </w:r>
      <w:r>
        <w:rPr>
          <w:spacing w:val="40"/>
        </w:rPr>
        <w:t> </w:t>
      </w:r>
      <w:r>
        <w:rPr/>
        <w:t>the non inclusion of rice in their menu, the students’ unrest in University of</w:t>
      </w:r>
      <w:r>
        <w:rPr>
          <w:spacing w:val="80"/>
        </w:rPr>
        <w:t> </w:t>
      </w:r>
      <w:r>
        <w:rPr/>
        <w:t>Ibadan in 1971 over poor quality of food, the ABU MSS and FCS religious clash in 1987; Bayero University, Kano (BUK) students’ demonstration on the poor hygienic condition of inexperienced kitchen staff, and poor quality of inexperienced kitchen staff in 1977 and various demonstrations on the absence and</w:t>
      </w:r>
      <w:r>
        <w:rPr>
          <w:spacing w:val="52"/>
          <w:w w:val="150"/>
        </w:rPr>
        <w:t> </w:t>
      </w:r>
      <w:r>
        <w:rPr/>
        <w:t>poor</w:t>
      </w:r>
      <w:r>
        <w:rPr>
          <w:spacing w:val="53"/>
          <w:w w:val="150"/>
        </w:rPr>
        <w:t> </w:t>
      </w:r>
      <w:r>
        <w:rPr/>
        <w:t>water</w:t>
      </w:r>
      <w:r>
        <w:rPr>
          <w:spacing w:val="52"/>
          <w:w w:val="150"/>
        </w:rPr>
        <w:t> </w:t>
      </w:r>
      <w:r>
        <w:rPr/>
        <w:t>supply</w:t>
      </w:r>
      <w:r>
        <w:rPr>
          <w:spacing w:val="51"/>
          <w:w w:val="150"/>
        </w:rPr>
        <w:t> </w:t>
      </w:r>
      <w:r>
        <w:rPr/>
        <w:t>and</w:t>
      </w:r>
      <w:r>
        <w:rPr>
          <w:spacing w:val="53"/>
          <w:w w:val="150"/>
        </w:rPr>
        <w:t> </w:t>
      </w:r>
      <w:r>
        <w:rPr/>
        <w:t>electricity</w:t>
      </w:r>
      <w:r>
        <w:rPr>
          <w:spacing w:val="50"/>
          <w:w w:val="150"/>
        </w:rPr>
        <w:t> </w:t>
      </w:r>
      <w:r>
        <w:rPr/>
        <w:t>cut-offs</w:t>
      </w:r>
      <w:r>
        <w:rPr>
          <w:spacing w:val="52"/>
          <w:w w:val="150"/>
        </w:rPr>
        <w:t> </w:t>
      </w:r>
      <w:r>
        <w:rPr/>
        <w:t>were</w:t>
      </w:r>
      <w:r>
        <w:rPr>
          <w:spacing w:val="52"/>
          <w:w w:val="150"/>
        </w:rPr>
        <w:t> </w:t>
      </w:r>
      <w:r>
        <w:rPr/>
        <w:t>best</w:t>
      </w:r>
      <w:r>
        <w:rPr>
          <w:spacing w:val="52"/>
          <w:w w:val="150"/>
        </w:rPr>
        <w:t> </w:t>
      </w:r>
      <w:r>
        <w:rPr/>
        <w:t>examples</w:t>
      </w:r>
      <w:r>
        <w:rPr>
          <w:spacing w:val="51"/>
          <w:w w:val="150"/>
        </w:rPr>
        <w:t> </w:t>
      </w:r>
      <w:r>
        <w:rPr/>
        <w:t>of</w:t>
      </w:r>
      <w:r>
        <w:rPr>
          <w:spacing w:val="51"/>
          <w:w w:val="150"/>
        </w:rPr>
        <w:t> </w:t>
      </w:r>
      <w:r>
        <w:rPr>
          <w:spacing w:val="-5"/>
        </w:rPr>
        <w:t>the</w:t>
      </w:r>
    </w:p>
    <w:p>
      <w:pPr>
        <w:spacing w:after="0" w:line="480" w:lineRule="auto"/>
        <w:jc w:val="both"/>
        <w:sectPr>
          <w:headerReference w:type="default" r:id="rId507"/>
          <w:footerReference w:type="default" r:id="rId508"/>
          <w:pgSz w:w="12240" w:h="15840"/>
          <w:pgMar w:header="722" w:footer="791" w:top="1340" w:bottom="980" w:left="1340" w:right="1320"/>
        </w:sectPr>
      </w:pPr>
    </w:p>
    <w:p>
      <w:pPr>
        <w:pStyle w:val="BodyText"/>
        <w:spacing w:line="480" w:lineRule="auto" w:before="89"/>
        <w:ind w:left="820" w:right="94"/>
      </w:pPr>
      <w:r>
        <w:rPr/>
        <w:t>inadequacy and poor management of the types of students’ welfare services in</w:t>
      </w:r>
      <w:r>
        <w:rPr>
          <w:spacing w:val="40"/>
        </w:rPr>
        <w:t> </w:t>
      </w:r>
      <w:r>
        <w:rPr/>
        <w:t>the universities in the three geopolitical zones in the Northern part of Nigeria.</w:t>
      </w:r>
    </w:p>
    <w:p>
      <w:pPr>
        <w:pStyle w:val="Heading2"/>
        <w:numPr>
          <w:ilvl w:val="2"/>
          <w:numId w:val="39"/>
        </w:numPr>
        <w:tabs>
          <w:tab w:pos="817" w:val="left" w:leader="none"/>
          <w:tab w:pos="820" w:val="left" w:leader="none"/>
        </w:tabs>
        <w:spacing w:line="240" w:lineRule="auto" w:before="0" w:after="0"/>
        <w:ind w:left="820" w:right="122" w:hanging="720"/>
        <w:jc w:val="left"/>
        <w:rPr>
          <w:rFonts w:ascii="Arial MT"/>
          <w:b w:val="0"/>
        </w:rPr>
      </w:pPr>
      <w:r>
        <w:rPr/>
        <w:t>Opinions</w:t>
      </w:r>
      <w:r>
        <w:rPr>
          <w:spacing w:val="40"/>
        </w:rPr>
        <w:t> </w:t>
      </w:r>
      <w:r>
        <w:rPr/>
        <w:t>of</w:t>
      </w:r>
      <w:r>
        <w:rPr>
          <w:spacing w:val="40"/>
        </w:rPr>
        <w:t> </w:t>
      </w:r>
      <w:r>
        <w:rPr/>
        <w:t>respondents</w:t>
      </w:r>
      <w:r>
        <w:rPr>
          <w:spacing w:val="40"/>
        </w:rPr>
        <w:t> </w:t>
      </w:r>
      <w:r>
        <w:rPr/>
        <w:t>on</w:t>
      </w:r>
      <w:r>
        <w:rPr>
          <w:spacing w:val="40"/>
        </w:rPr>
        <w:t> </w:t>
      </w:r>
      <w:r>
        <w:rPr/>
        <w:t>the</w:t>
      </w:r>
      <w:r>
        <w:rPr>
          <w:spacing w:val="40"/>
        </w:rPr>
        <w:t> </w:t>
      </w:r>
      <w:r>
        <w:rPr/>
        <w:t>availability</w:t>
      </w:r>
      <w:r>
        <w:rPr>
          <w:spacing w:val="40"/>
        </w:rPr>
        <w:t> </w:t>
      </w:r>
      <w:r>
        <w:rPr/>
        <w:t>and</w:t>
      </w:r>
      <w:r>
        <w:rPr>
          <w:spacing w:val="40"/>
        </w:rPr>
        <w:t> </w:t>
      </w:r>
      <w:r>
        <w:rPr/>
        <w:t>adequacy</w:t>
      </w:r>
      <w:r>
        <w:rPr>
          <w:spacing w:val="40"/>
        </w:rPr>
        <w:t> </w:t>
      </w:r>
      <w:r>
        <w:rPr/>
        <w:t>of</w:t>
      </w:r>
      <w:r>
        <w:rPr>
          <w:spacing w:val="40"/>
        </w:rPr>
        <w:t> </w:t>
      </w:r>
      <w:r>
        <w:rPr/>
        <w:t>social welfare services in universities under study</w:t>
      </w:r>
    </w:p>
    <w:p>
      <w:pPr>
        <w:pStyle w:val="BodyText"/>
        <w:spacing w:line="480" w:lineRule="auto" w:before="320"/>
        <w:ind w:left="820" w:right="114" w:firstLine="720"/>
        <w:jc w:val="both"/>
      </w:pPr>
      <w:r>
        <w:rPr/>
        <w:t>In hypothesis two, it was revealed that majority of the three groups of respondents</w:t>
      </w:r>
      <w:r>
        <w:rPr>
          <w:spacing w:val="-2"/>
        </w:rPr>
        <w:t> </w:t>
      </w:r>
      <w:r>
        <w:rPr/>
        <w:t>agreed</w:t>
      </w:r>
      <w:r>
        <w:rPr>
          <w:spacing w:val="-1"/>
        </w:rPr>
        <w:t> </w:t>
      </w:r>
      <w:r>
        <w:rPr/>
        <w:t>that</w:t>
      </w:r>
      <w:r>
        <w:rPr>
          <w:spacing w:val="-2"/>
        </w:rPr>
        <w:t> </w:t>
      </w:r>
      <w:r>
        <w:rPr/>
        <w:t>the</w:t>
      </w:r>
      <w:r>
        <w:rPr>
          <w:spacing w:val="-1"/>
        </w:rPr>
        <w:t> </w:t>
      </w:r>
      <w:r>
        <w:rPr/>
        <w:t>availability</w:t>
      </w:r>
      <w:r>
        <w:rPr>
          <w:spacing w:val="-1"/>
        </w:rPr>
        <w:t> </w:t>
      </w:r>
      <w:r>
        <w:rPr/>
        <w:t>and</w:t>
      </w:r>
      <w:r>
        <w:rPr>
          <w:spacing w:val="-2"/>
        </w:rPr>
        <w:t> </w:t>
      </w:r>
      <w:r>
        <w:rPr/>
        <w:t>adequacy</w:t>
      </w:r>
      <w:r>
        <w:rPr>
          <w:spacing w:val="-2"/>
        </w:rPr>
        <w:t> </w:t>
      </w:r>
      <w:r>
        <w:rPr/>
        <w:t>of</w:t>
      </w:r>
      <w:r>
        <w:rPr>
          <w:spacing w:val="-2"/>
        </w:rPr>
        <w:t> </w:t>
      </w:r>
      <w:r>
        <w:rPr/>
        <w:t>all services</w:t>
      </w:r>
      <w:r>
        <w:rPr>
          <w:spacing w:val="-2"/>
        </w:rPr>
        <w:t> </w:t>
      </w:r>
      <w:r>
        <w:rPr/>
        <w:t>regarded</w:t>
      </w:r>
      <w:r>
        <w:rPr>
          <w:spacing w:val="-1"/>
        </w:rPr>
        <w:t> </w:t>
      </w:r>
      <w:r>
        <w:rPr/>
        <w:t>as social welfare services for students, ranging from feeding, hostel</w:t>
      </w:r>
      <w:r>
        <w:rPr>
          <w:spacing w:val="40"/>
        </w:rPr>
        <w:t> </w:t>
      </w:r>
      <w:r>
        <w:rPr/>
        <w:t>accommodation, guidance and counseling, sports and recreation, security and information, transport, facilities, banking, religious services, clubs, societies and associations, shopping, marketing facilities, water and electricity supplies. These facilities</w:t>
      </w:r>
      <w:r>
        <w:rPr>
          <w:spacing w:val="-2"/>
        </w:rPr>
        <w:t> </w:t>
      </w:r>
      <w:r>
        <w:rPr/>
        <w:t>were</w:t>
      </w:r>
      <w:r>
        <w:rPr>
          <w:spacing w:val="-1"/>
        </w:rPr>
        <w:t> </w:t>
      </w:r>
      <w:r>
        <w:rPr/>
        <w:t>believed</w:t>
      </w:r>
      <w:r>
        <w:rPr>
          <w:spacing w:val="-1"/>
        </w:rPr>
        <w:t> </w:t>
      </w:r>
      <w:r>
        <w:rPr/>
        <w:t>to</w:t>
      </w:r>
      <w:r>
        <w:rPr>
          <w:spacing w:val="-1"/>
        </w:rPr>
        <w:t> </w:t>
      </w:r>
      <w:r>
        <w:rPr/>
        <w:t>be</w:t>
      </w:r>
      <w:r>
        <w:rPr>
          <w:spacing w:val="-1"/>
        </w:rPr>
        <w:t> </w:t>
      </w:r>
      <w:r>
        <w:rPr/>
        <w:t>provided</w:t>
      </w:r>
      <w:r>
        <w:rPr>
          <w:spacing w:val="-5"/>
        </w:rPr>
        <w:t> </w:t>
      </w:r>
      <w:r>
        <w:rPr/>
        <w:t>by</w:t>
      </w:r>
      <w:r>
        <w:rPr>
          <w:spacing w:val="-2"/>
        </w:rPr>
        <w:t> </w:t>
      </w:r>
      <w:r>
        <w:rPr/>
        <w:t>the</w:t>
      </w:r>
      <w:r>
        <w:rPr>
          <w:spacing w:val="-5"/>
        </w:rPr>
        <w:t> </w:t>
      </w:r>
      <w:r>
        <w:rPr/>
        <w:t>universities</w:t>
      </w:r>
      <w:r>
        <w:rPr>
          <w:spacing w:val="-7"/>
        </w:rPr>
        <w:t> </w:t>
      </w:r>
      <w:r>
        <w:rPr/>
        <w:t>in</w:t>
      </w:r>
      <w:r>
        <w:rPr>
          <w:spacing w:val="-1"/>
        </w:rPr>
        <w:t> </w:t>
      </w:r>
      <w:r>
        <w:rPr/>
        <w:t>relative</w:t>
      </w:r>
      <w:r>
        <w:rPr>
          <w:spacing w:val="-1"/>
        </w:rPr>
        <w:t> </w:t>
      </w:r>
      <w:r>
        <w:rPr/>
        <w:t>terms</w:t>
      </w:r>
      <w:r>
        <w:rPr>
          <w:spacing w:val="-2"/>
        </w:rPr>
        <w:t> </w:t>
      </w:r>
      <w:r>
        <w:rPr/>
        <w:t>with</w:t>
      </w:r>
      <w:r>
        <w:rPr>
          <w:spacing w:val="-1"/>
        </w:rPr>
        <w:t> </w:t>
      </w:r>
      <w:r>
        <w:rPr/>
        <w:t>the move of some universities to invite private sector participation in the provision</w:t>
      </w:r>
      <w:r>
        <w:rPr>
          <w:spacing w:val="40"/>
        </w:rPr>
        <w:t> </w:t>
      </w:r>
      <w:r>
        <w:rPr/>
        <w:t>and management of some students’ services, particularly, catering and hostel development. The facilities would be available even though the plate and rental charges could be more expensive for poor or average income students.</w:t>
      </w:r>
    </w:p>
    <w:p>
      <w:pPr>
        <w:pStyle w:val="BodyText"/>
        <w:spacing w:line="480" w:lineRule="auto" w:before="1"/>
        <w:ind w:left="820" w:right="116" w:firstLine="720"/>
        <w:jc w:val="both"/>
      </w:pPr>
      <w:r>
        <w:rPr/>
        <w:t>In case of water and electricity supplies some universities run generators and have smaller dams and/or bore holes.</w:t>
      </w:r>
    </w:p>
    <w:p>
      <w:pPr>
        <w:pStyle w:val="BodyText"/>
        <w:spacing w:line="480" w:lineRule="auto"/>
        <w:ind w:left="820" w:right="113" w:firstLine="720"/>
        <w:jc w:val="both"/>
      </w:pPr>
      <w:r>
        <w:rPr/>
        <w:t>It is assumed that since university management had quite often experienced that shortage or complete absence of social services for students, sparked students unrest more easily, they have attached more importance and priority to the provision of the social services to students in the universities so as to cultivate peaceful environment for teaching, research and learning.</w:t>
      </w:r>
    </w:p>
    <w:p>
      <w:pPr>
        <w:spacing w:after="0" w:line="480" w:lineRule="auto"/>
        <w:jc w:val="both"/>
        <w:sectPr>
          <w:headerReference w:type="default" r:id="rId509"/>
          <w:footerReference w:type="default" r:id="rId510"/>
          <w:pgSz w:w="12240" w:h="15840"/>
          <w:pgMar w:header="722" w:footer="791" w:top="1340" w:bottom="980" w:left="1340" w:right="1320"/>
        </w:sectPr>
      </w:pPr>
    </w:p>
    <w:p>
      <w:pPr>
        <w:pStyle w:val="Heading2"/>
        <w:numPr>
          <w:ilvl w:val="2"/>
          <w:numId w:val="39"/>
        </w:numPr>
        <w:tabs>
          <w:tab w:pos="817" w:val="left" w:leader="none"/>
          <w:tab w:pos="820" w:val="left" w:leader="none"/>
        </w:tabs>
        <w:spacing w:line="240" w:lineRule="auto" w:before="85" w:after="0"/>
        <w:ind w:left="820" w:right="121" w:hanging="720"/>
        <w:jc w:val="both"/>
        <w:rPr>
          <w:rFonts w:ascii="Arial MT"/>
          <w:b w:val="0"/>
        </w:rPr>
      </w:pPr>
      <w:r>
        <w:rPr/>
        <w:t>Opinions of respondents on the availability and adequacy of academic welfare services in the universities under study</w:t>
      </w:r>
    </w:p>
    <w:p>
      <w:pPr>
        <w:pStyle w:val="BodyText"/>
        <w:spacing w:line="480" w:lineRule="auto" w:before="281"/>
        <w:ind w:left="820" w:right="115" w:firstLine="720"/>
        <w:jc w:val="both"/>
      </w:pPr>
      <w:r>
        <w:rPr/>
        <w:t>Analysis of hypothesis three which solicited the opinions of respondents</w:t>
      </w:r>
      <w:r>
        <w:rPr>
          <w:spacing w:val="40"/>
        </w:rPr>
        <w:t> </w:t>
      </w:r>
      <w:r>
        <w:rPr/>
        <w:t>on the availability and adequacy of the facilities which make up the academic services in terms of class rooms, lecture theatres, workshops, laboratories, field work/trips libraries, Bookshops, teaching staff, publication facilities, photocopiers and information technology revealed that majority of respondents reached a consensus that the facilities were available and adequate in the universities in</w:t>
      </w:r>
      <w:r>
        <w:rPr>
          <w:spacing w:val="40"/>
        </w:rPr>
        <w:t> </w:t>
      </w:r>
      <w:r>
        <w:rPr/>
        <w:t>the three geopolitical zones in Northern part of Nigeria. It is evident that the provision of all facilities that apply to students’ academic services should be mandatory by the universities if the main goals and objectives of the institutions are to be achieved. Insufficient or inadequate provision of the academic structures and teaching and learning facilities would cause congestion and make teaching and learning difficult to manifest in the universities.</w:t>
      </w:r>
    </w:p>
    <w:p>
      <w:pPr>
        <w:pStyle w:val="BodyText"/>
        <w:spacing w:line="480" w:lineRule="auto" w:before="1"/>
        <w:ind w:left="820" w:right="121" w:firstLine="720"/>
        <w:jc w:val="both"/>
      </w:pPr>
      <w:r>
        <w:rPr/>
        <w:t>It was, therefore,</w:t>
      </w:r>
      <w:r>
        <w:rPr>
          <w:spacing w:val="-3"/>
        </w:rPr>
        <w:t> </w:t>
      </w:r>
      <w:r>
        <w:rPr/>
        <w:t>implied</w:t>
      </w:r>
      <w:r>
        <w:rPr>
          <w:spacing w:val="-4"/>
        </w:rPr>
        <w:t> </w:t>
      </w:r>
      <w:r>
        <w:rPr/>
        <w:t>by respondents that</w:t>
      </w:r>
      <w:r>
        <w:rPr>
          <w:spacing w:val="-5"/>
        </w:rPr>
        <w:t> </w:t>
      </w:r>
      <w:r>
        <w:rPr/>
        <w:t>the universities should make the academic services available and adequate in the universities.</w:t>
      </w:r>
    </w:p>
    <w:p>
      <w:pPr>
        <w:pStyle w:val="Heading2"/>
        <w:numPr>
          <w:ilvl w:val="2"/>
          <w:numId w:val="39"/>
        </w:numPr>
        <w:tabs>
          <w:tab w:pos="817" w:val="left" w:leader="none"/>
          <w:tab w:pos="820" w:val="left" w:leader="none"/>
        </w:tabs>
        <w:spacing w:line="240" w:lineRule="auto" w:before="0" w:after="0"/>
        <w:ind w:left="820" w:right="121" w:hanging="720"/>
        <w:jc w:val="both"/>
        <w:rPr>
          <w:rFonts w:ascii="Arial MT"/>
          <w:b w:val="0"/>
        </w:rPr>
      </w:pPr>
      <w:r>
        <w:rPr/>
        <w:t>Opinions of respondents on the availability and adequacy of medical and health services in universities in the three geopolitical zones in Northern part of Nigeria</w:t>
      </w:r>
    </w:p>
    <w:p>
      <w:pPr>
        <w:pStyle w:val="BodyText"/>
        <w:spacing w:line="480" w:lineRule="auto" w:before="320"/>
        <w:ind w:left="820" w:right="115" w:firstLine="720"/>
        <w:jc w:val="both"/>
      </w:pPr>
      <w:r>
        <w:rPr/>
        <w:t>In attempt to analyse items relating to hypothesis four which solicited the responses of students on the availability and adequacy of medical and health services in the universities, the consensus indicated lack of significant</w:t>
      </w:r>
      <w:r>
        <w:rPr>
          <w:spacing w:val="80"/>
        </w:rPr>
        <w:t> </w:t>
      </w:r>
      <w:r>
        <w:rPr/>
        <w:t>differences in their opinions. This means that the three groups of respondents agreed</w:t>
      </w:r>
      <w:r>
        <w:rPr>
          <w:spacing w:val="61"/>
        </w:rPr>
        <w:t> </w:t>
      </w:r>
      <w:r>
        <w:rPr/>
        <w:t>that</w:t>
      </w:r>
      <w:r>
        <w:rPr>
          <w:spacing w:val="61"/>
        </w:rPr>
        <w:t> </w:t>
      </w:r>
      <w:r>
        <w:rPr/>
        <w:t>the</w:t>
      </w:r>
      <w:r>
        <w:rPr>
          <w:spacing w:val="65"/>
        </w:rPr>
        <w:t> </w:t>
      </w:r>
      <w:r>
        <w:rPr/>
        <w:t>medical</w:t>
      </w:r>
      <w:r>
        <w:rPr>
          <w:spacing w:val="65"/>
        </w:rPr>
        <w:t> </w:t>
      </w:r>
      <w:r>
        <w:rPr/>
        <w:t>and</w:t>
      </w:r>
      <w:r>
        <w:rPr>
          <w:spacing w:val="61"/>
        </w:rPr>
        <w:t> </w:t>
      </w:r>
      <w:r>
        <w:rPr/>
        <w:t>health</w:t>
      </w:r>
      <w:r>
        <w:rPr>
          <w:spacing w:val="62"/>
        </w:rPr>
        <w:t> </w:t>
      </w:r>
      <w:r>
        <w:rPr/>
        <w:t>facilities</w:t>
      </w:r>
      <w:r>
        <w:rPr>
          <w:spacing w:val="61"/>
        </w:rPr>
        <w:t> </w:t>
      </w:r>
      <w:r>
        <w:rPr/>
        <w:t>like</w:t>
      </w:r>
      <w:r>
        <w:rPr>
          <w:spacing w:val="61"/>
        </w:rPr>
        <w:t> </w:t>
      </w:r>
      <w:r>
        <w:rPr/>
        <w:t>clinics,</w:t>
      </w:r>
      <w:r>
        <w:rPr>
          <w:spacing w:val="61"/>
        </w:rPr>
        <w:t> </w:t>
      </w:r>
      <w:r>
        <w:rPr/>
        <w:t>health</w:t>
      </w:r>
      <w:r>
        <w:rPr>
          <w:spacing w:val="61"/>
        </w:rPr>
        <w:t> </w:t>
      </w:r>
      <w:r>
        <w:rPr/>
        <w:t>centres</w:t>
      </w:r>
      <w:r>
        <w:rPr>
          <w:spacing w:val="61"/>
        </w:rPr>
        <w:t> </w:t>
      </w:r>
      <w:r>
        <w:rPr>
          <w:spacing w:val="-5"/>
        </w:rPr>
        <w:t>and</w:t>
      </w:r>
    </w:p>
    <w:p>
      <w:pPr>
        <w:spacing w:after="0" w:line="480" w:lineRule="auto"/>
        <w:jc w:val="both"/>
        <w:sectPr>
          <w:headerReference w:type="default" r:id="rId511"/>
          <w:footerReference w:type="default" r:id="rId512"/>
          <w:pgSz w:w="12240" w:h="15840"/>
          <w:pgMar w:header="722" w:footer="791" w:top="1340" w:bottom="980" w:left="1340" w:right="1320"/>
        </w:sectPr>
      </w:pPr>
    </w:p>
    <w:p>
      <w:pPr>
        <w:pStyle w:val="BodyText"/>
        <w:spacing w:line="480" w:lineRule="auto" w:before="89"/>
        <w:ind w:left="820" w:right="113"/>
        <w:jc w:val="both"/>
      </w:pPr>
      <w:r>
        <w:rPr/>
        <w:t>sickbays and general or teaching hospitals could be available but drugs, medication and inoculations might not be easily accessed by students. Health, which is often referred to as “next to godliness” is very essential to students and staff alike. Good health is a number one priority. This study needs to acknowledge and advocate the</w:t>
      </w:r>
      <w:r>
        <w:rPr>
          <w:spacing w:val="-2"/>
        </w:rPr>
        <w:t> </w:t>
      </w:r>
      <w:r>
        <w:rPr/>
        <w:t>importance attached to the adequate provision of medical and health services on the campuses of the universities.</w:t>
      </w:r>
    </w:p>
    <w:p>
      <w:pPr>
        <w:pStyle w:val="Heading2"/>
        <w:numPr>
          <w:ilvl w:val="2"/>
          <w:numId w:val="39"/>
        </w:numPr>
        <w:tabs>
          <w:tab w:pos="817" w:val="left" w:leader="none"/>
          <w:tab w:pos="820" w:val="left" w:leader="none"/>
        </w:tabs>
        <w:spacing w:line="240" w:lineRule="auto" w:before="0" w:after="0"/>
        <w:ind w:left="820" w:right="122" w:hanging="720"/>
        <w:jc w:val="both"/>
        <w:rPr>
          <w:rFonts w:ascii="Arial MT"/>
          <w:b w:val="0"/>
        </w:rPr>
      </w:pPr>
      <w:r>
        <w:rPr/>
        <w:t>Opinions of respondent on the availability and adequacy of environmental services in the universities in the three geopolitical zones in Northern part of Nigeria</w:t>
      </w:r>
    </w:p>
    <w:p>
      <w:pPr>
        <w:pStyle w:val="BodyText"/>
        <w:spacing w:line="480" w:lineRule="auto" w:before="320"/>
        <w:ind w:left="820" w:right="115" w:firstLine="720"/>
        <w:jc w:val="both"/>
      </w:pPr>
      <w:r>
        <w:rPr/>
        <w:t>In hypothesis five opinions of respondents on the availability and</w:t>
      </w:r>
      <w:r>
        <w:rPr>
          <w:spacing w:val="40"/>
        </w:rPr>
        <w:t> </w:t>
      </w:r>
      <w:r>
        <w:rPr/>
        <w:t>adequacy</w:t>
      </w:r>
      <w:r>
        <w:rPr>
          <w:spacing w:val="-4"/>
        </w:rPr>
        <w:t> </w:t>
      </w:r>
      <w:r>
        <w:rPr/>
        <w:t>of environmental services</w:t>
      </w:r>
      <w:r>
        <w:rPr>
          <w:spacing w:val="-8"/>
        </w:rPr>
        <w:t> </w:t>
      </w:r>
      <w:r>
        <w:rPr/>
        <w:t>in the universities were sought. Although</w:t>
      </w:r>
      <w:r>
        <w:rPr>
          <w:spacing w:val="-3"/>
        </w:rPr>
        <w:t> </w:t>
      </w:r>
      <w:r>
        <w:rPr/>
        <w:t>the opinions of the management and staff seemed to agree that environmental service was available, it is correct to conclude that the opinions of the students which</w:t>
      </w:r>
      <w:r>
        <w:rPr>
          <w:spacing w:val="-2"/>
        </w:rPr>
        <w:t> </w:t>
      </w:r>
      <w:r>
        <w:rPr/>
        <w:t>disagreed</w:t>
      </w:r>
      <w:r>
        <w:rPr>
          <w:spacing w:val="-2"/>
        </w:rPr>
        <w:t> </w:t>
      </w:r>
      <w:r>
        <w:rPr/>
        <w:t>with</w:t>
      </w:r>
      <w:r>
        <w:rPr>
          <w:spacing w:val="-2"/>
        </w:rPr>
        <w:t> </w:t>
      </w:r>
      <w:r>
        <w:rPr/>
        <w:t>the</w:t>
      </w:r>
      <w:r>
        <w:rPr>
          <w:spacing w:val="-2"/>
        </w:rPr>
        <w:t> </w:t>
      </w:r>
      <w:r>
        <w:rPr/>
        <w:t>fact</w:t>
      </w:r>
      <w:r>
        <w:rPr>
          <w:spacing w:val="-3"/>
        </w:rPr>
        <w:t> </w:t>
      </w:r>
      <w:r>
        <w:rPr/>
        <w:t>that</w:t>
      </w:r>
      <w:r>
        <w:rPr>
          <w:spacing w:val="-3"/>
        </w:rPr>
        <w:t> </w:t>
      </w:r>
      <w:r>
        <w:rPr/>
        <w:t>the</w:t>
      </w:r>
      <w:r>
        <w:rPr>
          <w:spacing w:val="-2"/>
        </w:rPr>
        <w:t> </w:t>
      </w:r>
      <w:r>
        <w:rPr/>
        <w:t>environmental facilities</w:t>
      </w:r>
      <w:r>
        <w:rPr>
          <w:spacing w:val="-3"/>
        </w:rPr>
        <w:t> </w:t>
      </w:r>
      <w:r>
        <w:rPr/>
        <w:t>were</w:t>
      </w:r>
      <w:r>
        <w:rPr>
          <w:spacing w:val="-2"/>
        </w:rPr>
        <w:t> </w:t>
      </w:r>
      <w:r>
        <w:rPr/>
        <w:t>lacking</w:t>
      </w:r>
      <w:r>
        <w:rPr>
          <w:spacing w:val="-2"/>
        </w:rPr>
        <w:t> </w:t>
      </w:r>
      <w:r>
        <w:rPr/>
        <w:t>should override since the services were in their favour. It is also true that some universities had improved conducive physical environment but the atmospheric condition and social or human relation of those living in them might be lacking. The</w:t>
      </w:r>
      <w:r>
        <w:rPr>
          <w:spacing w:val="-2"/>
        </w:rPr>
        <w:t> </w:t>
      </w:r>
      <w:r>
        <w:rPr/>
        <w:t>relationship</w:t>
      </w:r>
      <w:r>
        <w:rPr>
          <w:spacing w:val="-2"/>
        </w:rPr>
        <w:t> </w:t>
      </w:r>
      <w:r>
        <w:rPr/>
        <w:t>between</w:t>
      </w:r>
      <w:r>
        <w:rPr>
          <w:spacing w:val="-2"/>
        </w:rPr>
        <w:t> </w:t>
      </w:r>
      <w:r>
        <w:rPr/>
        <w:t>lecturers</w:t>
      </w:r>
      <w:r>
        <w:rPr>
          <w:spacing w:val="-3"/>
        </w:rPr>
        <w:t> </w:t>
      </w:r>
      <w:r>
        <w:rPr/>
        <w:t>and</w:t>
      </w:r>
      <w:r>
        <w:rPr>
          <w:spacing w:val="-2"/>
        </w:rPr>
        <w:t> </w:t>
      </w:r>
      <w:r>
        <w:rPr/>
        <w:t>students</w:t>
      </w:r>
      <w:r>
        <w:rPr>
          <w:spacing w:val="-1"/>
        </w:rPr>
        <w:t> </w:t>
      </w:r>
      <w:r>
        <w:rPr/>
        <w:t>in</w:t>
      </w:r>
      <w:r>
        <w:rPr>
          <w:spacing w:val="-2"/>
        </w:rPr>
        <w:t> </w:t>
      </w:r>
      <w:r>
        <w:rPr/>
        <w:t>particular</w:t>
      </w:r>
      <w:r>
        <w:rPr>
          <w:spacing w:val="-1"/>
        </w:rPr>
        <w:t> </w:t>
      </w:r>
      <w:r>
        <w:rPr/>
        <w:t>should</w:t>
      </w:r>
      <w:r>
        <w:rPr>
          <w:spacing w:val="-2"/>
        </w:rPr>
        <w:t> </w:t>
      </w:r>
      <w:r>
        <w:rPr/>
        <w:t>be</w:t>
      </w:r>
      <w:r>
        <w:rPr>
          <w:spacing w:val="-2"/>
        </w:rPr>
        <w:t> </w:t>
      </w:r>
      <w:r>
        <w:rPr/>
        <w:t>cordial so that the latter feel at liberty to relate very well with the former. This would</w:t>
      </w:r>
      <w:r>
        <w:rPr>
          <w:spacing w:val="80"/>
        </w:rPr>
        <w:t> </w:t>
      </w:r>
      <w:r>
        <w:rPr/>
        <w:t>facilitate their understanding and learning of what they are taught. Similarly, lecturers and other service staff should try to present themselves as surrogate parent for the students so that they feel at home with a spirit of love and care. In such an atmosphere there is the strong belief that students could perform better in their academic work.</w:t>
      </w:r>
    </w:p>
    <w:p>
      <w:pPr>
        <w:spacing w:after="0" w:line="480" w:lineRule="auto"/>
        <w:jc w:val="both"/>
        <w:sectPr>
          <w:headerReference w:type="default" r:id="rId513"/>
          <w:footerReference w:type="default" r:id="rId514"/>
          <w:pgSz w:w="12240" w:h="15840"/>
          <w:pgMar w:header="722" w:footer="791" w:top="1340" w:bottom="980" w:left="1340" w:right="1320"/>
        </w:sectPr>
      </w:pPr>
    </w:p>
    <w:p>
      <w:pPr>
        <w:pStyle w:val="Heading2"/>
        <w:numPr>
          <w:ilvl w:val="2"/>
          <w:numId w:val="39"/>
        </w:numPr>
        <w:tabs>
          <w:tab w:pos="817" w:val="left" w:leader="none"/>
          <w:tab w:pos="820" w:val="left" w:leader="none"/>
        </w:tabs>
        <w:spacing w:line="240" w:lineRule="auto" w:before="85" w:after="0"/>
        <w:ind w:left="820" w:right="121" w:hanging="720"/>
        <w:jc w:val="both"/>
        <w:rPr>
          <w:rFonts w:ascii="Arial MT" w:hAnsi="Arial MT"/>
          <w:b w:val="0"/>
        </w:rPr>
      </w:pPr>
      <w:r>
        <w:rPr/>
        <w:t>Opinions of respondents on the impact of all services (social, academic, medical /health and environmental) on students’ welfare in the universities in the three geopolitical zones in Northern part of Nigeria</w:t>
      </w:r>
    </w:p>
    <w:p>
      <w:pPr>
        <w:pStyle w:val="BodyText"/>
        <w:spacing w:before="1"/>
        <w:rPr>
          <w:rFonts w:ascii="Arial"/>
          <w:b/>
          <w:sz w:val="28"/>
        </w:rPr>
      </w:pPr>
    </w:p>
    <w:p>
      <w:pPr>
        <w:pStyle w:val="BodyText"/>
        <w:spacing w:line="480" w:lineRule="auto" w:before="1"/>
        <w:ind w:left="820" w:right="122" w:firstLine="720"/>
        <w:jc w:val="both"/>
      </w:pPr>
      <w:r>
        <w:rPr/>
        <w:t>Hypothesis six sought the opinions of respondents on the impact of all categories of diverse perceived services in these universities.</w:t>
      </w:r>
    </w:p>
    <w:p>
      <w:pPr>
        <w:pStyle w:val="BodyText"/>
        <w:spacing w:line="480" w:lineRule="auto"/>
        <w:ind w:left="820" w:right="116" w:firstLine="720"/>
        <w:jc w:val="both"/>
      </w:pPr>
      <w:r>
        <w:rPr/>
        <w:t>It</w:t>
      </w:r>
      <w:r>
        <w:rPr>
          <w:spacing w:val="-3"/>
        </w:rPr>
        <w:t> </w:t>
      </w:r>
      <w:r>
        <w:rPr/>
        <w:t>was</w:t>
      </w:r>
      <w:r>
        <w:rPr>
          <w:spacing w:val="-3"/>
        </w:rPr>
        <w:t> </w:t>
      </w:r>
      <w:r>
        <w:rPr/>
        <w:t>revealed</w:t>
      </w:r>
      <w:r>
        <w:rPr>
          <w:spacing w:val="-2"/>
        </w:rPr>
        <w:t> </w:t>
      </w:r>
      <w:r>
        <w:rPr/>
        <w:t>that</w:t>
      </w:r>
      <w:r>
        <w:rPr>
          <w:spacing w:val="-3"/>
        </w:rPr>
        <w:t> </w:t>
      </w:r>
      <w:r>
        <w:rPr/>
        <w:t>the</w:t>
      </w:r>
      <w:r>
        <w:rPr>
          <w:spacing w:val="-6"/>
        </w:rPr>
        <w:t> </w:t>
      </w:r>
      <w:r>
        <w:rPr/>
        <w:t>opinions</w:t>
      </w:r>
      <w:r>
        <w:rPr>
          <w:spacing w:val="-3"/>
        </w:rPr>
        <w:t> </w:t>
      </w:r>
      <w:r>
        <w:rPr/>
        <w:t>of</w:t>
      </w:r>
      <w:r>
        <w:rPr>
          <w:spacing w:val="-3"/>
        </w:rPr>
        <w:t> </w:t>
      </w:r>
      <w:r>
        <w:rPr/>
        <w:t>service</w:t>
      </w:r>
      <w:r>
        <w:rPr>
          <w:spacing w:val="-2"/>
        </w:rPr>
        <w:t> </w:t>
      </w:r>
      <w:r>
        <w:rPr/>
        <w:t>staff</w:t>
      </w:r>
      <w:r>
        <w:rPr>
          <w:spacing w:val="-3"/>
        </w:rPr>
        <w:t> </w:t>
      </w:r>
      <w:r>
        <w:rPr/>
        <w:t>and</w:t>
      </w:r>
      <w:r>
        <w:rPr>
          <w:spacing w:val="-2"/>
        </w:rPr>
        <w:t> </w:t>
      </w:r>
      <w:r>
        <w:rPr/>
        <w:t>management</w:t>
      </w:r>
      <w:r>
        <w:rPr>
          <w:spacing w:val="-3"/>
        </w:rPr>
        <w:t> </w:t>
      </w:r>
      <w:r>
        <w:rPr/>
        <w:t>seemed to agree, perhaps to mean that all the categories of services were adequately provided and managed. The opinions of students however, disagreed with the opinions of the two groups. This lack of agreement seemed to suggest that the position of students in their opinions for positive impact of the services on their welfare was</w:t>
      </w:r>
      <w:r>
        <w:rPr>
          <w:spacing w:val="-1"/>
        </w:rPr>
        <w:t> </w:t>
      </w:r>
      <w:r>
        <w:rPr/>
        <w:t>not</w:t>
      </w:r>
      <w:r>
        <w:rPr>
          <w:spacing w:val="-1"/>
        </w:rPr>
        <w:t> </w:t>
      </w:r>
      <w:r>
        <w:rPr/>
        <w:t>satisfactory.</w:t>
      </w:r>
      <w:r>
        <w:rPr>
          <w:spacing w:val="-1"/>
        </w:rPr>
        <w:t> </w:t>
      </w:r>
      <w:r>
        <w:rPr/>
        <w:t>The facilities</w:t>
      </w:r>
      <w:r>
        <w:rPr>
          <w:spacing w:val="-1"/>
        </w:rPr>
        <w:t> </w:t>
      </w:r>
      <w:r>
        <w:rPr/>
        <w:t>might</w:t>
      </w:r>
      <w:r>
        <w:rPr>
          <w:spacing w:val="-1"/>
        </w:rPr>
        <w:t> </w:t>
      </w:r>
      <w:r>
        <w:rPr/>
        <w:t>be available but</w:t>
      </w:r>
      <w:r>
        <w:rPr>
          <w:spacing w:val="-1"/>
        </w:rPr>
        <w:t> </w:t>
      </w:r>
      <w:r>
        <w:rPr/>
        <w:t>as</w:t>
      </w:r>
      <w:r>
        <w:rPr>
          <w:spacing w:val="-1"/>
        </w:rPr>
        <w:t> </w:t>
      </w:r>
      <w:r>
        <w:rPr/>
        <w:t>to whether or not they benefited from them adequately could be the controversy. It is however, logical to accept these differences of opinions as the positions of service staff</w:t>
      </w:r>
      <w:r>
        <w:rPr>
          <w:spacing w:val="40"/>
        </w:rPr>
        <w:t> </w:t>
      </w:r>
      <w:r>
        <w:rPr/>
        <w:t>and management as managers could never be the same with that of the </w:t>
      </w:r>
      <w:r>
        <w:rPr>
          <w:spacing w:val="-2"/>
        </w:rPr>
        <w:t>beneficiaries.</w:t>
      </w:r>
    </w:p>
    <w:p>
      <w:pPr>
        <w:pStyle w:val="Heading2"/>
        <w:numPr>
          <w:ilvl w:val="2"/>
          <w:numId w:val="39"/>
        </w:numPr>
        <w:tabs>
          <w:tab w:pos="817" w:val="left" w:leader="none"/>
          <w:tab w:pos="820" w:val="left" w:leader="none"/>
        </w:tabs>
        <w:spacing w:line="240" w:lineRule="auto" w:before="0" w:after="0"/>
        <w:ind w:left="820" w:right="121" w:hanging="720"/>
        <w:jc w:val="both"/>
        <w:rPr>
          <w:rFonts w:ascii="Arial MT" w:hAnsi="Arial MT"/>
          <w:b w:val="0"/>
        </w:rPr>
      </w:pPr>
      <w:r>
        <w:rPr/>
        <w:t>Opinions of respondents on the impact of feeding on students’ welfare in the universities in the three geopolitical zones in Northern part of Nigeria</w:t>
      </w:r>
    </w:p>
    <w:p>
      <w:pPr>
        <w:pStyle w:val="BodyText"/>
        <w:spacing w:line="480" w:lineRule="auto" w:before="278"/>
        <w:ind w:left="820" w:right="116" w:firstLine="720"/>
        <w:jc w:val="both"/>
      </w:pPr>
      <w:r>
        <w:rPr/>
        <w:t>Hypothesis seven demanded the opinions of respondents</w:t>
      </w:r>
      <w:r>
        <w:rPr>
          <w:spacing w:val="-4"/>
        </w:rPr>
        <w:t> </w:t>
      </w:r>
      <w:r>
        <w:rPr/>
        <w:t>on</w:t>
      </w:r>
      <w:r>
        <w:rPr>
          <w:spacing w:val="-3"/>
        </w:rPr>
        <w:t> </w:t>
      </w:r>
      <w:r>
        <w:rPr/>
        <w:t>the</w:t>
      </w:r>
      <w:r>
        <w:rPr>
          <w:spacing w:val="-3"/>
        </w:rPr>
        <w:t> </w:t>
      </w:r>
      <w:r>
        <w:rPr/>
        <w:t>impact of feeding on students’ welfare in the Universities in the three geopolitical zones in the Northern part of Nigeria. It was discovered that differences existed in the opinions</w:t>
      </w:r>
      <w:r>
        <w:rPr>
          <w:spacing w:val="40"/>
        </w:rPr>
        <w:t> </w:t>
      </w:r>
      <w:r>
        <w:rPr/>
        <w:t>of</w:t>
      </w:r>
      <w:r>
        <w:rPr>
          <w:spacing w:val="37"/>
        </w:rPr>
        <w:t> </w:t>
      </w:r>
      <w:r>
        <w:rPr/>
        <w:t>the</w:t>
      </w:r>
      <w:r>
        <w:rPr>
          <w:spacing w:val="42"/>
        </w:rPr>
        <w:t> </w:t>
      </w:r>
      <w:r>
        <w:rPr/>
        <w:t>three</w:t>
      </w:r>
      <w:r>
        <w:rPr>
          <w:spacing w:val="38"/>
        </w:rPr>
        <w:t> </w:t>
      </w:r>
      <w:r>
        <w:rPr/>
        <w:t>groups</w:t>
      </w:r>
      <w:r>
        <w:rPr>
          <w:spacing w:val="41"/>
        </w:rPr>
        <w:t> </w:t>
      </w:r>
      <w:r>
        <w:rPr/>
        <w:t>of</w:t>
      </w:r>
      <w:r>
        <w:rPr>
          <w:spacing w:val="37"/>
        </w:rPr>
        <w:t> </w:t>
      </w:r>
      <w:r>
        <w:rPr/>
        <w:t>respondents.</w:t>
      </w:r>
      <w:r>
        <w:rPr>
          <w:spacing w:val="42"/>
        </w:rPr>
        <w:t> </w:t>
      </w:r>
      <w:r>
        <w:rPr/>
        <w:t>This</w:t>
      </w:r>
      <w:r>
        <w:rPr>
          <w:spacing w:val="36"/>
        </w:rPr>
        <w:t> </w:t>
      </w:r>
      <w:r>
        <w:rPr/>
        <w:t>implied</w:t>
      </w:r>
      <w:r>
        <w:rPr>
          <w:spacing w:val="42"/>
        </w:rPr>
        <w:t> </w:t>
      </w:r>
      <w:r>
        <w:rPr/>
        <w:t>that</w:t>
      </w:r>
      <w:r>
        <w:rPr>
          <w:spacing w:val="41"/>
        </w:rPr>
        <w:t> </w:t>
      </w:r>
      <w:r>
        <w:rPr/>
        <w:t>ever</w:t>
      </w:r>
      <w:r>
        <w:rPr>
          <w:spacing w:val="43"/>
        </w:rPr>
        <w:t> </w:t>
      </w:r>
      <w:r>
        <w:rPr/>
        <w:t>since</w:t>
      </w:r>
      <w:r>
        <w:rPr>
          <w:spacing w:val="38"/>
        </w:rPr>
        <w:t> </w:t>
      </w:r>
      <w:r>
        <w:rPr>
          <w:spacing w:val="-5"/>
        </w:rPr>
        <w:t>the</w:t>
      </w:r>
    </w:p>
    <w:p>
      <w:pPr>
        <w:spacing w:after="0" w:line="480" w:lineRule="auto"/>
        <w:jc w:val="both"/>
        <w:sectPr>
          <w:headerReference w:type="default" r:id="rId515"/>
          <w:footerReference w:type="default" r:id="rId516"/>
          <w:pgSz w:w="12240" w:h="15840"/>
          <w:pgMar w:header="722" w:footer="791" w:top="1340" w:bottom="980" w:left="1340" w:right="1320"/>
        </w:sectPr>
      </w:pPr>
    </w:p>
    <w:p>
      <w:pPr>
        <w:pStyle w:val="BodyText"/>
        <w:spacing w:line="480" w:lineRule="auto" w:before="89"/>
        <w:ind w:left="820" w:right="114"/>
        <w:jc w:val="both"/>
      </w:pPr>
      <w:r>
        <w:rPr/>
        <w:t>withdrawal of subsidy on students’ feeding in the universities the condition of students catering services could not be the same as to provide consensus in opinions of the students, service staff and management.</w:t>
      </w:r>
      <w:r>
        <w:rPr>
          <w:spacing w:val="40"/>
        </w:rPr>
        <w:t> </w:t>
      </w:r>
      <w:r>
        <w:rPr/>
        <w:t>Management could find it difficult to involve themselves in the full management of the service since the private caterers were on their own. The lack of control or parternership of the management with the private caterers could constitute to the exploitation of students by the caterers. This observation could account for the divergent differences in opinions of respondents implying that significant differences</w:t>
      </w:r>
      <w:r>
        <w:rPr>
          <w:spacing w:val="40"/>
        </w:rPr>
        <w:t> </w:t>
      </w:r>
      <w:r>
        <w:rPr/>
        <w:t>existed in the impact of the feeding on the students’ welfare in these universities.</w:t>
      </w:r>
    </w:p>
    <w:p>
      <w:pPr>
        <w:pStyle w:val="Heading2"/>
        <w:numPr>
          <w:ilvl w:val="2"/>
          <w:numId w:val="39"/>
        </w:numPr>
        <w:tabs>
          <w:tab w:pos="817" w:val="left" w:leader="none"/>
          <w:tab w:pos="820" w:val="left" w:leader="none"/>
        </w:tabs>
        <w:spacing w:line="240" w:lineRule="auto" w:before="0" w:after="0"/>
        <w:ind w:left="820" w:right="123" w:hanging="720"/>
        <w:jc w:val="both"/>
        <w:rPr>
          <w:rFonts w:ascii="Arial MT" w:hAnsi="Arial MT"/>
          <w:b w:val="0"/>
        </w:rPr>
      </w:pPr>
      <w:r>
        <w:rPr/>
        <w:t>Opinions of respondents on the impact of hostel accommodation on students’ welfare in the universities in the three geopolitical zones in Northern part of Nigeria</w:t>
      </w:r>
    </w:p>
    <w:p>
      <w:pPr>
        <w:pStyle w:val="BodyText"/>
        <w:spacing w:before="229"/>
        <w:rPr>
          <w:rFonts w:ascii="Arial"/>
          <w:b/>
          <w:sz w:val="28"/>
        </w:rPr>
      </w:pPr>
    </w:p>
    <w:p>
      <w:pPr>
        <w:pStyle w:val="BodyText"/>
        <w:spacing w:line="480" w:lineRule="auto"/>
        <w:ind w:left="820" w:right="114" w:firstLine="873"/>
        <w:jc w:val="both"/>
      </w:pPr>
      <w:r>
        <w:rPr/>
        <w:t>Hypothesis eight tried to find out the opinions from the responses of the respondents on the impact of hostel accommodation on students’ welfare in</w:t>
      </w:r>
      <w:r>
        <w:rPr>
          <w:spacing w:val="40"/>
        </w:rPr>
        <w:t> </w:t>
      </w:r>
      <w:r>
        <w:rPr/>
        <w:t>the universities. The findings revealed that the opinions of students and the management seemed to agree on the hypothesis which stated that there was no significant difference in the opinions of the students, service staff and management staff on the impact of the hostel accommodation on students’ welfare</w:t>
      </w:r>
      <w:r>
        <w:rPr>
          <w:spacing w:val="-3"/>
        </w:rPr>
        <w:t> </w:t>
      </w:r>
      <w:r>
        <w:rPr/>
        <w:t>in</w:t>
      </w:r>
      <w:r>
        <w:rPr>
          <w:spacing w:val="-3"/>
        </w:rPr>
        <w:t> </w:t>
      </w:r>
      <w:r>
        <w:rPr/>
        <w:t>the</w:t>
      </w:r>
      <w:r>
        <w:rPr>
          <w:spacing w:val="-3"/>
        </w:rPr>
        <w:t> </w:t>
      </w:r>
      <w:r>
        <w:rPr/>
        <w:t>universities. Non conformity of</w:t>
      </w:r>
      <w:r>
        <w:rPr>
          <w:spacing w:val="-3"/>
        </w:rPr>
        <w:t> </w:t>
      </w:r>
      <w:r>
        <w:rPr/>
        <w:t>the service staff with</w:t>
      </w:r>
      <w:r>
        <w:rPr>
          <w:spacing w:val="-3"/>
        </w:rPr>
        <w:t> </w:t>
      </w:r>
      <w:r>
        <w:rPr/>
        <w:t>this consensus seemed to confirm that because of the increase in the population of students in some of the universities to which additional provision for increase in hostel accommodation were not considered, students could be prone to congestion which could be hazardous to their health. It can be noted that in some of the Universities,</w:t>
      </w:r>
      <w:r>
        <w:rPr>
          <w:spacing w:val="23"/>
        </w:rPr>
        <w:t> </w:t>
      </w:r>
      <w:r>
        <w:rPr/>
        <w:t>students</w:t>
      </w:r>
      <w:r>
        <w:rPr>
          <w:spacing w:val="24"/>
        </w:rPr>
        <w:t> </w:t>
      </w:r>
      <w:r>
        <w:rPr/>
        <w:t>developed</w:t>
      </w:r>
      <w:r>
        <w:rPr>
          <w:spacing w:val="25"/>
        </w:rPr>
        <w:t> </w:t>
      </w:r>
      <w:r>
        <w:rPr/>
        <w:t>bad</w:t>
      </w:r>
      <w:r>
        <w:rPr>
          <w:spacing w:val="24"/>
        </w:rPr>
        <w:t> </w:t>
      </w:r>
      <w:r>
        <w:rPr/>
        <w:t>habits</w:t>
      </w:r>
      <w:r>
        <w:rPr>
          <w:spacing w:val="19"/>
        </w:rPr>
        <w:t> </w:t>
      </w:r>
      <w:r>
        <w:rPr/>
        <w:t>of</w:t>
      </w:r>
      <w:r>
        <w:rPr>
          <w:spacing w:val="24"/>
        </w:rPr>
        <w:t> </w:t>
      </w:r>
      <w:r>
        <w:rPr/>
        <w:t>selling</w:t>
      </w:r>
      <w:r>
        <w:rPr>
          <w:spacing w:val="24"/>
        </w:rPr>
        <w:t> </w:t>
      </w:r>
      <w:r>
        <w:rPr/>
        <w:t>bed</w:t>
      </w:r>
      <w:r>
        <w:rPr>
          <w:spacing w:val="25"/>
        </w:rPr>
        <w:t> </w:t>
      </w:r>
      <w:r>
        <w:rPr/>
        <w:t>spaces</w:t>
      </w:r>
      <w:r>
        <w:rPr>
          <w:spacing w:val="24"/>
        </w:rPr>
        <w:t> </w:t>
      </w:r>
      <w:r>
        <w:rPr/>
        <w:t>at</w:t>
      </w:r>
      <w:r>
        <w:rPr>
          <w:spacing w:val="23"/>
        </w:rPr>
        <w:t> </w:t>
      </w:r>
      <w:r>
        <w:rPr>
          <w:spacing w:val="-2"/>
        </w:rPr>
        <w:t>exorbitant</w:t>
      </w:r>
    </w:p>
    <w:p>
      <w:pPr>
        <w:spacing w:after="0" w:line="480" w:lineRule="auto"/>
        <w:jc w:val="both"/>
        <w:sectPr>
          <w:headerReference w:type="default" r:id="rId517"/>
          <w:footerReference w:type="default" r:id="rId518"/>
          <w:pgSz w:w="12240" w:h="15840"/>
          <w:pgMar w:header="722" w:footer="791" w:top="1340" w:bottom="980" w:left="1340" w:right="1320"/>
        </w:sectPr>
      </w:pPr>
    </w:p>
    <w:p>
      <w:pPr>
        <w:pStyle w:val="BodyText"/>
        <w:spacing w:line="480" w:lineRule="auto" w:before="89"/>
        <w:ind w:left="820" w:right="114"/>
        <w:jc w:val="both"/>
      </w:pPr>
      <w:r>
        <w:rPr/>
        <w:t>prices particularly, to those who could not be privileged to secure a bed space and</w:t>
      </w:r>
      <w:r>
        <w:rPr>
          <w:spacing w:val="40"/>
        </w:rPr>
        <w:t> </w:t>
      </w:r>
      <w:r>
        <w:rPr/>
        <w:t>were desperately in need.</w:t>
      </w:r>
    </w:p>
    <w:p>
      <w:pPr>
        <w:pStyle w:val="BodyText"/>
        <w:spacing w:line="480" w:lineRule="auto"/>
        <w:ind w:left="820" w:right="122" w:firstLine="720"/>
        <w:jc w:val="both"/>
      </w:pPr>
      <w:r>
        <w:rPr/>
        <w:t>The findings of this hypothesis, therefore, concluded that there is need for the universities to either put more accommodation structures or invite private sectors, alumni, donor agencies etc. to invest or participate in university hostel </w:t>
      </w:r>
      <w:r>
        <w:rPr>
          <w:spacing w:val="-2"/>
        </w:rPr>
        <w:t>accommodation.</w:t>
      </w:r>
    </w:p>
    <w:p>
      <w:pPr>
        <w:pStyle w:val="Heading2"/>
        <w:numPr>
          <w:ilvl w:val="2"/>
          <w:numId w:val="39"/>
        </w:numPr>
        <w:tabs>
          <w:tab w:pos="817" w:val="left" w:leader="none"/>
          <w:tab w:pos="820" w:val="left" w:leader="none"/>
        </w:tabs>
        <w:spacing w:line="240" w:lineRule="auto" w:before="0" w:after="0"/>
        <w:ind w:left="820" w:right="122" w:hanging="720"/>
        <w:jc w:val="both"/>
        <w:rPr>
          <w:rFonts w:ascii="Arial MT" w:hAnsi="Arial MT"/>
          <w:b w:val="0"/>
        </w:rPr>
      </w:pPr>
      <w:r>
        <w:rPr/>
        <w:t>Opinions of respondents on the impact of Guidance and counselling on students’ welfare services in the universities in the three geopolitical zones in Northern part of Nigeria</w:t>
      </w:r>
    </w:p>
    <w:p>
      <w:pPr>
        <w:pStyle w:val="BodyText"/>
        <w:spacing w:line="480" w:lineRule="auto" w:before="320"/>
        <w:ind w:left="820" w:right="114" w:firstLine="720"/>
        <w:jc w:val="both"/>
      </w:pPr>
      <w:r>
        <w:rPr/>
        <w:t>In hypothesis nine the respondents’ opinions</w:t>
      </w:r>
      <w:r>
        <w:rPr>
          <w:spacing w:val="-9"/>
        </w:rPr>
        <w:t> </w:t>
      </w:r>
      <w:r>
        <w:rPr/>
        <w:t>were sought</w:t>
      </w:r>
      <w:r>
        <w:rPr>
          <w:spacing w:val="-4"/>
        </w:rPr>
        <w:t> </w:t>
      </w:r>
      <w:r>
        <w:rPr/>
        <w:t>on the</w:t>
      </w:r>
      <w:r>
        <w:rPr>
          <w:spacing w:val="-3"/>
        </w:rPr>
        <w:t> </w:t>
      </w:r>
      <w:r>
        <w:rPr/>
        <w:t>impact of Guidance and counselling services on the students’ welfare services in the universities in the three geopolitical zones in Northern part of Nigeria. The findings from responses of the three categories of respondents indicated agreement on their opinions. This seemed to suggest that the respondents’ position on the impact of guidance and counselling services offered to students was positively paramount. It could therefore, be concluded in this study that the important role played by the guidance and counselling units in the universities in the three geopolitical zones in the Northern part of Nigeria cannot be overemphasized particularly, their contributions to students’ moral development.</w:t>
      </w:r>
    </w:p>
    <w:p>
      <w:pPr>
        <w:pStyle w:val="Heading1"/>
        <w:numPr>
          <w:ilvl w:val="2"/>
          <w:numId w:val="39"/>
        </w:numPr>
        <w:tabs>
          <w:tab w:pos="820" w:val="left" w:leader="none"/>
          <w:tab w:pos="996" w:val="left" w:leader="none"/>
        </w:tabs>
        <w:spacing w:line="240" w:lineRule="auto" w:before="0" w:after="0"/>
        <w:ind w:left="820" w:right="111" w:hanging="720"/>
        <w:jc w:val="both"/>
        <w:rPr>
          <w:rFonts w:ascii="Arial MT" w:hAnsi="Arial MT"/>
          <w:b w:val="0"/>
          <w:sz w:val="28"/>
        </w:rPr>
      </w:pPr>
      <w:r>
        <w:rPr/>
        <w:t>Opinions of respondents on the impact of sports and recreation services on students’ welfare in the universities in the three geopolitical zones in Northern part of Nigeria</w:t>
      </w:r>
    </w:p>
    <w:p>
      <w:pPr>
        <w:pStyle w:val="BodyText"/>
        <w:spacing w:line="480" w:lineRule="auto" w:before="367"/>
        <w:ind w:left="820" w:right="114" w:firstLine="720"/>
        <w:jc w:val="both"/>
      </w:pPr>
      <w:r>
        <w:rPr/>
        <w:t>Analysis of hypothesis ten which solicited for opinions of respondents on the</w:t>
      </w:r>
      <w:r>
        <w:rPr>
          <w:spacing w:val="73"/>
        </w:rPr>
        <w:t> </w:t>
      </w:r>
      <w:r>
        <w:rPr/>
        <w:t>impact</w:t>
      </w:r>
      <w:r>
        <w:rPr>
          <w:spacing w:val="73"/>
        </w:rPr>
        <w:t> </w:t>
      </w:r>
      <w:r>
        <w:rPr/>
        <w:t>of</w:t>
      </w:r>
      <w:r>
        <w:rPr>
          <w:spacing w:val="73"/>
        </w:rPr>
        <w:t> </w:t>
      </w:r>
      <w:r>
        <w:rPr/>
        <w:t>sports</w:t>
      </w:r>
      <w:r>
        <w:rPr>
          <w:spacing w:val="73"/>
        </w:rPr>
        <w:t> </w:t>
      </w:r>
      <w:r>
        <w:rPr/>
        <w:t>and</w:t>
      </w:r>
      <w:r>
        <w:rPr>
          <w:spacing w:val="73"/>
        </w:rPr>
        <w:t> </w:t>
      </w:r>
      <w:r>
        <w:rPr/>
        <w:t>recreation</w:t>
      </w:r>
      <w:r>
        <w:rPr>
          <w:spacing w:val="74"/>
        </w:rPr>
        <w:t> </w:t>
      </w:r>
      <w:r>
        <w:rPr/>
        <w:t>on</w:t>
      </w:r>
      <w:r>
        <w:rPr>
          <w:spacing w:val="74"/>
        </w:rPr>
        <w:t> </w:t>
      </w:r>
      <w:r>
        <w:rPr/>
        <w:t>students</w:t>
      </w:r>
      <w:r>
        <w:rPr>
          <w:spacing w:val="72"/>
        </w:rPr>
        <w:t> </w:t>
      </w:r>
      <w:r>
        <w:rPr/>
        <w:t>welfare</w:t>
      </w:r>
      <w:r>
        <w:rPr>
          <w:spacing w:val="70"/>
        </w:rPr>
        <w:t> </w:t>
      </w:r>
      <w:r>
        <w:rPr/>
        <w:t>in</w:t>
      </w:r>
      <w:r>
        <w:rPr>
          <w:spacing w:val="73"/>
        </w:rPr>
        <w:t> </w:t>
      </w:r>
      <w:r>
        <w:rPr/>
        <w:t>the</w:t>
      </w:r>
      <w:r>
        <w:rPr>
          <w:spacing w:val="73"/>
        </w:rPr>
        <w:t> </w:t>
      </w:r>
      <w:r>
        <w:rPr>
          <w:spacing w:val="-2"/>
        </w:rPr>
        <w:t>universities</w:t>
      </w:r>
    </w:p>
    <w:p>
      <w:pPr>
        <w:spacing w:after="0" w:line="480" w:lineRule="auto"/>
        <w:jc w:val="both"/>
        <w:sectPr>
          <w:headerReference w:type="default" r:id="rId519"/>
          <w:footerReference w:type="default" r:id="rId520"/>
          <w:pgSz w:w="12240" w:h="15840"/>
          <w:pgMar w:header="722" w:footer="791" w:top="1340" w:bottom="980" w:left="1340" w:right="1320"/>
        </w:sectPr>
      </w:pPr>
    </w:p>
    <w:p>
      <w:pPr>
        <w:pStyle w:val="BodyText"/>
        <w:spacing w:line="480" w:lineRule="auto" w:before="89"/>
        <w:ind w:left="820" w:right="114"/>
        <w:jc w:val="both"/>
      </w:pPr>
      <w:r>
        <w:rPr/>
        <w:t>revealed that consensus was reached on the opinions of the three categories of respondents</w:t>
      </w:r>
      <w:r>
        <w:rPr>
          <w:spacing w:val="-2"/>
        </w:rPr>
        <w:t> </w:t>
      </w:r>
      <w:r>
        <w:rPr/>
        <w:t>as</w:t>
      </w:r>
      <w:r>
        <w:rPr>
          <w:spacing w:val="-2"/>
        </w:rPr>
        <w:t> </w:t>
      </w:r>
      <w:r>
        <w:rPr/>
        <w:t>to</w:t>
      </w:r>
      <w:r>
        <w:rPr>
          <w:spacing w:val="-1"/>
        </w:rPr>
        <w:t> </w:t>
      </w:r>
      <w:r>
        <w:rPr/>
        <w:t>whether or not</w:t>
      </w:r>
      <w:r>
        <w:rPr>
          <w:spacing w:val="-2"/>
        </w:rPr>
        <w:t> </w:t>
      </w:r>
      <w:r>
        <w:rPr/>
        <w:t>sports</w:t>
      </w:r>
      <w:r>
        <w:rPr>
          <w:spacing w:val="-2"/>
        </w:rPr>
        <w:t> </w:t>
      </w:r>
      <w:r>
        <w:rPr/>
        <w:t>and</w:t>
      </w:r>
      <w:r>
        <w:rPr>
          <w:spacing w:val="-1"/>
        </w:rPr>
        <w:t> </w:t>
      </w:r>
      <w:r>
        <w:rPr/>
        <w:t>recreation services</w:t>
      </w:r>
      <w:r>
        <w:rPr>
          <w:spacing w:val="-1"/>
        </w:rPr>
        <w:t> </w:t>
      </w:r>
      <w:r>
        <w:rPr/>
        <w:t>had</w:t>
      </w:r>
      <w:r>
        <w:rPr>
          <w:spacing w:val="-1"/>
        </w:rPr>
        <w:t> </w:t>
      </w:r>
      <w:r>
        <w:rPr/>
        <w:t>influence</w:t>
      </w:r>
      <w:r>
        <w:rPr>
          <w:spacing w:val="-1"/>
        </w:rPr>
        <w:t> </w:t>
      </w:r>
      <w:r>
        <w:rPr/>
        <w:t>on students’</w:t>
      </w:r>
      <w:r>
        <w:rPr>
          <w:spacing w:val="-1"/>
        </w:rPr>
        <w:t> </w:t>
      </w:r>
      <w:r>
        <w:rPr/>
        <w:t>welfare</w:t>
      </w:r>
      <w:r>
        <w:rPr>
          <w:spacing w:val="-4"/>
        </w:rPr>
        <w:t> </w:t>
      </w:r>
      <w:r>
        <w:rPr/>
        <w:t>in the universities</w:t>
      </w:r>
      <w:r>
        <w:rPr>
          <w:spacing w:val="-6"/>
        </w:rPr>
        <w:t> </w:t>
      </w:r>
      <w:r>
        <w:rPr/>
        <w:t>in the three geopolitical zones</w:t>
      </w:r>
      <w:r>
        <w:rPr>
          <w:spacing w:val="-6"/>
        </w:rPr>
        <w:t> </w:t>
      </w:r>
      <w:r>
        <w:rPr/>
        <w:t>in the Northern part of</w:t>
      </w:r>
      <w:r>
        <w:rPr>
          <w:spacing w:val="-2"/>
        </w:rPr>
        <w:t> </w:t>
      </w:r>
      <w:r>
        <w:rPr/>
        <w:t>Nigeria.</w:t>
      </w:r>
      <w:r>
        <w:rPr>
          <w:spacing w:val="-2"/>
        </w:rPr>
        <w:t> </w:t>
      </w:r>
      <w:r>
        <w:rPr/>
        <w:t>The consensus seemed to suggest that the</w:t>
      </w:r>
      <w:r>
        <w:rPr>
          <w:spacing w:val="-2"/>
        </w:rPr>
        <w:t> </w:t>
      </w:r>
      <w:r>
        <w:rPr/>
        <w:t>role</w:t>
      </w:r>
      <w:r>
        <w:rPr>
          <w:spacing w:val="-2"/>
        </w:rPr>
        <w:t> </w:t>
      </w:r>
      <w:r>
        <w:rPr/>
        <w:t>and contributions of sports and recreation on students’ welfare in the university system cannot be underestimated. It could be noted that apart from training the minds and physiques of students, sports and recreation accorded them with a lot of local, national and international exposure and recognition.</w:t>
      </w:r>
    </w:p>
    <w:p>
      <w:pPr>
        <w:pStyle w:val="Heading2"/>
        <w:numPr>
          <w:ilvl w:val="2"/>
          <w:numId w:val="39"/>
        </w:numPr>
        <w:tabs>
          <w:tab w:pos="1105" w:val="left" w:leader="none"/>
          <w:tab w:pos="1108" w:val="left" w:leader="none"/>
        </w:tabs>
        <w:spacing w:line="240" w:lineRule="auto" w:before="0" w:after="0"/>
        <w:ind w:left="1108" w:right="121" w:hanging="1008"/>
        <w:jc w:val="both"/>
        <w:rPr>
          <w:rFonts w:ascii="Arial MT" w:hAnsi="Arial MT"/>
          <w:b w:val="0"/>
        </w:rPr>
      </w:pPr>
      <w:r>
        <w:rPr/>
        <w:t>Opinions of respondents on the impact of security and communication services on students’ welfare in</w:t>
      </w:r>
      <w:r>
        <w:rPr>
          <w:spacing w:val="80"/>
        </w:rPr>
        <w:t> </w:t>
      </w:r>
      <w:r>
        <w:rPr/>
        <w:t>the universities in the three geopolitical zones in Northern part of </w:t>
      </w:r>
      <w:r>
        <w:rPr>
          <w:spacing w:val="-2"/>
        </w:rPr>
        <w:t>Nigeria</w:t>
      </w:r>
    </w:p>
    <w:p>
      <w:pPr>
        <w:pStyle w:val="BodyText"/>
        <w:spacing w:line="480" w:lineRule="auto" w:before="253"/>
        <w:ind w:left="820" w:right="114" w:firstLine="720"/>
        <w:jc w:val="both"/>
      </w:pPr>
      <w:r>
        <w:rPr/>
        <w:t>Hypothesis eleven demanded to enquire from</w:t>
      </w:r>
      <w:r>
        <w:rPr>
          <w:spacing w:val="-1"/>
        </w:rPr>
        <w:t> </w:t>
      </w:r>
      <w:r>
        <w:rPr/>
        <w:t>the opinions of respondents regarding the impact of the security and communication services on students’ welfare in these universities. The findings from the responses of respondents revealed that the opinions of students and staff were in agreement on the</w:t>
      </w:r>
      <w:r>
        <w:rPr>
          <w:spacing w:val="-1"/>
        </w:rPr>
        <w:t> </w:t>
      </w:r>
      <w:r>
        <w:rPr/>
        <w:t>impact while the opinions of the management did not agree with the opinions of the two groups. The non–conformity in the management’s opinion with the two groups could suggest that management felt they had done their best to provide security units even though the security personnel were not sufficiently equipped with defensive arms.</w:t>
      </w:r>
    </w:p>
    <w:p>
      <w:pPr>
        <w:pStyle w:val="BodyText"/>
        <w:spacing w:line="480" w:lineRule="auto"/>
        <w:ind w:left="820" w:right="114" w:firstLine="720"/>
        <w:jc w:val="both"/>
      </w:pPr>
      <w:r>
        <w:rPr/>
        <w:t>In the opinion of students, the security personnel seemed to be confrontational in their relationship with students. Ideally, this category of staff in the system</w:t>
      </w:r>
      <w:r>
        <w:rPr>
          <w:spacing w:val="-1"/>
        </w:rPr>
        <w:t> </w:t>
      </w:r>
      <w:r>
        <w:rPr/>
        <w:t>were expected to be friendly as defenders</w:t>
      </w:r>
      <w:r>
        <w:rPr>
          <w:spacing w:val="-3"/>
        </w:rPr>
        <w:t> </w:t>
      </w:r>
      <w:r>
        <w:rPr/>
        <w:t>and protectors of students’ lives</w:t>
      </w:r>
      <w:r>
        <w:rPr>
          <w:spacing w:val="54"/>
          <w:w w:val="150"/>
        </w:rPr>
        <w:t> </w:t>
      </w:r>
      <w:r>
        <w:rPr/>
        <w:t>and</w:t>
      </w:r>
      <w:r>
        <w:rPr>
          <w:spacing w:val="56"/>
          <w:w w:val="150"/>
        </w:rPr>
        <w:t> </w:t>
      </w:r>
      <w:r>
        <w:rPr/>
        <w:t>properties.</w:t>
      </w:r>
      <w:r>
        <w:rPr>
          <w:spacing w:val="55"/>
          <w:w w:val="150"/>
        </w:rPr>
        <w:t> </w:t>
      </w:r>
      <w:r>
        <w:rPr/>
        <w:t>Students’</w:t>
      </w:r>
      <w:r>
        <w:rPr>
          <w:spacing w:val="55"/>
          <w:w w:val="150"/>
        </w:rPr>
        <w:t> </w:t>
      </w:r>
      <w:r>
        <w:rPr/>
        <w:t>opinions</w:t>
      </w:r>
      <w:r>
        <w:rPr>
          <w:spacing w:val="55"/>
          <w:w w:val="150"/>
        </w:rPr>
        <w:t> </w:t>
      </w:r>
      <w:r>
        <w:rPr/>
        <w:t>also</w:t>
      </w:r>
      <w:r>
        <w:rPr>
          <w:spacing w:val="62"/>
          <w:w w:val="150"/>
        </w:rPr>
        <w:t> </w:t>
      </w:r>
      <w:r>
        <w:rPr/>
        <w:t>seemed</w:t>
      </w:r>
      <w:r>
        <w:rPr>
          <w:spacing w:val="61"/>
          <w:w w:val="150"/>
        </w:rPr>
        <w:t> </w:t>
      </w:r>
      <w:r>
        <w:rPr/>
        <w:t>to</w:t>
      </w:r>
      <w:r>
        <w:rPr>
          <w:spacing w:val="61"/>
          <w:w w:val="150"/>
        </w:rPr>
        <w:t> </w:t>
      </w:r>
      <w:r>
        <w:rPr/>
        <w:t>suggest</w:t>
      </w:r>
      <w:r>
        <w:rPr>
          <w:spacing w:val="60"/>
          <w:w w:val="150"/>
        </w:rPr>
        <w:t> </w:t>
      </w:r>
      <w:r>
        <w:rPr/>
        <w:t>that</w:t>
      </w:r>
      <w:r>
        <w:rPr>
          <w:spacing w:val="63"/>
          <w:w w:val="150"/>
        </w:rPr>
        <w:t> </w:t>
      </w:r>
      <w:r>
        <w:rPr>
          <w:spacing w:val="-5"/>
        </w:rPr>
        <w:t>the</w:t>
      </w:r>
    </w:p>
    <w:p>
      <w:pPr>
        <w:spacing w:after="0" w:line="480" w:lineRule="auto"/>
        <w:jc w:val="both"/>
        <w:sectPr>
          <w:headerReference w:type="default" r:id="rId521"/>
          <w:footerReference w:type="default" r:id="rId522"/>
          <w:pgSz w:w="12240" w:h="15840"/>
          <w:pgMar w:header="722" w:footer="791" w:top="1340" w:bottom="980" w:left="1340" w:right="1320"/>
        </w:sectPr>
      </w:pPr>
    </w:p>
    <w:p>
      <w:pPr>
        <w:pStyle w:val="BodyText"/>
        <w:spacing w:line="480" w:lineRule="auto" w:before="89"/>
        <w:ind w:left="820"/>
      </w:pPr>
      <w:r>
        <w:rPr/>
        <w:t>university should provide modern security gadgets to the security personnel for</w:t>
      </w:r>
      <w:r>
        <w:rPr>
          <w:spacing w:val="40"/>
        </w:rPr>
        <w:t> </w:t>
      </w:r>
      <w:r>
        <w:rPr/>
        <w:t>effective surveillance and communication services.</w:t>
      </w:r>
    </w:p>
    <w:p>
      <w:pPr>
        <w:pStyle w:val="Heading2"/>
        <w:numPr>
          <w:ilvl w:val="2"/>
          <w:numId w:val="39"/>
        </w:numPr>
        <w:tabs>
          <w:tab w:pos="949" w:val="left" w:leader="none"/>
          <w:tab w:pos="951" w:val="left" w:leader="none"/>
        </w:tabs>
        <w:spacing w:line="240" w:lineRule="auto" w:before="0" w:after="0"/>
        <w:ind w:left="949" w:right="136" w:hanging="850"/>
        <w:jc w:val="left"/>
        <w:rPr>
          <w:rFonts w:ascii="Arial MT" w:hAnsi="Arial MT"/>
          <w:b w:val="0"/>
        </w:rPr>
      </w:pPr>
      <w:r>
        <w:rPr>
          <w:b w:val="0"/>
        </w:rPr>
        <w:tab/>
      </w:r>
      <w:r>
        <w:rPr/>
        <w:t>Opinions of Respondents on the impact of Transport Services on</w:t>
      </w:r>
      <w:r>
        <w:rPr>
          <w:spacing w:val="-8"/>
        </w:rPr>
        <w:t> </w:t>
      </w:r>
      <w:r>
        <w:rPr/>
        <w:t>Students’</w:t>
      </w:r>
      <w:r>
        <w:rPr>
          <w:spacing w:val="-2"/>
        </w:rPr>
        <w:t> </w:t>
      </w:r>
      <w:r>
        <w:rPr/>
        <w:t>Welfare</w:t>
      </w:r>
      <w:r>
        <w:rPr>
          <w:spacing w:val="-2"/>
        </w:rPr>
        <w:t> </w:t>
      </w:r>
      <w:r>
        <w:rPr/>
        <w:t>in</w:t>
      </w:r>
      <w:r>
        <w:rPr>
          <w:spacing w:val="-3"/>
        </w:rPr>
        <w:t> </w:t>
      </w:r>
      <w:r>
        <w:rPr/>
        <w:t>the</w:t>
      </w:r>
      <w:r>
        <w:rPr>
          <w:spacing w:val="-7"/>
        </w:rPr>
        <w:t> </w:t>
      </w:r>
      <w:r>
        <w:rPr/>
        <w:t>Universities</w:t>
      </w:r>
      <w:r>
        <w:rPr>
          <w:spacing w:val="-7"/>
        </w:rPr>
        <w:t> </w:t>
      </w:r>
      <w:r>
        <w:rPr/>
        <w:t>in</w:t>
      </w:r>
      <w:r>
        <w:rPr>
          <w:spacing w:val="-8"/>
        </w:rPr>
        <w:t> </w:t>
      </w:r>
      <w:r>
        <w:rPr/>
        <w:t>the</w:t>
      </w:r>
      <w:r>
        <w:rPr>
          <w:spacing w:val="-3"/>
        </w:rPr>
        <w:t> </w:t>
      </w:r>
      <w:r>
        <w:rPr/>
        <w:t>three</w:t>
      </w:r>
      <w:r>
        <w:rPr>
          <w:spacing w:val="-3"/>
        </w:rPr>
        <w:t> </w:t>
      </w:r>
      <w:r>
        <w:rPr/>
        <w:t>geopolitical zones in Northern part of Nigeria</w:t>
      </w:r>
    </w:p>
    <w:p>
      <w:pPr>
        <w:pStyle w:val="BodyText"/>
        <w:spacing w:before="228"/>
        <w:rPr>
          <w:rFonts w:ascii="Arial"/>
          <w:b/>
          <w:sz w:val="28"/>
        </w:rPr>
      </w:pPr>
    </w:p>
    <w:p>
      <w:pPr>
        <w:pStyle w:val="BodyText"/>
        <w:spacing w:line="480" w:lineRule="auto" w:before="1"/>
        <w:ind w:left="820" w:right="116" w:firstLine="720"/>
        <w:jc w:val="both"/>
      </w:pPr>
      <w:r>
        <w:rPr/>
        <w:t>In hypothesis twelve, respondents’ opinions were sought to find out whether or not transport services had impact on students’ welfare services. The findings from the responses of the three groups of respondents revealed that respondents did not differ on their opinions, suggesting that the transport</w:t>
      </w:r>
      <w:r>
        <w:rPr>
          <w:spacing w:val="40"/>
        </w:rPr>
        <w:t> </w:t>
      </w:r>
      <w:r>
        <w:rPr/>
        <w:t>services abound at students’ disposal in the universities. This conclusion is attributed to the increased emergence of “okadas”, express, taxis and buses” for easy transportation. It would also mean that the location of the universities would influence the</w:t>
      </w:r>
      <w:r>
        <w:rPr>
          <w:spacing w:val="-1"/>
        </w:rPr>
        <w:t> </w:t>
      </w:r>
      <w:r>
        <w:rPr/>
        <w:t>availability and</w:t>
      </w:r>
      <w:r>
        <w:rPr>
          <w:spacing w:val="-1"/>
        </w:rPr>
        <w:t> </w:t>
      </w:r>
      <w:r>
        <w:rPr/>
        <w:t>access of such transport facilities</w:t>
      </w:r>
      <w:r>
        <w:rPr>
          <w:spacing w:val="-2"/>
        </w:rPr>
        <w:t> </w:t>
      </w:r>
      <w:r>
        <w:rPr/>
        <w:t>to students for the transport fare to be within their minimum reach.</w:t>
      </w:r>
    </w:p>
    <w:p>
      <w:pPr>
        <w:pStyle w:val="Heading2"/>
        <w:numPr>
          <w:ilvl w:val="2"/>
          <w:numId w:val="39"/>
        </w:numPr>
        <w:tabs>
          <w:tab w:pos="951" w:val="left" w:leader="none"/>
          <w:tab w:pos="968" w:val="left" w:leader="none"/>
          <w:tab w:pos="1587" w:val="left" w:leader="none"/>
          <w:tab w:pos="3147" w:val="left" w:leader="none"/>
          <w:tab w:pos="4439" w:val="left" w:leader="none"/>
          <w:tab w:pos="4967" w:val="left" w:leader="none"/>
          <w:tab w:pos="5668" w:val="left" w:leader="none"/>
          <w:tab w:pos="7540" w:val="left" w:leader="none"/>
          <w:tab w:pos="8068" w:val="left" w:leader="none"/>
          <w:tab w:pos="8769" w:val="left" w:leader="none"/>
        </w:tabs>
        <w:spacing w:line="240" w:lineRule="auto" w:before="0" w:after="0"/>
        <w:ind w:left="968" w:right="126" w:hanging="869"/>
        <w:jc w:val="left"/>
        <w:rPr>
          <w:rFonts w:ascii="Arial MT" w:hAnsi="Arial MT"/>
          <w:b w:val="0"/>
        </w:rPr>
      </w:pPr>
      <w:r>
        <w:rPr/>
        <w:t>Opinions of Respondents on the impact of Religious Services </w:t>
      </w:r>
      <w:r>
        <w:rPr>
          <w:spacing w:val="-6"/>
        </w:rPr>
        <w:t>on</w:t>
      </w:r>
      <w:r>
        <w:rPr/>
        <w:tab/>
      </w:r>
      <w:r>
        <w:rPr>
          <w:spacing w:val="-2"/>
        </w:rPr>
        <w:t>Students’</w:t>
      </w:r>
      <w:r>
        <w:rPr/>
        <w:tab/>
      </w:r>
      <w:r>
        <w:rPr>
          <w:spacing w:val="-2"/>
        </w:rPr>
        <w:t>Welfare</w:t>
      </w:r>
      <w:r>
        <w:rPr/>
        <w:tab/>
      </w:r>
      <w:r>
        <w:rPr>
          <w:spacing w:val="-6"/>
        </w:rPr>
        <w:t>in</w:t>
      </w:r>
      <w:r>
        <w:rPr/>
        <w:tab/>
      </w:r>
      <w:r>
        <w:rPr>
          <w:spacing w:val="-4"/>
        </w:rPr>
        <w:t>the</w:t>
      </w:r>
      <w:r>
        <w:rPr/>
        <w:tab/>
      </w:r>
      <w:r>
        <w:rPr>
          <w:spacing w:val="-2"/>
        </w:rPr>
        <w:t>Universities</w:t>
      </w:r>
      <w:r>
        <w:rPr/>
        <w:tab/>
      </w:r>
      <w:r>
        <w:rPr>
          <w:spacing w:val="-6"/>
        </w:rPr>
        <w:t>in</w:t>
      </w:r>
      <w:r>
        <w:rPr/>
        <w:tab/>
      </w:r>
      <w:r>
        <w:rPr>
          <w:spacing w:val="-4"/>
        </w:rPr>
        <w:t>the</w:t>
      </w:r>
      <w:r>
        <w:rPr/>
        <w:tab/>
      </w:r>
      <w:r>
        <w:rPr>
          <w:spacing w:val="-2"/>
        </w:rPr>
        <w:t>three </w:t>
      </w:r>
      <w:r>
        <w:rPr/>
        <w:t>geopolitical zones in Northern part of Nigeria</w:t>
      </w:r>
    </w:p>
    <w:p>
      <w:pPr>
        <w:pStyle w:val="BodyText"/>
        <w:spacing w:line="480" w:lineRule="auto" w:before="320"/>
        <w:ind w:left="820" w:right="115" w:firstLine="720"/>
        <w:jc w:val="both"/>
      </w:pPr>
      <w:r>
        <w:rPr/>
        <w:t>Hypothesis thirteen solicited the opinions of respondents on the impact of religious services on students’ welfare in the universities. It was revealed from</w:t>
      </w:r>
      <w:r>
        <w:rPr>
          <w:spacing w:val="40"/>
        </w:rPr>
        <w:t> </w:t>
      </w:r>
      <w:r>
        <w:rPr/>
        <w:t>the findings that there were discrepancies in the opinions of the three groups of respondents. While the students’ opinion suggested that the religious services were limited to</w:t>
      </w:r>
      <w:r>
        <w:rPr>
          <w:spacing w:val="-2"/>
        </w:rPr>
        <w:t> </w:t>
      </w:r>
      <w:r>
        <w:rPr/>
        <w:t>the</w:t>
      </w:r>
      <w:r>
        <w:rPr>
          <w:spacing w:val="-2"/>
        </w:rPr>
        <w:t> </w:t>
      </w:r>
      <w:r>
        <w:rPr/>
        <w:t>two well recognized</w:t>
      </w:r>
      <w:r>
        <w:rPr>
          <w:spacing w:val="-2"/>
        </w:rPr>
        <w:t> </w:t>
      </w:r>
      <w:r>
        <w:rPr/>
        <w:t>faiths;</w:t>
      </w:r>
      <w:r>
        <w:rPr>
          <w:spacing w:val="-3"/>
        </w:rPr>
        <w:t> </w:t>
      </w:r>
      <w:r>
        <w:rPr/>
        <w:t>Islam</w:t>
      </w:r>
      <w:r>
        <w:rPr>
          <w:spacing w:val="-6"/>
        </w:rPr>
        <w:t> </w:t>
      </w:r>
      <w:r>
        <w:rPr/>
        <w:t>and Christianity,</w:t>
      </w:r>
      <w:r>
        <w:rPr>
          <w:spacing w:val="-3"/>
        </w:rPr>
        <w:t> </w:t>
      </w:r>
      <w:r>
        <w:rPr/>
        <w:t>the</w:t>
      </w:r>
      <w:r>
        <w:rPr>
          <w:spacing w:val="-2"/>
        </w:rPr>
        <w:t> </w:t>
      </w:r>
      <w:r>
        <w:rPr/>
        <w:t>opinions of the service staff and management seemed to conclude that the religious services</w:t>
      </w:r>
      <w:r>
        <w:rPr>
          <w:spacing w:val="40"/>
        </w:rPr>
        <w:t> </w:t>
      </w:r>
      <w:r>
        <w:rPr/>
        <w:t>could</w:t>
      </w:r>
      <w:r>
        <w:rPr>
          <w:spacing w:val="38"/>
        </w:rPr>
        <w:t> </w:t>
      </w:r>
      <w:r>
        <w:rPr/>
        <w:t>be</w:t>
      </w:r>
      <w:r>
        <w:rPr>
          <w:spacing w:val="37"/>
        </w:rPr>
        <w:t> </w:t>
      </w:r>
      <w:r>
        <w:rPr/>
        <w:t>adequate.</w:t>
      </w:r>
      <w:r>
        <w:rPr>
          <w:spacing w:val="37"/>
        </w:rPr>
        <w:t> </w:t>
      </w:r>
      <w:r>
        <w:rPr/>
        <w:t>It</w:t>
      </w:r>
      <w:r>
        <w:rPr>
          <w:spacing w:val="41"/>
        </w:rPr>
        <w:t> </w:t>
      </w:r>
      <w:r>
        <w:rPr/>
        <w:t>could</w:t>
      </w:r>
      <w:r>
        <w:rPr>
          <w:spacing w:val="42"/>
        </w:rPr>
        <w:t> </w:t>
      </w:r>
      <w:r>
        <w:rPr/>
        <w:t>be</w:t>
      </w:r>
      <w:r>
        <w:rPr>
          <w:spacing w:val="38"/>
        </w:rPr>
        <w:t> </w:t>
      </w:r>
      <w:r>
        <w:rPr/>
        <w:t>noted</w:t>
      </w:r>
      <w:r>
        <w:rPr>
          <w:spacing w:val="41"/>
        </w:rPr>
        <w:t> </w:t>
      </w:r>
      <w:r>
        <w:rPr/>
        <w:t>that</w:t>
      </w:r>
      <w:r>
        <w:rPr>
          <w:spacing w:val="37"/>
        </w:rPr>
        <w:t> </w:t>
      </w:r>
      <w:r>
        <w:rPr/>
        <w:t>most</w:t>
      </w:r>
      <w:r>
        <w:rPr>
          <w:spacing w:val="41"/>
        </w:rPr>
        <w:t> </w:t>
      </w:r>
      <w:r>
        <w:rPr/>
        <w:t>university</w:t>
      </w:r>
      <w:r>
        <w:rPr>
          <w:spacing w:val="41"/>
        </w:rPr>
        <w:t> </w:t>
      </w:r>
      <w:r>
        <w:rPr>
          <w:spacing w:val="-2"/>
        </w:rPr>
        <w:t>campuses</w:t>
      </w:r>
    </w:p>
    <w:p>
      <w:pPr>
        <w:spacing w:after="0" w:line="480" w:lineRule="auto"/>
        <w:jc w:val="both"/>
        <w:sectPr>
          <w:headerReference w:type="default" r:id="rId523"/>
          <w:footerReference w:type="default" r:id="rId524"/>
          <w:pgSz w:w="12240" w:h="15840"/>
          <w:pgMar w:header="722" w:footer="791" w:top="1340" w:bottom="980" w:left="1340" w:right="1320"/>
        </w:sectPr>
      </w:pPr>
    </w:p>
    <w:p>
      <w:pPr>
        <w:pStyle w:val="BodyText"/>
        <w:spacing w:line="480" w:lineRule="auto" w:before="89"/>
        <w:ind w:left="820" w:right="94"/>
      </w:pPr>
      <w:r>
        <w:rPr/>
        <w:t>have mosques and churches where members could worship but hardly did one</w:t>
      </w:r>
      <w:r>
        <w:rPr>
          <w:spacing w:val="40"/>
        </w:rPr>
        <w:t> </w:t>
      </w:r>
      <w:r>
        <w:rPr/>
        <w:t>find a shrine on the campuses of the universities.</w:t>
      </w:r>
    </w:p>
    <w:p>
      <w:pPr>
        <w:pStyle w:val="Heading2"/>
        <w:numPr>
          <w:ilvl w:val="2"/>
          <w:numId w:val="39"/>
        </w:numPr>
        <w:tabs>
          <w:tab w:pos="951" w:val="left" w:leader="none"/>
          <w:tab w:pos="973" w:val="left" w:leader="none"/>
        </w:tabs>
        <w:spacing w:line="240" w:lineRule="auto" w:before="0" w:after="0"/>
        <w:ind w:left="973" w:right="1220" w:hanging="874"/>
        <w:jc w:val="left"/>
        <w:rPr>
          <w:rFonts w:ascii="Arial MT" w:hAnsi="Arial MT"/>
          <w:b w:val="0"/>
        </w:rPr>
      </w:pPr>
      <w:r>
        <w:rPr/>
        <w:t>Opinions</w:t>
      </w:r>
      <w:r>
        <w:rPr>
          <w:spacing w:val="-3"/>
        </w:rPr>
        <w:t> </w:t>
      </w:r>
      <w:r>
        <w:rPr/>
        <w:t>of</w:t>
      </w:r>
      <w:r>
        <w:rPr>
          <w:spacing w:val="-3"/>
        </w:rPr>
        <w:t> </w:t>
      </w:r>
      <w:r>
        <w:rPr/>
        <w:t>Respondents</w:t>
      </w:r>
      <w:r>
        <w:rPr>
          <w:spacing w:val="-3"/>
        </w:rPr>
        <w:t> </w:t>
      </w:r>
      <w:r>
        <w:rPr/>
        <w:t>on</w:t>
      </w:r>
      <w:r>
        <w:rPr>
          <w:spacing w:val="-3"/>
        </w:rPr>
        <w:t> </w:t>
      </w:r>
      <w:r>
        <w:rPr/>
        <w:t>the</w:t>
      </w:r>
      <w:r>
        <w:rPr>
          <w:spacing w:val="-7"/>
        </w:rPr>
        <w:t> </w:t>
      </w:r>
      <w:r>
        <w:rPr/>
        <w:t>impact</w:t>
      </w:r>
      <w:r>
        <w:rPr>
          <w:spacing w:val="-3"/>
        </w:rPr>
        <w:t> </w:t>
      </w:r>
      <w:r>
        <w:rPr/>
        <w:t>of</w:t>
      </w:r>
      <w:r>
        <w:rPr>
          <w:spacing w:val="-7"/>
        </w:rPr>
        <w:t> </w:t>
      </w:r>
      <w:r>
        <w:rPr/>
        <w:t>Banking</w:t>
      </w:r>
      <w:r>
        <w:rPr>
          <w:spacing w:val="-8"/>
        </w:rPr>
        <w:t> </w:t>
      </w:r>
      <w:r>
        <w:rPr/>
        <w:t>and Telecommunications services on Students’ Welfare</w:t>
      </w:r>
    </w:p>
    <w:p>
      <w:pPr>
        <w:pStyle w:val="BodyText"/>
        <w:spacing w:line="480" w:lineRule="auto" w:before="320"/>
        <w:ind w:left="820" w:right="115" w:firstLine="720"/>
        <w:jc w:val="both"/>
      </w:pPr>
      <w:r>
        <w:rPr/>
        <w:t>In hypothesis fourteen, respondents’ opinions were demanded on the impact of banking and communication services on students’ welfare in the universities. The result of the findings revealed that opinions of the respondents seemed to differ, although the opinions of students and management seemed to tally. There could be the tendency of the management and students to believe that the provision and use of the banks and telecommunication facilities were satisfactory in most of the universities. The opinions of the service staff which seemed to be different from the two groups could be attributed to the fact that they were neither the primary managers nor basic users.</w:t>
      </w:r>
    </w:p>
    <w:p>
      <w:pPr>
        <w:pStyle w:val="Heading2"/>
        <w:numPr>
          <w:ilvl w:val="2"/>
          <w:numId w:val="39"/>
        </w:numPr>
        <w:tabs>
          <w:tab w:pos="951" w:val="left" w:leader="none"/>
          <w:tab w:pos="973" w:val="left" w:leader="none"/>
        </w:tabs>
        <w:spacing w:line="240" w:lineRule="auto" w:before="0" w:after="0"/>
        <w:ind w:left="973" w:right="303" w:hanging="874"/>
        <w:jc w:val="left"/>
        <w:rPr>
          <w:rFonts w:ascii="Arial MT" w:hAnsi="Arial MT"/>
          <w:b w:val="0"/>
        </w:rPr>
      </w:pPr>
      <w:r>
        <w:rPr/>
        <w:t>Opinions</w:t>
      </w:r>
      <w:r>
        <w:rPr>
          <w:spacing w:val="-3"/>
        </w:rPr>
        <w:t> </w:t>
      </w:r>
      <w:r>
        <w:rPr/>
        <w:t>of</w:t>
      </w:r>
      <w:r>
        <w:rPr>
          <w:spacing w:val="-3"/>
        </w:rPr>
        <w:t> </w:t>
      </w:r>
      <w:r>
        <w:rPr/>
        <w:t>Respondents</w:t>
      </w:r>
      <w:r>
        <w:rPr>
          <w:spacing w:val="-3"/>
        </w:rPr>
        <w:t> </w:t>
      </w:r>
      <w:r>
        <w:rPr/>
        <w:t>on</w:t>
      </w:r>
      <w:r>
        <w:rPr>
          <w:spacing w:val="-3"/>
        </w:rPr>
        <w:t> </w:t>
      </w:r>
      <w:r>
        <w:rPr/>
        <w:t>the</w:t>
      </w:r>
      <w:r>
        <w:rPr>
          <w:spacing w:val="-7"/>
        </w:rPr>
        <w:t> </w:t>
      </w:r>
      <w:r>
        <w:rPr/>
        <w:t>impact</w:t>
      </w:r>
      <w:r>
        <w:rPr>
          <w:spacing w:val="-3"/>
        </w:rPr>
        <w:t> </w:t>
      </w:r>
      <w:r>
        <w:rPr/>
        <w:t>of</w:t>
      </w:r>
      <w:r>
        <w:rPr>
          <w:spacing w:val="-7"/>
        </w:rPr>
        <w:t> </w:t>
      </w:r>
      <w:r>
        <w:rPr/>
        <w:t>Library</w:t>
      </w:r>
      <w:r>
        <w:rPr>
          <w:spacing w:val="-7"/>
        </w:rPr>
        <w:t> </w:t>
      </w:r>
      <w:r>
        <w:rPr/>
        <w:t>Services</w:t>
      </w:r>
      <w:r>
        <w:rPr>
          <w:spacing w:val="-7"/>
        </w:rPr>
        <w:t> </w:t>
      </w:r>
      <w:r>
        <w:rPr/>
        <w:t>on Students’ Welfare in the Universities in the three geopolitical zones in Northern part of Nigeria</w:t>
      </w:r>
    </w:p>
    <w:p>
      <w:pPr>
        <w:pStyle w:val="BodyText"/>
        <w:spacing w:line="480" w:lineRule="auto" w:before="321"/>
        <w:ind w:left="820" w:right="117" w:firstLine="720"/>
        <w:jc w:val="both"/>
      </w:pPr>
      <w:r>
        <w:rPr/>
        <w:t>Hypothesis fifteen tried to find out from the opinions of the three</w:t>
      </w:r>
      <w:r>
        <w:rPr>
          <w:spacing w:val="40"/>
        </w:rPr>
        <w:t> </w:t>
      </w:r>
      <w:r>
        <w:rPr/>
        <w:t>categories of respondents on the effects or impact of the library services on students’ welfare in the universities. From the findings of the study, it was revealed that divergent differences appeared between service staff and the two groups which seemed to share the same view. Thus, the opinions of students</w:t>
      </w:r>
      <w:r>
        <w:rPr>
          <w:spacing w:val="40"/>
        </w:rPr>
        <w:t> </w:t>
      </w:r>
      <w:r>
        <w:rPr/>
        <w:t>and management were observed as the same. The non-conformity of the opinions of service staff with that of the students and management could not be unconnected</w:t>
      </w:r>
      <w:r>
        <w:rPr>
          <w:spacing w:val="31"/>
        </w:rPr>
        <w:t> </w:t>
      </w:r>
      <w:r>
        <w:rPr/>
        <w:t>with</w:t>
      </w:r>
      <w:r>
        <w:rPr>
          <w:spacing w:val="31"/>
        </w:rPr>
        <w:t> </w:t>
      </w:r>
      <w:r>
        <w:rPr/>
        <w:t>the</w:t>
      </w:r>
      <w:r>
        <w:rPr>
          <w:spacing w:val="31"/>
        </w:rPr>
        <w:t> </w:t>
      </w:r>
      <w:r>
        <w:rPr/>
        <w:t>argument</w:t>
      </w:r>
      <w:r>
        <w:rPr>
          <w:spacing w:val="31"/>
        </w:rPr>
        <w:t> </w:t>
      </w:r>
      <w:r>
        <w:rPr/>
        <w:t>that</w:t>
      </w:r>
      <w:r>
        <w:rPr>
          <w:spacing w:val="30"/>
        </w:rPr>
        <w:t> </w:t>
      </w:r>
      <w:r>
        <w:rPr/>
        <w:t>service</w:t>
      </w:r>
      <w:r>
        <w:rPr>
          <w:spacing w:val="27"/>
        </w:rPr>
        <w:t> </w:t>
      </w:r>
      <w:r>
        <w:rPr/>
        <w:t>staff</w:t>
      </w:r>
      <w:r>
        <w:rPr>
          <w:spacing w:val="30"/>
        </w:rPr>
        <w:t> </w:t>
      </w:r>
      <w:r>
        <w:rPr/>
        <w:t>were</w:t>
      </w:r>
      <w:r>
        <w:rPr>
          <w:spacing w:val="32"/>
        </w:rPr>
        <w:t> </w:t>
      </w:r>
      <w:r>
        <w:rPr/>
        <w:t>shying</w:t>
      </w:r>
      <w:r>
        <w:rPr>
          <w:spacing w:val="31"/>
        </w:rPr>
        <w:t> </w:t>
      </w:r>
      <w:r>
        <w:rPr/>
        <w:t>away</w:t>
      </w:r>
      <w:r>
        <w:rPr>
          <w:spacing w:val="30"/>
        </w:rPr>
        <w:t> </w:t>
      </w:r>
      <w:r>
        <w:rPr/>
        <w:t>from</w:t>
      </w:r>
      <w:r>
        <w:rPr>
          <w:spacing w:val="24"/>
        </w:rPr>
        <w:t> </w:t>
      </w:r>
      <w:r>
        <w:rPr>
          <w:spacing w:val="-2"/>
        </w:rPr>
        <w:t>their</w:t>
      </w:r>
    </w:p>
    <w:p>
      <w:pPr>
        <w:spacing w:after="0" w:line="480" w:lineRule="auto"/>
        <w:jc w:val="both"/>
        <w:sectPr>
          <w:headerReference w:type="default" r:id="rId525"/>
          <w:footerReference w:type="default" r:id="rId526"/>
          <w:pgSz w:w="12240" w:h="15840"/>
          <w:pgMar w:header="722" w:footer="791" w:top="1340" w:bottom="980" w:left="1340" w:right="1320"/>
        </w:sectPr>
      </w:pPr>
    </w:p>
    <w:p>
      <w:pPr>
        <w:pStyle w:val="BodyText"/>
        <w:spacing w:line="480" w:lineRule="auto" w:before="89"/>
        <w:ind w:left="820" w:right="117"/>
        <w:jc w:val="both"/>
      </w:pPr>
      <w:r>
        <w:rPr/>
        <w:t>responsibilities of guiding the students properly on the use of the libraries in the universities. Hence libraries could not fulfill the aims and objectives of their functions to students when orientation and assistance for their use by students seemed to be lacking.</w:t>
      </w:r>
    </w:p>
    <w:p>
      <w:pPr>
        <w:pStyle w:val="Heading2"/>
        <w:numPr>
          <w:ilvl w:val="2"/>
          <w:numId w:val="39"/>
        </w:numPr>
        <w:tabs>
          <w:tab w:pos="951" w:val="left" w:leader="none"/>
          <w:tab w:pos="973" w:val="left" w:leader="none"/>
        </w:tabs>
        <w:spacing w:line="240" w:lineRule="auto" w:before="0" w:after="0"/>
        <w:ind w:left="973" w:right="212" w:hanging="874"/>
        <w:jc w:val="left"/>
        <w:rPr>
          <w:rFonts w:ascii="Arial MT" w:hAnsi="Arial MT"/>
          <w:b w:val="0"/>
        </w:rPr>
      </w:pPr>
      <w:r>
        <w:rPr/>
        <w:t>Opinions</w:t>
      </w:r>
      <w:r>
        <w:rPr>
          <w:spacing w:val="-4"/>
        </w:rPr>
        <w:t> </w:t>
      </w:r>
      <w:r>
        <w:rPr/>
        <w:t>of</w:t>
      </w:r>
      <w:r>
        <w:rPr>
          <w:spacing w:val="-4"/>
        </w:rPr>
        <w:t> </w:t>
      </w:r>
      <w:r>
        <w:rPr/>
        <w:t>Respondents</w:t>
      </w:r>
      <w:r>
        <w:rPr>
          <w:spacing w:val="-4"/>
        </w:rPr>
        <w:t> </w:t>
      </w:r>
      <w:r>
        <w:rPr/>
        <w:t>on</w:t>
      </w:r>
      <w:r>
        <w:rPr>
          <w:spacing w:val="-4"/>
        </w:rPr>
        <w:t> </w:t>
      </w:r>
      <w:r>
        <w:rPr/>
        <w:t>the</w:t>
      </w:r>
      <w:r>
        <w:rPr>
          <w:spacing w:val="-8"/>
        </w:rPr>
        <w:t> </w:t>
      </w:r>
      <w:r>
        <w:rPr/>
        <w:t>impact</w:t>
      </w:r>
      <w:r>
        <w:rPr>
          <w:spacing w:val="-4"/>
        </w:rPr>
        <w:t> </w:t>
      </w:r>
      <w:r>
        <w:rPr/>
        <w:t>of</w:t>
      </w:r>
      <w:r>
        <w:rPr>
          <w:spacing w:val="-8"/>
        </w:rPr>
        <w:t> </w:t>
      </w:r>
      <w:r>
        <w:rPr/>
        <w:t>Classrooms</w:t>
      </w:r>
      <w:r>
        <w:rPr>
          <w:spacing w:val="-8"/>
        </w:rPr>
        <w:t> </w:t>
      </w:r>
      <w:r>
        <w:rPr/>
        <w:t>Lecture Halls, Laboratories, Workshops and Field Work on Students’</w:t>
      </w:r>
    </w:p>
    <w:p>
      <w:pPr>
        <w:spacing w:before="0"/>
        <w:ind w:left="973" w:right="1151" w:firstLine="0"/>
        <w:jc w:val="left"/>
        <w:rPr>
          <w:rFonts w:ascii="Arial"/>
          <w:b/>
          <w:sz w:val="28"/>
        </w:rPr>
      </w:pPr>
      <w:r>
        <w:rPr>
          <w:rFonts w:ascii="Arial"/>
          <w:b/>
          <w:sz w:val="28"/>
        </w:rPr>
        <w:t>Welfare</w:t>
      </w:r>
      <w:r>
        <w:rPr>
          <w:rFonts w:ascii="Arial"/>
          <w:b/>
          <w:spacing w:val="-4"/>
          <w:sz w:val="28"/>
        </w:rPr>
        <w:t> </w:t>
      </w:r>
      <w:r>
        <w:rPr>
          <w:rFonts w:ascii="Arial"/>
          <w:b/>
          <w:sz w:val="28"/>
        </w:rPr>
        <w:t>in</w:t>
      </w:r>
      <w:r>
        <w:rPr>
          <w:rFonts w:ascii="Arial"/>
          <w:b/>
          <w:spacing w:val="-4"/>
          <w:sz w:val="28"/>
        </w:rPr>
        <w:t> </w:t>
      </w:r>
      <w:r>
        <w:rPr>
          <w:rFonts w:ascii="Arial"/>
          <w:b/>
          <w:sz w:val="28"/>
        </w:rPr>
        <w:t>the</w:t>
      </w:r>
      <w:r>
        <w:rPr>
          <w:rFonts w:ascii="Arial"/>
          <w:b/>
          <w:spacing w:val="-7"/>
          <w:sz w:val="28"/>
        </w:rPr>
        <w:t> </w:t>
      </w:r>
      <w:r>
        <w:rPr>
          <w:rFonts w:ascii="Arial"/>
          <w:b/>
          <w:sz w:val="28"/>
        </w:rPr>
        <w:t>Universities</w:t>
      </w:r>
      <w:r>
        <w:rPr>
          <w:rFonts w:ascii="Arial"/>
          <w:b/>
          <w:spacing w:val="-7"/>
          <w:sz w:val="28"/>
        </w:rPr>
        <w:t> </w:t>
      </w:r>
      <w:r>
        <w:rPr>
          <w:rFonts w:ascii="Arial"/>
          <w:b/>
          <w:sz w:val="28"/>
        </w:rPr>
        <w:t>in</w:t>
      </w:r>
      <w:r>
        <w:rPr>
          <w:rFonts w:ascii="Arial"/>
          <w:b/>
          <w:spacing w:val="-8"/>
          <w:sz w:val="28"/>
        </w:rPr>
        <w:t> </w:t>
      </w:r>
      <w:r>
        <w:rPr>
          <w:rFonts w:ascii="Arial"/>
          <w:b/>
          <w:sz w:val="28"/>
        </w:rPr>
        <w:t>the</w:t>
      </w:r>
      <w:r>
        <w:rPr>
          <w:rFonts w:ascii="Arial"/>
          <w:b/>
          <w:spacing w:val="-3"/>
          <w:sz w:val="28"/>
        </w:rPr>
        <w:t> </w:t>
      </w:r>
      <w:r>
        <w:rPr>
          <w:rFonts w:ascii="Arial"/>
          <w:b/>
          <w:sz w:val="28"/>
        </w:rPr>
        <w:t>three</w:t>
      </w:r>
      <w:r>
        <w:rPr>
          <w:rFonts w:ascii="Arial"/>
          <w:b/>
          <w:spacing w:val="-7"/>
          <w:sz w:val="28"/>
        </w:rPr>
        <w:t> </w:t>
      </w:r>
      <w:r>
        <w:rPr>
          <w:rFonts w:ascii="Arial"/>
          <w:b/>
          <w:sz w:val="28"/>
        </w:rPr>
        <w:t>geopolitical zones in Northern part of Nigeria</w:t>
      </w:r>
    </w:p>
    <w:p>
      <w:pPr>
        <w:pStyle w:val="BodyText"/>
        <w:spacing w:line="480" w:lineRule="auto" w:before="320"/>
        <w:ind w:left="820" w:right="115" w:firstLine="720"/>
        <w:jc w:val="both"/>
      </w:pPr>
      <w:r>
        <w:rPr/>
        <w:t>In hypothesis sixteen, the opinions</w:t>
      </w:r>
      <w:r>
        <w:rPr>
          <w:spacing w:val="-3"/>
        </w:rPr>
        <w:t> </w:t>
      </w:r>
      <w:r>
        <w:rPr/>
        <w:t>of</w:t>
      </w:r>
      <w:r>
        <w:rPr>
          <w:spacing w:val="-3"/>
        </w:rPr>
        <w:t> </w:t>
      </w:r>
      <w:r>
        <w:rPr/>
        <w:t>respondents on</w:t>
      </w:r>
      <w:r>
        <w:rPr>
          <w:spacing w:val="-2"/>
        </w:rPr>
        <w:t> </w:t>
      </w:r>
      <w:r>
        <w:rPr/>
        <w:t>the</w:t>
      </w:r>
      <w:r>
        <w:rPr>
          <w:spacing w:val="-6"/>
        </w:rPr>
        <w:t> </w:t>
      </w:r>
      <w:r>
        <w:rPr/>
        <w:t>impact of</w:t>
      </w:r>
      <w:r>
        <w:rPr>
          <w:spacing w:val="-3"/>
        </w:rPr>
        <w:t> </w:t>
      </w:r>
      <w:r>
        <w:rPr/>
        <w:t>lecture halls, classrooms, laboratories workshops etc were solicited. From the findings it was revealed that the opinions of the</w:t>
      </w:r>
      <w:r>
        <w:rPr>
          <w:spacing w:val="-3"/>
        </w:rPr>
        <w:t> </w:t>
      </w:r>
      <w:r>
        <w:rPr/>
        <w:t>service</w:t>
      </w:r>
      <w:r>
        <w:rPr>
          <w:spacing w:val="-6"/>
        </w:rPr>
        <w:t> </w:t>
      </w:r>
      <w:r>
        <w:rPr/>
        <w:t>staff agreed</w:t>
      </w:r>
      <w:r>
        <w:rPr>
          <w:spacing w:val="-3"/>
        </w:rPr>
        <w:t> </w:t>
      </w:r>
      <w:r>
        <w:rPr/>
        <w:t>with the opinions of the students. However, the opinions of the management were significantly different from those of the students or service staff. It was discovered that due to non- release of</w:t>
      </w:r>
      <w:r>
        <w:rPr>
          <w:spacing w:val="-3"/>
        </w:rPr>
        <w:t> </w:t>
      </w:r>
      <w:r>
        <w:rPr/>
        <w:t>adequate funds by the</w:t>
      </w:r>
      <w:r>
        <w:rPr>
          <w:spacing w:val="-2"/>
        </w:rPr>
        <w:t> </w:t>
      </w:r>
      <w:r>
        <w:rPr/>
        <w:t>government to put more academic structures</w:t>
      </w:r>
      <w:r>
        <w:rPr>
          <w:spacing w:val="-3"/>
        </w:rPr>
        <w:t> </w:t>
      </w:r>
      <w:r>
        <w:rPr/>
        <w:t>in the universities to meet up with growing population of student, there seemed to be acute shortage of classrooms or laboratory spaces in the universities. In view of</w:t>
      </w:r>
      <w:r>
        <w:rPr>
          <w:spacing w:val="-3"/>
        </w:rPr>
        <w:t> </w:t>
      </w:r>
      <w:r>
        <w:rPr/>
        <w:t>this</w:t>
      </w:r>
      <w:r>
        <w:rPr>
          <w:spacing w:val="-8"/>
        </w:rPr>
        <w:t> </w:t>
      </w:r>
      <w:r>
        <w:rPr/>
        <w:t>acute</w:t>
      </w:r>
      <w:r>
        <w:rPr>
          <w:spacing w:val="-2"/>
        </w:rPr>
        <w:t> </w:t>
      </w:r>
      <w:r>
        <w:rPr/>
        <w:t>shortage,</w:t>
      </w:r>
      <w:r>
        <w:rPr>
          <w:spacing w:val="-3"/>
        </w:rPr>
        <w:t> </w:t>
      </w:r>
      <w:r>
        <w:rPr/>
        <w:t>students</w:t>
      </w:r>
      <w:r>
        <w:rPr>
          <w:spacing w:val="-3"/>
        </w:rPr>
        <w:t> </w:t>
      </w:r>
      <w:r>
        <w:rPr/>
        <w:t>could</w:t>
      </w:r>
      <w:r>
        <w:rPr>
          <w:spacing w:val="-2"/>
        </w:rPr>
        <w:t> </w:t>
      </w:r>
      <w:r>
        <w:rPr/>
        <w:t>be</w:t>
      </w:r>
      <w:r>
        <w:rPr>
          <w:spacing w:val="-2"/>
        </w:rPr>
        <w:t> </w:t>
      </w:r>
      <w:r>
        <w:rPr/>
        <w:t>congested while</w:t>
      </w:r>
      <w:r>
        <w:rPr>
          <w:spacing w:val="-2"/>
        </w:rPr>
        <w:t> </w:t>
      </w:r>
      <w:r>
        <w:rPr/>
        <w:t>some</w:t>
      </w:r>
      <w:r>
        <w:rPr>
          <w:spacing w:val="-2"/>
        </w:rPr>
        <w:t> </w:t>
      </w:r>
      <w:r>
        <w:rPr/>
        <w:t>peep</w:t>
      </w:r>
      <w:r>
        <w:rPr>
          <w:spacing w:val="-2"/>
        </w:rPr>
        <w:t> </w:t>
      </w:r>
      <w:r>
        <w:rPr/>
        <w:t>through</w:t>
      </w:r>
      <w:r>
        <w:rPr>
          <w:spacing w:val="-2"/>
        </w:rPr>
        <w:t> </w:t>
      </w:r>
      <w:r>
        <w:rPr/>
        <w:t>the windows to receive</w:t>
      </w:r>
      <w:r>
        <w:rPr>
          <w:spacing w:val="-2"/>
        </w:rPr>
        <w:t> </w:t>
      </w:r>
      <w:r>
        <w:rPr/>
        <w:t>lectures. Such condition</w:t>
      </w:r>
      <w:r>
        <w:rPr>
          <w:spacing w:val="-2"/>
        </w:rPr>
        <w:t> </w:t>
      </w:r>
      <w:r>
        <w:rPr/>
        <w:t>was seen as</w:t>
      </w:r>
      <w:r>
        <w:rPr>
          <w:spacing w:val="-3"/>
        </w:rPr>
        <w:t> </w:t>
      </w:r>
      <w:r>
        <w:rPr/>
        <w:t>detrimental to students’ academic performance.</w:t>
      </w:r>
    </w:p>
    <w:p>
      <w:pPr>
        <w:pStyle w:val="Heading2"/>
        <w:numPr>
          <w:ilvl w:val="2"/>
          <w:numId w:val="39"/>
        </w:numPr>
        <w:tabs>
          <w:tab w:pos="951" w:val="left" w:leader="none"/>
          <w:tab w:pos="973" w:val="left" w:leader="none"/>
        </w:tabs>
        <w:spacing w:line="240" w:lineRule="auto" w:before="0" w:after="0"/>
        <w:ind w:left="973" w:right="860" w:hanging="874"/>
        <w:jc w:val="left"/>
        <w:rPr>
          <w:rFonts w:ascii="Arial MT" w:hAnsi="Arial MT"/>
          <w:b w:val="0"/>
        </w:rPr>
      </w:pPr>
      <w:r>
        <w:rPr/>
        <w:t>Opinions of respondents on the impact of Information Technology</w:t>
      </w:r>
      <w:r>
        <w:rPr>
          <w:spacing w:val="-7"/>
        </w:rPr>
        <w:t> </w:t>
      </w:r>
      <w:r>
        <w:rPr/>
        <w:t>on</w:t>
      </w:r>
      <w:r>
        <w:rPr>
          <w:spacing w:val="-8"/>
        </w:rPr>
        <w:t> </w:t>
      </w:r>
      <w:r>
        <w:rPr/>
        <w:t>Students’</w:t>
      </w:r>
      <w:r>
        <w:rPr>
          <w:spacing w:val="-7"/>
        </w:rPr>
        <w:t> </w:t>
      </w:r>
      <w:r>
        <w:rPr/>
        <w:t>Welfare</w:t>
      </w:r>
      <w:r>
        <w:rPr>
          <w:spacing w:val="-7"/>
        </w:rPr>
        <w:t> </w:t>
      </w:r>
      <w:r>
        <w:rPr/>
        <w:t>in</w:t>
      </w:r>
      <w:r>
        <w:rPr>
          <w:spacing w:val="-9"/>
        </w:rPr>
        <w:t> </w:t>
      </w:r>
      <w:r>
        <w:rPr/>
        <w:t>the</w:t>
      </w:r>
      <w:r>
        <w:rPr>
          <w:spacing w:val="-2"/>
        </w:rPr>
        <w:t> </w:t>
      </w:r>
      <w:r>
        <w:rPr/>
        <w:t>Universities</w:t>
      </w:r>
      <w:r>
        <w:rPr>
          <w:spacing w:val="-3"/>
        </w:rPr>
        <w:t> </w:t>
      </w:r>
      <w:r>
        <w:rPr/>
        <w:t>in</w:t>
      </w:r>
      <w:r>
        <w:rPr>
          <w:spacing w:val="-3"/>
        </w:rPr>
        <w:t> </w:t>
      </w:r>
      <w:r>
        <w:rPr/>
        <w:t>the three geopolitical zones in Northern part of Nigeria</w:t>
      </w:r>
    </w:p>
    <w:p>
      <w:pPr>
        <w:pStyle w:val="BodyText"/>
        <w:spacing w:before="3"/>
        <w:rPr>
          <w:rFonts w:ascii="Arial"/>
          <w:b/>
          <w:sz w:val="28"/>
        </w:rPr>
      </w:pPr>
    </w:p>
    <w:p>
      <w:pPr>
        <w:pStyle w:val="BodyText"/>
        <w:spacing w:line="480" w:lineRule="auto" w:before="1"/>
        <w:ind w:left="820" w:right="116" w:firstLine="720"/>
        <w:jc w:val="both"/>
      </w:pPr>
      <w:r>
        <w:rPr/>
        <w:t>Hypothesis seventeen solicited for the respondents’ opinions on the</w:t>
      </w:r>
      <w:r>
        <w:rPr>
          <w:spacing w:val="40"/>
        </w:rPr>
        <w:t> </w:t>
      </w:r>
      <w:r>
        <w:rPr/>
        <w:t>impact of information technology on students’ welfare in the universities in these zones.</w:t>
      </w:r>
      <w:r>
        <w:rPr>
          <w:spacing w:val="49"/>
        </w:rPr>
        <w:t> </w:t>
      </w:r>
      <w:r>
        <w:rPr/>
        <w:t>The</w:t>
      </w:r>
      <w:r>
        <w:rPr>
          <w:spacing w:val="50"/>
        </w:rPr>
        <w:t> </w:t>
      </w:r>
      <w:r>
        <w:rPr/>
        <w:t>findings</w:t>
      </w:r>
      <w:r>
        <w:rPr>
          <w:spacing w:val="49"/>
        </w:rPr>
        <w:t> </w:t>
      </w:r>
      <w:r>
        <w:rPr/>
        <w:t>revealed</w:t>
      </w:r>
      <w:r>
        <w:rPr>
          <w:spacing w:val="46"/>
        </w:rPr>
        <w:t> </w:t>
      </w:r>
      <w:r>
        <w:rPr/>
        <w:t>that</w:t>
      </w:r>
      <w:r>
        <w:rPr>
          <w:spacing w:val="44"/>
        </w:rPr>
        <w:t> </w:t>
      </w:r>
      <w:r>
        <w:rPr/>
        <w:t>the</w:t>
      </w:r>
      <w:r>
        <w:rPr>
          <w:spacing w:val="51"/>
        </w:rPr>
        <w:t> </w:t>
      </w:r>
      <w:r>
        <w:rPr/>
        <w:t>opinions</w:t>
      </w:r>
      <w:r>
        <w:rPr>
          <w:spacing w:val="49"/>
        </w:rPr>
        <w:t> </w:t>
      </w:r>
      <w:r>
        <w:rPr/>
        <w:t>of</w:t>
      </w:r>
      <w:r>
        <w:rPr>
          <w:spacing w:val="49"/>
        </w:rPr>
        <w:t> </w:t>
      </w:r>
      <w:r>
        <w:rPr/>
        <w:t>management</w:t>
      </w:r>
      <w:r>
        <w:rPr>
          <w:spacing w:val="49"/>
        </w:rPr>
        <w:t> </w:t>
      </w:r>
      <w:r>
        <w:rPr/>
        <w:t>and</w:t>
      </w:r>
      <w:r>
        <w:rPr>
          <w:spacing w:val="51"/>
        </w:rPr>
        <w:t> </w:t>
      </w:r>
      <w:r>
        <w:rPr>
          <w:spacing w:val="-2"/>
        </w:rPr>
        <w:t>students</w:t>
      </w:r>
    </w:p>
    <w:p>
      <w:pPr>
        <w:spacing w:after="0" w:line="480" w:lineRule="auto"/>
        <w:jc w:val="both"/>
        <w:sectPr>
          <w:headerReference w:type="default" r:id="rId527"/>
          <w:footerReference w:type="default" r:id="rId528"/>
          <w:pgSz w:w="12240" w:h="15840"/>
          <w:pgMar w:header="722" w:footer="791" w:top="1340" w:bottom="980" w:left="1340" w:right="1320"/>
        </w:sectPr>
      </w:pPr>
    </w:p>
    <w:p>
      <w:pPr>
        <w:pStyle w:val="BodyText"/>
        <w:spacing w:line="480" w:lineRule="auto" w:before="89"/>
        <w:ind w:left="820" w:right="113"/>
        <w:jc w:val="both"/>
      </w:pPr>
      <w:r>
        <w:rPr/>
        <w:t>agreed while the service staff did not share the opinions of the two groups. The non-conformity of service staff with the students confirmed that the managers</w:t>
      </w:r>
      <w:r>
        <w:rPr>
          <w:spacing w:val="40"/>
        </w:rPr>
        <w:t> </w:t>
      </w:r>
      <w:r>
        <w:rPr/>
        <w:t>and recipients of the services of the information technology carried more weight. Similarly, it was accepted that the role and contributions of information</w:t>
      </w:r>
      <w:r>
        <w:rPr>
          <w:spacing w:val="40"/>
        </w:rPr>
        <w:t> </w:t>
      </w:r>
      <w:r>
        <w:rPr/>
        <w:t>technology to modern teaching and learning in all institutions of learning could</w:t>
      </w:r>
      <w:r>
        <w:rPr>
          <w:spacing w:val="40"/>
        </w:rPr>
        <w:t> </w:t>
      </w:r>
      <w:r>
        <w:rPr/>
        <w:t>not be over-emphasized.</w:t>
      </w:r>
    </w:p>
    <w:p>
      <w:pPr>
        <w:pStyle w:val="Heading2"/>
        <w:numPr>
          <w:ilvl w:val="2"/>
          <w:numId w:val="39"/>
        </w:numPr>
        <w:tabs>
          <w:tab w:pos="1028" w:val="left" w:leader="none"/>
          <w:tab w:pos="1050" w:val="left" w:leader="none"/>
        </w:tabs>
        <w:spacing w:line="240" w:lineRule="auto" w:before="0" w:after="0"/>
        <w:ind w:left="1050" w:right="289" w:hanging="951"/>
        <w:jc w:val="left"/>
        <w:rPr>
          <w:rFonts w:ascii="Arial MT" w:hAnsi="Arial MT"/>
          <w:b w:val="0"/>
        </w:rPr>
      </w:pPr>
      <w:r>
        <w:rPr/>
        <w:t>Opinions</w:t>
      </w:r>
      <w:r>
        <w:rPr>
          <w:spacing w:val="-4"/>
        </w:rPr>
        <w:t> </w:t>
      </w:r>
      <w:r>
        <w:rPr/>
        <w:t>of</w:t>
      </w:r>
      <w:r>
        <w:rPr>
          <w:spacing w:val="-7"/>
        </w:rPr>
        <w:t> </w:t>
      </w:r>
      <w:r>
        <w:rPr/>
        <w:t>Respondents</w:t>
      </w:r>
      <w:r>
        <w:rPr>
          <w:spacing w:val="-4"/>
        </w:rPr>
        <w:t> </w:t>
      </w:r>
      <w:r>
        <w:rPr/>
        <w:t>on</w:t>
      </w:r>
      <w:r>
        <w:rPr>
          <w:spacing w:val="-4"/>
        </w:rPr>
        <w:t> </w:t>
      </w:r>
      <w:r>
        <w:rPr/>
        <w:t>the</w:t>
      </w:r>
      <w:r>
        <w:rPr>
          <w:spacing w:val="-3"/>
        </w:rPr>
        <w:t> </w:t>
      </w:r>
      <w:r>
        <w:rPr/>
        <w:t>impact</w:t>
      </w:r>
      <w:r>
        <w:rPr>
          <w:spacing w:val="-4"/>
        </w:rPr>
        <w:t> </w:t>
      </w:r>
      <w:r>
        <w:rPr/>
        <w:t>of</w:t>
      </w:r>
      <w:r>
        <w:rPr>
          <w:spacing w:val="-7"/>
        </w:rPr>
        <w:t> </w:t>
      </w:r>
      <w:r>
        <w:rPr/>
        <w:t>Medical</w:t>
      </w:r>
      <w:r>
        <w:rPr>
          <w:spacing w:val="-3"/>
        </w:rPr>
        <w:t> </w:t>
      </w:r>
      <w:r>
        <w:rPr/>
        <w:t>and</w:t>
      </w:r>
      <w:r>
        <w:rPr>
          <w:spacing w:val="-8"/>
        </w:rPr>
        <w:t> </w:t>
      </w:r>
      <w:r>
        <w:rPr/>
        <w:t>Health Services on students’ welfare in the Universities in the three geopolitical zones in Northern part of Nigeria</w:t>
      </w:r>
    </w:p>
    <w:p>
      <w:pPr>
        <w:pStyle w:val="BodyText"/>
        <w:spacing w:line="480" w:lineRule="auto" w:before="320"/>
        <w:ind w:left="820" w:right="117" w:firstLine="720"/>
        <w:jc w:val="both"/>
      </w:pPr>
      <w:r>
        <w:rPr/>
        <w:t>In hypothesis eighteen, the opinions of respondents on the impact of medical and health services in these universities were demanded. The findings from the responses of the three categories of respondents indicated agreement on their opinions. This seemed to suggest that the respondents’ position on the role and contributions of medical and health services to students’ welfare in the universities were paramount. It was in the direction of the importance of medical and health care that the government of Nigeria had recently introduced National Health Insurance Scheme (NHIS) in the federation of which universities are </w:t>
      </w:r>
      <w:r>
        <w:rPr>
          <w:spacing w:val="-2"/>
        </w:rPr>
        <w:t>inclusive.</w:t>
      </w:r>
    </w:p>
    <w:p>
      <w:pPr>
        <w:pStyle w:val="Heading2"/>
        <w:numPr>
          <w:ilvl w:val="2"/>
          <w:numId w:val="39"/>
        </w:numPr>
        <w:tabs>
          <w:tab w:pos="951" w:val="left" w:leader="none"/>
          <w:tab w:pos="973" w:val="left" w:leader="none"/>
        </w:tabs>
        <w:spacing w:line="240" w:lineRule="auto" w:before="0" w:after="0"/>
        <w:ind w:left="973" w:right="515" w:hanging="874"/>
        <w:jc w:val="left"/>
        <w:rPr>
          <w:rFonts w:ascii="Arial MT" w:hAnsi="Arial MT"/>
          <w:b w:val="0"/>
        </w:rPr>
      </w:pPr>
      <w:r>
        <w:rPr/>
        <w:t>Opinions of Respondents on the impact of Environmental Services</w:t>
      </w:r>
      <w:r>
        <w:rPr>
          <w:spacing w:val="-2"/>
        </w:rPr>
        <w:t> </w:t>
      </w:r>
      <w:r>
        <w:rPr/>
        <w:t>on</w:t>
      </w:r>
      <w:r>
        <w:rPr>
          <w:spacing w:val="-7"/>
        </w:rPr>
        <w:t> </w:t>
      </w:r>
      <w:r>
        <w:rPr/>
        <w:t>Students’</w:t>
      </w:r>
      <w:r>
        <w:rPr>
          <w:spacing w:val="-7"/>
        </w:rPr>
        <w:t> </w:t>
      </w:r>
      <w:r>
        <w:rPr/>
        <w:t>Welfare</w:t>
      </w:r>
      <w:r>
        <w:rPr>
          <w:spacing w:val="-7"/>
        </w:rPr>
        <w:t> </w:t>
      </w:r>
      <w:r>
        <w:rPr/>
        <w:t>in</w:t>
      </w:r>
      <w:r>
        <w:rPr>
          <w:spacing w:val="-7"/>
        </w:rPr>
        <w:t> </w:t>
      </w:r>
      <w:r>
        <w:rPr/>
        <w:t>the</w:t>
      </w:r>
      <w:r>
        <w:rPr>
          <w:spacing w:val="-7"/>
        </w:rPr>
        <w:t> </w:t>
      </w:r>
      <w:r>
        <w:rPr/>
        <w:t>Universities</w:t>
      </w:r>
      <w:r>
        <w:rPr>
          <w:spacing w:val="-2"/>
        </w:rPr>
        <w:t> </w:t>
      </w:r>
      <w:r>
        <w:rPr/>
        <w:t>in</w:t>
      </w:r>
      <w:r>
        <w:rPr>
          <w:spacing w:val="-3"/>
        </w:rPr>
        <w:t> </w:t>
      </w:r>
      <w:r>
        <w:rPr/>
        <w:t>the</w:t>
      </w:r>
      <w:r>
        <w:rPr>
          <w:spacing w:val="-3"/>
        </w:rPr>
        <w:t> </w:t>
      </w:r>
      <w:r>
        <w:rPr/>
        <w:t>three geopolitical zones in Northern part of Nigeria</w:t>
      </w:r>
    </w:p>
    <w:p>
      <w:pPr>
        <w:pStyle w:val="BodyText"/>
        <w:spacing w:line="480" w:lineRule="auto" w:before="321"/>
        <w:ind w:left="820" w:right="121" w:firstLine="720"/>
        <w:jc w:val="both"/>
      </w:pPr>
      <w:r>
        <w:rPr/>
        <w:t>Hypothesis nineteen sought the opinions of respondents on the impact of environmental services in these universities. It was discovered that the opinions of the three categories of respondents were not different on the impact of items identified</w:t>
      </w:r>
      <w:r>
        <w:rPr>
          <w:spacing w:val="-1"/>
        </w:rPr>
        <w:t> </w:t>
      </w:r>
      <w:r>
        <w:rPr/>
        <w:t>as</w:t>
      </w:r>
      <w:r>
        <w:rPr>
          <w:spacing w:val="-2"/>
        </w:rPr>
        <w:t> </w:t>
      </w:r>
      <w:r>
        <w:rPr/>
        <w:t>environmental</w:t>
      </w:r>
      <w:r>
        <w:rPr>
          <w:spacing w:val="1"/>
        </w:rPr>
        <w:t> </w:t>
      </w:r>
      <w:r>
        <w:rPr/>
        <w:t>services</w:t>
      </w:r>
      <w:r>
        <w:rPr>
          <w:spacing w:val="-6"/>
        </w:rPr>
        <w:t> </w:t>
      </w:r>
      <w:r>
        <w:rPr/>
        <w:t>in</w:t>
      </w:r>
      <w:r>
        <w:rPr>
          <w:spacing w:val="-1"/>
        </w:rPr>
        <w:t> </w:t>
      </w:r>
      <w:r>
        <w:rPr/>
        <w:t>the</w:t>
      </w:r>
      <w:r>
        <w:rPr>
          <w:spacing w:val="-1"/>
        </w:rPr>
        <w:t> </w:t>
      </w:r>
      <w:r>
        <w:rPr/>
        <w:t>universities.</w:t>
      </w:r>
      <w:r>
        <w:rPr>
          <w:spacing w:val="-2"/>
        </w:rPr>
        <w:t> </w:t>
      </w:r>
      <w:r>
        <w:rPr/>
        <w:t>By</w:t>
      </w:r>
      <w:r>
        <w:rPr>
          <w:spacing w:val="-1"/>
        </w:rPr>
        <w:t> </w:t>
      </w:r>
      <w:r>
        <w:rPr/>
        <w:t>implication</w:t>
      </w:r>
      <w:r>
        <w:rPr>
          <w:spacing w:val="-1"/>
        </w:rPr>
        <w:t> </w:t>
      </w:r>
      <w:r>
        <w:rPr/>
        <w:t>this</w:t>
      </w:r>
      <w:r>
        <w:rPr>
          <w:spacing w:val="-2"/>
        </w:rPr>
        <w:t> means</w:t>
      </w:r>
    </w:p>
    <w:p>
      <w:pPr>
        <w:spacing w:after="0" w:line="480" w:lineRule="auto"/>
        <w:jc w:val="both"/>
        <w:sectPr>
          <w:headerReference w:type="default" r:id="rId529"/>
          <w:footerReference w:type="default" r:id="rId530"/>
          <w:pgSz w:w="12240" w:h="15840"/>
          <w:pgMar w:header="722" w:footer="791" w:top="1340" w:bottom="980" w:left="1340" w:right="1320"/>
        </w:sectPr>
      </w:pPr>
    </w:p>
    <w:p>
      <w:pPr>
        <w:pStyle w:val="BodyText"/>
        <w:spacing w:line="480" w:lineRule="auto" w:before="89"/>
        <w:ind w:left="820" w:right="114"/>
        <w:jc w:val="both"/>
      </w:pPr>
      <w:r>
        <w:rPr/>
        <w:t>that in the universities the role and importance of the conducive tone of the university environments has far–reaching importance on the students’ welfare in the universities.</w:t>
      </w:r>
      <w:r>
        <w:rPr>
          <w:spacing w:val="40"/>
        </w:rPr>
        <w:t> </w:t>
      </w:r>
      <w:r>
        <w:rPr/>
        <w:t>It would be envisaged that when universality management creates conducive atmosphere in their campuses the morale of staff and</w:t>
      </w:r>
      <w:r>
        <w:rPr>
          <w:spacing w:val="80"/>
        </w:rPr>
        <w:t> </w:t>
      </w:r>
      <w:r>
        <w:rPr/>
        <w:t>students would usually rise up and both teaching and learning activities would become more productive.</w:t>
      </w:r>
    </w:p>
    <w:p>
      <w:pPr>
        <w:pStyle w:val="Heading2"/>
        <w:numPr>
          <w:ilvl w:val="2"/>
          <w:numId w:val="39"/>
        </w:numPr>
        <w:tabs>
          <w:tab w:pos="951" w:val="left" w:leader="none"/>
          <w:tab w:pos="973" w:val="left" w:leader="none"/>
        </w:tabs>
        <w:spacing w:line="240" w:lineRule="auto" w:before="0" w:after="0"/>
        <w:ind w:left="973" w:right="623" w:hanging="874"/>
        <w:jc w:val="left"/>
        <w:rPr>
          <w:rFonts w:ascii="Arial MT" w:hAnsi="Arial MT"/>
          <w:b w:val="0"/>
        </w:rPr>
      </w:pPr>
      <w:r>
        <w:rPr/>
        <w:t>Opinions of respondents on the effects of the perceived strategies</w:t>
      </w:r>
      <w:r>
        <w:rPr>
          <w:spacing w:val="-4"/>
        </w:rPr>
        <w:t> </w:t>
      </w:r>
      <w:r>
        <w:rPr/>
        <w:t>for</w:t>
      </w:r>
      <w:r>
        <w:rPr>
          <w:spacing w:val="-2"/>
        </w:rPr>
        <w:t> </w:t>
      </w:r>
      <w:r>
        <w:rPr/>
        <w:t>effective</w:t>
      </w:r>
      <w:r>
        <w:rPr>
          <w:spacing w:val="-8"/>
        </w:rPr>
        <w:t> </w:t>
      </w:r>
      <w:r>
        <w:rPr/>
        <w:t>management</w:t>
      </w:r>
      <w:r>
        <w:rPr>
          <w:spacing w:val="-8"/>
        </w:rPr>
        <w:t> </w:t>
      </w:r>
      <w:r>
        <w:rPr/>
        <w:t>of</w:t>
      </w:r>
      <w:r>
        <w:rPr>
          <w:spacing w:val="-8"/>
        </w:rPr>
        <w:t> </w:t>
      </w:r>
      <w:r>
        <w:rPr/>
        <w:t>students’</w:t>
      </w:r>
      <w:r>
        <w:rPr>
          <w:spacing w:val="-4"/>
        </w:rPr>
        <w:t> </w:t>
      </w:r>
      <w:r>
        <w:rPr/>
        <w:t>services</w:t>
      </w:r>
      <w:r>
        <w:rPr>
          <w:spacing w:val="-8"/>
        </w:rPr>
        <w:t> </w:t>
      </w:r>
      <w:r>
        <w:rPr/>
        <w:t>in the Universities in the three geopolitical zones in Northern part of Nigeria</w:t>
      </w:r>
    </w:p>
    <w:p>
      <w:pPr>
        <w:pStyle w:val="BodyText"/>
        <w:spacing w:line="480" w:lineRule="auto" w:before="320"/>
        <w:ind w:left="820" w:right="114" w:firstLine="720"/>
        <w:jc w:val="both"/>
      </w:pPr>
      <w:r>
        <w:rPr/>
        <w:t>In hypothesis twenty, the opinions of respondents were solicited to determine the effects of applying perceived strategies for effective management of students’ welfare services in the universities. The findings revealed that respondents shared the same opinions, implying that adequate funding, application of the right educational edicts, policies, reforms, laws, statutes, rules and regulations, use of committee system, contribution of Donor agencies, alumni, communication network, supervision etcetera, are believed to facilitate and contribute immensely to effective management of students’ welfare services in the universities.</w:t>
      </w:r>
    </w:p>
    <w:p>
      <w:pPr>
        <w:pStyle w:val="Heading4"/>
        <w:numPr>
          <w:ilvl w:val="1"/>
          <w:numId w:val="39"/>
        </w:numPr>
        <w:tabs>
          <w:tab w:pos="819" w:val="left" w:leader="none"/>
        </w:tabs>
        <w:spacing w:line="272" w:lineRule="exact" w:before="0" w:after="0"/>
        <w:ind w:left="819" w:right="0" w:hanging="719"/>
        <w:jc w:val="left"/>
        <w:rPr>
          <w:rFonts w:ascii="Arial MT"/>
          <w:b w:val="0"/>
        </w:rPr>
      </w:pPr>
      <w:bookmarkStart w:name="_TOC_250003" w:id="65"/>
      <w:bookmarkEnd w:id="65"/>
      <w:r>
        <w:rPr>
          <w:spacing w:val="-2"/>
        </w:rPr>
        <w:t>Summary</w:t>
      </w:r>
    </w:p>
    <w:p>
      <w:pPr>
        <w:pStyle w:val="BodyText"/>
        <w:spacing w:before="5"/>
        <w:rPr>
          <w:rFonts w:ascii="Arial"/>
          <w:b/>
        </w:rPr>
      </w:pPr>
    </w:p>
    <w:p>
      <w:pPr>
        <w:pStyle w:val="BodyText"/>
        <w:spacing w:line="480" w:lineRule="auto"/>
        <w:ind w:left="820" w:right="114" w:firstLine="720"/>
        <w:jc w:val="both"/>
      </w:pPr>
      <w:r>
        <w:rPr/>
        <w:t>The research was arranged to analyze and discuss in details types, adequacy, impact and management strategies in respect of students’ welfare services in the universities in the three geopolitical zones in the Northern part of Nigeria.</w:t>
      </w:r>
      <w:r>
        <w:rPr>
          <w:spacing w:val="80"/>
        </w:rPr>
        <w:t> </w:t>
      </w:r>
      <w:r>
        <w:rPr/>
        <w:t>The respondents used for the study were students, services staff and top</w:t>
      </w:r>
      <w:r>
        <w:rPr>
          <w:spacing w:val="4"/>
        </w:rPr>
        <w:t> </w:t>
      </w:r>
      <w:r>
        <w:rPr/>
        <w:t>management</w:t>
      </w:r>
      <w:r>
        <w:rPr>
          <w:spacing w:val="3"/>
        </w:rPr>
        <w:t> </w:t>
      </w:r>
      <w:r>
        <w:rPr/>
        <w:t>staff</w:t>
      </w:r>
      <w:r>
        <w:rPr>
          <w:spacing w:val="3"/>
        </w:rPr>
        <w:t> </w:t>
      </w:r>
      <w:r>
        <w:rPr/>
        <w:t>of</w:t>
      </w:r>
      <w:r>
        <w:rPr>
          <w:spacing w:val="3"/>
        </w:rPr>
        <w:t> </w:t>
      </w:r>
      <w:r>
        <w:rPr/>
        <w:t>these</w:t>
      </w:r>
      <w:r>
        <w:rPr>
          <w:spacing w:val="4"/>
        </w:rPr>
        <w:t> </w:t>
      </w:r>
      <w:r>
        <w:rPr/>
        <w:t>universities.</w:t>
      </w:r>
      <w:r>
        <w:rPr>
          <w:spacing w:val="72"/>
        </w:rPr>
        <w:t> </w:t>
      </w:r>
      <w:r>
        <w:rPr/>
        <w:t>Descriptive</w:t>
      </w:r>
      <w:r>
        <w:rPr>
          <w:spacing w:val="5"/>
        </w:rPr>
        <w:t> </w:t>
      </w:r>
      <w:r>
        <w:rPr/>
        <w:t>and</w:t>
      </w:r>
      <w:r>
        <w:rPr>
          <w:spacing w:val="-1"/>
        </w:rPr>
        <w:t> </w:t>
      </w:r>
      <w:r>
        <w:rPr/>
        <w:t>inferential</w:t>
      </w:r>
      <w:r>
        <w:rPr>
          <w:spacing w:val="7"/>
        </w:rPr>
        <w:t> </w:t>
      </w:r>
      <w:r>
        <w:rPr>
          <w:spacing w:val="-2"/>
        </w:rPr>
        <w:t>statistical</w:t>
      </w:r>
    </w:p>
    <w:p>
      <w:pPr>
        <w:spacing w:after="0" w:line="480" w:lineRule="auto"/>
        <w:jc w:val="both"/>
        <w:sectPr>
          <w:headerReference w:type="default" r:id="rId531"/>
          <w:footerReference w:type="default" r:id="rId532"/>
          <w:pgSz w:w="12240" w:h="15840"/>
          <w:pgMar w:header="722" w:footer="791" w:top="1340" w:bottom="980" w:left="1340" w:right="1320"/>
        </w:sectPr>
      </w:pPr>
    </w:p>
    <w:p>
      <w:pPr>
        <w:pStyle w:val="BodyText"/>
        <w:spacing w:line="480" w:lineRule="auto" w:before="89"/>
        <w:ind w:left="820" w:right="115"/>
        <w:jc w:val="both"/>
      </w:pPr>
      <w:r>
        <w:rPr/>
        <w:t>measurements were used for the study.</w:t>
      </w:r>
      <w:r>
        <w:rPr>
          <w:spacing w:val="40"/>
        </w:rPr>
        <w:t> </w:t>
      </w:r>
      <w:r>
        <w:rPr/>
        <w:t>Also</w:t>
      </w:r>
      <w:r>
        <w:rPr>
          <w:spacing w:val="-1"/>
        </w:rPr>
        <w:t> </w:t>
      </w:r>
      <w:r>
        <w:rPr/>
        <w:t>frequencies and percentages were used to give a general description of the data obtained.</w:t>
      </w:r>
      <w:r>
        <w:rPr>
          <w:spacing w:val="40"/>
        </w:rPr>
        <w:t> </w:t>
      </w:r>
      <w:r>
        <w:rPr/>
        <w:t>One Way Analysis of Variance (ANOVA) statistical method was adopted to determine the opinions of each of</w:t>
      </w:r>
      <w:r>
        <w:rPr>
          <w:spacing w:val="-1"/>
        </w:rPr>
        <w:t> </w:t>
      </w:r>
      <w:r>
        <w:rPr/>
        <w:t>the five main categories</w:t>
      </w:r>
      <w:r>
        <w:rPr>
          <w:spacing w:val="-1"/>
        </w:rPr>
        <w:t> </w:t>
      </w:r>
      <w:r>
        <w:rPr/>
        <w:t>of</w:t>
      </w:r>
      <w:r>
        <w:rPr>
          <w:spacing w:val="-1"/>
        </w:rPr>
        <w:t> </w:t>
      </w:r>
      <w:r>
        <w:rPr/>
        <w:t>respondents</w:t>
      </w:r>
      <w:r>
        <w:rPr>
          <w:spacing w:val="-1"/>
        </w:rPr>
        <w:t> </w:t>
      </w:r>
      <w:r>
        <w:rPr/>
        <w:t>on the issues</w:t>
      </w:r>
      <w:r>
        <w:rPr>
          <w:spacing w:val="-1"/>
        </w:rPr>
        <w:t> </w:t>
      </w:r>
      <w:r>
        <w:rPr/>
        <w:t>raised in the study. Twelve out of the twenty hypotheses were rejected and were subjected to Scheffe’s Multiple Comparison Test to ascertain the extent of significant difference in the opinions of the respondents.</w:t>
      </w:r>
      <w:r>
        <w:rPr>
          <w:spacing w:val="40"/>
        </w:rPr>
        <w:t> </w:t>
      </w:r>
      <w:r>
        <w:rPr/>
        <w:t>The summary of the tests of the hypothesis was also provided.</w:t>
      </w:r>
    </w:p>
    <w:p>
      <w:pPr>
        <w:spacing w:after="0" w:line="480" w:lineRule="auto"/>
        <w:jc w:val="both"/>
        <w:sectPr>
          <w:headerReference w:type="default" r:id="rId533"/>
          <w:footerReference w:type="default" r:id="rId534"/>
          <w:pgSz w:w="12240" w:h="15840"/>
          <w:pgMar w:header="722" w:footer="791" w:top="1340" w:bottom="980" w:left="1340" w:right="1320"/>
        </w:sectPr>
      </w:pPr>
    </w:p>
    <w:p>
      <w:pPr>
        <w:pStyle w:val="Heading1"/>
        <w:spacing w:before="81"/>
        <w:ind w:left="2980"/>
        <w:jc w:val="left"/>
      </w:pPr>
      <w:bookmarkStart w:name="_TOC_250002" w:id="66"/>
      <w:r>
        <w:rPr/>
        <w:t>CHAPTER</w:t>
      </w:r>
      <w:r>
        <w:rPr>
          <w:spacing w:val="-9"/>
        </w:rPr>
        <w:t> </w:t>
      </w:r>
      <w:bookmarkEnd w:id="66"/>
      <w:r>
        <w:rPr>
          <w:spacing w:val="-4"/>
        </w:rPr>
        <w:t>FIVE</w:t>
      </w:r>
    </w:p>
    <w:p>
      <w:pPr>
        <w:pStyle w:val="BodyText"/>
        <w:spacing w:before="1"/>
        <w:rPr>
          <w:rFonts w:ascii="Arial"/>
          <w:b/>
          <w:sz w:val="32"/>
        </w:rPr>
      </w:pPr>
    </w:p>
    <w:p>
      <w:pPr>
        <w:pStyle w:val="Heading3"/>
        <w:ind w:left="820"/>
        <w:jc w:val="left"/>
      </w:pPr>
      <w:bookmarkStart w:name="_TOC_250001" w:id="67"/>
      <w:r>
        <w:rPr/>
        <w:t>SUMMARY,</w:t>
      </w:r>
      <w:r>
        <w:rPr>
          <w:spacing w:val="-17"/>
        </w:rPr>
        <w:t> </w:t>
      </w:r>
      <w:r>
        <w:rPr/>
        <w:t>CONCLUSIONS</w:t>
      </w:r>
      <w:r>
        <w:rPr>
          <w:spacing w:val="-13"/>
        </w:rPr>
        <w:t> </w:t>
      </w:r>
      <w:r>
        <w:rPr/>
        <w:t>AND</w:t>
      </w:r>
      <w:r>
        <w:rPr>
          <w:spacing w:val="-14"/>
        </w:rPr>
        <w:t> </w:t>
      </w:r>
      <w:bookmarkEnd w:id="67"/>
      <w:r>
        <w:rPr>
          <w:spacing w:val="-2"/>
        </w:rPr>
        <w:t>RECOMMENDATIONS</w:t>
      </w:r>
    </w:p>
    <w:p>
      <w:pPr>
        <w:pStyle w:val="BodyText"/>
        <w:spacing w:before="1"/>
        <w:rPr>
          <w:rFonts w:ascii="Arial"/>
          <w:b/>
        </w:rPr>
      </w:pPr>
    </w:p>
    <w:p>
      <w:pPr>
        <w:pStyle w:val="Heading2"/>
        <w:numPr>
          <w:ilvl w:val="1"/>
          <w:numId w:val="45"/>
        </w:numPr>
        <w:tabs>
          <w:tab w:pos="819" w:val="left" w:leader="none"/>
        </w:tabs>
        <w:spacing w:line="240" w:lineRule="auto" w:before="0" w:after="0"/>
        <w:ind w:left="819" w:right="0" w:hanging="719"/>
        <w:jc w:val="left"/>
        <w:rPr>
          <w:rFonts w:ascii="Arial MT"/>
          <w:b w:val="0"/>
        </w:rPr>
      </w:pPr>
      <w:r>
        <w:rPr/>
        <w:t>Summary</w:t>
      </w:r>
      <w:r>
        <w:rPr>
          <w:spacing w:val="-7"/>
        </w:rPr>
        <w:t> </w:t>
      </w:r>
      <w:r>
        <w:rPr/>
        <w:t>of</w:t>
      </w:r>
      <w:r>
        <w:rPr>
          <w:spacing w:val="-3"/>
        </w:rPr>
        <w:t> </w:t>
      </w:r>
      <w:r>
        <w:rPr>
          <w:spacing w:val="-2"/>
        </w:rPr>
        <w:t>Findings</w:t>
      </w:r>
    </w:p>
    <w:p>
      <w:pPr>
        <w:pStyle w:val="BodyText"/>
        <w:spacing w:before="3"/>
        <w:rPr>
          <w:rFonts w:ascii="Arial"/>
          <w:b/>
          <w:sz w:val="28"/>
        </w:rPr>
      </w:pPr>
    </w:p>
    <w:p>
      <w:pPr>
        <w:pStyle w:val="BodyText"/>
        <w:ind w:left="820"/>
      </w:pPr>
      <w:r>
        <w:rPr/>
        <w:t>Based</w:t>
      </w:r>
      <w:r>
        <w:rPr>
          <w:spacing w:val="-6"/>
        </w:rPr>
        <w:t> </w:t>
      </w:r>
      <w:r>
        <w:rPr/>
        <w:t>on</w:t>
      </w:r>
      <w:r>
        <w:rPr>
          <w:spacing w:val="-5"/>
        </w:rPr>
        <w:t> </w:t>
      </w:r>
      <w:r>
        <w:rPr/>
        <w:t>the</w:t>
      </w:r>
      <w:r>
        <w:rPr>
          <w:spacing w:val="-9"/>
        </w:rPr>
        <w:t> </w:t>
      </w:r>
      <w:r>
        <w:rPr/>
        <w:t>findings</w:t>
      </w:r>
      <w:r>
        <w:rPr>
          <w:spacing w:val="-6"/>
        </w:rPr>
        <w:t> </w:t>
      </w:r>
      <w:r>
        <w:rPr/>
        <w:t>of</w:t>
      </w:r>
      <w:r>
        <w:rPr>
          <w:spacing w:val="-7"/>
        </w:rPr>
        <w:t> </w:t>
      </w:r>
      <w:r>
        <w:rPr/>
        <w:t>the</w:t>
      </w:r>
      <w:r>
        <w:rPr>
          <w:spacing w:val="-5"/>
        </w:rPr>
        <w:t> </w:t>
      </w:r>
      <w:r>
        <w:rPr/>
        <w:t>study</w:t>
      </w:r>
      <w:r>
        <w:rPr>
          <w:spacing w:val="-6"/>
        </w:rPr>
        <w:t> </w:t>
      </w:r>
      <w:r>
        <w:rPr/>
        <w:t>the</w:t>
      </w:r>
      <w:r>
        <w:rPr>
          <w:spacing w:val="-9"/>
        </w:rPr>
        <w:t> </w:t>
      </w:r>
      <w:r>
        <w:rPr/>
        <w:t>following</w:t>
      </w:r>
      <w:r>
        <w:rPr>
          <w:spacing w:val="-6"/>
        </w:rPr>
        <w:t> </w:t>
      </w:r>
      <w:r>
        <w:rPr/>
        <w:t>summaries</w:t>
      </w:r>
      <w:r>
        <w:rPr>
          <w:spacing w:val="-6"/>
        </w:rPr>
        <w:t> </w:t>
      </w:r>
      <w:r>
        <w:rPr/>
        <w:t>were</w:t>
      </w:r>
      <w:r>
        <w:rPr>
          <w:spacing w:val="-5"/>
        </w:rPr>
        <w:t> </w:t>
      </w:r>
      <w:r>
        <w:rPr>
          <w:spacing w:val="-2"/>
        </w:rPr>
        <w:t>made:</w:t>
      </w:r>
    </w:p>
    <w:p>
      <w:pPr>
        <w:pStyle w:val="Heading2"/>
        <w:numPr>
          <w:ilvl w:val="2"/>
          <w:numId w:val="45"/>
        </w:numPr>
        <w:tabs>
          <w:tab w:pos="817" w:val="left" w:leader="none"/>
          <w:tab w:pos="820" w:val="left" w:leader="none"/>
        </w:tabs>
        <w:spacing w:line="242" w:lineRule="auto" w:before="272" w:after="0"/>
        <w:ind w:left="820" w:right="121" w:hanging="720"/>
        <w:jc w:val="both"/>
      </w:pPr>
      <w:r>
        <w:rPr/>
        <w:t>The Types and Availability of Students’ Welfare Services in Respect of Social Services in the universities in the three geopolitical zones in</w:t>
      </w:r>
      <w:r>
        <w:rPr>
          <w:spacing w:val="40"/>
        </w:rPr>
        <w:t> </w:t>
      </w:r>
      <w:r>
        <w:rPr/>
        <w:t>Northern part of Nigeria</w:t>
      </w:r>
    </w:p>
    <w:p>
      <w:pPr>
        <w:pStyle w:val="ListParagraph"/>
        <w:numPr>
          <w:ilvl w:val="0"/>
          <w:numId w:val="46"/>
        </w:numPr>
        <w:tabs>
          <w:tab w:pos="1540" w:val="left" w:leader="none"/>
          <w:tab w:pos="2163" w:val="left" w:leader="none"/>
          <w:tab w:pos="3291" w:val="left" w:leader="none"/>
          <w:tab w:pos="4485" w:val="left" w:leader="none"/>
          <w:tab w:pos="5743" w:val="left" w:leader="none"/>
          <w:tab w:pos="6925" w:val="left" w:leader="none"/>
          <w:tab w:pos="7534" w:val="left" w:leader="none"/>
          <w:tab w:pos="8940" w:val="left" w:leader="none"/>
        </w:tabs>
        <w:spacing w:line="480" w:lineRule="auto" w:before="320" w:after="0"/>
        <w:ind w:left="1540" w:right="120" w:hanging="360"/>
        <w:jc w:val="left"/>
        <w:rPr>
          <w:sz w:val="24"/>
        </w:rPr>
      </w:pPr>
      <w:r>
        <w:rPr>
          <w:spacing w:val="-4"/>
          <w:sz w:val="24"/>
        </w:rPr>
        <w:t>The</w:t>
      </w:r>
      <w:r>
        <w:rPr>
          <w:sz w:val="24"/>
        </w:rPr>
        <w:tab/>
      </w:r>
      <w:r>
        <w:rPr>
          <w:spacing w:val="-2"/>
          <w:sz w:val="24"/>
        </w:rPr>
        <w:t>catering,</w:t>
      </w:r>
      <w:r>
        <w:rPr>
          <w:sz w:val="24"/>
        </w:rPr>
        <w:tab/>
      </w:r>
      <w:r>
        <w:rPr>
          <w:spacing w:val="-2"/>
          <w:sz w:val="24"/>
        </w:rPr>
        <w:t>cafeteria,</w:t>
      </w:r>
      <w:r>
        <w:rPr>
          <w:sz w:val="24"/>
        </w:rPr>
        <w:tab/>
      </w:r>
      <w:r>
        <w:rPr>
          <w:spacing w:val="-2"/>
          <w:sz w:val="24"/>
        </w:rPr>
        <w:t>bukateria,</w:t>
      </w:r>
      <w:r>
        <w:rPr>
          <w:sz w:val="24"/>
        </w:rPr>
        <w:tab/>
      </w:r>
      <w:r>
        <w:rPr>
          <w:spacing w:val="-2"/>
          <w:sz w:val="24"/>
        </w:rPr>
        <w:t>canteens</w:t>
      </w:r>
      <w:r>
        <w:rPr>
          <w:sz w:val="24"/>
        </w:rPr>
        <w:tab/>
      </w:r>
      <w:r>
        <w:rPr>
          <w:spacing w:val="-4"/>
          <w:sz w:val="24"/>
        </w:rPr>
        <w:t>and</w:t>
      </w:r>
      <w:r>
        <w:rPr>
          <w:sz w:val="24"/>
        </w:rPr>
        <w:tab/>
      </w:r>
      <w:r>
        <w:rPr>
          <w:spacing w:val="-2"/>
          <w:sz w:val="24"/>
        </w:rPr>
        <w:t>restaurants</w:t>
      </w:r>
      <w:r>
        <w:rPr>
          <w:sz w:val="24"/>
        </w:rPr>
        <w:tab/>
      </w:r>
      <w:r>
        <w:rPr>
          <w:spacing w:val="-4"/>
          <w:sz w:val="24"/>
        </w:rPr>
        <w:t>were </w:t>
      </w:r>
      <w:r>
        <w:rPr>
          <w:sz w:val="24"/>
        </w:rPr>
        <w:t>available though run by private individuals.</w:t>
      </w:r>
    </w:p>
    <w:p>
      <w:pPr>
        <w:pStyle w:val="ListParagraph"/>
        <w:numPr>
          <w:ilvl w:val="0"/>
          <w:numId w:val="46"/>
        </w:numPr>
        <w:tabs>
          <w:tab w:pos="1538" w:val="left" w:leader="none"/>
          <w:tab w:pos="1540" w:val="left" w:leader="none"/>
        </w:tabs>
        <w:spacing w:line="480" w:lineRule="auto" w:before="0" w:after="0"/>
        <w:ind w:left="1540" w:right="121" w:hanging="360"/>
        <w:jc w:val="left"/>
        <w:rPr>
          <w:sz w:val="24"/>
        </w:rPr>
      </w:pPr>
      <w:r>
        <w:rPr>
          <w:sz w:val="24"/>
        </w:rPr>
        <w:t>Hostel</w:t>
      </w:r>
      <w:r>
        <w:rPr>
          <w:spacing w:val="40"/>
          <w:sz w:val="24"/>
        </w:rPr>
        <w:t> </w:t>
      </w:r>
      <w:r>
        <w:rPr>
          <w:sz w:val="24"/>
        </w:rPr>
        <w:t>accommodations</w:t>
      </w:r>
      <w:r>
        <w:rPr>
          <w:spacing w:val="40"/>
          <w:sz w:val="24"/>
        </w:rPr>
        <w:t> </w:t>
      </w:r>
      <w:r>
        <w:rPr>
          <w:sz w:val="24"/>
        </w:rPr>
        <w:t>were</w:t>
      </w:r>
      <w:r>
        <w:rPr>
          <w:spacing w:val="40"/>
          <w:sz w:val="24"/>
        </w:rPr>
        <w:t> </w:t>
      </w:r>
      <w:r>
        <w:rPr>
          <w:sz w:val="24"/>
        </w:rPr>
        <w:t>available</w:t>
      </w:r>
      <w:r>
        <w:rPr>
          <w:spacing w:val="40"/>
          <w:sz w:val="24"/>
        </w:rPr>
        <w:t> </w:t>
      </w:r>
      <w:r>
        <w:rPr>
          <w:sz w:val="24"/>
        </w:rPr>
        <w:t>but</w:t>
      </w:r>
      <w:r>
        <w:rPr>
          <w:spacing w:val="40"/>
          <w:sz w:val="24"/>
        </w:rPr>
        <w:t> </w:t>
      </w:r>
      <w:r>
        <w:rPr>
          <w:sz w:val="24"/>
        </w:rPr>
        <w:t>not</w:t>
      </w:r>
      <w:r>
        <w:rPr>
          <w:spacing w:val="40"/>
          <w:sz w:val="24"/>
        </w:rPr>
        <w:t> </w:t>
      </w:r>
      <w:r>
        <w:rPr>
          <w:sz w:val="24"/>
        </w:rPr>
        <w:t>adequate</w:t>
      </w:r>
      <w:r>
        <w:rPr>
          <w:spacing w:val="40"/>
          <w:sz w:val="24"/>
        </w:rPr>
        <w:t> </w:t>
      </w:r>
      <w:r>
        <w:rPr>
          <w:sz w:val="24"/>
        </w:rPr>
        <w:t>to</w:t>
      </w:r>
      <w:r>
        <w:rPr>
          <w:spacing w:val="40"/>
          <w:sz w:val="24"/>
        </w:rPr>
        <w:t> </w:t>
      </w:r>
      <w:r>
        <w:rPr>
          <w:sz w:val="24"/>
        </w:rPr>
        <w:t>meet</w:t>
      </w:r>
      <w:r>
        <w:rPr>
          <w:spacing w:val="40"/>
          <w:sz w:val="24"/>
        </w:rPr>
        <w:t> </w:t>
      </w:r>
      <w:r>
        <w:rPr>
          <w:sz w:val="24"/>
        </w:rPr>
        <w:t>the</w:t>
      </w:r>
      <w:r>
        <w:rPr>
          <w:spacing w:val="40"/>
          <w:sz w:val="24"/>
        </w:rPr>
        <w:t> </w:t>
      </w:r>
      <w:r>
        <w:rPr>
          <w:sz w:val="24"/>
        </w:rPr>
        <w:t>needs of the teeming population of students.</w:t>
      </w:r>
    </w:p>
    <w:p>
      <w:pPr>
        <w:pStyle w:val="ListParagraph"/>
        <w:numPr>
          <w:ilvl w:val="0"/>
          <w:numId w:val="46"/>
        </w:numPr>
        <w:tabs>
          <w:tab w:pos="1537" w:val="left" w:leader="none"/>
          <w:tab w:pos="1540" w:val="left" w:leader="none"/>
        </w:tabs>
        <w:spacing w:line="480" w:lineRule="auto" w:before="0" w:after="0"/>
        <w:ind w:left="1540" w:right="114" w:hanging="360"/>
        <w:jc w:val="left"/>
        <w:rPr>
          <w:sz w:val="24"/>
        </w:rPr>
      </w:pPr>
      <w:r>
        <w:rPr>
          <w:sz w:val="24"/>
        </w:rPr>
        <w:t>Guidance and counselling services were available but not adequate in the </w:t>
      </w:r>
      <w:r>
        <w:rPr>
          <w:spacing w:val="-2"/>
          <w:sz w:val="24"/>
        </w:rPr>
        <w:t>universities.</w:t>
      </w:r>
    </w:p>
    <w:p>
      <w:pPr>
        <w:pStyle w:val="ListParagraph"/>
        <w:numPr>
          <w:ilvl w:val="0"/>
          <w:numId w:val="46"/>
        </w:numPr>
        <w:tabs>
          <w:tab w:pos="1538" w:val="left" w:leader="none"/>
          <w:tab w:pos="1540" w:val="left" w:leader="none"/>
        </w:tabs>
        <w:spacing w:line="480" w:lineRule="auto" w:before="0" w:after="0"/>
        <w:ind w:left="1540" w:right="120" w:hanging="360"/>
        <w:jc w:val="left"/>
        <w:rPr>
          <w:sz w:val="24"/>
        </w:rPr>
      </w:pPr>
      <w:r>
        <w:rPr>
          <w:sz w:val="24"/>
        </w:rPr>
        <w:t>Sports</w:t>
      </w:r>
      <w:r>
        <w:rPr>
          <w:spacing w:val="34"/>
          <w:sz w:val="24"/>
        </w:rPr>
        <w:t> </w:t>
      </w:r>
      <w:r>
        <w:rPr>
          <w:sz w:val="24"/>
        </w:rPr>
        <w:t>and</w:t>
      </w:r>
      <w:r>
        <w:rPr>
          <w:spacing w:val="35"/>
          <w:sz w:val="24"/>
        </w:rPr>
        <w:t> </w:t>
      </w:r>
      <w:r>
        <w:rPr>
          <w:sz w:val="24"/>
        </w:rPr>
        <w:t>recreation</w:t>
      </w:r>
      <w:r>
        <w:rPr>
          <w:spacing w:val="35"/>
          <w:sz w:val="24"/>
        </w:rPr>
        <w:t> </w:t>
      </w:r>
      <w:r>
        <w:rPr>
          <w:sz w:val="24"/>
        </w:rPr>
        <w:t>facilities were</w:t>
      </w:r>
      <w:r>
        <w:rPr>
          <w:spacing w:val="35"/>
          <w:sz w:val="24"/>
        </w:rPr>
        <w:t> </w:t>
      </w:r>
      <w:r>
        <w:rPr>
          <w:sz w:val="24"/>
        </w:rPr>
        <w:t>available</w:t>
      </w:r>
      <w:r>
        <w:rPr>
          <w:spacing w:val="35"/>
          <w:sz w:val="24"/>
        </w:rPr>
        <w:t> </w:t>
      </w:r>
      <w:r>
        <w:rPr>
          <w:sz w:val="24"/>
        </w:rPr>
        <w:t>but</w:t>
      </w:r>
      <w:r>
        <w:rPr>
          <w:spacing w:val="30"/>
          <w:sz w:val="24"/>
        </w:rPr>
        <w:t> </w:t>
      </w:r>
      <w:r>
        <w:rPr>
          <w:sz w:val="24"/>
        </w:rPr>
        <w:t>not adequate</w:t>
      </w:r>
      <w:r>
        <w:rPr>
          <w:spacing w:val="30"/>
          <w:sz w:val="24"/>
        </w:rPr>
        <w:t> </w:t>
      </w:r>
      <w:r>
        <w:rPr>
          <w:sz w:val="24"/>
        </w:rPr>
        <w:t>to</w:t>
      </w:r>
      <w:r>
        <w:rPr>
          <w:spacing w:val="35"/>
          <w:sz w:val="24"/>
        </w:rPr>
        <w:t> </w:t>
      </w:r>
      <w:r>
        <w:rPr>
          <w:sz w:val="24"/>
        </w:rPr>
        <w:t>meet the challenges of modern sports and games.</w:t>
      </w:r>
    </w:p>
    <w:p>
      <w:pPr>
        <w:pStyle w:val="ListParagraph"/>
        <w:numPr>
          <w:ilvl w:val="0"/>
          <w:numId w:val="46"/>
        </w:numPr>
        <w:tabs>
          <w:tab w:pos="1540" w:val="left" w:leader="none"/>
        </w:tabs>
        <w:spacing w:line="480" w:lineRule="auto" w:before="0" w:after="0"/>
        <w:ind w:left="1540" w:right="117" w:hanging="360"/>
        <w:jc w:val="left"/>
        <w:rPr>
          <w:sz w:val="24"/>
        </w:rPr>
      </w:pPr>
      <w:r>
        <w:rPr>
          <w:sz w:val="24"/>
        </w:rPr>
        <w:t>Security matters and communication network were available but needed</w:t>
      </w:r>
      <w:r>
        <w:rPr>
          <w:spacing w:val="40"/>
          <w:sz w:val="24"/>
        </w:rPr>
        <w:t> </w:t>
      </w:r>
      <w:r>
        <w:rPr>
          <w:sz w:val="24"/>
        </w:rPr>
        <w:t>to be improved.</w:t>
      </w:r>
    </w:p>
    <w:p>
      <w:pPr>
        <w:pStyle w:val="ListParagraph"/>
        <w:numPr>
          <w:ilvl w:val="0"/>
          <w:numId w:val="46"/>
        </w:numPr>
        <w:tabs>
          <w:tab w:pos="1537" w:val="left" w:leader="none"/>
        </w:tabs>
        <w:spacing w:line="240" w:lineRule="auto" w:before="0" w:after="0"/>
        <w:ind w:left="1537" w:right="0" w:hanging="357"/>
        <w:jc w:val="left"/>
        <w:rPr>
          <w:sz w:val="24"/>
        </w:rPr>
      </w:pPr>
      <w:r>
        <w:rPr>
          <w:sz w:val="24"/>
        </w:rPr>
        <w:t>Transportation</w:t>
      </w:r>
      <w:r>
        <w:rPr>
          <w:spacing w:val="-11"/>
          <w:sz w:val="24"/>
        </w:rPr>
        <w:t> </w:t>
      </w:r>
      <w:r>
        <w:rPr>
          <w:sz w:val="24"/>
        </w:rPr>
        <w:t>services</w:t>
      </w:r>
      <w:r>
        <w:rPr>
          <w:spacing w:val="-15"/>
          <w:sz w:val="24"/>
        </w:rPr>
        <w:t> </w:t>
      </w:r>
      <w:r>
        <w:rPr>
          <w:sz w:val="24"/>
        </w:rPr>
        <w:t>were</w:t>
      </w:r>
      <w:r>
        <w:rPr>
          <w:spacing w:val="-10"/>
          <w:sz w:val="24"/>
        </w:rPr>
        <w:t> </w:t>
      </w:r>
      <w:r>
        <w:rPr>
          <w:sz w:val="24"/>
        </w:rPr>
        <w:t>adequately</w:t>
      </w:r>
      <w:r>
        <w:rPr>
          <w:spacing w:val="-11"/>
          <w:sz w:val="24"/>
        </w:rPr>
        <w:t> </w:t>
      </w:r>
      <w:r>
        <w:rPr>
          <w:spacing w:val="-2"/>
          <w:sz w:val="24"/>
        </w:rPr>
        <w:t>available.</w:t>
      </w:r>
    </w:p>
    <w:p>
      <w:pPr>
        <w:pStyle w:val="BodyText"/>
      </w:pPr>
    </w:p>
    <w:p>
      <w:pPr>
        <w:pStyle w:val="ListParagraph"/>
        <w:numPr>
          <w:ilvl w:val="0"/>
          <w:numId w:val="46"/>
        </w:numPr>
        <w:tabs>
          <w:tab w:pos="1537" w:val="left" w:leader="none"/>
          <w:tab w:pos="1540" w:val="left" w:leader="none"/>
        </w:tabs>
        <w:spacing w:line="480" w:lineRule="auto" w:before="0" w:after="0"/>
        <w:ind w:left="1540" w:right="117" w:hanging="360"/>
        <w:jc w:val="left"/>
        <w:rPr>
          <w:sz w:val="24"/>
        </w:rPr>
      </w:pPr>
      <w:r>
        <w:rPr>
          <w:sz w:val="24"/>
        </w:rPr>
        <w:t>Religious</w:t>
      </w:r>
      <w:r>
        <w:rPr>
          <w:spacing w:val="79"/>
          <w:sz w:val="24"/>
        </w:rPr>
        <w:t> </w:t>
      </w:r>
      <w:r>
        <w:rPr>
          <w:sz w:val="24"/>
        </w:rPr>
        <w:t>services</w:t>
      </w:r>
      <w:r>
        <w:rPr>
          <w:spacing w:val="79"/>
          <w:sz w:val="24"/>
        </w:rPr>
        <w:t> </w:t>
      </w:r>
      <w:r>
        <w:rPr>
          <w:sz w:val="24"/>
        </w:rPr>
        <w:t>were</w:t>
      </w:r>
      <w:r>
        <w:rPr>
          <w:spacing w:val="80"/>
          <w:sz w:val="24"/>
        </w:rPr>
        <w:t> </w:t>
      </w:r>
      <w:r>
        <w:rPr>
          <w:sz w:val="24"/>
        </w:rPr>
        <w:t>available</w:t>
      </w:r>
      <w:r>
        <w:rPr>
          <w:spacing w:val="80"/>
          <w:sz w:val="24"/>
        </w:rPr>
        <w:t> </w:t>
      </w:r>
      <w:r>
        <w:rPr>
          <w:sz w:val="24"/>
        </w:rPr>
        <w:t>but</w:t>
      </w:r>
      <w:r>
        <w:rPr>
          <w:spacing w:val="79"/>
          <w:sz w:val="24"/>
        </w:rPr>
        <w:t> </w:t>
      </w:r>
      <w:r>
        <w:rPr>
          <w:sz w:val="24"/>
        </w:rPr>
        <w:t>did</w:t>
      </w:r>
      <w:r>
        <w:rPr>
          <w:spacing w:val="80"/>
          <w:sz w:val="24"/>
        </w:rPr>
        <w:t> </w:t>
      </w:r>
      <w:r>
        <w:rPr>
          <w:sz w:val="24"/>
        </w:rPr>
        <w:t>not</w:t>
      </w:r>
      <w:r>
        <w:rPr>
          <w:spacing w:val="79"/>
          <w:sz w:val="24"/>
        </w:rPr>
        <w:t> </w:t>
      </w:r>
      <w:r>
        <w:rPr>
          <w:sz w:val="24"/>
        </w:rPr>
        <w:t>cover</w:t>
      </w:r>
      <w:r>
        <w:rPr>
          <w:spacing w:val="80"/>
          <w:sz w:val="24"/>
        </w:rPr>
        <w:t> </w:t>
      </w:r>
      <w:r>
        <w:rPr>
          <w:sz w:val="24"/>
        </w:rPr>
        <w:t>other</w:t>
      </w:r>
      <w:r>
        <w:rPr>
          <w:spacing w:val="80"/>
          <w:sz w:val="24"/>
        </w:rPr>
        <w:t> </w:t>
      </w:r>
      <w:r>
        <w:rPr>
          <w:sz w:val="24"/>
        </w:rPr>
        <w:t>sects</w:t>
      </w:r>
      <w:r>
        <w:rPr>
          <w:spacing w:val="79"/>
          <w:sz w:val="24"/>
        </w:rPr>
        <w:t> </w:t>
      </w:r>
      <w:r>
        <w:rPr>
          <w:sz w:val="24"/>
        </w:rPr>
        <w:t>and </w:t>
      </w:r>
      <w:r>
        <w:rPr>
          <w:spacing w:val="-2"/>
          <w:sz w:val="24"/>
        </w:rPr>
        <w:t>denominations.</w:t>
      </w:r>
    </w:p>
    <w:p>
      <w:pPr>
        <w:pStyle w:val="ListParagraph"/>
        <w:numPr>
          <w:ilvl w:val="0"/>
          <w:numId w:val="46"/>
        </w:numPr>
        <w:tabs>
          <w:tab w:pos="1536" w:val="left" w:leader="none"/>
        </w:tabs>
        <w:spacing w:line="240" w:lineRule="auto" w:before="1" w:after="0"/>
        <w:ind w:left="1536" w:right="0" w:hanging="356"/>
        <w:jc w:val="left"/>
        <w:rPr>
          <w:sz w:val="24"/>
        </w:rPr>
      </w:pPr>
      <w:r>
        <w:rPr>
          <w:sz w:val="24"/>
        </w:rPr>
        <w:t>Banking</w:t>
      </w:r>
      <w:r>
        <w:rPr>
          <w:spacing w:val="-12"/>
          <w:sz w:val="24"/>
        </w:rPr>
        <w:t> </w:t>
      </w:r>
      <w:r>
        <w:rPr>
          <w:sz w:val="24"/>
        </w:rPr>
        <w:t>and</w:t>
      </w:r>
      <w:r>
        <w:rPr>
          <w:spacing w:val="-8"/>
          <w:sz w:val="24"/>
        </w:rPr>
        <w:t> </w:t>
      </w:r>
      <w:r>
        <w:rPr>
          <w:sz w:val="24"/>
        </w:rPr>
        <w:t>telecommunications</w:t>
      </w:r>
      <w:r>
        <w:rPr>
          <w:spacing w:val="-8"/>
          <w:sz w:val="24"/>
        </w:rPr>
        <w:t> </w:t>
      </w:r>
      <w:r>
        <w:rPr>
          <w:sz w:val="24"/>
        </w:rPr>
        <w:t>were</w:t>
      </w:r>
      <w:r>
        <w:rPr>
          <w:spacing w:val="-8"/>
          <w:sz w:val="24"/>
        </w:rPr>
        <w:t> </w:t>
      </w:r>
      <w:r>
        <w:rPr>
          <w:sz w:val="24"/>
        </w:rPr>
        <w:t>available</w:t>
      </w:r>
      <w:r>
        <w:rPr>
          <w:spacing w:val="-11"/>
          <w:sz w:val="24"/>
        </w:rPr>
        <w:t> </w:t>
      </w:r>
      <w:r>
        <w:rPr>
          <w:sz w:val="24"/>
        </w:rPr>
        <w:t>but</w:t>
      </w:r>
      <w:r>
        <w:rPr>
          <w:spacing w:val="-9"/>
          <w:sz w:val="24"/>
        </w:rPr>
        <w:t> </w:t>
      </w:r>
      <w:r>
        <w:rPr>
          <w:sz w:val="24"/>
        </w:rPr>
        <w:t>not</w:t>
      </w:r>
      <w:r>
        <w:rPr>
          <w:spacing w:val="-9"/>
          <w:sz w:val="24"/>
        </w:rPr>
        <w:t> </w:t>
      </w:r>
      <w:r>
        <w:rPr>
          <w:spacing w:val="-2"/>
          <w:sz w:val="24"/>
        </w:rPr>
        <w:t>adequate.</w:t>
      </w:r>
    </w:p>
    <w:p>
      <w:pPr>
        <w:pStyle w:val="ListParagraph"/>
        <w:numPr>
          <w:ilvl w:val="0"/>
          <w:numId w:val="46"/>
        </w:numPr>
        <w:tabs>
          <w:tab w:pos="1538" w:val="left" w:leader="none"/>
          <w:tab w:pos="1540" w:val="left" w:leader="none"/>
        </w:tabs>
        <w:spacing w:line="480" w:lineRule="auto" w:before="276" w:after="0"/>
        <w:ind w:left="1540" w:right="119" w:hanging="360"/>
        <w:jc w:val="left"/>
        <w:rPr>
          <w:sz w:val="24"/>
        </w:rPr>
      </w:pPr>
      <w:r>
        <w:rPr>
          <w:sz w:val="24"/>
        </w:rPr>
        <w:t>Shopping, marketing facilities and student centres were available but run by private individuals.</w:t>
      </w:r>
    </w:p>
    <w:p>
      <w:pPr>
        <w:pStyle w:val="ListParagraph"/>
        <w:numPr>
          <w:ilvl w:val="0"/>
          <w:numId w:val="46"/>
        </w:numPr>
        <w:tabs>
          <w:tab w:pos="1539" w:val="left" w:leader="none"/>
        </w:tabs>
        <w:spacing w:line="240" w:lineRule="auto" w:before="0" w:after="0"/>
        <w:ind w:left="1539" w:right="0" w:hanging="359"/>
        <w:jc w:val="left"/>
        <w:rPr>
          <w:sz w:val="24"/>
        </w:rPr>
      </w:pPr>
      <w:r>
        <w:rPr>
          <w:sz w:val="24"/>
        </w:rPr>
        <w:t>Clubs,</w:t>
      </w:r>
      <w:r>
        <w:rPr>
          <w:spacing w:val="-10"/>
          <w:sz w:val="24"/>
        </w:rPr>
        <w:t> </w:t>
      </w:r>
      <w:r>
        <w:rPr>
          <w:sz w:val="24"/>
        </w:rPr>
        <w:t>societies</w:t>
      </w:r>
      <w:r>
        <w:rPr>
          <w:spacing w:val="-9"/>
          <w:sz w:val="24"/>
        </w:rPr>
        <w:t> </w:t>
      </w:r>
      <w:r>
        <w:rPr>
          <w:sz w:val="24"/>
        </w:rPr>
        <w:t>and</w:t>
      </w:r>
      <w:r>
        <w:rPr>
          <w:spacing w:val="-9"/>
          <w:sz w:val="24"/>
        </w:rPr>
        <w:t> </w:t>
      </w:r>
      <w:r>
        <w:rPr>
          <w:sz w:val="24"/>
        </w:rPr>
        <w:t>associations</w:t>
      </w:r>
      <w:r>
        <w:rPr>
          <w:spacing w:val="-9"/>
          <w:sz w:val="24"/>
        </w:rPr>
        <w:t> </w:t>
      </w:r>
      <w:r>
        <w:rPr>
          <w:sz w:val="24"/>
        </w:rPr>
        <w:t>were</w:t>
      </w:r>
      <w:r>
        <w:rPr>
          <w:spacing w:val="-9"/>
          <w:sz w:val="24"/>
        </w:rPr>
        <w:t> </w:t>
      </w:r>
      <w:r>
        <w:rPr>
          <w:spacing w:val="-2"/>
          <w:sz w:val="24"/>
        </w:rPr>
        <w:t>available.</w:t>
      </w:r>
    </w:p>
    <w:p>
      <w:pPr>
        <w:spacing w:after="0" w:line="240" w:lineRule="auto"/>
        <w:jc w:val="left"/>
        <w:rPr>
          <w:sz w:val="24"/>
        </w:rPr>
        <w:sectPr>
          <w:headerReference w:type="default" r:id="rId535"/>
          <w:footerReference w:type="default" r:id="rId536"/>
          <w:pgSz w:w="12240" w:h="15840"/>
          <w:pgMar w:header="722" w:footer="791" w:top="1340" w:bottom="980" w:left="1340" w:right="1320"/>
        </w:sectPr>
      </w:pPr>
    </w:p>
    <w:p>
      <w:pPr>
        <w:pStyle w:val="ListParagraph"/>
        <w:numPr>
          <w:ilvl w:val="0"/>
          <w:numId w:val="46"/>
        </w:numPr>
        <w:tabs>
          <w:tab w:pos="1538" w:val="left" w:leader="none"/>
          <w:tab w:pos="1540" w:val="left" w:leader="none"/>
        </w:tabs>
        <w:spacing w:line="480" w:lineRule="auto" w:before="89" w:after="0"/>
        <w:ind w:left="1540" w:right="117" w:hanging="360"/>
        <w:jc w:val="left"/>
        <w:rPr>
          <w:sz w:val="24"/>
        </w:rPr>
      </w:pPr>
      <w:r>
        <w:rPr>
          <w:sz w:val="24"/>
        </w:rPr>
        <w:t>Electricity and water supplies were available though the services needed stable supply.</w:t>
      </w:r>
    </w:p>
    <w:p>
      <w:pPr>
        <w:pStyle w:val="Heading2"/>
        <w:numPr>
          <w:ilvl w:val="2"/>
          <w:numId w:val="45"/>
        </w:numPr>
        <w:tabs>
          <w:tab w:pos="1108" w:val="left" w:leader="none"/>
          <w:tab w:pos="1124" w:val="left" w:leader="none"/>
        </w:tabs>
        <w:spacing w:line="240" w:lineRule="auto" w:before="0" w:after="0"/>
        <w:ind w:left="1108" w:right="121" w:hanging="1008"/>
        <w:jc w:val="both"/>
      </w:pPr>
      <w:r>
        <w:rPr/>
        <w:tab/>
        <w:t>The Types and Availability of Students’ Welfare Services in Respect of Academic Service in the Universities in the three geopolitical zones in Northern part of Nigeria</w:t>
      </w:r>
    </w:p>
    <w:p>
      <w:pPr>
        <w:pStyle w:val="ListParagraph"/>
        <w:numPr>
          <w:ilvl w:val="0"/>
          <w:numId w:val="47"/>
        </w:numPr>
        <w:tabs>
          <w:tab w:pos="1540" w:val="left" w:leader="none"/>
        </w:tabs>
        <w:spacing w:line="480" w:lineRule="auto" w:before="320" w:after="0"/>
        <w:ind w:left="1540" w:right="121" w:hanging="360"/>
        <w:jc w:val="left"/>
        <w:rPr>
          <w:sz w:val="24"/>
        </w:rPr>
      </w:pPr>
      <w:r>
        <w:rPr>
          <w:sz w:val="24"/>
        </w:rPr>
        <w:t>Classrooms/lecture hall accommodation were available but not adequate to accommodate the growing number of students.</w:t>
      </w:r>
    </w:p>
    <w:p>
      <w:pPr>
        <w:pStyle w:val="ListParagraph"/>
        <w:numPr>
          <w:ilvl w:val="0"/>
          <w:numId w:val="47"/>
        </w:numPr>
        <w:tabs>
          <w:tab w:pos="1538" w:val="left" w:leader="none"/>
          <w:tab w:pos="1540" w:val="left" w:leader="none"/>
        </w:tabs>
        <w:spacing w:line="480" w:lineRule="auto" w:before="0" w:after="0"/>
        <w:ind w:left="1540" w:right="115" w:hanging="360"/>
        <w:jc w:val="left"/>
        <w:rPr>
          <w:sz w:val="24"/>
        </w:rPr>
      </w:pPr>
      <w:r>
        <w:rPr>
          <w:sz w:val="24"/>
        </w:rPr>
        <w:t>The</w:t>
      </w:r>
      <w:r>
        <w:rPr>
          <w:spacing w:val="33"/>
          <w:sz w:val="24"/>
        </w:rPr>
        <w:t> </w:t>
      </w:r>
      <w:r>
        <w:rPr>
          <w:sz w:val="24"/>
        </w:rPr>
        <w:t>library</w:t>
      </w:r>
      <w:r>
        <w:rPr>
          <w:spacing w:val="36"/>
          <w:sz w:val="24"/>
        </w:rPr>
        <w:t> </w:t>
      </w:r>
      <w:r>
        <w:rPr>
          <w:sz w:val="24"/>
        </w:rPr>
        <w:t>facilities</w:t>
      </w:r>
      <w:r>
        <w:rPr>
          <w:spacing w:val="36"/>
          <w:sz w:val="24"/>
        </w:rPr>
        <w:t> </w:t>
      </w:r>
      <w:r>
        <w:rPr>
          <w:sz w:val="24"/>
        </w:rPr>
        <w:t>(books,</w:t>
      </w:r>
      <w:r>
        <w:rPr>
          <w:spacing w:val="36"/>
          <w:sz w:val="24"/>
        </w:rPr>
        <w:t> </w:t>
      </w:r>
      <w:r>
        <w:rPr>
          <w:sz w:val="24"/>
        </w:rPr>
        <w:t>seats,</w:t>
      </w:r>
      <w:r>
        <w:rPr>
          <w:spacing w:val="36"/>
          <w:sz w:val="24"/>
        </w:rPr>
        <w:t> </w:t>
      </w:r>
      <w:r>
        <w:rPr>
          <w:sz w:val="24"/>
        </w:rPr>
        <w:t>materials</w:t>
      </w:r>
      <w:r>
        <w:rPr>
          <w:spacing w:val="32"/>
          <w:sz w:val="24"/>
        </w:rPr>
        <w:t> </w:t>
      </w:r>
      <w:r>
        <w:rPr>
          <w:sz w:val="24"/>
        </w:rPr>
        <w:t>etc)</w:t>
      </w:r>
      <w:r>
        <w:rPr>
          <w:spacing w:val="37"/>
          <w:sz w:val="24"/>
        </w:rPr>
        <w:t> </w:t>
      </w:r>
      <w:r>
        <w:rPr>
          <w:sz w:val="24"/>
        </w:rPr>
        <w:t>were</w:t>
      </w:r>
      <w:r>
        <w:rPr>
          <w:spacing w:val="37"/>
          <w:sz w:val="24"/>
        </w:rPr>
        <w:t> </w:t>
      </w:r>
      <w:r>
        <w:rPr>
          <w:sz w:val="24"/>
        </w:rPr>
        <w:t>available</w:t>
      </w:r>
      <w:r>
        <w:rPr>
          <w:spacing w:val="37"/>
          <w:sz w:val="24"/>
        </w:rPr>
        <w:t> </w:t>
      </w:r>
      <w:r>
        <w:rPr>
          <w:sz w:val="24"/>
        </w:rPr>
        <w:t>but</w:t>
      </w:r>
      <w:r>
        <w:rPr>
          <w:spacing w:val="36"/>
          <w:sz w:val="24"/>
        </w:rPr>
        <w:t> </w:t>
      </w:r>
      <w:r>
        <w:rPr>
          <w:sz w:val="24"/>
        </w:rPr>
        <w:t>not </w:t>
      </w:r>
      <w:r>
        <w:rPr>
          <w:spacing w:val="-2"/>
          <w:sz w:val="24"/>
        </w:rPr>
        <w:t>adequate.</w:t>
      </w:r>
    </w:p>
    <w:p>
      <w:pPr>
        <w:pStyle w:val="ListParagraph"/>
        <w:numPr>
          <w:ilvl w:val="0"/>
          <w:numId w:val="47"/>
        </w:numPr>
        <w:tabs>
          <w:tab w:pos="1537" w:val="left" w:leader="none"/>
        </w:tabs>
        <w:spacing w:line="240" w:lineRule="auto" w:before="0" w:after="0"/>
        <w:ind w:left="1537" w:right="0" w:hanging="357"/>
        <w:jc w:val="left"/>
        <w:rPr>
          <w:sz w:val="24"/>
        </w:rPr>
      </w:pPr>
      <w:r>
        <w:rPr>
          <w:sz w:val="24"/>
        </w:rPr>
        <w:t>Teaching</w:t>
      </w:r>
      <w:r>
        <w:rPr>
          <w:spacing w:val="-7"/>
          <w:sz w:val="24"/>
        </w:rPr>
        <w:t> </w:t>
      </w:r>
      <w:r>
        <w:rPr>
          <w:sz w:val="24"/>
        </w:rPr>
        <w:t>staff</w:t>
      </w:r>
      <w:r>
        <w:rPr>
          <w:spacing w:val="-7"/>
          <w:sz w:val="24"/>
        </w:rPr>
        <w:t> </w:t>
      </w:r>
      <w:r>
        <w:rPr>
          <w:sz w:val="24"/>
        </w:rPr>
        <w:t>were</w:t>
      </w:r>
      <w:r>
        <w:rPr>
          <w:spacing w:val="-7"/>
          <w:sz w:val="24"/>
        </w:rPr>
        <w:t> </w:t>
      </w:r>
      <w:r>
        <w:rPr>
          <w:sz w:val="24"/>
        </w:rPr>
        <w:t>available</w:t>
      </w:r>
      <w:r>
        <w:rPr>
          <w:spacing w:val="-6"/>
          <w:sz w:val="24"/>
        </w:rPr>
        <w:t> </w:t>
      </w:r>
      <w:r>
        <w:rPr>
          <w:sz w:val="24"/>
        </w:rPr>
        <w:t>but</w:t>
      </w:r>
      <w:r>
        <w:rPr>
          <w:spacing w:val="-8"/>
          <w:sz w:val="24"/>
        </w:rPr>
        <w:t> </w:t>
      </w:r>
      <w:r>
        <w:rPr>
          <w:sz w:val="24"/>
        </w:rPr>
        <w:t>not</w:t>
      </w:r>
      <w:r>
        <w:rPr>
          <w:spacing w:val="-7"/>
          <w:sz w:val="24"/>
        </w:rPr>
        <w:t> </w:t>
      </w:r>
      <w:r>
        <w:rPr>
          <w:spacing w:val="-2"/>
          <w:sz w:val="24"/>
        </w:rPr>
        <w:t>adequate.</w:t>
      </w:r>
    </w:p>
    <w:p>
      <w:pPr>
        <w:pStyle w:val="BodyText"/>
      </w:pPr>
    </w:p>
    <w:p>
      <w:pPr>
        <w:pStyle w:val="ListParagraph"/>
        <w:numPr>
          <w:ilvl w:val="0"/>
          <w:numId w:val="47"/>
        </w:numPr>
        <w:tabs>
          <w:tab w:pos="1538" w:val="left" w:leader="none"/>
        </w:tabs>
        <w:spacing w:line="240" w:lineRule="auto" w:before="0" w:after="0"/>
        <w:ind w:left="1538" w:right="0" w:hanging="358"/>
        <w:jc w:val="left"/>
        <w:rPr>
          <w:sz w:val="24"/>
        </w:rPr>
      </w:pPr>
      <w:r>
        <w:rPr>
          <w:sz w:val="24"/>
        </w:rPr>
        <w:t>Theatres</w:t>
      </w:r>
      <w:r>
        <w:rPr>
          <w:spacing w:val="-7"/>
          <w:sz w:val="24"/>
        </w:rPr>
        <w:t> </w:t>
      </w:r>
      <w:r>
        <w:rPr>
          <w:sz w:val="24"/>
        </w:rPr>
        <w:t>and</w:t>
      </w:r>
      <w:r>
        <w:rPr>
          <w:spacing w:val="-9"/>
          <w:sz w:val="24"/>
        </w:rPr>
        <w:t> </w:t>
      </w:r>
      <w:r>
        <w:rPr>
          <w:sz w:val="24"/>
        </w:rPr>
        <w:t>laboratories</w:t>
      </w:r>
      <w:r>
        <w:rPr>
          <w:spacing w:val="-6"/>
          <w:sz w:val="24"/>
        </w:rPr>
        <w:t> </w:t>
      </w:r>
      <w:r>
        <w:rPr>
          <w:sz w:val="24"/>
        </w:rPr>
        <w:t>were</w:t>
      </w:r>
      <w:r>
        <w:rPr>
          <w:spacing w:val="-6"/>
          <w:sz w:val="24"/>
        </w:rPr>
        <w:t> </w:t>
      </w:r>
      <w:r>
        <w:rPr>
          <w:sz w:val="24"/>
        </w:rPr>
        <w:t>available</w:t>
      </w:r>
      <w:r>
        <w:rPr>
          <w:spacing w:val="-5"/>
          <w:sz w:val="24"/>
        </w:rPr>
        <w:t> </w:t>
      </w:r>
      <w:r>
        <w:rPr>
          <w:sz w:val="24"/>
        </w:rPr>
        <w:t>but</w:t>
      </w:r>
      <w:r>
        <w:rPr>
          <w:spacing w:val="-15"/>
          <w:sz w:val="24"/>
        </w:rPr>
        <w:t> </w:t>
      </w:r>
      <w:r>
        <w:rPr>
          <w:sz w:val="24"/>
        </w:rPr>
        <w:t>not</w:t>
      </w:r>
      <w:r>
        <w:rPr>
          <w:spacing w:val="-6"/>
          <w:sz w:val="24"/>
        </w:rPr>
        <w:t> </w:t>
      </w:r>
      <w:r>
        <w:rPr>
          <w:spacing w:val="-2"/>
          <w:sz w:val="24"/>
        </w:rPr>
        <w:t>adequate.</w:t>
      </w:r>
    </w:p>
    <w:p>
      <w:pPr>
        <w:pStyle w:val="BodyText"/>
      </w:pPr>
    </w:p>
    <w:p>
      <w:pPr>
        <w:pStyle w:val="ListParagraph"/>
        <w:numPr>
          <w:ilvl w:val="0"/>
          <w:numId w:val="47"/>
        </w:numPr>
        <w:tabs>
          <w:tab w:pos="1540" w:val="left" w:leader="none"/>
        </w:tabs>
        <w:spacing w:line="480" w:lineRule="auto" w:before="0" w:after="0"/>
        <w:ind w:left="1540" w:right="118" w:hanging="360"/>
        <w:jc w:val="left"/>
        <w:rPr>
          <w:sz w:val="24"/>
        </w:rPr>
      </w:pPr>
      <w:r>
        <w:rPr>
          <w:sz w:val="24"/>
        </w:rPr>
        <w:t>Information</w:t>
      </w:r>
      <w:r>
        <w:rPr>
          <w:spacing w:val="40"/>
          <w:sz w:val="24"/>
        </w:rPr>
        <w:t> </w:t>
      </w:r>
      <w:r>
        <w:rPr>
          <w:sz w:val="24"/>
        </w:rPr>
        <w:t>technological</w:t>
      </w:r>
      <w:r>
        <w:rPr>
          <w:spacing w:val="40"/>
          <w:sz w:val="24"/>
        </w:rPr>
        <w:t> </w:t>
      </w:r>
      <w:r>
        <w:rPr>
          <w:sz w:val="24"/>
        </w:rPr>
        <w:t>facilities</w:t>
      </w:r>
      <w:r>
        <w:rPr>
          <w:spacing w:val="34"/>
          <w:sz w:val="24"/>
        </w:rPr>
        <w:t> </w:t>
      </w:r>
      <w:r>
        <w:rPr>
          <w:sz w:val="24"/>
        </w:rPr>
        <w:t>like</w:t>
      </w:r>
      <w:r>
        <w:rPr>
          <w:spacing w:val="40"/>
          <w:sz w:val="24"/>
        </w:rPr>
        <w:t> </w:t>
      </w:r>
      <w:r>
        <w:rPr>
          <w:sz w:val="24"/>
        </w:rPr>
        <w:t>computers,</w:t>
      </w:r>
      <w:r>
        <w:rPr>
          <w:spacing w:val="39"/>
          <w:sz w:val="24"/>
        </w:rPr>
        <w:t> </w:t>
      </w:r>
      <w:r>
        <w:rPr>
          <w:sz w:val="24"/>
        </w:rPr>
        <w:t>telephones,</w:t>
      </w:r>
      <w:r>
        <w:rPr>
          <w:spacing w:val="39"/>
          <w:sz w:val="24"/>
        </w:rPr>
        <w:t> </w:t>
      </w:r>
      <w:r>
        <w:rPr>
          <w:sz w:val="24"/>
        </w:rPr>
        <w:t>websites, internet, E-mail etc were available but not adequate.</w:t>
      </w:r>
    </w:p>
    <w:p>
      <w:pPr>
        <w:pStyle w:val="ListParagraph"/>
        <w:numPr>
          <w:ilvl w:val="0"/>
          <w:numId w:val="47"/>
        </w:numPr>
        <w:tabs>
          <w:tab w:pos="1537" w:val="left" w:leader="none"/>
          <w:tab w:pos="1540" w:val="left" w:leader="none"/>
        </w:tabs>
        <w:spacing w:line="480" w:lineRule="auto" w:before="0" w:after="0"/>
        <w:ind w:left="1540" w:right="121" w:hanging="360"/>
        <w:jc w:val="left"/>
        <w:rPr>
          <w:sz w:val="24"/>
        </w:rPr>
      </w:pPr>
      <w:r>
        <w:rPr>
          <w:sz w:val="24"/>
        </w:rPr>
        <w:t>Information</w:t>
      </w:r>
      <w:r>
        <w:rPr>
          <w:spacing w:val="-4"/>
          <w:sz w:val="24"/>
        </w:rPr>
        <w:t> </w:t>
      </w:r>
      <w:r>
        <w:rPr>
          <w:sz w:val="24"/>
        </w:rPr>
        <w:t>dissemination facilities</w:t>
      </w:r>
      <w:r>
        <w:rPr>
          <w:spacing w:val="-9"/>
          <w:sz w:val="24"/>
        </w:rPr>
        <w:t> </w:t>
      </w:r>
      <w:r>
        <w:rPr>
          <w:sz w:val="24"/>
        </w:rPr>
        <w:t>like bulletins, newsletter,</w:t>
      </w:r>
      <w:r>
        <w:rPr>
          <w:spacing w:val="-5"/>
          <w:sz w:val="24"/>
        </w:rPr>
        <w:t> </w:t>
      </w:r>
      <w:r>
        <w:rPr>
          <w:sz w:val="24"/>
        </w:rPr>
        <w:t>notice</w:t>
      </w:r>
      <w:r>
        <w:rPr>
          <w:spacing w:val="-4"/>
          <w:sz w:val="24"/>
        </w:rPr>
        <w:t> </w:t>
      </w:r>
      <w:r>
        <w:rPr>
          <w:sz w:val="24"/>
        </w:rPr>
        <w:t>boards, and campus magazines were available.</w:t>
      </w:r>
    </w:p>
    <w:p>
      <w:pPr>
        <w:pStyle w:val="ListParagraph"/>
        <w:numPr>
          <w:ilvl w:val="0"/>
          <w:numId w:val="47"/>
        </w:numPr>
        <w:tabs>
          <w:tab w:pos="1537" w:val="left" w:leader="none"/>
          <w:tab w:pos="1540" w:val="left" w:leader="none"/>
        </w:tabs>
        <w:spacing w:line="480" w:lineRule="auto" w:before="1" w:after="0"/>
        <w:ind w:left="1540" w:right="115" w:hanging="360"/>
        <w:jc w:val="left"/>
        <w:rPr>
          <w:sz w:val="24"/>
        </w:rPr>
      </w:pPr>
      <w:r>
        <w:rPr>
          <w:sz w:val="24"/>
        </w:rPr>
        <w:t>Teaching and learning facilities, field trips, teaching practice, debates etc were available but not adequate.</w:t>
      </w:r>
    </w:p>
    <w:p>
      <w:pPr>
        <w:pStyle w:val="ListParagraph"/>
        <w:numPr>
          <w:ilvl w:val="0"/>
          <w:numId w:val="47"/>
        </w:numPr>
        <w:tabs>
          <w:tab w:pos="1900" w:val="left" w:leader="none"/>
        </w:tabs>
        <w:spacing w:line="480" w:lineRule="auto" w:before="0" w:after="0"/>
        <w:ind w:left="1900" w:right="118" w:hanging="720"/>
        <w:jc w:val="left"/>
        <w:rPr>
          <w:sz w:val="24"/>
        </w:rPr>
      </w:pPr>
      <w:r>
        <w:rPr>
          <w:sz w:val="24"/>
        </w:rPr>
        <w:t>Bookshops,</w:t>
      </w:r>
      <w:r>
        <w:rPr>
          <w:spacing w:val="32"/>
          <w:sz w:val="24"/>
        </w:rPr>
        <w:t> </w:t>
      </w:r>
      <w:r>
        <w:rPr>
          <w:sz w:val="24"/>
        </w:rPr>
        <w:t>publication</w:t>
      </w:r>
      <w:r>
        <w:rPr>
          <w:spacing w:val="32"/>
          <w:sz w:val="24"/>
        </w:rPr>
        <w:t> </w:t>
      </w:r>
      <w:r>
        <w:rPr>
          <w:sz w:val="24"/>
        </w:rPr>
        <w:t>facilities</w:t>
      </w:r>
      <w:r>
        <w:rPr>
          <w:spacing w:val="32"/>
          <w:sz w:val="24"/>
        </w:rPr>
        <w:t> </w:t>
      </w:r>
      <w:r>
        <w:rPr>
          <w:sz w:val="24"/>
        </w:rPr>
        <w:t>and photocopiers</w:t>
      </w:r>
      <w:r>
        <w:rPr>
          <w:spacing w:val="32"/>
          <w:sz w:val="24"/>
        </w:rPr>
        <w:t> </w:t>
      </w:r>
      <w:r>
        <w:rPr>
          <w:sz w:val="24"/>
        </w:rPr>
        <w:t>were</w:t>
      </w:r>
      <w:r>
        <w:rPr>
          <w:spacing w:val="32"/>
          <w:sz w:val="24"/>
        </w:rPr>
        <w:t> </w:t>
      </w:r>
      <w:r>
        <w:rPr>
          <w:sz w:val="24"/>
        </w:rPr>
        <w:t>available</w:t>
      </w:r>
      <w:r>
        <w:rPr>
          <w:spacing w:val="32"/>
          <w:sz w:val="24"/>
        </w:rPr>
        <w:t> </w:t>
      </w:r>
      <w:r>
        <w:rPr>
          <w:sz w:val="24"/>
        </w:rPr>
        <w:t>but were run by private business individuals.</w:t>
      </w:r>
    </w:p>
    <w:p>
      <w:pPr>
        <w:pStyle w:val="Heading2"/>
        <w:numPr>
          <w:ilvl w:val="2"/>
          <w:numId w:val="45"/>
        </w:numPr>
        <w:tabs>
          <w:tab w:pos="1108" w:val="left" w:leader="none"/>
          <w:tab w:pos="1124" w:val="left" w:leader="none"/>
        </w:tabs>
        <w:spacing w:line="240" w:lineRule="auto" w:before="0" w:after="0"/>
        <w:ind w:left="1108" w:right="123" w:hanging="1008"/>
        <w:jc w:val="both"/>
      </w:pPr>
      <w:r>
        <w:rPr/>
        <w:tab/>
        <w:t>The Types and Availability of Students’ Welfare Services in Respect of Medical Health Services in the Universities in the three geopolitical zones in Northern part of Nigeria.</w:t>
      </w:r>
    </w:p>
    <w:p>
      <w:pPr>
        <w:pStyle w:val="ListParagraph"/>
        <w:numPr>
          <w:ilvl w:val="0"/>
          <w:numId w:val="48"/>
        </w:numPr>
        <w:tabs>
          <w:tab w:pos="1572" w:val="left" w:leader="none"/>
        </w:tabs>
        <w:spacing w:line="240" w:lineRule="auto" w:before="277" w:after="0"/>
        <w:ind w:left="1572" w:right="0" w:hanging="392"/>
        <w:jc w:val="left"/>
        <w:rPr>
          <w:sz w:val="24"/>
        </w:rPr>
      </w:pPr>
      <w:r>
        <w:rPr>
          <w:sz w:val="24"/>
        </w:rPr>
        <w:t>Sick</w:t>
      </w:r>
      <w:r>
        <w:rPr>
          <w:spacing w:val="-13"/>
          <w:sz w:val="24"/>
        </w:rPr>
        <w:t> </w:t>
      </w:r>
      <w:r>
        <w:rPr>
          <w:sz w:val="24"/>
        </w:rPr>
        <w:t>bays/clinics</w:t>
      </w:r>
      <w:r>
        <w:rPr>
          <w:spacing w:val="-11"/>
          <w:sz w:val="24"/>
        </w:rPr>
        <w:t> </w:t>
      </w:r>
      <w:r>
        <w:rPr>
          <w:sz w:val="24"/>
        </w:rPr>
        <w:t>were</w:t>
      </w:r>
      <w:r>
        <w:rPr>
          <w:spacing w:val="-9"/>
          <w:sz w:val="24"/>
        </w:rPr>
        <w:t> </w:t>
      </w:r>
      <w:r>
        <w:rPr>
          <w:spacing w:val="-2"/>
          <w:sz w:val="24"/>
        </w:rPr>
        <w:t>available.</w:t>
      </w:r>
    </w:p>
    <w:p>
      <w:pPr>
        <w:pStyle w:val="BodyText"/>
      </w:pPr>
    </w:p>
    <w:p>
      <w:pPr>
        <w:pStyle w:val="ListParagraph"/>
        <w:numPr>
          <w:ilvl w:val="0"/>
          <w:numId w:val="48"/>
        </w:numPr>
        <w:tabs>
          <w:tab w:pos="1538" w:val="left" w:leader="none"/>
          <w:tab w:pos="1540" w:val="left" w:leader="none"/>
        </w:tabs>
        <w:spacing w:line="480" w:lineRule="auto" w:before="0" w:after="0"/>
        <w:ind w:left="1540" w:right="126" w:hanging="360"/>
        <w:jc w:val="left"/>
        <w:rPr>
          <w:sz w:val="24"/>
        </w:rPr>
      </w:pPr>
      <w:r>
        <w:rPr>
          <w:sz w:val="24"/>
        </w:rPr>
        <w:t>Hospitals</w:t>
      </w:r>
      <w:r>
        <w:rPr>
          <w:spacing w:val="30"/>
          <w:sz w:val="24"/>
        </w:rPr>
        <w:t> </w:t>
      </w:r>
      <w:r>
        <w:rPr>
          <w:sz w:val="24"/>
        </w:rPr>
        <w:t>were</w:t>
      </w:r>
      <w:r>
        <w:rPr>
          <w:spacing w:val="31"/>
          <w:sz w:val="24"/>
        </w:rPr>
        <w:t> </w:t>
      </w:r>
      <w:r>
        <w:rPr>
          <w:sz w:val="24"/>
        </w:rPr>
        <w:t>available</w:t>
      </w:r>
      <w:r>
        <w:rPr>
          <w:spacing w:val="31"/>
          <w:sz w:val="24"/>
        </w:rPr>
        <w:t> </w:t>
      </w:r>
      <w:r>
        <w:rPr>
          <w:sz w:val="24"/>
        </w:rPr>
        <w:t>but</w:t>
      </w:r>
      <w:r>
        <w:rPr>
          <w:spacing w:val="30"/>
          <w:sz w:val="24"/>
        </w:rPr>
        <w:t> </w:t>
      </w:r>
      <w:r>
        <w:rPr>
          <w:sz w:val="24"/>
        </w:rPr>
        <w:t>are</w:t>
      </w:r>
      <w:r>
        <w:rPr>
          <w:spacing w:val="31"/>
          <w:sz w:val="24"/>
        </w:rPr>
        <w:t> </w:t>
      </w:r>
      <w:r>
        <w:rPr>
          <w:sz w:val="24"/>
        </w:rPr>
        <w:t>either</w:t>
      </w:r>
      <w:r>
        <w:rPr>
          <w:spacing w:val="31"/>
          <w:sz w:val="24"/>
        </w:rPr>
        <w:t> </w:t>
      </w:r>
      <w:r>
        <w:rPr>
          <w:sz w:val="24"/>
        </w:rPr>
        <w:t>not</w:t>
      </w:r>
      <w:r>
        <w:rPr>
          <w:spacing w:val="26"/>
          <w:sz w:val="24"/>
        </w:rPr>
        <w:t> </w:t>
      </w:r>
      <w:r>
        <w:rPr>
          <w:sz w:val="24"/>
        </w:rPr>
        <w:t>adequate</w:t>
      </w:r>
      <w:r>
        <w:rPr>
          <w:spacing w:val="31"/>
          <w:sz w:val="24"/>
        </w:rPr>
        <w:t> </w:t>
      </w:r>
      <w:r>
        <w:rPr>
          <w:sz w:val="24"/>
        </w:rPr>
        <w:t>or</w:t>
      </w:r>
      <w:r>
        <w:rPr>
          <w:spacing w:val="31"/>
          <w:sz w:val="24"/>
        </w:rPr>
        <w:t> </w:t>
      </w:r>
      <w:r>
        <w:rPr>
          <w:sz w:val="24"/>
        </w:rPr>
        <w:t>too</w:t>
      </w:r>
      <w:r>
        <w:rPr>
          <w:spacing w:val="31"/>
          <w:sz w:val="24"/>
        </w:rPr>
        <w:t> </w:t>
      </w:r>
      <w:r>
        <w:rPr>
          <w:sz w:val="24"/>
        </w:rPr>
        <w:t>far</w:t>
      </w:r>
      <w:r>
        <w:rPr>
          <w:spacing w:val="31"/>
          <w:sz w:val="24"/>
        </w:rPr>
        <w:t> </w:t>
      </w:r>
      <w:r>
        <w:rPr>
          <w:sz w:val="24"/>
        </w:rPr>
        <w:t>from the </w:t>
      </w:r>
      <w:r>
        <w:rPr>
          <w:spacing w:val="-2"/>
          <w:sz w:val="24"/>
        </w:rPr>
        <w:t>campuses.</w:t>
      </w:r>
    </w:p>
    <w:p>
      <w:pPr>
        <w:spacing w:after="0" w:line="480" w:lineRule="auto"/>
        <w:jc w:val="left"/>
        <w:rPr>
          <w:sz w:val="24"/>
        </w:rPr>
        <w:sectPr>
          <w:headerReference w:type="default" r:id="rId537"/>
          <w:footerReference w:type="default" r:id="rId538"/>
          <w:pgSz w:w="12240" w:h="15840"/>
          <w:pgMar w:header="722" w:footer="791" w:top="1340" w:bottom="980" w:left="1340" w:right="1320"/>
        </w:sectPr>
      </w:pPr>
    </w:p>
    <w:p>
      <w:pPr>
        <w:pStyle w:val="ListParagraph"/>
        <w:numPr>
          <w:ilvl w:val="0"/>
          <w:numId w:val="48"/>
        </w:numPr>
        <w:tabs>
          <w:tab w:pos="1537" w:val="left" w:leader="none"/>
        </w:tabs>
        <w:spacing w:line="240" w:lineRule="auto" w:before="89" w:after="0"/>
        <w:ind w:left="1537" w:right="0" w:hanging="357"/>
        <w:jc w:val="left"/>
        <w:rPr>
          <w:sz w:val="24"/>
        </w:rPr>
      </w:pPr>
      <w:r>
        <w:rPr>
          <w:sz w:val="24"/>
        </w:rPr>
        <w:t>Medical</w:t>
      </w:r>
      <w:r>
        <w:rPr>
          <w:spacing w:val="-3"/>
          <w:sz w:val="24"/>
        </w:rPr>
        <w:t> </w:t>
      </w:r>
      <w:r>
        <w:rPr>
          <w:sz w:val="24"/>
        </w:rPr>
        <w:t>centres</w:t>
      </w:r>
      <w:r>
        <w:rPr>
          <w:spacing w:val="-7"/>
          <w:sz w:val="24"/>
        </w:rPr>
        <w:t> </w:t>
      </w:r>
      <w:r>
        <w:rPr>
          <w:sz w:val="24"/>
        </w:rPr>
        <w:t>were</w:t>
      </w:r>
      <w:r>
        <w:rPr>
          <w:spacing w:val="-6"/>
          <w:sz w:val="24"/>
        </w:rPr>
        <w:t> </w:t>
      </w:r>
      <w:r>
        <w:rPr>
          <w:sz w:val="24"/>
        </w:rPr>
        <w:t>available</w:t>
      </w:r>
      <w:r>
        <w:rPr>
          <w:spacing w:val="-9"/>
          <w:sz w:val="24"/>
        </w:rPr>
        <w:t> </w:t>
      </w:r>
      <w:r>
        <w:rPr>
          <w:sz w:val="24"/>
        </w:rPr>
        <w:t>out</w:t>
      </w:r>
      <w:r>
        <w:rPr>
          <w:spacing w:val="-6"/>
          <w:sz w:val="24"/>
        </w:rPr>
        <w:t> </w:t>
      </w:r>
      <w:r>
        <w:rPr>
          <w:sz w:val="24"/>
        </w:rPr>
        <w:t>side</w:t>
      </w:r>
      <w:r>
        <w:rPr>
          <w:spacing w:val="-10"/>
          <w:sz w:val="24"/>
        </w:rPr>
        <w:t> </w:t>
      </w:r>
      <w:r>
        <w:rPr>
          <w:sz w:val="24"/>
        </w:rPr>
        <w:t>the</w:t>
      </w:r>
      <w:r>
        <w:rPr>
          <w:spacing w:val="-5"/>
          <w:sz w:val="24"/>
        </w:rPr>
        <w:t> </w:t>
      </w:r>
      <w:r>
        <w:rPr>
          <w:spacing w:val="-2"/>
          <w:sz w:val="24"/>
        </w:rPr>
        <w:t>campuses.</w:t>
      </w:r>
    </w:p>
    <w:p>
      <w:pPr>
        <w:pStyle w:val="ListParagraph"/>
        <w:numPr>
          <w:ilvl w:val="0"/>
          <w:numId w:val="48"/>
        </w:numPr>
        <w:tabs>
          <w:tab w:pos="1538" w:val="left" w:leader="none"/>
        </w:tabs>
        <w:spacing w:line="240" w:lineRule="auto" w:before="276" w:after="0"/>
        <w:ind w:left="1538" w:right="0" w:hanging="358"/>
        <w:jc w:val="left"/>
        <w:rPr>
          <w:sz w:val="24"/>
        </w:rPr>
      </w:pPr>
      <w:r>
        <w:rPr>
          <w:sz w:val="24"/>
        </w:rPr>
        <w:t>Sanitation</w:t>
      </w:r>
      <w:r>
        <w:rPr>
          <w:spacing w:val="-8"/>
          <w:sz w:val="24"/>
        </w:rPr>
        <w:t> </w:t>
      </w:r>
      <w:r>
        <w:rPr>
          <w:sz w:val="24"/>
        </w:rPr>
        <w:t>facilities</w:t>
      </w:r>
      <w:r>
        <w:rPr>
          <w:spacing w:val="-8"/>
          <w:sz w:val="24"/>
        </w:rPr>
        <w:t> </w:t>
      </w:r>
      <w:r>
        <w:rPr>
          <w:sz w:val="24"/>
        </w:rPr>
        <w:t>were</w:t>
      </w:r>
      <w:r>
        <w:rPr>
          <w:spacing w:val="-7"/>
          <w:sz w:val="24"/>
        </w:rPr>
        <w:t> </w:t>
      </w:r>
      <w:r>
        <w:rPr>
          <w:sz w:val="24"/>
        </w:rPr>
        <w:t>available</w:t>
      </w:r>
      <w:r>
        <w:rPr>
          <w:spacing w:val="-11"/>
          <w:sz w:val="24"/>
        </w:rPr>
        <w:t> </w:t>
      </w:r>
      <w:r>
        <w:rPr>
          <w:sz w:val="24"/>
        </w:rPr>
        <w:t>and</w:t>
      </w:r>
      <w:r>
        <w:rPr>
          <w:spacing w:val="-7"/>
          <w:sz w:val="24"/>
        </w:rPr>
        <w:t> </w:t>
      </w:r>
      <w:r>
        <w:rPr>
          <w:spacing w:val="-2"/>
          <w:sz w:val="24"/>
        </w:rPr>
        <w:t>adequate.</w:t>
      </w:r>
    </w:p>
    <w:p>
      <w:pPr>
        <w:pStyle w:val="ListParagraph"/>
        <w:numPr>
          <w:ilvl w:val="0"/>
          <w:numId w:val="48"/>
        </w:numPr>
        <w:tabs>
          <w:tab w:pos="1539" w:val="left" w:leader="none"/>
        </w:tabs>
        <w:spacing w:line="240" w:lineRule="auto" w:before="276" w:after="0"/>
        <w:ind w:left="1539" w:right="0" w:hanging="359"/>
        <w:jc w:val="left"/>
        <w:rPr>
          <w:sz w:val="24"/>
        </w:rPr>
      </w:pPr>
      <w:r>
        <w:rPr>
          <w:sz w:val="24"/>
        </w:rPr>
        <w:t>Vaccines</w:t>
      </w:r>
      <w:r>
        <w:rPr>
          <w:spacing w:val="-9"/>
          <w:sz w:val="24"/>
        </w:rPr>
        <w:t> </w:t>
      </w:r>
      <w:r>
        <w:rPr>
          <w:sz w:val="24"/>
        </w:rPr>
        <w:t>and</w:t>
      </w:r>
      <w:r>
        <w:rPr>
          <w:spacing w:val="-11"/>
          <w:sz w:val="24"/>
        </w:rPr>
        <w:t> </w:t>
      </w:r>
      <w:r>
        <w:rPr>
          <w:sz w:val="24"/>
        </w:rPr>
        <w:t>inoculations</w:t>
      </w:r>
      <w:r>
        <w:rPr>
          <w:spacing w:val="-9"/>
          <w:sz w:val="24"/>
        </w:rPr>
        <w:t> </w:t>
      </w:r>
      <w:r>
        <w:rPr>
          <w:sz w:val="24"/>
        </w:rPr>
        <w:t>were</w:t>
      </w:r>
      <w:r>
        <w:rPr>
          <w:spacing w:val="-7"/>
          <w:sz w:val="24"/>
        </w:rPr>
        <w:t> </w:t>
      </w:r>
      <w:r>
        <w:rPr>
          <w:sz w:val="24"/>
        </w:rPr>
        <w:t>available</w:t>
      </w:r>
      <w:r>
        <w:rPr>
          <w:spacing w:val="-11"/>
          <w:sz w:val="24"/>
        </w:rPr>
        <w:t> </w:t>
      </w:r>
      <w:r>
        <w:rPr>
          <w:sz w:val="24"/>
        </w:rPr>
        <w:t>though</w:t>
      </w:r>
      <w:r>
        <w:rPr>
          <w:spacing w:val="-8"/>
          <w:sz w:val="24"/>
        </w:rPr>
        <w:t> </w:t>
      </w:r>
      <w:r>
        <w:rPr>
          <w:spacing w:val="-2"/>
          <w:sz w:val="24"/>
        </w:rPr>
        <w:t>inadequate.</w:t>
      </w:r>
    </w:p>
    <w:p>
      <w:pPr>
        <w:pStyle w:val="ListParagraph"/>
        <w:numPr>
          <w:ilvl w:val="0"/>
          <w:numId w:val="48"/>
        </w:numPr>
        <w:tabs>
          <w:tab w:pos="1537" w:val="left" w:leader="none"/>
        </w:tabs>
        <w:spacing w:line="240" w:lineRule="auto" w:before="276" w:after="0"/>
        <w:ind w:left="1537" w:right="0" w:hanging="357"/>
        <w:jc w:val="left"/>
        <w:rPr>
          <w:sz w:val="24"/>
        </w:rPr>
      </w:pPr>
      <w:r>
        <w:rPr>
          <w:sz w:val="24"/>
        </w:rPr>
        <w:t>Drugs</w:t>
      </w:r>
      <w:r>
        <w:rPr>
          <w:spacing w:val="-8"/>
          <w:sz w:val="24"/>
        </w:rPr>
        <w:t> </w:t>
      </w:r>
      <w:r>
        <w:rPr>
          <w:sz w:val="24"/>
        </w:rPr>
        <w:t>were</w:t>
      </w:r>
      <w:r>
        <w:rPr>
          <w:spacing w:val="-6"/>
          <w:sz w:val="24"/>
        </w:rPr>
        <w:t> </w:t>
      </w:r>
      <w:r>
        <w:rPr>
          <w:sz w:val="24"/>
        </w:rPr>
        <w:t>available</w:t>
      </w:r>
      <w:r>
        <w:rPr>
          <w:spacing w:val="-6"/>
          <w:sz w:val="24"/>
        </w:rPr>
        <w:t> </w:t>
      </w:r>
      <w:r>
        <w:rPr>
          <w:sz w:val="24"/>
        </w:rPr>
        <w:t>though</w:t>
      </w:r>
      <w:r>
        <w:rPr>
          <w:spacing w:val="-11"/>
          <w:sz w:val="24"/>
        </w:rPr>
        <w:t> </w:t>
      </w:r>
      <w:r>
        <w:rPr>
          <w:spacing w:val="-2"/>
          <w:sz w:val="24"/>
        </w:rPr>
        <w:t>inadequate.</w:t>
      </w:r>
    </w:p>
    <w:p>
      <w:pPr>
        <w:pStyle w:val="ListParagraph"/>
        <w:numPr>
          <w:ilvl w:val="0"/>
          <w:numId w:val="48"/>
        </w:numPr>
        <w:tabs>
          <w:tab w:pos="1537" w:val="left" w:leader="none"/>
          <w:tab w:pos="1540" w:val="left" w:leader="none"/>
        </w:tabs>
        <w:spacing w:line="480" w:lineRule="auto" w:before="276" w:after="0"/>
        <w:ind w:left="1540" w:right="120" w:hanging="360"/>
        <w:jc w:val="left"/>
        <w:rPr>
          <w:sz w:val="24"/>
        </w:rPr>
      </w:pPr>
      <w:r>
        <w:rPr>
          <w:sz w:val="24"/>
        </w:rPr>
        <w:t>Curative</w:t>
      </w:r>
      <w:r>
        <w:rPr>
          <w:spacing w:val="80"/>
          <w:sz w:val="24"/>
        </w:rPr>
        <w:t> </w:t>
      </w:r>
      <w:r>
        <w:rPr>
          <w:sz w:val="24"/>
        </w:rPr>
        <w:t>and</w:t>
      </w:r>
      <w:r>
        <w:rPr>
          <w:spacing w:val="80"/>
          <w:sz w:val="24"/>
        </w:rPr>
        <w:t> </w:t>
      </w:r>
      <w:r>
        <w:rPr>
          <w:sz w:val="24"/>
        </w:rPr>
        <w:t>preventive</w:t>
      </w:r>
      <w:r>
        <w:rPr>
          <w:spacing w:val="80"/>
          <w:sz w:val="24"/>
        </w:rPr>
        <w:t> </w:t>
      </w:r>
      <w:r>
        <w:rPr>
          <w:sz w:val="24"/>
        </w:rPr>
        <w:t>treatments</w:t>
      </w:r>
      <w:r>
        <w:rPr>
          <w:spacing w:val="80"/>
          <w:sz w:val="24"/>
        </w:rPr>
        <w:t> </w:t>
      </w:r>
      <w:r>
        <w:rPr>
          <w:sz w:val="24"/>
        </w:rPr>
        <w:t>were</w:t>
      </w:r>
      <w:r>
        <w:rPr>
          <w:spacing w:val="80"/>
          <w:sz w:val="24"/>
        </w:rPr>
        <w:t> </w:t>
      </w:r>
      <w:r>
        <w:rPr>
          <w:sz w:val="24"/>
        </w:rPr>
        <w:t>available</w:t>
      </w:r>
      <w:r>
        <w:rPr>
          <w:spacing w:val="80"/>
          <w:sz w:val="24"/>
        </w:rPr>
        <w:t> </w:t>
      </w:r>
      <w:r>
        <w:rPr>
          <w:sz w:val="24"/>
        </w:rPr>
        <w:t>and</w:t>
      </w:r>
      <w:r>
        <w:rPr>
          <w:spacing w:val="80"/>
          <w:sz w:val="24"/>
        </w:rPr>
        <w:t> </w:t>
      </w:r>
      <w:r>
        <w:rPr>
          <w:sz w:val="24"/>
        </w:rPr>
        <w:t>accessed</w:t>
      </w:r>
      <w:r>
        <w:rPr>
          <w:spacing w:val="80"/>
          <w:sz w:val="24"/>
        </w:rPr>
        <w:t> </w:t>
      </w:r>
      <w:r>
        <w:rPr>
          <w:sz w:val="24"/>
        </w:rPr>
        <w:t>by </w:t>
      </w:r>
      <w:r>
        <w:rPr>
          <w:spacing w:val="-2"/>
          <w:sz w:val="24"/>
        </w:rPr>
        <w:t>students.</w:t>
      </w:r>
    </w:p>
    <w:p>
      <w:pPr>
        <w:pStyle w:val="Heading2"/>
        <w:numPr>
          <w:ilvl w:val="2"/>
          <w:numId w:val="45"/>
        </w:numPr>
        <w:tabs>
          <w:tab w:pos="817" w:val="left" w:leader="none"/>
          <w:tab w:pos="820" w:val="left" w:leader="none"/>
        </w:tabs>
        <w:spacing w:line="240" w:lineRule="auto" w:before="0" w:after="0"/>
        <w:ind w:left="820" w:right="121" w:hanging="720"/>
        <w:jc w:val="both"/>
      </w:pPr>
      <w:r>
        <w:rPr/>
        <w:t>Types and Availability of Students’ Welfare Services in Respect of Environmental Services in the Universities in the three geopolitical zones in Northern part of Nigeria</w:t>
      </w:r>
    </w:p>
    <w:p>
      <w:pPr>
        <w:pStyle w:val="ListParagraph"/>
        <w:numPr>
          <w:ilvl w:val="0"/>
          <w:numId w:val="49"/>
        </w:numPr>
        <w:tabs>
          <w:tab w:pos="1540" w:val="left" w:leader="none"/>
          <w:tab w:pos="2878" w:val="left" w:leader="none"/>
          <w:tab w:pos="4515" w:val="left" w:leader="none"/>
          <w:tab w:pos="4999" w:val="left" w:leader="none"/>
          <w:tab w:pos="6060" w:val="left" w:leader="none"/>
          <w:tab w:pos="6660" w:val="left" w:leader="none"/>
          <w:tab w:pos="7773" w:val="left" w:leader="none"/>
          <w:tab w:pos="9126" w:val="left" w:leader="none"/>
        </w:tabs>
        <w:spacing w:line="480" w:lineRule="auto" w:before="277" w:after="0"/>
        <w:ind w:left="1540" w:right="117" w:hanging="360"/>
        <w:jc w:val="left"/>
        <w:rPr>
          <w:sz w:val="24"/>
        </w:rPr>
      </w:pPr>
      <w:r>
        <w:rPr>
          <w:spacing w:val="-2"/>
          <w:sz w:val="24"/>
        </w:rPr>
        <w:t>Conducive</w:t>
      </w:r>
      <w:r>
        <w:rPr>
          <w:sz w:val="24"/>
        </w:rPr>
        <w:tab/>
      </w:r>
      <w:r>
        <w:rPr>
          <w:spacing w:val="-2"/>
          <w:sz w:val="24"/>
        </w:rPr>
        <w:t>environments</w:t>
      </w:r>
      <w:r>
        <w:rPr>
          <w:sz w:val="24"/>
        </w:rPr>
        <w:tab/>
      </w:r>
      <w:r>
        <w:rPr>
          <w:spacing w:val="-4"/>
          <w:sz w:val="24"/>
        </w:rPr>
        <w:t>for</w:t>
      </w:r>
      <w:r>
        <w:rPr>
          <w:sz w:val="24"/>
        </w:rPr>
        <w:tab/>
      </w:r>
      <w:r>
        <w:rPr>
          <w:spacing w:val="-2"/>
          <w:sz w:val="24"/>
        </w:rPr>
        <w:t>learning</w:t>
      </w:r>
      <w:r>
        <w:rPr>
          <w:sz w:val="24"/>
        </w:rPr>
        <w:tab/>
      </w:r>
      <w:r>
        <w:rPr>
          <w:spacing w:val="-4"/>
          <w:sz w:val="24"/>
        </w:rPr>
        <w:t>and</w:t>
      </w:r>
      <w:r>
        <w:rPr>
          <w:sz w:val="24"/>
        </w:rPr>
        <w:tab/>
      </w:r>
      <w:r>
        <w:rPr>
          <w:spacing w:val="-2"/>
          <w:sz w:val="24"/>
        </w:rPr>
        <w:t>teaching</w:t>
      </w:r>
      <w:r>
        <w:rPr>
          <w:sz w:val="24"/>
        </w:rPr>
        <w:tab/>
        <w:t>existed</w:t>
      </w:r>
      <w:r>
        <w:rPr>
          <w:spacing w:val="80"/>
          <w:sz w:val="24"/>
        </w:rPr>
        <w:t> </w:t>
      </w:r>
      <w:r>
        <w:rPr>
          <w:sz w:val="24"/>
        </w:rPr>
        <w:t>in</w:t>
        <w:tab/>
      </w:r>
      <w:r>
        <w:rPr>
          <w:spacing w:val="-4"/>
          <w:sz w:val="24"/>
        </w:rPr>
        <w:t>the </w:t>
      </w:r>
      <w:r>
        <w:rPr>
          <w:sz w:val="24"/>
        </w:rPr>
        <w:t>universities but not adequate.</w:t>
      </w:r>
    </w:p>
    <w:p>
      <w:pPr>
        <w:pStyle w:val="ListParagraph"/>
        <w:numPr>
          <w:ilvl w:val="0"/>
          <w:numId w:val="49"/>
        </w:numPr>
        <w:tabs>
          <w:tab w:pos="1538" w:val="left" w:leader="none"/>
          <w:tab w:pos="1540" w:val="left" w:leader="none"/>
        </w:tabs>
        <w:spacing w:line="480" w:lineRule="auto" w:before="0" w:after="0"/>
        <w:ind w:left="1540" w:right="120" w:hanging="360"/>
        <w:jc w:val="left"/>
        <w:rPr>
          <w:sz w:val="24"/>
        </w:rPr>
      </w:pPr>
      <w:r>
        <w:rPr>
          <w:sz w:val="24"/>
        </w:rPr>
        <w:t>The</w:t>
      </w:r>
      <w:r>
        <w:rPr>
          <w:spacing w:val="80"/>
          <w:w w:val="150"/>
          <w:sz w:val="24"/>
        </w:rPr>
        <w:t> </w:t>
      </w:r>
      <w:r>
        <w:rPr>
          <w:sz w:val="24"/>
        </w:rPr>
        <w:t>tone</w:t>
      </w:r>
      <w:r>
        <w:rPr>
          <w:spacing w:val="80"/>
          <w:w w:val="150"/>
          <w:sz w:val="24"/>
        </w:rPr>
        <w:t> </w:t>
      </w:r>
      <w:r>
        <w:rPr>
          <w:sz w:val="24"/>
        </w:rPr>
        <w:t>or</w:t>
      </w:r>
      <w:r>
        <w:rPr>
          <w:spacing w:val="80"/>
          <w:w w:val="150"/>
          <w:sz w:val="24"/>
        </w:rPr>
        <w:t> </w:t>
      </w:r>
      <w:r>
        <w:rPr>
          <w:sz w:val="24"/>
        </w:rPr>
        <w:t>institutional</w:t>
      </w:r>
      <w:r>
        <w:rPr>
          <w:spacing w:val="80"/>
          <w:w w:val="150"/>
          <w:sz w:val="24"/>
        </w:rPr>
        <w:t> </w:t>
      </w:r>
      <w:r>
        <w:rPr>
          <w:sz w:val="24"/>
        </w:rPr>
        <w:t>climate</w:t>
      </w:r>
      <w:r>
        <w:rPr>
          <w:spacing w:val="80"/>
          <w:w w:val="150"/>
          <w:sz w:val="24"/>
        </w:rPr>
        <w:t> </w:t>
      </w:r>
      <w:r>
        <w:rPr>
          <w:sz w:val="24"/>
        </w:rPr>
        <w:t>existed</w:t>
      </w:r>
      <w:r>
        <w:rPr>
          <w:spacing w:val="80"/>
          <w:w w:val="150"/>
          <w:sz w:val="24"/>
        </w:rPr>
        <w:t> </w:t>
      </w:r>
      <w:r>
        <w:rPr>
          <w:sz w:val="24"/>
        </w:rPr>
        <w:t>but</w:t>
      </w:r>
      <w:r>
        <w:rPr>
          <w:spacing w:val="80"/>
          <w:w w:val="150"/>
          <w:sz w:val="24"/>
        </w:rPr>
        <w:t> </w:t>
      </w:r>
      <w:r>
        <w:rPr>
          <w:sz w:val="24"/>
        </w:rPr>
        <w:t>not</w:t>
      </w:r>
      <w:r>
        <w:rPr>
          <w:spacing w:val="80"/>
          <w:w w:val="150"/>
          <w:sz w:val="24"/>
        </w:rPr>
        <w:t> </w:t>
      </w:r>
      <w:r>
        <w:rPr>
          <w:sz w:val="24"/>
        </w:rPr>
        <w:t>adequate</w:t>
      </w:r>
      <w:r>
        <w:rPr>
          <w:spacing w:val="80"/>
          <w:w w:val="150"/>
          <w:sz w:val="24"/>
        </w:rPr>
        <w:t> </w:t>
      </w:r>
      <w:r>
        <w:rPr>
          <w:sz w:val="24"/>
        </w:rPr>
        <w:t>in</w:t>
      </w:r>
      <w:r>
        <w:rPr>
          <w:spacing w:val="80"/>
          <w:w w:val="150"/>
          <w:sz w:val="24"/>
        </w:rPr>
        <w:t> </w:t>
      </w:r>
      <w:r>
        <w:rPr>
          <w:sz w:val="24"/>
        </w:rPr>
        <w:t>the </w:t>
      </w:r>
      <w:r>
        <w:rPr>
          <w:spacing w:val="-2"/>
          <w:sz w:val="24"/>
        </w:rPr>
        <w:t>universities.</w:t>
      </w:r>
    </w:p>
    <w:p>
      <w:pPr>
        <w:pStyle w:val="ListParagraph"/>
        <w:numPr>
          <w:ilvl w:val="0"/>
          <w:numId w:val="49"/>
        </w:numPr>
        <w:tabs>
          <w:tab w:pos="1537" w:val="left" w:leader="none"/>
        </w:tabs>
        <w:spacing w:line="240" w:lineRule="auto" w:before="0" w:after="0"/>
        <w:ind w:left="1537" w:right="0" w:hanging="357"/>
        <w:jc w:val="left"/>
        <w:rPr>
          <w:sz w:val="24"/>
        </w:rPr>
      </w:pPr>
      <w:r>
        <w:rPr>
          <w:sz w:val="24"/>
        </w:rPr>
        <w:t>Student-teacher</w:t>
      </w:r>
      <w:r>
        <w:rPr>
          <w:spacing w:val="-13"/>
          <w:sz w:val="24"/>
        </w:rPr>
        <w:t> </w:t>
      </w:r>
      <w:r>
        <w:rPr>
          <w:sz w:val="24"/>
        </w:rPr>
        <w:t>relationship</w:t>
      </w:r>
      <w:r>
        <w:rPr>
          <w:spacing w:val="-10"/>
          <w:sz w:val="24"/>
        </w:rPr>
        <w:t> </w:t>
      </w:r>
      <w:r>
        <w:rPr>
          <w:sz w:val="24"/>
        </w:rPr>
        <w:t>existed</w:t>
      </w:r>
      <w:r>
        <w:rPr>
          <w:spacing w:val="-13"/>
          <w:sz w:val="24"/>
        </w:rPr>
        <w:t> </w:t>
      </w:r>
      <w:r>
        <w:rPr>
          <w:sz w:val="24"/>
        </w:rPr>
        <w:t>but</w:t>
      </w:r>
      <w:r>
        <w:rPr>
          <w:spacing w:val="-10"/>
          <w:sz w:val="24"/>
        </w:rPr>
        <w:t> </w:t>
      </w:r>
      <w:r>
        <w:rPr>
          <w:sz w:val="24"/>
        </w:rPr>
        <w:t>cordiality</w:t>
      </w:r>
      <w:r>
        <w:rPr>
          <w:spacing w:val="-10"/>
          <w:sz w:val="24"/>
        </w:rPr>
        <w:t> </w:t>
      </w:r>
      <w:r>
        <w:rPr>
          <w:sz w:val="24"/>
        </w:rPr>
        <w:t>needed</w:t>
      </w:r>
      <w:r>
        <w:rPr>
          <w:spacing w:val="-13"/>
          <w:sz w:val="24"/>
        </w:rPr>
        <w:t> </w:t>
      </w:r>
      <w:r>
        <w:rPr>
          <w:spacing w:val="-2"/>
          <w:sz w:val="24"/>
        </w:rPr>
        <w:t>improvement.</w:t>
      </w:r>
    </w:p>
    <w:p>
      <w:pPr>
        <w:pStyle w:val="BodyText"/>
      </w:pPr>
    </w:p>
    <w:p>
      <w:pPr>
        <w:pStyle w:val="ListParagraph"/>
        <w:numPr>
          <w:ilvl w:val="0"/>
          <w:numId w:val="49"/>
        </w:numPr>
        <w:tabs>
          <w:tab w:pos="1538" w:val="left" w:leader="none"/>
          <w:tab w:pos="1540" w:val="left" w:leader="none"/>
        </w:tabs>
        <w:spacing w:line="480" w:lineRule="auto" w:before="0" w:after="0"/>
        <w:ind w:left="1540" w:right="114" w:hanging="360"/>
        <w:jc w:val="left"/>
        <w:rPr>
          <w:sz w:val="24"/>
        </w:rPr>
      </w:pPr>
      <w:r>
        <w:rPr>
          <w:sz w:val="24"/>
        </w:rPr>
        <w:t>Students’ sense of belonging, privacy, freedom and safety obtained in the universities though not adequate.</w:t>
      </w:r>
    </w:p>
    <w:p>
      <w:pPr>
        <w:pStyle w:val="Heading2"/>
        <w:numPr>
          <w:ilvl w:val="2"/>
          <w:numId w:val="45"/>
        </w:numPr>
        <w:tabs>
          <w:tab w:pos="817" w:val="left" w:leader="none"/>
          <w:tab w:pos="820" w:val="left" w:leader="none"/>
        </w:tabs>
        <w:spacing w:line="240" w:lineRule="auto" w:before="0" w:after="0"/>
        <w:ind w:left="820" w:right="122" w:hanging="720"/>
        <w:jc w:val="both"/>
      </w:pPr>
      <w:r>
        <w:rPr/>
        <w:t>Opinions of Respondents on impacts of Diverse Services on Students’ welfare in the Universities in the three geopolitical zones in Northern part of Nigeria</w:t>
      </w:r>
    </w:p>
    <w:p>
      <w:pPr>
        <w:pStyle w:val="ListParagraph"/>
        <w:numPr>
          <w:ilvl w:val="3"/>
          <w:numId w:val="45"/>
        </w:numPr>
        <w:tabs>
          <w:tab w:pos="1256" w:val="left" w:leader="none"/>
        </w:tabs>
        <w:spacing w:line="240" w:lineRule="auto" w:before="317" w:after="0"/>
        <w:ind w:left="1256" w:right="0" w:hanging="1156"/>
        <w:jc w:val="left"/>
        <w:rPr>
          <w:rFonts w:ascii="Arial"/>
          <w:b/>
          <w:sz w:val="28"/>
        </w:rPr>
      </w:pPr>
      <w:r>
        <w:rPr>
          <w:rFonts w:ascii="Arial"/>
          <w:b/>
          <w:sz w:val="28"/>
        </w:rPr>
        <w:t>Opinions</w:t>
      </w:r>
      <w:r>
        <w:rPr>
          <w:rFonts w:ascii="Arial"/>
          <w:b/>
          <w:spacing w:val="-6"/>
          <w:sz w:val="28"/>
        </w:rPr>
        <w:t> </w:t>
      </w:r>
      <w:r>
        <w:rPr>
          <w:rFonts w:ascii="Arial"/>
          <w:b/>
          <w:sz w:val="28"/>
        </w:rPr>
        <w:t>of</w:t>
      </w:r>
      <w:r>
        <w:rPr>
          <w:rFonts w:ascii="Arial"/>
          <w:b/>
          <w:spacing w:val="-5"/>
          <w:sz w:val="28"/>
        </w:rPr>
        <w:t> </w:t>
      </w:r>
      <w:r>
        <w:rPr>
          <w:rFonts w:ascii="Arial"/>
          <w:b/>
          <w:sz w:val="28"/>
        </w:rPr>
        <w:t>Respondents</w:t>
      </w:r>
      <w:r>
        <w:rPr>
          <w:rFonts w:ascii="Arial"/>
          <w:b/>
          <w:spacing w:val="-5"/>
          <w:sz w:val="28"/>
        </w:rPr>
        <w:t> </w:t>
      </w:r>
      <w:r>
        <w:rPr>
          <w:rFonts w:ascii="Arial"/>
          <w:b/>
          <w:sz w:val="28"/>
        </w:rPr>
        <w:t>on</w:t>
      </w:r>
      <w:r>
        <w:rPr>
          <w:rFonts w:ascii="Arial"/>
          <w:b/>
          <w:spacing w:val="-5"/>
          <w:sz w:val="28"/>
        </w:rPr>
        <w:t> </w:t>
      </w:r>
      <w:r>
        <w:rPr>
          <w:rFonts w:ascii="Arial"/>
          <w:b/>
          <w:sz w:val="28"/>
        </w:rPr>
        <w:t>Impact</w:t>
      </w:r>
      <w:r>
        <w:rPr>
          <w:rFonts w:ascii="Arial"/>
          <w:b/>
          <w:spacing w:val="-5"/>
          <w:sz w:val="28"/>
        </w:rPr>
        <w:t> </w:t>
      </w:r>
      <w:r>
        <w:rPr>
          <w:rFonts w:ascii="Arial"/>
          <w:b/>
          <w:sz w:val="28"/>
        </w:rPr>
        <w:t>of</w:t>
      </w:r>
      <w:r>
        <w:rPr>
          <w:rFonts w:ascii="Arial"/>
          <w:b/>
          <w:spacing w:val="-5"/>
          <w:sz w:val="28"/>
        </w:rPr>
        <w:t> </w:t>
      </w:r>
      <w:r>
        <w:rPr>
          <w:rFonts w:ascii="Arial"/>
          <w:b/>
          <w:spacing w:val="-2"/>
          <w:sz w:val="28"/>
        </w:rPr>
        <w:t>Feeding</w:t>
      </w:r>
    </w:p>
    <w:p>
      <w:pPr>
        <w:pStyle w:val="BodyText"/>
        <w:spacing w:before="3"/>
        <w:rPr>
          <w:rFonts w:ascii="Arial"/>
          <w:b/>
          <w:sz w:val="28"/>
        </w:rPr>
      </w:pPr>
    </w:p>
    <w:p>
      <w:pPr>
        <w:pStyle w:val="ListParagraph"/>
        <w:numPr>
          <w:ilvl w:val="4"/>
          <w:numId w:val="45"/>
        </w:numPr>
        <w:tabs>
          <w:tab w:pos="1540" w:val="left" w:leader="none"/>
        </w:tabs>
        <w:spacing w:line="480" w:lineRule="auto" w:before="0" w:after="0"/>
        <w:ind w:left="1540" w:right="120" w:hanging="360"/>
        <w:jc w:val="both"/>
        <w:rPr>
          <w:sz w:val="24"/>
        </w:rPr>
      </w:pPr>
      <w:r>
        <w:rPr>
          <w:sz w:val="24"/>
        </w:rPr>
        <w:t>The three groups of respondents in all the five universities expressed negative consequence of the removal of feeding subsidy from the the universities by the Federal Government.</w:t>
      </w:r>
    </w:p>
    <w:p>
      <w:pPr>
        <w:pStyle w:val="ListParagraph"/>
        <w:numPr>
          <w:ilvl w:val="4"/>
          <w:numId w:val="45"/>
        </w:numPr>
        <w:tabs>
          <w:tab w:pos="1538" w:val="left" w:leader="none"/>
          <w:tab w:pos="1540" w:val="left" w:leader="none"/>
        </w:tabs>
        <w:spacing w:line="480" w:lineRule="auto" w:before="0" w:after="0"/>
        <w:ind w:left="1540" w:right="123" w:hanging="360"/>
        <w:jc w:val="both"/>
        <w:rPr>
          <w:sz w:val="24"/>
        </w:rPr>
      </w:pPr>
      <w:r>
        <w:rPr>
          <w:sz w:val="24"/>
        </w:rPr>
        <w:t>The introduction of private catering systems in the universities was seen by the respondents as expensive and exploitative.</w:t>
      </w:r>
    </w:p>
    <w:p>
      <w:pPr>
        <w:spacing w:after="0" w:line="480" w:lineRule="auto"/>
        <w:jc w:val="both"/>
        <w:rPr>
          <w:sz w:val="24"/>
        </w:rPr>
        <w:sectPr>
          <w:headerReference w:type="default" r:id="rId539"/>
          <w:footerReference w:type="default" r:id="rId540"/>
          <w:pgSz w:w="12240" w:h="15840"/>
          <w:pgMar w:header="722" w:footer="791" w:top="1340" w:bottom="980" w:left="1340" w:right="1320"/>
        </w:sectPr>
      </w:pPr>
    </w:p>
    <w:p>
      <w:pPr>
        <w:pStyle w:val="ListParagraph"/>
        <w:numPr>
          <w:ilvl w:val="4"/>
          <w:numId w:val="45"/>
        </w:numPr>
        <w:tabs>
          <w:tab w:pos="1537" w:val="left" w:leader="none"/>
          <w:tab w:pos="1540" w:val="left" w:leader="none"/>
        </w:tabs>
        <w:spacing w:line="480" w:lineRule="auto" w:before="89" w:after="0"/>
        <w:ind w:left="1540" w:right="119" w:hanging="360"/>
        <w:jc w:val="left"/>
        <w:rPr>
          <w:sz w:val="24"/>
        </w:rPr>
      </w:pPr>
      <w:r>
        <w:rPr>
          <w:sz w:val="24"/>
        </w:rPr>
        <w:t>The</w:t>
      </w:r>
      <w:r>
        <w:rPr>
          <w:spacing w:val="28"/>
          <w:sz w:val="24"/>
        </w:rPr>
        <w:t> </w:t>
      </w:r>
      <w:r>
        <w:rPr>
          <w:sz w:val="24"/>
        </w:rPr>
        <w:t>removal</w:t>
      </w:r>
      <w:r>
        <w:rPr>
          <w:spacing w:val="29"/>
          <w:sz w:val="24"/>
        </w:rPr>
        <w:t> </w:t>
      </w:r>
      <w:r>
        <w:rPr>
          <w:sz w:val="24"/>
        </w:rPr>
        <w:t>of</w:t>
      </w:r>
      <w:r>
        <w:rPr>
          <w:spacing w:val="27"/>
          <w:sz w:val="24"/>
        </w:rPr>
        <w:t> </w:t>
      </w:r>
      <w:r>
        <w:rPr>
          <w:sz w:val="24"/>
        </w:rPr>
        <w:t>feeding</w:t>
      </w:r>
      <w:r>
        <w:rPr>
          <w:spacing w:val="28"/>
          <w:sz w:val="24"/>
        </w:rPr>
        <w:t> </w:t>
      </w:r>
      <w:r>
        <w:rPr>
          <w:sz w:val="24"/>
        </w:rPr>
        <w:t>subsidy</w:t>
      </w:r>
      <w:r>
        <w:rPr>
          <w:spacing w:val="27"/>
          <w:sz w:val="24"/>
        </w:rPr>
        <w:t> </w:t>
      </w:r>
      <w:r>
        <w:rPr>
          <w:sz w:val="24"/>
        </w:rPr>
        <w:t>was</w:t>
      </w:r>
      <w:r>
        <w:rPr>
          <w:spacing w:val="27"/>
          <w:sz w:val="24"/>
        </w:rPr>
        <w:t> </w:t>
      </w:r>
      <w:r>
        <w:rPr>
          <w:sz w:val="24"/>
        </w:rPr>
        <w:t>not</w:t>
      </w:r>
      <w:r>
        <w:rPr>
          <w:spacing w:val="27"/>
          <w:sz w:val="24"/>
        </w:rPr>
        <w:t> </w:t>
      </w:r>
      <w:r>
        <w:rPr>
          <w:sz w:val="24"/>
        </w:rPr>
        <w:t>because</w:t>
      </w:r>
      <w:r>
        <w:rPr>
          <w:spacing w:val="28"/>
          <w:sz w:val="24"/>
        </w:rPr>
        <w:t> </w:t>
      </w:r>
      <w:r>
        <w:rPr>
          <w:sz w:val="24"/>
        </w:rPr>
        <w:t>it</w:t>
      </w:r>
      <w:r>
        <w:rPr>
          <w:spacing w:val="27"/>
          <w:sz w:val="24"/>
        </w:rPr>
        <w:t> </w:t>
      </w:r>
      <w:r>
        <w:rPr>
          <w:sz w:val="24"/>
        </w:rPr>
        <w:t>was</w:t>
      </w:r>
      <w:r>
        <w:rPr>
          <w:spacing w:val="27"/>
          <w:sz w:val="24"/>
        </w:rPr>
        <w:t> </w:t>
      </w:r>
      <w:r>
        <w:rPr>
          <w:sz w:val="24"/>
        </w:rPr>
        <w:t>seen</w:t>
      </w:r>
      <w:r>
        <w:rPr>
          <w:spacing w:val="28"/>
          <w:sz w:val="24"/>
        </w:rPr>
        <w:t> </w:t>
      </w:r>
      <w:r>
        <w:rPr>
          <w:sz w:val="24"/>
        </w:rPr>
        <w:t>as</w:t>
      </w:r>
      <w:r>
        <w:rPr>
          <w:spacing w:val="27"/>
          <w:sz w:val="24"/>
        </w:rPr>
        <w:t> </w:t>
      </w:r>
      <w:r>
        <w:rPr>
          <w:sz w:val="24"/>
        </w:rPr>
        <w:t>one</w:t>
      </w:r>
      <w:r>
        <w:rPr>
          <w:spacing w:val="28"/>
          <w:sz w:val="24"/>
        </w:rPr>
        <w:t> </w:t>
      </w:r>
      <w:r>
        <w:rPr>
          <w:sz w:val="24"/>
        </w:rPr>
        <w:t>of the sources of students’ unrest in the universities.</w:t>
      </w:r>
    </w:p>
    <w:p>
      <w:pPr>
        <w:pStyle w:val="ListParagraph"/>
        <w:numPr>
          <w:ilvl w:val="4"/>
          <w:numId w:val="45"/>
        </w:numPr>
        <w:tabs>
          <w:tab w:pos="1538" w:val="left" w:leader="none"/>
          <w:tab w:pos="1540" w:val="left" w:leader="none"/>
        </w:tabs>
        <w:spacing w:line="480" w:lineRule="auto" w:before="0" w:after="0"/>
        <w:ind w:left="1540" w:right="122" w:hanging="360"/>
        <w:jc w:val="left"/>
        <w:rPr>
          <w:sz w:val="24"/>
        </w:rPr>
      </w:pPr>
      <w:r>
        <w:rPr>
          <w:sz w:val="24"/>
        </w:rPr>
        <w:t>Lack</w:t>
      </w:r>
      <w:r>
        <w:rPr>
          <w:spacing w:val="80"/>
          <w:sz w:val="24"/>
        </w:rPr>
        <w:t> </w:t>
      </w:r>
      <w:r>
        <w:rPr>
          <w:sz w:val="24"/>
        </w:rPr>
        <w:t>of</w:t>
      </w:r>
      <w:r>
        <w:rPr>
          <w:spacing w:val="80"/>
          <w:sz w:val="24"/>
        </w:rPr>
        <w:t> </w:t>
      </w:r>
      <w:r>
        <w:rPr>
          <w:sz w:val="24"/>
        </w:rPr>
        <w:t>efficient</w:t>
      </w:r>
      <w:r>
        <w:rPr>
          <w:spacing w:val="80"/>
          <w:sz w:val="24"/>
        </w:rPr>
        <w:t> </w:t>
      </w:r>
      <w:r>
        <w:rPr>
          <w:sz w:val="24"/>
        </w:rPr>
        <w:t>management</w:t>
      </w:r>
      <w:r>
        <w:rPr>
          <w:spacing w:val="80"/>
          <w:sz w:val="24"/>
        </w:rPr>
        <w:t> </w:t>
      </w:r>
      <w:r>
        <w:rPr>
          <w:sz w:val="24"/>
        </w:rPr>
        <w:t>and</w:t>
      </w:r>
      <w:r>
        <w:rPr>
          <w:spacing w:val="80"/>
          <w:sz w:val="24"/>
        </w:rPr>
        <w:t> </w:t>
      </w:r>
      <w:r>
        <w:rPr>
          <w:sz w:val="24"/>
        </w:rPr>
        <w:t>supervision</w:t>
      </w:r>
      <w:r>
        <w:rPr>
          <w:spacing w:val="80"/>
          <w:sz w:val="24"/>
        </w:rPr>
        <w:t> </w:t>
      </w:r>
      <w:r>
        <w:rPr>
          <w:sz w:val="24"/>
        </w:rPr>
        <w:t>of</w:t>
      </w:r>
      <w:r>
        <w:rPr>
          <w:spacing w:val="80"/>
          <w:sz w:val="24"/>
        </w:rPr>
        <w:t> </w:t>
      </w:r>
      <w:r>
        <w:rPr>
          <w:sz w:val="24"/>
        </w:rPr>
        <w:t>students’</w:t>
      </w:r>
      <w:r>
        <w:rPr>
          <w:spacing w:val="80"/>
          <w:sz w:val="24"/>
        </w:rPr>
        <w:t> </w:t>
      </w:r>
      <w:r>
        <w:rPr>
          <w:sz w:val="24"/>
        </w:rPr>
        <w:t>catering services had adverse effects on students’ academic performance.</w:t>
      </w:r>
    </w:p>
    <w:p>
      <w:pPr>
        <w:pStyle w:val="ListParagraph"/>
        <w:numPr>
          <w:ilvl w:val="4"/>
          <w:numId w:val="45"/>
        </w:numPr>
        <w:tabs>
          <w:tab w:pos="1540" w:val="left" w:leader="none"/>
        </w:tabs>
        <w:spacing w:line="480" w:lineRule="auto" w:before="0" w:after="0"/>
        <w:ind w:left="1540" w:right="118" w:hanging="360"/>
        <w:jc w:val="left"/>
        <w:rPr>
          <w:sz w:val="24"/>
        </w:rPr>
      </w:pPr>
      <w:r>
        <w:rPr>
          <w:sz w:val="24"/>
        </w:rPr>
        <w:t>Private</w:t>
      </w:r>
      <w:r>
        <w:rPr>
          <w:spacing w:val="80"/>
          <w:sz w:val="24"/>
        </w:rPr>
        <w:t> </w:t>
      </w:r>
      <w:r>
        <w:rPr>
          <w:sz w:val="24"/>
        </w:rPr>
        <w:t>catering</w:t>
      </w:r>
      <w:r>
        <w:rPr>
          <w:spacing w:val="80"/>
          <w:sz w:val="24"/>
        </w:rPr>
        <w:t> </w:t>
      </w:r>
      <w:r>
        <w:rPr>
          <w:sz w:val="24"/>
        </w:rPr>
        <w:t>system</w:t>
      </w:r>
      <w:r>
        <w:rPr>
          <w:spacing w:val="80"/>
          <w:sz w:val="24"/>
        </w:rPr>
        <w:t> </w:t>
      </w:r>
      <w:r>
        <w:rPr>
          <w:sz w:val="24"/>
        </w:rPr>
        <w:t>on</w:t>
      </w:r>
      <w:r>
        <w:rPr>
          <w:spacing w:val="80"/>
          <w:sz w:val="24"/>
        </w:rPr>
        <w:t> </w:t>
      </w:r>
      <w:r>
        <w:rPr>
          <w:sz w:val="24"/>
        </w:rPr>
        <w:t>campuses</w:t>
      </w:r>
      <w:r>
        <w:rPr>
          <w:spacing w:val="80"/>
          <w:sz w:val="24"/>
        </w:rPr>
        <w:t> </w:t>
      </w:r>
      <w:r>
        <w:rPr>
          <w:sz w:val="24"/>
        </w:rPr>
        <w:t>was</w:t>
      </w:r>
      <w:r>
        <w:rPr>
          <w:spacing w:val="80"/>
          <w:sz w:val="24"/>
        </w:rPr>
        <w:t> </w:t>
      </w:r>
      <w:r>
        <w:rPr>
          <w:sz w:val="24"/>
        </w:rPr>
        <w:t>seen</w:t>
      </w:r>
      <w:r>
        <w:rPr>
          <w:spacing w:val="80"/>
          <w:sz w:val="24"/>
        </w:rPr>
        <w:t> </w:t>
      </w:r>
      <w:r>
        <w:rPr>
          <w:sz w:val="24"/>
        </w:rPr>
        <w:t>as</w:t>
      </w:r>
      <w:r>
        <w:rPr>
          <w:spacing w:val="80"/>
          <w:sz w:val="24"/>
        </w:rPr>
        <w:t> </w:t>
      </w:r>
      <w:r>
        <w:rPr>
          <w:sz w:val="24"/>
        </w:rPr>
        <w:t>time</w:t>
      </w:r>
      <w:r>
        <w:rPr>
          <w:spacing w:val="80"/>
          <w:sz w:val="24"/>
        </w:rPr>
        <w:t> </w:t>
      </w:r>
      <w:r>
        <w:rPr>
          <w:sz w:val="24"/>
        </w:rPr>
        <w:t>saving</w:t>
      </w:r>
      <w:r>
        <w:rPr>
          <w:spacing w:val="80"/>
          <w:sz w:val="24"/>
        </w:rPr>
        <w:t> </w:t>
      </w:r>
      <w:r>
        <w:rPr>
          <w:sz w:val="24"/>
        </w:rPr>
        <w:t>for </w:t>
      </w:r>
      <w:r>
        <w:rPr>
          <w:spacing w:val="-2"/>
          <w:sz w:val="24"/>
        </w:rPr>
        <w:t>students.</w:t>
      </w:r>
    </w:p>
    <w:p>
      <w:pPr>
        <w:pStyle w:val="Heading2"/>
        <w:numPr>
          <w:ilvl w:val="3"/>
          <w:numId w:val="45"/>
        </w:numPr>
        <w:tabs>
          <w:tab w:pos="1180" w:val="left" w:leader="none"/>
          <w:tab w:pos="2835" w:val="left" w:leader="none"/>
          <w:tab w:pos="3541" w:val="left" w:leader="none"/>
          <w:tab w:pos="5758" w:val="left" w:leader="none"/>
          <w:tab w:pos="6540" w:val="left" w:leader="none"/>
          <w:tab w:pos="7889" w:val="left" w:leader="none"/>
          <w:tab w:pos="8594" w:val="left" w:leader="none"/>
        </w:tabs>
        <w:spacing w:line="240" w:lineRule="auto" w:before="0" w:after="0"/>
        <w:ind w:left="1180" w:right="128" w:hanging="1080"/>
        <w:jc w:val="left"/>
        <w:rPr>
          <w:rFonts w:ascii="Arial MT"/>
          <w:b w:val="0"/>
        </w:rPr>
      </w:pPr>
      <w:r>
        <w:rPr>
          <w:spacing w:val="-2"/>
        </w:rPr>
        <w:t>Opinions</w:t>
      </w:r>
      <w:r>
        <w:rPr/>
        <w:tab/>
      </w:r>
      <w:r>
        <w:rPr>
          <w:spacing w:val="-6"/>
        </w:rPr>
        <w:t>of</w:t>
      </w:r>
      <w:r>
        <w:rPr/>
        <w:tab/>
      </w:r>
      <w:r>
        <w:rPr>
          <w:spacing w:val="-2"/>
        </w:rPr>
        <w:t>Respondents</w:t>
      </w:r>
      <w:r>
        <w:rPr/>
        <w:tab/>
      </w:r>
      <w:r>
        <w:rPr>
          <w:spacing w:val="-6"/>
        </w:rPr>
        <w:t>on</w:t>
      </w:r>
      <w:r>
        <w:rPr/>
        <w:tab/>
      </w:r>
      <w:r>
        <w:rPr>
          <w:spacing w:val="-2"/>
        </w:rPr>
        <w:t>impact</w:t>
      </w:r>
      <w:r>
        <w:rPr/>
        <w:tab/>
      </w:r>
      <w:r>
        <w:rPr>
          <w:spacing w:val="-6"/>
        </w:rPr>
        <w:t>of</w:t>
      </w:r>
      <w:r>
        <w:rPr/>
        <w:tab/>
      </w:r>
      <w:r>
        <w:rPr>
          <w:spacing w:val="-2"/>
        </w:rPr>
        <w:t>Hostel Accommodation</w:t>
      </w:r>
    </w:p>
    <w:p>
      <w:pPr>
        <w:pStyle w:val="ListParagraph"/>
        <w:numPr>
          <w:ilvl w:val="4"/>
          <w:numId w:val="45"/>
        </w:numPr>
        <w:tabs>
          <w:tab w:pos="1540" w:val="left" w:leader="none"/>
        </w:tabs>
        <w:spacing w:line="480" w:lineRule="auto" w:before="321" w:after="0"/>
        <w:ind w:left="1540" w:right="117" w:hanging="360"/>
        <w:jc w:val="both"/>
        <w:rPr>
          <w:sz w:val="24"/>
        </w:rPr>
      </w:pPr>
      <w:r>
        <w:rPr>
          <w:sz w:val="24"/>
        </w:rPr>
        <w:t>Students’ hostel accommodations were considered as indecent and uncomfortable. This had adverse effects on students’ academic performance in the universities.</w:t>
      </w:r>
    </w:p>
    <w:p>
      <w:pPr>
        <w:pStyle w:val="ListParagraph"/>
        <w:numPr>
          <w:ilvl w:val="4"/>
          <w:numId w:val="45"/>
        </w:numPr>
        <w:tabs>
          <w:tab w:pos="1538" w:val="left" w:leader="none"/>
          <w:tab w:pos="1540" w:val="left" w:leader="none"/>
        </w:tabs>
        <w:spacing w:line="480" w:lineRule="auto" w:before="0" w:after="0"/>
        <w:ind w:left="1540" w:right="114" w:hanging="360"/>
        <w:jc w:val="both"/>
        <w:rPr>
          <w:sz w:val="24"/>
        </w:rPr>
      </w:pPr>
      <w:r>
        <w:rPr>
          <w:sz w:val="24"/>
        </w:rPr>
        <w:t>The facilities provided in the hostels were grossly inadequate for the overcrowded population of students.</w:t>
      </w:r>
    </w:p>
    <w:p>
      <w:pPr>
        <w:pStyle w:val="ListParagraph"/>
        <w:numPr>
          <w:ilvl w:val="4"/>
          <w:numId w:val="45"/>
        </w:numPr>
        <w:tabs>
          <w:tab w:pos="1537" w:val="left" w:leader="none"/>
        </w:tabs>
        <w:spacing w:line="240" w:lineRule="auto" w:before="0" w:after="0"/>
        <w:ind w:left="1537" w:right="0" w:hanging="357"/>
        <w:jc w:val="both"/>
        <w:rPr>
          <w:sz w:val="24"/>
        </w:rPr>
      </w:pPr>
      <w:r>
        <w:rPr>
          <w:sz w:val="24"/>
        </w:rPr>
        <w:t>Students’</w:t>
      </w:r>
      <w:r>
        <w:rPr>
          <w:spacing w:val="-8"/>
          <w:sz w:val="24"/>
        </w:rPr>
        <w:t> </w:t>
      </w:r>
      <w:r>
        <w:rPr>
          <w:sz w:val="24"/>
        </w:rPr>
        <w:t>residential</w:t>
      </w:r>
      <w:r>
        <w:rPr>
          <w:spacing w:val="-5"/>
          <w:sz w:val="24"/>
        </w:rPr>
        <w:t> </w:t>
      </w:r>
      <w:r>
        <w:rPr>
          <w:sz w:val="24"/>
        </w:rPr>
        <w:t>halls</w:t>
      </w:r>
      <w:r>
        <w:rPr>
          <w:spacing w:val="-7"/>
          <w:sz w:val="24"/>
        </w:rPr>
        <w:t> </w:t>
      </w:r>
      <w:r>
        <w:rPr>
          <w:sz w:val="24"/>
        </w:rPr>
        <w:t>should</w:t>
      </w:r>
      <w:r>
        <w:rPr>
          <w:spacing w:val="-7"/>
          <w:sz w:val="24"/>
        </w:rPr>
        <w:t> </w:t>
      </w:r>
      <w:r>
        <w:rPr>
          <w:sz w:val="24"/>
        </w:rPr>
        <w:t>be</w:t>
      </w:r>
      <w:r>
        <w:rPr>
          <w:spacing w:val="-11"/>
          <w:sz w:val="24"/>
        </w:rPr>
        <w:t> </w:t>
      </w:r>
      <w:r>
        <w:rPr>
          <w:sz w:val="24"/>
        </w:rPr>
        <w:t>expanded</w:t>
      </w:r>
      <w:r>
        <w:rPr>
          <w:spacing w:val="-7"/>
          <w:sz w:val="24"/>
        </w:rPr>
        <w:t> </w:t>
      </w:r>
      <w:r>
        <w:rPr>
          <w:sz w:val="24"/>
        </w:rPr>
        <w:t>to</w:t>
      </w:r>
      <w:r>
        <w:rPr>
          <w:spacing w:val="-7"/>
          <w:sz w:val="24"/>
        </w:rPr>
        <w:t> </w:t>
      </w:r>
      <w:r>
        <w:rPr>
          <w:sz w:val="24"/>
        </w:rPr>
        <w:t>avoid</w:t>
      </w:r>
      <w:r>
        <w:rPr>
          <w:spacing w:val="-10"/>
          <w:sz w:val="24"/>
        </w:rPr>
        <w:t> </w:t>
      </w:r>
      <w:r>
        <w:rPr>
          <w:sz w:val="24"/>
        </w:rPr>
        <w:t>health</w:t>
      </w:r>
      <w:r>
        <w:rPr>
          <w:spacing w:val="-7"/>
          <w:sz w:val="24"/>
        </w:rPr>
        <w:t> </w:t>
      </w:r>
      <w:r>
        <w:rPr>
          <w:spacing w:val="-2"/>
          <w:sz w:val="24"/>
        </w:rPr>
        <w:t>hazards.</w:t>
      </w:r>
    </w:p>
    <w:p>
      <w:pPr>
        <w:pStyle w:val="BodyText"/>
      </w:pPr>
    </w:p>
    <w:p>
      <w:pPr>
        <w:pStyle w:val="ListParagraph"/>
        <w:numPr>
          <w:ilvl w:val="4"/>
          <w:numId w:val="45"/>
        </w:numPr>
        <w:tabs>
          <w:tab w:pos="1538" w:val="left" w:leader="none"/>
        </w:tabs>
        <w:spacing w:line="240" w:lineRule="auto" w:before="0" w:after="0"/>
        <w:ind w:left="1538" w:right="0" w:hanging="358"/>
        <w:jc w:val="both"/>
        <w:rPr>
          <w:sz w:val="24"/>
        </w:rPr>
      </w:pPr>
      <w:r>
        <w:rPr>
          <w:sz w:val="24"/>
        </w:rPr>
        <w:t>Pairing</w:t>
      </w:r>
      <w:r>
        <w:rPr>
          <w:spacing w:val="-10"/>
          <w:sz w:val="24"/>
        </w:rPr>
        <w:t> </w:t>
      </w:r>
      <w:r>
        <w:rPr>
          <w:sz w:val="24"/>
        </w:rPr>
        <w:t>of</w:t>
      </w:r>
      <w:r>
        <w:rPr>
          <w:spacing w:val="-7"/>
          <w:sz w:val="24"/>
        </w:rPr>
        <w:t> </w:t>
      </w:r>
      <w:r>
        <w:rPr>
          <w:sz w:val="24"/>
        </w:rPr>
        <w:t>more</w:t>
      </w:r>
      <w:r>
        <w:rPr>
          <w:spacing w:val="-6"/>
          <w:sz w:val="24"/>
        </w:rPr>
        <w:t> </w:t>
      </w:r>
      <w:r>
        <w:rPr>
          <w:sz w:val="24"/>
        </w:rPr>
        <w:t>students</w:t>
      </w:r>
      <w:r>
        <w:rPr>
          <w:spacing w:val="-7"/>
          <w:sz w:val="24"/>
        </w:rPr>
        <w:t> </w:t>
      </w:r>
      <w:r>
        <w:rPr>
          <w:sz w:val="24"/>
        </w:rPr>
        <w:t>did</w:t>
      </w:r>
      <w:r>
        <w:rPr>
          <w:spacing w:val="-5"/>
          <w:sz w:val="24"/>
        </w:rPr>
        <w:t> </w:t>
      </w:r>
      <w:r>
        <w:rPr>
          <w:sz w:val="24"/>
        </w:rPr>
        <w:t>not</w:t>
      </w:r>
      <w:r>
        <w:rPr>
          <w:spacing w:val="-11"/>
          <w:sz w:val="24"/>
        </w:rPr>
        <w:t> </w:t>
      </w:r>
      <w:r>
        <w:rPr>
          <w:sz w:val="24"/>
        </w:rPr>
        <w:t>reduce</w:t>
      </w:r>
      <w:r>
        <w:rPr>
          <w:spacing w:val="-9"/>
          <w:sz w:val="24"/>
        </w:rPr>
        <w:t> </w:t>
      </w:r>
      <w:r>
        <w:rPr>
          <w:sz w:val="24"/>
        </w:rPr>
        <w:t>accommodation</w:t>
      </w:r>
      <w:r>
        <w:rPr>
          <w:spacing w:val="-6"/>
          <w:sz w:val="24"/>
        </w:rPr>
        <w:t> </w:t>
      </w:r>
      <w:r>
        <w:rPr>
          <w:spacing w:val="-2"/>
          <w:sz w:val="24"/>
        </w:rPr>
        <w:t>problems.</w:t>
      </w:r>
    </w:p>
    <w:p>
      <w:pPr>
        <w:pStyle w:val="BodyText"/>
      </w:pPr>
    </w:p>
    <w:p>
      <w:pPr>
        <w:pStyle w:val="ListParagraph"/>
        <w:numPr>
          <w:ilvl w:val="4"/>
          <w:numId w:val="45"/>
        </w:numPr>
        <w:tabs>
          <w:tab w:pos="1540" w:val="left" w:leader="none"/>
        </w:tabs>
        <w:spacing w:line="480" w:lineRule="auto" w:before="0" w:after="0"/>
        <w:ind w:left="1540" w:right="116" w:hanging="360"/>
        <w:jc w:val="both"/>
        <w:rPr>
          <w:sz w:val="24"/>
        </w:rPr>
      </w:pPr>
      <w:r>
        <w:rPr>
          <w:sz w:val="24"/>
        </w:rPr>
        <w:t>Hostel accommodation ranked high and crucial and academic activities without accommodation was incomplete.</w:t>
      </w:r>
    </w:p>
    <w:p>
      <w:pPr>
        <w:pStyle w:val="Heading2"/>
        <w:numPr>
          <w:ilvl w:val="3"/>
          <w:numId w:val="45"/>
        </w:numPr>
        <w:tabs>
          <w:tab w:pos="1180" w:val="left" w:leader="none"/>
          <w:tab w:pos="2639" w:val="left" w:leader="none"/>
          <w:tab w:pos="3152" w:val="left" w:leader="none"/>
          <w:tab w:pos="5177" w:val="left" w:leader="none"/>
          <w:tab w:pos="5767" w:val="left" w:leader="none"/>
          <w:tab w:pos="6919" w:val="left" w:leader="none"/>
          <w:tab w:pos="7433" w:val="left" w:leader="none"/>
          <w:tab w:pos="8959" w:val="left" w:leader="none"/>
        </w:tabs>
        <w:spacing w:line="240" w:lineRule="auto" w:before="0" w:after="0"/>
        <w:ind w:left="1180" w:right="121" w:hanging="1080"/>
        <w:jc w:val="left"/>
        <w:rPr>
          <w:rFonts w:ascii="Arial MT"/>
          <w:b w:val="0"/>
        </w:rPr>
      </w:pPr>
      <w:r>
        <w:rPr>
          <w:spacing w:val="-2"/>
        </w:rPr>
        <w:t>Opinions</w:t>
      </w:r>
      <w:r>
        <w:rPr/>
        <w:tab/>
      </w:r>
      <w:r>
        <w:rPr>
          <w:spacing w:val="-6"/>
        </w:rPr>
        <w:t>of</w:t>
      </w:r>
      <w:r>
        <w:rPr/>
        <w:tab/>
      </w:r>
      <w:r>
        <w:rPr>
          <w:spacing w:val="-2"/>
        </w:rPr>
        <w:t>Respondents</w:t>
      </w:r>
      <w:r>
        <w:rPr/>
        <w:tab/>
      </w:r>
      <w:r>
        <w:rPr>
          <w:spacing w:val="-6"/>
        </w:rPr>
        <w:t>on</w:t>
      </w:r>
      <w:r>
        <w:rPr/>
        <w:tab/>
      </w:r>
      <w:r>
        <w:rPr>
          <w:spacing w:val="-2"/>
        </w:rPr>
        <w:t>impact</w:t>
      </w:r>
      <w:r>
        <w:rPr/>
        <w:tab/>
      </w:r>
      <w:r>
        <w:rPr>
          <w:spacing w:val="-6"/>
        </w:rPr>
        <w:t>of</w:t>
      </w:r>
      <w:r>
        <w:rPr/>
        <w:tab/>
      </w:r>
      <w:r>
        <w:rPr>
          <w:spacing w:val="-2"/>
        </w:rPr>
        <w:t>Guidance</w:t>
      </w:r>
      <w:r>
        <w:rPr/>
        <w:tab/>
      </w:r>
      <w:r>
        <w:rPr>
          <w:spacing w:val="-4"/>
        </w:rPr>
        <w:t>and </w:t>
      </w:r>
      <w:r>
        <w:rPr>
          <w:spacing w:val="-2"/>
        </w:rPr>
        <w:t>Counseling.</w:t>
      </w:r>
    </w:p>
    <w:p>
      <w:pPr>
        <w:pStyle w:val="ListParagraph"/>
        <w:numPr>
          <w:ilvl w:val="4"/>
          <w:numId w:val="45"/>
        </w:numPr>
        <w:tabs>
          <w:tab w:pos="1540" w:val="left" w:leader="none"/>
        </w:tabs>
        <w:spacing w:line="480" w:lineRule="auto" w:before="278" w:after="0"/>
        <w:ind w:left="1540" w:right="115" w:hanging="360"/>
        <w:jc w:val="both"/>
        <w:rPr>
          <w:sz w:val="24"/>
        </w:rPr>
      </w:pPr>
      <w:r>
        <w:rPr>
          <w:sz w:val="24"/>
        </w:rPr>
        <w:t>Guidance counseling units in the universities played important role in preventing problems and forestalling students’ difficulties.</w:t>
      </w:r>
    </w:p>
    <w:p>
      <w:pPr>
        <w:pStyle w:val="ListParagraph"/>
        <w:numPr>
          <w:ilvl w:val="4"/>
          <w:numId w:val="45"/>
        </w:numPr>
        <w:tabs>
          <w:tab w:pos="1538" w:val="left" w:leader="none"/>
          <w:tab w:pos="1540" w:val="left" w:leader="none"/>
        </w:tabs>
        <w:spacing w:line="480" w:lineRule="auto" w:before="0" w:after="0"/>
        <w:ind w:left="1540" w:right="115" w:hanging="360"/>
        <w:jc w:val="both"/>
        <w:rPr>
          <w:sz w:val="24"/>
        </w:rPr>
      </w:pPr>
      <w:r>
        <w:rPr>
          <w:sz w:val="24"/>
        </w:rPr>
        <w:t>Guidance and counseling units contributed in moulding, disciplining and changing students’ lives positively.</w:t>
      </w:r>
    </w:p>
    <w:p>
      <w:pPr>
        <w:spacing w:after="0" w:line="480" w:lineRule="auto"/>
        <w:jc w:val="both"/>
        <w:rPr>
          <w:sz w:val="24"/>
        </w:rPr>
        <w:sectPr>
          <w:headerReference w:type="default" r:id="rId541"/>
          <w:footerReference w:type="default" r:id="rId542"/>
          <w:pgSz w:w="12240" w:h="15840"/>
          <w:pgMar w:header="722" w:footer="791" w:top="1340" w:bottom="980" w:left="1340" w:right="1320"/>
        </w:sectPr>
      </w:pPr>
    </w:p>
    <w:p>
      <w:pPr>
        <w:pStyle w:val="ListParagraph"/>
        <w:numPr>
          <w:ilvl w:val="4"/>
          <w:numId w:val="45"/>
        </w:numPr>
        <w:tabs>
          <w:tab w:pos="1537" w:val="left" w:leader="none"/>
          <w:tab w:pos="1540" w:val="left" w:leader="none"/>
        </w:tabs>
        <w:spacing w:line="480" w:lineRule="auto" w:before="89" w:after="0"/>
        <w:ind w:left="1540" w:right="120" w:hanging="360"/>
        <w:jc w:val="both"/>
        <w:rPr>
          <w:sz w:val="24"/>
        </w:rPr>
      </w:pPr>
      <w:r>
        <w:rPr>
          <w:sz w:val="24"/>
        </w:rPr>
        <w:t>Some of the indicators of guidance and counseling services were educational, career choice and planning coordination of interviews for recruitments and scholarships.</w:t>
      </w:r>
    </w:p>
    <w:p>
      <w:pPr>
        <w:pStyle w:val="ListParagraph"/>
        <w:numPr>
          <w:ilvl w:val="4"/>
          <w:numId w:val="45"/>
        </w:numPr>
        <w:tabs>
          <w:tab w:pos="1538" w:val="left" w:leader="none"/>
          <w:tab w:pos="1540" w:val="left" w:leader="none"/>
        </w:tabs>
        <w:spacing w:line="480" w:lineRule="auto" w:before="0" w:after="0"/>
        <w:ind w:left="1540" w:right="116" w:hanging="360"/>
        <w:jc w:val="both"/>
        <w:rPr>
          <w:sz w:val="24"/>
        </w:rPr>
      </w:pPr>
      <w:r>
        <w:rPr>
          <w:sz w:val="24"/>
        </w:rPr>
        <w:t>Guidance and counseling services enabled the students to relate well and live in harmony with their colleagues and associates.</w:t>
      </w:r>
    </w:p>
    <w:p>
      <w:pPr>
        <w:pStyle w:val="ListParagraph"/>
        <w:numPr>
          <w:ilvl w:val="4"/>
          <w:numId w:val="45"/>
        </w:numPr>
        <w:tabs>
          <w:tab w:pos="1540" w:val="left" w:leader="none"/>
        </w:tabs>
        <w:spacing w:line="480" w:lineRule="auto" w:before="0" w:after="0"/>
        <w:ind w:left="1540" w:right="119" w:hanging="360"/>
        <w:jc w:val="both"/>
        <w:rPr>
          <w:sz w:val="24"/>
        </w:rPr>
      </w:pPr>
      <w:r>
        <w:rPr>
          <w:sz w:val="24"/>
        </w:rPr>
        <w:t>Guidance and counseling units could not do enough to discourage all social vices like cultism, robbery examination anxiety and malpractice.</w:t>
      </w:r>
    </w:p>
    <w:p>
      <w:pPr>
        <w:pStyle w:val="Heading2"/>
        <w:numPr>
          <w:ilvl w:val="3"/>
          <w:numId w:val="45"/>
        </w:numPr>
        <w:tabs>
          <w:tab w:pos="1180" w:val="left" w:leader="none"/>
          <w:tab w:pos="2696" w:val="left" w:leader="none"/>
          <w:tab w:pos="3263" w:val="left" w:leader="none"/>
          <w:tab w:pos="5340" w:val="left" w:leader="none"/>
          <w:tab w:pos="5988" w:val="left" w:leader="none"/>
          <w:tab w:pos="7198" w:val="left" w:leader="none"/>
          <w:tab w:pos="7764" w:val="left" w:leader="none"/>
          <w:tab w:pos="8959" w:val="left" w:leader="none"/>
        </w:tabs>
        <w:spacing w:line="240" w:lineRule="auto" w:before="0" w:after="0"/>
        <w:ind w:left="1180" w:right="122" w:hanging="1080"/>
        <w:jc w:val="left"/>
        <w:rPr>
          <w:rFonts w:ascii="Arial MT"/>
          <w:b w:val="0"/>
        </w:rPr>
      </w:pPr>
      <w:r>
        <w:rPr>
          <w:spacing w:val="-2"/>
        </w:rPr>
        <w:t>Opinions</w:t>
      </w:r>
      <w:r>
        <w:rPr/>
        <w:tab/>
      </w:r>
      <w:r>
        <w:rPr>
          <w:spacing w:val="-6"/>
        </w:rPr>
        <w:t>of</w:t>
      </w:r>
      <w:r>
        <w:rPr/>
        <w:tab/>
      </w:r>
      <w:r>
        <w:rPr>
          <w:spacing w:val="-2"/>
        </w:rPr>
        <w:t>Respondents</w:t>
      </w:r>
      <w:r>
        <w:rPr/>
        <w:tab/>
      </w:r>
      <w:r>
        <w:rPr>
          <w:spacing w:val="-6"/>
        </w:rPr>
        <w:t>on</w:t>
      </w:r>
      <w:r>
        <w:rPr/>
        <w:tab/>
      </w:r>
      <w:r>
        <w:rPr>
          <w:spacing w:val="-2"/>
        </w:rPr>
        <w:t>impact</w:t>
      </w:r>
      <w:r>
        <w:rPr/>
        <w:tab/>
      </w:r>
      <w:r>
        <w:rPr>
          <w:spacing w:val="-6"/>
        </w:rPr>
        <w:t>of</w:t>
      </w:r>
      <w:r>
        <w:rPr/>
        <w:tab/>
      </w:r>
      <w:r>
        <w:rPr>
          <w:spacing w:val="-2"/>
        </w:rPr>
        <w:t>Sports</w:t>
      </w:r>
      <w:r>
        <w:rPr/>
        <w:tab/>
      </w:r>
      <w:r>
        <w:rPr>
          <w:spacing w:val="-4"/>
        </w:rPr>
        <w:t>and </w:t>
      </w:r>
      <w:r>
        <w:rPr>
          <w:spacing w:val="-2"/>
        </w:rPr>
        <w:t>Recreations</w:t>
      </w:r>
    </w:p>
    <w:p>
      <w:pPr>
        <w:pStyle w:val="ListParagraph"/>
        <w:numPr>
          <w:ilvl w:val="4"/>
          <w:numId w:val="45"/>
        </w:numPr>
        <w:tabs>
          <w:tab w:pos="1540" w:val="left" w:leader="none"/>
        </w:tabs>
        <w:spacing w:line="480" w:lineRule="auto" w:before="278" w:after="0"/>
        <w:ind w:left="1540" w:right="119" w:hanging="360"/>
        <w:jc w:val="both"/>
        <w:rPr>
          <w:sz w:val="24"/>
        </w:rPr>
      </w:pPr>
      <w:r>
        <w:rPr>
          <w:sz w:val="24"/>
        </w:rPr>
        <w:t>Universities in the three geopolitical zones in the Northern part of Nigeria maintained virile programme on sports and recreational activities with full </w:t>
      </w:r>
      <w:r>
        <w:rPr>
          <w:spacing w:val="-2"/>
          <w:sz w:val="24"/>
        </w:rPr>
        <w:t>supervision.</w:t>
      </w:r>
    </w:p>
    <w:p>
      <w:pPr>
        <w:pStyle w:val="ListParagraph"/>
        <w:numPr>
          <w:ilvl w:val="4"/>
          <w:numId w:val="45"/>
        </w:numPr>
        <w:tabs>
          <w:tab w:pos="1538" w:val="left" w:leader="none"/>
          <w:tab w:pos="1540" w:val="left" w:leader="none"/>
        </w:tabs>
        <w:spacing w:line="480" w:lineRule="auto" w:before="0" w:after="0"/>
        <w:ind w:left="1540" w:right="117" w:hanging="360"/>
        <w:jc w:val="both"/>
        <w:rPr>
          <w:sz w:val="24"/>
        </w:rPr>
      </w:pPr>
      <w:r>
        <w:rPr>
          <w:sz w:val="24"/>
        </w:rPr>
        <w:t>Sports and recreational activities covered a wide range of activities to satisfy students.</w:t>
      </w:r>
    </w:p>
    <w:p>
      <w:pPr>
        <w:pStyle w:val="ListParagraph"/>
        <w:numPr>
          <w:ilvl w:val="4"/>
          <w:numId w:val="45"/>
        </w:numPr>
        <w:tabs>
          <w:tab w:pos="1537" w:val="left" w:leader="none"/>
          <w:tab w:pos="1540" w:val="left" w:leader="none"/>
        </w:tabs>
        <w:spacing w:line="480" w:lineRule="auto" w:before="0" w:after="0"/>
        <w:ind w:left="1540" w:right="115" w:hanging="360"/>
        <w:jc w:val="both"/>
        <w:rPr>
          <w:sz w:val="24"/>
        </w:rPr>
      </w:pPr>
      <w:r>
        <w:rPr>
          <w:sz w:val="24"/>
        </w:rPr>
        <w:t>Sports and recreation opened opportunities for students to win various scholarships, bursaries, and even fellowship and jobs after graduation.</w:t>
      </w:r>
    </w:p>
    <w:p>
      <w:pPr>
        <w:pStyle w:val="ListParagraph"/>
        <w:numPr>
          <w:ilvl w:val="4"/>
          <w:numId w:val="45"/>
        </w:numPr>
        <w:tabs>
          <w:tab w:pos="1538" w:val="left" w:leader="none"/>
        </w:tabs>
        <w:spacing w:line="240" w:lineRule="auto" w:before="0" w:after="0"/>
        <w:ind w:left="1538" w:right="0" w:hanging="358"/>
        <w:jc w:val="both"/>
        <w:rPr>
          <w:sz w:val="24"/>
        </w:rPr>
      </w:pPr>
      <w:r>
        <w:rPr>
          <w:sz w:val="24"/>
        </w:rPr>
        <w:t>Participation</w:t>
      </w:r>
      <w:r>
        <w:rPr>
          <w:spacing w:val="-11"/>
          <w:sz w:val="24"/>
        </w:rPr>
        <w:t> </w:t>
      </w:r>
      <w:r>
        <w:rPr>
          <w:sz w:val="24"/>
        </w:rPr>
        <w:t>in</w:t>
      </w:r>
      <w:r>
        <w:rPr>
          <w:spacing w:val="-7"/>
          <w:sz w:val="24"/>
        </w:rPr>
        <w:t> </w:t>
      </w:r>
      <w:r>
        <w:rPr>
          <w:sz w:val="24"/>
        </w:rPr>
        <w:t>various</w:t>
      </w:r>
      <w:r>
        <w:rPr>
          <w:spacing w:val="-7"/>
          <w:sz w:val="24"/>
        </w:rPr>
        <w:t> </w:t>
      </w:r>
      <w:r>
        <w:rPr>
          <w:sz w:val="24"/>
        </w:rPr>
        <w:t>sports</w:t>
      </w:r>
      <w:r>
        <w:rPr>
          <w:spacing w:val="-8"/>
          <w:sz w:val="24"/>
        </w:rPr>
        <w:t> </w:t>
      </w:r>
      <w:r>
        <w:rPr>
          <w:sz w:val="24"/>
        </w:rPr>
        <w:t>and</w:t>
      </w:r>
      <w:r>
        <w:rPr>
          <w:spacing w:val="-7"/>
          <w:sz w:val="24"/>
        </w:rPr>
        <w:t> </w:t>
      </w:r>
      <w:r>
        <w:rPr>
          <w:sz w:val="24"/>
        </w:rPr>
        <w:t>games</w:t>
      </w:r>
      <w:r>
        <w:rPr>
          <w:spacing w:val="-7"/>
          <w:sz w:val="24"/>
        </w:rPr>
        <w:t> </w:t>
      </w:r>
      <w:r>
        <w:rPr>
          <w:sz w:val="24"/>
        </w:rPr>
        <w:t>gave</w:t>
      </w:r>
      <w:r>
        <w:rPr>
          <w:spacing w:val="-7"/>
          <w:sz w:val="24"/>
        </w:rPr>
        <w:t> </w:t>
      </w:r>
      <w:r>
        <w:rPr>
          <w:sz w:val="24"/>
        </w:rPr>
        <w:t>students</w:t>
      </w:r>
      <w:r>
        <w:rPr>
          <w:spacing w:val="-8"/>
          <w:sz w:val="24"/>
        </w:rPr>
        <w:t> </w:t>
      </w:r>
      <w:r>
        <w:rPr>
          <w:sz w:val="24"/>
        </w:rPr>
        <w:t>wide</w:t>
      </w:r>
      <w:r>
        <w:rPr>
          <w:spacing w:val="-6"/>
          <w:sz w:val="24"/>
        </w:rPr>
        <w:t> </w:t>
      </w:r>
      <w:r>
        <w:rPr>
          <w:spacing w:val="-2"/>
          <w:sz w:val="24"/>
        </w:rPr>
        <w:t>exposure.</w:t>
      </w:r>
    </w:p>
    <w:p>
      <w:pPr>
        <w:pStyle w:val="BodyText"/>
      </w:pPr>
    </w:p>
    <w:p>
      <w:pPr>
        <w:pStyle w:val="ListParagraph"/>
        <w:numPr>
          <w:ilvl w:val="4"/>
          <w:numId w:val="45"/>
        </w:numPr>
        <w:tabs>
          <w:tab w:pos="1540" w:val="left" w:leader="none"/>
        </w:tabs>
        <w:spacing w:line="475" w:lineRule="auto" w:before="0" w:after="0"/>
        <w:ind w:left="1540" w:right="114" w:hanging="360"/>
        <w:jc w:val="both"/>
        <w:rPr>
          <w:sz w:val="24"/>
        </w:rPr>
      </w:pPr>
      <w:r>
        <w:rPr>
          <w:sz w:val="24"/>
        </w:rPr>
        <w:t>Provision of sports and recreational facilities reduced conflicts and students’ crisis and unrest.</w:t>
      </w:r>
    </w:p>
    <w:p>
      <w:pPr>
        <w:pStyle w:val="ListParagraph"/>
        <w:numPr>
          <w:ilvl w:val="4"/>
          <w:numId w:val="45"/>
        </w:numPr>
        <w:tabs>
          <w:tab w:pos="1537" w:val="left" w:leader="none"/>
          <w:tab w:pos="1540" w:val="left" w:leader="none"/>
        </w:tabs>
        <w:spacing w:line="480" w:lineRule="auto" w:before="6" w:after="0"/>
        <w:ind w:left="1540" w:right="119" w:hanging="360"/>
        <w:jc w:val="both"/>
        <w:rPr>
          <w:sz w:val="24"/>
        </w:rPr>
      </w:pPr>
      <w:r>
        <w:rPr>
          <w:sz w:val="24"/>
        </w:rPr>
        <w:t>Provision of indoor games refreshed students’ minds and brains and widened their scope of academic pursuit.</w:t>
      </w:r>
    </w:p>
    <w:p>
      <w:pPr>
        <w:spacing w:after="0" w:line="480" w:lineRule="auto"/>
        <w:jc w:val="both"/>
        <w:rPr>
          <w:sz w:val="24"/>
        </w:rPr>
        <w:sectPr>
          <w:headerReference w:type="default" r:id="rId543"/>
          <w:footerReference w:type="default" r:id="rId544"/>
          <w:pgSz w:w="12240" w:h="15840"/>
          <w:pgMar w:header="722" w:footer="791" w:top="1340" w:bottom="980" w:left="1340" w:right="1320"/>
        </w:sectPr>
      </w:pPr>
    </w:p>
    <w:p>
      <w:pPr>
        <w:pStyle w:val="Heading2"/>
        <w:numPr>
          <w:ilvl w:val="3"/>
          <w:numId w:val="45"/>
        </w:numPr>
        <w:tabs>
          <w:tab w:pos="1180" w:val="left" w:leader="none"/>
        </w:tabs>
        <w:spacing w:line="240" w:lineRule="auto" w:before="85" w:after="0"/>
        <w:ind w:left="1180" w:right="123" w:hanging="1080"/>
        <w:jc w:val="left"/>
      </w:pPr>
      <w:r>
        <w:rPr/>
        <w:t>Opinions</w:t>
      </w:r>
      <w:r>
        <w:rPr>
          <w:spacing w:val="80"/>
        </w:rPr>
        <w:t> </w:t>
      </w:r>
      <w:r>
        <w:rPr/>
        <w:t>of</w:t>
      </w:r>
      <w:r>
        <w:rPr>
          <w:spacing w:val="80"/>
        </w:rPr>
        <w:t> </w:t>
      </w:r>
      <w:r>
        <w:rPr/>
        <w:t>Respondents</w:t>
      </w:r>
      <w:r>
        <w:rPr>
          <w:spacing w:val="80"/>
        </w:rPr>
        <w:t> </w:t>
      </w:r>
      <w:r>
        <w:rPr/>
        <w:t>on</w:t>
      </w:r>
      <w:r>
        <w:rPr>
          <w:spacing w:val="80"/>
        </w:rPr>
        <w:t> </w:t>
      </w:r>
      <w:r>
        <w:rPr/>
        <w:t>the</w:t>
      </w:r>
      <w:r>
        <w:rPr>
          <w:spacing w:val="80"/>
        </w:rPr>
        <w:t> </w:t>
      </w:r>
      <w:r>
        <w:rPr/>
        <w:t>impact</w:t>
      </w:r>
      <w:r>
        <w:rPr>
          <w:spacing w:val="80"/>
        </w:rPr>
        <w:t> </w:t>
      </w:r>
      <w:r>
        <w:rPr/>
        <w:t>of</w:t>
      </w:r>
      <w:r>
        <w:rPr>
          <w:spacing w:val="80"/>
        </w:rPr>
        <w:t> </w:t>
      </w:r>
      <w:r>
        <w:rPr/>
        <w:t>Security</w:t>
      </w:r>
      <w:r>
        <w:rPr>
          <w:spacing w:val="80"/>
        </w:rPr>
        <w:t> </w:t>
      </w:r>
      <w:r>
        <w:rPr/>
        <w:t>and </w:t>
      </w:r>
      <w:r>
        <w:rPr>
          <w:spacing w:val="-2"/>
        </w:rPr>
        <w:t>Communication</w:t>
      </w:r>
    </w:p>
    <w:p>
      <w:pPr>
        <w:pStyle w:val="ListParagraph"/>
        <w:numPr>
          <w:ilvl w:val="4"/>
          <w:numId w:val="45"/>
        </w:numPr>
        <w:tabs>
          <w:tab w:pos="1900" w:val="left" w:leader="none"/>
        </w:tabs>
        <w:spacing w:line="480" w:lineRule="auto" w:before="281" w:after="0"/>
        <w:ind w:left="1900" w:right="113" w:hanging="720"/>
        <w:jc w:val="left"/>
        <w:rPr>
          <w:sz w:val="24"/>
        </w:rPr>
      </w:pPr>
      <w:r>
        <w:rPr>
          <w:sz w:val="24"/>
        </w:rPr>
        <w:t>Universities</w:t>
      </w:r>
      <w:r>
        <w:rPr>
          <w:spacing w:val="80"/>
          <w:sz w:val="24"/>
        </w:rPr>
        <w:t> </w:t>
      </w:r>
      <w:r>
        <w:rPr>
          <w:sz w:val="24"/>
        </w:rPr>
        <w:t>have</w:t>
      </w:r>
      <w:r>
        <w:rPr>
          <w:spacing w:val="80"/>
          <w:sz w:val="24"/>
        </w:rPr>
        <w:t> </w:t>
      </w:r>
      <w:r>
        <w:rPr>
          <w:sz w:val="24"/>
        </w:rPr>
        <w:t>adequate</w:t>
      </w:r>
      <w:r>
        <w:rPr>
          <w:spacing w:val="80"/>
          <w:sz w:val="24"/>
        </w:rPr>
        <w:t> </w:t>
      </w:r>
      <w:r>
        <w:rPr>
          <w:sz w:val="24"/>
        </w:rPr>
        <w:t>security</w:t>
      </w:r>
      <w:r>
        <w:rPr>
          <w:spacing w:val="80"/>
          <w:sz w:val="24"/>
        </w:rPr>
        <w:t> </w:t>
      </w:r>
      <w:r>
        <w:rPr>
          <w:sz w:val="24"/>
        </w:rPr>
        <w:t>personnel</w:t>
      </w:r>
      <w:r>
        <w:rPr>
          <w:spacing w:val="80"/>
          <w:sz w:val="24"/>
        </w:rPr>
        <w:t> </w:t>
      </w:r>
      <w:r>
        <w:rPr>
          <w:sz w:val="24"/>
        </w:rPr>
        <w:t>to</w:t>
      </w:r>
      <w:r>
        <w:rPr>
          <w:spacing w:val="80"/>
          <w:sz w:val="24"/>
        </w:rPr>
        <w:t> </w:t>
      </w:r>
      <w:r>
        <w:rPr>
          <w:sz w:val="24"/>
        </w:rPr>
        <w:t>guide</w:t>
      </w:r>
      <w:r>
        <w:rPr>
          <w:spacing w:val="80"/>
          <w:sz w:val="24"/>
        </w:rPr>
        <w:t> </w:t>
      </w:r>
      <w:r>
        <w:rPr>
          <w:sz w:val="24"/>
        </w:rPr>
        <w:t>students’ </w:t>
      </w:r>
      <w:r>
        <w:rPr>
          <w:spacing w:val="-2"/>
          <w:sz w:val="24"/>
        </w:rPr>
        <w:t>movements.</w:t>
      </w:r>
    </w:p>
    <w:p>
      <w:pPr>
        <w:pStyle w:val="ListParagraph"/>
        <w:numPr>
          <w:ilvl w:val="4"/>
          <w:numId w:val="45"/>
        </w:numPr>
        <w:tabs>
          <w:tab w:pos="1538" w:val="left" w:leader="none"/>
          <w:tab w:pos="1540" w:val="left" w:leader="none"/>
        </w:tabs>
        <w:spacing w:line="480" w:lineRule="auto" w:before="0" w:after="0"/>
        <w:ind w:left="1540" w:right="117" w:hanging="360"/>
        <w:jc w:val="left"/>
        <w:rPr>
          <w:sz w:val="24"/>
        </w:rPr>
      </w:pPr>
      <w:r>
        <w:rPr>
          <w:sz w:val="24"/>
        </w:rPr>
        <w:t>Security personnel were engaged in active surveillance and maintenance of law and order and passing of useful information on the campuses.</w:t>
      </w:r>
    </w:p>
    <w:p>
      <w:pPr>
        <w:pStyle w:val="ListParagraph"/>
        <w:numPr>
          <w:ilvl w:val="4"/>
          <w:numId w:val="45"/>
        </w:numPr>
        <w:tabs>
          <w:tab w:pos="1537" w:val="left" w:leader="none"/>
          <w:tab w:pos="1540" w:val="left" w:leader="none"/>
        </w:tabs>
        <w:spacing w:line="480" w:lineRule="auto" w:before="0" w:after="0"/>
        <w:ind w:left="1540" w:right="120" w:hanging="360"/>
        <w:jc w:val="left"/>
        <w:rPr>
          <w:sz w:val="24"/>
        </w:rPr>
      </w:pPr>
      <w:r>
        <w:rPr>
          <w:sz w:val="24"/>
        </w:rPr>
        <w:t>The security personnel were not well-equipped to fight various crimes on </w:t>
      </w:r>
      <w:r>
        <w:rPr>
          <w:spacing w:val="-2"/>
          <w:sz w:val="24"/>
        </w:rPr>
        <w:t>campuses.</w:t>
      </w:r>
    </w:p>
    <w:p>
      <w:pPr>
        <w:pStyle w:val="ListParagraph"/>
        <w:numPr>
          <w:ilvl w:val="4"/>
          <w:numId w:val="45"/>
        </w:numPr>
        <w:tabs>
          <w:tab w:pos="1538" w:val="left" w:leader="none"/>
          <w:tab w:pos="1540" w:val="left" w:leader="none"/>
        </w:tabs>
        <w:spacing w:line="480" w:lineRule="auto" w:before="0" w:after="0"/>
        <w:ind w:left="1540" w:right="117" w:hanging="360"/>
        <w:jc w:val="left"/>
        <w:rPr>
          <w:sz w:val="24"/>
        </w:rPr>
      </w:pPr>
      <w:r>
        <w:rPr>
          <w:sz w:val="24"/>
        </w:rPr>
        <w:t>Recruitment</w:t>
      </w:r>
      <w:r>
        <w:rPr>
          <w:spacing w:val="34"/>
          <w:sz w:val="24"/>
        </w:rPr>
        <w:t> </w:t>
      </w:r>
      <w:r>
        <w:rPr>
          <w:sz w:val="24"/>
        </w:rPr>
        <w:t>of</w:t>
      </w:r>
      <w:r>
        <w:rPr>
          <w:spacing w:val="34"/>
          <w:sz w:val="24"/>
        </w:rPr>
        <w:t> </w:t>
      </w:r>
      <w:r>
        <w:rPr>
          <w:sz w:val="24"/>
        </w:rPr>
        <w:t>casual</w:t>
      </w:r>
      <w:r>
        <w:rPr>
          <w:spacing w:val="37"/>
          <w:sz w:val="24"/>
        </w:rPr>
        <w:t> </w:t>
      </w:r>
      <w:r>
        <w:rPr>
          <w:sz w:val="24"/>
        </w:rPr>
        <w:t>hunters</w:t>
      </w:r>
      <w:r>
        <w:rPr>
          <w:spacing w:val="34"/>
          <w:sz w:val="24"/>
        </w:rPr>
        <w:t> </w:t>
      </w:r>
      <w:r>
        <w:rPr>
          <w:sz w:val="24"/>
        </w:rPr>
        <w:t>augmented</w:t>
      </w:r>
      <w:r>
        <w:rPr>
          <w:spacing w:val="35"/>
          <w:sz w:val="24"/>
        </w:rPr>
        <w:t> </w:t>
      </w:r>
      <w:r>
        <w:rPr>
          <w:sz w:val="24"/>
        </w:rPr>
        <w:t>the</w:t>
      </w:r>
      <w:r>
        <w:rPr>
          <w:spacing w:val="35"/>
          <w:sz w:val="24"/>
        </w:rPr>
        <w:t> </w:t>
      </w:r>
      <w:r>
        <w:rPr>
          <w:sz w:val="24"/>
        </w:rPr>
        <w:t>efforts</w:t>
      </w:r>
      <w:r>
        <w:rPr>
          <w:spacing w:val="34"/>
          <w:sz w:val="24"/>
        </w:rPr>
        <w:t> </w:t>
      </w:r>
      <w:r>
        <w:rPr>
          <w:sz w:val="24"/>
        </w:rPr>
        <w:t>of</w:t>
      </w:r>
      <w:r>
        <w:rPr>
          <w:spacing w:val="34"/>
          <w:sz w:val="24"/>
        </w:rPr>
        <w:t> </w:t>
      </w:r>
      <w:r>
        <w:rPr>
          <w:sz w:val="24"/>
        </w:rPr>
        <w:t>security</w:t>
      </w:r>
      <w:r>
        <w:rPr>
          <w:spacing w:val="34"/>
          <w:sz w:val="24"/>
        </w:rPr>
        <w:t> </w:t>
      </w:r>
      <w:r>
        <w:rPr>
          <w:sz w:val="24"/>
        </w:rPr>
        <w:t>men</w:t>
      </w:r>
      <w:r>
        <w:rPr>
          <w:spacing w:val="35"/>
          <w:sz w:val="24"/>
        </w:rPr>
        <w:t> </w:t>
      </w:r>
      <w:r>
        <w:rPr>
          <w:sz w:val="24"/>
        </w:rPr>
        <w:t>in safe guarding the university environments.</w:t>
      </w:r>
    </w:p>
    <w:p>
      <w:pPr>
        <w:pStyle w:val="ListParagraph"/>
        <w:numPr>
          <w:ilvl w:val="4"/>
          <w:numId w:val="45"/>
        </w:numPr>
        <w:tabs>
          <w:tab w:pos="1540" w:val="left" w:leader="none"/>
        </w:tabs>
        <w:spacing w:line="480" w:lineRule="auto" w:before="1" w:after="0"/>
        <w:ind w:left="1540" w:right="114" w:hanging="360"/>
        <w:jc w:val="left"/>
        <w:rPr>
          <w:sz w:val="24"/>
        </w:rPr>
      </w:pPr>
      <w:r>
        <w:rPr>
          <w:sz w:val="24"/>
        </w:rPr>
        <w:t>Some</w:t>
      </w:r>
      <w:r>
        <w:rPr>
          <w:spacing w:val="40"/>
          <w:sz w:val="24"/>
        </w:rPr>
        <w:t> </w:t>
      </w:r>
      <w:r>
        <w:rPr>
          <w:sz w:val="24"/>
        </w:rPr>
        <w:t>universities</w:t>
      </w:r>
      <w:r>
        <w:rPr>
          <w:spacing w:val="40"/>
          <w:sz w:val="24"/>
        </w:rPr>
        <w:t> </w:t>
      </w:r>
      <w:r>
        <w:rPr>
          <w:sz w:val="24"/>
        </w:rPr>
        <w:t>had</w:t>
      </w:r>
      <w:r>
        <w:rPr>
          <w:spacing w:val="40"/>
          <w:sz w:val="24"/>
        </w:rPr>
        <w:t> </w:t>
      </w:r>
      <w:r>
        <w:rPr>
          <w:sz w:val="24"/>
        </w:rPr>
        <w:t>dedicated,</w:t>
      </w:r>
      <w:r>
        <w:rPr>
          <w:spacing w:val="40"/>
          <w:sz w:val="24"/>
        </w:rPr>
        <w:t> </w:t>
      </w:r>
      <w:r>
        <w:rPr>
          <w:sz w:val="24"/>
        </w:rPr>
        <w:t>well</w:t>
      </w:r>
      <w:r>
        <w:rPr>
          <w:spacing w:val="40"/>
          <w:sz w:val="24"/>
        </w:rPr>
        <w:t> </w:t>
      </w:r>
      <w:r>
        <w:rPr>
          <w:sz w:val="24"/>
        </w:rPr>
        <w:t>enlightened</w:t>
      </w:r>
      <w:r>
        <w:rPr>
          <w:spacing w:val="40"/>
          <w:sz w:val="24"/>
        </w:rPr>
        <w:t> </w:t>
      </w:r>
      <w:r>
        <w:rPr>
          <w:sz w:val="24"/>
        </w:rPr>
        <w:t>and</w:t>
      </w:r>
      <w:r>
        <w:rPr>
          <w:spacing w:val="40"/>
          <w:sz w:val="24"/>
        </w:rPr>
        <w:t> </w:t>
      </w:r>
      <w:r>
        <w:rPr>
          <w:sz w:val="24"/>
        </w:rPr>
        <w:t>trained</w:t>
      </w:r>
      <w:r>
        <w:rPr>
          <w:spacing w:val="40"/>
          <w:sz w:val="24"/>
        </w:rPr>
        <w:t> </w:t>
      </w:r>
      <w:r>
        <w:rPr>
          <w:sz w:val="24"/>
        </w:rPr>
        <w:t>security </w:t>
      </w:r>
      <w:r>
        <w:rPr>
          <w:spacing w:val="-2"/>
          <w:sz w:val="24"/>
        </w:rPr>
        <w:t>outfit.</w:t>
      </w:r>
    </w:p>
    <w:p>
      <w:pPr>
        <w:pStyle w:val="Heading2"/>
        <w:numPr>
          <w:ilvl w:val="3"/>
          <w:numId w:val="45"/>
        </w:numPr>
        <w:tabs>
          <w:tab w:pos="1180" w:val="left" w:leader="none"/>
          <w:tab w:pos="2648" w:val="left" w:leader="none"/>
          <w:tab w:pos="3166" w:val="left" w:leader="none"/>
          <w:tab w:pos="5202" w:val="left" w:leader="none"/>
          <w:tab w:pos="5797" w:val="left" w:leader="none"/>
          <w:tab w:pos="6958" w:val="left" w:leader="none"/>
          <w:tab w:pos="7482" w:val="left" w:leader="none"/>
        </w:tabs>
        <w:spacing w:line="240" w:lineRule="auto" w:before="0" w:after="0"/>
        <w:ind w:left="1180" w:right="121" w:hanging="1080"/>
        <w:jc w:val="left"/>
      </w:pPr>
      <w:r>
        <w:rPr>
          <w:spacing w:val="-2"/>
        </w:rPr>
        <w:t>Opinions</w:t>
      </w:r>
      <w:r>
        <w:rPr/>
        <w:tab/>
      </w:r>
      <w:r>
        <w:rPr>
          <w:spacing w:val="-6"/>
        </w:rPr>
        <w:t>of</w:t>
      </w:r>
      <w:r>
        <w:rPr/>
        <w:tab/>
      </w:r>
      <w:r>
        <w:rPr>
          <w:spacing w:val="-2"/>
        </w:rPr>
        <w:t>Respondents</w:t>
      </w:r>
      <w:r>
        <w:rPr/>
        <w:tab/>
      </w:r>
      <w:r>
        <w:rPr>
          <w:spacing w:val="-6"/>
        </w:rPr>
        <w:t>on</w:t>
      </w:r>
      <w:r>
        <w:rPr/>
        <w:tab/>
      </w:r>
      <w:r>
        <w:rPr>
          <w:spacing w:val="-2"/>
        </w:rPr>
        <w:t>impact</w:t>
      </w:r>
      <w:r>
        <w:rPr/>
        <w:tab/>
      </w:r>
      <w:r>
        <w:rPr>
          <w:spacing w:val="-6"/>
        </w:rPr>
        <w:t>of</w:t>
      </w:r>
      <w:r>
        <w:rPr/>
        <w:tab/>
      </w:r>
      <w:r>
        <w:rPr>
          <w:spacing w:val="-2"/>
        </w:rPr>
        <w:t>Transportation Services</w:t>
      </w:r>
    </w:p>
    <w:p>
      <w:pPr>
        <w:pStyle w:val="ListParagraph"/>
        <w:numPr>
          <w:ilvl w:val="4"/>
          <w:numId w:val="45"/>
        </w:numPr>
        <w:tabs>
          <w:tab w:pos="1540" w:val="left" w:leader="none"/>
        </w:tabs>
        <w:spacing w:line="480" w:lineRule="auto" w:before="272" w:after="0"/>
        <w:ind w:left="1540" w:right="117" w:hanging="360"/>
        <w:jc w:val="both"/>
        <w:rPr>
          <w:sz w:val="24"/>
        </w:rPr>
      </w:pPr>
      <w:r>
        <w:rPr>
          <w:sz w:val="24"/>
        </w:rPr>
        <w:t>Some university campuses had organized and well supervised transport </w:t>
      </w:r>
      <w:r>
        <w:rPr>
          <w:spacing w:val="-2"/>
          <w:sz w:val="24"/>
        </w:rPr>
        <w:t>services.</w:t>
      </w:r>
    </w:p>
    <w:p>
      <w:pPr>
        <w:pStyle w:val="ListParagraph"/>
        <w:numPr>
          <w:ilvl w:val="4"/>
          <w:numId w:val="45"/>
        </w:numPr>
        <w:tabs>
          <w:tab w:pos="1538" w:val="left" w:leader="none"/>
          <w:tab w:pos="1540" w:val="left" w:leader="none"/>
        </w:tabs>
        <w:spacing w:line="480" w:lineRule="auto" w:before="1" w:after="0"/>
        <w:ind w:left="1540" w:right="124" w:hanging="360"/>
        <w:jc w:val="both"/>
        <w:rPr>
          <w:sz w:val="24"/>
        </w:rPr>
      </w:pPr>
      <w:r>
        <w:rPr>
          <w:sz w:val="24"/>
        </w:rPr>
        <w:t>Lack of transport for academic activities contributed to students’ coming late or missing lectures completely.</w:t>
      </w:r>
    </w:p>
    <w:p>
      <w:pPr>
        <w:pStyle w:val="ListParagraph"/>
        <w:numPr>
          <w:ilvl w:val="4"/>
          <w:numId w:val="45"/>
        </w:numPr>
        <w:tabs>
          <w:tab w:pos="1537" w:val="left" w:leader="none"/>
          <w:tab w:pos="1540" w:val="left" w:leader="none"/>
        </w:tabs>
        <w:spacing w:line="480" w:lineRule="auto" w:before="0" w:after="0"/>
        <w:ind w:left="1540" w:right="119" w:hanging="360"/>
        <w:jc w:val="both"/>
        <w:rPr>
          <w:sz w:val="24"/>
        </w:rPr>
      </w:pPr>
      <w:r>
        <w:rPr>
          <w:sz w:val="24"/>
        </w:rPr>
        <w:t>The universities did not have enough buses for students’ field trips, educational visits and practical.</w:t>
      </w:r>
    </w:p>
    <w:p>
      <w:pPr>
        <w:pStyle w:val="ListParagraph"/>
        <w:numPr>
          <w:ilvl w:val="4"/>
          <w:numId w:val="45"/>
        </w:numPr>
        <w:tabs>
          <w:tab w:pos="1538" w:val="left" w:leader="none"/>
          <w:tab w:pos="1540" w:val="left" w:leader="none"/>
        </w:tabs>
        <w:spacing w:line="480" w:lineRule="auto" w:before="0" w:after="0"/>
        <w:ind w:left="1540" w:right="115" w:hanging="360"/>
        <w:jc w:val="both"/>
        <w:rPr>
          <w:sz w:val="24"/>
        </w:rPr>
      </w:pPr>
      <w:r>
        <w:rPr>
          <w:sz w:val="24"/>
        </w:rPr>
        <w:t>Too many motorcycle businesses constituted to security problems on campuses. Such problems like theft, over-speeding accidents and overcrowding were eminent.</w:t>
      </w:r>
    </w:p>
    <w:p>
      <w:pPr>
        <w:spacing w:after="0" w:line="480" w:lineRule="auto"/>
        <w:jc w:val="both"/>
        <w:rPr>
          <w:sz w:val="24"/>
        </w:rPr>
        <w:sectPr>
          <w:headerReference w:type="default" r:id="rId545"/>
          <w:footerReference w:type="default" r:id="rId546"/>
          <w:pgSz w:w="12240" w:h="15840"/>
          <w:pgMar w:header="722" w:footer="791" w:top="1340" w:bottom="980" w:left="1340" w:right="1320"/>
        </w:sectPr>
      </w:pPr>
    </w:p>
    <w:p>
      <w:pPr>
        <w:pStyle w:val="Heading2"/>
        <w:numPr>
          <w:ilvl w:val="3"/>
          <w:numId w:val="45"/>
        </w:numPr>
        <w:tabs>
          <w:tab w:pos="1179" w:val="left" w:leader="none"/>
        </w:tabs>
        <w:spacing w:line="240" w:lineRule="auto" w:before="85" w:after="0"/>
        <w:ind w:left="1179" w:right="0" w:hanging="1079"/>
        <w:jc w:val="left"/>
        <w:rPr>
          <w:rFonts w:ascii="Arial MT"/>
          <w:b w:val="0"/>
        </w:rPr>
      </w:pPr>
      <w:r>
        <w:rPr/>
        <w:t>Opinions</w:t>
      </w:r>
      <w:r>
        <w:rPr>
          <w:spacing w:val="-3"/>
        </w:rPr>
        <w:t> </w:t>
      </w:r>
      <w:r>
        <w:rPr/>
        <w:t>of</w:t>
      </w:r>
      <w:r>
        <w:rPr>
          <w:spacing w:val="-7"/>
        </w:rPr>
        <w:t> </w:t>
      </w:r>
      <w:r>
        <w:rPr/>
        <w:t>Respondents</w:t>
      </w:r>
      <w:r>
        <w:rPr>
          <w:spacing w:val="-6"/>
        </w:rPr>
        <w:t> </w:t>
      </w:r>
      <w:r>
        <w:rPr/>
        <w:t>on</w:t>
      </w:r>
      <w:r>
        <w:rPr>
          <w:spacing w:val="-8"/>
        </w:rPr>
        <w:t> </w:t>
      </w:r>
      <w:r>
        <w:rPr/>
        <w:t>impact</w:t>
      </w:r>
      <w:r>
        <w:rPr>
          <w:spacing w:val="-3"/>
        </w:rPr>
        <w:t> </w:t>
      </w:r>
      <w:r>
        <w:rPr/>
        <w:t>of</w:t>
      </w:r>
      <w:r>
        <w:rPr>
          <w:spacing w:val="-6"/>
        </w:rPr>
        <w:t> </w:t>
      </w:r>
      <w:r>
        <w:rPr/>
        <w:t>Religious</w:t>
      </w:r>
      <w:r>
        <w:rPr>
          <w:spacing w:val="-7"/>
        </w:rPr>
        <w:t> </w:t>
      </w:r>
      <w:r>
        <w:rPr>
          <w:spacing w:val="-2"/>
        </w:rPr>
        <w:t>Services</w:t>
      </w:r>
    </w:p>
    <w:p>
      <w:pPr>
        <w:pStyle w:val="ListParagraph"/>
        <w:numPr>
          <w:ilvl w:val="4"/>
          <w:numId w:val="45"/>
        </w:numPr>
        <w:tabs>
          <w:tab w:pos="1540" w:val="left" w:leader="none"/>
        </w:tabs>
        <w:spacing w:line="480" w:lineRule="auto" w:before="282" w:after="0"/>
        <w:ind w:left="1540" w:right="119" w:hanging="360"/>
        <w:jc w:val="both"/>
        <w:rPr>
          <w:sz w:val="24"/>
        </w:rPr>
      </w:pPr>
      <w:r>
        <w:rPr>
          <w:sz w:val="24"/>
        </w:rPr>
        <w:t>Religious services provided on campuses assisted students in moulding their moral and spiritual character.</w:t>
      </w:r>
    </w:p>
    <w:p>
      <w:pPr>
        <w:pStyle w:val="ListParagraph"/>
        <w:numPr>
          <w:ilvl w:val="4"/>
          <w:numId w:val="45"/>
        </w:numPr>
        <w:tabs>
          <w:tab w:pos="1538" w:val="left" w:leader="none"/>
          <w:tab w:pos="1540" w:val="left" w:leader="none"/>
        </w:tabs>
        <w:spacing w:line="480" w:lineRule="auto" w:before="0" w:after="0"/>
        <w:ind w:left="1540" w:right="119" w:hanging="360"/>
        <w:jc w:val="both"/>
        <w:rPr>
          <w:sz w:val="24"/>
        </w:rPr>
      </w:pPr>
      <w:r>
        <w:rPr>
          <w:sz w:val="24"/>
        </w:rPr>
        <w:t>Mosques and churches have been adequately provided on university campuses for students’ religious obligations.</w:t>
      </w:r>
    </w:p>
    <w:p>
      <w:pPr>
        <w:pStyle w:val="ListParagraph"/>
        <w:numPr>
          <w:ilvl w:val="4"/>
          <w:numId w:val="45"/>
        </w:numPr>
        <w:tabs>
          <w:tab w:pos="1537" w:val="left" w:leader="none"/>
          <w:tab w:pos="1540" w:val="left" w:leader="none"/>
        </w:tabs>
        <w:spacing w:line="480" w:lineRule="auto" w:before="0" w:after="0"/>
        <w:ind w:left="1540" w:right="117" w:hanging="360"/>
        <w:jc w:val="both"/>
        <w:rPr>
          <w:sz w:val="24"/>
        </w:rPr>
      </w:pPr>
      <w:r>
        <w:rPr>
          <w:sz w:val="24"/>
        </w:rPr>
        <w:t>Religious tolerances have been encouraged on campuses for avoidance</w:t>
      </w:r>
      <w:r>
        <w:rPr>
          <w:spacing w:val="40"/>
          <w:sz w:val="24"/>
        </w:rPr>
        <w:t> </w:t>
      </w:r>
      <w:r>
        <w:rPr>
          <w:sz w:val="24"/>
        </w:rPr>
        <w:t>of conflicts and uprisings.</w:t>
      </w:r>
    </w:p>
    <w:p>
      <w:pPr>
        <w:pStyle w:val="ListParagraph"/>
        <w:numPr>
          <w:ilvl w:val="4"/>
          <w:numId w:val="45"/>
        </w:numPr>
        <w:tabs>
          <w:tab w:pos="1538" w:val="left" w:leader="none"/>
          <w:tab w:pos="1540" w:val="left" w:leader="none"/>
        </w:tabs>
        <w:spacing w:line="480" w:lineRule="auto" w:before="0" w:after="0"/>
        <w:ind w:left="1540" w:right="115" w:hanging="360"/>
        <w:jc w:val="both"/>
        <w:rPr>
          <w:sz w:val="24"/>
        </w:rPr>
      </w:pPr>
      <w:r>
        <w:rPr>
          <w:sz w:val="24"/>
        </w:rPr>
        <w:t>Religious faiths other than Islam and Christianity have not been</w:t>
      </w:r>
      <w:r>
        <w:rPr>
          <w:spacing w:val="40"/>
          <w:sz w:val="24"/>
        </w:rPr>
        <w:t> </w:t>
      </w:r>
      <w:r>
        <w:rPr>
          <w:sz w:val="24"/>
        </w:rPr>
        <w:t>recognized and attended to on the campuses.</w:t>
      </w:r>
    </w:p>
    <w:p>
      <w:pPr>
        <w:pStyle w:val="ListParagraph"/>
        <w:numPr>
          <w:ilvl w:val="4"/>
          <w:numId w:val="45"/>
        </w:numPr>
        <w:tabs>
          <w:tab w:pos="1540" w:val="left" w:leader="none"/>
        </w:tabs>
        <w:spacing w:line="480" w:lineRule="auto" w:before="0" w:after="0"/>
        <w:ind w:left="1540" w:right="117" w:hanging="360"/>
        <w:jc w:val="both"/>
        <w:rPr>
          <w:sz w:val="24"/>
        </w:rPr>
      </w:pPr>
      <w:r>
        <w:rPr>
          <w:sz w:val="24"/>
        </w:rPr>
        <w:t>Proliferation of churches/denominations and sects on campuses would precipitate misunderstanding and security risks detrimental to teaching</w:t>
      </w:r>
      <w:r>
        <w:rPr>
          <w:spacing w:val="40"/>
          <w:sz w:val="24"/>
        </w:rPr>
        <w:t> </w:t>
      </w:r>
      <w:r>
        <w:rPr>
          <w:sz w:val="24"/>
        </w:rPr>
        <w:t>and learning in the universities.</w:t>
      </w:r>
    </w:p>
    <w:p>
      <w:pPr>
        <w:pStyle w:val="Heading2"/>
        <w:numPr>
          <w:ilvl w:val="3"/>
          <w:numId w:val="45"/>
        </w:numPr>
        <w:tabs>
          <w:tab w:pos="1180" w:val="left" w:leader="none"/>
        </w:tabs>
        <w:spacing w:line="242" w:lineRule="auto" w:before="0" w:after="0"/>
        <w:ind w:left="1180" w:right="123" w:hanging="1080"/>
        <w:jc w:val="left"/>
        <w:rPr>
          <w:rFonts w:ascii="Arial MT"/>
          <w:b w:val="0"/>
        </w:rPr>
      </w:pPr>
      <w:r>
        <w:rPr/>
        <w:t>Opinions</w:t>
      </w:r>
      <w:r>
        <w:rPr>
          <w:spacing w:val="80"/>
        </w:rPr>
        <w:t> </w:t>
      </w:r>
      <w:r>
        <w:rPr/>
        <w:t>of</w:t>
      </w:r>
      <w:r>
        <w:rPr>
          <w:spacing w:val="80"/>
        </w:rPr>
        <w:t> </w:t>
      </w:r>
      <w:r>
        <w:rPr/>
        <w:t>Respondents</w:t>
      </w:r>
      <w:r>
        <w:rPr>
          <w:spacing w:val="80"/>
        </w:rPr>
        <w:t> </w:t>
      </w:r>
      <w:r>
        <w:rPr/>
        <w:t>on</w:t>
      </w:r>
      <w:r>
        <w:rPr>
          <w:spacing w:val="80"/>
        </w:rPr>
        <w:t> </w:t>
      </w:r>
      <w:r>
        <w:rPr/>
        <w:t>the</w:t>
      </w:r>
      <w:r>
        <w:rPr>
          <w:spacing w:val="80"/>
        </w:rPr>
        <w:t> </w:t>
      </w:r>
      <w:r>
        <w:rPr/>
        <w:t>impact</w:t>
      </w:r>
      <w:r>
        <w:rPr>
          <w:spacing w:val="80"/>
        </w:rPr>
        <w:t> </w:t>
      </w:r>
      <w:r>
        <w:rPr/>
        <w:t>of</w:t>
      </w:r>
      <w:r>
        <w:rPr>
          <w:spacing w:val="80"/>
        </w:rPr>
        <w:t> </w:t>
      </w:r>
      <w:r>
        <w:rPr/>
        <w:t>Banking</w:t>
      </w:r>
      <w:r>
        <w:rPr>
          <w:spacing w:val="80"/>
        </w:rPr>
        <w:t> </w:t>
      </w:r>
      <w:r>
        <w:rPr/>
        <w:t>and Telecommunication Services</w:t>
      </w:r>
    </w:p>
    <w:p>
      <w:pPr>
        <w:pStyle w:val="ListParagraph"/>
        <w:numPr>
          <w:ilvl w:val="4"/>
          <w:numId w:val="45"/>
        </w:numPr>
        <w:tabs>
          <w:tab w:pos="1180" w:val="left" w:leader="none"/>
        </w:tabs>
        <w:spacing w:line="480" w:lineRule="auto" w:before="266" w:after="0"/>
        <w:ind w:left="1180" w:right="125" w:hanging="360"/>
        <w:jc w:val="left"/>
        <w:rPr>
          <w:sz w:val="24"/>
        </w:rPr>
      </w:pPr>
      <w:r>
        <w:rPr>
          <w:sz w:val="24"/>
        </w:rPr>
        <w:t>These universities should have banking services on or near their campuses</w:t>
      </w:r>
      <w:r>
        <w:rPr>
          <w:spacing w:val="40"/>
          <w:sz w:val="24"/>
        </w:rPr>
        <w:t> </w:t>
      </w:r>
      <w:r>
        <w:rPr>
          <w:sz w:val="24"/>
        </w:rPr>
        <w:t>for students financial transactions.</w:t>
      </w:r>
    </w:p>
    <w:p>
      <w:pPr>
        <w:pStyle w:val="ListParagraph"/>
        <w:numPr>
          <w:ilvl w:val="4"/>
          <w:numId w:val="45"/>
        </w:numPr>
        <w:tabs>
          <w:tab w:pos="1178" w:val="left" w:leader="none"/>
        </w:tabs>
        <w:spacing w:line="240" w:lineRule="auto" w:before="1" w:after="0"/>
        <w:ind w:left="1178" w:right="0" w:hanging="358"/>
        <w:jc w:val="left"/>
        <w:rPr>
          <w:sz w:val="24"/>
        </w:rPr>
      </w:pPr>
      <w:r>
        <w:rPr>
          <w:sz w:val="24"/>
        </w:rPr>
        <w:t>Adequate</w:t>
      </w:r>
      <w:r>
        <w:rPr>
          <w:spacing w:val="-6"/>
          <w:sz w:val="24"/>
        </w:rPr>
        <w:t> </w:t>
      </w:r>
      <w:r>
        <w:rPr>
          <w:sz w:val="24"/>
        </w:rPr>
        <w:t>mail</w:t>
      </w:r>
      <w:r>
        <w:rPr>
          <w:spacing w:val="-6"/>
          <w:sz w:val="24"/>
        </w:rPr>
        <w:t> </w:t>
      </w:r>
      <w:r>
        <w:rPr>
          <w:sz w:val="24"/>
        </w:rPr>
        <w:t>post</w:t>
      </w:r>
      <w:r>
        <w:rPr>
          <w:spacing w:val="-6"/>
          <w:sz w:val="24"/>
        </w:rPr>
        <w:t> </w:t>
      </w:r>
      <w:r>
        <w:rPr>
          <w:sz w:val="24"/>
        </w:rPr>
        <w:t>offices</w:t>
      </w:r>
      <w:r>
        <w:rPr>
          <w:spacing w:val="-6"/>
          <w:sz w:val="24"/>
        </w:rPr>
        <w:t> </w:t>
      </w:r>
      <w:r>
        <w:rPr>
          <w:sz w:val="24"/>
        </w:rPr>
        <w:t>were</w:t>
      </w:r>
      <w:r>
        <w:rPr>
          <w:spacing w:val="-6"/>
          <w:sz w:val="24"/>
        </w:rPr>
        <w:t> </w:t>
      </w:r>
      <w:r>
        <w:rPr>
          <w:sz w:val="24"/>
        </w:rPr>
        <w:t>provided</w:t>
      </w:r>
      <w:r>
        <w:rPr>
          <w:spacing w:val="-5"/>
          <w:sz w:val="24"/>
        </w:rPr>
        <w:t> </w:t>
      </w:r>
      <w:r>
        <w:rPr>
          <w:sz w:val="24"/>
        </w:rPr>
        <w:t>on</w:t>
      </w:r>
      <w:r>
        <w:rPr>
          <w:spacing w:val="-9"/>
          <w:sz w:val="24"/>
        </w:rPr>
        <w:t> </w:t>
      </w:r>
      <w:r>
        <w:rPr>
          <w:sz w:val="24"/>
        </w:rPr>
        <w:t>or</w:t>
      </w:r>
      <w:r>
        <w:rPr>
          <w:spacing w:val="-4"/>
          <w:sz w:val="24"/>
        </w:rPr>
        <w:t> </w:t>
      </w:r>
      <w:r>
        <w:rPr>
          <w:sz w:val="24"/>
        </w:rPr>
        <w:t>near</w:t>
      </w:r>
      <w:r>
        <w:rPr>
          <w:spacing w:val="-5"/>
          <w:sz w:val="24"/>
        </w:rPr>
        <w:t> </w:t>
      </w:r>
      <w:r>
        <w:rPr>
          <w:spacing w:val="-2"/>
          <w:sz w:val="24"/>
        </w:rPr>
        <w:t>campuses.</w:t>
      </w:r>
    </w:p>
    <w:p>
      <w:pPr>
        <w:pStyle w:val="ListParagraph"/>
        <w:numPr>
          <w:ilvl w:val="4"/>
          <w:numId w:val="45"/>
        </w:numPr>
        <w:tabs>
          <w:tab w:pos="1177" w:val="left" w:leader="none"/>
          <w:tab w:pos="1180" w:val="left" w:leader="none"/>
        </w:tabs>
        <w:spacing w:line="480" w:lineRule="auto" w:before="276" w:after="0"/>
        <w:ind w:left="1180" w:right="116" w:hanging="360"/>
        <w:jc w:val="left"/>
        <w:rPr>
          <w:sz w:val="24"/>
        </w:rPr>
      </w:pPr>
      <w:r>
        <w:rPr>
          <w:sz w:val="24"/>
        </w:rPr>
        <w:t>The</w:t>
      </w:r>
      <w:r>
        <w:rPr>
          <w:spacing w:val="40"/>
          <w:sz w:val="24"/>
        </w:rPr>
        <w:t> </w:t>
      </w:r>
      <w:r>
        <w:rPr>
          <w:sz w:val="24"/>
        </w:rPr>
        <w:t>introduction</w:t>
      </w:r>
      <w:r>
        <w:rPr>
          <w:spacing w:val="40"/>
          <w:sz w:val="24"/>
        </w:rPr>
        <w:t> </w:t>
      </w:r>
      <w:r>
        <w:rPr>
          <w:sz w:val="24"/>
        </w:rPr>
        <w:t>of</w:t>
      </w:r>
      <w:r>
        <w:rPr>
          <w:spacing w:val="40"/>
          <w:sz w:val="24"/>
        </w:rPr>
        <w:t> </w:t>
      </w:r>
      <w:r>
        <w:rPr>
          <w:sz w:val="24"/>
        </w:rPr>
        <w:t>modern</w:t>
      </w:r>
      <w:r>
        <w:rPr>
          <w:spacing w:val="40"/>
          <w:sz w:val="24"/>
        </w:rPr>
        <w:t> </w:t>
      </w:r>
      <w:r>
        <w:rPr>
          <w:sz w:val="24"/>
        </w:rPr>
        <w:t>mobile</w:t>
      </w:r>
      <w:r>
        <w:rPr>
          <w:spacing w:val="40"/>
          <w:sz w:val="24"/>
        </w:rPr>
        <w:t> </w:t>
      </w:r>
      <w:r>
        <w:rPr>
          <w:sz w:val="24"/>
        </w:rPr>
        <w:t>phone</w:t>
      </w:r>
      <w:r>
        <w:rPr>
          <w:spacing w:val="40"/>
          <w:sz w:val="24"/>
        </w:rPr>
        <w:t> </w:t>
      </w:r>
      <w:r>
        <w:rPr>
          <w:sz w:val="24"/>
        </w:rPr>
        <w:t>technology</w:t>
      </w:r>
      <w:r>
        <w:rPr>
          <w:spacing w:val="40"/>
          <w:sz w:val="24"/>
        </w:rPr>
        <w:t> </w:t>
      </w:r>
      <w:r>
        <w:rPr>
          <w:sz w:val="24"/>
        </w:rPr>
        <w:t>had</w:t>
      </w:r>
      <w:r>
        <w:rPr>
          <w:spacing w:val="40"/>
          <w:sz w:val="24"/>
        </w:rPr>
        <w:t> </w:t>
      </w:r>
      <w:r>
        <w:rPr>
          <w:sz w:val="24"/>
        </w:rPr>
        <w:t>eased</w:t>
      </w:r>
      <w:r>
        <w:rPr>
          <w:spacing w:val="40"/>
          <w:sz w:val="24"/>
        </w:rPr>
        <w:t> </w:t>
      </w:r>
      <w:r>
        <w:rPr>
          <w:sz w:val="24"/>
        </w:rPr>
        <w:t>a</w:t>
      </w:r>
      <w:r>
        <w:rPr>
          <w:spacing w:val="40"/>
          <w:sz w:val="24"/>
        </w:rPr>
        <w:t> </w:t>
      </w:r>
      <w:r>
        <w:rPr>
          <w:sz w:val="24"/>
        </w:rPr>
        <w:t>lot</w:t>
      </w:r>
      <w:r>
        <w:rPr>
          <w:spacing w:val="40"/>
          <w:sz w:val="24"/>
        </w:rPr>
        <w:t> </w:t>
      </w:r>
      <w:r>
        <w:rPr>
          <w:sz w:val="24"/>
        </w:rPr>
        <w:t>of</w:t>
      </w:r>
      <w:r>
        <w:rPr>
          <w:spacing w:val="40"/>
          <w:sz w:val="24"/>
        </w:rPr>
        <w:t> </w:t>
      </w:r>
      <w:r>
        <w:rPr>
          <w:sz w:val="24"/>
        </w:rPr>
        <w:t>communication problems for students.</w:t>
      </w:r>
    </w:p>
    <w:p>
      <w:pPr>
        <w:pStyle w:val="ListParagraph"/>
        <w:numPr>
          <w:ilvl w:val="4"/>
          <w:numId w:val="45"/>
        </w:numPr>
        <w:tabs>
          <w:tab w:pos="1178" w:val="left" w:leader="none"/>
        </w:tabs>
        <w:spacing w:line="240" w:lineRule="auto" w:before="0" w:after="0"/>
        <w:ind w:left="1178" w:right="0" w:hanging="358"/>
        <w:jc w:val="left"/>
        <w:rPr>
          <w:sz w:val="24"/>
        </w:rPr>
      </w:pPr>
      <w:r>
        <w:rPr>
          <w:sz w:val="24"/>
        </w:rPr>
        <w:t>Services</w:t>
      </w:r>
      <w:r>
        <w:rPr>
          <w:spacing w:val="-11"/>
          <w:sz w:val="24"/>
        </w:rPr>
        <w:t> </w:t>
      </w:r>
      <w:r>
        <w:rPr>
          <w:sz w:val="24"/>
        </w:rPr>
        <w:t>of</w:t>
      </w:r>
      <w:r>
        <w:rPr>
          <w:spacing w:val="-5"/>
          <w:sz w:val="24"/>
        </w:rPr>
        <w:t> </w:t>
      </w:r>
      <w:r>
        <w:rPr>
          <w:sz w:val="24"/>
        </w:rPr>
        <w:t>banks</w:t>
      </w:r>
      <w:r>
        <w:rPr>
          <w:spacing w:val="-10"/>
          <w:sz w:val="24"/>
        </w:rPr>
        <w:t> </w:t>
      </w:r>
      <w:r>
        <w:rPr>
          <w:sz w:val="24"/>
        </w:rPr>
        <w:t>in</w:t>
      </w:r>
      <w:r>
        <w:rPr>
          <w:spacing w:val="-5"/>
          <w:sz w:val="24"/>
        </w:rPr>
        <w:t> </w:t>
      </w:r>
      <w:r>
        <w:rPr>
          <w:sz w:val="24"/>
        </w:rPr>
        <w:t>respect</w:t>
      </w:r>
      <w:r>
        <w:rPr>
          <w:spacing w:val="-5"/>
          <w:sz w:val="24"/>
        </w:rPr>
        <w:t> </w:t>
      </w:r>
      <w:r>
        <w:rPr>
          <w:sz w:val="24"/>
        </w:rPr>
        <w:t>of</w:t>
      </w:r>
      <w:r>
        <w:rPr>
          <w:spacing w:val="-9"/>
          <w:sz w:val="24"/>
        </w:rPr>
        <w:t> </w:t>
      </w:r>
      <w:r>
        <w:rPr>
          <w:sz w:val="24"/>
        </w:rPr>
        <w:t>loan</w:t>
      </w:r>
      <w:r>
        <w:rPr>
          <w:spacing w:val="-5"/>
          <w:sz w:val="24"/>
        </w:rPr>
        <w:t> </w:t>
      </w:r>
      <w:r>
        <w:rPr>
          <w:sz w:val="24"/>
        </w:rPr>
        <w:t>scheme</w:t>
      </w:r>
      <w:r>
        <w:rPr>
          <w:spacing w:val="-5"/>
          <w:sz w:val="24"/>
        </w:rPr>
        <w:t> </w:t>
      </w:r>
      <w:r>
        <w:rPr>
          <w:sz w:val="24"/>
        </w:rPr>
        <w:t>to</w:t>
      </w:r>
      <w:r>
        <w:rPr>
          <w:spacing w:val="-4"/>
          <w:sz w:val="24"/>
        </w:rPr>
        <w:t> </w:t>
      </w:r>
      <w:r>
        <w:rPr>
          <w:sz w:val="24"/>
        </w:rPr>
        <w:t>students</w:t>
      </w:r>
      <w:r>
        <w:rPr>
          <w:spacing w:val="-6"/>
          <w:sz w:val="24"/>
        </w:rPr>
        <w:t> </w:t>
      </w:r>
      <w:r>
        <w:rPr>
          <w:sz w:val="24"/>
        </w:rPr>
        <w:t>were</w:t>
      </w:r>
      <w:r>
        <w:rPr>
          <w:spacing w:val="-8"/>
          <w:sz w:val="24"/>
        </w:rPr>
        <w:t> </w:t>
      </w:r>
      <w:r>
        <w:rPr>
          <w:spacing w:val="-2"/>
          <w:sz w:val="24"/>
        </w:rPr>
        <w:t>lacking.</w:t>
      </w:r>
    </w:p>
    <w:p>
      <w:pPr>
        <w:pStyle w:val="BodyText"/>
      </w:pPr>
    </w:p>
    <w:p>
      <w:pPr>
        <w:pStyle w:val="ListParagraph"/>
        <w:numPr>
          <w:ilvl w:val="4"/>
          <w:numId w:val="45"/>
        </w:numPr>
        <w:tabs>
          <w:tab w:pos="1180" w:val="left" w:leader="none"/>
        </w:tabs>
        <w:spacing w:line="480" w:lineRule="auto" w:before="0" w:after="0"/>
        <w:ind w:left="1180" w:right="126" w:hanging="360"/>
        <w:jc w:val="left"/>
        <w:rPr>
          <w:sz w:val="24"/>
        </w:rPr>
      </w:pPr>
      <w:r>
        <w:rPr>
          <w:sz w:val="24"/>
        </w:rPr>
        <w:t>The invention of mobile phones brought good tidings and has not in anyway hindered students’ academic performance.</w:t>
      </w:r>
    </w:p>
    <w:p>
      <w:pPr>
        <w:spacing w:after="0" w:line="480" w:lineRule="auto"/>
        <w:jc w:val="left"/>
        <w:rPr>
          <w:sz w:val="24"/>
        </w:rPr>
        <w:sectPr>
          <w:headerReference w:type="default" r:id="rId547"/>
          <w:footerReference w:type="default" r:id="rId548"/>
          <w:pgSz w:w="12240" w:h="15840"/>
          <w:pgMar w:header="722" w:footer="791" w:top="1340" w:bottom="980" w:left="1340" w:right="1320"/>
        </w:sectPr>
      </w:pPr>
    </w:p>
    <w:p>
      <w:pPr>
        <w:pStyle w:val="Heading2"/>
        <w:numPr>
          <w:ilvl w:val="3"/>
          <w:numId w:val="45"/>
        </w:numPr>
        <w:tabs>
          <w:tab w:pos="1179" w:val="left" w:leader="none"/>
        </w:tabs>
        <w:spacing w:line="240" w:lineRule="auto" w:before="85" w:after="0"/>
        <w:ind w:left="1179" w:right="0" w:hanging="1079"/>
        <w:jc w:val="left"/>
        <w:rPr>
          <w:rFonts w:ascii="Arial MT"/>
          <w:b w:val="0"/>
        </w:rPr>
      </w:pPr>
      <w:r>
        <w:rPr/>
        <w:t>Opinions</w:t>
      </w:r>
      <w:r>
        <w:rPr>
          <w:spacing w:val="-2"/>
        </w:rPr>
        <w:t> </w:t>
      </w:r>
      <w:r>
        <w:rPr/>
        <w:t>of</w:t>
      </w:r>
      <w:r>
        <w:rPr>
          <w:spacing w:val="-6"/>
        </w:rPr>
        <w:t> </w:t>
      </w:r>
      <w:r>
        <w:rPr/>
        <w:t>Respondents</w:t>
      </w:r>
      <w:r>
        <w:rPr>
          <w:spacing w:val="-5"/>
        </w:rPr>
        <w:t> </w:t>
      </w:r>
      <w:r>
        <w:rPr/>
        <w:t>on</w:t>
      </w:r>
      <w:r>
        <w:rPr>
          <w:spacing w:val="-6"/>
        </w:rPr>
        <w:t> </w:t>
      </w:r>
      <w:r>
        <w:rPr/>
        <w:t>impact</w:t>
      </w:r>
      <w:r>
        <w:rPr>
          <w:spacing w:val="-2"/>
        </w:rPr>
        <w:t> </w:t>
      </w:r>
      <w:r>
        <w:rPr/>
        <w:t>of</w:t>
      </w:r>
      <w:r>
        <w:rPr>
          <w:spacing w:val="-5"/>
        </w:rPr>
        <w:t> </w:t>
      </w:r>
      <w:r>
        <w:rPr/>
        <w:t>library</w:t>
      </w:r>
      <w:r>
        <w:rPr>
          <w:spacing w:val="-11"/>
        </w:rPr>
        <w:t> </w:t>
      </w:r>
      <w:r>
        <w:rPr>
          <w:spacing w:val="-2"/>
        </w:rPr>
        <w:t>services</w:t>
      </w:r>
    </w:p>
    <w:p>
      <w:pPr>
        <w:pStyle w:val="BodyText"/>
        <w:spacing w:before="3"/>
        <w:rPr>
          <w:rFonts w:ascii="Arial"/>
          <w:b/>
          <w:sz w:val="28"/>
        </w:rPr>
      </w:pPr>
    </w:p>
    <w:p>
      <w:pPr>
        <w:pStyle w:val="ListParagraph"/>
        <w:numPr>
          <w:ilvl w:val="4"/>
          <w:numId w:val="45"/>
        </w:numPr>
        <w:tabs>
          <w:tab w:pos="1111" w:val="left" w:leader="none"/>
        </w:tabs>
        <w:spacing w:line="240" w:lineRule="auto" w:before="1" w:after="0"/>
        <w:ind w:left="1111" w:right="0" w:hanging="291"/>
        <w:jc w:val="left"/>
        <w:rPr>
          <w:sz w:val="28"/>
        </w:rPr>
      </w:pPr>
      <w:r>
        <w:rPr>
          <w:sz w:val="24"/>
        </w:rPr>
        <w:t>The</w:t>
      </w:r>
      <w:r>
        <w:rPr>
          <w:spacing w:val="-4"/>
          <w:sz w:val="24"/>
        </w:rPr>
        <w:t> </w:t>
      </w:r>
      <w:r>
        <w:rPr>
          <w:sz w:val="24"/>
        </w:rPr>
        <w:t>provisions</w:t>
      </w:r>
      <w:r>
        <w:rPr>
          <w:spacing w:val="-10"/>
          <w:sz w:val="24"/>
        </w:rPr>
        <w:t> </w:t>
      </w:r>
      <w:r>
        <w:rPr>
          <w:sz w:val="24"/>
        </w:rPr>
        <w:t>of</w:t>
      </w:r>
      <w:r>
        <w:rPr>
          <w:spacing w:val="-8"/>
          <w:sz w:val="24"/>
        </w:rPr>
        <w:t> </w:t>
      </w:r>
      <w:r>
        <w:rPr>
          <w:sz w:val="24"/>
        </w:rPr>
        <w:t>libraries</w:t>
      </w:r>
      <w:r>
        <w:rPr>
          <w:spacing w:val="-4"/>
          <w:sz w:val="24"/>
        </w:rPr>
        <w:t> </w:t>
      </w:r>
      <w:r>
        <w:rPr>
          <w:sz w:val="24"/>
        </w:rPr>
        <w:t>were</w:t>
      </w:r>
      <w:r>
        <w:rPr>
          <w:spacing w:val="-4"/>
          <w:sz w:val="24"/>
        </w:rPr>
        <w:t> </w:t>
      </w:r>
      <w:r>
        <w:rPr>
          <w:sz w:val="24"/>
        </w:rPr>
        <w:t>vital</w:t>
      </w:r>
      <w:r>
        <w:rPr>
          <w:spacing w:val="-5"/>
          <w:sz w:val="24"/>
        </w:rPr>
        <w:t> </w:t>
      </w:r>
      <w:r>
        <w:rPr>
          <w:sz w:val="24"/>
        </w:rPr>
        <w:t>in</w:t>
      </w:r>
      <w:r>
        <w:rPr>
          <w:spacing w:val="-4"/>
          <w:sz w:val="24"/>
        </w:rPr>
        <w:t> </w:t>
      </w:r>
      <w:r>
        <w:rPr>
          <w:sz w:val="24"/>
        </w:rPr>
        <w:t>the</w:t>
      </w:r>
      <w:r>
        <w:rPr>
          <w:spacing w:val="-8"/>
          <w:sz w:val="24"/>
        </w:rPr>
        <w:t> </w:t>
      </w:r>
      <w:r>
        <w:rPr>
          <w:spacing w:val="-2"/>
          <w:sz w:val="24"/>
        </w:rPr>
        <w:t>universities.</w:t>
      </w:r>
    </w:p>
    <w:p>
      <w:pPr>
        <w:pStyle w:val="BodyText"/>
        <w:spacing w:before="44"/>
      </w:pPr>
    </w:p>
    <w:p>
      <w:pPr>
        <w:pStyle w:val="ListParagraph"/>
        <w:numPr>
          <w:ilvl w:val="4"/>
          <w:numId w:val="45"/>
        </w:numPr>
        <w:tabs>
          <w:tab w:pos="1178" w:val="left" w:leader="none"/>
          <w:tab w:pos="1180" w:val="left" w:leader="none"/>
        </w:tabs>
        <w:spacing w:line="480" w:lineRule="auto" w:before="0" w:after="0"/>
        <w:ind w:left="1180" w:right="116" w:hanging="360"/>
        <w:jc w:val="both"/>
        <w:rPr>
          <w:sz w:val="24"/>
        </w:rPr>
      </w:pPr>
      <w:r>
        <w:rPr>
          <w:sz w:val="24"/>
        </w:rPr>
        <w:t>Relevant books were not adequately available to serve the ever growing population of students.</w:t>
      </w:r>
    </w:p>
    <w:p>
      <w:pPr>
        <w:pStyle w:val="ListParagraph"/>
        <w:numPr>
          <w:ilvl w:val="4"/>
          <w:numId w:val="45"/>
        </w:numPr>
        <w:tabs>
          <w:tab w:pos="1177" w:val="left" w:leader="none"/>
          <w:tab w:pos="1180" w:val="left" w:leader="none"/>
        </w:tabs>
        <w:spacing w:line="480" w:lineRule="auto" w:before="0" w:after="0"/>
        <w:ind w:left="1180" w:right="120" w:hanging="360"/>
        <w:jc w:val="both"/>
        <w:rPr>
          <w:sz w:val="24"/>
        </w:rPr>
      </w:pPr>
      <w:r>
        <w:rPr>
          <w:sz w:val="24"/>
        </w:rPr>
        <w:t>Service staff did not share the opinion of the students and top management that students get discouraged to go to libraries because they were not assisted by staff to locate materials for their assignment.</w:t>
      </w:r>
    </w:p>
    <w:p>
      <w:pPr>
        <w:pStyle w:val="ListParagraph"/>
        <w:numPr>
          <w:ilvl w:val="4"/>
          <w:numId w:val="45"/>
        </w:numPr>
        <w:tabs>
          <w:tab w:pos="1178" w:val="left" w:leader="none"/>
          <w:tab w:pos="1180" w:val="left" w:leader="none"/>
        </w:tabs>
        <w:spacing w:line="480" w:lineRule="auto" w:before="0" w:after="0"/>
        <w:ind w:left="1180" w:right="114" w:hanging="360"/>
        <w:jc w:val="both"/>
        <w:rPr>
          <w:sz w:val="24"/>
        </w:rPr>
      </w:pPr>
      <w:r>
        <w:rPr>
          <w:sz w:val="24"/>
        </w:rPr>
        <w:t>Students did not share the opinions with the service staff and top management that students received enough</w:t>
      </w:r>
      <w:r>
        <w:rPr>
          <w:spacing w:val="-1"/>
          <w:sz w:val="24"/>
        </w:rPr>
        <w:t> </w:t>
      </w:r>
      <w:r>
        <w:rPr>
          <w:sz w:val="24"/>
        </w:rPr>
        <w:t>necessary orientation on the use of libraries. Hence students did not receive enough orientation on the use of </w:t>
      </w:r>
      <w:r>
        <w:rPr>
          <w:spacing w:val="-2"/>
          <w:sz w:val="24"/>
        </w:rPr>
        <w:t>library.</w:t>
      </w:r>
    </w:p>
    <w:p>
      <w:pPr>
        <w:pStyle w:val="Heading2"/>
        <w:numPr>
          <w:ilvl w:val="3"/>
          <w:numId w:val="45"/>
        </w:numPr>
        <w:tabs>
          <w:tab w:pos="1176" w:val="left" w:leader="none"/>
          <w:tab w:pos="1180" w:val="left" w:leader="none"/>
        </w:tabs>
        <w:spacing w:line="240" w:lineRule="auto" w:before="0" w:after="0"/>
        <w:ind w:left="1180" w:right="121" w:hanging="1080"/>
        <w:jc w:val="both"/>
        <w:rPr>
          <w:rFonts w:ascii="Arial MT"/>
          <w:b w:val="0"/>
        </w:rPr>
      </w:pPr>
      <w:r>
        <w:rPr/>
        <w:t>Opinion of Respondents on the impact of Classrooms, Lecture Halls, Laboratories Workshops and Field Trips </w:t>
      </w:r>
      <w:r>
        <w:rPr>
          <w:spacing w:val="-2"/>
        </w:rPr>
        <w:t>Services</w:t>
      </w:r>
    </w:p>
    <w:p>
      <w:pPr>
        <w:pStyle w:val="ListParagraph"/>
        <w:numPr>
          <w:ilvl w:val="4"/>
          <w:numId w:val="45"/>
        </w:numPr>
        <w:tabs>
          <w:tab w:pos="1180" w:val="left" w:leader="none"/>
        </w:tabs>
        <w:spacing w:line="480" w:lineRule="auto" w:before="278" w:after="0"/>
        <w:ind w:left="1180" w:right="119" w:hanging="360"/>
        <w:jc w:val="both"/>
        <w:rPr>
          <w:sz w:val="24"/>
        </w:rPr>
      </w:pPr>
      <w:r>
        <w:rPr>
          <w:sz w:val="24"/>
        </w:rPr>
        <w:t>Classrooms and lecture halls were not enough to accommodate students during lecture sessions.</w:t>
      </w:r>
    </w:p>
    <w:p>
      <w:pPr>
        <w:pStyle w:val="ListParagraph"/>
        <w:numPr>
          <w:ilvl w:val="4"/>
          <w:numId w:val="45"/>
        </w:numPr>
        <w:tabs>
          <w:tab w:pos="1178" w:val="left" w:leader="none"/>
          <w:tab w:pos="1180" w:val="left" w:leader="none"/>
        </w:tabs>
        <w:spacing w:line="480" w:lineRule="auto" w:before="0" w:after="0"/>
        <w:ind w:left="1180" w:right="116" w:hanging="360"/>
        <w:jc w:val="both"/>
        <w:rPr>
          <w:sz w:val="24"/>
        </w:rPr>
      </w:pPr>
      <w:r>
        <w:rPr>
          <w:sz w:val="24"/>
        </w:rPr>
        <w:t>Teaching and learning facilities like laboratories, equipment, workshop tools and seating arrangements were inadequate to facilitate convenient learning environment for students.</w:t>
      </w:r>
    </w:p>
    <w:p>
      <w:pPr>
        <w:pStyle w:val="ListParagraph"/>
        <w:numPr>
          <w:ilvl w:val="4"/>
          <w:numId w:val="45"/>
        </w:numPr>
        <w:tabs>
          <w:tab w:pos="1177" w:val="left" w:leader="none"/>
          <w:tab w:pos="1180" w:val="left" w:leader="none"/>
        </w:tabs>
        <w:spacing w:line="480" w:lineRule="auto" w:before="0" w:after="0"/>
        <w:ind w:left="1180" w:right="117" w:hanging="360"/>
        <w:jc w:val="both"/>
        <w:rPr>
          <w:sz w:val="24"/>
        </w:rPr>
      </w:pPr>
      <w:r>
        <w:rPr>
          <w:sz w:val="24"/>
        </w:rPr>
        <w:t>In most</w:t>
      </w:r>
      <w:r>
        <w:rPr>
          <w:spacing w:val="-3"/>
          <w:sz w:val="24"/>
        </w:rPr>
        <w:t> </w:t>
      </w:r>
      <w:r>
        <w:rPr>
          <w:sz w:val="24"/>
        </w:rPr>
        <w:t>cases</w:t>
      </w:r>
      <w:r>
        <w:rPr>
          <w:spacing w:val="-3"/>
          <w:sz w:val="24"/>
        </w:rPr>
        <w:t> </w:t>
      </w:r>
      <w:r>
        <w:rPr>
          <w:sz w:val="24"/>
        </w:rPr>
        <w:t>students</w:t>
      </w:r>
      <w:r>
        <w:rPr>
          <w:spacing w:val="-1"/>
          <w:sz w:val="24"/>
        </w:rPr>
        <w:t> </w:t>
      </w:r>
      <w:r>
        <w:rPr>
          <w:sz w:val="24"/>
        </w:rPr>
        <w:t>either</w:t>
      </w:r>
      <w:r>
        <w:rPr>
          <w:spacing w:val="-1"/>
          <w:sz w:val="24"/>
        </w:rPr>
        <w:t> </w:t>
      </w:r>
      <w:r>
        <w:rPr>
          <w:sz w:val="24"/>
        </w:rPr>
        <w:t>shifted</w:t>
      </w:r>
      <w:r>
        <w:rPr>
          <w:spacing w:val="-2"/>
          <w:sz w:val="24"/>
        </w:rPr>
        <w:t> </w:t>
      </w:r>
      <w:r>
        <w:rPr>
          <w:sz w:val="24"/>
        </w:rPr>
        <w:t>or</w:t>
      </w:r>
      <w:r>
        <w:rPr>
          <w:spacing w:val="-1"/>
          <w:sz w:val="24"/>
        </w:rPr>
        <w:t> </w:t>
      </w:r>
      <w:r>
        <w:rPr>
          <w:sz w:val="24"/>
        </w:rPr>
        <w:t>shared</w:t>
      </w:r>
      <w:r>
        <w:rPr>
          <w:spacing w:val="-2"/>
          <w:sz w:val="24"/>
        </w:rPr>
        <w:t> </w:t>
      </w:r>
      <w:r>
        <w:rPr>
          <w:sz w:val="24"/>
        </w:rPr>
        <w:t>the</w:t>
      </w:r>
      <w:r>
        <w:rPr>
          <w:spacing w:val="-2"/>
          <w:sz w:val="24"/>
        </w:rPr>
        <w:t> </w:t>
      </w:r>
      <w:r>
        <w:rPr>
          <w:sz w:val="24"/>
        </w:rPr>
        <w:t>equipment</w:t>
      </w:r>
      <w:r>
        <w:rPr>
          <w:spacing w:val="-3"/>
          <w:sz w:val="24"/>
        </w:rPr>
        <w:t> </w:t>
      </w:r>
      <w:r>
        <w:rPr>
          <w:sz w:val="24"/>
        </w:rPr>
        <w:t>in</w:t>
      </w:r>
      <w:r>
        <w:rPr>
          <w:spacing w:val="-2"/>
          <w:sz w:val="24"/>
        </w:rPr>
        <w:t> </w:t>
      </w:r>
      <w:r>
        <w:rPr>
          <w:sz w:val="24"/>
        </w:rPr>
        <w:t>overcrowded manner which led to production of half-baked technologists and scientists.</w:t>
      </w:r>
    </w:p>
    <w:p>
      <w:pPr>
        <w:pStyle w:val="ListParagraph"/>
        <w:numPr>
          <w:ilvl w:val="4"/>
          <w:numId w:val="45"/>
        </w:numPr>
        <w:tabs>
          <w:tab w:pos="1178" w:val="left" w:leader="none"/>
          <w:tab w:pos="1180" w:val="left" w:leader="none"/>
        </w:tabs>
        <w:spacing w:line="480" w:lineRule="auto" w:before="0" w:after="0"/>
        <w:ind w:left="1180" w:right="118" w:hanging="360"/>
        <w:jc w:val="both"/>
        <w:rPr>
          <w:sz w:val="24"/>
        </w:rPr>
      </w:pPr>
      <w:r>
        <w:rPr>
          <w:sz w:val="24"/>
        </w:rPr>
        <w:t>Learning could be adventurous for students with lots of well organized field trips/works and practicals.</w:t>
      </w:r>
    </w:p>
    <w:p>
      <w:pPr>
        <w:spacing w:after="0" w:line="480" w:lineRule="auto"/>
        <w:jc w:val="both"/>
        <w:rPr>
          <w:sz w:val="24"/>
        </w:rPr>
        <w:sectPr>
          <w:headerReference w:type="default" r:id="rId549"/>
          <w:footerReference w:type="default" r:id="rId550"/>
          <w:pgSz w:w="12240" w:h="15840"/>
          <w:pgMar w:header="722" w:footer="791" w:top="1340" w:bottom="980" w:left="1340" w:right="1320"/>
        </w:sectPr>
      </w:pPr>
    </w:p>
    <w:p>
      <w:pPr>
        <w:pStyle w:val="Heading2"/>
        <w:numPr>
          <w:ilvl w:val="3"/>
          <w:numId w:val="45"/>
        </w:numPr>
        <w:tabs>
          <w:tab w:pos="1176" w:val="left" w:leader="none"/>
          <w:tab w:pos="1180" w:val="left" w:leader="none"/>
        </w:tabs>
        <w:spacing w:line="240" w:lineRule="auto" w:before="85" w:after="0"/>
        <w:ind w:left="1180" w:right="121" w:hanging="1080"/>
        <w:jc w:val="left"/>
        <w:rPr>
          <w:rFonts w:ascii="Arial MT"/>
          <w:b w:val="0"/>
        </w:rPr>
      </w:pPr>
      <w:r>
        <w:rPr/>
        <w:t>Opinion</w:t>
      </w:r>
      <w:r>
        <w:rPr>
          <w:spacing w:val="80"/>
        </w:rPr>
        <w:t> </w:t>
      </w:r>
      <w:r>
        <w:rPr/>
        <w:t>of</w:t>
      </w:r>
      <w:r>
        <w:rPr>
          <w:spacing w:val="80"/>
        </w:rPr>
        <w:t> </w:t>
      </w:r>
      <w:r>
        <w:rPr/>
        <w:t>Respondents</w:t>
      </w:r>
      <w:r>
        <w:rPr>
          <w:spacing w:val="80"/>
        </w:rPr>
        <w:t> </w:t>
      </w:r>
      <w:r>
        <w:rPr/>
        <w:t>on</w:t>
      </w:r>
      <w:r>
        <w:rPr>
          <w:spacing w:val="80"/>
        </w:rPr>
        <w:t> </w:t>
      </w:r>
      <w:r>
        <w:rPr/>
        <w:t>the</w:t>
      </w:r>
      <w:r>
        <w:rPr>
          <w:spacing w:val="80"/>
        </w:rPr>
        <w:t> </w:t>
      </w:r>
      <w:r>
        <w:rPr/>
        <w:t>impact</w:t>
      </w:r>
      <w:r>
        <w:rPr>
          <w:spacing w:val="80"/>
        </w:rPr>
        <w:t> </w:t>
      </w:r>
      <w:r>
        <w:rPr/>
        <w:t>and</w:t>
      </w:r>
      <w:r>
        <w:rPr>
          <w:spacing w:val="80"/>
        </w:rPr>
        <w:t> </w:t>
      </w:r>
      <w:r>
        <w:rPr/>
        <w:t>influence</w:t>
      </w:r>
      <w:r>
        <w:rPr>
          <w:spacing w:val="80"/>
        </w:rPr>
        <w:t> </w:t>
      </w:r>
      <w:r>
        <w:rPr/>
        <w:t>of</w:t>
      </w:r>
      <w:r>
        <w:rPr>
          <w:spacing w:val="40"/>
        </w:rPr>
        <w:t> </w:t>
      </w:r>
      <w:r>
        <w:rPr/>
        <w:t>Information Technology Services</w:t>
      </w:r>
    </w:p>
    <w:p>
      <w:pPr>
        <w:pStyle w:val="ListParagraph"/>
        <w:numPr>
          <w:ilvl w:val="4"/>
          <w:numId w:val="45"/>
        </w:numPr>
        <w:tabs>
          <w:tab w:pos="1180" w:val="left" w:leader="none"/>
        </w:tabs>
        <w:spacing w:line="480" w:lineRule="auto" w:before="281" w:after="0"/>
        <w:ind w:left="1180" w:right="118" w:hanging="360"/>
        <w:jc w:val="left"/>
        <w:rPr>
          <w:sz w:val="24"/>
        </w:rPr>
      </w:pPr>
      <w:r>
        <w:rPr>
          <w:sz w:val="24"/>
        </w:rPr>
        <w:t>Students were supposed to get easy access to computers and internet cafes so as to be well informed about world events.</w:t>
      </w:r>
    </w:p>
    <w:p>
      <w:pPr>
        <w:pStyle w:val="ListParagraph"/>
        <w:numPr>
          <w:ilvl w:val="4"/>
          <w:numId w:val="45"/>
        </w:numPr>
        <w:tabs>
          <w:tab w:pos="1178" w:val="left" w:leader="none"/>
          <w:tab w:pos="1180" w:val="left" w:leader="none"/>
        </w:tabs>
        <w:spacing w:line="480" w:lineRule="auto" w:before="0" w:after="0"/>
        <w:ind w:left="1180" w:right="114" w:hanging="360"/>
        <w:jc w:val="left"/>
        <w:rPr>
          <w:sz w:val="24"/>
        </w:rPr>
      </w:pPr>
      <w:r>
        <w:rPr>
          <w:sz w:val="24"/>
        </w:rPr>
        <w:t>Learning</w:t>
      </w:r>
      <w:r>
        <w:rPr>
          <w:spacing w:val="40"/>
          <w:sz w:val="24"/>
        </w:rPr>
        <w:t> </w:t>
      </w:r>
      <w:r>
        <w:rPr>
          <w:sz w:val="24"/>
        </w:rPr>
        <w:t>and</w:t>
      </w:r>
      <w:r>
        <w:rPr>
          <w:spacing w:val="40"/>
          <w:sz w:val="24"/>
        </w:rPr>
        <w:t> </w:t>
      </w:r>
      <w:r>
        <w:rPr>
          <w:sz w:val="24"/>
        </w:rPr>
        <w:t>teaching</w:t>
      </w:r>
      <w:r>
        <w:rPr>
          <w:spacing w:val="40"/>
          <w:sz w:val="24"/>
        </w:rPr>
        <w:t> </w:t>
      </w:r>
      <w:r>
        <w:rPr>
          <w:sz w:val="24"/>
        </w:rPr>
        <w:t>were</w:t>
      </w:r>
      <w:r>
        <w:rPr>
          <w:spacing w:val="40"/>
          <w:sz w:val="24"/>
        </w:rPr>
        <w:t> </w:t>
      </w:r>
      <w:r>
        <w:rPr>
          <w:sz w:val="24"/>
        </w:rPr>
        <w:t>made</w:t>
      </w:r>
      <w:r>
        <w:rPr>
          <w:spacing w:val="40"/>
          <w:sz w:val="24"/>
        </w:rPr>
        <w:t> </w:t>
      </w:r>
      <w:r>
        <w:rPr>
          <w:sz w:val="24"/>
        </w:rPr>
        <w:t>faster</w:t>
      </w:r>
      <w:r>
        <w:rPr>
          <w:spacing w:val="71"/>
          <w:sz w:val="24"/>
        </w:rPr>
        <w:t> </w:t>
      </w:r>
      <w:r>
        <w:rPr>
          <w:sz w:val="24"/>
        </w:rPr>
        <w:t>through</w:t>
      </w:r>
      <w:r>
        <w:rPr>
          <w:spacing w:val="40"/>
          <w:sz w:val="24"/>
        </w:rPr>
        <w:t> </w:t>
      </w:r>
      <w:r>
        <w:rPr>
          <w:sz w:val="24"/>
        </w:rPr>
        <w:t>the</w:t>
      </w:r>
      <w:r>
        <w:rPr>
          <w:spacing w:val="40"/>
          <w:sz w:val="24"/>
        </w:rPr>
        <w:t> </w:t>
      </w:r>
      <w:r>
        <w:rPr>
          <w:sz w:val="24"/>
        </w:rPr>
        <w:t>use</w:t>
      </w:r>
      <w:r>
        <w:rPr>
          <w:spacing w:val="40"/>
          <w:sz w:val="24"/>
        </w:rPr>
        <w:t> </w:t>
      </w:r>
      <w:r>
        <w:rPr>
          <w:sz w:val="24"/>
        </w:rPr>
        <w:t>of</w:t>
      </w:r>
      <w:r>
        <w:rPr>
          <w:spacing w:val="40"/>
          <w:sz w:val="24"/>
        </w:rPr>
        <w:t> </w:t>
      </w:r>
      <w:r>
        <w:rPr>
          <w:sz w:val="24"/>
        </w:rPr>
        <w:t>information</w:t>
      </w:r>
      <w:r>
        <w:rPr>
          <w:spacing w:val="80"/>
          <w:sz w:val="24"/>
        </w:rPr>
        <w:t> </w:t>
      </w:r>
      <w:r>
        <w:rPr>
          <w:spacing w:val="-2"/>
          <w:sz w:val="24"/>
        </w:rPr>
        <w:t>technology.</w:t>
      </w:r>
    </w:p>
    <w:p>
      <w:pPr>
        <w:pStyle w:val="ListParagraph"/>
        <w:numPr>
          <w:ilvl w:val="4"/>
          <w:numId w:val="45"/>
        </w:numPr>
        <w:tabs>
          <w:tab w:pos="1177" w:val="left" w:leader="none"/>
          <w:tab w:pos="1180" w:val="left" w:leader="none"/>
        </w:tabs>
        <w:spacing w:line="480" w:lineRule="auto" w:before="0" w:after="0"/>
        <w:ind w:left="1180" w:right="121" w:hanging="360"/>
        <w:jc w:val="left"/>
        <w:rPr>
          <w:sz w:val="24"/>
        </w:rPr>
      </w:pPr>
      <w:r>
        <w:rPr>
          <w:sz w:val="24"/>
        </w:rPr>
        <w:t>Most</w:t>
      </w:r>
      <w:r>
        <w:rPr>
          <w:spacing w:val="80"/>
          <w:sz w:val="24"/>
        </w:rPr>
        <w:t> </w:t>
      </w:r>
      <w:r>
        <w:rPr>
          <w:sz w:val="24"/>
        </w:rPr>
        <w:t>of</w:t>
      </w:r>
      <w:r>
        <w:rPr>
          <w:spacing w:val="80"/>
          <w:sz w:val="24"/>
        </w:rPr>
        <w:t> </w:t>
      </w:r>
      <w:r>
        <w:rPr>
          <w:sz w:val="24"/>
        </w:rPr>
        <w:t>the</w:t>
      </w:r>
      <w:r>
        <w:rPr>
          <w:spacing w:val="80"/>
          <w:sz w:val="24"/>
        </w:rPr>
        <w:t> </w:t>
      </w:r>
      <w:r>
        <w:rPr>
          <w:sz w:val="24"/>
        </w:rPr>
        <w:t>information</w:t>
      </w:r>
      <w:r>
        <w:rPr>
          <w:spacing w:val="80"/>
          <w:sz w:val="24"/>
        </w:rPr>
        <w:t> </w:t>
      </w:r>
      <w:r>
        <w:rPr>
          <w:sz w:val="24"/>
        </w:rPr>
        <w:t>technology</w:t>
      </w:r>
      <w:r>
        <w:rPr>
          <w:spacing w:val="80"/>
          <w:sz w:val="24"/>
        </w:rPr>
        <w:t> </w:t>
      </w:r>
      <w:r>
        <w:rPr>
          <w:sz w:val="24"/>
        </w:rPr>
        <w:t>services</w:t>
      </w:r>
      <w:r>
        <w:rPr>
          <w:spacing w:val="80"/>
          <w:sz w:val="24"/>
        </w:rPr>
        <w:t> </w:t>
      </w:r>
      <w:r>
        <w:rPr>
          <w:sz w:val="24"/>
        </w:rPr>
        <w:t>were</w:t>
      </w:r>
      <w:r>
        <w:rPr>
          <w:spacing w:val="80"/>
          <w:sz w:val="24"/>
        </w:rPr>
        <w:t> </w:t>
      </w:r>
      <w:r>
        <w:rPr>
          <w:sz w:val="24"/>
        </w:rPr>
        <w:t>provided</w:t>
      </w:r>
      <w:r>
        <w:rPr>
          <w:spacing w:val="80"/>
          <w:sz w:val="24"/>
        </w:rPr>
        <w:t> </w:t>
      </w:r>
      <w:r>
        <w:rPr>
          <w:sz w:val="24"/>
        </w:rPr>
        <w:t>by</w:t>
      </w:r>
      <w:r>
        <w:rPr>
          <w:spacing w:val="80"/>
          <w:sz w:val="24"/>
        </w:rPr>
        <w:t> </w:t>
      </w:r>
      <w:r>
        <w:rPr>
          <w:sz w:val="24"/>
        </w:rPr>
        <w:t>private</w:t>
      </w:r>
      <w:r>
        <w:rPr>
          <w:spacing w:val="40"/>
          <w:sz w:val="24"/>
        </w:rPr>
        <w:t> </w:t>
      </w:r>
      <w:r>
        <w:rPr>
          <w:sz w:val="24"/>
        </w:rPr>
        <w:t>individuals whose charges were very expensive and exploitative.</w:t>
      </w:r>
    </w:p>
    <w:p>
      <w:pPr>
        <w:pStyle w:val="ListParagraph"/>
        <w:numPr>
          <w:ilvl w:val="4"/>
          <w:numId w:val="45"/>
        </w:numPr>
        <w:tabs>
          <w:tab w:pos="1178" w:val="left" w:leader="none"/>
          <w:tab w:pos="1180" w:val="left" w:leader="none"/>
        </w:tabs>
        <w:spacing w:line="480" w:lineRule="auto" w:before="0" w:after="0"/>
        <w:ind w:left="1180" w:right="117" w:hanging="360"/>
        <w:jc w:val="left"/>
        <w:rPr>
          <w:sz w:val="24"/>
        </w:rPr>
      </w:pPr>
      <w:r>
        <w:rPr>
          <w:sz w:val="24"/>
        </w:rPr>
        <w:t>Books and publication services were viewed by students and service staff as inadequate on the campuses for students’ use.</w:t>
      </w:r>
    </w:p>
    <w:p>
      <w:pPr>
        <w:pStyle w:val="Heading2"/>
        <w:numPr>
          <w:ilvl w:val="3"/>
          <w:numId w:val="45"/>
        </w:numPr>
        <w:tabs>
          <w:tab w:pos="1176" w:val="left" w:leader="none"/>
          <w:tab w:pos="1180" w:val="left" w:leader="none"/>
        </w:tabs>
        <w:spacing w:line="240" w:lineRule="auto" w:before="0" w:after="0"/>
        <w:ind w:left="1180" w:right="121" w:hanging="1080"/>
        <w:jc w:val="left"/>
        <w:rPr>
          <w:rFonts w:ascii="Arial MT"/>
          <w:b w:val="0"/>
        </w:rPr>
      </w:pPr>
      <w:r>
        <w:rPr/>
        <w:t>Opinions</w:t>
      </w:r>
      <w:r>
        <w:rPr>
          <w:spacing w:val="40"/>
        </w:rPr>
        <w:t> </w:t>
      </w:r>
      <w:r>
        <w:rPr/>
        <w:t>of</w:t>
      </w:r>
      <w:r>
        <w:rPr>
          <w:spacing w:val="40"/>
        </w:rPr>
        <w:t> </w:t>
      </w:r>
      <w:r>
        <w:rPr/>
        <w:t>Respondents</w:t>
      </w:r>
      <w:r>
        <w:rPr>
          <w:spacing w:val="40"/>
        </w:rPr>
        <w:t> </w:t>
      </w:r>
      <w:r>
        <w:rPr/>
        <w:t>on</w:t>
      </w:r>
      <w:r>
        <w:rPr>
          <w:spacing w:val="40"/>
        </w:rPr>
        <w:t> </w:t>
      </w:r>
      <w:r>
        <w:rPr/>
        <w:t>the</w:t>
      </w:r>
      <w:r>
        <w:rPr>
          <w:spacing w:val="40"/>
        </w:rPr>
        <w:t> </w:t>
      </w:r>
      <w:r>
        <w:rPr/>
        <w:t>impact</w:t>
      </w:r>
      <w:r>
        <w:rPr>
          <w:spacing w:val="40"/>
        </w:rPr>
        <w:t> </w:t>
      </w:r>
      <w:r>
        <w:rPr/>
        <w:t>of</w:t>
      </w:r>
      <w:r>
        <w:rPr>
          <w:spacing w:val="40"/>
        </w:rPr>
        <w:t> </w:t>
      </w:r>
      <w:r>
        <w:rPr/>
        <w:t>Medical/Health</w:t>
      </w:r>
      <w:r>
        <w:rPr>
          <w:spacing w:val="80"/>
        </w:rPr>
        <w:t> </w:t>
      </w:r>
      <w:r>
        <w:rPr>
          <w:spacing w:val="-2"/>
        </w:rPr>
        <w:t>Services</w:t>
      </w:r>
    </w:p>
    <w:p>
      <w:pPr>
        <w:pStyle w:val="ListParagraph"/>
        <w:numPr>
          <w:ilvl w:val="4"/>
          <w:numId w:val="45"/>
        </w:numPr>
        <w:tabs>
          <w:tab w:pos="1540" w:val="left" w:leader="none"/>
        </w:tabs>
        <w:spacing w:line="480" w:lineRule="auto" w:before="321" w:after="0"/>
        <w:ind w:left="1540" w:right="114" w:hanging="360"/>
        <w:jc w:val="both"/>
        <w:rPr>
          <w:sz w:val="24"/>
        </w:rPr>
      </w:pPr>
      <w:r>
        <w:rPr>
          <w:sz w:val="24"/>
        </w:rPr>
        <w:t>Medical and health care delivery in form of medical aids drugs, medical examinations ante natal clinics, family planning, consultation had been fairly adequate in some universities</w:t>
      </w:r>
      <w:r>
        <w:rPr>
          <w:spacing w:val="40"/>
          <w:sz w:val="24"/>
        </w:rPr>
        <w:t> </w:t>
      </w:r>
      <w:r>
        <w:rPr>
          <w:sz w:val="24"/>
        </w:rPr>
        <w:t>but not free in the universities.</w:t>
      </w:r>
    </w:p>
    <w:p>
      <w:pPr>
        <w:pStyle w:val="ListParagraph"/>
        <w:numPr>
          <w:ilvl w:val="4"/>
          <w:numId w:val="45"/>
        </w:numPr>
        <w:tabs>
          <w:tab w:pos="1538" w:val="left" w:leader="none"/>
          <w:tab w:pos="1540" w:val="left" w:leader="none"/>
        </w:tabs>
        <w:spacing w:line="480" w:lineRule="auto" w:before="1" w:after="0"/>
        <w:ind w:left="1540" w:right="119" w:hanging="360"/>
        <w:jc w:val="both"/>
        <w:rPr>
          <w:sz w:val="24"/>
        </w:rPr>
      </w:pPr>
      <w:r>
        <w:rPr>
          <w:sz w:val="24"/>
        </w:rPr>
        <w:t>Medical centers in the universities have been faced with numerous problems of prompt medical attention, adequate drugs and manpower.</w:t>
      </w:r>
    </w:p>
    <w:p>
      <w:pPr>
        <w:pStyle w:val="ListParagraph"/>
        <w:numPr>
          <w:ilvl w:val="4"/>
          <w:numId w:val="45"/>
        </w:numPr>
        <w:tabs>
          <w:tab w:pos="1537" w:val="left" w:leader="none"/>
          <w:tab w:pos="1540" w:val="left" w:leader="none"/>
        </w:tabs>
        <w:spacing w:line="480" w:lineRule="auto" w:before="0" w:after="0"/>
        <w:ind w:left="1540" w:right="115" w:hanging="360"/>
        <w:jc w:val="both"/>
        <w:rPr>
          <w:sz w:val="24"/>
        </w:rPr>
      </w:pPr>
      <w:r>
        <w:rPr>
          <w:sz w:val="24"/>
        </w:rPr>
        <w:t>The three categories of respondents disagreed with the view that there was no need to expand and upgrade medical facilities and manpower as arrangements were made with teaching or general specialist hospitals for better treatment.</w:t>
      </w:r>
    </w:p>
    <w:p>
      <w:pPr>
        <w:pStyle w:val="ListParagraph"/>
        <w:numPr>
          <w:ilvl w:val="4"/>
          <w:numId w:val="45"/>
        </w:numPr>
        <w:tabs>
          <w:tab w:pos="1538" w:val="left" w:leader="none"/>
          <w:tab w:pos="1540" w:val="left" w:leader="none"/>
        </w:tabs>
        <w:spacing w:line="480" w:lineRule="auto" w:before="0" w:after="0"/>
        <w:ind w:left="1540" w:right="122" w:hanging="360"/>
        <w:jc w:val="both"/>
        <w:rPr>
          <w:sz w:val="24"/>
        </w:rPr>
      </w:pPr>
      <w:r>
        <w:rPr>
          <w:sz w:val="24"/>
        </w:rPr>
        <w:t>The medical services given to students by medical centres on campuses were grossly inadequate and poor.</w:t>
      </w:r>
    </w:p>
    <w:p>
      <w:pPr>
        <w:spacing w:after="0" w:line="480" w:lineRule="auto"/>
        <w:jc w:val="both"/>
        <w:rPr>
          <w:sz w:val="24"/>
        </w:rPr>
        <w:sectPr>
          <w:headerReference w:type="default" r:id="rId551"/>
          <w:footerReference w:type="default" r:id="rId552"/>
          <w:pgSz w:w="12240" w:h="15840"/>
          <w:pgMar w:header="722" w:footer="791" w:top="1340" w:bottom="980" w:left="1340" w:right="1320"/>
        </w:sectPr>
      </w:pPr>
    </w:p>
    <w:p>
      <w:pPr>
        <w:pStyle w:val="Heading2"/>
        <w:numPr>
          <w:ilvl w:val="3"/>
          <w:numId w:val="45"/>
        </w:numPr>
        <w:tabs>
          <w:tab w:pos="1176" w:val="left" w:leader="none"/>
          <w:tab w:pos="1180" w:val="left" w:leader="none"/>
        </w:tabs>
        <w:spacing w:line="240" w:lineRule="auto" w:before="85" w:after="0"/>
        <w:ind w:left="1180" w:right="124" w:hanging="1080"/>
        <w:jc w:val="left"/>
        <w:rPr>
          <w:rFonts w:ascii="Arial MT"/>
          <w:b w:val="0"/>
        </w:rPr>
      </w:pPr>
      <w:r>
        <w:rPr/>
        <w:t>Opinion</w:t>
      </w:r>
      <w:r>
        <w:rPr>
          <w:spacing w:val="80"/>
        </w:rPr>
        <w:t> </w:t>
      </w:r>
      <w:r>
        <w:rPr/>
        <w:t>of</w:t>
      </w:r>
      <w:r>
        <w:rPr>
          <w:spacing w:val="80"/>
        </w:rPr>
        <w:t> </w:t>
      </w:r>
      <w:r>
        <w:rPr/>
        <w:t>Respondents</w:t>
      </w:r>
      <w:r>
        <w:rPr>
          <w:spacing w:val="80"/>
        </w:rPr>
        <w:t> </w:t>
      </w:r>
      <w:r>
        <w:rPr/>
        <w:t>on</w:t>
      </w:r>
      <w:r>
        <w:rPr>
          <w:spacing w:val="80"/>
        </w:rPr>
        <w:t> </w:t>
      </w:r>
      <w:r>
        <w:rPr/>
        <w:t>the</w:t>
      </w:r>
      <w:r>
        <w:rPr>
          <w:spacing w:val="80"/>
        </w:rPr>
        <w:t> </w:t>
      </w:r>
      <w:r>
        <w:rPr/>
        <w:t>impact</w:t>
      </w:r>
      <w:r>
        <w:rPr>
          <w:spacing w:val="80"/>
        </w:rPr>
        <w:t> </w:t>
      </w:r>
      <w:r>
        <w:rPr/>
        <w:t>of</w:t>
      </w:r>
      <w:r>
        <w:rPr>
          <w:spacing w:val="80"/>
        </w:rPr>
        <w:t> </w:t>
      </w:r>
      <w:r>
        <w:rPr/>
        <w:t>Environmental </w:t>
      </w:r>
      <w:r>
        <w:rPr>
          <w:spacing w:val="-2"/>
        </w:rPr>
        <w:t>Services</w:t>
      </w:r>
    </w:p>
    <w:p>
      <w:pPr>
        <w:pStyle w:val="BodyText"/>
        <w:spacing w:before="3"/>
        <w:rPr>
          <w:rFonts w:ascii="Arial"/>
          <w:b/>
          <w:sz w:val="28"/>
        </w:rPr>
      </w:pPr>
    </w:p>
    <w:p>
      <w:pPr>
        <w:pStyle w:val="ListParagraph"/>
        <w:numPr>
          <w:ilvl w:val="4"/>
          <w:numId w:val="45"/>
        </w:numPr>
        <w:tabs>
          <w:tab w:pos="1540" w:val="left" w:leader="none"/>
        </w:tabs>
        <w:spacing w:line="480" w:lineRule="auto" w:before="0" w:after="0"/>
        <w:ind w:left="1540" w:right="114" w:hanging="360"/>
        <w:jc w:val="both"/>
        <w:rPr>
          <w:sz w:val="28"/>
        </w:rPr>
      </w:pPr>
      <w:r>
        <w:rPr>
          <w:sz w:val="24"/>
        </w:rPr>
        <w:t>Good and neat environmental with adequate sanitation services, street lights, parks, gardens paths, walk ways and flower sheds existed to stimulate students’ standard of living, confidence and promotion of academic performance in the universities.</w:t>
      </w:r>
    </w:p>
    <w:p>
      <w:pPr>
        <w:pStyle w:val="ListParagraph"/>
        <w:numPr>
          <w:ilvl w:val="4"/>
          <w:numId w:val="45"/>
        </w:numPr>
        <w:tabs>
          <w:tab w:pos="1538" w:val="left" w:leader="none"/>
          <w:tab w:pos="1540" w:val="left" w:leader="none"/>
        </w:tabs>
        <w:spacing w:line="480" w:lineRule="auto" w:before="0" w:after="0"/>
        <w:ind w:left="1540" w:right="115" w:hanging="360"/>
        <w:jc w:val="both"/>
        <w:rPr>
          <w:sz w:val="24"/>
        </w:rPr>
      </w:pPr>
      <w:r>
        <w:rPr>
          <w:sz w:val="24"/>
        </w:rPr>
        <w:t>Mutual understanding and relationship between adviser advisee instilled confidence in students for better academic performance.</w:t>
      </w:r>
    </w:p>
    <w:p>
      <w:pPr>
        <w:pStyle w:val="ListParagraph"/>
        <w:numPr>
          <w:ilvl w:val="4"/>
          <w:numId w:val="45"/>
        </w:numPr>
        <w:tabs>
          <w:tab w:pos="1537" w:val="left" w:leader="none"/>
          <w:tab w:pos="1540" w:val="left" w:leader="none"/>
        </w:tabs>
        <w:spacing w:line="480" w:lineRule="auto" w:before="0" w:after="0"/>
        <w:ind w:left="1540" w:right="116" w:hanging="360"/>
        <w:jc w:val="both"/>
        <w:rPr>
          <w:sz w:val="24"/>
        </w:rPr>
      </w:pPr>
      <w:r>
        <w:rPr>
          <w:sz w:val="24"/>
        </w:rPr>
        <w:t>Conflicts, strikes and crisis prone campus killed staff and students morale resulting into unfriendly atmosphere for teaching and learning.</w:t>
      </w:r>
    </w:p>
    <w:p>
      <w:pPr>
        <w:pStyle w:val="ListParagraph"/>
        <w:numPr>
          <w:ilvl w:val="4"/>
          <w:numId w:val="45"/>
        </w:numPr>
        <w:tabs>
          <w:tab w:pos="1538" w:val="left" w:leader="none"/>
          <w:tab w:pos="1540" w:val="left" w:leader="none"/>
        </w:tabs>
        <w:spacing w:line="480" w:lineRule="auto" w:before="0" w:after="0"/>
        <w:ind w:left="1540" w:right="117" w:hanging="360"/>
        <w:jc w:val="both"/>
        <w:rPr>
          <w:sz w:val="24"/>
        </w:rPr>
      </w:pPr>
      <w:r>
        <w:rPr>
          <w:sz w:val="24"/>
        </w:rPr>
        <w:t>Responds supported that effective teaching and learning were achieved</w:t>
      </w:r>
      <w:r>
        <w:rPr>
          <w:spacing w:val="-3"/>
          <w:sz w:val="24"/>
        </w:rPr>
        <w:t> </w:t>
      </w:r>
      <w:r>
        <w:rPr>
          <w:sz w:val="24"/>
        </w:rPr>
        <w:t>in a noise free, crime–free, spacious, well organized and beautiful </w:t>
      </w:r>
      <w:r>
        <w:rPr>
          <w:spacing w:val="-2"/>
          <w:sz w:val="24"/>
        </w:rPr>
        <w:t>environment.</w:t>
      </w:r>
    </w:p>
    <w:p>
      <w:pPr>
        <w:pStyle w:val="Heading2"/>
        <w:tabs>
          <w:tab w:pos="1539" w:val="left" w:leader="none"/>
        </w:tabs>
        <w:ind w:left="1540" w:right="122" w:hanging="1440"/>
      </w:pPr>
      <w:r>
        <w:rPr>
          <w:rFonts w:ascii="Arial MT"/>
          <w:b w:val="0"/>
          <w:spacing w:val="-2"/>
        </w:rPr>
        <w:t>5.1.5.14</w:t>
      </w:r>
      <w:r>
        <w:rPr>
          <w:rFonts w:ascii="Arial MT"/>
          <w:b w:val="0"/>
        </w:rPr>
        <w:tab/>
      </w:r>
      <w:r>
        <w:rPr/>
        <w:t>Opinions of Respondents on Perceived Strategies for Effective</w:t>
      </w:r>
      <w:r>
        <w:rPr>
          <w:spacing w:val="80"/>
        </w:rPr>
        <w:t> </w:t>
      </w:r>
      <w:r>
        <w:rPr/>
        <w:t>Management</w:t>
      </w:r>
      <w:r>
        <w:rPr>
          <w:spacing w:val="80"/>
        </w:rPr>
        <w:t> </w:t>
      </w:r>
      <w:r>
        <w:rPr/>
        <w:t>of</w:t>
      </w:r>
      <w:r>
        <w:rPr>
          <w:spacing w:val="80"/>
        </w:rPr>
        <w:t> </w:t>
      </w:r>
      <w:r>
        <w:rPr/>
        <w:t>Students</w:t>
      </w:r>
      <w:r>
        <w:rPr>
          <w:spacing w:val="80"/>
        </w:rPr>
        <w:t> </w:t>
      </w:r>
      <w:r>
        <w:rPr/>
        <w:t>Welfare</w:t>
      </w:r>
      <w:r>
        <w:rPr>
          <w:spacing w:val="80"/>
        </w:rPr>
        <w:t> </w:t>
      </w:r>
      <w:r>
        <w:rPr/>
        <w:t>Services</w:t>
      </w:r>
      <w:r>
        <w:rPr>
          <w:spacing w:val="80"/>
        </w:rPr>
        <w:t> </w:t>
      </w:r>
      <w:r>
        <w:rPr/>
        <w:t>in the Universities in the three geopolitical zones in Northern part of Nigeria</w:t>
      </w:r>
    </w:p>
    <w:p>
      <w:pPr>
        <w:pStyle w:val="ListParagraph"/>
        <w:numPr>
          <w:ilvl w:val="0"/>
          <w:numId w:val="50"/>
        </w:numPr>
        <w:tabs>
          <w:tab w:pos="1538" w:val="left" w:leader="none"/>
          <w:tab w:pos="1540" w:val="left" w:leader="none"/>
        </w:tabs>
        <w:spacing w:line="480" w:lineRule="auto" w:before="276" w:after="0"/>
        <w:ind w:left="1540" w:right="117" w:hanging="720"/>
        <w:jc w:val="both"/>
        <w:rPr>
          <w:sz w:val="24"/>
        </w:rPr>
      </w:pPr>
      <w:r>
        <w:rPr>
          <w:sz w:val="24"/>
        </w:rPr>
        <w:t>Respondents</w:t>
      </w:r>
      <w:r>
        <w:rPr>
          <w:spacing w:val="-2"/>
          <w:sz w:val="24"/>
        </w:rPr>
        <w:t> </w:t>
      </w:r>
      <w:r>
        <w:rPr>
          <w:sz w:val="24"/>
        </w:rPr>
        <w:t>shared</w:t>
      </w:r>
      <w:r>
        <w:rPr>
          <w:spacing w:val="-1"/>
          <w:sz w:val="24"/>
        </w:rPr>
        <w:t> </w:t>
      </w:r>
      <w:r>
        <w:rPr>
          <w:sz w:val="24"/>
        </w:rPr>
        <w:t>the</w:t>
      </w:r>
      <w:r>
        <w:rPr>
          <w:spacing w:val="-1"/>
          <w:sz w:val="24"/>
        </w:rPr>
        <w:t> </w:t>
      </w:r>
      <w:r>
        <w:rPr>
          <w:sz w:val="24"/>
        </w:rPr>
        <w:t>view</w:t>
      </w:r>
      <w:r>
        <w:rPr>
          <w:spacing w:val="-7"/>
          <w:sz w:val="24"/>
        </w:rPr>
        <w:t> </w:t>
      </w:r>
      <w:r>
        <w:rPr>
          <w:sz w:val="24"/>
        </w:rPr>
        <w:t>that</w:t>
      </w:r>
      <w:r>
        <w:rPr>
          <w:spacing w:val="-2"/>
          <w:sz w:val="24"/>
        </w:rPr>
        <w:t> </w:t>
      </w:r>
      <w:r>
        <w:rPr>
          <w:sz w:val="24"/>
        </w:rPr>
        <w:t>under funding</w:t>
      </w:r>
      <w:r>
        <w:rPr>
          <w:spacing w:val="-1"/>
          <w:sz w:val="24"/>
        </w:rPr>
        <w:t> </w:t>
      </w:r>
      <w:r>
        <w:rPr>
          <w:sz w:val="24"/>
        </w:rPr>
        <w:t>of</w:t>
      </w:r>
      <w:r>
        <w:rPr>
          <w:spacing w:val="-2"/>
          <w:sz w:val="24"/>
        </w:rPr>
        <w:t> </w:t>
      </w:r>
      <w:r>
        <w:rPr>
          <w:sz w:val="24"/>
        </w:rPr>
        <w:t>universities</w:t>
      </w:r>
      <w:r>
        <w:rPr>
          <w:spacing w:val="-2"/>
          <w:sz w:val="24"/>
        </w:rPr>
        <w:t> </w:t>
      </w:r>
      <w:r>
        <w:rPr>
          <w:sz w:val="24"/>
        </w:rPr>
        <w:t>by</w:t>
      </w:r>
      <w:r>
        <w:rPr>
          <w:spacing w:val="-2"/>
          <w:sz w:val="24"/>
        </w:rPr>
        <w:t> </w:t>
      </w:r>
      <w:r>
        <w:rPr>
          <w:sz w:val="24"/>
        </w:rPr>
        <w:t>Federal and State Government contributed tremendously to the inability of the universities to manage and meet all the welfare needs of the teeming population of students.</w:t>
      </w:r>
    </w:p>
    <w:p>
      <w:pPr>
        <w:pStyle w:val="ListParagraph"/>
        <w:numPr>
          <w:ilvl w:val="0"/>
          <w:numId w:val="50"/>
        </w:numPr>
        <w:tabs>
          <w:tab w:pos="1538" w:val="left" w:leader="none"/>
          <w:tab w:pos="1540" w:val="left" w:leader="none"/>
        </w:tabs>
        <w:spacing w:line="480" w:lineRule="auto" w:before="0" w:after="0"/>
        <w:ind w:left="1540" w:right="114" w:hanging="720"/>
        <w:jc w:val="both"/>
        <w:rPr>
          <w:sz w:val="24"/>
        </w:rPr>
      </w:pPr>
      <w:r>
        <w:rPr>
          <w:sz w:val="24"/>
        </w:rPr>
        <w:t>Respondents agreed that Students Affairs Division, Accommodation Allocation Committee, Students Welfare Service, Management Board, Sports Committee etcetera played very important role in yielding positive results in students’ welfare.</w:t>
      </w:r>
    </w:p>
    <w:p>
      <w:pPr>
        <w:spacing w:after="0" w:line="480" w:lineRule="auto"/>
        <w:jc w:val="both"/>
        <w:rPr>
          <w:sz w:val="24"/>
        </w:rPr>
        <w:sectPr>
          <w:headerReference w:type="default" r:id="rId553"/>
          <w:footerReference w:type="default" r:id="rId554"/>
          <w:pgSz w:w="12240" w:h="15840"/>
          <w:pgMar w:header="722" w:footer="791" w:top="1340" w:bottom="980" w:left="1340" w:right="1320"/>
        </w:sectPr>
      </w:pPr>
    </w:p>
    <w:p>
      <w:pPr>
        <w:pStyle w:val="ListParagraph"/>
        <w:numPr>
          <w:ilvl w:val="0"/>
          <w:numId w:val="50"/>
        </w:numPr>
        <w:tabs>
          <w:tab w:pos="1537" w:val="left" w:leader="none"/>
          <w:tab w:pos="1540" w:val="left" w:leader="none"/>
        </w:tabs>
        <w:spacing w:line="480" w:lineRule="auto" w:before="89" w:after="0"/>
        <w:ind w:left="1540" w:right="117" w:hanging="720"/>
        <w:jc w:val="both"/>
        <w:rPr>
          <w:sz w:val="24"/>
        </w:rPr>
      </w:pPr>
      <w:r>
        <w:rPr>
          <w:sz w:val="24"/>
        </w:rPr>
        <w:t>Good</w:t>
      </w:r>
      <w:r>
        <w:rPr>
          <w:spacing w:val="-2"/>
          <w:sz w:val="24"/>
        </w:rPr>
        <w:t> </w:t>
      </w:r>
      <w:r>
        <w:rPr>
          <w:sz w:val="24"/>
        </w:rPr>
        <w:t>policies,</w:t>
      </w:r>
      <w:r>
        <w:rPr>
          <w:spacing w:val="-7"/>
          <w:sz w:val="24"/>
        </w:rPr>
        <w:t> </w:t>
      </w:r>
      <w:r>
        <w:rPr>
          <w:sz w:val="24"/>
        </w:rPr>
        <w:t>laws,</w:t>
      </w:r>
      <w:r>
        <w:rPr>
          <w:spacing w:val="-3"/>
          <w:sz w:val="24"/>
        </w:rPr>
        <w:t> </w:t>
      </w:r>
      <w:r>
        <w:rPr>
          <w:sz w:val="24"/>
        </w:rPr>
        <w:t>statutes,</w:t>
      </w:r>
      <w:r>
        <w:rPr>
          <w:spacing w:val="-3"/>
          <w:sz w:val="24"/>
        </w:rPr>
        <w:t> </w:t>
      </w:r>
      <w:r>
        <w:rPr>
          <w:sz w:val="24"/>
        </w:rPr>
        <w:t>rules</w:t>
      </w:r>
      <w:r>
        <w:rPr>
          <w:spacing w:val="-8"/>
          <w:sz w:val="24"/>
        </w:rPr>
        <w:t> </w:t>
      </w:r>
      <w:r>
        <w:rPr>
          <w:sz w:val="24"/>
        </w:rPr>
        <w:t>and</w:t>
      </w:r>
      <w:r>
        <w:rPr>
          <w:spacing w:val="-2"/>
          <w:sz w:val="24"/>
        </w:rPr>
        <w:t> </w:t>
      </w:r>
      <w:r>
        <w:rPr>
          <w:sz w:val="24"/>
        </w:rPr>
        <w:t>regulations</w:t>
      </w:r>
      <w:r>
        <w:rPr>
          <w:spacing w:val="-3"/>
          <w:sz w:val="24"/>
        </w:rPr>
        <w:t> </w:t>
      </w:r>
      <w:r>
        <w:rPr>
          <w:sz w:val="24"/>
        </w:rPr>
        <w:t>facilitated</w:t>
      </w:r>
      <w:r>
        <w:rPr>
          <w:spacing w:val="-2"/>
          <w:sz w:val="24"/>
        </w:rPr>
        <w:t> </w:t>
      </w:r>
      <w:r>
        <w:rPr>
          <w:sz w:val="24"/>
        </w:rPr>
        <w:t>effective</w:t>
      </w:r>
      <w:r>
        <w:rPr>
          <w:spacing w:val="-2"/>
          <w:sz w:val="24"/>
        </w:rPr>
        <w:t> </w:t>
      </w:r>
      <w:r>
        <w:rPr>
          <w:sz w:val="24"/>
        </w:rPr>
        <w:t>and efficient management of students’ welfare services in the universities.</w:t>
      </w:r>
    </w:p>
    <w:p>
      <w:pPr>
        <w:pStyle w:val="ListParagraph"/>
        <w:numPr>
          <w:ilvl w:val="0"/>
          <w:numId w:val="50"/>
        </w:numPr>
        <w:tabs>
          <w:tab w:pos="1540" w:val="left" w:leader="none"/>
        </w:tabs>
        <w:spacing w:line="480" w:lineRule="auto" w:before="0" w:after="0"/>
        <w:ind w:left="1540" w:right="118" w:hanging="720"/>
        <w:jc w:val="both"/>
        <w:rPr>
          <w:sz w:val="24"/>
        </w:rPr>
      </w:pPr>
      <w:r>
        <w:rPr>
          <w:sz w:val="24"/>
        </w:rPr>
        <w:t>Central Accommodation Allocation Committee in the universities had not eased the problems of bed space allocation to students in the hostels.</w:t>
      </w:r>
    </w:p>
    <w:p>
      <w:pPr>
        <w:pStyle w:val="ListParagraph"/>
        <w:numPr>
          <w:ilvl w:val="0"/>
          <w:numId w:val="50"/>
        </w:numPr>
        <w:tabs>
          <w:tab w:pos="1540" w:val="left" w:leader="none"/>
        </w:tabs>
        <w:spacing w:line="480" w:lineRule="auto" w:before="0" w:after="0"/>
        <w:ind w:left="1540" w:right="114" w:hanging="720"/>
        <w:jc w:val="both"/>
        <w:rPr>
          <w:sz w:val="24"/>
        </w:rPr>
      </w:pPr>
      <w:r>
        <w:rPr>
          <w:sz w:val="24"/>
        </w:rPr>
        <w:t>Security network and communication including the services of Market Management Committee were agreed</w:t>
      </w:r>
      <w:r>
        <w:rPr>
          <w:spacing w:val="-3"/>
          <w:sz w:val="24"/>
        </w:rPr>
        <w:t> </w:t>
      </w:r>
      <w:r>
        <w:rPr>
          <w:sz w:val="24"/>
        </w:rPr>
        <w:t>by respondents</w:t>
      </w:r>
      <w:r>
        <w:rPr>
          <w:spacing w:val="-4"/>
          <w:sz w:val="24"/>
        </w:rPr>
        <w:t> </w:t>
      </w:r>
      <w:r>
        <w:rPr>
          <w:sz w:val="24"/>
        </w:rPr>
        <w:t>as good devices</w:t>
      </w:r>
      <w:r>
        <w:rPr>
          <w:spacing w:val="-4"/>
          <w:sz w:val="24"/>
        </w:rPr>
        <w:t> </w:t>
      </w:r>
      <w:r>
        <w:rPr>
          <w:sz w:val="24"/>
        </w:rPr>
        <w:t>for enhancing students’ welfare management.</w:t>
      </w:r>
    </w:p>
    <w:p>
      <w:pPr>
        <w:pStyle w:val="ListParagraph"/>
        <w:numPr>
          <w:ilvl w:val="0"/>
          <w:numId w:val="50"/>
        </w:numPr>
        <w:tabs>
          <w:tab w:pos="1538" w:val="left" w:leader="none"/>
          <w:tab w:pos="1540" w:val="left" w:leader="none"/>
        </w:tabs>
        <w:spacing w:line="480" w:lineRule="auto" w:before="0" w:after="0"/>
        <w:ind w:left="1540" w:right="115" w:hanging="720"/>
        <w:jc w:val="both"/>
        <w:rPr>
          <w:sz w:val="24"/>
        </w:rPr>
      </w:pPr>
      <w:r>
        <w:rPr>
          <w:sz w:val="24"/>
        </w:rPr>
        <w:t>Efficient provision and supervision of social services including Students’ Union matters, religious matters, water and electricity and other basic and sensitive issues that affect students’ welfare were evidence of the commitment of university administration to students’ welfare.</w:t>
      </w:r>
    </w:p>
    <w:p>
      <w:pPr>
        <w:pStyle w:val="ListParagraph"/>
        <w:numPr>
          <w:ilvl w:val="0"/>
          <w:numId w:val="50"/>
        </w:numPr>
        <w:tabs>
          <w:tab w:pos="1537" w:val="left" w:leader="none"/>
          <w:tab w:pos="1540" w:val="left" w:leader="none"/>
        </w:tabs>
        <w:spacing w:line="480" w:lineRule="auto" w:before="0" w:after="0"/>
        <w:ind w:left="1540" w:right="113" w:hanging="720"/>
        <w:jc w:val="both"/>
        <w:rPr>
          <w:sz w:val="24"/>
        </w:rPr>
      </w:pPr>
      <w:r>
        <w:rPr>
          <w:sz w:val="24"/>
        </w:rPr>
        <w:t>The recruitment of casual laborers to clean the surroundings, public toilets and maintenance of flowers and landscaping by some universities had enhanced conducive teaching and learning environment.</w:t>
      </w:r>
    </w:p>
    <w:p>
      <w:pPr>
        <w:pStyle w:val="Heading2"/>
        <w:numPr>
          <w:ilvl w:val="1"/>
          <w:numId w:val="45"/>
        </w:numPr>
        <w:tabs>
          <w:tab w:pos="819" w:val="left" w:leader="none"/>
        </w:tabs>
        <w:spacing w:line="318" w:lineRule="exact" w:before="0" w:after="0"/>
        <w:ind w:left="819" w:right="0" w:hanging="719"/>
        <w:jc w:val="left"/>
        <w:rPr>
          <w:rFonts w:ascii="Arial MT"/>
          <w:b w:val="0"/>
        </w:rPr>
      </w:pPr>
      <w:r>
        <w:rPr>
          <w:spacing w:val="-2"/>
        </w:rPr>
        <w:t>Conclusions</w:t>
      </w:r>
    </w:p>
    <w:p>
      <w:pPr>
        <w:pStyle w:val="BodyText"/>
        <w:spacing w:before="3"/>
        <w:rPr>
          <w:rFonts w:ascii="Arial"/>
          <w:b/>
          <w:sz w:val="28"/>
        </w:rPr>
      </w:pPr>
    </w:p>
    <w:p>
      <w:pPr>
        <w:pStyle w:val="BodyText"/>
        <w:spacing w:line="480" w:lineRule="auto"/>
        <w:ind w:left="820" w:right="116" w:firstLine="720"/>
        <w:jc w:val="both"/>
      </w:pPr>
      <w:r>
        <w:rPr/>
        <w:t>From the analysis and the result of the findings of this study, it could be concluded that: some basic services for students’ welfare in the universities in</w:t>
      </w:r>
      <w:r>
        <w:rPr>
          <w:spacing w:val="40"/>
        </w:rPr>
        <w:t> </w:t>
      </w:r>
      <w:r>
        <w:rPr/>
        <w:t>the three geopolitical zones in Northern part of Nigeria were available but were grossly inadequate to satisfy the needs of the ever increasing students’ </w:t>
      </w:r>
      <w:r>
        <w:rPr>
          <w:spacing w:val="-2"/>
        </w:rPr>
        <w:t>population;</w:t>
      </w:r>
    </w:p>
    <w:p>
      <w:pPr>
        <w:pStyle w:val="BodyText"/>
        <w:spacing w:line="480" w:lineRule="auto"/>
        <w:ind w:left="820" w:right="115" w:firstLine="720"/>
        <w:jc w:val="both"/>
      </w:pPr>
      <w:r>
        <w:rPr/>
        <w:t>Proper management of some facilities also presented problems due to</w:t>
      </w:r>
      <w:r>
        <w:rPr>
          <w:spacing w:val="40"/>
        </w:rPr>
        <w:t> </w:t>
      </w:r>
      <w:r>
        <w:rPr/>
        <w:t>lack</w:t>
      </w:r>
      <w:r>
        <w:rPr>
          <w:spacing w:val="3"/>
        </w:rPr>
        <w:t> </w:t>
      </w:r>
      <w:r>
        <w:rPr/>
        <w:t>of</w:t>
      </w:r>
      <w:r>
        <w:rPr>
          <w:spacing w:val="5"/>
        </w:rPr>
        <w:t> </w:t>
      </w:r>
      <w:r>
        <w:rPr/>
        <w:t>funds.</w:t>
      </w:r>
      <w:r>
        <w:rPr>
          <w:spacing w:val="4"/>
        </w:rPr>
        <w:t> </w:t>
      </w:r>
      <w:r>
        <w:rPr/>
        <w:t>It</w:t>
      </w:r>
      <w:r>
        <w:rPr>
          <w:spacing w:val="5"/>
        </w:rPr>
        <w:t> </w:t>
      </w:r>
      <w:r>
        <w:rPr/>
        <w:t>was</w:t>
      </w:r>
      <w:r>
        <w:rPr>
          <w:spacing w:val="4"/>
        </w:rPr>
        <w:t> </w:t>
      </w:r>
      <w:r>
        <w:rPr/>
        <w:t>also</w:t>
      </w:r>
      <w:r>
        <w:rPr>
          <w:spacing w:val="5"/>
        </w:rPr>
        <w:t> </w:t>
      </w:r>
      <w:r>
        <w:rPr/>
        <w:t>observed</w:t>
      </w:r>
      <w:r>
        <w:rPr>
          <w:spacing w:val="6"/>
        </w:rPr>
        <w:t> </w:t>
      </w:r>
      <w:r>
        <w:rPr/>
        <w:t>that</w:t>
      </w:r>
      <w:r>
        <w:rPr>
          <w:spacing w:val="4"/>
        </w:rPr>
        <w:t> </w:t>
      </w:r>
      <w:r>
        <w:rPr/>
        <w:t>the</w:t>
      </w:r>
      <w:r>
        <w:rPr>
          <w:spacing w:val="9"/>
        </w:rPr>
        <w:t> </w:t>
      </w:r>
      <w:r>
        <w:rPr/>
        <w:t>Federal</w:t>
      </w:r>
      <w:r>
        <w:rPr>
          <w:spacing w:val="9"/>
        </w:rPr>
        <w:t> </w:t>
      </w:r>
      <w:r>
        <w:rPr/>
        <w:t>and</w:t>
      </w:r>
      <w:r>
        <w:rPr>
          <w:spacing w:val="5"/>
        </w:rPr>
        <w:t> </w:t>
      </w:r>
      <w:r>
        <w:rPr/>
        <w:t>State</w:t>
      </w:r>
      <w:r>
        <w:rPr>
          <w:spacing w:val="6"/>
        </w:rPr>
        <w:t> </w:t>
      </w:r>
      <w:r>
        <w:rPr/>
        <w:t>Governments</w:t>
      </w:r>
      <w:r>
        <w:rPr>
          <w:spacing w:val="4"/>
        </w:rPr>
        <w:t> </w:t>
      </w:r>
      <w:r>
        <w:rPr>
          <w:spacing w:val="-5"/>
        </w:rPr>
        <w:t>had</w:t>
      </w:r>
    </w:p>
    <w:p>
      <w:pPr>
        <w:spacing w:after="0" w:line="480" w:lineRule="auto"/>
        <w:jc w:val="both"/>
        <w:sectPr>
          <w:headerReference w:type="default" r:id="rId555"/>
          <w:footerReference w:type="default" r:id="rId556"/>
          <w:pgSz w:w="12240" w:h="15840"/>
          <w:pgMar w:header="722" w:footer="791" w:top="1340" w:bottom="980" w:left="1340" w:right="1320"/>
        </w:sectPr>
      </w:pPr>
    </w:p>
    <w:p>
      <w:pPr>
        <w:pStyle w:val="BodyText"/>
        <w:spacing w:line="480" w:lineRule="auto" w:before="89"/>
        <w:ind w:left="820" w:right="120"/>
        <w:jc w:val="both"/>
      </w:pPr>
      <w:r>
        <w:rPr/>
        <w:t>completely withdrawn from feeding arrangements and the university managements have transferred the catering system to private caterers.</w:t>
      </w:r>
    </w:p>
    <w:p>
      <w:pPr>
        <w:pStyle w:val="BodyText"/>
        <w:spacing w:line="480" w:lineRule="auto"/>
        <w:ind w:left="820" w:right="115" w:firstLine="720"/>
        <w:jc w:val="both"/>
      </w:pPr>
      <w:r>
        <w:rPr/>
        <w:t>There has been gross inadequacy of students’ hostel accommodation particularly, in the first and second generation universities which could not accommodate beyond one third of the students’ population;</w:t>
      </w:r>
    </w:p>
    <w:p>
      <w:pPr>
        <w:pStyle w:val="BodyText"/>
        <w:spacing w:line="480" w:lineRule="auto"/>
        <w:ind w:left="820" w:right="118" w:firstLine="720"/>
        <w:jc w:val="both"/>
      </w:pPr>
      <w:r>
        <w:rPr/>
        <w:t>The study also concluded that the universities have been grossly under funded by the federal government despite the far–reaching out-cries and suggestions made by various interest groups and stakeholders;</w:t>
      </w:r>
    </w:p>
    <w:p>
      <w:pPr>
        <w:pStyle w:val="BodyText"/>
        <w:spacing w:line="480" w:lineRule="auto"/>
        <w:ind w:left="820" w:right="114" w:firstLine="720"/>
        <w:jc w:val="both"/>
      </w:pPr>
      <w:r>
        <w:rPr/>
        <w:t>The repercussions of under funding had occasioned incessant strikes by staff on one hand and demonstrations, uprisings and unrest by students on the other. Due to large students’ numbers, adequate space requirement like classrooms, lecture theatres, laboratories and workshops were hardly met.</w:t>
      </w:r>
    </w:p>
    <w:p>
      <w:pPr>
        <w:pStyle w:val="BodyText"/>
        <w:spacing w:line="480" w:lineRule="auto"/>
        <w:ind w:left="820" w:right="115" w:firstLine="720"/>
        <w:jc w:val="both"/>
      </w:pPr>
      <w:r>
        <w:rPr/>
        <w:t>Both teachers and learners become demoralized due to government lack of concern for the universities. This could definitely result in production of half baked graduates much talked about. It was however, noted that some</w:t>
      </w:r>
      <w:r>
        <w:rPr>
          <w:spacing w:val="40"/>
        </w:rPr>
        <w:t> </w:t>
      </w:r>
      <w:r>
        <w:rPr/>
        <w:t>universities landscaped and sanitized their campuses with beautiful flowers and well kept</w:t>
      </w:r>
      <w:r>
        <w:rPr>
          <w:spacing w:val="-4"/>
        </w:rPr>
        <w:t> </w:t>
      </w:r>
      <w:r>
        <w:rPr/>
        <w:t>surroundings</w:t>
      </w:r>
      <w:r>
        <w:rPr>
          <w:spacing w:val="-4"/>
        </w:rPr>
        <w:t> </w:t>
      </w:r>
      <w:r>
        <w:rPr/>
        <w:t>with</w:t>
      </w:r>
      <w:r>
        <w:rPr>
          <w:spacing w:val="-3"/>
        </w:rPr>
        <w:t> </w:t>
      </w:r>
      <w:r>
        <w:rPr/>
        <w:t>parks</w:t>
      </w:r>
      <w:r>
        <w:rPr>
          <w:spacing w:val="-4"/>
        </w:rPr>
        <w:t> </w:t>
      </w:r>
      <w:r>
        <w:rPr/>
        <w:t>and</w:t>
      </w:r>
      <w:r>
        <w:rPr>
          <w:spacing w:val="-3"/>
        </w:rPr>
        <w:t> </w:t>
      </w:r>
      <w:r>
        <w:rPr/>
        <w:t>gardens,</w:t>
      </w:r>
      <w:r>
        <w:rPr>
          <w:spacing w:val="-4"/>
        </w:rPr>
        <w:t> </w:t>
      </w:r>
      <w:r>
        <w:rPr/>
        <w:t>walk</w:t>
      </w:r>
      <w:r>
        <w:rPr>
          <w:spacing w:val="-2"/>
        </w:rPr>
        <w:t> </w:t>
      </w:r>
      <w:r>
        <w:rPr/>
        <w:t>–</w:t>
      </w:r>
      <w:r>
        <w:rPr>
          <w:spacing w:val="-3"/>
        </w:rPr>
        <w:t> </w:t>
      </w:r>
      <w:r>
        <w:rPr/>
        <w:t>ways</w:t>
      </w:r>
      <w:r>
        <w:rPr>
          <w:spacing w:val="-4"/>
        </w:rPr>
        <w:t> </w:t>
      </w:r>
      <w:r>
        <w:rPr/>
        <w:t>producing</w:t>
      </w:r>
      <w:r>
        <w:rPr>
          <w:spacing w:val="-3"/>
        </w:rPr>
        <w:t> </w:t>
      </w:r>
      <w:r>
        <w:rPr/>
        <w:t>conducive atmosphere for teaching research and learning;</w:t>
      </w:r>
    </w:p>
    <w:p>
      <w:pPr>
        <w:pStyle w:val="BodyText"/>
        <w:spacing w:line="480" w:lineRule="auto"/>
        <w:ind w:left="820" w:right="117" w:firstLine="720"/>
        <w:jc w:val="both"/>
      </w:pPr>
      <w:r>
        <w:rPr/>
        <w:t>The application of management strategies like laws, ordinances, policies, committee</w:t>
      </w:r>
      <w:r>
        <w:rPr>
          <w:spacing w:val="-1"/>
        </w:rPr>
        <w:t> </w:t>
      </w:r>
      <w:r>
        <w:rPr/>
        <w:t>system</w:t>
      </w:r>
      <w:r>
        <w:rPr>
          <w:spacing w:val="-5"/>
        </w:rPr>
        <w:t> </w:t>
      </w:r>
      <w:r>
        <w:rPr/>
        <w:t>statutes,</w:t>
      </w:r>
      <w:r>
        <w:rPr>
          <w:spacing w:val="-2"/>
        </w:rPr>
        <w:t> </w:t>
      </w:r>
      <w:r>
        <w:rPr/>
        <w:t>rules</w:t>
      </w:r>
      <w:r>
        <w:rPr>
          <w:spacing w:val="-2"/>
        </w:rPr>
        <w:t> </w:t>
      </w:r>
      <w:r>
        <w:rPr/>
        <w:t>and</w:t>
      </w:r>
      <w:r>
        <w:rPr>
          <w:spacing w:val="-1"/>
        </w:rPr>
        <w:t> </w:t>
      </w:r>
      <w:r>
        <w:rPr/>
        <w:t>regulations</w:t>
      </w:r>
      <w:r>
        <w:rPr>
          <w:spacing w:val="-2"/>
        </w:rPr>
        <w:t> </w:t>
      </w:r>
      <w:r>
        <w:rPr/>
        <w:t>in</w:t>
      </w:r>
      <w:r>
        <w:rPr>
          <w:spacing w:val="-1"/>
        </w:rPr>
        <w:t> </w:t>
      </w:r>
      <w:r>
        <w:rPr/>
        <w:t>the</w:t>
      </w:r>
      <w:r>
        <w:rPr>
          <w:spacing w:val="-1"/>
        </w:rPr>
        <w:t> </w:t>
      </w:r>
      <w:r>
        <w:rPr/>
        <w:t>management</w:t>
      </w:r>
      <w:r>
        <w:rPr>
          <w:spacing w:val="-2"/>
        </w:rPr>
        <w:t> </w:t>
      </w:r>
      <w:r>
        <w:rPr/>
        <w:t>of</w:t>
      </w:r>
      <w:r>
        <w:rPr>
          <w:spacing w:val="-2"/>
        </w:rPr>
        <w:t> </w:t>
      </w:r>
      <w:r>
        <w:rPr/>
        <w:t>students’ matters have yielded positive results.</w:t>
      </w:r>
    </w:p>
    <w:p>
      <w:pPr>
        <w:spacing w:after="0" w:line="480" w:lineRule="auto"/>
        <w:jc w:val="both"/>
        <w:sectPr>
          <w:headerReference w:type="default" r:id="rId557"/>
          <w:footerReference w:type="default" r:id="rId558"/>
          <w:pgSz w:w="12240" w:h="15840"/>
          <w:pgMar w:header="722" w:footer="791" w:top="1340" w:bottom="980" w:left="1340" w:right="1320"/>
        </w:sectPr>
      </w:pPr>
    </w:p>
    <w:p>
      <w:pPr>
        <w:pStyle w:val="Heading4"/>
        <w:numPr>
          <w:ilvl w:val="1"/>
          <w:numId w:val="45"/>
        </w:numPr>
        <w:tabs>
          <w:tab w:pos="819" w:val="left" w:leader="none"/>
        </w:tabs>
        <w:spacing w:line="240" w:lineRule="auto" w:before="84" w:after="0"/>
        <w:ind w:left="819" w:right="0" w:hanging="719"/>
        <w:jc w:val="left"/>
        <w:rPr>
          <w:rFonts w:ascii="Arial MT"/>
          <w:b w:val="0"/>
        </w:rPr>
      </w:pPr>
      <w:r>
        <w:rPr>
          <w:spacing w:val="-2"/>
        </w:rPr>
        <w:t>Recommendations</w:t>
      </w:r>
    </w:p>
    <w:p>
      <w:pPr>
        <w:pStyle w:val="BodyText"/>
        <w:spacing w:before="4"/>
        <w:rPr>
          <w:rFonts w:ascii="Arial"/>
          <w:b/>
        </w:rPr>
      </w:pPr>
    </w:p>
    <w:p>
      <w:pPr>
        <w:pStyle w:val="BodyText"/>
        <w:spacing w:line="480" w:lineRule="auto" w:before="1"/>
        <w:ind w:left="820" w:right="115" w:firstLine="720"/>
        <w:jc w:val="both"/>
      </w:pPr>
      <w:r>
        <w:rPr/>
        <w:t>In line with the findings and conclusions of this study, it is pertinent to recommend that adequate funds should be allocated to the Universities by the Federal and State Governments so as to take care of their pressing needs, particularly, the welfare of students who are the central figure of the Universities.</w:t>
      </w:r>
    </w:p>
    <w:p>
      <w:pPr>
        <w:pStyle w:val="BodyText"/>
        <w:spacing w:line="480" w:lineRule="auto"/>
        <w:ind w:left="820" w:right="117" w:firstLine="720"/>
        <w:jc w:val="both"/>
      </w:pPr>
      <w:r>
        <w:rPr/>
        <w:t>Adequate welfare facilities like feeding arrangements, hostel and lecture hall accommodation, sports equipment, transportation and communication faculties, electricity and water supplies should be improved on campuses. Guidance and counseling units and good modern security system, and surveillance network should be properly improved and managed;</w:t>
      </w:r>
    </w:p>
    <w:p>
      <w:pPr>
        <w:pStyle w:val="BodyText"/>
        <w:spacing w:line="480" w:lineRule="auto"/>
        <w:ind w:left="820" w:right="114" w:firstLine="720"/>
        <w:jc w:val="both"/>
      </w:pPr>
      <w:r>
        <w:rPr/>
        <w:t>Cordial relationship should be cultivated amongst teachers, management and students, particularly between adviser-advisee, teacher and learner and</w:t>
      </w:r>
      <w:r>
        <w:rPr>
          <w:spacing w:val="40"/>
        </w:rPr>
        <w:t> </w:t>
      </w:r>
      <w:r>
        <w:rPr/>
        <w:t>even amongst students themselves.</w:t>
      </w:r>
    </w:p>
    <w:p>
      <w:pPr>
        <w:pStyle w:val="BodyText"/>
        <w:spacing w:line="480" w:lineRule="auto"/>
        <w:ind w:left="820" w:right="116" w:firstLine="720"/>
        <w:jc w:val="both"/>
      </w:pPr>
      <w:r>
        <w:rPr/>
        <w:t>Universities should engage in generating alternative source of revenue to augment government allocations. This can be done by soliciting the assistance from</w:t>
      </w:r>
      <w:r>
        <w:rPr>
          <w:spacing w:val="-6"/>
        </w:rPr>
        <w:t> </w:t>
      </w:r>
      <w:r>
        <w:rPr/>
        <w:t>Non-Government</w:t>
      </w:r>
      <w:r>
        <w:rPr>
          <w:spacing w:val="-3"/>
        </w:rPr>
        <w:t> </w:t>
      </w:r>
      <w:r>
        <w:rPr/>
        <w:t>Organisations,</w:t>
      </w:r>
      <w:r>
        <w:rPr>
          <w:spacing w:val="-3"/>
        </w:rPr>
        <w:t> </w:t>
      </w:r>
      <w:r>
        <w:rPr/>
        <w:t>Donor</w:t>
      </w:r>
      <w:r>
        <w:rPr>
          <w:spacing w:val="-1"/>
        </w:rPr>
        <w:t> </w:t>
      </w:r>
      <w:r>
        <w:rPr/>
        <w:t>Agencies,</w:t>
      </w:r>
      <w:r>
        <w:rPr>
          <w:spacing w:val="-3"/>
        </w:rPr>
        <w:t> </w:t>
      </w:r>
      <w:r>
        <w:rPr/>
        <w:t>Alumni base,</w:t>
      </w:r>
      <w:r>
        <w:rPr>
          <w:spacing w:val="-3"/>
        </w:rPr>
        <w:t> </w:t>
      </w:r>
      <w:r>
        <w:rPr/>
        <w:t>internal and foreign linkages, like the case of Carnegie and Mac Author Interventions Collaborating Researches and private participation in building hostel or</w:t>
      </w:r>
      <w:r>
        <w:rPr>
          <w:spacing w:val="40"/>
        </w:rPr>
        <w:t> </w:t>
      </w:r>
      <w:r>
        <w:rPr/>
        <w:t>classroom accommodation close to the universities for commercial or otherwise.</w:t>
      </w:r>
    </w:p>
    <w:p>
      <w:pPr>
        <w:pStyle w:val="BodyText"/>
        <w:spacing w:line="480" w:lineRule="auto"/>
        <w:ind w:left="820" w:right="122" w:firstLine="720"/>
        <w:jc w:val="both"/>
      </w:pPr>
      <w:r>
        <w:rPr/>
        <w:t>When</w:t>
      </w:r>
      <w:r>
        <w:rPr>
          <w:spacing w:val="-2"/>
        </w:rPr>
        <w:t> </w:t>
      </w:r>
      <w:r>
        <w:rPr/>
        <w:t>enough</w:t>
      </w:r>
      <w:r>
        <w:rPr>
          <w:spacing w:val="-2"/>
        </w:rPr>
        <w:t> </w:t>
      </w:r>
      <w:r>
        <w:rPr/>
        <w:t>funds</w:t>
      </w:r>
      <w:r>
        <w:rPr>
          <w:spacing w:val="-3"/>
        </w:rPr>
        <w:t> </w:t>
      </w:r>
      <w:r>
        <w:rPr/>
        <w:t>avail,</w:t>
      </w:r>
      <w:r>
        <w:rPr>
          <w:spacing w:val="-3"/>
        </w:rPr>
        <w:t> </w:t>
      </w:r>
      <w:r>
        <w:rPr/>
        <w:t>the</w:t>
      </w:r>
      <w:r>
        <w:rPr>
          <w:spacing w:val="-2"/>
        </w:rPr>
        <w:t> </w:t>
      </w:r>
      <w:r>
        <w:rPr/>
        <w:t>university</w:t>
      </w:r>
      <w:r>
        <w:rPr>
          <w:spacing w:val="-3"/>
        </w:rPr>
        <w:t> </w:t>
      </w:r>
      <w:r>
        <w:rPr/>
        <w:t>management</w:t>
      </w:r>
      <w:r>
        <w:rPr>
          <w:spacing w:val="-3"/>
        </w:rPr>
        <w:t> </w:t>
      </w:r>
      <w:r>
        <w:rPr/>
        <w:t>should</w:t>
      </w:r>
      <w:r>
        <w:rPr>
          <w:spacing w:val="-2"/>
        </w:rPr>
        <w:t> </w:t>
      </w:r>
      <w:r>
        <w:rPr/>
        <w:t>try</w:t>
      </w:r>
      <w:r>
        <w:rPr>
          <w:spacing w:val="-3"/>
        </w:rPr>
        <w:t> </w:t>
      </w:r>
      <w:r>
        <w:rPr/>
        <w:t>to</w:t>
      </w:r>
      <w:r>
        <w:rPr>
          <w:spacing w:val="-2"/>
        </w:rPr>
        <w:t> </w:t>
      </w:r>
      <w:r>
        <w:rPr/>
        <w:t>ensure that the resources realized should be used to satisfy students’ demands so that the universities become riot or crisis free.</w:t>
      </w:r>
    </w:p>
    <w:p>
      <w:pPr>
        <w:spacing w:after="0" w:line="480" w:lineRule="auto"/>
        <w:jc w:val="both"/>
        <w:sectPr>
          <w:headerReference w:type="default" r:id="rId559"/>
          <w:footerReference w:type="default" r:id="rId560"/>
          <w:pgSz w:w="12240" w:h="15840"/>
          <w:pgMar w:header="722" w:footer="791" w:top="1340" w:bottom="980" w:left="1340" w:right="1320"/>
        </w:sectPr>
      </w:pPr>
    </w:p>
    <w:p>
      <w:pPr>
        <w:pStyle w:val="BodyText"/>
        <w:spacing w:line="480" w:lineRule="auto" w:before="89"/>
        <w:ind w:left="820" w:right="113" w:firstLine="720"/>
        <w:jc w:val="both"/>
      </w:pPr>
      <w:r>
        <w:rPr/>
        <w:t>The cooperation of Students Unions and other Hall or</w:t>
      </w:r>
      <w:r>
        <w:rPr>
          <w:spacing w:val="-1"/>
        </w:rPr>
        <w:t> </w:t>
      </w:r>
      <w:r>
        <w:rPr/>
        <w:t>Faculty Committees should be sought in checking excesses of students or even staff in misusing, abusing, destruction, vandalizing, pilfering and `don’t care attitudes to university equipment and property.</w:t>
      </w:r>
      <w:r>
        <w:rPr>
          <w:spacing w:val="40"/>
        </w:rPr>
        <w:t> </w:t>
      </w:r>
      <w:r>
        <w:rPr/>
        <w:t>Universities should find ways and means of employing check and balances mechanism</w:t>
      </w:r>
      <w:r>
        <w:rPr>
          <w:spacing w:val="-1"/>
        </w:rPr>
        <w:t> </w:t>
      </w:r>
      <w:r>
        <w:rPr/>
        <w:t>for the smooth utilization of resources meant for students’ welfare.</w:t>
      </w:r>
    </w:p>
    <w:p>
      <w:pPr>
        <w:pStyle w:val="BodyText"/>
        <w:spacing w:line="480" w:lineRule="auto"/>
        <w:ind w:left="820" w:right="115" w:firstLine="787"/>
        <w:jc w:val="both"/>
      </w:pPr>
      <w:r>
        <w:rPr/>
        <w:t>Orientations and sensitization sessions should be organized for students particularly freshers so as to integrate them very well into the university system. Students’ behaviour and activities should be monitored so as discourage vices such as robbery, cultism, harassments thefts and any action detrimental to aims and objectives of the universities. Proper and relevant statues, policies rules and regulations should be enforced and obeyed for peaceful campus coexistence.</w:t>
      </w:r>
    </w:p>
    <w:p>
      <w:pPr>
        <w:pStyle w:val="BodyText"/>
        <w:spacing w:line="480" w:lineRule="auto"/>
        <w:ind w:left="820" w:right="116" w:firstLine="720"/>
        <w:jc w:val="both"/>
      </w:pPr>
      <w:r>
        <w:rPr/>
        <w:t>Universities should encourage the participation of private individuals in building accommodation compounds near the universities to rent to students so as to ease students’ accommodation problems.</w:t>
      </w:r>
    </w:p>
    <w:p>
      <w:pPr>
        <w:pStyle w:val="BodyText"/>
        <w:spacing w:line="480" w:lineRule="auto"/>
        <w:ind w:left="820" w:right="116" w:firstLine="720"/>
        <w:jc w:val="both"/>
      </w:pPr>
      <w:r>
        <w:rPr/>
        <w:t>Nigerian universities in general and universities under study in particular should encourage</w:t>
      </w:r>
      <w:r>
        <w:rPr>
          <w:spacing w:val="-2"/>
        </w:rPr>
        <w:t> </w:t>
      </w:r>
      <w:r>
        <w:rPr/>
        <w:t>religious</w:t>
      </w:r>
      <w:r>
        <w:rPr>
          <w:spacing w:val="-3"/>
        </w:rPr>
        <w:t> </w:t>
      </w:r>
      <w:r>
        <w:rPr/>
        <w:t>and</w:t>
      </w:r>
      <w:r>
        <w:rPr>
          <w:spacing w:val="-2"/>
        </w:rPr>
        <w:t> </w:t>
      </w:r>
      <w:r>
        <w:rPr/>
        <w:t>ethnic</w:t>
      </w:r>
      <w:r>
        <w:rPr>
          <w:spacing w:val="-3"/>
        </w:rPr>
        <w:t> </w:t>
      </w:r>
      <w:r>
        <w:rPr/>
        <w:t>tolerance amongst students</w:t>
      </w:r>
      <w:r>
        <w:rPr>
          <w:spacing w:val="-3"/>
        </w:rPr>
        <w:t> </w:t>
      </w:r>
      <w:r>
        <w:rPr/>
        <w:t>so</w:t>
      </w:r>
      <w:r>
        <w:rPr>
          <w:spacing w:val="-2"/>
        </w:rPr>
        <w:t> </w:t>
      </w:r>
      <w:r>
        <w:rPr/>
        <w:t>as to</w:t>
      </w:r>
      <w:r>
        <w:rPr>
          <w:spacing w:val="-2"/>
        </w:rPr>
        <w:t> </w:t>
      </w:r>
      <w:r>
        <w:rPr/>
        <w:t>avoid students’ conflicts and unrest.</w:t>
      </w:r>
    </w:p>
    <w:p>
      <w:pPr>
        <w:pStyle w:val="Heading4"/>
        <w:numPr>
          <w:ilvl w:val="2"/>
          <w:numId w:val="45"/>
        </w:numPr>
        <w:tabs>
          <w:tab w:pos="817" w:val="left" w:leader="none"/>
          <w:tab w:pos="820" w:val="left" w:leader="none"/>
        </w:tabs>
        <w:spacing w:line="237" w:lineRule="auto" w:before="0" w:after="0"/>
        <w:ind w:left="820" w:right="119" w:hanging="720"/>
        <w:jc w:val="left"/>
        <w:rPr>
          <w:rFonts w:ascii="Arial MT" w:hAnsi="Arial MT"/>
          <w:b w:val="0"/>
        </w:rPr>
      </w:pPr>
      <w:r>
        <w:rPr/>
        <w:t>Suggested Model for Students’ Welfare Services in the Nigerian University </w:t>
      </w:r>
      <w:r>
        <w:rPr>
          <w:spacing w:val="-2"/>
        </w:rPr>
        <w:t>System</w:t>
      </w:r>
    </w:p>
    <w:p>
      <w:pPr>
        <w:pStyle w:val="BodyText"/>
        <w:spacing w:before="3"/>
        <w:rPr>
          <w:rFonts w:ascii="Arial"/>
          <w:b/>
        </w:rPr>
      </w:pPr>
    </w:p>
    <w:p>
      <w:pPr>
        <w:pStyle w:val="BodyText"/>
        <w:spacing w:line="480" w:lineRule="auto" w:before="1"/>
        <w:ind w:left="820" w:right="116" w:firstLine="720"/>
        <w:jc w:val="both"/>
      </w:pPr>
      <w:r>
        <w:rPr/>
        <w:t>The</w:t>
      </w:r>
      <w:r>
        <w:rPr>
          <w:spacing w:val="-2"/>
        </w:rPr>
        <w:t> </w:t>
      </w:r>
      <w:r>
        <w:rPr/>
        <w:t>researcher</w:t>
      </w:r>
      <w:r>
        <w:rPr>
          <w:spacing w:val="-1"/>
        </w:rPr>
        <w:t> </w:t>
      </w:r>
      <w:r>
        <w:rPr/>
        <w:t>has</w:t>
      </w:r>
      <w:r>
        <w:rPr>
          <w:spacing w:val="-3"/>
        </w:rPr>
        <w:t> </w:t>
      </w:r>
      <w:r>
        <w:rPr/>
        <w:t>developed</w:t>
      </w:r>
      <w:r>
        <w:rPr>
          <w:spacing w:val="-2"/>
        </w:rPr>
        <w:t> </w:t>
      </w:r>
      <w:r>
        <w:rPr/>
        <w:t>a</w:t>
      </w:r>
      <w:r>
        <w:rPr>
          <w:spacing w:val="-2"/>
        </w:rPr>
        <w:t> </w:t>
      </w:r>
      <w:r>
        <w:rPr/>
        <w:t>model as</w:t>
      </w:r>
      <w:r>
        <w:rPr>
          <w:spacing w:val="-3"/>
        </w:rPr>
        <w:t> </w:t>
      </w:r>
      <w:r>
        <w:rPr/>
        <w:t>shown</w:t>
      </w:r>
      <w:r>
        <w:rPr>
          <w:spacing w:val="-2"/>
        </w:rPr>
        <w:t> </w:t>
      </w:r>
      <w:r>
        <w:rPr/>
        <w:t>in</w:t>
      </w:r>
      <w:r>
        <w:rPr>
          <w:spacing w:val="-2"/>
        </w:rPr>
        <w:t> </w:t>
      </w:r>
      <w:r>
        <w:rPr/>
        <w:t>Fig.</w:t>
      </w:r>
      <w:r>
        <w:rPr>
          <w:spacing w:val="-3"/>
        </w:rPr>
        <w:t> </w:t>
      </w:r>
      <w:r>
        <w:rPr/>
        <w:t>5.3.1</w:t>
      </w:r>
      <w:r>
        <w:rPr>
          <w:spacing w:val="-2"/>
        </w:rPr>
        <w:t> </w:t>
      </w:r>
      <w:r>
        <w:rPr/>
        <w:t>to</w:t>
      </w:r>
      <w:r>
        <w:rPr>
          <w:spacing w:val="-2"/>
        </w:rPr>
        <w:t> </w:t>
      </w:r>
      <w:r>
        <w:rPr/>
        <w:t>guide</w:t>
      </w:r>
      <w:r>
        <w:rPr>
          <w:spacing w:val="-2"/>
        </w:rPr>
        <w:t> </w:t>
      </w:r>
      <w:r>
        <w:rPr/>
        <w:t>the University Management and bodies which deal with the students’ welfare</w:t>
      </w:r>
      <w:r>
        <w:rPr>
          <w:spacing w:val="40"/>
        </w:rPr>
        <w:t> </w:t>
      </w:r>
      <w:r>
        <w:rPr/>
        <w:t>services for effective and efficient provision,</w:t>
      </w:r>
      <w:r>
        <w:rPr>
          <w:spacing w:val="-1"/>
        </w:rPr>
        <w:t> </w:t>
      </w:r>
      <w:r>
        <w:rPr/>
        <w:t>management and utilization of funds and resources meant for the welfare of students.</w:t>
      </w:r>
    </w:p>
    <w:p>
      <w:pPr>
        <w:spacing w:after="0" w:line="480" w:lineRule="auto"/>
        <w:jc w:val="both"/>
        <w:sectPr>
          <w:headerReference w:type="default" r:id="rId561"/>
          <w:footerReference w:type="default" r:id="rId562"/>
          <w:pgSz w:w="12240" w:h="15840"/>
          <w:pgMar w:header="722" w:footer="791" w:top="1340" w:bottom="980" w:left="1340" w:right="1320"/>
        </w:sectPr>
      </w:pPr>
    </w:p>
    <w:p>
      <w:pPr>
        <w:pStyle w:val="Heading4"/>
        <w:spacing w:line="237" w:lineRule="auto" w:before="67"/>
        <w:ind w:left="2104" w:hanging="1205"/>
        <w:rPr>
          <w:rFonts w:ascii="Times New Roman" w:hAnsi="Times New Roman"/>
        </w:rPr>
      </w:pPr>
      <w:r>
        <w:rPr/>
        <mc:AlternateContent>
          <mc:Choice Requires="wps">
            <w:drawing>
              <wp:anchor distT="0" distB="0" distL="0" distR="0" allowOverlap="1" layoutInCell="1" locked="0" behindDoc="1" simplePos="0" relativeHeight="466630144">
                <wp:simplePos x="0" y="0"/>
                <wp:positionH relativeFrom="page">
                  <wp:posOffset>4796028</wp:posOffset>
                </wp:positionH>
                <wp:positionV relativeFrom="page">
                  <wp:posOffset>1205484</wp:posOffset>
                </wp:positionV>
                <wp:extent cx="4500880" cy="1964689"/>
                <wp:effectExtent l="0" t="0" r="0" b="0"/>
                <wp:wrapNone/>
                <wp:docPr id="525" name="Group 525"/>
                <wp:cNvGraphicFramePr>
                  <a:graphicFrameLocks/>
                </wp:cNvGraphicFramePr>
                <a:graphic>
                  <a:graphicData uri="http://schemas.microsoft.com/office/word/2010/wordprocessingGroup">
                    <wpg:wgp>
                      <wpg:cNvPr id="525" name="Group 525"/>
                      <wpg:cNvGrpSpPr/>
                      <wpg:grpSpPr>
                        <a:xfrm>
                          <a:off x="0" y="0"/>
                          <a:ext cx="4500880" cy="1964689"/>
                          <a:chExt cx="4500880" cy="1964689"/>
                        </a:xfrm>
                      </wpg:grpSpPr>
                      <wps:wsp>
                        <wps:cNvPr id="526" name="Graphic 526"/>
                        <wps:cNvSpPr/>
                        <wps:spPr>
                          <a:xfrm>
                            <a:off x="1610868" y="141731"/>
                            <a:ext cx="2889885" cy="1823085"/>
                          </a:xfrm>
                          <a:custGeom>
                            <a:avLst/>
                            <a:gdLst/>
                            <a:ahLst/>
                            <a:cxnLst/>
                            <a:rect l="l" t="t" r="r" b="b"/>
                            <a:pathLst>
                              <a:path w="2889885" h="1823085">
                                <a:moveTo>
                                  <a:pt x="76200" y="1746504"/>
                                </a:moveTo>
                                <a:lnTo>
                                  <a:pt x="45720" y="1746504"/>
                                </a:lnTo>
                                <a:lnTo>
                                  <a:pt x="45720" y="259080"/>
                                </a:lnTo>
                                <a:lnTo>
                                  <a:pt x="39624" y="256032"/>
                                </a:lnTo>
                                <a:lnTo>
                                  <a:pt x="33528" y="259080"/>
                                </a:lnTo>
                                <a:lnTo>
                                  <a:pt x="33528" y="1746504"/>
                                </a:lnTo>
                                <a:lnTo>
                                  <a:pt x="0" y="1746504"/>
                                </a:lnTo>
                                <a:lnTo>
                                  <a:pt x="39624" y="1822704"/>
                                </a:lnTo>
                                <a:lnTo>
                                  <a:pt x="67411" y="1764792"/>
                                </a:lnTo>
                                <a:lnTo>
                                  <a:pt x="76200" y="1746504"/>
                                </a:lnTo>
                                <a:close/>
                              </a:path>
                              <a:path w="2889885" h="1823085">
                                <a:moveTo>
                                  <a:pt x="2889504" y="649224"/>
                                </a:moveTo>
                                <a:lnTo>
                                  <a:pt x="2855976" y="649224"/>
                                </a:lnTo>
                                <a:lnTo>
                                  <a:pt x="2855976" y="39624"/>
                                </a:lnTo>
                                <a:lnTo>
                                  <a:pt x="2849880" y="33528"/>
                                </a:lnTo>
                                <a:lnTo>
                                  <a:pt x="2847454" y="38379"/>
                                </a:lnTo>
                                <a:lnTo>
                                  <a:pt x="2838145" y="33528"/>
                                </a:lnTo>
                                <a:lnTo>
                                  <a:pt x="2773680" y="0"/>
                                </a:lnTo>
                                <a:lnTo>
                                  <a:pt x="2773680" y="33528"/>
                                </a:lnTo>
                                <a:lnTo>
                                  <a:pt x="1594104" y="33528"/>
                                </a:lnTo>
                                <a:lnTo>
                                  <a:pt x="1588008" y="39624"/>
                                </a:lnTo>
                                <a:lnTo>
                                  <a:pt x="1594104" y="45720"/>
                                </a:lnTo>
                                <a:lnTo>
                                  <a:pt x="2773680" y="45720"/>
                                </a:lnTo>
                                <a:lnTo>
                                  <a:pt x="2773680" y="76200"/>
                                </a:lnTo>
                                <a:lnTo>
                                  <a:pt x="2837180" y="45720"/>
                                </a:lnTo>
                                <a:lnTo>
                                  <a:pt x="2846832" y="41097"/>
                                </a:lnTo>
                                <a:lnTo>
                                  <a:pt x="2846832" y="649224"/>
                                </a:lnTo>
                                <a:lnTo>
                                  <a:pt x="2813304" y="649224"/>
                                </a:lnTo>
                                <a:lnTo>
                                  <a:pt x="2846946" y="719328"/>
                                </a:lnTo>
                                <a:lnTo>
                                  <a:pt x="1670304" y="719328"/>
                                </a:lnTo>
                                <a:lnTo>
                                  <a:pt x="1670304" y="685800"/>
                                </a:lnTo>
                                <a:lnTo>
                                  <a:pt x="1594104" y="725424"/>
                                </a:lnTo>
                                <a:lnTo>
                                  <a:pt x="1670304" y="762000"/>
                                </a:lnTo>
                                <a:lnTo>
                                  <a:pt x="1670304" y="731520"/>
                                </a:lnTo>
                                <a:lnTo>
                                  <a:pt x="2849880" y="731520"/>
                                </a:lnTo>
                                <a:lnTo>
                                  <a:pt x="2855976" y="725424"/>
                                </a:lnTo>
                                <a:lnTo>
                                  <a:pt x="2851962" y="721423"/>
                                </a:lnTo>
                                <a:lnTo>
                                  <a:pt x="2879991" y="667512"/>
                                </a:lnTo>
                                <a:lnTo>
                                  <a:pt x="2889504" y="649224"/>
                                </a:lnTo>
                                <a:close/>
                              </a:path>
                            </a:pathLst>
                          </a:custGeom>
                          <a:solidFill>
                            <a:srgbClr val="000000"/>
                          </a:solidFill>
                        </wps:spPr>
                        <wps:bodyPr wrap="square" lIns="0" tIns="0" rIns="0" bIns="0" rtlCol="0">
                          <a:prstTxWarp prst="textNoShape">
                            <a:avLst/>
                          </a:prstTxWarp>
                          <a:noAutofit/>
                        </wps:bodyPr>
                      </wps:wsp>
                      <wps:wsp>
                        <wps:cNvPr id="527" name="Textbox 527"/>
                        <wps:cNvSpPr txBox="1"/>
                        <wps:spPr>
                          <a:xfrm>
                            <a:off x="2061972" y="751331"/>
                            <a:ext cx="1143000" cy="457200"/>
                          </a:xfrm>
                          <a:prstGeom prst="rect">
                            <a:avLst/>
                          </a:prstGeom>
                          <a:ln w="9143">
                            <a:solidFill>
                              <a:srgbClr val="000000"/>
                            </a:solidFill>
                            <a:prstDash val="solid"/>
                          </a:ln>
                        </wps:spPr>
                        <wps:txbx>
                          <w:txbxContent>
                            <w:p>
                              <w:pPr>
                                <w:spacing w:line="249" w:lineRule="auto" w:before="65"/>
                                <w:ind w:left="146" w:right="220" w:firstLine="0"/>
                                <w:jc w:val="left"/>
                                <w:rPr>
                                  <w:rFonts w:ascii="Times New Roman"/>
                                  <w:sz w:val="20"/>
                                </w:rPr>
                              </w:pPr>
                              <w:r>
                                <w:rPr>
                                  <w:rFonts w:ascii="Times New Roman"/>
                                  <w:sz w:val="20"/>
                                </w:rPr>
                                <w:t>State</w:t>
                              </w:r>
                              <w:r>
                                <w:rPr>
                                  <w:rFonts w:ascii="Times New Roman"/>
                                  <w:spacing w:val="-13"/>
                                  <w:sz w:val="20"/>
                                </w:rPr>
                                <w:t> </w:t>
                              </w:r>
                              <w:r>
                                <w:rPr>
                                  <w:rFonts w:ascii="Times New Roman"/>
                                  <w:sz w:val="20"/>
                                </w:rPr>
                                <w:t>Ministry</w:t>
                              </w:r>
                              <w:r>
                                <w:rPr>
                                  <w:rFonts w:ascii="Times New Roman"/>
                                  <w:spacing w:val="-12"/>
                                  <w:sz w:val="20"/>
                                </w:rPr>
                                <w:t> </w:t>
                              </w:r>
                              <w:r>
                                <w:rPr>
                                  <w:rFonts w:ascii="Times New Roman"/>
                                  <w:sz w:val="20"/>
                                </w:rPr>
                                <w:t>for Higher</w:t>
                              </w:r>
                              <w:r>
                                <w:rPr>
                                  <w:rFonts w:ascii="Times New Roman"/>
                                  <w:spacing w:val="-4"/>
                                  <w:sz w:val="20"/>
                                </w:rPr>
                                <w:t> </w:t>
                              </w:r>
                              <w:r>
                                <w:rPr>
                                  <w:rFonts w:ascii="Times New Roman"/>
                                  <w:spacing w:val="-2"/>
                                  <w:sz w:val="20"/>
                                </w:rPr>
                                <w:t>Education</w:t>
                              </w:r>
                            </w:p>
                          </w:txbxContent>
                        </wps:txbx>
                        <wps:bodyPr wrap="square" lIns="0" tIns="0" rIns="0" bIns="0" rtlCol="0">
                          <a:noAutofit/>
                        </wps:bodyPr>
                      </wps:wsp>
                      <wps:wsp>
                        <wps:cNvPr id="528" name="Textbox 528"/>
                        <wps:cNvSpPr txBox="1"/>
                        <wps:spPr>
                          <a:xfrm>
                            <a:off x="4571" y="4571"/>
                            <a:ext cx="3200400" cy="405765"/>
                          </a:xfrm>
                          <a:prstGeom prst="rect">
                            <a:avLst/>
                          </a:prstGeom>
                          <a:ln w="9143">
                            <a:solidFill>
                              <a:srgbClr val="000000"/>
                            </a:solidFill>
                            <a:prstDash val="solid"/>
                          </a:ln>
                        </wps:spPr>
                        <wps:txbx>
                          <w:txbxContent>
                            <w:p>
                              <w:pPr>
                                <w:spacing w:line="254" w:lineRule="auto" w:before="65"/>
                                <w:ind w:left="146" w:right="55" w:firstLine="0"/>
                                <w:jc w:val="left"/>
                                <w:rPr>
                                  <w:rFonts w:ascii="Times New Roman"/>
                                  <w:sz w:val="20"/>
                                </w:rPr>
                              </w:pPr>
                              <w:r>
                                <w:rPr>
                                  <w:rFonts w:ascii="Times New Roman"/>
                                  <w:sz w:val="20"/>
                                </w:rPr>
                                <w:t>State</w:t>
                              </w:r>
                              <w:r>
                                <w:rPr>
                                  <w:rFonts w:ascii="Times New Roman"/>
                                  <w:spacing w:val="-1"/>
                                  <w:sz w:val="20"/>
                                </w:rPr>
                                <w:t> </w:t>
                              </w:r>
                              <w:r>
                                <w:rPr>
                                  <w:rFonts w:ascii="Times New Roman"/>
                                  <w:sz w:val="20"/>
                                </w:rPr>
                                <w:t>Ministry</w:t>
                              </w:r>
                              <w:r>
                                <w:rPr>
                                  <w:rFonts w:ascii="Times New Roman"/>
                                  <w:spacing w:val="-7"/>
                                  <w:sz w:val="20"/>
                                </w:rPr>
                                <w:t> </w:t>
                              </w:r>
                              <w:r>
                                <w:rPr>
                                  <w:rFonts w:ascii="Times New Roman"/>
                                  <w:sz w:val="20"/>
                                </w:rPr>
                                <w:t>of</w:t>
                              </w:r>
                              <w:r>
                                <w:rPr>
                                  <w:rFonts w:ascii="Times New Roman"/>
                                  <w:spacing w:val="-3"/>
                                  <w:sz w:val="20"/>
                                </w:rPr>
                                <w:t> </w:t>
                              </w:r>
                              <w:r>
                                <w:rPr>
                                  <w:rFonts w:ascii="Times New Roman"/>
                                  <w:sz w:val="20"/>
                                </w:rPr>
                                <w:t>Finance</w:t>
                              </w:r>
                              <w:r>
                                <w:rPr>
                                  <w:rFonts w:ascii="Times New Roman"/>
                                  <w:spacing w:val="-6"/>
                                  <w:sz w:val="20"/>
                                </w:rPr>
                                <w:t> </w:t>
                              </w:r>
                              <w:r>
                                <w:rPr>
                                  <w:rFonts w:ascii="Times New Roman"/>
                                  <w:sz w:val="20"/>
                                </w:rPr>
                                <w:t>releases funds</w:t>
                              </w:r>
                              <w:r>
                                <w:rPr>
                                  <w:rFonts w:ascii="Times New Roman"/>
                                  <w:spacing w:val="-4"/>
                                  <w:sz w:val="20"/>
                                </w:rPr>
                                <w:t> </w:t>
                              </w:r>
                              <w:r>
                                <w:rPr>
                                  <w:rFonts w:ascii="Times New Roman"/>
                                  <w:sz w:val="20"/>
                                </w:rPr>
                                <w:t>directly</w:t>
                              </w:r>
                              <w:r>
                                <w:rPr>
                                  <w:rFonts w:ascii="Times New Roman"/>
                                  <w:spacing w:val="-7"/>
                                  <w:sz w:val="20"/>
                                </w:rPr>
                                <w:t> </w:t>
                              </w:r>
                              <w:r>
                                <w:rPr>
                                  <w:rFonts w:ascii="Times New Roman"/>
                                  <w:sz w:val="20"/>
                                </w:rPr>
                                <w:t>to</w:t>
                              </w:r>
                              <w:r>
                                <w:rPr>
                                  <w:rFonts w:ascii="Times New Roman"/>
                                  <w:spacing w:val="-3"/>
                                  <w:sz w:val="20"/>
                                </w:rPr>
                                <w:t> </w:t>
                              </w:r>
                              <w:r>
                                <w:rPr>
                                  <w:rFonts w:ascii="Times New Roman"/>
                                  <w:sz w:val="20"/>
                                </w:rPr>
                                <w:t>State Universities after budget defence.</w:t>
                              </w:r>
                            </w:p>
                          </w:txbxContent>
                        </wps:txbx>
                        <wps:bodyPr wrap="square" lIns="0" tIns="0" rIns="0" bIns="0" rtlCol="0">
                          <a:noAutofit/>
                        </wps:bodyPr>
                      </wps:wsp>
                    </wpg:wgp>
                  </a:graphicData>
                </a:graphic>
              </wp:anchor>
            </w:drawing>
          </mc:Choice>
          <mc:Fallback>
            <w:pict>
              <v:group style="position:absolute;margin-left:377.640015pt;margin-top:94.920006pt;width:354.4pt;height:154.7pt;mso-position-horizontal-relative:page;mso-position-vertical-relative:page;z-index:-36686336" id="docshapegroup524" coordorigin="7553,1898" coordsize="7088,3094">
                <v:shape style="position:absolute;left:10089;top:2121;width:4551;height:2871" id="docshape525" coordorigin="10090,2122" coordsize="4551,2871" path="m10210,4872l10162,4872,10162,2530,10152,2525,10142,2530,10142,4872,10090,4872,10152,4992,10196,4901,10210,4872xm14640,3144l14587,3144,14587,2184,14578,2174,14574,2182,14559,2174,14458,2122,14458,2174,12600,2174,12590,2184,12600,2194,14458,2194,14458,2242,14558,2194,14573,2186,14573,3144,14520,3144,14573,3254,12720,3254,12720,3202,12600,3264,12720,3322,12720,3274,14578,3274,14587,3264,14581,3258,14625,3173,14640,3144xe" filled="true" fillcolor="#000000" stroked="false">
                  <v:path arrowok="t"/>
                  <v:fill type="solid"/>
                </v:shape>
                <v:shape style="position:absolute;left:10800;top:3081;width:1800;height:720" type="#_x0000_t202" id="docshape526" filled="false" stroked="true" strokeweight=".71999pt" strokecolor="#000000">
                  <v:textbox inset="0,0,0,0">
                    <w:txbxContent>
                      <w:p>
                        <w:pPr>
                          <w:spacing w:line="249" w:lineRule="auto" w:before="65"/>
                          <w:ind w:left="146" w:right="220" w:firstLine="0"/>
                          <w:jc w:val="left"/>
                          <w:rPr>
                            <w:rFonts w:ascii="Times New Roman"/>
                            <w:sz w:val="20"/>
                          </w:rPr>
                        </w:pPr>
                        <w:r>
                          <w:rPr>
                            <w:rFonts w:ascii="Times New Roman"/>
                            <w:sz w:val="20"/>
                          </w:rPr>
                          <w:t>State</w:t>
                        </w:r>
                        <w:r>
                          <w:rPr>
                            <w:rFonts w:ascii="Times New Roman"/>
                            <w:spacing w:val="-13"/>
                            <w:sz w:val="20"/>
                          </w:rPr>
                          <w:t> </w:t>
                        </w:r>
                        <w:r>
                          <w:rPr>
                            <w:rFonts w:ascii="Times New Roman"/>
                            <w:sz w:val="20"/>
                          </w:rPr>
                          <w:t>Ministry</w:t>
                        </w:r>
                        <w:r>
                          <w:rPr>
                            <w:rFonts w:ascii="Times New Roman"/>
                            <w:spacing w:val="-12"/>
                            <w:sz w:val="20"/>
                          </w:rPr>
                          <w:t> </w:t>
                        </w:r>
                        <w:r>
                          <w:rPr>
                            <w:rFonts w:ascii="Times New Roman"/>
                            <w:sz w:val="20"/>
                          </w:rPr>
                          <w:t>for Higher</w:t>
                        </w:r>
                        <w:r>
                          <w:rPr>
                            <w:rFonts w:ascii="Times New Roman"/>
                            <w:spacing w:val="-4"/>
                            <w:sz w:val="20"/>
                          </w:rPr>
                          <w:t> </w:t>
                        </w:r>
                        <w:r>
                          <w:rPr>
                            <w:rFonts w:ascii="Times New Roman"/>
                            <w:spacing w:val="-2"/>
                            <w:sz w:val="20"/>
                          </w:rPr>
                          <w:t>Education</w:t>
                        </w:r>
                      </w:p>
                    </w:txbxContent>
                  </v:textbox>
                  <v:stroke dashstyle="solid"/>
                  <w10:wrap type="none"/>
                </v:shape>
                <v:shape style="position:absolute;left:7560;top:1905;width:5040;height:639" type="#_x0000_t202" id="docshape527" filled="false" stroked="true" strokeweight=".71999pt" strokecolor="#000000">
                  <v:textbox inset="0,0,0,0">
                    <w:txbxContent>
                      <w:p>
                        <w:pPr>
                          <w:spacing w:line="254" w:lineRule="auto" w:before="65"/>
                          <w:ind w:left="146" w:right="55" w:firstLine="0"/>
                          <w:jc w:val="left"/>
                          <w:rPr>
                            <w:rFonts w:ascii="Times New Roman"/>
                            <w:sz w:val="20"/>
                          </w:rPr>
                        </w:pPr>
                        <w:r>
                          <w:rPr>
                            <w:rFonts w:ascii="Times New Roman"/>
                            <w:sz w:val="20"/>
                          </w:rPr>
                          <w:t>State</w:t>
                        </w:r>
                        <w:r>
                          <w:rPr>
                            <w:rFonts w:ascii="Times New Roman"/>
                            <w:spacing w:val="-1"/>
                            <w:sz w:val="20"/>
                          </w:rPr>
                          <w:t> </w:t>
                        </w:r>
                        <w:r>
                          <w:rPr>
                            <w:rFonts w:ascii="Times New Roman"/>
                            <w:sz w:val="20"/>
                          </w:rPr>
                          <w:t>Ministry</w:t>
                        </w:r>
                        <w:r>
                          <w:rPr>
                            <w:rFonts w:ascii="Times New Roman"/>
                            <w:spacing w:val="-7"/>
                            <w:sz w:val="20"/>
                          </w:rPr>
                          <w:t> </w:t>
                        </w:r>
                        <w:r>
                          <w:rPr>
                            <w:rFonts w:ascii="Times New Roman"/>
                            <w:sz w:val="20"/>
                          </w:rPr>
                          <w:t>of</w:t>
                        </w:r>
                        <w:r>
                          <w:rPr>
                            <w:rFonts w:ascii="Times New Roman"/>
                            <w:spacing w:val="-3"/>
                            <w:sz w:val="20"/>
                          </w:rPr>
                          <w:t> </w:t>
                        </w:r>
                        <w:r>
                          <w:rPr>
                            <w:rFonts w:ascii="Times New Roman"/>
                            <w:sz w:val="20"/>
                          </w:rPr>
                          <w:t>Finance</w:t>
                        </w:r>
                        <w:r>
                          <w:rPr>
                            <w:rFonts w:ascii="Times New Roman"/>
                            <w:spacing w:val="-6"/>
                            <w:sz w:val="20"/>
                          </w:rPr>
                          <w:t> </w:t>
                        </w:r>
                        <w:r>
                          <w:rPr>
                            <w:rFonts w:ascii="Times New Roman"/>
                            <w:sz w:val="20"/>
                          </w:rPr>
                          <w:t>releases funds</w:t>
                        </w:r>
                        <w:r>
                          <w:rPr>
                            <w:rFonts w:ascii="Times New Roman"/>
                            <w:spacing w:val="-4"/>
                            <w:sz w:val="20"/>
                          </w:rPr>
                          <w:t> </w:t>
                        </w:r>
                        <w:r>
                          <w:rPr>
                            <w:rFonts w:ascii="Times New Roman"/>
                            <w:sz w:val="20"/>
                          </w:rPr>
                          <w:t>directly</w:t>
                        </w:r>
                        <w:r>
                          <w:rPr>
                            <w:rFonts w:ascii="Times New Roman"/>
                            <w:spacing w:val="-7"/>
                            <w:sz w:val="20"/>
                          </w:rPr>
                          <w:t> </w:t>
                        </w:r>
                        <w:r>
                          <w:rPr>
                            <w:rFonts w:ascii="Times New Roman"/>
                            <w:sz w:val="20"/>
                          </w:rPr>
                          <w:t>to</w:t>
                        </w:r>
                        <w:r>
                          <w:rPr>
                            <w:rFonts w:ascii="Times New Roman"/>
                            <w:spacing w:val="-3"/>
                            <w:sz w:val="20"/>
                          </w:rPr>
                          <w:t> </w:t>
                        </w:r>
                        <w:r>
                          <w:rPr>
                            <w:rFonts w:ascii="Times New Roman"/>
                            <w:sz w:val="20"/>
                          </w:rPr>
                          <w:t>State Universities after budget defence.</w:t>
                        </w:r>
                      </w:p>
                    </w:txbxContent>
                  </v:textbox>
                  <v:stroke dashstyle="solid"/>
                  <w10:wrap type="none"/>
                </v:shape>
                <w10:wrap type="none"/>
              </v:group>
            </w:pict>
          </mc:Fallback>
        </mc:AlternateContent>
      </w:r>
      <w:r>
        <w:rPr/>
        <mc:AlternateContent>
          <mc:Choice Requires="wps">
            <w:drawing>
              <wp:anchor distT="0" distB="0" distL="0" distR="0" allowOverlap="1" layoutInCell="1" locked="0" behindDoc="1" simplePos="0" relativeHeight="466630656">
                <wp:simplePos x="0" y="0"/>
                <wp:positionH relativeFrom="page">
                  <wp:posOffset>417576</wp:posOffset>
                </wp:positionH>
                <wp:positionV relativeFrom="page">
                  <wp:posOffset>1153668</wp:posOffset>
                </wp:positionV>
                <wp:extent cx="8879205" cy="4460875"/>
                <wp:effectExtent l="0" t="0" r="0" b="0"/>
                <wp:wrapNone/>
                <wp:docPr id="529" name="Group 529"/>
                <wp:cNvGraphicFramePr>
                  <a:graphicFrameLocks/>
                </wp:cNvGraphicFramePr>
                <a:graphic>
                  <a:graphicData uri="http://schemas.microsoft.com/office/word/2010/wordprocessingGroup">
                    <wpg:wgp>
                      <wpg:cNvPr id="529" name="Group 529"/>
                      <wpg:cNvGrpSpPr/>
                      <wpg:grpSpPr>
                        <a:xfrm>
                          <a:off x="0" y="0"/>
                          <a:ext cx="8879205" cy="4460875"/>
                          <a:chExt cx="8879205" cy="4460875"/>
                        </a:xfrm>
                      </wpg:grpSpPr>
                      <wps:wsp>
                        <wps:cNvPr id="530" name="Graphic 530"/>
                        <wps:cNvSpPr/>
                        <wps:spPr>
                          <a:xfrm>
                            <a:off x="0" y="550163"/>
                            <a:ext cx="8879205" cy="3910965"/>
                          </a:xfrm>
                          <a:custGeom>
                            <a:avLst/>
                            <a:gdLst/>
                            <a:ahLst/>
                            <a:cxnLst/>
                            <a:rect l="l" t="t" r="r" b="b"/>
                            <a:pathLst>
                              <a:path w="8879205" h="3910965">
                                <a:moveTo>
                                  <a:pt x="387096" y="597408"/>
                                </a:moveTo>
                                <a:lnTo>
                                  <a:pt x="381000" y="591312"/>
                                </a:lnTo>
                                <a:lnTo>
                                  <a:pt x="115824" y="591312"/>
                                </a:lnTo>
                                <a:lnTo>
                                  <a:pt x="115824" y="557784"/>
                                </a:lnTo>
                                <a:lnTo>
                                  <a:pt x="43624" y="595325"/>
                                </a:lnTo>
                                <a:lnTo>
                                  <a:pt x="39624" y="591312"/>
                                </a:lnTo>
                                <a:lnTo>
                                  <a:pt x="33528" y="597408"/>
                                </a:lnTo>
                                <a:lnTo>
                                  <a:pt x="33528" y="1548384"/>
                                </a:lnTo>
                                <a:lnTo>
                                  <a:pt x="0" y="1548384"/>
                                </a:lnTo>
                                <a:lnTo>
                                  <a:pt x="39624" y="1624584"/>
                                </a:lnTo>
                                <a:lnTo>
                                  <a:pt x="67411" y="1566672"/>
                                </a:lnTo>
                                <a:lnTo>
                                  <a:pt x="76200" y="1548384"/>
                                </a:lnTo>
                                <a:lnTo>
                                  <a:pt x="45720" y="1548384"/>
                                </a:lnTo>
                                <a:lnTo>
                                  <a:pt x="45720" y="600341"/>
                                </a:lnTo>
                                <a:lnTo>
                                  <a:pt x="115824" y="633984"/>
                                </a:lnTo>
                                <a:lnTo>
                                  <a:pt x="115824" y="603504"/>
                                </a:lnTo>
                                <a:lnTo>
                                  <a:pt x="381000" y="603504"/>
                                </a:lnTo>
                                <a:lnTo>
                                  <a:pt x="387096" y="597408"/>
                                </a:lnTo>
                                <a:close/>
                              </a:path>
                              <a:path w="8879205" h="3910965">
                                <a:moveTo>
                                  <a:pt x="838200" y="1633728"/>
                                </a:moveTo>
                                <a:lnTo>
                                  <a:pt x="826465" y="1627632"/>
                                </a:lnTo>
                                <a:lnTo>
                                  <a:pt x="762000" y="1594104"/>
                                </a:lnTo>
                                <a:lnTo>
                                  <a:pt x="762000" y="1627632"/>
                                </a:lnTo>
                                <a:lnTo>
                                  <a:pt x="39624" y="1627632"/>
                                </a:lnTo>
                                <a:lnTo>
                                  <a:pt x="33528" y="1633728"/>
                                </a:lnTo>
                                <a:lnTo>
                                  <a:pt x="39624" y="1639824"/>
                                </a:lnTo>
                                <a:lnTo>
                                  <a:pt x="762000" y="1639824"/>
                                </a:lnTo>
                                <a:lnTo>
                                  <a:pt x="762000" y="1670304"/>
                                </a:lnTo>
                                <a:lnTo>
                                  <a:pt x="825500" y="1639824"/>
                                </a:lnTo>
                                <a:lnTo>
                                  <a:pt x="838200" y="1633728"/>
                                </a:lnTo>
                                <a:close/>
                              </a:path>
                              <a:path w="8879205" h="3910965">
                                <a:moveTo>
                                  <a:pt x="844296" y="1746504"/>
                                </a:moveTo>
                                <a:lnTo>
                                  <a:pt x="838200" y="1743456"/>
                                </a:lnTo>
                                <a:lnTo>
                                  <a:pt x="115824" y="1743456"/>
                                </a:lnTo>
                                <a:lnTo>
                                  <a:pt x="115824" y="1709928"/>
                                </a:lnTo>
                                <a:lnTo>
                                  <a:pt x="42722" y="1745018"/>
                                </a:lnTo>
                                <a:lnTo>
                                  <a:pt x="39624" y="1743456"/>
                                </a:lnTo>
                                <a:lnTo>
                                  <a:pt x="33528" y="1746504"/>
                                </a:lnTo>
                                <a:lnTo>
                                  <a:pt x="33528" y="3834396"/>
                                </a:lnTo>
                                <a:lnTo>
                                  <a:pt x="0" y="3834396"/>
                                </a:lnTo>
                                <a:lnTo>
                                  <a:pt x="39624" y="3910584"/>
                                </a:lnTo>
                                <a:lnTo>
                                  <a:pt x="65938" y="3855720"/>
                                </a:lnTo>
                                <a:lnTo>
                                  <a:pt x="304800" y="3855720"/>
                                </a:lnTo>
                                <a:lnTo>
                                  <a:pt x="304800" y="3889248"/>
                                </a:lnTo>
                                <a:lnTo>
                                  <a:pt x="369265" y="3855720"/>
                                </a:lnTo>
                                <a:lnTo>
                                  <a:pt x="381000" y="3849624"/>
                                </a:lnTo>
                                <a:lnTo>
                                  <a:pt x="374637" y="3846576"/>
                                </a:lnTo>
                                <a:lnTo>
                                  <a:pt x="304800" y="3813048"/>
                                </a:lnTo>
                                <a:lnTo>
                                  <a:pt x="304800" y="3846576"/>
                                </a:lnTo>
                                <a:lnTo>
                                  <a:pt x="70332" y="3846576"/>
                                </a:lnTo>
                                <a:lnTo>
                                  <a:pt x="76187" y="3834396"/>
                                </a:lnTo>
                                <a:lnTo>
                                  <a:pt x="45720" y="3834396"/>
                                </a:lnTo>
                                <a:lnTo>
                                  <a:pt x="45720" y="1749679"/>
                                </a:lnTo>
                                <a:lnTo>
                                  <a:pt x="115824" y="1786128"/>
                                </a:lnTo>
                                <a:lnTo>
                                  <a:pt x="115824" y="1752600"/>
                                </a:lnTo>
                                <a:lnTo>
                                  <a:pt x="838200" y="1752600"/>
                                </a:lnTo>
                                <a:lnTo>
                                  <a:pt x="844296" y="1746504"/>
                                </a:lnTo>
                                <a:close/>
                              </a:path>
                              <a:path w="8879205" h="3910965">
                                <a:moveTo>
                                  <a:pt x="2523744" y="1389888"/>
                                </a:moveTo>
                                <a:lnTo>
                                  <a:pt x="2490216" y="1389888"/>
                                </a:lnTo>
                                <a:lnTo>
                                  <a:pt x="2490216" y="6096"/>
                                </a:lnTo>
                                <a:lnTo>
                                  <a:pt x="2484120" y="0"/>
                                </a:lnTo>
                                <a:lnTo>
                                  <a:pt x="2481072" y="6096"/>
                                </a:lnTo>
                                <a:lnTo>
                                  <a:pt x="2481072" y="1389888"/>
                                </a:lnTo>
                                <a:lnTo>
                                  <a:pt x="2447544" y="1389888"/>
                                </a:lnTo>
                                <a:lnTo>
                                  <a:pt x="2484120" y="1466088"/>
                                </a:lnTo>
                                <a:lnTo>
                                  <a:pt x="2514231" y="1408176"/>
                                </a:lnTo>
                                <a:lnTo>
                                  <a:pt x="2523744" y="1389888"/>
                                </a:lnTo>
                                <a:close/>
                              </a:path>
                              <a:path w="8879205" h="3910965">
                                <a:moveTo>
                                  <a:pt x="4535424" y="1243584"/>
                                </a:moveTo>
                                <a:lnTo>
                                  <a:pt x="4527499" y="1228344"/>
                                </a:lnTo>
                                <a:lnTo>
                                  <a:pt x="4495800" y="1167384"/>
                                </a:lnTo>
                                <a:lnTo>
                                  <a:pt x="4459224" y="1243584"/>
                                </a:lnTo>
                                <a:lnTo>
                                  <a:pt x="4492752" y="1243584"/>
                                </a:lnTo>
                                <a:lnTo>
                                  <a:pt x="4492752" y="1435608"/>
                                </a:lnTo>
                                <a:lnTo>
                                  <a:pt x="4459224" y="1435608"/>
                                </a:lnTo>
                                <a:lnTo>
                                  <a:pt x="4495800" y="1511808"/>
                                </a:lnTo>
                                <a:lnTo>
                                  <a:pt x="4525911" y="1453896"/>
                                </a:lnTo>
                                <a:lnTo>
                                  <a:pt x="4535424" y="1435608"/>
                                </a:lnTo>
                                <a:lnTo>
                                  <a:pt x="4501896" y="1435608"/>
                                </a:lnTo>
                                <a:lnTo>
                                  <a:pt x="4501896" y="1243584"/>
                                </a:lnTo>
                                <a:lnTo>
                                  <a:pt x="4535424" y="1243584"/>
                                </a:lnTo>
                                <a:close/>
                              </a:path>
                              <a:path w="8879205" h="3910965">
                                <a:moveTo>
                                  <a:pt x="8845296" y="1746504"/>
                                </a:moveTo>
                                <a:lnTo>
                                  <a:pt x="8839200" y="1743456"/>
                                </a:lnTo>
                                <a:lnTo>
                                  <a:pt x="7202424" y="1743456"/>
                                </a:lnTo>
                                <a:lnTo>
                                  <a:pt x="7202424" y="1709928"/>
                                </a:lnTo>
                                <a:lnTo>
                                  <a:pt x="7126224" y="1746504"/>
                                </a:lnTo>
                                <a:lnTo>
                                  <a:pt x="7202424" y="1786128"/>
                                </a:lnTo>
                                <a:lnTo>
                                  <a:pt x="7202424" y="1752600"/>
                                </a:lnTo>
                                <a:lnTo>
                                  <a:pt x="8839200" y="1752600"/>
                                </a:lnTo>
                                <a:lnTo>
                                  <a:pt x="8845296" y="1746504"/>
                                </a:lnTo>
                                <a:close/>
                              </a:path>
                              <a:path w="8879205" h="3910965">
                                <a:moveTo>
                                  <a:pt x="8878824" y="3721608"/>
                                </a:moveTo>
                                <a:lnTo>
                                  <a:pt x="8845296" y="3721608"/>
                                </a:lnTo>
                                <a:lnTo>
                                  <a:pt x="8845296" y="1862328"/>
                                </a:lnTo>
                                <a:lnTo>
                                  <a:pt x="8839200" y="1856232"/>
                                </a:lnTo>
                                <a:lnTo>
                                  <a:pt x="8836774" y="1861083"/>
                                </a:lnTo>
                                <a:lnTo>
                                  <a:pt x="8827465" y="1856232"/>
                                </a:lnTo>
                                <a:lnTo>
                                  <a:pt x="8763000" y="1822704"/>
                                </a:lnTo>
                                <a:lnTo>
                                  <a:pt x="8763000" y="1856232"/>
                                </a:lnTo>
                                <a:lnTo>
                                  <a:pt x="7126224" y="1856232"/>
                                </a:lnTo>
                                <a:lnTo>
                                  <a:pt x="7120128" y="1862328"/>
                                </a:lnTo>
                                <a:lnTo>
                                  <a:pt x="7126224" y="1868424"/>
                                </a:lnTo>
                                <a:lnTo>
                                  <a:pt x="8763000" y="1868424"/>
                                </a:lnTo>
                                <a:lnTo>
                                  <a:pt x="8763000" y="1898904"/>
                                </a:lnTo>
                                <a:lnTo>
                                  <a:pt x="8826500" y="1868424"/>
                                </a:lnTo>
                                <a:lnTo>
                                  <a:pt x="8836152" y="1863801"/>
                                </a:lnTo>
                                <a:lnTo>
                                  <a:pt x="8836152" y="3721608"/>
                                </a:lnTo>
                                <a:lnTo>
                                  <a:pt x="8802624" y="3721608"/>
                                </a:lnTo>
                                <a:lnTo>
                                  <a:pt x="8823096" y="3764280"/>
                                </a:lnTo>
                                <a:lnTo>
                                  <a:pt x="8461248" y="3764280"/>
                                </a:lnTo>
                                <a:lnTo>
                                  <a:pt x="8461248" y="3733800"/>
                                </a:lnTo>
                                <a:lnTo>
                                  <a:pt x="8385048" y="3770376"/>
                                </a:lnTo>
                                <a:lnTo>
                                  <a:pt x="8461248" y="3810000"/>
                                </a:lnTo>
                                <a:lnTo>
                                  <a:pt x="8461248" y="3776472"/>
                                </a:lnTo>
                                <a:lnTo>
                                  <a:pt x="8828951" y="3776472"/>
                                </a:lnTo>
                                <a:lnTo>
                                  <a:pt x="8839200" y="3797808"/>
                                </a:lnTo>
                                <a:lnTo>
                                  <a:pt x="8869312" y="3739896"/>
                                </a:lnTo>
                                <a:lnTo>
                                  <a:pt x="8878824" y="3721608"/>
                                </a:lnTo>
                                <a:close/>
                              </a:path>
                              <a:path w="8879205" h="3910965">
                                <a:moveTo>
                                  <a:pt x="8878824" y="1664208"/>
                                </a:moveTo>
                                <a:lnTo>
                                  <a:pt x="8845296" y="1664208"/>
                                </a:lnTo>
                                <a:lnTo>
                                  <a:pt x="8845296" y="597408"/>
                                </a:lnTo>
                                <a:lnTo>
                                  <a:pt x="8839200" y="591312"/>
                                </a:lnTo>
                                <a:lnTo>
                                  <a:pt x="8836774" y="596163"/>
                                </a:lnTo>
                                <a:lnTo>
                                  <a:pt x="8827465" y="591312"/>
                                </a:lnTo>
                                <a:lnTo>
                                  <a:pt x="8763000" y="557784"/>
                                </a:lnTo>
                                <a:lnTo>
                                  <a:pt x="8763000" y="591312"/>
                                </a:lnTo>
                                <a:lnTo>
                                  <a:pt x="7583424" y="591312"/>
                                </a:lnTo>
                                <a:lnTo>
                                  <a:pt x="7577328" y="597408"/>
                                </a:lnTo>
                                <a:lnTo>
                                  <a:pt x="7583424" y="603504"/>
                                </a:lnTo>
                                <a:lnTo>
                                  <a:pt x="8763000" y="603504"/>
                                </a:lnTo>
                                <a:lnTo>
                                  <a:pt x="8763000" y="633984"/>
                                </a:lnTo>
                                <a:lnTo>
                                  <a:pt x="8826500" y="603504"/>
                                </a:lnTo>
                                <a:lnTo>
                                  <a:pt x="8836152" y="598881"/>
                                </a:lnTo>
                                <a:lnTo>
                                  <a:pt x="8836152" y="1664208"/>
                                </a:lnTo>
                                <a:lnTo>
                                  <a:pt x="8802624" y="1664208"/>
                                </a:lnTo>
                                <a:lnTo>
                                  <a:pt x="8839200" y="1740408"/>
                                </a:lnTo>
                                <a:lnTo>
                                  <a:pt x="8869312" y="1682496"/>
                                </a:lnTo>
                                <a:lnTo>
                                  <a:pt x="8878824" y="1664208"/>
                                </a:lnTo>
                                <a:close/>
                              </a:path>
                            </a:pathLst>
                          </a:custGeom>
                          <a:solidFill>
                            <a:srgbClr val="000000"/>
                          </a:solidFill>
                        </wps:spPr>
                        <wps:bodyPr wrap="square" lIns="0" tIns="0" rIns="0" bIns="0" rtlCol="0">
                          <a:prstTxWarp prst="textNoShape">
                            <a:avLst/>
                          </a:prstTxWarp>
                          <a:noAutofit/>
                        </wps:bodyPr>
                      </wps:wsp>
                      <wps:wsp>
                        <wps:cNvPr id="531" name="Textbox 531"/>
                        <wps:cNvSpPr txBox="1"/>
                        <wps:spPr>
                          <a:xfrm>
                            <a:off x="838200" y="2068067"/>
                            <a:ext cx="6288405" cy="603885"/>
                          </a:xfrm>
                          <a:prstGeom prst="rect">
                            <a:avLst/>
                          </a:prstGeom>
                          <a:ln w="9143">
                            <a:solidFill>
                              <a:srgbClr val="000000"/>
                            </a:solidFill>
                            <a:prstDash val="solid"/>
                          </a:ln>
                        </wps:spPr>
                        <wps:txbx>
                          <w:txbxContent>
                            <w:p>
                              <w:pPr>
                                <w:spacing w:line="275" w:lineRule="exact" w:before="71"/>
                                <w:ind w:left="3708" w:right="0" w:firstLine="0"/>
                                <w:jc w:val="left"/>
                                <w:rPr>
                                  <w:rFonts w:ascii="Times New Roman"/>
                                  <w:b/>
                                  <w:sz w:val="24"/>
                                </w:rPr>
                              </w:pPr>
                              <w:r>
                                <w:rPr>
                                  <w:rFonts w:ascii="Times New Roman"/>
                                  <w:b/>
                                  <w:sz w:val="24"/>
                                </w:rPr>
                                <w:t>University</w:t>
                              </w:r>
                              <w:r>
                                <w:rPr>
                                  <w:rFonts w:ascii="Times New Roman"/>
                                  <w:b/>
                                  <w:spacing w:val="-3"/>
                                  <w:sz w:val="24"/>
                                </w:rPr>
                                <w:t> </w:t>
                              </w:r>
                              <w:r>
                                <w:rPr>
                                  <w:rFonts w:ascii="Times New Roman"/>
                                  <w:b/>
                                  <w:spacing w:val="-2"/>
                                  <w:sz w:val="24"/>
                                </w:rPr>
                                <w:t>Management</w:t>
                              </w:r>
                            </w:p>
                            <w:p>
                              <w:pPr>
                                <w:spacing w:line="237" w:lineRule="auto" w:before="1"/>
                                <w:ind w:left="146" w:right="57" w:firstLine="62"/>
                                <w:jc w:val="left"/>
                                <w:rPr>
                                  <w:rFonts w:ascii="Times New Roman"/>
                                  <w:sz w:val="24"/>
                                </w:rPr>
                              </w:pPr>
                              <w:r>
                                <w:rPr>
                                  <w:rFonts w:ascii="Times New Roman"/>
                                  <w:sz w:val="24"/>
                                </w:rPr>
                                <w:t>Funds</w:t>
                              </w:r>
                              <w:r>
                                <w:rPr>
                                  <w:rFonts w:ascii="Times New Roman"/>
                                  <w:spacing w:val="-3"/>
                                  <w:sz w:val="24"/>
                                </w:rPr>
                                <w:t> </w:t>
                              </w:r>
                              <w:r>
                                <w:rPr>
                                  <w:rFonts w:ascii="Times New Roman"/>
                                  <w:sz w:val="24"/>
                                </w:rPr>
                                <w:t>received</w:t>
                              </w:r>
                              <w:r>
                                <w:rPr>
                                  <w:rFonts w:ascii="Times New Roman"/>
                                  <w:spacing w:val="-1"/>
                                  <w:sz w:val="24"/>
                                </w:rPr>
                                <w:t> </w:t>
                              </w:r>
                              <w:r>
                                <w:rPr>
                                  <w:rFonts w:ascii="Times New Roman"/>
                                  <w:sz w:val="24"/>
                                </w:rPr>
                                <w:t>are</w:t>
                              </w:r>
                              <w:r>
                                <w:rPr>
                                  <w:rFonts w:ascii="Times New Roman"/>
                                  <w:spacing w:val="-2"/>
                                  <w:sz w:val="24"/>
                                </w:rPr>
                                <w:t> </w:t>
                              </w:r>
                              <w:r>
                                <w:rPr>
                                  <w:rFonts w:ascii="Times New Roman"/>
                                  <w:sz w:val="24"/>
                                </w:rPr>
                                <w:t>disbursed</w:t>
                              </w:r>
                              <w:r>
                                <w:rPr>
                                  <w:rFonts w:ascii="Times New Roman"/>
                                  <w:spacing w:val="-1"/>
                                  <w:sz w:val="24"/>
                                </w:rPr>
                                <w:t> </w:t>
                              </w:r>
                              <w:r>
                                <w:rPr>
                                  <w:rFonts w:ascii="Times New Roman"/>
                                  <w:sz w:val="24"/>
                                </w:rPr>
                                <w:t>through</w:t>
                              </w:r>
                              <w:r>
                                <w:rPr>
                                  <w:rFonts w:ascii="Times New Roman"/>
                                  <w:spacing w:val="-6"/>
                                  <w:sz w:val="24"/>
                                </w:rPr>
                                <w:t> </w:t>
                              </w:r>
                              <w:r>
                                <w:rPr>
                                  <w:rFonts w:ascii="Times New Roman"/>
                                  <w:sz w:val="24"/>
                                </w:rPr>
                                <w:t>Federal/University</w:t>
                              </w:r>
                              <w:r>
                                <w:rPr>
                                  <w:rFonts w:ascii="Times New Roman"/>
                                  <w:spacing w:val="-6"/>
                                  <w:sz w:val="24"/>
                                </w:rPr>
                                <w:t> </w:t>
                              </w:r>
                              <w:r>
                                <w:rPr>
                                  <w:rFonts w:ascii="Times New Roman"/>
                                  <w:sz w:val="24"/>
                                </w:rPr>
                                <w:t>Council</w:t>
                              </w:r>
                              <w:r>
                                <w:rPr>
                                  <w:rFonts w:ascii="Times New Roman"/>
                                  <w:spacing w:val="-10"/>
                                  <w:sz w:val="24"/>
                                </w:rPr>
                                <w:t> </w:t>
                              </w:r>
                              <w:r>
                                <w:rPr>
                                  <w:rFonts w:ascii="Times New Roman"/>
                                  <w:sz w:val="24"/>
                                </w:rPr>
                                <w:t>(Council</w:t>
                              </w:r>
                              <w:r>
                                <w:rPr>
                                  <w:rFonts w:ascii="Times New Roman"/>
                                  <w:spacing w:val="-6"/>
                                  <w:sz w:val="24"/>
                                </w:rPr>
                                <w:t> </w:t>
                              </w:r>
                              <w:r>
                                <w:rPr>
                                  <w:rFonts w:ascii="Times New Roman"/>
                                  <w:sz w:val="24"/>
                                </w:rPr>
                                <w:t>General</w:t>
                              </w:r>
                              <w:r>
                                <w:rPr>
                                  <w:rFonts w:ascii="Times New Roman"/>
                                  <w:spacing w:val="-6"/>
                                  <w:sz w:val="24"/>
                                </w:rPr>
                                <w:t> </w:t>
                              </w:r>
                              <w:r>
                                <w:rPr>
                                  <w:rFonts w:ascii="Times New Roman"/>
                                  <w:sz w:val="24"/>
                                </w:rPr>
                                <w:t>Purpose Standing Committee) or Management to various Units for Students Welfare Services</w:t>
                              </w:r>
                            </w:p>
                          </w:txbxContent>
                        </wps:txbx>
                        <wps:bodyPr wrap="square" lIns="0" tIns="0" rIns="0" bIns="0" rtlCol="0">
                          <a:noAutofit/>
                        </wps:bodyPr>
                      </wps:wsp>
                      <wps:wsp>
                        <wps:cNvPr id="532" name="Textbox 532"/>
                        <wps:cNvSpPr txBox="1"/>
                        <wps:spPr>
                          <a:xfrm>
                            <a:off x="381000" y="4571"/>
                            <a:ext cx="3200400" cy="570230"/>
                          </a:xfrm>
                          <a:prstGeom prst="rect">
                            <a:avLst/>
                          </a:prstGeom>
                          <a:ln w="9143">
                            <a:solidFill>
                              <a:srgbClr val="000000"/>
                            </a:solidFill>
                            <a:prstDash val="solid"/>
                          </a:ln>
                        </wps:spPr>
                        <wps:txbx>
                          <w:txbxContent>
                            <w:p>
                              <w:pPr>
                                <w:spacing w:line="254" w:lineRule="auto" w:before="65"/>
                                <w:ind w:left="146" w:right="55" w:firstLine="0"/>
                                <w:jc w:val="left"/>
                                <w:rPr>
                                  <w:rFonts w:ascii="Times New Roman"/>
                                  <w:sz w:val="20"/>
                                </w:rPr>
                              </w:pPr>
                              <w:r>
                                <w:rPr>
                                  <w:rFonts w:ascii="Times New Roman"/>
                                  <w:sz w:val="20"/>
                                </w:rPr>
                                <w:t>Federal</w:t>
                              </w:r>
                              <w:r>
                                <w:rPr>
                                  <w:rFonts w:ascii="Times New Roman"/>
                                  <w:spacing w:val="-4"/>
                                  <w:sz w:val="20"/>
                                </w:rPr>
                                <w:t> </w:t>
                              </w:r>
                              <w:r>
                                <w:rPr>
                                  <w:rFonts w:ascii="Times New Roman"/>
                                  <w:sz w:val="20"/>
                                </w:rPr>
                                <w:t>Ministry</w:t>
                              </w:r>
                              <w:r>
                                <w:rPr>
                                  <w:rFonts w:ascii="Times New Roman"/>
                                  <w:spacing w:val="-10"/>
                                  <w:sz w:val="20"/>
                                </w:rPr>
                                <w:t> </w:t>
                              </w:r>
                              <w:r>
                                <w:rPr>
                                  <w:rFonts w:ascii="Times New Roman"/>
                                  <w:sz w:val="20"/>
                                </w:rPr>
                                <w:t>of</w:t>
                              </w:r>
                              <w:r>
                                <w:rPr>
                                  <w:rFonts w:ascii="Times New Roman"/>
                                  <w:spacing w:val="-6"/>
                                  <w:sz w:val="20"/>
                                </w:rPr>
                                <w:t> </w:t>
                              </w:r>
                              <w:r>
                                <w:rPr>
                                  <w:rFonts w:ascii="Times New Roman"/>
                                  <w:sz w:val="20"/>
                                </w:rPr>
                                <w:t>Finance</w:t>
                              </w:r>
                              <w:r>
                                <w:rPr>
                                  <w:rFonts w:ascii="Times New Roman"/>
                                  <w:spacing w:val="-4"/>
                                  <w:sz w:val="20"/>
                                </w:rPr>
                                <w:t> </w:t>
                              </w:r>
                              <w:r>
                                <w:rPr>
                                  <w:rFonts w:ascii="Times New Roman"/>
                                  <w:sz w:val="20"/>
                                </w:rPr>
                                <w:t>releases</w:t>
                              </w:r>
                              <w:r>
                                <w:rPr>
                                  <w:rFonts w:ascii="Times New Roman"/>
                                  <w:spacing w:val="-2"/>
                                  <w:sz w:val="20"/>
                                </w:rPr>
                                <w:t> </w:t>
                              </w:r>
                              <w:r>
                                <w:rPr>
                                  <w:rFonts w:ascii="Times New Roman"/>
                                  <w:sz w:val="20"/>
                                </w:rPr>
                                <w:t>funds</w:t>
                              </w:r>
                              <w:r>
                                <w:rPr>
                                  <w:rFonts w:ascii="Times New Roman"/>
                                  <w:spacing w:val="-2"/>
                                  <w:sz w:val="20"/>
                                </w:rPr>
                                <w:t> </w:t>
                              </w:r>
                              <w:r>
                                <w:rPr>
                                  <w:rFonts w:ascii="Times New Roman"/>
                                  <w:sz w:val="20"/>
                                </w:rPr>
                                <w:t>directly</w:t>
                              </w:r>
                              <w:r>
                                <w:rPr>
                                  <w:rFonts w:ascii="Times New Roman"/>
                                  <w:spacing w:val="-10"/>
                                  <w:sz w:val="20"/>
                                </w:rPr>
                                <w:t> </w:t>
                              </w:r>
                              <w:r>
                                <w:rPr>
                                  <w:rFonts w:ascii="Times New Roman"/>
                                  <w:sz w:val="20"/>
                                </w:rPr>
                                <w:t>to Federal Universities after budget defence.</w:t>
                              </w:r>
                            </w:p>
                          </w:txbxContent>
                        </wps:txbx>
                        <wps:bodyPr wrap="square" lIns="0" tIns="0" rIns="0" bIns="0" rtlCol="0">
                          <a:noAutofit/>
                        </wps:bodyPr>
                      </wps:wsp>
                    </wpg:wgp>
                  </a:graphicData>
                </a:graphic>
              </wp:anchor>
            </w:drawing>
          </mc:Choice>
          <mc:Fallback>
            <w:pict>
              <v:group style="position:absolute;margin-left:32.880001pt;margin-top:90.840004pt;width:699.15pt;height:351.25pt;mso-position-horizontal-relative:page;mso-position-vertical-relative:page;z-index:-36685824" id="docshapegroup528" coordorigin="658,1817" coordsize="13983,7025">
                <v:shape style="position:absolute;left:657;top:2683;width:13983;height:6159" id="docshape529" coordorigin="658,2683" coordsize="13983,6159" path="m1267,3624l1258,3614,840,3614,840,3562,726,3621,720,3614,710,3624,710,5122,658,5122,720,5242,764,5150,778,5122,730,5122,730,3629,840,3682,840,3634,1258,3634,1267,3624xm1978,5256l1959,5246,1858,5194,1858,5246,720,5246,710,5256,720,5266,1858,5266,1858,5314,1958,5266,1978,5256xm1987,5434l1978,5429,840,5429,840,5376,725,5431,720,5429,710,5434,710,8722,658,8722,720,8842,761,8755,1138,8755,1138,8808,1239,8755,1258,8746,1248,8741,1138,8688,1138,8741,768,8741,778,8722,730,8722,730,5439,840,5496,840,5443,1978,5443,1987,5434xm4632,4872l4579,4872,4579,2693,4570,2683,4565,2693,4565,4872,4512,4872,4570,4992,4617,4901,4632,4872xm7800,4642l7788,4618,7738,4522,7680,4642,7733,4642,7733,4944,7680,4944,7738,5064,7785,4973,7800,4944,7747,4944,7747,4642,7800,4642xm14587,5434l14578,5429,12000,5429,12000,5376,11880,5434,12000,5496,12000,5443,14578,5443,14587,5434xm14640,8544l14587,8544,14587,5616,14578,5606,14574,5614,14559,5606,14458,5554,14458,5606,11880,5606,11870,5616,11880,5626,14458,5626,14458,5674,14558,5626,14573,5618,14573,8544,14520,8544,14552,8611,13982,8611,13982,8563,13862,8621,13982,8683,13982,8630,14561,8630,14578,8664,14625,8573,14640,8544xm14640,5304l14587,5304,14587,3624,14578,3614,14574,3622,14559,3614,14458,3562,14458,3614,12600,3614,12590,3624,12600,3634,14458,3634,14458,3682,14558,3634,14573,3626,14573,5304,14520,5304,14578,5424,14625,5333,14640,5304xe" filled="true" fillcolor="#000000" stroked="false">
                  <v:path arrowok="t"/>
                  <v:fill type="solid"/>
                </v:shape>
                <v:shape style="position:absolute;left:1977;top:5073;width:9903;height:951" type="#_x0000_t202" id="docshape530" filled="false" stroked="true" strokeweight=".71999pt" strokecolor="#000000">
                  <v:textbox inset="0,0,0,0">
                    <w:txbxContent>
                      <w:p>
                        <w:pPr>
                          <w:spacing w:line="275" w:lineRule="exact" w:before="71"/>
                          <w:ind w:left="3708" w:right="0" w:firstLine="0"/>
                          <w:jc w:val="left"/>
                          <w:rPr>
                            <w:rFonts w:ascii="Times New Roman"/>
                            <w:b/>
                            <w:sz w:val="24"/>
                          </w:rPr>
                        </w:pPr>
                        <w:r>
                          <w:rPr>
                            <w:rFonts w:ascii="Times New Roman"/>
                            <w:b/>
                            <w:sz w:val="24"/>
                          </w:rPr>
                          <w:t>University</w:t>
                        </w:r>
                        <w:r>
                          <w:rPr>
                            <w:rFonts w:ascii="Times New Roman"/>
                            <w:b/>
                            <w:spacing w:val="-3"/>
                            <w:sz w:val="24"/>
                          </w:rPr>
                          <w:t> </w:t>
                        </w:r>
                        <w:r>
                          <w:rPr>
                            <w:rFonts w:ascii="Times New Roman"/>
                            <w:b/>
                            <w:spacing w:val="-2"/>
                            <w:sz w:val="24"/>
                          </w:rPr>
                          <w:t>Management</w:t>
                        </w:r>
                      </w:p>
                      <w:p>
                        <w:pPr>
                          <w:spacing w:line="237" w:lineRule="auto" w:before="1"/>
                          <w:ind w:left="146" w:right="57" w:firstLine="62"/>
                          <w:jc w:val="left"/>
                          <w:rPr>
                            <w:rFonts w:ascii="Times New Roman"/>
                            <w:sz w:val="24"/>
                          </w:rPr>
                        </w:pPr>
                        <w:r>
                          <w:rPr>
                            <w:rFonts w:ascii="Times New Roman"/>
                            <w:sz w:val="24"/>
                          </w:rPr>
                          <w:t>Funds</w:t>
                        </w:r>
                        <w:r>
                          <w:rPr>
                            <w:rFonts w:ascii="Times New Roman"/>
                            <w:spacing w:val="-3"/>
                            <w:sz w:val="24"/>
                          </w:rPr>
                          <w:t> </w:t>
                        </w:r>
                        <w:r>
                          <w:rPr>
                            <w:rFonts w:ascii="Times New Roman"/>
                            <w:sz w:val="24"/>
                          </w:rPr>
                          <w:t>received</w:t>
                        </w:r>
                        <w:r>
                          <w:rPr>
                            <w:rFonts w:ascii="Times New Roman"/>
                            <w:spacing w:val="-1"/>
                            <w:sz w:val="24"/>
                          </w:rPr>
                          <w:t> </w:t>
                        </w:r>
                        <w:r>
                          <w:rPr>
                            <w:rFonts w:ascii="Times New Roman"/>
                            <w:sz w:val="24"/>
                          </w:rPr>
                          <w:t>are</w:t>
                        </w:r>
                        <w:r>
                          <w:rPr>
                            <w:rFonts w:ascii="Times New Roman"/>
                            <w:spacing w:val="-2"/>
                            <w:sz w:val="24"/>
                          </w:rPr>
                          <w:t> </w:t>
                        </w:r>
                        <w:r>
                          <w:rPr>
                            <w:rFonts w:ascii="Times New Roman"/>
                            <w:sz w:val="24"/>
                          </w:rPr>
                          <w:t>disbursed</w:t>
                        </w:r>
                        <w:r>
                          <w:rPr>
                            <w:rFonts w:ascii="Times New Roman"/>
                            <w:spacing w:val="-1"/>
                            <w:sz w:val="24"/>
                          </w:rPr>
                          <w:t> </w:t>
                        </w:r>
                        <w:r>
                          <w:rPr>
                            <w:rFonts w:ascii="Times New Roman"/>
                            <w:sz w:val="24"/>
                          </w:rPr>
                          <w:t>through</w:t>
                        </w:r>
                        <w:r>
                          <w:rPr>
                            <w:rFonts w:ascii="Times New Roman"/>
                            <w:spacing w:val="-6"/>
                            <w:sz w:val="24"/>
                          </w:rPr>
                          <w:t> </w:t>
                        </w:r>
                        <w:r>
                          <w:rPr>
                            <w:rFonts w:ascii="Times New Roman"/>
                            <w:sz w:val="24"/>
                          </w:rPr>
                          <w:t>Federal/University</w:t>
                        </w:r>
                        <w:r>
                          <w:rPr>
                            <w:rFonts w:ascii="Times New Roman"/>
                            <w:spacing w:val="-6"/>
                            <w:sz w:val="24"/>
                          </w:rPr>
                          <w:t> </w:t>
                        </w:r>
                        <w:r>
                          <w:rPr>
                            <w:rFonts w:ascii="Times New Roman"/>
                            <w:sz w:val="24"/>
                          </w:rPr>
                          <w:t>Council</w:t>
                        </w:r>
                        <w:r>
                          <w:rPr>
                            <w:rFonts w:ascii="Times New Roman"/>
                            <w:spacing w:val="-10"/>
                            <w:sz w:val="24"/>
                          </w:rPr>
                          <w:t> </w:t>
                        </w:r>
                        <w:r>
                          <w:rPr>
                            <w:rFonts w:ascii="Times New Roman"/>
                            <w:sz w:val="24"/>
                          </w:rPr>
                          <w:t>(Council</w:t>
                        </w:r>
                        <w:r>
                          <w:rPr>
                            <w:rFonts w:ascii="Times New Roman"/>
                            <w:spacing w:val="-6"/>
                            <w:sz w:val="24"/>
                          </w:rPr>
                          <w:t> </w:t>
                        </w:r>
                        <w:r>
                          <w:rPr>
                            <w:rFonts w:ascii="Times New Roman"/>
                            <w:sz w:val="24"/>
                          </w:rPr>
                          <w:t>General</w:t>
                        </w:r>
                        <w:r>
                          <w:rPr>
                            <w:rFonts w:ascii="Times New Roman"/>
                            <w:spacing w:val="-6"/>
                            <w:sz w:val="24"/>
                          </w:rPr>
                          <w:t> </w:t>
                        </w:r>
                        <w:r>
                          <w:rPr>
                            <w:rFonts w:ascii="Times New Roman"/>
                            <w:sz w:val="24"/>
                          </w:rPr>
                          <w:t>Purpose Standing Committee) or Management to various Units for Students Welfare Services</w:t>
                        </w:r>
                      </w:p>
                    </w:txbxContent>
                  </v:textbox>
                  <v:stroke dashstyle="solid"/>
                  <w10:wrap type="none"/>
                </v:shape>
                <v:shape style="position:absolute;left:1257;top:1824;width:5040;height:898" type="#_x0000_t202" id="docshape531" filled="false" stroked="true" strokeweight=".71999pt" strokecolor="#000000">
                  <v:textbox inset="0,0,0,0">
                    <w:txbxContent>
                      <w:p>
                        <w:pPr>
                          <w:spacing w:line="254" w:lineRule="auto" w:before="65"/>
                          <w:ind w:left="146" w:right="55" w:firstLine="0"/>
                          <w:jc w:val="left"/>
                          <w:rPr>
                            <w:rFonts w:ascii="Times New Roman"/>
                            <w:sz w:val="20"/>
                          </w:rPr>
                        </w:pPr>
                        <w:r>
                          <w:rPr>
                            <w:rFonts w:ascii="Times New Roman"/>
                            <w:sz w:val="20"/>
                          </w:rPr>
                          <w:t>Federal</w:t>
                        </w:r>
                        <w:r>
                          <w:rPr>
                            <w:rFonts w:ascii="Times New Roman"/>
                            <w:spacing w:val="-4"/>
                            <w:sz w:val="20"/>
                          </w:rPr>
                          <w:t> </w:t>
                        </w:r>
                        <w:r>
                          <w:rPr>
                            <w:rFonts w:ascii="Times New Roman"/>
                            <w:sz w:val="20"/>
                          </w:rPr>
                          <w:t>Ministry</w:t>
                        </w:r>
                        <w:r>
                          <w:rPr>
                            <w:rFonts w:ascii="Times New Roman"/>
                            <w:spacing w:val="-10"/>
                            <w:sz w:val="20"/>
                          </w:rPr>
                          <w:t> </w:t>
                        </w:r>
                        <w:r>
                          <w:rPr>
                            <w:rFonts w:ascii="Times New Roman"/>
                            <w:sz w:val="20"/>
                          </w:rPr>
                          <w:t>of</w:t>
                        </w:r>
                        <w:r>
                          <w:rPr>
                            <w:rFonts w:ascii="Times New Roman"/>
                            <w:spacing w:val="-6"/>
                            <w:sz w:val="20"/>
                          </w:rPr>
                          <w:t> </w:t>
                        </w:r>
                        <w:r>
                          <w:rPr>
                            <w:rFonts w:ascii="Times New Roman"/>
                            <w:sz w:val="20"/>
                          </w:rPr>
                          <w:t>Finance</w:t>
                        </w:r>
                        <w:r>
                          <w:rPr>
                            <w:rFonts w:ascii="Times New Roman"/>
                            <w:spacing w:val="-4"/>
                            <w:sz w:val="20"/>
                          </w:rPr>
                          <w:t> </w:t>
                        </w:r>
                        <w:r>
                          <w:rPr>
                            <w:rFonts w:ascii="Times New Roman"/>
                            <w:sz w:val="20"/>
                          </w:rPr>
                          <w:t>releases</w:t>
                        </w:r>
                        <w:r>
                          <w:rPr>
                            <w:rFonts w:ascii="Times New Roman"/>
                            <w:spacing w:val="-2"/>
                            <w:sz w:val="20"/>
                          </w:rPr>
                          <w:t> </w:t>
                        </w:r>
                        <w:r>
                          <w:rPr>
                            <w:rFonts w:ascii="Times New Roman"/>
                            <w:sz w:val="20"/>
                          </w:rPr>
                          <w:t>funds</w:t>
                        </w:r>
                        <w:r>
                          <w:rPr>
                            <w:rFonts w:ascii="Times New Roman"/>
                            <w:spacing w:val="-2"/>
                            <w:sz w:val="20"/>
                          </w:rPr>
                          <w:t> </w:t>
                        </w:r>
                        <w:r>
                          <w:rPr>
                            <w:rFonts w:ascii="Times New Roman"/>
                            <w:sz w:val="20"/>
                          </w:rPr>
                          <w:t>directly</w:t>
                        </w:r>
                        <w:r>
                          <w:rPr>
                            <w:rFonts w:ascii="Times New Roman"/>
                            <w:spacing w:val="-10"/>
                            <w:sz w:val="20"/>
                          </w:rPr>
                          <w:t> </w:t>
                        </w:r>
                        <w:r>
                          <w:rPr>
                            <w:rFonts w:ascii="Times New Roman"/>
                            <w:sz w:val="20"/>
                          </w:rPr>
                          <w:t>to Federal Universities after budget defence.</w:t>
                        </w:r>
                      </w:p>
                    </w:txbxContent>
                  </v:textbox>
                  <v:stroke dashstyle="solid"/>
                  <w10:wrap type="none"/>
                </v:shape>
                <w10:wrap type="none"/>
              </v:group>
            </w:pict>
          </mc:Fallback>
        </mc:AlternateContent>
      </w:r>
      <w:r>
        <w:rPr/>
        <mc:AlternateContent>
          <mc:Choice Requires="wps">
            <w:drawing>
              <wp:anchor distT="0" distB="0" distL="0" distR="0" allowOverlap="1" layoutInCell="1" locked="0" behindDoc="1" simplePos="0" relativeHeight="466631168">
                <wp:simplePos x="0" y="0"/>
                <wp:positionH relativeFrom="page">
                  <wp:posOffset>417576</wp:posOffset>
                </wp:positionH>
                <wp:positionV relativeFrom="page">
                  <wp:posOffset>5745479</wp:posOffset>
                </wp:positionV>
                <wp:extent cx="8879205" cy="1065530"/>
                <wp:effectExtent l="0" t="0" r="0" b="0"/>
                <wp:wrapNone/>
                <wp:docPr id="533" name="Group 533"/>
                <wp:cNvGraphicFramePr>
                  <a:graphicFrameLocks/>
                </wp:cNvGraphicFramePr>
                <a:graphic>
                  <a:graphicData uri="http://schemas.microsoft.com/office/word/2010/wordprocessingGroup">
                    <wpg:wgp>
                      <wpg:cNvPr id="533" name="Group 533"/>
                      <wpg:cNvGrpSpPr/>
                      <wpg:grpSpPr>
                        <a:xfrm>
                          <a:off x="0" y="0"/>
                          <a:ext cx="8879205" cy="1065530"/>
                          <a:chExt cx="8879205" cy="1065530"/>
                        </a:xfrm>
                      </wpg:grpSpPr>
                      <wps:wsp>
                        <wps:cNvPr id="534" name="Graphic 534"/>
                        <wps:cNvSpPr/>
                        <wps:spPr>
                          <a:xfrm>
                            <a:off x="0" y="0"/>
                            <a:ext cx="8879205" cy="966469"/>
                          </a:xfrm>
                          <a:custGeom>
                            <a:avLst/>
                            <a:gdLst/>
                            <a:ahLst/>
                            <a:cxnLst/>
                            <a:rect l="l" t="t" r="r" b="b"/>
                            <a:pathLst>
                              <a:path w="8879205" h="966469">
                                <a:moveTo>
                                  <a:pt x="387096" y="36576"/>
                                </a:moveTo>
                                <a:lnTo>
                                  <a:pt x="381000" y="33528"/>
                                </a:lnTo>
                                <a:lnTo>
                                  <a:pt x="115824" y="33528"/>
                                </a:lnTo>
                                <a:lnTo>
                                  <a:pt x="115824" y="0"/>
                                </a:lnTo>
                                <a:lnTo>
                                  <a:pt x="42722" y="35090"/>
                                </a:lnTo>
                                <a:lnTo>
                                  <a:pt x="39624" y="33528"/>
                                </a:lnTo>
                                <a:lnTo>
                                  <a:pt x="33528" y="36576"/>
                                </a:lnTo>
                                <a:lnTo>
                                  <a:pt x="33528" y="762000"/>
                                </a:lnTo>
                                <a:lnTo>
                                  <a:pt x="0" y="762000"/>
                                </a:lnTo>
                                <a:lnTo>
                                  <a:pt x="39624" y="838200"/>
                                </a:lnTo>
                                <a:lnTo>
                                  <a:pt x="67411" y="780288"/>
                                </a:lnTo>
                                <a:lnTo>
                                  <a:pt x="76200" y="762000"/>
                                </a:lnTo>
                                <a:lnTo>
                                  <a:pt x="45720" y="762000"/>
                                </a:lnTo>
                                <a:lnTo>
                                  <a:pt x="45720" y="39751"/>
                                </a:lnTo>
                                <a:lnTo>
                                  <a:pt x="115824" y="76200"/>
                                </a:lnTo>
                                <a:lnTo>
                                  <a:pt x="115824" y="42672"/>
                                </a:lnTo>
                                <a:lnTo>
                                  <a:pt x="381000" y="42672"/>
                                </a:lnTo>
                                <a:lnTo>
                                  <a:pt x="387096" y="36576"/>
                                </a:lnTo>
                                <a:close/>
                              </a:path>
                              <a:path w="8879205" h="966469">
                                <a:moveTo>
                                  <a:pt x="725424" y="850392"/>
                                </a:moveTo>
                                <a:lnTo>
                                  <a:pt x="719074" y="847344"/>
                                </a:lnTo>
                                <a:lnTo>
                                  <a:pt x="649224" y="813816"/>
                                </a:lnTo>
                                <a:lnTo>
                                  <a:pt x="649224" y="847344"/>
                                </a:lnTo>
                                <a:lnTo>
                                  <a:pt x="39624" y="847344"/>
                                </a:lnTo>
                                <a:lnTo>
                                  <a:pt x="33528" y="850392"/>
                                </a:lnTo>
                                <a:lnTo>
                                  <a:pt x="39624" y="856488"/>
                                </a:lnTo>
                                <a:lnTo>
                                  <a:pt x="649224" y="856488"/>
                                </a:lnTo>
                                <a:lnTo>
                                  <a:pt x="649224" y="890016"/>
                                </a:lnTo>
                                <a:lnTo>
                                  <a:pt x="713689" y="856488"/>
                                </a:lnTo>
                                <a:lnTo>
                                  <a:pt x="725424" y="850392"/>
                                </a:lnTo>
                                <a:close/>
                              </a:path>
                              <a:path w="8879205" h="966469">
                                <a:moveTo>
                                  <a:pt x="8839200" y="216408"/>
                                </a:moveTo>
                                <a:lnTo>
                                  <a:pt x="8832850" y="213360"/>
                                </a:lnTo>
                                <a:lnTo>
                                  <a:pt x="8763000" y="179832"/>
                                </a:lnTo>
                                <a:lnTo>
                                  <a:pt x="8763000" y="213360"/>
                                </a:lnTo>
                                <a:lnTo>
                                  <a:pt x="8382000" y="213360"/>
                                </a:lnTo>
                                <a:lnTo>
                                  <a:pt x="8378952" y="216408"/>
                                </a:lnTo>
                                <a:lnTo>
                                  <a:pt x="8382000" y="222504"/>
                                </a:lnTo>
                                <a:lnTo>
                                  <a:pt x="8763000" y="222504"/>
                                </a:lnTo>
                                <a:lnTo>
                                  <a:pt x="8763000" y="256032"/>
                                </a:lnTo>
                                <a:lnTo>
                                  <a:pt x="8827465" y="222504"/>
                                </a:lnTo>
                                <a:lnTo>
                                  <a:pt x="8839200" y="216408"/>
                                </a:lnTo>
                                <a:close/>
                              </a:path>
                              <a:path w="8879205" h="966469">
                                <a:moveTo>
                                  <a:pt x="8878824" y="877824"/>
                                </a:moveTo>
                                <a:lnTo>
                                  <a:pt x="8845347" y="876490"/>
                                </a:lnTo>
                                <a:lnTo>
                                  <a:pt x="8848344" y="234696"/>
                                </a:lnTo>
                                <a:lnTo>
                                  <a:pt x="8842248" y="228600"/>
                                </a:lnTo>
                                <a:lnTo>
                                  <a:pt x="8839200" y="234696"/>
                                </a:lnTo>
                                <a:lnTo>
                                  <a:pt x="8836215" y="876122"/>
                                </a:lnTo>
                                <a:lnTo>
                                  <a:pt x="8802624" y="874776"/>
                                </a:lnTo>
                                <a:lnTo>
                                  <a:pt x="8826030" y="923544"/>
                                </a:lnTo>
                                <a:lnTo>
                                  <a:pt x="8001000" y="923544"/>
                                </a:lnTo>
                                <a:lnTo>
                                  <a:pt x="8001000" y="890016"/>
                                </a:lnTo>
                                <a:lnTo>
                                  <a:pt x="7924800" y="926592"/>
                                </a:lnTo>
                                <a:lnTo>
                                  <a:pt x="8001000" y="966216"/>
                                </a:lnTo>
                                <a:lnTo>
                                  <a:pt x="8001000" y="932688"/>
                                </a:lnTo>
                                <a:lnTo>
                                  <a:pt x="8830412" y="932688"/>
                                </a:lnTo>
                                <a:lnTo>
                                  <a:pt x="8839200" y="950976"/>
                                </a:lnTo>
                                <a:lnTo>
                                  <a:pt x="8870569" y="893064"/>
                                </a:lnTo>
                                <a:lnTo>
                                  <a:pt x="8878824" y="877824"/>
                                </a:lnTo>
                                <a:close/>
                              </a:path>
                            </a:pathLst>
                          </a:custGeom>
                          <a:solidFill>
                            <a:srgbClr val="000000"/>
                          </a:solidFill>
                        </wps:spPr>
                        <wps:bodyPr wrap="square" lIns="0" tIns="0" rIns="0" bIns="0" rtlCol="0">
                          <a:prstTxWarp prst="textNoShape">
                            <a:avLst/>
                          </a:prstTxWarp>
                          <a:noAutofit/>
                        </wps:bodyPr>
                      </wps:wsp>
                      <pic:pic>
                        <pic:nvPicPr>
                          <pic:cNvPr id="535" name="Image 535"/>
                          <pic:cNvPicPr/>
                        </pic:nvPicPr>
                        <pic:blipFill>
                          <a:blip r:embed="rId565" cstate="print"/>
                          <a:stretch>
                            <a:fillRect/>
                          </a:stretch>
                        </pic:blipFill>
                        <pic:spPr>
                          <a:xfrm>
                            <a:off x="3886200" y="603504"/>
                            <a:ext cx="76200" cy="118872"/>
                          </a:xfrm>
                          <a:prstGeom prst="rect">
                            <a:avLst/>
                          </a:prstGeom>
                        </pic:spPr>
                      </pic:pic>
                      <wps:wsp>
                        <wps:cNvPr id="536" name="Textbox 536"/>
                        <wps:cNvSpPr txBox="1"/>
                        <wps:spPr>
                          <a:xfrm>
                            <a:off x="725423" y="731519"/>
                            <a:ext cx="7199630" cy="329565"/>
                          </a:xfrm>
                          <a:prstGeom prst="rect">
                            <a:avLst/>
                          </a:prstGeom>
                          <a:ln w="9143">
                            <a:solidFill>
                              <a:srgbClr val="000000"/>
                            </a:solidFill>
                            <a:prstDash val="solid"/>
                          </a:ln>
                        </wps:spPr>
                        <wps:txbx>
                          <w:txbxContent>
                            <w:p>
                              <w:pPr>
                                <w:spacing w:before="76"/>
                                <w:ind w:left="7" w:right="0" w:firstLine="0"/>
                                <w:jc w:val="center"/>
                                <w:rPr>
                                  <w:rFonts w:ascii="Times New Roman"/>
                                  <w:sz w:val="24"/>
                                </w:rPr>
                              </w:pPr>
                              <w:r>
                                <w:rPr>
                                  <w:rFonts w:ascii="Times New Roman"/>
                                  <w:spacing w:val="-2"/>
                                  <w:sz w:val="24"/>
                                </w:rPr>
                                <w:t>Students</w:t>
                              </w:r>
                            </w:p>
                          </w:txbxContent>
                        </wps:txbx>
                        <wps:bodyPr wrap="square" lIns="0" tIns="0" rIns="0" bIns="0" rtlCol="0">
                          <a:noAutofit/>
                        </wps:bodyPr>
                      </wps:wsp>
                    </wpg:wgp>
                  </a:graphicData>
                </a:graphic>
              </wp:anchor>
            </w:drawing>
          </mc:Choice>
          <mc:Fallback>
            <w:pict>
              <v:group style="position:absolute;margin-left:32.880001pt;margin-top:452.399994pt;width:699.15pt;height:83.9pt;mso-position-horizontal-relative:page;mso-position-vertical-relative:page;z-index:-36685312" id="docshapegroup532" coordorigin="658,9048" coordsize="13983,1678">
                <v:shape style="position:absolute;left:657;top:9048;width:13983;height:1522" id="docshape533" coordorigin="658,9048" coordsize="13983,1522" path="m1267,9106l1258,9101,840,9101,840,9048,725,9103,720,9101,710,9106,710,10248,658,10248,720,10368,764,10277,778,10248,730,10248,730,9111,840,9168,840,9115,1258,9115,1267,9106xm1800,10387l1790,10382,1680,10330,1680,10382,720,10382,710,10387,720,10397,1680,10397,1680,10450,1782,10397,1800,10387xm14578,9389l14568,9384,14458,9331,14458,9384,13858,9384,13853,9389,13858,9398,14458,9398,14458,9451,14559,9398,14578,9389xm14640,10430l14587,10428,14592,9418,14582,9408,14578,9418,14573,10428,14520,10426,14557,10502,13258,10502,13258,10450,13138,10507,13258,10570,13258,10517,14564,10517,14578,10546,14627,10454,14640,10430xe" filled="true" fillcolor="#000000" stroked="false">
                  <v:path arrowok="t"/>
                  <v:fill type="solid"/>
                </v:shape>
                <v:shape style="position:absolute;left:6777;top:9998;width:120;height:188" type="#_x0000_t75" id="docshape534" stroked="false">
                  <v:imagedata r:id="rId565" o:title=""/>
                </v:shape>
                <v:shape style="position:absolute;left:1800;top:10200;width:11338;height:519" type="#_x0000_t202" id="docshape535" filled="false" stroked="true" strokeweight=".71999pt" strokecolor="#000000">
                  <v:textbox inset="0,0,0,0">
                    <w:txbxContent>
                      <w:p>
                        <w:pPr>
                          <w:spacing w:before="76"/>
                          <w:ind w:left="7" w:right="0" w:firstLine="0"/>
                          <w:jc w:val="center"/>
                          <w:rPr>
                            <w:rFonts w:ascii="Times New Roman"/>
                            <w:sz w:val="24"/>
                          </w:rPr>
                        </w:pPr>
                        <w:r>
                          <w:rPr>
                            <w:rFonts w:ascii="Times New Roman"/>
                            <w:spacing w:val="-2"/>
                            <w:sz w:val="24"/>
                          </w:rPr>
                          <w:t>Students</w:t>
                        </w:r>
                      </w:p>
                    </w:txbxContent>
                  </v:textbox>
                  <v:stroke dashstyle="solid"/>
                  <w10:wrap type="none"/>
                </v:shape>
                <w10:wrap type="none"/>
              </v:group>
            </w:pict>
          </mc:Fallback>
        </mc:AlternateContent>
      </w:r>
      <w:r>
        <w:rPr>
          <w:rFonts w:ascii="Times New Roman" w:hAnsi="Times New Roman"/>
        </w:rPr>
        <w:t>Fig. 5.3.1:</w:t>
      </w:r>
      <w:r>
        <w:rPr>
          <w:rFonts w:ascii="Times New Roman" w:hAnsi="Times New Roman"/>
          <w:spacing w:val="-4"/>
        </w:rPr>
        <w:t> </w:t>
      </w:r>
      <w:r>
        <w:rPr>
          <w:rFonts w:ascii="Times New Roman" w:hAnsi="Times New Roman"/>
        </w:rPr>
        <w:t>Suggested</w:t>
      </w:r>
      <w:r>
        <w:rPr>
          <w:rFonts w:ascii="Times New Roman" w:hAnsi="Times New Roman"/>
          <w:spacing w:val="-5"/>
        </w:rPr>
        <w:t> </w:t>
      </w:r>
      <w:r>
        <w:rPr>
          <w:rFonts w:ascii="Times New Roman" w:hAnsi="Times New Roman"/>
        </w:rPr>
        <w:t>Model</w:t>
      </w:r>
      <w:r>
        <w:rPr>
          <w:rFonts w:ascii="Times New Roman" w:hAnsi="Times New Roman"/>
          <w:spacing w:val="-6"/>
        </w:rPr>
        <w:t> </w:t>
      </w:r>
      <w:r>
        <w:rPr>
          <w:rFonts w:ascii="Times New Roman" w:hAnsi="Times New Roman"/>
        </w:rPr>
        <w:t>for</w:t>
      </w:r>
      <w:r>
        <w:rPr>
          <w:rFonts w:ascii="Times New Roman" w:hAnsi="Times New Roman"/>
          <w:spacing w:val="-7"/>
        </w:rPr>
        <w:t> </w:t>
      </w:r>
      <w:r>
        <w:rPr>
          <w:rFonts w:ascii="Times New Roman" w:hAnsi="Times New Roman"/>
        </w:rPr>
        <w:t>the</w:t>
      </w:r>
      <w:r>
        <w:rPr>
          <w:rFonts w:ascii="Times New Roman" w:hAnsi="Times New Roman"/>
          <w:spacing w:val="-2"/>
        </w:rPr>
        <w:t> </w:t>
      </w:r>
      <w:r>
        <w:rPr>
          <w:rFonts w:ascii="Times New Roman" w:hAnsi="Times New Roman"/>
        </w:rPr>
        <w:t>effective</w:t>
      </w:r>
      <w:r>
        <w:rPr>
          <w:rFonts w:ascii="Times New Roman" w:hAnsi="Times New Roman"/>
          <w:spacing w:val="-2"/>
        </w:rPr>
        <w:t> </w:t>
      </w:r>
      <w:r>
        <w:rPr>
          <w:rFonts w:ascii="Times New Roman" w:hAnsi="Times New Roman"/>
        </w:rPr>
        <w:t>provision</w:t>
      </w:r>
      <w:r>
        <w:rPr>
          <w:rFonts w:ascii="Times New Roman" w:hAnsi="Times New Roman"/>
          <w:spacing w:val="-1"/>
        </w:rPr>
        <w:t> </w:t>
      </w:r>
      <w:r>
        <w:rPr>
          <w:rFonts w:ascii="Times New Roman" w:hAnsi="Times New Roman"/>
        </w:rPr>
        <w:t>and</w:t>
      </w:r>
      <w:r>
        <w:rPr>
          <w:rFonts w:ascii="Times New Roman" w:hAnsi="Times New Roman"/>
          <w:spacing w:val="-1"/>
        </w:rPr>
        <w:t> </w:t>
      </w:r>
      <w:r>
        <w:rPr>
          <w:rFonts w:ascii="Times New Roman" w:hAnsi="Times New Roman"/>
        </w:rPr>
        <w:t>management of</w:t>
      </w:r>
      <w:r>
        <w:rPr>
          <w:rFonts w:ascii="Times New Roman" w:hAnsi="Times New Roman"/>
          <w:spacing w:val="-4"/>
        </w:rPr>
        <w:t> </w:t>
      </w:r>
      <w:r>
        <w:rPr>
          <w:rFonts w:ascii="Times New Roman" w:hAnsi="Times New Roman"/>
        </w:rPr>
        <w:t>students’</w:t>
      </w:r>
      <w:r>
        <w:rPr>
          <w:rFonts w:ascii="Times New Roman" w:hAnsi="Times New Roman"/>
          <w:spacing w:val="-4"/>
        </w:rPr>
        <w:t> </w:t>
      </w:r>
      <w:r>
        <w:rPr>
          <w:rFonts w:ascii="Times New Roman" w:hAnsi="Times New Roman"/>
        </w:rPr>
        <w:t>welfare</w:t>
      </w:r>
      <w:r>
        <w:rPr>
          <w:rFonts w:ascii="Times New Roman" w:hAnsi="Times New Roman"/>
          <w:spacing w:val="-2"/>
        </w:rPr>
        <w:t> </w:t>
      </w:r>
      <w:r>
        <w:rPr>
          <w:rFonts w:ascii="Times New Roman" w:hAnsi="Times New Roman"/>
        </w:rPr>
        <w:t>services</w:t>
      </w:r>
      <w:r>
        <w:rPr>
          <w:rFonts w:ascii="Times New Roman" w:hAnsi="Times New Roman"/>
          <w:spacing w:val="-7"/>
        </w:rPr>
        <w:t> </w:t>
      </w:r>
      <w:r>
        <w:rPr>
          <w:rFonts w:ascii="Times New Roman" w:hAnsi="Times New Roman"/>
        </w:rPr>
        <w:t>in</w:t>
      </w:r>
      <w:r>
        <w:rPr>
          <w:rFonts w:ascii="Times New Roman" w:hAnsi="Times New Roman"/>
          <w:spacing w:val="-1"/>
        </w:rPr>
        <w:t> </w:t>
      </w:r>
      <w:r>
        <w:rPr>
          <w:rFonts w:ascii="Times New Roman" w:hAnsi="Times New Roman"/>
        </w:rPr>
        <w:t>the</w:t>
      </w:r>
      <w:r>
        <w:rPr>
          <w:rFonts w:ascii="Times New Roman" w:hAnsi="Times New Roman"/>
          <w:spacing w:val="-2"/>
        </w:rPr>
        <w:t> </w:t>
      </w:r>
      <w:r>
        <w:rPr>
          <w:rFonts w:ascii="Times New Roman" w:hAnsi="Times New Roman"/>
        </w:rPr>
        <w:t>University</w:t>
      </w:r>
      <w:r>
        <w:rPr>
          <w:rFonts w:ascii="Times New Roman" w:hAnsi="Times New Roman"/>
          <w:spacing w:val="-1"/>
        </w:rPr>
        <w:t> </w:t>
      </w:r>
      <w:r>
        <w:rPr>
          <w:rFonts w:ascii="Times New Roman" w:hAnsi="Times New Roman"/>
        </w:rPr>
        <w:t>system in Nigeria</w:t>
      </w:r>
    </w:p>
    <w:p>
      <w:pPr>
        <w:pStyle w:val="BodyText"/>
        <w:rPr>
          <w:rFonts w:ascii="Times New Roman"/>
          <w:b/>
          <w:sz w:val="20"/>
        </w:rPr>
      </w:pPr>
    </w:p>
    <w:p>
      <w:pPr>
        <w:pStyle w:val="BodyText"/>
        <w:spacing w:before="84"/>
        <w:rPr>
          <w:rFonts w:ascii="Times New Roman"/>
          <w:b/>
          <w:sz w:val="20"/>
        </w:rPr>
      </w:pPr>
      <w:r>
        <w:rPr/>
        <mc:AlternateContent>
          <mc:Choice Requires="wps">
            <w:drawing>
              <wp:anchor distT="0" distB="0" distL="0" distR="0" allowOverlap="1" layoutInCell="1" locked="0" behindDoc="1" simplePos="0" relativeHeight="487589888">
                <wp:simplePos x="0" y="0"/>
                <wp:positionH relativeFrom="page">
                  <wp:posOffset>417576</wp:posOffset>
                </wp:positionH>
                <wp:positionV relativeFrom="paragraph">
                  <wp:posOffset>214748</wp:posOffset>
                </wp:positionV>
                <wp:extent cx="1986280" cy="1071880"/>
                <wp:effectExtent l="0" t="0" r="0" b="0"/>
                <wp:wrapTopAndBottom/>
                <wp:docPr id="537" name="Group 537"/>
                <wp:cNvGraphicFramePr>
                  <a:graphicFrameLocks/>
                </wp:cNvGraphicFramePr>
                <a:graphic>
                  <a:graphicData uri="http://schemas.microsoft.com/office/word/2010/wordprocessingGroup">
                    <wpg:wgp>
                      <wpg:cNvPr id="537" name="Group 537"/>
                      <wpg:cNvGrpSpPr/>
                      <wpg:grpSpPr>
                        <a:xfrm>
                          <a:off x="0" y="0"/>
                          <a:ext cx="1986280" cy="1071880"/>
                          <a:chExt cx="1986280" cy="1071880"/>
                        </a:xfrm>
                      </wpg:grpSpPr>
                      <wps:wsp>
                        <wps:cNvPr id="538" name="Graphic 538"/>
                        <wps:cNvSpPr/>
                        <wps:spPr>
                          <a:xfrm>
                            <a:off x="0" y="0"/>
                            <a:ext cx="387350" cy="762000"/>
                          </a:xfrm>
                          <a:custGeom>
                            <a:avLst/>
                            <a:gdLst/>
                            <a:ahLst/>
                            <a:cxnLst/>
                            <a:rect l="l" t="t" r="r" b="b"/>
                            <a:pathLst>
                              <a:path w="387350" h="762000">
                                <a:moveTo>
                                  <a:pt x="387096" y="39624"/>
                                </a:moveTo>
                                <a:lnTo>
                                  <a:pt x="381000" y="33528"/>
                                </a:lnTo>
                                <a:lnTo>
                                  <a:pt x="115824" y="33528"/>
                                </a:lnTo>
                                <a:lnTo>
                                  <a:pt x="115824" y="0"/>
                                </a:lnTo>
                                <a:lnTo>
                                  <a:pt x="43624" y="37541"/>
                                </a:lnTo>
                                <a:lnTo>
                                  <a:pt x="39624" y="33528"/>
                                </a:lnTo>
                                <a:lnTo>
                                  <a:pt x="33528" y="39624"/>
                                </a:lnTo>
                                <a:lnTo>
                                  <a:pt x="33528" y="649224"/>
                                </a:lnTo>
                                <a:lnTo>
                                  <a:pt x="0" y="649224"/>
                                </a:lnTo>
                                <a:lnTo>
                                  <a:pt x="37528" y="721423"/>
                                </a:lnTo>
                                <a:lnTo>
                                  <a:pt x="33528" y="725424"/>
                                </a:lnTo>
                                <a:lnTo>
                                  <a:pt x="39624" y="731520"/>
                                </a:lnTo>
                                <a:lnTo>
                                  <a:pt x="304800" y="731520"/>
                                </a:lnTo>
                                <a:lnTo>
                                  <a:pt x="304800" y="762000"/>
                                </a:lnTo>
                                <a:lnTo>
                                  <a:pt x="368287" y="731520"/>
                                </a:lnTo>
                                <a:lnTo>
                                  <a:pt x="381000" y="725424"/>
                                </a:lnTo>
                                <a:lnTo>
                                  <a:pt x="369265" y="719328"/>
                                </a:lnTo>
                                <a:lnTo>
                                  <a:pt x="304800" y="685800"/>
                                </a:lnTo>
                                <a:lnTo>
                                  <a:pt x="304800" y="719328"/>
                                </a:lnTo>
                                <a:lnTo>
                                  <a:pt x="42545" y="719328"/>
                                </a:lnTo>
                                <a:lnTo>
                                  <a:pt x="67411" y="667512"/>
                                </a:lnTo>
                                <a:lnTo>
                                  <a:pt x="76200" y="649224"/>
                                </a:lnTo>
                                <a:lnTo>
                                  <a:pt x="45720" y="649224"/>
                                </a:lnTo>
                                <a:lnTo>
                                  <a:pt x="45720" y="42557"/>
                                </a:lnTo>
                                <a:lnTo>
                                  <a:pt x="115824" y="76200"/>
                                </a:lnTo>
                                <a:lnTo>
                                  <a:pt x="115824" y="45720"/>
                                </a:lnTo>
                                <a:lnTo>
                                  <a:pt x="381000" y="45720"/>
                                </a:lnTo>
                                <a:lnTo>
                                  <a:pt x="387096" y="39624"/>
                                </a:lnTo>
                                <a:close/>
                              </a:path>
                            </a:pathLst>
                          </a:custGeom>
                          <a:solidFill>
                            <a:srgbClr val="000000"/>
                          </a:solidFill>
                        </wps:spPr>
                        <wps:bodyPr wrap="square" lIns="0" tIns="0" rIns="0" bIns="0" rtlCol="0">
                          <a:prstTxWarp prst="textNoShape">
                            <a:avLst/>
                          </a:prstTxWarp>
                          <a:noAutofit/>
                        </wps:bodyPr>
                      </wps:wsp>
                      <wps:wsp>
                        <wps:cNvPr id="539" name="Textbox 539"/>
                        <wps:cNvSpPr txBox="1"/>
                        <wps:spPr>
                          <a:xfrm>
                            <a:off x="381000" y="609600"/>
                            <a:ext cx="1600200" cy="457200"/>
                          </a:xfrm>
                          <a:prstGeom prst="rect">
                            <a:avLst/>
                          </a:prstGeom>
                          <a:ln w="9143">
                            <a:solidFill>
                              <a:srgbClr val="000000"/>
                            </a:solidFill>
                            <a:prstDash val="solid"/>
                          </a:ln>
                        </wps:spPr>
                        <wps:txbx>
                          <w:txbxContent>
                            <w:p>
                              <w:pPr>
                                <w:spacing w:line="249" w:lineRule="auto" w:before="66"/>
                                <w:ind w:left="146" w:right="485" w:firstLine="0"/>
                                <w:jc w:val="left"/>
                                <w:rPr>
                                  <w:rFonts w:ascii="Times New Roman"/>
                                  <w:sz w:val="24"/>
                                </w:rPr>
                              </w:pPr>
                              <w:r>
                                <w:rPr>
                                  <w:rFonts w:ascii="Times New Roman"/>
                                  <w:sz w:val="24"/>
                                </w:rPr>
                                <w:t>Federal</w:t>
                              </w:r>
                              <w:r>
                                <w:rPr>
                                  <w:rFonts w:ascii="Times New Roman"/>
                                  <w:spacing w:val="-15"/>
                                  <w:sz w:val="24"/>
                                </w:rPr>
                                <w:t> </w:t>
                              </w:r>
                              <w:r>
                                <w:rPr>
                                  <w:rFonts w:ascii="Times New Roman"/>
                                  <w:sz w:val="24"/>
                                </w:rPr>
                                <w:t>Ministry</w:t>
                              </w:r>
                              <w:r>
                                <w:rPr>
                                  <w:rFonts w:ascii="Times New Roman"/>
                                  <w:spacing w:val="-15"/>
                                  <w:sz w:val="24"/>
                                </w:rPr>
                                <w:t> </w:t>
                              </w:r>
                              <w:r>
                                <w:rPr>
                                  <w:rFonts w:ascii="Times New Roman"/>
                                  <w:sz w:val="24"/>
                                </w:rPr>
                                <w:t>of </w:t>
                              </w:r>
                              <w:r>
                                <w:rPr>
                                  <w:rFonts w:ascii="Times New Roman"/>
                                  <w:spacing w:val="-2"/>
                                  <w:sz w:val="24"/>
                                </w:rPr>
                                <w:t>Education/NUC</w:t>
                              </w:r>
                            </w:p>
                          </w:txbxContent>
                        </wps:txbx>
                        <wps:bodyPr wrap="square" lIns="0" tIns="0" rIns="0" bIns="0" rtlCol="0">
                          <a:noAutofit/>
                        </wps:bodyPr>
                      </wps:wsp>
                    </wpg:wgp>
                  </a:graphicData>
                </a:graphic>
              </wp:anchor>
            </w:drawing>
          </mc:Choice>
          <mc:Fallback>
            <w:pict>
              <v:group style="position:absolute;margin-left:32.880001pt;margin-top:16.909296pt;width:156.4pt;height:84.4pt;mso-position-horizontal-relative:page;mso-position-vertical-relative:paragraph;z-index:-15726592;mso-wrap-distance-left:0;mso-wrap-distance-right:0" id="docshapegroup536" coordorigin="658,338" coordsize="3128,1688">
                <v:shape style="position:absolute;left:657;top:338;width:610;height:1200" id="docshape537" coordorigin="658,338" coordsize="610,1200" path="m1267,401l1258,391,840,391,840,338,726,397,720,391,710,401,710,1361,658,1361,717,1474,710,1481,720,1490,1138,1490,1138,1538,1238,1490,1258,1481,1239,1471,1138,1418,1138,1471,725,1471,764,1389,778,1361,730,1361,730,405,840,458,840,410,1258,410,1267,401xe" filled="true" fillcolor="#000000" stroked="false">
                  <v:path arrowok="t"/>
                  <v:fill type="solid"/>
                </v:shape>
                <v:shape style="position:absolute;left:1257;top:1298;width:2520;height:720" type="#_x0000_t202" id="docshape538" filled="false" stroked="true" strokeweight=".71999pt" strokecolor="#000000">
                  <v:textbox inset="0,0,0,0">
                    <w:txbxContent>
                      <w:p>
                        <w:pPr>
                          <w:spacing w:line="249" w:lineRule="auto" w:before="66"/>
                          <w:ind w:left="146" w:right="485" w:firstLine="0"/>
                          <w:jc w:val="left"/>
                          <w:rPr>
                            <w:rFonts w:ascii="Times New Roman"/>
                            <w:sz w:val="24"/>
                          </w:rPr>
                        </w:pPr>
                        <w:r>
                          <w:rPr>
                            <w:rFonts w:ascii="Times New Roman"/>
                            <w:sz w:val="24"/>
                          </w:rPr>
                          <w:t>Federal</w:t>
                        </w:r>
                        <w:r>
                          <w:rPr>
                            <w:rFonts w:ascii="Times New Roman"/>
                            <w:spacing w:val="-15"/>
                            <w:sz w:val="24"/>
                          </w:rPr>
                          <w:t> </w:t>
                        </w:r>
                        <w:r>
                          <w:rPr>
                            <w:rFonts w:ascii="Times New Roman"/>
                            <w:sz w:val="24"/>
                          </w:rPr>
                          <w:t>Ministry</w:t>
                        </w:r>
                        <w:r>
                          <w:rPr>
                            <w:rFonts w:ascii="Times New Roman"/>
                            <w:spacing w:val="-15"/>
                            <w:sz w:val="24"/>
                          </w:rPr>
                          <w:t> </w:t>
                        </w:r>
                        <w:r>
                          <w:rPr>
                            <w:rFonts w:ascii="Times New Roman"/>
                            <w:sz w:val="24"/>
                          </w:rPr>
                          <w:t>of </w:t>
                        </w:r>
                        <w:r>
                          <w:rPr>
                            <w:rFonts w:ascii="Times New Roman"/>
                            <w:spacing w:val="-2"/>
                            <w:sz w:val="24"/>
                          </w:rPr>
                          <w:t>Education/NUC</w:t>
                        </w:r>
                      </w:p>
                    </w:txbxContent>
                  </v:textbox>
                  <v:stroke dashstyle="solid"/>
                  <w10:wrap type="none"/>
                </v:shape>
                <w10:wrap type="topAndBottom"/>
              </v:group>
            </w:pict>
          </mc:Fallback>
        </mc:AlternateContent>
      </w:r>
    </w:p>
    <w:p>
      <w:pPr>
        <w:pStyle w:val="BodyText"/>
        <w:rPr>
          <w:rFonts w:ascii="Times New Roman"/>
          <w:b/>
          <w:sz w:val="20"/>
        </w:rPr>
      </w:pPr>
    </w:p>
    <w:p>
      <w:pPr>
        <w:pStyle w:val="BodyText"/>
        <w:rPr>
          <w:rFonts w:ascii="Times New Roman"/>
          <w:b/>
          <w:sz w:val="20"/>
        </w:rPr>
      </w:pPr>
    </w:p>
    <w:p>
      <w:pPr>
        <w:pStyle w:val="BodyText"/>
        <w:spacing w:before="13"/>
        <w:rPr>
          <w:rFonts w:ascii="Times New Roman"/>
          <w:b/>
          <w:sz w:val="20"/>
        </w:rPr>
      </w:pPr>
    </w:p>
    <w:p>
      <w:pPr>
        <w:spacing w:line="249" w:lineRule="auto" w:before="0"/>
        <w:ind w:left="7524" w:right="4732" w:firstLine="0"/>
        <w:jc w:val="left"/>
        <w:rPr>
          <w:rFonts w:ascii="Times New Roman"/>
          <w:sz w:val="20"/>
        </w:rPr>
      </w:pPr>
      <w:r>
        <w:rPr/>
        <mc:AlternateContent>
          <mc:Choice Requires="wps">
            <w:drawing>
              <wp:anchor distT="0" distB="0" distL="0" distR="0" allowOverlap="1" layoutInCell="1" locked="0" behindDoc="1" simplePos="0" relativeHeight="466632192">
                <wp:simplePos x="0" y="0"/>
                <wp:positionH relativeFrom="page">
                  <wp:posOffset>3308604</wp:posOffset>
                </wp:positionH>
                <wp:positionV relativeFrom="paragraph">
                  <wp:posOffset>-796887</wp:posOffset>
                </wp:positionV>
                <wp:extent cx="2524125" cy="1102360"/>
                <wp:effectExtent l="0" t="0" r="0" b="0"/>
                <wp:wrapNone/>
                <wp:docPr id="540" name="Group 540"/>
                <wp:cNvGraphicFramePr>
                  <a:graphicFrameLocks/>
                </wp:cNvGraphicFramePr>
                <a:graphic>
                  <a:graphicData uri="http://schemas.microsoft.com/office/word/2010/wordprocessingGroup">
                    <wpg:wgp>
                      <wpg:cNvPr id="540" name="Group 540"/>
                      <wpg:cNvGrpSpPr/>
                      <wpg:grpSpPr>
                        <a:xfrm>
                          <a:off x="0" y="0"/>
                          <a:ext cx="2524125" cy="1102360"/>
                          <a:chExt cx="2524125" cy="1102360"/>
                        </a:xfrm>
                      </wpg:grpSpPr>
                      <wps:wsp>
                        <wps:cNvPr id="541" name="Graphic 541"/>
                        <wps:cNvSpPr/>
                        <wps:spPr>
                          <a:xfrm>
                            <a:off x="812291" y="754379"/>
                            <a:ext cx="76200" cy="347980"/>
                          </a:xfrm>
                          <a:custGeom>
                            <a:avLst/>
                            <a:gdLst/>
                            <a:ahLst/>
                            <a:cxnLst/>
                            <a:rect l="l" t="t" r="r" b="b"/>
                            <a:pathLst>
                              <a:path w="76200" h="347980">
                                <a:moveTo>
                                  <a:pt x="33527" y="271272"/>
                                </a:moveTo>
                                <a:lnTo>
                                  <a:pt x="0" y="271272"/>
                                </a:lnTo>
                                <a:lnTo>
                                  <a:pt x="39624" y="347472"/>
                                </a:lnTo>
                                <a:lnTo>
                                  <a:pt x="67421" y="289560"/>
                                </a:lnTo>
                                <a:lnTo>
                                  <a:pt x="39624" y="289560"/>
                                </a:lnTo>
                                <a:lnTo>
                                  <a:pt x="33527" y="283463"/>
                                </a:lnTo>
                                <a:lnTo>
                                  <a:pt x="33527" y="271272"/>
                                </a:lnTo>
                                <a:close/>
                              </a:path>
                              <a:path w="76200" h="347980">
                                <a:moveTo>
                                  <a:pt x="39624" y="0"/>
                                </a:moveTo>
                                <a:lnTo>
                                  <a:pt x="33527" y="3048"/>
                                </a:lnTo>
                                <a:lnTo>
                                  <a:pt x="33527" y="283463"/>
                                </a:lnTo>
                                <a:lnTo>
                                  <a:pt x="39624" y="289560"/>
                                </a:lnTo>
                                <a:lnTo>
                                  <a:pt x="45719" y="283463"/>
                                </a:lnTo>
                                <a:lnTo>
                                  <a:pt x="45719" y="3048"/>
                                </a:lnTo>
                                <a:lnTo>
                                  <a:pt x="39624" y="0"/>
                                </a:lnTo>
                                <a:close/>
                              </a:path>
                              <a:path w="76200" h="347980">
                                <a:moveTo>
                                  <a:pt x="76200" y="271272"/>
                                </a:moveTo>
                                <a:lnTo>
                                  <a:pt x="45719" y="271272"/>
                                </a:lnTo>
                                <a:lnTo>
                                  <a:pt x="45719" y="283463"/>
                                </a:lnTo>
                                <a:lnTo>
                                  <a:pt x="39624" y="289560"/>
                                </a:lnTo>
                                <a:lnTo>
                                  <a:pt x="67421" y="289560"/>
                                </a:lnTo>
                                <a:lnTo>
                                  <a:pt x="76200" y="271272"/>
                                </a:lnTo>
                                <a:close/>
                              </a:path>
                            </a:pathLst>
                          </a:custGeom>
                          <a:solidFill>
                            <a:srgbClr val="000000"/>
                          </a:solidFill>
                        </wps:spPr>
                        <wps:bodyPr wrap="square" lIns="0" tIns="0" rIns="0" bIns="0" rtlCol="0">
                          <a:prstTxWarp prst="textNoShape">
                            <a:avLst/>
                          </a:prstTxWarp>
                          <a:noAutofit/>
                        </wps:bodyPr>
                      </wps:wsp>
                      <wps:wsp>
                        <wps:cNvPr id="542" name="Textbox 542"/>
                        <wps:cNvSpPr txBox="1"/>
                        <wps:spPr>
                          <a:xfrm>
                            <a:off x="4571" y="4571"/>
                            <a:ext cx="2514600" cy="753110"/>
                          </a:xfrm>
                          <a:prstGeom prst="rect">
                            <a:avLst/>
                          </a:prstGeom>
                          <a:ln w="9143">
                            <a:solidFill>
                              <a:srgbClr val="000000"/>
                            </a:solidFill>
                            <a:prstDash val="solid"/>
                          </a:ln>
                        </wps:spPr>
                        <wps:txbx>
                          <w:txbxContent>
                            <w:p>
                              <w:pPr>
                                <w:spacing w:line="240" w:lineRule="auto" w:before="66"/>
                                <w:ind w:left="146" w:right="420" w:firstLine="0"/>
                                <w:jc w:val="left"/>
                                <w:rPr>
                                  <w:rFonts w:ascii="Times New Roman"/>
                                  <w:sz w:val="24"/>
                                </w:rPr>
                              </w:pPr>
                              <w:r>
                                <w:rPr>
                                  <w:rFonts w:ascii="Times New Roman"/>
                                  <w:sz w:val="24"/>
                                </w:rPr>
                                <w:t>Revenue</w:t>
                              </w:r>
                              <w:r>
                                <w:rPr>
                                  <w:rFonts w:ascii="Times New Roman"/>
                                  <w:spacing w:val="-13"/>
                                  <w:sz w:val="24"/>
                                </w:rPr>
                                <w:t> </w:t>
                              </w:r>
                              <w:r>
                                <w:rPr>
                                  <w:rFonts w:ascii="Times New Roman"/>
                                  <w:sz w:val="24"/>
                                </w:rPr>
                                <w:t>from</w:t>
                              </w:r>
                              <w:r>
                                <w:rPr>
                                  <w:rFonts w:ascii="Times New Roman"/>
                                  <w:spacing w:val="-15"/>
                                  <w:sz w:val="24"/>
                                </w:rPr>
                                <w:t> </w:t>
                              </w:r>
                              <w:r>
                                <w:rPr>
                                  <w:rFonts w:ascii="Times New Roman"/>
                                  <w:sz w:val="24"/>
                                </w:rPr>
                                <w:t>outside</w:t>
                              </w:r>
                              <w:r>
                                <w:rPr>
                                  <w:rFonts w:ascii="Times New Roman"/>
                                  <w:spacing w:val="-12"/>
                                  <w:sz w:val="24"/>
                                </w:rPr>
                                <w:t> </w:t>
                              </w:r>
                              <w:r>
                                <w:rPr>
                                  <w:rFonts w:ascii="Times New Roman"/>
                                  <w:sz w:val="24"/>
                                </w:rPr>
                                <w:t>Government grants through Donor Agencies, Linkages, Collaborative Research, Alumni, World Bank etc.</w:t>
                              </w:r>
                            </w:p>
                          </w:txbxContent>
                        </wps:txbx>
                        <wps:bodyPr wrap="square" lIns="0" tIns="0" rIns="0" bIns="0" rtlCol="0">
                          <a:noAutofit/>
                        </wps:bodyPr>
                      </wps:wsp>
                    </wpg:wgp>
                  </a:graphicData>
                </a:graphic>
              </wp:anchor>
            </w:drawing>
          </mc:Choice>
          <mc:Fallback>
            <w:pict>
              <v:group style="position:absolute;margin-left:260.52002pt;margin-top:-62.747059pt;width:198.75pt;height:86.8pt;mso-position-horizontal-relative:page;mso-position-vertical-relative:paragraph;z-index:-36684288" id="docshapegroup539" coordorigin="5210,-1255" coordsize="3975,1736">
                <v:shape style="position:absolute;left:6489;top:-67;width:120;height:548" id="docshape540" coordorigin="6490,-67" coordsize="120,548" path="m6542,360l6490,360,6552,480,6596,389,6552,389,6542,379,6542,360xm6552,-67l6542,-62,6542,379,6552,389,6562,379,6562,-62,6552,-67xm6610,360l6562,360,6562,379,6552,389,6596,389,6610,360xe" filled="true" fillcolor="#000000" stroked="false">
                  <v:path arrowok="t"/>
                  <v:fill type="solid"/>
                </v:shape>
                <v:shape style="position:absolute;left:5217;top:-1248;width:3960;height:1186" type="#_x0000_t202" id="docshape541" filled="false" stroked="true" strokeweight=".71999pt" strokecolor="#000000">
                  <v:textbox inset="0,0,0,0">
                    <w:txbxContent>
                      <w:p>
                        <w:pPr>
                          <w:spacing w:line="240" w:lineRule="auto" w:before="66"/>
                          <w:ind w:left="146" w:right="420" w:firstLine="0"/>
                          <w:jc w:val="left"/>
                          <w:rPr>
                            <w:rFonts w:ascii="Times New Roman"/>
                            <w:sz w:val="24"/>
                          </w:rPr>
                        </w:pPr>
                        <w:r>
                          <w:rPr>
                            <w:rFonts w:ascii="Times New Roman"/>
                            <w:sz w:val="24"/>
                          </w:rPr>
                          <w:t>Revenue</w:t>
                        </w:r>
                        <w:r>
                          <w:rPr>
                            <w:rFonts w:ascii="Times New Roman"/>
                            <w:spacing w:val="-13"/>
                            <w:sz w:val="24"/>
                          </w:rPr>
                          <w:t> </w:t>
                        </w:r>
                        <w:r>
                          <w:rPr>
                            <w:rFonts w:ascii="Times New Roman"/>
                            <w:sz w:val="24"/>
                          </w:rPr>
                          <w:t>from</w:t>
                        </w:r>
                        <w:r>
                          <w:rPr>
                            <w:rFonts w:ascii="Times New Roman"/>
                            <w:spacing w:val="-15"/>
                            <w:sz w:val="24"/>
                          </w:rPr>
                          <w:t> </w:t>
                        </w:r>
                        <w:r>
                          <w:rPr>
                            <w:rFonts w:ascii="Times New Roman"/>
                            <w:sz w:val="24"/>
                          </w:rPr>
                          <w:t>outside</w:t>
                        </w:r>
                        <w:r>
                          <w:rPr>
                            <w:rFonts w:ascii="Times New Roman"/>
                            <w:spacing w:val="-12"/>
                            <w:sz w:val="24"/>
                          </w:rPr>
                          <w:t> </w:t>
                        </w:r>
                        <w:r>
                          <w:rPr>
                            <w:rFonts w:ascii="Times New Roman"/>
                            <w:sz w:val="24"/>
                          </w:rPr>
                          <w:t>Government grants through Donor Agencies, Linkages, Collaborative Research, Alumni, World Bank etc.</w:t>
                        </w:r>
                      </w:p>
                    </w:txbxContent>
                  </v:textbox>
                  <v:stroke dashstyle="solid"/>
                  <w10:wrap type="none"/>
                </v:shape>
                <w10:wrap type="none"/>
              </v:group>
            </w:pict>
          </mc:Fallback>
        </mc:AlternateContent>
      </w:r>
      <w:r>
        <w:rPr>
          <w:rFonts w:ascii="Times New Roman"/>
          <w:sz w:val="20"/>
        </w:rPr>
        <w:t>Evaluation</w:t>
      </w:r>
      <w:r>
        <w:rPr>
          <w:rFonts w:ascii="Times New Roman"/>
          <w:spacing w:val="-13"/>
          <w:sz w:val="20"/>
        </w:rPr>
        <w:t> </w:t>
      </w:r>
      <w:r>
        <w:rPr>
          <w:rFonts w:ascii="Times New Roman"/>
          <w:sz w:val="20"/>
        </w:rPr>
        <w:t>process by</w:t>
      </w:r>
      <w:r>
        <w:rPr>
          <w:rFonts w:ascii="Times New Roman"/>
          <w:spacing w:val="-5"/>
          <w:sz w:val="20"/>
        </w:rPr>
        <w:t> </w:t>
      </w:r>
      <w:r>
        <w:rPr>
          <w:rFonts w:ascii="Times New Roman"/>
          <w:sz w:val="20"/>
        </w:rPr>
        <w:t>Agencies</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9"/>
        <w:rPr>
          <w:rFonts w:ascii="Times New Roman"/>
          <w:sz w:val="20"/>
        </w:rPr>
      </w:pPr>
    </w:p>
    <w:tbl>
      <w:tblPr>
        <w:tblW w:w="0" w:type="auto"/>
        <w:jc w:val="left"/>
        <w:tblInd w:w="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98"/>
        <w:gridCol w:w="2198"/>
        <w:gridCol w:w="2428"/>
        <w:gridCol w:w="2433"/>
        <w:gridCol w:w="1871"/>
        <w:gridCol w:w="1401"/>
      </w:tblGrid>
      <w:tr>
        <w:trPr>
          <w:trHeight w:val="1055" w:hRule="atLeast"/>
        </w:trPr>
        <w:tc>
          <w:tcPr>
            <w:tcW w:w="4396" w:type="dxa"/>
            <w:gridSpan w:val="2"/>
          </w:tcPr>
          <w:p>
            <w:pPr>
              <w:pStyle w:val="TableParagraph"/>
              <w:spacing w:line="223" w:lineRule="exact"/>
              <w:ind w:left="1564"/>
              <w:rPr>
                <w:rFonts w:ascii="Times New Roman"/>
                <w:b/>
                <w:sz w:val="20"/>
              </w:rPr>
            </w:pPr>
            <w:r>
              <w:rPr>
                <w:rFonts w:ascii="Times New Roman"/>
                <w:b/>
                <w:sz w:val="20"/>
              </w:rPr>
              <w:t>Social</w:t>
            </w:r>
            <w:r>
              <w:rPr>
                <w:rFonts w:ascii="Times New Roman"/>
                <w:b/>
                <w:spacing w:val="-1"/>
                <w:sz w:val="20"/>
              </w:rPr>
              <w:t> </w:t>
            </w:r>
            <w:r>
              <w:rPr>
                <w:rFonts w:ascii="Times New Roman"/>
                <w:b/>
                <w:spacing w:val="-2"/>
                <w:sz w:val="20"/>
              </w:rPr>
              <w:t>Services</w:t>
            </w:r>
          </w:p>
          <w:p>
            <w:pPr>
              <w:pStyle w:val="TableParagraph"/>
              <w:ind w:left="110"/>
              <w:rPr>
                <w:rFonts w:ascii="Times New Roman" w:hAnsi="Times New Roman"/>
                <w:sz w:val="20"/>
              </w:rPr>
            </w:pPr>
            <w:r>
              <w:rPr>
                <w:rFonts w:ascii="Times New Roman" w:hAnsi="Times New Roman"/>
                <w:sz w:val="20"/>
              </w:rPr>
              <w:t>Students’</w:t>
            </w:r>
            <w:r>
              <w:rPr>
                <w:rFonts w:ascii="Times New Roman" w:hAnsi="Times New Roman"/>
                <w:spacing w:val="-3"/>
                <w:sz w:val="20"/>
              </w:rPr>
              <w:t> </w:t>
            </w:r>
            <w:r>
              <w:rPr>
                <w:rFonts w:ascii="Times New Roman" w:hAnsi="Times New Roman"/>
                <w:sz w:val="20"/>
              </w:rPr>
              <w:t>Welfare</w:t>
            </w:r>
            <w:r>
              <w:rPr>
                <w:rFonts w:ascii="Times New Roman" w:hAnsi="Times New Roman"/>
                <w:spacing w:val="-6"/>
                <w:sz w:val="20"/>
              </w:rPr>
              <w:t> </w:t>
            </w:r>
            <w:r>
              <w:rPr>
                <w:rFonts w:ascii="Times New Roman" w:hAnsi="Times New Roman"/>
                <w:sz w:val="20"/>
              </w:rPr>
              <w:t>Service</w:t>
            </w:r>
            <w:r>
              <w:rPr>
                <w:rFonts w:ascii="Times New Roman" w:hAnsi="Times New Roman"/>
                <w:spacing w:val="-6"/>
                <w:sz w:val="20"/>
              </w:rPr>
              <w:t> </w:t>
            </w:r>
            <w:r>
              <w:rPr>
                <w:rFonts w:ascii="Times New Roman" w:hAnsi="Times New Roman"/>
                <w:sz w:val="20"/>
              </w:rPr>
              <w:t>Board</w:t>
            </w:r>
            <w:r>
              <w:rPr>
                <w:rFonts w:ascii="Times New Roman" w:hAnsi="Times New Roman"/>
                <w:spacing w:val="-7"/>
                <w:sz w:val="20"/>
              </w:rPr>
              <w:t> </w:t>
            </w:r>
            <w:r>
              <w:rPr>
                <w:rFonts w:ascii="Times New Roman" w:hAnsi="Times New Roman"/>
                <w:sz w:val="20"/>
              </w:rPr>
              <w:t>to</w:t>
            </w:r>
            <w:r>
              <w:rPr>
                <w:rFonts w:ascii="Times New Roman" w:hAnsi="Times New Roman"/>
                <w:spacing w:val="-8"/>
                <w:sz w:val="20"/>
              </w:rPr>
              <w:t> </w:t>
            </w:r>
            <w:r>
              <w:rPr>
                <w:rFonts w:ascii="Times New Roman" w:hAnsi="Times New Roman"/>
                <w:sz w:val="20"/>
              </w:rPr>
              <w:t>approve</w:t>
            </w:r>
            <w:r>
              <w:rPr>
                <w:rFonts w:ascii="Times New Roman" w:hAnsi="Times New Roman"/>
                <w:spacing w:val="-6"/>
                <w:sz w:val="20"/>
              </w:rPr>
              <w:t> </w:t>
            </w:r>
            <w:r>
              <w:rPr>
                <w:rFonts w:ascii="Times New Roman" w:hAnsi="Times New Roman"/>
                <w:sz w:val="20"/>
              </w:rPr>
              <w:t>tender, coordinate and evaluate projects.</w:t>
            </w:r>
          </w:p>
        </w:tc>
        <w:tc>
          <w:tcPr>
            <w:tcW w:w="2428" w:type="dxa"/>
          </w:tcPr>
          <w:p>
            <w:pPr>
              <w:pStyle w:val="TableParagraph"/>
              <w:spacing w:line="237" w:lineRule="auto"/>
              <w:ind w:left="106" w:right="266"/>
              <w:rPr>
                <w:rFonts w:ascii="Times New Roman"/>
                <w:sz w:val="20"/>
              </w:rPr>
            </w:pPr>
            <w:r>
              <w:rPr>
                <w:rFonts w:ascii="Times New Roman"/>
                <w:b/>
                <w:sz w:val="20"/>
              </w:rPr>
              <w:t>Environmental</w:t>
            </w:r>
            <w:r>
              <w:rPr>
                <w:rFonts w:ascii="Times New Roman"/>
                <w:b/>
                <w:spacing w:val="-13"/>
                <w:sz w:val="20"/>
              </w:rPr>
              <w:t> </w:t>
            </w:r>
            <w:r>
              <w:rPr>
                <w:rFonts w:ascii="Times New Roman"/>
                <w:b/>
                <w:sz w:val="20"/>
              </w:rPr>
              <w:t>Services </w:t>
            </w:r>
            <w:r>
              <w:rPr>
                <w:rFonts w:ascii="Times New Roman"/>
                <w:sz w:val="20"/>
              </w:rPr>
              <w:t>Disbursement through </w:t>
            </w:r>
            <w:r>
              <w:rPr>
                <w:rFonts w:ascii="Times New Roman"/>
                <w:spacing w:val="-2"/>
                <w:sz w:val="20"/>
              </w:rPr>
              <w:t>Committee</w:t>
            </w:r>
          </w:p>
        </w:tc>
        <w:tc>
          <w:tcPr>
            <w:tcW w:w="2433" w:type="dxa"/>
          </w:tcPr>
          <w:p>
            <w:pPr>
              <w:pStyle w:val="TableParagraph"/>
              <w:spacing w:line="237" w:lineRule="auto"/>
              <w:ind w:left="111" w:right="521"/>
              <w:rPr>
                <w:rFonts w:ascii="Times New Roman"/>
                <w:sz w:val="20"/>
              </w:rPr>
            </w:pPr>
            <w:r>
              <w:rPr>
                <w:rFonts w:ascii="Times New Roman"/>
                <w:b/>
                <w:sz w:val="20"/>
              </w:rPr>
              <w:t>Health Services </w:t>
            </w:r>
            <w:r>
              <w:rPr>
                <w:rFonts w:ascii="Times New Roman"/>
                <w:sz w:val="20"/>
              </w:rPr>
              <w:t>Disbursement</w:t>
            </w:r>
            <w:r>
              <w:rPr>
                <w:rFonts w:ascii="Times New Roman"/>
                <w:spacing w:val="-13"/>
                <w:sz w:val="20"/>
              </w:rPr>
              <w:t> </w:t>
            </w:r>
            <w:r>
              <w:rPr>
                <w:rFonts w:ascii="Times New Roman"/>
                <w:sz w:val="20"/>
              </w:rPr>
              <w:t>through </w:t>
            </w:r>
            <w:r>
              <w:rPr>
                <w:rFonts w:ascii="Times New Roman"/>
                <w:spacing w:val="-2"/>
                <w:sz w:val="20"/>
              </w:rPr>
              <w:t>Committee</w:t>
            </w:r>
          </w:p>
          <w:p>
            <w:pPr>
              <w:pStyle w:val="TableParagraph"/>
              <w:ind w:left="606"/>
              <w:rPr>
                <w:rFonts w:ascii="Times New Roman"/>
                <w:sz w:val="20"/>
              </w:rPr>
            </w:pPr>
            <w:r>
              <w:rPr>
                <w:rFonts w:ascii="Times New Roman"/>
                <w:sz w:val="20"/>
              </w:rPr>
              <w:drawing>
                <wp:inline distT="0" distB="0" distL="0" distR="0">
                  <wp:extent cx="75568" cy="228695"/>
                  <wp:effectExtent l="0" t="0" r="0" b="0"/>
                  <wp:docPr id="543" name="Image 543"/>
                  <wp:cNvGraphicFramePr>
                    <a:graphicFrameLocks/>
                  </wp:cNvGraphicFramePr>
                  <a:graphic>
                    <a:graphicData uri="http://schemas.openxmlformats.org/drawingml/2006/picture">
                      <pic:pic>
                        <pic:nvPicPr>
                          <pic:cNvPr id="543" name="Image 543"/>
                          <pic:cNvPicPr/>
                        </pic:nvPicPr>
                        <pic:blipFill>
                          <a:blip r:embed="rId566" cstate="print"/>
                          <a:stretch>
                            <a:fillRect/>
                          </a:stretch>
                        </pic:blipFill>
                        <pic:spPr>
                          <a:xfrm>
                            <a:off x="0" y="0"/>
                            <a:ext cx="75568" cy="228695"/>
                          </a:xfrm>
                          <a:prstGeom prst="rect">
                            <a:avLst/>
                          </a:prstGeom>
                        </pic:spPr>
                      </pic:pic>
                    </a:graphicData>
                  </a:graphic>
                </wp:inline>
              </w:drawing>
            </w:r>
            <w:r>
              <w:rPr>
                <w:rFonts w:ascii="Times New Roman"/>
                <w:sz w:val="20"/>
              </w:rPr>
            </w:r>
          </w:p>
        </w:tc>
        <w:tc>
          <w:tcPr>
            <w:tcW w:w="3272" w:type="dxa"/>
            <w:gridSpan w:val="2"/>
          </w:tcPr>
          <w:p>
            <w:pPr>
              <w:pStyle w:val="TableParagraph"/>
              <w:spacing w:line="223" w:lineRule="exact"/>
              <w:ind w:left="14" w:right="2"/>
              <w:jc w:val="center"/>
              <w:rPr>
                <w:rFonts w:ascii="Times New Roman"/>
                <w:b/>
                <w:sz w:val="20"/>
              </w:rPr>
            </w:pPr>
            <w:r>
              <w:rPr>
                <w:rFonts w:ascii="Times New Roman"/>
                <w:b/>
                <w:sz w:val="20"/>
              </w:rPr>
              <w:t>Academic</w:t>
            </w:r>
            <w:r>
              <w:rPr>
                <w:rFonts w:ascii="Times New Roman"/>
                <w:b/>
                <w:spacing w:val="-9"/>
                <w:sz w:val="20"/>
              </w:rPr>
              <w:t> </w:t>
            </w:r>
            <w:r>
              <w:rPr>
                <w:rFonts w:ascii="Times New Roman"/>
                <w:b/>
                <w:spacing w:val="-2"/>
                <w:sz w:val="20"/>
              </w:rPr>
              <w:t>Services</w:t>
            </w:r>
          </w:p>
          <w:p>
            <w:pPr>
              <w:pStyle w:val="TableParagraph"/>
              <w:spacing w:line="228" w:lineRule="exact"/>
              <w:ind w:left="14"/>
              <w:jc w:val="center"/>
              <w:rPr>
                <w:rFonts w:ascii="Times New Roman"/>
                <w:sz w:val="20"/>
              </w:rPr>
            </w:pPr>
            <w:r>
              <w:rPr>
                <w:rFonts w:ascii="Times New Roman"/>
                <w:sz w:val="20"/>
              </w:rPr>
              <w:t>Disbursement</w:t>
            </w:r>
            <w:r>
              <w:rPr>
                <w:rFonts w:ascii="Times New Roman"/>
                <w:spacing w:val="-12"/>
                <w:sz w:val="20"/>
              </w:rPr>
              <w:t> </w:t>
            </w:r>
            <w:r>
              <w:rPr>
                <w:rFonts w:ascii="Times New Roman"/>
                <w:sz w:val="20"/>
              </w:rPr>
              <w:t>through</w:t>
            </w:r>
            <w:r>
              <w:rPr>
                <w:rFonts w:ascii="Times New Roman"/>
                <w:spacing w:val="-7"/>
                <w:sz w:val="20"/>
              </w:rPr>
              <w:t> </w:t>
            </w:r>
            <w:r>
              <w:rPr>
                <w:rFonts w:ascii="Times New Roman"/>
                <w:spacing w:val="-2"/>
                <w:sz w:val="20"/>
              </w:rPr>
              <w:t>Committee</w:t>
            </w:r>
          </w:p>
        </w:tc>
      </w:tr>
      <w:tr>
        <w:trPr>
          <w:trHeight w:val="551" w:hRule="atLeast"/>
        </w:trPr>
        <w:tc>
          <w:tcPr>
            <w:tcW w:w="2198" w:type="dxa"/>
          </w:tcPr>
          <w:p>
            <w:pPr>
              <w:pStyle w:val="TableParagraph"/>
              <w:spacing w:line="273" w:lineRule="exact"/>
              <w:ind w:left="110"/>
              <w:rPr>
                <w:rFonts w:ascii="Times New Roman"/>
                <w:b/>
                <w:i/>
                <w:sz w:val="24"/>
              </w:rPr>
            </w:pPr>
            <w:r>
              <w:rPr>
                <w:rFonts w:ascii="Times New Roman"/>
                <w:b/>
                <w:i/>
                <w:sz w:val="24"/>
              </w:rPr>
              <w:t>Security</w:t>
            </w:r>
            <w:r>
              <w:rPr>
                <w:rFonts w:ascii="Times New Roman"/>
                <w:b/>
                <w:i/>
                <w:spacing w:val="-4"/>
                <w:sz w:val="24"/>
              </w:rPr>
              <w:t> </w:t>
            </w:r>
            <w:r>
              <w:rPr>
                <w:rFonts w:ascii="Times New Roman"/>
                <w:b/>
                <w:i/>
                <w:spacing w:val="-2"/>
                <w:sz w:val="24"/>
              </w:rPr>
              <w:t>Division</w:t>
            </w:r>
          </w:p>
        </w:tc>
        <w:tc>
          <w:tcPr>
            <w:tcW w:w="2198" w:type="dxa"/>
          </w:tcPr>
          <w:p>
            <w:pPr>
              <w:pStyle w:val="TableParagraph"/>
              <w:spacing w:line="274" w:lineRule="exact"/>
              <w:ind w:left="105"/>
              <w:rPr>
                <w:rFonts w:ascii="Times New Roman"/>
                <w:b/>
                <w:i/>
                <w:sz w:val="24"/>
              </w:rPr>
            </w:pPr>
            <w:r>
              <w:rPr>
                <w:rFonts w:ascii="Times New Roman"/>
                <w:b/>
                <w:i/>
                <w:sz w:val="24"/>
              </w:rPr>
              <w:t>Students</w:t>
            </w:r>
            <w:r>
              <w:rPr>
                <w:rFonts w:ascii="Times New Roman"/>
                <w:b/>
                <w:i/>
                <w:spacing w:val="-15"/>
                <w:sz w:val="24"/>
              </w:rPr>
              <w:t> </w:t>
            </w:r>
            <w:r>
              <w:rPr>
                <w:rFonts w:ascii="Times New Roman"/>
                <w:b/>
                <w:i/>
                <w:sz w:val="24"/>
              </w:rPr>
              <w:t>Affairs </w:t>
            </w:r>
            <w:r>
              <w:rPr>
                <w:rFonts w:ascii="Times New Roman"/>
                <w:b/>
                <w:i/>
                <w:spacing w:val="-2"/>
                <w:sz w:val="24"/>
              </w:rPr>
              <w:t>Division</w:t>
            </w:r>
          </w:p>
        </w:tc>
        <w:tc>
          <w:tcPr>
            <w:tcW w:w="2428" w:type="dxa"/>
          </w:tcPr>
          <w:p>
            <w:pPr>
              <w:pStyle w:val="TableParagraph"/>
              <w:spacing w:line="273" w:lineRule="exact"/>
              <w:ind w:left="106"/>
              <w:rPr>
                <w:rFonts w:ascii="Times New Roman"/>
                <w:b/>
                <w:i/>
                <w:sz w:val="24"/>
              </w:rPr>
            </w:pPr>
            <w:r>
              <w:rPr/>
              <mc:AlternateContent>
                <mc:Choice Requires="wps">
                  <w:drawing>
                    <wp:anchor distT="0" distB="0" distL="0" distR="0" allowOverlap="1" layoutInCell="1" locked="0" behindDoc="1" simplePos="0" relativeHeight="466631680">
                      <wp:simplePos x="0" y="0"/>
                      <wp:positionH relativeFrom="column">
                        <wp:posOffset>673608</wp:posOffset>
                      </wp:positionH>
                      <wp:positionV relativeFrom="paragraph">
                        <wp:posOffset>-277495</wp:posOffset>
                      </wp:positionV>
                      <wp:extent cx="1295400" cy="271780"/>
                      <wp:effectExtent l="0" t="0" r="0" b="0"/>
                      <wp:wrapNone/>
                      <wp:docPr id="544" name="Group 544"/>
                      <wp:cNvGraphicFramePr>
                        <a:graphicFrameLocks/>
                      </wp:cNvGraphicFramePr>
                      <a:graphic>
                        <a:graphicData uri="http://schemas.microsoft.com/office/word/2010/wordprocessingGroup">
                          <wpg:wgp>
                            <wpg:cNvPr id="544" name="Group 544"/>
                            <wpg:cNvGrpSpPr/>
                            <wpg:grpSpPr>
                              <a:xfrm>
                                <a:off x="0" y="0"/>
                                <a:ext cx="1295400" cy="271780"/>
                                <a:chExt cx="1295400" cy="271780"/>
                              </a:xfrm>
                            </wpg:grpSpPr>
                            <pic:pic>
                              <pic:nvPicPr>
                                <pic:cNvPr id="545" name="Image 545"/>
                                <pic:cNvPicPr/>
                              </pic:nvPicPr>
                              <pic:blipFill>
                                <a:blip r:embed="rId567" cstate="print"/>
                                <a:stretch>
                                  <a:fillRect/>
                                </a:stretch>
                              </pic:blipFill>
                              <pic:spPr>
                                <a:xfrm>
                                  <a:off x="0" y="60960"/>
                                  <a:ext cx="76200" cy="210312"/>
                                </a:xfrm>
                                <a:prstGeom prst="rect">
                                  <a:avLst/>
                                </a:prstGeom>
                              </pic:spPr>
                            </pic:pic>
                            <wps:wsp>
                              <wps:cNvPr id="546" name="Graphic 546"/>
                              <wps:cNvSpPr/>
                              <wps:spPr>
                                <a:xfrm>
                                  <a:off x="33528" y="0"/>
                                  <a:ext cx="1262380" cy="76200"/>
                                </a:xfrm>
                                <a:custGeom>
                                  <a:avLst/>
                                  <a:gdLst/>
                                  <a:ahLst/>
                                  <a:cxnLst/>
                                  <a:rect l="l" t="t" r="r" b="b"/>
                                  <a:pathLst>
                                    <a:path w="1262380" h="76200">
                                      <a:moveTo>
                                        <a:pt x="76200" y="0"/>
                                      </a:moveTo>
                                      <a:lnTo>
                                        <a:pt x="0" y="36575"/>
                                      </a:lnTo>
                                      <a:lnTo>
                                        <a:pt x="76200" y="76200"/>
                                      </a:lnTo>
                                      <a:lnTo>
                                        <a:pt x="76200" y="42672"/>
                                      </a:lnTo>
                                      <a:lnTo>
                                        <a:pt x="64008" y="42672"/>
                                      </a:lnTo>
                                      <a:lnTo>
                                        <a:pt x="57912" y="36575"/>
                                      </a:lnTo>
                                      <a:lnTo>
                                        <a:pt x="64008" y="33528"/>
                                      </a:lnTo>
                                      <a:lnTo>
                                        <a:pt x="76200" y="33528"/>
                                      </a:lnTo>
                                      <a:lnTo>
                                        <a:pt x="76200" y="0"/>
                                      </a:lnTo>
                                      <a:close/>
                                    </a:path>
                                    <a:path w="1262380" h="76200">
                                      <a:moveTo>
                                        <a:pt x="76200" y="33528"/>
                                      </a:moveTo>
                                      <a:lnTo>
                                        <a:pt x="64008" y="33528"/>
                                      </a:lnTo>
                                      <a:lnTo>
                                        <a:pt x="57912" y="36575"/>
                                      </a:lnTo>
                                      <a:lnTo>
                                        <a:pt x="64008" y="42672"/>
                                      </a:lnTo>
                                      <a:lnTo>
                                        <a:pt x="76200" y="42672"/>
                                      </a:lnTo>
                                      <a:lnTo>
                                        <a:pt x="76200" y="33528"/>
                                      </a:lnTo>
                                      <a:close/>
                                    </a:path>
                                    <a:path w="1262380" h="76200">
                                      <a:moveTo>
                                        <a:pt x="1255776" y="33528"/>
                                      </a:moveTo>
                                      <a:lnTo>
                                        <a:pt x="76200" y="33528"/>
                                      </a:lnTo>
                                      <a:lnTo>
                                        <a:pt x="76200" y="42672"/>
                                      </a:lnTo>
                                      <a:lnTo>
                                        <a:pt x="1255776" y="42672"/>
                                      </a:lnTo>
                                      <a:lnTo>
                                        <a:pt x="1261872" y="36575"/>
                                      </a:lnTo>
                                      <a:lnTo>
                                        <a:pt x="1255776" y="33528"/>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53.040001pt;margin-top:-21.85pt;width:102pt;height:21.4pt;mso-position-horizontal-relative:column;mso-position-vertical-relative:paragraph;z-index:-36684800" id="docshapegroup542" coordorigin="1061,-437" coordsize="2040,428">
                      <v:shape style="position:absolute;left:1060;top:-341;width:120;height:332" type="#_x0000_t75" id="docshape543" stroked="false">
                        <v:imagedata r:id="rId567" o:title=""/>
                      </v:shape>
                      <v:shape style="position:absolute;left:1113;top:-437;width:1988;height:120" id="docshape544" coordorigin="1114,-437" coordsize="1988,120" path="m1234,-437l1114,-379,1234,-317,1234,-370,1214,-370,1205,-379,1214,-384,1234,-384,1234,-437xm1234,-384l1214,-384,1205,-379,1214,-370,1234,-370,1234,-384xm3091,-384l1234,-384,1234,-370,3091,-370,3101,-379,3091,-384xe" filled="true" fillcolor="#000000" stroked="false">
                        <v:path arrowok="t"/>
                        <v:fill type="solid"/>
                      </v:shape>
                      <w10:wrap type="none"/>
                    </v:group>
                  </w:pict>
                </mc:Fallback>
              </mc:AlternateContent>
            </w:r>
            <w:r>
              <w:rPr>
                <w:rFonts w:ascii="Times New Roman"/>
                <w:b/>
                <w:i/>
                <w:sz w:val="24"/>
              </w:rPr>
              <w:t>Estate</w:t>
            </w:r>
            <w:r>
              <w:rPr>
                <w:rFonts w:ascii="Times New Roman"/>
                <w:b/>
                <w:i/>
                <w:spacing w:val="-4"/>
                <w:sz w:val="24"/>
              </w:rPr>
              <w:t> </w:t>
            </w:r>
            <w:r>
              <w:rPr>
                <w:rFonts w:ascii="Times New Roman"/>
                <w:b/>
                <w:i/>
                <w:spacing w:val="-2"/>
                <w:sz w:val="24"/>
              </w:rPr>
              <w:t>Department</w:t>
            </w:r>
          </w:p>
        </w:tc>
        <w:tc>
          <w:tcPr>
            <w:tcW w:w="2433" w:type="dxa"/>
          </w:tcPr>
          <w:p>
            <w:pPr>
              <w:pStyle w:val="TableParagraph"/>
              <w:spacing w:line="274" w:lineRule="exact"/>
              <w:ind w:left="111" w:right="553"/>
              <w:rPr>
                <w:rFonts w:ascii="Times New Roman"/>
                <w:b/>
                <w:i/>
                <w:sz w:val="24"/>
              </w:rPr>
            </w:pPr>
            <w:r>
              <w:rPr>
                <w:rFonts w:ascii="Times New Roman"/>
                <w:b/>
                <w:i/>
                <w:sz w:val="24"/>
              </w:rPr>
              <w:t>University</w:t>
            </w:r>
            <w:r>
              <w:rPr>
                <w:rFonts w:ascii="Times New Roman"/>
                <w:b/>
                <w:i/>
                <w:spacing w:val="-15"/>
                <w:sz w:val="24"/>
              </w:rPr>
              <w:t> </w:t>
            </w:r>
            <w:r>
              <w:rPr>
                <w:rFonts w:ascii="Times New Roman"/>
                <w:b/>
                <w:i/>
                <w:sz w:val="24"/>
              </w:rPr>
              <w:t>Health </w:t>
            </w:r>
            <w:r>
              <w:rPr>
                <w:rFonts w:ascii="Times New Roman"/>
                <w:b/>
                <w:i/>
                <w:spacing w:val="-2"/>
                <w:sz w:val="24"/>
              </w:rPr>
              <w:t>Services</w:t>
            </w:r>
          </w:p>
        </w:tc>
        <w:tc>
          <w:tcPr>
            <w:tcW w:w="1871" w:type="dxa"/>
          </w:tcPr>
          <w:p>
            <w:pPr>
              <w:pStyle w:val="TableParagraph"/>
              <w:spacing w:line="274" w:lineRule="exact"/>
              <w:ind w:left="107" w:right="397"/>
              <w:rPr>
                <w:rFonts w:ascii="Times New Roman"/>
                <w:b/>
                <w:i/>
                <w:sz w:val="24"/>
              </w:rPr>
            </w:pPr>
            <w:r>
              <w:rPr>
                <w:rFonts w:ascii="Times New Roman"/>
                <w:b/>
                <w:i/>
                <w:sz w:val="24"/>
              </w:rPr>
              <w:t>Faculties</w:t>
            </w:r>
            <w:r>
              <w:rPr>
                <w:rFonts w:ascii="Times New Roman"/>
                <w:b/>
                <w:i/>
                <w:spacing w:val="-15"/>
                <w:sz w:val="24"/>
              </w:rPr>
              <w:t> </w:t>
            </w:r>
            <w:r>
              <w:rPr>
                <w:rFonts w:ascii="Times New Roman"/>
                <w:b/>
                <w:i/>
                <w:sz w:val="24"/>
              </w:rPr>
              <w:t>and </w:t>
            </w:r>
            <w:r>
              <w:rPr>
                <w:rFonts w:ascii="Times New Roman"/>
                <w:b/>
                <w:i/>
                <w:spacing w:val="-2"/>
                <w:sz w:val="24"/>
              </w:rPr>
              <w:t>Departments</w:t>
            </w:r>
          </w:p>
        </w:tc>
        <w:tc>
          <w:tcPr>
            <w:tcW w:w="1401" w:type="dxa"/>
          </w:tcPr>
          <w:p>
            <w:pPr>
              <w:pStyle w:val="TableParagraph"/>
              <w:spacing w:line="273" w:lineRule="exact"/>
              <w:ind w:left="108"/>
              <w:rPr>
                <w:rFonts w:ascii="Times New Roman"/>
                <w:b/>
                <w:i/>
                <w:sz w:val="24"/>
              </w:rPr>
            </w:pPr>
            <w:r>
              <w:rPr>
                <w:rFonts w:ascii="Times New Roman"/>
                <w:b/>
                <w:i/>
                <w:spacing w:val="-2"/>
                <w:sz w:val="24"/>
              </w:rPr>
              <w:t>Library</w:t>
            </w:r>
          </w:p>
        </w:tc>
      </w:tr>
      <w:tr>
        <w:trPr>
          <w:trHeight w:val="224" w:hRule="atLeast"/>
        </w:trPr>
        <w:tc>
          <w:tcPr>
            <w:tcW w:w="2198" w:type="dxa"/>
            <w:tcBorders>
              <w:bottom w:val="nil"/>
            </w:tcBorders>
          </w:tcPr>
          <w:p>
            <w:pPr>
              <w:pStyle w:val="TableParagraph"/>
              <w:spacing w:line="205" w:lineRule="exact"/>
              <w:ind w:left="110"/>
              <w:rPr>
                <w:rFonts w:ascii="Times New Roman"/>
                <w:sz w:val="20"/>
              </w:rPr>
            </w:pPr>
            <w:r>
              <w:rPr>
                <w:rFonts w:ascii="Times New Roman"/>
                <w:sz w:val="20"/>
              </w:rPr>
              <w:t>Monitor</w:t>
            </w:r>
            <w:r>
              <w:rPr>
                <w:rFonts w:ascii="Times New Roman"/>
                <w:spacing w:val="-6"/>
                <w:sz w:val="20"/>
              </w:rPr>
              <w:t> </w:t>
            </w:r>
            <w:r>
              <w:rPr>
                <w:rFonts w:ascii="Times New Roman"/>
                <w:sz w:val="20"/>
              </w:rPr>
              <w:t>the</w:t>
            </w:r>
            <w:r>
              <w:rPr>
                <w:rFonts w:ascii="Times New Roman"/>
                <w:spacing w:val="-12"/>
                <w:sz w:val="20"/>
              </w:rPr>
              <w:t> </w:t>
            </w:r>
            <w:r>
              <w:rPr>
                <w:rFonts w:ascii="Times New Roman"/>
                <w:sz w:val="20"/>
              </w:rPr>
              <w:t>services</w:t>
            </w:r>
            <w:r>
              <w:rPr>
                <w:rFonts w:ascii="Times New Roman"/>
                <w:spacing w:val="-5"/>
                <w:sz w:val="20"/>
              </w:rPr>
              <w:t> of</w:t>
            </w:r>
          </w:p>
        </w:tc>
        <w:tc>
          <w:tcPr>
            <w:tcW w:w="2198" w:type="dxa"/>
            <w:tcBorders>
              <w:bottom w:val="nil"/>
            </w:tcBorders>
          </w:tcPr>
          <w:p>
            <w:pPr>
              <w:pStyle w:val="TableParagraph"/>
              <w:spacing w:line="205" w:lineRule="exact"/>
              <w:ind w:left="105"/>
              <w:rPr>
                <w:rFonts w:ascii="Times New Roman"/>
                <w:sz w:val="20"/>
              </w:rPr>
            </w:pPr>
            <w:r>
              <w:rPr>
                <w:rFonts w:ascii="Times New Roman"/>
                <w:sz w:val="20"/>
              </w:rPr>
              <w:t>Hostel</w:t>
            </w:r>
            <w:r>
              <w:rPr>
                <w:rFonts w:ascii="Times New Roman"/>
                <w:spacing w:val="-8"/>
                <w:sz w:val="20"/>
              </w:rPr>
              <w:t> </w:t>
            </w:r>
            <w:r>
              <w:rPr>
                <w:rFonts w:ascii="Times New Roman"/>
                <w:spacing w:val="-2"/>
                <w:sz w:val="20"/>
              </w:rPr>
              <w:t>accommodation,</w:t>
            </w:r>
          </w:p>
        </w:tc>
        <w:tc>
          <w:tcPr>
            <w:tcW w:w="2428" w:type="dxa"/>
            <w:tcBorders>
              <w:bottom w:val="nil"/>
            </w:tcBorders>
          </w:tcPr>
          <w:p>
            <w:pPr>
              <w:pStyle w:val="TableParagraph"/>
              <w:spacing w:line="205" w:lineRule="exact"/>
              <w:ind w:left="106"/>
              <w:rPr>
                <w:rFonts w:ascii="Times New Roman"/>
                <w:sz w:val="20"/>
              </w:rPr>
            </w:pPr>
            <w:r>
              <w:rPr>
                <w:rFonts w:ascii="Times New Roman"/>
                <w:sz w:val="20"/>
              </w:rPr>
              <w:t>Water</w:t>
            </w:r>
            <w:r>
              <w:rPr>
                <w:rFonts w:ascii="Times New Roman"/>
                <w:spacing w:val="-9"/>
                <w:sz w:val="20"/>
              </w:rPr>
              <w:t> </w:t>
            </w:r>
            <w:r>
              <w:rPr>
                <w:rFonts w:ascii="Times New Roman"/>
                <w:sz w:val="20"/>
              </w:rPr>
              <w:t>supply,</w:t>
            </w:r>
            <w:r>
              <w:rPr>
                <w:rFonts w:ascii="Times New Roman"/>
                <w:spacing w:val="-7"/>
                <w:sz w:val="20"/>
              </w:rPr>
              <w:t> </w:t>
            </w:r>
            <w:r>
              <w:rPr>
                <w:rFonts w:ascii="Times New Roman"/>
                <w:spacing w:val="-2"/>
                <w:sz w:val="20"/>
              </w:rPr>
              <w:t>electricity</w:t>
            </w:r>
          </w:p>
        </w:tc>
        <w:tc>
          <w:tcPr>
            <w:tcW w:w="2433" w:type="dxa"/>
            <w:tcBorders>
              <w:bottom w:val="nil"/>
            </w:tcBorders>
          </w:tcPr>
          <w:p>
            <w:pPr>
              <w:pStyle w:val="TableParagraph"/>
              <w:spacing w:line="205" w:lineRule="exact"/>
              <w:ind w:left="111"/>
              <w:rPr>
                <w:rFonts w:ascii="Times New Roman"/>
                <w:sz w:val="20"/>
              </w:rPr>
            </w:pPr>
            <w:r>
              <w:rPr>
                <w:rFonts w:ascii="Times New Roman"/>
                <w:sz w:val="20"/>
              </w:rPr>
              <w:t>Provides</w:t>
            </w:r>
            <w:r>
              <w:rPr>
                <w:rFonts w:ascii="Times New Roman"/>
                <w:spacing w:val="-8"/>
                <w:sz w:val="20"/>
              </w:rPr>
              <w:t> </w:t>
            </w:r>
            <w:r>
              <w:rPr>
                <w:rFonts w:ascii="Times New Roman"/>
                <w:sz w:val="20"/>
              </w:rPr>
              <w:t>Health</w:t>
            </w:r>
            <w:r>
              <w:rPr>
                <w:rFonts w:ascii="Times New Roman"/>
                <w:spacing w:val="-3"/>
                <w:sz w:val="20"/>
              </w:rPr>
              <w:t> </w:t>
            </w:r>
            <w:r>
              <w:rPr>
                <w:rFonts w:ascii="Times New Roman"/>
                <w:spacing w:val="-2"/>
                <w:sz w:val="20"/>
              </w:rPr>
              <w:t>services</w:t>
            </w:r>
          </w:p>
        </w:tc>
        <w:tc>
          <w:tcPr>
            <w:tcW w:w="1871" w:type="dxa"/>
            <w:tcBorders>
              <w:bottom w:val="nil"/>
            </w:tcBorders>
          </w:tcPr>
          <w:p>
            <w:pPr>
              <w:pStyle w:val="TableParagraph"/>
              <w:spacing w:line="205" w:lineRule="exact"/>
              <w:ind w:left="107"/>
              <w:rPr>
                <w:rFonts w:ascii="Times New Roman"/>
                <w:sz w:val="20"/>
              </w:rPr>
            </w:pPr>
            <w:r>
              <w:rPr>
                <w:rFonts w:ascii="Times New Roman"/>
                <w:sz w:val="20"/>
              </w:rPr>
              <w:t>Lecture</w:t>
            </w:r>
            <w:r>
              <w:rPr>
                <w:rFonts w:ascii="Times New Roman"/>
                <w:spacing w:val="-8"/>
                <w:sz w:val="20"/>
              </w:rPr>
              <w:t> </w:t>
            </w:r>
            <w:r>
              <w:rPr>
                <w:rFonts w:ascii="Times New Roman"/>
                <w:spacing w:val="-2"/>
                <w:sz w:val="20"/>
              </w:rPr>
              <w:t>Hall/</w:t>
            </w:r>
          </w:p>
        </w:tc>
        <w:tc>
          <w:tcPr>
            <w:tcW w:w="1401" w:type="dxa"/>
            <w:tcBorders>
              <w:bottom w:val="nil"/>
            </w:tcBorders>
          </w:tcPr>
          <w:p>
            <w:pPr>
              <w:pStyle w:val="TableParagraph"/>
              <w:spacing w:line="205" w:lineRule="exact"/>
              <w:ind w:left="108"/>
              <w:rPr>
                <w:rFonts w:ascii="Times New Roman"/>
                <w:sz w:val="20"/>
              </w:rPr>
            </w:pPr>
            <w:r>
              <w:rPr>
                <w:rFonts w:ascii="Times New Roman"/>
                <w:sz w:val="20"/>
              </w:rPr>
              <w:t>Provision</w:t>
            </w:r>
            <w:r>
              <w:rPr>
                <w:rFonts w:ascii="Times New Roman"/>
                <w:spacing w:val="-6"/>
                <w:sz w:val="20"/>
              </w:rPr>
              <w:t> </w:t>
            </w:r>
            <w:r>
              <w:rPr>
                <w:rFonts w:ascii="Times New Roman"/>
                <w:spacing w:val="-5"/>
                <w:sz w:val="20"/>
              </w:rPr>
              <w:t>and</w:t>
            </w:r>
          </w:p>
        </w:tc>
      </w:tr>
      <w:tr>
        <w:trPr>
          <w:trHeight w:val="230" w:hRule="atLeast"/>
        </w:trPr>
        <w:tc>
          <w:tcPr>
            <w:tcW w:w="2198" w:type="dxa"/>
            <w:tcBorders>
              <w:top w:val="nil"/>
              <w:bottom w:val="nil"/>
            </w:tcBorders>
          </w:tcPr>
          <w:p>
            <w:pPr>
              <w:pStyle w:val="TableParagraph"/>
              <w:spacing w:line="210" w:lineRule="exact"/>
              <w:ind w:left="110"/>
              <w:rPr>
                <w:rFonts w:ascii="Times New Roman"/>
                <w:sz w:val="20"/>
              </w:rPr>
            </w:pPr>
            <w:r>
              <w:rPr>
                <w:rFonts w:ascii="Times New Roman"/>
                <w:sz w:val="20"/>
              </w:rPr>
              <w:t>the</w:t>
            </w:r>
            <w:r>
              <w:rPr>
                <w:rFonts w:ascii="Times New Roman"/>
                <w:spacing w:val="-9"/>
                <w:sz w:val="20"/>
              </w:rPr>
              <w:t> </w:t>
            </w:r>
            <w:r>
              <w:rPr>
                <w:rFonts w:ascii="Times New Roman"/>
                <w:sz w:val="20"/>
              </w:rPr>
              <w:t>commercial</w:t>
            </w:r>
            <w:r>
              <w:rPr>
                <w:rFonts w:ascii="Times New Roman"/>
                <w:spacing w:val="-12"/>
                <w:sz w:val="20"/>
              </w:rPr>
              <w:t> </w:t>
            </w:r>
            <w:r>
              <w:rPr>
                <w:rFonts w:ascii="Times New Roman"/>
                <w:spacing w:val="-2"/>
                <w:sz w:val="20"/>
              </w:rPr>
              <w:t>riders</w:t>
            </w:r>
          </w:p>
        </w:tc>
        <w:tc>
          <w:tcPr>
            <w:tcW w:w="2198" w:type="dxa"/>
            <w:tcBorders>
              <w:top w:val="nil"/>
              <w:bottom w:val="nil"/>
            </w:tcBorders>
          </w:tcPr>
          <w:p>
            <w:pPr>
              <w:pStyle w:val="TableParagraph"/>
              <w:spacing w:line="210" w:lineRule="exact"/>
              <w:ind w:left="105"/>
              <w:rPr>
                <w:rFonts w:ascii="Times New Roman"/>
                <w:sz w:val="20"/>
              </w:rPr>
            </w:pPr>
            <w:r>
              <w:rPr>
                <w:rFonts w:ascii="Times New Roman"/>
                <w:sz w:val="20"/>
              </w:rPr>
              <w:t>shopping</w:t>
            </w:r>
            <w:r>
              <w:rPr>
                <w:rFonts w:ascii="Times New Roman"/>
                <w:spacing w:val="-6"/>
                <w:sz w:val="20"/>
              </w:rPr>
              <w:t> </w:t>
            </w:r>
            <w:r>
              <w:rPr>
                <w:rFonts w:ascii="Times New Roman"/>
                <w:spacing w:val="-2"/>
                <w:sz w:val="20"/>
              </w:rPr>
              <w:t>complexes,</w:t>
            </w:r>
          </w:p>
        </w:tc>
        <w:tc>
          <w:tcPr>
            <w:tcW w:w="2428" w:type="dxa"/>
            <w:tcBorders>
              <w:top w:val="nil"/>
              <w:bottom w:val="nil"/>
            </w:tcBorders>
          </w:tcPr>
          <w:p>
            <w:pPr>
              <w:pStyle w:val="TableParagraph"/>
              <w:spacing w:line="210" w:lineRule="exact"/>
              <w:ind w:left="106"/>
              <w:rPr>
                <w:rFonts w:ascii="Times New Roman"/>
                <w:sz w:val="20"/>
              </w:rPr>
            </w:pPr>
            <w:r>
              <w:rPr>
                <w:rFonts w:ascii="Times New Roman"/>
                <w:sz w:val="20"/>
              </w:rPr>
              <w:t>(Bulk</w:t>
            </w:r>
            <w:r>
              <w:rPr>
                <w:rFonts w:ascii="Times New Roman"/>
                <w:spacing w:val="-3"/>
                <w:sz w:val="20"/>
              </w:rPr>
              <w:t> </w:t>
            </w:r>
            <w:r>
              <w:rPr>
                <w:rFonts w:ascii="Times New Roman"/>
                <w:spacing w:val="-2"/>
                <w:sz w:val="20"/>
              </w:rPr>
              <w:t>metering),</w:t>
            </w:r>
          </w:p>
        </w:tc>
        <w:tc>
          <w:tcPr>
            <w:tcW w:w="2433" w:type="dxa"/>
            <w:tcBorders>
              <w:top w:val="nil"/>
              <w:bottom w:val="nil"/>
            </w:tcBorders>
          </w:tcPr>
          <w:p>
            <w:pPr>
              <w:pStyle w:val="TableParagraph"/>
              <w:spacing w:line="210" w:lineRule="exact"/>
              <w:ind w:left="111"/>
              <w:rPr>
                <w:rFonts w:ascii="Times New Roman"/>
                <w:sz w:val="20"/>
              </w:rPr>
            </w:pPr>
            <w:r>
              <w:rPr>
                <w:rFonts w:ascii="Times New Roman"/>
                <w:sz w:val="20"/>
              </w:rPr>
              <w:t>for</w:t>
            </w:r>
            <w:r>
              <w:rPr>
                <w:rFonts w:ascii="Times New Roman"/>
                <w:spacing w:val="-2"/>
                <w:sz w:val="20"/>
              </w:rPr>
              <w:t> </w:t>
            </w:r>
            <w:r>
              <w:rPr>
                <w:rFonts w:ascii="Times New Roman"/>
                <w:sz w:val="20"/>
              </w:rPr>
              <w:t>students,</w:t>
            </w:r>
            <w:r>
              <w:rPr>
                <w:rFonts w:ascii="Times New Roman"/>
                <w:spacing w:val="-8"/>
                <w:sz w:val="20"/>
              </w:rPr>
              <w:t> </w:t>
            </w:r>
            <w:r>
              <w:rPr>
                <w:rFonts w:ascii="Times New Roman"/>
                <w:sz w:val="20"/>
              </w:rPr>
              <w:t>both</w:t>
            </w:r>
            <w:r>
              <w:rPr>
                <w:rFonts w:ascii="Times New Roman"/>
                <w:spacing w:val="-1"/>
                <w:sz w:val="20"/>
              </w:rPr>
              <w:t> </w:t>
            </w:r>
            <w:r>
              <w:rPr>
                <w:rFonts w:ascii="Times New Roman"/>
                <w:spacing w:val="-2"/>
                <w:sz w:val="20"/>
              </w:rPr>
              <w:t>curative</w:t>
            </w:r>
          </w:p>
        </w:tc>
        <w:tc>
          <w:tcPr>
            <w:tcW w:w="1871" w:type="dxa"/>
            <w:tcBorders>
              <w:top w:val="nil"/>
              <w:bottom w:val="nil"/>
            </w:tcBorders>
          </w:tcPr>
          <w:p>
            <w:pPr>
              <w:pStyle w:val="TableParagraph"/>
              <w:spacing w:line="210" w:lineRule="exact"/>
              <w:ind w:left="107"/>
              <w:rPr>
                <w:rFonts w:ascii="Times New Roman"/>
                <w:sz w:val="20"/>
              </w:rPr>
            </w:pPr>
            <w:r>
              <w:rPr>
                <w:rFonts w:ascii="Times New Roman"/>
                <w:spacing w:val="-2"/>
                <w:sz w:val="20"/>
              </w:rPr>
              <w:t>accommodation,</w:t>
            </w:r>
          </w:p>
        </w:tc>
        <w:tc>
          <w:tcPr>
            <w:tcW w:w="1401" w:type="dxa"/>
            <w:tcBorders>
              <w:top w:val="nil"/>
              <w:bottom w:val="nil"/>
            </w:tcBorders>
          </w:tcPr>
          <w:p>
            <w:pPr>
              <w:pStyle w:val="TableParagraph"/>
              <w:spacing w:line="210" w:lineRule="exact"/>
              <w:ind w:left="108"/>
              <w:rPr>
                <w:rFonts w:ascii="Times New Roman"/>
                <w:sz w:val="20"/>
              </w:rPr>
            </w:pPr>
            <w:r>
              <w:rPr>
                <w:rFonts w:ascii="Times New Roman"/>
                <w:spacing w:val="-2"/>
                <w:sz w:val="20"/>
              </w:rPr>
              <w:t>maintenance</w:t>
            </w:r>
          </w:p>
        </w:tc>
      </w:tr>
      <w:tr>
        <w:trPr>
          <w:trHeight w:val="230" w:hRule="atLeast"/>
        </w:trPr>
        <w:tc>
          <w:tcPr>
            <w:tcW w:w="2198" w:type="dxa"/>
            <w:tcBorders>
              <w:top w:val="nil"/>
              <w:bottom w:val="nil"/>
            </w:tcBorders>
          </w:tcPr>
          <w:p>
            <w:pPr>
              <w:pStyle w:val="TableParagraph"/>
              <w:spacing w:line="210" w:lineRule="exact"/>
              <w:ind w:left="110"/>
              <w:rPr>
                <w:rFonts w:ascii="Times New Roman"/>
                <w:sz w:val="20"/>
              </w:rPr>
            </w:pPr>
            <w:r>
              <w:rPr>
                <w:rFonts w:ascii="Times New Roman"/>
                <w:sz w:val="20"/>
              </w:rPr>
              <w:t>on</w:t>
            </w:r>
            <w:r>
              <w:rPr>
                <w:rFonts w:ascii="Times New Roman"/>
                <w:spacing w:val="-2"/>
                <w:sz w:val="20"/>
              </w:rPr>
              <w:t> </w:t>
            </w:r>
            <w:r>
              <w:rPr>
                <w:rFonts w:ascii="Times New Roman"/>
                <w:sz w:val="20"/>
              </w:rPr>
              <w:t>campus,</w:t>
            </w:r>
            <w:r>
              <w:rPr>
                <w:rFonts w:ascii="Times New Roman"/>
                <w:spacing w:val="-7"/>
                <w:sz w:val="20"/>
              </w:rPr>
              <w:t> </w:t>
            </w:r>
            <w:r>
              <w:rPr>
                <w:rFonts w:ascii="Times New Roman"/>
                <w:spacing w:val="-2"/>
                <w:sz w:val="20"/>
              </w:rPr>
              <w:t>safeguard</w:t>
            </w:r>
          </w:p>
        </w:tc>
        <w:tc>
          <w:tcPr>
            <w:tcW w:w="2198" w:type="dxa"/>
            <w:tcBorders>
              <w:top w:val="nil"/>
              <w:bottom w:val="nil"/>
            </w:tcBorders>
          </w:tcPr>
          <w:p>
            <w:pPr>
              <w:pStyle w:val="TableParagraph"/>
              <w:spacing w:line="210" w:lineRule="exact"/>
              <w:ind w:left="105"/>
              <w:rPr>
                <w:rFonts w:ascii="Times New Roman"/>
                <w:sz w:val="20"/>
              </w:rPr>
            </w:pPr>
            <w:r>
              <w:rPr>
                <w:rFonts w:ascii="Times New Roman"/>
                <w:sz w:val="20"/>
              </w:rPr>
              <w:t>clubs</w:t>
            </w:r>
            <w:r>
              <w:rPr>
                <w:rFonts w:ascii="Times New Roman"/>
                <w:spacing w:val="-1"/>
                <w:sz w:val="20"/>
              </w:rPr>
              <w:t> </w:t>
            </w:r>
            <w:r>
              <w:rPr>
                <w:rFonts w:ascii="Times New Roman"/>
                <w:sz w:val="20"/>
              </w:rPr>
              <w:t>and</w:t>
            </w:r>
            <w:r>
              <w:rPr>
                <w:rFonts w:ascii="Times New Roman"/>
                <w:spacing w:val="-4"/>
                <w:sz w:val="20"/>
              </w:rPr>
              <w:t> </w:t>
            </w:r>
            <w:r>
              <w:rPr>
                <w:rFonts w:ascii="Times New Roman"/>
                <w:spacing w:val="-2"/>
                <w:sz w:val="20"/>
              </w:rPr>
              <w:t>societies,</w:t>
            </w:r>
          </w:p>
        </w:tc>
        <w:tc>
          <w:tcPr>
            <w:tcW w:w="2428" w:type="dxa"/>
            <w:tcBorders>
              <w:top w:val="nil"/>
              <w:bottom w:val="nil"/>
            </w:tcBorders>
          </w:tcPr>
          <w:p>
            <w:pPr>
              <w:pStyle w:val="TableParagraph"/>
              <w:spacing w:line="210" w:lineRule="exact"/>
              <w:ind w:left="106"/>
              <w:rPr>
                <w:rFonts w:ascii="Times New Roman" w:hAnsi="Times New Roman"/>
                <w:sz w:val="20"/>
              </w:rPr>
            </w:pPr>
            <w:r>
              <w:rPr>
                <w:rFonts w:ascii="Times New Roman" w:hAnsi="Times New Roman"/>
                <w:sz w:val="20"/>
              </w:rPr>
              <w:t>rehabilitation</w:t>
            </w:r>
            <w:r>
              <w:rPr>
                <w:rFonts w:ascii="Times New Roman" w:hAnsi="Times New Roman"/>
                <w:spacing w:val="-7"/>
                <w:sz w:val="20"/>
              </w:rPr>
              <w:t> </w:t>
            </w:r>
            <w:r>
              <w:rPr>
                <w:rFonts w:ascii="Times New Roman" w:hAnsi="Times New Roman"/>
                <w:sz w:val="20"/>
              </w:rPr>
              <w:t>of</w:t>
            </w:r>
            <w:r>
              <w:rPr>
                <w:rFonts w:ascii="Times New Roman" w:hAnsi="Times New Roman"/>
                <w:spacing w:val="-12"/>
                <w:sz w:val="20"/>
              </w:rPr>
              <w:t> </w:t>
            </w:r>
            <w:r>
              <w:rPr>
                <w:rFonts w:ascii="Times New Roman" w:hAnsi="Times New Roman"/>
                <w:spacing w:val="-2"/>
                <w:sz w:val="20"/>
              </w:rPr>
              <w:t>students’</w:t>
            </w:r>
          </w:p>
        </w:tc>
        <w:tc>
          <w:tcPr>
            <w:tcW w:w="2433" w:type="dxa"/>
            <w:tcBorders>
              <w:top w:val="nil"/>
              <w:bottom w:val="nil"/>
            </w:tcBorders>
          </w:tcPr>
          <w:p>
            <w:pPr>
              <w:pStyle w:val="TableParagraph"/>
              <w:spacing w:line="210" w:lineRule="exact"/>
              <w:ind w:left="111"/>
              <w:rPr>
                <w:rFonts w:ascii="Times New Roman"/>
                <w:sz w:val="20"/>
              </w:rPr>
            </w:pPr>
            <w:r>
              <w:rPr>
                <w:rFonts w:ascii="Times New Roman"/>
                <w:sz w:val="20"/>
              </w:rPr>
              <w:t>and</w:t>
            </w:r>
            <w:r>
              <w:rPr>
                <w:rFonts w:ascii="Times New Roman"/>
                <w:spacing w:val="-9"/>
                <w:sz w:val="20"/>
              </w:rPr>
              <w:t> </w:t>
            </w:r>
            <w:r>
              <w:rPr>
                <w:rFonts w:ascii="Times New Roman"/>
                <w:sz w:val="20"/>
              </w:rPr>
              <w:t>preventive</w:t>
            </w:r>
            <w:r>
              <w:rPr>
                <w:rFonts w:ascii="Times New Roman"/>
                <w:spacing w:val="-7"/>
                <w:sz w:val="20"/>
              </w:rPr>
              <w:t> </w:t>
            </w:r>
            <w:r>
              <w:rPr>
                <w:rFonts w:ascii="Times New Roman"/>
                <w:spacing w:val="-2"/>
                <w:sz w:val="20"/>
              </w:rPr>
              <w:t>treatment,</w:t>
            </w:r>
          </w:p>
        </w:tc>
        <w:tc>
          <w:tcPr>
            <w:tcW w:w="1871" w:type="dxa"/>
            <w:tcBorders>
              <w:top w:val="nil"/>
              <w:bottom w:val="nil"/>
            </w:tcBorders>
          </w:tcPr>
          <w:p>
            <w:pPr>
              <w:pStyle w:val="TableParagraph"/>
              <w:spacing w:line="210" w:lineRule="exact"/>
              <w:ind w:left="107"/>
              <w:rPr>
                <w:rFonts w:ascii="Times New Roman"/>
                <w:sz w:val="20"/>
              </w:rPr>
            </w:pPr>
            <w:r>
              <w:rPr>
                <w:rFonts w:ascii="Times New Roman"/>
                <w:spacing w:val="-2"/>
                <w:sz w:val="20"/>
              </w:rPr>
              <w:t>departmental/faculty</w:t>
            </w:r>
          </w:p>
        </w:tc>
        <w:tc>
          <w:tcPr>
            <w:tcW w:w="1401" w:type="dxa"/>
            <w:tcBorders>
              <w:top w:val="nil"/>
              <w:bottom w:val="nil"/>
            </w:tcBorders>
          </w:tcPr>
          <w:p>
            <w:pPr>
              <w:pStyle w:val="TableParagraph"/>
              <w:spacing w:line="210" w:lineRule="exact"/>
              <w:ind w:left="108"/>
              <w:rPr>
                <w:rFonts w:ascii="Times New Roman"/>
                <w:sz w:val="20"/>
              </w:rPr>
            </w:pPr>
            <w:r>
              <w:rPr>
                <w:rFonts w:ascii="Times New Roman"/>
                <w:sz w:val="20"/>
              </w:rPr>
              <w:t>of</w:t>
            </w:r>
            <w:r>
              <w:rPr>
                <w:rFonts w:ascii="Times New Roman"/>
                <w:spacing w:val="-5"/>
                <w:sz w:val="20"/>
              </w:rPr>
              <w:t> </w:t>
            </w:r>
            <w:r>
              <w:rPr>
                <w:rFonts w:ascii="Times New Roman"/>
                <w:spacing w:val="-2"/>
                <w:sz w:val="20"/>
              </w:rPr>
              <w:t>Books,</w:t>
            </w:r>
          </w:p>
        </w:tc>
      </w:tr>
      <w:tr>
        <w:trPr>
          <w:trHeight w:val="228" w:hRule="atLeast"/>
        </w:trPr>
        <w:tc>
          <w:tcPr>
            <w:tcW w:w="2198" w:type="dxa"/>
            <w:tcBorders>
              <w:top w:val="nil"/>
              <w:bottom w:val="nil"/>
            </w:tcBorders>
          </w:tcPr>
          <w:p>
            <w:pPr>
              <w:pStyle w:val="TableParagraph"/>
              <w:spacing w:line="208" w:lineRule="exact"/>
              <w:ind w:left="110"/>
              <w:rPr>
                <w:rFonts w:ascii="Times New Roman"/>
                <w:sz w:val="20"/>
              </w:rPr>
            </w:pPr>
            <w:r>
              <w:rPr>
                <w:rFonts w:ascii="Times New Roman"/>
                <w:sz w:val="20"/>
              </w:rPr>
              <w:t>the</w:t>
            </w:r>
            <w:r>
              <w:rPr>
                <w:rFonts w:ascii="Times New Roman"/>
                <w:spacing w:val="-4"/>
                <w:sz w:val="20"/>
              </w:rPr>
              <w:t> </w:t>
            </w:r>
            <w:r>
              <w:rPr>
                <w:rFonts w:ascii="Times New Roman"/>
                <w:sz w:val="20"/>
              </w:rPr>
              <w:t>lives</w:t>
            </w:r>
            <w:r>
              <w:rPr>
                <w:rFonts w:ascii="Times New Roman"/>
                <w:spacing w:val="-1"/>
                <w:sz w:val="20"/>
              </w:rPr>
              <w:t> </w:t>
            </w:r>
            <w:r>
              <w:rPr>
                <w:rFonts w:ascii="Times New Roman"/>
                <w:sz w:val="20"/>
              </w:rPr>
              <w:t>and</w:t>
            </w:r>
            <w:r>
              <w:rPr>
                <w:rFonts w:ascii="Times New Roman"/>
                <w:spacing w:val="-5"/>
                <w:sz w:val="20"/>
              </w:rPr>
              <w:t> </w:t>
            </w:r>
            <w:r>
              <w:rPr>
                <w:rFonts w:ascii="Times New Roman"/>
                <w:spacing w:val="-2"/>
                <w:sz w:val="20"/>
              </w:rPr>
              <w:t>properties</w:t>
            </w:r>
          </w:p>
        </w:tc>
        <w:tc>
          <w:tcPr>
            <w:tcW w:w="2198" w:type="dxa"/>
            <w:tcBorders>
              <w:top w:val="nil"/>
              <w:bottom w:val="nil"/>
            </w:tcBorders>
          </w:tcPr>
          <w:p>
            <w:pPr>
              <w:pStyle w:val="TableParagraph"/>
              <w:spacing w:line="208" w:lineRule="exact"/>
              <w:ind w:left="105"/>
              <w:rPr>
                <w:rFonts w:ascii="Times New Roman" w:hAnsi="Times New Roman"/>
                <w:sz w:val="20"/>
              </w:rPr>
            </w:pPr>
            <w:r>
              <w:rPr>
                <w:rFonts w:ascii="Times New Roman" w:hAnsi="Times New Roman"/>
                <w:sz w:val="20"/>
              </w:rPr>
              <w:t>students’</w:t>
            </w:r>
            <w:r>
              <w:rPr>
                <w:rFonts w:ascii="Times New Roman" w:hAnsi="Times New Roman"/>
                <w:spacing w:val="-6"/>
                <w:sz w:val="20"/>
              </w:rPr>
              <w:t> </w:t>
            </w:r>
            <w:r>
              <w:rPr>
                <w:rFonts w:ascii="Times New Roman" w:hAnsi="Times New Roman"/>
                <w:spacing w:val="-2"/>
                <w:sz w:val="20"/>
              </w:rPr>
              <w:t>union,</w:t>
            </w:r>
          </w:p>
        </w:tc>
        <w:tc>
          <w:tcPr>
            <w:tcW w:w="2428" w:type="dxa"/>
            <w:tcBorders>
              <w:top w:val="nil"/>
              <w:bottom w:val="nil"/>
            </w:tcBorders>
          </w:tcPr>
          <w:p>
            <w:pPr>
              <w:pStyle w:val="TableParagraph"/>
              <w:spacing w:line="208" w:lineRule="exact"/>
              <w:ind w:left="106"/>
              <w:rPr>
                <w:rFonts w:ascii="Times New Roman"/>
                <w:sz w:val="20"/>
              </w:rPr>
            </w:pPr>
            <w:r>
              <w:rPr>
                <w:rFonts w:ascii="Times New Roman"/>
                <w:sz w:val="20"/>
              </w:rPr>
              <w:t>hostels,</w:t>
            </w:r>
            <w:r>
              <w:rPr>
                <w:rFonts w:ascii="Times New Roman"/>
                <w:spacing w:val="-13"/>
                <w:sz w:val="20"/>
              </w:rPr>
              <w:t> </w:t>
            </w:r>
            <w:r>
              <w:rPr>
                <w:rFonts w:ascii="Times New Roman"/>
                <w:sz w:val="20"/>
              </w:rPr>
              <w:t>maintenance</w:t>
            </w:r>
            <w:r>
              <w:rPr>
                <w:rFonts w:ascii="Times New Roman"/>
                <w:spacing w:val="-11"/>
                <w:sz w:val="20"/>
              </w:rPr>
              <w:t> </w:t>
            </w:r>
            <w:r>
              <w:rPr>
                <w:rFonts w:ascii="Times New Roman"/>
                <w:spacing w:val="-5"/>
                <w:sz w:val="20"/>
              </w:rPr>
              <w:t>of</w:t>
            </w:r>
          </w:p>
        </w:tc>
        <w:tc>
          <w:tcPr>
            <w:tcW w:w="2433" w:type="dxa"/>
            <w:tcBorders>
              <w:top w:val="nil"/>
              <w:bottom w:val="nil"/>
            </w:tcBorders>
          </w:tcPr>
          <w:p>
            <w:pPr>
              <w:pStyle w:val="TableParagraph"/>
              <w:spacing w:line="208" w:lineRule="exact"/>
              <w:ind w:left="111"/>
              <w:rPr>
                <w:rFonts w:ascii="Times New Roman"/>
                <w:sz w:val="20"/>
              </w:rPr>
            </w:pPr>
            <w:r>
              <w:rPr>
                <w:rFonts w:ascii="Times New Roman"/>
                <w:sz w:val="20"/>
              </w:rPr>
              <w:t>sanitation,</w:t>
            </w:r>
            <w:r>
              <w:rPr>
                <w:rFonts w:ascii="Times New Roman"/>
                <w:spacing w:val="-7"/>
                <w:sz w:val="20"/>
              </w:rPr>
              <w:t> </w:t>
            </w:r>
            <w:r>
              <w:rPr>
                <w:rFonts w:ascii="Times New Roman"/>
                <w:spacing w:val="-2"/>
                <w:sz w:val="20"/>
              </w:rPr>
              <w:t>environmental</w:t>
            </w:r>
          </w:p>
        </w:tc>
        <w:tc>
          <w:tcPr>
            <w:tcW w:w="1871" w:type="dxa"/>
            <w:tcBorders>
              <w:top w:val="nil"/>
              <w:bottom w:val="nil"/>
            </w:tcBorders>
          </w:tcPr>
          <w:p>
            <w:pPr>
              <w:pStyle w:val="TableParagraph"/>
              <w:spacing w:line="208" w:lineRule="exact"/>
              <w:ind w:left="107"/>
              <w:rPr>
                <w:rFonts w:ascii="Times New Roman"/>
                <w:sz w:val="20"/>
              </w:rPr>
            </w:pPr>
            <w:r>
              <w:rPr>
                <w:rFonts w:ascii="Times New Roman"/>
                <w:sz w:val="20"/>
              </w:rPr>
              <w:t>libraries;</w:t>
            </w:r>
            <w:r>
              <w:rPr>
                <w:rFonts w:ascii="Times New Roman"/>
                <w:spacing w:val="-9"/>
                <w:sz w:val="20"/>
              </w:rPr>
              <w:t> </w:t>
            </w:r>
            <w:r>
              <w:rPr>
                <w:rFonts w:ascii="Times New Roman"/>
                <w:spacing w:val="-2"/>
                <w:sz w:val="20"/>
              </w:rPr>
              <w:t>enhances</w:t>
            </w:r>
          </w:p>
        </w:tc>
        <w:tc>
          <w:tcPr>
            <w:tcW w:w="1401" w:type="dxa"/>
            <w:tcBorders>
              <w:top w:val="nil"/>
              <w:bottom w:val="nil"/>
            </w:tcBorders>
          </w:tcPr>
          <w:p>
            <w:pPr>
              <w:pStyle w:val="TableParagraph"/>
              <w:spacing w:line="208" w:lineRule="exact"/>
              <w:ind w:left="108"/>
              <w:rPr>
                <w:rFonts w:ascii="Times New Roman"/>
                <w:sz w:val="20"/>
              </w:rPr>
            </w:pPr>
            <w:r>
              <w:rPr>
                <w:rFonts w:ascii="Times New Roman"/>
                <w:spacing w:val="-4"/>
                <w:sz w:val="20"/>
              </w:rPr>
              <w:t>ITC,</w:t>
            </w:r>
          </w:p>
        </w:tc>
      </w:tr>
      <w:tr>
        <w:trPr>
          <w:trHeight w:val="228" w:hRule="atLeast"/>
        </w:trPr>
        <w:tc>
          <w:tcPr>
            <w:tcW w:w="2198" w:type="dxa"/>
            <w:tcBorders>
              <w:top w:val="nil"/>
              <w:bottom w:val="nil"/>
            </w:tcBorders>
          </w:tcPr>
          <w:p>
            <w:pPr>
              <w:pStyle w:val="TableParagraph"/>
              <w:spacing w:line="208" w:lineRule="exact"/>
              <w:ind w:left="110"/>
              <w:rPr>
                <w:rFonts w:ascii="Times New Roman"/>
                <w:sz w:val="20"/>
              </w:rPr>
            </w:pPr>
            <w:r>
              <w:rPr>
                <w:rFonts w:ascii="Times New Roman"/>
                <w:sz w:val="20"/>
              </w:rPr>
              <w:t>of</w:t>
            </w:r>
            <w:r>
              <w:rPr>
                <w:rFonts w:ascii="Times New Roman"/>
                <w:spacing w:val="-3"/>
                <w:sz w:val="20"/>
              </w:rPr>
              <w:t> </w:t>
            </w:r>
            <w:r>
              <w:rPr>
                <w:rFonts w:ascii="Times New Roman"/>
                <w:sz w:val="20"/>
              </w:rPr>
              <w:t>the</w:t>
            </w:r>
            <w:r>
              <w:rPr>
                <w:rFonts w:ascii="Times New Roman"/>
                <w:spacing w:val="-3"/>
                <w:sz w:val="20"/>
              </w:rPr>
              <w:t> </w:t>
            </w:r>
            <w:r>
              <w:rPr>
                <w:rFonts w:ascii="Times New Roman"/>
                <w:spacing w:val="-2"/>
                <w:sz w:val="20"/>
              </w:rPr>
              <w:t>students,</w:t>
            </w:r>
          </w:p>
        </w:tc>
        <w:tc>
          <w:tcPr>
            <w:tcW w:w="2198" w:type="dxa"/>
            <w:tcBorders>
              <w:top w:val="nil"/>
              <w:bottom w:val="nil"/>
            </w:tcBorders>
          </w:tcPr>
          <w:p>
            <w:pPr>
              <w:pStyle w:val="TableParagraph"/>
              <w:spacing w:line="208" w:lineRule="exact"/>
              <w:ind w:left="105"/>
              <w:rPr>
                <w:rFonts w:ascii="Times New Roman"/>
                <w:sz w:val="20"/>
              </w:rPr>
            </w:pPr>
            <w:r>
              <w:rPr>
                <w:rFonts w:ascii="Times New Roman"/>
                <w:spacing w:val="-2"/>
                <w:sz w:val="20"/>
              </w:rPr>
              <w:t>orientation</w:t>
            </w:r>
            <w:r>
              <w:rPr>
                <w:rFonts w:ascii="Times New Roman"/>
                <w:spacing w:val="9"/>
                <w:sz w:val="20"/>
              </w:rPr>
              <w:t> </w:t>
            </w:r>
            <w:r>
              <w:rPr>
                <w:rFonts w:ascii="Times New Roman"/>
                <w:spacing w:val="-2"/>
                <w:sz w:val="20"/>
              </w:rPr>
              <w:t>matters,</w:t>
            </w:r>
          </w:p>
        </w:tc>
        <w:tc>
          <w:tcPr>
            <w:tcW w:w="2428" w:type="dxa"/>
            <w:tcBorders>
              <w:top w:val="nil"/>
              <w:bottom w:val="nil"/>
            </w:tcBorders>
          </w:tcPr>
          <w:p>
            <w:pPr>
              <w:pStyle w:val="TableParagraph"/>
              <w:spacing w:line="208" w:lineRule="exact"/>
              <w:ind w:left="106"/>
              <w:rPr>
                <w:rFonts w:ascii="Times New Roman"/>
                <w:sz w:val="20"/>
              </w:rPr>
            </w:pPr>
            <w:r>
              <w:rPr>
                <w:rFonts w:ascii="Times New Roman"/>
                <w:sz w:val="20"/>
              </w:rPr>
              <w:t>sewage</w:t>
            </w:r>
            <w:r>
              <w:rPr>
                <w:rFonts w:ascii="Times New Roman"/>
                <w:spacing w:val="-5"/>
                <w:sz w:val="20"/>
              </w:rPr>
              <w:t> </w:t>
            </w:r>
            <w:r>
              <w:rPr>
                <w:rFonts w:ascii="Times New Roman"/>
                <w:sz w:val="20"/>
              </w:rPr>
              <w:t>and</w:t>
            </w:r>
            <w:r>
              <w:rPr>
                <w:rFonts w:ascii="Times New Roman"/>
                <w:spacing w:val="-1"/>
                <w:sz w:val="20"/>
              </w:rPr>
              <w:t> </w:t>
            </w:r>
            <w:r>
              <w:rPr>
                <w:rFonts w:ascii="Times New Roman"/>
                <w:spacing w:val="-2"/>
                <w:sz w:val="20"/>
              </w:rPr>
              <w:t>otherthings,</w:t>
            </w:r>
          </w:p>
        </w:tc>
        <w:tc>
          <w:tcPr>
            <w:tcW w:w="2433" w:type="dxa"/>
            <w:tcBorders>
              <w:top w:val="nil"/>
              <w:bottom w:val="nil"/>
            </w:tcBorders>
          </w:tcPr>
          <w:p>
            <w:pPr>
              <w:pStyle w:val="TableParagraph"/>
              <w:spacing w:line="208" w:lineRule="exact"/>
              <w:ind w:left="111"/>
              <w:rPr>
                <w:rFonts w:ascii="Times New Roman"/>
                <w:sz w:val="20"/>
              </w:rPr>
            </w:pPr>
            <w:r>
              <w:rPr>
                <w:rFonts w:ascii="Times New Roman"/>
                <w:sz w:val="20"/>
              </w:rPr>
              <w:t>sanitation</w:t>
            </w:r>
            <w:r>
              <w:rPr>
                <w:rFonts w:ascii="Times New Roman"/>
                <w:spacing w:val="-11"/>
                <w:sz w:val="20"/>
              </w:rPr>
              <w:t> </w:t>
            </w:r>
            <w:r>
              <w:rPr>
                <w:rFonts w:ascii="Times New Roman"/>
                <w:spacing w:val="-4"/>
                <w:sz w:val="20"/>
              </w:rPr>
              <w:t>etc.</w:t>
            </w:r>
          </w:p>
        </w:tc>
        <w:tc>
          <w:tcPr>
            <w:tcW w:w="1871" w:type="dxa"/>
            <w:tcBorders>
              <w:top w:val="nil"/>
              <w:bottom w:val="nil"/>
            </w:tcBorders>
          </w:tcPr>
          <w:p>
            <w:pPr>
              <w:pStyle w:val="TableParagraph"/>
              <w:spacing w:line="208" w:lineRule="exact"/>
              <w:ind w:left="107"/>
              <w:rPr>
                <w:rFonts w:ascii="Times New Roman"/>
                <w:sz w:val="20"/>
              </w:rPr>
            </w:pPr>
            <w:r>
              <w:rPr>
                <w:rFonts w:ascii="Times New Roman"/>
                <w:spacing w:val="-2"/>
                <w:sz w:val="20"/>
              </w:rPr>
              <w:t>teaching/learning</w:t>
            </w:r>
          </w:p>
        </w:tc>
        <w:tc>
          <w:tcPr>
            <w:tcW w:w="1401" w:type="dxa"/>
            <w:tcBorders>
              <w:top w:val="nil"/>
              <w:bottom w:val="nil"/>
            </w:tcBorders>
          </w:tcPr>
          <w:p>
            <w:pPr>
              <w:pStyle w:val="TableParagraph"/>
              <w:spacing w:line="208" w:lineRule="exact"/>
              <w:ind w:left="108"/>
              <w:rPr>
                <w:rFonts w:ascii="Times New Roman"/>
                <w:sz w:val="20"/>
              </w:rPr>
            </w:pPr>
            <w:r>
              <w:rPr>
                <w:rFonts w:ascii="Times New Roman"/>
                <w:sz w:val="20"/>
              </w:rPr>
              <w:t>Publication</w:t>
            </w:r>
            <w:r>
              <w:rPr>
                <w:rFonts w:ascii="Times New Roman"/>
                <w:spacing w:val="-9"/>
                <w:sz w:val="20"/>
              </w:rPr>
              <w:t> </w:t>
            </w:r>
            <w:r>
              <w:rPr>
                <w:rFonts w:ascii="Times New Roman"/>
                <w:spacing w:val="-5"/>
                <w:sz w:val="20"/>
              </w:rPr>
              <w:t>of</w:t>
            </w:r>
          </w:p>
        </w:tc>
      </w:tr>
      <w:tr>
        <w:trPr>
          <w:trHeight w:val="230" w:hRule="atLeast"/>
        </w:trPr>
        <w:tc>
          <w:tcPr>
            <w:tcW w:w="2198" w:type="dxa"/>
            <w:tcBorders>
              <w:top w:val="nil"/>
              <w:bottom w:val="nil"/>
            </w:tcBorders>
          </w:tcPr>
          <w:p>
            <w:pPr>
              <w:pStyle w:val="TableParagraph"/>
              <w:spacing w:line="210" w:lineRule="exact"/>
              <w:ind w:left="110"/>
              <w:rPr>
                <w:rFonts w:ascii="Times New Roman"/>
                <w:sz w:val="20"/>
              </w:rPr>
            </w:pPr>
            <w:r>
              <w:rPr>
                <w:rFonts w:ascii="Times New Roman"/>
                <w:sz w:val="20"/>
              </w:rPr>
              <w:t>maintenance</w:t>
            </w:r>
            <w:r>
              <w:rPr>
                <w:rFonts w:ascii="Times New Roman"/>
                <w:spacing w:val="-11"/>
                <w:sz w:val="20"/>
              </w:rPr>
              <w:t> </w:t>
            </w:r>
            <w:r>
              <w:rPr>
                <w:rFonts w:ascii="Times New Roman"/>
                <w:sz w:val="20"/>
              </w:rPr>
              <w:t>of</w:t>
            </w:r>
            <w:r>
              <w:rPr>
                <w:rFonts w:ascii="Times New Roman"/>
                <w:spacing w:val="-10"/>
                <w:sz w:val="20"/>
              </w:rPr>
              <w:t> </w:t>
            </w:r>
            <w:r>
              <w:rPr>
                <w:rFonts w:ascii="Times New Roman"/>
                <w:spacing w:val="-4"/>
                <w:sz w:val="20"/>
              </w:rPr>
              <w:t>peace</w:t>
            </w:r>
          </w:p>
        </w:tc>
        <w:tc>
          <w:tcPr>
            <w:tcW w:w="2198" w:type="dxa"/>
            <w:tcBorders>
              <w:top w:val="nil"/>
              <w:bottom w:val="nil"/>
            </w:tcBorders>
          </w:tcPr>
          <w:p>
            <w:pPr>
              <w:pStyle w:val="TableParagraph"/>
              <w:spacing w:line="210" w:lineRule="exact"/>
              <w:ind w:left="105"/>
              <w:rPr>
                <w:rFonts w:ascii="Times New Roman"/>
                <w:sz w:val="20"/>
              </w:rPr>
            </w:pPr>
            <w:r>
              <w:rPr>
                <w:rFonts w:ascii="Times New Roman"/>
                <w:sz w:val="20"/>
              </w:rPr>
              <w:t>guidance</w:t>
            </w:r>
            <w:r>
              <w:rPr>
                <w:rFonts w:ascii="Times New Roman"/>
                <w:spacing w:val="-8"/>
                <w:sz w:val="20"/>
              </w:rPr>
              <w:t> </w:t>
            </w:r>
            <w:r>
              <w:rPr>
                <w:rFonts w:ascii="Times New Roman"/>
                <w:sz w:val="20"/>
              </w:rPr>
              <w:t>and</w:t>
            </w:r>
            <w:r>
              <w:rPr>
                <w:rFonts w:ascii="Times New Roman"/>
                <w:spacing w:val="-4"/>
                <w:sz w:val="20"/>
              </w:rPr>
              <w:t> </w:t>
            </w:r>
            <w:r>
              <w:rPr>
                <w:rFonts w:ascii="Times New Roman"/>
                <w:spacing w:val="-2"/>
                <w:sz w:val="20"/>
              </w:rPr>
              <w:t>counseling</w:t>
            </w:r>
          </w:p>
        </w:tc>
        <w:tc>
          <w:tcPr>
            <w:tcW w:w="2428" w:type="dxa"/>
            <w:tcBorders>
              <w:top w:val="nil"/>
              <w:bottom w:val="nil"/>
            </w:tcBorders>
          </w:tcPr>
          <w:p>
            <w:pPr>
              <w:pStyle w:val="TableParagraph"/>
              <w:spacing w:line="210" w:lineRule="exact"/>
              <w:ind w:left="106"/>
              <w:rPr>
                <w:rFonts w:ascii="Times New Roman"/>
                <w:sz w:val="20"/>
              </w:rPr>
            </w:pPr>
            <w:r>
              <w:rPr>
                <w:rFonts w:ascii="Times New Roman"/>
                <w:sz w:val="20"/>
              </w:rPr>
              <w:t>parks</w:t>
            </w:r>
            <w:r>
              <w:rPr>
                <w:rFonts w:ascii="Times New Roman"/>
                <w:spacing w:val="-8"/>
                <w:sz w:val="20"/>
              </w:rPr>
              <w:t> </w:t>
            </w:r>
            <w:r>
              <w:rPr>
                <w:rFonts w:ascii="Times New Roman"/>
                <w:sz w:val="20"/>
              </w:rPr>
              <w:t>and</w:t>
            </w:r>
            <w:r>
              <w:rPr>
                <w:rFonts w:ascii="Times New Roman"/>
                <w:spacing w:val="-5"/>
                <w:sz w:val="20"/>
              </w:rPr>
              <w:t> </w:t>
            </w:r>
            <w:r>
              <w:rPr>
                <w:rFonts w:ascii="Times New Roman"/>
                <w:sz w:val="20"/>
              </w:rPr>
              <w:t>gardens</w:t>
            </w:r>
            <w:r>
              <w:rPr>
                <w:rFonts w:ascii="Times New Roman"/>
                <w:spacing w:val="-5"/>
                <w:sz w:val="20"/>
              </w:rPr>
              <w:t> </w:t>
            </w:r>
            <w:r>
              <w:rPr>
                <w:rFonts w:ascii="Times New Roman"/>
                <w:spacing w:val="-4"/>
                <w:sz w:val="20"/>
              </w:rPr>
              <w:t>etc.</w:t>
            </w:r>
          </w:p>
        </w:tc>
        <w:tc>
          <w:tcPr>
            <w:tcW w:w="2433" w:type="dxa"/>
            <w:tcBorders>
              <w:top w:val="nil"/>
              <w:bottom w:val="nil"/>
            </w:tcBorders>
          </w:tcPr>
          <w:p>
            <w:pPr>
              <w:pStyle w:val="TableParagraph"/>
              <w:rPr>
                <w:rFonts w:ascii="Times New Roman"/>
                <w:sz w:val="16"/>
              </w:rPr>
            </w:pPr>
          </w:p>
        </w:tc>
        <w:tc>
          <w:tcPr>
            <w:tcW w:w="1871" w:type="dxa"/>
            <w:tcBorders>
              <w:top w:val="nil"/>
              <w:bottom w:val="nil"/>
            </w:tcBorders>
          </w:tcPr>
          <w:p>
            <w:pPr>
              <w:pStyle w:val="TableParagraph"/>
              <w:spacing w:line="210" w:lineRule="exact"/>
              <w:ind w:left="107"/>
              <w:rPr>
                <w:rFonts w:ascii="Times New Roman"/>
                <w:sz w:val="20"/>
              </w:rPr>
            </w:pPr>
            <w:r>
              <w:rPr>
                <w:rFonts w:ascii="Times New Roman"/>
                <w:sz w:val="20"/>
              </w:rPr>
              <w:t>facilities</w:t>
            </w:r>
            <w:r>
              <w:rPr>
                <w:rFonts w:ascii="Times New Roman"/>
                <w:spacing w:val="-11"/>
                <w:sz w:val="20"/>
              </w:rPr>
              <w:t> </w:t>
            </w:r>
            <w:r>
              <w:rPr>
                <w:rFonts w:ascii="Times New Roman"/>
                <w:spacing w:val="-5"/>
                <w:sz w:val="20"/>
              </w:rPr>
              <w:t>and</w:t>
            </w:r>
          </w:p>
        </w:tc>
        <w:tc>
          <w:tcPr>
            <w:tcW w:w="1401" w:type="dxa"/>
            <w:tcBorders>
              <w:top w:val="nil"/>
              <w:bottom w:val="nil"/>
            </w:tcBorders>
          </w:tcPr>
          <w:p>
            <w:pPr>
              <w:pStyle w:val="TableParagraph"/>
              <w:spacing w:line="210" w:lineRule="exact"/>
              <w:ind w:left="108"/>
              <w:rPr>
                <w:rFonts w:ascii="Times New Roman"/>
                <w:sz w:val="20"/>
              </w:rPr>
            </w:pPr>
            <w:r>
              <w:rPr>
                <w:rFonts w:ascii="Times New Roman"/>
                <w:spacing w:val="-2"/>
                <w:sz w:val="20"/>
              </w:rPr>
              <w:t>students</w:t>
            </w:r>
          </w:p>
        </w:tc>
      </w:tr>
      <w:tr>
        <w:trPr>
          <w:trHeight w:val="230" w:hRule="atLeast"/>
        </w:trPr>
        <w:tc>
          <w:tcPr>
            <w:tcW w:w="2198" w:type="dxa"/>
            <w:tcBorders>
              <w:top w:val="nil"/>
              <w:bottom w:val="nil"/>
            </w:tcBorders>
          </w:tcPr>
          <w:p>
            <w:pPr>
              <w:pStyle w:val="TableParagraph"/>
              <w:spacing w:line="210" w:lineRule="exact"/>
              <w:ind w:left="110"/>
              <w:rPr>
                <w:rFonts w:ascii="Times New Roman"/>
                <w:sz w:val="20"/>
              </w:rPr>
            </w:pPr>
            <w:r>
              <w:rPr>
                <w:rFonts w:ascii="Times New Roman"/>
                <w:sz w:val="20"/>
              </w:rPr>
              <w:t>by</w:t>
            </w:r>
            <w:r>
              <w:rPr>
                <w:rFonts w:ascii="Times New Roman"/>
                <w:spacing w:val="-13"/>
                <w:sz w:val="20"/>
              </w:rPr>
              <w:t> </w:t>
            </w:r>
            <w:r>
              <w:rPr>
                <w:rFonts w:ascii="Times New Roman"/>
                <w:sz w:val="20"/>
              </w:rPr>
              <w:t>surveillance</w:t>
            </w:r>
            <w:r>
              <w:rPr>
                <w:rFonts w:ascii="Times New Roman"/>
                <w:spacing w:val="-5"/>
                <w:sz w:val="20"/>
              </w:rPr>
              <w:t> </w:t>
            </w:r>
            <w:r>
              <w:rPr>
                <w:rFonts w:ascii="Times New Roman"/>
                <w:spacing w:val="-4"/>
                <w:sz w:val="20"/>
              </w:rPr>
              <w:t>etc.</w:t>
            </w:r>
          </w:p>
        </w:tc>
        <w:tc>
          <w:tcPr>
            <w:tcW w:w="2198" w:type="dxa"/>
            <w:tcBorders>
              <w:top w:val="nil"/>
              <w:bottom w:val="nil"/>
            </w:tcBorders>
          </w:tcPr>
          <w:p>
            <w:pPr>
              <w:pStyle w:val="TableParagraph"/>
              <w:spacing w:line="210" w:lineRule="exact"/>
              <w:ind w:left="105"/>
              <w:rPr>
                <w:rFonts w:ascii="Times New Roman"/>
                <w:sz w:val="20"/>
              </w:rPr>
            </w:pPr>
            <w:r>
              <w:rPr>
                <w:rFonts w:ascii="Times New Roman"/>
                <w:spacing w:val="-2"/>
                <w:sz w:val="20"/>
              </w:rPr>
              <w:t>matters,</w:t>
            </w:r>
            <w:r>
              <w:rPr>
                <w:rFonts w:ascii="Times New Roman"/>
                <w:spacing w:val="3"/>
                <w:sz w:val="20"/>
              </w:rPr>
              <w:t> </w:t>
            </w:r>
            <w:r>
              <w:rPr>
                <w:rFonts w:ascii="Times New Roman"/>
                <w:spacing w:val="-2"/>
                <w:sz w:val="20"/>
              </w:rPr>
              <w:t>religious</w:t>
            </w:r>
          </w:p>
        </w:tc>
        <w:tc>
          <w:tcPr>
            <w:tcW w:w="2428" w:type="dxa"/>
            <w:tcBorders>
              <w:top w:val="nil"/>
              <w:bottom w:val="nil"/>
            </w:tcBorders>
          </w:tcPr>
          <w:p>
            <w:pPr>
              <w:pStyle w:val="TableParagraph"/>
              <w:rPr>
                <w:rFonts w:ascii="Times New Roman"/>
                <w:sz w:val="16"/>
              </w:rPr>
            </w:pPr>
          </w:p>
        </w:tc>
        <w:tc>
          <w:tcPr>
            <w:tcW w:w="2433" w:type="dxa"/>
            <w:tcBorders>
              <w:top w:val="nil"/>
              <w:bottom w:val="nil"/>
            </w:tcBorders>
          </w:tcPr>
          <w:p>
            <w:pPr>
              <w:pStyle w:val="TableParagraph"/>
              <w:rPr>
                <w:rFonts w:ascii="Times New Roman"/>
                <w:sz w:val="16"/>
              </w:rPr>
            </w:pPr>
          </w:p>
        </w:tc>
        <w:tc>
          <w:tcPr>
            <w:tcW w:w="1871" w:type="dxa"/>
            <w:tcBorders>
              <w:top w:val="nil"/>
              <w:bottom w:val="nil"/>
            </w:tcBorders>
          </w:tcPr>
          <w:p>
            <w:pPr>
              <w:pStyle w:val="TableParagraph"/>
              <w:spacing w:line="210" w:lineRule="exact"/>
              <w:ind w:left="107"/>
              <w:rPr>
                <w:rFonts w:ascii="Times New Roman"/>
                <w:sz w:val="20"/>
              </w:rPr>
            </w:pPr>
            <w:r>
              <w:rPr>
                <w:rFonts w:ascii="Times New Roman"/>
                <w:spacing w:val="-2"/>
                <w:sz w:val="20"/>
              </w:rPr>
              <w:t>students/teachers</w:t>
            </w:r>
          </w:p>
        </w:tc>
        <w:tc>
          <w:tcPr>
            <w:tcW w:w="1401" w:type="dxa"/>
            <w:tcBorders>
              <w:top w:val="nil"/>
              <w:bottom w:val="nil"/>
            </w:tcBorders>
          </w:tcPr>
          <w:p>
            <w:pPr>
              <w:pStyle w:val="TableParagraph"/>
              <w:spacing w:line="210" w:lineRule="exact"/>
              <w:ind w:left="108"/>
              <w:rPr>
                <w:rFonts w:ascii="Times New Roman"/>
                <w:sz w:val="20"/>
              </w:rPr>
            </w:pPr>
            <w:r>
              <w:rPr>
                <w:rFonts w:ascii="Times New Roman"/>
                <w:spacing w:val="-2"/>
                <w:sz w:val="20"/>
              </w:rPr>
              <w:t>work/project,</w:t>
            </w:r>
          </w:p>
        </w:tc>
      </w:tr>
      <w:tr>
        <w:trPr>
          <w:trHeight w:val="230" w:hRule="atLeast"/>
        </w:trPr>
        <w:tc>
          <w:tcPr>
            <w:tcW w:w="2198" w:type="dxa"/>
            <w:tcBorders>
              <w:top w:val="nil"/>
              <w:bottom w:val="nil"/>
            </w:tcBorders>
          </w:tcPr>
          <w:p>
            <w:pPr>
              <w:pStyle w:val="TableParagraph"/>
              <w:rPr>
                <w:rFonts w:ascii="Times New Roman"/>
                <w:sz w:val="16"/>
              </w:rPr>
            </w:pPr>
          </w:p>
        </w:tc>
        <w:tc>
          <w:tcPr>
            <w:tcW w:w="2198" w:type="dxa"/>
            <w:tcBorders>
              <w:top w:val="nil"/>
              <w:bottom w:val="nil"/>
            </w:tcBorders>
          </w:tcPr>
          <w:p>
            <w:pPr>
              <w:pStyle w:val="TableParagraph"/>
              <w:spacing w:line="210" w:lineRule="exact"/>
              <w:ind w:left="105"/>
              <w:rPr>
                <w:rFonts w:ascii="Times New Roman"/>
                <w:sz w:val="20"/>
              </w:rPr>
            </w:pPr>
            <w:r>
              <w:rPr>
                <w:rFonts w:ascii="Times New Roman"/>
                <w:sz w:val="20"/>
              </w:rPr>
              <w:t>matters,</w:t>
            </w:r>
            <w:r>
              <w:rPr>
                <w:rFonts w:ascii="Times New Roman"/>
                <w:spacing w:val="-8"/>
                <w:sz w:val="20"/>
              </w:rPr>
              <w:t> </w:t>
            </w:r>
            <w:r>
              <w:rPr>
                <w:rFonts w:ascii="Times New Roman"/>
                <w:sz w:val="20"/>
              </w:rPr>
              <w:t>sports</w:t>
            </w:r>
            <w:r>
              <w:rPr>
                <w:rFonts w:ascii="Times New Roman"/>
                <w:spacing w:val="-8"/>
                <w:sz w:val="20"/>
              </w:rPr>
              <w:t> </w:t>
            </w:r>
            <w:r>
              <w:rPr>
                <w:rFonts w:ascii="Times New Roman"/>
                <w:spacing w:val="-5"/>
                <w:sz w:val="20"/>
              </w:rPr>
              <w:t>and</w:t>
            </w:r>
          </w:p>
        </w:tc>
        <w:tc>
          <w:tcPr>
            <w:tcW w:w="2428" w:type="dxa"/>
            <w:tcBorders>
              <w:top w:val="nil"/>
              <w:bottom w:val="nil"/>
            </w:tcBorders>
          </w:tcPr>
          <w:p>
            <w:pPr>
              <w:pStyle w:val="TableParagraph"/>
              <w:rPr>
                <w:rFonts w:ascii="Times New Roman"/>
                <w:sz w:val="16"/>
              </w:rPr>
            </w:pPr>
          </w:p>
        </w:tc>
        <w:tc>
          <w:tcPr>
            <w:tcW w:w="2433" w:type="dxa"/>
            <w:tcBorders>
              <w:top w:val="nil"/>
              <w:bottom w:val="nil"/>
            </w:tcBorders>
          </w:tcPr>
          <w:p>
            <w:pPr>
              <w:pStyle w:val="TableParagraph"/>
              <w:rPr>
                <w:rFonts w:ascii="Times New Roman"/>
                <w:sz w:val="16"/>
              </w:rPr>
            </w:pPr>
          </w:p>
        </w:tc>
        <w:tc>
          <w:tcPr>
            <w:tcW w:w="1871" w:type="dxa"/>
            <w:tcBorders>
              <w:top w:val="nil"/>
              <w:bottom w:val="nil"/>
            </w:tcBorders>
          </w:tcPr>
          <w:p>
            <w:pPr>
              <w:pStyle w:val="TableParagraph"/>
              <w:spacing w:line="210" w:lineRule="exact"/>
              <w:ind w:left="107"/>
              <w:rPr>
                <w:rFonts w:ascii="Times New Roman"/>
                <w:sz w:val="20"/>
              </w:rPr>
            </w:pPr>
            <w:r>
              <w:rPr>
                <w:rFonts w:ascii="Times New Roman"/>
                <w:sz w:val="20"/>
              </w:rPr>
              <w:t>relationship</w:t>
            </w:r>
            <w:r>
              <w:rPr>
                <w:rFonts w:ascii="Times New Roman"/>
                <w:spacing w:val="-14"/>
                <w:sz w:val="20"/>
              </w:rPr>
              <w:t> </w:t>
            </w:r>
            <w:r>
              <w:rPr>
                <w:rFonts w:ascii="Times New Roman"/>
                <w:spacing w:val="-4"/>
                <w:sz w:val="20"/>
              </w:rPr>
              <w:t>etc.</w:t>
            </w:r>
          </w:p>
        </w:tc>
        <w:tc>
          <w:tcPr>
            <w:tcW w:w="1401" w:type="dxa"/>
            <w:tcBorders>
              <w:top w:val="nil"/>
              <w:bottom w:val="nil"/>
            </w:tcBorders>
          </w:tcPr>
          <w:p>
            <w:pPr>
              <w:pStyle w:val="TableParagraph"/>
              <w:spacing w:line="210" w:lineRule="exact"/>
              <w:ind w:left="108"/>
              <w:rPr>
                <w:rFonts w:ascii="Times New Roman"/>
                <w:sz w:val="20"/>
              </w:rPr>
            </w:pPr>
            <w:r>
              <w:rPr>
                <w:rFonts w:ascii="Times New Roman"/>
                <w:spacing w:val="-4"/>
                <w:sz w:val="20"/>
              </w:rPr>
              <w:t>etc.</w:t>
            </w:r>
          </w:p>
        </w:tc>
      </w:tr>
      <w:tr>
        <w:trPr>
          <w:trHeight w:val="283" w:hRule="atLeast"/>
        </w:trPr>
        <w:tc>
          <w:tcPr>
            <w:tcW w:w="2198" w:type="dxa"/>
            <w:tcBorders>
              <w:top w:val="nil"/>
            </w:tcBorders>
          </w:tcPr>
          <w:p>
            <w:pPr>
              <w:pStyle w:val="TableParagraph"/>
              <w:rPr>
                <w:rFonts w:ascii="Times New Roman"/>
                <w:sz w:val="20"/>
              </w:rPr>
            </w:pPr>
          </w:p>
        </w:tc>
        <w:tc>
          <w:tcPr>
            <w:tcW w:w="2198" w:type="dxa"/>
            <w:tcBorders>
              <w:top w:val="nil"/>
            </w:tcBorders>
          </w:tcPr>
          <w:p>
            <w:pPr>
              <w:pStyle w:val="TableParagraph"/>
              <w:spacing w:line="226" w:lineRule="exact"/>
              <w:ind w:left="105"/>
              <w:rPr>
                <w:rFonts w:ascii="Times New Roman"/>
                <w:sz w:val="20"/>
              </w:rPr>
            </w:pPr>
            <w:r>
              <w:rPr>
                <w:rFonts w:ascii="Times New Roman"/>
                <w:sz w:val="20"/>
              </w:rPr>
              <w:t>recreation</w:t>
            </w:r>
            <w:r>
              <w:rPr>
                <w:rFonts w:ascii="Times New Roman"/>
                <w:spacing w:val="-11"/>
                <w:sz w:val="20"/>
              </w:rPr>
              <w:t> </w:t>
            </w:r>
            <w:r>
              <w:rPr>
                <w:rFonts w:ascii="Times New Roman"/>
                <w:spacing w:val="-4"/>
                <w:sz w:val="20"/>
              </w:rPr>
              <w:t>etc.</w:t>
            </w:r>
          </w:p>
        </w:tc>
        <w:tc>
          <w:tcPr>
            <w:tcW w:w="2428" w:type="dxa"/>
            <w:tcBorders>
              <w:top w:val="nil"/>
            </w:tcBorders>
          </w:tcPr>
          <w:p>
            <w:pPr>
              <w:pStyle w:val="TableParagraph"/>
              <w:rPr>
                <w:rFonts w:ascii="Times New Roman"/>
                <w:sz w:val="20"/>
              </w:rPr>
            </w:pPr>
          </w:p>
        </w:tc>
        <w:tc>
          <w:tcPr>
            <w:tcW w:w="2433" w:type="dxa"/>
            <w:tcBorders>
              <w:top w:val="nil"/>
            </w:tcBorders>
          </w:tcPr>
          <w:p>
            <w:pPr>
              <w:pStyle w:val="TableParagraph"/>
              <w:rPr>
                <w:rFonts w:ascii="Times New Roman"/>
                <w:sz w:val="20"/>
              </w:rPr>
            </w:pPr>
          </w:p>
        </w:tc>
        <w:tc>
          <w:tcPr>
            <w:tcW w:w="1871" w:type="dxa"/>
            <w:tcBorders>
              <w:top w:val="nil"/>
            </w:tcBorders>
          </w:tcPr>
          <w:p>
            <w:pPr>
              <w:pStyle w:val="TableParagraph"/>
              <w:rPr>
                <w:rFonts w:ascii="Times New Roman"/>
                <w:sz w:val="20"/>
              </w:rPr>
            </w:pPr>
          </w:p>
        </w:tc>
        <w:tc>
          <w:tcPr>
            <w:tcW w:w="1401" w:type="dxa"/>
            <w:tcBorders>
              <w:top w:val="nil"/>
            </w:tcBorders>
          </w:tcPr>
          <w:p>
            <w:pPr>
              <w:pStyle w:val="TableParagraph"/>
              <w:rPr>
                <w:rFonts w:ascii="Times New Roman"/>
                <w:sz w:val="20"/>
              </w:rPr>
            </w:pPr>
          </w:p>
        </w:tc>
      </w:tr>
    </w:tbl>
    <w:p>
      <w:pPr>
        <w:pStyle w:val="BodyText"/>
        <w:rPr>
          <w:rFonts w:ascii="Times New Roman"/>
        </w:rPr>
      </w:pPr>
    </w:p>
    <w:p>
      <w:pPr>
        <w:pStyle w:val="BodyText"/>
        <w:spacing w:before="188"/>
        <w:rPr>
          <w:rFonts w:ascii="Times New Roman"/>
        </w:rPr>
      </w:pPr>
    </w:p>
    <w:p>
      <w:pPr>
        <w:pStyle w:val="BodyText"/>
        <w:ind w:left="141"/>
        <w:rPr>
          <w:rFonts w:ascii="Times New Roman" w:hAnsi="Times New Roman"/>
        </w:rPr>
      </w:pPr>
      <w:r>
        <w:rPr>
          <w:rFonts w:ascii="Times New Roman" w:hAnsi="Times New Roman"/>
          <w:b/>
        </w:rPr>
        <w:t>Key:</w:t>
      </w:r>
      <w:r>
        <w:rPr>
          <w:rFonts w:ascii="Times New Roman" w:hAnsi="Times New Roman"/>
          <w:b/>
          <w:spacing w:val="52"/>
        </w:rPr>
        <w:t> </w:t>
      </w:r>
      <w:r>
        <w:rPr>
          <w:rFonts w:ascii="Times New Roman" w:hAnsi="Times New Roman"/>
        </w:rPr>
        <w:t>Left</w:t>
      </w:r>
      <w:r>
        <w:rPr>
          <w:rFonts w:ascii="Times New Roman" w:hAnsi="Times New Roman"/>
          <w:spacing w:val="3"/>
        </w:rPr>
        <w:t> </w:t>
      </w:r>
      <w:r>
        <w:rPr>
          <w:rFonts w:ascii="Times New Roman" w:hAnsi="Times New Roman"/>
        </w:rPr>
        <w:t>and</w:t>
      </w:r>
      <w:r>
        <w:rPr>
          <w:rFonts w:ascii="Times New Roman" w:hAnsi="Times New Roman"/>
          <w:spacing w:val="-2"/>
        </w:rPr>
        <w:t> </w:t>
      </w:r>
      <w:r>
        <w:rPr>
          <w:rFonts w:ascii="Times New Roman" w:hAnsi="Times New Roman"/>
        </w:rPr>
        <w:t>Right</w:t>
      </w:r>
      <w:r>
        <w:rPr>
          <w:rFonts w:ascii="Times New Roman" w:hAnsi="Times New Roman"/>
          <w:spacing w:val="4"/>
        </w:rPr>
        <w:t> </w:t>
      </w:r>
      <w:r>
        <w:rPr>
          <w:rFonts w:ascii="Times New Roman" w:hAnsi="Times New Roman"/>
        </w:rPr>
        <w:t>arrows</w:t>
      </w:r>
      <w:r>
        <w:rPr>
          <w:rFonts w:ascii="Times New Roman" w:hAnsi="Times New Roman"/>
          <w:spacing w:val="-4"/>
        </w:rPr>
        <w:t> </w:t>
      </w:r>
      <w:r>
        <w:rPr>
          <w:rFonts w:ascii="Times New Roman" w:hAnsi="Times New Roman"/>
        </w:rPr>
        <w:t>in</w:t>
      </w:r>
      <w:r>
        <w:rPr>
          <w:rFonts w:ascii="Times New Roman" w:hAnsi="Times New Roman"/>
          <w:spacing w:val="-6"/>
        </w:rPr>
        <w:t> </w:t>
      </w:r>
      <w:r>
        <w:rPr>
          <w:rFonts w:ascii="Times New Roman" w:hAnsi="Times New Roman"/>
        </w:rPr>
        <w:t>the</w:t>
      </w:r>
      <w:r>
        <w:rPr>
          <w:rFonts w:ascii="Times New Roman" w:hAnsi="Times New Roman"/>
          <w:spacing w:val="2"/>
        </w:rPr>
        <w:t> </w:t>
      </w:r>
      <w:r>
        <w:rPr>
          <w:rFonts w:ascii="Times New Roman" w:hAnsi="Times New Roman"/>
        </w:rPr>
        <w:t>margin</w:t>
      </w:r>
      <w:r>
        <w:rPr>
          <w:rFonts w:ascii="Times New Roman" w:hAnsi="Times New Roman"/>
          <w:spacing w:val="-1"/>
        </w:rPr>
        <w:t> </w:t>
      </w:r>
      <w:r>
        <w:rPr>
          <w:rFonts w:ascii="Times New Roman" w:hAnsi="Times New Roman"/>
        </w:rPr>
        <w:t>show</w:t>
      </w:r>
      <w:r>
        <w:rPr>
          <w:rFonts w:ascii="Times New Roman" w:hAnsi="Times New Roman"/>
          <w:spacing w:val="-3"/>
        </w:rPr>
        <w:t> </w:t>
      </w:r>
      <w:r>
        <w:rPr>
          <w:rFonts w:ascii="Times New Roman" w:hAnsi="Times New Roman"/>
        </w:rPr>
        <w:t>evaluation</w:t>
      </w:r>
      <w:r>
        <w:rPr>
          <w:rFonts w:ascii="Times New Roman" w:hAnsi="Times New Roman"/>
          <w:spacing w:val="-6"/>
        </w:rPr>
        <w:t> </w:t>
      </w:r>
      <w:r>
        <w:rPr>
          <w:rFonts w:ascii="Times New Roman" w:hAnsi="Times New Roman"/>
        </w:rPr>
        <w:t>process/students’</w:t>
      </w:r>
      <w:r>
        <w:rPr>
          <w:rFonts w:ascii="Times New Roman" w:hAnsi="Times New Roman"/>
          <w:spacing w:val="-4"/>
        </w:rPr>
        <w:t> </w:t>
      </w:r>
      <w:r>
        <w:rPr>
          <w:rFonts w:ascii="Times New Roman" w:hAnsi="Times New Roman"/>
        </w:rPr>
        <w:t>welfare</w:t>
      </w:r>
      <w:r>
        <w:rPr>
          <w:rFonts w:ascii="Times New Roman" w:hAnsi="Times New Roman"/>
          <w:spacing w:val="-3"/>
        </w:rPr>
        <w:t> </w:t>
      </w:r>
      <w:r>
        <w:rPr>
          <w:rFonts w:ascii="Times New Roman" w:hAnsi="Times New Roman"/>
        </w:rPr>
        <w:t>services</w:t>
      </w:r>
      <w:r>
        <w:rPr>
          <w:rFonts w:ascii="Times New Roman" w:hAnsi="Times New Roman"/>
          <w:spacing w:val="1"/>
        </w:rPr>
        <w:t> </w:t>
      </w:r>
      <w:r>
        <w:rPr>
          <w:rFonts w:ascii="Times New Roman" w:hAnsi="Times New Roman"/>
        </w:rPr>
        <w:t>in</w:t>
      </w:r>
      <w:r>
        <w:rPr>
          <w:rFonts w:ascii="Times New Roman" w:hAnsi="Times New Roman"/>
          <w:spacing w:val="-7"/>
        </w:rPr>
        <w:t> </w:t>
      </w:r>
      <w:r>
        <w:rPr>
          <w:rFonts w:ascii="Times New Roman" w:hAnsi="Times New Roman"/>
        </w:rPr>
        <w:t>Federal</w:t>
      </w:r>
      <w:r>
        <w:rPr>
          <w:rFonts w:ascii="Times New Roman" w:hAnsi="Times New Roman"/>
          <w:spacing w:val="-10"/>
        </w:rPr>
        <w:t> </w:t>
      </w:r>
      <w:r>
        <w:rPr>
          <w:rFonts w:ascii="Times New Roman" w:hAnsi="Times New Roman"/>
        </w:rPr>
        <w:t>and</w:t>
      </w:r>
      <w:r>
        <w:rPr>
          <w:rFonts w:ascii="Times New Roman" w:hAnsi="Times New Roman"/>
          <w:spacing w:val="-1"/>
        </w:rPr>
        <w:t> </w:t>
      </w:r>
      <w:r>
        <w:rPr>
          <w:rFonts w:ascii="Times New Roman" w:hAnsi="Times New Roman"/>
        </w:rPr>
        <w:t>State</w:t>
      </w:r>
      <w:r>
        <w:rPr>
          <w:rFonts w:ascii="Times New Roman" w:hAnsi="Times New Roman"/>
          <w:spacing w:val="-2"/>
        </w:rPr>
        <w:t> Universities</w:t>
      </w:r>
    </w:p>
    <w:p>
      <w:pPr>
        <w:pStyle w:val="Heading4"/>
        <w:spacing w:before="50"/>
        <w:ind w:left="3381"/>
        <w:rPr>
          <w:rFonts w:ascii="Times New Roman"/>
        </w:rPr>
      </w:pPr>
      <w:r>
        <w:rPr>
          <w:rFonts w:ascii="Times New Roman"/>
        </w:rPr>
        <w:t>Source:</w:t>
      </w:r>
      <w:r>
        <w:rPr>
          <w:rFonts w:ascii="Times New Roman"/>
          <w:spacing w:val="-3"/>
        </w:rPr>
        <w:t> </w:t>
      </w:r>
      <w:r>
        <w:rPr>
          <w:rFonts w:ascii="Times New Roman"/>
        </w:rPr>
        <w:t>Developed</w:t>
      </w:r>
      <w:r>
        <w:rPr>
          <w:rFonts w:ascii="Times New Roman"/>
          <w:spacing w:val="-1"/>
        </w:rPr>
        <w:t> </w:t>
      </w:r>
      <w:r>
        <w:rPr>
          <w:rFonts w:ascii="Times New Roman"/>
        </w:rPr>
        <w:t>by</w:t>
      </w:r>
      <w:r>
        <w:rPr>
          <w:rFonts w:ascii="Times New Roman"/>
          <w:spacing w:val="-2"/>
        </w:rPr>
        <w:t> </w:t>
      </w:r>
      <w:r>
        <w:rPr>
          <w:rFonts w:ascii="Times New Roman"/>
        </w:rPr>
        <w:t>the</w:t>
      </w:r>
      <w:r>
        <w:rPr>
          <w:rFonts w:ascii="Times New Roman"/>
          <w:spacing w:val="-7"/>
        </w:rPr>
        <w:t> </w:t>
      </w:r>
      <w:r>
        <w:rPr>
          <w:rFonts w:ascii="Times New Roman"/>
        </w:rPr>
        <w:t>Researcher</w:t>
      </w:r>
      <w:r>
        <w:rPr>
          <w:rFonts w:ascii="Times New Roman"/>
          <w:spacing w:val="-7"/>
        </w:rPr>
        <w:t> </w:t>
      </w:r>
      <w:r>
        <w:rPr>
          <w:rFonts w:ascii="Times New Roman"/>
        </w:rPr>
        <w:t>(Mahadi,</w:t>
      </w:r>
      <w:r>
        <w:rPr>
          <w:rFonts w:ascii="Times New Roman"/>
          <w:spacing w:val="-4"/>
        </w:rPr>
        <w:t> </w:t>
      </w:r>
      <w:r>
        <w:rPr>
          <w:rFonts w:ascii="Times New Roman"/>
        </w:rPr>
        <w:t>A.A.</w:t>
      </w:r>
      <w:r>
        <w:rPr>
          <w:rFonts w:ascii="Times New Roman"/>
          <w:spacing w:val="1"/>
        </w:rPr>
        <w:t> </w:t>
      </w:r>
      <w:r>
        <w:rPr>
          <w:rFonts w:ascii="Times New Roman"/>
          <w:spacing w:val="-2"/>
        </w:rPr>
        <w:t>2007)</w:t>
      </w:r>
    </w:p>
    <w:p>
      <w:pPr>
        <w:pStyle w:val="BodyText"/>
        <w:spacing w:before="139"/>
        <w:rPr>
          <w:rFonts w:ascii="Times New Roman"/>
          <w:b/>
        </w:rPr>
      </w:pPr>
    </w:p>
    <w:p>
      <w:pPr>
        <w:pStyle w:val="BodyText"/>
        <w:spacing w:before="1"/>
        <w:ind w:left="908"/>
        <w:jc w:val="center"/>
        <w:rPr>
          <w:rFonts w:ascii="Times New Roman"/>
        </w:rPr>
      </w:pPr>
      <w:r>
        <w:rPr>
          <w:rFonts w:ascii="Times New Roman"/>
          <w:spacing w:val="-5"/>
        </w:rPr>
        <w:t>261</w:t>
      </w:r>
    </w:p>
    <w:p>
      <w:pPr>
        <w:spacing w:after="0"/>
        <w:jc w:val="center"/>
        <w:rPr>
          <w:rFonts w:ascii="Times New Roman"/>
        </w:rPr>
        <w:sectPr>
          <w:headerReference w:type="default" r:id="rId563"/>
          <w:footerReference w:type="default" r:id="rId564"/>
          <w:pgSz w:w="15840" w:h="12240" w:orient="landscape"/>
          <w:pgMar w:header="0" w:footer="0" w:top="940" w:bottom="0" w:left="540" w:right="1520"/>
        </w:sectPr>
      </w:pPr>
    </w:p>
    <w:p>
      <w:pPr>
        <w:pStyle w:val="BodyText"/>
        <w:rPr>
          <w:rFonts w:ascii="Times New Roman"/>
        </w:rPr>
      </w:pPr>
    </w:p>
    <w:p>
      <w:pPr>
        <w:pStyle w:val="BodyText"/>
        <w:rPr>
          <w:rFonts w:ascii="Times New Roman"/>
        </w:rPr>
      </w:pPr>
    </w:p>
    <w:p>
      <w:pPr>
        <w:pStyle w:val="BodyText"/>
        <w:spacing w:before="171"/>
        <w:rPr>
          <w:rFonts w:ascii="Times New Roman"/>
        </w:rPr>
      </w:pPr>
    </w:p>
    <w:p>
      <w:pPr>
        <w:pStyle w:val="BodyText"/>
        <w:spacing w:line="480" w:lineRule="auto" w:before="1"/>
        <w:ind w:left="940" w:right="295" w:firstLine="720"/>
        <w:jc w:val="both"/>
      </w:pPr>
      <w:r>
        <w:rPr/>
        <w:t>The model presented in the Fig. 5.3.1 designed by the researcher has been as the result from the findings of the study.</w:t>
      </w:r>
      <w:r>
        <w:rPr>
          <w:spacing w:val="40"/>
        </w:rPr>
        <w:t> </w:t>
      </w:r>
      <w:r>
        <w:rPr/>
        <w:t>The researcher found it necessary to suggest this model so as to guide the tiers of Government and the University managements in realizing the</w:t>
      </w:r>
      <w:r>
        <w:rPr>
          <w:spacing w:val="-2"/>
        </w:rPr>
        <w:t> </w:t>
      </w:r>
      <w:r>
        <w:rPr/>
        <w:t>ideal objectives</w:t>
      </w:r>
      <w:r>
        <w:rPr>
          <w:spacing w:val="80"/>
        </w:rPr>
        <w:t> </w:t>
      </w:r>
      <w:r>
        <w:rPr/>
        <w:t>of their commitment to the provision and management of the students’ welfare services</w:t>
      </w:r>
      <w:r>
        <w:rPr>
          <w:spacing w:val="-4"/>
        </w:rPr>
        <w:t> </w:t>
      </w:r>
      <w:r>
        <w:rPr/>
        <w:t>in the University system in the three geopolitical zones in Northern part of Nigeria and Nigerian universities in general.</w:t>
      </w:r>
    </w:p>
    <w:p>
      <w:pPr>
        <w:pStyle w:val="BodyText"/>
        <w:spacing w:line="480" w:lineRule="auto"/>
        <w:ind w:left="940" w:right="294" w:firstLine="720"/>
        <w:jc w:val="both"/>
      </w:pPr>
      <w:r>
        <w:rPr/>
        <w:t>Based on the structure of the model in Figure 5.3.1, there is the need for the Government and the University system in the three Geo- political zones in Northern part of Nigeria in particular and the Nigerian Universities in general to collectively devise means of arresting the problems arising from the provision</w:t>
      </w:r>
      <w:r>
        <w:rPr>
          <w:spacing w:val="80"/>
        </w:rPr>
        <w:t> </w:t>
      </w:r>
      <w:r>
        <w:rPr/>
        <w:t>and management of students’ welfare services in the system.</w:t>
      </w:r>
    </w:p>
    <w:p>
      <w:pPr>
        <w:pStyle w:val="BodyText"/>
        <w:spacing w:line="480" w:lineRule="auto"/>
        <w:ind w:left="940" w:right="295" w:firstLine="720"/>
        <w:jc w:val="both"/>
      </w:pPr>
      <w:r>
        <w:rPr/>
        <w:t>Based on the calculation of this study, it has been established that lack of commitment given to the provision of adequate welfare services for the students by the Government and University managements culminate into untold hardship, general depressions, physical and emotional distress resulting to rampant conflicts, unrests, uprisings by students which disturbed teaching and learning.</w:t>
      </w:r>
    </w:p>
    <w:p>
      <w:pPr>
        <w:pStyle w:val="BodyText"/>
        <w:spacing w:line="480" w:lineRule="auto"/>
        <w:ind w:left="940" w:right="296" w:firstLine="787"/>
        <w:jc w:val="both"/>
      </w:pPr>
      <w:r>
        <w:rPr/>
        <w:t>To this effect the provision of the adequate funding from the two arms of Government to the Universities is considered as crucial to the solution of the nasty experiences from student uprisings bedeviling the Universities. It is therefore pertinent that funds budgeted for the universities should be released directly</w:t>
      </w:r>
      <w:r>
        <w:rPr>
          <w:spacing w:val="3"/>
        </w:rPr>
        <w:t> </w:t>
      </w:r>
      <w:r>
        <w:rPr/>
        <w:t>by</w:t>
      </w:r>
      <w:r>
        <w:rPr>
          <w:spacing w:val="-1"/>
        </w:rPr>
        <w:t> </w:t>
      </w:r>
      <w:r>
        <w:rPr/>
        <w:t>the</w:t>
      </w:r>
      <w:r>
        <w:rPr>
          <w:spacing w:val="1"/>
        </w:rPr>
        <w:t> </w:t>
      </w:r>
      <w:r>
        <w:rPr/>
        <w:t>Federal</w:t>
      </w:r>
      <w:r>
        <w:rPr>
          <w:spacing w:val="3"/>
        </w:rPr>
        <w:t> </w:t>
      </w:r>
      <w:r>
        <w:rPr/>
        <w:t>and State</w:t>
      </w:r>
      <w:r>
        <w:rPr>
          <w:spacing w:val="1"/>
        </w:rPr>
        <w:t> </w:t>
      </w:r>
      <w:r>
        <w:rPr/>
        <w:t>Ministries</w:t>
      </w:r>
      <w:r>
        <w:rPr>
          <w:spacing w:val="-1"/>
        </w:rPr>
        <w:t> </w:t>
      </w:r>
      <w:r>
        <w:rPr/>
        <w:t>of</w:t>
      </w:r>
      <w:r>
        <w:rPr>
          <w:spacing w:val="-1"/>
        </w:rPr>
        <w:t> </w:t>
      </w:r>
      <w:r>
        <w:rPr/>
        <w:t>Finance</w:t>
      </w:r>
      <w:r>
        <w:rPr>
          <w:spacing w:val="5"/>
        </w:rPr>
        <w:t> </w:t>
      </w:r>
      <w:r>
        <w:rPr/>
        <w:t>to</w:t>
      </w:r>
      <w:r>
        <w:rPr>
          <w:spacing w:val="1"/>
        </w:rPr>
        <w:t> </w:t>
      </w:r>
      <w:r>
        <w:rPr/>
        <w:t>the universities</w:t>
      </w:r>
      <w:r>
        <w:rPr>
          <w:spacing w:val="3"/>
        </w:rPr>
        <w:t> </w:t>
      </w:r>
      <w:r>
        <w:rPr/>
        <w:t>for</w:t>
      </w:r>
      <w:r>
        <w:rPr>
          <w:spacing w:val="5"/>
        </w:rPr>
        <w:t> </w:t>
      </w:r>
      <w:r>
        <w:rPr>
          <w:spacing w:val="-2"/>
        </w:rPr>
        <w:t>their</w:t>
      </w:r>
    </w:p>
    <w:p>
      <w:pPr>
        <w:spacing w:after="0" w:line="480" w:lineRule="auto"/>
        <w:jc w:val="both"/>
        <w:sectPr>
          <w:headerReference w:type="default" r:id="rId568"/>
          <w:footerReference w:type="default" r:id="rId569"/>
          <w:pgSz w:w="12240" w:h="15840"/>
          <w:pgMar w:header="722" w:footer="623" w:top="980" w:bottom="820" w:left="1220" w:right="1140"/>
          <w:pgNumType w:start="262"/>
        </w:sectPr>
      </w:pPr>
    </w:p>
    <w:p>
      <w:pPr>
        <w:pStyle w:val="BodyText"/>
        <w:spacing w:before="171"/>
      </w:pPr>
    </w:p>
    <w:p>
      <w:pPr>
        <w:pStyle w:val="BodyText"/>
        <w:spacing w:line="480" w:lineRule="auto"/>
        <w:ind w:left="940" w:right="295"/>
        <w:jc w:val="both"/>
      </w:pPr>
      <w:r>
        <w:rPr/>
        <w:t>upkeep, particularly for the proper management of students welfare.</w:t>
      </w:r>
      <w:r>
        <w:rPr>
          <w:spacing w:val="80"/>
        </w:rPr>
        <w:t> </w:t>
      </w:r>
      <w:r>
        <w:rPr/>
        <w:t>This process will safeguard against the likelihood of the funds getting siphoned or pinched in transit when released through many bodies.</w:t>
      </w:r>
    </w:p>
    <w:p>
      <w:pPr>
        <w:pStyle w:val="BodyText"/>
        <w:spacing w:line="480" w:lineRule="auto" w:before="1"/>
        <w:ind w:left="940" w:right="296" w:firstLine="720"/>
        <w:jc w:val="both"/>
      </w:pPr>
      <w:r>
        <w:rPr/>
        <w:t>The University Management should</w:t>
      </w:r>
      <w:r>
        <w:rPr>
          <w:spacing w:val="-3"/>
        </w:rPr>
        <w:t> </w:t>
      </w:r>
      <w:r>
        <w:rPr/>
        <w:t>disburse</w:t>
      </w:r>
      <w:r>
        <w:rPr>
          <w:spacing w:val="-3"/>
        </w:rPr>
        <w:t> </w:t>
      </w:r>
      <w:r>
        <w:rPr/>
        <w:t>the funds</w:t>
      </w:r>
      <w:r>
        <w:rPr>
          <w:spacing w:val="-4"/>
        </w:rPr>
        <w:t> </w:t>
      </w:r>
      <w:r>
        <w:rPr/>
        <w:t>received to</w:t>
      </w:r>
      <w:r>
        <w:rPr>
          <w:spacing w:val="-3"/>
        </w:rPr>
        <w:t> </w:t>
      </w:r>
      <w:r>
        <w:rPr/>
        <w:t>various units which deal directly with students’ welfare through relevant Boards and </w:t>
      </w:r>
      <w:r>
        <w:rPr>
          <w:spacing w:val="-2"/>
        </w:rPr>
        <w:t>Committees.</w:t>
      </w:r>
    </w:p>
    <w:p>
      <w:pPr>
        <w:pStyle w:val="BodyText"/>
        <w:spacing w:line="480" w:lineRule="auto"/>
        <w:ind w:left="940" w:right="293" w:firstLine="720"/>
        <w:jc w:val="both"/>
      </w:pPr>
      <w:r>
        <w:rPr/>
        <w:t>The process of evaluation as reflected in the model for proper, effective and efficient utilization of the funds received for the student welfare be delivered through reports to the appropriate authorities - that is to say, reports or</w:t>
      </w:r>
      <w:r>
        <w:rPr>
          <w:spacing w:val="80"/>
        </w:rPr>
        <w:t> </w:t>
      </w:r>
      <w:r>
        <w:rPr/>
        <w:t>comments from</w:t>
      </w:r>
      <w:r>
        <w:rPr>
          <w:spacing w:val="-5"/>
        </w:rPr>
        <w:t> </w:t>
      </w:r>
      <w:r>
        <w:rPr/>
        <w:t>students as the</w:t>
      </w:r>
      <w:r>
        <w:rPr>
          <w:spacing w:val="-1"/>
        </w:rPr>
        <w:t> </w:t>
      </w:r>
      <w:r>
        <w:rPr/>
        <w:t>recipients</w:t>
      </w:r>
      <w:r>
        <w:rPr>
          <w:spacing w:val="-2"/>
        </w:rPr>
        <w:t> </w:t>
      </w:r>
      <w:r>
        <w:rPr/>
        <w:t>of the services should reach the Units. The heads of the Units should send report to the Vice Chancellors who in turn report to the NUC Secretary/State Higher Education Board. The NUC Secretary should submit Reports to the Minister of Education on whether or not the funds released by the Ministry of Finance for the Universities unkeep has been effectively utilized.</w:t>
      </w:r>
      <w:r>
        <w:rPr>
          <w:spacing w:val="40"/>
        </w:rPr>
        <w:t> </w:t>
      </w:r>
      <w:r>
        <w:rPr/>
        <w:t>It is to be noted that the two bodies should be involved in the evaluation process.</w:t>
      </w:r>
    </w:p>
    <w:p>
      <w:pPr>
        <w:pStyle w:val="BodyText"/>
        <w:spacing w:line="480" w:lineRule="auto"/>
        <w:ind w:left="940" w:right="295" w:firstLine="720"/>
        <w:jc w:val="both"/>
      </w:pPr>
      <w:r>
        <w:rPr/>
        <w:t>Through this process the government /management should know whether or not to increase the subventions for adequacy.</w:t>
      </w:r>
      <w:r>
        <w:rPr>
          <w:spacing w:val="40"/>
        </w:rPr>
        <w:t> </w:t>
      </w:r>
      <w:r>
        <w:rPr/>
        <w:t>The effective and proper utilization of funds received from Donor Agencies, Alumni, Linkages etc. should also be evaluated by their agents or otherwise.</w:t>
      </w:r>
    </w:p>
    <w:p>
      <w:pPr>
        <w:pStyle w:val="BodyText"/>
        <w:spacing w:line="480" w:lineRule="auto"/>
        <w:ind w:left="940" w:right="297" w:firstLine="720"/>
        <w:jc w:val="both"/>
      </w:pPr>
      <w:r>
        <w:rPr/>
        <w:t>It is very important that the levels involved in the provision and managements of students’ Welfare services make use of management strategies/policies</w:t>
      </w:r>
      <w:r>
        <w:rPr>
          <w:spacing w:val="71"/>
        </w:rPr>
        <w:t> </w:t>
      </w:r>
      <w:r>
        <w:rPr/>
        <w:t>through</w:t>
      </w:r>
      <w:r>
        <w:rPr>
          <w:spacing w:val="72"/>
        </w:rPr>
        <w:t> </w:t>
      </w:r>
      <w:r>
        <w:rPr/>
        <w:t>committee</w:t>
      </w:r>
      <w:r>
        <w:rPr>
          <w:spacing w:val="72"/>
        </w:rPr>
        <w:t> </w:t>
      </w:r>
      <w:r>
        <w:rPr/>
        <w:t>system</w:t>
      </w:r>
      <w:r>
        <w:rPr>
          <w:spacing w:val="63"/>
        </w:rPr>
        <w:t> </w:t>
      </w:r>
      <w:r>
        <w:rPr/>
        <w:t>for</w:t>
      </w:r>
      <w:r>
        <w:rPr>
          <w:spacing w:val="73"/>
        </w:rPr>
        <w:t> </w:t>
      </w:r>
      <w:r>
        <w:rPr/>
        <w:t>the</w:t>
      </w:r>
      <w:r>
        <w:rPr>
          <w:spacing w:val="72"/>
        </w:rPr>
        <w:t> </w:t>
      </w:r>
      <w:r>
        <w:rPr/>
        <w:t>effective</w:t>
      </w:r>
      <w:r>
        <w:rPr>
          <w:spacing w:val="73"/>
        </w:rPr>
        <w:t> </w:t>
      </w:r>
      <w:r>
        <w:rPr>
          <w:spacing w:val="-2"/>
        </w:rPr>
        <w:t>disbursement,</w:t>
      </w:r>
    </w:p>
    <w:p>
      <w:pPr>
        <w:spacing w:after="0" w:line="480" w:lineRule="auto"/>
        <w:jc w:val="both"/>
        <w:sectPr>
          <w:headerReference w:type="default" r:id="rId570"/>
          <w:footerReference w:type="default" r:id="rId571"/>
          <w:pgSz w:w="12240" w:h="15840"/>
          <w:pgMar w:header="722" w:footer="623" w:top="980" w:bottom="820" w:left="1220" w:right="1140"/>
        </w:sectPr>
      </w:pPr>
    </w:p>
    <w:p>
      <w:pPr>
        <w:pStyle w:val="BodyText"/>
        <w:spacing w:before="171"/>
      </w:pPr>
    </w:p>
    <w:p>
      <w:pPr>
        <w:pStyle w:val="BodyText"/>
        <w:spacing w:line="480" w:lineRule="auto"/>
        <w:ind w:left="940" w:right="300"/>
        <w:jc w:val="both"/>
      </w:pPr>
      <w:r>
        <w:rPr/>
        <w:t>provision utilization, management and evaluation of the funds and materials for students’ services in the University system so as to achieve the goals and objectives of the students’ social and academic performance.</w:t>
      </w:r>
    </w:p>
    <w:p>
      <w:pPr>
        <w:pStyle w:val="Heading4"/>
        <w:numPr>
          <w:ilvl w:val="1"/>
          <w:numId w:val="51"/>
        </w:numPr>
        <w:tabs>
          <w:tab w:pos="762" w:val="left" w:leader="none"/>
        </w:tabs>
        <w:spacing w:line="271" w:lineRule="exact" w:before="0" w:after="0"/>
        <w:ind w:left="762" w:right="0" w:hanging="542"/>
        <w:jc w:val="left"/>
      </w:pPr>
      <w:r>
        <w:rPr/>
        <w:t>Suggestions</w:t>
      </w:r>
      <w:r>
        <w:rPr>
          <w:spacing w:val="-12"/>
        </w:rPr>
        <w:t> </w:t>
      </w:r>
      <w:r>
        <w:rPr/>
        <w:t>for</w:t>
      </w:r>
      <w:r>
        <w:rPr>
          <w:spacing w:val="-12"/>
        </w:rPr>
        <w:t> </w:t>
      </w:r>
      <w:r>
        <w:rPr/>
        <w:t>Further</w:t>
      </w:r>
      <w:r>
        <w:rPr>
          <w:spacing w:val="-11"/>
        </w:rPr>
        <w:t> </w:t>
      </w:r>
      <w:r>
        <w:rPr>
          <w:spacing w:val="-2"/>
        </w:rPr>
        <w:t>Studies</w:t>
      </w:r>
    </w:p>
    <w:p>
      <w:pPr>
        <w:pStyle w:val="BodyText"/>
        <w:spacing w:before="5"/>
        <w:rPr>
          <w:rFonts w:ascii="Arial"/>
          <w:b/>
        </w:rPr>
      </w:pPr>
    </w:p>
    <w:p>
      <w:pPr>
        <w:pStyle w:val="BodyText"/>
        <w:spacing w:line="480" w:lineRule="auto"/>
        <w:ind w:left="940" w:right="300" w:firstLine="720"/>
        <w:jc w:val="both"/>
      </w:pPr>
      <w:r>
        <w:rPr/>
        <w:t>Based on the findings and conclusions of this research the following suggestions were made for further studies.</w:t>
      </w:r>
    </w:p>
    <w:p>
      <w:pPr>
        <w:pStyle w:val="ListParagraph"/>
        <w:numPr>
          <w:ilvl w:val="2"/>
          <w:numId w:val="51"/>
        </w:numPr>
        <w:tabs>
          <w:tab w:pos="1658" w:val="left" w:leader="none"/>
          <w:tab w:pos="1660" w:val="left" w:leader="none"/>
        </w:tabs>
        <w:spacing w:line="360" w:lineRule="auto" w:before="0" w:after="0"/>
        <w:ind w:left="1660" w:right="296" w:hanging="720"/>
        <w:jc w:val="both"/>
        <w:rPr>
          <w:sz w:val="24"/>
        </w:rPr>
      </w:pPr>
      <w:r>
        <w:rPr>
          <w:sz w:val="24"/>
        </w:rPr>
        <w:t>The types and availability of services provided to students in the universities in the three geopolitical zones in the Northern part of Nigeria and their impacts on students behaviours and academic performance could not be exhaustive. There is the need, therefore, to explore and research on areas like relevant curriculum and lucrative courses for rapid </w:t>
      </w:r>
      <w:r>
        <w:rPr>
          <w:spacing w:val="-2"/>
          <w:sz w:val="24"/>
        </w:rPr>
        <w:t>development,</w:t>
      </w:r>
    </w:p>
    <w:p>
      <w:pPr>
        <w:pStyle w:val="ListParagraph"/>
        <w:numPr>
          <w:ilvl w:val="2"/>
          <w:numId w:val="51"/>
        </w:numPr>
        <w:tabs>
          <w:tab w:pos="1658" w:val="left" w:leader="none"/>
          <w:tab w:pos="1660" w:val="left" w:leader="none"/>
        </w:tabs>
        <w:spacing w:line="362" w:lineRule="auto" w:before="0" w:after="0"/>
        <w:ind w:left="1660" w:right="296" w:hanging="720"/>
        <w:jc w:val="both"/>
        <w:rPr>
          <w:sz w:val="24"/>
        </w:rPr>
      </w:pPr>
      <w:r>
        <w:rPr>
          <w:sz w:val="24"/>
        </w:rPr>
        <w:t>The impact of western modernization on students’ behaviour in the </w:t>
      </w:r>
      <w:r>
        <w:rPr>
          <w:spacing w:val="-2"/>
          <w:sz w:val="24"/>
        </w:rPr>
        <w:t>universities.</w:t>
      </w:r>
    </w:p>
    <w:p>
      <w:pPr>
        <w:pStyle w:val="ListParagraph"/>
        <w:numPr>
          <w:ilvl w:val="2"/>
          <w:numId w:val="51"/>
        </w:numPr>
        <w:tabs>
          <w:tab w:pos="1657" w:val="left" w:leader="none"/>
          <w:tab w:pos="1660" w:val="left" w:leader="none"/>
        </w:tabs>
        <w:spacing w:line="360" w:lineRule="auto" w:before="0" w:after="0"/>
        <w:ind w:left="1660" w:right="295" w:hanging="720"/>
        <w:jc w:val="both"/>
        <w:rPr>
          <w:sz w:val="24"/>
        </w:rPr>
      </w:pPr>
      <w:r>
        <w:rPr>
          <w:sz w:val="24"/>
        </w:rPr>
        <w:t>The advantages and disadvantages of open/distant learning university systems in terms of welfare in the universities.</w:t>
      </w:r>
    </w:p>
    <w:p>
      <w:pPr>
        <w:pStyle w:val="ListParagraph"/>
        <w:numPr>
          <w:ilvl w:val="2"/>
          <w:numId w:val="51"/>
        </w:numPr>
        <w:tabs>
          <w:tab w:pos="1660" w:val="left" w:leader="none"/>
        </w:tabs>
        <w:spacing w:line="362" w:lineRule="auto" w:before="0" w:after="0"/>
        <w:ind w:left="1660" w:right="296" w:hanging="720"/>
        <w:jc w:val="both"/>
        <w:rPr>
          <w:sz w:val="24"/>
        </w:rPr>
      </w:pPr>
      <w:r>
        <w:rPr>
          <w:sz w:val="24"/>
        </w:rPr>
        <w:t>The effects of the neighbouring communities on students’ welfare in Nigerian universities.</w:t>
      </w:r>
    </w:p>
    <w:p>
      <w:pPr>
        <w:pStyle w:val="ListParagraph"/>
        <w:numPr>
          <w:ilvl w:val="2"/>
          <w:numId w:val="51"/>
        </w:numPr>
        <w:tabs>
          <w:tab w:pos="1660" w:val="left" w:leader="none"/>
        </w:tabs>
        <w:spacing w:line="360" w:lineRule="auto" w:before="0" w:after="0"/>
        <w:ind w:left="1660" w:right="297" w:hanging="720"/>
        <w:jc w:val="both"/>
        <w:rPr>
          <w:sz w:val="24"/>
        </w:rPr>
      </w:pPr>
      <w:r>
        <w:rPr>
          <w:sz w:val="24"/>
        </w:rPr>
        <w:t>Assessment or evaluation of other students services and areas like orientation, academic performance etc.</w:t>
      </w:r>
    </w:p>
    <w:p>
      <w:pPr>
        <w:spacing w:after="0" w:line="360" w:lineRule="auto"/>
        <w:jc w:val="both"/>
        <w:rPr>
          <w:sz w:val="24"/>
        </w:rPr>
        <w:sectPr>
          <w:headerReference w:type="default" r:id="rId572"/>
          <w:footerReference w:type="default" r:id="rId573"/>
          <w:pgSz w:w="12240" w:h="15840"/>
          <w:pgMar w:header="722" w:footer="623" w:top="980" w:bottom="820" w:left="1220" w:right="1140"/>
        </w:sectPr>
      </w:pPr>
    </w:p>
    <w:p>
      <w:pPr>
        <w:pStyle w:val="BodyText"/>
        <w:spacing w:before="167"/>
      </w:pPr>
    </w:p>
    <w:p>
      <w:pPr>
        <w:pStyle w:val="Heading3"/>
        <w:ind w:left="393" w:right="473"/>
      </w:pPr>
      <w:bookmarkStart w:name="_TOC_250000" w:id="68"/>
      <w:bookmarkEnd w:id="68"/>
      <w:r>
        <w:rPr>
          <w:spacing w:val="-2"/>
        </w:rPr>
        <w:t>REFERENCES</w:t>
      </w:r>
    </w:p>
    <w:p>
      <w:pPr>
        <w:pStyle w:val="BodyText"/>
        <w:spacing w:line="550" w:lineRule="atLeast" w:before="6"/>
        <w:ind w:left="580" w:right="863"/>
      </w:pPr>
      <w:r>
        <w:rPr/>
        <w:t>Abisoye, (1986).</w:t>
      </w:r>
      <w:r>
        <w:rPr>
          <w:spacing w:val="40"/>
        </w:rPr>
        <w:t> </w:t>
      </w:r>
      <w:r>
        <w:rPr/>
        <w:t>Report of Committee on ABU., Zaria.</w:t>
      </w:r>
      <w:r>
        <w:rPr>
          <w:spacing w:val="40"/>
        </w:rPr>
        <w:t> </w:t>
      </w:r>
      <w:r>
        <w:rPr/>
        <w:t>Students’ crisis. Ahmadu</w:t>
      </w:r>
      <w:r>
        <w:rPr>
          <w:spacing w:val="-3"/>
        </w:rPr>
        <w:t> </w:t>
      </w:r>
      <w:r>
        <w:rPr/>
        <w:t>Bello</w:t>
      </w:r>
      <w:r>
        <w:rPr>
          <w:spacing w:val="-3"/>
        </w:rPr>
        <w:t> </w:t>
      </w:r>
      <w:r>
        <w:rPr/>
        <w:t>University</w:t>
      </w:r>
      <w:r>
        <w:rPr>
          <w:spacing w:val="-8"/>
        </w:rPr>
        <w:t> </w:t>
      </w:r>
      <w:r>
        <w:rPr/>
        <w:t>(1998/99).</w:t>
      </w:r>
      <w:r>
        <w:rPr>
          <w:spacing w:val="40"/>
        </w:rPr>
        <w:t> </w:t>
      </w:r>
      <w:r>
        <w:rPr/>
        <w:t>Preliminary</w:t>
      </w:r>
      <w:r>
        <w:rPr>
          <w:spacing w:val="-4"/>
        </w:rPr>
        <w:t> </w:t>
      </w:r>
      <w:r>
        <w:rPr/>
        <w:t>Analysis</w:t>
      </w:r>
      <w:r>
        <w:rPr>
          <w:spacing w:val="-9"/>
        </w:rPr>
        <w:t> </w:t>
      </w:r>
      <w:r>
        <w:rPr/>
        <w:t>of</w:t>
      </w:r>
      <w:r>
        <w:rPr>
          <w:spacing w:val="-4"/>
        </w:rPr>
        <w:t> </w:t>
      </w:r>
      <w:r>
        <w:rPr/>
        <w:t>Actual Students’</w:t>
      </w:r>
    </w:p>
    <w:p>
      <w:pPr>
        <w:pStyle w:val="BodyText"/>
        <w:spacing w:line="276" w:lineRule="exact"/>
        <w:ind w:left="940"/>
      </w:pPr>
      <w:r>
        <w:rPr/>
        <w:t>Enrolment</w:t>
      </w:r>
      <w:r>
        <w:rPr>
          <w:spacing w:val="-9"/>
        </w:rPr>
        <w:t> </w:t>
      </w:r>
      <w:r>
        <w:rPr/>
        <w:t>for</w:t>
      </w:r>
      <w:r>
        <w:rPr>
          <w:spacing w:val="-7"/>
        </w:rPr>
        <w:t> </w:t>
      </w:r>
      <w:r>
        <w:rPr/>
        <w:t>1998/99</w:t>
      </w:r>
      <w:r>
        <w:rPr>
          <w:spacing w:val="-8"/>
        </w:rPr>
        <w:t> </w:t>
      </w:r>
      <w:r>
        <w:rPr/>
        <w:t>session,</w:t>
      </w:r>
      <w:r>
        <w:rPr>
          <w:spacing w:val="-9"/>
        </w:rPr>
        <w:t> </w:t>
      </w:r>
      <w:r>
        <w:rPr/>
        <w:t>ABU.,</w:t>
      </w:r>
      <w:r>
        <w:rPr>
          <w:spacing w:val="-9"/>
        </w:rPr>
        <w:t> </w:t>
      </w:r>
      <w:r>
        <w:rPr>
          <w:spacing w:val="-2"/>
        </w:rPr>
        <w:t>Zaria.</w:t>
      </w:r>
    </w:p>
    <w:p>
      <w:pPr>
        <w:pStyle w:val="BodyText"/>
      </w:pPr>
    </w:p>
    <w:p>
      <w:pPr>
        <w:pStyle w:val="BodyText"/>
        <w:spacing w:before="1"/>
        <w:ind w:left="940" w:right="301" w:hanging="360"/>
      </w:pPr>
      <w:r>
        <w:rPr/>
        <w:t>Ahmadu Bello University (1998/99).</w:t>
      </w:r>
      <w:r>
        <w:rPr>
          <w:spacing w:val="80"/>
        </w:rPr>
        <w:t> </w:t>
      </w:r>
      <w:r>
        <w:rPr/>
        <w:t>Preliminary Analysis of Actual student enrolment based on first semester results.</w:t>
      </w:r>
      <w:r>
        <w:rPr>
          <w:spacing w:val="80"/>
        </w:rPr>
        <w:t> </w:t>
      </w:r>
      <w:r>
        <w:rPr/>
        <w:t>Academic Planning and Monitoring, 1999. ABU., Zaria.</w:t>
      </w:r>
    </w:p>
    <w:p>
      <w:pPr>
        <w:pStyle w:val="BodyText"/>
        <w:spacing w:line="242" w:lineRule="auto" w:before="276"/>
        <w:ind w:left="940" w:right="301" w:hanging="360"/>
      </w:pPr>
      <w:r>
        <w:rPr/>
        <w:t>Ahmadu</w:t>
      </w:r>
      <w:r>
        <w:rPr>
          <w:spacing w:val="-3"/>
        </w:rPr>
        <w:t> </w:t>
      </w:r>
      <w:r>
        <w:rPr/>
        <w:t>Bello</w:t>
      </w:r>
      <w:r>
        <w:rPr>
          <w:spacing w:val="-3"/>
        </w:rPr>
        <w:t> </w:t>
      </w:r>
      <w:r>
        <w:rPr/>
        <w:t>University</w:t>
      </w:r>
      <w:r>
        <w:rPr>
          <w:spacing w:val="-8"/>
        </w:rPr>
        <w:t> </w:t>
      </w:r>
      <w:r>
        <w:rPr/>
        <w:t>(2000).</w:t>
      </w:r>
      <w:r>
        <w:rPr>
          <w:spacing w:val="40"/>
        </w:rPr>
        <w:t> </w:t>
      </w:r>
      <w:r>
        <w:rPr/>
        <w:t>Revised</w:t>
      </w:r>
      <w:r>
        <w:rPr>
          <w:spacing w:val="-3"/>
        </w:rPr>
        <w:t> </w:t>
      </w:r>
      <w:r>
        <w:rPr/>
        <w:t>Students</w:t>
      </w:r>
      <w:r>
        <w:rPr>
          <w:spacing w:val="-4"/>
        </w:rPr>
        <w:t> </w:t>
      </w:r>
      <w:r>
        <w:rPr/>
        <w:t>Handbook</w:t>
      </w:r>
      <w:r>
        <w:rPr>
          <w:spacing w:val="-4"/>
        </w:rPr>
        <w:t> </w:t>
      </w:r>
      <w:r>
        <w:rPr/>
        <w:t>(2000)</w:t>
      </w:r>
      <w:r>
        <w:rPr>
          <w:spacing w:val="-7"/>
        </w:rPr>
        <w:t> </w:t>
      </w:r>
      <w:r>
        <w:rPr/>
        <w:t>5h</w:t>
      </w:r>
      <w:r>
        <w:rPr>
          <w:spacing w:val="-3"/>
        </w:rPr>
        <w:t> </w:t>
      </w:r>
      <w:r>
        <w:rPr/>
        <w:t>Ed.</w:t>
      </w:r>
      <w:r>
        <w:rPr>
          <w:spacing w:val="-4"/>
        </w:rPr>
        <w:t> </w:t>
      </w:r>
      <w:r>
        <w:rPr/>
        <w:t>ABU Press, A.B.U., Zaria.</w:t>
      </w:r>
    </w:p>
    <w:p>
      <w:pPr>
        <w:pStyle w:val="BodyText"/>
        <w:spacing w:line="552" w:lineRule="exact" w:before="56"/>
        <w:ind w:left="580"/>
      </w:pPr>
      <w:r>
        <w:rPr/>
        <w:t>Ahmadu</w:t>
      </w:r>
      <w:r>
        <w:rPr>
          <w:spacing w:val="-2"/>
        </w:rPr>
        <w:t> </w:t>
      </w:r>
      <w:r>
        <w:rPr/>
        <w:t>Bello</w:t>
      </w:r>
      <w:r>
        <w:rPr>
          <w:spacing w:val="-2"/>
        </w:rPr>
        <w:t> </w:t>
      </w:r>
      <w:r>
        <w:rPr/>
        <w:t>University</w:t>
      </w:r>
      <w:r>
        <w:rPr>
          <w:spacing w:val="-7"/>
        </w:rPr>
        <w:t> </w:t>
      </w:r>
      <w:r>
        <w:rPr/>
        <w:t>(1999).</w:t>
      </w:r>
      <w:r>
        <w:rPr>
          <w:spacing w:val="-2"/>
        </w:rPr>
        <w:t> </w:t>
      </w:r>
      <w:r>
        <w:rPr/>
        <w:t>Committee</w:t>
      </w:r>
      <w:r>
        <w:rPr>
          <w:spacing w:val="-2"/>
        </w:rPr>
        <w:t> </w:t>
      </w:r>
      <w:r>
        <w:rPr/>
        <w:t>Structure.</w:t>
      </w:r>
      <w:r>
        <w:rPr>
          <w:spacing w:val="40"/>
        </w:rPr>
        <w:t> </w:t>
      </w:r>
      <w:r>
        <w:rPr/>
        <w:t>ABU</w:t>
      </w:r>
      <w:r>
        <w:rPr>
          <w:spacing w:val="-3"/>
        </w:rPr>
        <w:t> </w:t>
      </w:r>
      <w:r>
        <w:rPr/>
        <w:t>Press</w:t>
      </w:r>
      <w:r>
        <w:rPr>
          <w:spacing w:val="-3"/>
        </w:rPr>
        <w:t> </w:t>
      </w:r>
      <w:r>
        <w:rPr/>
        <w:t>Ltd.,</w:t>
      </w:r>
      <w:r>
        <w:rPr>
          <w:spacing w:val="-7"/>
        </w:rPr>
        <w:t> </w:t>
      </w:r>
      <w:r>
        <w:rPr/>
        <w:t>1999,</w:t>
      </w:r>
      <w:r>
        <w:rPr>
          <w:spacing w:val="-7"/>
        </w:rPr>
        <w:t> </w:t>
      </w:r>
      <w:r>
        <w:rPr/>
        <w:t>Zaria. Ahmadu Bello University Undergraduate students’ population by sex and faculty</w:t>
      </w:r>
    </w:p>
    <w:p>
      <w:pPr>
        <w:pStyle w:val="BodyText"/>
        <w:spacing w:line="214" w:lineRule="exact"/>
        <w:ind w:left="940"/>
      </w:pPr>
      <w:r>
        <w:rPr/>
        <w:t>1999/2000</w:t>
      </w:r>
      <w:r>
        <w:rPr>
          <w:spacing w:val="-10"/>
        </w:rPr>
        <w:t> </w:t>
      </w:r>
      <w:r>
        <w:rPr/>
        <w:t>academic</w:t>
      </w:r>
      <w:r>
        <w:rPr>
          <w:spacing w:val="-10"/>
        </w:rPr>
        <w:t> </w:t>
      </w:r>
      <w:r>
        <w:rPr/>
        <w:t>session.</w:t>
      </w:r>
      <w:r>
        <w:rPr>
          <w:spacing w:val="46"/>
        </w:rPr>
        <w:t> </w:t>
      </w:r>
      <w:r>
        <w:rPr/>
        <w:t>Academic</w:t>
      </w:r>
      <w:r>
        <w:rPr>
          <w:spacing w:val="-11"/>
        </w:rPr>
        <w:t> </w:t>
      </w:r>
      <w:r>
        <w:rPr/>
        <w:t>Office,</w:t>
      </w:r>
      <w:r>
        <w:rPr>
          <w:spacing w:val="-10"/>
        </w:rPr>
        <w:t> </w:t>
      </w:r>
      <w:r>
        <w:rPr/>
        <w:t>ABU.,</w:t>
      </w:r>
      <w:r>
        <w:rPr>
          <w:spacing w:val="-11"/>
        </w:rPr>
        <w:t> </w:t>
      </w:r>
      <w:r>
        <w:rPr>
          <w:spacing w:val="-2"/>
        </w:rPr>
        <w:t>Zaria.</w:t>
      </w:r>
    </w:p>
    <w:p>
      <w:pPr>
        <w:pStyle w:val="BodyText"/>
      </w:pPr>
    </w:p>
    <w:p>
      <w:pPr>
        <w:pStyle w:val="BodyText"/>
        <w:spacing w:line="242" w:lineRule="auto"/>
        <w:ind w:left="940" w:hanging="360"/>
      </w:pPr>
      <w:r>
        <w:rPr/>
        <w:t>Ahmadu</w:t>
      </w:r>
      <w:r>
        <w:rPr>
          <w:spacing w:val="-3"/>
        </w:rPr>
        <w:t> </w:t>
      </w:r>
      <w:r>
        <w:rPr/>
        <w:t>Bello</w:t>
      </w:r>
      <w:r>
        <w:rPr>
          <w:spacing w:val="-3"/>
        </w:rPr>
        <w:t> </w:t>
      </w:r>
      <w:r>
        <w:rPr/>
        <w:t>University</w:t>
      </w:r>
      <w:r>
        <w:rPr>
          <w:spacing w:val="-9"/>
        </w:rPr>
        <w:t> </w:t>
      </w:r>
      <w:r>
        <w:rPr/>
        <w:t>(2000).</w:t>
      </w:r>
      <w:r>
        <w:rPr>
          <w:spacing w:val="40"/>
        </w:rPr>
        <w:t> </w:t>
      </w:r>
      <w:r>
        <w:rPr/>
        <w:t>Join</w:t>
      </w:r>
      <w:r>
        <w:rPr>
          <w:spacing w:val="-3"/>
        </w:rPr>
        <w:t> </w:t>
      </w:r>
      <w:r>
        <w:rPr/>
        <w:t>Council</w:t>
      </w:r>
      <w:r>
        <w:rPr>
          <w:spacing w:val="-4"/>
        </w:rPr>
        <w:t> </w:t>
      </w:r>
      <w:r>
        <w:rPr/>
        <w:t>and</w:t>
      </w:r>
      <w:r>
        <w:rPr>
          <w:spacing w:val="-3"/>
        </w:rPr>
        <w:t> </w:t>
      </w:r>
      <w:r>
        <w:rPr/>
        <w:t>Senate</w:t>
      </w:r>
      <w:r>
        <w:rPr>
          <w:spacing w:val="-3"/>
        </w:rPr>
        <w:t> </w:t>
      </w:r>
      <w:r>
        <w:rPr/>
        <w:t>Committees,</w:t>
      </w:r>
      <w:r>
        <w:rPr>
          <w:spacing w:val="-4"/>
        </w:rPr>
        <w:t> </w:t>
      </w:r>
      <w:r>
        <w:rPr/>
        <w:t>ABU.,</w:t>
      </w:r>
      <w:r>
        <w:rPr>
          <w:spacing w:val="-4"/>
        </w:rPr>
        <w:t> </w:t>
      </w:r>
      <w:r>
        <w:rPr/>
        <w:t>Zaria </w:t>
      </w:r>
      <w:r>
        <w:rPr>
          <w:spacing w:val="-2"/>
        </w:rPr>
        <w:t>2000.</w:t>
      </w:r>
    </w:p>
    <w:p>
      <w:pPr>
        <w:pStyle w:val="BodyText"/>
        <w:spacing w:line="237" w:lineRule="auto" w:before="275"/>
        <w:ind w:left="940" w:hanging="360"/>
      </w:pPr>
      <w:r>
        <w:rPr/>
        <w:t>Ahmadu</w:t>
      </w:r>
      <w:r>
        <w:rPr>
          <w:spacing w:val="-5"/>
        </w:rPr>
        <w:t> </w:t>
      </w:r>
      <w:r>
        <w:rPr/>
        <w:t>Bello</w:t>
      </w:r>
      <w:r>
        <w:rPr>
          <w:spacing w:val="-5"/>
        </w:rPr>
        <w:t> </w:t>
      </w:r>
      <w:r>
        <w:rPr/>
        <w:t>University</w:t>
      </w:r>
      <w:r>
        <w:rPr>
          <w:spacing w:val="-10"/>
        </w:rPr>
        <w:t> </w:t>
      </w:r>
      <w:r>
        <w:rPr/>
        <w:t>(2001)</w:t>
      </w:r>
      <w:r>
        <w:rPr>
          <w:spacing w:val="-4"/>
        </w:rPr>
        <w:t> </w:t>
      </w:r>
      <w:r>
        <w:rPr/>
        <w:t>Student</w:t>
      </w:r>
      <w:r>
        <w:rPr>
          <w:spacing w:val="-5"/>
        </w:rPr>
        <w:t> </w:t>
      </w:r>
      <w:r>
        <w:rPr/>
        <w:t>population</w:t>
      </w:r>
      <w:r>
        <w:rPr>
          <w:spacing w:val="-8"/>
        </w:rPr>
        <w:t> </w:t>
      </w:r>
      <w:r>
        <w:rPr/>
        <w:t>(undergraduate)</w:t>
      </w:r>
      <w:r>
        <w:rPr>
          <w:spacing w:val="-4"/>
        </w:rPr>
        <w:t> </w:t>
      </w:r>
      <w:r>
        <w:rPr/>
        <w:t>1</w:t>
      </w:r>
      <w:r>
        <w:rPr>
          <w:vertAlign w:val="superscript"/>
        </w:rPr>
        <w:t>st</w:t>
      </w:r>
      <w:r>
        <w:rPr>
          <w:spacing w:val="-6"/>
          <w:vertAlign w:val="baseline"/>
        </w:rPr>
        <w:t> </w:t>
      </w:r>
      <w:r>
        <w:rPr>
          <w:vertAlign w:val="baseline"/>
        </w:rPr>
        <w:t>semester 2000/2001.</w:t>
      </w:r>
      <w:r>
        <w:rPr>
          <w:spacing w:val="40"/>
          <w:vertAlign w:val="baseline"/>
        </w:rPr>
        <w:t> </w:t>
      </w:r>
      <w:r>
        <w:rPr>
          <w:vertAlign w:val="baseline"/>
        </w:rPr>
        <w:t>Academic office, 2001, ABU., Zaria.</w:t>
      </w:r>
    </w:p>
    <w:p>
      <w:pPr>
        <w:pStyle w:val="BodyText"/>
        <w:spacing w:before="1"/>
      </w:pPr>
    </w:p>
    <w:p>
      <w:pPr>
        <w:pStyle w:val="BodyText"/>
        <w:tabs>
          <w:tab w:pos="9089" w:val="left" w:leader="none"/>
        </w:tabs>
        <w:ind w:left="940" w:right="297" w:hanging="360"/>
      </w:pPr>
      <w:r>
        <w:rPr/>
        <w:t>Abubakar, T. ; Abba S.A. ; Bappa, S., and Abdulkadir, M. (1998).</w:t>
      </w:r>
      <w:r>
        <w:rPr>
          <w:spacing w:val="40"/>
        </w:rPr>
        <w:t> </w:t>
      </w:r>
      <w:r>
        <w:rPr/>
        <w:t>From Crisis to Resurgence: Rehabilitation and Reconstruction in A.B.U. (1995</w:t>
      </w:r>
      <w:r>
        <w:rPr>
          <w:spacing w:val="40"/>
        </w:rPr>
        <w:t> </w:t>
      </w:r>
      <w:r>
        <w:rPr/>
        <w:t>– 1998).</w:t>
        <w:tab/>
      </w:r>
      <w:r>
        <w:rPr>
          <w:spacing w:val="-4"/>
        </w:rPr>
        <w:t>ABU </w:t>
      </w:r>
      <w:r>
        <w:rPr/>
        <w:t>Press 1998, Zaria.</w:t>
      </w:r>
    </w:p>
    <w:p>
      <w:pPr>
        <w:pStyle w:val="BodyText"/>
      </w:pPr>
    </w:p>
    <w:p>
      <w:pPr>
        <w:pStyle w:val="BodyText"/>
        <w:spacing w:line="242" w:lineRule="auto"/>
        <w:ind w:left="940" w:right="863" w:hanging="360"/>
      </w:pPr>
      <w:r>
        <w:rPr/>
        <w:t>Adamu,</w:t>
      </w:r>
      <w:r>
        <w:rPr>
          <w:spacing w:val="-3"/>
        </w:rPr>
        <w:t> </w:t>
      </w:r>
      <w:r>
        <w:rPr/>
        <w:t>H.Y.</w:t>
      </w:r>
      <w:r>
        <w:rPr>
          <w:spacing w:val="-3"/>
        </w:rPr>
        <w:t> </w:t>
      </w:r>
      <w:r>
        <w:rPr/>
        <w:t>(2003).</w:t>
      </w:r>
      <w:r>
        <w:rPr>
          <w:spacing w:val="40"/>
        </w:rPr>
        <w:t> </w:t>
      </w:r>
      <w:r>
        <w:rPr/>
        <w:t>‘Reflections:</w:t>
      </w:r>
      <w:r>
        <w:rPr>
          <w:spacing w:val="-7"/>
        </w:rPr>
        <w:t> </w:t>
      </w:r>
      <w:r>
        <w:rPr/>
        <w:t>First</w:t>
      </w:r>
      <w:r>
        <w:rPr>
          <w:spacing w:val="-3"/>
        </w:rPr>
        <w:t> </w:t>
      </w:r>
      <w:r>
        <w:rPr/>
        <w:t>female</w:t>
      </w:r>
      <w:r>
        <w:rPr>
          <w:spacing w:val="-2"/>
        </w:rPr>
        <w:t> </w:t>
      </w:r>
      <w:r>
        <w:rPr/>
        <w:t>Hausa</w:t>
      </w:r>
      <w:r>
        <w:rPr>
          <w:spacing w:val="-2"/>
        </w:rPr>
        <w:t> </w:t>
      </w:r>
      <w:r>
        <w:rPr/>
        <w:t>Doctor’</w:t>
      </w:r>
      <w:r>
        <w:rPr>
          <w:spacing w:val="-2"/>
        </w:rPr>
        <w:t> </w:t>
      </w:r>
      <w:r>
        <w:rPr>
          <w:u w:val="single"/>
        </w:rPr>
        <w:t>New</w:t>
      </w:r>
      <w:r>
        <w:rPr>
          <w:spacing w:val="-8"/>
          <w:u w:val="single"/>
        </w:rPr>
        <w:t> </w:t>
      </w:r>
      <w:r>
        <w:rPr>
          <w:u w:val="single"/>
        </w:rPr>
        <w:t>Nigerian</w:t>
      </w:r>
      <w:r>
        <w:rPr/>
        <w:t>, Wednesday, 29h January 2003, pp. 16 – 17.</w:t>
      </w:r>
    </w:p>
    <w:p>
      <w:pPr>
        <w:pStyle w:val="BodyText"/>
        <w:spacing w:line="237" w:lineRule="auto" w:before="275"/>
        <w:ind w:left="940" w:right="863" w:hanging="360"/>
      </w:pPr>
      <w:r>
        <w:rPr/>
        <w:t>Adebayo,</w:t>
      </w:r>
      <w:r>
        <w:rPr>
          <w:spacing w:val="-4"/>
        </w:rPr>
        <w:t> </w:t>
      </w:r>
      <w:r>
        <w:rPr/>
        <w:t>J.</w:t>
      </w:r>
      <w:r>
        <w:rPr>
          <w:spacing w:val="-4"/>
        </w:rPr>
        <w:t> </w:t>
      </w:r>
      <w:r>
        <w:rPr/>
        <w:t>(1978).</w:t>
      </w:r>
      <w:r>
        <w:rPr>
          <w:spacing w:val="40"/>
        </w:rPr>
        <w:t> </w:t>
      </w:r>
      <w:r>
        <w:rPr/>
        <w:t>“Students</w:t>
      </w:r>
      <w:r>
        <w:rPr>
          <w:spacing w:val="-4"/>
        </w:rPr>
        <w:t> </w:t>
      </w:r>
      <w:r>
        <w:rPr/>
        <w:t>Crisis</w:t>
      </w:r>
      <w:r>
        <w:rPr>
          <w:spacing w:val="-4"/>
        </w:rPr>
        <w:t> </w:t>
      </w:r>
      <w:r>
        <w:rPr/>
        <w:t>Deepens:</w:t>
      </w:r>
      <w:r>
        <w:rPr>
          <w:spacing w:val="-4"/>
        </w:rPr>
        <w:t> </w:t>
      </w:r>
      <w:r>
        <w:rPr/>
        <w:t>Victims’</w:t>
      </w:r>
      <w:r>
        <w:rPr>
          <w:spacing w:val="-4"/>
        </w:rPr>
        <w:t> </w:t>
      </w:r>
      <w:r>
        <w:rPr/>
        <w:t>names</w:t>
      </w:r>
      <w:r>
        <w:rPr>
          <w:spacing w:val="-4"/>
        </w:rPr>
        <w:t> </w:t>
      </w:r>
      <w:r>
        <w:rPr/>
        <w:t>kept</w:t>
      </w:r>
      <w:r>
        <w:rPr>
          <w:spacing w:val="-4"/>
        </w:rPr>
        <w:t> </w:t>
      </w:r>
      <w:r>
        <w:rPr/>
        <w:t>secret.” </w:t>
      </w:r>
      <w:r>
        <w:rPr>
          <w:u w:val="single"/>
        </w:rPr>
        <w:t>Nigerian Herold</w:t>
      </w:r>
      <w:r>
        <w:rPr/>
        <w:t>.</w:t>
      </w:r>
      <w:r>
        <w:rPr>
          <w:spacing w:val="40"/>
        </w:rPr>
        <w:t> </w:t>
      </w:r>
      <w:r>
        <w:rPr/>
        <w:t>Saturday April 22, 1978 p. 7.</w:t>
      </w:r>
    </w:p>
    <w:p>
      <w:pPr>
        <w:pStyle w:val="BodyText"/>
        <w:spacing w:before="1"/>
      </w:pPr>
    </w:p>
    <w:p>
      <w:pPr>
        <w:pStyle w:val="BodyText"/>
        <w:tabs>
          <w:tab w:pos="4832" w:val="left" w:leader="none"/>
        </w:tabs>
        <w:ind w:left="940" w:right="299" w:hanging="360"/>
      </w:pPr>
      <w:r>
        <w:rPr/>
        <w:t>Adegoke, D.B. (1977).</w:t>
      </w:r>
      <w:r>
        <w:rPr>
          <w:spacing w:val="80"/>
        </w:rPr>
        <w:t> </w:t>
      </w:r>
      <w:r>
        <w:rPr/>
        <w:t>“An Investigation into some of the factors influencing students</w:t>
      </w:r>
      <w:r>
        <w:rPr>
          <w:spacing w:val="31"/>
        </w:rPr>
        <w:t> </w:t>
      </w:r>
      <w:r>
        <w:rPr/>
        <w:t>unrest</w:t>
      </w:r>
      <w:r>
        <w:rPr>
          <w:spacing w:val="31"/>
        </w:rPr>
        <w:t> </w:t>
      </w:r>
      <w:r>
        <w:rPr/>
        <w:t>and</w:t>
      </w:r>
      <w:r>
        <w:rPr>
          <w:spacing w:val="32"/>
        </w:rPr>
        <w:t> </w:t>
      </w:r>
      <w:r>
        <w:rPr/>
        <w:t>aggression</w:t>
      </w:r>
      <w:r>
        <w:rPr>
          <w:spacing w:val="32"/>
        </w:rPr>
        <w:t> </w:t>
      </w:r>
      <w:r>
        <w:rPr/>
        <w:t>in</w:t>
      </w:r>
      <w:r>
        <w:rPr>
          <w:spacing w:val="32"/>
        </w:rPr>
        <w:t> </w:t>
      </w:r>
      <w:r>
        <w:rPr/>
        <w:t>Post</w:t>
      </w:r>
      <w:r>
        <w:rPr>
          <w:spacing w:val="31"/>
        </w:rPr>
        <w:t> </w:t>
      </w:r>
      <w:r>
        <w:rPr/>
        <w:t>Primary</w:t>
      </w:r>
      <w:r>
        <w:rPr>
          <w:spacing w:val="36"/>
        </w:rPr>
        <w:t> </w:t>
      </w:r>
      <w:r>
        <w:rPr/>
        <w:t>institutions</w:t>
      </w:r>
      <w:r>
        <w:rPr>
          <w:spacing w:val="35"/>
        </w:rPr>
        <w:t> </w:t>
      </w:r>
      <w:r>
        <w:rPr/>
        <w:t>–</w:t>
      </w:r>
      <w:r>
        <w:rPr>
          <w:spacing w:val="32"/>
        </w:rPr>
        <w:t> </w:t>
      </w:r>
      <w:r>
        <w:rPr/>
        <w:t>A</w:t>
      </w:r>
      <w:r>
        <w:rPr>
          <w:spacing w:val="30"/>
        </w:rPr>
        <w:t> </w:t>
      </w:r>
      <w:r>
        <w:rPr/>
        <w:t>Case</w:t>
      </w:r>
      <w:r>
        <w:rPr>
          <w:spacing w:val="32"/>
        </w:rPr>
        <w:t> </w:t>
      </w:r>
      <w:r>
        <w:rPr/>
        <w:t>study</w:t>
      </w:r>
      <w:r>
        <w:rPr>
          <w:spacing w:val="31"/>
        </w:rPr>
        <w:t> </w:t>
      </w:r>
      <w:r>
        <w:rPr/>
        <w:t>of Ibadan and Environs, Oyo State.”</w:t>
        <w:tab/>
        <w:t>PGDE thesis Institute of Education, A.B.U., </w:t>
      </w:r>
      <w:r>
        <w:rPr>
          <w:spacing w:val="-2"/>
        </w:rPr>
        <w:t>Zaria.</w:t>
      </w:r>
    </w:p>
    <w:p>
      <w:pPr>
        <w:pStyle w:val="BodyText"/>
        <w:spacing w:before="3"/>
      </w:pPr>
    </w:p>
    <w:p>
      <w:pPr>
        <w:pStyle w:val="BodyText"/>
        <w:spacing w:line="275" w:lineRule="exact"/>
        <w:ind w:left="580"/>
      </w:pPr>
      <w:r>
        <w:rPr/>
        <w:t>Adegoke,</w:t>
      </w:r>
      <w:r>
        <w:rPr>
          <w:spacing w:val="-6"/>
        </w:rPr>
        <w:t> </w:t>
      </w:r>
      <w:r>
        <w:rPr/>
        <w:t>D.B.</w:t>
      </w:r>
      <w:r>
        <w:rPr>
          <w:spacing w:val="-6"/>
        </w:rPr>
        <w:t> </w:t>
      </w:r>
      <w:r>
        <w:rPr/>
        <w:t>(1981).</w:t>
      </w:r>
      <w:r>
        <w:rPr>
          <w:spacing w:val="51"/>
        </w:rPr>
        <w:t> </w:t>
      </w:r>
      <w:r>
        <w:rPr>
          <w:u w:val="single"/>
        </w:rPr>
        <w:t>Student</w:t>
      </w:r>
      <w:r>
        <w:rPr>
          <w:spacing w:val="-9"/>
          <w:u w:val="single"/>
        </w:rPr>
        <w:t> </w:t>
      </w:r>
      <w:r>
        <w:rPr>
          <w:u w:val="single"/>
        </w:rPr>
        <w:t>–</w:t>
      </w:r>
      <w:r>
        <w:rPr>
          <w:spacing w:val="-5"/>
          <w:u w:val="single"/>
        </w:rPr>
        <w:t> </w:t>
      </w:r>
      <w:r>
        <w:rPr>
          <w:u w:val="single"/>
        </w:rPr>
        <w:t>Unrest</w:t>
      </w:r>
      <w:r>
        <w:rPr>
          <w:spacing w:val="-9"/>
          <w:u w:val="single"/>
        </w:rPr>
        <w:t> </w:t>
      </w:r>
      <w:r>
        <w:rPr>
          <w:u w:val="single"/>
        </w:rPr>
        <w:t>(A</w:t>
      </w:r>
      <w:r>
        <w:rPr>
          <w:spacing w:val="-7"/>
          <w:u w:val="single"/>
        </w:rPr>
        <w:t> </w:t>
      </w:r>
      <w:r>
        <w:rPr>
          <w:u w:val="single"/>
        </w:rPr>
        <w:t>total</w:t>
      </w:r>
      <w:r>
        <w:rPr>
          <w:spacing w:val="-2"/>
          <w:u w:val="single"/>
        </w:rPr>
        <w:t> </w:t>
      </w:r>
      <w:r>
        <w:rPr>
          <w:u w:val="single"/>
        </w:rPr>
        <w:t>view,</w:t>
      </w:r>
      <w:r>
        <w:rPr>
          <w:spacing w:val="-6"/>
          <w:u w:val="single"/>
        </w:rPr>
        <w:t> </w:t>
      </w:r>
      <w:r>
        <w:rPr>
          <w:u w:val="single"/>
        </w:rPr>
        <w:t>Pocket</w:t>
      </w:r>
      <w:r>
        <w:rPr>
          <w:spacing w:val="-6"/>
          <w:u w:val="single"/>
        </w:rPr>
        <w:t> </w:t>
      </w:r>
      <w:r>
        <w:rPr>
          <w:u w:val="single"/>
        </w:rPr>
        <w:t>Digest</w:t>
      </w:r>
      <w:r>
        <w:rPr>
          <w:spacing w:val="-6"/>
          <w:u w:val="single"/>
        </w:rPr>
        <w:t> </w:t>
      </w:r>
      <w:r>
        <w:rPr>
          <w:u w:val="single"/>
        </w:rPr>
        <w:t>for</w:t>
      </w:r>
      <w:r>
        <w:rPr>
          <w:spacing w:val="-4"/>
          <w:u w:val="single"/>
        </w:rPr>
        <w:t> </w:t>
      </w:r>
      <w:r>
        <w:rPr>
          <w:spacing w:val="-2"/>
          <w:u w:val="single"/>
        </w:rPr>
        <w:t>Everyone)</w:t>
      </w:r>
      <w:r>
        <w:rPr>
          <w:spacing w:val="-2"/>
        </w:rPr>
        <w:t>.</w:t>
      </w:r>
    </w:p>
    <w:p>
      <w:pPr>
        <w:pStyle w:val="BodyText"/>
        <w:spacing w:line="275" w:lineRule="exact"/>
        <w:ind w:left="940"/>
      </w:pPr>
      <w:r>
        <w:rPr/>
        <w:t>West</w:t>
      </w:r>
      <w:r>
        <w:rPr>
          <w:spacing w:val="-8"/>
        </w:rPr>
        <w:t> </w:t>
      </w:r>
      <w:r>
        <w:rPr/>
        <w:t>African</w:t>
      </w:r>
      <w:r>
        <w:rPr>
          <w:spacing w:val="-6"/>
        </w:rPr>
        <w:t> </w:t>
      </w:r>
      <w:r>
        <w:rPr/>
        <w:t>Books</w:t>
      </w:r>
      <w:r>
        <w:rPr>
          <w:spacing w:val="-7"/>
        </w:rPr>
        <w:t> </w:t>
      </w:r>
      <w:r>
        <w:rPr/>
        <w:t>Ltd,</w:t>
      </w:r>
      <w:r>
        <w:rPr>
          <w:spacing w:val="-7"/>
        </w:rPr>
        <w:t> </w:t>
      </w:r>
      <w:r>
        <w:rPr/>
        <w:t>1981,</w:t>
      </w:r>
      <w:r>
        <w:rPr>
          <w:spacing w:val="-7"/>
        </w:rPr>
        <w:t> </w:t>
      </w:r>
      <w:r>
        <w:rPr>
          <w:spacing w:val="-2"/>
        </w:rPr>
        <w:t>Ibadan.</w:t>
      </w:r>
    </w:p>
    <w:p>
      <w:pPr>
        <w:pStyle w:val="BodyText"/>
      </w:pPr>
    </w:p>
    <w:p>
      <w:pPr>
        <w:pStyle w:val="BodyText"/>
        <w:spacing w:line="345" w:lineRule="auto"/>
        <w:ind w:left="940" w:right="863" w:hanging="360"/>
      </w:pPr>
      <w:r>
        <w:rPr/>
        <w:t>Adidu,</w:t>
      </w:r>
      <w:r>
        <w:rPr>
          <w:spacing w:val="-4"/>
        </w:rPr>
        <w:t> </w:t>
      </w:r>
      <w:r>
        <w:rPr/>
        <w:t>V.T</w:t>
      </w:r>
      <w:r>
        <w:rPr>
          <w:spacing w:val="-3"/>
        </w:rPr>
        <w:t> </w:t>
      </w:r>
      <w:r>
        <w:rPr/>
        <w:t>(1991).</w:t>
      </w:r>
      <w:r>
        <w:rPr>
          <w:spacing w:val="40"/>
        </w:rPr>
        <w:t> </w:t>
      </w:r>
      <w:r>
        <w:rPr/>
        <w:t>‘Orientation</w:t>
      </w:r>
      <w:r>
        <w:rPr>
          <w:spacing w:val="-3"/>
        </w:rPr>
        <w:t> </w:t>
      </w:r>
      <w:r>
        <w:rPr/>
        <w:t>programme</w:t>
      </w:r>
      <w:r>
        <w:rPr>
          <w:spacing w:val="-3"/>
        </w:rPr>
        <w:t> </w:t>
      </w:r>
      <w:r>
        <w:rPr/>
        <w:t>for</w:t>
      </w:r>
      <w:r>
        <w:rPr>
          <w:spacing w:val="-3"/>
        </w:rPr>
        <w:t> </w:t>
      </w:r>
      <w:r>
        <w:rPr/>
        <w:t>fresh</w:t>
      </w:r>
      <w:r>
        <w:rPr>
          <w:spacing w:val="-3"/>
        </w:rPr>
        <w:t> </w:t>
      </w:r>
      <w:r>
        <w:rPr/>
        <w:t>students.’</w:t>
      </w:r>
      <w:r>
        <w:rPr>
          <w:spacing w:val="-4"/>
        </w:rPr>
        <w:t> </w:t>
      </w:r>
      <w:r>
        <w:rPr/>
        <w:t>Ahmadu</w:t>
      </w:r>
      <w:r>
        <w:rPr>
          <w:spacing w:val="-3"/>
        </w:rPr>
        <w:t> </w:t>
      </w:r>
      <w:r>
        <w:rPr/>
        <w:t>Bello University, Zaria.</w:t>
      </w:r>
    </w:p>
    <w:p>
      <w:pPr>
        <w:spacing w:after="0" w:line="345" w:lineRule="auto"/>
        <w:sectPr>
          <w:headerReference w:type="default" r:id="rId574"/>
          <w:footerReference w:type="default" r:id="rId575"/>
          <w:pgSz w:w="12240" w:h="15840"/>
          <w:pgMar w:header="722" w:footer="623" w:top="980" w:bottom="820" w:left="1220" w:right="1140"/>
        </w:sectPr>
      </w:pPr>
    </w:p>
    <w:p>
      <w:pPr>
        <w:pStyle w:val="BodyText"/>
        <w:spacing w:before="171"/>
      </w:pPr>
    </w:p>
    <w:p>
      <w:pPr>
        <w:pStyle w:val="BodyText"/>
        <w:ind w:left="940" w:right="293" w:hanging="360"/>
        <w:jc w:val="both"/>
      </w:pPr>
      <w:r>
        <w:rPr/>
        <w:t>Ademuwayin,</w:t>
      </w:r>
      <w:r>
        <w:rPr>
          <w:spacing w:val="-1"/>
        </w:rPr>
        <w:t> </w:t>
      </w:r>
      <w:r>
        <w:rPr/>
        <w:t>Z.A.</w:t>
      </w:r>
      <w:r>
        <w:rPr>
          <w:spacing w:val="-1"/>
        </w:rPr>
        <w:t> </w:t>
      </w:r>
      <w:r>
        <w:rPr/>
        <w:t>(1971).</w:t>
      </w:r>
      <w:r>
        <w:rPr>
          <w:spacing w:val="40"/>
        </w:rPr>
        <w:t> </w:t>
      </w:r>
      <w:r>
        <w:rPr/>
        <w:t>“Health Needs,</w:t>
      </w:r>
      <w:r>
        <w:rPr>
          <w:spacing w:val="-1"/>
        </w:rPr>
        <w:t> </w:t>
      </w:r>
      <w:r>
        <w:rPr/>
        <w:t>Interest</w:t>
      </w:r>
      <w:r>
        <w:rPr>
          <w:spacing w:val="-1"/>
        </w:rPr>
        <w:t> </w:t>
      </w:r>
      <w:r>
        <w:rPr/>
        <w:t>and Problems</w:t>
      </w:r>
      <w:r>
        <w:rPr>
          <w:spacing w:val="-1"/>
        </w:rPr>
        <w:t> </w:t>
      </w:r>
      <w:r>
        <w:rPr/>
        <w:t>of</w:t>
      </w:r>
      <w:r>
        <w:rPr>
          <w:spacing w:val="-1"/>
        </w:rPr>
        <w:t> </w:t>
      </w:r>
      <w:r>
        <w:rPr/>
        <w:t>the University</w:t>
      </w:r>
      <w:r>
        <w:rPr>
          <w:spacing w:val="-6"/>
        </w:rPr>
        <w:t> </w:t>
      </w:r>
      <w:r>
        <w:rPr/>
        <w:t>of Lagos.</w:t>
      </w:r>
      <w:r>
        <w:rPr>
          <w:spacing w:val="40"/>
        </w:rPr>
        <w:t> </w:t>
      </w:r>
      <w:r>
        <w:rPr/>
        <w:t>Thesis UNILAG, Lagos.</w:t>
      </w:r>
      <w:r>
        <w:rPr>
          <w:spacing w:val="40"/>
        </w:rPr>
        <w:t> </w:t>
      </w:r>
      <w:r>
        <w:rPr>
          <w:u w:val="single"/>
        </w:rPr>
        <w:t>In</w:t>
      </w:r>
      <w:r>
        <w:rPr/>
        <w:t> Bello, J.Y (1983).</w:t>
      </w:r>
      <w:r>
        <w:rPr>
          <w:spacing w:val="40"/>
        </w:rPr>
        <w:t> </w:t>
      </w:r>
      <w:r>
        <w:rPr/>
        <w:t>The Identification of Problems Facing Students of Advanced Teachers Colleges in Nigeria.”</w:t>
      </w:r>
      <w:r>
        <w:rPr>
          <w:spacing w:val="40"/>
        </w:rPr>
        <w:t> </w:t>
      </w:r>
      <w:r>
        <w:rPr/>
        <w:t>Ph.D Thesis, Faculty of Education, ABU., Zaria. pp. 38.</w:t>
      </w:r>
    </w:p>
    <w:p>
      <w:pPr>
        <w:pStyle w:val="BodyText"/>
        <w:spacing w:line="242" w:lineRule="auto" w:before="274"/>
        <w:ind w:left="940" w:right="301" w:hanging="360"/>
      </w:pPr>
      <w:r>
        <w:rPr/>
        <w:t>Adesina,</w:t>
      </w:r>
      <w:r>
        <w:rPr>
          <w:spacing w:val="-7"/>
        </w:rPr>
        <w:t> </w:t>
      </w:r>
      <w:r>
        <w:rPr/>
        <w:t>S.</w:t>
      </w:r>
      <w:r>
        <w:rPr>
          <w:spacing w:val="-4"/>
        </w:rPr>
        <w:t> </w:t>
      </w:r>
      <w:r>
        <w:rPr/>
        <w:t>(1981).</w:t>
      </w:r>
      <w:r>
        <w:rPr>
          <w:spacing w:val="40"/>
        </w:rPr>
        <w:t> </w:t>
      </w:r>
      <w:r>
        <w:rPr>
          <w:u w:val="single"/>
        </w:rPr>
        <w:t>Some</w:t>
      </w:r>
      <w:r>
        <w:rPr>
          <w:spacing w:val="-3"/>
          <w:u w:val="single"/>
        </w:rPr>
        <w:t> </w:t>
      </w:r>
      <w:r>
        <w:rPr>
          <w:u w:val="single"/>
        </w:rPr>
        <w:t>Aspects</w:t>
      </w:r>
      <w:r>
        <w:rPr>
          <w:spacing w:val="-4"/>
          <w:u w:val="single"/>
        </w:rPr>
        <w:t> </w:t>
      </w:r>
      <w:r>
        <w:rPr>
          <w:u w:val="single"/>
        </w:rPr>
        <w:t>of</w:t>
      </w:r>
      <w:r>
        <w:rPr>
          <w:spacing w:val="-4"/>
          <w:u w:val="single"/>
        </w:rPr>
        <w:t> </w:t>
      </w:r>
      <w:r>
        <w:rPr>
          <w:u w:val="single"/>
        </w:rPr>
        <w:t>School</w:t>
      </w:r>
      <w:r>
        <w:rPr>
          <w:spacing w:val="-4"/>
          <w:u w:val="single"/>
        </w:rPr>
        <w:t> </w:t>
      </w:r>
      <w:r>
        <w:rPr>
          <w:u w:val="single"/>
        </w:rPr>
        <w:t>Management</w:t>
      </w:r>
      <w:r>
        <w:rPr/>
        <w:t>.</w:t>
      </w:r>
      <w:r>
        <w:rPr>
          <w:spacing w:val="40"/>
        </w:rPr>
        <w:t> </w:t>
      </w:r>
      <w:r>
        <w:rPr/>
        <w:t>Educ.</w:t>
      </w:r>
      <w:r>
        <w:rPr>
          <w:spacing w:val="-4"/>
        </w:rPr>
        <w:t> </w:t>
      </w:r>
      <w:r>
        <w:rPr/>
        <w:t>Industries</w:t>
      </w:r>
      <w:r>
        <w:rPr>
          <w:spacing w:val="-4"/>
        </w:rPr>
        <w:t> </w:t>
      </w:r>
      <w:r>
        <w:rPr/>
        <w:t>Ltd, 1981, Ibadan.</w:t>
      </w:r>
    </w:p>
    <w:p>
      <w:pPr>
        <w:pStyle w:val="BodyText"/>
        <w:spacing w:line="237" w:lineRule="auto" w:before="275"/>
        <w:ind w:left="940" w:right="863" w:hanging="360"/>
      </w:pPr>
      <w:r>
        <w:rPr/>
        <w:t>Adetoro,</w:t>
      </w:r>
      <w:r>
        <w:rPr>
          <w:spacing w:val="-5"/>
        </w:rPr>
        <w:t> </w:t>
      </w:r>
      <w:r>
        <w:rPr/>
        <w:t>A.S.</w:t>
      </w:r>
      <w:r>
        <w:rPr>
          <w:spacing w:val="-5"/>
        </w:rPr>
        <w:t> </w:t>
      </w:r>
      <w:r>
        <w:rPr/>
        <w:t>(1986).</w:t>
      </w:r>
      <w:r>
        <w:rPr>
          <w:spacing w:val="-4"/>
        </w:rPr>
        <w:t> </w:t>
      </w:r>
      <w:r>
        <w:rPr>
          <w:u w:val="single"/>
        </w:rPr>
        <w:t>Research</w:t>
      </w:r>
      <w:r>
        <w:rPr>
          <w:spacing w:val="-4"/>
          <w:u w:val="single"/>
        </w:rPr>
        <w:t> </w:t>
      </w:r>
      <w:r>
        <w:rPr>
          <w:u w:val="single"/>
        </w:rPr>
        <w:t>Techniques</w:t>
      </w:r>
      <w:r>
        <w:rPr>
          <w:spacing w:val="-5"/>
          <w:u w:val="single"/>
        </w:rPr>
        <w:t> </w:t>
      </w:r>
      <w:r>
        <w:rPr>
          <w:u w:val="single"/>
        </w:rPr>
        <w:t>for</w:t>
      </w:r>
      <w:r>
        <w:rPr>
          <w:spacing w:val="-3"/>
          <w:u w:val="single"/>
        </w:rPr>
        <w:t> </w:t>
      </w:r>
      <w:r>
        <w:rPr>
          <w:u w:val="single"/>
        </w:rPr>
        <w:t>Projects,</w:t>
      </w:r>
      <w:r>
        <w:rPr>
          <w:spacing w:val="-5"/>
          <w:u w:val="single"/>
        </w:rPr>
        <w:t> </w:t>
      </w:r>
      <w:r>
        <w:rPr>
          <w:u w:val="single"/>
        </w:rPr>
        <w:t>Proposals,</w:t>
      </w:r>
      <w:r>
        <w:rPr>
          <w:spacing w:val="-5"/>
          <w:u w:val="single"/>
        </w:rPr>
        <w:t> </w:t>
      </w:r>
      <w:r>
        <w:rPr>
          <w:u w:val="single"/>
        </w:rPr>
        <w:t>Reports,</w:t>
      </w:r>
      <w:r>
        <w:rPr/>
        <w:t> </w:t>
      </w:r>
      <w:r>
        <w:rPr>
          <w:u w:val="single"/>
        </w:rPr>
        <w:t>Theses and Dissertations</w:t>
      </w:r>
      <w:r>
        <w:rPr/>
        <w:t>, Gaskiya Corporation Ltd, 1986, Zaria.</w:t>
      </w:r>
    </w:p>
    <w:p>
      <w:pPr>
        <w:pStyle w:val="BodyText"/>
        <w:spacing w:before="1"/>
      </w:pPr>
    </w:p>
    <w:p>
      <w:pPr>
        <w:pStyle w:val="BodyText"/>
        <w:spacing w:line="242" w:lineRule="auto"/>
        <w:ind w:left="940" w:right="301" w:hanging="360"/>
      </w:pPr>
      <w:r>
        <w:rPr/>
        <w:t>Afolabi,</w:t>
      </w:r>
      <w:r>
        <w:rPr>
          <w:spacing w:val="-4"/>
        </w:rPr>
        <w:t> </w:t>
      </w:r>
      <w:r>
        <w:rPr/>
        <w:t>M.</w:t>
      </w:r>
      <w:r>
        <w:rPr>
          <w:spacing w:val="-4"/>
        </w:rPr>
        <w:t> </w:t>
      </w:r>
      <w:r>
        <w:rPr/>
        <w:t>(1992).</w:t>
      </w:r>
      <w:r>
        <w:rPr>
          <w:spacing w:val="40"/>
        </w:rPr>
        <w:t> </w:t>
      </w:r>
      <w:r>
        <w:rPr/>
        <w:t>Introduction</w:t>
      </w:r>
      <w:r>
        <w:rPr>
          <w:spacing w:val="-3"/>
        </w:rPr>
        <w:t> </w:t>
      </w:r>
      <w:r>
        <w:rPr/>
        <w:t>to</w:t>
      </w:r>
      <w:r>
        <w:rPr>
          <w:spacing w:val="-3"/>
        </w:rPr>
        <w:t> </w:t>
      </w:r>
      <w:r>
        <w:rPr/>
        <w:t>Research</w:t>
      </w:r>
      <w:r>
        <w:rPr>
          <w:spacing w:val="-7"/>
        </w:rPr>
        <w:t> </w:t>
      </w:r>
      <w:r>
        <w:rPr/>
        <w:t>Methods</w:t>
      </w:r>
      <w:r>
        <w:rPr>
          <w:spacing w:val="-4"/>
        </w:rPr>
        <w:t> </w:t>
      </w:r>
      <w:r>
        <w:rPr/>
        <w:t>for</w:t>
      </w:r>
      <w:r>
        <w:rPr>
          <w:spacing w:val="-2"/>
        </w:rPr>
        <w:t> </w:t>
      </w:r>
      <w:r>
        <w:rPr/>
        <w:t>writing</w:t>
      </w:r>
      <w:r>
        <w:rPr>
          <w:spacing w:val="-3"/>
        </w:rPr>
        <w:t> </w:t>
      </w:r>
      <w:r>
        <w:rPr/>
        <w:t>proposals,</w:t>
      </w:r>
      <w:r>
        <w:rPr>
          <w:spacing w:val="-4"/>
        </w:rPr>
        <w:t> </w:t>
      </w:r>
      <w:r>
        <w:rPr/>
        <w:t>Projects and Thesis.</w:t>
      </w:r>
      <w:r>
        <w:rPr>
          <w:spacing w:val="40"/>
        </w:rPr>
        <w:t> </w:t>
      </w:r>
      <w:r>
        <w:rPr/>
        <w:t>Fac. of Education, 1992, Zaria.</w:t>
      </w:r>
    </w:p>
    <w:p>
      <w:pPr>
        <w:pStyle w:val="BodyText"/>
        <w:spacing w:line="237" w:lineRule="auto" w:before="275"/>
        <w:ind w:left="940" w:hanging="360"/>
      </w:pPr>
      <w:r>
        <w:rPr/>
        <w:t>Akunrin</w:t>
      </w:r>
      <w:r>
        <w:rPr>
          <w:spacing w:val="-5"/>
        </w:rPr>
        <w:t> </w:t>
      </w:r>
      <w:r>
        <w:rPr/>
        <w:t>D.</w:t>
      </w:r>
      <w:r>
        <w:rPr>
          <w:spacing w:val="-2"/>
        </w:rPr>
        <w:t> </w:t>
      </w:r>
      <w:r>
        <w:rPr/>
        <w:t>(1987).</w:t>
      </w:r>
      <w:r>
        <w:rPr>
          <w:spacing w:val="-6"/>
        </w:rPr>
        <w:t> </w:t>
      </w:r>
      <w:r>
        <w:rPr/>
        <w:t>Feeding</w:t>
      </w:r>
      <w:r>
        <w:rPr>
          <w:spacing w:val="-1"/>
        </w:rPr>
        <w:t> </w:t>
      </w:r>
      <w:r>
        <w:rPr/>
        <w:t>with</w:t>
      </w:r>
      <w:r>
        <w:rPr>
          <w:spacing w:val="-1"/>
        </w:rPr>
        <w:t> </w:t>
      </w:r>
      <w:r>
        <w:rPr/>
        <w:t>tears;</w:t>
      </w:r>
      <w:r>
        <w:rPr>
          <w:spacing w:val="-2"/>
        </w:rPr>
        <w:t> </w:t>
      </w:r>
      <w:r>
        <w:rPr/>
        <w:t>Days</w:t>
      </w:r>
      <w:r>
        <w:rPr>
          <w:spacing w:val="-7"/>
        </w:rPr>
        <w:t> </w:t>
      </w:r>
      <w:r>
        <w:rPr/>
        <w:t>of</w:t>
      </w:r>
      <w:r>
        <w:rPr>
          <w:spacing w:val="-2"/>
        </w:rPr>
        <w:t> </w:t>
      </w:r>
      <w:r>
        <w:rPr/>
        <w:t>balanced</w:t>
      </w:r>
      <w:r>
        <w:rPr>
          <w:spacing w:val="-5"/>
        </w:rPr>
        <w:t> </w:t>
      </w:r>
      <w:r>
        <w:rPr/>
        <w:t>diet</w:t>
      </w:r>
      <w:r>
        <w:rPr>
          <w:spacing w:val="-6"/>
        </w:rPr>
        <w:t> </w:t>
      </w:r>
      <w:r>
        <w:rPr/>
        <w:t>is</w:t>
      </w:r>
      <w:r>
        <w:rPr>
          <w:spacing w:val="-2"/>
        </w:rPr>
        <w:t> </w:t>
      </w:r>
      <w:r>
        <w:rPr/>
        <w:t>over</w:t>
      </w:r>
      <w:r>
        <w:rPr>
          <w:spacing w:val="-5"/>
        </w:rPr>
        <w:t> </w:t>
      </w:r>
      <w:r>
        <w:rPr/>
        <w:t>in</w:t>
      </w:r>
      <w:r>
        <w:rPr>
          <w:spacing w:val="-1"/>
        </w:rPr>
        <w:t> </w:t>
      </w:r>
      <w:r>
        <w:rPr/>
        <w:t>our versities, “Sunday Times, March 29, 1987. p3.</w:t>
      </w:r>
    </w:p>
    <w:p>
      <w:pPr>
        <w:pStyle w:val="BodyText"/>
        <w:spacing w:before="1"/>
      </w:pPr>
    </w:p>
    <w:p>
      <w:pPr>
        <w:pStyle w:val="BodyText"/>
        <w:ind w:left="940" w:right="301" w:hanging="360"/>
      </w:pPr>
      <w:r>
        <w:rPr/>
        <w:t>Aleyideino, S.C. (1978).</w:t>
      </w:r>
      <w:r>
        <w:rPr>
          <w:spacing w:val="40"/>
        </w:rPr>
        <w:t> </w:t>
      </w:r>
      <w:r>
        <w:rPr/>
        <w:t>‘Some students’ characteristics and associate problems: Considerations of some implications for the College Administrators.’</w:t>
      </w:r>
      <w:r>
        <w:rPr>
          <w:spacing w:val="80"/>
        </w:rPr>
        <w:t> </w:t>
      </w:r>
      <w:r>
        <w:rPr/>
        <w:t>For Heads of Post Primary Institutions – April 14-18, 1980 Mimeo p. 1 – 12.</w:t>
      </w:r>
    </w:p>
    <w:p>
      <w:pPr>
        <w:pStyle w:val="BodyText"/>
      </w:pPr>
    </w:p>
    <w:p>
      <w:pPr>
        <w:pStyle w:val="BodyText"/>
        <w:spacing w:line="242" w:lineRule="auto" w:before="1"/>
        <w:ind w:left="940" w:right="863" w:hanging="360"/>
      </w:pPr>
      <w:r>
        <w:rPr/>
        <w:t>Aliu,</w:t>
      </w:r>
      <w:r>
        <w:rPr>
          <w:spacing w:val="-4"/>
        </w:rPr>
        <w:t> </w:t>
      </w:r>
      <w:r>
        <w:rPr/>
        <w:t>Y.O.</w:t>
      </w:r>
      <w:r>
        <w:rPr>
          <w:spacing w:val="-4"/>
        </w:rPr>
        <w:t> </w:t>
      </w:r>
      <w:r>
        <w:rPr/>
        <w:t>(1991).</w:t>
      </w:r>
      <w:r>
        <w:rPr>
          <w:spacing w:val="40"/>
        </w:rPr>
        <w:t> </w:t>
      </w:r>
      <w:r>
        <w:rPr/>
        <w:t>Paper</w:t>
      </w:r>
      <w:r>
        <w:rPr>
          <w:spacing w:val="-6"/>
        </w:rPr>
        <w:t> </w:t>
      </w:r>
      <w:r>
        <w:rPr/>
        <w:t>for</w:t>
      </w:r>
      <w:r>
        <w:rPr>
          <w:spacing w:val="-2"/>
        </w:rPr>
        <w:t> </w:t>
      </w:r>
      <w:r>
        <w:rPr/>
        <w:t>students’</w:t>
      </w:r>
      <w:r>
        <w:rPr>
          <w:spacing w:val="-4"/>
        </w:rPr>
        <w:t> </w:t>
      </w:r>
      <w:r>
        <w:rPr/>
        <w:t>welfare</w:t>
      </w:r>
      <w:r>
        <w:rPr>
          <w:spacing w:val="-6"/>
        </w:rPr>
        <w:t> </w:t>
      </w:r>
      <w:r>
        <w:rPr/>
        <w:t>board</w:t>
      </w:r>
      <w:r>
        <w:rPr>
          <w:spacing w:val="-3"/>
        </w:rPr>
        <w:t> </w:t>
      </w:r>
      <w:r>
        <w:rPr/>
        <w:t>on</w:t>
      </w:r>
      <w:r>
        <w:rPr>
          <w:spacing w:val="-3"/>
        </w:rPr>
        <w:t> </w:t>
      </w:r>
      <w:r>
        <w:rPr/>
        <w:t>reactivation</w:t>
      </w:r>
      <w:r>
        <w:rPr>
          <w:spacing w:val="-3"/>
        </w:rPr>
        <w:t> </w:t>
      </w:r>
      <w:r>
        <w:rPr/>
        <w:t>of</w:t>
      </w:r>
      <w:r>
        <w:rPr>
          <w:spacing w:val="-4"/>
        </w:rPr>
        <w:t> </w:t>
      </w:r>
      <w:r>
        <w:rPr/>
        <w:t>students union: SAD/ABU 1991 – Zaria.</w:t>
      </w:r>
    </w:p>
    <w:p>
      <w:pPr>
        <w:pStyle w:val="BodyText"/>
        <w:spacing w:line="237" w:lineRule="auto" w:before="275"/>
        <w:ind w:left="940" w:right="301" w:hanging="360"/>
      </w:pPr>
      <w:r>
        <w:rPr/>
        <w:t>Aliyu,</w:t>
      </w:r>
      <w:r>
        <w:rPr>
          <w:spacing w:val="-2"/>
        </w:rPr>
        <w:t> </w:t>
      </w:r>
      <w:r>
        <w:rPr/>
        <w:t>M.</w:t>
      </w:r>
      <w:r>
        <w:rPr>
          <w:spacing w:val="-2"/>
        </w:rPr>
        <w:t> </w:t>
      </w:r>
      <w:r>
        <w:rPr/>
        <w:t>(1981)”</w:t>
      </w:r>
      <w:r>
        <w:rPr>
          <w:spacing w:val="-5"/>
        </w:rPr>
        <w:t> </w:t>
      </w:r>
      <w:r>
        <w:rPr/>
        <w:t>The</w:t>
      </w:r>
      <w:r>
        <w:rPr>
          <w:spacing w:val="-5"/>
        </w:rPr>
        <w:t> </w:t>
      </w:r>
      <w:r>
        <w:rPr/>
        <w:t>problem</w:t>
      </w:r>
      <w:r>
        <w:rPr>
          <w:spacing w:val="-10"/>
        </w:rPr>
        <w:t> </w:t>
      </w:r>
      <w:r>
        <w:rPr/>
        <w:t>of</w:t>
      </w:r>
      <w:r>
        <w:rPr>
          <w:spacing w:val="-2"/>
        </w:rPr>
        <w:t> </w:t>
      </w:r>
      <w:r>
        <w:rPr/>
        <w:t>students’</w:t>
      </w:r>
      <w:r>
        <w:rPr>
          <w:spacing w:val="-2"/>
        </w:rPr>
        <w:t> </w:t>
      </w:r>
      <w:r>
        <w:rPr/>
        <w:t>unrest”.</w:t>
      </w:r>
      <w:r>
        <w:rPr>
          <w:spacing w:val="-2"/>
        </w:rPr>
        <w:t> </w:t>
      </w:r>
      <w:r>
        <w:rPr/>
        <w:t>Daily</w:t>
      </w:r>
      <w:r>
        <w:rPr>
          <w:spacing w:val="-2"/>
        </w:rPr>
        <w:t> </w:t>
      </w:r>
      <w:r>
        <w:rPr/>
        <w:t>Times,</w:t>
      </w:r>
      <w:r>
        <w:rPr>
          <w:spacing w:val="-2"/>
        </w:rPr>
        <w:t> </w:t>
      </w:r>
      <w:r>
        <w:rPr/>
        <w:t>Thursday</w:t>
      </w:r>
      <w:r>
        <w:rPr>
          <w:spacing w:val="-2"/>
        </w:rPr>
        <w:t> </w:t>
      </w:r>
      <w:r>
        <w:rPr/>
        <w:t>12</w:t>
      </w:r>
      <w:r>
        <w:rPr>
          <w:spacing w:val="-1"/>
        </w:rPr>
        <w:t> </w:t>
      </w:r>
      <w:r>
        <w:rPr/>
        <w:t>April, 1981, p3 Col. 3</w:t>
      </w:r>
    </w:p>
    <w:p>
      <w:pPr>
        <w:pStyle w:val="BodyText"/>
      </w:pPr>
    </w:p>
    <w:p>
      <w:pPr>
        <w:pStyle w:val="BodyText"/>
        <w:tabs>
          <w:tab w:pos="3843" w:val="left" w:leader="none"/>
        </w:tabs>
        <w:spacing w:line="242" w:lineRule="auto" w:before="1"/>
        <w:ind w:left="940" w:right="301" w:hanging="360"/>
      </w:pPr>
      <w:r>
        <w:rPr/>
        <w:t>Alkasim, A. and Saidu A. (19890).</w:t>
      </w:r>
      <w:r>
        <w:rPr>
          <w:spacing w:val="40"/>
        </w:rPr>
        <w:t> </w:t>
      </w:r>
      <w:r>
        <w:rPr/>
        <w:t>“Staff and Students Welfare in Ahmadu Bello University</w:t>
      </w:r>
      <w:r>
        <w:rPr>
          <w:spacing w:val="40"/>
        </w:rPr>
        <w:t> </w:t>
      </w:r>
      <w:r>
        <w:rPr/>
        <w:t>1962</w:t>
      </w:r>
      <w:r>
        <w:rPr>
          <w:spacing w:val="40"/>
        </w:rPr>
        <w:t> </w:t>
      </w:r>
      <w:r>
        <w:rPr/>
        <w:t>–</w:t>
      </w:r>
      <w:r>
        <w:rPr>
          <w:spacing w:val="40"/>
        </w:rPr>
        <w:t> </w:t>
      </w:r>
      <w:r>
        <w:rPr/>
        <w:t>1987.</w:t>
        <w:tab/>
        <w:t>An</w:t>
      </w:r>
      <w:r>
        <w:rPr>
          <w:spacing w:val="40"/>
        </w:rPr>
        <w:t> </w:t>
      </w:r>
      <w:r>
        <w:rPr/>
        <w:t>overview</w:t>
      </w:r>
      <w:r>
        <w:rPr>
          <w:spacing w:val="38"/>
        </w:rPr>
        <w:t> </w:t>
      </w:r>
      <w:r>
        <w:rPr>
          <w:u w:val="single"/>
        </w:rPr>
        <w:t>In</w:t>
      </w:r>
      <w:r>
        <w:rPr>
          <w:spacing w:val="40"/>
        </w:rPr>
        <w:t> </w:t>
      </w:r>
      <w:r>
        <w:rPr/>
        <w:t>History</w:t>
      </w:r>
      <w:r>
        <w:rPr>
          <w:spacing w:val="40"/>
        </w:rPr>
        <w:t> </w:t>
      </w:r>
      <w:r>
        <w:rPr/>
        <w:t>of</w:t>
      </w:r>
      <w:r>
        <w:rPr>
          <w:spacing w:val="40"/>
        </w:rPr>
        <w:t> </w:t>
      </w:r>
      <w:r>
        <w:rPr/>
        <w:t>Ahmadu</w:t>
      </w:r>
      <w:r>
        <w:rPr>
          <w:spacing w:val="40"/>
        </w:rPr>
        <w:t> </w:t>
      </w:r>
      <w:r>
        <w:rPr/>
        <w:t>Bello</w:t>
      </w:r>
      <w:r>
        <w:rPr>
          <w:spacing w:val="40"/>
        </w:rPr>
        <w:t> </w:t>
      </w:r>
      <w:r>
        <w:rPr/>
        <w:t>University.</w:t>
      </w:r>
    </w:p>
    <w:p>
      <w:pPr>
        <w:pStyle w:val="BodyText"/>
        <w:spacing w:line="271" w:lineRule="exact"/>
        <w:ind w:left="940"/>
      </w:pPr>
      <w:r>
        <w:rPr/>
        <w:t>A.B.U.</w:t>
      </w:r>
      <w:r>
        <w:rPr>
          <w:spacing w:val="-5"/>
        </w:rPr>
        <w:t> </w:t>
      </w:r>
      <w:r>
        <w:rPr/>
        <w:t>Press,</w:t>
      </w:r>
      <w:r>
        <w:rPr>
          <w:spacing w:val="-5"/>
        </w:rPr>
        <w:t> </w:t>
      </w:r>
      <w:r>
        <w:rPr/>
        <w:t>pp</w:t>
      </w:r>
      <w:r>
        <w:rPr>
          <w:spacing w:val="-3"/>
        </w:rPr>
        <w:t> </w:t>
      </w:r>
      <w:r>
        <w:rPr/>
        <w:t>283</w:t>
      </w:r>
      <w:r>
        <w:rPr>
          <w:spacing w:val="-3"/>
        </w:rPr>
        <w:t> </w:t>
      </w:r>
      <w:r>
        <w:rPr/>
        <w:t>–</w:t>
      </w:r>
      <w:r>
        <w:rPr>
          <w:spacing w:val="-8"/>
        </w:rPr>
        <w:t> </w:t>
      </w:r>
      <w:r>
        <w:rPr>
          <w:spacing w:val="-4"/>
        </w:rPr>
        <w:t>297.</w:t>
      </w:r>
    </w:p>
    <w:p>
      <w:pPr>
        <w:pStyle w:val="BodyText"/>
        <w:spacing w:before="276"/>
        <w:ind w:left="940" w:right="301" w:hanging="360"/>
      </w:pPr>
      <w:r>
        <w:rPr/>
        <w:t>America Council on Education (1999).</w:t>
      </w:r>
      <w:r>
        <w:rPr>
          <w:spacing w:val="40"/>
        </w:rPr>
        <w:t> </w:t>
      </w:r>
      <w:r>
        <w:rPr>
          <w:u w:val="single"/>
        </w:rPr>
        <w:t>An International Visitor’s Guide to Higher</w:t>
      </w:r>
      <w:r>
        <w:rPr/>
        <w:t> </w:t>
      </w:r>
      <w:r>
        <w:rPr>
          <w:u w:val="single"/>
        </w:rPr>
        <w:t>Education in the United States</w:t>
      </w:r>
      <w:r>
        <w:rPr/>
        <w:t>.</w:t>
      </w:r>
      <w:r>
        <w:rPr>
          <w:spacing w:val="80"/>
        </w:rPr>
        <w:t> </w:t>
      </w:r>
      <w:r>
        <w:rPr/>
        <w:t>American Council on Educ., 1999 Washington</w:t>
      </w:r>
      <w:r>
        <w:rPr>
          <w:spacing w:val="80"/>
        </w:rPr>
        <w:t> </w:t>
      </w:r>
      <w:r>
        <w:rPr>
          <w:spacing w:val="-4"/>
        </w:rPr>
        <w:t>D.C.</w:t>
      </w:r>
    </w:p>
    <w:p>
      <w:pPr>
        <w:pStyle w:val="BodyText"/>
      </w:pPr>
    </w:p>
    <w:p>
      <w:pPr>
        <w:pStyle w:val="BodyText"/>
        <w:spacing w:line="242" w:lineRule="auto"/>
        <w:ind w:left="940" w:right="863" w:hanging="360"/>
      </w:pPr>
      <w:r>
        <w:rPr/>
        <w:t>Anifowose,</w:t>
      </w:r>
      <w:r>
        <w:rPr>
          <w:spacing w:val="-2"/>
        </w:rPr>
        <w:t> </w:t>
      </w:r>
      <w:r>
        <w:rPr/>
        <w:t>R.</w:t>
      </w:r>
      <w:r>
        <w:rPr>
          <w:spacing w:val="-2"/>
        </w:rPr>
        <w:t> </w:t>
      </w:r>
      <w:r>
        <w:rPr/>
        <w:t>(1982).</w:t>
      </w:r>
      <w:r>
        <w:rPr>
          <w:spacing w:val="40"/>
        </w:rPr>
        <w:t> </w:t>
      </w:r>
      <w:r>
        <w:rPr>
          <w:u w:val="single"/>
        </w:rPr>
        <w:t>Violence</w:t>
      </w:r>
      <w:r>
        <w:rPr>
          <w:spacing w:val="-1"/>
          <w:u w:val="single"/>
        </w:rPr>
        <w:t> </w:t>
      </w:r>
      <w:r>
        <w:rPr>
          <w:u w:val="single"/>
        </w:rPr>
        <w:t>and</w:t>
      </w:r>
      <w:r>
        <w:rPr>
          <w:spacing w:val="-4"/>
          <w:u w:val="single"/>
        </w:rPr>
        <w:t> </w:t>
      </w:r>
      <w:r>
        <w:rPr>
          <w:u w:val="single"/>
        </w:rPr>
        <w:t>Politics</w:t>
      </w:r>
      <w:r>
        <w:rPr>
          <w:spacing w:val="-6"/>
          <w:u w:val="single"/>
        </w:rPr>
        <w:t> </w:t>
      </w:r>
      <w:r>
        <w:rPr>
          <w:u w:val="single"/>
        </w:rPr>
        <w:t>in</w:t>
      </w:r>
      <w:r>
        <w:rPr>
          <w:spacing w:val="-4"/>
          <w:u w:val="single"/>
        </w:rPr>
        <w:t> </w:t>
      </w:r>
      <w:r>
        <w:rPr>
          <w:u w:val="single"/>
        </w:rPr>
        <w:t>Nigeria</w:t>
      </w:r>
      <w:r>
        <w:rPr/>
        <w:t>:</w:t>
      </w:r>
      <w:r>
        <w:rPr>
          <w:spacing w:val="40"/>
        </w:rPr>
        <w:t> </w:t>
      </w:r>
      <w:r>
        <w:rPr/>
        <w:t>(</w:t>
      </w:r>
      <w:r>
        <w:rPr>
          <w:u w:val="single"/>
        </w:rPr>
        <w:t>The</w:t>
      </w:r>
      <w:r>
        <w:rPr>
          <w:spacing w:val="-4"/>
          <w:u w:val="single"/>
        </w:rPr>
        <w:t> </w:t>
      </w:r>
      <w:r>
        <w:rPr>
          <w:u w:val="single"/>
        </w:rPr>
        <w:t>Tiv</w:t>
      </w:r>
      <w:r>
        <w:rPr>
          <w:spacing w:val="-2"/>
          <w:u w:val="single"/>
        </w:rPr>
        <w:t> </w:t>
      </w:r>
      <w:r>
        <w:rPr>
          <w:u w:val="single"/>
        </w:rPr>
        <w:t>and</w:t>
      </w:r>
      <w:r>
        <w:rPr>
          <w:spacing w:val="-4"/>
          <w:u w:val="single"/>
        </w:rPr>
        <w:t> </w:t>
      </w:r>
      <w:r>
        <w:rPr>
          <w:u w:val="single"/>
        </w:rPr>
        <w:t>Yoruba</w:t>
      </w:r>
      <w:r>
        <w:rPr/>
        <w:t> </w:t>
      </w:r>
      <w:r>
        <w:rPr>
          <w:u w:val="single"/>
        </w:rPr>
        <w:t>Experience</w:t>
      </w:r>
      <w:r>
        <w:rPr/>
        <w:t>.</w:t>
      </w:r>
      <w:r>
        <w:rPr>
          <w:spacing w:val="40"/>
        </w:rPr>
        <w:t> </w:t>
      </w:r>
      <w:r>
        <w:rPr/>
        <w:t>Mok Pub. International, New York.</w:t>
      </w:r>
    </w:p>
    <w:p>
      <w:pPr>
        <w:pStyle w:val="BodyText"/>
        <w:spacing w:line="237" w:lineRule="auto" w:before="275"/>
        <w:ind w:left="940" w:right="299" w:hanging="360"/>
      </w:pPr>
      <w:r>
        <w:rPr/>
        <w:t>Anderson,</w:t>
      </w:r>
      <w:r>
        <w:rPr>
          <w:spacing w:val="-11"/>
        </w:rPr>
        <w:t> </w:t>
      </w:r>
      <w:r>
        <w:rPr/>
        <w:t>W.</w:t>
      </w:r>
      <w:r>
        <w:rPr>
          <w:spacing w:val="-6"/>
        </w:rPr>
        <w:t> </w:t>
      </w:r>
      <w:r>
        <w:rPr/>
        <w:t>(1971) Ed.</w:t>
      </w:r>
      <w:r>
        <w:rPr>
          <w:spacing w:val="-1"/>
        </w:rPr>
        <w:t> </w:t>
      </w:r>
      <w:r>
        <w:rPr>
          <w:u w:val="single"/>
        </w:rPr>
        <w:t>The</w:t>
      </w:r>
      <w:r>
        <w:rPr>
          <w:spacing w:val="-1"/>
          <w:u w:val="single"/>
        </w:rPr>
        <w:t> </w:t>
      </w:r>
      <w:r>
        <w:rPr>
          <w:u w:val="single"/>
        </w:rPr>
        <w:t>Age</w:t>
      </w:r>
      <w:r>
        <w:rPr>
          <w:spacing w:val="-1"/>
          <w:u w:val="single"/>
        </w:rPr>
        <w:t> </w:t>
      </w:r>
      <w:r>
        <w:rPr>
          <w:u w:val="single"/>
        </w:rPr>
        <w:t>of</w:t>
      </w:r>
      <w:r>
        <w:rPr>
          <w:spacing w:val="-2"/>
          <w:u w:val="single"/>
        </w:rPr>
        <w:t> </w:t>
      </w:r>
      <w:r>
        <w:rPr>
          <w:u w:val="single"/>
        </w:rPr>
        <w:t>Protest</w:t>
      </w:r>
      <w:r>
        <w:rPr/>
        <w:t>,</w:t>
      </w:r>
      <w:r>
        <w:rPr>
          <w:spacing w:val="-6"/>
        </w:rPr>
        <w:t> </w:t>
      </w:r>
      <w:r>
        <w:rPr/>
        <w:t>Goodyear</w:t>
      </w:r>
      <w:r>
        <w:rPr>
          <w:spacing w:val="-5"/>
        </w:rPr>
        <w:t> </w:t>
      </w:r>
      <w:r>
        <w:rPr/>
        <w:t>Pub.</w:t>
      </w:r>
      <w:r>
        <w:rPr>
          <w:spacing w:val="-2"/>
        </w:rPr>
        <w:t> </w:t>
      </w:r>
      <w:r>
        <w:rPr/>
        <w:t>Co.</w:t>
      </w:r>
      <w:r>
        <w:rPr>
          <w:spacing w:val="-2"/>
        </w:rPr>
        <w:t> </w:t>
      </w:r>
      <w:r>
        <w:rPr/>
        <w:t>Pacific</w:t>
      </w:r>
      <w:r>
        <w:rPr>
          <w:spacing w:val="-2"/>
        </w:rPr>
        <w:t> </w:t>
      </w:r>
      <w:r>
        <w:rPr/>
        <w:t>Palisades </w:t>
      </w:r>
      <w:r>
        <w:rPr>
          <w:spacing w:val="-2"/>
        </w:rPr>
        <w:t>California.</w:t>
      </w:r>
    </w:p>
    <w:p>
      <w:pPr>
        <w:pStyle w:val="BodyText"/>
        <w:spacing w:before="1"/>
      </w:pPr>
    </w:p>
    <w:p>
      <w:pPr>
        <w:pStyle w:val="BodyText"/>
        <w:spacing w:line="242" w:lineRule="auto"/>
        <w:ind w:left="940" w:right="863" w:hanging="360"/>
      </w:pPr>
      <w:r>
        <w:rPr/>
        <w:t>Archer,</w:t>
      </w:r>
      <w:r>
        <w:rPr>
          <w:spacing w:val="-4"/>
        </w:rPr>
        <w:t> </w:t>
      </w:r>
      <w:r>
        <w:rPr/>
        <w:t>M.</w:t>
      </w:r>
      <w:r>
        <w:rPr>
          <w:spacing w:val="-4"/>
        </w:rPr>
        <w:t> </w:t>
      </w:r>
      <w:r>
        <w:rPr/>
        <w:t>(1972).</w:t>
      </w:r>
      <w:r>
        <w:rPr>
          <w:spacing w:val="40"/>
        </w:rPr>
        <w:t> </w:t>
      </w:r>
      <w:r>
        <w:rPr>
          <w:u w:val="single"/>
        </w:rPr>
        <w:t>Students,</w:t>
      </w:r>
      <w:r>
        <w:rPr>
          <w:spacing w:val="-4"/>
          <w:u w:val="single"/>
        </w:rPr>
        <w:t> </w:t>
      </w:r>
      <w:r>
        <w:rPr>
          <w:u w:val="single"/>
        </w:rPr>
        <w:t>University</w:t>
      </w:r>
      <w:r>
        <w:rPr>
          <w:spacing w:val="-4"/>
          <w:u w:val="single"/>
        </w:rPr>
        <w:t> </w:t>
      </w:r>
      <w:r>
        <w:rPr>
          <w:u w:val="single"/>
        </w:rPr>
        <w:t>and</w:t>
      </w:r>
      <w:r>
        <w:rPr>
          <w:spacing w:val="-3"/>
          <w:u w:val="single"/>
        </w:rPr>
        <w:t> </w:t>
      </w:r>
      <w:r>
        <w:rPr>
          <w:u w:val="single"/>
        </w:rPr>
        <w:t>Society</w:t>
      </w:r>
      <w:r>
        <w:rPr/>
        <w:t>.</w:t>
      </w:r>
      <w:r>
        <w:rPr>
          <w:spacing w:val="40"/>
        </w:rPr>
        <w:t> </w:t>
      </w:r>
      <w:r>
        <w:rPr/>
        <w:t>Heinmann</w:t>
      </w:r>
      <w:r>
        <w:rPr>
          <w:spacing w:val="-3"/>
        </w:rPr>
        <w:t> </w:t>
      </w:r>
      <w:r>
        <w:rPr/>
        <w:t>Educ.</w:t>
      </w:r>
      <w:r>
        <w:rPr>
          <w:spacing w:val="-4"/>
        </w:rPr>
        <w:t> </w:t>
      </w:r>
      <w:r>
        <w:rPr/>
        <w:t>Books, </w:t>
      </w:r>
      <w:r>
        <w:rPr>
          <w:spacing w:val="-2"/>
        </w:rPr>
        <w:t>London.</w:t>
      </w:r>
    </w:p>
    <w:p>
      <w:pPr>
        <w:spacing w:after="0" w:line="242" w:lineRule="auto"/>
        <w:sectPr>
          <w:headerReference w:type="default" r:id="rId576"/>
          <w:footerReference w:type="default" r:id="rId577"/>
          <w:pgSz w:w="12240" w:h="15840"/>
          <w:pgMar w:header="722" w:footer="623" w:top="980" w:bottom="820" w:left="1220" w:right="1140"/>
        </w:sectPr>
      </w:pPr>
    </w:p>
    <w:p>
      <w:pPr>
        <w:pStyle w:val="BodyText"/>
        <w:spacing w:before="171"/>
      </w:pPr>
    </w:p>
    <w:p>
      <w:pPr>
        <w:pStyle w:val="BodyText"/>
        <w:tabs>
          <w:tab w:pos="6565" w:val="left" w:leader="none"/>
          <w:tab w:pos="8801" w:val="left" w:leader="none"/>
          <w:tab w:pos="9166" w:val="left" w:leader="none"/>
        </w:tabs>
        <w:ind w:left="940" w:right="294" w:hanging="360"/>
      </w:pPr>
      <w:r>
        <w:rPr/>
        <w:t>Arigbede, J.A. (1980).</w:t>
      </w:r>
      <w:r>
        <w:rPr>
          <w:spacing w:val="40"/>
        </w:rPr>
        <w:t> </w:t>
      </w:r>
      <w:r>
        <w:rPr/>
        <w:t>“Entry Qualifications and Academic Performance of Bayero University</w:t>
      </w:r>
      <w:r>
        <w:rPr>
          <w:spacing w:val="40"/>
        </w:rPr>
        <w:t> </w:t>
      </w:r>
      <w:r>
        <w:rPr/>
        <w:t>and</w:t>
      </w:r>
      <w:r>
        <w:rPr>
          <w:spacing w:val="40"/>
        </w:rPr>
        <w:t> </w:t>
      </w:r>
      <w:r>
        <w:rPr/>
        <w:t>Advanced</w:t>
      </w:r>
      <w:r>
        <w:rPr>
          <w:spacing w:val="40"/>
        </w:rPr>
        <w:t> </w:t>
      </w:r>
      <w:r>
        <w:rPr/>
        <w:t>Teachers</w:t>
      </w:r>
      <w:r>
        <w:rPr>
          <w:spacing w:val="40"/>
        </w:rPr>
        <w:t> </w:t>
      </w:r>
      <w:r>
        <w:rPr/>
        <w:t>College,</w:t>
      </w:r>
      <w:r>
        <w:rPr>
          <w:spacing w:val="40"/>
        </w:rPr>
        <w:t> </w:t>
      </w:r>
      <w:r>
        <w:rPr/>
        <w:t>A.B.U.,</w:t>
      </w:r>
      <w:r>
        <w:rPr>
          <w:spacing w:val="40"/>
        </w:rPr>
        <w:t> </w:t>
      </w:r>
      <w:r>
        <w:rPr/>
        <w:t>Kano</w:t>
      </w:r>
      <w:r>
        <w:rPr>
          <w:spacing w:val="40"/>
        </w:rPr>
        <w:t> </w:t>
      </w:r>
      <w:r>
        <w:rPr/>
        <w:t>Students.”</w:t>
        <w:tab/>
      </w:r>
      <w:r>
        <w:rPr>
          <w:spacing w:val="-2"/>
        </w:rPr>
        <w:t>Unpub. </w:t>
      </w:r>
      <w:r>
        <w:rPr/>
        <w:t>M.Ed</w:t>
      </w:r>
      <w:r>
        <w:rPr>
          <w:spacing w:val="40"/>
        </w:rPr>
        <w:t> </w:t>
      </w:r>
      <w:r>
        <w:rPr/>
        <w:t>Thesis,</w:t>
      </w:r>
      <w:r>
        <w:rPr>
          <w:spacing w:val="40"/>
        </w:rPr>
        <w:t> </w:t>
      </w:r>
      <w:r>
        <w:rPr/>
        <w:t>Fac.</w:t>
      </w:r>
      <w:r>
        <w:rPr>
          <w:spacing w:val="40"/>
        </w:rPr>
        <w:t> </w:t>
      </w:r>
      <w:r>
        <w:rPr/>
        <w:t>of</w:t>
      </w:r>
      <w:r>
        <w:rPr>
          <w:spacing w:val="40"/>
        </w:rPr>
        <w:t> </w:t>
      </w:r>
      <w:r>
        <w:rPr/>
        <w:t>Education,</w:t>
      </w:r>
      <w:r>
        <w:rPr>
          <w:spacing w:val="40"/>
        </w:rPr>
        <w:t> </w:t>
      </w:r>
      <w:r>
        <w:rPr/>
        <w:t>A.B.U.,</w:t>
      </w:r>
      <w:r>
        <w:rPr>
          <w:spacing w:val="40"/>
        </w:rPr>
        <w:t> </w:t>
      </w:r>
      <w:r>
        <w:rPr/>
        <w:t>Zaria.</w:t>
        <w:tab/>
      </w:r>
      <w:r>
        <w:rPr>
          <w:u w:val="single"/>
        </w:rPr>
        <w:t>In</w:t>
      </w:r>
      <w:r>
        <w:rPr>
          <w:spacing w:val="40"/>
        </w:rPr>
        <w:t> </w:t>
      </w:r>
      <w:r>
        <w:rPr/>
        <w:t>Bello,</w:t>
      </w:r>
      <w:r>
        <w:rPr>
          <w:spacing w:val="40"/>
        </w:rPr>
        <w:t> </w:t>
      </w:r>
      <w:r>
        <w:rPr/>
        <w:t>J.Y</w:t>
      </w:r>
      <w:r>
        <w:rPr>
          <w:spacing w:val="40"/>
        </w:rPr>
        <w:t> </w:t>
      </w:r>
      <w:r>
        <w:rPr/>
        <w:t>(1983).</w:t>
        <w:tab/>
        <w:tab/>
      </w:r>
      <w:r>
        <w:rPr>
          <w:spacing w:val="-4"/>
        </w:rPr>
        <w:t>The </w:t>
      </w:r>
      <w:r>
        <w:rPr/>
        <w:t>identification</w:t>
      </w:r>
      <w:r>
        <w:rPr>
          <w:spacing w:val="40"/>
        </w:rPr>
        <w:t> </w:t>
      </w:r>
      <w:r>
        <w:rPr/>
        <w:t>of</w:t>
      </w:r>
      <w:r>
        <w:rPr>
          <w:spacing w:val="40"/>
        </w:rPr>
        <w:t> </w:t>
      </w:r>
      <w:r>
        <w:rPr/>
        <w:t>problems</w:t>
      </w:r>
      <w:r>
        <w:rPr>
          <w:spacing w:val="40"/>
        </w:rPr>
        <w:t> </w:t>
      </w:r>
      <w:r>
        <w:rPr/>
        <w:t>facing</w:t>
      </w:r>
      <w:r>
        <w:rPr>
          <w:spacing w:val="40"/>
        </w:rPr>
        <w:t> </w:t>
      </w:r>
      <w:r>
        <w:rPr/>
        <w:t>students</w:t>
      </w:r>
      <w:r>
        <w:rPr>
          <w:spacing w:val="40"/>
        </w:rPr>
        <w:t> </w:t>
      </w:r>
      <w:r>
        <w:rPr/>
        <w:t>in</w:t>
      </w:r>
      <w:r>
        <w:rPr>
          <w:spacing w:val="40"/>
        </w:rPr>
        <w:t> </w:t>
      </w:r>
      <w:r>
        <w:rPr/>
        <w:t>Advanced</w:t>
      </w:r>
      <w:r>
        <w:rPr>
          <w:spacing w:val="40"/>
        </w:rPr>
        <w:t> </w:t>
      </w:r>
      <w:r>
        <w:rPr/>
        <w:t>Teachers</w:t>
      </w:r>
      <w:r>
        <w:rPr>
          <w:spacing w:val="40"/>
        </w:rPr>
        <w:t> </w:t>
      </w:r>
      <w:r>
        <w:rPr/>
        <w:t>Colleges</w:t>
      </w:r>
      <w:r>
        <w:rPr>
          <w:spacing w:val="40"/>
        </w:rPr>
        <w:t> </w:t>
      </w:r>
      <w:r>
        <w:rPr/>
        <w:t>in Nigeria, Ph.D. Thesis, Faculty of Education, A.B.U., Zaria, pp. 38 – 40.</w:t>
      </w:r>
    </w:p>
    <w:p>
      <w:pPr>
        <w:pStyle w:val="BodyText"/>
        <w:spacing w:before="3"/>
      </w:pPr>
    </w:p>
    <w:p>
      <w:pPr>
        <w:pStyle w:val="BodyText"/>
        <w:spacing w:line="237" w:lineRule="auto"/>
        <w:ind w:left="940" w:hanging="360"/>
      </w:pPr>
      <w:r>
        <w:rPr/>
        <w:t>August,</w:t>
      </w:r>
      <w:r>
        <w:rPr>
          <w:spacing w:val="-7"/>
        </w:rPr>
        <w:t> </w:t>
      </w:r>
      <w:r>
        <w:rPr/>
        <w:t>W.</w:t>
      </w:r>
      <w:r>
        <w:rPr>
          <w:spacing w:val="-7"/>
        </w:rPr>
        <w:t> </w:t>
      </w:r>
      <w:r>
        <w:rPr/>
        <w:t>Smith</w:t>
      </w:r>
      <w:r>
        <w:rPr>
          <w:spacing w:val="-2"/>
        </w:rPr>
        <w:t> </w:t>
      </w:r>
      <w:r>
        <w:rPr/>
        <w:t>(1982).</w:t>
      </w:r>
      <w:r>
        <w:rPr>
          <w:spacing w:val="40"/>
        </w:rPr>
        <w:t> </w:t>
      </w:r>
      <w:r>
        <w:rPr>
          <w:u w:val="single"/>
        </w:rPr>
        <w:t>Management</w:t>
      </w:r>
      <w:r>
        <w:rPr>
          <w:spacing w:val="-3"/>
          <w:u w:val="single"/>
        </w:rPr>
        <w:t> </w:t>
      </w:r>
      <w:r>
        <w:rPr>
          <w:u w:val="single"/>
        </w:rPr>
        <w:t>Systems</w:t>
      </w:r>
      <w:r>
        <w:rPr>
          <w:spacing w:val="-3"/>
          <w:u w:val="single"/>
        </w:rPr>
        <w:t> </w:t>
      </w:r>
      <w:r>
        <w:rPr>
          <w:u w:val="single"/>
        </w:rPr>
        <w:t>Analysis</w:t>
      </w:r>
      <w:r>
        <w:rPr>
          <w:spacing w:val="-8"/>
          <w:u w:val="single"/>
        </w:rPr>
        <w:t> </w:t>
      </w:r>
      <w:r>
        <w:rPr>
          <w:u w:val="single"/>
        </w:rPr>
        <w:t>and</w:t>
      </w:r>
      <w:r>
        <w:rPr>
          <w:spacing w:val="-2"/>
          <w:u w:val="single"/>
        </w:rPr>
        <w:t> </w:t>
      </w:r>
      <w:r>
        <w:rPr>
          <w:u w:val="single"/>
        </w:rPr>
        <w:t>Application</w:t>
      </w:r>
      <w:r>
        <w:rPr/>
        <w:t>.</w:t>
      </w:r>
      <w:r>
        <w:rPr>
          <w:spacing w:val="-3"/>
        </w:rPr>
        <w:t> </w:t>
      </w:r>
      <w:r>
        <w:rPr/>
        <w:t>Dryden press, Japan &amp; CBS College pub, 1982 New York.</w:t>
      </w:r>
    </w:p>
    <w:p>
      <w:pPr>
        <w:pStyle w:val="BodyText"/>
        <w:spacing w:line="550" w:lineRule="atLeast" w:before="3"/>
        <w:ind w:left="580"/>
      </w:pPr>
      <w:r>
        <w:rPr/>
        <w:t>Baba,</w:t>
      </w:r>
      <w:r>
        <w:rPr>
          <w:spacing w:val="-1"/>
        </w:rPr>
        <w:t> </w:t>
      </w:r>
      <w:r>
        <w:rPr/>
        <w:t>M.</w:t>
      </w:r>
      <w:r>
        <w:rPr>
          <w:spacing w:val="-1"/>
        </w:rPr>
        <w:t> </w:t>
      </w:r>
      <w:r>
        <w:rPr/>
        <w:t>(1975).</w:t>
      </w:r>
      <w:r>
        <w:rPr>
          <w:spacing w:val="40"/>
        </w:rPr>
        <w:t> </w:t>
      </w:r>
      <w:r>
        <w:rPr/>
        <w:t>‘In defence</w:t>
      </w:r>
      <w:r>
        <w:rPr>
          <w:spacing w:val="-4"/>
        </w:rPr>
        <w:t> </w:t>
      </w:r>
      <w:r>
        <w:rPr/>
        <w:t>of</w:t>
      </w:r>
      <w:r>
        <w:rPr>
          <w:spacing w:val="-1"/>
        </w:rPr>
        <w:t> </w:t>
      </w:r>
      <w:r>
        <w:rPr/>
        <w:t>students</w:t>
      </w:r>
      <w:r>
        <w:rPr>
          <w:spacing w:val="-1"/>
        </w:rPr>
        <w:t> </w:t>
      </w:r>
      <w:r>
        <w:rPr/>
        <w:t>unrest.’</w:t>
      </w:r>
      <w:r>
        <w:rPr>
          <w:spacing w:val="40"/>
        </w:rPr>
        <w:t> </w:t>
      </w:r>
      <w:r>
        <w:rPr>
          <w:u w:val="single"/>
        </w:rPr>
        <w:t>New</w:t>
      </w:r>
      <w:r>
        <w:rPr>
          <w:spacing w:val="-6"/>
          <w:u w:val="single"/>
        </w:rPr>
        <w:t> </w:t>
      </w:r>
      <w:r>
        <w:rPr>
          <w:u w:val="single"/>
        </w:rPr>
        <w:t>Nigerian</w:t>
      </w:r>
      <w:r>
        <w:rPr/>
        <w:t> April</w:t>
      </w:r>
      <w:r>
        <w:rPr>
          <w:spacing w:val="-1"/>
        </w:rPr>
        <w:t> </w:t>
      </w:r>
      <w:r>
        <w:rPr/>
        <w:t>11,</w:t>
      </w:r>
      <w:r>
        <w:rPr>
          <w:spacing w:val="-1"/>
        </w:rPr>
        <w:t> </w:t>
      </w:r>
      <w:r>
        <w:rPr/>
        <w:t>1975,</w:t>
      </w:r>
      <w:r>
        <w:rPr>
          <w:spacing w:val="-1"/>
        </w:rPr>
        <w:t> </w:t>
      </w:r>
      <w:r>
        <w:rPr/>
        <w:t>p4. Baba,</w:t>
      </w:r>
      <w:r>
        <w:rPr>
          <w:spacing w:val="-6"/>
        </w:rPr>
        <w:t> </w:t>
      </w:r>
      <w:r>
        <w:rPr/>
        <w:t>J.M.</w:t>
      </w:r>
      <w:r>
        <w:rPr>
          <w:spacing w:val="-6"/>
        </w:rPr>
        <w:t> </w:t>
      </w:r>
      <w:r>
        <w:rPr/>
        <w:t>(1989).</w:t>
      </w:r>
      <w:r>
        <w:rPr>
          <w:spacing w:val="56"/>
        </w:rPr>
        <w:t> </w:t>
      </w:r>
      <w:r>
        <w:rPr/>
        <w:t>The</w:t>
      </w:r>
      <w:r>
        <w:rPr>
          <w:spacing w:val="-5"/>
        </w:rPr>
        <w:t> </w:t>
      </w:r>
      <w:r>
        <w:rPr/>
        <w:t>Physical</w:t>
      </w:r>
      <w:r>
        <w:rPr>
          <w:spacing w:val="-2"/>
        </w:rPr>
        <w:t> </w:t>
      </w:r>
      <w:r>
        <w:rPr/>
        <w:t>Development</w:t>
      </w:r>
      <w:r>
        <w:rPr>
          <w:spacing w:val="-5"/>
        </w:rPr>
        <w:t> </w:t>
      </w:r>
      <w:r>
        <w:rPr/>
        <w:t>of</w:t>
      </w:r>
      <w:r>
        <w:rPr>
          <w:spacing w:val="-6"/>
        </w:rPr>
        <w:t> </w:t>
      </w:r>
      <w:r>
        <w:rPr/>
        <w:t>A.B.U</w:t>
      </w:r>
      <w:r>
        <w:rPr>
          <w:spacing w:val="-6"/>
        </w:rPr>
        <w:t> </w:t>
      </w:r>
      <w:r>
        <w:rPr/>
        <w:t>1962</w:t>
      </w:r>
      <w:r>
        <w:rPr>
          <w:spacing w:val="-4"/>
        </w:rPr>
        <w:t> </w:t>
      </w:r>
      <w:r>
        <w:rPr/>
        <w:t>–</w:t>
      </w:r>
      <w:r>
        <w:rPr>
          <w:spacing w:val="-10"/>
        </w:rPr>
        <w:t> </w:t>
      </w:r>
      <w:r>
        <w:rPr/>
        <w:t>1987.</w:t>
      </w:r>
      <w:r>
        <w:rPr>
          <w:spacing w:val="51"/>
        </w:rPr>
        <w:t> </w:t>
      </w:r>
      <w:r>
        <w:rPr>
          <w:u w:val="single"/>
        </w:rPr>
        <w:t>In</w:t>
      </w:r>
      <w:r>
        <w:rPr>
          <w:spacing w:val="-4"/>
          <w:u w:val="single"/>
        </w:rPr>
        <w:t> </w:t>
      </w:r>
      <w:r>
        <w:rPr>
          <w:u w:val="single"/>
        </w:rPr>
        <w:t>History</w:t>
      </w:r>
      <w:r>
        <w:rPr>
          <w:spacing w:val="-11"/>
          <w:u w:val="single"/>
        </w:rPr>
        <w:t> </w:t>
      </w:r>
      <w:r>
        <w:rPr>
          <w:spacing w:val="-5"/>
          <w:u w:val="single"/>
        </w:rPr>
        <w:t>of</w:t>
      </w:r>
    </w:p>
    <w:p>
      <w:pPr>
        <w:pStyle w:val="BodyText"/>
        <w:spacing w:before="4"/>
        <w:ind w:left="940"/>
      </w:pPr>
      <w:r>
        <w:rPr>
          <w:u w:val="single"/>
        </w:rPr>
        <w:t>Ahmadu</w:t>
      </w:r>
      <w:r>
        <w:rPr>
          <w:spacing w:val="-5"/>
          <w:u w:val="single"/>
        </w:rPr>
        <w:t> </w:t>
      </w:r>
      <w:r>
        <w:rPr>
          <w:u w:val="single"/>
        </w:rPr>
        <w:t>Bello</w:t>
      </w:r>
      <w:r>
        <w:rPr>
          <w:spacing w:val="-5"/>
          <w:u w:val="single"/>
        </w:rPr>
        <w:t> </w:t>
      </w:r>
      <w:r>
        <w:rPr>
          <w:u w:val="single"/>
        </w:rPr>
        <w:t>University</w:t>
      </w:r>
      <w:r>
        <w:rPr/>
        <w:t>.</w:t>
      </w:r>
      <w:r>
        <w:rPr>
          <w:spacing w:val="55"/>
        </w:rPr>
        <w:t> </w:t>
      </w:r>
      <w:r>
        <w:rPr/>
        <w:t>Pp</w:t>
      </w:r>
      <w:r>
        <w:rPr>
          <w:spacing w:val="-5"/>
        </w:rPr>
        <w:t> </w:t>
      </w:r>
      <w:r>
        <w:rPr/>
        <w:t>220</w:t>
      </w:r>
      <w:r>
        <w:rPr>
          <w:spacing w:val="-9"/>
        </w:rPr>
        <w:t> </w:t>
      </w:r>
      <w:r>
        <w:rPr/>
        <w:t>–</w:t>
      </w:r>
      <w:r>
        <w:rPr>
          <w:spacing w:val="-4"/>
        </w:rPr>
        <w:t> </w:t>
      </w:r>
      <w:r>
        <w:rPr/>
        <w:t>239,</w:t>
      </w:r>
      <w:r>
        <w:rPr>
          <w:spacing w:val="-10"/>
        </w:rPr>
        <w:t> </w:t>
      </w:r>
      <w:r>
        <w:rPr/>
        <w:t>ABU</w:t>
      </w:r>
      <w:r>
        <w:rPr>
          <w:spacing w:val="-6"/>
        </w:rPr>
        <w:t> </w:t>
      </w:r>
      <w:r>
        <w:rPr/>
        <w:t>Press,</w:t>
      </w:r>
      <w:r>
        <w:rPr>
          <w:spacing w:val="-6"/>
        </w:rPr>
        <w:t> </w:t>
      </w:r>
      <w:r>
        <w:rPr>
          <w:spacing w:val="-2"/>
        </w:rPr>
        <w:t>Zaria.</w:t>
      </w:r>
    </w:p>
    <w:p>
      <w:pPr>
        <w:pStyle w:val="BodyText"/>
        <w:spacing w:before="2"/>
      </w:pPr>
    </w:p>
    <w:p>
      <w:pPr>
        <w:pStyle w:val="BodyText"/>
        <w:spacing w:line="237" w:lineRule="auto"/>
        <w:ind w:left="940" w:right="301" w:hanging="360"/>
      </w:pPr>
      <w:r>
        <w:rPr/>
        <w:t>Bajoga,</w:t>
      </w:r>
      <w:r>
        <w:rPr>
          <w:spacing w:val="-3"/>
        </w:rPr>
        <w:t> </w:t>
      </w:r>
      <w:r>
        <w:rPr/>
        <w:t>M.</w:t>
      </w:r>
      <w:r>
        <w:rPr>
          <w:spacing w:val="-4"/>
        </w:rPr>
        <w:t> </w:t>
      </w:r>
      <w:r>
        <w:rPr/>
        <w:t>(1984).</w:t>
      </w:r>
      <w:r>
        <w:rPr>
          <w:spacing w:val="40"/>
        </w:rPr>
        <w:t> </w:t>
      </w:r>
      <w:r>
        <w:rPr/>
        <w:t>Report</w:t>
      </w:r>
      <w:r>
        <w:rPr>
          <w:spacing w:val="-3"/>
        </w:rPr>
        <w:t> </w:t>
      </w:r>
      <w:r>
        <w:rPr/>
        <w:t>of</w:t>
      </w:r>
      <w:r>
        <w:rPr>
          <w:spacing w:val="-4"/>
        </w:rPr>
        <w:t> </w:t>
      </w:r>
      <w:r>
        <w:rPr/>
        <w:t>Council/Senate</w:t>
      </w:r>
      <w:r>
        <w:rPr>
          <w:spacing w:val="-6"/>
        </w:rPr>
        <w:t> </w:t>
      </w:r>
      <w:r>
        <w:rPr/>
        <w:t>Committee</w:t>
      </w:r>
      <w:r>
        <w:rPr>
          <w:spacing w:val="-3"/>
        </w:rPr>
        <w:t> </w:t>
      </w:r>
      <w:r>
        <w:rPr/>
        <w:t>on</w:t>
      </w:r>
      <w:r>
        <w:rPr>
          <w:spacing w:val="-3"/>
        </w:rPr>
        <w:t> </w:t>
      </w:r>
      <w:r>
        <w:rPr/>
        <w:t>University</w:t>
      </w:r>
      <w:r>
        <w:rPr>
          <w:spacing w:val="-8"/>
        </w:rPr>
        <w:t> </w:t>
      </w:r>
      <w:r>
        <w:rPr/>
        <w:t>Finances, Vol.I, Ahmadu Bello University, Zaria.</w:t>
      </w:r>
    </w:p>
    <w:p>
      <w:pPr>
        <w:pStyle w:val="BodyText"/>
        <w:spacing w:before="1"/>
      </w:pPr>
    </w:p>
    <w:p>
      <w:pPr>
        <w:pStyle w:val="BodyText"/>
        <w:tabs>
          <w:tab w:pos="3896" w:val="left" w:leader="none"/>
          <w:tab w:pos="6328" w:val="left" w:leader="none"/>
        </w:tabs>
        <w:ind w:left="940" w:right="294" w:hanging="360"/>
      </w:pPr>
      <w:r>
        <w:rPr/>
        <w:t>Bakare, C.G.M. and Majasan, J.A. (1974).</w:t>
      </w:r>
      <w:r>
        <w:rPr>
          <w:spacing w:val="40"/>
        </w:rPr>
        <w:t> </w:t>
      </w:r>
      <w:r>
        <w:rPr/>
        <w:t>“The Predictive validity of Ibadan University Entry Qualifications.”</w:t>
      </w:r>
      <w:r>
        <w:rPr>
          <w:spacing w:val="80"/>
        </w:rPr>
        <w:t> </w:t>
      </w:r>
      <w:r>
        <w:rPr>
          <w:u w:val="single"/>
        </w:rPr>
        <w:t>African Journal of Educational Research</w:t>
      </w:r>
      <w:r>
        <w:rPr/>
        <w:t>, Vol. I No</w:t>
      </w:r>
      <w:r>
        <w:rPr>
          <w:spacing w:val="40"/>
        </w:rPr>
        <w:t> </w:t>
      </w:r>
      <w:r>
        <w:rPr/>
        <w:t>1,</w:t>
      </w:r>
      <w:r>
        <w:rPr>
          <w:spacing w:val="40"/>
        </w:rPr>
        <w:t> </w:t>
      </w:r>
      <w:r>
        <w:rPr/>
        <w:t>1974, pp</w:t>
      </w:r>
      <w:r>
        <w:rPr>
          <w:spacing w:val="40"/>
        </w:rPr>
        <w:t> </w:t>
      </w:r>
      <w:r>
        <w:rPr/>
        <w:t>61</w:t>
      </w:r>
      <w:r>
        <w:rPr>
          <w:spacing w:val="40"/>
        </w:rPr>
        <w:t> </w:t>
      </w:r>
      <w:r>
        <w:rPr/>
        <w:t>– 70.</w:t>
        <w:tab/>
        <w:t>In</w:t>
      </w:r>
      <w:r>
        <w:rPr>
          <w:spacing w:val="40"/>
        </w:rPr>
        <w:t> </w:t>
      </w:r>
      <w:r>
        <w:rPr/>
        <w:t>Bello</w:t>
      </w:r>
      <w:r>
        <w:rPr>
          <w:spacing w:val="40"/>
        </w:rPr>
        <w:t> </w:t>
      </w:r>
      <w:r>
        <w:rPr/>
        <w:t>J.Y.</w:t>
      </w:r>
      <w:r>
        <w:rPr>
          <w:spacing w:val="40"/>
        </w:rPr>
        <w:t> </w:t>
      </w:r>
      <w:r>
        <w:rPr/>
        <w:t>(1983).</w:t>
        <w:tab/>
        <w:t>The</w:t>
      </w:r>
      <w:r>
        <w:rPr>
          <w:spacing w:val="27"/>
        </w:rPr>
        <w:t> </w:t>
      </w:r>
      <w:r>
        <w:rPr/>
        <w:t>identification</w:t>
      </w:r>
      <w:r>
        <w:rPr>
          <w:spacing w:val="27"/>
        </w:rPr>
        <w:t> </w:t>
      </w:r>
      <w:r>
        <w:rPr/>
        <w:t>of</w:t>
      </w:r>
      <w:r>
        <w:rPr>
          <w:spacing w:val="27"/>
        </w:rPr>
        <w:t> </w:t>
      </w:r>
      <w:r>
        <w:rPr/>
        <w:t>problems facing students</w:t>
      </w:r>
      <w:r>
        <w:rPr>
          <w:spacing w:val="-1"/>
        </w:rPr>
        <w:t> </w:t>
      </w:r>
      <w:r>
        <w:rPr/>
        <w:t>in Advanced Teachers Colleges in Nigeria, Ph.D. Thesis, Faculty of Education, A.B.U., Zaria p. 3.</w:t>
      </w:r>
    </w:p>
    <w:p>
      <w:pPr>
        <w:pStyle w:val="BodyText"/>
      </w:pPr>
    </w:p>
    <w:p>
      <w:pPr>
        <w:pStyle w:val="BodyText"/>
        <w:tabs>
          <w:tab w:pos="6973" w:val="left" w:leader="none"/>
        </w:tabs>
        <w:spacing w:before="1"/>
        <w:ind w:left="940" w:right="301" w:hanging="360"/>
      </w:pPr>
      <w:r>
        <w:rPr/>
        <w:t>Bakare, C.G.M (1970).</w:t>
      </w:r>
      <w:r>
        <w:rPr>
          <w:spacing w:val="40"/>
        </w:rPr>
        <w:t> </w:t>
      </w:r>
      <w:r>
        <w:rPr>
          <w:u w:val="single"/>
        </w:rPr>
        <w:t>Students Problem Inventory</w:t>
      </w:r>
      <w:r>
        <w:rPr/>
        <w:t>.</w:t>
      </w:r>
      <w:r>
        <w:rPr>
          <w:spacing w:val="40"/>
        </w:rPr>
        <w:t> </w:t>
      </w:r>
      <w:r>
        <w:rPr/>
        <w:t>(SPI), University of Ibadan Press, 1970, Ibadan.</w:t>
      </w:r>
      <w:r>
        <w:rPr>
          <w:spacing w:val="40"/>
        </w:rPr>
        <w:t> </w:t>
      </w:r>
      <w:r>
        <w:rPr>
          <w:u w:val="single"/>
        </w:rPr>
        <w:t>In</w:t>
      </w:r>
      <w:r>
        <w:rPr/>
        <w:t> Bello, J.Y (1983).</w:t>
      </w:r>
      <w:r>
        <w:rPr>
          <w:spacing w:val="40"/>
        </w:rPr>
        <w:t> </w:t>
      </w:r>
      <w:r>
        <w:rPr/>
        <w:t>The Identification of Problems Facing Students</w:t>
      </w:r>
      <w:r>
        <w:rPr>
          <w:spacing w:val="40"/>
        </w:rPr>
        <w:t> </w:t>
      </w:r>
      <w:r>
        <w:rPr/>
        <w:t>of</w:t>
      </w:r>
      <w:r>
        <w:rPr>
          <w:spacing w:val="40"/>
        </w:rPr>
        <w:t> </w:t>
      </w:r>
      <w:r>
        <w:rPr/>
        <w:t>Advanced</w:t>
      </w:r>
      <w:r>
        <w:rPr>
          <w:spacing w:val="40"/>
        </w:rPr>
        <w:t> </w:t>
      </w:r>
      <w:r>
        <w:rPr/>
        <w:t>Teachers</w:t>
      </w:r>
      <w:r>
        <w:rPr>
          <w:spacing w:val="40"/>
        </w:rPr>
        <w:t> </w:t>
      </w:r>
      <w:r>
        <w:rPr/>
        <w:t>Colleges</w:t>
      </w:r>
      <w:r>
        <w:rPr>
          <w:spacing w:val="40"/>
        </w:rPr>
        <w:t> </w:t>
      </w:r>
      <w:r>
        <w:rPr/>
        <w:t>in</w:t>
      </w:r>
      <w:r>
        <w:rPr>
          <w:spacing w:val="40"/>
        </w:rPr>
        <w:t> </w:t>
      </w:r>
      <w:r>
        <w:rPr/>
        <w:t>Nigeria.</w:t>
        <w:tab/>
        <w:t>Ph.D</w:t>
      </w:r>
      <w:r>
        <w:rPr>
          <w:spacing w:val="31"/>
        </w:rPr>
        <w:t> </w:t>
      </w:r>
      <w:r>
        <w:rPr/>
        <w:t>Thesis,</w:t>
      </w:r>
      <w:r>
        <w:rPr>
          <w:spacing w:val="27"/>
        </w:rPr>
        <w:t> </w:t>
      </w:r>
      <w:r>
        <w:rPr/>
        <w:t>Faculty</w:t>
      </w:r>
      <w:r>
        <w:rPr>
          <w:spacing w:val="27"/>
        </w:rPr>
        <w:t> </w:t>
      </w:r>
      <w:r>
        <w:rPr/>
        <w:t>of Education, ABU., Zaria. p. 50</w:t>
      </w:r>
    </w:p>
    <w:p>
      <w:pPr>
        <w:pStyle w:val="BodyText"/>
        <w:spacing w:before="4"/>
      </w:pPr>
    </w:p>
    <w:p>
      <w:pPr>
        <w:pStyle w:val="BodyText"/>
        <w:tabs>
          <w:tab w:pos="8139" w:val="left" w:leader="none"/>
        </w:tabs>
        <w:spacing w:line="237" w:lineRule="auto"/>
        <w:ind w:left="940" w:right="568" w:hanging="360"/>
      </w:pPr>
      <w:r>
        <w:rPr/>
        <w:t>Bala, U. (1979).</w:t>
      </w:r>
      <w:r>
        <w:rPr>
          <w:spacing w:val="40"/>
        </w:rPr>
        <w:t> </w:t>
      </w:r>
      <w:r>
        <w:rPr/>
        <w:t>‘Actual roots of indiscipline,’ </w:t>
      </w:r>
      <w:r>
        <w:rPr>
          <w:u w:val="single"/>
        </w:rPr>
        <w:t>New Nigerian</w:t>
      </w:r>
      <w:r>
        <w:rPr/>
        <w:t> Thursday</w:t>
        <w:tab/>
      </w:r>
      <w:r>
        <w:rPr>
          <w:spacing w:val="-2"/>
        </w:rPr>
        <w:t>September </w:t>
      </w:r>
      <w:r>
        <w:rPr/>
        <w:t>1979, p. 136.</w:t>
      </w:r>
    </w:p>
    <w:p>
      <w:pPr>
        <w:pStyle w:val="BodyText"/>
        <w:spacing w:before="1"/>
      </w:pPr>
    </w:p>
    <w:p>
      <w:pPr>
        <w:pStyle w:val="BodyText"/>
        <w:spacing w:line="242" w:lineRule="auto"/>
        <w:ind w:left="940" w:right="863" w:hanging="360"/>
      </w:pPr>
      <w:r>
        <w:rPr/>
        <w:t>Bamigboye,</w:t>
      </w:r>
      <w:r>
        <w:rPr>
          <w:spacing w:val="-8"/>
        </w:rPr>
        <w:t> </w:t>
      </w:r>
      <w:r>
        <w:rPr/>
        <w:t>T.S</w:t>
      </w:r>
      <w:r>
        <w:rPr>
          <w:spacing w:val="-5"/>
        </w:rPr>
        <w:t> </w:t>
      </w:r>
      <w:r>
        <w:rPr/>
        <w:t>(1979).</w:t>
      </w:r>
      <w:r>
        <w:rPr>
          <w:spacing w:val="40"/>
        </w:rPr>
        <w:t> </w:t>
      </w:r>
      <w:r>
        <w:rPr>
          <w:u w:val="single"/>
        </w:rPr>
        <w:t>Adolescence</w:t>
      </w:r>
      <w:r>
        <w:rPr>
          <w:spacing w:val="-3"/>
          <w:u w:val="single"/>
        </w:rPr>
        <w:t> </w:t>
      </w:r>
      <w:r>
        <w:rPr>
          <w:u w:val="single"/>
        </w:rPr>
        <w:t>School</w:t>
      </w:r>
      <w:r>
        <w:rPr>
          <w:spacing w:val="-4"/>
          <w:u w:val="single"/>
        </w:rPr>
        <w:t> </w:t>
      </w:r>
      <w:r>
        <w:rPr>
          <w:u w:val="single"/>
        </w:rPr>
        <w:t>Problem</w:t>
      </w:r>
      <w:r>
        <w:rPr>
          <w:spacing w:val="-11"/>
          <w:u w:val="single"/>
        </w:rPr>
        <w:t> </w:t>
      </w:r>
      <w:r>
        <w:rPr>
          <w:u w:val="single"/>
        </w:rPr>
        <w:t>and</w:t>
      </w:r>
      <w:r>
        <w:rPr>
          <w:spacing w:val="-3"/>
          <w:u w:val="single"/>
        </w:rPr>
        <w:t> </w:t>
      </w:r>
      <w:r>
        <w:rPr>
          <w:u w:val="single"/>
        </w:rPr>
        <w:t>Remedy</w:t>
      </w:r>
      <w:r>
        <w:rPr/>
        <w:t>.</w:t>
      </w:r>
      <w:r>
        <w:rPr>
          <w:spacing w:val="40"/>
        </w:rPr>
        <w:t> </w:t>
      </w:r>
      <w:r>
        <w:rPr/>
        <w:t>Omoyemi Press Bida 1979, Nigeria.</w:t>
      </w:r>
    </w:p>
    <w:p>
      <w:pPr>
        <w:pStyle w:val="BodyText"/>
        <w:spacing w:before="273"/>
        <w:ind w:left="940" w:right="297" w:hanging="360"/>
        <w:jc w:val="both"/>
      </w:pPr>
      <w:r>
        <w:rPr/>
        <w:t>Barnard, C.I. (1940).</w:t>
      </w:r>
      <w:r>
        <w:rPr>
          <w:spacing w:val="40"/>
        </w:rPr>
        <w:t> </w:t>
      </w:r>
      <w:r>
        <w:rPr/>
        <w:t>Comments on the job of executive. Harward Business</w:t>
      </w:r>
      <w:r>
        <w:rPr>
          <w:spacing w:val="-4"/>
        </w:rPr>
        <w:t> </w:t>
      </w:r>
      <w:r>
        <w:rPr/>
        <w:t>Review. pp 148 – 160.</w:t>
      </w:r>
      <w:r>
        <w:rPr>
          <w:spacing w:val="40"/>
        </w:rPr>
        <w:t> </w:t>
      </w:r>
      <w:r>
        <w:rPr>
          <w:u w:val="single"/>
        </w:rPr>
        <w:t>In</w:t>
      </w:r>
      <w:r>
        <w:rPr/>
        <w:t> Musazi J.C.S. (1989)</w:t>
      </w:r>
      <w:r>
        <w:rPr>
          <w:spacing w:val="40"/>
        </w:rPr>
        <w:t> </w:t>
      </w:r>
      <w:r>
        <w:rPr/>
        <w:t>Theory of Educational Administration, Mainidlan Press, London pp 39 – 40.</w:t>
      </w:r>
    </w:p>
    <w:p>
      <w:pPr>
        <w:pStyle w:val="BodyText"/>
        <w:spacing w:before="2"/>
      </w:pPr>
    </w:p>
    <w:p>
      <w:pPr>
        <w:pStyle w:val="BodyText"/>
        <w:spacing w:line="237" w:lineRule="auto" w:before="1"/>
        <w:ind w:left="940" w:right="863" w:hanging="360"/>
      </w:pPr>
      <w:r>
        <w:rPr/>
        <w:t>Beit-Hallahmi,</w:t>
      </w:r>
      <w:r>
        <w:rPr>
          <w:spacing w:val="-3"/>
        </w:rPr>
        <w:t> </w:t>
      </w:r>
      <w:r>
        <w:rPr/>
        <w:t>B.</w:t>
      </w:r>
      <w:r>
        <w:rPr>
          <w:spacing w:val="-3"/>
        </w:rPr>
        <w:t> </w:t>
      </w:r>
      <w:r>
        <w:rPr/>
        <w:t>(1972).</w:t>
      </w:r>
      <w:r>
        <w:rPr>
          <w:spacing w:val="40"/>
        </w:rPr>
        <w:t> </w:t>
      </w:r>
      <w:r>
        <w:rPr/>
        <w:t>“Problem</w:t>
      </w:r>
      <w:r>
        <w:rPr>
          <w:spacing w:val="-10"/>
        </w:rPr>
        <w:t> </w:t>
      </w:r>
      <w:r>
        <w:rPr/>
        <w:t>Profile</w:t>
      </w:r>
      <w:r>
        <w:rPr>
          <w:spacing w:val="-6"/>
        </w:rPr>
        <w:t> </w:t>
      </w:r>
      <w:r>
        <w:rPr/>
        <w:t>of</w:t>
      </w:r>
      <w:r>
        <w:rPr>
          <w:spacing w:val="-6"/>
        </w:rPr>
        <w:t> </w:t>
      </w:r>
      <w:r>
        <w:rPr/>
        <w:t>University</w:t>
      </w:r>
      <w:r>
        <w:rPr>
          <w:spacing w:val="-3"/>
        </w:rPr>
        <w:t> </w:t>
      </w:r>
      <w:r>
        <w:rPr/>
        <w:t>Classmen.”</w:t>
      </w:r>
      <w:r>
        <w:rPr>
          <w:spacing w:val="40"/>
        </w:rPr>
        <w:t> </w:t>
      </w:r>
      <w:r>
        <w:rPr>
          <w:u w:val="single"/>
        </w:rPr>
        <w:t>College</w:t>
      </w:r>
      <w:r>
        <w:rPr/>
        <w:t> </w:t>
      </w:r>
      <w:r>
        <w:rPr>
          <w:u w:val="single"/>
        </w:rPr>
        <w:t>Student Journal</w:t>
      </w:r>
      <w:r>
        <w:rPr/>
        <w:t>.</w:t>
      </w:r>
      <w:r>
        <w:rPr>
          <w:spacing w:val="40"/>
        </w:rPr>
        <w:t> </w:t>
      </w:r>
      <w:r>
        <w:rPr/>
        <w:t>Vol. VI; April – May 1972, pp 124 – 130.</w:t>
      </w:r>
    </w:p>
    <w:p>
      <w:pPr>
        <w:pStyle w:val="BodyText"/>
      </w:pPr>
    </w:p>
    <w:p>
      <w:pPr>
        <w:pStyle w:val="BodyText"/>
        <w:spacing w:before="5"/>
      </w:pPr>
    </w:p>
    <w:p>
      <w:pPr>
        <w:pStyle w:val="BodyText"/>
        <w:spacing w:line="237" w:lineRule="auto"/>
        <w:ind w:left="940" w:right="386" w:hanging="360"/>
        <w:jc w:val="both"/>
      </w:pPr>
      <w:r>
        <w:rPr/>
        <w:t>Bello, J.Y. (1983).</w:t>
      </w:r>
      <w:r>
        <w:rPr>
          <w:spacing w:val="40"/>
        </w:rPr>
        <w:t> </w:t>
      </w:r>
      <w:r>
        <w:rPr/>
        <w:t>“The identification of problems facing students in Advanced Teachers</w:t>
      </w:r>
      <w:r>
        <w:rPr>
          <w:spacing w:val="-8"/>
        </w:rPr>
        <w:t> </w:t>
      </w:r>
      <w:r>
        <w:rPr/>
        <w:t>Colleges</w:t>
      </w:r>
      <w:r>
        <w:rPr>
          <w:spacing w:val="-12"/>
        </w:rPr>
        <w:t> </w:t>
      </w:r>
      <w:r>
        <w:rPr/>
        <w:t>in</w:t>
      </w:r>
      <w:r>
        <w:rPr>
          <w:spacing w:val="-11"/>
        </w:rPr>
        <w:t> </w:t>
      </w:r>
      <w:r>
        <w:rPr/>
        <w:t>Nigeria,”</w:t>
      </w:r>
      <w:r>
        <w:rPr>
          <w:spacing w:val="-6"/>
        </w:rPr>
        <w:t> </w:t>
      </w:r>
      <w:r>
        <w:rPr/>
        <w:t>Ph.D.</w:t>
      </w:r>
      <w:r>
        <w:rPr>
          <w:spacing w:val="-8"/>
        </w:rPr>
        <w:t> </w:t>
      </w:r>
      <w:r>
        <w:rPr/>
        <w:t>Thesis,</w:t>
      </w:r>
      <w:r>
        <w:rPr>
          <w:spacing w:val="-11"/>
        </w:rPr>
        <w:t> </w:t>
      </w:r>
      <w:r>
        <w:rPr/>
        <w:t>Faculty</w:t>
      </w:r>
      <w:r>
        <w:rPr>
          <w:spacing w:val="-8"/>
        </w:rPr>
        <w:t> </w:t>
      </w:r>
      <w:r>
        <w:rPr/>
        <w:t>of</w:t>
      </w:r>
      <w:r>
        <w:rPr>
          <w:spacing w:val="-8"/>
        </w:rPr>
        <w:t> </w:t>
      </w:r>
      <w:r>
        <w:rPr/>
        <w:t>Education,</w:t>
      </w:r>
      <w:r>
        <w:rPr>
          <w:spacing w:val="-7"/>
        </w:rPr>
        <w:t> </w:t>
      </w:r>
      <w:r>
        <w:rPr/>
        <w:t>A.B.U.,</w:t>
      </w:r>
      <w:r>
        <w:rPr>
          <w:spacing w:val="-8"/>
        </w:rPr>
        <w:t> </w:t>
      </w:r>
      <w:r>
        <w:rPr>
          <w:spacing w:val="-2"/>
        </w:rPr>
        <w:t>Zaria.</w:t>
      </w:r>
    </w:p>
    <w:p>
      <w:pPr>
        <w:spacing w:after="0" w:line="237" w:lineRule="auto"/>
        <w:jc w:val="both"/>
        <w:sectPr>
          <w:headerReference w:type="default" r:id="rId578"/>
          <w:footerReference w:type="default" r:id="rId579"/>
          <w:pgSz w:w="12240" w:h="15840"/>
          <w:pgMar w:header="722" w:footer="623" w:top="980" w:bottom="820" w:left="1220" w:right="1140"/>
        </w:sectPr>
      </w:pPr>
    </w:p>
    <w:p>
      <w:pPr>
        <w:pStyle w:val="BodyText"/>
        <w:spacing w:before="174"/>
      </w:pPr>
    </w:p>
    <w:p>
      <w:pPr>
        <w:pStyle w:val="BodyText"/>
        <w:spacing w:line="237" w:lineRule="auto"/>
        <w:ind w:left="940" w:right="863" w:hanging="360"/>
      </w:pPr>
      <w:r>
        <w:rPr/>
        <w:t>Benjamin,</w:t>
      </w:r>
      <w:r>
        <w:rPr>
          <w:spacing w:val="-2"/>
        </w:rPr>
        <w:t> </w:t>
      </w:r>
      <w:r>
        <w:rPr/>
        <w:t>M.</w:t>
      </w:r>
      <w:r>
        <w:rPr>
          <w:spacing w:val="-2"/>
        </w:rPr>
        <w:t> </w:t>
      </w:r>
      <w:r>
        <w:rPr/>
        <w:t>(1987).</w:t>
      </w:r>
      <w:r>
        <w:rPr>
          <w:spacing w:val="40"/>
        </w:rPr>
        <w:t> </w:t>
      </w:r>
      <w:r>
        <w:rPr/>
        <w:t>“Feeding</w:t>
      </w:r>
      <w:r>
        <w:rPr>
          <w:spacing w:val="-1"/>
        </w:rPr>
        <w:t> </w:t>
      </w:r>
      <w:r>
        <w:rPr/>
        <w:t>with</w:t>
      </w:r>
      <w:r>
        <w:rPr>
          <w:spacing w:val="-5"/>
        </w:rPr>
        <w:t> </w:t>
      </w:r>
      <w:r>
        <w:rPr/>
        <w:t>Tears;</w:t>
      </w:r>
      <w:r>
        <w:rPr>
          <w:spacing w:val="-2"/>
        </w:rPr>
        <w:t> </w:t>
      </w:r>
      <w:r>
        <w:rPr/>
        <w:t>Days</w:t>
      </w:r>
      <w:r>
        <w:rPr>
          <w:spacing w:val="-2"/>
        </w:rPr>
        <w:t> </w:t>
      </w:r>
      <w:r>
        <w:rPr/>
        <w:t>of</w:t>
      </w:r>
      <w:r>
        <w:rPr>
          <w:spacing w:val="-2"/>
        </w:rPr>
        <w:t> </w:t>
      </w:r>
      <w:r>
        <w:rPr/>
        <w:t>balanced</w:t>
      </w:r>
      <w:r>
        <w:rPr>
          <w:spacing w:val="-1"/>
        </w:rPr>
        <w:t> </w:t>
      </w:r>
      <w:r>
        <w:rPr/>
        <w:t>diet</w:t>
      </w:r>
      <w:r>
        <w:rPr>
          <w:spacing w:val="-6"/>
        </w:rPr>
        <w:t> </w:t>
      </w:r>
      <w:r>
        <w:rPr/>
        <w:t>is</w:t>
      </w:r>
      <w:r>
        <w:rPr>
          <w:spacing w:val="-7"/>
        </w:rPr>
        <w:t> </w:t>
      </w:r>
      <w:r>
        <w:rPr/>
        <w:t>over</w:t>
      </w:r>
      <w:r>
        <w:rPr>
          <w:spacing w:val="-5"/>
        </w:rPr>
        <w:t> </w:t>
      </w:r>
      <w:r>
        <w:rPr/>
        <w:t>in</w:t>
      </w:r>
      <w:r>
        <w:rPr>
          <w:spacing w:val="-5"/>
        </w:rPr>
        <w:t> </w:t>
      </w:r>
      <w:r>
        <w:rPr/>
        <w:t>our versities.”</w:t>
      </w:r>
      <w:r>
        <w:rPr>
          <w:spacing w:val="40"/>
        </w:rPr>
        <w:t> </w:t>
      </w:r>
      <w:r>
        <w:rPr>
          <w:u w:val="single"/>
        </w:rPr>
        <w:t>Sunday Times</w:t>
      </w:r>
      <w:r>
        <w:rPr/>
        <w:t> March 29, 1987, p. 8.</w:t>
      </w:r>
    </w:p>
    <w:p>
      <w:pPr>
        <w:pStyle w:val="BodyText"/>
      </w:pPr>
    </w:p>
    <w:p>
      <w:pPr>
        <w:pStyle w:val="BodyText"/>
        <w:spacing w:before="1"/>
        <w:ind w:left="940" w:right="299" w:hanging="360"/>
      </w:pPr>
      <w:r>
        <w:rPr/>
        <w:t>Boraas, J. (1917).</w:t>
      </w:r>
      <w:r>
        <w:rPr>
          <w:spacing w:val="80"/>
        </w:rPr>
        <w:t> </w:t>
      </w:r>
      <w:r>
        <w:rPr/>
        <w:t>The Trouble of College Freshmen.</w:t>
      </w:r>
      <w:r>
        <w:rPr>
          <w:spacing w:val="80"/>
        </w:rPr>
        <w:t> </w:t>
      </w:r>
      <w:r>
        <w:rPr/>
        <w:t>School of Societal Journal Vol. VI; October 1917 pp 491 – 494.</w:t>
      </w:r>
      <w:r>
        <w:rPr>
          <w:spacing w:val="80"/>
        </w:rPr>
        <w:t> </w:t>
      </w:r>
      <w:r>
        <w:rPr>
          <w:u w:val="single"/>
        </w:rPr>
        <w:t>In</w:t>
      </w:r>
      <w:r>
        <w:rPr/>
        <w:t> Bello J.Y. (1983).</w:t>
      </w:r>
      <w:r>
        <w:rPr>
          <w:spacing w:val="80"/>
        </w:rPr>
        <w:t> </w:t>
      </w:r>
      <w:r>
        <w:rPr/>
        <w:t>The identification of</w:t>
      </w:r>
      <w:r>
        <w:rPr>
          <w:spacing w:val="40"/>
        </w:rPr>
        <w:t> </w:t>
      </w:r>
      <w:r>
        <w:rPr/>
        <w:t>problems</w:t>
      </w:r>
      <w:r>
        <w:rPr>
          <w:spacing w:val="40"/>
        </w:rPr>
        <w:t> </w:t>
      </w:r>
      <w:r>
        <w:rPr/>
        <w:t>facing</w:t>
      </w:r>
      <w:r>
        <w:rPr>
          <w:spacing w:val="40"/>
        </w:rPr>
        <w:t> </w:t>
      </w:r>
      <w:r>
        <w:rPr/>
        <w:t>students</w:t>
      </w:r>
      <w:r>
        <w:rPr>
          <w:spacing w:val="40"/>
        </w:rPr>
        <w:t> </w:t>
      </w:r>
      <w:r>
        <w:rPr/>
        <w:t>in</w:t>
      </w:r>
      <w:r>
        <w:rPr>
          <w:spacing w:val="40"/>
        </w:rPr>
        <w:t> </w:t>
      </w:r>
      <w:r>
        <w:rPr/>
        <w:t>Advanced</w:t>
      </w:r>
      <w:r>
        <w:rPr>
          <w:spacing w:val="40"/>
        </w:rPr>
        <w:t> </w:t>
      </w:r>
      <w:r>
        <w:rPr/>
        <w:t>Teachers</w:t>
      </w:r>
      <w:r>
        <w:rPr>
          <w:spacing w:val="40"/>
        </w:rPr>
        <w:t> </w:t>
      </w:r>
      <w:r>
        <w:rPr/>
        <w:t>Colleges</w:t>
      </w:r>
      <w:r>
        <w:rPr>
          <w:spacing w:val="40"/>
        </w:rPr>
        <w:t> </w:t>
      </w:r>
      <w:r>
        <w:rPr/>
        <w:t>in</w:t>
      </w:r>
      <w:r>
        <w:rPr>
          <w:spacing w:val="40"/>
        </w:rPr>
        <w:t> </w:t>
      </w:r>
      <w:r>
        <w:rPr/>
        <w:t>Nigeria,</w:t>
      </w:r>
      <w:r>
        <w:rPr>
          <w:spacing w:val="40"/>
        </w:rPr>
        <w:t> </w:t>
      </w:r>
      <w:r>
        <w:rPr/>
        <w:t>Ph.D.</w:t>
      </w:r>
      <w:r>
        <w:rPr>
          <w:spacing w:val="80"/>
          <w:w w:val="150"/>
        </w:rPr>
        <w:t> </w:t>
      </w:r>
      <w:r>
        <w:rPr/>
        <w:t>Thesis, Faculty of Education, A.B.U., Zaria pp. 132.</w:t>
      </w:r>
    </w:p>
    <w:p>
      <w:pPr>
        <w:pStyle w:val="BodyText"/>
        <w:spacing w:before="4"/>
      </w:pPr>
    </w:p>
    <w:p>
      <w:pPr>
        <w:pStyle w:val="BodyText"/>
        <w:spacing w:line="237" w:lineRule="auto"/>
        <w:ind w:left="940" w:right="299" w:hanging="360"/>
      </w:pPr>
      <w:r>
        <w:rPr/>
        <w:t>Borg,</w:t>
      </w:r>
      <w:r>
        <w:rPr>
          <w:spacing w:val="-8"/>
        </w:rPr>
        <w:t> </w:t>
      </w:r>
      <w:r>
        <w:rPr/>
        <w:t>W.R.</w:t>
      </w:r>
      <w:r>
        <w:rPr>
          <w:spacing w:val="-4"/>
        </w:rPr>
        <w:t> </w:t>
      </w:r>
      <w:r>
        <w:rPr/>
        <w:t>and</w:t>
      </w:r>
      <w:r>
        <w:rPr>
          <w:spacing w:val="-3"/>
        </w:rPr>
        <w:t> </w:t>
      </w:r>
      <w:r>
        <w:rPr/>
        <w:t>Gall,</w:t>
      </w:r>
      <w:r>
        <w:rPr>
          <w:spacing w:val="-4"/>
        </w:rPr>
        <w:t> </w:t>
      </w:r>
      <w:r>
        <w:rPr/>
        <w:t>M.D</w:t>
      </w:r>
      <w:r>
        <w:rPr>
          <w:spacing w:val="-4"/>
        </w:rPr>
        <w:t> </w:t>
      </w:r>
      <w:r>
        <w:rPr/>
        <w:t>(1971).</w:t>
      </w:r>
      <w:r>
        <w:rPr>
          <w:spacing w:val="40"/>
        </w:rPr>
        <w:t> </w:t>
      </w:r>
      <w:r>
        <w:rPr>
          <w:u w:val="single"/>
        </w:rPr>
        <w:t>Educational Research</w:t>
      </w:r>
      <w:r>
        <w:rPr/>
        <w:t>:</w:t>
      </w:r>
      <w:r>
        <w:rPr>
          <w:spacing w:val="-3"/>
        </w:rPr>
        <w:t> </w:t>
      </w:r>
      <w:r>
        <w:rPr>
          <w:u w:val="single"/>
        </w:rPr>
        <w:t>An</w:t>
      </w:r>
      <w:r>
        <w:rPr>
          <w:spacing w:val="-3"/>
          <w:u w:val="single"/>
        </w:rPr>
        <w:t> </w:t>
      </w:r>
      <w:r>
        <w:rPr>
          <w:u w:val="single"/>
        </w:rPr>
        <w:t>Introduction</w:t>
      </w:r>
      <w:r>
        <w:rPr/>
        <w:t>,</w:t>
      </w:r>
      <w:r>
        <w:rPr>
          <w:spacing w:val="-4"/>
        </w:rPr>
        <w:t> </w:t>
      </w:r>
      <w:r>
        <w:rPr/>
        <w:t>David Mckay Company Inc., New York.</w:t>
      </w:r>
    </w:p>
    <w:p>
      <w:pPr>
        <w:pStyle w:val="BodyText"/>
        <w:spacing w:before="1"/>
      </w:pPr>
    </w:p>
    <w:p>
      <w:pPr>
        <w:pStyle w:val="BodyText"/>
        <w:spacing w:line="242" w:lineRule="auto"/>
        <w:ind w:left="940" w:right="863" w:hanging="360"/>
      </w:pPr>
      <w:r>
        <w:rPr/>
        <w:t>Bayero</w:t>
      </w:r>
      <w:r>
        <w:rPr>
          <w:spacing w:val="-3"/>
        </w:rPr>
        <w:t> </w:t>
      </w:r>
      <w:r>
        <w:rPr/>
        <w:t>University,</w:t>
      </w:r>
      <w:r>
        <w:rPr>
          <w:spacing w:val="-4"/>
        </w:rPr>
        <w:t> </w:t>
      </w:r>
      <w:r>
        <w:rPr/>
        <w:t>Kano.</w:t>
      </w:r>
      <w:r>
        <w:rPr>
          <w:spacing w:val="-4"/>
        </w:rPr>
        <w:t> </w:t>
      </w:r>
      <w:r>
        <w:rPr/>
        <w:t>(2004)</w:t>
      </w:r>
      <w:r>
        <w:rPr>
          <w:spacing w:val="-7"/>
        </w:rPr>
        <w:t> </w:t>
      </w:r>
      <w:r>
        <w:rPr>
          <w:u w:val="single"/>
        </w:rPr>
        <w:t>Revised</w:t>
      </w:r>
      <w:r>
        <w:rPr>
          <w:spacing w:val="-3"/>
          <w:u w:val="single"/>
        </w:rPr>
        <w:t> </w:t>
      </w:r>
      <w:r>
        <w:rPr>
          <w:u w:val="single"/>
        </w:rPr>
        <w:t>Students’</w:t>
      </w:r>
      <w:r>
        <w:rPr>
          <w:spacing w:val="-4"/>
          <w:u w:val="single"/>
        </w:rPr>
        <w:t> </w:t>
      </w:r>
      <w:r>
        <w:rPr>
          <w:u w:val="single"/>
        </w:rPr>
        <w:t>Handbook</w:t>
      </w:r>
      <w:r>
        <w:rPr/>
        <w:t>.</w:t>
      </w:r>
      <w:r>
        <w:rPr>
          <w:spacing w:val="-4"/>
        </w:rPr>
        <w:t> </w:t>
      </w:r>
      <w:r>
        <w:rPr/>
        <w:t>Students</w:t>
      </w:r>
      <w:r>
        <w:rPr>
          <w:spacing w:val="-9"/>
        </w:rPr>
        <w:t> </w:t>
      </w:r>
      <w:r>
        <w:rPr/>
        <w:t>Affairs Division, Bayero University, Kano.</w:t>
      </w:r>
    </w:p>
    <w:p>
      <w:pPr>
        <w:pStyle w:val="BodyText"/>
        <w:spacing w:line="237" w:lineRule="auto" w:before="276"/>
        <w:ind w:left="940" w:right="299" w:hanging="360"/>
      </w:pPr>
      <w:r>
        <w:rPr/>
        <w:t>Butler,</w:t>
      </w:r>
      <w:r>
        <w:rPr>
          <w:spacing w:val="-3"/>
        </w:rPr>
        <w:t> </w:t>
      </w:r>
      <w:r>
        <w:rPr/>
        <w:t>J.B.</w:t>
      </w:r>
      <w:r>
        <w:rPr>
          <w:spacing w:val="-3"/>
        </w:rPr>
        <w:t> </w:t>
      </w:r>
      <w:r>
        <w:rPr/>
        <w:t>(1959).</w:t>
      </w:r>
      <w:r>
        <w:rPr>
          <w:spacing w:val="40"/>
        </w:rPr>
        <w:t> </w:t>
      </w:r>
      <w:r>
        <w:rPr>
          <w:u w:val="single"/>
        </w:rPr>
        <w:t>Introduction</w:t>
      </w:r>
      <w:r>
        <w:rPr>
          <w:spacing w:val="-2"/>
          <w:u w:val="single"/>
        </w:rPr>
        <w:t> </w:t>
      </w:r>
      <w:r>
        <w:rPr>
          <w:u w:val="single"/>
        </w:rPr>
        <w:t>to</w:t>
      </w:r>
      <w:r>
        <w:rPr>
          <w:spacing w:val="-2"/>
          <w:u w:val="single"/>
        </w:rPr>
        <w:t> </w:t>
      </w:r>
      <w:r>
        <w:rPr>
          <w:u w:val="single"/>
        </w:rPr>
        <w:t>Community</w:t>
      </w:r>
      <w:r>
        <w:rPr>
          <w:spacing w:val="-3"/>
          <w:u w:val="single"/>
        </w:rPr>
        <w:t> </w:t>
      </w:r>
      <w:r>
        <w:rPr>
          <w:u w:val="single"/>
        </w:rPr>
        <w:t>Recreation</w:t>
      </w:r>
      <w:r>
        <w:rPr/>
        <w:t>.</w:t>
      </w:r>
      <w:r>
        <w:rPr>
          <w:spacing w:val="40"/>
        </w:rPr>
        <w:t> </w:t>
      </w:r>
      <w:r>
        <w:rPr/>
        <w:t>New</w:t>
      </w:r>
      <w:r>
        <w:rPr>
          <w:spacing w:val="-8"/>
        </w:rPr>
        <w:t> </w:t>
      </w:r>
      <w:r>
        <w:rPr/>
        <w:t>Jersey</w:t>
      </w:r>
      <w:r>
        <w:rPr>
          <w:spacing w:val="-3"/>
        </w:rPr>
        <w:t> </w:t>
      </w:r>
      <w:r>
        <w:rPr/>
        <w:t>Prince</w:t>
      </w:r>
      <w:r>
        <w:rPr>
          <w:spacing w:val="-2"/>
        </w:rPr>
        <w:t> </w:t>
      </w:r>
      <w:r>
        <w:rPr/>
        <w:t>all 1959 pp 52 – 53.</w:t>
      </w:r>
    </w:p>
    <w:p>
      <w:pPr>
        <w:pStyle w:val="BodyText"/>
      </w:pPr>
    </w:p>
    <w:p>
      <w:pPr>
        <w:pStyle w:val="BodyText"/>
        <w:spacing w:line="242" w:lineRule="auto" w:before="1"/>
        <w:ind w:left="940" w:right="1673" w:hanging="360"/>
      </w:pPr>
      <w:r>
        <w:rPr/>
        <w:t>Chamberlain,</w:t>
      </w:r>
      <w:r>
        <w:rPr>
          <w:spacing w:val="-3"/>
        </w:rPr>
        <w:t> </w:t>
      </w:r>
      <w:r>
        <w:rPr/>
        <w:t>N.</w:t>
      </w:r>
      <w:r>
        <w:rPr>
          <w:spacing w:val="-3"/>
        </w:rPr>
        <w:t> </w:t>
      </w:r>
      <w:r>
        <w:rPr/>
        <w:t>&amp;</w:t>
      </w:r>
      <w:r>
        <w:rPr>
          <w:spacing w:val="-4"/>
        </w:rPr>
        <w:t> </w:t>
      </w:r>
      <w:r>
        <w:rPr/>
        <w:t>Kuhn,</w:t>
      </w:r>
      <w:r>
        <w:rPr>
          <w:spacing w:val="-3"/>
        </w:rPr>
        <w:t> </w:t>
      </w:r>
      <w:r>
        <w:rPr/>
        <w:t>J.</w:t>
      </w:r>
      <w:r>
        <w:rPr>
          <w:spacing w:val="-7"/>
        </w:rPr>
        <w:t> </w:t>
      </w:r>
      <w:r>
        <w:rPr/>
        <w:t>(1965).</w:t>
      </w:r>
      <w:r>
        <w:rPr>
          <w:spacing w:val="40"/>
        </w:rPr>
        <w:t> </w:t>
      </w:r>
      <w:r>
        <w:rPr>
          <w:u w:val="single"/>
        </w:rPr>
        <w:t>Collective</w:t>
      </w:r>
      <w:r>
        <w:rPr>
          <w:spacing w:val="-6"/>
          <w:u w:val="single"/>
        </w:rPr>
        <w:t> </w:t>
      </w:r>
      <w:r>
        <w:rPr>
          <w:u w:val="single"/>
        </w:rPr>
        <w:t>Bargaining</w:t>
      </w:r>
      <w:r>
        <w:rPr/>
        <w:t>.</w:t>
      </w:r>
      <w:r>
        <w:rPr>
          <w:spacing w:val="40"/>
        </w:rPr>
        <w:t> </w:t>
      </w:r>
      <w:r>
        <w:rPr/>
        <w:t>McGraw</w:t>
      </w:r>
      <w:r>
        <w:rPr>
          <w:spacing w:val="-8"/>
        </w:rPr>
        <w:t> </w:t>
      </w:r>
      <w:r>
        <w:rPr/>
        <w:t>Hill 1965, New York.</w:t>
      </w:r>
    </w:p>
    <w:p>
      <w:pPr>
        <w:pStyle w:val="BodyText"/>
        <w:tabs>
          <w:tab w:pos="2773" w:val="left" w:leader="none"/>
        </w:tabs>
        <w:spacing w:line="237" w:lineRule="auto" w:before="275"/>
        <w:ind w:left="940" w:right="301" w:hanging="360"/>
      </w:pPr>
      <w:r>
        <w:rPr/>
        <mc:AlternateContent>
          <mc:Choice Requires="wps">
            <w:drawing>
              <wp:anchor distT="0" distB="0" distL="0" distR="0" allowOverlap="1" layoutInCell="1" locked="0" behindDoc="0" simplePos="0" relativeHeight="15733760">
                <wp:simplePos x="0" y="0"/>
                <wp:positionH relativeFrom="page">
                  <wp:posOffset>2069592</wp:posOffset>
                </wp:positionH>
                <wp:positionV relativeFrom="paragraph">
                  <wp:posOffset>505111</wp:posOffset>
                </wp:positionV>
                <wp:extent cx="969644" cy="12700"/>
                <wp:effectExtent l="0" t="0" r="0" b="0"/>
                <wp:wrapNone/>
                <wp:docPr id="561" name="Graphic 561"/>
                <wp:cNvGraphicFramePr>
                  <a:graphicFrameLocks/>
                </wp:cNvGraphicFramePr>
                <a:graphic>
                  <a:graphicData uri="http://schemas.microsoft.com/office/word/2010/wordprocessingShape">
                    <wps:wsp>
                      <wps:cNvPr id="561" name="Graphic 561"/>
                      <wps:cNvSpPr/>
                      <wps:spPr>
                        <a:xfrm>
                          <a:off x="0" y="0"/>
                          <a:ext cx="969644" cy="12700"/>
                        </a:xfrm>
                        <a:custGeom>
                          <a:avLst/>
                          <a:gdLst/>
                          <a:ahLst/>
                          <a:cxnLst/>
                          <a:rect l="l" t="t" r="r" b="b"/>
                          <a:pathLst>
                            <a:path w="969644" h="12700">
                              <a:moveTo>
                                <a:pt x="969263" y="0"/>
                              </a:moveTo>
                              <a:lnTo>
                                <a:pt x="0" y="0"/>
                              </a:lnTo>
                              <a:lnTo>
                                <a:pt x="0" y="12191"/>
                              </a:lnTo>
                              <a:lnTo>
                                <a:pt x="969263" y="12191"/>
                              </a:lnTo>
                              <a:lnTo>
                                <a:pt x="96926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62.960007pt;margin-top:39.772537pt;width:76.320pt;height:.96pt;mso-position-horizontal-relative:page;mso-position-vertical-relative:paragraph;z-index:15733760" id="docshape559" filled="true" fillcolor="#000000" stroked="false">
                <v:fill type="solid"/>
                <w10:wrap type="none"/>
              </v:rect>
            </w:pict>
          </mc:Fallback>
        </mc:AlternateContent>
      </w:r>
      <w:r>
        <w:rPr/>
        <w:t>Chidi,</w:t>
      </w:r>
      <w:r>
        <w:rPr>
          <w:spacing w:val="40"/>
        </w:rPr>
        <w:t> </w:t>
      </w:r>
      <w:r>
        <w:rPr/>
        <w:t>E.</w:t>
      </w:r>
      <w:r>
        <w:rPr>
          <w:spacing w:val="40"/>
        </w:rPr>
        <w:t> </w:t>
      </w:r>
      <w:r>
        <w:rPr/>
        <w:t>(1987).</w:t>
        <w:tab/>
        <w:t>“Feeding</w:t>
      </w:r>
      <w:r>
        <w:rPr>
          <w:spacing w:val="75"/>
        </w:rPr>
        <w:t> </w:t>
      </w:r>
      <w:r>
        <w:rPr/>
        <w:t>with</w:t>
      </w:r>
      <w:r>
        <w:rPr>
          <w:spacing w:val="74"/>
        </w:rPr>
        <w:t> </w:t>
      </w:r>
      <w:r>
        <w:rPr/>
        <w:t>Tears;</w:t>
      </w:r>
      <w:r>
        <w:rPr>
          <w:spacing w:val="74"/>
        </w:rPr>
        <w:t> </w:t>
      </w:r>
      <w:r>
        <w:rPr/>
        <w:t>Days</w:t>
      </w:r>
      <w:r>
        <w:rPr>
          <w:spacing w:val="78"/>
        </w:rPr>
        <w:t> </w:t>
      </w:r>
      <w:r>
        <w:rPr/>
        <w:t>of</w:t>
      </w:r>
      <w:r>
        <w:rPr>
          <w:spacing w:val="78"/>
        </w:rPr>
        <w:t> </w:t>
      </w:r>
      <w:r>
        <w:rPr/>
        <w:t>balanced</w:t>
      </w:r>
      <w:r>
        <w:rPr>
          <w:spacing w:val="75"/>
        </w:rPr>
        <w:t> </w:t>
      </w:r>
      <w:r>
        <w:rPr/>
        <w:t>diet</w:t>
      </w:r>
      <w:r>
        <w:rPr>
          <w:spacing w:val="74"/>
        </w:rPr>
        <w:t> </w:t>
      </w:r>
      <w:r>
        <w:rPr/>
        <w:t>is</w:t>
      </w:r>
      <w:r>
        <w:rPr>
          <w:spacing w:val="73"/>
        </w:rPr>
        <w:t> </w:t>
      </w:r>
      <w:r>
        <w:rPr/>
        <w:t>over</w:t>
      </w:r>
      <w:r>
        <w:rPr>
          <w:spacing w:val="75"/>
        </w:rPr>
        <w:t> </w:t>
      </w:r>
      <w:r>
        <w:rPr/>
        <w:t>in</w:t>
      </w:r>
      <w:r>
        <w:rPr>
          <w:spacing w:val="79"/>
        </w:rPr>
        <w:t> </w:t>
      </w:r>
      <w:r>
        <w:rPr/>
        <w:t>our versities.” Sunday Times March 29, 1987, p. 8</w:t>
      </w:r>
    </w:p>
    <w:p>
      <w:pPr>
        <w:pStyle w:val="BodyText"/>
      </w:pPr>
    </w:p>
    <w:p>
      <w:pPr>
        <w:pStyle w:val="BodyText"/>
        <w:spacing w:before="1"/>
        <w:ind w:left="580"/>
      </w:pPr>
      <w:r>
        <w:rPr/>
        <mc:AlternateContent>
          <mc:Choice Requires="wps">
            <w:drawing>
              <wp:anchor distT="0" distB="0" distL="0" distR="0" allowOverlap="1" layoutInCell="1" locked="0" behindDoc="0" simplePos="0" relativeHeight="15734272">
                <wp:simplePos x="0" y="0"/>
                <wp:positionH relativeFrom="page">
                  <wp:posOffset>3051048</wp:posOffset>
                </wp:positionH>
                <wp:positionV relativeFrom="paragraph">
                  <wp:posOffset>158775</wp:posOffset>
                </wp:positionV>
                <wp:extent cx="2999740" cy="12700"/>
                <wp:effectExtent l="0" t="0" r="0" b="0"/>
                <wp:wrapNone/>
                <wp:docPr id="562" name="Graphic 562"/>
                <wp:cNvGraphicFramePr>
                  <a:graphicFrameLocks/>
                </wp:cNvGraphicFramePr>
                <a:graphic>
                  <a:graphicData uri="http://schemas.microsoft.com/office/word/2010/wordprocessingShape">
                    <wps:wsp>
                      <wps:cNvPr id="562" name="Graphic 562"/>
                      <wps:cNvSpPr/>
                      <wps:spPr>
                        <a:xfrm>
                          <a:off x="0" y="0"/>
                          <a:ext cx="2999740" cy="12700"/>
                        </a:xfrm>
                        <a:custGeom>
                          <a:avLst/>
                          <a:gdLst/>
                          <a:ahLst/>
                          <a:cxnLst/>
                          <a:rect l="l" t="t" r="r" b="b"/>
                          <a:pathLst>
                            <a:path w="2999740" h="12700">
                              <a:moveTo>
                                <a:pt x="2999231" y="0"/>
                              </a:moveTo>
                              <a:lnTo>
                                <a:pt x="0" y="0"/>
                              </a:lnTo>
                              <a:lnTo>
                                <a:pt x="0" y="12191"/>
                              </a:lnTo>
                              <a:lnTo>
                                <a:pt x="2999231" y="12191"/>
                              </a:lnTo>
                              <a:lnTo>
                                <a:pt x="299923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40.240005pt;margin-top:12.502031pt;width:236.16pt;height:.96pt;mso-position-horizontal-relative:page;mso-position-vertical-relative:paragraph;z-index:15734272" id="docshape560" filled="true" fillcolor="#000000" stroked="false">
                <v:fill type="solid"/>
                <w10:wrap type="none"/>
              </v:rect>
            </w:pict>
          </mc:Fallback>
        </mc:AlternateContent>
      </w:r>
      <w:r>
        <w:rPr/>
        <w:t>Cunningham,</w:t>
      </w:r>
      <w:r>
        <w:rPr>
          <w:spacing w:val="-13"/>
        </w:rPr>
        <w:t> </w:t>
      </w:r>
      <w:r>
        <w:rPr/>
        <w:t>W.G.</w:t>
      </w:r>
      <w:r>
        <w:rPr>
          <w:spacing w:val="-9"/>
        </w:rPr>
        <w:t> </w:t>
      </w:r>
      <w:r>
        <w:rPr/>
        <w:t>(1982).</w:t>
      </w:r>
      <w:r>
        <w:rPr>
          <w:spacing w:val="49"/>
        </w:rPr>
        <w:t> </w:t>
      </w:r>
      <w:r>
        <w:rPr/>
        <w:t>Systematic</w:t>
      </w:r>
      <w:r>
        <w:rPr>
          <w:spacing w:val="-9"/>
        </w:rPr>
        <w:t> </w:t>
      </w:r>
      <w:r>
        <w:rPr/>
        <w:t>planning</w:t>
      </w:r>
      <w:r>
        <w:rPr>
          <w:spacing w:val="-8"/>
        </w:rPr>
        <w:t> </w:t>
      </w:r>
      <w:r>
        <w:rPr/>
        <w:t>for</w:t>
      </w:r>
      <w:r>
        <w:rPr>
          <w:spacing w:val="-7"/>
        </w:rPr>
        <w:t> </w:t>
      </w:r>
      <w:r>
        <w:rPr/>
        <w:t>Educational</w:t>
      </w:r>
      <w:r>
        <w:rPr>
          <w:spacing w:val="-6"/>
        </w:rPr>
        <w:t> </w:t>
      </w:r>
      <w:r>
        <w:rPr>
          <w:spacing w:val="-2"/>
        </w:rPr>
        <w:t>Change.</w:t>
      </w:r>
    </w:p>
    <w:p>
      <w:pPr>
        <w:pStyle w:val="BodyText"/>
        <w:spacing w:before="2"/>
        <w:ind w:left="940"/>
      </w:pPr>
      <w:r>
        <w:rPr/>
        <w:t>Mayfield</w:t>
      </w:r>
      <w:r>
        <w:rPr>
          <w:spacing w:val="-4"/>
        </w:rPr>
        <w:t> </w:t>
      </w:r>
      <w:r>
        <w:rPr/>
        <w:t>Pub.</w:t>
      </w:r>
      <w:r>
        <w:rPr>
          <w:spacing w:val="-5"/>
        </w:rPr>
        <w:t> </w:t>
      </w:r>
      <w:r>
        <w:rPr/>
        <w:t>Co.</w:t>
      </w:r>
      <w:r>
        <w:rPr>
          <w:spacing w:val="-8"/>
        </w:rPr>
        <w:t> </w:t>
      </w:r>
      <w:r>
        <w:rPr/>
        <w:t>1982,</w:t>
      </w:r>
      <w:r>
        <w:rPr>
          <w:spacing w:val="-8"/>
        </w:rPr>
        <w:t> </w:t>
      </w:r>
      <w:r>
        <w:rPr>
          <w:spacing w:val="-2"/>
        </w:rPr>
        <w:t>California.</w:t>
      </w:r>
    </w:p>
    <w:p>
      <w:pPr>
        <w:pStyle w:val="BodyText"/>
        <w:spacing w:line="550" w:lineRule="atLeast" w:before="2"/>
        <w:ind w:left="580" w:right="301"/>
      </w:pPr>
      <w:r>
        <w:rPr/>
        <w:t>Coleman,</w:t>
      </w:r>
      <w:r>
        <w:rPr>
          <w:spacing w:val="-3"/>
        </w:rPr>
        <w:t> </w:t>
      </w:r>
      <w:r>
        <w:rPr/>
        <w:t>I.</w:t>
      </w:r>
      <w:r>
        <w:rPr>
          <w:spacing w:val="-3"/>
        </w:rPr>
        <w:t> </w:t>
      </w:r>
      <w:r>
        <w:rPr/>
        <w:t>(1975).</w:t>
      </w:r>
      <w:r>
        <w:rPr>
          <w:spacing w:val="40"/>
        </w:rPr>
        <w:t> </w:t>
      </w:r>
      <w:r>
        <w:rPr>
          <w:u w:val="single"/>
        </w:rPr>
        <w:t>Community</w:t>
      </w:r>
      <w:r>
        <w:rPr>
          <w:spacing w:val="-3"/>
          <w:u w:val="single"/>
        </w:rPr>
        <w:t> </w:t>
      </w:r>
      <w:r>
        <w:rPr>
          <w:u w:val="single"/>
        </w:rPr>
        <w:t>Conflict</w:t>
      </w:r>
      <w:r>
        <w:rPr/>
        <w:t>.</w:t>
      </w:r>
      <w:r>
        <w:rPr>
          <w:spacing w:val="40"/>
        </w:rPr>
        <w:t> </w:t>
      </w:r>
      <w:r>
        <w:rPr/>
        <w:t>The</w:t>
      </w:r>
      <w:r>
        <w:rPr>
          <w:spacing w:val="-6"/>
        </w:rPr>
        <w:t> </w:t>
      </w:r>
      <w:r>
        <w:rPr/>
        <w:t>Free</w:t>
      </w:r>
      <w:r>
        <w:rPr>
          <w:spacing w:val="-2"/>
        </w:rPr>
        <w:t> </w:t>
      </w:r>
      <w:r>
        <w:rPr/>
        <w:t>Press</w:t>
      </w:r>
      <w:r>
        <w:rPr>
          <w:spacing w:val="-3"/>
        </w:rPr>
        <w:t> </w:t>
      </w:r>
      <w:r>
        <w:rPr/>
        <w:t>1975,</w:t>
      </w:r>
      <w:r>
        <w:rPr>
          <w:spacing w:val="-3"/>
        </w:rPr>
        <w:t> </w:t>
      </w:r>
      <w:r>
        <w:rPr/>
        <w:t>Glencoe,</w:t>
      </w:r>
      <w:r>
        <w:rPr>
          <w:spacing w:val="-3"/>
        </w:rPr>
        <w:t> </w:t>
      </w:r>
      <w:r>
        <w:rPr/>
        <w:t>Illinois. Curle, A. (1963).</w:t>
      </w:r>
      <w:r>
        <w:rPr>
          <w:spacing w:val="40"/>
        </w:rPr>
        <w:t> </w:t>
      </w:r>
      <w:r>
        <w:rPr/>
        <w:t>Educational Strategy for Developing Societies.</w:t>
      </w:r>
      <w:r>
        <w:rPr>
          <w:spacing w:val="40"/>
        </w:rPr>
        <w:t> </w:t>
      </w:r>
      <w:r>
        <w:rPr/>
        <w:t>Jaristock</w:t>
      </w:r>
    </w:p>
    <w:p>
      <w:pPr>
        <w:pStyle w:val="BodyText"/>
        <w:spacing w:line="276" w:lineRule="exact"/>
        <w:ind w:left="940"/>
      </w:pPr>
      <w:r>
        <w:rPr/>
        <w:t>Pub.</w:t>
      </w:r>
      <w:r>
        <w:rPr>
          <w:spacing w:val="-5"/>
        </w:rPr>
        <w:t> </w:t>
      </w:r>
      <w:r>
        <w:rPr>
          <w:spacing w:val="-2"/>
        </w:rPr>
        <w:t>Tristock.</w:t>
      </w:r>
    </w:p>
    <w:p>
      <w:pPr>
        <w:pStyle w:val="BodyText"/>
      </w:pPr>
    </w:p>
    <w:p>
      <w:pPr>
        <w:pStyle w:val="BodyText"/>
        <w:ind w:left="940" w:hanging="360"/>
      </w:pPr>
      <w:r>
        <w:rPr/>
        <w:t>Daku,</w:t>
      </w:r>
      <w:r>
        <w:rPr>
          <w:spacing w:val="40"/>
        </w:rPr>
        <w:t> </w:t>
      </w:r>
      <w:r>
        <w:rPr/>
        <w:t>J.N. (1999).</w:t>
      </w:r>
      <w:r>
        <w:rPr>
          <w:spacing w:val="40"/>
        </w:rPr>
        <w:t> </w:t>
      </w:r>
      <w:r>
        <w:rPr/>
        <w:t>‘’Financial Management., Control and Crisis of Nigerian Conventional Federal Universities.”</w:t>
      </w:r>
      <w:r>
        <w:rPr>
          <w:spacing w:val="80"/>
        </w:rPr>
        <w:t> </w:t>
      </w:r>
      <w:r>
        <w:rPr/>
        <w:t>Ph.D. Thesis, Faculty of Education, A.B.U., </w:t>
      </w:r>
      <w:r>
        <w:rPr>
          <w:spacing w:val="-2"/>
        </w:rPr>
        <w:t>Zaria.</w:t>
      </w:r>
    </w:p>
    <w:p>
      <w:pPr>
        <w:pStyle w:val="BodyText"/>
        <w:spacing w:line="550" w:lineRule="atLeast" w:before="2"/>
        <w:ind w:left="580" w:right="863"/>
      </w:pPr>
      <w:r>
        <w:rPr/>
        <w:t>Dale, E. (1973).</w:t>
      </w:r>
      <w:r>
        <w:rPr>
          <w:spacing w:val="40"/>
        </w:rPr>
        <w:t> </w:t>
      </w:r>
      <w:r>
        <w:rPr>
          <w:u w:val="single"/>
        </w:rPr>
        <w:t>Theory and Practice</w:t>
      </w:r>
      <w:r>
        <w:rPr/>
        <w:t>. 3</w:t>
      </w:r>
      <w:r>
        <w:rPr>
          <w:vertAlign w:val="superscript"/>
        </w:rPr>
        <w:t>rd</w:t>
      </w:r>
      <w:r>
        <w:rPr>
          <w:vertAlign w:val="baseline"/>
        </w:rPr>
        <w:t> Ed. McGraw Hill 1973, New York. Dele,</w:t>
      </w:r>
      <w:r>
        <w:rPr>
          <w:spacing w:val="-3"/>
          <w:vertAlign w:val="baseline"/>
        </w:rPr>
        <w:t> </w:t>
      </w:r>
      <w:r>
        <w:rPr>
          <w:vertAlign w:val="baseline"/>
        </w:rPr>
        <w:t>A.</w:t>
      </w:r>
      <w:r>
        <w:rPr>
          <w:spacing w:val="-7"/>
          <w:vertAlign w:val="baseline"/>
        </w:rPr>
        <w:t> </w:t>
      </w:r>
      <w:r>
        <w:rPr>
          <w:vertAlign w:val="baseline"/>
        </w:rPr>
        <w:t>(1987).</w:t>
      </w:r>
      <w:r>
        <w:rPr>
          <w:spacing w:val="40"/>
          <w:vertAlign w:val="baseline"/>
        </w:rPr>
        <w:t> </w:t>
      </w:r>
      <w:r>
        <w:rPr>
          <w:vertAlign w:val="baseline"/>
        </w:rPr>
        <w:t>“Students</w:t>
      </w:r>
      <w:r>
        <w:rPr>
          <w:spacing w:val="-3"/>
          <w:vertAlign w:val="baseline"/>
        </w:rPr>
        <w:t> </w:t>
      </w:r>
      <w:r>
        <w:rPr>
          <w:vertAlign w:val="baseline"/>
        </w:rPr>
        <w:t>or</w:t>
      </w:r>
      <w:r>
        <w:rPr>
          <w:spacing w:val="-2"/>
          <w:vertAlign w:val="baseline"/>
        </w:rPr>
        <w:t> </w:t>
      </w:r>
      <w:r>
        <w:rPr>
          <w:vertAlign w:val="baseline"/>
        </w:rPr>
        <w:t>campus</w:t>
      </w:r>
      <w:r>
        <w:rPr>
          <w:spacing w:val="-3"/>
          <w:vertAlign w:val="baseline"/>
        </w:rPr>
        <w:t> </w:t>
      </w:r>
      <w:r>
        <w:rPr>
          <w:vertAlign w:val="baseline"/>
        </w:rPr>
        <w:t>warriors.”</w:t>
      </w:r>
      <w:r>
        <w:rPr>
          <w:spacing w:val="40"/>
          <w:vertAlign w:val="baseline"/>
        </w:rPr>
        <w:t> </w:t>
      </w:r>
      <w:r>
        <w:rPr>
          <w:u w:val="single"/>
          <w:vertAlign w:val="baseline"/>
        </w:rPr>
        <w:t>National Concord</w:t>
      </w:r>
      <w:r>
        <w:rPr>
          <w:vertAlign w:val="baseline"/>
        </w:rPr>
        <w:t>.</w:t>
      </w:r>
      <w:r>
        <w:rPr>
          <w:spacing w:val="40"/>
          <w:vertAlign w:val="baseline"/>
        </w:rPr>
        <w:t> </w:t>
      </w:r>
      <w:r>
        <w:rPr>
          <w:vertAlign w:val="baseline"/>
        </w:rPr>
        <w:t>Tuesday 5</w:t>
      </w:r>
    </w:p>
    <w:p>
      <w:pPr>
        <w:pStyle w:val="BodyText"/>
        <w:spacing w:before="5"/>
        <w:ind w:left="940"/>
      </w:pPr>
      <w:r>
        <w:rPr/>
        <w:t>May,</w:t>
      </w:r>
      <w:r>
        <w:rPr>
          <w:spacing w:val="-4"/>
        </w:rPr>
        <w:t> </w:t>
      </w:r>
      <w:r>
        <w:rPr/>
        <w:t>1987,</w:t>
      </w:r>
      <w:r>
        <w:rPr>
          <w:spacing w:val="-3"/>
        </w:rPr>
        <w:t> </w:t>
      </w:r>
      <w:r>
        <w:rPr/>
        <w:t>p.</w:t>
      </w:r>
      <w:r>
        <w:rPr>
          <w:spacing w:val="-3"/>
        </w:rPr>
        <w:t> </w:t>
      </w:r>
      <w:r>
        <w:rPr/>
        <w:t>5</w:t>
      </w:r>
      <w:r>
        <w:rPr>
          <w:spacing w:val="-6"/>
        </w:rPr>
        <w:t> </w:t>
      </w:r>
      <w:r>
        <w:rPr/>
        <w:t>col.</w:t>
      </w:r>
      <w:r>
        <w:rPr>
          <w:spacing w:val="-4"/>
        </w:rPr>
        <w:t> </w:t>
      </w:r>
      <w:r>
        <w:rPr>
          <w:spacing w:val="-5"/>
        </w:rPr>
        <w:t>11.</w:t>
      </w:r>
    </w:p>
    <w:p>
      <w:pPr>
        <w:pStyle w:val="BodyText"/>
        <w:spacing w:before="2"/>
      </w:pPr>
    </w:p>
    <w:p>
      <w:pPr>
        <w:pStyle w:val="BodyText"/>
        <w:spacing w:line="237" w:lineRule="auto"/>
        <w:ind w:left="940" w:right="1673" w:hanging="360"/>
      </w:pPr>
      <w:r>
        <w:rPr/>
        <w:t>Denga,</w:t>
      </w:r>
      <w:r>
        <w:rPr>
          <w:spacing w:val="-5"/>
        </w:rPr>
        <w:t> </w:t>
      </w:r>
      <w:r>
        <w:rPr/>
        <w:t>D.</w:t>
      </w:r>
      <w:r>
        <w:rPr>
          <w:spacing w:val="-5"/>
        </w:rPr>
        <w:t> </w:t>
      </w:r>
      <w:r>
        <w:rPr/>
        <w:t>(1981).</w:t>
      </w:r>
      <w:r>
        <w:rPr>
          <w:spacing w:val="40"/>
        </w:rPr>
        <w:t> </w:t>
      </w:r>
      <w:r>
        <w:rPr>
          <w:u w:val="single"/>
        </w:rPr>
        <w:t>Student</w:t>
      </w:r>
      <w:r>
        <w:rPr>
          <w:spacing w:val="-5"/>
          <w:u w:val="single"/>
        </w:rPr>
        <w:t> </w:t>
      </w:r>
      <w:r>
        <w:rPr>
          <w:u w:val="single"/>
        </w:rPr>
        <w:t>Counselling</w:t>
      </w:r>
      <w:r>
        <w:rPr/>
        <w:t>:</w:t>
      </w:r>
      <w:r>
        <w:rPr>
          <w:spacing w:val="-8"/>
        </w:rPr>
        <w:t> </w:t>
      </w:r>
      <w:r>
        <w:rPr>
          <w:u w:val="single"/>
        </w:rPr>
        <w:t>A</w:t>
      </w:r>
      <w:r>
        <w:rPr>
          <w:spacing w:val="-6"/>
          <w:u w:val="single"/>
        </w:rPr>
        <w:t> </w:t>
      </w:r>
      <w:r>
        <w:rPr>
          <w:u w:val="single"/>
        </w:rPr>
        <w:t>major</w:t>
      </w:r>
      <w:r>
        <w:rPr>
          <w:spacing w:val="-3"/>
          <w:u w:val="single"/>
        </w:rPr>
        <w:t> </w:t>
      </w:r>
      <w:r>
        <w:rPr>
          <w:u w:val="single"/>
        </w:rPr>
        <w:t>solution</w:t>
      </w:r>
      <w:r>
        <w:rPr>
          <w:spacing w:val="-4"/>
          <w:u w:val="single"/>
        </w:rPr>
        <w:t> </w:t>
      </w:r>
      <w:r>
        <w:rPr>
          <w:u w:val="single"/>
        </w:rPr>
        <w:t>to</w:t>
      </w:r>
      <w:r>
        <w:rPr>
          <w:spacing w:val="-4"/>
          <w:u w:val="single"/>
        </w:rPr>
        <w:t> </w:t>
      </w:r>
      <w:r>
        <w:rPr>
          <w:u w:val="single"/>
        </w:rPr>
        <w:t>campus</w:t>
      </w:r>
      <w:r>
        <w:rPr/>
        <w:t> </w:t>
      </w:r>
      <w:r>
        <w:rPr>
          <w:u w:val="single"/>
        </w:rPr>
        <w:t>unrest</w:t>
      </w:r>
      <w:r>
        <w:rPr/>
        <w:t>.</w:t>
      </w:r>
      <w:r>
        <w:rPr>
          <w:spacing w:val="40"/>
        </w:rPr>
        <w:t> </w:t>
      </w:r>
      <w:r>
        <w:rPr/>
        <w:t>Orit Egwa Ltd 1981, Lagos.</w:t>
      </w:r>
    </w:p>
    <w:p>
      <w:pPr>
        <w:pStyle w:val="BodyText"/>
        <w:spacing w:before="1"/>
      </w:pPr>
    </w:p>
    <w:p>
      <w:pPr>
        <w:pStyle w:val="BodyText"/>
        <w:spacing w:line="242" w:lineRule="auto"/>
        <w:ind w:left="940" w:right="354" w:hanging="360"/>
      </w:pPr>
      <w:r>
        <w:rPr/>
        <w:t>Dogo</w:t>
      </w:r>
      <w:r>
        <w:rPr>
          <w:spacing w:val="-2"/>
        </w:rPr>
        <w:t> </w:t>
      </w:r>
      <w:r>
        <w:rPr/>
        <w:t>I.</w:t>
      </w:r>
      <w:r>
        <w:rPr>
          <w:spacing w:val="-3"/>
        </w:rPr>
        <w:t> </w:t>
      </w:r>
      <w:r>
        <w:rPr/>
        <w:t>(1981)</w:t>
      </w:r>
      <w:r>
        <w:rPr>
          <w:spacing w:val="-6"/>
        </w:rPr>
        <w:t> </w:t>
      </w:r>
      <w:r>
        <w:rPr/>
        <w:t>‘’Financial Management</w:t>
      </w:r>
      <w:r>
        <w:rPr>
          <w:spacing w:val="-3"/>
        </w:rPr>
        <w:t> </w:t>
      </w:r>
      <w:r>
        <w:rPr/>
        <w:t>in</w:t>
      </w:r>
      <w:r>
        <w:rPr>
          <w:spacing w:val="-2"/>
        </w:rPr>
        <w:t> </w:t>
      </w:r>
      <w:r>
        <w:rPr/>
        <w:t>our</w:t>
      </w:r>
      <w:r>
        <w:rPr>
          <w:spacing w:val="-6"/>
        </w:rPr>
        <w:t> </w:t>
      </w:r>
      <w:r>
        <w:rPr/>
        <w:t>Universities</w:t>
      </w:r>
      <w:r>
        <w:rPr>
          <w:spacing w:val="-2"/>
        </w:rPr>
        <w:t> </w:t>
      </w:r>
      <w:r>
        <w:rPr/>
        <w:t>‘’</w:t>
      </w:r>
      <w:r>
        <w:rPr>
          <w:spacing w:val="-4"/>
        </w:rPr>
        <w:t> </w:t>
      </w:r>
      <w:r>
        <w:rPr>
          <w:u w:val="single"/>
        </w:rPr>
        <w:t>Sunday</w:t>
      </w:r>
      <w:r>
        <w:rPr>
          <w:spacing w:val="-3"/>
          <w:u w:val="single"/>
        </w:rPr>
        <w:t> </w:t>
      </w:r>
      <w:r>
        <w:rPr>
          <w:u w:val="single"/>
        </w:rPr>
        <w:t>New</w:t>
      </w:r>
      <w:r>
        <w:rPr>
          <w:spacing w:val="-8"/>
          <w:u w:val="single"/>
        </w:rPr>
        <w:t> </w:t>
      </w:r>
      <w:r>
        <w:rPr>
          <w:u w:val="single"/>
        </w:rPr>
        <w:t>Nigerian</w:t>
      </w:r>
      <w:r>
        <w:rPr/>
        <w:t>, 13 December 1981, p.6 col. 11.</w:t>
      </w:r>
    </w:p>
    <w:p>
      <w:pPr>
        <w:spacing w:after="0" w:line="242" w:lineRule="auto"/>
        <w:sectPr>
          <w:headerReference w:type="default" r:id="rId580"/>
          <w:footerReference w:type="default" r:id="rId581"/>
          <w:pgSz w:w="12240" w:h="15840"/>
          <w:pgMar w:header="722" w:footer="623" w:top="980" w:bottom="820" w:left="1220" w:right="1140"/>
        </w:sectPr>
      </w:pPr>
    </w:p>
    <w:p>
      <w:pPr>
        <w:pStyle w:val="BodyText"/>
        <w:spacing w:before="174"/>
      </w:pPr>
    </w:p>
    <w:p>
      <w:pPr>
        <w:pStyle w:val="BodyText"/>
        <w:spacing w:line="237" w:lineRule="auto"/>
        <w:ind w:left="940" w:right="1673" w:hanging="360"/>
      </w:pPr>
      <w:r>
        <w:rPr/>
        <w:t>Dollard</w:t>
      </w:r>
      <w:r>
        <w:rPr>
          <w:spacing w:val="-2"/>
        </w:rPr>
        <w:t> </w:t>
      </w:r>
      <w:r>
        <w:rPr/>
        <w:t>J.</w:t>
      </w:r>
      <w:r>
        <w:rPr>
          <w:spacing w:val="40"/>
        </w:rPr>
        <w:t> </w:t>
      </w:r>
      <w:r>
        <w:rPr/>
        <w:t>(1939).</w:t>
      </w:r>
      <w:r>
        <w:rPr>
          <w:spacing w:val="40"/>
        </w:rPr>
        <w:t> </w:t>
      </w:r>
      <w:r>
        <w:rPr>
          <w:u w:val="single"/>
        </w:rPr>
        <w:t>Frustration</w:t>
      </w:r>
      <w:r>
        <w:rPr>
          <w:spacing w:val="-2"/>
          <w:u w:val="single"/>
        </w:rPr>
        <w:t> </w:t>
      </w:r>
      <w:r>
        <w:rPr>
          <w:u w:val="single"/>
        </w:rPr>
        <w:t>and</w:t>
      </w:r>
      <w:r>
        <w:rPr>
          <w:spacing w:val="-2"/>
          <w:u w:val="single"/>
        </w:rPr>
        <w:t> </w:t>
      </w:r>
      <w:r>
        <w:rPr>
          <w:u w:val="single"/>
        </w:rPr>
        <w:t>Aggression</w:t>
      </w:r>
      <w:r>
        <w:rPr/>
        <w:t>.</w:t>
      </w:r>
      <w:r>
        <w:rPr>
          <w:spacing w:val="40"/>
        </w:rPr>
        <w:t> </w:t>
      </w:r>
      <w:r>
        <w:rPr/>
        <w:t>Yale</w:t>
      </w:r>
      <w:r>
        <w:rPr>
          <w:spacing w:val="-6"/>
        </w:rPr>
        <w:t> </w:t>
      </w:r>
      <w:r>
        <w:rPr/>
        <w:t>Un.</w:t>
      </w:r>
      <w:r>
        <w:rPr>
          <w:spacing w:val="-3"/>
        </w:rPr>
        <w:t> </w:t>
      </w:r>
      <w:r>
        <w:rPr/>
        <w:t>Press</w:t>
      </w:r>
      <w:r>
        <w:rPr>
          <w:spacing w:val="-3"/>
        </w:rPr>
        <w:t> </w:t>
      </w:r>
      <w:r>
        <w:rPr/>
        <w:t>1939, New Heaven.</w:t>
      </w:r>
    </w:p>
    <w:p>
      <w:pPr>
        <w:pStyle w:val="BodyText"/>
        <w:spacing w:line="550" w:lineRule="atLeast" w:before="3"/>
        <w:ind w:left="580"/>
      </w:pPr>
      <w:r>
        <w:rPr/>
        <w:t>Don,</w:t>
      </w:r>
      <w:r>
        <w:rPr>
          <w:spacing w:val="-3"/>
        </w:rPr>
        <w:t> </w:t>
      </w:r>
      <w:r>
        <w:rPr/>
        <w:t>H.</w:t>
      </w:r>
      <w:r>
        <w:rPr>
          <w:spacing w:val="40"/>
        </w:rPr>
        <w:t> </w:t>
      </w:r>
      <w:r>
        <w:rPr/>
        <w:t>(1982).</w:t>
      </w:r>
      <w:r>
        <w:rPr>
          <w:spacing w:val="-2"/>
        </w:rPr>
        <w:t> </w:t>
      </w:r>
      <w:r>
        <w:rPr>
          <w:u w:val="single"/>
        </w:rPr>
        <w:t>Management</w:t>
      </w:r>
      <w:r>
        <w:rPr/>
        <w:t>.</w:t>
      </w:r>
      <w:r>
        <w:rPr>
          <w:spacing w:val="-3"/>
        </w:rPr>
        <w:t> </w:t>
      </w:r>
      <w:r>
        <w:rPr/>
        <w:t>Addison-Wesley</w:t>
      </w:r>
      <w:r>
        <w:rPr>
          <w:spacing w:val="-3"/>
        </w:rPr>
        <w:t> </w:t>
      </w:r>
      <w:r>
        <w:rPr/>
        <w:t>Pub.</w:t>
      </w:r>
      <w:r>
        <w:rPr>
          <w:spacing w:val="-3"/>
        </w:rPr>
        <w:t> </w:t>
      </w:r>
      <w:r>
        <w:rPr/>
        <w:t>Co.</w:t>
      </w:r>
      <w:r>
        <w:rPr>
          <w:spacing w:val="-3"/>
        </w:rPr>
        <w:t> </w:t>
      </w:r>
      <w:r>
        <w:rPr/>
        <w:t>Inc,</w:t>
      </w:r>
      <w:r>
        <w:rPr>
          <w:spacing w:val="-3"/>
        </w:rPr>
        <w:t> </w:t>
      </w:r>
      <w:r>
        <w:rPr/>
        <w:t>Phillipines,</w:t>
      </w:r>
      <w:r>
        <w:rPr>
          <w:spacing w:val="-7"/>
        </w:rPr>
        <w:t> </w:t>
      </w:r>
      <w:r>
        <w:rPr/>
        <w:t>3</w:t>
      </w:r>
      <w:r>
        <w:rPr>
          <w:vertAlign w:val="superscript"/>
        </w:rPr>
        <w:t>rd</w:t>
      </w:r>
      <w:r>
        <w:rPr>
          <w:spacing w:val="-4"/>
          <w:vertAlign w:val="baseline"/>
        </w:rPr>
        <w:t> </w:t>
      </w:r>
      <w:r>
        <w:rPr>
          <w:vertAlign w:val="baseline"/>
        </w:rPr>
        <w:t>Ed. Drucker, P.F. (1954).</w:t>
      </w:r>
      <w:r>
        <w:rPr>
          <w:spacing w:val="40"/>
          <w:vertAlign w:val="baseline"/>
        </w:rPr>
        <w:t> </w:t>
      </w:r>
      <w:r>
        <w:rPr>
          <w:vertAlign w:val="baseline"/>
        </w:rPr>
        <w:t>Management Task and Responsibilities and Practices.</w:t>
      </w:r>
    </w:p>
    <w:p>
      <w:pPr>
        <w:pStyle w:val="BodyText"/>
        <w:spacing w:before="4"/>
        <w:ind w:left="940"/>
      </w:pPr>
      <w:r>
        <w:rPr/>
        <w:t>Harper</w:t>
      </w:r>
      <w:r>
        <w:rPr>
          <w:spacing w:val="-3"/>
        </w:rPr>
        <w:t> </w:t>
      </w:r>
      <w:r>
        <w:rPr/>
        <w:t>&amp;</w:t>
      </w:r>
      <w:r>
        <w:rPr>
          <w:spacing w:val="-6"/>
        </w:rPr>
        <w:t> </w:t>
      </w:r>
      <w:r>
        <w:rPr/>
        <w:t>Raw,</w:t>
      </w:r>
      <w:r>
        <w:rPr>
          <w:spacing w:val="-5"/>
        </w:rPr>
        <w:t> </w:t>
      </w:r>
      <w:r>
        <w:rPr/>
        <w:t>1954</w:t>
      </w:r>
      <w:r>
        <w:rPr>
          <w:spacing w:val="-4"/>
        </w:rPr>
        <w:t> </w:t>
      </w:r>
      <w:r>
        <w:rPr/>
        <w:t>New</w:t>
      </w:r>
      <w:r>
        <w:rPr>
          <w:spacing w:val="-9"/>
        </w:rPr>
        <w:t> </w:t>
      </w:r>
      <w:r>
        <w:rPr>
          <w:spacing w:val="-4"/>
        </w:rPr>
        <w:t>York.</w:t>
      </w:r>
    </w:p>
    <w:p>
      <w:pPr>
        <w:pStyle w:val="BodyText"/>
        <w:spacing w:before="2"/>
      </w:pPr>
    </w:p>
    <w:p>
      <w:pPr>
        <w:pStyle w:val="BodyText"/>
        <w:spacing w:line="237" w:lineRule="auto"/>
        <w:ind w:left="940" w:right="863" w:hanging="360"/>
      </w:pPr>
      <w:r>
        <w:rPr/>
        <w:t>Durojaiye,</w:t>
      </w:r>
      <w:r>
        <w:rPr>
          <w:spacing w:val="-4"/>
        </w:rPr>
        <w:t> </w:t>
      </w:r>
      <w:r>
        <w:rPr/>
        <w:t>M.O.</w:t>
      </w:r>
      <w:r>
        <w:rPr>
          <w:spacing w:val="-4"/>
        </w:rPr>
        <w:t> </w:t>
      </w:r>
      <w:r>
        <w:rPr/>
        <w:t>(1972).</w:t>
      </w:r>
      <w:r>
        <w:rPr>
          <w:spacing w:val="40"/>
        </w:rPr>
        <w:t> </w:t>
      </w:r>
      <w:r>
        <w:rPr>
          <w:u w:val="single"/>
        </w:rPr>
        <w:t>Psychological Guidance</w:t>
      </w:r>
      <w:r>
        <w:rPr>
          <w:spacing w:val="-3"/>
          <w:u w:val="single"/>
        </w:rPr>
        <w:t> </w:t>
      </w:r>
      <w:r>
        <w:rPr>
          <w:u w:val="single"/>
        </w:rPr>
        <w:t>of</w:t>
      </w:r>
      <w:r>
        <w:rPr>
          <w:spacing w:val="-4"/>
          <w:u w:val="single"/>
        </w:rPr>
        <w:t> </w:t>
      </w:r>
      <w:r>
        <w:rPr>
          <w:u w:val="single"/>
        </w:rPr>
        <w:t>the</w:t>
      </w:r>
      <w:r>
        <w:rPr>
          <w:spacing w:val="-7"/>
          <w:u w:val="single"/>
        </w:rPr>
        <w:t> </w:t>
      </w:r>
      <w:r>
        <w:rPr>
          <w:u w:val="single"/>
        </w:rPr>
        <w:t>School Child</w:t>
      </w:r>
      <w:r>
        <w:rPr/>
        <w:t>.</w:t>
      </w:r>
      <w:r>
        <w:rPr>
          <w:spacing w:val="40"/>
        </w:rPr>
        <w:t> </w:t>
      </w:r>
      <w:r>
        <w:rPr/>
        <w:t>Evans Brother Ltd. 1972, London.</w:t>
      </w:r>
    </w:p>
    <w:p>
      <w:pPr>
        <w:pStyle w:val="BodyText"/>
        <w:spacing w:before="1"/>
      </w:pPr>
    </w:p>
    <w:p>
      <w:pPr>
        <w:pStyle w:val="BodyText"/>
        <w:tabs>
          <w:tab w:pos="8859" w:val="left" w:leader="none"/>
        </w:tabs>
        <w:ind w:left="580"/>
      </w:pPr>
      <w:r>
        <w:rPr/>
        <w:t>Durojaiye,</w:t>
      </w:r>
      <w:r>
        <w:rPr>
          <w:spacing w:val="-6"/>
        </w:rPr>
        <w:t> </w:t>
      </w:r>
      <w:r>
        <w:rPr/>
        <w:t>C.O.</w:t>
      </w:r>
      <w:r>
        <w:rPr>
          <w:spacing w:val="-9"/>
        </w:rPr>
        <w:t> </w:t>
      </w:r>
      <w:r>
        <w:rPr/>
        <w:t>(1977).</w:t>
      </w:r>
      <w:r>
        <w:rPr>
          <w:spacing w:val="51"/>
        </w:rPr>
        <w:t> </w:t>
      </w:r>
      <w:r>
        <w:rPr/>
        <w:t>“Indiscipline</w:t>
      </w:r>
      <w:r>
        <w:rPr>
          <w:spacing w:val="-9"/>
        </w:rPr>
        <w:t> </w:t>
      </w:r>
      <w:r>
        <w:rPr/>
        <w:t>in</w:t>
      </w:r>
      <w:r>
        <w:rPr>
          <w:spacing w:val="-8"/>
        </w:rPr>
        <w:t> </w:t>
      </w:r>
      <w:r>
        <w:rPr/>
        <w:t>our</w:t>
      </w:r>
      <w:r>
        <w:rPr>
          <w:spacing w:val="-4"/>
        </w:rPr>
        <w:t> </w:t>
      </w:r>
      <w:r>
        <w:rPr/>
        <w:t>Society.”</w:t>
      </w:r>
      <w:r>
        <w:rPr>
          <w:spacing w:val="59"/>
        </w:rPr>
        <w:t> </w:t>
      </w:r>
      <w:r>
        <w:rPr>
          <w:u w:val="single"/>
        </w:rPr>
        <w:t>New</w:t>
      </w:r>
      <w:r>
        <w:rPr>
          <w:spacing w:val="-11"/>
          <w:u w:val="single"/>
        </w:rPr>
        <w:t> </w:t>
      </w:r>
      <w:r>
        <w:rPr>
          <w:u w:val="single"/>
        </w:rPr>
        <w:t>Nigerian</w:t>
      </w:r>
      <w:r>
        <w:rPr>
          <w:spacing w:val="-4"/>
        </w:rPr>
        <w:t> </w:t>
      </w:r>
      <w:r>
        <w:rPr/>
        <w:t>Nov.</w:t>
      </w:r>
      <w:r>
        <w:rPr>
          <w:spacing w:val="-6"/>
        </w:rPr>
        <w:t> </w:t>
      </w:r>
      <w:r>
        <w:rPr>
          <w:spacing w:val="-5"/>
        </w:rPr>
        <w:t>2,</w:t>
      </w:r>
      <w:r>
        <w:rPr/>
        <w:tab/>
      </w:r>
      <w:r>
        <w:rPr>
          <w:spacing w:val="-2"/>
        </w:rPr>
        <w:t>1997,</w:t>
      </w:r>
    </w:p>
    <w:p>
      <w:pPr>
        <w:pStyle w:val="BodyText"/>
        <w:spacing w:before="3"/>
        <w:ind w:left="940"/>
      </w:pPr>
      <w:r>
        <w:rPr/>
        <w:t>p.</w:t>
      </w:r>
      <w:r>
        <w:rPr>
          <w:spacing w:val="-3"/>
        </w:rPr>
        <w:t> </w:t>
      </w:r>
      <w:r>
        <w:rPr>
          <w:spacing w:val="-5"/>
        </w:rPr>
        <w:t>2.</w:t>
      </w:r>
    </w:p>
    <w:p>
      <w:pPr>
        <w:pStyle w:val="BodyText"/>
      </w:pPr>
    </w:p>
    <w:p>
      <w:pPr>
        <w:pStyle w:val="BodyText"/>
        <w:spacing w:line="275" w:lineRule="exact"/>
        <w:ind w:left="580"/>
      </w:pPr>
      <w:r>
        <w:rPr/>
        <w:t>Edem,</w:t>
      </w:r>
      <w:r>
        <w:rPr>
          <w:spacing w:val="-9"/>
        </w:rPr>
        <w:t> </w:t>
      </w:r>
      <w:r>
        <w:rPr/>
        <w:t>D.A.</w:t>
      </w:r>
      <w:r>
        <w:rPr>
          <w:spacing w:val="-9"/>
        </w:rPr>
        <w:t> </w:t>
      </w:r>
      <w:r>
        <w:rPr/>
        <w:t>(1982).</w:t>
      </w:r>
      <w:r>
        <w:rPr>
          <w:spacing w:val="50"/>
        </w:rPr>
        <w:t> </w:t>
      </w:r>
      <w:r>
        <w:rPr>
          <w:u w:val="single"/>
        </w:rPr>
        <w:t>Introduction</w:t>
      </w:r>
      <w:r>
        <w:rPr>
          <w:spacing w:val="-8"/>
          <w:u w:val="single"/>
        </w:rPr>
        <w:t> </w:t>
      </w:r>
      <w:r>
        <w:rPr>
          <w:u w:val="single"/>
        </w:rPr>
        <w:t>to</w:t>
      </w:r>
      <w:r>
        <w:rPr>
          <w:spacing w:val="-8"/>
          <w:u w:val="single"/>
        </w:rPr>
        <w:t> </w:t>
      </w:r>
      <w:r>
        <w:rPr>
          <w:u w:val="single"/>
        </w:rPr>
        <w:t>Educational</w:t>
      </w:r>
      <w:r>
        <w:rPr>
          <w:spacing w:val="-5"/>
          <w:u w:val="single"/>
        </w:rPr>
        <w:t> </w:t>
      </w:r>
      <w:r>
        <w:rPr>
          <w:u w:val="single"/>
        </w:rPr>
        <w:t>Administration</w:t>
      </w:r>
      <w:r>
        <w:rPr>
          <w:spacing w:val="-12"/>
          <w:u w:val="single"/>
        </w:rPr>
        <w:t> </w:t>
      </w:r>
      <w:r>
        <w:rPr>
          <w:u w:val="single"/>
        </w:rPr>
        <w:t>in</w:t>
      </w:r>
      <w:r>
        <w:rPr>
          <w:spacing w:val="-8"/>
          <w:u w:val="single"/>
        </w:rPr>
        <w:t> </w:t>
      </w:r>
      <w:r>
        <w:rPr>
          <w:spacing w:val="-2"/>
          <w:u w:val="single"/>
        </w:rPr>
        <w:t>Nigeria</w:t>
      </w:r>
      <w:r>
        <w:rPr>
          <w:spacing w:val="-2"/>
        </w:rPr>
        <w:t>.</w:t>
      </w:r>
    </w:p>
    <w:p>
      <w:pPr>
        <w:pStyle w:val="BodyText"/>
        <w:spacing w:line="275" w:lineRule="exact"/>
        <w:ind w:left="940"/>
      </w:pPr>
      <w:r>
        <w:rPr/>
        <w:t>Spectrum</w:t>
      </w:r>
      <w:r>
        <w:rPr>
          <w:spacing w:val="-13"/>
        </w:rPr>
        <w:t> </w:t>
      </w:r>
      <w:r>
        <w:rPr/>
        <w:t>Books</w:t>
      </w:r>
      <w:r>
        <w:rPr>
          <w:spacing w:val="-4"/>
        </w:rPr>
        <w:t> </w:t>
      </w:r>
      <w:r>
        <w:rPr/>
        <w:t>ld.,</w:t>
      </w:r>
      <w:r>
        <w:rPr>
          <w:spacing w:val="-5"/>
        </w:rPr>
        <w:t> </w:t>
      </w:r>
      <w:r>
        <w:rPr>
          <w:spacing w:val="-2"/>
        </w:rPr>
        <w:t>Ibadan.</w:t>
      </w:r>
    </w:p>
    <w:p>
      <w:pPr>
        <w:pStyle w:val="BodyText"/>
      </w:pPr>
    </w:p>
    <w:p>
      <w:pPr>
        <w:pStyle w:val="BodyText"/>
        <w:tabs>
          <w:tab w:pos="1722" w:val="left" w:leader="none"/>
          <w:tab w:pos="2897" w:val="left" w:leader="none"/>
          <w:tab w:pos="3837" w:val="left" w:leader="none"/>
          <w:tab w:pos="4638" w:val="left" w:leader="none"/>
          <w:tab w:pos="5564" w:val="left" w:leader="none"/>
          <w:tab w:pos="6246" w:val="left" w:leader="none"/>
          <w:tab w:pos="6990" w:val="left" w:leader="none"/>
          <w:tab w:pos="9099" w:val="left" w:leader="none"/>
        </w:tabs>
        <w:spacing w:line="242" w:lineRule="auto"/>
        <w:ind w:left="940" w:right="297" w:hanging="360"/>
      </w:pPr>
      <w:r>
        <w:rPr>
          <w:spacing w:val="-2"/>
        </w:rPr>
        <w:t>Editorial,</w:t>
      </w:r>
      <w:r>
        <w:rPr/>
        <w:tab/>
      </w:r>
      <w:r>
        <w:rPr>
          <w:spacing w:val="-2"/>
        </w:rPr>
        <w:t>(1978).</w:t>
      </w:r>
      <w:r>
        <w:rPr/>
        <w:tab/>
      </w:r>
      <w:r>
        <w:rPr>
          <w:spacing w:val="-2"/>
        </w:rPr>
        <w:t>Versity</w:t>
      </w:r>
      <w:r>
        <w:rPr/>
        <w:tab/>
      </w:r>
      <w:r>
        <w:rPr>
          <w:spacing w:val="-2"/>
        </w:rPr>
        <w:t>Crisis</w:t>
      </w:r>
      <w:r>
        <w:rPr/>
        <w:tab/>
      </w:r>
      <w:r>
        <w:rPr>
          <w:spacing w:val="-2"/>
        </w:rPr>
        <w:t>Latest:</w:t>
      </w:r>
      <w:r>
        <w:rPr/>
        <w:tab/>
      </w:r>
      <w:r>
        <w:rPr>
          <w:spacing w:val="-4"/>
        </w:rPr>
        <w:t>New</w:t>
      </w:r>
      <w:r>
        <w:rPr/>
        <w:tab/>
      </w:r>
      <w:r>
        <w:rPr>
          <w:spacing w:val="-4"/>
        </w:rPr>
        <w:t>Fees</w:t>
      </w:r>
      <w:r>
        <w:rPr/>
        <w:tab/>
      </w:r>
      <w:r>
        <w:rPr>
          <w:spacing w:val="-2"/>
        </w:rPr>
        <w:t>Recommended.</w:t>
      </w:r>
      <w:r>
        <w:rPr/>
        <w:tab/>
      </w:r>
      <w:r>
        <w:rPr>
          <w:spacing w:val="-4"/>
          <w:u w:val="single"/>
        </w:rPr>
        <w:t>New</w:t>
      </w:r>
      <w:r>
        <w:rPr>
          <w:spacing w:val="-4"/>
        </w:rPr>
        <w:t> </w:t>
      </w:r>
      <w:r>
        <w:rPr>
          <w:u w:val="single"/>
        </w:rPr>
        <w:t>Nigerian</w:t>
      </w:r>
      <w:r>
        <w:rPr/>
        <w:t> May 6, 1978, back page.</w:t>
      </w:r>
    </w:p>
    <w:p>
      <w:pPr>
        <w:pStyle w:val="BodyText"/>
        <w:spacing w:before="273"/>
        <w:ind w:left="580"/>
      </w:pPr>
      <w:r>
        <w:rPr/>
        <w:t>Editorial,</w:t>
      </w:r>
      <w:r>
        <w:rPr>
          <w:spacing w:val="-10"/>
        </w:rPr>
        <w:t> </w:t>
      </w:r>
      <w:r>
        <w:rPr/>
        <w:t>(1978).</w:t>
      </w:r>
      <w:r>
        <w:rPr>
          <w:spacing w:val="56"/>
        </w:rPr>
        <w:t> </w:t>
      </w:r>
      <w:r>
        <w:rPr/>
        <w:t>‘University</w:t>
      </w:r>
      <w:r>
        <w:rPr>
          <w:spacing w:val="-6"/>
        </w:rPr>
        <w:t> </w:t>
      </w:r>
      <w:r>
        <w:rPr/>
        <w:t>Crisis.’</w:t>
      </w:r>
      <w:r>
        <w:rPr>
          <w:spacing w:val="56"/>
        </w:rPr>
        <w:t> </w:t>
      </w:r>
      <w:r>
        <w:rPr>
          <w:u w:val="single"/>
        </w:rPr>
        <w:t>Nigerian</w:t>
      </w:r>
      <w:r>
        <w:rPr>
          <w:spacing w:val="-8"/>
          <w:u w:val="single"/>
        </w:rPr>
        <w:t> </w:t>
      </w:r>
      <w:r>
        <w:rPr>
          <w:u w:val="single"/>
        </w:rPr>
        <w:t>Standard</w:t>
      </w:r>
      <w:r>
        <w:rPr/>
        <w:t>.</w:t>
      </w:r>
      <w:r>
        <w:rPr>
          <w:spacing w:val="56"/>
        </w:rPr>
        <w:t> </w:t>
      </w:r>
      <w:r>
        <w:rPr/>
        <w:t>April</w:t>
      </w:r>
      <w:r>
        <w:rPr>
          <w:spacing w:val="-6"/>
        </w:rPr>
        <w:t> </w:t>
      </w:r>
      <w:r>
        <w:rPr/>
        <w:t>22,</w:t>
      </w:r>
      <w:r>
        <w:rPr>
          <w:spacing w:val="-5"/>
        </w:rPr>
        <w:t> </w:t>
      </w:r>
      <w:r>
        <w:rPr/>
        <w:t>1978,</w:t>
      </w:r>
      <w:r>
        <w:rPr>
          <w:spacing w:val="-6"/>
        </w:rPr>
        <w:t> </w:t>
      </w:r>
      <w:r>
        <w:rPr/>
        <w:t>p.</w:t>
      </w:r>
      <w:r>
        <w:rPr>
          <w:spacing w:val="-9"/>
        </w:rPr>
        <w:t> </w:t>
      </w:r>
      <w:r>
        <w:rPr>
          <w:spacing w:val="-5"/>
        </w:rPr>
        <w:t>3.</w:t>
      </w:r>
    </w:p>
    <w:p>
      <w:pPr>
        <w:pStyle w:val="BodyText"/>
      </w:pPr>
    </w:p>
    <w:p>
      <w:pPr>
        <w:pStyle w:val="BodyText"/>
        <w:tabs>
          <w:tab w:pos="4945" w:val="left" w:leader="none"/>
        </w:tabs>
        <w:ind w:left="580" w:right="303"/>
      </w:pPr>
      <w:r>
        <w:rPr/>
        <w:t>Egba, C.U. (1975).</w:t>
      </w:r>
      <w:r>
        <w:rPr>
          <w:spacing w:val="40"/>
        </w:rPr>
        <w:t> </w:t>
      </w:r>
      <w:r>
        <w:rPr/>
        <w:t>“The Phenomena of Students Unrest in some selected secondary</w:t>
      </w:r>
      <w:r>
        <w:rPr>
          <w:spacing w:val="40"/>
        </w:rPr>
        <w:t> </w:t>
      </w:r>
      <w:r>
        <w:rPr/>
        <w:t>schools</w:t>
      </w:r>
      <w:r>
        <w:rPr>
          <w:spacing w:val="40"/>
        </w:rPr>
        <w:t> </w:t>
      </w:r>
      <w:r>
        <w:rPr/>
        <w:t>in</w:t>
      </w:r>
      <w:r>
        <w:rPr>
          <w:spacing w:val="40"/>
        </w:rPr>
        <w:t> </w:t>
      </w:r>
      <w:r>
        <w:rPr/>
        <w:t>Kaduna</w:t>
      </w:r>
      <w:r>
        <w:rPr>
          <w:spacing w:val="40"/>
        </w:rPr>
        <w:t> </w:t>
      </w:r>
      <w:r>
        <w:rPr/>
        <w:t>State.”</w:t>
        <w:tab/>
        <w:t>B.Ed</w:t>
      </w:r>
      <w:r>
        <w:rPr>
          <w:spacing w:val="40"/>
        </w:rPr>
        <w:t> </w:t>
      </w:r>
      <w:r>
        <w:rPr/>
        <w:t>Thesis,</w:t>
      </w:r>
      <w:r>
        <w:rPr>
          <w:spacing w:val="40"/>
        </w:rPr>
        <w:t> </w:t>
      </w:r>
      <w:r>
        <w:rPr/>
        <w:t>Faculty</w:t>
      </w:r>
      <w:r>
        <w:rPr>
          <w:spacing w:val="40"/>
        </w:rPr>
        <w:t> </w:t>
      </w:r>
      <w:r>
        <w:rPr/>
        <w:t>of</w:t>
      </w:r>
      <w:r>
        <w:rPr>
          <w:spacing w:val="40"/>
        </w:rPr>
        <w:t> </w:t>
      </w:r>
      <w:r>
        <w:rPr/>
        <w:t>Education,</w:t>
      </w:r>
      <w:r>
        <w:rPr>
          <w:spacing w:val="40"/>
        </w:rPr>
        <w:t> </w:t>
      </w:r>
      <w:r>
        <w:rPr/>
        <w:t>ABU., </w:t>
      </w:r>
      <w:r>
        <w:rPr>
          <w:spacing w:val="-2"/>
        </w:rPr>
        <w:t>Zaria.</w:t>
      </w:r>
    </w:p>
    <w:p>
      <w:pPr>
        <w:pStyle w:val="BodyText"/>
        <w:spacing w:before="2"/>
      </w:pPr>
    </w:p>
    <w:p>
      <w:pPr>
        <w:pStyle w:val="BodyText"/>
        <w:spacing w:line="237" w:lineRule="auto"/>
        <w:ind w:left="940" w:right="863" w:hanging="360"/>
      </w:pPr>
      <w:r>
        <w:rPr/>
        <w:t>Ekaete</w:t>
      </w:r>
      <w:r>
        <w:rPr>
          <w:spacing w:val="-3"/>
        </w:rPr>
        <w:t> </w:t>
      </w:r>
      <w:r>
        <w:rPr/>
        <w:t>I.</w:t>
      </w:r>
      <w:r>
        <w:rPr>
          <w:spacing w:val="-4"/>
        </w:rPr>
        <w:t> </w:t>
      </w:r>
      <w:r>
        <w:rPr/>
        <w:t>(2000).</w:t>
      </w:r>
      <w:r>
        <w:rPr>
          <w:spacing w:val="40"/>
        </w:rPr>
        <w:t> </w:t>
      </w:r>
      <w:r>
        <w:rPr>
          <w:u w:val="single"/>
        </w:rPr>
        <w:t>Self</w:t>
      </w:r>
      <w:r>
        <w:rPr>
          <w:spacing w:val="-7"/>
          <w:u w:val="single"/>
        </w:rPr>
        <w:t> </w:t>
      </w:r>
      <w:r>
        <w:rPr>
          <w:u w:val="single"/>
        </w:rPr>
        <w:t>Management</w:t>
      </w:r>
      <w:r>
        <w:rPr>
          <w:spacing w:val="-4"/>
          <w:u w:val="single"/>
        </w:rPr>
        <w:t> </w:t>
      </w:r>
      <w:r>
        <w:rPr>
          <w:u w:val="single"/>
        </w:rPr>
        <w:t>Theory</w:t>
      </w:r>
      <w:r>
        <w:rPr>
          <w:spacing w:val="-8"/>
          <w:u w:val="single"/>
        </w:rPr>
        <w:t> </w:t>
      </w:r>
      <w:r>
        <w:rPr>
          <w:u w:val="single"/>
        </w:rPr>
        <w:t>on</w:t>
      </w:r>
      <w:r>
        <w:rPr>
          <w:spacing w:val="-3"/>
          <w:u w:val="single"/>
        </w:rPr>
        <w:t> </w:t>
      </w:r>
      <w:r>
        <w:rPr>
          <w:u w:val="single"/>
        </w:rPr>
        <w:t>Adolescent</w:t>
      </w:r>
      <w:r>
        <w:rPr>
          <w:spacing w:val="-4"/>
          <w:u w:val="single"/>
        </w:rPr>
        <w:t> </w:t>
      </w:r>
      <w:r>
        <w:rPr>
          <w:u w:val="single"/>
        </w:rPr>
        <w:t>with</w:t>
      </w:r>
      <w:r>
        <w:rPr>
          <w:spacing w:val="-3"/>
          <w:u w:val="single"/>
        </w:rPr>
        <w:t> </w:t>
      </w:r>
      <w:r>
        <w:rPr>
          <w:u w:val="single"/>
        </w:rPr>
        <w:t>Maladaptive</w:t>
      </w:r>
      <w:r>
        <w:rPr/>
        <w:t> </w:t>
      </w:r>
      <w:r>
        <w:rPr>
          <w:spacing w:val="-2"/>
          <w:u w:val="single"/>
        </w:rPr>
        <w:t>Behaviour</w:t>
      </w:r>
      <w:r>
        <w:rPr>
          <w:spacing w:val="-2"/>
        </w:rPr>
        <w:t>.</w:t>
      </w:r>
    </w:p>
    <w:p>
      <w:pPr>
        <w:pStyle w:val="BodyText"/>
        <w:spacing w:before="1"/>
      </w:pPr>
    </w:p>
    <w:p>
      <w:pPr>
        <w:pStyle w:val="BodyText"/>
        <w:ind w:left="580"/>
      </w:pPr>
      <w:r>
        <w:rPr/>
        <w:t>Eluma,</w:t>
      </w:r>
      <w:r>
        <w:rPr>
          <w:spacing w:val="-9"/>
        </w:rPr>
        <w:t> </w:t>
      </w:r>
      <w:r>
        <w:rPr/>
        <w:t>S.N.</w:t>
      </w:r>
      <w:r>
        <w:rPr>
          <w:spacing w:val="-8"/>
        </w:rPr>
        <w:t> </w:t>
      </w:r>
      <w:r>
        <w:rPr/>
        <w:t>(1975).</w:t>
      </w:r>
      <w:r>
        <w:rPr>
          <w:spacing w:val="50"/>
        </w:rPr>
        <w:t> </w:t>
      </w:r>
      <w:r>
        <w:rPr/>
        <w:t>Introducing</w:t>
      </w:r>
      <w:r>
        <w:rPr>
          <w:spacing w:val="-8"/>
        </w:rPr>
        <w:t> </w:t>
      </w:r>
      <w:r>
        <w:rPr/>
        <w:t>Management</w:t>
      </w:r>
      <w:r>
        <w:rPr>
          <w:spacing w:val="-8"/>
        </w:rPr>
        <w:t> </w:t>
      </w:r>
      <w:r>
        <w:rPr/>
        <w:t>By</w:t>
      </w:r>
      <w:r>
        <w:rPr>
          <w:spacing w:val="-8"/>
        </w:rPr>
        <w:t> </w:t>
      </w:r>
      <w:r>
        <w:rPr/>
        <w:t>Objectives</w:t>
      </w:r>
      <w:r>
        <w:rPr>
          <w:spacing w:val="-9"/>
        </w:rPr>
        <w:t> </w:t>
      </w:r>
      <w:r>
        <w:rPr/>
        <w:t>in</w:t>
      </w:r>
      <w:r>
        <w:rPr>
          <w:spacing w:val="-7"/>
        </w:rPr>
        <w:t> </w:t>
      </w:r>
      <w:r>
        <w:rPr/>
        <w:t>Higher</w:t>
      </w:r>
      <w:r>
        <w:rPr>
          <w:spacing w:val="-7"/>
        </w:rPr>
        <w:t> </w:t>
      </w:r>
      <w:r>
        <w:rPr>
          <w:spacing w:val="-2"/>
        </w:rPr>
        <w:t>Education.</w:t>
      </w:r>
    </w:p>
    <w:p>
      <w:pPr>
        <w:pStyle w:val="BodyText"/>
        <w:spacing w:line="237" w:lineRule="auto" w:before="5"/>
        <w:ind w:left="940"/>
      </w:pPr>
      <w:r>
        <w:rPr>
          <w:u w:val="single"/>
        </w:rPr>
        <w:t>West African Journal</w:t>
      </w:r>
      <w:r>
        <w:rPr>
          <w:spacing w:val="21"/>
          <w:u w:val="single"/>
        </w:rPr>
        <w:t> </w:t>
      </w:r>
      <w:r>
        <w:rPr>
          <w:u w:val="single"/>
        </w:rPr>
        <w:t>of Education</w:t>
      </w:r>
      <w:r>
        <w:rPr/>
        <w:t>.</w:t>
      </w:r>
      <w:r>
        <w:rPr>
          <w:spacing w:val="80"/>
        </w:rPr>
        <w:t> </w:t>
      </w:r>
      <w:r>
        <w:rPr/>
        <w:t>No. 2, Vol. XIX pp 199 – 205.</w:t>
      </w:r>
      <w:r>
        <w:rPr>
          <w:spacing w:val="80"/>
        </w:rPr>
        <w:t> </w:t>
      </w:r>
      <w:r>
        <w:rPr/>
        <w:t>Collins Pub.</w:t>
      </w:r>
      <w:r>
        <w:rPr>
          <w:spacing w:val="40"/>
        </w:rPr>
        <w:t> </w:t>
      </w:r>
      <w:r>
        <w:rPr/>
        <w:t>1995, Ibadan.</w:t>
      </w:r>
    </w:p>
    <w:p>
      <w:pPr>
        <w:pStyle w:val="BodyText"/>
      </w:pPr>
    </w:p>
    <w:p>
      <w:pPr>
        <w:pStyle w:val="BodyText"/>
        <w:tabs>
          <w:tab w:pos="6546" w:val="left" w:leader="none"/>
          <w:tab w:pos="9167" w:val="left" w:leader="none"/>
        </w:tabs>
        <w:spacing w:before="1"/>
        <w:ind w:left="940" w:right="294" w:hanging="360"/>
      </w:pPr>
      <w:r>
        <w:rPr/>
        <w:t>Emma, E.E. (1933).</w:t>
      </w:r>
      <w:r>
        <w:rPr>
          <w:spacing w:val="40"/>
        </w:rPr>
        <w:t> </w:t>
      </w:r>
      <w:r>
        <w:rPr>
          <w:u w:val="single"/>
        </w:rPr>
        <w:t>The Adjustment problem of College Freshmen</w:t>
      </w:r>
      <w:r>
        <w:rPr/>
        <w:t>.</w:t>
      </w:r>
      <w:r>
        <w:rPr>
          <w:spacing w:val="40"/>
        </w:rPr>
        <w:t> </w:t>
      </w:r>
      <w:r>
        <w:rPr/>
        <w:t>Nashville – Jennersee</w:t>
      </w:r>
      <w:r>
        <w:rPr>
          <w:spacing w:val="40"/>
        </w:rPr>
        <w:t> </w:t>
      </w:r>
      <w:r>
        <w:rPr/>
        <w:t>Cohenbeny</w:t>
      </w:r>
      <w:r>
        <w:rPr>
          <w:spacing w:val="40"/>
        </w:rPr>
        <w:t> </w:t>
      </w:r>
      <w:r>
        <w:rPr/>
        <w:t>Press</w:t>
      </w:r>
      <w:r>
        <w:rPr>
          <w:spacing w:val="40"/>
        </w:rPr>
        <w:t> </w:t>
      </w:r>
      <w:r>
        <w:rPr/>
        <w:t>1933,</w:t>
      </w:r>
      <w:r>
        <w:rPr>
          <w:spacing w:val="40"/>
        </w:rPr>
        <w:t> </w:t>
      </w:r>
      <w:r>
        <w:rPr/>
        <w:t>New</w:t>
      </w:r>
      <w:r>
        <w:rPr>
          <w:spacing w:val="40"/>
        </w:rPr>
        <w:t> </w:t>
      </w:r>
      <w:r>
        <w:rPr/>
        <w:t>York.</w:t>
        <w:tab/>
      </w:r>
      <w:r>
        <w:rPr>
          <w:u w:val="single"/>
        </w:rPr>
        <w:t>In</w:t>
      </w:r>
      <w:r>
        <w:rPr>
          <w:spacing w:val="40"/>
        </w:rPr>
        <w:t> </w:t>
      </w:r>
      <w:r>
        <w:rPr/>
        <w:t>Bello,</w:t>
      </w:r>
      <w:r>
        <w:rPr>
          <w:spacing w:val="40"/>
        </w:rPr>
        <w:t> </w:t>
      </w:r>
      <w:r>
        <w:rPr/>
        <w:t>J.Y</w:t>
      </w:r>
      <w:r>
        <w:rPr>
          <w:spacing w:val="40"/>
        </w:rPr>
        <w:t> </w:t>
      </w:r>
      <w:r>
        <w:rPr/>
        <w:t>(1983).</w:t>
        <w:tab/>
      </w:r>
      <w:r>
        <w:rPr>
          <w:spacing w:val="-4"/>
        </w:rPr>
        <w:t>The </w:t>
      </w:r>
      <w:r>
        <w:rPr/>
        <w:t>Identification</w:t>
      </w:r>
      <w:r>
        <w:rPr>
          <w:spacing w:val="40"/>
        </w:rPr>
        <w:t> </w:t>
      </w:r>
      <w:r>
        <w:rPr/>
        <w:t>of</w:t>
      </w:r>
      <w:r>
        <w:rPr>
          <w:spacing w:val="40"/>
        </w:rPr>
        <w:t> </w:t>
      </w:r>
      <w:r>
        <w:rPr/>
        <w:t>Problems</w:t>
      </w:r>
      <w:r>
        <w:rPr>
          <w:spacing w:val="40"/>
        </w:rPr>
        <w:t> </w:t>
      </w:r>
      <w:r>
        <w:rPr/>
        <w:t>Facing</w:t>
      </w:r>
      <w:r>
        <w:rPr>
          <w:spacing w:val="40"/>
        </w:rPr>
        <w:t> </w:t>
      </w:r>
      <w:r>
        <w:rPr/>
        <w:t>Students</w:t>
      </w:r>
      <w:r>
        <w:rPr>
          <w:spacing w:val="36"/>
        </w:rPr>
        <w:t> </w:t>
      </w:r>
      <w:r>
        <w:rPr/>
        <w:t>of</w:t>
      </w:r>
      <w:r>
        <w:rPr>
          <w:spacing w:val="40"/>
        </w:rPr>
        <w:t> </w:t>
      </w:r>
      <w:r>
        <w:rPr/>
        <w:t>Advanced</w:t>
      </w:r>
      <w:r>
        <w:rPr>
          <w:spacing w:val="40"/>
        </w:rPr>
        <w:t> </w:t>
      </w:r>
      <w:r>
        <w:rPr/>
        <w:t>Teachers</w:t>
      </w:r>
      <w:r>
        <w:rPr>
          <w:spacing w:val="40"/>
        </w:rPr>
        <w:t> </w:t>
      </w:r>
      <w:r>
        <w:rPr/>
        <w:t>Colleges</w:t>
      </w:r>
      <w:r>
        <w:rPr>
          <w:spacing w:val="40"/>
        </w:rPr>
        <w:t> </w:t>
      </w:r>
      <w:r>
        <w:rPr/>
        <w:t>in Nigeria.</w:t>
      </w:r>
      <w:r>
        <w:rPr>
          <w:spacing w:val="40"/>
        </w:rPr>
        <w:t> </w:t>
      </w:r>
      <w:r>
        <w:rPr/>
        <w:t>Ph.D Thesis, Faculty of Education, ABU., Zaria. pp. 14 – 16.</w:t>
      </w:r>
    </w:p>
    <w:p>
      <w:pPr>
        <w:pStyle w:val="BodyText"/>
        <w:spacing w:before="4"/>
      </w:pPr>
    </w:p>
    <w:p>
      <w:pPr>
        <w:pStyle w:val="BodyText"/>
        <w:spacing w:line="237" w:lineRule="auto"/>
        <w:ind w:left="1007" w:right="863" w:hanging="428"/>
      </w:pPr>
      <w:r>
        <w:rPr/>
        <w:t>Emerson,</w:t>
      </w:r>
      <w:r>
        <w:rPr>
          <w:spacing w:val="-3"/>
        </w:rPr>
        <w:t> </w:t>
      </w:r>
      <w:r>
        <w:rPr/>
        <w:t>D.</w:t>
      </w:r>
      <w:r>
        <w:rPr>
          <w:spacing w:val="-3"/>
        </w:rPr>
        <w:t> </w:t>
      </w:r>
      <w:r>
        <w:rPr/>
        <w:t>(1968).</w:t>
      </w:r>
      <w:r>
        <w:rPr>
          <w:spacing w:val="40"/>
        </w:rPr>
        <w:t> </w:t>
      </w:r>
      <w:r>
        <w:rPr>
          <w:u w:val="single"/>
        </w:rPr>
        <w:t>Students</w:t>
      </w:r>
      <w:r>
        <w:rPr>
          <w:spacing w:val="-3"/>
          <w:u w:val="single"/>
        </w:rPr>
        <w:t> </w:t>
      </w:r>
      <w:r>
        <w:rPr>
          <w:u w:val="single"/>
        </w:rPr>
        <w:t>and</w:t>
      </w:r>
      <w:r>
        <w:rPr>
          <w:spacing w:val="-6"/>
          <w:u w:val="single"/>
        </w:rPr>
        <w:t> </w:t>
      </w:r>
      <w:r>
        <w:rPr>
          <w:u w:val="single"/>
        </w:rPr>
        <w:t>Politics</w:t>
      </w:r>
      <w:r>
        <w:rPr>
          <w:spacing w:val="-7"/>
          <w:u w:val="single"/>
        </w:rPr>
        <w:t> </w:t>
      </w:r>
      <w:r>
        <w:rPr>
          <w:u w:val="single"/>
        </w:rPr>
        <w:t>in</w:t>
      </w:r>
      <w:r>
        <w:rPr>
          <w:spacing w:val="-10"/>
          <w:u w:val="single"/>
        </w:rPr>
        <w:t> </w:t>
      </w:r>
      <w:r>
        <w:rPr>
          <w:u w:val="single"/>
        </w:rPr>
        <w:t>Developing</w:t>
      </w:r>
      <w:r>
        <w:rPr>
          <w:spacing w:val="-2"/>
          <w:u w:val="single"/>
        </w:rPr>
        <w:t> </w:t>
      </w:r>
      <w:r>
        <w:rPr>
          <w:u w:val="single"/>
        </w:rPr>
        <w:t>Nations</w:t>
      </w:r>
      <w:r>
        <w:rPr/>
        <w:t>.</w:t>
      </w:r>
      <w:r>
        <w:rPr>
          <w:spacing w:val="40"/>
        </w:rPr>
        <w:t> </w:t>
      </w:r>
      <w:r>
        <w:rPr/>
        <w:t>Draeger Books Ltd, New York.</w:t>
      </w:r>
    </w:p>
    <w:p>
      <w:pPr>
        <w:pStyle w:val="BodyText"/>
        <w:spacing w:before="1"/>
      </w:pPr>
    </w:p>
    <w:p>
      <w:pPr>
        <w:pStyle w:val="BodyText"/>
        <w:tabs>
          <w:tab w:pos="4073" w:val="left" w:leader="none"/>
          <w:tab w:pos="6971" w:val="left" w:leader="none"/>
        </w:tabs>
        <w:ind w:left="940" w:right="296" w:hanging="360"/>
      </w:pPr>
      <w:r>
        <w:rPr/>
        <w:t>Esen, A.J.A. (1972).</w:t>
      </w:r>
      <w:r>
        <w:rPr>
          <w:spacing w:val="80"/>
        </w:rPr>
        <w:t> </w:t>
      </w:r>
      <w:r>
        <w:rPr/>
        <w:t>“Students personal Services in Nigerian Universities; Evaluation</w:t>
      </w:r>
      <w:r>
        <w:rPr>
          <w:spacing w:val="40"/>
        </w:rPr>
        <w:t> </w:t>
      </w:r>
      <w:r>
        <w:rPr/>
        <w:t>and</w:t>
      </w:r>
      <w:r>
        <w:rPr>
          <w:spacing w:val="40"/>
        </w:rPr>
        <w:t> </w:t>
      </w:r>
      <w:r>
        <w:rPr/>
        <w:t>proposals.”</w:t>
        <w:tab/>
        <w:t>Unpub.</w:t>
      </w:r>
      <w:r>
        <w:rPr>
          <w:spacing w:val="33"/>
        </w:rPr>
        <w:t> </w:t>
      </w:r>
      <w:r>
        <w:rPr/>
        <w:t>Ph.D</w:t>
      </w:r>
      <w:r>
        <w:rPr>
          <w:spacing w:val="33"/>
        </w:rPr>
        <w:t> </w:t>
      </w:r>
      <w:r>
        <w:rPr/>
        <w:t>Thesis, Teachers</w:t>
      </w:r>
      <w:r>
        <w:rPr>
          <w:spacing w:val="33"/>
        </w:rPr>
        <w:t> </w:t>
      </w:r>
      <w:r>
        <w:rPr/>
        <w:t>College,</w:t>
      </w:r>
      <w:r>
        <w:rPr>
          <w:spacing w:val="33"/>
        </w:rPr>
        <w:t> </w:t>
      </w:r>
      <w:r>
        <w:rPr/>
        <w:t>Columbia University,</w:t>
      </w:r>
      <w:r>
        <w:rPr>
          <w:spacing w:val="-2"/>
        </w:rPr>
        <w:t> </w:t>
      </w:r>
      <w:r>
        <w:rPr/>
        <w:t>New</w:t>
      </w:r>
      <w:r>
        <w:rPr>
          <w:spacing w:val="-7"/>
        </w:rPr>
        <w:t> </w:t>
      </w:r>
      <w:r>
        <w:rPr/>
        <w:t>York.</w:t>
      </w:r>
      <w:r>
        <w:rPr>
          <w:spacing w:val="40"/>
        </w:rPr>
        <w:t> </w:t>
      </w:r>
      <w:r>
        <w:rPr>
          <w:u w:val="single"/>
        </w:rPr>
        <w:t>In</w:t>
      </w:r>
      <w:r>
        <w:rPr>
          <w:spacing w:val="-1"/>
        </w:rPr>
        <w:t> </w:t>
      </w:r>
      <w:r>
        <w:rPr/>
        <w:t>Bello,</w:t>
      </w:r>
      <w:r>
        <w:rPr>
          <w:spacing w:val="-2"/>
        </w:rPr>
        <w:t> </w:t>
      </w:r>
      <w:r>
        <w:rPr/>
        <w:t>J.Y</w:t>
      </w:r>
      <w:r>
        <w:rPr>
          <w:spacing w:val="-3"/>
        </w:rPr>
        <w:t> </w:t>
      </w:r>
      <w:r>
        <w:rPr/>
        <w:t>(1983).</w:t>
      </w:r>
      <w:r>
        <w:rPr>
          <w:spacing w:val="40"/>
        </w:rPr>
        <w:t> </w:t>
      </w:r>
      <w:r>
        <w:rPr/>
        <w:t>The</w:t>
      </w:r>
      <w:r>
        <w:rPr>
          <w:spacing w:val="-1"/>
        </w:rPr>
        <w:t> </w:t>
      </w:r>
      <w:r>
        <w:rPr/>
        <w:t>Identification</w:t>
      </w:r>
      <w:r>
        <w:rPr>
          <w:spacing w:val="-1"/>
        </w:rPr>
        <w:t> </w:t>
      </w:r>
      <w:r>
        <w:rPr/>
        <w:t>of</w:t>
      </w:r>
      <w:r>
        <w:rPr>
          <w:spacing w:val="-2"/>
        </w:rPr>
        <w:t> </w:t>
      </w:r>
      <w:r>
        <w:rPr/>
        <w:t>Problems</w:t>
      </w:r>
      <w:r>
        <w:rPr>
          <w:spacing w:val="-2"/>
        </w:rPr>
        <w:t> </w:t>
      </w:r>
      <w:r>
        <w:rPr/>
        <w:t>Facing Students</w:t>
      </w:r>
      <w:r>
        <w:rPr>
          <w:spacing w:val="40"/>
        </w:rPr>
        <w:t> </w:t>
      </w:r>
      <w:r>
        <w:rPr/>
        <w:t>of</w:t>
      </w:r>
      <w:r>
        <w:rPr>
          <w:spacing w:val="40"/>
        </w:rPr>
        <w:t> </w:t>
      </w:r>
      <w:r>
        <w:rPr/>
        <w:t>Advanced</w:t>
      </w:r>
      <w:r>
        <w:rPr>
          <w:spacing w:val="40"/>
        </w:rPr>
        <w:t> </w:t>
      </w:r>
      <w:r>
        <w:rPr/>
        <w:t>Teachers</w:t>
      </w:r>
      <w:r>
        <w:rPr>
          <w:spacing w:val="40"/>
        </w:rPr>
        <w:t> </w:t>
      </w:r>
      <w:r>
        <w:rPr/>
        <w:t>Colleges</w:t>
      </w:r>
      <w:r>
        <w:rPr>
          <w:spacing w:val="40"/>
        </w:rPr>
        <w:t> </w:t>
      </w:r>
      <w:r>
        <w:rPr/>
        <w:t>in</w:t>
      </w:r>
      <w:r>
        <w:rPr>
          <w:spacing w:val="40"/>
        </w:rPr>
        <w:t> </w:t>
      </w:r>
      <w:r>
        <w:rPr/>
        <w:t>Nigeria.</w:t>
        <w:tab/>
        <w:t>Ph.D</w:t>
      </w:r>
      <w:r>
        <w:rPr>
          <w:spacing w:val="33"/>
        </w:rPr>
        <w:t> </w:t>
      </w:r>
      <w:r>
        <w:rPr/>
        <w:t>Thesis,</w:t>
      </w:r>
      <w:r>
        <w:rPr>
          <w:spacing w:val="29"/>
        </w:rPr>
        <w:t> </w:t>
      </w:r>
      <w:r>
        <w:rPr/>
        <w:t>Faculty</w:t>
      </w:r>
      <w:r>
        <w:rPr>
          <w:spacing w:val="29"/>
        </w:rPr>
        <w:t> </w:t>
      </w:r>
      <w:r>
        <w:rPr/>
        <w:t>of Education, ABU., Zaria. p. 43</w:t>
      </w:r>
    </w:p>
    <w:p>
      <w:pPr>
        <w:spacing w:after="0"/>
        <w:sectPr>
          <w:headerReference w:type="default" r:id="rId582"/>
          <w:footerReference w:type="default" r:id="rId583"/>
          <w:pgSz w:w="12240" w:h="15840"/>
          <w:pgMar w:header="722" w:footer="623" w:top="980" w:bottom="820" w:left="1220" w:right="1140"/>
        </w:sectPr>
      </w:pPr>
    </w:p>
    <w:p>
      <w:pPr>
        <w:pStyle w:val="BodyText"/>
      </w:pPr>
    </w:p>
    <w:p>
      <w:pPr>
        <w:pStyle w:val="BodyText"/>
        <w:spacing w:before="169"/>
      </w:pPr>
    </w:p>
    <w:p>
      <w:pPr>
        <w:pStyle w:val="BodyText"/>
        <w:ind w:left="940" w:hanging="360"/>
      </w:pPr>
      <w:r>
        <w:rPr/>
        <w:t>Ezeomah, C. (1975).</w:t>
      </w:r>
      <w:r>
        <w:rPr>
          <w:spacing w:val="40"/>
        </w:rPr>
        <w:t> </w:t>
      </w:r>
      <w:r>
        <w:rPr/>
        <w:t>“Students Revolt in Nigerian Post Primary Schools:</w:t>
      </w:r>
      <w:r>
        <w:rPr>
          <w:spacing w:val="40"/>
        </w:rPr>
        <w:t> </w:t>
      </w:r>
      <w:r>
        <w:rPr/>
        <w:t>Some Administrative causes and</w:t>
      </w:r>
      <w:r>
        <w:rPr>
          <w:spacing w:val="-2"/>
        </w:rPr>
        <w:t> </w:t>
      </w:r>
      <w:r>
        <w:rPr/>
        <w:t>remedies.”</w:t>
      </w:r>
      <w:r>
        <w:rPr>
          <w:spacing w:val="40"/>
        </w:rPr>
        <w:t> </w:t>
      </w:r>
      <w:r>
        <w:rPr/>
        <w:t>M.Ed thesis,</w:t>
      </w:r>
      <w:r>
        <w:rPr>
          <w:spacing w:val="-3"/>
        </w:rPr>
        <w:t> </w:t>
      </w:r>
      <w:r>
        <w:rPr/>
        <w:t>Faculty</w:t>
      </w:r>
      <w:r>
        <w:rPr>
          <w:spacing w:val="-3"/>
        </w:rPr>
        <w:t> </w:t>
      </w:r>
      <w:r>
        <w:rPr/>
        <w:t>of Education, A.B.U., </w:t>
      </w:r>
      <w:r>
        <w:rPr>
          <w:spacing w:val="-2"/>
        </w:rPr>
        <w:t>Zaria.</w:t>
      </w:r>
    </w:p>
    <w:p>
      <w:pPr>
        <w:pStyle w:val="BodyText"/>
      </w:pPr>
    </w:p>
    <w:p>
      <w:pPr>
        <w:pStyle w:val="BodyText"/>
        <w:spacing w:line="242" w:lineRule="auto"/>
        <w:ind w:left="940" w:hanging="360"/>
      </w:pPr>
      <w:r>
        <w:rPr/>
        <w:t>Federal</w:t>
      </w:r>
      <w:r>
        <w:rPr>
          <w:spacing w:val="-3"/>
        </w:rPr>
        <w:t> </w:t>
      </w:r>
      <w:r>
        <w:rPr/>
        <w:t>Republic</w:t>
      </w:r>
      <w:r>
        <w:rPr>
          <w:spacing w:val="-3"/>
        </w:rPr>
        <w:t> </w:t>
      </w:r>
      <w:r>
        <w:rPr/>
        <w:t>of</w:t>
      </w:r>
      <w:r>
        <w:rPr>
          <w:spacing w:val="-7"/>
        </w:rPr>
        <w:t> </w:t>
      </w:r>
      <w:r>
        <w:rPr/>
        <w:t>Nigeria</w:t>
      </w:r>
      <w:r>
        <w:rPr>
          <w:spacing w:val="-6"/>
        </w:rPr>
        <w:t> </w:t>
      </w:r>
      <w:r>
        <w:rPr/>
        <w:t>(1981).</w:t>
      </w:r>
      <w:r>
        <w:rPr>
          <w:spacing w:val="40"/>
        </w:rPr>
        <w:t> </w:t>
      </w:r>
      <w:r>
        <w:rPr/>
        <w:t>National</w:t>
      </w:r>
      <w:r>
        <w:rPr>
          <w:spacing w:val="-3"/>
        </w:rPr>
        <w:t> </w:t>
      </w:r>
      <w:r>
        <w:rPr/>
        <w:t>Policy</w:t>
      </w:r>
      <w:r>
        <w:rPr>
          <w:spacing w:val="-3"/>
        </w:rPr>
        <w:t> </w:t>
      </w:r>
      <w:r>
        <w:rPr/>
        <w:t>on</w:t>
      </w:r>
      <w:r>
        <w:rPr>
          <w:spacing w:val="-2"/>
        </w:rPr>
        <w:t> </w:t>
      </w:r>
      <w:r>
        <w:rPr/>
        <w:t>Education</w:t>
      </w:r>
      <w:r>
        <w:rPr>
          <w:spacing w:val="-2"/>
        </w:rPr>
        <w:t> </w:t>
      </w:r>
      <w:r>
        <w:rPr/>
        <w:t>(Rev.</w:t>
      </w:r>
      <w:r>
        <w:rPr>
          <w:spacing w:val="-3"/>
        </w:rPr>
        <w:t> </w:t>
      </w:r>
      <w:r>
        <w:rPr/>
        <w:t>Ed.),</w:t>
      </w:r>
      <w:r>
        <w:rPr>
          <w:spacing w:val="-3"/>
        </w:rPr>
        <w:t> </w:t>
      </w:r>
      <w:r>
        <w:rPr/>
        <w:t>Lagos, Fed. Govt. Press.</w:t>
      </w:r>
    </w:p>
    <w:p>
      <w:pPr>
        <w:pStyle w:val="BodyText"/>
        <w:spacing w:line="237" w:lineRule="auto" w:before="275"/>
        <w:ind w:left="940" w:right="299" w:hanging="360"/>
      </w:pPr>
      <w:r>
        <w:rPr/>
        <w:t>Federal</w:t>
      </w:r>
      <w:r>
        <w:rPr>
          <w:spacing w:val="-4"/>
        </w:rPr>
        <w:t> </w:t>
      </w:r>
      <w:r>
        <w:rPr/>
        <w:t>Government</w:t>
      </w:r>
      <w:r>
        <w:rPr>
          <w:spacing w:val="-4"/>
        </w:rPr>
        <w:t> </w:t>
      </w:r>
      <w:r>
        <w:rPr/>
        <w:t>of</w:t>
      </w:r>
      <w:r>
        <w:rPr>
          <w:spacing w:val="-4"/>
        </w:rPr>
        <w:t> </w:t>
      </w:r>
      <w:r>
        <w:rPr/>
        <w:t>Nigeria</w:t>
      </w:r>
      <w:r>
        <w:rPr>
          <w:spacing w:val="-3"/>
        </w:rPr>
        <w:t> </w:t>
      </w:r>
      <w:r>
        <w:rPr/>
        <w:t>1999</w:t>
      </w:r>
      <w:r>
        <w:rPr>
          <w:spacing w:val="-3"/>
        </w:rPr>
        <w:t> </w:t>
      </w:r>
      <w:r>
        <w:rPr/>
        <w:t>Constitution</w:t>
      </w:r>
      <w:r>
        <w:rPr>
          <w:spacing w:val="-7"/>
        </w:rPr>
        <w:t> </w:t>
      </w:r>
      <w:r>
        <w:rPr/>
        <w:t>of</w:t>
      </w:r>
      <w:r>
        <w:rPr>
          <w:spacing w:val="-4"/>
        </w:rPr>
        <w:t> </w:t>
      </w:r>
      <w:r>
        <w:rPr/>
        <w:t>the</w:t>
      </w:r>
      <w:r>
        <w:rPr>
          <w:spacing w:val="-7"/>
        </w:rPr>
        <w:t> </w:t>
      </w:r>
      <w:r>
        <w:rPr/>
        <w:t>Federal Republic</w:t>
      </w:r>
      <w:r>
        <w:rPr>
          <w:spacing w:val="-4"/>
        </w:rPr>
        <w:t> </w:t>
      </w:r>
      <w:r>
        <w:rPr/>
        <w:t>of</w:t>
      </w:r>
      <w:r>
        <w:rPr>
          <w:spacing w:val="-4"/>
        </w:rPr>
        <w:t> </w:t>
      </w:r>
      <w:r>
        <w:rPr/>
        <w:t>Nigeria (a promulgation) Decree 1999.</w:t>
      </w:r>
    </w:p>
    <w:p>
      <w:pPr>
        <w:pStyle w:val="BodyText"/>
        <w:spacing w:before="1"/>
      </w:pPr>
    </w:p>
    <w:p>
      <w:pPr>
        <w:pStyle w:val="BodyText"/>
        <w:ind w:left="580"/>
      </w:pPr>
      <w:r>
        <w:rPr/>
        <w:t>Follett,</w:t>
      </w:r>
      <w:r>
        <w:rPr>
          <w:spacing w:val="-8"/>
        </w:rPr>
        <w:t> </w:t>
      </w:r>
      <w:r>
        <w:rPr/>
        <w:t>M.P.</w:t>
      </w:r>
      <w:r>
        <w:rPr>
          <w:spacing w:val="-7"/>
        </w:rPr>
        <w:t> </w:t>
      </w:r>
      <w:r>
        <w:rPr/>
        <w:t>(1940).</w:t>
      </w:r>
      <w:r>
        <w:rPr>
          <w:spacing w:val="53"/>
        </w:rPr>
        <w:t> </w:t>
      </w:r>
      <w:r>
        <w:rPr/>
        <w:t>Dynamic</w:t>
      </w:r>
      <w:r>
        <w:rPr>
          <w:spacing w:val="-7"/>
        </w:rPr>
        <w:t> </w:t>
      </w:r>
      <w:r>
        <w:rPr/>
        <w:t>Administration:</w:t>
      </w:r>
      <w:r>
        <w:rPr>
          <w:spacing w:val="48"/>
        </w:rPr>
        <w:t> </w:t>
      </w:r>
      <w:r>
        <w:rPr/>
        <w:t>The</w:t>
      </w:r>
      <w:r>
        <w:rPr>
          <w:spacing w:val="-6"/>
        </w:rPr>
        <w:t> </w:t>
      </w:r>
      <w:r>
        <w:rPr/>
        <w:t>Collected</w:t>
      </w:r>
      <w:r>
        <w:rPr>
          <w:spacing w:val="-7"/>
        </w:rPr>
        <w:t> </w:t>
      </w:r>
      <w:r>
        <w:rPr/>
        <w:t>papers</w:t>
      </w:r>
      <w:r>
        <w:rPr>
          <w:spacing w:val="-7"/>
        </w:rPr>
        <w:t> </w:t>
      </w:r>
      <w:r>
        <w:rPr/>
        <w:t>of</w:t>
      </w:r>
      <w:r>
        <w:rPr>
          <w:spacing w:val="-7"/>
        </w:rPr>
        <w:t> </w:t>
      </w:r>
      <w:r>
        <w:rPr>
          <w:spacing w:val="-4"/>
        </w:rPr>
        <w:t>Mary</w:t>
      </w:r>
    </w:p>
    <w:p>
      <w:pPr>
        <w:pStyle w:val="BodyText"/>
        <w:spacing w:line="237" w:lineRule="auto" w:before="5"/>
        <w:ind w:left="940"/>
      </w:pPr>
      <w:r>
        <w:rPr/>
        <w:t>Parker Follett.</w:t>
      </w:r>
      <w:r>
        <w:rPr>
          <w:spacing w:val="80"/>
        </w:rPr>
        <w:t> </w:t>
      </w:r>
      <w:r>
        <w:rPr/>
        <w:t>In Musaazi, J.C.S. (1989).</w:t>
      </w:r>
      <w:r>
        <w:rPr>
          <w:spacing w:val="80"/>
        </w:rPr>
        <w:t> </w:t>
      </w:r>
      <w:r>
        <w:rPr>
          <w:u w:val="single"/>
        </w:rPr>
        <w:t>Theory of Education Administration</w:t>
      </w:r>
      <w:r>
        <w:rPr/>
        <w:t>.</w:t>
      </w:r>
      <w:r>
        <w:rPr>
          <w:spacing w:val="40"/>
        </w:rPr>
        <w:t> </w:t>
      </w:r>
      <w:r>
        <w:rPr/>
        <w:t>Macmillan Press, London, pp 35 – 36.</w:t>
      </w:r>
    </w:p>
    <w:p>
      <w:pPr>
        <w:pStyle w:val="BodyText"/>
        <w:spacing w:before="1"/>
      </w:pPr>
    </w:p>
    <w:p>
      <w:pPr>
        <w:pStyle w:val="BodyText"/>
        <w:spacing w:line="242" w:lineRule="auto"/>
        <w:ind w:left="940" w:right="299" w:hanging="360"/>
      </w:pPr>
      <w:r>
        <w:rPr/>
        <w:t>Fox,</w:t>
      </w:r>
      <w:r>
        <w:rPr>
          <w:spacing w:val="-2"/>
        </w:rPr>
        <w:t> </w:t>
      </w:r>
      <w:r>
        <w:rPr/>
        <w:t>D.J.</w:t>
      </w:r>
      <w:r>
        <w:rPr>
          <w:spacing w:val="-2"/>
        </w:rPr>
        <w:t> </w:t>
      </w:r>
      <w:r>
        <w:rPr/>
        <w:t>(1969) The</w:t>
      </w:r>
      <w:r>
        <w:rPr>
          <w:spacing w:val="-1"/>
        </w:rPr>
        <w:t> </w:t>
      </w:r>
      <w:r>
        <w:rPr/>
        <w:t>Research</w:t>
      </w:r>
      <w:r>
        <w:rPr>
          <w:spacing w:val="-1"/>
        </w:rPr>
        <w:t> </w:t>
      </w:r>
      <w:r>
        <w:rPr/>
        <w:t>Process</w:t>
      </w:r>
      <w:r>
        <w:rPr>
          <w:spacing w:val="-7"/>
        </w:rPr>
        <w:t> </w:t>
      </w:r>
      <w:r>
        <w:rPr/>
        <w:t>in</w:t>
      </w:r>
      <w:r>
        <w:rPr>
          <w:spacing w:val="-5"/>
        </w:rPr>
        <w:t> </w:t>
      </w:r>
      <w:r>
        <w:rPr/>
        <w:t>Education:</w:t>
      </w:r>
      <w:r>
        <w:rPr>
          <w:spacing w:val="-2"/>
        </w:rPr>
        <w:t> </w:t>
      </w:r>
      <w:r>
        <w:rPr/>
        <w:t>Holt</w:t>
      </w:r>
      <w:r>
        <w:rPr>
          <w:spacing w:val="-2"/>
        </w:rPr>
        <w:t> </w:t>
      </w:r>
      <w:r>
        <w:rPr/>
        <w:t>Rineheart</w:t>
      </w:r>
      <w:r>
        <w:rPr>
          <w:spacing w:val="-6"/>
        </w:rPr>
        <w:t> </w:t>
      </w:r>
      <w:r>
        <w:rPr/>
        <w:t>and</w:t>
      </w:r>
      <w:r>
        <w:rPr>
          <w:spacing w:val="-10"/>
        </w:rPr>
        <w:t> </w:t>
      </w:r>
      <w:r>
        <w:rPr/>
        <w:t>Winston, New York p.370</w:t>
      </w:r>
    </w:p>
    <w:p>
      <w:pPr>
        <w:pStyle w:val="BodyText"/>
        <w:spacing w:line="237" w:lineRule="auto" w:before="275"/>
        <w:ind w:left="940" w:right="863" w:hanging="360"/>
      </w:pPr>
      <w:r>
        <w:rPr/>
        <w:t>Friday,</w:t>
      </w:r>
      <w:r>
        <w:rPr>
          <w:spacing w:val="-2"/>
        </w:rPr>
        <w:t> </w:t>
      </w:r>
      <w:r>
        <w:rPr/>
        <w:t>O.</w:t>
      </w:r>
      <w:r>
        <w:rPr>
          <w:spacing w:val="-2"/>
        </w:rPr>
        <w:t> </w:t>
      </w:r>
      <w:r>
        <w:rPr/>
        <w:t>(1987).</w:t>
      </w:r>
      <w:r>
        <w:rPr>
          <w:spacing w:val="40"/>
        </w:rPr>
        <w:t> </w:t>
      </w:r>
      <w:r>
        <w:rPr/>
        <w:t>“Feeding</w:t>
      </w:r>
      <w:r>
        <w:rPr>
          <w:spacing w:val="-1"/>
        </w:rPr>
        <w:t> </w:t>
      </w:r>
      <w:r>
        <w:rPr/>
        <w:t>with</w:t>
      </w:r>
      <w:r>
        <w:rPr>
          <w:spacing w:val="-5"/>
        </w:rPr>
        <w:t> </w:t>
      </w:r>
      <w:r>
        <w:rPr/>
        <w:t>Tears;</w:t>
      </w:r>
      <w:r>
        <w:rPr>
          <w:spacing w:val="-2"/>
        </w:rPr>
        <w:t> </w:t>
      </w:r>
      <w:r>
        <w:rPr/>
        <w:t>Days</w:t>
      </w:r>
      <w:r>
        <w:rPr>
          <w:spacing w:val="-7"/>
        </w:rPr>
        <w:t> </w:t>
      </w:r>
      <w:r>
        <w:rPr/>
        <w:t>of</w:t>
      </w:r>
      <w:r>
        <w:rPr>
          <w:spacing w:val="-2"/>
        </w:rPr>
        <w:t> </w:t>
      </w:r>
      <w:r>
        <w:rPr/>
        <w:t>balanced</w:t>
      </w:r>
      <w:r>
        <w:rPr>
          <w:spacing w:val="-5"/>
        </w:rPr>
        <w:t> </w:t>
      </w:r>
      <w:r>
        <w:rPr/>
        <w:t>diet</w:t>
      </w:r>
      <w:r>
        <w:rPr>
          <w:spacing w:val="-6"/>
        </w:rPr>
        <w:t> </w:t>
      </w:r>
      <w:r>
        <w:rPr/>
        <w:t>is</w:t>
      </w:r>
      <w:r>
        <w:rPr>
          <w:spacing w:val="-2"/>
        </w:rPr>
        <w:t> </w:t>
      </w:r>
      <w:r>
        <w:rPr/>
        <w:t>over</w:t>
      </w:r>
      <w:r>
        <w:rPr>
          <w:spacing w:val="-5"/>
        </w:rPr>
        <w:t> </w:t>
      </w:r>
      <w:r>
        <w:rPr/>
        <w:t>in</w:t>
      </w:r>
      <w:r>
        <w:rPr>
          <w:spacing w:val="-1"/>
        </w:rPr>
        <w:t> </w:t>
      </w:r>
      <w:r>
        <w:rPr/>
        <w:t>our varsities.”</w:t>
      </w:r>
      <w:r>
        <w:rPr>
          <w:spacing w:val="40"/>
        </w:rPr>
        <w:t> </w:t>
      </w:r>
      <w:r>
        <w:rPr>
          <w:u w:val="single"/>
        </w:rPr>
        <w:t>Sunday Times</w:t>
      </w:r>
      <w:r>
        <w:rPr/>
        <w:t> March 29, 1987, p. 8</w:t>
      </w:r>
    </w:p>
    <w:p>
      <w:pPr>
        <w:pStyle w:val="BodyText"/>
        <w:spacing w:before="1"/>
      </w:pPr>
    </w:p>
    <w:p>
      <w:pPr>
        <w:pStyle w:val="BodyText"/>
        <w:spacing w:line="242" w:lineRule="auto"/>
        <w:ind w:left="940" w:right="529" w:hanging="360"/>
      </w:pPr>
      <w:r>
        <w:rPr/>
        <w:t>Funsho, J.A. (2001).</w:t>
      </w:r>
      <w:r>
        <w:rPr>
          <w:spacing w:val="80"/>
        </w:rPr>
        <w:t> </w:t>
      </w:r>
      <w:r>
        <w:rPr/>
        <w:t>Organizing for Higher Productivity in a volatile environment. A</w:t>
      </w:r>
      <w:r>
        <w:rPr>
          <w:spacing w:val="-5"/>
        </w:rPr>
        <w:t> </w:t>
      </w:r>
      <w:r>
        <w:rPr/>
        <w:t>paper</w:t>
      </w:r>
      <w:r>
        <w:rPr>
          <w:spacing w:val="-2"/>
        </w:rPr>
        <w:t> </w:t>
      </w:r>
      <w:r>
        <w:rPr/>
        <w:t>presented</w:t>
      </w:r>
      <w:r>
        <w:rPr>
          <w:spacing w:val="-3"/>
        </w:rPr>
        <w:t> </w:t>
      </w:r>
      <w:r>
        <w:rPr/>
        <w:t>at</w:t>
      </w:r>
      <w:r>
        <w:rPr>
          <w:spacing w:val="-4"/>
        </w:rPr>
        <w:t> </w:t>
      </w:r>
      <w:r>
        <w:rPr/>
        <w:t>a</w:t>
      </w:r>
      <w:r>
        <w:rPr>
          <w:spacing w:val="-7"/>
        </w:rPr>
        <w:t> </w:t>
      </w:r>
      <w:r>
        <w:rPr/>
        <w:t>swearing-in</w:t>
      </w:r>
      <w:r>
        <w:rPr>
          <w:spacing w:val="-3"/>
        </w:rPr>
        <w:t> </w:t>
      </w:r>
      <w:r>
        <w:rPr/>
        <w:t>ceremony of</w:t>
      </w:r>
      <w:r>
        <w:rPr>
          <w:spacing w:val="-4"/>
        </w:rPr>
        <w:t> </w:t>
      </w:r>
      <w:r>
        <w:rPr/>
        <w:t>Exco</w:t>
      </w:r>
      <w:r>
        <w:rPr>
          <w:spacing w:val="-3"/>
        </w:rPr>
        <w:t> </w:t>
      </w:r>
      <w:r>
        <w:rPr/>
        <w:t>of</w:t>
      </w:r>
      <w:r>
        <w:rPr>
          <w:spacing w:val="-4"/>
        </w:rPr>
        <w:t> </w:t>
      </w:r>
      <w:r>
        <w:rPr/>
        <w:t>SSANU,</w:t>
      </w:r>
      <w:r>
        <w:rPr>
          <w:spacing w:val="-4"/>
        </w:rPr>
        <w:t> </w:t>
      </w:r>
      <w:r>
        <w:rPr/>
        <w:t>ABU</w:t>
      </w:r>
      <w:r>
        <w:rPr>
          <w:spacing w:val="-4"/>
        </w:rPr>
        <w:t> </w:t>
      </w:r>
      <w:r>
        <w:rPr/>
        <w:t>Branch.</w:t>
      </w:r>
    </w:p>
    <w:p>
      <w:pPr>
        <w:pStyle w:val="BodyText"/>
        <w:spacing w:line="237" w:lineRule="auto" w:before="275"/>
        <w:ind w:left="940" w:right="863" w:hanging="360"/>
      </w:pPr>
      <w:r>
        <w:rPr/>
        <w:t>Goodlad,</w:t>
      </w:r>
      <w:r>
        <w:rPr>
          <w:spacing w:val="-3"/>
        </w:rPr>
        <w:t> </w:t>
      </w:r>
      <w:r>
        <w:rPr/>
        <w:t>S.</w:t>
      </w:r>
      <w:r>
        <w:rPr>
          <w:spacing w:val="-3"/>
        </w:rPr>
        <w:t> </w:t>
      </w:r>
      <w:r>
        <w:rPr/>
        <w:t>(1976).</w:t>
      </w:r>
      <w:r>
        <w:rPr>
          <w:spacing w:val="40"/>
        </w:rPr>
        <w:t> </w:t>
      </w:r>
      <w:r>
        <w:rPr>
          <w:u w:val="single"/>
        </w:rPr>
        <w:t>Conflict</w:t>
      </w:r>
      <w:r>
        <w:rPr>
          <w:spacing w:val="-7"/>
          <w:u w:val="single"/>
        </w:rPr>
        <w:t> </w:t>
      </w:r>
      <w:r>
        <w:rPr>
          <w:u w:val="single"/>
        </w:rPr>
        <w:t>and</w:t>
      </w:r>
      <w:r>
        <w:rPr>
          <w:spacing w:val="-2"/>
          <w:u w:val="single"/>
        </w:rPr>
        <w:t> </w:t>
      </w:r>
      <w:r>
        <w:rPr>
          <w:u w:val="single"/>
        </w:rPr>
        <w:t>Consensus</w:t>
      </w:r>
      <w:r>
        <w:rPr>
          <w:spacing w:val="-8"/>
          <w:u w:val="single"/>
        </w:rPr>
        <w:t> </w:t>
      </w:r>
      <w:r>
        <w:rPr>
          <w:u w:val="single"/>
        </w:rPr>
        <w:t>in</w:t>
      </w:r>
      <w:r>
        <w:rPr>
          <w:spacing w:val="-2"/>
          <w:u w:val="single"/>
        </w:rPr>
        <w:t> </w:t>
      </w:r>
      <w:r>
        <w:rPr>
          <w:u w:val="single"/>
        </w:rPr>
        <w:t>Higher</w:t>
      </w:r>
      <w:r>
        <w:rPr>
          <w:spacing w:val="-2"/>
          <w:u w:val="single"/>
        </w:rPr>
        <w:t> </w:t>
      </w:r>
      <w:r>
        <w:rPr>
          <w:u w:val="single"/>
        </w:rPr>
        <w:t>Education</w:t>
      </w:r>
      <w:r>
        <w:rPr/>
        <w:t>.</w:t>
      </w:r>
      <w:r>
        <w:rPr>
          <w:spacing w:val="40"/>
        </w:rPr>
        <w:t> </w:t>
      </w:r>
      <w:r>
        <w:rPr/>
        <w:t>Holder</w:t>
      </w:r>
      <w:r>
        <w:rPr>
          <w:spacing w:val="-2"/>
        </w:rPr>
        <w:t> </w:t>
      </w:r>
      <w:r>
        <w:rPr/>
        <w:t>and Stoughton pub. 1976, London.</w:t>
      </w:r>
    </w:p>
    <w:p>
      <w:pPr>
        <w:pStyle w:val="BodyText"/>
        <w:spacing w:before="1"/>
      </w:pPr>
    </w:p>
    <w:p>
      <w:pPr>
        <w:pStyle w:val="BodyText"/>
        <w:tabs>
          <w:tab w:pos="8139" w:val="left" w:leader="none"/>
        </w:tabs>
        <w:spacing w:line="242" w:lineRule="auto"/>
        <w:ind w:left="940" w:right="735" w:hanging="360"/>
      </w:pPr>
      <w:r>
        <w:rPr/>
        <w:t>Graca, M. (1997).</w:t>
      </w:r>
      <w:r>
        <w:rPr>
          <w:spacing w:val="40"/>
        </w:rPr>
        <w:t> </w:t>
      </w:r>
      <w:r>
        <w:rPr/>
        <w:t>‘Conflicts and the African Child.’</w:t>
      </w:r>
      <w:r>
        <w:rPr>
          <w:spacing w:val="40"/>
        </w:rPr>
        <w:t> </w:t>
      </w:r>
      <w:r>
        <w:rPr>
          <w:u w:val="single"/>
        </w:rPr>
        <w:t>New Nigerian</w:t>
      </w:r>
      <w:r>
        <w:rPr/>
        <w:t>.</w:t>
        <w:tab/>
      </w:r>
      <w:r>
        <w:rPr>
          <w:spacing w:val="-2"/>
        </w:rPr>
        <w:t>Thursday </w:t>
      </w:r>
      <w:r>
        <w:rPr/>
        <w:t>July 10, 1987, p. 5 col.II.</w:t>
      </w:r>
    </w:p>
    <w:p>
      <w:pPr>
        <w:pStyle w:val="BodyText"/>
        <w:spacing w:line="552" w:lineRule="exact" w:before="57"/>
        <w:ind w:left="580" w:right="863"/>
      </w:pPr>
      <w:r>
        <w:rPr/>
        <w:t>Gurr, Ted. (1970).</w:t>
      </w:r>
      <w:r>
        <w:rPr>
          <w:spacing w:val="40"/>
        </w:rPr>
        <w:t> </w:t>
      </w:r>
      <w:r>
        <w:rPr>
          <w:u w:val="single"/>
        </w:rPr>
        <w:t>Why Men Rebel</w:t>
      </w:r>
      <w:r>
        <w:rPr/>
        <w:t>.</w:t>
      </w:r>
      <w:r>
        <w:rPr>
          <w:spacing w:val="40"/>
        </w:rPr>
        <w:t> </w:t>
      </w:r>
      <w:r>
        <w:rPr/>
        <w:t>Princeton Univ. Press, 1970.</w:t>
      </w:r>
      <w:r>
        <w:rPr>
          <w:spacing w:val="40"/>
        </w:rPr>
        <w:t> </w:t>
      </w:r>
      <w:r>
        <w:rPr/>
        <w:t>Princeton. Graft,</w:t>
      </w:r>
      <w:r>
        <w:rPr>
          <w:spacing w:val="-4"/>
        </w:rPr>
        <w:t> </w:t>
      </w:r>
      <w:r>
        <w:rPr/>
        <w:t>R.W.</w:t>
      </w:r>
      <w:r>
        <w:rPr>
          <w:spacing w:val="-4"/>
        </w:rPr>
        <w:t> </w:t>
      </w:r>
      <w:r>
        <w:rPr/>
        <w:t>and</w:t>
      </w:r>
      <w:r>
        <w:rPr>
          <w:spacing w:val="-3"/>
        </w:rPr>
        <w:t> </w:t>
      </w:r>
      <w:r>
        <w:rPr/>
        <w:t>Horne,</w:t>
      </w:r>
      <w:r>
        <w:rPr>
          <w:spacing w:val="-4"/>
        </w:rPr>
        <w:t> </w:t>
      </w:r>
      <w:r>
        <w:rPr/>
        <w:t>A.M.</w:t>
      </w:r>
      <w:r>
        <w:rPr>
          <w:spacing w:val="-4"/>
        </w:rPr>
        <w:t> </w:t>
      </w:r>
      <w:r>
        <w:rPr/>
        <w:t>(1973).</w:t>
      </w:r>
      <w:r>
        <w:rPr>
          <w:spacing w:val="40"/>
        </w:rPr>
        <w:t> </w:t>
      </w:r>
      <w:r>
        <w:rPr/>
        <w:t>“Counselling</w:t>
      </w:r>
      <w:r>
        <w:rPr>
          <w:spacing w:val="-3"/>
        </w:rPr>
        <w:t> </w:t>
      </w:r>
      <w:r>
        <w:rPr/>
        <w:t>Needs</w:t>
      </w:r>
      <w:r>
        <w:rPr>
          <w:spacing w:val="-4"/>
        </w:rPr>
        <w:t> </w:t>
      </w:r>
      <w:r>
        <w:rPr/>
        <w:t>of</w:t>
      </w:r>
      <w:r>
        <w:rPr>
          <w:spacing w:val="-4"/>
        </w:rPr>
        <w:t> </w:t>
      </w:r>
      <w:r>
        <w:rPr/>
        <w:t>Married</w:t>
      </w:r>
      <w:r>
        <w:rPr>
          <w:spacing w:val="-3"/>
        </w:rPr>
        <w:t> </w:t>
      </w:r>
      <w:r>
        <w:rPr/>
        <w:t>Students.”</w:t>
      </w:r>
    </w:p>
    <w:p>
      <w:pPr>
        <w:pStyle w:val="BodyText"/>
        <w:spacing w:line="214" w:lineRule="exact"/>
        <w:ind w:left="940"/>
      </w:pPr>
      <w:r>
        <w:rPr>
          <w:u w:val="single"/>
        </w:rPr>
        <w:t>Journal</w:t>
      </w:r>
      <w:r>
        <w:rPr>
          <w:spacing w:val="-2"/>
          <w:u w:val="single"/>
        </w:rPr>
        <w:t> </w:t>
      </w:r>
      <w:r>
        <w:rPr>
          <w:u w:val="single"/>
        </w:rPr>
        <w:t>of</w:t>
      </w:r>
      <w:r>
        <w:rPr>
          <w:spacing w:val="-10"/>
          <w:u w:val="single"/>
        </w:rPr>
        <w:t> </w:t>
      </w:r>
      <w:r>
        <w:rPr>
          <w:u w:val="single"/>
        </w:rPr>
        <w:t>College</w:t>
      </w:r>
      <w:r>
        <w:rPr>
          <w:spacing w:val="-4"/>
          <w:u w:val="single"/>
        </w:rPr>
        <w:t> </w:t>
      </w:r>
      <w:r>
        <w:rPr>
          <w:u w:val="single"/>
        </w:rPr>
        <w:t>Students</w:t>
      </w:r>
      <w:r>
        <w:rPr/>
        <w:t>.</w:t>
      </w:r>
      <w:r>
        <w:rPr>
          <w:spacing w:val="55"/>
        </w:rPr>
        <w:t> </w:t>
      </w:r>
      <w:r>
        <w:rPr/>
        <w:t>Vol.</w:t>
      </w:r>
      <w:r>
        <w:rPr>
          <w:spacing w:val="-5"/>
        </w:rPr>
        <w:t> </w:t>
      </w:r>
      <w:r>
        <w:rPr/>
        <w:t>XIV</w:t>
      </w:r>
      <w:r>
        <w:rPr>
          <w:spacing w:val="-7"/>
        </w:rPr>
        <w:t> </w:t>
      </w:r>
      <w:r>
        <w:rPr/>
        <w:t>–</w:t>
      </w:r>
      <w:r>
        <w:rPr>
          <w:spacing w:val="-5"/>
        </w:rPr>
        <w:t> </w:t>
      </w:r>
      <w:r>
        <w:rPr/>
        <w:t>September</w:t>
      </w:r>
      <w:r>
        <w:rPr>
          <w:spacing w:val="-3"/>
        </w:rPr>
        <w:t> </w:t>
      </w:r>
      <w:r>
        <w:rPr/>
        <w:t>1973,</w:t>
      </w:r>
      <w:r>
        <w:rPr>
          <w:spacing w:val="-6"/>
        </w:rPr>
        <w:t> </w:t>
      </w:r>
      <w:r>
        <w:rPr/>
        <w:t>pp</w:t>
      </w:r>
      <w:r>
        <w:rPr>
          <w:spacing w:val="-5"/>
        </w:rPr>
        <w:t> </w:t>
      </w:r>
      <w:r>
        <w:rPr/>
        <w:t>438</w:t>
      </w:r>
      <w:r>
        <w:rPr>
          <w:spacing w:val="-8"/>
        </w:rPr>
        <w:t> </w:t>
      </w:r>
      <w:r>
        <w:rPr/>
        <w:t>–</w:t>
      </w:r>
      <w:r>
        <w:rPr>
          <w:spacing w:val="-5"/>
        </w:rPr>
        <w:t> </w:t>
      </w:r>
      <w:r>
        <w:rPr>
          <w:spacing w:val="-4"/>
        </w:rPr>
        <w:t>442.</w:t>
      </w:r>
    </w:p>
    <w:p>
      <w:pPr>
        <w:pStyle w:val="BodyText"/>
        <w:spacing w:line="242" w:lineRule="auto" w:before="276"/>
        <w:ind w:left="940" w:hanging="360"/>
      </w:pPr>
      <w:r>
        <w:rPr/>
        <w:t>Gray,</w:t>
      </w:r>
      <w:r>
        <w:rPr>
          <w:spacing w:val="-5"/>
        </w:rPr>
        <w:t> </w:t>
      </w:r>
      <w:r>
        <w:rPr/>
        <w:t>J.L.</w:t>
      </w:r>
      <w:r>
        <w:rPr>
          <w:spacing w:val="-9"/>
        </w:rPr>
        <w:t> </w:t>
      </w:r>
      <w:r>
        <w:rPr/>
        <w:t>(1976)</w:t>
      </w:r>
      <w:r>
        <w:rPr>
          <w:spacing w:val="-3"/>
        </w:rPr>
        <w:t> </w:t>
      </w:r>
      <w:r>
        <w:rPr>
          <w:u w:val="single"/>
        </w:rPr>
        <w:t>Organisational</w:t>
      </w:r>
      <w:r>
        <w:rPr>
          <w:spacing w:val="-2"/>
          <w:u w:val="single"/>
        </w:rPr>
        <w:t> </w:t>
      </w:r>
      <w:r>
        <w:rPr>
          <w:u w:val="single"/>
        </w:rPr>
        <w:t>Behaviour:</w:t>
      </w:r>
      <w:r>
        <w:rPr>
          <w:spacing w:val="-5"/>
          <w:u w:val="single"/>
        </w:rPr>
        <w:t> </w:t>
      </w:r>
      <w:r>
        <w:rPr>
          <w:u w:val="single"/>
        </w:rPr>
        <w:t>Concepts</w:t>
      </w:r>
      <w:r>
        <w:rPr>
          <w:spacing w:val="-5"/>
          <w:u w:val="single"/>
        </w:rPr>
        <w:t> </w:t>
      </w:r>
      <w:r>
        <w:rPr>
          <w:u w:val="single"/>
        </w:rPr>
        <w:t>and</w:t>
      </w:r>
      <w:r>
        <w:rPr>
          <w:spacing w:val="-4"/>
          <w:u w:val="single"/>
        </w:rPr>
        <w:t> </w:t>
      </w:r>
      <w:r>
        <w:rPr>
          <w:u w:val="single"/>
        </w:rPr>
        <w:t>Applications</w:t>
      </w:r>
      <w:r>
        <w:rPr/>
        <w:t>,</w:t>
      </w:r>
      <w:r>
        <w:rPr>
          <w:spacing w:val="-5"/>
        </w:rPr>
        <w:t> </w:t>
      </w:r>
      <w:r>
        <w:rPr/>
        <w:t>Canada </w:t>
      </w:r>
      <w:r>
        <w:rPr>
          <w:spacing w:val="-2"/>
        </w:rPr>
        <w:t>Winnipeg</w:t>
      </w:r>
    </w:p>
    <w:p>
      <w:pPr>
        <w:pStyle w:val="BodyText"/>
        <w:spacing w:line="237" w:lineRule="auto" w:before="275"/>
        <w:ind w:left="940" w:right="863" w:hanging="360"/>
      </w:pPr>
      <w:r>
        <w:rPr/>
        <w:t>Halpin,</w:t>
      </w:r>
      <w:r>
        <w:rPr>
          <w:spacing w:val="-4"/>
        </w:rPr>
        <w:t> </w:t>
      </w:r>
      <w:r>
        <w:rPr/>
        <w:t>A.W.</w:t>
      </w:r>
      <w:r>
        <w:rPr>
          <w:spacing w:val="-7"/>
        </w:rPr>
        <w:t> </w:t>
      </w:r>
      <w:r>
        <w:rPr/>
        <w:t>(1958).</w:t>
      </w:r>
      <w:r>
        <w:rPr>
          <w:spacing w:val="40"/>
        </w:rPr>
        <w:t> </w:t>
      </w:r>
      <w:r>
        <w:rPr>
          <w:u w:val="single"/>
        </w:rPr>
        <w:t>Administrative</w:t>
      </w:r>
      <w:r>
        <w:rPr>
          <w:spacing w:val="-6"/>
          <w:u w:val="single"/>
        </w:rPr>
        <w:t> </w:t>
      </w:r>
      <w:r>
        <w:rPr>
          <w:u w:val="single"/>
        </w:rPr>
        <w:t>Theory</w:t>
      </w:r>
      <w:r>
        <w:rPr>
          <w:spacing w:val="-8"/>
          <w:u w:val="single"/>
        </w:rPr>
        <w:t> </w:t>
      </w:r>
      <w:r>
        <w:rPr>
          <w:u w:val="single"/>
        </w:rPr>
        <w:t>in</w:t>
      </w:r>
      <w:r>
        <w:rPr>
          <w:spacing w:val="-6"/>
          <w:u w:val="single"/>
        </w:rPr>
        <w:t> </w:t>
      </w:r>
      <w:r>
        <w:rPr>
          <w:u w:val="single"/>
        </w:rPr>
        <w:t>Education</w:t>
      </w:r>
      <w:r>
        <w:rPr/>
        <w:t>.</w:t>
      </w:r>
      <w:r>
        <w:rPr>
          <w:spacing w:val="40"/>
        </w:rPr>
        <w:t> </w:t>
      </w:r>
      <w:r>
        <w:rPr/>
        <w:t>Midwest Administrative Centre.</w:t>
      </w:r>
      <w:r>
        <w:rPr>
          <w:spacing w:val="40"/>
        </w:rPr>
        <w:t> </w:t>
      </w:r>
      <w:r>
        <w:rPr/>
        <w:t>University of Chicago, 1958, Chicago.</w:t>
      </w:r>
    </w:p>
    <w:p>
      <w:pPr>
        <w:pStyle w:val="BodyText"/>
        <w:spacing w:before="1"/>
      </w:pPr>
    </w:p>
    <w:p>
      <w:pPr>
        <w:pStyle w:val="BodyText"/>
        <w:tabs>
          <w:tab w:pos="8859" w:val="left" w:leader="none"/>
        </w:tabs>
        <w:spacing w:line="242" w:lineRule="auto"/>
        <w:ind w:left="940" w:right="537" w:hanging="360"/>
      </w:pPr>
      <w:r>
        <w:rPr/>
        <w:t>Haruna, A. (1977).</w:t>
      </w:r>
      <w:r>
        <w:rPr>
          <w:spacing w:val="40"/>
        </w:rPr>
        <w:t> </w:t>
      </w:r>
      <w:r>
        <w:rPr/>
        <w:t>‘Unrest in Schools is a mirror of the chaos in society.’</w:t>
        <w:tab/>
      </w:r>
      <w:r>
        <w:rPr>
          <w:spacing w:val="-4"/>
          <w:u w:val="single"/>
        </w:rPr>
        <w:t>New</w:t>
      </w:r>
      <w:r>
        <w:rPr>
          <w:spacing w:val="-4"/>
        </w:rPr>
        <w:t> </w:t>
      </w:r>
      <w:r>
        <w:rPr>
          <w:u w:val="single"/>
        </w:rPr>
        <w:t>Nigerian</w:t>
      </w:r>
      <w:r>
        <w:rPr/>
        <w:t> Nov. 2, 1977, p. 4, Col. 2.</w:t>
      </w:r>
    </w:p>
    <w:p>
      <w:pPr>
        <w:pStyle w:val="BodyText"/>
        <w:spacing w:line="237" w:lineRule="auto" w:before="275"/>
        <w:ind w:left="940" w:right="863" w:hanging="360"/>
      </w:pPr>
      <w:r>
        <w:rPr/>
        <w:t>Hellriegel,</w:t>
      </w:r>
      <w:r>
        <w:rPr>
          <w:spacing w:val="-5"/>
        </w:rPr>
        <w:t> </w:t>
      </w:r>
      <w:r>
        <w:rPr/>
        <w:t>D.</w:t>
      </w:r>
      <w:r>
        <w:rPr>
          <w:spacing w:val="-5"/>
        </w:rPr>
        <w:t> </w:t>
      </w:r>
      <w:r>
        <w:rPr/>
        <w:t>Slocum,</w:t>
      </w:r>
      <w:r>
        <w:rPr>
          <w:spacing w:val="-5"/>
        </w:rPr>
        <w:t> </w:t>
      </w:r>
      <w:r>
        <w:rPr/>
        <w:t>J.</w:t>
      </w:r>
      <w:r>
        <w:rPr>
          <w:spacing w:val="-5"/>
        </w:rPr>
        <w:t> </w:t>
      </w:r>
      <w:r>
        <w:rPr/>
        <w:t>and</w:t>
      </w:r>
      <w:r>
        <w:rPr>
          <w:spacing w:val="-7"/>
        </w:rPr>
        <w:t> </w:t>
      </w:r>
      <w:r>
        <w:rPr/>
        <w:t>Woodman,</w:t>
      </w:r>
      <w:r>
        <w:rPr>
          <w:spacing w:val="-5"/>
        </w:rPr>
        <w:t> </w:t>
      </w:r>
      <w:r>
        <w:rPr/>
        <w:t>R.</w:t>
      </w:r>
      <w:r>
        <w:rPr>
          <w:spacing w:val="-5"/>
        </w:rPr>
        <w:t> </w:t>
      </w:r>
      <w:r>
        <w:rPr/>
        <w:t>(1986).</w:t>
      </w:r>
      <w:r>
        <w:rPr>
          <w:spacing w:val="-3"/>
        </w:rPr>
        <w:t> </w:t>
      </w:r>
      <w:r>
        <w:rPr>
          <w:u w:val="single"/>
        </w:rPr>
        <w:t>Organisational</w:t>
      </w:r>
      <w:r>
        <w:rPr>
          <w:spacing w:val="-1"/>
          <w:u w:val="single"/>
        </w:rPr>
        <w:t> </w:t>
      </w:r>
      <w:r>
        <w:rPr>
          <w:u w:val="single"/>
        </w:rPr>
        <w:t>Behaviour</w:t>
      </w:r>
      <w:r>
        <w:rPr/>
        <w:t> </w:t>
      </w:r>
      <w:r>
        <w:rPr>
          <w:spacing w:val="-2"/>
        </w:rPr>
        <w:t>Newyork</w:t>
      </w:r>
    </w:p>
    <w:p>
      <w:pPr>
        <w:spacing w:after="0" w:line="237" w:lineRule="auto"/>
        <w:sectPr>
          <w:headerReference w:type="default" r:id="rId584"/>
          <w:footerReference w:type="default" r:id="rId585"/>
          <w:pgSz w:w="12240" w:h="15840"/>
          <w:pgMar w:header="722" w:footer="623" w:top="980" w:bottom="820" w:left="1220" w:right="1140"/>
        </w:sectPr>
      </w:pPr>
    </w:p>
    <w:p>
      <w:pPr>
        <w:pStyle w:val="BodyText"/>
        <w:spacing w:before="171"/>
      </w:pPr>
    </w:p>
    <w:p>
      <w:pPr>
        <w:pStyle w:val="BodyText"/>
        <w:tabs>
          <w:tab w:pos="5593" w:val="left" w:leader="none"/>
        </w:tabs>
        <w:ind w:left="940" w:right="301" w:hanging="360"/>
      </w:pPr>
      <w:r>
        <w:rPr/>
        <w:t>Hinjari, H.S. (2000). ‘’Planning and Management of Physical Facilities in Secondary Schools</w:t>
      </w:r>
      <w:r>
        <w:rPr>
          <w:spacing w:val="40"/>
        </w:rPr>
        <w:t> </w:t>
      </w:r>
      <w:r>
        <w:rPr/>
        <w:t>in</w:t>
      </w:r>
      <w:r>
        <w:rPr>
          <w:spacing w:val="40"/>
        </w:rPr>
        <w:t> </w:t>
      </w:r>
      <w:r>
        <w:rPr/>
        <w:t>Adamawa</w:t>
      </w:r>
      <w:r>
        <w:rPr>
          <w:spacing w:val="40"/>
        </w:rPr>
        <w:t> </w:t>
      </w:r>
      <w:r>
        <w:rPr/>
        <w:t>State</w:t>
      </w:r>
      <w:r>
        <w:rPr>
          <w:spacing w:val="40"/>
        </w:rPr>
        <w:t> </w:t>
      </w:r>
      <w:r>
        <w:rPr/>
        <w:t>of</w:t>
      </w:r>
      <w:r>
        <w:rPr>
          <w:spacing w:val="40"/>
        </w:rPr>
        <w:t> </w:t>
      </w:r>
      <w:r>
        <w:rPr/>
        <w:t>Nigeria.”</w:t>
        <w:tab/>
        <w:t>Ph.D.</w:t>
      </w:r>
      <w:r>
        <w:rPr>
          <w:spacing w:val="40"/>
        </w:rPr>
        <w:t> </w:t>
      </w:r>
      <w:r>
        <w:rPr/>
        <w:t>Thesis,</w:t>
      </w:r>
      <w:r>
        <w:rPr>
          <w:spacing w:val="40"/>
        </w:rPr>
        <w:t> </w:t>
      </w:r>
      <w:r>
        <w:rPr/>
        <w:t>Faculty</w:t>
      </w:r>
      <w:r>
        <w:rPr>
          <w:spacing w:val="40"/>
        </w:rPr>
        <w:t> </w:t>
      </w:r>
      <w:r>
        <w:rPr/>
        <w:t>of</w:t>
      </w:r>
      <w:r>
        <w:rPr>
          <w:spacing w:val="40"/>
        </w:rPr>
        <w:t> </w:t>
      </w:r>
      <w:r>
        <w:rPr/>
        <w:t>Education, A.B.U., Zaria.</w:t>
      </w:r>
    </w:p>
    <w:p>
      <w:pPr>
        <w:pStyle w:val="BodyText"/>
      </w:pPr>
    </w:p>
    <w:p>
      <w:pPr>
        <w:pStyle w:val="BodyText"/>
        <w:spacing w:line="275" w:lineRule="exact" w:before="1"/>
        <w:ind w:left="580"/>
        <w:jc w:val="both"/>
      </w:pPr>
      <w:r>
        <w:rPr/>
        <w:t>Hood,</w:t>
      </w:r>
      <w:r>
        <w:rPr>
          <w:spacing w:val="-5"/>
        </w:rPr>
        <w:t> </w:t>
      </w:r>
      <w:r>
        <w:rPr/>
        <w:t>G.K.</w:t>
      </w:r>
      <w:r>
        <w:rPr>
          <w:spacing w:val="-5"/>
        </w:rPr>
        <w:t> </w:t>
      </w:r>
      <w:r>
        <w:rPr/>
        <w:t>(1974).</w:t>
      </w:r>
      <w:r>
        <w:rPr>
          <w:spacing w:val="54"/>
        </w:rPr>
        <w:t> </w:t>
      </w:r>
      <w:r>
        <w:rPr/>
        <w:t>“An</w:t>
      </w:r>
      <w:r>
        <w:rPr>
          <w:spacing w:val="-4"/>
        </w:rPr>
        <w:t> </w:t>
      </w:r>
      <w:r>
        <w:rPr>
          <w:spacing w:val="-10"/>
        </w:rPr>
        <w:t>A</w:t>
      </w:r>
    </w:p>
    <w:p>
      <w:pPr>
        <w:pStyle w:val="BodyText"/>
        <w:spacing w:line="275" w:lineRule="exact"/>
        <w:ind w:left="940"/>
        <w:jc w:val="both"/>
      </w:pPr>
      <w:r>
        <w:rPr/>
        <w:t>nalysis</w:t>
      </w:r>
      <w:r>
        <w:rPr>
          <w:spacing w:val="-7"/>
        </w:rPr>
        <w:t> </w:t>
      </w:r>
      <w:r>
        <w:rPr/>
        <w:t>of</w:t>
      </w:r>
      <w:r>
        <w:rPr>
          <w:spacing w:val="-7"/>
        </w:rPr>
        <w:t> </w:t>
      </w:r>
      <w:r>
        <w:rPr/>
        <w:t>College</w:t>
      </w:r>
      <w:r>
        <w:rPr>
          <w:spacing w:val="-6"/>
        </w:rPr>
        <w:t> </w:t>
      </w:r>
      <w:r>
        <w:rPr/>
        <w:t>student</w:t>
      </w:r>
      <w:r>
        <w:rPr>
          <w:spacing w:val="-11"/>
        </w:rPr>
        <w:t> </w:t>
      </w:r>
      <w:r>
        <w:rPr/>
        <w:t>problems</w:t>
      </w:r>
      <w:r>
        <w:rPr>
          <w:spacing w:val="-7"/>
        </w:rPr>
        <w:t> </w:t>
      </w:r>
      <w:r>
        <w:rPr/>
        <w:t>as</w:t>
      </w:r>
      <w:r>
        <w:rPr>
          <w:spacing w:val="-7"/>
        </w:rPr>
        <w:t> </w:t>
      </w:r>
      <w:r>
        <w:rPr/>
        <w:t>indicated</w:t>
      </w:r>
      <w:r>
        <w:rPr>
          <w:spacing w:val="-6"/>
        </w:rPr>
        <w:t> </w:t>
      </w:r>
      <w:r>
        <w:rPr/>
        <w:t>on</w:t>
      </w:r>
      <w:r>
        <w:rPr>
          <w:spacing w:val="-6"/>
        </w:rPr>
        <w:t> </w:t>
      </w:r>
      <w:r>
        <w:rPr>
          <w:spacing w:val="-5"/>
        </w:rPr>
        <w:t>the</w:t>
      </w:r>
    </w:p>
    <w:p>
      <w:pPr>
        <w:pStyle w:val="BodyText"/>
        <w:spacing w:before="2"/>
        <w:ind w:left="940" w:right="295"/>
        <w:jc w:val="both"/>
      </w:pPr>
      <w:r>
        <w:rPr/>
        <w:t>Mooney Problem Check List.”</w:t>
      </w:r>
      <w:r>
        <w:rPr>
          <w:spacing w:val="40"/>
        </w:rPr>
        <w:t> </w:t>
      </w:r>
      <w:r>
        <w:rPr/>
        <w:t>Unpub. Ph.D Thesis.</w:t>
      </w:r>
      <w:r>
        <w:rPr>
          <w:spacing w:val="40"/>
        </w:rPr>
        <w:t> </w:t>
      </w:r>
      <w:r>
        <w:rPr/>
        <w:t>North Texas State University.</w:t>
      </w:r>
      <w:r>
        <w:rPr>
          <w:spacing w:val="40"/>
        </w:rPr>
        <w:t> </w:t>
      </w:r>
      <w:r>
        <w:rPr>
          <w:u w:val="single"/>
        </w:rPr>
        <w:t>In</w:t>
      </w:r>
      <w:r>
        <w:rPr/>
        <w:t> Bello J.Y. (1983).</w:t>
      </w:r>
      <w:r>
        <w:rPr>
          <w:spacing w:val="40"/>
        </w:rPr>
        <w:t> </w:t>
      </w:r>
      <w:r>
        <w:rPr/>
        <w:t>An identification of problems facing students of Advanced Teachers Colleges in Nigeria. Ph.D Thesis, Faculty of Education, A.B.U., Zaria pp 19 – 20.</w:t>
      </w:r>
    </w:p>
    <w:p>
      <w:pPr>
        <w:pStyle w:val="BodyText"/>
        <w:spacing w:before="274"/>
        <w:ind w:left="580"/>
        <w:jc w:val="both"/>
      </w:pPr>
      <w:r>
        <w:rPr/>
        <w:t>Ibikun,</w:t>
      </w:r>
      <w:r>
        <w:rPr>
          <w:spacing w:val="-16"/>
        </w:rPr>
        <w:t> </w:t>
      </w:r>
      <w:r>
        <w:rPr/>
        <w:t>W.O.</w:t>
      </w:r>
      <w:r>
        <w:rPr>
          <w:spacing w:val="-8"/>
        </w:rPr>
        <w:t> </w:t>
      </w:r>
      <w:r>
        <w:rPr/>
        <w:t>(1997).</w:t>
      </w:r>
      <w:r>
        <w:rPr>
          <w:spacing w:val="52"/>
        </w:rPr>
        <w:t> </w:t>
      </w:r>
      <w:r>
        <w:rPr>
          <w:u w:val="single"/>
        </w:rPr>
        <w:t>Educational</w:t>
      </w:r>
      <w:r>
        <w:rPr>
          <w:spacing w:val="-4"/>
          <w:u w:val="single"/>
        </w:rPr>
        <w:t> </w:t>
      </w:r>
      <w:r>
        <w:rPr>
          <w:u w:val="single"/>
        </w:rPr>
        <w:t>Management:</w:t>
      </w:r>
      <w:r>
        <w:rPr>
          <w:spacing w:val="-8"/>
          <w:u w:val="single"/>
        </w:rPr>
        <w:t> </w:t>
      </w:r>
      <w:r>
        <w:rPr>
          <w:u w:val="single"/>
        </w:rPr>
        <w:t>Theory</w:t>
      </w:r>
      <w:r>
        <w:rPr>
          <w:spacing w:val="-8"/>
          <w:u w:val="single"/>
        </w:rPr>
        <w:t> </w:t>
      </w:r>
      <w:r>
        <w:rPr>
          <w:u w:val="single"/>
        </w:rPr>
        <w:t>and</w:t>
      </w:r>
      <w:r>
        <w:rPr>
          <w:spacing w:val="-6"/>
          <w:u w:val="single"/>
        </w:rPr>
        <w:t> </w:t>
      </w:r>
      <w:r>
        <w:rPr>
          <w:u w:val="single"/>
        </w:rPr>
        <w:t>Practice</w:t>
      </w:r>
      <w:r>
        <w:rPr/>
        <w:t>.</w:t>
      </w:r>
      <w:r>
        <w:rPr>
          <w:spacing w:val="47"/>
        </w:rPr>
        <w:t> </w:t>
      </w:r>
      <w:r>
        <w:rPr/>
        <w:t>Green</w:t>
      </w:r>
      <w:r>
        <w:rPr>
          <w:spacing w:val="-7"/>
        </w:rPr>
        <w:t> </w:t>
      </w:r>
      <w:r>
        <w:rPr>
          <w:spacing w:val="-4"/>
        </w:rPr>
        <w:t>Pub.</w:t>
      </w:r>
    </w:p>
    <w:p>
      <w:pPr>
        <w:pStyle w:val="BodyText"/>
        <w:spacing w:before="2"/>
        <w:ind w:left="940"/>
        <w:jc w:val="both"/>
      </w:pPr>
      <w:r>
        <w:rPr/>
        <w:t>Lagos,</w:t>
      </w:r>
      <w:r>
        <w:rPr>
          <w:spacing w:val="-4"/>
        </w:rPr>
        <w:t> </w:t>
      </w:r>
      <w:r>
        <w:rPr>
          <w:spacing w:val="-2"/>
        </w:rPr>
        <w:t>Nigeria.</w:t>
      </w:r>
    </w:p>
    <w:p>
      <w:pPr>
        <w:pStyle w:val="BodyText"/>
        <w:spacing w:before="2"/>
      </w:pPr>
    </w:p>
    <w:p>
      <w:pPr>
        <w:pStyle w:val="BodyText"/>
        <w:spacing w:line="237" w:lineRule="auto"/>
        <w:ind w:left="940" w:hanging="360"/>
      </w:pPr>
      <w:r>
        <w:rPr/>
        <w:t>Idris,</w:t>
      </w:r>
      <w:r>
        <w:rPr>
          <w:spacing w:val="-2"/>
        </w:rPr>
        <w:t> </w:t>
      </w:r>
      <w:r>
        <w:rPr/>
        <w:t>S.</w:t>
      </w:r>
      <w:r>
        <w:rPr>
          <w:spacing w:val="-2"/>
        </w:rPr>
        <w:t> </w:t>
      </w:r>
      <w:r>
        <w:rPr/>
        <w:t>(1987).</w:t>
      </w:r>
      <w:r>
        <w:rPr>
          <w:spacing w:val="40"/>
        </w:rPr>
        <w:t> </w:t>
      </w:r>
      <w:r>
        <w:rPr/>
        <w:t>“Feeding</w:t>
      </w:r>
      <w:r>
        <w:rPr>
          <w:spacing w:val="-1"/>
        </w:rPr>
        <w:t> </w:t>
      </w:r>
      <w:r>
        <w:rPr/>
        <w:t>with</w:t>
      </w:r>
      <w:r>
        <w:rPr>
          <w:spacing w:val="-5"/>
        </w:rPr>
        <w:t> </w:t>
      </w:r>
      <w:r>
        <w:rPr/>
        <w:t>Tears;</w:t>
      </w:r>
      <w:r>
        <w:rPr>
          <w:spacing w:val="-2"/>
        </w:rPr>
        <w:t> </w:t>
      </w:r>
      <w:r>
        <w:rPr/>
        <w:t>Days</w:t>
      </w:r>
      <w:r>
        <w:rPr>
          <w:spacing w:val="-2"/>
        </w:rPr>
        <w:t> </w:t>
      </w:r>
      <w:r>
        <w:rPr/>
        <w:t>of</w:t>
      </w:r>
      <w:r>
        <w:rPr>
          <w:spacing w:val="-11"/>
        </w:rPr>
        <w:t> </w:t>
      </w:r>
      <w:r>
        <w:rPr/>
        <w:t>balanced</w:t>
      </w:r>
      <w:r>
        <w:rPr>
          <w:spacing w:val="-1"/>
        </w:rPr>
        <w:t> </w:t>
      </w:r>
      <w:r>
        <w:rPr/>
        <w:t>diet</w:t>
      </w:r>
      <w:r>
        <w:rPr>
          <w:spacing w:val="-6"/>
        </w:rPr>
        <w:t> </w:t>
      </w:r>
      <w:r>
        <w:rPr/>
        <w:t>is</w:t>
      </w:r>
      <w:r>
        <w:rPr>
          <w:spacing w:val="-2"/>
        </w:rPr>
        <w:t> </w:t>
      </w:r>
      <w:r>
        <w:rPr/>
        <w:t>over</w:t>
      </w:r>
      <w:r>
        <w:rPr>
          <w:spacing w:val="-5"/>
        </w:rPr>
        <w:t> </w:t>
      </w:r>
      <w:r>
        <w:rPr/>
        <w:t>in</w:t>
      </w:r>
      <w:r>
        <w:rPr>
          <w:spacing w:val="-1"/>
        </w:rPr>
        <w:t> </w:t>
      </w:r>
      <w:r>
        <w:rPr/>
        <w:t>our versities.” </w:t>
      </w:r>
      <w:r>
        <w:rPr>
          <w:u w:val="single"/>
        </w:rPr>
        <w:t>Sunday Times</w:t>
      </w:r>
      <w:r>
        <w:rPr/>
        <w:t> March 29, 1987, p. 8</w:t>
      </w:r>
    </w:p>
    <w:p>
      <w:pPr>
        <w:pStyle w:val="BodyText"/>
        <w:spacing w:line="550" w:lineRule="atLeast" w:before="3"/>
        <w:ind w:left="580" w:right="519"/>
        <w:jc w:val="both"/>
      </w:pPr>
      <w:r>
        <w:rPr/>
        <w:t>Ifadi,</w:t>
      </w:r>
      <w:r>
        <w:rPr>
          <w:spacing w:val="-1"/>
        </w:rPr>
        <w:t> </w:t>
      </w:r>
      <w:r>
        <w:rPr/>
        <w:t>C.</w:t>
      </w:r>
      <w:r>
        <w:rPr>
          <w:spacing w:val="-2"/>
        </w:rPr>
        <w:t> </w:t>
      </w:r>
      <w:r>
        <w:rPr/>
        <w:t>(1988).</w:t>
      </w:r>
      <w:r>
        <w:rPr>
          <w:spacing w:val="40"/>
        </w:rPr>
        <w:t> </w:t>
      </w:r>
      <w:r>
        <w:rPr/>
        <w:t>‘Fair</w:t>
      </w:r>
      <w:r>
        <w:rPr>
          <w:spacing w:val="-4"/>
        </w:rPr>
        <w:t> </w:t>
      </w:r>
      <w:r>
        <w:rPr/>
        <w:t>Deal for Students.’</w:t>
      </w:r>
      <w:r>
        <w:rPr>
          <w:spacing w:val="40"/>
        </w:rPr>
        <w:t> </w:t>
      </w:r>
      <w:r>
        <w:rPr/>
        <w:t>In </w:t>
      </w:r>
      <w:r>
        <w:rPr>
          <w:u w:val="single"/>
        </w:rPr>
        <w:t>Daily</w:t>
      </w:r>
      <w:r>
        <w:rPr>
          <w:spacing w:val="-6"/>
          <w:u w:val="single"/>
        </w:rPr>
        <w:t> </w:t>
      </w:r>
      <w:r>
        <w:rPr>
          <w:u w:val="single"/>
        </w:rPr>
        <w:t>Times</w:t>
      </w:r>
      <w:r>
        <w:rPr>
          <w:spacing w:val="-1"/>
        </w:rPr>
        <w:t> </w:t>
      </w:r>
      <w:r>
        <w:rPr/>
        <w:t>Friday</w:t>
      </w:r>
      <w:r>
        <w:rPr>
          <w:spacing w:val="-2"/>
        </w:rPr>
        <w:t> </w:t>
      </w:r>
      <w:r>
        <w:rPr/>
        <w:t>July</w:t>
      </w:r>
      <w:r>
        <w:rPr>
          <w:spacing w:val="-6"/>
        </w:rPr>
        <w:t> </w:t>
      </w:r>
      <w:r>
        <w:rPr/>
        <w:t>1,</w:t>
      </w:r>
      <w:r>
        <w:rPr>
          <w:spacing w:val="-1"/>
        </w:rPr>
        <w:t> </w:t>
      </w:r>
      <w:r>
        <w:rPr/>
        <w:t>1988,</w:t>
      </w:r>
      <w:r>
        <w:rPr>
          <w:spacing w:val="-2"/>
        </w:rPr>
        <w:t> </w:t>
      </w:r>
      <w:r>
        <w:rPr/>
        <w:t>p.</w:t>
      </w:r>
      <w:r>
        <w:rPr>
          <w:spacing w:val="-5"/>
        </w:rPr>
        <w:t> </w:t>
      </w:r>
      <w:r>
        <w:rPr/>
        <w:t>11. Iliya, M.A., Salawu, A.A., Jumare, I.M. and Akin, H.W. (2000)Ed. </w:t>
      </w:r>
      <w:r>
        <w:rPr>
          <w:u w:val="single"/>
        </w:rPr>
        <w:t>Usmanu Dan</w:t>
      </w:r>
    </w:p>
    <w:p>
      <w:pPr>
        <w:pStyle w:val="BodyText"/>
        <w:spacing w:line="237" w:lineRule="auto" w:before="7"/>
        <w:ind w:left="940" w:right="294"/>
        <w:jc w:val="both"/>
      </w:pPr>
      <w:r>
        <w:rPr>
          <w:u w:val="single"/>
        </w:rPr>
        <w:t>Fodiyo University Sokoto at 25.</w:t>
      </w:r>
      <w:r>
        <w:rPr/>
        <w:t> </w:t>
      </w:r>
      <w:r>
        <w:rPr>
          <w:u w:val="single"/>
        </w:rPr>
        <w:t>Progress, Problems and Prospects.</w:t>
      </w:r>
      <w:r>
        <w:rPr/>
        <w:t> The University Press Ltd and Master Prints, Kaduna</w:t>
      </w:r>
    </w:p>
    <w:p>
      <w:pPr>
        <w:pStyle w:val="BodyText"/>
        <w:spacing w:before="1"/>
      </w:pPr>
    </w:p>
    <w:p>
      <w:pPr>
        <w:pStyle w:val="BodyText"/>
        <w:spacing w:line="242" w:lineRule="auto"/>
        <w:ind w:left="1007" w:hanging="428"/>
      </w:pPr>
      <w:r>
        <w:rPr/>
        <w:t>Imam</w:t>
      </w:r>
      <w:r>
        <w:rPr>
          <w:spacing w:val="-11"/>
        </w:rPr>
        <w:t> </w:t>
      </w:r>
      <w:r>
        <w:rPr/>
        <w:t>S.H.</w:t>
      </w:r>
      <w:r>
        <w:rPr>
          <w:spacing w:val="-3"/>
        </w:rPr>
        <w:t> </w:t>
      </w:r>
      <w:r>
        <w:rPr/>
        <w:t>(2000).</w:t>
      </w:r>
      <w:r>
        <w:rPr>
          <w:spacing w:val="-3"/>
        </w:rPr>
        <w:t> </w:t>
      </w:r>
      <w:r>
        <w:rPr/>
        <w:t>An</w:t>
      </w:r>
      <w:r>
        <w:rPr>
          <w:spacing w:val="-2"/>
        </w:rPr>
        <w:t> </w:t>
      </w:r>
      <w:r>
        <w:rPr/>
        <w:t>Evaluation</w:t>
      </w:r>
      <w:r>
        <w:rPr>
          <w:spacing w:val="-6"/>
        </w:rPr>
        <w:t> </w:t>
      </w:r>
      <w:r>
        <w:rPr/>
        <w:t>of</w:t>
      </w:r>
      <w:r>
        <w:rPr>
          <w:spacing w:val="-3"/>
        </w:rPr>
        <w:t> </w:t>
      </w:r>
      <w:r>
        <w:rPr/>
        <w:t>Primary</w:t>
      </w:r>
      <w:r>
        <w:rPr>
          <w:spacing w:val="-3"/>
        </w:rPr>
        <w:t> </w:t>
      </w:r>
      <w:r>
        <w:rPr/>
        <w:t>Education</w:t>
      </w:r>
      <w:r>
        <w:rPr>
          <w:spacing w:val="-2"/>
        </w:rPr>
        <w:t> </w:t>
      </w:r>
      <w:r>
        <w:rPr/>
        <w:t>Management</w:t>
      </w:r>
      <w:r>
        <w:rPr>
          <w:spacing w:val="-3"/>
        </w:rPr>
        <w:t> </w:t>
      </w:r>
      <w:r>
        <w:rPr/>
        <w:t>in</w:t>
      </w:r>
      <w:r>
        <w:rPr>
          <w:spacing w:val="-2"/>
        </w:rPr>
        <w:t> </w:t>
      </w:r>
      <w:r>
        <w:rPr/>
        <w:t>the</w:t>
      </w:r>
      <w:r>
        <w:rPr>
          <w:spacing w:val="-2"/>
        </w:rPr>
        <w:t> </w:t>
      </w:r>
      <w:r>
        <w:rPr/>
        <w:t>Northern States of Nigeria from 1976-1998.</w:t>
      </w:r>
    </w:p>
    <w:p>
      <w:pPr>
        <w:pStyle w:val="BodyText"/>
        <w:spacing w:line="237" w:lineRule="auto" w:before="275"/>
        <w:ind w:left="940" w:hanging="360"/>
      </w:pPr>
      <w:r>
        <w:rPr/>
        <w:t>Jacob,</w:t>
      </w:r>
      <w:r>
        <w:rPr>
          <w:spacing w:val="-3"/>
        </w:rPr>
        <w:t> </w:t>
      </w:r>
      <w:r>
        <w:rPr/>
        <w:t>E.S.,</w:t>
      </w:r>
      <w:r>
        <w:rPr>
          <w:spacing w:val="-3"/>
        </w:rPr>
        <w:t> </w:t>
      </w:r>
      <w:r>
        <w:rPr/>
        <w:t>Constantine,</w:t>
      </w:r>
      <w:r>
        <w:rPr>
          <w:spacing w:val="-3"/>
        </w:rPr>
        <w:t> </w:t>
      </w:r>
      <w:r>
        <w:rPr/>
        <w:t>S.Y.</w:t>
      </w:r>
      <w:r>
        <w:rPr>
          <w:spacing w:val="-3"/>
        </w:rPr>
        <w:t> </w:t>
      </w:r>
      <w:r>
        <w:rPr/>
        <w:t>and</w:t>
      </w:r>
      <w:r>
        <w:rPr>
          <w:spacing w:val="-2"/>
        </w:rPr>
        <w:t> </w:t>
      </w:r>
      <w:r>
        <w:rPr/>
        <w:t>James,</w:t>
      </w:r>
      <w:r>
        <w:rPr>
          <w:spacing w:val="-3"/>
        </w:rPr>
        <w:t> </w:t>
      </w:r>
      <w:r>
        <w:rPr/>
        <w:t>E.G.</w:t>
      </w:r>
      <w:r>
        <w:rPr>
          <w:spacing w:val="-3"/>
        </w:rPr>
        <w:t> </w:t>
      </w:r>
      <w:r>
        <w:rPr/>
        <w:t>(1768).</w:t>
      </w:r>
      <w:r>
        <w:rPr>
          <w:spacing w:val="40"/>
        </w:rPr>
        <w:t> </w:t>
      </w:r>
      <w:r>
        <w:rPr/>
        <w:t>The</w:t>
      </w:r>
      <w:r>
        <w:rPr>
          <w:spacing w:val="-2"/>
        </w:rPr>
        <w:t> </w:t>
      </w:r>
      <w:r>
        <w:rPr/>
        <w:t>New</w:t>
      </w:r>
      <w:r>
        <w:rPr>
          <w:spacing w:val="-8"/>
        </w:rPr>
        <w:t> </w:t>
      </w:r>
      <w:r>
        <w:rPr/>
        <w:t>Encyclopedia Britanica, Vol. 10, Micropedia 15</w:t>
      </w:r>
      <w:r>
        <w:rPr>
          <w:vertAlign w:val="superscript"/>
        </w:rPr>
        <w:t>th</w:t>
      </w:r>
      <w:r>
        <w:rPr>
          <w:vertAlign w:val="baseline"/>
        </w:rPr>
        <w:t> Ed., Chicago.</w:t>
      </w:r>
    </w:p>
    <w:p>
      <w:pPr>
        <w:pStyle w:val="BodyText"/>
        <w:spacing w:before="1"/>
      </w:pPr>
    </w:p>
    <w:p>
      <w:pPr>
        <w:pStyle w:val="BodyText"/>
        <w:tabs>
          <w:tab w:pos="3641" w:val="left" w:leader="none"/>
        </w:tabs>
        <w:ind w:left="940" w:right="301" w:hanging="360"/>
      </w:pPr>
      <w:r>
        <w:rPr/>
        <w:t>John, M.N. and Robert, M.L. (1980).</w:t>
      </w:r>
      <w:r>
        <w:rPr>
          <w:spacing w:val="40"/>
        </w:rPr>
        <w:t> </w:t>
      </w:r>
      <w:r>
        <w:rPr>
          <w:u w:val="single"/>
        </w:rPr>
        <w:t>Science and Behaviours</w:t>
      </w:r>
      <w:r>
        <w:rPr/>
        <w:t>: </w:t>
      </w:r>
      <w:r>
        <w:rPr>
          <w:u w:val="single"/>
        </w:rPr>
        <w:t>Introduction to</w:t>
      </w:r>
      <w:r>
        <w:rPr/>
        <w:t> </w:t>
      </w:r>
      <w:r>
        <w:rPr>
          <w:u w:val="single"/>
        </w:rPr>
        <w:t>Methods</w:t>
      </w:r>
      <w:r>
        <w:rPr>
          <w:spacing w:val="40"/>
          <w:u w:val="single"/>
        </w:rPr>
        <w:t> </w:t>
      </w:r>
      <w:r>
        <w:rPr>
          <w:u w:val="single"/>
        </w:rPr>
        <w:t>of</w:t>
      </w:r>
      <w:r>
        <w:rPr>
          <w:spacing w:val="40"/>
          <w:u w:val="single"/>
        </w:rPr>
        <w:t> </w:t>
      </w:r>
      <w:r>
        <w:rPr>
          <w:u w:val="single"/>
        </w:rPr>
        <w:t>Research</w:t>
      </w:r>
      <w:r>
        <w:rPr/>
        <w:t>.</w:t>
        <w:tab/>
        <w:t>2d</w:t>
      </w:r>
      <w:r>
        <w:rPr>
          <w:spacing w:val="40"/>
        </w:rPr>
        <w:t> </w:t>
      </w:r>
      <w:r>
        <w:rPr/>
        <w:t>Ed.</w:t>
      </w:r>
      <w:r>
        <w:rPr>
          <w:spacing w:val="40"/>
        </w:rPr>
        <w:t> </w:t>
      </w:r>
      <w:r>
        <w:rPr/>
        <w:t>Prince</w:t>
      </w:r>
      <w:r>
        <w:rPr>
          <w:spacing w:val="40"/>
        </w:rPr>
        <w:t> </w:t>
      </w:r>
      <w:r>
        <w:rPr/>
        <w:t>Hall</w:t>
      </w:r>
      <w:r>
        <w:rPr>
          <w:spacing w:val="40"/>
        </w:rPr>
        <w:t> </w:t>
      </w:r>
      <w:r>
        <w:rPr/>
        <w:t>Inc.</w:t>
      </w:r>
      <w:r>
        <w:rPr>
          <w:spacing w:val="40"/>
        </w:rPr>
        <w:t> </w:t>
      </w:r>
      <w:r>
        <w:rPr/>
        <w:t>1980,</w:t>
      </w:r>
      <w:r>
        <w:rPr>
          <w:spacing w:val="40"/>
        </w:rPr>
        <w:t> </w:t>
      </w:r>
      <w:r>
        <w:rPr/>
        <w:t>Englewood</w:t>
      </w:r>
      <w:r>
        <w:rPr>
          <w:spacing w:val="40"/>
        </w:rPr>
        <w:t> </w:t>
      </w:r>
      <w:r>
        <w:rPr/>
        <w:t>Cliffs,</w:t>
      </w:r>
      <w:r>
        <w:rPr>
          <w:spacing w:val="40"/>
        </w:rPr>
        <w:t> </w:t>
      </w:r>
      <w:r>
        <w:rPr/>
        <w:t>New </w:t>
      </w:r>
      <w:r>
        <w:rPr>
          <w:spacing w:val="-2"/>
        </w:rPr>
        <w:t>Jersey.</w:t>
      </w:r>
    </w:p>
    <w:p>
      <w:pPr>
        <w:pStyle w:val="BodyText"/>
      </w:pPr>
    </w:p>
    <w:p>
      <w:pPr>
        <w:pStyle w:val="BodyText"/>
        <w:ind w:left="580"/>
        <w:jc w:val="both"/>
      </w:pPr>
      <w:r>
        <w:rPr/>
        <w:t>Kassim,</w:t>
      </w:r>
      <w:r>
        <w:rPr>
          <w:spacing w:val="-5"/>
        </w:rPr>
        <w:t> </w:t>
      </w:r>
      <w:r>
        <w:rPr/>
        <w:t>I.</w:t>
      </w:r>
      <w:r>
        <w:rPr>
          <w:spacing w:val="-5"/>
        </w:rPr>
        <w:t> </w:t>
      </w:r>
      <w:r>
        <w:rPr/>
        <w:t>91981).</w:t>
      </w:r>
      <w:r>
        <w:rPr>
          <w:spacing w:val="52"/>
        </w:rPr>
        <w:t> </w:t>
      </w:r>
      <w:r>
        <w:rPr/>
        <w:t>“The</w:t>
      </w:r>
      <w:r>
        <w:rPr>
          <w:spacing w:val="-3"/>
        </w:rPr>
        <w:t> </w:t>
      </w:r>
      <w:r>
        <w:rPr/>
        <w:t>Problem</w:t>
      </w:r>
      <w:r>
        <w:rPr>
          <w:spacing w:val="-13"/>
        </w:rPr>
        <w:t> </w:t>
      </w:r>
      <w:r>
        <w:rPr/>
        <w:t>of</w:t>
      </w:r>
      <w:r>
        <w:rPr>
          <w:spacing w:val="-5"/>
        </w:rPr>
        <w:t> </w:t>
      </w:r>
      <w:r>
        <w:rPr/>
        <w:t>Students’</w:t>
      </w:r>
      <w:r>
        <w:rPr>
          <w:spacing w:val="-9"/>
        </w:rPr>
        <w:t> </w:t>
      </w:r>
      <w:r>
        <w:rPr/>
        <w:t>Unrest.”</w:t>
      </w:r>
      <w:r>
        <w:rPr>
          <w:spacing w:val="57"/>
        </w:rPr>
        <w:t> </w:t>
      </w:r>
      <w:r>
        <w:rPr>
          <w:u w:val="single"/>
        </w:rPr>
        <w:t>Daily</w:t>
      </w:r>
      <w:r>
        <w:rPr>
          <w:spacing w:val="-10"/>
          <w:u w:val="single"/>
        </w:rPr>
        <w:t> </w:t>
      </w:r>
      <w:r>
        <w:rPr>
          <w:spacing w:val="-2"/>
          <w:u w:val="single"/>
        </w:rPr>
        <w:t>Times</w:t>
      </w:r>
      <w:r>
        <w:rPr>
          <w:spacing w:val="-2"/>
        </w:rPr>
        <w:t>.</w:t>
      </w:r>
    </w:p>
    <w:p>
      <w:pPr>
        <w:pStyle w:val="BodyText"/>
        <w:spacing w:before="3"/>
        <w:ind w:left="940"/>
        <w:jc w:val="both"/>
      </w:pPr>
      <w:r>
        <w:rPr/>
        <w:t>Thursday</w:t>
      </w:r>
      <w:r>
        <w:rPr>
          <w:spacing w:val="-4"/>
        </w:rPr>
        <w:t> </w:t>
      </w:r>
      <w:r>
        <w:rPr/>
        <w:t>12</w:t>
      </w:r>
      <w:r>
        <w:rPr>
          <w:spacing w:val="-3"/>
        </w:rPr>
        <w:t> </w:t>
      </w:r>
      <w:r>
        <w:rPr/>
        <w:t>April,</w:t>
      </w:r>
      <w:r>
        <w:rPr>
          <w:spacing w:val="-8"/>
        </w:rPr>
        <w:t> </w:t>
      </w:r>
      <w:r>
        <w:rPr/>
        <w:t>1981,</w:t>
      </w:r>
      <w:r>
        <w:rPr>
          <w:spacing w:val="-7"/>
        </w:rPr>
        <w:t> </w:t>
      </w:r>
      <w:r>
        <w:rPr/>
        <w:t>p.</w:t>
      </w:r>
      <w:r>
        <w:rPr>
          <w:spacing w:val="-4"/>
        </w:rPr>
        <w:t> </w:t>
      </w:r>
      <w:r>
        <w:rPr/>
        <w:t>3,</w:t>
      </w:r>
      <w:r>
        <w:rPr>
          <w:spacing w:val="-4"/>
        </w:rPr>
        <w:t> </w:t>
      </w:r>
      <w:r>
        <w:rPr/>
        <w:t>col.</w:t>
      </w:r>
      <w:r>
        <w:rPr>
          <w:spacing w:val="-7"/>
        </w:rPr>
        <w:t> </w:t>
      </w:r>
      <w:r>
        <w:rPr>
          <w:spacing w:val="-5"/>
        </w:rPr>
        <w:t>1.</w:t>
      </w:r>
    </w:p>
    <w:p>
      <w:pPr>
        <w:pStyle w:val="BodyText"/>
        <w:spacing w:before="2"/>
      </w:pPr>
    </w:p>
    <w:p>
      <w:pPr>
        <w:pStyle w:val="BodyText"/>
        <w:spacing w:line="237" w:lineRule="auto"/>
        <w:ind w:left="940" w:right="863" w:hanging="360"/>
      </w:pPr>
      <w:r>
        <w:rPr/>
        <w:t>Kaufman</w:t>
      </w:r>
      <w:r>
        <w:rPr>
          <w:spacing w:val="-3"/>
        </w:rPr>
        <w:t> </w:t>
      </w:r>
      <w:r>
        <w:rPr/>
        <w:t>R.A.</w:t>
      </w:r>
      <w:r>
        <w:rPr>
          <w:spacing w:val="-4"/>
        </w:rPr>
        <w:t> </w:t>
      </w:r>
      <w:r>
        <w:rPr/>
        <w:t>(1972).</w:t>
      </w:r>
      <w:r>
        <w:rPr>
          <w:spacing w:val="40"/>
        </w:rPr>
        <w:t> </w:t>
      </w:r>
      <w:r>
        <w:rPr/>
        <w:t>Educational</w:t>
      </w:r>
      <w:r>
        <w:rPr>
          <w:spacing w:val="-4"/>
        </w:rPr>
        <w:t> </w:t>
      </w:r>
      <w:r>
        <w:rPr/>
        <w:t>System</w:t>
      </w:r>
      <w:r>
        <w:rPr>
          <w:spacing w:val="-11"/>
        </w:rPr>
        <w:t> </w:t>
      </w:r>
      <w:r>
        <w:rPr/>
        <w:t>Planning.</w:t>
      </w:r>
      <w:r>
        <w:rPr>
          <w:spacing w:val="40"/>
        </w:rPr>
        <w:t> </w:t>
      </w:r>
      <w:r>
        <w:rPr/>
        <w:t>Prentice</w:t>
      </w:r>
      <w:r>
        <w:rPr>
          <w:spacing w:val="-3"/>
        </w:rPr>
        <w:t> </w:t>
      </w:r>
      <w:r>
        <w:rPr/>
        <w:t>Hall Inc.,</w:t>
      </w:r>
      <w:r>
        <w:rPr>
          <w:spacing w:val="-7"/>
        </w:rPr>
        <w:t> </w:t>
      </w:r>
      <w:r>
        <w:rPr/>
        <w:t>New </w:t>
      </w:r>
      <w:r>
        <w:rPr>
          <w:spacing w:val="-2"/>
        </w:rPr>
        <w:t>York.</w:t>
      </w:r>
    </w:p>
    <w:p>
      <w:pPr>
        <w:pStyle w:val="BodyText"/>
        <w:spacing w:before="1"/>
      </w:pPr>
    </w:p>
    <w:p>
      <w:pPr>
        <w:pStyle w:val="BodyText"/>
        <w:spacing w:line="242" w:lineRule="auto"/>
        <w:ind w:left="940" w:hanging="360"/>
      </w:pPr>
      <w:r>
        <w:rPr/>
        <w:t>Kazeem, B.</w:t>
      </w:r>
      <w:r>
        <w:rPr>
          <w:spacing w:val="-3"/>
        </w:rPr>
        <w:t> </w:t>
      </w:r>
      <w:r>
        <w:rPr/>
        <w:t>(1971).</w:t>
      </w:r>
      <w:r>
        <w:rPr>
          <w:spacing w:val="40"/>
        </w:rPr>
        <w:t> </w:t>
      </w:r>
      <w:r>
        <w:rPr>
          <w:u w:val="single"/>
        </w:rPr>
        <w:t>Commission</w:t>
      </w:r>
      <w:r>
        <w:rPr>
          <w:spacing w:val="-2"/>
          <w:u w:val="single"/>
        </w:rPr>
        <w:t> </w:t>
      </w:r>
      <w:r>
        <w:rPr>
          <w:u w:val="single"/>
        </w:rPr>
        <w:t>of</w:t>
      </w:r>
      <w:r>
        <w:rPr>
          <w:spacing w:val="-3"/>
          <w:u w:val="single"/>
        </w:rPr>
        <w:t> </w:t>
      </w:r>
      <w:r>
        <w:rPr>
          <w:u w:val="single"/>
        </w:rPr>
        <w:t>Inquiry</w:t>
      </w:r>
      <w:r>
        <w:rPr>
          <w:spacing w:val="-8"/>
          <w:u w:val="single"/>
        </w:rPr>
        <w:t> </w:t>
      </w:r>
      <w:r>
        <w:rPr>
          <w:u w:val="single"/>
        </w:rPr>
        <w:t>into</w:t>
      </w:r>
      <w:r>
        <w:rPr>
          <w:spacing w:val="-2"/>
          <w:u w:val="single"/>
        </w:rPr>
        <w:t> </w:t>
      </w:r>
      <w:r>
        <w:rPr>
          <w:u w:val="single"/>
        </w:rPr>
        <w:t>disturbances</w:t>
      </w:r>
      <w:r>
        <w:rPr>
          <w:spacing w:val="-3"/>
          <w:u w:val="single"/>
        </w:rPr>
        <w:t> </w:t>
      </w:r>
      <w:r>
        <w:rPr>
          <w:u w:val="single"/>
        </w:rPr>
        <w:t>n</w:t>
      </w:r>
      <w:r>
        <w:rPr>
          <w:spacing w:val="-2"/>
          <w:u w:val="single"/>
        </w:rPr>
        <w:t> </w:t>
      </w:r>
      <w:r>
        <w:rPr>
          <w:u w:val="single"/>
        </w:rPr>
        <w:t>the</w:t>
      </w:r>
      <w:r>
        <w:rPr>
          <w:spacing w:val="-2"/>
          <w:u w:val="single"/>
        </w:rPr>
        <w:t> </w:t>
      </w:r>
      <w:r>
        <w:rPr>
          <w:u w:val="single"/>
        </w:rPr>
        <w:t>campus</w:t>
      </w:r>
      <w:r>
        <w:rPr>
          <w:spacing w:val="-3"/>
          <w:u w:val="single"/>
        </w:rPr>
        <w:t> </w:t>
      </w:r>
      <w:r>
        <w:rPr>
          <w:u w:val="single"/>
        </w:rPr>
        <w:t>of</w:t>
      </w:r>
      <w:r>
        <w:rPr>
          <w:spacing w:val="-3"/>
          <w:u w:val="single"/>
        </w:rPr>
        <w:t> </w:t>
      </w:r>
      <w:r>
        <w:rPr>
          <w:u w:val="single"/>
        </w:rPr>
        <w:t>the</w:t>
      </w:r>
      <w:r>
        <w:rPr/>
        <w:t> </w:t>
      </w:r>
      <w:r>
        <w:rPr>
          <w:u w:val="single"/>
        </w:rPr>
        <w:t>University of Ibadan</w:t>
      </w:r>
      <w:r>
        <w:rPr/>
        <w:t>.</w:t>
      </w:r>
      <w:r>
        <w:rPr>
          <w:spacing w:val="40"/>
        </w:rPr>
        <w:t> </w:t>
      </w:r>
      <w:r>
        <w:rPr>
          <w:u w:val="single"/>
        </w:rPr>
        <w:t>February 1991</w:t>
      </w:r>
      <w:r>
        <w:rPr/>
        <w:t>.</w:t>
      </w:r>
      <w:r>
        <w:rPr>
          <w:spacing w:val="40"/>
        </w:rPr>
        <w:t> </w:t>
      </w:r>
      <w:r>
        <w:rPr/>
        <w:t>M.O. Printing Division, 1971, Lagos.</w:t>
      </w:r>
    </w:p>
    <w:p>
      <w:pPr>
        <w:pStyle w:val="BodyText"/>
        <w:spacing w:line="237" w:lineRule="auto" w:before="275"/>
        <w:ind w:left="940" w:right="301" w:hanging="360"/>
      </w:pPr>
      <w:r>
        <w:rPr/>
        <w:t>Kerlinger,</w:t>
      </w:r>
      <w:r>
        <w:rPr>
          <w:spacing w:val="-7"/>
        </w:rPr>
        <w:t> </w:t>
      </w:r>
      <w:r>
        <w:rPr/>
        <w:t>F.N.</w:t>
      </w:r>
      <w:r>
        <w:rPr>
          <w:spacing w:val="-3"/>
        </w:rPr>
        <w:t> </w:t>
      </w:r>
      <w:r>
        <w:rPr/>
        <w:t>(1973)</w:t>
      </w:r>
      <w:r>
        <w:rPr>
          <w:spacing w:val="-6"/>
        </w:rPr>
        <w:t> </w:t>
      </w:r>
      <w:r>
        <w:rPr>
          <w:u w:val="single"/>
        </w:rPr>
        <w:t>Foundations</w:t>
      </w:r>
      <w:r>
        <w:rPr>
          <w:spacing w:val="-8"/>
          <w:u w:val="single"/>
        </w:rPr>
        <w:t> </w:t>
      </w:r>
      <w:r>
        <w:rPr>
          <w:u w:val="single"/>
        </w:rPr>
        <w:t>of</w:t>
      </w:r>
      <w:r>
        <w:rPr>
          <w:spacing w:val="-3"/>
          <w:u w:val="single"/>
        </w:rPr>
        <w:t> </w:t>
      </w:r>
      <w:r>
        <w:rPr>
          <w:u w:val="single"/>
        </w:rPr>
        <w:t>Behavioural Research.</w:t>
      </w:r>
      <w:r>
        <w:rPr>
          <w:spacing w:val="-2"/>
        </w:rPr>
        <w:t> </w:t>
      </w:r>
      <w:r>
        <w:rPr/>
        <w:t>New</w:t>
      </w:r>
      <w:r>
        <w:rPr>
          <w:spacing w:val="-8"/>
        </w:rPr>
        <w:t> </w:t>
      </w:r>
      <w:r>
        <w:rPr/>
        <w:t>York,</w:t>
      </w:r>
      <w:r>
        <w:rPr>
          <w:spacing w:val="-3"/>
        </w:rPr>
        <w:t> </w:t>
      </w:r>
      <w:r>
        <w:rPr/>
        <w:t>Holt</w:t>
      </w:r>
      <w:r>
        <w:rPr>
          <w:spacing w:val="-3"/>
        </w:rPr>
        <w:t> </w:t>
      </w:r>
      <w:r>
        <w:rPr/>
        <w:t>Rine Hart and Winstow</w:t>
      </w:r>
    </w:p>
    <w:p>
      <w:pPr>
        <w:spacing w:after="0" w:line="237" w:lineRule="auto"/>
        <w:sectPr>
          <w:headerReference w:type="default" r:id="rId586"/>
          <w:footerReference w:type="default" r:id="rId587"/>
          <w:pgSz w:w="12240" w:h="15840"/>
          <w:pgMar w:header="722" w:footer="623" w:top="980" w:bottom="820" w:left="1220" w:right="1140"/>
        </w:sectPr>
      </w:pPr>
    </w:p>
    <w:p>
      <w:pPr>
        <w:pStyle w:val="BodyText"/>
        <w:spacing w:before="174"/>
      </w:pPr>
    </w:p>
    <w:p>
      <w:pPr>
        <w:pStyle w:val="BodyText"/>
        <w:spacing w:line="237" w:lineRule="auto"/>
        <w:ind w:left="940" w:right="863" w:hanging="360"/>
      </w:pPr>
      <w:r>
        <w:rPr/>
        <w:t>Kenneth,</w:t>
      </w:r>
      <w:r>
        <w:rPr>
          <w:spacing w:val="-3"/>
        </w:rPr>
        <w:t> </w:t>
      </w:r>
      <w:r>
        <w:rPr/>
        <w:t>E.</w:t>
      </w:r>
      <w:r>
        <w:rPr>
          <w:spacing w:val="-3"/>
        </w:rPr>
        <w:t> </w:t>
      </w:r>
      <w:r>
        <w:rPr/>
        <w:t>B.</w:t>
      </w:r>
      <w:r>
        <w:rPr>
          <w:spacing w:val="-3"/>
        </w:rPr>
        <w:t> </w:t>
      </w:r>
      <w:r>
        <w:rPr/>
        <w:t>(1962).</w:t>
      </w:r>
      <w:r>
        <w:rPr>
          <w:spacing w:val="40"/>
        </w:rPr>
        <w:t> </w:t>
      </w:r>
      <w:r>
        <w:rPr>
          <w:u w:val="single"/>
        </w:rPr>
        <w:t>Conflict</w:t>
      </w:r>
      <w:r>
        <w:rPr>
          <w:spacing w:val="-3"/>
          <w:u w:val="single"/>
        </w:rPr>
        <w:t> </w:t>
      </w:r>
      <w:r>
        <w:rPr>
          <w:u w:val="single"/>
        </w:rPr>
        <w:t>and</w:t>
      </w:r>
      <w:r>
        <w:rPr>
          <w:spacing w:val="-2"/>
          <w:u w:val="single"/>
        </w:rPr>
        <w:t> </w:t>
      </w:r>
      <w:r>
        <w:rPr>
          <w:u w:val="single"/>
        </w:rPr>
        <w:t>Defence.</w:t>
      </w:r>
      <w:r>
        <w:rPr>
          <w:spacing w:val="40"/>
          <w:u w:val="single"/>
        </w:rPr>
        <w:t> </w:t>
      </w:r>
      <w:r>
        <w:rPr>
          <w:u w:val="single"/>
        </w:rPr>
        <w:t>A</w:t>
      </w:r>
      <w:r>
        <w:rPr>
          <w:spacing w:val="-4"/>
          <w:u w:val="single"/>
        </w:rPr>
        <w:t> </w:t>
      </w:r>
      <w:r>
        <w:rPr>
          <w:u w:val="single"/>
        </w:rPr>
        <w:t>general theory.</w:t>
      </w:r>
      <w:r>
        <w:rPr>
          <w:spacing w:val="40"/>
        </w:rPr>
        <w:t> </w:t>
      </w:r>
      <w:r>
        <w:rPr/>
        <w:t>Harper</w:t>
      </w:r>
      <w:r>
        <w:rPr>
          <w:spacing w:val="-1"/>
        </w:rPr>
        <w:t> </w:t>
      </w:r>
      <w:r>
        <w:rPr/>
        <w:t>Books </w:t>
      </w:r>
      <w:r>
        <w:rPr>
          <w:spacing w:val="-2"/>
        </w:rPr>
        <w:t>Ltd.,</w:t>
      </w:r>
    </w:p>
    <w:p>
      <w:pPr>
        <w:pStyle w:val="BodyText"/>
      </w:pPr>
    </w:p>
    <w:p>
      <w:pPr>
        <w:pStyle w:val="BodyText"/>
        <w:spacing w:before="1"/>
        <w:ind w:left="580"/>
      </w:pPr>
      <w:r>
        <w:rPr/>
        <w:t>Kingfisher,</w:t>
      </w:r>
      <w:r>
        <w:rPr>
          <w:spacing w:val="-10"/>
        </w:rPr>
        <w:t> </w:t>
      </w:r>
      <w:r>
        <w:rPr/>
        <w:t>(1999).</w:t>
      </w:r>
      <w:r>
        <w:rPr>
          <w:spacing w:val="-8"/>
        </w:rPr>
        <w:t> </w:t>
      </w:r>
      <w:r>
        <w:rPr>
          <w:u w:val="single"/>
        </w:rPr>
        <w:t>The</w:t>
      </w:r>
      <w:r>
        <w:rPr>
          <w:spacing w:val="-12"/>
          <w:u w:val="single"/>
        </w:rPr>
        <w:t> </w:t>
      </w:r>
      <w:r>
        <w:rPr>
          <w:u w:val="single"/>
        </w:rPr>
        <w:t>Kingfisher</w:t>
      </w:r>
      <w:r>
        <w:rPr>
          <w:spacing w:val="-8"/>
          <w:u w:val="single"/>
        </w:rPr>
        <w:t> </w:t>
      </w:r>
      <w:r>
        <w:rPr>
          <w:u w:val="single"/>
        </w:rPr>
        <w:t>History</w:t>
      </w:r>
      <w:r>
        <w:rPr>
          <w:spacing w:val="-9"/>
          <w:u w:val="single"/>
        </w:rPr>
        <w:t> </w:t>
      </w:r>
      <w:r>
        <w:rPr>
          <w:u w:val="single"/>
        </w:rPr>
        <w:t>Encyclopedia</w:t>
      </w:r>
      <w:r>
        <w:rPr>
          <w:spacing w:val="-8"/>
        </w:rPr>
        <w:t> </w:t>
      </w:r>
      <w:r>
        <w:rPr/>
        <w:t>Vol.</w:t>
      </w:r>
      <w:r>
        <w:rPr>
          <w:spacing w:val="-9"/>
        </w:rPr>
        <w:t> </w:t>
      </w:r>
      <w:r>
        <w:rPr/>
        <w:t>2,</w:t>
      </w:r>
      <w:r>
        <w:rPr>
          <w:spacing w:val="-10"/>
        </w:rPr>
        <w:t> </w:t>
      </w:r>
      <w:r>
        <w:rPr/>
        <w:t>Kingfisher</w:t>
      </w:r>
      <w:r>
        <w:rPr>
          <w:spacing w:val="-7"/>
        </w:rPr>
        <w:t> </w:t>
      </w:r>
      <w:r>
        <w:rPr/>
        <w:t>Pub.</w:t>
      </w:r>
      <w:r>
        <w:rPr>
          <w:spacing w:val="-10"/>
        </w:rPr>
        <w:t> </w:t>
      </w:r>
      <w:r>
        <w:rPr>
          <w:spacing w:val="-4"/>
        </w:rPr>
        <w:t>Plc.</w:t>
      </w:r>
    </w:p>
    <w:p>
      <w:pPr>
        <w:pStyle w:val="BodyText"/>
        <w:spacing w:before="2"/>
        <w:ind w:left="1007"/>
      </w:pPr>
      <w:r>
        <w:rPr/>
        <w:t>Hong</w:t>
      </w:r>
      <w:r>
        <w:rPr>
          <w:spacing w:val="-4"/>
        </w:rPr>
        <w:t> Kong</w:t>
      </w:r>
    </w:p>
    <w:p>
      <w:pPr>
        <w:pStyle w:val="BodyText"/>
        <w:spacing w:before="2"/>
      </w:pPr>
    </w:p>
    <w:p>
      <w:pPr>
        <w:pStyle w:val="BodyText"/>
        <w:spacing w:line="237" w:lineRule="auto"/>
        <w:ind w:left="940" w:right="863" w:hanging="360"/>
      </w:pPr>
      <w:r>
        <w:rPr/>
        <mc:AlternateContent>
          <mc:Choice Requires="wps">
            <w:drawing>
              <wp:anchor distT="0" distB="0" distL="0" distR="0" allowOverlap="1" layoutInCell="1" locked="0" behindDoc="0" simplePos="0" relativeHeight="15734784">
                <wp:simplePos x="0" y="0"/>
                <wp:positionH relativeFrom="page">
                  <wp:posOffset>1371600</wp:posOffset>
                </wp:positionH>
                <wp:positionV relativeFrom="paragraph">
                  <wp:posOffset>330942</wp:posOffset>
                </wp:positionV>
                <wp:extent cx="2075814" cy="12700"/>
                <wp:effectExtent l="0" t="0" r="0" b="0"/>
                <wp:wrapNone/>
                <wp:docPr id="571" name="Graphic 571"/>
                <wp:cNvGraphicFramePr>
                  <a:graphicFrameLocks/>
                </wp:cNvGraphicFramePr>
                <a:graphic>
                  <a:graphicData uri="http://schemas.microsoft.com/office/word/2010/wordprocessingShape">
                    <wps:wsp>
                      <wps:cNvPr id="571" name="Graphic 571"/>
                      <wps:cNvSpPr/>
                      <wps:spPr>
                        <a:xfrm>
                          <a:off x="0" y="0"/>
                          <a:ext cx="2075814" cy="12700"/>
                        </a:xfrm>
                        <a:custGeom>
                          <a:avLst/>
                          <a:gdLst/>
                          <a:ahLst/>
                          <a:cxnLst/>
                          <a:rect l="l" t="t" r="r" b="b"/>
                          <a:pathLst>
                            <a:path w="2075814" h="12700">
                              <a:moveTo>
                                <a:pt x="2075688" y="0"/>
                              </a:moveTo>
                              <a:lnTo>
                                <a:pt x="0" y="0"/>
                              </a:lnTo>
                              <a:lnTo>
                                <a:pt x="0" y="12192"/>
                              </a:lnTo>
                              <a:lnTo>
                                <a:pt x="2075688" y="12192"/>
                              </a:lnTo>
                              <a:lnTo>
                                <a:pt x="207568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08pt;margin-top:26.058477pt;width:163.44pt;height:.96pt;mso-position-horizontal-relative:page;mso-position-vertical-relative:paragraph;z-index:15734784" id="docshape569" filled="true" fillcolor="#000000" stroked="false">
                <v:fill type="solid"/>
                <w10:wrap type="none"/>
              </v:rect>
            </w:pict>
          </mc:Fallback>
        </mc:AlternateContent>
      </w:r>
      <w:r>
        <w:rPr/>
        <w:t>Koontz,</w:t>
      </w:r>
      <w:r>
        <w:rPr>
          <w:spacing w:val="-3"/>
        </w:rPr>
        <w:t> </w:t>
      </w:r>
      <w:r>
        <w:rPr/>
        <w:t>H..</w:t>
      </w:r>
      <w:r>
        <w:rPr>
          <w:spacing w:val="-3"/>
        </w:rPr>
        <w:t> </w:t>
      </w:r>
      <w:r>
        <w:rPr/>
        <w:t>and</w:t>
      </w:r>
      <w:r>
        <w:rPr>
          <w:spacing w:val="-6"/>
        </w:rPr>
        <w:t> </w:t>
      </w:r>
      <w:r>
        <w:rPr/>
        <w:t>Donnel,</w:t>
      </w:r>
      <w:r>
        <w:rPr>
          <w:spacing w:val="-3"/>
        </w:rPr>
        <w:t> </w:t>
      </w:r>
      <w:r>
        <w:rPr/>
        <w:t>O.</w:t>
      </w:r>
      <w:r>
        <w:rPr>
          <w:spacing w:val="-3"/>
        </w:rPr>
        <w:t> </w:t>
      </w:r>
      <w:r>
        <w:rPr/>
        <w:t>(1972).</w:t>
      </w:r>
      <w:r>
        <w:rPr>
          <w:spacing w:val="40"/>
        </w:rPr>
        <w:t> </w:t>
      </w:r>
      <w:r>
        <w:rPr>
          <w:u w:val="single"/>
        </w:rPr>
        <w:t>Principles</w:t>
      </w:r>
      <w:r>
        <w:rPr>
          <w:spacing w:val="-8"/>
          <w:u w:val="single"/>
        </w:rPr>
        <w:t> </w:t>
      </w:r>
      <w:r>
        <w:rPr>
          <w:u w:val="single"/>
        </w:rPr>
        <w:t>of</w:t>
      </w:r>
      <w:r>
        <w:rPr>
          <w:spacing w:val="-3"/>
          <w:u w:val="single"/>
        </w:rPr>
        <w:t> </w:t>
      </w:r>
      <w:r>
        <w:rPr>
          <w:u w:val="single"/>
        </w:rPr>
        <w:t>management</w:t>
      </w:r>
      <w:r>
        <w:rPr/>
        <w:t>.</w:t>
      </w:r>
      <w:r>
        <w:rPr>
          <w:spacing w:val="40"/>
        </w:rPr>
        <w:t> </w:t>
      </w:r>
      <w:r>
        <w:rPr>
          <w:u w:val="single"/>
        </w:rPr>
        <w:t>An</w:t>
      </w:r>
      <w:r>
        <w:rPr>
          <w:spacing w:val="-2"/>
          <w:u w:val="single"/>
        </w:rPr>
        <w:t> </w:t>
      </w:r>
      <w:r>
        <w:rPr>
          <w:u w:val="single"/>
        </w:rPr>
        <w:t>Analysis</w:t>
      </w:r>
      <w:r>
        <w:rPr>
          <w:spacing w:val="-3"/>
          <w:u w:val="single"/>
        </w:rPr>
        <w:t> </w:t>
      </w:r>
      <w:r>
        <w:rPr>
          <w:u w:val="single"/>
        </w:rPr>
        <w:t>of</w:t>
      </w:r>
      <w:r>
        <w:rPr/>
        <w:t> Management Functions 5</w:t>
      </w:r>
      <w:r>
        <w:rPr>
          <w:vertAlign w:val="superscript"/>
        </w:rPr>
        <w:t>th</w:t>
      </w:r>
      <w:r>
        <w:rPr>
          <w:vertAlign w:val="baseline"/>
        </w:rPr>
        <w:t> Ed.</w:t>
      </w:r>
      <w:r>
        <w:rPr>
          <w:spacing w:val="40"/>
          <w:vertAlign w:val="baseline"/>
        </w:rPr>
        <w:t> </w:t>
      </w:r>
      <w:r>
        <w:rPr>
          <w:vertAlign w:val="baseline"/>
        </w:rPr>
        <w:t>McGraw hill, 1972, New York.</w:t>
      </w:r>
    </w:p>
    <w:p>
      <w:pPr>
        <w:pStyle w:val="BodyText"/>
        <w:spacing w:before="1"/>
      </w:pPr>
    </w:p>
    <w:p>
      <w:pPr>
        <w:pStyle w:val="BodyText"/>
        <w:spacing w:line="242" w:lineRule="auto"/>
        <w:ind w:left="940" w:right="301" w:hanging="360"/>
      </w:pPr>
      <w:r>
        <w:rPr/>
        <w:t>Krejciie R.W and Morgan, D.W (1970).</w:t>
      </w:r>
      <w:r>
        <w:rPr>
          <w:spacing w:val="40"/>
        </w:rPr>
        <w:t> </w:t>
      </w:r>
      <w:r>
        <w:rPr/>
        <w:t>Determining Sample Size for Research Activities</w:t>
      </w:r>
      <w:r>
        <w:rPr>
          <w:spacing w:val="-8"/>
        </w:rPr>
        <w:t> </w:t>
      </w:r>
      <w:r>
        <w:rPr/>
        <w:t>in</w:t>
      </w:r>
      <w:r>
        <w:rPr>
          <w:spacing w:val="-2"/>
        </w:rPr>
        <w:t> </w:t>
      </w:r>
      <w:r>
        <w:rPr>
          <w:u w:val="single"/>
        </w:rPr>
        <w:t>Educational and</w:t>
      </w:r>
      <w:r>
        <w:rPr>
          <w:spacing w:val="-3"/>
          <w:u w:val="single"/>
        </w:rPr>
        <w:t> </w:t>
      </w:r>
      <w:r>
        <w:rPr>
          <w:u w:val="single"/>
        </w:rPr>
        <w:t>Psychological Measurement</w:t>
      </w:r>
      <w:r>
        <w:rPr/>
        <w:t>.</w:t>
      </w:r>
      <w:r>
        <w:rPr>
          <w:spacing w:val="-3"/>
        </w:rPr>
        <w:t> </w:t>
      </w:r>
      <w:r>
        <w:rPr/>
        <w:t>Vol.30</w:t>
      </w:r>
      <w:r>
        <w:rPr>
          <w:spacing w:val="40"/>
        </w:rPr>
        <w:t> </w:t>
      </w:r>
      <w:r>
        <w:rPr/>
        <w:t>Pp</w:t>
      </w:r>
      <w:r>
        <w:rPr>
          <w:spacing w:val="-3"/>
        </w:rPr>
        <w:t> </w:t>
      </w:r>
      <w:r>
        <w:rPr/>
        <w:t>607</w:t>
      </w:r>
      <w:r>
        <w:rPr>
          <w:spacing w:val="-6"/>
        </w:rPr>
        <w:t> </w:t>
      </w:r>
      <w:r>
        <w:rPr/>
        <w:t>–</w:t>
      </w:r>
      <w:r>
        <w:rPr>
          <w:spacing w:val="-3"/>
        </w:rPr>
        <w:t> </w:t>
      </w:r>
      <w:r>
        <w:rPr/>
        <w:t>610.</w:t>
      </w:r>
    </w:p>
    <w:p>
      <w:pPr>
        <w:pStyle w:val="BodyText"/>
        <w:spacing w:before="273"/>
        <w:ind w:left="940" w:right="301" w:hanging="360"/>
      </w:pPr>
      <w:r>
        <w:rPr/>
        <w:t>Kwanashie,</w:t>
      </w:r>
      <w:r>
        <w:rPr>
          <w:spacing w:val="-5"/>
        </w:rPr>
        <w:t> </w:t>
      </w:r>
      <w:r>
        <w:rPr/>
        <w:t>M.</w:t>
      </w:r>
      <w:r>
        <w:rPr>
          <w:spacing w:val="-5"/>
        </w:rPr>
        <w:t> </w:t>
      </w:r>
      <w:r>
        <w:rPr/>
        <w:t>(1987).</w:t>
      </w:r>
      <w:r>
        <w:rPr>
          <w:spacing w:val="-5"/>
        </w:rPr>
        <w:t> </w:t>
      </w:r>
      <w:r>
        <w:rPr/>
        <w:t>“Expansion</w:t>
      </w:r>
      <w:r>
        <w:rPr>
          <w:spacing w:val="-4"/>
        </w:rPr>
        <w:t> </w:t>
      </w:r>
      <w:r>
        <w:rPr/>
        <w:t>verses</w:t>
      </w:r>
      <w:r>
        <w:rPr>
          <w:spacing w:val="-5"/>
        </w:rPr>
        <w:t> </w:t>
      </w:r>
      <w:r>
        <w:rPr/>
        <w:t>consolidation</w:t>
      </w:r>
      <w:r>
        <w:rPr>
          <w:spacing w:val="-8"/>
        </w:rPr>
        <w:t> </w:t>
      </w:r>
      <w:r>
        <w:rPr/>
        <w:t>in</w:t>
      </w:r>
      <w:r>
        <w:rPr>
          <w:spacing w:val="-4"/>
        </w:rPr>
        <w:t> </w:t>
      </w:r>
      <w:r>
        <w:rPr/>
        <w:t>the</w:t>
      </w:r>
      <w:r>
        <w:rPr>
          <w:spacing w:val="-4"/>
        </w:rPr>
        <w:t> </w:t>
      </w:r>
      <w:r>
        <w:rPr/>
        <w:t>University</w:t>
      </w:r>
      <w:r>
        <w:rPr>
          <w:spacing w:val="-5"/>
        </w:rPr>
        <w:t> </w:t>
      </w:r>
      <w:r>
        <w:rPr/>
        <w:t>System” under dwindling resources. </w:t>
      </w:r>
      <w:r>
        <w:rPr>
          <w:u w:val="single"/>
        </w:rPr>
        <w:t>NUC Resource Management</w:t>
      </w:r>
      <w:r>
        <w:rPr>
          <w:spacing w:val="40"/>
          <w:u w:val="single"/>
        </w:rPr>
        <w:t> </w:t>
      </w:r>
      <w:r>
        <w:rPr>
          <w:u w:val="single"/>
        </w:rPr>
        <w:t>in the University</w:t>
      </w:r>
      <w:r>
        <w:rPr/>
        <w:t> </w:t>
      </w:r>
      <w:r>
        <w:rPr>
          <w:u w:val="single"/>
        </w:rPr>
        <w:t>System.</w:t>
      </w:r>
      <w:r>
        <w:rPr/>
        <w:t> ABU Zaria, 1987 p. 135</w:t>
      </w:r>
    </w:p>
    <w:p>
      <w:pPr>
        <w:pStyle w:val="BodyText"/>
        <w:spacing w:before="2"/>
      </w:pPr>
    </w:p>
    <w:p>
      <w:pPr>
        <w:pStyle w:val="BodyText"/>
        <w:spacing w:line="237" w:lineRule="auto" w:before="1"/>
        <w:ind w:left="940" w:right="301" w:hanging="360"/>
      </w:pPr>
      <w:r>
        <w:rPr/>
        <w:t>Lawal B.I.</w:t>
      </w:r>
      <w:r>
        <w:rPr>
          <w:spacing w:val="-4"/>
        </w:rPr>
        <w:t> </w:t>
      </w:r>
      <w:r>
        <w:rPr/>
        <w:t>(1999).</w:t>
      </w:r>
      <w:r>
        <w:rPr>
          <w:spacing w:val="-4"/>
        </w:rPr>
        <w:t> </w:t>
      </w:r>
      <w:r>
        <w:rPr/>
        <w:t>Crisis</w:t>
      </w:r>
      <w:r>
        <w:rPr>
          <w:spacing w:val="-4"/>
        </w:rPr>
        <w:t> </w:t>
      </w:r>
      <w:r>
        <w:rPr/>
        <w:t>Management</w:t>
      </w:r>
      <w:r>
        <w:rPr>
          <w:spacing w:val="-4"/>
        </w:rPr>
        <w:t> </w:t>
      </w:r>
      <w:r>
        <w:rPr/>
        <w:t>in</w:t>
      </w:r>
      <w:r>
        <w:rPr>
          <w:spacing w:val="-3"/>
        </w:rPr>
        <w:t> </w:t>
      </w:r>
      <w:r>
        <w:rPr/>
        <w:t>an</w:t>
      </w:r>
      <w:r>
        <w:rPr>
          <w:spacing w:val="-7"/>
        </w:rPr>
        <w:t> </w:t>
      </w:r>
      <w:r>
        <w:rPr/>
        <w:t>organization:</w:t>
      </w:r>
      <w:r>
        <w:rPr>
          <w:spacing w:val="-4"/>
        </w:rPr>
        <w:t> </w:t>
      </w:r>
      <w:r>
        <w:rPr/>
        <w:t>A</w:t>
      </w:r>
      <w:r>
        <w:rPr>
          <w:spacing w:val="-5"/>
        </w:rPr>
        <w:t> </w:t>
      </w:r>
      <w:r>
        <w:rPr/>
        <w:t>case</w:t>
      </w:r>
      <w:r>
        <w:rPr>
          <w:spacing w:val="-7"/>
        </w:rPr>
        <w:t> </w:t>
      </w:r>
      <w:r>
        <w:rPr/>
        <w:t>study</w:t>
      </w:r>
      <w:r>
        <w:rPr>
          <w:spacing w:val="-4"/>
        </w:rPr>
        <w:t> </w:t>
      </w:r>
      <w:r>
        <w:rPr/>
        <w:t>of</w:t>
      </w:r>
      <w:r>
        <w:rPr>
          <w:spacing w:val="-4"/>
        </w:rPr>
        <w:t> </w:t>
      </w:r>
      <w:r>
        <w:rPr/>
        <w:t>Ahmadu Bello University, M.Sc. Thesis, Faculty of Administration, ABU, Zaria.</w:t>
      </w:r>
    </w:p>
    <w:p>
      <w:pPr>
        <w:pStyle w:val="BodyText"/>
      </w:pPr>
    </w:p>
    <w:p>
      <w:pPr>
        <w:pStyle w:val="BodyText"/>
        <w:spacing w:line="242" w:lineRule="auto" w:before="1"/>
        <w:ind w:left="940" w:right="301" w:hanging="360"/>
      </w:pPr>
      <w:r>
        <w:rPr/>
        <w:t>Lawal, L. (1978).</w:t>
      </w:r>
      <w:r>
        <w:rPr>
          <w:spacing w:val="40"/>
        </w:rPr>
        <w:t> </w:t>
      </w:r>
      <w:r>
        <w:rPr/>
        <w:t>“Hands Off: Versities advised on students feeding:” A.B.U. Students say ‘No’ to</w:t>
      </w:r>
      <w:r>
        <w:rPr>
          <w:spacing w:val="14"/>
        </w:rPr>
        <w:t> </w:t>
      </w:r>
      <w:r>
        <w:rPr/>
        <w:t>lectures.</w:t>
      </w:r>
      <w:r>
        <w:rPr>
          <w:spacing w:val="80"/>
        </w:rPr>
        <w:t> </w:t>
      </w:r>
      <w:r>
        <w:rPr>
          <w:u w:val="single"/>
        </w:rPr>
        <w:t>Nigerian</w:t>
      </w:r>
      <w:r>
        <w:rPr>
          <w:spacing w:val="14"/>
          <w:u w:val="single"/>
        </w:rPr>
        <w:t> </w:t>
      </w:r>
      <w:r>
        <w:rPr>
          <w:u w:val="single"/>
        </w:rPr>
        <w:t>Herald</w:t>
      </w:r>
      <w:r>
        <w:rPr>
          <w:spacing w:val="80"/>
        </w:rPr>
        <w:t> </w:t>
      </w:r>
      <w:r>
        <w:rPr/>
        <w:t>Friday May 10,</w:t>
      </w:r>
      <w:r>
        <w:rPr>
          <w:spacing w:val="14"/>
        </w:rPr>
        <w:t> </w:t>
      </w:r>
      <w:r>
        <w:rPr/>
        <w:t>1978,</w:t>
      </w:r>
      <w:r>
        <w:rPr>
          <w:spacing w:val="14"/>
        </w:rPr>
        <w:t> </w:t>
      </w:r>
      <w:r>
        <w:rPr/>
        <w:t>No.</w:t>
      </w:r>
      <w:r>
        <w:rPr>
          <w:spacing w:val="14"/>
        </w:rPr>
        <w:t> </w:t>
      </w:r>
      <w:r>
        <w:rPr/>
        <w:t>1415,</w:t>
      </w:r>
    </w:p>
    <w:p>
      <w:pPr>
        <w:pStyle w:val="BodyText"/>
        <w:spacing w:line="271" w:lineRule="exact"/>
        <w:ind w:left="940"/>
      </w:pPr>
      <w:r>
        <w:rPr/>
        <w:t>p.</w:t>
      </w:r>
      <w:r>
        <w:rPr>
          <w:spacing w:val="-3"/>
        </w:rPr>
        <w:t> </w:t>
      </w:r>
      <w:r>
        <w:rPr/>
        <w:t>1</w:t>
      </w:r>
      <w:r>
        <w:rPr>
          <w:spacing w:val="-2"/>
        </w:rPr>
        <w:t> </w:t>
      </w:r>
      <w:r>
        <w:rPr/>
        <w:t>(front</w:t>
      </w:r>
      <w:r>
        <w:rPr>
          <w:spacing w:val="-2"/>
        </w:rPr>
        <w:t> page).</w:t>
      </w:r>
    </w:p>
    <w:p>
      <w:pPr>
        <w:pStyle w:val="BodyText"/>
        <w:spacing w:line="242" w:lineRule="auto" w:before="276"/>
        <w:ind w:left="940" w:right="863" w:hanging="360"/>
      </w:pPr>
      <w:r>
        <w:rPr/>
        <w:t>Lester,</w:t>
      </w:r>
      <w:r>
        <w:rPr>
          <w:spacing w:val="-4"/>
        </w:rPr>
        <w:t> </w:t>
      </w:r>
      <w:r>
        <w:rPr/>
        <w:t>R.B.,</w:t>
      </w:r>
      <w:r>
        <w:rPr>
          <w:spacing w:val="-4"/>
        </w:rPr>
        <w:t> </w:t>
      </w:r>
      <w:r>
        <w:rPr/>
        <w:t>Jackson,</w:t>
      </w:r>
      <w:r>
        <w:rPr>
          <w:spacing w:val="-4"/>
        </w:rPr>
        <w:t> </w:t>
      </w:r>
      <w:r>
        <w:rPr/>
        <w:t>E.R.</w:t>
      </w:r>
      <w:r>
        <w:rPr>
          <w:spacing w:val="-4"/>
        </w:rPr>
        <w:t> </w:t>
      </w:r>
      <w:r>
        <w:rPr/>
        <w:t>and</w:t>
      </w:r>
      <w:r>
        <w:rPr>
          <w:spacing w:val="-3"/>
        </w:rPr>
        <w:t> </w:t>
      </w:r>
      <w:r>
        <w:rPr/>
        <w:t>Muriel,</w:t>
      </w:r>
      <w:r>
        <w:rPr>
          <w:spacing w:val="-4"/>
        </w:rPr>
        <w:t> </w:t>
      </w:r>
      <w:r>
        <w:rPr/>
        <w:t>A.B.</w:t>
      </w:r>
      <w:r>
        <w:rPr>
          <w:spacing w:val="40"/>
        </w:rPr>
        <w:t> </w:t>
      </w:r>
      <w:r>
        <w:rPr/>
        <w:t>(1985</w:t>
      </w:r>
      <w:r>
        <w:rPr>
          <w:spacing w:val="-3"/>
        </w:rPr>
        <w:t> </w:t>
      </w:r>
      <w:r>
        <w:rPr/>
        <w:t>ed).</w:t>
      </w:r>
      <w:r>
        <w:rPr>
          <w:spacing w:val="-3"/>
        </w:rPr>
        <w:t> </w:t>
      </w:r>
      <w:r>
        <w:rPr/>
        <w:t>Encyclopedia</w:t>
      </w:r>
      <w:r>
        <w:rPr>
          <w:spacing w:val="-7"/>
        </w:rPr>
        <w:t> </w:t>
      </w:r>
      <w:r>
        <w:rPr/>
        <w:t>of Professional Management. Vol. 2 2</w:t>
      </w:r>
      <w:r>
        <w:rPr>
          <w:vertAlign w:val="superscript"/>
        </w:rPr>
        <w:t>nd</w:t>
      </w:r>
      <w:r>
        <w:rPr>
          <w:spacing w:val="-15"/>
          <w:vertAlign w:val="baseline"/>
        </w:rPr>
        <w:t> </w:t>
      </w:r>
      <w:r>
        <w:rPr>
          <w:vertAlign w:val="baseline"/>
        </w:rPr>
        <w:t>Ed., Mac-Graw Hill Inc.</w:t>
      </w:r>
    </w:p>
    <w:p>
      <w:pPr>
        <w:pStyle w:val="BodyText"/>
        <w:spacing w:line="237" w:lineRule="auto" w:before="275"/>
        <w:ind w:left="940" w:right="301" w:hanging="360"/>
      </w:pPr>
      <w:r>
        <w:rPr/>
        <w:t>Lokesh,</w:t>
      </w:r>
      <w:r>
        <w:rPr>
          <w:spacing w:val="-3"/>
        </w:rPr>
        <w:t> </w:t>
      </w:r>
      <w:r>
        <w:rPr/>
        <w:t>K.</w:t>
      </w:r>
      <w:r>
        <w:rPr>
          <w:spacing w:val="-3"/>
        </w:rPr>
        <w:t> </w:t>
      </w:r>
      <w:r>
        <w:rPr/>
        <w:t>(1984).</w:t>
      </w:r>
      <w:r>
        <w:rPr>
          <w:spacing w:val="40"/>
        </w:rPr>
        <w:t> </w:t>
      </w:r>
      <w:r>
        <w:rPr>
          <w:u w:val="single"/>
        </w:rPr>
        <w:t>Methodology</w:t>
      </w:r>
      <w:r>
        <w:rPr>
          <w:spacing w:val="-7"/>
          <w:u w:val="single"/>
        </w:rPr>
        <w:t> </w:t>
      </w:r>
      <w:r>
        <w:rPr>
          <w:u w:val="single"/>
        </w:rPr>
        <w:t>of</w:t>
      </w:r>
      <w:r>
        <w:rPr>
          <w:spacing w:val="-3"/>
          <w:u w:val="single"/>
        </w:rPr>
        <w:t> </w:t>
      </w:r>
      <w:r>
        <w:rPr>
          <w:u w:val="single"/>
        </w:rPr>
        <w:t>Educational Research</w:t>
      </w:r>
      <w:r>
        <w:rPr/>
        <w:t>.</w:t>
      </w:r>
      <w:r>
        <w:rPr>
          <w:spacing w:val="40"/>
        </w:rPr>
        <w:t> </w:t>
      </w:r>
      <w:r>
        <w:rPr/>
        <w:t>2</w:t>
      </w:r>
      <w:r>
        <w:rPr>
          <w:vertAlign w:val="superscript"/>
        </w:rPr>
        <w:t>nd</w:t>
      </w:r>
      <w:r>
        <w:rPr>
          <w:spacing w:val="-4"/>
          <w:vertAlign w:val="baseline"/>
        </w:rPr>
        <w:t> </w:t>
      </w:r>
      <w:r>
        <w:rPr>
          <w:vertAlign w:val="baseline"/>
        </w:rPr>
        <w:t>Revised</w:t>
      </w:r>
      <w:r>
        <w:rPr>
          <w:spacing w:val="-2"/>
          <w:vertAlign w:val="baseline"/>
        </w:rPr>
        <w:t> </w:t>
      </w:r>
      <w:r>
        <w:rPr>
          <w:vertAlign w:val="baseline"/>
        </w:rPr>
        <w:t>Ed.</w:t>
      </w:r>
      <w:r>
        <w:rPr>
          <w:spacing w:val="40"/>
          <w:vertAlign w:val="baseline"/>
        </w:rPr>
        <w:t> </w:t>
      </w:r>
      <w:r>
        <w:rPr>
          <w:vertAlign w:val="baseline"/>
        </w:rPr>
        <w:t>Vikas Pub. House PVT Ltd, New Delhi.</w:t>
      </w:r>
    </w:p>
    <w:p>
      <w:pPr>
        <w:pStyle w:val="BodyText"/>
        <w:spacing w:before="1"/>
      </w:pPr>
    </w:p>
    <w:p>
      <w:pPr>
        <w:pStyle w:val="BodyText"/>
        <w:ind w:left="580"/>
      </w:pPr>
      <w:r>
        <w:rPr/>
        <w:t>Lupton,</w:t>
      </w:r>
      <w:r>
        <w:rPr>
          <w:spacing w:val="-8"/>
        </w:rPr>
        <w:t> </w:t>
      </w:r>
      <w:r>
        <w:rPr/>
        <w:t>K.</w:t>
      </w:r>
      <w:r>
        <w:rPr>
          <w:spacing w:val="-11"/>
        </w:rPr>
        <w:t> </w:t>
      </w:r>
      <w:r>
        <w:rPr/>
        <w:t>(1970).</w:t>
      </w:r>
      <w:r>
        <w:rPr>
          <w:spacing w:val="52"/>
        </w:rPr>
        <w:t> </w:t>
      </w:r>
      <w:r>
        <w:rPr/>
        <w:t>Ahmadu</w:t>
      </w:r>
      <w:r>
        <w:rPr>
          <w:spacing w:val="-6"/>
        </w:rPr>
        <w:t> </w:t>
      </w:r>
      <w:r>
        <w:rPr/>
        <w:t>Bello</w:t>
      </w:r>
      <w:r>
        <w:rPr>
          <w:spacing w:val="-7"/>
        </w:rPr>
        <w:t> </w:t>
      </w:r>
      <w:r>
        <w:rPr/>
        <w:t>University:</w:t>
      </w:r>
      <w:r>
        <w:rPr>
          <w:spacing w:val="-11"/>
        </w:rPr>
        <w:t> </w:t>
      </w:r>
      <w:r>
        <w:rPr/>
        <w:t>Conclusions</w:t>
      </w:r>
      <w:r>
        <w:rPr>
          <w:spacing w:val="-7"/>
        </w:rPr>
        <w:t> </w:t>
      </w:r>
      <w:r>
        <w:rPr/>
        <w:t>and</w:t>
      </w:r>
      <w:r>
        <w:rPr>
          <w:spacing w:val="-7"/>
        </w:rPr>
        <w:t> </w:t>
      </w:r>
      <w:r>
        <w:rPr/>
        <w:t>Decisions</w:t>
      </w:r>
      <w:r>
        <w:rPr>
          <w:spacing w:val="-7"/>
        </w:rPr>
        <w:t> </w:t>
      </w:r>
      <w:r>
        <w:rPr/>
        <w:t>of</w:t>
      </w:r>
      <w:r>
        <w:rPr>
          <w:spacing w:val="-7"/>
        </w:rPr>
        <w:t> </w:t>
      </w:r>
      <w:r>
        <w:rPr>
          <w:spacing w:val="-5"/>
        </w:rPr>
        <w:t>the</w:t>
      </w:r>
    </w:p>
    <w:p>
      <w:pPr>
        <w:pStyle w:val="BodyText"/>
        <w:spacing w:line="237" w:lineRule="auto" w:before="4"/>
        <w:ind w:left="940"/>
      </w:pPr>
      <w:r>
        <w:rPr/>
        <w:t>A.B.U. Council and Senate concerning the students’ demonstration on 17</w:t>
      </w:r>
      <w:r>
        <w:rPr>
          <w:vertAlign w:val="superscript"/>
        </w:rPr>
        <w:t>t</w:t>
      </w:r>
      <w:r>
        <w:rPr>
          <w:vertAlign w:val="superscript"/>
        </w:rPr>
        <w:t>h</w:t>
      </w:r>
      <w:r>
        <w:rPr>
          <w:vertAlign w:val="baseline"/>
        </w:rPr>
        <w:t> –</w:t>
      </w:r>
      <w:r>
        <w:rPr>
          <w:spacing w:val="40"/>
          <w:vertAlign w:val="baseline"/>
        </w:rPr>
        <w:t> </w:t>
      </w:r>
      <w:r>
        <w:rPr>
          <w:vertAlign w:val="baseline"/>
        </w:rPr>
        <w:t>8</w:t>
      </w:r>
      <w:r>
        <w:rPr>
          <w:vertAlign w:val="superscript"/>
        </w:rPr>
        <w:t>t</w:t>
      </w:r>
      <w:r>
        <w:rPr>
          <w:vertAlign w:val="superscript"/>
        </w:rPr>
        <w:t>h</w:t>
      </w:r>
      <w:r>
        <w:rPr>
          <w:vertAlign w:val="baseline"/>
        </w:rPr>
        <w:t> January 1970.</w:t>
      </w:r>
      <w:r>
        <w:rPr>
          <w:spacing w:val="68"/>
          <w:vertAlign w:val="baseline"/>
        </w:rPr>
        <w:t> </w:t>
      </w:r>
      <w:r>
        <w:rPr>
          <w:u w:val="single"/>
          <w:vertAlign w:val="baseline"/>
        </w:rPr>
        <w:t>New Nigerian</w:t>
      </w:r>
      <w:r>
        <w:rPr>
          <w:vertAlign w:val="baseline"/>
        </w:rPr>
        <w:t> Thursday, February 5 1970.</w:t>
      </w:r>
    </w:p>
    <w:p>
      <w:pPr>
        <w:pStyle w:val="BodyText"/>
        <w:spacing w:before="1"/>
      </w:pPr>
    </w:p>
    <w:p>
      <w:pPr>
        <w:pStyle w:val="BodyText"/>
        <w:tabs>
          <w:tab w:pos="2499" w:val="left" w:leader="none"/>
          <w:tab w:pos="2916" w:val="left" w:leader="none"/>
          <w:tab w:pos="3482" w:val="left" w:leader="none"/>
          <w:tab w:pos="4154" w:val="left" w:leader="none"/>
          <w:tab w:pos="5197" w:val="left" w:leader="none"/>
          <w:tab w:pos="5762" w:val="left" w:leader="none"/>
          <w:tab w:pos="6165" w:val="left" w:leader="none"/>
          <w:tab w:pos="6712" w:val="left" w:leader="none"/>
          <w:tab w:pos="6747" w:val="left" w:leader="none"/>
          <w:tab w:pos="7933" w:val="left" w:leader="none"/>
          <w:tab w:pos="7978" w:val="left" w:leader="none"/>
          <w:tab w:pos="9046" w:val="left" w:leader="none"/>
        </w:tabs>
        <w:ind w:left="940" w:right="294" w:hanging="360"/>
      </w:pPr>
      <w:r>
        <w:rPr/>
        <w:t>Mahadi A. (1987). ‘The contribution of the Unions to the Management of the </w:t>
      </w:r>
      <w:r>
        <w:rPr>
          <w:spacing w:val="-2"/>
        </w:rPr>
        <w:t>Universities,’</w:t>
      </w:r>
      <w:r>
        <w:rPr/>
        <w:tab/>
      </w:r>
      <w:r>
        <w:rPr>
          <w:spacing w:val="-54"/>
        </w:rPr>
        <w:t> </w:t>
      </w:r>
      <w:r>
        <w:rPr/>
        <w:t>in</w:t>
        <w:tab/>
      </w:r>
      <w:r>
        <w:rPr>
          <w:spacing w:val="-2"/>
        </w:rPr>
        <w:t>Resource</w:t>
      </w:r>
      <w:r>
        <w:rPr/>
        <w:tab/>
      </w:r>
      <w:r>
        <w:rPr>
          <w:spacing w:val="-2"/>
        </w:rPr>
        <w:t>Management</w:t>
      </w:r>
      <w:r>
        <w:rPr/>
        <w:tab/>
      </w:r>
      <w:r>
        <w:rPr>
          <w:spacing w:val="-6"/>
        </w:rPr>
        <w:t>in</w:t>
      </w:r>
      <w:r>
        <w:rPr/>
        <w:tab/>
      </w:r>
      <w:r>
        <w:rPr>
          <w:spacing w:val="-4"/>
        </w:rPr>
        <w:t>the</w:t>
      </w:r>
      <w:r>
        <w:rPr/>
        <w:tab/>
      </w:r>
      <w:r>
        <w:rPr>
          <w:spacing w:val="-2"/>
        </w:rPr>
        <w:t>University</w:t>
      </w:r>
      <w:r>
        <w:rPr/>
        <w:tab/>
        <w:tab/>
      </w:r>
      <w:r>
        <w:rPr>
          <w:spacing w:val="-2"/>
        </w:rPr>
        <w:t>System.</w:t>
      </w:r>
      <w:r>
        <w:rPr/>
        <w:tab/>
      </w:r>
      <w:r>
        <w:rPr>
          <w:spacing w:val="-61"/>
        </w:rPr>
        <w:t> </w:t>
      </w:r>
      <w:r>
        <w:rPr>
          <w:spacing w:val="-2"/>
        </w:rPr>
        <w:t>NUC Proceedings</w:t>
      </w:r>
      <w:r>
        <w:rPr/>
        <w:tab/>
      </w:r>
      <w:r>
        <w:rPr>
          <w:spacing w:val="-6"/>
        </w:rPr>
        <w:t>of</w:t>
      </w:r>
      <w:r>
        <w:rPr/>
        <w:tab/>
      </w:r>
      <w:r>
        <w:rPr>
          <w:spacing w:val="-58"/>
        </w:rPr>
        <w:t> </w:t>
      </w:r>
      <w:r>
        <w:rPr>
          <w:spacing w:val="-2"/>
        </w:rPr>
        <w:t>the</w:t>
      </w:r>
      <w:r>
        <w:rPr/>
        <w:tab/>
      </w:r>
      <w:r>
        <w:rPr>
          <w:spacing w:val="-2"/>
        </w:rPr>
        <w:t>NUC/CVC/BC</w:t>
      </w:r>
      <w:r>
        <w:rPr/>
        <w:tab/>
      </w:r>
      <w:r>
        <w:rPr>
          <w:spacing w:val="-2"/>
        </w:rPr>
        <w:t>International</w:t>
      </w:r>
      <w:r>
        <w:rPr/>
        <w:tab/>
        <w:tab/>
      </w:r>
      <w:r>
        <w:rPr>
          <w:spacing w:val="-2"/>
        </w:rPr>
        <w:t>Seminar,</w:t>
      </w:r>
      <w:r>
        <w:rPr/>
        <w:tab/>
      </w:r>
      <w:r>
        <w:rPr>
          <w:spacing w:val="-2"/>
        </w:rPr>
        <w:t>Ahmadu</w:t>
      </w:r>
      <w:r>
        <w:rPr/>
        <w:tab/>
      </w:r>
      <w:r>
        <w:rPr>
          <w:spacing w:val="-2"/>
        </w:rPr>
        <w:t>Bello </w:t>
      </w:r>
      <w:r>
        <w:rPr/>
        <w:t>University, Zaria, 9-10 November 1987.</w:t>
      </w:r>
    </w:p>
    <w:p>
      <w:pPr>
        <w:pStyle w:val="BodyText"/>
        <w:spacing w:before="3"/>
      </w:pPr>
    </w:p>
    <w:p>
      <w:pPr>
        <w:pStyle w:val="BodyText"/>
        <w:spacing w:line="275" w:lineRule="exact"/>
        <w:ind w:left="580"/>
      </w:pPr>
      <w:r>
        <w:rPr/>
        <w:t>Mahadi,</w:t>
      </w:r>
      <w:r>
        <w:rPr>
          <w:spacing w:val="-5"/>
        </w:rPr>
        <w:t> </w:t>
      </w:r>
      <w:r>
        <w:rPr/>
        <w:t>A.</w:t>
      </w:r>
      <w:r>
        <w:rPr>
          <w:spacing w:val="-5"/>
        </w:rPr>
        <w:t> </w:t>
      </w:r>
      <w:r>
        <w:rPr/>
        <w:t>(1989).</w:t>
      </w:r>
      <w:r>
        <w:rPr>
          <w:spacing w:val="58"/>
        </w:rPr>
        <w:t> </w:t>
      </w:r>
      <w:r>
        <w:rPr/>
        <w:t>The</w:t>
      </w:r>
      <w:r>
        <w:rPr>
          <w:spacing w:val="-3"/>
        </w:rPr>
        <w:t> </w:t>
      </w:r>
      <w:r>
        <w:rPr/>
        <w:t>Choice</w:t>
      </w:r>
      <w:r>
        <w:rPr>
          <w:spacing w:val="-8"/>
        </w:rPr>
        <w:t> </w:t>
      </w:r>
      <w:r>
        <w:rPr/>
        <w:t>of</w:t>
      </w:r>
      <w:r>
        <w:rPr>
          <w:spacing w:val="-4"/>
        </w:rPr>
        <w:t> </w:t>
      </w:r>
      <w:r>
        <w:rPr/>
        <w:t>Zaria</w:t>
      </w:r>
      <w:r>
        <w:rPr>
          <w:spacing w:val="-4"/>
        </w:rPr>
        <w:t> </w:t>
      </w:r>
      <w:r>
        <w:rPr/>
        <w:t>as</w:t>
      </w:r>
      <w:r>
        <w:rPr>
          <w:spacing w:val="-9"/>
        </w:rPr>
        <w:t> </w:t>
      </w:r>
      <w:r>
        <w:rPr/>
        <w:t>a</w:t>
      </w:r>
      <w:r>
        <w:rPr>
          <w:spacing w:val="-8"/>
        </w:rPr>
        <w:t> </w:t>
      </w:r>
      <w:r>
        <w:rPr/>
        <w:t>seat</w:t>
      </w:r>
      <w:r>
        <w:rPr>
          <w:spacing w:val="-4"/>
        </w:rPr>
        <w:t> </w:t>
      </w:r>
      <w:r>
        <w:rPr/>
        <w:t>of</w:t>
      </w:r>
      <w:r>
        <w:rPr>
          <w:spacing w:val="-5"/>
        </w:rPr>
        <w:t> </w:t>
      </w:r>
      <w:r>
        <w:rPr/>
        <w:t>Higher</w:t>
      </w:r>
      <w:r>
        <w:rPr>
          <w:spacing w:val="-2"/>
        </w:rPr>
        <w:t> </w:t>
      </w:r>
      <w:r>
        <w:rPr/>
        <w:t>Learning</w:t>
      </w:r>
      <w:r>
        <w:rPr>
          <w:spacing w:val="-8"/>
        </w:rPr>
        <w:t> </w:t>
      </w:r>
      <w:r>
        <w:rPr/>
        <w:t>in</w:t>
      </w:r>
      <w:r>
        <w:rPr>
          <w:spacing w:val="-3"/>
        </w:rPr>
        <w:t> </w:t>
      </w:r>
      <w:r>
        <w:rPr/>
        <w:t>the</w:t>
      </w:r>
      <w:r>
        <w:rPr>
          <w:spacing w:val="-4"/>
        </w:rPr>
        <w:t> </w:t>
      </w:r>
      <w:r>
        <w:rPr>
          <w:spacing w:val="-2"/>
        </w:rPr>
        <w:t>North.</w:t>
      </w:r>
    </w:p>
    <w:p>
      <w:pPr>
        <w:pStyle w:val="BodyText"/>
        <w:spacing w:line="275" w:lineRule="exact"/>
        <w:ind w:left="1074"/>
      </w:pPr>
      <w:r>
        <w:rPr>
          <w:u w:val="single"/>
        </w:rPr>
        <w:t>In</w:t>
      </w:r>
      <w:r>
        <w:rPr>
          <w:spacing w:val="-7"/>
          <w:u w:val="single"/>
        </w:rPr>
        <w:t> </w:t>
      </w:r>
      <w:r>
        <w:rPr>
          <w:u w:val="single"/>
        </w:rPr>
        <w:t>History</w:t>
      </w:r>
      <w:r>
        <w:rPr>
          <w:spacing w:val="-7"/>
          <w:u w:val="single"/>
        </w:rPr>
        <w:t> </w:t>
      </w:r>
      <w:r>
        <w:rPr>
          <w:u w:val="single"/>
        </w:rPr>
        <w:t>of</w:t>
      </w:r>
      <w:r>
        <w:rPr>
          <w:spacing w:val="-7"/>
          <w:u w:val="single"/>
        </w:rPr>
        <w:t> </w:t>
      </w:r>
      <w:r>
        <w:rPr>
          <w:u w:val="single"/>
        </w:rPr>
        <w:t>Ahmadu</w:t>
      </w:r>
      <w:r>
        <w:rPr>
          <w:spacing w:val="-7"/>
          <w:u w:val="single"/>
        </w:rPr>
        <w:t> </w:t>
      </w:r>
      <w:r>
        <w:rPr>
          <w:u w:val="single"/>
        </w:rPr>
        <w:t>Bello</w:t>
      </w:r>
      <w:r>
        <w:rPr>
          <w:spacing w:val="-6"/>
          <w:u w:val="single"/>
        </w:rPr>
        <w:t> </w:t>
      </w:r>
      <w:r>
        <w:rPr>
          <w:u w:val="single"/>
        </w:rPr>
        <w:t>University,</w:t>
      </w:r>
      <w:r>
        <w:rPr>
          <w:spacing w:val="-7"/>
          <w:u w:val="single"/>
        </w:rPr>
        <w:t> </w:t>
      </w:r>
      <w:r>
        <w:rPr>
          <w:u w:val="single"/>
        </w:rPr>
        <w:t>1962</w:t>
      </w:r>
      <w:r>
        <w:rPr>
          <w:spacing w:val="-6"/>
          <w:u w:val="single"/>
        </w:rPr>
        <w:t> </w:t>
      </w:r>
      <w:r>
        <w:rPr>
          <w:u w:val="single"/>
        </w:rPr>
        <w:t>to</w:t>
      </w:r>
      <w:r>
        <w:rPr>
          <w:spacing w:val="-7"/>
          <w:u w:val="single"/>
        </w:rPr>
        <w:t> </w:t>
      </w:r>
      <w:r>
        <w:rPr>
          <w:spacing w:val="-2"/>
          <w:u w:val="single"/>
        </w:rPr>
        <w:t>1989.</w:t>
      </w:r>
    </w:p>
    <w:p>
      <w:pPr>
        <w:pStyle w:val="BodyText"/>
      </w:pPr>
    </w:p>
    <w:p>
      <w:pPr>
        <w:pStyle w:val="BodyText"/>
        <w:spacing w:line="242" w:lineRule="auto"/>
        <w:ind w:left="940" w:hanging="360"/>
      </w:pPr>
      <w:r>
        <w:rPr/>
        <w:t>Mahadi,</w:t>
      </w:r>
      <w:r>
        <w:rPr>
          <w:spacing w:val="-4"/>
        </w:rPr>
        <w:t> </w:t>
      </w:r>
      <w:r>
        <w:rPr/>
        <w:t>A.A.</w:t>
      </w:r>
      <w:r>
        <w:rPr>
          <w:spacing w:val="-4"/>
        </w:rPr>
        <w:t> </w:t>
      </w:r>
      <w:r>
        <w:rPr/>
        <w:t>(1994).</w:t>
      </w:r>
      <w:r>
        <w:rPr>
          <w:spacing w:val="40"/>
        </w:rPr>
        <w:t> </w:t>
      </w:r>
      <w:r>
        <w:rPr/>
        <w:t>“Report</w:t>
      </w:r>
      <w:r>
        <w:rPr>
          <w:spacing w:val="-4"/>
        </w:rPr>
        <w:t> </w:t>
      </w:r>
      <w:r>
        <w:rPr/>
        <w:t>on</w:t>
      </w:r>
      <w:r>
        <w:rPr>
          <w:spacing w:val="-3"/>
        </w:rPr>
        <w:t> </w:t>
      </w:r>
      <w:r>
        <w:rPr/>
        <w:t>1993/94</w:t>
      </w:r>
      <w:r>
        <w:rPr>
          <w:spacing w:val="-3"/>
        </w:rPr>
        <w:t> </w:t>
      </w:r>
      <w:r>
        <w:rPr/>
        <w:t>Accommodation</w:t>
      </w:r>
      <w:r>
        <w:rPr>
          <w:spacing w:val="-3"/>
        </w:rPr>
        <w:t> </w:t>
      </w:r>
      <w:r>
        <w:rPr/>
        <w:t>Exercise</w:t>
      </w:r>
      <w:r>
        <w:rPr>
          <w:spacing w:val="-6"/>
        </w:rPr>
        <w:t> </w:t>
      </w:r>
      <w:r>
        <w:rPr/>
        <w:t>–</w:t>
      </w:r>
      <w:r>
        <w:rPr>
          <w:spacing w:val="-3"/>
        </w:rPr>
        <w:t> </w:t>
      </w:r>
      <w:r>
        <w:rPr/>
        <w:t>Issues</w:t>
      </w:r>
      <w:r>
        <w:rPr>
          <w:spacing w:val="-8"/>
        </w:rPr>
        <w:t> </w:t>
      </w:r>
      <w:r>
        <w:rPr/>
        <w:t>and Problems.”</w:t>
      </w:r>
      <w:r>
        <w:rPr>
          <w:spacing w:val="40"/>
        </w:rPr>
        <w:t> </w:t>
      </w:r>
      <w:r>
        <w:rPr/>
        <w:t>SAD/ABU 1994 – Zaria.</w:t>
      </w:r>
    </w:p>
    <w:p>
      <w:pPr>
        <w:pStyle w:val="BodyText"/>
        <w:spacing w:line="237" w:lineRule="auto" w:before="275"/>
        <w:ind w:left="940" w:right="301" w:hanging="360"/>
      </w:pPr>
      <w:r>
        <w:rPr/>
        <w:t>Mahadi,</w:t>
      </w:r>
      <w:r>
        <w:rPr>
          <w:spacing w:val="-5"/>
        </w:rPr>
        <w:t> </w:t>
      </w:r>
      <w:r>
        <w:rPr/>
        <w:t>A.A.</w:t>
      </w:r>
      <w:r>
        <w:rPr>
          <w:spacing w:val="-5"/>
        </w:rPr>
        <w:t> </w:t>
      </w:r>
      <w:r>
        <w:rPr/>
        <w:t>(2000).</w:t>
      </w:r>
      <w:r>
        <w:rPr>
          <w:spacing w:val="40"/>
        </w:rPr>
        <w:t> </w:t>
      </w:r>
      <w:r>
        <w:rPr/>
        <w:t>“Report</w:t>
      </w:r>
      <w:r>
        <w:rPr>
          <w:spacing w:val="-5"/>
        </w:rPr>
        <w:t> </w:t>
      </w:r>
      <w:r>
        <w:rPr/>
        <w:t>on</w:t>
      </w:r>
      <w:r>
        <w:rPr>
          <w:spacing w:val="-4"/>
        </w:rPr>
        <w:t> </w:t>
      </w:r>
      <w:r>
        <w:rPr/>
        <w:t>1999/2000</w:t>
      </w:r>
      <w:r>
        <w:rPr>
          <w:spacing w:val="-4"/>
        </w:rPr>
        <w:t> </w:t>
      </w:r>
      <w:r>
        <w:rPr/>
        <w:t>Accommodation</w:t>
      </w:r>
      <w:r>
        <w:rPr>
          <w:spacing w:val="-4"/>
        </w:rPr>
        <w:t> </w:t>
      </w:r>
      <w:r>
        <w:rPr/>
        <w:t>Exercise.”</w:t>
      </w:r>
      <w:r>
        <w:rPr>
          <w:spacing w:val="40"/>
        </w:rPr>
        <w:t> </w:t>
      </w:r>
      <w:r>
        <w:rPr/>
        <w:t>SAD/ABU 1994 – Zaria.</w:t>
      </w:r>
    </w:p>
    <w:p>
      <w:pPr>
        <w:spacing w:after="0" w:line="237" w:lineRule="auto"/>
        <w:sectPr>
          <w:headerReference w:type="default" r:id="rId588"/>
          <w:footerReference w:type="default" r:id="rId589"/>
          <w:pgSz w:w="12240" w:h="15840"/>
          <w:pgMar w:header="722" w:footer="623" w:top="980" w:bottom="820" w:left="1220" w:right="1140"/>
        </w:sectPr>
      </w:pPr>
    </w:p>
    <w:p>
      <w:pPr>
        <w:pStyle w:val="BodyText"/>
      </w:pPr>
    </w:p>
    <w:p>
      <w:pPr>
        <w:pStyle w:val="BodyText"/>
        <w:spacing w:before="169"/>
      </w:pPr>
    </w:p>
    <w:p>
      <w:pPr>
        <w:pStyle w:val="BodyText"/>
        <w:spacing w:line="242" w:lineRule="auto"/>
        <w:ind w:left="940" w:right="299" w:hanging="360"/>
      </w:pPr>
      <w:r>
        <w:rPr/>
        <w:t>Mahadi,</w:t>
      </w:r>
      <w:r>
        <w:rPr>
          <w:spacing w:val="-4"/>
        </w:rPr>
        <w:t> </w:t>
      </w:r>
      <w:r>
        <w:rPr/>
        <w:t>A.A.</w:t>
      </w:r>
      <w:r>
        <w:rPr>
          <w:spacing w:val="-4"/>
        </w:rPr>
        <w:t> </w:t>
      </w:r>
      <w:r>
        <w:rPr/>
        <w:t>(2001).</w:t>
      </w:r>
      <w:r>
        <w:rPr>
          <w:spacing w:val="40"/>
        </w:rPr>
        <w:t> </w:t>
      </w:r>
      <w:r>
        <w:rPr/>
        <w:t>“Report</w:t>
      </w:r>
      <w:r>
        <w:rPr>
          <w:spacing w:val="-4"/>
        </w:rPr>
        <w:t> </w:t>
      </w:r>
      <w:r>
        <w:rPr/>
        <w:t>on</w:t>
      </w:r>
      <w:r>
        <w:rPr>
          <w:spacing w:val="-3"/>
        </w:rPr>
        <w:t> </w:t>
      </w:r>
      <w:r>
        <w:rPr/>
        <w:t>2000/2001</w:t>
      </w:r>
      <w:r>
        <w:rPr>
          <w:spacing w:val="-3"/>
        </w:rPr>
        <w:t> </w:t>
      </w:r>
      <w:r>
        <w:rPr/>
        <w:t>Accommodation</w:t>
      </w:r>
      <w:r>
        <w:rPr>
          <w:spacing w:val="-3"/>
        </w:rPr>
        <w:t> </w:t>
      </w:r>
      <w:r>
        <w:rPr/>
        <w:t>Exercise</w:t>
      </w:r>
      <w:r>
        <w:rPr>
          <w:spacing w:val="-5"/>
        </w:rPr>
        <w:t> </w:t>
      </w:r>
      <w:r>
        <w:rPr/>
        <w:t>–</w:t>
      </w:r>
      <w:r>
        <w:rPr>
          <w:spacing w:val="-3"/>
        </w:rPr>
        <w:t> </w:t>
      </w:r>
      <w:r>
        <w:rPr/>
        <w:t>Issues</w:t>
      </w:r>
      <w:r>
        <w:rPr>
          <w:spacing w:val="-8"/>
        </w:rPr>
        <w:t> </w:t>
      </w:r>
      <w:r>
        <w:rPr/>
        <w:t>and Problems.”</w:t>
      </w:r>
      <w:r>
        <w:rPr>
          <w:spacing w:val="40"/>
        </w:rPr>
        <w:t> </w:t>
      </w:r>
      <w:r>
        <w:rPr/>
        <w:t>SAD/ABU 2001 – Zaria.</w:t>
      </w:r>
    </w:p>
    <w:p>
      <w:pPr>
        <w:pStyle w:val="BodyText"/>
        <w:spacing w:line="237" w:lineRule="auto" w:before="275"/>
        <w:ind w:left="940" w:right="301" w:hanging="360"/>
      </w:pPr>
      <w:r>
        <w:rPr/>
        <w:t>Masland,</w:t>
      </w:r>
      <w:r>
        <w:rPr>
          <w:spacing w:val="-3"/>
        </w:rPr>
        <w:t> </w:t>
      </w:r>
      <w:r>
        <w:rPr/>
        <w:t>A.T.</w:t>
      </w:r>
      <w:r>
        <w:rPr>
          <w:spacing w:val="-3"/>
        </w:rPr>
        <w:t> </w:t>
      </w:r>
      <w:r>
        <w:rPr/>
        <w:t>(1985).</w:t>
      </w:r>
      <w:r>
        <w:rPr>
          <w:spacing w:val="40"/>
        </w:rPr>
        <w:t> </w:t>
      </w:r>
      <w:r>
        <w:rPr/>
        <w:t>“Organisation</w:t>
      </w:r>
      <w:r>
        <w:rPr>
          <w:spacing w:val="-6"/>
        </w:rPr>
        <w:t> </w:t>
      </w:r>
      <w:r>
        <w:rPr/>
        <w:t>of</w:t>
      </w:r>
      <w:r>
        <w:rPr>
          <w:spacing w:val="-3"/>
        </w:rPr>
        <w:t> </w:t>
      </w:r>
      <w:r>
        <w:rPr/>
        <w:t>Culture</w:t>
      </w:r>
      <w:r>
        <w:rPr>
          <w:spacing w:val="-2"/>
        </w:rPr>
        <w:t> </w:t>
      </w:r>
      <w:r>
        <w:rPr/>
        <w:t>in</w:t>
      </w:r>
      <w:r>
        <w:rPr>
          <w:spacing w:val="-6"/>
        </w:rPr>
        <w:t> </w:t>
      </w:r>
      <w:r>
        <w:rPr/>
        <w:t>Higher</w:t>
      </w:r>
      <w:r>
        <w:rPr>
          <w:spacing w:val="-1"/>
        </w:rPr>
        <w:t> </w:t>
      </w:r>
      <w:r>
        <w:rPr/>
        <w:t>Education.”</w:t>
      </w:r>
      <w:r>
        <w:rPr>
          <w:spacing w:val="40"/>
        </w:rPr>
        <w:t> </w:t>
      </w:r>
      <w:r>
        <w:rPr>
          <w:u w:val="single"/>
        </w:rPr>
        <w:t>Review</w:t>
      </w:r>
      <w:r>
        <w:rPr>
          <w:spacing w:val="-8"/>
          <w:u w:val="single"/>
        </w:rPr>
        <w:t> </w:t>
      </w:r>
      <w:r>
        <w:rPr>
          <w:u w:val="single"/>
        </w:rPr>
        <w:t>of</w:t>
      </w:r>
      <w:r>
        <w:rPr/>
        <w:t> </w:t>
      </w:r>
      <w:r>
        <w:rPr>
          <w:u w:val="single"/>
        </w:rPr>
        <w:t>Higher Education Journa</w:t>
      </w:r>
      <w:r>
        <w:rPr/>
        <w:t>l Vol. 8, No. 8 pp 155 – 168.</w:t>
      </w:r>
    </w:p>
    <w:p>
      <w:pPr>
        <w:pStyle w:val="BodyText"/>
        <w:spacing w:before="1"/>
      </w:pPr>
    </w:p>
    <w:p>
      <w:pPr>
        <w:pStyle w:val="BodyText"/>
        <w:spacing w:line="242" w:lineRule="auto"/>
        <w:ind w:left="940" w:right="301" w:hanging="360"/>
      </w:pPr>
      <w:r>
        <w:rPr/>
        <w:t>Maslow,</w:t>
      </w:r>
      <w:r>
        <w:rPr>
          <w:spacing w:val="-4"/>
        </w:rPr>
        <w:t> </w:t>
      </w:r>
      <w:r>
        <w:rPr/>
        <w:t>A.H.</w:t>
      </w:r>
      <w:r>
        <w:rPr>
          <w:spacing w:val="-4"/>
        </w:rPr>
        <w:t> </w:t>
      </w:r>
      <w:r>
        <w:rPr/>
        <w:t>(1970).</w:t>
      </w:r>
      <w:r>
        <w:rPr>
          <w:spacing w:val="40"/>
        </w:rPr>
        <w:t> </w:t>
      </w:r>
      <w:r>
        <w:rPr/>
        <w:t>Motivation</w:t>
      </w:r>
      <w:r>
        <w:rPr>
          <w:spacing w:val="-3"/>
        </w:rPr>
        <w:t> </w:t>
      </w:r>
      <w:r>
        <w:rPr/>
        <w:t>and</w:t>
      </w:r>
      <w:r>
        <w:rPr>
          <w:spacing w:val="-3"/>
        </w:rPr>
        <w:t> </w:t>
      </w:r>
      <w:r>
        <w:rPr/>
        <w:t>Personality.</w:t>
      </w:r>
      <w:r>
        <w:rPr>
          <w:spacing w:val="40"/>
        </w:rPr>
        <w:t> </w:t>
      </w:r>
      <w:r>
        <w:rPr/>
        <w:t>2</w:t>
      </w:r>
      <w:r>
        <w:rPr>
          <w:vertAlign w:val="superscript"/>
        </w:rPr>
        <w:t>nd</w:t>
      </w:r>
      <w:r>
        <w:rPr>
          <w:spacing w:val="-5"/>
          <w:vertAlign w:val="baseline"/>
        </w:rPr>
        <w:t> </w:t>
      </w:r>
      <w:r>
        <w:rPr>
          <w:vertAlign w:val="baseline"/>
        </w:rPr>
        <w:t>Ed.</w:t>
      </w:r>
      <w:r>
        <w:rPr>
          <w:spacing w:val="40"/>
          <w:vertAlign w:val="baseline"/>
        </w:rPr>
        <w:t> </w:t>
      </w:r>
      <w:r>
        <w:rPr>
          <w:vertAlign w:val="baseline"/>
        </w:rPr>
        <w:t>Harper</w:t>
      </w:r>
      <w:r>
        <w:rPr>
          <w:spacing w:val="-2"/>
          <w:vertAlign w:val="baseline"/>
        </w:rPr>
        <w:t> </w:t>
      </w:r>
      <w:r>
        <w:rPr>
          <w:vertAlign w:val="baseline"/>
        </w:rPr>
        <w:t>and</w:t>
      </w:r>
      <w:r>
        <w:rPr>
          <w:spacing w:val="-3"/>
          <w:vertAlign w:val="baseline"/>
        </w:rPr>
        <w:t> </w:t>
      </w:r>
      <w:r>
        <w:rPr>
          <w:vertAlign w:val="baseline"/>
        </w:rPr>
        <w:t>Row,</w:t>
      </w:r>
      <w:r>
        <w:rPr>
          <w:spacing w:val="-4"/>
          <w:vertAlign w:val="baseline"/>
        </w:rPr>
        <w:t> </w:t>
      </w:r>
      <w:r>
        <w:rPr>
          <w:vertAlign w:val="baseline"/>
        </w:rPr>
        <w:t>New </w:t>
      </w:r>
      <w:r>
        <w:rPr>
          <w:spacing w:val="-2"/>
          <w:vertAlign w:val="baseline"/>
        </w:rPr>
        <w:t>York.</w:t>
      </w:r>
    </w:p>
    <w:p>
      <w:pPr>
        <w:pStyle w:val="BodyText"/>
        <w:spacing w:line="237" w:lineRule="auto" w:before="275"/>
        <w:ind w:left="580"/>
      </w:pPr>
      <w:r>
        <w:rPr/>
        <w:t>Mikailu, A.S. (1998). ‘’ Welcome address to Fresh Students at 1998/99 Orientation</w:t>
      </w:r>
      <w:r>
        <w:rPr>
          <w:spacing w:val="40"/>
        </w:rPr>
        <w:t> </w:t>
      </w:r>
      <w:r>
        <w:rPr/>
        <w:t>Exercise’’, Usmanu DanFodiyo University, Sokoto</w:t>
      </w:r>
    </w:p>
    <w:p>
      <w:pPr>
        <w:pStyle w:val="BodyText"/>
        <w:spacing w:before="1"/>
      </w:pPr>
    </w:p>
    <w:p>
      <w:pPr>
        <w:pStyle w:val="BodyText"/>
        <w:spacing w:line="242" w:lineRule="auto"/>
        <w:ind w:left="940" w:right="863" w:hanging="360"/>
      </w:pPr>
      <w:r>
        <w:rPr/>
        <w:t>Mkude,</w:t>
      </w:r>
      <w:r>
        <w:rPr>
          <w:spacing w:val="-3"/>
        </w:rPr>
        <w:t> </w:t>
      </w:r>
      <w:r>
        <w:rPr/>
        <w:t>D.J.</w:t>
      </w:r>
      <w:r>
        <w:rPr>
          <w:spacing w:val="-3"/>
        </w:rPr>
        <w:t> </w:t>
      </w:r>
      <w:r>
        <w:rPr/>
        <w:t>(2001).</w:t>
      </w:r>
      <w:r>
        <w:rPr>
          <w:spacing w:val="40"/>
        </w:rPr>
        <w:t> </w:t>
      </w:r>
      <w:r>
        <w:rPr/>
        <w:t>Students</w:t>
      </w:r>
      <w:r>
        <w:rPr>
          <w:spacing w:val="-3"/>
        </w:rPr>
        <w:t> </w:t>
      </w:r>
      <w:r>
        <w:rPr/>
        <w:t>Role</w:t>
      </w:r>
      <w:r>
        <w:rPr>
          <w:spacing w:val="-6"/>
        </w:rPr>
        <w:t> </w:t>
      </w:r>
      <w:r>
        <w:rPr/>
        <w:t>in</w:t>
      </w:r>
      <w:r>
        <w:rPr>
          <w:spacing w:val="-6"/>
        </w:rPr>
        <w:t> </w:t>
      </w:r>
      <w:r>
        <w:rPr/>
        <w:t>the</w:t>
      </w:r>
      <w:r>
        <w:rPr>
          <w:spacing w:val="-6"/>
        </w:rPr>
        <w:t> </w:t>
      </w:r>
      <w:r>
        <w:rPr/>
        <w:t>Transformation</w:t>
      </w:r>
      <w:r>
        <w:rPr>
          <w:spacing w:val="-2"/>
        </w:rPr>
        <w:t> </w:t>
      </w:r>
      <w:r>
        <w:rPr/>
        <w:t>of</w:t>
      </w:r>
      <w:r>
        <w:rPr>
          <w:spacing w:val="-3"/>
        </w:rPr>
        <w:t> </w:t>
      </w:r>
      <w:r>
        <w:rPr/>
        <w:t>Higher</w:t>
      </w:r>
      <w:r>
        <w:rPr>
          <w:spacing w:val="-2"/>
        </w:rPr>
        <w:t> </w:t>
      </w:r>
      <w:r>
        <w:rPr/>
        <w:t>Education Institutions.</w:t>
      </w:r>
      <w:r>
        <w:rPr>
          <w:spacing w:val="40"/>
        </w:rPr>
        <w:t> </w:t>
      </w:r>
      <w:r>
        <w:rPr/>
        <w:t>Africa Perspective.</w:t>
      </w:r>
      <w:r>
        <w:rPr>
          <w:spacing w:val="40"/>
        </w:rPr>
        <w:t> </w:t>
      </w:r>
      <w:r>
        <w:rPr/>
        <w:t>ICHEFAP Pub. Cost sharing in Africa.</w:t>
      </w:r>
    </w:p>
    <w:p>
      <w:pPr>
        <w:pStyle w:val="BodyText"/>
        <w:spacing w:line="237" w:lineRule="auto" w:before="276"/>
        <w:ind w:left="940" w:hanging="360"/>
      </w:pPr>
      <w:r>
        <w:rPr/>
        <w:t>Mohammed</w:t>
      </w:r>
      <w:r>
        <w:rPr>
          <w:spacing w:val="-3"/>
        </w:rPr>
        <w:t> </w:t>
      </w:r>
      <w:r>
        <w:rPr/>
        <w:t>A.M.</w:t>
      </w:r>
      <w:r>
        <w:rPr>
          <w:spacing w:val="-4"/>
        </w:rPr>
        <w:t> </w:t>
      </w:r>
      <w:r>
        <w:rPr/>
        <w:t>(1989).</w:t>
      </w:r>
      <w:r>
        <w:rPr>
          <w:spacing w:val="40"/>
        </w:rPr>
        <w:t> </w:t>
      </w:r>
      <w:r>
        <w:rPr/>
        <w:t>Students</w:t>
      </w:r>
      <w:r>
        <w:rPr>
          <w:spacing w:val="-4"/>
        </w:rPr>
        <w:t> </w:t>
      </w:r>
      <w:r>
        <w:rPr/>
        <w:t>Enrolment</w:t>
      </w:r>
      <w:r>
        <w:rPr>
          <w:spacing w:val="-4"/>
        </w:rPr>
        <w:t> </w:t>
      </w:r>
      <w:r>
        <w:rPr/>
        <w:t>into</w:t>
      </w:r>
      <w:r>
        <w:rPr>
          <w:spacing w:val="-3"/>
        </w:rPr>
        <w:t> </w:t>
      </w:r>
      <w:r>
        <w:rPr/>
        <w:t>Ahmadu</w:t>
      </w:r>
      <w:r>
        <w:rPr>
          <w:spacing w:val="-3"/>
        </w:rPr>
        <w:t> </w:t>
      </w:r>
      <w:r>
        <w:rPr/>
        <w:t>Bello</w:t>
      </w:r>
      <w:r>
        <w:rPr>
          <w:spacing w:val="-3"/>
        </w:rPr>
        <w:t> </w:t>
      </w:r>
      <w:r>
        <w:rPr/>
        <w:t>University,</w:t>
      </w:r>
      <w:r>
        <w:rPr>
          <w:spacing w:val="-4"/>
        </w:rPr>
        <w:t> </w:t>
      </w:r>
      <w:r>
        <w:rPr/>
        <w:t>1962</w:t>
      </w:r>
      <w:r>
        <w:rPr>
          <w:spacing w:val="-1"/>
        </w:rPr>
        <w:t> </w:t>
      </w:r>
      <w:r>
        <w:rPr/>
        <w:t>– 1987.</w:t>
      </w:r>
      <w:r>
        <w:rPr>
          <w:spacing w:val="40"/>
        </w:rPr>
        <w:t> </w:t>
      </w:r>
      <w:r>
        <w:rPr>
          <w:u w:val="single"/>
        </w:rPr>
        <w:t>In History of Ahmadu Bello University</w:t>
      </w:r>
      <w:r>
        <w:rPr/>
        <w:t>.</w:t>
      </w:r>
      <w:r>
        <w:rPr>
          <w:spacing w:val="40"/>
        </w:rPr>
        <w:t> </w:t>
      </w:r>
      <w:r>
        <w:rPr/>
        <w:t>ABU Press, Zaria.</w:t>
      </w:r>
    </w:p>
    <w:p>
      <w:pPr>
        <w:pStyle w:val="BodyText"/>
      </w:pPr>
    </w:p>
    <w:p>
      <w:pPr>
        <w:pStyle w:val="BodyText"/>
        <w:spacing w:line="242" w:lineRule="auto"/>
        <w:ind w:left="940" w:right="863" w:hanging="360"/>
      </w:pPr>
      <w:r>
        <w:rPr/>
        <w:t>Mohammed,</w:t>
      </w:r>
      <w:r>
        <w:rPr>
          <w:spacing w:val="-3"/>
        </w:rPr>
        <w:t> </w:t>
      </w:r>
      <w:r>
        <w:rPr/>
        <w:t>H.</w:t>
      </w:r>
      <w:r>
        <w:rPr>
          <w:spacing w:val="-3"/>
        </w:rPr>
        <w:t> </w:t>
      </w:r>
      <w:r>
        <w:rPr/>
        <w:t>(1978).</w:t>
      </w:r>
      <w:r>
        <w:rPr>
          <w:spacing w:val="40"/>
        </w:rPr>
        <w:t> </w:t>
      </w:r>
      <w:r>
        <w:rPr/>
        <w:t>‘Six</w:t>
      </w:r>
      <w:r>
        <w:rPr>
          <w:spacing w:val="-8"/>
        </w:rPr>
        <w:t> </w:t>
      </w:r>
      <w:r>
        <w:rPr/>
        <w:t>die</w:t>
      </w:r>
      <w:r>
        <w:rPr>
          <w:spacing w:val="-6"/>
        </w:rPr>
        <w:t> </w:t>
      </w:r>
      <w:r>
        <w:rPr/>
        <w:t>in</w:t>
      </w:r>
      <w:r>
        <w:rPr>
          <w:spacing w:val="-2"/>
        </w:rPr>
        <w:t> </w:t>
      </w:r>
      <w:r>
        <w:rPr/>
        <w:t>ABU</w:t>
      </w:r>
      <w:r>
        <w:rPr>
          <w:spacing w:val="-3"/>
        </w:rPr>
        <w:t> </w:t>
      </w:r>
      <w:r>
        <w:rPr/>
        <w:t>Clash:</w:t>
      </w:r>
      <w:r>
        <w:rPr>
          <w:spacing w:val="-3"/>
        </w:rPr>
        <w:t> </w:t>
      </w:r>
      <w:r>
        <w:rPr/>
        <w:t>ABU,</w:t>
      </w:r>
      <w:r>
        <w:rPr>
          <w:spacing w:val="-3"/>
        </w:rPr>
        <w:t> </w:t>
      </w:r>
      <w:r>
        <w:rPr/>
        <w:t>UNILAG</w:t>
      </w:r>
      <w:r>
        <w:rPr>
          <w:spacing w:val="-2"/>
        </w:rPr>
        <w:t> </w:t>
      </w:r>
      <w:r>
        <w:rPr/>
        <w:t>Shut.”</w:t>
      </w:r>
      <w:r>
        <w:rPr>
          <w:spacing w:val="40"/>
        </w:rPr>
        <w:t> </w:t>
      </w:r>
      <w:r>
        <w:rPr>
          <w:u w:val="single"/>
        </w:rPr>
        <w:t>New</w:t>
      </w:r>
      <w:r>
        <w:rPr/>
        <w:t> </w:t>
      </w:r>
      <w:r>
        <w:rPr>
          <w:u w:val="single"/>
        </w:rPr>
        <w:t>Nigerian</w:t>
      </w:r>
      <w:r>
        <w:rPr/>
        <w:t> April 21, 1978, p. 1, Col. 1.</w:t>
      </w:r>
    </w:p>
    <w:p>
      <w:pPr>
        <w:pStyle w:val="BodyText"/>
        <w:spacing w:line="237" w:lineRule="auto" w:before="276"/>
        <w:ind w:left="940" w:right="863" w:hanging="360"/>
      </w:pPr>
      <w:r>
        <w:rPr/>
        <w:t>Mohammed</w:t>
      </w:r>
      <w:r>
        <w:rPr>
          <w:spacing w:val="-3"/>
        </w:rPr>
        <w:t> </w:t>
      </w:r>
      <w:r>
        <w:rPr/>
        <w:t>H.</w:t>
      </w:r>
      <w:r>
        <w:rPr>
          <w:spacing w:val="-4"/>
        </w:rPr>
        <w:t> </w:t>
      </w:r>
      <w:r>
        <w:rPr/>
        <w:t>(2001).</w:t>
      </w:r>
      <w:r>
        <w:rPr>
          <w:spacing w:val="40"/>
        </w:rPr>
        <w:t> </w:t>
      </w:r>
      <w:r>
        <w:rPr/>
        <w:t>“Crisis</w:t>
      </w:r>
      <w:r>
        <w:rPr>
          <w:spacing w:val="-4"/>
        </w:rPr>
        <w:t> </w:t>
      </w:r>
      <w:r>
        <w:rPr/>
        <w:t>and</w:t>
      </w:r>
      <w:r>
        <w:rPr>
          <w:spacing w:val="-3"/>
        </w:rPr>
        <w:t> </w:t>
      </w:r>
      <w:r>
        <w:rPr/>
        <w:t>Conflict</w:t>
      </w:r>
      <w:r>
        <w:rPr>
          <w:spacing w:val="-4"/>
        </w:rPr>
        <w:t> </w:t>
      </w:r>
      <w:r>
        <w:rPr/>
        <w:t>Management.’</w:t>
      </w:r>
      <w:r>
        <w:rPr>
          <w:spacing w:val="40"/>
        </w:rPr>
        <w:t> </w:t>
      </w:r>
      <w:r>
        <w:rPr>
          <w:u w:val="single"/>
        </w:rPr>
        <w:t>New</w:t>
      </w:r>
      <w:r>
        <w:rPr>
          <w:spacing w:val="-9"/>
          <w:u w:val="single"/>
        </w:rPr>
        <w:t> </w:t>
      </w:r>
      <w:r>
        <w:rPr>
          <w:u w:val="single"/>
        </w:rPr>
        <w:t>Nigerian</w:t>
      </w:r>
      <w:r>
        <w:rPr/>
        <w:t> Wednesday March 21, 2001, p. 5, Col. II.</w:t>
      </w:r>
    </w:p>
    <w:p>
      <w:pPr>
        <w:pStyle w:val="BodyText"/>
      </w:pPr>
    </w:p>
    <w:p>
      <w:pPr>
        <w:pStyle w:val="BodyText"/>
        <w:spacing w:before="1"/>
        <w:ind w:left="940" w:right="300" w:hanging="360"/>
        <w:jc w:val="both"/>
      </w:pPr>
      <w:r>
        <w:rPr/>
        <w:t>Mooney, R.L. (1943).</w:t>
      </w:r>
      <w:r>
        <w:rPr>
          <w:spacing w:val="40"/>
        </w:rPr>
        <w:t> </w:t>
      </w:r>
      <w:r>
        <w:rPr/>
        <w:t>The</w:t>
      </w:r>
      <w:r>
        <w:rPr>
          <w:spacing w:val="-3"/>
        </w:rPr>
        <w:t> </w:t>
      </w:r>
      <w:r>
        <w:rPr/>
        <w:t>personal Problems of Freshmen Girls.</w:t>
      </w:r>
      <w:r>
        <w:rPr>
          <w:spacing w:val="40"/>
        </w:rPr>
        <w:t> </w:t>
      </w:r>
      <w:r>
        <w:rPr/>
        <w:t>“</w:t>
      </w:r>
      <w:r>
        <w:rPr>
          <w:u w:val="single"/>
        </w:rPr>
        <w:t>Journal of Higher</w:t>
      </w:r>
      <w:r>
        <w:rPr/>
        <w:t> </w:t>
      </w:r>
      <w:r>
        <w:rPr>
          <w:u w:val="single"/>
        </w:rPr>
        <w:t>Education</w:t>
      </w:r>
      <w:r>
        <w:rPr/>
        <w:t>, Vol. XIV pp. 116 – 125 In Bello, J.Y. 1983.</w:t>
      </w:r>
      <w:r>
        <w:rPr>
          <w:spacing w:val="40"/>
        </w:rPr>
        <w:t> </w:t>
      </w:r>
      <w:r>
        <w:rPr/>
        <w:t>The identification of problems facing students in Advanced Teachers Colleges in Nigeria, Ph.D. Thesis, Faculty of Education, A.B.U., Zaria pp. 17 - 23.</w:t>
      </w:r>
    </w:p>
    <w:p>
      <w:pPr>
        <w:pStyle w:val="BodyText"/>
        <w:spacing w:before="2"/>
      </w:pPr>
    </w:p>
    <w:p>
      <w:pPr>
        <w:pStyle w:val="BodyText"/>
        <w:spacing w:line="275" w:lineRule="exact"/>
        <w:ind w:left="580"/>
      </w:pPr>
      <w:r>
        <w:rPr/>
        <w:t>Moore,</w:t>
      </w:r>
      <w:r>
        <w:rPr>
          <w:spacing w:val="-11"/>
        </w:rPr>
        <w:t> </w:t>
      </w:r>
      <w:r>
        <w:rPr/>
        <w:t>W.</w:t>
      </w:r>
      <w:r>
        <w:rPr>
          <w:spacing w:val="-11"/>
        </w:rPr>
        <w:t> </w:t>
      </w:r>
      <w:r>
        <w:rPr/>
        <w:t>E.</w:t>
      </w:r>
      <w:r>
        <w:rPr>
          <w:spacing w:val="-7"/>
        </w:rPr>
        <w:t> </w:t>
      </w:r>
      <w:r>
        <w:rPr/>
        <w:t>(1974).</w:t>
      </w:r>
      <w:r>
        <w:rPr>
          <w:spacing w:val="53"/>
        </w:rPr>
        <w:t> </w:t>
      </w:r>
      <w:r>
        <w:rPr>
          <w:u w:val="single"/>
        </w:rPr>
        <w:t>Social</w:t>
      </w:r>
      <w:r>
        <w:rPr>
          <w:spacing w:val="-3"/>
          <w:u w:val="single"/>
        </w:rPr>
        <w:t> </w:t>
      </w:r>
      <w:r>
        <w:rPr>
          <w:u w:val="single"/>
        </w:rPr>
        <w:t>Change</w:t>
      </w:r>
      <w:r>
        <w:rPr/>
        <w:t>.</w:t>
      </w:r>
      <w:r>
        <w:rPr>
          <w:spacing w:val="53"/>
        </w:rPr>
        <w:t> </w:t>
      </w:r>
      <w:r>
        <w:rPr/>
        <w:t>Englewood</w:t>
      </w:r>
      <w:r>
        <w:rPr>
          <w:spacing w:val="-6"/>
        </w:rPr>
        <w:t> </w:t>
      </w:r>
      <w:r>
        <w:rPr/>
        <w:t>Cliffs,</w:t>
      </w:r>
      <w:r>
        <w:rPr>
          <w:spacing w:val="-7"/>
        </w:rPr>
        <w:t> </w:t>
      </w:r>
      <w:r>
        <w:rPr/>
        <w:t>Princeton</w:t>
      </w:r>
      <w:r>
        <w:rPr>
          <w:spacing w:val="-6"/>
        </w:rPr>
        <w:t> </w:t>
      </w:r>
      <w:r>
        <w:rPr/>
        <w:t>Hall</w:t>
      </w:r>
      <w:r>
        <w:rPr>
          <w:spacing w:val="-4"/>
        </w:rPr>
        <w:t> Inc.</w:t>
      </w:r>
    </w:p>
    <w:p>
      <w:pPr>
        <w:pStyle w:val="BodyText"/>
        <w:spacing w:line="275" w:lineRule="exact"/>
        <w:ind w:left="940"/>
      </w:pPr>
      <w:r>
        <w:rPr/>
        <w:t>1974,</w:t>
      </w:r>
      <w:r>
        <w:rPr>
          <w:spacing w:val="-4"/>
        </w:rPr>
        <w:t> </w:t>
      </w:r>
      <w:r>
        <w:rPr/>
        <w:t>New</w:t>
      </w:r>
      <w:r>
        <w:rPr>
          <w:spacing w:val="-8"/>
        </w:rPr>
        <w:t> </w:t>
      </w:r>
      <w:r>
        <w:rPr>
          <w:spacing w:val="-2"/>
        </w:rPr>
        <w:t>Jersey.</w:t>
      </w:r>
    </w:p>
    <w:p>
      <w:pPr>
        <w:pStyle w:val="BodyText"/>
      </w:pPr>
    </w:p>
    <w:p>
      <w:pPr>
        <w:pStyle w:val="BodyText"/>
        <w:spacing w:line="242" w:lineRule="auto"/>
        <w:ind w:left="940" w:hanging="360"/>
      </w:pPr>
      <w:r>
        <w:rPr/>
        <w:t>Morrish</w:t>
      </w:r>
      <w:r>
        <w:rPr>
          <w:spacing w:val="-5"/>
        </w:rPr>
        <w:t> </w:t>
      </w:r>
      <w:r>
        <w:rPr/>
        <w:t>I.</w:t>
      </w:r>
      <w:r>
        <w:rPr>
          <w:spacing w:val="-2"/>
        </w:rPr>
        <w:t> </w:t>
      </w:r>
      <w:r>
        <w:rPr/>
        <w:t>(1972).</w:t>
      </w:r>
      <w:r>
        <w:rPr>
          <w:spacing w:val="40"/>
        </w:rPr>
        <w:t> </w:t>
      </w:r>
      <w:r>
        <w:rPr>
          <w:u w:val="single"/>
        </w:rPr>
        <w:t>The</w:t>
      </w:r>
      <w:r>
        <w:rPr>
          <w:spacing w:val="-5"/>
          <w:u w:val="single"/>
        </w:rPr>
        <w:t> </w:t>
      </w:r>
      <w:r>
        <w:rPr>
          <w:u w:val="single"/>
        </w:rPr>
        <w:t>Sociology</w:t>
      </w:r>
      <w:r>
        <w:rPr>
          <w:spacing w:val="-2"/>
          <w:u w:val="single"/>
        </w:rPr>
        <w:t> </w:t>
      </w:r>
      <w:r>
        <w:rPr>
          <w:u w:val="single"/>
        </w:rPr>
        <w:t>of</w:t>
      </w:r>
      <w:r>
        <w:rPr>
          <w:spacing w:val="-2"/>
          <w:u w:val="single"/>
        </w:rPr>
        <w:t> </w:t>
      </w:r>
      <w:r>
        <w:rPr>
          <w:u w:val="single"/>
        </w:rPr>
        <w:t>Education</w:t>
      </w:r>
      <w:r>
        <w:rPr/>
        <w:t>.</w:t>
      </w:r>
      <w:r>
        <w:rPr>
          <w:spacing w:val="40"/>
        </w:rPr>
        <w:t> </w:t>
      </w:r>
      <w:r>
        <w:rPr/>
        <w:t>George</w:t>
      </w:r>
      <w:r>
        <w:rPr>
          <w:spacing w:val="-1"/>
        </w:rPr>
        <w:t> </w:t>
      </w:r>
      <w:r>
        <w:rPr/>
        <w:t>Allen</w:t>
      </w:r>
      <w:r>
        <w:rPr>
          <w:spacing w:val="-1"/>
        </w:rPr>
        <w:t> </w:t>
      </w:r>
      <w:r>
        <w:rPr/>
        <w:t>and</w:t>
      </w:r>
      <w:r>
        <w:rPr>
          <w:spacing w:val="-1"/>
        </w:rPr>
        <w:t> </w:t>
      </w:r>
      <w:r>
        <w:rPr/>
        <w:t>Unwin</w:t>
      </w:r>
      <w:r>
        <w:rPr>
          <w:spacing w:val="-5"/>
        </w:rPr>
        <w:t> </w:t>
      </w:r>
      <w:r>
        <w:rPr/>
        <w:t>Ltd.</w:t>
      </w:r>
      <w:r>
        <w:rPr>
          <w:spacing w:val="-2"/>
        </w:rPr>
        <w:t> </w:t>
      </w:r>
      <w:r>
        <w:rPr/>
        <w:t>1972, </w:t>
      </w:r>
      <w:r>
        <w:rPr>
          <w:spacing w:val="-2"/>
        </w:rPr>
        <w:t>London.</w:t>
      </w:r>
    </w:p>
    <w:p>
      <w:pPr>
        <w:pStyle w:val="BodyText"/>
        <w:spacing w:line="237" w:lineRule="auto" w:before="275"/>
        <w:ind w:left="940" w:hanging="360"/>
      </w:pPr>
      <w:r>
        <w:rPr/>
        <w:t>Musa,</w:t>
      </w:r>
      <w:r>
        <w:rPr>
          <w:spacing w:val="-4"/>
        </w:rPr>
        <w:t> </w:t>
      </w:r>
      <w:r>
        <w:rPr/>
        <w:t>B.D.</w:t>
      </w:r>
      <w:r>
        <w:rPr>
          <w:spacing w:val="-4"/>
        </w:rPr>
        <w:t> </w:t>
      </w:r>
      <w:r>
        <w:rPr/>
        <w:t>(1985).</w:t>
      </w:r>
      <w:r>
        <w:rPr>
          <w:spacing w:val="40"/>
        </w:rPr>
        <w:t> </w:t>
      </w:r>
      <w:r>
        <w:rPr/>
        <w:t>‘Deputy</w:t>
      </w:r>
      <w:r>
        <w:rPr>
          <w:spacing w:val="-4"/>
        </w:rPr>
        <w:t> </w:t>
      </w:r>
      <w:r>
        <w:rPr/>
        <w:t>Vice</w:t>
      </w:r>
      <w:r>
        <w:rPr>
          <w:spacing w:val="-3"/>
        </w:rPr>
        <w:t> </w:t>
      </w:r>
      <w:r>
        <w:rPr/>
        <w:t>Chancellor’s</w:t>
      </w:r>
      <w:r>
        <w:rPr>
          <w:spacing w:val="-8"/>
        </w:rPr>
        <w:t> </w:t>
      </w:r>
      <w:r>
        <w:rPr/>
        <w:t>address</w:t>
      </w:r>
      <w:r>
        <w:rPr>
          <w:spacing w:val="-4"/>
        </w:rPr>
        <w:t> </w:t>
      </w:r>
      <w:r>
        <w:rPr/>
        <w:t>to</w:t>
      </w:r>
      <w:r>
        <w:rPr>
          <w:spacing w:val="-3"/>
        </w:rPr>
        <w:t> </w:t>
      </w:r>
      <w:r>
        <w:rPr/>
        <w:t>students</w:t>
      </w:r>
      <w:r>
        <w:rPr>
          <w:spacing w:val="-4"/>
        </w:rPr>
        <w:t> </w:t>
      </w:r>
      <w:r>
        <w:rPr/>
        <w:t>Matriculation ceremony, January 1985.’</w:t>
      </w:r>
      <w:r>
        <w:rPr>
          <w:spacing w:val="40"/>
        </w:rPr>
        <w:t> </w:t>
      </w:r>
      <w:r>
        <w:rPr/>
        <w:t>Ahmadu Bello University, Zaria.</w:t>
      </w:r>
    </w:p>
    <w:p>
      <w:pPr>
        <w:pStyle w:val="BodyText"/>
        <w:spacing w:before="1"/>
      </w:pPr>
    </w:p>
    <w:p>
      <w:pPr>
        <w:pStyle w:val="BodyText"/>
        <w:spacing w:line="242" w:lineRule="auto"/>
        <w:ind w:left="940" w:right="299" w:hanging="360"/>
      </w:pPr>
      <w:r>
        <w:rPr/>
        <w:t>Musa,</w:t>
      </w:r>
      <w:r>
        <w:rPr>
          <w:spacing w:val="-4"/>
        </w:rPr>
        <w:t> </w:t>
      </w:r>
      <w:r>
        <w:rPr/>
        <w:t>S.K.</w:t>
      </w:r>
      <w:r>
        <w:rPr>
          <w:spacing w:val="-4"/>
        </w:rPr>
        <w:t> </w:t>
      </w:r>
      <w:r>
        <w:rPr/>
        <w:t>(1999/2001).</w:t>
      </w:r>
      <w:r>
        <w:rPr>
          <w:spacing w:val="40"/>
        </w:rPr>
        <w:t> </w:t>
      </w:r>
      <w:r>
        <w:rPr/>
        <w:t>Annual Report</w:t>
      </w:r>
      <w:r>
        <w:rPr>
          <w:spacing w:val="-4"/>
        </w:rPr>
        <w:t> </w:t>
      </w:r>
      <w:r>
        <w:rPr/>
        <w:t>for</w:t>
      </w:r>
      <w:r>
        <w:rPr>
          <w:spacing w:val="-2"/>
        </w:rPr>
        <w:t> </w:t>
      </w:r>
      <w:r>
        <w:rPr/>
        <w:t>the</w:t>
      </w:r>
      <w:r>
        <w:rPr>
          <w:spacing w:val="-3"/>
        </w:rPr>
        <w:t> </w:t>
      </w:r>
      <w:r>
        <w:rPr/>
        <w:t>period</w:t>
      </w:r>
      <w:r>
        <w:rPr>
          <w:spacing w:val="-6"/>
        </w:rPr>
        <w:t> </w:t>
      </w:r>
      <w:r>
        <w:rPr/>
        <w:t>of</w:t>
      </w:r>
      <w:r>
        <w:rPr>
          <w:spacing w:val="-4"/>
        </w:rPr>
        <w:t> </w:t>
      </w:r>
      <w:r>
        <w:rPr/>
        <w:t>1999</w:t>
      </w:r>
      <w:r>
        <w:rPr>
          <w:spacing w:val="-3"/>
        </w:rPr>
        <w:t> </w:t>
      </w:r>
      <w:r>
        <w:rPr/>
        <w:t>–</w:t>
      </w:r>
      <w:r>
        <w:rPr>
          <w:spacing w:val="-3"/>
        </w:rPr>
        <w:t> </w:t>
      </w:r>
      <w:r>
        <w:rPr/>
        <w:t>2001.</w:t>
      </w:r>
      <w:r>
        <w:rPr>
          <w:spacing w:val="40"/>
        </w:rPr>
        <w:t> </w:t>
      </w:r>
      <w:r>
        <w:rPr/>
        <w:t>University Health Service, ABU., Zaria.</w:t>
      </w:r>
    </w:p>
    <w:p>
      <w:pPr>
        <w:pStyle w:val="BodyText"/>
        <w:spacing w:line="552" w:lineRule="exact" w:before="57"/>
        <w:ind w:left="580"/>
      </w:pPr>
      <w:r>
        <w:rPr/>
        <w:t>Musa,</w:t>
      </w:r>
      <w:r>
        <w:rPr>
          <w:spacing w:val="-3"/>
        </w:rPr>
        <w:t> </w:t>
      </w:r>
      <w:r>
        <w:rPr/>
        <w:t>S.K.</w:t>
      </w:r>
      <w:r>
        <w:rPr>
          <w:spacing w:val="-3"/>
        </w:rPr>
        <w:t> </w:t>
      </w:r>
      <w:r>
        <w:rPr/>
        <w:t>(2000).</w:t>
      </w:r>
      <w:r>
        <w:rPr>
          <w:spacing w:val="40"/>
        </w:rPr>
        <w:t> </w:t>
      </w:r>
      <w:r>
        <w:rPr/>
        <w:t>‘The</w:t>
      </w:r>
      <w:r>
        <w:rPr>
          <w:spacing w:val="-2"/>
        </w:rPr>
        <w:t> </w:t>
      </w:r>
      <w:r>
        <w:rPr/>
        <w:t>Sick</w:t>
      </w:r>
      <w:r>
        <w:rPr>
          <w:spacing w:val="-3"/>
        </w:rPr>
        <w:t> </w:t>
      </w:r>
      <w:r>
        <w:rPr/>
        <w:t>Bay.’</w:t>
      </w:r>
      <w:r>
        <w:rPr>
          <w:spacing w:val="40"/>
        </w:rPr>
        <w:t> </w:t>
      </w:r>
      <w:r>
        <w:rPr/>
        <w:t>A</w:t>
      </w:r>
      <w:r>
        <w:rPr>
          <w:spacing w:val="-4"/>
        </w:rPr>
        <w:t> </w:t>
      </w:r>
      <w:r>
        <w:rPr/>
        <w:t>reminder</w:t>
      </w:r>
      <w:r>
        <w:rPr>
          <w:spacing w:val="-1"/>
        </w:rPr>
        <w:t> </w:t>
      </w:r>
      <w:r>
        <w:rPr/>
        <w:t>paper</w:t>
      </w:r>
      <w:r>
        <w:rPr>
          <w:spacing w:val="-1"/>
        </w:rPr>
        <w:t> </w:t>
      </w:r>
      <w:r>
        <w:rPr/>
        <w:t>on</w:t>
      </w:r>
      <w:r>
        <w:rPr>
          <w:spacing w:val="-6"/>
        </w:rPr>
        <w:t> </w:t>
      </w:r>
      <w:r>
        <w:rPr/>
        <w:t>the</w:t>
      </w:r>
      <w:r>
        <w:rPr>
          <w:spacing w:val="-2"/>
        </w:rPr>
        <w:t> </w:t>
      </w:r>
      <w:r>
        <w:rPr/>
        <w:t>functions</w:t>
      </w:r>
      <w:r>
        <w:rPr>
          <w:spacing w:val="-3"/>
        </w:rPr>
        <w:t> </w:t>
      </w:r>
      <w:r>
        <w:rPr/>
        <w:t>of</w:t>
      </w:r>
      <w:r>
        <w:rPr>
          <w:spacing w:val="-7"/>
        </w:rPr>
        <w:t> </w:t>
      </w:r>
      <w:r>
        <w:rPr/>
        <w:t>the</w:t>
      </w:r>
      <w:r>
        <w:rPr>
          <w:spacing w:val="-2"/>
        </w:rPr>
        <w:t> </w:t>
      </w:r>
      <w:r>
        <w:rPr/>
        <w:t>Centre. Musaazi, J.C.S. (1989).</w:t>
      </w:r>
      <w:r>
        <w:rPr>
          <w:spacing w:val="40"/>
        </w:rPr>
        <w:t> </w:t>
      </w:r>
      <w:r>
        <w:rPr>
          <w:u w:val="single"/>
        </w:rPr>
        <w:t>Theory and Practice of Educational Administration</w:t>
      </w:r>
      <w:r>
        <w:rPr/>
        <w:t> 2</w:t>
      </w:r>
      <w:r>
        <w:rPr>
          <w:vertAlign w:val="superscript"/>
        </w:rPr>
        <w:t>nd</w:t>
      </w:r>
      <w:r>
        <w:rPr>
          <w:vertAlign w:val="baseline"/>
        </w:rPr>
        <w:t> Ed.</w:t>
      </w:r>
    </w:p>
    <w:p>
      <w:pPr>
        <w:pStyle w:val="BodyText"/>
        <w:spacing w:line="214" w:lineRule="exact"/>
        <w:ind w:left="940"/>
      </w:pPr>
      <w:r>
        <w:rPr/>
        <w:t>Macmillan</w:t>
      </w:r>
      <w:r>
        <w:rPr>
          <w:spacing w:val="-8"/>
        </w:rPr>
        <w:t> </w:t>
      </w:r>
      <w:r>
        <w:rPr/>
        <w:t>Press,</w:t>
      </w:r>
      <w:r>
        <w:rPr>
          <w:spacing w:val="-11"/>
        </w:rPr>
        <w:t> </w:t>
      </w:r>
      <w:r>
        <w:rPr>
          <w:spacing w:val="-2"/>
        </w:rPr>
        <w:t>London.</w:t>
      </w:r>
    </w:p>
    <w:p>
      <w:pPr>
        <w:spacing w:after="0" w:line="214" w:lineRule="exact"/>
        <w:sectPr>
          <w:headerReference w:type="default" r:id="rId590"/>
          <w:footerReference w:type="default" r:id="rId591"/>
          <w:pgSz w:w="12240" w:h="15840"/>
          <w:pgMar w:header="722" w:footer="623" w:top="980" w:bottom="820" w:left="1220" w:right="1140"/>
        </w:sectPr>
      </w:pPr>
    </w:p>
    <w:p>
      <w:pPr>
        <w:pStyle w:val="BodyText"/>
      </w:pPr>
    </w:p>
    <w:p>
      <w:pPr>
        <w:pStyle w:val="BodyText"/>
        <w:spacing w:before="169"/>
      </w:pPr>
    </w:p>
    <w:p>
      <w:pPr>
        <w:pStyle w:val="BodyText"/>
        <w:ind w:left="580"/>
      </w:pPr>
      <w:r>
        <w:rPr/>
        <w:t>Mustapha,</w:t>
      </w:r>
      <w:r>
        <w:rPr>
          <w:spacing w:val="-7"/>
        </w:rPr>
        <w:t> </w:t>
      </w:r>
      <w:r>
        <w:rPr/>
        <w:t>A.</w:t>
      </w:r>
      <w:r>
        <w:rPr>
          <w:spacing w:val="-6"/>
        </w:rPr>
        <w:t> </w:t>
      </w:r>
      <w:r>
        <w:rPr/>
        <w:t>(1996).</w:t>
      </w:r>
      <w:r>
        <w:rPr>
          <w:spacing w:val="54"/>
        </w:rPr>
        <w:t> </w:t>
      </w:r>
      <w:r>
        <w:rPr/>
        <w:t>Students’</w:t>
      </w:r>
      <w:r>
        <w:rPr>
          <w:spacing w:val="-15"/>
        </w:rPr>
        <w:t> </w:t>
      </w:r>
      <w:r>
        <w:rPr/>
        <w:t>Welfare</w:t>
      </w:r>
      <w:r>
        <w:rPr>
          <w:spacing w:val="-6"/>
        </w:rPr>
        <w:t> </w:t>
      </w:r>
      <w:r>
        <w:rPr/>
        <w:t>Board</w:t>
      </w:r>
      <w:r>
        <w:rPr>
          <w:spacing w:val="-5"/>
        </w:rPr>
        <w:t> </w:t>
      </w:r>
      <w:r>
        <w:rPr/>
        <w:t>Memo</w:t>
      </w:r>
      <w:r>
        <w:rPr>
          <w:spacing w:val="-6"/>
        </w:rPr>
        <w:t> </w:t>
      </w:r>
      <w:r>
        <w:rPr/>
        <w:t>to</w:t>
      </w:r>
      <w:r>
        <w:rPr>
          <w:spacing w:val="-5"/>
        </w:rPr>
        <w:t> </w:t>
      </w:r>
      <w:r>
        <w:rPr/>
        <w:t>Sole</w:t>
      </w:r>
      <w:r>
        <w:rPr>
          <w:spacing w:val="-6"/>
        </w:rPr>
        <w:t> </w:t>
      </w:r>
      <w:r>
        <w:rPr>
          <w:spacing w:val="-2"/>
        </w:rPr>
        <w:t>Administrator.</w:t>
      </w:r>
    </w:p>
    <w:p>
      <w:pPr>
        <w:pStyle w:val="BodyText"/>
        <w:spacing w:before="3"/>
        <w:ind w:left="940"/>
      </w:pPr>
      <w:r>
        <w:rPr/>
        <w:t>SAD/ABU,</w:t>
      </w:r>
      <w:r>
        <w:rPr>
          <w:spacing w:val="-11"/>
        </w:rPr>
        <w:t> </w:t>
      </w:r>
      <w:r>
        <w:rPr/>
        <w:t>1996,</w:t>
      </w:r>
      <w:r>
        <w:rPr>
          <w:spacing w:val="-10"/>
        </w:rPr>
        <w:t> </w:t>
      </w:r>
      <w:r>
        <w:rPr/>
        <w:t>ABU.,</w:t>
      </w:r>
      <w:r>
        <w:rPr>
          <w:spacing w:val="-11"/>
        </w:rPr>
        <w:t> </w:t>
      </w:r>
      <w:r>
        <w:rPr>
          <w:spacing w:val="-2"/>
        </w:rPr>
        <w:t>Zaria.</w:t>
      </w:r>
    </w:p>
    <w:p>
      <w:pPr>
        <w:pStyle w:val="BodyText"/>
        <w:spacing w:before="2"/>
      </w:pPr>
    </w:p>
    <w:p>
      <w:pPr>
        <w:pStyle w:val="BodyText"/>
        <w:spacing w:line="237" w:lineRule="auto"/>
        <w:ind w:left="940" w:hanging="360"/>
      </w:pPr>
      <w:r>
        <w:rPr/>
        <w:t>National</w:t>
      </w:r>
      <w:r>
        <w:rPr>
          <w:spacing w:val="-1"/>
        </w:rPr>
        <w:t> </w:t>
      </w:r>
      <w:r>
        <w:rPr/>
        <w:t>Universities</w:t>
      </w:r>
      <w:r>
        <w:rPr>
          <w:spacing w:val="-5"/>
        </w:rPr>
        <w:t> </w:t>
      </w:r>
      <w:r>
        <w:rPr/>
        <w:t>Commission</w:t>
      </w:r>
      <w:r>
        <w:rPr>
          <w:spacing w:val="-3"/>
        </w:rPr>
        <w:t> </w:t>
      </w:r>
      <w:r>
        <w:rPr/>
        <w:t>–</w:t>
      </w:r>
      <w:r>
        <w:rPr>
          <w:spacing w:val="-4"/>
        </w:rPr>
        <w:t> </w:t>
      </w:r>
      <w:r>
        <w:rPr/>
        <w:t>Recurrent</w:t>
      </w:r>
      <w:r>
        <w:rPr>
          <w:spacing w:val="-9"/>
        </w:rPr>
        <w:t> </w:t>
      </w:r>
      <w:r>
        <w:rPr/>
        <w:t>Budget</w:t>
      </w:r>
      <w:r>
        <w:rPr>
          <w:spacing w:val="-5"/>
        </w:rPr>
        <w:t> </w:t>
      </w:r>
      <w:r>
        <w:rPr/>
        <w:t>Estimates</w:t>
      </w:r>
      <w:r>
        <w:rPr>
          <w:spacing w:val="-5"/>
        </w:rPr>
        <w:t> </w:t>
      </w:r>
      <w:r>
        <w:rPr/>
        <w:t>for</w:t>
      </w:r>
      <w:r>
        <w:rPr>
          <w:spacing w:val="-3"/>
        </w:rPr>
        <w:t> </w:t>
      </w:r>
      <w:r>
        <w:rPr/>
        <w:t>Ahmadu</w:t>
      </w:r>
      <w:r>
        <w:rPr>
          <w:spacing w:val="-4"/>
        </w:rPr>
        <w:t> </w:t>
      </w:r>
      <w:r>
        <w:rPr/>
        <w:t>Bello University for the year 1999/2000 – 2001 – 2002.</w:t>
      </w:r>
    </w:p>
    <w:p>
      <w:pPr>
        <w:pStyle w:val="BodyText"/>
        <w:spacing w:before="1"/>
      </w:pPr>
    </w:p>
    <w:p>
      <w:pPr>
        <w:pStyle w:val="BodyText"/>
        <w:tabs>
          <w:tab w:pos="3171" w:val="left" w:leader="none"/>
        </w:tabs>
        <w:spacing w:line="242" w:lineRule="auto"/>
        <w:ind w:left="940" w:right="1039" w:hanging="360"/>
      </w:pPr>
      <w:r>
        <w:rPr/>
        <w:t>Newsome, A.</w:t>
      </w:r>
      <w:r>
        <w:rPr>
          <w:spacing w:val="40"/>
        </w:rPr>
        <w:t> </w:t>
      </w:r>
      <w:r>
        <w:rPr/>
        <w:t>(1973).</w:t>
        <w:tab/>
      </w:r>
      <w:r>
        <w:rPr>
          <w:u w:val="single"/>
        </w:rPr>
        <w:t>Student</w:t>
      </w:r>
      <w:r>
        <w:rPr>
          <w:spacing w:val="-6"/>
          <w:u w:val="single"/>
        </w:rPr>
        <w:t> </w:t>
      </w:r>
      <w:r>
        <w:rPr>
          <w:u w:val="single"/>
        </w:rPr>
        <w:t>Counseling</w:t>
      </w:r>
      <w:r>
        <w:rPr>
          <w:spacing w:val="-9"/>
          <w:u w:val="single"/>
        </w:rPr>
        <w:t> </w:t>
      </w:r>
      <w:r>
        <w:rPr>
          <w:u w:val="single"/>
        </w:rPr>
        <w:t>in</w:t>
      </w:r>
      <w:r>
        <w:rPr>
          <w:spacing w:val="-5"/>
          <w:u w:val="single"/>
        </w:rPr>
        <w:t> </w:t>
      </w:r>
      <w:r>
        <w:rPr>
          <w:u w:val="single"/>
        </w:rPr>
        <w:t>Practice</w:t>
      </w:r>
      <w:r>
        <w:rPr/>
        <w:t>.</w:t>
      </w:r>
      <w:r>
        <w:rPr>
          <w:spacing w:val="40"/>
        </w:rPr>
        <w:t> </w:t>
      </w:r>
      <w:r>
        <w:rPr/>
        <w:t>University</w:t>
      </w:r>
      <w:r>
        <w:rPr>
          <w:spacing w:val="-6"/>
        </w:rPr>
        <w:t> </w:t>
      </w:r>
      <w:r>
        <w:rPr/>
        <w:t>of</w:t>
      </w:r>
      <w:r>
        <w:rPr>
          <w:spacing w:val="-6"/>
        </w:rPr>
        <w:t> </w:t>
      </w:r>
      <w:r>
        <w:rPr/>
        <w:t>London Press, London.</w:t>
      </w:r>
    </w:p>
    <w:p>
      <w:pPr>
        <w:pStyle w:val="BodyText"/>
        <w:spacing w:line="237" w:lineRule="auto" w:before="275"/>
        <w:ind w:left="940" w:hanging="360"/>
      </w:pPr>
      <w:r>
        <w:rPr/>
        <w:t>Nisbet,</w:t>
      </w:r>
      <w:r>
        <w:rPr>
          <w:spacing w:val="-7"/>
        </w:rPr>
        <w:t> </w:t>
      </w:r>
      <w:r>
        <w:rPr/>
        <w:t>J.D.E.</w:t>
      </w:r>
      <w:r>
        <w:rPr>
          <w:spacing w:val="-3"/>
        </w:rPr>
        <w:t> </w:t>
      </w:r>
      <w:r>
        <w:rPr/>
        <w:t>(1970).</w:t>
      </w:r>
      <w:r>
        <w:rPr>
          <w:spacing w:val="40"/>
        </w:rPr>
        <w:t> </w:t>
      </w:r>
      <w:r>
        <w:rPr>
          <w:u w:val="single"/>
        </w:rPr>
        <w:t>Educational Research</w:t>
      </w:r>
      <w:r>
        <w:rPr>
          <w:spacing w:val="-6"/>
          <w:u w:val="single"/>
        </w:rPr>
        <w:t> </w:t>
      </w:r>
      <w:r>
        <w:rPr>
          <w:u w:val="single"/>
        </w:rPr>
        <w:t>Methods</w:t>
      </w:r>
      <w:r>
        <w:rPr/>
        <w:t>.</w:t>
      </w:r>
      <w:r>
        <w:rPr>
          <w:spacing w:val="40"/>
        </w:rPr>
        <w:t> </w:t>
      </w:r>
      <w:r>
        <w:rPr/>
        <w:t>University</w:t>
      </w:r>
      <w:r>
        <w:rPr>
          <w:spacing w:val="-3"/>
        </w:rPr>
        <w:t> </w:t>
      </w:r>
      <w:r>
        <w:rPr/>
        <w:t>Press</w:t>
      </w:r>
      <w:r>
        <w:rPr>
          <w:spacing w:val="-7"/>
        </w:rPr>
        <w:t> </w:t>
      </w:r>
      <w:r>
        <w:rPr/>
        <w:t>Ltd.,</w:t>
      </w:r>
      <w:r>
        <w:rPr>
          <w:spacing w:val="-7"/>
        </w:rPr>
        <w:t> </w:t>
      </w:r>
      <w:r>
        <w:rPr/>
        <w:t>1970, </w:t>
      </w:r>
      <w:r>
        <w:rPr>
          <w:spacing w:val="-2"/>
        </w:rPr>
        <w:t>London.</w:t>
      </w:r>
    </w:p>
    <w:p>
      <w:pPr>
        <w:pStyle w:val="BodyText"/>
        <w:spacing w:before="1"/>
      </w:pPr>
    </w:p>
    <w:p>
      <w:pPr>
        <w:pStyle w:val="BodyText"/>
        <w:tabs>
          <w:tab w:pos="5143" w:val="left" w:leader="none"/>
        </w:tabs>
        <w:spacing w:line="242" w:lineRule="auto"/>
        <w:ind w:left="580" w:right="296"/>
      </w:pPr>
      <w:r>
        <w:rPr/>
        <w:t>National</w:t>
      </w:r>
      <w:r>
        <w:rPr>
          <w:spacing w:val="40"/>
        </w:rPr>
        <w:t> </w:t>
      </w:r>
      <w:r>
        <w:rPr/>
        <w:t>University</w:t>
      </w:r>
      <w:r>
        <w:rPr>
          <w:spacing w:val="40"/>
        </w:rPr>
        <w:t> </w:t>
      </w:r>
      <w:r>
        <w:rPr/>
        <w:t>Commission</w:t>
      </w:r>
      <w:r>
        <w:rPr>
          <w:spacing w:val="40"/>
        </w:rPr>
        <w:t> </w:t>
      </w:r>
      <w:r>
        <w:rPr/>
        <w:t>(1988).</w:t>
        <w:tab/>
        <w:t>Resource</w:t>
      </w:r>
      <w:r>
        <w:rPr>
          <w:spacing w:val="34"/>
        </w:rPr>
        <w:t> </w:t>
      </w:r>
      <w:r>
        <w:rPr/>
        <w:t>Management</w:t>
      </w:r>
      <w:r>
        <w:rPr>
          <w:spacing w:val="33"/>
        </w:rPr>
        <w:t> </w:t>
      </w:r>
      <w:r>
        <w:rPr/>
        <w:t>in</w:t>
      </w:r>
      <w:r>
        <w:rPr>
          <w:spacing w:val="34"/>
        </w:rPr>
        <w:t> </w:t>
      </w:r>
      <w:r>
        <w:rPr/>
        <w:t>the</w:t>
      </w:r>
      <w:r>
        <w:rPr>
          <w:spacing w:val="29"/>
        </w:rPr>
        <w:t> </w:t>
      </w:r>
      <w:r>
        <w:rPr/>
        <w:t>University System.</w:t>
      </w:r>
      <w:r>
        <w:rPr>
          <w:spacing w:val="40"/>
        </w:rPr>
        <w:t> </w:t>
      </w:r>
      <w:r>
        <w:rPr/>
        <w:t>Baraka Press &amp;</w:t>
      </w:r>
    </w:p>
    <w:p>
      <w:pPr>
        <w:pStyle w:val="BodyText"/>
        <w:spacing w:line="271" w:lineRule="exact"/>
        <w:ind w:left="940"/>
      </w:pPr>
      <w:r>
        <w:rPr/>
        <w:t>Pubs.,</w:t>
      </w:r>
      <w:r>
        <w:rPr>
          <w:spacing w:val="-7"/>
        </w:rPr>
        <w:t> </w:t>
      </w:r>
      <w:r>
        <w:rPr>
          <w:spacing w:val="-2"/>
        </w:rPr>
        <w:t>Lagos.</w:t>
      </w:r>
    </w:p>
    <w:p>
      <w:pPr>
        <w:pStyle w:val="BodyText"/>
      </w:pPr>
    </w:p>
    <w:p>
      <w:pPr>
        <w:pStyle w:val="BodyText"/>
        <w:ind w:left="580"/>
      </w:pPr>
      <w:r>
        <w:rPr/>
        <w:t>Nwachukwu,</w:t>
      </w:r>
      <w:r>
        <w:rPr>
          <w:spacing w:val="-8"/>
        </w:rPr>
        <w:t> </w:t>
      </w:r>
      <w:r>
        <w:rPr/>
        <w:t>C.C.</w:t>
      </w:r>
      <w:r>
        <w:rPr>
          <w:spacing w:val="-8"/>
        </w:rPr>
        <w:t> </w:t>
      </w:r>
      <w:r>
        <w:rPr/>
        <w:t>(1981).</w:t>
      </w:r>
      <w:r>
        <w:rPr>
          <w:spacing w:val="49"/>
        </w:rPr>
        <w:t> </w:t>
      </w:r>
      <w:r>
        <w:rPr>
          <w:u w:val="single"/>
        </w:rPr>
        <w:t>Management:</w:t>
      </w:r>
      <w:r>
        <w:rPr>
          <w:spacing w:val="-8"/>
          <w:u w:val="single"/>
        </w:rPr>
        <w:t> </w:t>
      </w:r>
      <w:r>
        <w:rPr>
          <w:u w:val="single"/>
        </w:rPr>
        <w:t>Theory</w:t>
      </w:r>
      <w:r>
        <w:rPr>
          <w:spacing w:val="-7"/>
          <w:u w:val="single"/>
        </w:rPr>
        <w:t> </w:t>
      </w:r>
      <w:r>
        <w:rPr>
          <w:u w:val="single"/>
        </w:rPr>
        <w:t>and</w:t>
      </w:r>
      <w:r>
        <w:rPr>
          <w:spacing w:val="-7"/>
          <w:u w:val="single"/>
        </w:rPr>
        <w:t> </w:t>
      </w:r>
      <w:r>
        <w:rPr>
          <w:u w:val="single"/>
        </w:rPr>
        <w:t>Practice</w:t>
      </w:r>
      <w:r>
        <w:rPr/>
        <w:t>.</w:t>
      </w:r>
      <w:r>
        <w:rPr>
          <w:spacing w:val="52"/>
        </w:rPr>
        <w:t> </w:t>
      </w:r>
      <w:r>
        <w:rPr/>
        <w:t>African</w:t>
      </w:r>
      <w:r>
        <w:rPr>
          <w:spacing w:val="-7"/>
        </w:rPr>
        <w:t> </w:t>
      </w:r>
      <w:r>
        <w:rPr/>
        <w:t>FEP</w:t>
      </w:r>
      <w:r>
        <w:rPr>
          <w:spacing w:val="-8"/>
        </w:rPr>
        <w:t> </w:t>
      </w:r>
      <w:r>
        <w:rPr>
          <w:spacing w:val="-4"/>
        </w:rPr>
        <w:t>Pub.</w:t>
      </w:r>
    </w:p>
    <w:p>
      <w:pPr>
        <w:pStyle w:val="BodyText"/>
        <w:spacing w:before="2"/>
        <w:ind w:left="940"/>
      </w:pPr>
      <w:r>
        <w:rPr/>
        <w:t>Ltd.</w:t>
      </w:r>
      <w:r>
        <w:rPr>
          <w:spacing w:val="-8"/>
        </w:rPr>
        <w:t> </w:t>
      </w:r>
      <w:r>
        <w:rPr/>
        <w:t>Onitsha,</w:t>
      </w:r>
      <w:r>
        <w:rPr>
          <w:spacing w:val="-7"/>
        </w:rPr>
        <w:t> </w:t>
      </w:r>
      <w:r>
        <w:rPr>
          <w:spacing w:val="-2"/>
        </w:rPr>
        <w:t>Nigeria.</w:t>
      </w:r>
    </w:p>
    <w:p>
      <w:pPr>
        <w:pStyle w:val="BodyText"/>
        <w:spacing w:before="2"/>
      </w:pPr>
    </w:p>
    <w:p>
      <w:pPr>
        <w:pStyle w:val="BodyText"/>
        <w:spacing w:line="237" w:lineRule="auto" w:before="1"/>
        <w:ind w:left="940" w:right="863" w:hanging="360"/>
      </w:pPr>
      <w:r>
        <w:rPr/>
        <w:t>Obi,</w:t>
      </w:r>
      <w:r>
        <w:rPr>
          <w:spacing w:val="-2"/>
        </w:rPr>
        <w:t> </w:t>
      </w:r>
      <w:r>
        <w:rPr/>
        <w:t>N.</w:t>
      </w:r>
      <w:r>
        <w:rPr>
          <w:spacing w:val="-5"/>
        </w:rPr>
        <w:t> </w:t>
      </w:r>
      <w:r>
        <w:rPr/>
        <w:t>(1987).</w:t>
      </w:r>
      <w:r>
        <w:rPr>
          <w:spacing w:val="40"/>
        </w:rPr>
        <w:t> </w:t>
      </w:r>
      <w:r>
        <w:rPr/>
        <w:t>).</w:t>
      </w:r>
      <w:r>
        <w:rPr>
          <w:spacing w:val="40"/>
        </w:rPr>
        <w:t> </w:t>
      </w:r>
      <w:r>
        <w:rPr/>
        <w:t>“Feeding</w:t>
      </w:r>
      <w:r>
        <w:rPr>
          <w:spacing w:val="-1"/>
        </w:rPr>
        <w:t> </w:t>
      </w:r>
      <w:r>
        <w:rPr/>
        <w:t>with</w:t>
      </w:r>
      <w:r>
        <w:rPr>
          <w:spacing w:val="-4"/>
        </w:rPr>
        <w:t> </w:t>
      </w:r>
      <w:r>
        <w:rPr/>
        <w:t>Tears;</w:t>
      </w:r>
      <w:r>
        <w:rPr>
          <w:spacing w:val="-2"/>
        </w:rPr>
        <w:t> </w:t>
      </w:r>
      <w:r>
        <w:rPr/>
        <w:t>Days</w:t>
      </w:r>
      <w:r>
        <w:rPr>
          <w:spacing w:val="-6"/>
        </w:rPr>
        <w:t> </w:t>
      </w:r>
      <w:r>
        <w:rPr/>
        <w:t>of</w:t>
      </w:r>
      <w:r>
        <w:rPr>
          <w:spacing w:val="-2"/>
        </w:rPr>
        <w:t> </w:t>
      </w:r>
      <w:r>
        <w:rPr/>
        <w:t>balanced</w:t>
      </w:r>
      <w:r>
        <w:rPr>
          <w:spacing w:val="-4"/>
        </w:rPr>
        <w:t> </w:t>
      </w:r>
      <w:r>
        <w:rPr/>
        <w:t>diet</w:t>
      </w:r>
      <w:r>
        <w:rPr>
          <w:spacing w:val="-5"/>
        </w:rPr>
        <w:t> </w:t>
      </w:r>
      <w:r>
        <w:rPr/>
        <w:t>is</w:t>
      </w:r>
      <w:r>
        <w:rPr>
          <w:spacing w:val="-2"/>
        </w:rPr>
        <w:t> </w:t>
      </w:r>
      <w:r>
        <w:rPr/>
        <w:t>over</w:t>
      </w:r>
      <w:r>
        <w:rPr>
          <w:spacing w:val="-4"/>
        </w:rPr>
        <w:t> </w:t>
      </w:r>
      <w:r>
        <w:rPr/>
        <w:t>in</w:t>
      </w:r>
      <w:r>
        <w:rPr>
          <w:spacing w:val="-1"/>
        </w:rPr>
        <w:t> </w:t>
      </w:r>
      <w:r>
        <w:rPr/>
        <w:t>our versities.”</w:t>
      </w:r>
      <w:r>
        <w:rPr>
          <w:spacing w:val="40"/>
        </w:rPr>
        <w:t> </w:t>
      </w:r>
      <w:r>
        <w:rPr>
          <w:u w:val="single"/>
        </w:rPr>
        <w:t>Sunday Times</w:t>
      </w:r>
      <w:r>
        <w:rPr/>
        <w:t> March 29, 1987, Front Page.</w:t>
      </w:r>
    </w:p>
    <w:p>
      <w:pPr>
        <w:pStyle w:val="BodyText"/>
      </w:pPr>
    </w:p>
    <w:p>
      <w:pPr>
        <w:pStyle w:val="BodyText"/>
        <w:spacing w:line="242" w:lineRule="auto" w:before="1"/>
        <w:ind w:left="940" w:hanging="360"/>
      </w:pPr>
      <w:r>
        <w:rPr/>
        <w:t>Odemenas,</w:t>
      </w:r>
      <w:r>
        <w:rPr>
          <w:spacing w:val="-1"/>
        </w:rPr>
        <w:t> </w:t>
      </w:r>
      <w:r>
        <w:rPr/>
        <w:t>O.</w:t>
      </w:r>
      <w:r>
        <w:rPr>
          <w:spacing w:val="-2"/>
        </w:rPr>
        <w:t> </w:t>
      </w:r>
      <w:r>
        <w:rPr/>
        <w:t>(1987).</w:t>
      </w:r>
      <w:r>
        <w:rPr>
          <w:spacing w:val="-2"/>
        </w:rPr>
        <w:t> </w:t>
      </w:r>
      <w:r>
        <w:rPr/>
        <w:t>“Feeding</w:t>
      </w:r>
      <w:r>
        <w:rPr>
          <w:spacing w:val="-5"/>
        </w:rPr>
        <w:t> </w:t>
      </w:r>
      <w:r>
        <w:rPr/>
        <w:t>with</w:t>
      </w:r>
      <w:r>
        <w:rPr>
          <w:spacing w:val="-1"/>
        </w:rPr>
        <w:t> </w:t>
      </w:r>
      <w:r>
        <w:rPr/>
        <w:t>Tears;</w:t>
      </w:r>
      <w:r>
        <w:rPr>
          <w:spacing w:val="-2"/>
        </w:rPr>
        <w:t> </w:t>
      </w:r>
      <w:r>
        <w:rPr/>
        <w:t>Days</w:t>
      </w:r>
      <w:r>
        <w:rPr>
          <w:spacing w:val="-2"/>
        </w:rPr>
        <w:t> </w:t>
      </w:r>
      <w:r>
        <w:rPr/>
        <w:t>of</w:t>
      </w:r>
      <w:r>
        <w:rPr>
          <w:spacing w:val="-2"/>
        </w:rPr>
        <w:t> </w:t>
      </w:r>
      <w:r>
        <w:rPr/>
        <w:t>balanced</w:t>
      </w:r>
      <w:r>
        <w:rPr>
          <w:spacing w:val="-1"/>
        </w:rPr>
        <w:t> </w:t>
      </w:r>
      <w:r>
        <w:rPr/>
        <w:t>diet</w:t>
      </w:r>
      <w:r>
        <w:rPr>
          <w:spacing w:val="-6"/>
        </w:rPr>
        <w:t> </w:t>
      </w:r>
      <w:r>
        <w:rPr/>
        <w:t>is</w:t>
      </w:r>
      <w:r>
        <w:rPr>
          <w:spacing w:val="-7"/>
        </w:rPr>
        <w:t> </w:t>
      </w:r>
      <w:r>
        <w:rPr/>
        <w:t>over</w:t>
      </w:r>
      <w:r>
        <w:rPr>
          <w:spacing w:val="-5"/>
        </w:rPr>
        <w:t> </w:t>
      </w:r>
      <w:r>
        <w:rPr/>
        <w:t>in</w:t>
      </w:r>
      <w:r>
        <w:rPr>
          <w:spacing w:val="-5"/>
        </w:rPr>
        <w:t> </w:t>
      </w:r>
      <w:r>
        <w:rPr/>
        <w:t>our versities” </w:t>
      </w:r>
      <w:r>
        <w:rPr>
          <w:u w:val="single"/>
        </w:rPr>
        <w:t>Sunday Times</w:t>
      </w:r>
      <w:r>
        <w:rPr/>
        <w:t> March 29 1987</w:t>
      </w:r>
    </w:p>
    <w:p>
      <w:pPr>
        <w:pStyle w:val="BodyText"/>
        <w:spacing w:line="237" w:lineRule="auto" w:before="275"/>
        <w:ind w:left="940" w:right="299" w:hanging="360"/>
      </w:pPr>
      <w:r>
        <w:rPr/>
        <w:t>Ogunnike,</w:t>
      </w:r>
      <w:r>
        <w:rPr>
          <w:spacing w:val="-2"/>
        </w:rPr>
        <w:t> </w:t>
      </w:r>
      <w:r>
        <w:rPr/>
        <w:t>O.I.</w:t>
      </w:r>
      <w:r>
        <w:rPr>
          <w:spacing w:val="-3"/>
        </w:rPr>
        <w:t> </w:t>
      </w:r>
      <w:r>
        <w:rPr/>
        <w:t>(1985).</w:t>
      </w:r>
      <w:r>
        <w:rPr>
          <w:spacing w:val="-7"/>
        </w:rPr>
        <w:t> </w:t>
      </w:r>
      <w:r>
        <w:rPr/>
        <w:t>“Feeding</w:t>
      </w:r>
      <w:r>
        <w:rPr>
          <w:spacing w:val="-2"/>
        </w:rPr>
        <w:t> </w:t>
      </w:r>
      <w:r>
        <w:rPr/>
        <w:t>and</w:t>
      </w:r>
      <w:r>
        <w:rPr>
          <w:spacing w:val="-2"/>
        </w:rPr>
        <w:t> </w:t>
      </w:r>
      <w:r>
        <w:rPr/>
        <w:t>Housing</w:t>
      </w:r>
      <w:r>
        <w:rPr>
          <w:spacing w:val="-6"/>
        </w:rPr>
        <w:t> </w:t>
      </w:r>
      <w:r>
        <w:rPr/>
        <w:t>in</w:t>
      </w:r>
      <w:r>
        <w:rPr>
          <w:spacing w:val="-2"/>
        </w:rPr>
        <w:t> </w:t>
      </w:r>
      <w:r>
        <w:rPr/>
        <w:t>the</w:t>
      </w:r>
      <w:r>
        <w:rPr>
          <w:spacing w:val="-2"/>
        </w:rPr>
        <w:t> </w:t>
      </w:r>
      <w:r>
        <w:rPr/>
        <w:t>Universities”</w:t>
      </w:r>
      <w:r>
        <w:rPr>
          <w:spacing w:val="-6"/>
        </w:rPr>
        <w:t> </w:t>
      </w:r>
      <w:r>
        <w:rPr/>
        <w:t>in</w:t>
      </w:r>
      <w:r>
        <w:rPr>
          <w:spacing w:val="-1"/>
        </w:rPr>
        <w:t> </w:t>
      </w:r>
      <w:r>
        <w:rPr>
          <w:u w:val="single"/>
        </w:rPr>
        <w:t>Access</w:t>
      </w:r>
      <w:r>
        <w:rPr>
          <w:spacing w:val="-3"/>
          <w:u w:val="single"/>
        </w:rPr>
        <w:t> </w:t>
      </w:r>
      <w:r>
        <w:rPr>
          <w:u w:val="single"/>
        </w:rPr>
        <w:t>to</w:t>
      </w:r>
      <w:r>
        <w:rPr>
          <w:spacing w:val="-6"/>
          <w:u w:val="single"/>
        </w:rPr>
        <w:t> </w:t>
      </w:r>
      <w:r>
        <w:rPr>
          <w:u w:val="single"/>
        </w:rPr>
        <w:t>Higher</w:t>
      </w:r>
      <w:r>
        <w:rPr/>
        <w:t> </w:t>
      </w:r>
      <w:r>
        <w:rPr>
          <w:u w:val="single"/>
        </w:rPr>
        <w:t>Education in Nigeria</w:t>
      </w:r>
      <w:r>
        <w:rPr/>
        <w:t>. Paper presented to the 5</w:t>
      </w:r>
      <w:r>
        <w:rPr>
          <w:vertAlign w:val="superscript"/>
        </w:rPr>
        <w:t>th</w:t>
      </w:r>
      <w:r>
        <w:rPr>
          <w:vertAlign w:val="baseline"/>
        </w:rPr>
        <w:t> University of Maiduguri forum.</w:t>
      </w:r>
    </w:p>
    <w:p>
      <w:pPr>
        <w:pStyle w:val="BodyText"/>
        <w:spacing w:before="3"/>
        <w:ind w:left="940"/>
      </w:pPr>
      <w:r>
        <w:rPr/>
        <w:t>Uni.</w:t>
      </w:r>
      <w:r>
        <w:rPr>
          <w:spacing w:val="-5"/>
        </w:rPr>
        <w:t> </w:t>
      </w:r>
      <w:r>
        <w:rPr/>
        <w:t>Maid.</w:t>
      </w:r>
      <w:r>
        <w:rPr>
          <w:spacing w:val="-4"/>
        </w:rPr>
        <w:t> </w:t>
      </w:r>
      <w:r>
        <w:rPr>
          <w:spacing w:val="-2"/>
        </w:rPr>
        <w:t>1985.</w:t>
      </w:r>
    </w:p>
    <w:p>
      <w:pPr>
        <w:pStyle w:val="BodyText"/>
      </w:pPr>
    </w:p>
    <w:p>
      <w:pPr>
        <w:pStyle w:val="BodyText"/>
        <w:ind w:left="580"/>
      </w:pPr>
      <w:r>
        <w:rPr/>
        <w:t>Ogunye,</w:t>
      </w:r>
      <w:r>
        <w:rPr>
          <w:spacing w:val="-5"/>
        </w:rPr>
        <w:t> </w:t>
      </w:r>
      <w:r>
        <w:rPr/>
        <w:t>J.</w:t>
      </w:r>
      <w:r>
        <w:rPr>
          <w:spacing w:val="-9"/>
        </w:rPr>
        <w:t> </w:t>
      </w:r>
      <w:r>
        <w:rPr/>
        <w:t>(1999).</w:t>
      </w:r>
      <w:r>
        <w:rPr>
          <w:spacing w:val="57"/>
        </w:rPr>
        <w:t> </w:t>
      </w:r>
      <w:r>
        <w:rPr>
          <w:u w:val="single"/>
        </w:rPr>
        <w:t>Citadels</w:t>
      </w:r>
      <w:r>
        <w:rPr>
          <w:spacing w:val="-5"/>
          <w:u w:val="single"/>
        </w:rPr>
        <w:t> </w:t>
      </w:r>
      <w:r>
        <w:rPr>
          <w:u w:val="single"/>
        </w:rPr>
        <w:t>of</w:t>
      </w:r>
      <w:r>
        <w:rPr>
          <w:spacing w:val="-6"/>
          <w:u w:val="single"/>
        </w:rPr>
        <w:t> </w:t>
      </w:r>
      <w:r>
        <w:rPr>
          <w:u w:val="single"/>
        </w:rPr>
        <w:t>Violence</w:t>
      </w:r>
      <w:r>
        <w:rPr/>
        <w:t>.</w:t>
      </w:r>
      <w:r>
        <w:rPr>
          <w:spacing w:val="52"/>
        </w:rPr>
        <w:t> </w:t>
      </w:r>
      <w:r>
        <w:rPr/>
        <w:t>Cdhr.</w:t>
      </w:r>
      <w:r>
        <w:rPr>
          <w:spacing w:val="-6"/>
        </w:rPr>
        <w:t> </w:t>
      </w:r>
      <w:r>
        <w:rPr/>
        <w:t>Pub.</w:t>
      </w:r>
      <w:r>
        <w:rPr>
          <w:spacing w:val="-5"/>
        </w:rPr>
        <w:t> </w:t>
      </w:r>
      <w:r>
        <w:rPr/>
        <w:t>1999,</w:t>
      </w:r>
      <w:r>
        <w:rPr>
          <w:spacing w:val="-5"/>
        </w:rPr>
        <w:t> </w:t>
      </w:r>
      <w:r>
        <w:rPr>
          <w:spacing w:val="-2"/>
        </w:rPr>
        <w:t>Lagos.</w:t>
      </w:r>
    </w:p>
    <w:p>
      <w:pPr>
        <w:pStyle w:val="BodyText"/>
        <w:spacing w:before="2"/>
      </w:pPr>
    </w:p>
    <w:p>
      <w:pPr>
        <w:pStyle w:val="BodyText"/>
        <w:spacing w:line="237" w:lineRule="auto"/>
        <w:ind w:left="940" w:hanging="360"/>
      </w:pPr>
      <w:r>
        <w:rPr/>
        <w:t>Ojo,</w:t>
      </w:r>
      <w:r>
        <w:rPr>
          <w:spacing w:val="-3"/>
        </w:rPr>
        <w:t> </w:t>
      </w:r>
      <w:r>
        <w:rPr/>
        <w:t>J.D.</w:t>
      </w:r>
      <w:r>
        <w:rPr>
          <w:spacing w:val="-3"/>
        </w:rPr>
        <w:t> </w:t>
      </w:r>
      <w:r>
        <w:rPr/>
        <w:t>(1995).</w:t>
      </w:r>
      <w:r>
        <w:rPr>
          <w:spacing w:val="-2"/>
        </w:rPr>
        <w:t> </w:t>
      </w:r>
      <w:r>
        <w:rPr>
          <w:u w:val="single"/>
        </w:rPr>
        <w:t>Students</w:t>
      </w:r>
      <w:r>
        <w:rPr>
          <w:spacing w:val="-3"/>
          <w:u w:val="single"/>
        </w:rPr>
        <w:t> </w:t>
      </w:r>
      <w:r>
        <w:rPr>
          <w:u w:val="single"/>
        </w:rPr>
        <w:t>Unrest</w:t>
      </w:r>
      <w:r>
        <w:rPr>
          <w:spacing w:val="-7"/>
          <w:u w:val="single"/>
        </w:rPr>
        <w:t> </w:t>
      </w:r>
      <w:r>
        <w:rPr>
          <w:u w:val="single"/>
        </w:rPr>
        <w:t>in</w:t>
      </w:r>
      <w:r>
        <w:rPr>
          <w:spacing w:val="-2"/>
          <w:u w:val="single"/>
        </w:rPr>
        <w:t> </w:t>
      </w:r>
      <w:r>
        <w:rPr>
          <w:u w:val="single"/>
        </w:rPr>
        <w:t>Nigerian</w:t>
      </w:r>
      <w:r>
        <w:rPr>
          <w:spacing w:val="-6"/>
          <w:u w:val="single"/>
        </w:rPr>
        <w:t> </w:t>
      </w:r>
      <w:r>
        <w:rPr>
          <w:u w:val="single"/>
        </w:rPr>
        <w:t>Universities.</w:t>
      </w:r>
      <w:r>
        <w:rPr>
          <w:spacing w:val="-3"/>
          <w:u w:val="single"/>
        </w:rPr>
        <w:t> </w:t>
      </w:r>
      <w:r>
        <w:rPr>
          <w:u w:val="single"/>
        </w:rPr>
        <w:t>A</w:t>
      </w:r>
      <w:r>
        <w:rPr>
          <w:spacing w:val="-9"/>
          <w:u w:val="single"/>
        </w:rPr>
        <w:t> </w:t>
      </w:r>
      <w:r>
        <w:rPr>
          <w:u w:val="single"/>
        </w:rPr>
        <w:t>legal and</w:t>
      </w:r>
      <w:r>
        <w:rPr>
          <w:spacing w:val="-2"/>
          <w:u w:val="single"/>
        </w:rPr>
        <w:t> </w:t>
      </w:r>
      <w:r>
        <w:rPr>
          <w:u w:val="single"/>
        </w:rPr>
        <w:t>Historical</w:t>
      </w:r>
      <w:r>
        <w:rPr/>
        <w:t> </w:t>
      </w:r>
      <w:r>
        <w:rPr>
          <w:u w:val="single"/>
        </w:rPr>
        <w:t>Approach</w:t>
      </w:r>
      <w:r>
        <w:rPr/>
        <w:t>, Spectrum Books Ltd and IFRA Ibadan.</w:t>
      </w:r>
    </w:p>
    <w:p>
      <w:pPr>
        <w:pStyle w:val="BodyText"/>
        <w:spacing w:before="1"/>
      </w:pPr>
    </w:p>
    <w:p>
      <w:pPr>
        <w:pStyle w:val="BodyText"/>
        <w:spacing w:line="242" w:lineRule="auto"/>
        <w:ind w:left="1050" w:right="529" w:hanging="471"/>
      </w:pPr>
      <w:r>
        <w:rPr/>
        <w:t>Okebukola,</w:t>
      </w:r>
      <w:r>
        <w:rPr>
          <w:spacing w:val="-3"/>
        </w:rPr>
        <w:t> </w:t>
      </w:r>
      <w:r>
        <w:rPr/>
        <w:t>P.</w:t>
      </w:r>
      <w:r>
        <w:rPr>
          <w:spacing w:val="-3"/>
        </w:rPr>
        <w:t> </w:t>
      </w:r>
      <w:r>
        <w:rPr/>
        <w:t>(2000).</w:t>
      </w:r>
      <w:r>
        <w:rPr>
          <w:spacing w:val="-2"/>
        </w:rPr>
        <w:t> </w:t>
      </w:r>
      <w:r>
        <w:rPr>
          <w:u w:val="single"/>
        </w:rPr>
        <w:t>The</w:t>
      </w:r>
      <w:r>
        <w:rPr>
          <w:spacing w:val="-2"/>
          <w:u w:val="single"/>
        </w:rPr>
        <w:t> </w:t>
      </w:r>
      <w:r>
        <w:rPr>
          <w:u w:val="single"/>
        </w:rPr>
        <w:t>State</w:t>
      </w:r>
      <w:r>
        <w:rPr>
          <w:spacing w:val="-2"/>
          <w:u w:val="single"/>
        </w:rPr>
        <w:t> </w:t>
      </w:r>
      <w:r>
        <w:rPr>
          <w:u w:val="single"/>
        </w:rPr>
        <w:t>of</w:t>
      </w:r>
      <w:r>
        <w:rPr>
          <w:spacing w:val="-7"/>
          <w:u w:val="single"/>
        </w:rPr>
        <w:t> </w:t>
      </w:r>
      <w:r>
        <w:rPr>
          <w:u w:val="single"/>
        </w:rPr>
        <w:t>University</w:t>
      </w:r>
      <w:r>
        <w:rPr>
          <w:spacing w:val="-8"/>
          <w:u w:val="single"/>
        </w:rPr>
        <w:t> </w:t>
      </w:r>
      <w:r>
        <w:rPr>
          <w:u w:val="single"/>
        </w:rPr>
        <w:t>Education</w:t>
      </w:r>
      <w:r>
        <w:rPr>
          <w:spacing w:val="-6"/>
          <w:u w:val="single"/>
        </w:rPr>
        <w:t> </w:t>
      </w:r>
      <w:r>
        <w:rPr>
          <w:u w:val="single"/>
        </w:rPr>
        <w:t>in</w:t>
      </w:r>
      <w:r>
        <w:rPr>
          <w:spacing w:val="-2"/>
          <w:u w:val="single"/>
        </w:rPr>
        <w:t> </w:t>
      </w:r>
      <w:r>
        <w:rPr>
          <w:u w:val="single"/>
        </w:rPr>
        <w:t>Nigeria</w:t>
      </w:r>
      <w:r>
        <w:rPr/>
        <w:t>,</w:t>
      </w:r>
      <w:r>
        <w:rPr>
          <w:spacing w:val="-3"/>
        </w:rPr>
        <w:t> </w:t>
      </w:r>
      <w:r>
        <w:rPr/>
        <w:t>NUC</w:t>
      </w:r>
      <w:r>
        <w:rPr>
          <w:spacing w:val="-3"/>
        </w:rPr>
        <w:t> </w:t>
      </w:r>
      <w:r>
        <w:rPr/>
        <w:t>Abuja, </w:t>
      </w:r>
      <w:r>
        <w:rPr>
          <w:spacing w:val="-2"/>
        </w:rPr>
        <w:t>2002.</w:t>
      </w:r>
    </w:p>
    <w:p>
      <w:pPr>
        <w:pStyle w:val="BodyText"/>
        <w:spacing w:before="273"/>
        <w:ind w:left="1050" w:right="301" w:hanging="471"/>
      </w:pPr>
      <w:r>
        <w:rPr/>
        <w:t>Okebukola, P. ; Ibrahim, A. ; Bola, B. ; and Ayo, B. (2003).</w:t>
      </w:r>
      <w:r>
        <w:rPr>
          <w:spacing w:val="40"/>
        </w:rPr>
        <w:t> </w:t>
      </w:r>
      <w:r>
        <w:rPr/>
        <w:t>Private sector participation</w:t>
      </w:r>
      <w:r>
        <w:rPr>
          <w:spacing w:val="-9"/>
        </w:rPr>
        <w:t> </w:t>
      </w:r>
      <w:r>
        <w:rPr/>
        <w:t>in</w:t>
      </w:r>
      <w:r>
        <w:rPr>
          <w:spacing w:val="-9"/>
        </w:rPr>
        <w:t> </w:t>
      </w:r>
      <w:r>
        <w:rPr/>
        <w:t>University</w:t>
      </w:r>
      <w:r>
        <w:rPr>
          <w:spacing w:val="-6"/>
        </w:rPr>
        <w:t> </w:t>
      </w:r>
      <w:r>
        <w:rPr/>
        <w:t>hostel</w:t>
      </w:r>
      <w:r>
        <w:rPr>
          <w:spacing w:val="-3"/>
        </w:rPr>
        <w:t> </w:t>
      </w:r>
      <w:r>
        <w:rPr/>
        <w:t>development</w:t>
      </w:r>
      <w:r>
        <w:rPr>
          <w:spacing w:val="-6"/>
        </w:rPr>
        <w:t> </w:t>
      </w:r>
      <w:r>
        <w:rPr/>
        <w:t>and</w:t>
      </w:r>
      <w:r>
        <w:rPr>
          <w:spacing w:val="-1"/>
        </w:rPr>
        <w:t> </w:t>
      </w:r>
      <w:r>
        <w:rPr/>
        <w:t>management.</w:t>
      </w:r>
      <w:r>
        <w:rPr>
          <w:spacing w:val="40"/>
        </w:rPr>
        <w:t> </w:t>
      </w:r>
      <w:r>
        <w:rPr/>
        <w:t>NUC</w:t>
      </w:r>
      <w:r>
        <w:rPr>
          <w:spacing w:val="-6"/>
        </w:rPr>
        <w:t> </w:t>
      </w:r>
      <w:r>
        <w:rPr/>
        <w:t>Abuja 2003, Abuja.</w:t>
      </w:r>
    </w:p>
    <w:p>
      <w:pPr>
        <w:pStyle w:val="BodyText"/>
        <w:spacing w:before="2"/>
      </w:pPr>
    </w:p>
    <w:p>
      <w:pPr>
        <w:pStyle w:val="BodyText"/>
        <w:spacing w:line="237" w:lineRule="auto" w:before="1"/>
        <w:ind w:left="940" w:hanging="360"/>
      </w:pPr>
      <w:r>
        <w:rPr/>
        <w:t>Okon,</w:t>
      </w:r>
      <w:r>
        <w:rPr>
          <w:spacing w:val="-4"/>
        </w:rPr>
        <w:t> </w:t>
      </w:r>
      <w:r>
        <w:rPr/>
        <w:t>S.E.</w:t>
      </w:r>
      <w:r>
        <w:rPr>
          <w:spacing w:val="-4"/>
        </w:rPr>
        <w:t> </w:t>
      </w:r>
      <w:r>
        <w:rPr/>
        <w:t>and</w:t>
      </w:r>
      <w:r>
        <w:rPr>
          <w:spacing w:val="-3"/>
        </w:rPr>
        <w:t> </w:t>
      </w:r>
      <w:r>
        <w:rPr/>
        <w:t>Iketunoye,</w:t>
      </w:r>
      <w:r>
        <w:rPr>
          <w:spacing w:val="-8"/>
        </w:rPr>
        <w:t> </w:t>
      </w:r>
      <w:r>
        <w:rPr/>
        <w:t>A.I.</w:t>
      </w:r>
      <w:r>
        <w:rPr>
          <w:spacing w:val="-4"/>
        </w:rPr>
        <w:t> </w:t>
      </w:r>
      <w:r>
        <w:rPr/>
        <w:t>(1979).</w:t>
      </w:r>
      <w:r>
        <w:rPr>
          <w:spacing w:val="40"/>
        </w:rPr>
        <w:t> </w:t>
      </w:r>
      <w:r>
        <w:rPr/>
        <w:t>Exploring</w:t>
      </w:r>
      <w:r>
        <w:rPr>
          <w:spacing w:val="-3"/>
        </w:rPr>
        <w:t> </w:t>
      </w:r>
      <w:r>
        <w:rPr/>
        <w:t>Research</w:t>
      </w:r>
      <w:r>
        <w:rPr>
          <w:spacing w:val="-7"/>
        </w:rPr>
        <w:t> </w:t>
      </w:r>
      <w:r>
        <w:rPr/>
        <w:t>on</w:t>
      </w:r>
      <w:r>
        <w:rPr>
          <w:spacing w:val="-3"/>
        </w:rPr>
        <w:t> </w:t>
      </w:r>
      <w:r>
        <w:rPr/>
        <w:t>Students</w:t>
      </w:r>
      <w:r>
        <w:rPr>
          <w:spacing w:val="-4"/>
        </w:rPr>
        <w:t> </w:t>
      </w:r>
      <w:r>
        <w:rPr/>
        <w:t>problems: Occasional Paper: Faculty of Educ., ABU, 1979 Zaria.</w:t>
      </w:r>
    </w:p>
    <w:p>
      <w:pPr>
        <w:spacing w:after="0" w:line="237" w:lineRule="auto"/>
        <w:sectPr>
          <w:headerReference w:type="default" r:id="rId592"/>
          <w:footerReference w:type="default" r:id="rId593"/>
          <w:pgSz w:w="12240" w:h="15840"/>
          <w:pgMar w:header="722" w:footer="623" w:top="980" w:bottom="820" w:left="1220" w:right="1140"/>
        </w:sectPr>
      </w:pPr>
    </w:p>
    <w:p>
      <w:pPr>
        <w:pStyle w:val="BodyText"/>
        <w:spacing w:before="174"/>
      </w:pPr>
    </w:p>
    <w:p>
      <w:pPr>
        <w:pStyle w:val="BodyText"/>
        <w:spacing w:line="237" w:lineRule="auto"/>
        <w:ind w:left="940" w:right="863" w:hanging="360"/>
      </w:pPr>
      <w:r>
        <w:rPr/>
        <w:t>Okon,</w:t>
      </w:r>
      <w:r>
        <w:rPr>
          <w:spacing w:val="-3"/>
        </w:rPr>
        <w:t> </w:t>
      </w:r>
      <w:r>
        <w:rPr/>
        <w:t>S.E.</w:t>
      </w:r>
      <w:r>
        <w:rPr>
          <w:spacing w:val="-3"/>
        </w:rPr>
        <w:t> </w:t>
      </w:r>
      <w:r>
        <w:rPr/>
        <w:t>(1979).</w:t>
      </w:r>
      <w:r>
        <w:rPr>
          <w:spacing w:val="40"/>
        </w:rPr>
        <w:t> </w:t>
      </w:r>
      <w:r>
        <w:rPr/>
        <w:t>‘Youth</w:t>
      </w:r>
      <w:r>
        <w:rPr>
          <w:spacing w:val="-6"/>
        </w:rPr>
        <w:t> </w:t>
      </w:r>
      <w:r>
        <w:rPr/>
        <w:t>Problems</w:t>
      </w:r>
      <w:r>
        <w:rPr>
          <w:spacing w:val="-3"/>
        </w:rPr>
        <w:t> </w:t>
      </w:r>
      <w:r>
        <w:rPr/>
        <w:t>Inventory.’</w:t>
      </w:r>
      <w:r>
        <w:rPr>
          <w:spacing w:val="40"/>
        </w:rPr>
        <w:t> </w:t>
      </w:r>
      <w:r>
        <w:rPr/>
        <w:t>Faculty</w:t>
      </w:r>
      <w:r>
        <w:rPr>
          <w:spacing w:val="-3"/>
        </w:rPr>
        <w:t> </w:t>
      </w:r>
      <w:r>
        <w:rPr/>
        <w:t>of</w:t>
      </w:r>
      <w:r>
        <w:rPr>
          <w:spacing w:val="-3"/>
        </w:rPr>
        <w:t> </w:t>
      </w:r>
      <w:r>
        <w:rPr/>
        <w:t>Education</w:t>
      </w:r>
      <w:r>
        <w:rPr>
          <w:spacing w:val="-6"/>
        </w:rPr>
        <w:t> </w:t>
      </w:r>
      <w:r>
        <w:rPr/>
        <w:t>1979 (Mimeo), Zaria.</w:t>
      </w:r>
    </w:p>
    <w:p>
      <w:pPr>
        <w:pStyle w:val="BodyText"/>
      </w:pPr>
    </w:p>
    <w:p>
      <w:pPr>
        <w:pStyle w:val="BodyText"/>
        <w:spacing w:line="242" w:lineRule="auto" w:before="1"/>
        <w:ind w:left="940" w:right="863" w:hanging="360"/>
      </w:pPr>
      <w:r>
        <w:rPr/>
        <w:t>Okon,</w:t>
      </w:r>
      <w:r>
        <w:rPr>
          <w:spacing w:val="-3"/>
        </w:rPr>
        <w:t> </w:t>
      </w:r>
      <w:r>
        <w:rPr/>
        <w:t>S.E</w:t>
      </w:r>
      <w:r>
        <w:rPr>
          <w:spacing w:val="-4"/>
        </w:rPr>
        <w:t> </w:t>
      </w:r>
      <w:r>
        <w:rPr/>
        <w:t>(1984).</w:t>
      </w:r>
      <w:r>
        <w:rPr>
          <w:spacing w:val="40"/>
        </w:rPr>
        <w:t> </w:t>
      </w:r>
      <w:r>
        <w:rPr/>
        <w:t>Guidance</w:t>
      </w:r>
      <w:r>
        <w:rPr>
          <w:spacing w:val="-2"/>
        </w:rPr>
        <w:t> </w:t>
      </w:r>
      <w:r>
        <w:rPr/>
        <w:t>for</w:t>
      </w:r>
      <w:r>
        <w:rPr>
          <w:spacing w:val="-1"/>
        </w:rPr>
        <w:t> </w:t>
      </w:r>
      <w:r>
        <w:rPr/>
        <w:t>the</w:t>
      </w:r>
      <w:r>
        <w:rPr>
          <w:spacing w:val="-5"/>
        </w:rPr>
        <w:t> </w:t>
      </w:r>
      <w:r>
        <w:rPr/>
        <w:t>6-3-3-4</w:t>
      </w:r>
      <w:r>
        <w:rPr>
          <w:spacing w:val="-5"/>
        </w:rPr>
        <w:t> </w:t>
      </w:r>
      <w:r>
        <w:rPr/>
        <w:t>system</w:t>
      </w:r>
      <w:r>
        <w:rPr>
          <w:spacing w:val="-10"/>
        </w:rPr>
        <w:t> </w:t>
      </w:r>
      <w:r>
        <w:rPr/>
        <w:t>of</w:t>
      </w:r>
      <w:r>
        <w:rPr>
          <w:spacing w:val="-3"/>
        </w:rPr>
        <w:t> </w:t>
      </w:r>
      <w:r>
        <w:rPr/>
        <w:t>education,</w:t>
      </w:r>
      <w:r>
        <w:rPr>
          <w:spacing w:val="-6"/>
        </w:rPr>
        <w:t> </w:t>
      </w:r>
      <w:r>
        <w:rPr/>
        <w:t>Institute</w:t>
      </w:r>
      <w:r>
        <w:rPr>
          <w:spacing w:val="-2"/>
        </w:rPr>
        <w:t> </w:t>
      </w:r>
      <w:r>
        <w:rPr/>
        <w:t>of Education, A.B.U., Zaria.</w:t>
      </w:r>
    </w:p>
    <w:p>
      <w:pPr>
        <w:pStyle w:val="BodyText"/>
        <w:spacing w:before="273"/>
        <w:ind w:left="940" w:right="299" w:hanging="360"/>
      </w:pPr>
      <w:r>
        <w:rPr/>
        <w:t>Okwori,</w:t>
      </w:r>
      <w:r>
        <w:rPr>
          <w:spacing w:val="-2"/>
        </w:rPr>
        <w:t> </w:t>
      </w:r>
      <w:r>
        <w:rPr/>
        <w:t>R.O.</w:t>
      </w:r>
      <w:r>
        <w:rPr>
          <w:spacing w:val="-2"/>
        </w:rPr>
        <w:t> </w:t>
      </w:r>
      <w:r>
        <w:rPr/>
        <w:t>and</w:t>
      </w:r>
      <w:r>
        <w:rPr>
          <w:spacing w:val="-1"/>
        </w:rPr>
        <w:t> </w:t>
      </w:r>
      <w:r>
        <w:rPr/>
        <w:t>Boyi,</w:t>
      </w:r>
      <w:r>
        <w:rPr>
          <w:spacing w:val="-2"/>
        </w:rPr>
        <w:t> </w:t>
      </w:r>
      <w:r>
        <w:rPr/>
        <w:t>J.</w:t>
      </w:r>
      <w:r>
        <w:rPr>
          <w:spacing w:val="-2"/>
        </w:rPr>
        <w:t> </w:t>
      </w:r>
      <w:r>
        <w:rPr/>
        <w:t>(1998).” Information</w:t>
      </w:r>
      <w:r>
        <w:rPr>
          <w:spacing w:val="-5"/>
        </w:rPr>
        <w:t> </w:t>
      </w:r>
      <w:r>
        <w:rPr/>
        <w:t>Profession</w:t>
      </w:r>
      <w:r>
        <w:rPr>
          <w:spacing w:val="-1"/>
        </w:rPr>
        <w:t> </w:t>
      </w:r>
      <w:r>
        <w:rPr/>
        <w:t>and</w:t>
      </w:r>
      <w:r>
        <w:rPr>
          <w:spacing w:val="-1"/>
        </w:rPr>
        <w:t> </w:t>
      </w:r>
      <w:r>
        <w:rPr/>
        <w:t>Vocational Education System.” in Tijanni, A. Zakari, M. and John, O. (1998) Ed. </w:t>
      </w:r>
      <w:r>
        <w:rPr>
          <w:u w:val="single"/>
        </w:rPr>
        <w:t>Issues in the</w:t>
      </w:r>
      <w:r>
        <w:rPr/>
        <w:t> </w:t>
      </w:r>
      <w:r>
        <w:rPr>
          <w:u w:val="single"/>
        </w:rPr>
        <w:t>Information</w:t>
      </w:r>
      <w:r>
        <w:rPr>
          <w:spacing w:val="-4"/>
          <w:u w:val="single"/>
        </w:rPr>
        <w:t> </w:t>
      </w:r>
      <w:r>
        <w:rPr>
          <w:u w:val="single"/>
        </w:rPr>
        <w:t>Profession:</w:t>
      </w:r>
      <w:r>
        <w:rPr>
          <w:spacing w:val="-3"/>
        </w:rPr>
        <w:t> </w:t>
      </w:r>
      <w:r>
        <w:rPr/>
        <w:t>Nigerian</w:t>
      </w:r>
      <w:r>
        <w:rPr>
          <w:spacing w:val="-4"/>
        </w:rPr>
        <w:t> </w:t>
      </w:r>
      <w:r>
        <w:rPr/>
        <w:t>Perspective.</w:t>
      </w:r>
      <w:r>
        <w:rPr>
          <w:spacing w:val="-9"/>
        </w:rPr>
        <w:t> </w:t>
      </w:r>
      <w:r>
        <w:rPr/>
        <w:t>(NALISE)</w:t>
      </w:r>
      <w:r>
        <w:rPr>
          <w:spacing w:val="-3"/>
        </w:rPr>
        <w:t> </w:t>
      </w:r>
      <w:r>
        <w:rPr/>
        <w:t>Dept</w:t>
      </w:r>
      <w:r>
        <w:rPr>
          <w:spacing w:val="-5"/>
        </w:rPr>
        <w:t> </w:t>
      </w:r>
      <w:r>
        <w:rPr/>
        <w:t>of</w:t>
      </w:r>
      <w:r>
        <w:rPr>
          <w:spacing w:val="-5"/>
        </w:rPr>
        <w:t> </w:t>
      </w:r>
      <w:r>
        <w:rPr/>
        <w:t>Library</w:t>
      </w:r>
      <w:r>
        <w:rPr>
          <w:spacing w:val="-5"/>
        </w:rPr>
        <w:t> </w:t>
      </w:r>
      <w:r>
        <w:rPr/>
        <w:t>Science, ABU, Zaria.</w:t>
      </w:r>
    </w:p>
    <w:p>
      <w:pPr>
        <w:pStyle w:val="BodyText"/>
        <w:spacing w:line="242" w:lineRule="auto" w:before="273"/>
        <w:ind w:left="1007" w:right="863" w:hanging="428"/>
      </w:pPr>
      <w:r>
        <w:rPr/>
        <w:t>Olabisi S.</w:t>
      </w:r>
      <w:r>
        <w:rPr>
          <w:spacing w:val="40"/>
        </w:rPr>
        <w:t> </w:t>
      </w:r>
      <w:r>
        <w:rPr/>
        <w:t>(1987).</w:t>
      </w:r>
      <w:r>
        <w:rPr>
          <w:spacing w:val="-1"/>
        </w:rPr>
        <w:t> </w:t>
      </w:r>
      <w:r>
        <w:rPr/>
        <w:t>“Feeding</w:t>
      </w:r>
      <w:r>
        <w:rPr>
          <w:spacing w:val="-1"/>
        </w:rPr>
        <w:t> </w:t>
      </w:r>
      <w:r>
        <w:rPr/>
        <w:t>with</w:t>
      </w:r>
      <w:r>
        <w:rPr>
          <w:spacing w:val="-1"/>
        </w:rPr>
        <w:t> </w:t>
      </w:r>
      <w:r>
        <w:rPr/>
        <w:t>Tears;</w:t>
      </w:r>
      <w:r>
        <w:rPr>
          <w:spacing w:val="-2"/>
        </w:rPr>
        <w:t> </w:t>
      </w:r>
      <w:r>
        <w:rPr/>
        <w:t>Days</w:t>
      </w:r>
      <w:r>
        <w:rPr>
          <w:spacing w:val="-7"/>
        </w:rPr>
        <w:t> </w:t>
      </w:r>
      <w:r>
        <w:rPr/>
        <w:t>of</w:t>
      </w:r>
      <w:r>
        <w:rPr>
          <w:spacing w:val="-2"/>
        </w:rPr>
        <w:t> </w:t>
      </w:r>
      <w:r>
        <w:rPr/>
        <w:t>balanced</w:t>
      </w:r>
      <w:r>
        <w:rPr>
          <w:spacing w:val="-5"/>
        </w:rPr>
        <w:t> </w:t>
      </w:r>
      <w:r>
        <w:rPr/>
        <w:t>diet</w:t>
      </w:r>
      <w:r>
        <w:rPr>
          <w:spacing w:val="-6"/>
        </w:rPr>
        <w:t> </w:t>
      </w:r>
      <w:r>
        <w:rPr/>
        <w:t>is</w:t>
      </w:r>
      <w:r>
        <w:rPr>
          <w:spacing w:val="-2"/>
        </w:rPr>
        <w:t> </w:t>
      </w:r>
      <w:r>
        <w:rPr/>
        <w:t>over</w:t>
      </w:r>
      <w:r>
        <w:rPr>
          <w:spacing w:val="-5"/>
        </w:rPr>
        <w:t> </w:t>
      </w:r>
      <w:r>
        <w:rPr/>
        <w:t>in</w:t>
      </w:r>
      <w:r>
        <w:rPr>
          <w:spacing w:val="-1"/>
        </w:rPr>
        <w:t> </w:t>
      </w:r>
      <w:r>
        <w:rPr/>
        <w:t>our versities.”</w:t>
      </w:r>
      <w:r>
        <w:rPr>
          <w:spacing w:val="40"/>
        </w:rPr>
        <w:t> </w:t>
      </w:r>
      <w:r>
        <w:rPr>
          <w:u w:val="single"/>
        </w:rPr>
        <w:t>Sunday Times</w:t>
      </w:r>
      <w:r>
        <w:rPr>
          <w:spacing w:val="40"/>
        </w:rPr>
        <w:t> </w:t>
      </w:r>
      <w:r>
        <w:rPr/>
        <w:t>March 29, 1987, Front Page.</w:t>
      </w:r>
    </w:p>
    <w:p>
      <w:pPr>
        <w:pStyle w:val="BodyText"/>
        <w:spacing w:before="273"/>
        <w:ind w:left="940" w:right="863" w:hanging="360"/>
      </w:pPr>
      <w:r>
        <w:rPr/>
        <w:t>Oladapo, I.O. (1987). “ Financial and Administrative Management of State Universities; Alternative sources of funding” </w:t>
      </w:r>
      <w:r>
        <w:rPr>
          <w:u w:val="single"/>
        </w:rPr>
        <w:t>Resource management in the</w:t>
      </w:r>
      <w:r>
        <w:rPr/>
        <w:t> </w:t>
      </w:r>
      <w:r>
        <w:rPr>
          <w:u w:val="single"/>
        </w:rPr>
        <w:t>University</w:t>
      </w:r>
      <w:r>
        <w:rPr>
          <w:spacing w:val="-5"/>
          <w:u w:val="single"/>
        </w:rPr>
        <w:t> </w:t>
      </w:r>
      <w:r>
        <w:rPr>
          <w:u w:val="single"/>
        </w:rPr>
        <w:t>System</w:t>
      </w:r>
      <w:r>
        <w:rPr>
          <w:spacing w:val="-11"/>
        </w:rPr>
        <w:t> </w:t>
      </w:r>
      <w:r>
        <w:rPr/>
        <w:t>International</w:t>
      </w:r>
      <w:r>
        <w:rPr>
          <w:spacing w:val="-2"/>
        </w:rPr>
        <w:t> </w:t>
      </w:r>
      <w:r>
        <w:rPr/>
        <w:t>Seminars</w:t>
      </w:r>
      <w:r>
        <w:rPr>
          <w:spacing w:val="-5"/>
        </w:rPr>
        <w:t> </w:t>
      </w:r>
      <w:r>
        <w:rPr/>
        <w:t>NUC/CVC/BC,</w:t>
      </w:r>
      <w:r>
        <w:rPr>
          <w:spacing w:val="-6"/>
        </w:rPr>
        <w:t> </w:t>
      </w:r>
      <w:r>
        <w:rPr/>
        <w:t>ABU,</w:t>
      </w:r>
      <w:r>
        <w:rPr>
          <w:spacing w:val="-5"/>
        </w:rPr>
        <w:t> </w:t>
      </w:r>
      <w:r>
        <w:rPr/>
        <w:t>Zaria.</w:t>
      </w:r>
      <w:r>
        <w:rPr>
          <w:spacing w:val="-6"/>
        </w:rPr>
        <w:t> </w:t>
      </w:r>
      <w:r>
        <w:rPr/>
        <w:t>1987</w:t>
      </w:r>
    </w:p>
    <w:p>
      <w:pPr>
        <w:pStyle w:val="BodyText"/>
        <w:spacing w:before="2"/>
      </w:pPr>
    </w:p>
    <w:p>
      <w:pPr>
        <w:pStyle w:val="BodyText"/>
        <w:spacing w:line="237" w:lineRule="auto" w:before="1"/>
        <w:ind w:left="940" w:right="863" w:hanging="360"/>
      </w:pPr>
      <w:r>
        <w:rPr/>
        <w:t>Oladipupo,</w:t>
      </w:r>
      <w:r>
        <w:rPr>
          <w:spacing w:val="-3"/>
        </w:rPr>
        <w:t> </w:t>
      </w:r>
      <w:r>
        <w:rPr/>
        <w:t>K.J</w:t>
      </w:r>
      <w:r>
        <w:rPr>
          <w:spacing w:val="-8"/>
        </w:rPr>
        <w:t> </w:t>
      </w:r>
      <w:r>
        <w:rPr/>
        <w:t>(1981).</w:t>
      </w:r>
      <w:r>
        <w:rPr>
          <w:spacing w:val="40"/>
        </w:rPr>
        <w:t> </w:t>
      </w:r>
      <w:r>
        <w:rPr/>
        <w:t>Recommendations</w:t>
      </w:r>
      <w:r>
        <w:rPr>
          <w:spacing w:val="-8"/>
        </w:rPr>
        <w:t> </w:t>
      </w:r>
      <w:r>
        <w:rPr/>
        <w:t>on</w:t>
      </w:r>
      <w:r>
        <w:rPr>
          <w:spacing w:val="-6"/>
        </w:rPr>
        <w:t> </w:t>
      </w:r>
      <w:r>
        <w:rPr/>
        <w:t>1981</w:t>
      </w:r>
      <w:r>
        <w:rPr>
          <w:spacing w:val="-2"/>
        </w:rPr>
        <w:t> </w:t>
      </w:r>
      <w:r>
        <w:rPr/>
        <w:t>students</w:t>
      </w:r>
      <w:r>
        <w:rPr>
          <w:spacing w:val="-3"/>
        </w:rPr>
        <w:t> </w:t>
      </w:r>
      <w:r>
        <w:rPr/>
        <w:t>unrest</w:t>
      </w:r>
      <w:r>
        <w:rPr>
          <w:spacing w:val="-7"/>
        </w:rPr>
        <w:t> </w:t>
      </w:r>
      <w:r>
        <w:rPr/>
        <w:t>in</w:t>
      </w:r>
      <w:r>
        <w:rPr>
          <w:spacing w:val="-6"/>
        </w:rPr>
        <w:t> </w:t>
      </w:r>
      <w:r>
        <w:rPr/>
        <w:t>ABU., </w:t>
      </w:r>
      <w:r>
        <w:rPr>
          <w:spacing w:val="-2"/>
        </w:rPr>
        <w:t>Zaria.</w:t>
      </w:r>
    </w:p>
    <w:p>
      <w:pPr>
        <w:pStyle w:val="BodyText"/>
      </w:pPr>
    </w:p>
    <w:p>
      <w:pPr>
        <w:pStyle w:val="BodyText"/>
        <w:spacing w:line="242" w:lineRule="auto" w:before="1"/>
        <w:ind w:left="940" w:right="299" w:hanging="360"/>
      </w:pPr>
      <w:r>
        <w:rPr/>
        <w:t>Oladipo,</w:t>
      </w:r>
      <w:r>
        <w:rPr>
          <w:spacing w:val="-3"/>
        </w:rPr>
        <w:t> </w:t>
      </w:r>
      <w:r>
        <w:rPr/>
        <w:t>O.</w:t>
      </w:r>
      <w:r>
        <w:rPr>
          <w:spacing w:val="-7"/>
        </w:rPr>
        <w:t> </w:t>
      </w:r>
      <w:r>
        <w:rPr/>
        <w:t>(1996).</w:t>
      </w:r>
      <w:r>
        <w:rPr>
          <w:spacing w:val="40"/>
        </w:rPr>
        <w:t> </w:t>
      </w:r>
      <w:r>
        <w:rPr/>
        <w:t>‘Students</w:t>
      </w:r>
      <w:r>
        <w:rPr>
          <w:spacing w:val="-3"/>
        </w:rPr>
        <w:t> </w:t>
      </w:r>
      <w:r>
        <w:rPr/>
        <w:t>welfare</w:t>
      </w:r>
      <w:r>
        <w:rPr>
          <w:spacing w:val="-6"/>
        </w:rPr>
        <w:t> </w:t>
      </w:r>
      <w:r>
        <w:rPr/>
        <w:t>issues</w:t>
      </w:r>
      <w:r>
        <w:rPr>
          <w:spacing w:val="-8"/>
        </w:rPr>
        <w:t> </w:t>
      </w:r>
      <w:r>
        <w:rPr/>
        <w:t>and</w:t>
      </w:r>
      <w:r>
        <w:rPr>
          <w:spacing w:val="-2"/>
        </w:rPr>
        <w:t> </w:t>
      </w:r>
      <w:r>
        <w:rPr/>
        <w:t>prospects.</w:t>
      </w:r>
      <w:r>
        <w:rPr>
          <w:spacing w:val="40"/>
        </w:rPr>
        <w:t> </w:t>
      </w:r>
      <w:r>
        <w:rPr/>
        <w:t>Student</w:t>
      </w:r>
      <w:r>
        <w:rPr>
          <w:spacing w:val="-3"/>
        </w:rPr>
        <w:t> </w:t>
      </w:r>
      <w:r>
        <w:rPr/>
        <w:t>union,</w:t>
      </w:r>
      <w:r>
        <w:rPr>
          <w:spacing w:val="-3"/>
        </w:rPr>
        <w:t> </w:t>
      </w:r>
      <w:r>
        <w:rPr/>
        <w:t>ABU., </w:t>
      </w:r>
      <w:r>
        <w:rPr>
          <w:spacing w:val="-2"/>
        </w:rPr>
        <w:t>1996.</w:t>
      </w:r>
    </w:p>
    <w:p>
      <w:pPr>
        <w:pStyle w:val="BodyText"/>
        <w:spacing w:line="237" w:lineRule="auto" w:before="275"/>
        <w:ind w:left="940" w:right="1081" w:hanging="360"/>
      </w:pPr>
      <w:r>
        <w:rPr/>
        <w:t>Olusegun,</w:t>
      </w:r>
      <w:r>
        <w:rPr>
          <w:spacing w:val="-1"/>
        </w:rPr>
        <w:t> </w:t>
      </w:r>
      <w:r>
        <w:rPr/>
        <w:t>C.</w:t>
      </w:r>
      <w:r>
        <w:rPr>
          <w:spacing w:val="-5"/>
        </w:rPr>
        <w:t> </w:t>
      </w:r>
      <w:r>
        <w:rPr/>
        <w:t>(1987).</w:t>
      </w:r>
      <w:r>
        <w:rPr>
          <w:spacing w:val="40"/>
        </w:rPr>
        <w:t> </w:t>
      </w:r>
      <w:r>
        <w:rPr/>
        <w:t>“Feeding with</w:t>
      </w:r>
      <w:r>
        <w:rPr>
          <w:spacing w:val="-4"/>
        </w:rPr>
        <w:t> </w:t>
      </w:r>
      <w:r>
        <w:rPr/>
        <w:t>Tears;</w:t>
      </w:r>
      <w:r>
        <w:rPr>
          <w:spacing w:val="-5"/>
        </w:rPr>
        <w:t> </w:t>
      </w:r>
      <w:r>
        <w:rPr/>
        <w:t>Days</w:t>
      </w:r>
      <w:r>
        <w:rPr>
          <w:spacing w:val="-1"/>
        </w:rPr>
        <w:t> </w:t>
      </w:r>
      <w:r>
        <w:rPr/>
        <w:t>of</w:t>
      </w:r>
      <w:r>
        <w:rPr>
          <w:spacing w:val="-1"/>
        </w:rPr>
        <w:t> </w:t>
      </w:r>
      <w:r>
        <w:rPr/>
        <w:t>balanced diet</w:t>
      </w:r>
      <w:r>
        <w:rPr>
          <w:spacing w:val="-5"/>
        </w:rPr>
        <w:t> </w:t>
      </w:r>
      <w:r>
        <w:rPr/>
        <w:t>is</w:t>
      </w:r>
      <w:r>
        <w:rPr>
          <w:spacing w:val="-6"/>
        </w:rPr>
        <w:t> </w:t>
      </w:r>
      <w:r>
        <w:rPr/>
        <w:t>over</w:t>
      </w:r>
      <w:r>
        <w:rPr>
          <w:spacing w:val="-4"/>
        </w:rPr>
        <w:t> </w:t>
      </w:r>
      <w:r>
        <w:rPr/>
        <w:t>in our versities.”</w:t>
      </w:r>
      <w:r>
        <w:rPr>
          <w:spacing w:val="40"/>
        </w:rPr>
        <w:t> </w:t>
      </w:r>
      <w:r>
        <w:rPr>
          <w:u w:val="single"/>
        </w:rPr>
        <w:t>Sunday Times</w:t>
      </w:r>
      <w:r>
        <w:rPr/>
        <w:t> March 29, 1987, p. 3</w:t>
      </w:r>
    </w:p>
    <w:p>
      <w:pPr>
        <w:pStyle w:val="BodyText"/>
      </w:pPr>
    </w:p>
    <w:p>
      <w:pPr>
        <w:pStyle w:val="BodyText"/>
        <w:spacing w:before="1"/>
        <w:ind w:left="580"/>
      </w:pPr>
      <w:r>
        <w:rPr/>
        <w:t>Oni,</w:t>
      </w:r>
      <w:r>
        <w:rPr>
          <w:spacing w:val="-8"/>
        </w:rPr>
        <w:t> </w:t>
      </w:r>
      <w:r>
        <w:rPr/>
        <w:t>S.B.</w:t>
      </w:r>
      <w:r>
        <w:rPr>
          <w:spacing w:val="48"/>
        </w:rPr>
        <w:t> </w:t>
      </w:r>
      <w:r>
        <w:rPr/>
        <w:t>(1999</w:t>
      </w:r>
      <w:r>
        <w:rPr>
          <w:spacing w:val="-10"/>
        </w:rPr>
        <w:t> </w:t>
      </w:r>
      <w:r>
        <w:rPr/>
        <w:t>ed).</w:t>
      </w:r>
      <w:r>
        <w:rPr>
          <w:spacing w:val="-7"/>
        </w:rPr>
        <w:t> </w:t>
      </w:r>
      <w:r>
        <w:rPr>
          <w:u w:val="single"/>
        </w:rPr>
        <w:t>Policies</w:t>
      </w:r>
      <w:r>
        <w:rPr>
          <w:spacing w:val="-7"/>
          <w:u w:val="single"/>
        </w:rPr>
        <w:t> </w:t>
      </w:r>
      <w:r>
        <w:rPr>
          <w:u w:val="single"/>
        </w:rPr>
        <w:t>and</w:t>
      </w:r>
      <w:r>
        <w:rPr>
          <w:spacing w:val="-7"/>
          <w:u w:val="single"/>
        </w:rPr>
        <w:t> </w:t>
      </w:r>
      <w:r>
        <w:rPr>
          <w:u w:val="single"/>
        </w:rPr>
        <w:t>Strategies</w:t>
      </w:r>
      <w:r>
        <w:rPr>
          <w:spacing w:val="-7"/>
          <w:u w:val="single"/>
        </w:rPr>
        <w:t> </w:t>
      </w:r>
      <w:r>
        <w:rPr>
          <w:u w:val="single"/>
        </w:rPr>
        <w:t>for</w:t>
      </w:r>
      <w:r>
        <w:rPr>
          <w:spacing w:val="-6"/>
          <w:u w:val="single"/>
        </w:rPr>
        <w:t> </w:t>
      </w:r>
      <w:r>
        <w:rPr>
          <w:u w:val="single"/>
        </w:rPr>
        <w:t>Sustainable</w:t>
      </w:r>
      <w:r>
        <w:rPr>
          <w:spacing w:val="-10"/>
          <w:u w:val="single"/>
        </w:rPr>
        <w:t> </w:t>
      </w:r>
      <w:r>
        <w:rPr>
          <w:u w:val="single"/>
        </w:rPr>
        <w:t>Development</w:t>
      </w:r>
      <w:r>
        <w:rPr>
          <w:spacing w:val="-7"/>
          <w:u w:val="single"/>
        </w:rPr>
        <w:t> </w:t>
      </w:r>
      <w:r>
        <w:rPr>
          <w:spacing w:val="-5"/>
          <w:u w:val="single"/>
        </w:rPr>
        <w:t>In</w:t>
      </w:r>
    </w:p>
    <w:p>
      <w:pPr>
        <w:pStyle w:val="BodyText"/>
        <w:spacing w:line="237" w:lineRule="auto" w:before="4"/>
        <w:ind w:left="940" w:right="301"/>
      </w:pPr>
      <w:r>
        <w:rPr>
          <w:u w:val="single"/>
        </w:rPr>
        <w:t>Africa South of Sahara</w:t>
      </w:r>
      <w:r>
        <w:rPr/>
        <w:t>: Society for International Development, Page 999, Isola</w:t>
      </w:r>
      <w:r>
        <w:rPr>
          <w:spacing w:val="40"/>
        </w:rPr>
        <w:t> </w:t>
      </w:r>
      <w:r>
        <w:rPr/>
        <w:t>Ola &amp; Sons, Sabon Gari Zaria.</w:t>
      </w:r>
    </w:p>
    <w:p>
      <w:pPr>
        <w:pStyle w:val="BodyText"/>
        <w:spacing w:before="1"/>
      </w:pPr>
    </w:p>
    <w:p>
      <w:pPr>
        <w:pStyle w:val="BodyText"/>
        <w:ind w:left="940" w:right="301" w:hanging="360"/>
      </w:pPr>
      <w:r>
        <w:rPr/>
        <w:t>Otu, D.O. (1984). Role Perception of Principals and Teachers of Secondary Grammar Schools in Kwara State of Nigeria. Ph.D Thesis, Faculty of Education, Ahmadu Bello University, Zaria.</w:t>
      </w:r>
    </w:p>
    <w:p>
      <w:pPr>
        <w:pStyle w:val="BodyText"/>
      </w:pPr>
    </w:p>
    <w:p>
      <w:pPr>
        <w:pStyle w:val="BodyText"/>
        <w:spacing w:line="242" w:lineRule="auto"/>
        <w:ind w:left="940" w:right="863" w:hanging="360"/>
      </w:pPr>
      <w:r>
        <w:rPr/>
        <w:t>Ovwigho,</w:t>
      </w:r>
      <w:r>
        <w:rPr>
          <w:spacing w:val="-4"/>
        </w:rPr>
        <w:t> </w:t>
      </w:r>
      <w:r>
        <w:rPr/>
        <w:t>G.M.</w:t>
      </w:r>
      <w:r>
        <w:rPr>
          <w:spacing w:val="-4"/>
        </w:rPr>
        <w:t> </w:t>
      </w:r>
      <w:r>
        <w:rPr/>
        <w:t>(1985).</w:t>
      </w:r>
      <w:r>
        <w:rPr>
          <w:spacing w:val="40"/>
        </w:rPr>
        <w:t> </w:t>
      </w:r>
      <w:r>
        <w:rPr/>
        <w:t>“Conflict</w:t>
      </w:r>
      <w:r>
        <w:rPr>
          <w:spacing w:val="-4"/>
        </w:rPr>
        <w:t> </w:t>
      </w:r>
      <w:r>
        <w:rPr/>
        <w:t>Management</w:t>
      </w:r>
      <w:r>
        <w:rPr>
          <w:spacing w:val="-4"/>
        </w:rPr>
        <w:t> </w:t>
      </w:r>
      <w:r>
        <w:rPr/>
        <w:t>in</w:t>
      </w:r>
      <w:r>
        <w:rPr>
          <w:spacing w:val="-3"/>
        </w:rPr>
        <w:t> </w:t>
      </w:r>
      <w:r>
        <w:rPr/>
        <w:t>Nigerian</w:t>
      </w:r>
      <w:r>
        <w:rPr>
          <w:spacing w:val="-3"/>
        </w:rPr>
        <w:t> </w:t>
      </w:r>
      <w:r>
        <w:rPr/>
        <w:t>Universities.”</w:t>
      </w:r>
      <w:r>
        <w:rPr>
          <w:spacing w:val="40"/>
        </w:rPr>
        <w:t> </w:t>
      </w:r>
      <w:r>
        <w:rPr/>
        <w:t>Ph.D Thesis, Faculty of Education, 1985, A.B.U., Zaria.</w:t>
      </w:r>
    </w:p>
    <w:p>
      <w:pPr>
        <w:pStyle w:val="BodyText"/>
        <w:spacing w:line="237" w:lineRule="auto" w:before="276"/>
        <w:ind w:left="940" w:hanging="360"/>
      </w:pPr>
      <w:r>
        <w:rPr/>
        <w:t>Phillip, .A. and Patti Mc P. (1999).</w:t>
      </w:r>
      <w:r>
        <w:rPr>
          <w:spacing w:val="40"/>
        </w:rPr>
        <w:t> </w:t>
      </w:r>
      <w:r>
        <w:rPr/>
        <w:t>Higher Education in the 21</w:t>
      </w:r>
      <w:r>
        <w:rPr>
          <w:vertAlign w:val="superscript"/>
        </w:rPr>
        <w:t>st</w:t>
      </w:r>
      <w:r>
        <w:rPr>
          <w:vertAlign w:val="baseline"/>
        </w:rPr>
        <w:t> Century: Global Challenge</w:t>
      </w:r>
      <w:r>
        <w:rPr>
          <w:spacing w:val="-3"/>
          <w:vertAlign w:val="baseline"/>
        </w:rPr>
        <w:t> </w:t>
      </w:r>
      <w:r>
        <w:rPr>
          <w:vertAlign w:val="baseline"/>
        </w:rPr>
        <w:t>and</w:t>
      </w:r>
      <w:r>
        <w:rPr>
          <w:spacing w:val="-3"/>
          <w:vertAlign w:val="baseline"/>
        </w:rPr>
        <w:t> </w:t>
      </w:r>
      <w:r>
        <w:rPr>
          <w:vertAlign w:val="baseline"/>
        </w:rPr>
        <w:t>National Response.</w:t>
      </w:r>
      <w:r>
        <w:rPr>
          <w:spacing w:val="40"/>
          <w:vertAlign w:val="baseline"/>
        </w:rPr>
        <w:t> </w:t>
      </w:r>
      <w:r>
        <w:rPr>
          <w:vertAlign w:val="baseline"/>
        </w:rPr>
        <w:t>11E</w:t>
      </w:r>
      <w:r>
        <w:rPr>
          <w:spacing w:val="-5"/>
          <w:vertAlign w:val="baseline"/>
        </w:rPr>
        <w:t> </w:t>
      </w:r>
      <w:r>
        <w:rPr>
          <w:vertAlign w:val="baseline"/>
        </w:rPr>
        <w:t>Research</w:t>
      </w:r>
      <w:r>
        <w:rPr>
          <w:spacing w:val="-3"/>
          <w:vertAlign w:val="baseline"/>
        </w:rPr>
        <w:t> </w:t>
      </w:r>
      <w:r>
        <w:rPr>
          <w:vertAlign w:val="baseline"/>
        </w:rPr>
        <w:t>Report</w:t>
      </w:r>
      <w:r>
        <w:rPr>
          <w:spacing w:val="-4"/>
          <w:vertAlign w:val="baseline"/>
        </w:rPr>
        <w:t> </w:t>
      </w:r>
      <w:r>
        <w:rPr>
          <w:vertAlign w:val="baseline"/>
        </w:rPr>
        <w:t>No.</w:t>
      </w:r>
      <w:r>
        <w:rPr>
          <w:spacing w:val="-4"/>
          <w:vertAlign w:val="baseline"/>
        </w:rPr>
        <w:t> </w:t>
      </w:r>
      <w:r>
        <w:rPr>
          <w:vertAlign w:val="baseline"/>
        </w:rPr>
        <w:t>29,</w:t>
      </w:r>
      <w:r>
        <w:rPr>
          <w:spacing w:val="-4"/>
          <w:vertAlign w:val="baseline"/>
        </w:rPr>
        <w:t> </w:t>
      </w:r>
      <w:r>
        <w:rPr>
          <w:vertAlign w:val="baseline"/>
        </w:rPr>
        <w:t>1999,</w:t>
      </w:r>
      <w:r>
        <w:rPr>
          <w:spacing w:val="-4"/>
          <w:vertAlign w:val="baseline"/>
        </w:rPr>
        <w:t> </w:t>
      </w:r>
      <w:r>
        <w:rPr>
          <w:vertAlign w:val="baseline"/>
        </w:rPr>
        <w:t>Boston.</w:t>
      </w:r>
    </w:p>
    <w:p>
      <w:pPr>
        <w:pStyle w:val="BodyText"/>
      </w:pPr>
    </w:p>
    <w:p>
      <w:pPr>
        <w:pStyle w:val="BodyText"/>
        <w:tabs>
          <w:tab w:pos="2720" w:val="left" w:leader="none"/>
          <w:tab w:pos="6742" w:val="left" w:leader="none"/>
        </w:tabs>
        <w:ind w:left="940" w:right="296" w:hanging="360"/>
      </w:pPr>
      <w:r>
        <w:rPr/>
        <w:t>Powell, G.N. &amp; Butterfield, D.A. (1978).</w:t>
      </w:r>
      <w:r>
        <w:rPr>
          <w:spacing w:val="40"/>
        </w:rPr>
        <w:t> </w:t>
      </w:r>
      <w:r>
        <w:rPr/>
        <w:t>‘A case for sub-systems climate in </w:t>
      </w:r>
      <w:r>
        <w:rPr>
          <w:spacing w:val="-2"/>
        </w:rPr>
        <w:t>organizations.’</w:t>
      </w:r>
      <w:r>
        <w:rPr/>
        <w:tab/>
      </w:r>
      <w:r>
        <w:rPr>
          <w:u w:val="single"/>
        </w:rPr>
        <w:t>Academy</w:t>
      </w:r>
      <w:r>
        <w:rPr>
          <w:spacing w:val="40"/>
          <w:u w:val="single"/>
        </w:rPr>
        <w:t> </w:t>
      </w:r>
      <w:r>
        <w:rPr>
          <w:u w:val="single"/>
        </w:rPr>
        <w:t>of</w:t>
      </w:r>
      <w:r>
        <w:rPr>
          <w:spacing w:val="40"/>
          <w:u w:val="single"/>
        </w:rPr>
        <w:t> </w:t>
      </w:r>
      <w:r>
        <w:rPr>
          <w:u w:val="single"/>
        </w:rPr>
        <w:t>Management</w:t>
      </w:r>
      <w:r>
        <w:rPr>
          <w:spacing w:val="40"/>
          <w:u w:val="single"/>
        </w:rPr>
        <w:t> </w:t>
      </w:r>
      <w:r>
        <w:rPr>
          <w:u w:val="single"/>
        </w:rPr>
        <w:t>Review</w:t>
      </w:r>
      <w:r>
        <w:rPr/>
        <w:t>.</w:t>
        <w:tab/>
        <w:t>P.</w:t>
      </w:r>
      <w:r>
        <w:rPr>
          <w:spacing w:val="40"/>
        </w:rPr>
        <w:t> </w:t>
      </w:r>
      <w:r>
        <w:rPr/>
        <w:t>151</w:t>
      </w:r>
      <w:r>
        <w:rPr>
          <w:spacing w:val="37"/>
        </w:rPr>
        <w:t> </w:t>
      </w:r>
      <w:r>
        <w:rPr/>
        <w:t>–</w:t>
      </w:r>
      <w:r>
        <w:rPr>
          <w:spacing w:val="40"/>
        </w:rPr>
        <w:t> </w:t>
      </w:r>
      <w:r>
        <w:rPr/>
        <w:t>154.</w:t>
      </w:r>
      <w:r>
        <w:rPr>
          <w:spacing w:val="40"/>
        </w:rPr>
        <w:t> </w:t>
      </w:r>
      <w:r>
        <w:rPr/>
        <w:t>London</w:t>
      </w:r>
      <w:r>
        <w:rPr>
          <w:spacing w:val="40"/>
        </w:rPr>
        <w:t> </w:t>
      </w:r>
      <w:r>
        <w:rPr/>
        <w:t>U. Press, London.</w:t>
      </w:r>
    </w:p>
    <w:p>
      <w:pPr>
        <w:spacing w:after="0"/>
        <w:sectPr>
          <w:headerReference w:type="default" r:id="rId594"/>
          <w:footerReference w:type="default" r:id="rId595"/>
          <w:pgSz w:w="12240" w:h="15840"/>
          <w:pgMar w:header="722" w:footer="623" w:top="980" w:bottom="820" w:left="1220" w:right="1140"/>
        </w:sectPr>
      </w:pPr>
    </w:p>
    <w:p>
      <w:pPr>
        <w:pStyle w:val="BodyText"/>
        <w:spacing w:before="171"/>
      </w:pPr>
    </w:p>
    <w:p>
      <w:pPr>
        <w:pStyle w:val="BodyText"/>
        <w:spacing w:line="275" w:lineRule="exact"/>
        <w:ind w:left="580"/>
      </w:pPr>
      <w:r>
        <w:rPr/>
        <w:t>Rebecca,</w:t>
      </w:r>
      <w:r>
        <w:rPr>
          <w:spacing w:val="-6"/>
        </w:rPr>
        <w:t> </w:t>
      </w:r>
      <w:r>
        <w:rPr/>
        <w:t>E.</w:t>
      </w:r>
      <w:r>
        <w:rPr>
          <w:spacing w:val="-6"/>
        </w:rPr>
        <w:t> </w:t>
      </w:r>
      <w:r>
        <w:rPr/>
        <w:t>(1983).</w:t>
      </w:r>
      <w:r>
        <w:rPr>
          <w:spacing w:val="50"/>
        </w:rPr>
        <w:t> </w:t>
      </w:r>
      <w:r>
        <w:rPr/>
        <w:t>‘ABU</w:t>
      </w:r>
      <w:r>
        <w:rPr>
          <w:spacing w:val="-5"/>
        </w:rPr>
        <w:t> </w:t>
      </w:r>
      <w:r>
        <w:rPr/>
        <w:t>students</w:t>
      </w:r>
      <w:r>
        <w:rPr>
          <w:spacing w:val="-6"/>
        </w:rPr>
        <w:t> </w:t>
      </w:r>
      <w:r>
        <w:rPr/>
        <w:t>Go</w:t>
      </w:r>
      <w:r>
        <w:rPr>
          <w:spacing w:val="-5"/>
        </w:rPr>
        <w:t> </w:t>
      </w:r>
      <w:r>
        <w:rPr/>
        <w:t>tough.’</w:t>
      </w:r>
      <w:r>
        <w:rPr>
          <w:spacing w:val="55"/>
        </w:rPr>
        <w:t> </w:t>
      </w:r>
      <w:r>
        <w:rPr>
          <w:u w:val="single"/>
        </w:rPr>
        <w:t>Nigerian</w:t>
      </w:r>
      <w:r>
        <w:rPr>
          <w:spacing w:val="-5"/>
          <w:u w:val="single"/>
        </w:rPr>
        <w:t> </w:t>
      </w:r>
      <w:r>
        <w:rPr>
          <w:u w:val="single"/>
        </w:rPr>
        <w:t>Herald</w:t>
      </w:r>
      <w:r>
        <w:rPr/>
        <w:t>,</w:t>
      </w:r>
      <w:r>
        <w:rPr>
          <w:spacing w:val="-6"/>
        </w:rPr>
        <w:t> </w:t>
      </w:r>
      <w:r>
        <w:rPr/>
        <w:t>June</w:t>
      </w:r>
      <w:r>
        <w:rPr>
          <w:spacing w:val="-5"/>
        </w:rPr>
        <w:t> </w:t>
      </w:r>
      <w:r>
        <w:rPr/>
        <w:t>27,</w:t>
      </w:r>
      <w:r>
        <w:rPr>
          <w:spacing w:val="-9"/>
        </w:rPr>
        <w:t> </w:t>
      </w:r>
      <w:r>
        <w:rPr/>
        <w:t>1983,</w:t>
      </w:r>
      <w:r>
        <w:rPr>
          <w:spacing w:val="-10"/>
        </w:rPr>
        <w:t> </w:t>
      </w:r>
      <w:r>
        <w:rPr>
          <w:spacing w:val="-5"/>
        </w:rPr>
        <w:t>p.</w:t>
      </w:r>
    </w:p>
    <w:p>
      <w:pPr>
        <w:pStyle w:val="BodyText"/>
        <w:spacing w:line="275" w:lineRule="exact"/>
        <w:ind w:left="940"/>
      </w:pPr>
      <w:r>
        <w:rPr>
          <w:spacing w:val="-5"/>
        </w:rPr>
        <w:t>4.</w:t>
      </w:r>
    </w:p>
    <w:p>
      <w:pPr>
        <w:pStyle w:val="BodyText"/>
      </w:pPr>
    </w:p>
    <w:p>
      <w:pPr>
        <w:pStyle w:val="BodyText"/>
        <w:spacing w:line="242" w:lineRule="auto" w:before="1"/>
        <w:ind w:left="940" w:right="863" w:hanging="360"/>
      </w:pPr>
      <w:r>
        <w:rPr/>
        <w:t>Sackeyfio,</w:t>
      </w:r>
      <w:r>
        <w:rPr>
          <w:spacing w:val="-3"/>
        </w:rPr>
        <w:t> </w:t>
      </w:r>
      <w:r>
        <w:rPr/>
        <w:t>R.A.</w:t>
      </w:r>
      <w:r>
        <w:rPr>
          <w:spacing w:val="-7"/>
        </w:rPr>
        <w:t> </w:t>
      </w:r>
      <w:r>
        <w:rPr/>
        <w:t>(1991).</w:t>
      </w:r>
      <w:r>
        <w:rPr>
          <w:spacing w:val="40"/>
        </w:rPr>
        <w:t> </w:t>
      </w:r>
      <w:r>
        <w:rPr/>
        <w:t>“A</w:t>
      </w:r>
      <w:r>
        <w:rPr>
          <w:spacing w:val="-4"/>
        </w:rPr>
        <w:t> </w:t>
      </w:r>
      <w:r>
        <w:rPr/>
        <w:t>study</w:t>
      </w:r>
      <w:r>
        <w:rPr>
          <w:spacing w:val="-3"/>
        </w:rPr>
        <w:t> </w:t>
      </w:r>
      <w:r>
        <w:rPr/>
        <w:t>of</w:t>
      </w:r>
      <w:r>
        <w:rPr>
          <w:spacing w:val="-3"/>
        </w:rPr>
        <w:t> </w:t>
      </w:r>
      <w:r>
        <w:rPr/>
        <w:t>the</w:t>
      </w:r>
      <w:r>
        <w:rPr>
          <w:spacing w:val="-2"/>
        </w:rPr>
        <w:t> </w:t>
      </w:r>
      <w:r>
        <w:rPr/>
        <w:t>organizational culture</w:t>
      </w:r>
      <w:r>
        <w:rPr>
          <w:spacing w:val="-2"/>
        </w:rPr>
        <w:t> </w:t>
      </w:r>
      <w:r>
        <w:rPr/>
        <w:t>of</w:t>
      </w:r>
      <w:r>
        <w:rPr>
          <w:spacing w:val="-3"/>
        </w:rPr>
        <w:t> </w:t>
      </w:r>
      <w:r>
        <w:rPr/>
        <w:t>Ahmadu</w:t>
      </w:r>
      <w:r>
        <w:rPr>
          <w:spacing w:val="-2"/>
        </w:rPr>
        <w:t> </w:t>
      </w:r>
      <w:r>
        <w:rPr/>
        <w:t>Bello University.”</w:t>
      </w:r>
      <w:r>
        <w:rPr>
          <w:spacing w:val="40"/>
        </w:rPr>
        <w:t> </w:t>
      </w:r>
      <w:r>
        <w:rPr/>
        <w:t>M.Ed. Thesis, Faculty of Education, A.B.U., Zaria.</w:t>
      </w:r>
    </w:p>
    <w:p>
      <w:pPr>
        <w:pStyle w:val="BodyText"/>
        <w:spacing w:line="237" w:lineRule="auto" w:before="275"/>
        <w:ind w:left="940" w:hanging="360"/>
      </w:pPr>
      <w:r>
        <w:rPr/>
        <w:t>Salihu,</w:t>
      </w:r>
      <w:r>
        <w:rPr>
          <w:spacing w:val="-3"/>
        </w:rPr>
        <w:t> </w:t>
      </w:r>
      <w:r>
        <w:rPr/>
        <w:t>Moh’d.</w:t>
      </w:r>
      <w:r>
        <w:rPr>
          <w:spacing w:val="-6"/>
        </w:rPr>
        <w:t> </w:t>
      </w:r>
      <w:r>
        <w:rPr/>
        <w:t>(1975).</w:t>
      </w:r>
      <w:r>
        <w:rPr>
          <w:spacing w:val="40"/>
        </w:rPr>
        <w:t> </w:t>
      </w:r>
      <w:r>
        <w:rPr/>
        <w:t>“A</w:t>
      </w:r>
      <w:r>
        <w:rPr>
          <w:spacing w:val="-4"/>
        </w:rPr>
        <w:t> </w:t>
      </w:r>
      <w:r>
        <w:rPr/>
        <w:t>Study</w:t>
      </w:r>
      <w:r>
        <w:rPr>
          <w:spacing w:val="-7"/>
        </w:rPr>
        <w:t> </w:t>
      </w:r>
      <w:r>
        <w:rPr/>
        <w:t>of</w:t>
      </w:r>
      <w:r>
        <w:rPr>
          <w:spacing w:val="-3"/>
        </w:rPr>
        <w:t> </w:t>
      </w:r>
      <w:r>
        <w:rPr/>
        <w:t>the</w:t>
      </w:r>
      <w:r>
        <w:rPr>
          <w:spacing w:val="-6"/>
        </w:rPr>
        <w:t> </w:t>
      </w:r>
      <w:r>
        <w:rPr/>
        <w:t>Administrative Functions</w:t>
      </w:r>
      <w:r>
        <w:rPr>
          <w:spacing w:val="-7"/>
        </w:rPr>
        <w:t> </w:t>
      </w:r>
      <w:r>
        <w:rPr/>
        <w:t>of</w:t>
      </w:r>
      <w:r>
        <w:rPr>
          <w:spacing w:val="-3"/>
        </w:rPr>
        <w:t> </w:t>
      </w:r>
      <w:r>
        <w:rPr/>
        <w:t>Ahmadu</w:t>
      </w:r>
      <w:r>
        <w:rPr>
          <w:spacing w:val="-2"/>
        </w:rPr>
        <w:t> </w:t>
      </w:r>
      <w:r>
        <w:rPr/>
        <w:t>Bello University.”</w:t>
      </w:r>
      <w:r>
        <w:rPr>
          <w:spacing w:val="40"/>
        </w:rPr>
        <w:t> </w:t>
      </w:r>
      <w:r>
        <w:rPr/>
        <w:t>M.Ed Thesis.</w:t>
      </w:r>
      <w:r>
        <w:rPr>
          <w:spacing w:val="40"/>
        </w:rPr>
        <w:t> </w:t>
      </w:r>
      <w:r>
        <w:rPr/>
        <w:t>Faculty of Education, A.B.U., Zaria.</w:t>
      </w:r>
    </w:p>
    <w:p>
      <w:pPr>
        <w:pStyle w:val="BodyText"/>
      </w:pPr>
    </w:p>
    <w:p>
      <w:pPr>
        <w:pStyle w:val="BodyText"/>
        <w:spacing w:before="1"/>
        <w:ind w:left="940" w:hanging="360"/>
      </w:pPr>
      <w:r>
        <w:rPr/>
        <w:t>Sani, H. (1999).</w:t>
      </w:r>
      <w:r>
        <w:rPr>
          <w:spacing w:val="40"/>
        </w:rPr>
        <w:t> </w:t>
      </w:r>
      <w:r>
        <w:rPr/>
        <w:t>“The Management of Primary Education in the Northern States of Nigeria: 1976 –</w:t>
      </w:r>
      <w:r>
        <w:rPr>
          <w:spacing w:val="-3"/>
        </w:rPr>
        <w:t> </w:t>
      </w:r>
      <w:r>
        <w:rPr/>
        <w:t>1998.”</w:t>
      </w:r>
      <w:r>
        <w:rPr>
          <w:spacing w:val="40"/>
        </w:rPr>
        <w:t> </w:t>
      </w:r>
      <w:r>
        <w:rPr/>
        <w:t>Postgraduate seminar</w:t>
      </w:r>
      <w:r>
        <w:rPr>
          <w:spacing w:val="-2"/>
        </w:rPr>
        <w:t> </w:t>
      </w:r>
      <w:r>
        <w:rPr/>
        <w:t>paper.</w:t>
      </w:r>
      <w:r>
        <w:rPr>
          <w:spacing w:val="40"/>
        </w:rPr>
        <w:t> </w:t>
      </w:r>
      <w:r>
        <w:rPr/>
        <w:t>Faculty of Educaton, 1999. ABU., Zaria.</w:t>
      </w:r>
    </w:p>
    <w:p>
      <w:pPr>
        <w:pStyle w:val="BodyText"/>
      </w:pPr>
    </w:p>
    <w:p>
      <w:pPr>
        <w:pStyle w:val="BodyText"/>
        <w:ind w:left="940" w:hanging="360"/>
      </w:pPr>
      <w:r>
        <w:rPr/>
        <w:t>Sawa, B.A. (1984).</w:t>
      </w:r>
      <w:r>
        <w:rPr>
          <w:spacing w:val="40"/>
        </w:rPr>
        <w:t> </w:t>
      </w:r>
      <w:r>
        <w:rPr/>
        <w:t>The making of a University: A case study of the Dynamics and Planning and Administration</w:t>
      </w:r>
      <w:r>
        <w:rPr>
          <w:spacing w:val="-2"/>
        </w:rPr>
        <w:t> </w:t>
      </w:r>
      <w:r>
        <w:rPr/>
        <w:t>in A.B.U; Ph.D Thesis,</w:t>
      </w:r>
      <w:r>
        <w:rPr>
          <w:spacing w:val="-3"/>
        </w:rPr>
        <w:t> </w:t>
      </w:r>
      <w:r>
        <w:rPr/>
        <w:t>Faculty of Education, A.B.U., </w:t>
      </w:r>
      <w:r>
        <w:rPr>
          <w:spacing w:val="-2"/>
        </w:rPr>
        <w:t>Zaria.</w:t>
      </w:r>
    </w:p>
    <w:p>
      <w:pPr>
        <w:pStyle w:val="BodyText"/>
      </w:pPr>
    </w:p>
    <w:p>
      <w:pPr>
        <w:pStyle w:val="BodyText"/>
        <w:spacing w:line="242" w:lineRule="auto"/>
        <w:ind w:left="940" w:right="863" w:hanging="360"/>
      </w:pPr>
      <w:r>
        <w:rPr/>
        <w:t>Shaik,</w:t>
      </w:r>
      <w:r>
        <w:rPr>
          <w:spacing w:val="-2"/>
        </w:rPr>
        <w:t> </w:t>
      </w:r>
      <w:r>
        <w:rPr/>
        <w:t>M.S.</w:t>
      </w:r>
      <w:r>
        <w:rPr>
          <w:spacing w:val="-2"/>
        </w:rPr>
        <w:t> </w:t>
      </w:r>
      <w:r>
        <w:rPr/>
        <w:t>(1974).</w:t>
      </w:r>
      <w:r>
        <w:rPr>
          <w:spacing w:val="40"/>
        </w:rPr>
        <w:t> </w:t>
      </w:r>
      <w:r>
        <w:rPr/>
        <w:t>“The</w:t>
      </w:r>
      <w:r>
        <w:rPr>
          <w:spacing w:val="-1"/>
        </w:rPr>
        <w:t> </w:t>
      </w:r>
      <w:r>
        <w:rPr/>
        <w:t>Nigerian</w:t>
      </w:r>
      <w:r>
        <w:rPr>
          <w:spacing w:val="-5"/>
        </w:rPr>
        <w:t> </w:t>
      </w:r>
      <w:r>
        <w:rPr/>
        <w:t>Problem</w:t>
      </w:r>
      <w:r>
        <w:rPr>
          <w:spacing w:val="-10"/>
        </w:rPr>
        <w:t> </w:t>
      </w:r>
      <w:r>
        <w:rPr/>
        <w:t>Pupil and</w:t>
      </w:r>
      <w:r>
        <w:rPr>
          <w:spacing w:val="-1"/>
        </w:rPr>
        <w:t> </w:t>
      </w:r>
      <w:r>
        <w:rPr/>
        <w:t>His</w:t>
      </w:r>
      <w:r>
        <w:rPr>
          <w:spacing w:val="-2"/>
        </w:rPr>
        <w:t> </w:t>
      </w:r>
      <w:r>
        <w:rPr/>
        <w:t>Milieu.”</w:t>
      </w:r>
      <w:r>
        <w:rPr>
          <w:spacing w:val="40"/>
        </w:rPr>
        <w:t> </w:t>
      </w:r>
      <w:r>
        <w:rPr>
          <w:u w:val="single"/>
        </w:rPr>
        <w:t>West</w:t>
      </w:r>
      <w:r>
        <w:rPr>
          <w:spacing w:val="-1"/>
          <w:u w:val="single"/>
        </w:rPr>
        <w:t> </w:t>
      </w:r>
      <w:r>
        <w:rPr>
          <w:u w:val="single"/>
        </w:rPr>
        <w:t>African</w:t>
      </w:r>
      <w:r>
        <w:rPr/>
        <w:t> </w:t>
      </w:r>
      <w:r>
        <w:rPr>
          <w:u w:val="single"/>
        </w:rPr>
        <w:t>Journal of Education</w:t>
      </w:r>
      <w:r>
        <w:rPr/>
        <w:t>, 1974, pp. 127 – 135.</w:t>
      </w:r>
    </w:p>
    <w:p>
      <w:pPr>
        <w:pStyle w:val="BodyText"/>
        <w:spacing w:line="237" w:lineRule="auto" w:before="275"/>
        <w:ind w:left="940" w:right="301" w:hanging="360"/>
      </w:pPr>
      <w:r>
        <w:rPr/>
        <w:t>Shertzer,</w:t>
      </w:r>
      <w:r>
        <w:rPr>
          <w:spacing w:val="-2"/>
        </w:rPr>
        <w:t> </w:t>
      </w:r>
      <w:r>
        <w:rPr/>
        <w:t>B.</w:t>
      </w:r>
      <w:r>
        <w:rPr>
          <w:spacing w:val="-2"/>
        </w:rPr>
        <w:t> </w:t>
      </w:r>
      <w:r>
        <w:rPr/>
        <w:t>&amp;</w:t>
      </w:r>
      <w:r>
        <w:rPr>
          <w:spacing w:val="-3"/>
        </w:rPr>
        <w:t> </w:t>
      </w:r>
      <w:r>
        <w:rPr/>
        <w:t>Stone,</w:t>
      </w:r>
      <w:r>
        <w:rPr>
          <w:spacing w:val="-6"/>
        </w:rPr>
        <w:t> </w:t>
      </w:r>
      <w:r>
        <w:rPr/>
        <w:t>S.C.</w:t>
      </w:r>
      <w:r>
        <w:rPr>
          <w:spacing w:val="-2"/>
        </w:rPr>
        <w:t> </w:t>
      </w:r>
      <w:r>
        <w:rPr/>
        <w:t>(1976).</w:t>
      </w:r>
      <w:r>
        <w:rPr>
          <w:spacing w:val="40"/>
        </w:rPr>
        <w:t> </w:t>
      </w:r>
      <w:r>
        <w:rPr>
          <w:u w:val="single"/>
        </w:rPr>
        <w:t>Fundamentals</w:t>
      </w:r>
      <w:r>
        <w:rPr>
          <w:spacing w:val="-2"/>
          <w:u w:val="single"/>
        </w:rPr>
        <w:t> </w:t>
      </w:r>
      <w:r>
        <w:rPr>
          <w:u w:val="single"/>
        </w:rPr>
        <w:t>&amp;</w:t>
      </w:r>
      <w:r>
        <w:rPr>
          <w:spacing w:val="-3"/>
          <w:u w:val="single"/>
        </w:rPr>
        <w:t> </w:t>
      </w:r>
      <w:r>
        <w:rPr>
          <w:u w:val="single"/>
        </w:rPr>
        <w:t>Guidance</w:t>
      </w:r>
      <w:r>
        <w:rPr/>
        <w:t>.</w:t>
      </w:r>
      <w:r>
        <w:rPr>
          <w:spacing w:val="40"/>
        </w:rPr>
        <w:t> </w:t>
      </w:r>
      <w:r>
        <w:rPr/>
        <w:t>3</w:t>
      </w:r>
      <w:r>
        <w:rPr>
          <w:vertAlign w:val="superscript"/>
        </w:rPr>
        <w:t>rd</w:t>
      </w:r>
      <w:r>
        <w:rPr>
          <w:spacing w:val="-3"/>
          <w:vertAlign w:val="baseline"/>
        </w:rPr>
        <w:t> </w:t>
      </w:r>
      <w:r>
        <w:rPr>
          <w:vertAlign w:val="baseline"/>
        </w:rPr>
        <w:t>Ed.</w:t>
      </w:r>
      <w:r>
        <w:rPr>
          <w:spacing w:val="40"/>
          <w:vertAlign w:val="baseline"/>
        </w:rPr>
        <w:t> </w:t>
      </w:r>
      <w:r>
        <w:rPr>
          <w:vertAlign w:val="baseline"/>
        </w:rPr>
        <w:t>Houghton Miffin Co., 1976, Boston.</w:t>
      </w:r>
    </w:p>
    <w:p>
      <w:pPr>
        <w:pStyle w:val="BodyText"/>
        <w:spacing w:before="1"/>
      </w:pPr>
    </w:p>
    <w:p>
      <w:pPr>
        <w:pStyle w:val="BodyText"/>
        <w:ind w:left="940" w:right="301" w:hanging="360"/>
      </w:pPr>
      <w:r>
        <w:rPr/>
        <w:t>Simon, H.A. (1947).</w:t>
      </w:r>
      <w:r>
        <w:rPr>
          <w:spacing w:val="40"/>
        </w:rPr>
        <w:t> </w:t>
      </w:r>
      <w:r>
        <w:rPr/>
        <w:t>Administrative Behaviour.</w:t>
      </w:r>
      <w:r>
        <w:rPr>
          <w:spacing w:val="40"/>
        </w:rPr>
        <w:t> </w:t>
      </w:r>
      <w:r>
        <w:rPr/>
        <w:t>Macmillan 1947, New York.</w:t>
      </w:r>
      <w:r>
        <w:rPr>
          <w:spacing w:val="40"/>
        </w:rPr>
        <w:t> </w:t>
      </w:r>
      <w:r>
        <w:rPr>
          <w:u w:val="single"/>
        </w:rPr>
        <w:t>In</w:t>
      </w:r>
      <w:r>
        <w:rPr/>
        <w:t> Mussazi I.C.S. (1989).</w:t>
      </w:r>
      <w:r>
        <w:rPr>
          <w:spacing w:val="80"/>
        </w:rPr>
        <w:t> </w:t>
      </w:r>
      <w:r>
        <w:rPr/>
        <w:t>Theory of Educational Administration.</w:t>
      </w:r>
      <w:r>
        <w:rPr>
          <w:spacing w:val="80"/>
        </w:rPr>
        <w:t> </w:t>
      </w:r>
      <w:r>
        <w:rPr/>
        <w:t>Macmillan Press, London, pp. 40 – 43.</w:t>
      </w:r>
    </w:p>
    <w:p>
      <w:pPr>
        <w:pStyle w:val="BodyText"/>
      </w:pPr>
    </w:p>
    <w:p>
      <w:pPr>
        <w:pStyle w:val="BodyText"/>
        <w:ind w:left="580"/>
      </w:pPr>
      <w:r>
        <w:rPr/>
        <w:t>Smith,</w:t>
      </w:r>
      <w:r>
        <w:rPr>
          <w:spacing w:val="-7"/>
        </w:rPr>
        <w:t> </w:t>
      </w:r>
      <w:r>
        <w:rPr/>
        <w:t>G.M.</w:t>
      </w:r>
      <w:r>
        <w:rPr>
          <w:spacing w:val="-7"/>
        </w:rPr>
        <w:t> </w:t>
      </w:r>
      <w:r>
        <w:rPr/>
        <w:t>(1970).</w:t>
      </w:r>
      <w:r>
        <w:rPr>
          <w:spacing w:val="54"/>
        </w:rPr>
        <w:t> </w:t>
      </w:r>
      <w:r>
        <w:rPr>
          <w:u w:val="single"/>
        </w:rPr>
        <w:t>A</w:t>
      </w:r>
      <w:r>
        <w:rPr>
          <w:spacing w:val="-8"/>
          <w:u w:val="single"/>
        </w:rPr>
        <w:t> </w:t>
      </w:r>
      <w:r>
        <w:rPr>
          <w:u w:val="single"/>
        </w:rPr>
        <w:t>Simplified</w:t>
      </w:r>
      <w:r>
        <w:rPr>
          <w:spacing w:val="-6"/>
          <w:u w:val="single"/>
        </w:rPr>
        <w:t> </w:t>
      </w:r>
      <w:r>
        <w:rPr>
          <w:u w:val="single"/>
        </w:rPr>
        <w:t>Guide</w:t>
      </w:r>
      <w:r>
        <w:rPr>
          <w:spacing w:val="-6"/>
          <w:u w:val="single"/>
        </w:rPr>
        <w:t> </w:t>
      </w:r>
      <w:r>
        <w:rPr>
          <w:u w:val="single"/>
        </w:rPr>
        <w:t>to</w:t>
      </w:r>
      <w:r>
        <w:rPr>
          <w:spacing w:val="-6"/>
          <w:u w:val="single"/>
        </w:rPr>
        <w:t> </w:t>
      </w:r>
      <w:r>
        <w:rPr>
          <w:u w:val="single"/>
        </w:rPr>
        <w:t>Statistics</w:t>
      </w:r>
      <w:r>
        <w:rPr>
          <w:spacing w:val="-7"/>
          <w:u w:val="single"/>
        </w:rPr>
        <w:t> </w:t>
      </w:r>
      <w:r>
        <w:rPr>
          <w:u w:val="single"/>
        </w:rPr>
        <w:t>for</w:t>
      </w:r>
      <w:r>
        <w:rPr>
          <w:spacing w:val="-5"/>
          <w:u w:val="single"/>
        </w:rPr>
        <w:t> </w:t>
      </w:r>
      <w:r>
        <w:rPr>
          <w:u w:val="single"/>
        </w:rPr>
        <w:t>Psychology</w:t>
      </w:r>
      <w:r>
        <w:rPr>
          <w:spacing w:val="-11"/>
          <w:u w:val="single"/>
        </w:rPr>
        <w:t> </w:t>
      </w:r>
      <w:r>
        <w:rPr>
          <w:u w:val="single"/>
        </w:rPr>
        <w:t>and</w:t>
      </w:r>
      <w:r>
        <w:rPr>
          <w:spacing w:val="-6"/>
          <w:u w:val="single"/>
        </w:rPr>
        <w:t> </w:t>
      </w:r>
      <w:r>
        <w:rPr>
          <w:spacing w:val="-2"/>
          <w:u w:val="single"/>
        </w:rPr>
        <w:t>Education</w:t>
      </w:r>
      <w:r>
        <w:rPr>
          <w:spacing w:val="-2"/>
        </w:rPr>
        <w:t>.</w:t>
      </w:r>
    </w:p>
    <w:p>
      <w:pPr>
        <w:pStyle w:val="BodyText"/>
        <w:spacing w:before="2"/>
        <w:ind w:left="940"/>
      </w:pPr>
      <w:r>
        <w:rPr/>
        <w:t>Holt</w:t>
      </w:r>
      <w:r>
        <w:rPr>
          <w:spacing w:val="-4"/>
        </w:rPr>
        <w:t> </w:t>
      </w:r>
      <w:r>
        <w:rPr/>
        <w:t>Rinehart</w:t>
      </w:r>
      <w:r>
        <w:rPr>
          <w:spacing w:val="-8"/>
        </w:rPr>
        <w:t> </w:t>
      </w:r>
      <w:r>
        <w:rPr/>
        <w:t>and</w:t>
      </w:r>
      <w:r>
        <w:rPr>
          <w:spacing w:val="-11"/>
        </w:rPr>
        <w:t> </w:t>
      </w:r>
      <w:r>
        <w:rPr/>
        <w:t>Winston</w:t>
      </w:r>
      <w:r>
        <w:rPr>
          <w:spacing w:val="-7"/>
        </w:rPr>
        <w:t> </w:t>
      </w:r>
      <w:r>
        <w:rPr/>
        <w:t>Inc.,</w:t>
      </w:r>
      <w:r>
        <w:rPr>
          <w:spacing w:val="-4"/>
        </w:rPr>
        <w:t> </w:t>
      </w:r>
      <w:r>
        <w:rPr/>
        <w:t>New</w:t>
      </w:r>
      <w:r>
        <w:rPr>
          <w:spacing w:val="-9"/>
        </w:rPr>
        <w:t> </w:t>
      </w:r>
      <w:r>
        <w:rPr/>
        <w:t>York,</w:t>
      </w:r>
      <w:r>
        <w:rPr>
          <w:spacing w:val="-3"/>
        </w:rPr>
        <w:t> </w:t>
      </w:r>
      <w:r>
        <w:rPr>
          <w:spacing w:val="-4"/>
        </w:rPr>
        <w:t>1970.</w:t>
      </w:r>
    </w:p>
    <w:p>
      <w:pPr>
        <w:pStyle w:val="BodyText"/>
      </w:pPr>
    </w:p>
    <w:p>
      <w:pPr>
        <w:pStyle w:val="BodyText"/>
        <w:spacing w:before="1"/>
        <w:ind w:left="580"/>
      </w:pPr>
      <w:r>
        <w:rPr/>
        <w:t>Student</w:t>
      </w:r>
      <w:r>
        <w:rPr>
          <w:spacing w:val="-10"/>
        </w:rPr>
        <w:t> </w:t>
      </w:r>
      <w:r>
        <w:rPr/>
        <w:t>Union,</w:t>
      </w:r>
      <w:r>
        <w:rPr>
          <w:spacing w:val="-13"/>
        </w:rPr>
        <w:t> </w:t>
      </w:r>
      <w:r>
        <w:rPr/>
        <w:t>(2003).</w:t>
      </w:r>
      <w:r>
        <w:rPr>
          <w:spacing w:val="-10"/>
        </w:rPr>
        <w:t> </w:t>
      </w:r>
      <w:r>
        <w:rPr/>
        <w:t>Student</w:t>
      </w:r>
      <w:r>
        <w:rPr>
          <w:spacing w:val="-10"/>
        </w:rPr>
        <w:t> </w:t>
      </w:r>
      <w:r>
        <w:rPr/>
        <w:t>Union</w:t>
      </w:r>
      <w:r>
        <w:rPr>
          <w:spacing w:val="-8"/>
        </w:rPr>
        <w:t> </w:t>
      </w:r>
      <w:r>
        <w:rPr/>
        <w:t>Constitution,</w:t>
      </w:r>
      <w:r>
        <w:rPr>
          <w:spacing w:val="-10"/>
        </w:rPr>
        <w:t> </w:t>
      </w:r>
      <w:r>
        <w:rPr/>
        <w:t>ABU,</w:t>
      </w:r>
      <w:r>
        <w:rPr>
          <w:spacing w:val="-10"/>
        </w:rPr>
        <w:t> </w:t>
      </w:r>
      <w:r>
        <w:rPr>
          <w:spacing w:val="-2"/>
        </w:rPr>
        <w:t>Zaria.</w:t>
      </w:r>
    </w:p>
    <w:p>
      <w:pPr>
        <w:pStyle w:val="BodyText"/>
        <w:spacing w:before="276"/>
        <w:ind w:left="940" w:right="299" w:hanging="360"/>
      </w:pPr>
      <w:r>
        <w:rPr/>
        <w:t>Sule,</w:t>
      </w:r>
      <w:r>
        <w:rPr>
          <w:spacing w:val="-4"/>
        </w:rPr>
        <w:t> </w:t>
      </w:r>
      <w:r>
        <w:rPr/>
        <w:t>M.</w:t>
      </w:r>
      <w:r>
        <w:rPr>
          <w:spacing w:val="-4"/>
        </w:rPr>
        <w:t> </w:t>
      </w:r>
      <w:r>
        <w:rPr/>
        <w:t>(2005).</w:t>
      </w:r>
      <w:r>
        <w:rPr>
          <w:spacing w:val="-8"/>
        </w:rPr>
        <w:t> </w:t>
      </w:r>
      <w:r>
        <w:rPr/>
        <w:t>“ASUU</w:t>
      </w:r>
      <w:r>
        <w:rPr>
          <w:spacing w:val="-4"/>
        </w:rPr>
        <w:t> </w:t>
      </w:r>
      <w:r>
        <w:rPr/>
        <w:t>Communique</w:t>
      </w:r>
      <w:r>
        <w:rPr>
          <w:spacing w:val="-3"/>
        </w:rPr>
        <w:t> </w:t>
      </w:r>
      <w:r>
        <w:rPr/>
        <w:t>of</w:t>
      </w:r>
      <w:r>
        <w:rPr>
          <w:spacing w:val="-4"/>
        </w:rPr>
        <w:t> </w:t>
      </w:r>
      <w:r>
        <w:rPr/>
        <w:t>the</w:t>
      </w:r>
      <w:r>
        <w:rPr>
          <w:spacing w:val="-7"/>
        </w:rPr>
        <w:t> </w:t>
      </w:r>
      <w:r>
        <w:rPr/>
        <w:t>meeting</w:t>
      </w:r>
      <w:r>
        <w:rPr>
          <w:spacing w:val="-3"/>
        </w:rPr>
        <w:t> </w:t>
      </w:r>
      <w:r>
        <w:rPr/>
        <w:t>of</w:t>
      </w:r>
      <w:r>
        <w:rPr>
          <w:spacing w:val="-4"/>
        </w:rPr>
        <w:t> </w:t>
      </w:r>
      <w:r>
        <w:rPr/>
        <w:t>National Executive</w:t>
      </w:r>
      <w:r>
        <w:rPr>
          <w:spacing w:val="-3"/>
        </w:rPr>
        <w:t> </w:t>
      </w:r>
      <w:r>
        <w:rPr/>
        <w:t>Council (NEC) December, 2004, University of Lagos. </w:t>
      </w:r>
      <w:r>
        <w:rPr>
          <w:u w:val="single"/>
        </w:rPr>
        <w:t>Weekly Trust</w:t>
      </w:r>
      <w:r>
        <w:rPr/>
        <w:t> Saturday 1</w:t>
      </w:r>
      <w:r>
        <w:rPr>
          <w:vertAlign w:val="superscript"/>
        </w:rPr>
        <w:t>st</w:t>
      </w:r>
      <w:r>
        <w:rPr>
          <w:vertAlign w:val="baseline"/>
        </w:rPr>
        <w:t>-7</w:t>
      </w:r>
      <w:r>
        <w:rPr>
          <w:vertAlign w:val="superscript"/>
        </w:rPr>
        <w:t>th</w:t>
      </w:r>
      <w:r>
        <w:rPr>
          <w:vertAlign w:val="baseline"/>
        </w:rPr>
        <w:t> January, 2005. pp. 28 and 29 col.1.</w:t>
      </w:r>
    </w:p>
    <w:p>
      <w:pPr>
        <w:pStyle w:val="BodyText"/>
        <w:spacing w:before="2"/>
      </w:pPr>
    </w:p>
    <w:p>
      <w:pPr>
        <w:pStyle w:val="BodyText"/>
        <w:spacing w:line="237" w:lineRule="auto"/>
        <w:ind w:left="940" w:hanging="360"/>
      </w:pPr>
      <w:r>
        <w:rPr/>
        <w:t>Taylor,</w:t>
      </w:r>
      <w:r>
        <w:rPr>
          <w:spacing w:val="-6"/>
        </w:rPr>
        <w:t> </w:t>
      </w:r>
      <w:r>
        <w:rPr/>
        <w:t>F.W.</w:t>
      </w:r>
      <w:r>
        <w:rPr>
          <w:spacing w:val="-2"/>
        </w:rPr>
        <w:t> </w:t>
      </w:r>
      <w:r>
        <w:rPr/>
        <w:t>(1947).</w:t>
      </w:r>
      <w:r>
        <w:rPr>
          <w:spacing w:val="40"/>
        </w:rPr>
        <w:t> </w:t>
      </w:r>
      <w:r>
        <w:rPr>
          <w:u w:val="single"/>
        </w:rPr>
        <w:t>Scientific</w:t>
      </w:r>
      <w:r>
        <w:rPr>
          <w:spacing w:val="-2"/>
          <w:u w:val="single"/>
        </w:rPr>
        <w:t> </w:t>
      </w:r>
      <w:r>
        <w:rPr>
          <w:u w:val="single"/>
        </w:rPr>
        <w:t>Management</w:t>
      </w:r>
      <w:r>
        <w:rPr>
          <w:spacing w:val="40"/>
        </w:rPr>
        <w:t> </w:t>
      </w:r>
      <w:r>
        <w:rPr>
          <w:u w:val="single"/>
        </w:rPr>
        <w:t>In</w:t>
      </w:r>
      <w:r>
        <w:rPr>
          <w:spacing w:val="-1"/>
        </w:rPr>
        <w:t> </w:t>
      </w:r>
      <w:r>
        <w:rPr/>
        <w:t>Musaazi,</w:t>
      </w:r>
      <w:r>
        <w:rPr>
          <w:spacing w:val="-2"/>
        </w:rPr>
        <w:t> </w:t>
      </w:r>
      <w:r>
        <w:rPr/>
        <w:t>J.C.S.</w:t>
      </w:r>
      <w:r>
        <w:rPr>
          <w:spacing w:val="-6"/>
        </w:rPr>
        <w:t> </w:t>
      </w:r>
      <w:r>
        <w:rPr/>
        <w:t>(1989).</w:t>
      </w:r>
      <w:r>
        <w:rPr>
          <w:spacing w:val="40"/>
        </w:rPr>
        <w:t> </w:t>
      </w:r>
      <w:r>
        <w:rPr>
          <w:u w:val="single"/>
        </w:rPr>
        <w:t>Theory</w:t>
      </w:r>
      <w:r>
        <w:rPr>
          <w:spacing w:val="-2"/>
          <w:u w:val="single"/>
        </w:rPr>
        <w:t> </w:t>
      </w:r>
      <w:r>
        <w:rPr>
          <w:u w:val="single"/>
        </w:rPr>
        <w:t>and</w:t>
      </w:r>
      <w:r>
        <w:rPr/>
        <w:t> </w:t>
      </w:r>
      <w:r>
        <w:rPr>
          <w:u w:val="single"/>
        </w:rPr>
        <w:t>Practice of Educational Administration</w:t>
      </w:r>
      <w:r>
        <w:rPr/>
        <w:t>.</w:t>
      </w:r>
      <w:r>
        <w:rPr>
          <w:spacing w:val="40"/>
        </w:rPr>
        <w:t> </w:t>
      </w:r>
      <w:r>
        <w:rPr>
          <w:u w:val="single"/>
        </w:rPr>
        <w:t>Macmillan Press, London</w:t>
      </w:r>
      <w:r>
        <w:rPr/>
        <w:t>, pp 25 – 28.</w:t>
      </w:r>
    </w:p>
    <w:p>
      <w:pPr>
        <w:pStyle w:val="BodyText"/>
        <w:spacing w:before="1"/>
      </w:pPr>
    </w:p>
    <w:p>
      <w:pPr>
        <w:pStyle w:val="BodyText"/>
        <w:tabs>
          <w:tab w:pos="3239" w:val="left" w:leader="none"/>
        </w:tabs>
        <w:ind w:left="940" w:right="299" w:hanging="360"/>
      </w:pPr>
      <w:r>
        <w:rPr/>
        <w:t>Tibenderana, P. (1989).</w:t>
      </w:r>
      <w:r>
        <w:rPr>
          <w:spacing w:val="40"/>
        </w:rPr>
        <w:t> </w:t>
      </w:r>
      <w:r>
        <w:rPr/>
        <w:t>The State of Educational Development in the North.</w:t>
      </w:r>
      <w:r>
        <w:rPr>
          <w:spacing w:val="40"/>
        </w:rPr>
        <w:t> </w:t>
      </w:r>
      <w:r>
        <w:rPr>
          <w:u w:val="single"/>
        </w:rPr>
        <w:t>In</w:t>
      </w:r>
      <w:r>
        <w:rPr/>
        <w:t> Mahadi,</w:t>
      </w:r>
      <w:r>
        <w:rPr>
          <w:spacing w:val="40"/>
        </w:rPr>
        <w:t> </w:t>
      </w:r>
      <w:r>
        <w:rPr/>
        <w:t>A.</w:t>
      </w:r>
      <w:r>
        <w:rPr>
          <w:spacing w:val="40"/>
        </w:rPr>
        <w:t> </w:t>
      </w:r>
      <w:r>
        <w:rPr/>
        <w:t>(1989).</w:t>
        <w:tab/>
        <w:t>History</w:t>
      </w:r>
      <w:r>
        <w:rPr>
          <w:spacing w:val="40"/>
        </w:rPr>
        <w:t> </w:t>
      </w:r>
      <w:r>
        <w:rPr/>
        <w:t>of</w:t>
      </w:r>
      <w:r>
        <w:rPr>
          <w:spacing w:val="40"/>
        </w:rPr>
        <w:t> </w:t>
      </w:r>
      <w:r>
        <w:rPr/>
        <w:t>Ahmadu</w:t>
      </w:r>
      <w:r>
        <w:rPr>
          <w:spacing w:val="40"/>
        </w:rPr>
        <w:t> </w:t>
      </w:r>
      <w:r>
        <w:rPr/>
        <w:t>Bello</w:t>
      </w:r>
      <w:r>
        <w:rPr>
          <w:spacing w:val="40"/>
        </w:rPr>
        <w:t> </w:t>
      </w:r>
      <w:r>
        <w:rPr/>
        <w:t>University,</w:t>
      </w:r>
      <w:r>
        <w:rPr>
          <w:spacing w:val="38"/>
        </w:rPr>
        <w:t> </w:t>
      </w:r>
      <w:r>
        <w:rPr/>
        <w:t>Zaria;</w:t>
      </w:r>
      <w:r>
        <w:rPr>
          <w:spacing w:val="38"/>
        </w:rPr>
        <w:t> </w:t>
      </w:r>
      <w:r>
        <w:rPr/>
        <w:t>1962</w:t>
      </w:r>
      <w:r>
        <w:rPr>
          <w:spacing w:val="40"/>
        </w:rPr>
        <w:t> </w:t>
      </w:r>
      <w:r>
        <w:rPr/>
        <w:t>–</w:t>
      </w:r>
      <w:r>
        <w:rPr>
          <w:spacing w:val="39"/>
        </w:rPr>
        <w:t> </w:t>
      </w:r>
      <w:r>
        <w:rPr/>
        <w:t>1987., Zaria pp. 1 – 12.</w:t>
      </w:r>
    </w:p>
    <w:p>
      <w:pPr>
        <w:pStyle w:val="BodyText"/>
      </w:pPr>
    </w:p>
    <w:p>
      <w:pPr>
        <w:pStyle w:val="BodyText"/>
        <w:ind w:left="940" w:right="301" w:hanging="360"/>
      </w:pPr>
      <w:r>
        <w:rPr/>
        <w:t>Thioune, R.M. (2003) Ed. </w:t>
      </w:r>
      <w:r>
        <w:rPr>
          <w:u w:val="single"/>
        </w:rPr>
        <w:t>Information and Communication Technologies for</w:t>
      </w:r>
      <w:r>
        <w:rPr/>
        <w:t> </w:t>
      </w:r>
      <w:r>
        <w:rPr>
          <w:u w:val="single"/>
        </w:rPr>
        <w:t>Development in Africa: Opportunities and Challenges for Community</w:t>
      </w:r>
      <w:r>
        <w:rPr/>
        <w:t> </w:t>
      </w:r>
      <w:r>
        <w:rPr>
          <w:u w:val="single"/>
        </w:rPr>
        <w:t>Development</w:t>
      </w:r>
      <w:r>
        <w:rPr/>
        <w:t>.</w:t>
      </w:r>
      <w:r>
        <w:rPr>
          <w:spacing w:val="-6"/>
        </w:rPr>
        <w:t> </w:t>
      </w:r>
      <w:r>
        <w:rPr/>
        <w:t>Vol.1</w:t>
      </w:r>
      <w:r>
        <w:rPr>
          <w:spacing w:val="-5"/>
        </w:rPr>
        <w:t> </w:t>
      </w:r>
      <w:r>
        <w:rPr/>
        <w:t>International</w:t>
      </w:r>
      <w:r>
        <w:rPr>
          <w:spacing w:val="-2"/>
        </w:rPr>
        <w:t> </w:t>
      </w:r>
      <w:r>
        <w:rPr/>
        <w:t>Dev.</w:t>
      </w:r>
      <w:r>
        <w:rPr>
          <w:spacing w:val="-6"/>
        </w:rPr>
        <w:t> </w:t>
      </w:r>
      <w:r>
        <w:rPr/>
        <w:t>Research</w:t>
      </w:r>
      <w:r>
        <w:rPr>
          <w:spacing w:val="-5"/>
        </w:rPr>
        <w:t> </w:t>
      </w:r>
      <w:r>
        <w:rPr/>
        <w:t>Centre</w:t>
      </w:r>
      <w:r>
        <w:rPr>
          <w:spacing w:val="-8"/>
        </w:rPr>
        <w:t> </w:t>
      </w:r>
      <w:r>
        <w:rPr/>
        <w:t>(IDRC)</w:t>
      </w:r>
      <w:r>
        <w:rPr>
          <w:spacing w:val="-4"/>
        </w:rPr>
        <w:t> </w:t>
      </w:r>
      <w:r>
        <w:rPr/>
        <w:t>Ottawa,</w:t>
      </w:r>
      <w:r>
        <w:rPr>
          <w:spacing w:val="-6"/>
        </w:rPr>
        <w:t> </w:t>
      </w:r>
      <w:r>
        <w:rPr/>
        <w:t>Canada.</w:t>
      </w:r>
    </w:p>
    <w:p>
      <w:pPr>
        <w:spacing w:after="0"/>
        <w:sectPr>
          <w:headerReference w:type="default" r:id="rId596"/>
          <w:footerReference w:type="default" r:id="rId597"/>
          <w:pgSz w:w="12240" w:h="15840"/>
          <w:pgMar w:header="722" w:footer="623" w:top="980" w:bottom="820" w:left="1220" w:right="1140"/>
        </w:sectPr>
      </w:pPr>
    </w:p>
    <w:p>
      <w:pPr>
        <w:pStyle w:val="BodyText"/>
      </w:pPr>
    </w:p>
    <w:p>
      <w:pPr>
        <w:pStyle w:val="BodyText"/>
        <w:spacing w:before="169"/>
      </w:pPr>
    </w:p>
    <w:p>
      <w:pPr>
        <w:pStyle w:val="BodyText"/>
        <w:spacing w:line="242" w:lineRule="auto"/>
        <w:ind w:left="940" w:right="863" w:hanging="360"/>
      </w:pPr>
      <w:r>
        <w:rPr/>
        <w:t>Titi,</w:t>
      </w:r>
      <w:r>
        <w:rPr>
          <w:spacing w:val="-5"/>
        </w:rPr>
        <w:t> </w:t>
      </w:r>
      <w:r>
        <w:rPr/>
        <w:t>A.</w:t>
      </w:r>
      <w:r>
        <w:rPr>
          <w:spacing w:val="-1"/>
        </w:rPr>
        <w:t> </w:t>
      </w:r>
      <w:r>
        <w:rPr/>
        <w:t>(1987).</w:t>
      </w:r>
      <w:r>
        <w:rPr>
          <w:spacing w:val="40"/>
        </w:rPr>
        <w:t> </w:t>
      </w:r>
      <w:r>
        <w:rPr/>
        <w:t>“Feeding with</w:t>
      </w:r>
      <w:r>
        <w:rPr>
          <w:spacing w:val="-4"/>
        </w:rPr>
        <w:t> </w:t>
      </w:r>
      <w:r>
        <w:rPr/>
        <w:t>Tears;</w:t>
      </w:r>
      <w:r>
        <w:rPr>
          <w:spacing w:val="-1"/>
        </w:rPr>
        <w:t> </w:t>
      </w:r>
      <w:r>
        <w:rPr/>
        <w:t>Days</w:t>
      </w:r>
      <w:r>
        <w:rPr>
          <w:spacing w:val="-1"/>
        </w:rPr>
        <w:t> </w:t>
      </w:r>
      <w:r>
        <w:rPr/>
        <w:t>of</w:t>
      </w:r>
      <w:r>
        <w:rPr>
          <w:spacing w:val="-5"/>
        </w:rPr>
        <w:t> </w:t>
      </w:r>
      <w:r>
        <w:rPr/>
        <w:t>balanced diet</w:t>
      </w:r>
      <w:r>
        <w:rPr>
          <w:spacing w:val="-5"/>
        </w:rPr>
        <w:t> </w:t>
      </w:r>
      <w:r>
        <w:rPr/>
        <w:t>is</w:t>
      </w:r>
      <w:r>
        <w:rPr>
          <w:spacing w:val="-6"/>
        </w:rPr>
        <w:t> </w:t>
      </w:r>
      <w:r>
        <w:rPr/>
        <w:t>over</w:t>
      </w:r>
      <w:r>
        <w:rPr>
          <w:spacing w:val="-4"/>
        </w:rPr>
        <w:t> </w:t>
      </w:r>
      <w:r>
        <w:rPr/>
        <w:t>in</w:t>
      </w:r>
      <w:r>
        <w:rPr>
          <w:spacing w:val="-4"/>
        </w:rPr>
        <w:t> </w:t>
      </w:r>
      <w:r>
        <w:rPr/>
        <w:t>our versities.”</w:t>
      </w:r>
      <w:r>
        <w:rPr>
          <w:spacing w:val="40"/>
        </w:rPr>
        <w:t> </w:t>
      </w:r>
      <w:r>
        <w:rPr>
          <w:u w:val="single"/>
        </w:rPr>
        <w:t>Sunday Times</w:t>
      </w:r>
      <w:r>
        <w:rPr/>
        <w:t> March 29, 1987, p. 3.</w:t>
      </w:r>
    </w:p>
    <w:p>
      <w:pPr>
        <w:pStyle w:val="BodyText"/>
        <w:spacing w:line="271" w:lineRule="exact"/>
        <w:ind w:left="580"/>
      </w:pPr>
      <w:r>
        <w:rPr/>
        <w:t>Ubeku,</w:t>
      </w:r>
      <w:r>
        <w:rPr>
          <w:spacing w:val="-7"/>
        </w:rPr>
        <w:t> </w:t>
      </w:r>
      <w:r>
        <w:rPr/>
        <w:t>A.</w:t>
      </w:r>
      <w:r>
        <w:rPr>
          <w:spacing w:val="-7"/>
        </w:rPr>
        <w:t> </w:t>
      </w:r>
      <w:r>
        <w:rPr/>
        <w:t>(1984).</w:t>
      </w:r>
      <w:r>
        <w:rPr>
          <w:spacing w:val="48"/>
        </w:rPr>
        <w:t> </w:t>
      </w:r>
      <w:r>
        <w:rPr/>
        <w:t>2</w:t>
      </w:r>
      <w:r>
        <w:rPr>
          <w:vertAlign w:val="superscript"/>
        </w:rPr>
        <w:t>nd</w:t>
      </w:r>
      <w:r>
        <w:rPr>
          <w:spacing w:val="-8"/>
          <w:vertAlign w:val="baseline"/>
        </w:rPr>
        <w:t> </w:t>
      </w:r>
      <w:r>
        <w:rPr>
          <w:vertAlign w:val="baseline"/>
        </w:rPr>
        <w:t>Ed.</w:t>
      </w:r>
      <w:r>
        <w:rPr>
          <w:spacing w:val="-6"/>
          <w:vertAlign w:val="baseline"/>
        </w:rPr>
        <w:t> </w:t>
      </w:r>
      <w:r>
        <w:rPr>
          <w:u w:val="single"/>
          <w:vertAlign w:val="baseline"/>
        </w:rPr>
        <w:t>Personnel</w:t>
      </w:r>
      <w:r>
        <w:rPr>
          <w:spacing w:val="-4"/>
          <w:u w:val="single"/>
          <w:vertAlign w:val="baseline"/>
        </w:rPr>
        <w:t> </w:t>
      </w:r>
      <w:r>
        <w:rPr>
          <w:u w:val="single"/>
          <w:vertAlign w:val="baseline"/>
        </w:rPr>
        <w:t>Management</w:t>
      </w:r>
      <w:r>
        <w:rPr>
          <w:spacing w:val="-7"/>
          <w:u w:val="single"/>
          <w:vertAlign w:val="baseline"/>
        </w:rPr>
        <w:t> </w:t>
      </w:r>
      <w:r>
        <w:rPr>
          <w:u w:val="single"/>
          <w:vertAlign w:val="baseline"/>
        </w:rPr>
        <w:t>in</w:t>
      </w:r>
      <w:r>
        <w:rPr>
          <w:spacing w:val="-6"/>
          <w:u w:val="single"/>
          <w:vertAlign w:val="baseline"/>
        </w:rPr>
        <w:t> </w:t>
      </w:r>
      <w:r>
        <w:rPr>
          <w:u w:val="single"/>
          <w:vertAlign w:val="baseline"/>
        </w:rPr>
        <w:t>Nigeria</w:t>
      </w:r>
      <w:r>
        <w:rPr>
          <w:vertAlign w:val="baseline"/>
        </w:rPr>
        <w:t>.</w:t>
      </w:r>
      <w:r>
        <w:rPr>
          <w:spacing w:val="54"/>
          <w:vertAlign w:val="baseline"/>
        </w:rPr>
        <w:t> </w:t>
      </w:r>
      <w:r>
        <w:rPr>
          <w:vertAlign w:val="baseline"/>
        </w:rPr>
        <w:t>Ethiope</w:t>
      </w:r>
      <w:r>
        <w:rPr>
          <w:spacing w:val="-6"/>
          <w:vertAlign w:val="baseline"/>
        </w:rPr>
        <w:t> </w:t>
      </w:r>
      <w:r>
        <w:rPr>
          <w:spacing w:val="-2"/>
          <w:vertAlign w:val="baseline"/>
        </w:rPr>
        <w:t>Pub.Co.</w:t>
      </w:r>
    </w:p>
    <w:p>
      <w:pPr>
        <w:pStyle w:val="BodyText"/>
        <w:spacing w:before="3"/>
        <w:ind w:left="983"/>
      </w:pPr>
      <w:r>
        <w:rPr/>
        <w:t>1975,</w:t>
      </w:r>
      <w:r>
        <w:rPr>
          <w:spacing w:val="-6"/>
        </w:rPr>
        <w:t> </w:t>
      </w:r>
      <w:r>
        <w:rPr/>
        <w:t>Hong</w:t>
      </w:r>
      <w:r>
        <w:rPr>
          <w:spacing w:val="-5"/>
        </w:rPr>
        <w:t> </w:t>
      </w:r>
      <w:r>
        <w:rPr>
          <w:spacing w:val="-4"/>
        </w:rPr>
        <w:t>Kong.</w:t>
      </w:r>
    </w:p>
    <w:p>
      <w:pPr>
        <w:pStyle w:val="BodyText"/>
        <w:spacing w:line="275" w:lineRule="exact" w:before="276"/>
        <w:ind w:left="1" w:right="473"/>
        <w:jc w:val="center"/>
      </w:pPr>
      <w:r>
        <w:rPr/>
        <w:t>Usmanu</w:t>
      </w:r>
      <w:r>
        <w:rPr>
          <w:spacing w:val="-10"/>
        </w:rPr>
        <w:t> </w:t>
      </w:r>
      <w:r>
        <w:rPr/>
        <w:t>Dan</w:t>
      </w:r>
      <w:r>
        <w:rPr>
          <w:spacing w:val="-10"/>
        </w:rPr>
        <w:t> </w:t>
      </w:r>
      <w:r>
        <w:rPr/>
        <w:t>Fodiyo</w:t>
      </w:r>
      <w:r>
        <w:rPr>
          <w:spacing w:val="-9"/>
        </w:rPr>
        <w:t> </w:t>
      </w:r>
      <w:r>
        <w:rPr/>
        <w:t>University,</w:t>
      </w:r>
      <w:r>
        <w:rPr>
          <w:spacing w:val="-11"/>
        </w:rPr>
        <w:t> </w:t>
      </w:r>
      <w:r>
        <w:rPr/>
        <w:t>Sokoto</w:t>
      </w:r>
      <w:r>
        <w:rPr>
          <w:spacing w:val="-9"/>
        </w:rPr>
        <w:t> </w:t>
      </w:r>
      <w:r>
        <w:rPr/>
        <w:t>(2004).</w:t>
      </w:r>
      <w:r>
        <w:rPr>
          <w:spacing w:val="-10"/>
        </w:rPr>
        <w:t> </w:t>
      </w:r>
      <w:r>
        <w:rPr>
          <w:u w:val="single"/>
        </w:rPr>
        <w:t>Revised</w:t>
      </w:r>
      <w:r>
        <w:rPr>
          <w:spacing w:val="-10"/>
          <w:u w:val="single"/>
        </w:rPr>
        <w:t> </w:t>
      </w:r>
      <w:r>
        <w:rPr>
          <w:u w:val="single"/>
        </w:rPr>
        <w:t>Students’</w:t>
      </w:r>
      <w:r>
        <w:rPr>
          <w:spacing w:val="-10"/>
          <w:u w:val="single"/>
        </w:rPr>
        <w:t> </w:t>
      </w:r>
      <w:r>
        <w:rPr>
          <w:spacing w:val="-2"/>
          <w:u w:val="single"/>
        </w:rPr>
        <w:t>Handbook</w:t>
      </w:r>
      <w:r>
        <w:rPr>
          <w:spacing w:val="-2"/>
        </w:rPr>
        <w:t>.</w:t>
      </w:r>
    </w:p>
    <w:p>
      <w:pPr>
        <w:pStyle w:val="BodyText"/>
        <w:spacing w:line="275" w:lineRule="exact"/>
        <w:ind w:right="473"/>
        <w:jc w:val="center"/>
      </w:pPr>
      <w:r>
        <w:rPr/>
        <w:t>Students</w:t>
      </w:r>
      <w:r>
        <w:rPr>
          <w:spacing w:val="-11"/>
        </w:rPr>
        <w:t> </w:t>
      </w:r>
      <w:r>
        <w:rPr/>
        <w:t>Affairs</w:t>
      </w:r>
      <w:r>
        <w:rPr>
          <w:spacing w:val="-10"/>
        </w:rPr>
        <w:t> </w:t>
      </w:r>
      <w:r>
        <w:rPr/>
        <w:t>Division,</w:t>
      </w:r>
      <w:r>
        <w:rPr>
          <w:spacing w:val="-11"/>
        </w:rPr>
        <w:t> </w:t>
      </w:r>
      <w:r>
        <w:rPr/>
        <w:t>Usmanu</w:t>
      </w:r>
      <w:r>
        <w:rPr>
          <w:spacing w:val="-10"/>
        </w:rPr>
        <w:t> </w:t>
      </w:r>
      <w:r>
        <w:rPr/>
        <w:t>DanFodiyo</w:t>
      </w:r>
      <w:r>
        <w:rPr>
          <w:spacing w:val="-13"/>
        </w:rPr>
        <w:t> </w:t>
      </w:r>
      <w:r>
        <w:rPr/>
        <w:t>University,</w:t>
      </w:r>
      <w:r>
        <w:rPr>
          <w:spacing w:val="-11"/>
        </w:rPr>
        <w:t> </w:t>
      </w:r>
      <w:r>
        <w:rPr/>
        <w:t>Sokoto,</w:t>
      </w:r>
      <w:r>
        <w:rPr>
          <w:spacing w:val="-14"/>
        </w:rPr>
        <w:t> </w:t>
      </w:r>
      <w:r>
        <w:rPr>
          <w:spacing w:val="-4"/>
        </w:rPr>
        <w:t>2004</w:t>
      </w:r>
    </w:p>
    <w:p>
      <w:pPr>
        <w:pStyle w:val="BodyText"/>
        <w:spacing w:line="242" w:lineRule="auto" w:before="276"/>
        <w:ind w:left="940" w:right="568" w:hanging="360"/>
      </w:pPr>
      <w:r>
        <w:rPr/>
        <w:t>Umaru,</w:t>
      </w:r>
      <w:r>
        <w:rPr>
          <w:spacing w:val="-3"/>
        </w:rPr>
        <w:t> </w:t>
      </w:r>
      <w:r>
        <w:rPr/>
        <w:t>J.K.</w:t>
      </w:r>
      <w:r>
        <w:rPr>
          <w:spacing w:val="-3"/>
        </w:rPr>
        <w:t> </w:t>
      </w:r>
      <w:r>
        <w:rPr/>
        <w:t>(1980).</w:t>
      </w:r>
      <w:r>
        <w:rPr>
          <w:spacing w:val="40"/>
        </w:rPr>
        <w:t> </w:t>
      </w:r>
      <w:r>
        <w:rPr/>
        <w:t>‘Fighting</w:t>
      </w:r>
      <w:r>
        <w:rPr>
          <w:spacing w:val="-3"/>
        </w:rPr>
        <w:t> </w:t>
      </w:r>
      <w:r>
        <w:rPr/>
        <w:t>Students’</w:t>
      </w:r>
      <w:r>
        <w:rPr>
          <w:spacing w:val="-3"/>
        </w:rPr>
        <w:t> </w:t>
      </w:r>
      <w:r>
        <w:rPr/>
        <w:t>Unrest</w:t>
      </w:r>
      <w:r>
        <w:rPr>
          <w:spacing w:val="-3"/>
        </w:rPr>
        <w:t> </w:t>
      </w:r>
      <w:r>
        <w:rPr/>
        <w:t>in</w:t>
      </w:r>
      <w:r>
        <w:rPr>
          <w:spacing w:val="-3"/>
        </w:rPr>
        <w:t> </w:t>
      </w:r>
      <w:r>
        <w:rPr/>
        <w:t>Nigeria.</w:t>
      </w:r>
      <w:r>
        <w:rPr>
          <w:spacing w:val="40"/>
        </w:rPr>
        <w:t> </w:t>
      </w:r>
      <w:r>
        <w:rPr>
          <w:u w:val="single"/>
        </w:rPr>
        <w:t>Sunday</w:t>
      </w:r>
      <w:r>
        <w:rPr>
          <w:spacing w:val="-3"/>
          <w:u w:val="single"/>
        </w:rPr>
        <w:t> </w:t>
      </w:r>
      <w:r>
        <w:rPr>
          <w:u w:val="single"/>
        </w:rPr>
        <w:t>Standard</w:t>
      </w:r>
      <w:r>
        <w:rPr>
          <w:spacing w:val="80"/>
        </w:rPr>
        <w:t> </w:t>
      </w:r>
      <w:r>
        <w:rPr/>
        <w:t>April 6, 1980, p.6.</w:t>
      </w:r>
    </w:p>
    <w:p>
      <w:pPr>
        <w:pStyle w:val="BodyText"/>
        <w:spacing w:line="237" w:lineRule="auto" w:before="275"/>
        <w:ind w:left="580"/>
      </w:pPr>
      <w:r>
        <w:rPr/>
        <w:t>University of Maiduguri, (1996). </w:t>
      </w:r>
      <w:r>
        <w:rPr>
          <w:u w:val="single"/>
        </w:rPr>
        <w:t>Twentieth Anniversary, Commemorative Brochure</w:t>
      </w:r>
      <w:r>
        <w:rPr/>
        <w:t>. Director of</w:t>
      </w:r>
    </w:p>
    <w:p>
      <w:pPr>
        <w:pStyle w:val="BodyText"/>
        <w:spacing w:before="3"/>
        <w:ind w:left="940"/>
      </w:pPr>
      <w:r>
        <w:rPr/>
        <w:t>Printing,</w:t>
      </w:r>
      <w:r>
        <w:rPr>
          <w:spacing w:val="-8"/>
        </w:rPr>
        <w:t> </w:t>
      </w:r>
      <w:r>
        <w:rPr/>
        <w:t>University</w:t>
      </w:r>
      <w:r>
        <w:rPr>
          <w:spacing w:val="-12"/>
        </w:rPr>
        <w:t> </w:t>
      </w:r>
      <w:r>
        <w:rPr/>
        <w:t>of</w:t>
      </w:r>
      <w:r>
        <w:rPr>
          <w:spacing w:val="-7"/>
        </w:rPr>
        <w:t> </w:t>
      </w:r>
      <w:r>
        <w:rPr>
          <w:spacing w:val="-2"/>
        </w:rPr>
        <w:t>Maiduguri.</w:t>
      </w:r>
    </w:p>
    <w:p>
      <w:pPr>
        <w:pStyle w:val="BodyText"/>
      </w:pPr>
    </w:p>
    <w:p>
      <w:pPr>
        <w:pStyle w:val="BodyText"/>
        <w:spacing w:line="275" w:lineRule="exact"/>
        <w:ind w:left="580"/>
      </w:pPr>
      <w:r>
        <w:rPr/>
        <w:t>Van</w:t>
      </w:r>
      <w:r>
        <w:rPr>
          <w:spacing w:val="-8"/>
        </w:rPr>
        <w:t> </w:t>
      </w:r>
      <w:r>
        <w:rPr/>
        <w:t>Dalen,</w:t>
      </w:r>
      <w:r>
        <w:rPr>
          <w:spacing w:val="-8"/>
        </w:rPr>
        <w:t> </w:t>
      </w:r>
      <w:r>
        <w:rPr/>
        <w:t>(1973).</w:t>
      </w:r>
      <w:r>
        <w:rPr>
          <w:spacing w:val="48"/>
        </w:rPr>
        <w:t> </w:t>
      </w:r>
      <w:r>
        <w:rPr>
          <w:u w:val="single"/>
        </w:rPr>
        <w:t>Understanding</w:t>
      </w:r>
      <w:r>
        <w:rPr>
          <w:spacing w:val="-11"/>
          <w:u w:val="single"/>
        </w:rPr>
        <w:t> </w:t>
      </w:r>
      <w:r>
        <w:rPr>
          <w:u w:val="single"/>
        </w:rPr>
        <w:t>Educational</w:t>
      </w:r>
      <w:r>
        <w:rPr>
          <w:spacing w:val="-4"/>
          <w:u w:val="single"/>
        </w:rPr>
        <w:t> </w:t>
      </w:r>
      <w:r>
        <w:rPr>
          <w:u w:val="single"/>
        </w:rPr>
        <w:t>Research</w:t>
      </w:r>
      <w:r>
        <w:rPr/>
        <w:t>.</w:t>
      </w:r>
      <w:r>
        <w:rPr>
          <w:spacing w:val="46"/>
        </w:rPr>
        <w:t> </w:t>
      </w:r>
      <w:r>
        <w:rPr/>
        <w:t>University</w:t>
      </w:r>
      <w:r>
        <w:rPr>
          <w:spacing w:val="-8"/>
        </w:rPr>
        <w:t> </w:t>
      </w:r>
      <w:r>
        <w:rPr/>
        <w:t>of</w:t>
      </w:r>
      <w:r>
        <w:rPr>
          <w:spacing w:val="-8"/>
        </w:rPr>
        <w:t> </w:t>
      </w:r>
      <w:r>
        <w:rPr>
          <w:spacing w:val="-2"/>
        </w:rPr>
        <w:t>California.</w:t>
      </w:r>
    </w:p>
    <w:p>
      <w:pPr>
        <w:pStyle w:val="BodyText"/>
        <w:spacing w:line="275" w:lineRule="exact"/>
        <w:ind w:left="940"/>
      </w:pPr>
      <w:r>
        <w:rPr/>
        <w:t>McGraw</w:t>
      </w:r>
      <w:r>
        <w:rPr>
          <w:spacing w:val="-7"/>
        </w:rPr>
        <w:t> </w:t>
      </w:r>
      <w:r>
        <w:rPr/>
        <w:t>Mill</w:t>
      </w:r>
      <w:r>
        <w:rPr>
          <w:spacing w:val="-2"/>
        </w:rPr>
        <w:t> </w:t>
      </w:r>
      <w:r>
        <w:rPr/>
        <w:t>Co.,</w:t>
      </w:r>
      <w:r>
        <w:rPr>
          <w:spacing w:val="-10"/>
        </w:rPr>
        <w:t> </w:t>
      </w:r>
      <w:r>
        <w:rPr/>
        <w:t>1973,</w:t>
      </w:r>
      <w:r>
        <w:rPr>
          <w:spacing w:val="-6"/>
        </w:rPr>
        <w:t> </w:t>
      </w:r>
      <w:r>
        <w:rPr/>
        <w:t>New</w:t>
      </w:r>
      <w:r>
        <w:rPr>
          <w:spacing w:val="-10"/>
        </w:rPr>
        <w:t> </w:t>
      </w:r>
      <w:r>
        <w:rPr>
          <w:spacing w:val="-4"/>
        </w:rPr>
        <w:t>York.</w:t>
      </w:r>
    </w:p>
    <w:p>
      <w:pPr>
        <w:pStyle w:val="BodyText"/>
      </w:pPr>
    </w:p>
    <w:p>
      <w:pPr>
        <w:pStyle w:val="BodyText"/>
        <w:tabs>
          <w:tab w:pos="5479" w:val="left" w:leader="none"/>
        </w:tabs>
        <w:spacing w:line="242" w:lineRule="auto"/>
        <w:ind w:left="940" w:right="1673" w:hanging="360"/>
      </w:pPr>
      <w:r>
        <w:rPr/>
        <w:t>Waziri,</w:t>
      </w:r>
      <w:r>
        <w:rPr>
          <w:spacing w:val="-4"/>
        </w:rPr>
        <w:t> </w:t>
      </w:r>
      <w:r>
        <w:rPr/>
        <w:t>S.</w:t>
      </w:r>
      <w:r>
        <w:rPr>
          <w:spacing w:val="-7"/>
        </w:rPr>
        <w:t> </w:t>
      </w:r>
      <w:r>
        <w:rPr/>
        <w:t>(1982).</w:t>
      </w:r>
      <w:r>
        <w:rPr>
          <w:spacing w:val="40"/>
        </w:rPr>
        <w:t> </w:t>
      </w:r>
      <w:r>
        <w:rPr/>
        <w:t>“Storm</w:t>
      </w:r>
      <w:r>
        <w:rPr>
          <w:spacing w:val="-11"/>
        </w:rPr>
        <w:t> </w:t>
      </w:r>
      <w:r>
        <w:rPr/>
        <w:t>Rocks</w:t>
      </w:r>
      <w:r>
        <w:rPr>
          <w:spacing w:val="-4"/>
        </w:rPr>
        <w:t> </w:t>
      </w:r>
      <w:r>
        <w:rPr/>
        <w:t>in</w:t>
      </w:r>
      <w:r>
        <w:rPr>
          <w:spacing w:val="-3"/>
        </w:rPr>
        <w:t> </w:t>
      </w:r>
      <w:r>
        <w:rPr/>
        <w:t>ABU</w:t>
      </w:r>
      <w:r>
        <w:rPr>
          <w:spacing w:val="-4"/>
        </w:rPr>
        <w:t> </w:t>
      </w:r>
      <w:r>
        <w:rPr/>
        <w:t>over</w:t>
      </w:r>
      <w:r>
        <w:rPr>
          <w:spacing w:val="-6"/>
        </w:rPr>
        <w:t> </w:t>
      </w:r>
      <w:r>
        <w:rPr/>
        <w:t>accommodation</w:t>
      </w:r>
      <w:r>
        <w:rPr>
          <w:spacing w:val="-3"/>
        </w:rPr>
        <w:t> </w:t>
      </w:r>
      <w:r>
        <w:rPr/>
        <w:t>problem.” </w:t>
      </w:r>
      <w:r>
        <w:rPr>
          <w:u w:val="single"/>
        </w:rPr>
        <w:t>Nigerian Standard</w:t>
      </w:r>
      <w:r>
        <w:rPr/>
        <w:t>, October 4, 1982; Vol.</w:t>
        <w:tab/>
      </w:r>
      <w:r>
        <w:rPr>
          <w:spacing w:val="-6"/>
        </w:rPr>
        <w:t>p.</w:t>
      </w:r>
    </w:p>
    <w:p>
      <w:pPr>
        <w:pStyle w:val="BodyText"/>
        <w:spacing w:before="273"/>
        <w:ind w:left="940" w:right="301" w:hanging="360"/>
      </w:pPr>
      <w:r>
        <w:rPr/>
        <w:t>Williams, E.G. and Peterson, D.G. (1934).</w:t>
      </w:r>
      <w:r>
        <w:rPr>
          <w:spacing w:val="40"/>
        </w:rPr>
        <w:t> </w:t>
      </w:r>
      <w:r>
        <w:rPr/>
        <w:t>Coordinating Counseling Procedure. “</w:t>
      </w:r>
      <w:r>
        <w:rPr>
          <w:u w:val="single"/>
        </w:rPr>
        <w:t>Journal</w:t>
      </w:r>
      <w:r>
        <w:rPr>
          <w:spacing w:val="21"/>
          <w:u w:val="single"/>
        </w:rPr>
        <w:t> </w:t>
      </w:r>
      <w:r>
        <w:rPr>
          <w:u w:val="single"/>
        </w:rPr>
        <w:t>of Higher Education</w:t>
      </w:r>
      <w:r>
        <w:rPr/>
        <w:t>, Vol. V, February 1934, pp. 75 – 78.</w:t>
      </w:r>
      <w:r>
        <w:rPr>
          <w:spacing w:val="80"/>
        </w:rPr>
        <w:t> </w:t>
      </w:r>
      <w:r>
        <w:rPr>
          <w:u w:val="single"/>
        </w:rPr>
        <w:t>In</w:t>
      </w:r>
      <w:r>
        <w:rPr/>
        <w:t> Bello, J.Y</w:t>
      </w:r>
      <w:r>
        <w:rPr>
          <w:spacing w:val="40"/>
        </w:rPr>
        <w:t> </w:t>
      </w:r>
      <w:r>
        <w:rPr/>
        <w:t>(1983).</w:t>
      </w:r>
      <w:r>
        <w:rPr>
          <w:spacing w:val="80"/>
        </w:rPr>
        <w:t> </w:t>
      </w:r>
      <w:r>
        <w:rPr/>
        <w:t>The Identification of Problems Facing Students of Advanced Teachers</w:t>
      </w:r>
      <w:r>
        <w:rPr>
          <w:spacing w:val="40"/>
        </w:rPr>
        <w:t> </w:t>
      </w:r>
      <w:r>
        <w:rPr/>
        <w:t>Colleges in Nigeria.</w:t>
      </w:r>
      <w:r>
        <w:rPr>
          <w:spacing w:val="40"/>
        </w:rPr>
        <w:t> </w:t>
      </w:r>
      <w:r>
        <w:rPr/>
        <w:t>Ph.D Thesis, Faculty of Education, ABU., Zaria. pp.</w:t>
      </w:r>
    </w:p>
    <w:p>
      <w:pPr>
        <w:pStyle w:val="BodyText"/>
        <w:spacing w:line="480" w:lineRule="auto" w:before="274"/>
        <w:ind w:left="580"/>
      </w:pPr>
      <w:r>
        <w:rPr/>
        <w:t>Yahya, A. (1981).</w:t>
      </w:r>
      <w:r>
        <w:rPr>
          <w:spacing w:val="40"/>
        </w:rPr>
        <w:t> </w:t>
      </w:r>
      <w:r>
        <w:rPr/>
        <w:t>Announcement by Council.</w:t>
      </w:r>
      <w:r>
        <w:rPr>
          <w:spacing w:val="40"/>
        </w:rPr>
        <w:t> </w:t>
      </w:r>
      <w:r>
        <w:rPr/>
        <w:t>Registrar’s Office, ABU., Zaria. </w:t>
      </w:r>
      <w:hyperlink r:id="rId600">
        <w:r>
          <w:rPr>
            <w:color w:val="0000FF"/>
            <w:u w:val="single" w:color="0000FF"/>
          </w:rPr>
          <w:t>http://www.sws.cornell.edu/sws/www.shareaccommodation.com.au</w:t>
        </w:r>
      </w:hyperlink>
      <w:r>
        <w:rPr>
          <w:color w:val="0000FF"/>
          <w:spacing w:val="40"/>
        </w:rPr>
        <w:t> </w:t>
      </w:r>
      <w:r>
        <w:rPr/>
        <w:t>-</w:t>
      </w:r>
      <w:r>
        <w:rPr>
          <w:spacing w:val="-13"/>
        </w:rPr>
        <w:t> </w:t>
      </w:r>
      <w:r>
        <w:rPr/>
        <w:t>12/14/2004 </w:t>
      </w:r>
      <w:r>
        <w:rPr>
          <w:color w:val="0000FF"/>
          <w:u w:val="single" w:color="0000FF"/>
        </w:rPr>
        <w:t>File://F:\Accommodation.htm</w:t>
      </w:r>
      <w:r>
        <w:rPr>
          <w:color w:val="0000FF"/>
          <w:spacing w:val="80"/>
        </w:rPr>
        <w:t> </w:t>
      </w:r>
      <w:r>
        <w:rPr/>
        <w:t>-</w:t>
      </w:r>
      <w:r>
        <w:rPr>
          <w:spacing w:val="40"/>
        </w:rPr>
        <w:t> </w:t>
      </w:r>
      <w:r>
        <w:rPr/>
        <w:t>10/29/2007</w:t>
      </w:r>
    </w:p>
    <w:p>
      <w:pPr>
        <w:pStyle w:val="BodyText"/>
        <w:ind w:left="580"/>
      </w:pPr>
      <w:r>
        <w:rPr/>
        <w:t>Website:</w:t>
      </w:r>
      <w:r>
        <w:rPr>
          <w:spacing w:val="-10"/>
        </w:rPr>
        <w:t> </w:t>
      </w:r>
      <w:hyperlink r:id="rId601">
        <w:r>
          <w:rPr>
            <w:spacing w:val="-2"/>
          </w:rPr>
          <w:t>www.usyd.edu.auproperties/accom/terrace.html</w:t>
        </w:r>
      </w:hyperlink>
    </w:p>
    <w:p>
      <w:pPr>
        <w:spacing w:after="0"/>
        <w:sectPr>
          <w:headerReference w:type="default" r:id="rId598"/>
          <w:footerReference w:type="default" r:id="rId599"/>
          <w:pgSz w:w="12240" w:h="15840"/>
          <w:pgMar w:header="722" w:footer="623" w:top="980" w:bottom="820" w:left="1220" w:right="1140"/>
        </w:sectPr>
      </w:pPr>
    </w:p>
    <w:p>
      <w:pPr>
        <w:pStyle w:val="BodyText"/>
        <w:spacing w:before="71"/>
        <w:rPr>
          <w:sz w:val="32"/>
        </w:rPr>
      </w:pPr>
    </w:p>
    <w:p>
      <w:pPr>
        <w:pStyle w:val="Heading1"/>
        <w:ind w:left="4280"/>
        <w:jc w:val="left"/>
      </w:pPr>
      <w:r>
        <w:rPr/>
        <w:t>APPENDIX</w:t>
      </w:r>
      <w:r>
        <w:rPr>
          <w:spacing w:val="-3"/>
        </w:rPr>
        <w:t> </w:t>
      </w:r>
      <w:r>
        <w:rPr>
          <w:spacing w:val="-10"/>
        </w:rPr>
        <w:t>A</w:t>
      </w:r>
    </w:p>
    <w:p>
      <w:pPr>
        <w:pStyle w:val="BodyText"/>
        <w:spacing w:before="151"/>
        <w:rPr>
          <w:rFonts w:ascii="Arial"/>
          <w:b/>
          <w:sz w:val="32"/>
        </w:rPr>
      </w:pPr>
    </w:p>
    <w:p>
      <w:pPr>
        <w:pStyle w:val="Heading2"/>
        <w:ind w:left="2402" w:right="2490"/>
        <w:jc w:val="center"/>
      </w:pPr>
      <w:r>
        <w:rPr/>
        <w:t>DEPARTMENT</w:t>
      </w:r>
      <w:r>
        <w:rPr>
          <w:spacing w:val="-20"/>
        </w:rPr>
        <w:t> </w:t>
      </w:r>
      <w:r>
        <w:rPr/>
        <w:t>OF</w:t>
      </w:r>
      <w:r>
        <w:rPr>
          <w:spacing w:val="-19"/>
        </w:rPr>
        <w:t> </w:t>
      </w:r>
      <w:r>
        <w:rPr/>
        <w:t>EDUCATION, AHMADU BELLO UNIVERSITY, </w:t>
      </w:r>
      <w:r>
        <w:rPr>
          <w:spacing w:val="-2"/>
        </w:rPr>
        <w:t>ZARIA.</w:t>
      </w:r>
    </w:p>
    <w:p>
      <w:pPr>
        <w:pStyle w:val="BodyText"/>
        <w:spacing w:before="5"/>
        <w:rPr>
          <w:rFonts w:ascii="Arial"/>
          <w:b/>
        </w:rPr>
      </w:pPr>
    </w:p>
    <w:p>
      <w:pPr>
        <w:pStyle w:val="BodyText"/>
        <w:ind w:left="5980"/>
      </w:pPr>
      <w:r>
        <w:rPr/>
        <w:t>Date:</w:t>
      </w:r>
      <w:r>
        <w:rPr>
          <w:spacing w:val="-10"/>
        </w:rPr>
        <w:t> </w:t>
      </w:r>
      <w:r>
        <w:rPr/>
        <w:t>14</w:t>
      </w:r>
      <w:r>
        <w:rPr>
          <w:vertAlign w:val="superscript"/>
        </w:rPr>
        <w:t>th</w:t>
      </w:r>
      <w:r>
        <w:rPr>
          <w:spacing w:val="-10"/>
          <w:vertAlign w:val="baseline"/>
        </w:rPr>
        <w:t> </w:t>
      </w:r>
      <w:r>
        <w:rPr>
          <w:vertAlign w:val="baseline"/>
        </w:rPr>
        <w:t>November,</w:t>
      </w:r>
      <w:r>
        <w:rPr>
          <w:spacing w:val="-10"/>
          <w:vertAlign w:val="baseline"/>
        </w:rPr>
        <w:t> </w:t>
      </w:r>
      <w:r>
        <w:rPr>
          <w:spacing w:val="-4"/>
          <w:vertAlign w:val="baseline"/>
        </w:rPr>
        <w:t>2003</w:t>
      </w:r>
    </w:p>
    <w:p>
      <w:pPr>
        <w:pStyle w:val="BodyText"/>
        <w:spacing w:before="269"/>
      </w:pPr>
    </w:p>
    <w:p>
      <w:pPr>
        <w:pStyle w:val="Heading3"/>
        <w:ind w:left="220" w:right="899"/>
        <w:jc w:val="both"/>
      </w:pPr>
      <w:r>
        <w:rPr/>
        <w:t>QUESTIONNAIRE</w:t>
      </w:r>
      <w:r>
        <w:rPr>
          <w:spacing w:val="-6"/>
        </w:rPr>
        <w:t> </w:t>
      </w:r>
      <w:r>
        <w:rPr/>
        <w:t>ON ASSESSMENT OF</w:t>
      </w:r>
      <w:r>
        <w:rPr>
          <w:spacing w:val="-6"/>
        </w:rPr>
        <w:t> </w:t>
      </w:r>
      <w:r>
        <w:rPr/>
        <w:t>THE</w:t>
      </w:r>
      <w:r>
        <w:rPr>
          <w:spacing w:val="-6"/>
        </w:rPr>
        <w:t> </w:t>
      </w:r>
      <w:r>
        <w:rPr/>
        <w:t>MANAGEMENT OF</w:t>
      </w:r>
      <w:r>
        <w:rPr>
          <w:spacing w:val="-3"/>
        </w:rPr>
        <w:t> </w:t>
      </w:r>
      <w:r>
        <w:rPr/>
        <w:t>STUDENTS’ WELFARE</w:t>
      </w:r>
      <w:r>
        <w:rPr>
          <w:spacing w:val="-8"/>
        </w:rPr>
        <w:t> </w:t>
      </w:r>
      <w:r>
        <w:rPr/>
        <w:t>SERVICES</w:t>
      </w:r>
      <w:r>
        <w:rPr>
          <w:spacing w:val="-4"/>
        </w:rPr>
        <w:t> </w:t>
      </w:r>
      <w:r>
        <w:rPr/>
        <w:t>IN</w:t>
      </w:r>
      <w:r>
        <w:rPr>
          <w:spacing w:val="-7"/>
        </w:rPr>
        <w:t> </w:t>
      </w:r>
      <w:r>
        <w:rPr/>
        <w:t>UNIVERSITIES</w:t>
      </w:r>
      <w:r>
        <w:rPr>
          <w:spacing w:val="-4"/>
        </w:rPr>
        <w:t> </w:t>
      </w:r>
      <w:r>
        <w:rPr/>
        <w:t>IN</w:t>
      </w:r>
      <w:r>
        <w:rPr>
          <w:spacing w:val="-2"/>
        </w:rPr>
        <w:t> </w:t>
      </w:r>
      <w:r>
        <w:rPr/>
        <w:t>THREE</w:t>
      </w:r>
      <w:r>
        <w:rPr>
          <w:spacing w:val="-8"/>
        </w:rPr>
        <w:t> </w:t>
      </w:r>
      <w:r>
        <w:rPr/>
        <w:t>GEOPOLITICAL</w:t>
      </w:r>
      <w:r>
        <w:rPr>
          <w:spacing w:val="-5"/>
        </w:rPr>
        <w:t> </w:t>
      </w:r>
      <w:r>
        <w:rPr/>
        <w:t>ZONES</w:t>
      </w:r>
      <w:r>
        <w:rPr>
          <w:spacing w:val="-8"/>
        </w:rPr>
        <w:t> </w:t>
      </w:r>
      <w:r>
        <w:rPr/>
        <w:t>IN NORTHERN PART OF NIGERIA</w:t>
      </w:r>
    </w:p>
    <w:p>
      <w:pPr>
        <w:pStyle w:val="BodyText"/>
        <w:rPr>
          <w:rFonts w:ascii="Arial"/>
          <w:b/>
        </w:rPr>
      </w:pPr>
    </w:p>
    <w:p>
      <w:pPr>
        <w:pStyle w:val="BodyText"/>
        <w:spacing w:before="2"/>
        <w:rPr>
          <w:rFonts w:ascii="Arial"/>
          <w:b/>
        </w:rPr>
      </w:pPr>
    </w:p>
    <w:p>
      <w:pPr>
        <w:spacing w:before="0"/>
        <w:ind w:left="220" w:right="0" w:firstLine="0"/>
        <w:jc w:val="both"/>
        <w:rPr>
          <w:rFonts w:ascii="Arial"/>
          <w:b/>
          <w:sz w:val="24"/>
        </w:rPr>
      </w:pPr>
      <w:r>
        <w:rPr>
          <w:rFonts w:ascii="Arial"/>
          <w:b/>
          <w:sz w:val="24"/>
        </w:rPr>
        <w:t>TO</w:t>
      </w:r>
      <w:r>
        <w:rPr>
          <w:rFonts w:ascii="Arial"/>
          <w:b/>
          <w:spacing w:val="-7"/>
          <w:sz w:val="24"/>
        </w:rPr>
        <w:t> </w:t>
      </w:r>
      <w:r>
        <w:rPr>
          <w:rFonts w:ascii="Arial"/>
          <w:b/>
          <w:sz w:val="24"/>
        </w:rPr>
        <w:t>WHOM</w:t>
      </w:r>
      <w:r>
        <w:rPr>
          <w:rFonts w:ascii="Arial"/>
          <w:b/>
          <w:spacing w:val="-10"/>
          <w:sz w:val="24"/>
        </w:rPr>
        <w:t> </w:t>
      </w:r>
      <w:r>
        <w:rPr>
          <w:rFonts w:ascii="Arial"/>
          <w:b/>
          <w:sz w:val="24"/>
        </w:rPr>
        <w:t>IT</w:t>
      </w:r>
      <w:r>
        <w:rPr>
          <w:rFonts w:ascii="Arial"/>
          <w:b/>
          <w:spacing w:val="-2"/>
          <w:sz w:val="24"/>
        </w:rPr>
        <w:t> </w:t>
      </w:r>
      <w:r>
        <w:rPr>
          <w:rFonts w:ascii="Arial"/>
          <w:b/>
          <w:sz w:val="24"/>
        </w:rPr>
        <w:t>MAY</w:t>
      </w:r>
      <w:r>
        <w:rPr>
          <w:rFonts w:ascii="Arial"/>
          <w:b/>
          <w:spacing w:val="-8"/>
          <w:sz w:val="24"/>
        </w:rPr>
        <w:t> </w:t>
      </w:r>
      <w:r>
        <w:rPr>
          <w:rFonts w:ascii="Arial"/>
          <w:b/>
          <w:spacing w:val="-2"/>
          <w:sz w:val="24"/>
        </w:rPr>
        <w:t>CONCERN</w:t>
      </w:r>
    </w:p>
    <w:p>
      <w:pPr>
        <w:pStyle w:val="BodyText"/>
        <w:spacing w:before="5"/>
        <w:rPr>
          <w:rFonts w:ascii="Arial"/>
          <w:b/>
        </w:rPr>
      </w:pPr>
    </w:p>
    <w:p>
      <w:pPr>
        <w:pStyle w:val="BodyText"/>
        <w:ind w:left="220"/>
        <w:jc w:val="both"/>
      </w:pPr>
      <w:r>
        <w:rPr/>
        <w:t>Dear</w:t>
      </w:r>
      <w:r>
        <w:rPr>
          <w:spacing w:val="63"/>
        </w:rPr>
        <w:t> </w:t>
      </w:r>
      <w:r>
        <w:rPr>
          <w:spacing w:val="-4"/>
        </w:rPr>
        <w:t>Sir,</w:t>
      </w:r>
    </w:p>
    <w:p>
      <w:pPr>
        <w:pStyle w:val="BodyText"/>
        <w:spacing w:before="269"/>
      </w:pPr>
    </w:p>
    <w:p>
      <w:pPr>
        <w:pStyle w:val="Heading3"/>
        <w:ind w:left="220"/>
        <w:jc w:val="both"/>
      </w:pPr>
      <w:r>
        <w:rPr/>
        <w:t>COLLECTION</w:t>
      </w:r>
      <w:r>
        <w:rPr>
          <w:spacing w:val="-14"/>
        </w:rPr>
        <w:t> </w:t>
      </w:r>
      <w:r>
        <w:rPr/>
        <w:t>OF</w:t>
      </w:r>
      <w:r>
        <w:rPr>
          <w:spacing w:val="-12"/>
        </w:rPr>
        <w:t> </w:t>
      </w:r>
      <w:r>
        <w:rPr/>
        <w:t>RESEARCH</w:t>
      </w:r>
      <w:r>
        <w:rPr>
          <w:spacing w:val="-14"/>
        </w:rPr>
        <w:t> </w:t>
      </w:r>
      <w:r>
        <w:rPr>
          <w:spacing w:val="-4"/>
        </w:rPr>
        <w:t>DATA</w:t>
      </w:r>
    </w:p>
    <w:p>
      <w:pPr>
        <w:pStyle w:val="BodyText"/>
        <w:rPr>
          <w:rFonts w:ascii="Arial"/>
          <w:b/>
        </w:rPr>
      </w:pPr>
    </w:p>
    <w:p>
      <w:pPr>
        <w:pStyle w:val="BodyText"/>
        <w:spacing w:before="7"/>
        <w:rPr>
          <w:rFonts w:ascii="Arial"/>
          <w:b/>
        </w:rPr>
      </w:pPr>
    </w:p>
    <w:p>
      <w:pPr>
        <w:pStyle w:val="BodyText"/>
        <w:spacing w:line="360" w:lineRule="auto"/>
        <w:ind w:left="220" w:right="295"/>
        <w:jc w:val="both"/>
      </w:pPr>
      <w:r>
        <w:rPr/>
        <w:t>The bearer, Asta Abdullahi Mahadi (Mrs) is conducting a research in the field of Education and Planning, and is interested in assessing the Management of Students Welfare Services in the Universities in the three geopolitical zones in Northern Part of Nigeria for the degree of Ph.D Educational Administration and Planning, Faculty of Education.</w:t>
      </w:r>
      <w:r>
        <w:rPr>
          <w:spacing w:val="80"/>
        </w:rPr>
        <w:t> </w:t>
      </w:r>
      <w:r>
        <w:rPr/>
        <w:t>The Department of Education, Ahmadu Bello University will be grateful if</w:t>
      </w:r>
      <w:r>
        <w:rPr>
          <w:spacing w:val="40"/>
        </w:rPr>
        <w:t> </w:t>
      </w:r>
      <w:r>
        <w:rPr/>
        <w:t>you can permit her to collect the</w:t>
      </w:r>
      <w:r>
        <w:rPr>
          <w:spacing w:val="-1"/>
        </w:rPr>
        <w:t> </w:t>
      </w:r>
      <w:r>
        <w:rPr/>
        <w:t>relevant,</w:t>
      </w:r>
      <w:r>
        <w:rPr>
          <w:spacing w:val="-2"/>
        </w:rPr>
        <w:t> </w:t>
      </w:r>
      <w:r>
        <w:rPr/>
        <w:t>information/data from</w:t>
      </w:r>
      <w:r>
        <w:rPr>
          <w:spacing w:val="-5"/>
        </w:rPr>
        <w:t> </w:t>
      </w:r>
      <w:r>
        <w:rPr/>
        <w:t>your University which</w:t>
      </w:r>
      <w:r>
        <w:rPr>
          <w:spacing w:val="-1"/>
        </w:rPr>
        <w:t> </w:t>
      </w:r>
      <w:r>
        <w:rPr/>
        <w:t>is one of the 5 Universities she has sampled for the study.</w:t>
      </w:r>
    </w:p>
    <w:p>
      <w:pPr>
        <w:pStyle w:val="BodyText"/>
        <w:spacing w:before="138"/>
      </w:pPr>
    </w:p>
    <w:p>
      <w:pPr>
        <w:pStyle w:val="BodyText"/>
        <w:spacing w:line="360" w:lineRule="auto" w:before="1"/>
        <w:ind w:left="555" w:right="7932" w:hanging="336"/>
      </w:pPr>
      <w:r>
        <w:rPr/>
        <w:t>Yours</w:t>
      </w:r>
      <w:r>
        <w:rPr>
          <w:spacing w:val="-17"/>
        </w:rPr>
        <w:t> </w:t>
      </w:r>
      <w:r>
        <w:rPr/>
        <w:t>faithfully, </w:t>
      </w:r>
      <w:r>
        <w:rPr>
          <w:spacing w:val="-4"/>
        </w:rPr>
        <w:t>SGD</w:t>
      </w:r>
    </w:p>
    <w:p>
      <w:pPr>
        <w:pStyle w:val="BodyText"/>
        <w:spacing w:line="242" w:lineRule="auto"/>
        <w:ind w:left="220" w:right="7932"/>
      </w:pPr>
      <w:r>
        <w:rPr/>
        <w:t>Ben Yunus Head</w:t>
      </w:r>
      <w:r>
        <w:rPr>
          <w:spacing w:val="-17"/>
        </w:rPr>
        <w:t> </w:t>
      </w:r>
      <w:r>
        <w:rPr/>
        <w:t>of</w:t>
      </w:r>
      <w:r>
        <w:rPr>
          <w:spacing w:val="-17"/>
        </w:rPr>
        <w:t> </w:t>
      </w:r>
      <w:r>
        <w:rPr/>
        <w:t>Dept.</w:t>
      </w:r>
    </w:p>
    <w:p>
      <w:pPr>
        <w:spacing w:after="0" w:line="242" w:lineRule="auto"/>
        <w:sectPr>
          <w:headerReference w:type="default" r:id="rId602"/>
          <w:footerReference w:type="default" r:id="rId603"/>
          <w:pgSz w:w="12240" w:h="15840"/>
          <w:pgMar w:header="722" w:footer="623" w:top="980" w:bottom="820" w:left="1220" w:right="1140"/>
        </w:sectPr>
      </w:pPr>
    </w:p>
    <w:p>
      <w:pPr>
        <w:pStyle w:val="BodyText"/>
      </w:pPr>
    </w:p>
    <w:p>
      <w:pPr>
        <w:pStyle w:val="BodyText"/>
      </w:pPr>
    </w:p>
    <w:p>
      <w:pPr>
        <w:pStyle w:val="BodyText"/>
        <w:spacing w:before="13"/>
      </w:pPr>
    </w:p>
    <w:p>
      <w:pPr>
        <w:pStyle w:val="BodyText"/>
        <w:ind w:left="5980" w:right="863"/>
      </w:pPr>
      <w:r>
        <w:rPr/>
        <w:t>Department</w:t>
      </w:r>
      <w:r>
        <w:rPr>
          <w:spacing w:val="-17"/>
        </w:rPr>
        <w:t> </w:t>
      </w:r>
      <w:r>
        <w:rPr/>
        <w:t>of</w:t>
      </w:r>
      <w:r>
        <w:rPr>
          <w:spacing w:val="-17"/>
        </w:rPr>
        <w:t> </w:t>
      </w:r>
      <w:r>
        <w:rPr/>
        <w:t>Education, Faculty of Education, Ahmadu Bello University, </w:t>
      </w:r>
      <w:r>
        <w:rPr>
          <w:spacing w:val="-2"/>
        </w:rPr>
        <w:t>Zaria.</w:t>
      </w:r>
    </w:p>
    <w:p>
      <w:pPr>
        <w:pStyle w:val="BodyText"/>
        <w:spacing w:before="2"/>
      </w:pPr>
    </w:p>
    <w:p>
      <w:pPr>
        <w:pStyle w:val="BodyText"/>
        <w:spacing w:before="1"/>
        <w:ind w:left="5980"/>
      </w:pPr>
      <w:r>
        <w:rPr/>
        <w:t>12</w:t>
      </w:r>
      <w:r>
        <w:rPr>
          <w:vertAlign w:val="superscript"/>
        </w:rPr>
        <w:t>th</w:t>
      </w:r>
      <w:r>
        <w:rPr>
          <w:spacing w:val="-12"/>
          <w:vertAlign w:val="baseline"/>
        </w:rPr>
        <w:t> </w:t>
      </w:r>
      <w:r>
        <w:rPr>
          <w:vertAlign w:val="baseline"/>
        </w:rPr>
        <w:t>November,</w:t>
      </w:r>
      <w:r>
        <w:rPr>
          <w:spacing w:val="-9"/>
          <w:vertAlign w:val="baseline"/>
        </w:rPr>
        <w:t> </w:t>
      </w:r>
      <w:r>
        <w:rPr>
          <w:spacing w:val="-4"/>
          <w:vertAlign w:val="baseline"/>
        </w:rPr>
        <w:t>2003</w:t>
      </w:r>
    </w:p>
    <w:p>
      <w:pPr>
        <w:pStyle w:val="BodyText"/>
      </w:pPr>
    </w:p>
    <w:p>
      <w:pPr>
        <w:pStyle w:val="BodyText"/>
        <w:ind w:left="220"/>
      </w:pPr>
      <w:r>
        <w:rPr/>
        <w:t>Dear</w:t>
      </w:r>
      <w:r>
        <w:rPr>
          <w:spacing w:val="-3"/>
        </w:rPr>
        <w:t> </w:t>
      </w:r>
      <w:r>
        <w:rPr>
          <w:spacing w:val="-2"/>
        </w:rPr>
        <w:t>Sir/Madam/Student,</w:t>
      </w:r>
    </w:p>
    <w:p>
      <w:pPr>
        <w:spacing w:line="237" w:lineRule="auto" w:before="273"/>
        <w:ind w:left="1972" w:right="0" w:hanging="1652"/>
        <w:jc w:val="left"/>
        <w:rPr>
          <w:rFonts w:ascii="Arial" w:hAnsi="Arial"/>
          <w:b/>
          <w:sz w:val="24"/>
        </w:rPr>
      </w:pPr>
      <w:r>
        <w:rPr>
          <w:rFonts w:ascii="Arial" w:hAnsi="Arial"/>
          <w:b/>
          <w:sz w:val="24"/>
          <w:u w:val="single"/>
        </w:rPr>
        <w:t>Questionnaire</w:t>
      </w:r>
      <w:r>
        <w:rPr>
          <w:rFonts w:ascii="Arial" w:hAnsi="Arial"/>
          <w:b/>
          <w:spacing w:val="-4"/>
          <w:sz w:val="24"/>
          <w:u w:val="single"/>
        </w:rPr>
        <w:t> </w:t>
      </w:r>
      <w:r>
        <w:rPr>
          <w:rFonts w:ascii="Arial" w:hAnsi="Arial"/>
          <w:b/>
          <w:sz w:val="24"/>
          <w:u w:val="single"/>
        </w:rPr>
        <w:t>on</w:t>
      </w:r>
      <w:r>
        <w:rPr>
          <w:rFonts w:ascii="Arial" w:hAnsi="Arial"/>
          <w:b/>
          <w:spacing w:val="-7"/>
          <w:sz w:val="24"/>
          <w:u w:val="single"/>
        </w:rPr>
        <w:t> </w:t>
      </w:r>
      <w:r>
        <w:rPr>
          <w:rFonts w:ascii="Arial" w:hAnsi="Arial"/>
          <w:b/>
          <w:sz w:val="24"/>
          <w:u w:val="single"/>
        </w:rPr>
        <w:t>Students’</w:t>
      </w:r>
      <w:r>
        <w:rPr>
          <w:rFonts w:ascii="Arial" w:hAnsi="Arial"/>
          <w:b/>
          <w:spacing w:val="-5"/>
          <w:sz w:val="24"/>
          <w:u w:val="single"/>
        </w:rPr>
        <w:t> </w:t>
      </w:r>
      <w:r>
        <w:rPr>
          <w:rFonts w:ascii="Arial" w:hAnsi="Arial"/>
          <w:b/>
          <w:sz w:val="24"/>
          <w:u w:val="single"/>
        </w:rPr>
        <w:t>Welfare</w:t>
      </w:r>
      <w:r>
        <w:rPr>
          <w:rFonts w:ascii="Arial" w:hAnsi="Arial"/>
          <w:b/>
          <w:spacing w:val="-4"/>
          <w:sz w:val="24"/>
          <w:u w:val="single"/>
        </w:rPr>
        <w:t> </w:t>
      </w:r>
      <w:r>
        <w:rPr>
          <w:rFonts w:ascii="Arial" w:hAnsi="Arial"/>
          <w:b/>
          <w:sz w:val="24"/>
          <w:u w:val="single"/>
        </w:rPr>
        <w:t>Services</w:t>
      </w:r>
      <w:r>
        <w:rPr>
          <w:rFonts w:ascii="Arial" w:hAnsi="Arial"/>
          <w:b/>
          <w:spacing w:val="-4"/>
          <w:sz w:val="24"/>
          <w:u w:val="single"/>
        </w:rPr>
        <w:t> </w:t>
      </w:r>
      <w:r>
        <w:rPr>
          <w:rFonts w:ascii="Arial" w:hAnsi="Arial"/>
          <w:b/>
          <w:sz w:val="24"/>
          <w:u w:val="single"/>
        </w:rPr>
        <w:t>in</w:t>
      </w:r>
      <w:r>
        <w:rPr>
          <w:rFonts w:ascii="Arial" w:hAnsi="Arial"/>
          <w:b/>
          <w:spacing w:val="-7"/>
          <w:sz w:val="24"/>
          <w:u w:val="single"/>
        </w:rPr>
        <w:t> </w:t>
      </w:r>
      <w:r>
        <w:rPr>
          <w:rFonts w:ascii="Arial" w:hAnsi="Arial"/>
          <w:b/>
          <w:sz w:val="24"/>
          <w:u w:val="single"/>
        </w:rPr>
        <w:t>selected</w:t>
      </w:r>
      <w:r>
        <w:rPr>
          <w:rFonts w:ascii="Arial" w:hAnsi="Arial"/>
          <w:b/>
          <w:spacing w:val="-3"/>
          <w:sz w:val="24"/>
          <w:u w:val="single"/>
        </w:rPr>
        <w:t> </w:t>
      </w:r>
      <w:r>
        <w:rPr>
          <w:rFonts w:ascii="Arial" w:hAnsi="Arial"/>
          <w:b/>
          <w:sz w:val="24"/>
          <w:u w:val="single"/>
        </w:rPr>
        <w:t>Nigerian</w:t>
      </w:r>
      <w:r>
        <w:rPr>
          <w:rFonts w:ascii="Arial" w:hAnsi="Arial"/>
          <w:b/>
          <w:spacing w:val="-7"/>
          <w:sz w:val="24"/>
          <w:u w:val="single"/>
        </w:rPr>
        <w:t> </w:t>
      </w:r>
      <w:r>
        <w:rPr>
          <w:rFonts w:ascii="Arial" w:hAnsi="Arial"/>
          <w:b/>
          <w:sz w:val="24"/>
          <w:u w:val="single"/>
        </w:rPr>
        <w:t>Universities</w:t>
      </w:r>
      <w:r>
        <w:rPr>
          <w:rFonts w:ascii="Arial" w:hAnsi="Arial"/>
          <w:b/>
          <w:spacing w:val="-4"/>
          <w:sz w:val="24"/>
          <w:u w:val="single"/>
        </w:rPr>
        <w:t> </w:t>
      </w:r>
      <w:r>
        <w:rPr>
          <w:rFonts w:ascii="Arial" w:hAnsi="Arial"/>
          <w:b/>
          <w:sz w:val="24"/>
          <w:u w:val="single"/>
        </w:rPr>
        <w:t>in</w:t>
      </w:r>
      <w:r>
        <w:rPr>
          <w:rFonts w:ascii="Arial" w:hAnsi="Arial"/>
          <w:b/>
          <w:sz w:val="24"/>
        </w:rPr>
        <w:t> </w:t>
      </w:r>
      <w:r>
        <w:rPr>
          <w:rFonts w:ascii="Arial" w:hAnsi="Arial"/>
          <w:b/>
          <w:sz w:val="24"/>
          <w:u w:val="single"/>
        </w:rPr>
        <w:t>three Geopolitical Zones in Northern part of Nigeria</w:t>
      </w:r>
    </w:p>
    <w:p>
      <w:pPr>
        <w:pStyle w:val="BodyText"/>
        <w:spacing w:before="1"/>
        <w:rPr>
          <w:rFonts w:ascii="Arial"/>
          <w:b/>
        </w:rPr>
      </w:pPr>
    </w:p>
    <w:p>
      <w:pPr>
        <w:pStyle w:val="Heading4"/>
        <w:ind w:left="220"/>
      </w:pPr>
      <w:r>
        <w:rPr/>
        <w:t>Collection</w:t>
      </w:r>
      <w:r>
        <w:rPr>
          <w:spacing w:val="-7"/>
        </w:rPr>
        <w:t> </w:t>
      </w:r>
      <w:r>
        <w:rPr/>
        <w:t>of</w:t>
      </w:r>
      <w:r>
        <w:rPr>
          <w:spacing w:val="-3"/>
        </w:rPr>
        <w:t> </w:t>
      </w:r>
      <w:r>
        <w:rPr>
          <w:spacing w:val="-4"/>
        </w:rPr>
        <w:t>Data</w:t>
      </w:r>
    </w:p>
    <w:p>
      <w:pPr>
        <w:pStyle w:val="BodyText"/>
        <w:spacing w:before="5"/>
        <w:rPr>
          <w:rFonts w:ascii="Arial"/>
          <w:b/>
        </w:rPr>
      </w:pPr>
    </w:p>
    <w:p>
      <w:pPr>
        <w:pStyle w:val="BodyText"/>
        <w:ind w:left="220" w:right="294" w:firstLine="720"/>
        <w:jc w:val="both"/>
      </w:pPr>
      <w:r>
        <w:rPr/>
        <w:t>I am a Ph.D student studying Educational Administration and Planning in</w:t>
      </w:r>
      <w:r>
        <w:rPr>
          <w:spacing w:val="40"/>
        </w:rPr>
        <w:t> </w:t>
      </w:r>
      <w:r>
        <w:rPr/>
        <w:t>Ahmadu Bello University, Zaria.</w:t>
      </w:r>
      <w:r>
        <w:rPr>
          <w:spacing w:val="40"/>
        </w:rPr>
        <w:t> </w:t>
      </w:r>
      <w:r>
        <w:rPr/>
        <w:t>I am conducting a research on “An Assessment of the Management of University Students’ Welfare services in the Universities in the three Geopolitical Zones in the Northern part of Nigeria”.</w:t>
      </w:r>
    </w:p>
    <w:p>
      <w:pPr>
        <w:pStyle w:val="BodyText"/>
        <w:spacing w:before="2"/>
      </w:pPr>
    </w:p>
    <w:p>
      <w:pPr>
        <w:pStyle w:val="BodyText"/>
        <w:ind w:left="220" w:right="296" w:firstLine="720"/>
        <w:jc w:val="both"/>
      </w:pPr>
      <w:r>
        <w:rPr/>
        <w:t>It will be highly appreciated if you can kindly respond to the attached questionnaire</w:t>
      </w:r>
      <w:r>
        <w:rPr>
          <w:spacing w:val="-1"/>
        </w:rPr>
        <w:t> </w:t>
      </w:r>
      <w:r>
        <w:rPr/>
        <w:t>which</w:t>
      </w:r>
      <w:r>
        <w:rPr>
          <w:spacing w:val="-1"/>
        </w:rPr>
        <w:t> </w:t>
      </w:r>
      <w:r>
        <w:rPr/>
        <w:t>is</w:t>
      </w:r>
      <w:r>
        <w:rPr>
          <w:spacing w:val="-2"/>
        </w:rPr>
        <w:t> </w:t>
      </w:r>
      <w:r>
        <w:rPr/>
        <w:t>designed</w:t>
      </w:r>
      <w:r>
        <w:rPr>
          <w:spacing w:val="-1"/>
        </w:rPr>
        <w:t> </w:t>
      </w:r>
      <w:r>
        <w:rPr/>
        <w:t>to</w:t>
      </w:r>
      <w:r>
        <w:rPr>
          <w:spacing w:val="-1"/>
        </w:rPr>
        <w:t> </w:t>
      </w:r>
      <w:r>
        <w:rPr/>
        <w:t>assist</w:t>
      </w:r>
      <w:r>
        <w:rPr>
          <w:spacing w:val="-2"/>
        </w:rPr>
        <w:t> </w:t>
      </w:r>
      <w:r>
        <w:rPr/>
        <w:t>me</w:t>
      </w:r>
      <w:r>
        <w:rPr>
          <w:spacing w:val="-1"/>
        </w:rPr>
        <w:t> </w:t>
      </w:r>
      <w:r>
        <w:rPr/>
        <w:t>find</w:t>
      </w:r>
      <w:r>
        <w:rPr>
          <w:spacing w:val="-1"/>
        </w:rPr>
        <w:t> </w:t>
      </w:r>
      <w:r>
        <w:rPr/>
        <w:t>out</w:t>
      </w:r>
      <w:r>
        <w:rPr>
          <w:spacing w:val="-2"/>
        </w:rPr>
        <w:t> </w:t>
      </w:r>
      <w:r>
        <w:rPr/>
        <w:t>how</w:t>
      </w:r>
      <w:r>
        <w:rPr>
          <w:spacing w:val="-7"/>
        </w:rPr>
        <w:t> </w:t>
      </w:r>
      <w:r>
        <w:rPr/>
        <w:t>students’</w:t>
      </w:r>
      <w:r>
        <w:rPr>
          <w:spacing w:val="-2"/>
        </w:rPr>
        <w:t> </w:t>
      </w:r>
      <w:r>
        <w:rPr/>
        <w:t>welfare</w:t>
      </w:r>
      <w:r>
        <w:rPr>
          <w:spacing w:val="-1"/>
        </w:rPr>
        <w:t> </w:t>
      </w:r>
      <w:r>
        <w:rPr/>
        <w:t>services</w:t>
      </w:r>
      <w:r>
        <w:rPr>
          <w:spacing w:val="-2"/>
        </w:rPr>
        <w:t> </w:t>
      </w:r>
      <w:r>
        <w:rPr/>
        <w:t>are managed in Universities in three geopolitical zones in Northern part of Nigeria.</w:t>
      </w:r>
      <w:r>
        <w:rPr>
          <w:spacing w:val="40"/>
        </w:rPr>
        <w:t> </w:t>
      </w:r>
      <w:r>
        <w:rPr/>
        <w:t>It is hoped that the study will enhance effective procurement and management of resources meant for students’ services in the universities under study.</w:t>
      </w:r>
    </w:p>
    <w:p>
      <w:pPr>
        <w:pStyle w:val="BodyText"/>
        <w:spacing w:before="3"/>
      </w:pPr>
    </w:p>
    <w:p>
      <w:pPr>
        <w:pStyle w:val="BodyText"/>
        <w:spacing w:line="237" w:lineRule="auto"/>
        <w:ind w:left="220" w:right="301" w:firstLine="720"/>
        <w:jc w:val="both"/>
      </w:pPr>
      <w:r>
        <w:rPr/>
        <w:t>Please while you give honest and precise response, all information provided will be treated with maximum confidentiality.</w:t>
      </w:r>
    </w:p>
    <w:p>
      <w:pPr>
        <w:pStyle w:val="BodyText"/>
        <w:spacing w:before="1"/>
      </w:pPr>
    </w:p>
    <w:p>
      <w:pPr>
        <w:pStyle w:val="BodyText"/>
        <w:ind w:left="5260"/>
      </w:pPr>
      <w:r>
        <w:rPr/>
        <w:t>Yours</w:t>
      </w:r>
      <w:r>
        <w:rPr>
          <w:spacing w:val="-6"/>
        </w:rPr>
        <w:t> </w:t>
      </w:r>
      <w:r>
        <w:rPr>
          <w:spacing w:val="-2"/>
        </w:rPr>
        <w:t>faithfully,</w:t>
      </w:r>
    </w:p>
    <w:p>
      <w:pPr>
        <w:pStyle w:val="BodyText"/>
      </w:pPr>
    </w:p>
    <w:p>
      <w:pPr>
        <w:pStyle w:val="BodyText"/>
        <w:spacing w:before="271"/>
      </w:pPr>
    </w:p>
    <w:p>
      <w:pPr>
        <w:spacing w:before="0"/>
        <w:ind w:left="5260" w:right="0" w:firstLine="0"/>
        <w:jc w:val="left"/>
        <w:rPr>
          <w:rFonts w:ascii="Arial"/>
          <w:b/>
          <w:sz w:val="24"/>
        </w:rPr>
      </w:pPr>
      <w:r>
        <w:rPr>
          <w:rFonts w:ascii="Arial"/>
          <w:b/>
          <w:sz w:val="24"/>
        </w:rPr>
        <w:t>A.</w:t>
      </w:r>
      <w:r>
        <w:rPr>
          <w:rFonts w:ascii="Arial"/>
          <w:b/>
          <w:spacing w:val="-3"/>
          <w:sz w:val="24"/>
        </w:rPr>
        <w:t> </w:t>
      </w:r>
      <w:r>
        <w:rPr>
          <w:rFonts w:ascii="Arial"/>
          <w:b/>
          <w:sz w:val="24"/>
        </w:rPr>
        <w:t>A.</w:t>
      </w:r>
      <w:r>
        <w:rPr>
          <w:rFonts w:ascii="Arial"/>
          <w:b/>
          <w:spacing w:val="-7"/>
          <w:sz w:val="24"/>
        </w:rPr>
        <w:t> </w:t>
      </w:r>
      <w:r>
        <w:rPr>
          <w:rFonts w:ascii="Arial"/>
          <w:b/>
          <w:sz w:val="24"/>
        </w:rPr>
        <w:t>Mahadi</w:t>
      </w:r>
      <w:r>
        <w:rPr>
          <w:rFonts w:ascii="Arial"/>
          <w:b/>
          <w:spacing w:val="-7"/>
          <w:sz w:val="24"/>
        </w:rPr>
        <w:t> </w:t>
      </w:r>
      <w:r>
        <w:rPr>
          <w:rFonts w:ascii="Arial"/>
          <w:b/>
          <w:spacing w:val="-4"/>
          <w:sz w:val="24"/>
        </w:rPr>
        <w:t>(Mrs)</w:t>
      </w:r>
    </w:p>
    <w:p>
      <w:pPr>
        <w:spacing w:after="0"/>
        <w:jc w:val="left"/>
        <w:rPr>
          <w:rFonts w:ascii="Arial"/>
          <w:sz w:val="24"/>
        </w:rPr>
        <w:sectPr>
          <w:headerReference w:type="default" r:id="rId604"/>
          <w:footerReference w:type="default" r:id="rId605"/>
          <w:pgSz w:w="12240" w:h="15840"/>
          <w:pgMar w:header="722" w:footer="623" w:top="980" w:bottom="820" w:left="1220" w:right="1140"/>
        </w:sectPr>
      </w:pPr>
    </w:p>
    <w:p>
      <w:pPr>
        <w:spacing w:line="343" w:lineRule="auto" w:before="11"/>
        <w:ind w:left="3129" w:right="2490" w:firstLine="0"/>
        <w:jc w:val="center"/>
        <w:rPr>
          <w:rFonts w:ascii="Arial"/>
          <w:b/>
          <w:sz w:val="24"/>
        </w:rPr>
      </w:pPr>
      <w:r>
        <w:rPr>
          <w:rFonts w:ascii="Arial"/>
          <w:b/>
          <w:sz w:val="24"/>
        </w:rPr>
        <w:t>DEPARTMENT</w:t>
      </w:r>
      <w:r>
        <w:rPr>
          <w:rFonts w:ascii="Arial"/>
          <w:b/>
          <w:spacing w:val="-17"/>
          <w:sz w:val="24"/>
        </w:rPr>
        <w:t> </w:t>
      </w:r>
      <w:r>
        <w:rPr>
          <w:rFonts w:ascii="Arial"/>
          <w:b/>
          <w:sz w:val="24"/>
        </w:rPr>
        <w:t>OF</w:t>
      </w:r>
      <w:r>
        <w:rPr>
          <w:rFonts w:ascii="Arial"/>
          <w:b/>
          <w:spacing w:val="-17"/>
          <w:sz w:val="24"/>
        </w:rPr>
        <w:t> </w:t>
      </w:r>
      <w:r>
        <w:rPr>
          <w:rFonts w:ascii="Arial"/>
          <w:b/>
          <w:sz w:val="24"/>
        </w:rPr>
        <w:t>EDUCATION FACULTY OF EDUCATION</w:t>
      </w:r>
    </w:p>
    <w:p>
      <w:pPr>
        <w:spacing w:before="2"/>
        <w:ind w:left="635" w:right="0" w:firstLine="0"/>
        <w:jc w:val="center"/>
        <w:rPr>
          <w:rFonts w:ascii="Arial"/>
          <w:b/>
          <w:sz w:val="24"/>
        </w:rPr>
      </w:pPr>
      <w:r>
        <w:rPr>
          <w:rFonts w:ascii="Arial"/>
          <w:b/>
          <w:sz w:val="24"/>
        </w:rPr>
        <w:t>AHMADU</w:t>
      </w:r>
      <w:r>
        <w:rPr>
          <w:rFonts w:ascii="Arial"/>
          <w:b/>
          <w:spacing w:val="-14"/>
          <w:sz w:val="24"/>
        </w:rPr>
        <w:t> </w:t>
      </w:r>
      <w:r>
        <w:rPr>
          <w:rFonts w:ascii="Arial"/>
          <w:b/>
          <w:sz w:val="24"/>
        </w:rPr>
        <w:t>BELLO</w:t>
      </w:r>
      <w:r>
        <w:rPr>
          <w:rFonts w:ascii="Arial"/>
          <w:b/>
          <w:spacing w:val="-12"/>
          <w:sz w:val="24"/>
        </w:rPr>
        <w:t> </w:t>
      </w:r>
      <w:r>
        <w:rPr>
          <w:rFonts w:ascii="Arial"/>
          <w:b/>
          <w:sz w:val="24"/>
        </w:rPr>
        <w:t>UNIVERSITY,</w:t>
      </w:r>
      <w:r>
        <w:rPr>
          <w:rFonts w:ascii="Arial"/>
          <w:b/>
          <w:spacing w:val="-13"/>
          <w:sz w:val="24"/>
        </w:rPr>
        <w:t> </w:t>
      </w:r>
      <w:r>
        <w:rPr>
          <w:rFonts w:ascii="Arial"/>
          <w:b/>
          <w:spacing w:val="-2"/>
          <w:sz w:val="24"/>
        </w:rPr>
        <w:t>ZARIA.</w:t>
      </w:r>
    </w:p>
    <w:p>
      <w:pPr>
        <w:pStyle w:val="BodyText"/>
        <w:spacing w:before="240"/>
        <w:rPr>
          <w:rFonts w:ascii="Arial"/>
          <w:b/>
        </w:rPr>
      </w:pPr>
    </w:p>
    <w:p>
      <w:pPr>
        <w:spacing w:before="0"/>
        <w:ind w:left="632" w:right="0" w:firstLine="0"/>
        <w:jc w:val="center"/>
        <w:rPr>
          <w:rFonts w:ascii="Arial"/>
          <w:b/>
          <w:sz w:val="24"/>
        </w:rPr>
      </w:pPr>
      <w:r>
        <w:rPr>
          <w:rFonts w:ascii="Arial"/>
          <w:b/>
          <w:spacing w:val="-2"/>
          <w:sz w:val="24"/>
        </w:rPr>
        <w:t>QUESTIONNAIRE</w:t>
      </w:r>
    </w:p>
    <w:p>
      <w:pPr>
        <w:pStyle w:val="Heading4"/>
        <w:spacing w:before="118"/>
        <w:ind w:left="220"/>
      </w:pPr>
      <w:r>
        <w:rPr/>
        <w:t>General</w:t>
      </w:r>
      <w:r>
        <w:rPr>
          <w:spacing w:val="-11"/>
        </w:rPr>
        <w:t> </w:t>
      </w:r>
      <w:r>
        <w:rPr>
          <w:spacing w:val="-2"/>
        </w:rPr>
        <w:t>Instruction:</w:t>
      </w:r>
    </w:p>
    <w:p>
      <w:pPr>
        <w:pStyle w:val="BodyText"/>
        <w:spacing w:before="127"/>
        <w:ind w:left="220" w:right="294"/>
        <w:jc w:val="both"/>
      </w:pPr>
      <w:r>
        <w:rPr/>
        <w:t>Please answer all questions freely, objectively and honestly. You are to indicate your response by ticking ( √ ) or filling</w:t>
      </w:r>
      <w:r>
        <w:rPr>
          <w:spacing w:val="-2"/>
        </w:rPr>
        <w:t> </w:t>
      </w:r>
      <w:r>
        <w:rPr/>
        <w:t>in the appropriate column or space provided to supply the required information. Maximum confidentiality and privacy is fully guaranteed.</w:t>
      </w:r>
    </w:p>
    <w:p>
      <w:pPr>
        <w:pStyle w:val="BodyText"/>
        <w:spacing w:before="235"/>
      </w:pPr>
    </w:p>
    <w:p>
      <w:pPr>
        <w:pStyle w:val="Heading4"/>
        <w:spacing w:before="1"/>
        <w:ind w:left="0" w:right="84"/>
        <w:jc w:val="center"/>
      </w:pPr>
      <w:r>
        <w:rPr/>
        <w:t>PART</w:t>
      </w:r>
      <w:r>
        <w:rPr>
          <w:spacing w:val="-4"/>
        </w:rPr>
        <w:t> </w:t>
      </w:r>
      <w:r>
        <w:rPr/>
        <w:t>I:</w:t>
      </w:r>
      <w:r>
        <w:rPr>
          <w:spacing w:val="-8"/>
        </w:rPr>
        <w:t> </w:t>
      </w:r>
      <w:r>
        <w:rPr/>
        <w:t>BIO-DATA</w:t>
      </w:r>
      <w:r>
        <w:rPr>
          <w:spacing w:val="-14"/>
        </w:rPr>
        <w:t> </w:t>
      </w:r>
      <w:r>
        <w:rPr>
          <w:spacing w:val="-2"/>
        </w:rPr>
        <w:t>(Personal)</w:t>
      </w:r>
    </w:p>
    <w:p>
      <w:pPr>
        <w:pStyle w:val="ListParagraph"/>
        <w:numPr>
          <w:ilvl w:val="0"/>
          <w:numId w:val="52"/>
        </w:numPr>
        <w:tabs>
          <w:tab w:pos="939" w:val="left" w:leader="none"/>
          <w:tab w:pos="9568" w:val="left" w:leader="none"/>
        </w:tabs>
        <w:spacing w:line="240" w:lineRule="auto" w:before="122" w:after="0"/>
        <w:ind w:left="939" w:right="0" w:hanging="719"/>
        <w:jc w:val="left"/>
        <w:rPr>
          <w:sz w:val="24"/>
        </w:rPr>
      </w:pPr>
      <w:r>
        <w:rPr>
          <w:sz w:val="24"/>
        </w:rPr>
        <w:t>Name</w:t>
      </w:r>
      <w:r>
        <w:rPr>
          <w:spacing w:val="-4"/>
          <w:sz w:val="24"/>
        </w:rPr>
        <w:t> </w:t>
      </w:r>
      <w:r>
        <w:rPr>
          <w:sz w:val="24"/>
        </w:rPr>
        <w:t>of</w:t>
      </w:r>
      <w:r>
        <w:rPr>
          <w:spacing w:val="-5"/>
          <w:sz w:val="24"/>
        </w:rPr>
        <w:t> </w:t>
      </w:r>
      <w:r>
        <w:rPr>
          <w:sz w:val="24"/>
        </w:rPr>
        <w:t>the</w:t>
      </w:r>
      <w:r>
        <w:rPr>
          <w:spacing w:val="-3"/>
          <w:sz w:val="24"/>
        </w:rPr>
        <w:t> </w:t>
      </w:r>
      <w:r>
        <w:rPr>
          <w:spacing w:val="-2"/>
          <w:sz w:val="24"/>
        </w:rPr>
        <w:t>University</w:t>
      </w:r>
      <w:r>
        <w:rPr>
          <w:sz w:val="24"/>
          <w:u w:val="single"/>
        </w:rPr>
        <w:tab/>
      </w:r>
    </w:p>
    <w:p>
      <w:pPr>
        <w:pStyle w:val="ListParagraph"/>
        <w:numPr>
          <w:ilvl w:val="0"/>
          <w:numId w:val="52"/>
        </w:numPr>
        <w:tabs>
          <w:tab w:pos="939" w:val="left" w:leader="none"/>
          <w:tab w:pos="1956" w:val="left" w:leader="none"/>
          <w:tab w:pos="3395" w:val="left" w:leader="none"/>
          <w:tab w:pos="3740" w:val="left" w:leader="none"/>
          <w:tab w:pos="5395" w:val="left" w:leader="none"/>
          <w:tab w:pos="5803" w:val="left" w:leader="none"/>
          <w:tab w:pos="6085" w:val="left" w:leader="none"/>
          <w:tab w:pos="8686" w:val="left" w:leader="none"/>
          <w:tab w:pos="9098" w:val="left" w:leader="none"/>
        </w:tabs>
        <w:spacing w:line="240" w:lineRule="auto" w:before="262" w:after="0"/>
        <w:ind w:left="939" w:right="0" w:hanging="719"/>
        <w:jc w:val="left"/>
        <w:rPr>
          <w:sz w:val="24"/>
        </w:rPr>
      </w:pPr>
      <w:r>
        <w:rPr>
          <w:spacing w:val="-2"/>
          <w:sz w:val="24"/>
        </w:rPr>
        <w:t>Status:</w:t>
      </w:r>
      <w:r>
        <w:rPr>
          <w:sz w:val="24"/>
        </w:rPr>
        <w:tab/>
        <w:t>Student</w:t>
      </w:r>
      <w:r>
        <w:rPr>
          <w:spacing w:val="28"/>
          <w:sz w:val="24"/>
        </w:rPr>
        <w:t>  </w:t>
      </w:r>
      <w:r>
        <w:rPr>
          <w:spacing w:val="-10"/>
          <w:sz w:val="24"/>
        </w:rPr>
        <w:t>(</w:t>
      </w:r>
      <w:r>
        <w:rPr>
          <w:sz w:val="24"/>
        </w:rPr>
        <w:tab/>
      </w:r>
      <w:r>
        <w:rPr>
          <w:spacing w:val="-10"/>
          <w:sz w:val="24"/>
        </w:rPr>
        <w:t>)</w:t>
      </w:r>
      <w:r>
        <w:rPr>
          <w:sz w:val="24"/>
        </w:rPr>
        <w:tab/>
        <w:t>Service</w:t>
      </w:r>
      <w:r>
        <w:rPr>
          <w:spacing w:val="-11"/>
          <w:sz w:val="24"/>
        </w:rPr>
        <w:t> </w:t>
      </w:r>
      <w:r>
        <w:rPr>
          <w:spacing w:val="-4"/>
          <w:sz w:val="24"/>
        </w:rPr>
        <w:t>staff</w:t>
      </w:r>
      <w:r>
        <w:rPr>
          <w:sz w:val="24"/>
        </w:rPr>
        <w:tab/>
      </w:r>
      <w:r>
        <w:rPr>
          <w:spacing w:val="-10"/>
          <w:sz w:val="24"/>
        </w:rPr>
        <w:t>(</w:t>
      </w:r>
      <w:r>
        <w:rPr>
          <w:sz w:val="24"/>
        </w:rPr>
        <w:tab/>
      </w:r>
      <w:r>
        <w:rPr>
          <w:spacing w:val="-10"/>
          <w:sz w:val="24"/>
        </w:rPr>
        <w:t>)</w:t>
      </w:r>
      <w:r>
        <w:rPr>
          <w:sz w:val="24"/>
        </w:rPr>
        <w:tab/>
        <w:t>Top</w:t>
      </w:r>
      <w:r>
        <w:rPr>
          <w:spacing w:val="-12"/>
          <w:sz w:val="24"/>
        </w:rPr>
        <w:t> </w:t>
      </w:r>
      <w:r>
        <w:rPr>
          <w:sz w:val="24"/>
        </w:rPr>
        <w:t>Management</w:t>
      </w:r>
      <w:r>
        <w:rPr>
          <w:spacing w:val="-12"/>
          <w:sz w:val="24"/>
        </w:rPr>
        <w:t> </w:t>
      </w:r>
      <w:r>
        <w:rPr>
          <w:spacing w:val="-2"/>
          <w:sz w:val="24"/>
        </w:rPr>
        <w:t>staff</w:t>
      </w:r>
      <w:r>
        <w:rPr>
          <w:sz w:val="24"/>
        </w:rPr>
        <w:tab/>
      </w:r>
      <w:r>
        <w:rPr>
          <w:spacing w:val="-10"/>
          <w:sz w:val="24"/>
        </w:rPr>
        <w:t>(</w:t>
      </w:r>
      <w:r>
        <w:rPr>
          <w:sz w:val="24"/>
        </w:rPr>
        <w:tab/>
      </w:r>
      <w:r>
        <w:rPr>
          <w:spacing w:val="-10"/>
          <w:sz w:val="24"/>
        </w:rPr>
        <w:t>)</w:t>
      </w:r>
    </w:p>
    <w:p>
      <w:pPr>
        <w:pStyle w:val="ListParagraph"/>
        <w:numPr>
          <w:ilvl w:val="0"/>
          <w:numId w:val="52"/>
        </w:numPr>
        <w:tabs>
          <w:tab w:pos="939" w:val="left" w:leader="none"/>
          <w:tab w:pos="9583" w:val="left" w:leader="none"/>
        </w:tabs>
        <w:spacing w:line="240" w:lineRule="auto" w:before="256" w:after="0"/>
        <w:ind w:left="939" w:right="0" w:hanging="719"/>
        <w:jc w:val="left"/>
        <w:rPr>
          <w:sz w:val="24"/>
        </w:rPr>
      </w:pPr>
      <w:r>
        <w:rPr>
          <w:spacing w:val="-2"/>
          <w:sz w:val="24"/>
        </w:rPr>
        <w:t>Course:</w:t>
      </w:r>
      <w:r>
        <w:rPr>
          <w:sz w:val="24"/>
          <w:u w:val="single"/>
        </w:rPr>
        <w:tab/>
      </w:r>
    </w:p>
    <w:p>
      <w:pPr>
        <w:pStyle w:val="ListParagraph"/>
        <w:numPr>
          <w:ilvl w:val="0"/>
          <w:numId w:val="52"/>
        </w:numPr>
        <w:tabs>
          <w:tab w:pos="939" w:val="left" w:leader="none"/>
        </w:tabs>
        <w:spacing w:line="240" w:lineRule="auto" w:before="257" w:after="0"/>
        <w:ind w:left="939" w:right="0" w:hanging="719"/>
        <w:jc w:val="left"/>
        <w:rPr>
          <w:sz w:val="24"/>
        </w:rPr>
      </w:pPr>
      <w:r>
        <w:rPr/>
        <mc:AlternateContent>
          <mc:Choice Requires="wps">
            <w:drawing>
              <wp:anchor distT="0" distB="0" distL="0" distR="0" allowOverlap="1" layoutInCell="1" locked="0" behindDoc="0" simplePos="0" relativeHeight="15735808">
                <wp:simplePos x="0" y="0"/>
                <wp:positionH relativeFrom="page">
                  <wp:posOffset>5943600</wp:posOffset>
                </wp:positionH>
                <wp:positionV relativeFrom="paragraph">
                  <wp:posOffset>434514</wp:posOffset>
                </wp:positionV>
                <wp:extent cx="228600" cy="228600"/>
                <wp:effectExtent l="0" t="0" r="0" b="0"/>
                <wp:wrapNone/>
                <wp:docPr id="588" name="Graphic 588"/>
                <wp:cNvGraphicFramePr>
                  <a:graphicFrameLocks/>
                </wp:cNvGraphicFramePr>
                <a:graphic>
                  <a:graphicData uri="http://schemas.microsoft.com/office/word/2010/wordprocessingShape">
                    <wps:wsp>
                      <wps:cNvPr id="588" name="Graphic 588"/>
                      <wps:cNvSpPr/>
                      <wps:spPr>
                        <a:xfrm>
                          <a:off x="0" y="0"/>
                          <a:ext cx="228600" cy="228600"/>
                        </a:xfrm>
                        <a:custGeom>
                          <a:avLst/>
                          <a:gdLst/>
                          <a:ahLst/>
                          <a:cxnLst/>
                          <a:rect l="l" t="t" r="r" b="b"/>
                          <a:pathLst>
                            <a:path w="228600" h="228600">
                              <a:moveTo>
                                <a:pt x="0" y="0"/>
                              </a:moveTo>
                              <a:lnTo>
                                <a:pt x="0" y="228600"/>
                              </a:lnTo>
                              <a:lnTo>
                                <a:pt x="228600" y="228600"/>
                              </a:lnTo>
                              <a:lnTo>
                                <a:pt x="228600" y="0"/>
                              </a:lnTo>
                              <a:lnTo>
                                <a:pt x="0" y="0"/>
                              </a:lnTo>
                              <a:close/>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w:pict>
              <v:rect style="position:absolute;margin-left:468pt;margin-top:34.213711pt;width:18pt;height:18pt;mso-position-horizontal-relative:page;mso-position-vertical-relative:paragraph;z-index:15735808" id="docshape586" filled="false" stroked="true" strokeweight=".71999pt" strokecolor="#000000">
                <v:stroke dashstyle="solid"/>
                <w10:wrap type="none"/>
              </v:rect>
            </w:pict>
          </mc:Fallback>
        </mc:AlternateContent>
      </w:r>
      <w:r>
        <w:rPr>
          <w:sz w:val="24"/>
        </w:rPr>
        <w:t>Section</w:t>
      </w:r>
      <w:r>
        <w:rPr>
          <w:spacing w:val="-4"/>
          <w:sz w:val="24"/>
        </w:rPr>
        <w:t> </w:t>
      </w:r>
      <w:r>
        <w:rPr>
          <w:sz w:val="24"/>
        </w:rPr>
        <w:t>where</w:t>
      </w:r>
      <w:r>
        <w:rPr>
          <w:spacing w:val="-4"/>
          <w:sz w:val="24"/>
        </w:rPr>
        <w:t> </w:t>
      </w:r>
      <w:r>
        <w:rPr>
          <w:sz w:val="24"/>
        </w:rPr>
        <w:t>you</w:t>
      </w:r>
      <w:r>
        <w:rPr>
          <w:spacing w:val="-4"/>
          <w:sz w:val="24"/>
        </w:rPr>
        <w:t> </w:t>
      </w:r>
      <w:r>
        <w:rPr>
          <w:sz w:val="24"/>
        </w:rPr>
        <w:t>work</w:t>
      </w:r>
      <w:r>
        <w:rPr>
          <w:spacing w:val="-5"/>
          <w:sz w:val="24"/>
        </w:rPr>
        <w:t> </w:t>
      </w:r>
      <w:r>
        <w:rPr>
          <w:sz w:val="24"/>
        </w:rPr>
        <w:t>in</w:t>
      </w:r>
      <w:r>
        <w:rPr>
          <w:spacing w:val="-7"/>
          <w:sz w:val="24"/>
        </w:rPr>
        <w:t> </w:t>
      </w:r>
      <w:r>
        <w:rPr>
          <w:sz w:val="24"/>
        </w:rPr>
        <w:t>the</w:t>
      </w:r>
      <w:r>
        <w:rPr>
          <w:spacing w:val="-4"/>
          <w:sz w:val="24"/>
        </w:rPr>
        <w:t> </w:t>
      </w:r>
      <w:r>
        <w:rPr>
          <w:spacing w:val="-2"/>
          <w:sz w:val="24"/>
        </w:rPr>
        <w:t>University:</w:t>
      </w:r>
    </w:p>
    <w:p>
      <w:pPr>
        <w:pStyle w:val="BodyText"/>
        <w:spacing w:before="120"/>
      </w:pPr>
    </w:p>
    <w:p>
      <w:pPr>
        <w:pStyle w:val="ListParagraph"/>
        <w:numPr>
          <w:ilvl w:val="1"/>
          <w:numId w:val="52"/>
        </w:numPr>
        <w:tabs>
          <w:tab w:pos="1659" w:val="left" w:leader="none"/>
        </w:tabs>
        <w:spacing w:line="240" w:lineRule="auto" w:before="0" w:after="0"/>
        <w:ind w:left="1659" w:right="0" w:hanging="719"/>
        <w:jc w:val="left"/>
        <w:rPr>
          <w:sz w:val="24"/>
        </w:rPr>
      </w:pPr>
      <w:r>
        <w:rPr>
          <w:sz w:val="24"/>
        </w:rPr>
        <w:t>Vice</w:t>
      </w:r>
      <w:r>
        <w:rPr>
          <w:spacing w:val="-9"/>
          <w:sz w:val="24"/>
        </w:rPr>
        <w:t> </w:t>
      </w:r>
      <w:r>
        <w:rPr>
          <w:sz w:val="24"/>
        </w:rPr>
        <w:t>Chancellors</w:t>
      </w:r>
      <w:r>
        <w:rPr>
          <w:spacing w:val="-9"/>
          <w:sz w:val="24"/>
        </w:rPr>
        <w:t> </w:t>
      </w:r>
      <w:r>
        <w:rPr>
          <w:spacing w:val="-2"/>
          <w:sz w:val="24"/>
        </w:rPr>
        <w:t>Office</w:t>
      </w:r>
    </w:p>
    <w:p>
      <w:pPr>
        <w:pStyle w:val="BodyText"/>
      </w:pPr>
    </w:p>
    <w:p>
      <w:pPr>
        <w:pStyle w:val="ListParagraph"/>
        <w:numPr>
          <w:ilvl w:val="1"/>
          <w:numId w:val="52"/>
        </w:numPr>
        <w:tabs>
          <w:tab w:pos="1659" w:val="left" w:leader="none"/>
        </w:tabs>
        <w:spacing w:line="240" w:lineRule="auto" w:before="0" w:after="0"/>
        <w:ind w:left="1659" w:right="0" w:hanging="719"/>
        <w:jc w:val="left"/>
        <w:rPr>
          <w:sz w:val="24"/>
        </w:rPr>
      </w:pPr>
      <w:r>
        <w:rPr/>
        <mc:AlternateContent>
          <mc:Choice Requires="wps">
            <w:drawing>
              <wp:anchor distT="0" distB="0" distL="0" distR="0" allowOverlap="1" layoutInCell="1" locked="0" behindDoc="0" simplePos="0" relativeHeight="15736320">
                <wp:simplePos x="0" y="0"/>
                <wp:positionH relativeFrom="page">
                  <wp:posOffset>5943600</wp:posOffset>
                </wp:positionH>
                <wp:positionV relativeFrom="paragraph">
                  <wp:posOffset>-79141</wp:posOffset>
                </wp:positionV>
                <wp:extent cx="228600" cy="228600"/>
                <wp:effectExtent l="0" t="0" r="0" b="0"/>
                <wp:wrapNone/>
                <wp:docPr id="589" name="Graphic 589"/>
                <wp:cNvGraphicFramePr>
                  <a:graphicFrameLocks/>
                </wp:cNvGraphicFramePr>
                <a:graphic>
                  <a:graphicData uri="http://schemas.microsoft.com/office/word/2010/wordprocessingShape">
                    <wps:wsp>
                      <wps:cNvPr id="589" name="Graphic 589"/>
                      <wps:cNvSpPr/>
                      <wps:spPr>
                        <a:xfrm>
                          <a:off x="0" y="0"/>
                          <a:ext cx="228600" cy="228600"/>
                        </a:xfrm>
                        <a:custGeom>
                          <a:avLst/>
                          <a:gdLst/>
                          <a:ahLst/>
                          <a:cxnLst/>
                          <a:rect l="l" t="t" r="r" b="b"/>
                          <a:pathLst>
                            <a:path w="228600" h="228600">
                              <a:moveTo>
                                <a:pt x="0" y="0"/>
                              </a:moveTo>
                              <a:lnTo>
                                <a:pt x="0" y="228600"/>
                              </a:lnTo>
                              <a:lnTo>
                                <a:pt x="228600" y="228600"/>
                              </a:lnTo>
                              <a:lnTo>
                                <a:pt x="228600" y="0"/>
                              </a:lnTo>
                              <a:lnTo>
                                <a:pt x="0" y="0"/>
                              </a:lnTo>
                              <a:close/>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w:pict>
              <v:rect style="position:absolute;margin-left:468pt;margin-top:-6.231602pt;width:18pt;height:18pt;mso-position-horizontal-relative:page;mso-position-vertical-relative:paragraph;z-index:15736320" id="docshape587" filled="false" stroked="true" strokeweight=".71999pt" strokecolor="#000000">
                <v:stroke dashstyle="solid"/>
                <w10:wrap type="none"/>
              </v:rect>
            </w:pict>
          </mc:Fallback>
        </mc:AlternateContent>
      </w:r>
      <w:r>
        <w:rPr/>
        <mc:AlternateContent>
          <mc:Choice Requires="wps">
            <w:drawing>
              <wp:anchor distT="0" distB="0" distL="0" distR="0" allowOverlap="1" layoutInCell="1" locked="0" behindDoc="0" simplePos="0" relativeHeight="15736832">
                <wp:simplePos x="0" y="0"/>
                <wp:positionH relativeFrom="page">
                  <wp:posOffset>5943600</wp:posOffset>
                </wp:positionH>
                <wp:positionV relativeFrom="paragraph">
                  <wp:posOffset>262234</wp:posOffset>
                </wp:positionV>
                <wp:extent cx="228600" cy="228600"/>
                <wp:effectExtent l="0" t="0" r="0" b="0"/>
                <wp:wrapNone/>
                <wp:docPr id="590" name="Graphic 590"/>
                <wp:cNvGraphicFramePr>
                  <a:graphicFrameLocks/>
                </wp:cNvGraphicFramePr>
                <a:graphic>
                  <a:graphicData uri="http://schemas.microsoft.com/office/word/2010/wordprocessingShape">
                    <wps:wsp>
                      <wps:cNvPr id="590" name="Graphic 590"/>
                      <wps:cNvSpPr/>
                      <wps:spPr>
                        <a:xfrm>
                          <a:off x="0" y="0"/>
                          <a:ext cx="228600" cy="228600"/>
                        </a:xfrm>
                        <a:custGeom>
                          <a:avLst/>
                          <a:gdLst/>
                          <a:ahLst/>
                          <a:cxnLst/>
                          <a:rect l="l" t="t" r="r" b="b"/>
                          <a:pathLst>
                            <a:path w="228600" h="228600">
                              <a:moveTo>
                                <a:pt x="0" y="0"/>
                              </a:moveTo>
                              <a:lnTo>
                                <a:pt x="0" y="228600"/>
                              </a:lnTo>
                              <a:lnTo>
                                <a:pt x="228600" y="228600"/>
                              </a:lnTo>
                              <a:lnTo>
                                <a:pt x="228600" y="0"/>
                              </a:lnTo>
                              <a:lnTo>
                                <a:pt x="0" y="0"/>
                              </a:lnTo>
                              <a:close/>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w:pict>
              <v:rect style="position:absolute;margin-left:468pt;margin-top:20.648399pt;width:18pt;height:18pt;mso-position-horizontal-relative:page;mso-position-vertical-relative:paragraph;z-index:15736832" id="docshape588" filled="false" stroked="true" strokeweight=".71999pt" strokecolor="#000000">
                <v:stroke dashstyle="solid"/>
                <w10:wrap type="none"/>
              </v:rect>
            </w:pict>
          </mc:Fallback>
        </mc:AlternateContent>
      </w:r>
      <w:r>
        <w:rPr>
          <w:sz w:val="24"/>
        </w:rPr>
        <w:t>Registrars</w:t>
      </w:r>
      <w:r>
        <w:rPr>
          <w:spacing w:val="-8"/>
          <w:sz w:val="24"/>
        </w:rPr>
        <w:t> </w:t>
      </w:r>
      <w:r>
        <w:rPr>
          <w:spacing w:val="-2"/>
          <w:sz w:val="24"/>
        </w:rPr>
        <w:t>Office</w:t>
      </w:r>
    </w:p>
    <w:p>
      <w:pPr>
        <w:pStyle w:val="BodyText"/>
      </w:pPr>
    </w:p>
    <w:p>
      <w:pPr>
        <w:pStyle w:val="ListParagraph"/>
        <w:numPr>
          <w:ilvl w:val="1"/>
          <w:numId w:val="52"/>
        </w:numPr>
        <w:tabs>
          <w:tab w:pos="1659" w:val="left" w:leader="none"/>
        </w:tabs>
        <w:spacing w:line="240" w:lineRule="auto" w:before="0" w:after="0"/>
        <w:ind w:left="1659" w:right="0" w:hanging="719"/>
        <w:jc w:val="left"/>
        <w:rPr>
          <w:sz w:val="24"/>
        </w:rPr>
      </w:pPr>
      <w:r>
        <w:rPr/>
        <mc:AlternateContent>
          <mc:Choice Requires="wps">
            <w:drawing>
              <wp:anchor distT="0" distB="0" distL="0" distR="0" allowOverlap="1" layoutInCell="1" locked="0" behindDoc="0" simplePos="0" relativeHeight="15737344">
                <wp:simplePos x="0" y="0"/>
                <wp:positionH relativeFrom="page">
                  <wp:posOffset>5943600</wp:posOffset>
                </wp:positionH>
                <wp:positionV relativeFrom="paragraph">
                  <wp:posOffset>256168</wp:posOffset>
                </wp:positionV>
                <wp:extent cx="228600" cy="228600"/>
                <wp:effectExtent l="0" t="0" r="0" b="0"/>
                <wp:wrapNone/>
                <wp:docPr id="591" name="Graphic 591"/>
                <wp:cNvGraphicFramePr>
                  <a:graphicFrameLocks/>
                </wp:cNvGraphicFramePr>
                <a:graphic>
                  <a:graphicData uri="http://schemas.microsoft.com/office/word/2010/wordprocessingShape">
                    <wps:wsp>
                      <wps:cNvPr id="591" name="Graphic 591"/>
                      <wps:cNvSpPr/>
                      <wps:spPr>
                        <a:xfrm>
                          <a:off x="0" y="0"/>
                          <a:ext cx="228600" cy="228600"/>
                        </a:xfrm>
                        <a:custGeom>
                          <a:avLst/>
                          <a:gdLst/>
                          <a:ahLst/>
                          <a:cxnLst/>
                          <a:rect l="l" t="t" r="r" b="b"/>
                          <a:pathLst>
                            <a:path w="228600" h="228600">
                              <a:moveTo>
                                <a:pt x="0" y="0"/>
                              </a:moveTo>
                              <a:lnTo>
                                <a:pt x="0" y="228600"/>
                              </a:lnTo>
                              <a:lnTo>
                                <a:pt x="228600" y="228600"/>
                              </a:lnTo>
                              <a:lnTo>
                                <a:pt x="228600" y="0"/>
                              </a:lnTo>
                              <a:lnTo>
                                <a:pt x="0" y="0"/>
                              </a:lnTo>
                              <a:close/>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w:pict>
              <v:rect style="position:absolute;margin-left:468pt;margin-top:20.170742pt;width:18pt;height:18pt;mso-position-horizontal-relative:page;mso-position-vertical-relative:paragraph;z-index:15737344" id="docshape589" filled="false" stroked="true" strokeweight=".71999pt" strokecolor="#000000">
                <v:stroke dashstyle="solid"/>
                <w10:wrap type="none"/>
              </v:rect>
            </w:pict>
          </mc:Fallback>
        </mc:AlternateContent>
      </w:r>
      <w:r>
        <w:rPr>
          <w:sz w:val="24"/>
        </w:rPr>
        <w:t>Student</w:t>
      </w:r>
      <w:r>
        <w:rPr>
          <w:spacing w:val="-8"/>
          <w:sz w:val="24"/>
        </w:rPr>
        <w:t> </w:t>
      </w:r>
      <w:r>
        <w:rPr>
          <w:sz w:val="24"/>
        </w:rPr>
        <w:t>Affairs</w:t>
      </w:r>
      <w:r>
        <w:rPr>
          <w:spacing w:val="-7"/>
          <w:sz w:val="24"/>
        </w:rPr>
        <w:t> </w:t>
      </w:r>
      <w:r>
        <w:rPr>
          <w:spacing w:val="-2"/>
          <w:sz w:val="24"/>
        </w:rPr>
        <w:t>Division</w:t>
      </w:r>
    </w:p>
    <w:p>
      <w:pPr>
        <w:pStyle w:val="BodyText"/>
      </w:pPr>
    </w:p>
    <w:p>
      <w:pPr>
        <w:pStyle w:val="ListParagraph"/>
        <w:numPr>
          <w:ilvl w:val="1"/>
          <w:numId w:val="52"/>
        </w:numPr>
        <w:tabs>
          <w:tab w:pos="1659" w:val="left" w:leader="none"/>
        </w:tabs>
        <w:spacing w:line="240" w:lineRule="auto" w:before="0" w:after="0"/>
        <w:ind w:left="1659" w:right="0" w:hanging="719"/>
        <w:jc w:val="left"/>
        <w:rPr>
          <w:sz w:val="24"/>
        </w:rPr>
      </w:pPr>
      <w:r>
        <w:rPr/>
        <mc:AlternateContent>
          <mc:Choice Requires="wps">
            <w:drawing>
              <wp:anchor distT="0" distB="0" distL="0" distR="0" allowOverlap="1" layoutInCell="1" locked="0" behindDoc="0" simplePos="0" relativeHeight="15737856">
                <wp:simplePos x="0" y="0"/>
                <wp:positionH relativeFrom="page">
                  <wp:posOffset>5943600</wp:posOffset>
                </wp:positionH>
                <wp:positionV relativeFrom="paragraph">
                  <wp:posOffset>247054</wp:posOffset>
                </wp:positionV>
                <wp:extent cx="228600" cy="228600"/>
                <wp:effectExtent l="0" t="0" r="0" b="0"/>
                <wp:wrapNone/>
                <wp:docPr id="592" name="Graphic 592"/>
                <wp:cNvGraphicFramePr>
                  <a:graphicFrameLocks/>
                </wp:cNvGraphicFramePr>
                <a:graphic>
                  <a:graphicData uri="http://schemas.microsoft.com/office/word/2010/wordprocessingShape">
                    <wps:wsp>
                      <wps:cNvPr id="592" name="Graphic 592"/>
                      <wps:cNvSpPr/>
                      <wps:spPr>
                        <a:xfrm>
                          <a:off x="0" y="0"/>
                          <a:ext cx="228600" cy="228600"/>
                        </a:xfrm>
                        <a:custGeom>
                          <a:avLst/>
                          <a:gdLst/>
                          <a:ahLst/>
                          <a:cxnLst/>
                          <a:rect l="l" t="t" r="r" b="b"/>
                          <a:pathLst>
                            <a:path w="228600" h="228600">
                              <a:moveTo>
                                <a:pt x="0" y="0"/>
                              </a:moveTo>
                              <a:lnTo>
                                <a:pt x="0" y="228600"/>
                              </a:lnTo>
                              <a:lnTo>
                                <a:pt x="228600" y="228600"/>
                              </a:lnTo>
                              <a:lnTo>
                                <a:pt x="228600" y="0"/>
                              </a:lnTo>
                              <a:lnTo>
                                <a:pt x="0" y="0"/>
                              </a:lnTo>
                              <a:close/>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w:pict>
              <v:rect style="position:absolute;margin-left:468pt;margin-top:19.453087pt;width:18pt;height:18pt;mso-position-horizontal-relative:page;mso-position-vertical-relative:paragraph;z-index:15737856" id="docshape590" filled="false" stroked="true" strokeweight=".71999pt" strokecolor="#000000">
                <v:stroke dashstyle="solid"/>
                <w10:wrap type="none"/>
              </v:rect>
            </w:pict>
          </mc:Fallback>
        </mc:AlternateContent>
      </w:r>
      <w:r>
        <w:rPr>
          <w:sz w:val="24"/>
        </w:rPr>
        <w:t>Student</w:t>
      </w:r>
      <w:r>
        <w:rPr>
          <w:spacing w:val="-7"/>
          <w:sz w:val="24"/>
        </w:rPr>
        <w:t> </w:t>
      </w:r>
      <w:r>
        <w:rPr>
          <w:spacing w:val="-2"/>
          <w:sz w:val="24"/>
        </w:rPr>
        <w:t>Hostel</w:t>
      </w:r>
    </w:p>
    <w:p>
      <w:pPr>
        <w:pStyle w:val="BodyText"/>
      </w:pPr>
    </w:p>
    <w:p>
      <w:pPr>
        <w:pStyle w:val="ListParagraph"/>
        <w:numPr>
          <w:ilvl w:val="1"/>
          <w:numId w:val="52"/>
        </w:numPr>
        <w:tabs>
          <w:tab w:pos="1659" w:val="left" w:leader="none"/>
        </w:tabs>
        <w:spacing w:line="240" w:lineRule="auto" w:before="0" w:after="0"/>
        <w:ind w:left="1659" w:right="0" w:hanging="719"/>
        <w:jc w:val="left"/>
        <w:rPr>
          <w:sz w:val="24"/>
        </w:rPr>
      </w:pPr>
      <w:r>
        <w:rPr/>
        <mc:AlternateContent>
          <mc:Choice Requires="wps">
            <w:drawing>
              <wp:anchor distT="0" distB="0" distL="0" distR="0" allowOverlap="1" layoutInCell="1" locked="0" behindDoc="0" simplePos="0" relativeHeight="15738368">
                <wp:simplePos x="0" y="0"/>
                <wp:positionH relativeFrom="page">
                  <wp:posOffset>5943600</wp:posOffset>
                </wp:positionH>
                <wp:positionV relativeFrom="paragraph">
                  <wp:posOffset>240987</wp:posOffset>
                </wp:positionV>
                <wp:extent cx="228600" cy="228600"/>
                <wp:effectExtent l="0" t="0" r="0" b="0"/>
                <wp:wrapNone/>
                <wp:docPr id="593" name="Graphic 593"/>
                <wp:cNvGraphicFramePr>
                  <a:graphicFrameLocks/>
                </wp:cNvGraphicFramePr>
                <a:graphic>
                  <a:graphicData uri="http://schemas.microsoft.com/office/word/2010/wordprocessingShape">
                    <wps:wsp>
                      <wps:cNvPr id="593" name="Graphic 593"/>
                      <wps:cNvSpPr/>
                      <wps:spPr>
                        <a:xfrm>
                          <a:off x="0" y="0"/>
                          <a:ext cx="228600" cy="228600"/>
                        </a:xfrm>
                        <a:custGeom>
                          <a:avLst/>
                          <a:gdLst/>
                          <a:ahLst/>
                          <a:cxnLst/>
                          <a:rect l="l" t="t" r="r" b="b"/>
                          <a:pathLst>
                            <a:path w="228600" h="228600">
                              <a:moveTo>
                                <a:pt x="0" y="0"/>
                              </a:moveTo>
                              <a:lnTo>
                                <a:pt x="0" y="228600"/>
                              </a:lnTo>
                              <a:lnTo>
                                <a:pt x="228600" y="228600"/>
                              </a:lnTo>
                              <a:lnTo>
                                <a:pt x="228600" y="0"/>
                              </a:lnTo>
                              <a:lnTo>
                                <a:pt x="0" y="0"/>
                              </a:lnTo>
                              <a:close/>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w:pict>
              <v:rect style="position:absolute;margin-left:468pt;margin-top:18.97543pt;width:18pt;height:18pt;mso-position-horizontal-relative:page;mso-position-vertical-relative:paragraph;z-index:15738368" id="docshape591" filled="false" stroked="true" strokeweight=".71999pt" strokecolor="#000000">
                <v:stroke dashstyle="solid"/>
                <w10:wrap type="none"/>
              </v:rect>
            </w:pict>
          </mc:Fallback>
        </mc:AlternateContent>
      </w:r>
      <w:r>
        <w:rPr>
          <w:sz w:val="24"/>
        </w:rPr>
        <w:t>Guidance</w:t>
      </w:r>
      <w:r>
        <w:rPr>
          <w:spacing w:val="-7"/>
          <w:sz w:val="24"/>
        </w:rPr>
        <w:t> </w:t>
      </w:r>
      <w:r>
        <w:rPr>
          <w:sz w:val="24"/>
        </w:rPr>
        <w:t>and</w:t>
      </w:r>
      <w:r>
        <w:rPr>
          <w:spacing w:val="-7"/>
          <w:sz w:val="24"/>
        </w:rPr>
        <w:t> </w:t>
      </w:r>
      <w:r>
        <w:rPr>
          <w:spacing w:val="-2"/>
          <w:sz w:val="24"/>
        </w:rPr>
        <w:t>Counselling</w:t>
      </w:r>
    </w:p>
    <w:p>
      <w:pPr>
        <w:pStyle w:val="BodyText"/>
      </w:pPr>
    </w:p>
    <w:p>
      <w:pPr>
        <w:pStyle w:val="ListParagraph"/>
        <w:numPr>
          <w:ilvl w:val="1"/>
          <w:numId w:val="52"/>
        </w:numPr>
        <w:tabs>
          <w:tab w:pos="1659" w:val="left" w:leader="none"/>
        </w:tabs>
        <w:spacing w:line="240" w:lineRule="auto" w:before="1" w:after="0"/>
        <w:ind w:left="1659" w:right="0" w:hanging="719"/>
        <w:jc w:val="left"/>
        <w:rPr>
          <w:sz w:val="24"/>
        </w:rPr>
      </w:pPr>
      <w:r>
        <w:rPr/>
        <mc:AlternateContent>
          <mc:Choice Requires="wps">
            <w:drawing>
              <wp:anchor distT="0" distB="0" distL="0" distR="0" allowOverlap="1" layoutInCell="1" locked="0" behindDoc="0" simplePos="0" relativeHeight="15738880">
                <wp:simplePos x="0" y="0"/>
                <wp:positionH relativeFrom="page">
                  <wp:posOffset>5943600</wp:posOffset>
                </wp:positionH>
                <wp:positionV relativeFrom="paragraph">
                  <wp:posOffset>231873</wp:posOffset>
                </wp:positionV>
                <wp:extent cx="228600" cy="228600"/>
                <wp:effectExtent l="0" t="0" r="0" b="0"/>
                <wp:wrapNone/>
                <wp:docPr id="594" name="Graphic 594"/>
                <wp:cNvGraphicFramePr>
                  <a:graphicFrameLocks/>
                </wp:cNvGraphicFramePr>
                <a:graphic>
                  <a:graphicData uri="http://schemas.microsoft.com/office/word/2010/wordprocessingShape">
                    <wps:wsp>
                      <wps:cNvPr id="594" name="Graphic 594"/>
                      <wps:cNvSpPr/>
                      <wps:spPr>
                        <a:xfrm>
                          <a:off x="0" y="0"/>
                          <a:ext cx="228600" cy="228600"/>
                        </a:xfrm>
                        <a:custGeom>
                          <a:avLst/>
                          <a:gdLst/>
                          <a:ahLst/>
                          <a:cxnLst/>
                          <a:rect l="l" t="t" r="r" b="b"/>
                          <a:pathLst>
                            <a:path w="228600" h="228600">
                              <a:moveTo>
                                <a:pt x="0" y="0"/>
                              </a:moveTo>
                              <a:lnTo>
                                <a:pt x="0" y="228600"/>
                              </a:lnTo>
                              <a:lnTo>
                                <a:pt x="228600" y="228600"/>
                              </a:lnTo>
                              <a:lnTo>
                                <a:pt x="228600" y="0"/>
                              </a:lnTo>
                              <a:lnTo>
                                <a:pt x="0" y="0"/>
                              </a:lnTo>
                              <a:close/>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w:pict>
              <v:rect style="position:absolute;margin-left:468pt;margin-top:18.257774pt;width:18pt;height:18.0pt;mso-position-horizontal-relative:page;mso-position-vertical-relative:paragraph;z-index:15738880" id="docshape592" filled="false" stroked="true" strokeweight=".71999pt" strokecolor="#000000">
                <v:stroke dashstyle="solid"/>
                <w10:wrap type="none"/>
              </v:rect>
            </w:pict>
          </mc:Fallback>
        </mc:AlternateContent>
      </w:r>
      <w:r>
        <w:rPr>
          <w:sz w:val="24"/>
        </w:rPr>
        <w:t>Sports</w:t>
      </w:r>
      <w:r>
        <w:rPr>
          <w:spacing w:val="-9"/>
          <w:sz w:val="24"/>
        </w:rPr>
        <w:t> </w:t>
      </w:r>
      <w:r>
        <w:rPr>
          <w:sz w:val="24"/>
        </w:rPr>
        <w:t>and</w:t>
      </w:r>
      <w:r>
        <w:rPr>
          <w:spacing w:val="-8"/>
          <w:sz w:val="24"/>
        </w:rPr>
        <w:t> </w:t>
      </w:r>
      <w:r>
        <w:rPr>
          <w:sz w:val="24"/>
        </w:rPr>
        <w:t>Recreation</w:t>
      </w:r>
      <w:r>
        <w:rPr>
          <w:spacing w:val="-8"/>
          <w:sz w:val="24"/>
        </w:rPr>
        <w:t> </w:t>
      </w:r>
      <w:r>
        <w:rPr>
          <w:spacing w:val="-2"/>
          <w:sz w:val="24"/>
        </w:rPr>
        <w:t>Section</w:t>
      </w:r>
    </w:p>
    <w:p>
      <w:pPr>
        <w:pStyle w:val="ListParagraph"/>
        <w:numPr>
          <w:ilvl w:val="1"/>
          <w:numId w:val="52"/>
        </w:numPr>
        <w:tabs>
          <w:tab w:pos="1659" w:val="left" w:leader="none"/>
        </w:tabs>
        <w:spacing w:line="240" w:lineRule="auto" w:before="276" w:after="0"/>
        <w:ind w:left="1659" w:right="0" w:hanging="719"/>
        <w:jc w:val="left"/>
        <w:rPr>
          <w:sz w:val="24"/>
        </w:rPr>
      </w:pPr>
      <w:r>
        <w:rPr/>
        <mc:AlternateContent>
          <mc:Choice Requires="wps">
            <w:drawing>
              <wp:anchor distT="0" distB="0" distL="0" distR="0" allowOverlap="1" layoutInCell="1" locked="0" behindDoc="0" simplePos="0" relativeHeight="15739392">
                <wp:simplePos x="0" y="0"/>
                <wp:positionH relativeFrom="page">
                  <wp:posOffset>5943600</wp:posOffset>
                </wp:positionH>
                <wp:positionV relativeFrom="paragraph">
                  <wp:posOffset>400417</wp:posOffset>
                </wp:positionV>
                <wp:extent cx="228600" cy="228600"/>
                <wp:effectExtent l="0" t="0" r="0" b="0"/>
                <wp:wrapNone/>
                <wp:docPr id="595" name="Graphic 595"/>
                <wp:cNvGraphicFramePr>
                  <a:graphicFrameLocks/>
                </wp:cNvGraphicFramePr>
                <a:graphic>
                  <a:graphicData uri="http://schemas.microsoft.com/office/word/2010/wordprocessingShape">
                    <wps:wsp>
                      <wps:cNvPr id="595" name="Graphic 595"/>
                      <wps:cNvSpPr/>
                      <wps:spPr>
                        <a:xfrm>
                          <a:off x="0" y="0"/>
                          <a:ext cx="228600" cy="228600"/>
                        </a:xfrm>
                        <a:custGeom>
                          <a:avLst/>
                          <a:gdLst/>
                          <a:ahLst/>
                          <a:cxnLst/>
                          <a:rect l="l" t="t" r="r" b="b"/>
                          <a:pathLst>
                            <a:path w="228600" h="228600">
                              <a:moveTo>
                                <a:pt x="0" y="0"/>
                              </a:moveTo>
                              <a:lnTo>
                                <a:pt x="0" y="228599"/>
                              </a:lnTo>
                              <a:lnTo>
                                <a:pt x="228600" y="228599"/>
                              </a:lnTo>
                              <a:lnTo>
                                <a:pt x="228600" y="0"/>
                              </a:lnTo>
                              <a:lnTo>
                                <a:pt x="0" y="0"/>
                              </a:lnTo>
                              <a:close/>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w:pict>
              <v:rect style="position:absolute;margin-left:468pt;margin-top:31.528946pt;width:18pt;height:18pt;mso-position-horizontal-relative:page;mso-position-vertical-relative:paragraph;z-index:15739392" id="docshape593" filled="false" stroked="true" strokeweight=".71999pt" strokecolor="#000000">
                <v:stroke dashstyle="solid"/>
                <w10:wrap type="none"/>
              </v:rect>
            </w:pict>
          </mc:Fallback>
        </mc:AlternateContent>
      </w:r>
      <w:r>
        <w:rPr>
          <w:sz w:val="24"/>
        </w:rPr>
        <w:t>University</w:t>
      </w:r>
      <w:r>
        <w:rPr>
          <w:spacing w:val="-10"/>
          <w:sz w:val="24"/>
        </w:rPr>
        <w:t> </w:t>
      </w:r>
      <w:r>
        <w:rPr>
          <w:sz w:val="24"/>
        </w:rPr>
        <w:t>Health</w:t>
      </w:r>
      <w:r>
        <w:rPr>
          <w:spacing w:val="-9"/>
          <w:sz w:val="24"/>
        </w:rPr>
        <w:t> </w:t>
      </w:r>
      <w:r>
        <w:rPr>
          <w:spacing w:val="-2"/>
          <w:sz w:val="24"/>
        </w:rPr>
        <w:t>Services</w:t>
      </w:r>
    </w:p>
    <w:p>
      <w:pPr>
        <w:pStyle w:val="ListParagraph"/>
        <w:numPr>
          <w:ilvl w:val="1"/>
          <w:numId w:val="52"/>
        </w:numPr>
        <w:tabs>
          <w:tab w:pos="1659" w:val="left" w:leader="none"/>
        </w:tabs>
        <w:spacing w:line="240" w:lineRule="auto" w:before="276" w:after="0"/>
        <w:ind w:left="1659" w:right="0" w:hanging="719"/>
        <w:jc w:val="left"/>
        <w:rPr>
          <w:sz w:val="24"/>
        </w:rPr>
      </w:pPr>
      <w:r>
        <w:rPr/>
        <mc:AlternateContent>
          <mc:Choice Requires="wps">
            <w:drawing>
              <wp:anchor distT="0" distB="0" distL="0" distR="0" allowOverlap="1" layoutInCell="1" locked="0" behindDoc="0" simplePos="0" relativeHeight="15739904">
                <wp:simplePos x="0" y="0"/>
                <wp:positionH relativeFrom="page">
                  <wp:posOffset>5943600</wp:posOffset>
                </wp:positionH>
                <wp:positionV relativeFrom="paragraph">
                  <wp:posOffset>391288</wp:posOffset>
                </wp:positionV>
                <wp:extent cx="228600" cy="228600"/>
                <wp:effectExtent l="0" t="0" r="0" b="0"/>
                <wp:wrapNone/>
                <wp:docPr id="596" name="Graphic 596"/>
                <wp:cNvGraphicFramePr>
                  <a:graphicFrameLocks/>
                </wp:cNvGraphicFramePr>
                <a:graphic>
                  <a:graphicData uri="http://schemas.microsoft.com/office/word/2010/wordprocessingShape">
                    <wps:wsp>
                      <wps:cNvPr id="596" name="Graphic 596"/>
                      <wps:cNvSpPr/>
                      <wps:spPr>
                        <a:xfrm>
                          <a:off x="0" y="0"/>
                          <a:ext cx="228600" cy="228600"/>
                        </a:xfrm>
                        <a:custGeom>
                          <a:avLst/>
                          <a:gdLst/>
                          <a:ahLst/>
                          <a:cxnLst/>
                          <a:rect l="l" t="t" r="r" b="b"/>
                          <a:pathLst>
                            <a:path w="228600" h="228600">
                              <a:moveTo>
                                <a:pt x="0" y="0"/>
                              </a:moveTo>
                              <a:lnTo>
                                <a:pt x="0" y="228599"/>
                              </a:lnTo>
                              <a:lnTo>
                                <a:pt x="228600" y="228599"/>
                              </a:lnTo>
                              <a:lnTo>
                                <a:pt x="228600" y="0"/>
                              </a:lnTo>
                              <a:lnTo>
                                <a:pt x="0" y="0"/>
                              </a:lnTo>
                              <a:close/>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w:pict>
              <v:rect style="position:absolute;margin-left:468pt;margin-top:30.810118pt;width:18pt;height:18pt;mso-position-horizontal-relative:page;mso-position-vertical-relative:paragraph;z-index:15739904" id="docshape594" filled="false" stroked="true" strokeweight=".71999pt" strokecolor="#000000">
                <v:stroke dashstyle="solid"/>
                <w10:wrap type="none"/>
              </v:rect>
            </w:pict>
          </mc:Fallback>
        </mc:AlternateContent>
      </w:r>
      <w:r>
        <w:rPr>
          <w:spacing w:val="-2"/>
          <w:sz w:val="24"/>
        </w:rPr>
        <w:t>Cafeteria</w:t>
      </w:r>
    </w:p>
    <w:p>
      <w:pPr>
        <w:pStyle w:val="ListParagraph"/>
        <w:numPr>
          <w:ilvl w:val="1"/>
          <w:numId w:val="52"/>
        </w:numPr>
        <w:tabs>
          <w:tab w:pos="1659" w:val="left" w:leader="none"/>
        </w:tabs>
        <w:spacing w:line="240" w:lineRule="auto" w:before="276" w:after="0"/>
        <w:ind w:left="1659" w:right="0" w:hanging="719"/>
        <w:jc w:val="left"/>
        <w:rPr>
          <w:sz w:val="24"/>
        </w:rPr>
      </w:pPr>
      <w:r>
        <w:rPr/>
        <mc:AlternateContent>
          <mc:Choice Requires="wps">
            <w:drawing>
              <wp:anchor distT="0" distB="0" distL="0" distR="0" allowOverlap="1" layoutInCell="1" locked="0" behindDoc="0" simplePos="0" relativeHeight="15740416">
                <wp:simplePos x="0" y="0"/>
                <wp:positionH relativeFrom="page">
                  <wp:posOffset>5943600</wp:posOffset>
                </wp:positionH>
                <wp:positionV relativeFrom="paragraph">
                  <wp:posOffset>385207</wp:posOffset>
                </wp:positionV>
                <wp:extent cx="228600" cy="228600"/>
                <wp:effectExtent l="0" t="0" r="0" b="0"/>
                <wp:wrapNone/>
                <wp:docPr id="597" name="Graphic 597"/>
                <wp:cNvGraphicFramePr>
                  <a:graphicFrameLocks/>
                </wp:cNvGraphicFramePr>
                <a:graphic>
                  <a:graphicData uri="http://schemas.microsoft.com/office/word/2010/wordprocessingShape">
                    <wps:wsp>
                      <wps:cNvPr id="597" name="Graphic 597"/>
                      <wps:cNvSpPr/>
                      <wps:spPr>
                        <a:xfrm>
                          <a:off x="0" y="0"/>
                          <a:ext cx="228600" cy="228600"/>
                        </a:xfrm>
                        <a:custGeom>
                          <a:avLst/>
                          <a:gdLst/>
                          <a:ahLst/>
                          <a:cxnLst/>
                          <a:rect l="l" t="t" r="r" b="b"/>
                          <a:pathLst>
                            <a:path w="228600" h="228600">
                              <a:moveTo>
                                <a:pt x="0" y="0"/>
                              </a:moveTo>
                              <a:lnTo>
                                <a:pt x="0" y="228599"/>
                              </a:lnTo>
                              <a:lnTo>
                                <a:pt x="228600" y="228599"/>
                              </a:lnTo>
                              <a:lnTo>
                                <a:pt x="228600" y="0"/>
                              </a:lnTo>
                              <a:lnTo>
                                <a:pt x="0" y="0"/>
                              </a:lnTo>
                              <a:close/>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w:pict>
              <v:rect style="position:absolute;margin-left:468pt;margin-top:30.331289pt;width:18pt;height:18pt;mso-position-horizontal-relative:page;mso-position-vertical-relative:paragraph;z-index:15740416" id="docshape595" filled="false" stroked="true" strokeweight=".71999pt" strokecolor="#000000">
                <v:stroke dashstyle="solid"/>
                <w10:wrap type="none"/>
              </v:rect>
            </w:pict>
          </mc:Fallback>
        </mc:AlternateContent>
      </w:r>
      <w:r>
        <w:rPr>
          <w:spacing w:val="-2"/>
          <w:sz w:val="24"/>
        </w:rPr>
        <w:t>Bukateria</w:t>
      </w:r>
    </w:p>
    <w:p>
      <w:pPr>
        <w:pStyle w:val="ListParagraph"/>
        <w:numPr>
          <w:ilvl w:val="1"/>
          <w:numId w:val="52"/>
        </w:numPr>
        <w:tabs>
          <w:tab w:pos="1659" w:val="left" w:leader="none"/>
        </w:tabs>
        <w:spacing w:line="240" w:lineRule="auto" w:before="276" w:after="0"/>
        <w:ind w:left="1659" w:right="0" w:hanging="719"/>
        <w:jc w:val="left"/>
        <w:rPr>
          <w:sz w:val="24"/>
        </w:rPr>
      </w:pPr>
      <w:r>
        <w:rPr/>
        <mc:AlternateContent>
          <mc:Choice Requires="wps">
            <w:drawing>
              <wp:anchor distT="0" distB="0" distL="0" distR="0" allowOverlap="1" layoutInCell="1" locked="0" behindDoc="0" simplePos="0" relativeHeight="15740928">
                <wp:simplePos x="0" y="0"/>
                <wp:positionH relativeFrom="page">
                  <wp:posOffset>5943600</wp:posOffset>
                </wp:positionH>
                <wp:positionV relativeFrom="paragraph">
                  <wp:posOffset>415702</wp:posOffset>
                </wp:positionV>
                <wp:extent cx="228600" cy="228600"/>
                <wp:effectExtent l="0" t="0" r="0" b="0"/>
                <wp:wrapNone/>
                <wp:docPr id="598" name="Graphic 598"/>
                <wp:cNvGraphicFramePr>
                  <a:graphicFrameLocks/>
                </wp:cNvGraphicFramePr>
                <a:graphic>
                  <a:graphicData uri="http://schemas.microsoft.com/office/word/2010/wordprocessingShape">
                    <wps:wsp>
                      <wps:cNvPr id="598" name="Graphic 598"/>
                      <wps:cNvSpPr/>
                      <wps:spPr>
                        <a:xfrm>
                          <a:off x="0" y="0"/>
                          <a:ext cx="228600" cy="228600"/>
                        </a:xfrm>
                        <a:custGeom>
                          <a:avLst/>
                          <a:gdLst/>
                          <a:ahLst/>
                          <a:cxnLst/>
                          <a:rect l="l" t="t" r="r" b="b"/>
                          <a:pathLst>
                            <a:path w="228600" h="228600">
                              <a:moveTo>
                                <a:pt x="0" y="0"/>
                              </a:moveTo>
                              <a:lnTo>
                                <a:pt x="0" y="228599"/>
                              </a:lnTo>
                              <a:lnTo>
                                <a:pt x="228600" y="228599"/>
                              </a:lnTo>
                              <a:lnTo>
                                <a:pt x="228600" y="0"/>
                              </a:lnTo>
                              <a:lnTo>
                                <a:pt x="0" y="0"/>
                              </a:lnTo>
                              <a:close/>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w:pict>
              <v:rect style="position:absolute;margin-left:468pt;margin-top:32.732460pt;width:18pt;height:18pt;mso-position-horizontal-relative:page;mso-position-vertical-relative:paragraph;z-index:15740928" id="docshape596" filled="false" stroked="true" strokeweight=".71999pt" strokecolor="#000000">
                <v:stroke dashstyle="solid"/>
                <w10:wrap type="none"/>
              </v:rect>
            </w:pict>
          </mc:Fallback>
        </mc:AlternateContent>
      </w:r>
      <w:r>
        <w:rPr>
          <w:sz w:val="24"/>
        </w:rPr>
        <w:t>Security</w:t>
      </w:r>
      <w:r>
        <w:rPr>
          <w:spacing w:val="-10"/>
          <w:sz w:val="24"/>
        </w:rPr>
        <w:t> </w:t>
      </w:r>
      <w:r>
        <w:rPr>
          <w:spacing w:val="-2"/>
          <w:sz w:val="24"/>
        </w:rPr>
        <w:t>Division</w:t>
      </w:r>
    </w:p>
    <w:p>
      <w:pPr>
        <w:pStyle w:val="ListParagraph"/>
        <w:numPr>
          <w:ilvl w:val="1"/>
          <w:numId w:val="52"/>
        </w:numPr>
        <w:tabs>
          <w:tab w:pos="1659" w:val="left" w:leader="none"/>
        </w:tabs>
        <w:spacing w:line="240" w:lineRule="auto" w:before="276" w:after="0"/>
        <w:ind w:left="1659" w:right="0" w:hanging="719"/>
        <w:jc w:val="left"/>
        <w:rPr>
          <w:sz w:val="24"/>
        </w:rPr>
      </w:pPr>
      <w:r>
        <w:rPr/>
        <mc:AlternateContent>
          <mc:Choice Requires="wps">
            <w:drawing>
              <wp:anchor distT="0" distB="0" distL="0" distR="0" allowOverlap="1" layoutInCell="1" locked="0" behindDoc="0" simplePos="0" relativeHeight="15741440">
                <wp:simplePos x="0" y="0"/>
                <wp:positionH relativeFrom="page">
                  <wp:posOffset>5943600</wp:posOffset>
                </wp:positionH>
                <wp:positionV relativeFrom="paragraph">
                  <wp:posOffset>406573</wp:posOffset>
                </wp:positionV>
                <wp:extent cx="228600" cy="228600"/>
                <wp:effectExtent l="0" t="0" r="0" b="0"/>
                <wp:wrapNone/>
                <wp:docPr id="599" name="Graphic 599"/>
                <wp:cNvGraphicFramePr>
                  <a:graphicFrameLocks/>
                </wp:cNvGraphicFramePr>
                <a:graphic>
                  <a:graphicData uri="http://schemas.microsoft.com/office/word/2010/wordprocessingShape">
                    <wps:wsp>
                      <wps:cNvPr id="599" name="Graphic 599"/>
                      <wps:cNvSpPr/>
                      <wps:spPr>
                        <a:xfrm>
                          <a:off x="0" y="0"/>
                          <a:ext cx="228600" cy="228600"/>
                        </a:xfrm>
                        <a:custGeom>
                          <a:avLst/>
                          <a:gdLst/>
                          <a:ahLst/>
                          <a:cxnLst/>
                          <a:rect l="l" t="t" r="r" b="b"/>
                          <a:pathLst>
                            <a:path w="228600" h="228600">
                              <a:moveTo>
                                <a:pt x="0" y="0"/>
                              </a:moveTo>
                              <a:lnTo>
                                <a:pt x="0" y="228599"/>
                              </a:lnTo>
                              <a:lnTo>
                                <a:pt x="228600" y="228599"/>
                              </a:lnTo>
                              <a:lnTo>
                                <a:pt x="228600" y="0"/>
                              </a:lnTo>
                              <a:lnTo>
                                <a:pt x="0" y="0"/>
                              </a:lnTo>
                              <a:close/>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w:pict>
              <v:rect style="position:absolute;margin-left:468pt;margin-top:32.013634pt;width:18pt;height:18pt;mso-position-horizontal-relative:page;mso-position-vertical-relative:paragraph;z-index:15741440" id="docshape597" filled="false" stroked="true" strokeweight=".71999pt" strokecolor="#000000">
                <v:stroke dashstyle="solid"/>
                <w10:wrap type="none"/>
              </v:rect>
            </w:pict>
          </mc:Fallback>
        </mc:AlternateContent>
      </w:r>
      <w:r>
        <w:rPr>
          <w:spacing w:val="-2"/>
          <w:sz w:val="24"/>
        </w:rPr>
        <w:t>Restaurant</w:t>
      </w:r>
    </w:p>
    <w:p>
      <w:pPr>
        <w:pStyle w:val="BodyText"/>
      </w:pPr>
    </w:p>
    <w:p>
      <w:pPr>
        <w:pStyle w:val="ListParagraph"/>
        <w:numPr>
          <w:ilvl w:val="1"/>
          <w:numId w:val="52"/>
        </w:numPr>
        <w:tabs>
          <w:tab w:pos="1659" w:val="left" w:leader="none"/>
        </w:tabs>
        <w:spacing w:line="240" w:lineRule="auto" w:before="0" w:after="0"/>
        <w:ind w:left="1659" w:right="0" w:hanging="719"/>
        <w:jc w:val="left"/>
        <w:rPr>
          <w:sz w:val="24"/>
        </w:rPr>
      </w:pPr>
      <w:r>
        <w:rPr/>
        <mc:AlternateContent>
          <mc:Choice Requires="wps">
            <w:drawing>
              <wp:anchor distT="0" distB="0" distL="0" distR="0" allowOverlap="1" layoutInCell="1" locked="0" behindDoc="0" simplePos="0" relativeHeight="15741952">
                <wp:simplePos x="0" y="0"/>
                <wp:positionH relativeFrom="page">
                  <wp:posOffset>5943600</wp:posOffset>
                </wp:positionH>
                <wp:positionV relativeFrom="paragraph">
                  <wp:posOffset>240486</wp:posOffset>
                </wp:positionV>
                <wp:extent cx="228600" cy="228600"/>
                <wp:effectExtent l="0" t="0" r="0" b="0"/>
                <wp:wrapNone/>
                <wp:docPr id="600" name="Graphic 600"/>
                <wp:cNvGraphicFramePr>
                  <a:graphicFrameLocks/>
                </wp:cNvGraphicFramePr>
                <a:graphic>
                  <a:graphicData uri="http://schemas.microsoft.com/office/word/2010/wordprocessingShape">
                    <wps:wsp>
                      <wps:cNvPr id="600" name="Graphic 600"/>
                      <wps:cNvSpPr/>
                      <wps:spPr>
                        <a:xfrm>
                          <a:off x="0" y="0"/>
                          <a:ext cx="228600" cy="228600"/>
                        </a:xfrm>
                        <a:custGeom>
                          <a:avLst/>
                          <a:gdLst/>
                          <a:ahLst/>
                          <a:cxnLst/>
                          <a:rect l="l" t="t" r="r" b="b"/>
                          <a:pathLst>
                            <a:path w="228600" h="228600">
                              <a:moveTo>
                                <a:pt x="0" y="0"/>
                              </a:moveTo>
                              <a:lnTo>
                                <a:pt x="0" y="228600"/>
                              </a:lnTo>
                              <a:lnTo>
                                <a:pt x="228600" y="228600"/>
                              </a:lnTo>
                              <a:lnTo>
                                <a:pt x="228600" y="0"/>
                              </a:lnTo>
                              <a:lnTo>
                                <a:pt x="0" y="0"/>
                              </a:lnTo>
                              <a:close/>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w:pict>
              <v:rect style="position:absolute;margin-left:468pt;margin-top:18.935976pt;width:18pt;height:18pt;mso-position-horizontal-relative:page;mso-position-vertical-relative:paragraph;z-index:15741952" id="docshape598" filled="false" stroked="true" strokeweight=".71999pt" strokecolor="#000000">
                <v:stroke dashstyle="solid"/>
                <w10:wrap type="none"/>
              </v:rect>
            </w:pict>
          </mc:Fallback>
        </mc:AlternateContent>
      </w:r>
      <w:r>
        <w:rPr>
          <w:spacing w:val="-2"/>
          <w:sz w:val="24"/>
        </w:rPr>
        <w:t>Bookshop</w:t>
      </w:r>
    </w:p>
    <w:p>
      <w:pPr>
        <w:pStyle w:val="BodyText"/>
      </w:pPr>
    </w:p>
    <w:p>
      <w:pPr>
        <w:pStyle w:val="ListParagraph"/>
        <w:numPr>
          <w:ilvl w:val="1"/>
          <w:numId w:val="52"/>
        </w:numPr>
        <w:tabs>
          <w:tab w:pos="1659" w:val="left" w:leader="none"/>
        </w:tabs>
        <w:spacing w:line="240" w:lineRule="auto" w:before="0" w:after="0"/>
        <w:ind w:left="1659" w:right="0" w:hanging="719"/>
        <w:jc w:val="left"/>
        <w:rPr>
          <w:sz w:val="24"/>
        </w:rPr>
      </w:pPr>
      <w:r>
        <w:rPr>
          <w:sz w:val="24"/>
        </w:rPr>
        <w:t>Printing</w:t>
      </w:r>
      <w:r>
        <w:rPr>
          <w:spacing w:val="-8"/>
          <w:sz w:val="24"/>
        </w:rPr>
        <w:t> </w:t>
      </w:r>
      <w:r>
        <w:rPr>
          <w:spacing w:val="-2"/>
          <w:sz w:val="24"/>
        </w:rPr>
        <w:t>Press</w:t>
      </w:r>
    </w:p>
    <w:p>
      <w:pPr>
        <w:pStyle w:val="BodyText"/>
        <w:spacing w:before="6"/>
        <w:rPr>
          <w:sz w:val="5"/>
        </w:rPr>
      </w:pPr>
      <w:r>
        <w:rPr/>
        <mc:AlternateContent>
          <mc:Choice Requires="wps">
            <w:drawing>
              <wp:anchor distT="0" distB="0" distL="0" distR="0" allowOverlap="1" layoutInCell="1" locked="0" behindDoc="1" simplePos="0" relativeHeight="487594496">
                <wp:simplePos x="0" y="0"/>
                <wp:positionH relativeFrom="page">
                  <wp:posOffset>5943600</wp:posOffset>
                </wp:positionH>
                <wp:positionV relativeFrom="paragraph">
                  <wp:posOffset>55559</wp:posOffset>
                </wp:positionV>
                <wp:extent cx="228600" cy="228600"/>
                <wp:effectExtent l="0" t="0" r="0" b="0"/>
                <wp:wrapTopAndBottom/>
                <wp:docPr id="601" name="Graphic 601"/>
                <wp:cNvGraphicFramePr>
                  <a:graphicFrameLocks/>
                </wp:cNvGraphicFramePr>
                <a:graphic>
                  <a:graphicData uri="http://schemas.microsoft.com/office/word/2010/wordprocessingShape">
                    <wps:wsp>
                      <wps:cNvPr id="601" name="Graphic 601"/>
                      <wps:cNvSpPr/>
                      <wps:spPr>
                        <a:xfrm>
                          <a:off x="0" y="0"/>
                          <a:ext cx="228600" cy="228600"/>
                        </a:xfrm>
                        <a:custGeom>
                          <a:avLst/>
                          <a:gdLst/>
                          <a:ahLst/>
                          <a:cxnLst/>
                          <a:rect l="l" t="t" r="r" b="b"/>
                          <a:pathLst>
                            <a:path w="228600" h="228600">
                              <a:moveTo>
                                <a:pt x="0" y="0"/>
                              </a:moveTo>
                              <a:lnTo>
                                <a:pt x="0" y="228600"/>
                              </a:lnTo>
                              <a:lnTo>
                                <a:pt x="228600" y="228600"/>
                              </a:lnTo>
                              <a:lnTo>
                                <a:pt x="228600" y="0"/>
                              </a:lnTo>
                              <a:lnTo>
                                <a:pt x="0" y="0"/>
                              </a:lnTo>
                              <a:close/>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w:pict>
              <v:rect style="position:absolute;margin-left:468pt;margin-top:4.374756pt;width:18pt;height:18.0pt;mso-position-horizontal-relative:page;mso-position-vertical-relative:paragraph;z-index:-15721984;mso-wrap-distance-left:0;mso-wrap-distance-right:0" id="docshape599" filled="false" stroked="true" strokeweight=".71999pt" strokecolor="#000000">
                <v:stroke dashstyle="solid"/>
                <w10:wrap type="topAndBottom"/>
              </v:rect>
            </w:pict>
          </mc:Fallback>
        </mc:AlternateContent>
      </w:r>
    </w:p>
    <w:p>
      <w:pPr>
        <w:spacing w:after="0"/>
        <w:rPr>
          <w:sz w:val="5"/>
        </w:rPr>
        <w:sectPr>
          <w:headerReference w:type="default" r:id="rId606"/>
          <w:footerReference w:type="default" r:id="rId607"/>
          <w:pgSz w:w="12240" w:h="15840"/>
          <w:pgMar w:header="722" w:footer="623" w:top="980" w:bottom="820" w:left="1220" w:right="1140"/>
        </w:sectPr>
      </w:pPr>
    </w:p>
    <w:p>
      <w:pPr>
        <w:pStyle w:val="BodyText"/>
        <w:spacing w:before="171"/>
      </w:pPr>
    </w:p>
    <w:p>
      <w:pPr>
        <w:pStyle w:val="ListParagraph"/>
        <w:numPr>
          <w:ilvl w:val="1"/>
          <w:numId w:val="52"/>
        </w:numPr>
        <w:tabs>
          <w:tab w:pos="1659" w:val="left" w:leader="none"/>
        </w:tabs>
        <w:spacing w:line="240" w:lineRule="auto" w:before="0" w:after="0"/>
        <w:ind w:left="1659" w:right="0" w:hanging="719"/>
        <w:jc w:val="left"/>
        <w:rPr>
          <w:sz w:val="24"/>
        </w:rPr>
      </w:pPr>
      <w:r>
        <w:rPr/>
        <mc:AlternateContent>
          <mc:Choice Requires="wps">
            <w:drawing>
              <wp:anchor distT="0" distB="0" distL="0" distR="0" allowOverlap="1" layoutInCell="1" locked="0" behindDoc="0" simplePos="0" relativeHeight="15744512">
                <wp:simplePos x="0" y="0"/>
                <wp:positionH relativeFrom="page">
                  <wp:posOffset>5943600</wp:posOffset>
                </wp:positionH>
                <wp:positionV relativeFrom="paragraph">
                  <wp:posOffset>222700</wp:posOffset>
                </wp:positionV>
                <wp:extent cx="228600" cy="228600"/>
                <wp:effectExtent l="0" t="0" r="0" b="0"/>
                <wp:wrapNone/>
                <wp:docPr id="604" name="Graphic 604"/>
                <wp:cNvGraphicFramePr>
                  <a:graphicFrameLocks/>
                </wp:cNvGraphicFramePr>
                <a:graphic>
                  <a:graphicData uri="http://schemas.microsoft.com/office/word/2010/wordprocessingShape">
                    <wps:wsp>
                      <wps:cNvPr id="604" name="Graphic 604"/>
                      <wps:cNvSpPr/>
                      <wps:spPr>
                        <a:xfrm>
                          <a:off x="0" y="0"/>
                          <a:ext cx="228600" cy="228600"/>
                        </a:xfrm>
                        <a:custGeom>
                          <a:avLst/>
                          <a:gdLst/>
                          <a:ahLst/>
                          <a:cxnLst/>
                          <a:rect l="l" t="t" r="r" b="b"/>
                          <a:pathLst>
                            <a:path w="228600" h="228600">
                              <a:moveTo>
                                <a:pt x="0" y="0"/>
                              </a:moveTo>
                              <a:lnTo>
                                <a:pt x="0" y="228600"/>
                              </a:lnTo>
                              <a:lnTo>
                                <a:pt x="228600" y="228600"/>
                              </a:lnTo>
                              <a:lnTo>
                                <a:pt x="228600" y="0"/>
                              </a:lnTo>
                              <a:lnTo>
                                <a:pt x="0" y="0"/>
                              </a:lnTo>
                              <a:close/>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w:pict>
              <v:rect style="position:absolute;margin-left:468pt;margin-top:17.535469pt;width:18pt;height:18pt;mso-position-horizontal-relative:page;mso-position-vertical-relative:paragraph;z-index:15744512" id="docshape602" filled="false" stroked="true" strokeweight=".71999pt" strokecolor="#000000">
                <v:stroke dashstyle="solid"/>
                <w10:wrap type="none"/>
              </v:rect>
            </w:pict>
          </mc:Fallback>
        </mc:AlternateContent>
      </w:r>
      <w:r>
        <w:rPr>
          <w:sz w:val="24"/>
        </w:rPr>
        <w:t>Mail</w:t>
      </w:r>
      <w:r>
        <w:rPr>
          <w:spacing w:val="-8"/>
          <w:sz w:val="24"/>
        </w:rPr>
        <w:t> </w:t>
      </w:r>
      <w:r>
        <w:rPr>
          <w:sz w:val="24"/>
        </w:rPr>
        <w:t>Office/Post</w:t>
      </w:r>
      <w:r>
        <w:rPr>
          <w:spacing w:val="-8"/>
          <w:sz w:val="24"/>
        </w:rPr>
        <w:t> </w:t>
      </w:r>
      <w:r>
        <w:rPr>
          <w:spacing w:val="-2"/>
          <w:sz w:val="24"/>
        </w:rPr>
        <w:t>Office</w:t>
      </w:r>
    </w:p>
    <w:p>
      <w:pPr>
        <w:pStyle w:val="BodyText"/>
      </w:pPr>
    </w:p>
    <w:p>
      <w:pPr>
        <w:pStyle w:val="ListParagraph"/>
        <w:numPr>
          <w:ilvl w:val="1"/>
          <w:numId w:val="52"/>
        </w:numPr>
        <w:tabs>
          <w:tab w:pos="1659" w:val="left" w:leader="none"/>
        </w:tabs>
        <w:spacing w:line="240" w:lineRule="auto" w:before="1" w:after="0"/>
        <w:ind w:left="1659" w:right="0" w:hanging="719"/>
        <w:jc w:val="left"/>
        <w:rPr>
          <w:sz w:val="24"/>
        </w:rPr>
      </w:pPr>
      <w:r>
        <w:rPr>
          <w:spacing w:val="-2"/>
          <w:sz w:val="24"/>
        </w:rPr>
        <w:t>Library</w:t>
      </w:r>
    </w:p>
    <w:p>
      <w:pPr>
        <w:pStyle w:val="ListParagraph"/>
        <w:numPr>
          <w:ilvl w:val="1"/>
          <w:numId w:val="52"/>
        </w:numPr>
        <w:tabs>
          <w:tab w:pos="1659" w:val="left" w:leader="none"/>
          <w:tab w:pos="3819" w:val="left" w:leader="none"/>
          <w:tab w:pos="9515" w:val="left" w:leader="none"/>
        </w:tabs>
        <w:spacing w:line="240" w:lineRule="auto" w:before="276" w:after="0"/>
        <w:ind w:left="1659" w:right="0" w:hanging="719"/>
        <w:jc w:val="left"/>
        <w:rPr>
          <w:sz w:val="24"/>
        </w:rPr>
      </w:pPr>
      <w:r>
        <w:rPr>
          <w:sz w:val="24"/>
        </w:rPr>
        <w:t>Any</w:t>
      </w:r>
      <w:r>
        <w:rPr>
          <w:spacing w:val="-4"/>
          <w:sz w:val="24"/>
        </w:rPr>
        <w:t> </w:t>
      </w:r>
      <w:r>
        <w:rPr>
          <w:sz w:val="24"/>
        </w:rPr>
        <w:t>other:</w:t>
      </w:r>
      <w:r>
        <w:rPr>
          <w:spacing w:val="-4"/>
          <w:sz w:val="24"/>
        </w:rPr>
        <w:t> </w:t>
      </w:r>
      <w:r>
        <w:rPr>
          <w:spacing w:val="-2"/>
          <w:sz w:val="24"/>
        </w:rPr>
        <w:t>Please</w:t>
      </w:r>
      <w:r>
        <w:rPr>
          <w:sz w:val="24"/>
        </w:rPr>
        <w:tab/>
      </w:r>
      <w:r>
        <w:rPr>
          <w:spacing w:val="-2"/>
          <w:sz w:val="24"/>
        </w:rPr>
        <w:t>State</w:t>
      </w:r>
      <w:r>
        <w:rPr>
          <w:sz w:val="24"/>
          <w:u w:val="single"/>
        </w:rPr>
        <w:tab/>
      </w:r>
    </w:p>
    <w:p>
      <w:pPr>
        <w:pStyle w:val="BodyText"/>
        <w:spacing w:before="147"/>
        <w:rPr>
          <w:sz w:val="20"/>
        </w:rPr>
      </w:pPr>
      <w:r>
        <w:rPr/>
        <mc:AlternateContent>
          <mc:Choice Requires="wps">
            <w:drawing>
              <wp:anchor distT="0" distB="0" distL="0" distR="0" allowOverlap="1" layoutInCell="1" locked="0" behindDoc="1" simplePos="0" relativeHeight="487601664">
                <wp:simplePos x="0" y="0"/>
                <wp:positionH relativeFrom="page">
                  <wp:posOffset>1828800</wp:posOffset>
                </wp:positionH>
                <wp:positionV relativeFrom="paragraph">
                  <wp:posOffset>255223</wp:posOffset>
                </wp:positionV>
                <wp:extent cx="5002530" cy="1270"/>
                <wp:effectExtent l="0" t="0" r="0" b="0"/>
                <wp:wrapTopAndBottom/>
                <wp:docPr id="605" name="Graphic 605"/>
                <wp:cNvGraphicFramePr>
                  <a:graphicFrameLocks/>
                </wp:cNvGraphicFramePr>
                <a:graphic>
                  <a:graphicData uri="http://schemas.microsoft.com/office/word/2010/wordprocessingShape">
                    <wps:wsp>
                      <wps:cNvPr id="605" name="Graphic 605"/>
                      <wps:cNvSpPr/>
                      <wps:spPr>
                        <a:xfrm>
                          <a:off x="0" y="0"/>
                          <a:ext cx="5002530" cy="1270"/>
                        </a:xfrm>
                        <a:custGeom>
                          <a:avLst/>
                          <a:gdLst/>
                          <a:ahLst/>
                          <a:cxnLst/>
                          <a:rect l="l" t="t" r="r" b="b"/>
                          <a:pathLst>
                            <a:path w="5002530" h="0">
                              <a:moveTo>
                                <a:pt x="0" y="0"/>
                              </a:moveTo>
                              <a:lnTo>
                                <a:pt x="5002175" y="0"/>
                              </a:lnTo>
                            </a:path>
                          </a:pathLst>
                        </a:custGeom>
                        <a:ln w="958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44pt;margin-top:20.096342pt;width:393.9pt;height:.1pt;mso-position-horizontal-relative:page;mso-position-vertical-relative:paragraph;z-index:-15714816;mso-wrap-distance-left:0;mso-wrap-distance-right:0" id="docshape603" coordorigin="2880,402" coordsize="7878,0" path="m2880,402l10757,402e" filled="false" stroked="true" strokeweight=".754564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02176">
                <wp:simplePos x="0" y="0"/>
                <wp:positionH relativeFrom="page">
                  <wp:posOffset>1828800</wp:posOffset>
                </wp:positionH>
                <wp:positionV relativeFrom="paragraph">
                  <wp:posOffset>517351</wp:posOffset>
                </wp:positionV>
                <wp:extent cx="5002530" cy="1270"/>
                <wp:effectExtent l="0" t="0" r="0" b="0"/>
                <wp:wrapTopAndBottom/>
                <wp:docPr id="606" name="Graphic 606"/>
                <wp:cNvGraphicFramePr>
                  <a:graphicFrameLocks/>
                </wp:cNvGraphicFramePr>
                <a:graphic>
                  <a:graphicData uri="http://schemas.microsoft.com/office/word/2010/wordprocessingShape">
                    <wps:wsp>
                      <wps:cNvPr id="606" name="Graphic 606"/>
                      <wps:cNvSpPr/>
                      <wps:spPr>
                        <a:xfrm>
                          <a:off x="0" y="0"/>
                          <a:ext cx="5002530" cy="1270"/>
                        </a:xfrm>
                        <a:custGeom>
                          <a:avLst/>
                          <a:gdLst/>
                          <a:ahLst/>
                          <a:cxnLst/>
                          <a:rect l="l" t="t" r="r" b="b"/>
                          <a:pathLst>
                            <a:path w="5002530" h="0">
                              <a:moveTo>
                                <a:pt x="0" y="0"/>
                              </a:moveTo>
                              <a:lnTo>
                                <a:pt x="5002175" y="0"/>
                              </a:lnTo>
                            </a:path>
                          </a:pathLst>
                        </a:custGeom>
                        <a:ln w="958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44pt;margin-top:40.736359pt;width:393.9pt;height:.1pt;mso-position-horizontal-relative:page;mso-position-vertical-relative:paragraph;z-index:-15714304;mso-wrap-distance-left:0;mso-wrap-distance-right:0" id="docshape604" coordorigin="2880,815" coordsize="7878,0" path="m2880,815l10757,815e" filled="false" stroked="true" strokeweight=".754564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02688">
                <wp:simplePos x="0" y="0"/>
                <wp:positionH relativeFrom="page">
                  <wp:posOffset>1828800</wp:posOffset>
                </wp:positionH>
                <wp:positionV relativeFrom="paragraph">
                  <wp:posOffset>782527</wp:posOffset>
                </wp:positionV>
                <wp:extent cx="5001260" cy="1270"/>
                <wp:effectExtent l="0" t="0" r="0" b="0"/>
                <wp:wrapTopAndBottom/>
                <wp:docPr id="607" name="Graphic 607"/>
                <wp:cNvGraphicFramePr>
                  <a:graphicFrameLocks/>
                </wp:cNvGraphicFramePr>
                <a:graphic>
                  <a:graphicData uri="http://schemas.microsoft.com/office/word/2010/wordprocessingShape">
                    <wps:wsp>
                      <wps:cNvPr id="607" name="Graphic 607"/>
                      <wps:cNvSpPr/>
                      <wps:spPr>
                        <a:xfrm>
                          <a:off x="0" y="0"/>
                          <a:ext cx="5001260" cy="1270"/>
                        </a:xfrm>
                        <a:custGeom>
                          <a:avLst/>
                          <a:gdLst/>
                          <a:ahLst/>
                          <a:cxnLst/>
                          <a:rect l="l" t="t" r="r" b="b"/>
                          <a:pathLst>
                            <a:path w="5001260" h="0">
                              <a:moveTo>
                                <a:pt x="0" y="0"/>
                              </a:moveTo>
                              <a:lnTo>
                                <a:pt x="5001168" y="0"/>
                              </a:lnTo>
                            </a:path>
                          </a:pathLst>
                        </a:custGeom>
                        <a:ln w="958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44pt;margin-top:61.616364pt;width:393.8pt;height:.1pt;mso-position-horizontal-relative:page;mso-position-vertical-relative:paragraph;z-index:-15713792;mso-wrap-distance-left:0;mso-wrap-distance-right:0" id="docshape605" coordorigin="2880,1232" coordsize="7876,0" path="m2880,1232l10756,1232e" filled="false" stroked="true" strokeweight=".754564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03200">
                <wp:simplePos x="0" y="0"/>
                <wp:positionH relativeFrom="page">
                  <wp:posOffset>1828800</wp:posOffset>
                </wp:positionH>
                <wp:positionV relativeFrom="paragraph">
                  <wp:posOffset>1044655</wp:posOffset>
                </wp:positionV>
                <wp:extent cx="5002530" cy="1270"/>
                <wp:effectExtent l="0" t="0" r="0" b="0"/>
                <wp:wrapTopAndBottom/>
                <wp:docPr id="608" name="Graphic 608"/>
                <wp:cNvGraphicFramePr>
                  <a:graphicFrameLocks/>
                </wp:cNvGraphicFramePr>
                <a:graphic>
                  <a:graphicData uri="http://schemas.microsoft.com/office/word/2010/wordprocessingShape">
                    <wps:wsp>
                      <wps:cNvPr id="608" name="Graphic 608"/>
                      <wps:cNvSpPr/>
                      <wps:spPr>
                        <a:xfrm>
                          <a:off x="0" y="0"/>
                          <a:ext cx="5002530" cy="1270"/>
                        </a:xfrm>
                        <a:custGeom>
                          <a:avLst/>
                          <a:gdLst/>
                          <a:ahLst/>
                          <a:cxnLst/>
                          <a:rect l="l" t="t" r="r" b="b"/>
                          <a:pathLst>
                            <a:path w="5002530" h="0">
                              <a:moveTo>
                                <a:pt x="0" y="0"/>
                              </a:moveTo>
                              <a:lnTo>
                                <a:pt x="5002175" y="0"/>
                              </a:lnTo>
                            </a:path>
                          </a:pathLst>
                        </a:custGeom>
                        <a:ln w="958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44pt;margin-top:82.256317pt;width:393.9pt;height:.1pt;mso-position-horizontal-relative:page;mso-position-vertical-relative:paragraph;z-index:-15713280;mso-wrap-distance-left:0;mso-wrap-distance-right:0" id="docshape606" coordorigin="2880,1645" coordsize="7878,0" path="m2880,1645l10757,1645e" filled="false" stroked="true" strokeweight=".754564pt" strokecolor="#000000">
                <v:path arrowok="t"/>
                <v:stroke dashstyle="solid"/>
                <w10:wrap type="topAndBottom"/>
              </v:shape>
            </w:pict>
          </mc:Fallback>
        </mc:AlternateContent>
      </w:r>
    </w:p>
    <w:p>
      <w:pPr>
        <w:pStyle w:val="BodyText"/>
        <w:spacing w:before="151"/>
        <w:rPr>
          <w:sz w:val="20"/>
        </w:rPr>
      </w:pPr>
    </w:p>
    <w:p>
      <w:pPr>
        <w:pStyle w:val="BodyText"/>
        <w:spacing w:before="156"/>
        <w:rPr>
          <w:sz w:val="20"/>
        </w:rPr>
      </w:pPr>
    </w:p>
    <w:p>
      <w:pPr>
        <w:pStyle w:val="BodyText"/>
        <w:spacing w:before="151"/>
        <w:rPr>
          <w:sz w:val="20"/>
        </w:rPr>
      </w:pPr>
    </w:p>
    <w:p>
      <w:pPr>
        <w:pStyle w:val="BodyText"/>
      </w:pPr>
    </w:p>
    <w:p>
      <w:pPr>
        <w:pStyle w:val="BodyText"/>
      </w:pPr>
    </w:p>
    <w:p>
      <w:pPr>
        <w:pStyle w:val="BodyText"/>
      </w:pPr>
    </w:p>
    <w:p>
      <w:pPr>
        <w:pStyle w:val="BodyText"/>
        <w:spacing w:before="116"/>
      </w:pPr>
    </w:p>
    <w:p>
      <w:pPr>
        <w:pStyle w:val="Heading3"/>
        <w:ind w:left="395" w:right="473"/>
      </w:pPr>
      <w:r>
        <w:rPr/>
        <w:t>PART</w:t>
      </w:r>
      <w:r>
        <w:rPr>
          <w:spacing w:val="-2"/>
        </w:rPr>
        <w:t> </w:t>
      </w:r>
      <w:r>
        <w:rPr>
          <w:spacing w:val="-5"/>
        </w:rPr>
        <w:t>II</w:t>
      </w:r>
    </w:p>
    <w:p>
      <w:pPr>
        <w:pStyle w:val="BodyText"/>
        <w:spacing w:line="242" w:lineRule="auto" w:before="122"/>
        <w:ind w:left="220" w:right="296"/>
        <w:jc w:val="both"/>
      </w:pPr>
      <w:r>
        <w:rPr>
          <w:rFonts w:ascii="Arial"/>
          <w:b/>
        </w:rPr>
        <w:t>Instruction:</w:t>
      </w:r>
      <w:r>
        <w:rPr>
          <w:rFonts w:ascii="Arial"/>
          <w:b/>
          <w:spacing w:val="40"/>
        </w:rPr>
        <w:t> </w:t>
      </w:r>
      <w:r>
        <w:rPr/>
        <w:t>In the list</w:t>
      </w:r>
      <w:r>
        <w:rPr>
          <w:spacing w:val="-1"/>
        </w:rPr>
        <w:t> </w:t>
      </w:r>
      <w:r>
        <w:rPr/>
        <w:t>below,</w:t>
      </w:r>
      <w:r>
        <w:rPr>
          <w:spacing w:val="-1"/>
        </w:rPr>
        <w:t> </w:t>
      </w:r>
      <w:r>
        <w:rPr/>
        <w:t>please indicate the availability</w:t>
      </w:r>
      <w:r>
        <w:rPr>
          <w:spacing w:val="-1"/>
        </w:rPr>
        <w:t> </w:t>
      </w:r>
      <w:r>
        <w:rPr/>
        <w:t>and degree of</w:t>
      </w:r>
      <w:r>
        <w:rPr>
          <w:spacing w:val="-1"/>
        </w:rPr>
        <w:t> </w:t>
      </w:r>
      <w:r>
        <w:rPr/>
        <w:t>adequacy</w:t>
      </w:r>
      <w:r>
        <w:rPr>
          <w:spacing w:val="-1"/>
        </w:rPr>
        <w:t> </w:t>
      </w:r>
      <w:r>
        <w:rPr/>
        <w:t>of the following student welfare services in your University by ticking the appropriate column provided. The abbreviations used are:</w:t>
      </w:r>
    </w:p>
    <w:p>
      <w:pPr>
        <w:pStyle w:val="BodyText"/>
        <w:spacing w:before="2"/>
        <w:rPr>
          <w:sz w:val="10"/>
        </w:rPr>
      </w:pPr>
    </w:p>
    <w:tbl>
      <w:tblPr>
        <w:tblW w:w="0" w:type="auto"/>
        <w:jc w:val="left"/>
        <w:tblInd w:w="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83"/>
        <w:gridCol w:w="617"/>
        <w:gridCol w:w="1932"/>
      </w:tblGrid>
      <w:tr>
        <w:trPr>
          <w:trHeight w:val="333" w:hRule="atLeast"/>
        </w:trPr>
        <w:tc>
          <w:tcPr>
            <w:tcW w:w="583" w:type="dxa"/>
          </w:tcPr>
          <w:p>
            <w:pPr>
              <w:pStyle w:val="TableParagraph"/>
              <w:spacing w:line="268" w:lineRule="exact"/>
              <w:ind w:left="50"/>
              <w:rPr>
                <w:rFonts w:ascii="Arial"/>
                <w:b/>
                <w:sz w:val="24"/>
              </w:rPr>
            </w:pPr>
            <w:r>
              <w:rPr>
                <w:rFonts w:ascii="Arial"/>
                <w:b/>
                <w:spacing w:val="-5"/>
                <w:sz w:val="24"/>
              </w:rPr>
              <w:t>VA</w:t>
            </w:r>
          </w:p>
        </w:tc>
        <w:tc>
          <w:tcPr>
            <w:tcW w:w="617" w:type="dxa"/>
          </w:tcPr>
          <w:p>
            <w:pPr>
              <w:pStyle w:val="TableParagraph"/>
              <w:spacing w:line="268" w:lineRule="exact"/>
              <w:ind w:right="101"/>
              <w:jc w:val="center"/>
              <w:rPr>
                <w:rFonts w:ascii="Arial"/>
                <w:b/>
                <w:sz w:val="24"/>
              </w:rPr>
            </w:pPr>
            <w:r>
              <w:rPr>
                <w:rFonts w:ascii="Arial"/>
                <w:b/>
                <w:spacing w:val="-10"/>
                <w:sz w:val="24"/>
              </w:rPr>
              <w:t>=</w:t>
            </w:r>
          </w:p>
        </w:tc>
        <w:tc>
          <w:tcPr>
            <w:tcW w:w="1932" w:type="dxa"/>
          </w:tcPr>
          <w:p>
            <w:pPr>
              <w:pStyle w:val="TableParagraph"/>
              <w:spacing w:line="268" w:lineRule="exact"/>
              <w:ind w:left="290"/>
              <w:rPr>
                <w:sz w:val="24"/>
              </w:rPr>
            </w:pPr>
            <w:r>
              <w:rPr>
                <w:sz w:val="24"/>
              </w:rPr>
              <w:t>Very</w:t>
            </w:r>
            <w:r>
              <w:rPr>
                <w:spacing w:val="-5"/>
                <w:sz w:val="24"/>
              </w:rPr>
              <w:t> </w:t>
            </w:r>
            <w:r>
              <w:rPr>
                <w:spacing w:val="-2"/>
                <w:sz w:val="24"/>
              </w:rPr>
              <w:t>Adequate</w:t>
            </w:r>
          </w:p>
        </w:tc>
      </w:tr>
      <w:tr>
        <w:trPr>
          <w:trHeight w:val="395" w:hRule="atLeast"/>
        </w:trPr>
        <w:tc>
          <w:tcPr>
            <w:tcW w:w="583" w:type="dxa"/>
          </w:tcPr>
          <w:p>
            <w:pPr>
              <w:pStyle w:val="TableParagraph"/>
              <w:spacing w:before="57"/>
              <w:ind w:left="50"/>
              <w:rPr>
                <w:rFonts w:ascii="Arial"/>
                <w:b/>
                <w:sz w:val="24"/>
              </w:rPr>
            </w:pPr>
            <w:r>
              <w:rPr>
                <w:rFonts w:ascii="Arial"/>
                <w:b/>
                <w:spacing w:val="-10"/>
                <w:sz w:val="24"/>
              </w:rPr>
              <w:t>A</w:t>
            </w:r>
          </w:p>
        </w:tc>
        <w:tc>
          <w:tcPr>
            <w:tcW w:w="617" w:type="dxa"/>
          </w:tcPr>
          <w:p>
            <w:pPr>
              <w:pStyle w:val="TableParagraph"/>
              <w:spacing w:before="57"/>
              <w:ind w:right="101"/>
              <w:jc w:val="center"/>
              <w:rPr>
                <w:sz w:val="24"/>
              </w:rPr>
            </w:pPr>
            <w:r>
              <w:rPr>
                <w:spacing w:val="-10"/>
                <w:sz w:val="24"/>
              </w:rPr>
              <w:t>=</w:t>
            </w:r>
          </w:p>
        </w:tc>
        <w:tc>
          <w:tcPr>
            <w:tcW w:w="1932" w:type="dxa"/>
          </w:tcPr>
          <w:p>
            <w:pPr>
              <w:pStyle w:val="TableParagraph"/>
              <w:spacing w:before="57"/>
              <w:ind w:left="290"/>
              <w:rPr>
                <w:sz w:val="24"/>
              </w:rPr>
            </w:pPr>
            <w:r>
              <w:rPr>
                <w:spacing w:val="-2"/>
                <w:sz w:val="24"/>
              </w:rPr>
              <w:t>Adequate</w:t>
            </w:r>
          </w:p>
        </w:tc>
      </w:tr>
      <w:tr>
        <w:trPr>
          <w:trHeight w:val="396" w:hRule="atLeast"/>
        </w:trPr>
        <w:tc>
          <w:tcPr>
            <w:tcW w:w="583" w:type="dxa"/>
          </w:tcPr>
          <w:p>
            <w:pPr>
              <w:pStyle w:val="TableParagraph"/>
              <w:spacing w:before="55"/>
              <w:ind w:left="50"/>
              <w:rPr>
                <w:rFonts w:ascii="Arial"/>
                <w:b/>
                <w:sz w:val="24"/>
              </w:rPr>
            </w:pPr>
            <w:r>
              <w:rPr>
                <w:rFonts w:ascii="Arial"/>
                <w:b/>
                <w:spacing w:val="-5"/>
                <w:sz w:val="24"/>
              </w:rPr>
              <w:t>NA</w:t>
            </w:r>
          </w:p>
        </w:tc>
        <w:tc>
          <w:tcPr>
            <w:tcW w:w="617" w:type="dxa"/>
          </w:tcPr>
          <w:p>
            <w:pPr>
              <w:pStyle w:val="TableParagraph"/>
              <w:spacing w:before="55"/>
              <w:ind w:right="101"/>
              <w:jc w:val="center"/>
              <w:rPr>
                <w:sz w:val="24"/>
              </w:rPr>
            </w:pPr>
            <w:r>
              <w:rPr>
                <w:spacing w:val="-10"/>
                <w:sz w:val="24"/>
              </w:rPr>
              <w:t>=</w:t>
            </w:r>
          </w:p>
        </w:tc>
        <w:tc>
          <w:tcPr>
            <w:tcW w:w="1932" w:type="dxa"/>
          </w:tcPr>
          <w:p>
            <w:pPr>
              <w:pStyle w:val="TableParagraph"/>
              <w:spacing w:before="55"/>
              <w:ind w:left="290"/>
              <w:rPr>
                <w:sz w:val="24"/>
              </w:rPr>
            </w:pPr>
            <w:r>
              <w:rPr>
                <w:sz w:val="24"/>
              </w:rPr>
              <w:t>Not</w:t>
            </w:r>
            <w:r>
              <w:rPr>
                <w:spacing w:val="-4"/>
                <w:sz w:val="24"/>
              </w:rPr>
              <w:t> </w:t>
            </w:r>
            <w:r>
              <w:rPr>
                <w:spacing w:val="-2"/>
                <w:sz w:val="24"/>
              </w:rPr>
              <w:t>Adequate</w:t>
            </w:r>
          </w:p>
        </w:tc>
      </w:tr>
      <w:tr>
        <w:trPr>
          <w:trHeight w:val="333" w:hRule="atLeast"/>
        </w:trPr>
        <w:tc>
          <w:tcPr>
            <w:tcW w:w="583" w:type="dxa"/>
          </w:tcPr>
          <w:p>
            <w:pPr>
              <w:pStyle w:val="TableParagraph"/>
              <w:spacing w:line="256" w:lineRule="exact" w:before="57"/>
              <w:ind w:left="50"/>
              <w:rPr>
                <w:rFonts w:ascii="Arial"/>
                <w:b/>
                <w:sz w:val="24"/>
              </w:rPr>
            </w:pPr>
            <w:r>
              <w:rPr>
                <w:rFonts w:ascii="Arial"/>
                <w:b/>
                <w:spacing w:val="-5"/>
                <w:sz w:val="24"/>
              </w:rPr>
              <w:t>NP</w:t>
            </w:r>
          </w:p>
        </w:tc>
        <w:tc>
          <w:tcPr>
            <w:tcW w:w="617" w:type="dxa"/>
          </w:tcPr>
          <w:p>
            <w:pPr>
              <w:pStyle w:val="TableParagraph"/>
              <w:spacing w:line="256" w:lineRule="exact" w:before="57"/>
              <w:ind w:right="101"/>
              <w:jc w:val="center"/>
              <w:rPr>
                <w:sz w:val="24"/>
              </w:rPr>
            </w:pPr>
            <w:r>
              <w:rPr>
                <w:spacing w:val="-10"/>
                <w:sz w:val="24"/>
              </w:rPr>
              <w:t>=</w:t>
            </w:r>
          </w:p>
        </w:tc>
        <w:tc>
          <w:tcPr>
            <w:tcW w:w="1932" w:type="dxa"/>
          </w:tcPr>
          <w:p>
            <w:pPr>
              <w:pStyle w:val="TableParagraph"/>
              <w:spacing w:line="256" w:lineRule="exact" w:before="57"/>
              <w:ind w:left="290"/>
              <w:rPr>
                <w:sz w:val="24"/>
              </w:rPr>
            </w:pPr>
            <w:r>
              <w:rPr>
                <w:sz w:val="24"/>
              </w:rPr>
              <w:t>Not</w:t>
            </w:r>
            <w:r>
              <w:rPr>
                <w:spacing w:val="-4"/>
                <w:sz w:val="24"/>
              </w:rPr>
              <w:t> </w:t>
            </w:r>
            <w:r>
              <w:rPr>
                <w:spacing w:val="-2"/>
                <w:sz w:val="24"/>
              </w:rPr>
              <w:t>Provided</w:t>
            </w:r>
          </w:p>
        </w:tc>
      </w:tr>
    </w:tbl>
    <w:p>
      <w:pPr>
        <w:pStyle w:val="BodyText"/>
        <w:spacing w:before="243"/>
      </w:pPr>
    </w:p>
    <w:p>
      <w:pPr>
        <w:pStyle w:val="Heading4"/>
        <w:spacing w:line="237" w:lineRule="auto" w:before="1"/>
        <w:ind w:left="940" w:right="299"/>
      </w:pPr>
      <w:r>
        <w:rPr/>
        <w:t>Types of student welfare services available in the Universities in the three geopolitical zones in the Northern part of Nigeria</w:t>
      </w:r>
    </w:p>
    <w:p>
      <w:pPr>
        <w:pStyle w:val="BodyText"/>
        <w:spacing w:before="5"/>
        <w:rPr>
          <w:rFonts w:ascii="Arial"/>
          <w:b/>
          <w:sz w:val="11"/>
        </w:rPr>
      </w:pPr>
    </w:p>
    <w:tbl>
      <w:tblPr>
        <w:tblW w:w="0" w:type="auto"/>
        <w:jc w:val="left"/>
        <w:tblInd w:w="5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02"/>
        <w:gridCol w:w="5141"/>
        <w:gridCol w:w="898"/>
        <w:gridCol w:w="543"/>
        <w:gridCol w:w="721"/>
        <w:gridCol w:w="721"/>
      </w:tblGrid>
      <w:tr>
        <w:trPr>
          <w:trHeight w:val="393" w:hRule="atLeast"/>
        </w:trPr>
        <w:tc>
          <w:tcPr>
            <w:tcW w:w="802" w:type="dxa"/>
            <w:tcBorders>
              <w:bottom w:val="nil"/>
            </w:tcBorders>
          </w:tcPr>
          <w:p>
            <w:pPr>
              <w:pStyle w:val="TableParagraph"/>
              <w:rPr>
                <w:rFonts w:ascii="Times New Roman"/>
                <w:sz w:val="22"/>
              </w:rPr>
            </w:pPr>
          </w:p>
        </w:tc>
        <w:tc>
          <w:tcPr>
            <w:tcW w:w="5141" w:type="dxa"/>
          </w:tcPr>
          <w:p>
            <w:pPr>
              <w:pStyle w:val="TableParagraph"/>
              <w:spacing w:line="271" w:lineRule="exact"/>
              <w:ind w:left="109"/>
              <w:rPr>
                <w:sz w:val="24"/>
              </w:rPr>
            </w:pPr>
            <w:r>
              <w:rPr>
                <w:sz w:val="24"/>
              </w:rPr>
              <w:t>TYPES</w:t>
            </w:r>
            <w:r>
              <w:rPr>
                <w:spacing w:val="-9"/>
                <w:sz w:val="24"/>
              </w:rPr>
              <w:t> </w:t>
            </w:r>
            <w:r>
              <w:rPr>
                <w:sz w:val="24"/>
              </w:rPr>
              <w:t>OF</w:t>
            </w:r>
            <w:r>
              <w:rPr>
                <w:spacing w:val="-6"/>
                <w:sz w:val="24"/>
              </w:rPr>
              <w:t> </w:t>
            </w:r>
            <w:r>
              <w:rPr>
                <w:spacing w:val="-2"/>
                <w:sz w:val="24"/>
              </w:rPr>
              <w:t>SERVICES</w:t>
            </w:r>
          </w:p>
        </w:tc>
        <w:tc>
          <w:tcPr>
            <w:tcW w:w="898" w:type="dxa"/>
          </w:tcPr>
          <w:p>
            <w:pPr>
              <w:pStyle w:val="TableParagraph"/>
              <w:spacing w:line="267" w:lineRule="exact"/>
              <w:ind w:left="104"/>
              <w:rPr>
                <w:rFonts w:ascii="Arial"/>
                <w:b/>
                <w:sz w:val="24"/>
              </w:rPr>
            </w:pPr>
            <w:r>
              <w:rPr>
                <w:rFonts w:ascii="Arial"/>
                <w:b/>
                <w:spacing w:val="-5"/>
                <w:sz w:val="24"/>
              </w:rPr>
              <w:t>VA</w:t>
            </w:r>
          </w:p>
        </w:tc>
        <w:tc>
          <w:tcPr>
            <w:tcW w:w="543" w:type="dxa"/>
          </w:tcPr>
          <w:p>
            <w:pPr>
              <w:pStyle w:val="TableParagraph"/>
              <w:spacing w:line="267" w:lineRule="exact"/>
              <w:ind w:left="104"/>
              <w:rPr>
                <w:rFonts w:ascii="Arial"/>
                <w:b/>
                <w:sz w:val="24"/>
              </w:rPr>
            </w:pPr>
            <w:r>
              <w:rPr>
                <w:rFonts w:ascii="Arial"/>
                <w:b/>
                <w:spacing w:val="-10"/>
                <w:sz w:val="24"/>
              </w:rPr>
              <w:t>A</w:t>
            </w:r>
          </w:p>
        </w:tc>
        <w:tc>
          <w:tcPr>
            <w:tcW w:w="721" w:type="dxa"/>
          </w:tcPr>
          <w:p>
            <w:pPr>
              <w:pStyle w:val="TableParagraph"/>
              <w:spacing w:line="267" w:lineRule="exact"/>
              <w:ind w:left="103"/>
              <w:rPr>
                <w:rFonts w:ascii="Arial"/>
                <w:b/>
                <w:sz w:val="24"/>
              </w:rPr>
            </w:pPr>
            <w:r>
              <w:rPr>
                <w:rFonts w:ascii="Arial"/>
                <w:b/>
                <w:spacing w:val="-5"/>
                <w:sz w:val="24"/>
              </w:rPr>
              <w:t>NA</w:t>
            </w:r>
          </w:p>
        </w:tc>
        <w:tc>
          <w:tcPr>
            <w:tcW w:w="721" w:type="dxa"/>
          </w:tcPr>
          <w:p>
            <w:pPr>
              <w:pStyle w:val="TableParagraph"/>
              <w:spacing w:line="267" w:lineRule="exact"/>
              <w:ind w:left="102"/>
              <w:rPr>
                <w:rFonts w:ascii="Arial"/>
                <w:b/>
                <w:sz w:val="24"/>
              </w:rPr>
            </w:pPr>
            <w:r>
              <w:rPr>
                <w:rFonts w:ascii="Arial"/>
                <w:b/>
                <w:spacing w:val="-5"/>
                <w:sz w:val="24"/>
              </w:rPr>
              <w:t>NP</w:t>
            </w:r>
          </w:p>
        </w:tc>
      </w:tr>
      <w:tr>
        <w:trPr>
          <w:trHeight w:val="329" w:hRule="atLeast"/>
        </w:trPr>
        <w:tc>
          <w:tcPr>
            <w:tcW w:w="802" w:type="dxa"/>
            <w:tcBorders>
              <w:top w:val="nil"/>
              <w:bottom w:val="nil"/>
            </w:tcBorders>
          </w:tcPr>
          <w:p>
            <w:pPr>
              <w:pStyle w:val="TableParagraph"/>
              <w:spacing w:line="271" w:lineRule="exact"/>
              <w:ind w:left="105"/>
              <w:rPr>
                <w:rFonts w:ascii="Arial"/>
                <w:b/>
                <w:sz w:val="24"/>
              </w:rPr>
            </w:pPr>
            <w:r>
              <w:rPr>
                <w:rFonts w:ascii="Arial"/>
                <w:b/>
                <w:spacing w:val="-5"/>
                <w:sz w:val="24"/>
              </w:rPr>
              <w:t>A.</w:t>
            </w:r>
          </w:p>
        </w:tc>
        <w:tc>
          <w:tcPr>
            <w:tcW w:w="5141" w:type="dxa"/>
            <w:tcBorders>
              <w:bottom w:val="nil"/>
            </w:tcBorders>
          </w:tcPr>
          <w:p>
            <w:pPr>
              <w:pStyle w:val="TableParagraph"/>
              <w:spacing w:line="271" w:lineRule="exact"/>
              <w:ind w:left="109"/>
              <w:rPr>
                <w:rFonts w:ascii="Arial"/>
                <w:b/>
                <w:sz w:val="24"/>
              </w:rPr>
            </w:pPr>
            <w:r>
              <w:rPr>
                <w:rFonts w:ascii="Arial"/>
                <w:b/>
                <w:sz w:val="24"/>
                <w:u w:val="single"/>
              </w:rPr>
              <w:t>Social</w:t>
            </w:r>
            <w:r>
              <w:rPr>
                <w:rFonts w:ascii="Arial"/>
                <w:b/>
                <w:spacing w:val="-6"/>
                <w:sz w:val="24"/>
                <w:u w:val="single"/>
              </w:rPr>
              <w:t> </w:t>
            </w:r>
            <w:r>
              <w:rPr>
                <w:rFonts w:ascii="Arial"/>
                <w:b/>
                <w:spacing w:val="-2"/>
                <w:sz w:val="24"/>
                <w:u w:val="single"/>
              </w:rPr>
              <w:t>Services:</w:t>
            </w:r>
          </w:p>
        </w:tc>
        <w:tc>
          <w:tcPr>
            <w:tcW w:w="898" w:type="dxa"/>
            <w:vMerge w:val="restart"/>
          </w:tcPr>
          <w:p>
            <w:pPr>
              <w:pStyle w:val="TableParagraph"/>
              <w:rPr>
                <w:rFonts w:ascii="Times New Roman"/>
                <w:sz w:val="22"/>
              </w:rPr>
            </w:pPr>
          </w:p>
        </w:tc>
        <w:tc>
          <w:tcPr>
            <w:tcW w:w="543" w:type="dxa"/>
            <w:vMerge w:val="restart"/>
          </w:tcPr>
          <w:p>
            <w:pPr>
              <w:pStyle w:val="TableParagraph"/>
              <w:rPr>
                <w:rFonts w:ascii="Times New Roman"/>
                <w:sz w:val="22"/>
              </w:rPr>
            </w:pPr>
          </w:p>
        </w:tc>
        <w:tc>
          <w:tcPr>
            <w:tcW w:w="721" w:type="dxa"/>
            <w:vMerge w:val="restart"/>
          </w:tcPr>
          <w:p>
            <w:pPr>
              <w:pStyle w:val="TableParagraph"/>
              <w:rPr>
                <w:rFonts w:ascii="Times New Roman"/>
                <w:sz w:val="22"/>
              </w:rPr>
            </w:pPr>
          </w:p>
        </w:tc>
        <w:tc>
          <w:tcPr>
            <w:tcW w:w="721" w:type="dxa"/>
            <w:vMerge w:val="restart"/>
          </w:tcPr>
          <w:p>
            <w:pPr>
              <w:pStyle w:val="TableParagraph"/>
              <w:rPr>
                <w:rFonts w:ascii="Times New Roman"/>
                <w:sz w:val="22"/>
              </w:rPr>
            </w:pPr>
          </w:p>
        </w:tc>
      </w:tr>
      <w:tr>
        <w:trPr>
          <w:trHeight w:val="388" w:hRule="atLeast"/>
        </w:trPr>
        <w:tc>
          <w:tcPr>
            <w:tcW w:w="802" w:type="dxa"/>
            <w:tcBorders>
              <w:top w:val="nil"/>
              <w:bottom w:val="nil"/>
            </w:tcBorders>
          </w:tcPr>
          <w:p>
            <w:pPr>
              <w:pStyle w:val="TableParagraph"/>
              <w:spacing w:before="50"/>
              <w:ind w:left="105"/>
              <w:rPr>
                <w:rFonts w:ascii="Arial"/>
                <w:b/>
                <w:sz w:val="24"/>
              </w:rPr>
            </w:pPr>
            <w:r>
              <w:rPr>
                <w:rFonts w:ascii="Arial"/>
                <w:b/>
                <w:spacing w:val="-4"/>
                <w:sz w:val="24"/>
              </w:rPr>
              <w:t>S/NO</w:t>
            </w:r>
          </w:p>
        </w:tc>
        <w:tc>
          <w:tcPr>
            <w:tcW w:w="5141" w:type="dxa"/>
            <w:tcBorders>
              <w:top w:val="nil"/>
              <w:bottom w:val="nil"/>
            </w:tcBorders>
          </w:tcPr>
          <w:p>
            <w:pPr>
              <w:pStyle w:val="TableParagraph"/>
              <w:rPr>
                <w:rFonts w:ascii="Times New Roman"/>
                <w:sz w:val="22"/>
              </w:rPr>
            </w:pPr>
          </w:p>
        </w:tc>
        <w:tc>
          <w:tcPr>
            <w:tcW w:w="898" w:type="dxa"/>
            <w:vMerge/>
            <w:tcBorders>
              <w:top w:val="nil"/>
            </w:tcBorders>
          </w:tcPr>
          <w:p>
            <w:pPr>
              <w:rPr>
                <w:sz w:val="2"/>
                <w:szCs w:val="2"/>
              </w:rPr>
            </w:pPr>
          </w:p>
        </w:tc>
        <w:tc>
          <w:tcPr>
            <w:tcW w:w="543" w:type="dxa"/>
            <w:vMerge/>
            <w:tcBorders>
              <w:top w:val="nil"/>
            </w:tcBorders>
          </w:tcPr>
          <w:p>
            <w:pPr>
              <w:rPr>
                <w:sz w:val="2"/>
                <w:szCs w:val="2"/>
              </w:rPr>
            </w:pPr>
          </w:p>
        </w:tc>
        <w:tc>
          <w:tcPr>
            <w:tcW w:w="721" w:type="dxa"/>
            <w:vMerge/>
            <w:tcBorders>
              <w:top w:val="nil"/>
            </w:tcBorders>
          </w:tcPr>
          <w:p>
            <w:pPr>
              <w:rPr>
                <w:sz w:val="2"/>
                <w:szCs w:val="2"/>
              </w:rPr>
            </w:pPr>
          </w:p>
        </w:tc>
        <w:tc>
          <w:tcPr>
            <w:tcW w:w="721" w:type="dxa"/>
            <w:vMerge/>
            <w:tcBorders>
              <w:top w:val="nil"/>
            </w:tcBorders>
          </w:tcPr>
          <w:p>
            <w:pPr>
              <w:rPr>
                <w:sz w:val="2"/>
                <w:szCs w:val="2"/>
              </w:rPr>
            </w:pPr>
          </w:p>
        </w:tc>
      </w:tr>
      <w:tr>
        <w:trPr>
          <w:trHeight w:val="328" w:hRule="atLeast"/>
        </w:trPr>
        <w:tc>
          <w:tcPr>
            <w:tcW w:w="802" w:type="dxa"/>
            <w:tcBorders>
              <w:top w:val="nil"/>
              <w:bottom w:val="nil"/>
            </w:tcBorders>
          </w:tcPr>
          <w:p>
            <w:pPr>
              <w:pStyle w:val="TableParagraph"/>
              <w:spacing w:line="254" w:lineRule="exact" w:before="54"/>
              <w:ind w:left="105"/>
              <w:rPr>
                <w:sz w:val="24"/>
              </w:rPr>
            </w:pPr>
            <w:r>
              <w:rPr>
                <w:spacing w:val="-5"/>
                <w:sz w:val="24"/>
              </w:rPr>
              <w:t>1.</w:t>
            </w:r>
          </w:p>
        </w:tc>
        <w:tc>
          <w:tcPr>
            <w:tcW w:w="5141" w:type="dxa"/>
            <w:tcBorders>
              <w:top w:val="nil"/>
              <w:bottom w:val="nil"/>
            </w:tcBorders>
          </w:tcPr>
          <w:p>
            <w:pPr>
              <w:pStyle w:val="TableParagraph"/>
              <w:tabs>
                <w:tab w:pos="1333" w:val="left" w:leader="none"/>
                <w:tab w:pos="2614" w:val="left" w:leader="none"/>
                <w:tab w:pos="3939" w:val="left" w:leader="none"/>
              </w:tabs>
              <w:spacing w:line="254" w:lineRule="exact" w:before="54"/>
              <w:ind w:left="109"/>
              <w:rPr>
                <w:sz w:val="24"/>
              </w:rPr>
            </w:pPr>
            <w:r>
              <w:rPr>
                <w:spacing w:val="-2"/>
                <w:sz w:val="24"/>
              </w:rPr>
              <w:t>Catering,</w:t>
            </w:r>
            <w:r>
              <w:rPr>
                <w:sz w:val="24"/>
              </w:rPr>
              <w:tab/>
            </w:r>
            <w:r>
              <w:rPr>
                <w:spacing w:val="-2"/>
                <w:sz w:val="24"/>
              </w:rPr>
              <w:t>Cafetaria,</w:t>
            </w:r>
            <w:r>
              <w:rPr>
                <w:sz w:val="24"/>
              </w:rPr>
              <w:tab/>
            </w:r>
            <w:r>
              <w:rPr>
                <w:spacing w:val="-2"/>
                <w:sz w:val="24"/>
              </w:rPr>
              <w:t>Bukateria,</w:t>
            </w:r>
            <w:r>
              <w:rPr>
                <w:sz w:val="24"/>
              </w:rPr>
              <w:tab/>
            </w:r>
            <w:r>
              <w:rPr>
                <w:spacing w:val="-2"/>
                <w:sz w:val="24"/>
              </w:rPr>
              <w:t>Canteens,</w:t>
            </w:r>
          </w:p>
        </w:tc>
        <w:tc>
          <w:tcPr>
            <w:tcW w:w="898" w:type="dxa"/>
            <w:vMerge/>
            <w:tcBorders>
              <w:top w:val="nil"/>
            </w:tcBorders>
          </w:tcPr>
          <w:p>
            <w:pPr>
              <w:rPr>
                <w:sz w:val="2"/>
                <w:szCs w:val="2"/>
              </w:rPr>
            </w:pPr>
          </w:p>
        </w:tc>
        <w:tc>
          <w:tcPr>
            <w:tcW w:w="543" w:type="dxa"/>
            <w:vMerge/>
            <w:tcBorders>
              <w:top w:val="nil"/>
            </w:tcBorders>
          </w:tcPr>
          <w:p>
            <w:pPr>
              <w:rPr>
                <w:sz w:val="2"/>
                <w:szCs w:val="2"/>
              </w:rPr>
            </w:pPr>
          </w:p>
        </w:tc>
        <w:tc>
          <w:tcPr>
            <w:tcW w:w="721" w:type="dxa"/>
            <w:vMerge/>
            <w:tcBorders>
              <w:top w:val="nil"/>
            </w:tcBorders>
          </w:tcPr>
          <w:p>
            <w:pPr>
              <w:rPr>
                <w:sz w:val="2"/>
                <w:szCs w:val="2"/>
              </w:rPr>
            </w:pPr>
          </w:p>
        </w:tc>
        <w:tc>
          <w:tcPr>
            <w:tcW w:w="721" w:type="dxa"/>
            <w:vMerge/>
            <w:tcBorders>
              <w:top w:val="nil"/>
            </w:tcBorders>
          </w:tcPr>
          <w:p>
            <w:pPr>
              <w:rPr>
                <w:sz w:val="2"/>
                <w:szCs w:val="2"/>
              </w:rPr>
            </w:pPr>
          </w:p>
        </w:tc>
      </w:tr>
      <w:tr>
        <w:trPr>
          <w:trHeight w:val="392" w:hRule="atLeast"/>
        </w:trPr>
        <w:tc>
          <w:tcPr>
            <w:tcW w:w="802" w:type="dxa"/>
            <w:tcBorders>
              <w:top w:val="nil"/>
            </w:tcBorders>
          </w:tcPr>
          <w:p>
            <w:pPr>
              <w:pStyle w:val="TableParagraph"/>
              <w:rPr>
                <w:rFonts w:ascii="Times New Roman"/>
                <w:sz w:val="22"/>
              </w:rPr>
            </w:pPr>
          </w:p>
        </w:tc>
        <w:tc>
          <w:tcPr>
            <w:tcW w:w="5141" w:type="dxa"/>
            <w:tcBorders>
              <w:top w:val="nil"/>
            </w:tcBorders>
          </w:tcPr>
          <w:p>
            <w:pPr>
              <w:pStyle w:val="TableParagraph"/>
              <w:spacing w:line="266" w:lineRule="exact"/>
              <w:ind w:left="109"/>
              <w:rPr>
                <w:sz w:val="24"/>
              </w:rPr>
            </w:pPr>
            <w:r>
              <w:rPr>
                <w:spacing w:val="-2"/>
                <w:sz w:val="24"/>
              </w:rPr>
              <w:t>Restaurant</w:t>
            </w:r>
          </w:p>
        </w:tc>
        <w:tc>
          <w:tcPr>
            <w:tcW w:w="898" w:type="dxa"/>
            <w:vMerge/>
            <w:tcBorders>
              <w:top w:val="nil"/>
            </w:tcBorders>
          </w:tcPr>
          <w:p>
            <w:pPr>
              <w:rPr>
                <w:sz w:val="2"/>
                <w:szCs w:val="2"/>
              </w:rPr>
            </w:pPr>
          </w:p>
        </w:tc>
        <w:tc>
          <w:tcPr>
            <w:tcW w:w="543" w:type="dxa"/>
            <w:vMerge/>
            <w:tcBorders>
              <w:top w:val="nil"/>
            </w:tcBorders>
          </w:tcPr>
          <w:p>
            <w:pPr>
              <w:rPr>
                <w:sz w:val="2"/>
                <w:szCs w:val="2"/>
              </w:rPr>
            </w:pPr>
          </w:p>
        </w:tc>
        <w:tc>
          <w:tcPr>
            <w:tcW w:w="721" w:type="dxa"/>
            <w:vMerge/>
            <w:tcBorders>
              <w:top w:val="nil"/>
            </w:tcBorders>
          </w:tcPr>
          <w:p>
            <w:pPr>
              <w:rPr>
                <w:sz w:val="2"/>
                <w:szCs w:val="2"/>
              </w:rPr>
            </w:pPr>
          </w:p>
        </w:tc>
        <w:tc>
          <w:tcPr>
            <w:tcW w:w="721" w:type="dxa"/>
            <w:vMerge/>
            <w:tcBorders>
              <w:top w:val="nil"/>
            </w:tcBorders>
          </w:tcPr>
          <w:p>
            <w:pPr>
              <w:rPr>
                <w:sz w:val="2"/>
                <w:szCs w:val="2"/>
              </w:rPr>
            </w:pPr>
          </w:p>
        </w:tc>
      </w:tr>
      <w:tr>
        <w:trPr>
          <w:trHeight w:val="393" w:hRule="atLeast"/>
        </w:trPr>
        <w:tc>
          <w:tcPr>
            <w:tcW w:w="802" w:type="dxa"/>
          </w:tcPr>
          <w:p>
            <w:pPr>
              <w:pStyle w:val="TableParagraph"/>
              <w:spacing w:line="271" w:lineRule="exact"/>
              <w:ind w:left="105"/>
              <w:rPr>
                <w:sz w:val="24"/>
              </w:rPr>
            </w:pPr>
            <w:r>
              <w:rPr>
                <w:spacing w:val="-5"/>
                <w:sz w:val="24"/>
              </w:rPr>
              <w:t>2.</w:t>
            </w:r>
          </w:p>
        </w:tc>
        <w:tc>
          <w:tcPr>
            <w:tcW w:w="5141" w:type="dxa"/>
          </w:tcPr>
          <w:p>
            <w:pPr>
              <w:pStyle w:val="TableParagraph"/>
              <w:spacing w:line="271" w:lineRule="exact"/>
              <w:ind w:left="109"/>
              <w:rPr>
                <w:sz w:val="24"/>
              </w:rPr>
            </w:pPr>
            <w:r>
              <w:rPr>
                <w:sz w:val="24"/>
              </w:rPr>
              <w:t>Hostel</w:t>
            </w:r>
            <w:r>
              <w:rPr>
                <w:spacing w:val="-2"/>
                <w:sz w:val="24"/>
              </w:rPr>
              <w:t> Accommodation</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397" w:hRule="atLeast"/>
        </w:trPr>
        <w:tc>
          <w:tcPr>
            <w:tcW w:w="802" w:type="dxa"/>
          </w:tcPr>
          <w:p>
            <w:pPr>
              <w:pStyle w:val="TableParagraph"/>
              <w:spacing w:line="271" w:lineRule="exact"/>
              <w:ind w:left="105"/>
              <w:rPr>
                <w:sz w:val="24"/>
              </w:rPr>
            </w:pPr>
            <w:r>
              <w:rPr>
                <w:spacing w:val="-5"/>
                <w:sz w:val="24"/>
              </w:rPr>
              <w:t>3.</w:t>
            </w:r>
          </w:p>
        </w:tc>
        <w:tc>
          <w:tcPr>
            <w:tcW w:w="5141" w:type="dxa"/>
          </w:tcPr>
          <w:p>
            <w:pPr>
              <w:pStyle w:val="TableParagraph"/>
              <w:spacing w:line="271" w:lineRule="exact"/>
              <w:ind w:left="109"/>
              <w:rPr>
                <w:sz w:val="24"/>
              </w:rPr>
            </w:pPr>
            <w:r>
              <w:rPr>
                <w:sz w:val="24"/>
              </w:rPr>
              <w:t>Guidance</w:t>
            </w:r>
            <w:r>
              <w:rPr>
                <w:spacing w:val="-8"/>
                <w:sz w:val="24"/>
              </w:rPr>
              <w:t> </w:t>
            </w:r>
            <w:r>
              <w:rPr>
                <w:sz w:val="24"/>
              </w:rPr>
              <w:t>&amp;</w:t>
            </w:r>
            <w:r>
              <w:rPr>
                <w:spacing w:val="-10"/>
                <w:sz w:val="24"/>
              </w:rPr>
              <w:t> </w:t>
            </w:r>
            <w:r>
              <w:rPr>
                <w:sz w:val="24"/>
              </w:rPr>
              <w:t>Counselling</w:t>
            </w:r>
            <w:r>
              <w:rPr>
                <w:spacing w:val="-8"/>
                <w:sz w:val="24"/>
              </w:rPr>
              <w:t> </w:t>
            </w:r>
            <w:r>
              <w:rPr>
                <w:spacing w:val="-2"/>
                <w:sz w:val="24"/>
              </w:rPr>
              <w:t>services</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393" w:hRule="atLeast"/>
        </w:trPr>
        <w:tc>
          <w:tcPr>
            <w:tcW w:w="802" w:type="dxa"/>
          </w:tcPr>
          <w:p>
            <w:pPr>
              <w:pStyle w:val="TableParagraph"/>
              <w:spacing w:line="271" w:lineRule="exact"/>
              <w:ind w:left="105"/>
              <w:rPr>
                <w:sz w:val="24"/>
              </w:rPr>
            </w:pPr>
            <w:r>
              <w:rPr>
                <w:spacing w:val="-5"/>
                <w:sz w:val="24"/>
              </w:rPr>
              <w:t>4.</w:t>
            </w:r>
          </w:p>
        </w:tc>
        <w:tc>
          <w:tcPr>
            <w:tcW w:w="5141" w:type="dxa"/>
          </w:tcPr>
          <w:p>
            <w:pPr>
              <w:pStyle w:val="TableParagraph"/>
              <w:spacing w:line="271" w:lineRule="exact"/>
              <w:ind w:left="109"/>
              <w:rPr>
                <w:sz w:val="24"/>
              </w:rPr>
            </w:pPr>
            <w:r>
              <w:rPr>
                <w:sz w:val="24"/>
              </w:rPr>
              <w:t>Sports</w:t>
            </w:r>
            <w:r>
              <w:rPr>
                <w:spacing w:val="-11"/>
                <w:sz w:val="24"/>
              </w:rPr>
              <w:t> </w:t>
            </w:r>
            <w:r>
              <w:rPr>
                <w:sz w:val="24"/>
              </w:rPr>
              <w:t>and</w:t>
            </w:r>
            <w:r>
              <w:rPr>
                <w:spacing w:val="-9"/>
                <w:sz w:val="24"/>
              </w:rPr>
              <w:t> </w:t>
            </w:r>
            <w:r>
              <w:rPr>
                <w:sz w:val="24"/>
              </w:rPr>
              <w:t>Recreational</w:t>
            </w:r>
            <w:r>
              <w:rPr>
                <w:spacing w:val="-7"/>
                <w:sz w:val="24"/>
              </w:rPr>
              <w:t> </w:t>
            </w:r>
            <w:r>
              <w:rPr>
                <w:spacing w:val="-2"/>
                <w:sz w:val="24"/>
              </w:rPr>
              <w:t>facilities</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397" w:hRule="atLeast"/>
        </w:trPr>
        <w:tc>
          <w:tcPr>
            <w:tcW w:w="802" w:type="dxa"/>
          </w:tcPr>
          <w:p>
            <w:pPr>
              <w:pStyle w:val="TableParagraph"/>
              <w:spacing w:line="271" w:lineRule="exact"/>
              <w:ind w:left="105"/>
              <w:rPr>
                <w:sz w:val="24"/>
              </w:rPr>
            </w:pPr>
            <w:r>
              <w:rPr>
                <w:spacing w:val="-5"/>
                <w:sz w:val="24"/>
              </w:rPr>
              <w:t>5.</w:t>
            </w:r>
          </w:p>
        </w:tc>
        <w:tc>
          <w:tcPr>
            <w:tcW w:w="5141" w:type="dxa"/>
          </w:tcPr>
          <w:p>
            <w:pPr>
              <w:pStyle w:val="TableParagraph"/>
              <w:spacing w:line="271" w:lineRule="exact"/>
              <w:ind w:left="109"/>
              <w:rPr>
                <w:sz w:val="24"/>
              </w:rPr>
            </w:pPr>
            <w:r>
              <w:rPr>
                <w:sz w:val="24"/>
              </w:rPr>
              <w:t>Security</w:t>
            </w:r>
            <w:r>
              <w:rPr>
                <w:spacing w:val="-10"/>
                <w:sz w:val="24"/>
              </w:rPr>
              <w:t> </w:t>
            </w:r>
            <w:r>
              <w:rPr>
                <w:spacing w:val="-2"/>
                <w:sz w:val="24"/>
              </w:rPr>
              <w:t>Matters</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393" w:hRule="atLeast"/>
        </w:trPr>
        <w:tc>
          <w:tcPr>
            <w:tcW w:w="802" w:type="dxa"/>
          </w:tcPr>
          <w:p>
            <w:pPr>
              <w:pStyle w:val="TableParagraph"/>
              <w:spacing w:line="271" w:lineRule="exact"/>
              <w:ind w:left="105"/>
              <w:rPr>
                <w:sz w:val="24"/>
              </w:rPr>
            </w:pPr>
            <w:r>
              <w:rPr>
                <w:spacing w:val="-5"/>
                <w:sz w:val="24"/>
              </w:rPr>
              <w:t>6.</w:t>
            </w:r>
          </w:p>
        </w:tc>
        <w:tc>
          <w:tcPr>
            <w:tcW w:w="5141" w:type="dxa"/>
          </w:tcPr>
          <w:p>
            <w:pPr>
              <w:pStyle w:val="TableParagraph"/>
              <w:spacing w:line="271" w:lineRule="exact"/>
              <w:ind w:left="109"/>
              <w:rPr>
                <w:sz w:val="24"/>
              </w:rPr>
            </w:pPr>
            <w:r>
              <w:rPr>
                <w:sz w:val="24"/>
              </w:rPr>
              <w:t>Transportation</w:t>
            </w:r>
            <w:r>
              <w:rPr>
                <w:spacing w:val="-17"/>
                <w:sz w:val="24"/>
              </w:rPr>
              <w:t> </w:t>
            </w:r>
            <w:r>
              <w:rPr>
                <w:spacing w:val="-2"/>
                <w:sz w:val="24"/>
              </w:rPr>
              <w:t>services</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398" w:hRule="atLeast"/>
        </w:trPr>
        <w:tc>
          <w:tcPr>
            <w:tcW w:w="802" w:type="dxa"/>
          </w:tcPr>
          <w:p>
            <w:pPr>
              <w:pStyle w:val="TableParagraph"/>
              <w:spacing w:line="271" w:lineRule="exact"/>
              <w:ind w:left="105"/>
              <w:rPr>
                <w:sz w:val="24"/>
              </w:rPr>
            </w:pPr>
            <w:r>
              <w:rPr>
                <w:spacing w:val="-5"/>
                <w:sz w:val="24"/>
              </w:rPr>
              <w:t>7.</w:t>
            </w:r>
          </w:p>
        </w:tc>
        <w:tc>
          <w:tcPr>
            <w:tcW w:w="5141" w:type="dxa"/>
          </w:tcPr>
          <w:p>
            <w:pPr>
              <w:pStyle w:val="TableParagraph"/>
              <w:spacing w:line="271" w:lineRule="exact"/>
              <w:ind w:left="109"/>
              <w:rPr>
                <w:sz w:val="24"/>
              </w:rPr>
            </w:pPr>
            <w:r>
              <w:rPr>
                <w:spacing w:val="-2"/>
                <w:sz w:val="24"/>
              </w:rPr>
              <w:t>Banking</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bl>
    <w:p>
      <w:pPr>
        <w:spacing w:after="0"/>
        <w:rPr>
          <w:rFonts w:ascii="Times New Roman"/>
          <w:sz w:val="22"/>
        </w:rPr>
        <w:sectPr>
          <w:headerReference w:type="default" r:id="rId608"/>
          <w:footerReference w:type="default" r:id="rId609"/>
          <w:pgSz w:w="12240" w:h="15840"/>
          <w:pgMar w:header="722" w:footer="623" w:top="980" w:bottom="820" w:left="1220" w:right="1140"/>
        </w:sectPr>
      </w:pPr>
    </w:p>
    <w:p>
      <w:pPr>
        <w:pStyle w:val="BodyText"/>
        <w:spacing w:before="222"/>
        <w:rPr>
          <w:rFonts w:ascii="Arial"/>
          <w:b/>
          <w:sz w:val="20"/>
        </w:rPr>
      </w:pPr>
    </w:p>
    <w:tbl>
      <w:tblPr>
        <w:tblW w:w="0" w:type="auto"/>
        <w:jc w:val="left"/>
        <w:tblInd w:w="5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02"/>
        <w:gridCol w:w="1305"/>
        <w:gridCol w:w="304"/>
        <w:gridCol w:w="1422"/>
        <w:gridCol w:w="1042"/>
        <w:gridCol w:w="1070"/>
        <w:gridCol w:w="898"/>
        <w:gridCol w:w="543"/>
        <w:gridCol w:w="721"/>
        <w:gridCol w:w="721"/>
      </w:tblGrid>
      <w:tr>
        <w:trPr>
          <w:trHeight w:val="397" w:hRule="atLeast"/>
        </w:trPr>
        <w:tc>
          <w:tcPr>
            <w:tcW w:w="802" w:type="dxa"/>
          </w:tcPr>
          <w:p>
            <w:pPr>
              <w:pStyle w:val="TableParagraph"/>
              <w:spacing w:line="271" w:lineRule="exact"/>
              <w:ind w:left="105"/>
              <w:rPr>
                <w:sz w:val="24"/>
              </w:rPr>
            </w:pPr>
            <w:r>
              <w:rPr>
                <w:spacing w:val="-5"/>
                <w:sz w:val="24"/>
              </w:rPr>
              <w:t>8.</w:t>
            </w:r>
          </w:p>
        </w:tc>
        <w:tc>
          <w:tcPr>
            <w:tcW w:w="5143" w:type="dxa"/>
            <w:gridSpan w:val="5"/>
          </w:tcPr>
          <w:p>
            <w:pPr>
              <w:pStyle w:val="TableParagraph"/>
              <w:spacing w:line="271" w:lineRule="exact"/>
              <w:ind w:left="109"/>
              <w:rPr>
                <w:sz w:val="24"/>
              </w:rPr>
            </w:pPr>
            <w:r>
              <w:rPr>
                <w:sz w:val="24"/>
              </w:rPr>
              <w:t>Religious</w:t>
            </w:r>
            <w:r>
              <w:rPr>
                <w:spacing w:val="-5"/>
                <w:sz w:val="24"/>
              </w:rPr>
              <w:t> </w:t>
            </w:r>
            <w:r>
              <w:rPr>
                <w:spacing w:val="-2"/>
                <w:sz w:val="24"/>
              </w:rPr>
              <w:t>services</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393" w:hRule="atLeast"/>
        </w:trPr>
        <w:tc>
          <w:tcPr>
            <w:tcW w:w="802" w:type="dxa"/>
          </w:tcPr>
          <w:p>
            <w:pPr>
              <w:pStyle w:val="TableParagraph"/>
              <w:spacing w:line="271" w:lineRule="exact"/>
              <w:ind w:left="105"/>
              <w:rPr>
                <w:sz w:val="24"/>
              </w:rPr>
            </w:pPr>
            <w:r>
              <w:rPr>
                <w:spacing w:val="-5"/>
                <w:sz w:val="24"/>
              </w:rPr>
              <w:t>9.</w:t>
            </w:r>
          </w:p>
        </w:tc>
        <w:tc>
          <w:tcPr>
            <w:tcW w:w="5143" w:type="dxa"/>
            <w:gridSpan w:val="5"/>
          </w:tcPr>
          <w:p>
            <w:pPr>
              <w:pStyle w:val="TableParagraph"/>
              <w:spacing w:line="271" w:lineRule="exact"/>
              <w:ind w:left="109"/>
              <w:rPr>
                <w:sz w:val="24"/>
              </w:rPr>
            </w:pPr>
            <w:r>
              <w:rPr>
                <w:sz w:val="24"/>
              </w:rPr>
              <w:t>Clubs,</w:t>
            </w:r>
            <w:r>
              <w:rPr>
                <w:spacing w:val="-7"/>
                <w:sz w:val="24"/>
              </w:rPr>
              <w:t> </w:t>
            </w:r>
            <w:r>
              <w:rPr>
                <w:sz w:val="24"/>
              </w:rPr>
              <w:t>Societies</w:t>
            </w:r>
            <w:r>
              <w:rPr>
                <w:spacing w:val="-6"/>
                <w:sz w:val="24"/>
              </w:rPr>
              <w:t> </w:t>
            </w:r>
            <w:r>
              <w:rPr>
                <w:sz w:val="24"/>
              </w:rPr>
              <w:t>&amp;</w:t>
            </w:r>
            <w:r>
              <w:rPr>
                <w:spacing w:val="-8"/>
                <w:sz w:val="24"/>
              </w:rPr>
              <w:t> </w:t>
            </w:r>
            <w:r>
              <w:rPr>
                <w:spacing w:val="-2"/>
                <w:sz w:val="24"/>
              </w:rPr>
              <w:t>Associations</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551" w:hRule="atLeast"/>
        </w:trPr>
        <w:tc>
          <w:tcPr>
            <w:tcW w:w="802" w:type="dxa"/>
          </w:tcPr>
          <w:p>
            <w:pPr>
              <w:pStyle w:val="TableParagraph"/>
              <w:spacing w:line="271" w:lineRule="exact"/>
              <w:ind w:left="105"/>
              <w:rPr>
                <w:sz w:val="24"/>
              </w:rPr>
            </w:pPr>
            <w:r>
              <w:rPr>
                <w:spacing w:val="-5"/>
                <w:sz w:val="24"/>
              </w:rPr>
              <w:t>10.</w:t>
            </w:r>
          </w:p>
        </w:tc>
        <w:tc>
          <w:tcPr>
            <w:tcW w:w="1305" w:type="dxa"/>
            <w:tcBorders>
              <w:right w:val="nil"/>
            </w:tcBorders>
          </w:tcPr>
          <w:p>
            <w:pPr>
              <w:pStyle w:val="TableParagraph"/>
              <w:spacing w:line="271" w:lineRule="exact"/>
              <w:ind w:left="109"/>
              <w:rPr>
                <w:sz w:val="24"/>
              </w:rPr>
            </w:pPr>
            <w:r>
              <w:rPr>
                <w:spacing w:val="-2"/>
                <w:sz w:val="24"/>
              </w:rPr>
              <w:t>Shopping</w:t>
            </w:r>
          </w:p>
          <w:p>
            <w:pPr>
              <w:pStyle w:val="TableParagraph"/>
              <w:spacing w:line="258" w:lineRule="exact" w:before="2"/>
              <w:ind w:left="109"/>
              <w:rPr>
                <w:sz w:val="24"/>
              </w:rPr>
            </w:pPr>
            <w:r>
              <w:rPr>
                <w:spacing w:val="-2"/>
                <w:sz w:val="24"/>
              </w:rPr>
              <w:t>Centers</w:t>
            </w:r>
          </w:p>
        </w:tc>
        <w:tc>
          <w:tcPr>
            <w:tcW w:w="304" w:type="dxa"/>
            <w:tcBorders>
              <w:left w:val="nil"/>
              <w:right w:val="nil"/>
            </w:tcBorders>
          </w:tcPr>
          <w:p>
            <w:pPr>
              <w:pStyle w:val="TableParagraph"/>
              <w:spacing w:line="271" w:lineRule="exact"/>
              <w:ind w:left="62"/>
              <w:rPr>
                <w:sz w:val="24"/>
              </w:rPr>
            </w:pPr>
            <w:r>
              <w:rPr>
                <w:spacing w:val="-10"/>
                <w:sz w:val="24"/>
              </w:rPr>
              <w:t>&amp;</w:t>
            </w:r>
          </w:p>
        </w:tc>
        <w:tc>
          <w:tcPr>
            <w:tcW w:w="1422" w:type="dxa"/>
            <w:tcBorders>
              <w:left w:val="nil"/>
              <w:right w:val="nil"/>
            </w:tcBorders>
          </w:tcPr>
          <w:p>
            <w:pPr>
              <w:pStyle w:val="TableParagraph"/>
              <w:spacing w:line="271" w:lineRule="exact"/>
              <w:ind w:left="71" w:right="127"/>
              <w:jc w:val="center"/>
              <w:rPr>
                <w:sz w:val="24"/>
              </w:rPr>
            </w:pPr>
            <w:r>
              <w:rPr>
                <w:spacing w:val="-2"/>
                <w:sz w:val="24"/>
              </w:rPr>
              <w:t>Marketing</w:t>
            </w:r>
          </w:p>
        </w:tc>
        <w:tc>
          <w:tcPr>
            <w:tcW w:w="1042" w:type="dxa"/>
            <w:tcBorders>
              <w:left w:val="nil"/>
              <w:right w:val="nil"/>
            </w:tcBorders>
          </w:tcPr>
          <w:p>
            <w:pPr>
              <w:pStyle w:val="TableParagraph"/>
              <w:spacing w:line="271" w:lineRule="exact"/>
              <w:ind w:left="25"/>
              <w:rPr>
                <w:sz w:val="24"/>
              </w:rPr>
            </w:pPr>
            <w:r>
              <w:rPr>
                <w:spacing w:val="-2"/>
                <w:sz w:val="24"/>
              </w:rPr>
              <w:t>facilities,</w:t>
            </w:r>
          </w:p>
        </w:tc>
        <w:tc>
          <w:tcPr>
            <w:tcW w:w="1070" w:type="dxa"/>
            <w:tcBorders>
              <w:left w:val="nil"/>
            </w:tcBorders>
          </w:tcPr>
          <w:p>
            <w:pPr>
              <w:pStyle w:val="TableParagraph"/>
              <w:spacing w:line="271" w:lineRule="exact"/>
              <w:ind w:left="30"/>
              <w:jc w:val="center"/>
              <w:rPr>
                <w:sz w:val="24"/>
              </w:rPr>
            </w:pPr>
            <w:r>
              <w:rPr>
                <w:spacing w:val="-2"/>
                <w:sz w:val="24"/>
              </w:rPr>
              <w:t>Student</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397" w:hRule="atLeast"/>
        </w:trPr>
        <w:tc>
          <w:tcPr>
            <w:tcW w:w="802" w:type="dxa"/>
          </w:tcPr>
          <w:p>
            <w:pPr>
              <w:pStyle w:val="TableParagraph"/>
              <w:spacing w:line="271" w:lineRule="exact"/>
              <w:ind w:left="105"/>
              <w:rPr>
                <w:sz w:val="24"/>
              </w:rPr>
            </w:pPr>
            <w:r>
              <w:rPr>
                <w:spacing w:val="-5"/>
                <w:sz w:val="24"/>
              </w:rPr>
              <w:t>11.</w:t>
            </w:r>
          </w:p>
        </w:tc>
        <w:tc>
          <w:tcPr>
            <w:tcW w:w="5143" w:type="dxa"/>
            <w:gridSpan w:val="5"/>
          </w:tcPr>
          <w:p>
            <w:pPr>
              <w:pStyle w:val="TableParagraph"/>
              <w:spacing w:line="271" w:lineRule="exact"/>
              <w:ind w:left="109"/>
              <w:rPr>
                <w:sz w:val="24"/>
              </w:rPr>
            </w:pPr>
            <w:r>
              <w:rPr>
                <w:sz w:val="24"/>
              </w:rPr>
              <w:t>Electricity</w:t>
            </w:r>
            <w:r>
              <w:rPr>
                <w:spacing w:val="-8"/>
                <w:sz w:val="24"/>
              </w:rPr>
              <w:t> </w:t>
            </w:r>
            <w:r>
              <w:rPr>
                <w:spacing w:val="-2"/>
                <w:sz w:val="24"/>
              </w:rPr>
              <w:t>supplies</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393" w:hRule="atLeast"/>
        </w:trPr>
        <w:tc>
          <w:tcPr>
            <w:tcW w:w="802" w:type="dxa"/>
          </w:tcPr>
          <w:p>
            <w:pPr>
              <w:pStyle w:val="TableParagraph"/>
              <w:spacing w:line="271" w:lineRule="exact"/>
              <w:ind w:left="105"/>
              <w:rPr>
                <w:sz w:val="24"/>
              </w:rPr>
            </w:pPr>
            <w:r>
              <w:rPr>
                <w:spacing w:val="-5"/>
                <w:sz w:val="24"/>
              </w:rPr>
              <w:t>12.</w:t>
            </w:r>
          </w:p>
        </w:tc>
        <w:tc>
          <w:tcPr>
            <w:tcW w:w="5143" w:type="dxa"/>
            <w:gridSpan w:val="5"/>
          </w:tcPr>
          <w:p>
            <w:pPr>
              <w:pStyle w:val="TableParagraph"/>
              <w:spacing w:line="271" w:lineRule="exact"/>
              <w:ind w:left="109"/>
              <w:rPr>
                <w:sz w:val="24"/>
              </w:rPr>
            </w:pPr>
            <w:r>
              <w:rPr>
                <w:sz w:val="24"/>
              </w:rPr>
              <w:t>Water</w:t>
            </w:r>
            <w:r>
              <w:rPr>
                <w:spacing w:val="-5"/>
                <w:sz w:val="24"/>
              </w:rPr>
              <w:t> </w:t>
            </w:r>
            <w:r>
              <w:rPr>
                <w:spacing w:val="-2"/>
                <w:sz w:val="24"/>
              </w:rPr>
              <w:t>supplies</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329" w:hRule="atLeast"/>
        </w:trPr>
        <w:tc>
          <w:tcPr>
            <w:tcW w:w="802" w:type="dxa"/>
            <w:tcBorders>
              <w:bottom w:val="nil"/>
            </w:tcBorders>
          </w:tcPr>
          <w:p>
            <w:pPr>
              <w:pStyle w:val="TableParagraph"/>
              <w:spacing w:line="267" w:lineRule="exact"/>
              <w:ind w:left="105"/>
              <w:rPr>
                <w:rFonts w:ascii="Arial"/>
                <w:b/>
                <w:sz w:val="24"/>
              </w:rPr>
            </w:pPr>
            <w:r>
              <w:rPr>
                <w:rFonts w:ascii="Arial"/>
                <w:b/>
                <w:spacing w:val="-5"/>
                <w:sz w:val="24"/>
              </w:rPr>
              <w:t>B.</w:t>
            </w:r>
          </w:p>
        </w:tc>
        <w:tc>
          <w:tcPr>
            <w:tcW w:w="5143" w:type="dxa"/>
            <w:gridSpan w:val="5"/>
            <w:tcBorders>
              <w:bottom w:val="nil"/>
            </w:tcBorders>
          </w:tcPr>
          <w:p>
            <w:pPr>
              <w:pStyle w:val="TableParagraph"/>
              <w:spacing w:line="267" w:lineRule="exact"/>
              <w:ind w:left="109"/>
              <w:rPr>
                <w:rFonts w:ascii="Arial"/>
                <w:b/>
                <w:sz w:val="24"/>
              </w:rPr>
            </w:pPr>
            <w:r>
              <w:rPr>
                <w:rFonts w:ascii="Arial"/>
                <w:b/>
                <w:sz w:val="24"/>
                <w:u w:val="single"/>
              </w:rPr>
              <w:t>Academic</w:t>
            </w:r>
            <w:r>
              <w:rPr>
                <w:rFonts w:ascii="Arial"/>
                <w:b/>
                <w:spacing w:val="-13"/>
                <w:sz w:val="24"/>
                <w:u w:val="single"/>
              </w:rPr>
              <w:t> </w:t>
            </w:r>
            <w:r>
              <w:rPr>
                <w:rFonts w:ascii="Arial"/>
                <w:b/>
                <w:spacing w:val="-2"/>
                <w:sz w:val="24"/>
                <w:u w:val="single"/>
              </w:rPr>
              <w:t>Services:</w:t>
            </w:r>
          </w:p>
        </w:tc>
        <w:tc>
          <w:tcPr>
            <w:tcW w:w="898" w:type="dxa"/>
            <w:vMerge w:val="restart"/>
          </w:tcPr>
          <w:p>
            <w:pPr>
              <w:pStyle w:val="TableParagraph"/>
              <w:rPr>
                <w:rFonts w:ascii="Times New Roman"/>
                <w:sz w:val="22"/>
              </w:rPr>
            </w:pPr>
          </w:p>
        </w:tc>
        <w:tc>
          <w:tcPr>
            <w:tcW w:w="543" w:type="dxa"/>
            <w:vMerge w:val="restart"/>
          </w:tcPr>
          <w:p>
            <w:pPr>
              <w:pStyle w:val="TableParagraph"/>
              <w:rPr>
                <w:rFonts w:ascii="Times New Roman"/>
                <w:sz w:val="22"/>
              </w:rPr>
            </w:pPr>
          </w:p>
        </w:tc>
        <w:tc>
          <w:tcPr>
            <w:tcW w:w="721" w:type="dxa"/>
            <w:vMerge w:val="restart"/>
          </w:tcPr>
          <w:p>
            <w:pPr>
              <w:pStyle w:val="TableParagraph"/>
              <w:rPr>
                <w:rFonts w:ascii="Times New Roman"/>
                <w:sz w:val="22"/>
              </w:rPr>
            </w:pPr>
          </w:p>
        </w:tc>
        <w:tc>
          <w:tcPr>
            <w:tcW w:w="721" w:type="dxa"/>
            <w:vMerge w:val="restart"/>
          </w:tcPr>
          <w:p>
            <w:pPr>
              <w:pStyle w:val="TableParagraph"/>
              <w:rPr>
                <w:rFonts w:ascii="Times New Roman"/>
                <w:sz w:val="22"/>
              </w:rPr>
            </w:pPr>
          </w:p>
        </w:tc>
      </w:tr>
      <w:tr>
        <w:trPr>
          <w:trHeight w:val="500" w:hRule="atLeast"/>
        </w:trPr>
        <w:tc>
          <w:tcPr>
            <w:tcW w:w="802" w:type="dxa"/>
            <w:tcBorders>
              <w:top w:val="nil"/>
            </w:tcBorders>
          </w:tcPr>
          <w:p>
            <w:pPr>
              <w:pStyle w:val="TableParagraph"/>
              <w:spacing w:before="54"/>
              <w:ind w:left="105"/>
              <w:rPr>
                <w:sz w:val="24"/>
              </w:rPr>
            </w:pPr>
            <w:r>
              <w:rPr>
                <w:spacing w:val="-5"/>
                <w:sz w:val="24"/>
              </w:rPr>
              <w:t>13.</w:t>
            </w:r>
          </w:p>
        </w:tc>
        <w:tc>
          <w:tcPr>
            <w:tcW w:w="5143" w:type="dxa"/>
            <w:gridSpan w:val="5"/>
            <w:tcBorders>
              <w:top w:val="nil"/>
            </w:tcBorders>
          </w:tcPr>
          <w:p>
            <w:pPr>
              <w:pStyle w:val="TableParagraph"/>
              <w:spacing w:before="54"/>
              <w:ind w:left="109"/>
              <w:rPr>
                <w:sz w:val="24"/>
              </w:rPr>
            </w:pPr>
            <w:r>
              <w:rPr>
                <w:sz w:val="24"/>
              </w:rPr>
              <w:t>Classroom/Lecture</w:t>
            </w:r>
            <w:r>
              <w:rPr>
                <w:spacing w:val="-14"/>
                <w:sz w:val="24"/>
              </w:rPr>
              <w:t> </w:t>
            </w:r>
            <w:r>
              <w:rPr>
                <w:sz w:val="24"/>
              </w:rPr>
              <w:t>hall</w:t>
            </w:r>
            <w:r>
              <w:rPr>
                <w:spacing w:val="-10"/>
                <w:sz w:val="24"/>
              </w:rPr>
              <w:t> </w:t>
            </w:r>
            <w:r>
              <w:rPr>
                <w:spacing w:val="-2"/>
                <w:sz w:val="24"/>
              </w:rPr>
              <w:t>accommodation</w:t>
            </w:r>
          </w:p>
        </w:tc>
        <w:tc>
          <w:tcPr>
            <w:tcW w:w="898" w:type="dxa"/>
            <w:vMerge/>
            <w:tcBorders>
              <w:top w:val="nil"/>
            </w:tcBorders>
          </w:tcPr>
          <w:p>
            <w:pPr>
              <w:rPr>
                <w:sz w:val="2"/>
                <w:szCs w:val="2"/>
              </w:rPr>
            </w:pPr>
          </w:p>
        </w:tc>
        <w:tc>
          <w:tcPr>
            <w:tcW w:w="543" w:type="dxa"/>
            <w:vMerge/>
            <w:tcBorders>
              <w:top w:val="nil"/>
            </w:tcBorders>
          </w:tcPr>
          <w:p>
            <w:pPr>
              <w:rPr>
                <w:sz w:val="2"/>
                <w:szCs w:val="2"/>
              </w:rPr>
            </w:pPr>
          </w:p>
        </w:tc>
        <w:tc>
          <w:tcPr>
            <w:tcW w:w="721" w:type="dxa"/>
            <w:vMerge/>
            <w:tcBorders>
              <w:top w:val="nil"/>
            </w:tcBorders>
          </w:tcPr>
          <w:p>
            <w:pPr>
              <w:rPr>
                <w:sz w:val="2"/>
                <w:szCs w:val="2"/>
              </w:rPr>
            </w:pPr>
          </w:p>
        </w:tc>
        <w:tc>
          <w:tcPr>
            <w:tcW w:w="721" w:type="dxa"/>
            <w:vMerge/>
            <w:tcBorders>
              <w:top w:val="nil"/>
            </w:tcBorders>
          </w:tcPr>
          <w:p>
            <w:pPr>
              <w:rPr>
                <w:sz w:val="2"/>
                <w:szCs w:val="2"/>
              </w:rPr>
            </w:pPr>
          </w:p>
        </w:tc>
      </w:tr>
      <w:tr>
        <w:trPr>
          <w:trHeight w:val="393" w:hRule="atLeast"/>
        </w:trPr>
        <w:tc>
          <w:tcPr>
            <w:tcW w:w="802" w:type="dxa"/>
          </w:tcPr>
          <w:p>
            <w:pPr>
              <w:pStyle w:val="TableParagraph"/>
              <w:spacing w:line="271" w:lineRule="exact"/>
              <w:ind w:left="105"/>
              <w:rPr>
                <w:sz w:val="24"/>
              </w:rPr>
            </w:pPr>
            <w:r>
              <w:rPr>
                <w:spacing w:val="-5"/>
                <w:sz w:val="24"/>
              </w:rPr>
              <w:t>14.</w:t>
            </w:r>
          </w:p>
        </w:tc>
        <w:tc>
          <w:tcPr>
            <w:tcW w:w="5143" w:type="dxa"/>
            <w:gridSpan w:val="5"/>
          </w:tcPr>
          <w:p>
            <w:pPr>
              <w:pStyle w:val="TableParagraph"/>
              <w:spacing w:line="271" w:lineRule="exact"/>
              <w:ind w:left="109"/>
              <w:rPr>
                <w:sz w:val="24"/>
              </w:rPr>
            </w:pPr>
            <w:r>
              <w:rPr>
                <w:sz w:val="24"/>
              </w:rPr>
              <w:t>Library</w:t>
            </w:r>
            <w:r>
              <w:rPr>
                <w:spacing w:val="-9"/>
                <w:sz w:val="24"/>
              </w:rPr>
              <w:t> </w:t>
            </w:r>
            <w:r>
              <w:rPr>
                <w:sz w:val="24"/>
              </w:rPr>
              <w:t>facilities</w:t>
            </w:r>
            <w:r>
              <w:rPr>
                <w:spacing w:val="-13"/>
                <w:sz w:val="24"/>
              </w:rPr>
              <w:t> </w:t>
            </w:r>
            <w:r>
              <w:rPr>
                <w:sz w:val="24"/>
              </w:rPr>
              <w:t>(Books,</w:t>
            </w:r>
            <w:r>
              <w:rPr>
                <w:spacing w:val="-9"/>
                <w:sz w:val="24"/>
              </w:rPr>
              <w:t> </w:t>
            </w:r>
            <w:r>
              <w:rPr>
                <w:sz w:val="24"/>
              </w:rPr>
              <w:t>Seats,</w:t>
            </w:r>
            <w:r>
              <w:rPr>
                <w:spacing w:val="-8"/>
                <w:sz w:val="24"/>
              </w:rPr>
              <w:t> </w:t>
            </w:r>
            <w:r>
              <w:rPr>
                <w:sz w:val="24"/>
              </w:rPr>
              <w:t>Materials</w:t>
            </w:r>
            <w:r>
              <w:rPr>
                <w:spacing w:val="-9"/>
                <w:sz w:val="24"/>
              </w:rPr>
              <w:t> </w:t>
            </w:r>
            <w:r>
              <w:rPr>
                <w:spacing w:val="-4"/>
                <w:sz w:val="24"/>
              </w:rPr>
              <w:t>etc)</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397" w:hRule="atLeast"/>
        </w:trPr>
        <w:tc>
          <w:tcPr>
            <w:tcW w:w="802" w:type="dxa"/>
          </w:tcPr>
          <w:p>
            <w:pPr>
              <w:pStyle w:val="TableParagraph"/>
              <w:spacing w:line="271" w:lineRule="exact"/>
              <w:ind w:left="105"/>
              <w:rPr>
                <w:sz w:val="24"/>
              </w:rPr>
            </w:pPr>
            <w:r>
              <w:rPr>
                <w:spacing w:val="-5"/>
                <w:sz w:val="24"/>
              </w:rPr>
              <w:t>15.</w:t>
            </w:r>
          </w:p>
        </w:tc>
        <w:tc>
          <w:tcPr>
            <w:tcW w:w="5143" w:type="dxa"/>
            <w:gridSpan w:val="5"/>
          </w:tcPr>
          <w:p>
            <w:pPr>
              <w:pStyle w:val="TableParagraph"/>
              <w:spacing w:line="271" w:lineRule="exact"/>
              <w:ind w:left="109"/>
              <w:rPr>
                <w:sz w:val="24"/>
              </w:rPr>
            </w:pPr>
            <w:r>
              <w:rPr>
                <w:sz w:val="24"/>
              </w:rPr>
              <w:t>Teaching</w:t>
            </w:r>
            <w:r>
              <w:rPr>
                <w:spacing w:val="-5"/>
                <w:sz w:val="24"/>
              </w:rPr>
              <w:t> </w:t>
            </w:r>
            <w:r>
              <w:rPr>
                <w:spacing w:val="-2"/>
                <w:sz w:val="24"/>
              </w:rPr>
              <w:t>staff</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393" w:hRule="atLeast"/>
        </w:trPr>
        <w:tc>
          <w:tcPr>
            <w:tcW w:w="802" w:type="dxa"/>
          </w:tcPr>
          <w:p>
            <w:pPr>
              <w:pStyle w:val="TableParagraph"/>
              <w:spacing w:line="271" w:lineRule="exact"/>
              <w:ind w:left="105"/>
              <w:rPr>
                <w:sz w:val="24"/>
              </w:rPr>
            </w:pPr>
            <w:r>
              <w:rPr>
                <w:spacing w:val="-5"/>
                <w:sz w:val="24"/>
              </w:rPr>
              <w:t>16.</w:t>
            </w:r>
          </w:p>
        </w:tc>
        <w:tc>
          <w:tcPr>
            <w:tcW w:w="5143" w:type="dxa"/>
            <w:gridSpan w:val="5"/>
          </w:tcPr>
          <w:p>
            <w:pPr>
              <w:pStyle w:val="TableParagraph"/>
              <w:spacing w:line="271" w:lineRule="exact"/>
              <w:ind w:left="109"/>
              <w:rPr>
                <w:sz w:val="24"/>
              </w:rPr>
            </w:pPr>
            <w:r>
              <w:rPr>
                <w:sz w:val="24"/>
              </w:rPr>
              <w:t>Theatres</w:t>
            </w:r>
            <w:r>
              <w:rPr>
                <w:spacing w:val="-5"/>
                <w:sz w:val="24"/>
              </w:rPr>
              <w:t> </w:t>
            </w:r>
            <w:r>
              <w:rPr>
                <w:sz w:val="24"/>
              </w:rPr>
              <w:t>and</w:t>
            </w:r>
            <w:r>
              <w:rPr>
                <w:spacing w:val="-8"/>
                <w:sz w:val="24"/>
              </w:rPr>
              <w:t> </w:t>
            </w:r>
            <w:r>
              <w:rPr>
                <w:spacing w:val="-2"/>
                <w:sz w:val="24"/>
              </w:rPr>
              <w:t>Laboratories</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190" w:hRule="atLeast"/>
        </w:trPr>
        <w:tc>
          <w:tcPr>
            <w:tcW w:w="802" w:type="dxa"/>
          </w:tcPr>
          <w:p>
            <w:pPr>
              <w:pStyle w:val="TableParagraph"/>
              <w:spacing w:line="271" w:lineRule="exact"/>
              <w:ind w:left="105"/>
              <w:rPr>
                <w:sz w:val="24"/>
              </w:rPr>
            </w:pPr>
            <w:r>
              <w:rPr>
                <w:spacing w:val="-5"/>
                <w:sz w:val="24"/>
              </w:rPr>
              <w:t>17.</w:t>
            </w:r>
          </w:p>
        </w:tc>
        <w:tc>
          <w:tcPr>
            <w:tcW w:w="5143" w:type="dxa"/>
            <w:gridSpan w:val="5"/>
          </w:tcPr>
          <w:p>
            <w:pPr>
              <w:pStyle w:val="TableParagraph"/>
              <w:ind w:left="109" w:right="103"/>
              <w:jc w:val="both"/>
              <w:rPr>
                <w:sz w:val="24"/>
              </w:rPr>
            </w:pPr>
            <w:r>
              <w:rPr>
                <w:sz w:val="24"/>
              </w:rPr>
              <w:t>Information Technology services, Computers, Telephones, System websites, Internet, E- mail etc.</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397" w:hRule="atLeast"/>
        </w:trPr>
        <w:tc>
          <w:tcPr>
            <w:tcW w:w="802" w:type="dxa"/>
            <w:vMerge w:val="restart"/>
          </w:tcPr>
          <w:p>
            <w:pPr>
              <w:pStyle w:val="TableParagraph"/>
              <w:spacing w:before="117"/>
              <w:rPr>
                <w:rFonts w:ascii="Arial"/>
                <w:b/>
                <w:sz w:val="24"/>
              </w:rPr>
            </w:pPr>
          </w:p>
          <w:p>
            <w:pPr>
              <w:pStyle w:val="TableParagraph"/>
              <w:spacing w:before="1"/>
              <w:ind w:left="105"/>
              <w:rPr>
                <w:sz w:val="24"/>
              </w:rPr>
            </w:pPr>
            <w:r>
              <w:rPr>
                <w:spacing w:val="-5"/>
                <w:sz w:val="24"/>
              </w:rPr>
              <w:t>18.</w:t>
            </w:r>
          </w:p>
        </w:tc>
        <w:tc>
          <w:tcPr>
            <w:tcW w:w="5143" w:type="dxa"/>
            <w:gridSpan w:val="5"/>
            <w:vMerge w:val="restart"/>
          </w:tcPr>
          <w:p>
            <w:pPr>
              <w:pStyle w:val="TableParagraph"/>
              <w:spacing w:before="271"/>
              <w:rPr>
                <w:rFonts w:ascii="Arial"/>
                <w:b/>
                <w:sz w:val="24"/>
              </w:rPr>
            </w:pPr>
          </w:p>
          <w:p>
            <w:pPr>
              <w:pStyle w:val="TableParagraph"/>
              <w:ind w:left="109"/>
              <w:rPr>
                <w:sz w:val="24"/>
              </w:rPr>
            </w:pPr>
            <w:r>
              <w:rPr>
                <w:sz w:val="24"/>
              </w:rPr>
              <w:t>Information</w:t>
            </w:r>
            <w:r>
              <w:rPr>
                <w:spacing w:val="-5"/>
                <w:sz w:val="24"/>
              </w:rPr>
              <w:t> </w:t>
            </w:r>
            <w:r>
              <w:rPr>
                <w:sz w:val="24"/>
              </w:rPr>
              <w:t>dissemination</w:t>
            </w:r>
            <w:r>
              <w:rPr>
                <w:spacing w:val="-9"/>
                <w:sz w:val="24"/>
              </w:rPr>
              <w:t> </w:t>
            </w:r>
            <w:r>
              <w:rPr>
                <w:sz w:val="24"/>
              </w:rPr>
              <w:t>like</w:t>
            </w:r>
            <w:r>
              <w:rPr>
                <w:spacing w:val="-4"/>
                <w:sz w:val="24"/>
              </w:rPr>
              <w:t> </w:t>
            </w:r>
            <w:r>
              <w:rPr>
                <w:sz w:val="24"/>
              </w:rPr>
              <w:t>Bulletin,</w:t>
            </w:r>
            <w:r>
              <w:rPr>
                <w:spacing w:val="-5"/>
                <w:sz w:val="24"/>
              </w:rPr>
              <w:t> </w:t>
            </w:r>
            <w:r>
              <w:rPr>
                <w:spacing w:val="-2"/>
                <w:sz w:val="24"/>
              </w:rPr>
              <w:t>Titwits,</w:t>
            </w:r>
          </w:p>
          <w:p>
            <w:pPr>
              <w:pStyle w:val="TableParagraph"/>
              <w:tabs>
                <w:tab w:pos="1832" w:val="left" w:leader="none"/>
                <w:tab w:pos="2911" w:val="left" w:leader="none"/>
                <w:tab w:pos="4140" w:val="left" w:leader="none"/>
              </w:tabs>
              <w:spacing w:line="274" w:lineRule="exact"/>
              <w:ind w:left="109" w:right="102"/>
              <w:rPr>
                <w:sz w:val="24"/>
              </w:rPr>
            </w:pPr>
            <w:r>
              <w:rPr>
                <w:spacing w:val="-2"/>
                <w:sz w:val="24"/>
              </w:rPr>
              <w:t>Newsletters,</w:t>
            </w:r>
            <w:r>
              <w:rPr>
                <w:sz w:val="24"/>
              </w:rPr>
              <w:tab/>
            </w:r>
            <w:r>
              <w:rPr>
                <w:spacing w:val="-2"/>
                <w:sz w:val="24"/>
              </w:rPr>
              <w:t>Notice</w:t>
            </w:r>
            <w:r>
              <w:rPr>
                <w:sz w:val="24"/>
              </w:rPr>
              <w:tab/>
            </w:r>
            <w:r>
              <w:rPr>
                <w:spacing w:val="-2"/>
                <w:sz w:val="24"/>
              </w:rPr>
              <w:t>Boards,</w:t>
            </w:r>
            <w:r>
              <w:rPr>
                <w:sz w:val="24"/>
              </w:rPr>
              <w:tab/>
            </w:r>
            <w:r>
              <w:rPr>
                <w:spacing w:val="-4"/>
                <w:sz w:val="24"/>
              </w:rPr>
              <w:t>Campus </w:t>
            </w:r>
            <w:r>
              <w:rPr>
                <w:spacing w:val="-2"/>
                <w:sz w:val="24"/>
              </w:rPr>
              <w:t>magazines</w:t>
            </w:r>
          </w:p>
        </w:tc>
        <w:tc>
          <w:tcPr>
            <w:tcW w:w="898" w:type="dxa"/>
          </w:tcPr>
          <w:p>
            <w:pPr>
              <w:pStyle w:val="TableParagraph"/>
              <w:spacing w:line="267" w:lineRule="exact"/>
              <w:ind w:left="102"/>
              <w:rPr>
                <w:rFonts w:ascii="Arial"/>
                <w:b/>
                <w:sz w:val="24"/>
              </w:rPr>
            </w:pPr>
            <w:r>
              <w:rPr>
                <w:rFonts w:ascii="Arial"/>
                <w:b/>
                <w:spacing w:val="-5"/>
                <w:sz w:val="24"/>
              </w:rPr>
              <w:t>VA</w:t>
            </w:r>
          </w:p>
        </w:tc>
        <w:tc>
          <w:tcPr>
            <w:tcW w:w="543" w:type="dxa"/>
          </w:tcPr>
          <w:p>
            <w:pPr>
              <w:pStyle w:val="TableParagraph"/>
              <w:spacing w:line="267" w:lineRule="exact"/>
              <w:ind w:left="102"/>
              <w:rPr>
                <w:rFonts w:ascii="Arial"/>
                <w:b/>
                <w:sz w:val="24"/>
              </w:rPr>
            </w:pPr>
            <w:r>
              <w:rPr>
                <w:rFonts w:ascii="Arial"/>
                <w:b/>
                <w:spacing w:val="-10"/>
                <w:sz w:val="24"/>
              </w:rPr>
              <w:t>A</w:t>
            </w:r>
          </w:p>
        </w:tc>
        <w:tc>
          <w:tcPr>
            <w:tcW w:w="721" w:type="dxa"/>
          </w:tcPr>
          <w:p>
            <w:pPr>
              <w:pStyle w:val="TableParagraph"/>
              <w:spacing w:line="267" w:lineRule="exact"/>
              <w:ind w:left="101"/>
              <w:rPr>
                <w:rFonts w:ascii="Arial"/>
                <w:b/>
                <w:sz w:val="24"/>
              </w:rPr>
            </w:pPr>
            <w:r>
              <w:rPr>
                <w:rFonts w:ascii="Arial"/>
                <w:b/>
                <w:spacing w:val="-5"/>
                <w:sz w:val="24"/>
              </w:rPr>
              <w:t>NA</w:t>
            </w:r>
          </w:p>
        </w:tc>
        <w:tc>
          <w:tcPr>
            <w:tcW w:w="721" w:type="dxa"/>
          </w:tcPr>
          <w:p>
            <w:pPr>
              <w:pStyle w:val="TableParagraph"/>
              <w:spacing w:line="267" w:lineRule="exact"/>
              <w:ind w:left="100"/>
              <w:rPr>
                <w:rFonts w:ascii="Arial"/>
                <w:b/>
                <w:sz w:val="24"/>
              </w:rPr>
            </w:pPr>
            <w:r>
              <w:rPr>
                <w:rFonts w:ascii="Arial"/>
                <w:b/>
                <w:spacing w:val="-5"/>
                <w:sz w:val="24"/>
              </w:rPr>
              <w:t>NP</w:t>
            </w:r>
          </w:p>
        </w:tc>
      </w:tr>
      <w:tr>
        <w:trPr>
          <w:trHeight w:val="974" w:hRule="atLeast"/>
        </w:trPr>
        <w:tc>
          <w:tcPr>
            <w:tcW w:w="802" w:type="dxa"/>
            <w:vMerge/>
            <w:tcBorders>
              <w:top w:val="nil"/>
            </w:tcBorders>
          </w:tcPr>
          <w:p>
            <w:pPr>
              <w:rPr>
                <w:sz w:val="2"/>
                <w:szCs w:val="2"/>
              </w:rPr>
            </w:pPr>
          </w:p>
        </w:tc>
        <w:tc>
          <w:tcPr>
            <w:tcW w:w="5143" w:type="dxa"/>
            <w:gridSpan w:val="5"/>
            <w:vMerge/>
            <w:tcBorders>
              <w:top w:val="nil"/>
            </w:tcBorders>
          </w:tcPr>
          <w:p>
            <w:pPr>
              <w:rPr>
                <w:sz w:val="2"/>
                <w:szCs w:val="2"/>
              </w:rPr>
            </w:pP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825" w:hRule="atLeast"/>
        </w:trPr>
        <w:tc>
          <w:tcPr>
            <w:tcW w:w="802" w:type="dxa"/>
          </w:tcPr>
          <w:p>
            <w:pPr>
              <w:pStyle w:val="TableParagraph"/>
              <w:spacing w:line="271" w:lineRule="exact"/>
              <w:ind w:left="105"/>
              <w:rPr>
                <w:sz w:val="24"/>
              </w:rPr>
            </w:pPr>
            <w:r>
              <w:rPr>
                <w:spacing w:val="-5"/>
                <w:sz w:val="24"/>
              </w:rPr>
              <w:t>19.</w:t>
            </w:r>
          </w:p>
        </w:tc>
        <w:tc>
          <w:tcPr>
            <w:tcW w:w="5143" w:type="dxa"/>
            <w:gridSpan w:val="5"/>
          </w:tcPr>
          <w:p>
            <w:pPr>
              <w:pStyle w:val="TableParagraph"/>
              <w:spacing w:line="237" w:lineRule="auto"/>
              <w:ind w:left="109"/>
              <w:rPr>
                <w:sz w:val="24"/>
              </w:rPr>
            </w:pPr>
            <w:r>
              <w:rPr>
                <w:sz w:val="24"/>
              </w:rPr>
              <w:t>Teaching</w:t>
            </w:r>
            <w:r>
              <w:rPr>
                <w:spacing w:val="40"/>
                <w:sz w:val="24"/>
              </w:rPr>
              <w:t> </w:t>
            </w:r>
            <w:r>
              <w:rPr>
                <w:sz w:val="24"/>
              </w:rPr>
              <w:t>learning</w:t>
            </w:r>
            <w:r>
              <w:rPr>
                <w:spacing w:val="40"/>
                <w:sz w:val="24"/>
              </w:rPr>
              <w:t> </w:t>
            </w:r>
            <w:r>
              <w:rPr>
                <w:sz w:val="24"/>
              </w:rPr>
              <w:t>facilities</w:t>
            </w:r>
            <w:r>
              <w:rPr>
                <w:spacing w:val="40"/>
                <w:sz w:val="24"/>
              </w:rPr>
              <w:t> </w:t>
            </w:r>
            <w:r>
              <w:rPr>
                <w:sz w:val="24"/>
              </w:rPr>
              <w:t>–</w:t>
            </w:r>
            <w:r>
              <w:rPr>
                <w:spacing w:val="40"/>
                <w:sz w:val="24"/>
              </w:rPr>
              <w:t> </w:t>
            </w:r>
            <w:r>
              <w:rPr>
                <w:sz w:val="24"/>
              </w:rPr>
              <w:t>Assignments, field</w:t>
            </w:r>
            <w:r>
              <w:rPr>
                <w:spacing w:val="52"/>
                <w:w w:val="150"/>
                <w:sz w:val="24"/>
              </w:rPr>
              <w:t> </w:t>
            </w:r>
            <w:r>
              <w:rPr>
                <w:sz w:val="24"/>
              </w:rPr>
              <w:t>trips,</w:t>
            </w:r>
            <w:r>
              <w:rPr>
                <w:spacing w:val="52"/>
                <w:w w:val="150"/>
                <w:sz w:val="24"/>
              </w:rPr>
              <w:t> </w:t>
            </w:r>
            <w:r>
              <w:rPr>
                <w:sz w:val="24"/>
              </w:rPr>
              <w:t>debates,</w:t>
            </w:r>
            <w:r>
              <w:rPr>
                <w:spacing w:val="52"/>
                <w:w w:val="150"/>
                <w:sz w:val="24"/>
              </w:rPr>
              <w:t> </w:t>
            </w:r>
            <w:r>
              <w:rPr>
                <w:sz w:val="24"/>
              </w:rPr>
              <w:t>symposiums,</w:t>
            </w:r>
            <w:r>
              <w:rPr>
                <w:spacing w:val="52"/>
                <w:w w:val="150"/>
                <w:sz w:val="24"/>
              </w:rPr>
              <w:t> </w:t>
            </w:r>
            <w:r>
              <w:rPr>
                <w:spacing w:val="-2"/>
                <w:sz w:val="24"/>
              </w:rPr>
              <w:t>Teaching</w:t>
            </w:r>
          </w:p>
          <w:p>
            <w:pPr>
              <w:pStyle w:val="TableParagraph"/>
              <w:spacing w:line="258" w:lineRule="exact" w:before="1"/>
              <w:ind w:left="109"/>
              <w:rPr>
                <w:sz w:val="24"/>
              </w:rPr>
            </w:pPr>
            <w:r>
              <w:rPr>
                <w:sz w:val="24"/>
              </w:rPr>
              <w:t>Practice,</w:t>
            </w:r>
            <w:r>
              <w:rPr>
                <w:spacing w:val="-12"/>
                <w:sz w:val="24"/>
              </w:rPr>
              <w:t> </w:t>
            </w:r>
            <w:r>
              <w:rPr>
                <w:sz w:val="24"/>
              </w:rPr>
              <w:t>field–work</w:t>
            </w:r>
            <w:r>
              <w:rPr>
                <w:spacing w:val="-12"/>
                <w:sz w:val="24"/>
              </w:rPr>
              <w:t> </w:t>
            </w:r>
            <w:r>
              <w:rPr>
                <w:spacing w:val="-5"/>
                <w:sz w:val="24"/>
              </w:rPr>
              <w:t>etc</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551" w:hRule="atLeast"/>
        </w:trPr>
        <w:tc>
          <w:tcPr>
            <w:tcW w:w="802" w:type="dxa"/>
          </w:tcPr>
          <w:p>
            <w:pPr>
              <w:pStyle w:val="TableParagraph"/>
              <w:spacing w:line="271" w:lineRule="exact"/>
              <w:ind w:left="105"/>
              <w:rPr>
                <w:sz w:val="24"/>
              </w:rPr>
            </w:pPr>
            <w:r>
              <w:rPr>
                <w:spacing w:val="-5"/>
                <w:sz w:val="24"/>
              </w:rPr>
              <w:t>20.</w:t>
            </w:r>
          </w:p>
        </w:tc>
        <w:tc>
          <w:tcPr>
            <w:tcW w:w="5143" w:type="dxa"/>
            <w:gridSpan w:val="5"/>
          </w:tcPr>
          <w:p>
            <w:pPr>
              <w:pStyle w:val="TableParagraph"/>
              <w:tabs>
                <w:tab w:pos="2153" w:val="left" w:leader="none"/>
                <w:tab w:pos="4112" w:val="left" w:leader="none"/>
              </w:tabs>
              <w:spacing w:line="271" w:lineRule="exact"/>
              <w:ind w:left="109"/>
              <w:rPr>
                <w:sz w:val="24"/>
              </w:rPr>
            </w:pPr>
            <w:r>
              <w:rPr>
                <w:spacing w:val="-2"/>
                <w:sz w:val="24"/>
              </w:rPr>
              <w:t>Bookshops,</w:t>
            </w:r>
            <w:r>
              <w:rPr>
                <w:sz w:val="24"/>
              </w:rPr>
              <w:tab/>
            </w:r>
            <w:r>
              <w:rPr>
                <w:spacing w:val="-2"/>
                <w:sz w:val="24"/>
              </w:rPr>
              <w:t>Publication</w:t>
            </w:r>
            <w:r>
              <w:rPr>
                <w:sz w:val="24"/>
              </w:rPr>
              <w:tab/>
            </w:r>
            <w:r>
              <w:rPr>
                <w:spacing w:val="-2"/>
                <w:sz w:val="24"/>
              </w:rPr>
              <w:t>facilities,</w:t>
            </w:r>
          </w:p>
          <w:p>
            <w:pPr>
              <w:pStyle w:val="TableParagraph"/>
              <w:spacing w:line="258" w:lineRule="exact" w:before="2"/>
              <w:ind w:left="109"/>
              <w:rPr>
                <w:sz w:val="24"/>
              </w:rPr>
            </w:pPr>
            <w:r>
              <w:rPr>
                <w:spacing w:val="-2"/>
                <w:sz w:val="24"/>
              </w:rPr>
              <w:t>Photocopiers.</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329" w:hRule="atLeast"/>
        </w:trPr>
        <w:tc>
          <w:tcPr>
            <w:tcW w:w="802" w:type="dxa"/>
            <w:tcBorders>
              <w:bottom w:val="nil"/>
            </w:tcBorders>
          </w:tcPr>
          <w:p>
            <w:pPr>
              <w:pStyle w:val="TableParagraph"/>
              <w:spacing w:line="267" w:lineRule="exact"/>
              <w:ind w:left="105"/>
              <w:rPr>
                <w:rFonts w:ascii="Arial"/>
                <w:b/>
                <w:sz w:val="24"/>
              </w:rPr>
            </w:pPr>
            <w:r>
              <w:rPr>
                <w:rFonts w:ascii="Arial"/>
                <w:b/>
                <w:spacing w:val="-5"/>
                <w:sz w:val="24"/>
              </w:rPr>
              <w:t>C.</w:t>
            </w:r>
          </w:p>
        </w:tc>
        <w:tc>
          <w:tcPr>
            <w:tcW w:w="5143" w:type="dxa"/>
            <w:gridSpan w:val="5"/>
            <w:tcBorders>
              <w:bottom w:val="nil"/>
            </w:tcBorders>
          </w:tcPr>
          <w:p>
            <w:pPr>
              <w:pStyle w:val="TableParagraph"/>
              <w:spacing w:line="267" w:lineRule="exact"/>
              <w:ind w:left="109"/>
              <w:rPr>
                <w:rFonts w:ascii="Arial"/>
                <w:b/>
                <w:sz w:val="24"/>
              </w:rPr>
            </w:pPr>
            <w:r>
              <w:rPr>
                <w:rFonts w:ascii="Arial"/>
                <w:b/>
                <w:sz w:val="24"/>
                <w:u w:val="single"/>
              </w:rPr>
              <w:t>Medical/Health</w:t>
            </w:r>
            <w:r>
              <w:rPr>
                <w:rFonts w:ascii="Arial"/>
                <w:b/>
                <w:spacing w:val="-15"/>
                <w:sz w:val="24"/>
                <w:u w:val="single"/>
              </w:rPr>
              <w:t> </w:t>
            </w:r>
            <w:r>
              <w:rPr>
                <w:rFonts w:ascii="Arial"/>
                <w:b/>
                <w:spacing w:val="-2"/>
                <w:sz w:val="24"/>
                <w:u w:val="single"/>
              </w:rPr>
              <w:t>Services:</w:t>
            </w:r>
          </w:p>
        </w:tc>
        <w:tc>
          <w:tcPr>
            <w:tcW w:w="898" w:type="dxa"/>
            <w:vMerge w:val="restart"/>
          </w:tcPr>
          <w:p>
            <w:pPr>
              <w:pStyle w:val="TableParagraph"/>
              <w:rPr>
                <w:rFonts w:ascii="Times New Roman"/>
                <w:sz w:val="22"/>
              </w:rPr>
            </w:pPr>
          </w:p>
        </w:tc>
        <w:tc>
          <w:tcPr>
            <w:tcW w:w="543" w:type="dxa"/>
            <w:vMerge w:val="restart"/>
          </w:tcPr>
          <w:p>
            <w:pPr>
              <w:pStyle w:val="TableParagraph"/>
              <w:rPr>
                <w:rFonts w:ascii="Times New Roman"/>
                <w:sz w:val="22"/>
              </w:rPr>
            </w:pPr>
          </w:p>
        </w:tc>
        <w:tc>
          <w:tcPr>
            <w:tcW w:w="721" w:type="dxa"/>
            <w:vMerge w:val="restart"/>
          </w:tcPr>
          <w:p>
            <w:pPr>
              <w:pStyle w:val="TableParagraph"/>
              <w:rPr>
                <w:rFonts w:ascii="Times New Roman"/>
                <w:sz w:val="22"/>
              </w:rPr>
            </w:pPr>
          </w:p>
        </w:tc>
        <w:tc>
          <w:tcPr>
            <w:tcW w:w="721" w:type="dxa"/>
            <w:vMerge w:val="restart"/>
          </w:tcPr>
          <w:p>
            <w:pPr>
              <w:pStyle w:val="TableParagraph"/>
              <w:rPr>
                <w:rFonts w:ascii="Times New Roman"/>
                <w:sz w:val="22"/>
              </w:rPr>
            </w:pPr>
          </w:p>
        </w:tc>
      </w:tr>
      <w:tr>
        <w:trPr>
          <w:trHeight w:val="481" w:hRule="atLeast"/>
        </w:trPr>
        <w:tc>
          <w:tcPr>
            <w:tcW w:w="802" w:type="dxa"/>
            <w:tcBorders>
              <w:top w:val="nil"/>
            </w:tcBorders>
          </w:tcPr>
          <w:p>
            <w:pPr>
              <w:pStyle w:val="TableParagraph"/>
              <w:spacing w:before="54"/>
              <w:ind w:left="105"/>
              <w:rPr>
                <w:sz w:val="24"/>
              </w:rPr>
            </w:pPr>
            <w:r>
              <w:rPr>
                <w:spacing w:val="-5"/>
                <w:sz w:val="24"/>
              </w:rPr>
              <w:t>21.</w:t>
            </w:r>
          </w:p>
        </w:tc>
        <w:tc>
          <w:tcPr>
            <w:tcW w:w="5143" w:type="dxa"/>
            <w:gridSpan w:val="5"/>
            <w:tcBorders>
              <w:top w:val="nil"/>
            </w:tcBorders>
          </w:tcPr>
          <w:p>
            <w:pPr>
              <w:pStyle w:val="TableParagraph"/>
              <w:spacing w:before="54"/>
              <w:ind w:left="109"/>
              <w:rPr>
                <w:sz w:val="24"/>
              </w:rPr>
            </w:pPr>
            <w:r>
              <w:rPr>
                <w:sz w:val="24"/>
              </w:rPr>
              <w:t>Sick</w:t>
            </w:r>
            <w:r>
              <w:rPr>
                <w:spacing w:val="-3"/>
                <w:sz w:val="24"/>
              </w:rPr>
              <w:t> </w:t>
            </w:r>
            <w:r>
              <w:rPr>
                <w:sz w:val="24"/>
              </w:rPr>
              <w:t>bays</w:t>
            </w:r>
            <w:r>
              <w:rPr>
                <w:spacing w:val="-8"/>
                <w:sz w:val="24"/>
              </w:rPr>
              <w:t> </w:t>
            </w:r>
            <w:r>
              <w:rPr>
                <w:spacing w:val="-2"/>
                <w:sz w:val="24"/>
              </w:rPr>
              <w:t>(Clinics)</w:t>
            </w:r>
          </w:p>
        </w:tc>
        <w:tc>
          <w:tcPr>
            <w:tcW w:w="898" w:type="dxa"/>
            <w:vMerge/>
            <w:tcBorders>
              <w:top w:val="nil"/>
            </w:tcBorders>
          </w:tcPr>
          <w:p>
            <w:pPr>
              <w:rPr>
                <w:sz w:val="2"/>
                <w:szCs w:val="2"/>
              </w:rPr>
            </w:pPr>
          </w:p>
        </w:tc>
        <w:tc>
          <w:tcPr>
            <w:tcW w:w="543" w:type="dxa"/>
            <w:vMerge/>
            <w:tcBorders>
              <w:top w:val="nil"/>
            </w:tcBorders>
          </w:tcPr>
          <w:p>
            <w:pPr>
              <w:rPr>
                <w:sz w:val="2"/>
                <w:szCs w:val="2"/>
              </w:rPr>
            </w:pPr>
          </w:p>
        </w:tc>
        <w:tc>
          <w:tcPr>
            <w:tcW w:w="721" w:type="dxa"/>
            <w:vMerge/>
            <w:tcBorders>
              <w:top w:val="nil"/>
            </w:tcBorders>
          </w:tcPr>
          <w:p>
            <w:pPr>
              <w:rPr>
                <w:sz w:val="2"/>
                <w:szCs w:val="2"/>
              </w:rPr>
            </w:pPr>
          </w:p>
        </w:tc>
        <w:tc>
          <w:tcPr>
            <w:tcW w:w="721" w:type="dxa"/>
            <w:vMerge/>
            <w:tcBorders>
              <w:top w:val="nil"/>
            </w:tcBorders>
          </w:tcPr>
          <w:p>
            <w:pPr>
              <w:rPr>
                <w:sz w:val="2"/>
                <w:szCs w:val="2"/>
              </w:rPr>
            </w:pPr>
          </w:p>
        </w:tc>
      </w:tr>
      <w:tr>
        <w:trPr>
          <w:trHeight w:val="393" w:hRule="atLeast"/>
        </w:trPr>
        <w:tc>
          <w:tcPr>
            <w:tcW w:w="802" w:type="dxa"/>
          </w:tcPr>
          <w:p>
            <w:pPr>
              <w:pStyle w:val="TableParagraph"/>
              <w:spacing w:line="271" w:lineRule="exact"/>
              <w:ind w:left="105"/>
              <w:rPr>
                <w:sz w:val="24"/>
              </w:rPr>
            </w:pPr>
            <w:r>
              <w:rPr>
                <w:spacing w:val="-5"/>
                <w:sz w:val="24"/>
              </w:rPr>
              <w:t>22.</w:t>
            </w:r>
          </w:p>
        </w:tc>
        <w:tc>
          <w:tcPr>
            <w:tcW w:w="5143" w:type="dxa"/>
            <w:gridSpan w:val="5"/>
          </w:tcPr>
          <w:p>
            <w:pPr>
              <w:pStyle w:val="TableParagraph"/>
              <w:spacing w:line="271" w:lineRule="exact"/>
              <w:ind w:left="109"/>
              <w:rPr>
                <w:sz w:val="24"/>
              </w:rPr>
            </w:pPr>
            <w:r>
              <w:rPr>
                <w:spacing w:val="-2"/>
                <w:sz w:val="24"/>
              </w:rPr>
              <w:t>Hospitals</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398" w:hRule="atLeast"/>
        </w:trPr>
        <w:tc>
          <w:tcPr>
            <w:tcW w:w="802" w:type="dxa"/>
          </w:tcPr>
          <w:p>
            <w:pPr>
              <w:pStyle w:val="TableParagraph"/>
              <w:spacing w:line="271" w:lineRule="exact"/>
              <w:ind w:left="105"/>
              <w:rPr>
                <w:sz w:val="24"/>
              </w:rPr>
            </w:pPr>
            <w:r>
              <w:rPr>
                <w:spacing w:val="-5"/>
                <w:sz w:val="24"/>
              </w:rPr>
              <w:t>23.</w:t>
            </w:r>
          </w:p>
        </w:tc>
        <w:tc>
          <w:tcPr>
            <w:tcW w:w="5143" w:type="dxa"/>
            <w:gridSpan w:val="5"/>
          </w:tcPr>
          <w:p>
            <w:pPr>
              <w:pStyle w:val="TableParagraph"/>
              <w:spacing w:line="271" w:lineRule="exact"/>
              <w:ind w:left="109"/>
              <w:rPr>
                <w:sz w:val="24"/>
              </w:rPr>
            </w:pPr>
            <w:r>
              <w:rPr>
                <w:sz w:val="24"/>
              </w:rPr>
              <w:t>Medical</w:t>
            </w:r>
            <w:r>
              <w:rPr>
                <w:spacing w:val="-7"/>
                <w:sz w:val="24"/>
              </w:rPr>
              <w:t> </w:t>
            </w:r>
            <w:r>
              <w:rPr>
                <w:spacing w:val="-2"/>
                <w:sz w:val="24"/>
              </w:rPr>
              <w:t>Centres</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393" w:hRule="atLeast"/>
        </w:trPr>
        <w:tc>
          <w:tcPr>
            <w:tcW w:w="802" w:type="dxa"/>
          </w:tcPr>
          <w:p>
            <w:pPr>
              <w:pStyle w:val="TableParagraph"/>
              <w:spacing w:line="271" w:lineRule="exact"/>
              <w:ind w:left="105"/>
              <w:rPr>
                <w:sz w:val="24"/>
              </w:rPr>
            </w:pPr>
            <w:r>
              <w:rPr>
                <w:spacing w:val="-5"/>
                <w:sz w:val="24"/>
              </w:rPr>
              <w:t>24.</w:t>
            </w:r>
          </w:p>
        </w:tc>
        <w:tc>
          <w:tcPr>
            <w:tcW w:w="5143" w:type="dxa"/>
            <w:gridSpan w:val="5"/>
          </w:tcPr>
          <w:p>
            <w:pPr>
              <w:pStyle w:val="TableParagraph"/>
              <w:spacing w:line="271" w:lineRule="exact"/>
              <w:ind w:left="109"/>
              <w:rPr>
                <w:sz w:val="24"/>
              </w:rPr>
            </w:pPr>
            <w:r>
              <w:rPr>
                <w:sz w:val="24"/>
              </w:rPr>
              <w:t>Sanitation</w:t>
            </w:r>
            <w:r>
              <w:rPr>
                <w:spacing w:val="-10"/>
                <w:sz w:val="24"/>
              </w:rPr>
              <w:t> </w:t>
            </w:r>
            <w:r>
              <w:rPr>
                <w:spacing w:val="-2"/>
                <w:sz w:val="24"/>
              </w:rPr>
              <w:t>facilities</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398" w:hRule="atLeast"/>
        </w:trPr>
        <w:tc>
          <w:tcPr>
            <w:tcW w:w="802" w:type="dxa"/>
          </w:tcPr>
          <w:p>
            <w:pPr>
              <w:pStyle w:val="TableParagraph"/>
              <w:spacing w:line="271" w:lineRule="exact"/>
              <w:ind w:left="105"/>
              <w:rPr>
                <w:sz w:val="24"/>
              </w:rPr>
            </w:pPr>
            <w:r>
              <w:rPr>
                <w:spacing w:val="-5"/>
                <w:sz w:val="24"/>
              </w:rPr>
              <w:t>25.</w:t>
            </w:r>
          </w:p>
        </w:tc>
        <w:tc>
          <w:tcPr>
            <w:tcW w:w="5143" w:type="dxa"/>
            <w:gridSpan w:val="5"/>
          </w:tcPr>
          <w:p>
            <w:pPr>
              <w:pStyle w:val="TableParagraph"/>
              <w:spacing w:line="271" w:lineRule="exact"/>
              <w:ind w:left="109"/>
              <w:rPr>
                <w:sz w:val="24"/>
              </w:rPr>
            </w:pPr>
            <w:r>
              <w:rPr>
                <w:spacing w:val="-2"/>
                <w:sz w:val="24"/>
              </w:rPr>
              <w:t>Vaccines/Inoculation</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397" w:hRule="atLeast"/>
        </w:trPr>
        <w:tc>
          <w:tcPr>
            <w:tcW w:w="802" w:type="dxa"/>
          </w:tcPr>
          <w:p>
            <w:pPr>
              <w:pStyle w:val="TableParagraph"/>
              <w:spacing w:line="271" w:lineRule="exact"/>
              <w:ind w:left="105"/>
              <w:rPr>
                <w:sz w:val="24"/>
              </w:rPr>
            </w:pPr>
            <w:r>
              <w:rPr>
                <w:spacing w:val="-5"/>
                <w:sz w:val="24"/>
              </w:rPr>
              <w:t>26.</w:t>
            </w:r>
          </w:p>
        </w:tc>
        <w:tc>
          <w:tcPr>
            <w:tcW w:w="5143" w:type="dxa"/>
            <w:gridSpan w:val="5"/>
          </w:tcPr>
          <w:p>
            <w:pPr>
              <w:pStyle w:val="TableParagraph"/>
              <w:spacing w:line="271" w:lineRule="exact"/>
              <w:ind w:left="109"/>
              <w:rPr>
                <w:sz w:val="24"/>
              </w:rPr>
            </w:pPr>
            <w:r>
              <w:rPr>
                <w:spacing w:val="-2"/>
                <w:sz w:val="24"/>
              </w:rPr>
              <w:t>Drugs</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393" w:hRule="atLeast"/>
        </w:trPr>
        <w:tc>
          <w:tcPr>
            <w:tcW w:w="802" w:type="dxa"/>
          </w:tcPr>
          <w:p>
            <w:pPr>
              <w:pStyle w:val="TableParagraph"/>
              <w:spacing w:line="271" w:lineRule="exact"/>
              <w:ind w:left="105"/>
              <w:rPr>
                <w:sz w:val="24"/>
              </w:rPr>
            </w:pPr>
            <w:r>
              <w:rPr>
                <w:spacing w:val="-5"/>
                <w:sz w:val="24"/>
              </w:rPr>
              <w:t>27.</w:t>
            </w:r>
          </w:p>
        </w:tc>
        <w:tc>
          <w:tcPr>
            <w:tcW w:w="5143" w:type="dxa"/>
            <w:gridSpan w:val="5"/>
          </w:tcPr>
          <w:p>
            <w:pPr>
              <w:pStyle w:val="TableParagraph"/>
              <w:spacing w:line="271" w:lineRule="exact"/>
              <w:ind w:left="109"/>
              <w:rPr>
                <w:sz w:val="24"/>
              </w:rPr>
            </w:pPr>
            <w:r>
              <w:rPr>
                <w:sz w:val="24"/>
              </w:rPr>
              <w:t>Curative</w:t>
            </w:r>
            <w:r>
              <w:rPr>
                <w:spacing w:val="-9"/>
                <w:sz w:val="24"/>
              </w:rPr>
              <w:t> </w:t>
            </w:r>
            <w:r>
              <w:rPr>
                <w:sz w:val="24"/>
              </w:rPr>
              <w:t>&amp;</w:t>
            </w:r>
            <w:r>
              <w:rPr>
                <w:spacing w:val="-9"/>
                <w:sz w:val="24"/>
              </w:rPr>
              <w:t> </w:t>
            </w:r>
            <w:r>
              <w:rPr>
                <w:sz w:val="24"/>
              </w:rPr>
              <w:t>Preventive</w:t>
            </w:r>
            <w:r>
              <w:rPr>
                <w:spacing w:val="-8"/>
                <w:sz w:val="24"/>
              </w:rPr>
              <w:t> </w:t>
            </w:r>
            <w:r>
              <w:rPr>
                <w:spacing w:val="-2"/>
                <w:sz w:val="24"/>
              </w:rPr>
              <w:t>treatments</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329" w:hRule="atLeast"/>
        </w:trPr>
        <w:tc>
          <w:tcPr>
            <w:tcW w:w="802" w:type="dxa"/>
            <w:tcBorders>
              <w:bottom w:val="nil"/>
            </w:tcBorders>
          </w:tcPr>
          <w:p>
            <w:pPr>
              <w:pStyle w:val="TableParagraph"/>
              <w:spacing w:line="267" w:lineRule="exact"/>
              <w:ind w:left="105"/>
              <w:rPr>
                <w:rFonts w:ascii="Arial"/>
                <w:b/>
                <w:sz w:val="24"/>
              </w:rPr>
            </w:pPr>
            <w:r>
              <w:rPr>
                <w:rFonts w:ascii="Arial"/>
                <w:b/>
                <w:spacing w:val="-5"/>
                <w:sz w:val="24"/>
              </w:rPr>
              <w:t>D.</w:t>
            </w:r>
          </w:p>
        </w:tc>
        <w:tc>
          <w:tcPr>
            <w:tcW w:w="4073" w:type="dxa"/>
            <w:gridSpan w:val="4"/>
            <w:tcBorders>
              <w:bottom w:val="nil"/>
              <w:right w:val="nil"/>
            </w:tcBorders>
          </w:tcPr>
          <w:p>
            <w:pPr>
              <w:pStyle w:val="TableParagraph"/>
              <w:spacing w:line="267" w:lineRule="exact"/>
              <w:ind w:left="109"/>
              <w:rPr>
                <w:rFonts w:ascii="Arial"/>
                <w:b/>
                <w:sz w:val="24"/>
              </w:rPr>
            </w:pPr>
            <w:r>
              <w:rPr>
                <w:rFonts w:ascii="Arial"/>
                <w:b/>
                <w:spacing w:val="-2"/>
                <w:sz w:val="24"/>
                <w:u w:val="single"/>
              </w:rPr>
              <w:t>Environmental</w:t>
            </w:r>
            <w:r>
              <w:rPr>
                <w:rFonts w:ascii="Arial"/>
                <w:b/>
                <w:spacing w:val="5"/>
                <w:sz w:val="24"/>
                <w:u w:val="single"/>
              </w:rPr>
              <w:t> </w:t>
            </w:r>
            <w:r>
              <w:rPr>
                <w:rFonts w:ascii="Arial"/>
                <w:b/>
                <w:spacing w:val="-2"/>
                <w:sz w:val="24"/>
                <w:u w:val="single"/>
              </w:rPr>
              <w:t>Services:</w:t>
            </w:r>
          </w:p>
        </w:tc>
        <w:tc>
          <w:tcPr>
            <w:tcW w:w="1070" w:type="dxa"/>
            <w:tcBorders>
              <w:left w:val="nil"/>
              <w:bottom w:val="nil"/>
            </w:tcBorders>
          </w:tcPr>
          <w:p>
            <w:pPr>
              <w:pStyle w:val="TableParagraph"/>
              <w:rPr>
                <w:rFonts w:ascii="Times New Roman"/>
                <w:sz w:val="22"/>
              </w:rPr>
            </w:pPr>
          </w:p>
        </w:tc>
        <w:tc>
          <w:tcPr>
            <w:tcW w:w="898" w:type="dxa"/>
            <w:vMerge w:val="restart"/>
          </w:tcPr>
          <w:p>
            <w:pPr>
              <w:pStyle w:val="TableParagraph"/>
              <w:rPr>
                <w:rFonts w:ascii="Times New Roman"/>
                <w:sz w:val="22"/>
              </w:rPr>
            </w:pPr>
          </w:p>
        </w:tc>
        <w:tc>
          <w:tcPr>
            <w:tcW w:w="543" w:type="dxa"/>
            <w:vMerge w:val="restart"/>
          </w:tcPr>
          <w:p>
            <w:pPr>
              <w:pStyle w:val="TableParagraph"/>
              <w:rPr>
                <w:rFonts w:ascii="Times New Roman"/>
                <w:sz w:val="22"/>
              </w:rPr>
            </w:pPr>
          </w:p>
        </w:tc>
        <w:tc>
          <w:tcPr>
            <w:tcW w:w="721" w:type="dxa"/>
            <w:vMerge w:val="restart"/>
          </w:tcPr>
          <w:p>
            <w:pPr>
              <w:pStyle w:val="TableParagraph"/>
              <w:rPr>
                <w:rFonts w:ascii="Times New Roman"/>
                <w:sz w:val="22"/>
              </w:rPr>
            </w:pPr>
          </w:p>
        </w:tc>
        <w:tc>
          <w:tcPr>
            <w:tcW w:w="721" w:type="dxa"/>
            <w:vMerge w:val="restart"/>
          </w:tcPr>
          <w:p>
            <w:pPr>
              <w:pStyle w:val="TableParagraph"/>
              <w:rPr>
                <w:rFonts w:ascii="Times New Roman"/>
                <w:sz w:val="22"/>
              </w:rPr>
            </w:pPr>
          </w:p>
        </w:tc>
      </w:tr>
      <w:tr>
        <w:trPr>
          <w:trHeight w:val="328" w:hRule="atLeast"/>
        </w:trPr>
        <w:tc>
          <w:tcPr>
            <w:tcW w:w="802" w:type="dxa"/>
            <w:tcBorders>
              <w:top w:val="nil"/>
              <w:bottom w:val="nil"/>
            </w:tcBorders>
          </w:tcPr>
          <w:p>
            <w:pPr>
              <w:pStyle w:val="TableParagraph"/>
              <w:spacing w:line="254" w:lineRule="exact" w:before="54"/>
              <w:ind w:left="105"/>
              <w:rPr>
                <w:sz w:val="24"/>
              </w:rPr>
            </w:pPr>
            <w:r>
              <w:rPr>
                <w:spacing w:val="-5"/>
                <w:sz w:val="24"/>
              </w:rPr>
              <w:t>28.</w:t>
            </w:r>
          </w:p>
        </w:tc>
        <w:tc>
          <w:tcPr>
            <w:tcW w:w="1305" w:type="dxa"/>
            <w:tcBorders>
              <w:top w:val="nil"/>
              <w:bottom w:val="nil"/>
              <w:right w:val="nil"/>
            </w:tcBorders>
          </w:tcPr>
          <w:p>
            <w:pPr>
              <w:pStyle w:val="TableParagraph"/>
              <w:spacing w:line="254" w:lineRule="exact" w:before="54"/>
              <w:ind w:left="109"/>
              <w:rPr>
                <w:sz w:val="24"/>
              </w:rPr>
            </w:pPr>
            <w:r>
              <w:rPr>
                <w:spacing w:val="-2"/>
                <w:sz w:val="24"/>
              </w:rPr>
              <w:t>Conducive</w:t>
            </w:r>
          </w:p>
        </w:tc>
        <w:tc>
          <w:tcPr>
            <w:tcW w:w="304" w:type="dxa"/>
            <w:tcBorders>
              <w:top w:val="nil"/>
              <w:left w:val="nil"/>
              <w:bottom w:val="nil"/>
              <w:right w:val="nil"/>
            </w:tcBorders>
          </w:tcPr>
          <w:p>
            <w:pPr>
              <w:pStyle w:val="TableParagraph"/>
              <w:rPr>
                <w:rFonts w:ascii="Times New Roman"/>
                <w:sz w:val="22"/>
              </w:rPr>
            </w:pPr>
          </w:p>
        </w:tc>
        <w:tc>
          <w:tcPr>
            <w:tcW w:w="1422" w:type="dxa"/>
            <w:tcBorders>
              <w:top w:val="nil"/>
              <w:left w:val="nil"/>
              <w:bottom w:val="nil"/>
              <w:right w:val="nil"/>
            </w:tcBorders>
          </w:tcPr>
          <w:p>
            <w:pPr>
              <w:pStyle w:val="TableParagraph"/>
              <w:spacing w:line="254" w:lineRule="exact" w:before="54"/>
              <w:ind w:left="71"/>
              <w:jc w:val="center"/>
              <w:rPr>
                <w:sz w:val="24"/>
              </w:rPr>
            </w:pPr>
            <w:r>
              <w:rPr>
                <w:spacing w:val="-2"/>
                <w:sz w:val="24"/>
              </w:rPr>
              <w:t>environment</w:t>
            </w:r>
          </w:p>
        </w:tc>
        <w:tc>
          <w:tcPr>
            <w:tcW w:w="1042" w:type="dxa"/>
            <w:tcBorders>
              <w:top w:val="nil"/>
              <w:left w:val="nil"/>
              <w:bottom w:val="nil"/>
              <w:right w:val="nil"/>
            </w:tcBorders>
          </w:tcPr>
          <w:p>
            <w:pPr>
              <w:pStyle w:val="TableParagraph"/>
              <w:spacing w:line="254" w:lineRule="exact" w:before="54"/>
              <w:ind w:left="428"/>
              <w:rPr>
                <w:sz w:val="24"/>
              </w:rPr>
            </w:pPr>
            <w:r>
              <w:rPr>
                <w:spacing w:val="-5"/>
                <w:sz w:val="24"/>
              </w:rPr>
              <w:t>for</w:t>
            </w:r>
          </w:p>
        </w:tc>
        <w:tc>
          <w:tcPr>
            <w:tcW w:w="1070" w:type="dxa"/>
            <w:tcBorders>
              <w:top w:val="nil"/>
              <w:left w:val="nil"/>
              <w:bottom w:val="nil"/>
            </w:tcBorders>
          </w:tcPr>
          <w:p>
            <w:pPr>
              <w:pStyle w:val="TableParagraph"/>
              <w:spacing w:line="254" w:lineRule="exact" w:before="54"/>
              <w:ind w:left="30" w:right="29"/>
              <w:jc w:val="center"/>
              <w:rPr>
                <w:sz w:val="24"/>
              </w:rPr>
            </w:pPr>
            <w:r>
              <w:rPr>
                <w:spacing w:val="-2"/>
                <w:sz w:val="24"/>
              </w:rPr>
              <w:t>learning</w:t>
            </w:r>
          </w:p>
        </w:tc>
        <w:tc>
          <w:tcPr>
            <w:tcW w:w="898" w:type="dxa"/>
            <w:vMerge/>
            <w:tcBorders>
              <w:top w:val="nil"/>
            </w:tcBorders>
          </w:tcPr>
          <w:p>
            <w:pPr>
              <w:rPr>
                <w:sz w:val="2"/>
                <w:szCs w:val="2"/>
              </w:rPr>
            </w:pPr>
          </w:p>
        </w:tc>
        <w:tc>
          <w:tcPr>
            <w:tcW w:w="543" w:type="dxa"/>
            <w:vMerge/>
            <w:tcBorders>
              <w:top w:val="nil"/>
            </w:tcBorders>
          </w:tcPr>
          <w:p>
            <w:pPr>
              <w:rPr>
                <w:sz w:val="2"/>
                <w:szCs w:val="2"/>
              </w:rPr>
            </w:pPr>
          </w:p>
        </w:tc>
        <w:tc>
          <w:tcPr>
            <w:tcW w:w="721" w:type="dxa"/>
            <w:vMerge/>
            <w:tcBorders>
              <w:top w:val="nil"/>
            </w:tcBorders>
          </w:tcPr>
          <w:p>
            <w:pPr>
              <w:rPr>
                <w:sz w:val="2"/>
                <w:szCs w:val="2"/>
              </w:rPr>
            </w:pPr>
          </w:p>
        </w:tc>
        <w:tc>
          <w:tcPr>
            <w:tcW w:w="721" w:type="dxa"/>
            <w:vMerge/>
            <w:tcBorders>
              <w:top w:val="nil"/>
            </w:tcBorders>
          </w:tcPr>
          <w:p>
            <w:pPr>
              <w:rPr>
                <w:sz w:val="2"/>
                <w:szCs w:val="2"/>
              </w:rPr>
            </w:pPr>
          </w:p>
        </w:tc>
      </w:tr>
      <w:tr>
        <w:trPr>
          <w:trHeight w:val="392" w:hRule="atLeast"/>
        </w:trPr>
        <w:tc>
          <w:tcPr>
            <w:tcW w:w="802" w:type="dxa"/>
            <w:tcBorders>
              <w:top w:val="nil"/>
            </w:tcBorders>
          </w:tcPr>
          <w:p>
            <w:pPr>
              <w:pStyle w:val="TableParagraph"/>
              <w:rPr>
                <w:rFonts w:ascii="Times New Roman"/>
                <w:sz w:val="22"/>
              </w:rPr>
            </w:pPr>
          </w:p>
        </w:tc>
        <w:tc>
          <w:tcPr>
            <w:tcW w:w="4073" w:type="dxa"/>
            <w:gridSpan w:val="4"/>
            <w:tcBorders>
              <w:top w:val="nil"/>
              <w:right w:val="nil"/>
            </w:tcBorders>
          </w:tcPr>
          <w:p>
            <w:pPr>
              <w:pStyle w:val="TableParagraph"/>
              <w:spacing w:line="266" w:lineRule="exact"/>
              <w:ind w:left="109"/>
              <w:rPr>
                <w:sz w:val="24"/>
              </w:rPr>
            </w:pPr>
            <w:r>
              <w:rPr>
                <w:sz w:val="24"/>
              </w:rPr>
              <w:t>Conducive</w:t>
            </w:r>
            <w:r>
              <w:rPr>
                <w:spacing w:val="-10"/>
                <w:sz w:val="24"/>
              </w:rPr>
              <w:t> </w:t>
            </w:r>
            <w:r>
              <w:rPr>
                <w:sz w:val="24"/>
              </w:rPr>
              <w:t>environment</w:t>
            </w:r>
            <w:r>
              <w:rPr>
                <w:spacing w:val="-11"/>
                <w:sz w:val="24"/>
              </w:rPr>
              <w:t> </w:t>
            </w:r>
            <w:r>
              <w:rPr>
                <w:sz w:val="24"/>
              </w:rPr>
              <w:t>for</w:t>
            </w:r>
            <w:r>
              <w:rPr>
                <w:spacing w:val="-9"/>
                <w:sz w:val="24"/>
              </w:rPr>
              <w:t> </w:t>
            </w:r>
            <w:r>
              <w:rPr>
                <w:spacing w:val="-2"/>
                <w:sz w:val="24"/>
              </w:rPr>
              <w:t>teaching</w:t>
            </w:r>
          </w:p>
        </w:tc>
        <w:tc>
          <w:tcPr>
            <w:tcW w:w="1070" w:type="dxa"/>
            <w:tcBorders>
              <w:top w:val="nil"/>
              <w:left w:val="nil"/>
            </w:tcBorders>
          </w:tcPr>
          <w:p>
            <w:pPr>
              <w:pStyle w:val="TableParagraph"/>
              <w:rPr>
                <w:rFonts w:ascii="Times New Roman"/>
                <w:sz w:val="22"/>
              </w:rPr>
            </w:pPr>
          </w:p>
        </w:tc>
        <w:tc>
          <w:tcPr>
            <w:tcW w:w="898" w:type="dxa"/>
            <w:vMerge/>
            <w:tcBorders>
              <w:top w:val="nil"/>
            </w:tcBorders>
          </w:tcPr>
          <w:p>
            <w:pPr>
              <w:rPr>
                <w:sz w:val="2"/>
                <w:szCs w:val="2"/>
              </w:rPr>
            </w:pPr>
          </w:p>
        </w:tc>
        <w:tc>
          <w:tcPr>
            <w:tcW w:w="543" w:type="dxa"/>
            <w:vMerge/>
            <w:tcBorders>
              <w:top w:val="nil"/>
            </w:tcBorders>
          </w:tcPr>
          <w:p>
            <w:pPr>
              <w:rPr>
                <w:sz w:val="2"/>
                <w:szCs w:val="2"/>
              </w:rPr>
            </w:pPr>
          </w:p>
        </w:tc>
        <w:tc>
          <w:tcPr>
            <w:tcW w:w="721" w:type="dxa"/>
            <w:vMerge/>
            <w:tcBorders>
              <w:top w:val="nil"/>
            </w:tcBorders>
          </w:tcPr>
          <w:p>
            <w:pPr>
              <w:rPr>
                <w:sz w:val="2"/>
                <w:szCs w:val="2"/>
              </w:rPr>
            </w:pPr>
          </w:p>
        </w:tc>
        <w:tc>
          <w:tcPr>
            <w:tcW w:w="721" w:type="dxa"/>
            <w:vMerge/>
            <w:tcBorders>
              <w:top w:val="nil"/>
            </w:tcBorders>
          </w:tcPr>
          <w:p>
            <w:pPr>
              <w:rPr>
                <w:sz w:val="2"/>
                <w:szCs w:val="2"/>
              </w:rPr>
            </w:pPr>
          </w:p>
        </w:tc>
      </w:tr>
    </w:tbl>
    <w:p>
      <w:pPr>
        <w:spacing w:after="0"/>
        <w:rPr>
          <w:sz w:val="2"/>
          <w:szCs w:val="2"/>
        </w:rPr>
        <w:sectPr>
          <w:headerReference w:type="default" r:id="rId610"/>
          <w:footerReference w:type="default" r:id="rId611"/>
          <w:pgSz w:w="12240" w:h="15840"/>
          <w:pgMar w:header="722" w:footer="623" w:top="980" w:bottom="820" w:left="1220" w:right="1140"/>
        </w:sectPr>
      </w:pPr>
    </w:p>
    <w:p>
      <w:pPr>
        <w:pStyle w:val="BodyText"/>
        <w:spacing w:before="222"/>
        <w:rPr>
          <w:rFonts w:ascii="Arial"/>
          <w:b/>
          <w:sz w:val="20"/>
        </w:rPr>
      </w:pPr>
    </w:p>
    <w:tbl>
      <w:tblPr>
        <w:tblW w:w="0" w:type="auto"/>
        <w:jc w:val="left"/>
        <w:tblInd w:w="5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02"/>
        <w:gridCol w:w="5141"/>
        <w:gridCol w:w="898"/>
        <w:gridCol w:w="543"/>
        <w:gridCol w:w="721"/>
        <w:gridCol w:w="721"/>
      </w:tblGrid>
      <w:tr>
        <w:trPr>
          <w:trHeight w:val="397" w:hRule="atLeast"/>
        </w:trPr>
        <w:tc>
          <w:tcPr>
            <w:tcW w:w="802" w:type="dxa"/>
          </w:tcPr>
          <w:p>
            <w:pPr>
              <w:pStyle w:val="TableParagraph"/>
              <w:spacing w:line="271" w:lineRule="exact"/>
              <w:ind w:left="105"/>
              <w:rPr>
                <w:sz w:val="24"/>
              </w:rPr>
            </w:pPr>
            <w:r>
              <w:rPr>
                <w:spacing w:val="-5"/>
                <w:sz w:val="24"/>
              </w:rPr>
              <w:t>29.</w:t>
            </w:r>
          </w:p>
        </w:tc>
        <w:tc>
          <w:tcPr>
            <w:tcW w:w="5141" w:type="dxa"/>
          </w:tcPr>
          <w:p>
            <w:pPr>
              <w:pStyle w:val="TableParagraph"/>
              <w:spacing w:line="271" w:lineRule="exact"/>
              <w:ind w:left="109"/>
              <w:rPr>
                <w:sz w:val="24"/>
              </w:rPr>
            </w:pPr>
            <w:r>
              <w:rPr>
                <w:sz w:val="24"/>
              </w:rPr>
              <w:t>The</w:t>
            </w:r>
            <w:r>
              <w:rPr>
                <w:spacing w:val="-6"/>
                <w:sz w:val="24"/>
              </w:rPr>
              <w:t> </w:t>
            </w:r>
            <w:r>
              <w:rPr>
                <w:sz w:val="24"/>
              </w:rPr>
              <w:t>tone</w:t>
            </w:r>
            <w:r>
              <w:rPr>
                <w:spacing w:val="-5"/>
                <w:sz w:val="24"/>
              </w:rPr>
              <w:t> </w:t>
            </w:r>
            <w:r>
              <w:rPr>
                <w:sz w:val="24"/>
              </w:rPr>
              <w:t>or</w:t>
            </w:r>
            <w:r>
              <w:rPr>
                <w:spacing w:val="-9"/>
                <w:sz w:val="24"/>
              </w:rPr>
              <w:t> </w:t>
            </w:r>
            <w:r>
              <w:rPr>
                <w:sz w:val="24"/>
              </w:rPr>
              <w:t>institutional</w:t>
            </w:r>
            <w:r>
              <w:rPr>
                <w:spacing w:val="-2"/>
                <w:sz w:val="24"/>
              </w:rPr>
              <w:t> climate</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393" w:hRule="atLeast"/>
        </w:trPr>
        <w:tc>
          <w:tcPr>
            <w:tcW w:w="802" w:type="dxa"/>
          </w:tcPr>
          <w:p>
            <w:pPr>
              <w:pStyle w:val="TableParagraph"/>
              <w:spacing w:line="271" w:lineRule="exact"/>
              <w:ind w:left="105"/>
              <w:rPr>
                <w:sz w:val="24"/>
              </w:rPr>
            </w:pPr>
            <w:r>
              <w:rPr>
                <w:spacing w:val="-5"/>
                <w:sz w:val="24"/>
              </w:rPr>
              <w:t>30.</w:t>
            </w:r>
          </w:p>
        </w:tc>
        <w:tc>
          <w:tcPr>
            <w:tcW w:w="5141" w:type="dxa"/>
          </w:tcPr>
          <w:p>
            <w:pPr>
              <w:pStyle w:val="TableParagraph"/>
              <w:spacing w:line="271" w:lineRule="exact"/>
              <w:ind w:left="109"/>
              <w:rPr>
                <w:sz w:val="24"/>
              </w:rPr>
            </w:pPr>
            <w:r>
              <w:rPr>
                <w:spacing w:val="-2"/>
                <w:sz w:val="24"/>
              </w:rPr>
              <w:t>Student-Teacher</w:t>
            </w:r>
            <w:r>
              <w:rPr>
                <w:spacing w:val="12"/>
                <w:sz w:val="24"/>
              </w:rPr>
              <w:t> </w:t>
            </w:r>
            <w:r>
              <w:rPr>
                <w:spacing w:val="-2"/>
                <w:sz w:val="24"/>
              </w:rPr>
              <w:t>relationship</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398" w:hRule="atLeast"/>
        </w:trPr>
        <w:tc>
          <w:tcPr>
            <w:tcW w:w="802" w:type="dxa"/>
          </w:tcPr>
          <w:p>
            <w:pPr>
              <w:pStyle w:val="TableParagraph"/>
              <w:spacing w:line="271" w:lineRule="exact"/>
              <w:ind w:left="105"/>
              <w:rPr>
                <w:sz w:val="24"/>
              </w:rPr>
            </w:pPr>
            <w:r>
              <w:rPr>
                <w:spacing w:val="-5"/>
                <w:sz w:val="24"/>
              </w:rPr>
              <w:t>31.</w:t>
            </w:r>
          </w:p>
        </w:tc>
        <w:tc>
          <w:tcPr>
            <w:tcW w:w="5141" w:type="dxa"/>
          </w:tcPr>
          <w:p>
            <w:pPr>
              <w:pStyle w:val="TableParagraph"/>
              <w:spacing w:line="271" w:lineRule="exact"/>
              <w:ind w:left="109"/>
              <w:rPr>
                <w:sz w:val="24"/>
              </w:rPr>
            </w:pPr>
            <w:r>
              <w:rPr>
                <w:spacing w:val="-2"/>
                <w:sz w:val="24"/>
              </w:rPr>
              <w:t>Student-Student</w:t>
            </w:r>
            <w:r>
              <w:rPr>
                <w:spacing w:val="12"/>
                <w:sz w:val="24"/>
              </w:rPr>
              <w:t> </w:t>
            </w:r>
            <w:r>
              <w:rPr>
                <w:spacing w:val="-2"/>
                <w:sz w:val="24"/>
              </w:rPr>
              <w:t>relationship</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551" w:hRule="atLeast"/>
        </w:trPr>
        <w:tc>
          <w:tcPr>
            <w:tcW w:w="802" w:type="dxa"/>
          </w:tcPr>
          <w:p>
            <w:pPr>
              <w:pStyle w:val="TableParagraph"/>
              <w:spacing w:line="271" w:lineRule="exact"/>
              <w:ind w:left="105"/>
              <w:rPr>
                <w:sz w:val="24"/>
              </w:rPr>
            </w:pPr>
            <w:r>
              <w:rPr>
                <w:spacing w:val="-5"/>
                <w:sz w:val="24"/>
              </w:rPr>
              <w:t>32.</w:t>
            </w:r>
          </w:p>
        </w:tc>
        <w:tc>
          <w:tcPr>
            <w:tcW w:w="5141" w:type="dxa"/>
          </w:tcPr>
          <w:p>
            <w:pPr>
              <w:pStyle w:val="TableParagraph"/>
              <w:spacing w:line="274" w:lineRule="exact"/>
              <w:ind w:left="109"/>
              <w:rPr>
                <w:sz w:val="24"/>
              </w:rPr>
            </w:pPr>
            <w:r>
              <w:rPr>
                <w:sz w:val="24"/>
              </w:rPr>
              <w:t>Sense of belonginess, Privacy/freedom/safety </w:t>
            </w:r>
            <w:r>
              <w:rPr>
                <w:spacing w:val="-4"/>
                <w:sz w:val="24"/>
              </w:rPr>
              <w:t>etc</w:t>
            </w:r>
          </w:p>
        </w:tc>
        <w:tc>
          <w:tcPr>
            <w:tcW w:w="898" w:type="dxa"/>
          </w:tcPr>
          <w:p>
            <w:pPr>
              <w:pStyle w:val="TableParagraph"/>
              <w:rPr>
                <w:rFonts w:ascii="Times New Roman"/>
                <w:sz w:val="22"/>
              </w:rPr>
            </w:pPr>
          </w:p>
        </w:tc>
        <w:tc>
          <w:tcPr>
            <w:tcW w:w="54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bl>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spacing w:before="38"/>
        <w:rPr>
          <w:rFonts w:ascii="Arial"/>
          <w:b/>
        </w:rPr>
      </w:pPr>
    </w:p>
    <w:p>
      <w:pPr>
        <w:pStyle w:val="BodyText"/>
        <w:tabs>
          <w:tab w:pos="939" w:val="left" w:leader="none"/>
        </w:tabs>
        <w:spacing w:line="247" w:lineRule="auto"/>
        <w:ind w:left="940" w:right="301" w:hanging="720"/>
      </w:pPr>
      <w:r>
        <w:rPr>
          <w:rFonts w:ascii="Arial"/>
          <w:b/>
          <w:spacing w:val="-6"/>
        </w:rPr>
        <w:t>E.</w:t>
      </w:r>
      <w:r>
        <w:rPr>
          <w:rFonts w:ascii="Arial"/>
          <w:b/>
        </w:rPr>
        <w:tab/>
      </w:r>
      <w:r>
        <w:rPr/>
        <w:t>List other student welfare services which you feel should be provided for but are not provided.</w:t>
      </w:r>
    </w:p>
    <w:p>
      <w:pPr>
        <w:pStyle w:val="BodyText"/>
        <w:spacing w:before="230"/>
      </w:pPr>
    </w:p>
    <w:p>
      <w:pPr>
        <w:pStyle w:val="BodyText"/>
        <w:tabs>
          <w:tab w:pos="939" w:val="left" w:leader="none"/>
          <w:tab w:pos="9545" w:val="left" w:leader="none"/>
        </w:tabs>
        <w:ind w:left="220"/>
      </w:pPr>
      <w:r>
        <w:rPr>
          <w:spacing w:val="-5"/>
        </w:rPr>
        <w:t>1.</w:t>
      </w:r>
      <w:r>
        <w:rPr/>
        <w:tab/>
      </w:r>
      <w:r>
        <w:rPr>
          <w:u w:val="single"/>
        </w:rPr>
        <w:tab/>
      </w:r>
    </w:p>
    <w:p>
      <w:pPr>
        <w:pStyle w:val="BodyText"/>
        <w:tabs>
          <w:tab w:pos="939" w:val="left" w:leader="none"/>
          <w:tab w:pos="9544" w:val="left" w:leader="none"/>
        </w:tabs>
        <w:spacing w:before="137"/>
        <w:ind w:left="220"/>
      </w:pPr>
      <w:r>
        <w:rPr>
          <w:spacing w:val="-5"/>
        </w:rPr>
        <w:t>2.</w:t>
      </w:r>
      <w:r>
        <w:rPr/>
        <w:tab/>
      </w:r>
      <w:r>
        <w:rPr>
          <w:u w:val="single"/>
        </w:rPr>
        <w:tab/>
      </w:r>
    </w:p>
    <w:p>
      <w:pPr>
        <w:pStyle w:val="BodyText"/>
        <w:tabs>
          <w:tab w:pos="939" w:val="left" w:leader="none"/>
          <w:tab w:pos="9545" w:val="left" w:leader="none"/>
        </w:tabs>
        <w:spacing w:before="137"/>
        <w:ind w:left="220"/>
      </w:pPr>
      <w:r>
        <w:rPr>
          <w:spacing w:val="-5"/>
        </w:rPr>
        <w:t>3.</w:t>
      </w:r>
      <w:r>
        <w:rPr/>
        <w:tab/>
      </w:r>
      <w:r>
        <w:rPr>
          <w:u w:val="single"/>
        </w:rPr>
        <w:tab/>
      </w:r>
    </w:p>
    <w:p>
      <w:pPr>
        <w:pStyle w:val="BodyText"/>
        <w:tabs>
          <w:tab w:pos="939" w:val="left" w:leader="none"/>
          <w:tab w:pos="9545" w:val="left" w:leader="none"/>
        </w:tabs>
        <w:spacing w:before="142"/>
        <w:ind w:left="220"/>
      </w:pPr>
      <w:r>
        <w:rPr>
          <w:spacing w:val="-5"/>
        </w:rPr>
        <w:t>4.</w:t>
      </w:r>
      <w:r>
        <w:rPr/>
        <w:tab/>
      </w:r>
      <w:r>
        <w:rPr>
          <w:u w:val="single"/>
        </w:rPr>
        <w:tab/>
      </w:r>
    </w:p>
    <w:p>
      <w:pPr>
        <w:pStyle w:val="BodyText"/>
        <w:tabs>
          <w:tab w:pos="939" w:val="left" w:leader="none"/>
          <w:tab w:pos="9545" w:val="left" w:leader="none"/>
        </w:tabs>
        <w:spacing w:before="137"/>
        <w:ind w:left="220"/>
      </w:pPr>
      <w:r>
        <w:rPr>
          <w:spacing w:val="-5"/>
        </w:rPr>
        <w:t>5.</w:t>
      </w:r>
      <w:r>
        <w:rPr/>
        <w:tab/>
      </w:r>
      <w:r>
        <w:rPr>
          <w:u w:val="single"/>
        </w:rPr>
        <w:tab/>
      </w:r>
    </w:p>
    <w:p>
      <w:pPr>
        <w:pStyle w:val="Heading4"/>
        <w:spacing w:before="252"/>
        <w:ind w:left="390" w:right="473"/>
        <w:jc w:val="center"/>
      </w:pPr>
      <w:r>
        <w:rPr/>
        <w:t>Part</w:t>
      </w:r>
      <w:r>
        <w:rPr>
          <w:spacing w:val="-6"/>
        </w:rPr>
        <w:t> </w:t>
      </w:r>
      <w:r>
        <w:rPr>
          <w:spacing w:val="-5"/>
        </w:rPr>
        <w:t>III</w:t>
      </w:r>
    </w:p>
    <w:p>
      <w:pPr>
        <w:pStyle w:val="BodyText"/>
        <w:spacing w:line="242" w:lineRule="auto" w:before="122"/>
        <w:ind w:left="220" w:right="297"/>
        <w:jc w:val="both"/>
      </w:pPr>
      <w:r>
        <w:rPr>
          <w:rFonts w:ascii="Arial" w:hAnsi="Arial"/>
          <w:b/>
        </w:rPr>
        <w:t>Instruction:</w:t>
      </w:r>
      <w:r>
        <w:rPr>
          <w:rFonts w:ascii="Arial" w:hAnsi="Arial"/>
          <w:b/>
          <w:spacing w:val="40"/>
        </w:rPr>
        <w:t> </w:t>
      </w:r>
      <w:r>
        <w:rPr/>
        <w:t>Please</w:t>
      </w:r>
      <w:r>
        <w:rPr>
          <w:spacing w:val="-5"/>
        </w:rPr>
        <w:t> </w:t>
      </w:r>
      <w:r>
        <w:rPr/>
        <w:t>indicate</w:t>
      </w:r>
      <w:r>
        <w:rPr>
          <w:spacing w:val="-1"/>
        </w:rPr>
        <w:t> </w:t>
      </w:r>
      <w:r>
        <w:rPr/>
        <w:t>your agreement with</w:t>
      </w:r>
      <w:r>
        <w:rPr>
          <w:spacing w:val="-1"/>
        </w:rPr>
        <w:t> </w:t>
      </w:r>
      <w:r>
        <w:rPr/>
        <w:t>each</w:t>
      </w:r>
      <w:r>
        <w:rPr>
          <w:spacing w:val="-1"/>
        </w:rPr>
        <w:t> </w:t>
      </w:r>
      <w:r>
        <w:rPr/>
        <w:t>statement</w:t>
      </w:r>
      <w:r>
        <w:rPr>
          <w:spacing w:val="-2"/>
        </w:rPr>
        <w:t> </w:t>
      </w:r>
      <w:r>
        <w:rPr/>
        <w:t>of</w:t>
      </w:r>
      <w:r>
        <w:rPr>
          <w:spacing w:val="-2"/>
        </w:rPr>
        <w:t> </w:t>
      </w:r>
      <w:r>
        <w:rPr/>
        <w:t>the</w:t>
      </w:r>
      <w:r>
        <w:rPr>
          <w:spacing w:val="-1"/>
        </w:rPr>
        <w:t> </w:t>
      </w:r>
      <w:r>
        <w:rPr/>
        <w:t>five</w:t>
      </w:r>
      <w:r>
        <w:rPr>
          <w:spacing w:val="-1"/>
        </w:rPr>
        <w:t> </w:t>
      </w:r>
      <w:r>
        <w:rPr/>
        <w:t>point</w:t>
      </w:r>
      <w:r>
        <w:rPr>
          <w:spacing w:val="-2"/>
        </w:rPr>
        <w:t> </w:t>
      </w:r>
      <w:r>
        <w:rPr/>
        <w:t>scale by ticking (√ ) in the appropriate column opposite each statement. The abbreviations used in the columns are explained as follows:-</w:t>
      </w:r>
    </w:p>
    <w:p>
      <w:pPr>
        <w:pStyle w:val="BodyText"/>
        <w:tabs>
          <w:tab w:pos="1659" w:val="left" w:leader="none"/>
        </w:tabs>
        <w:spacing w:before="109"/>
        <w:ind w:left="940"/>
      </w:pPr>
      <w:r>
        <w:rPr>
          <w:rFonts w:ascii="Arial"/>
          <w:b/>
          <w:spacing w:val="-5"/>
        </w:rPr>
        <w:t>SA</w:t>
      </w:r>
      <w:r>
        <w:rPr>
          <w:rFonts w:ascii="Arial"/>
          <w:b/>
        </w:rPr>
        <w:tab/>
      </w:r>
      <w:r>
        <w:rPr/>
        <w:t>means</w:t>
      </w:r>
      <w:r>
        <w:rPr>
          <w:spacing w:val="-10"/>
        </w:rPr>
        <w:t> </w:t>
      </w:r>
      <w:r>
        <w:rPr/>
        <w:t>Strongly</w:t>
      </w:r>
      <w:r>
        <w:rPr>
          <w:spacing w:val="-7"/>
        </w:rPr>
        <w:t> </w:t>
      </w:r>
      <w:r>
        <w:rPr>
          <w:spacing w:val="-4"/>
        </w:rPr>
        <w:t>Agree</w:t>
      </w:r>
    </w:p>
    <w:p>
      <w:pPr>
        <w:pStyle w:val="BodyText"/>
        <w:tabs>
          <w:tab w:pos="1659" w:val="left" w:leader="none"/>
        </w:tabs>
        <w:spacing w:before="123"/>
        <w:ind w:left="940"/>
      </w:pPr>
      <w:r>
        <w:rPr>
          <w:rFonts w:ascii="Arial"/>
          <w:b/>
          <w:spacing w:val="-10"/>
        </w:rPr>
        <w:t>A</w:t>
      </w:r>
      <w:r>
        <w:rPr>
          <w:rFonts w:ascii="Arial"/>
          <w:b/>
        </w:rPr>
        <w:tab/>
      </w:r>
      <w:r>
        <w:rPr/>
        <w:t>means</w:t>
      </w:r>
      <w:r>
        <w:rPr>
          <w:spacing w:val="-13"/>
        </w:rPr>
        <w:t> </w:t>
      </w:r>
      <w:r>
        <w:rPr>
          <w:spacing w:val="-4"/>
        </w:rPr>
        <w:t>Agree</w:t>
      </w:r>
    </w:p>
    <w:p>
      <w:pPr>
        <w:pStyle w:val="BodyText"/>
        <w:tabs>
          <w:tab w:pos="1659" w:val="left" w:leader="none"/>
        </w:tabs>
        <w:spacing w:before="117"/>
        <w:ind w:left="940"/>
      </w:pPr>
      <w:r>
        <w:rPr>
          <w:rFonts w:ascii="Arial"/>
          <w:b/>
          <w:spacing w:val="-10"/>
        </w:rPr>
        <w:t>U</w:t>
      </w:r>
      <w:r>
        <w:rPr>
          <w:rFonts w:ascii="Arial"/>
          <w:b/>
        </w:rPr>
        <w:tab/>
      </w:r>
      <w:r>
        <w:rPr/>
        <w:t>means</w:t>
      </w:r>
      <w:r>
        <w:rPr>
          <w:spacing w:val="-13"/>
        </w:rPr>
        <w:t> </w:t>
      </w:r>
      <w:r>
        <w:rPr>
          <w:spacing w:val="-2"/>
        </w:rPr>
        <w:t>Undecided</w:t>
      </w:r>
    </w:p>
    <w:p>
      <w:pPr>
        <w:pStyle w:val="BodyText"/>
        <w:tabs>
          <w:tab w:pos="1659" w:val="left" w:leader="none"/>
        </w:tabs>
        <w:spacing w:before="123"/>
        <w:ind w:left="940"/>
      </w:pPr>
      <w:r>
        <w:rPr>
          <w:rFonts w:ascii="Arial"/>
          <w:b/>
          <w:spacing w:val="-10"/>
        </w:rPr>
        <w:t>D</w:t>
      </w:r>
      <w:r>
        <w:rPr>
          <w:rFonts w:ascii="Arial"/>
          <w:b/>
        </w:rPr>
        <w:tab/>
      </w:r>
      <w:r>
        <w:rPr/>
        <w:t>means</w:t>
      </w:r>
      <w:r>
        <w:rPr>
          <w:spacing w:val="-13"/>
        </w:rPr>
        <w:t> </w:t>
      </w:r>
      <w:r>
        <w:rPr>
          <w:spacing w:val="-2"/>
        </w:rPr>
        <w:t>Disagree</w:t>
      </w:r>
    </w:p>
    <w:p>
      <w:pPr>
        <w:pStyle w:val="BodyText"/>
        <w:tabs>
          <w:tab w:pos="1659" w:val="left" w:leader="none"/>
        </w:tabs>
        <w:spacing w:before="117"/>
        <w:ind w:left="940"/>
      </w:pPr>
      <w:r>
        <w:rPr>
          <w:rFonts w:ascii="Arial"/>
          <w:b/>
          <w:spacing w:val="-5"/>
        </w:rPr>
        <w:t>SD</w:t>
      </w:r>
      <w:r>
        <w:rPr>
          <w:rFonts w:ascii="Arial"/>
          <w:b/>
        </w:rPr>
        <w:tab/>
      </w:r>
      <w:r>
        <w:rPr/>
        <w:t>means</w:t>
      </w:r>
      <w:r>
        <w:rPr>
          <w:spacing w:val="-10"/>
        </w:rPr>
        <w:t> </w:t>
      </w:r>
      <w:r>
        <w:rPr/>
        <w:t>Strongly</w:t>
      </w:r>
      <w:r>
        <w:rPr>
          <w:spacing w:val="-7"/>
        </w:rPr>
        <w:t> </w:t>
      </w:r>
      <w:r>
        <w:rPr>
          <w:spacing w:val="-2"/>
        </w:rPr>
        <w:t>Disagree</w:t>
      </w:r>
    </w:p>
    <w:p>
      <w:pPr>
        <w:spacing w:after="0"/>
        <w:sectPr>
          <w:headerReference w:type="default" r:id="rId612"/>
          <w:footerReference w:type="default" r:id="rId613"/>
          <w:pgSz w:w="12240" w:h="15840"/>
          <w:pgMar w:header="722" w:footer="623" w:top="980" w:bottom="820" w:left="1220" w:right="1140"/>
        </w:sectPr>
      </w:pPr>
    </w:p>
    <w:p>
      <w:pPr>
        <w:pStyle w:val="BodyText"/>
      </w:pPr>
    </w:p>
    <w:p>
      <w:pPr>
        <w:pStyle w:val="BodyText"/>
      </w:pPr>
    </w:p>
    <w:p>
      <w:pPr>
        <w:pStyle w:val="BodyText"/>
        <w:spacing w:before="8"/>
      </w:pPr>
    </w:p>
    <w:p>
      <w:pPr>
        <w:tabs>
          <w:tab w:pos="1659" w:val="left" w:leader="none"/>
        </w:tabs>
        <w:spacing w:line="242" w:lineRule="auto" w:before="0"/>
        <w:ind w:left="1660" w:right="301" w:hanging="1440"/>
        <w:jc w:val="left"/>
        <w:rPr>
          <w:rFonts w:ascii="Arial"/>
          <w:b/>
          <w:sz w:val="24"/>
        </w:rPr>
      </w:pPr>
      <w:r>
        <w:rPr>
          <w:rFonts w:ascii="Arial"/>
          <w:b/>
          <w:sz w:val="24"/>
        </w:rPr>
        <w:t>Section I:</w:t>
        <w:tab/>
        <w:t>The</w:t>
      </w:r>
      <w:r>
        <w:rPr>
          <w:rFonts w:ascii="Arial"/>
          <w:b/>
          <w:spacing w:val="80"/>
          <w:sz w:val="24"/>
        </w:rPr>
        <w:t> </w:t>
      </w:r>
      <w:r>
        <w:rPr>
          <w:rFonts w:ascii="Arial"/>
          <w:b/>
          <w:sz w:val="24"/>
        </w:rPr>
        <w:t>impact</w:t>
      </w:r>
      <w:r>
        <w:rPr>
          <w:rFonts w:ascii="Arial"/>
          <w:b/>
          <w:spacing w:val="80"/>
          <w:sz w:val="24"/>
        </w:rPr>
        <w:t> </w:t>
      </w:r>
      <w:r>
        <w:rPr>
          <w:rFonts w:ascii="Arial"/>
          <w:b/>
          <w:sz w:val="24"/>
        </w:rPr>
        <w:t>of</w:t>
      </w:r>
      <w:r>
        <w:rPr>
          <w:rFonts w:ascii="Arial"/>
          <w:b/>
          <w:spacing w:val="80"/>
          <w:sz w:val="24"/>
        </w:rPr>
        <w:t> </w:t>
      </w:r>
      <w:r>
        <w:rPr>
          <w:rFonts w:ascii="Arial"/>
          <w:b/>
          <w:sz w:val="24"/>
        </w:rPr>
        <w:t>the</w:t>
      </w:r>
      <w:r>
        <w:rPr>
          <w:rFonts w:ascii="Arial"/>
          <w:b/>
          <w:spacing w:val="80"/>
          <w:sz w:val="24"/>
        </w:rPr>
        <w:t> </w:t>
      </w:r>
      <w:r>
        <w:rPr>
          <w:rFonts w:ascii="Arial"/>
          <w:b/>
          <w:sz w:val="24"/>
        </w:rPr>
        <w:t>provision</w:t>
      </w:r>
      <w:r>
        <w:rPr>
          <w:rFonts w:ascii="Arial"/>
          <w:b/>
          <w:spacing w:val="80"/>
          <w:sz w:val="24"/>
        </w:rPr>
        <w:t> </w:t>
      </w:r>
      <w:r>
        <w:rPr>
          <w:rFonts w:ascii="Arial"/>
          <w:b/>
          <w:sz w:val="24"/>
        </w:rPr>
        <w:t>and</w:t>
      </w:r>
      <w:r>
        <w:rPr>
          <w:rFonts w:ascii="Arial"/>
          <w:b/>
          <w:spacing w:val="80"/>
          <w:sz w:val="24"/>
        </w:rPr>
        <w:t> </w:t>
      </w:r>
      <w:r>
        <w:rPr>
          <w:rFonts w:ascii="Arial"/>
          <w:b/>
          <w:sz w:val="24"/>
        </w:rPr>
        <w:t>management</w:t>
      </w:r>
      <w:r>
        <w:rPr>
          <w:rFonts w:ascii="Arial"/>
          <w:b/>
          <w:spacing w:val="80"/>
          <w:sz w:val="24"/>
        </w:rPr>
        <w:t> </w:t>
      </w:r>
      <w:r>
        <w:rPr>
          <w:rFonts w:ascii="Arial"/>
          <w:b/>
          <w:sz w:val="24"/>
        </w:rPr>
        <w:t>of</w:t>
      </w:r>
      <w:r>
        <w:rPr>
          <w:rFonts w:ascii="Arial"/>
          <w:b/>
          <w:spacing w:val="80"/>
          <w:sz w:val="24"/>
        </w:rPr>
        <w:t> </w:t>
      </w:r>
      <w:r>
        <w:rPr>
          <w:rFonts w:ascii="Arial"/>
          <w:b/>
          <w:sz w:val="24"/>
        </w:rPr>
        <w:t>diverse</w:t>
      </w:r>
      <w:r>
        <w:rPr>
          <w:rFonts w:ascii="Arial"/>
          <w:b/>
          <w:spacing w:val="80"/>
          <w:sz w:val="24"/>
        </w:rPr>
        <w:t> </w:t>
      </w:r>
      <w:r>
        <w:rPr>
          <w:rFonts w:ascii="Arial"/>
          <w:b/>
          <w:sz w:val="24"/>
        </w:rPr>
        <w:t>social services on student welfare</w:t>
      </w:r>
    </w:p>
    <w:p>
      <w:pPr>
        <w:pStyle w:val="BodyText"/>
        <w:spacing w:before="237"/>
        <w:rPr>
          <w:rFonts w:ascii="Arial"/>
          <w:b/>
        </w:rPr>
      </w:pPr>
    </w:p>
    <w:p>
      <w:pPr>
        <w:pStyle w:val="ListParagraph"/>
        <w:numPr>
          <w:ilvl w:val="1"/>
          <w:numId w:val="53"/>
        </w:numPr>
        <w:tabs>
          <w:tab w:pos="891" w:val="left" w:leader="none"/>
        </w:tabs>
        <w:spacing w:line="240" w:lineRule="auto" w:before="0" w:after="0"/>
        <w:ind w:left="891" w:right="0" w:hanging="671"/>
        <w:jc w:val="left"/>
        <w:rPr>
          <w:rFonts w:ascii="Arial"/>
          <w:b/>
          <w:sz w:val="24"/>
        </w:rPr>
      </w:pPr>
      <w:r>
        <w:rPr>
          <w:rFonts w:ascii="Arial"/>
          <w:b/>
          <w:sz w:val="24"/>
        </w:rPr>
        <w:t>Impact</w:t>
      </w:r>
      <w:r>
        <w:rPr>
          <w:rFonts w:ascii="Arial"/>
          <w:b/>
          <w:spacing w:val="-6"/>
          <w:sz w:val="24"/>
        </w:rPr>
        <w:t> </w:t>
      </w:r>
      <w:r>
        <w:rPr>
          <w:rFonts w:ascii="Arial"/>
          <w:b/>
          <w:sz w:val="24"/>
        </w:rPr>
        <w:t>of</w:t>
      </w:r>
      <w:r>
        <w:rPr>
          <w:rFonts w:ascii="Arial"/>
          <w:b/>
          <w:spacing w:val="-6"/>
          <w:sz w:val="24"/>
        </w:rPr>
        <w:t> </w:t>
      </w:r>
      <w:r>
        <w:rPr>
          <w:rFonts w:ascii="Arial"/>
          <w:b/>
          <w:sz w:val="24"/>
        </w:rPr>
        <w:t>feeding</w:t>
      </w:r>
      <w:r>
        <w:rPr>
          <w:rFonts w:ascii="Arial"/>
          <w:b/>
          <w:spacing w:val="-9"/>
          <w:sz w:val="24"/>
        </w:rPr>
        <w:t> </w:t>
      </w:r>
      <w:r>
        <w:rPr>
          <w:rFonts w:ascii="Arial"/>
          <w:b/>
          <w:sz w:val="24"/>
        </w:rPr>
        <w:t>on</w:t>
      </w:r>
      <w:r>
        <w:rPr>
          <w:rFonts w:ascii="Arial"/>
          <w:b/>
          <w:spacing w:val="-9"/>
          <w:sz w:val="24"/>
        </w:rPr>
        <w:t> </w:t>
      </w:r>
      <w:r>
        <w:rPr>
          <w:rFonts w:ascii="Arial"/>
          <w:b/>
          <w:sz w:val="24"/>
        </w:rPr>
        <w:t>students</w:t>
      </w:r>
      <w:r>
        <w:rPr>
          <w:rFonts w:ascii="Arial"/>
          <w:b/>
          <w:spacing w:val="-7"/>
          <w:sz w:val="24"/>
        </w:rPr>
        <w:t> </w:t>
      </w:r>
      <w:r>
        <w:rPr>
          <w:rFonts w:ascii="Arial"/>
          <w:b/>
          <w:spacing w:val="-2"/>
          <w:sz w:val="24"/>
        </w:rPr>
        <w:t>welfare</w:t>
      </w:r>
    </w:p>
    <w:p>
      <w:pPr>
        <w:pStyle w:val="BodyText"/>
        <w:spacing w:after="1"/>
        <w:rPr>
          <w:rFonts w:ascii="Arial"/>
          <w:b/>
          <w:sz w:val="11"/>
        </w:rPr>
      </w:pPr>
    </w:p>
    <w:tbl>
      <w:tblPr>
        <w:tblW w:w="0" w:type="auto"/>
        <w:jc w:val="left"/>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2"/>
        <w:gridCol w:w="5199"/>
        <w:gridCol w:w="903"/>
        <w:gridCol w:w="721"/>
        <w:gridCol w:w="721"/>
        <w:gridCol w:w="721"/>
        <w:gridCol w:w="721"/>
      </w:tblGrid>
      <w:tr>
        <w:trPr>
          <w:trHeight w:val="397" w:hRule="atLeast"/>
        </w:trPr>
        <w:tc>
          <w:tcPr>
            <w:tcW w:w="562" w:type="dxa"/>
            <w:vMerge w:val="restart"/>
          </w:tcPr>
          <w:p>
            <w:pPr>
              <w:pStyle w:val="TableParagraph"/>
              <w:spacing w:before="117"/>
              <w:rPr>
                <w:rFonts w:ascii="Arial"/>
                <w:b/>
                <w:sz w:val="24"/>
              </w:rPr>
            </w:pPr>
          </w:p>
          <w:p>
            <w:pPr>
              <w:pStyle w:val="TableParagraph"/>
              <w:spacing w:before="1"/>
              <w:ind w:left="105"/>
              <w:rPr>
                <w:sz w:val="24"/>
              </w:rPr>
            </w:pPr>
            <w:r>
              <w:rPr>
                <w:spacing w:val="-5"/>
                <w:sz w:val="24"/>
              </w:rPr>
              <w:t>33.</w:t>
            </w:r>
          </w:p>
        </w:tc>
        <w:tc>
          <w:tcPr>
            <w:tcW w:w="5199" w:type="dxa"/>
            <w:vMerge w:val="restart"/>
          </w:tcPr>
          <w:p>
            <w:pPr>
              <w:pStyle w:val="TableParagraph"/>
              <w:spacing w:before="274"/>
              <w:ind w:left="105" w:right="100"/>
              <w:jc w:val="both"/>
              <w:rPr>
                <w:sz w:val="24"/>
              </w:rPr>
            </w:pPr>
            <w:r>
              <w:rPr>
                <w:sz w:val="24"/>
              </w:rPr>
              <w:t>There is a strong belief that the removal of feeding subsidy in the Universities by the Federal Government has consequent negative impact on the students academic</w:t>
            </w:r>
            <w:r>
              <w:rPr>
                <w:spacing w:val="80"/>
                <w:sz w:val="24"/>
              </w:rPr>
              <w:t> </w:t>
            </w:r>
            <w:r>
              <w:rPr>
                <w:spacing w:val="-2"/>
                <w:sz w:val="24"/>
              </w:rPr>
              <w:t>performance.</w:t>
            </w:r>
          </w:p>
        </w:tc>
        <w:tc>
          <w:tcPr>
            <w:tcW w:w="903" w:type="dxa"/>
          </w:tcPr>
          <w:p>
            <w:pPr>
              <w:pStyle w:val="TableParagraph"/>
              <w:spacing w:line="271" w:lineRule="exact"/>
              <w:ind w:left="104"/>
              <w:rPr>
                <w:rFonts w:ascii="Arial"/>
                <w:b/>
                <w:sz w:val="24"/>
              </w:rPr>
            </w:pPr>
            <w:r>
              <w:rPr>
                <w:rFonts w:ascii="Arial"/>
                <w:b/>
                <w:spacing w:val="-5"/>
                <w:sz w:val="24"/>
              </w:rPr>
              <w:t>SA</w:t>
            </w:r>
          </w:p>
        </w:tc>
        <w:tc>
          <w:tcPr>
            <w:tcW w:w="721" w:type="dxa"/>
          </w:tcPr>
          <w:p>
            <w:pPr>
              <w:pStyle w:val="TableParagraph"/>
              <w:spacing w:line="271" w:lineRule="exact"/>
              <w:ind w:left="103"/>
              <w:rPr>
                <w:rFonts w:ascii="Arial"/>
                <w:b/>
                <w:sz w:val="24"/>
              </w:rPr>
            </w:pPr>
            <w:r>
              <w:rPr>
                <w:rFonts w:ascii="Arial"/>
                <w:b/>
                <w:spacing w:val="-10"/>
                <w:sz w:val="24"/>
              </w:rPr>
              <w:t>A</w:t>
            </w:r>
          </w:p>
        </w:tc>
        <w:tc>
          <w:tcPr>
            <w:tcW w:w="721" w:type="dxa"/>
          </w:tcPr>
          <w:p>
            <w:pPr>
              <w:pStyle w:val="TableParagraph"/>
              <w:spacing w:line="271" w:lineRule="exact"/>
              <w:ind w:left="102"/>
              <w:rPr>
                <w:rFonts w:ascii="Arial"/>
                <w:b/>
                <w:sz w:val="24"/>
              </w:rPr>
            </w:pPr>
            <w:r>
              <w:rPr>
                <w:rFonts w:ascii="Arial"/>
                <w:b/>
                <w:spacing w:val="-10"/>
                <w:sz w:val="24"/>
              </w:rPr>
              <w:t>U</w:t>
            </w:r>
          </w:p>
        </w:tc>
        <w:tc>
          <w:tcPr>
            <w:tcW w:w="721" w:type="dxa"/>
          </w:tcPr>
          <w:p>
            <w:pPr>
              <w:pStyle w:val="TableParagraph"/>
              <w:spacing w:line="271" w:lineRule="exact"/>
              <w:ind w:left="101"/>
              <w:rPr>
                <w:rFonts w:ascii="Arial"/>
                <w:b/>
                <w:sz w:val="24"/>
              </w:rPr>
            </w:pPr>
            <w:r>
              <w:rPr>
                <w:rFonts w:ascii="Arial"/>
                <w:b/>
                <w:spacing w:val="-10"/>
                <w:sz w:val="24"/>
              </w:rPr>
              <w:t>D</w:t>
            </w:r>
          </w:p>
        </w:tc>
        <w:tc>
          <w:tcPr>
            <w:tcW w:w="721" w:type="dxa"/>
          </w:tcPr>
          <w:p>
            <w:pPr>
              <w:pStyle w:val="TableParagraph"/>
              <w:spacing w:line="271" w:lineRule="exact"/>
              <w:ind w:left="100"/>
              <w:rPr>
                <w:rFonts w:ascii="Arial"/>
                <w:b/>
                <w:sz w:val="24"/>
              </w:rPr>
            </w:pPr>
            <w:r>
              <w:rPr>
                <w:rFonts w:ascii="Arial"/>
                <w:b/>
                <w:spacing w:val="-5"/>
                <w:sz w:val="24"/>
              </w:rPr>
              <w:t>SD</w:t>
            </w:r>
          </w:p>
        </w:tc>
      </w:tr>
      <w:tr>
        <w:trPr>
          <w:trHeight w:val="1372" w:hRule="atLeast"/>
        </w:trPr>
        <w:tc>
          <w:tcPr>
            <w:tcW w:w="562" w:type="dxa"/>
            <w:vMerge/>
            <w:tcBorders>
              <w:top w:val="nil"/>
            </w:tcBorders>
          </w:tcPr>
          <w:p>
            <w:pPr>
              <w:rPr>
                <w:sz w:val="2"/>
                <w:szCs w:val="2"/>
              </w:rPr>
            </w:pPr>
          </w:p>
        </w:tc>
        <w:tc>
          <w:tcPr>
            <w:tcW w:w="5199" w:type="dxa"/>
            <w:vMerge/>
            <w:tcBorders>
              <w:top w:val="nil"/>
            </w:tcBorders>
          </w:tcPr>
          <w:p>
            <w:pPr>
              <w:rPr>
                <w:sz w:val="2"/>
                <w:szCs w:val="2"/>
              </w:rPr>
            </w:pP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617" w:hRule="atLeast"/>
        </w:trPr>
        <w:tc>
          <w:tcPr>
            <w:tcW w:w="562" w:type="dxa"/>
          </w:tcPr>
          <w:p>
            <w:pPr>
              <w:pStyle w:val="TableParagraph"/>
              <w:spacing w:before="113"/>
              <w:rPr>
                <w:rFonts w:ascii="Arial"/>
                <w:b/>
                <w:sz w:val="24"/>
              </w:rPr>
            </w:pPr>
          </w:p>
          <w:p>
            <w:pPr>
              <w:pStyle w:val="TableParagraph"/>
              <w:ind w:left="3" w:right="6"/>
              <w:jc w:val="center"/>
              <w:rPr>
                <w:sz w:val="24"/>
              </w:rPr>
            </w:pPr>
            <w:r>
              <w:rPr>
                <w:spacing w:val="-5"/>
                <w:sz w:val="24"/>
              </w:rPr>
              <w:t>34.</w:t>
            </w:r>
          </w:p>
        </w:tc>
        <w:tc>
          <w:tcPr>
            <w:tcW w:w="5199" w:type="dxa"/>
          </w:tcPr>
          <w:p>
            <w:pPr>
              <w:pStyle w:val="TableParagraph"/>
              <w:spacing w:before="113"/>
              <w:rPr>
                <w:rFonts w:ascii="Arial"/>
                <w:b/>
                <w:sz w:val="24"/>
              </w:rPr>
            </w:pPr>
          </w:p>
          <w:p>
            <w:pPr>
              <w:pStyle w:val="TableParagraph"/>
              <w:ind w:left="105" w:right="101"/>
              <w:jc w:val="both"/>
              <w:rPr>
                <w:sz w:val="24"/>
              </w:rPr>
            </w:pPr>
            <w:r>
              <w:rPr>
                <w:sz w:val="24"/>
              </w:rPr>
              <w:t>The introduction of Private Catering system in the Universities is expensive for students and the quality and quantity of food served are </w:t>
            </w:r>
            <w:r>
              <w:rPr>
                <w:spacing w:val="-2"/>
                <w:sz w:val="24"/>
              </w:rPr>
              <w:t>deficient.</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343"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35.</w:t>
            </w:r>
          </w:p>
        </w:tc>
        <w:tc>
          <w:tcPr>
            <w:tcW w:w="5199" w:type="dxa"/>
          </w:tcPr>
          <w:p>
            <w:pPr>
              <w:pStyle w:val="TableParagraph"/>
              <w:spacing w:before="117"/>
              <w:rPr>
                <w:rFonts w:ascii="Arial"/>
                <w:b/>
                <w:sz w:val="24"/>
              </w:rPr>
            </w:pPr>
          </w:p>
          <w:p>
            <w:pPr>
              <w:pStyle w:val="TableParagraph"/>
              <w:spacing w:before="1"/>
              <w:ind w:left="105" w:right="101"/>
              <w:jc w:val="both"/>
              <w:rPr>
                <w:sz w:val="24"/>
              </w:rPr>
            </w:pPr>
            <w:r>
              <w:rPr>
                <w:sz w:val="24"/>
              </w:rPr>
              <w:t>Student feeding subsidy was removed because it was one of the main sources of students’ unrest in the Universities.</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895"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36.</w:t>
            </w:r>
          </w:p>
        </w:tc>
        <w:tc>
          <w:tcPr>
            <w:tcW w:w="5199" w:type="dxa"/>
          </w:tcPr>
          <w:p>
            <w:pPr>
              <w:pStyle w:val="TableParagraph"/>
              <w:spacing w:before="117"/>
              <w:rPr>
                <w:rFonts w:ascii="Arial"/>
                <w:b/>
                <w:sz w:val="24"/>
              </w:rPr>
            </w:pPr>
          </w:p>
          <w:p>
            <w:pPr>
              <w:pStyle w:val="TableParagraph"/>
              <w:spacing w:before="1"/>
              <w:ind w:left="105" w:right="97"/>
              <w:jc w:val="both"/>
              <w:rPr>
                <w:sz w:val="24"/>
              </w:rPr>
            </w:pPr>
            <w:r>
              <w:rPr>
                <w:sz w:val="24"/>
              </w:rPr>
              <w:t>Lack of efficient management and supervision of students feeding, catering services by the Universities has chain reaction and adverse effect on the welfare of students and their academic performance.</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343"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37.</w:t>
            </w:r>
          </w:p>
        </w:tc>
        <w:tc>
          <w:tcPr>
            <w:tcW w:w="5199" w:type="dxa"/>
          </w:tcPr>
          <w:p>
            <w:pPr>
              <w:pStyle w:val="TableParagraph"/>
              <w:spacing w:before="117"/>
              <w:rPr>
                <w:rFonts w:ascii="Arial"/>
                <w:b/>
                <w:sz w:val="24"/>
              </w:rPr>
            </w:pPr>
          </w:p>
          <w:p>
            <w:pPr>
              <w:pStyle w:val="TableParagraph"/>
              <w:spacing w:before="1"/>
              <w:ind w:left="105" w:right="98"/>
              <w:jc w:val="both"/>
              <w:rPr>
                <w:sz w:val="24"/>
              </w:rPr>
            </w:pPr>
            <w:r>
              <w:rPr>
                <w:sz w:val="24"/>
              </w:rPr>
              <w:t>The</w:t>
            </w:r>
            <w:r>
              <w:rPr>
                <w:spacing w:val="-4"/>
                <w:sz w:val="24"/>
              </w:rPr>
              <w:t> </w:t>
            </w:r>
            <w:r>
              <w:rPr>
                <w:sz w:val="24"/>
              </w:rPr>
              <w:t>Private</w:t>
            </w:r>
            <w:r>
              <w:rPr>
                <w:spacing w:val="-4"/>
                <w:sz w:val="24"/>
              </w:rPr>
              <w:t> </w:t>
            </w:r>
            <w:r>
              <w:rPr>
                <w:sz w:val="24"/>
              </w:rPr>
              <w:t>Catering</w:t>
            </w:r>
            <w:r>
              <w:rPr>
                <w:spacing w:val="-4"/>
                <w:sz w:val="24"/>
              </w:rPr>
              <w:t> </w:t>
            </w:r>
            <w:r>
              <w:rPr>
                <w:sz w:val="24"/>
              </w:rPr>
              <w:t>system</w:t>
            </w:r>
            <w:r>
              <w:rPr>
                <w:spacing w:val="-12"/>
                <w:sz w:val="24"/>
              </w:rPr>
              <w:t> </w:t>
            </w:r>
            <w:r>
              <w:rPr>
                <w:sz w:val="24"/>
              </w:rPr>
              <w:t>on</w:t>
            </w:r>
            <w:r>
              <w:rPr>
                <w:spacing w:val="-4"/>
                <w:sz w:val="24"/>
              </w:rPr>
              <w:t> </w:t>
            </w:r>
            <w:r>
              <w:rPr>
                <w:sz w:val="24"/>
              </w:rPr>
              <w:t>the</w:t>
            </w:r>
            <w:r>
              <w:rPr>
                <w:spacing w:val="-4"/>
                <w:sz w:val="24"/>
              </w:rPr>
              <w:t> </w:t>
            </w:r>
            <w:r>
              <w:rPr>
                <w:sz w:val="24"/>
              </w:rPr>
              <w:t>Campuses is a time saving device for students and it allows students to feed on regular basis.</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bl>
    <w:p>
      <w:pPr>
        <w:pStyle w:val="ListParagraph"/>
        <w:numPr>
          <w:ilvl w:val="1"/>
          <w:numId w:val="53"/>
        </w:numPr>
        <w:tabs>
          <w:tab w:pos="891" w:val="left" w:leader="none"/>
        </w:tabs>
        <w:spacing w:line="240" w:lineRule="auto" w:before="0" w:after="0"/>
        <w:ind w:left="891" w:right="0" w:hanging="671"/>
        <w:jc w:val="left"/>
        <w:rPr>
          <w:rFonts w:ascii="Arial"/>
          <w:b/>
          <w:sz w:val="24"/>
        </w:rPr>
      </w:pPr>
      <w:r>
        <w:rPr>
          <w:rFonts w:ascii="Arial"/>
          <w:b/>
          <w:sz w:val="24"/>
        </w:rPr>
        <w:t>Impact</w:t>
      </w:r>
      <w:r>
        <w:rPr>
          <w:rFonts w:ascii="Arial"/>
          <w:b/>
          <w:spacing w:val="-6"/>
          <w:sz w:val="24"/>
        </w:rPr>
        <w:t> </w:t>
      </w:r>
      <w:r>
        <w:rPr>
          <w:rFonts w:ascii="Arial"/>
          <w:b/>
          <w:sz w:val="24"/>
        </w:rPr>
        <w:t>of</w:t>
      </w:r>
      <w:r>
        <w:rPr>
          <w:rFonts w:ascii="Arial"/>
          <w:b/>
          <w:spacing w:val="-6"/>
          <w:sz w:val="24"/>
        </w:rPr>
        <w:t> </w:t>
      </w:r>
      <w:r>
        <w:rPr>
          <w:rFonts w:ascii="Arial"/>
          <w:b/>
          <w:sz w:val="24"/>
        </w:rPr>
        <w:t>Hostel</w:t>
      </w:r>
      <w:r>
        <w:rPr>
          <w:rFonts w:ascii="Arial"/>
          <w:b/>
          <w:spacing w:val="-8"/>
          <w:sz w:val="24"/>
        </w:rPr>
        <w:t> </w:t>
      </w:r>
      <w:r>
        <w:rPr>
          <w:rFonts w:ascii="Arial"/>
          <w:b/>
          <w:spacing w:val="-2"/>
          <w:sz w:val="24"/>
        </w:rPr>
        <w:t>Accommodation</w:t>
      </w:r>
    </w:p>
    <w:p>
      <w:pPr>
        <w:pStyle w:val="BodyText"/>
        <w:spacing w:before="10"/>
        <w:rPr>
          <w:rFonts w:ascii="Arial"/>
          <w:b/>
          <w:sz w:val="10"/>
        </w:rPr>
      </w:pPr>
    </w:p>
    <w:tbl>
      <w:tblPr>
        <w:tblW w:w="0" w:type="auto"/>
        <w:jc w:val="left"/>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2"/>
        <w:gridCol w:w="5199"/>
        <w:gridCol w:w="903"/>
        <w:gridCol w:w="721"/>
        <w:gridCol w:w="721"/>
        <w:gridCol w:w="721"/>
        <w:gridCol w:w="721"/>
      </w:tblGrid>
      <w:tr>
        <w:trPr>
          <w:trHeight w:val="403" w:hRule="exact"/>
        </w:trPr>
        <w:tc>
          <w:tcPr>
            <w:tcW w:w="562" w:type="dxa"/>
            <w:vMerge w:val="restart"/>
            <w:tcBorders>
              <w:bottom w:val="nil"/>
            </w:tcBorders>
          </w:tcPr>
          <w:p>
            <w:pPr>
              <w:pStyle w:val="TableParagraph"/>
              <w:spacing w:before="113"/>
              <w:rPr>
                <w:rFonts w:ascii="Arial"/>
                <w:b/>
                <w:sz w:val="24"/>
              </w:rPr>
            </w:pPr>
          </w:p>
          <w:p>
            <w:pPr>
              <w:pStyle w:val="TableParagraph"/>
              <w:ind w:left="100"/>
              <w:rPr>
                <w:sz w:val="24"/>
              </w:rPr>
            </w:pPr>
            <w:r>
              <w:rPr>
                <w:spacing w:val="-5"/>
                <w:sz w:val="24"/>
              </w:rPr>
              <w:t>38.</w:t>
            </w:r>
          </w:p>
        </w:tc>
        <w:tc>
          <w:tcPr>
            <w:tcW w:w="5199" w:type="dxa"/>
            <w:vMerge w:val="restart"/>
            <w:tcBorders>
              <w:bottom w:val="nil"/>
            </w:tcBorders>
          </w:tcPr>
          <w:p>
            <w:pPr>
              <w:pStyle w:val="TableParagraph"/>
              <w:tabs>
                <w:tab w:pos="796" w:val="left" w:leader="none"/>
                <w:tab w:pos="1270" w:val="left" w:leader="none"/>
                <w:tab w:pos="1712" w:val="left" w:leader="none"/>
                <w:tab w:pos="2327" w:val="left" w:leader="none"/>
                <w:tab w:pos="3685" w:val="left" w:leader="none"/>
                <w:tab w:pos="3834" w:val="left" w:leader="none"/>
                <w:tab w:pos="4818" w:val="left" w:leader="none"/>
                <w:tab w:pos="4885" w:val="left" w:leader="none"/>
              </w:tabs>
              <w:spacing w:line="280" w:lineRule="atLeast" w:before="246"/>
              <w:ind w:left="100" w:right="105"/>
              <w:rPr>
                <w:sz w:val="24"/>
              </w:rPr>
            </w:pPr>
            <w:r>
              <w:rPr>
                <w:spacing w:val="-4"/>
                <w:sz w:val="24"/>
              </w:rPr>
              <w:t>The</w:t>
            </w:r>
            <w:r>
              <w:rPr>
                <w:sz w:val="24"/>
              </w:rPr>
              <w:tab/>
            </w:r>
            <w:r>
              <w:rPr>
                <w:spacing w:val="-2"/>
                <w:sz w:val="24"/>
              </w:rPr>
              <w:t>hostel</w:t>
            </w:r>
            <w:r>
              <w:rPr>
                <w:sz w:val="24"/>
              </w:rPr>
              <w:tab/>
            </w:r>
            <w:r>
              <w:rPr>
                <w:spacing w:val="-2"/>
                <w:sz w:val="24"/>
              </w:rPr>
              <w:t>accommodation</w:t>
            </w:r>
            <w:r>
              <w:rPr>
                <w:sz w:val="24"/>
              </w:rPr>
              <w:tab/>
            </w:r>
            <w:r>
              <w:rPr>
                <w:spacing w:val="-2"/>
                <w:sz w:val="24"/>
              </w:rPr>
              <w:t>provided</w:t>
            </w:r>
            <w:r>
              <w:rPr>
                <w:sz w:val="24"/>
              </w:rPr>
              <w:tab/>
              <w:tab/>
            </w:r>
            <w:r>
              <w:rPr>
                <w:spacing w:val="-6"/>
                <w:sz w:val="24"/>
              </w:rPr>
              <w:t>to </w:t>
            </w:r>
            <w:r>
              <w:rPr>
                <w:spacing w:val="-2"/>
                <w:sz w:val="24"/>
              </w:rPr>
              <w:t>students</w:t>
            </w:r>
            <w:r>
              <w:rPr>
                <w:sz w:val="24"/>
              </w:rPr>
              <w:tab/>
            </w:r>
            <w:r>
              <w:rPr>
                <w:spacing w:val="-5"/>
                <w:sz w:val="24"/>
              </w:rPr>
              <w:t>in</w:t>
            </w:r>
            <w:r>
              <w:rPr>
                <w:sz w:val="24"/>
              </w:rPr>
              <w:tab/>
            </w:r>
            <w:r>
              <w:rPr>
                <w:spacing w:val="-53"/>
                <w:sz w:val="24"/>
              </w:rPr>
              <w:t> </w:t>
            </w:r>
            <w:r>
              <w:rPr>
                <w:sz w:val="24"/>
              </w:rPr>
              <w:t>the</w:t>
              <w:tab/>
            </w:r>
            <w:r>
              <w:rPr>
                <w:spacing w:val="-2"/>
                <w:sz w:val="24"/>
              </w:rPr>
              <w:t>Universities</w:t>
            </w:r>
            <w:r>
              <w:rPr>
                <w:sz w:val="24"/>
              </w:rPr>
              <w:tab/>
              <w:tab/>
            </w:r>
            <w:r>
              <w:rPr>
                <w:spacing w:val="-2"/>
                <w:sz w:val="24"/>
              </w:rPr>
              <w:t>cannot</w:t>
            </w:r>
            <w:r>
              <w:rPr>
                <w:sz w:val="24"/>
              </w:rPr>
              <w:tab/>
            </w:r>
            <w:r>
              <w:rPr>
                <w:spacing w:val="-7"/>
                <w:sz w:val="24"/>
              </w:rPr>
              <w:t>be</w:t>
            </w:r>
          </w:p>
        </w:tc>
        <w:tc>
          <w:tcPr>
            <w:tcW w:w="903" w:type="dxa"/>
          </w:tcPr>
          <w:p>
            <w:pPr>
              <w:pStyle w:val="TableParagraph"/>
              <w:spacing w:line="267" w:lineRule="exact"/>
              <w:ind w:left="100"/>
              <w:rPr>
                <w:rFonts w:ascii="Arial"/>
                <w:b/>
                <w:sz w:val="24"/>
              </w:rPr>
            </w:pPr>
            <w:r>
              <w:rPr>
                <w:rFonts w:ascii="Arial"/>
                <w:b/>
                <w:spacing w:val="-5"/>
                <w:sz w:val="24"/>
              </w:rPr>
              <w:t>SA</w:t>
            </w:r>
          </w:p>
        </w:tc>
        <w:tc>
          <w:tcPr>
            <w:tcW w:w="721" w:type="dxa"/>
          </w:tcPr>
          <w:p>
            <w:pPr>
              <w:pStyle w:val="TableParagraph"/>
              <w:spacing w:line="267" w:lineRule="exact"/>
              <w:ind w:left="100"/>
              <w:rPr>
                <w:rFonts w:ascii="Arial"/>
                <w:b/>
                <w:sz w:val="24"/>
              </w:rPr>
            </w:pPr>
            <w:r>
              <w:rPr>
                <w:rFonts w:ascii="Arial"/>
                <w:b/>
                <w:spacing w:val="-10"/>
                <w:sz w:val="24"/>
              </w:rPr>
              <w:t>A</w:t>
            </w:r>
          </w:p>
        </w:tc>
        <w:tc>
          <w:tcPr>
            <w:tcW w:w="721" w:type="dxa"/>
          </w:tcPr>
          <w:p>
            <w:pPr>
              <w:pStyle w:val="TableParagraph"/>
              <w:spacing w:line="267" w:lineRule="exact"/>
              <w:ind w:left="100"/>
              <w:rPr>
                <w:rFonts w:ascii="Arial"/>
                <w:b/>
                <w:sz w:val="24"/>
              </w:rPr>
            </w:pPr>
            <w:r>
              <w:rPr>
                <w:rFonts w:ascii="Arial"/>
                <w:b/>
                <w:spacing w:val="-10"/>
                <w:sz w:val="24"/>
              </w:rPr>
              <w:t>U</w:t>
            </w:r>
          </w:p>
        </w:tc>
        <w:tc>
          <w:tcPr>
            <w:tcW w:w="721" w:type="dxa"/>
          </w:tcPr>
          <w:p>
            <w:pPr>
              <w:pStyle w:val="TableParagraph"/>
              <w:spacing w:line="267" w:lineRule="exact"/>
              <w:ind w:left="100"/>
              <w:rPr>
                <w:rFonts w:ascii="Arial"/>
                <w:b/>
                <w:sz w:val="24"/>
              </w:rPr>
            </w:pPr>
            <w:r>
              <w:rPr>
                <w:rFonts w:ascii="Arial"/>
                <w:b/>
                <w:spacing w:val="-10"/>
                <w:sz w:val="24"/>
              </w:rPr>
              <w:t>D</w:t>
            </w:r>
          </w:p>
        </w:tc>
        <w:tc>
          <w:tcPr>
            <w:tcW w:w="721" w:type="dxa"/>
          </w:tcPr>
          <w:p>
            <w:pPr>
              <w:pStyle w:val="TableParagraph"/>
              <w:spacing w:line="267" w:lineRule="exact"/>
              <w:ind w:left="100"/>
              <w:rPr>
                <w:rFonts w:ascii="Arial"/>
                <w:b/>
                <w:sz w:val="24"/>
              </w:rPr>
            </w:pPr>
            <w:r>
              <w:rPr>
                <w:rFonts w:ascii="Arial"/>
                <w:b/>
                <w:spacing w:val="-5"/>
                <w:sz w:val="24"/>
              </w:rPr>
              <w:t>SD</w:t>
            </w:r>
          </w:p>
        </w:tc>
      </w:tr>
      <w:tr>
        <w:trPr>
          <w:trHeight w:val="427" w:hRule="exact"/>
        </w:trPr>
        <w:tc>
          <w:tcPr>
            <w:tcW w:w="562" w:type="dxa"/>
            <w:vMerge/>
            <w:tcBorders>
              <w:top w:val="nil"/>
              <w:bottom w:val="nil"/>
            </w:tcBorders>
          </w:tcPr>
          <w:p>
            <w:pPr>
              <w:rPr>
                <w:sz w:val="2"/>
                <w:szCs w:val="2"/>
              </w:rPr>
            </w:pPr>
          </w:p>
        </w:tc>
        <w:tc>
          <w:tcPr>
            <w:tcW w:w="5199" w:type="dxa"/>
            <w:vMerge/>
            <w:tcBorders>
              <w:top w:val="nil"/>
              <w:bottom w:val="nil"/>
            </w:tcBorders>
          </w:tcPr>
          <w:p>
            <w:pPr>
              <w:rPr>
                <w:sz w:val="2"/>
                <w:szCs w:val="2"/>
              </w:rPr>
            </w:pPr>
          </w:p>
        </w:tc>
        <w:tc>
          <w:tcPr>
            <w:tcW w:w="903" w:type="dxa"/>
            <w:vMerge w:val="restart"/>
          </w:tcPr>
          <w:p>
            <w:pPr>
              <w:pStyle w:val="TableParagraph"/>
              <w:rPr>
                <w:rFonts w:ascii="Times New Roman"/>
                <w:sz w:val="22"/>
              </w:rPr>
            </w:pPr>
          </w:p>
        </w:tc>
        <w:tc>
          <w:tcPr>
            <w:tcW w:w="721" w:type="dxa"/>
            <w:vMerge w:val="restart"/>
          </w:tcPr>
          <w:p>
            <w:pPr>
              <w:pStyle w:val="TableParagraph"/>
              <w:rPr>
                <w:rFonts w:ascii="Times New Roman"/>
                <w:sz w:val="22"/>
              </w:rPr>
            </w:pPr>
          </w:p>
        </w:tc>
        <w:tc>
          <w:tcPr>
            <w:tcW w:w="721" w:type="dxa"/>
            <w:vMerge w:val="restart"/>
          </w:tcPr>
          <w:p>
            <w:pPr>
              <w:pStyle w:val="TableParagraph"/>
              <w:rPr>
                <w:rFonts w:ascii="Times New Roman"/>
                <w:sz w:val="22"/>
              </w:rPr>
            </w:pPr>
          </w:p>
        </w:tc>
        <w:tc>
          <w:tcPr>
            <w:tcW w:w="721" w:type="dxa"/>
            <w:vMerge w:val="restart"/>
          </w:tcPr>
          <w:p>
            <w:pPr>
              <w:pStyle w:val="TableParagraph"/>
              <w:rPr>
                <w:rFonts w:ascii="Times New Roman"/>
                <w:sz w:val="22"/>
              </w:rPr>
            </w:pPr>
          </w:p>
        </w:tc>
        <w:tc>
          <w:tcPr>
            <w:tcW w:w="721" w:type="dxa"/>
            <w:vMerge w:val="restart"/>
          </w:tcPr>
          <w:p>
            <w:pPr>
              <w:pStyle w:val="TableParagraph"/>
              <w:rPr>
                <w:rFonts w:ascii="Times New Roman"/>
                <w:sz w:val="22"/>
              </w:rPr>
            </w:pPr>
          </w:p>
        </w:tc>
      </w:tr>
      <w:tr>
        <w:trPr>
          <w:trHeight w:val="276" w:hRule="exact"/>
        </w:trPr>
        <w:tc>
          <w:tcPr>
            <w:tcW w:w="562" w:type="dxa"/>
            <w:tcBorders>
              <w:top w:val="nil"/>
              <w:bottom w:val="nil"/>
            </w:tcBorders>
          </w:tcPr>
          <w:p>
            <w:pPr>
              <w:pStyle w:val="TableParagraph"/>
              <w:rPr>
                <w:rFonts w:ascii="Times New Roman"/>
                <w:sz w:val="20"/>
              </w:rPr>
            </w:pPr>
          </w:p>
        </w:tc>
        <w:tc>
          <w:tcPr>
            <w:tcW w:w="5199" w:type="dxa"/>
            <w:tcBorders>
              <w:top w:val="nil"/>
              <w:bottom w:val="nil"/>
            </w:tcBorders>
          </w:tcPr>
          <w:p>
            <w:pPr>
              <w:pStyle w:val="TableParagraph"/>
              <w:spacing w:line="256" w:lineRule="exact"/>
              <w:ind w:left="100"/>
              <w:rPr>
                <w:sz w:val="24"/>
              </w:rPr>
            </w:pPr>
            <w:r>
              <w:rPr>
                <w:sz w:val="24"/>
              </w:rPr>
              <w:t>considered</w:t>
            </w:r>
            <w:r>
              <w:rPr>
                <w:spacing w:val="56"/>
                <w:sz w:val="24"/>
              </w:rPr>
              <w:t> </w:t>
            </w:r>
            <w:r>
              <w:rPr>
                <w:sz w:val="24"/>
              </w:rPr>
              <w:t>as</w:t>
            </w:r>
            <w:r>
              <w:rPr>
                <w:spacing w:val="55"/>
                <w:sz w:val="24"/>
              </w:rPr>
              <w:t> </w:t>
            </w:r>
            <w:r>
              <w:rPr>
                <w:sz w:val="24"/>
              </w:rPr>
              <w:t>decent</w:t>
            </w:r>
            <w:r>
              <w:rPr>
                <w:spacing w:val="56"/>
                <w:sz w:val="24"/>
              </w:rPr>
              <w:t> </w:t>
            </w:r>
            <w:r>
              <w:rPr>
                <w:sz w:val="24"/>
              </w:rPr>
              <w:t>and</w:t>
            </w:r>
            <w:r>
              <w:rPr>
                <w:spacing w:val="57"/>
                <w:sz w:val="24"/>
              </w:rPr>
              <w:t> </w:t>
            </w:r>
            <w:r>
              <w:rPr>
                <w:sz w:val="24"/>
              </w:rPr>
              <w:t>comfortable.</w:t>
            </w:r>
            <w:r>
              <w:rPr>
                <w:spacing w:val="55"/>
                <w:sz w:val="24"/>
              </w:rPr>
              <w:t> </w:t>
            </w:r>
            <w:r>
              <w:rPr>
                <w:spacing w:val="-4"/>
                <w:sz w:val="24"/>
              </w:rPr>
              <w:t>This</w:t>
            </w:r>
          </w:p>
        </w:tc>
        <w:tc>
          <w:tcPr>
            <w:tcW w:w="903" w:type="dxa"/>
            <w:vMerge/>
            <w:tcBorders>
              <w:top w:val="nil"/>
            </w:tcBorders>
          </w:tcPr>
          <w:p>
            <w:pPr>
              <w:rPr>
                <w:sz w:val="2"/>
                <w:szCs w:val="2"/>
              </w:rPr>
            </w:pPr>
          </w:p>
        </w:tc>
        <w:tc>
          <w:tcPr>
            <w:tcW w:w="721" w:type="dxa"/>
            <w:vMerge/>
            <w:tcBorders>
              <w:top w:val="nil"/>
            </w:tcBorders>
          </w:tcPr>
          <w:p>
            <w:pPr>
              <w:rPr>
                <w:sz w:val="2"/>
                <w:szCs w:val="2"/>
              </w:rPr>
            </w:pPr>
          </w:p>
        </w:tc>
        <w:tc>
          <w:tcPr>
            <w:tcW w:w="721" w:type="dxa"/>
            <w:vMerge/>
            <w:tcBorders>
              <w:top w:val="nil"/>
            </w:tcBorders>
          </w:tcPr>
          <w:p>
            <w:pPr>
              <w:rPr>
                <w:sz w:val="2"/>
                <w:szCs w:val="2"/>
              </w:rPr>
            </w:pPr>
          </w:p>
        </w:tc>
        <w:tc>
          <w:tcPr>
            <w:tcW w:w="721" w:type="dxa"/>
            <w:vMerge/>
            <w:tcBorders>
              <w:top w:val="nil"/>
            </w:tcBorders>
          </w:tcPr>
          <w:p>
            <w:pPr>
              <w:rPr>
                <w:sz w:val="2"/>
                <w:szCs w:val="2"/>
              </w:rPr>
            </w:pPr>
          </w:p>
        </w:tc>
        <w:tc>
          <w:tcPr>
            <w:tcW w:w="721" w:type="dxa"/>
            <w:vMerge/>
            <w:tcBorders>
              <w:top w:val="nil"/>
            </w:tcBorders>
          </w:tcPr>
          <w:p>
            <w:pPr>
              <w:rPr>
                <w:sz w:val="2"/>
                <w:szCs w:val="2"/>
              </w:rPr>
            </w:pPr>
          </w:p>
        </w:tc>
      </w:tr>
      <w:tr>
        <w:trPr>
          <w:trHeight w:val="276" w:hRule="exact"/>
        </w:trPr>
        <w:tc>
          <w:tcPr>
            <w:tcW w:w="562" w:type="dxa"/>
            <w:tcBorders>
              <w:top w:val="nil"/>
              <w:bottom w:val="nil"/>
            </w:tcBorders>
          </w:tcPr>
          <w:p>
            <w:pPr>
              <w:pStyle w:val="TableParagraph"/>
              <w:rPr>
                <w:rFonts w:ascii="Times New Roman"/>
                <w:sz w:val="20"/>
              </w:rPr>
            </w:pPr>
          </w:p>
        </w:tc>
        <w:tc>
          <w:tcPr>
            <w:tcW w:w="5199" w:type="dxa"/>
            <w:tcBorders>
              <w:top w:val="nil"/>
              <w:bottom w:val="nil"/>
            </w:tcBorders>
          </w:tcPr>
          <w:p>
            <w:pPr>
              <w:pStyle w:val="TableParagraph"/>
              <w:spacing w:line="256" w:lineRule="exact"/>
              <w:ind w:left="100"/>
              <w:rPr>
                <w:sz w:val="24"/>
              </w:rPr>
            </w:pPr>
            <w:r>
              <w:rPr>
                <w:sz w:val="24"/>
              </w:rPr>
              <w:t>impinges</w:t>
            </w:r>
            <w:r>
              <w:rPr>
                <w:spacing w:val="52"/>
                <w:sz w:val="24"/>
              </w:rPr>
              <w:t> </w:t>
            </w:r>
            <w:r>
              <w:rPr>
                <w:sz w:val="24"/>
              </w:rPr>
              <w:t>on</w:t>
            </w:r>
            <w:r>
              <w:rPr>
                <w:spacing w:val="54"/>
                <w:sz w:val="24"/>
              </w:rPr>
              <w:t> </w:t>
            </w:r>
            <w:r>
              <w:rPr>
                <w:sz w:val="24"/>
              </w:rPr>
              <w:t>the</w:t>
            </w:r>
            <w:r>
              <w:rPr>
                <w:spacing w:val="54"/>
                <w:sz w:val="24"/>
              </w:rPr>
              <w:t> </w:t>
            </w:r>
            <w:r>
              <w:rPr>
                <w:sz w:val="24"/>
              </w:rPr>
              <w:t>academic</w:t>
            </w:r>
            <w:r>
              <w:rPr>
                <w:spacing w:val="52"/>
                <w:sz w:val="24"/>
              </w:rPr>
              <w:t> </w:t>
            </w:r>
            <w:r>
              <w:rPr>
                <w:sz w:val="24"/>
              </w:rPr>
              <w:t>performance</w:t>
            </w:r>
            <w:r>
              <w:rPr>
                <w:spacing w:val="54"/>
                <w:sz w:val="24"/>
              </w:rPr>
              <w:t> </w:t>
            </w:r>
            <w:r>
              <w:rPr>
                <w:spacing w:val="-5"/>
                <w:sz w:val="24"/>
              </w:rPr>
              <w:t>and</w:t>
            </w:r>
          </w:p>
        </w:tc>
        <w:tc>
          <w:tcPr>
            <w:tcW w:w="903" w:type="dxa"/>
            <w:vMerge/>
            <w:tcBorders>
              <w:top w:val="nil"/>
            </w:tcBorders>
          </w:tcPr>
          <w:p>
            <w:pPr>
              <w:rPr>
                <w:sz w:val="2"/>
                <w:szCs w:val="2"/>
              </w:rPr>
            </w:pPr>
          </w:p>
        </w:tc>
        <w:tc>
          <w:tcPr>
            <w:tcW w:w="721" w:type="dxa"/>
            <w:vMerge/>
            <w:tcBorders>
              <w:top w:val="nil"/>
            </w:tcBorders>
          </w:tcPr>
          <w:p>
            <w:pPr>
              <w:rPr>
                <w:sz w:val="2"/>
                <w:szCs w:val="2"/>
              </w:rPr>
            </w:pPr>
          </w:p>
        </w:tc>
        <w:tc>
          <w:tcPr>
            <w:tcW w:w="721" w:type="dxa"/>
            <w:vMerge/>
            <w:tcBorders>
              <w:top w:val="nil"/>
            </w:tcBorders>
          </w:tcPr>
          <w:p>
            <w:pPr>
              <w:rPr>
                <w:sz w:val="2"/>
                <w:szCs w:val="2"/>
              </w:rPr>
            </w:pPr>
          </w:p>
        </w:tc>
        <w:tc>
          <w:tcPr>
            <w:tcW w:w="721" w:type="dxa"/>
            <w:vMerge/>
            <w:tcBorders>
              <w:top w:val="nil"/>
            </w:tcBorders>
          </w:tcPr>
          <w:p>
            <w:pPr>
              <w:rPr>
                <w:sz w:val="2"/>
                <w:szCs w:val="2"/>
              </w:rPr>
            </w:pPr>
          </w:p>
        </w:tc>
        <w:tc>
          <w:tcPr>
            <w:tcW w:w="721" w:type="dxa"/>
            <w:vMerge/>
            <w:tcBorders>
              <w:top w:val="nil"/>
            </w:tcBorders>
          </w:tcPr>
          <w:p>
            <w:pPr>
              <w:rPr>
                <w:sz w:val="2"/>
                <w:szCs w:val="2"/>
              </w:rPr>
            </w:pPr>
          </w:p>
        </w:tc>
      </w:tr>
      <w:tr>
        <w:trPr>
          <w:trHeight w:val="402" w:hRule="exact"/>
        </w:trPr>
        <w:tc>
          <w:tcPr>
            <w:tcW w:w="562" w:type="dxa"/>
            <w:tcBorders>
              <w:top w:val="nil"/>
            </w:tcBorders>
          </w:tcPr>
          <w:p>
            <w:pPr>
              <w:pStyle w:val="TableParagraph"/>
              <w:rPr>
                <w:rFonts w:ascii="Times New Roman"/>
                <w:sz w:val="22"/>
              </w:rPr>
            </w:pPr>
          </w:p>
        </w:tc>
        <w:tc>
          <w:tcPr>
            <w:tcW w:w="5199" w:type="dxa"/>
            <w:tcBorders>
              <w:top w:val="nil"/>
            </w:tcBorders>
          </w:tcPr>
          <w:p>
            <w:pPr>
              <w:pStyle w:val="TableParagraph"/>
              <w:spacing w:line="271" w:lineRule="exact"/>
              <w:ind w:left="100"/>
              <w:rPr>
                <w:sz w:val="24"/>
              </w:rPr>
            </w:pPr>
            <w:r>
              <w:rPr>
                <w:sz w:val="24"/>
              </w:rPr>
              <w:t>social</w:t>
            </w:r>
            <w:r>
              <w:rPr>
                <w:spacing w:val="-5"/>
                <w:sz w:val="24"/>
              </w:rPr>
              <w:t> </w:t>
            </w:r>
            <w:r>
              <w:rPr>
                <w:sz w:val="24"/>
              </w:rPr>
              <w:t>potentialities</w:t>
            </w:r>
            <w:r>
              <w:rPr>
                <w:spacing w:val="-13"/>
                <w:sz w:val="24"/>
              </w:rPr>
              <w:t> </w:t>
            </w:r>
            <w:r>
              <w:rPr>
                <w:sz w:val="24"/>
              </w:rPr>
              <w:t>of</w:t>
            </w:r>
            <w:r>
              <w:rPr>
                <w:spacing w:val="-8"/>
                <w:sz w:val="24"/>
              </w:rPr>
              <w:t> </w:t>
            </w:r>
            <w:r>
              <w:rPr>
                <w:spacing w:val="-2"/>
                <w:sz w:val="24"/>
              </w:rPr>
              <w:t>students.</w:t>
            </w:r>
          </w:p>
        </w:tc>
        <w:tc>
          <w:tcPr>
            <w:tcW w:w="903" w:type="dxa"/>
            <w:vMerge/>
            <w:tcBorders>
              <w:top w:val="nil"/>
            </w:tcBorders>
          </w:tcPr>
          <w:p>
            <w:pPr>
              <w:rPr>
                <w:sz w:val="2"/>
                <w:szCs w:val="2"/>
              </w:rPr>
            </w:pPr>
          </w:p>
        </w:tc>
        <w:tc>
          <w:tcPr>
            <w:tcW w:w="721" w:type="dxa"/>
            <w:vMerge/>
            <w:tcBorders>
              <w:top w:val="nil"/>
            </w:tcBorders>
          </w:tcPr>
          <w:p>
            <w:pPr>
              <w:rPr>
                <w:sz w:val="2"/>
                <w:szCs w:val="2"/>
              </w:rPr>
            </w:pPr>
          </w:p>
        </w:tc>
        <w:tc>
          <w:tcPr>
            <w:tcW w:w="721" w:type="dxa"/>
            <w:vMerge/>
            <w:tcBorders>
              <w:top w:val="nil"/>
            </w:tcBorders>
          </w:tcPr>
          <w:p>
            <w:pPr>
              <w:rPr>
                <w:sz w:val="2"/>
                <w:szCs w:val="2"/>
              </w:rPr>
            </w:pPr>
          </w:p>
        </w:tc>
        <w:tc>
          <w:tcPr>
            <w:tcW w:w="721" w:type="dxa"/>
            <w:vMerge/>
            <w:tcBorders>
              <w:top w:val="nil"/>
            </w:tcBorders>
          </w:tcPr>
          <w:p>
            <w:pPr>
              <w:rPr>
                <w:sz w:val="2"/>
                <w:szCs w:val="2"/>
              </w:rPr>
            </w:pPr>
          </w:p>
        </w:tc>
        <w:tc>
          <w:tcPr>
            <w:tcW w:w="721" w:type="dxa"/>
            <w:vMerge/>
            <w:tcBorders>
              <w:top w:val="nil"/>
            </w:tcBorders>
          </w:tcPr>
          <w:p>
            <w:pPr>
              <w:rPr>
                <w:sz w:val="2"/>
                <w:szCs w:val="2"/>
              </w:rPr>
            </w:pPr>
          </w:p>
        </w:tc>
      </w:tr>
    </w:tbl>
    <w:p>
      <w:pPr>
        <w:spacing w:after="0"/>
        <w:rPr>
          <w:sz w:val="2"/>
          <w:szCs w:val="2"/>
        </w:rPr>
        <w:sectPr>
          <w:headerReference w:type="default" r:id="rId614"/>
          <w:footerReference w:type="default" r:id="rId615"/>
          <w:pgSz w:w="12240" w:h="15840"/>
          <w:pgMar w:header="722" w:footer="623" w:top="980" w:bottom="820" w:left="1220" w:right="1140"/>
        </w:sectPr>
      </w:pPr>
    </w:p>
    <w:p>
      <w:pPr>
        <w:pStyle w:val="BodyText"/>
        <w:spacing w:before="222"/>
        <w:rPr>
          <w:rFonts w:ascii="Arial"/>
          <w:b/>
          <w:sz w:val="20"/>
        </w:rPr>
      </w:pPr>
    </w:p>
    <w:tbl>
      <w:tblPr>
        <w:tblW w:w="0" w:type="auto"/>
        <w:jc w:val="left"/>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2"/>
        <w:gridCol w:w="5199"/>
        <w:gridCol w:w="903"/>
        <w:gridCol w:w="721"/>
        <w:gridCol w:w="721"/>
        <w:gridCol w:w="721"/>
        <w:gridCol w:w="721"/>
      </w:tblGrid>
      <w:tr>
        <w:trPr>
          <w:trHeight w:val="1343"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39.</w:t>
            </w:r>
          </w:p>
        </w:tc>
        <w:tc>
          <w:tcPr>
            <w:tcW w:w="5199" w:type="dxa"/>
          </w:tcPr>
          <w:p>
            <w:pPr>
              <w:pStyle w:val="TableParagraph"/>
              <w:spacing w:before="117"/>
              <w:rPr>
                <w:rFonts w:ascii="Arial"/>
                <w:b/>
                <w:sz w:val="24"/>
              </w:rPr>
            </w:pPr>
          </w:p>
          <w:p>
            <w:pPr>
              <w:pStyle w:val="TableParagraph"/>
              <w:spacing w:before="1"/>
              <w:ind w:left="105" w:right="101"/>
              <w:jc w:val="both"/>
              <w:rPr>
                <w:sz w:val="24"/>
              </w:rPr>
            </w:pPr>
            <w:r>
              <w:rPr>
                <w:sz w:val="24"/>
              </w:rPr>
              <w:t>The facilities provided in the hostels are grossly inadequate to meet the needs of the over-crowded population of the students.</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895"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40.</w:t>
            </w:r>
          </w:p>
        </w:tc>
        <w:tc>
          <w:tcPr>
            <w:tcW w:w="5199" w:type="dxa"/>
          </w:tcPr>
          <w:p>
            <w:pPr>
              <w:pStyle w:val="TableParagraph"/>
              <w:spacing w:before="117"/>
              <w:rPr>
                <w:rFonts w:ascii="Arial"/>
                <w:b/>
                <w:sz w:val="24"/>
              </w:rPr>
            </w:pPr>
          </w:p>
          <w:p>
            <w:pPr>
              <w:pStyle w:val="TableParagraph"/>
              <w:spacing w:before="1"/>
              <w:ind w:left="105" w:right="98"/>
              <w:jc w:val="both"/>
              <w:rPr>
                <w:sz w:val="24"/>
              </w:rPr>
            </w:pPr>
            <w:r>
              <w:rPr>
                <w:sz w:val="24"/>
              </w:rPr>
              <w:t>There should be more efforts to expand students’ residential halls as overcrowding or lack of accommodation is hazardous and vulnerable to epidemic outbreak and very devastating to students health.</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069"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41.</w:t>
            </w:r>
          </w:p>
        </w:tc>
        <w:tc>
          <w:tcPr>
            <w:tcW w:w="5199" w:type="dxa"/>
          </w:tcPr>
          <w:p>
            <w:pPr>
              <w:pStyle w:val="TableParagraph"/>
              <w:spacing w:before="120"/>
              <w:rPr>
                <w:rFonts w:ascii="Arial"/>
                <w:b/>
                <w:sz w:val="24"/>
              </w:rPr>
            </w:pPr>
          </w:p>
          <w:p>
            <w:pPr>
              <w:pStyle w:val="TableParagraph"/>
              <w:spacing w:line="237" w:lineRule="auto"/>
              <w:ind w:left="105" w:right="105"/>
              <w:rPr>
                <w:sz w:val="24"/>
              </w:rPr>
            </w:pPr>
            <w:r>
              <w:rPr>
                <w:sz w:val="24"/>
              </w:rPr>
              <w:t>Pairing of more students in the rooms reduces accommodation problem for the students.</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617" w:hRule="atLeast"/>
        </w:trPr>
        <w:tc>
          <w:tcPr>
            <w:tcW w:w="562" w:type="dxa"/>
          </w:tcPr>
          <w:p>
            <w:pPr>
              <w:pStyle w:val="TableParagraph"/>
              <w:spacing w:before="113"/>
              <w:rPr>
                <w:rFonts w:ascii="Arial"/>
                <w:b/>
                <w:sz w:val="24"/>
              </w:rPr>
            </w:pPr>
          </w:p>
          <w:p>
            <w:pPr>
              <w:pStyle w:val="TableParagraph"/>
              <w:ind w:left="3" w:right="6"/>
              <w:jc w:val="center"/>
              <w:rPr>
                <w:sz w:val="24"/>
              </w:rPr>
            </w:pPr>
            <w:r>
              <w:rPr>
                <w:spacing w:val="-5"/>
                <w:sz w:val="24"/>
              </w:rPr>
              <w:t>42.</w:t>
            </w:r>
          </w:p>
        </w:tc>
        <w:tc>
          <w:tcPr>
            <w:tcW w:w="5199" w:type="dxa"/>
          </w:tcPr>
          <w:p>
            <w:pPr>
              <w:pStyle w:val="TableParagraph"/>
              <w:spacing w:before="113"/>
              <w:rPr>
                <w:rFonts w:ascii="Arial"/>
                <w:b/>
                <w:sz w:val="24"/>
              </w:rPr>
            </w:pPr>
          </w:p>
          <w:p>
            <w:pPr>
              <w:pStyle w:val="TableParagraph"/>
              <w:ind w:left="105" w:right="100"/>
              <w:jc w:val="both"/>
              <w:rPr>
                <w:sz w:val="24"/>
              </w:rPr>
            </w:pPr>
            <w:r>
              <w:rPr>
                <w:sz w:val="24"/>
              </w:rPr>
              <w:t>Hostel accommodation rank very high and crucial to students well-being</w:t>
            </w:r>
            <w:r>
              <w:rPr>
                <w:spacing w:val="-1"/>
                <w:sz w:val="24"/>
              </w:rPr>
              <w:t> </w:t>
            </w:r>
            <w:r>
              <w:rPr>
                <w:sz w:val="24"/>
              </w:rPr>
              <w:t>in the University. That is to say, academic activities without hostel accommodation is incomplete.</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bl>
    <w:p>
      <w:pPr>
        <w:pStyle w:val="BodyText"/>
        <w:spacing w:before="115"/>
        <w:rPr>
          <w:rFonts w:ascii="Arial"/>
          <w:b/>
        </w:rPr>
      </w:pPr>
    </w:p>
    <w:p>
      <w:pPr>
        <w:pStyle w:val="ListParagraph"/>
        <w:numPr>
          <w:ilvl w:val="1"/>
          <w:numId w:val="53"/>
        </w:numPr>
        <w:tabs>
          <w:tab w:pos="891" w:val="left" w:leader="none"/>
        </w:tabs>
        <w:spacing w:line="240" w:lineRule="auto" w:before="0" w:after="0"/>
        <w:ind w:left="891" w:right="0" w:hanging="671"/>
        <w:jc w:val="left"/>
        <w:rPr>
          <w:rFonts w:ascii="Arial"/>
          <w:b/>
          <w:sz w:val="24"/>
        </w:rPr>
      </w:pPr>
      <w:r>
        <w:rPr>
          <w:rFonts w:ascii="Arial"/>
          <w:b/>
          <w:sz w:val="24"/>
        </w:rPr>
        <w:t>Impact</w:t>
      </w:r>
      <w:r>
        <w:rPr>
          <w:rFonts w:ascii="Arial"/>
          <w:b/>
          <w:spacing w:val="-7"/>
          <w:sz w:val="24"/>
        </w:rPr>
        <w:t> </w:t>
      </w:r>
      <w:r>
        <w:rPr>
          <w:rFonts w:ascii="Arial"/>
          <w:b/>
          <w:sz w:val="24"/>
        </w:rPr>
        <w:t>of</w:t>
      </w:r>
      <w:r>
        <w:rPr>
          <w:rFonts w:ascii="Arial"/>
          <w:b/>
          <w:spacing w:val="-7"/>
          <w:sz w:val="24"/>
        </w:rPr>
        <w:t> </w:t>
      </w:r>
      <w:r>
        <w:rPr>
          <w:rFonts w:ascii="Arial"/>
          <w:b/>
          <w:sz w:val="24"/>
        </w:rPr>
        <w:t>Guidance</w:t>
      </w:r>
      <w:r>
        <w:rPr>
          <w:rFonts w:ascii="Arial"/>
          <w:b/>
          <w:spacing w:val="-8"/>
          <w:sz w:val="24"/>
        </w:rPr>
        <w:t> </w:t>
      </w:r>
      <w:r>
        <w:rPr>
          <w:rFonts w:ascii="Arial"/>
          <w:b/>
          <w:sz w:val="24"/>
        </w:rPr>
        <w:t>and</w:t>
      </w:r>
      <w:r>
        <w:rPr>
          <w:rFonts w:ascii="Arial"/>
          <w:b/>
          <w:spacing w:val="-11"/>
          <w:sz w:val="24"/>
        </w:rPr>
        <w:t> </w:t>
      </w:r>
      <w:r>
        <w:rPr>
          <w:rFonts w:ascii="Arial"/>
          <w:b/>
          <w:spacing w:val="-2"/>
          <w:sz w:val="24"/>
        </w:rPr>
        <w:t>Counselling</w:t>
      </w:r>
    </w:p>
    <w:p>
      <w:pPr>
        <w:pStyle w:val="BodyText"/>
        <w:rPr>
          <w:rFonts w:ascii="Arial"/>
          <w:b/>
          <w:sz w:val="11"/>
        </w:rPr>
      </w:pPr>
    </w:p>
    <w:tbl>
      <w:tblPr>
        <w:tblW w:w="0" w:type="auto"/>
        <w:jc w:val="left"/>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2"/>
        <w:gridCol w:w="5199"/>
        <w:gridCol w:w="903"/>
        <w:gridCol w:w="721"/>
        <w:gridCol w:w="721"/>
        <w:gridCol w:w="721"/>
        <w:gridCol w:w="721"/>
      </w:tblGrid>
      <w:tr>
        <w:trPr>
          <w:trHeight w:val="397" w:hRule="atLeast"/>
        </w:trPr>
        <w:tc>
          <w:tcPr>
            <w:tcW w:w="562" w:type="dxa"/>
            <w:vMerge w:val="restart"/>
          </w:tcPr>
          <w:p>
            <w:pPr>
              <w:pStyle w:val="TableParagraph"/>
              <w:spacing w:before="117"/>
              <w:rPr>
                <w:rFonts w:ascii="Arial"/>
                <w:b/>
                <w:sz w:val="24"/>
              </w:rPr>
            </w:pPr>
          </w:p>
          <w:p>
            <w:pPr>
              <w:pStyle w:val="TableParagraph"/>
              <w:spacing w:before="1"/>
              <w:ind w:left="105"/>
              <w:rPr>
                <w:sz w:val="24"/>
              </w:rPr>
            </w:pPr>
            <w:r>
              <w:rPr>
                <w:spacing w:val="-5"/>
                <w:sz w:val="24"/>
              </w:rPr>
              <w:t>43.</w:t>
            </w:r>
          </w:p>
        </w:tc>
        <w:tc>
          <w:tcPr>
            <w:tcW w:w="5199" w:type="dxa"/>
            <w:vMerge w:val="restart"/>
          </w:tcPr>
          <w:p>
            <w:pPr>
              <w:pStyle w:val="TableParagraph"/>
              <w:spacing w:before="117"/>
              <w:rPr>
                <w:rFonts w:ascii="Arial"/>
                <w:b/>
                <w:sz w:val="24"/>
              </w:rPr>
            </w:pPr>
          </w:p>
          <w:p>
            <w:pPr>
              <w:pStyle w:val="TableParagraph"/>
              <w:spacing w:before="1"/>
              <w:ind w:left="105" w:right="100"/>
              <w:jc w:val="both"/>
              <w:rPr>
                <w:sz w:val="24"/>
              </w:rPr>
            </w:pPr>
            <w:r>
              <w:rPr>
                <w:sz w:val="24"/>
              </w:rPr>
              <w:t>The Counselling and Guidance unit in the Universities play a preventive role in anticipation of problems and forestalls difficulties that may confront the students.</w:t>
            </w:r>
          </w:p>
        </w:tc>
        <w:tc>
          <w:tcPr>
            <w:tcW w:w="903" w:type="dxa"/>
          </w:tcPr>
          <w:p>
            <w:pPr>
              <w:pStyle w:val="TableParagraph"/>
              <w:spacing w:line="267" w:lineRule="exact"/>
              <w:ind w:left="104"/>
              <w:rPr>
                <w:rFonts w:ascii="Arial"/>
                <w:b/>
                <w:sz w:val="24"/>
              </w:rPr>
            </w:pPr>
            <w:r>
              <w:rPr>
                <w:rFonts w:ascii="Arial"/>
                <w:b/>
                <w:spacing w:val="-5"/>
                <w:sz w:val="24"/>
              </w:rPr>
              <w:t>SA</w:t>
            </w:r>
          </w:p>
        </w:tc>
        <w:tc>
          <w:tcPr>
            <w:tcW w:w="721" w:type="dxa"/>
          </w:tcPr>
          <w:p>
            <w:pPr>
              <w:pStyle w:val="TableParagraph"/>
              <w:spacing w:line="267" w:lineRule="exact"/>
              <w:ind w:left="103"/>
              <w:rPr>
                <w:rFonts w:ascii="Arial"/>
                <w:b/>
                <w:sz w:val="24"/>
              </w:rPr>
            </w:pPr>
            <w:r>
              <w:rPr>
                <w:rFonts w:ascii="Arial"/>
                <w:b/>
                <w:spacing w:val="-10"/>
                <w:sz w:val="24"/>
              </w:rPr>
              <w:t>A</w:t>
            </w:r>
          </w:p>
        </w:tc>
        <w:tc>
          <w:tcPr>
            <w:tcW w:w="721" w:type="dxa"/>
          </w:tcPr>
          <w:p>
            <w:pPr>
              <w:pStyle w:val="TableParagraph"/>
              <w:spacing w:line="267" w:lineRule="exact"/>
              <w:ind w:left="102"/>
              <w:rPr>
                <w:rFonts w:ascii="Arial"/>
                <w:b/>
                <w:sz w:val="24"/>
              </w:rPr>
            </w:pPr>
            <w:r>
              <w:rPr>
                <w:rFonts w:ascii="Arial"/>
                <w:b/>
                <w:spacing w:val="-10"/>
                <w:sz w:val="24"/>
              </w:rPr>
              <w:t>U</w:t>
            </w:r>
          </w:p>
        </w:tc>
        <w:tc>
          <w:tcPr>
            <w:tcW w:w="721" w:type="dxa"/>
          </w:tcPr>
          <w:p>
            <w:pPr>
              <w:pStyle w:val="TableParagraph"/>
              <w:spacing w:line="267" w:lineRule="exact"/>
              <w:ind w:left="101"/>
              <w:rPr>
                <w:rFonts w:ascii="Arial"/>
                <w:b/>
                <w:sz w:val="24"/>
              </w:rPr>
            </w:pPr>
            <w:r>
              <w:rPr>
                <w:rFonts w:ascii="Arial"/>
                <w:b/>
                <w:spacing w:val="-10"/>
                <w:sz w:val="24"/>
              </w:rPr>
              <w:t>D</w:t>
            </w:r>
          </w:p>
        </w:tc>
        <w:tc>
          <w:tcPr>
            <w:tcW w:w="721" w:type="dxa"/>
          </w:tcPr>
          <w:p>
            <w:pPr>
              <w:pStyle w:val="TableParagraph"/>
              <w:spacing w:line="267" w:lineRule="exact"/>
              <w:ind w:left="100"/>
              <w:rPr>
                <w:rFonts w:ascii="Arial"/>
                <w:b/>
                <w:sz w:val="24"/>
              </w:rPr>
            </w:pPr>
            <w:r>
              <w:rPr>
                <w:rFonts w:ascii="Arial"/>
                <w:b/>
                <w:spacing w:val="-5"/>
                <w:sz w:val="24"/>
              </w:rPr>
              <w:t>SD</w:t>
            </w:r>
          </w:p>
        </w:tc>
      </w:tr>
      <w:tr>
        <w:trPr>
          <w:trHeight w:val="1214" w:hRule="atLeast"/>
        </w:trPr>
        <w:tc>
          <w:tcPr>
            <w:tcW w:w="562" w:type="dxa"/>
            <w:vMerge/>
            <w:tcBorders>
              <w:top w:val="nil"/>
            </w:tcBorders>
          </w:tcPr>
          <w:p>
            <w:pPr>
              <w:rPr>
                <w:sz w:val="2"/>
                <w:szCs w:val="2"/>
              </w:rPr>
            </w:pPr>
          </w:p>
        </w:tc>
        <w:tc>
          <w:tcPr>
            <w:tcW w:w="5199" w:type="dxa"/>
            <w:vMerge/>
            <w:tcBorders>
              <w:top w:val="nil"/>
            </w:tcBorders>
          </w:tcPr>
          <w:p>
            <w:pPr>
              <w:rPr>
                <w:sz w:val="2"/>
                <w:szCs w:val="2"/>
              </w:rPr>
            </w:pP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343" w:hRule="atLeast"/>
        </w:trPr>
        <w:tc>
          <w:tcPr>
            <w:tcW w:w="562" w:type="dxa"/>
          </w:tcPr>
          <w:p>
            <w:pPr>
              <w:pStyle w:val="TableParagraph"/>
              <w:spacing w:before="113"/>
              <w:rPr>
                <w:rFonts w:ascii="Arial"/>
                <w:b/>
                <w:sz w:val="24"/>
              </w:rPr>
            </w:pPr>
          </w:p>
          <w:p>
            <w:pPr>
              <w:pStyle w:val="TableParagraph"/>
              <w:ind w:left="3" w:right="6"/>
              <w:jc w:val="center"/>
              <w:rPr>
                <w:sz w:val="24"/>
              </w:rPr>
            </w:pPr>
            <w:r>
              <w:rPr>
                <w:spacing w:val="-5"/>
                <w:sz w:val="24"/>
              </w:rPr>
              <w:t>44.</w:t>
            </w:r>
          </w:p>
        </w:tc>
        <w:tc>
          <w:tcPr>
            <w:tcW w:w="5199" w:type="dxa"/>
          </w:tcPr>
          <w:p>
            <w:pPr>
              <w:pStyle w:val="TableParagraph"/>
              <w:spacing w:before="113"/>
              <w:rPr>
                <w:rFonts w:ascii="Arial"/>
                <w:b/>
                <w:sz w:val="24"/>
              </w:rPr>
            </w:pPr>
          </w:p>
          <w:p>
            <w:pPr>
              <w:pStyle w:val="TableParagraph"/>
              <w:ind w:left="105" w:right="100"/>
              <w:jc w:val="both"/>
              <w:rPr>
                <w:sz w:val="24"/>
              </w:rPr>
            </w:pPr>
            <w:r>
              <w:rPr>
                <w:sz w:val="24"/>
              </w:rPr>
              <w:t>The unit contributes in moulding, disciplining and changing the lives and developing the potentials of many students positively.</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2447"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45.</w:t>
            </w:r>
          </w:p>
        </w:tc>
        <w:tc>
          <w:tcPr>
            <w:tcW w:w="5199" w:type="dxa"/>
          </w:tcPr>
          <w:p>
            <w:pPr>
              <w:pStyle w:val="TableParagraph"/>
              <w:spacing w:before="117"/>
              <w:rPr>
                <w:rFonts w:ascii="Arial"/>
                <w:b/>
                <w:sz w:val="24"/>
              </w:rPr>
            </w:pPr>
          </w:p>
          <w:p>
            <w:pPr>
              <w:pStyle w:val="TableParagraph"/>
              <w:spacing w:before="1"/>
              <w:ind w:left="105" w:right="100"/>
              <w:jc w:val="both"/>
              <w:rPr>
                <w:sz w:val="24"/>
              </w:rPr>
            </w:pPr>
            <w:r>
              <w:rPr>
                <w:sz w:val="24"/>
              </w:rPr>
              <w:t>Guidance and Counseling services such as choice of educational career, career planning, career talks, co-ordination of interviews, recruitments by oil companies and various private and governmental ministries for jobs and scholarships are some of the indicators of good welfare services provided to students.</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bl>
    <w:p>
      <w:pPr>
        <w:spacing w:after="0"/>
        <w:rPr>
          <w:rFonts w:ascii="Times New Roman"/>
          <w:sz w:val="22"/>
        </w:rPr>
        <w:sectPr>
          <w:headerReference w:type="default" r:id="rId616"/>
          <w:footerReference w:type="default" r:id="rId617"/>
          <w:pgSz w:w="12240" w:h="15840"/>
          <w:pgMar w:header="722" w:footer="623" w:top="980" w:bottom="820" w:left="1220" w:right="1140"/>
        </w:sectPr>
      </w:pPr>
    </w:p>
    <w:p>
      <w:pPr>
        <w:pStyle w:val="BodyText"/>
        <w:spacing w:before="222"/>
        <w:rPr>
          <w:rFonts w:ascii="Arial"/>
          <w:b/>
          <w:sz w:val="20"/>
        </w:rPr>
      </w:pPr>
    </w:p>
    <w:tbl>
      <w:tblPr>
        <w:tblW w:w="0" w:type="auto"/>
        <w:jc w:val="left"/>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2"/>
        <w:gridCol w:w="5199"/>
        <w:gridCol w:w="903"/>
        <w:gridCol w:w="721"/>
        <w:gridCol w:w="721"/>
        <w:gridCol w:w="721"/>
        <w:gridCol w:w="721"/>
      </w:tblGrid>
      <w:tr>
        <w:trPr>
          <w:trHeight w:val="1622"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46.</w:t>
            </w:r>
          </w:p>
        </w:tc>
        <w:tc>
          <w:tcPr>
            <w:tcW w:w="5199" w:type="dxa"/>
          </w:tcPr>
          <w:p>
            <w:pPr>
              <w:pStyle w:val="TableParagraph"/>
              <w:spacing w:before="117"/>
              <w:rPr>
                <w:rFonts w:ascii="Arial"/>
                <w:b/>
                <w:sz w:val="24"/>
              </w:rPr>
            </w:pPr>
          </w:p>
          <w:p>
            <w:pPr>
              <w:pStyle w:val="TableParagraph"/>
              <w:spacing w:before="1"/>
              <w:ind w:left="105" w:right="97"/>
              <w:jc w:val="both"/>
              <w:rPr>
                <w:sz w:val="24"/>
              </w:rPr>
            </w:pPr>
            <w:r>
              <w:rPr>
                <w:sz w:val="24"/>
              </w:rPr>
              <w:t>Counseling and Guidance services enable students to relate well and live happily with their room-mates, colleagues and other associates on campus generally.</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895" w:hRule="atLeast"/>
        </w:trPr>
        <w:tc>
          <w:tcPr>
            <w:tcW w:w="562" w:type="dxa"/>
          </w:tcPr>
          <w:p>
            <w:pPr>
              <w:pStyle w:val="TableParagraph"/>
              <w:spacing w:before="113"/>
              <w:rPr>
                <w:rFonts w:ascii="Arial"/>
                <w:b/>
                <w:sz w:val="24"/>
              </w:rPr>
            </w:pPr>
          </w:p>
          <w:p>
            <w:pPr>
              <w:pStyle w:val="TableParagraph"/>
              <w:ind w:left="3" w:right="6"/>
              <w:jc w:val="center"/>
              <w:rPr>
                <w:sz w:val="24"/>
              </w:rPr>
            </w:pPr>
            <w:r>
              <w:rPr>
                <w:spacing w:val="-5"/>
                <w:sz w:val="24"/>
              </w:rPr>
              <w:t>47.</w:t>
            </w:r>
          </w:p>
        </w:tc>
        <w:tc>
          <w:tcPr>
            <w:tcW w:w="5199" w:type="dxa"/>
          </w:tcPr>
          <w:p>
            <w:pPr>
              <w:pStyle w:val="TableParagraph"/>
              <w:spacing w:before="113"/>
              <w:rPr>
                <w:rFonts w:ascii="Arial"/>
                <w:b/>
                <w:sz w:val="24"/>
              </w:rPr>
            </w:pPr>
          </w:p>
          <w:p>
            <w:pPr>
              <w:pStyle w:val="TableParagraph"/>
              <w:ind w:left="105" w:right="100"/>
              <w:jc w:val="both"/>
              <w:rPr>
                <w:sz w:val="24"/>
              </w:rPr>
            </w:pPr>
            <w:r>
              <w:rPr>
                <w:sz w:val="24"/>
              </w:rPr>
              <w:t>The Guidance and Counseling Unit does not offer enough assistance to discourage and combat some of the social vices on campuses like cultism, robbery, examination anxiety and </w:t>
            </w:r>
            <w:r>
              <w:rPr>
                <w:spacing w:val="-2"/>
                <w:sz w:val="24"/>
              </w:rPr>
              <w:t>malpractice.</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bl>
    <w:p>
      <w:pPr>
        <w:pStyle w:val="BodyText"/>
        <w:spacing w:before="108"/>
        <w:rPr>
          <w:rFonts w:ascii="Arial"/>
          <w:b/>
        </w:rPr>
      </w:pPr>
    </w:p>
    <w:p>
      <w:pPr>
        <w:pStyle w:val="ListParagraph"/>
        <w:numPr>
          <w:ilvl w:val="1"/>
          <w:numId w:val="53"/>
        </w:numPr>
        <w:tabs>
          <w:tab w:pos="886" w:val="left" w:leader="none"/>
        </w:tabs>
        <w:spacing w:line="240" w:lineRule="auto" w:before="0" w:after="0"/>
        <w:ind w:left="886" w:right="0" w:hanging="666"/>
        <w:jc w:val="left"/>
        <w:rPr>
          <w:rFonts w:ascii="Arial"/>
          <w:b/>
          <w:sz w:val="24"/>
        </w:rPr>
      </w:pPr>
      <w:r>
        <w:rPr>
          <w:rFonts w:ascii="Arial"/>
          <w:b/>
          <w:sz w:val="24"/>
        </w:rPr>
        <w:t>The</w:t>
      </w:r>
      <w:r>
        <w:rPr>
          <w:rFonts w:ascii="Arial"/>
          <w:b/>
          <w:spacing w:val="-5"/>
          <w:sz w:val="24"/>
        </w:rPr>
        <w:t> </w:t>
      </w:r>
      <w:r>
        <w:rPr>
          <w:rFonts w:ascii="Arial"/>
          <w:b/>
          <w:sz w:val="24"/>
        </w:rPr>
        <w:t>impact</w:t>
      </w:r>
      <w:r>
        <w:rPr>
          <w:rFonts w:ascii="Arial"/>
          <w:b/>
          <w:spacing w:val="-9"/>
          <w:sz w:val="24"/>
        </w:rPr>
        <w:t> </w:t>
      </w:r>
      <w:r>
        <w:rPr>
          <w:rFonts w:ascii="Arial"/>
          <w:b/>
          <w:sz w:val="24"/>
        </w:rPr>
        <w:t>of</w:t>
      </w:r>
      <w:r>
        <w:rPr>
          <w:rFonts w:ascii="Arial"/>
          <w:b/>
          <w:spacing w:val="-4"/>
          <w:sz w:val="24"/>
        </w:rPr>
        <w:t> </w:t>
      </w:r>
      <w:r>
        <w:rPr>
          <w:rFonts w:ascii="Arial"/>
          <w:b/>
          <w:sz w:val="24"/>
        </w:rPr>
        <w:t>Sports</w:t>
      </w:r>
      <w:r>
        <w:rPr>
          <w:rFonts w:ascii="Arial"/>
          <w:b/>
          <w:spacing w:val="-5"/>
          <w:sz w:val="24"/>
        </w:rPr>
        <w:t> </w:t>
      </w:r>
      <w:r>
        <w:rPr>
          <w:rFonts w:ascii="Arial"/>
          <w:b/>
          <w:sz w:val="24"/>
        </w:rPr>
        <w:t>and</w:t>
      </w:r>
      <w:r>
        <w:rPr>
          <w:rFonts w:ascii="Arial"/>
          <w:b/>
          <w:spacing w:val="-4"/>
          <w:sz w:val="24"/>
        </w:rPr>
        <w:t> </w:t>
      </w:r>
      <w:r>
        <w:rPr>
          <w:rFonts w:ascii="Arial"/>
          <w:b/>
          <w:spacing w:val="-2"/>
          <w:sz w:val="24"/>
        </w:rPr>
        <w:t>Recreation</w:t>
      </w:r>
    </w:p>
    <w:p>
      <w:pPr>
        <w:pStyle w:val="BodyText"/>
        <w:spacing w:before="5"/>
        <w:rPr>
          <w:rFonts w:ascii="Arial"/>
          <w:b/>
          <w:sz w:val="11"/>
        </w:rPr>
      </w:pPr>
    </w:p>
    <w:tbl>
      <w:tblPr>
        <w:tblW w:w="0" w:type="auto"/>
        <w:jc w:val="left"/>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2"/>
        <w:gridCol w:w="5199"/>
        <w:gridCol w:w="903"/>
        <w:gridCol w:w="721"/>
        <w:gridCol w:w="721"/>
        <w:gridCol w:w="721"/>
        <w:gridCol w:w="721"/>
      </w:tblGrid>
      <w:tr>
        <w:trPr>
          <w:trHeight w:val="393" w:hRule="atLeast"/>
        </w:trPr>
        <w:tc>
          <w:tcPr>
            <w:tcW w:w="562" w:type="dxa"/>
            <w:vMerge w:val="restart"/>
          </w:tcPr>
          <w:p>
            <w:pPr>
              <w:pStyle w:val="TableParagraph"/>
              <w:spacing w:before="113"/>
              <w:rPr>
                <w:rFonts w:ascii="Arial"/>
                <w:b/>
                <w:sz w:val="24"/>
              </w:rPr>
            </w:pPr>
          </w:p>
          <w:p>
            <w:pPr>
              <w:pStyle w:val="TableParagraph"/>
              <w:ind w:left="105"/>
              <w:rPr>
                <w:sz w:val="24"/>
              </w:rPr>
            </w:pPr>
            <w:r>
              <w:rPr>
                <w:spacing w:val="-5"/>
                <w:sz w:val="24"/>
              </w:rPr>
              <w:t>48.</w:t>
            </w:r>
          </w:p>
        </w:tc>
        <w:tc>
          <w:tcPr>
            <w:tcW w:w="5199" w:type="dxa"/>
            <w:vMerge w:val="restart"/>
          </w:tcPr>
          <w:p>
            <w:pPr>
              <w:pStyle w:val="TableParagraph"/>
              <w:spacing w:before="113"/>
              <w:rPr>
                <w:rFonts w:ascii="Arial"/>
                <w:b/>
                <w:sz w:val="24"/>
              </w:rPr>
            </w:pPr>
          </w:p>
          <w:p>
            <w:pPr>
              <w:pStyle w:val="TableParagraph"/>
              <w:ind w:left="105" w:right="99"/>
              <w:jc w:val="both"/>
              <w:rPr>
                <w:sz w:val="24"/>
              </w:rPr>
            </w:pPr>
            <w:r>
              <w:rPr>
                <w:sz w:val="24"/>
              </w:rPr>
              <w:t>There is the belief that the Universities in the three geopolitical zones in the Northern part</w:t>
            </w:r>
            <w:r>
              <w:rPr>
                <w:spacing w:val="-2"/>
                <w:sz w:val="24"/>
              </w:rPr>
              <w:t> </w:t>
            </w:r>
            <w:r>
              <w:rPr>
                <w:sz w:val="24"/>
              </w:rPr>
              <w:t>of Nigeria have established and maintained a virile programme on sports and recreational activities</w:t>
            </w:r>
            <w:r>
              <w:rPr>
                <w:spacing w:val="-7"/>
                <w:sz w:val="24"/>
              </w:rPr>
              <w:t> </w:t>
            </w:r>
            <w:r>
              <w:rPr>
                <w:sz w:val="24"/>
              </w:rPr>
              <w:t>under</w:t>
            </w:r>
            <w:r>
              <w:rPr>
                <w:spacing w:val="-1"/>
                <w:sz w:val="24"/>
              </w:rPr>
              <w:t> </w:t>
            </w:r>
            <w:r>
              <w:rPr>
                <w:sz w:val="24"/>
              </w:rPr>
              <w:t>the</w:t>
            </w:r>
            <w:r>
              <w:rPr>
                <w:spacing w:val="-1"/>
                <w:sz w:val="24"/>
              </w:rPr>
              <w:t> </w:t>
            </w:r>
            <w:r>
              <w:rPr>
                <w:sz w:val="24"/>
              </w:rPr>
              <w:t>supervision</w:t>
            </w:r>
            <w:r>
              <w:rPr>
                <w:spacing w:val="-6"/>
                <w:sz w:val="24"/>
              </w:rPr>
              <w:t> </w:t>
            </w:r>
            <w:r>
              <w:rPr>
                <w:sz w:val="24"/>
              </w:rPr>
              <w:t>of</w:t>
            </w:r>
            <w:r>
              <w:rPr>
                <w:spacing w:val="-6"/>
                <w:sz w:val="24"/>
              </w:rPr>
              <w:t> </w:t>
            </w:r>
            <w:r>
              <w:rPr>
                <w:sz w:val="24"/>
              </w:rPr>
              <w:t>full time</w:t>
            </w:r>
            <w:r>
              <w:rPr>
                <w:spacing w:val="-1"/>
                <w:sz w:val="24"/>
              </w:rPr>
              <w:t> </w:t>
            </w:r>
            <w:r>
              <w:rPr>
                <w:sz w:val="24"/>
              </w:rPr>
              <w:t>staff to facilitate students welfare.</w:t>
            </w:r>
          </w:p>
        </w:tc>
        <w:tc>
          <w:tcPr>
            <w:tcW w:w="903" w:type="dxa"/>
          </w:tcPr>
          <w:p>
            <w:pPr>
              <w:pStyle w:val="TableParagraph"/>
              <w:spacing w:line="267" w:lineRule="exact"/>
              <w:ind w:left="104"/>
              <w:rPr>
                <w:rFonts w:ascii="Arial"/>
                <w:b/>
                <w:sz w:val="24"/>
              </w:rPr>
            </w:pPr>
            <w:r>
              <w:rPr>
                <w:rFonts w:ascii="Arial"/>
                <w:b/>
                <w:spacing w:val="-5"/>
                <w:sz w:val="24"/>
              </w:rPr>
              <w:t>SA</w:t>
            </w:r>
          </w:p>
        </w:tc>
        <w:tc>
          <w:tcPr>
            <w:tcW w:w="721" w:type="dxa"/>
          </w:tcPr>
          <w:p>
            <w:pPr>
              <w:pStyle w:val="TableParagraph"/>
              <w:spacing w:line="267" w:lineRule="exact"/>
              <w:ind w:left="103"/>
              <w:rPr>
                <w:rFonts w:ascii="Arial"/>
                <w:b/>
                <w:sz w:val="24"/>
              </w:rPr>
            </w:pPr>
            <w:r>
              <w:rPr>
                <w:rFonts w:ascii="Arial"/>
                <w:b/>
                <w:spacing w:val="-10"/>
                <w:sz w:val="24"/>
              </w:rPr>
              <w:t>A</w:t>
            </w:r>
          </w:p>
        </w:tc>
        <w:tc>
          <w:tcPr>
            <w:tcW w:w="721" w:type="dxa"/>
          </w:tcPr>
          <w:p>
            <w:pPr>
              <w:pStyle w:val="TableParagraph"/>
              <w:spacing w:line="267" w:lineRule="exact"/>
              <w:ind w:left="102"/>
              <w:rPr>
                <w:rFonts w:ascii="Arial"/>
                <w:b/>
                <w:sz w:val="24"/>
              </w:rPr>
            </w:pPr>
            <w:r>
              <w:rPr>
                <w:rFonts w:ascii="Arial"/>
                <w:b/>
                <w:spacing w:val="-10"/>
                <w:sz w:val="24"/>
              </w:rPr>
              <w:t>U</w:t>
            </w:r>
          </w:p>
        </w:tc>
        <w:tc>
          <w:tcPr>
            <w:tcW w:w="721" w:type="dxa"/>
          </w:tcPr>
          <w:p>
            <w:pPr>
              <w:pStyle w:val="TableParagraph"/>
              <w:spacing w:line="267" w:lineRule="exact"/>
              <w:ind w:left="101"/>
              <w:rPr>
                <w:rFonts w:ascii="Arial"/>
                <w:b/>
                <w:sz w:val="24"/>
              </w:rPr>
            </w:pPr>
            <w:r>
              <w:rPr>
                <w:rFonts w:ascii="Arial"/>
                <w:b/>
                <w:spacing w:val="-10"/>
                <w:sz w:val="24"/>
              </w:rPr>
              <w:t>D</w:t>
            </w:r>
          </w:p>
        </w:tc>
        <w:tc>
          <w:tcPr>
            <w:tcW w:w="721" w:type="dxa"/>
          </w:tcPr>
          <w:p>
            <w:pPr>
              <w:pStyle w:val="TableParagraph"/>
              <w:spacing w:line="267" w:lineRule="exact"/>
              <w:ind w:left="100"/>
              <w:rPr>
                <w:rFonts w:ascii="Arial"/>
                <w:b/>
                <w:sz w:val="24"/>
              </w:rPr>
            </w:pPr>
            <w:r>
              <w:rPr>
                <w:rFonts w:ascii="Arial"/>
                <w:b/>
                <w:spacing w:val="-5"/>
                <w:sz w:val="24"/>
              </w:rPr>
              <w:t>SD</w:t>
            </w:r>
          </w:p>
        </w:tc>
      </w:tr>
      <w:tr>
        <w:trPr>
          <w:trHeight w:val="1765" w:hRule="atLeast"/>
        </w:trPr>
        <w:tc>
          <w:tcPr>
            <w:tcW w:w="562" w:type="dxa"/>
            <w:vMerge/>
            <w:tcBorders>
              <w:top w:val="nil"/>
            </w:tcBorders>
          </w:tcPr>
          <w:p>
            <w:pPr>
              <w:rPr>
                <w:sz w:val="2"/>
                <w:szCs w:val="2"/>
              </w:rPr>
            </w:pPr>
          </w:p>
        </w:tc>
        <w:tc>
          <w:tcPr>
            <w:tcW w:w="5199" w:type="dxa"/>
            <w:vMerge/>
            <w:tcBorders>
              <w:top w:val="nil"/>
            </w:tcBorders>
          </w:tcPr>
          <w:p>
            <w:pPr>
              <w:rPr>
                <w:sz w:val="2"/>
                <w:szCs w:val="2"/>
              </w:rPr>
            </w:pP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775" w:hRule="atLeast"/>
        </w:trPr>
        <w:tc>
          <w:tcPr>
            <w:tcW w:w="562" w:type="dxa"/>
          </w:tcPr>
          <w:p>
            <w:pPr>
              <w:pStyle w:val="TableParagraph"/>
              <w:spacing w:line="271" w:lineRule="exact"/>
              <w:ind w:left="3" w:right="6"/>
              <w:jc w:val="center"/>
              <w:rPr>
                <w:sz w:val="24"/>
              </w:rPr>
            </w:pPr>
            <w:r>
              <w:rPr>
                <w:spacing w:val="-5"/>
                <w:sz w:val="24"/>
              </w:rPr>
              <w:t>49.</w:t>
            </w:r>
          </w:p>
        </w:tc>
        <w:tc>
          <w:tcPr>
            <w:tcW w:w="5199" w:type="dxa"/>
          </w:tcPr>
          <w:p>
            <w:pPr>
              <w:pStyle w:val="TableParagraph"/>
              <w:ind w:left="105" w:right="98"/>
              <w:jc w:val="both"/>
              <w:rPr>
                <w:sz w:val="24"/>
              </w:rPr>
            </w:pPr>
            <w:r>
              <w:rPr>
                <w:sz w:val="24"/>
              </w:rPr>
              <w:t>The sports and recreational facilities for students in Universities in the three</w:t>
            </w:r>
            <w:r>
              <w:rPr>
                <w:spacing w:val="40"/>
                <w:sz w:val="24"/>
              </w:rPr>
              <w:t> </w:t>
            </w:r>
            <w:r>
              <w:rPr>
                <w:sz w:val="24"/>
              </w:rPr>
              <w:t>geopolitical zones in the Northern part of Nigeria cover a wide range of activities to satisfy the diverse tasks, interests and skills of </w:t>
            </w:r>
            <w:r>
              <w:rPr>
                <w:spacing w:val="-2"/>
                <w:sz w:val="24"/>
              </w:rPr>
              <w:t>students.</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622"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50.</w:t>
            </w:r>
          </w:p>
        </w:tc>
        <w:tc>
          <w:tcPr>
            <w:tcW w:w="5199" w:type="dxa"/>
          </w:tcPr>
          <w:p>
            <w:pPr>
              <w:pStyle w:val="TableParagraph"/>
              <w:spacing w:before="117"/>
              <w:rPr>
                <w:rFonts w:ascii="Arial"/>
                <w:b/>
                <w:sz w:val="24"/>
              </w:rPr>
            </w:pPr>
          </w:p>
          <w:p>
            <w:pPr>
              <w:pStyle w:val="TableParagraph"/>
              <w:spacing w:before="1"/>
              <w:ind w:left="105" w:right="100"/>
              <w:jc w:val="both"/>
              <w:rPr>
                <w:sz w:val="24"/>
              </w:rPr>
            </w:pPr>
            <w:r>
              <w:rPr>
                <w:sz w:val="24"/>
              </w:rPr>
              <w:t>Encouraging participation of students in sports and recreation open opportunities for students to win various scholarships, Bursary, Fellowships, Jobs etc even after graduation.</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895" w:hRule="atLeast"/>
        </w:trPr>
        <w:tc>
          <w:tcPr>
            <w:tcW w:w="562" w:type="dxa"/>
          </w:tcPr>
          <w:p>
            <w:pPr>
              <w:pStyle w:val="TableParagraph"/>
              <w:spacing w:before="113"/>
              <w:rPr>
                <w:rFonts w:ascii="Arial"/>
                <w:b/>
                <w:sz w:val="24"/>
              </w:rPr>
            </w:pPr>
          </w:p>
          <w:p>
            <w:pPr>
              <w:pStyle w:val="TableParagraph"/>
              <w:ind w:left="3" w:right="6"/>
              <w:jc w:val="center"/>
              <w:rPr>
                <w:sz w:val="24"/>
              </w:rPr>
            </w:pPr>
            <w:r>
              <w:rPr>
                <w:spacing w:val="-5"/>
                <w:sz w:val="24"/>
              </w:rPr>
              <w:t>51.</w:t>
            </w:r>
          </w:p>
        </w:tc>
        <w:tc>
          <w:tcPr>
            <w:tcW w:w="5199" w:type="dxa"/>
          </w:tcPr>
          <w:p>
            <w:pPr>
              <w:pStyle w:val="TableParagraph"/>
              <w:spacing w:before="113"/>
              <w:rPr>
                <w:rFonts w:ascii="Arial"/>
                <w:b/>
                <w:sz w:val="24"/>
              </w:rPr>
            </w:pPr>
          </w:p>
          <w:p>
            <w:pPr>
              <w:pStyle w:val="TableParagraph"/>
              <w:ind w:left="105" w:right="100"/>
              <w:jc w:val="both"/>
              <w:rPr>
                <w:sz w:val="24"/>
              </w:rPr>
            </w:pPr>
            <w:r>
              <w:rPr>
                <w:sz w:val="24"/>
              </w:rPr>
              <w:t>Participation in games like West African Universities Games (WAUG), Federation of African Universities Sports (FAUS), Nigerian Universities Games Association (NUGA) etc give them wide exposure.</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bl>
    <w:p>
      <w:pPr>
        <w:spacing w:after="0"/>
        <w:rPr>
          <w:rFonts w:ascii="Times New Roman"/>
          <w:sz w:val="22"/>
        </w:rPr>
        <w:sectPr>
          <w:headerReference w:type="default" r:id="rId618"/>
          <w:footerReference w:type="default" r:id="rId619"/>
          <w:pgSz w:w="12240" w:h="15840"/>
          <w:pgMar w:header="722" w:footer="623" w:top="980" w:bottom="820" w:left="1220" w:right="1140"/>
        </w:sectPr>
      </w:pPr>
    </w:p>
    <w:p>
      <w:pPr>
        <w:pStyle w:val="BodyText"/>
        <w:spacing w:before="222"/>
        <w:rPr>
          <w:rFonts w:ascii="Arial"/>
          <w:b/>
          <w:sz w:val="20"/>
        </w:rPr>
      </w:pPr>
    </w:p>
    <w:tbl>
      <w:tblPr>
        <w:tblW w:w="0" w:type="auto"/>
        <w:jc w:val="left"/>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2"/>
        <w:gridCol w:w="5199"/>
        <w:gridCol w:w="903"/>
        <w:gridCol w:w="721"/>
        <w:gridCol w:w="721"/>
        <w:gridCol w:w="721"/>
        <w:gridCol w:w="721"/>
      </w:tblGrid>
      <w:tr>
        <w:trPr>
          <w:trHeight w:val="1343"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52.</w:t>
            </w:r>
          </w:p>
        </w:tc>
        <w:tc>
          <w:tcPr>
            <w:tcW w:w="5199" w:type="dxa"/>
          </w:tcPr>
          <w:p>
            <w:pPr>
              <w:pStyle w:val="TableParagraph"/>
              <w:spacing w:before="117"/>
              <w:rPr>
                <w:rFonts w:ascii="Arial"/>
                <w:b/>
                <w:sz w:val="24"/>
              </w:rPr>
            </w:pPr>
          </w:p>
          <w:p>
            <w:pPr>
              <w:pStyle w:val="TableParagraph"/>
              <w:spacing w:before="1"/>
              <w:ind w:left="105" w:right="102"/>
              <w:jc w:val="both"/>
              <w:rPr>
                <w:sz w:val="24"/>
              </w:rPr>
            </w:pPr>
            <w:r>
              <w:rPr>
                <w:sz w:val="24"/>
              </w:rPr>
              <w:t>Provision of sports and recreational facilities</w:t>
            </w:r>
            <w:r>
              <w:rPr>
                <w:spacing w:val="40"/>
                <w:sz w:val="24"/>
              </w:rPr>
              <w:t> </w:t>
            </w:r>
            <w:r>
              <w:rPr>
                <w:sz w:val="24"/>
              </w:rPr>
              <w:t>on the campus reduces conflict and student </w:t>
            </w:r>
            <w:r>
              <w:rPr>
                <w:spacing w:val="-2"/>
                <w:sz w:val="24"/>
              </w:rPr>
              <w:t>crisis.</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895"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53.</w:t>
            </w:r>
          </w:p>
        </w:tc>
        <w:tc>
          <w:tcPr>
            <w:tcW w:w="5199" w:type="dxa"/>
          </w:tcPr>
          <w:p>
            <w:pPr>
              <w:pStyle w:val="TableParagraph"/>
              <w:spacing w:before="117"/>
              <w:rPr>
                <w:rFonts w:ascii="Arial"/>
                <w:b/>
                <w:sz w:val="24"/>
              </w:rPr>
            </w:pPr>
          </w:p>
          <w:p>
            <w:pPr>
              <w:pStyle w:val="TableParagraph"/>
              <w:spacing w:before="1"/>
              <w:ind w:left="105" w:right="100"/>
              <w:jc w:val="both"/>
              <w:rPr>
                <w:sz w:val="24"/>
              </w:rPr>
            </w:pPr>
            <w:r>
              <w:rPr>
                <w:sz w:val="24"/>
              </w:rPr>
              <w:t>Provision of adequate indoor games like chess, snookers,</w:t>
            </w:r>
            <w:r>
              <w:rPr>
                <w:spacing w:val="-5"/>
                <w:sz w:val="24"/>
              </w:rPr>
              <w:t> </w:t>
            </w:r>
            <w:r>
              <w:rPr>
                <w:sz w:val="24"/>
              </w:rPr>
              <w:t>ludos</w:t>
            </w:r>
            <w:r>
              <w:rPr>
                <w:spacing w:val="-1"/>
                <w:sz w:val="24"/>
              </w:rPr>
              <w:t> </w:t>
            </w:r>
            <w:r>
              <w:rPr>
                <w:sz w:val="24"/>
              </w:rPr>
              <w:t>etc</w:t>
            </w:r>
            <w:r>
              <w:rPr>
                <w:spacing w:val="-1"/>
                <w:sz w:val="24"/>
              </w:rPr>
              <w:t> </w:t>
            </w:r>
            <w:r>
              <w:rPr>
                <w:sz w:val="24"/>
              </w:rPr>
              <w:t>and television sets, in Common Rooms, and student centers refresh students minds and brains as well as widening the scope of their academic pursuit.</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bl>
    <w:p>
      <w:pPr>
        <w:pStyle w:val="BodyText"/>
        <w:spacing w:before="114"/>
        <w:rPr>
          <w:rFonts w:ascii="Arial"/>
          <w:b/>
        </w:rPr>
      </w:pPr>
    </w:p>
    <w:p>
      <w:pPr>
        <w:pStyle w:val="ListParagraph"/>
        <w:numPr>
          <w:ilvl w:val="1"/>
          <w:numId w:val="53"/>
        </w:numPr>
        <w:tabs>
          <w:tab w:pos="891" w:val="left" w:leader="none"/>
        </w:tabs>
        <w:spacing w:line="240" w:lineRule="auto" w:before="0" w:after="0"/>
        <w:ind w:left="891" w:right="0" w:hanging="671"/>
        <w:jc w:val="left"/>
        <w:rPr>
          <w:rFonts w:ascii="Arial"/>
          <w:b/>
          <w:sz w:val="24"/>
        </w:rPr>
      </w:pPr>
      <w:r>
        <w:rPr>
          <w:rFonts w:ascii="Arial"/>
          <w:b/>
          <w:sz w:val="24"/>
        </w:rPr>
        <w:t>Impact</w:t>
      </w:r>
      <w:r>
        <w:rPr>
          <w:rFonts w:ascii="Arial"/>
          <w:b/>
          <w:spacing w:val="-9"/>
          <w:sz w:val="24"/>
        </w:rPr>
        <w:t> </w:t>
      </w:r>
      <w:r>
        <w:rPr>
          <w:rFonts w:ascii="Arial"/>
          <w:b/>
          <w:sz w:val="24"/>
        </w:rPr>
        <w:t>of</w:t>
      </w:r>
      <w:r>
        <w:rPr>
          <w:rFonts w:ascii="Arial"/>
          <w:b/>
          <w:spacing w:val="-9"/>
          <w:sz w:val="24"/>
        </w:rPr>
        <w:t> </w:t>
      </w:r>
      <w:r>
        <w:rPr>
          <w:rFonts w:ascii="Arial"/>
          <w:b/>
          <w:sz w:val="24"/>
        </w:rPr>
        <w:t>Security</w:t>
      </w:r>
      <w:r>
        <w:rPr>
          <w:rFonts w:ascii="Arial"/>
          <w:b/>
          <w:spacing w:val="-13"/>
          <w:sz w:val="24"/>
        </w:rPr>
        <w:t> </w:t>
      </w:r>
      <w:r>
        <w:rPr>
          <w:rFonts w:ascii="Arial"/>
          <w:b/>
          <w:sz w:val="24"/>
        </w:rPr>
        <w:t>and</w:t>
      </w:r>
      <w:r>
        <w:rPr>
          <w:rFonts w:ascii="Arial"/>
          <w:b/>
          <w:spacing w:val="-8"/>
          <w:sz w:val="24"/>
        </w:rPr>
        <w:t> </w:t>
      </w:r>
      <w:r>
        <w:rPr>
          <w:rFonts w:ascii="Arial"/>
          <w:b/>
          <w:sz w:val="24"/>
        </w:rPr>
        <w:t>Communication</w:t>
      </w:r>
      <w:r>
        <w:rPr>
          <w:rFonts w:ascii="Arial"/>
          <w:b/>
          <w:spacing w:val="-12"/>
          <w:sz w:val="24"/>
        </w:rPr>
        <w:t> </w:t>
      </w:r>
      <w:r>
        <w:rPr>
          <w:rFonts w:ascii="Arial"/>
          <w:b/>
          <w:spacing w:val="-2"/>
          <w:sz w:val="24"/>
        </w:rPr>
        <w:t>services</w:t>
      </w:r>
    </w:p>
    <w:p>
      <w:pPr>
        <w:pStyle w:val="BodyText"/>
        <w:rPr>
          <w:rFonts w:ascii="Arial"/>
          <w:b/>
          <w:sz w:val="11"/>
        </w:rPr>
      </w:pPr>
    </w:p>
    <w:tbl>
      <w:tblPr>
        <w:tblW w:w="0" w:type="auto"/>
        <w:jc w:val="left"/>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2"/>
        <w:gridCol w:w="5199"/>
        <w:gridCol w:w="903"/>
        <w:gridCol w:w="721"/>
        <w:gridCol w:w="721"/>
        <w:gridCol w:w="721"/>
        <w:gridCol w:w="721"/>
      </w:tblGrid>
      <w:tr>
        <w:trPr>
          <w:trHeight w:val="398" w:hRule="atLeast"/>
        </w:trPr>
        <w:tc>
          <w:tcPr>
            <w:tcW w:w="562" w:type="dxa"/>
            <w:vMerge w:val="restart"/>
          </w:tcPr>
          <w:p>
            <w:pPr>
              <w:pStyle w:val="TableParagraph"/>
              <w:spacing w:before="117"/>
              <w:rPr>
                <w:rFonts w:ascii="Arial"/>
                <w:b/>
                <w:sz w:val="24"/>
              </w:rPr>
            </w:pPr>
          </w:p>
          <w:p>
            <w:pPr>
              <w:pStyle w:val="TableParagraph"/>
              <w:spacing w:before="1"/>
              <w:ind w:left="105"/>
              <w:rPr>
                <w:sz w:val="24"/>
              </w:rPr>
            </w:pPr>
            <w:r>
              <w:rPr>
                <w:spacing w:val="-5"/>
                <w:sz w:val="24"/>
              </w:rPr>
              <w:t>54.</w:t>
            </w:r>
          </w:p>
        </w:tc>
        <w:tc>
          <w:tcPr>
            <w:tcW w:w="5199" w:type="dxa"/>
            <w:vMerge w:val="restart"/>
          </w:tcPr>
          <w:p>
            <w:pPr>
              <w:pStyle w:val="TableParagraph"/>
              <w:spacing w:before="117"/>
              <w:rPr>
                <w:rFonts w:ascii="Arial"/>
                <w:b/>
                <w:sz w:val="24"/>
              </w:rPr>
            </w:pPr>
          </w:p>
          <w:p>
            <w:pPr>
              <w:pStyle w:val="TableParagraph"/>
              <w:spacing w:before="1"/>
              <w:ind w:left="105" w:right="102"/>
              <w:jc w:val="both"/>
              <w:rPr>
                <w:sz w:val="24"/>
              </w:rPr>
            </w:pPr>
            <w:r>
              <w:rPr>
                <w:sz w:val="24"/>
              </w:rPr>
              <w:t>The Universities have adequate and effective security personnel to assist and guide students’ movement on the campus.</w:t>
            </w:r>
          </w:p>
        </w:tc>
        <w:tc>
          <w:tcPr>
            <w:tcW w:w="903" w:type="dxa"/>
          </w:tcPr>
          <w:p>
            <w:pPr>
              <w:pStyle w:val="TableParagraph"/>
              <w:spacing w:line="267" w:lineRule="exact"/>
              <w:ind w:left="104"/>
              <w:rPr>
                <w:rFonts w:ascii="Arial"/>
                <w:b/>
                <w:sz w:val="24"/>
              </w:rPr>
            </w:pPr>
            <w:r>
              <w:rPr>
                <w:rFonts w:ascii="Arial"/>
                <w:b/>
                <w:spacing w:val="-5"/>
                <w:sz w:val="24"/>
              </w:rPr>
              <w:t>SA</w:t>
            </w:r>
          </w:p>
        </w:tc>
        <w:tc>
          <w:tcPr>
            <w:tcW w:w="721" w:type="dxa"/>
          </w:tcPr>
          <w:p>
            <w:pPr>
              <w:pStyle w:val="TableParagraph"/>
              <w:spacing w:line="267" w:lineRule="exact"/>
              <w:ind w:left="103"/>
              <w:rPr>
                <w:rFonts w:ascii="Arial"/>
                <w:b/>
                <w:sz w:val="24"/>
              </w:rPr>
            </w:pPr>
            <w:r>
              <w:rPr>
                <w:rFonts w:ascii="Arial"/>
                <w:b/>
                <w:spacing w:val="-10"/>
                <w:sz w:val="24"/>
              </w:rPr>
              <w:t>A</w:t>
            </w:r>
          </w:p>
        </w:tc>
        <w:tc>
          <w:tcPr>
            <w:tcW w:w="721" w:type="dxa"/>
          </w:tcPr>
          <w:p>
            <w:pPr>
              <w:pStyle w:val="TableParagraph"/>
              <w:spacing w:line="267" w:lineRule="exact"/>
              <w:ind w:left="102"/>
              <w:rPr>
                <w:rFonts w:ascii="Arial"/>
                <w:b/>
                <w:sz w:val="24"/>
              </w:rPr>
            </w:pPr>
            <w:r>
              <w:rPr>
                <w:rFonts w:ascii="Arial"/>
                <w:b/>
                <w:spacing w:val="-10"/>
                <w:sz w:val="24"/>
              </w:rPr>
              <w:t>U</w:t>
            </w:r>
          </w:p>
        </w:tc>
        <w:tc>
          <w:tcPr>
            <w:tcW w:w="721" w:type="dxa"/>
          </w:tcPr>
          <w:p>
            <w:pPr>
              <w:pStyle w:val="TableParagraph"/>
              <w:spacing w:line="267" w:lineRule="exact"/>
              <w:ind w:left="101"/>
              <w:rPr>
                <w:rFonts w:ascii="Arial"/>
                <w:b/>
                <w:sz w:val="24"/>
              </w:rPr>
            </w:pPr>
            <w:r>
              <w:rPr>
                <w:rFonts w:ascii="Arial"/>
                <w:b/>
                <w:spacing w:val="-10"/>
                <w:sz w:val="24"/>
              </w:rPr>
              <w:t>D</w:t>
            </w:r>
          </w:p>
        </w:tc>
        <w:tc>
          <w:tcPr>
            <w:tcW w:w="721" w:type="dxa"/>
          </w:tcPr>
          <w:p>
            <w:pPr>
              <w:pStyle w:val="TableParagraph"/>
              <w:spacing w:line="267" w:lineRule="exact"/>
              <w:ind w:left="100"/>
              <w:rPr>
                <w:rFonts w:ascii="Arial"/>
                <w:b/>
                <w:sz w:val="24"/>
              </w:rPr>
            </w:pPr>
            <w:r>
              <w:rPr>
                <w:rFonts w:ascii="Arial"/>
                <w:b/>
                <w:spacing w:val="-5"/>
                <w:sz w:val="24"/>
              </w:rPr>
              <w:t>SD</w:t>
            </w:r>
          </w:p>
        </w:tc>
      </w:tr>
      <w:tr>
        <w:trPr>
          <w:trHeight w:val="935" w:hRule="atLeast"/>
        </w:trPr>
        <w:tc>
          <w:tcPr>
            <w:tcW w:w="562" w:type="dxa"/>
            <w:vMerge/>
            <w:tcBorders>
              <w:top w:val="nil"/>
            </w:tcBorders>
          </w:tcPr>
          <w:p>
            <w:pPr>
              <w:rPr>
                <w:sz w:val="2"/>
                <w:szCs w:val="2"/>
              </w:rPr>
            </w:pPr>
          </w:p>
        </w:tc>
        <w:tc>
          <w:tcPr>
            <w:tcW w:w="5199" w:type="dxa"/>
            <w:vMerge/>
            <w:tcBorders>
              <w:top w:val="nil"/>
            </w:tcBorders>
          </w:tcPr>
          <w:p>
            <w:pPr>
              <w:rPr>
                <w:sz w:val="2"/>
                <w:szCs w:val="2"/>
              </w:rPr>
            </w:pP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895"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55.</w:t>
            </w:r>
          </w:p>
        </w:tc>
        <w:tc>
          <w:tcPr>
            <w:tcW w:w="5199" w:type="dxa"/>
          </w:tcPr>
          <w:p>
            <w:pPr>
              <w:pStyle w:val="TableParagraph"/>
              <w:spacing w:before="117"/>
              <w:rPr>
                <w:rFonts w:ascii="Arial"/>
                <w:b/>
                <w:sz w:val="24"/>
              </w:rPr>
            </w:pPr>
          </w:p>
          <w:p>
            <w:pPr>
              <w:pStyle w:val="TableParagraph"/>
              <w:spacing w:before="1"/>
              <w:ind w:left="105" w:right="97"/>
              <w:jc w:val="both"/>
              <w:rPr>
                <w:sz w:val="24"/>
              </w:rPr>
            </w:pPr>
            <w:r>
              <w:rPr>
                <w:sz w:val="24"/>
              </w:rPr>
              <w:t>The security-men are involved in active patrolling,</w:t>
            </w:r>
            <w:r>
              <w:rPr>
                <w:spacing w:val="-6"/>
                <w:sz w:val="24"/>
              </w:rPr>
              <w:t> </w:t>
            </w:r>
            <w:r>
              <w:rPr>
                <w:sz w:val="24"/>
              </w:rPr>
              <w:t>surveillance</w:t>
            </w:r>
            <w:r>
              <w:rPr>
                <w:spacing w:val="-5"/>
                <w:sz w:val="24"/>
              </w:rPr>
              <w:t> </w:t>
            </w:r>
            <w:r>
              <w:rPr>
                <w:sz w:val="24"/>
              </w:rPr>
              <w:t>and</w:t>
            </w:r>
            <w:r>
              <w:rPr>
                <w:spacing w:val="-5"/>
                <w:sz w:val="24"/>
              </w:rPr>
              <w:t> </w:t>
            </w:r>
            <w:r>
              <w:rPr>
                <w:sz w:val="24"/>
              </w:rPr>
              <w:t>maintenance</w:t>
            </w:r>
            <w:r>
              <w:rPr>
                <w:spacing w:val="-5"/>
                <w:sz w:val="24"/>
              </w:rPr>
              <w:t> </w:t>
            </w:r>
            <w:r>
              <w:rPr>
                <w:sz w:val="24"/>
              </w:rPr>
              <w:t>of</w:t>
            </w:r>
            <w:r>
              <w:rPr>
                <w:spacing w:val="-10"/>
                <w:sz w:val="24"/>
              </w:rPr>
              <w:t> </w:t>
            </w:r>
            <w:r>
              <w:rPr>
                <w:sz w:val="24"/>
              </w:rPr>
              <w:t>law and order. They are also to receive and report important and vital information for peaceful coexistence on the campus.</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343"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56.</w:t>
            </w:r>
          </w:p>
        </w:tc>
        <w:tc>
          <w:tcPr>
            <w:tcW w:w="5199" w:type="dxa"/>
          </w:tcPr>
          <w:p>
            <w:pPr>
              <w:pStyle w:val="TableParagraph"/>
              <w:spacing w:before="117"/>
              <w:rPr>
                <w:rFonts w:ascii="Arial"/>
                <w:b/>
                <w:sz w:val="24"/>
              </w:rPr>
            </w:pPr>
          </w:p>
          <w:p>
            <w:pPr>
              <w:pStyle w:val="TableParagraph"/>
              <w:spacing w:before="1"/>
              <w:ind w:left="105" w:right="101"/>
              <w:jc w:val="both"/>
              <w:rPr>
                <w:sz w:val="24"/>
              </w:rPr>
            </w:pPr>
            <w:r>
              <w:rPr>
                <w:sz w:val="24"/>
              </w:rPr>
              <w:t>The security personnel are well equipped to fight crimes such as cultism, robbery etc on</w:t>
            </w:r>
            <w:r>
              <w:rPr>
                <w:spacing w:val="40"/>
                <w:sz w:val="24"/>
              </w:rPr>
              <w:t> </w:t>
            </w:r>
            <w:r>
              <w:rPr>
                <w:sz w:val="24"/>
              </w:rPr>
              <w:t>the campus.</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621"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57.</w:t>
            </w:r>
          </w:p>
        </w:tc>
        <w:tc>
          <w:tcPr>
            <w:tcW w:w="5199" w:type="dxa"/>
          </w:tcPr>
          <w:p>
            <w:pPr>
              <w:pStyle w:val="TableParagraph"/>
              <w:spacing w:before="117"/>
              <w:rPr>
                <w:rFonts w:ascii="Arial"/>
                <w:b/>
                <w:sz w:val="24"/>
              </w:rPr>
            </w:pPr>
          </w:p>
          <w:p>
            <w:pPr>
              <w:pStyle w:val="TableParagraph"/>
              <w:spacing w:before="1"/>
              <w:ind w:left="105" w:right="101"/>
              <w:jc w:val="both"/>
              <w:rPr>
                <w:sz w:val="24"/>
              </w:rPr>
            </w:pPr>
            <w:r>
              <w:rPr>
                <w:sz w:val="24"/>
              </w:rPr>
              <w:t>The recruitment of casual hunters is vital in augmenting the efforts of security in making the environment secure for academic</w:t>
            </w:r>
            <w:r>
              <w:rPr>
                <w:spacing w:val="80"/>
                <w:sz w:val="24"/>
              </w:rPr>
              <w:t> </w:t>
            </w:r>
            <w:r>
              <w:rPr>
                <w:spacing w:val="-2"/>
                <w:sz w:val="24"/>
              </w:rPr>
              <w:t>activities.</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343"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58.</w:t>
            </w:r>
          </w:p>
        </w:tc>
        <w:tc>
          <w:tcPr>
            <w:tcW w:w="5199" w:type="dxa"/>
          </w:tcPr>
          <w:p>
            <w:pPr>
              <w:pStyle w:val="TableParagraph"/>
              <w:spacing w:before="117"/>
              <w:rPr>
                <w:rFonts w:ascii="Arial"/>
                <w:b/>
                <w:sz w:val="24"/>
              </w:rPr>
            </w:pPr>
          </w:p>
          <w:p>
            <w:pPr>
              <w:pStyle w:val="TableParagraph"/>
              <w:spacing w:before="1"/>
              <w:ind w:left="105" w:right="100"/>
              <w:jc w:val="both"/>
              <w:rPr>
                <w:sz w:val="24"/>
              </w:rPr>
            </w:pPr>
            <w:r>
              <w:rPr>
                <w:sz w:val="24"/>
              </w:rPr>
              <w:t>Some universities have dedicated, well enlightened and trained security system with improved technological gadgets.</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bl>
    <w:p>
      <w:pPr>
        <w:spacing w:after="0"/>
        <w:rPr>
          <w:rFonts w:ascii="Times New Roman"/>
          <w:sz w:val="22"/>
        </w:rPr>
        <w:sectPr>
          <w:headerReference w:type="default" r:id="rId620"/>
          <w:footerReference w:type="default" r:id="rId621"/>
          <w:pgSz w:w="12240" w:h="15840"/>
          <w:pgMar w:header="722" w:footer="623" w:top="980" w:bottom="820" w:left="1220" w:right="1140"/>
        </w:sectPr>
      </w:pPr>
    </w:p>
    <w:p>
      <w:pPr>
        <w:pStyle w:val="BodyText"/>
        <w:spacing w:before="167"/>
        <w:rPr>
          <w:rFonts w:ascii="Arial"/>
          <w:b/>
        </w:rPr>
      </w:pPr>
    </w:p>
    <w:p>
      <w:pPr>
        <w:pStyle w:val="ListParagraph"/>
        <w:numPr>
          <w:ilvl w:val="1"/>
          <w:numId w:val="53"/>
        </w:numPr>
        <w:tabs>
          <w:tab w:pos="886" w:val="left" w:leader="none"/>
        </w:tabs>
        <w:spacing w:line="240" w:lineRule="auto" w:before="0" w:after="0"/>
        <w:ind w:left="886" w:right="0" w:hanging="666"/>
        <w:jc w:val="left"/>
        <w:rPr>
          <w:rFonts w:ascii="Arial"/>
          <w:b/>
          <w:sz w:val="24"/>
        </w:rPr>
      </w:pPr>
      <w:r>
        <w:rPr>
          <w:rFonts w:ascii="Arial"/>
          <w:b/>
          <w:sz w:val="24"/>
        </w:rPr>
        <w:t>Transport</w:t>
      </w:r>
      <w:r>
        <w:rPr>
          <w:rFonts w:ascii="Arial"/>
          <w:b/>
          <w:spacing w:val="-9"/>
          <w:sz w:val="24"/>
        </w:rPr>
        <w:t> </w:t>
      </w:r>
      <w:r>
        <w:rPr>
          <w:rFonts w:ascii="Arial"/>
          <w:b/>
          <w:spacing w:val="-2"/>
          <w:sz w:val="24"/>
        </w:rPr>
        <w:t>Services</w:t>
      </w:r>
    </w:p>
    <w:p>
      <w:pPr>
        <w:pStyle w:val="BodyText"/>
        <w:rPr>
          <w:rFonts w:ascii="Arial"/>
          <w:b/>
          <w:sz w:val="11"/>
        </w:rPr>
      </w:pPr>
    </w:p>
    <w:tbl>
      <w:tblPr>
        <w:tblW w:w="0" w:type="auto"/>
        <w:jc w:val="left"/>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2"/>
        <w:gridCol w:w="5199"/>
        <w:gridCol w:w="903"/>
        <w:gridCol w:w="721"/>
        <w:gridCol w:w="721"/>
        <w:gridCol w:w="721"/>
        <w:gridCol w:w="721"/>
      </w:tblGrid>
      <w:tr>
        <w:trPr>
          <w:trHeight w:val="397" w:hRule="atLeast"/>
        </w:trPr>
        <w:tc>
          <w:tcPr>
            <w:tcW w:w="562" w:type="dxa"/>
            <w:vMerge w:val="restart"/>
          </w:tcPr>
          <w:p>
            <w:pPr>
              <w:pStyle w:val="TableParagraph"/>
              <w:spacing w:before="117"/>
              <w:rPr>
                <w:rFonts w:ascii="Arial"/>
                <w:b/>
                <w:sz w:val="24"/>
              </w:rPr>
            </w:pPr>
          </w:p>
          <w:p>
            <w:pPr>
              <w:pStyle w:val="TableParagraph"/>
              <w:spacing w:before="1"/>
              <w:ind w:left="105"/>
              <w:rPr>
                <w:sz w:val="24"/>
              </w:rPr>
            </w:pPr>
            <w:r>
              <w:rPr>
                <w:spacing w:val="-5"/>
                <w:sz w:val="24"/>
              </w:rPr>
              <w:t>59.</w:t>
            </w:r>
          </w:p>
        </w:tc>
        <w:tc>
          <w:tcPr>
            <w:tcW w:w="5199" w:type="dxa"/>
            <w:vMerge w:val="restart"/>
          </w:tcPr>
          <w:p>
            <w:pPr>
              <w:pStyle w:val="TableParagraph"/>
              <w:spacing w:before="117"/>
              <w:rPr>
                <w:rFonts w:ascii="Arial"/>
                <w:b/>
                <w:sz w:val="24"/>
              </w:rPr>
            </w:pPr>
          </w:p>
          <w:p>
            <w:pPr>
              <w:pStyle w:val="TableParagraph"/>
              <w:spacing w:before="1"/>
              <w:ind w:left="105" w:right="96"/>
              <w:jc w:val="both"/>
              <w:rPr>
                <w:sz w:val="24"/>
              </w:rPr>
            </w:pPr>
            <w:r>
              <w:rPr>
                <w:sz w:val="24"/>
              </w:rPr>
              <w:t>Ideal University campus should have an organized and well-supervised transport facilities</w:t>
            </w:r>
            <w:r>
              <w:rPr>
                <w:spacing w:val="-3"/>
                <w:sz w:val="24"/>
              </w:rPr>
              <w:t> </w:t>
            </w:r>
            <w:r>
              <w:rPr>
                <w:sz w:val="24"/>
              </w:rPr>
              <w:t>like Express, Buses, Bicycles so as to facilitate student movement from one point of lecture to another and/or from one faculty to another and vice versa.</w:t>
            </w:r>
          </w:p>
        </w:tc>
        <w:tc>
          <w:tcPr>
            <w:tcW w:w="903" w:type="dxa"/>
          </w:tcPr>
          <w:p>
            <w:pPr>
              <w:pStyle w:val="TableParagraph"/>
              <w:spacing w:line="271" w:lineRule="exact"/>
              <w:ind w:left="104"/>
              <w:rPr>
                <w:rFonts w:ascii="Arial"/>
                <w:b/>
                <w:sz w:val="24"/>
              </w:rPr>
            </w:pPr>
            <w:r>
              <w:rPr>
                <w:rFonts w:ascii="Arial"/>
                <w:b/>
                <w:spacing w:val="-5"/>
                <w:sz w:val="24"/>
              </w:rPr>
              <w:t>SA</w:t>
            </w:r>
          </w:p>
        </w:tc>
        <w:tc>
          <w:tcPr>
            <w:tcW w:w="721" w:type="dxa"/>
          </w:tcPr>
          <w:p>
            <w:pPr>
              <w:pStyle w:val="TableParagraph"/>
              <w:spacing w:line="271" w:lineRule="exact"/>
              <w:ind w:left="103"/>
              <w:rPr>
                <w:rFonts w:ascii="Arial"/>
                <w:b/>
                <w:sz w:val="24"/>
              </w:rPr>
            </w:pPr>
            <w:r>
              <w:rPr>
                <w:rFonts w:ascii="Arial"/>
                <w:b/>
                <w:spacing w:val="-10"/>
                <w:sz w:val="24"/>
              </w:rPr>
              <w:t>A</w:t>
            </w:r>
          </w:p>
        </w:tc>
        <w:tc>
          <w:tcPr>
            <w:tcW w:w="721" w:type="dxa"/>
          </w:tcPr>
          <w:p>
            <w:pPr>
              <w:pStyle w:val="TableParagraph"/>
              <w:spacing w:line="271" w:lineRule="exact"/>
              <w:ind w:left="102"/>
              <w:rPr>
                <w:rFonts w:ascii="Arial"/>
                <w:b/>
                <w:sz w:val="24"/>
              </w:rPr>
            </w:pPr>
            <w:r>
              <w:rPr>
                <w:rFonts w:ascii="Arial"/>
                <w:b/>
                <w:spacing w:val="-10"/>
                <w:sz w:val="24"/>
              </w:rPr>
              <w:t>U</w:t>
            </w:r>
          </w:p>
        </w:tc>
        <w:tc>
          <w:tcPr>
            <w:tcW w:w="721" w:type="dxa"/>
          </w:tcPr>
          <w:p>
            <w:pPr>
              <w:pStyle w:val="TableParagraph"/>
              <w:spacing w:line="271" w:lineRule="exact"/>
              <w:ind w:left="101"/>
              <w:rPr>
                <w:rFonts w:ascii="Arial"/>
                <w:b/>
                <w:sz w:val="24"/>
              </w:rPr>
            </w:pPr>
            <w:r>
              <w:rPr>
                <w:rFonts w:ascii="Arial"/>
                <w:b/>
                <w:spacing w:val="-10"/>
                <w:sz w:val="24"/>
              </w:rPr>
              <w:t>D</w:t>
            </w:r>
          </w:p>
        </w:tc>
        <w:tc>
          <w:tcPr>
            <w:tcW w:w="721" w:type="dxa"/>
          </w:tcPr>
          <w:p>
            <w:pPr>
              <w:pStyle w:val="TableParagraph"/>
              <w:spacing w:line="271" w:lineRule="exact"/>
              <w:ind w:left="100"/>
              <w:rPr>
                <w:rFonts w:ascii="Arial"/>
                <w:b/>
                <w:sz w:val="24"/>
              </w:rPr>
            </w:pPr>
            <w:r>
              <w:rPr>
                <w:rFonts w:ascii="Arial"/>
                <w:b/>
                <w:spacing w:val="-5"/>
                <w:sz w:val="24"/>
              </w:rPr>
              <w:t>SD</w:t>
            </w:r>
          </w:p>
        </w:tc>
      </w:tr>
      <w:tr>
        <w:trPr>
          <w:trHeight w:val="1766" w:hRule="atLeast"/>
        </w:trPr>
        <w:tc>
          <w:tcPr>
            <w:tcW w:w="562" w:type="dxa"/>
            <w:vMerge/>
            <w:tcBorders>
              <w:top w:val="nil"/>
            </w:tcBorders>
          </w:tcPr>
          <w:p>
            <w:pPr>
              <w:rPr>
                <w:sz w:val="2"/>
                <w:szCs w:val="2"/>
              </w:rPr>
            </w:pPr>
          </w:p>
        </w:tc>
        <w:tc>
          <w:tcPr>
            <w:tcW w:w="5199" w:type="dxa"/>
            <w:vMerge/>
            <w:tcBorders>
              <w:top w:val="nil"/>
            </w:tcBorders>
          </w:tcPr>
          <w:p>
            <w:pPr>
              <w:rPr>
                <w:sz w:val="2"/>
                <w:szCs w:val="2"/>
              </w:rPr>
            </w:pP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343"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60.</w:t>
            </w:r>
          </w:p>
        </w:tc>
        <w:tc>
          <w:tcPr>
            <w:tcW w:w="5199" w:type="dxa"/>
          </w:tcPr>
          <w:p>
            <w:pPr>
              <w:pStyle w:val="TableParagraph"/>
              <w:spacing w:before="117"/>
              <w:rPr>
                <w:rFonts w:ascii="Arial"/>
                <w:b/>
                <w:sz w:val="24"/>
              </w:rPr>
            </w:pPr>
          </w:p>
          <w:p>
            <w:pPr>
              <w:pStyle w:val="TableParagraph"/>
              <w:spacing w:before="1"/>
              <w:ind w:left="105" w:right="101"/>
              <w:jc w:val="both"/>
              <w:rPr>
                <w:sz w:val="24"/>
              </w:rPr>
            </w:pPr>
            <w:r>
              <w:rPr>
                <w:sz w:val="24"/>
              </w:rPr>
              <w:t>Lack of transport for Departmental academic activities will contribute to students missing lectures due to late coming.</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343"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61.</w:t>
            </w:r>
          </w:p>
        </w:tc>
        <w:tc>
          <w:tcPr>
            <w:tcW w:w="5199" w:type="dxa"/>
          </w:tcPr>
          <w:p>
            <w:pPr>
              <w:pStyle w:val="TableParagraph"/>
              <w:spacing w:before="117"/>
              <w:rPr>
                <w:rFonts w:ascii="Arial"/>
                <w:b/>
                <w:sz w:val="24"/>
              </w:rPr>
            </w:pPr>
          </w:p>
          <w:p>
            <w:pPr>
              <w:pStyle w:val="TableParagraph"/>
              <w:spacing w:before="1"/>
              <w:ind w:left="105" w:right="98"/>
              <w:jc w:val="both"/>
              <w:rPr>
                <w:sz w:val="24"/>
              </w:rPr>
            </w:pPr>
            <w:r>
              <w:rPr>
                <w:sz w:val="24"/>
              </w:rPr>
              <w:t>The Universities</w:t>
            </w:r>
            <w:r>
              <w:rPr>
                <w:spacing w:val="-5"/>
                <w:sz w:val="24"/>
              </w:rPr>
              <w:t> </w:t>
            </w:r>
            <w:r>
              <w:rPr>
                <w:sz w:val="24"/>
              </w:rPr>
              <w:t>do</w:t>
            </w:r>
            <w:r>
              <w:rPr>
                <w:spacing w:val="-5"/>
                <w:sz w:val="24"/>
              </w:rPr>
              <w:t> </w:t>
            </w:r>
            <w:r>
              <w:rPr>
                <w:sz w:val="24"/>
              </w:rPr>
              <w:t>not</w:t>
            </w:r>
            <w:r>
              <w:rPr>
                <w:spacing w:val="-5"/>
                <w:sz w:val="24"/>
              </w:rPr>
              <w:t> </w:t>
            </w:r>
            <w:r>
              <w:rPr>
                <w:sz w:val="24"/>
              </w:rPr>
              <w:t>have</w:t>
            </w:r>
            <w:r>
              <w:rPr>
                <w:spacing w:val="-5"/>
                <w:sz w:val="24"/>
              </w:rPr>
              <w:t> </w:t>
            </w:r>
            <w:r>
              <w:rPr>
                <w:sz w:val="24"/>
              </w:rPr>
              <w:t>enough buses</w:t>
            </w:r>
            <w:r>
              <w:rPr>
                <w:spacing w:val="-1"/>
                <w:sz w:val="24"/>
              </w:rPr>
              <w:t> </w:t>
            </w:r>
            <w:r>
              <w:rPr>
                <w:sz w:val="24"/>
              </w:rPr>
              <w:t>for students field trips, educational visits, practicals etc.</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621"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62.</w:t>
            </w:r>
          </w:p>
        </w:tc>
        <w:tc>
          <w:tcPr>
            <w:tcW w:w="5199" w:type="dxa"/>
          </w:tcPr>
          <w:p>
            <w:pPr>
              <w:pStyle w:val="TableParagraph"/>
              <w:spacing w:before="117"/>
              <w:rPr>
                <w:rFonts w:ascii="Arial"/>
                <w:b/>
                <w:sz w:val="24"/>
              </w:rPr>
            </w:pPr>
          </w:p>
          <w:p>
            <w:pPr>
              <w:pStyle w:val="TableParagraph"/>
              <w:spacing w:before="1"/>
              <w:ind w:left="105" w:right="101"/>
              <w:jc w:val="both"/>
              <w:rPr>
                <w:sz w:val="24"/>
              </w:rPr>
            </w:pPr>
            <w:r>
              <w:rPr>
                <w:sz w:val="24"/>
              </w:rPr>
              <w:t>Too many motorcycle businesses bring about security problems on the campus. There are problems of theft, over speeding and </w:t>
            </w:r>
            <w:r>
              <w:rPr>
                <w:spacing w:val="-2"/>
                <w:sz w:val="24"/>
              </w:rPr>
              <w:t>overcrowding.</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bl>
    <w:p>
      <w:pPr>
        <w:pStyle w:val="BodyText"/>
        <w:spacing w:before="111"/>
        <w:rPr>
          <w:rFonts w:ascii="Arial"/>
          <w:b/>
        </w:rPr>
      </w:pPr>
    </w:p>
    <w:p>
      <w:pPr>
        <w:pStyle w:val="ListParagraph"/>
        <w:numPr>
          <w:ilvl w:val="1"/>
          <w:numId w:val="53"/>
        </w:numPr>
        <w:tabs>
          <w:tab w:pos="891" w:val="left" w:leader="none"/>
        </w:tabs>
        <w:spacing w:line="240" w:lineRule="auto" w:before="0" w:after="0"/>
        <w:ind w:left="891" w:right="0" w:hanging="671"/>
        <w:jc w:val="left"/>
        <w:rPr>
          <w:rFonts w:ascii="Arial"/>
          <w:b/>
          <w:sz w:val="24"/>
        </w:rPr>
      </w:pPr>
      <w:r>
        <w:rPr>
          <w:rFonts w:ascii="Arial"/>
          <w:b/>
          <w:sz w:val="24"/>
        </w:rPr>
        <w:t>Impact</w:t>
      </w:r>
      <w:r>
        <w:rPr>
          <w:rFonts w:ascii="Arial"/>
          <w:b/>
          <w:spacing w:val="-9"/>
          <w:sz w:val="24"/>
        </w:rPr>
        <w:t> </w:t>
      </w:r>
      <w:r>
        <w:rPr>
          <w:rFonts w:ascii="Arial"/>
          <w:b/>
          <w:sz w:val="24"/>
        </w:rPr>
        <w:t>of</w:t>
      </w:r>
      <w:r>
        <w:rPr>
          <w:rFonts w:ascii="Arial"/>
          <w:b/>
          <w:spacing w:val="-8"/>
          <w:sz w:val="24"/>
        </w:rPr>
        <w:t> </w:t>
      </w:r>
      <w:r>
        <w:rPr>
          <w:rFonts w:ascii="Arial"/>
          <w:b/>
          <w:sz w:val="24"/>
        </w:rPr>
        <w:t>Religious</w:t>
      </w:r>
      <w:r>
        <w:rPr>
          <w:rFonts w:ascii="Arial"/>
          <w:b/>
          <w:spacing w:val="-9"/>
          <w:sz w:val="24"/>
        </w:rPr>
        <w:t> </w:t>
      </w:r>
      <w:r>
        <w:rPr>
          <w:rFonts w:ascii="Arial"/>
          <w:b/>
          <w:spacing w:val="-2"/>
          <w:sz w:val="24"/>
        </w:rPr>
        <w:t>Service</w:t>
      </w:r>
    </w:p>
    <w:p>
      <w:pPr>
        <w:pStyle w:val="BodyText"/>
        <w:spacing w:before="5"/>
        <w:rPr>
          <w:rFonts w:ascii="Arial"/>
          <w:b/>
          <w:sz w:val="11"/>
        </w:rPr>
      </w:pPr>
    </w:p>
    <w:tbl>
      <w:tblPr>
        <w:tblW w:w="0" w:type="auto"/>
        <w:jc w:val="left"/>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2"/>
        <w:gridCol w:w="5199"/>
        <w:gridCol w:w="903"/>
        <w:gridCol w:w="721"/>
        <w:gridCol w:w="721"/>
        <w:gridCol w:w="721"/>
        <w:gridCol w:w="721"/>
      </w:tblGrid>
      <w:tr>
        <w:trPr>
          <w:trHeight w:val="393" w:hRule="atLeast"/>
        </w:trPr>
        <w:tc>
          <w:tcPr>
            <w:tcW w:w="562" w:type="dxa"/>
            <w:vMerge w:val="restart"/>
          </w:tcPr>
          <w:p>
            <w:pPr>
              <w:pStyle w:val="TableParagraph"/>
              <w:spacing w:before="113"/>
              <w:rPr>
                <w:rFonts w:ascii="Arial"/>
                <w:b/>
                <w:sz w:val="24"/>
              </w:rPr>
            </w:pPr>
          </w:p>
          <w:p>
            <w:pPr>
              <w:pStyle w:val="TableParagraph"/>
              <w:ind w:left="105"/>
              <w:rPr>
                <w:sz w:val="24"/>
              </w:rPr>
            </w:pPr>
            <w:r>
              <w:rPr>
                <w:spacing w:val="-5"/>
                <w:sz w:val="24"/>
              </w:rPr>
              <w:t>63.</w:t>
            </w:r>
          </w:p>
        </w:tc>
        <w:tc>
          <w:tcPr>
            <w:tcW w:w="5199" w:type="dxa"/>
            <w:vMerge w:val="restart"/>
          </w:tcPr>
          <w:p>
            <w:pPr>
              <w:pStyle w:val="TableParagraph"/>
              <w:spacing w:before="113"/>
              <w:rPr>
                <w:rFonts w:ascii="Arial"/>
                <w:b/>
                <w:sz w:val="24"/>
              </w:rPr>
            </w:pPr>
          </w:p>
          <w:p>
            <w:pPr>
              <w:pStyle w:val="TableParagraph"/>
              <w:ind w:left="105" w:right="96"/>
              <w:jc w:val="both"/>
              <w:rPr>
                <w:sz w:val="24"/>
              </w:rPr>
            </w:pPr>
            <w:r>
              <w:rPr>
                <w:sz w:val="24"/>
              </w:rPr>
              <w:t>The religious</w:t>
            </w:r>
            <w:r>
              <w:rPr>
                <w:spacing w:val="-1"/>
                <w:sz w:val="24"/>
              </w:rPr>
              <w:t> </w:t>
            </w:r>
            <w:r>
              <w:rPr>
                <w:sz w:val="24"/>
              </w:rPr>
              <w:t>services</w:t>
            </w:r>
            <w:r>
              <w:rPr>
                <w:spacing w:val="-1"/>
                <w:sz w:val="24"/>
              </w:rPr>
              <w:t> </w:t>
            </w:r>
            <w:r>
              <w:rPr>
                <w:sz w:val="24"/>
              </w:rPr>
              <w:t>provided on the campus help students tremendously in moulding their moral and spiritual character.</w:t>
            </w:r>
          </w:p>
        </w:tc>
        <w:tc>
          <w:tcPr>
            <w:tcW w:w="903" w:type="dxa"/>
          </w:tcPr>
          <w:p>
            <w:pPr>
              <w:pStyle w:val="TableParagraph"/>
              <w:spacing w:line="267" w:lineRule="exact"/>
              <w:ind w:left="104"/>
              <w:rPr>
                <w:rFonts w:ascii="Arial"/>
                <w:b/>
                <w:sz w:val="24"/>
              </w:rPr>
            </w:pPr>
            <w:r>
              <w:rPr>
                <w:rFonts w:ascii="Arial"/>
                <w:b/>
                <w:spacing w:val="-5"/>
                <w:sz w:val="24"/>
              </w:rPr>
              <w:t>SA</w:t>
            </w:r>
          </w:p>
        </w:tc>
        <w:tc>
          <w:tcPr>
            <w:tcW w:w="721" w:type="dxa"/>
          </w:tcPr>
          <w:p>
            <w:pPr>
              <w:pStyle w:val="TableParagraph"/>
              <w:spacing w:line="267" w:lineRule="exact"/>
              <w:ind w:left="103"/>
              <w:rPr>
                <w:rFonts w:ascii="Arial"/>
                <w:b/>
                <w:sz w:val="24"/>
              </w:rPr>
            </w:pPr>
            <w:r>
              <w:rPr>
                <w:rFonts w:ascii="Arial"/>
                <w:b/>
                <w:spacing w:val="-10"/>
                <w:sz w:val="24"/>
              </w:rPr>
              <w:t>A</w:t>
            </w:r>
          </w:p>
        </w:tc>
        <w:tc>
          <w:tcPr>
            <w:tcW w:w="721" w:type="dxa"/>
          </w:tcPr>
          <w:p>
            <w:pPr>
              <w:pStyle w:val="TableParagraph"/>
              <w:spacing w:line="267" w:lineRule="exact"/>
              <w:ind w:left="102"/>
              <w:rPr>
                <w:rFonts w:ascii="Arial"/>
                <w:b/>
                <w:sz w:val="24"/>
              </w:rPr>
            </w:pPr>
            <w:r>
              <w:rPr>
                <w:rFonts w:ascii="Arial"/>
                <w:b/>
                <w:spacing w:val="-10"/>
                <w:sz w:val="24"/>
              </w:rPr>
              <w:t>U</w:t>
            </w:r>
          </w:p>
        </w:tc>
        <w:tc>
          <w:tcPr>
            <w:tcW w:w="721" w:type="dxa"/>
          </w:tcPr>
          <w:p>
            <w:pPr>
              <w:pStyle w:val="TableParagraph"/>
              <w:spacing w:line="267" w:lineRule="exact"/>
              <w:ind w:left="101"/>
              <w:rPr>
                <w:rFonts w:ascii="Arial"/>
                <w:b/>
                <w:sz w:val="24"/>
              </w:rPr>
            </w:pPr>
            <w:r>
              <w:rPr>
                <w:rFonts w:ascii="Arial"/>
                <w:b/>
                <w:spacing w:val="-10"/>
                <w:sz w:val="24"/>
              </w:rPr>
              <w:t>D</w:t>
            </w:r>
          </w:p>
        </w:tc>
        <w:tc>
          <w:tcPr>
            <w:tcW w:w="721" w:type="dxa"/>
          </w:tcPr>
          <w:p>
            <w:pPr>
              <w:pStyle w:val="TableParagraph"/>
              <w:spacing w:line="267" w:lineRule="exact"/>
              <w:ind w:left="100"/>
              <w:rPr>
                <w:rFonts w:ascii="Arial"/>
                <w:b/>
                <w:sz w:val="24"/>
              </w:rPr>
            </w:pPr>
            <w:r>
              <w:rPr>
                <w:rFonts w:ascii="Arial"/>
                <w:b/>
                <w:spacing w:val="-5"/>
                <w:sz w:val="24"/>
              </w:rPr>
              <w:t>SD</w:t>
            </w:r>
          </w:p>
        </w:tc>
      </w:tr>
      <w:tr>
        <w:trPr>
          <w:trHeight w:val="940" w:hRule="atLeast"/>
        </w:trPr>
        <w:tc>
          <w:tcPr>
            <w:tcW w:w="562" w:type="dxa"/>
            <w:vMerge/>
            <w:tcBorders>
              <w:top w:val="nil"/>
            </w:tcBorders>
          </w:tcPr>
          <w:p>
            <w:pPr>
              <w:rPr>
                <w:sz w:val="2"/>
                <w:szCs w:val="2"/>
              </w:rPr>
            </w:pPr>
          </w:p>
        </w:tc>
        <w:tc>
          <w:tcPr>
            <w:tcW w:w="5199" w:type="dxa"/>
            <w:vMerge/>
            <w:tcBorders>
              <w:top w:val="nil"/>
            </w:tcBorders>
          </w:tcPr>
          <w:p>
            <w:pPr>
              <w:rPr>
                <w:sz w:val="2"/>
                <w:szCs w:val="2"/>
              </w:rPr>
            </w:pP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343" w:hRule="atLeast"/>
        </w:trPr>
        <w:tc>
          <w:tcPr>
            <w:tcW w:w="562" w:type="dxa"/>
          </w:tcPr>
          <w:p>
            <w:pPr>
              <w:pStyle w:val="TableParagraph"/>
              <w:spacing w:before="113"/>
              <w:rPr>
                <w:rFonts w:ascii="Arial"/>
                <w:b/>
                <w:sz w:val="24"/>
              </w:rPr>
            </w:pPr>
          </w:p>
          <w:p>
            <w:pPr>
              <w:pStyle w:val="TableParagraph"/>
              <w:ind w:left="3" w:right="6"/>
              <w:jc w:val="center"/>
              <w:rPr>
                <w:sz w:val="24"/>
              </w:rPr>
            </w:pPr>
            <w:r>
              <w:rPr>
                <w:spacing w:val="-5"/>
                <w:sz w:val="24"/>
              </w:rPr>
              <w:t>64.</w:t>
            </w:r>
          </w:p>
        </w:tc>
        <w:tc>
          <w:tcPr>
            <w:tcW w:w="5199" w:type="dxa"/>
          </w:tcPr>
          <w:p>
            <w:pPr>
              <w:pStyle w:val="TableParagraph"/>
              <w:spacing w:before="113"/>
              <w:rPr>
                <w:rFonts w:ascii="Arial"/>
                <w:b/>
                <w:sz w:val="24"/>
              </w:rPr>
            </w:pPr>
          </w:p>
          <w:p>
            <w:pPr>
              <w:pStyle w:val="TableParagraph"/>
              <w:ind w:left="105" w:right="99"/>
              <w:jc w:val="both"/>
              <w:rPr>
                <w:sz w:val="24"/>
              </w:rPr>
            </w:pPr>
            <w:r>
              <w:rPr>
                <w:sz w:val="24"/>
              </w:rPr>
              <w:t>The mosques and churches on campuses are adequate enough to serve students for observing their religious obligations.</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343"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65.</w:t>
            </w:r>
          </w:p>
        </w:tc>
        <w:tc>
          <w:tcPr>
            <w:tcW w:w="5199" w:type="dxa"/>
          </w:tcPr>
          <w:p>
            <w:pPr>
              <w:pStyle w:val="TableParagraph"/>
              <w:spacing w:before="117"/>
              <w:rPr>
                <w:rFonts w:ascii="Arial"/>
                <w:b/>
                <w:sz w:val="24"/>
              </w:rPr>
            </w:pPr>
          </w:p>
          <w:p>
            <w:pPr>
              <w:pStyle w:val="TableParagraph"/>
              <w:spacing w:before="1"/>
              <w:ind w:left="105" w:right="101"/>
              <w:jc w:val="both"/>
              <w:rPr>
                <w:sz w:val="24"/>
              </w:rPr>
            </w:pPr>
            <w:r>
              <w:rPr>
                <w:sz w:val="24"/>
              </w:rPr>
              <w:t>Religious tolerance should be encouraged on the campus so as to avoid conflicts and uprisings emanating from religious beliefs.</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bl>
    <w:p>
      <w:pPr>
        <w:spacing w:after="0"/>
        <w:rPr>
          <w:rFonts w:ascii="Times New Roman"/>
          <w:sz w:val="22"/>
        </w:rPr>
        <w:sectPr>
          <w:headerReference w:type="default" r:id="rId622"/>
          <w:footerReference w:type="default" r:id="rId623"/>
          <w:pgSz w:w="12240" w:h="15840"/>
          <w:pgMar w:header="722" w:footer="623" w:top="980" w:bottom="820" w:left="1220" w:right="1140"/>
        </w:sectPr>
      </w:pPr>
    </w:p>
    <w:p>
      <w:pPr>
        <w:pStyle w:val="BodyText"/>
        <w:spacing w:before="222"/>
        <w:rPr>
          <w:rFonts w:ascii="Arial"/>
          <w:b/>
          <w:sz w:val="20"/>
        </w:rPr>
      </w:pPr>
    </w:p>
    <w:tbl>
      <w:tblPr>
        <w:tblW w:w="0" w:type="auto"/>
        <w:jc w:val="left"/>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2"/>
        <w:gridCol w:w="5199"/>
        <w:gridCol w:w="903"/>
        <w:gridCol w:w="721"/>
        <w:gridCol w:w="721"/>
        <w:gridCol w:w="721"/>
        <w:gridCol w:w="721"/>
      </w:tblGrid>
      <w:tr>
        <w:trPr>
          <w:trHeight w:val="1343"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66.</w:t>
            </w:r>
          </w:p>
        </w:tc>
        <w:tc>
          <w:tcPr>
            <w:tcW w:w="5199" w:type="dxa"/>
          </w:tcPr>
          <w:p>
            <w:pPr>
              <w:pStyle w:val="TableParagraph"/>
              <w:spacing w:before="117"/>
              <w:rPr>
                <w:rFonts w:ascii="Arial"/>
                <w:b/>
                <w:sz w:val="24"/>
              </w:rPr>
            </w:pPr>
          </w:p>
          <w:p>
            <w:pPr>
              <w:pStyle w:val="TableParagraph"/>
              <w:spacing w:before="1"/>
              <w:ind w:left="105" w:right="98"/>
              <w:jc w:val="both"/>
              <w:rPr>
                <w:sz w:val="24"/>
              </w:rPr>
            </w:pPr>
            <w:r>
              <w:rPr>
                <w:sz w:val="24"/>
              </w:rPr>
              <w:t>Students of different faiths other than Islam and Christianity are not recognized and attended to in anyway on the campus.</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895"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67.</w:t>
            </w:r>
          </w:p>
        </w:tc>
        <w:tc>
          <w:tcPr>
            <w:tcW w:w="5199" w:type="dxa"/>
          </w:tcPr>
          <w:p>
            <w:pPr>
              <w:pStyle w:val="TableParagraph"/>
              <w:spacing w:before="117"/>
              <w:rPr>
                <w:rFonts w:ascii="Arial"/>
                <w:b/>
                <w:sz w:val="24"/>
              </w:rPr>
            </w:pPr>
          </w:p>
          <w:p>
            <w:pPr>
              <w:pStyle w:val="TableParagraph"/>
              <w:spacing w:before="1"/>
              <w:ind w:left="105" w:right="100"/>
              <w:jc w:val="both"/>
              <w:rPr>
                <w:sz w:val="24"/>
              </w:rPr>
            </w:pPr>
            <w:r>
              <w:rPr>
                <w:sz w:val="24"/>
              </w:rPr>
              <w:t>The proliferation of churches/denominations and sects on campus precipitates misunderstanding and security risks thereby becoming a threat to peaceful and conducive teaching and learning environment.</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bl>
    <w:p>
      <w:pPr>
        <w:pStyle w:val="BodyText"/>
        <w:spacing w:before="114"/>
        <w:rPr>
          <w:rFonts w:ascii="Arial"/>
          <w:b/>
        </w:rPr>
      </w:pPr>
    </w:p>
    <w:p>
      <w:pPr>
        <w:pStyle w:val="ListParagraph"/>
        <w:numPr>
          <w:ilvl w:val="1"/>
          <w:numId w:val="53"/>
        </w:numPr>
        <w:tabs>
          <w:tab w:pos="891" w:val="left" w:leader="none"/>
        </w:tabs>
        <w:spacing w:line="240" w:lineRule="auto" w:before="0" w:after="0"/>
        <w:ind w:left="891" w:right="0" w:hanging="671"/>
        <w:jc w:val="left"/>
        <w:rPr>
          <w:rFonts w:ascii="Arial"/>
          <w:b/>
          <w:sz w:val="24"/>
        </w:rPr>
      </w:pPr>
      <w:r>
        <w:rPr>
          <w:rFonts w:ascii="Arial"/>
          <w:b/>
          <w:sz w:val="24"/>
        </w:rPr>
        <w:t>Banking</w:t>
      </w:r>
      <w:r>
        <w:rPr>
          <w:rFonts w:ascii="Arial"/>
          <w:b/>
          <w:spacing w:val="-15"/>
          <w:sz w:val="24"/>
        </w:rPr>
        <w:t> </w:t>
      </w:r>
      <w:r>
        <w:rPr>
          <w:rFonts w:ascii="Arial"/>
          <w:b/>
          <w:sz w:val="24"/>
        </w:rPr>
        <w:t>and</w:t>
      </w:r>
      <w:r>
        <w:rPr>
          <w:rFonts w:ascii="Arial"/>
          <w:b/>
          <w:spacing w:val="-17"/>
          <w:sz w:val="24"/>
        </w:rPr>
        <w:t> </w:t>
      </w:r>
      <w:r>
        <w:rPr>
          <w:rFonts w:ascii="Arial"/>
          <w:b/>
          <w:sz w:val="24"/>
        </w:rPr>
        <w:t>Telecommunication</w:t>
      </w:r>
      <w:r>
        <w:rPr>
          <w:rFonts w:ascii="Arial"/>
          <w:b/>
          <w:spacing w:val="-17"/>
          <w:sz w:val="24"/>
        </w:rPr>
        <w:t> </w:t>
      </w:r>
      <w:r>
        <w:rPr>
          <w:rFonts w:ascii="Arial"/>
          <w:b/>
          <w:spacing w:val="-2"/>
          <w:sz w:val="24"/>
        </w:rPr>
        <w:t>services</w:t>
      </w:r>
    </w:p>
    <w:p>
      <w:pPr>
        <w:pStyle w:val="BodyText"/>
        <w:rPr>
          <w:rFonts w:ascii="Arial"/>
          <w:b/>
          <w:sz w:val="11"/>
        </w:rPr>
      </w:pPr>
    </w:p>
    <w:tbl>
      <w:tblPr>
        <w:tblW w:w="0" w:type="auto"/>
        <w:jc w:val="left"/>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2"/>
        <w:gridCol w:w="5199"/>
        <w:gridCol w:w="903"/>
        <w:gridCol w:w="721"/>
        <w:gridCol w:w="721"/>
        <w:gridCol w:w="721"/>
        <w:gridCol w:w="721"/>
      </w:tblGrid>
      <w:tr>
        <w:trPr>
          <w:trHeight w:val="398" w:hRule="atLeast"/>
        </w:trPr>
        <w:tc>
          <w:tcPr>
            <w:tcW w:w="562" w:type="dxa"/>
            <w:vMerge w:val="restart"/>
          </w:tcPr>
          <w:p>
            <w:pPr>
              <w:pStyle w:val="TableParagraph"/>
              <w:spacing w:before="117"/>
              <w:rPr>
                <w:rFonts w:ascii="Arial"/>
                <w:b/>
                <w:sz w:val="24"/>
              </w:rPr>
            </w:pPr>
          </w:p>
          <w:p>
            <w:pPr>
              <w:pStyle w:val="TableParagraph"/>
              <w:spacing w:before="1"/>
              <w:ind w:left="105"/>
              <w:rPr>
                <w:sz w:val="24"/>
              </w:rPr>
            </w:pPr>
            <w:r>
              <w:rPr>
                <w:spacing w:val="-5"/>
                <w:sz w:val="24"/>
              </w:rPr>
              <w:t>68.</w:t>
            </w:r>
          </w:p>
        </w:tc>
        <w:tc>
          <w:tcPr>
            <w:tcW w:w="5199" w:type="dxa"/>
            <w:vMerge w:val="restart"/>
          </w:tcPr>
          <w:p>
            <w:pPr>
              <w:pStyle w:val="TableParagraph"/>
              <w:spacing w:before="117"/>
              <w:rPr>
                <w:rFonts w:ascii="Arial"/>
                <w:b/>
                <w:sz w:val="24"/>
              </w:rPr>
            </w:pPr>
          </w:p>
          <w:p>
            <w:pPr>
              <w:pStyle w:val="TableParagraph"/>
              <w:spacing w:before="1"/>
              <w:ind w:left="105" w:right="100"/>
              <w:jc w:val="both"/>
              <w:rPr>
                <w:sz w:val="24"/>
              </w:rPr>
            </w:pPr>
            <w:r>
              <w:rPr>
                <w:sz w:val="24"/>
              </w:rPr>
              <w:t>Universities should have banking facilities so that student can save their money instead of keeping</w:t>
            </w:r>
            <w:r>
              <w:rPr>
                <w:spacing w:val="-3"/>
                <w:sz w:val="24"/>
              </w:rPr>
              <w:t> </w:t>
            </w:r>
            <w:r>
              <w:rPr>
                <w:sz w:val="24"/>
              </w:rPr>
              <w:t>them</w:t>
            </w:r>
            <w:r>
              <w:rPr>
                <w:spacing w:val="-11"/>
                <w:sz w:val="24"/>
              </w:rPr>
              <w:t> </w:t>
            </w:r>
            <w:r>
              <w:rPr>
                <w:sz w:val="24"/>
              </w:rPr>
              <w:t>in</w:t>
            </w:r>
            <w:r>
              <w:rPr>
                <w:spacing w:val="-3"/>
                <w:sz w:val="24"/>
              </w:rPr>
              <w:t> </w:t>
            </w:r>
            <w:r>
              <w:rPr>
                <w:sz w:val="24"/>
              </w:rPr>
              <w:t>their</w:t>
            </w:r>
            <w:r>
              <w:rPr>
                <w:spacing w:val="-3"/>
                <w:sz w:val="24"/>
              </w:rPr>
              <w:t> </w:t>
            </w:r>
            <w:r>
              <w:rPr>
                <w:sz w:val="24"/>
              </w:rPr>
              <w:t>rooms which</w:t>
            </w:r>
            <w:r>
              <w:rPr>
                <w:spacing w:val="-3"/>
                <w:sz w:val="24"/>
              </w:rPr>
              <w:t> </w:t>
            </w:r>
            <w:r>
              <w:rPr>
                <w:sz w:val="24"/>
              </w:rPr>
              <w:t>encourages stealing amongst them.</w:t>
            </w:r>
          </w:p>
        </w:tc>
        <w:tc>
          <w:tcPr>
            <w:tcW w:w="903" w:type="dxa"/>
          </w:tcPr>
          <w:p>
            <w:pPr>
              <w:pStyle w:val="TableParagraph"/>
              <w:spacing w:line="267" w:lineRule="exact"/>
              <w:ind w:left="104"/>
              <w:rPr>
                <w:rFonts w:ascii="Arial"/>
                <w:b/>
                <w:sz w:val="24"/>
              </w:rPr>
            </w:pPr>
            <w:r>
              <w:rPr>
                <w:rFonts w:ascii="Arial"/>
                <w:b/>
                <w:spacing w:val="-5"/>
                <w:sz w:val="24"/>
              </w:rPr>
              <w:t>SA</w:t>
            </w:r>
          </w:p>
        </w:tc>
        <w:tc>
          <w:tcPr>
            <w:tcW w:w="721" w:type="dxa"/>
          </w:tcPr>
          <w:p>
            <w:pPr>
              <w:pStyle w:val="TableParagraph"/>
              <w:spacing w:line="267" w:lineRule="exact"/>
              <w:ind w:left="103"/>
              <w:rPr>
                <w:rFonts w:ascii="Arial"/>
                <w:b/>
                <w:sz w:val="24"/>
              </w:rPr>
            </w:pPr>
            <w:r>
              <w:rPr>
                <w:rFonts w:ascii="Arial"/>
                <w:b/>
                <w:spacing w:val="-10"/>
                <w:sz w:val="24"/>
              </w:rPr>
              <w:t>A</w:t>
            </w:r>
          </w:p>
        </w:tc>
        <w:tc>
          <w:tcPr>
            <w:tcW w:w="721" w:type="dxa"/>
          </w:tcPr>
          <w:p>
            <w:pPr>
              <w:pStyle w:val="TableParagraph"/>
              <w:spacing w:line="267" w:lineRule="exact"/>
              <w:ind w:left="102"/>
              <w:rPr>
                <w:rFonts w:ascii="Arial"/>
                <w:b/>
                <w:sz w:val="24"/>
              </w:rPr>
            </w:pPr>
            <w:r>
              <w:rPr>
                <w:rFonts w:ascii="Arial"/>
                <w:b/>
                <w:spacing w:val="-10"/>
                <w:sz w:val="24"/>
              </w:rPr>
              <w:t>U</w:t>
            </w:r>
          </w:p>
        </w:tc>
        <w:tc>
          <w:tcPr>
            <w:tcW w:w="721" w:type="dxa"/>
          </w:tcPr>
          <w:p>
            <w:pPr>
              <w:pStyle w:val="TableParagraph"/>
              <w:spacing w:line="267" w:lineRule="exact"/>
              <w:ind w:left="101"/>
              <w:rPr>
                <w:rFonts w:ascii="Arial"/>
                <w:b/>
                <w:sz w:val="24"/>
              </w:rPr>
            </w:pPr>
            <w:r>
              <w:rPr>
                <w:rFonts w:ascii="Arial"/>
                <w:b/>
                <w:spacing w:val="-10"/>
                <w:sz w:val="24"/>
              </w:rPr>
              <w:t>D</w:t>
            </w:r>
          </w:p>
        </w:tc>
        <w:tc>
          <w:tcPr>
            <w:tcW w:w="721" w:type="dxa"/>
          </w:tcPr>
          <w:p>
            <w:pPr>
              <w:pStyle w:val="TableParagraph"/>
              <w:spacing w:line="267" w:lineRule="exact"/>
              <w:ind w:left="100"/>
              <w:rPr>
                <w:rFonts w:ascii="Arial"/>
                <w:b/>
                <w:sz w:val="24"/>
              </w:rPr>
            </w:pPr>
            <w:r>
              <w:rPr>
                <w:rFonts w:ascii="Arial"/>
                <w:b/>
                <w:spacing w:val="-5"/>
                <w:sz w:val="24"/>
              </w:rPr>
              <w:t>SD</w:t>
            </w:r>
          </w:p>
        </w:tc>
      </w:tr>
      <w:tr>
        <w:trPr>
          <w:trHeight w:val="1213" w:hRule="atLeast"/>
        </w:trPr>
        <w:tc>
          <w:tcPr>
            <w:tcW w:w="562" w:type="dxa"/>
            <w:vMerge/>
            <w:tcBorders>
              <w:top w:val="nil"/>
            </w:tcBorders>
          </w:tcPr>
          <w:p>
            <w:pPr>
              <w:rPr>
                <w:sz w:val="2"/>
                <w:szCs w:val="2"/>
              </w:rPr>
            </w:pPr>
          </w:p>
        </w:tc>
        <w:tc>
          <w:tcPr>
            <w:tcW w:w="5199" w:type="dxa"/>
            <w:vMerge/>
            <w:tcBorders>
              <w:top w:val="nil"/>
            </w:tcBorders>
          </w:tcPr>
          <w:p>
            <w:pPr>
              <w:rPr>
                <w:sz w:val="2"/>
                <w:szCs w:val="2"/>
              </w:rPr>
            </w:pP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617" w:hRule="atLeast"/>
        </w:trPr>
        <w:tc>
          <w:tcPr>
            <w:tcW w:w="562" w:type="dxa"/>
          </w:tcPr>
          <w:p>
            <w:pPr>
              <w:pStyle w:val="TableParagraph"/>
              <w:spacing w:before="113"/>
              <w:rPr>
                <w:rFonts w:ascii="Arial"/>
                <w:b/>
                <w:sz w:val="24"/>
              </w:rPr>
            </w:pPr>
          </w:p>
          <w:p>
            <w:pPr>
              <w:pStyle w:val="TableParagraph"/>
              <w:ind w:left="3" w:right="6"/>
              <w:jc w:val="center"/>
              <w:rPr>
                <w:sz w:val="24"/>
              </w:rPr>
            </w:pPr>
            <w:r>
              <w:rPr>
                <w:spacing w:val="-5"/>
                <w:sz w:val="24"/>
              </w:rPr>
              <w:t>69.</w:t>
            </w:r>
          </w:p>
        </w:tc>
        <w:tc>
          <w:tcPr>
            <w:tcW w:w="5199" w:type="dxa"/>
          </w:tcPr>
          <w:p>
            <w:pPr>
              <w:pStyle w:val="TableParagraph"/>
              <w:spacing w:before="113"/>
              <w:rPr>
                <w:rFonts w:ascii="Arial"/>
                <w:b/>
                <w:sz w:val="24"/>
              </w:rPr>
            </w:pPr>
          </w:p>
          <w:p>
            <w:pPr>
              <w:pStyle w:val="TableParagraph"/>
              <w:ind w:left="105" w:right="96"/>
              <w:jc w:val="both"/>
              <w:rPr>
                <w:sz w:val="24"/>
              </w:rPr>
            </w:pPr>
            <w:r>
              <w:rPr>
                <w:sz w:val="24"/>
              </w:rPr>
              <w:t>Adequate mail/post office services are provided on or near the campus so as to enable students communicate with their parents and the outside world regularly.</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895"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70.</w:t>
            </w:r>
          </w:p>
        </w:tc>
        <w:tc>
          <w:tcPr>
            <w:tcW w:w="5199" w:type="dxa"/>
          </w:tcPr>
          <w:p>
            <w:pPr>
              <w:pStyle w:val="TableParagraph"/>
              <w:spacing w:before="117"/>
              <w:rPr>
                <w:rFonts w:ascii="Arial"/>
                <w:b/>
                <w:sz w:val="24"/>
              </w:rPr>
            </w:pPr>
          </w:p>
          <w:p>
            <w:pPr>
              <w:pStyle w:val="TableParagraph"/>
              <w:spacing w:before="1"/>
              <w:ind w:left="105" w:right="102"/>
              <w:jc w:val="both"/>
              <w:rPr>
                <w:sz w:val="24"/>
              </w:rPr>
            </w:pPr>
            <w:r>
              <w:rPr>
                <w:sz w:val="24"/>
              </w:rPr>
              <w:t>The introduction of the modern mobile phone technology has eased a lot of communication problems for students as they can communicate within and outside the walls of the universities conveniently.</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343"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71.</w:t>
            </w:r>
          </w:p>
        </w:tc>
        <w:tc>
          <w:tcPr>
            <w:tcW w:w="5199" w:type="dxa"/>
          </w:tcPr>
          <w:p>
            <w:pPr>
              <w:pStyle w:val="TableParagraph"/>
              <w:spacing w:before="117"/>
              <w:rPr>
                <w:rFonts w:ascii="Arial"/>
                <w:b/>
                <w:sz w:val="24"/>
              </w:rPr>
            </w:pPr>
          </w:p>
          <w:p>
            <w:pPr>
              <w:pStyle w:val="TableParagraph"/>
              <w:spacing w:before="1"/>
              <w:ind w:left="105" w:right="102"/>
              <w:jc w:val="both"/>
              <w:rPr>
                <w:sz w:val="24"/>
              </w:rPr>
            </w:pPr>
            <w:r>
              <w:rPr>
                <w:sz w:val="24"/>
              </w:rPr>
              <w:t>The services of the banks to students are not adequate as they do not provide loan scheme to them.</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622"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72.</w:t>
            </w:r>
          </w:p>
        </w:tc>
        <w:tc>
          <w:tcPr>
            <w:tcW w:w="5199" w:type="dxa"/>
          </w:tcPr>
          <w:p>
            <w:pPr>
              <w:pStyle w:val="TableParagraph"/>
              <w:spacing w:before="117"/>
              <w:rPr>
                <w:rFonts w:ascii="Arial"/>
                <w:b/>
                <w:sz w:val="24"/>
              </w:rPr>
            </w:pPr>
          </w:p>
          <w:p>
            <w:pPr>
              <w:pStyle w:val="TableParagraph"/>
              <w:spacing w:before="1"/>
              <w:ind w:left="105" w:right="101"/>
              <w:jc w:val="both"/>
              <w:rPr>
                <w:sz w:val="24"/>
              </w:rPr>
            </w:pPr>
            <w:r>
              <w:rPr>
                <w:sz w:val="24"/>
              </w:rPr>
              <w:t>The invention of mobile phones has brought with it more havoc than good as students spend most of the time meant for academic work on the phone talking.</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bl>
    <w:p>
      <w:pPr>
        <w:spacing w:after="0"/>
        <w:rPr>
          <w:rFonts w:ascii="Times New Roman"/>
          <w:sz w:val="22"/>
        </w:rPr>
        <w:sectPr>
          <w:headerReference w:type="default" r:id="rId624"/>
          <w:footerReference w:type="default" r:id="rId625"/>
          <w:pgSz w:w="12240" w:h="15840"/>
          <w:pgMar w:header="722" w:footer="623" w:top="980" w:bottom="820" w:left="1220" w:right="1140"/>
        </w:sectPr>
      </w:pPr>
    </w:p>
    <w:p>
      <w:pPr>
        <w:pStyle w:val="BodyText"/>
        <w:spacing w:before="167"/>
        <w:rPr>
          <w:rFonts w:ascii="Arial"/>
          <w:b/>
        </w:rPr>
      </w:pPr>
    </w:p>
    <w:p>
      <w:pPr>
        <w:tabs>
          <w:tab w:pos="1659" w:val="left" w:leader="none"/>
        </w:tabs>
        <w:spacing w:before="0"/>
        <w:ind w:left="220" w:right="0" w:firstLine="0"/>
        <w:jc w:val="left"/>
        <w:rPr>
          <w:rFonts w:ascii="Arial"/>
          <w:b/>
          <w:sz w:val="24"/>
        </w:rPr>
      </w:pPr>
      <w:r>
        <w:rPr>
          <w:rFonts w:ascii="Arial"/>
          <w:b/>
          <w:sz w:val="24"/>
        </w:rPr>
        <w:t>Section</w:t>
      </w:r>
      <w:r>
        <w:rPr>
          <w:rFonts w:ascii="Arial"/>
          <w:b/>
          <w:spacing w:val="-8"/>
          <w:sz w:val="24"/>
        </w:rPr>
        <w:t> </w:t>
      </w:r>
      <w:r>
        <w:rPr>
          <w:rFonts w:ascii="Arial"/>
          <w:b/>
          <w:spacing w:val="-5"/>
          <w:sz w:val="24"/>
        </w:rPr>
        <w:t>II:</w:t>
      </w:r>
      <w:r>
        <w:rPr>
          <w:rFonts w:ascii="Arial"/>
          <w:b/>
          <w:sz w:val="24"/>
        </w:rPr>
        <w:tab/>
        <w:t>The</w:t>
      </w:r>
      <w:r>
        <w:rPr>
          <w:rFonts w:ascii="Arial"/>
          <w:b/>
          <w:spacing w:val="-8"/>
          <w:sz w:val="24"/>
        </w:rPr>
        <w:t> </w:t>
      </w:r>
      <w:r>
        <w:rPr>
          <w:rFonts w:ascii="Arial"/>
          <w:b/>
          <w:sz w:val="24"/>
        </w:rPr>
        <w:t>impact</w:t>
      </w:r>
      <w:r>
        <w:rPr>
          <w:rFonts w:ascii="Arial"/>
          <w:b/>
          <w:spacing w:val="-11"/>
          <w:sz w:val="24"/>
        </w:rPr>
        <w:t> </w:t>
      </w:r>
      <w:r>
        <w:rPr>
          <w:rFonts w:ascii="Arial"/>
          <w:b/>
          <w:sz w:val="24"/>
        </w:rPr>
        <w:t>of</w:t>
      </w:r>
      <w:r>
        <w:rPr>
          <w:rFonts w:ascii="Arial"/>
          <w:b/>
          <w:spacing w:val="-7"/>
          <w:sz w:val="24"/>
        </w:rPr>
        <w:t> </w:t>
      </w:r>
      <w:r>
        <w:rPr>
          <w:rFonts w:ascii="Arial"/>
          <w:b/>
          <w:sz w:val="24"/>
        </w:rPr>
        <w:t>Academic</w:t>
      </w:r>
      <w:r>
        <w:rPr>
          <w:rFonts w:ascii="Arial"/>
          <w:b/>
          <w:spacing w:val="-7"/>
          <w:sz w:val="24"/>
        </w:rPr>
        <w:t> </w:t>
      </w:r>
      <w:r>
        <w:rPr>
          <w:rFonts w:ascii="Arial"/>
          <w:b/>
          <w:sz w:val="24"/>
        </w:rPr>
        <w:t>Services</w:t>
      </w:r>
      <w:r>
        <w:rPr>
          <w:rFonts w:ascii="Arial"/>
          <w:b/>
          <w:spacing w:val="-8"/>
          <w:sz w:val="24"/>
        </w:rPr>
        <w:t> </w:t>
      </w:r>
      <w:r>
        <w:rPr>
          <w:rFonts w:ascii="Arial"/>
          <w:b/>
          <w:sz w:val="24"/>
        </w:rPr>
        <w:t>on</w:t>
      </w:r>
      <w:r>
        <w:rPr>
          <w:rFonts w:ascii="Arial"/>
          <w:b/>
          <w:spacing w:val="-10"/>
          <w:sz w:val="24"/>
        </w:rPr>
        <w:t> </w:t>
      </w:r>
      <w:r>
        <w:rPr>
          <w:rFonts w:ascii="Arial"/>
          <w:b/>
          <w:sz w:val="24"/>
        </w:rPr>
        <w:t>Students</w:t>
      </w:r>
      <w:r>
        <w:rPr>
          <w:rFonts w:ascii="Arial"/>
          <w:b/>
          <w:spacing w:val="-7"/>
          <w:sz w:val="24"/>
        </w:rPr>
        <w:t> </w:t>
      </w:r>
      <w:r>
        <w:rPr>
          <w:rFonts w:ascii="Arial"/>
          <w:b/>
          <w:spacing w:val="-2"/>
          <w:sz w:val="24"/>
        </w:rPr>
        <w:t>Welfare</w:t>
      </w:r>
    </w:p>
    <w:p>
      <w:pPr>
        <w:pStyle w:val="ListParagraph"/>
        <w:numPr>
          <w:ilvl w:val="1"/>
          <w:numId w:val="54"/>
        </w:numPr>
        <w:tabs>
          <w:tab w:pos="891" w:val="left" w:leader="none"/>
        </w:tabs>
        <w:spacing w:line="240" w:lineRule="auto" w:before="117" w:after="0"/>
        <w:ind w:left="891" w:right="0" w:hanging="671"/>
        <w:jc w:val="left"/>
        <w:rPr>
          <w:rFonts w:ascii="Arial"/>
          <w:b/>
          <w:sz w:val="24"/>
        </w:rPr>
      </w:pPr>
      <w:r>
        <w:rPr>
          <w:rFonts w:ascii="Arial"/>
          <w:b/>
          <w:sz w:val="24"/>
        </w:rPr>
        <w:t>Impact</w:t>
      </w:r>
      <w:r>
        <w:rPr>
          <w:rFonts w:ascii="Arial"/>
          <w:b/>
          <w:spacing w:val="-8"/>
          <w:sz w:val="24"/>
        </w:rPr>
        <w:t> </w:t>
      </w:r>
      <w:r>
        <w:rPr>
          <w:rFonts w:ascii="Arial"/>
          <w:b/>
          <w:sz w:val="24"/>
        </w:rPr>
        <w:t>of</w:t>
      </w:r>
      <w:r>
        <w:rPr>
          <w:rFonts w:ascii="Arial"/>
          <w:b/>
          <w:spacing w:val="-8"/>
          <w:sz w:val="24"/>
        </w:rPr>
        <w:t> </w:t>
      </w:r>
      <w:r>
        <w:rPr>
          <w:rFonts w:ascii="Arial"/>
          <w:b/>
          <w:sz w:val="24"/>
        </w:rPr>
        <w:t>Library</w:t>
      </w:r>
      <w:r>
        <w:rPr>
          <w:rFonts w:ascii="Arial"/>
          <w:b/>
          <w:spacing w:val="-12"/>
          <w:sz w:val="24"/>
        </w:rPr>
        <w:t> </w:t>
      </w:r>
      <w:r>
        <w:rPr>
          <w:rFonts w:ascii="Arial"/>
          <w:b/>
          <w:spacing w:val="-2"/>
          <w:sz w:val="24"/>
        </w:rPr>
        <w:t>Facilities</w:t>
      </w:r>
    </w:p>
    <w:p>
      <w:pPr>
        <w:pStyle w:val="BodyText"/>
        <w:spacing w:before="5"/>
        <w:rPr>
          <w:rFonts w:ascii="Arial"/>
          <w:b/>
          <w:sz w:val="11"/>
        </w:rPr>
      </w:pPr>
    </w:p>
    <w:tbl>
      <w:tblPr>
        <w:tblW w:w="0" w:type="auto"/>
        <w:jc w:val="left"/>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2"/>
        <w:gridCol w:w="5199"/>
        <w:gridCol w:w="903"/>
        <w:gridCol w:w="721"/>
        <w:gridCol w:w="721"/>
        <w:gridCol w:w="721"/>
        <w:gridCol w:w="721"/>
      </w:tblGrid>
      <w:tr>
        <w:trPr>
          <w:trHeight w:val="397" w:hRule="atLeast"/>
        </w:trPr>
        <w:tc>
          <w:tcPr>
            <w:tcW w:w="562" w:type="dxa"/>
            <w:vMerge w:val="restart"/>
          </w:tcPr>
          <w:p>
            <w:pPr>
              <w:pStyle w:val="TableParagraph"/>
              <w:spacing w:before="117"/>
              <w:rPr>
                <w:rFonts w:ascii="Arial"/>
                <w:b/>
                <w:sz w:val="24"/>
              </w:rPr>
            </w:pPr>
          </w:p>
          <w:p>
            <w:pPr>
              <w:pStyle w:val="TableParagraph"/>
              <w:spacing w:before="1"/>
              <w:ind w:left="105"/>
              <w:rPr>
                <w:sz w:val="24"/>
              </w:rPr>
            </w:pPr>
            <w:r>
              <w:rPr>
                <w:spacing w:val="-5"/>
                <w:sz w:val="24"/>
              </w:rPr>
              <w:t>73.</w:t>
            </w:r>
          </w:p>
        </w:tc>
        <w:tc>
          <w:tcPr>
            <w:tcW w:w="5199" w:type="dxa"/>
            <w:vMerge w:val="restart"/>
          </w:tcPr>
          <w:p>
            <w:pPr>
              <w:pStyle w:val="TableParagraph"/>
              <w:spacing w:before="117"/>
              <w:rPr>
                <w:rFonts w:ascii="Arial"/>
                <w:b/>
                <w:sz w:val="24"/>
              </w:rPr>
            </w:pPr>
          </w:p>
          <w:p>
            <w:pPr>
              <w:pStyle w:val="TableParagraph"/>
              <w:spacing w:before="1"/>
              <w:ind w:left="105" w:right="98"/>
              <w:jc w:val="both"/>
              <w:rPr>
                <w:sz w:val="24"/>
              </w:rPr>
            </w:pPr>
            <w:r>
              <w:rPr>
                <w:sz w:val="24"/>
              </w:rPr>
              <w:t>It is believed that provision of adequate libraries, which are “store houses of knowledge”, is vital in any University so that students can tap enough knowledge for their </w:t>
            </w:r>
            <w:r>
              <w:rPr>
                <w:spacing w:val="-2"/>
                <w:sz w:val="24"/>
              </w:rPr>
              <w:t>studies.</w:t>
            </w:r>
          </w:p>
        </w:tc>
        <w:tc>
          <w:tcPr>
            <w:tcW w:w="903" w:type="dxa"/>
          </w:tcPr>
          <w:p>
            <w:pPr>
              <w:pStyle w:val="TableParagraph"/>
              <w:spacing w:line="267" w:lineRule="exact"/>
              <w:ind w:left="104"/>
              <w:rPr>
                <w:rFonts w:ascii="Arial"/>
                <w:b/>
                <w:sz w:val="24"/>
              </w:rPr>
            </w:pPr>
            <w:r>
              <w:rPr>
                <w:rFonts w:ascii="Arial"/>
                <w:b/>
                <w:spacing w:val="-5"/>
                <w:sz w:val="24"/>
              </w:rPr>
              <w:t>SA</w:t>
            </w:r>
          </w:p>
        </w:tc>
        <w:tc>
          <w:tcPr>
            <w:tcW w:w="721" w:type="dxa"/>
          </w:tcPr>
          <w:p>
            <w:pPr>
              <w:pStyle w:val="TableParagraph"/>
              <w:spacing w:line="267" w:lineRule="exact"/>
              <w:ind w:left="103"/>
              <w:rPr>
                <w:rFonts w:ascii="Arial"/>
                <w:b/>
                <w:sz w:val="24"/>
              </w:rPr>
            </w:pPr>
            <w:r>
              <w:rPr>
                <w:rFonts w:ascii="Arial"/>
                <w:b/>
                <w:spacing w:val="-10"/>
                <w:sz w:val="24"/>
              </w:rPr>
              <w:t>A</w:t>
            </w:r>
          </w:p>
        </w:tc>
        <w:tc>
          <w:tcPr>
            <w:tcW w:w="721" w:type="dxa"/>
          </w:tcPr>
          <w:p>
            <w:pPr>
              <w:pStyle w:val="TableParagraph"/>
              <w:spacing w:line="267" w:lineRule="exact"/>
              <w:ind w:left="102"/>
              <w:rPr>
                <w:rFonts w:ascii="Arial"/>
                <w:b/>
                <w:sz w:val="24"/>
              </w:rPr>
            </w:pPr>
            <w:r>
              <w:rPr>
                <w:rFonts w:ascii="Arial"/>
                <w:b/>
                <w:spacing w:val="-10"/>
                <w:sz w:val="24"/>
              </w:rPr>
              <w:t>U</w:t>
            </w:r>
          </w:p>
        </w:tc>
        <w:tc>
          <w:tcPr>
            <w:tcW w:w="721" w:type="dxa"/>
          </w:tcPr>
          <w:p>
            <w:pPr>
              <w:pStyle w:val="TableParagraph"/>
              <w:spacing w:line="267" w:lineRule="exact"/>
              <w:ind w:left="101"/>
              <w:rPr>
                <w:rFonts w:ascii="Arial"/>
                <w:b/>
                <w:sz w:val="24"/>
              </w:rPr>
            </w:pPr>
            <w:r>
              <w:rPr>
                <w:rFonts w:ascii="Arial"/>
                <w:b/>
                <w:spacing w:val="-10"/>
                <w:sz w:val="24"/>
              </w:rPr>
              <w:t>D</w:t>
            </w:r>
          </w:p>
        </w:tc>
        <w:tc>
          <w:tcPr>
            <w:tcW w:w="721" w:type="dxa"/>
          </w:tcPr>
          <w:p>
            <w:pPr>
              <w:pStyle w:val="TableParagraph"/>
              <w:spacing w:line="267" w:lineRule="exact"/>
              <w:ind w:left="100"/>
              <w:rPr>
                <w:rFonts w:ascii="Arial"/>
                <w:b/>
                <w:sz w:val="24"/>
              </w:rPr>
            </w:pPr>
            <w:r>
              <w:rPr>
                <w:rFonts w:ascii="Arial"/>
                <w:b/>
                <w:spacing w:val="-5"/>
                <w:sz w:val="24"/>
              </w:rPr>
              <w:t>SD</w:t>
            </w:r>
          </w:p>
        </w:tc>
      </w:tr>
      <w:tr>
        <w:trPr>
          <w:trHeight w:val="1487" w:hRule="atLeast"/>
        </w:trPr>
        <w:tc>
          <w:tcPr>
            <w:tcW w:w="562" w:type="dxa"/>
            <w:vMerge/>
            <w:tcBorders>
              <w:top w:val="nil"/>
            </w:tcBorders>
          </w:tcPr>
          <w:p>
            <w:pPr>
              <w:rPr>
                <w:sz w:val="2"/>
                <w:szCs w:val="2"/>
              </w:rPr>
            </w:pPr>
          </w:p>
        </w:tc>
        <w:tc>
          <w:tcPr>
            <w:tcW w:w="5199" w:type="dxa"/>
            <w:vMerge/>
            <w:tcBorders>
              <w:top w:val="nil"/>
            </w:tcBorders>
          </w:tcPr>
          <w:p>
            <w:pPr>
              <w:rPr>
                <w:sz w:val="2"/>
                <w:szCs w:val="2"/>
              </w:rPr>
            </w:pP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621"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74.</w:t>
            </w:r>
          </w:p>
        </w:tc>
        <w:tc>
          <w:tcPr>
            <w:tcW w:w="5199" w:type="dxa"/>
          </w:tcPr>
          <w:p>
            <w:pPr>
              <w:pStyle w:val="TableParagraph"/>
              <w:spacing w:before="117"/>
              <w:rPr>
                <w:rFonts w:ascii="Arial"/>
                <w:b/>
                <w:sz w:val="24"/>
              </w:rPr>
            </w:pPr>
          </w:p>
          <w:p>
            <w:pPr>
              <w:pStyle w:val="TableParagraph"/>
              <w:spacing w:before="1"/>
              <w:ind w:left="105" w:right="100"/>
              <w:jc w:val="both"/>
              <w:rPr>
                <w:sz w:val="24"/>
              </w:rPr>
            </w:pPr>
            <w:r>
              <w:rPr>
                <w:sz w:val="24"/>
              </w:rPr>
              <w:t>Relevant books are not adequately available for the ever growing population of students in the Universities in the three geopolitical zones in the Northern part of Nigeria.</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617" w:hRule="atLeast"/>
        </w:trPr>
        <w:tc>
          <w:tcPr>
            <w:tcW w:w="562" w:type="dxa"/>
          </w:tcPr>
          <w:p>
            <w:pPr>
              <w:pStyle w:val="TableParagraph"/>
              <w:spacing w:before="113"/>
              <w:rPr>
                <w:rFonts w:ascii="Arial"/>
                <w:b/>
                <w:sz w:val="24"/>
              </w:rPr>
            </w:pPr>
          </w:p>
          <w:p>
            <w:pPr>
              <w:pStyle w:val="TableParagraph"/>
              <w:ind w:left="3" w:right="6"/>
              <w:jc w:val="center"/>
              <w:rPr>
                <w:sz w:val="24"/>
              </w:rPr>
            </w:pPr>
            <w:r>
              <w:rPr>
                <w:spacing w:val="-5"/>
                <w:sz w:val="24"/>
              </w:rPr>
              <w:t>75.</w:t>
            </w:r>
          </w:p>
        </w:tc>
        <w:tc>
          <w:tcPr>
            <w:tcW w:w="5199" w:type="dxa"/>
          </w:tcPr>
          <w:p>
            <w:pPr>
              <w:pStyle w:val="TableParagraph"/>
              <w:spacing w:before="113"/>
              <w:rPr>
                <w:rFonts w:ascii="Arial"/>
                <w:b/>
                <w:sz w:val="24"/>
              </w:rPr>
            </w:pPr>
          </w:p>
          <w:p>
            <w:pPr>
              <w:pStyle w:val="TableParagraph"/>
              <w:ind w:left="105" w:right="99"/>
              <w:jc w:val="both"/>
              <w:rPr>
                <w:sz w:val="24"/>
              </w:rPr>
            </w:pPr>
            <w:r>
              <w:rPr>
                <w:sz w:val="24"/>
              </w:rPr>
              <w:t>Students get discouraged going to libraries because they are not assisted by staff to</w:t>
            </w:r>
            <w:r>
              <w:rPr>
                <w:spacing w:val="40"/>
                <w:sz w:val="24"/>
              </w:rPr>
              <w:t> </w:t>
            </w:r>
            <w:r>
              <w:rPr>
                <w:sz w:val="24"/>
              </w:rPr>
              <w:t>locate relevant materials which can help them carryout their assignments.</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r>
        <w:trPr>
          <w:trHeight w:val="1070" w:hRule="atLeast"/>
        </w:trPr>
        <w:tc>
          <w:tcPr>
            <w:tcW w:w="562" w:type="dxa"/>
          </w:tcPr>
          <w:p>
            <w:pPr>
              <w:pStyle w:val="TableParagraph"/>
              <w:spacing w:before="117"/>
              <w:rPr>
                <w:rFonts w:ascii="Arial"/>
                <w:b/>
                <w:sz w:val="24"/>
              </w:rPr>
            </w:pPr>
          </w:p>
          <w:p>
            <w:pPr>
              <w:pStyle w:val="TableParagraph"/>
              <w:spacing w:before="1"/>
              <w:ind w:left="3" w:right="6"/>
              <w:jc w:val="center"/>
              <w:rPr>
                <w:sz w:val="24"/>
              </w:rPr>
            </w:pPr>
            <w:r>
              <w:rPr>
                <w:spacing w:val="-5"/>
                <w:sz w:val="24"/>
              </w:rPr>
              <w:t>76.</w:t>
            </w:r>
          </w:p>
        </w:tc>
        <w:tc>
          <w:tcPr>
            <w:tcW w:w="5199" w:type="dxa"/>
          </w:tcPr>
          <w:p>
            <w:pPr>
              <w:pStyle w:val="TableParagraph"/>
              <w:spacing w:before="120"/>
              <w:rPr>
                <w:rFonts w:ascii="Arial"/>
                <w:b/>
                <w:sz w:val="24"/>
              </w:rPr>
            </w:pPr>
          </w:p>
          <w:p>
            <w:pPr>
              <w:pStyle w:val="TableParagraph"/>
              <w:spacing w:line="237" w:lineRule="auto"/>
              <w:ind w:left="105" w:right="105"/>
              <w:rPr>
                <w:sz w:val="24"/>
              </w:rPr>
            </w:pPr>
            <w:r>
              <w:rPr>
                <w:sz w:val="24"/>
              </w:rPr>
              <w:t>Students</w:t>
            </w:r>
            <w:r>
              <w:rPr>
                <w:spacing w:val="40"/>
                <w:sz w:val="24"/>
              </w:rPr>
              <w:t> </w:t>
            </w:r>
            <w:r>
              <w:rPr>
                <w:sz w:val="24"/>
              </w:rPr>
              <w:t>always</w:t>
            </w:r>
            <w:r>
              <w:rPr>
                <w:spacing w:val="40"/>
                <w:sz w:val="24"/>
              </w:rPr>
              <w:t> </w:t>
            </w:r>
            <w:r>
              <w:rPr>
                <w:sz w:val="24"/>
              </w:rPr>
              <w:t>get</w:t>
            </w:r>
            <w:r>
              <w:rPr>
                <w:spacing w:val="40"/>
                <w:sz w:val="24"/>
              </w:rPr>
              <w:t> </w:t>
            </w:r>
            <w:r>
              <w:rPr>
                <w:sz w:val="24"/>
              </w:rPr>
              <w:t>enough</w:t>
            </w:r>
            <w:r>
              <w:rPr>
                <w:spacing w:val="40"/>
                <w:sz w:val="24"/>
              </w:rPr>
              <w:t> </w:t>
            </w:r>
            <w:r>
              <w:rPr>
                <w:sz w:val="24"/>
              </w:rPr>
              <w:t>orientation</w:t>
            </w:r>
            <w:r>
              <w:rPr>
                <w:spacing w:val="40"/>
                <w:sz w:val="24"/>
              </w:rPr>
              <w:t> </w:t>
            </w:r>
            <w:r>
              <w:rPr>
                <w:sz w:val="24"/>
              </w:rPr>
              <w:t>on</w:t>
            </w:r>
            <w:r>
              <w:rPr>
                <w:spacing w:val="40"/>
                <w:sz w:val="24"/>
              </w:rPr>
              <w:t> </w:t>
            </w:r>
            <w:r>
              <w:rPr>
                <w:sz w:val="24"/>
              </w:rPr>
              <w:t>how to use the libraries.</w:t>
            </w:r>
          </w:p>
        </w:tc>
        <w:tc>
          <w:tcPr>
            <w:tcW w:w="903"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c>
          <w:tcPr>
            <w:tcW w:w="721" w:type="dxa"/>
          </w:tcPr>
          <w:p>
            <w:pPr>
              <w:pStyle w:val="TableParagraph"/>
              <w:rPr>
                <w:rFonts w:ascii="Times New Roman"/>
                <w:sz w:val="22"/>
              </w:rPr>
            </w:pPr>
          </w:p>
        </w:tc>
      </w:tr>
    </w:tbl>
    <w:p>
      <w:pPr>
        <w:pStyle w:val="BodyText"/>
        <w:rPr>
          <w:rFonts w:ascii="Arial"/>
          <w:b/>
        </w:rPr>
      </w:pPr>
    </w:p>
    <w:p>
      <w:pPr>
        <w:pStyle w:val="BodyText"/>
        <w:spacing w:before="233"/>
        <w:rPr>
          <w:rFonts w:ascii="Arial"/>
          <w:b/>
        </w:rPr>
      </w:pPr>
    </w:p>
    <w:p>
      <w:pPr>
        <w:pStyle w:val="ListParagraph"/>
        <w:numPr>
          <w:ilvl w:val="1"/>
          <w:numId w:val="54"/>
        </w:numPr>
        <w:tabs>
          <w:tab w:pos="757" w:val="left" w:leader="none"/>
          <w:tab w:pos="824" w:val="left" w:leader="none"/>
        </w:tabs>
        <w:spacing w:line="343" w:lineRule="auto" w:before="0" w:after="12"/>
        <w:ind w:left="757" w:right="1015" w:hanging="538"/>
        <w:jc w:val="left"/>
        <w:rPr>
          <w:rFonts w:ascii="Arial"/>
          <w:b/>
          <w:sz w:val="24"/>
        </w:rPr>
      </w:pPr>
      <w:r>
        <w:rPr>
          <w:rFonts w:ascii="Arial"/>
          <w:b/>
          <w:sz w:val="24"/>
        </w:rPr>
        <w:tab/>
        <w:t>Impact</w:t>
      </w:r>
      <w:r>
        <w:rPr>
          <w:rFonts w:ascii="Arial"/>
          <w:b/>
          <w:spacing w:val="-3"/>
          <w:sz w:val="24"/>
        </w:rPr>
        <w:t> </w:t>
      </w:r>
      <w:r>
        <w:rPr>
          <w:rFonts w:ascii="Arial"/>
          <w:b/>
          <w:sz w:val="24"/>
        </w:rPr>
        <w:t>of</w:t>
      </w:r>
      <w:r>
        <w:rPr>
          <w:rFonts w:ascii="Arial"/>
          <w:b/>
          <w:spacing w:val="-3"/>
          <w:sz w:val="24"/>
        </w:rPr>
        <w:t> </w:t>
      </w:r>
      <w:r>
        <w:rPr>
          <w:rFonts w:ascii="Arial"/>
          <w:b/>
          <w:sz w:val="24"/>
        </w:rPr>
        <w:t>Classrooms,</w:t>
      </w:r>
      <w:r>
        <w:rPr>
          <w:rFonts w:ascii="Arial"/>
          <w:b/>
          <w:spacing w:val="-5"/>
          <w:sz w:val="24"/>
        </w:rPr>
        <w:t> </w:t>
      </w:r>
      <w:r>
        <w:rPr>
          <w:rFonts w:ascii="Arial"/>
          <w:b/>
          <w:sz w:val="24"/>
        </w:rPr>
        <w:t>Laboratories,</w:t>
      </w:r>
      <w:r>
        <w:rPr>
          <w:rFonts w:ascii="Arial"/>
          <w:b/>
          <w:spacing w:val="-8"/>
          <w:sz w:val="24"/>
        </w:rPr>
        <w:t> </w:t>
      </w:r>
      <w:r>
        <w:rPr>
          <w:rFonts w:ascii="Arial"/>
          <w:b/>
          <w:sz w:val="24"/>
        </w:rPr>
        <w:t>Workshops,</w:t>
      </w:r>
      <w:r>
        <w:rPr>
          <w:rFonts w:ascii="Arial"/>
          <w:b/>
          <w:spacing w:val="-5"/>
          <w:sz w:val="24"/>
        </w:rPr>
        <w:t> </w:t>
      </w:r>
      <w:r>
        <w:rPr>
          <w:rFonts w:ascii="Arial"/>
          <w:b/>
          <w:sz w:val="24"/>
        </w:rPr>
        <w:t>field</w:t>
      </w:r>
      <w:r>
        <w:rPr>
          <w:rFonts w:ascii="Arial"/>
          <w:b/>
          <w:spacing w:val="-7"/>
          <w:sz w:val="24"/>
        </w:rPr>
        <w:t> </w:t>
      </w:r>
      <w:r>
        <w:rPr>
          <w:rFonts w:ascii="Arial"/>
          <w:b/>
          <w:sz w:val="24"/>
        </w:rPr>
        <w:t>trips</w:t>
      </w:r>
      <w:r>
        <w:rPr>
          <w:rFonts w:ascii="Arial"/>
          <w:b/>
          <w:spacing w:val="-8"/>
          <w:sz w:val="24"/>
        </w:rPr>
        <w:t> </w:t>
      </w:r>
      <w:r>
        <w:rPr>
          <w:rFonts w:ascii="Arial"/>
          <w:b/>
          <w:sz w:val="24"/>
        </w:rPr>
        <w:t>on</w:t>
      </w:r>
      <w:r>
        <w:rPr>
          <w:rFonts w:ascii="Arial"/>
          <w:b/>
          <w:spacing w:val="-7"/>
          <w:sz w:val="24"/>
        </w:rPr>
        <w:t> </w:t>
      </w:r>
      <w:r>
        <w:rPr>
          <w:rFonts w:ascii="Arial"/>
          <w:b/>
          <w:sz w:val="24"/>
        </w:rPr>
        <w:t>student </w:t>
      </w:r>
      <w:r>
        <w:rPr>
          <w:rFonts w:ascii="Arial"/>
          <w:b/>
          <w:spacing w:val="-2"/>
          <w:sz w:val="24"/>
        </w:rPr>
        <w:t>welfare</w:t>
      </w:r>
    </w:p>
    <w:tbl>
      <w:tblPr>
        <w:tblW w:w="0" w:type="auto"/>
        <w:jc w:val="left"/>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2"/>
        <w:gridCol w:w="5270"/>
        <w:gridCol w:w="888"/>
        <w:gridCol w:w="706"/>
        <w:gridCol w:w="706"/>
        <w:gridCol w:w="706"/>
        <w:gridCol w:w="716"/>
      </w:tblGrid>
      <w:tr>
        <w:trPr>
          <w:trHeight w:val="393" w:hRule="atLeast"/>
        </w:trPr>
        <w:tc>
          <w:tcPr>
            <w:tcW w:w="552" w:type="dxa"/>
            <w:vMerge w:val="restart"/>
          </w:tcPr>
          <w:p>
            <w:pPr>
              <w:pStyle w:val="TableParagraph"/>
              <w:spacing w:before="113"/>
              <w:rPr>
                <w:rFonts w:ascii="Arial"/>
                <w:b/>
                <w:sz w:val="24"/>
              </w:rPr>
            </w:pPr>
          </w:p>
          <w:p>
            <w:pPr>
              <w:pStyle w:val="TableParagraph"/>
              <w:ind w:left="105"/>
              <w:rPr>
                <w:sz w:val="24"/>
              </w:rPr>
            </w:pPr>
            <w:r>
              <w:rPr>
                <w:spacing w:val="-5"/>
                <w:sz w:val="24"/>
              </w:rPr>
              <w:t>77.</w:t>
            </w:r>
          </w:p>
        </w:tc>
        <w:tc>
          <w:tcPr>
            <w:tcW w:w="5270" w:type="dxa"/>
            <w:vMerge w:val="restart"/>
          </w:tcPr>
          <w:p>
            <w:pPr>
              <w:pStyle w:val="TableParagraph"/>
              <w:spacing w:before="113"/>
              <w:rPr>
                <w:rFonts w:ascii="Arial"/>
                <w:b/>
                <w:sz w:val="24"/>
              </w:rPr>
            </w:pPr>
          </w:p>
          <w:p>
            <w:pPr>
              <w:pStyle w:val="TableParagraph"/>
              <w:ind w:left="105" w:right="96"/>
              <w:jc w:val="both"/>
              <w:rPr>
                <w:sz w:val="24"/>
              </w:rPr>
            </w:pPr>
            <w:r>
              <w:rPr>
                <w:sz w:val="24"/>
              </w:rPr>
              <w:t>Classroom and lecture halls are not enough to accommodate students during the lecture </w:t>
            </w:r>
            <w:r>
              <w:rPr>
                <w:spacing w:val="-2"/>
                <w:sz w:val="24"/>
              </w:rPr>
              <w:t>sessions.</w:t>
            </w:r>
          </w:p>
        </w:tc>
        <w:tc>
          <w:tcPr>
            <w:tcW w:w="888" w:type="dxa"/>
          </w:tcPr>
          <w:p>
            <w:pPr>
              <w:pStyle w:val="TableParagraph"/>
              <w:spacing w:line="267" w:lineRule="exact"/>
              <w:ind w:left="105"/>
              <w:rPr>
                <w:rFonts w:ascii="Arial"/>
                <w:b/>
                <w:sz w:val="24"/>
              </w:rPr>
            </w:pPr>
            <w:r>
              <w:rPr>
                <w:rFonts w:ascii="Arial"/>
                <w:b/>
                <w:spacing w:val="-5"/>
                <w:sz w:val="24"/>
              </w:rPr>
              <w:t>SA</w:t>
            </w:r>
          </w:p>
        </w:tc>
        <w:tc>
          <w:tcPr>
            <w:tcW w:w="706" w:type="dxa"/>
          </w:tcPr>
          <w:p>
            <w:pPr>
              <w:pStyle w:val="TableParagraph"/>
              <w:spacing w:line="267" w:lineRule="exact"/>
              <w:ind w:left="105"/>
              <w:rPr>
                <w:rFonts w:ascii="Arial"/>
                <w:b/>
                <w:sz w:val="24"/>
              </w:rPr>
            </w:pPr>
            <w:r>
              <w:rPr>
                <w:rFonts w:ascii="Arial"/>
                <w:b/>
                <w:spacing w:val="-10"/>
                <w:sz w:val="24"/>
              </w:rPr>
              <w:t>A</w:t>
            </w:r>
          </w:p>
        </w:tc>
        <w:tc>
          <w:tcPr>
            <w:tcW w:w="706" w:type="dxa"/>
          </w:tcPr>
          <w:p>
            <w:pPr>
              <w:pStyle w:val="TableParagraph"/>
              <w:spacing w:line="267" w:lineRule="exact"/>
              <w:ind w:left="105"/>
              <w:rPr>
                <w:rFonts w:ascii="Arial"/>
                <w:b/>
                <w:sz w:val="24"/>
              </w:rPr>
            </w:pPr>
            <w:r>
              <w:rPr>
                <w:rFonts w:ascii="Arial"/>
                <w:b/>
                <w:spacing w:val="-10"/>
                <w:sz w:val="24"/>
              </w:rPr>
              <w:t>U</w:t>
            </w:r>
          </w:p>
        </w:tc>
        <w:tc>
          <w:tcPr>
            <w:tcW w:w="706" w:type="dxa"/>
          </w:tcPr>
          <w:p>
            <w:pPr>
              <w:pStyle w:val="TableParagraph"/>
              <w:spacing w:line="267" w:lineRule="exact"/>
              <w:ind w:left="105"/>
              <w:rPr>
                <w:rFonts w:ascii="Arial"/>
                <w:b/>
                <w:sz w:val="24"/>
              </w:rPr>
            </w:pPr>
            <w:r>
              <w:rPr>
                <w:rFonts w:ascii="Arial"/>
                <w:b/>
                <w:spacing w:val="-10"/>
                <w:sz w:val="24"/>
              </w:rPr>
              <w:t>D</w:t>
            </w:r>
          </w:p>
        </w:tc>
        <w:tc>
          <w:tcPr>
            <w:tcW w:w="716" w:type="dxa"/>
          </w:tcPr>
          <w:p>
            <w:pPr>
              <w:pStyle w:val="TableParagraph"/>
              <w:spacing w:line="267" w:lineRule="exact"/>
              <w:ind w:left="104"/>
              <w:rPr>
                <w:rFonts w:ascii="Arial"/>
                <w:b/>
                <w:sz w:val="24"/>
              </w:rPr>
            </w:pPr>
            <w:r>
              <w:rPr>
                <w:rFonts w:ascii="Arial"/>
                <w:b/>
                <w:spacing w:val="-5"/>
                <w:sz w:val="24"/>
              </w:rPr>
              <w:t>SD</w:t>
            </w:r>
          </w:p>
        </w:tc>
      </w:tr>
      <w:tr>
        <w:trPr>
          <w:trHeight w:val="940" w:hRule="atLeast"/>
        </w:trPr>
        <w:tc>
          <w:tcPr>
            <w:tcW w:w="552" w:type="dxa"/>
            <w:vMerge/>
            <w:tcBorders>
              <w:top w:val="nil"/>
            </w:tcBorders>
          </w:tcPr>
          <w:p>
            <w:pPr>
              <w:rPr>
                <w:sz w:val="2"/>
                <w:szCs w:val="2"/>
              </w:rPr>
            </w:pPr>
          </w:p>
        </w:tc>
        <w:tc>
          <w:tcPr>
            <w:tcW w:w="5270" w:type="dxa"/>
            <w:vMerge/>
            <w:tcBorders>
              <w:top w:val="nil"/>
            </w:tcBorders>
          </w:tcPr>
          <w:p>
            <w:pPr>
              <w:rPr>
                <w:sz w:val="2"/>
                <w:szCs w:val="2"/>
              </w:rPr>
            </w:pPr>
          </w:p>
        </w:tc>
        <w:tc>
          <w:tcPr>
            <w:tcW w:w="888"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16" w:type="dxa"/>
          </w:tcPr>
          <w:p>
            <w:pPr>
              <w:pStyle w:val="TableParagraph"/>
              <w:rPr>
                <w:rFonts w:ascii="Times New Roman"/>
                <w:sz w:val="22"/>
              </w:rPr>
            </w:pPr>
          </w:p>
        </w:tc>
      </w:tr>
      <w:tr>
        <w:trPr>
          <w:trHeight w:val="1622" w:hRule="atLeast"/>
        </w:trPr>
        <w:tc>
          <w:tcPr>
            <w:tcW w:w="552" w:type="dxa"/>
          </w:tcPr>
          <w:p>
            <w:pPr>
              <w:pStyle w:val="TableParagraph"/>
              <w:spacing w:before="113"/>
              <w:rPr>
                <w:rFonts w:ascii="Arial"/>
                <w:b/>
                <w:sz w:val="24"/>
              </w:rPr>
            </w:pPr>
          </w:p>
          <w:p>
            <w:pPr>
              <w:pStyle w:val="TableParagraph"/>
              <w:ind w:left="105"/>
              <w:rPr>
                <w:sz w:val="24"/>
              </w:rPr>
            </w:pPr>
            <w:r>
              <w:rPr>
                <w:spacing w:val="-5"/>
                <w:sz w:val="24"/>
              </w:rPr>
              <w:t>78.</w:t>
            </w:r>
          </w:p>
        </w:tc>
        <w:tc>
          <w:tcPr>
            <w:tcW w:w="5270" w:type="dxa"/>
          </w:tcPr>
          <w:p>
            <w:pPr>
              <w:pStyle w:val="TableParagraph"/>
              <w:spacing w:before="113"/>
              <w:rPr>
                <w:rFonts w:ascii="Arial"/>
                <w:b/>
                <w:sz w:val="24"/>
              </w:rPr>
            </w:pPr>
          </w:p>
          <w:p>
            <w:pPr>
              <w:pStyle w:val="TableParagraph"/>
              <w:ind w:left="105" w:right="98"/>
              <w:jc w:val="both"/>
              <w:rPr>
                <w:sz w:val="24"/>
              </w:rPr>
            </w:pPr>
            <w:r>
              <w:rPr>
                <w:sz w:val="24"/>
              </w:rPr>
              <w:t>Teaching and learning facilities like laboratory equipments, workshop tools and even seating arrangements are inadequate to facilitate convenient learning environment for students.</w:t>
            </w:r>
          </w:p>
        </w:tc>
        <w:tc>
          <w:tcPr>
            <w:tcW w:w="888"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16" w:type="dxa"/>
          </w:tcPr>
          <w:p>
            <w:pPr>
              <w:pStyle w:val="TableParagraph"/>
              <w:rPr>
                <w:rFonts w:ascii="Times New Roman"/>
                <w:sz w:val="22"/>
              </w:rPr>
            </w:pPr>
          </w:p>
        </w:tc>
      </w:tr>
    </w:tbl>
    <w:p>
      <w:pPr>
        <w:spacing w:after="0"/>
        <w:rPr>
          <w:rFonts w:ascii="Times New Roman"/>
          <w:sz w:val="22"/>
        </w:rPr>
        <w:sectPr>
          <w:headerReference w:type="default" r:id="rId626"/>
          <w:footerReference w:type="default" r:id="rId627"/>
          <w:pgSz w:w="12240" w:h="15840"/>
          <w:pgMar w:header="722" w:footer="623" w:top="980" w:bottom="820" w:left="1220" w:right="1140"/>
        </w:sectPr>
      </w:pPr>
    </w:p>
    <w:p>
      <w:pPr>
        <w:pStyle w:val="BodyText"/>
        <w:spacing w:before="222"/>
        <w:rPr>
          <w:rFonts w:ascii="Arial"/>
          <w:b/>
          <w:sz w:val="20"/>
        </w:rPr>
      </w:pPr>
    </w:p>
    <w:tbl>
      <w:tblPr>
        <w:tblW w:w="0" w:type="auto"/>
        <w:jc w:val="left"/>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2"/>
        <w:gridCol w:w="5270"/>
        <w:gridCol w:w="888"/>
        <w:gridCol w:w="706"/>
        <w:gridCol w:w="706"/>
        <w:gridCol w:w="706"/>
        <w:gridCol w:w="716"/>
      </w:tblGrid>
      <w:tr>
        <w:trPr>
          <w:trHeight w:val="1622" w:hRule="atLeast"/>
        </w:trPr>
        <w:tc>
          <w:tcPr>
            <w:tcW w:w="552" w:type="dxa"/>
          </w:tcPr>
          <w:p>
            <w:pPr>
              <w:pStyle w:val="TableParagraph"/>
              <w:spacing w:before="117"/>
              <w:rPr>
                <w:rFonts w:ascii="Arial"/>
                <w:b/>
                <w:sz w:val="24"/>
              </w:rPr>
            </w:pPr>
          </w:p>
          <w:p>
            <w:pPr>
              <w:pStyle w:val="TableParagraph"/>
              <w:spacing w:before="1"/>
              <w:ind w:left="4"/>
              <w:jc w:val="center"/>
              <w:rPr>
                <w:sz w:val="24"/>
              </w:rPr>
            </w:pPr>
            <w:r>
              <w:rPr>
                <w:spacing w:val="-5"/>
                <w:sz w:val="24"/>
              </w:rPr>
              <w:t>79.</w:t>
            </w:r>
          </w:p>
        </w:tc>
        <w:tc>
          <w:tcPr>
            <w:tcW w:w="5270" w:type="dxa"/>
          </w:tcPr>
          <w:p>
            <w:pPr>
              <w:pStyle w:val="TableParagraph"/>
              <w:spacing w:before="117"/>
              <w:rPr>
                <w:rFonts w:ascii="Arial"/>
                <w:b/>
                <w:sz w:val="24"/>
              </w:rPr>
            </w:pPr>
          </w:p>
          <w:p>
            <w:pPr>
              <w:pStyle w:val="TableParagraph"/>
              <w:spacing w:before="1"/>
              <w:ind w:left="105" w:right="98"/>
              <w:jc w:val="both"/>
              <w:rPr>
                <w:sz w:val="24"/>
              </w:rPr>
            </w:pPr>
            <w:r>
              <w:rPr>
                <w:sz w:val="24"/>
              </w:rPr>
              <w:t>In most cases students either shift or share the equipment in an overcrowded manner which leads to producing half-baked technologists</w:t>
            </w:r>
            <w:r>
              <w:rPr>
                <w:spacing w:val="40"/>
                <w:sz w:val="24"/>
              </w:rPr>
              <w:t> </w:t>
            </w:r>
            <w:r>
              <w:rPr>
                <w:sz w:val="24"/>
              </w:rPr>
              <w:t>and scientists.</w:t>
            </w:r>
          </w:p>
        </w:tc>
        <w:tc>
          <w:tcPr>
            <w:tcW w:w="888"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16" w:type="dxa"/>
          </w:tcPr>
          <w:p>
            <w:pPr>
              <w:pStyle w:val="TableParagraph"/>
              <w:rPr>
                <w:rFonts w:ascii="Times New Roman"/>
                <w:sz w:val="22"/>
              </w:rPr>
            </w:pPr>
          </w:p>
        </w:tc>
      </w:tr>
      <w:tr>
        <w:trPr>
          <w:trHeight w:val="1343" w:hRule="atLeast"/>
        </w:trPr>
        <w:tc>
          <w:tcPr>
            <w:tcW w:w="552" w:type="dxa"/>
          </w:tcPr>
          <w:p>
            <w:pPr>
              <w:pStyle w:val="TableParagraph"/>
              <w:spacing w:before="113"/>
              <w:rPr>
                <w:rFonts w:ascii="Arial"/>
                <w:b/>
                <w:sz w:val="24"/>
              </w:rPr>
            </w:pPr>
          </w:p>
          <w:p>
            <w:pPr>
              <w:pStyle w:val="TableParagraph"/>
              <w:ind w:left="4"/>
              <w:jc w:val="center"/>
              <w:rPr>
                <w:sz w:val="24"/>
              </w:rPr>
            </w:pPr>
            <w:r>
              <w:rPr>
                <w:spacing w:val="-5"/>
                <w:sz w:val="24"/>
              </w:rPr>
              <w:t>80.</w:t>
            </w:r>
          </w:p>
        </w:tc>
        <w:tc>
          <w:tcPr>
            <w:tcW w:w="5270" w:type="dxa"/>
          </w:tcPr>
          <w:p>
            <w:pPr>
              <w:pStyle w:val="TableParagraph"/>
              <w:spacing w:before="113"/>
              <w:rPr>
                <w:rFonts w:ascii="Arial"/>
                <w:b/>
                <w:sz w:val="24"/>
              </w:rPr>
            </w:pPr>
          </w:p>
          <w:p>
            <w:pPr>
              <w:pStyle w:val="TableParagraph"/>
              <w:ind w:left="105" w:right="100"/>
              <w:jc w:val="both"/>
              <w:rPr>
                <w:sz w:val="24"/>
              </w:rPr>
            </w:pPr>
            <w:r>
              <w:rPr>
                <w:sz w:val="24"/>
              </w:rPr>
              <w:t>Learning can be adventurous for students with lots of well organized field trips/works and </w:t>
            </w:r>
            <w:r>
              <w:rPr>
                <w:spacing w:val="-2"/>
                <w:sz w:val="24"/>
              </w:rPr>
              <w:t>practicals.</w:t>
            </w:r>
          </w:p>
        </w:tc>
        <w:tc>
          <w:tcPr>
            <w:tcW w:w="888"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16" w:type="dxa"/>
          </w:tcPr>
          <w:p>
            <w:pPr>
              <w:pStyle w:val="TableParagraph"/>
              <w:rPr>
                <w:rFonts w:ascii="Times New Roman"/>
                <w:sz w:val="22"/>
              </w:rPr>
            </w:pPr>
          </w:p>
        </w:tc>
      </w:tr>
    </w:tbl>
    <w:p>
      <w:pPr>
        <w:pStyle w:val="BodyText"/>
        <w:spacing w:before="108"/>
        <w:rPr>
          <w:rFonts w:ascii="Arial"/>
          <w:b/>
        </w:rPr>
      </w:pPr>
    </w:p>
    <w:p>
      <w:pPr>
        <w:pStyle w:val="ListParagraph"/>
        <w:numPr>
          <w:ilvl w:val="1"/>
          <w:numId w:val="54"/>
        </w:numPr>
        <w:tabs>
          <w:tab w:pos="891" w:val="left" w:leader="none"/>
        </w:tabs>
        <w:spacing w:line="240" w:lineRule="auto" w:before="0" w:after="0"/>
        <w:ind w:left="891" w:right="0" w:hanging="671"/>
        <w:jc w:val="left"/>
        <w:rPr>
          <w:rFonts w:ascii="Arial"/>
          <w:b/>
          <w:sz w:val="24"/>
        </w:rPr>
      </w:pPr>
      <w:r>
        <w:rPr>
          <w:rFonts w:ascii="Arial"/>
          <w:b/>
          <w:sz w:val="24"/>
        </w:rPr>
        <w:t>Influence</w:t>
      </w:r>
      <w:r>
        <w:rPr>
          <w:rFonts w:ascii="Arial"/>
          <w:b/>
          <w:spacing w:val="-10"/>
          <w:sz w:val="24"/>
        </w:rPr>
        <w:t> </w:t>
      </w:r>
      <w:r>
        <w:rPr>
          <w:rFonts w:ascii="Arial"/>
          <w:b/>
          <w:sz w:val="24"/>
        </w:rPr>
        <w:t>of</w:t>
      </w:r>
      <w:r>
        <w:rPr>
          <w:rFonts w:ascii="Arial"/>
          <w:b/>
          <w:spacing w:val="-8"/>
          <w:sz w:val="24"/>
        </w:rPr>
        <w:t> </w:t>
      </w:r>
      <w:r>
        <w:rPr>
          <w:rFonts w:ascii="Arial"/>
          <w:b/>
          <w:sz w:val="24"/>
        </w:rPr>
        <w:t>Information</w:t>
      </w:r>
      <w:r>
        <w:rPr>
          <w:rFonts w:ascii="Arial"/>
          <w:b/>
          <w:spacing w:val="-12"/>
          <w:sz w:val="24"/>
        </w:rPr>
        <w:t> </w:t>
      </w:r>
      <w:r>
        <w:rPr>
          <w:rFonts w:ascii="Arial"/>
          <w:b/>
          <w:sz w:val="24"/>
        </w:rPr>
        <w:t>Technology</w:t>
      </w:r>
      <w:r>
        <w:rPr>
          <w:rFonts w:ascii="Arial"/>
          <w:b/>
          <w:spacing w:val="-13"/>
          <w:sz w:val="24"/>
        </w:rPr>
        <w:t> </w:t>
      </w:r>
      <w:r>
        <w:rPr>
          <w:rFonts w:ascii="Arial"/>
          <w:b/>
          <w:sz w:val="24"/>
        </w:rPr>
        <w:t>service</w:t>
      </w:r>
      <w:r>
        <w:rPr>
          <w:rFonts w:ascii="Arial"/>
          <w:b/>
          <w:spacing w:val="-9"/>
          <w:sz w:val="24"/>
        </w:rPr>
        <w:t> </w:t>
      </w:r>
      <w:r>
        <w:rPr>
          <w:rFonts w:ascii="Arial"/>
          <w:b/>
          <w:sz w:val="24"/>
        </w:rPr>
        <w:t>on</w:t>
      </w:r>
      <w:r>
        <w:rPr>
          <w:rFonts w:ascii="Arial"/>
          <w:b/>
          <w:spacing w:val="-12"/>
          <w:sz w:val="24"/>
        </w:rPr>
        <w:t> </w:t>
      </w:r>
      <w:r>
        <w:rPr>
          <w:rFonts w:ascii="Arial"/>
          <w:b/>
          <w:sz w:val="24"/>
        </w:rPr>
        <w:t>student</w:t>
      </w:r>
      <w:r>
        <w:rPr>
          <w:rFonts w:ascii="Arial"/>
          <w:b/>
          <w:spacing w:val="-9"/>
          <w:sz w:val="24"/>
        </w:rPr>
        <w:t> </w:t>
      </w:r>
      <w:r>
        <w:rPr>
          <w:rFonts w:ascii="Arial"/>
          <w:b/>
          <w:spacing w:val="-2"/>
          <w:sz w:val="24"/>
        </w:rPr>
        <w:t>welfare</w:t>
      </w:r>
    </w:p>
    <w:p>
      <w:pPr>
        <w:pStyle w:val="BodyText"/>
        <w:spacing w:before="5"/>
        <w:rPr>
          <w:rFonts w:ascii="Arial"/>
          <w:b/>
          <w:sz w:val="11"/>
        </w:rPr>
      </w:pPr>
    </w:p>
    <w:tbl>
      <w:tblPr>
        <w:tblW w:w="0" w:type="auto"/>
        <w:jc w:val="left"/>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2"/>
        <w:gridCol w:w="5270"/>
        <w:gridCol w:w="888"/>
        <w:gridCol w:w="706"/>
        <w:gridCol w:w="706"/>
        <w:gridCol w:w="706"/>
        <w:gridCol w:w="716"/>
      </w:tblGrid>
      <w:tr>
        <w:trPr>
          <w:trHeight w:val="393" w:hRule="atLeast"/>
        </w:trPr>
        <w:tc>
          <w:tcPr>
            <w:tcW w:w="552" w:type="dxa"/>
            <w:vMerge w:val="restart"/>
          </w:tcPr>
          <w:p>
            <w:pPr>
              <w:pStyle w:val="TableParagraph"/>
              <w:spacing w:before="113"/>
              <w:rPr>
                <w:rFonts w:ascii="Arial"/>
                <w:b/>
                <w:sz w:val="24"/>
              </w:rPr>
            </w:pPr>
          </w:p>
          <w:p>
            <w:pPr>
              <w:pStyle w:val="TableParagraph"/>
              <w:ind w:left="105"/>
              <w:rPr>
                <w:sz w:val="24"/>
              </w:rPr>
            </w:pPr>
            <w:r>
              <w:rPr>
                <w:spacing w:val="-5"/>
                <w:sz w:val="24"/>
              </w:rPr>
              <w:t>81.</w:t>
            </w:r>
          </w:p>
        </w:tc>
        <w:tc>
          <w:tcPr>
            <w:tcW w:w="5270" w:type="dxa"/>
            <w:vMerge w:val="restart"/>
          </w:tcPr>
          <w:p>
            <w:pPr>
              <w:pStyle w:val="TableParagraph"/>
              <w:spacing w:before="113"/>
              <w:rPr>
                <w:rFonts w:ascii="Arial"/>
                <w:b/>
                <w:sz w:val="24"/>
              </w:rPr>
            </w:pPr>
          </w:p>
          <w:p>
            <w:pPr>
              <w:pStyle w:val="TableParagraph"/>
              <w:ind w:left="105" w:right="101"/>
              <w:jc w:val="both"/>
              <w:rPr>
                <w:sz w:val="24"/>
              </w:rPr>
            </w:pPr>
            <w:r>
              <w:rPr>
                <w:sz w:val="24"/>
              </w:rPr>
              <w:t>Students are supposed to get easy access to computers and Internet Cafes in order to get informed about world events.</w:t>
            </w:r>
          </w:p>
        </w:tc>
        <w:tc>
          <w:tcPr>
            <w:tcW w:w="888" w:type="dxa"/>
          </w:tcPr>
          <w:p>
            <w:pPr>
              <w:pStyle w:val="TableParagraph"/>
              <w:spacing w:line="267" w:lineRule="exact"/>
              <w:ind w:left="105"/>
              <w:rPr>
                <w:rFonts w:ascii="Arial"/>
                <w:b/>
                <w:sz w:val="24"/>
              </w:rPr>
            </w:pPr>
            <w:r>
              <w:rPr>
                <w:rFonts w:ascii="Arial"/>
                <w:b/>
                <w:spacing w:val="-5"/>
                <w:sz w:val="24"/>
              </w:rPr>
              <w:t>SA</w:t>
            </w:r>
          </w:p>
        </w:tc>
        <w:tc>
          <w:tcPr>
            <w:tcW w:w="706" w:type="dxa"/>
          </w:tcPr>
          <w:p>
            <w:pPr>
              <w:pStyle w:val="TableParagraph"/>
              <w:spacing w:line="267" w:lineRule="exact"/>
              <w:ind w:left="105"/>
              <w:rPr>
                <w:rFonts w:ascii="Arial"/>
                <w:b/>
                <w:sz w:val="24"/>
              </w:rPr>
            </w:pPr>
            <w:r>
              <w:rPr>
                <w:rFonts w:ascii="Arial"/>
                <w:b/>
                <w:spacing w:val="-10"/>
                <w:sz w:val="24"/>
              </w:rPr>
              <w:t>A</w:t>
            </w:r>
          </w:p>
        </w:tc>
        <w:tc>
          <w:tcPr>
            <w:tcW w:w="706" w:type="dxa"/>
          </w:tcPr>
          <w:p>
            <w:pPr>
              <w:pStyle w:val="TableParagraph"/>
              <w:spacing w:line="267" w:lineRule="exact"/>
              <w:ind w:left="105"/>
              <w:rPr>
                <w:rFonts w:ascii="Arial"/>
                <w:b/>
                <w:sz w:val="24"/>
              </w:rPr>
            </w:pPr>
            <w:r>
              <w:rPr>
                <w:rFonts w:ascii="Arial"/>
                <w:b/>
                <w:spacing w:val="-10"/>
                <w:sz w:val="24"/>
              </w:rPr>
              <w:t>U</w:t>
            </w:r>
          </w:p>
        </w:tc>
        <w:tc>
          <w:tcPr>
            <w:tcW w:w="706" w:type="dxa"/>
          </w:tcPr>
          <w:p>
            <w:pPr>
              <w:pStyle w:val="TableParagraph"/>
              <w:spacing w:line="267" w:lineRule="exact"/>
              <w:ind w:left="105"/>
              <w:rPr>
                <w:rFonts w:ascii="Arial"/>
                <w:b/>
                <w:sz w:val="24"/>
              </w:rPr>
            </w:pPr>
            <w:r>
              <w:rPr>
                <w:rFonts w:ascii="Arial"/>
                <w:b/>
                <w:spacing w:val="-10"/>
                <w:sz w:val="24"/>
              </w:rPr>
              <w:t>D</w:t>
            </w:r>
          </w:p>
        </w:tc>
        <w:tc>
          <w:tcPr>
            <w:tcW w:w="716" w:type="dxa"/>
          </w:tcPr>
          <w:p>
            <w:pPr>
              <w:pStyle w:val="TableParagraph"/>
              <w:spacing w:line="267" w:lineRule="exact"/>
              <w:ind w:left="104"/>
              <w:rPr>
                <w:rFonts w:ascii="Arial"/>
                <w:b/>
                <w:sz w:val="24"/>
              </w:rPr>
            </w:pPr>
            <w:r>
              <w:rPr>
                <w:rFonts w:ascii="Arial"/>
                <w:b/>
                <w:spacing w:val="-5"/>
                <w:sz w:val="24"/>
              </w:rPr>
              <w:t>SD</w:t>
            </w:r>
          </w:p>
        </w:tc>
      </w:tr>
      <w:tr>
        <w:trPr>
          <w:trHeight w:val="940" w:hRule="atLeast"/>
        </w:trPr>
        <w:tc>
          <w:tcPr>
            <w:tcW w:w="552" w:type="dxa"/>
            <w:vMerge/>
            <w:tcBorders>
              <w:top w:val="nil"/>
            </w:tcBorders>
          </w:tcPr>
          <w:p>
            <w:pPr>
              <w:rPr>
                <w:sz w:val="2"/>
                <w:szCs w:val="2"/>
              </w:rPr>
            </w:pPr>
          </w:p>
        </w:tc>
        <w:tc>
          <w:tcPr>
            <w:tcW w:w="5270" w:type="dxa"/>
            <w:vMerge/>
            <w:tcBorders>
              <w:top w:val="nil"/>
            </w:tcBorders>
          </w:tcPr>
          <w:p>
            <w:pPr>
              <w:rPr>
                <w:sz w:val="2"/>
                <w:szCs w:val="2"/>
              </w:rPr>
            </w:pPr>
          </w:p>
        </w:tc>
        <w:tc>
          <w:tcPr>
            <w:tcW w:w="888"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16" w:type="dxa"/>
          </w:tcPr>
          <w:p>
            <w:pPr>
              <w:pStyle w:val="TableParagraph"/>
              <w:rPr>
                <w:rFonts w:ascii="Times New Roman"/>
                <w:sz w:val="22"/>
              </w:rPr>
            </w:pPr>
          </w:p>
        </w:tc>
      </w:tr>
      <w:tr>
        <w:trPr>
          <w:trHeight w:val="1065" w:hRule="atLeast"/>
        </w:trPr>
        <w:tc>
          <w:tcPr>
            <w:tcW w:w="552" w:type="dxa"/>
          </w:tcPr>
          <w:p>
            <w:pPr>
              <w:pStyle w:val="TableParagraph"/>
              <w:spacing w:before="113"/>
              <w:rPr>
                <w:rFonts w:ascii="Arial"/>
                <w:b/>
                <w:sz w:val="24"/>
              </w:rPr>
            </w:pPr>
          </w:p>
          <w:p>
            <w:pPr>
              <w:pStyle w:val="TableParagraph"/>
              <w:ind w:left="4"/>
              <w:jc w:val="center"/>
              <w:rPr>
                <w:sz w:val="24"/>
              </w:rPr>
            </w:pPr>
            <w:r>
              <w:rPr>
                <w:spacing w:val="-5"/>
                <w:sz w:val="24"/>
              </w:rPr>
              <w:t>82.</w:t>
            </w:r>
          </w:p>
        </w:tc>
        <w:tc>
          <w:tcPr>
            <w:tcW w:w="5270" w:type="dxa"/>
          </w:tcPr>
          <w:p>
            <w:pPr>
              <w:pStyle w:val="TableParagraph"/>
              <w:spacing w:before="113"/>
              <w:rPr>
                <w:rFonts w:ascii="Arial"/>
                <w:b/>
                <w:sz w:val="24"/>
              </w:rPr>
            </w:pPr>
          </w:p>
          <w:p>
            <w:pPr>
              <w:pStyle w:val="TableParagraph"/>
              <w:spacing w:line="242" w:lineRule="auto"/>
              <w:ind w:left="105"/>
              <w:rPr>
                <w:sz w:val="24"/>
              </w:rPr>
            </w:pPr>
            <w:r>
              <w:rPr>
                <w:sz w:val="24"/>
              </w:rPr>
              <w:t>Learning</w:t>
            </w:r>
            <w:r>
              <w:rPr>
                <w:spacing w:val="-1"/>
                <w:sz w:val="24"/>
              </w:rPr>
              <w:t> </w:t>
            </w:r>
            <w:r>
              <w:rPr>
                <w:sz w:val="24"/>
              </w:rPr>
              <w:t>and</w:t>
            </w:r>
            <w:r>
              <w:rPr>
                <w:spacing w:val="-1"/>
                <w:sz w:val="24"/>
              </w:rPr>
              <w:t> </w:t>
            </w:r>
            <w:r>
              <w:rPr>
                <w:sz w:val="24"/>
              </w:rPr>
              <w:t>teaching are made faster through the use of information technology devices.</w:t>
            </w:r>
          </w:p>
        </w:tc>
        <w:tc>
          <w:tcPr>
            <w:tcW w:w="888"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16" w:type="dxa"/>
          </w:tcPr>
          <w:p>
            <w:pPr>
              <w:pStyle w:val="TableParagraph"/>
              <w:rPr>
                <w:rFonts w:ascii="Times New Roman"/>
                <w:sz w:val="22"/>
              </w:rPr>
            </w:pPr>
          </w:p>
        </w:tc>
      </w:tr>
      <w:tr>
        <w:trPr>
          <w:trHeight w:val="1622" w:hRule="atLeast"/>
        </w:trPr>
        <w:tc>
          <w:tcPr>
            <w:tcW w:w="552" w:type="dxa"/>
          </w:tcPr>
          <w:p>
            <w:pPr>
              <w:pStyle w:val="TableParagraph"/>
              <w:spacing w:before="117"/>
              <w:rPr>
                <w:rFonts w:ascii="Arial"/>
                <w:b/>
                <w:sz w:val="24"/>
              </w:rPr>
            </w:pPr>
          </w:p>
          <w:p>
            <w:pPr>
              <w:pStyle w:val="TableParagraph"/>
              <w:spacing w:before="1"/>
              <w:ind w:left="4"/>
              <w:jc w:val="center"/>
              <w:rPr>
                <w:sz w:val="24"/>
              </w:rPr>
            </w:pPr>
            <w:r>
              <w:rPr>
                <w:spacing w:val="-5"/>
                <w:sz w:val="24"/>
              </w:rPr>
              <w:t>83.</w:t>
            </w:r>
          </w:p>
        </w:tc>
        <w:tc>
          <w:tcPr>
            <w:tcW w:w="5270" w:type="dxa"/>
          </w:tcPr>
          <w:p>
            <w:pPr>
              <w:pStyle w:val="TableParagraph"/>
              <w:spacing w:before="117"/>
              <w:rPr>
                <w:rFonts w:ascii="Arial"/>
                <w:b/>
                <w:sz w:val="24"/>
              </w:rPr>
            </w:pPr>
          </w:p>
          <w:p>
            <w:pPr>
              <w:pStyle w:val="TableParagraph"/>
              <w:spacing w:before="1"/>
              <w:ind w:left="105" w:right="97"/>
              <w:jc w:val="both"/>
              <w:rPr>
                <w:sz w:val="24"/>
              </w:rPr>
            </w:pPr>
            <w:r>
              <w:rPr>
                <w:sz w:val="24"/>
              </w:rPr>
              <w:t>Most</w:t>
            </w:r>
            <w:r>
              <w:rPr>
                <w:spacing w:val="-2"/>
                <w:sz w:val="24"/>
              </w:rPr>
              <w:t> </w:t>
            </w:r>
            <w:r>
              <w:rPr>
                <w:sz w:val="24"/>
              </w:rPr>
              <w:t>of</w:t>
            </w:r>
            <w:r>
              <w:rPr>
                <w:spacing w:val="-2"/>
                <w:sz w:val="24"/>
              </w:rPr>
              <w:t> </w:t>
            </w:r>
            <w:r>
              <w:rPr>
                <w:sz w:val="24"/>
              </w:rPr>
              <w:t>the</w:t>
            </w:r>
            <w:r>
              <w:rPr>
                <w:spacing w:val="-6"/>
                <w:sz w:val="24"/>
              </w:rPr>
              <w:t> </w:t>
            </w:r>
            <w:r>
              <w:rPr>
                <w:sz w:val="24"/>
              </w:rPr>
              <w:t>information</w:t>
            </w:r>
            <w:r>
              <w:rPr>
                <w:spacing w:val="-1"/>
                <w:sz w:val="24"/>
              </w:rPr>
              <w:t> </w:t>
            </w:r>
            <w:r>
              <w:rPr>
                <w:sz w:val="24"/>
              </w:rPr>
              <w:t>technology</w:t>
            </w:r>
            <w:r>
              <w:rPr>
                <w:spacing w:val="-2"/>
                <w:sz w:val="24"/>
              </w:rPr>
              <w:t> </w:t>
            </w:r>
            <w:r>
              <w:rPr>
                <w:sz w:val="24"/>
              </w:rPr>
              <w:t>services</w:t>
            </w:r>
            <w:r>
              <w:rPr>
                <w:spacing w:val="-2"/>
                <w:sz w:val="24"/>
              </w:rPr>
              <w:t> </w:t>
            </w:r>
            <w:r>
              <w:rPr>
                <w:sz w:val="24"/>
              </w:rPr>
              <w:t>are provided by private individuals whose charges are very expensive and exploitative because they rent the accommodation spaces.</w:t>
            </w:r>
          </w:p>
        </w:tc>
        <w:tc>
          <w:tcPr>
            <w:tcW w:w="888"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16" w:type="dxa"/>
          </w:tcPr>
          <w:p>
            <w:pPr>
              <w:pStyle w:val="TableParagraph"/>
              <w:rPr>
                <w:rFonts w:ascii="Times New Roman"/>
                <w:sz w:val="22"/>
              </w:rPr>
            </w:pPr>
          </w:p>
        </w:tc>
      </w:tr>
      <w:tr>
        <w:trPr>
          <w:trHeight w:val="1895" w:hRule="atLeast"/>
        </w:trPr>
        <w:tc>
          <w:tcPr>
            <w:tcW w:w="552" w:type="dxa"/>
          </w:tcPr>
          <w:p>
            <w:pPr>
              <w:pStyle w:val="TableParagraph"/>
              <w:spacing w:before="113"/>
              <w:rPr>
                <w:rFonts w:ascii="Arial"/>
                <w:b/>
                <w:sz w:val="24"/>
              </w:rPr>
            </w:pPr>
          </w:p>
          <w:p>
            <w:pPr>
              <w:pStyle w:val="TableParagraph"/>
              <w:ind w:left="4"/>
              <w:jc w:val="center"/>
              <w:rPr>
                <w:sz w:val="24"/>
              </w:rPr>
            </w:pPr>
            <w:r>
              <w:rPr>
                <w:spacing w:val="-5"/>
                <w:sz w:val="24"/>
              </w:rPr>
              <w:t>84.</w:t>
            </w:r>
          </w:p>
        </w:tc>
        <w:tc>
          <w:tcPr>
            <w:tcW w:w="5270" w:type="dxa"/>
          </w:tcPr>
          <w:p>
            <w:pPr>
              <w:pStyle w:val="TableParagraph"/>
              <w:spacing w:before="113"/>
              <w:rPr>
                <w:rFonts w:ascii="Arial"/>
                <w:b/>
                <w:sz w:val="24"/>
              </w:rPr>
            </w:pPr>
          </w:p>
          <w:p>
            <w:pPr>
              <w:pStyle w:val="TableParagraph"/>
              <w:ind w:left="105" w:right="96"/>
              <w:jc w:val="both"/>
              <w:rPr>
                <w:sz w:val="24"/>
              </w:rPr>
            </w:pPr>
            <w:r>
              <w:rPr>
                <w:sz w:val="24"/>
              </w:rPr>
              <w:t>Bookshops and publication services are adequately provided for students so that they can</w:t>
            </w:r>
            <w:r>
              <w:rPr>
                <w:spacing w:val="-4"/>
                <w:sz w:val="24"/>
              </w:rPr>
              <w:t> </w:t>
            </w:r>
            <w:r>
              <w:rPr>
                <w:sz w:val="24"/>
              </w:rPr>
              <w:t>buy</w:t>
            </w:r>
            <w:r>
              <w:rPr>
                <w:spacing w:val="-5"/>
                <w:sz w:val="24"/>
              </w:rPr>
              <w:t> </w:t>
            </w:r>
            <w:r>
              <w:rPr>
                <w:sz w:val="24"/>
              </w:rPr>
              <w:t>prescribed</w:t>
            </w:r>
            <w:r>
              <w:rPr>
                <w:spacing w:val="-4"/>
                <w:sz w:val="24"/>
              </w:rPr>
              <w:t> </w:t>
            </w:r>
            <w:r>
              <w:rPr>
                <w:sz w:val="24"/>
              </w:rPr>
              <w:t>books</w:t>
            </w:r>
            <w:r>
              <w:rPr>
                <w:spacing w:val="-5"/>
                <w:sz w:val="24"/>
              </w:rPr>
              <w:t> </w:t>
            </w:r>
            <w:r>
              <w:rPr>
                <w:sz w:val="24"/>
              </w:rPr>
              <w:t>and</w:t>
            </w:r>
            <w:r>
              <w:rPr>
                <w:spacing w:val="-4"/>
                <w:sz w:val="24"/>
              </w:rPr>
              <w:t> </w:t>
            </w:r>
            <w:r>
              <w:rPr>
                <w:sz w:val="24"/>
              </w:rPr>
              <w:t>also</w:t>
            </w:r>
            <w:r>
              <w:rPr>
                <w:spacing w:val="-4"/>
                <w:sz w:val="24"/>
              </w:rPr>
              <w:t> </w:t>
            </w:r>
            <w:r>
              <w:rPr>
                <w:sz w:val="24"/>
              </w:rPr>
              <w:t>their</w:t>
            </w:r>
            <w:r>
              <w:rPr>
                <w:spacing w:val="-3"/>
                <w:sz w:val="24"/>
              </w:rPr>
              <w:t> </w:t>
            </w:r>
            <w:r>
              <w:rPr>
                <w:sz w:val="24"/>
              </w:rPr>
              <w:t>master piece published or printed without going</w:t>
            </w:r>
            <w:r>
              <w:rPr>
                <w:spacing w:val="40"/>
                <w:sz w:val="24"/>
              </w:rPr>
              <w:t> </w:t>
            </w:r>
            <w:r>
              <w:rPr>
                <w:sz w:val="24"/>
              </w:rPr>
              <w:t>outside the campus.</w:t>
            </w:r>
          </w:p>
        </w:tc>
        <w:tc>
          <w:tcPr>
            <w:tcW w:w="888"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16" w:type="dxa"/>
          </w:tcPr>
          <w:p>
            <w:pPr>
              <w:pStyle w:val="TableParagraph"/>
              <w:rPr>
                <w:rFonts w:ascii="Times New Roman"/>
                <w:sz w:val="22"/>
              </w:rPr>
            </w:pPr>
          </w:p>
        </w:tc>
      </w:tr>
    </w:tbl>
    <w:p>
      <w:pPr>
        <w:spacing w:after="0"/>
        <w:rPr>
          <w:rFonts w:ascii="Times New Roman"/>
          <w:sz w:val="22"/>
        </w:rPr>
        <w:sectPr>
          <w:headerReference w:type="default" r:id="rId628"/>
          <w:footerReference w:type="default" r:id="rId629"/>
          <w:pgSz w:w="12240" w:h="15840"/>
          <w:pgMar w:header="722" w:footer="623" w:top="980" w:bottom="820" w:left="1220" w:right="1140"/>
        </w:sectPr>
      </w:pPr>
    </w:p>
    <w:p>
      <w:pPr>
        <w:pStyle w:val="BodyText"/>
        <w:spacing w:before="167"/>
        <w:rPr>
          <w:rFonts w:ascii="Arial"/>
          <w:b/>
        </w:rPr>
      </w:pPr>
    </w:p>
    <w:p>
      <w:pPr>
        <w:tabs>
          <w:tab w:pos="1659" w:val="left" w:leader="none"/>
        </w:tabs>
        <w:spacing w:before="0"/>
        <w:ind w:left="220" w:right="0" w:firstLine="0"/>
        <w:jc w:val="left"/>
        <w:rPr>
          <w:rFonts w:ascii="Arial"/>
          <w:b/>
          <w:sz w:val="24"/>
        </w:rPr>
      </w:pPr>
      <w:r>
        <w:rPr>
          <w:rFonts w:ascii="Arial"/>
          <w:b/>
          <w:sz w:val="24"/>
        </w:rPr>
        <w:t>Section:</w:t>
      </w:r>
      <w:r>
        <w:rPr>
          <w:rFonts w:ascii="Arial"/>
          <w:b/>
          <w:spacing w:val="-8"/>
          <w:sz w:val="24"/>
        </w:rPr>
        <w:t> </w:t>
      </w:r>
      <w:r>
        <w:rPr>
          <w:rFonts w:ascii="Arial"/>
          <w:b/>
          <w:spacing w:val="-5"/>
          <w:sz w:val="24"/>
        </w:rPr>
        <w:t>III</w:t>
      </w:r>
      <w:r>
        <w:rPr>
          <w:rFonts w:ascii="Arial"/>
          <w:b/>
          <w:sz w:val="24"/>
        </w:rPr>
        <w:tab/>
        <w:t>Impact</w:t>
      </w:r>
      <w:r>
        <w:rPr>
          <w:rFonts w:ascii="Arial"/>
          <w:b/>
          <w:spacing w:val="-6"/>
          <w:sz w:val="24"/>
        </w:rPr>
        <w:t> </w:t>
      </w:r>
      <w:r>
        <w:rPr>
          <w:rFonts w:ascii="Arial"/>
          <w:b/>
          <w:sz w:val="24"/>
        </w:rPr>
        <w:t>of</w:t>
      </w:r>
      <w:r>
        <w:rPr>
          <w:rFonts w:ascii="Arial"/>
          <w:b/>
          <w:spacing w:val="-6"/>
          <w:sz w:val="24"/>
        </w:rPr>
        <w:t> </w:t>
      </w:r>
      <w:r>
        <w:rPr>
          <w:rFonts w:ascii="Arial"/>
          <w:b/>
          <w:sz w:val="24"/>
        </w:rPr>
        <w:t>Health</w:t>
      </w:r>
      <w:r>
        <w:rPr>
          <w:rFonts w:ascii="Arial"/>
          <w:b/>
          <w:spacing w:val="-9"/>
          <w:sz w:val="24"/>
        </w:rPr>
        <w:t> </w:t>
      </w:r>
      <w:r>
        <w:rPr>
          <w:rFonts w:ascii="Arial"/>
          <w:b/>
          <w:sz w:val="24"/>
        </w:rPr>
        <w:t>or</w:t>
      </w:r>
      <w:r>
        <w:rPr>
          <w:rFonts w:ascii="Arial"/>
          <w:b/>
          <w:spacing w:val="-9"/>
          <w:sz w:val="24"/>
        </w:rPr>
        <w:t> </w:t>
      </w:r>
      <w:r>
        <w:rPr>
          <w:rFonts w:ascii="Arial"/>
          <w:b/>
          <w:sz w:val="24"/>
        </w:rPr>
        <w:t>Medical</w:t>
      </w:r>
      <w:r>
        <w:rPr>
          <w:rFonts w:ascii="Arial"/>
          <w:b/>
          <w:spacing w:val="-7"/>
          <w:sz w:val="24"/>
        </w:rPr>
        <w:t> </w:t>
      </w:r>
      <w:r>
        <w:rPr>
          <w:rFonts w:ascii="Arial"/>
          <w:b/>
          <w:sz w:val="24"/>
        </w:rPr>
        <w:t>Services</w:t>
      </w:r>
      <w:r>
        <w:rPr>
          <w:rFonts w:ascii="Arial"/>
          <w:b/>
          <w:spacing w:val="-6"/>
          <w:sz w:val="24"/>
        </w:rPr>
        <w:t> </w:t>
      </w:r>
      <w:r>
        <w:rPr>
          <w:rFonts w:ascii="Arial"/>
          <w:b/>
          <w:sz w:val="24"/>
        </w:rPr>
        <w:t>on</w:t>
      </w:r>
      <w:r>
        <w:rPr>
          <w:rFonts w:ascii="Arial"/>
          <w:b/>
          <w:spacing w:val="-9"/>
          <w:sz w:val="24"/>
        </w:rPr>
        <w:t> </w:t>
      </w:r>
      <w:r>
        <w:rPr>
          <w:rFonts w:ascii="Arial"/>
          <w:b/>
          <w:sz w:val="24"/>
        </w:rPr>
        <w:t>students</w:t>
      </w:r>
      <w:r>
        <w:rPr>
          <w:rFonts w:ascii="Arial"/>
          <w:b/>
          <w:spacing w:val="-7"/>
          <w:sz w:val="24"/>
        </w:rPr>
        <w:t> </w:t>
      </w:r>
      <w:r>
        <w:rPr>
          <w:rFonts w:ascii="Arial"/>
          <w:b/>
          <w:spacing w:val="-2"/>
          <w:sz w:val="24"/>
        </w:rPr>
        <w:t>welfare</w:t>
      </w:r>
    </w:p>
    <w:p>
      <w:pPr>
        <w:pStyle w:val="BodyText"/>
        <w:rPr>
          <w:rFonts w:ascii="Arial"/>
          <w:b/>
          <w:sz w:val="11"/>
        </w:rPr>
      </w:pPr>
    </w:p>
    <w:tbl>
      <w:tblPr>
        <w:tblW w:w="0" w:type="auto"/>
        <w:jc w:val="left"/>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2"/>
        <w:gridCol w:w="5270"/>
        <w:gridCol w:w="888"/>
        <w:gridCol w:w="706"/>
        <w:gridCol w:w="706"/>
        <w:gridCol w:w="706"/>
        <w:gridCol w:w="716"/>
      </w:tblGrid>
      <w:tr>
        <w:trPr>
          <w:trHeight w:val="397" w:hRule="atLeast"/>
        </w:trPr>
        <w:tc>
          <w:tcPr>
            <w:tcW w:w="552" w:type="dxa"/>
            <w:vMerge w:val="restart"/>
          </w:tcPr>
          <w:p>
            <w:pPr>
              <w:pStyle w:val="TableParagraph"/>
              <w:spacing w:before="117"/>
              <w:rPr>
                <w:rFonts w:ascii="Arial"/>
                <w:b/>
                <w:sz w:val="24"/>
              </w:rPr>
            </w:pPr>
          </w:p>
          <w:p>
            <w:pPr>
              <w:pStyle w:val="TableParagraph"/>
              <w:spacing w:before="1"/>
              <w:ind w:left="105"/>
              <w:rPr>
                <w:sz w:val="24"/>
              </w:rPr>
            </w:pPr>
            <w:r>
              <w:rPr>
                <w:spacing w:val="-5"/>
                <w:sz w:val="24"/>
              </w:rPr>
              <w:t>85.</w:t>
            </w:r>
          </w:p>
        </w:tc>
        <w:tc>
          <w:tcPr>
            <w:tcW w:w="5270" w:type="dxa"/>
            <w:vMerge w:val="restart"/>
          </w:tcPr>
          <w:p>
            <w:pPr>
              <w:pStyle w:val="TableParagraph"/>
              <w:spacing w:before="117"/>
              <w:rPr>
                <w:rFonts w:ascii="Arial"/>
                <w:b/>
                <w:sz w:val="24"/>
              </w:rPr>
            </w:pPr>
          </w:p>
          <w:p>
            <w:pPr>
              <w:pStyle w:val="TableParagraph"/>
              <w:spacing w:before="1"/>
              <w:ind w:left="105" w:right="94"/>
              <w:jc w:val="both"/>
              <w:rPr>
                <w:sz w:val="24"/>
              </w:rPr>
            </w:pPr>
            <w:r>
              <w:rPr>
                <w:sz w:val="24"/>
              </w:rPr>
              <w:t>Adequate and free medical care in form of medical examination, ante-natal clinics, family planning services, first aid and other medical aids with broad based services exist in all University campuses in the three geopolitical zones in the Northern part of Nigeria.</w:t>
            </w:r>
          </w:p>
        </w:tc>
        <w:tc>
          <w:tcPr>
            <w:tcW w:w="888" w:type="dxa"/>
          </w:tcPr>
          <w:p>
            <w:pPr>
              <w:pStyle w:val="TableParagraph"/>
              <w:spacing w:line="271" w:lineRule="exact"/>
              <w:ind w:left="105"/>
              <w:rPr>
                <w:rFonts w:ascii="Arial"/>
                <w:b/>
                <w:sz w:val="24"/>
              </w:rPr>
            </w:pPr>
            <w:r>
              <w:rPr>
                <w:rFonts w:ascii="Arial"/>
                <w:b/>
                <w:spacing w:val="-5"/>
                <w:sz w:val="24"/>
              </w:rPr>
              <w:t>SA</w:t>
            </w:r>
          </w:p>
        </w:tc>
        <w:tc>
          <w:tcPr>
            <w:tcW w:w="706" w:type="dxa"/>
          </w:tcPr>
          <w:p>
            <w:pPr>
              <w:pStyle w:val="TableParagraph"/>
              <w:spacing w:line="271" w:lineRule="exact"/>
              <w:ind w:left="105"/>
              <w:rPr>
                <w:rFonts w:ascii="Arial"/>
                <w:b/>
                <w:sz w:val="24"/>
              </w:rPr>
            </w:pPr>
            <w:r>
              <w:rPr>
                <w:rFonts w:ascii="Arial"/>
                <w:b/>
                <w:spacing w:val="-10"/>
                <w:sz w:val="24"/>
              </w:rPr>
              <w:t>A</w:t>
            </w:r>
          </w:p>
        </w:tc>
        <w:tc>
          <w:tcPr>
            <w:tcW w:w="706" w:type="dxa"/>
          </w:tcPr>
          <w:p>
            <w:pPr>
              <w:pStyle w:val="TableParagraph"/>
              <w:spacing w:line="271" w:lineRule="exact"/>
              <w:ind w:left="105"/>
              <w:rPr>
                <w:rFonts w:ascii="Arial"/>
                <w:b/>
                <w:sz w:val="24"/>
              </w:rPr>
            </w:pPr>
            <w:r>
              <w:rPr>
                <w:rFonts w:ascii="Arial"/>
                <w:b/>
                <w:spacing w:val="-10"/>
                <w:sz w:val="24"/>
              </w:rPr>
              <w:t>U</w:t>
            </w:r>
          </w:p>
        </w:tc>
        <w:tc>
          <w:tcPr>
            <w:tcW w:w="706" w:type="dxa"/>
          </w:tcPr>
          <w:p>
            <w:pPr>
              <w:pStyle w:val="TableParagraph"/>
              <w:spacing w:line="271" w:lineRule="exact"/>
              <w:ind w:left="105"/>
              <w:rPr>
                <w:rFonts w:ascii="Arial"/>
                <w:b/>
                <w:sz w:val="24"/>
              </w:rPr>
            </w:pPr>
            <w:r>
              <w:rPr>
                <w:rFonts w:ascii="Arial"/>
                <w:b/>
                <w:spacing w:val="-10"/>
                <w:sz w:val="24"/>
              </w:rPr>
              <w:t>D</w:t>
            </w:r>
          </w:p>
        </w:tc>
        <w:tc>
          <w:tcPr>
            <w:tcW w:w="716" w:type="dxa"/>
          </w:tcPr>
          <w:p>
            <w:pPr>
              <w:pStyle w:val="TableParagraph"/>
              <w:spacing w:line="271" w:lineRule="exact"/>
              <w:ind w:left="104"/>
              <w:rPr>
                <w:rFonts w:ascii="Arial"/>
                <w:b/>
                <w:sz w:val="24"/>
              </w:rPr>
            </w:pPr>
            <w:r>
              <w:rPr>
                <w:rFonts w:ascii="Arial"/>
                <w:b/>
                <w:spacing w:val="-5"/>
                <w:sz w:val="24"/>
              </w:rPr>
              <w:t>SD</w:t>
            </w:r>
          </w:p>
        </w:tc>
      </w:tr>
      <w:tr>
        <w:trPr>
          <w:trHeight w:val="1766" w:hRule="atLeast"/>
        </w:trPr>
        <w:tc>
          <w:tcPr>
            <w:tcW w:w="552" w:type="dxa"/>
            <w:vMerge/>
            <w:tcBorders>
              <w:top w:val="nil"/>
            </w:tcBorders>
          </w:tcPr>
          <w:p>
            <w:pPr>
              <w:rPr>
                <w:sz w:val="2"/>
                <w:szCs w:val="2"/>
              </w:rPr>
            </w:pPr>
          </w:p>
        </w:tc>
        <w:tc>
          <w:tcPr>
            <w:tcW w:w="5270" w:type="dxa"/>
            <w:vMerge/>
            <w:tcBorders>
              <w:top w:val="nil"/>
            </w:tcBorders>
          </w:tcPr>
          <w:p>
            <w:pPr>
              <w:rPr>
                <w:sz w:val="2"/>
                <w:szCs w:val="2"/>
              </w:rPr>
            </w:pPr>
          </w:p>
        </w:tc>
        <w:tc>
          <w:tcPr>
            <w:tcW w:w="888"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16" w:type="dxa"/>
          </w:tcPr>
          <w:p>
            <w:pPr>
              <w:pStyle w:val="TableParagraph"/>
              <w:rPr>
                <w:rFonts w:ascii="Times New Roman"/>
                <w:sz w:val="22"/>
              </w:rPr>
            </w:pPr>
          </w:p>
        </w:tc>
      </w:tr>
      <w:tr>
        <w:trPr>
          <w:trHeight w:val="1895" w:hRule="atLeast"/>
        </w:trPr>
        <w:tc>
          <w:tcPr>
            <w:tcW w:w="552" w:type="dxa"/>
          </w:tcPr>
          <w:p>
            <w:pPr>
              <w:pStyle w:val="TableParagraph"/>
              <w:spacing w:before="117"/>
              <w:rPr>
                <w:rFonts w:ascii="Arial"/>
                <w:b/>
                <w:sz w:val="24"/>
              </w:rPr>
            </w:pPr>
          </w:p>
          <w:p>
            <w:pPr>
              <w:pStyle w:val="TableParagraph"/>
              <w:spacing w:before="1"/>
              <w:ind w:left="4"/>
              <w:jc w:val="center"/>
              <w:rPr>
                <w:sz w:val="24"/>
              </w:rPr>
            </w:pPr>
            <w:r>
              <w:rPr>
                <w:spacing w:val="-5"/>
                <w:sz w:val="24"/>
              </w:rPr>
              <w:t>86.</w:t>
            </w:r>
          </w:p>
        </w:tc>
        <w:tc>
          <w:tcPr>
            <w:tcW w:w="5270" w:type="dxa"/>
          </w:tcPr>
          <w:p>
            <w:pPr>
              <w:pStyle w:val="TableParagraph"/>
              <w:spacing w:before="117"/>
              <w:rPr>
                <w:rFonts w:ascii="Arial"/>
                <w:b/>
                <w:sz w:val="24"/>
              </w:rPr>
            </w:pPr>
          </w:p>
          <w:p>
            <w:pPr>
              <w:pStyle w:val="TableParagraph"/>
              <w:spacing w:before="1"/>
              <w:ind w:left="105" w:right="96"/>
              <w:jc w:val="both"/>
              <w:rPr>
                <w:sz w:val="24"/>
              </w:rPr>
            </w:pPr>
            <w:r>
              <w:rPr>
                <w:sz w:val="24"/>
              </w:rPr>
              <w:t>The medical centers in the Universities are faced with enormous problems of coping with numerous patients which usually</w:t>
            </w:r>
            <w:r>
              <w:rPr>
                <w:spacing w:val="-3"/>
                <w:sz w:val="24"/>
              </w:rPr>
              <w:t> </w:t>
            </w:r>
            <w:r>
              <w:rPr>
                <w:sz w:val="24"/>
              </w:rPr>
              <w:t>lead</w:t>
            </w:r>
            <w:r>
              <w:rPr>
                <w:spacing w:val="-2"/>
                <w:sz w:val="24"/>
              </w:rPr>
              <w:t> </w:t>
            </w:r>
            <w:r>
              <w:rPr>
                <w:sz w:val="24"/>
              </w:rPr>
              <w:t>to</w:t>
            </w:r>
            <w:r>
              <w:rPr>
                <w:spacing w:val="-2"/>
                <w:sz w:val="24"/>
              </w:rPr>
              <w:t> </w:t>
            </w:r>
            <w:r>
              <w:rPr>
                <w:sz w:val="24"/>
              </w:rPr>
              <w:t>lack</w:t>
            </w:r>
            <w:r>
              <w:rPr>
                <w:spacing w:val="-3"/>
                <w:sz w:val="24"/>
              </w:rPr>
              <w:t> </w:t>
            </w:r>
            <w:r>
              <w:rPr>
                <w:sz w:val="24"/>
              </w:rPr>
              <w:t>of prompt medical attention and provision of adequate drug and manpower.</w:t>
            </w:r>
          </w:p>
        </w:tc>
        <w:tc>
          <w:tcPr>
            <w:tcW w:w="888"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16" w:type="dxa"/>
          </w:tcPr>
          <w:p>
            <w:pPr>
              <w:pStyle w:val="TableParagraph"/>
              <w:rPr>
                <w:rFonts w:ascii="Times New Roman"/>
                <w:sz w:val="22"/>
              </w:rPr>
            </w:pPr>
          </w:p>
        </w:tc>
      </w:tr>
      <w:tr>
        <w:trPr>
          <w:trHeight w:val="2174" w:hRule="atLeast"/>
        </w:trPr>
        <w:tc>
          <w:tcPr>
            <w:tcW w:w="552" w:type="dxa"/>
          </w:tcPr>
          <w:p>
            <w:pPr>
              <w:pStyle w:val="TableParagraph"/>
              <w:spacing w:before="117"/>
              <w:rPr>
                <w:rFonts w:ascii="Arial"/>
                <w:b/>
                <w:sz w:val="24"/>
              </w:rPr>
            </w:pPr>
          </w:p>
          <w:p>
            <w:pPr>
              <w:pStyle w:val="TableParagraph"/>
              <w:spacing w:before="1"/>
              <w:ind w:left="4"/>
              <w:jc w:val="center"/>
              <w:rPr>
                <w:sz w:val="24"/>
              </w:rPr>
            </w:pPr>
            <w:r>
              <w:rPr>
                <w:spacing w:val="-5"/>
                <w:sz w:val="24"/>
              </w:rPr>
              <w:t>87.</w:t>
            </w:r>
          </w:p>
        </w:tc>
        <w:tc>
          <w:tcPr>
            <w:tcW w:w="5270" w:type="dxa"/>
          </w:tcPr>
          <w:p>
            <w:pPr>
              <w:pStyle w:val="TableParagraph"/>
              <w:spacing w:before="117"/>
              <w:rPr>
                <w:rFonts w:ascii="Arial"/>
                <w:b/>
                <w:sz w:val="24"/>
              </w:rPr>
            </w:pPr>
          </w:p>
          <w:p>
            <w:pPr>
              <w:pStyle w:val="TableParagraph"/>
              <w:spacing w:before="1"/>
              <w:ind w:left="105" w:right="97"/>
              <w:jc w:val="both"/>
              <w:rPr>
                <w:sz w:val="24"/>
              </w:rPr>
            </w:pPr>
            <w:r>
              <w:rPr>
                <w:sz w:val="24"/>
              </w:rPr>
              <w:t>There is no need to upgrade and expand the medical facilities and manpower in the medical centers on campus for treatment of all forms of infirmity as arrangement are made to refer some cases to General, Specialist and Teaching hospitals for better treatment.</w:t>
            </w:r>
          </w:p>
        </w:tc>
        <w:tc>
          <w:tcPr>
            <w:tcW w:w="888"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16" w:type="dxa"/>
          </w:tcPr>
          <w:p>
            <w:pPr>
              <w:pStyle w:val="TableParagraph"/>
              <w:rPr>
                <w:rFonts w:ascii="Times New Roman"/>
                <w:sz w:val="22"/>
              </w:rPr>
            </w:pPr>
          </w:p>
        </w:tc>
      </w:tr>
      <w:tr>
        <w:trPr>
          <w:trHeight w:val="1343" w:hRule="atLeast"/>
        </w:trPr>
        <w:tc>
          <w:tcPr>
            <w:tcW w:w="552" w:type="dxa"/>
          </w:tcPr>
          <w:p>
            <w:pPr>
              <w:pStyle w:val="TableParagraph"/>
              <w:spacing w:before="113"/>
              <w:rPr>
                <w:rFonts w:ascii="Arial"/>
                <w:b/>
                <w:sz w:val="24"/>
              </w:rPr>
            </w:pPr>
          </w:p>
          <w:p>
            <w:pPr>
              <w:pStyle w:val="TableParagraph"/>
              <w:ind w:left="4"/>
              <w:jc w:val="center"/>
              <w:rPr>
                <w:sz w:val="24"/>
              </w:rPr>
            </w:pPr>
            <w:r>
              <w:rPr>
                <w:spacing w:val="-5"/>
                <w:sz w:val="24"/>
              </w:rPr>
              <w:t>88.</w:t>
            </w:r>
          </w:p>
        </w:tc>
        <w:tc>
          <w:tcPr>
            <w:tcW w:w="5270" w:type="dxa"/>
          </w:tcPr>
          <w:p>
            <w:pPr>
              <w:pStyle w:val="TableParagraph"/>
              <w:spacing w:before="113"/>
              <w:rPr>
                <w:rFonts w:ascii="Arial"/>
                <w:b/>
                <w:sz w:val="24"/>
              </w:rPr>
            </w:pPr>
          </w:p>
          <w:p>
            <w:pPr>
              <w:pStyle w:val="TableParagraph"/>
              <w:ind w:left="105" w:right="99"/>
              <w:jc w:val="both"/>
              <w:rPr>
                <w:sz w:val="24"/>
              </w:rPr>
            </w:pPr>
            <w:r>
              <w:rPr>
                <w:sz w:val="24"/>
              </w:rPr>
              <w:t>The medical services given to students by medical centers on University campuses can</w:t>
            </w:r>
            <w:r>
              <w:rPr>
                <w:spacing w:val="40"/>
                <w:sz w:val="24"/>
              </w:rPr>
              <w:t> </w:t>
            </w:r>
            <w:r>
              <w:rPr>
                <w:sz w:val="24"/>
              </w:rPr>
              <w:t>be best described as inadequate and poor.</w:t>
            </w:r>
          </w:p>
        </w:tc>
        <w:tc>
          <w:tcPr>
            <w:tcW w:w="888"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16" w:type="dxa"/>
          </w:tcPr>
          <w:p>
            <w:pPr>
              <w:pStyle w:val="TableParagraph"/>
              <w:rPr>
                <w:rFonts w:ascii="Times New Roman"/>
                <w:sz w:val="22"/>
              </w:rPr>
            </w:pPr>
          </w:p>
        </w:tc>
      </w:tr>
    </w:tbl>
    <w:p>
      <w:pPr>
        <w:pStyle w:val="BodyText"/>
        <w:spacing w:before="110"/>
        <w:rPr>
          <w:rFonts w:ascii="Arial"/>
          <w:b/>
        </w:rPr>
      </w:pPr>
    </w:p>
    <w:p>
      <w:pPr>
        <w:tabs>
          <w:tab w:pos="1659" w:val="left" w:leader="none"/>
        </w:tabs>
        <w:spacing w:before="0"/>
        <w:ind w:left="220" w:right="0" w:firstLine="0"/>
        <w:jc w:val="left"/>
        <w:rPr>
          <w:rFonts w:ascii="Arial"/>
          <w:b/>
          <w:sz w:val="24"/>
        </w:rPr>
      </w:pPr>
      <w:r>
        <w:rPr>
          <w:rFonts w:ascii="Arial"/>
          <w:b/>
          <w:sz w:val="24"/>
        </w:rPr>
        <w:t>Section:</w:t>
      </w:r>
      <w:r>
        <w:rPr>
          <w:rFonts w:ascii="Arial"/>
          <w:b/>
          <w:spacing w:val="-8"/>
          <w:sz w:val="24"/>
        </w:rPr>
        <w:t> </w:t>
      </w:r>
      <w:r>
        <w:rPr>
          <w:rFonts w:ascii="Arial"/>
          <w:b/>
          <w:spacing w:val="-5"/>
          <w:sz w:val="24"/>
        </w:rPr>
        <w:t>IV</w:t>
      </w:r>
      <w:r>
        <w:rPr>
          <w:rFonts w:ascii="Arial"/>
          <w:b/>
          <w:sz w:val="24"/>
        </w:rPr>
        <w:tab/>
        <w:t>Impact</w:t>
      </w:r>
      <w:r>
        <w:rPr>
          <w:rFonts w:ascii="Arial"/>
          <w:b/>
          <w:spacing w:val="-9"/>
          <w:sz w:val="24"/>
        </w:rPr>
        <w:t> </w:t>
      </w:r>
      <w:r>
        <w:rPr>
          <w:rFonts w:ascii="Arial"/>
          <w:b/>
          <w:sz w:val="24"/>
        </w:rPr>
        <w:t>of</w:t>
      </w:r>
      <w:r>
        <w:rPr>
          <w:rFonts w:ascii="Arial"/>
          <w:b/>
          <w:spacing w:val="-9"/>
          <w:sz w:val="24"/>
        </w:rPr>
        <w:t> </w:t>
      </w:r>
      <w:r>
        <w:rPr>
          <w:rFonts w:ascii="Arial"/>
          <w:b/>
          <w:sz w:val="24"/>
        </w:rPr>
        <w:t>Environmental</w:t>
      </w:r>
      <w:r>
        <w:rPr>
          <w:rFonts w:ascii="Arial"/>
          <w:b/>
          <w:spacing w:val="-11"/>
          <w:sz w:val="24"/>
        </w:rPr>
        <w:t> </w:t>
      </w:r>
      <w:r>
        <w:rPr>
          <w:rFonts w:ascii="Arial"/>
          <w:b/>
          <w:sz w:val="24"/>
        </w:rPr>
        <w:t>Services</w:t>
      </w:r>
      <w:r>
        <w:rPr>
          <w:rFonts w:ascii="Arial"/>
          <w:b/>
          <w:spacing w:val="-9"/>
          <w:sz w:val="24"/>
        </w:rPr>
        <w:t> </w:t>
      </w:r>
      <w:r>
        <w:rPr>
          <w:rFonts w:ascii="Arial"/>
          <w:b/>
          <w:sz w:val="24"/>
        </w:rPr>
        <w:t>on</w:t>
      </w:r>
      <w:r>
        <w:rPr>
          <w:rFonts w:ascii="Arial"/>
          <w:b/>
          <w:spacing w:val="-12"/>
          <w:sz w:val="24"/>
        </w:rPr>
        <w:t> </w:t>
      </w:r>
      <w:r>
        <w:rPr>
          <w:rFonts w:ascii="Arial"/>
          <w:b/>
          <w:sz w:val="24"/>
        </w:rPr>
        <w:t>students</w:t>
      </w:r>
      <w:r>
        <w:rPr>
          <w:rFonts w:ascii="Arial"/>
          <w:b/>
          <w:spacing w:val="-10"/>
          <w:sz w:val="24"/>
        </w:rPr>
        <w:t> </w:t>
      </w:r>
      <w:r>
        <w:rPr>
          <w:rFonts w:ascii="Arial"/>
          <w:b/>
          <w:spacing w:val="-2"/>
          <w:sz w:val="24"/>
        </w:rPr>
        <w:t>welfare</w:t>
      </w:r>
    </w:p>
    <w:p>
      <w:pPr>
        <w:pStyle w:val="BodyText"/>
        <w:spacing w:before="5"/>
        <w:rPr>
          <w:rFonts w:ascii="Arial"/>
          <w:b/>
          <w:sz w:val="11"/>
        </w:rPr>
      </w:pPr>
    </w:p>
    <w:tbl>
      <w:tblPr>
        <w:tblW w:w="0" w:type="auto"/>
        <w:jc w:val="left"/>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2"/>
        <w:gridCol w:w="5270"/>
        <w:gridCol w:w="888"/>
        <w:gridCol w:w="706"/>
        <w:gridCol w:w="706"/>
        <w:gridCol w:w="706"/>
        <w:gridCol w:w="716"/>
      </w:tblGrid>
      <w:tr>
        <w:trPr>
          <w:trHeight w:val="393" w:hRule="atLeast"/>
        </w:trPr>
        <w:tc>
          <w:tcPr>
            <w:tcW w:w="552" w:type="dxa"/>
            <w:vMerge w:val="restart"/>
          </w:tcPr>
          <w:p>
            <w:pPr>
              <w:pStyle w:val="TableParagraph"/>
              <w:spacing w:before="113"/>
              <w:rPr>
                <w:rFonts w:ascii="Arial"/>
                <w:b/>
                <w:sz w:val="24"/>
              </w:rPr>
            </w:pPr>
          </w:p>
          <w:p>
            <w:pPr>
              <w:pStyle w:val="TableParagraph"/>
              <w:ind w:left="105"/>
              <w:rPr>
                <w:sz w:val="24"/>
              </w:rPr>
            </w:pPr>
            <w:r>
              <w:rPr>
                <w:spacing w:val="-5"/>
                <w:sz w:val="24"/>
              </w:rPr>
              <w:t>89.</w:t>
            </w:r>
          </w:p>
        </w:tc>
        <w:tc>
          <w:tcPr>
            <w:tcW w:w="5270" w:type="dxa"/>
            <w:vMerge w:val="restart"/>
          </w:tcPr>
          <w:p>
            <w:pPr>
              <w:pStyle w:val="TableParagraph"/>
              <w:spacing w:before="113"/>
              <w:rPr>
                <w:rFonts w:ascii="Arial"/>
                <w:b/>
                <w:sz w:val="24"/>
              </w:rPr>
            </w:pPr>
          </w:p>
          <w:p>
            <w:pPr>
              <w:pStyle w:val="TableParagraph"/>
              <w:ind w:left="105" w:right="95"/>
              <w:jc w:val="both"/>
              <w:rPr>
                <w:sz w:val="24"/>
              </w:rPr>
            </w:pPr>
            <w:r>
              <w:rPr>
                <w:sz w:val="24"/>
              </w:rPr>
              <w:t>Good and neat environment, with adequate sanitation, street lights, parks, gardens, paths, walkways and flower sheds combine to stimulate students standard of living, confidence and promotion of academic </w:t>
            </w:r>
            <w:r>
              <w:rPr>
                <w:spacing w:val="-2"/>
                <w:sz w:val="24"/>
              </w:rPr>
              <w:t>performance.</w:t>
            </w:r>
          </w:p>
        </w:tc>
        <w:tc>
          <w:tcPr>
            <w:tcW w:w="888" w:type="dxa"/>
          </w:tcPr>
          <w:p>
            <w:pPr>
              <w:pStyle w:val="TableParagraph"/>
              <w:spacing w:line="267" w:lineRule="exact"/>
              <w:ind w:left="105"/>
              <w:rPr>
                <w:rFonts w:ascii="Arial"/>
                <w:b/>
                <w:sz w:val="24"/>
              </w:rPr>
            </w:pPr>
            <w:r>
              <w:rPr>
                <w:rFonts w:ascii="Arial"/>
                <w:b/>
                <w:spacing w:val="-5"/>
                <w:sz w:val="24"/>
              </w:rPr>
              <w:t>SA</w:t>
            </w:r>
          </w:p>
        </w:tc>
        <w:tc>
          <w:tcPr>
            <w:tcW w:w="706" w:type="dxa"/>
          </w:tcPr>
          <w:p>
            <w:pPr>
              <w:pStyle w:val="TableParagraph"/>
              <w:spacing w:line="267" w:lineRule="exact"/>
              <w:ind w:left="105"/>
              <w:rPr>
                <w:rFonts w:ascii="Arial"/>
                <w:b/>
                <w:sz w:val="24"/>
              </w:rPr>
            </w:pPr>
            <w:r>
              <w:rPr>
                <w:rFonts w:ascii="Arial"/>
                <w:b/>
                <w:spacing w:val="-10"/>
                <w:sz w:val="24"/>
              </w:rPr>
              <w:t>A</w:t>
            </w:r>
          </w:p>
        </w:tc>
        <w:tc>
          <w:tcPr>
            <w:tcW w:w="706" w:type="dxa"/>
          </w:tcPr>
          <w:p>
            <w:pPr>
              <w:pStyle w:val="TableParagraph"/>
              <w:spacing w:line="267" w:lineRule="exact"/>
              <w:ind w:left="105"/>
              <w:rPr>
                <w:rFonts w:ascii="Arial"/>
                <w:b/>
                <w:sz w:val="24"/>
              </w:rPr>
            </w:pPr>
            <w:r>
              <w:rPr>
                <w:rFonts w:ascii="Arial"/>
                <w:b/>
                <w:spacing w:val="-10"/>
                <w:sz w:val="24"/>
              </w:rPr>
              <w:t>U</w:t>
            </w:r>
          </w:p>
        </w:tc>
        <w:tc>
          <w:tcPr>
            <w:tcW w:w="706" w:type="dxa"/>
          </w:tcPr>
          <w:p>
            <w:pPr>
              <w:pStyle w:val="TableParagraph"/>
              <w:spacing w:line="267" w:lineRule="exact"/>
              <w:ind w:left="105"/>
              <w:rPr>
                <w:rFonts w:ascii="Arial"/>
                <w:b/>
                <w:sz w:val="24"/>
              </w:rPr>
            </w:pPr>
            <w:r>
              <w:rPr>
                <w:rFonts w:ascii="Arial"/>
                <w:b/>
                <w:spacing w:val="-10"/>
                <w:sz w:val="24"/>
              </w:rPr>
              <w:t>D</w:t>
            </w:r>
          </w:p>
        </w:tc>
        <w:tc>
          <w:tcPr>
            <w:tcW w:w="716" w:type="dxa"/>
          </w:tcPr>
          <w:p>
            <w:pPr>
              <w:pStyle w:val="TableParagraph"/>
              <w:spacing w:line="267" w:lineRule="exact"/>
              <w:ind w:left="104"/>
              <w:rPr>
                <w:rFonts w:ascii="Arial"/>
                <w:b/>
                <w:sz w:val="24"/>
              </w:rPr>
            </w:pPr>
            <w:r>
              <w:rPr>
                <w:rFonts w:ascii="Arial"/>
                <w:b/>
                <w:spacing w:val="-5"/>
                <w:sz w:val="24"/>
              </w:rPr>
              <w:t>SD</w:t>
            </w:r>
          </w:p>
        </w:tc>
      </w:tr>
      <w:tr>
        <w:trPr>
          <w:trHeight w:val="1766" w:hRule="atLeast"/>
        </w:trPr>
        <w:tc>
          <w:tcPr>
            <w:tcW w:w="552" w:type="dxa"/>
            <w:vMerge/>
            <w:tcBorders>
              <w:top w:val="nil"/>
            </w:tcBorders>
          </w:tcPr>
          <w:p>
            <w:pPr>
              <w:rPr>
                <w:sz w:val="2"/>
                <w:szCs w:val="2"/>
              </w:rPr>
            </w:pPr>
          </w:p>
        </w:tc>
        <w:tc>
          <w:tcPr>
            <w:tcW w:w="5270" w:type="dxa"/>
            <w:vMerge/>
            <w:tcBorders>
              <w:top w:val="nil"/>
            </w:tcBorders>
          </w:tcPr>
          <w:p>
            <w:pPr>
              <w:rPr>
                <w:sz w:val="2"/>
                <w:szCs w:val="2"/>
              </w:rPr>
            </w:pPr>
          </w:p>
        </w:tc>
        <w:tc>
          <w:tcPr>
            <w:tcW w:w="888"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16" w:type="dxa"/>
          </w:tcPr>
          <w:p>
            <w:pPr>
              <w:pStyle w:val="TableParagraph"/>
              <w:rPr>
                <w:rFonts w:ascii="Times New Roman"/>
                <w:sz w:val="22"/>
              </w:rPr>
            </w:pPr>
          </w:p>
        </w:tc>
      </w:tr>
      <w:tr>
        <w:trPr>
          <w:trHeight w:val="1343" w:hRule="atLeast"/>
        </w:trPr>
        <w:tc>
          <w:tcPr>
            <w:tcW w:w="552" w:type="dxa"/>
          </w:tcPr>
          <w:p>
            <w:pPr>
              <w:pStyle w:val="TableParagraph"/>
              <w:spacing w:before="117"/>
              <w:rPr>
                <w:rFonts w:ascii="Arial"/>
                <w:b/>
                <w:sz w:val="24"/>
              </w:rPr>
            </w:pPr>
          </w:p>
          <w:p>
            <w:pPr>
              <w:pStyle w:val="TableParagraph"/>
              <w:spacing w:before="1"/>
              <w:ind w:left="105"/>
              <w:rPr>
                <w:sz w:val="24"/>
              </w:rPr>
            </w:pPr>
            <w:r>
              <w:rPr>
                <w:spacing w:val="-5"/>
                <w:sz w:val="24"/>
              </w:rPr>
              <w:t>90.</w:t>
            </w:r>
          </w:p>
        </w:tc>
        <w:tc>
          <w:tcPr>
            <w:tcW w:w="5270" w:type="dxa"/>
          </w:tcPr>
          <w:p>
            <w:pPr>
              <w:pStyle w:val="TableParagraph"/>
              <w:spacing w:before="117"/>
              <w:rPr>
                <w:rFonts w:ascii="Arial"/>
                <w:b/>
                <w:sz w:val="24"/>
              </w:rPr>
            </w:pPr>
          </w:p>
          <w:p>
            <w:pPr>
              <w:pStyle w:val="TableParagraph"/>
              <w:spacing w:before="1"/>
              <w:ind w:left="105" w:right="98"/>
              <w:jc w:val="both"/>
              <w:rPr>
                <w:sz w:val="24"/>
              </w:rPr>
            </w:pPr>
            <w:r>
              <w:rPr>
                <w:sz w:val="24"/>
              </w:rPr>
              <w:t>Mutual understanding relationship between adviser-advisee, instill confidence in students for better academic performance.</w:t>
            </w:r>
          </w:p>
        </w:tc>
        <w:tc>
          <w:tcPr>
            <w:tcW w:w="888"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16" w:type="dxa"/>
          </w:tcPr>
          <w:p>
            <w:pPr>
              <w:pStyle w:val="TableParagraph"/>
              <w:rPr>
                <w:rFonts w:ascii="Times New Roman"/>
                <w:sz w:val="22"/>
              </w:rPr>
            </w:pPr>
          </w:p>
        </w:tc>
      </w:tr>
    </w:tbl>
    <w:p>
      <w:pPr>
        <w:spacing w:after="0"/>
        <w:rPr>
          <w:rFonts w:ascii="Times New Roman"/>
          <w:sz w:val="22"/>
        </w:rPr>
        <w:sectPr>
          <w:headerReference w:type="default" r:id="rId630"/>
          <w:footerReference w:type="default" r:id="rId631"/>
          <w:pgSz w:w="12240" w:h="15840"/>
          <w:pgMar w:header="722" w:footer="623" w:top="980" w:bottom="820" w:left="1220" w:right="1140"/>
        </w:sectPr>
      </w:pPr>
    </w:p>
    <w:p>
      <w:pPr>
        <w:pStyle w:val="BodyText"/>
        <w:spacing w:before="222"/>
        <w:rPr>
          <w:rFonts w:ascii="Arial"/>
          <w:b/>
          <w:sz w:val="20"/>
        </w:rPr>
      </w:pPr>
    </w:p>
    <w:tbl>
      <w:tblPr>
        <w:tblW w:w="0" w:type="auto"/>
        <w:jc w:val="left"/>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2"/>
        <w:gridCol w:w="5270"/>
        <w:gridCol w:w="888"/>
        <w:gridCol w:w="706"/>
        <w:gridCol w:w="706"/>
        <w:gridCol w:w="706"/>
        <w:gridCol w:w="716"/>
      </w:tblGrid>
      <w:tr>
        <w:trPr>
          <w:trHeight w:val="1622" w:hRule="atLeast"/>
        </w:trPr>
        <w:tc>
          <w:tcPr>
            <w:tcW w:w="552" w:type="dxa"/>
          </w:tcPr>
          <w:p>
            <w:pPr>
              <w:pStyle w:val="TableParagraph"/>
              <w:spacing w:before="117"/>
              <w:rPr>
                <w:rFonts w:ascii="Arial"/>
                <w:b/>
                <w:sz w:val="24"/>
              </w:rPr>
            </w:pPr>
          </w:p>
          <w:p>
            <w:pPr>
              <w:pStyle w:val="TableParagraph"/>
              <w:spacing w:before="1"/>
              <w:ind w:left="4"/>
              <w:jc w:val="center"/>
              <w:rPr>
                <w:sz w:val="24"/>
              </w:rPr>
            </w:pPr>
            <w:r>
              <w:rPr>
                <w:spacing w:val="-5"/>
                <w:sz w:val="24"/>
              </w:rPr>
              <w:t>91.</w:t>
            </w:r>
          </w:p>
        </w:tc>
        <w:tc>
          <w:tcPr>
            <w:tcW w:w="5270" w:type="dxa"/>
          </w:tcPr>
          <w:p>
            <w:pPr>
              <w:pStyle w:val="TableParagraph"/>
              <w:spacing w:before="117"/>
              <w:rPr>
                <w:rFonts w:ascii="Arial"/>
                <w:b/>
                <w:sz w:val="24"/>
              </w:rPr>
            </w:pPr>
          </w:p>
          <w:p>
            <w:pPr>
              <w:pStyle w:val="TableParagraph"/>
              <w:spacing w:before="1"/>
              <w:ind w:left="105" w:right="98"/>
              <w:jc w:val="both"/>
              <w:rPr>
                <w:sz w:val="24"/>
              </w:rPr>
            </w:pPr>
            <w:r>
              <w:rPr>
                <w:sz w:val="24"/>
              </w:rPr>
              <w:t>Conflicts, strikes and crisis-prone campus kill staff and student morale, resulting into unfriendly atmosphere for teaching and </w:t>
            </w:r>
            <w:r>
              <w:rPr>
                <w:spacing w:val="-2"/>
                <w:sz w:val="24"/>
              </w:rPr>
              <w:t>learning.</w:t>
            </w:r>
          </w:p>
        </w:tc>
        <w:tc>
          <w:tcPr>
            <w:tcW w:w="888"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16" w:type="dxa"/>
          </w:tcPr>
          <w:p>
            <w:pPr>
              <w:pStyle w:val="TableParagraph"/>
              <w:rPr>
                <w:rFonts w:ascii="Times New Roman"/>
                <w:sz w:val="22"/>
              </w:rPr>
            </w:pPr>
          </w:p>
        </w:tc>
      </w:tr>
      <w:tr>
        <w:trPr>
          <w:trHeight w:val="1343" w:hRule="atLeast"/>
        </w:trPr>
        <w:tc>
          <w:tcPr>
            <w:tcW w:w="552" w:type="dxa"/>
          </w:tcPr>
          <w:p>
            <w:pPr>
              <w:pStyle w:val="TableParagraph"/>
              <w:spacing w:before="113"/>
              <w:rPr>
                <w:rFonts w:ascii="Arial"/>
                <w:b/>
                <w:sz w:val="24"/>
              </w:rPr>
            </w:pPr>
          </w:p>
          <w:p>
            <w:pPr>
              <w:pStyle w:val="TableParagraph"/>
              <w:ind w:left="4"/>
              <w:jc w:val="center"/>
              <w:rPr>
                <w:sz w:val="24"/>
              </w:rPr>
            </w:pPr>
            <w:r>
              <w:rPr>
                <w:spacing w:val="-5"/>
                <w:sz w:val="24"/>
              </w:rPr>
              <w:t>92.</w:t>
            </w:r>
          </w:p>
        </w:tc>
        <w:tc>
          <w:tcPr>
            <w:tcW w:w="5270" w:type="dxa"/>
          </w:tcPr>
          <w:p>
            <w:pPr>
              <w:pStyle w:val="TableParagraph"/>
              <w:spacing w:before="113"/>
              <w:rPr>
                <w:rFonts w:ascii="Arial"/>
                <w:b/>
                <w:sz w:val="24"/>
              </w:rPr>
            </w:pPr>
          </w:p>
          <w:p>
            <w:pPr>
              <w:pStyle w:val="TableParagraph"/>
              <w:ind w:left="105" w:right="95"/>
              <w:jc w:val="both"/>
              <w:rPr>
                <w:sz w:val="24"/>
              </w:rPr>
            </w:pPr>
            <w:r>
              <w:rPr>
                <w:sz w:val="24"/>
              </w:rPr>
              <w:t>Effective teaching and learning are achieved in a noise-free, crime-free, spacious, well organized and beautiful environment.</w:t>
            </w:r>
          </w:p>
        </w:tc>
        <w:tc>
          <w:tcPr>
            <w:tcW w:w="888"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06" w:type="dxa"/>
          </w:tcPr>
          <w:p>
            <w:pPr>
              <w:pStyle w:val="TableParagraph"/>
              <w:rPr>
                <w:rFonts w:ascii="Times New Roman"/>
                <w:sz w:val="22"/>
              </w:rPr>
            </w:pPr>
          </w:p>
        </w:tc>
        <w:tc>
          <w:tcPr>
            <w:tcW w:w="716" w:type="dxa"/>
          </w:tcPr>
          <w:p>
            <w:pPr>
              <w:pStyle w:val="TableParagraph"/>
              <w:rPr>
                <w:rFonts w:ascii="Times New Roman"/>
                <w:sz w:val="22"/>
              </w:rPr>
            </w:pPr>
          </w:p>
        </w:tc>
      </w:tr>
    </w:tbl>
    <w:p>
      <w:pPr>
        <w:pStyle w:val="BodyText"/>
        <w:rPr>
          <w:rFonts w:ascii="Arial"/>
          <w:b/>
        </w:rPr>
      </w:pPr>
    </w:p>
    <w:p>
      <w:pPr>
        <w:pStyle w:val="BodyText"/>
        <w:spacing w:before="111"/>
        <w:rPr>
          <w:rFonts w:ascii="Arial"/>
          <w:b/>
        </w:rPr>
      </w:pPr>
    </w:p>
    <w:p>
      <w:pPr>
        <w:spacing w:before="0"/>
        <w:ind w:left="392" w:right="473" w:firstLine="0"/>
        <w:jc w:val="center"/>
        <w:rPr>
          <w:rFonts w:ascii="Arial"/>
          <w:b/>
          <w:sz w:val="24"/>
        </w:rPr>
      </w:pPr>
      <w:r>
        <w:rPr>
          <w:rFonts w:ascii="Arial"/>
          <w:b/>
          <w:sz w:val="24"/>
        </w:rPr>
        <w:t>Part</w:t>
      </w:r>
      <w:r>
        <w:rPr>
          <w:rFonts w:ascii="Arial"/>
          <w:b/>
          <w:spacing w:val="-6"/>
          <w:sz w:val="24"/>
        </w:rPr>
        <w:t> </w:t>
      </w:r>
      <w:r>
        <w:rPr>
          <w:rFonts w:ascii="Arial"/>
          <w:b/>
          <w:spacing w:val="-5"/>
          <w:sz w:val="24"/>
        </w:rPr>
        <w:t>IV</w:t>
      </w:r>
    </w:p>
    <w:p>
      <w:pPr>
        <w:spacing w:line="242" w:lineRule="auto" w:before="117"/>
        <w:ind w:left="220" w:right="0" w:firstLine="0"/>
        <w:jc w:val="left"/>
        <w:rPr>
          <w:rFonts w:ascii="Arial"/>
          <w:b/>
          <w:sz w:val="24"/>
        </w:rPr>
      </w:pPr>
      <w:r>
        <w:rPr>
          <w:rFonts w:ascii="Arial"/>
          <w:b/>
          <w:sz w:val="24"/>
        </w:rPr>
        <w:t>Perceived</w:t>
      </w:r>
      <w:r>
        <w:rPr>
          <w:rFonts w:ascii="Arial"/>
          <w:b/>
          <w:spacing w:val="40"/>
          <w:sz w:val="24"/>
        </w:rPr>
        <w:t> </w:t>
      </w:r>
      <w:r>
        <w:rPr>
          <w:rFonts w:ascii="Arial"/>
          <w:b/>
          <w:sz w:val="24"/>
        </w:rPr>
        <w:t>Strategies</w:t>
      </w:r>
      <w:r>
        <w:rPr>
          <w:rFonts w:ascii="Arial"/>
          <w:b/>
          <w:spacing w:val="40"/>
          <w:sz w:val="24"/>
        </w:rPr>
        <w:t> </w:t>
      </w:r>
      <w:r>
        <w:rPr>
          <w:rFonts w:ascii="Arial"/>
          <w:b/>
          <w:sz w:val="24"/>
        </w:rPr>
        <w:t>for</w:t>
      </w:r>
      <w:r>
        <w:rPr>
          <w:rFonts w:ascii="Arial"/>
          <w:b/>
          <w:spacing w:val="40"/>
          <w:sz w:val="24"/>
        </w:rPr>
        <w:t> </w:t>
      </w:r>
      <w:r>
        <w:rPr>
          <w:rFonts w:ascii="Arial"/>
          <w:b/>
          <w:sz w:val="24"/>
        </w:rPr>
        <w:t>effective</w:t>
      </w:r>
      <w:r>
        <w:rPr>
          <w:rFonts w:ascii="Arial"/>
          <w:b/>
          <w:spacing w:val="40"/>
          <w:sz w:val="24"/>
        </w:rPr>
        <w:t> </w:t>
      </w:r>
      <w:r>
        <w:rPr>
          <w:rFonts w:ascii="Arial"/>
          <w:b/>
          <w:sz w:val="24"/>
        </w:rPr>
        <w:t>Management</w:t>
      </w:r>
      <w:r>
        <w:rPr>
          <w:rFonts w:ascii="Arial"/>
          <w:b/>
          <w:spacing w:val="40"/>
          <w:sz w:val="24"/>
        </w:rPr>
        <w:t> </w:t>
      </w:r>
      <w:r>
        <w:rPr>
          <w:rFonts w:ascii="Arial"/>
          <w:b/>
          <w:sz w:val="24"/>
        </w:rPr>
        <w:t>of</w:t>
      </w:r>
      <w:r>
        <w:rPr>
          <w:rFonts w:ascii="Arial"/>
          <w:b/>
          <w:spacing w:val="40"/>
          <w:sz w:val="24"/>
        </w:rPr>
        <w:t> </w:t>
      </w:r>
      <w:r>
        <w:rPr>
          <w:rFonts w:ascii="Arial"/>
          <w:b/>
          <w:sz w:val="24"/>
        </w:rPr>
        <w:t>Student</w:t>
      </w:r>
      <w:r>
        <w:rPr>
          <w:rFonts w:ascii="Arial"/>
          <w:b/>
          <w:spacing w:val="40"/>
          <w:sz w:val="24"/>
        </w:rPr>
        <w:t> </w:t>
      </w:r>
      <w:r>
        <w:rPr>
          <w:rFonts w:ascii="Arial"/>
          <w:b/>
          <w:sz w:val="24"/>
        </w:rPr>
        <w:t>Welfare</w:t>
      </w:r>
      <w:r>
        <w:rPr>
          <w:rFonts w:ascii="Arial"/>
          <w:b/>
          <w:spacing w:val="40"/>
          <w:sz w:val="24"/>
        </w:rPr>
        <w:t> </w:t>
      </w:r>
      <w:r>
        <w:rPr>
          <w:rFonts w:ascii="Arial"/>
          <w:b/>
          <w:sz w:val="24"/>
        </w:rPr>
        <w:t>services</w:t>
      </w:r>
      <w:r>
        <w:rPr>
          <w:rFonts w:ascii="Arial"/>
          <w:b/>
          <w:spacing w:val="40"/>
          <w:sz w:val="24"/>
        </w:rPr>
        <w:t> </w:t>
      </w:r>
      <w:r>
        <w:rPr>
          <w:rFonts w:ascii="Arial"/>
          <w:b/>
          <w:sz w:val="24"/>
        </w:rPr>
        <w:t>in Nigerian Universities.</w:t>
      </w:r>
    </w:p>
    <w:p>
      <w:pPr>
        <w:pStyle w:val="BodyText"/>
        <w:spacing w:before="9"/>
        <w:rPr>
          <w:rFonts w:ascii="Arial"/>
          <w:b/>
          <w:sz w:val="10"/>
        </w:rPr>
      </w:pPr>
    </w:p>
    <w:tbl>
      <w:tblPr>
        <w:tblW w:w="0" w:type="auto"/>
        <w:jc w:val="left"/>
        <w:tblInd w:w="2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2"/>
        <w:gridCol w:w="5261"/>
        <w:gridCol w:w="888"/>
        <w:gridCol w:w="706"/>
        <w:gridCol w:w="701"/>
        <w:gridCol w:w="706"/>
        <w:gridCol w:w="716"/>
      </w:tblGrid>
      <w:tr>
        <w:trPr>
          <w:trHeight w:val="397" w:hRule="atLeast"/>
        </w:trPr>
        <w:tc>
          <w:tcPr>
            <w:tcW w:w="562" w:type="dxa"/>
            <w:vMerge w:val="restart"/>
          </w:tcPr>
          <w:p>
            <w:pPr>
              <w:pStyle w:val="TableParagraph"/>
              <w:spacing w:before="117"/>
              <w:rPr>
                <w:rFonts w:ascii="Arial"/>
                <w:b/>
                <w:sz w:val="24"/>
              </w:rPr>
            </w:pPr>
          </w:p>
          <w:p>
            <w:pPr>
              <w:pStyle w:val="TableParagraph"/>
              <w:spacing w:before="1"/>
              <w:ind w:left="110"/>
              <w:rPr>
                <w:sz w:val="24"/>
              </w:rPr>
            </w:pPr>
            <w:r>
              <w:rPr>
                <w:spacing w:val="-5"/>
                <w:sz w:val="24"/>
              </w:rPr>
              <w:t>93.</w:t>
            </w:r>
          </w:p>
        </w:tc>
        <w:tc>
          <w:tcPr>
            <w:tcW w:w="5261" w:type="dxa"/>
            <w:vMerge w:val="restart"/>
          </w:tcPr>
          <w:p>
            <w:pPr>
              <w:pStyle w:val="TableParagraph"/>
              <w:spacing w:before="117"/>
              <w:rPr>
                <w:rFonts w:ascii="Arial"/>
                <w:b/>
                <w:sz w:val="24"/>
              </w:rPr>
            </w:pPr>
          </w:p>
          <w:p>
            <w:pPr>
              <w:pStyle w:val="TableParagraph"/>
              <w:spacing w:before="1"/>
              <w:ind w:left="114" w:right="106"/>
              <w:jc w:val="both"/>
              <w:rPr>
                <w:sz w:val="24"/>
              </w:rPr>
            </w:pPr>
            <w:r>
              <w:rPr>
                <w:sz w:val="24"/>
              </w:rPr>
              <w:t>It is believed that shortage of funds is instrumental to the inability of the university to manage and meet all the welfare needs of the teeming population of students.</w:t>
            </w:r>
          </w:p>
        </w:tc>
        <w:tc>
          <w:tcPr>
            <w:tcW w:w="888" w:type="dxa"/>
          </w:tcPr>
          <w:p>
            <w:pPr>
              <w:pStyle w:val="TableParagraph"/>
              <w:spacing w:line="267" w:lineRule="exact"/>
              <w:ind w:left="114"/>
              <w:rPr>
                <w:rFonts w:ascii="Arial"/>
                <w:b/>
                <w:sz w:val="24"/>
              </w:rPr>
            </w:pPr>
            <w:r>
              <w:rPr>
                <w:rFonts w:ascii="Arial"/>
                <w:b/>
                <w:spacing w:val="-5"/>
                <w:sz w:val="24"/>
              </w:rPr>
              <w:t>SA</w:t>
            </w:r>
          </w:p>
        </w:tc>
        <w:tc>
          <w:tcPr>
            <w:tcW w:w="706" w:type="dxa"/>
          </w:tcPr>
          <w:p>
            <w:pPr>
              <w:pStyle w:val="TableParagraph"/>
              <w:spacing w:line="267" w:lineRule="exact"/>
              <w:ind w:left="114"/>
              <w:rPr>
                <w:rFonts w:ascii="Arial"/>
                <w:b/>
                <w:sz w:val="24"/>
              </w:rPr>
            </w:pPr>
            <w:r>
              <w:rPr>
                <w:rFonts w:ascii="Arial"/>
                <w:b/>
                <w:spacing w:val="-10"/>
                <w:sz w:val="24"/>
              </w:rPr>
              <w:t>A</w:t>
            </w:r>
          </w:p>
        </w:tc>
        <w:tc>
          <w:tcPr>
            <w:tcW w:w="701" w:type="dxa"/>
          </w:tcPr>
          <w:p>
            <w:pPr>
              <w:pStyle w:val="TableParagraph"/>
              <w:spacing w:line="267" w:lineRule="exact"/>
              <w:ind w:left="109"/>
              <w:rPr>
                <w:rFonts w:ascii="Arial"/>
                <w:b/>
                <w:sz w:val="24"/>
              </w:rPr>
            </w:pPr>
            <w:r>
              <w:rPr>
                <w:rFonts w:ascii="Arial"/>
                <w:b/>
                <w:spacing w:val="-10"/>
                <w:sz w:val="24"/>
              </w:rPr>
              <w:t>U</w:t>
            </w:r>
          </w:p>
        </w:tc>
        <w:tc>
          <w:tcPr>
            <w:tcW w:w="706" w:type="dxa"/>
          </w:tcPr>
          <w:p>
            <w:pPr>
              <w:pStyle w:val="TableParagraph"/>
              <w:spacing w:line="267" w:lineRule="exact"/>
              <w:ind w:left="113"/>
              <w:rPr>
                <w:rFonts w:ascii="Arial"/>
                <w:b/>
                <w:sz w:val="24"/>
              </w:rPr>
            </w:pPr>
            <w:r>
              <w:rPr>
                <w:rFonts w:ascii="Arial"/>
                <w:b/>
                <w:spacing w:val="-10"/>
                <w:sz w:val="24"/>
              </w:rPr>
              <w:t>D</w:t>
            </w:r>
          </w:p>
        </w:tc>
        <w:tc>
          <w:tcPr>
            <w:tcW w:w="716" w:type="dxa"/>
          </w:tcPr>
          <w:p>
            <w:pPr>
              <w:pStyle w:val="TableParagraph"/>
              <w:spacing w:line="267" w:lineRule="exact"/>
              <w:ind w:left="113"/>
              <w:rPr>
                <w:rFonts w:ascii="Arial"/>
                <w:b/>
                <w:sz w:val="24"/>
              </w:rPr>
            </w:pPr>
            <w:r>
              <w:rPr>
                <w:rFonts w:ascii="Arial"/>
                <w:b/>
                <w:spacing w:val="-5"/>
                <w:sz w:val="24"/>
              </w:rPr>
              <w:t>SD</w:t>
            </w:r>
          </w:p>
        </w:tc>
      </w:tr>
      <w:tr>
        <w:trPr>
          <w:trHeight w:val="1214" w:hRule="atLeast"/>
        </w:trPr>
        <w:tc>
          <w:tcPr>
            <w:tcW w:w="562" w:type="dxa"/>
            <w:vMerge/>
            <w:tcBorders>
              <w:top w:val="nil"/>
            </w:tcBorders>
          </w:tcPr>
          <w:p>
            <w:pPr>
              <w:rPr>
                <w:sz w:val="2"/>
                <w:szCs w:val="2"/>
              </w:rPr>
            </w:pPr>
          </w:p>
        </w:tc>
        <w:tc>
          <w:tcPr>
            <w:tcW w:w="5261" w:type="dxa"/>
            <w:vMerge/>
            <w:tcBorders>
              <w:top w:val="nil"/>
            </w:tcBorders>
          </w:tcPr>
          <w:p>
            <w:pPr>
              <w:rPr>
                <w:sz w:val="2"/>
                <w:szCs w:val="2"/>
              </w:rPr>
            </w:pPr>
          </w:p>
        </w:tc>
        <w:tc>
          <w:tcPr>
            <w:tcW w:w="888" w:type="dxa"/>
          </w:tcPr>
          <w:p>
            <w:pPr>
              <w:pStyle w:val="TableParagraph"/>
              <w:rPr>
                <w:rFonts w:ascii="Times New Roman"/>
                <w:sz w:val="22"/>
              </w:rPr>
            </w:pPr>
          </w:p>
        </w:tc>
        <w:tc>
          <w:tcPr>
            <w:tcW w:w="706" w:type="dxa"/>
          </w:tcPr>
          <w:p>
            <w:pPr>
              <w:pStyle w:val="TableParagraph"/>
              <w:rPr>
                <w:rFonts w:ascii="Times New Roman"/>
                <w:sz w:val="22"/>
              </w:rPr>
            </w:pPr>
          </w:p>
        </w:tc>
        <w:tc>
          <w:tcPr>
            <w:tcW w:w="701" w:type="dxa"/>
          </w:tcPr>
          <w:p>
            <w:pPr>
              <w:pStyle w:val="TableParagraph"/>
              <w:rPr>
                <w:rFonts w:ascii="Times New Roman"/>
                <w:sz w:val="22"/>
              </w:rPr>
            </w:pPr>
          </w:p>
        </w:tc>
        <w:tc>
          <w:tcPr>
            <w:tcW w:w="706" w:type="dxa"/>
          </w:tcPr>
          <w:p>
            <w:pPr>
              <w:pStyle w:val="TableParagraph"/>
              <w:rPr>
                <w:rFonts w:ascii="Times New Roman"/>
                <w:sz w:val="22"/>
              </w:rPr>
            </w:pPr>
          </w:p>
        </w:tc>
        <w:tc>
          <w:tcPr>
            <w:tcW w:w="716" w:type="dxa"/>
          </w:tcPr>
          <w:p>
            <w:pPr>
              <w:pStyle w:val="TableParagraph"/>
              <w:rPr>
                <w:rFonts w:ascii="Times New Roman"/>
                <w:sz w:val="22"/>
              </w:rPr>
            </w:pPr>
          </w:p>
        </w:tc>
      </w:tr>
      <w:tr>
        <w:trPr>
          <w:trHeight w:val="2447" w:hRule="atLeast"/>
        </w:trPr>
        <w:tc>
          <w:tcPr>
            <w:tcW w:w="562" w:type="dxa"/>
          </w:tcPr>
          <w:p>
            <w:pPr>
              <w:pStyle w:val="TableParagraph"/>
              <w:spacing w:before="113"/>
              <w:rPr>
                <w:rFonts w:ascii="Arial"/>
                <w:b/>
                <w:sz w:val="24"/>
              </w:rPr>
            </w:pPr>
          </w:p>
          <w:p>
            <w:pPr>
              <w:pStyle w:val="TableParagraph"/>
              <w:ind w:left="6" w:right="3"/>
              <w:jc w:val="center"/>
              <w:rPr>
                <w:sz w:val="24"/>
              </w:rPr>
            </w:pPr>
            <w:r>
              <w:rPr>
                <w:spacing w:val="-5"/>
                <w:sz w:val="24"/>
              </w:rPr>
              <w:t>94.</w:t>
            </w:r>
          </w:p>
        </w:tc>
        <w:tc>
          <w:tcPr>
            <w:tcW w:w="5261" w:type="dxa"/>
          </w:tcPr>
          <w:p>
            <w:pPr>
              <w:pStyle w:val="TableParagraph"/>
              <w:spacing w:before="113"/>
              <w:rPr>
                <w:rFonts w:ascii="Arial"/>
                <w:b/>
                <w:sz w:val="24"/>
              </w:rPr>
            </w:pPr>
          </w:p>
          <w:p>
            <w:pPr>
              <w:pStyle w:val="TableParagraph"/>
              <w:ind w:left="114" w:right="101"/>
              <w:jc w:val="both"/>
              <w:rPr>
                <w:sz w:val="24"/>
              </w:rPr>
            </w:pPr>
            <w:r>
              <w:rPr>
                <w:sz w:val="24"/>
              </w:rPr>
              <w:t>The role of Students Affairs Division Accommodation Allocation Committee, Committee system, students welfare service- management board, sports committee are some strategies adopted by the University managements that can help immensely in yielding positive results in students welfare.</w:t>
            </w:r>
          </w:p>
        </w:tc>
        <w:tc>
          <w:tcPr>
            <w:tcW w:w="888" w:type="dxa"/>
          </w:tcPr>
          <w:p>
            <w:pPr>
              <w:pStyle w:val="TableParagraph"/>
              <w:rPr>
                <w:rFonts w:ascii="Times New Roman"/>
                <w:sz w:val="22"/>
              </w:rPr>
            </w:pPr>
          </w:p>
        </w:tc>
        <w:tc>
          <w:tcPr>
            <w:tcW w:w="706" w:type="dxa"/>
          </w:tcPr>
          <w:p>
            <w:pPr>
              <w:pStyle w:val="TableParagraph"/>
              <w:rPr>
                <w:rFonts w:ascii="Times New Roman"/>
                <w:sz w:val="22"/>
              </w:rPr>
            </w:pPr>
          </w:p>
        </w:tc>
        <w:tc>
          <w:tcPr>
            <w:tcW w:w="701" w:type="dxa"/>
          </w:tcPr>
          <w:p>
            <w:pPr>
              <w:pStyle w:val="TableParagraph"/>
              <w:rPr>
                <w:rFonts w:ascii="Times New Roman"/>
                <w:sz w:val="22"/>
              </w:rPr>
            </w:pPr>
          </w:p>
        </w:tc>
        <w:tc>
          <w:tcPr>
            <w:tcW w:w="706" w:type="dxa"/>
          </w:tcPr>
          <w:p>
            <w:pPr>
              <w:pStyle w:val="TableParagraph"/>
              <w:rPr>
                <w:rFonts w:ascii="Times New Roman"/>
                <w:sz w:val="22"/>
              </w:rPr>
            </w:pPr>
          </w:p>
        </w:tc>
        <w:tc>
          <w:tcPr>
            <w:tcW w:w="716" w:type="dxa"/>
          </w:tcPr>
          <w:p>
            <w:pPr>
              <w:pStyle w:val="TableParagraph"/>
              <w:rPr>
                <w:rFonts w:ascii="Times New Roman"/>
                <w:sz w:val="22"/>
              </w:rPr>
            </w:pPr>
          </w:p>
        </w:tc>
      </w:tr>
      <w:tr>
        <w:trPr>
          <w:trHeight w:val="1617" w:hRule="atLeast"/>
        </w:trPr>
        <w:tc>
          <w:tcPr>
            <w:tcW w:w="562" w:type="dxa"/>
          </w:tcPr>
          <w:p>
            <w:pPr>
              <w:pStyle w:val="TableParagraph"/>
              <w:spacing w:before="113"/>
              <w:rPr>
                <w:rFonts w:ascii="Arial"/>
                <w:b/>
                <w:sz w:val="24"/>
              </w:rPr>
            </w:pPr>
          </w:p>
          <w:p>
            <w:pPr>
              <w:pStyle w:val="TableParagraph"/>
              <w:ind w:left="6" w:right="3"/>
              <w:jc w:val="center"/>
              <w:rPr>
                <w:sz w:val="24"/>
              </w:rPr>
            </w:pPr>
            <w:r>
              <w:rPr>
                <w:spacing w:val="-5"/>
                <w:sz w:val="24"/>
              </w:rPr>
              <w:t>95.</w:t>
            </w:r>
          </w:p>
        </w:tc>
        <w:tc>
          <w:tcPr>
            <w:tcW w:w="5261" w:type="dxa"/>
          </w:tcPr>
          <w:p>
            <w:pPr>
              <w:pStyle w:val="TableParagraph"/>
              <w:spacing w:before="113"/>
              <w:rPr>
                <w:rFonts w:ascii="Arial"/>
                <w:b/>
                <w:sz w:val="24"/>
              </w:rPr>
            </w:pPr>
          </w:p>
          <w:p>
            <w:pPr>
              <w:pStyle w:val="TableParagraph"/>
              <w:ind w:left="114" w:right="104"/>
              <w:jc w:val="both"/>
              <w:rPr>
                <w:sz w:val="24"/>
              </w:rPr>
            </w:pPr>
            <w:r>
              <w:rPr>
                <w:sz w:val="24"/>
              </w:rPr>
              <w:t>Good policies, laws and statutes, rules and regulation to facilitate effective and efficient management</w:t>
            </w:r>
            <w:r>
              <w:rPr>
                <w:spacing w:val="-1"/>
                <w:sz w:val="24"/>
              </w:rPr>
              <w:t> </w:t>
            </w:r>
            <w:r>
              <w:rPr>
                <w:sz w:val="24"/>
              </w:rPr>
              <w:t>of</w:t>
            </w:r>
            <w:r>
              <w:rPr>
                <w:spacing w:val="-1"/>
                <w:sz w:val="24"/>
              </w:rPr>
              <w:t> </w:t>
            </w:r>
            <w:r>
              <w:rPr>
                <w:sz w:val="24"/>
              </w:rPr>
              <w:t>students’ welfare has</w:t>
            </w:r>
            <w:r>
              <w:rPr>
                <w:spacing w:val="-1"/>
                <w:sz w:val="24"/>
              </w:rPr>
              <w:t> </w:t>
            </w:r>
            <w:r>
              <w:rPr>
                <w:sz w:val="24"/>
              </w:rPr>
              <w:t>been put in place by the University authorities.</w:t>
            </w:r>
          </w:p>
        </w:tc>
        <w:tc>
          <w:tcPr>
            <w:tcW w:w="888" w:type="dxa"/>
          </w:tcPr>
          <w:p>
            <w:pPr>
              <w:pStyle w:val="TableParagraph"/>
              <w:rPr>
                <w:rFonts w:ascii="Times New Roman"/>
                <w:sz w:val="22"/>
              </w:rPr>
            </w:pPr>
          </w:p>
        </w:tc>
        <w:tc>
          <w:tcPr>
            <w:tcW w:w="706" w:type="dxa"/>
          </w:tcPr>
          <w:p>
            <w:pPr>
              <w:pStyle w:val="TableParagraph"/>
              <w:rPr>
                <w:rFonts w:ascii="Times New Roman"/>
                <w:sz w:val="22"/>
              </w:rPr>
            </w:pPr>
          </w:p>
        </w:tc>
        <w:tc>
          <w:tcPr>
            <w:tcW w:w="701" w:type="dxa"/>
          </w:tcPr>
          <w:p>
            <w:pPr>
              <w:pStyle w:val="TableParagraph"/>
              <w:rPr>
                <w:rFonts w:ascii="Times New Roman"/>
                <w:sz w:val="22"/>
              </w:rPr>
            </w:pPr>
          </w:p>
        </w:tc>
        <w:tc>
          <w:tcPr>
            <w:tcW w:w="706" w:type="dxa"/>
          </w:tcPr>
          <w:p>
            <w:pPr>
              <w:pStyle w:val="TableParagraph"/>
              <w:rPr>
                <w:rFonts w:ascii="Times New Roman"/>
                <w:sz w:val="22"/>
              </w:rPr>
            </w:pPr>
          </w:p>
        </w:tc>
        <w:tc>
          <w:tcPr>
            <w:tcW w:w="716" w:type="dxa"/>
          </w:tcPr>
          <w:p>
            <w:pPr>
              <w:pStyle w:val="TableParagraph"/>
              <w:rPr>
                <w:rFonts w:ascii="Times New Roman"/>
                <w:sz w:val="22"/>
              </w:rPr>
            </w:pPr>
          </w:p>
        </w:tc>
      </w:tr>
      <w:tr>
        <w:trPr>
          <w:trHeight w:val="1343" w:hRule="atLeast"/>
        </w:trPr>
        <w:tc>
          <w:tcPr>
            <w:tcW w:w="562" w:type="dxa"/>
          </w:tcPr>
          <w:p>
            <w:pPr>
              <w:pStyle w:val="TableParagraph"/>
              <w:spacing w:before="117"/>
              <w:rPr>
                <w:rFonts w:ascii="Arial"/>
                <w:b/>
                <w:sz w:val="24"/>
              </w:rPr>
            </w:pPr>
          </w:p>
          <w:p>
            <w:pPr>
              <w:pStyle w:val="TableParagraph"/>
              <w:spacing w:before="1"/>
              <w:ind w:left="6" w:right="3"/>
              <w:jc w:val="center"/>
              <w:rPr>
                <w:sz w:val="24"/>
              </w:rPr>
            </w:pPr>
            <w:r>
              <w:rPr>
                <w:spacing w:val="-5"/>
                <w:sz w:val="24"/>
              </w:rPr>
              <w:t>96.</w:t>
            </w:r>
          </w:p>
        </w:tc>
        <w:tc>
          <w:tcPr>
            <w:tcW w:w="5261" w:type="dxa"/>
          </w:tcPr>
          <w:p>
            <w:pPr>
              <w:pStyle w:val="TableParagraph"/>
              <w:spacing w:before="117"/>
              <w:rPr>
                <w:rFonts w:ascii="Arial"/>
                <w:b/>
                <w:sz w:val="24"/>
              </w:rPr>
            </w:pPr>
          </w:p>
          <w:p>
            <w:pPr>
              <w:pStyle w:val="TableParagraph"/>
              <w:spacing w:before="1"/>
              <w:ind w:left="114" w:right="106"/>
              <w:jc w:val="both"/>
              <w:rPr>
                <w:sz w:val="24"/>
              </w:rPr>
            </w:pPr>
            <w:r>
              <w:rPr>
                <w:sz w:val="24"/>
              </w:rPr>
              <w:t>Central accommodation allocation committee</w:t>
            </w:r>
            <w:r>
              <w:rPr>
                <w:spacing w:val="40"/>
                <w:sz w:val="24"/>
              </w:rPr>
              <w:t> </w:t>
            </w:r>
            <w:r>
              <w:rPr>
                <w:sz w:val="24"/>
              </w:rPr>
              <w:t>in the universities has eased the problem of bedspace allocation to students in all hostels.</w:t>
            </w:r>
          </w:p>
        </w:tc>
        <w:tc>
          <w:tcPr>
            <w:tcW w:w="888" w:type="dxa"/>
          </w:tcPr>
          <w:p>
            <w:pPr>
              <w:pStyle w:val="TableParagraph"/>
              <w:rPr>
                <w:rFonts w:ascii="Times New Roman"/>
                <w:sz w:val="22"/>
              </w:rPr>
            </w:pPr>
          </w:p>
        </w:tc>
        <w:tc>
          <w:tcPr>
            <w:tcW w:w="706" w:type="dxa"/>
          </w:tcPr>
          <w:p>
            <w:pPr>
              <w:pStyle w:val="TableParagraph"/>
              <w:rPr>
                <w:rFonts w:ascii="Times New Roman"/>
                <w:sz w:val="22"/>
              </w:rPr>
            </w:pPr>
          </w:p>
        </w:tc>
        <w:tc>
          <w:tcPr>
            <w:tcW w:w="701" w:type="dxa"/>
          </w:tcPr>
          <w:p>
            <w:pPr>
              <w:pStyle w:val="TableParagraph"/>
              <w:rPr>
                <w:rFonts w:ascii="Times New Roman"/>
                <w:sz w:val="22"/>
              </w:rPr>
            </w:pPr>
          </w:p>
        </w:tc>
        <w:tc>
          <w:tcPr>
            <w:tcW w:w="706" w:type="dxa"/>
          </w:tcPr>
          <w:p>
            <w:pPr>
              <w:pStyle w:val="TableParagraph"/>
              <w:rPr>
                <w:rFonts w:ascii="Times New Roman"/>
                <w:sz w:val="22"/>
              </w:rPr>
            </w:pPr>
          </w:p>
        </w:tc>
        <w:tc>
          <w:tcPr>
            <w:tcW w:w="716" w:type="dxa"/>
          </w:tcPr>
          <w:p>
            <w:pPr>
              <w:pStyle w:val="TableParagraph"/>
              <w:rPr>
                <w:rFonts w:ascii="Times New Roman"/>
                <w:sz w:val="22"/>
              </w:rPr>
            </w:pPr>
          </w:p>
        </w:tc>
      </w:tr>
    </w:tbl>
    <w:p>
      <w:pPr>
        <w:spacing w:after="0"/>
        <w:rPr>
          <w:rFonts w:ascii="Times New Roman"/>
          <w:sz w:val="22"/>
        </w:rPr>
        <w:sectPr>
          <w:headerReference w:type="default" r:id="rId632"/>
          <w:footerReference w:type="default" r:id="rId633"/>
          <w:pgSz w:w="12240" w:h="15840"/>
          <w:pgMar w:header="722" w:footer="623" w:top="980" w:bottom="820" w:left="1220" w:right="1140"/>
        </w:sectPr>
      </w:pPr>
    </w:p>
    <w:p>
      <w:pPr>
        <w:pStyle w:val="BodyText"/>
        <w:spacing w:before="222"/>
        <w:rPr>
          <w:rFonts w:ascii="Arial"/>
          <w:b/>
          <w:sz w:val="20"/>
        </w:rPr>
      </w:pPr>
    </w:p>
    <w:tbl>
      <w:tblPr>
        <w:tblW w:w="0" w:type="auto"/>
        <w:jc w:val="left"/>
        <w:tblInd w:w="2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2"/>
        <w:gridCol w:w="5261"/>
        <w:gridCol w:w="888"/>
        <w:gridCol w:w="706"/>
        <w:gridCol w:w="701"/>
        <w:gridCol w:w="706"/>
        <w:gridCol w:w="716"/>
      </w:tblGrid>
      <w:tr>
        <w:trPr>
          <w:trHeight w:val="1622" w:hRule="atLeast"/>
        </w:trPr>
        <w:tc>
          <w:tcPr>
            <w:tcW w:w="562" w:type="dxa"/>
          </w:tcPr>
          <w:p>
            <w:pPr>
              <w:pStyle w:val="TableParagraph"/>
              <w:spacing w:before="117"/>
              <w:rPr>
                <w:rFonts w:ascii="Arial"/>
                <w:b/>
                <w:sz w:val="24"/>
              </w:rPr>
            </w:pPr>
          </w:p>
          <w:p>
            <w:pPr>
              <w:pStyle w:val="TableParagraph"/>
              <w:spacing w:before="1"/>
              <w:ind w:left="6" w:right="3"/>
              <w:jc w:val="center"/>
              <w:rPr>
                <w:sz w:val="24"/>
              </w:rPr>
            </w:pPr>
            <w:r>
              <w:rPr>
                <w:spacing w:val="-5"/>
                <w:sz w:val="24"/>
              </w:rPr>
              <w:t>97.</w:t>
            </w:r>
          </w:p>
        </w:tc>
        <w:tc>
          <w:tcPr>
            <w:tcW w:w="5261" w:type="dxa"/>
          </w:tcPr>
          <w:p>
            <w:pPr>
              <w:pStyle w:val="TableParagraph"/>
              <w:spacing w:before="117"/>
              <w:rPr>
                <w:rFonts w:ascii="Arial"/>
                <w:b/>
                <w:sz w:val="24"/>
              </w:rPr>
            </w:pPr>
          </w:p>
          <w:p>
            <w:pPr>
              <w:pStyle w:val="TableParagraph"/>
              <w:spacing w:before="1"/>
              <w:ind w:left="114" w:right="106"/>
              <w:jc w:val="both"/>
              <w:rPr>
                <w:sz w:val="24"/>
              </w:rPr>
            </w:pPr>
            <w:r>
              <w:rPr>
                <w:sz w:val="24"/>
              </w:rPr>
              <w:t>Security network and communication including market management committee are among mechanisms deviced to enhance students welfare management.</w:t>
            </w:r>
          </w:p>
        </w:tc>
        <w:tc>
          <w:tcPr>
            <w:tcW w:w="888" w:type="dxa"/>
          </w:tcPr>
          <w:p>
            <w:pPr>
              <w:pStyle w:val="TableParagraph"/>
              <w:rPr>
                <w:rFonts w:ascii="Times New Roman"/>
                <w:sz w:val="22"/>
              </w:rPr>
            </w:pPr>
          </w:p>
        </w:tc>
        <w:tc>
          <w:tcPr>
            <w:tcW w:w="706" w:type="dxa"/>
          </w:tcPr>
          <w:p>
            <w:pPr>
              <w:pStyle w:val="TableParagraph"/>
              <w:rPr>
                <w:rFonts w:ascii="Times New Roman"/>
                <w:sz w:val="22"/>
              </w:rPr>
            </w:pPr>
          </w:p>
        </w:tc>
        <w:tc>
          <w:tcPr>
            <w:tcW w:w="701" w:type="dxa"/>
          </w:tcPr>
          <w:p>
            <w:pPr>
              <w:pStyle w:val="TableParagraph"/>
              <w:rPr>
                <w:rFonts w:ascii="Times New Roman"/>
                <w:sz w:val="22"/>
              </w:rPr>
            </w:pPr>
          </w:p>
        </w:tc>
        <w:tc>
          <w:tcPr>
            <w:tcW w:w="706" w:type="dxa"/>
          </w:tcPr>
          <w:p>
            <w:pPr>
              <w:pStyle w:val="TableParagraph"/>
              <w:rPr>
                <w:rFonts w:ascii="Times New Roman"/>
                <w:sz w:val="22"/>
              </w:rPr>
            </w:pPr>
          </w:p>
        </w:tc>
        <w:tc>
          <w:tcPr>
            <w:tcW w:w="716" w:type="dxa"/>
          </w:tcPr>
          <w:p>
            <w:pPr>
              <w:pStyle w:val="TableParagraph"/>
              <w:rPr>
                <w:rFonts w:ascii="Times New Roman"/>
                <w:sz w:val="22"/>
              </w:rPr>
            </w:pPr>
          </w:p>
        </w:tc>
      </w:tr>
      <w:tr>
        <w:trPr>
          <w:trHeight w:val="2169" w:hRule="atLeast"/>
        </w:trPr>
        <w:tc>
          <w:tcPr>
            <w:tcW w:w="562" w:type="dxa"/>
          </w:tcPr>
          <w:p>
            <w:pPr>
              <w:pStyle w:val="TableParagraph"/>
              <w:spacing w:before="113"/>
              <w:rPr>
                <w:rFonts w:ascii="Arial"/>
                <w:b/>
                <w:sz w:val="24"/>
              </w:rPr>
            </w:pPr>
          </w:p>
          <w:p>
            <w:pPr>
              <w:pStyle w:val="TableParagraph"/>
              <w:ind w:left="6" w:right="3"/>
              <w:jc w:val="center"/>
              <w:rPr>
                <w:sz w:val="24"/>
              </w:rPr>
            </w:pPr>
            <w:r>
              <w:rPr>
                <w:spacing w:val="-5"/>
                <w:sz w:val="24"/>
              </w:rPr>
              <w:t>98.</w:t>
            </w:r>
          </w:p>
        </w:tc>
        <w:tc>
          <w:tcPr>
            <w:tcW w:w="5261" w:type="dxa"/>
          </w:tcPr>
          <w:p>
            <w:pPr>
              <w:pStyle w:val="TableParagraph"/>
              <w:spacing w:before="113"/>
              <w:rPr>
                <w:rFonts w:ascii="Arial"/>
                <w:b/>
                <w:sz w:val="24"/>
              </w:rPr>
            </w:pPr>
          </w:p>
          <w:p>
            <w:pPr>
              <w:pStyle w:val="TableParagraph"/>
              <w:ind w:left="114" w:right="104"/>
              <w:jc w:val="both"/>
              <w:rPr>
                <w:sz w:val="24"/>
              </w:rPr>
            </w:pPr>
            <w:r>
              <w:rPr>
                <w:sz w:val="24"/>
              </w:rPr>
              <w:t>Efficient provision and supervision of social services including student union matters, religion, water, electricity and other sensitive and basic issues that affect students welfare are evidence of university administrations’ commitment to student welfare.</w:t>
            </w:r>
          </w:p>
        </w:tc>
        <w:tc>
          <w:tcPr>
            <w:tcW w:w="888" w:type="dxa"/>
          </w:tcPr>
          <w:p>
            <w:pPr>
              <w:pStyle w:val="TableParagraph"/>
              <w:rPr>
                <w:rFonts w:ascii="Times New Roman"/>
                <w:sz w:val="22"/>
              </w:rPr>
            </w:pPr>
          </w:p>
        </w:tc>
        <w:tc>
          <w:tcPr>
            <w:tcW w:w="706" w:type="dxa"/>
          </w:tcPr>
          <w:p>
            <w:pPr>
              <w:pStyle w:val="TableParagraph"/>
              <w:rPr>
                <w:rFonts w:ascii="Times New Roman"/>
                <w:sz w:val="22"/>
              </w:rPr>
            </w:pPr>
          </w:p>
        </w:tc>
        <w:tc>
          <w:tcPr>
            <w:tcW w:w="701" w:type="dxa"/>
          </w:tcPr>
          <w:p>
            <w:pPr>
              <w:pStyle w:val="TableParagraph"/>
              <w:rPr>
                <w:rFonts w:ascii="Times New Roman"/>
                <w:sz w:val="22"/>
              </w:rPr>
            </w:pPr>
          </w:p>
        </w:tc>
        <w:tc>
          <w:tcPr>
            <w:tcW w:w="706" w:type="dxa"/>
          </w:tcPr>
          <w:p>
            <w:pPr>
              <w:pStyle w:val="TableParagraph"/>
              <w:rPr>
                <w:rFonts w:ascii="Times New Roman"/>
                <w:sz w:val="22"/>
              </w:rPr>
            </w:pPr>
          </w:p>
        </w:tc>
        <w:tc>
          <w:tcPr>
            <w:tcW w:w="716" w:type="dxa"/>
          </w:tcPr>
          <w:p>
            <w:pPr>
              <w:pStyle w:val="TableParagraph"/>
              <w:rPr>
                <w:rFonts w:ascii="Times New Roman"/>
                <w:sz w:val="22"/>
              </w:rPr>
            </w:pPr>
          </w:p>
        </w:tc>
      </w:tr>
      <w:tr>
        <w:trPr>
          <w:trHeight w:val="1622" w:hRule="atLeast"/>
        </w:trPr>
        <w:tc>
          <w:tcPr>
            <w:tcW w:w="562" w:type="dxa"/>
          </w:tcPr>
          <w:p>
            <w:pPr>
              <w:pStyle w:val="TableParagraph"/>
              <w:spacing w:before="117"/>
              <w:rPr>
                <w:rFonts w:ascii="Arial"/>
                <w:b/>
                <w:sz w:val="24"/>
              </w:rPr>
            </w:pPr>
          </w:p>
          <w:p>
            <w:pPr>
              <w:pStyle w:val="TableParagraph"/>
              <w:spacing w:before="1"/>
              <w:ind w:left="6" w:right="3"/>
              <w:jc w:val="center"/>
              <w:rPr>
                <w:sz w:val="24"/>
              </w:rPr>
            </w:pPr>
            <w:r>
              <w:rPr>
                <w:spacing w:val="-5"/>
                <w:sz w:val="24"/>
              </w:rPr>
              <w:t>99.</w:t>
            </w:r>
          </w:p>
        </w:tc>
        <w:tc>
          <w:tcPr>
            <w:tcW w:w="5261" w:type="dxa"/>
          </w:tcPr>
          <w:p>
            <w:pPr>
              <w:pStyle w:val="TableParagraph"/>
              <w:spacing w:before="117"/>
              <w:rPr>
                <w:rFonts w:ascii="Arial"/>
                <w:b/>
                <w:sz w:val="24"/>
              </w:rPr>
            </w:pPr>
          </w:p>
          <w:p>
            <w:pPr>
              <w:pStyle w:val="TableParagraph"/>
              <w:spacing w:before="1"/>
              <w:ind w:left="114" w:right="105"/>
              <w:jc w:val="both"/>
              <w:rPr>
                <w:sz w:val="24"/>
              </w:rPr>
            </w:pPr>
            <w:r>
              <w:rPr>
                <w:sz w:val="24"/>
              </w:rPr>
              <w:t>The use of casual labourers to clean the surroundings, public toilets, and maintenance of flowers,</w:t>
            </w:r>
            <w:r>
              <w:rPr>
                <w:spacing w:val="-2"/>
                <w:sz w:val="24"/>
              </w:rPr>
              <w:t> </w:t>
            </w:r>
            <w:r>
              <w:rPr>
                <w:sz w:val="24"/>
              </w:rPr>
              <w:t>landscaping will enhance conducive environment for learning.</w:t>
            </w:r>
          </w:p>
        </w:tc>
        <w:tc>
          <w:tcPr>
            <w:tcW w:w="888" w:type="dxa"/>
          </w:tcPr>
          <w:p>
            <w:pPr>
              <w:pStyle w:val="TableParagraph"/>
              <w:rPr>
                <w:rFonts w:ascii="Times New Roman"/>
                <w:sz w:val="22"/>
              </w:rPr>
            </w:pPr>
          </w:p>
        </w:tc>
        <w:tc>
          <w:tcPr>
            <w:tcW w:w="706" w:type="dxa"/>
          </w:tcPr>
          <w:p>
            <w:pPr>
              <w:pStyle w:val="TableParagraph"/>
              <w:rPr>
                <w:rFonts w:ascii="Times New Roman"/>
                <w:sz w:val="22"/>
              </w:rPr>
            </w:pPr>
          </w:p>
        </w:tc>
        <w:tc>
          <w:tcPr>
            <w:tcW w:w="701" w:type="dxa"/>
          </w:tcPr>
          <w:p>
            <w:pPr>
              <w:pStyle w:val="TableParagraph"/>
              <w:rPr>
                <w:rFonts w:ascii="Times New Roman"/>
                <w:sz w:val="22"/>
              </w:rPr>
            </w:pPr>
          </w:p>
        </w:tc>
        <w:tc>
          <w:tcPr>
            <w:tcW w:w="706" w:type="dxa"/>
          </w:tcPr>
          <w:p>
            <w:pPr>
              <w:pStyle w:val="TableParagraph"/>
              <w:rPr>
                <w:rFonts w:ascii="Times New Roman"/>
                <w:sz w:val="22"/>
              </w:rPr>
            </w:pPr>
          </w:p>
        </w:tc>
        <w:tc>
          <w:tcPr>
            <w:tcW w:w="716" w:type="dxa"/>
          </w:tcPr>
          <w:p>
            <w:pPr>
              <w:pStyle w:val="TableParagraph"/>
              <w:rPr>
                <w:rFonts w:ascii="Times New Roman"/>
                <w:sz w:val="22"/>
              </w:rPr>
            </w:pPr>
          </w:p>
        </w:tc>
      </w:tr>
    </w:tbl>
    <w:p>
      <w:pPr>
        <w:spacing w:after="0"/>
        <w:rPr>
          <w:rFonts w:ascii="Times New Roman"/>
          <w:sz w:val="22"/>
        </w:rPr>
        <w:sectPr>
          <w:headerReference w:type="default" r:id="rId634"/>
          <w:footerReference w:type="default" r:id="rId635"/>
          <w:pgSz w:w="12240" w:h="15840"/>
          <w:pgMar w:header="722" w:footer="623" w:top="980" w:bottom="820" w:left="1220" w:right="1140"/>
        </w:sectPr>
      </w:pPr>
    </w:p>
    <w:p>
      <w:pPr>
        <w:pStyle w:val="BodyText"/>
        <w:spacing w:before="71"/>
        <w:rPr>
          <w:rFonts w:ascii="Arial"/>
          <w:b/>
          <w:sz w:val="32"/>
        </w:rPr>
      </w:pPr>
    </w:p>
    <w:p>
      <w:pPr>
        <w:pStyle w:val="Heading1"/>
        <w:ind w:left="640"/>
      </w:pPr>
      <w:r>
        <w:rPr/>
        <w:t>APPENDIX</w:t>
      </w:r>
      <w:r>
        <w:rPr>
          <w:spacing w:val="-8"/>
        </w:rPr>
        <w:t> </w:t>
      </w:r>
      <w:r>
        <w:rPr>
          <w:spacing w:val="-10"/>
        </w:rPr>
        <w:t>B</w:t>
      </w:r>
    </w:p>
    <w:p>
      <w:pPr>
        <w:pStyle w:val="BodyText"/>
        <w:rPr>
          <w:rFonts w:ascii="Arial"/>
          <w:b/>
          <w:sz w:val="32"/>
        </w:rPr>
      </w:pPr>
    </w:p>
    <w:p>
      <w:pPr>
        <w:pStyle w:val="BodyText"/>
        <w:rPr>
          <w:rFonts w:ascii="Arial"/>
          <w:b/>
          <w:sz w:val="32"/>
        </w:rPr>
      </w:pPr>
    </w:p>
    <w:p>
      <w:pPr>
        <w:pStyle w:val="BodyText"/>
        <w:rPr>
          <w:rFonts w:ascii="Arial"/>
          <w:b/>
          <w:sz w:val="32"/>
        </w:rPr>
      </w:pPr>
    </w:p>
    <w:p>
      <w:pPr>
        <w:pStyle w:val="BodyText"/>
        <w:rPr>
          <w:rFonts w:ascii="Arial"/>
          <w:b/>
          <w:sz w:val="32"/>
        </w:rPr>
      </w:pPr>
    </w:p>
    <w:p>
      <w:pPr>
        <w:pStyle w:val="BodyText"/>
        <w:rPr>
          <w:rFonts w:ascii="Arial"/>
          <w:b/>
          <w:sz w:val="32"/>
        </w:rPr>
      </w:pPr>
    </w:p>
    <w:p>
      <w:pPr>
        <w:pStyle w:val="BodyText"/>
        <w:rPr>
          <w:rFonts w:ascii="Arial"/>
          <w:b/>
          <w:sz w:val="32"/>
        </w:rPr>
      </w:pPr>
    </w:p>
    <w:p>
      <w:pPr>
        <w:pStyle w:val="BodyText"/>
        <w:rPr>
          <w:rFonts w:ascii="Arial"/>
          <w:b/>
          <w:sz w:val="32"/>
        </w:rPr>
      </w:pPr>
    </w:p>
    <w:p>
      <w:pPr>
        <w:pStyle w:val="BodyText"/>
        <w:rPr>
          <w:rFonts w:ascii="Arial"/>
          <w:b/>
          <w:sz w:val="32"/>
        </w:rPr>
      </w:pPr>
    </w:p>
    <w:p>
      <w:pPr>
        <w:pStyle w:val="BodyText"/>
        <w:rPr>
          <w:rFonts w:ascii="Arial"/>
          <w:b/>
          <w:sz w:val="32"/>
        </w:rPr>
      </w:pPr>
    </w:p>
    <w:p>
      <w:pPr>
        <w:pStyle w:val="BodyText"/>
        <w:rPr>
          <w:rFonts w:ascii="Arial"/>
          <w:b/>
          <w:sz w:val="32"/>
        </w:rPr>
      </w:pPr>
    </w:p>
    <w:p>
      <w:pPr>
        <w:pStyle w:val="BodyText"/>
        <w:rPr>
          <w:rFonts w:ascii="Arial"/>
          <w:b/>
          <w:sz w:val="32"/>
        </w:rPr>
      </w:pPr>
    </w:p>
    <w:p>
      <w:pPr>
        <w:pStyle w:val="BodyText"/>
        <w:rPr>
          <w:rFonts w:ascii="Arial"/>
          <w:b/>
          <w:sz w:val="32"/>
        </w:rPr>
      </w:pPr>
    </w:p>
    <w:p>
      <w:pPr>
        <w:pStyle w:val="BodyText"/>
        <w:rPr>
          <w:rFonts w:ascii="Arial"/>
          <w:b/>
          <w:sz w:val="32"/>
        </w:rPr>
      </w:pPr>
    </w:p>
    <w:p>
      <w:pPr>
        <w:pStyle w:val="BodyText"/>
        <w:rPr>
          <w:rFonts w:ascii="Arial"/>
          <w:b/>
          <w:sz w:val="32"/>
        </w:rPr>
      </w:pPr>
    </w:p>
    <w:p>
      <w:pPr>
        <w:pStyle w:val="BodyText"/>
        <w:spacing w:before="118"/>
        <w:rPr>
          <w:rFonts w:ascii="Arial"/>
          <w:b/>
          <w:sz w:val="32"/>
        </w:rPr>
      </w:pPr>
    </w:p>
    <w:p>
      <w:pPr>
        <w:spacing w:before="0"/>
        <w:ind w:left="1228" w:right="590" w:firstLine="0"/>
        <w:jc w:val="center"/>
        <w:rPr>
          <w:rFonts w:ascii="Arial"/>
          <w:b/>
          <w:sz w:val="36"/>
        </w:rPr>
      </w:pPr>
      <w:r>
        <w:rPr>
          <w:rFonts w:ascii="Arial"/>
          <w:b/>
          <w:sz w:val="36"/>
        </w:rPr>
        <w:t>EXHIBITS</w:t>
      </w:r>
      <w:r>
        <w:rPr>
          <w:rFonts w:ascii="Arial"/>
          <w:b/>
          <w:spacing w:val="-10"/>
          <w:sz w:val="36"/>
        </w:rPr>
        <w:t> </w:t>
      </w:r>
      <w:r>
        <w:rPr>
          <w:rFonts w:ascii="Arial"/>
          <w:b/>
          <w:sz w:val="36"/>
        </w:rPr>
        <w:t>ON</w:t>
      </w:r>
      <w:r>
        <w:rPr>
          <w:rFonts w:ascii="Arial"/>
          <w:b/>
          <w:spacing w:val="-10"/>
          <w:sz w:val="36"/>
        </w:rPr>
        <w:t> </w:t>
      </w:r>
      <w:r>
        <w:rPr>
          <w:rFonts w:ascii="Arial"/>
          <w:b/>
          <w:sz w:val="36"/>
        </w:rPr>
        <w:t>ADVERTISEMENT</w:t>
      </w:r>
      <w:r>
        <w:rPr>
          <w:rFonts w:ascii="Arial"/>
          <w:b/>
          <w:spacing w:val="-9"/>
          <w:sz w:val="36"/>
        </w:rPr>
        <w:t> </w:t>
      </w:r>
      <w:r>
        <w:rPr>
          <w:rFonts w:ascii="Arial"/>
          <w:b/>
          <w:sz w:val="36"/>
        </w:rPr>
        <w:t>FOR</w:t>
      </w:r>
      <w:r>
        <w:rPr>
          <w:rFonts w:ascii="Arial"/>
          <w:b/>
          <w:spacing w:val="-10"/>
          <w:sz w:val="36"/>
        </w:rPr>
        <w:t> </w:t>
      </w:r>
      <w:r>
        <w:rPr>
          <w:rFonts w:ascii="Arial"/>
          <w:b/>
          <w:sz w:val="36"/>
        </w:rPr>
        <w:t>SALE</w:t>
      </w:r>
      <w:r>
        <w:rPr>
          <w:rFonts w:ascii="Arial"/>
          <w:b/>
          <w:spacing w:val="-10"/>
          <w:sz w:val="36"/>
        </w:rPr>
        <w:t> </w:t>
      </w:r>
      <w:r>
        <w:rPr>
          <w:rFonts w:ascii="Arial"/>
          <w:b/>
          <w:sz w:val="36"/>
        </w:rPr>
        <w:t>OF BEDSPACES BY STUDENTS</w:t>
      </w:r>
    </w:p>
    <w:p>
      <w:pPr>
        <w:spacing w:after="0"/>
        <w:jc w:val="center"/>
        <w:rPr>
          <w:rFonts w:ascii="Arial"/>
          <w:sz w:val="36"/>
        </w:rPr>
        <w:sectPr>
          <w:headerReference w:type="default" r:id="rId636"/>
          <w:footerReference w:type="default" r:id="rId637"/>
          <w:pgSz w:w="12240" w:h="15840"/>
          <w:pgMar w:header="722" w:footer="623" w:top="980" w:bottom="820" w:left="1220" w:right="1140"/>
        </w:sectPr>
      </w:pPr>
    </w:p>
    <w:p>
      <w:pPr>
        <w:pStyle w:val="BodyText"/>
        <w:spacing w:before="222"/>
        <w:rPr>
          <w:rFonts w:ascii="Arial"/>
          <w:b/>
          <w:sz w:val="20"/>
        </w:rPr>
      </w:pPr>
    </w:p>
    <w:p>
      <w:pPr>
        <w:pStyle w:val="BodyText"/>
        <w:ind w:left="940"/>
        <w:rPr>
          <w:rFonts w:ascii="Arial"/>
          <w:sz w:val="20"/>
        </w:rPr>
      </w:pPr>
      <w:r>
        <w:rPr>
          <w:rFonts w:ascii="Arial"/>
          <w:sz w:val="20"/>
        </w:rPr>
        <w:drawing>
          <wp:inline distT="0" distB="0" distL="0" distR="0">
            <wp:extent cx="5456489" cy="5201793"/>
            <wp:effectExtent l="0" t="0" r="0" b="0"/>
            <wp:docPr id="639" name="Image 639"/>
            <wp:cNvGraphicFramePr>
              <a:graphicFrameLocks/>
            </wp:cNvGraphicFramePr>
            <a:graphic>
              <a:graphicData uri="http://schemas.openxmlformats.org/drawingml/2006/picture">
                <pic:pic>
                  <pic:nvPicPr>
                    <pic:cNvPr id="639" name="Image 639"/>
                    <pic:cNvPicPr/>
                  </pic:nvPicPr>
                  <pic:blipFill>
                    <a:blip r:embed="rId640" cstate="print"/>
                    <a:stretch>
                      <a:fillRect/>
                    </a:stretch>
                  </pic:blipFill>
                  <pic:spPr>
                    <a:xfrm>
                      <a:off x="0" y="0"/>
                      <a:ext cx="5456489" cy="5201793"/>
                    </a:xfrm>
                    <a:prstGeom prst="rect">
                      <a:avLst/>
                    </a:prstGeom>
                  </pic:spPr>
                </pic:pic>
              </a:graphicData>
            </a:graphic>
          </wp:inline>
        </w:drawing>
      </w:r>
      <w:r>
        <w:rPr>
          <w:rFonts w:ascii="Arial"/>
          <w:sz w:val="20"/>
        </w:rPr>
      </w:r>
    </w:p>
    <w:p>
      <w:pPr>
        <w:spacing w:after="0"/>
        <w:rPr>
          <w:rFonts w:ascii="Arial"/>
          <w:sz w:val="20"/>
        </w:rPr>
        <w:sectPr>
          <w:headerReference w:type="default" r:id="rId638"/>
          <w:footerReference w:type="default" r:id="rId639"/>
          <w:pgSz w:w="12240" w:h="15840"/>
          <w:pgMar w:header="722" w:footer="623" w:top="980" w:bottom="820" w:left="1220" w:right="1140"/>
        </w:sectPr>
      </w:pPr>
    </w:p>
    <w:p>
      <w:pPr>
        <w:pStyle w:val="BodyText"/>
        <w:spacing w:before="217"/>
        <w:rPr>
          <w:rFonts w:ascii="Arial"/>
          <w:b/>
          <w:sz w:val="20"/>
        </w:rPr>
      </w:pPr>
    </w:p>
    <w:p>
      <w:pPr>
        <w:pStyle w:val="BodyText"/>
        <w:ind w:left="220"/>
        <w:rPr>
          <w:rFonts w:ascii="Arial"/>
          <w:sz w:val="20"/>
        </w:rPr>
      </w:pPr>
      <w:r>
        <w:rPr>
          <w:rFonts w:ascii="Arial"/>
          <w:sz w:val="20"/>
        </w:rPr>
        <w:drawing>
          <wp:inline distT="0" distB="0" distL="0" distR="0">
            <wp:extent cx="5678848" cy="7500080"/>
            <wp:effectExtent l="0" t="0" r="0" b="0"/>
            <wp:docPr id="642" name="Image 642"/>
            <wp:cNvGraphicFramePr>
              <a:graphicFrameLocks/>
            </wp:cNvGraphicFramePr>
            <a:graphic>
              <a:graphicData uri="http://schemas.openxmlformats.org/drawingml/2006/picture">
                <pic:pic>
                  <pic:nvPicPr>
                    <pic:cNvPr id="642" name="Image 642"/>
                    <pic:cNvPicPr/>
                  </pic:nvPicPr>
                  <pic:blipFill>
                    <a:blip r:embed="rId643" cstate="print"/>
                    <a:stretch>
                      <a:fillRect/>
                    </a:stretch>
                  </pic:blipFill>
                  <pic:spPr>
                    <a:xfrm>
                      <a:off x="0" y="0"/>
                      <a:ext cx="5678848" cy="7500080"/>
                    </a:xfrm>
                    <a:prstGeom prst="rect">
                      <a:avLst/>
                    </a:prstGeom>
                  </pic:spPr>
                </pic:pic>
              </a:graphicData>
            </a:graphic>
          </wp:inline>
        </w:drawing>
      </w:r>
      <w:r>
        <w:rPr>
          <w:rFonts w:ascii="Arial"/>
          <w:sz w:val="20"/>
        </w:rPr>
      </w:r>
    </w:p>
    <w:p>
      <w:pPr>
        <w:spacing w:after="0"/>
        <w:rPr>
          <w:rFonts w:ascii="Arial"/>
          <w:sz w:val="20"/>
        </w:rPr>
        <w:sectPr>
          <w:headerReference w:type="default" r:id="rId641"/>
          <w:footerReference w:type="default" r:id="rId642"/>
          <w:pgSz w:w="12240" w:h="15840"/>
          <w:pgMar w:header="722" w:footer="623" w:top="980" w:bottom="820" w:left="1220" w:right="1140"/>
        </w:sectPr>
      </w:pPr>
    </w:p>
    <w:p>
      <w:pPr>
        <w:pStyle w:val="BodyText"/>
        <w:ind w:left="460"/>
        <w:rPr>
          <w:rFonts w:ascii="Arial"/>
          <w:sz w:val="20"/>
        </w:rPr>
      </w:pPr>
      <w:r>
        <w:rPr>
          <w:rFonts w:ascii="Arial"/>
          <w:sz w:val="20"/>
        </w:rPr>
        <mc:AlternateContent>
          <mc:Choice Requires="wps">
            <w:drawing>
              <wp:inline distT="0" distB="0" distL="0" distR="0">
                <wp:extent cx="5828030" cy="6047740"/>
                <wp:effectExtent l="0" t="0" r="0" b="635"/>
                <wp:docPr id="644" name="Group 644"/>
                <wp:cNvGraphicFramePr>
                  <a:graphicFrameLocks/>
                </wp:cNvGraphicFramePr>
                <a:graphic>
                  <a:graphicData uri="http://schemas.microsoft.com/office/word/2010/wordprocessingGroup">
                    <wpg:wgp>
                      <wpg:cNvPr id="644" name="Group 644"/>
                      <wpg:cNvGrpSpPr/>
                      <wpg:grpSpPr>
                        <a:xfrm>
                          <a:off x="0" y="0"/>
                          <a:ext cx="5828030" cy="6047740"/>
                          <a:chExt cx="5828030" cy="6047740"/>
                        </a:xfrm>
                      </wpg:grpSpPr>
                      <pic:pic>
                        <pic:nvPicPr>
                          <pic:cNvPr id="645" name="Image 645"/>
                          <pic:cNvPicPr/>
                        </pic:nvPicPr>
                        <pic:blipFill>
                          <a:blip r:embed="rId646" cstate="print"/>
                          <a:stretch>
                            <a:fillRect/>
                          </a:stretch>
                        </pic:blipFill>
                        <pic:spPr>
                          <a:xfrm>
                            <a:off x="0" y="0"/>
                            <a:ext cx="5827776" cy="6047232"/>
                          </a:xfrm>
                          <a:prstGeom prst="rect">
                            <a:avLst/>
                          </a:prstGeom>
                        </pic:spPr>
                      </pic:pic>
                      <wps:wsp>
                        <wps:cNvPr id="646" name="Textbox 646"/>
                        <wps:cNvSpPr txBox="1"/>
                        <wps:spPr>
                          <a:xfrm>
                            <a:off x="2703576" y="458554"/>
                            <a:ext cx="241300" cy="168910"/>
                          </a:xfrm>
                          <a:prstGeom prst="rect">
                            <a:avLst/>
                          </a:prstGeom>
                        </wps:spPr>
                        <wps:txbx>
                          <w:txbxContent>
                            <w:p>
                              <w:pPr>
                                <w:spacing w:line="266" w:lineRule="exact" w:before="0"/>
                                <w:ind w:left="0" w:right="0" w:firstLine="0"/>
                                <w:jc w:val="left"/>
                                <w:rPr>
                                  <w:rFonts w:ascii="Times New Roman"/>
                                  <w:sz w:val="24"/>
                                </w:rPr>
                              </w:pPr>
                              <w:r>
                                <w:rPr>
                                  <w:rFonts w:ascii="Times New Roman"/>
                                  <w:spacing w:val="-5"/>
                                  <w:sz w:val="24"/>
                                </w:rPr>
                                <w:t>298</w:t>
                              </w:r>
                            </w:p>
                          </w:txbxContent>
                        </wps:txbx>
                        <wps:bodyPr wrap="square" lIns="0" tIns="0" rIns="0" bIns="0" rtlCol="0">
                          <a:noAutofit/>
                        </wps:bodyPr>
                      </wps:wsp>
                    </wpg:wgp>
                  </a:graphicData>
                </a:graphic>
              </wp:inline>
            </w:drawing>
          </mc:Choice>
          <mc:Fallback>
            <w:pict>
              <v:group style="width:458.9pt;height:476.2pt;mso-position-horizontal-relative:char;mso-position-vertical-relative:line" id="docshapegroup640" coordorigin="0,0" coordsize="9178,9524">
                <v:shape style="position:absolute;left:0;top:0;width:9178;height:9524" type="#_x0000_t75" id="docshape641" stroked="false">
                  <v:imagedata r:id="rId646" o:title=""/>
                </v:shape>
                <v:shape style="position:absolute;left:4257;top:722;width:380;height:266" type="#_x0000_t202" id="docshape642" filled="false" stroked="false">
                  <v:textbox inset="0,0,0,0">
                    <w:txbxContent>
                      <w:p>
                        <w:pPr>
                          <w:spacing w:line="266" w:lineRule="exact" w:before="0"/>
                          <w:ind w:left="0" w:right="0" w:firstLine="0"/>
                          <w:jc w:val="left"/>
                          <w:rPr>
                            <w:rFonts w:ascii="Times New Roman"/>
                            <w:sz w:val="24"/>
                          </w:rPr>
                        </w:pPr>
                        <w:r>
                          <w:rPr>
                            <w:rFonts w:ascii="Times New Roman"/>
                            <w:spacing w:val="-5"/>
                            <w:sz w:val="24"/>
                          </w:rPr>
                          <w:t>298</w:t>
                        </w:r>
                      </w:p>
                    </w:txbxContent>
                  </v:textbox>
                  <w10:wrap type="none"/>
                </v:shape>
              </v:group>
            </w:pict>
          </mc:Fallback>
        </mc:AlternateContent>
      </w:r>
      <w:r>
        <w:rPr>
          <w:rFonts w:ascii="Arial"/>
          <w:sz w:val="20"/>
        </w:rPr>
      </w:r>
    </w:p>
    <w:p>
      <w:pPr>
        <w:spacing w:after="0"/>
        <w:rPr>
          <w:rFonts w:ascii="Arial"/>
          <w:sz w:val="20"/>
        </w:rPr>
        <w:sectPr>
          <w:headerReference w:type="default" r:id="rId644"/>
          <w:footerReference w:type="default" r:id="rId645"/>
          <w:pgSz w:w="12240" w:h="15840"/>
          <w:pgMar w:header="0" w:footer="623" w:top="0" w:bottom="820" w:left="1220" w:right="1140"/>
        </w:sectPr>
      </w:pPr>
    </w:p>
    <w:p>
      <w:pPr>
        <w:pStyle w:val="BodyText"/>
        <w:rPr>
          <w:rFonts w:ascii="Arial"/>
          <w:b/>
          <w:sz w:val="20"/>
        </w:rPr>
      </w:pPr>
    </w:p>
    <w:p>
      <w:pPr>
        <w:pStyle w:val="BodyText"/>
        <w:spacing w:before="6"/>
        <w:rPr>
          <w:rFonts w:ascii="Arial"/>
          <w:b/>
          <w:sz w:val="20"/>
        </w:rPr>
      </w:pPr>
    </w:p>
    <w:p>
      <w:pPr>
        <w:pStyle w:val="BodyText"/>
        <w:ind w:left="580"/>
        <w:rPr>
          <w:rFonts w:ascii="Arial"/>
          <w:sz w:val="20"/>
        </w:rPr>
      </w:pPr>
      <w:r>
        <w:rPr>
          <w:rFonts w:ascii="Arial"/>
          <w:sz w:val="20"/>
        </w:rPr>
        <w:drawing>
          <wp:inline distT="0" distB="0" distL="0" distR="0">
            <wp:extent cx="5703720" cy="8091678"/>
            <wp:effectExtent l="0" t="0" r="0" b="0"/>
            <wp:docPr id="649" name="Image 649"/>
            <wp:cNvGraphicFramePr>
              <a:graphicFrameLocks/>
            </wp:cNvGraphicFramePr>
            <a:graphic>
              <a:graphicData uri="http://schemas.openxmlformats.org/drawingml/2006/picture">
                <pic:pic>
                  <pic:nvPicPr>
                    <pic:cNvPr id="649" name="Image 649"/>
                    <pic:cNvPicPr/>
                  </pic:nvPicPr>
                  <pic:blipFill>
                    <a:blip r:embed="rId649" cstate="print"/>
                    <a:stretch>
                      <a:fillRect/>
                    </a:stretch>
                  </pic:blipFill>
                  <pic:spPr>
                    <a:xfrm>
                      <a:off x="0" y="0"/>
                      <a:ext cx="5703720" cy="8091678"/>
                    </a:xfrm>
                    <a:prstGeom prst="rect">
                      <a:avLst/>
                    </a:prstGeom>
                  </pic:spPr>
                </pic:pic>
              </a:graphicData>
            </a:graphic>
          </wp:inline>
        </w:drawing>
      </w:r>
      <w:r>
        <w:rPr>
          <w:rFonts w:ascii="Arial"/>
          <w:sz w:val="20"/>
        </w:rPr>
      </w:r>
    </w:p>
    <w:p>
      <w:pPr>
        <w:spacing w:after="0"/>
        <w:rPr>
          <w:rFonts w:ascii="Arial"/>
          <w:sz w:val="20"/>
        </w:rPr>
        <w:sectPr>
          <w:headerReference w:type="default" r:id="rId647"/>
          <w:footerReference w:type="default" r:id="rId648"/>
          <w:pgSz w:w="12240" w:h="15840"/>
          <w:pgMar w:header="722" w:footer="623" w:top="980" w:bottom="820" w:left="1220" w:right="1140"/>
        </w:sectPr>
      </w:pPr>
    </w:p>
    <w:p>
      <w:pPr>
        <w:pStyle w:val="BodyText"/>
        <w:spacing w:before="222"/>
        <w:rPr>
          <w:rFonts w:ascii="Arial"/>
          <w:b/>
          <w:sz w:val="20"/>
        </w:rPr>
      </w:pPr>
    </w:p>
    <w:p>
      <w:pPr>
        <w:pStyle w:val="BodyText"/>
        <w:ind w:left="220"/>
        <w:rPr>
          <w:rFonts w:ascii="Arial"/>
          <w:sz w:val="20"/>
        </w:rPr>
      </w:pPr>
      <w:r>
        <w:rPr>
          <w:rFonts w:ascii="Arial"/>
          <w:sz w:val="20"/>
        </w:rPr>
        <w:drawing>
          <wp:inline distT="0" distB="0" distL="0" distR="0">
            <wp:extent cx="5665600" cy="7594758"/>
            <wp:effectExtent l="0" t="0" r="0" b="0"/>
            <wp:docPr id="652" name="Image 652"/>
            <wp:cNvGraphicFramePr>
              <a:graphicFrameLocks/>
            </wp:cNvGraphicFramePr>
            <a:graphic>
              <a:graphicData uri="http://schemas.openxmlformats.org/drawingml/2006/picture">
                <pic:pic>
                  <pic:nvPicPr>
                    <pic:cNvPr id="652" name="Image 652"/>
                    <pic:cNvPicPr/>
                  </pic:nvPicPr>
                  <pic:blipFill>
                    <a:blip r:embed="rId652" cstate="print"/>
                    <a:stretch>
                      <a:fillRect/>
                    </a:stretch>
                  </pic:blipFill>
                  <pic:spPr>
                    <a:xfrm>
                      <a:off x="0" y="0"/>
                      <a:ext cx="5665600" cy="7594758"/>
                    </a:xfrm>
                    <a:prstGeom prst="rect">
                      <a:avLst/>
                    </a:prstGeom>
                  </pic:spPr>
                </pic:pic>
              </a:graphicData>
            </a:graphic>
          </wp:inline>
        </w:drawing>
      </w:r>
      <w:r>
        <w:rPr>
          <w:rFonts w:ascii="Arial"/>
          <w:sz w:val="20"/>
        </w:rPr>
      </w:r>
    </w:p>
    <w:p>
      <w:pPr>
        <w:spacing w:after="0"/>
        <w:rPr>
          <w:rFonts w:ascii="Arial"/>
          <w:sz w:val="20"/>
        </w:rPr>
        <w:sectPr>
          <w:headerReference w:type="default" r:id="rId650"/>
          <w:footerReference w:type="default" r:id="rId651"/>
          <w:pgSz w:w="12240" w:h="15840"/>
          <w:pgMar w:header="722" w:footer="623" w:top="980" w:bottom="820" w:left="1220" w:right="1140"/>
        </w:sectPr>
      </w:pPr>
    </w:p>
    <w:p>
      <w:pPr>
        <w:pStyle w:val="BodyText"/>
        <w:spacing w:before="222"/>
        <w:rPr>
          <w:rFonts w:ascii="Arial"/>
          <w:b/>
          <w:sz w:val="20"/>
        </w:rPr>
      </w:pPr>
    </w:p>
    <w:p>
      <w:pPr>
        <w:pStyle w:val="BodyText"/>
        <w:ind w:left="220"/>
        <w:rPr>
          <w:rFonts w:ascii="Arial"/>
          <w:sz w:val="20"/>
        </w:rPr>
      </w:pPr>
      <w:r>
        <w:rPr>
          <w:rFonts w:ascii="Arial"/>
          <w:sz w:val="20"/>
        </w:rPr>
        <w:drawing>
          <wp:inline distT="0" distB="0" distL="0" distR="0">
            <wp:extent cx="5447499" cy="8168258"/>
            <wp:effectExtent l="0" t="0" r="0" b="0"/>
            <wp:docPr id="655" name="Image 655"/>
            <wp:cNvGraphicFramePr>
              <a:graphicFrameLocks/>
            </wp:cNvGraphicFramePr>
            <a:graphic>
              <a:graphicData uri="http://schemas.openxmlformats.org/drawingml/2006/picture">
                <pic:pic>
                  <pic:nvPicPr>
                    <pic:cNvPr id="655" name="Image 655"/>
                    <pic:cNvPicPr/>
                  </pic:nvPicPr>
                  <pic:blipFill>
                    <a:blip r:embed="rId655" cstate="print"/>
                    <a:stretch>
                      <a:fillRect/>
                    </a:stretch>
                  </pic:blipFill>
                  <pic:spPr>
                    <a:xfrm>
                      <a:off x="0" y="0"/>
                      <a:ext cx="5447499" cy="8168258"/>
                    </a:xfrm>
                    <a:prstGeom prst="rect">
                      <a:avLst/>
                    </a:prstGeom>
                  </pic:spPr>
                </pic:pic>
              </a:graphicData>
            </a:graphic>
          </wp:inline>
        </w:drawing>
      </w:r>
      <w:r>
        <w:rPr>
          <w:rFonts w:ascii="Arial"/>
          <w:sz w:val="20"/>
        </w:rPr>
      </w:r>
    </w:p>
    <w:p>
      <w:pPr>
        <w:spacing w:after="0"/>
        <w:rPr>
          <w:rFonts w:ascii="Arial"/>
          <w:sz w:val="20"/>
        </w:rPr>
        <w:sectPr>
          <w:headerReference w:type="default" r:id="rId653"/>
          <w:footerReference w:type="default" r:id="rId654"/>
          <w:pgSz w:w="12240" w:h="15840"/>
          <w:pgMar w:header="722" w:footer="623" w:top="980" w:bottom="820" w:left="1220" w:right="1140"/>
        </w:sectPr>
      </w:pPr>
    </w:p>
    <w:p>
      <w:pPr>
        <w:pStyle w:val="BodyText"/>
        <w:spacing w:before="222"/>
        <w:rPr>
          <w:rFonts w:ascii="Arial"/>
          <w:b/>
          <w:sz w:val="20"/>
        </w:rPr>
      </w:pPr>
    </w:p>
    <w:p>
      <w:pPr>
        <w:pStyle w:val="BodyText"/>
        <w:ind w:left="220"/>
        <w:rPr>
          <w:rFonts w:ascii="Arial"/>
          <w:sz w:val="20"/>
        </w:rPr>
      </w:pPr>
      <w:r>
        <w:rPr>
          <w:rFonts w:ascii="Arial"/>
          <w:sz w:val="20"/>
        </w:rPr>
        <w:drawing>
          <wp:inline distT="0" distB="0" distL="0" distR="0">
            <wp:extent cx="5423714" cy="8408098"/>
            <wp:effectExtent l="0" t="0" r="0" b="0"/>
            <wp:docPr id="658" name="Image 658"/>
            <wp:cNvGraphicFramePr>
              <a:graphicFrameLocks/>
            </wp:cNvGraphicFramePr>
            <a:graphic>
              <a:graphicData uri="http://schemas.openxmlformats.org/drawingml/2006/picture">
                <pic:pic>
                  <pic:nvPicPr>
                    <pic:cNvPr id="658" name="Image 658"/>
                    <pic:cNvPicPr/>
                  </pic:nvPicPr>
                  <pic:blipFill>
                    <a:blip r:embed="rId658" cstate="print"/>
                    <a:stretch>
                      <a:fillRect/>
                    </a:stretch>
                  </pic:blipFill>
                  <pic:spPr>
                    <a:xfrm>
                      <a:off x="0" y="0"/>
                      <a:ext cx="5423714" cy="8408098"/>
                    </a:xfrm>
                    <a:prstGeom prst="rect">
                      <a:avLst/>
                    </a:prstGeom>
                  </pic:spPr>
                </pic:pic>
              </a:graphicData>
            </a:graphic>
          </wp:inline>
        </w:drawing>
      </w:r>
      <w:r>
        <w:rPr>
          <w:rFonts w:ascii="Arial"/>
          <w:sz w:val="20"/>
        </w:rPr>
      </w:r>
    </w:p>
    <w:p>
      <w:pPr>
        <w:spacing w:after="0"/>
        <w:rPr>
          <w:rFonts w:ascii="Arial"/>
          <w:sz w:val="20"/>
        </w:rPr>
        <w:sectPr>
          <w:headerReference w:type="default" r:id="rId656"/>
          <w:footerReference w:type="default" r:id="rId657"/>
          <w:pgSz w:w="12240" w:h="15840"/>
          <w:pgMar w:header="722" w:footer="623" w:top="980" w:bottom="820" w:left="1220" w:right="1140"/>
        </w:sectPr>
      </w:pPr>
    </w:p>
    <w:p>
      <w:pPr>
        <w:pStyle w:val="BodyText"/>
        <w:spacing w:before="222"/>
        <w:rPr>
          <w:rFonts w:ascii="Arial"/>
          <w:b/>
          <w:sz w:val="20"/>
        </w:rPr>
      </w:pPr>
    </w:p>
    <w:p>
      <w:pPr>
        <w:pStyle w:val="BodyText"/>
        <w:ind w:left="220"/>
        <w:rPr>
          <w:rFonts w:ascii="Arial"/>
          <w:sz w:val="20"/>
        </w:rPr>
      </w:pPr>
      <w:r>
        <w:rPr>
          <w:rFonts w:ascii="Arial"/>
          <w:sz w:val="20"/>
        </w:rPr>
        <w:drawing>
          <wp:inline distT="0" distB="0" distL="0" distR="0">
            <wp:extent cx="5750871" cy="7440358"/>
            <wp:effectExtent l="0" t="0" r="0" b="0"/>
            <wp:docPr id="661" name="Image 661"/>
            <wp:cNvGraphicFramePr>
              <a:graphicFrameLocks/>
            </wp:cNvGraphicFramePr>
            <a:graphic>
              <a:graphicData uri="http://schemas.openxmlformats.org/drawingml/2006/picture">
                <pic:pic>
                  <pic:nvPicPr>
                    <pic:cNvPr id="661" name="Image 661"/>
                    <pic:cNvPicPr/>
                  </pic:nvPicPr>
                  <pic:blipFill>
                    <a:blip r:embed="rId661" cstate="print"/>
                    <a:stretch>
                      <a:fillRect/>
                    </a:stretch>
                  </pic:blipFill>
                  <pic:spPr>
                    <a:xfrm>
                      <a:off x="0" y="0"/>
                      <a:ext cx="5750871" cy="7440358"/>
                    </a:xfrm>
                    <a:prstGeom prst="rect">
                      <a:avLst/>
                    </a:prstGeom>
                  </pic:spPr>
                </pic:pic>
              </a:graphicData>
            </a:graphic>
          </wp:inline>
        </w:drawing>
      </w:r>
      <w:r>
        <w:rPr>
          <w:rFonts w:ascii="Arial"/>
          <w:sz w:val="20"/>
        </w:rPr>
      </w:r>
    </w:p>
    <w:p>
      <w:pPr>
        <w:spacing w:after="0"/>
        <w:rPr>
          <w:rFonts w:ascii="Arial"/>
          <w:sz w:val="20"/>
        </w:rPr>
        <w:sectPr>
          <w:headerReference w:type="default" r:id="rId659"/>
          <w:footerReference w:type="default" r:id="rId660"/>
          <w:pgSz w:w="12240" w:h="15840"/>
          <w:pgMar w:header="722" w:footer="623" w:top="980" w:bottom="820" w:left="1220" w:right="1140"/>
        </w:sectPr>
      </w:pPr>
    </w:p>
    <w:p>
      <w:pPr>
        <w:pStyle w:val="BodyText"/>
        <w:spacing w:before="71"/>
        <w:rPr>
          <w:rFonts w:ascii="Arial"/>
          <w:b/>
          <w:sz w:val="32"/>
        </w:rPr>
      </w:pPr>
    </w:p>
    <w:p>
      <w:pPr>
        <w:pStyle w:val="Heading1"/>
        <w:ind w:left="396" w:right="473"/>
      </w:pPr>
      <w:r>
        <w:rPr/>
        <w:t>APPENDIX</w:t>
      </w:r>
      <w:r>
        <w:rPr>
          <w:spacing w:val="-8"/>
        </w:rPr>
        <w:t> </w:t>
      </w:r>
      <w:r>
        <w:rPr>
          <w:spacing w:val="-10"/>
        </w:rPr>
        <w:t>C</w:t>
      </w:r>
    </w:p>
    <w:p>
      <w:pPr>
        <w:pStyle w:val="BodyText"/>
        <w:spacing w:before="6"/>
        <w:rPr>
          <w:rFonts w:ascii="Arial"/>
          <w:b/>
          <w:sz w:val="32"/>
        </w:rPr>
      </w:pPr>
    </w:p>
    <w:p>
      <w:pPr>
        <w:pStyle w:val="BodyText"/>
        <w:ind w:left="393" w:right="473"/>
        <w:jc w:val="center"/>
      </w:pPr>
      <w:r>
        <w:rPr>
          <w:u w:val="single"/>
        </w:rPr>
        <w:t>APPEDIX</w:t>
      </w:r>
      <w:r>
        <w:rPr>
          <w:spacing w:val="-15"/>
          <w:u w:val="single"/>
        </w:rPr>
        <w:t> </w:t>
      </w:r>
      <w:r>
        <w:rPr>
          <w:spacing w:val="-5"/>
          <w:u w:val="single"/>
        </w:rPr>
        <w:t>IX</w:t>
      </w:r>
    </w:p>
    <w:p>
      <w:pPr>
        <w:pStyle w:val="BodyText"/>
        <w:spacing w:line="237" w:lineRule="auto" w:before="5"/>
        <w:ind w:left="1228" w:right="1308"/>
        <w:jc w:val="center"/>
      </w:pPr>
      <w:r>
        <w:rPr>
          <w:u w:val="single"/>
        </w:rPr>
        <w:t>KREJCIE</w:t>
      </w:r>
      <w:r>
        <w:rPr>
          <w:spacing w:val="-8"/>
          <w:u w:val="single"/>
        </w:rPr>
        <w:t> </w:t>
      </w:r>
      <w:r>
        <w:rPr>
          <w:u w:val="single"/>
        </w:rPr>
        <w:t>AND</w:t>
      </w:r>
      <w:r>
        <w:rPr>
          <w:spacing w:val="-7"/>
          <w:u w:val="single"/>
        </w:rPr>
        <w:t> </w:t>
      </w:r>
      <w:r>
        <w:rPr>
          <w:u w:val="single"/>
        </w:rPr>
        <w:t>MORGAN’S</w:t>
      </w:r>
      <w:r>
        <w:rPr>
          <w:spacing w:val="-8"/>
          <w:u w:val="single"/>
        </w:rPr>
        <w:t> </w:t>
      </w:r>
      <w:r>
        <w:rPr>
          <w:u w:val="single"/>
        </w:rPr>
        <w:t>TABLE</w:t>
      </w:r>
      <w:r>
        <w:rPr>
          <w:spacing w:val="-8"/>
          <w:u w:val="single"/>
        </w:rPr>
        <w:t> </w:t>
      </w:r>
      <w:r>
        <w:rPr>
          <w:u w:val="single"/>
        </w:rPr>
        <w:t>FOR</w:t>
      </w:r>
      <w:r>
        <w:rPr>
          <w:spacing w:val="-7"/>
          <w:u w:val="single"/>
        </w:rPr>
        <w:t> </w:t>
      </w:r>
      <w:r>
        <w:rPr>
          <w:u w:val="single"/>
        </w:rPr>
        <w:t>DETERMING</w:t>
      </w:r>
      <w:r>
        <w:rPr>
          <w:spacing w:val="-6"/>
          <w:u w:val="single"/>
        </w:rPr>
        <w:t> </w:t>
      </w:r>
      <w:r>
        <w:rPr>
          <w:u w:val="single"/>
        </w:rPr>
        <w:t>SAMPLE</w:t>
      </w:r>
      <w:r>
        <w:rPr/>
        <w:t> </w:t>
      </w:r>
      <w:r>
        <w:rPr>
          <w:u w:val="single"/>
        </w:rPr>
        <w:t>SIZE FROM A GIVEN POPULATION</w:t>
      </w:r>
    </w:p>
    <w:p>
      <w:pPr>
        <w:pStyle w:val="BodyText"/>
      </w:pPr>
    </w:p>
    <w:p>
      <w:pPr>
        <w:pStyle w:val="BodyText"/>
        <w:spacing w:before="3"/>
      </w:pPr>
    </w:p>
    <w:p>
      <w:pPr>
        <w:pStyle w:val="BodyText"/>
        <w:spacing w:line="275" w:lineRule="exact"/>
        <w:ind w:left="395" w:right="473"/>
        <w:jc w:val="center"/>
      </w:pPr>
      <w:r>
        <w:rPr/>
        <w:t>TABLE</w:t>
      </w:r>
      <w:r>
        <w:rPr>
          <w:spacing w:val="-10"/>
        </w:rPr>
        <w:t> I</w:t>
      </w:r>
    </w:p>
    <w:p>
      <w:pPr>
        <w:pStyle w:val="BodyText"/>
        <w:spacing w:line="275" w:lineRule="exact"/>
        <w:ind w:left="398" w:right="473"/>
        <w:jc w:val="center"/>
      </w:pPr>
      <w:r>
        <w:rPr/>
        <w:t>Table</w:t>
      </w:r>
      <w:r>
        <w:rPr>
          <w:spacing w:val="-6"/>
        </w:rPr>
        <w:t> </w:t>
      </w:r>
      <w:r>
        <w:rPr/>
        <w:t>for</w:t>
      </w:r>
      <w:r>
        <w:rPr>
          <w:spacing w:val="-5"/>
        </w:rPr>
        <w:t> </w:t>
      </w:r>
      <w:r>
        <w:rPr/>
        <w:t>Determining</w:t>
      </w:r>
      <w:r>
        <w:rPr>
          <w:spacing w:val="-6"/>
        </w:rPr>
        <w:t> </w:t>
      </w:r>
      <w:r>
        <w:rPr/>
        <w:t>Sample</w:t>
      </w:r>
      <w:r>
        <w:rPr>
          <w:spacing w:val="-6"/>
        </w:rPr>
        <w:t> </w:t>
      </w:r>
      <w:r>
        <w:rPr/>
        <w:t>Size</w:t>
      </w:r>
      <w:r>
        <w:rPr>
          <w:spacing w:val="-6"/>
        </w:rPr>
        <w:t> </w:t>
      </w:r>
      <w:r>
        <w:rPr/>
        <w:t>from</w:t>
      </w:r>
      <w:r>
        <w:rPr>
          <w:spacing w:val="-14"/>
        </w:rPr>
        <w:t> </w:t>
      </w:r>
      <w:r>
        <w:rPr/>
        <w:t>a</w:t>
      </w:r>
      <w:r>
        <w:rPr>
          <w:spacing w:val="-6"/>
        </w:rPr>
        <w:t> </w:t>
      </w:r>
      <w:r>
        <w:rPr/>
        <w:t>Given</w:t>
      </w:r>
      <w:r>
        <w:rPr>
          <w:spacing w:val="-5"/>
        </w:rPr>
        <w:t> </w:t>
      </w:r>
      <w:r>
        <w:rPr>
          <w:spacing w:val="-2"/>
        </w:rPr>
        <w:t>Population</w:t>
      </w:r>
    </w:p>
    <w:p>
      <w:pPr>
        <w:pStyle w:val="BodyText"/>
        <w:rPr>
          <w:sz w:val="20"/>
        </w:rPr>
      </w:pPr>
    </w:p>
    <w:p>
      <w:pPr>
        <w:pStyle w:val="BodyText"/>
        <w:spacing w:before="103" w:after="1"/>
        <w:rPr>
          <w:sz w:val="20"/>
        </w:rPr>
      </w:pPr>
    </w:p>
    <w:tbl>
      <w:tblPr>
        <w:tblW w:w="0" w:type="auto"/>
        <w:jc w:val="left"/>
        <w:tblInd w:w="1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98"/>
        <w:gridCol w:w="570"/>
        <w:gridCol w:w="1264"/>
        <w:gridCol w:w="1543"/>
        <w:gridCol w:w="1409"/>
        <w:gridCol w:w="1812"/>
        <w:gridCol w:w="1573"/>
      </w:tblGrid>
      <w:tr>
        <w:trPr>
          <w:trHeight w:val="273" w:hRule="atLeast"/>
        </w:trPr>
        <w:tc>
          <w:tcPr>
            <w:tcW w:w="698" w:type="dxa"/>
            <w:tcBorders>
              <w:top w:val="single" w:sz="4" w:space="0" w:color="000000"/>
              <w:bottom w:val="single" w:sz="4" w:space="0" w:color="000000"/>
            </w:tcBorders>
          </w:tcPr>
          <w:p>
            <w:pPr>
              <w:pStyle w:val="TableParagraph"/>
              <w:spacing w:line="253" w:lineRule="exact"/>
              <w:ind w:left="117"/>
              <w:rPr>
                <w:sz w:val="24"/>
              </w:rPr>
            </w:pPr>
            <w:r>
              <w:rPr>
                <w:spacing w:val="-10"/>
                <w:sz w:val="24"/>
              </w:rPr>
              <w:t>N</w:t>
            </w:r>
          </w:p>
        </w:tc>
        <w:tc>
          <w:tcPr>
            <w:tcW w:w="1834" w:type="dxa"/>
            <w:gridSpan w:val="2"/>
            <w:tcBorders>
              <w:top w:val="single" w:sz="4" w:space="0" w:color="000000"/>
              <w:bottom w:val="single" w:sz="4" w:space="0" w:color="000000"/>
            </w:tcBorders>
          </w:tcPr>
          <w:p>
            <w:pPr>
              <w:pStyle w:val="TableParagraph"/>
              <w:spacing w:line="253" w:lineRule="exact"/>
              <w:ind w:left="220" w:right="108"/>
              <w:jc w:val="center"/>
              <w:rPr>
                <w:sz w:val="24"/>
              </w:rPr>
            </w:pPr>
            <w:r>
              <w:rPr>
                <w:spacing w:val="-10"/>
                <w:sz w:val="24"/>
              </w:rPr>
              <w:t>S</w:t>
            </w:r>
          </w:p>
        </w:tc>
        <w:tc>
          <w:tcPr>
            <w:tcW w:w="1543" w:type="dxa"/>
            <w:tcBorders>
              <w:top w:val="single" w:sz="4" w:space="0" w:color="000000"/>
              <w:bottom w:val="single" w:sz="4" w:space="0" w:color="000000"/>
            </w:tcBorders>
          </w:tcPr>
          <w:p>
            <w:pPr>
              <w:pStyle w:val="TableParagraph"/>
              <w:spacing w:line="253" w:lineRule="exact"/>
              <w:ind w:left="537"/>
              <w:rPr>
                <w:sz w:val="24"/>
              </w:rPr>
            </w:pPr>
            <w:r>
              <w:rPr>
                <w:spacing w:val="-10"/>
                <w:sz w:val="24"/>
              </w:rPr>
              <w:t>N</w:t>
            </w:r>
          </w:p>
        </w:tc>
        <w:tc>
          <w:tcPr>
            <w:tcW w:w="1409" w:type="dxa"/>
            <w:tcBorders>
              <w:top w:val="single" w:sz="4" w:space="0" w:color="000000"/>
              <w:bottom w:val="single" w:sz="4" w:space="0" w:color="000000"/>
            </w:tcBorders>
          </w:tcPr>
          <w:p>
            <w:pPr>
              <w:pStyle w:val="TableParagraph"/>
              <w:spacing w:line="253" w:lineRule="exact"/>
              <w:ind w:left="468"/>
              <w:rPr>
                <w:sz w:val="24"/>
              </w:rPr>
            </w:pPr>
            <w:r>
              <w:rPr>
                <w:spacing w:val="-10"/>
                <w:sz w:val="24"/>
              </w:rPr>
              <w:t>S</w:t>
            </w:r>
          </w:p>
        </w:tc>
        <w:tc>
          <w:tcPr>
            <w:tcW w:w="1812" w:type="dxa"/>
            <w:tcBorders>
              <w:top w:val="single" w:sz="4" w:space="0" w:color="000000"/>
              <w:bottom w:val="single" w:sz="4" w:space="0" w:color="000000"/>
            </w:tcBorders>
          </w:tcPr>
          <w:p>
            <w:pPr>
              <w:pStyle w:val="TableParagraph"/>
              <w:spacing w:line="253" w:lineRule="exact"/>
              <w:ind w:left="537"/>
              <w:rPr>
                <w:sz w:val="24"/>
              </w:rPr>
            </w:pPr>
            <w:r>
              <w:rPr>
                <w:spacing w:val="-10"/>
                <w:sz w:val="24"/>
              </w:rPr>
              <w:t>N</w:t>
            </w:r>
          </w:p>
        </w:tc>
        <w:tc>
          <w:tcPr>
            <w:tcW w:w="1573" w:type="dxa"/>
            <w:tcBorders>
              <w:top w:val="single" w:sz="4" w:space="0" w:color="000000"/>
              <w:bottom w:val="single" w:sz="4" w:space="0" w:color="000000"/>
            </w:tcBorders>
          </w:tcPr>
          <w:p>
            <w:pPr>
              <w:pStyle w:val="TableParagraph"/>
              <w:spacing w:line="253" w:lineRule="exact"/>
              <w:ind w:left="204"/>
              <w:rPr>
                <w:sz w:val="24"/>
              </w:rPr>
            </w:pPr>
            <w:r>
              <w:rPr>
                <w:spacing w:val="-10"/>
                <w:sz w:val="24"/>
              </w:rPr>
              <w:t>S</w:t>
            </w:r>
          </w:p>
        </w:tc>
      </w:tr>
      <w:tr>
        <w:trPr>
          <w:trHeight w:val="276" w:hRule="atLeast"/>
        </w:trPr>
        <w:tc>
          <w:tcPr>
            <w:tcW w:w="698" w:type="dxa"/>
            <w:tcBorders>
              <w:top w:val="single" w:sz="4" w:space="0" w:color="000000"/>
            </w:tcBorders>
          </w:tcPr>
          <w:p>
            <w:pPr>
              <w:pStyle w:val="TableParagraph"/>
              <w:spacing w:line="257" w:lineRule="exact"/>
              <w:ind w:left="117"/>
              <w:rPr>
                <w:sz w:val="24"/>
              </w:rPr>
            </w:pPr>
            <w:r>
              <w:rPr>
                <w:spacing w:val="-5"/>
                <w:sz w:val="24"/>
              </w:rPr>
              <w:t>10</w:t>
            </w:r>
          </w:p>
        </w:tc>
        <w:tc>
          <w:tcPr>
            <w:tcW w:w="1834" w:type="dxa"/>
            <w:gridSpan w:val="2"/>
            <w:tcBorders>
              <w:top w:val="single" w:sz="4" w:space="0" w:color="000000"/>
            </w:tcBorders>
          </w:tcPr>
          <w:p>
            <w:pPr>
              <w:pStyle w:val="TableParagraph"/>
              <w:spacing w:line="257" w:lineRule="exact"/>
              <w:ind w:left="220"/>
              <w:jc w:val="center"/>
              <w:rPr>
                <w:sz w:val="24"/>
              </w:rPr>
            </w:pPr>
            <w:r>
              <w:rPr>
                <w:spacing w:val="-5"/>
                <w:sz w:val="24"/>
              </w:rPr>
              <w:t>10</w:t>
            </w:r>
          </w:p>
        </w:tc>
        <w:tc>
          <w:tcPr>
            <w:tcW w:w="1543" w:type="dxa"/>
            <w:tcBorders>
              <w:top w:val="single" w:sz="4" w:space="0" w:color="000000"/>
            </w:tcBorders>
          </w:tcPr>
          <w:p>
            <w:pPr>
              <w:pStyle w:val="TableParagraph"/>
              <w:spacing w:line="257" w:lineRule="exact"/>
              <w:ind w:left="537"/>
              <w:rPr>
                <w:sz w:val="24"/>
              </w:rPr>
            </w:pPr>
            <w:r>
              <w:rPr>
                <w:spacing w:val="-5"/>
                <w:sz w:val="24"/>
              </w:rPr>
              <w:t>220</w:t>
            </w:r>
          </w:p>
        </w:tc>
        <w:tc>
          <w:tcPr>
            <w:tcW w:w="1409" w:type="dxa"/>
            <w:tcBorders>
              <w:top w:val="single" w:sz="4" w:space="0" w:color="000000"/>
            </w:tcBorders>
          </w:tcPr>
          <w:p>
            <w:pPr>
              <w:pStyle w:val="TableParagraph"/>
              <w:spacing w:line="257" w:lineRule="exact"/>
              <w:ind w:left="468"/>
              <w:rPr>
                <w:sz w:val="24"/>
              </w:rPr>
            </w:pPr>
            <w:r>
              <w:rPr>
                <w:spacing w:val="-5"/>
                <w:sz w:val="24"/>
              </w:rPr>
              <w:t>140</w:t>
            </w:r>
          </w:p>
        </w:tc>
        <w:tc>
          <w:tcPr>
            <w:tcW w:w="1812" w:type="dxa"/>
            <w:tcBorders>
              <w:top w:val="single" w:sz="4" w:space="0" w:color="000000"/>
            </w:tcBorders>
          </w:tcPr>
          <w:p>
            <w:pPr>
              <w:pStyle w:val="TableParagraph"/>
              <w:spacing w:line="257" w:lineRule="exact"/>
              <w:ind w:left="537"/>
              <w:rPr>
                <w:sz w:val="24"/>
              </w:rPr>
            </w:pPr>
            <w:r>
              <w:rPr>
                <w:spacing w:val="-4"/>
                <w:sz w:val="24"/>
              </w:rPr>
              <w:t>1200</w:t>
            </w:r>
          </w:p>
        </w:tc>
        <w:tc>
          <w:tcPr>
            <w:tcW w:w="1573" w:type="dxa"/>
            <w:tcBorders>
              <w:top w:val="single" w:sz="4" w:space="0" w:color="000000"/>
            </w:tcBorders>
          </w:tcPr>
          <w:p>
            <w:pPr>
              <w:pStyle w:val="TableParagraph"/>
              <w:spacing w:line="257" w:lineRule="exact"/>
              <w:ind w:left="204"/>
              <w:rPr>
                <w:sz w:val="24"/>
              </w:rPr>
            </w:pPr>
            <w:r>
              <w:rPr>
                <w:spacing w:val="-5"/>
                <w:sz w:val="24"/>
              </w:rPr>
              <w:t>291</w:t>
            </w:r>
          </w:p>
        </w:tc>
      </w:tr>
      <w:tr>
        <w:trPr>
          <w:trHeight w:val="275" w:hRule="atLeast"/>
        </w:trPr>
        <w:tc>
          <w:tcPr>
            <w:tcW w:w="698" w:type="dxa"/>
          </w:tcPr>
          <w:p>
            <w:pPr>
              <w:pStyle w:val="TableParagraph"/>
              <w:spacing w:line="256" w:lineRule="exact"/>
              <w:ind w:left="117"/>
              <w:rPr>
                <w:sz w:val="24"/>
              </w:rPr>
            </w:pPr>
            <w:r>
              <w:rPr>
                <w:spacing w:val="-5"/>
                <w:sz w:val="24"/>
              </w:rPr>
              <w:t>15</w:t>
            </w:r>
          </w:p>
        </w:tc>
        <w:tc>
          <w:tcPr>
            <w:tcW w:w="1834" w:type="dxa"/>
            <w:gridSpan w:val="2"/>
          </w:tcPr>
          <w:p>
            <w:pPr>
              <w:pStyle w:val="TableParagraph"/>
              <w:spacing w:line="256" w:lineRule="exact"/>
              <w:ind w:left="220"/>
              <w:jc w:val="center"/>
              <w:rPr>
                <w:sz w:val="24"/>
              </w:rPr>
            </w:pPr>
            <w:r>
              <w:rPr>
                <w:spacing w:val="-5"/>
                <w:sz w:val="24"/>
              </w:rPr>
              <w:t>14</w:t>
            </w:r>
          </w:p>
        </w:tc>
        <w:tc>
          <w:tcPr>
            <w:tcW w:w="1543" w:type="dxa"/>
          </w:tcPr>
          <w:p>
            <w:pPr>
              <w:pStyle w:val="TableParagraph"/>
              <w:spacing w:line="256" w:lineRule="exact"/>
              <w:ind w:left="537"/>
              <w:rPr>
                <w:sz w:val="24"/>
              </w:rPr>
            </w:pPr>
            <w:r>
              <w:rPr>
                <w:spacing w:val="-5"/>
                <w:sz w:val="24"/>
              </w:rPr>
              <w:t>230</w:t>
            </w:r>
          </w:p>
        </w:tc>
        <w:tc>
          <w:tcPr>
            <w:tcW w:w="1409" w:type="dxa"/>
          </w:tcPr>
          <w:p>
            <w:pPr>
              <w:pStyle w:val="TableParagraph"/>
              <w:spacing w:line="256" w:lineRule="exact"/>
              <w:ind w:left="468"/>
              <w:rPr>
                <w:sz w:val="24"/>
              </w:rPr>
            </w:pPr>
            <w:r>
              <w:rPr>
                <w:spacing w:val="-5"/>
                <w:sz w:val="24"/>
              </w:rPr>
              <w:t>144</w:t>
            </w:r>
          </w:p>
        </w:tc>
        <w:tc>
          <w:tcPr>
            <w:tcW w:w="1812" w:type="dxa"/>
          </w:tcPr>
          <w:p>
            <w:pPr>
              <w:pStyle w:val="TableParagraph"/>
              <w:spacing w:line="256" w:lineRule="exact"/>
              <w:ind w:left="537"/>
              <w:rPr>
                <w:sz w:val="24"/>
              </w:rPr>
            </w:pPr>
            <w:r>
              <w:rPr>
                <w:spacing w:val="-4"/>
                <w:sz w:val="24"/>
              </w:rPr>
              <w:t>1300</w:t>
            </w:r>
          </w:p>
        </w:tc>
        <w:tc>
          <w:tcPr>
            <w:tcW w:w="1573" w:type="dxa"/>
          </w:tcPr>
          <w:p>
            <w:pPr>
              <w:pStyle w:val="TableParagraph"/>
              <w:spacing w:line="256" w:lineRule="exact"/>
              <w:ind w:left="204"/>
              <w:rPr>
                <w:sz w:val="24"/>
              </w:rPr>
            </w:pPr>
            <w:r>
              <w:rPr>
                <w:spacing w:val="-5"/>
                <w:sz w:val="24"/>
              </w:rPr>
              <w:t>297</w:t>
            </w:r>
          </w:p>
        </w:tc>
      </w:tr>
      <w:tr>
        <w:trPr>
          <w:trHeight w:val="275" w:hRule="atLeast"/>
        </w:trPr>
        <w:tc>
          <w:tcPr>
            <w:tcW w:w="698" w:type="dxa"/>
          </w:tcPr>
          <w:p>
            <w:pPr>
              <w:pStyle w:val="TableParagraph"/>
              <w:spacing w:line="256" w:lineRule="exact"/>
              <w:ind w:left="117"/>
              <w:rPr>
                <w:sz w:val="24"/>
              </w:rPr>
            </w:pPr>
            <w:r>
              <w:rPr>
                <w:spacing w:val="-5"/>
                <w:sz w:val="24"/>
              </w:rPr>
              <w:t>20</w:t>
            </w:r>
          </w:p>
        </w:tc>
        <w:tc>
          <w:tcPr>
            <w:tcW w:w="1834" w:type="dxa"/>
            <w:gridSpan w:val="2"/>
          </w:tcPr>
          <w:p>
            <w:pPr>
              <w:pStyle w:val="TableParagraph"/>
              <w:spacing w:line="256" w:lineRule="exact"/>
              <w:ind w:left="220"/>
              <w:jc w:val="center"/>
              <w:rPr>
                <w:sz w:val="24"/>
              </w:rPr>
            </w:pPr>
            <w:r>
              <w:rPr>
                <w:spacing w:val="-5"/>
                <w:sz w:val="24"/>
              </w:rPr>
              <w:t>19</w:t>
            </w:r>
          </w:p>
        </w:tc>
        <w:tc>
          <w:tcPr>
            <w:tcW w:w="1543" w:type="dxa"/>
          </w:tcPr>
          <w:p>
            <w:pPr>
              <w:pStyle w:val="TableParagraph"/>
              <w:spacing w:line="256" w:lineRule="exact"/>
              <w:ind w:left="537"/>
              <w:rPr>
                <w:sz w:val="24"/>
              </w:rPr>
            </w:pPr>
            <w:r>
              <w:rPr>
                <w:spacing w:val="-5"/>
                <w:sz w:val="24"/>
              </w:rPr>
              <w:t>240</w:t>
            </w:r>
          </w:p>
        </w:tc>
        <w:tc>
          <w:tcPr>
            <w:tcW w:w="1409" w:type="dxa"/>
          </w:tcPr>
          <w:p>
            <w:pPr>
              <w:pStyle w:val="TableParagraph"/>
              <w:spacing w:line="256" w:lineRule="exact"/>
              <w:ind w:left="468"/>
              <w:rPr>
                <w:sz w:val="24"/>
              </w:rPr>
            </w:pPr>
            <w:r>
              <w:rPr>
                <w:spacing w:val="-5"/>
                <w:sz w:val="24"/>
              </w:rPr>
              <w:t>148</w:t>
            </w:r>
          </w:p>
        </w:tc>
        <w:tc>
          <w:tcPr>
            <w:tcW w:w="1812" w:type="dxa"/>
          </w:tcPr>
          <w:p>
            <w:pPr>
              <w:pStyle w:val="TableParagraph"/>
              <w:spacing w:line="256" w:lineRule="exact"/>
              <w:ind w:left="537"/>
              <w:rPr>
                <w:sz w:val="24"/>
              </w:rPr>
            </w:pPr>
            <w:r>
              <w:rPr>
                <w:spacing w:val="-4"/>
                <w:sz w:val="24"/>
              </w:rPr>
              <w:t>1400</w:t>
            </w:r>
          </w:p>
        </w:tc>
        <w:tc>
          <w:tcPr>
            <w:tcW w:w="1573" w:type="dxa"/>
          </w:tcPr>
          <w:p>
            <w:pPr>
              <w:pStyle w:val="TableParagraph"/>
              <w:spacing w:line="256" w:lineRule="exact"/>
              <w:ind w:left="204"/>
              <w:rPr>
                <w:sz w:val="24"/>
              </w:rPr>
            </w:pPr>
            <w:r>
              <w:rPr>
                <w:spacing w:val="-5"/>
                <w:sz w:val="24"/>
              </w:rPr>
              <w:t>302</w:t>
            </w:r>
          </w:p>
        </w:tc>
      </w:tr>
      <w:tr>
        <w:trPr>
          <w:trHeight w:val="276" w:hRule="atLeast"/>
        </w:trPr>
        <w:tc>
          <w:tcPr>
            <w:tcW w:w="698" w:type="dxa"/>
          </w:tcPr>
          <w:p>
            <w:pPr>
              <w:pStyle w:val="TableParagraph"/>
              <w:spacing w:line="256" w:lineRule="exact"/>
              <w:ind w:left="117"/>
              <w:rPr>
                <w:sz w:val="24"/>
              </w:rPr>
            </w:pPr>
            <w:r>
              <w:rPr>
                <w:spacing w:val="-5"/>
                <w:sz w:val="24"/>
              </w:rPr>
              <w:t>25</w:t>
            </w:r>
          </w:p>
        </w:tc>
        <w:tc>
          <w:tcPr>
            <w:tcW w:w="1834" w:type="dxa"/>
            <w:gridSpan w:val="2"/>
          </w:tcPr>
          <w:p>
            <w:pPr>
              <w:pStyle w:val="TableParagraph"/>
              <w:spacing w:line="256" w:lineRule="exact"/>
              <w:ind w:left="220"/>
              <w:jc w:val="center"/>
              <w:rPr>
                <w:sz w:val="24"/>
              </w:rPr>
            </w:pPr>
            <w:r>
              <w:rPr>
                <w:spacing w:val="-5"/>
                <w:sz w:val="24"/>
              </w:rPr>
              <w:t>24</w:t>
            </w:r>
          </w:p>
        </w:tc>
        <w:tc>
          <w:tcPr>
            <w:tcW w:w="1543" w:type="dxa"/>
          </w:tcPr>
          <w:p>
            <w:pPr>
              <w:pStyle w:val="TableParagraph"/>
              <w:spacing w:line="256" w:lineRule="exact"/>
              <w:ind w:left="537"/>
              <w:rPr>
                <w:sz w:val="24"/>
              </w:rPr>
            </w:pPr>
            <w:r>
              <w:rPr>
                <w:spacing w:val="-5"/>
                <w:sz w:val="24"/>
              </w:rPr>
              <w:t>250</w:t>
            </w:r>
          </w:p>
        </w:tc>
        <w:tc>
          <w:tcPr>
            <w:tcW w:w="1409" w:type="dxa"/>
          </w:tcPr>
          <w:p>
            <w:pPr>
              <w:pStyle w:val="TableParagraph"/>
              <w:spacing w:line="256" w:lineRule="exact"/>
              <w:ind w:left="468"/>
              <w:rPr>
                <w:sz w:val="24"/>
              </w:rPr>
            </w:pPr>
            <w:r>
              <w:rPr>
                <w:spacing w:val="-5"/>
                <w:sz w:val="24"/>
              </w:rPr>
              <w:t>152</w:t>
            </w:r>
          </w:p>
        </w:tc>
        <w:tc>
          <w:tcPr>
            <w:tcW w:w="1812" w:type="dxa"/>
          </w:tcPr>
          <w:p>
            <w:pPr>
              <w:pStyle w:val="TableParagraph"/>
              <w:spacing w:line="256" w:lineRule="exact"/>
              <w:ind w:left="537"/>
              <w:rPr>
                <w:sz w:val="24"/>
              </w:rPr>
            </w:pPr>
            <w:r>
              <w:rPr>
                <w:spacing w:val="-4"/>
                <w:sz w:val="24"/>
              </w:rPr>
              <w:t>1500</w:t>
            </w:r>
          </w:p>
        </w:tc>
        <w:tc>
          <w:tcPr>
            <w:tcW w:w="1573" w:type="dxa"/>
          </w:tcPr>
          <w:p>
            <w:pPr>
              <w:pStyle w:val="TableParagraph"/>
              <w:spacing w:line="256" w:lineRule="exact"/>
              <w:ind w:left="204"/>
              <w:rPr>
                <w:sz w:val="24"/>
              </w:rPr>
            </w:pPr>
            <w:r>
              <w:rPr>
                <w:spacing w:val="-5"/>
                <w:sz w:val="24"/>
              </w:rPr>
              <w:t>306</w:t>
            </w:r>
          </w:p>
        </w:tc>
      </w:tr>
      <w:tr>
        <w:trPr>
          <w:trHeight w:val="275" w:hRule="atLeast"/>
        </w:trPr>
        <w:tc>
          <w:tcPr>
            <w:tcW w:w="698" w:type="dxa"/>
          </w:tcPr>
          <w:p>
            <w:pPr>
              <w:pStyle w:val="TableParagraph"/>
              <w:spacing w:line="256" w:lineRule="exact"/>
              <w:ind w:left="117"/>
              <w:rPr>
                <w:sz w:val="24"/>
              </w:rPr>
            </w:pPr>
            <w:r>
              <w:rPr>
                <w:spacing w:val="-5"/>
                <w:sz w:val="24"/>
              </w:rPr>
              <w:t>30</w:t>
            </w:r>
          </w:p>
        </w:tc>
        <w:tc>
          <w:tcPr>
            <w:tcW w:w="1834" w:type="dxa"/>
            <w:gridSpan w:val="2"/>
          </w:tcPr>
          <w:p>
            <w:pPr>
              <w:pStyle w:val="TableParagraph"/>
              <w:spacing w:line="256" w:lineRule="exact"/>
              <w:ind w:left="220"/>
              <w:jc w:val="center"/>
              <w:rPr>
                <w:sz w:val="24"/>
              </w:rPr>
            </w:pPr>
            <w:r>
              <w:rPr>
                <w:spacing w:val="-5"/>
                <w:sz w:val="24"/>
              </w:rPr>
              <w:t>28</w:t>
            </w:r>
          </w:p>
        </w:tc>
        <w:tc>
          <w:tcPr>
            <w:tcW w:w="1543" w:type="dxa"/>
          </w:tcPr>
          <w:p>
            <w:pPr>
              <w:pStyle w:val="TableParagraph"/>
              <w:spacing w:line="256" w:lineRule="exact"/>
              <w:ind w:left="537"/>
              <w:rPr>
                <w:sz w:val="24"/>
              </w:rPr>
            </w:pPr>
            <w:r>
              <w:rPr>
                <w:spacing w:val="-5"/>
                <w:sz w:val="24"/>
              </w:rPr>
              <w:t>200</w:t>
            </w:r>
          </w:p>
        </w:tc>
        <w:tc>
          <w:tcPr>
            <w:tcW w:w="1409" w:type="dxa"/>
          </w:tcPr>
          <w:p>
            <w:pPr>
              <w:pStyle w:val="TableParagraph"/>
              <w:spacing w:line="256" w:lineRule="exact"/>
              <w:ind w:left="468"/>
              <w:rPr>
                <w:sz w:val="24"/>
              </w:rPr>
            </w:pPr>
            <w:r>
              <w:rPr>
                <w:spacing w:val="-5"/>
                <w:sz w:val="24"/>
              </w:rPr>
              <w:t>155</w:t>
            </w:r>
          </w:p>
        </w:tc>
        <w:tc>
          <w:tcPr>
            <w:tcW w:w="1812" w:type="dxa"/>
          </w:tcPr>
          <w:p>
            <w:pPr>
              <w:pStyle w:val="TableParagraph"/>
              <w:spacing w:line="256" w:lineRule="exact"/>
              <w:ind w:left="537"/>
              <w:rPr>
                <w:sz w:val="24"/>
              </w:rPr>
            </w:pPr>
            <w:r>
              <w:rPr>
                <w:spacing w:val="-4"/>
                <w:sz w:val="24"/>
              </w:rPr>
              <w:t>1600</w:t>
            </w:r>
          </w:p>
        </w:tc>
        <w:tc>
          <w:tcPr>
            <w:tcW w:w="1573" w:type="dxa"/>
          </w:tcPr>
          <w:p>
            <w:pPr>
              <w:pStyle w:val="TableParagraph"/>
              <w:spacing w:line="256" w:lineRule="exact"/>
              <w:ind w:left="204"/>
              <w:rPr>
                <w:sz w:val="24"/>
              </w:rPr>
            </w:pPr>
            <w:r>
              <w:rPr>
                <w:spacing w:val="-5"/>
                <w:sz w:val="24"/>
              </w:rPr>
              <w:t>313</w:t>
            </w:r>
          </w:p>
        </w:tc>
      </w:tr>
      <w:tr>
        <w:trPr>
          <w:trHeight w:val="275" w:hRule="atLeast"/>
        </w:trPr>
        <w:tc>
          <w:tcPr>
            <w:tcW w:w="698" w:type="dxa"/>
          </w:tcPr>
          <w:p>
            <w:pPr>
              <w:pStyle w:val="TableParagraph"/>
              <w:spacing w:line="256" w:lineRule="exact"/>
              <w:ind w:left="117"/>
              <w:rPr>
                <w:sz w:val="24"/>
              </w:rPr>
            </w:pPr>
            <w:r>
              <w:rPr>
                <w:spacing w:val="-5"/>
                <w:sz w:val="24"/>
              </w:rPr>
              <w:t>40</w:t>
            </w:r>
          </w:p>
        </w:tc>
        <w:tc>
          <w:tcPr>
            <w:tcW w:w="1834" w:type="dxa"/>
            <w:gridSpan w:val="2"/>
          </w:tcPr>
          <w:p>
            <w:pPr>
              <w:pStyle w:val="TableParagraph"/>
              <w:spacing w:line="256" w:lineRule="exact"/>
              <w:ind w:left="220"/>
              <w:jc w:val="center"/>
              <w:rPr>
                <w:sz w:val="24"/>
              </w:rPr>
            </w:pPr>
            <w:r>
              <w:rPr>
                <w:spacing w:val="-5"/>
                <w:sz w:val="24"/>
              </w:rPr>
              <w:t>36</w:t>
            </w:r>
          </w:p>
        </w:tc>
        <w:tc>
          <w:tcPr>
            <w:tcW w:w="1543" w:type="dxa"/>
          </w:tcPr>
          <w:p>
            <w:pPr>
              <w:pStyle w:val="TableParagraph"/>
              <w:spacing w:line="256" w:lineRule="exact"/>
              <w:ind w:left="537"/>
              <w:rPr>
                <w:sz w:val="24"/>
              </w:rPr>
            </w:pPr>
            <w:r>
              <w:rPr>
                <w:spacing w:val="-5"/>
                <w:sz w:val="24"/>
              </w:rPr>
              <w:t>280</w:t>
            </w:r>
          </w:p>
        </w:tc>
        <w:tc>
          <w:tcPr>
            <w:tcW w:w="1409" w:type="dxa"/>
          </w:tcPr>
          <w:p>
            <w:pPr>
              <w:pStyle w:val="TableParagraph"/>
              <w:spacing w:line="256" w:lineRule="exact"/>
              <w:ind w:left="468"/>
              <w:rPr>
                <w:sz w:val="24"/>
              </w:rPr>
            </w:pPr>
            <w:r>
              <w:rPr>
                <w:spacing w:val="-5"/>
                <w:sz w:val="24"/>
              </w:rPr>
              <w:t>162</w:t>
            </w:r>
          </w:p>
        </w:tc>
        <w:tc>
          <w:tcPr>
            <w:tcW w:w="1812" w:type="dxa"/>
          </w:tcPr>
          <w:p>
            <w:pPr>
              <w:pStyle w:val="TableParagraph"/>
              <w:spacing w:line="256" w:lineRule="exact"/>
              <w:ind w:left="537"/>
              <w:rPr>
                <w:sz w:val="24"/>
              </w:rPr>
            </w:pPr>
            <w:r>
              <w:rPr>
                <w:spacing w:val="-4"/>
                <w:sz w:val="24"/>
              </w:rPr>
              <w:t>1800</w:t>
            </w:r>
          </w:p>
        </w:tc>
        <w:tc>
          <w:tcPr>
            <w:tcW w:w="1573" w:type="dxa"/>
          </w:tcPr>
          <w:p>
            <w:pPr>
              <w:pStyle w:val="TableParagraph"/>
              <w:spacing w:line="256" w:lineRule="exact"/>
              <w:ind w:left="204"/>
              <w:rPr>
                <w:sz w:val="24"/>
              </w:rPr>
            </w:pPr>
            <w:r>
              <w:rPr>
                <w:spacing w:val="-5"/>
                <w:sz w:val="24"/>
              </w:rPr>
              <w:t>317</w:t>
            </w:r>
          </w:p>
        </w:tc>
      </w:tr>
      <w:tr>
        <w:trPr>
          <w:trHeight w:val="276" w:hRule="atLeast"/>
        </w:trPr>
        <w:tc>
          <w:tcPr>
            <w:tcW w:w="698" w:type="dxa"/>
          </w:tcPr>
          <w:p>
            <w:pPr>
              <w:pStyle w:val="TableParagraph"/>
              <w:spacing w:line="256" w:lineRule="exact"/>
              <w:ind w:left="117"/>
              <w:rPr>
                <w:sz w:val="24"/>
              </w:rPr>
            </w:pPr>
            <w:r>
              <w:rPr>
                <w:spacing w:val="-5"/>
                <w:sz w:val="24"/>
              </w:rPr>
              <w:t>50</w:t>
            </w:r>
          </w:p>
        </w:tc>
        <w:tc>
          <w:tcPr>
            <w:tcW w:w="1834" w:type="dxa"/>
            <w:gridSpan w:val="2"/>
          </w:tcPr>
          <w:p>
            <w:pPr>
              <w:pStyle w:val="TableParagraph"/>
              <w:spacing w:line="256" w:lineRule="exact"/>
              <w:ind w:left="220"/>
              <w:jc w:val="center"/>
              <w:rPr>
                <w:sz w:val="24"/>
              </w:rPr>
            </w:pPr>
            <w:r>
              <w:rPr>
                <w:spacing w:val="-5"/>
                <w:sz w:val="24"/>
              </w:rPr>
              <w:t>44</w:t>
            </w:r>
          </w:p>
        </w:tc>
        <w:tc>
          <w:tcPr>
            <w:tcW w:w="1543" w:type="dxa"/>
          </w:tcPr>
          <w:p>
            <w:pPr>
              <w:pStyle w:val="TableParagraph"/>
              <w:spacing w:line="256" w:lineRule="exact"/>
              <w:ind w:left="537"/>
              <w:rPr>
                <w:sz w:val="24"/>
              </w:rPr>
            </w:pPr>
            <w:r>
              <w:rPr>
                <w:spacing w:val="-5"/>
                <w:sz w:val="24"/>
              </w:rPr>
              <w:t>300</w:t>
            </w:r>
          </w:p>
        </w:tc>
        <w:tc>
          <w:tcPr>
            <w:tcW w:w="1409" w:type="dxa"/>
          </w:tcPr>
          <w:p>
            <w:pPr>
              <w:pStyle w:val="TableParagraph"/>
              <w:spacing w:line="256" w:lineRule="exact"/>
              <w:ind w:left="468"/>
              <w:rPr>
                <w:sz w:val="24"/>
              </w:rPr>
            </w:pPr>
            <w:r>
              <w:rPr>
                <w:spacing w:val="-5"/>
                <w:sz w:val="24"/>
              </w:rPr>
              <w:t>169</w:t>
            </w:r>
          </w:p>
        </w:tc>
        <w:tc>
          <w:tcPr>
            <w:tcW w:w="1812" w:type="dxa"/>
          </w:tcPr>
          <w:p>
            <w:pPr>
              <w:pStyle w:val="TableParagraph"/>
              <w:spacing w:line="256" w:lineRule="exact"/>
              <w:ind w:left="537"/>
              <w:rPr>
                <w:sz w:val="24"/>
              </w:rPr>
            </w:pPr>
            <w:r>
              <w:rPr>
                <w:spacing w:val="-4"/>
                <w:sz w:val="24"/>
              </w:rPr>
              <w:t>2000</w:t>
            </w:r>
          </w:p>
        </w:tc>
        <w:tc>
          <w:tcPr>
            <w:tcW w:w="1573" w:type="dxa"/>
          </w:tcPr>
          <w:p>
            <w:pPr>
              <w:pStyle w:val="TableParagraph"/>
              <w:spacing w:line="256" w:lineRule="exact"/>
              <w:ind w:left="204"/>
              <w:rPr>
                <w:sz w:val="24"/>
              </w:rPr>
            </w:pPr>
            <w:r>
              <w:rPr>
                <w:spacing w:val="-5"/>
                <w:sz w:val="24"/>
              </w:rPr>
              <w:t>322</w:t>
            </w:r>
          </w:p>
        </w:tc>
      </w:tr>
      <w:tr>
        <w:trPr>
          <w:trHeight w:val="275" w:hRule="atLeast"/>
        </w:trPr>
        <w:tc>
          <w:tcPr>
            <w:tcW w:w="698" w:type="dxa"/>
          </w:tcPr>
          <w:p>
            <w:pPr>
              <w:pStyle w:val="TableParagraph"/>
              <w:spacing w:line="256" w:lineRule="exact"/>
              <w:ind w:left="117"/>
              <w:rPr>
                <w:sz w:val="24"/>
              </w:rPr>
            </w:pPr>
            <w:r>
              <w:rPr>
                <w:spacing w:val="-5"/>
                <w:sz w:val="24"/>
              </w:rPr>
              <w:t>55</w:t>
            </w:r>
          </w:p>
        </w:tc>
        <w:tc>
          <w:tcPr>
            <w:tcW w:w="1834" w:type="dxa"/>
            <w:gridSpan w:val="2"/>
          </w:tcPr>
          <w:p>
            <w:pPr>
              <w:pStyle w:val="TableParagraph"/>
              <w:spacing w:line="256" w:lineRule="exact"/>
              <w:ind w:left="220"/>
              <w:jc w:val="center"/>
              <w:rPr>
                <w:sz w:val="24"/>
              </w:rPr>
            </w:pPr>
            <w:r>
              <w:rPr>
                <w:spacing w:val="-5"/>
                <w:sz w:val="24"/>
              </w:rPr>
              <w:t>48</w:t>
            </w:r>
          </w:p>
        </w:tc>
        <w:tc>
          <w:tcPr>
            <w:tcW w:w="1543" w:type="dxa"/>
          </w:tcPr>
          <w:p>
            <w:pPr>
              <w:pStyle w:val="TableParagraph"/>
              <w:spacing w:line="256" w:lineRule="exact"/>
              <w:ind w:left="537"/>
              <w:rPr>
                <w:sz w:val="24"/>
              </w:rPr>
            </w:pPr>
            <w:r>
              <w:rPr>
                <w:spacing w:val="-5"/>
                <w:sz w:val="24"/>
              </w:rPr>
              <w:t>320</w:t>
            </w:r>
          </w:p>
        </w:tc>
        <w:tc>
          <w:tcPr>
            <w:tcW w:w="1409" w:type="dxa"/>
          </w:tcPr>
          <w:p>
            <w:pPr>
              <w:pStyle w:val="TableParagraph"/>
              <w:spacing w:line="256" w:lineRule="exact"/>
              <w:ind w:left="468"/>
              <w:rPr>
                <w:sz w:val="24"/>
              </w:rPr>
            </w:pPr>
            <w:r>
              <w:rPr>
                <w:spacing w:val="-5"/>
                <w:sz w:val="24"/>
              </w:rPr>
              <w:t>175</w:t>
            </w:r>
          </w:p>
        </w:tc>
        <w:tc>
          <w:tcPr>
            <w:tcW w:w="1812" w:type="dxa"/>
          </w:tcPr>
          <w:p>
            <w:pPr>
              <w:pStyle w:val="TableParagraph"/>
              <w:spacing w:line="256" w:lineRule="exact"/>
              <w:ind w:left="537"/>
              <w:rPr>
                <w:sz w:val="24"/>
              </w:rPr>
            </w:pPr>
            <w:r>
              <w:rPr>
                <w:spacing w:val="-4"/>
                <w:sz w:val="24"/>
              </w:rPr>
              <w:t>2200</w:t>
            </w:r>
          </w:p>
        </w:tc>
        <w:tc>
          <w:tcPr>
            <w:tcW w:w="1573" w:type="dxa"/>
          </w:tcPr>
          <w:p>
            <w:pPr>
              <w:pStyle w:val="TableParagraph"/>
              <w:spacing w:line="256" w:lineRule="exact"/>
              <w:ind w:left="204"/>
              <w:rPr>
                <w:sz w:val="24"/>
              </w:rPr>
            </w:pPr>
            <w:r>
              <w:rPr>
                <w:spacing w:val="-5"/>
                <w:sz w:val="24"/>
              </w:rPr>
              <w:t>327</w:t>
            </w:r>
          </w:p>
        </w:tc>
      </w:tr>
      <w:tr>
        <w:trPr>
          <w:trHeight w:val="276" w:hRule="atLeast"/>
        </w:trPr>
        <w:tc>
          <w:tcPr>
            <w:tcW w:w="698" w:type="dxa"/>
          </w:tcPr>
          <w:p>
            <w:pPr>
              <w:pStyle w:val="TableParagraph"/>
              <w:spacing w:line="256" w:lineRule="exact"/>
              <w:ind w:left="117"/>
              <w:rPr>
                <w:sz w:val="24"/>
              </w:rPr>
            </w:pPr>
            <w:r>
              <w:rPr>
                <w:spacing w:val="-5"/>
                <w:sz w:val="24"/>
              </w:rPr>
              <w:t>60</w:t>
            </w:r>
          </w:p>
        </w:tc>
        <w:tc>
          <w:tcPr>
            <w:tcW w:w="1834" w:type="dxa"/>
            <w:gridSpan w:val="2"/>
          </w:tcPr>
          <w:p>
            <w:pPr>
              <w:pStyle w:val="TableParagraph"/>
              <w:spacing w:line="256" w:lineRule="exact"/>
              <w:ind w:left="220"/>
              <w:jc w:val="center"/>
              <w:rPr>
                <w:sz w:val="24"/>
              </w:rPr>
            </w:pPr>
            <w:r>
              <w:rPr>
                <w:spacing w:val="-5"/>
                <w:sz w:val="24"/>
              </w:rPr>
              <w:t>52</w:t>
            </w:r>
          </w:p>
        </w:tc>
        <w:tc>
          <w:tcPr>
            <w:tcW w:w="1543" w:type="dxa"/>
          </w:tcPr>
          <w:p>
            <w:pPr>
              <w:pStyle w:val="TableParagraph"/>
              <w:spacing w:line="256" w:lineRule="exact"/>
              <w:ind w:left="537"/>
              <w:rPr>
                <w:sz w:val="24"/>
              </w:rPr>
            </w:pPr>
            <w:r>
              <w:rPr>
                <w:spacing w:val="-5"/>
                <w:sz w:val="24"/>
              </w:rPr>
              <w:t>340</w:t>
            </w:r>
          </w:p>
        </w:tc>
        <w:tc>
          <w:tcPr>
            <w:tcW w:w="1409" w:type="dxa"/>
          </w:tcPr>
          <w:p>
            <w:pPr>
              <w:pStyle w:val="TableParagraph"/>
              <w:spacing w:line="256" w:lineRule="exact"/>
              <w:ind w:left="468"/>
              <w:rPr>
                <w:sz w:val="24"/>
              </w:rPr>
            </w:pPr>
            <w:r>
              <w:rPr>
                <w:spacing w:val="-5"/>
                <w:sz w:val="24"/>
              </w:rPr>
              <w:t>181</w:t>
            </w:r>
          </w:p>
        </w:tc>
        <w:tc>
          <w:tcPr>
            <w:tcW w:w="1812" w:type="dxa"/>
          </w:tcPr>
          <w:p>
            <w:pPr>
              <w:pStyle w:val="TableParagraph"/>
              <w:spacing w:line="256" w:lineRule="exact"/>
              <w:ind w:left="537"/>
              <w:rPr>
                <w:sz w:val="24"/>
              </w:rPr>
            </w:pPr>
            <w:r>
              <w:rPr>
                <w:spacing w:val="-4"/>
                <w:sz w:val="24"/>
              </w:rPr>
              <w:t>2400</w:t>
            </w:r>
          </w:p>
        </w:tc>
        <w:tc>
          <w:tcPr>
            <w:tcW w:w="1573" w:type="dxa"/>
          </w:tcPr>
          <w:p>
            <w:pPr>
              <w:pStyle w:val="TableParagraph"/>
              <w:spacing w:line="256" w:lineRule="exact"/>
              <w:ind w:left="204"/>
              <w:rPr>
                <w:sz w:val="24"/>
              </w:rPr>
            </w:pPr>
            <w:r>
              <w:rPr>
                <w:spacing w:val="-5"/>
                <w:sz w:val="24"/>
              </w:rPr>
              <w:t>331</w:t>
            </w:r>
          </w:p>
        </w:tc>
      </w:tr>
      <w:tr>
        <w:trPr>
          <w:trHeight w:val="275" w:hRule="atLeast"/>
        </w:trPr>
        <w:tc>
          <w:tcPr>
            <w:tcW w:w="698" w:type="dxa"/>
          </w:tcPr>
          <w:p>
            <w:pPr>
              <w:pStyle w:val="TableParagraph"/>
              <w:spacing w:line="256" w:lineRule="exact"/>
              <w:ind w:left="117"/>
              <w:rPr>
                <w:sz w:val="24"/>
              </w:rPr>
            </w:pPr>
            <w:r>
              <w:rPr>
                <w:spacing w:val="-5"/>
                <w:sz w:val="24"/>
              </w:rPr>
              <w:t>65</w:t>
            </w:r>
          </w:p>
        </w:tc>
        <w:tc>
          <w:tcPr>
            <w:tcW w:w="1834" w:type="dxa"/>
            <w:gridSpan w:val="2"/>
          </w:tcPr>
          <w:p>
            <w:pPr>
              <w:pStyle w:val="TableParagraph"/>
              <w:spacing w:line="256" w:lineRule="exact"/>
              <w:ind w:left="220"/>
              <w:jc w:val="center"/>
              <w:rPr>
                <w:sz w:val="24"/>
              </w:rPr>
            </w:pPr>
            <w:r>
              <w:rPr>
                <w:spacing w:val="-5"/>
                <w:sz w:val="24"/>
              </w:rPr>
              <w:t>56</w:t>
            </w:r>
          </w:p>
        </w:tc>
        <w:tc>
          <w:tcPr>
            <w:tcW w:w="1543" w:type="dxa"/>
          </w:tcPr>
          <w:p>
            <w:pPr>
              <w:pStyle w:val="TableParagraph"/>
              <w:spacing w:line="256" w:lineRule="exact"/>
              <w:ind w:left="537"/>
              <w:rPr>
                <w:sz w:val="24"/>
              </w:rPr>
            </w:pPr>
            <w:r>
              <w:rPr>
                <w:spacing w:val="-5"/>
                <w:sz w:val="24"/>
              </w:rPr>
              <w:t>360</w:t>
            </w:r>
          </w:p>
        </w:tc>
        <w:tc>
          <w:tcPr>
            <w:tcW w:w="1409" w:type="dxa"/>
          </w:tcPr>
          <w:p>
            <w:pPr>
              <w:pStyle w:val="TableParagraph"/>
              <w:spacing w:line="256" w:lineRule="exact"/>
              <w:ind w:left="468"/>
              <w:rPr>
                <w:sz w:val="24"/>
              </w:rPr>
            </w:pPr>
            <w:r>
              <w:rPr>
                <w:spacing w:val="-5"/>
                <w:sz w:val="24"/>
              </w:rPr>
              <w:t>186</w:t>
            </w:r>
          </w:p>
        </w:tc>
        <w:tc>
          <w:tcPr>
            <w:tcW w:w="1812" w:type="dxa"/>
          </w:tcPr>
          <w:p>
            <w:pPr>
              <w:pStyle w:val="TableParagraph"/>
              <w:spacing w:line="256" w:lineRule="exact"/>
              <w:ind w:left="537"/>
              <w:rPr>
                <w:sz w:val="24"/>
              </w:rPr>
            </w:pPr>
            <w:r>
              <w:rPr>
                <w:spacing w:val="-4"/>
                <w:sz w:val="24"/>
              </w:rPr>
              <w:t>2600</w:t>
            </w:r>
          </w:p>
        </w:tc>
        <w:tc>
          <w:tcPr>
            <w:tcW w:w="1573" w:type="dxa"/>
          </w:tcPr>
          <w:p>
            <w:pPr>
              <w:pStyle w:val="TableParagraph"/>
              <w:spacing w:line="256" w:lineRule="exact"/>
              <w:ind w:left="204"/>
              <w:rPr>
                <w:sz w:val="24"/>
              </w:rPr>
            </w:pPr>
            <w:r>
              <w:rPr>
                <w:spacing w:val="-5"/>
                <w:sz w:val="24"/>
              </w:rPr>
              <w:t>335</w:t>
            </w:r>
          </w:p>
        </w:tc>
      </w:tr>
      <w:tr>
        <w:trPr>
          <w:trHeight w:val="276" w:hRule="atLeast"/>
        </w:trPr>
        <w:tc>
          <w:tcPr>
            <w:tcW w:w="698" w:type="dxa"/>
          </w:tcPr>
          <w:p>
            <w:pPr>
              <w:pStyle w:val="TableParagraph"/>
              <w:spacing w:line="256" w:lineRule="exact"/>
              <w:ind w:left="117"/>
              <w:rPr>
                <w:sz w:val="24"/>
              </w:rPr>
            </w:pPr>
            <w:r>
              <w:rPr>
                <w:spacing w:val="-5"/>
                <w:sz w:val="24"/>
              </w:rPr>
              <w:t>70</w:t>
            </w:r>
          </w:p>
        </w:tc>
        <w:tc>
          <w:tcPr>
            <w:tcW w:w="1834" w:type="dxa"/>
            <w:gridSpan w:val="2"/>
          </w:tcPr>
          <w:p>
            <w:pPr>
              <w:pStyle w:val="TableParagraph"/>
              <w:spacing w:line="256" w:lineRule="exact"/>
              <w:ind w:left="220"/>
              <w:jc w:val="center"/>
              <w:rPr>
                <w:sz w:val="24"/>
              </w:rPr>
            </w:pPr>
            <w:r>
              <w:rPr>
                <w:spacing w:val="-5"/>
                <w:sz w:val="24"/>
              </w:rPr>
              <w:t>59</w:t>
            </w:r>
          </w:p>
        </w:tc>
        <w:tc>
          <w:tcPr>
            <w:tcW w:w="1543" w:type="dxa"/>
          </w:tcPr>
          <w:p>
            <w:pPr>
              <w:pStyle w:val="TableParagraph"/>
              <w:spacing w:line="256" w:lineRule="exact"/>
              <w:ind w:left="537"/>
              <w:rPr>
                <w:sz w:val="24"/>
              </w:rPr>
            </w:pPr>
            <w:r>
              <w:rPr>
                <w:spacing w:val="-5"/>
                <w:sz w:val="24"/>
              </w:rPr>
              <w:t>380</w:t>
            </w:r>
          </w:p>
        </w:tc>
        <w:tc>
          <w:tcPr>
            <w:tcW w:w="1409" w:type="dxa"/>
          </w:tcPr>
          <w:p>
            <w:pPr>
              <w:pStyle w:val="TableParagraph"/>
              <w:spacing w:line="256" w:lineRule="exact"/>
              <w:ind w:left="468"/>
              <w:rPr>
                <w:sz w:val="24"/>
              </w:rPr>
            </w:pPr>
            <w:r>
              <w:rPr>
                <w:spacing w:val="-5"/>
                <w:sz w:val="24"/>
              </w:rPr>
              <w:t>191</w:t>
            </w:r>
          </w:p>
        </w:tc>
        <w:tc>
          <w:tcPr>
            <w:tcW w:w="1812" w:type="dxa"/>
          </w:tcPr>
          <w:p>
            <w:pPr>
              <w:pStyle w:val="TableParagraph"/>
              <w:spacing w:line="256" w:lineRule="exact"/>
              <w:ind w:left="537"/>
              <w:rPr>
                <w:sz w:val="24"/>
              </w:rPr>
            </w:pPr>
            <w:r>
              <w:rPr>
                <w:spacing w:val="-4"/>
                <w:sz w:val="24"/>
              </w:rPr>
              <w:t>2800</w:t>
            </w:r>
          </w:p>
        </w:tc>
        <w:tc>
          <w:tcPr>
            <w:tcW w:w="1573" w:type="dxa"/>
          </w:tcPr>
          <w:p>
            <w:pPr>
              <w:pStyle w:val="TableParagraph"/>
              <w:spacing w:line="256" w:lineRule="exact"/>
              <w:ind w:left="204"/>
              <w:rPr>
                <w:sz w:val="24"/>
              </w:rPr>
            </w:pPr>
            <w:r>
              <w:rPr>
                <w:spacing w:val="-5"/>
                <w:sz w:val="24"/>
              </w:rPr>
              <w:t>338</w:t>
            </w:r>
          </w:p>
        </w:tc>
      </w:tr>
      <w:tr>
        <w:trPr>
          <w:trHeight w:val="276" w:hRule="atLeast"/>
        </w:trPr>
        <w:tc>
          <w:tcPr>
            <w:tcW w:w="698" w:type="dxa"/>
          </w:tcPr>
          <w:p>
            <w:pPr>
              <w:pStyle w:val="TableParagraph"/>
              <w:spacing w:line="256" w:lineRule="exact"/>
              <w:ind w:left="117"/>
              <w:rPr>
                <w:sz w:val="24"/>
              </w:rPr>
            </w:pPr>
            <w:r>
              <w:rPr>
                <w:spacing w:val="-5"/>
                <w:sz w:val="24"/>
              </w:rPr>
              <w:t>80</w:t>
            </w:r>
          </w:p>
        </w:tc>
        <w:tc>
          <w:tcPr>
            <w:tcW w:w="1834" w:type="dxa"/>
            <w:gridSpan w:val="2"/>
          </w:tcPr>
          <w:p>
            <w:pPr>
              <w:pStyle w:val="TableParagraph"/>
              <w:spacing w:line="256" w:lineRule="exact"/>
              <w:ind w:left="220"/>
              <w:jc w:val="center"/>
              <w:rPr>
                <w:sz w:val="24"/>
              </w:rPr>
            </w:pPr>
            <w:r>
              <w:rPr>
                <w:spacing w:val="-5"/>
                <w:sz w:val="24"/>
              </w:rPr>
              <w:t>66</w:t>
            </w:r>
          </w:p>
        </w:tc>
        <w:tc>
          <w:tcPr>
            <w:tcW w:w="1543" w:type="dxa"/>
          </w:tcPr>
          <w:p>
            <w:pPr>
              <w:pStyle w:val="TableParagraph"/>
              <w:spacing w:line="256" w:lineRule="exact"/>
              <w:ind w:left="537"/>
              <w:rPr>
                <w:sz w:val="24"/>
              </w:rPr>
            </w:pPr>
            <w:r>
              <w:rPr>
                <w:spacing w:val="-5"/>
                <w:sz w:val="24"/>
              </w:rPr>
              <w:t>420</w:t>
            </w:r>
          </w:p>
        </w:tc>
        <w:tc>
          <w:tcPr>
            <w:tcW w:w="1409" w:type="dxa"/>
          </w:tcPr>
          <w:p>
            <w:pPr>
              <w:pStyle w:val="TableParagraph"/>
              <w:spacing w:line="256" w:lineRule="exact"/>
              <w:ind w:left="468"/>
              <w:rPr>
                <w:sz w:val="24"/>
              </w:rPr>
            </w:pPr>
            <w:r>
              <w:rPr>
                <w:spacing w:val="-5"/>
                <w:sz w:val="24"/>
              </w:rPr>
              <w:t>201</w:t>
            </w:r>
          </w:p>
        </w:tc>
        <w:tc>
          <w:tcPr>
            <w:tcW w:w="1812" w:type="dxa"/>
          </w:tcPr>
          <w:p>
            <w:pPr>
              <w:pStyle w:val="TableParagraph"/>
              <w:spacing w:line="256" w:lineRule="exact"/>
              <w:ind w:left="537"/>
              <w:rPr>
                <w:sz w:val="24"/>
              </w:rPr>
            </w:pPr>
            <w:r>
              <w:rPr>
                <w:spacing w:val="-4"/>
                <w:sz w:val="24"/>
              </w:rPr>
              <w:t>3000</w:t>
            </w:r>
          </w:p>
        </w:tc>
        <w:tc>
          <w:tcPr>
            <w:tcW w:w="1573" w:type="dxa"/>
          </w:tcPr>
          <w:p>
            <w:pPr>
              <w:pStyle w:val="TableParagraph"/>
              <w:spacing w:line="256" w:lineRule="exact"/>
              <w:ind w:left="204"/>
              <w:rPr>
                <w:sz w:val="24"/>
              </w:rPr>
            </w:pPr>
            <w:r>
              <w:rPr>
                <w:spacing w:val="-5"/>
                <w:sz w:val="24"/>
              </w:rPr>
              <w:t>346</w:t>
            </w:r>
          </w:p>
        </w:tc>
      </w:tr>
      <w:tr>
        <w:trPr>
          <w:trHeight w:val="275" w:hRule="atLeast"/>
        </w:trPr>
        <w:tc>
          <w:tcPr>
            <w:tcW w:w="698" w:type="dxa"/>
          </w:tcPr>
          <w:p>
            <w:pPr>
              <w:pStyle w:val="TableParagraph"/>
              <w:spacing w:line="256" w:lineRule="exact"/>
              <w:ind w:left="117"/>
              <w:rPr>
                <w:sz w:val="24"/>
              </w:rPr>
            </w:pPr>
            <w:r>
              <w:rPr>
                <w:spacing w:val="-5"/>
                <w:sz w:val="24"/>
              </w:rPr>
              <w:t>85</w:t>
            </w:r>
          </w:p>
        </w:tc>
        <w:tc>
          <w:tcPr>
            <w:tcW w:w="1834" w:type="dxa"/>
            <w:gridSpan w:val="2"/>
          </w:tcPr>
          <w:p>
            <w:pPr>
              <w:pStyle w:val="TableParagraph"/>
              <w:spacing w:line="256" w:lineRule="exact"/>
              <w:ind w:left="220"/>
              <w:jc w:val="center"/>
              <w:rPr>
                <w:sz w:val="24"/>
              </w:rPr>
            </w:pPr>
            <w:r>
              <w:rPr>
                <w:spacing w:val="-5"/>
                <w:sz w:val="24"/>
              </w:rPr>
              <w:t>70</w:t>
            </w:r>
          </w:p>
        </w:tc>
        <w:tc>
          <w:tcPr>
            <w:tcW w:w="1543" w:type="dxa"/>
          </w:tcPr>
          <w:p>
            <w:pPr>
              <w:pStyle w:val="TableParagraph"/>
              <w:spacing w:line="256" w:lineRule="exact"/>
              <w:ind w:left="537"/>
              <w:rPr>
                <w:sz w:val="24"/>
              </w:rPr>
            </w:pPr>
            <w:r>
              <w:rPr>
                <w:spacing w:val="-5"/>
                <w:sz w:val="24"/>
              </w:rPr>
              <w:t>440</w:t>
            </w:r>
          </w:p>
        </w:tc>
        <w:tc>
          <w:tcPr>
            <w:tcW w:w="1409" w:type="dxa"/>
          </w:tcPr>
          <w:p>
            <w:pPr>
              <w:pStyle w:val="TableParagraph"/>
              <w:spacing w:line="256" w:lineRule="exact"/>
              <w:ind w:left="468"/>
              <w:rPr>
                <w:sz w:val="24"/>
              </w:rPr>
            </w:pPr>
            <w:r>
              <w:rPr>
                <w:spacing w:val="-5"/>
                <w:sz w:val="24"/>
              </w:rPr>
              <w:t>205</w:t>
            </w:r>
          </w:p>
        </w:tc>
        <w:tc>
          <w:tcPr>
            <w:tcW w:w="1812" w:type="dxa"/>
          </w:tcPr>
          <w:p>
            <w:pPr>
              <w:pStyle w:val="TableParagraph"/>
              <w:spacing w:line="256" w:lineRule="exact"/>
              <w:ind w:left="537"/>
              <w:rPr>
                <w:sz w:val="24"/>
              </w:rPr>
            </w:pPr>
            <w:r>
              <w:rPr>
                <w:spacing w:val="-4"/>
                <w:sz w:val="24"/>
              </w:rPr>
              <w:t>4000</w:t>
            </w:r>
          </w:p>
        </w:tc>
        <w:tc>
          <w:tcPr>
            <w:tcW w:w="1573" w:type="dxa"/>
          </w:tcPr>
          <w:p>
            <w:pPr>
              <w:pStyle w:val="TableParagraph"/>
              <w:spacing w:line="256" w:lineRule="exact"/>
              <w:ind w:left="204"/>
              <w:rPr>
                <w:sz w:val="24"/>
              </w:rPr>
            </w:pPr>
            <w:r>
              <w:rPr>
                <w:spacing w:val="-5"/>
                <w:sz w:val="24"/>
              </w:rPr>
              <w:t>351</w:t>
            </w:r>
          </w:p>
        </w:tc>
      </w:tr>
      <w:tr>
        <w:trPr>
          <w:trHeight w:val="276" w:hRule="atLeast"/>
        </w:trPr>
        <w:tc>
          <w:tcPr>
            <w:tcW w:w="698" w:type="dxa"/>
          </w:tcPr>
          <w:p>
            <w:pPr>
              <w:pStyle w:val="TableParagraph"/>
              <w:spacing w:line="256" w:lineRule="exact"/>
              <w:ind w:left="117"/>
              <w:rPr>
                <w:sz w:val="24"/>
              </w:rPr>
            </w:pPr>
            <w:r>
              <w:rPr>
                <w:spacing w:val="-5"/>
                <w:sz w:val="24"/>
              </w:rPr>
              <w:t>90</w:t>
            </w:r>
          </w:p>
        </w:tc>
        <w:tc>
          <w:tcPr>
            <w:tcW w:w="1834" w:type="dxa"/>
            <w:gridSpan w:val="2"/>
          </w:tcPr>
          <w:p>
            <w:pPr>
              <w:pStyle w:val="TableParagraph"/>
              <w:spacing w:line="256" w:lineRule="exact"/>
              <w:ind w:left="220"/>
              <w:jc w:val="center"/>
              <w:rPr>
                <w:sz w:val="24"/>
              </w:rPr>
            </w:pPr>
            <w:r>
              <w:rPr>
                <w:spacing w:val="-5"/>
                <w:sz w:val="24"/>
              </w:rPr>
              <w:t>73</w:t>
            </w:r>
          </w:p>
        </w:tc>
        <w:tc>
          <w:tcPr>
            <w:tcW w:w="1543" w:type="dxa"/>
          </w:tcPr>
          <w:p>
            <w:pPr>
              <w:pStyle w:val="TableParagraph"/>
              <w:spacing w:line="256" w:lineRule="exact"/>
              <w:ind w:left="537"/>
              <w:rPr>
                <w:sz w:val="24"/>
              </w:rPr>
            </w:pPr>
            <w:r>
              <w:rPr>
                <w:spacing w:val="-5"/>
                <w:sz w:val="24"/>
              </w:rPr>
              <w:t>460</w:t>
            </w:r>
          </w:p>
        </w:tc>
        <w:tc>
          <w:tcPr>
            <w:tcW w:w="1409" w:type="dxa"/>
          </w:tcPr>
          <w:p>
            <w:pPr>
              <w:pStyle w:val="TableParagraph"/>
              <w:spacing w:line="256" w:lineRule="exact"/>
              <w:ind w:left="468"/>
              <w:rPr>
                <w:sz w:val="24"/>
              </w:rPr>
            </w:pPr>
            <w:r>
              <w:rPr>
                <w:spacing w:val="-5"/>
                <w:sz w:val="24"/>
              </w:rPr>
              <w:t>209</w:t>
            </w:r>
          </w:p>
        </w:tc>
        <w:tc>
          <w:tcPr>
            <w:tcW w:w="1812" w:type="dxa"/>
          </w:tcPr>
          <w:p>
            <w:pPr>
              <w:pStyle w:val="TableParagraph"/>
              <w:spacing w:line="256" w:lineRule="exact"/>
              <w:ind w:left="537"/>
              <w:rPr>
                <w:sz w:val="24"/>
              </w:rPr>
            </w:pPr>
            <w:r>
              <w:rPr>
                <w:spacing w:val="-4"/>
                <w:sz w:val="24"/>
              </w:rPr>
              <w:t>4500</w:t>
            </w:r>
          </w:p>
        </w:tc>
        <w:tc>
          <w:tcPr>
            <w:tcW w:w="1573" w:type="dxa"/>
          </w:tcPr>
          <w:p>
            <w:pPr>
              <w:pStyle w:val="TableParagraph"/>
              <w:spacing w:line="256" w:lineRule="exact"/>
              <w:ind w:left="204"/>
              <w:rPr>
                <w:sz w:val="24"/>
              </w:rPr>
            </w:pPr>
            <w:r>
              <w:rPr>
                <w:spacing w:val="-5"/>
                <w:sz w:val="24"/>
              </w:rPr>
              <w:t>354</w:t>
            </w:r>
          </w:p>
        </w:tc>
      </w:tr>
      <w:tr>
        <w:trPr>
          <w:trHeight w:val="275" w:hRule="atLeast"/>
        </w:trPr>
        <w:tc>
          <w:tcPr>
            <w:tcW w:w="698" w:type="dxa"/>
          </w:tcPr>
          <w:p>
            <w:pPr>
              <w:pStyle w:val="TableParagraph"/>
              <w:spacing w:line="256" w:lineRule="exact"/>
              <w:ind w:left="117"/>
              <w:rPr>
                <w:sz w:val="24"/>
              </w:rPr>
            </w:pPr>
            <w:r>
              <w:rPr>
                <w:spacing w:val="-5"/>
                <w:sz w:val="24"/>
              </w:rPr>
              <w:t>95</w:t>
            </w:r>
          </w:p>
        </w:tc>
        <w:tc>
          <w:tcPr>
            <w:tcW w:w="1834" w:type="dxa"/>
            <w:gridSpan w:val="2"/>
          </w:tcPr>
          <w:p>
            <w:pPr>
              <w:pStyle w:val="TableParagraph"/>
              <w:spacing w:line="256" w:lineRule="exact"/>
              <w:ind w:left="220"/>
              <w:jc w:val="center"/>
              <w:rPr>
                <w:sz w:val="24"/>
              </w:rPr>
            </w:pPr>
            <w:r>
              <w:rPr>
                <w:spacing w:val="-5"/>
                <w:sz w:val="24"/>
              </w:rPr>
              <w:t>76</w:t>
            </w:r>
          </w:p>
        </w:tc>
        <w:tc>
          <w:tcPr>
            <w:tcW w:w="1543" w:type="dxa"/>
          </w:tcPr>
          <w:p>
            <w:pPr>
              <w:pStyle w:val="TableParagraph"/>
              <w:spacing w:line="256" w:lineRule="exact"/>
              <w:ind w:left="537"/>
              <w:rPr>
                <w:sz w:val="24"/>
              </w:rPr>
            </w:pPr>
            <w:r>
              <w:rPr>
                <w:spacing w:val="-5"/>
                <w:sz w:val="24"/>
              </w:rPr>
              <w:t>480</w:t>
            </w:r>
          </w:p>
        </w:tc>
        <w:tc>
          <w:tcPr>
            <w:tcW w:w="1409" w:type="dxa"/>
          </w:tcPr>
          <w:p>
            <w:pPr>
              <w:pStyle w:val="TableParagraph"/>
              <w:spacing w:line="256" w:lineRule="exact"/>
              <w:ind w:left="468"/>
              <w:rPr>
                <w:sz w:val="24"/>
              </w:rPr>
            </w:pPr>
            <w:r>
              <w:rPr>
                <w:spacing w:val="-5"/>
                <w:sz w:val="24"/>
              </w:rPr>
              <w:t>214</w:t>
            </w:r>
          </w:p>
        </w:tc>
        <w:tc>
          <w:tcPr>
            <w:tcW w:w="1812" w:type="dxa"/>
          </w:tcPr>
          <w:p>
            <w:pPr>
              <w:pStyle w:val="TableParagraph"/>
              <w:spacing w:line="256" w:lineRule="exact"/>
              <w:ind w:left="537"/>
              <w:rPr>
                <w:sz w:val="24"/>
              </w:rPr>
            </w:pPr>
            <w:r>
              <w:rPr>
                <w:spacing w:val="-4"/>
                <w:sz w:val="24"/>
              </w:rPr>
              <w:t>5000</w:t>
            </w:r>
          </w:p>
        </w:tc>
        <w:tc>
          <w:tcPr>
            <w:tcW w:w="1573" w:type="dxa"/>
          </w:tcPr>
          <w:p>
            <w:pPr>
              <w:pStyle w:val="TableParagraph"/>
              <w:spacing w:line="256" w:lineRule="exact"/>
              <w:ind w:left="204"/>
              <w:rPr>
                <w:sz w:val="24"/>
              </w:rPr>
            </w:pPr>
            <w:r>
              <w:rPr>
                <w:spacing w:val="-5"/>
                <w:sz w:val="24"/>
              </w:rPr>
              <w:t>357</w:t>
            </w:r>
          </w:p>
        </w:tc>
      </w:tr>
      <w:tr>
        <w:trPr>
          <w:trHeight w:val="275" w:hRule="atLeast"/>
        </w:trPr>
        <w:tc>
          <w:tcPr>
            <w:tcW w:w="698" w:type="dxa"/>
          </w:tcPr>
          <w:p>
            <w:pPr>
              <w:pStyle w:val="TableParagraph"/>
              <w:spacing w:line="256" w:lineRule="exact"/>
              <w:ind w:left="117"/>
              <w:rPr>
                <w:sz w:val="24"/>
              </w:rPr>
            </w:pPr>
            <w:r>
              <w:rPr>
                <w:spacing w:val="-5"/>
                <w:sz w:val="24"/>
              </w:rPr>
              <w:t>100</w:t>
            </w:r>
          </w:p>
        </w:tc>
        <w:tc>
          <w:tcPr>
            <w:tcW w:w="1834" w:type="dxa"/>
            <w:gridSpan w:val="2"/>
          </w:tcPr>
          <w:p>
            <w:pPr>
              <w:pStyle w:val="TableParagraph"/>
              <w:spacing w:line="256" w:lineRule="exact"/>
              <w:ind w:left="220"/>
              <w:jc w:val="center"/>
              <w:rPr>
                <w:sz w:val="24"/>
              </w:rPr>
            </w:pPr>
            <w:r>
              <w:rPr>
                <w:spacing w:val="-5"/>
                <w:sz w:val="24"/>
              </w:rPr>
              <w:t>80</w:t>
            </w:r>
          </w:p>
        </w:tc>
        <w:tc>
          <w:tcPr>
            <w:tcW w:w="1543" w:type="dxa"/>
          </w:tcPr>
          <w:p>
            <w:pPr>
              <w:pStyle w:val="TableParagraph"/>
              <w:spacing w:line="256" w:lineRule="exact"/>
              <w:ind w:left="537"/>
              <w:rPr>
                <w:sz w:val="24"/>
              </w:rPr>
            </w:pPr>
            <w:r>
              <w:rPr>
                <w:spacing w:val="-5"/>
                <w:sz w:val="24"/>
              </w:rPr>
              <w:t>500</w:t>
            </w:r>
          </w:p>
        </w:tc>
        <w:tc>
          <w:tcPr>
            <w:tcW w:w="1409" w:type="dxa"/>
          </w:tcPr>
          <w:p>
            <w:pPr>
              <w:pStyle w:val="TableParagraph"/>
              <w:spacing w:line="256" w:lineRule="exact"/>
              <w:ind w:left="468"/>
              <w:rPr>
                <w:sz w:val="24"/>
              </w:rPr>
            </w:pPr>
            <w:r>
              <w:rPr>
                <w:spacing w:val="-5"/>
                <w:sz w:val="24"/>
              </w:rPr>
              <w:t>217</w:t>
            </w:r>
          </w:p>
        </w:tc>
        <w:tc>
          <w:tcPr>
            <w:tcW w:w="1812" w:type="dxa"/>
          </w:tcPr>
          <w:p>
            <w:pPr>
              <w:pStyle w:val="TableParagraph"/>
              <w:spacing w:line="256" w:lineRule="exact"/>
              <w:ind w:left="537"/>
              <w:rPr>
                <w:sz w:val="24"/>
              </w:rPr>
            </w:pPr>
            <w:r>
              <w:rPr>
                <w:spacing w:val="-4"/>
                <w:sz w:val="24"/>
              </w:rPr>
              <w:t>6000</w:t>
            </w:r>
          </w:p>
        </w:tc>
        <w:tc>
          <w:tcPr>
            <w:tcW w:w="1573" w:type="dxa"/>
          </w:tcPr>
          <w:p>
            <w:pPr>
              <w:pStyle w:val="TableParagraph"/>
              <w:spacing w:line="256" w:lineRule="exact"/>
              <w:ind w:left="204"/>
              <w:rPr>
                <w:sz w:val="24"/>
              </w:rPr>
            </w:pPr>
            <w:r>
              <w:rPr>
                <w:spacing w:val="-5"/>
                <w:sz w:val="24"/>
              </w:rPr>
              <w:t>361</w:t>
            </w:r>
          </w:p>
        </w:tc>
      </w:tr>
      <w:tr>
        <w:trPr>
          <w:trHeight w:val="276" w:hRule="atLeast"/>
        </w:trPr>
        <w:tc>
          <w:tcPr>
            <w:tcW w:w="698" w:type="dxa"/>
          </w:tcPr>
          <w:p>
            <w:pPr>
              <w:pStyle w:val="TableParagraph"/>
              <w:spacing w:line="256" w:lineRule="exact"/>
              <w:ind w:left="117"/>
              <w:rPr>
                <w:sz w:val="24"/>
              </w:rPr>
            </w:pPr>
            <w:r>
              <w:rPr>
                <w:spacing w:val="-5"/>
                <w:sz w:val="24"/>
              </w:rPr>
              <w:t>110</w:t>
            </w:r>
          </w:p>
        </w:tc>
        <w:tc>
          <w:tcPr>
            <w:tcW w:w="1834" w:type="dxa"/>
            <w:gridSpan w:val="2"/>
          </w:tcPr>
          <w:p>
            <w:pPr>
              <w:pStyle w:val="TableParagraph"/>
              <w:spacing w:line="256" w:lineRule="exact"/>
              <w:ind w:left="220"/>
              <w:jc w:val="center"/>
              <w:rPr>
                <w:sz w:val="24"/>
              </w:rPr>
            </w:pPr>
            <w:r>
              <w:rPr>
                <w:spacing w:val="-5"/>
                <w:sz w:val="24"/>
              </w:rPr>
              <w:t>86</w:t>
            </w:r>
          </w:p>
        </w:tc>
        <w:tc>
          <w:tcPr>
            <w:tcW w:w="1543" w:type="dxa"/>
          </w:tcPr>
          <w:p>
            <w:pPr>
              <w:pStyle w:val="TableParagraph"/>
              <w:spacing w:line="256" w:lineRule="exact"/>
              <w:ind w:left="537"/>
              <w:rPr>
                <w:sz w:val="24"/>
              </w:rPr>
            </w:pPr>
            <w:r>
              <w:rPr>
                <w:spacing w:val="-5"/>
                <w:sz w:val="24"/>
              </w:rPr>
              <w:t>550</w:t>
            </w:r>
          </w:p>
        </w:tc>
        <w:tc>
          <w:tcPr>
            <w:tcW w:w="1409" w:type="dxa"/>
          </w:tcPr>
          <w:p>
            <w:pPr>
              <w:pStyle w:val="TableParagraph"/>
              <w:spacing w:line="256" w:lineRule="exact"/>
              <w:ind w:left="468"/>
              <w:rPr>
                <w:sz w:val="24"/>
              </w:rPr>
            </w:pPr>
            <w:r>
              <w:rPr>
                <w:spacing w:val="-5"/>
                <w:sz w:val="24"/>
              </w:rPr>
              <w:t>226</w:t>
            </w:r>
          </w:p>
        </w:tc>
        <w:tc>
          <w:tcPr>
            <w:tcW w:w="1812" w:type="dxa"/>
          </w:tcPr>
          <w:p>
            <w:pPr>
              <w:pStyle w:val="TableParagraph"/>
              <w:spacing w:line="256" w:lineRule="exact"/>
              <w:ind w:left="537"/>
              <w:rPr>
                <w:sz w:val="24"/>
              </w:rPr>
            </w:pPr>
            <w:r>
              <w:rPr>
                <w:spacing w:val="-4"/>
                <w:sz w:val="24"/>
              </w:rPr>
              <w:t>7000</w:t>
            </w:r>
          </w:p>
        </w:tc>
        <w:tc>
          <w:tcPr>
            <w:tcW w:w="1573" w:type="dxa"/>
          </w:tcPr>
          <w:p>
            <w:pPr>
              <w:pStyle w:val="TableParagraph"/>
              <w:spacing w:line="256" w:lineRule="exact"/>
              <w:ind w:left="204"/>
              <w:rPr>
                <w:sz w:val="24"/>
              </w:rPr>
            </w:pPr>
            <w:r>
              <w:rPr>
                <w:spacing w:val="-5"/>
                <w:sz w:val="24"/>
              </w:rPr>
              <w:t>364</w:t>
            </w:r>
          </w:p>
        </w:tc>
      </w:tr>
      <w:tr>
        <w:trPr>
          <w:trHeight w:val="275" w:hRule="atLeast"/>
        </w:trPr>
        <w:tc>
          <w:tcPr>
            <w:tcW w:w="698" w:type="dxa"/>
          </w:tcPr>
          <w:p>
            <w:pPr>
              <w:pStyle w:val="TableParagraph"/>
              <w:spacing w:line="256" w:lineRule="exact"/>
              <w:ind w:left="117"/>
              <w:rPr>
                <w:sz w:val="24"/>
              </w:rPr>
            </w:pPr>
            <w:r>
              <w:rPr>
                <w:spacing w:val="-5"/>
                <w:sz w:val="24"/>
              </w:rPr>
              <w:t>120</w:t>
            </w:r>
          </w:p>
        </w:tc>
        <w:tc>
          <w:tcPr>
            <w:tcW w:w="1834" w:type="dxa"/>
            <w:gridSpan w:val="2"/>
          </w:tcPr>
          <w:p>
            <w:pPr>
              <w:pStyle w:val="TableParagraph"/>
              <w:spacing w:line="256" w:lineRule="exact"/>
              <w:ind w:left="220"/>
              <w:jc w:val="center"/>
              <w:rPr>
                <w:sz w:val="24"/>
              </w:rPr>
            </w:pPr>
            <w:r>
              <w:rPr>
                <w:spacing w:val="-5"/>
                <w:sz w:val="24"/>
              </w:rPr>
              <w:t>92</w:t>
            </w:r>
          </w:p>
        </w:tc>
        <w:tc>
          <w:tcPr>
            <w:tcW w:w="1543" w:type="dxa"/>
          </w:tcPr>
          <w:p>
            <w:pPr>
              <w:pStyle w:val="TableParagraph"/>
              <w:spacing w:line="256" w:lineRule="exact"/>
              <w:ind w:left="537"/>
              <w:rPr>
                <w:sz w:val="24"/>
              </w:rPr>
            </w:pPr>
            <w:r>
              <w:rPr>
                <w:spacing w:val="-5"/>
                <w:sz w:val="24"/>
              </w:rPr>
              <w:t>600</w:t>
            </w:r>
          </w:p>
        </w:tc>
        <w:tc>
          <w:tcPr>
            <w:tcW w:w="1409" w:type="dxa"/>
          </w:tcPr>
          <w:p>
            <w:pPr>
              <w:pStyle w:val="TableParagraph"/>
              <w:spacing w:line="256" w:lineRule="exact"/>
              <w:ind w:left="468"/>
              <w:rPr>
                <w:sz w:val="24"/>
              </w:rPr>
            </w:pPr>
            <w:r>
              <w:rPr>
                <w:spacing w:val="-5"/>
                <w:sz w:val="24"/>
              </w:rPr>
              <w:t>234</w:t>
            </w:r>
          </w:p>
        </w:tc>
        <w:tc>
          <w:tcPr>
            <w:tcW w:w="1812" w:type="dxa"/>
          </w:tcPr>
          <w:p>
            <w:pPr>
              <w:pStyle w:val="TableParagraph"/>
              <w:spacing w:line="256" w:lineRule="exact"/>
              <w:ind w:left="537"/>
              <w:rPr>
                <w:sz w:val="24"/>
              </w:rPr>
            </w:pPr>
            <w:r>
              <w:rPr>
                <w:spacing w:val="-4"/>
                <w:sz w:val="24"/>
              </w:rPr>
              <w:t>8000</w:t>
            </w:r>
          </w:p>
        </w:tc>
        <w:tc>
          <w:tcPr>
            <w:tcW w:w="1573" w:type="dxa"/>
          </w:tcPr>
          <w:p>
            <w:pPr>
              <w:pStyle w:val="TableParagraph"/>
              <w:spacing w:line="256" w:lineRule="exact"/>
              <w:ind w:left="204"/>
              <w:rPr>
                <w:sz w:val="24"/>
              </w:rPr>
            </w:pPr>
            <w:r>
              <w:rPr>
                <w:spacing w:val="-5"/>
                <w:sz w:val="24"/>
              </w:rPr>
              <w:t>367</w:t>
            </w:r>
          </w:p>
        </w:tc>
      </w:tr>
      <w:tr>
        <w:trPr>
          <w:trHeight w:val="276" w:hRule="atLeast"/>
        </w:trPr>
        <w:tc>
          <w:tcPr>
            <w:tcW w:w="698" w:type="dxa"/>
          </w:tcPr>
          <w:p>
            <w:pPr>
              <w:pStyle w:val="TableParagraph"/>
              <w:spacing w:line="256" w:lineRule="exact"/>
              <w:ind w:left="117"/>
              <w:rPr>
                <w:sz w:val="24"/>
              </w:rPr>
            </w:pPr>
            <w:r>
              <w:rPr>
                <w:spacing w:val="-5"/>
                <w:sz w:val="24"/>
              </w:rPr>
              <w:t>130</w:t>
            </w:r>
          </w:p>
        </w:tc>
        <w:tc>
          <w:tcPr>
            <w:tcW w:w="1834" w:type="dxa"/>
            <w:gridSpan w:val="2"/>
          </w:tcPr>
          <w:p>
            <w:pPr>
              <w:pStyle w:val="TableParagraph"/>
              <w:spacing w:line="256" w:lineRule="exact"/>
              <w:ind w:left="220"/>
              <w:jc w:val="center"/>
              <w:rPr>
                <w:sz w:val="24"/>
              </w:rPr>
            </w:pPr>
            <w:r>
              <w:rPr>
                <w:spacing w:val="-5"/>
                <w:sz w:val="24"/>
              </w:rPr>
              <w:t>97</w:t>
            </w:r>
          </w:p>
        </w:tc>
        <w:tc>
          <w:tcPr>
            <w:tcW w:w="1543" w:type="dxa"/>
          </w:tcPr>
          <w:p>
            <w:pPr>
              <w:pStyle w:val="TableParagraph"/>
              <w:spacing w:line="256" w:lineRule="exact"/>
              <w:ind w:left="537"/>
              <w:rPr>
                <w:sz w:val="24"/>
              </w:rPr>
            </w:pPr>
            <w:r>
              <w:rPr>
                <w:spacing w:val="-5"/>
                <w:sz w:val="24"/>
              </w:rPr>
              <w:t>650</w:t>
            </w:r>
          </w:p>
        </w:tc>
        <w:tc>
          <w:tcPr>
            <w:tcW w:w="1409" w:type="dxa"/>
          </w:tcPr>
          <w:p>
            <w:pPr>
              <w:pStyle w:val="TableParagraph"/>
              <w:spacing w:line="256" w:lineRule="exact"/>
              <w:ind w:left="468"/>
              <w:rPr>
                <w:sz w:val="24"/>
              </w:rPr>
            </w:pPr>
            <w:r>
              <w:rPr>
                <w:spacing w:val="-5"/>
                <w:sz w:val="24"/>
              </w:rPr>
              <w:t>242</w:t>
            </w:r>
          </w:p>
        </w:tc>
        <w:tc>
          <w:tcPr>
            <w:tcW w:w="1812" w:type="dxa"/>
          </w:tcPr>
          <w:p>
            <w:pPr>
              <w:pStyle w:val="TableParagraph"/>
              <w:spacing w:line="256" w:lineRule="exact"/>
              <w:ind w:left="537"/>
              <w:rPr>
                <w:sz w:val="24"/>
              </w:rPr>
            </w:pPr>
            <w:r>
              <w:rPr>
                <w:spacing w:val="-4"/>
                <w:sz w:val="24"/>
              </w:rPr>
              <w:t>9000</w:t>
            </w:r>
          </w:p>
        </w:tc>
        <w:tc>
          <w:tcPr>
            <w:tcW w:w="1573" w:type="dxa"/>
          </w:tcPr>
          <w:p>
            <w:pPr>
              <w:pStyle w:val="TableParagraph"/>
              <w:spacing w:line="256" w:lineRule="exact"/>
              <w:ind w:left="204"/>
              <w:rPr>
                <w:sz w:val="24"/>
              </w:rPr>
            </w:pPr>
            <w:r>
              <w:rPr>
                <w:spacing w:val="-5"/>
                <w:sz w:val="24"/>
              </w:rPr>
              <w:t>368</w:t>
            </w:r>
          </w:p>
        </w:tc>
      </w:tr>
      <w:tr>
        <w:trPr>
          <w:trHeight w:val="275" w:hRule="atLeast"/>
        </w:trPr>
        <w:tc>
          <w:tcPr>
            <w:tcW w:w="698" w:type="dxa"/>
          </w:tcPr>
          <w:p>
            <w:pPr>
              <w:pStyle w:val="TableParagraph"/>
              <w:spacing w:line="256" w:lineRule="exact"/>
              <w:ind w:left="117"/>
              <w:rPr>
                <w:sz w:val="24"/>
              </w:rPr>
            </w:pPr>
            <w:r>
              <w:rPr>
                <w:spacing w:val="-5"/>
                <w:sz w:val="24"/>
              </w:rPr>
              <w:t>140</w:t>
            </w:r>
          </w:p>
        </w:tc>
        <w:tc>
          <w:tcPr>
            <w:tcW w:w="1834" w:type="dxa"/>
            <w:gridSpan w:val="2"/>
          </w:tcPr>
          <w:p>
            <w:pPr>
              <w:pStyle w:val="TableParagraph"/>
              <w:spacing w:line="256" w:lineRule="exact"/>
              <w:ind w:left="893"/>
              <w:rPr>
                <w:sz w:val="24"/>
              </w:rPr>
            </w:pPr>
            <w:r>
              <w:rPr>
                <w:spacing w:val="-5"/>
                <w:sz w:val="24"/>
              </w:rPr>
              <w:t>103</w:t>
            </w:r>
          </w:p>
        </w:tc>
        <w:tc>
          <w:tcPr>
            <w:tcW w:w="1543" w:type="dxa"/>
          </w:tcPr>
          <w:p>
            <w:pPr>
              <w:pStyle w:val="TableParagraph"/>
              <w:spacing w:line="256" w:lineRule="exact"/>
              <w:ind w:left="537"/>
              <w:rPr>
                <w:sz w:val="24"/>
              </w:rPr>
            </w:pPr>
            <w:r>
              <w:rPr>
                <w:spacing w:val="-5"/>
                <w:sz w:val="24"/>
              </w:rPr>
              <w:t>700</w:t>
            </w:r>
          </w:p>
        </w:tc>
        <w:tc>
          <w:tcPr>
            <w:tcW w:w="1409" w:type="dxa"/>
          </w:tcPr>
          <w:p>
            <w:pPr>
              <w:pStyle w:val="TableParagraph"/>
              <w:spacing w:line="256" w:lineRule="exact"/>
              <w:ind w:left="468"/>
              <w:rPr>
                <w:sz w:val="24"/>
              </w:rPr>
            </w:pPr>
            <w:r>
              <w:rPr>
                <w:spacing w:val="-5"/>
                <w:sz w:val="24"/>
              </w:rPr>
              <w:t>248</w:t>
            </w:r>
          </w:p>
        </w:tc>
        <w:tc>
          <w:tcPr>
            <w:tcW w:w="1812" w:type="dxa"/>
          </w:tcPr>
          <w:p>
            <w:pPr>
              <w:pStyle w:val="TableParagraph"/>
              <w:spacing w:line="256" w:lineRule="exact"/>
              <w:ind w:left="537"/>
              <w:rPr>
                <w:sz w:val="24"/>
              </w:rPr>
            </w:pPr>
            <w:r>
              <w:rPr>
                <w:spacing w:val="-2"/>
                <w:sz w:val="24"/>
              </w:rPr>
              <w:t>10000</w:t>
            </w:r>
          </w:p>
        </w:tc>
        <w:tc>
          <w:tcPr>
            <w:tcW w:w="1573" w:type="dxa"/>
          </w:tcPr>
          <w:p>
            <w:pPr>
              <w:pStyle w:val="TableParagraph"/>
              <w:spacing w:line="256" w:lineRule="exact"/>
              <w:ind w:left="204"/>
              <w:rPr>
                <w:sz w:val="24"/>
              </w:rPr>
            </w:pPr>
            <w:r>
              <w:rPr>
                <w:spacing w:val="-5"/>
                <w:sz w:val="24"/>
              </w:rPr>
              <w:t>370</w:t>
            </w:r>
          </w:p>
        </w:tc>
      </w:tr>
      <w:tr>
        <w:trPr>
          <w:trHeight w:val="276" w:hRule="atLeast"/>
        </w:trPr>
        <w:tc>
          <w:tcPr>
            <w:tcW w:w="698" w:type="dxa"/>
          </w:tcPr>
          <w:p>
            <w:pPr>
              <w:pStyle w:val="TableParagraph"/>
              <w:spacing w:line="256" w:lineRule="exact"/>
              <w:ind w:left="117"/>
              <w:rPr>
                <w:sz w:val="24"/>
              </w:rPr>
            </w:pPr>
            <w:r>
              <w:rPr>
                <w:spacing w:val="-5"/>
                <w:sz w:val="24"/>
              </w:rPr>
              <w:t>150</w:t>
            </w:r>
          </w:p>
        </w:tc>
        <w:tc>
          <w:tcPr>
            <w:tcW w:w="1834" w:type="dxa"/>
            <w:gridSpan w:val="2"/>
          </w:tcPr>
          <w:p>
            <w:pPr>
              <w:pStyle w:val="TableParagraph"/>
              <w:spacing w:line="256" w:lineRule="exact"/>
              <w:ind w:left="893"/>
              <w:rPr>
                <w:sz w:val="24"/>
              </w:rPr>
            </w:pPr>
            <w:r>
              <w:rPr>
                <w:spacing w:val="-5"/>
                <w:sz w:val="24"/>
              </w:rPr>
              <w:t>108</w:t>
            </w:r>
          </w:p>
        </w:tc>
        <w:tc>
          <w:tcPr>
            <w:tcW w:w="1543" w:type="dxa"/>
          </w:tcPr>
          <w:p>
            <w:pPr>
              <w:pStyle w:val="TableParagraph"/>
              <w:spacing w:line="256" w:lineRule="exact"/>
              <w:ind w:left="537"/>
              <w:rPr>
                <w:sz w:val="24"/>
              </w:rPr>
            </w:pPr>
            <w:r>
              <w:rPr>
                <w:spacing w:val="-5"/>
                <w:sz w:val="24"/>
              </w:rPr>
              <w:t>750</w:t>
            </w:r>
          </w:p>
        </w:tc>
        <w:tc>
          <w:tcPr>
            <w:tcW w:w="1409" w:type="dxa"/>
          </w:tcPr>
          <w:p>
            <w:pPr>
              <w:pStyle w:val="TableParagraph"/>
              <w:spacing w:line="256" w:lineRule="exact"/>
              <w:ind w:left="468"/>
              <w:rPr>
                <w:sz w:val="24"/>
              </w:rPr>
            </w:pPr>
            <w:r>
              <w:rPr>
                <w:spacing w:val="-5"/>
                <w:sz w:val="24"/>
              </w:rPr>
              <w:t>254</w:t>
            </w:r>
          </w:p>
        </w:tc>
        <w:tc>
          <w:tcPr>
            <w:tcW w:w="1812" w:type="dxa"/>
          </w:tcPr>
          <w:p>
            <w:pPr>
              <w:pStyle w:val="TableParagraph"/>
              <w:spacing w:line="256" w:lineRule="exact"/>
              <w:ind w:left="537"/>
              <w:rPr>
                <w:sz w:val="24"/>
              </w:rPr>
            </w:pPr>
            <w:r>
              <w:rPr>
                <w:spacing w:val="-2"/>
                <w:sz w:val="24"/>
              </w:rPr>
              <w:t>15000</w:t>
            </w:r>
          </w:p>
        </w:tc>
        <w:tc>
          <w:tcPr>
            <w:tcW w:w="1573" w:type="dxa"/>
          </w:tcPr>
          <w:p>
            <w:pPr>
              <w:pStyle w:val="TableParagraph"/>
              <w:spacing w:line="256" w:lineRule="exact"/>
              <w:ind w:left="204"/>
              <w:rPr>
                <w:sz w:val="24"/>
              </w:rPr>
            </w:pPr>
            <w:r>
              <w:rPr>
                <w:spacing w:val="-5"/>
                <w:sz w:val="24"/>
              </w:rPr>
              <w:t>375</w:t>
            </w:r>
          </w:p>
        </w:tc>
      </w:tr>
      <w:tr>
        <w:trPr>
          <w:trHeight w:val="275" w:hRule="atLeast"/>
        </w:trPr>
        <w:tc>
          <w:tcPr>
            <w:tcW w:w="698" w:type="dxa"/>
          </w:tcPr>
          <w:p>
            <w:pPr>
              <w:pStyle w:val="TableParagraph"/>
              <w:spacing w:line="256" w:lineRule="exact"/>
              <w:ind w:left="117"/>
              <w:rPr>
                <w:sz w:val="24"/>
              </w:rPr>
            </w:pPr>
            <w:r>
              <w:rPr>
                <w:spacing w:val="-5"/>
                <w:sz w:val="24"/>
              </w:rPr>
              <w:t>160</w:t>
            </w:r>
          </w:p>
        </w:tc>
        <w:tc>
          <w:tcPr>
            <w:tcW w:w="1834" w:type="dxa"/>
            <w:gridSpan w:val="2"/>
          </w:tcPr>
          <w:p>
            <w:pPr>
              <w:pStyle w:val="TableParagraph"/>
              <w:spacing w:line="256" w:lineRule="exact"/>
              <w:ind w:left="893"/>
              <w:rPr>
                <w:sz w:val="24"/>
              </w:rPr>
            </w:pPr>
            <w:r>
              <w:rPr>
                <w:spacing w:val="-5"/>
                <w:sz w:val="24"/>
              </w:rPr>
              <w:t>113</w:t>
            </w:r>
          </w:p>
        </w:tc>
        <w:tc>
          <w:tcPr>
            <w:tcW w:w="1543" w:type="dxa"/>
          </w:tcPr>
          <w:p>
            <w:pPr>
              <w:pStyle w:val="TableParagraph"/>
              <w:spacing w:line="256" w:lineRule="exact"/>
              <w:ind w:left="537"/>
              <w:rPr>
                <w:sz w:val="24"/>
              </w:rPr>
            </w:pPr>
            <w:r>
              <w:rPr>
                <w:spacing w:val="-5"/>
                <w:sz w:val="24"/>
              </w:rPr>
              <w:t>800</w:t>
            </w:r>
          </w:p>
        </w:tc>
        <w:tc>
          <w:tcPr>
            <w:tcW w:w="1409" w:type="dxa"/>
          </w:tcPr>
          <w:p>
            <w:pPr>
              <w:pStyle w:val="TableParagraph"/>
              <w:spacing w:line="256" w:lineRule="exact"/>
              <w:ind w:left="468"/>
              <w:rPr>
                <w:sz w:val="24"/>
              </w:rPr>
            </w:pPr>
            <w:r>
              <w:rPr>
                <w:spacing w:val="-5"/>
                <w:sz w:val="24"/>
              </w:rPr>
              <w:t>260</w:t>
            </w:r>
          </w:p>
        </w:tc>
        <w:tc>
          <w:tcPr>
            <w:tcW w:w="1812" w:type="dxa"/>
          </w:tcPr>
          <w:p>
            <w:pPr>
              <w:pStyle w:val="TableParagraph"/>
              <w:spacing w:line="256" w:lineRule="exact"/>
              <w:ind w:left="537"/>
              <w:rPr>
                <w:sz w:val="24"/>
              </w:rPr>
            </w:pPr>
            <w:r>
              <w:rPr>
                <w:spacing w:val="-2"/>
                <w:sz w:val="24"/>
              </w:rPr>
              <w:t>20000</w:t>
            </w:r>
          </w:p>
        </w:tc>
        <w:tc>
          <w:tcPr>
            <w:tcW w:w="1573" w:type="dxa"/>
          </w:tcPr>
          <w:p>
            <w:pPr>
              <w:pStyle w:val="TableParagraph"/>
              <w:spacing w:line="256" w:lineRule="exact"/>
              <w:ind w:left="204"/>
              <w:rPr>
                <w:sz w:val="24"/>
              </w:rPr>
            </w:pPr>
            <w:r>
              <w:rPr>
                <w:spacing w:val="-5"/>
                <w:sz w:val="24"/>
              </w:rPr>
              <w:t>377</w:t>
            </w:r>
          </w:p>
        </w:tc>
      </w:tr>
      <w:tr>
        <w:trPr>
          <w:trHeight w:val="276" w:hRule="atLeast"/>
        </w:trPr>
        <w:tc>
          <w:tcPr>
            <w:tcW w:w="698" w:type="dxa"/>
          </w:tcPr>
          <w:p>
            <w:pPr>
              <w:pStyle w:val="TableParagraph"/>
              <w:spacing w:line="256" w:lineRule="exact"/>
              <w:ind w:left="117"/>
              <w:rPr>
                <w:sz w:val="24"/>
              </w:rPr>
            </w:pPr>
            <w:r>
              <w:rPr>
                <w:spacing w:val="-5"/>
                <w:sz w:val="24"/>
              </w:rPr>
              <w:t>170</w:t>
            </w:r>
          </w:p>
        </w:tc>
        <w:tc>
          <w:tcPr>
            <w:tcW w:w="1834" w:type="dxa"/>
            <w:gridSpan w:val="2"/>
          </w:tcPr>
          <w:p>
            <w:pPr>
              <w:pStyle w:val="TableParagraph"/>
              <w:spacing w:line="256" w:lineRule="exact"/>
              <w:ind w:left="893"/>
              <w:rPr>
                <w:sz w:val="24"/>
              </w:rPr>
            </w:pPr>
            <w:r>
              <w:rPr>
                <w:spacing w:val="-5"/>
                <w:sz w:val="24"/>
              </w:rPr>
              <w:t>118</w:t>
            </w:r>
          </w:p>
        </w:tc>
        <w:tc>
          <w:tcPr>
            <w:tcW w:w="1543" w:type="dxa"/>
          </w:tcPr>
          <w:p>
            <w:pPr>
              <w:pStyle w:val="TableParagraph"/>
              <w:spacing w:line="256" w:lineRule="exact"/>
              <w:ind w:left="537"/>
              <w:rPr>
                <w:sz w:val="24"/>
              </w:rPr>
            </w:pPr>
            <w:r>
              <w:rPr>
                <w:spacing w:val="-5"/>
                <w:sz w:val="24"/>
              </w:rPr>
              <w:t>850</w:t>
            </w:r>
          </w:p>
        </w:tc>
        <w:tc>
          <w:tcPr>
            <w:tcW w:w="1409" w:type="dxa"/>
          </w:tcPr>
          <w:p>
            <w:pPr>
              <w:pStyle w:val="TableParagraph"/>
              <w:spacing w:line="256" w:lineRule="exact"/>
              <w:ind w:left="468"/>
              <w:rPr>
                <w:sz w:val="24"/>
              </w:rPr>
            </w:pPr>
            <w:r>
              <w:rPr>
                <w:spacing w:val="-5"/>
                <w:sz w:val="24"/>
              </w:rPr>
              <w:t>265</w:t>
            </w:r>
          </w:p>
        </w:tc>
        <w:tc>
          <w:tcPr>
            <w:tcW w:w="1812" w:type="dxa"/>
          </w:tcPr>
          <w:p>
            <w:pPr>
              <w:pStyle w:val="TableParagraph"/>
              <w:spacing w:line="256" w:lineRule="exact"/>
              <w:ind w:left="537"/>
              <w:rPr>
                <w:sz w:val="24"/>
              </w:rPr>
            </w:pPr>
            <w:r>
              <w:rPr>
                <w:spacing w:val="-2"/>
                <w:sz w:val="24"/>
              </w:rPr>
              <w:t>30000</w:t>
            </w:r>
          </w:p>
        </w:tc>
        <w:tc>
          <w:tcPr>
            <w:tcW w:w="1573" w:type="dxa"/>
          </w:tcPr>
          <w:p>
            <w:pPr>
              <w:pStyle w:val="TableParagraph"/>
              <w:spacing w:line="256" w:lineRule="exact"/>
              <w:ind w:left="204"/>
              <w:rPr>
                <w:sz w:val="24"/>
              </w:rPr>
            </w:pPr>
            <w:r>
              <w:rPr>
                <w:spacing w:val="-5"/>
                <w:sz w:val="24"/>
              </w:rPr>
              <w:t>379</w:t>
            </w:r>
          </w:p>
        </w:tc>
      </w:tr>
      <w:tr>
        <w:trPr>
          <w:trHeight w:val="275" w:hRule="atLeast"/>
        </w:trPr>
        <w:tc>
          <w:tcPr>
            <w:tcW w:w="698" w:type="dxa"/>
          </w:tcPr>
          <w:p>
            <w:pPr>
              <w:pStyle w:val="TableParagraph"/>
              <w:spacing w:line="256" w:lineRule="exact"/>
              <w:ind w:left="117"/>
              <w:rPr>
                <w:sz w:val="24"/>
              </w:rPr>
            </w:pPr>
            <w:r>
              <w:rPr>
                <w:spacing w:val="-5"/>
                <w:sz w:val="24"/>
              </w:rPr>
              <w:t>180</w:t>
            </w:r>
          </w:p>
        </w:tc>
        <w:tc>
          <w:tcPr>
            <w:tcW w:w="1834" w:type="dxa"/>
            <w:gridSpan w:val="2"/>
          </w:tcPr>
          <w:p>
            <w:pPr>
              <w:pStyle w:val="TableParagraph"/>
              <w:spacing w:line="256" w:lineRule="exact"/>
              <w:ind w:left="893"/>
              <w:rPr>
                <w:sz w:val="24"/>
              </w:rPr>
            </w:pPr>
            <w:r>
              <w:rPr>
                <w:spacing w:val="-5"/>
                <w:sz w:val="24"/>
              </w:rPr>
              <w:t>123</w:t>
            </w:r>
          </w:p>
        </w:tc>
        <w:tc>
          <w:tcPr>
            <w:tcW w:w="1543" w:type="dxa"/>
          </w:tcPr>
          <w:p>
            <w:pPr>
              <w:pStyle w:val="TableParagraph"/>
              <w:spacing w:line="256" w:lineRule="exact"/>
              <w:ind w:left="537"/>
              <w:rPr>
                <w:sz w:val="24"/>
              </w:rPr>
            </w:pPr>
            <w:r>
              <w:rPr>
                <w:spacing w:val="-5"/>
                <w:sz w:val="24"/>
              </w:rPr>
              <w:t>900</w:t>
            </w:r>
          </w:p>
        </w:tc>
        <w:tc>
          <w:tcPr>
            <w:tcW w:w="1409" w:type="dxa"/>
          </w:tcPr>
          <w:p>
            <w:pPr>
              <w:pStyle w:val="TableParagraph"/>
              <w:spacing w:line="256" w:lineRule="exact"/>
              <w:ind w:left="468"/>
              <w:rPr>
                <w:sz w:val="24"/>
              </w:rPr>
            </w:pPr>
            <w:r>
              <w:rPr>
                <w:spacing w:val="-5"/>
                <w:sz w:val="24"/>
              </w:rPr>
              <w:t>269</w:t>
            </w:r>
          </w:p>
        </w:tc>
        <w:tc>
          <w:tcPr>
            <w:tcW w:w="1812" w:type="dxa"/>
          </w:tcPr>
          <w:p>
            <w:pPr>
              <w:pStyle w:val="TableParagraph"/>
              <w:spacing w:line="256" w:lineRule="exact"/>
              <w:ind w:left="537"/>
              <w:rPr>
                <w:sz w:val="24"/>
              </w:rPr>
            </w:pPr>
            <w:r>
              <w:rPr>
                <w:spacing w:val="-2"/>
                <w:sz w:val="24"/>
              </w:rPr>
              <w:t>40000</w:t>
            </w:r>
          </w:p>
        </w:tc>
        <w:tc>
          <w:tcPr>
            <w:tcW w:w="1573" w:type="dxa"/>
          </w:tcPr>
          <w:p>
            <w:pPr>
              <w:pStyle w:val="TableParagraph"/>
              <w:spacing w:line="256" w:lineRule="exact"/>
              <w:ind w:left="204"/>
              <w:rPr>
                <w:sz w:val="24"/>
              </w:rPr>
            </w:pPr>
            <w:r>
              <w:rPr>
                <w:spacing w:val="-5"/>
                <w:sz w:val="24"/>
              </w:rPr>
              <w:t>380</w:t>
            </w:r>
          </w:p>
        </w:tc>
      </w:tr>
      <w:tr>
        <w:trPr>
          <w:trHeight w:val="276" w:hRule="atLeast"/>
        </w:trPr>
        <w:tc>
          <w:tcPr>
            <w:tcW w:w="698" w:type="dxa"/>
          </w:tcPr>
          <w:p>
            <w:pPr>
              <w:pStyle w:val="TableParagraph"/>
              <w:spacing w:line="256" w:lineRule="exact"/>
              <w:ind w:left="117"/>
              <w:rPr>
                <w:sz w:val="24"/>
              </w:rPr>
            </w:pPr>
            <w:r>
              <w:rPr>
                <w:spacing w:val="-5"/>
                <w:sz w:val="24"/>
              </w:rPr>
              <w:t>190</w:t>
            </w:r>
          </w:p>
        </w:tc>
        <w:tc>
          <w:tcPr>
            <w:tcW w:w="1834" w:type="dxa"/>
            <w:gridSpan w:val="2"/>
          </w:tcPr>
          <w:p>
            <w:pPr>
              <w:pStyle w:val="TableParagraph"/>
              <w:spacing w:line="256" w:lineRule="exact"/>
              <w:ind w:left="893"/>
              <w:rPr>
                <w:sz w:val="24"/>
              </w:rPr>
            </w:pPr>
            <w:r>
              <w:rPr>
                <w:spacing w:val="-5"/>
                <w:sz w:val="24"/>
              </w:rPr>
              <w:t>127</w:t>
            </w:r>
          </w:p>
        </w:tc>
        <w:tc>
          <w:tcPr>
            <w:tcW w:w="1543" w:type="dxa"/>
          </w:tcPr>
          <w:p>
            <w:pPr>
              <w:pStyle w:val="TableParagraph"/>
              <w:spacing w:line="256" w:lineRule="exact"/>
              <w:ind w:left="537"/>
              <w:rPr>
                <w:sz w:val="24"/>
              </w:rPr>
            </w:pPr>
            <w:r>
              <w:rPr>
                <w:spacing w:val="-5"/>
                <w:sz w:val="24"/>
              </w:rPr>
              <w:t>950</w:t>
            </w:r>
          </w:p>
        </w:tc>
        <w:tc>
          <w:tcPr>
            <w:tcW w:w="1409" w:type="dxa"/>
          </w:tcPr>
          <w:p>
            <w:pPr>
              <w:pStyle w:val="TableParagraph"/>
              <w:spacing w:line="256" w:lineRule="exact"/>
              <w:ind w:left="468"/>
              <w:rPr>
                <w:sz w:val="24"/>
              </w:rPr>
            </w:pPr>
            <w:r>
              <w:rPr>
                <w:spacing w:val="-5"/>
                <w:sz w:val="24"/>
              </w:rPr>
              <w:t>274</w:t>
            </w:r>
          </w:p>
        </w:tc>
        <w:tc>
          <w:tcPr>
            <w:tcW w:w="1812" w:type="dxa"/>
          </w:tcPr>
          <w:p>
            <w:pPr>
              <w:pStyle w:val="TableParagraph"/>
              <w:spacing w:line="256" w:lineRule="exact"/>
              <w:ind w:left="537"/>
              <w:rPr>
                <w:sz w:val="24"/>
              </w:rPr>
            </w:pPr>
            <w:r>
              <w:rPr>
                <w:spacing w:val="-2"/>
                <w:sz w:val="24"/>
              </w:rPr>
              <w:t>50000</w:t>
            </w:r>
          </w:p>
        </w:tc>
        <w:tc>
          <w:tcPr>
            <w:tcW w:w="1573" w:type="dxa"/>
          </w:tcPr>
          <w:p>
            <w:pPr>
              <w:pStyle w:val="TableParagraph"/>
              <w:spacing w:line="256" w:lineRule="exact"/>
              <w:ind w:left="204"/>
              <w:rPr>
                <w:sz w:val="24"/>
              </w:rPr>
            </w:pPr>
            <w:r>
              <w:rPr>
                <w:spacing w:val="-5"/>
                <w:sz w:val="24"/>
              </w:rPr>
              <w:t>281</w:t>
            </w:r>
          </w:p>
        </w:tc>
      </w:tr>
      <w:tr>
        <w:trPr>
          <w:trHeight w:val="276" w:hRule="atLeast"/>
        </w:trPr>
        <w:tc>
          <w:tcPr>
            <w:tcW w:w="698" w:type="dxa"/>
          </w:tcPr>
          <w:p>
            <w:pPr>
              <w:pStyle w:val="TableParagraph"/>
              <w:spacing w:line="256" w:lineRule="exact"/>
              <w:ind w:left="117"/>
              <w:rPr>
                <w:sz w:val="24"/>
              </w:rPr>
            </w:pPr>
            <w:r>
              <w:rPr>
                <w:spacing w:val="-5"/>
                <w:sz w:val="24"/>
              </w:rPr>
              <w:t>200</w:t>
            </w:r>
          </w:p>
        </w:tc>
        <w:tc>
          <w:tcPr>
            <w:tcW w:w="1834" w:type="dxa"/>
            <w:gridSpan w:val="2"/>
          </w:tcPr>
          <w:p>
            <w:pPr>
              <w:pStyle w:val="TableParagraph"/>
              <w:spacing w:line="256" w:lineRule="exact"/>
              <w:ind w:left="893"/>
              <w:rPr>
                <w:sz w:val="24"/>
              </w:rPr>
            </w:pPr>
            <w:r>
              <w:rPr>
                <w:spacing w:val="-5"/>
                <w:sz w:val="24"/>
              </w:rPr>
              <w:t>132</w:t>
            </w:r>
          </w:p>
        </w:tc>
        <w:tc>
          <w:tcPr>
            <w:tcW w:w="1543" w:type="dxa"/>
          </w:tcPr>
          <w:p>
            <w:pPr>
              <w:pStyle w:val="TableParagraph"/>
              <w:spacing w:line="256" w:lineRule="exact"/>
              <w:ind w:left="537"/>
              <w:rPr>
                <w:sz w:val="24"/>
              </w:rPr>
            </w:pPr>
            <w:r>
              <w:rPr>
                <w:spacing w:val="-4"/>
                <w:sz w:val="24"/>
              </w:rPr>
              <w:t>1000</w:t>
            </w:r>
          </w:p>
        </w:tc>
        <w:tc>
          <w:tcPr>
            <w:tcW w:w="1409" w:type="dxa"/>
          </w:tcPr>
          <w:p>
            <w:pPr>
              <w:pStyle w:val="TableParagraph"/>
              <w:spacing w:line="256" w:lineRule="exact"/>
              <w:ind w:left="468"/>
              <w:rPr>
                <w:sz w:val="24"/>
              </w:rPr>
            </w:pPr>
            <w:r>
              <w:rPr>
                <w:spacing w:val="-5"/>
                <w:sz w:val="24"/>
              </w:rPr>
              <w:t>278</w:t>
            </w:r>
          </w:p>
        </w:tc>
        <w:tc>
          <w:tcPr>
            <w:tcW w:w="1812" w:type="dxa"/>
          </w:tcPr>
          <w:p>
            <w:pPr>
              <w:pStyle w:val="TableParagraph"/>
              <w:spacing w:line="256" w:lineRule="exact"/>
              <w:ind w:left="537"/>
              <w:rPr>
                <w:sz w:val="24"/>
              </w:rPr>
            </w:pPr>
            <w:r>
              <w:rPr>
                <w:spacing w:val="-2"/>
                <w:sz w:val="24"/>
              </w:rPr>
              <w:t>75000</w:t>
            </w:r>
          </w:p>
        </w:tc>
        <w:tc>
          <w:tcPr>
            <w:tcW w:w="1573" w:type="dxa"/>
          </w:tcPr>
          <w:p>
            <w:pPr>
              <w:pStyle w:val="TableParagraph"/>
              <w:spacing w:line="256" w:lineRule="exact"/>
              <w:ind w:left="204"/>
              <w:rPr>
                <w:sz w:val="24"/>
              </w:rPr>
            </w:pPr>
            <w:r>
              <w:rPr>
                <w:spacing w:val="-5"/>
                <w:sz w:val="24"/>
              </w:rPr>
              <w:t>382</w:t>
            </w:r>
          </w:p>
        </w:tc>
      </w:tr>
      <w:tr>
        <w:trPr>
          <w:trHeight w:val="277" w:hRule="atLeast"/>
        </w:trPr>
        <w:tc>
          <w:tcPr>
            <w:tcW w:w="698" w:type="dxa"/>
            <w:tcBorders>
              <w:bottom w:val="single" w:sz="4" w:space="0" w:color="000000"/>
            </w:tcBorders>
          </w:tcPr>
          <w:p>
            <w:pPr>
              <w:pStyle w:val="TableParagraph"/>
              <w:spacing w:line="257" w:lineRule="exact"/>
              <w:ind w:left="117"/>
              <w:rPr>
                <w:sz w:val="24"/>
              </w:rPr>
            </w:pPr>
            <w:r>
              <w:rPr>
                <w:spacing w:val="-5"/>
                <w:sz w:val="24"/>
              </w:rPr>
              <w:t>210</w:t>
            </w:r>
          </w:p>
        </w:tc>
        <w:tc>
          <w:tcPr>
            <w:tcW w:w="1834" w:type="dxa"/>
            <w:gridSpan w:val="2"/>
            <w:tcBorders>
              <w:bottom w:val="single" w:sz="4" w:space="0" w:color="000000"/>
            </w:tcBorders>
          </w:tcPr>
          <w:p>
            <w:pPr>
              <w:pStyle w:val="TableParagraph"/>
              <w:spacing w:line="257" w:lineRule="exact"/>
              <w:ind w:left="893"/>
              <w:rPr>
                <w:sz w:val="24"/>
              </w:rPr>
            </w:pPr>
            <w:r>
              <w:rPr>
                <w:spacing w:val="-5"/>
                <w:sz w:val="24"/>
              </w:rPr>
              <w:t>136</w:t>
            </w:r>
          </w:p>
        </w:tc>
        <w:tc>
          <w:tcPr>
            <w:tcW w:w="1543" w:type="dxa"/>
            <w:tcBorders>
              <w:bottom w:val="single" w:sz="4" w:space="0" w:color="000000"/>
            </w:tcBorders>
          </w:tcPr>
          <w:p>
            <w:pPr>
              <w:pStyle w:val="TableParagraph"/>
              <w:spacing w:line="257" w:lineRule="exact"/>
              <w:ind w:left="537"/>
              <w:rPr>
                <w:sz w:val="24"/>
              </w:rPr>
            </w:pPr>
            <w:r>
              <w:rPr>
                <w:spacing w:val="-4"/>
                <w:sz w:val="24"/>
              </w:rPr>
              <w:t>1100</w:t>
            </w:r>
          </w:p>
        </w:tc>
        <w:tc>
          <w:tcPr>
            <w:tcW w:w="1409" w:type="dxa"/>
            <w:tcBorders>
              <w:bottom w:val="single" w:sz="4" w:space="0" w:color="000000"/>
            </w:tcBorders>
          </w:tcPr>
          <w:p>
            <w:pPr>
              <w:pStyle w:val="TableParagraph"/>
              <w:spacing w:line="257" w:lineRule="exact"/>
              <w:ind w:left="468"/>
              <w:rPr>
                <w:sz w:val="24"/>
              </w:rPr>
            </w:pPr>
            <w:r>
              <w:rPr>
                <w:spacing w:val="-5"/>
                <w:sz w:val="24"/>
              </w:rPr>
              <w:t>285</w:t>
            </w:r>
          </w:p>
        </w:tc>
        <w:tc>
          <w:tcPr>
            <w:tcW w:w="1812" w:type="dxa"/>
            <w:tcBorders>
              <w:bottom w:val="single" w:sz="4" w:space="0" w:color="000000"/>
            </w:tcBorders>
          </w:tcPr>
          <w:p>
            <w:pPr>
              <w:pStyle w:val="TableParagraph"/>
              <w:spacing w:line="257" w:lineRule="exact"/>
              <w:ind w:left="537"/>
              <w:rPr>
                <w:sz w:val="24"/>
              </w:rPr>
            </w:pPr>
            <w:r>
              <w:rPr>
                <w:spacing w:val="-2"/>
                <w:sz w:val="24"/>
              </w:rPr>
              <w:t>1,000,000</w:t>
            </w:r>
          </w:p>
        </w:tc>
        <w:tc>
          <w:tcPr>
            <w:tcW w:w="1573" w:type="dxa"/>
            <w:tcBorders>
              <w:bottom w:val="single" w:sz="4" w:space="0" w:color="000000"/>
            </w:tcBorders>
          </w:tcPr>
          <w:p>
            <w:pPr>
              <w:pStyle w:val="TableParagraph"/>
              <w:spacing w:line="257" w:lineRule="exact"/>
              <w:ind w:left="204"/>
              <w:rPr>
                <w:sz w:val="24"/>
              </w:rPr>
            </w:pPr>
            <w:r>
              <w:rPr>
                <w:spacing w:val="-5"/>
                <w:sz w:val="24"/>
              </w:rPr>
              <w:t>384</w:t>
            </w:r>
          </w:p>
        </w:tc>
      </w:tr>
      <w:tr>
        <w:trPr>
          <w:trHeight w:val="540" w:hRule="atLeast"/>
        </w:trPr>
        <w:tc>
          <w:tcPr>
            <w:tcW w:w="698" w:type="dxa"/>
            <w:tcBorders>
              <w:top w:val="single" w:sz="4" w:space="0" w:color="000000"/>
            </w:tcBorders>
          </w:tcPr>
          <w:p>
            <w:pPr>
              <w:pStyle w:val="TableParagraph"/>
              <w:spacing w:line="256" w:lineRule="exact" w:before="264"/>
              <w:ind w:left="117"/>
              <w:rPr>
                <w:rFonts w:ascii="Arial"/>
                <w:b/>
                <w:sz w:val="24"/>
              </w:rPr>
            </w:pPr>
            <w:r>
              <w:rPr>
                <w:rFonts w:ascii="Arial"/>
                <w:b/>
                <w:spacing w:val="-5"/>
                <w:sz w:val="24"/>
                <w:u w:val="single"/>
              </w:rPr>
              <w:t>Key</w:t>
            </w:r>
          </w:p>
        </w:tc>
        <w:tc>
          <w:tcPr>
            <w:tcW w:w="1834" w:type="dxa"/>
            <w:gridSpan w:val="2"/>
            <w:tcBorders>
              <w:top w:val="single" w:sz="4" w:space="0" w:color="000000"/>
            </w:tcBorders>
          </w:tcPr>
          <w:p>
            <w:pPr>
              <w:pStyle w:val="TableParagraph"/>
              <w:rPr>
                <w:rFonts w:ascii="Times New Roman"/>
                <w:sz w:val="24"/>
              </w:rPr>
            </w:pPr>
          </w:p>
        </w:tc>
        <w:tc>
          <w:tcPr>
            <w:tcW w:w="1543" w:type="dxa"/>
            <w:tcBorders>
              <w:top w:val="single" w:sz="4" w:space="0" w:color="000000"/>
            </w:tcBorders>
          </w:tcPr>
          <w:p>
            <w:pPr>
              <w:pStyle w:val="TableParagraph"/>
              <w:rPr>
                <w:rFonts w:ascii="Times New Roman"/>
                <w:sz w:val="24"/>
              </w:rPr>
            </w:pPr>
          </w:p>
        </w:tc>
        <w:tc>
          <w:tcPr>
            <w:tcW w:w="1409" w:type="dxa"/>
            <w:tcBorders>
              <w:top w:val="single" w:sz="4" w:space="0" w:color="000000"/>
            </w:tcBorders>
          </w:tcPr>
          <w:p>
            <w:pPr>
              <w:pStyle w:val="TableParagraph"/>
              <w:rPr>
                <w:rFonts w:ascii="Times New Roman"/>
                <w:sz w:val="24"/>
              </w:rPr>
            </w:pPr>
          </w:p>
        </w:tc>
        <w:tc>
          <w:tcPr>
            <w:tcW w:w="1812" w:type="dxa"/>
            <w:tcBorders>
              <w:top w:val="single" w:sz="4" w:space="0" w:color="000000"/>
            </w:tcBorders>
          </w:tcPr>
          <w:p>
            <w:pPr>
              <w:pStyle w:val="TableParagraph"/>
              <w:rPr>
                <w:rFonts w:ascii="Times New Roman"/>
                <w:sz w:val="24"/>
              </w:rPr>
            </w:pPr>
          </w:p>
        </w:tc>
        <w:tc>
          <w:tcPr>
            <w:tcW w:w="1573" w:type="dxa"/>
            <w:tcBorders>
              <w:top w:val="single" w:sz="4" w:space="0" w:color="000000"/>
            </w:tcBorders>
          </w:tcPr>
          <w:p>
            <w:pPr>
              <w:pStyle w:val="TableParagraph"/>
              <w:rPr>
                <w:rFonts w:ascii="Times New Roman"/>
                <w:sz w:val="24"/>
              </w:rPr>
            </w:pPr>
          </w:p>
        </w:tc>
      </w:tr>
      <w:tr>
        <w:trPr>
          <w:trHeight w:val="285" w:hRule="atLeast"/>
        </w:trPr>
        <w:tc>
          <w:tcPr>
            <w:tcW w:w="698" w:type="dxa"/>
          </w:tcPr>
          <w:p>
            <w:pPr>
              <w:pStyle w:val="TableParagraph"/>
              <w:spacing w:line="251" w:lineRule="exact"/>
              <w:ind w:left="117"/>
              <w:rPr>
                <w:sz w:val="24"/>
              </w:rPr>
            </w:pPr>
            <w:r>
              <w:rPr>
                <w:spacing w:val="-10"/>
                <w:sz w:val="24"/>
              </w:rPr>
              <w:t>N</w:t>
            </w:r>
          </w:p>
        </w:tc>
        <w:tc>
          <w:tcPr>
            <w:tcW w:w="570" w:type="dxa"/>
          </w:tcPr>
          <w:p>
            <w:pPr>
              <w:pStyle w:val="TableParagraph"/>
              <w:spacing w:line="251" w:lineRule="exact"/>
              <w:ind w:right="148"/>
              <w:jc w:val="center"/>
              <w:rPr>
                <w:sz w:val="24"/>
              </w:rPr>
            </w:pPr>
            <w:r>
              <w:rPr>
                <w:spacing w:val="-10"/>
                <w:sz w:val="24"/>
              </w:rPr>
              <w:t>=</w:t>
            </w:r>
          </w:p>
        </w:tc>
        <w:tc>
          <w:tcPr>
            <w:tcW w:w="7601" w:type="dxa"/>
            <w:gridSpan w:val="5"/>
          </w:tcPr>
          <w:p>
            <w:pPr>
              <w:pStyle w:val="TableParagraph"/>
              <w:spacing w:line="251" w:lineRule="exact"/>
              <w:ind w:left="289"/>
              <w:rPr>
                <w:sz w:val="24"/>
              </w:rPr>
            </w:pPr>
            <w:r>
              <w:rPr>
                <w:sz w:val="24"/>
              </w:rPr>
              <w:t>Population</w:t>
            </w:r>
            <w:r>
              <w:rPr>
                <w:spacing w:val="-10"/>
                <w:sz w:val="24"/>
              </w:rPr>
              <w:t> </w:t>
            </w:r>
            <w:r>
              <w:rPr>
                <w:spacing w:val="-4"/>
                <w:sz w:val="24"/>
              </w:rPr>
              <w:t>size</w:t>
            </w:r>
          </w:p>
        </w:tc>
      </w:tr>
      <w:tr>
        <w:trPr>
          <w:trHeight w:val="270" w:hRule="atLeast"/>
        </w:trPr>
        <w:tc>
          <w:tcPr>
            <w:tcW w:w="698" w:type="dxa"/>
          </w:tcPr>
          <w:p>
            <w:pPr>
              <w:pStyle w:val="TableParagraph"/>
              <w:spacing w:line="251" w:lineRule="exact"/>
              <w:ind w:left="117"/>
              <w:rPr>
                <w:sz w:val="24"/>
              </w:rPr>
            </w:pPr>
            <w:r>
              <w:rPr>
                <w:spacing w:val="-10"/>
                <w:sz w:val="24"/>
              </w:rPr>
              <w:t>S</w:t>
            </w:r>
          </w:p>
        </w:tc>
        <w:tc>
          <w:tcPr>
            <w:tcW w:w="570" w:type="dxa"/>
          </w:tcPr>
          <w:p>
            <w:pPr>
              <w:pStyle w:val="TableParagraph"/>
              <w:spacing w:line="251" w:lineRule="exact"/>
              <w:ind w:right="148"/>
              <w:jc w:val="center"/>
              <w:rPr>
                <w:sz w:val="24"/>
              </w:rPr>
            </w:pPr>
            <w:r>
              <w:rPr>
                <w:spacing w:val="-10"/>
                <w:sz w:val="24"/>
              </w:rPr>
              <w:t>=</w:t>
            </w:r>
          </w:p>
        </w:tc>
        <w:tc>
          <w:tcPr>
            <w:tcW w:w="7601" w:type="dxa"/>
            <w:gridSpan w:val="5"/>
          </w:tcPr>
          <w:p>
            <w:pPr>
              <w:pStyle w:val="TableParagraph"/>
              <w:spacing w:line="251" w:lineRule="exact"/>
              <w:ind w:left="289"/>
              <w:rPr>
                <w:sz w:val="24"/>
              </w:rPr>
            </w:pPr>
            <w:r>
              <w:rPr>
                <w:sz w:val="24"/>
              </w:rPr>
              <w:t>Sample</w:t>
            </w:r>
            <w:r>
              <w:rPr>
                <w:spacing w:val="-8"/>
                <w:sz w:val="24"/>
              </w:rPr>
              <w:t> </w:t>
            </w:r>
            <w:r>
              <w:rPr>
                <w:spacing w:val="-4"/>
                <w:sz w:val="24"/>
              </w:rPr>
              <w:t>size</w:t>
            </w:r>
          </w:p>
        </w:tc>
      </w:tr>
    </w:tbl>
    <w:p>
      <w:pPr>
        <w:pStyle w:val="BodyText"/>
        <w:spacing w:line="237" w:lineRule="auto" w:before="16"/>
        <w:ind w:left="220" w:right="299"/>
      </w:pPr>
      <w:r>
        <w:rPr/>
        <w:t>Krejcie,</w:t>
      </w:r>
      <w:r>
        <w:rPr>
          <w:spacing w:val="-5"/>
        </w:rPr>
        <w:t> </w:t>
      </w:r>
      <w:r>
        <w:rPr/>
        <w:t>R.W.</w:t>
      </w:r>
      <w:r>
        <w:rPr>
          <w:spacing w:val="-9"/>
        </w:rPr>
        <w:t> </w:t>
      </w:r>
      <w:r>
        <w:rPr/>
        <w:t>and</w:t>
      </w:r>
      <w:r>
        <w:rPr>
          <w:spacing w:val="-4"/>
        </w:rPr>
        <w:t> </w:t>
      </w:r>
      <w:r>
        <w:rPr/>
        <w:t>Morgan,</w:t>
      </w:r>
      <w:r>
        <w:rPr>
          <w:spacing w:val="-5"/>
        </w:rPr>
        <w:t> </w:t>
      </w:r>
      <w:r>
        <w:rPr/>
        <w:t>D.W.</w:t>
      </w:r>
      <w:r>
        <w:rPr>
          <w:spacing w:val="-5"/>
        </w:rPr>
        <w:t> </w:t>
      </w:r>
      <w:r>
        <w:rPr/>
        <w:t>(1970).</w:t>
      </w:r>
      <w:r>
        <w:rPr>
          <w:spacing w:val="40"/>
        </w:rPr>
        <w:t> </w:t>
      </w:r>
      <w:r>
        <w:rPr/>
        <w:t>Educational</w:t>
      </w:r>
      <w:r>
        <w:rPr>
          <w:spacing w:val="-1"/>
        </w:rPr>
        <w:t> </w:t>
      </w:r>
      <w:r>
        <w:rPr/>
        <w:t>and</w:t>
      </w:r>
      <w:r>
        <w:rPr>
          <w:spacing w:val="-4"/>
        </w:rPr>
        <w:t> </w:t>
      </w:r>
      <w:r>
        <w:rPr/>
        <w:t>Psychological</w:t>
      </w:r>
      <w:r>
        <w:rPr>
          <w:spacing w:val="-1"/>
        </w:rPr>
        <w:t> </w:t>
      </w:r>
      <w:r>
        <w:rPr/>
        <w:t>Measurement, Vol. 30, P.608.</w:t>
      </w:r>
    </w:p>
    <w:sectPr>
      <w:headerReference w:type="default" r:id="rId662"/>
      <w:footerReference w:type="default" r:id="rId663"/>
      <w:pgSz w:w="12240" w:h="15840"/>
      <w:pgMar w:header="722" w:footer="623" w:top="980" w:bottom="820" w:left="1220" w:right="114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w:altName w:val="Arial"/>
    <w:charset w:val="1"/>
    <w:family w:val="swiss"/>
    <w:pitch w:val="variable"/>
  </w:font>
  <w:font w:name="Arial MT">
    <w:altName w:val="Arial MT"/>
    <w:charset w:val="1"/>
    <w:family w:val="swiss"/>
    <w:pitch w:val="variable"/>
  </w:font>
  <w:font w:name="Wingdings">
    <w:altName w:val="Wingdings"/>
    <w:charset w:val="2"/>
    <w:family w:val="decorative"/>
    <w:pitch w:val="variable"/>
  </w:font>
  <w:font w:name="Symbol">
    <w:altName w:val="Symbol"/>
    <w:charset w:val="2"/>
    <w:family w:val="decorative"/>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28608">
              <wp:simplePos x="0" y="0"/>
              <wp:positionH relativeFrom="page">
                <wp:posOffset>3808476</wp:posOffset>
              </wp:positionH>
              <wp:positionV relativeFrom="page">
                <wp:posOffset>9416118</wp:posOffset>
              </wp:positionV>
              <wp:extent cx="165100" cy="194310"/>
              <wp:effectExtent l="0" t="0" r="0" b="0"/>
              <wp:wrapNone/>
              <wp:docPr id="6" name="Textbox 6"/>
              <wp:cNvGraphicFramePr>
                <a:graphicFrameLocks/>
              </wp:cNvGraphicFramePr>
              <a:graphic>
                <a:graphicData uri="http://schemas.microsoft.com/office/word/2010/wordprocessingShape">
                  <wps:wsp>
                    <wps:cNvPr id="6" name="Textbox 6"/>
                    <wps:cNvSpPr txBox="1"/>
                    <wps:spPr>
                      <a:xfrm>
                        <a:off x="0" y="0"/>
                        <a:ext cx="165100" cy="194310"/>
                      </a:xfrm>
                      <a:prstGeom prst="rect">
                        <a:avLst/>
                      </a:prstGeom>
                    </wps:spPr>
                    <wps:txbx>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3</w:t>
                          </w:r>
                          <w:r>
                            <w:rPr>
                              <w:rFonts w:ascii="Times New Roman"/>
                              <w:spacing w:val="-10"/>
                            </w:rPr>
                            <w:fldChar w:fldCharType="end"/>
                          </w:r>
                        </w:p>
                      </w:txbxContent>
                    </wps:txbx>
                    <wps:bodyPr wrap="square" lIns="0" tIns="0" rIns="0" bIns="0" rtlCol="0">
                      <a:noAutofit/>
                    </wps:bodyPr>
                  </wps:wsp>
                </a:graphicData>
              </a:graphic>
            </wp:anchor>
          </w:drawing>
        </mc:Choice>
        <mc:Fallback>
          <w:pict>
            <v:shape style="position:absolute;margin-left:299.880005pt;margin-top:741.426636pt;width:13pt;height:15.3pt;mso-position-horizontal-relative:page;mso-position-vertical-relative:page;z-index:-36687872" type="#_x0000_t202" id="docshape6" filled="false" stroked="false">
              <v:textbox inset="0,0,0,0">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3</w:t>
                    </w:r>
                    <w:r>
                      <w:rPr>
                        <w:rFonts w:ascii="Times New Roman"/>
                        <w:spacing w:val="-10"/>
                      </w:rPr>
                      <w:fldChar w:fldCharType="end"/>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47040">
              <wp:simplePos x="0" y="0"/>
              <wp:positionH relativeFrom="page">
                <wp:posOffset>3771900</wp:posOffset>
              </wp:positionH>
              <wp:positionV relativeFrom="page">
                <wp:posOffset>9416118</wp:posOffset>
              </wp:positionV>
              <wp:extent cx="241300" cy="194310"/>
              <wp:effectExtent l="0" t="0" r="0" b="0"/>
              <wp:wrapNone/>
              <wp:docPr id="24" name="Textbox 24"/>
              <wp:cNvGraphicFramePr>
                <a:graphicFrameLocks/>
              </wp:cNvGraphicFramePr>
              <a:graphic>
                <a:graphicData uri="http://schemas.microsoft.com/office/word/2010/wordprocessingShape">
                  <wps:wsp>
                    <wps:cNvPr id="24" name="Textbox 24"/>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69440" type="#_x0000_t202" id="docshape2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w:t>
                    </w:r>
                    <w:r>
                      <w:rPr>
                        <w:rFonts w:ascii="Times New Roman"/>
                        <w:spacing w:val="-5"/>
                      </w:rPr>
                      <w:fldChar w:fldCharType="end"/>
                    </w:r>
                  </w:p>
                </w:txbxContent>
              </v:textbox>
              <w10:wrap type="none"/>
            </v:shape>
          </w:pict>
        </mc:Fallback>
      </mc:AlternateContent>
    </w:r>
  </w:p>
</w:ftr>
</file>

<file path=word/footer10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38176">
              <wp:simplePos x="0" y="0"/>
              <wp:positionH relativeFrom="page">
                <wp:posOffset>3732276</wp:posOffset>
              </wp:positionH>
              <wp:positionV relativeFrom="page">
                <wp:posOffset>9416118</wp:posOffset>
              </wp:positionV>
              <wp:extent cx="317500" cy="194310"/>
              <wp:effectExtent l="0" t="0" r="0" b="0"/>
              <wp:wrapNone/>
              <wp:docPr id="202" name="Textbox 202"/>
              <wp:cNvGraphicFramePr>
                <a:graphicFrameLocks/>
              </wp:cNvGraphicFramePr>
              <a:graphic>
                <a:graphicData uri="http://schemas.microsoft.com/office/word/2010/wordprocessingShape">
                  <wps:wsp>
                    <wps:cNvPr id="202" name="Textbox 20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78304" type="#_x0000_t202" id="docshape20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111</w:t>
                    </w:r>
                    <w:r>
                      <w:rPr>
                        <w:rFonts w:ascii="Times New Roman"/>
                        <w:spacing w:val="-5"/>
                      </w:rPr>
                      <w:fldChar w:fldCharType="end"/>
                    </w:r>
                  </w:p>
                </w:txbxContent>
              </v:textbox>
              <w10:wrap type="none"/>
            </v:shape>
          </w:pict>
        </mc:Fallback>
      </mc:AlternateContent>
    </w:r>
  </w:p>
</w:ftr>
</file>

<file path=word/footer10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39200">
              <wp:simplePos x="0" y="0"/>
              <wp:positionH relativeFrom="page">
                <wp:posOffset>3732276</wp:posOffset>
              </wp:positionH>
              <wp:positionV relativeFrom="page">
                <wp:posOffset>9416118</wp:posOffset>
              </wp:positionV>
              <wp:extent cx="317500" cy="194310"/>
              <wp:effectExtent l="0" t="0" r="0" b="0"/>
              <wp:wrapNone/>
              <wp:docPr id="204" name="Textbox 204"/>
              <wp:cNvGraphicFramePr>
                <a:graphicFrameLocks/>
              </wp:cNvGraphicFramePr>
              <a:graphic>
                <a:graphicData uri="http://schemas.microsoft.com/office/word/2010/wordprocessingShape">
                  <wps:wsp>
                    <wps:cNvPr id="204" name="Textbox 20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77280" type="#_x0000_t202" id="docshape20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112</w:t>
                    </w:r>
                    <w:r>
                      <w:rPr>
                        <w:rFonts w:ascii="Times New Roman"/>
                        <w:spacing w:val="-5"/>
                      </w:rPr>
                      <w:fldChar w:fldCharType="end"/>
                    </w:r>
                  </w:p>
                </w:txbxContent>
              </v:textbox>
              <w10:wrap type="none"/>
            </v:shape>
          </w:pict>
        </mc:Fallback>
      </mc:AlternateContent>
    </w:r>
  </w:p>
</w:ftr>
</file>

<file path=word/footer10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40224">
              <wp:simplePos x="0" y="0"/>
              <wp:positionH relativeFrom="page">
                <wp:posOffset>3732276</wp:posOffset>
              </wp:positionH>
              <wp:positionV relativeFrom="page">
                <wp:posOffset>9416118</wp:posOffset>
              </wp:positionV>
              <wp:extent cx="317500" cy="194310"/>
              <wp:effectExtent l="0" t="0" r="0" b="0"/>
              <wp:wrapNone/>
              <wp:docPr id="206" name="Textbox 206"/>
              <wp:cNvGraphicFramePr>
                <a:graphicFrameLocks/>
              </wp:cNvGraphicFramePr>
              <a:graphic>
                <a:graphicData uri="http://schemas.microsoft.com/office/word/2010/wordprocessingShape">
                  <wps:wsp>
                    <wps:cNvPr id="206" name="Textbox 20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76256" type="#_x0000_t202" id="docshape20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113</w:t>
                    </w:r>
                    <w:r>
                      <w:rPr>
                        <w:rFonts w:ascii="Times New Roman"/>
                        <w:spacing w:val="-5"/>
                      </w:rPr>
                      <w:fldChar w:fldCharType="end"/>
                    </w:r>
                  </w:p>
                </w:txbxContent>
              </v:textbox>
              <w10:wrap type="none"/>
            </v:shape>
          </w:pict>
        </mc:Fallback>
      </mc:AlternateContent>
    </w:r>
  </w:p>
</w:ftr>
</file>

<file path=word/footer10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41248">
              <wp:simplePos x="0" y="0"/>
              <wp:positionH relativeFrom="page">
                <wp:posOffset>3732276</wp:posOffset>
              </wp:positionH>
              <wp:positionV relativeFrom="page">
                <wp:posOffset>9416118</wp:posOffset>
              </wp:positionV>
              <wp:extent cx="317500" cy="194310"/>
              <wp:effectExtent l="0" t="0" r="0" b="0"/>
              <wp:wrapNone/>
              <wp:docPr id="208" name="Textbox 208"/>
              <wp:cNvGraphicFramePr>
                <a:graphicFrameLocks/>
              </wp:cNvGraphicFramePr>
              <a:graphic>
                <a:graphicData uri="http://schemas.microsoft.com/office/word/2010/wordprocessingShape">
                  <wps:wsp>
                    <wps:cNvPr id="208" name="Textbox 20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75232" type="#_x0000_t202" id="docshape20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114</w:t>
                    </w:r>
                    <w:r>
                      <w:rPr>
                        <w:rFonts w:ascii="Times New Roman"/>
                        <w:spacing w:val="-5"/>
                      </w:rPr>
                      <w:fldChar w:fldCharType="end"/>
                    </w:r>
                  </w:p>
                </w:txbxContent>
              </v:textbox>
              <w10:wrap type="none"/>
            </v:shape>
          </w:pict>
        </mc:Fallback>
      </mc:AlternateContent>
    </w:r>
  </w:p>
</w:ftr>
</file>

<file path=word/footer10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42272">
              <wp:simplePos x="0" y="0"/>
              <wp:positionH relativeFrom="page">
                <wp:posOffset>3732276</wp:posOffset>
              </wp:positionH>
              <wp:positionV relativeFrom="page">
                <wp:posOffset>9416118</wp:posOffset>
              </wp:positionV>
              <wp:extent cx="317500" cy="194310"/>
              <wp:effectExtent l="0" t="0" r="0" b="0"/>
              <wp:wrapNone/>
              <wp:docPr id="210" name="Textbox 210"/>
              <wp:cNvGraphicFramePr>
                <a:graphicFrameLocks/>
              </wp:cNvGraphicFramePr>
              <a:graphic>
                <a:graphicData uri="http://schemas.microsoft.com/office/word/2010/wordprocessingShape">
                  <wps:wsp>
                    <wps:cNvPr id="210" name="Textbox 21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74208" type="#_x0000_t202" id="docshape21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115</w:t>
                    </w:r>
                    <w:r>
                      <w:rPr>
                        <w:rFonts w:ascii="Times New Roman"/>
                        <w:spacing w:val="-5"/>
                      </w:rPr>
                      <w:fldChar w:fldCharType="end"/>
                    </w:r>
                  </w:p>
                </w:txbxContent>
              </v:textbox>
              <w10:wrap type="none"/>
            </v:shape>
          </w:pict>
        </mc:Fallback>
      </mc:AlternateContent>
    </w:r>
  </w:p>
</w:ftr>
</file>

<file path=word/footer10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43296">
              <wp:simplePos x="0" y="0"/>
              <wp:positionH relativeFrom="page">
                <wp:posOffset>3732276</wp:posOffset>
              </wp:positionH>
              <wp:positionV relativeFrom="page">
                <wp:posOffset>9416118</wp:posOffset>
              </wp:positionV>
              <wp:extent cx="317500" cy="194310"/>
              <wp:effectExtent l="0" t="0" r="0" b="0"/>
              <wp:wrapNone/>
              <wp:docPr id="212" name="Textbox 212"/>
              <wp:cNvGraphicFramePr>
                <a:graphicFrameLocks/>
              </wp:cNvGraphicFramePr>
              <a:graphic>
                <a:graphicData uri="http://schemas.microsoft.com/office/word/2010/wordprocessingShape">
                  <wps:wsp>
                    <wps:cNvPr id="212" name="Textbox 21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73184" type="#_x0000_t202" id="docshape21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116</w:t>
                    </w:r>
                    <w:r>
                      <w:rPr>
                        <w:rFonts w:ascii="Times New Roman"/>
                        <w:spacing w:val="-5"/>
                      </w:rPr>
                      <w:fldChar w:fldCharType="end"/>
                    </w:r>
                  </w:p>
                </w:txbxContent>
              </v:textbox>
              <w10:wrap type="none"/>
            </v:shape>
          </w:pict>
        </mc:Fallback>
      </mc:AlternateContent>
    </w:r>
  </w:p>
</w:ftr>
</file>

<file path=word/footer10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44320">
              <wp:simplePos x="0" y="0"/>
              <wp:positionH relativeFrom="page">
                <wp:posOffset>3732276</wp:posOffset>
              </wp:positionH>
              <wp:positionV relativeFrom="page">
                <wp:posOffset>9416118</wp:posOffset>
              </wp:positionV>
              <wp:extent cx="317500" cy="194310"/>
              <wp:effectExtent l="0" t="0" r="0" b="0"/>
              <wp:wrapNone/>
              <wp:docPr id="214" name="Textbox 214"/>
              <wp:cNvGraphicFramePr>
                <a:graphicFrameLocks/>
              </wp:cNvGraphicFramePr>
              <a:graphic>
                <a:graphicData uri="http://schemas.microsoft.com/office/word/2010/wordprocessingShape">
                  <wps:wsp>
                    <wps:cNvPr id="214" name="Textbox 21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72160" type="#_x0000_t202" id="docshape21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117</w:t>
                    </w:r>
                    <w:r>
                      <w:rPr>
                        <w:rFonts w:ascii="Times New Roman"/>
                        <w:spacing w:val="-5"/>
                      </w:rPr>
                      <w:fldChar w:fldCharType="end"/>
                    </w:r>
                  </w:p>
                </w:txbxContent>
              </v:textbox>
              <w10:wrap type="none"/>
            </v:shape>
          </w:pict>
        </mc:Fallback>
      </mc:AlternateContent>
    </w:r>
  </w:p>
</w:ftr>
</file>

<file path=word/footer10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45344">
              <wp:simplePos x="0" y="0"/>
              <wp:positionH relativeFrom="page">
                <wp:posOffset>3732276</wp:posOffset>
              </wp:positionH>
              <wp:positionV relativeFrom="page">
                <wp:posOffset>9416118</wp:posOffset>
              </wp:positionV>
              <wp:extent cx="317500" cy="194310"/>
              <wp:effectExtent l="0" t="0" r="0" b="0"/>
              <wp:wrapNone/>
              <wp:docPr id="216" name="Textbox 216"/>
              <wp:cNvGraphicFramePr>
                <a:graphicFrameLocks/>
              </wp:cNvGraphicFramePr>
              <a:graphic>
                <a:graphicData uri="http://schemas.microsoft.com/office/word/2010/wordprocessingShape">
                  <wps:wsp>
                    <wps:cNvPr id="216" name="Textbox 21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71136" type="#_x0000_t202" id="docshape21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118</w:t>
                    </w:r>
                    <w:r>
                      <w:rPr>
                        <w:rFonts w:ascii="Times New Roman"/>
                        <w:spacing w:val="-5"/>
                      </w:rPr>
                      <w:fldChar w:fldCharType="end"/>
                    </w:r>
                  </w:p>
                </w:txbxContent>
              </v:textbox>
              <w10:wrap type="none"/>
            </v:shape>
          </w:pict>
        </mc:Fallback>
      </mc:AlternateContent>
    </w:r>
  </w:p>
</w:ftr>
</file>

<file path=word/footer10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46368">
              <wp:simplePos x="0" y="0"/>
              <wp:positionH relativeFrom="page">
                <wp:posOffset>3732276</wp:posOffset>
              </wp:positionH>
              <wp:positionV relativeFrom="page">
                <wp:posOffset>9416118</wp:posOffset>
              </wp:positionV>
              <wp:extent cx="317500" cy="194310"/>
              <wp:effectExtent l="0" t="0" r="0" b="0"/>
              <wp:wrapNone/>
              <wp:docPr id="218" name="Textbox 218"/>
              <wp:cNvGraphicFramePr>
                <a:graphicFrameLocks/>
              </wp:cNvGraphicFramePr>
              <a:graphic>
                <a:graphicData uri="http://schemas.microsoft.com/office/word/2010/wordprocessingShape">
                  <wps:wsp>
                    <wps:cNvPr id="218" name="Textbox 21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70112" type="#_x0000_t202" id="docshape21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119</w:t>
                    </w:r>
                    <w:r>
                      <w:rPr>
                        <w:rFonts w:ascii="Times New Roman"/>
                        <w:spacing w:val="-5"/>
                      </w:rPr>
                      <w:fldChar w:fldCharType="end"/>
                    </w:r>
                  </w:p>
                </w:txbxContent>
              </v:textbox>
              <w10:wrap type="none"/>
            </v:shape>
          </w:pict>
        </mc:Fallback>
      </mc:AlternateContent>
    </w:r>
  </w:p>
</w:ftr>
</file>

<file path=word/footer10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47392">
              <wp:simplePos x="0" y="0"/>
              <wp:positionH relativeFrom="page">
                <wp:posOffset>3732276</wp:posOffset>
              </wp:positionH>
              <wp:positionV relativeFrom="page">
                <wp:posOffset>9416118</wp:posOffset>
              </wp:positionV>
              <wp:extent cx="317500" cy="194310"/>
              <wp:effectExtent l="0" t="0" r="0" b="0"/>
              <wp:wrapNone/>
              <wp:docPr id="220" name="Textbox 220"/>
              <wp:cNvGraphicFramePr>
                <a:graphicFrameLocks/>
              </wp:cNvGraphicFramePr>
              <a:graphic>
                <a:graphicData uri="http://schemas.microsoft.com/office/word/2010/wordprocessingShape">
                  <wps:wsp>
                    <wps:cNvPr id="220" name="Textbox 22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69088" type="#_x0000_t202" id="docshape22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120</w:t>
                    </w:r>
                    <w:r>
                      <w:rPr>
                        <w:rFonts w:ascii="Times New Roman"/>
                        <w:spacing w:val="-5"/>
                      </w:rPr>
                      <w:fldChar w:fldCharType="end"/>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48064">
              <wp:simplePos x="0" y="0"/>
              <wp:positionH relativeFrom="page">
                <wp:posOffset>3771900</wp:posOffset>
              </wp:positionH>
              <wp:positionV relativeFrom="page">
                <wp:posOffset>9416118</wp:posOffset>
              </wp:positionV>
              <wp:extent cx="241300" cy="194310"/>
              <wp:effectExtent l="0" t="0" r="0" b="0"/>
              <wp:wrapNone/>
              <wp:docPr id="26" name="Textbox 26"/>
              <wp:cNvGraphicFramePr>
                <a:graphicFrameLocks/>
              </wp:cNvGraphicFramePr>
              <a:graphic>
                <a:graphicData uri="http://schemas.microsoft.com/office/word/2010/wordprocessingShape">
                  <wps:wsp>
                    <wps:cNvPr id="26" name="Textbox 26"/>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68416" type="#_x0000_t202" id="docshape2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w:t>
                    </w:r>
                    <w:r>
                      <w:rPr>
                        <w:rFonts w:ascii="Times New Roman"/>
                        <w:spacing w:val="-5"/>
                      </w:rPr>
                      <w:fldChar w:fldCharType="end"/>
                    </w:r>
                  </w:p>
                </w:txbxContent>
              </v:textbox>
              <w10:wrap type="none"/>
            </v:shape>
          </w:pict>
        </mc:Fallback>
      </mc:AlternateContent>
    </w:r>
  </w:p>
</w:ftr>
</file>

<file path=word/footer1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48416">
              <wp:simplePos x="0" y="0"/>
              <wp:positionH relativeFrom="page">
                <wp:posOffset>3732276</wp:posOffset>
              </wp:positionH>
              <wp:positionV relativeFrom="page">
                <wp:posOffset>9416118</wp:posOffset>
              </wp:positionV>
              <wp:extent cx="317500" cy="194310"/>
              <wp:effectExtent l="0" t="0" r="0" b="0"/>
              <wp:wrapNone/>
              <wp:docPr id="222" name="Textbox 222"/>
              <wp:cNvGraphicFramePr>
                <a:graphicFrameLocks/>
              </wp:cNvGraphicFramePr>
              <a:graphic>
                <a:graphicData uri="http://schemas.microsoft.com/office/word/2010/wordprocessingShape">
                  <wps:wsp>
                    <wps:cNvPr id="222" name="Textbox 22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68064" type="#_x0000_t202" id="docshape22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121</w:t>
                    </w:r>
                    <w:r>
                      <w:rPr>
                        <w:rFonts w:ascii="Times New Roman"/>
                        <w:spacing w:val="-5"/>
                      </w:rPr>
                      <w:fldChar w:fldCharType="end"/>
                    </w:r>
                  </w:p>
                </w:txbxContent>
              </v:textbox>
              <w10:wrap type="none"/>
            </v:shape>
          </w:pict>
        </mc:Fallback>
      </mc:AlternateContent>
    </w:r>
  </w:p>
</w:ftr>
</file>

<file path=word/footer1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49440">
              <wp:simplePos x="0" y="0"/>
              <wp:positionH relativeFrom="page">
                <wp:posOffset>3732276</wp:posOffset>
              </wp:positionH>
              <wp:positionV relativeFrom="page">
                <wp:posOffset>9416118</wp:posOffset>
              </wp:positionV>
              <wp:extent cx="317500" cy="194310"/>
              <wp:effectExtent l="0" t="0" r="0" b="0"/>
              <wp:wrapNone/>
              <wp:docPr id="224" name="Textbox 224"/>
              <wp:cNvGraphicFramePr>
                <a:graphicFrameLocks/>
              </wp:cNvGraphicFramePr>
              <a:graphic>
                <a:graphicData uri="http://schemas.microsoft.com/office/word/2010/wordprocessingShape">
                  <wps:wsp>
                    <wps:cNvPr id="224" name="Textbox 22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67040" type="#_x0000_t202" id="docshape22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122</w:t>
                    </w:r>
                    <w:r>
                      <w:rPr>
                        <w:rFonts w:ascii="Times New Roman"/>
                        <w:spacing w:val="-5"/>
                      </w:rPr>
                      <w:fldChar w:fldCharType="end"/>
                    </w:r>
                  </w:p>
                </w:txbxContent>
              </v:textbox>
              <w10:wrap type="none"/>
            </v:shape>
          </w:pict>
        </mc:Fallback>
      </mc:AlternateContent>
    </w:r>
  </w:p>
</w:ftr>
</file>

<file path=word/footer1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50464">
              <wp:simplePos x="0" y="0"/>
              <wp:positionH relativeFrom="page">
                <wp:posOffset>4783835</wp:posOffset>
              </wp:positionH>
              <wp:positionV relativeFrom="page">
                <wp:posOffset>7130118</wp:posOffset>
              </wp:positionV>
              <wp:extent cx="318135" cy="194310"/>
              <wp:effectExtent l="0" t="0" r="0" b="0"/>
              <wp:wrapNone/>
              <wp:docPr id="226" name="Textbox 226"/>
              <wp:cNvGraphicFramePr>
                <a:graphicFrameLocks/>
              </wp:cNvGraphicFramePr>
              <a:graphic>
                <a:graphicData uri="http://schemas.microsoft.com/office/word/2010/wordprocessingShape">
                  <wps:wsp>
                    <wps:cNvPr id="226" name="Textbox 226"/>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76.679993pt;margin-top:561.426636pt;width:25.05pt;height:15.3pt;mso-position-horizontal-relative:page;mso-position-vertical-relative:page;z-index:-36566016" type="#_x0000_t202" id="docshape22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123</w:t>
                    </w:r>
                    <w:r>
                      <w:rPr>
                        <w:rFonts w:ascii="Times New Roman"/>
                        <w:spacing w:val="-5"/>
                      </w:rPr>
                      <w:fldChar w:fldCharType="end"/>
                    </w:r>
                  </w:p>
                </w:txbxContent>
              </v:textbox>
              <w10:wrap type="none"/>
            </v:shape>
          </w:pict>
        </mc:Fallback>
      </mc:AlternateContent>
    </w:r>
  </w:p>
</w:ftr>
</file>

<file path=word/footer1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51488">
              <wp:simplePos x="0" y="0"/>
              <wp:positionH relativeFrom="page">
                <wp:posOffset>4783835</wp:posOffset>
              </wp:positionH>
              <wp:positionV relativeFrom="page">
                <wp:posOffset>7130118</wp:posOffset>
              </wp:positionV>
              <wp:extent cx="318135" cy="194310"/>
              <wp:effectExtent l="0" t="0" r="0" b="0"/>
              <wp:wrapNone/>
              <wp:docPr id="228" name="Textbox 228"/>
              <wp:cNvGraphicFramePr>
                <a:graphicFrameLocks/>
              </wp:cNvGraphicFramePr>
              <a:graphic>
                <a:graphicData uri="http://schemas.microsoft.com/office/word/2010/wordprocessingShape">
                  <wps:wsp>
                    <wps:cNvPr id="228" name="Textbox 228"/>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76.679993pt;margin-top:561.426636pt;width:25.05pt;height:15.3pt;mso-position-horizontal-relative:page;mso-position-vertical-relative:page;z-index:-36564992" type="#_x0000_t202" id="docshape22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124</w:t>
                    </w:r>
                    <w:r>
                      <w:rPr>
                        <w:rFonts w:ascii="Times New Roman"/>
                        <w:spacing w:val="-5"/>
                      </w:rPr>
                      <w:fldChar w:fldCharType="end"/>
                    </w:r>
                  </w:p>
                </w:txbxContent>
              </v:textbox>
              <w10:wrap type="none"/>
            </v:shape>
          </w:pict>
        </mc:Fallback>
      </mc:AlternateContent>
    </w:r>
  </w:p>
</w:ftr>
</file>

<file path=word/footer1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52512">
              <wp:simplePos x="0" y="0"/>
              <wp:positionH relativeFrom="page">
                <wp:posOffset>3732276</wp:posOffset>
              </wp:positionH>
              <wp:positionV relativeFrom="page">
                <wp:posOffset>9416118</wp:posOffset>
              </wp:positionV>
              <wp:extent cx="317500" cy="194310"/>
              <wp:effectExtent l="0" t="0" r="0" b="0"/>
              <wp:wrapNone/>
              <wp:docPr id="232" name="Textbox 232"/>
              <wp:cNvGraphicFramePr>
                <a:graphicFrameLocks/>
              </wp:cNvGraphicFramePr>
              <a:graphic>
                <a:graphicData uri="http://schemas.microsoft.com/office/word/2010/wordprocessingShape">
                  <wps:wsp>
                    <wps:cNvPr id="232" name="Textbox 23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63968" type="#_x0000_t202" id="docshape23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129</w:t>
                    </w:r>
                    <w:r>
                      <w:rPr>
                        <w:rFonts w:ascii="Times New Roman"/>
                        <w:spacing w:val="-5"/>
                      </w:rPr>
                      <w:fldChar w:fldCharType="end"/>
                    </w:r>
                  </w:p>
                </w:txbxContent>
              </v:textbox>
              <w10:wrap type="none"/>
            </v:shape>
          </w:pict>
        </mc:Fallback>
      </mc:AlternateContent>
    </w:r>
  </w:p>
</w:ftr>
</file>

<file path=word/footer1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53536">
              <wp:simplePos x="0" y="0"/>
              <wp:positionH relativeFrom="page">
                <wp:posOffset>3732276</wp:posOffset>
              </wp:positionH>
              <wp:positionV relativeFrom="page">
                <wp:posOffset>9416118</wp:posOffset>
              </wp:positionV>
              <wp:extent cx="317500" cy="194310"/>
              <wp:effectExtent l="0" t="0" r="0" b="0"/>
              <wp:wrapNone/>
              <wp:docPr id="234" name="Textbox 234"/>
              <wp:cNvGraphicFramePr>
                <a:graphicFrameLocks/>
              </wp:cNvGraphicFramePr>
              <a:graphic>
                <a:graphicData uri="http://schemas.microsoft.com/office/word/2010/wordprocessingShape">
                  <wps:wsp>
                    <wps:cNvPr id="234" name="Textbox 23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62944" type="#_x0000_t202" id="docshape23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130</w:t>
                    </w:r>
                    <w:r>
                      <w:rPr>
                        <w:rFonts w:ascii="Times New Roman"/>
                        <w:spacing w:val="-5"/>
                      </w:rPr>
                      <w:fldChar w:fldCharType="end"/>
                    </w:r>
                  </w:p>
                </w:txbxContent>
              </v:textbox>
              <w10:wrap type="none"/>
            </v:shape>
          </w:pict>
        </mc:Fallback>
      </mc:AlternateContent>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49088">
              <wp:simplePos x="0" y="0"/>
              <wp:positionH relativeFrom="page">
                <wp:posOffset>3771900</wp:posOffset>
              </wp:positionH>
              <wp:positionV relativeFrom="page">
                <wp:posOffset>9416118</wp:posOffset>
              </wp:positionV>
              <wp:extent cx="241300" cy="194310"/>
              <wp:effectExtent l="0" t="0" r="0" b="0"/>
              <wp:wrapNone/>
              <wp:docPr id="28" name="Textbox 28"/>
              <wp:cNvGraphicFramePr>
                <a:graphicFrameLocks/>
              </wp:cNvGraphicFramePr>
              <a:graphic>
                <a:graphicData uri="http://schemas.microsoft.com/office/word/2010/wordprocessingShape">
                  <wps:wsp>
                    <wps:cNvPr id="28" name="Textbox 28"/>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67392" type="#_x0000_t202" id="docshape2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w:t>
                    </w:r>
                    <w:r>
                      <w:rPr>
                        <w:rFonts w:ascii="Times New Roman"/>
                        <w:spacing w:val="-5"/>
                      </w:rPr>
                      <w:fldChar w:fldCharType="end"/>
                    </w:r>
                  </w:p>
                </w:txbxContent>
              </v:textbox>
              <w10:wrap type="none"/>
            </v:shape>
          </w:pict>
        </mc:Fallback>
      </mc:AlternateContent>
    </w:r>
  </w:p>
</w:ftr>
</file>

<file path=word/footer1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54560">
              <wp:simplePos x="0" y="0"/>
              <wp:positionH relativeFrom="page">
                <wp:posOffset>3732276</wp:posOffset>
              </wp:positionH>
              <wp:positionV relativeFrom="page">
                <wp:posOffset>9416118</wp:posOffset>
              </wp:positionV>
              <wp:extent cx="317500" cy="194310"/>
              <wp:effectExtent l="0" t="0" r="0" b="0"/>
              <wp:wrapNone/>
              <wp:docPr id="236" name="Textbox 236"/>
              <wp:cNvGraphicFramePr>
                <a:graphicFrameLocks/>
              </wp:cNvGraphicFramePr>
              <a:graphic>
                <a:graphicData uri="http://schemas.microsoft.com/office/word/2010/wordprocessingShape">
                  <wps:wsp>
                    <wps:cNvPr id="236" name="Textbox 23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61920" type="#_x0000_t202" id="docshape23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131</w:t>
                    </w:r>
                    <w:r>
                      <w:rPr>
                        <w:rFonts w:ascii="Times New Roman"/>
                        <w:spacing w:val="-5"/>
                      </w:rPr>
                      <w:fldChar w:fldCharType="end"/>
                    </w:r>
                  </w:p>
                </w:txbxContent>
              </v:textbox>
              <w10:wrap type="none"/>
            </v:shape>
          </w:pict>
        </mc:Fallback>
      </mc:AlternateContent>
    </w:r>
  </w:p>
</w:ftr>
</file>

<file path=word/footer1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55584">
              <wp:simplePos x="0" y="0"/>
              <wp:positionH relativeFrom="page">
                <wp:posOffset>3732276</wp:posOffset>
              </wp:positionH>
              <wp:positionV relativeFrom="page">
                <wp:posOffset>9416118</wp:posOffset>
              </wp:positionV>
              <wp:extent cx="317500" cy="194310"/>
              <wp:effectExtent l="0" t="0" r="0" b="0"/>
              <wp:wrapNone/>
              <wp:docPr id="238" name="Textbox 238"/>
              <wp:cNvGraphicFramePr>
                <a:graphicFrameLocks/>
              </wp:cNvGraphicFramePr>
              <a:graphic>
                <a:graphicData uri="http://schemas.microsoft.com/office/word/2010/wordprocessingShape">
                  <wps:wsp>
                    <wps:cNvPr id="238" name="Textbox 23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60896" type="#_x0000_t202" id="docshape23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132</w:t>
                    </w:r>
                    <w:r>
                      <w:rPr>
                        <w:rFonts w:ascii="Times New Roman"/>
                        <w:spacing w:val="-5"/>
                      </w:rPr>
                      <w:fldChar w:fldCharType="end"/>
                    </w:r>
                  </w:p>
                </w:txbxContent>
              </v:textbox>
              <w10:wrap type="none"/>
            </v:shape>
          </w:pict>
        </mc:Fallback>
      </mc:AlternateContent>
    </w:r>
  </w:p>
</w:ftr>
</file>

<file path=word/footer1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56608">
              <wp:simplePos x="0" y="0"/>
              <wp:positionH relativeFrom="page">
                <wp:posOffset>3732276</wp:posOffset>
              </wp:positionH>
              <wp:positionV relativeFrom="page">
                <wp:posOffset>9416118</wp:posOffset>
              </wp:positionV>
              <wp:extent cx="317500" cy="194310"/>
              <wp:effectExtent l="0" t="0" r="0" b="0"/>
              <wp:wrapNone/>
              <wp:docPr id="240" name="Textbox 240"/>
              <wp:cNvGraphicFramePr>
                <a:graphicFrameLocks/>
              </wp:cNvGraphicFramePr>
              <a:graphic>
                <a:graphicData uri="http://schemas.microsoft.com/office/word/2010/wordprocessingShape">
                  <wps:wsp>
                    <wps:cNvPr id="240" name="Textbox 24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59872" type="#_x0000_t202" id="docshape23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134</w:t>
                    </w:r>
                    <w:r>
                      <w:rPr>
                        <w:rFonts w:ascii="Times New Roman"/>
                        <w:spacing w:val="-5"/>
                      </w:rPr>
                      <w:fldChar w:fldCharType="end"/>
                    </w:r>
                  </w:p>
                </w:txbxContent>
              </v:textbox>
              <w10:wrap type="none"/>
            </v:shape>
          </w:pict>
        </mc:Fallback>
      </mc:AlternateContent>
    </w:r>
  </w:p>
</w:ftr>
</file>

<file path=word/footer1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57632">
              <wp:simplePos x="0" y="0"/>
              <wp:positionH relativeFrom="page">
                <wp:posOffset>3732276</wp:posOffset>
              </wp:positionH>
              <wp:positionV relativeFrom="page">
                <wp:posOffset>9416118</wp:posOffset>
              </wp:positionV>
              <wp:extent cx="317500" cy="194310"/>
              <wp:effectExtent l="0" t="0" r="0" b="0"/>
              <wp:wrapNone/>
              <wp:docPr id="242" name="Textbox 242"/>
              <wp:cNvGraphicFramePr>
                <a:graphicFrameLocks/>
              </wp:cNvGraphicFramePr>
              <a:graphic>
                <a:graphicData uri="http://schemas.microsoft.com/office/word/2010/wordprocessingShape">
                  <wps:wsp>
                    <wps:cNvPr id="242" name="Textbox 24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58848" type="#_x0000_t202" id="docshape24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135</w:t>
                    </w:r>
                    <w:r>
                      <w:rPr>
                        <w:rFonts w:ascii="Times New Roman"/>
                        <w:spacing w:val="-5"/>
                      </w:rPr>
                      <w:fldChar w:fldCharType="end"/>
                    </w:r>
                  </w:p>
                </w:txbxContent>
              </v:textbox>
              <w10:wrap type="none"/>
            </v:shape>
          </w:pict>
        </mc:Fallback>
      </mc:AlternateContent>
    </w:r>
  </w:p>
</w:ftr>
</file>

<file path=word/footer1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58656">
              <wp:simplePos x="0" y="0"/>
              <wp:positionH relativeFrom="page">
                <wp:posOffset>3732276</wp:posOffset>
              </wp:positionH>
              <wp:positionV relativeFrom="page">
                <wp:posOffset>9416118</wp:posOffset>
              </wp:positionV>
              <wp:extent cx="317500" cy="194310"/>
              <wp:effectExtent l="0" t="0" r="0" b="0"/>
              <wp:wrapNone/>
              <wp:docPr id="244" name="Textbox 244"/>
              <wp:cNvGraphicFramePr>
                <a:graphicFrameLocks/>
              </wp:cNvGraphicFramePr>
              <a:graphic>
                <a:graphicData uri="http://schemas.microsoft.com/office/word/2010/wordprocessingShape">
                  <wps:wsp>
                    <wps:cNvPr id="244" name="Textbox 24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57824" type="#_x0000_t202" id="docshape24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136</w:t>
                    </w:r>
                    <w:r>
                      <w:rPr>
                        <w:rFonts w:ascii="Times New Roman"/>
                        <w:spacing w:val="-5"/>
                      </w:rPr>
                      <w:fldChar w:fldCharType="end"/>
                    </w:r>
                  </w:p>
                </w:txbxContent>
              </v:textbox>
              <w10:wrap type="none"/>
            </v:shape>
          </w:pict>
        </mc:Fallback>
      </mc:AlternateContent>
    </w:r>
  </w:p>
</w:ftr>
</file>

<file path=word/footer1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59680">
              <wp:simplePos x="0" y="0"/>
              <wp:positionH relativeFrom="page">
                <wp:posOffset>3732276</wp:posOffset>
              </wp:positionH>
              <wp:positionV relativeFrom="page">
                <wp:posOffset>9416118</wp:posOffset>
              </wp:positionV>
              <wp:extent cx="317500" cy="194310"/>
              <wp:effectExtent l="0" t="0" r="0" b="0"/>
              <wp:wrapNone/>
              <wp:docPr id="246" name="Textbox 246"/>
              <wp:cNvGraphicFramePr>
                <a:graphicFrameLocks/>
              </wp:cNvGraphicFramePr>
              <a:graphic>
                <a:graphicData uri="http://schemas.microsoft.com/office/word/2010/wordprocessingShape">
                  <wps:wsp>
                    <wps:cNvPr id="246" name="Textbox 24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56800" type="#_x0000_t202" id="docshape24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137</w:t>
                    </w:r>
                    <w:r>
                      <w:rPr>
                        <w:rFonts w:ascii="Times New Roman"/>
                        <w:spacing w:val="-5"/>
                      </w:rPr>
                      <w:fldChar w:fldCharType="end"/>
                    </w:r>
                  </w:p>
                </w:txbxContent>
              </v:textbox>
              <w10:wrap type="none"/>
            </v:shape>
          </w:pict>
        </mc:Fallback>
      </mc:AlternateContent>
    </w:r>
  </w:p>
</w:ftr>
</file>

<file path=word/footer1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60704">
              <wp:simplePos x="0" y="0"/>
              <wp:positionH relativeFrom="page">
                <wp:posOffset>3732276</wp:posOffset>
              </wp:positionH>
              <wp:positionV relativeFrom="page">
                <wp:posOffset>9416118</wp:posOffset>
              </wp:positionV>
              <wp:extent cx="317500" cy="194310"/>
              <wp:effectExtent l="0" t="0" r="0" b="0"/>
              <wp:wrapNone/>
              <wp:docPr id="248" name="Textbox 248"/>
              <wp:cNvGraphicFramePr>
                <a:graphicFrameLocks/>
              </wp:cNvGraphicFramePr>
              <a:graphic>
                <a:graphicData uri="http://schemas.microsoft.com/office/word/2010/wordprocessingShape">
                  <wps:wsp>
                    <wps:cNvPr id="248" name="Textbox 24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55776" type="#_x0000_t202" id="docshape24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138</w:t>
                    </w:r>
                    <w:r>
                      <w:rPr>
                        <w:rFonts w:ascii="Times New Roman"/>
                        <w:spacing w:val="-5"/>
                      </w:rPr>
                      <w:fldChar w:fldCharType="end"/>
                    </w:r>
                  </w:p>
                </w:txbxContent>
              </v:textbox>
              <w10:wrap type="none"/>
            </v:shape>
          </w:pict>
        </mc:Fallback>
      </mc:AlternateContent>
    </w:r>
  </w:p>
</w:ftr>
</file>

<file path=word/footer1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61728">
              <wp:simplePos x="0" y="0"/>
              <wp:positionH relativeFrom="page">
                <wp:posOffset>3732276</wp:posOffset>
              </wp:positionH>
              <wp:positionV relativeFrom="page">
                <wp:posOffset>9416118</wp:posOffset>
              </wp:positionV>
              <wp:extent cx="317500" cy="194310"/>
              <wp:effectExtent l="0" t="0" r="0" b="0"/>
              <wp:wrapNone/>
              <wp:docPr id="250" name="Textbox 250"/>
              <wp:cNvGraphicFramePr>
                <a:graphicFrameLocks/>
              </wp:cNvGraphicFramePr>
              <a:graphic>
                <a:graphicData uri="http://schemas.microsoft.com/office/word/2010/wordprocessingShape">
                  <wps:wsp>
                    <wps:cNvPr id="250" name="Textbox 25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54752" type="#_x0000_t202" id="docshape24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139</w:t>
                    </w:r>
                    <w:r>
                      <w:rPr>
                        <w:rFonts w:ascii="Times New Roman"/>
                        <w:spacing w:val="-5"/>
                      </w:rPr>
                      <w:fldChar w:fldCharType="end"/>
                    </w:r>
                  </w:p>
                </w:txbxContent>
              </v:textbox>
              <w10:wrap type="none"/>
            </v:shape>
          </w:pict>
        </mc:Fallback>
      </mc:AlternateContent>
    </w:r>
  </w:p>
</w:ftr>
</file>

<file path=word/footer1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62752">
              <wp:simplePos x="0" y="0"/>
              <wp:positionH relativeFrom="page">
                <wp:posOffset>4783835</wp:posOffset>
              </wp:positionH>
              <wp:positionV relativeFrom="page">
                <wp:posOffset>7130118</wp:posOffset>
              </wp:positionV>
              <wp:extent cx="318135" cy="194310"/>
              <wp:effectExtent l="0" t="0" r="0" b="0"/>
              <wp:wrapNone/>
              <wp:docPr id="252" name="Textbox 252"/>
              <wp:cNvGraphicFramePr>
                <a:graphicFrameLocks/>
              </wp:cNvGraphicFramePr>
              <a:graphic>
                <a:graphicData uri="http://schemas.microsoft.com/office/word/2010/wordprocessingShape">
                  <wps:wsp>
                    <wps:cNvPr id="252" name="Textbox 252"/>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76.679993pt;margin-top:561.426636pt;width:25.05pt;height:15.3pt;mso-position-horizontal-relative:page;mso-position-vertical-relative:page;z-index:-36553728" type="#_x0000_t202" id="docshape25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140</w:t>
                    </w:r>
                    <w:r>
                      <w:rPr>
                        <w:rFonts w:ascii="Times New Roman"/>
                        <w:spacing w:val="-5"/>
                      </w:rPr>
                      <w:fldChar w:fldCharType="end"/>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50112">
              <wp:simplePos x="0" y="0"/>
              <wp:positionH relativeFrom="page">
                <wp:posOffset>3771900</wp:posOffset>
              </wp:positionH>
              <wp:positionV relativeFrom="page">
                <wp:posOffset>9416118</wp:posOffset>
              </wp:positionV>
              <wp:extent cx="241300" cy="194310"/>
              <wp:effectExtent l="0" t="0" r="0" b="0"/>
              <wp:wrapNone/>
              <wp:docPr id="30" name="Textbox 30"/>
              <wp:cNvGraphicFramePr>
                <a:graphicFrameLocks/>
              </wp:cNvGraphicFramePr>
              <a:graphic>
                <a:graphicData uri="http://schemas.microsoft.com/office/word/2010/wordprocessingShape">
                  <wps:wsp>
                    <wps:cNvPr id="30" name="Textbox 30"/>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66368" type="#_x0000_t202" id="docshape3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w:t>
                    </w:r>
                    <w:r>
                      <w:rPr>
                        <w:rFonts w:ascii="Times New Roman"/>
                        <w:spacing w:val="-5"/>
                      </w:rPr>
                      <w:fldChar w:fldCharType="end"/>
                    </w:r>
                  </w:p>
                </w:txbxContent>
              </v:textbox>
              <w10:wrap type="none"/>
            </v:shape>
          </w:pict>
        </mc:Fallback>
      </mc:AlternateContent>
    </w:r>
  </w:p>
</w:ftr>
</file>

<file path=word/footer13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63776">
              <wp:simplePos x="0" y="0"/>
              <wp:positionH relativeFrom="page">
                <wp:posOffset>4783835</wp:posOffset>
              </wp:positionH>
              <wp:positionV relativeFrom="page">
                <wp:posOffset>7130118</wp:posOffset>
              </wp:positionV>
              <wp:extent cx="318135" cy="194310"/>
              <wp:effectExtent l="0" t="0" r="0" b="0"/>
              <wp:wrapNone/>
              <wp:docPr id="254" name="Textbox 254"/>
              <wp:cNvGraphicFramePr>
                <a:graphicFrameLocks/>
              </wp:cNvGraphicFramePr>
              <a:graphic>
                <a:graphicData uri="http://schemas.microsoft.com/office/word/2010/wordprocessingShape">
                  <wps:wsp>
                    <wps:cNvPr id="254" name="Textbox 254"/>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76.679993pt;margin-top:561.426636pt;width:25.05pt;height:15.3pt;mso-position-horizontal-relative:page;mso-position-vertical-relative:page;z-index:-36552704" type="#_x0000_t202" id="docshape25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141</w:t>
                    </w:r>
                    <w:r>
                      <w:rPr>
                        <w:rFonts w:ascii="Times New Roman"/>
                        <w:spacing w:val="-5"/>
                      </w:rPr>
                      <w:fldChar w:fldCharType="end"/>
                    </w:r>
                  </w:p>
                </w:txbxContent>
              </v:textbox>
              <w10:wrap type="none"/>
            </v:shape>
          </w:pict>
        </mc:Fallback>
      </mc:AlternateContent>
    </w:r>
  </w:p>
</w:ftr>
</file>

<file path=word/footer13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64800">
              <wp:simplePos x="0" y="0"/>
              <wp:positionH relativeFrom="page">
                <wp:posOffset>3640835</wp:posOffset>
              </wp:positionH>
              <wp:positionV relativeFrom="page">
                <wp:posOffset>9416118</wp:posOffset>
              </wp:positionV>
              <wp:extent cx="317500" cy="194310"/>
              <wp:effectExtent l="0" t="0" r="0" b="0"/>
              <wp:wrapNone/>
              <wp:docPr id="256" name="Textbox 256"/>
              <wp:cNvGraphicFramePr>
                <a:graphicFrameLocks/>
              </wp:cNvGraphicFramePr>
              <a:graphic>
                <a:graphicData uri="http://schemas.microsoft.com/office/word/2010/wordprocessingShape">
                  <wps:wsp>
                    <wps:cNvPr id="256" name="Textbox 25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86.679993pt;margin-top:741.426636pt;width:25pt;height:15.3pt;mso-position-horizontal-relative:page;mso-position-vertical-relative:page;z-index:-36551680" type="#_x0000_t202" id="docshape25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113</w:t>
                    </w:r>
                    <w:r>
                      <w:rPr>
                        <w:rFonts w:ascii="Times New Roman"/>
                        <w:spacing w:val="-5"/>
                      </w:rPr>
                      <w:fldChar w:fldCharType="end"/>
                    </w:r>
                  </w:p>
                </w:txbxContent>
              </v:textbox>
              <w10:wrap type="none"/>
            </v:shape>
          </w:pict>
        </mc:Fallback>
      </mc:AlternateContent>
    </w:r>
  </w:p>
</w:ftr>
</file>

<file path=word/footer13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65824">
              <wp:simplePos x="0" y="0"/>
              <wp:positionH relativeFrom="page">
                <wp:posOffset>3640835</wp:posOffset>
              </wp:positionH>
              <wp:positionV relativeFrom="page">
                <wp:posOffset>9416118</wp:posOffset>
              </wp:positionV>
              <wp:extent cx="317500" cy="194310"/>
              <wp:effectExtent l="0" t="0" r="0" b="0"/>
              <wp:wrapNone/>
              <wp:docPr id="258" name="Textbox 258"/>
              <wp:cNvGraphicFramePr>
                <a:graphicFrameLocks/>
              </wp:cNvGraphicFramePr>
              <a:graphic>
                <a:graphicData uri="http://schemas.microsoft.com/office/word/2010/wordprocessingShape">
                  <wps:wsp>
                    <wps:cNvPr id="258" name="Textbox 25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86.679993pt;margin-top:741.426636pt;width:25pt;height:15.3pt;mso-position-horizontal-relative:page;mso-position-vertical-relative:page;z-index:-36550656" type="#_x0000_t202" id="docshape25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114</w:t>
                    </w:r>
                    <w:r>
                      <w:rPr>
                        <w:rFonts w:ascii="Times New Roman"/>
                        <w:spacing w:val="-5"/>
                      </w:rPr>
                      <w:fldChar w:fldCharType="end"/>
                    </w:r>
                  </w:p>
                </w:txbxContent>
              </v:textbox>
              <w10:wrap type="none"/>
            </v:shape>
          </w:pict>
        </mc:Fallback>
      </mc:AlternateContent>
    </w:r>
  </w:p>
</w:ftr>
</file>

<file path=word/footer13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66848">
              <wp:simplePos x="0" y="0"/>
              <wp:positionH relativeFrom="page">
                <wp:posOffset>3640835</wp:posOffset>
              </wp:positionH>
              <wp:positionV relativeFrom="page">
                <wp:posOffset>9416118</wp:posOffset>
              </wp:positionV>
              <wp:extent cx="317500" cy="194310"/>
              <wp:effectExtent l="0" t="0" r="0" b="0"/>
              <wp:wrapNone/>
              <wp:docPr id="260" name="Textbox 260"/>
              <wp:cNvGraphicFramePr>
                <a:graphicFrameLocks/>
              </wp:cNvGraphicFramePr>
              <a:graphic>
                <a:graphicData uri="http://schemas.microsoft.com/office/word/2010/wordprocessingShape">
                  <wps:wsp>
                    <wps:cNvPr id="260" name="Textbox 26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86.679993pt;margin-top:741.426636pt;width:25pt;height:15.3pt;mso-position-horizontal-relative:page;mso-position-vertical-relative:page;z-index:-36549632" type="#_x0000_t202" id="docshape25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115</w:t>
                    </w:r>
                    <w:r>
                      <w:rPr>
                        <w:rFonts w:ascii="Times New Roman"/>
                        <w:spacing w:val="-5"/>
                      </w:rPr>
                      <w:fldChar w:fldCharType="end"/>
                    </w:r>
                  </w:p>
                </w:txbxContent>
              </v:textbox>
              <w10:wrap type="none"/>
            </v:shape>
          </w:pict>
        </mc:Fallback>
      </mc:AlternateContent>
    </w:r>
  </w:p>
</w:ftr>
</file>

<file path=word/footer13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67872">
              <wp:simplePos x="0" y="0"/>
              <wp:positionH relativeFrom="page">
                <wp:posOffset>3640835</wp:posOffset>
              </wp:positionH>
              <wp:positionV relativeFrom="page">
                <wp:posOffset>9416118</wp:posOffset>
              </wp:positionV>
              <wp:extent cx="317500" cy="194310"/>
              <wp:effectExtent l="0" t="0" r="0" b="0"/>
              <wp:wrapNone/>
              <wp:docPr id="262" name="Textbox 262"/>
              <wp:cNvGraphicFramePr>
                <a:graphicFrameLocks/>
              </wp:cNvGraphicFramePr>
              <a:graphic>
                <a:graphicData uri="http://schemas.microsoft.com/office/word/2010/wordprocessingShape">
                  <wps:wsp>
                    <wps:cNvPr id="262" name="Textbox 26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86.679993pt;margin-top:741.426636pt;width:25pt;height:15.3pt;mso-position-horizontal-relative:page;mso-position-vertical-relative:page;z-index:-36548608" type="#_x0000_t202" id="docshape26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116</w:t>
                    </w:r>
                    <w:r>
                      <w:rPr>
                        <w:rFonts w:ascii="Times New Roman"/>
                        <w:spacing w:val="-5"/>
                      </w:rPr>
                      <w:fldChar w:fldCharType="end"/>
                    </w:r>
                  </w:p>
                </w:txbxContent>
              </v:textbox>
              <w10:wrap type="none"/>
            </v:shape>
          </w:pict>
        </mc:Fallback>
      </mc:AlternateContent>
    </w:r>
  </w:p>
</w:ftr>
</file>

<file path=word/footer13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68896">
              <wp:simplePos x="0" y="0"/>
              <wp:positionH relativeFrom="page">
                <wp:posOffset>3640835</wp:posOffset>
              </wp:positionH>
              <wp:positionV relativeFrom="page">
                <wp:posOffset>9416118</wp:posOffset>
              </wp:positionV>
              <wp:extent cx="317500" cy="194310"/>
              <wp:effectExtent l="0" t="0" r="0" b="0"/>
              <wp:wrapNone/>
              <wp:docPr id="264" name="Textbox 264"/>
              <wp:cNvGraphicFramePr>
                <a:graphicFrameLocks/>
              </wp:cNvGraphicFramePr>
              <a:graphic>
                <a:graphicData uri="http://schemas.microsoft.com/office/word/2010/wordprocessingShape">
                  <wps:wsp>
                    <wps:cNvPr id="264" name="Textbox 26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86.679993pt;margin-top:741.426636pt;width:25pt;height:15.3pt;mso-position-horizontal-relative:page;mso-position-vertical-relative:page;z-index:-36547584" type="#_x0000_t202" id="docshape26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117</w:t>
                    </w:r>
                    <w:r>
                      <w:rPr>
                        <w:rFonts w:ascii="Times New Roman"/>
                        <w:spacing w:val="-5"/>
                      </w:rPr>
                      <w:fldChar w:fldCharType="end"/>
                    </w:r>
                  </w:p>
                </w:txbxContent>
              </v:textbox>
              <w10:wrap type="none"/>
            </v:shape>
          </w:pict>
        </mc:Fallback>
      </mc:AlternateContent>
    </w:r>
  </w:p>
</w:ftr>
</file>

<file path=word/footer13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69920">
              <wp:simplePos x="0" y="0"/>
              <wp:positionH relativeFrom="page">
                <wp:posOffset>4875276</wp:posOffset>
              </wp:positionH>
              <wp:positionV relativeFrom="page">
                <wp:posOffset>7130118</wp:posOffset>
              </wp:positionV>
              <wp:extent cx="318135" cy="194310"/>
              <wp:effectExtent l="0" t="0" r="0" b="0"/>
              <wp:wrapNone/>
              <wp:docPr id="266" name="Textbox 266"/>
              <wp:cNvGraphicFramePr>
                <a:graphicFrameLocks/>
              </wp:cNvGraphicFramePr>
              <a:graphic>
                <a:graphicData uri="http://schemas.microsoft.com/office/word/2010/wordprocessingShape">
                  <wps:wsp>
                    <wps:cNvPr id="266" name="Textbox 266"/>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83.880005pt;margin-top:561.426636pt;width:25.05pt;height:15.3pt;mso-position-horizontal-relative:page;mso-position-vertical-relative:page;z-index:-36546560" type="#_x0000_t202" id="docshape26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118</w:t>
                    </w:r>
                    <w:r>
                      <w:rPr>
                        <w:rFonts w:ascii="Times New Roman"/>
                        <w:spacing w:val="-5"/>
                      </w:rPr>
                      <w:fldChar w:fldCharType="end"/>
                    </w:r>
                  </w:p>
                </w:txbxContent>
              </v:textbox>
              <w10:wrap type="none"/>
            </v:shape>
          </w:pict>
        </mc:Fallback>
      </mc:AlternateContent>
    </w:r>
  </w:p>
</w:ftr>
</file>

<file path=word/footer13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70944">
              <wp:simplePos x="0" y="0"/>
              <wp:positionH relativeFrom="page">
                <wp:posOffset>4875276</wp:posOffset>
              </wp:positionH>
              <wp:positionV relativeFrom="page">
                <wp:posOffset>7130118</wp:posOffset>
              </wp:positionV>
              <wp:extent cx="318135" cy="194310"/>
              <wp:effectExtent l="0" t="0" r="0" b="0"/>
              <wp:wrapNone/>
              <wp:docPr id="268" name="Textbox 268"/>
              <wp:cNvGraphicFramePr>
                <a:graphicFrameLocks/>
              </wp:cNvGraphicFramePr>
              <a:graphic>
                <a:graphicData uri="http://schemas.microsoft.com/office/word/2010/wordprocessingShape">
                  <wps:wsp>
                    <wps:cNvPr id="268" name="Textbox 268"/>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83.880005pt;margin-top:561.426636pt;width:25.05pt;height:15.3pt;mso-position-horizontal-relative:page;mso-position-vertical-relative:page;z-index:-36545536" type="#_x0000_t202" id="docshape26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119</w:t>
                    </w:r>
                    <w:r>
                      <w:rPr>
                        <w:rFonts w:ascii="Times New Roman"/>
                        <w:spacing w:val="-5"/>
                      </w:rPr>
                      <w:fldChar w:fldCharType="end"/>
                    </w:r>
                  </w:p>
                </w:txbxContent>
              </v:textbox>
              <w10:wrap type="none"/>
            </v:shape>
          </w:pict>
        </mc:Fallback>
      </mc:AlternateContent>
    </w:r>
  </w:p>
</w:ftr>
</file>

<file path=word/footer13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71968">
              <wp:simplePos x="0" y="0"/>
              <wp:positionH relativeFrom="page">
                <wp:posOffset>3732276</wp:posOffset>
              </wp:positionH>
              <wp:positionV relativeFrom="page">
                <wp:posOffset>9416118</wp:posOffset>
              </wp:positionV>
              <wp:extent cx="317500" cy="194310"/>
              <wp:effectExtent l="0" t="0" r="0" b="0"/>
              <wp:wrapNone/>
              <wp:docPr id="270" name="Textbox 270"/>
              <wp:cNvGraphicFramePr>
                <a:graphicFrameLocks/>
              </wp:cNvGraphicFramePr>
              <a:graphic>
                <a:graphicData uri="http://schemas.microsoft.com/office/word/2010/wordprocessingShape">
                  <wps:wsp>
                    <wps:cNvPr id="270" name="Textbox 27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44512" type="#_x0000_t202" id="docshape26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120</w:t>
                    </w:r>
                    <w:r>
                      <w:rPr>
                        <w:rFonts w:ascii="Times New Roman"/>
                        <w:spacing w:val="-5"/>
                      </w:rPr>
                      <w:fldChar w:fldCharType="end"/>
                    </w:r>
                  </w:p>
                </w:txbxContent>
              </v:textbox>
              <w10:wrap type="none"/>
            </v:shape>
          </w:pict>
        </mc:Fallback>
      </mc:AlternateContent>
    </w:r>
  </w:p>
</w:ftr>
</file>

<file path=word/footer13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72992">
              <wp:simplePos x="0" y="0"/>
              <wp:positionH relativeFrom="page">
                <wp:posOffset>3732276</wp:posOffset>
              </wp:positionH>
              <wp:positionV relativeFrom="page">
                <wp:posOffset>9416118</wp:posOffset>
              </wp:positionV>
              <wp:extent cx="317500" cy="194310"/>
              <wp:effectExtent l="0" t="0" r="0" b="0"/>
              <wp:wrapNone/>
              <wp:docPr id="272" name="Textbox 272"/>
              <wp:cNvGraphicFramePr>
                <a:graphicFrameLocks/>
              </wp:cNvGraphicFramePr>
              <a:graphic>
                <a:graphicData uri="http://schemas.microsoft.com/office/word/2010/wordprocessingShape">
                  <wps:wsp>
                    <wps:cNvPr id="272" name="Textbox 27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43488" type="#_x0000_t202" id="docshape27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121</w:t>
                    </w:r>
                    <w:r>
                      <w:rPr>
                        <w:rFonts w:ascii="Times New Roman"/>
                        <w:spacing w:val="-5"/>
                      </w:rPr>
                      <w:fldChar w:fldCharType="end"/>
                    </w:r>
                  </w:p>
                </w:txbxContent>
              </v:textbox>
              <w10:wrap type="none"/>
            </v:shape>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51136">
              <wp:simplePos x="0" y="0"/>
              <wp:positionH relativeFrom="page">
                <wp:posOffset>3771900</wp:posOffset>
              </wp:positionH>
              <wp:positionV relativeFrom="page">
                <wp:posOffset>9416118</wp:posOffset>
              </wp:positionV>
              <wp:extent cx="241300" cy="194310"/>
              <wp:effectExtent l="0" t="0" r="0" b="0"/>
              <wp:wrapNone/>
              <wp:docPr id="32" name="Textbox 32"/>
              <wp:cNvGraphicFramePr>
                <a:graphicFrameLocks/>
              </wp:cNvGraphicFramePr>
              <a:graphic>
                <a:graphicData uri="http://schemas.microsoft.com/office/word/2010/wordprocessingShape">
                  <wps:wsp>
                    <wps:cNvPr id="32" name="Textbox 32"/>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65344" type="#_x0000_t202" id="docshape3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w:t>
                    </w:r>
                    <w:r>
                      <w:rPr>
                        <w:rFonts w:ascii="Times New Roman"/>
                        <w:spacing w:val="-5"/>
                      </w:rPr>
                      <w:fldChar w:fldCharType="end"/>
                    </w:r>
                  </w:p>
                </w:txbxContent>
              </v:textbox>
              <w10:wrap type="none"/>
            </v:shape>
          </w:pict>
        </mc:Fallback>
      </mc:AlternateContent>
    </w:r>
  </w:p>
</w:ftr>
</file>

<file path=word/footer14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74016">
              <wp:simplePos x="0" y="0"/>
              <wp:positionH relativeFrom="page">
                <wp:posOffset>3732276</wp:posOffset>
              </wp:positionH>
              <wp:positionV relativeFrom="page">
                <wp:posOffset>9416118</wp:posOffset>
              </wp:positionV>
              <wp:extent cx="317500" cy="194310"/>
              <wp:effectExtent l="0" t="0" r="0" b="0"/>
              <wp:wrapNone/>
              <wp:docPr id="274" name="Textbox 274"/>
              <wp:cNvGraphicFramePr>
                <a:graphicFrameLocks/>
              </wp:cNvGraphicFramePr>
              <a:graphic>
                <a:graphicData uri="http://schemas.microsoft.com/office/word/2010/wordprocessingShape">
                  <wps:wsp>
                    <wps:cNvPr id="274" name="Textbox 27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42464" type="#_x0000_t202" id="docshape27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122</w:t>
                    </w:r>
                    <w:r>
                      <w:rPr>
                        <w:rFonts w:ascii="Times New Roman"/>
                        <w:spacing w:val="-5"/>
                      </w:rPr>
                      <w:fldChar w:fldCharType="end"/>
                    </w:r>
                  </w:p>
                </w:txbxContent>
              </v:textbox>
              <w10:wrap type="none"/>
            </v:shape>
          </w:pict>
        </mc:Fallback>
      </mc:AlternateContent>
    </w:r>
  </w:p>
</w:ftr>
</file>

<file path=word/footer14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75040">
              <wp:simplePos x="0" y="0"/>
              <wp:positionH relativeFrom="page">
                <wp:posOffset>4783835</wp:posOffset>
              </wp:positionH>
              <wp:positionV relativeFrom="page">
                <wp:posOffset>7130118</wp:posOffset>
              </wp:positionV>
              <wp:extent cx="318135" cy="194310"/>
              <wp:effectExtent l="0" t="0" r="0" b="0"/>
              <wp:wrapNone/>
              <wp:docPr id="276" name="Textbox 276"/>
              <wp:cNvGraphicFramePr>
                <a:graphicFrameLocks/>
              </wp:cNvGraphicFramePr>
              <a:graphic>
                <a:graphicData uri="http://schemas.microsoft.com/office/word/2010/wordprocessingShape">
                  <wps:wsp>
                    <wps:cNvPr id="276" name="Textbox 276"/>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76.679993pt;margin-top:561.426636pt;width:25.05pt;height:15.3pt;mso-position-horizontal-relative:page;mso-position-vertical-relative:page;z-index:-36541440" type="#_x0000_t202" id="docshape27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123</w:t>
                    </w:r>
                    <w:r>
                      <w:rPr>
                        <w:rFonts w:ascii="Times New Roman"/>
                        <w:spacing w:val="-5"/>
                      </w:rPr>
                      <w:fldChar w:fldCharType="end"/>
                    </w:r>
                  </w:p>
                </w:txbxContent>
              </v:textbox>
              <w10:wrap type="none"/>
            </v:shape>
          </w:pict>
        </mc:Fallback>
      </mc:AlternateContent>
    </w:r>
  </w:p>
</w:ftr>
</file>

<file path=word/footer14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76064">
              <wp:simplePos x="0" y="0"/>
              <wp:positionH relativeFrom="page">
                <wp:posOffset>4783835</wp:posOffset>
              </wp:positionH>
              <wp:positionV relativeFrom="page">
                <wp:posOffset>7130118</wp:posOffset>
              </wp:positionV>
              <wp:extent cx="318135" cy="194310"/>
              <wp:effectExtent l="0" t="0" r="0" b="0"/>
              <wp:wrapNone/>
              <wp:docPr id="278" name="Textbox 278"/>
              <wp:cNvGraphicFramePr>
                <a:graphicFrameLocks/>
              </wp:cNvGraphicFramePr>
              <a:graphic>
                <a:graphicData uri="http://schemas.microsoft.com/office/word/2010/wordprocessingShape">
                  <wps:wsp>
                    <wps:cNvPr id="278" name="Textbox 278"/>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76.679993pt;margin-top:561.426636pt;width:25.05pt;height:15.3pt;mso-position-horizontal-relative:page;mso-position-vertical-relative:page;z-index:-36540416" type="#_x0000_t202" id="docshape27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124</w:t>
                    </w:r>
                    <w:r>
                      <w:rPr>
                        <w:rFonts w:ascii="Times New Roman"/>
                        <w:spacing w:val="-5"/>
                      </w:rPr>
                      <w:fldChar w:fldCharType="end"/>
                    </w:r>
                  </w:p>
                </w:txbxContent>
              </v:textbox>
              <w10:wrap type="none"/>
            </v:shape>
          </w:pict>
        </mc:Fallback>
      </mc:AlternateContent>
    </w:r>
  </w:p>
</w:ftr>
</file>

<file path=word/footer14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77088">
              <wp:simplePos x="0" y="0"/>
              <wp:positionH relativeFrom="page">
                <wp:posOffset>3732276</wp:posOffset>
              </wp:positionH>
              <wp:positionV relativeFrom="page">
                <wp:posOffset>9416118</wp:posOffset>
              </wp:positionV>
              <wp:extent cx="317500" cy="194310"/>
              <wp:effectExtent l="0" t="0" r="0" b="0"/>
              <wp:wrapNone/>
              <wp:docPr id="280" name="Textbox 280"/>
              <wp:cNvGraphicFramePr>
                <a:graphicFrameLocks/>
              </wp:cNvGraphicFramePr>
              <a:graphic>
                <a:graphicData uri="http://schemas.microsoft.com/office/word/2010/wordprocessingShape">
                  <wps:wsp>
                    <wps:cNvPr id="280" name="Textbox 28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39392" type="#_x0000_t202" id="docshape27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125</w:t>
                    </w:r>
                    <w:r>
                      <w:rPr>
                        <w:rFonts w:ascii="Times New Roman"/>
                        <w:spacing w:val="-5"/>
                      </w:rPr>
                      <w:fldChar w:fldCharType="end"/>
                    </w:r>
                  </w:p>
                </w:txbxContent>
              </v:textbox>
              <w10:wrap type="none"/>
            </v:shape>
          </w:pict>
        </mc:Fallback>
      </mc:AlternateContent>
    </w:r>
  </w:p>
</w:ftr>
</file>

<file path=word/footer14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78112">
              <wp:simplePos x="0" y="0"/>
              <wp:positionH relativeFrom="page">
                <wp:posOffset>3732276</wp:posOffset>
              </wp:positionH>
              <wp:positionV relativeFrom="page">
                <wp:posOffset>9416118</wp:posOffset>
              </wp:positionV>
              <wp:extent cx="317500" cy="194310"/>
              <wp:effectExtent l="0" t="0" r="0" b="0"/>
              <wp:wrapNone/>
              <wp:docPr id="282" name="Textbox 282"/>
              <wp:cNvGraphicFramePr>
                <a:graphicFrameLocks/>
              </wp:cNvGraphicFramePr>
              <a:graphic>
                <a:graphicData uri="http://schemas.microsoft.com/office/word/2010/wordprocessingShape">
                  <wps:wsp>
                    <wps:cNvPr id="282" name="Textbox 28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38368" type="#_x0000_t202" id="docshape28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126</w:t>
                    </w:r>
                    <w:r>
                      <w:rPr>
                        <w:rFonts w:ascii="Times New Roman"/>
                        <w:spacing w:val="-5"/>
                      </w:rPr>
                      <w:fldChar w:fldCharType="end"/>
                    </w:r>
                  </w:p>
                </w:txbxContent>
              </v:textbox>
              <w10:wrap type="none"/>
            </v:shape>
          </w:pict>
        </mc:Fallback>
      </mc:AlternateContent>
    </w:r>
  </w:p>
</w:ftr>
</file>

<file path=word/footer14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79136">
              <wp:simplePos x="0" y="0"/>
              <wp:positionH relativeFrom="page">
                <wp:posOffset>3732276</wp:posOffset>
              </wp:positionH>
              <wp:positionV relativeFrom="page">
                <wp:posOffset>9416118</wp:posOffset>
              </wp:positionV>
              <wp:extent cx="317500" cy="194310"/>
              <wp:effectExtent l="0" t="0" r="0" b="0"/>
              <wp:wrapNone/>
              <wp:docPr id="284" name="Textbox 284"/>
              <wp:cNvGraphicFramePr>
                <a:graphicFrameLocks/>
              </wp:cNvGraphicFramePr>
              <a:graphic>
                <a:graphicData uri="http://schemas.microsoft.com/office/word/2010/wordprocessingShape">
                  <wps:wsp>
                    <wps:cNvPr id="284" name="Textbox 28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37344" type="#_x0000_t202" id="docshape28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127</w:t>
                    </w:r>
                    <w:r>
                      <w:rPr>
                        <w:rFonts w:ascii="Times New Roman"/>
                        <w:spacing w:val="-5"/>
                      </w:rPr>
                      <w:fldChar w:fldCharType="end"/>
                    </w:r>
                  </w:p>
                </w:txbxContent>
              </v:textbox>
              <w10:wrap type="none"/>
            </v:shape>
          </w:pict>
        </mc:Fallback>
      </mc:AlternateContent>
    </w:r>
  </w:p>
</w:ftr>
</file>

<file path=word/footer14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4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80160">
              <wp:simplePos x="0" y="0"/>
              <wp:positionH relativeFrom="page">
                <wp:posOffset>3732276</wp:posOffset>
              </wp:positionH>
              <wp:positionV relativeFrom="page">
                <wp:posOffset>9416118</wp:posOffset>
              </wp:positionV>
              <wp:extent cx="317500" cy="194310"/>
              <wp:effectExtent l="0" t="0" r="0" b="0"/>
              <wp:wrapNone/>
              <wp:docPr id="286" name="Textbox 286"/>
              <wp:cNvGraphicFramePr>
                <a:graphicFrameLocks/>
              </wp:cNvGraphicFramePr>
              <a:graphic>
                <a:graphicData uri="http://schemas.microsoft.com/office/word/2010/wordprocessingShape">
                  <wps:wsp>
                    <wps:cNvPr id="286" name="Textbox 28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36320" type="#_x0000_t202" id="docshape28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129</w:t>
                    </w:r>
                    <w:r>
                      <w:rPr>
                        <w:rFonts w:ascii="Times New Roman"/>
                        <w:spacing w:val="-5"/>
                      </w:rPr>
                      <w:fldChar w:fldCharType="end"/>
                    </w:r>
                  </w:p>
                </w:txbxContent>
              </v:textbox>
              <w10:wrap type="none"/>
            </v:shape>
          </w:pict>
        </mc:Fallback>
      </mc:AlternateContent>
    </w:r>
  </w:p>
</w:ftr>
</file>

<file path=word/footer14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81184">
              <wp:simplePos x="0" y="0"/>
              <wp:positionH relativeFrom="page">
                <wp:posOffset>3732276</wp:posOffset>
              </wp:positionH>
              <wp:positionV relativeFrom="page">
                <wp:posOffset>9416118</wp:posOffset>
              </wp:positionV>
              <wp:extent cx="317500" cy="194310"/>
              <wp:effectExtent l="0" t="0" r="0" b="0"/>
              <wp:wrapNone/>
              <wp:docPr id="288" name="Textbox 288"/>
              <wp:cNvGraphicFramePr>
                <a:graphicFrameLocks/>
              </wp:cNvGraphicFramePr>
              <a:graphic>
                <a:graphicData uri="http://schemas.microsoft.com/office/word/2010/wordprocessingShape">
                  <wps:wsp>
                    <wps:cNvPr id="288" name="Textbox 28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35296" type="#_x0000_t202" id="docshape28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130</w:t>
                    </w:r>
                    <w:r>
                      <w:rPr>
                        <w:rFonts w:ascii="Times New Roman"/>
                        <w:spacing w:val="-5"/>
                      </w:rPr>
                      <w:fldChar w:fldCharType="end"/>
                    </w:r>
                  </w:p>
                </w:txbxContent>
              </v:textbox>
              <w10:wrap type="none"/>
            </v:shape>
          </w:pict>
        </mc:Fallback>
      </mc:AlternateContent>
    </w:r>
  </w:p>
</w:ftr>
</file>

<file path=word/footer14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82208">
              <wp:simplePos x="0" y="0"/>
              <wp:positionH relativeFrom="page">
                <wp:posOffset>3732276</wp:posOffset>
              </wp:positionH>
              <wp:positionV relativeFrom="page">
                <wp:posOffset>9416118</wp:posOffset>
              </wp:positionV>
              <wp:extent cx="317500" cy="194310"/>
              <wp:effectExtent l="0" t="0" r="0" b="0"/>
              <wp:wrapNone/>
              <wp:docPr id="290" name="Textbox 290"/>
              <wp:cNvGraphicFramePr>
                <a:graphicFrameLocks/>
              </wp:cNvGraphicFramePr>
              <a:graphic>
                <a:graphicData uri="http://schemas.microsoft.com/office/word/2010/wordprocessingShape">
                  <wps:wsp>
                    <wps:cNvPr id="290" name="Textbox 29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34272" type="#_x0000_t202" id="docshape28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131</w:t>
                    </w:r>
                    <w:r>
                      <w:rPr>
                        <w:rFonts w:ascii="Times New Roman"/>
                        <w:spacing w:val="-5"/>
                      </w:rPr>
                      <w:fldChar w:fldCharType="end"/>
                    </w:r>
                  </w:p>
                </w:txbxContent>
              </v:textbox>
              <w10:wrap type="none"/>
            </v:shape>
          </w:pict>
        </mc:Fallback>
      </mc:AlternateContent>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52160">
              <wp:simplePos x="0" y="0"/>
              <wp:positionH relativeFrom="page">
                <wp:posOffset>3771900</wp:posOffset>
              </wp:positionH>
              <wp:positionV relativeFrom="page">
                <wp:posOffset>9416118</wp:posOffset>
              </wp:positionV>
              <wp:extent cx="241300" cy="194310"/>
              <wp:effectExtent l="0" t="0" r="0" b="0"/>
              <wp:wrapNone/>
              <wp:docPr id="34" name="Textbox 34"/>
              <wp:cNvGraphicFramePr>
                <a:graphicFrameLocks/>
              </wp:cNvGraphicFramePr>
              <a:graphic>
                <a:graphicData uri="http://schemas.microsoft.com/office/word/2010/wordprocessingShape">
                  <wps:wsp>
                    <wps:cNvPr id="34" name="Textbox 34"/>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64320" type="#_x0000_t202" id="docshape3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w:t>
                    </w:r>
                    <w:r>
                      <w:rPr>
                        <w:rFonts w:ascii="Times New Roman"/>
                        <w:spacing w:val="-5"/>
                      </w:rPr>
                      <w:fldChar w:fldCharType="end"/>
                    </w:r>
                  </w:p>
                </w:txbxContent>
              </v:textbox>
              <w10:wrap type="none"/>
            </v:shape>
          </w:pict>
        </mc:Fallback>
      </mc:AlternateContent>
    </w:r>
  </w:p>
</w:ftr>
</file>

<file path=word/footer15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5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83232">
              <wp:simplePos x="0" y="0"/>
              <wp:positionH relativeFrom="page">
                <wp:posOffset>3732276</wp:posOffset>
              </wp:positionH>
              <wp:positionV relativeFrom="page">
                <wp:posOffset>9416118</wp:posOffset>
              </wp:positionV>
              <wp:extent cx="317500" cy="194310"/>
              <wp:effectExtent l="0" t="0" r="0" b="0"/>
              <wp:wrapNone/>
              <wp:docPr id="292" name="Textbox 292"/>
              <wp:cNvGraphicFramePr>
                <a:graphicFrameLocks/>
              </wp:cNvGraphicFramePr>
              <a:graphic>
                <a:graphicData uri="http://schemas.microsoft.com/office/word/2010/wordprocessingShape">
                  <wps:wsp>
                    <wps:cNvPr id="292" name="Textbox 29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33248" type="#_x0000_t202" id="docshape29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133</w:t>
                    </w:r>
                    <w:r>
                      <w:rPr>
                        <w:rFonts w:ascii="Times New Roman"/>
                        <w:spacing w:val="-5"/>
                      </w:rPr>
                      <w:fldChar w:fldCharType="end"/>
                    </w:r>
                  </w:p>
                </w:txbxContent>
              </v:textbox>
              <w10:wrap type="none"/>
            </v:shape>
          </w:pict>
        </mc:Fallback>
      </mc:AlternateContent>
    </w:r>
  </w:p>
</w:ftr>
</file>

<file path=word/footer15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84256">
              <wp:simplePos x="0" y="0"/>
              <wp:positionH relativeFrom="page">
                <wp:posOffset>3732276</wp:posOffset>
              </wp:positionH>
              <wp:positionV relativeFrom="page">
                <wp:posOffset>9416118</wp:posOffset>
              </wp:positionV>
              <wp:extent cx="317500" cy="194310"/>
              <wp:effectExtent l="0" t="0" r="0" b="0"/>
              <wp:wrapNone/>
              <wp:docPr id="294" name="Textbox 294"/>
              <wp:cNvGraphicFramePr>
                <a:graphicFrameLocks/>
              </wp:cNvGraphicFramePr>
              <a:graphic>
                <a:graphicData uri="http://schemas.microsoft.com/office/word/2010/wordprocessingShape">
                  <wps:wsp>
                    <wps:cNvPr id="294" name="Textbox 29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32224" type="#_x0000_t202" id="docshape29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134</w:t>
                    </w:r>
                    <w:r>
                      <w:rPr>
                        <w:rFonts w:ascii="Times New Roman"/>
                        <w:spacing w:val="-5"/>
                      </w:rPr>
                      <w:fldChar w:fldCharType="end"/>
                    </w:r>
                  </w:p>
                </w:txbxContent>
              </v:textbox>
              <w10:wrap type="none"/>
            </v:shape>
          </w:pict>
        </mc:Fallback>
      </mc:AlternateContent>
    </w:r>
  </w:p>
</w:ftr>
</file>

<file path=word/footer15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85280">
              <wp:simplePos x="0" y="0"/>
              <wp:positionH relativeFrom="page">
                <wp:posOffset>3732276</wp:posOffset>
              </wp:positionH>
              <wp:positionV relativeFrom="page">
                <wp:posOffset>9416118</wp:posOffset>
              </wp:positionV>
              <wp:extent cx="317500" cy="194310"/>
              <wp:effectExtent l="0" t="0" r="0" b="0"/>
              <wp:wrapNone/>
              <wp:docPr id="296" name="Textbox 296"/>
              <wp:cNvGraphicFramePr>
                <a:graphicFrameLocks/>
              </wp:cNvGraphicFramePr>
              <a:graphic>
                <a:graphicData uri="http://schemas.microsoft.com/office/word/2010/wordprocessingShape">
                  <wps:wsp>
                    <wps:cNvPr id="296" name="Textbox 29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31200" type="#_x0000_t202" id="docshape29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135</w:t>
                    </w:r>
                    <w:r>
                      <w:rPr>
                        <w:rFonts w:ascii="Times New Roman"/>
                        <w:spacing w:val="-5"/>
                      </w:rPr>
                      <w:fldChar w:fldCharType="end"/>
                    </w:r>
                  </w:p>
                </w:txbxContent>
              </v:textbox>
              <w10:wrap type="none"/>
            </v:shape>
          </w:pict>
        </mc:Fallback>
      </mc:AlternateContent>
    </w:r>
  </w:p>
</w:ftr>
</file>

<file path=word/footer15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5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86304">
              <wp:simplePos x="0" y="0"/>
              <wp:positionH relativeFrom="page">
                <wp:posOffset>3732276</wp:posOffset>
              </wp:positionH>
              <wp:positionV relativeFrom="page">
                <wp:posOffset>9416118</wp:posOffset>
              </wp:positionV>
              <wp:extent cx="317500" cy="194310"/>
              <wp:effectExtent l="0" t="0" r="0" b="0"/>
              <wp:wrapNone/>
              <wp:docPr id="298" name="Textbox 298"/>
              <wp:cNvGraphicFramePr>
                <a:graphicFrameLocks/>
              </wp:cNvGraphicFramePr>
              <a:graphic>
                <a:graphicData uri="http://schemas.microsoft.com/office/word/2010/wordprocessingShape">
                  <wps:wsp>
                    <wps:cNvPr id="298" name="Textbox 29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30176" type="#_x0000_t202" id="docshape29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137</w:t>
                    </w:r>
                    <w:r>
                      <w:rPr>
                        <w:rFonts w:ascii="Times New Roman"/>
                        <w:spacing w:val="-5"/>
                      </w:rPr>
                      <w:fldChar w:fldCharType="end"/>
                    </w:r>
                  </w:p>
                </w:txbxContent>
              </v:textbox>
              <w10:wrap type="none"/>
            </v:shape>
          </w:pict>
        </mc:Fallback>
      </mc:AlternateContent>
    </w:r>
  </w:p>
</w:ftr>
</file>

<file path=word/footer15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87328">
              <wp:simplePos x="0" y="0"/>
              <wp:positionH relativeFrom="page">
                <wp:posOffset>3732276</wp:posOffset>
              </wp:positionH>
              <wp:positionV relativeFrom="page">
                <wp:posOffset>9416118</wp:posOffset>
              </wp:positionV>
              <wp:extent cx="317500" cy="194310"/>
              <wp:effectExtent l="0" t="0" r="0" b="0"/>
              <wp:wrapNone/>
              <wp:docPr id="300" name="Textbox 300"/>
              <wp:cNvGraphicFramePr>
                <a:graphicFrameLocks/>
              </wp:cNvGraphicFramePr>
              <a:graphic>
                <a:graphicData uri="http://schemas.microsoft.com/office/word/2010/wordprocessingShape">
                  <wps:wsp>
                    <wps:cNvPr id="300" name="Textbox 30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29152" type="#_x0000_t202" id="docshape29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138</w:t>
                    </w:r>
                    <w:r>
                      <w:rPr>
                        <w:rFonts w:ascii="Times New Roman"/>
                        <w:spacing w:val="-5"/>
                      </w:rPr>
                      <w:fldChar w:fldCharType="end"/>
                    </w:r>
                  </w:p>
                </w:txbxContent>
              </v:textbox>
              <w10:wrap type="none"/>
            </v:shape>
          </w:pict>
        </mc:Fallback>
      </mc:AlternateContent>
    </w:r>
  </w:p>
</w:ftr>
</file>

<file path=word/footer15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88352">
              <wp:simplePos x="0" y="0"/>
              <wp:positionH relativeFrom="page">
                <wp:posOffset>3732276</wp:posOffset>
              </wp:positionH>
              <wp:positionV relativeFrom="page">
                <wp:posOffset>9416118</wp:posOffset>
              </wp:positionV>
              <wp:extent cx="317500" cy="194310"/>
              <wp:effectExtent l="0" t="0" r="0" b="0"/>
              <wp:wrapNone/>
              <wp:docPr id="302" name="Textbox 302"/>
              <wp:cNvGraphicFramePr>
                <a:graphicFrameLocks/>
              </wp:cNvGraphicFramePr>
              <a:graphic>
                <a:graphicData uri="http://schemas.microsoft.com/office/word/2010/wordprocessingShape">
                  <wps:wsp>
                    <wps:cNvPr id="302" name="Textbox 30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28128" type="#_x0000_t202" id="docshape30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139</w:t>
                    </w:r>
                    <w:r>
                      <w:rPr>
                        <w:rFonts w:ascii="Times New Roman"/>
                        <w:spacing w:val="-5"/>
                      </w:rPr>
                      <w:fldChar w:fldCharType="end"/>
                    </w:r>
                  </w:p>
                </w:txbxContent>
              </v:textbox>
              <w10:wrap type="none"/>
            </v:shape>
          </w:pict>
        </mc:Fallback>
      </mc:AlternateContent>
    </w:r>
  </w:p>
</w:ftr>
</file>

<file path=word/footer15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5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89376">
              <wp:simplePos x="0" y="0"/>
              <wp:positionH relativeFrom="page">
                <wp:posOffset>3732276</wp:posOffset>
              </wp:positionH>
              <wp:positionV relativeFrom="page">
                <wp:posOffset>9416118</wp:posOffset>
              </wp:positionV>
              <wp:extent cx="317500" cy="194310"/>
              <wp:effectExtent l="0" t="0" r="0" b="0"/>
              <wp:wrapNone/>
              <wp:docPr id="304" name="Textbox 304"/>
              <wp:cNvGraphicFramePr>
                <a:graphicFrameLocks/>
              </wp:cNvGraphicFramePr>
              <a:graphic>
                <a:graphicData uri="http://schemas.microsoft.com/office/word/2010/wordprocessingShape">
                  <wps:wsp>
                    <wps:cNvPr id="304" name="Textbox 30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27104" type="#_x0000_t202" id="docshape30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141</w:t>
                    </w:r>
                    <w:r>
                      <w:rPr>
                        <w:rFonts w:ascii="Times New Roman"/>
                        <w:spacing w:val="-5"/>
                      </w:rPr>
                      <w:fldChar w:fldCharType="end"/>
                    </w:r>
                  </w:p>
                </w:txbxContent>
              </v:textbox>
              <w10:wrap type="none"/>
            </v:shape>
          </w:pict>
        </mc:Fallback>
      </mc:AlternateContent>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53184">
              <wp:simplePos x="0" y="0"/>
              <wp:positionH relativeFrom="page">
                <wp:posOffset>3771900</wp:posOffset>
              </wp:positionH>
              <wp:positionV relativeFrom="page">
                <wp:posOffset>9416118</wp:posOffset>
              </wp:positionV>
              <wp:extent cx="241300" cy="194310"/>
              <wp:effectExtent l="0" t="0" r="0" b="0"/>
              <wp:wrapNone/>
              <wp:docPr id="36" name="Textbox 36"/>
              <wp:cNvGraphicFramePr>
                <a:graphicFrameLocks/>
              </wp:cNvGraphicFramePr>
              <a:graphic>
                <a:graphicData uri="http://schemas.microsoft.com/office/word/2010/wordprocessingShape">
                  <wps:wsp>
                    <wps:cNvPr id="36" name="Textbox 36"/>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63296" type="#_x0000_t202" id="docshape3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w:t>
                    </w:r>
                    <w:r>
                      <w:rPr>
                        <w:rFonts w:ascii="Times New Roman"/>
                        <w:spacing w:val="-5"/>
                      </w:rPr>
                      <w:fldChar w:fldCharType="end"/>
                    </w:r>
                  </w:p>
                </w:txbxContent>
              </v:textbox>
              <w10:wrap type="none"/>
            </v:shape>
          </w:pict>
        </mc:Fallback>
      </mc:AlternateContent>
    </w:r>
  </w:p>
</w:ftr>
</file>

<file path=word/footer16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90400">
              <wp:simplePos x="0" y="0"/>
              <wp:positionH relativeFrom="page">
                <wp:posOffset>3732276</wp:posOffset>
              </wp:positionH>
              <wp:positionV relativeFrom="page">
                <wp:posOffset>9416118</wp:posOffset>
              </wp:positionV>
              <wp:extent cx="317500" cy="194310"/>
              <wp:effectExtent l="0" t="0" r="0" b="0"/>
              <wp:wrapNone/>
              <wp:docPr id="306" name="Textbox 306"/>
              <wp:cNvGraphicFramePr>
                <a:graphicFrameLocks/>
              </wp:cNvGraphicFramePr>
              <a:graphic>
                <a:graphicData uri="http://schemas.microsoft.com/office/word/2010/wordprocessingShape">
                  <wps:wsp>
                    <wps:cNvPr id="306" name="Textbox 30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26080" type="#_x0000_t202" id="docshape30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142</w:t>
                    </w:r>
                    <w:r>
                      <w:rPr>
                        <w:rFonts w:ascii="Times New Roman"/>
                        <w:spacing w:val="-5"/>
                      </w:rPr>
                      <w:fldChar w:fldCharType="end"/>
                    </w:r>
                  </w:p>
                </w:txbxContent>
              </v:textbox>
              <w10:wrap type="none"/>
            </v:shape>
          </w:pict>
        </mc:Fallback>
      </mc:AlternateContent>
    </w:r>
  </w:p>
</w:ftr>
</file>

<file path=word/footer16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91424">
              <wp:simplePos x="0" y="0"/>
              <wp:positionH relativeFrom="page">
                <wp:posOffset>3732276</wp:posOffset>
              </wp:positionH>
              <wp:positionV relativeFrom="page">
                <wp:posOffset>9416118</wp:posOffset>
              </wp:positionV>
              <wp:extent cx="317500" cy="194310"/>
              <wp:effectExtent l="0" t="0" r="0" b="0"/>
              <wp:wrapNone/>
              <wp:docPr id="308" name="Textbox 308"/>
              <wp:cNvGraphicFramePr>
                <a:graphicFrameLocks/>
              </wp:cNvGraphicFramePr>
              <a:graphic>
                <a:graphicData uri="http://schemas.microsoft.com/office/word/2010/wordprocessingShape">
                  <wps:wsp>
                    <wps:cNvPr id="308" name="Textbox 30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25056" type="#_x0000_t202" id="docshape30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143</w:t>
                    </w:r>
                    <w:r>
                      <w:rPr>
                        <w:rFonts w:ascii="Times New Roman"/>
                        <w:spacing w:val="-5"/>
                      </w:rPr>
                      <w:fldChar w:fldCharType="end"/>
                    </w:r>
                  </w:p>
                </w:txbxContent>
              </v:textbox>
              <w10:wrap type="none"/>
            </v:shape>
          </w:pict>
        </mc:Fallback>
      </mc:AlternateContent>
    </w:r>
  </w:p>
</w:ftr>
</file>

<file path=word/footer16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92448">
              <wp:simplePos x="0" y="0"/>
              <wp:positionH relativeFrom="page">
                <wp:posOffset>4783835</wp:posOffset>
              </wp:positionH>
              <wp:positionV relativeFrom="page">
                <wp:posOffset>7130118</wp:posOffset>
              </wp:positionV>
              <wp:extent cx="318135" cy="194310"/>
              <wp:effectExtent l="0" t="0" r="0" b="0"/>
              <wp:wrapNone/>
              <wp:docPr id="310" name="Textbox 310"/>
              <wp:cNvGraphicFramePr>
                <a:graphicFrameLocks/>
              </wp:cNvGraphicFramePr>
              <a:graphic>
                <a:graphicData uri="http://schemas.microsoft.com/office/word/2010/wordprocessingShape">
                  <wps:wsp>
                    <wps:cNvPr id="310" name="Textbox 310"/>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76.679993pt;margin-top:561.426636pt;width:25.05pt;height:15.3pt;mso-position-horizontal-relative:page;mso-position-vertical-relative:page;z-index:-36524032" type="#_x0000_t202" id="docshape30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144</w:t>
                    </w:r>
                    <w:r>
                      <w:rPr>
                        <w:rFonts w:ascii="Times New Roman"/>
                        <w:spacing w:val="-5"/>
                      </w:rPr>
                      <w:fldChar w:fldCharType="end"/>
                    </w:r>
                  </w:p>
                </w:txbxContent>
              </v:textbox>
              <w10:wrap type="none"/>
            </v:shape>
          </w:pict>
        </mc:Fallback>
      </mc:AlternateContent>
    </w:r>
  </w:p>
</w:ftr>
</file>

<file path=word/footer16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93472">
              <wp:simplePos x="0" y="0"/>
              <wp:positionH relativeFrom="page">
                <wp:posOffset>4783835</wp:posOffset>
              </wp:positionH>
              <wp:positionV relativeFrom="page">
                <wp:posOffset>7130118</wp:posOffset>
              </wp:positionV>
              <wp:extent cx="318135" cy="194310"/>
              <wp:effectExtent l="0" t="0" r="0" b="0"/>
              <wp:wrapNone/>
              <wp:docPr id="312" name="Textbox 312"/>
              <wp:cNvGraphicFramePr>
                <a:graphicFrameLocks/>
              </wp:cNvGraphicFramePr>
              <a:graphic>
                <a:graphicData uri="http://schemas.microsoft.com/office/word/2010/wordprocessingShape">
                  <wps:wsp>
                    <wps:cNvPr id="312" name="Textbox 312"/>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76.679993pt;margin-top:561.426636pt;width:25.05pt;height:15.3pt;mso-position-horizontal-relative:page;mso-position-vertical-relative:page;z-index:-36523008" type="#_x0000_t202" id="docshape31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145</w:t>
                    </w:r>
                    <w:r>
                      <w:rPr>
                        <w:rFonts w:ascii="Times New Roman"/>
                        <w:spacing w:val="-5"/>
                      </w:rPr>
                      <w:fldChar w:fldCharType="end"/>
                    </w:r>
                  </w:p>
                </w:txbxContent>
              </v:textbox>
              <w10:wrap type="none"/>
            </v:shape>
          </w:pict>
        </mc:Fallback>
      </mc:AlternateContent>
    </w:r>
  </w:p>
</w:ftr>
</file>

<file path=word/footer16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94496">
              <wp:simplePos x="0" y="0"/>
              <wp:positionH relativeFrom="page">
                <wp:posOffset>3732276</wp:posOffset>
              </wp:positionH>
              <wp:positionV relativeFrom="page">
                <wp:posOffset>9416118</wp:posOffset>
              </wp:positionV>
              <wp:extent cx="317500" cy="194310"/>
              <wp:effectExtent l="0" t="0" r="0" b="0"/>
              <wp:wrapNone/>
              <wp:docPr id="314" name="Textbox 314"/>
              <wp:cNvGraphicFramePr>
                <a:graphicFrameLocks/>
              </wp:cNvGraphicFramePr>
              <a:graphic>
                <a:graphicData uri="http://schemas.microsoft.com/office/word/2010/wordprocessingShape">
                  <wps:wsp>
                    <wps:cNvPr id="314" name="Textbox 31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21984" type="#_x0000_t202" id="docshape31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146</w:t>
                    </w:r>
                    <w:r>
                      <w:rPr>
                        <w:rFonts w:ascii="Times New Roman"/>
                        <w:spacing w:val="-5"/>
                      </w:rPr>
                      <w:fldChar w:fldCharType="end"/>
                    </w:r>
                  </w:p>
                </w:txbxContent>
              </v:textbox>
              <w10:wrap type="none"/>
            </v:shape>
          </w:pict>
        </mc:Fallback>
      </mc:AlternateContent>
    </w:r>
  </w:p>
</w:ftr>
</file>

<file path=word/footer16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95520">
              <wp:simplePos x="0" y="0"/>
              <wp:positionH relativeFrom="page">
                <wp:posOffset>3732276</wp:posOffset>
              </wp:positionH>
              <wp:positionV relativeFrom="page">
                <wp:posOffset>9416118</wp:posOffset>
              </wp:positionV>
              <wp:extent cx="317500" cy="194310"/>
              <wp:effectExtent l="0" t="0" r="0" b="0"/>
              <wp:wrapNone/>
              <wp:docPr id="316" name="Textbox 316"/>
              <wp:cNvGraphicFramePr>
                <a:graphicFrameLocks/>
              </wp:cNvGraphicFramePr>
              <a:graphic>
                <a:graphicData uri="http://schemas.microsoft.com/office/word/2010/wordprocessingShape">
                  <wps:wsp>
                    <wps:cNvPr id="316" name="Textbox 31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20960" type="#_x0000_t202" id="docshape31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147</w:t>
                    </w:r>
                    <w:r>
                      <w:rPr>
                        <w:rFonts w:ascii="Times New Roman"/>
                        <w:spacing w:val="-5"/>
                      </w:rPr>
                      <w:fldChar w:fldCharType="end"/>
                    </w:r>
                  </w:p>
                </w:txbxContent>
              </v:textbox>
              <w10:wrap type="none"/>
            </v:shape>
          </w:pict>
        </mc:Fallback>
      </mc:AlternateContent>
    </w:r>
  </w:p>
</w:ftr>
</file>

<file path=word/footer16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96544">
              <wp:simplePos x="0" y="0"/>
              <wp:positionH relativeFrom="page">
                <wp:posOffset>3732276</wp:posOffset>
              </wp:positionH>
              <wp:positionV relativeFrom="page">
                <wp:posOffset>9416118</wp:posOffset>
              </wp:positionV>
              <wp:extent cx="317500" cy="194310"/>
              <wp:effectExtent l="0" t="0" r="0" b="0"/>
              <wp:wrapNone/>
              <wp:docPr id="318" name="Textbox 318"/>
              <wp:cNvGraphicFramePr>
                <a:graphicFrameLocks/>
              </wp:cNvGraphicFramePr>
              <a:graphic>
                <a:graphicData uri="http://schemas.microsoft.com/office/word/2010/wordprocessingShape">
                  <wps:wsp>
                    <wps:cNvPr id="318" name="Textbox 31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19936" type="#_x0000_t202" id="docshape31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148</w:t>
                    </w:r>
                    <w:r>
                      <w:rPr>
                        <w:rFonts w:ascii="Times New Roman"/>
                        <w:spacing w:val="-5"/>
                      </w:rPr>
                      <w:fldChar w:fldCharType="end"/>
                    </w:r>
                  </w:p>
                </w:txbxContent>
              </v:textbox>
              <w10:wrap type="none"/>
            </v:shape>
          </w:pict>
        </mc:Fallback>
      </mc:AlternateContent>
    </w:r>
  </w:p>
</w:ftr>
</file>

<file path=word/footer16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6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97568">
              <wp:simplePos x="0" y="0"/>
              <wp:positionH relativeFrom="page">
                <wp:posOffset>3732276</wp:posOffset>
              </wp:positionH>
              <wp:positionV relativeFrom="page">
                <wp:posOffset>9416118</wp:posOffset>
              </wp:positionV>
              <wp:extent cx="317500" cy="194310"/>
              <wp:effectExtent l="0" t="0" r="0" b="0"/>
              <wp:wrapNone/>
              <wp:docPr id="320" name="Textbox 320"/>
              <wp:cNvGraphicFramePr>
                <a:graphicFrameLocks/>
              </wp:cNvGraphicFramePr>
              <a:graphic>
                <a:graphicData uri="http://schemas.microsoft.com/office/word/2010/wordprocessingShape">
                  <wps:wsp>
                    <wps:cNvPr id="320" name="Textbox 32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18912" type="#_x0000_t202" id="docshape31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150</w:t>
                    </w:r>
                    <w:r>
                      <w:rPr>
                        <w:rFonts w:ascii="Times New Roman"/>
                        <w:spacing w:val="-5"/>
                      </w:rPr>
                      <w:fldChar w:fldCharType="end"/>
                    </w:r>
                  </w:p>
                </w:txbxContent>
              </v:textbox>
              <w10:wrap type="none"/>
            </v:shape>
          </w:pict>
        </mc:Fallback>
      </mc:AlternateContent>
    </w:r>
  </w:p>
</w:ftr>
</file>

<file path=word/footer16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98592">
              <wp:simplePos x="0" y="0"/>
              <wp:positionH relativeFrom="page">
                <wp:posOffset>3732276</wp:posOffset>
              </wp:positionH>
              <wp:positionV relativeFrom="page">
                <wp:posOffset>9416118</wp:posOffset>
              </wp:positionV>
              <wp:extent cx="317500" cy="194310"/>
              <wp:effectExtent l="0" t="0" r="0" b="0"/>
              <wp:wrapNone/>
              <wp:docPr id="322" name="Textbox 322"/>
              <wp:cNvGraphicFramePr>
                <a:graphicFrameLocks/>
              </wp:cNvGraphicFramePr>
              <a:graphic>
                <a:graphicData uri="http://schemas.microsoft.com/office/word/2010/wordprocessingShape">
                  <wps:wsp>
                    <wps:cNvPr id="322" name="Textbox 32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17888" type="#_x0000_t202" id="docshape32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151</w:t>
                    </w:r>
                    <w:r>
                      <w:rPr>
                        <w:rFonts w:ascii="Times New Roman"/>
                        <w:spacing w:val="-5"/>
                      </w:rPr>
                      <w:fldChar w:fldCharType="end"/>
                    </w:r>
                  </w:p>
                </w:txbxContent>
              </v:textbox>
              <w10:wrap type="none"/>
            </v:shape>
          </w:pict>
        </mc:Fallback>
      </mc:AlternateContent>
    </w: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54208">
              <wp:simplePos x="0" y="0"/>
              <wp:positionH relativeFrom="page">
                <wp:posOffset>3771900</wp:posOffset>
              </wp:positionH>
              <wp:positionV relativeFrom="page">
                <wp:posOffset>9416118</wp:posOffset>
              </wp:positionV>
              <wp:extent cx="241300" cy="194310"/>
              <wp:effectExtent l="0" t="0" r="0" b="0"/>
              <wp:wrapNone/>
              <wp:docPr id="38" name="Textbox 38"/>
              <wp:cNvGraphicFramePr>
                <a:graphicFrameLocks/>
              </wp:cNvGraphicFramePr>
              <a:graphic>
                <a:graphicData uri="http://schemas.microsoft.com/office/word/2010/wordprocessingShape">
                  <wps:wsp>
                    <wps:cNvPr id="38" name="Textbox 38"/>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62272" type="#_x0000_t202" id="docshape3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w:t>
                    </w:r>
                    <w:r>
                      <w:rPr>
                        <w:rFonts w:ascii="Times New Roman"/>
                        <w:spacing w:val="-5"/>
                      </w:rPr>
                      <w:fldChar w:fldCharType="end"/>
                    </w:r>
                  </w:p>
                </w:txbxContent>
              </v:textbox>
              <w10:wrap type="none"/>
            </v:shape>
          </w:pict>
        </mc:Fallback>
      </mc:AlternateContent>
    </w:r>
  </w:p>
</w:ftr>
</file>

<file path=word/footer17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7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99616">
              <wp:simplePos x="0" y="0"/>
              <wp:positionH relativeFrom="page">
                <wp:posOffset>3732276</wp:posOffset>
              </wp:positionH>
              <wp:positionV relativeFrom="page">
                <wp:posOffset>9416118</wp:posOffset>
              </wp:positionV>
              <wp:extent cx="317500" cy="194310"/>
              <wp:effectExtent l="0" t="0" r="0" b="0"/>
              <wp:wrapNone/>
              <wp:docPr id="324" name="Textbox 324"/>
              <wp:cNvGraphicFramePr>
                <a:graphicFrameLocks/>
              </wp:cNvGraphicFramePr>
              <a:graphic>
                <a:graphicData uri="http://schemas.microsoft.com/office/word/2010/wordprocessingShape">
                  <wps:wsp>
                    <wps:cNvPr id="324" name="Textbox 32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16864" type="#_x0000_t202" id="docshape32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153</w:t>
                    </w:r>
                    <w:r>
                      <w:rPr>
                        <w:rFonts w:ascii="Times New Roman"/>
                        <w:spacing w:val="-5"/>
                      </w:rPr>
                      <w:fldChar w:fldCharType="end"/>
                    </w:r>
                  </w:p>
                </w:txbxContent>
              </v:textbox>
              <w10:wrap type="none"/>
            </v:shape>
          </w:pict>
        </mc:Fallback>
      </mc:AlternateContent>
    </w:r>
  </w:p>
</w:ftr>
</file>

<file path=word/footer17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00640">
              <wp:simplePos x="0" y="0"/>
              <wp:positionH relativeFrom="page">
                <wp:posOffset>3732276</wp:posOffset>
              </wp:positionH>
              <wp:positionV relativeFrom="page">
                <wp:posOffset>9416118</wp:posOffset>
              </wp:positionV>
              <wp:extent cx="317500" cy="194310"/>
              <wp:effectExtent l="0" t="0" r="0" b="0"/>
              <wp:wrapNone/>
              <wp:docPr id="326" name="Textbox 326"/>
              <wp:cNvGraphicFramePr>
                <a:graphicFrameLocks/>
              </wp:cNvGraphicFramePr>
              <a:graphic>
                <a:graphicData uri="http://schemas.microsoft.com/office/word/2010/wordprocessingShape">
                  <wps:wsp>
                    <wps:cNvPr id="326" name="Textbox 32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15840" type="#_x0000_t202" id="docshape32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154</w:t>
                    </w:r>
                    <w:r>
                      <w:rPr>
                        <w:rFonts w:ascii="Times New Roman"/>
                        <w:spacing w:val="-5"/>
                      </w:rPr>
                      <w:fldChar w:fldCharType="end"/>
                    </w:r>
                  </w:p>
                </w:txbxContent>
              </v:textbox>
              <w10:wrap type="none"/>
            </v:shape>
          </w:pict>
        </mc:Fallback>
      </mc:AlternateContent>
    </w:r>
  </w:p>
</w:ftr>
</file>

<file path=word/footer17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7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01664">
              <wp:simplePos x="0" y="0"/>
              <wp:positionH relativeFrom="page">
                <wp:posOffset>3732276</wp:posOffset>
              </wp:positionH>
              <wp:positionV relativeFrom="page">
                <wp:posOffset>9416118</wp:posOffset>
              </wp:positionV>
              <wp:extent cx="317500" cy="194310"/>
              <wp:effectExtent l="0" t="0" r="0" b="0"/>
              <wp:wrapNone/>
              <wp:docPr id="328" name="Textbox 328"/>
              <wp:cNvGraphicFramePr>
                <a:graphicFrameLocks/>
              </wp:cNvGraphicFramePr>
              <a:graphic>
                <a:graphicData uri="http://schemas.microsoft.com/office/word/2010/wordprocessingShape">
                  <wps:wsp>
                    <wps:cNvPr id="328" name="Textbox 32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14816" type="#_x0000_t202" id="docshape32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156</w:t>
                    </w:r>
                    <w:r>
                      <w:rPr>
                        <w:rFonts w:ascii="Times New Roman"/>
                        <w:spacing w:val="-5"/>
                      </w:rPr>
                      <w:fldChar w:fldCharType="end"/>
                    </w:r>
                  </w:p>
                </w:txbxContent>
              </v:textbox>
              <w10:wrap type="none"/>
            </v:shape>
          </w:pict>
        </mc:Fallback>
      </mc:AlternateContent>
    </w:r>
  </w:p>
</w:ftr>
</file>

<file path=word/footer17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02688">
              <wp:simplePos x="0" y="0"/>
              <wp:positionH relativeFrom="page">
                <wp:posOffset>3732276</wp:posOffset>
              </wp:positionH>
              <wp:positionV relativeFrom="page">
                <wp:posOffset>9416118</wp:posOffset>
              </wp:positionV>
              <wp:extent cx="317500" cy="194310"/>
              <wp:effectExtent l="0" t="0" r="0" b="0"/>
              <wp:wrapNone/>
              <wp:docPr id="330" name="Textbox 330"/>
              <wp:cNvGraphicFramePr>
                <a:graphicFrameLocks/>
              </wp:cNvGraphicFramePr>
              <a:graphic>
                <a:graphicData uri="http://schemas.microsoft.com/office/word/2010/wordprocessingShape">
                  <wps:wsp>
                    <wps:cNvPr id="330" name="Textbox 33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13792" type="#_x0000_t202" id="docshape32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157</w:t>
                    </w:r>
                    <w:r>
                      <w:rPr>
                        <w:rFonts w:ascii="Times New Roman"/>
                        <w:spacing w:val="-5"/>
                      </w:rPr>
                      <w:fldChar w:fldCharType="end"/>
                    </w:r>
                  </w:p>
                </w:txbxContent>
              </v:textbox>
              <w10:wrap type="none"/>
            </v:shape>
          </w:pict>
        </mc:Fallback>
      </mc:AlternateContent>
    </w:r>
  </w:p>
</w:ftr>
</file>

<file path=word/footer17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03712">
              <wp:simplePos x="0" y="0"/>
              <wp:positionH relativeFrom="page">
                <wp:posOffset>3732276</wp:posOffset>
              </wp:positionH>
              <wp:positionV relativeFrom="page">
                <wp:posOffset>9416118</wp:posOffset>
              </wp:positionV>
              <wp:extent cx="317500" cy="194310"/>
              <wp:effectExtent l="0" t="0" r="0" b="0"/>
              <wp:wrapNone/>
              <wp:docPr id="332" name="Textbox 332"/>
              <wp:cNvGraphicFramePr>
                <a:graphicFrameLocks/>
              </wp:cNvGraphicFramePr>
              <a:graphic>
                <a:graphicData uri="http://schemas.microsoft.com/office/word/2010/wordprocessingShape">
                  <wps:wsp>
                    <wps:cNvPr id="332" name="Textbox 33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12768" type="#_x0000_t202" id="docshape33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158</w:t>
                    </w:r>
                    <w:r>
                      <w:rPr>
                        <w:rFonts w:ascii="Times New Roman"/>
                        <w:spacing w:val="-5"/>
                      </w:rPr>
                      <w:fldChar w:fldCharType="end"/>
                    </w:r>
                  </w:p>
                </w:txbxContent>
              </v:textbox>
              <w10:wrap type="none"/>
            </v:shape>
          </w:pict>
        </mc:Fallback>
      </mc:AlternateContent>
    </w:r>
  </w:p>
</w:ftr>
</file>

<file path=word/footer17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7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04736">
              <wp:simplePos x="0" y="0"/>
              <wp:positionH relativeFrom="page">
                <wp:posOffset>3732276</wp:posOffset>
              </wp:positionH>
              <wp:positionV relativeFrom="page">
                <wp:posOffset>9416118</wp:posOffset>
              </wp:positionV>
              <wp:extent cx="317500" cy="194310"/>
              <wp:effectExtent l="0" t="0" r="0" b="0"/>
              <wp:wrapNone/>
              <wp:docPr id="334" name="Textbox 334"/>
              <wp:cNvGraphicFramePr>
                <a:graphicFrameLocks/>
              </wp:cNvGraphicFramePr>
              <a:graphic>
                <a:graphicData uri="http://schemas.microsoft.com/office/word/2010/wordprocessingShape">
                  <wps:wsp>
                    <wps:cNvPr id="334" name="Textbox 33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11744" type="#_x0000_t202" id="docshape33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160</w:t>
                    </w:r>
                    <w:r>
                      <w:rPr>
                        <w:rFonts w:ascii="Times New Roman"/>
                        <w:spacing w:val="-5"/>
                      </w:rPr>
                      <w:fldChar w:fldCharType="end"/>
                    </w:r>
                  </w:p>
                </w:txbxContent>
              </v:textbox>
              <w10:wrap type="none"/>
            </v:shape>
          </w:pict>
        </mc:Fallback>
      </mc:AlternateContent>
    </w:r>
  </w:p>
</w:ftr>
</file>

<file path=word/footer17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05760">
              <wp:simplePos x="0" y="0"/>
              <wp:positionH relativeFrom="page">
                <wp:posOffset>3732276</wp:posOffset>
              </wp:positionH>
              <wp:positionV relativeFrom="page">
                <wp:posOffset>9416118</wp:posOffset>
              </wp:positionV>
              <wp:extent cx="317500" cy="194310"/>
              <wp:effectExtent l="0" t="0" r="0" b="0"/>
              <wp:wrapNone/>
              <wp:docPr id="336" name="Textbox 336"/>
              <wp:cNvGraphicFramePr>
                <a:graphicFrameLocks/>
              </wp:cNvGraphicFramePr>
              <a:graphic>
                <a:graphicData uri="http://schemas.microsoft.com/office/word/2010/wordprocessingShape">
                  <wps:wsp>
                    <wps:cNvPr id="336" name="Textbox 33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10720" type="#_x0000_t202" id="docshape33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161</w:t>
                    </w:r>
                    <w:r>
                      <w:rPr>
                        <w:rFonts w:ascii="Times New Roman"/>
                        <w:spacing w:val="-5"/>
                      </w:rPr>
                      <w:fldChar w:fldCharType="end"/>
                    </w:r>
                  </w:p>
                </w:txbxContent>
              </v:textbox>
              <w10:wrap type="none"/>
            </v:shape>
          </w:pict>
        </mc:Fallback>
      </mc:AlternateContent>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55232">
              <wp:simplePos x="0" y="0"/>
              <wp:positionH relativeFrom="page">
                <wp:posOffset>3771900</wp:posOffset>
              </wp:positionH>
              <wp:positionV relativeFrom="page">
                <wp:posOffset>9416118</wp:posOffset>
              </wp:positionV>
              <wp:extent cx="241300" cy="194310"/>
              <wp:effectExtent l="0" t="0" r="0" b="0"/>
              <wp:wrapNone/>
              <wp:docPr id="40" name="Textbox 40"/>
              <wp:cNvGraphicFramePr>
                <a:graphicFrameLocks/>
              </wp:cNvGraphicFramePr>
              <a:graphic>
                <a:graphicData uri="http://schemas.microsoft.com/office/word/2010/wordprocessingShape">
                  <wps:wsp>
                    <wps:cNvPr id="40" name="Textbox 40"/>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61248" type="#_x0000_t202" id="docshape4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w:t>
                    </w:r>
                    <w:r>
                      <w:rPr>
                        <w:rFonts w:ascii="Times New Roman"/>
                        <w:spacing w:val="-5"/>
                      </w:rPr>
                      <w:fldChar w:fldCharType="end"/>
                    </w:r>
                  </w:p>
                </w:txbxContent>
              </v:textbox>
              <w10:wrap type="none"/>
            </v:shape>
          </w:pict>
        </mc:Fallback>
      </mc:AlternateContent>
    </w:r>
  </w:p>
</w:ftr>
</file>

<file path=word/footer18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06784">
              <wp:simplePos x="0" y="0"/>
              <wp:positionH relativeFrom="page">
                <wp:posOffset>3732276</wp:posOffset>
              </wp:positionH>
              <wp:positionV relativeFrom="page">
                <wp:posOffset>9416118</wp:posOffset>
              </wp:positionV>
              <wp:extent cx="317500" cy="194310"/>
              <wp:effectExtent l="0" t="0" r="0" b="0"/>
              <wp:wrapNone/>
              <wp:docPr id="338" name="Textbox 338"/>
              <wp:cNvGraphicFramePr>
                <a:graphicFrameLocks/>
              </wp:cNvGraphicFramePr>
              <a:graphic>
                <a:graphicData uri="http://schemas.microsoft.com/office/word/2010/wordprocessingShape">
                  <wps:wsp>
                    <wps:cNvPr id="338" name="Textbox 33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09696" type="#_x0000_t202" id="docshape33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162</w:t>
                    </w:r>
                    <w:r>
                      <w:rPr>
                        <w:rFonts w:ascii="Times New Roman"/>
                        <w:spacing w:val="-5"/>
                      </w:rPr>
                      <w:fldChar w:fldCharType="end"/>
                    </w:r>
                  </w:p>
                </w:txbxContent>
              </v:textbox>
              <w10:wrap type="none"/>
            </v:shape>
          </w:pict>
        </mc:Fallback>
      </mc:AlternateContent>
    </w:r>
  </w:p>
</w:ftr>
</file>

<file path=word/footer18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8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07808">
              <wp:simplePos x="0" y="0"/>
              <wp:positionH relativeFrom="page">
                <wp:posOffset>3732276</wp:posOffset>
              </wp:positionH>
              <wp:positionV relativeFrom="page">
                <wp:posOffset>9416118</wp:posOffset>
              </wp:positionV>
              <wp:extent cx="317500" cy="194310"/>
              <wp:effectExtent l="0" t="0" r="0" b="0"/>
              <wp:wrapNone/>
              <wp:docPr id="340" name="Textbox 340"/>
              <wp:cNvGraphicFramePr>
                <a:graphicFrameLocks/>
              </wp:cNvGraphicFramePr>
              <a:graphic>
                <a:graphicData uri="http://schemas.microsoft.com/office/word/2010/wordprocessingShape">
                  <wps:wsp>
                    <wps:cNvPr id="340" name="Textbox 34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08672" type="#_x0000_t202" id="docshape33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164</w:t>
                    </w:r>
                    <w:r>
                      <w:rPr>
                        <w:rFonts w:ascii="Times New Roman"/>
                        <w:spacing w:val="-5"/>
                      </w:rPr>
                      <w:fldChar w:fldCharType="end"/>
                    </w:r>
                  </w:p>
                </w:txbxContent>
              </v:textbox>
              <w10:wrap type="none"/>
            </v:shape>
          </w:pict>
        </mc:Fallback>
      </mc:AlternateContent>
    </w:r>
  </w:p>
</w:ftr>
</file>

<file path=word/footer18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08832">
              <wp:simplePos x="0" y="0"/>
              <wp:positionH relativeFrom="page">
                <wp:posOffset>3732276</wp:posOffset>
              </wp:positionH>
              <wp:positionV relativeFrom="page">
                <wp:posOffset>9416118</wp:posOffset>
              </wp:positionV>
              <wp:extent cx="317500" cy="194310"/>
              <wp:effectExtent l="0" t="0" r="0" b="0"/>
              <wp:wrapNone/>
              <wp:docPr id="342" name="Textbox 342"/>
              <wp:cNvGraphicFramePr>
                <a:graphicFrameLocks/>
              </wp:cNvGraphicFramePr>
              <a:graphic>
                <a:graphicData uri="http://schemas.microsoft.com/office/word/2010/wordprocessingShape">
                  <wps:wsp>
                    <wps:cNvPr id="342" name="Textbox 34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07648" type="#_x0000_t202" id="docshape34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165</w:t>
                    </w:r>
                    <w:r>
                      <w:rPr>
                        <w:rFonts w:ascii="Times New Roman"/>
                        <w:spacing w:val="-5"/>
                      </w:rPr>
                      <w:fldChar w:fldCharType="end"/>
                    </w:r>
                  </w:p>
                </w:txbxContent>
              </v:textbox>
              <w10:wrap type="none"/>
            </v:shape>
          </w:pict>
        </mc:Fallback>
      </mc:AlternateContent>
    </w:r>
  </w:p>
</w:ftr>
</file>

<file path=word/footer18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8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09856">
              <wp:simplePos x="0" y="0"/>
              <wp:positionH relativeFrom="page">
                <wp:posOffset>3732276</wp:posOffset>
              </wp:positionH>
              <wp:positionV relativeFrom="page">
                <wp:posOffset>9416118</wp:posOffset>
              </wp:positionV>
              <wp:extent cx="317500" cy="194310"/>
              <wp:effectExtent l="0" t="0" r="0" b="0"/>
              <wp:wrapNone/>
              <wp:docPr id="344" name="Textbox 344"/>
              <wp:cNvGraphicFramePr>
                <a:graphicFrameLocks/>
              </wp:cNvGraphicFramePr>
              <a:graphic>
                <a:graphicData uri="http://schemas.microsoft.com/office/word/2010/wordprocessingShape">
                  <wps:wsp>
                    <wps:cNvPr id="344" name="Textbox 34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06624" type="#_x0000_t202" id="docshape34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167</w:t>
                    </w:r>
                    <w:r>
                      <w:rPr>
                        <w:rFonts w:ascii="Times New Roman"/>
                        <w:spacing w:val="-5"/>
                      </w:rPr>
                      <w:fldChar w:fldCharType="end"/>
                    </w:r>
                  </w:p>
                </w:txbxContent>
              </v:textbox>
              <w10:wrap type="none"/>
            </v:shape>
          </w:pict>
        </mc:Fallback>
      </mc:AlternateContent>
    </w:r>
  </w:p>
</w:ftr>
</file>

<file path=word/footer18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10880">
              <wp:simplePos x="0" y="0"/>
              <wp:positionH relativeFrom="page">
                <wp:posOffset>3732276</wp:posOffset>
              </wp:positionH>
              <wp:positionV relativeFrom="page">
                <wp:posOffset>9416118</wp:posOffset>
              </wp:positionV>
              <wp:extent cx="317500" cy="194310"/>
              <wp:effectExtent l="0" t="0" r="0" b="0"/>
              <wp:wrapNone/>
              <wp:docPr id="346" name="Textbox 346"/>
              <wp:cNvGraphicFramePr>
                <a:graphicFrameLocks/>
              </wp:cNvGraphicFramePr>
              <a:graphic>
                <a:graphicData uri="http://schemas.microsoft.com/office/word/2010/wordprocessingShape">
                  <wps:wsp>
                    <wps:cNvPr id="346" name="Textbox 34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05600" type="#_x0000_t202" id="docshape34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168</w:t>
                    </w:r>
                    <w:r>
                      <w:rPr>
                        <w:rFonts w:ascii="Times New Roman"/>
                        <w:spacing w:val="-5"/>
                      </w:rPr>
                      <w:fldChar w:fldCharType="end"/>
                    </w:r>
                  </w:p>
                </w:txbxContent>
              </v:textbox>
              <w10:wrap type="none"/>
            </v:shape>
          </w:pict>
        </mc:Fallback>
      </mc:AlternateContent>
    </w:r>
  </w:p>
</w:ftr>
</file>

<file path=word/footer18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8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11904">
              <wp:simplePos x="0" y="0"/>
              <wp:positionH relativeFrom="page">
                <wp:posOffset>3732276</wp:posOffset>
              </wp:positionH>
              <wp:positionV relativeFrom="page">
                <wp:posOffset>9416118</wp:posOffset>
              </wp:positionV>
              <wp:extent cx="317500" cy="194310"/>
              <wp:effectExtent l="0" t="0" r="0" b="0"/>
              <wp:wrapNone/>
              <wp:docPr id="348" name="Textbox 348"/>
              <wp:cNvGraphicFramePr>
                <a:graphicFrameLocks/>
              </wp:cNvGraphicFramePr>
              <a:graphic>
                <a:graphicData uri="http://schemas.microsoft.com/office/word/2010/wordprocessingShape">
                  <wps:wsp>
                    <wps:cNvPr id="348" name="Textbox 34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04576" type="#_x0000_t202" id="docshape34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170</w:t>
                    </w:r>
                    <w:r>
                      <w:rPr>
                        <w:rFonts w:ascii="Times New Roman"/>
                        <w:spacing w:val="-5"/>
                      </w:rPr>
                      <w:fldChar w:fldCharType="end"/>
                    </w:r>
                  </w:p>
                </w:txbxContent>
              </v:textbox>
              <w10:wrap type="none"/>
            </v:shape>
          </w:pict>
        </mc:Fallback>
      </mc:AlternateContent>
    </w:r>
  </w:p>
</w:ftr>
</file>

<file path=word/footer18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12928">
              <wp:simplePos x="0" y="0"/>
              <wp:positionH relativeFrom="page">
                <wp:posOffset>3732276</wp:posOffset>
              </wp:positionH>
              <wp:positionV relativeFrom="page">
                <wp:posOffset>9416118</wp:posOffset>
              </wp:positionV>
              <wp:extent cx="317500" cy="194310"/>
              <wp:effectExtent l="0" t="0" r="0" b="0"/>
              <wp:wrapNone/>
              <wp:docPr id="350" name="Textbox 350"/>
              <wp:cNvGraphicFramePr>
                <a:graphicFrameLocks/>
              </wp:cNvGraphicFramePr>
              <a:graphic>
                <a:graphicData uri="http://schemas.microsoft.com/office/word/2010/wordprocessingShape">
                  <wps:wsp>
                    <wps:cNvPr id="350" name="Textbox 35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03552" type="#_x0000_t202" id="docshape34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171</w:t>
                    </w:r>
                    <w:r>
                      <w:rPr>
                        <w:rFonts w:ascii="Times New Roman"/>
                        <w:spacing w:val="-5"/>
                      </w:rPr>
                      <w:fldChar w:fldCharType="end"/>
                    </w:r>
                  </w:p>
                </w:txbxContent>
              </v:textbox>
              <w10:wrap type="none"/>
            </v:shape>
          </w:pict>
        </mc:Fallback>
      </mc:AlternateContent>
    </w: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56256">
              <wp:simplePos x="0" y="0"/>
              <wp:positionH relativeFrom="page">
                <wp:posOffset>3771900</wp:posOffset>
              </wp:positionH>
              <wp:positionV relativeFrom="page">
                <wp:posOffset>9416118</wp:posOffset>
              </wp:positionV>
              <wp:extent cx="241300" cy="194310"/>
              <wp:effectExtent l="0" t="0" r="0" b="0"/>
              <wp:wrapNone/>
              <wp:docPr id="42" name="Textbox 42"/>
              <wp:cNvGraphicFramePr>
                <a:graphicFrameLocks/>
              </wp:cNvGraphicFramePr>
              <a:graphic>
                <a:graphicData uri="http://schemas.microsoft.com/office/word/2010/wordprocessingShape">
                  <wps:wsp>
                    <wps:cNvPr id="42" name="Textbox 42"/>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60224" type="#_x0000_t202" id="docshape4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w:t>
                    </w:r>
                    <w:r>
                      <w:rPr>
                        <w:rFonts w:ascii="Times New Roman"/>
                        <w:spacing w:val="-5"/>
                      </w:rPr>
                      <w:fldChar w:fldCharType="end"/>
                    </w:r>
                  </w:p>
                </w:txbxContent>
              </v:textbox>
              <w10:wrap type="none"/>
            </v:shape>
          </w:pict>
        </mc:Fallback>
      </mc:AlternateContent>
    </w:r>
  </w:p>
</w:ftr>
</file>

<file path=word/footer19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9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13952">
              <wp:simplePos x="0" y="0"/>
              <wp:positionH relativeFrom="page">
                <wp:posOffset>3732276</wp:posOffset>
              </wp:positionH>
              <wp:positionV relativeFrom="page">
                <wp:posOffset>9416118</wp:posOffset>
              </wp:positionV>
              <wp:extent cx="317500" cy="194310"/>
              <wp:effectExtent l="0" t="0" r="0" b="0"/>
              <wp:wrapNone/>
              <wp:docPr id="352" name="Textbox 352"/>
              <wp:cNvGraphicFramePr>
                <a:graphicFrameLocks/>
              </wp:cNvGraphicFramePr>
              <a:graphic>
                <a:graphicData uri="http://schemas.microsoft.com/office/word/2010/wordprocessingShape">
                  <wps:wsp>
                    <wps:cNvPr id="352" name="Textbox 35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02528" type="#_x0000_t202" id="docshape35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173</w:t>
                    </w:r>
                    <w:r>
                      <w:rPr>
                        <w:rFonts w:ascii="Times New Roman"/>
                        <w:spacing w:val="-5"/>
                      </w:rPr>
                      <w:fldChar w:fldCharType="end"/>
                    </w:r>
                  </w:p>
                </w:txbxContent>
              </v:textbox>
              <w10:wrap type="none"/>
            </v:shape>
          </w:pict>
        </mc:Fallback>
      </mc:AlternateContent>
    </w:r>
  </w:p>
</w:ftr>
</file>

<file path=word/footer19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14976">
              <wp:simplePos x="0" y="0"/>
              <wp:positionH relativeFrom="page">
                <wp:posOffset>3732276</wp:posOffset>
              </wp:positionH>
              <wp:positionV relativeFrom="page">
                <wp:posOffset>9416118</wp:posOffset>
              </wp:positionV>
              <wp:extent cx="317500" cy="194310"/>
              <wp:effectExtent l="0" t="0" r="0" b="0"/>
              <wp:wrapNone/>
              <wp:docPr id="354" name="Textbox 354"/>
              <wp:cNvGraphicFramePr>
                <a:graphicFrameLocks/>
              </wp:cNvGraphicFramePr>
              <a:graphic>
                <a:graphicData uri="http://schemas.microsoft.com/office/word/2010/wordprocessingShape">
                  <wps:wsp>
                    <wps:cNvPr id="354" name="Textbox 35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01504" type="#_x0000_t202" id="docshape35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174</w:t>
                    </w:r>
                    <w:r>
                      <w:rPr>
                        <w:rFonts w:ascii="Times New Roman"/>
                        <w:spacing w:val="-5"/>
                      </w:rPr>
                      <w:fldChar w:fldCharType="end"/>
                    </w:r>
                  </w:p>
                </w:txbxContent>
              </v:textbox>
              <w10:wrap type="none"/>
            </v:shape>
          </w:pict>
        </mc:Fallback>
      </mc:AlternateContent>
    </w:r>
  </w:p>
</w:ftr>
</file>

<file path=word/footer19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16000">
              <wp:simplePos x="0" y="0"/>
              <wp:positionH relativeFrom="page">
                <wp:posOffset>3732276</wp:posOffset>
              </wp:positionH>
              <wp:positionV relativeFrom="page">
                <wp:posOffset>9416118</wp:posOffset>
              </wp:positionV>
              <wp:extent cx="317500" cy="194310"/>
              <wp:effectExtent l="0" t="0" r="0" b="0"/>
              <wp:wrapNone/>
              <wp:docPr id="356" name="Textbox 356"/>
              <wp:cNvGraphicFramePr>
                <a:graphicFrameLocks/>
              </wp:cNvGraphicFramePr>
              <a:graphic>
                <a:graphicData uri="http://schemas.microsoft.com/office/word/2010/wordprocessingShape">
                  <wps:wsp>
                    <wps:cNvPr id="356" name="Textbox 35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00480" type="#_x0000_t202" id="docshape35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175</w:t>
                    </w:r>
                    <w:r>
                      <w:rPr>
                        <w:rFonts w:ascii="Times New Roman"/>
                        <w:spacing w:val="-5"/>
                      </w:rPr>
                      <w:fldChar w:fldCharType="end"/>
                    </w:r>
                  </w:p>
                </w:txbxContent>
              </v:textbox>
              <w10:wrap type="none"/>
            </v:shape>
          </w:pict>
        </mc:Fallback>
      </mc:AlternateContent>
    </w:r>
  </w:p>
</w:ftr>
</file>

<file path=word/footer19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9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17024">
              <wp:simplePos x="0" y="0"/>
              <wp:positionH relativeFrom="page">
                <wp:posOffset>3732276</wp:posOffset>
              </wp:positionH>
              <wp:positionV relativeFrom="page">
                <wp:posOffset>9416118</wp:posOffset>
              </wp:positionV>
              <wp:extent cx="317500" cy="194310"/>
              <wp:effectExtent l="0" t="0" r="0" b="0"/>
              <wp:wrapNone/>
              <wp:docPr id="358" name="Textbox 358"/>
              <wp:cNvGraphicFramePr>
                <a:graphicFrameLocks/>
              </wp:cNvGraphicFramePr>
              <a:graphic>
                <a:graphicData uri="http://schemas.microsoft.com/office/word/2010/wordprocessingShape">
                  <wps:wsp>
                    <wps:cNvPr id="358" name="Textbox 35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99456" type="#_x0000_t202" id="docshape35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177</w:t>
                    </w:r>
                    <w:r>
                      <w:rPr>
                        <w:rFonts w:ascii="Times New Roman"/>
                        <w:spacing w:val="-5"/>
                      </w:rPr>
                      <w:fldChar w:fldCharType="end"/>
                    </w:r>
                  </w:p>
                </w:txbxContent>
              </v:textbox>
              <w10:wrap type="none"/>
            </v:shape>
          </w:pict>
        </mc:Fallback>
      </mc:AlternateContent>
    </w:r>
  </w:p>
</w:ftr>
</file>

<file path=word/footer19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18048">
              <wp:simplePos x="0" y="0"/>
              <wp:positionH relativeFrom="page">
                <wp:posOffset>3732276</wp:posOffset>
              </wp:positionH>
              <wp:positionV relativeFrom="page">
                <wp:posOffset>9416118</wp:posOffset>
              </wp:positionV>
              <wp:extent cx="317500" cy="194310"/>
              <wp:effectExtent l="0" t="0" r="0" b="0"/>
              <wp:wrapNone/>
              <wp:docPr id="360" name="Textbox 360"/>
              <wp:cNvGraphicFramePr>
                <a:graphicFrameLocks/>
              </wp:cNvGraphicFramePr>
              <a:graphic>
                <a:graphicData uri="http://schemas.microsoft.com/office/word/2010/wordprocessingShape">
                  <wps:wsp>
                    <wps:cNvPr id="360" name="Textbox 36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98432" type="#_x0000_t202" id="docshape35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178</w:t>
                    </w:r>
                    <w:r>
                      <w:rPr>
                        <w:rFonts w:ascii="Times New Roman"/>
                        <w:spacing w:val="-5"/>
                      </w:rPr>
                      <w:fldChar w:fldCharType="end"/>
                    </w:r>
                  </w:p>
                </w:txbxContent>
              </v:textbox>
              <w10:wrap type="none"/>
            </v:shape>
          </w:pict>
        </mc:Fallback>
      </mc:AlternateContent>
    </w:r>
  </w:p>
</w:ftr>
</file>

<file path=word/footer19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19072">
              <wp:simplePos x="0" y="0"/>
              <wp:positionH relativeFrom="page">
                <wp:posOffset>4783835</wp:posOffset>
              </wp:positionH>
              <wp:positionV relativeFrom="page">
                <wp:posOffset>7130118</wp:posOffset>
              </wp:positionV>
              <wp:extent cx="318135" cy="194310"/>
              <wp:effectExtent l="0" t="0" r="0" b="0"/>
              <wp:wrapNone/>
              <wp:docPr id="362" name="Textbox 362"/>
              <wp:cNvGraphicFramePr>
                <a:graphicFrameLocks/>
              </wp:cNvGraphicFramePr>
              <a:graphic>
                <a:graphicData uri="http://schemas.microsoft.com/office/word/2010/wordprocessingShape">
                  <wps:wsp>
                    <wps:cNvPr id="362" name="Textbox 362"/>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76.679993pt;margin-top:561.426636pt;width:25.05pt;height:15.3pt;mso-position-horizontal-relative:page;mso-position-vertical-relative:page;z-index:-36497408" type="#_x0000_t202" id="docshape36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179</w:t>
                    </w:r>
                    <w:r>
                      <w:rPr>
                        <w:rFonts w:ascii="Times New Roman"/>
                        <w:spacing w:val="-5"/>
                      </w:rPr>
                      <w:fldChar w:fldCharType="end"/>
                    </w:r>
                  </w:p>
                </w:txbxContent>
              </v:textbox>
              <w10:wrap type="none"/>
            </v:shape>
          </w:pict>
        </mc:Fallback>
      </mc:AlternateContent>
    </w:r>
  </w:p>
</w:ftr>
</file>

<file path=word/footer19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20096">
              <wp:simplePos x="0" y="0"/>
              <wp:positionH relativeFrom="page">
                <wp:posOffset>4783835</wp:posOffset>
              </wp:positionH>
              <wp:positionV relativeFrom="page">
                <wp:posOffset>7130118</wp:posOffset>
              </wp:positionV>
              <wp:extent cx="318135" cy="194310"/>
              <wp:effectExtent l="0" t="0" r="0" b="0"/>
              <wp:wrapNone/>
              <wp:docPr id="364" name="Textbox 364"/>
              <wp:cNvGraphicFramePr>
                <a:graphicFrameLocks/>
              </wp:cNvGraphicFramePr>
              <a:graphic>
                <a:graphicData uri="http://schemas.microsoft.com/office/word/2010/wordprocessingShape">
                  <wps:wsp>
                    <wps:cNvPr id="364" name="Textbox 364"/>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76.679993pt;margin-top:561.426636pt;width:25.05pt;height:15.3pt;mso-position-horizontal-relative:page;mso-position-vertical-relative:page;z-index:-36496384" type="#_x0000_t202" id="docshape36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180</w:t>
                    </w:r>
                    <w:r>
                      <w:rPr>
                        <w:rFonts w:ascii="Times New Roman"/>
                        <w:spacing w:val="-5"/>
                      </w:rPr>
                      <w:fldChar w:fldCharType="end"/>
                    </w:r>
                  </w:p>
                </w:txbxContent>
              </v:textbox>
              <w10:wrap type="none"/>
            </v:shape>
          </w:pict>
        </mc:Fallback>
      </mc:AlternateContent>
    </w:r>
  </w:p>
</w:ftr>
</file>

<file path=word/footer19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21120">
              <wp:simplePos x="0" y="0"/>
              <wp:positionH relativeFrom="page">
                <wp:posOffset>3732276</wp:posOffset>
              </wp:positionH>
              <wp:positionV relativeFrom="page">
                <wp:posOffset>9416118</wp:posOffset>
              </wp:positionV>
              <wp:extent cx="317500" cy="194310"/>
              <wp:effectExtent l="0" t="0" r="0" b="0"/>
              <wp:wrapNone/>
              <wp:docPr id="366" name="Textbox 366"/>
              <wp:cNvGraphicFramePr>
                <a:graphicFrameLocks/>
              </wp:cNvGraphicFramePr>
              <a:graphic>
                <a:graphicData uri="http://schemas.microsoft.com/office/word/2010/wordprocessingShape">
                  <wps:wsp>
                    <wps:cNvPr id="366" name="Textbox 36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95360" type="#_x0000_t202" id="docshape36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181</w:t>
                    </w:r>
                    <w:r>
                      <w:rPr>
                        <w:rFonts w:ascii="Times New Roman"/>
                        <w:spacing w:val="-5"/>
                      </w:rPr>
                      <w:fldChar w:fldCharType="end"/>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29632">
              <wp:simplePos x="0" y="0"/>
              <wp:positionH relativeFrom="page">
                <wp:posOffset>3808476</wp:posOffset>
              </wp:positionH>
              <wp:positionV relativeFrom="page">
                <wp:posOffset>9416118</wp:posOffset>
              </wp:positionV>
              <wp:extent cx="165100" cy="194310"/>
              <wp:effectExtent l="0" t="0" r="0" b="0"/>
              <wp:wrapNone/>
              <wp:docPr id="8" name="Textbox 8"/>
              <wp:cNvGraphicFramePr>
                <a:graphicFrameLocks/>
              </wp:cNvGraphicFramePr>
              <a:graphic>
                <a:graphicData uri="http://schemas.microsoft.com/office/word/2010/wordprocessingShape">
                  <wps:wsp>
                    <wps:cNvPr id="8" name="Textbox 8"/>
                    <wps:cNvSpPr txBox="1"/>
                    <wps:spPr>
                      <a:xfrm>
                        <a:off x="0" y="0"/>
                        <a:ext cx="165100" cy="194310"/>
                      </a:xfrm>
                      <a:prstGeom prst="rect">
                        <a:avLst/>
                      </a:prstGeom>
                    </wps:spPr>
                    <wps:txbx>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4</w:t>
                          </w:r>
                          <w:r>
                            <w:rPr>
                              <w:rFonts w:ascii="Times New Roman"/>
                              <w:spacing w:val="-10"/>
                            </w:rPr>
                            <w:fldChar w:fldCharType="end"/>
                          </w:r>
                        </w:p>
                      </w:txbxContent>
                    </wps:txbx>
                    <wps:bodyPr wrap="square" lIns="0" tIns="0" rIns="0" bIns="0" rtlCol="0">
                      <a:noAutofit/>
                    </wps:bodyPr>
                  </wps:wsp>
                </a:graphicData>
              </a:graphic>
            </wp:anchor>
          </w:drawing>
        </mc:Choice>
        <mc:Fallback>
          <w:pict>
            <v:shape style="position:absolute;margin-left:299.880005pt;margin-top:741.426636pt;width:13pt;height:15.3pt;mso-position-horizontal-relative:page;mso-position-vertical-relative:page;z-index:-36686848" type="#_x0000_t202" id="docshape8" filled="false" stroked="false">
              <v:textbox inset="0,0,0,0">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4</w:t>
                    </w:r>
                    <w:r>
                      <w:rPr>
                        <w:rFonts w:ascii="Times New Roman"/>
                        <w:spacing w:val="-10"/>
                      </w:rPr>
                      <w:fldChar w:fldCharType="end"/>
                    </w:r>
                  </w:p>
                </w:txbxContent>
              </v:textbox>
              <w10:wrap type="none"/>
            </v:shape>
          </w:pict>
        </mc:Fallback>
      </mc:AlternateContent>
    </w: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57280">
              <wp:simplePos x="0" y="0"/>
              <wp:positionH relativeFrom="page">
                <wp:posOffset>3771900</wp:posOffset>
              </wp:positionH>
              <wp:positionV relativeFrom="page">
                <wp:posOffset>9416118</wp:posOffset>
              </wp:positionV>
              <wp:extent cx="241300" cy="194310"/>
              <wp:effectExtent l="0" t="0" r="0" b="0"/>
              <wp:wrapNone/>
              <wp:docPr id="44" name="Textbox 44"/>
              <wp:cNvGraphicFramePr>
                <a:graphicFrameLocks/>
              </wp:cNvGraphicFramePr>
              <a:graphic>
                <a:graphicData uri="http://schemas.microsoft.com/office/word/2010/wordprocessingShape">
                  <wps:wsp>
                    <wps:cNvPr id="44" name="Textbox 44"/>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59200" type="#_x0000_t202" id="docshape4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31</w:t>
                    </w:r>
                    <w:r>
                      <w:rPr>
                        <w:rFonts w:ascii="Times New Roman"/>
                        <w:spacing w:val="-5"/>
                      </w:rPr>
                      <w:fldChar w:fldCharType="end"/>
                    </w:r>
                  </w:p>
                </w:txbxContent>
              </v:textbox>
              <w10:wrap type="none"/>
            </v:shape>
          </w:pict>
        </mc:Fallback>
      </mc:AlternateContent>
    </w:r>
  </w:p>
</w:ftr>
</file>

<file path=word/footer20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22144">
              <wp:simplePos x="0" y="0"/>
              <wp:positionH relativeFrom="page">
                <wp:posOffset>3732276</wp:posOffset>
              </wp:positionH>
              <wp:positionV relativeFrom="page">
                <wp:posOffset>9416118</wp:posOffset>
              </wp:positionV>
              <wp:extent cx="317500" cy="194310"/>
              <wp:effectExtent l="0" t="0" r="0" b="0"/>
              <wp:wrapNone/>
              <wp:docPr id="368" name="Textbox 368"/>
              <wp:cNvGraphicFramePr>
                <a:graphicFrameLocks/>
              </wp:cNvGraphicFramePr>
              <a:graphic>
                <a:graphicData uri="http://schemas.microsoft.com/office/word/2010/wordprocessingShape">
                  <wps:wsp>
                    <wps:cNvPr id="368" name="Textbox 36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94336" type="#_x0000_t202" id="docshape36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182</w:t>
                    </w:r>
                    <w:r>
                      <w:rPr>
                        <w:rFonts w:ascii="Times New Roman"/>
                        <w:spacing w:val="-5"/>
                      </w:rPr>
                      <w:fldChar w:fldCharType="end"/>
                    </w:r>
                  </w:p>
                </w:txbxContent>
              </v:textbox>
              <w10:wrap type="none"/>
            </v:shape>
          </w:pict>
        </mc:Fallback>
      </mc:AlternateContent>
    </w:r>
  </w:p>
</w:ftr>
</file>

<file path=word/footer20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23168">
              <wp:simplePos x="0" y="0"/>
              <wp:positionH relativeFrom="page">
                <wp:posOffset>3732276</wp:posOffset>
              </wp:positionH>
              <wp:positionV relativeFrom="page">
                <wp:posOffset>9416118</wp:posOffset>
              </wp:positionV>
              <wp:extent cx="317500" cy="194310"/>
              <wp:effectExtent l="0" t="0" r="0" b="0"/>
              <wp:wrapNone/>
              <wp:docPr id="370" name="Textbox 370"/>
              <wp:cNvGraphicFramePr>
                <a:graphicFrameLocks/>
              </wp:cNvGraphicFramePr>
              <a:graphic>
                <a:graphicData uri="http://schemas.microsoft.com/office/word/2010/wordprocessingShape">
                  <wps:wsp>
                    <wps:cNvPr id="370" name="Textbox 37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93312" type="#_x0000_t202" id="docshape36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183</w:t>
                    </w:r>
                    <w:r>
                      <w:rPr>
                        <w:rFonts w:ascii="Times New Roman"/>
                        <w:spacing w:val="-5"/>
                      </w:rPr>
                      <w:fldChar w:fldCharType="end"/>
                    </w:r>
                  </w:p>
                </w:txbxContent>
              </v:textbox>
              <w10:wrap type="none"/>
            </v:shape>
          </w:pict>
        </mc:Fallback>
      </mc:AlternateContent>
    </w:r>
  </w:p>
</w:ftr>
</file>

<file path=word/footer20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24192">
              <wp:simplePos x="0" y="0"/>
              <wp:positionH relativeFrom="page">
                <wp:posOffset>3732276</wp:posOffset>
              </wp:positionH>
              <wp:positionV relativeFrom="page">
                <wp:posOffset>9416118</wp:posOffset>
              </wp:positionV>
              <wp:extent cx="317500" cy="194310"/>
              <wp:effectExtent l="0" t="0" r="0" b="0"/>
              <wp:wrapNone/>
              <wp:docPr id="372" name="Textbox 372"/>
              <wp:cNvGraphicFramePr>
                <a:graphicFrameLocks/>
              </wp:cNvGraphicFramePr>
              <a:graphic>
                <a:graphicData uri="http://schemas.microsoft.com/office/word/2010/wordprocessingShape">
                  <wps:wsp>
                    <wps:cNvPr id="372" name="Textbox 37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92288" type="#_x0000_t202" id="docshape37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184</w:t>
                    </w:r>
                    <w:r>
                      <w:rPr>
                        <w:rFonts w:ascii="Times New Roman"/>
                        <w:spacing w:val="-5"/>
                      </w:rPr>
                      <w:fldChar w:fldCharType="end"/>
                    </w:r>
                  </w:p>
                </w:txbxContent>
              </v:textbox>
              <w10:wrap type="none"/>
            </v:shape>
          </w:pict>
        </mc:Fallback>
      </mc:AlternateContent>
    </w:r>
  </w:p>
</w:ftr>
</file>

<file path=word/footer20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25216">
              <wp:simplePos x="0" y="0"/>
              <wp:positionH relativeFrom="page">
                <wp:posOffset>3732276</wp:posOffset>
              </wp:positionH>
              <wp:positionV relativeFrom="page">
                <wp:posOffset>9416118</wp:posOffset>
              </wp:positionV>
              <wp:extent cx="317500" cy="194310"/>
              <wp:effectExtent l="0" t="0" r="0" b="0"/>
              <wp:wrapNone/>
              <wp:docPr id="374" name="Textbox 374"/>
              <wp:cNvGraphicFramePr>
                <a:graphicFrameLocks/>
              </wp:cNvGraphicFramePr>
              <a:graphic>
                <a:graphicData uri="http://schemas.microsoft.com/office/word/2010/wordprocessingShape">
                  <wps:wsp>
                    <wps:cNvPr id="374" name="Textbox 37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91264" type="#_x0000_t202" id="docshape37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185</w:t>
                    </w:r>
                    <w:r>
                      <w:rPr>
                        <w:rFonts w:ascii="Times New Roman"/>
                        <w:spacing w:val="-5"/>
                      </w:rPr>
                      <w:fldChar w:fldCharType="end"/>
                    </w:r>
                  </w:p>
                </w:txbxContent>
              </v:textbox>
              <w10:wrap type="none"/>
            </v:shape>
          </w:pict>
        </mc:Fallback>
      </mc:AlternateContent>
    </w:r>
  </w:p>
</w:ftr>
</file>

<file path=word/footer20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26240">
              <wp:simplePos x="0" y="0"/>
              <wp:positionH relativeFrom="page">
                <wp:posOffset>3732276</wp:posOffset>
              </wp:positionH>
              <wp:positionV relativeFrom="page">
                <wp:posOffset>9416118</wp:posOffset>
              </wp:positionV>
              <wp:extent cx="317500" cy="194310"/>
              <wp:effectExtent l="0" t="0" r="0" b="0"/>
              <wp:wrapNone/>
              <wp:docPr id="376" name="Textbox 376"/>
              <wp:cNvGraphicFramePr>
                <a:graphicFrameLocks/>
              </wp:cNvGraphicFramePr>
              <a:graphic>
                <a:graphicData uri="http://schemas.microsoft.com/office/word/2010/wordprocessingShape">
                  <wps:wsp>
                    <wps:cNvPr id="376" name="Textbox 37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90240" type="#_x0000_t202" id="docshape37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186</w:t>
                    </w:r>
                    <w:r>
                      <w:rPr>
                        <w:rFonts w:ascii="Times New Roman"/>
                        <w:spacing w:val="-5"/>
                      </w:rPr>
                      <w:fldChar w:fldCharType="end"/>
                    </w:r>
                  </w:p>
                </w:txbxContent>
              </v:textbox>
              <w10:wrap type="none"/>
            </v:shape>
          </w:pict>
        </mc:Fallback>
      </mc:AlternateContent>
    </w:r>
  </w:p>
</w:ftr>
</file>

<file path=word/footer20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27264">
              <wp:simplePos x="0" y="0"/>
              <wp:positionH relativeFrom="page">
                <wp:posOffset>3732276</wp:posOffset>
              </wp:positionH>
              <wp:positionV relativeFrom="page">
                <wp:posOffset>9416118</wp:posOffset>
              </wp:positionV>
              <wp:extent cx="317500" cy="194310"/>
              <wp:effectExtent l="0" t="0" r="0" b="0"/>
              <wp:wrapNone/>
              <wp:docPr id="378" name="Textbox 378"/>
              <wp:cNvGraphicFramePr>
                <a:graphicFrameLocks/>
              </wp:cNvGraphicFramePr>
              <a:graphic>
                <a:graphicData uri="http://schemas.microsoft.com/office/word/2010/wordprocessingShape">
                  <wps:wsp>
                    <wps:cNvPr id="378" name="Textbox 37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89216" type="#_x0000_t202" id="docshape37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187</w:t>
                    </w:r>
                    <w:r>
                      <w:rPr>
                        <w:rFonts w:ascii="Times New Roman"/>
                        <w:spacing w:val="-5"/>
                      </w:rPr>
                      <w:fldChar w:fldCharType="end"/>
                    </w:r>
                  </w:p>
                </w:txbxContent>
              </v:textbox>
              <w10:wrap type="none"/>
            </v:shape>
          </w:pict>
        </mc:Fallback>
      </mc:AlternateContent>
    </w:r>
  </w:p>
</w:ftr>
</file>

<file path=word/footer20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28288">
              <wp:simplePos x="0" y="0"/>
              <wp:positionH relativeFrom="page">
                <wp:posOffset>3732276</wp:posOffset>
              </wp:positionH>
              <wp:positionV relativeFrom="page">
                <wp:posOffset>9416118</wp:posOffset>
              </wp:positionV>
              <wp:extent cx="317500" cy="194310"/>
              <wp:effectExtent l="0" t="0" r="0" b="0"/>
              <wp:wrapNone/>
              <wp:docPr id="380" name="Textbox 380"/>
              <wp:cNvGraphicFramePr>
                <a:graphicFrameLocks/>
              </wp:cNvGraphicFramePr>
              <a:graphic>
                <a:graphicData uri="http://schemas.microsoft.com/office/word/2010/wordprocessingShape">
                  <wps:wsp>
                    <wps:cNvPr id="380" name="Textbox 38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88192" type="#_x0000_t202" id="docshape37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188</w:t>
                    </w:r>
                    <w:r>
                      <w:rPr>
                        <w:rFonts w:ascii="Times New Roman"/>
                        <w:spacing w:val="-5"/>
                      </w:rPr>
                      <w:fldChar w:fldCharType="end"/>
                    </w:r>
                  </w:p>
                </w:txbxContent>
              </v:textbox>
              <w10:wrap type="none"/>
            </v:shape>
          </w:pict>
        </mc:Fallback>
      </mc:AlternateContent>
    </w:r>
  </w:p>
</w:ftr>
</file>

<file path=word/footer20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29312">
              <wp:simplePos x="0" y="0"/>
              <wp:positionH relativeFrom="page">
                <wp:posOffset>3732276</wp:posOffset>
              </wp:positionH>
              <wp:positionV relativeFrom="page">
                <wp:posOffset>9416118</wp:posOffset>
              </wp:positionV>
              <wp:extent cx="317500" cy="194310"/>
              <wp:effectExtent l="0" t="0" r="0" b="0"/>
              <wp:wrapNone/>
              <wp:docPr id="382" name="Textbox 382"/>
              <wp:cNvGraphicFramePr>
                <a:graphicFrameLocks/>
              </wp:cNvGraphicFramePr>
              <a:graphic>
                <a:graphicData uri="http://schemas.microsoft.com/office/word/2010/wordprocessingShape">
                  <wps:wsp>
                    <wps:cNvPr id="382" name="Textbox 38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87168" type="#_x0000_t202" id="docshape38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189</w:t>
                    </w:r>
                    <w:r>
                      <w:rPr>
                        <w:rFonts w:ascii="Times New Roman"/>
                        <w:spacing w:val="-5"/>
                      </w:rPr>
                      <w:fldChar w:fldCharType="end"/>
                    </w:r>
                  </w:p>
                </w:txbxContent>
              </v:textbox>
              <w10:wrap type="none"/>
            </v:shape>
          </w:pict>
        </mc:Fallback>
      </mc:AlternateContent>
    </w:r>
  </w:p>
</w:ftr>
</file>

<file path=word/footer20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30336">
              <wp:simplePos x="0" y="0"/>
              <wp:positionH relativeFrom="page">
                <wp:posOffset>3732276</wp:posOffset>
              </wp:positionH>
              <wp:positionV relativeFrom="page">
                <wp:posOffset>9416118</wp:posOffset>
              </wp:positionV>
              <wp:extent cx="317500" cy="194310"/>
              <wp:effectExtent l="0" t="0" r="0" b="0"/>
              <wp:wrapNone/>
              <wp:docPr id="384" name="Textbox 384"/>
              <wp:cNvGraphicFramePr>
                <a:graphicFrameLocks/>
              </wp:cNvGraphicFramePr>
              <a:graphic>
                <a:graphicData uri="http://schemas.microsoft.com/office/word/2010/wordprocessingShape">
                  <wps:wsp>
                    <wps:cNvPr id="384" name="Textbox 38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86144" type="#_x0000_t202" id="docshape38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190</w:t>
                    </w:r>
                    <w:r>
                      <w:rPr>
                        <w:rFonts w:ascii="Times New Roman"/>
                        <w:spacing w:val="-5"/>
                      </w:rPr>
                      <w:fldChar w:fldCharType="end"/>
                    </w:r>
                  </w:p>
                </w:txbxContent>
              </v:textbox>
              <w10:wrap type="none"/>
            </v:shape>
          </w:pict>
        </mc:Fallback>
      </mc:AlternateContent>
    </w:r>
  </w:p>
</w:ftr>
</file>

<file path=word/footer20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31360">
              <wp:simplePos x="0" y="0"/>
              <wp:positionH relativeFrom="page">
                <wp:posOffset>3732276</wp:posOffset>
              </wp:positionH>
              <wp:positionV relativeFrom="page">
                <wp:posOffset>9416118</wp:posOffset>
              </wp:positionV>
              <wp:extent cx="317500" cy="194310"/>
              <wp:effectExtent l="0" t="0" r="0" b="0"/>
              <wp:wrapNone/>
              <wp:docPr id="386" name="Textbox 386"/>
              <wp:cNvGraphicFramePr>
                <a:graphicFrameLocks/>
              </wp:cNvGraphicFramePr>
              <a:graphic>
                <a:graphicData uri="http://schemas.microsoft.com/office/word/2010/wordprocessingShape">
                  <wps:wsp>
                    <wps:cNvPr id="386" name="Textbox 38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85120" type="#_x0000_t202" id="docshape38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191</w:t>
                    </w:r>
                    <w:r>
                      <w:rPr>
                        <w:rFonts w:ascii="Times New Roman"/>
                        <w:spacing w:val="-5"/>
                      </w:rPr>
                      <w:fldChar w:fldCharType="end"/>
                    </w:r>
                  </w:p>
                </w:txbxContent>
              </v:textbox>
              <w10:wrap type="none"/>
            </v:shape>
          </w:pict>
        </mc:Fallback>
      </mc:AlternateContent>
    </w: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58304">
              <wp:simplePos x="0" y="0"/>
              <wp:positionH relativeFrom="page">
                <wp:posOffset>3771900</wp:posOffset>
              </wp:positionH>
              <wp:positionV relativeFrom="page">
                <wp:posOffset>9416118</wp:posOffset>
              </wp:positionV>
              <wp:extent cx="241300" cy="194310"/>
              <wp:effectExtent l="0" t="0" r="0" b="0"/>
              <wp:wrapNone/>
              <wp:docPr id="46" name="Textbox 46"/>
              <wp:cNvGraphicFramePr>
                <a:graphicFrameLocks/>
              </wp:cNvGraphicFramePr>
              <a:graphic>
                <a:graphicData uri="http://schemas.microsoft.com/office/word/2010/wordprocessingShape">
                  <wps:wsp>
                    <wps:cNvPr id="46" name="Textbox 46"/>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58176" type="#_x0000_t202" id="docshape4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32</w:t>
                    </w:r>
                    <w:r>
                      <w:rPr>
                        <w:rFonts w:ascii="Times New Roman"/>
                        <w:spacing w:val="-5"/>
                      </w:rPr>
                      <w:fldChar w:fldCharType="end"/>
                    </w:r>
                  </w:p>
                </w:txbxContent>
              </v:textbox>
              <w10:wrap type="none"/>
            </v:shape>
          </w:pict>
        </mc:Fallback>
      </mc:AlternateContent>
    </w:r>
  </w:p>
</w:ftr>
</file>

<file path=word/footer2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32384">
              <wp:simplePos x="0" y="0"/>
              <wp:positionH relativeFrom="page">
                <wp:posOffset>3732276</wp:posOffset>
              </wp:positionH>
              <wp:positionV relativeFrom="page">
                <wp:posOffset>9416118</wp:posOffset>
              </wp:positionV>
              <wp:extent cx="317500" cy="194310"/>
              <wp:effectExtent l="0" t="0" r="0" b="0"/>
              <wp:wrapNone/>
              <wp:docPr id="388" name="Textbox 388"/>
              <wp:cNvGraphicFramePr>
                <a:graphicFrameLocks/>
              </wp:cNvGraphicFramePr>
              <a:graphic>
                <a:graphicData uri="http://schemas.microsoft.com/office/word/2010/wordprocessingShape">
                  <wps:wsp>
                    <wps:cNvPr id="388" name="Textbox 38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84096" type="#_x0000_t202" id="docshape38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192</w:t>
                    </w:r>
                    <w:r>
                      <w:rPr>
                        <w:rFonts w:ascii="Times New Roman"/>
                        <w:spacing w:val="-5"/>
                      </w:rPr>
                      <w:fldChar w:fldCharType="end"/>
                    </w:r>
                  </w:p>
                </w:txbxContent>
              </v:textbox>
              <w10:wrap type="none"/>
            </v:shape>
          </w:pict>
        </mc:Fallback>
      </mc:AlternateContent>
    </w:r>
  </w:p>
</w:ftr>
</file>

<file path=word/footer2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33408">
              <wp:simplePos x="0" y="0"/>
              <wp:positionH relativeFrom="page">
                <wp:posOffset>3732276</wp:posOffset>
              </wp:positionH>
              <wp:positionV relativeFrom="page">
                <wp:posOffset>9416118</wp:posOffset>
              </wp:positionV>
              <wp:extent cx="317500" cy="194310"/>
              <wp:effectExtent l="0" t="0" r="0" b="0"/>
              <wp:wrapNone/>
              <wp:docPr id="390" name="Textbox 390"/>
              <wp:cNvGraphicFramePr>
                <a:graphicFrameLocks/>
              </wp:cNvGraphicFramePr>
              <a:graphic>
                <a:graphicData uri="http://schemas.microsoft.com/office/word/2010/wordprocessingShape">
                  <wps:wsp>
                    <wps:cNvPr id="390" name="Textbox 39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83072" type="#_x0000_t202" id="docshape38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193</w:t>
                    </w:r>
                    <w:r>
                      <w:rPr>
                        <w:rFonts w:ascii="Times New Roman"/>
                        <w:spacing w:val="-5"/>
                      </w:rPr>
                      <w:fldChar w:fldCharType="end"/>
                    </w:r>
                  </w:p>
                </w:txbxContent>
              </v:textbox>
              <w10:wrap type="none"/>
            </v:shape>
          </w:pict>
        </mc:Fallback>
      </mc:AlternateContent>
    </w:r>
  </w:p>
</w:ftr>
</file>

<file path=word/footer2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34432">
              <wp:simplePos x="0" y="0"/>
              <wp:positionH relativeFrom="page">
                <wp:posOffset>3732276</wp:posOffset>
              </wp:positionH>
              <wp:positionV relativeFrom="page">
                <wp:posOffset>9416118</wp:posOffset>
              </wp:positionV>
              <wp:extent cx="317500" cy="194310"/>
              <wp:effectExtent l="0" t="0" r="0" b="0"/>
              <wp:wrapNone/>
              <wp:docPr id="392" name="Textbox 392"/>
              <wp:cNvGraphicFramePr>
                <a:graphicFrameLocks/>
              </wp:cNvGraphicFramePr>
              <a:graphic>
                <a:graphicData uri="http://schemas.microsoft.com/office/word/2010/wordprocessingShape">
                  <wps:wsp>
                    <wps:cNvPr id="392" name="Textbox 39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82048" type="#_x0000_t202" id="docshape39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194</w:t>
                    </w:r>
                    <w:r>
                      <w:rPr>
                        <w:rFonts w:ascii="Times New Roman"/>
                        <w:spacing w:val="-5"/>
                      </w:rPr>
                      <w:fldChar w:fldCharType="end"/>
                    </w:r>
                  </w:p>
                </w:txbxContent>
              </v:textbox>
              <w10:wrap type="none"/>
            </v:shape>
          </w:pict>
        </mc:Fallback>
      </mc:AlternateContent>
    </w:r>
  </w:p>
</w:ftr>
</file>

<file path=word/footer2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35456">
              <wp:simplePos x="0" y="0"/>
              <wp:positionH relativeFrom="page">
                <wp:posOffset>3732276</wp:posOffset>
              </wp:positionH>
              <wp:positionV relativeFrom="page">
                <wp:posOffset>9416118</wp:posOffset>
              </wp:positionV>
              <wp:extent cx="317500" cy="194310"/>
              <wp:effectExtent l="0" t="0" r="0" b="0"/>
              <wp:wrapNone/>
              <wp:docPr id="394" name="Textbox 394"/>
              <wp:cNvGraphicFramePr>
                <a:graphicFrameLocks/>
              </wp:cNvGraphicFramePr>
              <a:graphic>
                <a:graphicData uri="http://schemas.microsoft.com/office/word/2010/wordprocessingShape">
                  <wps:wsp>
                    <wps:cNvPr id="394" name="Textbox 39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81024" type="#_x0000_t202" id="docshape39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195</w:t>
                    </w:r>
                    <w:r>
                      <w:rPr>
                        <w:rFonts w:ascii="Times New Roman"/>
                        <w:spacing w:val="-5"/>
                      </w:rPr>
                      <w:fldChar w:fldCharType="end"/>
                    </w:r>
                  </w:p>
                </w:txbxContent>
              </v:textbox>
              <w10:wrap type="none"/>
            </v:shape>
          </w:pict>
        </mc:Fallback>
      </mc:AlternateContent>
    </w:r>
  </w:p>
</w:ftr>
</file>

<file path=word/footer2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36480">
              <wp:simplePos x="0" y="0"/>
              <wp:positionH relativeFrom="page">
                <wp:posOffset>3732276</wp:posOffset>
              </wp:positionH>
              <wp:positionV relativeFrom="page">
                <wp:posOffset>9416118</wp:posOffset>
              </wp:positionV>
              <wp:extent cx="317500" cy="194310"/>
              <wp:effectExtent l="0" t="0" r="0" b="0"/>
              <wp:wrapNone/>
              <wp:docPr id="396" name="Textbox 396"/>
              <wp:cNvGraphicFramePr>
                <a:graphicFrameLocks/>
              </wp:cNvGraphicFramePr>
              <a:graphic>
                <a:graphicData uri="http://schemas.microsoft.com/office/word/2010/wordprocessingShape">
                  <wps:wsp>
                    <wps:cNvPr id="396" name="Textbox 39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80000" type="#_x0000_t202" id="docshape39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196</w:t>
                    </w:r>
                    <w:r>
                      <w:rPr>
                        <w:rFonts w:ascii="Times New Roman"/>
                        <w:spacing w:val="-5"/>
                      </w:rPr>
                      <w:fldChar w:fldCharType="end"/>
                    </w:r>
                  </w:p>
                </w:txbxContent>
              </v:textbox>
              <w10:wrap type="none"/>
            </v:shape>
          </w:pict>
        </mc:Fallback>
      </mc:AlternateContent>
    </w:r>
  </w:p>
</w:ftr>
</file>

<file path=word/footer2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37504">
              <wp:simplePos x="0" y="0"/>
              <wp:positionH relativeFrom="page">
                <wp:posOffset>3732276</wp:posOffset>
              </wp:positionH>
              <wp:positionV relativeFrom="page">
                <wp:posOffset>9416118</wp:posOffset>
              </wp:positionV>
              <wp:extent cx="317500" cy="194310"/>
              <wp:effectExtent l="0" t="0" r="0" b="0"/>
              <wp:wrapNone/>
              <wp:docPr id="398" name="Textbox 398"/>
              <wp:cNvGraphicFramePr>
                <a:graphicFrameLocks/>
              </wp:cNvGraphicFramePr>
              <a:graphic>
                <a:graphicData uri="http://schemas.microsoft.com/office/word/2010/wordprocessingShape">
                  <wps:wsp>
                    <wps:cNvPr id="398" name="Textbox 39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78976" type="#_x0000_t202" id="docshape39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197</w:t>
                    </w:r>
                    <w:r>
                      <w:rPr>
                        <w:rFonts w:ascii="Times New Roman"/>
                        <w:spacing w:val="-5"/>
                      </w:rPr>
                      <w:fldChar w:fldCharType="end"/>
                    </w:r>
                  </w:p>
                </w:txbxContent>
              </v:textbox>
              <w10:wrap type="none"/>
            </v:shape>
          </w:pict>
        </mc:Fallback>
      </mc:AlternateContent>
    </w:r>
  </w:p>
</w:ftr>
</file>

<file path=word/footer2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38528">
              <wp:simplePos x="0" y="0"/>
              <wp:positionH relativeFrom="page">
                <wp:posOffset>3732276</wp:posOffset>
              </wp:positionH>
              <wp:positionV relativeFrom="page">
                <wp:posOffset>9416118</wp:posOffset>
              </wp:positionV>
              <wp:extent cx="317500" cy="194310"/>
              <wp:effectExtent l="0" t="0" r="0" b="0"/>
              <wp:wrapNone/>
              <wp:docPr id="400" name="Textbox 400"/>
              <wp:cNvGraphicFramePr>
                <a:graphicFrameLocks/>
              </wp:cNvGraphicFramePr>
              <a:graphic>
                <a:graphicData uri="http://schemas.microsoft.com/office/word/2010/wordprocessingShape">
                  <wps:wsp>
                    <wps:cNvPr id="400" name="Textbox 40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77952" type="#_x0000_t202" id="docshape39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198</w:t>
                    </w:r>
                    <w:r>
                      <w:rPr>
                        <w:rFonts w:ascii="Times New Roman"/>
                        <w:spacing w:val="-5"/>
                      </w:rPr>
                      <w:fldChar w:fldCharType="end"/>
                    </w:r>
                  </w:p>
                </w:txbxContent>
              </v:textbox>
              <w10:wrap type="none"/>
            </v:shape>
          </w:pict>
        </mc:Fallback>
      </mc:AlternateContent>
    </w:r>
  </w:p>
</w:ftr>
</file>

<file path=word/footer2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39552">
              <wp:simplePos x="0" y="0"/>
              <wp:positionH relativeFrom="page">
                <wp:posOffset>3732276</wp:posOffset>
              </wp:positionH>
              <wp:positionV relativeFrom="page">
                <wp:posOffset>9416118</wp:posOffset>
              </wp:positionV>
              <wp:extent cx="317500" cy="194310"/>
              <wp:effectExtent l="0" t="0" r="0" b="0"/>
              <wp:wrapNone/>
              <wp:docPr id="402" name="Textbox 402"/>
              <wp:cNvGraphicFramePr>
                <a:graphicFrameLocks/>
              </wp:cNvGraphicFramePr>
              <a:graphic>
                <a:graphicData uri="http://schemas.microsoft.com/office/word/2010/wordprocessingShape">
                  <wps:wsp>
                    <wps:cNvPr id="402" name="Textbox 40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76928" type="#_x0000_t202" id="docshape40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199</w:t>
                    </w:r>
                    <w:r>
                      <w:rPr>
                        <w:rFonts w:ascii="Times New Roman"/>
                        <w:spacing w:val="-5"/>
                      </w:rPr>
                      <w:fldChar w:fldCharType="end"/>
                    </w:r>
                  </w:p>
                </w:txbxContent>
              </v:textbox>
              <w10:wrap type="none"/>
            </v:shape>
          </w:pict>
        </mc:Fallback>
      </mc:AlternateContent>
    </w:r>
  </w:p>
</w:ftr>
</file>

<file path=word/footer2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40576">
              <wp:simplePos x="0" y="0"/>
              <wp:positionH relativeFrom="page">
                <wp:posOffset>3732276</wp:posOffset>
              </wp:positionH>
              <wp:positionV relativeFrom="page">
                <wp:posOffset>9416118</wp:posOffset>
              </wp:positionV>
              <wp:extent cx="317500" cy="194310"/>
              <wp:effectExtent l="0" t="0" r="0" b="0"/>
              <wp:wrapNone/>
              <wp:docPr id="404" name="Textbox 404"/>
              <wp:cNvGraphicFramePr>
                <a:graphicFrameLocks/>
              </wp:cNvGraphicFramePr>
              <a:graphic>
                <a:graphicData uri="http://schemas.microsoft.com/office/word/2010/wordprocessingShape">
                  <wps:wsp>
                    <wps:cNvPr id="404" name="Textbox 40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75904" type="#_x0000_t202" id="docshape40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200</w:t>
                    </w:r>
                    <w:r>
                      <w:rPr>
                        <w:rFonts w:ascii="Times New Roman"/>
                        <w:spacing w:val="-5"/>
                      </w:rPr>
                      <w:fldChar w:fldCharType="end"/>
                    </w:r>
                  </w:p>
                </w:txbxContent>
              </v:textbox>
              <w10:wrap type="none"/>
            </v:shape>
          </w:pict>
        </mc:Fallback>
      </mc:AlternateContent>
    </w:r>
  </w:p>
</w:ftr>
</file>

<file path=word/footer2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41600">
              <wp:simplePos x="0" y="0"/>
              <wp:positionH relativeFrom="page">
                <wp:posOffset>3732276</wp:posOffset>
              </wp:positionH>
              <wp:positionV relativeFrom="page">
                <wp:posOffset>9416118</wp:posOffset>
              </wp:positionV>
              <wp:extent cx="317500" cy="194310"/>
              <wp:effectExtent l="0" t="0" r="0" b="0"/>
              <wp:wrapNone/>
              <wp:docPr id="406" name="Textbox 406"/>
              <wp:cNvGraphicFramePr>
                <a:graphicFrameLocks/>
              </wp:cNvGraphicFramePr>
              <a:graphic>
                <a:graphicData uri="http://schemas.microsoft.com/office/word/2010/wordprocessingShape">
                  <wps:wsp>
                    <wps:cNvPr id="406" name="Textbox 40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74880" type="#_x0000_t202" id="docshape40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201</w:t>
                    </w:r>
                    <w:r>
                      <w:rPr>
                        <w:rFonts w:ascii="Times New Roman"/>
                        <w:spacing w:val="-5"/>
                      </w:rPr>
                      <w:fldChar w:fldCharType="end"/>
                    </w:r>
                  </w:p>
                </w:txbxContent>
              </v:textbox>
              <w10:wrap type="none"/>
            </v:shape>
          </w:pict>
        </mc:Fallback>
      </mc:AlternateContent>
    </w: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59328">
              <wp:simplePos x="0" y="0"/>
              <wp:positionH relativeFrom="page">
                <wp:posOffset>3771900</wp:posOffset>
              </wp:positionH>
              <wp:positionV relativeFrom="page">
                <wp:posOffset>9416118</wp:posOffset>
              </wp:positionV>
              <wp:extent cx="241300" cy="194310"/>
              <wp:effectExtent l="0" t="0" r="0" b="0"/>
              <wp:wrapNone/>
              <wp:docPr id="48" name="Textbox 48"/>
              <wp:cNvGraphicFramePr>
                <a:graphicFrameLocks/>
              </wp:cNvGraphicFramePr>
              <a:graphic>
                <a:graphicData uri="http://schemas.microsoft.com/office/word/2010/wordprocessingShape">
                  <wps:wsp>
                    <wps:cNvPr id="48" name="Textbox 48"/>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57152" type="#_x0000_t202" id="docshape4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33</w:t>
                    </w:r>
                    <w:r>
                      <w:rPr>
                        <w:rFonts w:ascii="Times New Roman"/>
                        <w:spacing w:val="-5"/>
                      </w:rPr>
                      <w:fldChar w:fldCharType="end"/>
                    </w:r>
                  </w:p>
                </w:txbxContent>
              </v:textbox>
              <w10:wrap type="none"/>
            </v:shape>
          </w:pict>
        </mc:Fallback>
      </mc:AlternateContent>
    </w:r>
  </w:p>
</w:ftr>
</file>

<file path=word/footer2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42624">
              <wp:simplePos x="0" y="0"/>
              <wp:positionH relativeFrom="page">
                <wp:posOffset>3732276</wp:posOffset>
              </wp:positionH>
              <wp:positionV relativeFrom="page">
                <wp:posOffset>9416118</wp:posOffset>
              </wp:positionV>
              <wp:extent cx="317500" cy="194310"/>
              <wp:effectExtent l="0" t="0" r="0" b="0"/>
              <wp:wrapNone/>
              <wp:docPr id="408" name="Textbox 408"/>
              <wp:cNvGraphicFramePr>
                <a:graphicFrameLocks/>
              </wp:cNvGraphicFramePr>
              <a:graphic>
                <a:graphicData uri="http://schemas.microsoft.com/office/word/2010/wordprocessingShape">
                  <wps:wsp>
                    <wps:cNvPr id="408" name="Textbox 40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73856" type="#_x0000_t202" id="docshape40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202</w:t>
                    </w:r>
                    <w:r>
                      <w:rPr>
                        <w:rFonts w:ascii="Times New Roman"/>
                        <w:spacing w:val="-5"/>
                      </w:rPr>
                      <w:fldChar w:fldCharType="end"/>
                    </w:r>
                  </w:p>
                </w:txbxContent>
              </v:textbox>
              <w10:wrap type="none"/>
            </v:shape>
          </w:pict>
        </mc:Fallback>
      </mc:AlternateContent>
    </w:r>
  </w:p>
</w:ftr>
</file>

<file path=word/footer2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43648">
              <wp:simplePos x="0" y="0"/>
              <wp:positionH relativeFrom="page">
                <wp:posOffset>3732276</wp:posOffset>
              </wp:positionH>
              <wp:positionV relativeFrom="page">
                <wp:posOffset>9416118</wp:posOffset>
              </wp:positionV>
              <wp:extent cx="317500" cy="194310"/>
              <wp:effectExtent l="0" t="0" r="0" b="0"/>
              <wp:wrapNone/>
              <wp:docPr id="410" name="Textbox 410"/>
              <wp:cNvGraphicFramePr>
                <a:graphicFrameLocks/>
              </wp:cNvGraphicFramePr>
              <a:graphic>
                <a:graphicData uri="http://schemas.microsoft.com/office/word/2010/wordprocessingShape">
                  <wps:wsp>
                    <wps:cNvPr id="410" name="Textbox 41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72832" type="#_x0000_t202" id="docshape40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203</w:t>
                    </w:r>
                    <w:r>
                      <w:rPr>
                        <w:rFonts w:ascii="Times New Roman"/>
                        <w:spacing w:val="-5"/>
                      </w:rPr>
                      <w:fldChar w:fldCharType="end"/>
                    </w:r>
                  </w:p>
                </w:txbxContent>
              </v:textbox>
              <w10:wrap type="none"/>
            </v:shape>
          </w:pict>
        </mc:Fallback>
      </mc:AlternateContent>
    </w:r>
  </w:p>
</w:ftr>
</file>

<file path=word/footer2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44672">
              <wp:simplePos x="0" y="0"/>
              <wp:positionH relativeFrom="page">
                <wp:posOffset>3732276</wp:posOffset>
              </wp:positionH>
              <wp:positionV relativeFrom="page">
                <wp:posOffset>9416118</wp:posOffset>
              </wp:positionV>
              <wp:extent cx="317500" cy="194310"/>
              <wp:effectExtent l="0" t="0" r="0" b="0"/>
              <wp:wrapNone/>
              <wp:docPr id="412" name="Textbox 412"/>
              <wp:cNvGraphicFramePr>
                <a:graphicFrameLocks/>
              </wp:cNvGraphicFramePr>
              <a:graphic>
                <a:graphicData uri="http://schemas.microsoft.com/office/word/2010/wordprocessingShape">
                  <wps:wsp>
                    <wps:cNvPr id="412" name="Textbox 41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71808" type="#_x0000_t202" id="docshape41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204</w:t>
                    </w:r>
                    <w:r>
                      <w:rPr>
                        <w:rFonts w:ascii="Times New Roman"/>
                        <w:spacing w:val="-5"/>
                      </w:rPr>
                      <w:fldChar w:fldCharType="end"/>
                    </w:r>
                  </w:p>
                </w:txbxContent>
              </v:textbox>
              <w10:wrap type="none"/>
            </v:shape>
          </w:pict>
        </mc:Fallback>
      </mc:AlternateContent>
    </w:r>
  </w:p>
</w:ftr>
</file>

<file path=word/footer2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45696">
              <wp:simplePos x="0" y="0"/>
              <wp:positionH relativeFrom="page">
                <wp:posOffset>3732276</wp:posOffset>
              </wp:positionH>
              <wp:positionV relativeFrom="page">
                <wp:posOffset>9416118</wp:posOffset>
              </wp:positionV>
              <wp:extent cx="317500" cy="194310"/>
              <wp:effectExtent l="0" t="0" r="0" b="0"/>
              <wp:wrapNone/>
              <wp:docPr id="414" name="Textbox 414"/>
              <wp:cNvGraphicFramePr>
                <a:graphicFrameLocks/>
              </wp:cNvGraphicFramePr>
              <a:graphic>
                <a:graphicData uri="http://schemas.microsoft.com/office/word/2010/wordprocessingShape">
                  <wps:wsp>
                    <wps:cNvPr id="414" name="Textbox 41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70784" type="#_x0000_t202" id="docshape41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205</w:t>
                    </w:r>
                    <w:r>
                      <w:rPr>
                        <w:rFonts w:ascii="Times New Roman"/>
                        <w:spacing w:val="-5"/>
                      </w:rPr>
                      <w:fldChar w:fldCharType="end"/>
                    </w:r>
                  </w:p>
                </w:txbxContent>
              </v:textbox>
              <w10:wrap type="none"/>
            </v:shape>
          </w:pict>
        </mc:Fallback>
      </mc:AlternateContent>
    </w:r>
  </w:p>
</w:ftr>
</file>

<file path=word/footer2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46720">
              <wp:simplePos x="0" y="0"/>
              <wp:positionH relativeFrom="page">
                <wp:posOffset>3732276</wp:posOffset>
              </wp:positionH>
              <wp:positionV relativeFrom="page">
                <wp:posOffset>9416118</wp:posOffset>
              </wp:positionV>
              <wp:extent cx="317500" cy="194310"/>
              <wp:effectExtent l="0" t="0" r="0" b="0"/>
              <wp:wrapNone/>
              <wp:docPr id="416" name="Textbox 416"/>
              <wp:cNvGraphicFramePr>
                <a:graphicFrameLocks/>
              </wp:cNvGraphicFramePr>
              <a:graphic>
                <a:graphicData uri="http://schemas.microsoft.com/office/word/2010/wordprocessingShape">
                  <wps:wsp>
                    <wps:cNvPr id="416" name="Textbox 41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69760" type="#_x0000_t202" id="docshape41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206</w:t>
                    </w:r>
                    <w:r>
                      <w:rPr>
                        <w:rFonts w:ascii="Times New Roman"/>
                        <w:spacing w:val="-5"/>
                      </w:rPr>
                      <w:fldChar w:fldCharType="end"/>
                    </w:r>
                  </w:p>
                </w:txbxContent>
              </v:textbox>
              <w10:wrap type="none"/>
            </v:shape>
          </w:pict>
        </mc:Fallback>
      </mc:AlternateContent>
    </w:r>
  </w:p>
</w:ftr>
</file>

<file path=word/footer2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47744">
              <wp:simplePos x="0" y="0"/>
              <wp:positionH relativeFrom="page">
                <wp:posOffset>3732276</wp:posOffset>
              </wp:positionH>
              <wp:positionV relativeFrom="page">
                <wp:posOffset>9416118</wp:posOffset>
              </wp:positionV>
              <wp:extent cx="317500" cy="194310"/>
              <wp:effectExtent l="0" t="0" r="0" b="0"/>
              <wp:wrapNone/>
              <wp:docPr id="418" name="Textbox 418"/>
              <wp:cNvGraphicFramePr>
                <a:graphicFrameLocks/>
              </wp:cNvGraphicFramePr>
              <a:graphic>
                <a:graphicData uri="http://schemas.microsoft.com/office/word/2010/wordprocessingShape">
                  <wps:wsp>
                    <wps:cNvPr id="418" name="Textbox 41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68736" type="#_x0000_t202" id="docshape41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207</w:t>
                    </w:r>
                    <w:r>
                      <w:rPr>
                        <w:rFonts w:ascii="Times New Roman"/>
                        <w:spacing w:val="-5"/>
                      </w:rPr>
                      <w:fldChar w:fldCharType="end"/>
                    </w:r>
                  </w:p>
                </w:txbxContent>
              </v:textbox>
              <w10:wrap type="none"/>
            </v:shape>
          </w:pict>
        </mc:Fallback>
      </mc:AlternateContent>
    </w:r>
  </w:p>
</w:ftr>
</file>

<file path=word/footer2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48768">
              <wp:simplePos x="0" y="0"/>
              <wp:positionH relativeFrom="page">
                <wp:posOffset>3732276</wp:posOffset>
              </wp:positionH>
              <wp:positionV relativeFrom="page">
                <wp:posOffset>9416118</wp:posOffset>
              </wp:positionV>
              <wp:extent cx="317500" cy="194310"/>
              <wp:effectExtent l="0" t="0" r="0" b="0"/>
              <wp:wrapNone/>
              <wp:docPr id="420" name="Textbox 420"/>
              <wp:cNvGraphicFramePr>
                <a:graphicFrameLocks/>
              </wp:cNvGraphicFramePr>
              <a:graphic>
                <a:graphicData uri="http://schemas.microsoft.com/office/word/2010/wordprocessingShape">
                  <wps:wsp>
                    <wps:cNvPr id="420" name="Textbox 42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67712" type="#_x0000_t202" id="docshape41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208</w:t>
                    </w:r>
                    <w:r>
                      <w:rPr>
                        <w:rFonts w:ascii="Times New Roman"/>
                        <w:spacing w:val="-5"/>
                      </w:rPr>
                      <w:fldChar w:fldCharType="end"/>
                    </w:r>
                  </w:p>
                </w:txbxContent>
              </v:textbox>
              <w10:wrap type="none"/>
            </v:shape>
          </w:pict>
        </mc:Fallback>
      </mc:AlternateContent>
    </w:r>
  </w:p>
</w:ftr>
</file>

<file path=word/footer2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49792">
              <wp:simplePos x="0" y="0"/>
              <wp:positionH relativeFrom="page">
                <wp:posOffset>3732276</wp:posOffset>
              </wp:positionH>
              <wp:positionV relativeFrom="page">
                <wp:posOffset>9416118</wp:posOffset>
              </wp:positionV>
              <wp:extent cx="317500" cy="194310"/>
              <wp:effectExtent l="0" t="0" r="0" b="0"/>
              <wp:wrapNone/>
              <wp:docPr id="422" name="Textbox 422"/>
              <wp:cNvGraphicFramePr>
                <a:graphicFrameLocks/>
              </wp:cNvGraphicFramePr>
              <a:graphic>
                <a:graphicData uri="http://schemas.microsoft.com/office/word/2010/wordprocessingShape">
                  <wps:wsp>
                    <wps:cNvPr id="422" name="Textbox 42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66688" type="#_x0000_t202" id="docshape42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209</w:t>
                    </w:r>
                    <w:r>
                      <w:rPr>
                        <w:rFonts w:ascii="Times New Roman"/>
                        <w:spacing w:val="-5"/>
                      </w:rPr>
                      <w:fldChar w:fldCharType="end"/>
                    </w:r>
                  </w:p>
                </w:txbxContent>
              </v:textbox>
              <w10:wrap type="none"/>
            </v:shape>
          </w:pict>
        </mc:Fallback>
      </mc:AlternateContent>
    </w:r>
  </w:p>
</w:ftr>
</file>

<file path=word/footer2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50816">
              <wp:simplePos x="0" y="0"/>
              <wp:positionH relativeFrom="page">
                <wp:posOffset>3732276</wp:posOffset>
              </wp:positionH>
              <wp:positionV relativeFrom="page">
                <wp:posOffset>9416118</wp:posOffset>
              </wp:positionV>
              <wp:extent cx="317500" cy="194310"/>
              <wp:effectExtent l="0" t="0" r="0" b="0"/>
              <wp:wrapNone/>
              <wp:docPr id="424" name="Textbox 424"/>
              <wp:cNvGraphicFramePr>
                <a:graphicFrameLocks/>
              </wp:cNvGraphicFramePr>
              <a:graphic>
                <a:graphicData uri="http://schemas.microsoft.com/office/word/2010/wordprocessingShape">
                  <wps:wsp>
                    <wps:cNvPr id="424" name="Textbox 42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65664" type="#_x0000_t202" id="docshape42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210</w:t>
                    </w:r>
                    <w:r>
                      <w:rPr>
                        <w:rFonts w:ascii="Times New Roman"/>
                        <w:spacing w:val="-5"/>
                      </w:rPr>
                      <w:fldChar w:fldCharType="end"/>
                    </w:r>
                  </w:p>
                </w:txbxContent>
              </v:textbox>
              <w10:wrap type="none"/>
            </v:shape>
          </w:pict>
        </mc:Fallback>
      </mc:AlternateContent>
    </w:r>
  </w:p>
</w:ftr>
</file>

<file path=word/footer2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51840">
              <wp:simplePos x="0" y="0"/>
              <wp:positionH relativeFrom="page">
                <wp:posOffset>3732276</wp:posOffset>
              </wp:positionH>
              <wp:positionV relativeFrom="page">
                <wp:posOffset>9416118</wp:posOffset>
              </wp:positionV>
              <wp:extent cx="317500" cy="194310"/>
              <wp:effectExtent l="0" t="0" r="0" b="0"/>
              <wp:wrapNone/>
              <wp:docPr id="426" name="Textbox 426"/>
              <wp:cNvGraphicFramePr>
                <a:graphicFrameLocks/>
              </wp:cNvGraphicFramePr>
              <a:graphic>
                <a:graphicData uri="http://schemas.microsoft.com/office/word/2010/wordprocessingShape">
                  <wps:wsp>
                    <wps:cNvPr id="426" name="Textbox 42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64640" type="#_x0000_t202" id="docshape42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211</w:t>
                    </w:r>
                    <w:r>
                      <w:rPr>
                        <w:rFonts w:ascii="Times New Roman"/>
                        <w:spacing w:val="-5"/>
                      </w:rPr>
                      <w:fldChar w:fldCharType="end"/>
                    </w:r>
                  </w:p>
                </w:txbxContent>
              </v:textbox>
              <w10:wrap type="none"/>
            </v:shape>
          </w:pict>
        </mc:Fallback>
      </mc:AlternateContent>
    </w: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60352">
              <wp:simplePos x="0" y="0"/>
              <wp:positionH relativeFrom="page">
                <wp:posOffset>3771900</wp:posOffset>
              </wp:positionH>
              <wp:positionV relativeFrom="page">
                <wp:posOffset>9416118</wp:posOffset>
              </wp:positionV>
              <wp:extent cx="241300" cy="194310"/>
              <wp:effectExtent l="0" t="0" r="0" b="0"/>
              <wp:wrapNone/>
              <wp:docPr id="50" name="Textbox 50"/>
              <wp:cNvGraphicFramePr>
                <a:graphicFrameLocks/>
              </wp:cNvGraphicFramePr>
              <a:graphic>
                <a:graphicData uri="http://schemas.microsoft.com/office/word/2010/wordprocessingShape">
                  <wps:wsp>
                    <wps:cNvPr id="50" name="Textbox 50"/>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56128" type="#_x0000_t202" id="docshape5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34</w:t>
                    </w:r>
                    <w:r>
                      <w:rPr>
                        <w:rFonts w:ascii="Times New Roman"/>
                        <w:spacing w:val="-5"/>
                      </w:rPr>
                      <w:fldChar w:fldCharType="end"/>
                    </w:r>
                  </w:p>
                </w:txbxContent>
              </v:textbox>
              <w10:wrap type="none"/>
            </v:shape>
          </w:pict>
        </mc:Fallback>
      </mc:AlternateContent>
    </w:r>
  </w:p>
</w:ftr>
</file>

<file path=word/footer23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52864">
              <wp:simplePos x="0" y="0"/>
              <wp:positionH relativeFrom="page">
                <wp:posOffset>3732276</wp:posOffset>
              </wp:positionH>
              <wp:positionV relativeFrom="page">
                <wp:posOffset>9416118</wp:posOffset>
              </wp:positionV>
              <wp:extent cx="317500" cy="194310"/>
              <wp:effectExtent l="0" t="0" r="0" b="0"/>
              <wp:wrapNone/>
              <wp:docPr id="428" name="Textbox 428"/>
              <wp:cNvGraphicFramePr>
                <a:graphicFrameLocks/>
              </wp:cNvGraphicFramePr>
              <a:graphic>
                <a:graphicData uri="http://schemas.microsoft.com/office/word/2010/wordprocessingShape">
                  <wps:wsp>
                    <wps:cNvPr id="428" name="Textbox 42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63616" type="#_x0000_t202" id="docshape42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212</w:t>
                    </w:r>
                    <w:r>
                      <w:rPr>
                        <w:rFonts w:ascii="Times New Roman"/>
                        <w:spacing w:val="-5"/>
                      </w:rPr>
                      <w:fldChar w:fldCharType="end"/>
                    </w:r>
                  </w:p>
                </w:txbxContent>
              </v:textbox>
              <w10:wrap type="none"/>
            </v:shape>
          </w:pict>
        </mc:Fallback>
      </mc:AlternateContent>
    </w:r>
  </w:p>
</w:ftr>
</file>

<file path=word/footer23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53888">
              <wp:simplePos x="0" y="0"/>
              <wp:positionH relativeFrom="page">
                <wp:posOffset>3732276</wp:posOffset>
              </wp:positionH>
              <wp:positionV relativeFrom="page">
                <wp:posOffset>9416118</wp:posOffset>
              </wp:positionV>
              <wp:extent cx="317500" cy="194310"/>
              <wp:effectExtent l="0" t="0" r="0" b="0"/>
              <wp:wrapNone/>
              <wp:docPr id="430" name="Textbox 430"/>
              <wp:cNvGraphicFramePr>
                <a:graphicFrameLocks/>
              </wp:cNvGraphicFramePr>
              <a:graphic>
                <a:graphicData uri="http://schemas.microsoft.com/office/word/2010/wordprocessingShape">
                  <wps:wsp>
                    <wps:cNvPr id="430" name="Textbox 43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62592" type="#_x0000_t202" id="docshape42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213</w:t>
                    </w:r>
                    <w:r>
                      <w:rPr>
                        <w:rFonts w:ascii="Times New Roman"/>
                        <w:spacing w:val="-5"/>
                      </w:rPr>
                      <w:fldChar w:fldCharType="end"/>
                    </w:r>
                  </w:p>
                </w:txbxContent>
              </v:textbox>
              <w10:wrap type="none"/>
            </v:shape>
          </w:pict>
        </mc:Fallback>
      </mc:AlternateContent>
    </w:r>
  </w:p>
</w:ftr>
</file>

<file path=word/footer23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54912">
              <wp:simplePos x="0" y="0"/>
              <wp:positionH relativeFrom="page">
                <wp:posOffset>3732276</wp:posOffset>
              </wp:positionH>
              <wp:positionV relativeFrom="page">
                <wp:posOffset>9416118</wp:posOffset>
              </wp:positionV>
              <wp:extent cx="317500" cy="194310"/>
              <wp:effectExtent l="0" t="0" r="0" b="0"/>
              <wp:wrapNone/>
              <wp:docPr id="432" name="Textbox 432"/>
              <wp:cNvGraphicFramePr>
                <a:graphicFrameLocks/>
              </wp:cNvGraphicFramePr>
              <a:graphic>
                <a:graphicData uri="http://schemas.microsoft.com/office/word/2010/wordprocessingShape">
                  <wps:wsp>
                    <wps:cNvPr id="432" name="Textbox 43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61568" type="#_x0000_t202" id="docshape43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214</w:t>
                    </w:r>
                    <w:r>
                      <w:rPr>
                        <w:rFonts w:ascii="Times New Roman"/>
                        <w:spacing w:val="-5"/>
                      </w:rPr>
                      <w:fldChar w:fldCharType="end"/>
                    </w:r>
                  </w:p>
                </w:txbxContent>
              </v:textbox>
              <w10:wrap type="none"/>
            </v:shape>
          </w:pict>
        </mc:Fallback>
      </mc:AlternateContent>
    </w:r>
  </w:p>
</w:ftr>
</file>

<file path=word/footer23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55936">
              <wp:simplePos x="0" y="0"/>
              <wp:positionH relativeFrom="page">
                <wp:posOffset>3732276</wp:posOffset>
              </wp:positionH>
              <wp:positionV relativeFrom="page">
                <wp:posOffset>9416118</wp:posOffset>
              </wp:positionV>
              <wp:extent cx="317500" cy="194310"/>
              <wp:effectExtent l="0" t="0" r="0" b="0"/>
              <wp:wrapNone/>
              <wp:docPr id="434" name="Textbox 434"/>
              <wp:cNvGraphicFramePr>
                <a:graphicFrameLocks/>
              </wp:cNvGraphicFramePr>
              <a:graphic>
                <a:graphicData uri="http://schemas.microsoft.com/office/word/2010/wordprocessingShape">
                  <wps:wsp>
                    <wps:cNvPr id="434" name="Textbox 43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60544" type="#_x0000_t202" id="docshape43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215</w:t>
                    </w:r>
                    <w:r>
                      <w:rPr>
                        <w:rFonts w:ascii="Times New Roman"/>
                        <w:spacing w:val="-5"/>
                      </w:rPr>
                      <w:fldChar w:fldCharType="end"/>
                    </w:r>
                  </w:p>
                </w:txbxContent>
              </v:textbox>
              <w10:wrap type="none"/>
            </v:shape>
          </w:pict>
        </mc:Fallback>
      </mc:AlternateContent>
    </w:r>
  </w:p>
</w:ftr>
</file>

<file path=word/footer23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56960">
              <wp:simplePos x="0" y="0"/>
              <wp:positionH relativeFrom="page">
                <wp:posOffset>3732276</wp:posOffset>
              </wp:positionH>
              <wp:positionV relativeFrom="page">
                <wp:posOffset>9416118</wp:posOffset>
              </wp:positionV>
              <wp:extent cx="317500" cy="194310"/>
              <wp:effectExtent l="0" t="0" r="0" b="0"/>
              <wp:wrapNone/>
              <wp:docPr id="436" name="Textbox 436"/>
              <wp:cNvGraphicFramePr>
                <a:graphicFrameLocks/>
              </wp:cNvGraphicFramePr>
              <a:graphic>
                <a:graphicData uri="http://schemas.microsoft.com/office/word/2010/wordprocessingShape">
                  <wps:wsp>
                    <wps:cNvPr id="436" name="Textbox 43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59520" type="#_x0000_t202" id="docshape43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216</w:t>
                    </w:r>
                    <w:r>
                      <w:rPr>
                        <w:rFonts w:ascii="Times New Roman"/>
                        <w:spacing w:val="-5"/>
                      </w:rPr>
                      <w:fldChar w:fldCharType="end"/>
                    </w:r>
                  </w:p>
                </w:txbxContent>
              </v:textbox>
              <w10:wrap type="none"/>
            </v:shape>
          </w:pict>
        </mc:Fallback>
      </mc:AlternateContent>
    </w:r>
  </w:p>
</w:ftr>
</file>

<file path=word/footer23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57984">
              <wp:simplePos x="0" y="0"/>
              <wp:positionH relativeFrom="page">
                <wp:posOffset>3732276</wp:posOffset>
              </wp:positionH>
              <wp:positionV relativeFrom="page">
                <wp:posOffset>9416118</wp:posOffset>
              </wp:positionV>
              <wp:extent cx="317500" cy="194310"/>
              <wp:effectExtent l="0" t="0" r="0" b="0"/>
              <wp:wrapNone/>
              <wp:docPr id="438" name="Textbox 438"/>
              <wp:cNvGraphicFramePr>
                <a:graphicFrameLocks/>
              </wp:cNvGraphicFramePr>
              <a:graphic>
                <a:graphicData uri="http://schemas.microsoft.com/office/word/2010/wordprocessingShape">
                  <wps:wsp>
                    <wps:cNvPr id="438" name="Textbox 43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58496" type="#_x0000_t202" id="docshape43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217</w:t>
                    </w:r>
                    <w:r>
                      <w:rPr>
                        <w:rFonts w:ascii="Times New Roman"/>
                        <w:spacing w:val="-5"/>
                      </w:rPr>
                      <w:fldChar w:fldCharType="end"/>
                    </w:r>
                  </w:p>
                </w:txbxContent>
              </v:textbox>
              <w10:wrap type="none"/>
            </v:shape>
          </w:pict>
        </mc:Fallback>
      </mc:AlternateContent>
    </w:r>
  </w:p>
</w:ftr>
</file>

<file path=word/footer23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59008">
              <wp:simplePos x="0" y="0"/>
              <wp:positionH relativeFrom="page">
                <wp:posOffset>3732276</wp:posOffset>
              </wp:positionH>
              <wp:positionV relativeFrom="page">
                <wp:posOffset>9416118</wp:posOffset>
              </wp:positionV>
              <wp:extent cx="317500" cy="194310"/>
              <wp:effectExtent l="0" t="0" r="0" b="0"/>
              <wp:wrapNone/>
              <wp:docPr id="440" name="Textbox 440"/>
              <wp:cNvGraphicFramePr>
                <a:graphicFrameLocks/>
              </wp:cNvGraphicFramePr>
              <a:graphic>
                <a:graphicData uri="http://schemas.microsoft.com/office/word/2010/wordprocessingShape">
                  <wps:wsp>
                    <wps:cNvPr id="440" name="Textbox 44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57472" type="#_x0000_t202" id="docshape43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218</w:t>
                    </w:r>
                    <w:r>
                      <w:rPr>
                        <w:rFonts w:ascii="Times New Roman"/>
                        <w:spacing w:val="-5"/>
                      </w:rPr>
                      <w:fldChar w:fldCharType="end"/>
                    </w:r>
                  </w:p>
                </w:txbxContent>
              </v:textbox>
              <w10:wrap type="none"/>
            </v:shape>
          </w:pict>
        </mc:Fallback>
      </mc:AlternateContent>
    </w:r>
  </w:p>
</w:ftr>
</file>

<file path=word/footer23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60032">
              <wp:simplePos x="0" y="0"/>
              <wp:positionH relativeFrom="page">
                <wp:posOffset>3732276</wp:posOffset>
              </wp:positionH>
              <wp:positionV relativeFrom="page">
                <wp:posOffset>9416118</wp:posOffset>
              </wp:positionV>
              <wp:extent cx="317500" cy="194310"/>
              <wp:effectExtent l="0" t="0" r="0" b="0"/>
              <wp:wrapNone/>
              <wp:docPr id="442" name="Textbox 442"/>
              <wp:cNvGraphicFramePr>
                <a:graphicFrameLocks/>
              </wp:cNvGraphicFramePr>
              <a:graphic>
                <a:graphicData uri="http://schemas.microsoft.com/office/word/2010/wordprocessingShape">
                  <wps:wsp>
                    <wps:cNvPr id="442" name="Textbox 44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56448" type="#_x0000_t202" id="docshape44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219</w:t>
                    </w:r>
                    <w:r>
                      <w:rPr>
                        <w:rFonts w:ascii="Times New Roman"/>
                        <w:spacing w:val="-5"/>
                      </w:rPr>
                      <w:fldChar w:fldCharType="end"/>
                    </w:r>
                  </w:p>
                </w:txbxContent>
              </v:textbox>
              <w10:wrap type="none"/>
            </v:shape>
          </w:pict>
        </mc:Fallback>
      </mc:AlternateContent>
    </w:r>
  </w:p>
</w:ftr>
</file>

<file path=word/footer23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61056">
              <wp:simplePos x="0" y="0"/>
              <wp:positionH relativeFrom="page">
                <wp:posOffset>3732276</wp:posOffset>
              </wp:positionH>
              <wp:positionV relativeFrom="page">
                <wp:posOffset>9416118</wp:posOffset>
              </wp:positionV>
              <wp:extent cx="317500" cy="194310"/>
              <wp:effectExtent l="0" t="0" r="0" b="0"/>
              <wp:wrapNone/>
              <wp:docPr id="444" name="Textbox 444"/>
              <wp:cNvGraphicFramePr>
                <a:graphicFrameLocks/>
              </wp:cNvGraphicFramePr>
              <a:graphic>
                <a:graphicData uri="http://schemas.microsoft.com/office/word/2010/wordprocessingShape">
                  <wps:wsp>
                    <wps:cNvPr id="444" name="Textbox 44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55424" type="#_x0000_t202" id="docshape44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220</w:t>
                    </w:r>
                    <w:r>
                      <w:rPr>
                        <w:rFonts w:ascii="Times New Roman"/>
                        <w:spacing w:val="-5"/>
                      </w:rPr>
                      <w:fldChar w:fldCharType="end"/>
                    </w:r>
                  </w:p>
                </w:txbxContent>
              </v:textbox>
              <w10:wrap type="none"/>
            </v:shape>
          </w:pict>
        </mc:Fallback>
      </mc:AlternateContent>
    </w:r>
  </w:p>
</w:ftr>
</file>

<file path=word/footer23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62080">
              <wp:simplePos x="0" y="0"/>
              <wp:positionH relativeFrom="page">
                <wp:posOffset>3732276</wp:posOffset>
              </wp:positionH>
              <wp:positionV relativeFrom="page">
                <wp:posOffset>9416118</wp:posOffset>
              </wp:positionV>
              <wp:extent cx="317500" cy="194310"/>
              <wp:effectExtent l="0" t="0" r="0" b="0"/>
              <wp:wrapNone/>
              <wp:docPr id="446" name="Textbox 446"/>
              <wp:cNvGraphicFramePr>
                <a:graphicFrameLocks/>
              </wp:cNvGraphicFramePr>
              <a:graphic>
                <a:graphicData uri="http://schemas.microsoft.com/office/word/2010/wordprocessingShape">
                  <wps:wsp>
                    <wps:cNvPr id="446" name="Textbox 44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54400" type="#_x0000_t202" id="docshape44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221</w:t>
                    </w:r>
                    <w:r>
                      <w:rPr>
                        <w:rFonts w:ascii="Times New Roman"/>
                        <w:spacing w:val="-5"/>
                      </w:rPr>
                      <w:fldChar w:fldCharType="end"/>
                    </w:r>
                  </w:p>
                </w:txbxContent>
              </v:textbox>
              <w10:wrap type="none"/>
            </v:shape>
          </w:pict>
        </mc:Fallback>
      </mc:AlternateContent>
    </w: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61376">
              <wp:simplePos x="0" y="0"/>
              <wp:positionH relativeFrom="page">
                <wp:posOffset>3771900</wp:posOffset>
              </wp:positionH>
              <wp:positionV relativeFrom="page">
                <wp:posOffset>9416118</wp:posOffset>
              </wp:positionV>
              <wp:extent cx="241300" cy="194310"/>
              <wp:effectExtent l="0" t="0" r="0" b="0"/>
              <wp:wrapNone/>
              <wp:docPr id="52" name="Textbox 52"/>
              <wp:cNvGraphicFramePr>
                <a:graphicFrameLocks/>
              </wp:cNvGraphicFramePr>
              <a:graphic>
                <a:graphicData uri="http://schemas.microsoft.com/office/word/2010/wordprocessingShape">
                  <wps:wsp>
                    <wps:cNvPr id="52" name="Textbox 52"/>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55104" type="#_x0000_t202" id="docshape5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35</w:t>
                    </w:r>
                    <w:r>
                      <w:rPr>
                        <w:rFonts w:ascii="Times New Roman"/>
                        <w:spacing w:val="-5"/>
                      </w:rPr>
                      <w:fldChar w:fldCharType="end"/>
                    </w:r>
                  </w:p>
                </w:txbxContent>
              </v:textbox>
              <w10:wrap type="none"/>
            </v:shape>
          </w:pict>
        </mc:Fallback>
      </mc:AlternateContent>
    </w:r>
  </w:p>
</w:ftr>
</file>

<file path=word/footer24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63104">
              <wp:simplePos x="0" y="0"/>
              <wp:positionH relativeFrom="page">
                <wp:posOffset>3732276</wp:posOffset>
              </wp:positionH>
              <wp:positionV relativeFrom="page">
                <wp:posOffset>9416118</wp:posOffset>
              </wp:positionV>
              <wp:extent cx="317500" cy="194310"/>
              <wp:effectExtent l="0" t="0" r="0" b="0"/>
              <wp:wrapNone/>
              <wp:docPr id="448" name="Textbox 448"/>
              <wp:cNvGraphicFramePr>
                <a:graphicFrameLocks/>
              </wp:cNvGraphicFramePr>
              <a:graphic>
                <a:graphicData uri="http://schemas.microsoft.com/office/word/2010/wordprocessingShape">
                  <wps:wsp>
                    <wps:cNvPr id="448" name="Textbox 44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53376" type="#_x0000_t202" id="docshape44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222</w:t>
                    </w:r>
                    <w:r>
                      <w:rPr>
                        <w:rFonts w:ascii="Times New Roman"/>
                        <w:spacing w:val="-5"/>
                      </w:rPr>
                      <w:fldChar w:fldCharType="end"/>
                    </w:r>
                  </w:p>
                </w:txbxContent>
              </v:textbox>
              <w10:wrap type="none"/>
            </v:shape>
          </w:pict>
        </mc:Fallback>
      </mc:AlternateContent>
    </w:r>
  </w:p>
</w:ftr>
</file>

<file path=word/footer24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64128">
              <wp:simplePos x="0" y="0"/>
              <wp:positionH relativeFrom="page">
                <wp:posOffset>4875276</wp:posOffset>
              </wp:positionH>
              <wp:positionV relativeFrom="page">
                <wp:posOffset>7130118</wp:posOffset>
              </wp:positionV>
              <wp:extent cx="318135" cy="194310"/>
              <wp:effectExtent l="0" t="0" r="0" b="0"/>
              <wp:wrapNone/>
              <wp:docPr id="450" name="Textbox 450"/>
              <wp:cNvGraphicFramePr>
                <a:graphicFrameLocks/>
              </wp:cNvGraphicFramePr>
              <a:graphic>
                <a:graphicData uri="http://schemas.microsoft.com/office/word/2010/wordprocessingShape">
                  <wps:wsp>
                    <wps:cNvPr id="450" name="Textbox 450"/>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83.880005pt;margin-top:561.426636pt;width:25.05pt;height:15.3pt;mso-position-horizontal-relative:page;mso-position-vertical-relative:page;z-index:-36452352" type="#_x0000_t202" id="docshape44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223</w:t>
                    </w:r>
                    <w:r>
                      <w:rPr>
                        <w:rFonts w:ascii="Times New Roman"/>
                        <w:spacing w:val="-5"/>
                      </w:rPr>
                      <w:fldChar w:fldCharType="end"/>
                    </w:r>
                  </w:p>
                </w:txbxContent>
              </v:textbox>
              <w10:wrap type="none"/>
            </v:shape>
          </w:pict>
        </mc:Fallback>
      </mc:AlternateContent>
    </w:r>
  </w:p>
</w:ftr>
</file>

<file path=word/footer24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65152">
              <wp:simplePos x="0" y="0"/>
              <wp:positionH relativeFrom="page">
                <wp:posOffset>4875276</wp:posOffset>
              </wp:positionH>
              <wp:positionV relativeFrom="page">
                <wp:posOffset>7130118</wp:posOffset>
              </wp:positionV>
              <wp:extent cx="318135" cy="194310"/>
              <wp:effectExtent l="0" t="0" r="0" b="0"/>
              <wp:wrapNone/>
              <wp:docPr id="452" name="Textbox 452"/>
              <wp:cNvGraphicFramePr>
                <a:graphicFrameLocks/>
              </wp:cNvGraphicFramePr>
              <a:graphic>
                <a:graphicData uri="http://schemas.microsoft.com/office/word/2010/wordprocessingShape">
                  <wps:wsp>
                    <wps:cNvPr id="452" name="Textbox 452"/>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83.880005pt;margin-top:561.426636pt;width:25.05pt;height:15.3pt;mso-position-horizontal-relative:page;mso-position-vertical-relative:page;z-index:-36451328" type="#_x0000_t202" id="docshape45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224</w:t>
                    </w:r>
                    <w:r>
                      <w:rPr>
                        <w:rFonts w:ascii="Times New Roman"/>
                        <w:spacing w:val="-5"/>
                      </w:rPr>
                      <w:fldChar w:fldCharType="end"/>
                    </w:r>
                  </w:p>
                </w:txbxContent>
              </v:textbox>
              <w10:wrap type="none"/>
            </v:shape>
          </w:pict>
        </mc:Fallback>
      </mc:AlternateContent>
    </w:r>
  </w:p>
</w:ftr>
</file>

<file path=word/footer24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66176">
              <wp:simplePos x="0" y="0"/>
              <wp:positionH relativeFrom="page">
                <wp:posOffset>4875276</wp:posOffset>
              </wp:positionH>
              <wp:positionV relativeFrom="page">
                <wp:posOffset>7130118</wp:posOffset>
              </wp:positionV>
              <wp:extent cx="318135" cy="194310"/>
              <wp:effectExtent l="0" t="0" r="0" b="0"/>
              <wp:wrapNone/>
              <wp:docPr id="454" name="Textbox 454"/>
              <wp:cNvGraphicFramePr>
                <a:graphicFrameLocks/>
              </wp:cNvGraphicFramePr>
              <a:graphic>
                <a:graphicData uri="http://schemas.microsoft.com/office/word/2010/wordprocessingShape">
                  <wps:wsp>
                    <wps:cNvPr id="454" name="Textbox 454"/>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83.880005pt;margin-top:561.426636pt;width:25.05pt;height:15.3pt;mso-position-horizontal-relative:page;mso-position-vertical-relative:page;z-index:-36450304" type="#_x0000_t202" id="docshape45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225</w:t>
                    </w:r>
                    <w:r>
                      <w:rPr>
                        <w:rFonts w:ascii="Times New Roman"/>
                        <w:spacing w:val="-5"/>
                      </w:rPr>
                      <w:fldChar w:fldCharType="end"/>
                    </w:r>
                  </w:p>
                </w:txbxContent>
              </v:textbox>
              <w10:wrap type="none"/>
            </v:shape>
          </w:pict>
        </mc:Fallback>
      </mc:AlternateContent>
    </w:r>
  </w:p>
</w:ftr>
</file>

<file path=word/footer24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67200">
              <wp:simplePos x="0" y="0"/>
              <wp:positionH relativeFrom="page">
                <wp:posOffset>4875276</wp:posOffset>
              </wp:positionH>
              <wp:positionV relativeFrom="page">
                <wp:posOffset>7130118</wp:posOffset>
              </wp:positionV>
              <wp:extent cx="318135" cy="194310"/>
              <wp:effectExtent l="0" t="0" r="0" b="0"/>
              <wp:wrapNone/>
              <wp:docPr id="456" name="Textbox 456"/>
              <wp:cNvGraphicFramePr>
                <a:graphicFrameLocks/>
              </wp:cNvGraphicFramePr>
              <a:graphic>
                <a:graphicData uri="http://schemas.microsoft.com/office/word/2010/wordprocessingShape">
                  <wps:wsp>
                    <wps:cNvPr id="456" name="Textbox 456"/>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83.880005pt;margin-top:561.426636pt;width:25.05pt;height:15.3pt;mso-position-horizontal-relative:page;mso-position-vertical-relative:page;z-index:-36449280" type="#_x0000_t202" id="docshape45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226</w:t>
                    </w:r>
                    <w:r>
                      <w:rPr>
                        <w:rFonts w:ascii="Times New Roman"/>
                        <w:spacing w:val="-5"/>
                      </w:rPr>
                      <w:fldChar w:fldCharType="end"/>
                    </w:r>
                  </w:p>
                </w:txbxContent>
              </v:textbox>
              <w10:wrap type="none"/>
            </v:shape>
          </w:pict>
        </mc:Fallback>
      </mc:AlternateContent>
    </w:r>
  </w:p>
</w:ftr>
</file>

<file path=word/footer24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68224">
              <wp:simplePos x="0" y="0"/>
              <wp:positionH relativeFrom="page">
                <wp:posOffset>4875276</wp:posOffset>
              </wp:positionH>
              <wp:positionV relativeFrom="page">
                <wp:posOffset>7130118</wp:posOffset>
              </wp:positionV>
              <wp:extent cx="318135" cy="194310"/>
              <wp:effectExtent l="0" t="0" r="0" b="0"/>
              <wp:wrapNone/>
              <wp:docPr id="458" name="Textbox 458"/>
              <wp:cNvGraphicFramePr>
                <a:graphicFrameLocks/>
              </wp:cNvGraphicFramePr>
              <a:graphic>
                <a:graphicData uri="http://schemas.microsoft.com/office/word/2010/wordprocessingShape">
                  <wps:wsp>
                    <wps:cNvPr id="458" name="Textbox 458"/>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83.880005pt;margin-top:561.426636pt;width:25.05pt;height:15.3pt;mso-position-horizontal-relative:page;mso-position-vertical-relative:page;z-index:-36448256" type="#_x0000_t202" id="docshape45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227</w:t>
                    </w:r>
                    <w:r>
                      <w:rPr>
                        <w:rFonts w:ascii="Times New Roman"/>
                        <w:spacing w:val="-5"/>
                      </w:rPr>
                      <w:fldChar w:fldCharType="end"/>
                    </w:r>
                  </w:p>
                </w:txbxContent>
              </v:textbox>
              <w10:wrap type="none"/>
            </v:shape>
          </w:pict>
        </mc:Fallback>
      </mc:AlternateContent>
    </w:r>
  </w:p>
</w:ftr>
</file>

<file path=word/footer24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69248">
              <wp:simplePos x="0" y="0"/>
              <wp:positionH relativeFrom="page">
                <wp:posOffset>4875276</wp:posOffset>
              </wp:positionH>
              <wp:positionV relativeFrom="page">
                <wp:posOffset>7130118</wp:posOffset>
              </wp:positionV>
              <wp:extent cx="318135" cy="194310"/>
              <wp:effectExtent l="0" t="0" r="0" b="0"/>
              <wp:wrapNone/>
              <wp:docPr id="460" name="Textbox 460"/>
              <wp:cNvGraphicFramePr>
                <a:graphicFrameLocks/>
              </wp:cNvGraphicFramePr>
              <a:graphic>
                <a:graphicData uri="http://schemas.microsoft.com/office/word/2010/wordprocessingShape">
                  <wps:wsp>
                    <wps:cNvPr id="460" name="Textbox 460"/>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83.880005pt;margin-top:561.426636pt;width:25.05pt;height:15.3pt;mso-position-horizontal-relative:page;mso-position-vertical-relative:page;z-index:-36447232" type="#_x0000_t202" id="docshape45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228</w:t>
                    </w:r>
                    <w:r>
                      <w:rPr>
                        <w:rFonts w:ascii="Times New Roman"/>
                        <w:spacing w:val="-5"/>
                      </w:rPr>
                      <w:fldChar w:fldCharType="end"/>
                    </w:r>
                  </w:p>
                </w:txbxContent>
              </v:textbox>
              <w10:wrap type="none"/>
            </v:shape>
          </w:pict>
        </mc:Fallback>
      </mc:AlternateContent>
    </w:r>
  </w:p>
</w:ftr>
</file>

<file path=word/footer24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70272">
              <wp:simplePos x="0" y="0"/>
              <wp:positionH relativeFrom="page">
                <wp:posOffset>3732276</wp:posOffset>
              </wp:positionH>
              <wp:positionV relativeFrom="page">
                <wp:posOffset>9416118</wp:posOffset>
              </wp:positionV>
              <wp:extent cx="317500" cy="194310"/>
              <wp:effectExtent l="0" t="0" r="0" b="0"/>
              <wp:wrapNone/>
              <wp:docPr id="462" name="Textbox 462"/>
              <wp:cNvGraphicFramePr>
                <a:graphicFrameLocks/>
              </wp:cNvGraphicFramePr>
              <a:graphic>
                <a:graphicData uri="http://schemas.microsoft.com/office/word/2010/wordprocessingShape">
                  <wps:wsp>
                    <wps:cNvPr id="462" name="Textbox 46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46208" type="#_x0000_t202" id="docshape46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229</w:t>
                    </w:r>
                    <w:r>
                      <w:rPr>
                        <w:rFonts w:ascii="Times New Roman"/>
                        <w:spacing w:val="-5"/>
                      </w:rPr>
                      <w:fldChar w:fldCharType="end"/>
                    </w:r>
                  </w:p>
                </w:txbxContent>
              </v:textbox>
              <w10:wrap type="none"/>
            </v:shape>
          </w:pict>
        </mc:Fallback>
      </mc:AlternateContent>
    </w:r>
  </w:p>
</w:ftr>
</file>

<file path=word/footer24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71296">
              <wp:simplePos x="0" y="0"/>
              <wp:positionH relativeFrom="page">
                <wp:posOffset>3732276</wp:posOffset>
              </wp:positionH>
              <wp:positionV relativeFrom="page">
                <wp:posOffset>9416118</wp:posOffset>
              </wp:positionV>
              <wp:extent cx="317500" cy="194310"/>
              <wp:effectExtent l="0" t="0" r="0" b="0"/>
              <wp:wrapNone/>
              <wp:docPr id="464" name="Textbox 464"/>
              <wp:cNvGraphicFramePr>
                <a:graphicFrameLocks/>
              </wp:cNvGraphicFramePr>
              <a:graphic>
                <a:graphicData uri="http://schemas.microsoft.com/office/word/2010/wordprocessingShape">
                  <wps:wsp>
                    <wps:cNvPr id="464" name="Textbox 46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45184" type="#_x0000_t202" id="docshape46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230</w:t>
                    </w:r>
                    <w:r>
                      <w:rPr>
                        <w:rFonts w:ascii="Times New Roman"/>
                        <w:spacing w:val="-5"/>
                      </w:rPr>
                      <w:fldChar w:fldCharType="end"/>
                    </w:r>
                  </w:p>
                </w:txbxContent>
              </v:textbox>
              <w10:wrap type="none"/>
            </v:shape>
          </w:pict>
        </mc:Fallback>
      </mc:AlternateContent>
    </w:r>
  </w:p>
</w:ftr>
</file>

<file path=word/footer24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72320">
              <wp:simplePos x="0" y="0"/>
              <wp:positionH relativeFrom="page">
                <wp:posOffset>3732276</wp:posOffset>
              </wp:positionH>
              <wp:positionV relativeFrom="page">
                <wp:posOffset>9416118</wp:posOffset>
              </wp:positionV>
              <wp:extent cx="317500" cy="194310"/>
              <wp:effectExtent l="0" t="0" r="0" b="0"/>
              <wp:wrapNone/>
              <wp:docPr id="466" name="Textbox 466"/>
              <wp:cNvGraphicFramePr>
                <a:graphicFrameLocks/>
              </wp:cNvGraphicFramePr>
              <a:graphic>
                <a:graphicData uri="http://schemas.microsoft.com/office/word/2010/wordprocessingShape">
                  <wps:wsp>
                    <wps:cNvPr id="466" name="Textbox 46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44160" type="#_x0000_t202" id="docshape46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231</w:t>
                    </w:r>
                    <w:r>
                      <w:rPr>
                        <w:rFonts w:ascii="Times New Roman"/>
                        <w:spacing w:val="-5"/>
                      </w:rPr>
                      <w:fldChar w:fldCharType="end"/>
                    </w:r>
                  </w:p>
                </w:txbxContent>
              </v:textbox>
              <w10:wrap type="none"/>
            </v:shape>
          </w:pict>
        </mc:Fallback>
      </mc:AlternateContent>
    </w: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62400">
              <wp:simplePos x="0" y="0"/>
              <wp:positionH relativeFrom="page">
                <wp:posOffset>3771900</wp:posOffset>
              </wp:positionH>
              <wp:positionV relativeFrom="page">
                <wp:posOffset>9416118</wp:posOffset>
              </wp:positionV>
              <wp:extent cx="241300" cy="194310"/>
              <wp:effectExtent l="0" t="0" r="0" b="0"/>
              <wp:wrapNone/>
              <wp:docPr id="54" name="Textbox 54"/>
              <wp:cNvGraphicFramePr>
                <a:graphicFrameLocks/>
              </wp:cNvGraphicFramePr>
              <a:graphic>
                <a:graphicData uri="http://schemas.microsoft.com/office/word/2010/wordprocessingShape">
                  <wps:wsp>
                    <wps:cNvPr id="54" name="Textbox 54"/>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54080" type="#_x0000_t202" id="docshape5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36</w:t>
                    </w:r>
                    <w:r>
                      <w:rPr>
                        <w:rFonts w:ascii="Times New Roman"/>
                        <w:spacing w:val="-5"/>
                      </w:rPr>
                      <w:fldChar w:fldCharType="end"/>
                    </w:r>
                  </w:p>
                </w:txbxContent>
              </v:textbox>
              <w10:wrap type="none"/>
            </v:shape>
          </w:pict>
        </mc:Fallback>
      </mc:AlternateContent>
    </w:r>
  </w:p>
</w:ftr>
</file>

<file path=word/footer25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73344">
              <wp:simplePos x="0" y="0"/>
              <wp:positionH relativeFrom="page">
                <wp:posOffset>3732276</wp:posOffset>
              </wp:positionH>
              <wp:positionV relativeFrom="page">
                <wp:posOffset>9416118</wp:posOffset>
              </wp:positionV>
              <wp:extent cx="317500" cy="194310"/>
              <wp:effectExtent l="0" t="0" r="0" b="0"/>
              <wp:wrapNone/>
              <wp:docPr id="468" name="Textbox 468"/>
              <wp:cNvGraphicFramePr>
                <a:graphicFrameLocks/>
              </wp:cNvGraphicFramePr>
              <a:graphic>
                <a:graphicData uri="http://schemas.microsoft.com/office/word/2010/wordprocessingShape">
                  <wps:wsp>
                    <wps:cNvPr id="468" name="Textbox 46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43136" type="#_x0000_t202" id="docshape46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232</w:t>
                    </w:r>
                    <w:r>
                      <w:rPr>
                        <w:rFonts w:ascii="Times New Roman"/>
                        <w:spacing w:val="-5"/>
                      </w:rPr>
                      <w:fldChar w:fldCharType="end"/>
                    </w:r>
                  </w:p>
                </w:txbxContent>
              </v:textbox>
              <w10:wrap type="none"/>
            </v:shape>
          </w:pict>
        </mc:Fallback>
      </mc:AlternateContent>
    </w:r>
  </w:p>
</w:ftr>
</file>

<file path=word/footer25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74368">
              <wp:simplePos x="0" y="0"/>
              <wp:positionH relativeFrom="page">
                <wp:posOffset>3732276</wp:posOffset>
              </wp:positionH>
              <wp:positionV relativeFrom="page">
                <wp:posOffset>9416118</wp:posOffset>
              </wp:positionV>
              <wp:extent cx="317500" cy="194310"/>
              <wp:effectExtent l="0" t="0" r="0" b="0"/>
              <wp:wrapNone/>
              <wp:docPr id="470" name="Textbox 470"/>
              <wp:cNvGraphicFramePr>
                <a:graphicFrameLocks/>
              </wp:cNvGraphicFramePr>
              <a:graphic>
                <a:graphicData uri="http://schemas.microsoft.com/office/word/2010/wordprocessingShape">
                  <wps:wsp>
                    <wps:cNvPr id="470" name="Textbox 47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42112" type="#_x0000_t202" id="docshape46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233</w:t>
                    </w:r>
                    <w:r>
                      <w:rPr>
                        <w:rFonts w:ascii="Times New Roman"/>
                        <w:spacing w:val="-5"/>
                      </w:rPr>
                      <w:fldChar w:fldCharType="end"/>
                    </w:r>
                  </w:p>
                </w:txbxContent>
              </v:textbox>
              <w10:wrap type="none"/>
            </v:shape>
          </w:pict>
        </mc:Fallback>
      </mc:AlternateContent>
    </w:r>
  </w:p>
</w:ftr>
</file>

<file path=word/footer25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75392">
              <wp:simplePos x="0" y="0"/>
              <wp:positionH relativeFrom="page">
                <wp:posOffset>3732276</wp:posOffset>
              </wp:positionH>
              <wp:positionV relativeFrom="page">
                <wp:posOffset>9416118</wp:posOffset>
              </wp:positionV>
              <wp:extent cx="317500" cy="194310"/>
              <wp:effectExtent l="0" t="0" r="0" b="0"/>
              <wp:wrapNone/>
              <wp:docPr id="472" name="Textbox 472"/>
              <wp:cNvGraphicFramePr>
                <a:graphicFrameLocks/>
              </wp:cNvGraphicFramePr>
              <a:graphic>
                <a:graphicData uri="http://schemas.microsoft.com/office/word/2010/wordprocessingShape">
                  <wps:wsp>
                    <wps:cNvPr id="472" name="Textbox 47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41088" type="#_x0000_t202" id="docshape47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234</w:t>
                    </w:r>
                    <w:r>
                      <w:rPr>
                        <w:rFonts w:ascii="Times New Roman"/>
                        <w:spacing w:val="-5"/>
                      </w:rPr>
                      <w:fldChar w:fldCharType="end"/>
                    </w:r>
                  </w:p>
                </w:txbxContent>
              </v:textbox>
              <w10:wrap type="none"/>
            </v:shape>
          </w:pict>
        </mc:Fallback>
      </mc:AlternateContent>
    </w:r>
  </w:p>
</w:ftr>
</file>

<file path=word/footer25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76416">
              <wp:simplePos x="0" y="0"/>
              <wp:positionH relativeFrom="page">
                <wp:posOffset>3732276</wp:posOffset>
              </wp:positionH>
              <wp:positionV relativeFrom="page">
                <wp:posOffset>9416118</wp:posOffset>
              </wp:positionV>
              <wp:extent cx="317500" cy="194310"/>
              <wp:effectExtent l="0" t="0" r="0" b="0"/>
              <wp:wrapNone/>
              <wp:docPr id="474" name="Textbox 474"/>
              <wp:cNvGraphicFramePr>
                <a:graphicFrameLocks/>
              </wp:cNvGraphicFramePr>
              <a:graphic>
                <a:graphicData uri="http://schemas.microsoft.com/office/word/2010/wordprocessingShape">
                  <wps:wsp>
                    <wps:cNvPr id="474" name="Textbox 47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40064" type="#_x0000_t202" id="docshape47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235</w:t>
                    </w:r>
                    <w:r>
                      <w:rPr>
                        <w:rFonts w:ascii="Times New Roman"/>
                        <w:spacing w:val="-5"/>
                      </w:rPr>
                      <w:fldChar w:fldCharType="end"/>
                    </w:r>
                  </w:p>
                </w:txbxContent>
              </v:textbox>
              <w10:wrap type="none"/>
            </v:shape>
          </w:pict>
        </mc:Fallback>
      </mc:AlternateContent>
    </w:r>
  </w:p>
</w:ftr>
</file>

<file path=word/footer25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77440">
              <wp:simplePos x="0" y="0"/>
              <wp:positionH relativeFrom="page">
                <wp:posOffset>3732276</wp:posOffset>
              </wp:positionH>
              <wp:positionV relativeFrom="page">
                <wp:posOffset>9416118</wp:posOffset>
              </wp:positionV>
              <wp:extent cx="317500" cy="194310"/>
              <wp:effectExtent l="0" t="0" r="0" b="0"/>
              <wp:wrapNone/>
              <wp:docPr id="476" name="Textbox 476"/>
              <wp:cNvGraphicFramePr>
                <a:graphicFrameLocks/>
              </wp:cNvGraphicFramePr>
              <a:graphic>
                <a:graphicData uri="http://schemas.microsoft.com/office/word/2010/wordprocessingShape">
                  <wps:wsp>
                    <wps:cNvPr id="476" name="Textbox 47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39040" type="#_x0000_t202" id="docshape47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236</w:t>
                    </w:r>
                    <w:r>
                      <w:rPr>
                        <w:rFonts w:ascii="Times New Roman"/>
                        <w:spacing w:val="-5"/>
                      </w:rPr>
                      <w:fldChar w:fldCharType="end"/>
                    </w:r>
                  </w:p>
                </w:txbxContent>
              </v:textbox>
              <w10:wrap type="none"/>
            </v:shape>
          </w:pict>
        </mc:Fallback>
      </mc:AlternateContent>
    </w:r>
  </w:p>
</w:ftr>
</file>

<file path=word/footer25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78464">
              <wp:simplePos x="0" y="0"/>
              <wp:positionH relativeFrom="page">
                <wp:posOffset>3732276</wp:posOffset>
              </wp:positionH>
              <wp:positionV relativeFrom="page">
                <wp:posOffset>9416118</wp:posOffset>
              </wp:positionV>
              <wp:extent cx="317500" cy="194310"/>
              <wp:effectExtent l="0" t="0" r="0" b="0"/>
              <wp:wrapNone/>
              <wp:docPr id="478" name="Textbox 478"/>
              <wp:cNvGraphicFramePr>
                <a:graphicFrameLocks/>
              </wp:cNvGraphicFramePr>
              <a:graphic>
                <a:graphicData uri="http://schemas.microsoft.com/office/word/2010/wordprocessingShape">
                  <wps:wsp>
                    <wps:cNvPr id="478" name="Textbox 47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38016" type="#_x0000_t202" id="docshape47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237</w:t>
                    </w:r>
                    <w:r>
                      <w:rPr>
                        <w:rFonts w:ascii="Times New Roman"/>
                        <w:spacing w:val="-5"/>
                      </w:rPr>
                      <w:fldChar w:fldCharType="end"/>
                    </w:r>
                  </w:p>
                </w:txbxContent>
              </v:textbox>
              <w10:wrap type="none"/>
            </v:shape>
          </w:pict>
        </mc:Fallback>
      </mc:AlternateContent>
    </w:r>
  </w:p>
</w:ftr>
</file>

<file path=word/footer25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79488">
              <wp:simplePos x="0" y="0"/>
              <wp:positionH relativeFrom="page">
                <wp:posOffset>3732276</wp:posOffset>
              </wp:positionH>
              <wp:positionV relativeFrom="page">
                <wp:posOffset>9416118</wp:posOffset>
              </wp:positionV>
              <wp:extent cx="317500" cy="194310"/>
              <wp:effectExtent l="0" t="0" r="0" b="0"/>
              <wp:wrapNone/>
              <wp:docPr id="480" name="Textbox 480"/>
              <wp:cNvGraphicFramePr>
                <a:graphicFrameLocks/>
              </wp:cNvGraphicFramePr>
              <a:graphic>
                <a:graphicData uri="http://schemas.microsoft.com/office/word/2010/wordprocessingShape">
                  <wps:wsp>
                    <wps:cNvPr id="480" name="Textbox 48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36992" type="#_x0000_t202" id="docshape47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238</w:t>
                    </w:r>
                    <w:r>
                      <w:rPr>
                        <w:rFonts w:ascii="Times New Roman"/>
                        <w:spacing w:val="-5"/>
                      </w:rPr>
                      <w:fldChar w:fldCharType="end"/>
                    </w:r>
                  </w:p>
                </w:txbxContent>
              </v:textbox>
              <w10:wrap type="none"/>
            </v:shape>
          </w:pict>
        </mc:Fallback>
      </mc:AlternateContent>
    </w:r>
  </w:p>
</w:ftr>
</file>

<file path=word/footer25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80512">
              <wp:simplePos x="0" y="0"/>
              <wp:positionH relativeFrom="page">
                <wp:posOffset>3732276</wp:posOffset>
              </wp:positionH>
              <wp:positionV relativeFrom="page">
                <wp:posOffset>9416118</wp:posOffset>
              </wp:positionV>
              <wp:extent cx="317500" cy="194310"/>
              <wp:effectExtent l="0" t="0" r="0" b="0"/>
              <wp:wrapNone/>
              <wp:docPr id="482" name="Textbox 482"/>
              <wp:cNvGraphicFramePr>
                <a:graphicFrameLocks/>
              </wp:cNvGraphicFramePr>
              <a:graphic>
                <a:graphicData uri="http://schemas.microsoft.com/office/word/2010/wordprocessingShape">
                  <wps:wsp>
                    <wps:cNvPr id="482" name="Textbox 48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35968" type="#_x0000_t202" id="docshape48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239</w:t>
                    </w:r>
                    <w:r>
                      <w:rPr>
                        <w:rFonts w:ascii="Times New Roman"/>
                        <w:spacing w:val="-5"/>
                      </w:rPr>
                      <w:fldChar w:fldCharType="end"/>
                    </w:r>
                  </w:p>
                </w:txbxContent>
              </v:textbox>
              <w10:wrap type="none"/>
            </v:shape>
          </w:pict>
        </mc:Fallback>
      </mc:AlternateContent>
    </w:r>
  </w:p>
</w:ftr>
</file>

<file path=word/footer25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81536">
              <wp:simplePos x="0" y="0"/>
              <wp:positionH relativeFrom="page">
                <wp:posOffset>3732276</wp:posOffset>
              </wp:positionH>
              <wp:positionV relativeFrom="page">
                <wp:posOffset>9416118</wp:posOffset>
              </wp:positionV>
              <wp:extent cx="317500" cy="194310"/>
              <wp:effectExtent l="0" t="0" r="0" b="0"/>
              <wp:wrapNone/>
              <wp:docPr id="484" name="Textbox 484"/>
              <wp:cNvGraphicFramePr>
                <a:graphicFrameLocks/>
              </wp:cNvGraphicFramePr>
              <a:graphic>
                <a:graphicData uri="http://schemas.microsoft.com/office/word/2010/wordprocessingShape">
                  <wps:wsp>
                    <wps:cNvPr id="484" name="Textbox 48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34944" type="#_x0000_t202" id="docshape48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240</w:t>
                    </w:r>
                    <w:r>
                      <w:rPr>
                        <w:rFonts w:ascii="Times New Roman"/>
                        <w:spacing w:val="-5"/>
                      </w:rPr>
                      <w:fldChar w:fldCharType="end"/>
                    </w:r>
                  </w:p>
                </w:txbxContent>
              </v:textbox>
              <w10:wrap type="none"/>
            </v:shape>
          </w:pict>
        </mc:Fallback>
      </mc:AlternateContent>
    </w:r>
  </w:p>
</w:ftr>
</file>

<file path=word/footer25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82560">
              <wp:simplePos x="0" y="0"/>
              <wp:positionH relativeFrom="page">
                <wp:posOffset>3732276</wp:posOffset>
              </wp:positionH>
              <wp:positionV relativeFrom="page">
                <wp:posOffset>9416118</wp:posOffset>
              </wp:positionV>
              <wp:extent cx="317500" cy="194310"/>
              <wp:effectExtent l="0" t="0" r="0" b="0"/>
              <wp:wrapNone/>
              <wp:docPr id="486" name="Textbox 486"/>
              <wp:cNvGraphicFramePr>
                <a:graphicFrameLocks/>
              </wp:cNvGraphicFramePr>
              <a:graphic>
                <a:graphicData uri="http://schemas.microsoft.com/office/word/2010/wordprocessingShape">
                  <wps:wsp>
                    <wps:cNvPr id="486" name="Textbox 48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33920" type="#_x0000_t202" id="docshape48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241</w:t>
                    </w:r>
                    <w:r>
                      <w:rPr>
                        <w:rFonts w:ascii="Times New Roman"/>
                        <w:spacing w:val="-5"/>
                      </w:rPr>
                      <w:fldChar w:fldCharType="end"/>
                    </w:r>
                  </w:p>
                </w:txbxContent>
              </v:textbox>
              <w10:wrap type="none"/>
            </v:shape>
          </w:pict>
        </mc:Fallback>
      </mc:AlternateContent>
    </w: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63424">
              <wp:simplePos x="0" y="0"/>
              <wp:positionH relativeFrom="page">
                <wp:posOffset>3771900</wp:posOffset>
              </wp:positionH>
              <wp:positionV relativeFrom="page">
                <wp:posOffset>9416118</wp:posOffset>
              </wp:positionV>
              <wp:extent cx="241300" cy="194310"/>
              <wp:effectExtent l="0" t="0" r="0" b="0"/>
              <wp:wrapNone/>
              <wp:docPr id="56" name="Textbox 56"/>
              <wp:cNvGraphicFramePr>
                <a:graphicFrameLocks/>
              </wp:cNvGraphicFramePr>
              <a:graphic>
                <a:graphicData uri="http://schemas.microsoft.com/office/word/2010/wordprocessingShape">
                  <wps:wsp>
                    <wps:cNvPr id="56" name="Textbox 56"/>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53056" type="#_x0000_t202" id="docshape5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37</w:t>
                    </w:r>
                    <w:r>
                      <w:rPr>
                        <w:rFonts w:ascii="Times New Roman"/>
                        <w:spacing w:val="-5"/>
                      </w:rPr>
                      <w:fldChar w:fldCharType="end"/>
                    </w:r>
                  </w:p>
                </w:txbxContent>
              </v:textbox>
              <w10:wrap type="none"/>
            </v:shape>
          </w:pict>
        </mc:Fallback>
      </mc:AlternateContent>
    </w:r>
  </w:p>
</w:ftr>
</file>

<file path=word/footer26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83584">
              <wp:simplePos x="0" y="0"/>
              <wp:positionH relativeFrom="page">
                <wp:posOffset>3732276</wp:posOffset>
              </wp:positionH>
              <wp:positionV relativeFrom="page">
                <wp:posOffset>9416118</wp:posOffset>
              </wp:positionV>
              <wp:extent cx="317500" cy="194310"/>
              <wp:effectExtent l="0" t="0" r="0" b="0"/>
              <wp:wrapNone/>
              <wp:docPr id="488" name="Textbox 488"/>
              <wp:cNvGraphicFramePr>
                <a:graphicFrameLocks/>
              </wp:cNvGraphicFramePr>
              <a:graphic>
                <a:graphicData uri="http://schemas.microsoft.com/office/word/2010/wordprocessingShape">
                  <wps:wsp>
                    <wps:cNvPr id="488" name="Textbox 48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32896" type="#_x0000_t202" id="docshape48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242</w:t>
                    </w:r>
                    <w:r>
                      <w:rPr>
                        <w:rFonts w:ascii="Times New Roman"/>
                        <w:spacing w:val="-5"/>
                      </w:rPr>
                      <w:fldChar w:fldCharType="end"/>
                    </w:r>
                  </w:p>
                </w:txbxContent>
              </v:textbox>
              <w10:wrap type="none"/>
            </v:shape>
          </w:pict>
        </mc:Fallback>
      </mc:AlternateContent>
    </w:r>
  </w:p>
</w:ftr>
</file>

<file path=word/footer26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84608">
              <wp:simplePos x="0" y="0"/>
              <wp:positionH relativeFrom="page">
                <wp:posOffset>3732276</wp:posOffset>
              </wp:positionH>
              <wp:positionV relativeFrom="page">
                <wp:posOffset>9416118</wp:posOffset>
              </wp:positionV>
              <wp:extent cx="317500" cy="194310"/>
              <wp:effectExtent l="0" t="0" r="0" b="0"/>
              <wp:wrapNone/>
              <wp:docPr id="490" name="Textbox 490"/>
              <wp:cNvGraphicFramePr>
                <a:graphicFrameLocks/>
              </wp:cNvGraphicFramePr>
              <a:graphic>
                <a:graphicData uri="http://schemas.microsoft.com/office/word/2010/wordprocessingShape">
                  <wps:wsp>
                    <wps:cNvPr id="490" name="Textbox 49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31872" type="#_x0000_t202" id="docshape48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243</w:t>
                    </w:r>
                    <w:r>
                      <w:rPr>
                        <w:rFonts w:ascii="Times New Roman"/>
                        <w:spacing w:val="-5"/>
                      </w:rPr>
                      <w:fldChar w:fldCharType="end"/>
                    </w:r>
                  </w:p>
                </w:txbxContent>
              </v:textbox>
              <w10:wrap type="none"/>
            </v:shape>
          </w:pict>
        </mc:Fallback>
      </mc:AlternateContent>
    </w:r>
  </w:p>
</w:ftr>
</file>

<file path=word/footer26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85632">
              <wp:simplePos x="0" y="0"/>
              <wp:positionH relativeFrom="page">
                <wp:posOffset>3732276</wp:posOffset>
              </wp:positionH>
              <wp:positionV relativeFrom="page">
                <wp:posOffset>9416118</wp:posOffset>
              </wp:positionV>
              <wp:extent cx="317500" cy="194310"/>
              <wp:effectExtent l="0" t="0" r="0" b="0"/>
              <wp:wrapNone/>
              <wp:docPr id="492" name="Textbox 492"/>
              <wp:cNvGraphicFramePr>
                <a:graphicFrameLocks/>
              </wp:cNvGraphicFramePr>
              <a:graphic>
                <a:graphicData uri="http://schemas.microsoft.com/office/word/2010/wordprocessingShape">
                  <wps:wsp>
                    <wps:cNvPr id="492" name="Textbox 49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30848" type="#_x0000_t202" id="docshape49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244</w:t>
                    </w:r>
                    <w:r>
                      <w:rPr>
                        <w:rFonts w:ascii="Times New Roman"/>
                        <w:spacing w:val="-5"/>
                      </w:rPr>
                      <w:fldChar w:fldCharType="end"/>
                    </w:r>
                  </w:p>
                </w:txbxContent>
              </v:textbox>
              <w10:wrap type="none"/>
            </v:shape>
          </w:pict>
        </mc:Fallback>
      </mc:AlternateContent>
    </w:r>
  </w:p>
</w:ftr>
</file>

<file path=word/footer26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86656">
              <wp:simplePos x="0" y="0"/>
              <wp:positionH relativeFrom="page">
                <wp:posOffset>3732276</wp:posOffset>
              </wp:positionH>
              <wp:positionV relativeFrom="page">
                <wp:posOffset>9416118</wp:posOffset>
              </wp:positionV>
              <wp:extent cx="317500" cy="194310"/>
              <wp:effectExtent l="0" t="0" r="0" b="0"/>
              <wp:wrapNone/>
              <wp:docPr id="494" name="Textbox 494"/>
              <wp:cNvGraphicFramePr>
                <a:graphicFrameLocks/>
              </wp:cNvGraphicFramePr>
              <a:graphic>
                <a:graphicData uri="http://schemas.microsoft.com/office/word/2010/wordprocessingShape">
                  <wps:wsp>
                    <wps:cNvPr id="494" name="Textbox 49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29824" type="#_x0000_t202" id="docshape49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245</w:t>
                    </w:r>
                    <w:r>
                      <w:rPr>
                        <w:rFonts w:ascii="Times New Roman"/>
                        <w:spacing w:val="-5"/>
                      </w:rPr>
                      <w:fldChar w:fldCharType="end"/>
                    </w:r>
                  </w:p>
                </w:txbxContent>
              </v:textbox>
              <w10:wrap type="none"/>
            </v:shape>
          </w:pict>
        </mc:Fallback>
      </mc:AlternateContent>
    </w:r>
  </w:p>
</w:ftr>
</file>

<file path=word/footer26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87680">
              <wp:simplePos x="0" y="0"/>
              <wp:positionH relativeFrom="page">
                <wp:posOffset>3732276</wp:posOffset>
              </wp:positionH>
              <wp:positionV relativeFrom="page">
                <wp:posOffset>9416118</wp:posOffset>
              </wp:positionV>
              <wp:extent cx="317500" cy="194310"/>
              <wp:effectExtent l="0" t="0" r="0" b="0"/>
              <wp:wrapNone/>
              <wp:docPr id="496" name="Textbox 496"/>
              <wp:cNvGraphicFramePr>
                <a:graphicFrameLocks/>
              </wp:cNvGraphicFramePr>
              <a:graphic>
                <a:graphicData uri="http://schemas.microsoft.com/office/word/2010/wordprocessingShape">
                  <wps:wsp>
                    <wps:cNvPr id="496" name="Textbox 49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28800" type="#_x0000_t202" id="docshape49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246</w:t>
                    </w:r>
                    <w:r>
                      <w:rPr>
                        <w:rFonts w:ascii="Times New Roman"/>
                        <w:spacing w:val="-5"/>
                      </w:rPr>
                      <w:fldChar w:fldCharType="end"/>
                    </w:r>
                  </w:p>
                </w:txbxContent>
              </v:textbox>
              <w10:wrap type="none"/>
            </v:shape>
          </w:pict>
        </mc:Fallback>
      </mc:AlternateContent>
    </w:r>
  </w:p>
</w:ftr>
</file>

<file path=word/footer26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88704">
              <wp:simplePos x="0" y="0"/>
              <wp:positionH relativeFrom="page">
                <wp:posOffset>3732276</wp:posOffset>
              </wp:positionH>
              <wp:positionV relativeFrom="page">
                <wp:posOffset>9416118</wp:posOffset>
              </wp:positionV>
              <wp:extent cx="317500" cy="194310"/>
              <wp:effectExtent l="0" t="0" r="0" b="0"/>
              <wp:wrapNone/>
              <wp:docPr id="498" name="Textbox 498"/>
              <wp:cNvGraphicFramePr>
                <a:graphicFrameLocks/>
              </wp:cNvGraphicFramePr>
              <a:graphic>
                <a:graphicData uri="http://schemas.microsoft.com/office/word/2010/wordprocessingShape">
                  <wps:wsp>
                    <wps:cNvPr id="498" name="Textbox 49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27776" type="#_x0000_t202" id="docshape49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247</w:t>
                    </w:r>
                    <w:r>
                      <w:rPr>
                        <w:rFonts w:ascii="Times New Roman"/>
                        <w:spacing w:val="-5"/>
                      </w:rPr>
                      <w:fldChar w:fldCharType="end"/>
                    </w:r>
                  </w:p>
                </w:txbxContent>
              </v:textbox>
              <w10:wrap type="none"/>
            </v:shape>
          </w:pict>
        </mc:Fallback>
      </mc:AlternateContent>
    </w:r>
  </w:p>
</w:ftr>
</file>

<file path=word/footer26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89728">
              <wp:simplePos x="0" y="0"/>
              <wp:positionH relativeFrom="page">
                <wp:posOffset>3732276</wp:posOffset>
              </wp:positionH>
              <wp:positionV relativeFrom="page">
                <wp:posOffset>9416118</wp:posOffset>
              </wp:positionV>
              <wp:extent cx="317500" cy="194310"/>
              <wp:effectExtent l="0" t="0" r="0" b="0"/>
              <wp:wrapNone/>
              <wp:docPr id="500" name="Textbox 500"/>
              <wp:cNvGraphicFramePr>
                <a:graphicFrameLocks/>
              </wp:cNvGraphicFramePr>
              <a:graphic>
                <a:graphicData uri="http://schemas.microsoft.com/office/word/2010/wordprocessingShape">
                  <wps:wsp>
                    <wps:cNvPr id="500" name="Textbox 50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26752" type="#_x0000_t202" id="docshape49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248</w:t>
                    </w:r>
                    <w:r>
                      <w:rPr>
                        <w:rFonts w:ascii="Times New Roman"/>
                        <w:spacing w:val="-5"/>
                      </w:rPr>
                      <w:fldChar w:fldCharType="end"/>
                    </w:r>
                  </w:p>
                </w:txbxContent>
              </v:textbox>
              <w10:wrap type="none"/>
            </v:shape>
          </w:pict>
        </mc:Fallback>
      </mc:AlternateContent>
    </w:r>
  </w:p>
</w:ftr>
</file>

<file path=word/footer26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90752">
              <wp:simplePos x="0" y="0"/>
              <wp:positionH relativeFrom="page">
                <wp:posOffset>3732276</wp:posOffset>
              </wp:positionH>
              <wp:positionV relativeFrom="page">
                <wp:posOffset>9416118</wp:posOffset>
              </wp:positionV>
              <wp:extent cx="317500" cy="194310"/>
              <wp:effectExtent l="0" t="0" r="0" b="0"/>
              <wp:wrapNone/>
              <wp:docPr id="502" name="Textbox 502"/>
              <wp:cNvGraphicFramePr>
                <a:graphicFrameLocks/>
              </wp:cNvGraphicFramePr>
              <a:graphic>
                <a:graphicData uri="http://schemas.microsoft.com/office/word/2010/wordprocessingShape">
                  <wps:wsp>
                    <wps:cNvPr id="502" name="Textbox 50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25728" type="#_x0000_t202" id="docshape50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249</w:t>
                    </w:r>
                    <w:r>
                      <w:rPr>
                        <w:rFonts w:ascii="Times New Roman"/>
                        <w:spacing w:val="-5"/>
                      </w:rPr>
                      <w:fldChar w:fldCharType="end"/>
                    </w:r>
                  </w:p>
                </w:txbxContent>
              </v:textbox>
              <w10:wrap type="none"/>
            </v:shape>
          </w:pict>
        </mc:Fallback>
      </mc:AlternateContent>
    </w:r>
  </w:p>
</w:ftr>
</file>

<file path=word/footer26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91776">
              <wp:simplePos x="0" y="0"/>
              <wp:positionH relativeFrom="page">
                <wp:posOffset>3732276</wp:posOffset>
              </wp:positionH>
              <wp:positionV relativeFrom="page">
                <wp:posOffset>9416118</wp:posOffset>
              </wp:positionV>
              <wp:extent cx="317500" cy="194310"/>
              <wp:effectExtent l="0" t="0" r="0" b="0"/>
              <wp:wrapNone/>
              <wp:docPr id="504" name="Textbox 504"/>
              <wp:cNvGraphicFramePr>
                <a:graphicFrameLocks/>
              </wp:cNvGraphicFramePr>
              <a:graphic>
                <a:graphicData uri="http://schemas.microsoft.com/office/word/2010/wordprocessingShape">
                  <wps:wsp>
                    <wps:cNvPr id="504" name="Textbox 50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24704" type="#_x0000_t202" id="docshape50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250</w:t>
                    </w:r>
                    <w:r>
                      <w:rPr>
                        <w:rFonts w:ascii="Times New Roman"/>
                        <w:spacing w:val="-5"/>
                      </w:rPr>
                      <w:fldChar w:fldCharType="end"/>
                    </w:r>
                  </w:p>
                </w:txbxContent>
              </v:textbox>
              <w10:wrap type="none"/>
            </v:shape>
          </w:pict>
        </mc:Fallback>
      </mc:AlternateContent>
    </w:r>
  </w:p>
</w:ftr>
</file>

<file path=word/footer26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92800">
              <wp:simplePos x="0" y="0"/>
              <wp:positionH relativeFrom="page">
                <wp:posOffset>3732276</wp:posOffset>
              </wp:positionH>
              <wp:positionV relativeFrom="page">
                <wp:posOffset>9416118</wp:posOffset>
              </wp:positionV>
              <wp:extent cx="317500" cy="194310"/>
              <wp:effectExtent l="0" t="0" r="0" b="0"/>
              <wp:wrapNone/>
              <wp:docPr id="506" name="Textbox 506"/>
              <wp:cNvGraphicFramePr>
                <a:graphicFrameLocks/>
              </wp:cNvGraphicFramePr>
              <a:graphic>
                <a:graphicData uri="http://schemas.microsoft.com/office/word/2010/wordprocessingShape">
                  <wps:wsp>
                    <wps:cNvPr id="506" name="Textbox 50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23680" type="#_x0000_t202" id="docshape50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251</w:t>
                    </w:r>
                    <w:r>
                      <w:rPr>
                        <w:rFonts w:ascii="Times New Roman"/>
                        <w:spacing w:val="-5"/>
                      </w:rPr>
                      <w:fldChar w:fldCharType="end"/>
                    </w:r>
                  </w:p>
                </w:txbxContent>
              </v:textbox>
              <w10:wrap type="none"/>
            </v:shape>
          </w:pict>
        </mc:Fallback>
      </mc:AlternateContent>
    </w: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64448">
              <wp:simplePos x="0" y="0"/>
              <wp:positionH relativeFrom="page">
                <wp:posOffset>3771900</wp:posOffset>
              </wp:positionH>
              <wp:positionV relativeFrom="page">
                <wp:posOffset>9416118</wp:posOffset>
              </wp:positionV>
              <wp:extent cx="241300" cy="194310"/>
              <wp:effectExtent l="0" t="0" r="0" b="0"/>
              <wp:wrapNone/>
              <wp:docPr id="58" name="Textbox 58"/>
              <wp:cNvGraphicFramePr>
                <a:graphicFrameLocks/>
              </wp:cNvGraphicFramePr>
              <a:graphic>
                <a:graphicData uri="http://schemas.microsoft.com/office/word/2010/wordprocessingShape">
                  <wps:wsp>
                    <wps:cNvPr id="58" name="Textbox 58"/>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52032" type="#_x0000_t202" id="docshape5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38</w:t>
                    </w:r>
                    <w:r>
                      <w:rPr>
                        <w:rFonts w:ascii="Times New Roman"/>
                        <w:spacing w:val="-5"/>
                      </w:rPr>
                      <w:fldChar w:fldCharType="end"/>
                    </w:r>
                  </w:p>
                </w:txbxContent>
              </v:textbox>
              <w10:wrap type="none"/>
            </v:shape>
          </w:pict>
        </mc:Fallback>
      </mc:AlternateContent>
    </w:r>
  </w:p>
</w:ftr>
</file>

<file path=word/footer27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93824">
              <wp:simplePos x="0" y="0"/>
              <wp:positionH relativeFrom="page">
                <wp:posOffset>3732276</wp:posOffset>
              </wp:positionH>
              <wp:positionV relativeFrom="page">
                <wp:posOffset>9416118</wp:posOffset>
              </wp:positionV>
              <wp:extent cx="317500" cy="194310"/>
              <wp:effectExtent l="0" t="0" r="0" b="0"/>
              <wp:wrapNone/>
              <wp:docPr id="508" name="Textbox 508"/>
              <wp:cNvGraphicFramePr>
                <a:graphicFrameLocks/>
              </wp:cNvGraphicFramePr>
              <a:graphic>
                <a:graphicData uri="http://schemas.microsoft.com/office/word/2010/wordprocessingShape">
                  <wps:wsp>
                    <wps:cNvPr id="508" name="Textbox 50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22656" type="#_x0000_t202" id="docshape50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252</w:t>
                    </w:r>
                    <w:r>
                      <w:rPr>
                        <w:rFonts w:ascii="Times New Roman"/>
                        <w:spacing w:val="-5"/>
                      </w:rPr>
                      <w:fldChar w:fldCharType="end"/>
                    </w:r>
                  </w:p>
                </w:txbxContent>
              </v:textbox>
              <w10:wrap type="none"/>
            </v:shape>
          </w:pict>
        </mc:Fallback>
      </mc:AlternateContent>
    </w:r>
  </w:p>
</w:ftr>
</file>

<file path=word/footer27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94848">
              <wp:simplePos x="0" y="0"/>
              <wp:positionH relativeFrom="page">
                <wp:posOffset>3732276</wp:posOffset>
              </wp:positionH>
              <wp:positionV relativeFrom="page">
                <wp:posOffset>9416118</wp:posOffset>
              </wp:positionV>
              <wp:extent cx="317500" cy="194310"/>
              <wp:effectExtent l="0" t="0" r="0" b="0"/>
              <wp:wrapNone/>
              <wp:docPr id="510" name="Textbox 510"/>
              <wp:cNvGraphicFramePr>
                <a:graphicFrameLocks/>
              </wp:cNvGraphicFramePr>
              <a:graphic>
                <a:graphicData uri="http://schemas.microsoft.com/office/word/2010/wordprocessingShape">
                  <wps:wsp>
                    <wps:cNvPr id="510" name="Textbox 51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21632" type="#_x0000_t202" id="docshape50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253</w:t>
                    </w:r>
                    <w:r>
                      <w:rPr>
                        <w:rFonts w:ascii="Times New Roman"/>
                        <w:spacing w:val="-5"/>
                      </w:rPr>
                      <w:fldChar w:fldCharType="end"/>
                    </w:r>
                  </w:p>
                </w:txbxContent>
              </v:textbox>
              <w10:wrap type="none"/>
            </v:shape>
          </w:pict>
        </mc:Fallback>
      </mc:AlternateContent>
    </w:r>
  </w:p>
</w:ftr>
</file>

<file path=word/footer27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95872">
              <wp:simplePos x="0" y="0"/>
              <wp:positionH relativeFrom="page">
                <wp:posOffset>3732276</wp:posOffset>
              </wp:positionH>
              <wp:positionV relativeFrom="page">
                <wp:posOffset>9416118</wp:posOffset>
              </wp:positionV>
              <wp:extent cx="317500" cy="194310"/>
              <wp:effectExtent l="0" t="0" r="0" b="0"/>
              <wp:wrapNone/>
              <wp:docPr id="512" name="Textbox 512"/>
              <wp:cNvGraphicFramePr>
                <a:graphicFrameLocks/>
              </wp:cNvGraphicFramePr>
              <a:graphic>
                <a:graphicData uri="http://schemas.microsoft.com/office/word/2010/wordprocessingShape">
                  <wps:wsp>
                    <wps:cNvPr id="512" name="Textbox 51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20608" type="#_x0000_t202" id="docshape51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254</w:t>
                    </w:r>
                    <w:r>
                      <w:rPr>
                        <w:rFonts w:ascii="Times New Roman"/>
                        <w:spacing w:val="-5"/>
                      </w:rPr>
                      <w:fldChar w:fldCharType="end"/>
                    </w:r>
                  </w:p>
                </w:txbxContent>
              </v:textbox>
              <w10:wrap type="none"/>
            </v:shape>
          </w:pict>
        </mc:Fallback>
      </mc:AlternateContent>
    </w:r>
  </w:p>
</w:ftr>
</file>

<file path=word/footer27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96896">
              <wp:simplePos x="0" y="0"/>
              <wp:positionH relativeFrom="page">
                <wp:posOffset>3732276</wp:posOffset>
              </wp:positionH>
              <wp:positionV relativeFrom="page">
                <wp:posOffset>9416118</wp:posOffset>
              </wp:positionV>
              <wp:extent cx="317500" cy="194310"/>
              <wp:effectExtent l="0" t="0" r="0" b="0"/>
              <wp:wrapNone/>
              <wp:docPr id="514" name="Textbox 514"/>
              <wp:cNvGraphicFramePr>
                <a:graphicFrameLocks/>
              </wp:cNvGraphicFramePr>
              <a:graphic>
                <a:graphicData uri="http://schemas.microsoft.com/office/word/2010/wordprocessingShape">
                  <wps:wsp>
                    <wps:cNvPr id="514" name="Textbox 51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19584" type="#_x0000_t202" id="docshape51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255</w:t>
                    </w:r>
                    <w:r>
                      <w:rPr>
                        <w:rFonts w:ascii="Times New Roman"/>
                        <w:spacing w:val="-5"/>
                      </w:rPr>
                      <w:fldChar w:fldCharType="end"/>
                    </w:r>
                  </w:p>
                </w:txbxContent>
              </v:textbox>
              <w10:wrap type="none"/>
            </v:shape>
          </w:pict>
        </mc:Fallback>
      </mc:AlternateContent>
    </w:r>
  </w:p>
</w:ftr>
</file>

<file path=word/footer27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97920">
              <wp:simplePos x="0" y="0"/>
              <wp:positionH relativeFrom="page">
                <wp:posOffset>3732276</wp:posOffset>
              </wp:positionH>
              <wp:positionV relativeFrom="page">
                <wp:posOffset>9416118</wp:posOffset>
              </wp:positionV>
              <wp:extent cx="317500" cy="194310"/>
              <wp:effectExtent l="0" t="0" r="0" b="0"/>
              <wp:wrapNone/>
              <wp:docPr id="516" name="Textbox 516"/>
              <wp:cNvGraphicFramePr>
                <a:graphicFrameLocks/>
              </wp:cNvGraphicFramePr>
              <a:graphic>
                <a:graphicData uri="http://schemas.microsoft.com/office/word/2010/wordprocessingShape">
                  <wps:wsp>
                    <wps:cNvPr id="516" name="Textbox 51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18560" type="#_x0000_t202" id="docshape51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256</w:t>
                    </w:r>
                    <w:r>
                      <w:rPr>
                        <w:rFonts w:ascii="Times New Roman"/>
                        <w:spacing w:val="-5"/>
                      </w:rPr>
                      <w:fldChar w:fldCharType="end"/>
                    </w:r>
                  </w:p>
                </w:txbxContent>
              </v:textbox>
              <w10:wrap type="none"/>
            </v:shape>
          </w:pict>
        </mc:Fallback>
      </mc:AlternateContent>
    </w:r>
  </w:p>
</w:ftr>
</file>

<file path=word/footer27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98944">
              <wp:simplePos x="0" y="0"/>
              <wp:positionH relativeFrom="page">
                <wp:posOffset>3732276</wp:posOffset>
              </wp:positionH>
              <wp:positionV relativeFrom="page">
                <wp:posOffset>9416118</wp:posOffset>
              </wp:positionV>
              <wp:extent cx="317500" cy="194310"/>
              <wp:effectExtent l="0" t="0" r="0" b="0"/>
              <wp:wrapNone/>
              <wp:docPr id="518" name="Textbox 518"/>
              <wp:cNvGraphicFramePr>
                <a:graphicFrameLocks/>
              </wp:cNvGraphicFramePr>
              <a:graphic>
                <a:graphicData uri="http://schemas.microsoft.com/office/word/2010/wordprocessingShape">
                  <wps:wsp>
                    <wps:cNvPr id="518" name="Textbox 51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17536" type="#_x0000_t202" id="docshape51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257</w:t>
                    </w:r>
                    <w:r>
                      <w:rPr>
                        <w:rFonts w:ascii="Times New Roman"/>
                        <w:spacing w:val="-5"/>
                      </w:rPr>
                      <w:fldChar w:fldCharType="end"/>
                    </w:r>
                  </w:p>
                </w:txbxContent>
              </v:textbox>
              <w10:wrap type="none"/>
            </v:shape>
          </w:pict>
        </mc:Fallback>
      </mc:AlternateContent>
    </w:r>
  </w:p>
</w:ftr>
</file>

<file path=word/footer27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99968">
              <wp:simplePos x="0" y="0"/>
              <wp:positionH relativeFrom="page">
                <wp:posOffset>3732276</wp:posOffset>
              </wp:positionH>
              <wp:positionV relativeFrom="page">
                <wp:posOffset>9416118</wp:posOffset>
              </wp:positionV>
              <wp:extent cx="317500" cy="194310"/>
              <wp:effectExtent l="0" t="0" r="0" b="0"/>
              <wp:wrapNone/>
              <wp:docPr id="520" name="Textbox 520"/>
              <wp:cNvGraphicFramePr>
                <a:graphicFrameLocks/>
              </wp:cNvGraphicFramePr>
              <a:graphic>
                <a:graphicData uri="http://schemas.microsoft.com/office/word/2010/wordprocessingShape">
                  <wps:wsp>
                    <wps:cNvPr id="520" name="Textbox 52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16512" type="#_x0000_t202" id="docshape51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258</w:t>
                    </w:r>
                    <w:r>
                      <w:rPr>
                        <w:rFonts w:ascii="Times New Roman"/>
                        <w:spacing w:val="-5"/>
                      </w:rPr>
                      <w:fldChar w:fldCharType="end"/>
                    </w:r>
                  </w:p>
                </w:txbxContent>
              </v:textbox>
              <w10:wrap type="none"/>
            </v:shape>
          </w:pict>
        </mc:Fallback>
      </mc:AlternateContent>
    </w:r>
  </w:p>
</w:ftr>
</file>

<file path=word/footer27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00992">
              <wp:simplePos x="0" y="0"/>
              <wp:positionH relativeFrom="page">
                <wp:posOffset>3732276</wp:posOffset>
              </wp:positionH>
              <wp:positionV relativeFrom="page">
                <wp:posOffset>9416118</wp:posOffset>
              </wp:positionV>
              <wp:extent cx="317500" cy="194310"/>
              <wp:effectExtent l="0" t="0" r="0" b="0"/>
              <wp:wrapNone/>
              <wp:docPr id="522" name="Textbox 522"/>
              <wp:cNvGraphicFramePr>
                <a:graphicFrameLocks/>
              </wp:cNvGraphicFramePr>
              <a:graphic>
                <a:graphicData uri="http://schemas.microsoft.com/office/word/2010/wordprocessingShape">
                  <wps:wsp>
                    <wps:cNvPr id="522" name="Textbox 52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15488" type="#_x0000_t202" id="docshape52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259</w:t>
                    </w:r>
                    <w:r>
                      <w:rPr>
                        <w:rFonts w:ascii="Times New Roman"/>
                        <w:spacing w:val="-5"/>
                      </w:rPr>
                      <w:fldChar w:fldCharType="end"/>
                    </w:r>
                  </w:p>
                </w:txbxContent>
              </v:textbox>
              <w10:wrap type="none"/>
            </v:shape>
          </w:pict>
        </mc:Fallback>
      </mc:AlternateContent>
    </w:r>
  </w:p>
</w:ftr>
</file>

<file path=word/footer27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02016">
              <wp:simplePos x="0" y="0"/>
              <wp:positionH relativeFrom="page">
                <wp:posOffset>3732276</wp:posOffset>
              </wp:positionH>
              <wp:positionV relativeFrom="page">
                <wp:posOffset>9416118</wp:posOffset>
              </wp:positionV>
              <wp:extent cx="317500" cy="194310"/>
              <wp:effectExtent l="0" t="0" r="0" b="0"/>
              <wp:wrapNone/>
              <wp:docPr id="524" name="Textbox 524"/>
              <wp:cNvGraphicFramePr>
                <a:graphicFrameLocks/>
              </wp:cNvGraphicFramePr>
              <a:graphic>
                <a:graphicData uri="http://schemas.microsoft.com/office/word/2010/wordprocessingShape">
                  <wps:wsp>
                    <wps:cNvPr id="524" name="Textbox 52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414464" type="#_x0000_t202" id="docshape52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260</w:t>
                    </w:r>
                    <w:r>
                      <w:rPr>
                        <w:rFonts w:ascii="Times New Roman"/>
                        <w:spacing w:val="-5"/>
                      </w:rPr>
                      <w:fldChar w:fldCharType="end"/>
                    </w:r>
                  </w:p>
                </w:txbxContent>
              </v:textbox>
              <w10:wrap type="none"/>
            </v:shape>
          </w:pict>
        </mc:Fallback>
      </mc:AlternateContent>
    </w:r>
  </w:p>
</w:ftr>
</file>

<file path=word/footer27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65472">
              <wp:simplePos x="0" y="0"/>
              <wp:positionH relativeFrom="page">
                <wp:posOffset>3771900</wp:posOffset>
              </wp:positionH>
              <wp:positionV relativeFrom="page">
                <wp:posOffset>9416118</wp:posOffset>
              </wp:positionV>
              <wp:extent cx="241300" cy="194310"/>
              <wp:effectExtent l="0" t="0" r="0" b="0"/>
              <wp:wrapNone/>
              <wp:docPr id="60" name="Textbox 60"/>
              <wp:cNvGraphicFramePr>
                <a:graphicFrameLocks/>
              </wp:cNvGraphicFramePr>
              <a:graphic>
                <a:graphicData uri="http://schemas.microsoft.com/office/word/2010/wordprocessingShape">
                  <wps:wsp>
                    <wps:cNvPr id="60" name="Textbox 60"/>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51008" type="#_x0000_t202" id="docshape6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39</w:t>
                    </w:r>
                    <w:r>
                      <w:rPr>
                        <w:rFonts w:ascii="Times New Roman"/>
                        <w:spacing w:val="-5"/>
                      </w:rPr>
                      <w:fldChar w:fldCharType="end"/>
                    </w:r>
                  </w:p>
                </w:txbxContent>
              </v:textbox>
              <w10:wrap type="none"/>
            </v:shape>
          </w:pict>
        </mc:Fallback>
      </mc:AlternateContent>
    </w:r>
  </w:p>
</w:ftr>
</file>

<file path=word/footer28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03040">
              <wp:simplePos x="0" y="0"/>
              <wp:positionH relativeFrom="page">
                <wp:posOffset>3732276</wp:posOffset>
              </wp:positionH>
              <wp:positionV relativeFrom="page">
                <wp:posOffset>9522798</wp:posOffset>
              </wp:positionV>
              <wp:extent cx="317500" cy="194310"/>
              <wp:effectExtent l="0" t="0" r="0" b="0"/>
              <wp:wrapNone/>
              <wp:docPr id="548" name="Textbox 548"/>
              <wp:cNvGraphicFramePr>
                <a:graphicFrameLocks/>
              </wp:cNvGraphicFramePr>
              <a:graphic>
                <a:graphicData uri="http://schemas.microsoft.com/office/word/2010/wordprocessingShape">
                  <wps:wsp>
                    <wps:cNvPr id="548" name="Textbox 54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413440" type="#_x0000_t202" id="docshape54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262</w:t>
                    </w:r>
                    <w:r>
                      <w:rPr>
                        <w:rFonts w:ascii="Times New Roman"/>
                        <w:spacing w:val="-5"/>
                      </w:rPr>
                      <w:fldChar w:fldCharType="end"/>
                    </w:r>
                  </w:p>
                </w:txbxContent>
              </v:textbox>
              <w10:wrap type="none"/>
            </v:shape>
          </w:pict>
        </mc:Fallback>
      </mc:AlternateContent>
    </w:r>
  </w:p>
</w:ftr>
</file>

<file path=word/footer28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04064">
              <wp:simplePos x="0" y="0"/>
              <wp:positionH relativeFrom="page">
                <wp:posOffset>3732276</wp:posOffset>
              </wp:positionH>
              <wp:positionV relativeFrom="page">
                <wp:posOffset>9522798</wp:posOffset>
              </wp:positionV>
              <wp:extent cx="317500" cy="194310"/>
              <wp:effectExtent l="0" t="0" r="0" b="0"/>
              <wp:wrapNone/>
              <wp:docPr id="550" name="Textbox 550"/>
              <wp:cNvGraphicFramePr>
                <a:graphicFrameLocks/>
              </wp:cNvGraphicFramePr>
              <a:graphic>
                <a:graphicData uri="http://schemas.microsoft.com/office/word/2010/wordprocessingShape">
                  <wps:wsp>
                    <wps:cNvPr id="550" name="Textbox 55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412416" type="#_x0000_t202" id="docshape54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263</w:t>
                    </w:r>
                    <w:r>
                      <w:rPr>
                        <w:rFonts w:ascii="Times New Roman"/>
                        <w:spacing w:val="-5"/>
                      </w:rPr>
                      <w:fldChar w:fldCharType="end"/>
                    </w:r>
                  </w:p>
                </w:txbxContent>
              </v:textbox>
              <w10:wrap type="none"/>
            </v:shape>
          </w:pict>
        </mc:Fallback>
      </mc:AlternateContent>
    </w:r>
  </w:p>
</w:ftr>
</file>

<file path=word/footer28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05088">
              <wp:simplePos x="0" y="0"/>
              <wp:positionH relativeFrom="page">
                <wp:posOffset>3732276</wp:posOffset>
              </wp:positionH>
              <wp:positionV relativeFrom="page">
                <wp:posOffset>9522798</wp:posOffset>
              </wp:positionV>
              <wp:extent cx="317500" cy="194310"/>
              <wp:effectExtent l="0" t="0" r="0" b="0"/>
              <wp:wrapNone/>
              <wp:docPr id="552" name="Textbox 552"/>
              <wp:cNvGraphicFramePr>
                <a:graphicFrameLocks/>
              </wp:cNvGraphicFramePr>
              <a:graphic>
                <a:graphicData uri="http://schemas.microsoft.com/office/word/2010/wordprocessingShape">
                  <wps:wsp>
                    <wps:cNvPr id="552" name="Textbox 55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411392" type="#_x0000_t202" id="docshape55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264</w:t>
                    </w:r>
                    <w:r>
                      <w:rPr>
                        <w:rFonts w:ascii="Times New Roman"/>
                        <w:spacing w:val="-5"/>
                      </w:rPr>
                      <w:fldChar w:fldCharType="end"/>
                    </w:r>
                  </w:p>
                </w:txbxContent>
              </v:textbox>
              <w10:wrap type="none"/>
            </v:shape>
          </w:pict>
        </mc:Fallback>
      </mc:AlternateContent>
    </w:r>
  </w:p>
</w:ftr>
</file>

<file path=word/footer28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06112">
              <wp:simplePos x="0" y="0"/>
              <wp:positionH relativeFrom="page">
                <wp:posOffset>3732276</wp:posOffset>
              </wp:positionH>
              <wp:positionV relativeFrom="page">
                <wp:posOffset>9522798</wp:posOffset>
              </wp:positionV>
              <wp:extent cx="317500" cy="194310"/>
              <wp:effectExtent l="0" t="0" r="0" b="0"/>
              <wp:wrapNone/>
              <wp:docPr id="554" name="Textbox 554"/>
              <wp:cNvGraphicFramePr>
                <a:graphicFrameLocks/>
              </wp:cNvGraphicFramePr>
              <a:graphic>
                <a:graphicData uri="http://schemas.microsoft.com/office/word/2010/wordprocessingShape">
                  <wps:wsp>
                    <wps:cNvPr id="554" name="Textbox 55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410368" type="#_x0000_t202" id="docshape55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265</w:t>
                    </w:r>
                    <w:r>
                      <w:rPr>
                        <w:rFonts w:ascii="Times New Roman"/>
                        <w:spacing w:val="-5"/>
                      </w:rPr>
                      <w:fldChar w:fldCharType="end"/>
                    </w:r>
                  </w:p>
                </w:txbxContent>
              </v:textbox>
              <w10:wrap type="none"/>
            </v:shape>
          </w:pict>
        </mc:Fallback>
      </mc:AlternateContent>
    </w:r>
  </w:p>
</w:ftr>
</file>

<file path=word/footer28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07136">
              <wp:simplePos x="0" y="0"/>
              <wp:positionH relativeFrom="page">
                <wp:posOffset>3732276</wp:posOffset>
              </wp:positionH>
              <wp:positionV relativeFrom="page">
                <wp:posOffset>9522798</wp:posOffset>
              </wp:positionV>
              <wp:extent cx="317500" cy="194310"/>
              <wp:effectExtent l="0" t="0" r="0" b="0"/>
              <wp:wrapNone/>
              <wp:docPr id="556" name="Textbox 556"/>
              <wp:cNvGraphicFramePr>
                <a:graphicFrameLocks/>
              </wp:cNvGraphicFramePr>
              <a:graphic>
                <a:graphicData uri="http://schemas.microsoft.com/office/word/2010/wordprocessingShape">
                  <wps:wsp>
                    <wps:cNvPr id="556" name="Textbox 55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409344" type="#_x0000_t202" id="docshape55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266</w:t>
                    </w:r>
                    <w:r>
                      <w:rPr>
                        <w:rFonts w:ascii="Times New Roman"/>
                        <w:spacing w:val="-5"/>
                      </w:rPr>
                      <w:fldChar w:fldCharType="end"/>
                    </w:r>
                  </w:p>
                </w:txbxContent>
              </v:textbox>
              <w10:wrap type="none"/>
            </v:shape>
          </w:pict>
        </mc:Fallback>
      </mc:AlternateContent>
    </w:r>
  </w:p>
</w:ftr>
</file>

<file path=word/footer28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08160">
              <wp:simplePos x="0" y="0"/>
              <wp:positionH relativeFrom="page">
                <wp:posOffset>3732276</wp:posOffset>
              </wp:positionH>
              <wp:positionV relativeFrom="page">
                <wp:posOffset>9522798</wp:posOffset>
              </wp:positionV>
              <wp:extent cx="317500" cy="194310"/>
              <wp:effectExtent l="0" t="0" r="0" b="0"/>
              <wp:wrapNone/>
              <wp:docPr id="558" name="Textbox 558"/>
              <wp:cNvGraphicFramePr>
                <a:graphicFrameLocks/>
              </wp:cNvGraphicFramePr>
              <a:graphic>
                <a:graphicData uri="http://schemas.microsoft.com/office/word/2010/wordprocessingShape">
                  <wps:wsp>
                    <wps:cNvPr id="558" name="Textbox 55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408320" type="#_x0000_t202" id="docshape55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267</w:t>
                    </w:r>
                    <w:r>
                      <w:rPr>
                        <w:rFonts w:ascii="Times New Roman"/>
                        <w:spacing w:val="-5"/>
                      </w:rPr>
                      <w:fldChar w:fldCharType="end"/>
                    </w:r>
                  </w:p>
                </w:txbxContent>
              </v:textbox>
              <w10:wrap type="none"/>
            </v:shape>
          </w:pict>
        </mc:Fallback>
      </mc:AlternateContent>
    </w:r>
  </w:p>
</w:ftr>
</file>

<file path=word/footer28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09184">
              <wp:simplePos x="0" y="0"/>
              <wp:positionH relativeFrom="page">
                <wp:posOffset>3732276</wp:posOffset>
              </wp:positionH>
              <wp:positionV relativeFrom="page">
                <wp:posOffset>9522798</wp:posOffset>
              </wp:positionV>
              <wp:extent cx="317500" cy="194310"/>
              <wp:effectExtent l="0" t="0" r="0" b="0"/>
              <wp:wrapNone/>
              <wp:docPr id="560" name="Textbox 560"/>
              <wp:cNvGraphicFramePr>
                <a:graphicFrameLocks/>
              </wp:cNvGraphicFramePr>
              <a:graphic>
                <a:graphicData uri="http://schemas.microsoft.com/office/word/2010/wordprocessingShape">
                  <wps:wsp>
                    <wps:cNvPr id="560" name="Textbox 56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407296" type="#_x0000_t202" id="docshape55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268</w:t>
                    </w:r>
                    <w:r>
                      <w:rPr>
                        <w:rFonts w:ascii="Times New Roman"/>
                        <w:spacing w:val="-5"/>
                      </w:rPr>
                      <w:fldChar w:fldCharType="end"/>
                    </w:r>
                  </w:p>
                </w:txbxContent>
              </v:textbox>
              <w10:wrap type="none"/>
            </v:shape>
          </w:pict>
        </mc:Fallback>
      </mc:AlternateContent>
    </w:r>
  </w:p>
</w:ftr>
</file>

<file path=word/footer28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10208">
              <wp:simplePos x="0" y="0"/>
              <wp:positionH relativeFrom="page">
                <wp:posOffset>3732276</wp:posOffset>
              </wp:positionH>
              <wp:positionV relativeFrom="page">
                <wp:posOffset>9522798</wp:posOffset>
              </wp:positionV>
              <wp:extent cx="317500" cy="194310"/>
              <wp:effectExtent l="0" t="0" r="0" b="0"/>
              <wp:wrapNone/>
              <wp:docPr id="564" name="Textbox 564"/>
              <wp:cNvGraphicFramePr>
                <a:graphicFrameLocks/>
              </wp:cNvGraphicFramePr>
              <a:graphic>
                <a:graphicData uri="http://schemas.microsoft.com/office/word/2010/wordprocessingShape">
                  <wps:wsp>
                    <wps:cNvPr id="564" name="Textbox 56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406272" type="#_x0000_t202" id="docshape56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269</w:t>
                    </w:r>
                    <w:r>
                      <w:rPr>
                        <w:rFonts w:ascii="Times New Roman"/>
                        <w:spacing w:val="-5"/>
                      </w:rPr>
                      <w:fldChar w:fldCharType="end"/>
                    </w:r>
                  </w:p>
                </w:txbxContent>
              </v:textbox>
              <w10:wrap type="none"/>
            </v:shape>
          </w:pict>
        </mc:Fallback>
      </mc:AlternateContent>
    </w:r>
  </w:p>
</w:ftr>
</file>

<file path=word/footer28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11232">
              <wp:simplePos x="0" y="0"/>
              <wp:positionH relativeFrom="page">
                <wp:posOffset>3732276</wp:posOffset>
              </wp:positionH>
              <wp:positionV relativeFrom="page">
                <wp:posOffset>9522798</wp:posOffset>
              </wp:positionV>
              <wp:extent cx="317500" cy="194310"/>
              <wp:effectExtent l="0" t="0" r="0" b="0"/>
              <wp:wrapNone/>
              <wp:docPr id="566" name="Textbox 566"/>
              <wp:cNvGraphicFramePr>
                <a:graphicFrameLocks/>
              </wp:cNvGraphicFramePr>
              <a:graphic>
                <a:graphicData uri="http://schemas.microsoft.com/office/word/2010/wordprocessingShape">
                  <wps:wsp>
                    <wps:cNvPr id="566" name="Textbox 56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405248" type="#_x0000_t202" id="docshape56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270</w:t>
                    </w:r>
                    <w:r>
                      <w:rPr>
                        <w:rFonts w:ascii="Times New Roman"/>
                        <w:spacing w:val="-5"/>
                      </w:rPr>
                      <w:fldChar w:fldCharType="end"/>
                    </w:r>
                  </w:p>
                </w:txbxContent>
              </v:textbox>
              <w10:wrap type="none"/>
            </v:shape>
          </w:pict>
        </mc:Fallback>
      </mc:AlternateContent>
    </w:r>
  </w:p>
</w:ftr>
</file>

<file path=word/footer28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12256">
              <wp:simplePos x="0" y="0"/>
              <wp:positionH relativeFrom="page">
                <wp:posOffset>3732276</wp:posOffset>
              </wp:positionH>
              <wp:positionV relativeFrom="page">
                <wp:posOffset>9522798</wp:posOffset>
              </wp:positionV>
              <wp:extent cx="317500" cy="194310"/>
              <wp:effectExtent l="0" t="0" r="0" b="0"/>
              <wp:wrapNone/>
              <wp:docPr id="568" name="Textbox 568"/>
              <wp:cNvGraphicFramePr>
                <a:graphicFrameLocks/>
              </wp:cNvGraphicFramePr>
              <a:graphic>
                <a:graphicData uri="http://schemas.microsoft.com/office/word/2010/wordprocessingShape">
                  <wps:wsp>
                    <wps:cNvPr id="568" name="Textbox 56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404224" type="#_x0000_t202" id="docshape56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271</w:t>
                    </w:r>
                    <w:r>
                      <w:rPr>
                        <w:rFonts w:ascii="Times New Roman"/>
                        <w:spacing w:val="-5"/>
                      </w:rPr>
                      <w:fldChar w:fldCharType="end"/>
                    </w:r>
                  </w:p>
                </w:txbxContent>
              </v:textbox>
              <w10:wrap type="none"/>
            </v:shape>
          </w:pict>
        </mc:Fallback>
      </mc:AlternateContent>
    </w: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66496">
              <wp:simplePos x="0" y="0"/>
              <wp:positionH relativeFrom="page">
                <wp:posOffset>3771900</wp:posOffset>
              </wp:positionH>
              <wp:positionV relativeFrom="page">
                <wp:posOffset>9416118</wp:posOffset>
              </wp:positionV>
              <wp:extent cx="241300" cy="194310"/>
              <wp:effectExtent l="0" t="0" r="0" b="0"/>
              <wp:wrapNone/>
              <wp:docPr id="62" name="Textbox 62"/>
              <wp:cNvGraphicFramePr>
                <a:graphicFrameLocks/>
              </wp:cNvGraphicFramePr>
              <a:graphic>
                <a:graphicData uri="http://schemas.microsoft.com/office/word/2010/wordprocessingShape">
                  <wps:wsp>
                    <wps:cNvPr id="62" name="Textbox 62"/>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49984" type="#_x0000_t202" id="docshape6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40</w:t>
                    </w:r>
                    <w:r>
                      <w:rPr>
                        <w:rFonts w:ascii="Times New Roman"/>
                        <w:spacing w:val="-5"/>
                      </w:rPr>
                      <w:fldChar w:fldCharType="end"/>
                    </w:r>
                  </w:p>
                </w:txbxContent>
              </v:textbox>
              <w10:wrap type="none"/>
            </v:shape>
          </w:pict>
        </mc:Fallback>
      </mc:AlternateContent>
    </w:r>
  </w:p>
</w:ftr>
</file>

<file path=word/footer29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13280">
              <wp:simplePos x="0" y="0"/>
              <wp:positionH relativeFrom="page">
                <wp:posOffset>3732276</wp:posOffset>
              </wp:positionH>
              <wp:positionV relativeFrom="page">
                <wp:posOffset>9522798</wp:posOffset>
              </wp:positionV>
              <wp:extent cx="317500" cy="194310"/>
              <wp:effectExtent l="0" t="0" r="0" b="0"/>
              <wp:wrapNone/>
              <wp:docPr id="570" name="Textbox 570"/>
              <wp:cNvGraphicFramePr>
                <a:graphicFrameLocks/>
              </wp:cNvGraphicFramePr>
              <a:graphic>
                <a:graphicData uri="http://schemas.microsoft.com/office/word/2010/wordprocessingShape">
                  <wps:wsp>
                    <wps:cNvPr id="570" name="Textbox 57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403200" type="#_x0000_t202" id="docshape56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272</w:t>
                    </w:r>
                    <w:r>
                      <w:rPr>
                        <w:rFonts w:ascii="Times New Roman"/>
                        <w:spacing w:val="-5"/>
                      </w:rPr>
                      <w:fldChar w:fldCharType="end"/>
                    </w:r>
                  </w:p>
                </w:txbxContent>
              </v:textbox>
              <w10:wrap type="none"/>
            </v:shape>
          </w:pict>
        </mc:Fallback>
      </mc:AlternateContent>
    </w:r>
  </w:p>
</w:ftr>
</file>

<file path=word/footer29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14304">
              <wp:simplePos x="0" y="0"/>
              <wp:positionH relativeFrom="page">
                <wp:posOffset>3732276</wp:posOffset>
              </wp:positionH>
              <wp:positionV relativeFrom="page">
                <wp:posOffset>9522798</wp:posOffset>
              </wp:positionV>
              <wp:extent cx="317500" cy="194310"/>
              <wp:effectExtent l="0" t="0" r="0" b="0"/>
              <wp:wrapNone/>
              <wp:docPr id="573" name="Textbox 573"/>
              <wp:cNvGraphicFramePr>
                <a:graphicFrameLocks/>
              </wp:cNvGraphicFramePr>
              <a:graphic>
                <a:graphicData uri="http://schemas.microsoft.com/office/word/2010/wordprocessingShape">
                  <wps:wsp>
                    <wps:cNvPr id="573" name="Textbox 57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402176" type="#_x0000_t202" id="docshape57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273</w:t>
                    </w:r>
                    <w:r>
                      <w:rPr>
                        <w:rFonts w:ascii="Times New Roman"/>
                        <w:spacing w:val="-5"/>
                      </w:rPr>
                      <w:fldChar w:fldCharType="end"/>
                    </w:r>
                  </w:p>
                </w:txbxContent>
              </v:textbox>
              <w10:wrap type="none"/>
            </v:shape>
          </w:pict>
        </mc:Fallback>
      </mc:AlternateContent>
    </w:r>
  </w:p>
</w:ftr>
</file>

<file path=word/footer29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15328">
              <wp:simplePos x="0" y="0"/>
              <wp:positionH relativeFrom="page">
                <wp:posOffset>3732276</wp:posOffset>
              </wp:positionH>
              <wp:positionV relativeFrom="page">
                <wp:posOffset>9522798</wp:posOffset>
              </wp:positionV>
              <wp:extent cx="317500" cy="194310"/>
              <wp:effectExtent l="0" t="0" r="0" b="0"/>
              <wp:wrapNone/>
              <wp:docPr id="575" name="Textbox 575"/>
              <wp:cNvGraphicFramePr>
                <a:graphicFrameLocks/>
              </wp:cNvGraphicFramePr>
              <a:graphic>
                <a:graphicData uri="http://schemas.microsoft.com/office/word/2010/wordprocessingShape">
                  <wps:wsp>
                    <wps:cNvPr id="575" name="Textbox 57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401152" type="#_x0000_t202" id="docshape57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274</w:t>
                    </w:r>
                    <w:r>
                      <w:rPr>
                        <w:rFonts w:ascii="Times New Roman"/>
                        <w:spacing w:val="-5"/>
                      </w:rPr>
                      <w:fldChar w:fldCharType="end"/>
                    </w:r>
                  </w:p>
                </w:txbxContent>
              </v:textbox>
              <w10:wrap type="none"/>
            </v:shape>
          </w:pict>
        </mc:Fallback>
      </mc:AlternateContent>
    </w:r>
  </w:p>
</w:ftr>
</file>

<file path=word/footer29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16352">
              <wp:simplePos x="0" y="0"/>
              <wp:positionH relativeFrom="page">
                <wp:posOffset>3732276</wp:posOffset>
              </wp:positionH>
              <wp:positionV relativeFrom="page">
                <wp:posOffset>9522798</wp:posOffset>
              </wp:positionV>
              <wp:extent cx="317500" cy="194310"/>
              <wp:effectExtent l="0" t="0" r="0" b="0"/>
              <wp:wrapNone/>
              <wp:docPr id="577" name="Textbox 577"/>
              <wp:cNvGraphicFramePr>
                <a:graphicFrameLocks/>
              </wp:cNvGraphicFramePr>
              <a:graphic>
                <a:graphicData uri="http://schemas.microsoft.com/office/word/2010/wordprocessingShape">
                  <wps:wsp>
                    <wps:cNvPr id="577" name="Textbox 57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400128" type="#_x0000_t202" id="docshape57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275</w:t>
                    </w:r>
                    <w:r>
                      <w:rPr>
                        <w:rFonts w:ascii="Times New Roman"/>
                        <w:spacing w:val="-5"/>
                      </w:rPr>
                      <w:fldChar w:fldCharType="end"/>
                    </w:r>
                  </w:p>
                </w:txbxContent>
              </v:textbox>
              <w10:wrap type="none"/>
            </v:shape>
          </w:pict>
        </mc:Fallback>
      </mc:AlternateContent>
    </w:r>
  </w:p>
</w:ftr>
</file>

<file path=word/footer29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17376">
              <wp:simplePos x="0" y="0"/>
              <wp:positionH relativeFrom="page">
                <wp:posOffset>3732276</wp:posOffset>
              </wp:positionH>
              <wp:positionV relativeFrom="page">
                <wp:posOffset>9522798</wp:posOffset>
              </wp:positionV>
              <wp:extent cx="317500" cy="194310"/>
              <wp:effectExtent l="0" t="0" r="0" b="0"/>
              <wp:wrapNone/>
              <wp:docPr id="579" name="Textbox 579"/>
              <wp:cNvGraphicFramePr>
                <a:graphicFrameLocks/>
              </wp:cNvGraphicFramePr>
              <a:graphic>
                <a:graphicData uri="http://schemas.microsoft.com/office/word/2010/wordprocessingShape">
                  <wps:wsp>
                    <wps:cNvPr id="579" name="Textbox 57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99104" type="#_x0000_t202" id="docshape57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276</w:t>
                    </w:r>
                    <w:r>
                      <w:rPr>
                        <w:rFonts w:ascii="Times New Roman"/>
                        <w:spacing w:val="-5"/>
                      </w:rPr>
                      <w:fldChar w:fldCharType="end"/>
                    </w:r>
                  </w:p>
                </w:txbxContent>
              </v:textbox>
              <w10:wrap type="none"/>
            </v:shape>
          </w:pict>
        </mc:Fallback>
      </mc:AlternateContent>
    </w:r>
  </w:p>
</w:ftr>
</file>

<file path=word/footer29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18400">
              <wp:simplePos x="0" y="0"/>
              <wp:positionH relativeFrom="page">
                <wp:posOffset>3732276</wp:posOffset>
              </wp:positionH>
              <wp:positionV relativeFrom="page">
                <wp:posOffset>9522798</wp:posOffset>
              </wp:positionV>
              <wp:extent cx="317500" cy="194310"/>
              <wp:effectExtent l="0" t="0" r="0" b="0"/>
              <wp:wrapNone/>
              <wp:docPr id="581" name="Textbox 581"/>
              <wp:cNvGraphicFramePr>
                <a:graphicFrameLocks/>
              </wp:cNvGraphicFramePr>
              <a:graphic>
                <a:graphicData uri="http://schemas.microsoft.com/office/word/2010/wordprocessingShape">
                  <wps:wsp>
                    <wps:cNvPr id="581" name="Textbox 58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98080" type="#_x0000_t202" id="docshape57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277</w:t>
                    </w:r>
                    <w:r>
                      <w:rPr>
                        <w:rFonts w:ascii="Times New Roman"/>
                        <w:spacing w:val="-5"/>
                      </w:rPr>
                      <w:fldChar w:fldCharType="end"/>
                    </w:r>
                  </w:p>
                </w:txbxContent>
              </v:textbox>
              <w10:wrap type="none"/>
            </v:shape>
          </w:pict>
        </mc:Fallback>
      </mc:AlternateContent>
    </w:r>
  </w:p>
</w:ftr>
</file>

<file path=word/footer29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19424">
              <wp:simplePos x="0" y="0"/>
              <wp:positionH relativeFrom="page">
                <wp:posOffset>3732276</wp:posOffset>
              </wp:positionH>
              <wp:positionV relativeFrom="page">
                <wp:posOffset>9522798</wp:posOffset>
              </wp:positionV>
              <wp:extent cx="317500" cy="194310"/>
              <wp:effectExtent l="0" t="0" r="0" b="0"/>
              <wp:wrapNone/>
              <wp:docPr id="583" name="Textbox 583"/>
              <wp:cNvGraphicFramePr>
                <a:graphicFrameLocks/>
              </wp:cNvGraphicFramePr>
              <a:graphic>
                <a:graphicData uri="http://schemas.microsoft.com/office/word/2010/wordprocessingShape">
                  <wps:wsp>
                    <wps:cNvPr id="583" name="Textbox 58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97056" type="#_x0000_t202" id="docshape58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278</w:t>
                    </w:r>
                    <w:r>
                      <w:rPr>
                        <w:rFonts w:ascii="Times New Roman"/>
                        <w:spacing w:val="-5"/>
                      </w:rPr>
                      <w:fldChar w:fldCharType="end"/>
                    </w:r>
                  </w:p>
                </w:txbxContent>
              </v:textbox>
              <w10:wrap type="none"/>
            </v:shape>
          </w:pict>
        </mc:Fallback>
      </mc:AlternateContent>
    </w:r>
  </w:p>
</w:ftr>
</file>

<file path=word/footer29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20448">
              <wp:simplePos x="0" y="0"/>
              <wp:positionH relativeFrom="page">
                <wp:posOffset>3732276</wp:posOffset>
              </wp:positionH>
              <wp:positionV relativeFrom="page">
                <wp:posOffset>9522798</wp:posOffset>
              </wp:positionV>
              <wp:extent cx="317500" cy="194310"/>
              <wp:effectExtent l="0" t="0" r="0" b="0"/>
              <wp:wrapNone/>
              <wp:docPr id="585" name="Textbox 585"/>
              <wp:cNvGraphicFramePr>
                <a:graphicFrameLocks/>
              </wp:cNvGraphicFramePr>
              <a:graphic>
                <a:graphicData uri="http://schemas.microsoft.com/office/word/2010/wordprocessingShape">
                  <wps:wsp>
                    <wps:cNvPr id="585" name="Textbox 58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96032" type="#_x0000_t202" id="docshape58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279</w:t>
                    </w:r>
                    <w:r>
                      <w:rPr>
                        <w:rFonts w:ascii="Times New Roman"/>
                        <w:spacing w:val="-5"/>
                      </w:rPr>
                      <w:fldChar w:fldCharType="end"/>
                    </w:r>
                  </w:p>
                </w:txbxContent>
              </v:textbox>
              <w10:wrap type="none"/>
            </v:shape>
          </w:pict>
        </mc:Fallback>
      </mc:AlternateContent>
    </w:r>
  </w:p>
</w:ftr>
</file>

<file path=word/footer29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21472">
              <wp:simplePos x="0" y="0"/>
              <wp:positionH relativeFrom="page">
                <wp:posOffset>3732276</wp:posOffset>
              </wp:positionH>
              <wp:positionV relativeFrom="page">
                <wp:posOffset>9522798</wp:posOffset>
              </wp:positionV>
              <wp:extent cx="317500" cy="194310"/>
              <wp:effectExtent l="0" t="0" r="0" b="0"/>
              <wp:wrapNone/>
              <wp:docPr id="587" name="Textbox 587"/>
              <wp:cNvGraphicFramePr>
                <a:graphicFrameLocks/>
              </wp:cNvGraphicFramePr>
              <a:graphic>
                <a:graphicData uri="http://schemas.microsoft.com/office/word/2010/wordprocessingShape">
                  <wps:wsp>
                    <wps:cNvPr id="587" name="Textbox 58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95008" type="#_x0000_t202" id="docshape58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280</w:t>
                    </w:r>
                    <w:r>
                      <w:rPr>
                        <w:rFonts w:ascii="Times New Roman"/>
                        <w:spacing w:val="-5"/>
                      </w:rPr>
                      <w:fldChar w:fldCharType="end"/>
                    </w:r>
                  </w:p>
                </w:txbxContent>
              </v:textbox>
              <w10:wrap type="none"/>
            </v:shape>
          </w:pict>
        </mc:Fallback>
      </mc:AlternateContent>
    </w:r>
  </w:p>
</w:ftr>
</file>

<file path=word/footer29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22496">
              <wp:simplePos x="0" y="0"/>
              <wp:positionH relativeFrom="page">
                <wp:posOffset>3732276</wp:posOffset>
              </wp:positionH>
              <wp:positionV relativeFrom="page">
                <wp:posOffset>9522798</wp:posOffset>
              </wp:positionV>
              <wp:extent cx="317500" cy="194310"/>
              <wp:effectExtent l="0" t="0" r="0" b="0"/>
              <wp:wrapNone/>
              <wp:docPr id="603" name="Textbox 603"/>
              <wp:cNvGraphicFramePr>
                <a:graphicFrameLocks/>
              </wp:cNvGraphicFramePr>
              <a:graphic>
                <a:graphicData uri="http://schemas.microsoft.com/office/word/2010/wordprocessingShape">
                  <wps:wsp>
                    <wps:cNvPr id="603" name="Textbox 60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93984" type="#_x0000_t202" id="docshape60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281</w:t>
                    </w:r>
                    <w:r>
                      <w:rPr>
                        <w:rFonts w:ascii="Times New Roman"/>
                        <w:spacing w:val="-5"/>
                      </w:rPr>
                      <w:fldChar w:fldCharType="end"/>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30656">
              <wp:simplePos x="0" y="0"/>
              <wp:positionH relativeFrom="page">
                <wp:posOffset>3808476</wp:posOffset>
              </wp:positionH>
              <wp:positionV relativeFrom="page">
                <wp:posOffset>9416118</wp:posOffset>
              </wp:positionV>
              <wp:extent cx="165100" cy="194310"/>
              <wp:effectExtent l="0" t="0" r="0" b="0"/>
              <wp:wrapNone/>
              <wp:docPr id="10" name="Textbox 10"/>
              <wp:cNvGraphicFramePr>
                <a:graphicFrameLocks/>
              </wp:cNvGraphicFramePr>
              <a:graphic>
                <a:graphicData uri="http://schemas.microsoft.com/office/word/2010/wordprocessingShape">
                  <wps:wsp>
                    <wps:cNvPr id="10" name="Textbox 10"/>
                    <wps:cNvSpPr txBox="1"/>
                    <wps:spPr>
                      <a:xfrm>
                        <a:off x="0" y="0"/>
                        <a:ext cx="165100" cy="194310"/>
                      </a:xfrm>
                      <a:prstGeom prst="rect">
                        <a:avLst/>
                      </a:prstGeom>
                    </wps:spPr>
                    <wps:txbx>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5</w:t>
                          </w:r>
                          <w:r>
                            <w:rPr>
                              <w:rFonts w:ascii="Times New Roman"/>
                              <w:spacing w:val="-10"/>
                            </w:rPr>
                            <w:fldChar w:fldCharType="end"/>
                          </w:r>
                        </w:p>
                      </w:txbxContent>
                    </wps:txbx>
                    <wps:bodyPr wrap="square" lIns="0" tIns="0" rIns="0" bIns="0" rtlCol="0">
                      <a:noAutofit/>
                    </wps:bodyPr>
                  </wps:wsp>
                </a:graphicData>
              </a:graphic>
            </wp:anchor>
          </w:drawing>
        </mc:Choice>
        <mc:Fallback>
          <w:pict>
            <v:shape style="position:absolute;margin-left:299.880005pt;margin-top:741.426636pt;width:13pt;height:15.3pt;mso-position-horizontal-relative:page;mso-position-vertical-relative:page;z-index:-36685824" type="#_x0000_t202" id="docshape10" filled="false" stroked="false">
              <v:textbox inset="0,0,0,0">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5</w:t>
                    </w:r>
                    <w:r>
                      <w:rPr>
                        <w:rFonts w:ascii="Times New Roman"/>
                        <w:spacing w:val="-10"/>
                      </w:rPr>
                      <w:fldChar w:fldCharType="end"/>
                    </w:r>
                  </w:p>
                </w:txbxContent>
              </v:textbox>
              <w10:wrap type="none"/>
            </v:shape>
          </w:pict>
        </mc:Fallback>
      </mc:AlternateContent>
    </w:r>
  </w:p>
</w:ftr>
</file>

<file path=word/footer3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67520">
              <wp:simplePos x="0" y="0"/>
              <wp:positionH relativeFrom="page">
                <wp:posOffset>3771900</wp:posOffset>
              </wp:positionH>
              <wp:positionV relativeFrom="page">
                <wp:posOffset>9416118</wp:posOffset>
              </wp:positionV>
              <wp:extent cx="241300" cy="194310"/>
              <wp:effectExtent l="0" t="0" r="0" b="0"/>
              <wp:wrapNone/>
              <wp:docPr id="64" name="Textbox 64"/>
              <wp:cNvGraphicFramePr>
                <a:graphicFrameLocks/>
              </wp:cNvGraphicFramePr>
              <a:graphic>
                <a:graphicData uri="http://schemas.microsoft.com/office/word/2010/wordprocessingShape">
                  <wps:wsp>
                    <wps:cNvPr id="64" name="Textbox 64"/>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48960" type="#_x0000_t202" id="docshape6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41</w:t>
                    </w:r>
                    <w:r>
                      <w:rPr>
                        <w:rFonts w:ascii="Times New Roman"/>
                        <w:spacing w:val="-5"/>
                      </w:rPr>
                      <w:fldChar w:fldCharType="end"/>
                    </w:r>
                  </w:p>
                </w:txbxContent>
              </v:textbox>
              <w10:wrap type="none"/>
            </v:shape>
          </w:pict>
        </mc:Fallback>
      </mc:AlternateContent>
    </w:r>
  </w:p>
</w:ftr>
</file>

<file path=word/footer30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23520">
              <wp:simplePos x="0" y="0"/>
              <wp:positionH relativeFrom="page">
                <wp:posOffset>3732276</wp:posOffset>
              </wp:positionH>
              <wp:positionV relativeFrom="page">
                <wp:posOffset>9522798</wp:posOffset>
              </wp:positionV>
              <wp:extent cx="317500" cy="194310"/>
              <wp:effectExtent l="0" t="0" r="0" b="0"/>
              <wp:wrapNone/>
              <wp:docPr id="610" name="Textbox 610"/>
              <wp:cNvGraphicFramePr>
                <a:graphicFrameLocks/>
              </wp:cNvGraphicFramePr>
              <a:graphic>
                <a:graphicData uri="http://schemas.microsoft.com/office/word/2010/wordprocessingShape">
                  <wps:wsp>
                    <wps:cNvPr id="610" name="Textbox 61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92960" type="#_x0000_t202" id="docshape60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282</w:t>
                    </w:r>
                    <w:r>
                      <w:rPr>
                        <w:rFonts w:ascii="Times New Roman"/>
                        <w:spacing w:val="-5"/>
                      </w:rPr>
                      <w:fldChar w:fldCharType="end"/>
                    </w:r>
                  </w:p>
                </w:txbxContent>
              </v:textbox>
              <w10:wrap type="none"/>
            </v:shape>
          </w:pict>
        </mc:Fallback>
      </mc:AlternateContent>
    </w:r>
  </w:p>
</w:ftr>
</file>

<file path=word/footer30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24544">
              <wp:simplePos x="0" y="0"/>
              <wp:positionH relativeFrom="page">
                <wp:posOffset>3732276</wp:posOffset>
              </wp:positionH>
              <wp:positionV relativeFrom="page">
                <wp:posOffset>9522798</wp:posOffset>
              </wp:positionV>
              <wp:extent cx="317500" cy="194310"/>
              <wp:effectExtent l="0" t="0" r="0" b="0"/>
              <wp:wrapNone/>
              <wp:docPr id="612" name="Textbox 612"/>
              <wp:cNvGraphicFramePr>
                <a:graphicFrameLocks/>
              </wp:cNvGraphicFramePr>
              <a:graphic>
                <a:graphicData uri="http://schemas.microsoft.com/office/word/2010/wordprocessingShape">
                  <wps:wsp>
                    <wps:cNvPr id="612" name="Textbox 61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91936" type="#_x0000_t202" id="docshape61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283</w:t>
                    </w:r>
                    <w:r>
                      <w:rPr>
                        <w:rFonts w:ascii="Times New Roman"/>
                        <w:spacing w:val="-5"/>
                      </w:rPr>
                      <w:fldChar w:fldCharType="end"/>
                    </w:r>
                  </w:p>
                </w:txbxContent>
              </v:textbox>
              <w10:wrap type="none"/>
            </v:shape>
          </w:pict>
        </mc:Fallback>
      </mc:AlternateContent>
    </w:r>
  </w:p>
</w:ftr>
</file>

<file path=word/footer30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25568">
              <wp:simplePos x="0" y="0"/>
              <wp:positionH relativeFrom="page">
                <wp:posOffset>3732276</wp:posOffset>
              </wp:positionH>
              <wp:positionV relativeFrom="page">
                <wp:posOffset>9522798</wp:posOffset>
              </wp:positionV>
              <wp:extent cx="317500" cy="194310"/>
              <wp:effectExtent l="0" t="0" r="0" b="0"/>
              <wp:wrapNone/>
              <wp:docPr id="614" name="Textbox 614"/>
              <wp:cNvGraphicFramePr>
                <a:graphicFrameLocks/>
              </wp:cNvGraphicFramePr>
              <a:graphic>
                <a:graphicData uri="http://schemas.microsoft.com/office/word/2010/wordprocessingShape">
                  <wps:wsp>
                    <wps:cNvPr id="614" name="Textbox 61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90912" type="#_x0000_t202" id="docshape61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284</w:t>
                    </w:r>
                    <w:r>
                      <w:rPr>
                        <w:rFonts w:ascii="Times New Roman"/>
                        <w:spacing w:val="-5"/>
                      </w:rPr>
                      <w:fldChar w:fldCharType="end"/>
                    </w:r>
                  </w:p>
                </w:txbxContent>
              </v:textbox>
              <w10:wrap type="none"/>
            </v:shape>
          </w:pict>
        </mc:Fallback>
      </mc:AlternateContent>
    </w:r>
  </w:p>
</w:ftr>
</file>

<file path=word/footer30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26592">
              <wp:simplePos x="0" y="0"/>
              <wp:positionH relativeFrom="page">
                <wp:posOffset>3732276</wp:posOffset>
              </wp:positionH>
              <wp:positionV relativeFrom="page">
                <wp:posOffset>9522798</wp:posOffset>
              </wp:positionV>
              <wp:extent cx="317500" cy="194310"/>
              <wp:effectExtent l="0" t="0" r="0" b="0"/>
              <wp:wrapNone/>
              <wp:docPr id="616" name="Textbox 616"/>
              <wp:cNvGraphicFramePr>
                <a:graphicFrameLocks/>
              </wp:cNvGraphicFramePr>
              <a:graphic>
                <a:graphicData uri="http://schemas.microsoft.com/office/word/2010/wordprocessingShape">
                  <wps:wsp>
                    <wps:cNvPr id="616" name="Textbox 61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89888" type="#_x0000_t202" id="docshape61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285</w:t>
                    </w:r>
                    <w:r>
                      <w:rPr>
                        <w:rFonts w:ascii="Times New Roman"/>
                        <w:spacing w:val="-5"/>
                      </w:rPr>
                      <w:fldChar w:fldCharType="end"/>
                    </w:r>
                  </w:p>
                </w:txbxContent>
              </v:textbox>
              <w10:wrap type="none"/>
            </v:shape>
          </w:pict>
        </mc:Fallback>
      </mc:AlternateContent>
    </w:r>
  </w:p>
</w:ftr>
</file>

<file path=word/footer30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27616">
              <wp:simplePos x="0" y="0"/>
              <wp:positionH relativeFrom="page">
                <wp:posOffset>3732276</wp:posOffset>
              </wp:positionH>
              <wp:positionV relativeFrom="page">
                <wp:posOffset>9522798</wp:posOffset>
              </wp:positionV>
              <wp:extent cx="317500" cy="194310"/>
              <wp:effectExtent l="0" t="0" r="0" b="0"/>
              <wp:wrapNone/>
              <wp:docPr id="618" name="Textbox 618"/>
              <wp:cNvGraphicFramePr>
                <a:graphicFrameLocks/>
              </wp:cNvGraphicFramePr>
              <a:graphic>
                <a:graphicData uri="http://schemas.microsoft.com/office/word/2010/wordprocessingShape">
                  <wps:wsp>
                    <wps:cNvPr id="618" name="Textbox 61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88864" type="#_x0000_t202" id="docshape61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286</w:t>
                    </w:r>
                    <w:r>
                      <w:rPr>
                        <w:rFonts w:ascii="Times New Roman"/>
                        <w:spacing w:val="-5"/>
                      </w:rPr>
                      <w:fldChar w:fldCharType="end"/>
                    </w:r>
                  </w:p>
                </w:txbxContent>
              </v:textbox>
              <w10:wrap type="none"/>
            </v:shape>
          </w:pict>
        </mc:Fallback>
      </mc:AlternateContent>
    </w:r>
  </w:p>
</w:ftr>
</file>

<file path=word/footer30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28640">
              <wp:simplePos x="0" y="0"/>
              <wp:positionH relativeFrom="page">
                <wp:posOffset>3732276</wp:posOffset>
              </wp:positionH>
              <wp:positionV relativeFrom="page">
                <wp:posOffset>9522798</wp:posOffset>
              </wp:positionV>
              <wp:extent cx="317500" cy="194310"/>
              <wp:effectExtent l="0" t="0" r="0" b="0"/>
              <wp:wrapNone/>
              <wp:docPr id="620" name="Textbox 620"/>
              <wp:cNvGraphicFramePr>
                <a:graphicFrameLocks/>
              </wp:cNvGraphicFramePr>
              <a:graphic>
                <a:graphicData uri="http://schemas.microsoft.com/office/word/2010/wordprocessingShape">
                  <wps:wsp>
                    <wps:cNvPr id="620" name="Textbox 62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87840" type="#_x0000_t202" id="docshape61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287</w:t>
                    </w:r>
                    <w:r>
                      <w:rPr>
                        <w:rFonts w:ascii="Times New Roman"/>
                        <w:spacing w:val="-5"/>
                      </w:rPr>
                      <w:fldChar w:fldCharType="end"/>
                    </w:r>
                  </w:p>
                </w:txbxContent>
              </v:textbox>
              <w10:wrap type="none"/>
            </v:shape>
          </w:pict>
        </mc:Fallback>
      </mc:AlternateContent>
    </w:r>
  </w:p>
</w:ftr>
</file>

<file path=word/footer30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29664">
              <wp:simplePos x="0" y="0"/>
              <wp:positionH relativeFrom="page">
                <wp:posOffset>3732276</wp:posOffset>
              </wp:positionH>
              <wp:positionV relativeFrom="page">
                <wp:posOffset>9522798</wp:posOffset>
              </wp:positionV>
              <wp:extent cx="317500" cy="194310"/>
              <wp:effectExtent l="0" t="0" r="0" b="0"/>
              <wp:wrapNone/>
              <wp:docPr id="622" name="Textbox 622"/>
              <wp:cNvGraphicFramePr>
                <a:graphicFrameLocks/>
              </wp:cNvGraphicFramePr>
              <a:graphic>
                <a:graphicData uri="http://schemas.microsoft.com/office/word/2010/wordprocessingShape">
                  <wps:wsp>
                    <wps:cNvPr id="622" name="Textbox 62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86816" type="#_x0000_t202" id="docshape62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288</w:t>
                    </w:r>
                    <w:r>
                      <w:rPr>
                        <w:rFonts w:ascii="Times New Roman"/>
                        <w:spacing w:val="-5"/>
                      </w:rPr>
                      <w:fldChar w:fldCharType="end"/>
                    </w:r>
                  </w:p>
                </w:txbxContent>
              </v:textbox>
              <w10:wrap type="none"/>
            </v:shape>
          </w:pict>
        </mc:Fallback>
      </mc:AlternateContent>
    </w:r>
  </w:p>
</w:ftr>
</file>

<file path=word/footer30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30688">
              <wp:simplePos x="0" y="0"/>
              <wp:positionH relativeFrom="page">
                <wp:posOffset>3732276</wp:posOffset>
              </wp:positionH>
              <wp:positionV relativeFrom="page">
                <wp:posOffset>9522798</wp:posOffset>
              </wp:positionV>
              <wp:extent cx="317500" cy="194310"/>
              <wp:effectExtent l="0" t="0" r="0" b="0"/>
              <wp:wrapNone/>
              <wp:docPr id="624" name="Textbox 624"/>
              <wp:cNvGraphicFramePr>
                <a:graphicFrameLocks/>
              </wp:cNvGraphicFramePr>
              <a:graphic>
                <a:graphicData uri="http://schemas.microsoft.com/office/word/2010/wordprocessingShape">
                  <wps:wsp>
                    <wps:cNvPr id="624" name="Textbox 62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85792" type="#_x0000_t202" id="docshape62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289</w:t>
                    </w:r>
                    <w:r>
                      <w:rPr>
                        <w:rFonts w:ascii="Times New Roman"/>
                        <w:spacing w:val="-5"/>
                      </w:rPr>
                      <w:fldChar w:fldCharType="end"/>
                    </w:r>
                  </w:p>
                </w:txbxContent>
              </v:textbox>
              <w10:wrap type="none"/>
            </v:shape>
          </w:pict>
        </mc:Fallback>
      </mc:AlternateContent>
    </w:r>
  </w:p>
</w:ftr>
</file>

<file path=word/footer30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31712">
              <wp:simplePos x="0" y="0"/>
              <wp:positionH relativeFrom="page">
                <wp:posOffset>3732276</wp:posOffset>
              </wp:positionH>
              <wp:positionV relativeFrom="page">
                <wp:posOffset>9522798</wp:posOffset>
              </wp:positionV>
              <wp:extent cx="317500" cy="194310"/>
              <wp:effectExtent l="0" t="0" r="0" b="0"/>
              <wp:wrapNone/>
              <wp:docPr id="626" name="Textbox 626"/>
              <wp:cNvGraphicFramePr>
                <a:graphicFrameLocks/>
              </wp:cNvGraphicFramePr>
              <a:graphic>
                <a:graphicData uri="http://schemas.microsoft.com/office/word/2010/wordprocessingShape">
                  <wps:wsp>
                    <wps:cNvPr id="626" name="Textbox 62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84768" type="#_x0000_t202" id="docshape62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290</w:t>
                    </w:r>
                    <w:r>
                      <w:rPr>
                        <w:rFonts w:ascii="Times New Roman"/>
                        <w:spacing w:val="-5"/>
                      </w:rPr>
                      <w:fldChar w:fldCharType="end"/>
                    </w:r>
                  </w:p>
                </w:txbxContent>
              </v:textbox>
              <w10:wrap type="none"/>
            </v:shape>
          </w:pict>
        </mc:Fallback>
      </mc:AlternateContent>
    </w:r>
  </w:p>
</w:ftr>
</file>

<file path=word/footer30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32736">
              <wp:simplePos x="0" y="0"/>
              <wp:positionH relativeFrom="page">
                <wp:posOffset>3732276</wp:posOffset>
              </wp:positionH>
              <wp:positionV relativeFrom="page">
                <wp:posOffset>9522798</wp:posOffset>
              </wp:positionV>
              <wp:extent cx="317500" cy="194310"/>
              <wp:effectExtent l="0" t="0" r="0" b="0"/>
              <wp:wrapNone/>
              <wp:docPr id="628" name="Textbox 628"/>
              <wp:cNvGraphicFramePr>
                <a:graphicFrameLocks/>
              </wp:cNvGraphicFramePr>
              <a:graphic>
                <a:graphicData uri="http://schemas.microsoft.com/office/word/2010/wordprocessingShape">
                  <wps:wsp>
                    <wps:cNvPr id="628" name="Textbox 62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83744" type="#_x0000_t202" id="docshape62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291</w:t>
                    </w:r>
                    <w:r>
                      <w:rPr>
                        <w:rFonts w:ascii="Times New Roman"/>
                        <w:spacing w:val="-5"/>
                      </w:rPr>
                      <w:fldChar w:fldCharType="end"/>
                    </w:r>
                  </w:p>
                </w:txbxContent>
              </v:textbox>
              <w10:wrap type="none"/>
            </v:shape>
          </w:pict>
        </mc:Fallback>
      </mc:AlternateContent>
    </w:r>
  </w:p>
</w:ftr>
</file>

<file path=word/footer3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68544">
              <wp:simplePos x="0" y="0"/>
              <wp:positionH relativeFrom="page">
                <wp:posOffset>3771900</wp:posOffset>
              </wp:positionH>
              <wp:positionV relativeFrom="page">
                <wp:posOffset>9416118</wp:posOffset>
              </wp:positionV>
              <wp:extent cx="241300" cy="194310"/>
              <wp:effectExtent l="0" t="0" r="0" b="0"/>
              <wp:wrapNone/>
              <wp:docPr id="66" name="Textbox 66"/>
              <wp:cNvGraphicFramePr>
                <a:graphicFrameLocks/>
              </wp:cNvGraphicFramePr>
              <a:graphic>
                <a:graphicData uri="http://schemas.microsoft.com/office/word/2010/wordprocessingShape">
                  <wps:wsp>
                    <wps:cNvPr id="66" name="Textbox 66"/>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47936" type="#_x0000_t202" id="docshape6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42</w:t>
                    </w:r>
                    <w:r>
                      <w:rPr>
                        <w:rFonts w:ascii="Times New Roman"/>
                        <w:spacing w:val="-5"/>
                      </w:rPr>
                      <w:fldChar w:fldCharType="end"/>
                    </w:r>
                  </w:p>
                </w:txbxContent>
              </v:textbox>
              <w10:wrap type="none"/>
            </v:shape>
          </w:pict>
        </mc:Fallback>
      </mc:AlternateContent>
    </w:r>
  </w:p>
</w:ftr>
</file>

<file path=word/footer3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33760">
              <wp:simplePos x="0" y="0"/>
              <wp:positionH relativeFrom="page">
                <wp:posOffset>3732276</wp:posOffset>
              </wp:positionH>
              <wp:positionV relativeFrom="page">
                <wp:posOffset>9522798</wp:posOffset>
              </wp:positionV>
              <wp:extent cx="317500" cy="194310"/>
              <wp:effectExtent l="0" t="0" r="0" b="0"/>
              <wp:wrapNone/>
              <wp:docPr id="630" name="Textbox 630"/>
              <wp:cNvGraphicFramePr>
                <a:graphicFrameLocks/>
              </wp:cNvGraphicFramePr>
              <a:graphic>
                <a:graphicData uri="http://schemas.microsoft.com/office/word/2010/wordprocessingShape">
                  <wps:wsp>
                    <wps:cNvPr id="630" name="Textbox 63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82720" type="#_x0000_t202" id="docshape62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292</w:t>
                    </w:r>
                    <w:r>
                      <w:rPr>
                        <w:rFonts w:ascii="Times New Roman"/>
                        <w:spacing w:val="-5"/>
                      </w:rPr>
                      <w:fldChar w:fldCharType="end"/>
                    </w:r>
                  </w:p>
                </w:txbxContent>
              </v:textbox>
              <w10:wrap type="none"/>
            </v:shape>
          </w:pict>
        </mc:Fallback>
      </mc:AlternateContent>
    </w:r>
  </w:p>
</w:ftr>
</file>

<file path=word/footer3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34784">
              <wp:simplePos x="0" y="0"/>
              <wp:positionH relativeFrom="page">
                <wp:posOffset>3732276</wp:posOffset>
              </wp:positionH>
              <wp:positionV relativeFrom="page">
                <wp:posOffset>9522798</wp:posOffset>
              </wp:positionV>
              <wp:extent cx="317500" cy="194310"/>
              <wp:effectExtent l="0" t="0" r="0" b="0"/>
              <wp:wrapNone/>
              <wp:docPr id="632" name="Textbox 632"/>
              <wp:cNvGraphicFramePr>
                <a:graphicFrameLocks/>
              </wp:cNvGraphicFramePr>
              <a:graphic>
                <a:graphicData uri="http://schemas.microsoft.com/office/word/2010/wordprocessingShape">
                  <wps:wsp>
                    <wps:cNvPr id="632" name="Textbox 63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81696" type="#_x0000_t202" id="docshape63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293</w:t>
                    </w:r>
                    <w:r>
                      <w:rPr>
                        <w:rFonts w:ascii="Times New Roman"/>
                        <w:spacing w:val="-5"/>
                      </w:rPr>
                      <w:fldChar w:fldCharType="end"/>
                    </w:r>
                  </w:p>
                </w:txbxContent>
              </v:textbox>
              <w10:wrap type="none"/>
            </v:shape>
          </w:pict>
        </mc:Fallback>
      </mc:AlternateContent>
    </w:r>
  </w:p>
</w:ftr>
</file>

<file path=word/footer3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35808">
              <wp:simplePos x="0" y="0"/>
              <wp:positionH relativeFrom="page">
                <wp:posOffset>3732276</wp:posOffset>
              </wp:positionH>
              <wp:positionV relativeFrom="page">
                <wp:posOffset>9522798</wp:posOffset>
              </wp:positionV>
              <wp:extent cx="317500" cy="194310"/>
              <wp:effectExtent l="0" t="0" r="0" b="0"/>
              <wp:wrapNone/>
              <wp:docPr id="634" name="Textbox 634"/>
              <wp:cNvGraphicFramePr>
                <a:graphicFrameLocks/>
              </wp:cNvGraphicFramePr>
              <a:graphic>
                <a:graphicData uri="http://schemas.microsoft.com/office/word/2010/wordprocessingShape">
                  <wps:wsp>
                    <wps:cNvPr id="634" name="Textbox 63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80672" type="#_x0000_t202" id="docshape63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294</w:t>
                    </w:r>
                    <w:r>
                      <w:rPr>
                        <w:rFonts w:ascii="Times New Roman"/>
                        <w:spacing w:val="-5"/>
                      </w:rPr>
                      <w:fldChar w:fldCharType="end"/>
                    </w:r>
                  </w:p>
                </w:txbxContent>
              </v:textbox>
              <w10:wrap type="none"/>
            </v:shape>
          </w:pict>
        </mc:Fallback>
      </mc:AlternateContent>
    </w:r>
  </w:p>
</w:ftr>
</file>

<file path=word/footer3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36832">
              <wp:simplePos x="0" y="0"/>
              <wp:positionH relativeFrom="page">
                <wp:posOffset>3732276</wp:posOffset>
              </wp:positionH>
              <wp:positionV relativeFrom="page">
                <wp:posOffset>9522798</wp:posOffset>
              </wp:positionV>
              <wp:extent cx="317500" cy="194310"/>
              <wp:effectExtent l="0" t="0" r="0" b="0"/>
              <wp:wrapNone/>
              <wp:docPr id="636" name="Textbox 636"/>
              <wp:cNvGraphicFramePr>
                <a:graphicFrameLocks/>
              </wp:cNvGraphicFramePr>
              <a:graphic>
                <a:graphicData uri="http://schemas.microsoft.com/office/word/2010/wordprocessingShape">
                  <wps:wsp>
                    <wps:cNvPr id="636" name="Textbox 63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79648" type="#_x0000_t202" id="docshape63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295</w:t>
                    </w:r>
                    <w:r>
                      <w:rPr>
                        <w:rFonts w:ascii="Times New Roman"/>
                        <w:spacing w:val="-5"/>
                      </w:rPr>
                      <w:fldChar w:fldCharType="end"/>
                    </w:r>
                  </w:p>
                </w:txbxContent>
              </v:textbox>
              <w10:wrap type="none"/>
            </v:shape>
          </w:pict>
        </mc:Fallback>
      </mc:AlternateContent>
    </w:r>
  </w:p>
</w:ftr>
</file>

<file path=word/footer3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37856">
              <wp:simplePos x="0" y="0"/>
              <wp:positionH relativeFrom="page">
                <wp:posOffset>3732276</wp:posOffset>
              </wp:positionH>
              <wp:positionV relativeFrom="page">
                <wp:posOffset>9522798</wp:posOffset>
              </wp:positionV>
              <wp:extent cx="317500" cy="194310"/>
              <wp:effectExtent l="0" t="0" r="0" b="0"/>
              <wp:wrapNone/>
              <wp:docPr id="638" name="Textbox 638"/>
              <wp:cNvGraphicFramePr>
                <a:graphicFrameLocks/>
              </wp:cNvGraphicFramePr>
              <a:graphic>
                <a:graphicData uri="http://schemas.microsoft.com/office/word/2010/wordprocessingShape">
                  <wps:wsp>
                    <wps:cNvPr id="638" name="Textbox 63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78624" type="#_x0000_t202" id="docshape63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296</w:t>
                    </w:r>
                    <w:r>
                      <w:rPr>
                        <w:rFonts w:ascii="Times New Roman"/>
                        <w:spacing w:val="-5"/>
                      </w:rPr>
                      <w:fldChar w:fldCharType="end"/>
                    </w:r>
                  </w:p>
                </w:txbxContent>
              </v:textbox>
              <w10:wrap type="none"/>
            </v:shape>
          </w:pict>
        </mc:Fallback>
      </mc:AlternateContent>
    </w:r>
  </w:p>
</w:ftr>
</file>

<file path=word/footer3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38880">
              <wp:simplePos x="0" y="0"/>
              <wp:positionH relativeFrom="page">
                <wp:posOffset>3732276</wp:posOffset>
              </wp:positionH>
              <wp:positionV relativeFrom="page">
                <wp:posOffset>9522798</wp:posOffset>
              </wp:positionV>
              <wp:extent cx="317500" cy="194310"/>
              <wp:effectExtent l="0" t="0" r="0" b="0"/>
              <wp:wrapNone/>
              <wp:docPr id="641" name="Textbox 641"/>
              <wp:cNvGraphicFramePr>
                <a:graphicFrameLocks/>
              </wp:cNvGraphicFramePr>
              <a:graphic>
                <a:graphicData uri="http://schemas.microsoft.com/office/word/2010/wordprocessingShape">
                  <wps:wsp>
                    <wps:cNvPr id="641" name="Textbox 64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77600" type="#_x0000_t202" id="docshape63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297</w:t>
                    </w:r>
                    <w:r>
                      <w:rPr>
                        <w:rFonts w:ascii="Times New Roman"/>
                        <w:spacing w:val="-5"/>
                      </w:rPr>
                      <w:fldChar w:fldCharType="end"/>
                    </w:r>
                  </w:p>
                </w:txbxContent>
              </v:textbox>
              <w10:wrap type="none"/>
            </v:shape>
          </w:pict>
        </mc:Fallback>
      </mc:AlternateContent>
    </w:r>
  </w:p>
</w:ftr>
</file>

<file path=word/footer3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39392">
              <wp:simplePos x="0" y="0"/>
              <wp:positionH relativeFrom="page">
                <wp:posOffset>3732276</wp:posOffset>
              </wp:positionH>
              <wp:positionV relativeFrom="page">
                <wp:posOffset>9522798</wp:posOffset>
              </wp:positionV>
              <wp:extent cx="317500" cy="194310"/>
              <wp:effectExtent l="0" t="0" r="0" b="0"/>
              <wp:wrapNone/>
              <wp:docPr id="643" name="Textbox 643"/>
              <wp:cNvGraphicFramePr>
                <a:graphicFrameLocks/>
              </wp:cNvGraphicFramePr>
              <a:graphic>
                <a:graphicData uri="http://schemas.microsoft.com/office/word/2010/wordprocessingShape">
                  <wps:wsp>
                    <wps:cNvPr id="643" name="Textbox 64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77088" type="#_x0000_t202" id="docshape63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298</w:t>
                    </w:r>
                    <w:r>
                      <w:rPr>
                        <w:rFonts w:ascii="Times New Roman"/>
                        <w:spacing w:val="-5"/>
                      </w:rPr>
                      <w:fldChar w:fldCharType="end"/>
                    </w:r>
                  </w:p>
                </w:txbxContent>
              </v:textbox>
              <w10:wrap type="none"/>
            </v:shape>
          </w:pict>
        </mc:Fallback>
      </mc:AlternateContent>
    </w:r>
  </w:p>
</w:ftr>
</file>

<file path=word/footer3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40416">
              <wp:simplePos x="0" y="0"/>
              <wp:positionH relativeFrom="page">
                <wp:posOffset>3732276</wp:posOffset>
              </wp:positionH>
              <wp:positionV relativeFrom="page">
                <wp:posOffset>9522798</wp:posOffset>
              </wp:positionV>
              <wp:extent cx="317500" cy="194310"/>
              <wp:effectExtent l="0" t="0" r="0" b="0"/>
              <wp:wrapNone/>
              <wp:docPr id="648" name="Textbox 648"/>
              <wp:cNvGraphicFramePr>
                <a:graphicFrameLocks/>
              </wp:cNvGraphicFramePr>
              <a:graphic>
                <a:graphicData uri="http://schemas.microsoft.com/office/word/2010/wordprocessingShape">
                  <wps:wsp>
                    <wps:cNvPr id="648" name="Textbox 64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76064" type="#_x0000_t202" id="docshape64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299</w:t>
                    </w:r>
                    <w:r>
                      <w:rPr>
                        <w:rFonts w:ascii="Times New Roman"/>
                        <w:spacing w:val="-5"/>
                      </w:rPr>
                      <w:fldChar w:fldCharType="end"/>
                    </w:r>
                  </w:p>
                </w:txbxContent>
              </v:textbox>
              <w10:wrap type="none"/>
            </v:shape>
          </w:pict>
        </mc:Fallback>
      </mc:AlternateContent>
    </w:r>
  </w:p>
</w:ftr>
</file>

<file path=word/footer3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41440">
              <wp:simplePos x="0" y="0"/>
              <wp:positionH relativeFrom="page">
                <wp:posOffset>3732276</wp:posOffset>
              </wp:positionH>
              <wp:positionV relativeFrom="page">
                <wp:posOffset>9522798</wp:posOffset>
              </wp:positionV>
              <wp:extent cx="317500" cy="194310"/>
              <wp:effectExtent l="0" t="0" r="0" b="0"/>
              <wp:wrapNone/>
              <wp:docPr id="651" name="Textbox 651"/>
              <wp:cNvGraphicFramePr>
                <a:graphicFrameLocks/>
              </wp:cNvGraphicFramePr>
              <a:graphic>
                <a:graphicData uri="http://schemas.microsoft.com/office/word/2010/wordprocessingShape">
                  <wps:wsp>
                    <wps:cNvPr id="651" name="Textbox 65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75040" type="#_x0000_t202" id="docshape64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300</w:t>
                    </w:r>
                    <w:r>
                      <w:rPr>
                        <w:rFonts w:ascii="Times New Roman"/>
                        <w:spacing w:val="-5"/>
                      </w:rPr>
                      <w:fldChar w:fldCharType="end"/>
                    </w:r>
                  </w:p>
                </w:txbxContent>
              </v:textbox>
              <w10:wrap type="none"/>
            </v:shape>
          </w:pict>
        </mc:Fallback>
      </mc:AlternateContent>
    </w:r>
  </w:p>
</w:ftr>
</file>

<file path=word/footer3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42464">
              <wp:simplePos x="0" y="0"/>
              <wp:positionH relativeFrom="page">
                <wp:posOffset>3732276</wp:posOffset>
              </wp:positionH>
              <wp:positionV relativeFrom="page">
                <wp:posOffset>9522798</wp:posOffset>
              </wp:positionV>
              <wp:extent cx="317500" cy="194310"/>
              <wp:effectExtent l="0" t="0" r="0" b="0"/>
              <wp:wrapNone/>
              <wp:docPr id="654" name="Textbox 654"/>
              <wp:cNvGraphicFramePr>
                <a:graphicFrameLocks/>
              </wp:cNvGraphicFramePr>
              <a:graphic>
                <a:graphicData uri="http://schemas.microsoft.com/office/word/2010/wordprocessingShape">
                  <wps:wsp>
                    <wps:cNvPr id="654" name="Textbox 65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74016" type="#_x0000_t202" id="docshape64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301</w:t>
                    </w:r>
                    <w:r>
                      <w:rPr>
                        <w:rFonts w:ascii="Times New Roman"/>
                        <w:spacing w:val="-5"/>
                      </w:rPr>
                      <w:fldChar w:fldCharType="end"/>
                    </w:r>
                  </w:p>
                </w:txbxContent>
              </v:textbox>
              <w10:wrap type="none"/>
            </v:shape>
          </w:pict>
        </mc:Fallback>
      </mc:AlternateContent>
    </w:r>
  </w:p>
</w:ftr>
</file>

<file path=word/footer3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69568">
              <wp:simplePos x="0" y="0"/>
              <wp:positionH relativeFrom="page">
                <wp:posOffset>3771900</wp:posOffset>
              </wp:positionH>
              <wp:positionV relativeFrom="page">
                <wp:posOffset>9416118</wp:posOffset>
              </wp:positionV>
              <wp:extent cx="241300" cy="194310"/>
              <wp:effectExtent l="0" t="0" r="0" b="0"/>
              <wp:wrapNone/>
              <wp:docPr id="68" name="Textbox 68"/>
              <wp:cNvGraphicFramePr>
                <a:graphicFrameLocks/>
              </wp:cNvGraphicFramePr>
              <a:graphic>
                <a:graphicData uri="http://schemas.microsoft.com/office/word/2010/wordprocessingShape">
                  <wps:wsp>
                    <wps:cNvPr id="68" name="Textbox 68"/>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46912" type="#_x0000_t202" id="docshape6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43</w:t>
                    </w:r>
                    <w:r>
                      <w:rPr>
                        <w:rFonts w:ascii="Times New Roman"/>
                        <w:spacing w:val="-5"/>
                      </w:rPr>
                      <w:fldChar w:fldCharType="end"/>
                    </w:r>
                  </w:p>
                </w:txbxContent>
              </v:textbox>
              <w10:wrap type="none"/>
            </v:shape>
          </w:pict>
        </mc:Fallback>
      </mc:AlternateContent>
    </w:r>
  </w:p>
</w:ftr>
</file>

<file path=word/footer3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43488">
              <wp:simplePos x="0" y="0"/>
              <wp:positionH relativeFrom="page">
                <wp:posOffset>3732276</wp:posOffset>
              </wp:positionH>
              <wp:positionV relativeFrom="page">
                <wp:posOffset>9522798</wp:posOffset>
              </wp:positionV>
              <wp:extent cx="317500" cy="194310"/>
              <wp:effectExtent l="0" t="0" r="0" b="0"/>
              <wp:wrapNone/>
              <wp:docPr id="657" name="Textbox 657"/>
              <wp:cNvGraphicFramePr>
                <a:graphicFrameLocks/>
              </wp:cNvGraphicFramePr>
              <a:graphic>
                <a:graphicData uri="http://schemas.microsoft.com/office/word/2010/wordprocessingShape">
                  <wps:wsp>
                    <wps:cNvPr id="657" name="Textbox 65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72992" type="#_x0000_t202" id="docshape65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302</w:t>
                    </w:r>
                    <w:r>
                      <w:rPr>
                        <w:rFonts w:ascii="Times New Roman"/>
                        <w:spacing w:val="-5"/>
                      </w:rPr>
                      <w:fldChar w:fldCharType="end"/>
                    </w:r>
                  </w:p>
                </w:txbxContent>
              </v:textbox>
              <w10:wrap type="none"/>
            </v:shape>
          </w:pict>
        </mc:Fallback>
      </mc:AlternateContent>
    </w:r>
  </w:p>
</w:ftr>
</file>

<file path=word/footer3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44512">
              <wp:simplePos x="0" y="0"/>
              <wp:positionH relativeFrom="page">
                <wp:posOffset>3732276</wp:posOffset>
              </wp:positionH>
              <wp:positionV relativeFrom="page">
                <wp:posOffset>9522798</wp:posOffset>
              </wp:positionV>
              <wp:extent cx="317500" cy="194310"/>
              <wp:effectExtent l="0" t="0" r="0" b="0"/>
              <wp:wrapNone/>
              <wp:docPr id="660" name="Textbox 660"/>
              <wp:cNvGraphicFramePr>
                <a:graphicFrameLocks/>
              </wp:cNvGraphicFramePr>
              <a:graphic>
                <a:graphicData uri="http://schemas.microsoft.com/office/word/2010/wordprocessingShape">
                  <wps:wsp>
                    <wps:cNvPr id="660" name="Textbox 66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71968" type="#_x0000_t202" id="docshape65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303</w:t>
                    </w:r>
                    <w:r>
                      <w:rPr>
                        <w:rFonts w:ascii="Times New Roman"/>
                        <w:spacing w:val="-5"/>
                      </w:rPr>
                      <w:fldChar w:fldCharType="end"/>
                    </w:r>
                  </w:p>
                </w:txbxContent>
              </v:textbox>
              <w10:wrap type="none"/>
            </v:shape>
          </w:pict>
        </mc:Fallback>
      </mc:AlternateContent>
    </w:r>
  </w:p>
</w:ftr>
</file>

<file path=word/footer3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45536">
              <wp:simplePos x="0" y="0"/>
              <wp:positionH relativeFrom="page">
                <wp:posOffset>3732276</wp:posOffset>
              </wp:positionH>
              <wp:positionV relativeFrom="page">
                <wp:posOffset>9522798</wp:posOffset>
              </wp:positionV>
              <wp:extent cx="317500" cy="194310"/>
              <wp:effectExtent l="0" t="0" r="0" b="0"/>
              <wp:wrapNone/>
              <wp:docPr id="663" name="Textbox 663"/>
              <wp:cNvGraphicFramePr>
                <a:graphicFrameLocks/>
              </wp:cNvGraphicFramePr>
              <a:graphic>
                <a:graphicData uri="http://schemas.microsoft.com/office/word/2010/wordprocessingShape">
                  <wps:wsp>
                    <wps:cNvPr id="663" name="Textbox 66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9.82666pt;width:25pt;height:15.3pt;mso-position-horizontal-relative:page;mso-position-vertical-relative:page;z-index:-36370944" type="#_x0000_t202" id="docshape65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304</w:t>
                    </w:r>
                    <w:r>
                      <w:rPr>
                        <w:rFonts w:ascii="Times New Roman"/>
                        <w:spacing w:val="-5"/>
                      </w:rPr>
                      <w:fldChar w:fldCharType="end"/>
                    </w:r>
                  </w:p>
                </w:txbxContent>
              </v:textbox>
              <w10:wrap type="none"/>
            </v:shape>
          </w:pict>
        </mc:Fallback>
      </mc:AlternateContent>
    </w:r>
  </w:p>
</w:ftr>
</file>

<file path=word/footer3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70592">
              <wp:simplePos x="0" y="0"/>
              <wp:positionH relativeFrom="page">
                <wp:posOffset>3771900</wp:posOffset>
              </wp:positionH>
              <wp:positionV relativeFrom="page">
                <wp:posOffset>9416118</wp:posOffset>
              </wp:positionV>
              <wp:extent cx="241300" cy="194310"/>
              <wp:effectExtent l="0" t="0" r="0" b="0"/>
              <wp:wrapNone/>
              <wp:docPr id="70" name="Textbox 70"/>
              <wp:cNvGraphicFramePr>
                <a:graphicFrameLocks/>
              </wp:cNvGraphicFramePr>
              <a:graphic>
                <a:graphicData uri="http://schemas.microsoft.com/office/word/2010/wordprocessingShape">
                  <wps:wsp>
                    <wps:cNvPr id="70" name="Textbox 70"/>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45888" type="#_x0000_t202" id="docshape7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44</w:t>
                    </w:r>
                    <w:r>
                      <w:rPr>
                        <w:rFonts w:ascii="Times New Roman"/>
                        <w:spacing w:val="-5"/>
                      </w:rPr>
                      <w:fldChar w:fldCharType="end"/>
                    </w:r>
                  </w:p>
                </w:txbxContent>
              </v:textbox>
              <w10:wrap type="none"/>
            </v:shape>
          </w:pict>
        </mc:Fallback>
      </mc:AlternateContent>
    </w:r>
  </w:p>
</w:ftr>
</file>

<file path=word/footer3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71616">
              <wp:simplePos x="0" y="0"/>
              <wp:positionH relativeFrom="page">
                <wp:posOffset>3771900</wp:posOffset>
              </wp:positionH>
              <wp:positionV relativeFrom="page">
                <wp:posOffset>9416118</wp:posOffset>
              </wp:positionV>
              <wp:extent cx="241300" cy="194310"/>
              <wp:effectExtent l="0" t="0" r="0" b="0"/>
              <wp:wrapNone/>
              <wp:docPr id="72" name="Textbox 72"/>
              <wp:cNvGraphicFramePr>
                <a:graphicFrameLocks/>
              </wp:cNvGraphicFramePr>
              <a:graphic>
                <a:graphicData uri="http://schemas.microsoft.com/office/word/2010/wordprocessingShape">
                  <wps:wsp>
                    <wps:cNvPr id="72" name="Textbox 72"/>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44864" type="#_x0000_t202" id="docshape7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45</w:t>
                    </w:r>
                    <w:r>
                      <w:rPr>
                        <w:rFonts w:ascii="Times New Roman"/>
                        <w:spacing w:val="-5"/>
                      </w:rPr>
                      <w:fldChar w:fldCharType="end"/>
                    </w:r>
                  </w:p>
                </w:txbxContent>
              </v:textbox>
              <w10:wrap type="none"/>
            </v:shape>
          </w:pict>
        </mc:Fallback>
      </mc:AlternateContent>
    </w:r>
  </w:p>
</w:ftr>
</file>

<file path=word/footer3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72640">
              <wp:simplePos x="0" y="0"/>
              <wp:positionH relativeFrom="page">
                <wp:posOffset>3771900</wp:posOffset>
              </wp:positionH>
              <wp:positionV relativeFrom="page">
                <wp:posOffset>9416118</wp:posOffset>
              </wp:positionV>
              <wp:extent cx="241300" cy="194310"/>
              <wp:effectExtent l="0" t="0" r="0" b="0"/>
              <wp:wrapNone/>
              <wp:docPr id="74" name="Textbox 74"/>
              <wp:cNvGraphicFramePr>
                <a:graphicFrameLocks/>
              </wp:cNvGraphicFramePr>
              <a:graphic>
                <a:graphicData uri="http://schemas.microsoft.com/office/word/2010/wordprocessingShape">
                  <wps:wsp>
                    <wps:cNvPr id="74" name="Textbox 74"/>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43840" type="#_x0000_t202" id="docshape7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46</w:t>
                    </w:r>
                    <w:r>
                      <w:rPr>
                        <w:rFonts w:ascii="Times New Roman"/>
                        <w:spacing w:val="-5"/>
                      </w:rPr>
                      <w:fldChar w:fldCharType="end"/>
                    </w:r>
                  </w:p>
                </w:txbxContent>
              </v:textbox>
              <w10:wrap type="none"/>
            </v:shape>
          </w:pict>
        </mc:Fallback>
      </mc:AlternateContent>
    </w:r>
  </w:p>
</w:ftr>
</file>

<file path=word/footer3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73664">
              <wp:simplePos x="0" y="0"/>
              <wp:positionH relativeFrom="page">
                <wp:posOffset>3771900</wp:posOffset>
              </wp:positionH>
              <wp:positionV relativeFrom="page">
                <wp:posOffset>9416118</wp:posOffset>
              </wp:positionV>
              <wp:extent cx="241300" cy="194310"/>
              <wp:effectExtent l="0" t="0" r="0" b="0"/>
              <wp:wrapNone/>
              <wp:docPr id="76" name="Textbox 76"/>
              <wp:cNvGraphicFramePr>
                <a:graphicFrameLocks/>
              </wp:cNvGraphicFramePr>
              <a:graphic>
                <a:graphicData uri="http://schemas.microsoft.com/office/word/2010/wordprocessingShape">
                  <wps:wsp>
                    <wps:cNvPr id="76" name="Textbox 76"/>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42816" type="#_x0000_t202" id="docshape7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47</w:t>
                    </w:r>
                    <w:r>
                      <w:rPr>
                        <w:rFonts w:ascii="Times New Roman"/>
                        <w:spacing w:val="-5"/>
                      </w:rPr>
                      <w:fldChar w:fldCharType="end"/>
                    </w:r>
                  </w:p>
                </w:txbxContent>
              </v:textbox>
              <w10:wrap type="none"/>
            </v:shape>
          </w:pict>
        </mc:Fallback>
      </mc:AlternateContent>
    </w:r>
  </w:p>
</w:ftr>
</file>

<file path=word/footer3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74688">
              <wp:simplePos x="0" y="0"/>
              <wp:positionH relativeFrom="page">
                <wp:posOffset>3771900</wp:posOffset>
              </wp:positionH>
              <wp:positionV relativeFrom="page">
                <wp:posOffset>9416118</wp:posOffset>
              </wp:positionV>
              <wp:extent cx="241300" cy="194310"/>
              <wp:effectExtent l="0" t="0" r="0" b="0"/>
              <wp:wrapNone/>
              <wp:docPr id="78" name="Textbox 78"/>
              <wp:cNvGraphicFramePr>
                <a:graphicFrameLocks/>
              </wp:cNvGraphicFramePr>
              <a:graphic>
                <a:graphicData uri="http://schemas.microsoft.com/office/word/2010/wordprocessingShape">
                  <wps:wsp>
                    <wps:cNvPr id="78" name="Textbox 78"/>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41792" type="#_x0000_t202" id="docshape7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48</w:t>
                    </w:r>
                    <w:r>
                      <w:rPr>
                        <w:rFonts w:ascii="Times New Roman"/>
                        <w:spacing w:val="-5"/>
                      </w:rPr>
                      <w:fldChar w:fldCharType="end"/>
                    </w:r>
                  </w:p>
                </w:txbxContent>
              </v:textbox>
              <w10:wrap type="none"/>
            </v:shape>
          </w:pict>
        </mc:Fallback>
      </mc:AlternateContent>
    </w:r>
  </w:p>
</w:ftr>
</file>

<file path=word/footer3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75712">
              <wp:simplePos x="0" y="0"/>
              <wp:positionH relativeFrom="page">
                <wp:posOffset>3771900</wp:posOffset>
              </wp:positionH>
              <wp:positionV relativeFrom="page">
                <wp:posOffset>9416118</wp:posOffset>
              </wp:positionV>
              <wp:extent cx="241300" cy="194310"/>
              <wp:effectExtent l="0" t="0" r="0" b="0"/>
              <wp:wrapNone/>
              <wp:docPr id="80" name="Textbox 80"/>
              <wp:cNvGraphicFramePr>
                <a:graphicFrameLocks/>
              </wp:cNvGraphicFramePr>
              <a:graphic>
                <a:graphicData uri="http://schemas.microsoft.com/office/word/2010/wordprocessingShape">
                  <wps:wsp>
                    <wps:cNvPr id="80" name="Textbox 80"/>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40768" type="#_x0000_t202" id="docshape8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49</w:t>
                    </w:r>
                    <w:r>
                      <w:rPr>
                        <w:rFonts w:ascii="Times New Roman"/>
                        <w:spacing w:val="-5"/>
                      </w:rPr>
                      <w:fldChar w:fldCharType="end"/>
                    </w:r>
                  </w:p>
                </w:txbxContent>
              </v:textbox>
              <w10:wrap type="none"/>
            </v:shape>
          </w:pict>
        </mc:Fallback>
      </mc:AlternateContent>
    </w:r>
  </w:p>
</w:ftr>
</file>

<file path=word/footer3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76736">
              <wp:simplePos x="0" y="0"/>
              <wp:positionH relativeFrom="page">
                <wp:posOffset>3771900</wp:posOffset>
              </wp:positionH>
              <wp:positionV relativeFrom="page">
                <wp:posOffset>9416118</wp:posOffset>
              </wp:positionV>
              <wp:extent cx="241300" cy="194310"/>
              <wp:effectExtent l="0" t="0" r="0" b="0"/>
              <wp:wrapNone/>
              <wp:docPr id="82" name="Textbox 82"/>
              <wp:cNvGraphicFramePr>
                <a:graphicFrameLocks/>
              </wp:cNvGraphicFramePr>
              <a:graphic>
                <a:graphicData uri="http://schemas.microsoft.com/office/word/2010/wordprocessingShape">
                  <wps:wsp>
                    <wps:cNvPr id="82" name="Textbox 82"/>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39744" type="#_x0000_t202" id="docshape8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50</w:t>
                    </w:r>
                    <w:r>
                      <w:rPr>
                        <w:rFonts w:ascii="Times New Roman"/>
                        <w:spacing w:val="-5"/>
                      </w:rPr>
                      <w:fldChar w:fldCharType="end"/>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31680">
              <wp:simplePos x="0" y="0"/>
              <wp:positionH relativeFrom="page">
                <wp:posOffset>3808476</wp:posOffset>
              </wp:positionH>
              <wp:positionV relativeFrom="page">
                <wp:posOffset>9416118</wp:posOffset>
              </wp:positionV>
              <wp:extent cx="165100" cy="194310"/>
              <wp:effectExtent l="0" t="0" r="0" b="0"/>
              <wp:wrapNone/>
              <wp:docPr id="12" name="Textbox 12"/>
              <wp:cNvGraphicFramePr>
                <a:graphicFrameLocks/>
              </wp:cNvGraphicFramePr>
              <a:graphic>
                <a:graphicData uri="http://schemas.microsoft.com/office/word/2010/wordprocessingShape">
                  <wps:wsp>
                    <wps:cNvPr id="12" name="Textbox 12"/>
                    <wps:cNvSpPr txBox="1"/>
                    <wps:spPr>
                      <a:xfrm>
                        <a:off x="0" y="0"/>
                        <a:ext cx="165100" cy="194310"/>
                      </a:xfrm>
                      <a:prstGeom prst="rect">
                        <a:avLst/>
                      </a:prstGeom>
                    </wps:spPr>
                    <wps:txbx>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6</w:t>
                          </w:r>
                          <w:r>
                            <w:rPr>
                              <w:rFonts w:ascii="Times New Roman"/>
                              <w:spacing w:val="-10"/>
                            </w:rPr>
                            <w:fldChar w:fldCharType="end"/>
                          </w:r>
                        </w:p>
                      </w:txbxContent>
                    </wps:txbx>
                    <wps:bodyPr wrap="square" lIns="0" tIns="0" rIns="0" bIns="0" rtlCol="0">
                      <a:noAutofit/>
                    </wps:bodyPr>
                  </wps:wsp>
                </a:graphicData>
              </a:graphic>
            </wp:anchor>
          </w:drawing>
        </mc:Choice>
        <mc:Fallback>
          <w:pict>
            <v:shape style="position:absolute;margin-left:299.880005pt;margin-top:741.426636pt;width:13pt;height:15.3pt;mso-position-horizontal-relative:page;mso-position-vertical-relative:page;z-index:-36684800" type="#_x0000_t202" id="docshape12" filled="false" stroked="false">
              <v:textbox inset="0,0,0,0">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6</w:t>
                    </w:r>
                    <w:r>
                      <w:rPr>
                        <w:rFonts w:ascii="Times New Roman"/>
                        <w:spacing w:val="-10"/>
                      </w:rPr>
                      <w:fldChar w:fldCharType="end"/>
                    </w:r>
                  </w:p>
                </w:txbxContent>
              </v:textbox>
              <w10:wrap type="none"/>
            </v:shape>
          </w:pict>
        </mc:Fallback>
      </mc:AlternateContent>
    </w:r>
  </w:p>
</w:ftr>
</file>

<file path=word/footer4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77760">
              <wp:simplePos x="0" y="0"/>
              <wp:positionH relativeFrom="page">
                <wp:posOffset>3771900</wp:posOffset>
              </wp:positionH>
              <wp:positionV relativeFrom="page">
                <wp:posOffset>9416118</wp:posOffset>
              </wp:positionV>
              <wp:extent cx="241300" cy="194310"/>
              <wp:effectExtent l="0" t="0" r="0" b="0"/>
              <wp:wrapNone/>
              <wp:docPr id="84" name="Textbox 84"/>
              <wp:cNvGraphicFramePr>
                <a:graphicFrameLocks/>
              </wp:cNvGraphicFramePr>
              <a:graphic>
                <a:graphicData uri="http://schemas.microsoft.com/office/word/2010/wordprocessingShape">
                  <wps:wsp>
                    <wps:cNvPr id="84" name="Textbox 84"/>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38720" type="#_x0000_t202" id="docshape8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51</w:t>
                    </w:r>
                    <w:r>
                      <w:rPr>
                        <w:rFonts w:ascii="Times New Roman"/>
                        <w:spacing w:val="-5"/>
                      </w:rPr>
                      <w:fldChar w:fldCharType="end"/>
                    </w:r>
                  </w:p>
                </w:txbxContent>
              </v:textbox>
              <w10:wrap type="none"/>
            </v:shape>
          </w:pict>
        </mc:Fallback>
      </mc:AlternateContent>
    </w:r>
  </w:p>
</w:ftr>
</file>

<file path=word/footer4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78784">
              <wp:simplePos x="0" y="0"/>
              <wp:positionH relativeFrom="page">
                <wp:posOffset>3771900</wp:posOffset>
              </wp:positionH>
              <wp:positionV relativeFrom="page">
                <wp:posOffset>9416118</wp:posOffset>
              </wp:positionV>
              <wp:extent cx="241300" cy="194310"/>
              <wp:effectExtent l="0" t="0" r="0" b="0"/>
              <wp:wrapNone/>
              <wp:docPr id="86" name="Textbox 86"/>
              <wp:cNvGraphicFramePr>
                <a:graphicFrameLocks/>
              </wp:cNvGraphicFramePr>
              <a:graphic>
                <a:graphicData uri="http://schemas.microsoft.com/office/word/2010/wordprocessingShape">
                  <wps:wsp>
                    <wps:cNvPr id="86" name="Textbox 86"/>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37696" type="#_x0000_t202" id="docshape8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52</w:t>
                    </w:r>
                    <w:r>
                      <w:rPr>
                        <w:rFonts w:ascii="Times New Roman"/>
                        <w:spacing w:val="-5"/>
                      </w:rPr>
                      <w:fldChar w:fldCharType="end"/>
                    </w:r>
                  </w:p>
                </w:txbxContent>
              </v:textbox>
              <w10:wrap type="none"/>
            </v:shape>
          </w:pict>
        </mc:Fallback>
      </mc:AlternateContent>
    </w:r>
  </w:p>
</w:ftr>
</file>

<file path=word/footer4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79808">
              <wp:simplePos x="0" y="0"/>
              <wp:positionH relativeFrom="page">
                <wp:posOffset>3771900</wp:posOffset>
              </wp:positionH>
              <wp:positionV relativeFrom="page">
                <wp:posOffset>9416118</wp:posOffset>
              </wp:positionV>
              <wp:extent cx="241300" cy="194310"/>
              <wp:effectExtent l="0" t="0" r="0" b="0"/>
              <wp:wrapNone/>
              <wp:docPr id="88" name="Textbox 88"/>
              <wp:cNvGraphicFramePr>
                <a:graphicFrameLocks/>
              </wp:cNvGraphicFramePr>
              <a:graphic>
                <a:graphicData uri="http://schemas.microsoft.com/office/word/2010/wordprocessingShape">
                  <wps:wsp>
                    <wps:cNvPr id="88" name="Textbox 88"/>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36672" type="#_x0000_t202" id="docshape8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53</w:t>
                    </w:r>
                    <w:r>
                      <w:rPr>
                        <w:rFonts w:ascii="Times New Roman"/>
                        <w:spacing w:val="-5"/>
                      </w:rPr>
                      <w:fldChar w:fldCharType="end"/>
                    </w:r>
                  </w:p>
                </w:txbxContent>
              </v:textbox>
              <w10:wrap type="none"/>
            </v:shape>
          </w:pict>
        </mc:Fallback>
      </mc:AlternateContent>
    </w:r>
  </w:p>
</w:ftr>
</file>

<file path=word/footer4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80832">
              <wp:simplePos x="0" y="0"/>
              <wp:positionH relativeFrom="page">
                <wp:posOffset>3771900</wp:posOffset>
              </wp:positionH>
              <wp:positionV relativeFrom="page">
                <wp:posOffset>9416118</wp:posOffset>
              </wp:positionV>
              <wp:extent cx="241300" cy="194310"/>
              <wp:effectExtent l="0" t="0" r="0" b="0"/>
              <wp:wrapNone/>
              <wp:docPr id="90" name="Textbox 90"/>
              <wp:cNvGraphicFramePr>
                <a:graphicFrameLocks/>
              </wp:cNvGraphicFramePr>
              <a:graphic>
                <a:graphicData uri="http://schemas.microsoft.com/office/word/2010/wordprocessingShape">
                  <wps:wsp>
                    <wps:cNvPr id="90" name="Textbox 90"/>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35648" type="#_x0000_t202" id="docshape9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54</w:t>
                    </w:r>
                    <w:r>
                      <w:rPr>
                        <w:rFonts w:ascii="Times New Roman"/>
                        <w:spacing w:val="-5"/>
                      </w:rPr>
                      <w:fldChar w:fldCharType="end"/>
                    </w:r>
                  </w:p>
                </w:txbxContent>
              </v:textbox>
              <w10:wrap type="none"/>
            </v:shape>
          </w:pict>
        </mc:Fallback>
      </mc:AlternateContent>
    </w:r>
  </w:p>
</w:ftr>
</file>

<file path=word/footer4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81856">
              <wp:simplePos x="0" y="0"/>
              <wp:positionH relativeFrom="page">
                <wp:posOffset>3771900</wp:posOffset>
              </wp:positionH>
              <wp:positionV relativeFrom="page">
                <wp:posOffset>9416118</wp:posOffset>
              </wp:positionV>
              <wp:extent cx="241300" cy="194310"/>
              <wp:effectExtent l="0" t="0" r="0" b="0"/>
              <wp:wrapNone/>
              <wp:docPr id="92" name="Textbox 92"/>
              <wp:cNvGraphicFramePr>
                <a:graphicFrameLocks/>
              </wp:cNvGraphicFramePr>
              <a:graphic>
                <a:graphicData uri="http://schemas.microsoft.com/office/word/2010/wordprocessingShape">
                  <wps:wsp>
                    <wps:cNvPr id="92" name="Textbox 92"/>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34624" type="#_x0000_t202" id="docshape9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55</w:t>
                    </w:r>
                    <w:r>
                      <w:rPr>
                        <w:rFonts w:ascii="Times New Roman"/>
                        <w:spacing w:val="-5"/>
                      </w:rPr>
                      <w:fldChar w:fldCharType="end"/>
                    </w:r>
                  </w:p>
                </w:txbxContent>
              </v:textbox>
              <w10:wrap type="none"/>
            </v:shape>
          </w:pict>
        </mc:Fallback>
      </mc:AlternateContent>
    </w:r>
  </w:p>
</w:ftr>
</file>

<file path=word/footer4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82880">
              <wp:simplePos x="0" y="0"/>
              <wp:positionH relativeFrom="page">
                <wp:posOffset>3771900</wp:posOffset>
              </wp:positionH>
              <wp:positionV relativeFrom="page">
                <wp:posOffset>9416118</wp:posOffset>
              </wp:positionV>
              <wp:extent cx="241300" cy="194310"/>
              <wp:effectExtent l="0" t="0" r="0" b="0"/>
              <wp:wrapNone/>
              <wp:docPr id="94" name="Textbox 94"/>
              <wp:cNvGraphicFramePr>
                <a:graphicFrameLocks/>
              </wp:cNvGraphicFramePr>
              <a:graphic>
                <a:graphicData uri="http://schemas.microsoft.com/office/word/2010/wordprocessingShape">
                  <wps:wsp>
                    <wps:cNvPr id="94" name="Textbox 94"/>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33600" type="#_x0000_t202" id="docshape9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56</w:t>
                    </w:r>
                    <w:r>
                      <w:rPr>
                        <w:rFonts w:ascii="Times New Roman"/>
                        <w:spacing w:val="-5"/>
                      </w:rPr>
                      <w:fldChar w:fldCharType="end"/>
                    </w:r>
                  </w:p>
                </w:txbxContent>
              </v:textbox>
              <w10:wrap type="none"/>
            </v:shape>
          </w:pict>
        </mc:Fallback>
      </mc:AlternateContent>
    </w:r>
  </w:p>
</w:ftr>
</file>

<file path=word/footer4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83904">
              <wp:simplePos x="0" y="0"/>
              <wp:positionH relativeFrom="page">
                <wp:posOffset>3771900</wp:posOffset>
              </wp:positionH>
              <wp:positionV relativeFrom="page">
                <wp:posOffset>9416118</wp:posOffset>
              </wp:positionV>
              <wp:extent cx="241300" cy="194310"/>
              <wp:effectExtent l="0" t="0" r="0" b="0"/>
              <wp:wrapNone/>
              <wp:docPr id="96" name="Textbox 96"/>
              <wp:cNvGraphicFramePr>
                <a:graphicFrameLocks/>
              </wp:cNvGraphicFramePr>
              <a:graphic>
                <a:graphicData uri="http://schemas.microsoft.com/office/word/2010/wordprocessingShape">
                  <wps:wsp>
                    <wps:cNvPr id="96" name="Textbox 96"/>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32576" type="#_x0000_t202" id="docshape9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57</w:t>
                    </w:r>
                    <w:r>
                      <w:rPr>
                        <w:rFonts w:ascii="Times New Roman"/>
                        <w:spacing w:val="-5"/>
                      </w:rPr>
                      <w:fldChar w:fldCharType="end"/>
                    </w:r>
                  </w:p>
                </w:txbxContent>
              </v:textbox>
              <w10:wrap type="none"/>
            </v:shape>
          </w:pict>
        </mc:Fallback>
      </mc:AlternateContent>
    </w:r>
  </w:p>
</w:ftr>
</file>

<file path=word/footer4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84928">
              <wp:simplePos x="0" y="0"/>
              <wp:positionH relativeFrom="page">
                <wp:posOffset>3771900</wp:posOffset>
              </wp:positionH>
              <wp:positionV relativeFrom="page">
                <wp:posOffset>9416118</wp:posOffset>
              </wp:positionV>
              <wp:extent cx="241300" cy="194310"/>
              <wp:effectExtent l="0" t="0" r="0" b="0"/>
              <wp:wrapNone/>
              <wp:docPr id="98" name="Textbox 98"/>
              <wp:cNvGraphicFramePr>
                <a:graphicFrameLocks/>
              </wp:cNvGraphicFramePr>
              <a:graphic>
                <a:graphicData uri="http://schemas.microsoft.com/office/word/2010/wordprocessingShape">
                  <wps:wsp>
                    <wps:cNvPr id="98" name="Textbox 98"/>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31552" type="#_x0000_t202" id="docshape9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58</w:t>
                    </w:r>
                    <w:r>
                      <w:rPr>
                        <w:rFonts w:ascii="Times New Roman"/>
                        <w:spacing w:val="-5"/>
                      </w:rPr>
                      <w:fldChar w:fldCharType="end"/>
                    </w:r>
                  </w:p>
                </w:txbxContent>
              </v:textbox>
              <w10:wrap type="none"/>
            </v:shape>
          </w:pict>
        </mc:Fallback>
      </mc:AlternateContent>
    </w:r>
  </w:p>
</w:ftr>
</file>

<file path=word/footer4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85952">
              <wp:simplePos x="0" y="0"/>
              <wp:positionH relativeFrom="page">
                <wp:posOffset>3771900</wp:posOffset>
              </wp:positionH>
              <wp:positionV relativeFrom="page">
                <wp:posOffset>9416118</wp:posOffset>
              </wp:positionV>
              <wp:extent cx="241300" cy="194310"/>
              <wp:effectExtent l="0" t="0" r="0" b="0"/>
              <wp:wrapNone/>
              <wp:docPr id="100" name="Textbox 100"/>
              <wp:cNvGraphicFramePr>
                <a:graphicFrameLocks/>
              </wp:cNvGraphicFramePr>
              <a:graphic>
                <a:graphicData uri="http://schemas.microsoft.com/office/word/2010/wordprocessingShape">
                  <wps:wsp>
                    <wps:cNvPr id="100" name="Textbox 100"/>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30528" type="#_x0000_t202" id="docshape10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59</w:t>
                    </w:r>
                    <w:r>
                      <w:rPr>
                        <w:rFonts w:ascii="Times New Roman"/>
                        <w:spacing w:val="-5"/>
                      </w:rPr>
                      <w:fldChar w:fldCharType="end"/>
                    </w:r>
                  </w:p>
                </w:txbxContent>
              </v:textbox>
              <w10:wrap type="none"/>
            </v:shape>
          </w:pict>
        </mc:Fallback>
      </mc:AlternateContent>
    </w:r>
  </w:p>
</w:ftr>
</file>

<file path=word/footer4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86976">
              <wp:simplePos x="0" y="0"/>
              <wp:positionH relativeFrom="page">
                <wp:posOffset>3771900</wp:posOffset>
              </wp:positionH>
              <wp:positionV relativeFrom="page">
                <wp:posOffset>9416118</wp:posOffset>
              </wp:positionV>
              <wp:extent cx="241300" cy="194310"/>
              <wp:effectExtent l="0" t="0" r="0" b="0"/>
              <wp:wrapNone/>
              <wp:docPr id="102" name="Textbox 102"/>
              <wp:cNvGraphicFramePr>
                <a:graphicFrameLocks/>
              </wp:cNvGraphicFramePr>
              <a:graphic>
                <a:graphicData uri="http://schemas.microsoft.com/office/word/2010/wordprocessingShape">
                  <wps:wsp>
                    <wps:cNvPr id="102" name="Textbox 102"/>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29504" type="#_x0000_t202" id="docshape10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60</w:t>
                    </w:r>
                    <w:r>
                      <w:rPr>
                        <w:rFonts w:ascii="Times New Roman"/>
                        <w:spacing w:val="-5"/>
                      </w:rPr>
                      <w:fldChar w:fldCharType="end"/>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32704">
              <wp:simplePos x="0" y="0"/>
              <wp:positionH relativeFrom="page">
                <wp:posOffset>3808476</wp:posOffset>
              </wp:positionH>
              <wp:positionV relativeFrom="page">
                <wp:posOffset>9416118</wp:posOffset>
              </wp:positionV>
              <wp:extent cx="165100" cy="194310"/>
              <wp:effectExtent l="0" t="0" r="0" b="0"/>
              <wp:wrapNone/>
              <wp:docPr id="14" name="Textbox 14"/>
              <wp:cNvGraphicFramePr>
                <a:graphicFrameLocks/>
              </wp:cNvGraphicFramePr>
              <a:graphic>
                <a:graphicData uri="http://schemas.microsoft.com/office/word/2010/wordprocessingShape">
                  <wps:wsp>
                    <wps:cNvPr id="14" name="Textbox 14"/>
                    <wps:cNvSpPr txBox="1"/>
                    <wps:spPr>
                      <a:xfrm>
                        <a:off x="0" y="0"/>
                        <a:ext cx="165100" cy="194310"/>
                      </a:xfrm>
                      <a:prstGeom prst="rect">
                        <a:avLst/>
                      </a:prstGeom>
                    </wps:spPr>
                    <wps:txbx>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7</w:t>
                          </w:r>
                          <w:r>
                            <w:rPr>
                              <w:rFonts w:ascii="Times New Roman"/>
                              <w:spacing w:val="-10"/>
                            </w:rPr>
                            <w:fldChar w:fldCharType="end"/>
                          </w:r>
                        </w:p>
                      </w:txbxContent>
                    </wps:txbx>
                    <wps:bodyPr wrap="square" lIns="0" tIns="0" rIns="0" bIns="0" rtlCol="0">
                      <a:noAutofit/>
                    </wps:bodyPr>
                  </wps:wsp>
                </a:graphicData>
              </a:graphic>
            </wp:anchor>
          </w:drawing>
        </mc:Choice>
        <mc:Fallback>
          <w:pict>
            <v:shape style="position:absolute;margin-left:299.880005pt;margin-top:741.426636pt;width:13pt;height:15.3pt;mso-position-horizontal-relative:page;mso-position-vertical-relative:page;z-index:-36683776" type="#_x0000_t202" id="docshape14" filled="false" stroked="false">
              <v:textbox inset="0,0,0,0">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7</w:t>
                    </w:r>
                    <w:r>
                      <w:rPr>
                        <w:rFonts w:ascii="Times New Roman"/>
                        <w:spacing w:val="-10"/>
                      </w:rPr>
                      <w:fldChar w:fldCharType="end"/>
                    </w:r>
                  </w:p>
                </w:txbxContent>
              </v:textbox>
              <w10:wrap type="none"/>
            </v:shape>
          </w:pict>
        </mc:Fallback>
      </mc:AlternateContent>
    </w:r>
  </w:p>
</w:ftr>
</file>

<file path=word/footer5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88000">
              <wp:simplePos x="0" y="0"/>
              <wp:positionH relativeFrom="page">
                <wp:posOffset>3771900</wp:posOffset>
              </wp:positionH>
              <wp:positionV relativeFrom="page">
                <wp:posOffset>9416118</wp:posOffset>
              </wp:positionV>
              <wp:extent cx="241300" cy="194310"/>
              <wp:effectExtent l="0" t="0" r="0" b="0"/>
              <wp:wrapNone/>
              <wp:docPr id="104" name="Textbox 104"/>
              <wp:cNvGraphicFramePr>
                <a:graphicFrameLocks/>
              </wp:cNvGraphicFramePr>
              <a:graphic>
                <a:graphicData uri="http://schemas.microsoft.com/office/word/2010/wordprocessingShape">
                  <wps:wsp>
                    <wps:cNvPr id="104" name="Textbox 104"/>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28480" type="#_x0000_t202" id="docshape10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61</w:t>
                    </w:r>
                    <w:r>
                      <w:rPr>
                        <w:rFonts w:ascii="Times New Roman"/>
                        <w:spacing w:val="-5"/>
                      </w:rPr>
                      <w:fldChar w:fldCharType="end"/>
                    </w:r>
                  </w:p>
                </w:txbxContent>
              </v:textbox>
              <w10:wrap type="none"/>
            </v:shape>
          </w:pict>
        </mc:Fallback>
      </mc:AlternateContent>
    </w:r>
  </w:p>
</w:ftr>
</file>

<file path=word/footer5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89024">
              <wp:simplePos x="0" y="0"/>
              <wp:positionH relativeFrom="page">
                <wp:posOffset>3771900</wp:posOffset>
              </wp:positionH>
              <wp:positionV relativeFrom="page">
                <wp:posOffset>9416118</wp:posOffset>
              </wp:positionV>
              <wp:extent cx="241300" cy="194310"/>
              <wp:effectExtent l="0" t="0" r="0" b="0"/>
              <wp:wrapNone/>
              <wp:docPr id="106" name="Textbox 106"/>
              <wp:cNvGraphicFramePr>
                <a:graphicFrameLocks/>
              </wp:cNvGraphicFramePr>
              <a:graphic>
                <a:graphicData uri="http://schemas.microsoft.com/office/word/2010/wordprocessingShape">
                  <wps:wsp>
                    <wps:cNvPr id="106" name="Textbox 106"/>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27456" type="#_x0000_t202" id="docshape10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62</w:t>
                    </w:r>
                    <w:r>
                      <w:rPr>
                        <w:rFonts w:ascii="Times New Roman"/>
                        <w:spacing w:val="-5"/>
                      </w:rPr>
                      <w:fldChar w:fldCharType="end"/>
                    </w:r>
                  </w:p>
                </w:txbxContent>
              </v:textbox>
              <w10:wrap type="none"/>
            </v:shape>
          </w:pict>
        </mc:Fallback>
      </mc:AlternateContent>
    </w:r>
  </w:p>
</w:ftr>
</file>

<file path=word/footer5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90048">
              <wp:simplePos x="0" y="0"/>
              <wp:positionH relativeFrom="page">
                <wp:posOffset>3771900</wp:posOffset>
              </wp:positionH>
              <wp:positionV relativeFrom="page">
                <wp:posOffset>9416118</wp:posOffset>
              </wp:positionV>
              <wp:extent cx="241300" cy="194310"/>
              <wp:effectExtent l="0" t="0" r="0" b="0"/>
              <wp:wrapNone/>
              <wp:docPr id="108" name="Textbox 108"/>
              <wp:cNvGraphicFramePr>
                <a:graphicFrameLocks/>
              </wp:cNvGraphicFramePr>
              <a:graphic>
                <a:graphicData uri="http://schemas.microsoft.com/office/word/2010/wordprocessingShape">
                  <wps:wsp>
                    <wps:cNvPr id="108" name="Textbox 108"/>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26432" type="#_x0000_t202" id="docshape10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63</w:t>
                    </w:r>
                    <w:r>
                      <w:rPr>
                        <w:rFonts w:ascii="Times New Roman"/>
                        <w:spacing w:val="-5"/>
                      </w:rPr>
                      <w:fldChar w:fldCharType="end"/>
                    </w:r>
                  </w:p>
                </w:txbxContent>
              </v:textbox>
              <w10:wrap type="none"/>
            </v:shape>
          </w:pict>
        </mc:Fallback>
      </mc:AlternateContent>
    </w:r>
  </w:p>
</w:ftr>
</file>

<file path=word/footer5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91072">
              <wp:simplePos x="0" y="0"/>
              <wp:positionH relativeFrom="page">
                <wp:posOffset>3771900</wp:posOffset>
              </wp:positionH>
              <wp:positionV relativeFrom="page">
                <wp:posOffset>9416118</wp:posOffset>
              </wp:positionV>
              <wp:extent cx="241300" cy="194310"/>
              <wp:effectExtent l="0" t="0" r="0" b="0"/>
              <wp:wrapNone/>
              <wp:docPr id="110" name="Textbox 110"/>
              <wp:cNvGraphicFramePr>
                <a:graphicFrameLocks/>
              </wp:cNvGraphicFramePr>
              <a:graphic>
                <a:graphicData uri="http://schemas.microsoft.com/office/word/2010/wordprocessingShape">
                  <wps:wsp>
                    <wps:cNvPr id="110" name="Textbox 110"/>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25408" type="#_x0000_t202" id="docshape11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64</w:t>
                    </w:r>
                    <w:r>
                      <w:rPr>
                        <w:rFonts w:ascii="Times New Roman"/>
                        <w:spacing w:val="-5"/>
                      </w:rPr>
                      <w:fldChar w:fldCharType="end"/>
                    </w:r>
                  </w:p>
                </w:txbxContent>
              </v:textbox>
              <w10:wrap type="none"/>
            </v:shape>
          </w:pict>
        </mc:Fallback>
      </mc:AlternateContent>
    </w:r>
  </w:p>
</w:ftr>
</file>

<file path=word/footer5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92096">
              <wp:simplePos x="0" y="0"/>
              <wp:positionH relativeFrom="page">
                <wp:posOffset>3771900</wp:posOffset>
              </wp:positionH>
              <wp:positionV relativeFrom="page">
                <wp:posOffset>9416118</wp:posOffset>
              </wp:positionV>
              <wp:extent cx="241300" cy="194310"/>
              <wp:effectExtent l="0" t="0" r="0" b="0"/>
              <wp:wrapNone/>
              <wp:docPr id="112" name="Textbox 112"/>
              <wp:cNvGraphicFramePr>
                <a:graphicFrameLocks/>
              </wp:cNvGraphicFramePr>
              <a:graphic>
                <a:graphicData uri="http://schemas.microsoft.com/office/word/2010/wordprocessingShape">
                  <wps:wsp>
                    <wps:cNvPr id="112" name="Textbox 112"/>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24384" type="#_x0000_t202" id="docshape11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65</w:t>
                    </w:r>
                    <w:r>
                      <w:rPr>
                        <w:rFonts w:ascii="Times New Roman"/>
                        <w:spacing w:val="-5"/>
                      </w:rPr>
                      <w:fldChar w:fldCharType="end"/>
                    </w:r>
                  </w:p>
                </w:txbxContent>
              </v:textbox>
              <w10:wrap type="none"/>
            </v:shape>
          </w:pict>
        </mc:Fallback>
      </mc:AlternateContent>
    </w:r>
  </w:p>
</w:ftr>
</file>

<file path=word/footer5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93120">
              <wp:simplePos x="0" y="0"/>
              <wp:positionH relativeFrom="page">
                <wp:posOffset>3771900</wp:posOffset>
              </wp:positionH>
              <wp:positionV relativeFrom="page">
                <wp:posOffset>9416118</wp:posOffset>
              </wp:positionV>
              <wp:extent cx="241300" cy="194310"/>
              <wp:effectExtent l="0" t="0" r="0" b="0"/>
              <wp:wrapNone/>
              <wp:docPr id="114" name="Textbox 114"/>
              <wp:cNvGraphicFramePr>
                <a:graphicFrameLocks/>
              </wp:cNvGraphicFramePr>
              <a:graphic>
                <a:graphicData uri="http://schemas.microsoft.com/office/word/2010/wordprocessingShape">
                  <wps:wsp>
                    <wps:cNvPr id="114" name="Textbox 114"/>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23360" type="#_x0000_t202" id="docshape11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66</w:t>
                    </w:r>
                    <w:r>
                      <w:rPr>
                        <w:rFonts w:ascii="Times New Roman"/>
                        <w:spacing w:val="-5"/>
                      </w:rPr>
                      <w:fldChar w:fldCharType="end"/>
                    </w:r>
                  </w:p>
                </w:txbxContent>
              </v:textbox>
              <w10:wrap type="none"/>
            </v:shape>
          </w:pict>
        </mc:Fallback>
      </mc:AlternateContent>
    </w:r>
  </w:p>
</w:ftr>
</file>

<file path=word/footer5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94144">
              <wp:simplePos x="0" y="0"/>
              <wp:positionH relativeFrom="page">
                <wp:posOffset>3771900</wp:posOffset>
              </wp:positionH>
              <wp:positionV relativeFrom="page">
                <wp:posOffset>9416118</wp:posOffset>
              </wp:positionV>
              <wp:extent cx="241300" cy="194310"/>
              <wp:effectExtent l="0" t="0" r="0" b="0"/>
              <wp:wrapNone/>
              <wp:docPr id="116" name="Textbox 116"/>
              <wp:cNvGraphicFramePr>
                <a:graphicFrameLocks/>
              </wp:cNvGraphicFramePr>
              <a:graphic>
                <a:graphicData uri="http://schemas.microsoft.com/office/word/2010/wordprocessingShape">
                  <wps:wsp>
                    <wps:cNvPr id="116" name="Textbox 116"/>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22336" type="#_x0000_t202" id="docshape11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67</w:t>
                    </w:r>
                    <w:r>
                      <w:rPr>
                        <w:rFonts w:ascii="Times New Roman"/>
                        <w:spacing w:val="-5"/>
                      </w:rPr>
                      <w:fldChar w:fldCharType="end"/>
                    </w:r>
                  </w:p>
                </w:txbxContent>
              </v:textbox>
              <w10:wrap type="none"/>
            </v:shape>
          </w:pict>
        </mc:Fallback>
      </mc:AlternateContent>
    </w:r>
  </w:p>
</w:ftr>
</file>

<file path=word/footer5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95168">
              <wp:simplePos x="0" y="0"/>
              <wp:positionH relativeFrom="page">
                <wp:posOffset>3771900</wp:posOffset>
              </wp:positionH>
              <wp:positionV relativeFrom="page">
                <wp:posOffset>9416118</wp:posOffset>
              </wp:positionV>
              <wp:extent cx="241300" cy="194310"/>
              <wp:effectExtent l="0" t="0" r="0" b="0"/>
              <wp:wrapNone/>
              <wp:docPr id="118" name="Textbox 118"/>
              <wp:cNvGraphicFramePr>
                <a:graphicFrameLocks/>
              </wp:cNvGraphicFramePr>
              <a:graphic>
                <a:graphicData uri="http://schemas.microsoft.com/office/word/2010/wordprocessingShape">
                  <wps:wsp>
                    <wps:cNvPr id="118" name="Textbox 118"/>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21312" type="#_x0000_t202" id="docshape11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68</w:t>
                    </w:r>
                    <w:r>
                      <w:rPr>
                        <w:rFonts w:ascii="Times New Roman"/>
                        <w:spacing w:val="-5"/>
                      </w:rPr>
                      <w:fldChar w:fldCharType="end"/>
                    </w:r>
                  </w:p>
                </w:txbxContent>
              </v:textbox>
              <w10:wrap type="none"/>
            </v:shape>
          </w:pict>
        </mc:Fallback>
      </mc:AlternateContent>
    </w:r>
  </w:p>
</w:ftr>
</file>

<file path=word/footer5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96192">
              <wp:simplePos x="0" y="0"/>
              <wp:positionH relativeFrom="page">
                <wp:posOffset>3771900</wp:posOffset>
              </wp:positionH>
              <wp:positionV relativeFrom="page">
                <wp:posOffset>9416118</wp:posOffset>
              </wp:positionV>
              <wp:extent cx="241300" cy="194310"/>
              <wp:effectExtent l="0" t="0" r="0" b="0"/>
              <wp:wrapNone/>
              <wp:docPr id="120" name="Textbox 120"/>
              <wp:cNvGraphicFramePr>
                <a:graphicFrameLocks/>
              </wp:cNvGraphicFramePr>
              <a:graphic>
                <a:graphicData uri="http://schemas.microsoft.com/office/word/2010/wordprocessingShape">
                  <wps:wsp>
                    <wps:cNvPr id="120" name="Textbox 120"/>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20288" type="#_x0000_t202" id="docshape12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69</w:t>
                    </w:r>
                    <w:r>
                      <w:rPr>
                        <w:rFonts w:ascii="Times New Roman"/>
                        <w:spacing w:val="-5"/>
                      </w:rPr>
                      <w:fldChar w:fldCharType="end"/>
                    </w:r>
                  </w:p>
                </w:txbxContent>
              </v:textbox>
              <w10:wrap type="none"/>
            </v:shape>
          </w:pict>
        </mc:Fallback>
      </mc:AlternateContent>
    </w:r>
  </w:p>
</w:ftr>
</file>

<file path=word/footer5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97216">
              <wp:simplePos x="0" y="0"/>
              <wp:positionH relativeFrom="page">
                <wp:posOffset>3771900</wp:posOffset>
              </wp:positionH>
              <wp:positionV relativeFrom="page">
                <wp:posOffset>9416118</wp:posOffset>
              </wp:positionV>
              <wp:extent cx="241300" cy="194310"/>
              <wp:effectExtent l="0" t="0" r="0" b="0"/>
              <wp:wrapNone/>
              <wp:docPr id="122" name="Textbox 122"/>
              <wp:cNvGraphicFramePr>
                <a:graphicFrameLocks/>
              </wp:cNvGraphicFramePr>
              <a:graphic>
                <a:graphicData uri="http://schemas.microsoft.com/office/word/2010/wordprocessingShape">
                  <wps:wsp>
                    <wps:cNvPr id="122" name="Textbox 122"/>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19264" type="#_x0000_t202" id="docshape12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70</w:t>
                    </w:r>
                    <w:r>
                      <w:rPr>
                        <w:rFonts w:ascii="Times New Roman"/>
                        <w:spacing w:val="-5"/>
                      </w:rPr>
                      <w:fldChar w:fldCharType="end"/>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33728">
              <wp:simplePos x="0" y="0"/>
              <wp:positionH relativeFrom="page">
                <wp:posOffset>3808476</wp:posOffset>
              </wp:positionH>
              <wp:positionV relativeFrom="page">
                <wp:posOffset>9416118</wp:posOffset>
              </wp:positionV>
              <wp:extent cx="165100" cy="194310"/>
              <wp:effectExtent l="0" t="0" r="0" b="0"/>
              <wp:wrapNone/>
              <wp:docPr id="16" name="Textbox 16"/>
              <wp:cNvGraphicFramePr>
                <a:graphicFrameLocks/>
              </wp:cNvGraphicFramePr>
              <a:graphic>
                <a:graphicData uri="http://schemas.microsoft.com/office/word/2010/wordprocessingShape">
                  <wps:wsp>
                    <wps:cNvPr id="16" name="Textbox 16"/>
                    <wps:cNvSpPr txBox="1"/>
                    <wps:spPr>
                      <a:xfrm>
                        <a:off x="0" y="0"/>
                        <a:ext cx="165100" cy="194310"/>
                      </a:xfrm>
                      <a:prstGeom prst="rect">
                        <a:avLst/>
                      </a:prstGeom>
                    </wps:spPr>
                    <wps:txbx>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8</w:t>
                          </w:r>
                          <w:r>
                            <w:rPr>
                              <w:rFonts w:ascii="Times New Roman"/>
                              <w:spacing w:val="-10"/>
                            </w:rPr>
                            <w:fldChar w:fldCharType="end"/>
                          </w:r>
                        </w:p>
                      </w:txbxContent>
                    </wps:txbx>
                    <wps:bodyPr wrap="square" lIns="0" tIns="0" rIns="0" bIns="0" rtlCol="0">
                      <a:noAutofit/>
                    </wps:bodyPr>
                  </wps:wsp>
                </a:graphicData>
              </a:graphic>
            </wp:anchor>
          </w:drawing>
        </mc:Choice>
        <mc:Fallback>
          <w:pict>
            <v:shape style="position:absolute;margin-left:299.880005pt;margin-top:741.426636pt;width:13pt;height:15.3pt;mso-position-horizontal-relative:page;mso-position-vertical-relative:page;z-index:-36682752" type="#_x0000_t202" id="docshape16" filled="false" stroked="false">
              <v:textbox inset="0,0,0,0">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8</w:t>
                    </w:r>
                    <w:r>
                      <w:rPr>
                        <w:rFonts w:ascii="Times New Roman"/>
                        <w:spacing w:val="-10"/>
                      </w:rPr>
                      <w:fldChar w:fldCharType="end"/>
                    </w:r>
                  </w:p>
                </w:txbxContent>
              </v:textbox>
              <w10:wrap type="none"/>
            </v:shape>
          </w:pict>
        </mc:Fallback>
      </mc:AlternateContent>
    </w:r>
  </w:p>
</w:ftr>
</file>

<file path=word/footer6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98240">
              <wp:simplePos x="0" y="0"/>
              <wp:positionH relativeFrom="page">
                <wp:posOffset>3771900</wp:posOffset>
              </wp:positionH>
              <wp:positionV relativeFrom="page">
                <wp:posOffset>9416118</wp:posOffset>
              </wp:positionV>
              <wp:extent cx="241300" cy="194310"/>
              <wp:effectExtent l="0" t="0" r="0" b="0"/>
              <wp:wrapNone/>
              <wp:docPr id="124" name="Textbox 124"/>
              <wp:cNvGraphicFramePr>
                <a:graphicFrameLocks/>
              </wp:cNvGraphicFramePr>
              <a:graphic>
                <a:graphicData uri="http://schemas.microsoft.com/office/word/2010/wordprocessingShape">
                  <wps:wsp>
                    <wps:cNvPr id="124" name="Textbox 124"/>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18240" type="#_x0000_t202" id="docshape12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71</w:t>
                    </w:r>
                    <w:r>
                      <w:rPr>
                        <w:rFonts w:ascii="Times New Roman"/>
                        <w:spacing w:val="-5"/>
                      </w:rPr>
                      <w:fldChar w:fldCharType="end"/>
                    </w:r>
                  </w:p>
                </w:txbxContent>
              </v:textbox>
              <w10:wrap type="none"/>
            </v:shape>
          </w:pict>
        </mc:Fallback>
      </mc:AlternateContent>
    </w:r>
  </w:p>
</w:ftr>
</file>

<file path=word/footer6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99264">
              <wp:simplePos x="0" y="0"/>
              <wp:positionH relativeFrom="page">
                <wp:posOffset>3771900</wp:posOffset>
              </wp:positionH>
              <wp:positionV relativeFrom="page">
                <wp:posOffset>9416118</wp:posOffset>
              </wp:positionV>
              <wp:extent cx="241300" cy="194310"/>
              <wp:effectExtent l="0" t="0" r="0" b="0"/>
              <wp:wrapNone/>
              <wp:docPr id="126" name="Textbox 126"/>
              <wp:cNvGraphicFramePr>
                <a:graphicFrameLocks/>
              </wp:cNvGraphicFramePr>
              <a:graphic>
                <a:graphicData uri="http://schemas.microsoft.com/office/word/2010/wordprocessingShape">
                  <wps:wsp>
                    <wps:cNvPr id="126" name="Textbox 126"/>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17216" type="#_x0000_t202" id="docshape12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72</w:t>
                    </w:r>
                    <w:r>
                      <w:rPr>
                        <w:rFonts w:ascii="Times New Roman"/>
                        <w:spacing w:val="-5"/>
                      </w:rPr>
                      <w:fldChar w:fldCharType="end"/>
                    </w:r>
                  </w:p>
                </w:txbxContent>
              </v:textbox>
              <w10:wrap type="none"/>
            </v:shape>
          </w:pict>
        </mc:Fallback>
      </mc:AlternateContent>
    </w:r>
  </w:p>
</w:ftr>
</file>

<file path=word/footer6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00288">
              <wp:simplePos x="0" y="0"/>
              <wp:positionH relativeFrom="page">
                <wp:posOffset>3771900</wp:posOffset>
              </wp:positionH>
              <wp:positionV relativeFrom="page">
                <wp:posOffset>9416118</wp:posOffset>
              </wp:positionV>
              <wp:extent cx="241300" cy="194310"/>
              <wp:effectExtent l="0" t="0" r="0" b="0"/>
              <wp:wrapNone/>
              <wp:docPr id="128" name="Textbox 128"/>
              <wp:cNvGraphicFramePr>
                <a:graphicFrameLocks/>
              </wp:cNvGraphicFramePr>
              <a:graphic>
                <a:graphicData uri="http://schemas.microsoft.com/office/word/2010/wordprocessingShape">
                  <wps:wsp>
                    <wps:cNvPr id="128" name="Textbox 128"/>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16192" type="#_x0000_t202" id="docshape12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74</w:t>
                    </w:r>
                    <w:r>
                      <w:rPr>
                        <w:rFonts w:ascii="Times New Roman"/>
                        <w:spacing w:val="-5"/>
                      </w:rPr>
                      <w:fldChar w:fldCharType="end"/>
                    </w:r>
                  </w:p>
                </w:txbxContent>
              </v:textbox>
              <w10:wrap type="none"/>
            </v:shape>
          </w:pict>
        </mc:Fallback>
      </mc:AlternateContent>
    </w:r>
  </w:p>
</w:ftr>
</file>

<file path=word/footer6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01312">
              <wp:simplePos x="0" y="0"/>
              <wp:positionH relativeFrom="page">
                <wp:posOffset>3771900</wp:posOffset>
              </wp:positionH>
              <wp:positionV relativeFrom="page">
                <wp:posOffset>9416118</wp:posOffset>
              </wp:positionV>
              <wp:extent cx="241300" cy="194310"/>
              <wp:effectExtent l="0" t="0" r="0" b="0"/>
              <wp:wrapNone/>
              <wp:docPr id="130" name="Textbox 130"/>
              <wp:cNvGraphicFramePr>
                <a:graphicFrameLocks/>
              </wp:cNvGraphicFramePr>
              <a:graphic>
                <a:graphicData uri="http://schemas.microsoft.com/office/word/2010/wordprocessingShape">
                  <wps:wsp>
                    <wps:cNvPr id="130" name="Textbox 130"/>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15168" type="#_x0000_t202" id="docshape13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75</w:t>
                    </w:r>
                    <w:r>
                      <w:rPr>
                        <w:rFonts w:ascii="Times New Roman"/>
                        <w:spacing w:val="-5"/>
                      </w:rPr>
                      <w:fldChar w:fldCharType="end"/>
                    </w:r>
                  </w:p>
                </w:txbxContent>
              </v:textbox>
              <w10:wrap type="none"/>
            </v:shape>
          </w:pict>
        </mc:Fallback>
      </mc:AlternateContent>
    </w:r>
  </w:p>
</w:ftr>
</file>

<file path=word/footer6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02336">
              <wp:simplePos x="0" y="0"/>
              <wp:positionH relativeFrom="page">
                <wp:posOffset>3771900</wp:posOffset>
              </wp:positionH>
              <wp:positionV relativeFrom="page">
                <wp:posOffset>9416118</wp:posOffset>
              </wp:positionV>
              <wp:extent cx="241300" cy="194310"/>
              <wp:effectExtent l="0" t="0" r="0" b="0"/>
              <wp:wrapNone/>
              <wp:docPr id="132" name="Textbox 132"/>
              <wp:cNvGraphicFramePr>
                <a:graphicFrameLocks/>
              </wp:cNvGraphicFramePr>
              <a:graphic>
                <a:graphicData uri="http://schemas.microsoft.com/office/word/2010/wordprocessingShape">
                  <wps:wsp>
                    <wps:cNvPr id="132" name="Textbox 132"/>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14144" type="#_x0000_t202" id="docshape13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76</w:t>
                    </w:r>
                    <w:r>
                      <w:rPr>
                        <w:rFonts w:ascii="Times New Roman"/>
                        <w:spacing w:val="-5"/>
                      </w:rPr>
                      <w:fldChar w:fldCharType="end"/>
                    </w:r>
                  </w:p>
                </w:txbxContent>
              </v:textbox>
              <w10:wrap type="none"/>
            </v:shape>
          </w:pict>
        </mc:Fallback>
      </mc:AlternateContent>
    </w:r>
  </w:p>
</w:ftr>
</file>

<file path=word/footer6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03360">
              <wp:simplePos x="0" y="0"/>
              <wp:positionH relativeFrom="page">
                <wp:posOffset>3771900</wp:posOffset>
              </wp:positionH>
              <wp:positionV relativeFrom="page">
                <wp:posOffset>9416118</wp:posOffset>
              </wp:positionV>
              <wp:extent cx="241300" cy="194310"/>
              <wp:effectExtent l="0" t="0" r="0" b="0"/>
              <wp:wrapNone/>
              <wp:docPr id="134" name="Textbox 134"/>
              <wp:cNvGraphicFramePr>
                <a:graphicFrameLocks/>
              </wp:cNvGraphicFramePr>
              <a:graphic>
                <a:graphicData uri="http://schemas.microsoft.com/office/word/2010/wordprocessingShape">
                  <wps:wsp>
                    <wps:cNvPr id="134" name="Textbox 134"/>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13120" type="#_x0000_t202" id="docshape13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77</w:t>
                    </w:r>
                    <w:r>
                      <w:rPr>
                        <w:rFonts w:ascii="Times New Roman"/>
                        <w:spacing w:val="-5"/>
                      </w:rPr>
                      <w:fldChar w:fldCharType="end"/>
                    </w:r>
                  </w:p>
                </w:txbxContent>
              </v:textbox>
              <w10:wrap type="none"/>
            </v:shape>
          </w:pict>
        </mc:Fallback>
      </mc:AlternateContent>
    </w:r>
  </w:p>
</w:ftr>
</file>

<file path=word/footer6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04384">
              <wp:simplePos x="0" y="0"/>
              <wp:positionH relativeFrom="page">
                <wp:posOffset>3771900</wp:posOffset>
              </wp:positionH>
              <wp:positionV relativeFrom="page">
                <wp:posOffset>9416118</wp:posOffset>
              </wp:positionV>
              <wp:extent cx="241300" cy="194310"/>
              <wp:effectExtent l="0" t="0" r="0" b="0"/>
              <wp:wrapNone/>
              <wp:docPr id="136" name="Textbox 136"/>
              <wp:cNvGraphicFramePr>
                <a:graphicFrameLocks/>
              </wp:cNvGraphicFramePr>
              <a:graphic>
                <a:graphicData uri="http://schemas.microsoft.com/office/word/2010/wordprocessingShape">
                  <wps:wsp>
                    <wps:cNvPr id="136" name="Textbox 136"/>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12096" type="#_x0000_t202" id="docshape13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78</w:t>
                    </w:r>
                    <w:r>
                      <w:rPr>
                        <w:rFonts w:ascii="Times New Roman"/>
                        <w:spacing w:val="-5"/>
                      </w:rPr>
                      <w:fldChar w:fldCharType="end"/>
                    </w:r>
                  </w:p>
                </w:txbxContent>
              </v:textbox>
              <w10:wrap type="none"/>
            </v:shape>
          </w:pict>
        </mc:Fallback>
      </mc:AlternateContent>
    </w:r>
  </w:p>
</w:ftr>
</file>

<file path=word/footer6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05408">
              <wp:simplePos x="0" y="0"/>
              <wp:positionH relativeFrom="page">
                <wp:posOffset>3771900</wp:posOffset>
              </wp:positionH>
              <wp:positionV relativeFrom="page">
                <wp:posOffset>9416118</wp:posOffset>
              </wp:positionV>
              <wp:extent cx="241300" cy="194310"/>
              <wp:effectExtent l="0" t="0" r="0" b="0"/>
              <wp:wrapNone/>
              <wp:docPr id="138" name="Textbox 138"/>
              <wp:cNvGraphicFramePr>
                <a:graphicFrameLocks/>
              </wp:cNvGraphicFramePr>
              <a:graphic>
                <a:graphicData uri="http://schemas.microsoft.com/office/word/2010/wordprocessingShape">
                  <wps:wsp>
                    <wps:cNvPr id="138" name="Textbox 138"/>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11072" type="#_x0000_t202" id="docshape13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79</w:t>
                    </w:r>
                    <w:r>
                      <w:rPr>
                        <w:rFonts w:ascii="Times New Roman"/>
                        <w:spacing w:val="-5"/>
                      </w:rPr>
                      <w:fldChar w:fldCharType="end"/>
                    </w:r>
                  </w:p>
                </w:txbxContent>
              </v:textbox>
              <w10:wrap type="none"/>
            </v:shape>
          </w:pict>
        </mc:Fallback>
      </mc:AlternateContent>
    </w:r>
  </w:p>
</w:ftr>
</file>

<file path=word/footer6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06432">
              <wp:simplePos x="0" y="0"/>
              <wp:positionH relativeFrom="page">
                <wp:posOffset>3771900</wp:posOffset>
              </wp:positionH>
              <wp:positionV relativeFrom="page">
                <wp:posOffset>9416118</wp:posOffset>
              </wp:positionV>
              <wp:extent cx="241300" cy="194310"/>
              <wp:effectExtent l="0" t="0" r="0" b="0"/>
              <wp:wrapNone/>
              <wp:docPr id="140" name="Textbox 140"/>
              <wp:cNvGraphicFramePr>
                <a:graphicFrameLocks/>
              </wp:cNvGraphicFramePr>
              <a:graphic>
                <a:graphicData uri="http://schemas.microsoft.com/office/word/2010/wordprocessingShape">
                  <wps:wsp>
                    <wps:cNvPr id="140" name="Textbox 140"/>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10048" type="#_x0000_t202" id="docshape14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80</w:t>
                    </w:r>
                    <w:r>
                      <w:rPr>
                        <w:rFonts w:ascii="Times New Roman"/>
                        <w:spacing w:val="-5"/>
                      </w:rPr>
                      <w:fldChar w:fldCharType="end"/>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34752">
              <wp:simplePos x="0" y="0"/>
              <wp:positionH relativeFrom="page">
                <wp:posOffset>3808476</wp:posOffset>
              </wp:positionH>
              <wp:positionV relativeFrom="page">
                <wp:posOffset>9416118</wp:posOffset>
              </wp:positionV>
              <wp:extent cx="165100" cy="194310"/>
              <wp:effectExtent l="0" t="0" r="0" b="0"/>
              <wp:wrapNone/>
              <wp:docPr id="18" name="Textbox 18"/>
              <wp:cNvGraphicFramePr>
                <a:graphicFrameLocks/>
              </wp:cNvGraphicFramePr>
              <a:graphic>
                <a:graphicData uri="http://schemas.microsoft.com/office/word/2010/wordprocessingShape">
                  <wps:wsp>
                    <wps:cNvPr id="18" name="Textbox 18"/>
                    <wps:cNvSpPr txBox="1"/>
                    <wps:spPr>
                      <a:xfrm>
                        <a:off x="0" y="0"/>
                        <a:ext cx="165100" cy="194310"/>
                      </a:xfrm>
                      <a:prstGeom prst="rect">
                        <a:avLst/>
                      </a:prstGeom>
                    </wps:spPr>
                    <wps:txbx>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9</w:t>
                          </w:r>
                          <w:r>
                            <w:rPr>
                              <w:rFonts w:ascii="Times New Roman"/>
                              <w:spacing w:val="-10"/>
                            </w:rPr>
                            <w:fldChar w:fldCharType="end"/>
                          </w:r>
                        </w:p>
                      </w:txbxContent>
                    </wps:txbx>
                    <wps:bodyPr wrap="square" lIns="0" tIns="0" rIns="0" bIns="0" rtlCol="0">
                      <a:noAutofit/>
                    </wps:bodyPr>
                  </wps:wsp>
                </a:graphicData>
              </a:graphic>
            </wp:anchor>
          </w:drawing>
        </mc:Choice>
        <mc:Fallback>
          <w:pict>
            <v:shape style="position:absolute;margin-left:299.880005pt;margin-top:741.426636pt;width:13pt;height:15.3pt;mso-position-horizontal-relative:page;mso-position-vertical-relative:page;z-index:-36681728" type="#_x0000_t202" id="docshape18" filled="false" stroked="false">
              <v:textbox inset="0,0,0,0">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9</w:t>
                    </w:r>
                    <w:r>
                      <w:rPr>
                        <w:rFonts w:ascii="Times New Roman"/>
                        <w:spacing w:val="-10"/>
                      </w:rPr>
                      <w:fldChar w:fldCharType="end"/>
                    </w:r>
                  </w:p>
                </w:txbxContent>
              </v:textbox>
              <w10:wrap type="none"/>
            </v:shape>
          </w:pict>
        </mc:Fallback>
      </mc:AlternateContent>
    </w:r>
  </w:p>
</w:ftr>
</file>

<file path=word/footer7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07456">
              <wp:simplePos x="0" y="0"/>
              <wp:positionH relativeFrom="page">
                <wp:posOffset>3771900</wp:posOffset>
              </wp:positionH>
              <wp:positionV relativeFrom="page">
                <wp:posOffset>9416118</wp:posOffset>
              </wp:positionV>
              <wp:extent cx="241300" cy="194310"/>
              <wp:effectExtent l="0" t="0" r="0" b="0"/>
              <wp:wrapNone/>
              <wp:docPr id="142" name="Textbox 142"/>
              <wp:cNvGraphicFramePr>
                <a:graphicFrameLocks/>
              </wp:cNvGraphicFramePr>
              <a:graphic>
                <a:graphicData uri="http://schemas.microsoft.com/office/word/2010/wordprocessingShape">
                  <wps:wsp>
                    <wps:cNvPr id="142" name="Textbox 142"/>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09024" type="#_x0000_t202" id="docshape14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81</w:t>
                    </w:r>
                    <w:r>
                      <w:rPr>
                        <w:rFonts w:ascii="Times New Roman"/>
                        <w:spacing w:val="-5"/>
                      </w:rPr>
                      <w:fldChar w:fldCharType="end"/>
                    </w:r>
                  </w:p>
                </w:txbxContent>
              </v:textbox>
              <w10:wrap type="none"/>
            </v:shape>
          </w:pict>
        </mc:Fallback>
      </mc:AlternateContent>
    </w:r>
  </w:p>
</w:ftr>
</file>

<file path=word/footer7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08480">
              <wp:simplePos x="0" y="0"/>
              <wp:positionH relativeFrom="page">
                <wp:posOffset>3771900</wp:posOffset>
              </wp:positionH>
              <wp:positionV relativeFrom="page">
                <wp:posOffset>9416118</wp:posOffset>
              </wp:positionV>
              <wp:extent cx="241300" cy="194310"/>
              <wp:effectExtent l="0" t="0" r="0" b="0"/>
              <wp:wrapNone/>
              <wp:docPr id="144" name="Textbox 144"/>
              <wp:cNvGraphicFramePr>
                <a:graphicFrameLocks/>
              </wp:cNvGraphicFramePr>
              <a:graphic>
                <a:graphicData uri="http://schemas.microsoft.com/office/word/2010/wordprocessingShape">
                  <wps:wsp>
                    <wps:cNvPr id="144" name="Textbox 144"/>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08000" type="#_x0000_t202" id="docshape14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82</w:t>
                    </w:r>
                    <w:r>
                      <w:rPr>
                        <w:rFonts w:ascii="Times New Roman"/>
                        <w:spacing w:val="-5"/>
                      </w:rPr>
                      <w:fldChar w:fldCharType="end"/>
                    </w:r>
                  </w:p>
                </w:txbxContent>
              </v:textbox>
              <w10:wrap type="none"/>
            </v:shape>
          </w:pict>
        </mc:Fallback>
      </mc:AlternateContent>
    </w:r>
  </w:p>
</w:ftr>
</file>

<file path=word/footer7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09504">
              <wp:simplePos x="0" y="0"/>
              <wp:positionH relativeFrom="page">
                <wp:posOffset>3771900</wp:posOffset>
              </wp:positionH>
              <wp:positionV relativeFrom="page">
                <wp:posOffset>9416118</wp:posOffset>
              </wp:positionV>
              <wp:extent cx="241300" cy="194310"/>
              <wp:effectExtent l="0" t="0" r="0" b="0"/>
              <wp:wrapNone/>
              <wp:docPr id="146" name="Textbox 146"/>
              <wp:cNvGraphicFramePr>
                <a:graphicFrameLocks/>
              </wp:cNvGraphicFramePr>
              <a:graphic>
                <a:graphicData uri="http://schemas.microsoft.com/office/word/2010/wordprocessingShape">
                  <wps:wsp>
                    <wps:cNvPr id="146" name="Textbox 146"/>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06976" type="#_x0000_t202" id="docshape14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83</w:t>
                    </w:r>
                    <w:r>
                      <w:rPr>
                        <w:rFonts w:ascii="Times New Roman"/>
                        <w:spacing w:val="-5"/>
                      </w:rPr>
                      <w:fldChar w:fldCharType="end"/>
                    </w:r>
                  </w:p>
                </w:txbxContent>
              </v:textbox>
              <w10:wrap type="none"/>
            </v:shape>
          </w:pict>
        </mc:Fallback>
      </mc:AlternateContent>
    </w:r>
  </w:p>
</w:ftr>
</file>

<file path=word/footer7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10528">
              <wp:simplePos x="0" y="0"/>
              <wp:positionH relativeFrom="page">
                <wp:posOffset>3771900</wp:posOffset>
              </wp:positionH>
              <wp:positionV relativeFrom="page">
                <wp:posOffset>9416118</wp:posOffset>
              </wp:positionV>
              <wp:extent cx="241300" cy="194310"/>
              <wp:effectExtent l="0" t="0" r="0" b="0"/>
              <wp:wrapNone/>
              <wp:docPr id="148" name="Textbox 148"/>
              <wp:cNvGraphicFramePr>
                <a:graphicFrameLocks/>
              </wp:cNvGraphicFramePr>
              <a:graphic>
                <a:graphicData uri="http://schemas.microsoft.com/office/word/2010/wordprocessingShape">
                  <wps:wsp>
                    <wps:cNvPr id="148" name="Textbox 148"/>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05952" type="#_x0000_t202" id="docshape14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84</w:t>
                    </w:r>
                    <w:r>
                      <w:rPr>
                        <w:rFonts w:ascii="Times New Roman"/>
                        <w:spacing w:val="-5"/>
                      </w:rPr>
                      <w:fldChar w:fldCharType="end"/>
                    </w:r>
                  </w:p>
                </w:txbxContent>
              </v:textbox>
              <w10:wrap type="none"/>
            </v:shape>
          </w:pict>
        </mc:Fallback>
      </mc:AlternateContent>
    </w:r>
  </w:p>
</w:ftr>
</file>

<file path=word/footer7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11552">
              <wp:simplePos x="0" y="0"/>
              <wp:positionH relativeFrom="page">
                <wp:posOffset>3771900</wp:posOffset>
              </wp:positionH>
              <wp:positionV relativeFrom="page">
                <wp:posOffset>9416118</wp:posOffset>
              </wp:positionV>
              <wp:extent cx="241300" cy="194310"/>
              <wp:effectExtent l="0" t="0" r="0" b="0"/>
              <wp:wrapNone/>
              <wp:docPr id="150" name="Textbox 150"/>
              <wp:cNvGraphicFramePr>
                <a:graphicFrameLocks/>
              </wp:cNvGraphicFramePr>
              <a:graphic>
                <a:graphicData uri="http://schemas.microsoft.com/office/word/2010/wordprocessingShape">
                  <wps:wsp>
                    <wps:cNvPr id="150" name="Textbox 150"/>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04928" type="#_x0000_t202" id="docshape15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85</w:t>
                    </w:r>
                    <w:r>
                      <w:rPr>
                        <w:rFonts w:ascii="Times New Roman"/>
                        <w:spacing w:val="-5"/>
                      </w:rPr>
                      <w:fldChar w:fldCharType="end"/>
                    </w:r>
                  </w:p>
                </w:txbxContent>
              </v:textbox>
              <w10:wrap type="none"/>
            </v:shape>
          </w:pict>
        </mc:Fallback>
      </mc:AlternateContent>
    </w:r>
  </w:p>
</w:ftr>
</file>

<file path=word/footer7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12576">
              <wp:simplePos x="0" y="0"/>
              <wp:positionH relativeFrom="page">
                <wp:posOffset>3771900</wp:posOffset>
              </wp:positionH>
              <wp:positionV relativeFrom="page">
                <wp:posOffset>9416118</wp:posOffset>
              </wp:positionV>
              <wp:extent cx="241300" cy="194310"/>
              <wp:effectExtent l="0" t="0" r="0" b="0"/>
              <wp:wrapNone/>
              <wp:docPr id="152" name="Textbox 152"/>
              <wp:cNvGraphicFramePr>
                <a:graphicFrameLocks/>
              </wp:cNvGraphicFramePr>
              <a:graphic>
                <a:graphicData uri="http://schemas.microsoft.com/office/word/2010/wordprocessingShape">
                  <wps:wsp>
                    <wps:cNvPr id="152" name="Textbox 152"/>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03904" type="#_x0000_t202" id="docshape15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86</w:t>
                    </w:r>
                    <w:r>
                      <w:rPr>
                        <w:rFonts w:ascii="Times New Roman"/>
                        <w:spacing w:val="-5"/>
                      </w:rPr>
                      <w:fldChar w:fldCharType="end"/>
                    </w:r>
                  </w:p>
                </w:txbxContent>
              </v:textbox>
              <w10:wrap type="none"/>
            </v:shape>
          </w:pict>
        </mc:Fallback>
      </mc:AlternateContent>
    </w:r>
  </w:p>
</w:ftr>
</file>

<file path=word/footer7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13600">
              <wp:simplePos x="0" y="0"/>
              <wp:positionH relativeFrom="page">
                <wp:posOffset>3771900</wp:posOffset>
              </wp:positionH>
              <wp:positionV relativeFrom="page">
                <wp:posOffset>9416118</wp:posOffset>
              </wp:positionV>
              <wp:extent cx="241300" cy="194310"/>
              <wp:effectExtent l="0" t="0" r="0" b="0"/>
              <wp:wrapNone/>
              <wp:docPr id="154" name="Textbox 154"/>
              <wp:cNvGraphicFramePr>
                <a:graphicFrameLocks/>
              </wp:cNvGraphicFramePr>
              <a:graphic>
                <a:graphicData uri="http://schemas.microsoft.com/office/word/2010/wordprocessingShape">
                  <wps:wsp>
                    <wps:cNvPr id="154" name="Textbox 154"/>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02880" type="#_x0000_t202" id="docshape15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87</w:t>
                    </w:r>
                    <w:r>
                      <w:rPr>
                        <w:rFonts w:ascii="Times New Roman"/>
                        <w:spacing w:val="-5"/>
                      </w:rPr>
                      <w:fldChar w:fldCharType="end"/>
                    </w:r>
                  </w:p>
                </w:txbxContent>
              </v:textbox>
              <w10:wrap type="none"/>
            </v:shape>
          </w:pict>
        </mc:Fallback>
      </mc:AlternateContent>
    </w:r>
  </w:p>
</w:ftr>
</file>

<file path=word/footer7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14624">
              <wp:simplePos x="0" y="0"/>
              <wp:positionH relativeFrom="page">
                <wp:posOffset>3771900</wp:posOffset>
              </wp:positionH>
              <wp:positionV relativeFrom="page">
                <wp:posOffset>9416118</wp:posOffset>
              </wp:positionV>
              <wp:extent cx="241300" cy="194310"/>
              <wp:effectExtent l="0" t="0" r="0" b="0"/>
              <wp:wrapNone/>
              <wp:docPr id="156" name="Textbox 156"/>
              <wp:cNvGraphicFramePr>
                <a:graphicFrameLocks/>
              </wp:cNvGraphicFramePr>
              <a:graphic>
                <a:graphicData uri="http://schemas.microsoft.com/office/word/2010/wordprocessingShape">
                  <wps:wsp>
                    <wps:cNvPr id="156" name="Textbox 156"/>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01856" type="#_x0000_t202" id="docshape15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88</w:t>
                    </w:r>
                    <w:r>
                      <w:rPr>
                        <w:rFonts w:ascii="Times New Roman"/>
                        <w:spacing w:val="-5"/>
                      </w:rPr>
                      <w:fldChar w:fldCharType="end"/>
                    </w:r>
                  </w:p>
                </w:txbxContent>
              </v:textbox>
              <w10:wrap type="none"/>
            </v:shape>
          </w:pict>
        </mc:Fallback>
      </mc:AlternateContent>
    </w:r>
  </w:p>
</w:ftr>
</file>

<file path=word/footer7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15648">
              <wp:simplePos x="0" y="0"/>
              <wp:positionH relativeFrom="page">
                <wp:posOffset>3771900</wp:posOffset>
              </wp:positionH>
              <wp:positionV relativeFrom="page">
                <wp:posOffset>9416118</wp:posOffset>
              </wp:positionV>
              <wp:extent cx="241300" cy="194310"/>
              <wp:effectExtent l="0" t="0" r="0" b="0"/>
              <wp:wrapNone/>
              <wp:docPr id="158" name="Textbox 158"/>
              <wp:cNvGraphicFramePr>
                <a:graphicFrameLocks/>
              </wp:cNvGraphicFramePr>
              <a:graphic>
                <a:graphicData uri="http://schemas.microsoft.com/office/word/2010/wordprocessingShape">
                  <wps:wsp>
                    <wps:cNvPr id="158" name="Textbox 158"/>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00832" type="#_x0000_t202" id="docshape15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89</w:t>
                    </w:r>
                    <w:r>
                      <w:rPr>
                        <w:rFonts w:ascii="Times New Roman"/>
                        <w:spacing w:val="-5"/>
                      </w:rPr>
                      <w:fldChar w:fldCharType="end"/>
                    </w:r>
                  </w:p>
                </w:txbxContent>
              </v:textbox>
              <w10:wrap type="none"/>
            </v:shape>
          </w:pict>
        </mc:Fallback>
      </mc:AlternateContent>
    </w:r>
  </w:p>
</w:ftr>
</file>

<file path=word/footer7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16672">
              <wp:simplePos x="0" y="0"/>
              <wp:positionH relativeFrom="page">
                <wp:posOffset>3771900</wp:posOffset>
              </wp:positionH>
              <wp:positionV relativeFrom="page">
                <wp:posOffset>9416118</wp:posOffset>
              </wp:positionV>
              <wp:extent cx="241300" cy="194310"/>
              <wp:effectExtent l="0" t="0" r="0" b="0"/>
              <wp:wrapNone/>
              <wp:docPr id="160" name="Textbox 160"/>
              <wp:cNvGraphicFramePr>
                <a:graphicFrameLocks/>
              </wp:cNvGraphicFramePr>
              <a:graphic>
                <a:graphicData uri="http://schemas.microsoft.com/office/word/2010/wordprocessingShape">
                  <wps:wsp>
                    <wps:cNvPr id="160" name="Textbox 160"/>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599808" type="#_x0000_t202" id="docshape16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90</w:t>
                    </w:r>
                    <w:r>
                      <w:rPr>
                        <w:rFonts w:ascii="Times New Roman"/>
                        <w:spacing w:val="-5"/>
                      </w:rPr>
                      <w:fldChar w:fldCharType="end"/>
                    </w:r>
                  </w:p>
                </w:txbxContent>
              </v:textbox>
              <w10:wrap type="none"/>
            </v:shap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44992">
              <wp:simplePos x="0" y="0"/>
              <wp:positionH relativeFrom="page">
                <wp:posOffset>3771900</wp:posOffset>
              </wp:positionH>
              <wp:positionV relativeFrom="page">
                <wp:posOffset>9416118</wp:posOffset>
              </wp:positionV>
              <wp:extent cx="241300" cy="194310"/>
              <wp:effectExtent l="0" t="0" r="0" b="0"/>
              <wp:wrapNone/>
              <wp:docPr id="20" name="Textbox 20"/>
              <wp:cNvGraphicFramePr>
                <a:graphicFrameLocks/>
              </wp:cNvGraphicFramePr>
              <a:graphic>
                <a:graphicData uri="http://schemas.microsoft.com/office/word/2010/wordprocessingShape">
                  <wps:wsp>
                    <wps:cNvPr id="20" name="Textbox 20"/>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71488" type="#_x0000_t202" id="docshape2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w:t>
                    </w:r>
                    <w:r>
                      <w:rPr>
                        <w:rFonts w:ascii="Times New Roman"/>
                        <w:spacing w:val="-5"/>
                      </w:rPr>
                      <w:fldChar w:fldCharType="end"/>
                    </w:r>
                  </w:p>
                </w:txbxContent>
              </v:textbox>
              <w10:wrap type="none"/>
            </v:shape>
          </w:pict>
        </mc:Fallback>
      </mc:AlternateContent>
    </w:r>
  </w:p>
</w:ftr>
</file>

<file path=word/footer8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17696">
              <wp:simplePos x="0" y="0"/>
              <wp:positionH relativeFrom="page">
                <wp:posOffset>3771900</wp:posOffset>
              </wp:positionH>
              <wp:positionV relativeFrom="page">
                <wp:posOffset>9416118</wp:posOffset>
              </wp:positionV>
              <wp:extent cx="241300" cy="194310"/>
              <wp:effectExtent l="0" t="0" r="0" b="0"/>
              <wp:wrapNone/>
              <wp:docPr id="162" name="Textbox 162"/>
              <wp:cNvGraphicFramePr>
                <a:graphicFrameLocks/>
              </wp:cNvGraphicFramePr>
              <a:graphic>
                <a:graphicData uri="http://schemas.microsoft.com/office/word/2010/wordprocessingShape">
                  <wps:wsp>
                    <wps:cNvPr id="162" name="Textbox 162"/>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598784" type="#_x0000_t202" id="docshape16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91</w:t>
                    </w:r>
                    <w:r>
                      <w:rPr>
                        <w:rFonts w:ascii="Times New Roman"/>
                        <w:spacing w:val="-5"/>
                      </w:rPr>
                      <w:fldChar w:fldCharType="end"/>
                    </w:r>
                  </w:p>
                </w:txbxContent>
              </v:textbox>
              <w10:wrap type="none"/>
            </v:shape>
          </w:pict>
        </mc:Fallback>
      </mc:AlternateContent>
    </w:r>
  </w:p>
</w:ftr>
</file>

<file path=word/footer8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18720">
              <wp:simplePos x="0" y="0"/>
              <wp:positionH relativeFrom="page">
                <wp:posOffset>3771900</wp:posOffset>
              </wp:positionH>
              <wp:positionV relativeFrom="page">
                <wp:posOffset>9416118</wp:posOffset>
              </wp:positionV>
              <wp:extent cx="241300" cy="194310"/>
              <wp:effectExtent l="0" t="0" r="0" b="0"/>
              <wp:wrapNone/>
              <wp:docPr id="164" name="Textbox 164"/>
              <wp:cNvGraphicFramePr>
                <a:graphicFrameLocks/>
              </wp:cNvGraphicFramePr>
              <a:graphic>
                <a:graphicData uri="http://schemas.microsoft.com/office/word/2010/wordprocessingShape">
                  <wps:wsp>
                    <wps:cNvPr id="164" name="Textbox 164"/>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597760" type="#_x0000_t202" id="docshape16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92</w:t>
                    </w:r>
                    <w:r>
                      <w:rPr>
                        <w:rFonts w:ascii="Times New Roman"/>
                        <w:spacing w:val="-5"/>
                      </w:rPr>
                      <w:fldChar w:fldCharType="end"/>
                    </w:r>
                  </w:p>
                </w:txbxContent>
              </v:textbox>
              <w10:wrap type="none"/>
            </v:shape>
          </w:pict>
        </mc:Fallback>
      </mc:AlternateContent>
    </w:r>
  </w:p>
</w:ftr>
</file>

<file path=word/footer8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19744">
              <wp:simplePos x="0" y="0"/>
              <wp:positionH relativeFrom="page">
                <wp:posOffset>3771900</wp:posOffset>
              </wp:positionH>
              <wp:positionV relativeFrom="page">
                <wp:posOffset>9416118</wp:posOffset>
              </wp:positionV>
              <wp:extent cx="241300" cy="194310"/>
              <wp:effectExtent l="0" t="0" r="0" b="0"/>
              <wp:wrapNone/>
              <wp:docPr id="166" name="Textbox 166"/>
              <wp:cNvGraphicFramePr>
                <a:graphicFrameLocks/>
              </wp:cNvGraphicFramePr>
              <a:graphic>
                <a:graphicData uri="http://schemas.microsoft.com/office/word/2010/wordprocessingShape">
                  <wps:wsp>
                    <wps:cNvPr id="166" name="Textbox 166"/>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596736" type="#_x0000_t202" id="docshape16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93</w:t>
                    </w:r>
                    <w:r>
                      <w:rPr>
                        <w:rFonts w:ascii="Times New Roman"/>
                        <w:spacing w:val="-5"/>
                      </w:rPr>
                      <w:fldChar w:fldCharType="end"/>
                    </w:r>
                  </w:p>
                </w:txbxContent>
              </v:textbox>
              <w10:wrap type="none"/>
            </v:shape>
          </w:pict>
        </mc:Fallback>
      </mc:AlternateContent>
    </w:r>
  </w:p>
</w:ftr>
</file>

<file path=word/footer8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20768">
              <wp:simplePos x="0" y="0"/>
              <wp:positionH relativeFrom="page">
                <wp:posOffset>3771900</wp:posOffset>
              </wp:positionH>
              <wp:positionV relativeFrom="page">
                <wp:posOffset>9416118</wp:posOffset>
              </wp:positionV>
              <wp:extent cx="241300" cy="194310"/>
              <wp:effectExtent l="0" t="0" r="0" b="0"/>
              <wp:wrapNone/>
              <wp:docPr id="168" name="Textbox 168"/>
              <wp:cNvGraphicFramePr>
                <a:graphicFrameLocks/>
              </wp:cNvGraphicFramePr>
              <a:graphic>
                <a:graphicData uri="http://schemas.microsoft.com/office/word/2010/wordprocessingShape">
                  <wps:wsp>
                    <wps:cNvPr id="168" name="Textbox 168"/>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595712" type="#_x0000_t202" id="docshape16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94</w:t>
                    </w:r>
                    <w:r>
                      <w:rPr>
                        <w:rFonts w:ascii="Times New Roman"/>
                        <w:spacing w:val="-5"/>
                      </w:rPr>
                      <w:fldChar w:fldCharType="end"/>
                    </w:r>
                  </w:p>
                </w:txbxContent>
              </v:textbox>
              <w10:wrap type="none"/>
            </v:shape>
          </w:pict>
        </mc:Fallback>
      </mc:AlternateContent>
    </w:r>
  </w:p>
</w:ftr>
</file>

<file path=word/footer8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21792">
              <wp:simplePos x="0" y="0"/>
              <wp:positionH relativeFrom="page">
                <wp:posOffset>3771900</wp:posOffset>
              </wp:positionH>
              <wp:positionV relativeFrom="page">
                <wp:posOffset>9416118</wp:posOffset>
              </wp:positionV>
              <wp:extent cx="241300" cy="194310"/>
              <wp:effectExtent l="0" t="0" r="0" b="0"/>
              <wp:wrapNone/>
              <wp:docPr id="170" name="Textbox 170"/>
              <wp:cNvGraphicFramePr>
                <a:graphicFrameLocks/>
              </wp:cNvGraphicFramePr>
              <a:graphic>
                <a:graphicData uri="http://schemas.microsoft.com/office/word/2010/wordprocessingShape">
                  <wps:wsp>
                    <wps:cNvPr id="170" name="Textbox 170"/>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594688" type="#_x0000_t202" id="docshape17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95</w:t>
                    </w:r>
                    <w:r>
                      <w:rPr>
                        <w:rFonts w:ascii="Times New Roman"/>
                        <w:spacing w:val="-5"/>
                      </w:rPr>
                      <w:fldChar w:fldCharType="end"/>
                    </w:r>
                  </w:p>
                </w:txbxContent>
              </v:textbox>
              <w10:wrap type="none"/>
            </v:shape>
          </w:pict>
        </mc:Fallback>
      </mc:AlternateContent>
    </w:r>
  </w:p>
</w:ftr>
</file>

<file path=word/footer8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22816">
              <wp:simplePos x="0" y="0"/>
              <wp:positionH relativeFrom="page">
                <wp:posOffset>3771900</wp:posOffset>
              </wp:positionH>
              <wp:positionV relativeFrom="page">
                <wp:posOffset>9416118</wp:posOffset>
              </wp:positionV>
              <wp:extent cx="241300" cy="194310"/>
              <wp:effectExtent l="0" t="0" r="0" b="0"/>
              <wp:wrapNone/>
              <wp:docPr id="172" name="Textbox 172"/>
              <wp:cNvGraphicFramePr>
                <a:graphicFrameLocks/>
              </wp:cNvGraphicFramePr>
              <a:graphic>
                <a:graphicData uri="http://schemas.microsoft.com/office/word/2010/wordprocessingShape">
                  <wps:wsp>
                    <wps:cNvPr id="172" name="Textbox 172"/>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593664" type="#_x0000_t202" id="docshape17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96</w:t>
                    </w:r>
                    <w:r>
                      <w:rPr>
                        <w:rFonts w:ascii="Times New Roman"/>
                        <w:spacing w:val="-5"/>
                      </w:rPr>
                      <w:fldChar w:fldCharType="end"/>
                    </w:r>
                  </w:p>
                </w:txbxContent>
              </v:textbox>
              <w10:wrap type="none"/>
            </v:shape>
          </w:pict>
        </mc:Fallback>
      </mc:AlternateContent>
    </w:r>
  </w:p>
</w:ftr>
</file>

<file path=word/footer8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23840">
              <wp:simplePos x="0" y="0"/>
              <wp:positionH relativeFrom="page">
                <wp:posOffset>3771900</wp:posOffset>
              </wp:positionH>
              <wp:positionV relativeFrom="page">
                <wp:posOffset>9416118</wp:posOffset>
              </wp:positionV>
              <wp:extent cx="241300" cy="194310"/>
              <wp:effectExtent l="0" t="0" r="0" b="0"/>
              <wp:wrapNone/>
              <wp:docPr id="174" name="Textbox 174"/>
              <wp:cNvGraphicFramePr>
                <a:graphicFrameLocks/>
              </wp:cNvGraphicFramePr>
              <a:graphic>
                <a:graphicData uri="http://schemas.microsoft.com/office/word/2010/wordprocessingShape">
                  <wps:wsp>
                    <wps:cNvPr id="174" name="Textbox 174"/>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592640" type="#_x0000_t202" id="docshape17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97</w:t>
                    </w:r>
                    <w:r>
                      <w:rPr>
                        <w:rFonts w:ascii="Times New Roman"/>
                        <w:spacing w:val="-5"/>
                      </w:rPr>
                      <w:fldChar w:fldCharType="end"/>
                    </w:r>
                  </w:p>
                </w:txbxContent>
              </v:textbox>
              <w10:wrap type="none"/>
            </v:shape>
          </w:pict>
        </mc:Fallback>
      </mc:AlternateContent>
    </w:r>
  </w:p>
</w:ftr>
</file>

<file path=word/footer8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24864">
              <wp:simplePos x="0" y="0"/>
              <wp:positionH relativeFrom="page">
                <wp:posOffset>3771900</wp:posOffset>
              </wp:positionH>
              <wp:positionV relativeFrom="page">
                <wp:posOffset>9416118</wp:posOffset>
              </wp:positionV>
              <wp:extent cx="241300" cy="194310"/>
              <wp:effectExtent l="0" t="0" r="0" b="0"/>
              <wp:wrapNone/>
              <wp:docPr id="176" name="Textbox 176"/>
              <wp:cNvGraphicFramePr>
                <a:graphicFrameLocks/>
              </wp:cNvGraphicFramePr>
              <a:graphic>
                <a:graphicData uri="http://schemas.microsoft.com/office/word/2010/wordprocessingShape">
                  <wps:wsp>
                    <wps:cNvPr id="176" name="Textbox 176"/>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591616" type="#_x0000_t202" id="docshape17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98</w:t>
                    </w:r>
                    <w:r>
                      <w:rPr>
                        <w:rFonts w:ascii="Times New Roman"/>
                        <w:spacing w:val="-5"/>
                      </w:rPr>
                      <w:fldChar w:fldCharType="end"/>
                    </w:r>
                  </w:p>
                </w:txbxContent>
              </v:textbox>
              <w10:wrap type="none"/>
            </v:shape>
          </w:pict>
        </mc:Fallback>
      </mc:AlternateContent>
    </w:r>
  </w:p>
</w:ftr>
</file>

<file path=word/footer8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25888">
              <wp:simplePos x="0" y="0"/>
              <wp:positionH relativeFrom="page">
                <wp:posOffset>3771900</wp:posOffset>
              </wp:positionH>
              <wp:positionV relativeFrom="page">
                <wp:posOffset>9416118</wp:posOffset>
              </wp:positionV>
              <wp:extent cx="241300" cy="194310"/>
              <wp:effectExtent l="0" t="0" r="0" b="0"/>
              <wp:wrapNone/>
              <wp:docPr id="178" name="Textbox 178"/>
              <wp:cNvGraphicFramePr>
                <a:graphicFrameLocks/>
              </wp:cNvGraphicFramePr>
              <a:graphic>
                <a:graphicData uri="http://schemas.microsoft.com/office/word/2010/wordprocessingShape">
                  <wps:wsp>
                    <wps:cNvPr id="178" name="Textbox 178"/>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590592" type="#_x0000_t202" id="docshape17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99</w:t>
                    </w:r>
                    <w:r>
                      <w:rPr>
                        <w:rFonts w:ascii="Times New Roman"/>
                        <w:spacing w:val="-5"/>
                      </w:rPr>
                      <w:fldChar w:fldCharType="end"/>
                    </w:r>
                  </w:p>
                </w:txbxContent>
              </v:textbox>
              <w10:wrap type="none"/>
            </v:shape>
          </w:pict>
        </mc:Fallback>
      </mc:AlternateContent>
    </w:r>
  </w:p>
</w:ftr>
</file>

<file path=word/footer8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26912">
              <wp:simplePos x="0" y="0"/>
              <wp:positionH relativeFrom="page">
                <wp:posOffset>3732276</wp:posOffset>
              </wp:positionH>
              <wp:positionV relativeFrom="page">
                <wp:posOffset>9416118</wp:posOffset>
              </wp:positionV>
              <wp:extent cx="317500" cy="194310"/>
              <wp:effectExtent l="0" t="0" r="0" b="0"/>
              <wp:wrapNone/>
              <wp:docPr id="180" name="Textbox 180"/>
              <wp:cNvGraphicFramePr>
                <a:graphicFrameLocks/>
              </wp:cNvGraphicFramePr>
              <a:graphic>
                <a:graphicData uri="http://schemas.microsoft.com/office/word/2010/wordprocessingShape">
                  <wps:wsp>
                    <wps:cNvPr id="180" name="Textbox 18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89568" type="#_x0000_t202" id="docshape18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100</w:t>
                    </w:r>
                    <w:r>
                      <w:rPr>
                        <w:rFonts w:ascii="Times New Roman"/>
                        <w:spacing w:val="-5"/>
                      </w:rPr>
                      <w:fldChar w:fldCharType="end"/>
                    </w:r>
                  </w:p>
                </w:txbxContent>
              </v:textbox>
              <w10:wrap type="none"/>
            </v:shape>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46016">
              <wp:simplePos x="0" y="0"/>
              <wp:positionH relativeFrom="page">
                <wp:posOffset>3771900</wp:posOffset>
              </wp:positionH>
              <wp:positionV relativeFrom="page">
                <wp:posOffset>9416118</wp:posOffset>
              </wp:positionV>
              <wp:extent cx="241300" cy="194310"/>
              <wp:effectExtent l="0" t="0" r="0" b="0"/>
              <wp:wrapNone/>
              <wp:docPr id="22" name="Textbox 22"/>
              <wp:cNvGraphicFramePr>
                <a:graphicFrameLocks/>
              </wp:cNvGraphicFramePr>
              <a:graphic>
                <a:graphicData uri="http://schemas.microsoft.com/office/word/2010/wordprocessingShape">
                  <wps:wsp>
                    <wps:cNvPr id="22" name="Textbox 22"/>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741.426636pt;width:19pt;height:15.3pt;mso-position-horizontal-relative:page;mso-position-vertical-relative:page;z-index:-36670464" type="#_x0000_t202" id="docshape2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w:t>
                    </w:r>
                    <w:r>
                      <w:rPr>
                        <w:rFonts w:ascii="Times New Roman"/>
                        <w:spacing w:val="-5"/>
                      </w:rPr>
                      <w:fldChar w:fldCharType="end"/>
                    </w:r>
                  </w:p>
                </w:txbxContent>
              </v:textbox>
              <w10:wrap type="none"/>
            </v:shape>
          </w:pict>
        </mc:Fallback>
      </mc:AlternateContent>
    </w:r>
  </w:p>
</w:ftr>
</file>

<file path=word/footer9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27936">
              <wp:simplePos x="0" y="0"/>
              <wp:positionH relativeFrom="page">
                <wp:posOffset>3732276</wp:posOffset>
              </wp:positionH>
              <wp:positionV relativeFrom="page">
                <wp:posOffset>9416118</wp:posOffset>
              </wp:positionV>
              <wp:extent cx="317500" cy="194310"/>
              <wp:effectExtent l="0" t="0" r="0" b="0"/>
              <wp:wrapNone/>
              <wp:docPr id="182" name="Textbox 182"/>
              <wp:cNvGraphicFramePr>
                <a:graphicFrameLocks/>
              </wp:cNvGraphicFramePr>
              <a:graphic>
                <a:graphicData uri="http://schemas.microsoft.com/office/word/2010/wordprocessingShape">
                  <wps:wsp>
                    <wps:cNvPr id="182" name="Textbox 18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88544" type="#_x0000_t202" id="docshape18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101</w:t>
                    </w:r>
                    <w:r>
                      <w:rPr>
                        <w:rFonts w:ascii="Times New Roman"/>
                        <w:spacing w:val="-5"/>
                      </w:rPr>
                      <w:fldChar w:fldCharType="end"/>
                    </w:r>
                  </w:p>
                </w:txbxContent>
              </v:textbox>
              <w10:wrap type="none"/>
            </v:shape>
          </w:pict>
        </mc:Fallback>
      </mc:AlternateContent>
    </w:r>
  </w:p>
</w:ftr>
</file>

<file path=word/footer9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28960">
              <wp:simplePos x="0" y="0"/>
              <wp:positionH relativeFrom="page">
                <wp:posOffset>3732276</wp:posOffset>
              </wp:positionH>
              <wp:positionV relativeFrom="page">
                <wp:posOffset>9416118</wp:posOffset>
              </wp:positionV>
              <wp:extent cx="317500" cy="194310"/>
              <wp:effectExtent l="0" t="0" r="0" b="0"/>
              <wp:wrapNone/>
              <wp:docPr id="184" name="Textbox 184"/>
              <wp:cNvGraphicFramePr>
                <a:graphicFrameLocks/>
              </wp:cNvGraphicFramePr>
              <a:graphic>
                <a:graphicData uri="http://schemas.microsoft.com/office/word/2010/wordprocessingShape">
                  <wps:wsp>
                    <wps:cNvPr id="184" name="Textbox 18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87520" type="#_x0000_t202" id="docshape18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102</w:t>
                    </w:r>
                    <w:r>
                      <w:rPr>
                        <w:rFonts w:ascii="Times New Roman"/>
                        <w:spacing w:val="-5"/>
                      </w:rPr>
                      <w:fldChar w:fldCharType="end"/>
                    </w:r>
                  </w:p>
                </w:txbxContent>
              </v:textbox>
              <w10:wrap type="none"/>
            </v:shape>
          </w:pict>
        </mc:Fallback>
      </mc:AlternateContent>
    </w:r>
  </w:p>
</w:ftr>
</file>

<file path=word/footer9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29984">
              <wp:simplePos x="0" y="0"/>
              <wp:positionH relativeFrom="page">
                <wp:posOffset>3732276</wp:posOffset>
              </wp:positionH>
              <wp:positionV relativeFrom="page">
                <wp:posOffset>9416118</wp:posOffset>
              </wp:positionV>
              <wp:extent cx="317500" cy="194310"/>
              <wp:effectExtent l="0" t="0" r="0" b="0"/>
              <wp:wrapNone/>
              <wp:docPr id="186" name="Textbox 186"/>
              <wp:cNvGraphicFramePr>
                <a:graphicFrameLocks/>
              </wp:cNvGraphicFramePr>
              <a:graphic>
                <a:graphicData uri="http://schemas.microsoft.com/office/word/2010/wordprocessingShape">
                  <wps:wsp>
                    <wps:cNvPr id="186" name="Textbox 18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86496" type="#_x0000_t202" id="docshape18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103</w:t>
                    </w:r>
                    <w:r>
                      <w:rPr>
                        <w:rFonts w:ascii="Times New Roman"/>
                        <w:spacing w:val="-5"/>
                      </w:rPr>
                      <w:fldChar w:fldCharType="end"/>
                    </w:r>
                  </w:p>
                </w:txbxContent>
              </v:textbox>
              <w10:wrap type="none"/>
            </v:shape>
          </w:pict>
        </mc:Fallback>
      </mc:AlternateContent>
    </w:r>
  </w:p>
</w:ftr>
</file>

<file path=word/footer9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31008">
              <wp:simplePos x="0" y="0"/>
              <wp:positionH relativeFrom="page">
                <wp:posOffset>3732276</wp:posOffset>
              </wp:positionH>
              <wp:positionV relativeFrom="page">
                <wp:posOffset>9416118</wp:posOffset>
              </wp:positionV>
              <wp:extent cx="317500" cy="194310"/>
              <wp:effectExtent l="0" t="0" r="0" b="0"/>
              <wp:wrapNone/>
              <wp:docPr id="188" name="Textbox 188"/>
              <wp:cNvGraphicFramePr>
                <a:graphicFrameLocks/>
              </wp:cNvGraphicFramePr>
              <a:graphic>
                <a:graphicData uri="http://schemas.microsoft.com/office/word/2010/wordprocessingShape">
                  <wps:wsp>
                    <wps:cNvPr id="188" name="Textbox 18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85472" type="#_x0000_t202" id="docshape18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104</w:t>
                    </w:r>
                    <w:r>
                      <w:rPr>
                        <w:rFonts w:ascii="Times New Roman"/>
                        <w:spacing w:val="-5"/>
                      </w:rPr>
                      <w:fldChar w:fldCharType="end"/>
                    </w:r>
                  </w:p>
                </w:txbxContent>
              </v:textbox>
              <w10:wrap type="none"/>
            </v:shape>
          </w:pict>
        </mc:Fallback>
      </mc:AlternateContent>
    </w:r>
  </w:p>
</w:ftr>
</file>

<file path=word/footer9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32032">
              <wp:simplePos x="0" y="0"/>
              <wp:positionH relativeFrom="page">
                <wp:posOffset>3732276</wp:posOffset>
              </wp:positionH>
              <wp:positionV relativeFrom="page">
                <wp:posOffset>9416118</wp:posOffset>
              </wp:positionV>
              <wp:extent cx="317500" cy="194310"/>
              <wp:effectExtent l="0" t="0" r="0" b="0"/>
              <wp:wrapNone/>
              <wp:docPr id="190" name="Textbox 190"/>
              <wp:cNvGraphicFramePr>
                <a:graphicFrameLocks/>
              </wp:cNvGraphicFramePr>
              <a:graphic>
                <a:graphicData uri="http://schemas.microsoft.com/office/word/2010/wordprocessingShape">
                  <wps:wsp>
                    <wps:cNvPr id="190" name="Textbox 19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84448" type="#_x0000_t202" id="docshape19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105</w:t>
                    </w:r>
                    <w:r>
                      <w:rPr>
                        <w:rFonts w:ascii="Times New Roman"/>
                        <w:spacing w:val="-5"/>
                      </w:rPr>
                      <w:fldChar w:fldCharType="end"/>
                    </w:r>
                  </w:p>
                </w:txbxContent>
              </v:textbox>
              <w10:wrap type="none"/>
            </v:shape>
          </w:pict>
        </mc:Fallback>
      </mc:AlternateContent>
    </w:r>
  </w:p>
</w:ftr>
</file>

<file path=word/footer9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33056">
              <wp:simplePos x="0" y="0"/>
              <wp:positionH relativeFrom="page">
                <wp:posOffset>3732276</wp:posOffset>
              </wp:positionH>
              <wp:positionV relativeFrom="page">
                <wp:posOffset>9416118</wp:posOffset>
              </wp:positionV>
              <wp:extent cx="317500" cy="194310"/>
              <wp:effectExtent l="0" t="0" r="0" b="0"/>
              <wp:wrapNone/>
              <wp:docPr id="192" name="Textbox 192"/>
              <wp:cNvGraphicFramePr>
                <a:graphicFrameLocks/>
              </wp:cNvGraphicFramePr>
              <a:graphic>
                <a:graphicData uri="http://schemas.microsoft.com/office/word/2010/wordprocessingShape">
                  <wps:wsp>
                    <wps:cNvPr id="192" name="Textbox 19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83424" type="#_x0000_t202" id="docshape19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106</w:t>
                    </w:r>
                    <w:r>
                      <w:rPr>
                        <w:rFonts w:ascii="Times New Roman"/>
                        <w:spacing w:val="-5"/>
                      </w:rPr>
                      <w:fldChar w:fldCharType="end"/>
                    </w:r>
                  </w:p>
                </w:txbxContent>
              </v:textbox>
              <w10:wrap type="none"/>
            </v:shape>
          </w:pict>
        </mc:Fallback>
      </mc:AlternateContent>
    </w:r>
  </w:p>
</w:ftr>
</file>

<file path=word/footer9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34080">
              <wp:simplePos x="0" y="0"/>
              <wp:positionH relativeFrom="page">
                <wp:posOffset>3732276</wp:posOffset>
              </wp:positionH>
              <wp:positionV relativeFrom="page">
                <wp:posOffset>9416118</wp:posOffset>
              </wp:positionV>
              <wp:extent cx="317500" cy="194310"/>
              <wp:effectExtent l="0" t="0" r="0" b="0"/>
              <wp:wrapNone/>
              <wp:docPr id="194" name="Textbox 194"/>
              <wp:cNvGraphicFramePr>
                <a:graphicFrameLocks/>
              </wp:cNvGraphicFramePr>
              <a:graphic>
                <a:graphicData uri="http://schemas.microsoft.com/office/word/2010/wordprocessingShape">
                  <wps:wsp>
                    <wps:cNvPr id="194" name="Textbox 19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82400" type="#_x0000_t202" id="docshape19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107</w:t>
                    </w:r>
                    <w:r>
                      <w:rPr>
                        <w:rFonts w:ascii="Times New Roman"/>
                        <w:spacing w:val="-5"/>
                      </w:rPr>
                      <w:fldChar w:fldCharType="end"/>
                    </w:r>
                  </w:p>
                </w:txbxContent>
              </v:textbox>
              <w10:wrap type="none"/>
            </v:shape>
          </w:pict>
        </mc:Fallback>
      </mc:AlternateContent>
    </w:r>
  </w:p>
</w:ftr>
</file>

<file path=word/footer9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35104">
              <wp:simplePos x="0" y="0"/>
              <wp:positionH relativeFrom="page">
                <wp:posOffset>3732276</wp:posOffset>
              </wp:positionH>
              <wp:positionV relativeFrom="page">
                <wp:posOffset>9416118</wp:posOffset>
              </wp:positionV>
              <wp:extent cx="317500" cy="194310"/>
              <wp:effectExtent l="0" t="0" r="0" b="0"/>
              <wp:wrapNone/>
              <wp:docPr id="196" name="Textbox 196"/>
              <wp:cNvGraphicFramePr>
                <a:graphicFrameLocks/>
              </wp:cNvGraphicFramePr>
              <a:graphic>
                <a:graphicData uri="http://schemas.microsoft.com/office/word/2010/wordprocessingShape">
                  <wps:wsp>
                    <wps:cNvPr id="196" name="Textbox 19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81376" type="#_x0000_t202" id="docshape19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108</w:t>
                    </w:r>
                    <w:r>
                      <w:rPr>
                        <w:rFonts w:ascii="Times New Roman"/>
                        <w:spacing w:val="-5"/>
                      </w:rPr>
                      <w:fldChar w:fldCharType="end"/>
                    </w:r>
                  </w:p>
                </w:txbxContent>
              </v:textbox>
              <w10:wrap type="none"/>
            </v:shape>
          </w:pict>
        </mc:Fallback>
      </mc:AlternateContent>
    </w:r>
  </w:p>
</w:ftr>
</file>

<file path=word/footer9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36128">
              <wp:simplePos x="0" y="0"/>
              <wp:positionH relativeFrom="page">
                <wp:posOffset>3732276</wp:posOffset>
              </wp:positionH>
              <wp:positionV relativeFrom="page">
                <wp:posOffset>9416118</wp:posOffset>
              </wp:positionV>
              <wp:extent cx="317500" cy="194310"/>
              <wp:effectExtent l="0" t="0" r="0" b="0"/>
              <wp:wrapNone/>
              <wp:docPr id="198" name="Textbox 198"/>
              <wp:cNvGraphicFramePr>
                <a:graphicFrameLocks/>
              </wp:cNvGraphicFramePr>
              <a:graphic>
                <a:graphicData uri="http://schemas.microsoft.com/office/word/2010/wordprocessingShape">
                  <wps:wsp>
                    <wps:cNvPr id="198" name="Textbox 19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80352" type="#_x0000_t202" id="docshape19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109</w:t>
                    </w:r>
                    <w:r>
                      <w:rPr>
                        <w:rFonts w:ascii="Times New Roman"/>
                        <w:spacing w:val="-5"/>
                      </w:rPr>
                      <w:fldChar w:fldCharType="end"/>
                    </w:r>
                  </w:p>
                </w:txbxContent>
              </v:textbox>
              <w10:wrap type="none"/>
            </v:shape>
          </w:pict>
        </mc:Fallback>
      </mc:AlternateContent>
    </w:r>
  </w:p>
</w:ftr>
</file>

<file path=word/footer9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37152">
              <wp:simplePos x="0" y="0"/>
              <wp:positionH relativeFrom="page">
                <wp:posOffset>3732276</wp:posOffset>
              </wp:positionH>
              <wp:positionV relativeFrom="page">
                <wp:posOffset>9416118</wp:posOffset>
              </wp:positionV>
              <wp:extent cx="317500" cy="194310"/>
              <wp:effectExtent l="0" t="0" r="0" b="0"/>
              <wp:wrapNone/>
              <wp:docPr id="200" name="Textbox 200"/>
              <wp:cNvGraphicFramePr>
                <a:graphicFrameLocks/>
              </wp:cNvGraphicFramePr>
              <a:graphic>
                <a:graphicData uri="http://schemas.microsoft.com/office/word/2010/wordprocessingShape">
                  <wps:wsp>
                    <wps:cNvPr id="200" name="Textbox 20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741.426636pt;width:25pt;height:15.3pt;mso-position-horizontal-relative:page;mso-position-vertical-relative:page;z-index:-36579328" type="#_x0000_t202" id="docshape20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110</w:t>
                    </w:r>
                    <w:r>
                      <w:rPr>
                        <w:rFonts w:ascii="Times New Roman"/>
                        <w:spacing w:val="-5"/>
                      </w:rPr>
                      <w:fldChar w:fldCharType="end"/>
                    </w:r>
                  </w:p>
                </w:txbxContent>
              </v:textbox>
              <w10:wrap type="none"/>
            </v:shape>
          </w:pict>
        </mc:Fallback>
      </mc:AlternateContent>
    </w: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27584">
              <wp:simplePos x="0" y="0"/>
              <wp:positionH relativeFrom="page">
                <wp:posOffset>3805428</wp:posOffset>
              </wp:positionH>
              <wp:positionV relativeFrom="page">
                <wp:posOffset>445854</wp:posOffset>
              </wp:positionV>
              <wp:extent cx="173990" cy="194310"/>
              <wp:effectExtent l="0" t="0" r="0" b="0"/>
              <wp:wrapNone/>
              <wp:docPr id="1" name="Textbox 1"/>
              <wp:cNvGraphicFramePr>
                <a:graphicFrameLocks/>
              </wp:cNvGraphicFramePr>
              <a:graphic>
                <a:graphicData uri="http://schemas.microsoft.com/office/word/2010/wordprocessingShape">
                  <wps:wsp>
                    <wps:cNvPr id="1" name="Textbox 1"/>
                    <wps:cNvSpPr txBox="1"/>
                    <wps:spPr>
                      <a:xfrm>
                        <a:off x="0" y="0"/>
                        <a:ext cx="17399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 roman </w:instrText>
                          </w:r>
                          <w:r>
                            <w:rPr>
                              <w:rFonts w:ascii="Times New Roman"/>
                              <w:spacing w:val="-5"/>
                            </w:rPr>
                            <w:fldChar w:fldCharType="separate"/>
                          </w:r>
                          <w:r>
                            <w:rPr>
                              <w:rFonts w:ascii="Times New Roman"/>
                              <w:spacing w:val="-5"/>
                            </w:rPr>
                            <w:t>ii</w:t>
                          </w:r>
                          <w:r>
                            <w:rPr>
                              <w:rFonts w:ascii="Times New Roman"/>
                              <w:spacing w:val="-5"/>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99.640015pt;margin-top:35.10664pt;width:13.7pt;height:15.3pt;mso-position-horizontal-relative:page;mso-position-vertical-relative:page;z-index:-36688896" type="#_x0000_t202" id="docshape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 roman </w:instrText>
                    </w:r>
                    <w:r>
                      <w:rPr>
                        <w:rFonts w:ascii="Times New Roman"/>
                        <w:spacing w:val="-5"/>
                      </w:rPr>
                      <w:fldChar w:fldCharType="separate"/>
                    </w:r>
                    <w:r>
                      <w:rPr>
                        <w:rFonts w:ascii="Times New Roman"/>
                        <w:spacing w:val="-5"/>
                      </w:rPr>
                      <w:t>ii</w:t>
                    </w:r>
                    <w:r>
                      <w:rPr>
                        <w:rFonts w:ascii="Times New Roman"/>
                        <w:spacing w:val="-5"/>
                      </w:rPr>
                      <w:fldChar w:fldCharType="end"/>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45504">
              <wp:simplePos x="0" y="0"/>
              <wp:positionH relativeFrom="page">
                <wp:posOffset>3771900</wp:posOffset>
              </wp:positionH>
              <wp:positionV relativeFrom="page">
                <wp:posOffset>445854</wp:posOffset>
              </wp:positionV>
              <wp:extent cx="241300" cy="194310"/>
              <wp:effectExtent l="0" t="0" r="0" b="0"/>
              <wp:wrapNone/>
              <wp:docPr id="21" name="Textbox 21"/>
              <wp:cNvGraphicFramePr>
                <a:graphicFrameLocks/>
              </wp:cNvGraphicFramePr>
              <a:graphic>
                <a:graphicData uri="http://schemas.microsoft.com/office/word/2010/wordprocessingShape">
                  <wps:wsp>
                    <wps:cNvPr id="21" name="Textbox 21"/>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70976" type="#_x0000_t202" id="docshape2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w:t>
                    </w:r>
                    <w:r>
                      <w:rPr>
                        <w:rFonts w:ascii="Times New Roman"/>
                        <w:spacing w:val="-5"/>
                      </w:rPr>
                      <w:fldChar w:fldCharType="end"/>
                    </w:r>
                  </w:p>
                </w:txbxContent>
              </v:textbox>
              <w10:wrap type="none"/>
            </v:shape>
          </w:pict>
        </mc:Fallback>
      </mc:AlternateContent>
    </w:r>
  </w:p>
</w:hdr>
</file>

<file path=word/header10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36640">
              <wp:simplePos x="0" y="0"/>
              <wp:positionH relativeFrom="page">
                <wp:posOffset>3732276</wp:posOffset>
              </wp:positionH>
              <wp:positionV relativeFrom="page">
                <wp:posOffset>445854</wp:posOffset>
              </wp:positionV>
              <wp:extent cx="317500" cy="194310"/>
              <wp:effectExtent l="0" t="0" r="0" b="0"/>
              <wp:wrapNone/>
              <wp:docPr id="199" name="Textbox 199"/>
              <wp:cNvGraphicFramePr>
                <a:graphicFrameLocks/>
              </wp:cNvGraphicFramePr>
              <a:graphic>
                <a:graphicData uri="http://schemas.microsoft.com/office/word/2010/wordprocessingShape">
                  <wps:wsp>
                    <wps:cNvPr id="199" name="Textbox 19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79840" type="#_x0000_t202" id="docshape19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110</w:t>
                    </w:r>
                    <w:r>
                      <w:rPr>
                        <w:rFonts w:ascii="Times New Roman"/>
                        <w:spacing w:val="-5"/>
                      </w:rPr>
                      <w:fldChar w:fldCharType="end"/>
                    </w:r>
                  </w:p>
                </w:txbxContent>
              </v:textbox>
              <w10:wrap type="none"/>
            </v:shape>
          </w:pict>
        </mc:Fallback>
      </mc:AlternateContent>
    </w:r>
  </w:p>
</w:hdr>
</file>

<file path=word/header10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37664">
              <wp:simplePos x="0" y="0"/>
              <wp:positionH relativeFrom="page">
                <wp:posOffset>3732276</wp:posOffset>
              </wp:positionH>
              <wp:positionV relativeFrom="page">
                <wp:posOffset>445854</wp:posOffset>
              </wp:positionV>
              <wp:extent cx="317500" cy="194310"/>
              <wp:effectExtent l="0" t="0" r="0" b="0"/>
              <wp:wrapNone/>
              <wp:docPr id="201" name="Textbox 201"/>
              <wp:cNvGraphicFramePr>
                <a:graphicFrameLocks/>
              </wp:cNvGraphicFramePr>
              <a:graphic>
                <a:graphicData uri="http://schemas.microsoft.com/office/word/2010/wordprocessingShape">
                  <wps:wsp>
                    <wps:cNvPr id="201" name="Textbox 20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78816" type="#_x0000_t202" id="docshape20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111</w:t>
                    </w:r>
                    <w:r>
                      <w:rPr>
                        <w:rFonts w:ascii="Times New Roman"/>
                        <w:spacing w:val="-5"/>
                      </w:rPr>
                      <w:fldChar w:fldCharType="end"/>
                    </w:r>
                  </w:p>
                </w:txbxContent>
              </v:textbox>
              <w10:wrap type="none"/>
            </v:shape>
          </w:pict>
        </mc:Fallback>
      </mc:AlternateContent>
    </w:r>
  </w:p>
</w:hdr>
</file>

<file path=word/header10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38688">
              <wp:simplePos x="0" y="0"/>
              <wp:positionH relativeFrom="page">
                <wp:posOffset>3732276</wp:posOffset>
              </wp:positionH>
              <wp:positionV relativeFrom="page">
                <wp:posOffset>445854</wp:posOffset>
              </wp:positionV>
              <wp:extent cx="317500" cy="194310"/>
              <wp:effectExtent l="0" t="0" r="0" b="0"/>
              <wp:wrapNone/>
              <wp:docPr id="203" name="Textbox 203"/>
              <wp:cNvGraphicFramePr>
                <a:graphicFrameLocks/>
              </wp:cNvGraphicFramePr>
              <a:graphic>
                <a:graphicData uri="http://schemas.microsoft.com/office/word/2010/wordprocessingShape">
                  <wps:wsp>
                    <wps:cNvPr id="203" name="Textbox 20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77792" type="#_x0000_t202" id="docshape20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112</w:t>
                    </w:r>
                    <w:r>
                      <w:rPr>
                        <w:rFonts w:ascii="Times New Roman"/>
                        <w:spacing w:val="-5"/>
                      </w:rPr>
                      <w:fldChar w:fldCharType="end"/>
                    </w:r>
                  </w:p>
                </w:txbxContent>
              </v:textbox>
              <w10:wrap type="none"/>
            </v:shape>
          </w:pict>
        </mc:Fallback>
      </mc:AlternateContent>
    </w:r>
  </w:p>
</w:hdr>
</file>

<file path=word/header10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39712">
              <wp:simplePos x="0" y="0"/>
              <wp:positionH relativeFrom="page">
                <wp:posOffset>3732276</wp:posOffset>
              </wp:positionH>
              <wp:positionV relativeFrom="page">
                <wp:posOffset>445854</wp:posOffset>
              </wp:positionV>
              <wp:extent cx="317500" cy="194310"/>
              <wp:effectExtent l="0" t="0" r="0" b="0"/>
              <wp:wrapNone/>
              <wp:docPr id="205" name="Textbox 205"/>
              <wp:cNvGraphicFramePr>
                <a:graphicFrameLocks/>
              </wp:cNvGraphicFramePr>
              <a:graphic>
                <a:graphicData uri="http://schemas.microsoft.com/office/word/2010/wordprocessingShape">
                  <wps:wsp>
                    <wps:cNvPr id="205" name="Textbox 20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76768" type="#_x0000_t202" id="docshape20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113</w:t>
                    </w:r>
                    <w:r>
                      <w:rPr>
                        <w:rFonts w:ascii="Times New Roman"/>
                        <w:spacing w:val="-5"/>
                      </w:rPr>
                      <w:fldChar w:fldCharType="end"/>
                    </w:r>
                  </w:p>
                </w:txbxContent>
              </v:textbox>
              <w10:wrap type="none"/>
            </v:shape>
          </w:pict>
        </mc:Fallback>
      </mc:AlternateContent>
    </w:r>
  </w:p>
</w:hdr>
</file>

<file path=word/header10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40736">
              <wp:simplePos x="0" y="0"/>
              <wp:positionH relativeFrom="page">
                <wp:posOffset>3732276</wp:posOffset>
              </wp:positionH>
              <wp:positionV relativeFrom="page">
                <wp:posOffset>445854</wp:posOffset>
              </wp:positionV>
              <wp:extent cx="317500" cy="194310"/>
              <wp:effectExtent l="0" t="0" r="0" b="0"/>
              <wp:wrapNone/>
              <wp:docPr id="207" name="Textbox 207"/>
              <wp:cNvGraphicFramePr>
                <a:graphicFrameLocks/>
              </wp:cNvGraphicFramePr>
              <a:graphic>
                <a:graphicData uri="http://schemas.microsoft.com/office/word/2010/wordprocessingShape">
                  <wps:wsp>
                    <wps:cNvPr id="207" name="Textbox 20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75744" type="#_x0000_t202" id="docshape20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114</w:t>
                    </w:r>
                    <w:r>
                      <w:rPr>
                        <w:rFonts w:ascii="Times New Roman"/>
                        <w:spacing w:val="-5"/>
                      </w:rPr>
                      <w:fldChar w:fldCharType="end"/>
                    </w:r>
                  </w:p>
                </w:txbxContent>
              </v:textbox>
              <w10:wrap type="none"/>
            </v:shape>
          </w:pict>
        </mc:Fallback>
      </mc:AlternateContent>
    </w:r>
  </w:p>
</w:hdr>
</file>

<file path=word/header10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41760">
              <wp:simplePos x="0" y="0"/>
              <wp:positionH relativeFrom="page">
                <wp:posOffset>3732276</wp:posOffset>
              </wp:positionH>
              <wp:positionV relativeFrom="page">
                <wp:posOffset>445854</wp:posOffset>
              </wp:positionV>
              <wp:extent cx="317500" cy="194310"/>
              <wp:effectExtent l="0" t="0" r="0" b="0"/>
              <wp:wrapNone/>
              <wp:docPr id="209" name="Textbox 209"/>
              <wp:cNvGraphicFramePr>
                <a:graphicFrameLocks/>
              </wp:cNvGraphicFramePr>
              <a:graphic>
                <a:graphicData uri="http://schemas.microsoft.com/office/word/2010/wordprocessingShape">
                  <wps:wsp>
                    <wps:cNvPr id="209" name="Textbox 20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74720" type="#_x0000_t202" id="docshape20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115</w:t>
                    </w:r>
                    <w:r>
                      <w:rPr>
                        <w:rFonts w:ascii="Times New Roman"/>
                        <w:spacing w:val="-5"/>
                      </w:rPr>
                      <w:fldChar w:fldCharType="end"/>
                    </w:r>
                  </w:p>
                </w:txbxContent>
              </v:textbox>
              <w10:wrap type="none"/>
            </v:shape>
          </w:pict>
        </mc:Fallback>
      </mc:AlternateContent>
    </w:r>
  </w:p>
</w:hdr>
</file>

<file path=word/header10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42784">
              <wp:simplePos x="0" y="0"/>
              <wp:positionH relativeFrom="page">
                <wp:posOffset>3732276</wp:posOffset>
              </wp:positionH>
              <wp:positionV relativeFrom="page">
                <wp:posOffset>445854</wp:posOffset>
              </wp:positionV>
              <wp:extent cx="317500" cy="194310"/>
              <wp:effectExtent l="0" t="0" r="0" b="0"/>
              <wp:wrapNone/>
              <wp:docPr id="211" name="Textbox 211"/>
              <wp:cNvGraphicFramePr>
                <a:graphicFrameLocks/>
              </wp:cNvGraphicFramePr>
              <a:graphic>
                <a:graphicData uri="http://schemas.microsoft.com/office/word/2010/wordprocessingShape">
                  <wps:wsp>
                    <wps:cNvPr id="211" name="Textbox 21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73696" type="#_x0000_t202" id="docshape21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116</w:t>
                    </w:r>
                    <w:r>
                      <w:rPr>
                        <w:rFonts w:ascii="Times New Roman"/>
                        <w:spacing w:val="-5"/>
                      </w:rPr>
                      <w:fldChar w:fldCharType="end"/>
                    </w:r>
                  </w:p>
                </w:txbxContent>
              </v:textbox>
              <w10:wrap type="none"/>
            </v:shape>
          </w:pict>
        </mc:Fallback>
      </mc:AlternateContent>
    </w:r>
  </w:p>
</w:hdr>
</file>

<file path=word/header10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43808">
              <wp:simplePos x="0" y="0"/>
              <wp:positionH relativeFrom="page">
                <wp:posOffset>3732276</wp:posOffset>
              </wp:positionH>
              <wp:positionV relativeFrom="page">
                <wp:posOffset>445854</wp:posOffset>
              </wp:positionV>
              <wp:extent cx="317500" cy="194310"/>
              <wp:effectExtent l="0" t="0" r="0" b="0"/>
              <wp:wrapNone/>
              <wp:docPr id="213" name="Textbox 213"/>
              <wp:cNvGraphicFramePr>
                <a:graphicFrameLocks/>
              </wp:cNvGraphicFramePr>
              <a:graphic>
                <a:graphicData uri="http://schemas.microsoft.com/office/word/2010/wordprocessingShape">
                  <wps:wsp>
                    <wps:cNvPr id="213" name="Textbox 21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72672" type="#_x0000_t202" id="docshape21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117</w:t>
                    </w:r>
                    <w:r>
                      <w:rPr>
                        <w:rFonts w:ascii="Times New Roman"/>
                        <w:spacing w:val="-5"/>
                      </w:rPr>
                      <w:fldChar w:fldCharType="end"/>
                    </w:r>
                  </w:p>
                </w:txbxContent>
              </v:textbox>
              <w10:wrap type="none"/>
            </v:shape>
          </w:pict>
        </mc:Fallback>
      </mc:AlternateContent>
    </w:r>
  </w:p>
</w:hdr>
</file>

<file path=word/header10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44832">
              <wp:simplePos x="0" y="0"/>
              <wp:positionH relativeFrom="page">
                <wp:posOffset>3732276</wp:posOffset>
              </wp:positionH>
              <wp:positionV relativeFrom="page">
                <wp:posOffset>445854</wp:posOffset>
              </wp:positionV>
              <wp:extent cx="317500" cy="194310"/>
              <wp:effectExtent l="0" t="0" r="0" b="0"/>
              <wp:wrapNone/>
              <wp:docPr id="215" name="Textbox 215"/>
              <wp:cNvGraphicFramePr>
                <a:graphicFrameLocks/>
              </wp:cNvGraphicFramePr>
              <a:graphic>
                <a:graphicData uri="http://schemas.microsoft.com/office/word/2010/wordprocessingShape">
                  <wps:wsp>
                    <wps:cNvPr id="215" name="Textbox 21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71648" type="#_x0000_t202" id="docshape21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118</w:t>
                    </w:r>
                    <w:r>
                      <w:rPr>
                        <w:rFonts w:ascii="Times New Roman"/>
                        <w:spacing w:val="-5"/>
                      </w:rPr>
                      <w:fldChar w:fldCharType="end"/>
                    </w:r>
                  </w:p>
                </w:txbxContent>
              </v:textbox>
              <w10:wrap type="none"/>
            </v:shape>
          </w:pict>
        </mc:Fallback>
      </mc:AlternateContent>
    </w:r>
  </w:p>
</w:hdr>
</file>

<file path=word/header10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45856">
              <wp:simplePos x="0" y="0"/>
              <wp:positionH relativeFrom="page">
                <wp:posOffset>3732276</wp:posOffset>
              </wp:positionH>
              <wp:positionV relativeFrom="page">
                <wp:posOffset>445854</wp:posOffset>
              </wp:positionV>
              <wp:extent cx="317500" cy="194310"/>
              <wp:effectExtent l="0" t="0" r="0" b="0"/>
              <wp:wrapNone/>
              <wp:docPr id="217" name="Textbox 217"/>
              <wp:cNvGraphicFramePr>
                <a:graphicFrameLocks/>
              </wp:cNvGraphicFramePr>
              <a:graphic>
                <a:graphicData uri="http://schemas.microsoft.com/office/word/2010/wordprocessingShape">
                  <wps:wsp>
                    <wps:cNvPr id="217" name="Textbox 21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70624" type="#_x0000_t202" id="docshape21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119</w:t>
                    </w:r>
                    <w:r>
                      <w:rPr>
                        <w:rFonts w:ascii="Times New Roman"/>
                        <w:spacing w:val="-5"/>
                      </w:rPr>
                      <w:fldChar w:fldCharType="end"/>
                    </w:r>
                  </w:p>
                </w:txbxContent>
              </v:textbox>
              <w10:wrap type="none"/>
            </v:shape>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46528">
              <wp:simplePos x="0" y="0"/>
              <wp:positionH relativeFrom="page">
                <wp:posOffset>3771900</wp:posOffset>
              </wp:positionH>
              <wp:positionV relativeFrom="page">
                <wp:posOffset>445854</wp:posOffset>
              </wp:positionV>
              <wp:extent cx="241300" cy="194310"/>
              <wp:effectExtent l="0" t="0" r="0" b="0"/>
              <wp:wrapNone/>
              <wp:docPr id="23" name="Textbox 23"/>
              <wp:cNvGraphicFramePr>
                <a:graphicFrameLocks/>
              </wp:cNvGraphicFramePr>
              <a:graphic>
                <a:graphicData uri="http://schemas.microsoft.com/office/word/2010/wordprocessingShape">
                  <wps:wsp>
                    <wps:cNvPr id="23" name="Textbox 23"/>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69952" type="#_x0000_t202" id="docshape2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w:t>
                    </w:r>
                    <w:r>
                      <w:rPr>
                        <w:rFonts w:ascii="Times New Roman"/>
                        <w:spacing w:val="-5"/>
                      </w:rPr>
                      <w:fldChar w:fldCharType="end"/>
                    </w:r>
                  </w:p>
                </w:txbxContent>
              </v:textbox>
              <w10:wrap type="none"/>
            </v:shape>
          </w:pict>
        </mc:Fallback>
      </mc:AlternateContent>
    </w:r>
  </w:p>
</w:hdr>
</file>

<file path=word/header1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46880">
              <wp:simplePos x="0" y="0"/>
              <wp:positionH relativeFrom="page">
                <wp:posOffset>3732276</wp:posOffset>
              </wp:positionH>
              <wp:positionV relativeFrom="page">
                <wp:posOffset>445854</wp:posOffset>
              </wp:positionV>
              <wp:extent cx="317500" cy="194310"/>
              <wp:effectExtent l="0" t="0" r="0" b="0"/>
              <wp:wrapNone/>
              <wp:docPr id="219" name="Textbox 219"/>
              <wp:cNvGraphicFramePr>
                <a:graphicFrameLocks/>
              </wp:cNvGraphicFramePr>
              <a:graphic>
                <a:graphicData uri="http://schemas.microsoft.com/office/word/2010/wordprocessingShape">
                  <wps:wsp>
                    <wps:cNvPr id="219" name="Textbox 21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69600" type="#_x0000_t202" id="docshape21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120</w:t>
                    </w:r>
                    <w:r>
                      <w:rPr>
                        <w:rFonts w:ascii="Times New Roman"/>
                        <w:spacing w:val="-5"/>
                      </w:rPr>
                      <w:fldChar w:fldCharType="end"/>
                    </w:r>
                  </w:p>
                </w:txbxContent>
              </v:textbox>
              <w10:wrap type="none"/>
            </v:shape>
          </w:pict>
        </mc:Fallback>
      </mc:AlternateContent>
    </w:r>
  </w:p>
</w:hdr>
</file>

<file path=word/header1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47904">
              <wp:simplePos x="0" y="0"/>
              <wp:positionH relativeFrom="page">
                <wp:posOffset>3732276</wp:posOffset>
              </wp:positionH>
              <wp:positionV relativeFrom="page">
                <wp:posOffset>445854</wp:posOffset>
              </wp:positionV>
              <wp:extent cx="317500" cy="194310"/>
              <wp:effectExtent l="0" t="0" r="0" b="0"/>
              <wp:wrapNone/>
              <wp:docPr id="221" name="Textbox 221"/>
              <wp:cNvGraphicFramePr>
                <a:graphicFrameLocks/>
              </wp:cNvGraphicFramePr>
              <a:graphic>
                <a:graphicData uri="http://schemas.microsoft.com/office/word/2010/wordprocessingShape">
                  <wps:wsp>
                    <wps:cNvPr id="221" name="Textbox 22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68576" type="#_x0000_t202" id="docshape22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121</w:t>
                    </w:r>
                    <w:r>
                      <w:rPr>
                        <w:rFonts w:ascii="Times New Roman"/>
                        <w:spacing w:val="-5"/>
                      </w:rPr>
                      <w:fldChar w:fldCharType="end"/>
                    </w:r>
                  </w:p>
                </w:txbxContent>
              </v:textbox>
              <w10:wrap type="none"/>
            </v:shape>
          </w:pict>
        </mc:Fallback>
      </mc:AlternateContent>
    </w:r>
  </w:p>
</w:hdr>
</file>

<file path=word/header1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48928">
              <wp:simplePos x="0" y="0"/>
              <wp:positionH relativeFrom="page">
                <wp:posOffset>3732276</wp:posOffset>
              </wp:positionH>
              <wp:positionV relativeFrom="page">
                <wp:posOffset>445854</wp:posOffset>
              </wp:positionV>
              <wp:extent cx="317500" cy="194310"/>
              <wp:effectExtent l="0" t="0" r="0" b="0"/>
              <wp:wrapNone/>
              <wp:docPr id="223" name="Textbox 223"/>
              <wp:cNvGraphicFramePr>
                <a:graphicFrameLocks/>
              </wp:cNvGraphicFramePr>
              <a:graphic>
                <a:graphicData uri="http://schemas.microsoft.com/office/word/2010/wordprocessingShape">
                  <wps:wsp>
                    <wps:cNvPr id="223" name="Textbox 22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67552" type="#_x0000_t202" id="docshape22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122</w:t>
                    </w:r>
                    <w:r>
                      <w:rPr>
                        <w:rFonts w:ascii="Times New Roman"/>
                        <w:spacing w:val="-5"/>
                      </w:rPr>
                      <w:fldChar w:fldCharType="end"/>
                    </w:r>
                  </w:p>
                </w:txbxContent>
              </v:textbox>
              <w10:wrap type="none"/>
            </v:shape>
          </w:pict>
        </mc:Fallback>
      </mc:AlternateContent>
    </w:r>
  </w:p>
</w:hdr>
</file>

<file path=word/header1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49952">
              <wp:simplePos x="0" y="0"/>
              <wp:positionH relativeFrom="page">
                <wp:posOffset>4783835</wp:posOffset>
              </wp:positionH>
              <wp:positionV relativeFrom="page">
                <wp:posOffset>445854</wp:posOffset>
              </wp:positionV>
              <wp:extent cx="318135" cy="194310"/>
              <wp:effectExtent l="0" t="0" r="0" b="0"/>
              <wp:wrapNone/>
              <wp:docPr id="225" name="Textbox 225"/>
              <wp:cNvGraphicFramePr>
                <a:graphicFrameLocks/>
              </wp:cNvGraphicFramePr>
              <a:graphic>
                <a:graphicData uri="http://schemas.microsoft.com/office/word/2010/wordprocessingShape">
                  <wps:wsp>
                    <wps:cNvPr id="225" name="Textbox 225"/>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76.679993pt;margin-top:35.10664pt;width:25.05pt;height:15.3pt;mso-position-horizontal-relative:page;mso-position-vertical-relative:page;z-index:-36566528" type="#_x0000_t202" id="docshape22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123</w:t>
                    </w:r>
                    <w:r>
                      <w:rPr>
                        <w:rFonts w:ascii="Times New Roman"/>
                        <w:spacing w:val="-5"/>
                      </w:rPr>
                      <w:fldChar w:fldCharType="end"/>
                    </w:r>
                  </w:p>
                </w:txbxContent>
              </v:textbox>
              <w10:wrap type="none"/>
            </v:shape>
          </w:pict>
        </mc:Fallback>
      </mc:AlternateContent>
    </w:r>
  </w:p>
</w:hdr>
</file>

<file path=word/header1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50976">
              <wp:simplePos x="0" y="0"/>
              <wp:positionH relativeFrom="page">
                <wp:posOffset>4783835</wp:posOffset>
              </wp:positionH>
              <wp:positionV relativeFrom="page">
                <wp:posOffset>445854</wp:posOffset>
              </wp:positionV>
              <wp:extent cx="318135" cy="194310"/>
              <wp:effectExtent l="0" t="0" r="0" b="0"/>
              <wp:wrapNone/>
              <wp:docPr id="227" name="Textbox 227"/>
              <wp:cNvGraphicFramePr>
                <a:graphicFrameLocks/>
              </wp:cNvGraphicFramePr>
              <a:graphic>
                <a:graphicData uri="http://schemas.microsoft.com/office/word/2010/wordprocessingShape">
                  <wps:wsp>
                    <wps:cNvPr id="227" name="Textbox 227"/>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76.679993pt;margin-top:35.10664pt;width:25.05pt;height:15.3pt;mso-position-horizontal-relative:page;mso-position-vertical-relative:page;z-index:-36565504" type="#_x0000_t202" id="docshape22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124</w:t>
                    </w:r>
                    <w:r>
                      <w:rPr>
                        <w:rFonts w:ascii="Times New Roman"/>
                        <w:spacing w:val="-5"/>
                      </w:rPr>
                      <w:fldChar w:fldCharType="end"/>
                    </w:r>
                  </w:p>
                </w:txbxContent>
              </v:textbox>
              <w10:wrap type="none"/>
            </v:shape>
          </w:pict>
        </mc:Fallback>
      </mc:AlternateContent>
    </w:r>
  </w:p>
</w:hdr>
</file>

<file path=word/header1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52000">
              <wp:simplePos x="0" y="0"/>
              <wp:positionH relativeFrom="page">
                <wp:posOffset>3732276</wp:posOffset>
              </wp:positionH>
              <wp:positionV relativeFrom="page">
                <wp:posOffset>445854</wp:posOffset>
              </wp:positionV>
              <wp:extent cx="317500" cy="194310"/>
              <wp:effectExtent l="0" t="0" r="0" b="0"/>
              <wp:wrapNone/>
              <wp:docPr id="231" name="Textbox 231"/>
              <wp:cNvGraphicFramePr>
                <a:graphicFrameLocks/>
              </wp:cNvGraphicFramePr>
              <a:graphic>
                <a:graphicData uri="http://schemas.microsoft.com/office/word/2010/wordprocessingShape">
                  <wps:wsp>
                    <wps:cNvPr id="231" name="Textbox 23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64480" type="#_x0000_t202" id="docshape23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129</w:t>
                    </w:r>
                    <w:r>
                      <w:rPr>
                        <w:rFonts w:ascii="Times New Roman"/>
                        <w:spacing w:val="-5"/>
                      </w:rPr>
                      <w:fldChar w:fldCharType="end"/>
                    </w:r>
                  </w:p>
                </w:txbxContent>
              </v:textbox>
              <w10:wrap type="none"/>
            </v:shape>
          </w:pict>
        </mc:Fallback>
      </mc:AlternateContent>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47552">
              <wp:simplePos x="0" y="0"/>
              <wp:positionH relativeFrom="page">
                <wp:posOffset>3771900</wp:posOffset>
              </wp:positionH>
              <wp:positionV relativeFrom="page">
                <wp:posOffset>445854</wp:posOffset>
              </wp:positionV>
              <wp:extent cx="241300" cy="194310"/>
              <wp:effectExtent l="0" t="0" r="0" b="0"/>
              <wp:wrapNone/>
              <wp:docPr id="25" name="Textbox 25"/>
              <wp:cNvGraphicFramePr>
                <a:graphicFrameLocks/>
              </wp:cNvGraphicFramePr>
              <a:graphic>
                <a:graphicData uri="http://schemas.microsoft.com/office/word/2010/wordprocessingShape">
                  <wps:wsp>
                    <wps:cNvPr id="25" name="Textbox 25"/>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68928" type="#_x0000_t202" id="docshape2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w:t>
                    </w:r>
                    <w:r>
                      <w:rPr>
                        <w:rFonts w:ascii="Times New Roman"/>
                        <w:spacing w:val="-5"/>
                      </w:rPr>
                      <w:fldChar w:fldCharType="end"/>
                    </w:r>
                  </w:p>
                </w:txbxContent>
              </v:textbox>
              <w10:wrap type="none"/>
            </v:shape>
          </w:pict>
        </mc:Fallback>
      </mc:AlternateContent>
    </w:r>
  </w:p>
</w:hdr>
</file>

<file path=word/header1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53024">
              <wp:simplePos x="0" y="0"/>
              <wp:positionH relativeFrom="page">
                <wp:posOffset>3732276</wp:posOffset>
              </wp:positionH>
              <wp:positionV relativeFrom="page">
                <wp:posOffset>445854</wp:posOffset>
              </wp:positionV>
              <wp:extent cx="317500" cy="194310"/>
              <wp:effectExtent l="0" t="0" r="0" b="0"/>
              <wp:wrapNone/>
              <wp:docPr id="233" name="Textbox 233"/>
              <wp:cNvGraphicFramePr>
                <a:graphicFrameLocks/>
              </wp:cNvGraphicFramePr>
              <a:graphic>
                <a:graphicData uri="http://schemas.microsoft.com/office/word/2010/wordprocessingShape">
                  <wps:wsp>
                    <wps:cNvPr id="233" name="Textbox 23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63456" type="#_x0000_t202" id="docshape23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130</w:t>
                    </w:r>
                    <w:r>
                      <w:rPr>
                        <w:rFonts w:ascii="Times New Roman"/>
                        <w:spacing w:val="-5"/>
                      </w:rPr>
                      <w:fldChar w:fldCharType="end"/>
                    </w:r>
                  </w:p>
                </w:txbxContent>
              </v:textbox>
              <w10:wrap type="none"/>
            </v:shape>
          </w:pict>
        </mc:Fallback>
      </mc:AlternateContent>
    </w:r>
  </w:p>
</w:hdr>
</file>

<file path=word/header1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54048">
              <wp:simplePos x="0" y="0"/>
              <wp:positionH relativeFrom="page">
                <wp:posOffset>3732276</wp:posOffset>
              </wp:positionH>
              <wp:positionV relativeFrom="page">
                <wp:posOffset>445854</wp:posOffset>
              </wp:positionV>
              <wp:extent cx="317500" cy="194310"/>
              <wp:effectExtent l="0" t="0" r="0" b="0"/>
              <wp:wrapNone/>
              <wp:docPr id="235" name="Textbox 235"/>
              <wp:cNvGraphicFramePr>
                <a:graphicFrameLocks/>
              </wp:cNvGraphicFramePr>
              <a:graphic>
                <a:graphicData uri="http://schemas.microsoft.com/office/word/2010/wordprocessingShape">
                  <wps:wsp>
                    <wps:cNvPr id="235" name="Textbox 23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62432" type="#_x0000_t202" id="docshape23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131</w:t>
                    </w:r>
                    <w:r>
                      <w:rPr>
                        <w:rFonts w:ascii="Times New Roman"/>
                        <w:spacing w:val="-5"/>
                      </w:rPr>
                      <w:fldChar w:fldCharType="end"/>
                    </w:r>
                  </w:p>
                </w:txbxContent>
              </v:textbox>
              <w10:wrap type="none"/>
            </v:shape>
          </w:pict>
        </mc:Fallback>
      </mc:AlternateContent>
    </w:r>
  </w:p>
</w:hdr>
</file>

<file path=word/header1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55072">
              <wp:simplePos x="0" y="0"/>
              <wp:positionH relativeFrom="page">
                <wp:posOffset>3732276</wp:posOffset>
              </wp:positionH>
              <wp:positionV relativeFrom="page">
                <wp:posOffset>445854</wp:posOffset>
              </wp:positionV>
              <wp:extent cx="317500" cy="194310"/>
              <wp:effectExtent l="0" t="0" r="0" b="0"/>
              <wp:wrapNone/>
              <wp:docPr id="237" name="Textbox 237"/>
              <wp:cNvGraphicFramePr>
                <a:graphicFrameLocks/>
              </wp:cNvGraphicFramePr>
              <a:graphic>
                <a:graphicData uri="http://schemas.microsoft.com/office/word/2010/wordprocessingShape">
                  <wps:wsp>
                    <wps:cNvPr id="237" name="Textbox 23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61408" type="#_x0000_t202" id="docshape23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132</w:t>
                    </w:r>
                    <w:r>
                      <w:rPr>
                        <w:rFonts w:ascii="Times New Roman"/>
                        <w:spacing w:val="-5"/>
                      </w:rPr>
                      <w:fldChar w:fldCharType="end"/>
                    </w:r>
                  </w:p>
                </w:txbxContent>
              </v:textbox>
              <w10:wrap type="none"/>
            </v:shape>
          </w:pict>
        </mc:Fallback>
      </mc:AlternateContent>
    </w:r>
  </w:p>
</w:hdr>
</file>

<file path=word/header1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2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56096">
              <wp:simplePos x="0" y="0"/>
              <wp:positionH relativeFrom="page">
                <wp:posOffset>3732276</wp:posOffset>
              </wp:positionH>
              <wp:positionV relativeFrom="page">
                <wp:posOffset>445854</wp:posOffset>
              </wp:positionV>
              <wp:extent cx="317500" cy="194310"/>
              <wp:effectExtent l="0" t="0" r="0" b="0"/>
              <wp:wrapNone/>
              <wp:docPr id="239" name="Textbox 239"/>
              <wp:cNvGraphicFramePr>
                <a:graphicFrameLocks/>
              </wp:cNvGraphicFramePr>
              <a:graphic>
                <a:graphicData uri="http://schemas.microsoft.com/office/word/2010/wordprocessingShape">
                  <wps:wsp>
                    <wps:cNvPr id="239" name="Textbox 23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60384" type="#_x0000_t202" id="docshape23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134</w:t>
                    </w:r>
                    <w:r>
                      <w:rPr>
                        <w:rFonts w:ascii="Times New Roman"/>
                        <w:spacing w:val="-5"/>
                      </w:rPr>
                      <w:fldChar w:fldCharType="end"/>
                    </w:r>
                  </w:p>
                </w:txbxContent>
              </v:textbox>
              <w10:wrap type="none"/>
            </v:shape>
          </w:pict>
        </mc:Fallback>
      </mc:AlternateContent>
    </w:r>
  </w:p>
</w:hdr>
</file>

<file path=word/header12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57120">
              <wp:simplePos x="0" y="0"/>
              <wp:positionH relativeFrom="page">
                <wp:posOffset>3732276</wp:posOffset>
              </wp:positionH>
              <wp:positionV relativeFrom="page">
                <wp:posOffset>445854</wp:posOffset>
              </wp:positionV>
              <wp:extent cx="317500" cy="194310"/>
              <wp:effectExtent l="0" t="0" r="0" b="0"/>
              <wp:wrapNone/>
              <wp:docPr id="241" name="Textbox 241"/>
              <wp:cNvGraphicFramePr>
                <a:graphicFrameLocks/>
              </wp:cNvGraphicFramePr>
              <a:graphic>
                <a:graphicData uri="http://schemas.microsoft.com/office/word/2010/wordprocessingShape">
                  <wps:wsp>
                    <wps:cNvPr id="241" name="Textbox 24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59360" type="#_x0000_t202" id="docshape24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135</w:t>
                    </w:r>
                    <w:r>
                      <w:rPr>
                        <w:rFonts w:ascii="Times New Roman"/>
                        <w:spacing w:val="-5"/>
                      </w:rPr>
                      <w:fldChar w:fldCharType="end"/>
                    </w:r>
                  </w:p>
                </w:txbxContent>
              </v:textbox>
              <w10:wrap type="none"/>
            </v:shape>
          </w:pict>
        </mc:Fallback>
      </mc:AlternateContent>
    </w:r>
  </w:p>
</w:hdr>
</file>

<file path=word/header12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58144">
              <wp:simplePos x="0" y="0"/>
              <wp:positionH relativeFrom="page">
                <wp:posOffset>3732276</wp:posOffset>
              </wp:positionH>
              <wp:positionV relativeFrom="page">
                <wp:posOffset>445854</wp:posOffset>
              </wp:positionV>
              <wp:extent cx="317500" cy="194310"/>
              <wp:effectExtent l="0" t="0" r="0" b="0"/>
              <wp:wrapNone/>
              <wp:docPr id="243" name="Textbox 243"/>
              <wp:cNvGraphicFramePr>
                <a:graphicFrameLocks/>
              </wp:cNvGraphicFramePr>
              <a:graphic>
                <a:graphicData uri="http://schemas.microsoft.com/office/word/2010/wordprocessingShape">
                  <wps:wsp>
                    <wps:cNvPr id="243" name="Textbox 24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58336" type="#_x0000_t202" id="docshape24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136</w:t>
                    </w:r>
                    <w:r>
                      <w:rPr>
                        <w:rFonts w:ascii="Times New Roman"/>
                        <w:spacing w:val="-5"/>
                      </w:rPr>
                      <w:fldChar w:fldCharType="end"/>
                    </w:r>
                  </w:p>
                </w:txbxContent>
              </v:textbox>
              <w10:wrap type="none"/>
            </v:shape>
          </w:pict>
        </mc:Fallback>
      </mc:AlternateContent>
    </w:r>
  </w:p>
</w:hdr>
</file>

<file path=word/header12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59168">
              <wp:simplePos x="0" y="0"/>
              <wp:positionH relativeFrom="page">
                <wp:posOffset>3732276</wp:posOffset>
              </wp:positionH>
              <wp:positionV relativeFrom="page">
                <wp:posOffset>445854</wp:posOffset>
              </wp:positionV>
              <wp:extent cx="317500" cy="194310"/>
              <wp:effectExtent l="0" t="0" r="0" b="0"/>
              <wp:wrapNone/>
              <wp:docPr id="245" name="Textbox 245"/>
              <wp:cNvGraphicFramePr>
                <a:graphicFrameLocks/>
              </wp:cNvGraphicFramePr>
              <a:graphic>
                <a:graphicData uri="http://schemas.microsoft.com/office/word/2010/wordprocessingShape">
                  <wps:wsp>
                    <wps:cNvPr id="245" name="Textbox 24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57312" type="#_x0000_t202" id="docshape24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137</w:t>
                    </w:r>
                    <w:r>
                      <w:rPr>
                        <w:rFonts w:ascii="Times New Roman"/>
                        <w:spacing w:val="-5"/>
                      </w:rPr>
                      <w:fldChar w:fldCharType="end"/>
                    </w:r>
                  </w:p>
                </w:txbxContent>
              </v:textbox>
              <w10:wrap type="none"/>
            </v:shape>
          </w:pict>
        </mc:Fallback>
      </mc:AlternateContent>
    </w:r>
  </w:p>
</w:hdr>
</file>

<file path=word/header12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60192">
              <wp:simplePos x="0" y="0"/>
              <wp:positionH relativeFrom="page">
                <wp:posOffset>3732276</wp:posOffset>
              </wp:positionH>
              <wp:positionV relativeFrom="page">
                <wp:posOffset>445854</wp:posOffset>
              </wp:positionV>
              <wp:extent cx="317500" cy="194310"/>
              <wp:effectExtent l="0" t="0" r="0" b="0"/>
              <wp:wrapNone/>
              <wp:docPr id="247" name="Textbox 247"/>
              <wp:cNvGraphicFramePr>
                <a:graphicFrameLocks/>
              </wp:cNvGraphicFramePr>
              <a:graphic>
                <a:graphicData uri="http://schemas.microsoft.com/office/word/2010/wordprocessingShape">
                  <wps:wsp>
                    <wps:cNvPr id="247" name="Textbox 24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56288" type="#_x0000_t202" id="docshape24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138</w:t>
                    </w:r>
                    <w:r>
                      <w:rPr>
                        <w:rFonts w:ascii="Times New Roman"/>
                        <w:spacing w:val="-5"/>
                      </w:rPr>
                      <w:fldChar w:fldCharType="end"/>
                    </w:r>
                  </w:p>
                </w:txbxContent>
              </v:textbox>
              <w10:wrap type="none"/>
            </v:shape>
          </w:pict>
        </mc:Fallback>
      </mc:AlternateContent>
    </w:r>
  </w:p>
</w:hdr>
</file>

<file path=word/header12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61216">
              <wp:simplePos x="0" y="0"/>
              <wp:positionH relativeFrom="page">
                <wp:posOffset>3732276</wp:posOffset>
              </wp:positionH>
              <wp:positionV relativeFrom="page">
                <wp:posOffset>445854</wp:posOffset>
              </wp:positionV>
              <wp:extent cx="317500" cy="194310"/>
              <wp:effectExtent l="0" t="0" r="0" b="0"/>
              <wp:wrapNone/>
              <wp:docPr id="249" name="Textbox 249"/>
              <wp:cNvGraphicFramePr>
                <a:graphicFrameLocks/>
              </wp:cNvGraphicFramePr>
              <a:graphic>
                <a:graphicData uri="http://schemas.microsoft.com/office/word/2010/wordprocessingShape">
                  <wps:wsp>
                    <wps:cNvPr id="249" name="Textbox 24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55264" type="#_x0000_t202" id="docshape24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139</w:t>
                    </w:r>
                    <w:r>
                      <w:rPr>
                        <w:rFonts w:ascii="Times New Roman"/>
                        <w:spacing w:val="-5"/>
                      </w:rPr>
                      <w:fldChar w:fldCharType="end"/>
                    </w:r>
                  </w:p>
                </w:txbxContent>
              </v:textbox>
              <w10:wrap type="none"/>
            </v:shape>
          </w:pict>
        </mc:Fallback>
      </mc:AlternateContent>
    </w: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48576">
              <wp:simplePos x="0" y="0"/>
              <wp:positionH relativeFrom="page">
                <wp:posOffset>3771900</wp:posOffset>
              </wp:positionH>
              <wp:positionV relativeFrom="page">
                <wp:posOffset>445854</wp:posOffset>
              </wp:positionV>
              <wp:extent cx="241300" cy="194310"/>
              <wp:effectExtent l="0" t="0" r="0" b="0"/>
              <wp:wrapNone/>
              <wp:docPr id="27" name="Textbox 27"/>
              <wp:cNvGraphicFramePr>
                <a:graphicFrameLocks/>
              </wp:cNvGraphicFramePr>
              <a:graphic>
                <a:graphicData uri="http://schemas.microsoft.com/office/word/2010/wordprocessingShape">
                  <wps:wsp>
                    <wps:cNvPr id="27" name="Textbox 27"/>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67904" type="#_x0000_t202" id="docshape2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w:t>
                    </w:r>
                    <w:r>
                      <w:rPr>
                        <w:rFonts w:ascii="Times New Roman"/>
                        <w:spacing w:val="-5"/>
                      </w:rPr>
                      <w:fldChar w:fldCharType="end"/>
                    </w:r>
                  </w:p>
                </w:txbxContent>
              </v:textbox>
              <w10:wrap type="none"/>
            </v:shape>
          </w:pict>
        </mc:Fallback>
      </mc:AlternateContent>
    </w:r>
  </w:p>
</w:hdr>
</file>

<file path=word/header13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62240">
              <wp:simplePos x="0" y="0"/>
              <wp:positionH relativeFrom="page">
                <wp:posOffset>4783835</wp:posOffset>
              </wp:positionH>
              <wp:positionV relativeFrom="page">
                <wp:posOffset>445854</wp:posOffset>
              </wp:positionV>
              <wp:extent cx="318135" cy="194310"/>
              <wp:effectExtent l="0" t="0" r="0" b="0"/>
              <wp:wrapNone/>
              <wp:docPr id="251" name="Textbox 251"/>
              <wp:cNvGraphicFramePr>
                <a:graphicFrameLocks/>
              </wp:cNvGraphicFramePr>
              <a:graphic>
                <a:graphicData uri="http://schemas.microsoft.com/office/word/2010/wordprocessingShape">
                  <wps:wsp>
                    <wps:cNvPr id="251" name="Textbox 251"/>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76.679993pt;margin-top:35.10664pt;width:25.05pt;height:15.3pt;mso-position-horizontal-relative:page;mso-position-vertical-relative:page;z-index:-36554240" type="#_x0000_t202" id="docshape25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140</w:t>
                    </w:r>
                    <w:r>
                      <w:rPr>
                        <w:rFonts w:ascii="Times New Roman"/>
                        <w:spacing w:val="-5"/>
                      </w:rPr>
                      <w:fldChar w:fldCharType="end"/>
                    </w:r>
                  </w:p>
                </w:txbxContent>
              </v:textbox>
              <w10:wrap type="none"/>
            </v:shape>
          </w:pict>
        </mc:Fallback>
      </mc:AlternateContent>
    </w:r>
  </w:p>
</w:hdr>
</file>

<file path=word/header13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63264">
              <wp:simplePos x="0" y="0"/>
              <wp:positionH relativeFrom="page">
                <wp:posOffset>4783835</wp:posOffset>
              </wp:positionH>
              <wp:positionV relativeFrom="page">
                <wp:posOffset>445854</wp:posOffset>
              </wp:positionV>
              <wp:extent cx="318135" cy="194310"/>
              <wp:effectExtent l="0" t="0" r="0" b="0"/>
              <wp:wrapNone/>
              <wp:docPr id="253" name="Textbox 253"/>
              <wp:cNvGraphicFramePr>
                <a:graphicFrameLocks/>
              </wp:cNvGraphicFramePr>
              <a:graphic>
                <a:graphicData uri="http://schemas.microsoft.com/office/word/2010/wordprocessingShape">
                  <wps:wsp>
                    <wps:cNvPr id="253" name="Textbox 253"/>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76.679993pt;margin-top:35.10664pt;width:25.05pt;height:15.3pt;mso-position-horizontal-relative:page;mso-position-vertical-relative:page;z-index:-36553216" type="#_x0000_t202" id="docshape25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141</w:t>
                    </w:r>
                    <w:r>
                      <w:rPr>
                        <w:rFonts w:ascii="Times New Roman"/>
                        <w:spacing w:val="-5"/>
                      </w:rPr>
                      <w:fldChar w:fldCharType="end"/>
                    </w:r>
                  </w:p>
                </w:txbxContent>
              </v:textbox>
              <w10:wrap type="none"/>
            </v:shape>
          </w:pict>
        </mc:Fallback>
      </mc:AlternateContent>
    </w:r>
  </w:p>
</w:hdr>
</file>

<file path=word/header13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64288">
              <wp:simplePos x="0" y="0"/>
              <wp:positionH relativeFrom="page">
                <wp:posOffset>3640835</wp:posOffset>
              </wp:positionH>
              <wp:positionV relativeFrom="page">
                <wp:posOffset>445854</wp:posOffset>
              </wp:positionV>
              <wp:extent cx="317500" cy="194310"/>
              <wp:effectExtent l="0" t="0" r="0" b="0"/>
              <wp:wrapNone/>
              <wp:docPr id="255" name="Textbox 255"/>
              <wp:cNvGraphicFramePr>
                <a:graphicFrameLocks/>
              </wp:cNvGraphicFramePr>
              <a:graphic>
                <a:graphicData uri="http://schemas.microsoft.com/office/word/2010/wordprocessingShape">
                  <wps:wsp>
                    <wps:cNvPr id="255" name="Textbox 25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86.679993pt;margin-top:35.10664pt;width:25pt;height:15.3pt;mso-position-horizontal-relative:page;mso-position-vertical-relative:page;z-index:-36552192" type="#_x0000_t202" id="docshape25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113</w:t>
                    </w:r>
                    <w:r>
                      <w:rPr>
                        <w:rFonts w:ascii="Times New Roman"/>
                        <w:spacing w:val="-5"/>
                      </w:rPr>
                      <w:fldChar w:fldCharType="end"/>
                    </w:r>
                  </w:p>
                </w:txbxContent>
              </v:textbox>
              <w10:wrap type="none"/>
            </v:shape>
          </w:pict>
        </mc:Fallback>
      </mc:AlternateContent>
    </w:r>
  </w:p>
</w:hdr>
</file>

<file path=word/header13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65312">
              <wp:simplePos x="0" y="0"/>
              <wp:positionH relativeFrom="page">
                <wp:posOffset>3640835</wp:posOffset>
              </wp:positionH>
              <wp:positionV relativeFrom="page">
                <wp:posOffset>445854</wp:posOffset>
              </wp:positionV>
              <wp:extent cx="317500" cy="194310"/>
              <wp:effectExtent l="0" t="0" r="0" b="0"/>
              <wp:wrapNone/>
              <wp:docPr id="257" name="Textbox 257"/>
              <wp:cNvGraphicFramePr>
                <a:graphicFrameLocks/>
              </wp:cNvGraphicFramePr>
              <a:graphic>
                <a:graphicData uri="http://schemas.microsoft.com/office/word/2010/wordprocessingShape">
                  <wps:wsp>
                    <wps:cNvPr id="257" name="Textbox 25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86.679993pt;margin-top:35.10664pt;width:25pt;height:15.3pt;mso-position-horizontal-relative:page;mso-position-vertical-relative:page;z-index:-36551168" type="#_x0000_t202" id="docshape25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114</w:t>
                    </w:r>
                    <w:r>
                      <w:rPr>
                        <w:rFonts w:ascii="Times New Roman"/>
                        <w:spacing w:val="-5"/>
                      </w:rPr>
                      <w:fldChar w:fldCharType="end"/>
                    </w:r>
                  </w:p>
                </w:txbxContent>
              </v:textbox>
              <w10:wrap type="none"/>
            </v:shape>
          </w:pict>
        </mc:Fallback>
      </mc:AlternateContent>
    </w:r>
  </w:p>
</w:hdr>
</file>

<file path=word/header13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66336">
              <wp:simplePos x="0" y="0"/>
              <wp:positionH relativeFrom="page">
                <wp:posOffset>3640835</wp:posOffset>
              </wp:positionH>
              <wp:positionV relativeFrom="page">
                <wp:posOffset>445854</wp:posOffset>
              </wp:positionV>
              <wp:extent cx="317500" cy="194310"/>
              <wp:effectExtent l="0" t="0" r="0" b="0"/>
              <wp:wrapNone/>
              <wp:docPr id="259" name="Textbox 259"/>
              <wp:cNvGraphicFramePr>
                <a:graphicFrameLocks/>
              </wp:cNvGraphicFramePr>
              <a:graphic>
                <a:graphicData uri="http://schemas.microsoft.com/office/word/2010/wordprocessingShape">
                  <wps:wsp>
                    <wps:cNvPr id="259" name="Textbox 25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86.679993pt;margin-top:35.10664pt;width:25pt;height:15.3pt;mso-position-horizontal-relative:page;mso-position-vertical-relative:page;z-index:-36550144" type="#_x0000_t202" id="docshape25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115</w:t>
                    </w:r>
                    <w:r>
                      <w:rPr>
                        <w:rFonts w:ascii="Times New Roman"/>
                        <w:spacing w:val="-5"/>
                      </w:rPr>
                      <w:fldChar w:fldCharType="end"/>
                    </w:r>
                  </w:p>
                </w:txbxContent>
              </v:textbox>
              <w10:wrap type="none"/>
            </v:shape>
          </w:pict>
        </mc:Fallback>
      </mc:AlternateContent>
    </w:r>
  </w:p>
</w:hdr>
</file>

<file path=word/header13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67360">
              <wp:simplePos x="0" y="0"/>
              <wp:positionH relativeFrom="page">
                <wp:posOffset>3640835</wp:posOffset>
              </wp:positionH>
              <wp:positionV relativeFrom="page">
                <wp:posOffset>445854</wp:posOffset>
              </wp:positionV>
              <wp:extent cx="317500" cy="194310"/>
              <wp:effectExtent l="0" t="0" r="0" b="0"/>
              <wp:wrapNone/>
              <wp:docPr id="261" name="Textbox 261"/>
              <wp:cNvGraphicFramePr>
                <a:graphicFrameLocks/>
              </wp:cNvGraphicFramePr>
              <a:graphic>
                <a:graphicData uri="http://schemas.microsoft.com/office/word/2010/wordprocessingShape">
                  <wps:wsp>
                    <wps:cNvPr id="261" name="Textbox 26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86.679993pt;margin-top:35.10664pt;width:25pt;height:15.3pt;mso-position-horizontal-relative:page;mso-position-vertical-relative:page;z-index:-36549120" type="#_x0000_t202" id="docshape26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116</w:t>
                    </w:r>
                    <w:r>
                      <w:rPr>
                        <w:rFonts w:ascii="Times New Roman"/>
                        <w:spacing w:val="-5"/>
                      </w:rPr>
                      <w:fldChar w:fldCharType="end"/>
                    </w:r>
                  </w:p>
                </w:txbxContent>
              </v:textbox>
              <w10:wrap type="none"/>
            </v:shape>
          </w:pict>
        </mc:Fallback>
      </mc:AlternateContent>
    </w:r>
  </w:p>
</w:hdr>
</file>

<file path=word/header13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68384">
              <wp:simplePos x="0" y="0"/>
              <wp:positionH relativeFrom="page">
                <wp:posOffset>3640835</wp:posOffset>
              </wp:positionH>
              <wp:positionV relativeFrom="page">
                <wp:posOffset>445854</wp:posOffset>
              </wp:positionV>
              <wp:extent cx="317500" cy="194310"/>
              <wp:effectExtent l="0" t="0" r="0" b="0"/>
              <wp:wrapNone/>
              <wp:docPr id="263" name="Textbox 263"/>
              <wp:cNvGraphicFramePr>
                <a:graphicFrameLocks/>
              </wp:cNvGraphicFramePr>
              <a:graphic>
                <a:graphicData uri="http://schemas.microsoft.com/office/word/2010/wordprocessingShape">
                  <wps:wsp>
                    <wps:cNvPr id="263" name="Textbox 26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86.679993pt;margin-top:35.10664pt;width:25pt;height:15.3pt;mso-position-horizontal-relative:page;mso-position-vertical-relative:page;z-index:-36548096" type="#_x0000_t202" id="docshape26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117</w:t>
                    </w:r>
                    <w:r>
                      <w:rPr>
                        <w:rFonts w:ascii="Times New Roman"/>
                        <w:spacing w:val="-5"/>
                      </w:rPr>
                      <w:fldChar w:fldCharType="end"/>
                    </w:r>
                  </w:p>
                </w:txbxContent>
              </v:textbox>
              <w10:wrap type="none"/>
            </v:shape>
          </w:pict>
        </mc:Fallback>
      </mc:AlternateContent>
    </w:r>
  </w:p>
</w:hdr>
</file>

<file path=word/header13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69408">
              <wp:simplePos x="0" y="0"/>
              <wp:positionH relativeFrom="page">
                <wp:posOffset>4875276</wp:posOffset>
              </wp:positionH>
              <wp:positionV relativeFrom="page">
                <wp:posOffset>445854</wp:posOffset>
              </wp:positionV>
              <wp:extent cx="318135" cy="194310"/>
              <wp:effectExtent l="0" t="0" r="0" b="0"/>
              <wp:wrapNone/>
              <wp:docPr id="265" name="Textbox 265"/>
              <wp:cNvGraphicFramePr>
                <a:graphicFrameLocks/>
              </wp:cNvGraphicFramePr>
              <a:graphic>
                <a:graphicData uri="http://schemas.microsoft.com/office/word/2010/wordprocessingShape">
                  <wps:wsp>
                    <wps:cNvPr id="265" name="Textbox 265"/>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83.880005pt;margin-top:35.10664pt;width:25.05pt;height:15.3pt;mso-position-horizontal-relative:page;mso-position-vertical-relative:page;z-index:-36547072" type="#_x0000_t202" id="docshape26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118</w:t>
                    </w:r>
                    <w:r>
                      <w:rPr>
                        <w:rFonts w:ascii="Times New Roman"/>
                        <w:spacing w:val="-5"/>
                      </w:rPr>
                      <w:fldChar w:fldCharType="end"/>
                    </w:r>
                  </w:p>
                </w:txbxContent>
              </v:textbox>
              <w10:wrap type="none"/>
            </v:shape>
          </w:pict>
        </mc:Fallback>
      </mc:AlternateContent>
    </w:r>
  </w:p>
</w:hdr>
</file>

<file path=word/header13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70432">
              <wp:simplePos x="0" y="0"/>
              <wp:positionH relativeFrom="page">
                <wp:posOffset>4875276</wp:posOffset>
              </wp:positionH>
              <wp:positionV relativeFrom="page">
                <wp:posOffset>445854</wp:posOffset>
              </wp:positionV>
              <wp:extent cx="318135" cy="194310"/>
              <wp:effectExtent l="0" t="0" r="0" b="0"/>
              <wp:wrapNone/>
              <wp:docPr id="267" name="Textbox 267"/>
              <wp:cNvGraphicFramePr>
                <a:graphicFrameLocks/>
              </wp:cNvGraphicFramePr>
              <a:graphic>
                <a:graphicData uri="http://schemas.microsoft.com/office/word/2010/wordprocessingShape">
                  <wps:wsp>
                    <wps:cNvPr id="267" name="Textbox 267"/>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83.880005pt;margin-top:35.10664pt;width:25.05pt;height:15.3pt;mso-position-horizontal-relative:page;mso-position-vertical-relative:page;z-index:-36546048" type="#_x0000_t202" id="docshape26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119</w:t>
                    </w:r>
                    <w:r>
                      <w:rPr>
                        <w:rFonts w:ascii="Times New Roman"/>
                        <w:spacing w:val="-5"/>
                      </w:rPr>
                      <w:fldChar w:fldCharType="end"/>
                    </w:r>
                  </w:p>
                </w:txbxContent>
              </v:textbox>
              <w10:wrap type="none"/>
            </v:shape>
          </w:pict>
        </mc:Fallback>
      </mc:AlternateContent>
    </w:r>
  </w:p>
</w:hdr>
</file>

<file path=word/header13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71456">
              <wp:simplePos x="0" y="0"/>
              <wp:positionH relativeFrom="page">
                <wp:posOffset>3732276</wp:posOffset>
              </wp:positionH>
              <wp:positionV relativeFrom="page">
                <wp:posOffset>445854</wp:posOffset>
              </wp:positionV>
              <wp:extent cx="317500" cy="194310"/>
              <wp:effectExtent l="0" t="0" r="0" b="0"/>
              <wp:wrapNone/>
              <wp:docPr id="269" name="Textbox 269"/>
              <wp:cNvGraphicFramePr>
                <a:graphicFrameLocks/>
              </wp:cNvGraphicFramePr>
              <a:graphic>
                <a:graphicData uri="http://schemas.microsoft.com/office/word/2010/wordprocessingShape">
                  <wps:wsp>
                    <wps:cNvPr id="269" name="Textbox 26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45024" type="#_x0000_t202" id="docshape26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120</w:t>
                    </w:r>
                    <w:r>
                      <w:rPr>
                        <w:rFonts w:ascii="Times New Roman"/>
                        <w:spacing w:val="-5"/>
                      </w:rPr>
                      <w:fldChar w:fldCharType="end"/>
                    </w:r>
                  </w:p>
                </w:txbxContent>
              </v:textbox>
              <w10:wrap type="none"/>
            </v:shape>
          </w:pict>
        </mc:Fallback>
      </mc:AlternateContent>
    </w: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49600">
              <wp:simplePos x="0" y="0"/>
              <wp:positionH relativeFrom="page">
                <wp:posOffset>3771900</wp:posOffset>
              </wp:positionH>
              <wp:positionV relativeFrom="page">
                <wp:posOffset>445854</wp:posOffset>
              </wp:positionV>
              <wp:extent cx="241300" cy="194310"/>
              <wp:effectExtent l="0" t="0" r="0" b="0"/>
              <wp:wrapNone/>
              <wp:docPr id="29" name="Textbox 29"/>
              <wp:cNvGraphicFramePr>
                <a:graphicFrameLocks/>
              </wp:cNvGraphicFramePr>
              <a:graphic>
                <a:graphicData uri="http://schemas.microsoft.com/office/word/2010/wordprocessingShape">
                  <wps:wsp>
                    <wps:cNvPr id="29" name="Textbox 29"/>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66880" type="#_x0000_t202" id="docshape2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w:t>
                    </w:r>
                    <w:r>
                      <w:rPr>
                        <w:rFonts w:ascii="Times New Roman"/>
                        <w:spacing w:val="-5"/>
                      </w:rPr>
                      <w:fldChar w:fldCharType="end"/>
                    </w:r>
                  </w:p>
                </w:txbxContent>
              </v:textbox>
              <w10:wrap type="none"/>
            </v:shape>
          </w:pict>
        </mc:Fallback>
      </mc:AlternateContent>
    </w:r>
  </w:p>
</w:hdr>
</file>

<file path=word/header14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72480">
              <wp:simplePos x="0" y="0"/>
              <wp:positionH relativeFrom="page">
                <wp:posOffset>3732276</wp:posOffset>
              </wp:positionH>
              <wp:positionV relativeFrom="page">
                <wp:posOffset>445854</wp:posOffset>
              </wp:positionV>
              <wp:extent cx="317500" cy="194310"/>
              <wp:effectExtent l="0" t="0" r="0" b="0"/>
              <wp:wrapNone/>
              <wp:docPr id="271" name="Textbox 271"/>
              <wp:cNvGraphicFramePr>
                <a:graphicFrameLocks/>
              </wp:cNvGraphicFramePr>
              <a:graphic>
                <a:graphicData uri="http://schemas.microsoft.com/office/word/2010/wordprocessingShape">
                  <wps:wsp>
                    <wps:cNvPr id="271" name="Textbox 27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44000" type="#_x0000_t202" id="docshape27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121</w:t>
                    </w:r>
                    <w:r>
                      <w:rPr>
                        <w:rFonts w:ascii="Times New Roman"/>
                        <w:spacing w:val="-5"/>
                      </w:rPr>
                      <w:fldChar w:fldCharType="end"/>
                    </w:r>
                  </w:p>
                </w:txbxContent>
              </v:textbox>
              <w10:wrap type="none"/>
            </v:shape>
          </w:pict>
        </mc:Fallback>
      </mc:AlternateContent>
    </w:r>
  </w:p>
</w:hdr>
</file>

<file path=word/header14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73504">
              <wp:simplePos x="0" y="0"/>
              <wp:positionH relativeFrom="page">
                <wp:posOffset>3732276</wp:posOffset>
              </wp:positionH>
              <wp:positionV relativeFrom="page">
                <wp:posOffset>445854</wp:posOffset>
              </wp:positionV>
              <wp:extent cx="317500" cy="194310"/>
              <wp:effectExtent l="0" t="0" r="0" b="0"/>
              <wp:wrapNone/>
              <wp:docPr id="273" name="Textbox 273"/>
              <wp:cNvGraphicFramePr>
                <a:graphicFrameLocks/>
              </wp:cNvGraphicFramePr>
              <a:graphic>
                <a:graphicData uri="http://schemas.microsoft.com/office/word/2010/wordprocessingShape">
                  <wps:wsp>
                    <wps:cNvPr id="273" name="Textbox 27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42976" type="#_x0000_t202" id="docshape27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122</w:t>
                    </w:r>
                    <w:r>
                      <w:rPr>
                        <w:rFonts w:ascii="Times New Roman"/>
                        <w:spacing w:val="-5"/>
                      </w:rPr>
                      <w:fldChar w:fldCharType="end"/>
                    </w:r>
                  </w:p>
                </w:txbxContent>
              </v:textbox>
              <w10:wrap type="none"/>
            </v:shape>
          </w:pict>
        </mc:Fallback>
      </mc:AlternateContent>
    </w:r>
  </w:p>
</w:hdr>
</file>

<file path=word/header14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74528">
              <wp:simplePos x="0" y="0"/>
              <wp:positionH relativeFrom="page">
                <wp:posOffset>4783835</wp:posOffset>
              </wp:positionH>
              <wp:positionV relativeFrom="page">
                <wp:posOffset>445854</wp:posOffset>
              </wp:positionV>
              <wp:extent cx="318135" cy="194310"/>
              <wp:effectExtent l="0" t="0" r="0" b="0"/>
              <wp:wrapNone/>
              <wp:docPr id="275" name="Textbox 275"/>
              <wp:cNvGraphicFramePr>
                <a:graphicFrameLocks/>
              </wp:cNvGraphicFramePr>
              <a:graphic>
                <a:graphicData uri="http://schemas.microsoft.com/office/word/2010/wordprocessingShape">
                  <wps:wsp>
                    <wps:cNvPr id="275" name="Textbox 275"/>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76.679993pt;margin-top:35.10664pt;width:25.05pt;height:15.3pt;mso-position-horizontal-relative:page;mso-position-vertical-relative:page;z-index:-36541952" type="#_x0000_t202" id="docshape27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123</w:t>
                    </w:r>
                    <w:r>
                      <w:rPr>
                        <w:rFonts w:ascii="Times New Roman"/>
                        <w:spacing w:val="-5"/>
                      </w:rPr>
                      <w:fldChar w:fldCharType="end"/>
                    </w:r>
                  </w:p>
                </w:txbxContent>
              </v:textbox>
              <w10:wrap type="none"/>
            </v:shape>
          </w:pict>
        </mc:Fallback>
      </mc:AlternateContent>
    </w:r>
  </w:p>
</w:hdr>
</file>

<file path=word/header14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75552">
              <wp:simplePos x="0" y="0"/>
              <wp:positionH relativeFrom="page">
                <wp:posOffset>4783835</wp:posOffset>
              </wp:positionH>
              <wp:positionV relativeFrom="page">
                <wp:posOffset>445854</wp:posOffset>
              </wp:positionV>
              <wp:extent cx="318135" cy="194310"/>
              <wp:effectExtent l="0" t="0" r="0" b="0"/>
              <wp:wrapNone/>
              <wp:docPr id="277" name="Textbox 277"/>
              <wp:cNvGraphicFramePr>
                <a:graphicFrameLocks/>
              </wp:cNvGraphicFramePr>
              <a:graphic>
                <a:graphicData uri="http://schemas.microsoft.com/office/word/2010/wordprocessingShape">
                  <wps:wsp>
                    <wps:cNvPr id="277" name="Textbox 277"/>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76.679993pt;margin-top:35.10664pt;width:25.05pt;height:15.3pt;mso-position-horizontal-relative:page;mso-position-vertical-relative:page;z-index:-36540928" type="#_x0000_t202" id="docshape27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124</w:t>
                    </w:r>
                    <w:r>
                      <w:rPr>
                        <w:rFonts w:ascii="Times New Roman"/>
                        <w:spacing w:val="-5"/>
                      </w:rPr>
                      <w:fldChar w:fldCharType="end"/>
                    </w:r>
                  </w:p>
                </w:txbxContent>
              </v:textbox>
              <w10:wrap type="none"/>
            </v:shape>
          </w:pict>
        </mc:Fallback>
      </mc:AlternateContent>
    </w:r>
  </w:p>
</w:hdr>
</file>

<file path=word/header14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76576">
              <wp:simplePos x="0" y="0"/>
              <wp:positionH relativeFrom="page">
                <wp:posOffset>3732276</wp:posOffset>
              </wp:positionH>
              <wp:positionV relativeFrom="page">
                <wp:posOffset>445854</wp:posOffset>
              </wp:positionV>
              <wp:extent cx="317500" cy="194310"/>
              <wp:effectExtent l="0" t="0" r="0" b="0"/>
              <wp:wrapNone/>
              <wp:docPr id="279" name="Textbox 279"/>
              <wp:cNvGraphicFramePr>
                <a:graphicFrameLocks/>
              </wp:cNvGraphicFramePr>
              <a:graphic>
                <a:graphicData uri="http://schemas.microsoft.com/office/word/2010/wordprocessingShape">
                  <wps:wsp>
                    <wps:cNvPr id="279" name="Textbox 27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39904" type="#_x0000_t202" id="docshape27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125</w:t>
                    </w:r>
                    <w:r>
                      <w:rPr>
                        <w:rFonts w:ascii="Times New Roman"/>
                        <w:spacing w:val="-5"/>
                      </w:rPr>
                      <w:fldChar w:fldCharType="end"/>
                    </w:r>
                  </w:p>
                </w:txbxContent>
              </v:textbox>
              <w10:wrap type="none"/>
            </v:shape>
          </w:pict>
        </mc:Fallback>
      </mc:AlternateContent>
    </w:r>
  </w:p>
</w:hdr>
</file>

<file path=word/header14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77600">
              <wp:simplePos x="0" y="0"/>
              <wp:positionH relativeFrom="page">
                <wp:posOffset>3732276</wp:posOffset>
              </wp:positionH>
              <wp:positionV relativeFrom="page">
                <wp:posOffset>445854</wp:posOffset>
              </wp:positionV>
              <wp:extent cx="317500" cy="194310"/>
              <wp:effectExtent l="0" t="0" r="0" b="0"/>
              <wp:wrapNone/>
              <wp:docPr id="281" name="Textbox 281"/>
              <wp:cNvGraphicFramePr>
                <a:graphicFrameLocks/>
              </wp:cNvGraphicFramePr>
              <a:graphic>
                <a:graphicData uri="http://schemas.microsoft.com/office/word/2010/wordprocessingShape">
                  <wps:wsp>
                    <wps:cNvPr id="281" name="Textbox 28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38880" type="#_x0000_t202" id="docshape28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126</w:t>
                    </w:r>
                    <w:r>
                      <w:rPr>
                        <w:rFonts w:ascii="Times New Roman"/>
                        <w:spacing w:val="-5"/>
                      </w:rPr>
                      <w:fldChar w:fldCharType="end"/>
                    </w:r>
                  </w:p>
                </w:txbxContent>
              </v:textbox>
              <w10:wrap type="none"/>
            </v:shape>
          </w:pict>
        </mc:Fallback>
      </mc:AlternateContent>
    </w:r>
  </w:p>
</w:hdr>
</file>

<file path=word/header14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78624">
              <wp:simplePos x="0" y="0"/>
              <wp:positionH relativeFrom="page">
                <wp:posOffset>3732276</wp:posOffset>
              </wp:positionH>
              <wp:positionV relativeFrom="page">
                <wp:posOffset>445854</wp:posOffset>
              </wp:positionV>
              <wp:extent cx="317500" cy="194310"/>
              <wp:effectExtent l="0" t="0" r="0" b="0"/>
              <wp:wrapNone/>
              <wp:docPr id="283" name="Textbox 283"/>
              <wp:cNvGraphicFramePr>
                <a:graphicFrameLocks/>
              </wp:cNvGraphicFramePr>
              <a:graphic>
                <a:graphicData uri="http://schemas.microsoft.com/office/word/2010/wordprocessingShape">
                  <wps:wsp>
                    <wps:cNvPr id="283" name="Textbox 28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37856" type="#_x0000_t202" id="docshape28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127</w:t>
                    </w:r>
                    <w:r>
                      <w:rPr>
                        <w:rFonts w:ascii="Times New Roman"/>
                        <w:spacing w:val="-5"/>
                      </w:rPr>
                      <w:fldChar w:fldCharType="end"/>
                    </w:r>
                  </w:p>
                </w:txbxContent>
              </v:textbox>
              <w10:wrap type="none"/>
            </v:shape>
          </w:pict>
        </mc:Fallback>
      </mc:AlternateContent>
    </w:r>
  </w:p>
</w:hdr>
</file>

<file path=word/header14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4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79648">
              <wp:simplePos x="0" y="0"/>
              <wp:positionH relativeFrom="page">
                <wp:posOffset>3732276</wp:posOffset>
              </wp:positionH>
              <wp:positionV relativeFrom="page">
                <wp:posOffset>445854</wp:posOffset>
              </wp:positionV>
              <wp:extent cx="317500" cy="194310"/>
              <wp:effectExtent l="0" t="0" r="0" b="0"/>
              <wp:wrapNone/>
              <wp:docPr id="285" name="Textbox 285"/>
              <wp:cNvGraphicFramePr>
                <a:graphicFrameLocks/>
              </wp:cNvGraphicFramePr>
              <a:graphic>
                <a:graphicData uri="http://schemas.microsoft.com/office/word/2010/wordprocessingShape">
                  <wps:wsp>
                    <wps:cNvPr id="285" name="Textbox 28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36832" type="#_x0000_t202" id="docshape28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129</w:t>
                    </w:r>
                    <w:r>
                      <w:rPr>
                        <w:rFonts w:ascii="Times New Roman"/>
                        <w:spacing w:val="-5"/>
                      </w:rPr>
                      <w:fldChar w:fldCharType="end"/>
                    </w:r>
                  </w:p>
                </w:txbxContent>
              </v:textbox>
              <w10:wrap type="none"/>
            </v:shape>
          </w:pict>
        </mc:Fallback>
      </mc:AlternateContent>
    </w:r>
  </w:p>
</w:hdr>
</file>

<file path=word/header14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80672">
              <wp:simplePos x="0" y="0"/>
              <wp:positionH relativeFrom="page">
                <wp:posOffset>3732276</wp:posOffset>
              </wp:positionH>
              <wp:positionV relativeFrom="page">
                <wp:posOffset>445854</wp:posOffset>
              </wp:positionV>
              <wp:extent cx="317500" cy="194310"/>
              <wp:effectExtent l="0" t="0" r="0" b="0"/>
              <wp:wrapNone/>
              <wp:docPr id="287" name="Textbox 287"/>
              <wp:cNvGraphicFramePr>
                <a:graphicFrameLocks/>
              </wp:cNvGraphicFramePr>
              <a:graphic>
                <a:graphicData uri="http://schemas.microsoft.com/office/word/2010/wordprocessingShape">
                  <wps:wsp>
                    <wps:cNvPr id="287" name="Textbox 28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35808" type="#_x0000_t202" id="docshape28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130</w:t>
                    </w:r>
                    <w:r>
                      <w:rPr>
                        <w:rFonts w:ascii="Times New Roman"/>
                        <w:spacing w:val="-5"/>
                      </w:rPr>
                      <w:fldChar w:fldCharType="end"/>
                    </w:r>
                  </w:p>
                </w:txbxContent>
              </v:textbox>
              <w10:wrap type="none"/>
            </v:shape>
          </w:pict>
        </mc:Fallback>
      </mc:AlternateContent>
    </w: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50624">
              <wp:simplePos x="0" y="0"/>
              <wp:positionH relativeFrom="page">
                <wp:posOffset>3771900</wp:posOffset>
              </wp:positionH>
              <wp:positionV relativeFrom="page">
                <wp:posOffset>445854</wp:posOffset>
              </wp:positionV>
              <wp:extent cx="241300" cy="194310"/>
              <wp:effectExtent l="0" t="0" r="0" b="0"/>
              <wp:wrapNone/>
              <wp:docPr id="31" name="Textbox 31"/>
              <wp:cNvGraphicFramePr>
                <a:graphicFrameLocks/>
              </wp:cNvGraphicFramePr>
              <a:graphic>
                <a:graphicData uri="http://schemas.microsoft.com/office/word/2010/wordprocessingShape">
                  <wps:wsp>
                    <wps:cNvPr id="31" name="Textbox 31"/>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65856" type="#_x0000_t202" id="docshape3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w:t>
                    </w:r>
                    <w:r>
                      <w:rPr>
                        <w:rFonts w:ascii="Times New Roman"/>
                        <w:spacing w:val="-5"/>
                      </w:rPr>
                      <w:fldChar w:fldCharType="end"/>
                    </w:r>
                  </w:p>
                </w:txbxContent>
              </v:textbox>
              <w10:wrap type="none"/>
            </v:shape>
          </w:pict>
        </mc:Fallback>
      </mc:AlternateContent>
    </w:r>
  </w:p>
</w:hdr>
</file>

<file path=word/header15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81696">
              <wp:simplePos x="0" y="0"/>
              <wp:positionH relativeFrom="page">
                <wp:posOffset>3732276</wp:posOffset>
              </wp:positionH>
              <wp:positionV relativeFrom="page">
                <wp:posOffset>445854</wp:posOffset>
              </wp:positionV>
              <wp:extent cx="317500" cy="194310"/>
              <wp:effectExtent l="0" t="0" r="0" b="0"/>
              <wp:wrapNone/>
              <wp:docPr id="289" name="Textbox 289"/>
              <wp:cNvGraphicFramePr>
                <a:graphicFrameLocks/>
              </wp:cNvGraphicFramePr>
              <a:graphic>
                <a:graphicData uri="http://schemas.microsoft.com/office/word/2010/wordprocessingShape">
                  <wps:wsp>
                    <wps:cNvPr id="289" name="Textbox 28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34784" type="#_x0000_t202" id="docshape28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131</w:t>
                    </w:r>
                    <w:r>
                      <w:rPr>
                        <w:rFonts w:ascii="Times New Roman"/>
                        <w:spacing w:val="-5"/>
                      </w:rPr>
                      <w:fldChar w:fldCharType="end"/>
                    </w:r>
                  </w:p>
                </w:txbxContent>
              </v:textbox>
              <w10:wrap type="none"/>
            </v:shape>
          </w:pict>
        </mc:Fallback>
      </mc:AlternateContent>
    </w:r>
  </w:p>
</w:hdr>
</file>

<file path=word/header15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5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82720">
              <wp:simplePos x="0" y="0"/>
              <wp:positionH relativeFrom="page">
                <wp:posOffset>3732276</wp:posOffset>
              </wp:positionH>
              <wp:positionV relativeFrom="page">
                <wp:posOffset>445854</wp:posOffset>
              </wp:positionV>
              <wp:extent cx="317500" cy="194310"/>
              <wp:effectExtent l="0" t="0" r="0" b="0"/>
              <wp:wrapNone/>
              <wp:docPr id="291" name="Textbox 291"/>
              <wp:cNvGraphicFramePr>
                <a:graphicFrameLocks/>
              </wp:cNvGraphicFramePr>
              <a:graphic>
                <a:graphicData uri="http://schemas.microsoft.com/office/word/2010/wordprocessingShape">
                  <wps:wsp>
                    <wps:cNvPr id="291" name="Textbox 29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33760" type="#_x0000_t202" id="docshape29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133</w:t>
                    </w:r>
                    <w:r>
                      <w:rPr>
                        <w:rFonts w:ascii="Times New Roman"/>
                        <w:spacing w:val="-5"/>
                      </w:rPr>
                      <w:fldChar w:fldCharType="end"/>
                    </w:r>
                  </w:p>
                </w:txbxContent>
              </v:textbox>
              <w10:wrap type="none"/>
            </v:shape>
          </w:pict>
        </mc:Fallback>
      </mc:AlternateContent>
    </w:r>
  </w:p>
</w:hdr>
</file>

<file path=word/header15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83744">
              <wp:simplePos x="0" y="0"/>
              <wp:positionH relativeFrom="page">
                <wp:posOffset>3732276</wp:posOffset>
              </wp:positionH>
              <wp:positionV relativeFrom="page">
                <wp:posOffset>445854</wp:posOffset>
              </wp:positionV>
              <wp:extent cx="317500" cy="194310"/>
              <wp:effectExtent l="0" t="0" r="0" b="0"/>
              <wp:wrapNone/>
              <wp:docPr id="293" name="Textbox 293"/>
              <wp:cNvGraphicFramePr>
                <a:graphicFrameLocks/>
              </wp:cNvGraphicFramePr>
              <a:graphic>
                <a:graphicData uri="http://schemas.microsoft.com/office/word/2010/wordprocessingShape">
                  <wps:wsp>
                    <wps:cNvPr id="293" name="Textbox 29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32736" type="#_x0000_t202" id="docshape29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134</w:t>
                    </w:r>
                    <w:r>
                      <w:rPr>
                        <w:rFonts w:ascii="Times New Roman"/>
                        <w:spacing w:val="-5"/>
                      </w:rPr>
                      <w:fldChar w:fldCharType="end"/>
                    </w:r>
                  </w:p>
                </w:txbxContent>
              </v:textbox>
              <w10:wrap type="none"/>
            </v:shape>
          </w:pict>
        </mc:Fallback>
      </mc:AlternateContent>
    </w:r>
  </w:p>
</w:hdr>
</file>

<file path=word/header15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84768">
              <wp:simplePos x="0" y="0"/>
              <wp:positionH relativeFrom="page">
                <wp:posOffset>3732276</wp:posOffset>
              </wp:positionH>
              <wp:positionV relativeFrom="page">
                <wp:posOffset>445854</wp:posOffset>
              </wp:positionV>
              <wp:extent cx="317500" cy="194310"/>
              <wp:effectExtent l="0" t="0" r="0" b="0"/>
              <wp:wrapNone/>
              <wp:docPr id="295" name="Textbox 295"/>
              <wp:cNvGraphicFramePr>
                <a:graphicFrameLocks/>
              </wp:cNvGraphicFramePr>
              <a:graphic>
                <a:graphicData uri="http://schemas.microsoft.com/office/word/2010/wordprocessingShape">
                  <wps:wsp>
                    <wps:cNvPr id="295" name="Textbox 29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31712" type="#_x0000_t202" id="docshape29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135</w:t>
                    </w:r>
                    <w:r>
                      <w:rPr>
                        <w:rFonts w:ascii="Times New Roman"/>
                        <w:spacing w:val="-5"/>
                      </w:rPr>
                      <w:fldChar w:fldCharType="end"/>
                    </w:r>
                  </w:p>
                </w:txbxContent>
              </v:textbox>
              <w10:wrap type="none"/>
            </v:shape>
          </w:pict>
        </mc:Fallback>
      </mc:AlternateContent>
    </w:r>
  </w:p>
</w:hdr>
</file>

<file path=word/header15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5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85792">
              <wp:simplePos x="0" y="0"/>
              <wp:positionH relativeFrom="page">
                <wp:posOffset>3732276</wp:posOffset>
              </wp:positionH>
              <wp:positionV relativeFrom="page">
                <wp:posOffset>445854</wp:posOffset>
              </wp:positionV>
              <wp:extent cx="317500" cy="194310"/>
              <wp:effectExtent l="0" t="0" r="0" b="0"/>
              <wp:wrapNone/>
              <wp:docPr id="297" name="Textbox 297"/>
              <wp:cNvGraphicFramePr>
                <a:graphicFrameLocks/>
              </wp:cNvGraphicFramePr>
              <a:graphic>
                <a:graphicData uri="http://schemas.microsoft.com/office/word/2010/wordprocessingShape">
                  <wps:wsp>
                    <wps:cNvPr id="297" name="Textbox 29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30688" type="#_x0000_t202" id="docshape29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137</w:t>
                    </w:r>
                    <w:r>
                      <w:rPr>
                        <w:rFonts w:ascii="Times New Roman"/>
                        <w:spacing w:val="-5"/>
                      </w:rPr>
                      <w:fldChar w:fldCharType="end"/>
                    </w:r>
                  </w:p>
                </w:txbxContent>
              </v:textbox>
              <w10:wrap type="none"/>
            </v:shape>
          </w:pict>
        </mc:Fallback>
      </mc:AlternateContent>
    </w:r>
  </w:p>
</w:hdr>
</file>

<file path=word/header15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86816">
              <wp:simplePos x="0" y="0"/>
              <wp:positionH relativeFrom="page">
                <wp:posOffset>3732276</wp:posOffset>
              </wp:positionH>
              <wp:positionV relativeFrom="page">
                <wp:posOffset>445854</wp:posOffset>
              </wp:positionV>
              <wp:extent cx="317500" cy="194310"/>
              <wp:effectExtent l="0" t="0" r="0" b="0"/>
              <wp:wrapNone/>
              <wp:docPr id="299" name="Textbox 299"/>
              <wp:cNvGraphicFramePr>
                <a:graphicFrameLocks/>
              </wp:cNvGraphicFramePr>
              <a:graphic>
                <a:graphicData uri="http://schemas.microsoft.com/office/word/2010/wordprocessingShape">
                  <wps:wsp>
                    <wps:cNvPr id="299" name="Textbox 29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29664" type="#_x0000_t202" id="docshape29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138</w:t>
                    </w:r>
                    <w:r>
                      <w:rPr>
                        <w:rFonts w:ascii="Times New Roman"/>
                        <w:spacing w:val="-5"/>
                      </w:rPr>
                      <w:fldChar w:fldCharType="end"/>
                    </w:r>
                  </w:p>
                </w:txbxContent>
              </v:textbox>
              <w10:wrap type="none"/>
            </v:shape>
          </w:pict>
        </mc:Fallback>
      </mc:AlternateContent>
    </w:r>
  </w:p>
</w:hdr>
</file>

<file path=word/header15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87840">
              <wp:simplePos x="0" y="0"/>
              <wp:positionH relativeFrom="page">
                <wp:posOffset>3732276</wp:posOffset>
              </wp:positionH>
              <wp:positionV relativeFrom="page">
                <wp:posOffset>445854</wp:posOffset>
              </wp:positionV>
              <wp:extent cx="317500" cy="194310"/>
              <wp:effectExtent l="0" t="0" r="0" b="0"/>
              <wp:wrapNone/>
              <wp:docPr id="301" name="Textbox 301"/>
              <wp:cNvGraphicFramePr>
                <a:graphicFrameLocks/>
              </wp:cNvGraphicFramePr>
              <a:graphic>
                <a:graphicData uri="http://schemas.microsoft.com/office/word/2010/wordprocessingShape">
                  <wps:wsp>
                    <wps:cNvPr id="301" name="Textbox 30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28640" type="#_x0000_t202" id="docshape30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139</w:t>
                    </w:r>
                    <w:r>
                      <w:rPr>
                        <w:rFonts w:ascii="Times New Roman"/>
                        <w:spacing w:val="-5"/>
                      </w:rPr>
                      <w:fldChar w:fldCharType="end"/>
                    </w:r>
                  </w:p>
                </w:txbxContent>
              </v:textbox>
              <w10:wrap type="none"/>
            </v:shape>
          </w:pict>
        </mc:Fallback>
      </mc:AlternateContent>
    </w:r>
  </w:p>
</w:hdr>
</file>

<file path=word/header15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51648">
              <wp:simplePos x="0" y="0"/>
              <wp:positionH relativeFrom="page">
                <wp:posOffset>3771900</wp:posOffset>
              </wp:positionH>
              <wp:positionV relativeFrom="page">
                <wp:posOffset>445854</wp:posOffset>
              </wp:positionV>
              <wp:extent cx="241300" cy="194310"/>
              <wp:effectExtent l="0" t="0" r="0" b="0"/>
              <wp:wrapNone/>
              <wp:docPr id="33" name="Textbox 33"/>
              <wp:cNvGraphicFramePr>
                <a:graphicFrameLocks/>
              </wp:cNvGraphicFramePr>
              <a:graphic>
                <a:graphicData uri="http://schemas.microsoft.com/office/word/2010/wordprocessingShape">
                  <wps:wsp>
                    <wps:cNvPr id="33" name="Textbox 33"/>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64832" type="#_x0000_t202" id="docshape3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w:t>
                    </w:r>
                    <w:r>
                      <w:rPr>
                        <w:rFonts w:ascii="Times New Roman"/>
                        <w:spacing w:val="-5"/>
                      </w:rPr>
                      <w:fldChar w:fldCharType="end"/>
                    </w:r>
                  </w:p>
                </w:txbxContent>
              </v:textbox>
              <w10:wrap type="none"/>
            </v:shape>
          </w:pict>
        </mc:Fallback>
      </mc:AlternateContent>
    </w:r>
  </w:p>
</w:hdr>
</file>

<file path=word/header16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88864">
              <wp:simplePos x="0" y="0"/>
              <wp:positionH relativeFrom="page">
                <wp:posOffset>3732276</wp:posOffset>
              </wp:positionH>
              <wp:positionV relativeFrom="page">
                <wp:posOffset>445854</wp:posOffset>
              </wp:positionV>
              <wp:extent cx="317500" cy="194310"/>
              <wp:effectExtent l="0" t="0" r="0" b="0"/>
              <wp:wrapNone/>
              <wp:docPr id="303" name="Textbox 303"/>
              <wp:cNvGraphicFramePr>
                <a:graphicFrameLocks/>
              </wp:cNvGraphicFramePr>
              <a:graphic>
                <a:graphicData uri="http://schemas.microsoft.com/office/word/2010/wordprocessingShape">
                  <wps:wsp>
                    <wps:cNvPr id="303" name="Textbox 30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27616" type="#_x0000_t202" id="docshape30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141</w:t>
                    </w:r>
                    <w:r>
                      <w:rPr>
                        <w:rFonts w:ascii="Times New Roman"/>
                        <w:spacing w:val="-5"/>
                      </w:rPr>
                      <w:fldChar w:fldCharType="end"/>
                    </w:r>
                  </w:p>
                </w:txbxContent>
              </v:textbox>
              <w10:wrap type="none"/>
            </v:shape>
          </w:pict>
        </mc:Fallback>
      </mc:AlternateContent>
    </w:r>
  </w:p>
</w:hdr>
</file>

<file path=word/header16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89888">
              <wp:simplePos x="0" y="0"/>
              <wp:positionH relativeFrom="page">
                <wp:posOffset>3732276</wp:posOffset>
              </wp:positionH>
              <wp:positionV relativeFrom="page">
                <wp:posOffset>445854</wp:posOffset>
              </wp:positionV>
              <wp:extent cx="317500" cy="194310"/>
              <wp:effectExtent l="0" t="0" r="0" b="0"/>
              <wp:wrapNone/>
              <wp:docPr id="305" name="Textbox 305"/>
              <wp:cNvGraphicFramePr>
                <a:graphicFrameLocks/>
              </wp:cNvGraphicFramePr>
              <a:graphic>
                <a:graphicData uri="http://schemas.microsoft.com/office/word/2010/wordprocessingShape">
                  <wps:wsp>
                    <wps:cNvPr id="305" name="Textbox 30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26592" type="#_x0000_t202" id="docshape30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142</w:t>
                    </w:r>
                    <w:r>
                      <w:rPr>
                        <w:rFonts w:ascii="Times New Roman"/>
                        <w:spacing w:val="-5"/>
                      </w:rPr>
                      <w:fldChar w:fldCharType="end"/>
                    </w:r>
                  </w:p>
                </w:txbxContent>
              </v:textbox>
              <w10:wrap type="none"/>
            </v:shape>
          </w:pict>
        </mc:Fallback>
      </mc:AlternateContent>
    </w:r>
  </w:p>
</w:hdr>
</file>

<file path=word/header16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90912">
              <wp:simplePos x="0" y="0"/>
              <wp:positionH relativeFrom="page">
                <wp:posOffset>3732276</wp:posOffset>
              </wp:positionH>
              <wp:positionV relativeFrom="page">
                <wp:posOffset>445854</wp:posOffset>
              </wp:positionV>
              <wp:extent cx="317500" cy="194310"/>
              <wp:effectExtent l="0" t="0" r="0" b="0"/>
              <wp:wrapNone/>
              <wp:docPr id="307" name="Textbox 307"/>
              <wp:cNvGraphicFramePr>
                <a:graphicFrameLocks/>
              </wp:cNvGraphicFramePr>
              <a:graphic>
                <a:graphicData uri="http://schemas.microsoft.com/office/word/2010/wordprocessingShape">
                  <wps:wsp>
                    <wps:cNvPr id="307" name="Textbox 30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25568" type="#_x0000_t202" id="docshape30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143</w:t>
                    </w:r>
                    <w:r>
                      <w:rPr>
                        <w:rFonts w:ascii="Times New Roman"/>
                        <w:spacing w:val="-5"/>
                      </w:rPr>
                      <w:fldChar w:fldCharType="end"/>
                    </w:r>
                  </w:p>
                </w:txbxContent>
              </v:textbox>
              <w10:wrap type="none"/>
            </v:shape>
          </w:pict>
        </mc:Fallback>
      </mc:AlternateContent>
    </w:r>
  </w:p>
</w:hdr>
</file>

<file path=word/header16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91936">
              <wp:simplePos x="0" y="0"/>
              <wp:positionH relativeFrom="page">
                <wp:posOffset>4783835</wp:posOffset>
              </wp:positionH>
              <wp:positionV relativeFrom="page">
                <wp:posOffset>445854</wp:posOffset>
              </wp:positionV>
              <wp:extent cx="318135" cy="194310"/>
              <wp:effectExtent l="0" t="0" r="0" b="0"/>
              <wp:wrapNone/>
              <wp:docPr id="309" name="Textbox 309"/>
              <wp:cNvGraphicFramePr>
                <a:graphicFrameLocks/>
              </wp:cNvGraphicFramePr>
              <a:graphic>
                <a:graphicData uri="http://schemas.microsoft.com/office/word/2010/wordprocessingShape">
                  <wps:wsp>
                    <wps:cNvPr id="309" name="Textbox 309"/>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76.679993pt;margin-top:35.10664pt;width:25.05pt;height:15.3pt;mso-position-horizontal-relative:page;mso-position-vertical-relative:page;z-index:-36524544" type="#_x0000_t202" id="docshape30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144</w:t>
                    </w:r>
                    <w:r>
                      <w:rPr>
                        <w:rFonts w:ascii="Times New Roman"/>
                        <w:spacing w:val="-5"/>
                      </w:rPr>
                      <w:fldChar w:fldCharType="end"/>
                    </w:r>
                  </w:p>
                </w:txbxContent>
              </v:textbox>
              <w10:wrap type="none"/>
            </v:shape>
          </w:pict>
        </mc:Fallback>
      </mc:AlternateContent>
    </w:r>
  </w:p>
</w:hdr>
</file>

<file path=word/header16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92960">
              <wp:simplePos x="0" y="0"/>
              <wp:positionH relativeFrom="page">
                <wp:posOffset>4783835</wp:posOffset>
              </wp:positionH>
              <wp:positionV relativeFrom="page">
                <wp:posOffset>445854</wp:posOffset>
              </wp:positionV>
              <wp:extent cx="318135" cy="194310"/>
              <wp:effectExtent l="0" t="0" r="0" b="0"/>
              <wp:wrapNone/>
              <wp:docPr id="311" name="Textbox 311"/>
              <wp:cNvGraphicFramePr>
                <a:graphicFrameLocks/>
              </wp:cNvGraphicFramePr>
              <a:graphic>
                <a:graphicData uri="http://schemas.microsoft.com/office/word/2010/wordprocessingShape">
                  <wps:wsp>
                    <wps:cNvPr id="311" name="Textbox 311"/>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76.679993pt;margin-top:35.10664pt;width:25.05pt;height:15.3pt;mso-position-horizontal-relative:page;mso-position-vertical-relative:page;z-index:-36523520" type="#_x0000_t202" id="docshape31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145</w:t>
                    </w:r>
                    <w:r>
                      <w:rPr>
                        <w:rFonts w:ascii="Times New Roman"/>
                        <w:spacing w:val="-5"/>
                      </w:rPr>
                      <w:fldChar w:fldCharType="end"/>
                    </w:r>
                  </w:p>
                </w:txbxContent>
              </v:textbox>
              <w10:wrap type="none"/>
            </v:shape>
          </w:pict>
        </mc:Fallback>
      </mc:AlternateContent>
    </w:r>
  </w:p>
</w:hdr>
</file>

<file path=word/header16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93984">
              <wp:simplePos x="0" y="0"/>
              <wp:positionH relativeFrom="page">
                <wp:posOffset>3732276</wp:posOffset>
              </wp:positionH>
              <wp:positionV relativeFrom="page">
                <wp:posOffset>445854</wp:posOffset>
              </wp:positionV>
              <wp:extent cx="317500" cy="194310"/>
              <wp:effectExtent l="0" t="0" r="0" b="0"/>
              <wp:wrapNone/>
              <wp:docPr id="313" name="Textbox 313"/>
              <wp:cNvGraphicFramePr>
                <a:graphicFrameLocks/>
              </wp:cNvGraphicFramePr>
              <a:graphic>
                <a:graphicData uri="http://schemas.microsoft.com/office/word/2010/wordprocessingShape">
                  <wps:wsp>
                    <wps:cNvPr id="313" name="Textbox 31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22496" type="#_x0000_t202" id="docshape31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146</w:t>
                    </w:r>
                    <w:r>
                      <w:rPr>
                        <w:rFonts w:ascii="Times New Roman"/>
                        <w:spacing w:val="-5"/>
                      </w:rPr>
                      <w:fldChar w:fldCharType="end"/>
                    </w:r>
                  </w:p>
                </w:txbxContent>
              </v:textbox>
              <w10:wrap type="none"/>
            </v:shape>
          </w:pict>
        </mc:Fallback>
      </mc:AlternateContent>
    </w:r>
  </w:p>
</w:hdr>
</file>

<file path=word/header16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95008">
              <wp:simplePos x="0" y="0"/>
              <wp:positionH relativeFrom="page">
                <wp:posOffset>3732276</wp:posOffset>
              </wp:positionH>
              <wp:positionV relativeFrom="page">
                <wp:posOffset>445854</wp:posOffset>
              </wp:positionV>
              <wp:extent cx="317500" cy="194310"/>
              <wp:effectExtent l="0" t="0" r="0" b="0"/>
              <wp:wrapNone/>
              <wp:docPr id="315" name="Textbox 315"/>
              <wp:cNvGraphicFramePr>
                <a:graphicFrameLocks/>
              </wp:cNvGraphicFramePr>
              <a:graphic>
                <a:graphicData uri="http://schemas.microsoft.com/office/word/2010/wordprocessingShape">
                  <wps:wsp>
                    <wps:cNvPr id="315" name="Textbox 31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21472" type="#_x0000_t202" id="docshape31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147</w:t>
                    </w:r>
                    <w:r>
                      <w:rPr>
                        <w:rFonts w:ascii="Times New Roman"/>
                        <w:spacing w:val="-5"/>
                      </w:rPr>
                      <w:fldChar w:fldCharType="end"/>
                    </w:r>
                  </w:p>
                </w:txbxContent>
              </v:textbox>
              <w10:wrap type="none"/>
            </v:shape>
          </w:pict>
        </mc:Fallback>
      </mc:AlternateContent>
    </w:r>
  </w:p>
</w:hdr>
</file>

<file path=word/header16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96032">
              <wp:simplePos x="0" y="0"/>
              <wp:positionH relativeFrom="page">
                <wp:posOffset>3732276</wp:posOffset>
              </wp:positionH>
              <wp:positionV relativeFrom="page">
                <wp:posOffset>445854</wp:posOffset>
              </wp:positionV>
              <wp:extent cx="317500" cy="194310"/>
              <wp:effectExtent l="0" t="0" r="0" b="0"/>
              <wp:wrapNone/>
              <wp:docPr id="317" name="Textbox 317"/>
              <wp:cNvGraphicFramePr>
                <a:graphicFrameLocks/>
              </wp:cNvGraphicFramePr>
              <a:graphic>
                <a:graphicData uri="http://schemas.microsoft.com/office/word/2010/wordprocessingShape">
                  <wps:wsp>
                    <wps:cNvPr id="317" name="Textbox 31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20448" type="#_x0000_t202" id="docshape31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148</w:t>
                    </w:r>
                    <w:r>
                      <w:rPr>
                        <w:rFonts w:ascii="Times New Roman"/>
                        <w:spacing w:val="-5"/>
                      </w:rPr>
                      <w:fldChar w:fldCharType="end"/>
                    </w:r>
                  </w:p>
                </w:txbxContent>
              </v:textbox>
              <w10:wrap type="none"/>
            </v:shape>
          </w:pict>
        </mc:Fallback>
      </mc:AlternateContent>
    </w:r>
  </w:p>
</w:hdr>
</file>

<file path=word/header16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6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97056">
              <wp:simplePos x="0" y="0"/>
              <wp:positionH relativeFrom="page">
                <wp:posOffset>3732276</wp:posOffset>
              </wp:positionH>
              <wp:positionV relativeFrom="page">
                <wp:posOffset>445854</wp:posOffset>
              </wp:positionV>
              <wp:extent cx="317500" cy="194310"/>
              <wp:effectExtent l="0" t="0" r="0" b="0"/>
              <wp:wrapNone/>
              <wp:docPr id="319" name="Textbox 319"/>
              <wp:cNvGraphicFramePr>
                <a:graphicFrameLocks/>
              </wp:cNvGraphicFramePr>
              <a:graphic>
                <a:graphicData uri="http://schemas.microsoft.com/office/word/2010/wordprocessingShape">
                  <wps:wsp>
                    <wps:cNvPr id="319" name="Textbox 31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19424" type="#_x0000_t202" id="docshape31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150</w:t>
                    </w:r>
                    <w:r>
                      <w:rPr>
                        <w:rFonts w:ascii="Times New Roman"/>
                        <w:spacing w:val="-5"/>
                      </w:rPr>
                      <w:fldChar w:fldCharType="end"/>
                    </w:r>
                  </w:p>
                </w:txbxContent>
              </v:textbox>
              <w10:wrap type="none"/>
            </v:shape>
          </w:pict>
        </mc:Fallback>
      </mc:AlternateContent>
    </w: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52672">
              <wp:simplePos x="0" y="0"/>
              <wp:positionH relativeFrom="page">
                <wp:posOffset>3771900</wp:posOffset>
              </wp:positionH>
              <wp:positionV relativeFrom="page">
                <wp:posOffset>445854</wp:posOffset>
              </wp:positionV>
              <wp:extent cx="241300" cy="194310"/>
              <wp:effectExtent l="0" t="0" r="0" b="0"/>
              <wp:wrapNone/>
              <wp:docPr id="35" name="Textbox 35"/>
              <wp:cNvGraphicFramePr>
                <a:graphicFrameLocks/>
              </wp:cNvGraphicFramePr>
              <a:graphic>
                <a:graphicData uri="http://schemas.microsoft.com/office/word/2010/wordprocessingShape">
                  <wps:wsp>
                    <wps:cNvPr id="35" name="Textbox 35"/>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63808" type="#_x0000_t202" id="docshape3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w:t>
                    </w:r>
                    <w:r>
                      <w:rPr>
                        <w:rFonts w:ascii="Times New Roman"/>
                        <w:spacing w:val="-5"/>
                      </w:rPr>
                      <w:fldChar w:fldCharType="end"/>
                    </w:r>
                  </w:p>
                </w:txbxContent>
              </v:textbox>
              <w10:wrap type="none"/>
            </v:shape>
          </w:pict>
        </mc:Fallback>
      </mc:AlternateContent>
    </w:r>
  </w:p>
</w:hdr>
</file>

<file path=word/header17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98080">
              <wp:simplePos x="0" y="0"/>
              <wp:positionH relativeFrom="page">
                <wp:posOffset>3732276</wp:posOffset>
              </wp:positionH>
              <wp:positionV relativeFrom="page">
                <wp:posOffset>445854</wp:posOffset>
              </wp:positionV>
              <wp:extent cx="317500" cy="194310"/>
              <wp:effectExtent l="0" t="0" r="0" b="0"/>
              <wp:wrapNone/>
              <wp:docPr id="321" name="Textbox 321"/>
              <wp:cNvGraphicFramePr>
                <a:graphicFrameLocks/>
              </wp:cNvGraphicFramePr>
              <a:graphic>
                <a:graphicData uri="http://schemas.microsoft.com/office/word/2010/wordprocessingShape">
                  <wps:wsp>
                    <wps:cNvPr id="321" name="Textbox 32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18400" type="#_x0000_t202" id="docshape32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151</w:t>
                    </w:r>
                    <w:r>
                      <w:rPr>
                        <w:rFonts w:ascii="Times New Roman"/>
                        <w:spacing w:val="-5"/>
                      </w:rPr>
                      <w:fldChar w:fldCharType="end"/>
                    </w:r>
                  </w:p>
                </w:txbxContent>
              </v:textbox>
              <w10:wrap type="none"/>
            </v:shape>
          </w:pict>
        </mc:Fallback>
      </mc:AlternateContent>
    </w:r>
  </w:p>
</w:hdr>
</file>

<file path=word/header17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7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99104">
              <wp:simplePos x="0" y="0"/>
              <wp:positionH relativeFrom="page">
                <wp:posOffset>3732276</wp:posOffset>
              </wp:positionH>
              <wp:positionV relativeFrom="page">
                <wp:posOffset>445854</wp:posOffset>
              </wp:positionV>
              <wp:extent cx="317500" cy="194310"/>
              <wp:effectExtent l="0" t="0" r="0" b="0"/>
              <wp:wrapNone/>
              <wp:docPr id="323" name="Textbox 323"/>
              <wp:cNvGraphicFramePr>
                <a:graphicFrameLocks/>
              </wp:cNvGraphicFramePr>
              <a:graphic>
                <a:graphicData uri="http://schemas.microsoft.com/office/word/2010/wordprocessingShape">
                  <wps:wsp>
                    <wps:cNvPr id="323" name="Textbox 32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17376" type="#_x0000_t202" id="docshape32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153</w:t>
                    </w:r>
                    <w:r>
                      <w:rPr>
                        <w:rFonts w:ascii="Times New Roman"/>
                        <w:spacing w:val="-5"/>
                      </w:rPr>
                      <w:fldChar w:fldCharType="end"/>
                    </w:r>
                  </w:p>
                </w:txbxContent>
              </v:textbox>
              <w10:wrap type="none"/>
            </v:shape>
          </w:pict>
        </mc:Fallback>
      </mc:AlternateContent>
    </w:r>
  </w:p>
</w:hdr>
</file>

<file path=word/header17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00128">
              <wp:simplePos x="0" y="0"/>
              <wp:positionH relativeFrom="page">
                <wp:posOffset>3732276</wp:posOffset>
              </wp:positionH>
              <wp:positionV relativeFrom="page">
                <wp:posOffset>445854</wp:posOffset>
              </wp:positionV>
              <wp:extent cx="317500" cy="194310"/>
              <wp:effectExtent l="0" t="0" r="0" b="0"/>
              <wp:wrapNone/>
              <wp:docPr id="325" name="Textbox 325"/>
              <wp:cNvGraphicFramePr>
                <a:graphicFrameLocks/>
              </wp:cNvGraphicFramePr>
              <a:graphic>
                <a:graphicData uri="http://schemas.microsoft.com/office/word/2010/wordprocessingShape">
                  <wps:wsp>
                    <wps:cNvPr id="325" name="Textbox 32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16352" type="#_x0000_t202" id="docshape32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154</w:t>
                    </w:r>
                    <w:r>
                      <w:rPr>
                        <w:rFonts w:ascii="Times New Roman"/>
                        <w:spacing w:val="-5"/>
                      </w:rPr>
                      <w:fldChar w:fldCharType="end"/>
                    </w:r>
                  </w:p>
                </w:txbxContent>
              </v:textbox>
              <w10:wrap type="none"/>
            </v:shape>
          </w:pict>
        </mc:Fallback>
      </mc:AlternateContent>
    </w:r>
  </w:p>
</w:hdr>
</file>

<file path=word/header17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7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01152">
              <wp:simplePos x="0" y="0"/>
              <wp:positionH relativeFrom="page">
                <wp:posOffset>3732276</wp:posOffset>
              </wp:positionH>
              <wp:positionV relativeFrom="page">
                <wp:posOffset>445854</wp:posOffset>
              </wp:positionV>
              <wp:extent cx="317500" cy="194310"/>
              <wp:effectExtent l="0" t="0" r="0" b="0"/>
              <wp:wrapNone/>
              <wp:docPr id="327" name="Textbox 327"/>
              <wp:cNvGraphicFramePr>
                <a:graphicFrameLocks/>
              </wp:cNvGraphicFramePr>
              <a:graphic>
                <a:graphicData uri="http://schemas.microsoft.com/office/word/2010/wordprocessingShape">
                  <wps:wsp>
                    <wps:cNvPr id="327" name="Textbox 32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15328" type="#_x0000_t202" id="docshape32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156</w:t>
                    </w:r>
                    <w:r>
                      <w:rPr>
                        <w:rFonts w:ascii="Times New Roman"/>
                        <w:spacing w:val="-5"/>
                      </w:rPr>
                      <w:fldChar w:fldCharType="end"/>
                    </w:r>
                  </w:p>
                </w:txbxContent>
              </v:textbox>
              <w10:wrap type="none"/>
            </v:shape>
          </w:pict>
        </mc:Fallback>
      </mc:AlternateContent>
    </w:r>
  </w:p>
</w:hdr>
</file>

<file path=word/header17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02176">
              <wp:simplePos x="0" y="0"/>
              <wp:positionH relativeFrom="page">
                <wp:posOffset>3732276</wp:posOffset>
              </wp:positionH>
              <wp:positionV relativeFrom="page">
                <wp:posOffset>445854</wp:posOffset>
              </wp:positionV>
              <wp:extent cx="317500" cy="194310"/>
              <wp:effectExtent l="0" t="0" r="0" b="0"/>
              <wp:wrapNone/>
              <wp:docPr id="329" name="Textbox 329"/>
              <wp:cNvGraphicFramePr>
                <a:graphicFrameLocks/>
              </wp:cNvGraphicFramePr>
              <a:graphic>
                <a:graphicData uri="http://schemas.microsoft.com/office/word/2010/wordprocessingShape">
                  <wps:wsp>
                    <wps:cNvPr id="329" name="Textbox 32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14304" type="#_x0000_t202" id="docshape32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157</w:t>
                    </w:r>
                    <w:r>
                      <w:rPr>
                        <w:rFonts w:ascii="Times New Roman"/>
                        <w:spacing w:val="-5"/>
                      </w:rPr>
                      <w:fldChar w:fldCharType="end"/>
                    </w:r>
                  </w:p>
                </w:txbxContent>
              </v:textbox>
              <w10:wrap type="none"/>
            </v:shape>
          </w:pict>
        </mc:Fallback>
      </mc:AlternateContent>
    </w:r>
  </w:p>
</w:hdr>
</file>

<file path=word/header17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03200">
              <wp:simplePos x="0" y="0"/>
              <wp:positionH relativeFrom="page">
                <wp:posOffset>3732276</wp:posOffset>
              </wp:positionH>
              <wp:positionV relativeFrom="page">
                <wp:posOffset>445854</wp:posOffset>
              </wp:positionV>
              <wp:extent cx="317500" cy="194310"/>
              <wp:effectExtent l="0" t="0" r="0" b="0"/>
              <wp:wrapNone/>
              <wp:docPr id="331" name="Textbox 331"/>
              <wp:cNvGraphicFramePr>
                <a:graphicFrameLocks/>
              </wp:cNvGraphicFramePr>
              <a:graphic>
                <a:graphicData uri="http://schemas.microsoft.com/office/word/2010/wordprocessingShape">
                  <wps:wsp>
                    <wps:cNvPr id="331" name="Textbox 33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13280" type="#_x0000_t202" id="docshape33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158</w:t>
                    </w:r>
                    <w:r>
                      <w:rPr>
                        <w:rFonts w:ascii="Times New Roman"/>
                        <w:spacing w:val="-5"/>
                      </w:rPr>
                      <w:fldChar w:fldCharType="end"/>
                    </w:r>
                  </w:p>
                </w:txbxContent>
              </v:textbox>
              <w10:wrap type="none"/>
            </v:shape>
          </w:pict>
        </mc:Fallback>
      </mc:AlternateContent>
    </w:r>
  </w:p>
</w:hdr>
</file>

<file path=word/header17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7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04224">
              <wp:simplePos x="0" y="0"/>
              <wp:positionH relativeFrom="page">
                <wp:posOffset>3732276</wp:posOffset>
              </wp:positionH>
              <wp:positionV relativeFrom="page">
                <wp:posOffset>445854</wp:posOffset>
              </wp:positionV>
              <wp:extent cx="317500" cy="194310"/>
              <wp:effectExtent l="0" t="0" r="0" b="0"/>
              <wp:wrapNone/>
              <wp:docPr id="333" name="Textbox 333"/>
              <wp:cNvGraphicFramePr>
                <a:graphicFrameLocks/>
              </wp:cNvGraphicFramePr>
              <a:graphic>
                <a:graphicData uri="http://schemas.microsoft.com/office/word/2010/wordprocessingShape">
                  <wps:wsp>
                    <wps:cNvPr id="333" name="Textbox 33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12256" type="#_x0000_t202" id="docshape33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160</w:t>
                    </w:r>
                    <w:r>
                      <w:rPr>
                        <w:rFonts w:ascii="Times New Roman"/>
                        <w:spacing w:val="-5"/>
                      </w:rPr>
                      <w:fldChar w:fldCharType="end"/>
                    </w:r>
                  </w:p>
                </w:txbxContent>
              </v:textbox>
              <w10:wrap type="none"/>
            </v:shape>
          </w:pict>
        </mc:Fallback>
      </mc:AlternateContent>
    </w: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53696">
              <wp:simplePos x="0" y="0"/>
              <wp:positionH relativeFrom="page">
                <wp:posOffset>3771900</wp:posOffset>
              </wp:positionH>
              <wp:positionV relativeFrom="page">
                <wp:posOffset>445854</wp:posOffset>
              </wp:positionV>
              <wp:extent cx="241300" cy="194310"/>
              <wp:effectExtent l="0" t="0" r="0" b="0"/>
              <wp:wrapNone/>
              <wp:docPr id="37" name="Textbox 37"/>
              <wp:cNvGraphicFramePr>
                <a:graphicFrameLocks/>
              </wp:cNvGraphicFramePr>
              <a:graphic>
                <a:graphicData uri="http://schemas.microsoft.com/office/word/2010/wordprocessingShape">
                  <wps:wsp>
                    <wps:cNvPr id="37" name="Textbox 37"/>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62784" type="#_x0000_t202" id="docshape3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w:t>
                    </w:r>
                    <w:r>
                      <w:rPr>
                        <w:rFonts w:ascii="Times New Roman"/>
                        <w:spacing w:val="-5"/>
                      </w:rPr>
                      <w:fldChar w:fldCharType="end"/>
                    </w:r>
                  </w:p>
                </w:txbxContent>
              </v:textbox>
              <w10:wrap type="none"/>
            </v:shape>
          </w:pict>
        </mc:Fallback>
      </mc:AlternateContent>
    </w:r>
  </w:p>
</w:hdr>
</file>

<file path=word/header18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05248">
              <wp:simplePos x="0" y="0"/>
              <wp:positionH relativeFrom="page">
                <wp:posOffset>3732276</wp:posOffset>
              </wp:positionH>
              <wp:positionV relativeFrom="page">
                <wp:posOffset>445854</wp:posOffset>
              </wp:positionV>
              <wp:extent cx="317500" cy="194310"/>
              <wp:effectExtent l="0" t="0" r="0" b="0"/>
              <wp:wrapNone/>
              <wp:docPr id="335" name="Textbox 335"/>
              <wp:cNvGraphicFramePr>
                <a:graphicFrameLocks/>
              </wp:cNvGraphicFramePr>
              <a:graphic>
                <a:graphicData uri="http://schemas.microsoft.com/office/word/2010/wordprocessingShape">
                  <wps:wsp>
                    <wps:cNvPr id="335" name="Textbox 33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11232" type="#_x0000_t202" id="docshape33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161</w:t>
                    </w:r>
                    <w:r>
                      <w:rPr>
                        <w:rFonts w:ascii="Times New Roman"/>
                        <w:spacing w:val="-5"/>
                      </w:rPr>
                      <w:fldChar w:fldCharType="end"/>
                    </w:r>
                  </w:p>
                </w:txbxContent>
              </v:textbox>
              <w10:wrap type="none"/>
            </v:shape>
          </w:pict>
        </mc:Fallback>
      </mc:AlternateContent>
    </w:r>
  </w:p>
</w:hdr>
</file>

<file path=word/header18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06272">
              <wp:simplePos x="0" y="0"/>
              <wp:positionH relativeFrom="page">
                <wp:posOffset>3732276</wp:posOffset>
              </wp:positionH>
              <wp:positionV relativeFrom="page">
                <wp:posOffset>445854</wp:posOffset>
              </wp:positionV>
              <wp:extent cx="317500" cy="194310"/>
              <wp:effectExtent l="0" t="0" r="0" b="0"/>
              <wp:wrapNone/>
              <wp:docPr id="337" name="Textbox 337"/>
              <wp:cNvGraphicFramePr>
                <a:graphicFrameLocks/>
              </wp:cNvGraphicFramePr>
              <a:graphic>
                <a:graphicData uri="http://schemas.microsoft.com/office/word/2010/wordprocessingShape">
                  <wps:wsp>
                    <wps:cNvPr id="337" name="Textbox 33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10208" type="#_x0000_t202" id="docshape33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162</w:t>
                    </w:r>
                    <w:r>
                      <w:rPr>
                        <w:rFonts w:ascii="Times New Roman"/>
                        <w:spacing w:val="-5"/>
                      </w:rPr>
                      <w:fldChar w:fldCharType="end"/>
                    </w:r>
                  </w:p>
                </w:txbxContent>
              </v:textbox>
              <w10:wrap type="none"/>
            </v:shape>
          </w:pict>
        </mc:Fallback>
      </mc:AlternateContent>
    </w:r>
  </w:p>
</w:hdr>
</file>

<file path=word/header18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8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07296">
              <wp:simplePos x="0" y="0"/>
              <wp:positionH relativeFrom="page">
                <wp:posOffset>3732276</wp:posOffset>
              </wp:positionH>
              <wp:positionV relativeFrom="page">
                <wp:posOffset>445854</wp:posOffset>
              </wp:positionV>
              <wp:extent cx="317500" cy="194310"/>
              <wp:effectExtent l="0" t="0" r="0" b="0"/>
              <wp:wrapNone/>
              <wp:docPr id="339" name="Textbox 339"/>
              <wp:cNvGraphicFramePr>
                <a:graphicFrameLocks/>
              </wp:cNvGraphicFramePr>
              <a:graphic>
                <a:graphicData uri="http://schemas.microsoft.com/office/word/2010/wordprocessingShape">
                  <wps:wsp>
                    <wps:cNvPr id="339" name="Textbox 33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09184" type="#_x0000_t202" id="docshape33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164</w:t>
                    </w:r>
                    <w:r>
                      <w:rPr>
                        <w:rFonts w:ascii="Times New Roman"/>
                        <w:spacing w:val="-5"/>
                      </w:rPr>
                      <w:fldChar w:fldCharType="end"/>
                    </w:r>
                  </w:p>
                </w:txbxContent>
              </v:textbox>
              <w10:wrap type="none"/>
            </v:shape>
          </w:pict>
        </mc:Fallback>
      </mc:AlternateContent>
    </w:r>
  </w:p>
</w:hdr>
</file>

<file path=word/header18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08320">
              <wp:simplePos x="0" y="0"/>
              <wp:positionH relativeFrom="page">
                <wp:posOffset>3732276</wp:posOffset>
              </wp:positionH>
              <wp:positionV relativeFrom="page">
                <wp:posOffset>445854</wp:posOffset>
              </wp:positionV>
              <wp:extent cx="317500" cy="194310"/>
              <wp:effectExtent l="0" t="0" r="0" b="0"/>
              <wp:wrapNone/>
              <wp:docPr id="341" name="Textbox 341"/>
              <wp:cNvGraphicFramePr>
                <a:graphicFrameLocks/>
              </wp:cNvGraphicFramePr>
              <a:graphic>
                <a:graphicData uri="http://schemas.microsoft.com/office/word/2010/wordprocessingShape">
                  <wps:wsp>
                    <wps:cNvPr id="341" name="Textbox 34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08160" type="#_x0000_t202" id="docshape34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165</w:t>
                    </w:r>
                    <w:r>
                      <w:rPr>
                        <w:rFonts w:ascii="Times New Roman"/>
                        <w:spacing w:val="-5"/>
                      </w:rPr>
                      <w:fldChar w:fldCharType="end"/>
                    </w:r>
                  </w:p>
                </w:txbxContent>
              </v:textbox>
              <w10:wrap type="none"/>
            </v:shape>
          </w:pict>
        </mc:Fallback>
      </mc:AlternateContent>
    </w:r>
  </w:p>
</w:hdr>
</file>

<file path=word/header18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8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09344">
              <wp:simplePos x="0" y="0"/>
              <wp:positionH relativeFrom="page">
                <wp:posOffset>3732276</wp:posOffset>
              </wp:positionH>
              <wp:positionV relativeFrom="page">
                <wp:posOffset>445854</wp:posOffset>
              </wp:positionV>
              <wp:extent cx="317500" cy="194310"/>
              <wp:effectExtent l="0" t="0" r="0" b="0"/>
              <wp:wrapNone/>
              <wp:docPr id="343" name="Textbox 343"/>
              <wp:cNvGraphicFramePr>
                <a:graphicFrameLocks/>
              </wp:cNvGraphicFramePr>
              <a:graphic>
                <a:graphicData uri="http://schemas.microsoft.com/office/word/2010/wordprocessingShape">
                  <wps:wsp>
                    <wps:cNvPr id="343" name="Textbox 34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07136" type="#_x0000_t202" id="docshape34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167</w:t>
                    </w:r>
                    <w:r>
                      <w:rPr>
                        <w:rFonts w:ascii="Times New Roman"/>
                        <w:spacing w:val="-5"/>
                      </w:rPr>
                      <w:fldChar w:fldCharType="end"/>
                    </w:r>
                  </w:p>
                </w:txbxContent>
              </v:textbox>
              <w10:wrap type="none"/>
            </v:shape>
          </w:pict>
        </mc:Fallback>
      </mc:AlternateContent>
    </w:r>
  </w:p>
</w:hdr>
</file>

<file path=word/header18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10368">
              <wp:simplePos x="0" y="0"/>
              <wp:positionH relativeFrom="page">
                <wp:posOffset>3732276</wp:posOffset>
              </wp:positionH>
              <wp:positionV relativeFrom="page">
                <wp:posOffset>445854</wp:posOffset>
              </wp:positionV>
              <wp:extent cx="317500" cy="194310"/>
              <wp:effectExtent l="0" t="0" r="0" b="0"/>
              <wp:wrapNone/>
              <wp:docPr id="345" name="Textbox 345"/>
              <wp:cNvGraphicFramePr>
                <a:graphicFrameLocks/>
              </wp:cNvGraphicFramePr>
              <a:graphic>
                <a:graphicData uri="http://schemas.microsoft.com/office/word/2010/wordprocessingShape">
                  <wps:wsp>
                    <wps:cNvPr id="345" name="Textbox 34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06112" type="#_x0000_t202" id="docshape34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168</w:t>
                    </w:r>
                    <w:r>
                      <w:rPr>
                        <w:rFonts w:ascii="Times New Roman"/>
                        <w:spacing w:val="-5"/>
                      </w:rPr>
                      <w:fldChar w:fldCharType="end"/>
                    </w:r>
                  </w:p>
                </w:txbxContent>
              </v:textbox>
              <w10:wrap type="none"/>
            </v:shape>
          </w:pict>
        </mc:Fallback>
      </mc:AlternateContent>
    </w:r>
  </w:p>
</w:hdr>
</file>

<file path=word/header18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8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11392">
              <wp:simplePos x="0" y="0"/>
              <wp:positionH relativeFrom="page">
                <wp:posOffset>3732276</wp:posOffset>
              </wp:positionH>
              <wp:positionV relativeFrom="page">
                <wp:posOffset>445854</wp:posOffset>
              </wp:positionV>
              <wp:extent cx="317500" cy="194310"/>
              <wp:effectExtent l="0" t="0" r="0" b="0"/>
              <wp:wrapNone/>
              <wp:docPr id="347" name="Textbox 347"/>
              <wp:cNvGraphicFramePr>
                <a:graphicFrameLocks/>
              </wp:cNvGraphicFramePr>
              <a:graphic>
                <a:graphicData uri="http://schemas.microsoft.com/office/word/2010/wordprocessingShape">
                  <wps:wsp>
                    <wps:cNvPr id="347" name="Textbox 34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05088" type="#_x0000_t202" id="docshape34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170</w:t>
                    </w:r>
                    <w:r>
                      <w:rPr>
                        <w:rFonts w:ascii="Times New Roman"/>
                        <w:spacing w:val="-5"/>
                      </w:rPr>
                      <w:fldChar w:fldCharType="end"/>
                    </w:r>
                  </w:p>
                </w:txbxContent>
              </v:textbox>
              <w10:wrap type="none"/>
            </v:shape>
          </w:pict>
        </mc:Fallback>
      </mc:AlternateContent>
    </w: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54720">
              <wp:simplePos x="0" y="0"/>
              <wp:positionH relativeFrom="page">
                <wp:posOffset>3771900</wp:posOffset>
              </wp:positionH>
              <wp:positionV relativeFrom="page">
                <wp:posOffset>445854</wp:posOffset>
              </wp:positionV>
              <wp:extent cx="241300" cy="194310"/>
              <wp:effectExtent l="0" t="0" r="0" b="0"/>
              <wp:wrapNone/>
              <wp:docPr id="39" name="Textbox 39"/>
              <wp:cNvGraphicFramePr>
                <a:graphicFrameLocks/>
              </wp:cNvGraphicFramePr>
              <a:graphic>
                <a:graphicData uri="http://schemas.microsoft.com/office/word/2010/wordprocessingShape">
                  <wps:wsp>
                    <wps:cNvPr id="39" name="Textbox 39"/>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61760" type="#_x0000_t202" id="docshape3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w:t>
                    </w:r>
                    <w:r>
                      <w:rPr>
                        <w:rFonts w:ascii="Times New Roman"/>
                        <w:spacing w:val="-5"/>
                      </w:rPr>
                      <w:fldChar w:fldCharType="end"/>
                    </w:r>
                  </w:p>
                </w:txbxContent>
              </v:textbox>
              <w10:wrap type="none"/>
            </v:shape>
          </w:pict>
        </mc:Fallback>
      </mc:AlternateContent>
    </w:r>
  </w:p>
</w:hdr>
</file>

<file path=word/header19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12416">
              <wp:simplePos x="0" y="0"/>
              <wp:positionH relativeFrom="page">
                <wp:posOffset>3732276</wp:posOffset>
              </wp:positionH>
              <wp:positionV relativeFrom="page">
                <wp:posOffset>445854</wp:posOffset>
              </wp:positionV>
              <wp:extent cx="317500" cy="194310"/>
              <wp:effectExtent l="0" t="0" r="0" b="0"/>
              <wp:wrapNone/>
              <wp:docPr id="349" name="Textbox 349"/>
              <wp:cNvGraphicFramePr>
                <a:graphicFrameLocks/>
              </wp:cNvGraphicFramePr>
              <a:graphic>
                <a:graphicData uri="http://schemas.microsoft.com/office/word/2010/wordprocessingShape">
                  <wps:wsp>
                    <wps:cNvPr id="349" name="Textbox 34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04064" type="#_x0000_t202" id="docshape34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171</w:t>
                    </w:r>
                    <w:r>
                      <w:rPr>
                        <w:rFonts w:ascii="Times New Roman"/>
                        <w:spacing w:val="-5"/>
                      </w:rPr>
                      <w:fldChar w:fldCharType="end"/>
                    </w:r>
                  </w:p>
                </w:txbxContent>
              </v:textbox>
              <w10:wrap type="none"/>
            </v:shape>
          </w:pict>
        </mc:Fallback>
      </mc:AlternateContent>
    </w:r>
  </w:p>
</w:hdr>
</file>

<file path=word/header19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9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13440">
              <wp:simplePos x="0" y="0"/>
              <wp:positionH relativeFrom="page">
                <wp:posOffset>3732276</wp:posOffset>
              </wp:positionH>
              <wp:positionV relativeFrom="page">
                <wp:posOffset>445854</wp:posOffset>
              </wp:positionV>
              <wp:extent cx="317500" cy="194310"/>
              <wp:effectExtent l="0" t="0" r="0" b="0"/>
              <wp:wrapNone/>
              <wp:docPr id="351" name="Textbox 351"/>
              <wp:cNvGraphicFramePr>
                <a:graphicFrameLocks/>
              </wp:cNvGraphicFramePr>
              <a:graphic>
                <a:graphicData uri="http://schemas.microsoft.com/office/word/2010/wordprocessingShape">
                  <wps:wsp>
                    <wps:cNvPr id="351" name="Textbox 35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03040" type="#_x0000_t202" id="docshape35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173</w:t>
                    </w:r>
                    <w:r>
                      <w:rPr>
                        <w:rFonts w:ascii="Times New Roman"/>
                        <w:spacing w:val="-5"/>
                      </w:rPr>
                      <w:fldChar w:fldCharType="end"/>
                    </w:r>
                  </w:p>
                </w:txbxContent>
              </v:textbox>
              <w10:wrap type="none"/>
            </v:shape>
          </w:pict>
        </mc:Fallback>
      </mc:AlternateContent>
    </w:r>
  </w:p>
</w:hdr>
</file>

<file path=word/header19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14464">
              <wp:simplePos x="0" y="0"/>
              <wp:positionH relativeFrom="page">
                <wp:posOffset>3732276</wp:posOffset>
              </wp:positionH>
              <wp:positionV relativeFrom="page">
                <wp:posOffset>445854</wp:posOffset>
              </wp:positionV>
              <wp:extent cx="317500" cy="194310"/>
              <wp:effectExtent l="0" t="0" r="0" b="0"/>
              <wp:wrapNone/>
              <wp:docPr id="353" name="Textbox 353"/>
              <wp:cNvGraphicFramePr>
                <a:graphicFrameLocks/>
              </wp:cNvGraphicFramePr>
              <a:graphic>
                <a:graphicData uri="http://schemas.microsoft.com/office/word/2010/wordprocessingShape">
                  <wps:wsp>
                    <wps:cNvPr id="353" name="Textbox 35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02016" type="#_x0000_t202" id="docshape35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174</w:t>
                    </w:r>
                    <w:r>
                      <w:rPr>
                        <w:rFonts w:ascii="Times New Roman"/>
                        <w:spacing w:val="-5"/>
                      </w:rPr>
                      <w:fldChar w:fldCharType="end"/>
                    </w:r>
                  </w:p>
                </w:txbxContent>
              </v:textbox>
              <w10:wrap type="none"/>
            </v:shape>
          </w:pict>
        </mc:Fallback>
      </mc:AlternateContent>
    </w:r>
  </w:p>
</w:hdr>
</file>

<file path=word/header19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15488">
              <wp:simplePos x="0" y="0"/>
              <wp:positionH relativeFrom="page">
                <wp:posOffset>3732276</wp:posOffset>
              </wp:positionH>
              <wp:positionV relativeFrom="page">
                <wp:posOffset>445854</wp:posOffset>
              </wp:positionV>
              <wp:extent cx="317500" cy="194310"/>
              <wp:effectExtent l="0" t="0" r="0" b="0"/>
              <wp:wrapNone/>
              <wp:docPr id="355" name="Textbox 355"/>
              <wp:cNvGraphicFramePr>
                <a:graphicFrameLocks/>
              </wp:cNvGraphicFramePr>
              <a:graphic>
                <a:graphicData uri="http://schemas.microsoft.com/office/word/2010/wordprocessingShape">
                  <wps:wsp>
                    <wps:cNvPr id="355" name="Textbox 35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00992" type="#_x0000_t202" id="docshape35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175</w:t>
                    </w:r>
                    <w:r>
                      <w:rPr>
                        <w:rFonts w:ascii="Times New Roman"/>
                        <w:spacing w:val="-5"/>
                      </w:rPr>
                      <w:fldChar w:fldCharType="end"/>
                    </w:r>
                  </w:p>
                </w:txbxContent>
              </v:textbox>
              <w10:wrap type="none"/>
            </v:shape>
          </w:pict>
        </mc:Fallback>
      </mc:AlternateContent>
    </w:r>
  </w:p>
</w:hdr>
</file>

<file path=word/header19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9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16512">
              <wp:simplePos x="0" y="0"/>
              <wp:positionH relativeFrom="page">
                <wp:posOffset>3732276</wp:posOffset>
              </wp:positionH>
              <wp:positionV relativeFrom="page">
                <wp:posOffset>445854</wp:posOffset>
              </wp:positionV>
              <wp:extent cx="317500" cy="194310"/>
              <wp:effectExtent l="0" t="0" r="0" b="0"/>
              <wp:wrapNone/>
              <wp:docPr id="357" name="Textbox 357"/>
              <wp:cNvGraphicFramePr>
                <a:graphicFrameLocks/>
              </wp:cNvGraphicFramePr>
              <a:graphic>
                <a:graphicData uri="http://schemas.microsoft.com/office/word/2010/wordprocessingShape">
                  <wps:wsp>
                    <wps:cNvPr id="357" name="Textbox 35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99968" type="#_x0000_t202" id="docshape35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177</w:t>
                    </w:r>
                    <w:r>
                      <w:rPr>
                        <w:rFonts w:ascii="Times New Roman"/>
                        <w:spacing w:val="-5"/>
                      </w:rPr>
                      <w:fldChar w:fldCharType="end"/>
                    </w:r>
                  </w:p>
                </w:txbxContent>
              </v:textbox>
              <w10:wrap type="none"/>
            </v:shape>
          </w:pict>
        </mc:Fallback>
      </mc:AlternateContent>
    </w:r>
  </w:p>
</w:hdr>
</file>

<file path=word/header19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17536">
              <wp:simplePos x="0" y="0"/>
              <wp:positionH relativeFrom="page">
                <wp:posOffset>3732276</wp:posOffset>
              </wp:positionH>
              <wp:positionV relativeFrom="page">
                <wp:posOffset>445854</wp:posOffset>
              </wp:positionV>
              <wp:extent cx="317500" cy="194310"/>
              <wp:effectExtent l="0" t="0" r="0" b="0"/>
              <wp:wrapNone/>
              <wp:docPr id="359" name="Textbox 359"/>
              <wp:cNvGraphicFramePr>
                <a:graphicFrameLocks/>
              </wp:cNvGraphicFramePr>
              <a:graphic>
                <a:graphicData uri="http://schemas.microsoft.com/office/word/2010/wordprocessingShape">
                  <wps:wsp>
                    <wps:cNvPr id="359" name="Textbox 35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98944" type="#_x0000_t202" id="docshape35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178</w:t>
                    </w:r>
                    <w:r>
                      <w:rPr>
                        <w:rFonts w:ascii="Times New Roman"/>
                        <w:spacing w:val="-5"/>
                      </w:rPr>
                      <w:fldChar w:fldCharType="end"/>
                    </w:r>
                  </w:p>
                </w:txbxContent>
              </v:textbox>
              <w10:wrap type="none"/>
            </v:shape>
          </w:pict>
        </mc:Fallback>
      </mc:AlternateContent>
    </w:r>
  </w:p>
</w:hdr>
</file>

<file path=word/header19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18560">
              <wp:simplePos x="0" y="0"/>
              <wp:positionH relativeFrom="page">
                <wp:posOffset>4783835</wp:posOffset>
              </wp:positionH>
              <wp:positionV relativeFrom="page">
                <wp:posOffset>445854</wp:posOffset>
              </wp:positionV>
              <wp:extent cx="318135" cy="194310"/>
              <wp:effectExtent l="0" t="0" r="0" b="0"/>
              <wp:wrapNone/>
              <wp:docPr id="361" name="Textbox 361"/>
              <wp:cNvGraphicFramePr>
                <a:graphicFrameLocks/>
              </wp:cNvGraphicFramePr>
              <a:graphic>
                <a:graphicData uri="http://schemas.microsoft.com/office/word/2010/wordprocessingShape">
                  <wps:wsp>
                    <wps:cNvPr id="361" name="Textbox 361"/>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76.679993pt;margin-top:35.10664pt;width:25.05pt;height:15.3pt;mso-position-horizontal-relative:page;mso-position-vertical-relative:page;z-index:-36497920" type="#_x0000_t202" id="docshape36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179</w:t>
                    </w:r>
                    <w:r>
                      <w:rPr>
                        <w:rFonts w:ascii="Times New Roman"/>
                        <w:spacing w:val="-5"/>
                      </w:rPr>
                      <w:fldChar w:fldCharType="end"/>
                    </w:r>
                  </w:p>
                </w:txbxContent>
              </v:textbox>
              <w10:wrap type="none"/>
            </v:shape>
          </w:pict>
        </mc:Fallback>
      </mc:AlternateContent>
    </w:r>
  </w:p>
</w:hdr>
</file>

<file path=word/header19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19584">
              <wp:simplePos x="0" y="0"/>
              <wp:positionH relativeFrom="page">
                <wp:posOffset>4783835</wp:posOffset>
              </wp:positionH>
              <wp:positionV relativeFrom="page">
                <wp:posOffset>445854</wp:posOffset>
              </wp:positionV>
              <wp:extent cx="318135" cy="194310"/>
              <wp:effectExtent l="0" t="0" r="0" b="0"/>
              <wp:wrapNone/>
              <wp:docPr id="363" name="Textbox 363"/>
              <wp:cNvGraphicFramePr>
                <a:graphicFrameLocks/>
              </wp:cNvGraphicFramePr>
              <a:graphic>
                <a:graphicData uri="http://schemas.microsoft.com/office/word/2010/wordprocessingShape">
                  <wps:wsp>
                    <wps:cNvPr id="363" name="Textbox 363"/>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76.679993pt;margin-top:35.10664pt;width:25.05pt;height:15.3pt;mso-position-horizontal-relative:page;mso-position-vertical-relative:page;z-index:-36496896" type="#_x0000_t202" id="docshape36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180</w:t>
                    </w:r>
                    <w:r>
                      <w:rPr>
                        <w:rFonts w:ascii="Times New Roman"/>
                        <w:spacing w:val="-5"/>
                      </w:rPr>
                      <w:fldChar w:fldCharType="end"/>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28096">
              <wp:simplePos x="0" y="0"/>
              <wp:positionH relativeFrom="page">
                <wp:posOffset>3808476</wp:posOffset>
              </wp:positionH>
              <wp:positionV relativeFrom="page">
                <wp:posOffset>445854</wp:posOffset>
              </wp:positionV>
              <wp:extent cx="165100" cy="194310"/>
              <wp:effectExtent l="0" t="0" r="0" b="0"/>
              <wp:wrapNone/>
              <wp:docPr id="5" name="Textbox 5"/>
              <wp:cNvGraphicFramePr>
                <a:graphicFrameLocks/>
              </wp:cNvGraphicFramePr>
              <a:graphic>
                <a:graphicData uri="http://schemas.microsoft.com/office/word/2010/wordprocessingShape">
                  <wps:wsp>
                    <wps:cNvPr id="5" name="Textbox 5"/>
                    <wps:cNvSpPr txBox="1"/>
                    <wps:spPr>
                      <a:xfrm>
                        <a:off x="0" y="0"/>
                        <a:ext cx="165100" cy="194310"/>
                      </a:xfrm>
                      <a:prstGeom prst="rect">
                        <a:avLst/>
                      </a:prstGeom>
                    </wps:spPr>
                    <wps:txbx>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3</w:t>
                          </w:r>
                          <w:r>
                            <w:rPr>
                              <w:rFonts w:ascii="Times New Roman"/>
                              <w:spacing w:val="-10"/>
                            </w:rPr>
                            <w:fldChar w:fldCharType="end"/>
                          </w:r>
                        </w:p>
                      </w:txbxContent>
                    </wps:txbx>
                    <wps:bodyPr wrap="square" lIns="0" tIns="0" rIns="0" bIns="0" rtlCol="0">
                      <a:noAutofit/>
                    </wps:bodyPr>
                  </wps:wsp>
                </a:graphicData>
              </a:graphic>
            </wp:anchor>
          </w:drawing>
        </mc:Choice>
        <mc:Fallback>
          <w:pict>
            <v:shape style="position:absolute;margin-left:299.880005pt;margin-top:35.10664pt;width:13pt;height:15.3pt;mso-position-horizontal-relative:page;mso-position-vertical-relative:page;z-index:-36688384" type="#_x0000_t202" id="docshape5" filled="false" stroked="false">
              <v:textbox inset="0,0,0,0">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3</w:t>
                    </w:r>
                    <w:r>
                      <w:rPr>
                        <w:rFonts w:ascii="Times New Roman"/>
                        <w:spacing w:val="-10"/>
                      </w:rPr>
                      <w:fldChar w:fldCharType="end"/>
                    </w:r>
                  </w:p>
                </w:txbxContent>
              </v:textbox>
              <w10:wrap type="none"/>
            </v:shape>
          </w:pict>
        </mc:Fallback>
      </mc:AlternateContent>
    </w: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55744">
              <wp:simplePos x="0" y="0"/>
              <wp:positionH relativeFrom="page">
                <wp:posOffset>3771900</wp:posOffset>
              </wp:positionH>
              <wp:positionV relativeFrom="page">
                <wp:posOffset>445854</wp:posOffset>
              </wp:positionV>
              <wp:extent cx="241300" cy="194310"/>
              <wp:effectExtent l="0" t="0" r="0" b="0"/>
              <wp:wrapNone/>
              <wp:docPr id="41" name="Textbox 41"/>
              <wp:cNvGraphicFramePr>
                <a:graphicFrameLocks/>
              </wp:cNvGraphicFramePr>
              <a:graphic>
                <a:graphicData uri="http://schemas.microsoft.com/office/word/2010/wordprocessingShape">
                  <wps:wsp>
                    <wps:cNvPr id="41" name="Textbox 41"/>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60736" type="#_x0000_t202" id="docshape4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w:t>
                    </w:r>
                    <w:r>
                      <w:rPr>
                        <w:rFonts w:ascii="Times New Roman"/>
                        <w:spacing w:val="-5"/>
                      </w:rPr>
                      <w:fldChar w:fldCharType="end"/>
                    </w:r>
                  </w:p>
                </w:txbxContent>
              </v:textbox>
              <w10:wrap type="none"/>
            </v:shape>
          </w:pict>
        </mc:Fallback>
      </mc:AlternateContent>
    </w:r>
  </w:p>
</w:hdr>
</file>

<file path=word/header20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20608">
              <wp:simplePos x="0" y="0"/>
              <wp:positionH relativeFrom="page">
                <wp:posOffset>3732276</wp:posOffset>
              </wp:positionH>
              <wp:positionV relativeFrom="page">
                <wp:posOffset>445854</wp:posOffset>
              </wp:positionV>
              <wp:extent cx="317500" cy="194310"/>
              <wp:effectExtent l="0" t="0" r="0" b="0"/>
              <wp:wrapNone/>
              <wp:docPr id="365" name="Textbox 365"/>
              <wp:cNvGraphicFramePr>
                <a:graphicFrameLocks/>
              </wp:cNvGraphicFramePr>
              <a:graphic>
                <a:graphicData uri="http://schemas.microsoft.com/office/word/2010/wordprocessingShape">
                  <wps:wsp>
                    <wps:cNvPr id="365" name="Textbox 36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95872" type="#_x0000_t202" id="docshape36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181</w:t>
                    </w:r>
                    <w:r>
                      <w:rPr>
                        <w:rFonts w:ascii="Times New Roman"/>
                        <w:spacing w:val="-5"/>
                      </w:rPr>
                      <w:fldChar w:fldCharType="end"/>
                    </w:r>
                  </w:p>
                </w:txbxContent>
              </v:textbox>
              <w10:wrap type="none"/>
            </v:shape>
          </w:pict>
        </mc:Fallback>
      </mc:AlternateContent>
    </w:r>
  </w:p>
</w:hdr>
</file>

<file path=word/header20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21632">
              <wp:simplePos x="0" y="0"/>
              <wp:positionH relativeFrom="page">
                <wp:posOffset>3732276</wp:posOffset>
              </wp:positionH>
              <wp:positionV relativeFrom="page">
                <wp:posOffset>445854</wp:posOffset>
              </wp:positionV>
              <wp:extent cx="317500" cy="194310"/>
              <wp:effectExtent l="0" t="0" r="0" b="0"/>
              <wp:wrapNone/>
              <wp:docPr id="367" name="Textbox 367"/>
              <wp:cNvGraphicFramePr>
                <a:graphicFrameLocks/>
              </wp:cNvGraphicFramePr>
              <a:graphic>
                <a:graphicData uri="http://schemas.microsoft.com/office/word/2010/wordprocessingShape">
                  <wps:wsp>
                    <wps:cNvPr id="367" name="Textbox 36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94848" type="#_x0000_t202" id="docshape36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182</w:t>
                    </w:r>
                    <w:r>
                      <w:rPr>
                        <w:rFonts w:ascii="Times New Roman"/>
                        <w:spacing w:val="-5"/>
                      </w:rPr>
                      <w:fldChar w:fldCharType="end"/>
                    </w:r>
                  </w:p>
                </w:txbxContent>
              </v:textbox>
              <w10:wrap type="none"/>
            </v:shape>
          </w:pict>
        </mc:Fallback>
      </mc:AlternateContent>
    </w:r>
  </w:p>
</w:hdr>
</file>

<file path=word/header20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22656">
              <wp:simplePos x="0" y="0"/>
              <wp:positionH relativeFrom="page">
                <wp:posOffset>3732276</wp:posOffset>
              </wp:positionH>
              <wp:positionV relativeFrom="page">
                <wp:posOffset>445854</wp:posOffset>
              </wp:positionV>
              <wp:extent cx="317500" cy="194310"/>
              <wp:effectExtent l="0" t="0" r="0" b="0"/>
              <wp:wrapNone/>
              <wp:docPr id="369" name="Textbox 369"/>
              <wp:cNvGraphicFramePr>
                <a:graphicFrameLocks/>
              </wp:cNvGraphicFramePr>
              <a:graphic>
                <a:graphicData uri="http://schemas.microsoft.com/office/word/2010/wordprocessingShape">
                  <wps:wsp>
                    <wps:cNvPr id="369" name="Textbox 36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93824" type="#_x0000_t202" id="docshape36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183</w:t>
                    </w:r>
                    <w:r>
                      <w:rPr>
                        <w:rFonts w:ascii="Times New Roman"/>
                        <w:spacing w:val="-5"/>
                      </w:rPr>
                      <w:fldChar w:fldCharType="end"/>
                    </w:r>
                  </w:p>
                </w:txbxContent>
              </v:textbox>
              <w10:wrap type="none"/>
            </v:shape>
          </w:pict>
        </mc:Fallback>
      </mc:AlternateContent>
    </w:r>
  </w:p>
</w:hdr>
</file>

<file path=word/header20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23680">
              <wp:simplePos x="0" y="0"/>
              <wp:positionH relativeFrom="page">
                <wp:posOffset>3732276</wp:posOffset>
              </wp:positionH>
              <wp:positionV relativeFrom="page">
                <wp:posOffset>445854</wp:posOffset>
              </wp:positionV>
              <wp:extent cx="317500" cy="194310"/>
              <wp:effectExtent l="0" t="0" r="0" b="0"/>
              <wp:wrapNone/>
              <wp:docPr id="371" name="Textbox 371"/>
              <wp:cNvGraphicFramePr>
                <a:graphicFrameLocks/>
              </wp:cNvGraphicFramePr>
              <a:graphic>
                <a:graphicData uri="http://schemas.microsoft.com/office/word/2010/wordprocessingShape">
                  <wps:wsp>
                    <wps:cNvPr id="371" name="Textbox 37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92800" type="#_x0000_t202" id="docshape37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184</w:t>
                    </w:r>
                    <w:r>
                      <w:rPr>
                        <w:rFonts w:ascii="Times New Roman"/>
                        <w:spacing w:val="-5"/>
                      </w:rPr>
                      <w:fldChar w:fldCharType="end"/>
                    </w:r>
                  </w:p>
                </w:txbxContent>
              </v:textbox>
              <w10:wrap type="none"/>
            </v:shape>
          </w:pict>
        </mc:Fallback>
      </mc:AlternateContent>
    </w:r>
  </w:p>
</w:hdr>
</file>

<file path=word/header20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24704">
              <wp:simplePos x="0" y="0"/>
              <wp:positionH relativeFrom="page">
                <wp:posOffset>3732276</wp:posOffset>
              </wp:positionH>
              <wp:positionV relativeFrom="page">
                <wp:posOffset>445854</wp:posOffset>
              </wp:positionV>
              <wp:extent cx="317500" cy="194310"/>
              <wp:effectExtent l="0" t="0" r="0" b="0"/>
              <wp:wrapNone/>
              <wp:docPr id="373" name="Textbox 373"/>
              <wp:cNvGraphicFramePr>
                <a:graphicFrameLocks/>
              </wp:cNvGraphicFramePr>
              <a:graphic>
                <a:graphicData uri="http://schemas.microsoft.com/office/word/2010/wordprocessingShape">
                  <wps:wsp>
                    <wps:cNvPr id="373" name="Textbox 37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91776" type="#_x0000_t202" id="docshape37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185</w:t>
                    </w:r>
                    <w:r>
                      <w:rPr>
                        <w:rFonts w:ascii="Times New Roman"/>
                        <w:spacing w:val="-5"/>
                      </w:rPr>
                      <w:fldChar w:fldCharType="end"/>
                    </w:r>
                  </w:p>
                </w:txbxContent>
              </v:textbox>
              <w10:wrap type="none"/>
            </v:shape>
          </w:pict>
        </mc:Fallback>
      </mc:AlternateContent>
    </w:r>
  </w:p>
</w:hdr>
</file>

<file path=word/header20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25728">
              <wp:simplePos x="0" y="0"/>
              <wp:positionH relativeFrom="page">
                <wp:posOffset>3732276</wp:posOffset>
              </wp:positionH>
              <wp:positionV relativeFrom="page">
                <wp:posOffset>445854</wp:posOffset>
              </wp:positionV>
              <wp:extent cx="317500" cy="194310"/>
              <wp:effectExtent l="0" t="0" r="0" b="0"/>
              <wp:wrapNone/>
              <wp:docPr id="375" name="Textbox 375"/>
              <wp:cNvGraphicFramePr>
                <a:graphicFrameLocks/>
              </wp:cNvGraphicFramePr>
              <a:graphic>
                <a:graphicData uri="http://schemas.microsoft.com/office/word/2010/wordprocessingShape">
                  <wps:wsp>
                    <wps:cNvPr id="375" name="Textbox 37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90752" type="#_x0000_t202" id="docshape37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186</w:t>
                    </w:r>
                    <w:r>
                      <w:rPr>
                        <w:rFonts w:ascii="Times New Roman"/>
                        <w:spacing w:val="-5"/>
                      </w:rPr>
                      <w:fldChar w:fldCharType="end"/>
                    </w:r>
                  </w:p>
                </w:txbxContent>
              </v:textbox>
              <w10:wrap type="none"/>
            </v:shape>
          </w:pict>
        </mc:Fallback>
      </mc:AlternateContent>
    </w:r>
  </w:p>
</w:hdr>
</file>

<file path=word/header20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26752">
              <wp:simplePos x="0" y="0"/>
              <wp:positionH relativeFrom="page">
                <wp:posOffset>3732276</wp:posOffset>
              </wp:positionH>
              <wp:positionV relativeFrom="page">
                <wp:posOffset>445854</wp:posOffset>
              </wp:positionV>
              <wp:extent cx="317500" cy="194310"/>
              <wp:effectExtent l="0" t="0" r="0" b="0"/>
              <wp:wrapNone/>
              <wp:docPr id="377" name="Textbox 377"/>
              <wp:cNvGraphicFramePr>
                <a:graphicFrameLocks/>
              </wp:cNvGraphicFramePr>
              <a:graphic>
                <a:graphicData uri="http://schemas.microsoft.com/office/word/2010/wordprocessingShape">
                  <wps:wsp>
                    <wps:cNvPr id="377" name="Textbox 37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89728" type="#_x0000_t202" id="docshape37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187</w:t>
                    </w:r>
                    <w:r>
                      <w:rPr>
                        <w:rFonts w:ascii="Times New Roman"/>
                        <w:spacing w:val="-5"/>
                      </w:rPr>
                      <w:fldChar w:fldCharType="end"/>
                    </w:r>
                  </w:p>
                </w:txbxContent>
              </v:textbox>
              <w10:wrap type="none"/>
            </v:shape>
          </w:pict>
        </mc:Fallback>
      </mc:AlternateContent>
    </w:r>
  </w:p>
</w:hdr>
</file>

<file path=word/header20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27776">
              <wp:simplePos x="0" y="0"/>
              <wp:positionH relativeFrom="page">
                <wp:posOffset>3732276</wp:posOffset>
              </wp:positionH>
              <wp:positionV relativeFrom="page">
                <wp:posOffset>445854</wp:posOffset>
              </wp:positionV>
              <wp:extent cx="317500" cy="194310"/>
              <wp:effectExtent l="0" t="0" r="0" b="0"/>
              <wp:wrapNone/>
              <wp:docPr id="379" name="Textbox 379"/>
              <wp:cNvGraphicFramePr>
                <a:graphicFrameLocks/>
              </wp:cNvGraphicFramePr>
              <a:graphic>
                <a:graphicData uri="http://schemas.microsoft.com/office/word/2010/wordprocessingShape">
                  <wps:wsp>
                    <wps:cNvPr id="379" name="Textbox 37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88704" type="#_x0000_t202" id="docshape37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188</w:t>
                    </w:r>
                    <w:r>
                      <w:rPr>
                        <w:rFonts w:ascii="Times New Roman"/>
                        <w:spacing w:val="-5"/>
                      </w:rPr>
                      <w:fldChar w:fldCharType="end"/>
                    </w:r>
                  </w:p>
                </w:txbxContent>
              </v:textbox>
              <w10:wrap type="none"/>
            </v:shape>
          </w:pict>
        </mc:Fallback>
      </mc:AlternateContent>
    </w:r>
  </w:p>
</w:hdr>
</file>

<file path=word/header20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28800">
              <wp:simplePos x="0" y="0"/>
              <wp:positionH relativeFrom="page">
                <wp:posOffset>3732276</wp:posOffset>
              </wp:positionH>
              <wp:positionV relativeFrom="page">
                <wp:posOffset>445854</wp:posOffset>
              </wp:positionV>
              <wp:extent cx="317500" cy="194310"/>
              <wp:effectExtent l="0" t="0" r="0" b="0"/>
              <wp:wrapNone/>
              <wp:docPr id="381" name="Textbox 381"/>
              <wp:cNvGraphicFramePr>
                <a:graphicFrameLocks/>
              </wp:cNvGraphicFramePr>
              <a:graphic>
                <a:graphicData uri="http://schemas.microsoft.com/office/word/2010/wordprocessingShape">
                  <wps:wsp>
                    <wps:cNvPr id="381" name="Textbox 38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87680" type="#_x0000_t202" id="docshape38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189</w:t>
                    </w:r>
                    <w:r>
                      <w:rPr>
                        <w:rFonts w:ascii="Times New Roman"/>
                        <w:spacing w:val="-5"/>
                      </w:rPr>
                      <w:fldChar w:fldCharType="end"/>
                    </w:r>
                  </w:p>
                </w:txbxContent>
              </v:textbox>
              <w10:wrap type="none"/>
            </v:shape>
          </w:pict>
        </mc:Fallback>
      </mc:AlternateContent>
    </w:r>
  </w:p>
</w:hdr>
</file>

<file path=word/header20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29824">
              <wp:simplePos x="0" y="0"/>
              <wp:positionH relativeFrom="page">
                <wp:posOffset>3732276</wp:posOffset>
              </wp:positionH>
              <wp:positionV relativeFrom="page">
                <wp:posOffset>445854</wp:posOffset>
              </wp:positionV>
              <wp:extent cx="317500" cy="194310"/>
              <wp:effectExtent l="0" t="0" r="0" b="0"/>
              <wp:wrapNone/>
              <wp:docPr id="383" name="Textbox 383"/>
              <wp:cNvGraphicFramePr>
                <a:graphicFrameLocks/>
              </wp:cNvGraphicFramePr>
              <a:graphic>
                <a:graphicData uri="http://schemas.microsoft.com/office/word/2010/wordprocessingShape">
                  <wps:wsp>
                    <wps:cNvPr id="383" name="Textbox 38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86656" type="#_x0000_t202" id="docshape38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190</w:t>
                    </w:r>
                    <w:r>
                      <w:rPr>
                        <w:rFonts w:ascii="Times New Roman"/>
                        <w:spacing w:val="-5"/>
                      </w:rPr>
                      <w:fldChar w:fldCharType="end"/>
                    </w:r>
                  </w:p>
                </w:txbxContent>
              </v:textbox>
              <w10:wrap type="none"/>
            </v:shape>
          </w:pict>
        </mc:Fallback>
      </mc:AlternateContent>
    </w: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56768">
              <wp:simplePos x="0" y="0"/>
              <wp:positionH relativeFrom="page">
                <wp:posOffset>3771900</wp:posOffset>
              </wp:positionH>
              <wp:positionV relativeFrom="page">
                <wp:posOffset>445854</wp:posOffset>
              </wp:positionV>
              <wp:extent cx="241300" cy="194310"/>
              <wp:effectExtent l="0" t="0" r="0" b="0"/>
              <wp:wrapNone/>
              <wp:docPr id="43" name="Textbox 43"/>
              <wp:cNvGraphicFramePr>
                <a:graphicFrameLocks/>
              </wp:cNvGraphicFramePr>
              <a:graphic>
                <a:graphicData uri="http://schemas.microsoft.com/office/word/2010/wordprocessingShape">
                  <wps:wsp>
                    <wps:cNvPr id="43" name="Textbox 43"/>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59712" type="#_x0000_t202" id="docshape4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31</w:t>
                    </w:r>
                    <w:r>
                      <w:rPr>
                        <w:rFonts w:ascii="Times New Roman"/>
                        <w:spacing w:val="-5"/>
                      </w:rPr>
                      <w:fldChar w:fldCharType="end"/>
                    </w:r>
                  </w:p>
                </w:txbxContent>
              </v:textbox>
              <w10:wrap type="none"/>
            </v:shape>
          </w:pict>
        </mc:Fallback>
      </mc:AlternateContent>
    </w:r>
  </w:p>
</w:hdr>
</file>

<file path=word/header2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30848">
              <wp:simplePos x="0" y="0"/>
              <wp:positionH relativeFrom="page">
                <wp:posOffset>3732276</wp:posOffset>
              </wp:positionH>
              <wp:positionV relativeFrom="page">
                <wp:posOffset>445854</wp:posOffset>
              </wp:positionV>
              <wp:extent cx="317500" cy="194310"/>
              <wp:effectExtent l="0" t="0" r="0" b="0"/>
              <wp:wrapNone/>
              <wp:docPr id="385" name="Textbox 385"/>
              <wp:cNvGraphicFramePr>
                <a:graphicFrameLocks/>
              </wp:cNvGraphicFramePr>
              <a:graphic>
                <a:graphicData uri="http://schemas.microsoft.com/office/word/2010/wordprocessingShape">
                  <wps:wsp>
                    <wps:cNvPr id="385" name="Textbox 38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85632" type="#_x0000_t202" id="docshape38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191</w:t>
                    </w:r>
                    <w:r>
                      <w:rPr>
                        <w:rFonts w:ascii="Times New Roman"/>
                        <w:spacing w:val="-5"/>
                      </w:rPr>
                      <w:fldChar w:fldCharType="end"/>
                    </w:r>
                  </w:p>
                </w:txbxContent>
              </v:textbox>
              <w10:wrap type="none"/>
            </v:shape>
          </w:pict>
        </mc:Fallback>
      </mc:AlternateContent>
    </w:r>
  </w:p>
</w:hdr>
</file>

<file path=word/header2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31872">
              <wp:simplePos x="0" y="0"/>
              <wp:positionH relativeFrom="page">
                <wp:posOffset>3732276</wp:posOffset>
              </wp:positionH>
              <wp:positionV relativeFrom="page">
                <wp:posOffset>445854</wp:posOffset>
              </wp:positionV>
              <wp:extent cx="317500" cy="194310"/>
              <wp:effectExtent l="0" t="0" r="0" b="0"/>
              <wp:wrapNone/>
              <wp:docPr id="387" name="Textbox 387"/>
              <wp:cNvGraphicFramePr>
                <a:graphicFrameLocks/>
              </wp:cNvGraphicFramePr>
              <a:graphic>
                <a:graphicData uri="http://schemas.microsoft.com/office/word/2010/wordprocessingShape">
                  <wps:wsp>
                    <wps:cNvPr id="387" name="Textbox 38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84608" type="#_x0000_t202" id="docshape38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192</w:t>
                    </w:r>
                    <w:r>
                      <w:rPr>
                        <w:rFonts w:ascii="Times New Roman"/>
                        <w:spacing w:val="-5"/>
                      </w:rPr>
                      <w:fldChar w:fldCharType="end"/>
                    </w:r>
                  </w:p>
                </w:txbxContent>
              </v:textbox>
              <w10:wrap type="none"/>
            </v:shape>
          </w:pict>
        </mc:Fallback>
      </mc:AlternateContent>
    </w:r>
  </w:p>
</w:hdr>
</file>

<file path=word/header2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32896">
              <wp:simplePos x="0" y="0"/>
              <wp:positionH relativeFrom="page">
                <wp:posOffset>3732276</wp:posOffset>
              </wp:positionH>
              <wp:positionV relativeFrom="page">
                <wp:posOffset>445854</wp:posOffset>
              </wp:positionV>
              <wp:extent cx="317500" cy="194310"/>
              <wp:effectExtent l="0" t="0" r="0" b="0"/>
              <wp:wrapNone/>
              <wp:docPr id="389" name="Textbox 389"/>
              <wp:cNvGraphicFramePr>
                <a:graphicFrameLocks/>
              </wp:cNvGraphicFramePr>
              <a:graphic>
                <a:graphicData uri="http://schemas.microsoft.com/office/word/2010/wordprocessingShape">
                  <wps:wsp>
                    <wps:cNvPr id="389" name="Textbox 38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83584" type="#_x0000_t202" id="docshape38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193</w:t>
                    </w:r>
                    <w:r>
                      <w:rPr>
                        <w:rFonts w:ascii="Times New Roman"/>
                        <w:spacing w:val="-5"/>
                      </w:rPr>
                      <w:fldChar w:fldCharType="end"/>
                    </w:r>
                  </w:p>
                </w:txbxContent>
              </v:textbox>
              <w10:wrap type="none"/>
            </v:shape>
          </w:pict>
        </mc:Fallback>
      </mc:AlternateContent>
    </w:r>
  </w:p>
</w:hdr>
</file>

<file path=word/header2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33920">
              <wp:simplePos x="0" y="0"/>
              <wp:positionH relativeFrom="page">
                <wp:posOffset>3732276</wp:posOffset>
              </wp:positionH>
              <wp:positionV relativeFrom="page">
                <wp:posOffset>445854</wp:posOffset>
              </wp:positionV>
              <wp:extent cx="317500" cy="194310"/>
              <wp:effectExtent l="0" t="0" r="0" b="0"/>
              <wp:wrapNone/>
              <wp:docPr id="391" name="Textbox 391"/>
              <wp:cNvGraphicFramePr>
                <a:graphicFrameLocks/>
              </wp:cNvGraphicFramePr>
              <a:graphic>
                <a:graphicData uri="http://schemas.microsoft.com/office/word/2010/wordprocessingShape">
                  <wps:wsp>
                    <wps:cNvPr id="391" name="Textbox 39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82560" type="#_x0000_t202" id="docshape39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194</w:t>
                    </w:r>
                    <w:r>
                      <w:rPr>
                        <w:rFonts w:ascii="Times New Roman"/>
                        <w:spacing w:val="-5"/>
                      </w:rPr>
                      <w:fldChar w:fldCharType="end"/>
                    </w:r>
                  </w:p>
                </w:txbxContent>
              </v:textbox>
              <w10:wrap type="none"/>
            </v:shape>
          </w:pict>
        </mc:Fallback>
      </mc:AlternateContent>
    </w:r>
  </w:p>
</w:hdr>
</file>

<file path=word/header2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34944">
              <wp:simplePos x="0" y="0"/>
              <wp:positionH relativeFrom="page">
                <wp:posOffset>3732276</wp:posOffset>
              </wp:positionH>
              <wp:positionV relativeFrom="page">
                <wp:posOffset>445854</wp:posOffset>
              </wp:positionV>
              <wp:extent cx="317500" cy="194310"/>
              <wp:effectExtent l="0" t="0" r="0" b="0"/>
              <wp:wrapNone/>
              <wp:docPr id="393" name="Textbox 393"/>
              <wp:cNvGraphicFramePr>
                <a:graphicFrameLocks/>
              </wp:cNvGraphicFramePr>
              <a:graphic>
                <a:graphicData uri="http://schemas.microsoft.com/office/word/2010/wordprocessingShape">
                  <wps:wsp>
                    <wps:cNvPr id="393" name="Textbox 39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81536" type="#_x0000_t202" id="docshape39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195</w:t>
                    </w:r>
                    <w:r>
                      <w:rPr>
                        <w:rFonts w:ascii="Times New Roman"/>
                        <w:spacing w:val="-5"/>
                      </w:rPr>
                      <w:fldChar w:fldCharType="end"/>
                    </w:r>
                  </w:p>
                </w:txbxContent>
              </v:textbox>
              <w10:wrap type="none"/>
            </v:shape>
          </w:pict>
        </mc:Fallback>
      </mc:AlternateContent>
    </w:r>
  </w:p>
</w:hdr>
</file>

<file path=word/header2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35968">
              <wp:simplePos x="0" y="0"/>
              <wp:positionH relativeFrom="page">
                <wp:posOffset>3732276</wp:posOffset>
              </wp:positionH>
              <wp:positionV relativeFrom="page">
                <wp:posOffset>445854</wp:posOffset>
              </wp:positionV>
              <wp:extent cx="317500" cy="194310"/>
              <wp:effectExtent l="0" t="0" r="0" b="0"/>
              <wp:wrapNone/>
              <wp:docPr id="395" name="Textbox 395"/>
              <wp:cNvGraphicFramePr>
                <a:graphicFrameLocks/>
              </wp:cNvGraphicFramePr>
              <a:graphic>
                <a:graphicData uri="http://schemas.microsoft.com/office/word/2010/wordprocessingShape">
                  <wps:wsp>
                    <wps:cNvPr id="395" name="Textbox 39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80512" type="#_x0000_t202" id="docshape39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196</w:t>
                    </w:r>
                    <w:r>
                      <w:rPr>
                        <w:rFonts w:ascii="Times New Roman"/>
                        <w:spacing w:val="-5"/>
                      </w:rPr>
                      <w:fldChar w:fldCharType="end"/>
                    </w:r>
                  </w:p>
                </w:txbxContent>
              </v:textbox>
              <w10:wrap type="none"/>
            </v:shape>
          </w:pict>
        </mc:Fallback>
      </mc:AlternateContent>
    </w:r>
  </w:p>
</w:hdr>
</file>

<file path=word/header2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36992">
              <wp:simplePos x="0" y="0"/>
              <wp:positionH relativeFrom="page">
                <wp:posOffset>3732276</wp:posOffset>
              </wp:positionH>
              <wp:positionV relativeFrom="page">
                <wp:posOffset>445854</wp:posOffset>
              </wp:positionV>
              <wp:extent cx="317500" cy="194310"/>
              <wp:effectExtent l="0" t="0" r="0" b="0"/>
              <wp:wrapNone/>
              <wp:docPr id="397" name="Textbox 397"/>
              <wp:cNvGraphicFramePr>
                <a:graphicFrameLocks/>
              </wp:cNvGraphicFramePr>
              <a:graphic>
                <a:graphicData uri="http://schemas.microsoft.com/office/word/2010/wordprocessingShape">
                  <wps:wsp>
                    <wps:cNvPr id="397" name="Textbox 39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79488" type="#_x0000_t202" id="docshape39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197</w:t>
                    </w:r>
                    <w:r>
                      <w:rPr>
                        <w:rFonts w:ascii="Times New Roman"/>
                        <w:spacing w:val="-5"/>
                      </w:rPr>
                      <w:fldChar w:fldCharType="end"/>
                    </w:r>
                  </w:p>
                </w:txbxContent>
              </v:textbox>
              <w10:wrap type="none"/>
            </v:shape>
          </w:pict>
        </mc:Fallback>
      </mc:AlternateContent>
    </w:r>
  </w:p>
</w:hdr>
</file>

<file path=word/header2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38016">
              <wp:simplePos x="0" y="0"/>
              <wp:positionH relativeFrom="page">
                <wp:posOffset>3732276</wp:posOffset>
              </wp:positionH>
              <wp:positionV relativeFrom="page">
                <wp:posOffset>445854</wp:posOffset>
              </wp:positionV>
              <wp:extent cx="317500" cy="194310"/>
              <wp:effectExtent l="0" t="0" r="0" b="0"/>
              <wp:wrapNone/>
              <wp:docPr id="399" name="Textbox 399"/>
              <wp:cNvGraphicFramePr>
                <a:graphicFrameLocks/>
              </wp:cNvGraphicFramePr>
              <a:graphic>
                <a:graphicData uri="http://schemas.microsoft.com/office/word/2010/wordprocessingShape">
                  <wps:wsp>
                    <wps:cNvPr id="399" name="Textbox 39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78464" type="#_x0000_t202" id="docshape39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198</w:t>
                    </w:r>
                    <w:r>
                      <w:rPr>
                        <w:rFonts w:ascii="Times New Roman"/>
                        <w:spacing w:val="-5"/>
                      </w:rPr>
                      <w:fldChar w:fldCharType="end"/>
                    </w:r>
                  </w:p>
                </w:txbxContent>
              </v:textbox>
              <w10:wrap type="none"/>
            </v:shape>
          </w:pict>
        </mc:Fallback>
      </mc:AlternateContent>
    </w:r>
  </w:p>
</w:hdr>
</file>

<file path=word/header2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39040">
              <wp:simplePos x="0" y="0"/>
              <wp:positionH relativeFrom="page">
                <wp:posOffset>3732276</wp:posOffset>
              </wp:positionH>
              <wp:positionV relativeFrom="page">
                <wp:posOffset>445854</wp:posOffset>
              </wp:positionV>
              <wp:extent cx="317500" cy="194310"/>
              <wp:effectExtent l="0" t="0" r="0" b="0"/>
              <wp:wrapNone/>
              <wp:docPr id="401" name="Textbox 401"/>
              <wp:cNvGraphicFramePr>
                <a:graphicFrameLocks/>
              </wp:cNvGraphicFramePr>
              <a:graphic>
                <a:graphicData uri="http://schemas.microsoft.com/office/word/2010/wordprocessingShape">
                  <wps:wsp>
                    <wps:cNvPr id="401" name="Textbox 40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77440" type="#_x0000_t202" id="docshape40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199</w:t>
                    </w:r>
                    <w:r>
                      <w:rPr>
                        <w:rFonts w:ascii="Times New Roman"/>
                        <w:spacing w:val="-5"/>
                      </w:rPr>
                      <w:fldChar w:fldCharType="end"/>
                    </w:r>
                  </w:p>
                </w:txbxContent>
              </v:textbox>
              <w10:wrap type="none"/>
            </v:shape>
          </w:pict>
        </mc:Fallback>
      </mc:AlternateContent>
    </w:r>
  </w:p>
</w:hdr>
</file>

<file path=word/header2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40064">
              <wp:simplePos x="0" y="0"/>
              <wp:positionH relativeFrom="page">
                <wp:posOffset>3732276</wp:posOffset>
              </wp:positionH>
              <wp:positionV relativeFrom="page">
                <wp:posOffset>445854</wp:posOffset>
              </wp:positionV>
              <wp:extent cx="317500" cy="194310"/>
              <wp:effectExtent l="0" t="0" r="0" b="0"/>
              <wp:wrapNone/>
              <wp:docPr id="403" name="Textbox 403"/>
              <wp:cNvGraphicFramePr>
                <a:graphicFrameLocks/>
              </wp:cNvGraphicFramePr>
              <a:graphic>
                <a:graphicData uri="http://schemas.microsoft.com/office/word/2010/wordprocessingShape">
                  <wps:wsp>
                    <wps:cNvPr id="403" name="Textbox 40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76416" type="#_x0000_t202" id="docshape40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200</w:t>
                    </w:r>
                    <w:r>
                      <w:rPr>
                        <w:rFonts w:ascii="Times New Roman"/>
                        <w:spacing w:val="-5"/>
                      </w:rPr>
                      <w:fldChar w:fldCharType="end"/>
                    </w:r>
                  </w:p>
                </w:txbxContent>
              </v:textbox>
              <w10:wrap type="none"/>
            </v:shape>
          </w:pict>
        </mc:Fallback>
      </mc:AlternateContent>
    </w: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57792">
              <wp:simplePos x="0" y="0"/>
              <wp:positionH relativeFrom="page">
                <wp:posOffset>3771900</wp:posOffset>
              </wp:positionH>
              <wp:positionV relativeFrom="page">
                <wp:posOffset>445854</wp:posOffset>
              </wp:positionV>
              <wp:extent cx="241300" cy="194310"/>
              <wp:effectExtent l="0" t="0" r="0" b="0"/>
              <wp:wrapNone/>
              <wp:docPr id="45" name="Textbox 45"/>
              <wp:cNvGraphicFramePr>
                <a:graphicFrameLocks/>
              </wp:cNvGraphicFramePr>
              <a:graphic>
                <a:graphicData uri="http://schemas.microsoft.com/office/word/2010/wordprocessingShape">
                  <wps:wsp>
                    <wps:cNvPr id="45" name="Textbox 45"/>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58688" type="#_x0000_t202" id="docshape4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32</w:t>
                    </w:r>
                    <w:r>
                      <w:rPr>
                        <w:rFonts w:ascii="Times New Roman"/>
                        <w:spacing w:val="-5"/>
                      </w:rPr>
                      <w:fldChar w:fldCharType="end"/>
                    </w:r>
                  </w:p>
                </w:txbxContent>
              </v:textbox>
              <w10:wrap type="none"/>
            </v:shape>
          </w:pict>
        </mc:Fallback>
      </mc:AlternateContent>
    </w:r>
  </w:p>
</w:hdr>
</file>

<file path=word/header2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41088">
              <wp:simplePos x="0" y="0"/>
              <wp:positionH relativeFrom="page">
                <wp:posOffset>3732276</wp:posOffset>
              </wp:positionH>
              <wp:positionV relativeFrom="page">
                <wp:posOffset>445854</wp:posOffset>
              </wp:positionV>
              <wp:extent cx="317500" cy="194310"/>
              <wp:effectExtent l="0" t="0" r="0" b="0"/>
              <wp:wrapNone/>
              <wp:docPr id="405" name="Textbox 405"/>
              <wp:cNvGraphicFramePr>
                <a:graphicFrameLocks/>
              </wp:cNvGraphicFramePr>
              <a:graphic>
                <a:graphicData uri="http://schemas.microsoft.com/office/word/2010/wordprocessingShape">
                  <wps:wsp>
                    <wps:cNvPr id="405" name="Textbox 40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75392" type="#_x0000_t202" id="docshape40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201</w:t>
                    </w:r>
                    <w:r>
                      <w:rPr>
                        <w:rFonts w:ascii="Times New Roman"/>
                        <w:spacing w:val="-5"/>
                      </w:rPr>
                      <w:fldChar w:fldCharType="end"/>
                    </w:r>
                  </w:p>
                </w:txbxContent>
              </v:textbox>
              <w10:wrap type="none"/>
            </v:shape>
          </w:pict>
        </mc:Fallback>
      </mc:AlternateContent>
    </w:r>
  </w:p>
</w:hdr>
</file>

<file path=word/header2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42112">
              <wp:simplePos x="0" y="0"/>
              <wp:positionH relativeFrom="page">
                <wp:posOffset>3732276</wp:posOffset>
              </wp:positionH>
              <wp:positionV relativeFrom="page">
                <wp:posOffset>445854</wp:posOffset>
              </wp:positionV>
              <wp:extent cx="317500" cy="194310"/>
              <wp:effectExtent l="0" t="0" r="0" b="0"/>
              <wp:wrapNone/>
              <wp:docPr id="407" name="Textbox 407"/>
              <wp:cNvGraphicFramePr>
                <a:graphicFrameLocks/>
              </wp:cNvGraphicFramePr>
              <a:graphic>
                <a:graphicData uri="http://schemas.microsoft.com/office/word/2010/wordprocessingShape">
                  <wps:wsp>
                    <wps:cNvPr id="407" name="Textbox 40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74368" type="#_x0000_t202" id="docshape40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202</w:t>
                    </w:r>
                    <w:r>
                      <w:rPr>
                        <w:rFonts w:ascii="Times New Roman"/>
                        <w:spacing w:val="-5"/>
                      </w:rPr>
                      <w:fldChar w:fldCharType="end"/>
                    </w:r>
                  </w:p>
                </w:txbxContent>
              </v:textbox>
              <w10:wrap type="none"/>
            </v:shape>
          </w:pict>
        </mc:Fallback>
      </mc:AlternateContent>
    </w:r>
  </w:p>
</w:hdr>
</file>

<file path=word/header2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43136">
              <wp:simplePos x="0" y="0"/>
              <wp:positionH relativeFrom="page">
                <wp:posOffset>3732276</wp:posOffset>
              </wp:positionH>
              <wp:positionV relativeFrom="page">
                <wp:posOffset>445854</wp:posOffset>
              </wp:positionV>
              <wp:extent cx="317500" cy="194310"/>
              <wp:effectExtent l="0" t="0" r="0" b="0"/>
              <wp:wrapNone/>
              <wp:docPr id="409" name="Textbox 409"/>
              <wp:cNvGraphicFramePr>
                <a:graphicFrameLocks/>
              </wp:cNvGraphicFramePr>
              <a:graphic>
                <a:graphicData uri="http://schemas.microsoft.com/office/word/2010/wordprocessingShape">
                  <wps:wsp>
                    <wps:cNvPr id="409" name="Textbox 40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73344" type="#_x0000_t202" id="docshape40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203</w:t>
                    </w:r>
                    <w:r>
                      <w:rPr>
                        <w:rFonts w:ascii="Times New Roman"/>
                        <w:spacing w:val="-5"/>
                      </w:rPr>
                      <w:fldChar w:fldCharType="end"/>
                    </w:r>
                  </w:p>
                </w:txbxContent>
              </v:textbox>
              <w10:wrap type="none"/>
            </v:shape>
          </w:pict>
        </mc:Fallback>
      </mc:AlternateContent>
    </w:r>
  </w:p>
</w:hdr>
</file>

<file path=word/header2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44160">
              <wp:simplePos x="0" y="0"/>
              <wp:positionH relativeFrom="page">
                <wp:posOffset>3732276</wp:posOffset>
              </wp:positionH>
              <wp:positionV relativeFrom="page">
                <wp:posOffset>445854</wp:posOffset>
              </wp:positionV>
              <wp:extent cx="317500" cy="194310"/>
              <wp:effectExtent l="0" t="0" r="0" b="0"/>
              <wp:wrapNone/>
              <wp:docPr id="411" name="Textbox 411"/>
              <wp:cNvGraphicFramePr>
                <a:graphicFrameLocks/>
              </wp:cNvGraphicFramePr>
              <a:graphic>
                <a:graphicData uri="http://schemas.microsoft.com/office/word/2010/wordprocessingShape">
                  <wps:wsp>
                    <wps:cNvPr id="411" name="Textbox 41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72320" type="#_x0000_t202" id="docshape41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204</w:t>
                    </w:r>
                    <w:r>
                      <w:rPr>
                        <w:rFonts w:ascii="Times New Roman"/>
                        <w:spacing w:val="-5"/>
                      </w:rPr>
                      <w:fldChar w:fldCharType="end"/>
                    </w:r>
                  </w:p>
                </w:txbxContent>
              </v:textbox>
              <w10:wrap type="none"/>
            </v:shape>
          </w:pict>
        </mc:Fallback>
      </mc:AlternateContent>
    </w:r>
  </w:p>
</w:hdr>
</file>

<file path=word/header22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45184">
              <wp:simplePos x="0" y="0"/>
              <wp:positionH relativeFrom="page">
                <wp:posOffset>3732276</wp:posOffset>
              </wp:positionH>
              <wp:positionV relativeFrom="page">
                <wp:posOffset>445854</wp:posOffset>
              </wp:positionV>
              <wp:extent cx="317500" cy="194310"/>
              <wp:effectExtent l="0" t="0" r="0" b="0"/>
              <wp:wrapNone/>
              <wp:docPr id="413" name="Textbox 413"/>
              <wp:cNvGraphicFramePr>
                <a:graphicFrameLocks/>
              </wp:cNvGraphicFramePr>
              <a:graphic>
                <a:graphicData uri="http://schemas.microsoft.com/office/word/2010/wordprocessingShape">
                  <wps:wsp>
                    <wps:cNvPr id="413" name="Textbox 41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71296" type="#_x0000_t202" id="docshape41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205</w:t>
                    </w:r>
                    <w:r>
                      <w:rPr>
                        <w:rFonts w:ascii="Times New Roman"/>
                        <w:spacing w:val="-5"/>
                      </w:rPr>
                      <w:fldChar w:fldCharType="end"/>
                    </w:r>
                  </w:p>
                </w:txbxContent>
              </v:textbox>
              <w10:wrap type="none"/>
            </v:shape>
          </w:pict>
        </mc:Fallback>
      </mc:AlternateContent>
    </w:r>
  </w:p>
</w:hdr>
</file>

<file path=word/header22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46208">
              <wp:simplePos x="0" y="0"/>
              <wp:positionH relativeFrom="page">
                <wp:posOffset>3732276</wp:posOffset>
              </wp:positionH>
              <wp:positionV relativeFrom="page">
                <wp:posOffset>445854</wp:posOffset>
              </wp:positionV>
              <wp:extent cx="317500" cy="194310"/>
              <wp:effectExtent l="0" t="0" r="0" b="0"/>
              <wp:wrapNone/>
              <wp:docPr id="415" name="Textbox 415"/>
              <wp:cNvGraphicFramePr>
                <a:graphicFrameLocks/>
              </wp:cNvGraphicFramePr>
              <a:graphic>
                <a:graphicData uri="http://schemas.microsoft.com/office/word/2010/wordprocessingShape">
                  <wps:wsp>
                    <wps:cNvPr id="415" name="Textbox 41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70272" type="#_x0000_t202" id="docshape41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206</w:t>
                    </w:r>
                    <w:r>
                      <w:rPr>
                        <w:rFonts w:ascii="Times New Roman"/>
                        <w:spacing w:val="-5"/>
                      </w:rPr>
                      <w:fldChar w:fldCharType="end"/>
                    </w:r>
                  </w:p>
                </w:txbxContent>
              </v:textbox>
              <w10:wrap type="none"/>
            </v:shape>
          </w:pict>
        </mc:Fallback>
      </mc:AlternateContent>
    </w:r>
  </w:p>
</w:hdr>
</file>

<file path=word/header22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47232">
              <wp:simplePos x="0" y="0"/>
              <wp:positionH relativeFrom="page">
                <wp:posOffset>3732276</wp:posOffset>
              </wp:positionH>
              <wp:positionV relativeFrom="page">
                <wp:posOffset>445854</wp:posOffset>
              </wp:positionV>
              <wp:extent cx="317500" cy="194310"/>
              <wp:effectExtent l="0" t="0" r="0" b="0"/>
              <wp:wrapNone/>
              <wp:docPr id="417" name="Textbox 417"/>
              <wp:cNvGraphicFramePr>
                <a:graphicFrameLocks/>
              </wp:cNvGraphicFramePr>
              <a:graphic>
                <a:graphicData uri="http://schemas.microsoft.com/office/word/2010/wordprocessingShape">
                  <wps:wsp>
                    <wps:cNvPr id="417" name="Textbox 41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69248" type="#_x0000_t202" id="docshape41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207</w:t>
                    </w:r>
                    <w:r>
                      <w:rPr>
                        <w:rFonts w:ascii="Times New Roman"/>
                        <w:spacing w:val="-5"/>
                      </w:rPr>
                      <w:fldChar w:fldCharType="end"/>
                    </w:r>
                  </w:p>
                </w:txbxContent>
              </v:textbox>
              <w10:wrap type="none"/>
            </v:shape>
          </w:pict>
        </mc:Fallback>
      </mc:AlternateContent>
    </w:r>
  </w:p>
</w:hdr>
</file>

<file path=word/header22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48256">
              <wp:simplePos x="0" y="0"/>
              <wp:positionH relativeFrom="page">
                <wp:posOffset>3732276</wp:posOffset>
              </wp:positionH>
              <wp:positionV relativeFrom="page">
                <wp:posOffset>445854</wp:posOffset>
              </wp:positionV>
              <wp:extent cx="317500" cy="194310"/>
              <wp:effectExtent l="0" t="0" r="0" b="0"/>
              <wp:wrapNone/>
              <wp:docPr id="419" name="Textbox 419"/>
              <wp:cNvGraphicFramePr>
                <a:graphicFrameLocks/>
              </wp:cNvGraphicFramePr>
              <a:graphic>
                <a:graphicData uri="http://schemas.microsoft.com/office/word/2010/wordprocessingShape">
                  <wps:wsp>
                    <wps:cNvPr id="419" name="Textbox 41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68224" type="#_x0000_t202" id="docshape41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208</w:t>
                    </w:r>
                    <w:r>
                      <w:rPr>
                        <w:rFonts w:ascii="Times New Roman"/>
                        <w:spacing w:val="-5"/>
                      </w:rPr>
                      <w:fldChar w:fldCharType="end"/>
                    </w:r>
                  </w:p>
                </w:txbxContent>
              </v:textbox>
              <w10:wrap type="none"/>
            </v:shape>
          </w:pict>
        </mc:Fallback>
      </mc:AlternateContent>
    </w:r>
  </w:p>
</w:hdr>
</file>

<file path=word/header22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49280">
              <wp:simplePos x="0" y="0"/>
              <wp:positionH relativeFrom="page">
                <wp:posOffset>3732276</wp:posOffset>
              </wp:positionH>
              <wp:positionV relativeFrom="page">
                <wp:posOffset>445854</wp:posOffset>
              </wp:positionV>
              <wp:extent cx="317500" cy="194310"/>
              <wp:effectExtent l="0" t="0" r="0" b="0"/>
              <wp:wrapNone/>
              <wp:docPr id="421" name="Textbox 421"/>
              <wp:cNvGraphicFramePr>
                <a:graphicFrameLocks/>
              </wp:cNvGraphicFramePr>
              <a:graphic>
                <a:graphicData uri="http://schemas.microsoft.com/office/word/2010/wordprocessingShape">
                  <wps:wsp>
                    <wps:cNvPr id="421" name="Textbox 42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67200" type="#_x0000_t202" id="docshape42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209</w:t>
                    </w:r>
                    <w:r>
                      <w:rPr>
                        <w:rFonts w:ascii="Times New Roman"/>
                        <w:spacing w:val="-5"/>
                      </w:rPr>
                      <w:fldChar w:fldCharType="end"/>
                    </w:r>
                  </w:p>
                </w:txbxContent>
              </v:textbox>
              <w10:wrap type="none"/>
            </v:shape>
          </w:pict>
        </mc:Fallback>
      </mc:AlternateContent>
    </w:r>
  </w:p>
</w:hdr>
</file>

<file path=word/header22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50304">
              <wp:simplePos x="0" y="0"/>
              <wp:positionH relativeFrom="page">
                <wp:posOffset>3732276</wp:posOffset>
              </wp:positionH>
              <wp:positionV relativeFrom="page">
                <wp:posOffset>445854</wp:posOffset>
              </wp:positionV>
              <wp:extent cx="317500" cy="194310"/>
              <wp:effectExtent l="0" t="0" r="0" b="0"/>
              <wp:wrapNone/>
              <wp:docPr id="423" name="Textbox 423"/>
              <wp:cNvGraphicFramePr>
                <a:graphicFrameLocks/>
              </wp:cNvGraphicFramePr>
              <a:graphic>
                <a:graphicData uri="http://schemas.microsoft.com/office/word/2010/wordprocessingShape">
                  <wps:wsp>
                    <wps:cNvPr id="423" name="Textbox 42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66176" type="#_x0000_t202" id="docshape42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210</w:t>
                    </w:r>
                    <w:r>
                      <w:rPr>
                        <w:rFonts w:ascii="Times New Roman"/>
                        <w:spacing w:val="-5"/>
                      </w:rPr>
                      <w:fldChar w:fldCharType="end"/>
                    </w:r>
                  </w:p>
                </w:txbxContent>
              </v:textbox>
              <w10:wrap type="none"/>
            </v:shape>
          </w:pict>
        </mc:Fallback>
      </mc:AlternateContent>
    </w:r>
  </w:p>
</w:hdr>
</file>

<file path=word/header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58816">
              <wp:simplePos x="0" y="0"/>
              <wp:positionH relativeFrom="page">
                <wp:posOffset>3771900</wp:posOffset>
              </wp:positionH>
              <wp:positionV relativeFrom="page">
                <wp:posOffset>445854</wp:posOffset>
              </wp:positionV>
              <wp:extent cx="241300" cy="194310"/>
              <wp:effectExtent l="0" t="0" r="0" b="0"/>
              <wp:wrapNone/>
              <wp:docPr id="47" name="Textbox 47"/>
              <wp:cNvGraphicFramePr>
                <a:graphicFrameLocks/>
              </wp:cNvGraphicFramePr>
              <a:graphic>
                <a:graphicData uri="http://schemas.microsoft.com/office/word/2010/wordprocessingShape">
                  <wps:wsp>
                    <wps:cNvPr id="47" name="Textbox 47"/>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57664" type="#_x0000_t202" id="docshape4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33</w:t>
                    </w:r>
                    <w:r>
                      <w:rPr>
                        <w:rFonts w:ascii="Times New Roman"/>
                        <w:spacing w:val="-5"/>
                      </w:rPr>
                      <w:fldChar w:fldCharType="end"/>
                    </w:r>
                  </w:p>
                </w:txbxContent>
              </v:textbox>
              <w10:wrap type="none"/>
            </v:shape>
          </w:pict>
        </mc:Fallback>
      </mc:AlternateContent>
    </w:r>
  </w:p>
</w:hdr>
</file>

<file path=word/header23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51328">
              <wp:simplePos x="0" y="0"/>
              <wp:positionH relativeFrom="page">
                <wp:posOffset>3732276</wp:posOffset>
              </wp:positionH>
              <wp:positionV relativeFrom="page">
                <wp:posOffset>445854</wp:posOffset>
              </wp:positionV>
              <wp:extent cx="317500" cy="194310"/>
              <wp:effectExtent l="0" t="0" r="0" b="0"/>
              <wp:wrapNone/>
              <wp:docPr id="425" name="Textbox 425"/>
              <wp:cNvGraphicFramePr>
                <a:graphicFrameLocks/>
              </wp:cNvGraphicFramePr>
              <a:graphic>
                <a:graphicData uri="http://schemas.microsoft.com/office/word/2010/wordprocessingShape">
                  <wps:wsp>
                    <wps:cNvPr id="425" name="Textbox 42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65152" type="#_x0000_t202" id="docshape42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211</w:t>
                    </w:r>
                    <w:r>
                      <w:rPr>
                        <w:rFonts w:ascii="Times New Roman"/>
                        <w:spacing w:val="-5"/>
                      </w:rPr>
                      <w:fldChar w:fldCharType="end"/>
                    </w:r>
                  </w:p>
                </w:txbxContent>
              </v:textbox>
              <w10:wrap type="none"/>
            </v:shape>
          </w:pict>
        </mc:Fallback>
      </mc:AlternateContent>
    </w:r>
  </w:p>
</w:hdr>
</file>

<file path=word/header23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52352">
              <wp:simplePos x="0" y="0"/>
              <wp:positionH relativeFrom="page">
                <wp:posOffset>3732276</wp:posOffset>
              </wp:positionH>
              <wp:positionV relativeFrom="page">
                <wp:posOffset>445854</wp:posOffset>
              </wp:positionV>
              <wp:extent cx="317500" cy="194310"/>
              <wp:effectExtent l="0" t="0" r="0" b="0"/>
              <wp:wrapNone/>
              <wp:docPr id="427" name="Textbox 427"/>
              <wp:cNvGraphicFramePr>
                <a:graphicFrameLocks/>
              </wp:cNvGraphicFramePr>
              <a:graphic>
                <a:graphicData uri="http://schemas.microsoft.com/office/word/2010/wordprocessingShape">
                  <wps:wsp>
                    <wps:cNvPr id="427" name="Textbox 42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64128" type="#_x0000_t202" id="docshape42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212</w:t>
                    </w:r>
                    <w:r>
                      <w:rPr>
                        <w:rFonts w:ascii="Times New Roman"/>
                        <w:spacing w:val="-5"/>
                      </w:rPr>
                      <w:fldChar w:fldCharType="end"/>
                    </w:r>
                  </w:p>
                </w:txbxContent>
              </v:textbox>
              <w10:wrap type="none"/>
            </v:shape>
          </w:pict>
        </mc:Fallback>
      </mc:AlternateContent>
    </w:r>
  </w:p>
</w:hdr>
</file>

<file path=word/header23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53376">
              <wp:simplePos x="0" y="0"/>
              <wp:positionH relativeFrom="page">
                <wp:posOffset>3732276</wp:posOffset>
              </wp:positionH>
              <wp:positionV relativeFrom="page">
                <wp:posOffset>445854</wp:posOffset>
              </wp:positionV>
              <wp:extent cx="317500" cy="194310"/>
              <wp:effectExtent l="0" t="0" r="0" b="0"/>
              <wp:wrapNone/>
              <wp:docPr id="429" name="Textbox 429"/>
              <wp:cNvGraphicFramePr>
                <a:graphicFrameLocks/>
              </wp:cNvGraphicFramePr>
              <a:graphic>
                <a:graphicData uri="http://schemas.microsoft.com/office/word/2010/wordprocessingShape">
                  <wps:wsp>
                    <wps:cNvPr id="429" name="Textbox 42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63104" type="#_x0000_t202" id="docshape42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213</w:t>
                    </w:r>
                    <w:r>
                      <w:rPr>
                        <w:rFonts w:ascii="Times New Roman"/>
                        <w:spacing w:val="-5"/>
                      </w:rPr>
                      <w:fldChar w:fldCharType="end"/>
                    </w:r>
                  </w:p>
                </w:txbxContent>
              </v:textbox>
              <w10:wrap type="none"/>
            </v:shape>
          </w:pict>
        </mc:Fallback>
      </mc:AlternateContent>
    </w:r>
  </w:p>
</w:hdr>
</file>

<file path=word/header23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54400">
              <wp:simplePos x="0" y="0"/>
              <wp:positionH relativeFrom="page">
                <wp:posOffset>3732276</wp:posOffset>
              </wp:positionH>
              <wp:positionV relativeFrom="page">
                <wp:posOffset>445854</wp:posOffset>
              </wp:positionV>
              <wp:extent cx="317500" cy="194310"/>
              <wp:effectExtent l="0" t="0" r="0" b="0"/>
              <wp:wrapNone/>
              <wp:docPr id="431" name="Textbox 431"/>
              <wp:cNvGraphicFramePr>
                <a:graphicFrameLocks/>
              </wp:cNvGraphicFramePr>
              <a:graphic>
                <a:graphicData uri="http://schemas.microsoft.com/office/word/2010/wordprocessingShape">
                  <wps:wsp>
                    <wps:cNvPr id="431" name="Textbox 43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62080" type="#_x0000_t202" id="docshape43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214</w:t>
                    </w:r>
                    <w:r>
                      <w:rPr>
                        <w:rFonts w:ascii="Times New Roman"/>
                        <w:spacing w:val="-5"/>
                      </w:rPr>
                      <w:fldChar w:fldCharType="end"/>
                    </w:r>
                  </w:p>
                </w:txbxContent>
              </v:textbox>
              <w10:wrap type="none"/>
            </v:shape>
          </w:pict>
        </mc:Fallback>
      </mc:AlternateContent>
    </w:r>
  </w:p>
</w:hdr>
</file>

<file path=word/header23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55424">
              <wp:simplePos x="0" y="0"/>
              <wp:positionH relativeFrom="page">
                <wp:posOffset>3732276</wp:posOffset>
              </wp:positionH>
              <wp:positionV relativeFrom="page">
                <wp:posOffset>445854</wp:posOffset>
              </wp:positionV>
              <wp:extent cx="317500" cy="194310"/>
              <wp:effectExtent l="0" t="0" r="0" b="0"/>
              <wp:wrapNone/>
              <wp:docPr id="433" name="Textbox 433"/>
              <wp:cNvGraphicFramePr>
                <a:graphicFrameLocks/>
              </wp:cNvGraphicFramePr>
              <a:graphic>
                <a:graphicData uri="http://schemas.microsoft.com/office/word/2010/wordprocessingShape">
                  <wps:wsp>
                    <wps:cNvPr id="433" name="Textbox 43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61056" type="#_x0000_t202" id="docshape43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215</w:t>
                    </w:r>
                    <w:r>
                      <w:rPr>
                        <w:rFonts w:ascii="Times New Roman"/>
                        <w:spacing w:val="-5"/>
                      </w:rPr>
                      <w:fldChar w:fldCharType="end"/>
                    </w:r>
                  </w:p>
                </w:txbxContent>
              </v:textbox>
              <w10:wrap type="none"/>
            </v:shape>
          </w:pict>
        </mc:Fallback>
      </mc:AlternateContent>
    </w:r>
  </w:p>
</w:hdr>
</file>

<file path=word/header23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56448">
              <wp:simplePos x="0" y="0"/>
              <wp:positionH relativeFrom="page">
                <wp:posOffset>3732276</wp:posOffset>
              </wp:positionH>
              <wp:positionV relativeFrom="page">
                <wp:posOffset>445854</wp:posOffset>
              </wp:positionV>
              <wp:extent cx="317500" cy="194310"/>
              <wp:effectExtent l="0" t="0" r="0" b="0"/>
              <wp:wrapNone/>
              <wp:docPr id="435" name="Textbox 435"/>
              <wp:cNvGraphicFramePr>
                <a:graphicFrameLocks/>
              </wp:cNvGraphicFramePr>
              <a:graphic>
                <a:graphicData uri="http://schemas.microsoft.com/office/word/2010/wordprocessingShape">
                  <wps:wsp>
                    <wps:cNvPr id="435" name="Textbox 43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60032" type="#_x0000_t202" id="docshape43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216</w:t>
                    </w:r>
                    <w:r>
                      <w:rPr>
                        <w:rFonts w:ascii="Times New Roman"/>
                        <w:spacing w:val="-5"/>
                      </w:rPr>
                      <w:fldChar w:fldCharType="end"/>
                    </w:r>
                  </w:p>
                </w:txbxContent>
              </v:textbox>
              <w10:wrap type="none"/>
            </v:shape>
          </w:pict>
        </mc:Fallback>
      </mc:AlternateContent>
    </w:r>
  </w:p>
</w:hdr>
</file>

<file path=word/header23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57472">
              <wp:simplePos x="0" y="0"/>
              <wp:positionH relativeFrom="page">
                <wp:posOffset>3732276</wp:posOffset>
              </wp:positionH>
              <wp:positionV relativeFrom="page">
                <wp:posOffset>445854</wp:posOffset>
              </wp:positionV>
              <wp:extent cx="317500" cy="194310"/>
              <wp:effectExtent l="0" t="0" r="0" b="0"/>
              <wp:wrapNone/>
              <wp:docPr id="437" name="Textbox 437"/>
              <wp:cNvGraphicFramePr>
                <a:graphicFrameLocks/>
              </wp:cNvGraphicFramePr>
              <a:graphic>
                <a:graphicData uri="http://schemas.microsoft.com/office/word/2010/wordprocessingShape">
                  <wps:wsp>
                    <wps:cNvPr id="437" name="Textbox 43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59008" type="#_x0000_t202" id="docshape43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217</w:t>
                    </w:r>
                    <w:r>
                      <w:rPr>
                        <w:rFonts w:ascii="Times New Roman"/>
                        <w:spacing w:val="-5"/>
                      </w:rPr>
                      <w:fldChar w:fldCharType="end"/>
                    </w:r>
                  </w:p>
                </w:txbxContent>
              </v:textbox>
              <w10:wrap type="none"/>
            </v:shape>
          </w:pict>
        </mc:Fallback>
      </mc:AlternateContent>
    </w:r>
  </w:p>
</w:hdr>
</file>

<file path=word/header23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58496">
              <wp:simplePos x="0" y="0"/>
              <wp:positionH relativeFrom="page">
                <wp:posOffset>3732276</wp:posOffset>
              </wp:positionH>
              <wp:positionV relativeFrom="page">
                <wp:posOffset>445854</wp:posOffset>
              </wp:positionV>
              <wp:extent cx="317500" cy="194310"/>
              <wp:effectExtent l="0" t="0" r="0" b="0"/>
              <wp:wrapNone/>
              <wp:docPr id="439" name="Textbox 439"/>
              <wp:cNvGraphicFramePr>
                <a:graphicFrameLocks/>
              </wp:cNvGraphicFramePr>
              <a:graphic>
                <a:graphicData uri="http://schemas.microsoft.com/office/word/2010/wordprocessingShape">
                  <wps:wsp>
                    <wps:cNvPr id="439" name="Textbox 43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57984" type="#_x0000_t202" id="docshape43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218</w:t>
                    </w:r>
                    <w:r>
                      <w:rPr>
                        <w:rFonts w:ascii="Times New Roman"/>
                        <w:spacing w:val="-5"/>
                      </w:rPr>
                      <w:fldChar w:fldCharType="end"/>
                    </w:r>
                  </w:p>
                </w:txbxContent>
              </v:textbox>
              <w10:wrap type="none"/>
            </v:shape>
          </w:pict>
        </mc:Fallback>
      </mc:AlternateContent>
    </w:r>
  </w:p>
</w:hdr>
</file>

<file path=word/header23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59520">
              <wp:simplePos x="0" y="0"/>
              <wp:positionH relativeFrom="page">
                <wp:posOffset>3732276</wp:posOffset>
              </wp:positionH>
              <wp:positionV relativeFrom="page">
                <wp:posOffset>445854</wp:posOffset>
              </wp:positionV>
              <wp:extent cx="317500" cy="194310"/>
              <wp:effectExtent l="0" t="0" r="0" b="0"/>
              <wp:wrapNone/>
              <wp:docPr id="441" name="Textbox 441"/>
              <wp:cNvGraphicFramePr>
                <a:graphicFrameLocks/>
              </wp:cNvGraphicFramePr>
              <a:graphic>
                <a:graphicData uri="http://schemas.microsoft.com/office/word/2010/wordprocessingShape">
                  <wps:wsp>
                    <wps:cNvPr id="441" name="Textbox 44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56960" type="#_x0000_t202" id="docshape44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219</w:t>
                    </w:r>
                    <w:r>
                      <w:rPr>
                        <w:rFonts w:ascii="Times New Roman"/>
                        <w:spacing w:val="-5"/>
                      </w:rPr>
                      <w:fldChar w:fldCharType="end"/>
                    </w:r>
                  </w:p>
                </w:txbxContent>
              </v:textbox>
              <w10:wrap type="none"/>
            </v:shape>
          </w:pict>
        </mc:Fallback>
      </mc:AlternateContent>
    </w:r>
  </w:p>
</w:hdr>
</file>

<file path=word/header23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60544">
              <wp:simplePos x="0" y="0"/>
              <wp:positionH relativeFrom="page">
                <wp:posOffset>3732276</wp:posOffset>
              </wp:positionH>
              <wp:positionV relativeFrom="page">
                <wp:posOffset>445854</wp:posOffset>
              </wp:positionV>
              <wp:extent cx="317500" cy="194310"/>
              <wp:effectExtent l="0" t="0" r="0" b="0"/>
              <wp:wrapNone/>
              <wp:docPr id="443" name="Textbox 443"/>
              <wp:cNvGraphicFramePr>
                <a:graphicFrameLocks/>
              </wp:cNvGraphicFramePr>
              <a:graphic>
                <a:graphicData uri="http://schemas.microsoft.com/office/word/2010/wordprocessingShape">
                  <wps:wsp>
                    <wps:cNvPr id="443" name="Textbox 44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55936" type="#_x0000_t202" id="docshape44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220</w:t>
                    </w:r>
                    <w:r>
                      <w:rPr>
                        <w:rFonts w:ascii="Times New Roman"/>
                        <w:spacing w:val="-5"/>
                      </w:rPr>
                      <w:fldChar w:fldCharType="end"/>
                    </w:r>
                  </w:p>
                </w:txbxContent>
              </v:textbox>
              <w10:wrap type="none"/>
            </v:shape>
          </w:pict>
        </mc:Fallback>
      </mc:AlternateContent>
    </w:r>
  </w:p>
</w:hdr>
</file>

<file path=word/header2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59840">
              <wp:simplePos x="0" y="0"/>
              <wp:positionH relativeFrom="page">
                <wp:posOffset>3771900</wp:posOffset>
              </wp:positionH>
              <wp:positionV relativeFrom="page">
                <wp:posOffset>445854</wp:posOffset>
              </wp:positionV>
              <wp:extent cx="241300" cy="194310"/>
              <wp:effectExtent l="0" t="0" r="0" b="0"/>
              <wp:wrapNone/>
              <wp:docPr id="49" name="Textbox 49"/>
              <wp:cNvGraphicFramePr>
                <a:graphicFrameLocks/>
              </wp:cNvGraphicFramePr>
              <a:graphic>
                <a:graphicData uri="http://schemas.microsoft.com/office/word/2010/wordprocessingShape">
                  <wps:wsp>
                    <wps:cNvPr id="49" name="Textbox 49"/>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56640" type="#_x0000_t202" id="docshape4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34</w:t>
                    </w:r>
                    <w:r>
                      <w:rPr>
                        <w:rFonts w:ascii="Times New Roman"/>
                        <w:spacing w:val="-5"/>
                      </w:rPr>
                      <w:fldChar w:fldCharType="end"/>
                    </w:r>
                  </w:p>
                </w:txbxContent>
              </v:textbox>
              <w10:wrap type="none"/>
            </v:shape>
          </w:pict>
        </mc:Fallback>
      </mc:AlternateContent>
    </w:r>
  </w:p>
</w:hdr>
</file>

<file path=word/header24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61568">
              <wp:simplePos x="0" y="0"/>
              <wp:positionH relativeFrom="page">
                <wp:posOffset>3732276</wp:posOffset>
              </wp:positionH>
              <wp:positionV relativeFrom="page">
                <wp:posOffset>445854</wp:posOffset>
              </wp:positionV>
              <wp:extent cx="317500" cy="194310"/>
              <wp:effectExtent l="0" t="0" r="0" b="0"/>
              <wp:wrapNone/>
              <wp:docPr id="445" name="Textbox 445"/>
              <wp:cNvGraphicFramePr>
                <a:graphicFrameLocks/>
              </wp:cNvGraphicFramePr>
              <a:graphic>
                <a:graphicData uri="http://schemas.microsoft.com/office/word/2010/wordprocessingShape">
                  <wps:wsp>
                    <wps:cNvPr id="445" name="Textbox 44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54912" type="#_x0000_t202" id="docshape44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221</w:t>
                    </w:r>
                    <w:r>
                      <w:rPr>
                        <w:rFonts w:ascii="Times New Roman"/>
                        <w:spacing w:val="-5"/>
                      </w:rPr>
                      <w:fldChar w:fldCharType="end"/>
                    </w:r>
                  </w:p>
                </w:txbxContent>
              </v:textbox>
              <w10:wrap type="none"/>
            </v:shape>
          </w:pict>
        </mc:Fallback>
      </mc:AlternateContent>
    </w:r>
  </w:p>
</w:hdr>
</file>

<file path=word/header24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62592">
              <wp:simplePos x="0" y="0"/>
              <wp:positionH relativeFrom="page">
                <wp:posOffset>3732276</wp:posOffset>
              </wp:positionH>
              <wp:positionV relativeFrom="page">
                <wp:posOffset>445854</wp:posOffset>
              </wp:positionV>
              <wp:extent cx="317500" cy="194310"/>
              <wp:effectExtent l="0" t="0" r="0" b="0"/>
              <wp:wrapNone/>
              <wp:docPr id="447" name="Textbox 447"/>
              <wp:cNvGraphicFramePr>
                <a:graphicFrameLocks/>
              </wp:cNvGraphicFramePr>
              <a:graphic>
                <a:graphicData uri="http://schemas.microsoft.com/office/word/2010/wordprocessingShape">
                  <wps:wsp>
                    <wps:cNvPr id="447" name="Textbox 44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53888" type="#_x0000_t202" id="docshape44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222</w:t>
                    </w:r>
                    <w:r>
                      <w:rPr>
                        <w:rFonts w:ascii="Times New Roman"/>
                        <w:spacing w:val="-5"/>
                      </w:rPr>
                      <w:fldChar w:fldCharType="end"/>
                    </w:r>
                  </w:p>
                </w:txbxContent>
              </v:textbox>
              <w10:wrap type="none"/>
            </v:shape>
          </w:pict>
        </mc:Fallback>
      </mc:AlternateContent>
    </w:r>
  </w:p>
</w:hdr>
</file>

<file path=word/header24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63616">
              <wp:simplePos x="0" y="0"/>
              <wp:positionH relativeFrom="page">
                <wp:posOffset>4875276</wp:posOffset>
              </wp:positionH>
              <wp:positionV relativeFrom="page">
                <wp:posOffset>445854</wp:posOffset>
              </wp:positionV>
              <wp:extent cx="318135" cy="194310"/>
              <wp:effectExtent l="0" t="0" r="0" b="0"/>
              <wp:wrapNone/>
              <wp:docPr id="449" name="Textbox 449"/>
              <wp:cNvGraphicFramePr>
                <a:graphicFrameLocks/>
              </wp:cNvGraphicFramePr>
              <a:graphic>
                <a:graphicData uri="http://schemas.microsoft.com/office/word/2010/wordprocessingShape">
                  <wps:wsp>
                    <wps:cNvPr id="449" name="Textbox 449"/>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83.880005pt;margin-top:35.10664pt;width:25.05pt;height:15.3pt;mso-position-horizontal-relative:page;mso-position-vertical-relative:page;z-index:-36452864" type="#_x0000_t202" id="docshape44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223</w:t>
                    </w:r>
                    <w:r>
                      <w:rPr>
                        <w:rFonts w:ascii="Times New Roman"/>
                        <w:spacing w:val="-5"/>
                      </w:rPr>
                      <w:fldChar w:fldCharType="end"/>
                    </w:r>
                  </w:p>
                </w:txbxContent>
              </v:textbox>
              <w10:wrap type="none"/>
            </v:shape>
          </w:pict>
        </mc:Fallback>
      </mc:AlternateContent>
    </w:r>
  </w:p>
</w:hdr>
</file>

<file path=word/header24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64640">
              <wp:simplePos x="0" y="0"/>
              <wp:positionH relativeFrom="page">
                <wp:posOffset>4875276</wp:posOffset>
              </wp:positionH>
              <wp:positionV relativeFrom="page">
                <wp:posOffset>445854</wp:posOffset>
              </wp:positionV>
              <wp:extent cx="318135" cy="194310"/>
              <wp:effectExtent l="0" t="0" r="0" b="0"/>
              <wp:wrapNone/>
              <wp:docPr id="451" name="Textbox 451"/>
              <wp:cNvGraphicFramePr>
                <a:graphicFrameLocks/>
              </wp:cNvGraphicFramePr>
              <a:graphic>
                <a:graphicData uri="http://schemas.microsoft.com/office/word/2010/wordprocessingShape">
                  <wps:wsp>
                    <wps:cNvPr id="451" name="Textbox 451"/>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83.880005pt;margin-top:35.10664pt;width:25.05pt;height:15.3pt;mso-position-horizontal-relative:page;mso-position-vertical-relative:page;z-index:-36451840" type="#_x0000_t202" id="docshape45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224</w:t>
                    </w:r>
                    <w:r>
                      <w:rPr>
                        <w:rFonts w:ascii="Times New Roman"/>
                        <w:spacing w:val="-5"/>
                      </w:rPr>
                      <w:fldChar w:fldCharType="end"/>
                    </w:r>
                  </w:p>
                </w:txbxContent>
              </v:textbox>
              <w10:wrap type="none"/>
            </v:shape>
          </w:pict>
        </mc:Fallback>
      </mc:AlternateContent>
    </w:r>
  </w:p>
</w:hdr>
</file>

<file path=word/header24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65664">
              <wp:simplePos x="0" y="0"/>
              <wp:positionH relativeFrom="page">
                <wp:posOffset>4875276</wp:posOffset>
              </wp:positionH>
              <wp:positionV relativeFrom="page">
                <wp:posOffset>445854</wp:posOffset>
              </wp:positionV>
              <wp:extent cx="318135" cy="194310"/>
              <wp:effectExtent l="0" t="0" r="0" b="0"/>
              <wp:wrapNone/>
              <wp:docPr id="453" name="Textbox 453"/>
              <wp:cNvGraphicFramePr>
                <a:graphicFrameLocks/>
              </wp:cNvGraphicFramePr>
              <a:graphic>
                <a:graphicData uri="http://schemas.microsoft.com/office/word/2010/wordprocessingShape">
                  <wps:wsp>
                    <wps:cNvPr id="453" name="Textbox 453"/>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83.880005pt;margin-top:35.10664pt;width:25.05pt;height:15.3pt;mso-position-horizontal-relative:page;mso-position-vertical-relative:page;z-index:-36450816" type="#_x0000_t202" id="docshape45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225</w:t>
                    </w:r>
                    <w:r>
                      <w:rPr>
                        <w:rFonts w:ascii="Times New Roman"/>
                        <w:spacing w:val="-5"/>
                      </w:rPr>
                      <w:fldChar w:fldCharType="end"/>
                    </w:r>
                  </w:p>
                </w:txbxContent>
              </v:textbox>
              <w10:wrap type="none"/>
            </v:shape>
          </w:pict>
        </mc:Fallback>
      </mc:AlternateContent>
    </w:r>
  </w:p>
</w:hdr>
</file>

<file path=word/header24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66688">
              <wp:simplePos x="0" y="0"/>
              <wp:positionH relativeFrom="page">
                <wp:posOffset>4875276</wp:posOffset>
              </wp:positionH>
              <wp:positionV relativeFrom="page">
                <wp:posOffset>445854</wp:posOffset>
              </wp:positionV>
              <wp:extent cx="318135" cy="194310"/>
              <wp:effectExtent l="0" t="0" r="0" b="0"/>
              <wp:wrapNone/>
              <wp:docPr id="455" name="Textbox 455"/>
              <wp:cNvGraphicFramePr>
                <a:graphicFrameLocks/>
              </wp:cNvGraphicFramePr>
              <a:graphic>
                <a:graphicData uri="http://schemas.microsoft.com/office/word/2010/wordprocessingShape">
                  <wps:wsp>
                    <wps:cNvPr id="455" name="Textbox 455"/>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83.880005pt;margin-top:35.10664pt;width:25.05pt;height:15.3pt;mso-position-horizontal-relative:page;mso-position-vertical-relative:page;z-index:-36449792" type="#_x0000_t202" id="docshape45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226</w:t>
                    </w:r>
                    <w:r>
                      <w:rPr>
                        <w:rFonts w:ascii="Times New Roman"/>
                        <w:spacing w:val="-5"/>
                      </w:rPr>
                      <w:fldChar w:fldCharType="end"/>
                    </w:r>
                  </w:p>
                </w:txbxContent>
              </v:textbox>
              <w10:wrap type="none"/>
            </v:shape>
          </w:pict>
        </mc:Fallback>
      </mc:AlternateContent>
    </w:r>
  </w:p>
</w:hdr>
</file>

<file path=word/header24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67712">
              <wp:simplePos x="0" y="0"/>
              <wp:positionH relativeFrom="page">
                <wp:posOffset>4875276</wp:posOffset>
              </wp:positionH>
              <wp:positionV relativeFrom="page">
                <wp:posOffset>445854</wp:posOffset>
              </wp:positionV>
              <wp:extent cx="318135" cy="194310"/>
              <wp:effectExtent l="0" t="0" r="0" b="0"/>
              <wp:wrapNone/>
              <wp:docPr id="457" name="Textbox 457"/>
              <wp:cNvGraphicFramePr>
                <a:graphicFrameLocks/>
              </wp:cNvGraphicFramePr>
              <a:graphic>
                <a:graphicData uri="http://schemas.microsoft.com/office/word/2010/wordprocessingShape">
                  <wps:wsp>
                    <wps:cNvPr id="457" name="Textbox 457"/>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83.880005pt;margin-top:35.10664pt;width:25.05pt;height:15.3pt;mso-position-horizontal-relative:page;mso-position-vertical-relative:page;z-index:-36448768" type="#_x0000_t202" id="docshape45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227</w:t>
                    </w:r>
                    <w:r>
                      <w:rPr>
                        <w:rFonts w:ascii="Times New Roman"/>
                        <w:spacing w:val="-5"/>
                      </w:rPr>
                      <w:fldChar w:fldCharType="end"/>
                    </w:r>
                  </w:p>
                </w:txbxContent>
              </v:textbox>
              <w10:wrap type="none"/>
            </v:shape>
          </w:pict>
        </mc:Fallback>
      </mc:AlternateContent>
    </w:r>
  </w:p>
</w:hdr>
</file>

<file path=word/header24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68736">
              <wp:simplePos x="0" y="0"/>
              <wp:positionH relativeFrom="page">
                <wp:posOffset>4875276</wp:posOffset>
              </wp:positionH>
              <wp:positionV relativeFrom="page">
                <wp:posOffset>445854</wp:posOffset>
              </wp:positionV>
              <wp:extent cx="318135" cy="194310"/>
              <wp:effectExtent l="0" t="0" r="0" b="0"/>
              <wp:wrapNone/>
              <wp:docPr id="459" name="Textbox 459"/>
              <wp:cNvGraphicFramePr>
                <a:graphicFrameLocks/>
              </wp:cNvGraphicFramePr>
              <a:graphic>
                <a:graphicData uri="http://schemas.microsoft.com/office/word/2010/wordprocessingShape">
                  <wps:wsp>
                    <wps:cNvPr id="459" name="Textbox 459"/>
                    <wps:cNvSpPr txBox="1"/>
                    <wps:spPr>
                      <a:xfrm>
                        <a:off x="0" y="0"/>
                        <a:ext cx="31813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383.880005pt;margin-top:35.10664pt;width:25.05pt;height:15.3pt;mso-position-horizontal-relative:page;mso-position-vertical-relative:page;z-index:-36447744" type="#_x0000_t202" id="docshape45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228</w:t>
                    </w:r>
                    <w:r>
                      <w:rPr>
                        <w:rFonts w:ascii="Times New Roman"/>
                        <w:spacing w:val="-5"/>
                      </w:rPr>
                      <w:fldChar w:fldCharType="end"/>
                    </w:r>
                  </w:p>
                </w:txbxContent>
              </v:textbox>
              <w10:wrap type="none"/>
            </v:shape>
          </w:pict>
        </mc:Fallback>
      </mc:AlternateContent>
    </w:r>
  </w:p>
</w:hdr>
</file>

<file path=word/header24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69760">
              <wp:simplePos x="0" y="0"/>
              <wp:positionH relativeFrom="page">
                <wp:posOffset>3732276</wp:posOffset>
              </wp:positionH>
              <wp:positionV relativeFrom="page">
                <wp:posOffset>445854</wp:posOffset>
              </wp:positionV>
              <wp:extent cx="317500" cy="194310"/>
              <wp:effectExtent l="0" t="0" r="0" b="0"/>
              <wp:wrapNone/>
              <wp:docPr id="461" name="Textbox 461"/>
              <wp:cNvGraphicFramePr>
                <a:graphicFrameLocks/>
              </wp:cNvGraphicFramePr>
              <a:graphic>
                <a:graphicData uri="http://schemas.microsoft.com/office/word/2010/wordprocessingShape">
                  <wps:wsp>
                    <wps:cNvPr id="461" name="Textbox 46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46720" type="#_x0000_t202" id="docshape46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229</w:t>
                    </w:r>
                    <w:r>
                      <w:rPr>
                        <w:rFonts w:ascii="Times New Roman"/>
                        <w:spacing w:val="-5"/>
                      </w:rPr>
                      <w:fldChar w:fldCharType="end"/>
                    </w:r>
                  </w:p>
                </w:txbxContent>
              </v:textbox>
              <w10:wrap type="none"/>
            </v:shape>
          </w:pict>
        </mc:Fallback>
      </mc:AlternateContent>
    </w:r>
  </w:p>
</w:hdr>
</file>

<file path=word/header24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70784">
              <wp:simplePos x="0" y="0"/>
              <wp:positionH relativeFrom="page">
                <wp:posOffset>3732276</wp:posOffset>
              </wp:positionH>
              <wp:positionV relativeFrom="page">
                <wp:posOffset>445854</wp:posOffset>
              </wp:positionV>
              <wp:extent cx="317500" cy="194310"/>
              <wp:effectExtent l="0" t="0" r="0" b="0"/>
              <wp:wrapNone/>
              <wp:docPr id="463" name="Textbox 463"/>
              <wp:cNvGraphicFramePr>
                <a:graphicFrameLocks/>
              </wp:cNvGraphicFramePr>
              <a:graphic>
                <a:graphicData uri="http://schemas.microsoft.com/office/word/2010/wordprocessingShape">
                  <wps:wsp>
                    <wps:cNvPr id="463" name="Textbox 46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45696" type="#_x0000_t202" id="docshape46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230</w:t>
                    </w:r>
                    <w:r>
                      <w:rPr>
                        <w:rFonts w:ascii="Times New Roman"/>
                        <w:spacing w:val="-5"/>
                      </w:rPr>
                      <w:fldChar w:fldCharType="end"/>
                    </w:r>
                  </w:p>
                </w:txbxContent>
              </v:textbox>
              <w10:wrap type="none"/>
            </v:shape>
          </w:pict>
        </mc:Fallback>
      </mc:AlternateContent>
    </w:r>
  </w:p>
</w:hdr>
</file>

<file path=word/header2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60864">
              <wp:simplePos x="0" y="0"/>
              <wp:positionH relativeFrom="page">
                <wp:posOffset>3771900</wp:posOffset>
              </wp:positionH>
              <wp:positionV relativeFrom="page">
                <wp:posOffset>445854</wp:posOffset>
              </wp:positionV>
              <wp:extent cx="241300" cy="194310"/>
              <wp:effectExtent l="0" t="0" r="0" b="0"/>
              <wp:wrapNone/>
              <wp:docPr id="51" name="Textbox 51"/>
              <wp:cNvGraphicFramePr>
                <a:graphicFrameLocks/>
              </wp:cNvGraphicFramePr>
              <a:graphic>
                <a:graphicData uri="http://schemas.microsoft.com/office/word/2010/wordprocessingShape">
                  <wps:wsp>
                    <wps:cNvPr id="51" name="Textbox 51"/>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55616" type="#_x0000_t202" id="docshape5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35</w:t>
                    </w:r>
                    <w:r>
                      <w:rPr>
                        <w:rFonts w:ascii="Times New Roman"/>
                        <w:spacing w:val="-5"/>
                      </w:rPr>
                      <w:fldChar w:fldCharType="end"/>
                    </w:r>
                  </w:p>
                </w:txbxContent>
              </v:textbox>
              <w10:wrap type="none"/>
            </v:shape>
          </w:pict>
        </mc:Fallback>
      </mc:AlternateContent>
    </w:r>
  </w:p>
</w:hdr>
</file>

<file path=word/header25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71808">
              <wp:simplePos x="0" y="0"/>
              <wp:positionH relativeFrom="page">
                <wp:posOffset>3732276</wp:posOffset>
              </wp:positionH>
              <wp:positionV relativeFrom="page">
                <wp:posOffset>445854</wp:posOffset>
              </wp:positionV>
              <wp:extent cx="317500" cy="194310"/>
              <wp:effectExtent l="0" t="0" r="0" b="0"/>
              <wp:wrapNone/>
              <wp:docPr id="465" name="Textbox 465"/>
              <wp:cNvGraphicFramePr>
                <a:graphicFrameLocks/>
              </wp:cNvGraphicFramePr>
              <a:graphic>
                <a:graphicData uri="http://schemas.microsoft.com/office/word/2010/wordprocessingShape">
                  <wps:wsp>
                    <wps:cNvPr id="465" name="Textbox 46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44672" type="#_x0000_t202" id="docshape46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231</w:t>
                    </w:r>
                    <w:r>
                      <w:rPr>
                        <w:rFonts w:ascii="Times New Roman"/>
                        <w:spacing w:val="-5"/>
                      </w:rPr>
                      <w:fldChar w:fldCharType="end"/>
                    </w:r>
                  </w:p>
                </w:txbxContent>
              </v:textbox>
              <w10:wrap type="none"/>
            </v:shape>
          </w:pict>
        </mc:Fallback>
      </mc:AlternateContent>
    </w:r>
  </w:p>
</w:hdr>
</file>

<file path=word/header25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72832">
              <wp:simplePos x="0" y="0"/>
              <wp:positionH relativeFrom="page">
                <wp:posOffset>3732276</wp:posOffset>
              </wp:positionH>
              <wp:positionV relativeFrom="page">
                <wp:posOffset>445854</wp:posOffset>
              </wp:positionV>
              <wp:extent cx="317500" cy="194310"/>
              <wp:effectExtent l="0" t="0" r="0" b="0"/>
              <wp:wrapNone/>
              <wp:docPr id="467" name="Textbox 467"/>
              <wp:cNvGraphicFramePr>
                <a:graphicFrameLocks/>
              </wp:cNvGraphicFramePr>
              <a:graphic>
                <a:graphicData uri="http://schemas.microsoft.com/office/word/2010/wordprocessingShape">
                  <wps:wsp>
                    <wps:cNvPr id="467" name="Textbox 46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43648" type="#_x0000_t202" id="docshape46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232</w:t>
                    </w:r>
                    <w:r>
                      <w:rPr>
                        <w:rFonts w:ascii="Times New Roman"/>
                        <w:spacing w:val="-5"/>
                      </w:rPr>
                      <w:fldChar w:fldCharType="end"/>
                    </w:r>
                  </w:p>
                </w:txbxContent>
              </v:textbox>
              <w10:wrap type="none"/>
            </v:shape>
          </w:pict>
        </mc:Fallback>
      </mc:AlternateContent>
    </w:r>
  </w:p>
</w:hdr>
</file>

<file path=word/header25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73856">
              <wp:simplePos x="0" y="0"/>
              <wp:positionH relativeFrom="page">
                <wp:posOffset>3732276</wp:posOffset>
              </wp:positionH>
              <wp:positionV relativeFrom="page">
                <wp:posOffset>445854</wp:posOffset>
              </wp:positionV>
              <wp:extent cx="317500" cy="194310"/>
              <wp:effectExtent l="0" t="0" r="0" b="0"/>
              <wp:wrapNone/>
              <wp:docPr id="469" name="Textbox 469"/>
              <wp:cNvGraphicFramePr>
                <a:graphicFrameLocks/>
              </wp:cNvGraphicFramePr>
              <a:graphic>
                <a:graphicData uri="http://schemas.microsoft.com/office/word/2010/wordprocessingShape">
                  <wps:wsp>
                    <wps:cNvPr id="469" name="Textbox 46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42624" type="#_x0000_t202" id="docshape46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233</w:t>
                    </w:r>
                    <w:r>
                      <w:rPr>
                        <w:rFonts w:ascii="Times New Roman"/>
                        <w:spacing w:val="-5"/>
                      </w:rPr>
                      <w:fldChar w:fldCharType="end"/>
                    </w:r>
                  </w:p>
                </w:txbxContent>
              </v:textbox>
              <w10:wrap type="none"/>
            </v:shape>
          </w:pict>
        </mc:Fallback>
      </mc:AlternateContent>
    </w:r>
  </w:p>
</w:hdr>
</file>

<file path=word/header25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74880">
              <wp:simplePos x="0" y="0"/>
              <wp:positionH relativeFrom="page">
                <wp:posOffset>3732276</wp:posOffset>
              </wp:positionH>
              <wp:positionV relativeFrom="page">
                <wp:posOffset>445854</wp:posOffset>
              </wp:positionV>
              <wp:extent cx="317500" cy="194310"/>
              <wp:effectExtent l="0" t="0" r="0" b="0"/>
              <wp:wrapNone/>
              <wp:docPr id="471" name="Textbox 471"/>
              <wp:cNvGraphicFramePr>
                <a:graphicFrameLocks/>
              </wp:cNvGraphicFramePr>
              <a:graphic>
                <a:graphicData uri="http://schemas.microsoft.com/office/word/2010/wordprocessingShape">
                  <wps:wsp>
                    <wps:cNvPr id="471" name="Textbox 47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41600" type="#_x0000_t202" id="docshape47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234</w:t>
                    </w:r>
                    <w:r>
                      <w:rPr>
                        <w:rFonts w:ascii="Times New Roman"/>
                        <w:spacing w:val="-5"/>
                      </w:rPr>
                      <w:fldChar w:fldCharType="end"/>
                    </w:r>
                  </w:p>
                </w:txbxContent>
              </v:textbox>
              <w10:wrap type="none"/>
            </v:shape>
          </w:pict>
        </mc:Fallback>
      </mc:AlternateContent>
    </w:r>
  </w:p>
</w:hdr>
</file>

<file path=word/header25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75904">
              <wp:simplePos x="0" y="0"/>
              <wp:positionH relativeFrom="page">
                <wp:posOffset>3732276</wp:posOffset>
              </wp:positionH>
              <wp:positionV relativeFrom="page">
                <wp:posOffset>445854</wp:posOffset>
              </wp:positionV>
              <wp:extent cx="317500" cy="194310"/>
              <wp:effectExtent l="0" t="0" r="0" b="0"/>
              <wp:wrapNone/>
              <wp:docPr id="473" name="Textbox 473"/>
              <wp:cNvGraphicFramePr>
                <a:graphicFrameLocks/>
              </wp:cNvGraphicFramePr>
              <a:graphic>
                <a:graphicData uri="http://schemas.microsoft.com/office/word/2010/wordprocessingShape">
                  <wps:wsp>
                    <wps:cNvPr id="473" name="Textbox 47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40576" type="#_x0000_t202" id="docshape47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235</w:t>
                    </w:r>
                    <w:r>
                      <w:rPr>
                        <w:rFonts w:ascii="Times New Roman"/>
                        <w:spacing w:val="-5"/>
                      </w:rPr>
                      <w:fldChar w:fldCharType="end"/>
                    </w:r>
                  </w:p>
                </w:txbxContent>
              </v:textbox>
              <w10:wrap type="none"/>
            </v:shape>
          </w:pict>
        </mc:Fallback>
      </mc:AlternateContent>
    </w:r>
  </w:p>
</w:hdr>
</file>

<file path=word/header25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76928">
              <wp:simplePos x="0" y="0"/>
              <wp:positionH relativeFrom="page">
                <wp:posOffset>3732276</wp:posOffset>
              </wp:positionH>
              <wp:positionV relativeFrom="page">
                <wp:posOffset>445854</wp:posOffset>
              </wp:positionV>
              <wp:extent cx="317500" cy="194310"/>
              <wp:effectExtent l="0" t="0" r="0" b="0"/>
              <wp:wrapNone/>
              <wp:docPr id="475" name="Textbox 475"/>
              <wp:cNvGraphicFramePr>
                <a:graphicFrameLocks/>
              </wp:cNvGraphicFramePr>
              <a:graphic>
                <a:graphicData uri="http://schemas.microsoft.com/office/word/2010/wordprocessingShape">
                  <wps:wsp>
                    <wps:cNvPr id="475" name="Textbox 47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39552" type="#_x0000_t202" id="docshape47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236</w:t>
                    </w:r>
                    <w:r>
                      <w:rPr>
                        <w:rFonts w:ascii="Times New Roman"/>
                        <w:spacing w:val="-5"/>
                      </w:rPr>
                      <w:fldChar w:fldCharType="end"/>
                    </w:r>
                  </w:p>
                </w:txbxContent>
              </v:textbox>
              <w10:wrap type="none"/>
            </v:shape>
          </w:pict>
        </mc:Fallback>
      </mc:AlternateContent>
    </w:r>
  </w:p>
</w:hdr>
</file>

<file path=word/header25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77952">
              <wp:simplePos x="0" y="0"/>
              <wp:positionH relativeFrom="page">
                <wp:posOffset>3732276</wp:posOffset>
              </wp:positionH>
              <wp:positionV relativeFrom="page">
                <wp:posOffset>445854</wp:posOffset>
              </wp:positionV>
              <wp:extent cx="317500" cy="194310"/>
              <wp:effectExtent l="0" t="0" r="0" b="0"/>
              <wp:wrapNone/>
              <wp:docPr id="477" name="Textbox 477"/>
              <wp:cNvGraphicFramePr>
                <a:graphicFrameLocks/>
              </wp:cNvGraphicFramePr>
              <a:graphic>
                <a:graphicData uri="http://schemas.microsoft.com/office/word/2010/wordprocessingShape">
                  <wps:wsp>
                    <wps:cNvPr id="477" name="Textbox 47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38528" type="#_x0000_t202" id="docshape47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237</w:t>
                    </w:r>
                    <w:r>
                      <w:rPr>
                        <w:rFonts w:ascii="Times New Roman"/>
                        <w:spacing w:val="-5"/>
                      </w:rPr>
                      <w:fldChar w:fldCharType="end"/>
                    </w:r>
                  </w:p>
                </w:txbxContent>
              </v:textbox>
              <w10:wrap type="none"/>
            </v:shape>
          </w:pict>
        </mc:Fallback>
      </mc:AlternateContent>
    </w:r>
  </w:p>
</w:hdr>
</file>

<file path=word/header25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78976">
              <wp:simplePos x="0" y="0"/>
              <wp:positionH relativeFrom="page">
                <wp:posOffset>3732276</wp:posOffset>
              </wp:positionH>
              <wp:positionV relativeFrom="page">
                <wp:posOffset>445854</wp:posOffset>
              </wp:positionV>
              <wp:extent cx="317500" cy="194310"/>
              <wp:effectExtent l="0" t="0" r="0" b="0"/>
              <wp:wrapNone/>
              <wp:docPr id="479" name="Textbox 479"/>
              <wp:cNvGraphicFramePr>
                <a:graphicFrameLocks/>
              </wp:cNvGraphicFramePr>
              <a:graphic>
                <a:graphicData uri="http://schemas.microsoft.com/office/word/2010/wordprocessingShape">
                  <wps:wsp>
                    <wps:cNvPr id="479" name="Textbox 47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37504" type="#_x0000_t202" id="docshape47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238</w:t>
                    </w:r>
                    <w:r>
                      <w:rPr>
                        <w:rFonts w:ascii="Times New Roman"/>
                        <w:spacing w:val="-5"/>
                      </w:rPr>
                      <w:fldChar w:fldCharType="end"/>
                    </w:r>
                  </w:p>
                </w:txbxContent>
              </v:textbox>
              <w10:wrap type="none"/>
            </v:shape>
          </w:pict>
        </mc:Fallback>
      </mc:AlternateContent>
    </w:r>
  </w:p>
</w:hdr>
</file>

<file path=word/header25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80000">
              <wp:simplePos x="0" y="0"/>
              <wp:positionH relativeFrom="page">
                <wp:posOffset>3732276</wp:posOffset>
              </wp:positionH>
              <wp:positionV relativeFrom="page">
                <wp:posOffset>445854</wp:posOffset>
              </wp:positionV>
              <wp:extent cx="317500" cy="194310"/>
              <wp:effectExtent l="0" t="0" r="0" b="0"/>
              <wp:wrapNone/>
              <wp:docPr id="481" name="Textbox 481"/>
              <wp:cNvGraphicFramePr>
                <a:graphicFrameLocks/>
              </wp:cNvGraphicFramePr>
              <a:graphic>
                <a:graphicData uri="http://schemas.microsoft.com/office/word/2010/wordprocessingShape">
                  <wps:wsp>
                    <wps:cNvPr id="481" name="Textbox 48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36480" type="#_x0000_t202" id="docshape48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239</w:t>
                    </w:r>
                    <w:r>
                      <w:rPr>
                        <w:rFonts w:ascii="Times New Roman"/>
                        <w:spacing w:val="-5"/>
                      </w:rPr>
                      <w:fldChar w:fldCharType="end"/>
                    </w:r>
                  </w:p>
                </w:txbxContent>
              </v:textbox>
              <w10:wrap type="none"/>
            </v:shape>
          </w:pict>
        </mc:Fallback>
      </mc:AlternateContent>
    </w:r>
  </w:p>
</w:hdr>
</file>

<file path=word/header25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81024">
              <wp:simplePos x="0" y="0"/>
              <wp:positionH relativeFrom="page">
                <wp:posOffset>3732276</wp:posOffset>
              </wp:positionH>
              <wp:positionV relativeFrom="page">
                <wp:posOffset>445854</wp:posOffset>
              </wp:positionV>
              <wp:extent cx="317500" cy="194310"/>
              <wp:effectExtent l="0" t="0" r="0" b="0"/>
              <wp:wrapNone/>
              <wp:docPr id="483" name="Textbox 483"/>
              <wp:cNvGraphicFramePr>
                <a:graphicFrameLocks/>
              </wp:cNvGraphicFramePr>
              <a:graphic>
                <a:graphicData uri="http://schemas.microsoft.com/office/word/2010/wordprocessingShape">
                  <wps:wsp>
                    <wps:cNvPr id="483" name="Textbox 48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35456" type="#_x0000_t202" id="docshape48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240</w:t>
                    </w:r>
                    <w:r>
                      <w:rPr>
                        <w:rFonts w:ascii="Times New Roman"/>
                        <w:spacing w:val="-5"/>
                      </w:rPr>
                      <w:fldChar w:fldCharType="end"/>
                    </w:r>
                  </w:p>
                </w:txbxContent>
              </v:textbox>
              <w10:wrap type="none"/>
            </v:shape>
          </w:pict>
        </mc:Fallback>
      </mc:AlternateContent>
    </w:r>
  </w:p>
</w:hdr>
</file>

<file path=word/header2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61888">
              <wp:simplePos x="0" y="0"/>
              <wp:positionH relativeFrom="page">
                <wp:posOffset>3771900</wp:posOffset>
              </wp:positionH>
              <wp:positionV relativeFrom="page">
                <wp:posOffset>445854</wp:posOffset>
              </wp:positionV>
              <wp:extent cx="241300" cy="194310"/>
              <wp:effectExtent l="0" t="0" r="0" b="0"/>
              <wp:wrapNone/>
              <wp:docPr id="53" name="Textbox 53"/>
              <wp:cNvGraphicFramePr>
                <a:graphicFrameLocks/>
              </wp:cNvGraphicFramePr>
              <a:graphic>
                <a:graphicData uri="http://schemas.microsoft.com/office/word/2010/wordprocessingShape">
                  <wps:wsp>
                    <wps:cNvPr id="53" name="Textbox 53"/>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54592" type="#_x0000_t202" id="docshape5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36</w:t>
                    </w:r>
                    <w:r>
                      <w:rPr>
                        <w:rFonts w:ascii="Times New Roman"/>
                        <w:spacing w:val="-5"/>
                      </w:rPr>
                      <w:fldChar w:fldCharType="end"/>
                    </w:r>
                  </w:p>
                </w:txbxContent>
              </v:textbox>
              <w10:wrap type="none"/>
            </v:shape>
          </w:pict>
        </mc:Fallback>
      </mc:AlternateContent>
    </w:r>
  </w:p>
</w:hdr>
</file>

<file path=word/header26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82048">
              <wp:simplePos x="0" y="0"/>
              <wp:positionH relativeFrom="page">
                <wp:posOffset>3732276</wp:posOffset>
              </wp:positionH>
              <wp:positionV relativeFrom="page">
                <wp:posOffset>445854</wp:posOffset>
              </wp:positionV>
              <wp:extent cx="317500" cy="194310"/>
              <wp:effectExtent l="0" t="0" r="0" b="0"/>
              <wp:wrapNone/>
              <wp:docPr id="485" name="Textbox 485"/>
              <wp:cNvGraphicFramePr>
                <a:graphicFrameLocks/>
              </wp:cNvGraphicFramePr>
              <a:graphic>
                <a:graphicData uri="http://schemas.microsoft.com/office/word/2010/wordprocessingShape">
                  <wps:wsp>
                    <wps:cNvPr id="485" name="Textbox 48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34432" type="#_x0000_t202" id="docshape48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241</w:t>
                    </w:r>
                    <w:r>
                      <w:rPr>
                        <w:rFonts w:ascii="Times New Roman"/>
                        <w:spacing w:val="-5"/>
                      </w:rPr>
                      <w:fldChar w:fldCharType="end"/>
                    </w:r>
                  </w:p>
                </w:txbxContent>
              </v:textbox>
              <w10:wrap type="none"/>
            </v:shape>
          </w:pict>
        </mc:Fallback>
      </mc:AlternateContent>
    </w:r>
  </w:p>
</w:hdr>
</file>

<file path=word/header26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83072">
              <wp:simplePos x="0" y="0"/>
              <wp:positionH relativeFrom="page">
                <wp:posOffset>3732276</wp:posOffset>
              </wp:positionH>
              <wp:positionV relativeFrom="page">
                <wp:posOffset>445854</wp:posOffset>
              </wp:positionV>
              <wp:extent cx="317500" cy="194310"/>
              <wp:effectExtent l="0" t="0" r="0" b="0"/>
              <wp:wrapNone/>
              <wp:docPr id="487" name="Textbox 487"/>
              <wp:cNvGraphicFramePr>
                <a:graphicFrameLocks/>
              </wp:cNvGraphicFramePr>
              <a:graphic>
                <a:graphicData uri="http://schemas.microsoft.com/office/word/2010/wordprocessingShape">
                  <wps:wsp>
                    <wps:cNvPr id="487" name="Textbox 48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33408" type="#_x0000_t202" id="docshape48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242</w:t>
                    </w:r>
                    <w:r>
                      <w:rPr>
                        <w:rFonts w:ascii="Times New Roman"/>
                        <w:spacing w:val="-5"/>
                      </w:rPr>
                      <w:fldChar w:fldCharType="end"/>
                    </w:r>
                  </w:p>
                </w:txbxContent>
              </v:textbox>
              <w10:wrap type="none"/>
            </v:shape>
          </w:pict>
        </mc:Fallback>
      </mc:AlternateContent>
    </w:r>
  </w:p>
</w:hdr>
</file>

<file path=word/header26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84096">
              <wp:simplePos x="0" y="0"/>
              <wp:positionH relativeFrom="page">
                <wp:posOffset>3732276</wp:posOffset>
              </wp:positionH>
              <wp:positionV relativeFrom="page">
                <wp:posOffset>445854</wp:posOffset>
              </wp:positionV>
              <wp:extent cx="317500" cy="194310"/>
              <wp:effectExtent l="0" t="0" r="0" b="0"/>
              <wp:wrapNone/>
              <wp:docPr id="489" name="Textbox 489"/>
              <wp:cNvGraphicFramePr>
                <a:graphicFrameLocks/>
              </wp:cNvGraphicFramePr>
              <a:graphic>
                <a:graphicData uri="http://schemas.microsoft.com/office/word/2010/wordprocessingShape">
                  <wps:wsp>
                    <wps:cNvPr id="489" name="Textbox 48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32384" type="#_x0000_t202" id="docshape48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243</w:t>
                    </w:r>
                    <w:r>
                      <w:rPr>
                        <w:rFonts w:ascii="Times New Roman"/>
                        <w:spacing w:val="-5"/>
                      </w:rPr>
                      <w:fldChar w:fldCharType="end"/>
                    </w:r>
                  </w:p>
                </w:txbxContent>
              </v:textbox>
              <w10:wrap type="none"/>
            </v:shape>
          </w:pict>
        </mc:Fallback>
      </mc:AlternateContent>
    </w:r>
  </w:p>
</w:hdr>
</file>

<file path=word/header26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85120">
              <wp:simplePos x="0" y="0"/>
              <wp:positionH relativeFrom="page">
                <wp:posOffset>3732276</wp:posOffset>
              </wp:positionH>
              <wp:positionV relativeFrom="page">
                <wp:posOffset>445854</wp:posOffset>
              </wp:positionV>
              <wp:extent cx="317500" cy="194310"/>
              <wp:effectExtent l="0" t="0" r="0" b="0"/>
              <wp:wrapNone/>
              <wp:docPr id="491" name="Textbox 491"/>
              <wp:cNvGraphicFramePr>
                <a:graphicFrameLocks/>
              </wp:cNvGraphicFramePr>
              <a:graphic>
                <a:graphicData uri="http://schemas.microsoft.com/office/word/2010/wordprocessingShape">
                  <wps:wsp>
                    <wps:cNvPr id="491" name="Textbox 49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31360" type="#_x0000_t202" id="docshape49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244</w:t>
                    </w:r>
                    <w:r>
                      <w:rPr>
                        <w:rFonts w:ascii="Times New Roman"/>
                        <w:spacing w:val="-5"/>
                      </w:rPr>
                      <w:fldChar w:fldCharType="end"/>
                    </w:r>
                  </w:p>
                </w:txbxContent>
              </v:textbox>
              <w10:wrap type="none"/>
            </v:shape>
          </w:pict>
        </mc:Fallback>
      </mc:AlternateContent>
    </w:r>
  </w:p>
</w:hdr>
</file>

<file path=word/header26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86144">
              <wp:simplePos x="0" y="0"/>
              <wp:positionH relativeFrom="page">
                <wp:posOffset>3732276</wp:posOffset>
              </wp:positionH>
              <wp:positionV relativeFrom="page">
                <wp:posOffset>445854</wp:posOffset>
              </wp:positionV>
              <wp:extent cx="317500" cy="194310"/>
              <wp:effectExtent l="0" t="0" r="0" b="0"/>
              <wp:wrapNone/>
              <wp:docPr id="493" name="Textbox 493"/>
              <wp:cNvGraphicFramePr>
                <a:graphicFrameLocks/>
              </wp:cNvGraphicFramePr>
              <a:graphic>
                <a:graphicData uri="http://schemas.microsoft.com/office/word/2010/wordprocessingShape">
                  <wps:wsp>
                    <wps:cNvPr id="493" name="Textbox 49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30336" type="#_x0000_t202" id="docshape49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245</w:t>
                    </w:r>
                    <w:r>
                      <w:rPr>
                        <w:rFonts w:ascii="Times New Roman"/>
                        <w:spacing w:val="-5"/>
                      </w:rPr>
                      <w:fldChar w:fldCharType="end"/>
                    </w:r>
                  </w:p>
                </w:txbxContent>
              </v:textbox>
              <w10:wrap type="none"/>
            </v:shape>
          </w:pict>
        </mc:Fallback>
      </mc:AlternateContent>
    </w:r>
  </w:p>
</w:hdr>
</file>

<file path=word/header26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87168">
              <wp:simplePos x="0" y="0"/>
              <wp:positionH relativeFrom="page">
                <wp:posOffset>3732276</wp:posOffset>
              </wp:positionH>
              <wp:positionV relativeFrom="page">
                <wp:posOffset>445854</wp:posOffset>
              </wp:positionV>
              <wp:extent cx="317500" cy="194310"/>
              <wp:effectExtent l="0" t="0" r="0" b="0"/>
              <wp:wrapNone/>
              <wp:docPr id="495" name="Textbox 495"/>
              <wp:cNvGraphicFramePr>
                <a:graphicFrameLocks/>
              </wp:cNvGraphicFramePr>
              <a:graphic>
                <a:graphicData uri="http://schemas.microsoft.com/office/word/2010/wordprocessingShape">
                  <wps:wsp>
                    <wps:cNvPr id="495" name="Textbox 49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29312" type="#_x0000_t202" id="docshape49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246</w:t>
                    </w:r>
                    <w:r>
                      <w:rPr>
                        <w:rFonts w:ascii="Times New Roman"/>
                        <w:spacing w:val="-5"/>
                      </w:rPr>
                      <w:fldChar w:fldCharType="end"/>
                    </w:r>
                  </w:p>
                </w:txbxContent>
              </v:textbox>
              <w10:wrap type="none"/>
            </v:shape>
          </w:pict>
        </mc:Fallback>
      </mc:AlternateContent>
    </w:r>
  </w:p>
</w:hdr>
</file>

<file path=word/header26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88192">
              <wp:simplePos x="0" y="0"/>
              <wp:positionH relativeFrom="page">
                <wp:posOffset>3732276</wp:posOffset>
              </wp:positionH>
              <wp:positionV relativeFrom="page">
                <wp:posOffset>445854</wp:posOffset>
              </wp:positionV>
              <wp:extent cx="317500" cy="194310"/>
              <wp:effectExtent l="0" t="0" r="0" b="0"/>
              <wp:wrapNone/>
              <wp:docPr id="497" name="Textbox 497"/>
              <wp:cNvGraphicFramePr>
                <a:graphicFrameLocks/>
              </wp:cNvGraphicFramePr>
              <a:graphic>
                <a:graphicData uri="http://schemas.microsoft.com/office/word/2010/wordprocessingShape">
                  <wps:wsp>
                    <wps:cNvPr id="497" name="Textbox 49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28288" type="#_x0000_t202" id="docshape49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247</w:t>
                    </w:r>
                    <w:r>
                      <w:rPr>
                        <w:rFonts w:ascii="Times New Roman"/>
                        <w:spacing w:val="-5"/>
                      </w:rPr>
                      <w:fldChar w:fldCharType="end"/>
                    </w:r>
                  </w:p>
                </w:txbxContent>
              </v:textbox>
              <w10:wrap type="none"/>
            </v:shape>
          </w:pict>
        </mc:Fallback>
      </mc:AlternateContent>
    </w:r>
  </w:p>
</w:hdr>
</file>

<file path=word/header26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89216">
              <wp:simplePos x="0" y="0"/>
              <wp:positionH relativeFrom="page">
                <wp:posOffset>3732276</wp:posOffset>
              </wp:positionH>
              <wp:positionV relativeFrom="page">
                <wp:posOffset>445854</wp:posOffset>
              </wp:positionV>
              <wp:extent cx="317500" cy="194310"/>
              <wp:effectExtent l="0" t="0" r="0" b="0"/>
              <wp:wrapNone/>
              <wp:docPr id="499" name="Textbox 499"/>
              <wp:cNvGraphicFramePr>
                <a:graphicFrameLocks/>
              </wp:cNvGraphicFramePr>
              <a:graphic>
                <a:graphicData uri="http://schemas.microsoft.com/office/word/2010/wordprocessingShape">
                  <wps:wsp>
                    <wps:cNvPr id="499" name="Textbox 49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27264" type="#_x0000_t202" id="docshape49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248</w:t>
                    </w:r>
                    <w:r>
                      <w:rPr>
                        <w:rFonts w:ascii="Times New Roman"/>
                        <w:spacing w:val="-5"/>
                      </w:rPr>
                      <w:fldChar w:fldCharType="end"/>
                    </w:r>
                  </w:p>
                </w:txbxContent>
              </v:textbox>
              <w10:wrap type="none"/>
            </v:shape>
          </w:pict>
        </mc:Fallback>
      </mc:AlternateContent>
    </w:r>
  </w:p>
</w:hdr>
</file>

<file path=word/header26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90240">
              <wp:simplePos x="0" y="0"/>
              <wp:positionH relativeFrom="page">
                <wp:posOffset>3732276</wp:posOffset>
              </wp:positionH>
              <wp:positionV relativeFrom="page">
                <wp:posOffset>445854</wp:posOffset>
              </wp:positionV>
              <wp:extent cx="317500" cy="194310"/>
              <wp:effectExtent l="0" t="0" r="0" b="0"/>
              <wp:wrapNone/>
              <wp:docPr id="501" name="Textbox 501"/>
              <wp:cNvGraphicFramePr>
                <a:graphicFrameLocks/>
              </wp:cNvGraphicFramePr>
              <a:graphic>
                <a:graphicData uri="http://schemas.microsoft.com/office/word/2010/wordprocessingShape">
                  <wps:wsp>
                    <wps:cNvPr id="501" name="Textbox 50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26240" type="#_x0000_t202" id="docshape50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249</w:t>
                    </w:r>
                    <w:r>
                      <w:rPr>
                        <w:rFonts w:ascii="Times New Roman"/>
                        <w:spacing w:val="-5"/>
                      </w:rPr>
                      <w:fldChar w:fldCharType="end"/>
                    </w:r>
                  </w:p>
                </w:txbxContent>
              </v:textbox>
              <w10:wrap type="none"/>
            </v:shape>
          </w:pict>
        </mc:Fallback>
      </mc:AlternateContent>
    </w:r>
  </w:p>
</w:hdr>
</file>

<file path=word/header26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91264">
              <wp:simplePos x="0" y="0"/>
              <wp:positionH relativeFrom="page">
                <wp:posOffset>3732276</wp:posOffset>
              </wp:positionH>
              <wp:positionV relativeFrom="page">
                <wp:posOffset>445854</wp:posOffset>
              </wp:positionV>
              <wp:extent cx="317500" cy="194310"/>
              <wp:effectExtent l="0" t="0" r="0" b="0"/>
              <wp:wrapNone/>
              <wp:docPr id="503" name="Textbox 503"/>
              <wp:cNvGraphicFramePr>
                <a:graphicFrameLocks/>
              </wp:cNvGraphicFramePr>
              <a:graphic>
                <a:graphicData uri="http://schemas.microsoft.com/office/word/2010/wordprocessingShape">
                  <wps:wsp>
                    <wps:cNvPr id="503" name="Textbox 50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25216" type="#_x0000_t202" id="docshape50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250</w:t>
                    </w:r>
                    <w:r>
                      <w:rPr>
                        <w:rFonts w:ascii="Times New Roman"/>
                        <w:spacing w:val="-5"/>
                      </w:rPr>
                      <w:fldChar w:fldCharType="end"/>
                    </w:r>
                  </w:p>
                </w:txbxContent>
              </v:textbox>
              <w10:wrap type="none"/>
            </v:shape>
          </w:pict>
        </mc:Fallback>
      </mc:AlternateContent>
    </w:r>
  </w:p>
</w:hdr>
</file>

<file path=word/header2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62912">
              <wp:simplePos x="0" y="0"/>
              <wp:positionH relativeFrom="page">
                <wp:posOffset>3771900</wp:posOffset>
              </wp:positionH>
              <wp:positionV relativeFrom="page">
                <wp:posOffset>445854</wp:posOffset>
              </wp:positionV>
              <wp:extent cx="241300" cy="194310"/>
              <wp:effectExtent l="0" t="0" r="0" b="0"/>
              <wp:wrapNone/>
              <wp:docPr id="55" name="Textbox 55"/>
              <wp:cNvGraphicFramePr>
                <a:graphicFrameLocks/>
              </wp:cNvGraphicFramePr>
              <a:graphic>
                <a:graphicData uri="http://schemas.microsoft.com/office/word/2010/wordprocessingShape">
                  <wps:wsp>
                    <wps:cNvPr id="55" name="Textbox 55"/>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53568" type="#_x0000_t202" id="docshape5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37</w:t>
                    </w:r>
                    <w:r>
                      <w:rPr>
                        <w:rFonts w:ascii="Times New Roman"/>
                        <w:spacing w:val="-5"/>
                      </w:rPr>
                      <w:fldChar w:fldCharType="end"/>
                    </w:r>
                  </w:p>
                </w:txbxContent>
              </v:textbox>
              <w10:wrap type="none"/>
            </v:shape>
          </w:pict>
        </mc:Fallback>
      </mc:AlternateContent>
    </w:r>
  </w:p>
</w:hdr>
</file>

<file path=word/header27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92288">
              <wp:simplePos x="0" y="0"/>
              <wp:positionH relativeFrom="page">
                <wp:posOffset>3732276</wp:posOffset>
              </wp:positionH>
              <wp:positionV relativeFrom="page">
                <wp:posOffset>445854</wp:posOffset>
              </wp:positionV>
              <wp:extent cx="317500" cy="194310"/>
              <wp:effectExtent l="0" t="0" r="0" b="0"/>
              <wp:wrapNone/>
              <wp:docPr id="505" name="Textbox 505"/>
              <wp:cNvGraphicFramePr>
                <a:graphicFrameLocks/>
              </wp:cNvGraphicFramePr>
              <a:graphic>
                <a:graphicData uri="http://schemas.microsoft.com/office/word/2010/wordprocessingShape">
                  <wps:wsp>
                    <wps:cNvPr id="505" name="Textbox 50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24192" type="#_x0000_t202" id="docshape50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251</w:t>
                    </w:r>
                    <w:r>
                      <w:rPr>
                        <w:rFonts w:ascii="Times New Roman"/>
                        <w:spacing w:val="-5"/>
                      </w:rPr>
                      <w:fldChar w:fldCharType="end"/>
                    </w:r>
                  </w:p>
                </w:txbxContent>
              </v:textbox>
              <w10:wrap type="none"/>
            </v:shape>
          </w:pict>
        </mc:Fallback>
      </mc:AlternateContent>
    </w:r>
  </w:p>
</w:hdr>
</file>

<file path=word/header27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93312">
              <wp:simplePos x="0" y="0"/>
              <wp:positionH relativeFrom="page">
                <wp:posOffset>3732276</wp:posOffset>
              </wp:positionH>
              <wp:positionV relativeFrom="page">
                <wp:posOffset>445854</wp:posOffset>
              </wp:positionV>
              <wp:extent cx="317500" cy="194310"/>
              <wp:effectExtent l="0" t="0" r="0" b="0"/>
              <wp:wrapNone/>
              <wp:docPr id="507" name="Textbox 507"/>
              <wp:cNvGraphicFramePr>
                <a:graphicFrameLocks/>
              </wp:cNvGraphicFramePr>
              <a:graphic>
                <a:graphicData uri="http://schemas.microsoft.com/office/word/2010/wordprocessingShape">
                  <wps:wsp>
                    <wps:cNvPr id="507" name="Textbox 50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23168" type="#_x0000_t202" id="docshape50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252</w:t>
                    </w:r>
                    <w:r>
                      <w:rPr>
                        <w:rFonts w:ascii="Times New Roman"/>
                        <w:spacing w:val="-5"/>
                      </w:rPr>
                      <w:fldChar w:fldCharType="end"/>
                    </w:r>
                  </w:p>
                </w:txbxContent>
              </v:textbox>
              <w10:wrap type="none"/>
            </v:shape>
          </w:pict>
        </mc:Fallback>
      </mc:AlternateContent>
    </w:r>
  </w:p>
</w:hdr>
</file>

<file path=word/header27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94336">
              <wp:simplePos x="0" y="0"/>
              <wp:positionH relativeFrom="page">
                <wp:posOffset>3732276</wp:posOffset>
              </wp:positionH>
              <wp:positionV relativeFrom="page">
                <wp:posOffset>445854</wp:posOffset>
              </wp:positionV>
              <wp:extent cx="317500" cy="194310"/>
              <wp:effectExtent l="0" t="0" r="0" b="0"/>
              <wp:wrapNone/>
              <wp:docPr id="509" name="Textbox 509"/>
              <wp:cNvGraphicFramePr>
                <a:graphicFrameLocks/>
              </wp:cNvGraphicFramePr>
              <a:graphic>
                <a:graphicData uri="http://schemas.microsoft.com/office/word/2010/wordprocessingShape">
                  <wps:wsp>
                    <wps:cNvPr id="509" name="Textbox 50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22144" type="#_x0000_t202" id="docshape50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253</w:t>
                    </w:r>
                    <w:r>
                      <w:rPr>
                        <w:rFonts w:ascii="Times New Roman"/>
                        <w:spacing w:val="-5"/>
                      </w:rPr>
                      <w:fldChar w:fldCharType="end"/>
                    </w:r>
                  </w:p>
                </w:txbxContent>
              </v:textbox>
              <w10:wrap type="none"/>
            </v:shape>
          </w:pict>
        </mc:Fallback>
      </mc:AlternateContent>
    </w:r>
  </w:p>
</w:hdr>
</file>

<file path=word/header27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95360">
              <wp:simplePos x="0" y="0"/>
              <wp:positionH relativeFrom="page">
                <wp:posOffset>3732276</wp:posOffset>
              </wp:positionH>
              <wp:positionV relativeFrom="page">
                <wp:posOffset>445854</wp:posOffset>
              </wp:positionV>
              <wp:extent cx="317500" cy="194310"/>
              <wp:effectExtent l="0" t="0" r="0" b="0"/>
              <wp:wrapNone/>
              <wp:docPr id="511" name="Textbox 511"/>
              <wp:cNvGraphicFramePr>
                <a:graphicFrameLocks/>
              </wp:cNvGraphicFramePr>
              <a:graphic>
                <a:graphicData uri="http://schemas.microsoft.com/office/word/2010/wordprocessingShape">
                  <wps:wsp>
                    <wps:cNvPr id="511" name="Textbox 51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21120" type="#_x0000_t202" id="docshape51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254</w:t>
                    </w:r>
                    <w:r>
                      <w:rPr>
                        <w:rFonts w:ascii="Times New Roman"/>
                        <w:spacing w:val="-5"/>
                      </w:rPr>
                      <w:fldChar w:fldCharType="end"/>
                    </w:r>
                  </w:p>
                </w:txbxContent>
              </v:textbox>
              <w10:wrap type="none"/>
            </v:shape>
          </w:pict>
        </mc:Fallback>
      </mc:AlternateContent>
    </w:r>
  </w:p>
</w:hdr>
</file>

<file path=word/header27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96384">
              <wp:simplePos x="0" y="0"/>
              <wp:positionH relativeFrom="page">
                <wp:posOffset>3732276</wp:posOffset>
              </wp:positionH>
              <wp:positionV relativeFrom="page">
                <wp:posOffset>445854</wp:posOffset>
              </wp:positionV>
              <wp:extent cx="317500" cy="194310"/>
              <wp:effectExtent l="0" t="0" r="0" b="0"/>
              <wp:wrapNone/>
              <wp:docPr id="513" name="Textbox 513"/>
              <wp:cNvGraphicFramePr>
                <a:graphicFrameLocks/>
              </wp:cNvGraphicFramePr>
              <a:graphic>
                <a:graphicData uri="http://schemas.microsoft.com/office/word/2010/wordprocessingShape">
                  <wps:wsp>
                    <wps:cNvPr id="513" name="Textbox 51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20096" type="#_x0000_t202" id="docshape51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255</w:t>
                    </w:r>
                    <w:r>
                      <w:rPr>
                        <w:rFonts w:ascii="Times New Roman"/>
                        <w:spacing w:val="-5"/>
                      </w:rPr>
                      <w:fldChar w:fldCharType="end"/>
                    </w:r>
                  </w:p>
                </w:txbxContent>
              </v:textbox>
              <w10:wrap type="none"/>
            </v:shape>
          </w:pict>
        </mc:Fallback>
      </mc:AlternateContent>
    </w:r>
  </w:p>
</w:hdr>
</file>

<file path=word/header27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97408">
              <wp:simplePos x="0" y="0"/>
              <wp:positionH relativeFrom="page">
                <wp:posOffset>3732276</wp:posOffset>
              </wp:positionH>
              <wp:positionV relativeFrom="page">
                <wp:posOffset>445854</wp:posOffset>
              </wp:positionV>
              <wp:extent cx="317500" cy="194310"/>
              <wp:effectExtent l="0" t="0" r="0" b="0"/>
              <wp:wrapNone/>
              <wp:docPr id="515" name="Textbox 515"/>
              <wp:cNvGraphicFramePr>
                <a:graphicFrameLocks/>
              </wp:cNvGraphicFramePr>
              <a:graphic>
                <a:graphicData uri="http://schemas.microsoft.com/office/word/2010/wordprocessingShape">
                  <wps:wsp>
                    <wps:cNvPr id="515" name="Textbox 51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19072" type="#_x0000_t202" id="docshape51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256</w:t>
                    </w:r>
                    <w:r>
                      <w:rPr>
                        <w:rFonts w:ascii="Times New Roman"/>
                        <w:spacing w:val="-5"/>
                      </w:rPr>
                      <w:fldChar w:fldCharType="end"/>
                    </w:r>
                  </w:p>
                </w:txbxContent>
              </v:textbox>
              <w10:wrap type="none"/>
            </v:shape>
          </w:pict>
        </mc:Fallback>
      </mc:AlternateContent>
    </w:r>
  </w:p>
</w:hdr>
</file>

<file path=word/header27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98432">
              <wp:simplePos x="0" y="0"/>
              <wp:positionH relativeFrom="page">
                <wp:posOffset>3732276</wp:posOffset>
              </wp:positionH>
              <wp:positionV relativeFrom="page">
                <wp:posOffset>445854</wp:posOffset>
              </wp:positionV>
              <wp:extent cx="317500" cy="194310"/>
              <wp:effectExtent l="0" t="0" r="0" b="0"/>
              <wp:wrapNone/>
              <wp:docPr id="517" name="Textbox 517"/>
              <wp:cNvGraphicFramePr>
                <a:graphicFrameLocks/>
              </wp:cNvGraphicFramePr>
              <a:graphic>
                <a:graphicData uri="http://schemas.microsoft.com/office/word/2010/wordprocessingShape">
                  <wps:wsp>
                    <wps:cNvPr id="517" name="Textbox 51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18048" type="#_x0000_t202" id="docshape51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257</w:t>
                    </w:r>
                    <w:r>
                      <w:rPr>
                        <w:rFonts w:ascii="Times New Roman"/>
                        <w:spacing w:val="-5"/>
                      </w:rPr>
                      <w:fldChar w:fldCharType="end"/>
                    </w:r>
                  </w:p>
                </w:txbxContent>
              </v:textbox>
              <w10:wrap type="none"/>
            </v:shape>
          </w:pict>
        </mc:Fallback>
      </mc:AlternateContent>
    </w:r>
  </w:p>
</w:hdr>
</file>

<file path=word/header27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899456">
              <wp:simplePos x="0" y="0"/>
              <wp:positionH relativeFrom="page">
                <wp:posOffset>3732276</wp:posOffset>
              </wp:positionH>
              <wp:positionV relativeFrom="page">
                <wp:posOffset>445854</wp:posOffset>
              </wp:positionV>
              <wp:extent cx="317500" cy="194310"/>
              <wp:effectExtent l="0" t="0" r="0" b="0"/>
              <wp:wrapNone/>
              <wp:docPr id="519" name="Textbox 519"/>
              <wp:cNvGraphicFramePr>
                <a:graphicFrameLocks/>
              </wp:cNvGraphicFramePr>
              <a:graphic>
                <a:graphicData uri="http://schemas.microsoft.com/office/word/2010/wordprocessingShape">
                  <wps:wsp>
                    <wps:cNvPr id="519" name="Textbox 51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17024" type="#_x0000_t202" id="docshape51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258</w:t>
                    </w:r>
                    <w:r>
                      <w:rPr>
                        <w:rFonts w:ascii="Times New Roman"/>
                        <w:spacing w:val="-5"/>
                      </w:rPr>
                      <w:fldChar w:fldCharType="end"/>
                    </w:r>
                  </w:p>
                </w:txbxContent>
              </v:textbox>
              <w10:wrap type="none"/>
            </v:shape>
          </w:pict>
        </mc:Fallback>
      </mc:AlternateContent>
    </w:r>
  </w:p>
</w:hdr>
</file>

<file path=word/header27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00480">
              <wp:simplePos x="0" y="0"/>
              <wp:positionH relativeFrom="page">
                <wp:posOffset>3732276</wp:posOffset>
              </wp:positionH>
              <wp:positionV relativeFrom="page">
                <wp:posOffset>445854</wp:posOffset>
              </wp:positionV>
              <wp:extent cx="317500" cy="194310"/>
              <wp:effectExtent l="0" t="0" r="0" b="0"/>
              <wp:wrapNone/>
              <wp:docPr id="521" name="Textbox 521"/>
              <wp:cNvGraphicFramePr>
                <a:graphicFrameLocks/>
              </wp:cNvGraphicFramePr>
              <a:graphic>
                <a:graphicData uri="http://schemas.microsoft.com/office/word/2010/wordprocessingShape">
                  <wps:wsp>
                    <wps:cNvPr id="521" name="Textbox 52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16000" type="#_x0000_t202" id="docshape52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259</w:t>
                    </w:r>
                    <w:r>
                      <w:rPr>
                        <w:rFonts w:ascii="Times New Roman"/>
                        <w:spacing w:val="-5"/>
                      </w:rPr>
                      <w:fldChar w:fldCharType="end"/>
                    </w:r>
                  </w:p>
                </w:txbxContent>
              </v:textbox>
              <w10:wrap type="none"/>
            </v:shape>
          </w:pict>
        </mc:Fallback>
      </mc:AlternateContent>
    </w:r>
  </w:p>
</w:hdr>
</file>

<file path=word/header27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01504">
              <wp:simplePos x="0" y="0"/>
              <wp:positionH relativeFrom="page">
                <wp:posOffset>3732276</wp:posOffset>
              </wp:positionH>
              <wp:positionV relativeFrom="page">
                <wp:posOffset>445854</wp:posOffset>
              </wp:positionV>
              <wp:extent cx="317500" cy="194310"/>
              <wp:effectExtent l="0" t="0" r="0" b="0"/>
              <wp:wrapNone/>
              <wp:docPr id="523" name="Textbox 523"/>
              <wp:cNvGraphicFramePr>
                <a:graphicFrameLocks/>
              </wp:cNvGraphicFramePr>
              <a:graphic>
                <a:graphicData uri="http://schemas.microsoft.com/office/word/2010/wordprocessingShape">
                  <wps:wsp>
                    <wps:cNvPr id="523" name="Textbox 52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14976" type="#_x0000_t202" id="docshape52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260</w:t>
                    </w:r>
                    <w:r>
                      <w:rPr>
                        <w:rFonts w:ascii="Times New Roman"/>
                        <w:spacing w:val="-5"/>
                      </w:rPr>
                      <w:fldChar w:fldCharType="end"/>
                    </w:r>
                  </w:p>
                </w:txbxContent>
              </v:textbox>
              <w10:wrap type="none"/>
            </v:shape>
          </w:pict>
        </mc:Fallback>
      </mc:AlternateContent>
    </w:r>
  </w:p>
</w:hdr>
</file>

<file path=word/header2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63936">
              <wp:simplePos x="0" y="0"/>
              <wp:positionH relativeFrom="page">
                <wp:posOffset>3771900</wp:posOffset>
              </wp:positionH>
              <wp:positionV relativeFrom="page">
                <wp:posOffset>445854</wp:posOffset>
              </wp:positionV>
              <wp:extent cx="241300" cy="194310"/>
              <wp:effectExtent l="0" t="0" r="0" b="0"/>
              <wp:wrapNone/>
              <wp:docPr id="57" name="Textbox 57"/>
              <wp:cNvGraphicFramePr>
                <a:graphicFrameLocks/>
              </wp:cNvGraphicFramePr>
              <a:graphic>
                <a:graphicData uri="http://schemas.microsoft.com/office/word/2010/wordprocessingShape">
                  <wps:wsp>
                    <wps:cNvPr id="57" name="Textbox 57"/>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52544" type="#_x0000_t202" id="docshape5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38</w:t>
                    </w:r>
                    <w:r>
                      <w:rPr>
                        <w:rFonts w:ascii="Times New Roman"/>
                        <w:spacing w:val="-5"/>
                      </w:rPr>
                      <w:fldChar w:fldCharType="end"/>
                    </w:r>
                  </w:p>
                </w:txbxContent>
              </v:textbox>
              <w10:wrap type="none"/>
            </v:shape>
          </w:pict>
        </mc:Fallback>
      </mc:AlternateContent>
    </w:r>
  </w:p>
</w:hdr>
</file>

<file path=word/header28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8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02528">
              <wp:simplePos x="0" y="0"/>
              <wp:positionH relativeFrom="page">
                <wp:posOffset>3732276</wp:posOffset>
              </wp:positionH>
              <wp:positionV relativeFrom="page">
                <wp:posOffset>445854</wp:posOffset>
              </wp:positionV>
              <wp:extent cx="317500" cy="194310"/>
              <wp:effectExtent l="0" t="0" r="0" b="0"/>
              <wp:wrapNone/>
              <wp:docPr id="547" name="Textbox 547"/>
              <wp:cNvGraphicFramePr>
                <a:graphicFrameLocks/>
              </wp:cNvGraphicFramePr>
              <a:graphic>
                <a:graphicData uri="http://schemas.microsoft.com/office/word/2010/wordprocessingShape">
                  <wps:wsp>
                    <wps:cNvPr id="547" name="Textbox 54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13952" type="#_x0000_t202" id="docshape54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262</w:t>
                    </w:r>
                    <w:r>
                      <w:rPr>
                        <w:rFonts w:ascii="Times New Roman"/>
                        <w:spacing w:val="-5"/>
                      </w:rPr>
                      <w:fldChar w:fldCharType="end"/>
                    </w:r>
                  </w:p>
                </w:txbxContent>
              </v:textbox>
              <w10:wrap type="none"/>
            </v:shape>
          </w:pict>
        </mc:Fallback>
      </mc:AlternateContent>
    </w:r>
  </w:p>
</w:hdr>
</file>

<file path=word/header28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03552">
              <wp:simplePos x="0" y="0"/>
              <wp:positionH relativeFrom="page">
                <wp:posOffset>3732276</wp:posOffset>
              </wp:positionH>
              <wp:positionV relativeFrom="page">
                <wp:posOffset>445854</wp:posOffset>
              </wp:positionV>
              <wp:extent cx="317500" cy="194310"/>
              <wp:effectExtent l="0" t="0" r="0" b="0"/>
              <wp:wrapNone/>
              <wp:docPr id="549" name="Textbox 549"/>
              <wp:cNvGraphicFramePr>
                <a:graphicFrameLocks/>
              </wp:cNvGraphicFramePr>
              <a:graphic>
                <a:graphicData uri="http://schemas.microsoft.com/office/word/2010/wordprocessingShape">
                  <wps:wsp>
                    <wps:cNvPr id="549" name="Textbox 54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12928" type="#_x0000_t202" id="docshape54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263</w:t>
                    </w:r>
                    <w:r>
                      <w:rPr>
                        <w:rFonts w:ascii="Times New Roman"/>
                        <w:spacing w:val="-5"/>
                      </w:rPr>
                      <w:fldChar w:fldCharType="end"/>
                    </w:r>
                  </w:p>
                </w:txbxContent>
              </v:textbox>
              <w10:wrap type="none"/>
            </v:shape>
          </w:pict>
        </mc:Fallback>
      </mc:AlternateContent>
    </w:r>
  </w:p>
</w:hdr>
</file>

<file path=word/header28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04576">
              <wp:simplePos x="0" y="0"/>
              <wp:positionH relativeFrom="page">
                <wp:posOffset>3732276</wp:posOffset>
              </wp:positionH>
              <wp:positionV relativeFrom="page">
                <wp:posOffset>445854</wp:posOffset>
              </wp:positionV>
              <wp:extent cx="317500" cy="194310"/>
              <wp:effectExtent l="0" t="0" r="0" b="0"/>
              <wp:wrapNone/>
              <wp:docPr id="551" name="Textbox 551"/>
              <wp:cNvGraphicFramePr>
                <a:graphicFrameLocks/>
              </wp:cNvGraphicFramePr>
              <a:graphic>
                <a:graphicData uri="http://schemas.microsoft.com/office/word/2010/wordprocessingShape">
                  <wps:wsp>
                    <wps:cNvPr id="551" name="Textbox 55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11904" type="#_x0000_t202" id="docshape54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264</w:t>
                    </w:r>
                    <w:r>
                      <w:rPr>
                        <w:rFonts w:ascii="Times New Roman"/>
                        <w:spacing w:val="-5"/>
                      </w:rPr>
                      <w:fldChar w:fldCharType="end"/>
                    </w:r>
                  </w:p>
                </w:txbxContent>
              </v:textbox>
              <w10:wrap type="none"/>
            </v:shape>
          </w:pict>
        </mc:Fallback>
      </mc:AlternateContent>
    </w:r>
  </w:p>
</w:hdr>
</file>

<file path=word/header28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05600">
              <wp:simplePos x="0" y="0"/>
              <wp:positionH relativeFrom="page">
                <wp:posOffset>3732276</wp:posOffset>
              </wp:positionH>
              <wp:positionV relativeFrom="page">
                <wp:posOffset>445854</wp:posOffset>
              </wp:positionV>
              <wp:extent cx="317500" cy="194310"/>
              <wp:effectExtent l="0" t="0" r="0" b="0"/>
              <wp:wrapNone/>
              <wp:docPr id="553" name="Textbox 553"/>
              <wp:cNvGraphicFramePr>
                <a:graphicFrameLocks/>
              </wp:cNvGraphicFramePr>
              <a:graphic>
                <a:graphicData uri="http://schemas.microsoft.com/office/word/2010/wordprocessingShape">
                  <wps:wsp>
                    <wps:cNvPr id="553" name="Textbox 55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10880" type="#_x0000_t202" id="docshape55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265</w:t>
                    </w:r>
                    <w:r>
                      <w:rPr>
                        <w:rFonts w:ascii="Times New Roman"/>
                        <w:spacing w:val="-5"/>
                      </w:rPr>
                      <w:fldChar w:fldCharType="end"/>
                    </w:r>
                  </w:p>
                </w:txbxContent>
              </v:textbox>
              <w10:wrap type="none"/>
            </v:shape>
          </w:pict>
        </mc:Fallback>
      </mc:AlternateContent>
    </w:r>
  </w:p>
</w:hdr>
</file>

<file path=word/header28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06624">
              <wp:simplePos x="0" y="0"/>
              <wp:positionH relativeFrom="page">
                <wp:posOffset>3732276</wp:posOffset>
              </wp:positionH>
              <wp:positionV relativeFrom="page">
                <wp:posOffset>445854</wp:posOffset>
              </wp:positionV>
              <wp:extent cx="317500" cy="194310"/>
              <wp:effectExtent l="0" t="0" r="0" b="0"/>
              <wp:wrapNone/>
              <wp:docPr id="555" name="Textbox 555"/>
              <wp:cNvGraphicFramePr>
                <a:graphicFrameLocks/>
              </wp:cNvGraphicFramePr>
              <a:graphic>
                <a:graphicData uri="http://schemas.microsoft.com/office/word/2010/wordprocessingShape">
                  <wps:wsp>
                    <wps:cNvPr id="555" name="Textbox 55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09856" type="#_x0000_t202" id="docshape55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266</w:t>
                    </w:r>
                    <w:r>
                      <w:rPr>
                        <w:rFonts w:ascii="Times New Roman"/>
                        <w:spacing w:val="-5"/>
                      </w:rPr>
                      <w:fldChar w:fldCharType="end"/>
                    </w:r>
                  </w:p>
                </w:txbxContent>
              </v:textbox>
              <w10:wrap type="none"/>
            </v:shape>
          </w:pict>
        </mc:Fallback>
      </mc:AlternateContent>
    </w:r>
  </w:p>
</w:hdr>
</file>

<file path=word/header28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07648">
              <wp:simplePos x="0" y="0"/>
              <wp:positionH relativeFrom="page">
                <wp:posOffset>3732276</wp:posOffset>
              </wp:positionH>
              <wp:positionV relativeFrom="page">
                <wp:posOffset>445854</wp:posOffset>
              </wp:positionV>
              <wp:extent cx="317500" cy="194310"/>
              <wp:effectExtent l="0" t="0" r="0" b="0"/>
              <wp:wrapNone/>
              <wp:docPr id="557" name="Textbox 557"/>
              <wp:cNvGraphicFramePr>
                <a:graphicFrameLocks/>
              </wp:cNvGraphicFramePr>
              <a:graphic>
                <a:graphicData uri="http://schemas.microsoft.com/office/word/2010/wordprocessingShape">
                  <wps:wsp>
                    <wps:cNvPr id="557" name="Textbox 55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08832" type="#_x0000_t202" id="docshape55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267</w:t>
                    </w:r>
                    <w:r>
                      <w:rPr>
                        <w:rFonts w:ascii="Times New Roman"/>
                        <w:spacing w:val="-5"/>
                      </w:rPr>
                      <w:fldChar w:fldCharType="end"/>
                    </w:r>
                  </w:p>
                </w:txbxContent>
              </v:textbox>
              <w10:wrap type="none"/>
            </v:shape>
          </w:pict>
        </mc:Fallback>
      </mc:AlternateContent>
    </w:r>
  </w:p>
</w:hdr>
</file>

<file path=word/header28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08672">
              <wp:simplePos x="0" y="0"/>
              <wp:positionH relativeFrom="page">
                <wp:posOffset>3732276</wp:posOffset>
              </wp:positionH>
              <wp:positionV relativeFrom="page">
                <wp:posOffset>445854</wp:posOffset>
              </wp:positionV>
              <wp:extent cx="317500" cy="194310"/>
              <wp:effectExtent l="0" t="0" r="0" b="0"/>
              <wp:wrapNone/>
              <wp:docPr id="559" name="Textbox 559"/>
              <wp:cNvGraphicFramePr>
                <a:graphicFrameLocks/>
              </wp:cNvGraphicFramePr>
              <a:graphic>
                <a:graphicData uri="http://schemas.microsoft.com/office/word/2010/wordprocessingShape">
                  <wps:wsp>
                    <wps:cNvPr id="559" name="Textbox 55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07808" type="#_x0000_t202" id="docshape55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268</w:t>
                    </w:r>
                    <w:r>
                      <w:rPr>
                        <w:rFonts w:ascii="Times New Roman"/>
                        <w:spacing w:val="-5"/>
                      </w:rPr>
                      <w:fldChar w:fldCharType="end"/>
                    </w:r>
                  </w:p>
                </w:txbxContent>
              </v:textbox>
              <w10:wrap type="none"/>
            </v:shape>
          </w:pict>
        </mc:Fallback>
      </mc:AlternateContent>
    </w:r>
  </w:p>
</w:hdr>
</file>

<file path=word/header28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09696">
              <wp:simplePos x="0" y="0"/>
              <wp:positionH relativeFrom="page">
                <wp:posOffset>3732276</wp:posOffset>
              </wp:positionH>
              <wp:positionV relativeFrom="page">
                <wp:posOffset>445854</wp:posOffset>
              </wp:positionV>
              <wp:extent cx="317500" cy="194310"/>
              <wp:effectExtent l="0" t="0" r="0" b="0"/>
              <wp:wrapNone/>
              <wp:docPr id="563" name="Textbox 563"/>
              <wp:cNvGraphicFramePr>
                <a:graphicFrameLocks/>
              </wp:cNvGraphicFramePr>
              <a:graphic>
                <a:graphicData uri="http://schemas.microsoft.com/office/word/2010/wordprocessingShape">
                  <wps:wsp>
                    <wps:cNvPr id="563" name="Textbox 56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06784" type="#_x0000_t202" id="docshape56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269</w:t>
                    </w:r>
                    <w:r>
                      <w:rPr>
                        <w:rFonts w:ascii="Times New Roman"/>
                        <w:spacing w:val="-5"/>
                      </w:rPr>
                      <w:fldChar w:fldCharType="end"/>
                    </w:r>
                  </w:p>
                </w:txbxContent>
              </v:textbox>
              <w10:wrap type="none"/>
            </v:shape>
          </w:pict>
        </mc:Fallback>
      </mc:AlternateContent>
    </w:r>
  </w:p>
</w:hdr>
</file>

<file path=word/header28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10720">
              <wp:simplePos x="0" y="0"/>
              <wp:positionH relativeFrom="page">
                <wp:posOffset>3732276</wp:posOffset>
              </wp:positionH>
              <wp:positionV relativeFrom="page">
                <wp:posOffset>445854</wp:posOffset>
              </wp:positionV>
              <wp:extent cx="317500" cy="194310"/>
              <wp:effectExtent l="0" t="0" r="0" b="0"/>
              <wp:wrapNone/>
              <wp:docPr id="565" name="Textbox 565"/>
              <wp:cNvGraphicFramePr>
                <a:graphicFrameLocks/>
              </wp:cNvGraphicFramePr>
              <a:graphic>
                <a:graphicData uri="http://schemas.microsoft.com/office/word/2010/wordprocessingShape">
                  <wps:wsp>
                    <wps:cNvPr id="565" name="Textbox 56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05760" type="#_x0000_t202" id="docshape56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270</w:t>
                    </w:r>
                    <w:r>
                      <w:rPr>
                        <w:rFonts w:ascii="Times New Roman"/>
                        <w:spacing w:val="-5"/>
                      </w:rPr>
                      <w:fldChar w:fldCharType="end"/>
                    </w:r>
                  </w:p>
                </w:txbxContent>
              </v:textbox>
              <w10:wrap type="none"/>
            </v:shape>
          </w:pict>
        </mc:Fallback>
      </mc:AlternateContent>
    </w:r>
  </w:p>
</w:hdr>
</file>

<file path=word/header2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64960">
              <wp:simplePos x="0" y="0"/>
              <wp:positionH relativeFrom="page">
                <wp:posOffset>3771900</wp:posOffset>
              </wp:positionH>
              <wp:positionV relativeFrom="page">
                <wp:posOffset>445854</wp:posOffset>
              </wp:positionV>
              <wp:extent cx="241300" cy="194310"/>
              <wp:effectExtent l="0" t="0" r="0" b="0"/>
              <wp:wrapNone/>
              <wp:docPr id="59" name="Textbox 59"/>
              <wp:cNvGraphicFramePr>
                <a:graphicFrameLocks/>
              </wp:cNvGraphicFramePr>
              <a:graphic>
                <a:graphicData uri="http://schemas.microsoft.com/office/word/2010/wordprocessingShape">
                  <wps:wsp>
                    <wps:cNvPr id="59" name="Textbox 59"/>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51520" type="#_x0000_t202" id="docshape5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39</w:t>
                    </w:r>
                    <w:r>
                      <w:rPr>
                        <w:rFonts w:ascii="Times New Roman"/>
                        <w:spacing w:val="-5"/>
                      </w:rPr>
                      <w:fldChar w:fldCharType="end"/>
                    </w:r>
                  </w:p>
                </w:txbxContent>
              </v:textbox>
              <w10:wrap type="none"/>
            </v:shape>
          </w:pict>
        </mc:Fallback>
      </mc:AlternateContent>
    </w:r>
  </w:p>
</w:hdr>
</file>

<file path=word/header29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11744">
              <wp:simplePos x="0" y="0"/>
              <wp:positionH relativeFrom="page">
                <wp:posOffset>3732276</wp:posOffset>
              </wp:positionH>
              <wp:positionV relativeFrom="page">
                <wp:posOffset>445854</wp:posOffset>
              </wp:positionV>
              <wp:extent cx="317500" cy="194310"/>
              <wp:effectExtent l="0" t="0" r="0" b="0"/>
              <wp:wrapNone/>
              <wp:docPr id="567" name="Textbox 567"/>
              <wp:cNvGraphicFramePr>
                <a:graphicFrameLocks/>
              </wp:cNvGraphicFramePr>
              <a:graphic>
                <a:graphicData uri="http://schemas.microsoft.com/office/word/2010/wordprocessingShape">
                  <wps:wsp>
                    <wps:cNvPr id="567" name="Textbox 56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04736" type="#_x0000_t202" id="docshape56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271</w:t>
                    </w:r>
                    <w:r>
                      <w:rPr>
                        <w:rFonts w:ascii="Times New Roman"/>
                        <w:spacing w:val="-5"/>
                      </w:rPr>
                      <w:fldChar w:fldCharType="end"/>
                    </w:r>
                  </w:p>
                </w:txbxContent>
              </v:textbox>
              <w10:wrap type="none"/>
            </v:shape>
          </w:pict>
        </mc:Fallback>
      </mc:AlternateContent>
    </w:r>
  </w:p>
</w:hdr>
</file>

<file path=word/header29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12768">
              <wp:simplePos x="0" y="0"/>
              <wp:positionH relativeFrom="page">
                <wp:posOffset>3732276</wp:posOffset>
              </wp:positionH>
              <wp:positionV relativeFrom="page">
                <wp:posOffset>445854</wp:posOffset>
              </wp:positionV>
              <wp:extent cx="317500" cy="194310"/>
              <wp:effectExtent l="0" t="0" r="0" b="0"/>
              <wp:wrapNone/>
              <wp:docPr id="569" name="Textbox 569"/>
              <wp:cNvGraphicFramePr>
                <a:graphicFrameLocks/>
              </wp:cNvGraphicFramePr>
              <a:graphic>
                <a:graphicData uri="http://schemas.microsoft.com/office/word/2010/wordprocessingShape">
                  <wps:wsp>
                    <wps:cNvPr id="569" name="Textbox 56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03712" type="#_x0000_t202" id="docshape56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272</w:t>
                    </w:r>
                    <w:r>
                      <w:rPr>
                        <w:rFonts w:ascii="Times New Roman"/>
                        <w:spacing w:val="-5"/>
                      </w:rPr>
                      <w:fldChar w:fldCharType="end"/>
                    </w:r>
                  </w:p>
                </w:txbxContent>
              </v:textbox>
              <w10:wrap type="none"/>
            </v:shape>
          </w:pict>
        </mc:Fallback>
      </mc:AlternateContent>
    </w:r>
  </w:p>
</w:hdr>
</file>

<file path=word/header29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13792">
              <wp:simplePos x="0" y="0"/>
              <wp:positionH relativeFrom="page">
                <wp:posOffset>3732276</wp:posOffset>
              </wp:positionH>
              <wp:positionV relativeFrom="page">
                <wp:posOffset>445854</wp:posOffset>
              </wp:positionV>
              <wp:extent cx="317500" cy="194310"/>
              <wp:effectExtent l="0" t="0" r="0" b="0"/>
              <wp:wrapNone/>
              <wp:docPr id="572" name="Textbox 572"/>
              <wp:cNvGraphicFramePr>
                <a:graphicFrameLocks/>
              </wp:cNvGraphicFramePr>
              <a:graphic>
                <a:graphicData uri="http://schemas.microsoft.com/office/word/2010/wordprocessingShape">
                  <wps:wsp>
                    <wps:cNvPr id="572" name="Textbox 57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02688" type="#_x0000_t202" id="docshape57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273</w:t>
                    </w:r>
                    <w:r>
                      <w:rPr>
                        <w:rFonts w:ascii="Times New Roman"/>
                        <w:spacing w:val="-5"/>
                      </w:rPr>
                      <w:fldChar w:fldCharType="end"/>
                    </w:r>
                  </w:p>
                </w:txbxContent>
              </v:textbox>
              <w10:wrap type="none"/>
            </v:shape>
          </w:pict>
        </mc:Fallback>
      </mc:AlternateContent>
    </w:r>
  </w:p>
</w:hdr>
</file>

<file path=word/header29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14816">
              <wp:simplePos x="0" y="0"/>
              <wp:positionH relativeFrom="page">
                <wp:posOffset>3732276</wp:posOffset>
              </wp:positionH>
              <wp:positionV relativeFrom="page">
                <wp:posOffset>445854</wp:posOffset>
              </wp:positionV>
              <wp:extent cx="317500" cy="194310"/>
              <wp:effectExtent l="0" t="0" r="0" b="0"/>
              <wp:wrapNone/>
              <wp:docPr id="574" name="Textbox 574"/>
              <wp:cNvGraphicFramePr>
                <a:graphicFrameLocks/>
              </wp:cNvGraphicFramePr>
              <a:graphic>
                <a:graphicData uri="http://schemas.microsoft.com/office/word/2010/wordprocessingShape">
                  <wps:wsp>
                    <wps:cNvPr id="574" name="Textbox 57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01664" type="#_x0000_t202" id="docshape57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274</w:t>
                    </w:r>
                    <w:r>
                      <w:rPr>
                        <w:rFonts w:ascii="Times New Roman"/>
                        <w:spacing w:val="-5"/>
                      </w:rPr>
                      <w:fldChar w:fldCharType="end"/>
                    </w:r>
                  </w:p>
                </w:txbxContent>
              </v:textbox>
              <w10:wrap type="none"/>
            </v:shape>
          </w:pict>
        </mc:Fallback>
      </mc:AlternateContent>
    </w:r>
  </w:p>
</w:hdr>
</file>

<file path=word/header29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15840">
              <wp:simplePos x="0" y="0"/>
              <wp:positionH relativeFrom="page">
                <wp:posOffset>3732276</wp:posOffset>
              </wp:positionH>
              <wp:positionV relativeFrom="page">
                <wp:posOffset>445854</wp:posOffset>
              </wp:positionV>
              <wp:extent cx="317500" cy="194310"/>
              <wp:effectExtent l="0" t="0" r="0" b="0"/>
              <wp:wrapNone/>
              <wp:docPr id="576" name="Textbox 576"/>
              <wp:cNvGraphicFramePr>
                <a:graphicFrameLocks/>
              </wp:cNvGraphicFramePr>
              <a:graphic>
                <a:graphicData uri="http://schemas.microsoft.com/office/word/2010/wordprocessingShape">
                  <wps:wsp>
                    <wps:cNvPr id="576" name="Textbox 57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400640" type="#_x0000_t202" id="docshape57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275</w:t>
                    </w:r>
                    <w:r>
                      <w:rPr>
                        <w:rFonts w:ascii="Times New Roman"/>
                        <w:spacing w:val="-5"/>
                      </w:rPr>
                      <w:fldChar w:fldCharType="end"/>
                    </w:r>
                  </w:p>
                </w:txbxContent>
              </v:textbox>
              <w10:wrap type="none"/>
            </v:shape>
          </w:pict>
        </mc:Fallback>
      </mc:AlternateContent>
    </w:r>
  </w:p>
</w:hdr>
</file>

<file path=word/header29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16864">
              <wp:simplePos x="0" y="0"/>
              <wp:positionH relativeFrom="page">
                <wp:posOffset>3732276</wp:posOffset>
              </wp:positionH>
              <wp:positionV relativeFrom="page">
                <wp:posOffset>445854</wp:posOffset>
              </wp:positionV>
              <wp:extent cx="317500" cy="194310"/>
              <wp:effectExtent l="0" t="0" r="0" b="0"/>
              <wp:wrapNone/>
              <wp:docPr id="578" name="Textbox 578"/>
              <wp:cNvGraphicFramePr>
                <a:graphicFrameLocks/>
              </wp:cNvGraphicFramePr>
              <a:graphic>
                <a:graphicData uri="http://schemas.microsoft.com/office/word/2010/wordprocessingShape">
                  <wps:wsp>
                    <wps:cNvPr id="578" name="Textbox 578"/>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99616" type="#_x0000_t202" id="docshape576"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276</w:t>
                    </w:r>
                    <w:r>
                      <w:rPr>
                        <w:rFonts w:ascii="Times New Roman"/>
                        <w:spacing w:val="-5"/>
                      </w:rPr>
                      <w:fldChar w:fldCharType="end"/>
                    </w:r>
                  </w:p>
                </w:txbxContent>
              </v:textbox>
              <w10:wrap type="none"/>
            </v:shape>
          </w:pict>
        </mc:Fallback>
      </mc:AlternateContent>
    </w:r>
  </w:p>
</w:hdr>
</file>

<file path=word/header29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17888">
              <wp:simplePos x="0" y="0"/>
              <wp:positionH relativeFrom="page">
                <wp:posOffset>3732276</wp:posOffset>
              </wp:positionH>
              <wp:positionV relativeFrom="page">
                <wp:posOffset>445854</wp:posOffset>
              </wp:positionV>
              <wp:extent cx="317500" cy="194310"/>
              <wp:effectExtent l="0" t="0" r="0" b="0"/>
              <wp:wrapNone/>
              <wp:docPr id="580" name="Textbox 580"/>
              <wp:cNvGraphicFramePr>
                <a:graphicFrameLocks/>
              </wp:cNvGraphicFramePr>
              <a:graphic>
                <a:graphicData uri="http://schemas.microsoft.com/office/word/2010/wordprocessingShape">
                  <wps:wsp>
                    <wps:cNvPr id="580" name="Textbox 58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98592" type="#_x0000_t202" id="docshape57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277</w:t>
                    </w:r>
                    <w:r>
                      <w:rPr>
                        <w:rFonts w:ascii="Times New Roman"/>
                        <w:spacing w:val="-5"/>
                      </w:rPr>
                      <w:fldChar w:fldCharType="end"/>
                    </w:r>
                  </w:p>
                </w:txbxContent>
              </v:textbox>
              <w10:wrap type="none"/>
            </v:shape>
          </w:pict>
        </mc:Fallback>
      </mc:AlternateContent>
    </w:r>
  </w:p>
</w:hdr>
</file>

<file path=word/header29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18912">
              <wp:simplePos x="0" y="0"/>
              <wp:positionH relativeFrom="page">
                <wp:posOffset>3732276</wp:posOffset>
              </wp:positionH>
              <wp:positionV relativeFrom="page">
                <wp:posOffset>445854</wp:posOffset>
              </wp:positionV>
              <wp:extent cx="317500" cy="194310"/>
              <wp:effectExtent l="0" t="0" r="0" b="0"/>
              <wp:wrapNone/>
              <wp:docPr id="582" name="Textbox 582"/>
              <wp:cNvGraphicFramePr>
                <a:graphicFrameLocks/>
              </wp:cNvGraphicFramePr>
              <a:graphic>
                <a:graphicData uri="http://schemas.microsoft.com/office/word/2010/wordprocessingShape">
                  <wps:wsp>
                    <wps:cNvPr id="582" name="Textbox 58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97568" type="#_x0000_t202" id="docshape58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278</w:t>
                    </w:r>
                    <w:r>
                      <w:rPr>
                        <w:rFonts w:ascii="Times New Roman"/>
                        <w:spacing w:val="-5"/>
                      </w:rPr>
                      <w:fldChar w:fldCharType="end"/>
                    </w:r>
                  </w:p>
                </w:txbxContent>
              </v:textbox>
              <w10:wrap type="none"/>
            </v:shape>
          </w:pict>
        </mc:Fallback>
      </mc:AlternateContent>
    </w:r>
  </w:p>
</w:hdr>
</file>

<file path=word/header29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19936">
              <wp:simplePos x="0" y="0"/>
              <wp:positionH relativeFrom="page">
                <wp:posOffset>3732276</wp:posOffset>
              </wp:positionH>
              <wp:positionV relativeFrom="page">
                <wp:posOffset>445854</wp:posOffset>
              </wp:positionV>
              <wp:extent cx="317500" cy="194310"/>
              <wp:effectExtent l="0" t="0" r="0" b="0"/>
              <wp:wrapNone/>
              <wp:docPr id="584" name="Textbox 584"/>
              <wp:cNvGraphicFramePr>
                <a:graphicFrameLocks/>
              </wp:cNvGraphicFramePr>
              <a:graphic>
                <a:graphicData uri="http://schemas.microsoft.com/office/word/2010/wordprocessingShape">
                  <wps:wsp>
                    <wps:cNvPr id="584" name="Textbox 584"/>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96544" type="#_x0000_t202" id="docshape58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279</w:t>
                    </w:r>
                    <w:r>
                      <w:rPr>
                        <w:rFonts w:ascii="Times New Roman"/>
                        <w:spacing w:val="-5"/>
                      </w:rPr>
                      <w:fldChar w:fldCharType="end"/>
                    </w:r>
                  </w:p>
                </w:txbxContent>
              </v:textbox>
              <w10:wrap type="none"/>
            </v:shape>
          </w:pict>
        </mc:Fallback>
      </mc:AlternateContent>
    </w:r>
  </w:p>
</w:hdr>
</file>

<file path=word/header29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20960">
              <wp:simplePos x="0" y="0"/>
              <wp:positionH relativeFrom="page">
                <wp:posOffset>3732276</wp:posOffset>
              </wp:positionH>
              <wp:positionV relativeFrom="page">
                <wp:posOffset>445854</wp:posOffset>
              </wp:positionV>
              <wp:extent cx="317500" cy="194310"/>
              <wp:effectExtent l="0" t="0" r="0" b="0"/>
              <wp:wrapNone/>
              <wp:docPr id="586" name="Textbox 586"/>
              <wp:cNvGraphicFramePr>
                <a:graphicFrameLocks/>
              </wp:cNvGraphicFramePr>
              <a:graphic>
                <a:graphicData uri="http://schemas.microsoft.com/office/word/2010/wordprocessingShape">
                  <wps:wsp>
                    <wps:cNvPr id="586" name="Textbox 58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95520" type="#_x0000_t202" id="docshape58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280</w:t>
                    </w:r>
                    <w:r>
                      <w:rPr>
                        <w:rFonts w:ascii="Times New Roman"/>
                        <w:spacing w:val="-5"/>
                      </w:rPr>
                      <w:fldChar w:fldCharType="end"/>
                    </w:r>
                  </w:p>
                </w:txbxContent>
              </v:textbox>
              <w10:wrap type="none"/>
            </v:shap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29120">
              <wp:simplePos x="0" y="0"/>
              <wp:positionH relativeFrom="page">
                <wp:posOffset>3808476</wp:posOffset>
              </wp:positionH>
              <wp:positionV relativeFrom="page">
                <wp:posOffset>445854</wp:posOffset>
              </wp:positionV>
              <wp:extent cx="165100" cy="194310"/>
              <wp:effectExtent l="0" t="0" r="0" b="0"/>
              <wp:wrapNone/>
              <wp:docPr id="7" name="Textbox 7"/>
              <wp:cNvGraphicFramePr>
                <a:graphicFrameLocks/>
              </wp:cNvGraphicFramePr>
              <a:graphic>
                <a:graphicData uri="http://schemas.microsoft.com/office/word/2010/wordprocessingShape">
                  <wps:wsp>
                    <wps:cNvPr id="7" name="Textbox 7"/>
                    <wps:cNvSpPr txBox="1"/>
                    <wps:spPr>
                      <a:xfrm>
                        <a:off x="0" y="0"/>
                        <a:ext cx="165100" cy="194310"/>
                      </a:xfrm>
                      <a:prstGeom prst="rect">
                        <a:avLst/>
                      </a:prstGeom>
                    </wps:spPr>
                    <wps:txbx>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4</w:t>
                          </w:r>
                          <w:r>
                            <w:rPr>
                              <w:rFonts w:ascii="Times New Roman"/>
                              <w:spacing w:val="-10"/>
                            </w:rPr>
                            <w:fldChar w:fldCharType="end"/>
                          </w:r>
                        </w:p>
                      </w:txbxContent>
                    </wps:txbx>
                    <wps:bodyPr wrap="square" lIns="0" tIns="0" rIns="0" bIns="0" rtlCol="0">
                      <a:noAutofit/>
                    </wps:bodyPr>
                  </wps:wsp>
                </a:graphicData>
              </a:graphic>
            </wp:anchor>
          </w:drawing>
        </mc:Choice>
        <mc:Fallback>
          <w:pict>
            <v:shape style="position:absolute;margin-left:299.880005pt;margin-top:35.10664pt;width:13pt;height:15.3pt;mso-position-horizontal-relative:page;mso-position-vertical-relative:page;z-index:-36687360" type="#_x0000_t202" id="docshape7" filled="false" stroked="false">
              <v:textbox inset="0,0,0,0">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4</w:t>
                    </w:r>
                    <w:r>
                      <w:rPr>
                        <w:rFonts w:ascii="Times New Roman"/>
                        <w:spacing w:val="-10"/>
                      </w:rPr>
                      <w:fldChar w:fldCharType="end"/>
                    </w:r>
                  </w:p>
                </w:txbxContent>
              </v:textbox>
              <w10:wrap type="none"/>
            </v:shape>
          </w:pict>
        </mc:Fallback>
      </mc:AlternateContent>
    </w:r>
  </w:p>
</w:hdr>
</file>

<file path=word/header3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65984">
              <wp:simplePos x="0" y="0"/>
              <wp:positionH relativeFrom="page">
                <wp:posOffset>3771900</wp:posOffset>
              </wp:positionH>
              <wp:positionV relativeFrom="page">
                <wp:posOffset>445854</wp:posOffset>
              </wp:positionV>
              <wp:extent cx="241300" cy="194310"/>
              <wp:effectExtent l="0" t="0" r="0" b="0"/>
              <wp:wrapNone/>
              <wp:docPr id="61" name="Textbox 61"/>
              <wp:cNvGraphicFramePr>
                <a:graphicFrameLocks/>
              </wp:cNvGraphicFramePr>
              <a:graphic>
                <a:graphicData uri="http://schemas.microsoft.com/office/word/2010/wordprocessingShape">
                  <wps:wsp>
                    <wps:cNvPr id="61" name="Textbox 61"/>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50496" type="#_x0000_t202" id="docshape6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40</w:t>
                    </w:r>
                    <w:r>
                      <w:rPr>
                        <w:rFonts w:ascii="Times New Roman"/>
                        <w:spacing w:val="-5"/>
                      </w:rPr>
                      <w:fldChar w:fldCharType="end"/>
                    </w:r>
                  </w:p>
                </w:txbxContent>
              </v:textbox>
              <w10:wrap type="none"/>
            </v:shape>
          </w:pict>
        </mc:Fallback>
      </mc:AlternateContent>
    </w:r>
  </w:p>
</w:hdr>
</file>

<file path=word/header30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21984">
              <wp:simplePos x="0" y="0"/>
              <wp:positionH relativeFrom="page">
                <wp:posOffset>3732276</wp:posOffset>
              </wp:positionH>
              <wp:positionV relativeFrom="page">
                <wp:posOffset>445854</wp:posOffset>
              </wp:positionV>
              <wp:extent cx="317500" cy="194310"/>
              <wp:effectExtent l="0" t="0" r="0" b="0"/>
              <wp:wrapNone/>
              <wp:docPr id="602" name="Textbox 602"/>
              <wp:cNvGraphicFramePr>
                <a:graphicFrameLocks/>
              </wp:cNvGraphicFramePr>
              <a:graphic>
                <a:graphicData uri="http://schemas.microsoft.com/office/word/2010/wordprocessingShape">
                  <wps:wsp>
                    <wps:cNvPr id="602" name="Textbox 60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94496" type="#_x0000_t202" id="docshape600"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281</w:t>
                    </w:r>
                    <w:r>
                      <w:rPr>
                        <w:rFonts w:ascii="Times New Roman"/>
                        <w:spacing w:val="-5"/>
                      </w:rPr>
                      <w:fldChar w:fldCharType="end"/>
                    </w:r>
                  </w:p>
                </w:txbxContent>
              </v:textbox>
              <w10:wrap type="none"/>
            </v:shape>
          </w:pict>
        </mc:Fallback>
      </mc:AlternateContent>
    </w:r>
  </w:p>
</w:hdr>
</file>

<file path=word/header30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23008">
              <wp:simplePos x="0" y="0"/>
              <wp:positionH relativeFrom="page">
                <wp:posOffset>3732276</wp:posOffset>
              </wp:positionH>
              <wp:positionV relativeFrom="page">
                <wp:posOffset>445854</wp:posOffset>
              </wp:positionV>
              <wp:extent cx="317500" cy="194310"/>
              <wp:effectExtent l="0" t="0" r="0" b="0"/>
              <wp:wrapNone/>
              <wp:docPr id="609" name="Textbox 609"/>
              <wp:cNvGraphicFramePr>
                <a:graphicFrameLocks/>
              </wp:cNvGraphicFramePr>
              <a:graphic>
                <a:graphicData uri="http://schemas.microsoft.com/office/word/2010/wordprocessingShape">
                  <wps:wsp>
                    <wps:cNvPr id="609" name="Textbox 60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93472" type="#_x0000_t202" id="docshape60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282</w:t>
                    </w:r>
                    <w:r>
                      <w:rPr>
                        <w:rFonts w:ascii="Times New Roman"/>
                        <w:spacing w:val="-5"/>
                      </w:rPr>
                      <w:fldChar w:fldCharType="end"/>
                    </w:r>
                  </w:p>
                </w:txbxContent>
              </v:textbox>
              <w10:wrap type="none"/>
            </v:shape>
          </w:pict>
        </mc:Fallback>
      </mc:AlternateContent>
    </w:r>
  </w:p>
</w:hdr>
</file>

<file path=word/header30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24032">
              <wp:simplePos x="0" y="0"/>
              <wp:positionH relativeFrom="page">
                <wp:posOffset>3732276</wp:posOffset>
              </wp:positionH>
              <wp:positionV relativeFrom="page">
                <wp:posOffset>445854</wp:posOffset>
              </wp:positionV>
              <wp:extent cx="317500" cy="194310"/>
              <wp:effectExtent l="0" t="0" r="0" b="0"/>
              <wp:wrapNone/>
              <wp:docPr id="611" name="Textbox 611"/>
              <wp:cNvGraphicFramePr>
                <a:graphicFrameLocks/>
              </wp:cNvGraphicFramePr>
              <a:graphic>
                <a:graphicData uri="http://schemas.microsoft.com/office/word/2010/wordprocessingShape">
                  <wps:wsp>
                    <wps:cNvPr id="611" name="Textbox 61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92448" type="#_x0000_t202" id="docshape60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283</w:t>
                    </w:r>
                    <w:r>
                      <w:rPr>
                        <w:rFonts w:ascii="Times New Roman"/>
                        <w:spacing w:val="-5"/>
                      </w:rPr>
                      <w:fldChar w:fldCharType="end"/>
                    </w:r>
                  </w:p>
                </w:txbxContent>
              </v:textbox>
              <w10:wrap type="none"/>
            </v:shape>
          </w:pict>
        </mc:Fallback>
      </mc:AlternateContent>
    </w:r>
  </w:p>
</w:hdr>
</file>

<file path=word/header30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25056">
              <wp:simplePos x="0" y="0"/>
              <wp:positionH relativeFrom="page">
                <wp:posOffset>3732276</wp:posOffset>
              </wp:positionH>
              <wp:positionV relativeFrom="page">
                <wp:posOffset>445854</wp:posOffset>
              </wp:positionV>
              <wp:extent cx="317500" cy="194310"/>
              <wp:effectExtent l="0" t="0" r="0" b="0"/>
              <wp:wrapNone/>
              <wp:docPr id="613" name="Textbox 613"/>
              <wp:cNvGraphicFramePr>
                <a:graphicFrameLocks/>
              </wp:cNvGraphicFramePr>
              <a:graphic>
                <a:graphicData uri="http://schemas.microsoft.com/office/word/2010/wordprocessingShape">
                  <wps:wsp>
                    <wps:cNvPr id="613" name="Textbox 61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91424" type="#_x0000_t202" id="docshape61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284</w:t>
                    </w:r>
                    <w:r>
                      <w:rPr>
                        <w:rFonts w:ascii="Times New Roman"/>
                        <w:spacing w:val="-5"/>
                      </w:rPr>
                      <w:fldChar w:fldCharType="end"/>
                    </w:r>
                  </w:p>
                </w:txbxContent>
              </v:textbox>
              <w10:wrap type="none"/>
            </v:shape>
          </w:pict>
        </mc:Fallback>
      </mc:AlternateContent>
    </w:r>
  </w:p>
</w:hdr>
</file>

<file path=word/header30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26080">
              <wp:simplePos x="0" y="0"/>
              <wp:positionH relativeFrom="page">
                <wp:posOffset>3732276</wp:posOffset>
              </wp:positionH>
              <wp:positionV relativeFrom="page">
                <wp:posOffset>445854</wp:posOffset>
              </wp:positionV>
              <wp:extent cx="317500" cy="194310"/>
              <wp:effectExtent l="0" t="0" r="0" b="0"/>
              <wp:wrapNone/>
              <wp:docPr id="615" name="Textbox 615"/>
              <wp:cNvGraphicFramePr>
                <a:graphicFrameLocks/>
              </wp:cNvGraphicFramePr>
              <a:graphic>
                <a:graphicData uri="http://schemas.microsoft.com/office/word/2010/wordprocessingShape">
                  <wps:wsp>
                    <wps:cNvPr id="615" name="Textbox 61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90400" type="#_x0000_t202" id="docshape61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285</w:t>
                    </w:r>
                    <w:r>
                      <w:rPr>
                        <w:rFonts w:ascii="Times New Roman"/>
                        <w:spacing w:val="-5"/>
                      </w:rPr>
                      <w:fldChar w:fldCharType="end"/>
                    </w:r>
                  </w:p>
                </w:txbxContent>
              </v:textbox>
              <w10:wrap type="none"/>
            </v:shape>
          </w:pict>
        </mc:Fallback>
      </mc:AlternateContent>
    </w:r>
  </w:p>
</w:hdr>
</file>

<file path=word/header30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27104">
              <wp:simplePos x="0" y="0"/>
              <wp:positionH relativeFrom="page">
                <wp:posOffset>3732276</wp:posOffset>
              </wp:positionH>
              <wp:positionV relativeFrom="page">
                <wp:posOffset>445854</wp:posOffset>
              </wp:positionV>
              <wp:extent cx="317500" cy="194310"/>
              <wp:effectExtent l="0" t="0" r="0" b="0"/>
              <wp:wrapNone/>
              <wp:docPr id="617" name="Textbox 617"/>
              <wp:cNvGraphicFramePr>
                <a:graphicFrameLocks/>
              </wp:cNvGraphicFramePr>
              <a:graphic>
                <a:graphicData uri="http://schemas.microsoft.com/office/word/2010/wordprocessingShape">
                  <wps:wsp>
                    <wps:cNvPr id="617" name="Textbox 61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89376" type="#_x0000_t202" id="docshape61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286</w:t>
                    </w:r>
                    <w:r>
                      <w:rPr>
                        <w:rFonts w:ascii="Times New Roman"/>
                        <w:spacing w:val="-5"/>
                      </w:rPr>
                      <w:fldChar w:fldCharType="end"/>
                    </w:r>
                  </w:p>
                </w:txbxContent>
              </v:textbox>
              <w10:wrap type="none"/>
            </v:shape>
          </w:pict>
        </mc:Fallback>
      </mc:AlternateContent>
    </w:r>
  </w:p>
</w:hdr>
</file>

<file path=word/header30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28128">
              <wp:simplePos x="0" y="0"/>
              <wp:positionH relativeFrom="page">
                <wp:posOffset>3732276</wp:posOffset>
              </wp:positionH>
              <wp:positionV relativeFrom="page">
                <wp:posOffset>445854</wp:posOffset>
              </wp:positionV>
              <wp:extent cx="317500" cy="194310"/>
              <wp:effectExtent l="0" t="0" r="0" b="0"/>
              <wp:wrapNone/>
              <wp:docPr id="619" name="Textbox 619"/>
              <wp:cNvGraphicFramePr>
                <a:graphicFrameLocks/>
              </wp:cNvGraphicFramePr>
              <a:graphic>
                <a:graphicData uri="http://schemas.microsoft.com/office/word/2010/wordprocessingShape">
                  <wps:wsp>
                    <wps:cNvPr id="619" name="Textbox 61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88352" type="#_x0000_t202" id="docshape61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287</w:t>
                    </w:r>
                    <w:r>
                      <w:rPr>
                        <w:rFonts w:ascii="Times New Roman"/>
                        <w:spacing w:val="-5"/>
                      </w:rPr>
                      <w:fldChar w:fldCharType="end"/>
                    </w:r>
                  </w:p>
                </w:txbxContent>
              </v:textbox>
              <w10:wrap type="none"/>
            </v:shape>
          </w:pict>
        </mc:Fallback>
      </mc:AlternateContent>
    </w:r>
  </w:p>
</w:hdr>
</file>

<file path=word/header30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29152">
              <wp:simplePos x="0" y="0"/>
              <wp:positionH relativeFrom="page">
                <wp:posOffset>3732276</wp:posOffset>
              </wp:positionH>
              <wp:positionV relativeFrom="page">
                <wp:posOffset>445854</wp:posOffset>
              </wp:positionV>
              <wp:extent cx="317500" cy="194310"/>
              <wp:effectExtent l="0" t="0" r="0" b="0"/>
              <wp:wrapNone/>
              <wp:docPr id="621" name="Textbox 621"/>
              <wp:cNvGraphicFramePr>
                <a:graphicFrameLocks/>
              </wp:cNvGraphicFramePr>
              <a:graphic>
                <a:graphicData uri="http://schemas.microsoft.com/office/word/2010/wordprocessingShape">
                  <wps:wsp>
                    <wps:cNvPr id="621" name="Textbox 62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87328" type="#_x0000_t202" id="docshape61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288</w:t>
                    </w:r>
                    <w:r>
                      <w:rPr>
                        <w:rFonts w:ascii="Times New Roman"/>
                        <w:spacing w:val="-5"/>
                      </w:rPr>
                      <w:fldChar w:fldCharType="end"/>
                    </w:r>
                  </w:p>
                </w:txbxContent>
              </v:textbox>
              <w10:wrap type="none"/>
            </v:shape>
          </w:pict>
        </mc:Fallback>
      </mc:AlternateContent>
    </w:r>
  </w:p>
</w:hdr>
</file>

<file path=word/header30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30176">
              <wp:simplePos x="0" y="0"/>
              <wp:positionH relativeFrom="page">
                <wp:posOffset>3732276</wp:posOffset>
              </wp:positionH>
              <wp:positionV relativeFrom="page">
                <wp:posOffset>445854</wp:posOffset>
              </wp:positionV>
              <wp:extent cx="317500" cy="194310"/>
              <wp:effectExtent l="0" t="0" r="0" b="0"/>
              <wp:wrapNone/>
              <wp:docPr id="623" name="Textbox 623"/>
              <wp:cNvGraphicFramePr>
                <a:graphicFrameLocks/>
              </wp:cNvGraphicFramePr>
              <a:graphic>
                <a:graphicData uri="http://schemas.microsoft.com/office/word/2010/wordprocessingShape">
                  <wps:wsp>
                    <wps:cNvPr id="623" name="Textbox 62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86304" type="#_x0000_t202" id="docshape62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289</w:t>
                    </w:r>
                    <w:r>
                      <w:rPr>
                        <w:rFonts w:ascii="Times New Roman"/>
                        <w:spacing w:val="-5"/>
                      </w:rPr>
                      <w:fldChar w:fldCharType="end"/>
                    </w:r>
                  </w:p>
                </w:txbxContent>
              </v:textbox>
              <w10:wrap type="none"/>
            </v:shape>
          </w:pict>
        </mc:Fallback>
      </mc:AlternateContent>
    </w:r>
  </w:p>
</w:hdr>
</file>

<file path=word/header30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31200">
              <wp:simplePos x="0" y="0"/>
              <wp:positionH relativeFrom="page">
                <wp:posOffset>3732276</wp:posOffset>
              </wp:positionH>
              <wp:positionV relativeFrom="page">
                <wp:posOffset>445854</wp:posOffset>
              </wp:positionV>
              <wp:extent cx="317500" cy="194310"/>
              <wp:effectExtent l="0" t="0" r="0" b="0"/>
              <wp:wrapNone/>
              <wp:docPr id="625" name="Textbox 625"/>
              <wp:cNvGraphicFramePr>
                <a:graphicFrameLocks/>
              </wp:cNvGraphicFramePr>
              <a:graphic>
                <a:graphicData uri="http://schemas.microsoft.com/office/word/2010/wordprocessingShape">
                  <wps:wsp>
                    <wps:cNvPr id="625" name="Textbox 62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85280" type="#_x0000_t202" id="docshape62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290</w:t>
                    </w:r>
                    <w:r>
                      <w:rPr>
                        <w:rFonts w:ascii="Times New Roman"/>
                        <w:spacing w:val="-5"/>
                      </w:rPr>
                      <w:fldChar w:fldCharType="end"/>
                    </w:r>
                  </w:p>
                </w:txbxContent>
              </v:textbox>
              <w10:wrap type="none"/>
            </v:shape>
          </w:pict>
        </mc:Fallback>
      </mc:AlternateContent>
    </w:r>
  </w:p>
</w:hdr>
</file>

<file path=word/header3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67008">
              <wp:simplePos x="0" y="0"/>
              <wp:positionH relativeFrom="page">
                <wp:posOffset>3771900</wp:posOffset>
              </wp:positionH>
              <wp:positionV relativeFrom="page">
                <wp:posOffset>445854</wp:posOffset>
              </wp:positionV>
              <wp:extent cx="241300" cy="194310"/>
              <wp:effectExtent l="0" t="0" r="0" b="0"/>
              <wp:wrapNone/>
              <wp:docPr id="63" name="Textbox 63"/>
              <wp:cNvGraphicFramePr>
                <a:graphicFrameLocks/>
              </wp:cNvGraphicFramePr>
              <a:graphic>
                <a:graphicData uri="http://schemas.microsoft.com/office/word/2010/wordprocessingShape">
                  <wps:wsp>
                    <wps:cNvPr id="63" name="Textbox 63"/>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49472" type="#_x0000_t202" id="docshape6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41</w:t>
                    </w:r>
                    <w:r>
                      <w:rPr>
                        <w:rFonts w:ascii="Times New Roman"/>
                        <w:spacing w:val="-5"/>
                      </w:rPr>
                      <w:fldChar w:fldCharType="end"/>
                    </w:r>
                  </w:p>
                </w:txbxContent>
              </v:textbox>
              <w10:wrap type="none"/>
            </v:shape>
          </w:pict>
        </mc:Fallback>
      </mc:AlternateContent>
    </w:r>
  </w:p>
</w:hdr>
</file>

<file path=word/header3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32224">
              <wp:simplePos x="0" y="0"/>
              <wp:positionH relativeFrom="page">
                <wp:posOffset>3732276</wp:posOffset>
              </wp:positionH>
              <wp:positionV relativeFrom="page">
                <wp:posOffset>445854</wp:posOffset>
              </wp:positionV>
              <wp:extent cx="317500" cy="194310"/>
              <wp:effectExtent l="0" t="0" r="0" b="0"/>
              <wp:wrapNone/>
              <wp:docPr id="627" name="Textbox 627"/>
              <wp:cNvGraphicFramePr>
                <a:graphicFrameLocks/>
              </wp:cNvGraphicFramePr>
              <a:graphic>
                <a:graphicData uri="http://schemas.microsoft.com/office/word/2010/wordprocessingShape">
                  <wps:wsp>
                    <wps:cNvPr id="627" name="Textbox 62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84256" type="#_x0000_t202" id="docshape62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291</w:t>
                    </w:r>
                    <w:r>
                      <w:rPr>
                        <w:rFonts w:ascii="Times New Roman"/>
                        <w:spacing w:val="-5"/>
                      </w:rPr>
                      <w:fldChar w:fldCharType="end"/>
                    </w:r>
                  </w:p>
                </w:txbxContent>
              </v:textbox>
              <w10:wrap type="none"/>
            </v:shape>
          </w:pict>
        </mc:Fallback>
      </mc:AlternateContent>
    </w:r>
  </w:p>
</w:hdr>
</file>

<file path=word/header3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33248">
              <wp:simplePos x="0" y="0"/>
              <wp:positionH relativeFrom="page">
                <wp:posOffset>3732276</wp:posOffset>
              </wp:positionH>
              <wp:positionV relativeFrom="page">
                <wp:posOffset>445854</wp:posOffset>
              </wp:positionV>
              <wp:extent cx="317500" cy="194310"/>
              <wp:effectExtent l="0" t="0" r="0" b="0"/>
              <wp:wrapNone/>
              <wp:docPr id="629" name="Textbox 629"/>
              <wp:cNvGraphicFramePr>
                <a:graphicFrameLocks/>
              </wp:cNvGraphicFramePr>
              <a:graphic>
                <a:graphicData uri="http://schemas.microsoft.com/office/word/2010/wordprocessingShape">
                  <wps:wsp>
                    <wps:cNvPr id="629" name="Textbox 62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83232" type="#_x0000_t202" id="docshape62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292</w:t>
                    </w:r>
                    <w:r>
                      <w:rPr>
                        <w:rFonts w:ascii="Times New Roman"/>
                        <w:spacing w:val="-5"/>
                      </w:rPr>
                      <w:fldChar w:fldCharType="end"/>
                    </w:r>
                  </w:p>
                </w:txbxContent>
              </v:textbox>
              <w10:wrap type="none"/>
            </v:shape>
          </w:pict>
        </mc:Fallback>
      </mc:AlternateContent>
    </w:r>
  </w:p>
</w:hdr>
</file>

<file path=word/header3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34272">
              <wp:simplePos x="0" y="0"/>
              <wp:positionH relativeFrom="page">
                <wp:posOffset>3732276</wp:posOffset>
              </wp:positionH>
              <wp:positionV relativeFrom="page">
                <wp:posOffset>445854</wp:posOffset>
              </wp:positionV>
              <wp:extent cx="317500" cy="194310"/>
              <wp:effectExtent l="0" t="0" r="0" b="0"/>
              <wp:wrapNone/>
              <wp:docPr id="631" name="Textbox 631"/>
              <wp:cNvGraphicFramePr>
                <a:graphicFrameLocks/>
              </wp:cNvGraphicFramePr>
              <a:graphic>
                <a:graphicData uri="http://schemas.microsoft.com/office/word/2010/wordprocessingShape">
                  <wps:wsp>
                    <wps:cNvPr id="631" name="Textbox 63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82208" type="#_x0000_t202" id="docshape62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293</w:t>
                    </w:r>
                    <w:r>
                      <w:rPr>
                        <w:rFonts w:ascii="Times New Roman"/>
                        <w:spacing w:val="-5"/>
                      </w:rPr>
                      <w:fldChar w:fldCharType="end"/>
                    </w:r>
                  </w:p>
                </w:txbxContent>
              </v:textbox>
              <w10:wrap type="none"/>
            </v:shape>
          </w:pict>
        </mc:Fallback>
      </mc:AlternateContent>
    </w:r>
  </w:p>
</w:hdr>
</file>

<file path=word/header3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35296">
              <wp:simplePos x="0" y="0"/>
              <wp:positionH relativeFrom="page">
                <wp:posOffset>3732276</wp:posOffset>
              </wp:positionH>
              <wp:positionV relativeFrom="page">
                <wp:posOffset>445854</wp:posOffset>
              </wp:positionV>
              <wp:extent cx="317500" cy="194310"/>
              <wp:effectExtent l="0" t="0" r="0" b="0"/>
              <wp:wrapNone/>
              <wp:docPr id="633" name="Textbox 633"/>
              <wp:cNvGraphicFramePr>
                <a:graphicFrameLocks/>
              </wp:cNvGraphicFramePr>
              <a:graphic>
                <a:graphicData uri="http://schemas.microsoft.com/office/word/2010/wordprocessingShape">
                  <wps:wsp>
                    <wps:cNvPr id="633" name="Textbox 63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81184" type="#_x0000_t202" id="docshape63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294</w:t>
                    </w:r>
                    <w:r>
                      <w:rPr>
                        <w:rFonts w:ascii="Times New Roman"/>
                        <w:spacing w:val="-5"/>
                      </w:rPr>
                      <w:fldChar w:fldCharType="end"/>
                    </w:r>
                  </w:p>
                </w:txbxContent>
              </v:textbox>
              <w10:wrap type="none"/>
            </v:shape>
          </w:pict>
        </mc:Fallback>
      </mc:AlternateContent>
    </w:r>
  </w:p>
</w:hdr>
</file>

<file path=word/header3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36320">
              <wp:simplePos x="0" y="0"/>
              <wp:positionH relativeFrom="page">
                <wp:posOffset>3732276</wp:posOffset>
              </wp:positionH>
              <wp:positionV relativeFrom="page">
                <wp:posOffset>445854</wp:posOffset>
              </wp:positionV>
              <wp:extent cx="317500" cy="194310"/>
              <wp:effectExtent l="0" t="0" r="0" b="0"/>
              <wp:wrapNone/>
              <wp:docPr id="635" name="Textbox 635"/>
              <wp:cNvGraphicFramePr>
                <a:graphicFrameLocks/>
              </wp:cNvGraphicFramePr>
              <a:graphic>
                <a:graphicData uri="http://schemas.microsoft.com/office/word/2010/wordprocessingShape">
                  <wps:wsp>
                    <wps:cNvPr id="635" name="Textbox 63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80160" type="#_x0000_t202" id="docshape63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295</w:t>
                    </w:r>
                    <w:r>
                      <w:rPr>
                        <w:rFonts w:ascii="Times New Roman"/>
                        <w:spacing w:val="-5"/>
                      </w:rPr>
                      <w:fldChar w:fldCharType="end"/>
                    </w:r>
                  </w:p>
                </w:txbxContent>
              </v:textbox>
              <w10:wrap type="none"/>
            </v:shape>
          </w:pict>
        </mc:Fallback>
      </mc:AlternateContent>
    </w:r>
  </w:p>
</w:hdr>
</file>

<file path=word/header3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37344">
              <wp:simplePos x="0" y="0"/>
              <wp:positionH relativeFrom="page">
                <wp:posOffset>3732276</wp:posOffset>
              </wp:positionH>
              <wp:positionV relativeFrom="page">
                <wp:posOffset>445854</wp:posOffset>
              </wp:positionV>
              <wp:extent cx="317500" cy="194310"/>
              <wp:effectExtent l="0" t="0" r="0" b="0"/>
              <wp:wrapNone/>
              <wp:docPr id="637" name="Textbox 637"/>
              <wp:cNvGraphicFramePr>
                <a:graphicFrameLocks/>
              </wp:cNvGraphicFramePr>
              <a:graphic>
                <a:graphicData uri="http://schemas.microsoft.com/office/word/2010/wordprocessingShape">
                  <wps:wsp>
                    <wps:cNvPr id="637" name="Textbox 63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79136" type="#_x0000_t202" id="docshape63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296</w:t>
                    </w:r>
                    <w:r>
                      <w:rPr>
                        <w:rFonts w:ascii="Times New Roman"/>
                        <w:spacing w:val="-5"/>
                      </w:rPr>
                      <w:fldChar w:fldCharType="end"/>
                    </w:r>
                  </w:p>
                </w:txbxContent>
              </v:textbox>
              <w10:wrap type="none"/>
            </v:shape>
          </w:pict>
        </mc:Fallback>
      </mc:AlternateContent>
    </w:r>
  </w:p>
</w:hdr>
</file>

<file path=word/header3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38368">
              <wp:simplePos x="0" y="0"/>
              <wp:positionH relativeFrom="page">
                <wp:posOffset>3732276</wp:posOffset>
              </wp:positionH>
              <wp:positionV relativeFrom="page">
                <wp:posOffset>445854</wp:posOffset>
              </wp:positionV>
              <wp:extent cx="317500" cy="194310"/>
              <wp:effectExtent l="0" t="0" r="0" b="0"/>
              <wp:wrapNone/>
              <wp:docPr id="640" name="Textbox 640"/>
              <wp:cNvGraphicFramePr>
                <a:graphicFrameLocks/>
              </wp:cNvGraphicFramePr>
              <a:graphic>
                <a:graphicData uri="http://schemas.microsoft.com/office/word/2010/wordprocessingShape">
                  <wps:wsp>
                    <wps:cNvPr id="640" name="Textbox 64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78112" type="#_x0000_t202" id="docshape63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297</w:t>
                    </w:r>
                    <w:r>
                      <w:rPr>
                        <w:rFonts w:ascii="Times New Roman"/>
                        <w:spacing w:val="-5"/>
                      </w:rPr>
                      <w:fldChar w:fldCharType="end"/>
                    </w:r>
                  </w:p>
                </w:txbxContent>
              </v:textbox>
              <w10:wrap type="none"/>
            </v:shape>
          </w:pict>
        </mc:Fallback>
      </mc:AlternateContent>
    </w:r>
  </w:p>
</w:hdr>
</file>

<file path=word/header3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39904">
              <wp:simplePos x="0" y="0"/>
              <wp:positionH relativeFrom="page">
                <wp:posOffset>3732276</wp:posOffset>
              </wp:positionH>
              <wp:positionV relativeFrom="page">
                <wp:posOffset>445854</wp:posOffset>
              </wp:positionV>
              <wp:extent cx="317500" cy="194310"/>
              <wp:effectExtent l="0" t="0" r="0" b="0"/>
              <wp:wrapNone/>
              <wp:docPr id="647" name="Textbox 647"/>
              <wp:cNvGraphicFramePr>
                <a:graphicFrameLocks/>
              </wp:cNvGraphicFramePr>
              <a:graphic>
                <a:graphicData uri="http://schemas.microsoft.com/office/word/2010/wordprocessingShape">
                  <wps:wsp>
                    <wps:cNvPr id="647" name="Textbox 64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76576" type="#_x0000_t202" id="docshape64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299</w:t>
                    </w:r>
                    <w:r>
                      <w:rPr>
                        <w:rFonts w:ascii="Times New Roman"/>
                        <w:spacing w:val="-5"/>
                      </w:rPr>
                      <w:fldChar w:fldCharType="end"/>
                    </w:r>
                  </w:p>
                </w:txbxContent>
              </v:textbox>
              <w10:wrap type="none"/>
            </v:shape>
          </w:pict>
        </mc:Fallback>
      </mc:AlternateContent>
    </w:r>
  </w:p>
</w:hdr>
</file>

<file path=word/header3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40928">
              <wp:simplePos x="0" y="0"/>
              <wp:positionH relativeFrom="page">
                <wp:posOffset>3732276</wp:posOffset>
              </wp:positionH>
              <wp:positionV relativeFrom="page">
                <wp:posOffset>445854</wp:posOffset>
              </wp:positionV>
              <wp:extent cx="317500" cy="194310"/>
              <wp:effectExtent l="0" t="0" r="0" b="0"/>
              <wp:wrapNone/>
              <wp:docPr id="650" name="Textbox 650"/>
              <wp:cNvGraphicFramePr>
                <a:graphicFrameLocks/>
              </wp:cNvGraphicFramePr>
              <a:graphic>
                <a:graphicData uri="http://schemas.microsoft.com/office/word/2010/wordprocessingShape">
                  <wps:wsp>
                    <wps:cNvPr id="650" name="Textbox 650"/>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75552" type="#_x0000_t202" id="docshape64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300</w:t>
                    </w:r>
                    <w:r>
                      <w:rPr>
                        <w:rFonts w:ascii="Times New Roman"/>
                        <w:spacing w:val="-5"/>
                      </w:rPr>
                      <w:fldChar w:fldCharType="end"/>
                    </w:r>
                  </w:p>
                </w:txbxContent>
              </v:textbox>
              <w10:wrap type="none"/>
            </v:shape>
          </w:pict>
        </mc:Fallback>
      </mc:AlternateContent>
    </w:r>
  </w:p>
</w:hdr>
</file>

<file path=word/header3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68032">
              <wp:simplePos x="0" y="0"/>
              <wp:positionH relativeFrom="page">
                <wp:posOffset>3771900</wp:posOffset>
              </wp:positionH>
              <wp:positionV relativeFrom="page">
                <wp:posOffset>445854</wp:posOffset>
              </wp:positionV>
              <wp:extent cx="241300" cy="194310"/>
              <wp:effectExtent l="0" t="0" r="0" b="0"/>
              <wp:wrapNone/>
              <wp:docPr id="65" name="Textbox 65"/>
              <wp:cNvGraphicFramePr>
                <a:graphicFrameLocks/>
              </wp:cNvGraphicFramePr>
              <a:graphic>
                <a:graphicData uri="http://schemas.microsoft.com/office/word/2010/wordprocessingShape">
                  <wps:wsp>
                    <wps:cNvPr id="65" name="Textbox 65"/>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48448" type="#_x0000_t202" id="docshape6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42</w:t>
                    </w:r>
                    <w:r>
                      <w:rPr>
                        <w:rFonts w:ascii="Times New Roman"/>
                        <w:spacing w:val="-5"/>
                      </w:rPr>
                      <w:fldChar w:fldCharType="end"/>
                    </w:r>
                  </w:p>
                </w:txbxContent>
              </v:textbox>
              <w10:wrap type="none"/>
            </v:shape>
          </w:pict>
        </mc:Fallback>
      </mc:AlternateContent>
    </w:r>
  </w:p>
</w:hdr>
</file>

<file path=word/header3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41952">
              <wp:simplePos x="0" y="0"/>
              <wp:positionH relativeFrom="page">
                <wp:posOffset>3732276</wp:posOffset>
              </wp:positionH>
              <wp:positionV relativeFrom="page">
                <wp:posOffset>445854</wp:posOffset>
              </wp:positionV>
              <wp:extent cx="317500" cy="194310"/>
              <wp:effectExtent l="0" t="0" r="0" b="0"/>
              <wp:wrapNone/>
              <wp:docPr id="653" name="Textbox 653"/>
              <wp:cNvGraphicFramePr>
                <a:graphicFrameLocks/>
              </wp:cNvGraphicFramePr>
              <a:graphic>
                <a:graphicData uri="http://schemas.microsoft.com/office/word/2010/wordprocessingShape">
                  <wps:wsp>
                    <wps:cNvPr id="653" name="Textbox 65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74528" type="#_x0000_t202" id="docshape64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301</w:t>
                    </w:r>
                    <w:r>
                      <w:rPr>
                        <w:rFonts w:ascii="Times New Roman"/>
                        <w:spacing w:val="-5"/>
                      </w:rPr>
                      <w:fldChar w:fldCharType="end"/>
                    </w:r>
                  </w:p>
                </w:txbxContent>
              </v:textbox>
              <w10:wrap type="none"/>
            </v:shape>
          </w:pict>
        </mc:Fallback>
      </mc:AlternateContent>
    </w:r>
  </w:p>
</w:hdr>
</file>

<file path=word/header3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42976">
              <wp:simplePos x="0" y="0"/>
              <wp:positionH relativeFrom="page">
                <wp:posOffset>3732276</wp:posOffset>
              </wp:positionH>
              <wp:positionV relativeFrom="page">
                <wp:posOffset>445854</wp:posOffset>
              </wp:positionV>
              <wp:extent cx="317500" cy="194310"/>
              <wp:effectExtent l="0" t="0" r="0" b="0"/>
              <wp:wrapNone/>
              <wp:docPr id="656" name="Textbox 656"/>
              <wp:cNvGraphicFramePr>
                <a:graphicFrameLocks/>
              </wp:cNvGraphicFramePr>
              <a:graphic>
                <a:graphicData uri="http://schemas.microsoft.com/office/word/2010/wordprocessingShape">
                  <wps:wsp>
                    <wps:cNvPr id="656" name="Textbox 656"/>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73504" type="#_x0000_t202" id="docshape64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302</w:t>
                    </w:r>
                    <w:r>
                      <w:rPr>
                        <w:rFonts w:ascii="Times New Roman"/>
                        <w:spacing w:val="-5"/>
                      </w:rPr>
                      <w:fldChar w:fldCharType="end"/>
                    </w:r>
                  </w:p>
                </w:txbxContent>
              </v:textbox>
              <w10:wrap type="none"/>
            </v:shape>
          </w:pict>
        </mc:Fallback>
      </mc:AlternateContent>
    </w:r>
  </w:p>
</w:hdr>
</file>

<file path=word/header3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44000">
              <wp:simplePos x="0" y="0"/>
              <wp:positionH relativeFrom="page">
                <wp:posOffset>3732276</wp:posOffset>
              </wp:positionH>
              <wp:positionV relativeFrom="page">
                <wp:posOffset>445854</wp:posOffset>
              </wp:positionV>
              <wp:extent cx="317500" cy="194310"/>
              <wp:effectExtent l="0" t="0" r="0" b="0"/>
              <wp:wrapNone/>
              <wp:docPr id="659" name="Textbox 659"/>
              <wp:cNvGraphicFramePr>
                <a:graphicFrameLocks/>
              </wp:cNvGraphicFramePr>
              <a:graphic>
                <a:graphicData uri="http://schemas.microsoft.com/office/word/2010/wordprocessingShape">
                  <wps:wsp>
                    <wps:cNvPr id="659" name="Textbox 65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72480" type="#_x0000_t202" id="docshape65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303</w:t>
                    </w:r>
                    <w:r>
                      <w:rPr>
                        <w:rFonts w:ascii="Times New Roman"/>
                        <w:spacing w:val="-5"/>
                      </w:rPr>
                      <w:fldChar w:fldCharType="end"/>
                    </w:r>
                  </w:p>
                </w:txbxContent>
              </v:textbox>
              <w10:wrap type="none"/>
            </v:shape>
          </w:pict>
        </mc:Fallback>
      </mc:AlternateContent>
    </w:r>
  </w:p>
</w:hdr>
</file>

<file path=word/header3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945024">
              <wp:simplePos x="0" y="0"/>
              <wp:positionH relativeFrom="page">
                <wp:posOffset>3732276</wp:posOffset>
              </wp:positionH>
              <wp:positionV relativeFrom="page">
                <wp:posOffset>445854</wp:posOffset>
              </wp:positionV>
              <wp:extent cx="317500" cy="194310"/>
              <wp:effectExtent l="0" t="0" r="0" b="0"/>
              <wp:wrapNone/>
              <wp:docPr id="662" name="Textbox 662"/>
              <wp:cNvGraphicFramePr>
                <a:graphicFrameLocks/>
              </wp:cNvGraphicFramePr>
              <a:graphic>
                <a:graphicData uri="http://schemas.microsoft.com/office/word/2010/wordprocessingShape">
                  <wps:wsp>
                    <wps:cNvPr id="662" name="Textbox 662"/>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371456" type="#_x0000_t202" id="docshape65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304</w:t>
                    </w:r>
                    <w:r>
                      <w:rPr>
                        <w:rFonts w:ascii="Times New Roman"/>
                        <w:spacing w:val="-5"/>
                      </w:rPr>
                      <w:fldChar w:fldCharType="end"/>
                    </w:r>
                  </w:p>
                </w:txbxContent>
              </v:textbox>
              <w10:wrap type="none"/>
            </v:shape>
          </w:pict>
        </mc:Fallback>
      </mc:AlternateContent>
    </w:r>
  </w:p>
</w:hdr>
</file>

<file path=word/header3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69056">
              <wp:simplePos x="0" y="0"/>
              <wp:positionH relativeFrom="page">
                <wp:posOffset>3771900</wp:posOffset>
              </wp:positionH>
              <wp:positionV relativeFrom="page">
                <wp:posOffset>445854</wp:posOffset>
              </wp:positionV>
              <wp:extent cx="241300" cy="194310"/>
              <wp:effectExtent l="0" t="0" r="0" b="0"/>
              <wp:wrapNone/>
              <wp:docPr id="67" name="Textbox 67"/>
              <wp:cNvGraphicFramePr>
                <a:graphicFrameLocks/>
              </wp:cNvGraphicFramePr>
              <a:graphic>
                <a:graphicData uri="http://schemas.microsoft.com/office/word/2010/wordprocessingShape">
                  <wps:wsp>
                    <wps:cNvPr id="67" name="Textbox 67"/>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47424" type="#_x0000_t202" id="docshape6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43</w:t>
                    </w:r>
                    <w:r>
                      <w:rPr>
                        <w:rFonts w:ascii="Times New Roman"/>
                        <w:spacing w:val="-5"/>
                      </w:rPr>
                      <w:fldChar w:fldCharType="end"/>
                    </w:r>
                  </w:p>
                </w:txbxContent>
              </v:textbox>
              <w10:wrap type="none"/>
            </v:shape>
          </w:pict>
        </mc:Fallback>
      </mc:AlternateContent>
    </w:r>
  </w:p>
</w:hdr>
</file>

<file path=word/header3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70080">
              <wp:simplePos x="0" y="0"/>
              <wp:positionH relativeFrom="page">
                <wp:posOffset>3771900</wp:posOffset>
              </wp:positionH>
              <wp:positionV relativeFrom="page">
                <wp:posOffset>445854</wp:posOffset>
              </wp:positionV>
              <wp:extent cx="241300" cy="194310"/>
              <wp:effectExtent l="0" t="0" r="0" b="0"/>
              <wp:wrapNone/>
              <wp:docPr id="69" name="Textbox 69"/>
              <wp:cNvGraphicFramePr>
                <a:graphicFrameLocks/>
              </wp:cNvGraphicFramePr>
              <a:graphic>
                <a:graphicData uri="http://schemas.microsoft.com/office/word/2010/wordprocessingShape">
                  <wps:wsp>
                    <wps:cNvPr id="69" name="Textbox 69"/>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46400" type="#_x0000_t202" id="docshape6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44</w:t>
                    </w:r>
                    <w:r>
                      <w:rPr>
                        <w:rFonts w:ascii="Times New Roman"/>
                        <w:spacing w:val="-5"/>
                      </w:rPr>
                      <w:fldChar w:fldCharType="end"/>
                    </w:r>
                  </w:p>
                </w:txbxContent>
              </v:textbox>
              <w10:wrap type="none"/>
            </v:shape>
          </w:pict>
        </mc:Fallback>
      </mc:AlternateContent>
    </w:r>
  </w:p>
</w:hdr>
</file>

<file path=word/header3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71104">
              <wp:simplePos x="0" y="0"/>
              <wp:positionH relativeFrom="page">
                <wp:posOffset>3771900</wp:posOffset>
              </wp:positionH>
              <wp:positionV relativeFrom="page">
                <wp:posOffset>445854</wp:posOffset>
              </wp:positionV>
              <wp:extent cx="241300" cy="194310"/>
              <wp:effectExtent l="0" t="0" r="0" b="0"/>
              <wp:wrapNone/>
              <wp:docPr id="71" name="Textbox 71"/>
              <wp:cNvGraphicFramePr>
                <a:graphicFrameLocks/>
              </wp:cNvGraphicFramePr>
              <a:graphic>
                <a:graphicData uri="http://schemas.microsoft.com/office/word/2010/wordprocessingShape">
                  <wps:wsp>
                    <wps:cNvPr id="71" name="Textbox 71"/>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45376" type="#_x0000_t202" id="docshape7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45</w:t>
                    </w:r>
                    <w:r>
                      <w:rPr>
                        <w:rFonts w:ascii="Times New Roman"/>
                        <w:spacing w:val="-5"/>
                      </w:rPr>
                      <w:fldChar w:fldCharType="end"/>
                    </w:r>
                  </w:p>
                </w:txbxContent>
              </v:textbox>
              <w10:wrap type="none"/>
            </v:shape>
          </w:pict>
        </mc:Fallback>
      </mc:AlternateContent>
    </w:r>
  </w:p>
</w:hdr>
</file>

<file path=word/header3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72128">
              <wp:simplePos x="0" y="0"/>
              <wp:positionH relativeFrom="page">
                <wp:posOffset>3771900</wp:posOffset>
              </wp:positionH>
              <wp:positionV relativeFrom="page">
                <wp:posOffset>445854</wp:posOffset>
              </wp:positionV>
              <wp:extent cx="241300" cy="194310"/>
              <wp:effectExtent l="0" t="0" r="0" b="0"/>
              <wp:wrapNone/>
              <wp:docPr id="73" name="Textbox 73"/>
              <wp:cNvGraphicFramePr>
                <a:graphicFrameLocks/>
              </wp:cNvGraphicFramePr>
              <a:graphic>
                <a:graphicData uri="http://schemas.microsoft.com/office/word/2010/wordprocessingShape">
                  <wps:wsp>
                    <wps:cNvPr id="73" name="Textbox 73"/>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44352" type="#_x0000_t202" id="docshape7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46</w:t>
                    </w:r>
                    <w:r>
                      <w:rPr>
                        <w:rFonts w:ascii="Times New Roman"/>
                        <w:spacing w:val="-5"/>
                      </w:rPr>
                      <w:fldChar w:fldCharType="end"/>
                    </w:r>
                  </w:p>
                </w:txbxContent>
              </v:textbox>
              <w10:wrap type="none"/>
            </v:shape>
          </w:pict>
        </mc:Fallback>
      </mc:AlternateContent>
    </w:r>
  </w:p>
</w:hdr>
</file>

<file path=word/header3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73152">
              <wp:simplePos x="0" y="0"/>
              <wp:positionH relativeFrom="page">
                <wp:posOffset>3771900</wp:posOffset>
              </wp:positionH>
              <wp:positionV relativeFrom="page">
                <wp:posOffset>445854</wp:posOffset>
              </wp:positionV>
              <wp:extent cx="241300" cy="194310"/>
              <wp:effectExtent l="0" t="0" r="0" b="0"/>
              <wp:wrapNone/>
              <wp:docPr id="75" name="Textbox 75"/>
              <wp:cNvGraphicFramePr>
                <a:graphicFrameLocks/>
              </wp:cNvGraphicFramePr>
              <a:graphic>
                <a:graphicData uri="http://schemas.microsoft.com/office/word/2010/wordprocessingShape">
                  <wps:wsp>
                    <wps:cNvPr id="75" name="Textbox 75"/>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43328" type="#_x0000_t202" id="docshape7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47</w:t>
                    </w:r>
                    <w:r>
                      <w:rPr>
                        <w:rFonts w:ascii="Times New Roman"/>
                        <w:spacing w:val="-5"/>
                      </w:rPr>
                      <w:fldChar w:fldCharType="end"/>
                    </w:r>
                  </w:p>
                </w:txbxContent>
              </v:textbox>
              <w10:wrap type="none"/>
            </v:shape>
          </w:pict>
        </mc:Fallback>
      </mc:AlternateContent>
    </w:r>
  </w:p>
</w:hdr>
</file>

<file path=word/header3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74176">
              <wp:simplePos x="0" y="0"/>
              <wp:positionH relativeFrom="page">
                <wp:posOffset>3771900</wp:posOffset>
              </wp:positionH>
              <wp:positionV relativeFrom="page">
                <wp:posOffset>445854</wp:posOffset>
              </wp:positionV>
              <wp:extent cx="241300" cy="194310"/>
              <wp:effectExtent l="0" t="0" r="0" b="0"/>
              <wp:wrapNone/>
              <wp:docPr id="77" name="Textbox 77"/>
              <wp:cNvGraphicFramePr>
                <a:graphicFrameLocks/>
              </wp:cNvGraphicFramePr>
              <a:graphic>
                <a:graphicData uri="http://schemas.microsoft.com/office/word/2010/wordprocessingShape">
                  <wps:wsp>
                    <wps:cNvPr id="77" name="Textbox 77"/>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42304" type="#_x0000_t202" id="docshape7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48</w:t>
                    </w:r>
                    <w:r>
                      <w:rPr>
                        <w:rFonts w:ascii="Times New Roman"/>
                        <w:spacing w:val="-5"/>
                      </w:rPr>
                      <w:fldChar w:fldCharType="end"/>
                    </w:r>
                  </w:p>
                </w:txbxContent>
              </v:textbox>
              <w10:wrap type="none"/>
            </v:shape>
          </w:pict>
        </mc:Fallback>
      </mc:AlternateContent>
    </w:r>
  </w:p>
</w:hdr>
</file>

<file path=word/header3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75200">
              <wp:simplePos x="0" y="0"/>
              <wp:positionH relativeFrom="page">
                <wp:posOffset>3771900</wp:posOffset>
              </wp:positionH>
              <wp:positionV relativeFrom="page">
                <wp:posOffset>445854</wp:posOffset>
              </wp:positionV>
              <wp:extent cx="241300" cy="194310"/>
              <wp:effectExtent l="0" t="0" r="0" b="0"/>
              <wp:wrapNone/>
              <wp:docPr id="79" name="Textbox 79"/>
              <wp:cNvGraphicFramePr>
                <a:graphicFrameLocks/>
              </wp:cNvGraphicFramePr>
              <a:graphic>
                <a:graphicData uri="http://schemas.microsoft.com/office/word/2010/wordprocessingShape">
                  <wps:wsp>
                    <wps:cNvPr id="79" name="Textbox 79"/>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41280" type="#_x0000_t202" id="docshape7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49</w:t>
                    </w:r>
                    <w:r>
                      <w:rPr>
                        <w:rFonts w:ascii="Times New Roman"/>
                        <w:spacing w:val="-5"/>
                      </w:rPr>
                      <w:fldChar w:fldCharType="end"/>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30144">
              <wp:simplePos x="0" y="0"/>
              <wp:positionH relativeFrom="page">
                <wp:posOffset>3808476</wp:posOffset>
              </wp:positionH>
              <wp:positionV relativeFrom="page">
                <wp:posOffset>445854</wp:posOffset>
              </wp:positionV>
              <wp:extent cx="165100" cy="194310"/>
              <wp:effectExtent l="0" t="0" r="0" b="0"/>
              <wp:wrapNone/>
              <wp:docPr id="9" name="Textbox 9"/>
              <wp:cNvGraphicFramePr>
                <a:graphicFrameLocks/>
              </wp:cNvGraphicFramePr>
              <a:graphic>
                <a:graphicData uri="http://schemas.microsoft.com/office/word/2010/wordprocessingShape">
                  <wps:wsp>
                    <wps:cNvPr id="9" name="Textbox 9"/>
                    <wps:cNvSpPr txBox="1"/>
                    <wps:spPr>
                      <a:xfrm>
                        <a:off x="0" y="0"/>
                        <a:ext cx="165100" cy="194310"/>
                      </a:xfrm>
                      <a:prstGeom prst="rect">
                        <a:avLst/>
                      </a:prstGeom>
                    </wps:spPr>
                    <wps:txbx>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5</w:t>
                          </w:r>
                          <w:r>
                            <w:rPr>
                              <w:rFonts w:ascii="Times New Roman"/>
                              <w:spacing w:val="-10"/>
                            </w:rPr>
                            <w:fldChar w:fldCharType="end"/>
                          </w:r>
                        </w:p>
                      </w:txbxContent>
                    </wps:txbx>
                    <wps:bodyPr wrap="square" lIns="0" tIns="0" rIns="0" bIns="0" rtlCol="0">
                      <a:noAutofit/>
                    </wps:bodyPr>
                  </wps:wsp>
                </a:graphicData>
              </a:graphic>
            </wp:anchor>
          </w:drawing>
        </mc:Choice>
        <mc:Fallback>
          <w:pict>
            <v:shape style="position:absolute;margin-left:299.880005pt;margin-top:35.10664pt;width:13pt;height:15.3pt;mso-position-horizontal-relative:page;mso-position-vertical-relative:page;z-index:-36686336" type="#_x0000_t202" id="docshape9" filled="false" stroked="false">
              <v:textbox inset="0,0,0,0">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5</w:t>
                    </w:r>
                    <w:r>
                      <w:rPr>
                        <w:rFonts w:ascii="Times New Roman"/>
                        <w:spacing w:val="-10"/>
                      </w:rPr>
                      <w:fldChar w:fldCharType="end"/>
                    </w:r>
                  </w:p>
                </w:txbxContent>
              </v:textbox>
              <w10:wrap type="none"/>
            </v:shape>
          </w:pict>
        </mc:Fallback>
      </mc:AlternateContent>
    </w:r>
  </w:p>
</w:hdr>
</file>

<file path=word/header4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76224">
              <wp:simplePos x="0" y="0"/>
              <wp:positionH relativeFrom="page">
                <wp:posOffset>3771900</wp:posOffset>
              </wp:positionH>
              <wp:positionV relativeFrom="page">
                <wp:posOffset>445854</wp:posOffset>
              </wp:positionV>
              <wp:extent cx="241300" cy="194310"/>
              <wp:effectExtent l="0" t="0" r="0" b="0"/>
              <wp:wrapNone/>
              <wp:docPr id="81" name="Textbox 81"/>
              <wp:cNvGraphicFramePr>
                <a:graphicFrameLocks/>
              </wp:cNvGraphicFramePr>
              <a:graphic>
                <a:graphicData uri="http://schemas.microsoft.com/office/word/2010/wordprocessingShape">
                  <wps:wsp>
                    <wps:cNvPr id="81" name="Textbox 81"/>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40256" type="#_x0000_t202" id="docshape8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50</w:t>
                    </w:r>
                    <w:r>
                      <w:rPr>
                        <w:rFonts w:ascii="Times New Roman"/>
                        <w:spacing w:val="-5"/>
                      </w:rPr>
                      <w:fldChar w:fldCharType="end"/>
                    </w:r>
                  </w:p>
                </w:txbxContent>
              </v:textbox>
              <w10:wrap type="none"/>
            </v:shape>
          </w:pict>
        </mc:Fallback>
      </mc:AlternateContent>
    </w:r>
  </w:p>
</w:hdr>
</file>

<file path=word/header4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77248">
              <wp:simplePos x="0" y="0"/>
              <wp:positionH relativeFrom="page">
                <wp:posOffset>3771900</wp:posOffset>
              </wp:positionH>
              <wp:positionV relativeFrom="page">
                <wp:posOffset>445854</wp:posOffset>
              </wp:positionV>
              <wp:extent cx="241300" cy="194310"/>
              <wp:effectExtent l="0" t="0" r="0" b="0"/>
              <wp:wrapNone/>
              <wp:docPr id="83" name="Textbox 83"/>
              <wp:cNvGraphicFramePr>
                <a:graphicFrameLocks/>
              </wp:cNvGraphicFramePr>
              <a:graphic>
                <a:graphicData uri="http://schemas.microsoft.com/office/word/2010/wordprocessingShape">
                  <wps:wsp>
                    <wps:cNvPr id="83" name="Textbox 83"/>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39232" type="#_x0000_t202" id="docshape8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51</w:t>
                    </w:r>
                    <w:r>
                      <w:rPr>
                        <w:rFonts w:ascii="Times New Roman"/>
                        <w:spacing w:val="-5"/>
                      </w:rPr>
                      <w:fldChar w:fldCharType="end"/>
                    </w:r>
                  </w:p>
                </w:txbxContent>
              </v:textbox>
              <w10:wrap type="none"/>
            </v:shape>
          </w:pict>
        </mc:Fallback>
      </mc:AlternateContent>
    </w:r>
  </w:p>
</w:hdr>
</file>

<file path=word/header4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78272">
              <wp:simplePos x="0" y="0"/>
              <wp:positionH relativeFrom="page">
                <wp:posOffset>3771900</wp:posOffset>
              </wp:positionH>
              <wp:positionV relativeFrom="page">
                <wp:posOffset>445854</wp:posOffset>
              </wp:positionV>
              <wp:extent cx="241300" cy="194310"/>
              <wp:effectExtent l="0" t="0" r="0" b="0"/>
              <wp:wrapNone/>
              <wp:docPr id="85" name="Textbox 85"/>
              <wp:cNvGraphicFramePr>
                <a:graphicFrameLocks/>
              </wp:cNvGraphicFramePr>
              <a:graphic>
                <a:graphicData uri="http://schemas.microsoft.com/office/word/2010/wordprocessingShape">
                  <wps:wsp>
                    <wps:cNvPr id="85" name="Textbox 85"/>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38208" type="#_x0000_t202" id="docshape8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52</w:t>
                    </w:r>
                    <w:r>
                      <w:rPr>
                        <w:rFonts w:ascii="Times New Roman"/>
                        <w:spacing w:val="-5"/>
                      </w:rPr>
                      <w:fldChar w:fldCharType="end"/>
                    </w:r>
                  </w:p>
                </w:txbxContent>
              </v:textbox>
              <w10:wrap type="none"/>
            </v:shape>
          </w:pict>
        </mc:Fallback>
      </mc:AlternateContent>
    </w:r>
  </w:p>
</w:hdr>
</file>

<file path=word/header4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79296">
              <wp:simplePos x="0" y="0"/>
              <wp:positionH relativeFrom="page">
                <wp:posOffset>3771900</wp:posOffset>
              </wp:positionH>
              <wp:positionV relativeFrom="page">
                <wp:posOffset>445854</wp:posOffset>
              </wp:positionV>
              <wp:extent cx="241300" cy="194310"/>
              <wp:effectExtent l="0" t="0" r="0" b="0"/>
              <wp:wrapNone/>
              <wp:docPr id="87" name="Textbox 87"/>
              <wp:cNvGraphicFramePr>
                <a:graphicFrameLocks/>
              </wp:cNvGraphicFramePr>
              <a:graphic>
                <a:graphicData uri="http://schemas.microsoft.com/office/word/2010/wordprocessingShape">
                  <wps:wsp>
                    <wps:cNvPr id="87" name="Textbox 87"/>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37184" type="#_x0000_t202" id="docshape8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53</w:t>
                    </w:r>
                    <w:r>
                      <w:rPr>
                        <w:rFonts w:ascii="Times New Roman"/>
                        <w:spacing w:val="-5"/>
                      </w:rPr>
                      <w:fldChar w:fldCharType="end"/>
                    </w:r>
                  </w:p>
                </w:txbxContent>
              </v:textbox>
              <w10:wrap type="none"/>
            </v:shape>
          </w:pict>
        </mc:Fallback>
      </mc:AlternateContent>
    </w:r>
  </w:p>
</w:hdr>
</file>

<file path=word/header4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80320">
              <wp:simplePos x="0" y="0"/>
              <wp:positionH relativeFrom="page">
                <wp:posOffset>3771900</wp:posOffset>
              </wp:positionH>
              <wp:positionV relativeFrom="page">
                <wp:posOffset>445854</wp:posOffset>
              </wp:positionV>
              <wp:extent cx="241300" cy="194310"/>
              <wp:effectExtent l="0" t="0" r="0" b="0"/>
              <wp:wrapNone/>
              <wp:docPr id="89" name="Textbox 89"/>
              <wp:cNvGraphicFramePr>
                <a:graphicFrameLocks/>
              </wp:cNvGraphicFramePr>
              <a:graphic>
                <a:graphicData uri="http://schemas.microsoft.com/office/word/2010/wordprocessingShape">
                  <wps:wsp>
                    <wps:cNvPr id="89" name="Textbox 89"/>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36160" type="#_x0000_t202" id="docshape8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54</w:t>
                    </w:r>
                    <w:r>
                      <w:rPr>
                        <w:rFonts w:ascii="Times New Roman"/>
                        <w:spacing w:val="-5"/>
                      </w:rPr>
                      <w:fldChar w:fldCharType="end"/>
                    </w:r>
                  </w:p>
                </w:txbxContent>
              </v:textbox>
              <w10:wrap type="none"/>
            </v:shape>
          </w:pict>
        </mc:Fallback>
      </mc:AlternateContent>
    </w:r>
  </w:p>
</w:hdr>
</file>

<file path=word/header4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81344">
              <wp:simplePos x="0" y="0"/>
              <wp:positionH relativeFrom="page">
                <wp:posOffset>3771900</wp:posOffset>
              </wp:positionH>
              <wp:positionV relativeFrom="page">
                <wp:posOffset>445854</wp:posOffset>
              </wp:positionV>
              <wp:extent cx="241300" cy="194310"/>
              <wp:effectExtent l="0" t="0" r="0" b="0"/>
              <wp:wrapNone/>
              <wp:docPr id="91" name="Textbox 91"/>
              <wp:cNvGraphicFramePr>
                <a:graphicFrameLocks/>
              </wp:cNvGraphicFramePr>
              <a:graphic>
                <a:graphicData uri="http://schemas.microsoft.com/office/word/2010/wordprocessingShape">
                  <wps:wsp>
                    <wps:cNvPr id="91" name="Textbox 91"/>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35136" type="#_x0000_t202" id="docshape9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55</w:t>
                    </w:r>
                    <w:r>
                      <w:rPr>
                        <w:rFonts w:ascii="Times New Roman"/>
                        <w:spacing w:val="-5"/>
                      </w:rPr>
                      <w:fldChar w:fldCharType="end"/>
                    </w:r>
                  </w:p>
                </w:txbxContent>
              </v:textbox>
              <w10:wrap type="none"/>
            </v:shape>
          </w:pict>
        </mc:Fallback>
      </mc:AlternateContent>
    </w:r>
  </w:p>
</w:hdr>
</file>

<file path=word/header4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82368">
              <wp:simplePos x="0" y="0"/>
              <wp:positionH relativeFrom="page">
                <wp:posOffset>3771900</wp:posOffset>
              </wp:positionH>
              <wp:positionV relativeFrom="page">
                <wp:posOffset>445854</wp:posOffset>
              </wp:positionV>
              <wp:extent cx="241300" cy="194310"/>
              <wp:effectExtent l="0" t="0" r="0" b="0"/>
              <wp:wrapNone/>
              <wp:docPr id="93" name="Textbox 93"/>
              <wp:cNvGraphicFramePr>
                <a:graphicFrameLocks/>
              </wp:cNvGraphicFramePr>
              <a:graphic>
                <a:graphicData uri="http://schemas.microsoft.com/office/word/2010/wordprocessingShape">
                  <wps:wsp>
                    <wps:cNvPr id="93" name="Textbox 93"/>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34112" type="#_x0000_t202" id="docshape9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56</w:t>
                    </w:r>
                    <w:r>
                      <w:rPr>
                        <w:rFonts w:ascii="Times New Roman"/>
                        <w:spacing w:val="-5"/>
                      </w:rPr>
                      <w:fldChar w:fldCharType="end"/>
                    </w:r>
                  </w:p>
                </w:txbxContent>
              </v:textbox>
              <w10:wrap type="none"/>
            </v:shape>
          </w:pict>
        </mc:Fallback>
      </mc:AlternateContent>
    </w:r>
  </w:p>
</w:hdr>
</file>

<file path=word/header4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83392">
              <wp:simplePos x="0" y="0"/>
              <wp:positionH relativeFrom="page">
                <wp:posOffset>3771900</wp:posOffset>
              </wp:positionH>
              <wp:positionV relativeFrom="page">
                <wp:posOffset>445854</wp:posOffset>
              </wp:positionV>
              <wp:extent cx="241300" cy="194310"/>
              <wp:effectExtent l="0" t="0" r="0" b="0"/>
              <wp:wrapNone/>
              <wp:docPr id="95" name="Textbox 95"/>
              <wp:cNvGraphicFramePr>
                <a:graphicFrameLocks/>
              </wp:cNvGraphicFramePr>
              <a:graphic>
                <a:graphicData uri="http://schemas.microsoft.com/office/word/2010/wordprocessingShape">
                  <wps:wsp>
                    <wps:cNvPr id="95" name="Textbox 95"/>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33088" type="#_x0000_t202" id="docshape9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57</w:t>
                    </w:r>
                    <w:r>
                      <w:rPr>
                        <w:rFonts w:ascii="Times New Roman"/>
                        <w:spacing w:val="-5"/>
                      </w:rPr>
                      <w:fldChar w:fldCharType="end"/>
                    </w:r>
                  </w:p>
                </w:txbxContent>
              </v:textbox>
              <w10:wrap type="none"/>
            </v:shape>
          </w:pict>
        </mc:Fallback>
      </mc:AlternateContent>
    </w:r>
  </w:p>
</w:hdr>
</file>

<file path=word/header4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84416">
              <wp:simplePos x="0" y="0"/>
              <wp:positionH relativeFrom="page">
                <wp:posOffset>3771900</wp:posOffset>
              </wp:positionH>
              <wp:positionV relativeFrom="page">
                <wp:posOffset>445854</wp:posOffset>
              </wp:positionV>
              <wp:extent cx="241300" cy="194310"/>
              <wp:effectExtent l="0" t="0" r="0" b="0"/>
              <wp:wrapNone/>
              <wp:docPr id="97" name="Textbox 97"/>
              <wp:cNvGraphicFramePr>
                <a:graphicFrameLocks/>
              </wp:cNvGraphicFramePr>
              <a:graphic>
                <a:graphicData uri="http://schemas.microsoft.com/office/word/2010/wordprocessingShape">
                  <wps:wsp>
                    <wps:cNvPr id="97" name="Textbox 97"/>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32064" type="#_x0000_t202" id="docshape9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58</w:t>
                    </w:r>
                    <w:r>
                      <w:rPr>
                        <w:rFonts w:ascii="Times New Roman"/>
                        <w:spacing w:val="-5"/>
                      </w:rPr>
                      <w:fldChar w:fldCharType="end"/>
                    </w:r>
                  </w:p>
                </w:txbxContent>
              </v:textbox>
              <w10:wrap type="none"/>
            </v:shape>
          </w:pict>
        </mc:Fallback>
      </mc:AlternateContent>
    </w:r>
  </w:p>
</w:hdr>
</file>

<file path=word/header4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85440">
              <wp:simplePos x="0" y="0"/>
              <wp:positionH relativeFrom="page">
                <wp:posOffset>3771900</wp:posOffset>
              </wp:positionH>
              <wp:positionV relativeFrom="page">
                <wp:posOffset>445854</wp:posOffset>
              </wp:positionV>
              <wp:extent cx="241300" cy="194310"/>
              <wp:effectExtent l="0" t="0" r="0" b="0"/>
              <wp:wrapNone/>
              <wp:docPr id="99" name="Textbox 99"/>
              <wp:cNvGraphicFramePr>
                <a:graphicFrameLocks/>
              </wp:cNvGraphicFramePr>
              <a:graphic>
                <a:graphicData uri="http://schemas.microsoft.com/office/word/2010/wordprocessingShape">
                  <wps:wsp>
                    <wps:cNvPr id="99" name="Textbox 99"/>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31040" type="#_x0000_t202" id="docshape9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59</w:t>
                    </w:r>
                    <w:r>
                      <w:rPr>
                        <w:rFonts w:ascii="Times New Roman"/>
                        <w:spacing w:val="-5"/>
                      </w:rPr>
                      <w:fldChar w:fldCharType="end"/>
                    </w:r>
                  </w:p>
                </w:txbxContent>
              </v:textbox>
              <w10:wrap type="none"/>
            </v:shape>
          </w:pict>
        </mc:Fallback>
      </mc:AlternateContent>
    </w: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31168">
              <wp:simplePos x="0" y="0"/>
              <wp:positionH relativeFrom="page">
                <wp:posOffset>3808476</wp:posOffset>
              </wp:positionH>
              <wp:positionV relativeFrom="page">
                <wp:posOffset>445854</wp:posOffset>
              </wp:positionV>
              <wp:extent cx="165100" cy="194310"/>
              <wp:effectExtent l="0" t="0" r="0" b="0"/>
              <wp:wrapNone/>
              <wp:docPr id="11" name="Textbox 11"/>
              <wp:cNvGraphicFramePr>
                <a:graphicFrameLocks/>
              </wp:cNvGraphicFramePr>
              <a:graphic>
                <a:graphicData uri="http://schemas.microsoft.com/office/word/2010/wordprocessingShape">
                  <wps:wsp>
                    <wps:cNvPr id="11" name="Textbox 11"/>
                    <wps:cNvSpPr txBox="1"/>
                    <wps:spPr>
                      <a:xfrm>
                        <a:off x="0" y="0"/>
                        <a:ext cx="165100" cy="194310"/>
                      </a:xfrm>
                      <a:prstGeom prst="rect">
                        <a:avLst/>
                      </a:prstGeom>
                    </wps:spPr>
                    <wps:txbx>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6</w:t>
                          </w:r>
                          <w:r>
                            <w:rPr>
                              <w:rFonts w:ascii="Times New Roman"/>
                              <w:spacing w:val="-10"/>
                            </w:rPr>
                            <w:fldChar w:fldCharType="end"/>
                          </w:r>
                        </w:p>
                      </w:txbxContent>
                    </wps:txbx>
                    <wps:bodyPr wrap="square" lIns="0" tIns="0" rIns="0" bIns="0" rtlCol="0">
                      <a:noAutofit/>
                    </wps:bodyPr>
                  </wps:wsp>
                </a:graphicData>
              </a:graphic>
            </wp:anchor>
          </w:drawing>
        </mc:Choice>
        <mc:Fallback>
          <w:pict>
            <v:shape style="position:absolute;margin-left:299.880005pt;margin-top:35.10664pt;width:13pt;height:15.3pt;mso-position-horizontal-relative:page;mso-position-vertical-relative:page;z-index:-36685312" type="#_x0000_t202" id="docshape11" filled="false" stroked="false">
              <v:textbox inset="0,0,0,0">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6</w:t>
                    </w:r>
                    <w:r>
                      <w:rPr>
                        <w:rFonts w:ascii="Times New Roman"/>
                        <w:spacing w:val="-10"/>
                      </w:rPr>
                      <w:fldChar w:fldCharType="end"/>
                    </w:r>
                  </w:p>
                </w:txbxContent>
              </v:textbox>
              <w10:wrap type="none"/>
            </v:shape>
          </w:pict>
        </mc:Fallback>
      </mc:AlternateContent>
    </w:r>
  </w:p>
</w:hdr>
</file>

<file path=word/header5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86464">
              <wp:simplePos x="0" y="0"/>
              <wp:positionH relativeFrom="page">
                <wp:posOffset>3771900</wp:posOffset>
              </wp:positionH>
              <wp:positionV relativeFrom="page">
                <wp:posOffset>445854</wp:posOffset>
              </wp:positionV>
              <wp:extent cx="241300" cy="194310"/>
              <wp:effectExtent l="0" t="0" r="0" b="0"/>
              <wp:wrapNone/>
              <wp:docPr id="101" name="Textbox 101"/>
              <wp:cNvGraphicFramePr>
                <a:graphicFrameLocks/>
              </wp:cNvGraphicFramePr>
              <a:graphic>
                <a:graphicData uri="http://schemas.microsoft.com/office/word/2010/wordprocessingShape">
                  <wps:wsp>
                    <wps:cNvPr id="101" name="Textbox 101"/>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30016" type="#_x0000_t202" id="docshape10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60</w:t>
                    </w:r>
                    <w:r>
                      <w:rPr>
                        <w:rFonts w:ascii="Times New Roman"/>
                        <w:spacing w:val="-5"/>
                      </w:rPr>
                      <w:fldChar w:fldCharType="end"/>
                    </w:r>
                  </w:p>
                </w:txbxContent>
              </v:textbox>
              <w10:wrap type="none"/>
            </v:shape>
          </w:pict>
        </mc:Fallback>
      </mc:AlternateContent>
    </w:r>
  </w:p>
</w:hdr>
</file>

<file path=word/header5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87488">
              <wp:simplePos x="0" y="0"/>
              <wp:positionH relativeFrom="page">
                <wp:posOffset>3771900</wp:posOffset>
              </wp:positionH>
              <wp:positionV relativeFrom="page">
                <wp:posOffset>445854</wp:posOffset>
              </wp:positionV>
              <wp:extent cx="241300" cy="194310"/>
              <wp:effectExtent l="0" t="0" r="0" b="0"/>
              <wp:wrapNone/>
              <wp:docPr id="103" name="Textbox 103"/>
              <wp:cNvGraphicFramePr>
                <a:graphicFrameLocks/>
              </wp:cNvGraphicFramePr>
              <a:graphic>
                <a:graphicData uri="http://schemas.microsoft.com/office/word/2010/wordprocessingShape">
                  <wps:wsp>
                    <wps:cNvPr id="103" name="Textbox 103"/>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28992" type="#_x0000_t202" id="docshape10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61</w:t>
                    </w:r>
                    <w:r>
                      <w:rPr>
                        <w:rFonts w:ascii="Times New Roman"/>
                        <w:spacing w:val="-5"/>
                      </w:rPr>
                      <w:fldChar w:fldCharType="end"/>
                    </w:r>
                  </w:p>
                </w:txbxContent>
              </v:textbox>
              <w10:wrap type="none"/>
            </v:shape>
          </w:pict>
        </mc:Fallback>
      </mc:AlternateContent>
    </w:r>
  </w:p>
</w:hdr>
</file>

<file path=word/header5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88512">
              <wp:simplePos x="0" y="0"/>
              <wp:positionH relativeFrom="page">
                <wp:posOffset>3771900</wp:posOffset>
              </wp:positionH>
              <wp:positionV relativeFrom="page">
                <wp:posOffset>445854</wp:posOffset>
              </wp:positionV>
              <wp:extent cx="241300" cy="194310"/>
              <wp:effectExtent l="0" t="0" r="0" b="0"/>
              <wp:wrapNone/>
              <wp:docPr id="105" name="Textbox 105"/>
              <wp:cNvGraphicFramePr>
                <a:graphicFrameLocks/>
              </wp:cNvGraphicFramePr>
              <a:graphic>
                <a:graphicData uri="http://schemas.microsoft.com/office/word/2010/wordprocessingShape">
                  <wps:wsp>
                    <wps:cNvPr id="105" name="Textbox 105"/>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27968" type="#_x0000_t202" id="docshape10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62</w:t>
                    </w:r>
                    <w:r>
                      <w:rPr>
                        <w:rFonts w:ascii="Times New Roman"/>
                        <w:spacing w:val="-5"/>
                      </w:rPr>
                      <w:fldChar w:fldCharType="end"/>
                    </w:r>
                  </w:p>
                </w:txbxContent>
              </v:textbox>
              <w10:wrap type="none"/>
            </v:shape>
          </w:pict>
        </mc:Fallback>
      </mc:AlternateContent>
    </w:r>
  </w:p>
</w:hdr>
</file>

<file path=word/header5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89536">
              <wp:simplePos x="0" y="0"/>
              <wp:positionH relativeFrom="page">
                <wp:posOffset>3771900</wp:posOffset>
              </wp:positionH>
              <wp:positionV relativeFrom="page">
                <wp:posOffset>445854</wp:posOffset>
              </wp:positionV>
              <wp:extent cx="241300" cy="194310"/>
              <wp:effectExtent l="0" t="0" r="0" b="0"/>
              <wp:wrapNone/>
              <wp:docPr id="107" name="Textbox 107"/>
              <wp:cNvGraphicFramePr>
                <a:graphicFrameLocks/>
              </wp:cNvGraphicFramePr>
              <a:graphic>
                <a:graphicData uri="http://schemas.microsoft.com/office/word/2010/wordprocessingShape">
                  <wps:wsp>
                    <wps:cNvPr id="107" name="Textbox 107"/>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26944" type="#_x0000_t202" id="docshape10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63</w:t>
                    </w:r>
                    <w:r>
                      <w:rPr>
                        <w:rFonts w:ascii="Times New Roman"/>
                        <w:spacing w:val="-5"/>
                      </w:rPr>
                      <w:fldChar w:fldCharType="end"/>
                    </w:r>
                  </w:p>
                </w:txbxContent>
              </v:textbox>
              <w10:wrap type="none"/>
            </v:shape>
          </w:pict>
        </mc:Fallback>
      </mc:AlternateContent>
    </w:r>
  </w:p>
</w:hdr>
</file>

<file path=word/header5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90560">
              <wp:simplePos x="0" y="0"/>
              <wp:positionH relativeFrom="page">
                <wp:posOffset>3771900</wp:posOffset>
              </wp:positionH>
              <wp:positionV relativeFrom="page">
                <wp:posOffset>445854</wp:posOffset>
              </wp:positionV>
              <wp:extent cx="241300" cy="194310"/>
              <wp:effectExtent l="0" t="0" r="0" b="0"/>
              <wp:wrapNone/>
              <wp:docPr id="109" name="Textbox 109"/>
              <wp:cNvGraphicFramePr>
                <a:graphicFrameLocks/>
              </wp:cNvGraphicFramePr>
              <a:graphic>
                <a:graphicData uri="http://schemas.microsoft.com/office/word/2010/wordprocessingShape">
                  <wps:wsp>
                    <wps:cNvPr id="109" name="Textbox 109"/>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25920" type="#_x0000_t202" id="docshape10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64</w:t>
                    </w:r>
                    <w:r>
                      <w:rPr>
                        <w:rFonts w:ascii="Times New Roman"/>
                        <w:spacing w:val="-5"/>
                      </w:rPr>
                      <w:fldChar w:fldCharType="end"/>
                    </w:r>
                  </w:p>
                </w:txbxContent>
              </v:textbox>
              <w10:wrap type="none"/>
            </v:shape>
          </w:pict>
        </mc:Fallback>
      </mc:AlternateContent>
    </w:r>
  </w:p>
</w:hdr>
</file>

<file path=word/header5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91584">
              <wp:simplePos x="0" y="0"/>
              <wp:positionH relativeFrom="page">
                <wp:posOffset>3771900</wp:posOffset>
              </wp:positionH>
              <wp:positionV relativeFrom="page">
                <wp:posOffset>445854</wp:posOffset>
              </wp:positionV>
              <wp:extent cx="241300" cy="194310"/>
              <wp:effectExtent l="0" t="0" r="0" b="0"/>
              <wp:wrapNone/>
              <wp:docPr id="111" name="Textbox 111"/>
              <wp:cNvGraphicFramePr>
                <a:graphicFrameLocks/>
              </wp:cNvGraphicFramePr>
              <a:graphic>
                <a:graphicData uri="http://schemas.microsoft.com/office/word/2010/wordprocessingShape">
                  <wps:wsp>
                    <wps:cNvPr id="111" name="Textbox 111"/>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24896" type="#_x0000_t202" id="docshape11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65</w:t>
                    </w:r>
                    <w:r>
                      <w:rPr>
                        <w:rFonts w:ascii="Times New Roman"/>
                        <w:spacing w:val="-5"/>
                      </w:rPr>
                      <w:fldChar w:fldCharType="end"/>
                    </w:r>
                  </w:p>
                </w:txbxContent>
              </v:textbox>
              <w10:wrap type="none"/>
            </v:shape>
          </w:pict>
        </mc:Fallback>
      </mc:AlternateContent>
    </w:r>
  </w:p>
</w:hdr>
</file>

<file path=word/header5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92608">
              <wp:simplePos x="0" y="0"/>
              <wp:positionH relativeFrom="page">
                <wp:posOffset>3771900</wp:posOffset>
              </wp:positionH>
              <wp:positionV relativeFrom="page">
                <wp:posOffset>445854</wp:posOffset>
              </wp:positionV>
              <wp:extent cx="241300" cy="194310"/>
              <wp:effectExtent l="0" t="0" r="0" b="0"/>
              <wp:wrapNone/>
              <wp:docPr id="113" name="Textbox 113"/>
              <wp:cNvGraphicFramePr>
                <a:graphicFrameLocks/>
              </wp:cNvGraphicFramePr>
              <a:graphic>
                <a:graphicData uri="http://schemas.microsoft.com/office/word/2010/wordprocessingShape">
                  <wps:wsp>
                    <wps:cNvPr id="113" name="Textbox 113"/>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23872" type="#_x0000_t202" id="docshape11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66</w:t>
                    </w:r>
                    <w:r>
                      <w:rPr>
                        <w:rFonts w:ascii="Times New Roman"/>
                        <w:spacing w:val="-5"/>
                      </w:rPr>
                      <w:fldChar w:fldCharType="end"/>
                    </w:r>
                  </w:p>
                </w:txbxContent>
              </v:textbox>
              <w10:wrap type="none"/>
            </v:shape>
          </w:pict>
        </mc:Fallback>
      </mc:AlternateContent>
    </w:r>
  </w:p>
</w:hdr>
</file>

<file path=word/header5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93632">
              <wp:simplePos x="0" y="0"/>
              <wp:positionH relativeFrom="page">
                <wp:posOffset>3771900</wp:posOffset>
              </wp:positionH>
              <wp:positionV relativeFrom="page">
                <wp:posOffset>445854</wp:posOffset>
              </wp:positionV>
              <wp:extent cx="241300" cy="194310"/>
              <wp:effectExtent l="0" t="0" r="0" b="0"/>
              <wp:wrapNone/>
              <wp:docPr id="115" name="Textbox 115"/>
              <wp:cNvGraphicFramePr>
                <a:graphicFrameLocks/>
              </wp:cNvGraphicFramePr>
              <a:graphic>
                <a:graphicData uri="http://schemas.microsoft.com/office/word/2010/wordprocessingShape">
                  <wps:wsp>
                    <wps:cNvPr id="115" name="Textbox 115"/>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22848" type="#_x0000_t202" id="docshape11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67</w:t>
                    </w:r>
                    <w:r>
                      <w:rPr>
                        <w:rFonts w:ascii="Times New Roman"/>
                        <w:spacing w:val="-5"/>
                      </w:rPr>
                      <w:fldChar w:fldCharType="end"/>
                    </w:r>
                  </w:p>
                </w:txbxContent>
              </v:textbox>
              <w10:wrap type="none"/>
            </v:shape>
          </w:pict>
        </mc:Fallback>
      </mc:AlternateContent>
    </w:r>
  </w:p>
</w:hdr>
</file>

<file path=word/header5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94656">
              <wp:simplePos x="0" y="0"/>
              <wp:positionH relativeFrom="page">
                <wp:posOffset>3771900</wp:posOffset>
              </wp:positionH>
              <wp:positionV relativeFrom="page">
                <wp:posOffset>445854</wp:posOffset>
              </wp:positionV>
              <wp:extent cx="241300" cy="194310"/>
              <wp:effectExtent l="0" t="0" r="0" b="0"/>
              <wp:wrapNone/>
              <wp:docPr id="117" name="Textbox 117"/>
              <wp:cNvGraphicFramePr>
                <a:graphicFrameLocks/>
              </wp:cNvGraphicFramePr>
              <a:graphic>
                <a:graphicData uri="http://schemas.microsoft.com/office/word/2010/wordprocessingShape">
                  <wps:wsp>
                    <wps:cNvPr id="117" name="Textbox 117"/>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21824" type="#_x0000_t202" id="docshape11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68</w:t>
                    </w:r>
                    <w:r>
                      <w:rPr>
                        <w:rFonts w:ascii="Times New Roman"/>
                        <w:spacing w:val="-5"/>
                      </w:rPr>
                      <w:fldChar w:fldCharType="end"/>
                    </w:r>
                  </w:p>
                </w:txbxContent>
              </v:textbox>
              <w10:wrap type="none"/>
            </v:shape>
          </w:pict>
        </mc:Fallback>
      </mc:AlternateContent>
    </w:r>
  </w:p>
</w:hdr>
</file>

<file path=word/header5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95680">
              <wp:simplePos x="0" y="0"/>
              <wp:positionH relativeFrom="page">
                <wp:posOffset>3771900</wp:posOffset>
              </wp:positionH>
              <wp:positionV relativeFrom="page">
                <wp:posOffset>445854</wp:posOffset>
              </wp:positionV>
              <wp:extent cx="241300" cy="194310"/>
              <wp:effectExtent l="0" t="0" r="0" b="0"/>
              <wp:wrapNone/>
              <wp:docPr id="119" name="Textbox 119"/>
              <wp:cNvGraphicFramePr>
                <a:graphicFrameLocks/>
              </wp:cNvGraphicFramePr>
              <a:graphic>
                <a:graphicData uri="http://schemas.microsoft.com/office/word/2010/wordprocessingShape">
                  <wps:wsp>
                    <wps:cNvPr id="119" name="Textbox 119"/>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20800" type="#_x0000_t202" id="docshape11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69</w:t>
                    </w:r>
                    <w:r>
                      <w:rPr>
                        <w:rFonts w:ascii="Times New Roman"/>
                        <w:spacing w:val="-5"/>
                      </w:rPr>
                      <w:fldChar w:fldCharType="end"/>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32192">
              <wp:simplePos x="0" y="0"/>
              <wp:positionH relativeFrom="page">
                <wp:posOffset>3808476</wp:posOffset>
              </wp:positionH>
              <wp:positionV relativeFrom="page">
                <wp:posOffset>445854</wp:posOffset>
              </wp:positionV>
              <wp:extent cx="165100" cy="194310"/>
              <wp:effectExtent l="0" t="0" r="0" b="0"/>
              <wp:wrapNone/>
              <wp:docPr id="13" name="Textbox 13"/>
              <wp:cNvGraphicFramePr>
                <a:graphicFrameLocks/>
              </wp:cNvGraphicFramePr>
              <a:graphic>
                <a:graphicData uri="http://schemas.microsoft.com/office/word/2010/wordprocessingShape">
                  <wps:wsp>
                    <wps:cNvPr id="13" name="Textbox 13"/>
                    <wps:cNvSpPr txBox="1"/>
                    <wps:spPr>
                      <a:xfrm>
                        <a:off x="0" y="0"/>
                        <a:ext cx="165100" cy="194310"/>
                      </a:xfrm>
                      <a:prstGeom prst="rect">
                        <a:avLst/>
                      </a:prstGeom>
                    </wps:spPr>
                    <wps:txbx>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7</w:t>
                          </w:r>
                          <w:r>
                            <w:rPr>
                              <w:rFonts w:ascii="Times New Roman"/>
                              <w:spacing w:val="-10"/>
                            </w:rPr>
                            <w:fldChar w:fldCharType="end"/>
                          </w:r>
                        </w:p>
                      </w:txbxContent>
                    </wps:txbx>
                    <wps:bodyPr wrap="square" lIns="0" tIns="0" rIns="0" bIns="0" rtlCol="0">
                      <a:noAutofit/>
                    </wps:bodyPr>
                  </wps:wsp>
                </a:graphicData>
              </a:graphic>
            </wp:anchor>
          </w:drawing>
        </mc:Choice>
        <mc:Fallback>
          <w:pict>
            <v:shape style="position:absolute;margin-left:299.880005pt;margin-top:35.10664pt;width:13pt;height:15.3pt;mso-position-horizontal-relative:page;mso-position-vertical-relative:page;z-index:-36684288" type="#_x0000_t202" id="docshape13" filled="false" stroked="false">
              <v:textbox inset="0,0,0,0">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7</w:t>
                    </w:r>
                    <w:r>
                      <w:rPr>
                        <w:rFonts w:ascii="Times New Roman"/>
                        <w:spacing w:val="-10"/>
                      </w:rPr>
                      <w:fldChar w:fldCharType="end"/>
                    </w:r>
                  </w:p>
                </w:txbxContent>
              </v:textbox>
              <w10:wrap type="none"/>
            </v:shape>
          </w:pict>
        </mc:Fallback>
      </mc:AlternateContent>
    </w:r>
  </w:p>
</w:hdr>
</file>

<file path=word/header6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96704">
              <wp:simplePos x="0" y="0"/>
              <wp:positionH relativeFrom="page">
                <wp:posOffset>3771900</wp:posOffset>
              </wp:positionH>
              <wp:positionV relativeFrom="page">
                <wp:posOffset>445854</wp:posOffset>
              </wp:positionV>
              <wp:extent cx="241300" cy="194310"/>
              <wp:effectExtent l="0" t="0" r="0" b="0"/>
              <wp:wrapNone/>
              <wp:docPr id="121" name="Textbox 121"/>
              <wp:cNvGraphicFramePr>
                <a:graphicFrameLocks/>
              </wp:cNvGraphicFramePr>
              <a:graphic>
                <a:graphicData uri="http://schemas.microsoft.com/office/word/2010/wordprocessingShape">
                  <wps:wsp>
                    <wps:cNvPr id="121" name="Textbox 121"/>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19776" type="#_x0000_t202" id="docshape12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70</w:t>
                    </w:r>
                    <w:r>
                      <w:rPr>
                        <w:rFonts w:ascii="Times New Roman"/>
                        <w:spacing w:val="-5"/>
                      </w:rPr>
                      <w:fldChar w:fldCharType="end"/>
                    </w:r>
                  </w:p>
                </w:txbxContent>
              </v:textbox>
              <w10:wrap type="none"/>
            </v:shape>
          </w:pict>
        </mc:Fallback>
      </mc:AlternateContent>
    </w:r>
  </w:p>
</w:hdr>
</file>

<file path=word/header6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97728">
              <wp:simplePos x="0" y="0"/>
              <wp:positionH relativeFrom="page">
                <wp:posOffset>3771900</wp:posOffset>
              </wp:positionH>
              <wp:positionV relativeFrom="page">
                <wp:posOffset>445854</wp:posOffset>
              </wp:positionV>
              <wp:extent cx="241300" cy="194310"/>
              <wp:effectExtent l="0" t="0" r="0" b="0"/>
              <wp:wrapNone/>
              <wp:docPr id="123" name="Textbox 123"/>
              <wp:cNvGraphicFramePr>
                <a:graphicFrameLocks/>
              </wp:cNvGraphicFramePr>
              <a:graphic>
                <a:graphicData uri="http://schemas.microsoft.com/office/word/2010/wordprocessingShape">
                  <wps:wsp>
                    <wps:cNvPr id="123" name="Textbox 123"/>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18752" type="#_x0000_t202" id="docshape12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71</w:t>
                    </w:r>
                    <w:r>
                      <w:rPr>
                        <w:rFonts w:ascii="Times New Roman"/>
                        <w:spacing w:val="-5"/>
                      </w:rPr>
                      <w:fldChar w:fldCharType="end"/>
                    </w:r>
                  </w:p>
                </w:txbxContent>
              </v:textbox>
              <w10:wrap type="none"/>
            </v:shape>
          </w:pict>
        </mc:Fallback>
      </mc:AlternateContent>
    </w:r>
  </w:p>
</w:hdr>
</file>

<file path=word/header6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98752">
              <wp:simplePos x="0" y="0"/>
              <wp:positionH relativeFrom="page">
                <wp:posOffset>3771900</wp:posOffset>
              </wp:positionH>
              <wp:positionV relativeFrom="page">
                <wp:posOffset>445854</wp:posOffset>
              </wp:positionV>
              <wp:extent cx="241300" cy="194310"/>
              <wp:effectExtent l="0" t="0" r="0" b="0"/>
              <wp:wrapNone/>
              <wp:docPr id="125" name="Textbox 125"/>
              <wp:cNvGraphicFramePr>
                <a:graphicFrameLocks/>
              </wp:cNvGraphicFramePr>
              <a:graphic>
                <a:graphicData uri="http://schemas.microsoft.com/office/word/2010/wordprocessingShape">
                  <wps:wsp>
                    <wps:cNvPr id="125" name="Textbox 125"/>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17728" type="#_x0000_t202" id="docshape12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72</w:t>
                    </w:r>
                    <w:r>
                      <w:rPr>
                        <w:rFonts w:ascii="Times New Roman"/>
                        <w:spacing w:val="-5"/>
                      </w:rPr>
                      <w:fldChar w:fldCharType="end"/>
                    </w:r>
                  </w:p>
                </w:txbxContent>
              </v:textbox>
              <w10:wrap type="none"/>
            </v:shape>
          </w:pict>
        </mc:Fallback>
      </mc:AlternateContent>
    </w:r>
  </w:p>
</w:hdr>
</file>

<file path=word/header6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6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99776">
              <wp:simplePos x="0" y="0"/>
              <wp:positionH relativeFrom="page">
                <wp:posOffset>3771900</wp:posOffset>
              </wp:positionH>
              <wp:positionV relativeFrom="page">
                <wp:posOffset>445854</wp:posOffset>
              </wp:positionV>
              <wp:extent cx="241300" cy="194310"/>
              <wp:effectExtent l="0" t="0" r="0" b="0"/>
              <wp:wrapNone/>
              <wp:docPr id="127" name="Textbox 127"/>
              <wp:cNvGraphicFramePr>
                <a:graphicFrameLocks/>
              </wp:cNvGraphicFramePr>
              <a:graphic>
                <a:graphicData uri="http://schemas.microsoft.com/office/word/2010/wordprocessingShape">
                  <wps:wsp>
                    <wps:cNvPr id="127" name="Textbox 127"/>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16704" type="#_x0000_t202" id="docshape12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74</w:t>
                    </w:r>
                    <w:r>
                      <w:rPr>
                        <w:rFonts w:ascii="Times New Roman"/>
                        <w:spacing w:val="-5"/>
                      </w:rPr>
                      <w:fldChar w:fldCharType="end"/>
                    </w:r>
                  </w:p>
                </w:txbxContent>
              </v:textbox>
              <w10:wrap type="none"/>
            </v:shape>
          </w:pict>
        </mc:Fallback>
      </mc:AlternateContent>
    </w:r>
  </w:p>
</w:hdr>
</file>

<file path=word/header6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00800">
              <wp:simplePos x="0" y="0"/>
              <wp:positionH relativeFrom="page">
                <wp:posOffset>3771900</wp:posOffset>
              </wp:positionH>
              <wp:positionV relativeFrom="page">
                <wp:posOffset>445854</wp:posOffset>
              </wp:positionV>
              <wp:extent cx="241300" cy="194310"/>
              <wp:effectExtent l="0" t="0" r="0" b="0"/>
              <wp:wrapNone/>
              <wp:docPr id="129" name="Textbox 129"/>
              <wp:cNvGraphicFramePr>
                <a:graphicFrameLocks/>
              </wp:cNvGraphicFramePr>
              <a:graphic>
                <a:graphicData uri="http://schemas.microsoft.com/office/word/2010/wordprocessingShape">
                  <wps:wsp>
                    <wps:cNvPr id="129" name="Textbox 129"/>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15680" type="#_x0000_t202" id="docshape12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75</w:t>
                    </w:r>
                    <w:r>
                      <w:rPr>
                        <w:rFonts w:ascii="Times New Roman"/>
                        <w:spacing w:val="-5"/>
                      </w:rPr>
                      <w:fldChar w:fldCharType="end"/>
                    </w:r>
                  </w:p>
                </w:txbxContent>
              </v:textbox>
              <w10:wrap type="none"/>
            </v:shape>
          </w:pict>
        </mc:Fallback>
      </mc:AlternateContent>
    </w:r>
  </w:p>
</w:hdr>
</file>

<file path=word/header6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01824">
              <wp:simplePos x="0" y="0"/>
              <wp:positionH relativeFrom="page">
                <wp:posOffset>3771900</wp:posOffset>
              </wp:positionH>
              <wp:positionV relativeFrom="page">
                <wp:posOffset>445854</wp:posOffset>
              </wp:positionV>
              <wp:extent cx="241300" cy="194310"/>
              <wp:effectExtent l="0" t="0" r="0" b="0"/>
              <wp:wrapNone/>
              <wp:docPr id="131" name="Textbox 131"/>
              <wp:cNvGraphicFramePr>
                <a:graphicFrameLocks/>
              </wp:cNvGraphicFramePr>
              <a:graphic>
                <a:graphicData uri="http://schemas.microsoft.com/office/word/2010/wordprocessingShape">
                  <wps:wsp>
                    <wps:cNvPr id="131" name="Textbox 131"/>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14656" type="#_x0000_t202" id="docshape13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76</w:t>
                    </w:r>
                    <w:r>
                      <w:rPr>
                        <w:rFonts w:ascii="Times New Roman"/>
                        <w:spacing w:val="-5"/>
                      </w:rPr>
                      <w:fldChar w:fldCharType="end"/>
                    </w:r>
                  </w:p>
                </w:txbxContent>
              </v:textbox>
              <w10:wrap type="none"/>
            </v:shape>
          </w:pict>
        </mc:Fallback>
      </mc:AlternateContent>
    </w:r>
  </w:p>
</w:hdr>
</file>

<file path=word/header6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02848">
              <wp:simplePos x="0" y="0"/>
              <wp:positionH relativeFrom="page">
                <wp:posOffset>3771900</wp:posOffset>
              </wp:positionH>
              <wp:positionV relativeFrom="page">
                <wp:posOffset>445854</wp:posOffset>
              </wp:positionV>
              <wp:extent cx="241300" cy="194310"/>
              <wp:effectExtent l="0" t="0" r="0" b="0"/>
              <wp:wrapNone/>
              <wp:docPr id="133" name="Textbox 133"/>
              <wp:cNvGraphicFramePr>
                <a:graphicFrameLocks/>
              </wp:cNvGraphicFramePr>
              <a:graphic>
                <a:graphicData uri="http://schemas.microsoft.com/office/word/2010/wordprocessingShape">
                  <wps:wsp>
                    <wps:cNvPr id="133" name="Textbox 133"/>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13632" type="#_x0000_t202" id="docshape13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77</w:t>
                    </w:r>
                    <w:r>
                      <w:rPr>
                        <w:rFonts w:ascii="Times New Roman"/>
                        <w:spacing w:val="-5"/>
                      </w:rPr>
                      <w:fldChar w:fldCharType="end"/>
                    </w:r>
                  </w:p>
                </w:txbxContent>
              </v:textbox>
              <w10:wrap type="none"/>
            </v:shape>
          </w:pict>
        </mc:Fallback>
      </mc:AlternateContent>
    </w:r>
  </w:p>
</w:hdr>
</file>

<file path=word/header6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03872">
              <wp:simplePos x="0" y="0"/>
              <wp:positionH relativeFrom="page">
                <wp:posOffset>3771900</wp:posOffset>
              </wp:positionH>
              <wp:positionV relativeFrom="page">
                <wp:posOffset>445854</wp:posOffset>
              </wp:positionV>
              <wp:extent cx="241300" cy="194310"/>
              <wp:effectExtent l="0" t="0" r="0" b="0"/>
              <wp:wrapNone/>
              <wp:docPr id="135" name="Textbox 135"/>
              <wp:cNvGraphicFramePr>
                <a:graphicFrameLocks/>
              </wp:cNvGraphicFramePr>
              <a:graphic>
                <a:graphicData uri="http://schemas.microsoft.com/office/word/2010/wordprocessingShape">
                  <wps:wsp>
                    <wps:cNvPr id="135" name="Textbox 135"/>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12608" type="#_x0000_t202" id="docshape13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78</w:t>
                    </w:r>
                    <w:r>
                      <w:rPr>
                        <w:rFonts w:ascii="Times New Roman"/>
                        <w:spacing w:val="-5"/>
                      </w:rPr>
                      <w:fldChar w:fldCharType="end"/>
                    </w:r>
                  </w:p>
                </w:txbxContent>
              </v:textbox>
              <w10:wrap type="none"/>
            </v:shape>
          </w:pict>
        </mc:Fallback>
      </mc:AlternateContent>
    </w:r>
  </w:p>
</w:hdr>
</file>

<file path=word/header6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04896">
              <wp:simplePos x="0" y="0"/>
              <wp:positionH relativeFrom="page">
                <wp:posOffset>3771900</wp:posOffset>
              </wp:positionH>
              <wp:positionV relativeFrom="page">
                <wp:posOffset>445854</wp:posOffset>
              </wp:positionV>
              <wp:extent cx="241300" cy="194310"/>
              <wp:effectExtent l="0" t="0" r="0" b="0"/>
              <wp:wrapNone/>
              <wp:docPr id="137" name="Textbox 137"/>
              <wp:cNvGraphicFramePr>
                <a:graphicFrameLocks/>
              </wp:cNvGraphicFramePr>
              <a:graphic>
                <a:graphicData uri="http://schemas.microsoft.com/office/word/2010/wordprocessingShape">
                  <wps:wsp>
                    <wps:cNvPr id="137" name="Textbox 137"/>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11584" type="#_x0000_t202" id="docshape13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79</w:t>
                    </w:r>
                    <w:r>
                      <w:rPr>
                        <w:rFonts w:ascii="Times New Roman"/>
                        <w:spacing w:val="-5"/>
                      </w:rPr>
                      <w:fldChar w:fldCharType="end"/>
                    </w:r>
                  </w:p>
                </w:txbxContent>
              </v:textbox>
              <w10:wrap type="none"/>
            </v:shape>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33216">
              <wp:simplePos x="0" y="0"/>
              <wp:positionH relativeFrom="page">
                <wp:posOffset>3808476</wp:posOffset>
              </wp:positionH>
              <wp:positionV relativeFrom="page">
                <wp:posOffset>445854</wp:posOffset>
              </wp:positionV>
              <wp:extent cx="165100" cy="194310"/>
              <wp:effectExtent l="0" t="0" r="0" b="0"/>
              <wp:wrapNone/>
              <wp:docPr id="15" name="Textbox 15"/>
              <wp:cNvGraphicFramePr>
                <a:graphicFrameLocks/>
              </wp:cNvGraphicFramePr>
              <a:graphic>
                <a:graphicData uri="http://schemas.microsoft.com/office/word/2010/wordprocessingShape">
                  <wps:wsp>
                    <wps:cNvPr id="15" name="Textbox 15"/>
                    <wps:cNvSpPr txBox="1"/>
                    <wps:spPr>
                      <a:xfrm>
                        <a:off x="0" y="0"/>
                        <a:ext cx="165100" cy="194310"/>
                      </a:xfrm>
                      <a:prstGeom prst="rect">
                        <a:avLst/>
                      </a:prstGeom>
                    </wps:spPr>
                    <wps:txbx>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8</w:t>
                          </w:r>
                          <w:r>
                            <w:rPr>
                              <w:rFonts w:ascii="Times New Roman"/>
                              <w:spacing w:val="-10"/>
                            </w:rPr>
                            <w:fldChar w:fldCharType="end"/>
                          </w:r>
                        </w:p>
                      </w:txbxContent>
                    </wps:txbx>
                    <wps:bodyPr wrap="square" lIns="0" tIns="0" rIns="0" bIns="0" rtlCol="0">
                      <a:noAutofit/>
                    </wps:bodyPr>
                  </wps:wsp>
                </a:graphicData>
              </a:graphic>
            </wp:anchor>
          </w:drawing>
        </mc:Choice>
        <mc:Fallback>
          <w:pict>
            <v:shape style="position:absolute;margin-left:299.880005pt;margin-top:35.10664pt;width:13pt;height:15.3pt;mso-position-horizontal-relative:page;mso-position-vertical-relative:page;z-index:-36683264" type="#_x0000_t202" id="docshape15" filled="false" stroked="false">
              <v:textbox inset="0,0,0,0">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8</w:t>
                    </w:r>
                    <w:r>
                      <w:rPr>
                        <w:rFonts w:ascii="Times New Roman"/>
                        <w:spacing w:val="-10"/>
                      </w:rPr>
                      <w:fldChar w:fldCharType="end"/>
                    </w:r>
                  </w:p>
                </w:txbxContent>
              </v:textbox>
              <w10:wrap type="none"/>
            </v:shape>
          </w:pict>
        </mc:Fallback>
      </mc:AlternateContent>
    </w:r>
  </w:p>
</w:hdr>
</file>

<file path=word/header7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05920">
              <wp:simplePos x="0" y="0"/>
              <wp:positionH relativeFrom="page">
                <wp:posOffset>3771900</wp:posOffset>
              </wp:positionH>
              <wp:positionV relativeFrom="page">
                <wp:posOffset>445854</wp:posOffset>
              </wp:positionV>
              <wp:extent cx="241300" cy="194310"/>
              <wp:effectExtent l="0" t="0" r="0" b="0"/>
              <wp:wrapNone/>
              <wp:docPr id="139" name="Textbox 139"/>
              <wp:cNvGraphicFramePr>
                <a:graphicFrameLocks/>
              </wp:cNvGraphicFramePr>
              <a:graphic>
                <a:graphicData uri="http://schemas.microsoft.com/office/word/2010/wordprocessingShape">
                  <wps:wsp>
                    <wps:cNvPr id="139" name="Textbox 139"/>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10560" type="#_x0000_t202" id="docshape13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80</w:t>
                    </w:r>
                    <w:r>
                      <w:rPr>
                        <w:rFonts w:ascii="Times New Roman"/>
                        <w:spacing w:val="-5"/>
                      </w:rPr>
                      <w:fldChar w:fldCharType="end"/>
                    </w:r>
                  </w:p>
                </w:txbxContent>
              </v:textbox>
              <w10:wrap type="none"/>
            </v:shape>
          </w:pict>
        </mc:Fallback>
      </mc:AlternateContent>
    </w:r>
  </w:p>
</w:hdr>
</file>

<file path=word/header7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06944">
              <wp:simplePos x="0" y="0"/>
              <wp:positionH relativeFrom="page">
                <wp:posOffset>3771900</wp:posOffset>
              </wp:positionH>
              <wp:positionV relativeFrom="page">
                <wp:posOffset>445854</wp:posOffset>
              </wp:positionV>
              <wp:extent cx="241300" cy="194310"/>
              <wp:effectExtent l="0" t="0" r="0" b="0"/>
              <wp:wrapNone/>
              <wp:docPr id="141" name="Textbox 141"/>
              <wp:cNvGraphicFramePr>
                <a:graphicFrameLocks/>
              </wp:cNvGraphicFramePr>
              <a:graphic>
                <a:graphicData uri="http://schemas.microsoft.com/office/word/2010/wordprocessingShape">
                  <wps:wsp>
                    <wps:cNvPr id="141" name="Textbox 141"/>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09536" type="#_x0000_t202" id="docshape14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81</w:t>
                    </w:r>
                    <w:r>
                      <w:rPr>
                        <w:rFonts w:ascii="Times New Roman"/>
                        <w:spacing w:val="-5"/>
                      </w:rPr>
                      <w:fldChar w:fldCharType="end"/>
                    </w:r>
                  </w:p>
                </w:txbxContent>
              </v:textbox>
              <w10:wrap type="none"/>
            </v:shape>
          </w:pict>
        </mc:Fallback>
      </mc:AlternateContent>
    </w:r>
  </w:p>
</w:hdr>
</file>

<file path=word/header7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07968">
              <wp:simplePos x="0" y="0"/>
              <wp:positionH relativeFrom="page">
                <wp:posOffset>3771900</wp:posOffset>
              </wp:positionH>
              <wp:positionV relativeFrom="page">
                <wp:posOffset>445854</wp:posOffset>
              </wp:positionV>
              <wp:extent cx="241300" cy="194310"/>
              <wp:effectExtent l="0" t="0" r="0" b="0"/>
              <wp:wrapNone/>
              <wp:docPr id="143" name="Textbox 143"/>
              <wp:cNvGraphicFramePr>
                <a:graphicFrameLocks/>
              </wp:cNvGraphicFramePr>
              <a:graphic>
                <a:graphicData uri="http://schemas.microsoft.com/office/word/2010/wordprocessingShape">
                  <wps:wsp>
                    <wps:cNvPr id="143" name="Textbox 143"/>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08512" type="#_x0000_t202" id="docshape14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82</w:t>
                    </w:r>
                    <w:r>
                      <w:rPr>
                        <w:rFonts w:ascii="Times New Roman"/>
                        <w:spacing w:val="-5"/>
                      </w:rPr>
                      <w:fldChar w:fldCharType="end"/>
                    </w:r>
                  </w:p>
                </w:txbxContent>
              </v:textbox>
              <w10:wrap type="none"/>
            </v:shape>
          </w:pict>
        </mc:Fallback>
      </mc:AlternateContent>
    </w:r>
  </w:p>
</w:hdr>
</file>

<file path=word/header7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08992">
              <wp:simplePos x="0" y="0"/>
              <wp:positionH relativeFrom="page">
                <wp:posOffset>3771900</wp:posOffset>
              </wp:positionH>
              <wp:positionV relativeFrom="page">
                <wp:posOffset>445854</wp:posOffset>
              </wp:positionV>
              <wp:extent cx="241300" cy="194310"/>
              <wp:effectExtent l="0" t="0" r="0" b="0"/>
              <wp:wrapNone/>
              <wp:docPr id="145" name="Textbox 145"/>
              <wp:cNvGraphicFramePr>
                <a:graphicFrameLocks/>
              </wp:cNvGraphicFramePr>
              <a:graphic>
                <a:graphicData uri="http://schemas.microsoft.com/office/word/2010/wordprocessingShape">
                  <wps:wsp>
                    <wps:cNvPr id="145" name="Textbox 145"/>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07488" type="#_x0000_t202" id="docshape14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83</w:t>
                    </w:r>
                    <w:r>
                      <w:rPr>
                        <w:rFonts w:ascii="Times New Roman"/>
                        <w:spacing w:val="-5"/>
                      </w:rPr>
                      <w:fldChar w:fldCharType="end"/>
                    </w:r>
                  </w:p>
                </w:txbxContent>
              </v:textbox>
              <w10:wrap type="none"/>
            </v:shape>
          </w:pict>
        </mc:Fallback>
      </mc:AlternateContent>
    </w:r>
  </w:p>
</w:hdr>
</file>

<file path=word/header7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10016">
              <wp:simplePos x="0" y="0"/>
              <wp:positionH relativeFrom="page">
                <wp:posOffset>3771900</wp:posOffset>
              </wp:positionH>
              <wp:positionV relativeFrom="page">
                <wp:posOffset>445854</wp:posOffset>
              </wp:positionV>
              <wp:extent cx="241300" cy="194310"/>
              <wp:effectExtent l="0" t="0" r="0" b="0"/>
              <wp:wrapNone/>
              <wp:docPr id="147" name="Textbox 147"/>
              <wp:cNvGraphicFramePr>
                <a:graphicFrameLocks/>
              </wp:cNvGraphicFramePr>
              <a:graphic>
                <a:graphicData uri="http://schemas.microsoft.com/office/word/2010/wordprocessingShape">
                  <wps:wsp>
                    <wps:cNvPr id="147" name="Textbox 147"/>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06464" type="#_x0000_t202" id="docshape14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84</w:t>
                    </w:r>
                    <w:r>
                      <w:rPr>
                        <w:rFonts w:ascii="Times New Roman"/>
                        <w:spacing w:val="-5"/>
                      </w:rPr>
                      <w:fldChar w:fldCharType="end"/>
                    </w:r>
                  </w:p>
                </w:txbxContent>
              </v:textbox>
              <w10:wrap type="none"/>
            </v:shape>
          </w:pict>
        </mc:Fallback>
      </mc:AlternateContent>
    </w:r>
  </w:p>
</w:hdr>
</file>

<file path=word/header7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11040">
              <wp:simplePos x="0" y="0"/>
              <wp:positionH relativeFrom="page">
                <wp:posOffset>3771900</wp:posOffset>
              </wp:positionH>
              <wp:positionV relativeFrom="page">
                <wp:posOffset>445854</wp:posOffset>
              </wp:positionV>
              <wp:extent cx="241300" cy="194310"/>
              <wp:effectExtent l="0" t="0" r="0" b="0"/>
              <wp:wrapNone/>
              <wp:docPr id="149" name="Textbox 149"/>
              <wp:cNvGraphicFramePr>
                <a:graphicFrameLocks/>
              </wp:cNvGraphicFramePr>
              <a:graphic>
                <a:graphicData uri="http://schemas.microsoft.com/office/word/2010/wordprocessingShape">
                  <wps:wsp>
                    <wps:cNvPr id="149" name="Textbox 149"/>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05440" type="#_x0000_t202" id="docshape14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85</w:t>
                    </w:r>
                    <w:r>
                      <w:rPr>
                        <w:rFonts w:ascii="Times New Roman"/>
                        <w:spacing w:val="-5"/>
                      </w:rPr>
                      <w:fldChar w:fldCharType="end"/>
                    </w:r>
                  </w:p>
                </w:txbxContent>
              </v:textbox>
              <w10:wrap type="none"/>
            </v:shape>
          </w:pict>
        </mc:Fallback>
      </mc:AlternateContent>
    </w:r>
  </w:p>
</w:hdr>
</file>

<file path=word/header7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12064">
              <wp:simplePos x="0" y="0"/>
              <wp:positionH relativeFrom="page">
                <wp:posOffset>3771900</wp:posOffset>
              </wp:positionH>
              <wp:positionV relativeFrom="page">
                <wp:posOffset>445854</wp:posOffset>
              </wp:positionV>
              <wp:extent cx="241300" cy="194310"/>
              <wp:effectExtent l="0" t="0" r="0" b="0"/>
              <wp:wrapNone/>
              <wp:docPr id="151" name="Textbox 151"/>
              <wp:cNvGraphicFramePr>
                <a:graphicFrameLocks/>
              </wp:cNvGraphicFramePr>
              <a:graphic>
                <a:graphicData uri="http://schemas.microsoft.com/office/word/2010/wordprocessingShape">
                  <wps:wsp>
                    <wps:cNvPr id="151" name="Textbox 151"/>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04416" type="#_x0000_t202" id="docshape15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86</w:t>
                    </w:r>
                    <w:r>
                      <w:rPr>
                        <w:rFonts w:ascii="Times New Roman"/>
                        <w:spacing w:val="-5"/>
                      </w:rPr>
                      <w:fldChar w:fldCharType="end"/>
                    </w:r>
                  </w:p>
                </w:txbxContent>
              </v:textbox>
              <w10:wrap type="none"/>
            </v:shape>
          </w:pict>
        </mc:Fallback>
      </mc:AlternateContent>
    </w:r>
  </w:p>
</w:hdr>
</file>

<file path=word/header7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13088">
              <wp:simplePos x="0" y="0"/>
              <wp:positionH relativeFrom="page">
                <wp:posOffset>3771900</wp:posOffset>
              </wp:positionH>
              <wp:positionV relativeFrom="page">
                <wp:posOffset>445854</wp:posOffset>
              </wp:positionV>
              <wp:extent cx="241300" cy="194310"/>
              <wp:effectExtent l="0" t="0" r="0" b="0"/>
              <wp:wrapNone/>
              <wp:docPr id="153" name="Textbox 153"/>
              <wp:cNvGraphicFramePr>
                <a:graphicFrameLocks/>
              </wp:cNvGraphicFramePr>
              <a:graphic>
                <a:graphicData uri="http://schemas.microsoft.com/office/word/2010/wordprocessingShape">
                  <wps:wsp>
                    <wps:cNvPr id="153" name="Textbox 153"/>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03392" type="#_x0000_t202" id="docshape15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87</w:t>
                    </w:r>
                    <w:r>
                      <w:rPr>
                        <w:rFonts w:ascii="Times New Roman"/>
                        <w:spacing w:val="-5"/>
                      </w:rPr>
                      <w:fldChar w:fldCharType="end"/>
                    </w:r>
                  </w:p>
                </w:txbxContent>
              </v:textbox>
              <w10:wrap type="none"/>
            </v:shape>
          </w:pict>
        </mc:Fallback>
      </mc:AlternateContent>
    </w:r>
  </w:p>
</w:hdr>
</file>

<file path=word/header7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14112">
              <wp:simplePos x="0" y="0"/>
              <wp:positionH relativeFrom="page">
                <wp:posOffset>3771900</wp:posOffset>
              </wp:positionH>
              <wp:positionV relativeFrom="page">
                <wp:posOffset>445854</wp:posOffset>
              </wp:positionV>
              <wp:extent cx="241300" cy="194310"/>
              <wp:effectExtent l="0" t="0" r="0" b="0"/>
              <wp:wrapNone/>
              <wp:docPr id="155" name="Textbox 155"/>
              <wp:cNvGraphicFramePr>
                <a:graphicFrameLocks/>
              </wp:cNvGraphicFramePr>
              <a:graphic>
                <a:graphicData uri="http://schemas.microsoft.com/office/word/2010/wordprocessingShape">
                  <wps:wsp>
                    <wps:cNvPr id="155" name="Textbox 155"/>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02368" type="#_x0000_t202" id="docshape15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88</w:t>
                    </w:r>
                    <w:r>
                      <w:rPr>
                        <w:rFonts w:ascii="Times New Roman"/>
                        <w:spacing w:val="-5"/>
                      </w:rPr>
                      <w:fldChar w:fldCharType="end"/>
                    </w:r>
                  </w:p>
                </w:txbxContent>
              </v:textbox>
              <w10:wrap type="none"/>
            </v:shape>
          </w:pict>
        </mc:Fallback>
      </mc:AlternateContent>
    </w:r>
  </w:p>
</w:hdr>
</file>

<file path=word/header7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15136">
              <wp:simplePos x="0" y="0"/>
              <wp:positionH relativeFrom="page">
                <wp:posOffset>3771900</wp:posOffset>
              </wp:positionH>
              <wp:positionV relativeFrom="page">
                <wp:posOffset>445854</wp:posOffset>
              </wp:positionV>
              <wp:extent cx="241300" cy="194310"/>
              <wp:effectExtent l="0" t="0" r="0" b="0"/>
              <wp:wrapNone/>
              <wp:docPr id="157" name="Textbox 157"/>
              <wp:cNvGraphicFramePr>
                <a:graphicFrameLocks/>
              </wp:cNvGraphicFramePr>
              <a:graphic>
                <a:graphicData uri="http://schemas.microsoft.com/office/word/2010/wordprocessingShape">
                  <wps:wsp>
                    <wps:cNvPr id="157" name="Textbox 157"/>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01344" type="#_x0000_t202" id="docshape15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89</w:t>
                    </w:r>
                    <w:r>
                      <w:rPr>
                        <w:rFonts w:ascii="Times New Roman"/>
                        <w:spacing w:val="-5"/>
                      </w:rPr>
                      <w:fldChar w:fldCharType="end"/>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34240">
              <wp:simplePos x="0" y="0"/>
              <wp:positionH relativeFrom="page">
                <wp:posOffset>3808476</wp:posOffset>
              </wp:positionH>
              <wp:positionV relativeFrom="page">
                <wp:posOffset>445854</wp:posOffset>
              </wp:positionV>
              <wp:extent cx="165100" cy="194310"/>
              <wp:effectExtent l="0" t="0" r="0" b="0"/>
              <wp:wrapNone/>
              <wp:docPr id="17" name="Textbox 17"/>
              <wp:cNvGraphicFramePr>
                <a:graphicFrameLocks/>
              </wp:cNvGraphicFramePr>
              <a:graphic>
                <a:graphicData uri="http://schemas.microsoft.com/office/word/2010/wordprocessingShape">
                  <wps:wsp>
                    <wps:cNvPr id="17" name="Textbox 17"/>
                    <wps:cNvSpPr txBox="1"/>
                    <wps:spPr>
                      <a:xfrm>
                        <a:off x="0" y="0"/>
                        <a:ext cx="165100" cy="194310"/>
                      </a:xfrm>
                      <a:prstGeom prst="rect">
                        <a:avLst/>
                      </a:prstGeom>
                    </wps:spPr>
                    <wps:txbx>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9</w:t>
                          </w:r>
                          <w:r>
                            <w:rPr>
                              <w:rFonts w:ascii="Times New Roman"/>
                              <w:spacing w:val="-10"/>
                            </w:rPr>
                            <w:fldChar w:fldCharType="end"/>
                          </w:r>
                        </w:p>
                      </w:txbxContent>
                    </wps:txbx>
                    <wps:bodyPr wrap="square" lIns="0" tIns="0" rIns="0" bIns="0" rtlCol="0">
                      <a:noAutofit/>
                    </wps:bodyPr>
                  </wps:wsp>
                </a:graphicData>
              </a:graphic>
            </wp:anchor>
          </w:drawing>
        </mc:Choice>
        <mc:Fallback>
          <w:pict>
            <v:shape style="position:absolute;margin-left:299.880005pt;margin-top:35.10664pt;width:13pt;height:15.3pt;mso-position-horizontal-relative:page;mso-position-vertical-relative:page;z-index:-36682240" type="#_x0000_t202" id="docshape17" filled="false" stroked="false">
              <v:textbox inset="0,0,0,0">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9</w:t>
                    </w:r>
                    <w:r>
                      <w:rPr>
                        <w:rFonts w:ascii="Times New Roman"/>
                        <w:spacing w:val="-10"/>
                      </w:rPr>
                      <w:fldChar w:fldCharType="end"/>
                    </w:r>
                  </w:p>
                </w:txbxContent>
              </v:textbox>
              <w10:wrap type="none"/>
            </v:shape>
          </w:pict>
        </mc:Fallback>
      </mc:AlternateContent>
    </w:r>
  </w:p>
</w:hdr>
</file>

<file path=word/header8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16160">
              <wp:simplePos x="0" y="0"/>
              <wp:positionH relativeFrom="page">
                <wp:posOffset>3771900</wp:posOffset>
              </wp:positionH>
              <wp:positionV relativeFrom="page">
                <wp:posOffset>445854</wp:posOffset>
              </wp:positionV>
              <wp:extent cx="241300" cy="194310"/>
              <wp:effectExtent l="0" t="0" r="0" b="0"/>
              <wp:wrapNone/>
              <wp:docPr id="159" name="Textbox 159"/>
              <wp:cNvGraphicFramePr>
                <a:graphicFrameLocks/>
              </wp:cNvGraphicFramePr>
              <a:graphic>
                <a:graphicData uri="http://schemas.microsoft.com/office/word/2010/wordprocessingShape">
                  <wps:wsp>
                    <wps:cNvPr id="159" name="Textbox 159"/>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00320" type="#_x0000_t202" id="docshape15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90</w:t>
                    </w:r>
                    <w:r>
                      <w:rPr>
                        <w:rFonts w:ascii="Times New Roman"/>
                        <w:spacing w:val="-5"/>
                      </w:rPr>
                      <w:fldChar w:fldCharType="end"/>
                    </w:r>
                  </w:p>
                </w:txbxContent>
              </v:textbox>
              <w10:wrap type="none"/>
            </v:shape>
          </w:pict>
        </mc:Fallback>
      </mc:AlternateContent>
    </w:r>
  </w:p>
</w:hdr>
</file>

<file path=word/header8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17184">
              <wp:simplePos x="0" y="0"/>
              <wp:positionH relativeFrom="page">
                <wp:posOffset>3771900</wp:posOffset>
              </wp:positionH>
              <wp:positionV relativeFrom="page">
                <wp:posOffset>445854</wp:posOffset>
              </wp:positionV>
              <wp:extent cx="241300" cy="194310"/>
              <wp:effectExtent l="0" t="0" r="0" b="0"/>
              <wp:wrapNone/>
              <wp:docPr id="161" name="Textbox 161"/>
              <wp:cNvGraphicFramePr>
                <a:graphicFrameLocks/>
              </wp:cNvGraphicFramePr>
              <a:graphic>
                <a:graphicData uri="http://schemas.microsoft.com/office/word/2010/wordprocessingShape">
                  <wps:wsp>
                    <wps:cNvPr id="161" name="Textbox 161"/>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599296" type="#_x0000_t202" id="docshape16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91</w:t>
                    </w:r>
                    <w:r>
                      <w:rPr>
                        <w:rFonts w:ascii="Times New Roman"/>
                        <w:spacing w:val="-5"/>
                      </w:rPr>
                      <w:fldChar w:fldCharType="end"/>
                    </w:r>
                  </w:p>
                </w:txbxContent>
              </v:textbox>
              <w10:wrap type="none"/>
            </v:shape>
          </w:pict>
        </mc:Fallback>
      </mc:AlternateContent>
    </w:r>
  </w:p>
</w:hdr>
</file>

<file path=word/header8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18208">
              <wp:simplePos x="0" y="0"/>
              <wp:positionH relativeFrom="page">
                <wp:posOffset>3771900</wp:posOffset>
              </wp:positionH>
              <wp:positionV relativeFrom="page">
                <wp:posOffset>445854</wp:posOffset>
              </wp:positionV>
              <wp:extent cx="241300" cy="194310"/>
              <wp:effectExtent l="0" t="0" r="0" b="0"/>
              <wp:wrapNone/>
              <wp:docPr id="163" name="Textbox 163"/>
              <wp:cNvGraphicFramePr>
                <a:graphicFrameLocks/>
              </wp:cNvGraphicFramePr>
              <a:graphic>
                <a:graphicData uri="http://schemas.microsoft.com/office/word/2010/wordprocessingShape">
                  <wps:wsp>
                    <wps:cNvPr id="163" name="Textbox 163"/>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598272" type="#_x0000_t202" id="docshape16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92</w:t>
                    </w:r>
                    <w:r>
                      <w:rPr>
                        <w:rFonts w:ascii="Times New Roman"/>
                        <w:spacing w:val="-5"/>
                      </w:rPr>
                      <w:fldChar w:fldCharType="end"/>
                    </w:r>
                  </w:p>
                </w:txbxContent>
              </v:textbox>
              <w10:wrap type="none"/>
            </v:shape>
          </w:pict>
        </mc:Fallback>
      </mc:AlternateContent>
    </w:r>
  </w:p>
</w:hdr>
</file>

<file path=word/header8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19232">
              <wp:simplePos x="0" y="0"/>
              <wp:positionH relativeFrom="page">
                <wp:posOffset>3771900</wp:posOffset>
              </wp:positionH>
              <wp:positionV relativeFrom="page">
                <wp:posOffset>445854</wp:posOffset>
              </wp:positionV>
              <wp:extent cx="241300" cy="194310"/>
              <wp:effectExtent l="0" t="0" r="0" b="0"/>
              <wp:wrapNone/>
              <wp:docPr id="165" name="Textbox 165"/>
              <wp:cNvGraphicFramePr>
                <a:graphicFrameLocks/>
              </wp:cNvGraphicFramePr>
              <a:graphic>
                <a:graphicData uri="http://schemas.microsoft.com/office/word/2010/wordprocessingShape">
                  <wps:wsp>
                    <wps:cNvPr id="165" name="Textbox 165"/>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597248" type="#_x0000_t202" id="docshape16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93</w:t>
                    </w:r>
                    <w:r>
                      <w:rPr>
                        <w:rFonts w:ascii="Times New Roman"/>
                        <w:spacing w:val="-5"/>
                      </w:rPr>
                      <w:fldChar w:fldCharType="end"/>
                    </w:r>
                  </w:p>
                </w:txbxContent>
              </v:textbox>
              <w10:wrap type="none"/>
            </v:shape>
          </w:pict>
        </mc:Fallback>
      </mc:AlternateContent>
    </w:r>
  </w:p>
</w:hdr>
</file>

<file path=word/header8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20256">
              <wp:simplePos x="0" y="0"/>
              <wp:positionH relativeFrom="page">
                <wp:posOffset>3771900</wp:posOffset>
              </wp:positionH>
              <wp:positionV relativeFrom="page">
                <wp:posOffset>445854</wp:posOffset>
              </wp:positionV>
              <wp:extent cx="241300" cy="194310"/>
              <wp:effectExtent l="0" t="0" r="0" b="0"/>
              <wp:wrapNone/>
              <wp:docPr id="167" name="Textbox 167"/>
              <wp:cNvGraphicFramePr>
                <a:graphicFrameLocks/>
              </wp:cNvGraphicFramePr>
              <a:graphic>
                <a:graphicData uri="http://schemas.microsoft.com/office/word/2010/wordprocessingShape">
                  <wps:wsp>
                    <wps:cNvPr id="167" name="Textbox 167"/>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596224" type="#_x0000_t202" id="docshape16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94</w:t>
                    </w:r>
                    <w:r>
                      <w:rPr>
                        <w:rFonts w:ascii="Times New Roman"/>
                        <w:spacing w:val="-5"/>
                      </w:rPr>
                      <w:fldChar w:fldCharType="end"/>
                    </w:r>
                  </w:p>
                </w:txbxContent>
              </v:textbox>
              <w10:wrap type="none"/>
            </v:shape>
          </w:pict>
        </mc:Fallback>
      </mc:AlternateContent>
    </w:r>
  </w:p>
</w:hdr>
</file>

<file path=word/header8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21280">
              <wp:simplePos x="0" y="0"/>
              <wp:positionH relativeFrom="page">
                <wp:posOffset>3771900</wp:posOffset>
              </wp:positionH>
              <wp:positionV relativeFrom="page">
                <wp:posOffset>445854</wp:posOffset>
              </wp:positionV>
              <wp:extent cx="241300" cy="194310"/>
              <wp:effectExtent l="0" t="0" r="0" b="0"/>
              <wp:wrapNone/>
              <wp:docPr id="169" name="Textbox 169"/>
              <wp:cNvGraphicFramePr>
                <a:graphicFrameLocks/>
              </wp:cNvGraphicFramePr>
              <a:graphic>
                <a:graphicData uri="http://schemas.microsoft.com/office/word/2010/wordprocessingShape">
                  <wps:wsp>
                    <wps:cNvPr id="169" name="Textbox 169"/>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595200" type="#_x0000_t202" id="docshape16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95</w:t>
                    </w:r>
                    <w:r>
                      <w:rPr>
                        <w:rFonts w:ascii="Times New Roman"/>
                        <w:spacing w:val="-5"/>
                      </w:rPr>
                      <w:fldChar w:fldCharType="end"/>
                    </w:r>
                  </w:p>
                </w:txbxContent>
              </v:textbox>
              <w10:wrap type="none"/>
            </v:shape>
          </w:pict>
        </mc:Fallback>
      </mc:AlternateContent>
    </w:r>
  </w:p>
</w:hdr>
</file>

<file path=word/header8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22304">
              <wp:simplePos x="0" y="0"/>
              <wp:positionH relativeFrom="page">
                <wp:posOffset>3771900</wp:posOffset>
              </wp:positionH>
              <wp:positionV relativeFrom="page">
                <wp:posOffset>445854</wp:posOffset>
              </wp:positionV>
              <wp:extent cx="241300" cy="194310"/>
              <wp:effectExtent l="0" t="0" r="0" b="0"/>
              <wp:wrapNone/>
              <wp:docPr id="171" name="Textbox 171"/>
              <wp:cNvGraphicFramePr>
                <a:graphicFrameLocks/>
              </wp:cNvGraphicFramePr>
              <a:graphic>
                <a:graphicData uri="http://schemas.microsoft.com/office/word/2010/wordprocessingShape">
                  <wps:wsp>
                    <wps:cNvPr id="171" name="Textbox 171"/>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594176" type="#_x0000_t202" id="docshape17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96</w:t>
                    </w:r>
                    <w:r>
                      <w:rPr>
                        <w:rFonts w:ascii="Times New Roman"/>
                        <w:spacing w:val="-5"/>
                      </w:rPr>
                      <w:fldChar w:fldCharType="end"/>
                    </w:r>
                  </w:p>
                </w:txbxContent>
              </v:textbox>
              <w10:wrap type="none"/>
            </v:shape>
          </w:pict>
        </mc:Fallback>
      </mc:AlternateContent>
    </w:r>
  </w:p>
</w:hdr>
</file>

<file path=word/header8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23328">
              <wp:simplePos x="0" y="0"/>
              <wp:positionH relativeFrom="page">
                <wp:posOffset>3771900</wp:posOffset>
              </wp:positionH>
              <wp:positionV relativeFrom="page">
                <wp:posOffset>445854</wp:posOffset>
              </wp:positionV>
              <wp:extent cx="241300" cy="194310"/>
              <wp:effectExtent l="0" t="0" r="0" b="0"/>
              <wp:wrapNone/>
              <wp:docPr id="173" name="Textbox 173"/>
              <wp:cNvGraphicFramePr>
                <a:graphicFrameLocks/>
              </wp:cNvGraphicFramePr>
              <a:graphic>
                <a:graphicData uri="http://schemas.microsoft.com/office/word/2010/wordprocessingShape">
                  <wps:wsp>
                    <wps:cNvPr id="173" name="Textbox 173"/>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593152" type="#_x0000_t202" id="docshape17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97</w:t>
                    </w:r>
                    <w:r>
                      <w:rPr>
                        <w:rFonts w:ascii="Times New Roman"/>
                        <w:spacing w:val="-5"/>
                      </w:rPr>
                      <w:fldChar w:fldCharType="end"/>
                    </w:r>
                  </w:p>
                </w:txbxContent>
              </v:textbox>
              <w10:wrap type="none"/>
            </v:shape>
          </w:pict>
        </mc:Fallback>
      </mc:AlternateContent>
    </w:r>
  </w:p>
</w:hdr>
</file>

<file path=word/header8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24352">
              <wp:simplePos x="0" y="0"/>
              <wp:positionH relativeFrom="page">
                <wp:posOffset>3771900</wp:posOffset>
              </wp:positionH>
              <wp:positionV relativeFrom="page">
                <wp:posOffset>445854</wp:posOffset>
              </wp:positionV>
              <wp:extent cx="241300" cy="194310"/>
              <wp:effectExtent l="0" t="0" r="0" b="0"/>
              <wp:wrapNone/>
              <wp:docPr id="175" name="Textbox 175"/>
              <wp:cNvGraphicFramePr>
                <a:graphicFrameLocks/>
              </wp:cNvGraphicFramePr>
              <a:graphic>
                <a:graphicData uri="http://schemas.microsoft.com/office/word/2010/wordprocessingShape">
                  <wps:wsp>
                    <wps:cNvPr id="175" name="Textbox 175"/>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592128" type="#_x0000_t202" id="docshape17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98</w:t>
                    </w:r>
                    <w:r>
                      <w:rPr>
                        <w:rFonts w:ascii="Times New Roman"/>
                        <w:spacing w:val="-5"/>
                      </w:rPr>
                      <w:fldChar w:fldCharType="end"/>
                    </w:r>
                  </w:p>
                </w:txbxContent>
              </v:textbox>
              <w10:wrap type="none"/>
            </v:shape>
          </w:pict>
        </mc:Fallback>
      </mc:AlternateContent>
    </w:r>
  </w:p>
</w:hdr>
</file>

<file path=word/header8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25376">
              <wp:simplePos x="0" y="0"/>
              <wp:positionH relativeFrom="page">
                <wp:posOffset>3771900</wp:posOffset>
              </wp:positionH>
              <wp:positionV relativeFrom="page">
                <wp:posOffset>445854</wp:posOffset>
              </wp:positionV>
              <wp:extent cx="241300" cy="194310"/>
              <wp:effectExtent l="0" t="0" r="0" b="0"/>
              <wp:wrapNone/>
              <wp:docPr id="177" name="Textbox 177"/>
              <wp:cNvGraphicFramePr>
                <a:graphicFrameLocks/>
              </wp:cNvGraphicFramePr>
              <a:graphic>
                <a:graphicData uri="http://schemas.microsoft.com/office/word/2010/wordprocessingShape">
                  <wps:wsp>
                    <wps:cNvPr id="177" name="Textbox 177"/>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591104" type="#_x0000_t202" id="docshape17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99</w:t>
                    </w:r>
                    <w:r>
                      <w:rPr>
                        <w:rFonts w:ascii="Times New Roman"/>
                        <w:spacing w:val="-5"/>
                      </w:rPr>
                      <w:fldChar w:fldCharType="end"/>
                    </w:r>
                  </w:p>
                </w:txbxContent>
              </v:textbox>
              <w10:wrap type="none"/>
            </v:shape>
          </w:pict>
        </mc:Fallback>
      </mc:AlternateContent>
    </w: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644480">
              <wp:simplePos x="0" y="0"/>
              <wp:positionH relativeFrom="page">
                <wp:posOffset>3771900</wp:posOffset>
              </wp:positionH>
              <wp:positionV relativeFrom="page">
                <wp:posOffset>445854</wp:posOffset>
              </wp:positionV>
              <wp:extent cx="241300" cy="194310"/>
              <wp:effectExtent l="0" t="0" r="0" b="0"/>
              <wp:wrapNone/>
              <wp:docPr id="19" name="Textbox 19"/>
              <wp:cNvGraphicFramePr>
                <a:graphicFrameLocks/>
              </wp:cNvGraphicFramePr>
              <a:graphic>
                <a:graphicData uri="http://schemas.microsoft.com/office/word/2010/wordprocessingShape">
                  <wps:wsp>
                    <wps:cNvPr id="19" name="Textbox 19"/>
                    <wps:cNvSpPr txBox="1"/>
                    <wps:spPr>
                      <a:xfrm>
                        <a:off x="0" y="0"/>
                        <a:ext cx="2413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7pt;margin-top:35.10664pt;width:19pt;height:15.3pt;mso-position-horizontal-relative:page;mso-position-vertical-relative:page;z-index:-36672000" type="#_x0000_t202" id="docshape1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19</w:t>
                    </w:r>
                    <w:r>
                      <w:rPr>
                        <w:rFonts w:ascii="Times New Roman"/>
                        <w:spacing w:val="-5"/>
                      </w:rPr>
                      <w:fldChar w:fldCharType="end"/>
                    </w:r>
                  </w:p>
                </w:txbxContent>
              </v:textbox>
              <w10:wrap type="none"/>
            </v:shape>
          </w:pict>
        </mc:Fallback>
      </mc:AlternateContent>
    </w:r>
  </w:p>
</w:hdr>
</file>

<file path=word/header9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26400">
              <wp:simplePos x="0" y="0"/>
              <wp:positionH relativeFrom="page">
                <wp:posOffset>3732276</wp:posOffset>
              </wp:positionH>
              <wp:positionV relativeFrom="page">
                <wp:posOffset>445854</wp:posOffset>
              </wp:positionV>
              <wp:extent cx="317500" cy="194310"/>
              <wp:effectExtent l="0" t="0" r="0" b="0"/>
              <wp:wrapNone/>
              <wp:docPr id="179" name="Textbox 179"/>
              <wp:cNvGraphicFramePr>
                <a:graphicFrameLocks/>
              </wp:cNvGraphicFramePr>
              <a:graphic>
                <a:graphicData uri="http://schemas.microsoft.com/office/word/2010/wordprocessingShape">
                  <wps:wsp>
                    <wps:cNvPr id="179" name="Textbox 17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90080" type="#_x0000_t202" id="docshape17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100</w:t>
                    </w:r>
                    <w:r>
                      <w:rPr>
                        <w:rFonts w:ascii="Times New Roman"/>
                        <w:spacing w:val="-5"/>
                      </w:rPr>
                      <w:fldChar w:fldCharType="end"/>
                    </w:r>
                  </w:p>
                </w:txbxContent>
              </v:textbox>
              <w10:wrap type="none"/>
            </v:shape>
          </w:pict>
        </mc:Fallback>
      </mc:AlternateContent>
    </w:r>
  </w:p>
</w:hdr>
</file>

<file path=word/header9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27424">
              <wp:simplePos x="0" y="0"/>
              <wp:positionH relativeFrom="page">
                <wp:posOffset>3732276</wp:posOffset>
              </wp:positionH>
              <wp:positionV relativeFrom="page">
                <wp:posOffset>445854</wp:posOffset>
              </wp:positionV>
              <wp:extent cx="317500" cy="194310"/>
              <wp:effectExtent l="0" t="0" r="0" b="0"/>
              <wp:wrapNone/>
              <wp:docPr id="181" name="Textbox 181"/>
              <wp:cNvGraphicFramePr>
                <a:graphicFrameLocks/>
              </wp:cNvGraphicFramePr>
              <a:graphic>
                <a:graphicData uri="http://schemas.microsoft.com/office/word/2010/wordprocessingShape">
                  <wps:wsp>
                    <wps:cNvPr id="181" name="Textbox 18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89056" type="#_x0000_t202" id="docshape18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101</w:t>
                    </w:r>
                    <w:r>
                      <w:rPr>
                        <w:rFonts w:ascii="Times New Roman"/>
                        <w:spacing w:val="-5"/>
                      </w:rPr>
                      <w:fldChar w:fldCharType="end"/>
                    </w:r>
                  </w:p>
                </w:txbxContent>
              </v:textbox>
              <w10:wrap type="none"/>
            </v:shape>
          </w:pict>
        </mc:Fallback>
      </mc:AlternateContent>
    </w:r>
  </w:p>
</w:hdr>
</file>

<file path=word/header9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28448">
              <wp:simplePos x="0" y="0"/>
              <wp:positionH relativeFrom="page">
                <wp:posOffset>3732276</wp:posOffset>
              </wp:positionH>
              <wp:positionV relativeFrom="page">
                <wp:posOffset>445854</wp:posOffset>
              </wp:positionV>
              <wp:extent cx="317500" cy="194310"/>
              <wp:effectExtent l="0" t="0" r="0" b="0"/>
              <wp:wrapNone/>
              <wp:docPr id="183" name="Textbox 183"/>
              <wp:cNvGraphicFramePr>
                <a:graphicFrameLocks/>
              </wp:cNvGraphicFramePr>
              <a:graphic>
                <a:graphicData uri="http://schemas.microsoft.com/office/word/2010/wordprocessingShape">
                  <wps:wsp>
                    <wps:cNvPr id="183" name="Textbox 18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88032" type="#_x0000_t202" id="docshape18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102</w:t>
                    </w:r>
                    <w:r>
                      <w:rPr>
                        <w:rFonts w:ascii="Times New Roman"/>
                        <w:spacing w:val="-5"/>
                      </w:rPr>
                      <w:fldChar w:fldCharType="end"/>
                    </w:r>
                  </w:p>
                </w:txbxContent>
              </v:textbox>
              <w10:wrap type="none"/>
            </v:shape>
          </w:pict>
        </mc:Fallback>
      </mc:AlternateContent>
    </w:r>
  </w:p>
</w:hdr>
</file>

<file path=word/header9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29472">
              <wp:simplePos x="0" y="0"/>
              <wp:positionH relativeFrom="page">
                <wp:posOffset>3732276</wp:posOffset>
              </wp:positionH>
              <wp:positionV relativeFrom="page">
                <wp:posOffset>445854</wp:posOffset>
              </wp:positionV>
              <wp:extent cx="317500" cy="194310"/>
              <wp:effectExtent l="0" t="0" r="0" b="0"/>
              <wp:wrapNone/>
              <wp:docPr id="185" name="Textbox 185"/>
              <wp:cNvGraphicFramePr>
                <a:graphicFrameLocks/>
              </wp:cNvGraphicFramePr>
              <a:graphic>
                <a:graphicData uri="http://schemas.microsoft.com/office/word/2010/wordprocessingShape">
                  <wps:wsp>
                    <wps:cNvPr id="185" name="Textbox 18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87008" type="#_x0000_t202" id="docshape18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103</w:t>
                    </w:r>
                    <w:r>
                      <w:rPr>
                        <w:rFonts w:ascii="Times New Roman"/>
                        <w:spacing w:val="-5"/>
                      </w:rPr>
                      <w:fldChar w:fldCharType="end"/>
                    </w:r>
                  </w:p>
                </w:txbxContent>
              </v:textbox>
              <w10:wrap type="none"/>
            </v:shape>
          </w:pict>
        </mc:Fallback>
      </mc:AlternateContent>
    </w:r>
  </w:p>
</w:hdr>
</file>

<file path=word/header9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30496">
              <wp:simplePos x="0" y="0"/>
              <wp:positionH relativeFrom="page">
                <wp:posOffset>3732276</wp:posOffset>
              </wp:positionH>
              <wp:positionV relativeFrom="page">
                <wp:posOffset>445854</wp:posOffset>
              </wp:positionV>
              <wp:extent cx="317500" cy="194310"/>
              <wp:effectExtent l="0" t="0" r="0" b="0"/>
              <wp:wrapNone/>
              <wp:docPr id="187" name="Textbox 187"/>
              <wp:cNvGraphicFramePr>
                <a:graphicFrameLocks/>
              </wp:cNvGraphicFramePr>
              <a:graphic>
                <a:graphicData uri="http://schemas.microsoft.com/office/word/2010/wordprocessingShape">
                  <wps:wsp>
                    <wps:cNvPr id="187" name="Textbox 18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85984" type="#_x0000_t202" id="docshape18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104</w:t>
                    </w:r>
                    <w:r>
                      <w:rPr>
                        <w:rFonts w:ascii="Times New Roman"/>
                        <w:spacing w:val="-5"/>
                      </w:rPr>
                      <w:fldChar w:fldCharType="end"/>
                    </w:r>
                  </w:p>
                </w:txbxContent>
              </v:textbox>
              <w10:wrap type="none"/>
            </v:shape>
          </w:pict>
        </mc:Fallback>
      </mc:AlternateContent>
    </w:r>
  </w:p>
</w:hdr>
</file>

<file path=word/header9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31520">
              <wp:simplePos x="0" y="0"/>
              <wp:positionH relativeFrom="page">
                <wp:posOffset>3732276</wp:posOffset>
              </wp:positionH>
              <wp:positionV relativeFrom="page">
                <wp:posOffset>445854</wp:posOffset>
              </wp:positionV>
              <wp:extent cx="317500" cy="194310"/>
              <wp:effectExtent l="0" t="0" r="0" b="0"/>
              <wp:wrapNone/>
              <wp:docPr id="189" name="Textbox 189"/>
              <wp:cNvGraphicFramePr>
                <a:graphicFrameLocks/>
              </wp:cNvGraphicFramePr>
              <a:graphic>
                <a:graphicData uri="http://schemas.microsoft.com/office/word/2010/wordprocessingShape">
                  <wps:wsp>
                    <wps:cNvPr id="189" name="Textbox 189"/>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84960" type="#_x0000_t202" id="docshape18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105</w:t>
                    </w:r>
                    <w:r>
                      <w:rPr>
                        <w:rFonts w:ascii="Times New Roman"/>
                        <w:spacing w:val="-5"/>
                      </w:rPr>
                      <w:fldChar w:fldCharType="end"/>
                    </w:r>
                  </w:p>
                </w:txbxContent>
              </v:textbox>
              <w10:wrap type="none"/>
            </v:shape>
          </w:pict>
        </mc:Fallback>
      </mc:AlternateContent>
    </w:r>
  </w:p>
</w:hdr>
</file>

<file path=word/header9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32544">
              <wp:simplePos x="0" y="0"/>
              <wp:positionH relativeFrom="page">
                <wp:posOffset>3732276</wp:posOffset>
              </wp:positionH>
              <wp:positionV relativeFrom="page">
                <wp:posOffset>445854</wp:posOffset>
              </wp:positionV>
              <wp:extent cx="317500" cy="194310"/>
              <wp:effectExtent l="0" t="0" r="0" b="0"/>
              <wp:wrapNone/>
              <wp:docPr id="191" name="Textbox 191"/>
              <wp:cNvGraphicFramePr>
                <a:graphicFrameLocks/>
              </wp:cNvGraphicFramePr>
              <a:graphic>
                <a:graphicData uri="http://schemas.microsoft.com/office/word/2010/wordprocessingShape">
                  <wps:wsp>
                    <wps:cNvPr id="191" name="Textbox 191"/>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83936" type="#_x0000_t202" id="docshape19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106</w:t>
                    </w:r>
                    <w:r>
                      <w:rPr>
                        <w:rFonts w:ascii="Times New Roman"/>
                        <w:spacing w:val="-5"/>
                      </w:rPr>
                      <w:fldChar w:fldCharType="end"/>
                    </w:r>
                  </w:p>
                </w:txbxContent>
              </v:textbox>
              <w10:wrap type="none"/>
            </v:shape>
          </w:pict>
        </mc:Fallback>
      </mc:AlternateContent>
    </w:r>
  </w:p>
</w:hdr>
</file>

<file path=word/header9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33568">
              <wp:simplePos x="0" y="0"/>
              <wp:positionH relativeFrom="page">
                <wp:posOffset>3732276</wp:posOffset>
              </wp:positionH>
              <wp:positionV relativeFrom="page">
                <wp:posOffset>445854</wp:posOffset>
              </wp:positionV>
              <wp:extent cx="317500" cy="194310"/>
              <wp:effectExtent l="0" t="0" r="0" b="0"/>
              <wp:wrapNone/>
              <wp:docPr id="193" name="Textbox 193"/>
              <wp:cNvGraphicFramePr>
                <a:graphicFrameLocks/>
              </wp:cNvGraphicFramePr>
              <a:graphic>
                <a:graphicData uri="http://schemas.microsoft.com/office/word/2010/wordprocessingShape">
                  <wps:wsp>
                    <wps:cNvPr id="193" name="Textbox 193"/>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82912" type="#_x0000_t202" id="docshape19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107</w:t>
                    </w:r>
                    <w:r>
                      <w:rPr>
                        <w:rFonts w:ascii="Times New Roman"/>
                        <w:spacing w:val="-5"/>
                      </w:rPr>
                      <w:fldChar w:fldCharType="end"/>
                    </w:r>
                  </w:p>
                </w:txbxContent>
              </v:textbox>
              <w10:wrap type="none"/>
            </v:shape>
          </w:pict>
        </mc:Fallback>
      </mc:AlternateContent>
    </w:r>
  </w:p>
</w:hdr>
</file>

<file path=word/header9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34592">
              <wp:simplePos x="0" y="0"/>
              <wp:positionH relativeFrom="page">
                <wp:posOffset>3732276</wp:posOffset>
              </wp:positionH>
              <wp:positionV relativeFrom="page">
                <wp:posOffset>445854</wp:posOffset>
              </wp:positionV>
              <wp:extent cx="317500" cy="194310"/>
              <wp:effectExtent l="0" t="0" r="0" b="0"/>
              <wp:wrapNone/>
              <wp:docPr id="195" name="Textbox 195"/>
              <wp:cNvGraphicFramePr>
                <a:graphicFrameLocks/>
              </wp:cNvGraphicFramePr>
              <a:graphic>
                <a:graphicData uri="http://schemas.microsoft.com/office/word/2010/wordprocessingShape">
                  <wps:wsp>
                    <wps:cNvPr id="195" name="Textbox 195"/>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81888" type="#_x0000_t202" id="docshape19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108</w:t>
                    </w:r>
                    <w:r>
                      <w:rPr>
                        <w:rFonts w:ascii="Times New Roman"/>
                        <w:spacing w:val="-5"/>
                      </w:rPr>
                      <w:fldChar w:fldCharType="end"/>
                    </w:r>
                  </w:p>
                </w:txbxContent>
              </v:textbox>
              <w10:wrap type="none"/>
            </v:shape>
          </w:pict>
        </mc:Fallback>
      </mc:AlternateContent>
    </w:r>
  </w:p>
</w:hdr>
</file>

<file path=word/header9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6735616">
              <wp:simplePos x="0" y="0"/>
              <wp:positionH relativeFrom="page">
                <wp:posOffset>3732276</wp:posOffset>
              </wp:positionH>
              <wp:positionV relativeFrom="page">
                <wp:posOffset>445854</wp:posOffset>
              </wp:positionV>
              <wp:extent cx="317500" cy="194310"/>
              <wp:effectExtent l="0" t="0" r="0" b="0"/>
              <wp:wrapNone/>
              <wp:docPr id="197" name="Textbox 197"/>
              <wp:cNvGraphicFramePr>
                <a:graphicFrameLocks/>
              </wp:cNvGraphicFramePr>
              <a:graphic>
                <a:graphicData uri="http://schemas.microsoft.com/office/word/2010/wordprocessingShape">
                  <wps:wsp>
                    <wps:cNvPr id="197" name="Textbox 197"/>
                    <wps:cNvSpPr txBox="1"/>
                    <wps:spPr>
                      <a:xfrm>
                        <a:off x="0" y="0"/>
                        <a:ext cx="31750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293.880005pt;margin-top:35.10664pt;width:25pt;height:15.3pt;mso-position-horizontal-relative:page;mso-position-vertical-relative:page;z-index:-36580864" type="#_x0000_t202" id="docshape19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109</w:t>
                    </w:r>
                    <w:r>
                      <w:rPr>
                        <w:rFonts w:ascii="Times New Roman"/>
                        <w:spacing w:val="-5"/>
                      </w:rPr>
                      <w:fldChar w:fldCharType="end"/>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31">
    <w:multiLevelType w:val="hybridMultilevel"/>
    <w:lvl w:ilvl="0">
      <w:start w:val="1"/>
      <w:numFmt w:val="lowerRoman"/>
      <w:lvlText w:val="%1."/>
      <w:lvlJc w:val="left"/>
      <w:pPr>
        <w:ind w:left="2620" w:hanging="720"/>
        <w:jc w:val="left"/>
      </w:pPr>
      <w:rPr>
        <w:rFonts w:hint="default" w:ascii="Arial MT" w:hAnsi="Arial MT" w:eastAsia="Arial MT" w:cs="Arial MT"/>
        <w:b w:val="0"/>
        <w:bCs w:val="0"/>
        <w:i w:val="0"/>
        <w:iCs w:val="0"/>
        <w:spacing w:val="0"/>
        <w:w w:val="99"/>
        <w:sz w:val="24"/>
        <w:szCs w:val="24"/>
        <w:lang w:val="en-US" w:eastAsia="en-US" w:bidi="ar-SA"/>
      </w:rPr>
    </w:lvl>
    <w:lvl w:ilvl="1">
      <w:start w:val="0"/>
      <w:numFmt w:val="bullet"/>
      <w:lvlText w:val="•"/>
      <w:lvlJc w:val="left"/>
      <w:pPr>
        <w:ind w:left="3316" w:hanging="720"/>
      </w:pPr>
      <w:rPr>
        <w:rFonts w:hint="default"/>
        <w:lang w:val="en-US" w:eastAsia="en-US" w:bidi="ar-SA"/>
      </w:rPr>
    </w:lvl>
    <w:lvl w:ilvl="2">
      <w:start w:val="0"/>
      <w:numFmt w:val="bullet"/>
      <w:lvlText w:val="•"/>
      <w:lvlJc w:val="left"/>
      <w:pPr>
        <w:ind w:left="4012" w:hanging="720"/>
      </w:pPr>
      <w:rPr>
        <w:rFonts w:hint="default"/>
        <w:lang w:val="en-US" w:eastAsia="en-US" w:bidi="ar-SA"/>
      </w:rPr>
    </w:lvl>
    <w:lvl w:ilvl="3">
      <w:start w:val="0"/>
      <w:numFmt w:val="bullet"/>
      <w:lvlText w:val="•"/>
      <w:lvlJc w:val="left"/>
      <w:pPr>
        <w:ind w:left="4708" w:hanging="720"/>
      </w:pPr>
      <w:rPr>
        <w:rFonts w:hint="default"/>
        <w:lang w:val="en-US" w:eastAsia="en-US" w:bidi="ar-SA"/>
      </w:rPr>
    </w:lvl>
    <w:lvl w:ilvl="4">
      <w:start w:val="0"/>
      <w:numFmt w:val="bullet"/>
      <w:lvlText w:val="•"/>
      <w:lvlJc w:val="left"/>
      <w:pPr>
        <w:ind w:left="5404" w:hanging="720"/>
      </w:pPr>
      <w:rPr>
        <w:rFonts w:hint="default"/>
        <w:lang w:val="en-US" w:eastAsia="en-US" w:bidi="ar-SA"/>
      </w:rPr>
    </w:lvl>
    <w:lvl w:ilvl="5">
      <w:start w:val="0"/>
      <w:numFmt w:val="bullet"/>
      <w:lvlText w:val="•"/>
      <w:lvlJc w:val="left"/>
      <w:pPr>
        <w:ind w:left="6100" w:hanging="720"/>
      </w:pPr>
      <w:rPr>
        <w:rFonts w:hint="default"/>
        <w:lang w:val="en-US" w:eastAsia="en-US" w:bidi="ar-SA"/>
      </w:rPr>
    </w:lvl>
    <w:lvl w:ilvl="6">
      <w:start w:val="0"/>
      <w:numFmt w:val="bullet"/>
      <w:lvlText w:val="•"/>
      <w:lvlJc w:val="left"/>
      <w:pPr>
        <w:ind w:left="6796" w:hanging="720"/>
      </w:pPr>
      <w:rPr>
        <w:rFonts w:hint="default"/>
        <w:lang w:val="en-US" w:eastAsia="en-US" w:bidi="ar-SA"/>
      </w:rPr>
    </w:lvl>
    <w:lvl w:ilvl="7">
      <w:start w:val="0"/>
      <w:numFmt w:val="bullet"/>
      <w:lvlText w:val="•"/>
      <w:lvlJc w:val="left"/>
      <w:pPr>
        <w:ind w:left="7492" w:hanging="720"/>
      </w:pPr>
      <w:rPr>
        <w:rFonts w:hint="default"/>
        <w:lang w:val="en-US" w:eastAsia="en-US" w:bidi="ar-SA"/>
      </w:rPr>
    </w:lvl>
    <w:lvl w:ilvl="8">
      <w:start w:val="0"/>
      <w:numFmt w:val="bullet"/>
      <w:lvlText w:val="•"/>
      <w:lvlJc w:val="left"/>
      <w:pPr>
        <w:ind w:left="8188" w:hanging="720"/>
      </w:pPr>
      <w:rPr>
        <w:rFonts w:hint="default"/>
        <w:lang w:val="en-US" w:eastAsia="en-US" w:bidi="ar-SA"/>
      </w:rPr>
    </w:lvl>
  </w:abstractNum>
  <w:abstractNum w:abstractNumId="53">
    <w:multiLevelType w:val="hybridMultilevel"/>
    <w:lvl w:ilvl="0">
      <w:start w:val="2"/>
      <w:numFmt w:val="decimal"/>
      <w:lvlText w:val="%1"/>
      <w:lvlJc w:val="left"/>
      <w:pPr>
        <w:ind w:left="891" w:hanging="672"/>
        <w:jc w:val="left"/>
      </w:pPr>
      <w:rPr>
        <w:rFonts w:hint="default"/>
        <w:lang w:val="en-US" w:eastAsia="en-US" w:bidi="ar-SA"/>
      </w:rPr>
    </w:lvl>
    <w:lvl w:ilvl="1">
      <w:start w:val="1"/>
      <w:numFmt w:val="decimal"/>
      <w:lvlText w:val="%1.%2"/>
      <w:lvlJc w:val="left"/>
      <w:pPr>
        <w:ind w:left="891" w:hanging="672"/>
        <w:jc w:val="left"/>
      </w:pPr>
      <w:rPr>
        <w:rFonts w:hint="default" w:ascii="Arial" w:hAnsi="Arial" w:eastAsia="Arial" w:cs="Arial"/>
        <w:b/>
        <w:bCs/>
        <w:i w:val="0"/>
        <w:iCs w:val="0"/>
        <w:spacing w:val="0"/>
        <w:w w:val="99"/>
        <w:sz w:val="24"/>
        <w:szCs w:val="24"/>
        <w:lang w:val="en-US" w:eastAsia="en-US" w:bidi="ar-SA"/>
      </w:rPr>
    </w:lvl>
    <w:lvl w:ilvl="2">
      <w:start w:val="0"/>
      <w:numFmt w:val="bullet"/>
      <w:lvlText w:val="•"/>
      <w:lvlJc w:val="left"/>
      <w:pPr>
        <w:ind w:left="2696" w:hanging="672"/>
      </w:pPr>
      <w:rPr>
        <w:rFonts w:hint="default"/>
        <w:lang w:val="en-US" w:eastAsia="en-US" w:bidi="ar-SA"/>
      </w:rPr>
    </w:lvl>
    <w:lvl w:ilvl="3">
      <w:start w:val="0"/>
      <w:numFmt w:val="bullet"/>
      <w:lvlText w:val="•"/>
      <w:lvlJc w:val="left"/>
      <w:pPr>
        <w:ind w:left="3594" w:hanging="672"/>
      </w:pPr>
      <w:rPr>
        <w:rFonts w:hint="default"/>
        <w:lang w:val="en-US" w:eastAsia="en-US" w:bidi="ar-SA"/>
      </w:rPr>
    </w:lvl>
    <w:lvl w:ilvl="4">
      <w:start w:val="0"/>
      <w:numFmt w:val="bullet"/>
      <w:lvlText w:val="•"/>
      <w:lvlJc w:val="left"/>
      <w:pPr>
        <w:ind w:left="4492" w:hanging="672"/>
      </w:pPr>
      <w:rPr>
        <w:rFonts w:hint="default"/>
        <w:lang w:val="en-US" w:eastAsia="en-US" w:bidi="ar-SA"/>
      </w:rPr>
    </w:lvl>
    <w:lvl w:ilvl="5">
      <w:start w:val="0"/>
      <w:numFmt w:val="bullet"/>
      <w:lvlText w:val="•"/>
      <w:lvlJc w:val="left"/>
      <w:pPr>
        <w:ind w:left="5390" w:hanging="672"/>
      </w:pPr>
      <w:rPr>
        <w:rFonts w:hint="default"/>
        <w:lang w:val="en-US" w:eastAsia="en-US" w:bidi="ar-SA"/>
      </w:rPr>
    </w:lvl>
    <w:lvl w:ilvl="6">
      <w:start w:val="0"/>
      <w:numFmt w:val="bullet"/>
      <w:lvlText w:val="•"/>
      <w:lvlJc w:val="left"/>
      <w:pPr>
        <w:ind w:left="6288" w:hanging="672"/>
      </w:pPr>
      <w:rPr>
        <w:rFonts w:hint="default"/>
        <w:lang w:val="en-US" w:eastAsia="en-US" w:bidi="ar-SA"/>
      </w:rPr>
    </w:lvl>
    <w:lvl w:ilvl="7">
      <w:start w:val="0"/>
      <w:numFmt w:val="bullet"/>
      <w:lvlText w:val="•"/>
      <w:lvlJc w:val="left"/>
      <w:pPr>
        <w:ind w:left="7186" w:hanging="672"/>
      </w:pPr>
      <w:rPr>
        <w:rFonts w:hint="default"/>
        <w:lang w:val="en-US" w:eastAsia="en-US" w:bidi="ar-SA"/>
      </w:rPr>
    </w:lvl>
    <w:lvl w:ilvl="8">
      <w:start w:val="0"/>
      <w:numFmt w:val="bullet"/>
      <w:lvlText w:val="•"/>
      <w:lvlJc w:val="left"/>
      <w:pPr>
        <w:ind w:left="8084" w:hanging="672"/>
      </w:pPr>
      <w:rPr>
        <w:rFonts w:hint="default"/>
        <w:lang w:val="en-US" w:eastAsia="en-US" w:bidi="ar-SA"/>
      </w:rPr>
    </w:lvl>
  </w:abstractNum>
  <w:abstractNum w:abstractNumId="52">
    <w:multiLevelType w:val="hybridMultilevel"/>
    <w:lvl w:ilvl="0">
      <w:start w:val="1"/>
      <w:numFmt w:val="decimal"/>
      <w:lvlText w:val="%1"/>
      <w:lvlJc w:val="left"/>
      <w:pPr>
        <w:ind w:left="891" w:hanging="672"/>
        <w:jc w:val="left"/>
      </w:pPr>
      <w:rPr>
        <w:rFonts w:hint="default"/>
        <w:lang w:val="en-US" w:eastAsia="en-US" w:bidi="ar-SA"/>
      </w:rPr>
    </w:lvl>
    <w:lvl w:ilvl="1">
      <w:start w:val="1"/>
      <w:numFmt w:val="decimal"/>
      <w:lvlText w:val="%1.%2"/>
      <w:lvlJc w:val="left"/>
      <w:pPr>
        <w:ind w:left="891" w:hanging="672"/>
        <w:jc w:val="left"/>
      </w:pPr>
      <w:rPr>
        <w:rFonts w:hint="default" w:ascii="Arial" w:hAnsi="Arial" w:eastAsia="Arial" w:cs="Arial"/>
        <w:b/>
        <w:bCs/>
        <w:i w:val="0"/>
        <w:iCs w:val="0"/>
        <w:spacing w:val="0"/>
        <w:w w:val="99"/>
        <w:sz w:val="24"/>
        <w:szCs w:val="24"/>
        <w:lang w:val="en-US" w:eastAsia="en-US" w:bidi="ar-SA"/>
      </w:rPr>
    </w:lvl>
    <w:lvl w:ilvl="2">
      <w:start w:val="0"/>
      <w:numFmt w:val="bullet"/>
      <w:lvlText w:val="•"/>
      <w:lvlJc w:val="left"/>
      <w:pPr>
        <w:ind w:left="2696" w:hanging="672"/>
      </w:pPr>
      <w:rPr>
        <w:rFonts w:hint="default"/>
        <w:lang w:val="en-US" w:eastAsia="en-US" w:bidi="ar-SA"/>
      </w:rPr>
    </w:lvl>
    <w:lvl w:ilvl="3">
      <w:start w:val="0"/>
      <w:numFmt w:val="bullet"/>
      <w:lvlText w:val="•"/>
      <w:lvlJc w:val="left"/>
      <w:pPr>
        <w:ind w:left="3594" w:hanging="672"/>
      </w:pPr>
      <w:rPr>
        <w:rFonts w:hint="default"/>
        <w:lang w:val="en-US" w:eastAsia="en-US" w:bidi="ar-SA"/>
      </w:rPr>
    </w:lvl>
    <w:lvl w:ilvl="4">
      <w:start w:val="0"/>
      <w:numFmt w:val="bullet"/>
      <w:lvlText w:val="•"/>
      <w:lvlJc w:val="left"/>
      <w:pPr>
        <w:ind w:left="4492" w:hanging="672"/>
      </w:pPr>
      <w:rPr>
        <w:rFonts w:hint="default"/>
        <w:lang w:val="en-US" w:eastAsia="en-US" w:bidi="ar-SA"/>
      </w:rPr>
    </w:lvl>
    <w:lvl w:ilvl="5">
      <w:start w:val="0"/>
      <w:numFmt w:val="bullet"/>
      <w:lvlText w:val="•"/>
      <w:lvlJc w:val="left"/>
      <w:pPr>
        <w:ind w:left="5390" w:hanging="672"/>
      </w:pPr>
      <w:rPr>
        <w:rFonts w:hint="default"/>
        <w:lang w:val="en-US" w:eastAsia="en-US" w:bidi="ar-SA"/>
      </w:rPr>
    </w:lvl>
    <w:lvl w:ilvl="6">
      <w:start w:val="0"/>
      <w:numFmt w:val="bullet"/>
      <w:lvlText w:val="•"/>
      <w:lvlJc w:val="left"/>
      <w:pPr>
        <w:ind w:left="6288" w:hanging="672"/>
      </w:pPr>
      <w:rPr>
        <w:rFonts w:hint="default"/>
        <w:lang w:val="en-US" w:eastAsia="en-US" w:bidi="ar-SA"/>
      </w:rPr>
    </w:lvl>
    <w:lvl w:ilvl="7">
      <w:start w:val="0"/>
      <w:numFmt w:val="bullet"/>
      <w:lvlText w:val="•"/>
      <w:lvlJc w:val="left"/>
      <w:pPr>
        <w:ind w:left="7186" w:hanging="672"/>
      </w:pPr>
      <w:rPr>
        <w:rFonts w:hint="default"/>
        <w:lang w:val="en-US" w:eastAsia="en-US" w:bidi="ar-SA"/>
      </w:rPr>
    </w:lvl>
    <w:lvl w:ilvl="8">
      <w:start w:val="0"/>
      <w:numFmt w:val="bullet"/>
      <w:lvlText w:val="•"/>
      <w:lvlJc w:val="left"/>
      <w:pPr>
        <w:ind w:left="8084" w:hanging="672"/>
      </w:pPr>
      <w:rPr>
        <w:rFonts w:hint="default"/>
        <w:lang w:val="en-US" w:eastAsia="en-US" w:bidi="ar-SA"/>
      </w:rPr>
    </w:lvl>
  </w:abstractNum>
  <w:abstractNum w:abstractNumId="51">
    <w:multiLevelType w:val="hybridMultilevel"/>
    <w:lvl w:ilvl="0">
      <w:start w:val="1"/>
      <w:numFmt w:val="decimal"/>
      <w:lvlText w:val="%1."/>
      <w:lvlJc w:val="left"/>
      <w:pPr>
        <w:ind w:left="940" w:hanging="720"/>
        <w:jc w:val="left"/>
      </w:pPr>
      <w:rPr>
        <w:rFonts w:hint="default" w:ascii="Arial MT" w:hAnsi="Arial MT" w:eastAsia="Arial MT" w:cs="Arial MT"/>
        <w:b w:val="0"/>
        <w:bCs w:val="0"/>
        <w:i w:val="0"/>
        <w:iCs w:val="0"/>
        <w:spacing w:val="0"/>
        <w:w w:val="99"/>
        <w:sz w:val="24"/>
        <w:szCs w:val="24"/>
        <w:lang w:val="en-US" w:eastAsia="en-US" w:bidi="ar-SA"/>
      </w:rPr>
    </w:lvl>
    <w:lvl w:ilvl="1">
      <w:start w:val="1"/>
      <w:numFmt w:val="lowerRoman"/>
      <w:lvlText w:val="%2."/>
      <w:lvlJc w:val="left"/>
      <w:pPr>
        <w:ind w:left="1660" w:hanging="720"/>
        <w:jc w:val="left"/>
      </w:pPr>
      <w:rPr>
        <w:rFonts w:hint="default" w:ascii="Arial MT" w:hAnsi="Arial MT" w:eastAsia="Arial MT" w:cs="Arial MT"/>
        <w:b w:val="0"/>
        <w:bCs w:val="0"/>
        <w:i w:val="0"/>
        <w:iCs w:val="0"/>
        <w:spacing w:val="0"/>
        <w:w w:val="99"/>
        <w:sz w:val="24"/>
        <w:szCs w:val="24"/>
        <w:lang w:val="en-US" w:eastAsia="en-US" w:bidi="ar-SA"/>
      </w:rPr>
    </w:lvl>
    <w:lvl w:ilvl="2">
      <w:start w:val="0"/>
      <w:numFmt w:val="bullet"/>
      <w:lvlText w:val="•"/>
      <w:lvlJc w:val="left"/>
      <w:pPr>
        <w:ind w:left="2573" w:hanging="720"/>
      </w:pPr>
      <w:rPr>
        <w:rFonts w:hint="default"/>
        <w:lang w:val="en-US" w:eastAsia="en-US" w:bidi="ar-SA"/>
      </w:rPr>
    </w:lvl>
    <w:lvl w:ilvl="3">
      <w:start w:val="0"/>
      <w:numFmt w:val="bullet"/>
      <w:lvlText w:val="•"/>
      <w:lvlJc w:val="left"/>
      <w:pPr>
        <w:ind w:left="3486" w:hanging="720"/>
      </w:pPr>
      <w:rPr>
        <w:rFonts w:hint="default"/>
        <w:lang w:val="en-US" w:eastAsia="en-US" w:bidi="ar-SA"/>
      </w:rPr>
    </w:lvl>
    <w:lvl w:ilvl="4">
      <w:start w:val="0"/>
      <w:numFmt w:val="bullet"/>
      <w:lvlText w:val="•"/>
      <w:lvlJc w:val="left"/>
      <w:pPr>
        <w:ind w:left="4400" w:hanging="720"/>
      </w:pPr>
      <w:rPr>
        <w:rFonts w:hint="default"/>
        <w:lang w:val="en-US" w:eastAsia="en-US" w:bidi="ar-SA"/>
      </w:rPr>
    </w:lvl>
    <w:lvl w:ilvl="5">
      <w:start w:val="0"/>
      <w:numFmt w:val="bullet"/>
      <w:lvlText w:val="•"/>
      <w:lvlJc w:val="left"/>
      <w:pPr>
        <w:ind w:left="5313" w:hanging="720"/>
      </w:pPr>
      <w:rPr>
        <w:rFonts w:hint="default"/>
        <w:lang w:val="en-US" w:eastAsia="en-US" w:bidi="ar-SA"/>
      </w:rPr>
    </w:lvl>
    <w:lvl w:ilvl="6">
      <w:start w:val="0"/>
      <w:numFmt w:val="bullet"/>
      <w:lvlText w:val="•"/>
      <w:lvlJc w:val="left"/>
      <w:pPr>
        <w:ind w:left="6226" w:hanging="720"/>
      </w:pPr>
      <w:rPr>
        <w:rFonts w:hint="default"/>
        <w:lang w:val="en-US" w:eastAsia="en-US" w:bidi="ar-SA"/>
      </w:rPr>
    </w:lvl>
    <w:lvl w:ilvl="7">
      <w:start w:val="0"/>
      <w:numFmt w:val="bullet"/>
      <w:lvlText w:val="•"/>
      <w:lvlJc w:val="left"/>
      <w:pPr>
        <w:ind w:left="7140" w:hanging="720"/>
      </w:pPr>
      <w:rPr>
        <w:rFonts w:hint="default"/>
        <w:lang w:val="en-US" w:eastAsia="en-US" w:bidi="ar-SA"/>
      </w:rPr>
    </w:lvl>
    <w:lvl w:ilvl="8">
      <w:start w:val="0"/>
      <w:numFmt w:val="bullet"/>
      <w:lvlText w:val="•"/>
      <w:lvlJc w:val="left"/>
      <w:pPr>
        <w:ind w:left="8053" w:hanging="720"/>
      </w:pPr>
      <w:rPr>
        <w:rFonts w:hint="default"/>
        <w:lang w:val="en-US" w:eastAsia="en-US" w:bidi="ar-SA"/>
      </w:rPr>
    </w:lvl>
  </w:abstractNum>
  <w:abstractNum w:abstractNumId="50">
    <w:multiLevelType w:val="hybridMultilevel"/>
    <w:lvl w:ilvl="0">
      <w:start w:val="5"/>
      <w:numFmt w:val="decimal"/>
      <w:lvlText w:val="%1"/>
      <w:lvlJc w:val="left"/>
      <w:pPr>
        <w:ind w:left="762" w:hanging="543"/>
        <w:jc w:val="left"/>
      </w:pPr>
      <w:rPr>
        <w:rFonts w:hint="default"/>
        <w:lang w:val="en-US" w:eastAsia="en-US" w:bidi="ar-SA"/>
      </w:rPr>
    </w:lvl>
    <w:lvl w:ilvl="1">
      <w:start w:val="3"/>
      <w:numFmt w:val="decimal"/>
      <w:lvlText w:val="%1.%2"/>
      <w:lvlJc w:val="left"/>
      <w:pPr>
        <w:ind w:left="762" w:hanging="543"/>
        <w:jc w:val="left"/>
      </w:pPr>
      <w:rPr>
        <w:rFonts w:hint="default" w:ascii="Arial MT" w:hAnsi="Arial MT" w:eastAsia="Arial MT" w:cs="Arial MT"/>
        <w:b w:val="0"/>
        <w:bCs w:val="0"/>
        <w:i w:val="0"/>
        <w:iCs w:val="0"/>
        <w:spacing w:val="0"/>
        <w:w w:val="99"/>
        <w:sz w:val="24"/>
        <w:szCs w:val="24"/>
        <w:lang w:val="en-US" w:eastAsia="en-US" w:bidi="ar-SA"/>
      </w:rPr>
    </w:lvl>
    <w:lvl w:ilvl="2">
      <w:start w:val="1"/>
      <w:numFmt w:val="lowerRoman"/>
      <w:lvlText w:val="%3."/>
      <w:lvlJc w:val="left"/>
      <w:pPr>
        <w:ind w:left="1660" w:hanging="720"/>
        <w:jc w:val="left"/>
      </w:pPr>
      <w:rPr>
        <w:rFonts w:hint="default" w:ascii="Arial MT" w:hAnsi="Arial MT" w:eastAsia="Arial MT" w:cs="Arial MT"/>
        <w:b w:val="0"/>
        <w:bCs w:val="0"/>
        <w:i w:val="0"/>
        <w:iCs w:val="0"/>
        <w:spacing w:val="0"/>
        <w:w w:val="99"/>
        <w:sz w:val="24"/>
        <w:szCs w:val="24"/>
        <w:lang w:val="en-US" w:eastAsia="en-US" w:bidi="ar-SA"/>
      </w:rPr>
    </w:lvl>
    <w:lvl w:ilvl="3">
      <w:start w:val="0"/>
      <w:numFmt w:val="bullet"/>
      <w:lvlText w:val="•"/>
      <w:lvlJc w:val="left"/>
      <w:pPr>
        <w:ind w:left="3486" w:hanging="720"/>
      </w:pPr>
      <w:rPr>
        <w:rFonts w:hint="default"/>
        <w:lang w:val="en-US" w:eastAsia="en-US" w:bidi="ar-SA"/>
      </w:rPr>
    </w:lvl>
    <w:lvl w:ilvl="4">
      <w:start w:val="0"/>
      <w:numFmt w:val="bullet"/>
      <w:lvlText w:val="•"/>
      <w:lvlJc w:val="left"/>
      <w:pPr>
        <w:ind w:left="4400" w:hanging="720"/>
      </w:pPr>
      <w:rPr>
        <w:rFonts w:hint="default"/>
        <w:lang w:val="en-US" w:eastAsia="en-US" w:bidi="ar-SA"/>
      </w:rPr>
    </w:lvl>
    <w:lvl w:ilvl="5">
      <w:start w:val="0"/>
      <w:numFmt w:val="bullet"/>
      <w:lvlText w:val="•"/>
      <w:lvlJc w:val="left"/>
      <w:pPr>
        <w:ind w:left="5313" w:hanging="720"/>
      </w:pPr>
      <w:rPr>
        <w:rFonts w:hint="default"/>
        <w:lang w:val="en-US" w:eastAsia="en-US" w:bidi="ar-SA"/>
      </w:rPr>
    </w:lvl>
    <w:lvl w:ilvl="6">
      <w:start w:val="0"/>
      <w:numFmt w:val="bullet"/>
      <w:lvlText w:val="•"/>
      <w:lvlJc w:val="left"/>
      <w:pPr>
        <w:ind w:left="6226" w:hanging="720"/>
      </w:pPr>
      <w:rPr>
        <w:rFonts w:hint="default"/>
        <w:lang w:val="en-US" w:eastAsia="en-US" w:bidi="ar-SA"/>
      </w:rPr>
    </w:lvl>
    <w:lvl w:ilvl="7">
      <w:start w:val="0"/>
      <w:numFmt w:val="bullet"/>
      <w:lvlText w:val="•"/>
      <w:lvlJc w:val="left"/>
      <w:pPr>
        <w:ind w:left="7140" w:hanging="720"/>
      </w:pPr>
      <w:rPr>
        <w:rFonts w:hint="default"/>
        <w:lang w:val="en-US" w:eastAsia="en-US" w:bidi="ar-SA"/>
      </w:rPr>
    </w:lvl>
    <w:lvl w:ilvl="8">
      <w:start w:val="0"/>
      <w:numFmt w:val="bullet"/>
      <w:lvlText w:val="•"/>
      <w:lvlJc w:val="left"/>
      <w:pPr>
        <w:ind w:left="8053" w:hanging="720"/>
      </w:pPr>
      <w:rPr>
        <w:rFonts w:hint="default"/>
        <w:lang w:val="en-US" w:eastAsia="en-US" w:bidi="ar-SA"/>
      </w:rPr>
    </w:lvl>
  </w:abstractNum>
  <w:abstractNum w:abstractNumId="49">
    <w:multiLevelType w:val="hybridMultilevel"/>
    <w:lvl w:ilvl="0">
      <w:start w:val="1"/>
      <w:numFmt w:val="lowerRoman"/>
      <w:lvlText w:val="%1."/>
      <w:lvlJc w:val="left"/>
      <w:pPr>
        <w:ind w:left="1540" w:hanging="720"/>
        <w:jc w:val="left"/>
      </w:pPr>
      <w:rPr>
        <w:rFonts w:hint="default" w:ascii="Arial MT" w:hAnsi="Arial MT" w:eastAsia="Arial MT" w:cs="Arial MT"/>
        <w:b w:val="0"/>
        <w:bCs w:val="0"/>
        <w:i w:val="0"/>
        <w:iCs w:val="0"/>
        <w:spacing w:val="0"/>
        <w:w w:val="99"/>
        <w:sz w:val="24"/>
        <w:szCs w:val="24"/>
        <w:lang w:val="en-US" w:eastAsia="en-US" w:bidi="ar-SA"/>
      </w:rPr>
    </w:lvl>
    <w:lvl w:ilvl="1">
      <w:start w:val="0"/>
      <w:numFmt w:val="bullet"/>
      <w:lvlText w:val="•"/>
      <w:lvlJc w:val="left"/>
      <w:pPr>
        <w:ind w:left="2344" w:hanging="720"/>
      </w:pPr>
      <w:rPr>
        <w:rFonts w:hint="default"/>
        <w:lang w:val="en-US" w:eastAsia="en-US" w:bidi="ar-SA"/>
      </w:rPr>
    </w:lvl>
    <w:lvl w:ilvl="2">
      <w:start w:val="0"/>
      <w:numFmt w:val="bullet"/>
      <w:lvlText w:val="•"/>
      <w:lvlJc w:val="left"/>
      <w:pPr>
        <w:ind w:left="3148" w:hanging="720"/>
      </w:pPr>
      <w:rPr>
        <w:rFonts w:hint="default"/>
        <w:lang w:val="en-US" w:eastAsia="en-US" w:bidi="ar-SA"/>
      </w:rPr>
    </w:lvl>
    <w:lvl w:ilvl="3">
      <w:start w:val="0"/>
      <w:numFmt w:val="bullet"/>
      <w:lvlText w:val="•"/>
      <w:lvlJc w:val="left"/>
      <w:pPr>
        <w:ind w:left="3952" w:hanging="720"/>
      </w:pPr>
      <w:rPr>
        <w:rFonts w:hint="default"/>
        <w:lang w:val="en-US" w:eastAsia="en-US" w:bidi="ar-SA"/>
      </w:rPr>
    </w:lvl>
    <w:lvl w:ilvl="4">
      <w:start w:val="0"/>
      <w:numFmt w:val="bullet"/>
      <w:lvlText w:val="•"/>
      <w:lvlJc w:val="left"/>
      <w:pPr>
        <w:ind w:left="4756" w:hanging="720"/>
      </w:pPr>
      <w:rPr>
        <w:rFonts w:hint="default"/>
        <w:lang w:val="en-US" w:eastAsia="en-US" w:bidi="ar-SA"/>
      </w:rPr>
    </w:lvl>
    <w:lvl w:ilvl="5">
      <w:start w:val="0"/>
      <w:numFmt w:val="bullet"/>
      <w:lvlText w:val="•"/>
      <w:lvlJc w:val="left"/>
      <w:pPr>
        <w:ind w:left="5560" w:hanging="720"/>
      </w:pPr>
      <w:rPr>
        <w:rFonts w:hint="default"/>
        <w:lang w:val="en-US" w:eastAsia="en-US" w:bidi="ar-SA"/>
      </w:rPr>
    </w:lvl>
    <w:lvl w:ilvl="6">
      <w:start w:val="0"/>
      <w:numFmt w:val="bullet"/>
      <w:lvlText w:val="•"/>
      <w:lvlJc w:val="left"/>
      <w:pPr>
        <w:ind w:left="6364" w:hanging="720"/>
      </w:pPr>
      <w:rPr>
        <w:rFonts w:hint="default"/>
        <w:lang w:val="en-US" w:eastAsia="en-US" w:bidi="ar-SA"/>
      </w:rPr>
    </w:lvl>
    <w:lvl w:ilvl="7">
      <w:start w:val="0"/>
      <w:numFmt w:val="bullet"/>
      <w:lvlText w:val="•"/>
      <w:lvlJc w:val="left"/>
      <w:pPr>
        <w:ind w:left="7168" w:hanging="720"/>
      </w:pPr>
      <w:rPr>
        <w:rFonts w:hint="default"/>
        <w:lang w:val="en-US" w:eastAsia="en-US" w:bidi="ar-SA"/>
      </w:rPr>
    </w:lvl>
    <w:lvl w:ilvl="8">
      <w:start w:val="0"/>
      <w:numFmt w:val="bullet"/>
      <w:lvlText w:val="•"/>
      <w:lvlJc w:val="left"/>
      <w:pPr>
        <w:ind w:left="7972" w:hanging="720"/>
      </w:pPr>
      <w:rPr>
        <w:rFonts w:hint="default"/>
        <w:lang w:val="en-US" w:eastAsia="en-US" w:bidi="ar-SA"/>
      </w:rPr>
    </w:lvl>
  </w:abstractNum>
  <w:abstractNum w:abstractNumId="45">
    <w:multiLevelType w:val="hybridMultilevel"/>
    <w:lvl w:ilvl="0">
      <w:start w:val="1"/>
      <w:numFmt w:val="lowerRoman"/>
      <w:lvlText w:val="%1."/>
      <w:lvlJc w:val="left"/>
      <w:pPr>
        <w:ind w:left="1540" w:hanging="360"/>
        <w:jc w:val="left"/>
      </w:pPr>
      <w:rPr>
        <w:rFonts w:hint="default" w:ascii="Arial MT" w:hAnsi="Arial MT" w:eastAsia="Arial MT" w:cs="Arial MT"/>
        <w:b w:val="0"/>
        <w:bCs w:val="0"/>
        <w:i w:val="0"/>
        <w:iCs w:val="0"/>
        <w:spacing w:val="0"/>
        <w:w w:val="96"/>
        <w:sz w:val="24"/>
        <w:szCs w:val="24"/>
        <w:lang w:val="en-US" w:eastAsia="en-US" w:bidi="ar-SA"/>
      </w:rPr>
    </w:lvl>
    <w:lvl w:ilvl="1">
      <w:start w:val="0"/>
      <w:numFmt w:val="bullet"/>
      <w:lvlText w:val="•"/>
      <w:lvlJc w:val="left"/>
      <w:pPr>
        <w:ind w:left="2344" w:hanging="360"/>
      </w:pPr>
      <w:rPr>
        <w:rFonts w:hint="default"/>
        <w:lang w:val="en-US" w:eastAsia="en-US" w:bidi="ar-SA"/>
      </w:rPr>
    </w:lvl>
    <w:lvl w:ilvl="2">
      <w:start w:val="0"/>
      <w:numFmt w:val="bullet"/>
      <w:lvlText w:val="•"/>
      <w:lvlJc w:val="left"/>
      <w:pPr>
        <w:ind w:left="3148" w:hanging="360"/>
      </w:pPr>
      <w:rPr>
        <w:rFonts w:hint="default"/>
        <w:lang w:val="en-US" w:eastAsia="en-US" w:bidi="ar-SA"/>
      </w:rPr>
    </w:lvl>
    <w:lvl w:ilvl="3">
      <w:start w:val="0"/>
      <w:numFmt w:val="bullet"/>
      <w:lvlText w:val="•"/>
      <w:lvlJc w:val="left"/>
      <w:pPr>
        <w:ind w:left="3952" w:hanging="360"/>
      </w:pPr>
      <w:rPr>
        <w:rFonts w:hint="default"/>
        <w:lang w:val="en-US" w:eastAsia="en-US" w:bidi="ar-SA"/>
      </w:rPr>
    </w:lvl>
    <w:lvl w:ilvl="4">
      <w:start w:val="0"/>
      <w:numFmt w:val="bullet"/>
      <w:lvlText w:val="•"/>
      <w:lvlJc w:val="left"/>
      <w:pPr>
        <w:ind w:left="4756" w:hanging="360"/>
      </w:pPr>
      <w:rPr>
        <w:rFonts w:hint="default"/>
        <w:lang w:val="en-US" w:eastAsia="en-US" w:bidi="ar-SA"/>
      </w:rPr>
    </w:lvl>
    <w:lvl w:ilvl="5">
      <w:start w:val="0"/>
      <w:numFmt w:val="bullet"/>
      <w:lvlText w:val="•"/>
      <w:lvlJc w:val="left"/>
      <w:pPr>
        <w:ind w:left="5560" w:hanging="360"/>
      </w:pPr>
      <w:rPr>
        <w:rFonts w:hint="default"/>
        <w:lang w:val="en-US" w:eastAsia="en-US" w:bidi="ar-SA"/>
      </w:rPr>
    </w:lvl>
    <w:lvl w:ilvl="6">
      <w:start w:val="0"/>
      <w:numFmt w:val="bullet"/>
      <w:lvlText w:val="•"/>
      <w:lvlJc w:val="left"/>
      <w:pPr>
        <w:ind w:left="6364" w:hanging="360"/>
      </w:pPr>
      <w:rPr>
        <w:rFonts w:hint="default"/>
        <w:lang w:val="en-US" w:eastAsia="en-US" w:bidi="ar-SA"/>
      </w:rPr>
    </w:lvl>
    <w:lvl w:ilvl="7">
      <w:start w:val="0"/>
      <w:numFmt w:val="bullet"/>
      <w:lvlText w:val="•"/>
      <w:lvlJc w:val="left"/>
      <w:pPr>
        <w:ind w:left="7168" w:hanging="360"/>
      </w:pPr>
      <w:rPr>
        <w:rFonts w:hint="default"/>
        <w:lang w:val="en-US" w:eastAsia="en-US" w:bidi="ar-SA"/>
      </w:rPr>
    </w:lvl>
    <w:lvl w:ilvl="8">
      <w:start w:val="0"/>
      <w:numFmt w:val="bullet"/>
      <w:lvlText w:val="•"/>
      <w:lvlJc w:val="left"/>
      <w:pPr>
        <w:ind w:left="7972" w:hanging="360"/>
      </w:pPr>
      <w:rPr>
        <w:rFonts w:hint="default"/>
        <w:lang w:val="en-US" w:eastAsia="en-US" w:bidi="ar-SA"/>
      </w:rPr>
    </w:lvl>
  </w:abstractNum>
  <w:abstractNum w:abstractNumId="46">
    <w:multiLevelType w:val="hybridMultilevel"/>
    <w:lvl w:ilvl="0">
      <w:start w:val="1"/>
      <w:numFmt w:val="lowerRoman"/>
      <w:lvlText w:val="%1."/>
      <w:lvlJc w:val="left"/>
      <w:pPr>
        <w:ind w:left="1540" w:hanging="360"/>
        <w:jc w:val="left"/>
      </w:pPr>
      <w:rPr>
        <w:rFonts w:hint="default" w:ascii="Arial MT" w:hAnsi="Arial MT" w:eastAsia="Arial MT" w:cs="Arial MT"/>
        <w:b w:val="0"/>
        <w:bCs w:val="0"/>
        <w:i w:val="0"/>
        <w:iCs w:val="0"/>
        <w:spacing w:val="0"/>
        <w:w w:val="99"/>
        <w:sz w:val="24"/>
        <w:szCs w:val="24"/>
        <w:lang w:val="en-US" w:eastAsia="en-US" w:bidi="ar-SA"/>
      </w:rPr>
    </w:lvl>
    <w:lvl w:ilvl="1">
      <w:start w:val="0"/>
      <w:numFmt w:val="bullet"/>
      <w:lvlText w:val="•"/>
      <w:lvlJc w:val="left"/>
      <w:pPr>
        <w:ind w:left="2344" w:hanging="360"/>
      </w:pPr>
      <w:rPr>
        <w:rFonts w:hint="default"/>
        <w:lang w:val="en-US" w:eastAsia="en-US" w:bidi="ar-SA"/>
      </w:rPr>
    </w:lvl>
    <w:lvl w:ilvl="2">
      <w:start w:val="0"/>
      <w:numFmt w:val="bullet"/>
      <w:lvlText w:val="•"/>
      <w:lvlJc w:val="left"/>
      <w:pPr>
        <w:ind w:left="3148" w:hanging="360"/>
      </w:pPr>
      <w:rPr>
        <w:rFonts w:hint="default"/>
        <w:lang w:val="en-US" w:eastAsia="en-US" w:bidi="ar-SA"/>
      </w:rPr>
    </w:lvl>
    <w:lvl w:ilvl="3">
      <w:start w:val="0"/>
      <w:numFmt w:val="bullet"/>
      <w:lvlText w:val="•"/>
      <w:lvlJc w:val="left"/>
      <w:pPr>
        <w:ind w:left="3952" w:hanging="360"/>
      </w:pPr>
      <w:rPr>
        <w:rFonts w:hint="default"/>
        <w:lang w:val="en-US" w:eastAsia="en-US" w:bidi="ar-SA"/>
      </w:rPr>
    </w:lvl>
    <w:lvl w:ilvl="4">
      <w:start w:val="0"/>
      <w:numFmt w:val="bullet"/>
      <w:lvlText w:val="•"/>
      <w:lvlJc w:val="left"/>
      <w:pPr>
        <w:ind w:left="4756" w:hanging="360"/>
      </w:pPr>
      <w:rPr>
        <w:rFonts w:hint="default"/>
        <w:lang w:val="en-US" w:eastAsia="en-US" w:bidi="ar-SA"/>
      </w:rPr>
    </w:lvl>
    <w:lvl w:ilvl="5">
      <w:start w:val="0"/>
      <w:numFmt w:val="bullet"/>
      <w:lvlText w:val="•"/>
      <w:lvlJc w:val="left"/>
      <w:pPr>
        <w:ind w:left="5560" w:hanging="360"/>
      </w:pPr>
      <w:rPr>
        <w:rFonts w:hint="default"/>
        <w:lang w:val="en-US" w:eastAsia="en-US" w:bidi="ar-SA"/>
      </w:rPr>
    </w:lvl>
    <w:lvl w:ilvl="6">
      <w:start w:val="0"/>
      <w:numFmt w:val="bullet"/>
      <w:lvlText w:val="•"/>
      <w:lvlJc w:val="left"/>
      <w:pPr>
        <w:ind w:left="6364" w:hanging="360"/>
      </w:pPr>
      <w:rPr>
        <w:rFonts w:hint="default"/>
        <w:lang w:val="en-US" w:eastAsia="en-US" w:bidi="ar-SA"/>
      </w:rPr>
    </w:lvl>
    <w:lvl w:ilvl="7">
      <w:start w:val="0"/>
      <w:numFmt w:val="bullet"/>
      <w:lvlText w:val="•"/>
      <w:lvlJc w:val="left"/>
      <w:pPr>
        <w:ind w:left="7168" w:hanging="360"/>
      </w:pPr>
      <w:rPr>
        <w:rFonts w:hint="default"/>
        <w:lang w:val="en-US" w:eastAsia="en-US" w:bidi="ar-SA"/>
      </w:rPr>
    </w:lvl>
    <w:lvl w:ilvl="8">
      <w:start w:val="0"/>
      <w:numFmt w:val="bullet"/>
      <w:lvlText w:val="•"/>
      <w:lvlJc w:val="left"/>
      <w:pPr>
        <w:ind w:left="7972" w:hanging="360"/>
      </w:pPr>
      <w:rPr>
        <w:rFonts w:hint="default"/>
        <w:lang w:val="en-US" w:eastAsia="en-US" w:bidi="ar-SA"/>
      </w:rPr>
    </w:lvl>
  </w:abstractNum>
  <w:abstractNum w:abstractNumId="47">
    <w:multiLevelType w:val="hybridMultilevel"/>
    <w:lvl w:ilvl="0">
      <w:start w:val="1"/>
      <w:numFmt w:val="lowerRoman"/>
      <w:lvlText w:val="%1."/>
      <w:lvlJc w:val="left"/>
      <w:pPr>
        <w:ind w:left="1572" w:hanging="393"/>
        <w:jc w:val="left"/>
      </w:pPr>
      <w:rPr>
        <w:rFonts w:hint="default" w:ascii="Arial MT" w:hAnsi="Arial MT" w:eastAsia="Arial MT" w:cs="Arial MT"/>
        <w:b w:val="0"/>
        <w:bCs w:val="0"/>
        <w:i w:val="0"/>
        <w:iCs w:val="0"/>
        <w:spacing w:val="0"/>
        <w:w w:val="99"/>
        <w:sz w:val="24"/>
        <w:szCs w:val="24"/>
        <w:lang w:val="en-US" w:eastAsia="en-US" w:bidi="ar-SA"/>
      </w:rPr>
    </w:lvl>
    <w:lvl w:ilvl="1">
      <w:start w:val="0"/>
      <w:numFmt w:val="bullet"/>
      <w:lvlText w:val="•"/>
      <w:lvlJc w:val="left"/>
      <w:pPr>
        <w:ind w:left="2380" w:hanging="393"/>
      </w:pPr>
      <w:rPr>
        <w:rFonts w:hint="default"/>
        <w:lang w:val="en-US" w:eastAsia="en-US" w:bidi="ar-SA"/>
      </w:rPr>
    </w:lvl>
    <w:lvl w:ilvl="2">
      <w:start w:val="0"/>
      <w:numFmt w:val="bullet"/>
      <w:lvlText w:val="•"/>
      <w:lvlJc w:val="left"/>
      <w:pPr>
        <w:ind w:left="3180" w:hanging="393"/>
      </w:pPr>
      <w:rPr>
        <w:rFonts w:hint="default"/>
        <w:lang w:val="en-US" w:eastAsia="en-US" w:bidi="ar-SA"/>
      </w:rPr>
    </w:lvl>
    <w:lvl w:ilvl="3">
      <w:start w:val="0"/>
      <w:numFmt w:val="bullet"/>
      <w:lvlText w:val="•"/>
      <w:lvlJc w:val="left"/>
      <w:pPr>
        <w:ind w:left="3980" w:hanging="393"/>
      </w:pPr>
      <w:rPr>
        <w:rFonts w:hint="default"/>
        <w:lang w:val="en-US" w:eastAsia="en-US" w:bidi="ar-SA"/>
      </w:rPr>
    </w:lvl>
    <w:lvl w:ilvl="4">
      <w:start w:val="0"/>
      <w:numFmt w:val="bullet"/>
      <w:lvlText w:val="•"/>
      <w:lvlJc w:val="left"/>
      <w:pPr>
        <w:ind w:left="4780" w:hanging="393"/>
      </w:pPr>
      <w:rPr>
        <w:rFonts w:hint="default"/>
        <w:lang w:val="en-US" w:eastAsia="en-US" w:bidi="ar-SA"/>
      </w:rPr>
    </w:lvl>
    <w:lvl w:ilvl="5">
      <w:start w:val="0"/>
      <w:numFmt w:val="bullet"/>
      <w:lvlText w:val="•"/>
      <w:lvlJc w:val="left"/>
      <w:pPr>
        <w:ind w:left="5580" w:hanging="393"/>
      </w:pPr>
      <w:rPr>
        <w:rFonts w:hint="default"/>
        <w:lang w:val="en-US" w:eastAsia="en-US" w:bidi="ar-SA"/>
      </w:rPr>
    </w:lvl>
    <w:lvl w:ilvl="6">
      <w:start w:val="0"/>
      <w:numFmt w:val="bullet"/>
      <w:lvlText w:val="•"/>
      <w:lvlJc w:val="left"/>
      <w:pPr>
        <w:ind w:left="6380" w:hanging="393"/>
      </w:pPr>
      <w:rPr>
        <w:rFonts w:hint="default"/>
        <w:lang w:val="en-US" w:eastAsia="en-US" w:bidi="ar-SA"/>
      </w:rPr>
    </w:lvl>
    <w:lvl w:ilvl="7">
      <w:start w:val="0"/>
      <w:numFmt w:val="bullet"/>
      <w:lvlText w:val="•"/>
      <w:lvlJc w:val="left"/>
      <w:pPr>
        <w:ind w:left="7180" w:hanging="393"/>
      </w:pPr>
      <w:rPr>
        <w:rFonts w:hint="default"/>
        <w:lang w:val="en-US" w:eastAsia="en-US" w:bidi="ar-SA"/>
      </w:rPr>
    </w:lvl>
    <w:lvl w:ilvl="8">
      <w:start w:val="0"/>
      <w:numFmt w:val="bullet"/>
      <w:lvlText w:val="•"/>
      <w:lvlJc w:val="left"/>
      <w:pPr>
        <w:ind w:left="7980" w:hanging="393"/>
      </w:pPr>
      <w:rPr>
        <w:rFonts w:hint="default"/>
        <w:lang w:val="en-US" w:eastAsia="en-US" w:bidi="ar-SA"/>
      </w:rPr>
    </w:lvl>
  </w:abstractNum>
  <w:abstractNum w:abstractNumId="48">
    <w:multiLevelType w:val="hybridMultilevel"/>
    <w:lvl w:ilvl="0">
      <w:start w:val="1"/>
      <w:numFmt w:val="lowerRoman"/>
      <w:lvlText w:val="%1."/>
      <w:lvlJc w:val="left"/>
      <w:pPr>
        <w:ind w:left="1540" w:hanging="360"/>
        <w:jc w:val="left"/>
      </w:pPr>
      <w:rPr>
        <w:rFonts w:hint="default" w:ascii="Arial MT" w:hAnsi="Arial MT" w:eastAsia="Arial MT" w:cs="Arial MT"/>
        <w:b w:val="0"/>
        <w:bCs w:val="0"/>
        <w:i w:val="0"/>
        <w:iCs w:val="0"/>
        <w:spacing w:val="0"/>
        <w:w w:val="99"/>
        <w:sz w:val="24"/>
        <w:szCs w:val="24"/>
        <w:lang w:val="en-US" w:eastAsia="en-US" w:bidi="ar-SA"/>
      </w:rPr>
    </w:lvl>
    <w:lvl w:ilvl="1">
      <w:start w:val="0"/>
      <w:numFmt w:val="bullet"/>
      <w:lvlText w:val="•"/>
      <w:lvlJc w:val="left"/>
      <w:pPr>
        <w:ind w:left="2344" w:hanging="360"/>
      </w:pPr>
      <w:rPr>
        <w:rFonts w:hint="default"/>
        <w:lang w:val="en-US" w:eastAsia="en-US" w:bidi="ar-SA"/>
      </w:rPr>
    </w:lvl>
    <w:lvl w:ilvl="2">
      <w:start w:val="0"/>
      <w:numFmt w:val="bullet"/>
      <w:lvlText w:val="•"/>
      <w:lvlJc w:val="left"/>
      <w:pPr>
        <w:ind w:left="3148" w:hanging="360"/>
      </w:pPr>
      <w:rPr>
        <w:rFonts w:hint="default"/>
        <w:lang w:val="en-US" w:eastAsia="en-US" w:bidi="ar-SA"/>
      </w:rPr>
    </w:lvl>
    <w:lvl w:ilvl="3">
      <w:start w:val="0"/>
      <w:numFmt w:val="bullet"/>
      <w:lvlText w:val="•"/>
      <w:lvlJc w:val="left"/>
      <w:pPr>
        <w:ind w:left="3952" w:hanging="360"/>
      </w:pPr>
      <w:rPr>
        <w:rFonts w:hint="default"/>
        <w:lang w:val="en-US" w:eastAsia="en-US" w:bidi="ar-SA"/>
      </w:rPr>
    </w:lvl>
    <w:lvl w:ilvl="4">
      <w:start w:val="0"/>
      <w:numFmt w:val="bullet"/>
      <w:lvlText w:val="•"/>
      <w:lvlJc w:val="left"/>
      <w:pPr>
        <w:ind w:left="4756" w:hanging="360"/>
      </w:pPr>
      <w:rPr>
        <w:rFonts w:hint="default"/>
        <w:lang w:val="en-US" w:eastAsia="en-US" w:bidi="ar-SA"/>
      </w:rPr>
    </w:lvl>
    <w:lvl w:ilvl="5">
      <w:start w:val="0"/>
      <w:numFmt w:val="bullet"/>
      <w:lvlText w:val="•"/>
      <w:lvlJc w:val="left"/>
      <w:pPr>
        <w:ind w:left="5560" w:hanging="360"/>
      </w:pPr>
      <w:rPr>
        <w:rFonts w:hint="default"/>
        <w:lang w:val="en-US" w:eastAsia="en-US" w:bidi="ar-SA"/>
      </w:rPr>
    </w:lvl>
    <w:lvl w:ilvl="6">
      <w:start w:val="0"/>
      <w:numFmt w:val="bullet"/>
      <w:lvlText w:val="•"/>
      <w:lvlJc w:val="left"/>
      <w:pPr>
        <w:ind w:left="6364" w:hanging="360"/>
      </w:pPr>
      <w:rPr>
        <w:rFonts w:hint="default"/>
        <w:lang w:val="en-US" w:eastAsia="en-US" w:bidi="ar-SA"/>
      </w:rPr>
    </w:lvl>
    <w:lvl w:ilvl="7">
      <w:start w:val="0"/>
      <w:numFmt w:val="bullet"/>
      <w:lvlText w:val="•"/>
      <w:lvlJc w:val="left"/>
      <w:pPr>
        <w:ind w:left="7168" w:hanging="360"/>
      </w:pPr>
      <w:rPr>
        <w:rFonts w:hint="default"/>
        <w:lang w:val="en-US" w:eastAsia="en-US" w:bidi="ar-SA"/>
      </w:rPr>
    </w:lvl>
    <w:lvl w:ilvl="8">
      <w:start w:val="0"/>
      <w:numFmt w:val="bullet"/>
      <w:lvlText w:val="•"/>
      <w:lvlJc w:val="left"/>
      <w:pPr>
        <w:ind w:left="7972" w:hanging="360"/>
      </w:pPr>
      <w:rPr>
        <w:rFonts w:hint="default"/>
        <w:lang w:val="en-US" w:eastAsia="en-US" w:bidi="ar-SA"/>
      </w:rPr>
    </w:lvl>
  </w:abstractNum>
  <w:abstractNum w:abstractNumId="44">
    <w:multiLevelType w:val="hybridMultilevel"/>
    <w:lvl w:ilvl="0">
      <w:start w:val="5"/>
      <w:numFmt w:val="decimal"/>
      <w:lvlText w:val="%1"/>
      <w:lvlJc w:val="left"/>
      <w:pPr>
        <w:ind w:left="820" w:hanging="720"/>
        <w:jc w:val="left"/>
      </w:pPr>
      <w:rPr>
        <w:rFonts w:hint="default"/>
        <w:lang w:val="en-US" w:eastAsia="en-US" w:bidi="ar-SA"/>
      </w:rPr>
    </w:lvl>
    <w:lvl w:ilvl="1">
      <w:start w:val="2"/>
      <w:numFmt w:val="decimal"/>
      <w:lvlText w:val="%1.%2"/>
      <w:lvlJc w:val="left"/>
      <w:pPr>
        <w:ind w:left="820" w:hanging="720"/>
        <w:jc w:val="left"/>
      </w:pPr>
      <w:rPr>
        <w:rFonts w:hint="default"/>
        <w:spacing w:val="-1"/>
        <w:w w:val="99"/>
        <w:lang w:val="en-US" w:eastAsia="en-US" w:bidi="ar-SA"/>
      </w:rPr>
    </w:lvl>
    <w:lvl w:ilvl="2">
      <w:start w:val="1"/>
      <w:numFmt w:val="decimal"/>
      <w:lvlText w:val="%1.%2.%3"/>
      <w:lvlJc w:val="left"/>
      <w:pPr>
        <w:ind w:left="820" w:hanging="720"/>
        <w:jc w:val="left"/>
      </w:pPr>
      <w:rPr>
        <w:rFonts w:hint="default"/>
        <w:spacing w:val="0"/>
        <w:w w:val="99"/>
        <w:lang w:val="en-US" w:eastAsia="en-US" w:bidi="ar-SA"/>
      </w:rPr>
    </w:lvl>
    <w:lvl w:ilvl="3">
      <w:start w:val="1"/>
      <w:numFmt w:val="decimal"/>
      <w:lvlText w:val="%1.%2.%3.%4"/>
      <w:lvlJc w:val="left"/>
      <w:pPr>
        <w:ind w:left="1256" w:hanging="720"/>
        <w:jc w:val="left"/>
      </w:pPr>
      <w:rPr>
        <w:rFonts w:hint="default"/>
        <w:spacing w:val="-1"/>
        <w:w w:val="99"/>
        <w:lang w:val="en-US" w:eastAsia="en-US" w:bidi="ar-SA"/>
      </w:rPr>
    </w:lvl>
    <w:lvl w:ilvl="4">
      <w:start w:val="1"/>
      <w:numFmt w:val="lowerRoman"/>
      <w:lvlText w:val="%5."/>
      <w:lvlJc w:val="left"/>
      <w:pPr>
        <w:ind w:left="1540" w:hanging="720"/>
        <w:jc w:val="left"/>
      </w:pPr>
      <w:rPr>
        <w:rFonts w:hint="default"/>
        <w:spacing w:val="0"/>
        <w:w w:val="99"/>
        <w:lang w:val="en-US" w:eastAsia="en-US" w:bidi="ar-SA"/>
      </w:rPr>
    </w:lvl>
    <w:lvl w:ilvl="5">
      <w:start w:val="0"/>
      <w:numFmt w:val="bullet"/>
      <w:lvlText w:val="•"/>
      <w:lvlJc w:val="left"/>
      <w:pPr>
        <w:ind w:left="1900" w:hanging="720"/>
      </w:pPr>
      <w:rPr>
        <w:rFonts w:hint="default"/>
        <w:lang w:val="en-US" w:eastAsia="en-US" w:bidi="ar-SA"/>
      </w:rPr>
    </w:lvl>
    <w:lvl w:ilvl="6">
      <w:start w:val="0"/>
      <w:numFmt w:val="bullet"/>
      <w:lvlText w:val="•"/>
      <w:lvlJc w:val="left"/>
      <w:pPr>
        <w:ind w:left="3436" w:hanging="720"/>
      </w:pPr>
      <w:rPr>
        <w:rFonts w:hint="default"/>
        <w:lang w:val="en-US" w:eastAsia="en-US" w:bidi="ar-SA"/>
      </w:rPr>
    </w:lvl>
    <w:lvl w:ilvl="7">
      <w:start w:val="0"/>
      <w:numFmt w:val="bullet"/>
      <w:lvlText w:val="•"/>
      <w:lvlJc w:val="left"/>
      <w:pPr>
        <w:ind w:left="4972" w:hanging="720"/>
      </w:pPr>
      <w:rPr>
        <w:rFonts w:hint="default"/>
        <w:lang w:val="en-US" w:eastAsia="en-US" w:bidi="ar-SA"/>
      </w:rPr>
    </w:lvl>
    <w:lvl w:ilvl="8">
      <w:start w:val="0"/>
      <w:numFmt w:val="bullet"/>
      <w:lvlText w:val="•"/>
      <w:lvlJc w:val="left"/>
      <w:pPr>
        <w:ind w:left="6508" w:hanging="720"/>
      </w:pPr>
      <w:rPr>
        <w:rFonts w:hint="default"/>
        <w:lang w:val="en-US" w:eastAsia="en-US" w:bidi="ar-SA"/>
      </w:rPr>
    </w:lvl>
  </w:abstractNum>
  <w:abstractNum w:abstractNumId="43">
    <w:multiLevelType w:val="hybridMultilevel"/>
    <w:lvl w:ilvl="0">
      <w:start w:val="1"/>
      <w:numFmt w:val="lowerRoman"/>
      <w:lvlText w:val="%1."/>
      <w:lvlJc w:val="left"/>
      <w:pPr>
        <w:ind w:left="820" w:hanging="720"/>
        <w:jc w:val="right"/>
      </w:pPr>
      <w:rPr>
        <w:rFonts w:hint="default" w:ascii="Arial MT" w:hAnsi="Arial MT" w:eastAsia="Arial MT" w:cs="Arial MT"/>
        <w:b w:val="0"/>
        <w:bCs w:val="0"/>
        <w:i w:val="0"/>
        <w:iCs w:val="0"/>
        <w:spacing w:val="0"/>
        <w:w w:val="99"/>
        <w:sz w:val="24"/>
        <w:szCs w:val="24"/>
        <w:lang w:val="en-US" w:eastAsia="en-US" w:bidi="ar-SA"/>
      </w:rPr>
    </w:lvl>
    <w:lvl w:ilvl="1">
      <w:start w:val="0"/>
      <w:numFmt w:val="bullet"/>
      <w:lvlText w:val="•"/>
      <w:lvlJc w:val="left"/>
      <w:pPr>
        <w:ind w:left="1696" w:hanging="720"/>
      </w:pPr>
      <w:rPr>
        <w:rFonts w:hint="default"/>
        <w:lang w:val="en-US" w:eastAsia="en-US" w:bidi="ar-SA"/>
      </w:rPr>
    </w:lvl>
    <w:lvl w:ilvl="2">
      <w:start w:val="0"/>
      <w:numFmt w:val="bullet"/>
      <w:lvlText w:val="•"/>
      <w:lvlJc w:val="left"/>
      <w:pPr>
        <w:ind w:left="2572" w:hanging="720"/>
      </w:pPr>
      <w:rPr>
        <w:rFonts w:hint="default"/>
        <w:lang w:val="en-US" w:eastAsia="en-US" w:bidi="ar-SA"/>
      </w:rPr>
    </w:lvl>
    <w:lvl w:ilvl="3">
      <w:start w:val="0"/>
      <w:numFmt w:val="bullet"/>
      <w:lvlText w:val="•"/>
      <w:lvlJc w:val="left"/>
      <w:pPr>
        <w:ind w:left="3448" w:hanging="720"/>
      </w:pPr>
      <w:rPr>
        <w:rFonts w:hint="default"/>
        <w:lang w:val="en-US" w:eastAsia="en-US" w:bidi="ar-SA"/>
      </w:rPr>
    </w:lvl>
    <w:lvl w:ilvl="4">
      <w:start w:val="0"/>
      <w:numFmt w:val="bullet"/>
      <w:lvlText w:val="•"/>
      <w:lvlJc w:val="left"/>
      <w:pPr>
        <w:ind w:left="4324" w:hanging="720"/>
      </w:pPr>
      <w:rPr>
        <w:rFonts w:hint="default"/>
        <w:lang w:val="en-US" w:eastAsia="en-US" w:bidi="ar-SA"/>
      </w:rPr>
    </w:lvl>
    <w:lvl w:ilvl="5">
      <w:start w:val="0"/>
      <w:numFmt w:val="bullet"/>
      <w:lvlText w:val="•"/>
      <w:lvlJc w:val="left"/>
      <w:pPr>
        <w:ind w:left="5200" w:hanging="720"/>
      </w:pPr>
      <w:rPr>
        <w:rFonts w:hint="default"/>
        <w:lang w:val="en-US" w:eastAsia="en-US" w:bidi="ar-SA"/>
      </w:rPr>
    </w:lvl>
    <w:lvl w:ilvl="6">
      <w:start w:val="0"/>
      <w:numFmt w:val="bullet"/>
      <w:lvlText w:val="•"/>
      <w:lvlJc w:val="left"/>
      <w:pPr>
        <w:ind w:left="6076" w:hanging="720"/>
      </w:pPr>
      <w:rPr>
        <w:rFonts w:hint="default"/>
        <w:lang w:val="en-US" w:eastAsia="en-US" w:bidi="ar-SA"/>
      </w:rPr>
    </w:lvl>
    <w:lvl w:ilvl="7">
      <w:start w:val="0"/>
      <w:numFmt w:val="bullet"/>
      <w:lvlText w:val="•"/>
      <w:lvlJc w:val="left"/>
      <w:pPr>
        <w:ind w:left="6952" w:hanging="720"/>
      </w:pPr>
      <w:rPr>
        <w:rFonts w:hint="default"/>
        <w:lang w:val="en-US" w:eastAsia="en-US" w:bidi="ar-SA"/>
      </w:rPr>
    </w:lvl>
    <w:lvl w:ilvl="8">
      <w:start w:val="0"/>
      <w:numFmt w:val="bullet"/>
      <w:lvlText w:val="•"/>
      <w:lvlJc w:val="left"/>
      <w:pPr>
        <w:ind w:left="7828" w:hanging="720"/>
      </w:pPr>
      <w:rPr>
        <w:rFonts w:hint="default"/>
        <w:lang w:val="en-US" w:eastAsia="en-US" w:bidi="ar-SA"/>
      </w:rPr>
    </w:lvl>
  </w:abstractNum>
  <w:abstractNum w:abstractNumId="42">
    <w:multiLevelType w:val="hybridMultilevel"/>
    <w:lvl w:ilvl="0">
      <w:start w:val="4"/>
      <w:numFmt w:val="decimal"/>
      <w:lvlText w:val="%1"/>
      <w:lvlJc w:val="left"/>
      <w:pPr>
        <w:ind w:left="840" w:hanging="720"/>
        <w:jc w:val="left"/>
      </w:pPr>
      <w:rPr>
        <w:rFonts w:hint="default"/>
        <w:lang w:val="en-US" w:eastAsia="en-US" w:bidi="ar-SA"/>
      </w:rPr>
    </w:lvl>
    <w:lvl w:ilvl="1">
      <w:start w:val="5"/>
      <w:numFmt w:val="decimal"/>
      <w:lvlText w:val="%1.%2"/>
      <w:lvlJc w:val="left"/>
      <w:pPr>
        <w:ind w:left="840" w:hanging="720"/>
        <w:jc w:val="left"/>
      </w:pPr>
      <w:rPr>
        <w:rFonts w:hint="default"/>
        <w:lang w:val="en-US" w:eastAsia="en-US" w:bidi="ar-SA"/>
      </w:rPr>
    </w:lvl>
    <w:lvl w:ilvl="2">
      <w:start w:val="5"/>
      <w:numFmt w:val="decimal"/>
      <w:lvlText w:val="%1.%2.%3"/>
      <w:lvlJc w:val="left"/>
      <w:pPr>
        <w:ind w:left="840" w:hanging="720"/>
        <w:jc w:val="left"/>
      </w:pPr>
      <w:rPr>
        <w:rFonts w:hint="default" w:ascii="Arial MT" w:hAnsi="Arial MT" w:eastAsia="Arial MT" w:cs="Arial MT"/>
        <w:b w:val="0"/>
        <w:bCs w:val="0"/>
        <w:i w:val="0"/>
        <w:iCs w:val="0"/>
        <w:spacing w:val="-1"/>
        <w:w w:val="99"/>
        <w:sz w:val="28"/>
        <w:szCs w:val="28"/>
        <w:lang w:val="en-US" w:eastAsia="en-US" w:bidi="ar-SA"/>
      </w:rPr>
    </w:lvl>
    <w:lvl w:ilvl="3">
      <w:start w:val="0"/>
      <w:numFmt w:val="bullet"/>
      <w:lvlText w:val="•"/>
      <w:lvlJc w:val="left"/>
      <w:pPr>
        <w:ind w:left="3600" w:hanging="720"/>
      </w:pPr>
      <w:rPr>
        <w:rFonts w:hint="default"/>
        <w:lang w:val="en-US" w:eastAsia="en-US" w:bidi="ar-SA"/>
      </w:rPr>
    </w:lvl>
    <w:lvl w:ilvl="4">
      <w:start w:val="0"/>
      <w:numFmt w:val="bullet"/>
      <w:lvlText w:val="•"/>
      <w:lvlJc w:val="left"/>
      <w:pPr>
        <w:ind w:left="4520" w:hanging="720"/>
      </w:pPr>
      <w:rPr>
        <w:rFonts w:hint="default"/>
        <w:lang w:val="en-US" w:eastAsia="en-US" w:bidi="ar-SA"/>
      </w:rPr>
    </w:lvl>
    <w:lvl w:ilvl="5">
      <w:start w:val="0"/>
      <w:numFmt w:val="bullet"/>
      <w:lvlText w:val="•"/>
      <w:lvlJc w:val="left"/>
      <w:pPr>
        <w:ind w:left="5440" w:hanging="720"/>
      </w:pPr>
      <w:rPr>
        <w:rFonts w:hint="default"/>
        <w:lang w:val="en-US" w:eastAsia="en-US" w:bidi="ar-SA"/>
      </w:rPr>
    </w:lvl>
    <w:lvl w:ilvl="6">
      <w:start w:val="0"/>
      <w:numFmt w:val="bullet"/>
      <w:lvlText w:val="•"/>
      <w:lvlJc w:val="left"/>
      <w:pPr>
        <w:ind w:left="6360" w:hanging="720"/>
      </w:pPr>
      <w:rPr>
        <w:rFonts w:hint="default"/>
        <w:lang w:val="en-US" w:eastAsia="en-US" w:bidi="ar-SA"/>
      </w:rPr>
    </w:lvl>
    <w:lvl w:ilvl="7">
      <w:start w:val="0"/>
      <w:numFmt w:val="bullet"/>
      <w:lvlText w:val="•"/>
      <w:lvlJc w:val="left"/>
      <w:pPr>
        <w:ind w:left="7280" w:hanging="720"/>
      </w:pPr>
      <w:rPr>
        <w:rFonts w:hint="default"/>
        <w:lang w:val="en-US" w:eastAsia="en-US" w:bidi="ar-SA"/>
      </w:rPr>
    </w:lvl>
    <w:lvl w:ilvl="8">
      <w:start w:val="0"/>
      <w:numFmt w:val="bullet"/>
      <w:lvlText w:val="•"/>
      <w:lvlJc w:val="left"/>
      <w:pPr>
        <w:ind w:left="8200" w:hanging="720"/>
      </w:pPr>
      <w:rPr>
        <w:rFonts w:hint="default"/>
        <w:lang w:val="en-US" w:eastAsia="en-US" w:bidi="ar-SA"/>
      </w:rPr>
    </w:lvl>
  </w:abstractNum>
  <w:abstractNum w:abstractNumId="41">
    <w:multiLevelType w:val="hybridMultilevel"/>
    <w:lvl w:ilvl="0">
      <w:start w:val="28"/>
      <w:numFmt w:val="decimal"/>
      <w:lvlText w:val="%1."/>
      <w:lvlJc w:val="left"/>
      <w:pPr>
        <w:ind w:left="830" w:hanging="610"/>
        <w:jc w:val="left"/>
      </w:pPr>
      <w:rPr>
        <w:rFonts w:hint="default" w:ascii="Arial MT" w:hAnsi="Arial MT" w:eastAsia="Arial MT" w:cs="Arial MT"/>
        <w:b w:val="0"/>
        <w:bCs w:val="0"/>
        <w:i w:val="0"/>
        <w:iCs w:val="0"/>
        <w:spacing w:val="-2"/>
        <w:w w:val="100"/>
        <w:sz w:val="20"/>
        <w:szCs w:val="20"/>
        <w:lang w:val="en-US" w:eastAsia="en-US" w:bidi="ar-SA"/>
      </w:rPr>
    </w:lvl>
    <w:lvl w:ilvl="1">
      <w:start w:val="0"/>
      <w:numFmt w:val="bullet"/>
      <w:lvlText w:val="•"/>
      <w:lvlJc w:val="left"/>
      <w:pPr>
        <w:ind w:left="1133" w:hanging="610"/>
      </w:pPr>
      <w:rPr>
        <w:rFonts w:hint="default"/>
        <w:lang w:val="en-US" w:eastAsia="en-US" w:bidi="ar-SA"/>
      </w:rPr>
    </w:lvl>
    <w:lvl w:ilvl="2">
      <w:start w:val="0"/>
      <w:numFmt w:val="bullet"/>
      <w:lvlText w:val="•"/>
      <w:lvlJc w:val="left"/>
      <w:pPr>
        <w:ind w:left="1426" w:hanging="610"/>
      </w:pPr>
      <w:rPr>
        <w:rFonts w:hint="default"/>
        <w:lang w:val="en-US" w:eastAsia="en-US" w:bidi="ar-SA"/>
      </w:rPr>
    </w:lvl>
    <w:lvl w:ilvl="3">
      <w:start w:val="0"/>
      <w:numFmt w:val="bullet"/>
      <w:lvlText w:val="•"/>
      <w:lvlJc w:val="left"/>
      <w:pPr>
        <w:ind w:left="1719" w:hanging="610"/>
      </w:pPr>
      <w:rPr>
        <w:rFonts w:hint="default"/>
        <w:lang w:val="en-US" w:eastAsia="en-US" w:bidi="ar-SA"/>
      </w:rPr>
    </w:lvl>
    <w:lvl w:ilvl="4">
      <w:start w:val="0"/>
      <w:numFmt w:val="bullet"/>
      <w:lvlText w:val="•"/>
      <w:lvlJc w:val="left"/>
      <w:pPr>
        <w:ind w:left="2012" w:hanging="610"/>
      </w:pPr>
      <w:rPr>
        <w:rFonts w:hint="default"/>
        <w:lang w:val="en-US" w:eastAsia="en-US" w:bidi="ar-SA"/>
      </w:rPr>
    </w:lvl>
    <w:lvl w:ilvl="5">
      <w:start w:val="0"/>
      <w:numFmt w:val="bullet"/>
      <w:lvlText w:val="•"/>
      <w:lvlJc w:val="left"/>
      <w:pPr>
        <w:ind w:left="2305" w:hanging="610"/>
      </w:pPr>
      <w:rPr>
        <w:rFonts w:hint="default"/>
        <w:lang w:val="en-US" w:eastAsia="en-US" w:bidi="ar-SA"/>
      </w:rPr>
    </w:lvl>
    <w:lvl w:ilvl="6">
      <w:start w:val="0"/>
      <w:numFmt w:val="bullet"/>
      <w:lvlText w:val="•"/>
      <w:lvlJc w:val="left"/>
      <w:pPr>
        <w:ind w:left="2598" w:hanging="610"/>
      </w:pPr>
      <w:rPr>
        <w:rFonts w:hint="default"/>
        <w:lang w:val="en-US" w:eastAsia="en-US" w:bidi="ar-SA"/>
      </w:rPr>
    </w:lvl>
    <w:lvl w:ilvl="7">
      <w:start w:val="0"/>
      <w:numFmt w:val="bullet"/>
      <w:lvlText w:val="•"/>
      <w:lvlJc w:val="left"/>
      <w:pPr>
        <w:ind w:left="2891" w:hanging="610"/>
      </w:pPr>
      <w:rPr>
        <w:rFonts w:hint="default"/>
        <w:lang w:val="en-US" w:eastAsia="en-US" w:bidi="ar-SA"/>
      </w:rPr>
    </w:lvl>
    <w:lvl w:ilvl="8">
      <w:start w:val="0"/>
      <w:numFmt w:val="bullet"/>
      <w:lvlText w:val="•"/>
      <w:lvlJc w:val="left"/>
      <w:pPr>
        <w:ind w:left="3184" w:hanging="610"/>
      </w:pPr>
      <w:rPr>
        <w:rFonts w:hint="default"/>
        <w:lang w:val="en-US" w:eastAsia="en-US" w:bidi="ar-SA"/>
      </w:rPr>
    </w:lvl>
  </w:abstractNum>
  <w:abstractNum w:abstractNumId="40">
    <w:multiLevelType w:val="hybridMultilevel"/>
    <w:lvl w:ilvl="0">
      <w:start w:val="7"/>
      <w:numFmt w:val="decimal"/>
      <w:lvlText w:val="%1."/>
      <w:lvlJc w:val="left"/>
      <w:pPr>
        <w:ind w:left="830" w:hanging="552"/>
        <w:jc w:val="left"/>
      </w:pPr>
      <w:rPr>
        <w:rFonts w:hint="default" w:ascii="Arial MT" w:hAnsi="Arial MT" w:eastAsia="Arial MT" w:cs="Arial MT"/>
        <w:b w:val="0"/>
        <w:bCs w:val="0"/>
        <w:i w:val="0"/>
        <w:iCs w:val="0"/>
        <w:spacing w:val="-2"/>
        <w:w w:val="100"/>
        <w:sz w:val="20"/>
        <w:szCs w:val="20"/>
        <w:lang w:val="en-US" w:eastAsia="en-US" w:bidi="ar-SA"/>
      </w:rPr>
    </w:lvl>
    <w:lvl w:ilvl="1">
      <w:start w:val="0"/>
      <w:numFmt w:val="bullet"/>
      <w:lvlText w:val="•"/>
      <w:lvlJc w:val="left"/>
      <w:pPr>
        <w:ind w:left="1105" w:hanging="552"/>
      </w:pPr>
      <w:rPr>
        <w:rFonts w:hint="default"/>
        <w:lang w:val="en-US" w:eastAsia="en-US" w:bidi="ar-SA"/>
      </w:rPr>
    </w:lvl>
    <w:lvl w:ilvl="2">
      <w:start w:val="0"/>
      <w:numFmt w:val="bullet"/>
      <w:lvlText w:val="•"/>
      <w:lvlJc w:val="left"/>
      <w:pPr>
        <w:ind w:left="1370" w:hanging="552"/>
      </w:pPr>
      <w:rPr>
        <w:rFonts w:hint="default"/>
        <w:lang w:val="en-US" w:eastAsia="en-US" w:bidi="ar-SA"/>
      </w:rPr>
    </w:lvl>
    <w:lvl w:ilvl="3">
      <w:start w:val="0"/>
      <w:numFmt w:val="bullet"/>
      <w:lvlText w:val="•"/>
      <w:lvlJc w:val="left"/>
      <w:pPr>
        <w:ind w:left="1635" w:hanging="552"/>
      </w:pPr>
      <w:rPr>
        <w:rFonts w:hint="default"/>
        <w:lang w:val="en-US" w:eastAsia="en-US" w:bidi="ar-SA"/>
      </w:rPr>
    </w:lvl>
    <w:lvl w:ilvl="4">
      <w:start w:val="0"/>
      <w:numFmt w:val="bullet"/>
      <w:lvlText w:val="•"/>
      <w:lvlJc w:val="left"/>
      <w:pPr>
        <w:ind w:left="1900" w:hanging="552"/>
      </w:pPr>
      <w:rPr>
        <w:rFonts w:hint="default"/>
        <w:lang w:val="en-US" w:eastAsia="en-US" w:bidi="ar-SA"/>
      </w:rPr>
    </w:lvl>
    <w:lvl w:ilvl="5">
      <w:start w:val="0"/>
      <w:numFmt w:val="bullet"/>
      <w:lvlText w:val="•"/>
      <w:lvlJc w:val="left"/>
      <w:pPr>
        <w:ind w:left="2166" w:hanging="552"/>
      </w:pPr>
      <w:rPr>
        <w:rFonts w:hint="default"/>
        <w:lang w:val="en-US" w:eastAsia="en-US" w:bidi="ar-SA"/>
      </w:rPr>
    </w:lvl>
    <w:lvl w:ilvl="6">
      <w:start w:val="0"/>
      <w:numFmt w:val="bullet"/>
      <w:lvlText w:val="•"/>
      <w:lvlJc w:val="left"/>
      <w:pPr>
        <w:ind w:left="2431" w:hanging="552"/>
      </w:pPr>
      <w:rPr>
        <w:rFonts w:hint="default"/>
        <w:lang w:val="en-US" w:eastAsia="en-US" w:bidi="ar-SA"/>
      </w:rPr>
    </w:lvl>
    <w:lvl w:ilvl="7">
      <w:start w:val="0"/>
      <w:numFmt w:val="bullet"/>
      <w:lvlText w:val="•"/>
      <w:lvlJc w:val="left"/>
      <w:pPr>
        <w:ind w:left="2696" w:hanging="552"/>
      </w:pPr>
      <w:rPr>
        <w:rFonts w:hint="default"/>
        <w:lang w:val="en-US" w:eastAsia="en-US" w:bidi="ar-SA"/>
      </w:rPr>
    </w:lvl>
    <w:lvl w:ilvl="8">
      <w:start w:val="0"/>
      <w:numFmt w:val="bullet"/>
      <w:lvlText w:val="•"/>
      <w:lvlJc w:val="left"/>
      <w:pPr>
        <w:ind w:left="2961" w:hanging="552"/>
      </w:pPr>
      <w:rPr>
        <w:rFonts w:hint="default"/>
        <w:lang w:val="en-US" w:eastAsia="en-US" w:bidi="ar-SA"/>
      </w:rPr>
    </w:lvl>
  </w:abstractNum>
  <w:abstractNum w:abstractNumId="39">
    <w:multiLevelType w:val="hybridMultilevel"/>
    <w:lvl w:ilvl="0">
      <w:start w:val="1"/>
      <w:numFmt w:val="decimal"/>
      <w:lvlText w:val="%1."/>
      <w:lvlJc w:val="left"/>
      <w:pPr>
        <w:ind w:left="2260" w:hanging="360"/>
        <w:jc w:val="left"/>
      </w:pPr>
      <w:rPr>
        <w:rFonts w:hint="default" w:ascii="Arial MT" w:hAnsi="Arial MT" w:eastAsia="Arial MT" w:cs="Arial MT"/>
        <w:b w:val="0"/>
        <w:bCs w:val="0"/>
        <w:i w:val="0"/>
        <w:iCs w:val="0"/>
        <w:spacing w:val="0"/>
        <w:w w:val="99"/>
        <w:sz w:val="24"/>
        <w:szCs w:val="24"/>
        <w:lang w:val="en-US" w:eastAsia="en-US" w:bidi="ar-SA"/>
      </w:rPr>
    </w:lvl>
    <w:lvl w:ilvl="1">
      <w:start w:val="0"/>
      <w:numFmt w:val="bullet"/>
      <w:lvlText w:val="•"/>
      <w:lvlJc w:val="left"/>
      <w:pPr>
        <w:ind w:left="3040" w:hanging="360"/>
      </w:pPr>
      <w:rPr>
        <w:rFonts w:hint="default"/>
        <w:lang w:val="en-US" w:eastAsia="en-US" w:bidi="ar-SA"/>
      </w:rPr>
    </w:lvl>
    <w:lvl w:ilvl="2">
      <w:start w:val="0"/>
      <w:numFmt w:val="bullet"/>
      <w:lvlText w:val="•"/>
      <w:lvlJc w:val="left"/>
      <w:pPr>
        <w:ind w:left="3820" w:hanging="360"/>
      </w:pPr>
      <w:rPr>
        <w:rFonts w:hint="default"/>
        <w:lang w:val="en-US" w:eastAsia="en-US" w:bidi="ar-SA"/>
      </w:rPr>
    </w:lvl>
    <w:lvl w:ilvl="3">
      <w:start w:val="0"/>
      <w:numFmt w:val="bullet"/>
      <w:lvlText w:val="•"/>
      <w:lvlJc w:val="left"/>
      <w:pPr>
        <w:ind w:left="4600" w:hanging="360"/>
      </w:pPr>
      <w:rPr>
        <w:rFonts w:hint="default"/>
        <w:lang w:val="en-US" w:eastAsia="en-US" w:bidi="ar-SA"/>
      </w:rPr>
    </w:lvl>
    <w:lvl w:ilvl="4">
      <w:start w:val="0"/>
      <w:numFmt w:val="bullet"/>
      <w:lvlText w:val="•"/>
      <w:lvlJc w:val="left"/>
      <w:pPr>
        <w:ind w:left="5380" w:hanging="360"/>
      </w:pPr>
      <w:rPr>
        <w:rFonts w:hint="default"/>
        <w:lang w:val="en-US" w:eastAsia="en-US" w:bidi="ar-SA"/>
      </w:rPr>
    </w:lvl>
    <w:lvl w:ilvl="5">
      <w:start w:val="0"/>
      <w:numFmt w:val="bullet"/>
      <w:lvlText w:val="•"/>
      <w:lvlJc w:val="left"/>
      <w:pPr>
        <w:ind w:left="6160" w:hanging="360"/>
      </w:pPr>
      <w:rPr>
        <w:rFonts w:hint="default"/>
        <w:lang w:val="en-US" w:eastAsia="en-US" w:bidi="ar-SA"/>
      </w:rPr>
    </w:lvl>
    <w:lvl w:ilvl="6">
      <w:start w:val="0"/>
      <w:numFmt w:val="bullet"/>
      <w:lvlText w:val="•"/>
      <w:lvlJc w:val="left"/>
      <w:pPr>
        <w:ind w:left="6940" w:hanging="360"/>
      </w:pPr>
      <w:rPr>
        <w:rFonts w:hint="default"/>
        <w:lang w:val="en-US" w:eastAsia="en-US" w:bidi="ar-SA"/>
      </w:rPr>
    </w:lvl>
    <w:lvl w:ilvl="7">
      <w:start w:val="0"/>
      <w:numFmt w:val="bullet"/>
      <w:lvlText w:val="•"/>
      <w:lvlJc w:val="left"/>
      <w:pPr>
        <w:ind w:left="7720" w:hanging="360"/>
      </w:pPr>
      <w:rPr>
        <w:rFonts w:hint="default"/>
        <w:lang w:val="en-US" w:eastAsia="en-US" w:bidi="ar-SA"/>
      </w:rPr>
    </w:lvl>
    <w:lvl w:ilvl="8">
      <w:start w:val="0"/>
      <w:numFmt w:val="bullet"/>
      <w:lvlText w:val="•"/>
      <w:lvlJc w:val="left"/>
      <w:pPr>
        <w:ind w:left="8500" w:hanging="360"/>
      </w:pPr>
      <w:rPr>
        <w:rFonts w:hint="default"/>
        <w:lang w:val="en-US" w:eastAsia="en-US" w:bidi="ar-SA"/>
      </w:rPr>
    </w:lvl>
  </w:abstractNum>
  <w:abstractNum w:abstractNumId="38">
    <w:multiLevelType w:val="hybridMultilevel"/>
    <w:lvl w:ilvl="0">
      <w:start w:val="4"/>
      <w:numFmt w:val="decimal"/>
      <w:lvlText w:val="%1"/>
      <w:lvlJc w:val="left"/>
      <w:pPr>
        <w:ind w:left="820" w:hanging="720"/>
        <w:jc w:val="left"/>
      </w:pPr>
      <w:rPr>
        <w:rFonts w:hint="default"/>
        <w:lang w:val="en-US" w:eastAsia="en-US" w:bidi="ar-SA"/>
      </w:rPr>
    </w:lvl>
    <w:lvl w:ilvl="1">
      <w:start w:val="1"/>
      <w:numFmt w:val="decimal"/>
      <w:lvlText w:val="%1.%2"/>
      <w:lvlJc w:val="left"/>
      <w:pPr>
        <w:ind w:left="820" w:hanging="720"/>
        <w:jc w:val="left"/>
      </w:pPr>
      <w:rPr>
        <w:rFonts w:hint="default"/>
        <w:spacing w:val="-1"/>
        <w:w w:val="99"/>
        <w:lang w:val="en-US" w:eastAsia="en-US" w:bidi="ar-SA"/>
      </w:rPr>
    </w:lvl>
    <w:lvl w:ilvl="2">
      <w:start w:val="1"/>
      <w:numFmt w:val="decimal"/>
      <w:lvlText w:val="%1.%2.%3"/>
      <w:lvlJc w:val="left"/>
      <w:pPr>
        <w:ind w:left="820" w:hanging="720"/>
        <w:jc w:val="left"/>
      </w:pPr>
      <w:rPr>
        <w:rFonts w:hint="default"/>
        <w:spacing w:val="-1"/>
        <w:w w:val="99"/>
        <w:lang w:val="en-US" w:eastAsia="en-US" w:bidi="ar-SA"/>
      </w:rPr>
    </w:lvl>
    <w:lvl w:ilvl="3">
      <w:start w:val="1"/>
      <w:numFmt w:val="decimal"/>
      <w:lvlText w:val="%1.%2.%3.%4"/>
      <w:lvlJc w:val="left"/>
      <w:pPr>
        <w:ind w:left="1540" w:hanging="720"/>
        <w:jc w:val="left"/>
      </w:pPr>
      <w:rPr>
        <w:rFonts w:hint="default"/>
        <w:spacing w:val="-1"/>
        <w:w w:val="99"/>
        <w:lang w:val="en-US" w:eastAsia="en-US" w:bidi="ar-SA"/>
      </w:rPr>
    </w:lvl>
    <w:lvl w:ilvl="4">
      <w:start w:val="0"/>
      <w:numFmt w:val="bullet"/>
      <w:lvlText w:val="•"/>
      <w:lvlJc w:val="left"/>
      <w:pPr>
        <w:ind w:left="2688" w:hanging="720"/>
      </w:pPr>
      <w:rPr>
        <w:rFonts w:hint="default"/>
        <w:lang w:val="en-US" w:eastAsia="en-US" w:bidi="ar-SA"/>
      </w:rPr>
    </w:lvl>
    <w:lvl w:ilvl="5">
      <w:start w:val="0"/>
      <w:numFmt w:val="bullet"/>
      <w:lvlText w:val="•"/>
      <w:lvlJc w:val="left"/>
      <w:pPr>
        <w:ind w:left="3837" w:hanging="720"/>
      </w:pPr>
      <w:rPr>
        <w:rFonts w:hint="default"/>
        <w:lang w:val="en-US" w:eastAsia="en-US" w:bidi="ar-SA"/>
      </w:rPr>
    </w:lvl>
    <w:lvl w:ilvl="6">
      <w:start w:val="0"/>
      <w:numFmt w:val="bullet"/>
      <w:lvlText w:val="•"/>
      <w:lvlJc w:val="left"/>
      <w:pPr>
        <w:ind w:left="4985" w:hanging="720"/>
      </w:pPr>
      <w:rPr>
        <w:rFonts w:hint="default"/>
        <w:lang w:val="en-US" w:eastAsia="en-US" w:bidi="ar-SA"/>
      </w:rPr>
    </w:lvl>
    <w:lvl w:ilvl="7">
      <w:start w:val="0"/>
      <w:numFmt w:val="bullet"/>
      <w:lvlText w:val="•"/>
      <w:lvlJc w:val="left"/>
      <w:pPr>
        <w:ind w:left="6134" w:hanging="720"/>
      </w:pPr>
      <w:rPr>
        <w:rFonts w:hint="default"/>
        <w:lang w:val="en-US" w:eastAsia="en-US" w:bidi="ar-SA"/>
      </w:rPr>
    </w:lvl>
    <w:lvl w:ilvl="8">
      <w:start w:val="0"/>
      <w:numFmt w:val="bullet"/>
      <w:lvlText w:val="•"/>
      <w:lvlJc w:val="left"/>
      <w:pPr>
        <w:ind w:left="7282" w:hanging="720"/>
      </w:pPr>
      <w:rPr>
        <w:rFonts w:hint="default"/>
        <w:lang w:val="en-US" w:eastAsia="en-US" w:bidi="ar-SA"/>
      </w:rPr>
    </w:lvl>
  </w:abstractNum>
  <w:abstractNum w:abstractNumId="37">
    <w:multiLevelType w:val="hybridMultilevel"/>
    <w:lvl w:ilvl="0">
      <w:start w:val="1"/>
      <w:numFmt w:val="lowerLetter"/>
      <w:lvlText w:val="%1)"/>
      <w:lvlJc w:val="left"/>
      <w:pPr>
        <w:ind w:left="2260" w:hanging="720"/>
        <w:jc w:val="left"/>
      </w:pPr>
      <w:rPr>
        <w:rFonts w:hint="default" w:ascii="Arial MT" w:hAnsi="Arial MT" w:eastAsia="Arial MT" w:cs="Arial MT"/>
        <w:b w:val="0"/>
        <w:bCs w:val="0"/>
        <w:i w:val="0"/>
        <w:iCs w:val="0"/>
        <w:spacing w:val="0"/>
        <w:w w:val="99"/>
        <w:sz w:val="24"/>
        <w:szCs w:val="24"/>
        <w:lang w:val="en-US" w:eastAsia="en-US" w:bidi="ar-SA"/>
      </w:rPr>
    </w:lvl>
    <w:lvl w:ilvl="1">
      <w:start w:val="0"/>
      <w:numFmt w:val="bullet"/>
      <w:lvlText w:val="•"/>
      <w:lvlJc w:val="left"/>
      <w:pPr>
        <w:ind w:left="2992" w:hanging="720"/>
      </w:pPr>
      <w:rPr>
        <w:rFonts w:hint="default"/>
        <w:lang w:val="en-US" w:eastAsia="en-US" w:bidi="ar-SA"/>
      </w:rPr>
    </w:lvl>
    <w:lvl w:ilvl="2">
      <w:start w:val="0"/>
      <w:numFmt w:val="bullet"/>
      <w:lvlText w:val="•"/>
      <w:lvlJc w:val="left"/>
      <w:pPr>
        <w:ind w:left="3724" w:hanging="720"/>
      </w:pPr>
      <w:rPr>
        <w:rFonts w:hint="default"/>
        <w:lang w:val="en-US" w:eastAsia="en-US" w:bidi="ar-SA"/>
      </w:rPr>
    </w:lvl>
    <w:lvl w:ilvl="3">
      <w:start w:val="0"/>
      <w:numFmt w:val="bullet"/>
      <w:lvlText w:val="•"/>
      <w:lvlJc w:val="left"/>
      <w:pPr>
        <w:ind w:left="4456" w:hanging="720"/>
      </w:pPr>
      <w:rPr>
        <w:rFonts w:hint="default"/>
        <w:lang w:val="en-US" w:eastAsia="en-US" w:bidi="ar-SA"/>
      </w:rPr>
    </w:lvl>
    <w:lvl w:ilvl="4">
      <w:start w:val="0"/>
      <w:numFmt w:val="bullet"/>
      <w:lvlText w:val="•"/>
      <w:lvlJc w:val="left"/>
      <w:pPr>
        <w:ind w:left="5188" w:hanging="720"/>
      </w:pPr>
      <w:rPr>
        <w:rFonts w:hint="default"/>
        <w:lang w:val="en-US" w:eastAsia="en-US" w:bidi="ar-SA"/>
      </w:rPr>
    </w:lvl>
    <w:lvl w:ilvl="5">
      <w:start w:val="0"/>
      <w:numFmt w:val="bullet"/>
      <w:lvlText w:val="•"/>
      <w:lvlJc w:val="left"/>
      <w:pPr>
        <w:ind w:left="5920" w:hanging="720"/>
      </w:pPr>
      <w:rPr>
        <w:rFonts w:hint="default"/>
        <w:lang w:val="en-US" w:eastAsia="en-US" w:bidi="ar-SA"/>
      </w:rPr>
    </w:lvl>
    <w:lvl w:ilvl="6">
      <w:start w:val="0"/>
      <w:numFmt w:val="bullet"/>
      <w:lvlText w:val="•"/>
      <w:lvlJc w:val="left"/>
      <w:pPr>
        <w:ind w:left="6652" w:hanging="720"/>
      </w:pPr>
      <w:rPr>
        <w:rFonts w:hint="default"/>
        <w:lang w:val="en-US" w:eastAsia="en-US" w:bidi="ar-SA"/>
      </w:rPr>
    </w:lvl>
    <w:lvl w:ilvl="7">
      <w:start w:val="0"/>
      <w:numFmt w:val="bullet"/>
      <w:lvlText w:val="•"/>
      <w:lvlJc w:val="left"/>
      <w:pPr>
        <w:ind w:left="7384" w:hanging="720"/>
      </w:pPr>
      <w:rPr>
        <w:rFonts w:hint="default"/>
        <w:lang w:val="en-US" w:eastAsia="en-US" w:bidi="ar-SA"/>
      </w:rPr>
    </w:lvl>
    <w:lvl w:ilvl="8">
      <w:start w:val="0"/>
      <w:numFmt w:val="bullet"/>
      <w:lvlText w:val="•"/>
      <w:lvlJc w:val="left"/>
      <w:pPr>
        <w:ind w:left="8116" w:hanging="720"/>
      </w:pPr>
      <w:rPr>
        <w:rFonts w:hint="default"/>
        <w:lang w:val="en-US" w:eastAsia="en-US" w:bidi="ar-SA"/>
      </w:rPr>
    </w:lvl>
  </w:abstractNum>
  <w:abstractNum w:abstractNumId="36">
    <w:multiLevelType w:val="hybridMultilevel"/>
    <w:lvl w:ilvl="0">
      <w:start w:val="1"/>
      <w:numFmt w:val="decimal"/>
      <w:lvlText w:val="%1."/>
      <w:lvlJc w:val="left"/>
      <w:pPr>
        <w:ind w:left="830" w:hanging="552"/>
        <w:jc w:val="left"/>
      </w:pPr>
      <w:rPr>
        <w:rFonts w:hint="default" w:ascii="Arial MT" w:hAnsi="Arial MT" w:eastAsia="Arial MT" w:cs="Arial MT"/>
        <w:b w:val="0"/>
        <w:bCs w:val="0"/>
        <w:i w:val="0"/>
        <w:iCs w:val="0"/>
        <w:spacing w:val="-2"/>
        <w:w w:val="100"/>
        <w:sz w:val="20"/>
        <w:szCs w:val="20"/>
        <w:lang w:val="en-US" w:eastAsia="en-US" w:bidi="ar-SA"/>
      </w:rPr>
    </w:lvl>
    <w:lvl w:ilvl="1">
      <w:start w:val="0"/>
      <w:numFmt w:val="bullet"/>
      <w:lvlText w:val="•"/>
      <w:lvlJc w:val="left"/>
      <w:pPr>
        <w:ind w:left="1188" w:hanging="552"/>
      </w:pPr>
      <w:rPr>
        <w:rFonts w:hint="default"/>
        <w:lang w:val="en-US" w:eastAsia="en-US" w:bidi="ar-SA"/>
      </w:rPr>
    </w:lvl>
    <w:lvl w:ilvl="2">
      <w:start w:val="0"/>
      <w:numFmt w:val="bullet"/>
      <w:lvlText w:val="•"/>
      <w:lvlJc w:val="left"/>
      <w:pPr>
        <w:ind w:left="1536" w:hanging="552"/>
      </w:pPr>
      <w:rPr>
        <w:rFonts w:hint="default"/>
        <w:lang w:val="en-US" w:eastAsia="en-US" w:bidi="ar-SA"/>
      </w:rPr>
    </w:lvl>
    <w:lvl w:ilvl="3">
      <w:start w:val="0"/>
      <w:numFmt w:val="bullet"/>
      <w:lvlText w:val="•"/>
      <w:lvlJc w:val="left"/>
      <w:pPr>
        <w:ind w:left="1884" w:hanging="552"/>
      </w:pPr>
      <w:rPr>
        <w:rFonts w:hint="default"/>
        <w:lang w:val="en-US" w:eastAsia="en-US" w:bidi="ar-SA"/>
      </w:rPr>
    </w:lvl>
    <w:lvl w:ilvl="4">
      <w:start w:val="0"/>
      <w:numFmt w:val="bullet"/>
      <w:lvlText w:val="•"/>
      <w:lvlJc w:val="left"/>
      <w:pPr>
        <w:ind w:left="2232" w:hanging="552"/>
      </w:pPr>
      <w:rPr>
        <w:rFonts w:hint="default"/>
        <w:lang w:val="en-US" w:eastAsia="en-US" w:bidi="ar-SA"/>
      </w:rPr>
    </w:lvl>
    <w:lvl w:ilvl="5">
      <w:start w:val="0"/>
      <w:numFmt w:val="bullet"/>
      <w:lvlText w:val="•"/>
      <w:lvlJc w:val="left"/>
      <w:pPr>
        <w:ind w:left="2580" w:hanging="552"/>
      </w:pPr>
      <w:rPr>
        <w:rFonts w:hint="default"/>
        <w:lang w:val="en-US" w:eastAsia="en-US" w:bidi="ar-SA"/>
      </w:rPr>
    </w:lvl>
    <w:lvl w:ilvl="6">
      <w:start w:val="0"/>
      <w:numFmt w:val="bullet"/>
      <w:lvlText w:val="•"/>
      <w:lvlJc w:val="left"/>
      <w:pPr>
        <w:ind w:left="2928" w:hanging="552"/>
      </w:pPr>
      <w:rPr>
        <w:rFonts w:hint="default"/>
        <w:lang w:val="en-US" w:eastAsia="en-US" w:bidi="ar-SA"/>
      </w:rPr>
    </w:lvl>
    <w:lvl w:ilvl="7">
      <w:start w:val="0"/>
      <w:numFmt w:val="bullet"/>
      <w:lvlText w:val="•"/>
      <w:lvlJc w:val="left"/>
      <w:pPr>
        <w:ind w:left="3276" w:hanging="552"/>
      </w:pPr>
      <w:rPr>
        <w:rFonts w:hint="default"/>
        <w:lang w:val="en-US" w:eastAsia="en-US" w:bidi="ar-SA"/>
      </w:rPr>
    </w:lvl>
    <w:lvl w:ilvl="8">
      <w:start w:val="0"/>
      <w:numFmt w:val="bullet"/>
      <w:lvlText w:val="•"/>
      <w:lvlJc w:val="left"/>
      <w:pPr>
        <w:ind w:left="3624" w:hanging="552"/>
      </w:pPr>
      <w:rPr>
        <w:rFonts w:hint="default"/>
        <w:lang w:val="en-US" w:eastAsia="en-US" w:bidi="ar-SA"/>
      </w:rPr>
    </w:lvl>
  </w:abstractNum>
  <w:abstractNum w:abstractNumId="35">
    <w:multiLevelType w:val="hybridMultilevel"/>
    <w:lvl w:ilvl="0">
      <w:start w:val="1"/>
      <w:numFmt w:val="decimal"/>
      <w:lvlText w:val="%1."/>
      <w:lvlJc w:val="left"/>
      <w:pPr>
        <w:ind w:left="652" w:hanging="456"/>
        <w:jc w:val="left"/>
      </w:pPr>
      <w:rPr>
        <w:rFonts w:hint="default" w:ascii="Arial MT" w:hAnsi="Arial MT" w:eastAsia="Arial MT" w:cs="Arial MT"/>
        <w:b w:val="0"/>
        <w:bCs w:val="0"/>
        <w:i w:val="0"/>
        <w:iCs w:val="0"/>
        <w:spacing w:val="-1"/>
        <w:w w:val="101"/>
        <w:sz w:val="18"/>
        <w:szCs w:val="18"/>
        <w:lang w:val="en-US" w:eastAsia="en-US" w:bidi="ar-SA"/>
      </w:rPr>
    </w:lvl>
    <w:lvl w:ilvl="1">
      <w:start w:val="0"/>
      <w:numFmt w:val="bullet"/>
      <w:lvlText w:val="•"/>
      <w:lvlJc w:val="left"/>
      <w:pPr>
        <w:ind w:left="788" w:hanging="456"/>
      </w:pPr>
      <w:rPr>
        <w:rFonts w:hint="default"/>
        <w:lang w:val="en-US" w:eastAsia="en-US" w:bidi="ar-SA"/>
      </w:rPr>
    </w:lvl>
    <w:lvl w:ilvl="2">
      <w:start w:val="0"/>
      <w:numFmt w:val="bullet"/>
      <w:lvlText w:val="•"/>
      <w:lvlJc w:val="left"/>
      <w:pPr>
        <w:ind w:left="917" w:hanging="456"/>
      </w:pPr>
      <w:rPr>
        <w:rFonts w:hint="default"/>
        <w:lang w:val="en-US" w:eastAsia="en-US" w:bidi="ar-SA"/>
      </w:rPr>
    </w:lvl>
    <w:lvl w:ilvl="3">
      <w:start w:val="0"/>
      <w:numFmt w:val="bullet"/>
      <w:lvlText w:val="•"/>
      <w:lvlJc w:val="left"/>
      <w:pPr>
        <w:ind w:left="1046" w:hanging="456"/>
      </w:pPr>
      <w:rPr>
        <w:rFonts w:hint="default"/>
        <w:lang w:val="en-US" w:eastAsia="en-US" w:bidi="ar-SA"/>
      </w:rPr>
    </w:lvl>
    <w:lvl w:ilvl="4">
      <w:start w:val="0"/>
      <w:numFmt w:val="bullet"/>
      <w:lvlText w:val="•"/>
      <w:lvlJc w:val="left"/>
      <w:pPr>
        <w:ind w:left="1174" w:hanging="456"/>
      </w:pPr>
      <w:rPr>
        <w:rFonts w:hint="default"/>
        <w:lang w:val="en-US" w:eastAsia="en-US" w:bidi="ar-SA"/>
      </w:rPr>
    </w:lvl>
    <w:lvl w:ilvl="5">
      <w:start w:val="0"/>
      <w:numFmt w:val="bullet"/>
      <w:lvlText w:val="•"/>
      <w:lvlJc w:val="left"/>
      <w:pPr>
        <w:ind w:left="1303" w:hanging="456"/>
      </w:pPr>
      <w:rPr>
        <w:rFonts w:hint="default"/>
        <w:lang w:val="en-US" w:eastAsia="en-US" w:bidi="ar-SA"/>
      </w:rPr>
    </w:lvl>
    <w:lvl w:ilvl="6">
      <w:start w:val="0"/>
      <w:numFmt w:val="bullet"/>
      <w:lvlText w:val="•"/>
      <w:lvlJc w:val="left"/>
      <w:pPr>
        <w:ind w:left="1432" w:hanging="456"/>
      </w:pPr>
      <w:rPr>
        <w:rFonts w:hint="default"/>
        <w:lang w:val="en-US" w:eastAsia="en-US" w:bidi="ar-SA"/>
      </w:rPr>
    </w:lvl>
    <w:lvl w:ilvl="7">
      <w:start w:val="0"/>
      <w:numFmt w:val="bullet"/>
      <w:lvlText w:val="•"/>
      <w:lvlJc w:val="left"/>
      <w:pPr>
        <w:ind w:left="1560" w:hanging="456"/>
      </w:pPr>
      <w:rPr>
        <w:rFonts w:hint="default"/>
        <w:lang w:val="en-US" w:eastAsia="en-US" w:bidi="ar-SA"/>
      </w:rPr>
    </w:lvl>
    <w:lvl w:ilvl="8">
      <w:start w:val="0"/>
      <w:numFmt w:val="bullet"/>
      <w:lvlText w:val="•"/>
      <w:lvlJc w:val="left"/>
      <w:pPr>
        <w:ind w:left="1689" w:hanging="456"/>
      </w:pPr>
      <w:rPr>
        <w:rFonts w:hint="default"/>
        <w:lang w:val="en-US" w:eastAsia="en-US" w:bidi="ar-SA"/>
      </w:rPr>
    </w:lvl>
  </w:abstractNum>
  <w:abstractNum w:abstractNumId="34">
    <w:multiLevelType w:val="hybridMultilevel"/>
    <w:lvl w:ilvl="0">
      <w:start w:val="3"/>
      <w:numFmt w:val="decimalZero"/>
      <w:lvlText w:val="%1"/>
      <w:lvlJc w:val="left"/>
      <w:pPr>
        <w:ind w:left="2980" w:hanging="720"/>
        <w:jc w:val="left"/>
      </w:pPr>
      <w:rPr>
        <w:rFonts w:hint="default" w:ascii="Arial MT" w:hAnsi="Arial MT" w:eastAsia="Arial MT" w:cs="Arial MT"/>
        <w:b w:val="0"/>
        <w:bCs w:val="0"/>
        <w:i w:val="0"/>
        <w:iCs w:val="0"/>
        <w:spacing w:val="0"/>
        <w:w w:val="99"/>
        <w:sz w:val="24"/>
        <w:szCs w:val="24"/>
        <w:lang w:val="en-US" w:eastAsia="en-US" w:bidi="ar-SA"/>
      </w:rPr>
    </w:lvl>
    <w:lvl w:ilvl="1">
      <w:start w:val="0"/>
      <w:numFmt w:val="bullet"/>
      <w:lvlText w:val="•"/>
      <w:lvlJc w:val="left"/>
      <w:pPr>
        <w:ind w:left="3640" w:hanging="720"/>
      </w:pPr>
      <w:rPr>
        <w:rFonts w:hint="default"/>
        <w:lang w:val="en-US" w:eastAsia="en-US" w:bidi="ar-SA"/>
      </w:rPr>
    </w:lvl>
    <w:lvl w:ilvl="2">
      <w:start w:val="0"/>
      <w:numFmt w:val="bullet"/>
      <w:lvlText w:val="•"/>
      <w:lvlJc w:val="left"/>
      <w:pPr>
        <w:ind w:left="4300" w:hanging="720"/>
      </w:pPr>
      <w:rPr>
        <w:rFonts w:hint="default"/>
        <w:lang w:val="en-US" w:eastAsia="en-US" w:bidi="ar-SA"/>
      </w:rPr>
    </w:lvl>
    <w:lvl w:ilvl="3">
      <w:start w:val="0"/>
      <w:numFmt w:val="bullet"/>
      <w:lvlText w:val="•"/>
      <w:lvlJc w:val="left"/>
      <w:pPr>
        <w:ind w:left="4960" w:hanging="720"/>
      </w:pPr>
      <w:rPr>
        <w:rFonts w:hint="default"/>
        <w:lang w:val="en-US" w:eastAsia="en-US" w:bidi="ar-SA"/>
      </w:rPr>
    </w:lvl>
    <w:lvl w:ilvl="4">
      <w:start w:val="0"/>
      <w:numFmt w:val="bullet"/>
      <w:lvlText w:val="•"/>
      <w:lvlJc w:val="left"/>
      <w:pPr>
        <w:ind w:left="5620" w:hanging="720"/>
      </w:pPr>
      <w:rPr>
        <w:rFonts w:hint="default"/>
        <w:lang w:val="en-US" w:eastAsia="en-US" w:bidi="ar-SA"/>
      </w:rPr>
    </w:lvl>
    <w:lvl w:ilvl="5">
      <w:start w:val="0"/>
      <w:numFmt w:val="bullet"/>
      <w:lvlText w:val="•"/>
      <w:lvlJc w:val="left"/>
      <w:pPr>
        <w:ind w:left="6280" w:hanging="720"/>
      </w:pPr>
      <w:rPr>
        <w:rFonts w:hint="default"/>
        <w:lang w:val="en-US" w:eastAsia="en-US" w:bidi="ar-SA"/>
      </w:rPr>
    </w:lvl>
    <w:lvl w:ilvl="6">
      <w:start w:val="0"/>
      <w:numFmt w:val="bullet"/>
      <w:lvlText w:val="•"/>
      <w:lvlJc w:val="left"/>
      <w:pPr>
        <w:ind w:left="6940" w:hanging="720"/>
      </w:pPr>
      <w:rPr>
        <w:rFonts w:hint="default"/>
        <w:lang w:val="en-US" w:eastAsia="en-US" w:bidi="ar-SA"/>
      </w:rPr>
    </w:lvl>
    <w:lvl w:ilvl="7">
      <w:start w:val="0"/>
      <w:numFmt w:val="bullet"/>
      <w:lvlText w:val="•"/>
      <w:lvlJc w:val="left"/>
      <w:pPr>
        <w:ind w:left="7600" w:hanging="720"/>
      </w:pPr>
      <w:rPr>
        <w:rFonts w:hint="default"/>
        <w:lang w:val="en-US" w:eastAsia="en-US" w:bidi="ar-SA"/>
      </w:rPr>
    </w:lvl>
    <w:lvl w:ilvl="8">
      <w:start w:val="0"/>
      <w:numFmt w:val="bullet"/>
      <w:lvlText w:val="•"/>
      <w:lvlJc w:val="left"/>
      <w:pPr>
        <w:ind w:left="8260" w:hanging="720"/>
      </w:pPr>
      <w:rPr>
        <w:rFonts w:hint="default"/>
        <w:lang w:val="en-US" w:eastAsia="en-US" w:bidi="ar-SA"/>
      </w:rPr>
    </w:lvl>
  </w:abstractNum>
  <w:abstractNum w:abstractNumId="33">
    <w:multiLevelType w:val="hybridMultilevel"/>
    <w:lvl w:ilvl="0">
      <w:start w:val="10"/>
      <w:numFmt w:val="decimal"/>
      <w:lvlText w:val="%1."/>
      <w:lvlJc w:val="left"/>
      <w:pPr>
        <w:ind w:left="3162" w:hanging="720"/>
        <w:jc w:val="left"/>
      </w:pPr>
      <w:rPr>
        <w:rFonts w:hint="default" w:ascii="Arial MT" w:hAnsi="Arial MT" w:eastAsia="Arial MT" w:cs="Arial MT"/>
        <w:b w:val="0"/>
        <w:bCs w:val="0"/>
        <w:i w:val="0"/>
        <w:iCs w:val="0"/>
        <w:spacing w:val="0"/>
        <w:w w:val="99"/>
        <w:sz w:val="24"/>
        <w:szCs w:val="24"/>
        <w:lang w:val="en-US" w:eastAsia="en-US" w:bidi="ar-SA"/>
      </w:rPr>
    </w:lvl>
    <w:lvl w:ilvl="1">
      <w:start w:val="0"/>
      <w:numFmt w:val="bullet"/>
      <w:lvlText w:val="•"/>
      <w:lvlJc w:val="left"/>
      <w:pPr>
        <w:ind w:left="3802" w:hanging="720"/>
      </w:pPr>
      <w:rPr>
        <w:rFonts w:hint="default"/>
        <w:lang w:val="en-US" w:eastAsia="en-US" w:bidi="ar-SA"/>
      </w:rPr>
    </w:lvl>
    <w:lvl w:ilvl="2">
      <w:start w:val="0"/>
      <w:numFmt w:val="bullet"/>
      <w:lvlText w:val="•"/>
      <w:lvlJc w:val="left"/>
      <w:pPr>
        <w:ind w:left="4444" w:hanging="720"/>
      </w:pPr>
      <w:rPr>
        <w:rFonts w:hint="default"/>
        <w:lang w:val="en-US" w:eastAsia="en-US" w:bidi="ar-SA"/>
      </w:rPr>
    </w:lvl>
    <w:lvl w:ilvl="3">
      <w:start w:val="0"/>
      <w:numFmt w:val="bullet"/>
      <w:lvlText w:val="•"/>
      <w:lvlJc w:val="left"/>
      <w:pPr>
        <w:ind w:left="5086" w:hanging="720"/>
      </w:pPr>
      <w:rPr>
        <w:rFonts w:hint="default"/>
        <w:lang w:val="en-US" w:eastAsia="en-US" w:bidi="ar-SA"/>
      </w:rPr>
    </w:lvl>
    <w:lvl w:ilvl="4">
      <w:start w:val="0"/>
      <w:numFmt w:val="bullet"/>
      <w:lvlText w:val="•"/>
      <w:lvlJc w:val="left"/>
      <w:pPr>
        <w:ind w:left="5728" w:hanging="720"/>
      </w:pPr>
      <w:rPr>
        <w:rFonts w:hint="default"/>
        <w:lang w:val="en-US" w:eastAsia="en-US" w:bidi="ar-SA"/>
      </w:rPr>
    </w:lvl>
    <w:lvl w:ilvl="5">
      <w:start w:val="0"/>
      <w:numFmt w:val="bullet"/>
      <w:lvlText w:val="•"/>
      <w:lvlJc w:val="left"/>
      <w:pPr>
        <w:ind w:left="6370" w:hanging="720"/>
      </w:pPr>
      <w:rPr>
        <w:rFonts w:hint="default"/>
        <w:lang w:val="en-US" w:eastAsia="en-US" w:bidi="ar-SA"/>
      </w:rPr>
    </w:lvl>
    <w:lvl w:ilvl="6">
      <w:start w:val="0"/>
      <w:numFmt w:val="bullet"/>
      <w:lvlText w:val="•"/>
      <w:lvlJc w:val="left"/>
      <w:pPr>
        <w:ind w:left="7012" w:hanging="720"/>
      </w:pPr>
      <w:rPr>
        <w:rFonts w:hint="default"/>
        <w:lang w:val="en-US" w:eastAsia="en-US" w:bidi="ar-SA"/>
      </w:rPr>
    </w:lvl>
    <w:lvl w:ilvl="7">
      <w:start w:val="0"/>
      <w:numFmt w:val="bullet"/>
      <w:lvlText w:val="•"/>
      <w:lvlJc w:val="left"/>
      <w:pPr>
        <w:ind w:left="7654" w:hanging="720"/>
      </w:pPr>
      <w:rPr>
        <w:rFonts w:hint="default"/>
        <w:lang w:val="en-US" w:eastAsia="en-US" w:bidi="ar-SA"/>
      </w:rPr>
    </w:lvl>
    <w:lvl w:ilvl="8">
      <w:start w:val="0"/>
      <w:numFmt w:val="bullet"/>
      <w:lvlText w:val="•"/>
      <w:lvlJc w:val="left"/>
      <w:pPr>
        <w:ind w:left="8296" w:hanging="720"/>
      </w:pPr>
      <w:rPr>
        <w:rFonts w:hint="default"/>
        <w:lang w:val="en-US" w:eastAsia="en-US" w:bidi="ar-SA"/>
      </w:rPr>
    </w:lvl>
  </w:abstractNum>
  <w:abstractNum w:abstractNumId="32">
    <w:multiLevelType w:val="hybridMultilevel"/>
    <w:lvl w:ilvl="0">
      <w:start w:val="3"/>
      <w:numFmt w:val="decimal"/>
      <w:lvlText w:val="%1"/>
      <w:lvlJc w:val="left"/>
      <w:pPr>
        <w:ind w:left="820" w:hanging="720"/>
        <w:jc w:val="left"/>
      </w:pPr>
      <w:rPr>
        <w:rFonts w:hint="default"/>
        <w:lang w:val="en-US" w:eastAsia="en-US" w:bidi="ar-SA"/>
      </w:rPr>
    </w:lvl>
    <w:lvl w:ilvl="1">
      <w:start w:val="1"/>
      <w:numFmt w:val="decimal"/>
      <w:lvlText w:val="%1.%2"/>
      <w:lvlJc w:val="left"/>
      <w:pPr>
        <w:ind w:left="820" w:hanging="720"/>
        <w:jc w:val="left"/>
      </w:pPr>
      <w:rPr>
        <w:rFonts w:hint="default"/>
        <w:spacing w:val="-1"/>
        <w:w w:val="99"/>
        <w:lang w:val="en-US" w:eastAsia="en-US" w:bidi="ar-SA"/>
      </w:rPr>
    </w:lvl>
    <w:lvl w:ilvl="2">
      <w:start w:val="1"/>
      <w:numFmt w:val="decimalZero"/>
      <w:lvlText w:val="%3."/>
      <w:lvlJc w:val="left"/>
      <w:pPr>
        <w:ind w:left="3162" w:hanging="720"/>
        <w:jc w:val="left"/>
      </w:pPr>
      <w:rPr>
        <w:rFonts w:hint="default" w:ascii="Arial MT" w:hAnsi="Arial MT" w:eastAsia="Arial MT" w:cs="Arial MT"/>
        <w:b w:val="0"/>
        <w:bCs w:val="0"/>
        <w:i w:val="0"/>
        <w:iCs w:val="0"/>
        <w:spacing w:val="0"/>
        <w:w w:val="99"/>
        <w:sz w:val="24"/>
        <w:szCs w:val="24"/>
        <w:lang w:val="en-US" w:eastAsia="en-US" w:bidi="ar-SA"/>
      </w:rPr>
    </w:lvl>
    <w:lvl w:ilvl="3">
      <w:start w:val="0"/>
      <w:numFmt w:val="bullet"/>
      <w:lvlText w:val="•"/>
      <w:lvlJc w:val="left"/>
      <w:pPr>
        <w:ind w:left="4586" w:hanging="720"/>
      </w:pPr>
      <w:rPr>
        <w:rFonts w:hint="default"/>
        <w:lang w:val="en-US" w:eastAsia="en-US" w:bidi="ar-SA"/>
      </w:rPr>
    </w:lvl>
    <w:lvl w:ilvl="4">
      <w:start w:val="0"/>
      <w:numFmt w:val="bullet"/>
      <w:lvlText w:val="•"/>
      <w:lvlJc w:val="left"/>
      <w:pPr>
        <w:ind w:left="5300" w:hanging="720"/>
      </w:pPr>
      <w:rPr>
        <w:rFonts w:hint="default"/>
        <w:lang w:val="en-US" w:eastAsia="en-US" w:bidi="ar-SA"/>
      </w:rPr>
    </w:lvl>
    <w:lvl w:ilvl="5">
      <w:start w:val="0"/>
      <w:numFmt w:val="bullet"/>
      <w:lvlText w:val="•"/>
      <w:lvlJc w:val="left"/>
      <w:pPr>
        <w:ind w:left="6013" w:hanging="720"/>
      </w:pPr>
      <w:rPr>
        <w:rFonts w:hint="default"/>
        <w:lang w:val="en-US" w:eastAsia="en-US" w:bidi="ar-SA"/>
      </w:rPr>
    </w:lvl>
    <w:lvl w:ilvl="6">
      <w:start w:val="0"/>
      <w:numFmt w:val="bullet"/>
      <w:lvlText w:val="•"/>
      <w:lvlJc w:val="left"/>
      <w:pPr>
        <w:ind w:left="6726" w:hanging="720"/>
      </w:pPr>
      <w:rPr>
        <w:rFonts w:hint="default"/>
        <w:lang w:val="en-US" w:eastAsia="en-US" w:bidi="ar-SA"/>
      </w:rPr>
    </w:lvl>
    <w:lvl w:ilvl="7">
      <w:start w:val="0"/>
      <w:numFmt w:val="bullet"/>
      <w:lvlText w:val="•"/>
      <w:lvlJc w:val="left"/>
      <w:pPr>
        <w:ind w:left="7440" w:hanging="720"/>
      </w:pPr>
      <w:rPr>
        <w:rFonts w:hint="default"/>
        <w:lang w:val="en-US" w:eastAsia="en-US" w:bidi="ar-SA"/>
      </w:rPr>
    </w:lvl>
    <w:lvl w:ilvl="8">
      <w:start w:val="0"/>
      <w:numFmt w:val="bullet"/>
      <w:lvlText w:val="•"/>
      <w:lvlJc w:val="left"/>
      <w:pPr>
        <w:ind w:left="8153" w:hanging="720"/>
      </w:pPr>
      <w:rPr>
        <w:rFonts w:hint="default"/>
        <w:lang w:val="en-US" w:eastAsia="en-US" w:bidi="ar-SA"/>
      </w:rPr>
    </w:lvl>
  </w:abstractNum>
  <w:abstractNum w:abstractNumId="30">
    <w:multiLevelType w:val="hybridMultilevel"/>
    <w:lvl w:ilvl="0">
      <w:start w:val="1"/>
      <w:numFmt w:val="lowerLetter"/>
      <w:lvlText w:val="%1."/>
      <w:lvlJc w:val="left"/>
      <w:pPr>
        <w:ind w:left="1540" w:hanging="360"/>
        <w:jc w:val="left"/>
      </w:pPr>
      <w:rPr>
        <w:rFonts w:hint="default" w:ascii="Arial MT" w:hAnsi="Arial MT" w:eastAsia="Arial MT" w:cs="Arial MT"/>
        <w:b w:val="0"/>
        <w:bCs w:val="0"/>
        <w:i w:val="0"/>
        <w:iCs w:val="0"/>
        <w:spacing w:val="0"/>
        <w:w w:val="99"/>
        <w:sz w:val="24"/>
        <w:szCs w:val="24"/>
        <w:lang w:val="en-US" w:eastAsia="en-US" w:bidi="ar-SA"/>
      </w:rPr>
    </w:lvl>
    <w:lvl w:ilvl="1">
      <w:start w:val="0"/>
      <w:numFmt w:val="bullet"/>
      <w:lvlText w:val="•"/>
      <w:lvlJc w:val="left"/>
      <w:pPr>
        <w:ind w:left="2344" w:hanging="360"/>
      </w:pPr>
      <w:rPr>
        <w:rFonts w:hint="default"/>
        <w:lang w:val="en-US" w:eastAsia="en-US" w:bidi="ar-SA"/>
      </w:rPr>
    </w:lvl>
    <w:lvl w:ilvl="2">
      <w:start w:val="0"/>
      <w:numFmt w:val="bullet"/>
      <w:lvlText w:val="•"/>
      <w:lvlJc w:val="left"/>
      <w:pPr>
        <w:ind w:left="3148" w:hanging="360"/>
      </w:pPr>
      <w:rPr>
        <w:rFonts w:hint="default"/>
        <w:lang w:val="en-US" w:eastAsia="en-US" w:bidi="ar-SA"/>
      </w:rPr>
    </w:lvl>
    <w:lvl w:ilvl="3">
      <w:start w:val="0"/>
      <w:numFmt w:val="bullet"/>
      <w:lvlText w:val="•"/>
      <w:lvlJc w:val="left"/>
      <w:pPr>
        <w:ind w:left="3952" w:hanging="360"/>
      </w:pPr>
      <w:rPr>
        <w:rFonts w:hint="default"/>
        <w:lang w:val="en-US" w:eastAsia="en-US" w:bidi="ar-SA"/>
      </w:rPr>
    </w:lvl>
    <w:lvl w:ilvl="4">
      <w:start w:val="0"/>
      <w:numFmt w:val="bullet"/>
      <w:lvlText w:val="•"/>
      <w:lvlJc w:val="left"/>
      <w:pPr>
        <w:ind w:left="4756" w:hanging="360"/>
      </w:pPr>
      <w:rPr>
        <w:rFonts w:hint="default"/>
        <w:lang w:val="en-US" w:eastAsia="en-US" w:bidi="ar-SA"/>
      </w:rPr>
    </w:lvl>
    <w:lvl w:ilvl="5">
      <w:start w:val="0"/>
      <w:numFmt w:val="bullet"/>
      <w:lvlText w:val="•"/>
      <w:lvlJc w:val="left"/>
      <w:pPr>
        <w:ind w:left="5560" w:hanging="360"/>
      </w:pPr>
      <w:rPr>
        <w:rFonts w:hint="default"/>
        <w:lang w:val="en-US" w:eastAsia="en-US" w:bidi="ar-SA"/>
      </w:rPr>
    </w:lvl>
    <w:lvl w:ilvl="6">
      <w:start w:val="0"/>
      <w:numFmt w:val="bullet"/>
      <w:lvlText w:val="•"/>
      <w:lvlJc w:val="left"/>
      <w:pPr>
        <w:ind w:left="6364" w:hanging="360"/>
      </w:pPr>
      <w:rPr>
        <w:rFonts w:hint="default"/>
        <w:lang w:val="en-US" w:eastAsia="en-US" w:bidi="ar-SA"/>
      </w:rPr>
    </w:lvl>
    <w:lvl w:ilvl="7">
      <w:start w:val="0"/>
      <w:numFmt w:val="bullet"/>
      <w:lvlText w:val="•"/>
      <w:lvlJc w:val="left"/>
      <w:pPr>
        <w:ind w:left="7168" w:hanging="360"/>
      </w:pPr>
      <w:rPr>
        <w:rFonts w:hint="default"/>
        <w:lang w:val="en-US" w:eastAsia="en-US" w:bidi="ar-SA"/>
      </w:rPr>
    </w:lvl>
    <w:lvl w:ilvl="8">
      <w:start w:val="0"/>
      <w:numFmt w:val="bullet"/>
      <w:lvlText w:val="•"/>
      <w:lvlJc w:val="left"/>
      <w:pPr>
        <w:ind w:left="7972" w:hanging="360"/>
      </w:pPr>
      <w:rPr>
        <w:rFonts w:hint="default"/>
        <w:lang w:val="en-US" w:eastAsia="en-US" w:bidi="ar-SA"/>
      </w:rPr>
    </w:lvl>
  </w:abstractNum>
  <w:abstractNum w:abstractNumId="29">
    <w:multiLevelType w:val="hybridMultilevel"/>
    <w:lvl w:ilvl="0">
      <w:start w:val="0"/>
      <w:numFmt w:val="bullet"/>
      <w:lvlText w:val=""/>
      <w:lvlJc w:val="left"/>
      <w:pPr>
        <w:ind w:left="360" w:hanging="360"/>
      </w:pPr>
      <w:rPr>
        <w:rFonts w:hint="default" w:ascii="Symbol" w:hAnsi="Symbol" w:eastAsia="Symbol" w:cs="Symbol"/>
        <w:b w:val="0"/>
        <w:bCs w:val="0"/>
        <w:i w:val="0"/>
        <w:iCs w:val="0"/>
        <w:spacing w:val="0"/>
        <w:w w:val="99"/>
        <w:sz w:val="24"/>
        <w:szCs w:val="24"/>
        <w:lang w:val="en-US" w:eastAsia="en-US" w:bidi="ar-SA"/>
      </w:rPr>
    </w:lvl>
    <w:lvl w:ilvl="1">
      <w:start w:val="0"/>
      <w:numFmt w:val="bullet"/>
      <w:lvlText w:val="•"/>
      <w:lvlJc w:val="left"/>
      <w:pPr>
        <w:ind w:left="1092" w:hanging="360"/>
      </w:pPr>
      <w:rPr>
        <w:rFonts w:hint="default"/>
        <w:lang w:val="en-US" w:eastAsia="en-US" w:bidi="ar-SA"/>
      </w:rPr>
    </w:lvl>
    <w:lvl w:ilvl="2">
      <w:start w:val="0"/>
      <w:numFmt w:val="bullet"/>
      <w:lvlText w:val="•"/>
      <w:lvlJc w:val="left"/>
      <w:pPr>
        <w:ind w:left="1824" w:hanging="360"/>
      </w:pPr>
      <w:rPr>
        <w:rFonts w:hint="default"/>
        <w:lang w:val="en-US" w:eastAsia="en-US" w:bidi="ar-SA"/>
      </w:rPr>
    </w:lvl>
    <w:lvl w:ilvl="3">
      <w:start w:val="0"/>
      <w:numFmt w:val="bullet"/>
      <w:lvlText w:val="•"/>
      <w:lvlJc w:val="left"/>
      <w:pPr>
        <w:ind w:left="2556" w:hanging="360"/>
      </w:pPr>
      <w:rPr>
        <w:rFonts w:hint="default"/>
        <w:lang w:val="en-US" w:eastAsia="en-US" w:bidi="ar-SA"/>
      </w:rPr>
    </w:lvl>
    <w:lvl w:ilvl="4">
      <w:start w:val="0"/>
      <w:numFmt w:val="bullet"/>
      <w:lvlText w:val="•"/>
      <w:lvlJc w:val="left"/>
      <w:pPr>
        <w:ind w:left="3288" w:hanging="360"/>
      </w:pPr>
      <w:rPr>
        <w:rFonts w:hint="default"/>
        <w:lang w:val="en-US" w:eastAsia="en-US" w:bidi="ar-SA"/>
      </w:rPr>
    </w:lvl>
    <w:lvl w:ilvl="5">
      <w:start w:val="0"/>
      <w:numFmt w:val="bullet"/>
      <w:lvlText w:val="•"/>
      <w:lvlJc w:val="left"/>
      <w:pPr>
        <w:ind w:left="4020" w:hanging="360"/>
      </w:pPr>
      <w:rPr>
        <w:rFonts w:hint="default"/>
        <w:lang w:val="en-US" w:eastAsia="en-US" w:bidi="ar-SA"/>
      </w:rPr>
    </w:lvl>
    <w:lvl w:ilvl="6">
      <w:start w:val="0"/>
      <w:numFmt w:val="bullet"/>
      <w:lvlText w:val="•"/>
      <w:lvlJc w:val="left"/>
      <w:pPr>
        <w:ind w:left="4752" w:hanging="360"/>
      </w:pPr>
      <w:rPr>
        <w:rFonts w:hint="default"/>
        <w:lang w:val="en-US" w:eastAsia="en-US" w:bidi="ar-SA"/>
      </w:rPr>
    </w:lvl>
    <w:lvl w:ilvl="7">
      <w:start w:val="0"/>
      <w:numFmt w:val="bullet"/>
      <w:lvlText w:val="•"/>
      <w:lvlJc w:val="left"/>
      <w:pPr>
        <w:ind w:left="5484" w:hanging="360"/>
      </w:pPr>
      <w:rPr>
        <w:rFonts w:hint="default"/>
        <w:lang w:val="en-US" w:eastAsia="en-US" w:bidi="ar-SA"/>
      </w:rPr>
    </w:lvl>
    <w:lvl w:ilvl="8">
      <w:start w:val="0"/>
      <w:numFmt w:val="bullet"/>
      <w:lvlText w:val="•"/>
      <w:lvlJc w:val="left"/>
      <w:pPr>
        <w:ind w:left="6216" w:hanging="360"/>
      </w:pPr>
      <w:rPr>
        <w:rFonts w:hint="default"/>
        <w:lang w:val="en-US" w:eastAsia="en-US" w:bidi="ar-SA"/>
      </w:rPr>
    </w:lvl>
  </w:abstractNum>
  <w:abstractNum w:abstractNumId="28">
    <w:multiLevelType w:val="hybridMultilevel"/>
    <w:lvl w:ilvl="0">
      <w:start w:val="2"/>
      <w:numFmt w:val="decimal"/>
      <w:lvlText w:val="%1"/>
      <w:lvlJc w:val="left"/>
      <w:pPr>
        <w:ind w:left="1180" w:hanging="1080"/>
        <w:jc w:val="left"/>
      </w:pPr>
      <w:rPr>
        <w:rFonts w:hint="default"/>
        <w:lang w:val="en-US" w:eastAsia="en-US" w:bidi="ar-SA"/>
      </w:rPr>
    </w:lvl>
    <w:lvl w:ilvl="1">
      <w:start w:val="3"/>
      <w:numFmt w:val="decimal"/>
      <w:lvlText w:val="%1.%2"/>
      <w:lvlJc w:val="left"/>
      <w:pPr>
        <w:ind w:left="1180" w:hanging="1080"/>
        <w:jc w:val="left"/>
      </w:pPr>
      <w:rPr>
        <w:rFonts w:hint="default"/>
        <w:lang w:val="en-US" w:eastAsia="en-US" w:bidi="ar-SA"/>
      </w:rPr>
    </w:lvl>
    <w:lvl w:ilvl="2">
      <w:start w:val="4"/>
      <w:numFmt w:val="decimal"/>
      <w:lvlText w:val="%1.%2.%3"/>
      <w:lvlJc w:val="left"/>
      <w:pPr>
        <w:ind w:left="1180" w:hanging="1080"/>
        <w:jc w:val="left"/>
      </w:pPr>
      <w:rPr>
        <w:rFonts w:hint="default"/>
        <w:lang w:val="en-US" w:eastAsia="en-US" w:bidi="ar-SA"/>
      </w:rPr>
    </w:lvl>
    <w:lvl w:ilvl="3">
      <w:start w:val="5"/>
      <w:numFmt w:val="decimal"/>
      <w:lvlText w:val="%1.%2.%3.%4"/>
      <w:lvlJc w:val="left"/>
      <w:pPr>
        <w:ind w:left="1180" w:hanging="1080"/>
        <w:jc w:val="left"/>
      </w:pPr>
      <w:rPr>
        <w:rFonts w:hint="default" w:ascii="Arial MT" w:hAnsi="Arial MT" w:eastAsia="Arial MT" w:cs="Arial MT"/>
        <w:b w:val="0"/>
        <w:bCs w:val="0"/>
        <w:i w:val="0"/>
        <w:iCs w:val="0"/>
        <w:spacing w:val="-1"/>
        <w:w w:val="99"/>
        <w:sz w:val="28"/>
        <w:szCs w:val="28"/>
        <w:lang w:val="en-US" w:eastAsia="en-US" w:bidi="ar-SA"/>
      </w:rPr>
    </w:lvl>
    <w:lvl w:ilvl="4">
      <w:start w:val="0"/>
      <w:numFmt w:val="bullet"/>
      <w:lvlText w:val="•"/>
      <w:lvlJc w:val="left"/>
      <w:pPr>
        <w:ind w:left="4540" w:hanging="1080"/>
      </w:pPr>
      <w:rPr>
        <w:rFonts w:hint="default"/>
        <w:lang w:val="en-US" w:eastAsia="en-US" w:bidi="ar-SA"/>
      </w:rPr>
    </w:lvl>
    <w:lvl w:ilvl="5">
      <w:start w:val="0"/>
      <w:numFmt w:val="bullet"/>
      <w:lvlText w:val="•"/>
      <w:lvlJc w:val="left"/>
      <w:pPr>
        <w:ind w:left="5380" w:hanging="1080"/>
      </w:pPr>
      <w:rPr>
        <w:rFonts w:hint="default"/>
        <w:lang w:val="en-US" w:eastAsia="en-US" w:bidi="ar-SA"/>
      </w:rPr>
    </w:lvl>
    <w:lvl w:ilvl="6">
      <w:start w:val="0"/>
      <w:numFmt w:val="bullet"/>
      <w:lvlText w:val="•"/>
      <w:lvlJc w:val="left"/>
      <w:pPr>
        <w:ind w:left="6220" w:hanging="1080"/>
      </w:pPr>
      <w:rPr>
        <w:rFonts w:hint="default"/>
        <w:lang w:val="en-US" w:eastAsia="en-US" w:bidi="ar-SA"/>
      </w:rPr>
    </w:lvl>
    <w:lvl w:ilvl="7">
      <w:start w:val="0"/>
      <w:numFmt w:val="bullet"/>
      <w:lvlText w:val="•"/>
      <w:lvlJc w:val="left"/>
      <w:pPr>
        <w:ind w:left="7060" w:hanging="1080"/>
      </w:pPr>
      <w:rPr>
        <w:rFonts w:hint="default"/>
        <w:lang w:val="en-US" w:eastAsia="en-US" w:bidi="ar-SA"/>
      </w:rPr>
    </w:lvl>
    <w:lvl w:ilvl="8">
      <w:start w:val="0"/>
      <w:numFmt w:val="bullet"/>
      <w:lvlText w:val="•"/>
      <w:lvlJc w:val="left"/>
      <w:pPr>
        <w:ind w:left="7900" w:hanging="1080"/>
      </w:pPr>
      <w:rPr>
        <w:rFonts w:hint="default"/>
        <w:lang w:val="en-US" w:eastAsia="en-US" w:bidi="ar-SA"/>
      </w:rPr>
    </w:lvl>
  </w:abstractNum>
  <w:abstractNum w:abstractNumId="27">
    <w:multiLevelType w:val="hybridMultilevel"/>
    <w:lvl w:ilvl="0">
      <w:start w:val="0"/>
      <w:numFmt w:val="bullet"/>
      <w:lvlText w:val=""/>
      <w:lvlJc w:val="left"/>
      <w:pPr>
        <w:ind w:left="2260" w:hanging="360"/>
      </w:pPr>
      <w:rPr>
        <w:rFonts w:hint="default" w:ascii="Wingdings" w:hAnsi="Wingdings" w:eastAsia="Wingdings" w:cs="Wingdings"/>
        <w:b w:val="0"/>
        <w:bCs w:val="0"/>
        <w:i w:val="0"/>
        <w:iCs w:val="0"/>
        <w:spacing w:val="0"/>
        <w:w w:val="99"/>
        <w:sz w:val="24"/>
        <w:szCs w:val="24"/>
        <w:lang w:val="en-US" w:eastAsia="en-US" w:bidi="ar-SA"/>
      </w:rPr>
    </w:lvl>
    <w:lvl w:ilvl="1">
      <w:start w:val="0"/>
      <w:numFmt w:val="bullet"/>
      <w:lvlText w:val="•"/>
      <w:lvlJc w:val="left"/>
      <w:pPr>
        <w:ind w:left="2992" w:hanging="360"/>
      </w:pPr>
      <w:rPr>
        <w:rFonts w:hint="default"/>
        <w:lang w:val="en-US" w:eastAsia="en-US" w:bidi="ar-SA"/>
      </w:rPr>
    </w:lvl>
    <w:lvl w:ilvl="2">
      <w:start w:val="0"/>
      <w:numFmt w:val="bullet"/>
      <w:lvlText w:val="•"/>
      <w:lvlJc w:val="left"/>
      <w:pPr>
        <w:ind w:left="3724" w:hanging="360"/>
      </w:pPr>
      <w:rPr>
        <w:rFonts w:hint="default"/>
        <w:lang w:val="en-US" w:eastAsia="en-US" w:bidi="ar-SA"/>
      </w:rPr>
    </w:lvl>
    <w:lvl w:ilvl="3">
      <w:start w:val="0"/>
      <w:numFmt w:val="bullet"/>
      <w:lvlText w:val="•"/>
      <w:lvlJc w:val="left"/>
      <w:pPr>
        <w:ind w:left="4456" w:hanging="360"/>
      </w:pPr>
      <w:rPr>
        <w:rFonts w:hint="default"/>
        <w:lang w:val="en-US" w:eastAsia="en-US" w:bidi="ar-SA"/>
      </w:rPr>
    </w:lvl>
    <w:lvl w:ilvl="4">
      <w:start w:val="0"/>
      <w:numFmt w:val="bullet"/>
      <w:lvlText w:val="•"/>
      <w:lvlJc w:val="left"/>
      <w:pPr>
        <w:ind w:left="5188" w:hanging="360"/>
      </w:pPr>
      <w:rPr>
        <w:rFonts w:hint="default"/>
        <w:lang w:val="en-US" w:eastAsia="en-US" w:bidi="ar-SA"/>
      </w:rPr>
    </w:lvl>
    <w:lvl w:ilvl="5">
      <w:start w:val="0"/>
      <w:numFmt w:val="bullet"/>
      <w:lvlText w:val="•"/>
      <w:lvlJc w:val="left"/>
      <w:pPr>
        <w:ind w:left="5920" w:hanging="360"/>
      </w:pPr>
      <w:rPr>
        <w:rFonts w:hint="default"/>
        <w:lang w:val="en-US" w:eastAsia="en-US" w:bidi="ar-SA"/>
      </w:rPr>
    </w:lvl>
    <w:lvl w:ilvl="6">
      <w:start w:val="0"/>
      <w:numFmt w:val="bullet"/>
      <w:lvlText w:val="•"/>
      <w:lvlJc w:val="left"/>
      <w:pPr>
        <w:ind w:left="6652" w:hanging="360"/>
      </w:pPr>
      <w:rPr>
        <w:rFonts w:hint="default"/>
        <w:lang w:val="en-US" w:eastAsia="en-US" w:bidi="ar-SA"/>
      </w:rPr>
    </w:lvl>
    <w:lvl w:ilvl="7">
      <w:start w:val="0"/>
      <w:numFmt w:val="bullet"/>
      <w:lvlText w:val="•"/>
      <w:lvlJc w:val="left"/>
      <w:pPr>
        <w:ind w:left="7384" w:hanging="360"/>
      </w:pPr>
      <w:rPr>
        <w:rFonts w:hint="default"/>
        <w:lang w:val="en-US" w:eastAsia="en-US" w:bidi="ar-SA"/>
      </w:rPr>
    </w:lvl>
    <w:lvl w:ilvl="8">
      <w:start w:val="0"/>
      <w:numFmt w:val="bullet"/>
      <w:lvlText w:val="•"/>
      <w:lvlJc w:val="left"/>
      <w:pPr>
        <w:ind w:left="8116" w:hanging="360"/>
      </w:pPr>
      <w:rPr>
        <w:rFonts w:hint="default"/>
        <w:lang w:val="en-US" w:eastAsia="en-US" w:bidi="ar-SA"/>
      </w:rPr>
    </w:lvl>
  </w:abstractNum>
  <w:abstractNum w:abstractNumId="26">
    <w:multiLevelType w:val="hybridMultilevel"/>
    <w:lvl w:ilvl="0">
      <w:start w:val="0"/>
      <w:numFmt w:val="bullet"/>
      <w:lvlText w:val=""/>
      <w:lvlJc w:val="left"/>
      <w:pPr>
        <w:ind w:left="1900" w:hanging="360"/>
      </w:pPr>
      <w:rPr>
        <w:rFonts w:hint="default" w:ascii="Wingdings" w:hAnsi="Wingdings" w:eastAsia="Wingdings" w:cs="Wingdings"/>
        <w:b w:val="0"/>
        <w:bCs w:val="0"/>
        <w:i w:val="0"/>
        <w:iCs w:val="0"/>
        <w:spacing w:val="0"/>
        <w:w w:val="99"/>
        <w:sz w:val="24"/>
        <w:szCs w:val="24"/>
        <w:lang w:val="en-US" w:eastAsia="en-US" w:bidi="ar-SA"/>
      </w:rPr>
    </w:lvl>
    <w:lvl w:ilvl="1">
      <w:start w:val="0"/>
      <w:numFmt w:val="bullet"/>
      <w:lvlText w:val="*"/>
      <w:lvlJc w:val="left"/>
      <w:pPr>
        <w:ind w:left="2620" w:hanging="360"/>
      </w:pPr>
      <w:rPr>
        <w:rFonts w:hint="default" w:ascii="Arial MT" w:hAnsi="Arial MT" w:eastAsia="Arial MT" w:cs="Arial MT"/>
        <w:b w:val="0"/>
        <w:bCs w:val="0"/>
        <w:i w:val="0"/>
        <w:iCs w:val="0"/>
        <w:spacing w:val="0"/>
        <w:w w:val="99"/>
        <w:sz w:val="24"/>
        <w:szCs w:val="24"/>
        <w:lang w:val="en-US" w:eastAsia="en-US" w:bidi="ar-SA"/>
      </w:rPr>
    </w:lvl>
    <w:lvl w:ilvl="2">
      <w:start w:val="0"/>
      <w:numFmt w:val="bullet"/>
      <w:lvlText w:val="•"/>
      <w:lvlJc w:val="left"/>
      <w:pPr>
        <w:ind w:left="3393" w:hanging="360"/>
      </w:pPr>
      <w:rPr>
        <w:rFonts w:hint="default"/>
        <w:lang w:val="en-US" w:eastAsia="en-US" w:bidi="ar-SA"/>
      </w:rPr>
    </w:lvl>
    <w:lvl w:ilvl="3">
      <w:start w:val="0"/>
      <w:numFmt w:val="bullet"/>
      <w:lvlText w:val="•"/>
      <w:lvlJc w:val="left"/>
      <w:pPr>
        <w:ind w:left="4166" w:hanging="360"/>
      </w:pPr>
      <w:rPr>
        <w:rFonts w:hint="default"/>
        <w:lang w:val="en-US" w:eastAsia="en-US" w:bidi="ar-SA"/>
      </w:rPr>
    </w:lvl>
    <w:lvl w:ilvl="4">
      <w:start w:val="0"/>
      <w:numFmt w:val="bullet"/>
      <w:lvlText w:val="•"/>
      <w:lvlJc w:val="left"/>
      <w:pPr>
        <w:ind w:left="4940" w:hanging="360"/>
      </w:pPr>
      <w:rPr>
        <w:rFonts w:hint="default"/>
        <w:lang w:val="en-US" w:eastAsia="en-US" w:bidi="ar-SA"/>
      </w:rPr>
    </w:lvl>
    <w:lvl w:ilvl="5">
      <w:start w:val="0"/>
      <w:numFmt w:val="bullet"/>
      <w:lvlText w:val="•"/>
      <w:lvlJc w:val="left"/>
      <w:pPr>
        <w:ind w:left="5713" w:hanging="360"/>
      </w:pPr>
      <w:rPr>
        <w:rFonts w:hint="default"/>
        <w:lang w:val="en-US" w:eastAsia="en-US" w:bidi="ar-SA"/>
      </w:rPr>
    </w:lvl>
    <w:lvl w:ilvl="6">
      <w:start w:val="0"/>
      <w:numFmt w:val="bullet"/>
      <w:lvlText w:val="•"/>
      <w:lvlJc w:val="left"/>
      <w:pPr>
        <w:ind w:left="6486" w:hanging="360"/>
      </w:pPr>
      <w:rPr>
        <w:rFonts w:hint="default"/>
        <w:lang w:val="en-US" w:eastAsia="en-US" w:bidi="ar-SA"/>
      </w:rPr>
    </w:lvl>
    <w:lvl w:ilvl="7">
      <w:start w:val="0"/>
      <w:numFmt w:val="bullet"/>
      <w:lvlText w:val="•"/>
      <w:lvlJc w:val="left"/>
      <w:pPr>
        <w:ind w:left="7260" w:hanging="360"/>
      </w:pPr>
      <w:rPr>
        <w:rFonts w:hint="default"/>
        <w:lang w:val="en-US" w:eastAsia="en-US" w:bidi="ar-SA"/>
      </w:rPr>
    </w:lvl>
    <w:lvl w:ilvl="8">
      <w:start w:val="0"/>
      <w:numFmt w:val="bullet"/>
      <w:lvlText w:val="•"/>
      <w:lvlJc w:val="left"/>
      <w:pPr>
        <w:ind w:left="8033" w:hanging="360"/>
      </w:pPr>
      <w:rPr>
        <w:rFonts w:hint="default"/>
        <w:lang w:val="en-US" w:eastAsia="en-US" w:bidi="ar-SA"/>
      </w:rPr>
    </w:lvl>
  </w:abstractNum>
  <w:abstractNum w:abstractNumId="25">
    <w:multiLevelType w:val="hybridMultilevel"/>
    <w:lvl w:ilvl="0">
      <w:start w:val="0"/>
      <w:numFmt w:val="bullet"/>
      <w:lvlText w:val=""/>
      <w:lvlJc w:val="left"/>
      <w:pPr>
        <w:ind w:left="2260" w:hanging="360"/>
      </w:pPr>
      <w:rPr>
        <w:rFonts w:hint="default" w:ascii="Wingdings" w:hAnsi="Wingdings" w:eastAsia="Wingdings" w:cs="Wingdings"/>
        <w:b w:val="0"/>
        <w:bCs w:val="0"/>
        <w:i w:val="0"/>
        <w:iCs w:val="0"/>
        <w:spacing w:val="0"/>
        <w:w w:val="99"/>
        <w:sz w:val="24"/>
        <w:szCs w:val="24"/>
        <w:lang w:val="en-US" w:eastAsia="en-US" w:bidi="ar-SA"/>
      </w:rPr>
    </w:lvl>
    <w:lvl w:ilvl="1">
      <w:start w:val="0"/>
      <w:numFmt w:val="bullet"/>
      <w:lvlText w:val="•"/>
      <w:lvlJc w:val="left"/>
      <w:pPr>
        <w:ind w:left="2992" w:hanging="360"/>
      </w:pPr>
      <w:rPr>
        <w:rFonts w:hint="default"/>
        <w:lang w:val="en-US" w:eastAsia="en-US" w:bidi="ar-SA"/>
      </w:rPr>
    </w:lvl>
    <w:lvl w:ilvl="2">
      <w:start w:val="0"/>
      <w:numFmt w:val="bullet"/>
      <w:lvlText w:val="•"/>
      <w:lvlJc w:val="left"/>
      <w:pPr>
        <w:ind w:left="3724" w:hanging="360"/>
      </w:pPr>
      <w:rPr>
        <w:rFonts w:hint="default"/>
        <w:lang w:val="en-US" w:eastAsia="en-US" w:bidi="ar-SA"/>
      </w:rPr>
    </w:lvl>
    <w:lvl w:ilvl="3">
      <w:start w:val="0"/>
      <w:numFmt w:val="bullet"/>
      <w:lvlText w:val="•"/>
      <w:lvlJc w:val="left"/>
      <w:pPr>
        <w:ind w:left="4456" w:hanging="360"/>
      </w:pPr>
      <w:rPr>
        <w:rFonts w:hint="default"/>
        <w:lang w:val="en-US" w:eastAsia="en-US" w:bidi="ar-SA"/>
      </w:rPr>
    </w:lvl>
    <w:lvl w:ilvl="4">
      <w:start w:val="0"/>
      <w:numFmt w:val="bullet"/>
      <w:lvlText w:val="•"/>
      <w:lvlJc w:val="left"/>
      <w:pPr>
        <w:ind w:left="5188" w:hanging="360"/>
      </w:pPr>
      <w:rPr>
        <w:rFonts w:hint="default"/>
        <w:lang w:val="en-US" w:eastAsia="en-US" w:bidi="ar-SA"/>
      </w:rPr>
    </w:lvl>
    <w:lvl w:ilvl="5">
      <w:start w:val="0"/>
      <w:numFmt w:val="bullet"/>
      <w:lvlText w:val="•"/>
      <w:lvlJc w:val="left"/>
      <w:pPr>
        <w:ind w:left="5920" w:hanging="360"/>
      </w:pPr>
      <w:rPr>
        <w:rFonts w:hint="default"/>
        <w:lang w:val="en-US" w:eastAsia="en-US" w:bidi="ar-SA"/>
      </w:rPr>
    </w:lvl>
    <w:lvl w:ilvl="6">
      <w:start w:val="0"/>
      <w:numFmt w:val="bullet"/>
      <w:lvlText w:val="•"/>
      <w:lvlJc w:val="left"/>
      <w:pPr>
        <w:ind w:left="6652" w:hanging="360"/>
      </w:pPr>
      <w:rPr>
        <w:rFonts w:hint="default"/>
        <w:lang w:val="en-US" w:eastAsia="en-US" w:bidi="ar-SA"/>
      </w:rPr>
    </w:lvl>
    <w:lvl w:ilvl="7">
      <w:start w:val="0"/>
      <w:numFmt w:val="bullet"/>
      <w:lvlText w:val="•"/>
      <w:lvlJc w:val="left"/>
      <w:pPr>
        <w:ind w:left="7384" w:hanging="360"/>
      </w:pPr>
      <w:rPr>
        <w:rFonts w:hint="default"/>
        <w:lang w:val="en-US" w:eastAsia="en-US" w:bidi="ar-SA"/>
      </w:rPr>
    </w:lvl>
    <w:lvl w:ilvl="8">
      <w:start w:val="0"/>
      <w:numFmt w:val="bullet"/>
      <w:lvlText w:val="•"/>
      <w:lvlJc w:val="left"/>
      <w:pPr>
        <w:ind w:left="8116" w:hanging="360"/>
      </w:pPr>
      <w:rPr>
        <w:rFonts w:hint="default"/>
        <w:lang w:val="en-US" w:eastAsia="en-US" w:bidi="ar-SA"/>
      </w:rPr>
    </w:lvl>
  </w:abstractNum>
  <w:abstractNum w:abstractNumId="24">
    <w:multiLevelType w:val="hybridMultilevel"/>
    <w:lvl w:ilvl="0">
      <w:start w:val="1"/>
      <w:numFmt w:val="lowerLetter"/>
      <w:lvlText w:val="%1)"/>
      <w:lvlJc w:val="left"/>
      <w:pPr>
        <w:ind w:left="2260" w:hanging="720"/>
        <w:jc w:val="left"/>
      </w:pPr>
      <w:rPr>
        <w:rFonts w:hint="default" w:ascii="Arial MT" w:hAnsi="Arial MT" w:eastAsia="Arial MT" w:cs="Arial MT"/>
        <w:b w:val="0"/>
        <w:bCs w:val="0"/>
        <w:i w:val="0"/>
        <w:iCs w:val="0"/>
        <w:spacing w:val="0"/>
        <w:w w:val="99"/>
        <w:sz w:val="24"/>
        <w:szCs w:val="24"/>
        <w:lang w:val="en-US" w:eastAsia="en-US" w:bidi="ar-SA"/>
      </w:rPr>
    </w:lvl>
    <w:lvl w:ilvl="1">
      <w:start w:val="0"/>
      <w:numFmt w:val="bullet"/>
      <w:lvlText w:val="•"/>
      <w:lvlJc w:val="left"/>
      <w:pPr>
        <w:ind w:left="2992" w:hanging="720"/>
      </w:pPr>
      <w:rPr>
        <w:rFonts w:hint="default"/>
        <w:lang w:val="en-US" w:eastAsia="en-US" w:bidi="ar-SA"/>
      </w:rPr>
    </w:lvl>
    <w:lvl w:ilvl="2">
      <w:start w:val="0"/>
      <w:numFmt w:val="bullet"/>
      <w:lvlText w:val="•"/>
      <w:lvlJc w:val="left"/>
      <w:pPr>
        <w:ind w:left="3724" w:hanging="720"/>
      </w:pPr>
      <w:rPr>
        <w:rFonts w:hint="default"/>
        <w:lang w:val="en-US" w:eastAsia="en-US" w:bidi="ar-SA"/>
      </w:rPr>
    </w:lvl>
    <w:lvl w:ilvl="3">
      <w:start w:val="0"/>
      <w:numFmt w:val="bullet"/>
      <w:lvlText w:val="•"/>
      <w:lvlJc w:val="left"/>
      <w:pPr>
        <w:ind w:left="4456" w:hanging="720"/>
      </w:pPr>
      <w:rPr>
        <w:rFonts w:hint="default"/>
        <w:lang w:val="en-US" w:eastAsia="en-US" w:bidi="ar-SA"/>
      </w:rPr>
    </w:lvl>
    <w:lvl w:ilvl="4">
      <w:start w:val="0"/>
      <w:numFmt w:val="bullet"/>
      <w:lvlText w:val="•"/>
      <w:lvlJc w:val="left"/>
      <w:pPr>
        <w:ind w:left="5188" w:hanging="720"/>
      </w:pPr>
      <w:rPr>
        <w:rFonts w:hint="default"/>
        <w:lang w:val="en-US" w:eastAsia="en-US" w:bidi="ar-SA"/>
      </w:rPr>
    </w:lvl>
    <w:lvl w:ilvl="5">
      <w:start w:val="0"/>
      <w:numFmt w:val="bullet"/>
      <w:lvlText w:val="•"/>
      <w:lvlJc w:val="left"/>
      <w:pPr>
        <w:ind w:left="5920" w:hanging="720"/>
      </w:pPr>
      <w:rPr>
        <w:rFonts w:hint="default"/>
        <w:lang w:val="en-US" w:eastAsia="en-US" w:bidi="ar-SA"/>
      </w:rPr>
    </w:lvl>
    <w:lvl w:ilvl="6">
      <w:start w:val="0"/>
      <w:numFmt w:val="bullet"/>
      <w:lvlText w:val="•"/>
      <w:lvlJc w:val="left"/>
      <w:pPr>
        <w:ind w:left="6652" w:hanging="720"/>
      </w:pPr>
      <w:rPr>
        <w:rFonts w:hint="default"/>
        <w:lang w:val="en-US" w:eastAsia="en-US" w:bidi="ar-SA"/>
      </w:rPr>
    </w:lvl>
    <w:lvl w:ilvl="7">
      <w:start w:val="0"/>
      <w:numFmt w:val="bullet"/>
      <w:lvlText w:val="•"/>
      <w:lvlJc w:val="left"/>
      <w:pPr>
        <w:ind w:left="7384" w:hanging="720"/>
      </w:pPr>
      <w:rPr>
        <w:rFonts w:hint="default"/>
        <w:lang w:val="en-US" w:eastAsia="en-US" w:bidi="ar-SA"/>
      </w:rPr>
    </w:lvl>
    <w:lvl w:ilvl="8">
      <w:start w:val="0"/>
      <w:numFmt w:val="bullet"/>
      <w:lvlText w:val="•"/>
      <w:lvlJc w:val="left"/>
      <w:pPr>
        <w:ind w:left="8116" w:hanging="720"/>
      </w:pPr>
      <w:rPr>
        <w:rFonts w:hint="default"/>
        <w:lang w:val="en-US" w:eastAsia="en-US" w:bidi="ar-SA"/>
      </w:rPr>
    </w:lvl>
  </w:abstractNum>
  <w:abstractNum w:abstractNumId="23">
    <w:multiLevelType w:val="hybridMultilevel"/>
    <w:lvl w:ilvl="0">
      <w:start w:val="1"/>
      <w:numFmt w:val="decimal"/>
      <w:lvlText w:val="%1."/>
      <w:lvlJc w:val="left"/>
      <w:pPr>
        <w:ind w:left="1003" w:hanging="658"/>
        <w:jc w:val="right"/>
      </w:pPr>
      <w:rPr>
        <w:rFonts w:hint="default" w:ascii="Arial MT" w:hAnsi="Arial MT" w:eastAsia="Arial MT" w:cs="Arial MT"/>
        <w:b w:val="0"/>
        <w:bCs w:val="0"/>
        <w:i w:val="0"/>
        <w:iCs w:val="0"/>
        <w:spacing w:val="0"/>
        <w:w w:val="99"/>
        <w:sz w:val="24"/>
        <w:szCs w:val="24"/>
        <w:lang w:val="en-US" w:eastAsia="en-US" w:bidi="ar-SA"/>
      </w:rPr>
    </w:lvl>
    <w:lvl w:ilvl="1">
      <w:start w:val="0"/>
      <w:numFmt w:val="bullet"/>
      <w:lvlText w:val="•"/>
      <w:lvlJc w:val="left"/>
      <w:pPr>
        <w:ind w:left="1744" w:hanging="658"/>
      </w:pPr>
      <w:rPr>
        <w:rFonts w:hint="default"/>
        <w:lang w:val="en-US" w:eastAsia="en-US" w:bidi="ar-SA"/>
      </w:rPr>
    </w:lvl>
    <w:lvl w:ilvl="2">
      <w:start w:val="0"/>
      <w:numFmt w:val="bullet"/>
      <w:lvlText w:val="•"/>
      <w:lvlJc w:val="left"/>
      <w:pPr>
        <w:ind w:left="2489" w:hanging="658"/>
      </w:pPr>
      <w:rPr>
        <w:rFonts w:hint="default"/>
        <w:lang w:val="en-US" w:eastAsia="en-US" w:bidi="ar-SA"/>
      </w:rPr>
    </w:lvl>
    <w:lvl w:ilvl="3">
      <w:start w:val="0"/>
      <w:numFmt w:val="bullet"/>
      <w:lvlText w:val="•"/>
      <w:lvlJc w:val="left"/>
      <w:pPr>
        <w:ind w:left="3234" w:hanging="658"/>
      </w:pPr>
      <w:rPr>
        <w:rFonts w:hint="default"/>
        <w:lang w:val="en-US" w:eastAsia="en-US" w:bidi="ar-SA"/>
      </w:rPr>
    </w:lvl>
    <w:lvl w:ilvl="4">
      <w:start w:val="0"/>
      <w:numFmt w:val="bullet"/>
      <w:lvlText w:val="•"/>
      <w:lvlJc w:val="left"/>
      <w:pPr>
        <w:ind w:left="3979" w:hanging="658"/>
      </w:pPr>
      <w:rPr>
        <w:rFonts w:hint="default"/>
        <w:lang w:val="en-US" w:eastAsia="en-US" w:bidi="ar-SA"/>
      </w:rPr>
    </w:lvl>
    <w:lvl w:ilvl="5">
      <w:start w:val="0"/>
      <w:numFmt w:val="bullet"/>
      <w:lvlText w:val="•"/>
      <w:lvlJc w:val="left"/>
      <w:pPr>
        <w:ind w:left="4724" w:hanging="658"/>
      </w:pPr>
      <w:rPr>
        <w:rFonts w:hint="default"/>
        <w:lang w:val="en-US" w:eastAsia="en-US" w:bidi="ar-SA"/>
      </w:rPr>
    </w:lvl>
    <w:lvl w:ilvl="6">
      <w:start w:val="0"/>
      <w:numFmt w:val="bullet"/>
      <w:lvlText w:val="•"/>
      <w:lvlJc w:val="left"/>
      <w:pPr>
        <w:ind w:left="5468" w:hanging="658"/>
      </w:pPr>
      <w:rPr>
        <w:rFonts w:hint="default"/>
        <w:lang w:val="en-US" w:eastAsia="en-US" w:bidi="ar-SA"/>
      </w:rPr>
    </w:lvl>
    <w:lvl w:ilvl="7">
      <w:start w:val="0"/>
      <w:numFmt w:val="bullet"/>
      <w:lvlText w:val="•"/>
      <w:lvlJc w:val="left"/>
      <w:pPr>
        <w:ind w:left="6213" w:hanging="658"/>
      </w:pPr>
      <w:rPr>
        <w:rFonts w:hint="default"/>
        <w:lang w:val="en-US" w:eastAsia="en-US" w:bidi="ar-SA"/>
      </w:rPr>
    </w:lvl>
    <w:lvl w:ilvl="8">
      <w:start w:val="0"/>
      <w:numFmt w:val="bullet"/>
      <w:lvlText w:val="•"/>
      <w:lvlJc w:val="left"/>
      <w:pPr>
        <w:ind w:left="6958" w:hanging="658"/>
      </w:pPr>
      <w:rPr>
        <w:rFonts w:hint="default"/>
        <w:lang w:val="en-US" w:eastAsia="en-US" w:bidi="ar-SA"/>
      </w:rPr>
    </w:lvl>
  </w:abstractNum>
  <w:abstractNum w:abstractNumId="22">
    <w:multiLevelType w:val="hybridMultilevel"/>
    <w:lvl w:ilvl="0">
      <w:start w:val="0"/>
      <w:numFmt w:val="bullet"/>
      <w:lvlText w:val=""/>
      <w:lvlJc w:val="left"/>
      <w:pPr>
        <w:ind w:left="1600" w:hanging="360"/>
      </w:pPr>
      <w:rPr>
        <w:rFonts w:hint="default" w:ascii="Symbol" w:hAnsi="Symbol" w:eastAsia="Symbol" w:cs="Symbol"/>
        <w:b w:val="0"/>
        <w:bCs w:val="0"/>
        <w:i w:val="0"/>
        <w:iCs w:val="0"/>
        <w:spacing w:val="0"/>
        <w:w w:val="99"/>
        <w:sz w:val="24"/>
        <w:szCs w:val="24"/>
        <w:lang w:val="en-US" w:eastAsia="en-US" w:bidi="ar-SA"/>
      </w:rPr>
    </w:lvl>
    <w:lvl w:ilvl="1">
      <w:start w:val="0"/>
      <w:numFmt w:val="bullet"/>
      <w:lvlText w:val=""/>
      <w:lvlJc w:val="left"/>
      <w:pPr>
        <w:ind w:left="2320" w:hanging="360"/>
      </w:pPr>
      <w:rPr>
        <w:rFonts w:hint="default" w:ascii="Wingdings" w:hAnsi="Wingdings" w:eastAsia="Wingdings" w:cs="Wingdings"/>
        <w:b w:val="0"/>
        <w:bCs w:val="0"/>
        <w:i w:val="0"/>
        <w:iCs w:val="0"/>
        <w:spacing w:val="0"/>
        <w:w w:val="99"/>
        <w:sz w:val="24"/>
        <w:szCs w:val="24"/>
        <w:lang w:val="en-US" w:eastAsia="en-US" w:bidi="ar-SA"/>
      </w:rPr>
    </w:lvl>
    <w:lvl w:ilvl="2">
      <w:start w:val="0"/>
      <w:numFmt w:val="bullet"/>
      <w:lvlText w:val="•"/>
      <w:lvlJc w:val="left"/>
      <w:pPr>
        <w:ind w:left="3153" w:hanging="360"/>
      </w:pPr>
      <w:rPr>
        <w:rFonts w:hint="default"/>
        <w:lang w:val="en-US" w:eastAsia="en-US" w:bidi="ar-SA"/>
      </w:rPr>
    </w:lvl>
    <w:lvl w:ilvl="3">
      <w:start w:val="0"/>
      <w:numFmt w:val="bullet"/>
      <w:lvlText w:val="•"/>
      <w:lvlJc w:val="left"/>
      <w:pPr>
        <w:ind w:left="3986" w:hanging="360"/>
      </w:pPr>
      <w:rPr>
        <w:rFonts w:hint="default"/>
        <w:lang w:val="en-US" w:eastAsia="en-US" w:bidi="ar-SA"/>
      </w:rPr>
    </w:lvl>
    <w:lvl w:ilvl="4">
      <w:start w:val="0"/>
      <w:numFmt w:val="bullet"/>
      <w:lvlText w:val="•"/>
      <w:lvlJc w:val="left"/>
      <w:pPr>
        <w:ind w:left="4820" w:hanging="360"/>
      </w:pPr>
      <w:rPr>
        <w:rFonts w:hint="default"/>
        <w:lang w:val="en-US" w:eastAsia="en-US" w:bidi="ar-SA"/>
      </w:rPr>
    </w:lvl>
    <w:lvl w:ilvl="5">
      <w:start w:val="0"/>
      <w:numFmt w:val="bullet"/>
      <w:lvlText w:val="•"/>
      <w:lvlJc w:val="left"/>
      <w:pPr>
        <w:ind w:left="5653" w:hanging="360"/>
      </w:pPr>
      <w:rPr>
        <w:rFonts w:hint="default"/>
        <w:lang w:val="en-US" w:eastAsia="en-US" w:bidi="ar-SA"/>
      </w:rPr>
    </w:lvl>
    <w:lvl w:ilvl="6">
      <w:start w:val="0"/>
      <w:numFmt w:val="bullet"/>
      <w:lvlText w:val="•"/>
      <w:lvlJc w:val="left"/>
      <w:pPr>
        <w:ind w:left="6486" w:hanging="360"/>
      </w:pPr>
      <w:rPr>
        <w:rFonts w:hint="default"/>
        <w:lang w:val="en-US" w:eastAsia="en-US" w:bidi="ar-SA"/>
      </w:rPr>
    </w:lvl>
    <w:lvl w:ilvl="7">
      <w:start w:val="0"/>
      <w:numFmt w:val="bullet"/>
      <w:lvlText w:val="•"/>
      <w:lvlJc w:val="left"/>
      <w:pPr>
        <w:ind w:left="7320" w:hanging="360"/>
      </w:pPr>
      <w:rPr>
        <w:rFonts w:hint="default"/>
        <w:lang w:val="en-US" w:eastAsia="en-US" w:bidi="ar-SA"/>
      </w:rPr>
    </w:lvl>
    <w:lvl w:ilvl="8">
      <w:start w:val="0"/>
      <w:numFmt w:val="bullet"/>
      <w:lvlText w:val="•"/>
      <w:lvlJc w:val="left"/>
      <w:pPr>
        <w:ind w:left="8153" w:hanging="360"/>
      </w:pPr>
      <w:rPr>
        <w:rFonts w:hint="default"/>
        <w:lang w:val="en-US" w:eastAsia="en-US" w:bidi="ar-SA"/>
      </w:rPr>
    </w:lvl>
  </w:abstractNum>
  <w:abstractNum w:abstractNumId="19">
    <w:multiLevelType w:val="hybridMultilevel"/>
    <w:lvl w:ilvl="0">
      <w:start w:val="1"/>
      <w:numFmt w:val="decimal"/>
      <w:lvlText w:val="%1."/>
      <w:lvlJc w:val="left"/>
      <w:pPr>
        <w:ind w:left="1600" w:hanging="720"/>
        <w:jc w:val="left"/>
      </w:pPr>
      <w:rPr>
        <w:rFonts w:hint="default"/>
        <w:spacing w:val="0"/>
        <w:w w:val="99"/>
        <w:lang w:val="en-US" w:eastAsia="en-US" w:bidi="ar-SA"/>
      </w:rPr>
    </w:lvl>
    <w:lvl w:ilvl="1">
      <w:start w:val="0"/>
      <w:numFmt w:val="bullet"/>
      <w:lvlText w:val="•"/>
      <w:lvlJc w:val="left"/>
      <w:pPr>
        <w:ind w:left="2422" w:hanging="720"/>
      </w:pPr>
      <w:rPr>
        <w:rFonts w:hint="default"/>
        <w:lang w:val="en-US" w:eastAsia="en-US" w:bidi="ar-SA"/>
      </w:rPr>
    </w:lvl>
    <w:lvl w:ilvl="2">
      <w:start w:val="0"/>
      <w:numFmt w:val="bullet"/>
      <w:lvlText w:val="•"/>
      <w:lvlJc w:val="left"/>
      <w:pPr>
        <w:ind w:left="3244" w:hanging="720"/>
      </w:pPr>
      <w:rPr>
        <w:rFonts w:hint="default"/>
        <w:lang w:val="en-US" w:eastAsia="en-US" w:bidi="ar-SA"/>
      </w:rPr>
    </w:lvl>
    <w:lvl w:ilvl="3">
      <w:start w:val="0"/>
      <w:numFmt w:val="bullet"/>
      <w:lvlText w:val="•"/>
      <w:lvlJc w:val="left"/>
      <w:pPr>
        <w:ind w:left="4066" w:hanging="720"/>
      </w:pPr>
      <w:rPr>
        <w:rFonts w:hint="default"/>
        <w:lang w:val="en-US" w:eastAsia="en-US" w:bidi="ar-SA"/>
      </w:rPr>
    </w:lvl>
    <w:lvl w:ilvl="4">
      <w:start w:val="0"/>
      <w:numFmt w:val="bullet"/>
      <w:lvlText w:val="•"/>
      <w:lvlJc w:val="left"/>
      <w:pPr>
        <w:ind w:left="4888" w:hanging="720"/>
      </w:pPr>
      <w:rPr>
        <w:rFonts w:hint="default"/>
        <w:lang w:val="en-US" w:eastAsia="en-US" w:bidi="ar-SA"/>
      </w:rPr>
    </w:lvl>
    <w:lvl w:ilvl="5">
      <w:start w:val="0"/>
      <w:numFmt w:val="bullet"/>
      <w:lvlText w:val="•"/>
      <w:lvlJc w:val="left"/>
      <w:pPr>
        <w:ind w:left="5710" w:hanging="720"/>
      </w:pPr>
      <w:rPr>
        <w:rFonts w:hint="default"/>
        <w:lang w:val="en-US" w:eastAsia="en-US" w:bidi="ar-SA"/>
      </w:rPr>
    </w:lvl>
    <w:lvl w:ilvl="6">
      <w:start w:val="0"/>
      <w:numFmt w:val="bullet"/>
      <w:lvlText w:val="•"/>
      <w:lvlJc w:val="left"/>
      <w:pPr>
        <w:ind w:left="6532" w:hanging="720"/>
      </w:pPr>
      <w:rPr>
        <w:rFonts w:hint="default"/>
        <w:lang w:val="en-US" w:eastAsia="en-US" w:bidi="ar-SA"/>
      </w:rPr>
    </w:lvl>
    <w:lvl w:ilvl="7">
      <w:start w:val="0"/>
      <w:numFmt w:val="bullet"/>
      <w:lvlText w:val="•"/>
      <w:lvlJc w:val="left"/>
      <w:pPr>
        <w:ind w:left="7354" w:hanging="720"/>
      </w:pPr>
      <w:rPr>
        <w:rFonts w:hint="default"/>
        <w:lang w:val="en-US" w:eastAsia="en-US" w:bidi="ar-SA"/>
      </w:rPr>
    </w:lvl>
    <w:lvl w:ilvl="8">
      <w:start w:val="0"/>
      <w:numFmt w:val="bullet"/>
      <w:lvlText w:val="•"/>
      <w:lvlJc w:val="left"/>
      <w:pPr>
        <w:ind w:left="8176" w:hanging="720"/>
      </w:pPr>
      <w:rPr>
        <w:rFonts w:hint="default"/>
        <w:lang w:val="en-US" w:eastAsia="en-US" w:bidi="ar-SA"/>
      </w:rPr>
    </w:lvl>
  </w:abstractNum>
  <w:abstractNum w:abstractNumId="21">
    <w:multiLevelType w:val="hybridMultilevel"/>
    <w:lvl w:ilvl="0">
      <w:start w:val="0"/>
      <w:numFmt w:val="bullet"/>
      <w:lvlText w:val=""/>
      <w:lvlJc w:val="left"/>
      <w:pPr>
        <w:ind w:left="880" w:hanging="360"/>
      </w:pPr>
      <w:rPr>
        <w:rFonts w:hint="default" w:ascii="Symbol" w:hAnsi="Symbol" w:eastAsia="Symbol" w:cs="Symbol"/>
        <w:b w:val="0"/>
        <w:bCs w:val="0"/>
        <w:i w:val="0"/>
        <w:iCs w:val="0"/>
        <w:spacing w:val="0"/>
        <w:w w:val="99"/>
        <w:sz w:val="24"/>
        <w:szCs w:val="24"/>
        <w:lang w:val="en-US" w:eastAsia="en-US" w:bidi="ar-SA"/>
      </w:rPr>
    </w:lvl>
    <w:lvl w:ilvl="1">
      <w:start w:val="0"/>
      <w:numFmt w:val="bullet"/>
      <w:lvlText w:val="•"/>
      <w:lvlJc w:val="left"/>
      <w:pPr>
        <w:ind w:left="1774" w:hanging="360"/>
      </w:pPr>
      <w:rPr>
        <w:rFonts w:hint="default"/>
        <w:lang w:val="en-US" w:eastAsia="en-US" w:bidi="ar-SA"/>
      </w:rPr>
    </w:lvl>
    <w:lvl w:ilvl="2">
      <w:start w:val="0"/>
      <w:numFmt w:val="bullet"/>
      <w:lvlText w:val="•"/>
      <w:lvlJc w:val="left"/>
      <w:pPr>
        <w:ind w:left="2668" w:hanging="360"/>
      </w:pPr>
      <w:rPr>
        <w:rFonts w:hint="default"/>
        <w:lang w:val="en-US" w:eastAsia="en-US" w:bidi="ar-SA"/>
      </w:rPr>
    </w:lvl>
    <w:lvl w:ilvl="3">
      <w:start w:val="0"/>
      <w:numFmt w:val="bullet"/>
      <w:lvlText w:val="•"/>
      <w:lvlJc w:val="left"/>
      <w:pPr>
        <w:ind w:left="3562" w:hanging="360"/>
      </w:pPr>
      <w:rPr>
        <w:rFonts w:hint="default"/>
        <w:lang w:val="en-US" w:eastAsia="en-US" w:bidi="ar-SA"/>
      </w:rPr>
    </w:lvl>
    <w:lvl w:ilvl="4">
      <w:start w:val="0"/>
      <w:numFmt w:val="bullet"/>
      <w:lvlText w:val="•"/>
      <w:lvlJc w:val="left"/>
      <w:pPr>
        <w:ind w:left="4456" w:hanging="360"/>
      </w:pPr>
      <w:rPr>
        <w:rFonts w:hint="default"/>
        <w:lang w:val="en-US" w:eastAsia="en-US" w:bidi="ar-SA"/>
      </w:rPr>
    </w:lvl>
    <w:lvl w:ilvl="5">
      <w:start w:val="0"/>
      <w:numFmt w:val="bullet"/>
      <w:lvlText w:val="•"/>
      <w:lvlJc w:val="left"/>
      <w:pPr>
        <w:ind w:left="5350" w:hanging="360"/>
      </w:pPr>
      <w:rPr>
        <w:rFonts w:hint="default"/>
        <w:lang w:val="en-US" w:eastAsia="en-US" w:bidi="ar-SA"/>
      </w:rPr>
    </w:lvl>
    <w:lvl w:ilvl="6">
      <w:start w:val="0"/>
      <w:numFmt w:val="bullet"/>
      <w:lvlText w:val="•"/>
      <w:lvlJc w:val="left"/>
      <w:pPr>
        <w:ind w:left="6244" w:hanging="360"/>
      </w:pPr>
      <w:rPr>
        <w:rFonts w:hint="default"/>
        <w:lang w:val="en-US" w:eastAsia="en-US" w:bidi="ar-SA"/>
      </w:rPr>
    </w:lvl>
    <w:lvl w:ilvl="7">
      <w:start w:val="0"/>
      <w:numFmt w:val="bullet"/>
      <w:lvlText w:val="•"/>
      <w:lvlJc w:val="left"/>
      <w:pPr>
        <w:ind w:left="7138" w:hanging="360"/>
      </w:pPr>
      <w:rPr>
        <w:rFonts w:hint="default"/>
        <w:lang w:val="en-US" w:eastAsia="en-US" w:bidi="ar-SA"/>
      </w:rPr>
    </w:lvl>
    <w:lvl w:ilvl="8">
      <w:start w:val="0"/>
      <w:numFmt w:val="bullet"/>
      <w:lvlText w:val="•"/>
      <w:lvlJc w:val="left"/>
      <w:pPr>
        <w:ind w:left="8032" w:hanging="360"/>
      </w:pPr>
      <w:rPr>
        <w:rFonts w:hint="default"/>
        <w:lang w:val="en-US" w:eastAsia="en-US" w:bidi="ar-SA"/>
      </w:rPr>
    </w:lvl>
  </w:abstractNum>
  <w:abstractNum w:abstractNumId="20">
    <w:multiLevelType w:val="hybridMultilevel"/>
    <w:lvl w:ilvl="0">
      <w:start w:val="0"/>
      <w:numFmt w:val="bullet"/>
      <w:lvlText w:val=""/>
      <w:lvlJc w:val="left"/>
      <w:pPr>
        <w:ind w:left="2320" w:hanging="360"/>
      </w:pPr>
      <w:rPr>
        <w:rFonts w:hint="default" w:ascii="Wingdings" w:hAnsi="Wingdings" w:eastAsia="Wingdings" w:cs="Wingdings"/>
        <w:b w:val="0"/>
        <w:bCs w:val="0"/>
        <w:i w:val="0"/>
        <w:iCs w:val="0"/>
        <w:spacing w:val="0"/>
        <w:w w:val="99"/>
        <w:sz w:val="24"/>
        <w:szCs w:val="24"/>
        <w:lang w:val="en-US" w:eastAsia="en-US" w:bidi="ar-SA"/>
      </w:rPr>
    </w:lvl>
    <w:lvl w:ilvl="1">
      <w:start w:val="0"/>
      <w:numFmt w:val="bullet"/>
      <w:lvlText w:val=""/>
      <w:lvlJc w:val="left"/>
      <w:pPr>
        <w:ind w:left="3040" w:hanging="360"/>
      </w:pPr>
      <w:rPr>
        <w:rFonts w:hint="default" w:ascii="Wingdings" w:hAnsi="Wingdings" w:eastAsia="Wingdings" w:cs="Wingdings"/>
        <w:b w:val="0"/>
        <w:bCs w:val="0"/>
        <w:i w:val="0"/>
        <w:iCs w:val="0"/>
        <w:spacing w:val="0"/>
        <w:w w:val="99"/>
        <w:sz w:val="24"/>
        <w:szCs w:val="24"/>
        <w:lang w:val="en-US" w:eastAsia="en-US" w:bidi="ar-SA"/>
      </w:rPr>
    </w:lvl>
    <w:lvl w:ilvl="2">
      <w:start w:val="0"/>
      <w:numFmt w:val="bullet"/>
      <w:lvlText w:val="•"/>
      <w:lvlJc w:val="left"/>
      <w:pPr>
        <w:ind w:left="3793" w:hanging="360"/>
      </w:pPr>
      <w:rPr>
        <w:rFonts w:hint="default"/>
        <w:lang w:val="en-US" w:eastAsia="en-US" w:bidi="ar-SA"/>
      </w:rPr>
    </w:lvl>
    <w:lvl w:ilvl="3">
      <w:start w:val="0"/>
      <w:numFmt w:val="bullet"/>
      <w:lvlText w:val="•"/>
      <w:lvlJc w:val="left"/>
      <w:pPr>
        <w:ind w:left="4546" w:hanging="360"/>
      </w:pPr>
      <w:rPr>
        <w:rFonts w:hint="default"/>
        <w:lang w:val="en-US" w:eastAsia="en-US" w:bidi="ar-SA"/>
      </w:rPr>
    </w:lvl>
    <w:lvl w:ilvl="4">
      <w:start w:val="0"/>
      <w:numFmt w:val="bullet"/>
      <w:lvlText w:val="•"/>
      <w:lvlJc w:val="left"/>
      <w:pPr>
        <w:ind w:left="5300" w:hanging="360"/>
      </w:pPr>
      <w:rPr>
        <w:rFonts w:hint="default"/>
        <w:lang w:val="en-US" w:eastAsia="en-US" w:bidi="ar-SA"/>
      </w:rPr>
    </w:lvl>
    <w:lvl w:ilvl="5">
      <w:start w:val="0"/>
      <w:numFmt w:val="bullet"/>
      <w:lvlText w:val="•"/>
      <w:lvlJc w:val="left"/>
      <w:pPr>
        <w:ind w:left="6053" w:hanging="360"/>
      </w:pPr>
      <w:rPr>
        <w:rFonts w:hint="default"/>
        <w:lang w:val="en-US" w:eastAsia="en-US" w:bidi="ar-SA"/>
      </w:rPr>
    </w:lvl>
    <w:lvl w:ilvl="6">
      <w:start w:val="0"/>
      <w:numFmt w:val="bullet"/>
      <w:lvlText w:val="•"/>
      <w:lvlJc w:val="left"/>
      <w:pPr>
        <w:ind w:left="6806" w:hanging="360"/>
      </w:pPr>
      <w:rPr>
        <w:rFonts w:hint="default"/>
        <w:lang w:val="en-US" w:eastAsia="en-US" w:bidi="ar-SA"/>
      </w:rPr>
    </w:lvl>
    <w:lvl w:ilvl="7">
      <w:start w:val="0"/>
      <w:numFmt w:val="bullet"/>
      <w:lvlText w:val="•"/>
      <w:lvlJc w:val="left"/>
      <w:pPr>
        <w:ind w:left="7560" w:hanging="360"/>
      </w:pPr>
      <w:rPr>
        <w:rFonts w:hint="default"/>
        <w:lang w:val="en-US" w:eastAsia="en-US" w:bidi="ar-SA"/>
      </w:rPr>
    </w:lvl>
    <w:lvl w:ilvl="8">
      <w:start w:val="0"/>
      <w:numFmt w:val="bullet"/>
      <w:lvlText w:val="•"/>
      <w:lvlJc w:val="left"/>
      <w:pPr>
        <w:ind w:left="8313" w:hanging="360"/>
      </w:pPr>
      <w:rPr>
        <w:rFonts w:hint="default"/>
        <w:lang w:val="en-US" w:eastAsia="en-US" w:bidi="ar-SA"/>
      </w:rPr>
    </w:lvl>
  </w:abstractNum>
  <w:abstractNum w:abstractNumId="18">
    <w:multiLevelType w:val="hybridMultilevel"/>
    <w:lvl w:ilvl="0">
      <w:start w:val="2"/>
      <w:numFmt w:val="decimal"/>
      <w:lvlText w:val="%1"/>
      <w:lvlJc w:val="left"/>
      <w:pPr>
        <w:ind w:left="880" w:hanging="720"/>
        <w:jc w:val="left"/>
      </w:pPr>
      <w:rPr>
        <w:rFonts w:hint="default"/>
        <w:lang w:val="en-US" w:eastAsia="en-US" w:bidi="ar-SA"/>
      </w:rPr>
    </w:lvl>
    <w:lvl w:ilvl="1">
      <w:start w:val="1"/>
      <w:numFmt w:val="decimal"/>
      <w:lvlText w:val="%1.%2"/>
      <w:lvlJc w:val="left"/>
      <w:pPr>
        <w:ind w:left="880" w:hanging="720"/>
        <w:jc w:val="left"/>
      </w:pPr>
      <w:rPr>
        <w:rFonts w:hint="default" w:ascii="Arial MT" w:hAnsi="Arial MT" w:eastAsia="Arial MT" w:cs="Arial MT"/>
        <w:b w:val="0"/>
        <w:bCs w:val="0"/>
        <w:i w:val="0"/>
        <w:iCs w:val="0"/>
        <w:spacing w:val="-1"/>
        <w:w w:val="99"/>
        <w:sz w:val="28"/>
        <w:szCs w:val="28"/>
        <w:lang w:val="en-US" w:eastAsia="en-US" w:bidi="ar-SA"/>
      </w:rPr>
    </w:lvl>
    <w:lvl w:ilvl="2">
      <w:start w:val="1"/>
      <w:numFmt w:val="decimal"/>
      <w:lvlText w:val="%1.%2.%3"/>
      <w:lvlJc w:val="left"/>
      <w:pPr>
        <w:ind w:left="820" w:hanging="720"/>
        <w:jc w:val="left"/>
      </w:pPr>
      <w:rPr>
        <w:rFonts w:hint="default"/>
        <w:spacing w:val="-1"/>
        <w:w w:val="99"/>
        <w:lang w:val="en-US" w:eastAsia="en-US" w:bidi="ar-SA"/>
      </w:rPr>
    </w:lvl>
    <w:lvl w:ilvl="3">
      <w:start w:val="1"/>
      <w:numFmt w:val="decimal"/>
      <w:lvlText w:val="%1.%2.%3.%4"/>
      <w:lvlJc w:val="left"/>
      <w:pPr>
        <w:ind w:left="1168" w:hanging="720"/>
        <w:jc w:val="left"/>
      </w:pPr>
      <w:rPr>
        <w:rFonts w:hint="default" w:ascii="Arial MT" w:hAnsi="Arial MT" w:eastAsia="Arial MT" w:cs="Arial MT"/>
        <w:b w:val="0"/>
        <w:bCs w:val="0"/>
        <w:i w:val="0"/>
        <w:iCs w:val="0"/>
        <w:spacing w:val="-1"/>
        <w:w w:val="99"/>
        <w:sz w:val="28"/>
        <w:szCs w:val="28"/>
        <w:lang w:val="en-US" w:eastAsia="en-US" w:bidi="ar-SA"/>
      </w:rPr>
    </w:lvl>
    <w:lvl w:ilvl="4">
      <w:start w:val="1"/>
      <w:numFmt w:val="upperLetter"/>
      <w:lvlText w:val="%5."/>
      <w:lvlJc w:val="left"/>
      <w:pPr>
        <w:ind w:left="2320" w:hanging="720"/>
        <w:jc w:val="right"/>
      </w:pPr>
      <w:rPr>
        <w:rFonts w:hint="default" w:ascii="Arial MT" w:hAnsi="Arial MT" w:eastAsia="Arial MT" w:cs="Arial MT"/>
        <w:b w:val="0"/>
        <w:bCs w:val="0"/>
        <w:i w:val="0"/>
        <w:iCs w:val="0"/>
        <w:spacing w:val="-2"/>
        <w:w w:val="99"/>
        <w:sz w:val="24"/>
        <w:szCs w:val="24"/>
        <w:lang w:val="en-US" w:eastAsia="en-US" w:bidi="ar-SA"/>
      </w:rPr>
    </w:lvl>
    <w:lvl w:ilvl="5">
      <w:start w:val="0"/>
      <w:numFmt w:val="bullet"/>
      <w:lvlText w:val="•"/>
      <w:lvlJc w:val="left"/>
      <w:pPr>
        <w:ind w:left="2320" w:hanging="720"/>
      </w:pPr>
      <w:rPr>
        <w:rFonts w:hint="default"/>
        <w:lang w:val="en-US" w:eastAsia="en-US" w:bidi="ar-SA"/>
      </w:rPr>
    </w:lvl>
    <w:lvl w:ilvl="6">
      <w:start w:val="0"/>
      <w:numFmt w:val="bullet"/>
      <w:lvlText w:val="•"/>
      <w:lvlJc w:val="left"/>
      <w:pPr>
        <w:ind w:left="3772" w:hanging="720"/>
      </w:pPr>
      <w:rPr>
        <w:rFonts w:hint="default"/>
        <w:lang w:val="en-US" w:eastAsia="en-US" w:bidi="ar-SA"/>
      </w:rPr>
    </w:lvl>
    <w:lvl w:ilvl="7">
      <w:start w:val="0"/>
      <w:numFmt w:val="bullet"/>
      <w:lvlText w:val="•"/>
      <w:lvlJc w:val="left"/>
      <w:pPr>
        <w:ind w:left="5224" w:hanging="720"/>
      </w:pPr>
      <w:rPr>
        <w:rFonts w:hint="default"/>
        <w:lang w:val="en-US" w:eastAsia="en-US" w:bidi="ar-SA"/>
      </w:rPr>
    </w:lvl>
    <w:lvl w:ilvl="8">
      <w:start w:val="0"/>
      <w:numFmt w:val="bullet"/>
      <w:lvlText w:val="•"/>
      <w:lvlJc w:val="left"/>
      <w:pPr>
        <w:ind w:left="6676" w:hanging="720"/>
      </w:pPr>
      <w:rPr>
        <w:rFonts w:hint="default"/>
        <w:lang w:val="en-US" w:eastAsia="en-US" w:bidi="ar-SA"/>
      </w:rPr>
    </w:lvl>
  </w:abstractNum>
  <w:abstractNum w:abstractNumId="17">
    <w:multiLevelType w:val="hybridMultilevel"/>
    <w:lvl w:ilvl="0">
      <w:start w:val="1"/>
      <w:numFmt w:val="lowerLetter"/>
      <w:lvlText w:val="%1."/>
      <w:lvlJc w:val="left"/>
      <w:pPr>
        <w:ind w:left="1960" w:hanging="360"/>
        <w:jc w:val="left"/>
      </w:pPr>
      <w:rPr>
        <w:rFonts w:hint="default" w:ascii="Arial MT" w:hAnsi="Arial MT" w:eastAsia="Arial MT" w:cs="Arial MT"/>
        <w:b w:val="0"/>
        <w:bCs w:val="0"/>
        <w:i w:val="0"/>
        <w:iCs w:val="0"/>
        <w:spacing w:val="0"/>
        <w:w w:val="99"/>
        <w:sz w:val="24"/>
        <w:szCs w:val="24"/>
        <w:lang w:val="en-US" w:eastAsia="en-US" w:bidi="ar-SA"/>
      </w:rPr>
    </w:lvl>
    <w:lvl w:ilvl="1">
      <w:start w:val="0"/>
      <w:numFmt w:val="bullet"/>
      <w:lvlText w:val="•"/>
      <w:lvlJc w:val="left"/>
      <w:pPr>
        <w:ind w:left="2746" w:hanging="360"/>
      </w:pPr>
      <w:rPr>
        <w:rFonts w:hint="default"/>
        <w:lang w:val="en-US" w:eastAsia="en-US" w:bidi="ar-SA"/>
      </w:rPr>
    </w:lvl>
    <w:lvl w:ilvl="2">
      <w:start w:val="0"/>
      <w:numFmt w:val="bullet"/>
      <w:lvlText w:val="•"/>
      <w:lvlJc w:val="left"/>
      <w:pPr>
        <w:ind w:left="3532" w:hanging="360"/>
      </w:pPr>
      <w:rPr>
        <w:rFonts w:hint="default"/>
        <w:lang w:val="en-US" w:eastAsia="en-US" w:bidi="ar-SA"/>
      </w:rPr>
    </w:lvl>
    <w:lvl w:ilvl="3">
      <w:start w:val="0"/>
      <w:numFmt w:val="bullet"/>
      <w:lvlText w:val="•"/>
      <w:lvlJc w:val="left"/>
      <w:pPr>
        <w:ind w:left="4318" w:hanging="360"/>
      </w:pPr>
      <w:rPr>
        <w:rFonts w:hint="default"/>
        <w:lang w:val="en-US" w:eastAsia="en-US" w:bidi="ar-SA"/>
      </w:rPr>
    </w:lvl>
    <w:lvl w:ilvl="4">
      <w:start w:val="0"/>
      <w:numFmt w:val="bullet"/>
      <w:lvlText w:val="•"/>
      <w:lvlJc w:val="left"/>
      <w:pPr>
        <w:ind w:left="5104" w:hanging="360"/>
      </w:pPr>
      <w:rPr>
        <w:rFonts w:hint="default"/>
        <w:lang w:val="en-US" w:eastAsia="en-US" w:bidi="ar-SA"/>
      </w:rPr>
    </w:lvl>
    <w:lvl w:ilvl="5">
      <w:start w:val="0"/>
      <w:numFmt w:val="bullet"/>
      <w:lvlText w:val="•"/>
      <w:lvlJc w:val="left"/>
      <w:pPr>
        <w:ind w:left="5890" w:hanging="360"/>
      </w:pPr>
      <w:rPr>
        <w:rFonts w:hint="default"/>
        <w:lang w:val="en-US" w:eastAsia="en-US" w:bidi="ar-SA"/>
      </w:rPr>
    </w:lvl>
    <w:lvl w:ilvl="6">
      <w:start w:val="0"/>
      <w:numFmt w:val="bullet"/>
      <w:lvlText w:val="•"/>
      <w:lvlJc w:val="left"/>
      <w:pPr>
        <w:ind w:left="6676" w:hanging="360"/>
      </w:pPr>
      <w:rPr>
        <w:rFonts w:hint="default"/>
        <w:lang w:val="en-US" w:eastAsia="en-US" w:bidi="ar-SA"/>
      </w:rPr>
    </w:lvl>
    <w:lvl w:ilvl="7">
      <w:start w:val="0"/>
      <w:numFmt w:val="bullet"/>
      <w:lvlText w:val="•"/>
      <w:lvlJc w:val="left"/>
      <w:pPr>
        <w:ind w:left="7462" w:hanging="360"/>
      </w:pPr>
      <w:rPr>
        <w:rFonts w:hint="default"/>
        <w:lang w:val="en-US" w:eastAsia="en-US" w:bidi="ar-SA"/>
      </w:rPr>
    </w:lvl>
    <w:lvl w:ilvl="8">
      <w:start w:val="0"/>
      <w:numFmt w:val="bullet"/>
      <w:lvlText w:val="•"/>
      <w:lvlJc w:val="left"/>
      <w:pPr>
        <w:ind w:left="8248" w:hanging="360"/>
      </w:pPr>
      <w:rPr>
        <w:rFonts w:hint="default"/>
        <w:lang w:val="en-US" w:eastAsia="en-US" w:bidi="ar-SA"/>
      </w:rPr>
    </w:lvl>
  </w:abstractNum>
  <w:abstractNum w:abstractNumId="16">
    <w:multiLevelType w:val="hybridMultilevel"/>
    <w:lvl w:ilvl="0">
      <w:start w:val="0"/>
      <w:numFmt w:val="bullet"/>
      <w:lvlText w:val=""/>
      <w:lvlJc w:val="left"/>
      <w:pPr>
        <w:ind w:left="1600" w:hanging="360"/>
      </w:pPr>
      <w:rPr>
        <w:rFonts w:hint="default" w:ascii="Wingdings" w:hAnsi="Wingdings" w:eastAsia="Wingdings" w:cs="Wingdings"/>
        <w:b w:val="0"/>
        <w:bCs w:val="0"/>
        <w:i w:val="0"/>
        <w:iCs w:val="0"/>
        <w:spacing w:val="0"/>
        <w:w w:val="99"/>
        <w:sz w:val="24"/>
        <w:szCs w:val="24"/>
        <w:lang w:val="en-US" w:eastAsia="en-US" w:bidi="ar-SA"/>
      </w:rPr>
    </w:lvl>
    <w:lvl w:ilvl="1">
      <w:start w:val="0"/>
      <w:numFmt w:val="bullet"/>
      <w:lvlText w:val="•"/>
      <w:lvlJc w:val="left"/>
      <w:pPr>
        <w:ind w:left="2422" w:hanging="360"/>
      </w:pPr>
      <w:rPr>
        <w:rFonts w:hint="default"/>
        <w:lang w:val="en-US" w:eastAsia="en-US" w:bidi="ar-SA"/>
      </w:rPr>
    </w:lvl>
    <w:lvl w:ilvl="2">
      <w:start w:val="0"/>
      <w:numFmt w:val="bullet"/>
      <w:lvlText w:val="•"/>
      <w:lvlJc w:val="left"/>
      <w:pPr>
        <w:ind w:left="3244" w:hanging="360"/>
      </w:pPr>
      <w:rPr>
        <w:rFonts w:hint="default"/>
        <w:lang w:val="en-US" w:eastAsia="en-US" w:bidi="ar-SA"/>
      </w:rPr>
    </w:lvl>
    <w:lvl w:ilvl="3">
      <w:start w:val="0"/>
      <w:numFmt w:val="bullet"/>
      <w:lvlText w:val="•"/>
      <w:lvlJc w:val="left"/>
      <w:pPr>
        <w:ind w:left="4066" w:hanging="360"/>
      </w:pPr>
      <w:rPr>
        <w:rFonts w:hint="default"/>
        <w:lang w:val="en-US" w:eastAsia="en-US" w:bidi="ar-SA"/>
      </w:rPr>
    </w:lvl>
    <w:lvl w:ilvl="4">
      <w:start w:val="0"/>
      <w:numFmt w:val="bullet"/>
      <w:lvlText w:val="•"/>
      <w:lvlJc w:val="left"/>
      <w:pPr>
        <w:ind w:left="4888" w:hanging="360"/>
      </w:pPr>
      <w:rPr>
        <w:rFonts w:hint="default"/>
        <w:lang w:val="en-US" w:eastAsia="en-US" w:bidi="ar-SA"/>
      </w:rPr>
    </w:lvl>
    <w:lvl w:ilvl="5">
      <w:start w:val="0"/>
      <w:numFmt w:val="bullet"/>
      <w:lvlText w:val="•"/>
      <w:lvlJc w:val="left"/>
      <w:pPr>
        <w:ind w:left="5710" w:hanging="360"/>
      </w:pPr>
      <w:rPr>
        <w:rFonts w:hint="default"/>
        <w:lang w:val="en-US" w:eastAsia="en-US" w:bidi="ar-SA"/>
      </w:rPr>
    </w:lvl>
    <w:lvl w:ilvl="6">
      <w:start w:val="0"/>
      <w:numFmt w:val="bullet"/>
      <w:lvlText w:val="•"/>
      <w:lvlJc w:val="left"/>
      <w:pPr>
        <w:ind w:left="6532" w:hanging="360"/>
      </w:pPr>
      <w:rPr>
        <w:rFonts w:hint="default"/>
        <w:lang w:val="en-US" w:eastAsia="en-US" w:bidi="ar-SA"/>
      </w:rPr>
    </w:lvl>
    <w:lvl w:ilvl="7">
      <w:start w:val="0"/>
      <w:numFmt w:val="bullet"/>
      <w:lvlText w:val="•"/>
      <w:lvlJc w:val="left"/>
      <w:pPr>
        <w:ind w:left="7354" w:hanging="360"/>
      </w:pPr>
      <w:rPr>
        <w:rFonts w:hint="default"/>
        <w:lang w:val="en-US" w:eastAsia="en-US" w:bidi="ar-SA"/>
      </w:rPr>
    </w:lvl>
    <w:lvl w:ilvl="8">
      <w:start w:val="0"/>
      <w:numFmt w:val="bullet"/>
      <w:lvlText w:val="•"/>
      <w:lvlJc w:val="left"/>
      <w:pPr>
        <w:ind w:left="8176" w:hanging="360"/>
      </w:pPr>
      <w:rPr>
        <w:rFonts w:hint="default"/>
        <w:lang w:val="en-US" w:eastAsia="en-US" w:bidi="ar-SA"/>
      </w:rPr>
    </w:lvl>
  </w:abstractNum>
  <w:abstractNum w:abstractNumId="15">
    <w:multiLevelType w:val="hybridMultilevel"/>
    <w:lvl w:ilvl="0">
      <w:start w:val="1"/>
      <w:numFmt w:val="decimal"/>
      <w:lvlText w:val="%1"/>
      <w:lvlJc w:val="left"/>
      <w:pPr>
        <w:ind w:left="880" w:hanging="720"/>
        <w:jc w:val="left"/>
      </w:pPr>
      <w:rPr>
        <w:rFonts w:hint="default"/>
        <w:lang w:val="en-US" w:eastAsia="en-US" w:bidi="ar-SA"/>
      </w:rPr>
    </w:lvl>
    <w:lvl w:ilvl="1">
      <w:start w:val="1"/>
      <w:numFmt w:val="decimal"/>
      <w:lvlText w:val="%1.%2"/>
      <w:lvlJc w:val="left"/>
      <w:pPr>
        <w:ind w:left="880" w:hanging="720"/>
        <w:jc w:val="left"/>
      </w:pPr>
      <w:rPr>
        <w:rFonts w:hint="default"/>
        <w:spacing w:val="-1"/>
        <w:w w:val="99"/>
        <w:lang w:val="en-US" w:eastAsia="en-US" w:bidi="ar-SA"/>
      </w:rPr>
    </w:lvl>
    <w:lvl w:ilvl="2">
      <w:start w:val="1"/>
      <w:numFmt w:val="decimal"/>
      <w:lvlText w:val="%3."/>
      <w:lvlJc w:val="left"/>
      <w:pPr>
        <w:ind w:left="1600" w:hanging="360"/>
        <w:jc w:val="left"/>
      </w:pPr>
      <w:rPr>
        <w:rFonts w:hint="default" w:ascii="Arial MT" w:hAnsi="Arial MT" w:eastAsia="Arial MT" w:cs="Arial MT"/>
        <w:b w:val="0"/>
        <w:bCs w:val="0"/>
        <w:i w:val="0"/>
        <w:iCs w:val="0"/>
        <w:spacing w:val="0"/>
        <w:w w:val="99"/>
        <w:sz w:val="24"/>
        <w:szCs w:val="24"/>
        <w:lang w:val="en-US" w:eastAsia="en-US" w:bidi="ar-SA"/>
      </w:rPr>
    </w:lvl>
    <w:lvl w:ilvl="3">
      <w:start w:val="1"/>
      <w:numFmt w:val="lowerRoman"/>
      <w:lvlText w:val="%4."/>
      <w:lvlJc w:val="left"/>
      <w:pPr>
        <w:ind w:left="2320" w:hanging="720"/>
        <w:jc w:val="left"/>
      </w:pPr>
      <w:rPr>
        <w:rFonts w:hint="default" w:ascii="Arial MT" w:hAnsi="Arial MT" w:eastAsia="Arial MT" w:cs="Arial MT"/>
        <w:b w:val="0"/>
        <w:bCs w:val="0"/>
        <w:i w:val="0"/>
        <w:iCs w:val="0"/>
        <w:spacing w:val="0"/>
        <w:w w:val="99"/>
        <w:sz w:val="24"/>
        <w:szCs w:val="24"/>
        <w:lang w:val="en-US" w:eastAsia="en-US" w:bidi="ar-SA"/>
      </w:rPr>
    </w:lvl>
    <w:lvl w:ilvl="4">
      <w:start w:val="0"/>
      <w:numFmt w:val="bullet"/>
      <w:lvlText w:val="•"/>
      <w:lvlJc w:val="left"/>
      <w:pPr>
        <w:ind w:left="4195" w:hanging="720"/>
      </w:pPr>
      <w:rPr>
        <w:rFonts w:hint="default"/>
        <w:lang w:val="en-US" w:eastAsia="en-US" w:bidi="ar-SA"/>
      </w:rPr>
    </w:lvl>
    <w:lvl w:ilvl="5">
      <w:start w:val="0"/>
      <w:numFmt w:val="bullet"/>
      <w:lvlText w:val="•"/>
      <w:lvlJc w:val="left"/>
      <w:pPr>
        <w:ind w:left="5132" w:hanging="720"/>
      </w:pPr>
      <w:rPr>
        <w:rFonts w:hint="default"/>
        <w:lang w:val="en-US" w:eastAsia="en-US" w:bidi="ar-SA"/>
      </w:rPr>
    </w:lvl>
    <w:lvl w:ilvl="6">
      <w:start w:val="0"/>
      <w:numFmt w:val="bullet"/>
      <w:lvlText w:val="•"/>
      <w:lvlJc w:val="left"/>
      <w:pPr>
        <w:ind w:left="6070" w:hanging="720"/>
      </w:pPr>
      <w:rPr>
        <w:rFonts w:hint="default"/>
        <w:lang w:val="en-US" w:eastAsia="en-US" w:bidi="ar-SA"/>
      </w:rPr>
    </w:lvl>
    <w:lvl w:ilvl="7">
      <w:start w:val="0"/>
      <w:numFmt w:val="bullet"/>
      <w:lvlText w:val="•"/>
      <w:lvlJc w:val="left"/>
      <w:pPr>
        <w:ind w:left="7007" w:hanging="720"/>
      </w:pPr>
      <w:rPr>
        <w:rFonts w:hint="default"/>
        <w:lang w:val="en-US" w:eastAsia="en-US" w:bidi="ar-SA"/>
      </w:rPr>
    </w:lvl>
    <w:lvl w:ilvl="8">
      <w:start w:val="0"/>
      <w:numFmt w:val="bullet"/>
      <w:lvlText w:val="•"/>
      <w:lvlJc w:val="left"/>
      <w:pPr>
        <w:ind w:left="7945" w:hanging="720"/>
      </w:pPr>
      <w:rPr>
        <w:rFonts w:hint="default"/>
        <w:lang w:val="en-US" w:eastAsia="en-US" w:bidi="ar-SA"/>
      </w:rPr>
    </w:lvl>
  </w:abstractNum>
  <w:abstractNum w:abstractNumId="14">
    <w:multiLevelType w:val="hybridMultilevel"/>
    <w:lvl w:ilvl="0">
      <w:start w:val="4"/>
      <w:numFmt w:val="decimal"/>
      <w:lvlText w:val="%1"/>
      <w:lvlJc w:val="left"/>
      <w:pPr>
        <w:ind w:left="880" w:hanging="720"/>
        <w:jc w:val="left"/>
      </w:pPr>
      <w:rPr>
        <w:rFonts w:hint="default"/>
        <w:lang w:val="en-US" w:eastAsia="en-US" w:bidi="ar-SA"/>
      </w:rPr>
    </w:lvl>
    <w:lvl w:ilvl="1">
      <w:start w:val="5"/>
      <w:numFmt w:val="decimal"/>
      <w:lvlText w:val="%1.%2"/>
      <w:lvlJc w:val="left"/>
      <w:pPr>
        <w:ind w:left="880" w:hanging="720"/>
        <w:jc w:val="left"/>
      </w:pPr>
      <w:rPr>
        <w:rFonts w:hint="default"/>
        <w:lang w:val="en-US" w:eastAsia="en-US" w:bidi="ar-SA"/>
      </w:rPr>
    </w:lvl>
    <w:lvl w:ilvl="2">
      <w:start w:val="1"/>
      <w:numFmt w:val="decimal"/>
      <w:lvlText w:val="%1.%2.%3"/>
      <w:lvlJc w:val="left"/>
      <w:pPr>
        <w:ind w:left="880" w:hanging="720"/>
        <w:jc w:val="left"/>
      </w:pPr>
      <w:rPr>
        <w:rFonts w:hint="default" w:ascii="Arial MT" w:hAnsi="Arial MT" w:eastAsia="Arial MT" w:cs="Arial MT"/>
        <w:b w:val="0"/>
        <w:bCs w:val="0"/>
        <w:i w:val="0"/>
        <w:iCs w:val="0"/>
        <w:spacing w:val="0"/>
        <w:w w:val="99"/>
        <w:sz w:val="24"/>
        <w:szCs w:val="24"/>
        <w:lang w:val="en-US" w:eastAsia="en-US" w:bidi="ar-SA"/>
      </w:rPr>
    </w:lvl>
    <w:lvl w:ilvl="3">
      <w:start w:val="0"/>
      <w:numFmt w:val="bullet"/>
      <w:lvlText w:val="•"/>
      <w:lvlJc w:val="left"/>
      <w:pPr>
        <w:ind w:left="3562" w:hanging="720"/>
      </w:pPr>
      <w:rPr>
        <w:rFonts w:hint="default"/>
        <w:lang w:val="en-US" w:eastAsia="en-US" w:bidi="ar-SA"/>
      </w:rPr>
    </w:lvl>
    <w:lvl w:ilvl="4">
      <w:start w:val="0"/>
      <w:numFmt w:val="bullet"/>
      <w:lvlText w:val="•"/>
      <w:lvlJc w:val="left"/>
      <w:pPr>
        <w:ind w:left="4456" w:hanging="720"/>
      </w:pPr>
      <w:rPr>
        <w:rFonts w:hint="default"/>
        <w:lang w:val="en-US" w:eastAsia="en-US" w:bidi="ar-SA"/>
      </w:rPr>
    </w:lvl>
    <w:lvl w:ilvl="5">
      <w:start w:val="0"/>
      <w:numFmt w:val="bullet"/>
      <w:lvlText w:val="•"/>
      <w:lvlJc w:val="left"/>
      <w:pPr>
        <w:ind w:left="5350" w:hanging="720"/>
      </w:pPr>
      <w:rPr>
        <w:rFonts w:hint="default"/>
        <w:lang w:val="en-US" w:eastAsia="en-US" w:bidi="ar-SA"/>
      </w:rPr>
    </w:lvl>
    <w:lvl w:ilvl="6">
      <w:start w:val="0"/>
      <w:numFmt w:val="bullet"/>
      <w:lvlText w:val="•"/>
      <w:lvlJc w:val="left"/>
      <w:pPr>
        <w:ind w:left="6244" w:hanging="720"/>
      </w:pPr>
      <w:rPr>
        <w:rFonts w:hint="default"/>
        <w:lang w:val="en-US" w:eastAsia="en-US" w:bidi="ar-SA"/>
      </w:rPr>
    </w:lvl>
    <w:lvl w:ilvl="7">
      <w:start w:val="0"/>
      <w:numFmt w:val="bullet"/>
      <w:lvlText w:val="•"/>
      <w:lvlJc w:val="left"/>
      <w:pPr>
        <w:ind w:left="7138" w:hanging="720"/>
      </w:pPr>
      <w:rPr>
        <w:rFonts w:hint="default"/>
        <w:lang w:val="en-US" w:eastAsia="en-US" w:bidi="ar-SA"/>
      </w:rPr>
    </w:lvl>
    <w:lvl w:ilvl="8">
      <w:start w:val="0"/>
      <w:numFmt w:val="bullet"/>
      <w:lvlText w:val="•"/>
      <w:lvlJc w:val="left"/>
      <w:pPr>
        <w:ind w:left="8032" w:hanging="720"/>
      </w:pPr>
      <w:rPr>
        <w:rFonts w:hint="default"/>
        <w:lang w:val="en-US" w:eastAsia="en-US" w:bidi="ar-SA"/>
      </w:rPr>
    </w:lvl>
  </w:abstractNum>
  <w:abstractNum w:abstractNumId="13">
    <w:multiLevelType w:val="hybridMultilevel"/>
    <w:lvl w:ilvl="0">
      <w:start w:val="4"/>
      <w:numFmt w:val="decimal"/>
      <w:lvlText w:val="%1"/>
      <w:lvlJc w:val="left"/>
      <w:pPr>
        <w:ind w:left="880" w:hanging="720"/>
        <w:jc w:val="left"/>
      </w:pPr>
      <w:rPr>
        <w:rFonts w:hint="default"/>
        <w:lang w:val="en-US" w:eastAsia="en-US" w:bidi="ar-SA"/>
      </w:rPr>
    </w:lvl>
    <w:lvl w:ilvl="1">
      <w:start w:val="4"/>
      <w:numFmt w:val="decimal"/>
      <w:lvlText w:val="%1.%2"/>
      <w:lvlJc w:val="left"/>
      <w:pPr>
        <w:ind w:left="880" w:hanging="720"/>
        <w:jc w:val="left"/>
      </w:pPr>
      <w:rPr>
        <w:rFonts w:hint="default"/>
        <w:lang w:val="en-US" w:eastAsia="en-US" w:bidi="ar-SA"/>
      </w:rPr>
    </w:lvl>
    <w:lvl w:ilvl="2">
      <w:start w:val="1"/>
      <w:numFmt w:val="decimal"/>
      <w:lvlText w:val="%1.%2.%3"/>
      <w:lvlJc w:val="left"/>
      <w:pPr>
        <w:ind w:left="880" w:hanging="720"/>
        <w:jc w:val="left"/>
      </w:pPr>
      <w:rPr>
        <w:rFonts w:hint="default" w:ascii="Arial MT" w:hAnsi="Arial MT" w:eastAsia="Arial MT" w:cs="Arial MT"/>
        <w:b w:val="0"/>
        <w:bCs w:val="0"/>
        <w:i w:val="0"/>
        <w:iCs w:val="0"/>
        <w:spacing w:val="0"/>
        <w:w w:val="99"/>
        <w:sz w:val="24"/>
        <w:szCs w:val="24"/>
        <w:lang w:val="en-US" w:eastAsia="en-US" w:bidi="ar-SA"/>
      </w:rPr>
    </w:lvl>
    <w:lvl w:ilvl="3">
      <w:start w:val="0"/>
      <w:numFmt w:val="bullet"/>
      <w:lvlText w:val="•"/>
      <w:lvlJc w:val="left"/>
      <w:pPr>
        <w:ind w:left="3562" w:hanging="720"/>
      </w:pPr>
      <w:rPr>
        <w:rFonts w:hint="default"/>
        <w:lang w:val="en-US" w:eastAsia="en-US" w:bidi="ar-SA"/>
      </w:rPr>
    </w:lvl>
    <w:lvl w:ilvl="4">
      <w:start w:val="0"/>
      <w:numFmt w:val="bullet"/>
      <w:lvlText w:val="•"/>
      <w:lvlJc w:val="left"/>
      <w:pPr>
        <w:ind w:left="4456" w:hanging="720"/>
      </w:pPr>
      <w:rPr>
        <w:rFonts w:hint="default"/>
        <w:lang w:val="en-US" w:eastAsia="en-US" w:bidi="ar-SA"/>
      </w:rPr>
    </w:lvl>
    <w:lvl w:ilvl="5">
      <w:start w:val="0"/>
      <w:numFmt w:val="bullet"/>
      <w:lvlText w:val="•"/>
      <w:lvlJc w:val="left"/>
      <w:pPr>
        <w:ind w:left="5350" w:hanging="720"/>
      </w:pPr>
      <w:rPr>
        <w:rFonts w:hint="default"/>
        <w:lang w:val="en-US" w:eastAsia="en-US" w:bidi="ar-SA"/>
      </w:rPr>
    </w:lvl>
    <w:lvl w:ilvl="6">
      <w:start w:val="0"/>
      <w:numFmt w:val="bullet"/>
      <w:lvlText w:val="•"/>
      <w:lvlJc w:val="left"/>
      <w:pPr>
        <w:ind w:left="6244" w:hanging="720"/>
      </w:pPr>
      <w:rPr>
        <w:rFonts w:hint="default"/>
        <w:lang w:val="en-US" w:eastAsia="en-US" w:bidi="ar-SA"/>
      </w:rPr>
    </w:lvl>
    <w:lvl w:ilvl="7">
      <w:start w:val="0"/>
      <w:numFmt w:val="bullet"/>
      <w:lvlText w:val="•"/>
      <w:lvlJc w:val="left"/>
      <w:pPr>
        <w:ind w:left="7138" w:hanging="720"/>
      </w:pPr>
      <w:rPr>
        <w:rFonts w:hint="default"/>
        <w:lang w:val="en-US" w:eastAsia="en-US" w:bidi="ar-SA"/>
      </w:rPr>
    </w:lvl>
    <w:lvl w:ilvl="8">
      <w:start w:val="0"/>
      <w:numFmt w:val="bullet"/>
      <w:lvlText w:val="•"/>
      <w:lvlJc w:val="left"/>
      <w:pPr>
        <w:ind w:left="8032" w:hanging="720"/>
      </w:pPr>
      <w:rPr>
        <w:rFonts w:hint="default"/>
        <w:lang w:val="en-US" w:eastAsia="en-US" w:bidi="ar-SA"/>
      </w:rPr>
    </w:lvl>
  </w:abstractNum>
  <w:abstractNum w:abstractNumId="12">
    <w:multiLevelType w:val="hybridMultilevel"/>
    <w:lvl w:ilvl="0">
      <w:start w:val="4"/>
      <w:numFmt w:val="decimal"/>
      <w:lvlText w:val="%1"/>
      <w:lvlJc w:val="left"/>
      <w:pPr>
        <w:ind w:left="880" w:hanging="720"/>
        <w:jc w:val="left"/>
      </w:pPr>
      <w:rPr>
        <w:rFonts w:hint="default"/>
        <w:lang w:val="en-US" w:eastAsia="en-US" w:bidi="ar-SA"/>
      </w:rPr>
    </w:lvl>
    <w:lvl w:ilvl="1">
      <w:start w:val="3"/>
      <w:numFmt w:val="decimal"/>
      <w:lvlText w:val="%1.%2"/>
      <w:lvlJc w:val="left"/>
      <w:pPr>
        <w:ind w:left="880" w:hanging="720"/>
        <w:jc w:val="left"/>
      </w:pPr>
      <w:rPr>
        <w:rFonts w:hint="default"/>
        <w:lang w:val="en-US" w:eastAsia="en-US" w:bidi="ar-SA"/>
      </w:rPr>
    </w:lvl>
    <w:lvl w:ilvl="2">
      <w:start w:val="3"/>
      <w:numFmt w:val="decimal"/>
      <w:lvlText w:val="%1.%2.%3"/>
      <w:lvlJc w:val="left"/>
      <w:pPr>
        <w:ind w:left="880" w:hanging="720"/>
        <w:jc w:val="left"/>
      </w:pPr>
      <w:rPr>
        <w:rFonts w:hint="default" w:ascii="Arial MT" w:hAnsi="Arial MT" w:eastAsia="Arial MT" w:cs="Arial MT"/>
        <w:b w:val="0"/>
        <w:bCs w:val="0"/>
        <w:i w:val="0"/>
        <w:iCs w:val="0"/>
        <w:spacing w:val="0"/>
        <w:w w:val="99"/>
        <w:sz w:val="24"/>
        <w:szCs w:val="24"/>
        <w:lang w:val="en-US" w:eastAsia="en-US" w:bidi="ar-SA"/>
      </w:rPr>
    </w:lvl>
    <w:lvl w:ilvl="3">
      <w:start w:val="0"/>
      <w:numFmt w:val="bullet"/>
      <w:lvlText w:val="•"/>
      <w:lvlJc w:val="left"/>
      <w:pPr>
        <w:ind w:left="3562" w:hanging="720"/>
      </w:pPr>
      <w:rPr>
        <w:rFonts w:hint="default"/>
        <w:lang w:val="en-US" w:eastAsia="en-US" w:bidi="ar-SA"/>
      </w:rPr>
    </w:lvl>
    <w:lvl w:ilvl="4">
      <w:start w:val="0"/>
      <w:numFmt w:val="bullet"/>
      <w:lvlText w:val="•"/>
      <w:lvlJc w:val="left"/>
      <w:pPr>
        <w:ind w:left="4456" w:hanging="720"/>
      </w:pPr>
      <w:rPr>
        <w:rFonts w:hint="default"/>
        <w:lang w:val="en-US" w:eastAsia="en-US" w:bidi="ar-SA"/>
      </w:rPr>
    </w:lvl>
    <w:lvl w:ilvl="5">
      <w:start w:val="0"/>
      <w:numFmt w:val="bullet"/>
      <w:lvlText w:val="•"/>
      <w:lvlJc w:val="left"/>
      <w:pPr>
        <w:ind w:left="5350" w:hanging="720"/>
      </w:pPr>
      <w:rPr>
        <w:rFonts w:hint="default"/>
        <w:lang w:val="en-US" w:eastAsia="en-US" w:bidi="ar-SA"/>
      </w:rPr>
    </w:lvl>
    <w:lvl w:ilvl="6">
      <w:start w:val="0"/>
      <w:numFmt w:val="bullet"/>
      <w:lvlText w:val="•"/>
      <w:lvlJc w:val="left"/>
      <w:pPr>
        <w:ind w:left="6244" w:hanging="720"/>
      </w:pPr>
      <w:rPr>
        <w:rFonts w:hint="default"/>
        <w:lang w:val="en-US" w:eastAsia="en-US" w:bidi="ar-SA"/>
      </w:rPr>
    </w:lvl>
    <w:lvl w:ilvl="7">
      <w:start w:val="0"/>
      <w:numFmt w:val="bullet"/>
      <w:lvlText w:val="•"/>
      <w:lvlJc w:val="left"/>
      <w:pPr>
        <w:ind w:left="7138" w:hanging="720"/>
      </w:pPr>
      <w:rPr>
        <w:rFonts w:hint="default"/>
        <w:lang w:val="en-US" w:eastAsia="en-US" w:bidi="ar-SA"/>
      </w:rPr>
    </w:lvl>
    <w:lvl w:ilvl="8">
      <w:start w:val="0"/>
      <w:numFmt w:val="bullet"/>
      <w:lvlText w:val="•"/>
      <w:lvlJc w:val="left"/>
      <w:pPr>
        <w:ind w:left="8032" w:hanging="720"/>
      </w:pPr>
      <w:rPr>
        <w:rFonts w:hint="default"/>
        <w:lang w:val="en-US" w:eastAsia="en-US" w:bidi="ar-SA"/>
      </w:rPr>
    </w:lvl>
  </w:abstractNum>
  <w:abstractNum w:abstractNumId="11">
    <w:multiLevelType w:val="hybridMultilevel"/>
    <w:lvl w:ilvl="0">
      <w:start w:val="4"/>
      <w:numFmt w:val="decimal"/>
      <w:lvlText w:val="%1"/>
      <w:lvlJc w:val="left"/>
      <w:pPr>
        <w:ind w:left="947" w:hanging="806"/>
        <w:jc w:val="left"/>
      </w:pPr>
      <w:rPr>
        <w:rFonts w:hint="default"/>
        <w:lang w:val="en-US" w:eastAsia="en-US" w:bidi="ar-SA"/>
      </w:rPr>
    </w:lvl>
    <w:lvl w:ilvl="1">
      <w:start w:val="3"/>
      <w:numFmt w:val="decimal"/>
      <w:lvlText w:val="%1.%2"/>
      <w:lvlJc w:val="left"/>
      <w:pPr>
        <w:ind w:left="947" w:hanging="806"/>
        <w:jc w:val="left"/>
      </w:pPr>
      <w:rPr>
        <w:rFonts w:hint="default"/>
        <w:lang w:val="en-US" w:eastAsia="en-US" w:bidi="ar-SA"/>
      </w:rPr>
    </w:lvl>
    <w:lvl w:ilvl="2">
      <w:start w:val="2"/>
      <w:numFmt w:val="decimal"/>
      <w:lvlText w:val="%1.%2.%3"/>
      <w:lvlJc w:val="left"/>
      <w:pPr>
        <w:ind w:left="947" w:hanging="806"/>
        <w:jc w:val="left"/>
      </w:pPr>
      <w:rPr>
        <w:rFonts w:hint="default"/>
        <w:lang w:val="en-US" w:eastAsia="en-US" w:bidi="ar-SA"/>
      </w:rPr>
    </w:lvl>
    <w:lvl w:ilvl="3">
      <w:start w:val="1"/>
      <w:numFmt w:val="decimal"/>
      <w:lvlText w:val="%1.%2.%3.%4"/>
      <w:lvlJc w:val="left"/>
      <w:pPr>
        <w:ind w:left="947" w:hanging="806"/>
        <w:jc w:val="left"/>
      </w:pPr>
      <w:rPr>
        <w:rFonts w:hint="default" w:ascii="Arial MT" w:hAnsi="Arial MT" w:eastAsia="Arial MT" w:cs="Arial MT"/>
        <w:b w:val="0"/>
        <w:bCs w:val="0"/>
        <w:i w:val="0"/>
        <w:iCs w:val="0"/>
        <w:spacing w:val="0"/>
        <w:w w:val="99"/>
        <w:sz w:val="24"/>
        <w:szCs w:val="24"/>
        <w:lang w:val="en-US" w:eastAsia="en-US" w:bidi="ar-SA"/>
      </w:rPr>
    </w:lvl>
    <w:lvl w:ilvl="4">
      <w:start w:val="0"/>
      <w:numFmt w:val="bullet"/>
      <w:lvlText w:val="•"/>
      <w:lvlJc w:val="left"/>
      <w:pPr>
        <w:ind w:left="4492" w:hanging="806"/>
      </w:pPr>
      <w:rPr>
        <w:rFonts w:hint="default"/>
        <w:lang w:val="en-US" w:eastAsia="en-US" w:bidi="ar-SA"/>
      </w:rPr>
    </w:lvl>
    <w:lvl w:ilvl="5">
      <w:start w:val="0"/>
      <w:numFmt w:val="bullet"/>
      <w:lvlText w:val="•"/>
      <w:lvlJc w:val="left"/>
      <w:pPr>
        <w:ind w:left="5380" w:hanging="806"/>
      </w:pPr>
      <w:rPr>
        <w:rFonts w:hint="default"/>
        <w:lang w:val="en-US" w:eastAsia="en-US" w:bidi="ar-SA"/>
      </w:rPr>
    </w:lvl>
    <w:lvl w:ilvl="6">
      <w:start w:val="0"/>
      <w:numFmt w:val="bullet"/>
      <w:lvlText w:val="•"/>
      <w:lvlJc w:val="left"/>
      <w:pPr>
        <w:ind w:left="6268" w:hanging="806"/>
      </w:pPr>
      <w:rPr>
        <w:rFonts w:hint="default"/>
        <w:lang w:val="en-US" w:eastAsia="en-US" w:bidi="ar-SA"/>
      </w:rPr>
    </w:lvl>
    <w:lvl w:ilvl="7">
      <w:start w:val="0"/>
      <w:numFmt w:val="bullet"/>
      <w:lvlText w:val="•"/>
      <w:lvlJc w:val="left"/>
      <w:pPr>
        <w:ind w:left="7156" w:hanging="806"/>
      </w:pPr>
      <w:rPr>
        <w:rFonts w:hint="default"/>
        <w:lang w:val="en-US" w:eastAsia="en-US" w:bidi="ar-SA"/>
      </w:rPr>
    </w:lvl>
    <w:lvl w:ilvl="8">
      <w:start w:val="0"/>
      <w:numFmt w:val="bullet"/>
      <w:lvlText w:val="•"/>
      <w:lvlJc w:val="left"/>
      <w:pPr>
        <w:ind w:left="8044" w:hanging="806"/>
      </w:pPr>
      <w:rPr>
        <w:rFonts w:hint="default"/>
        <w:lang w:val="en-US" w:eastAsia="en-US" w:bidi="ar-SA"/>
      </w:rPr>
    </w:lvl>
  </w:abstractNum>
  <w:abstractNum w:abstractNumId="10">
    <w:multiLevelType w:val="hybridMultilevel"/>
    <w:lvl w:ilvl="0">
      <w:start w:val="4"/>
      <w:numFmt w:val="decimal"/>
      <w:lvlText w:val="%1"/>
      <w:lvlJc w:val="left"/>
      <w:pPr>
        <w:ind w:left="947" w:hanging="806"/>
        <w:jc w:val="left"/>
      </w:pPr>
      <w:rPr>
        <w:rFonts w:hint="default"/>
        <w:lang w:val="en-US" w:eastAsia="en-US" w:bidi="ar-SA"/>
      </w:rPr>
    </w:lvl>
    <w:lvl w:ilvl="1">
      <w:start w:val="3"/>
      <w:numFmt w:val="decimal"/>
      <w:lvlText w:val="%1.%2"/>
      <w:lvlJc w:val="left"/>
      <w:pPr>
        <w:ind w:left="947" w:hanging="806"/>
        <w:jc w:val="left"/>
      </w:pPr>
      <w:rPr>
        <w:rFonts w:hint="default"/>
        <w:lang w:val="en-US" w:eastAsia="en-US" w:bidi="ar-SA"/>
      </w:rPr>
    </w:lvl>
    <w:lvl w:ilvl="2">
      <w:start w:val="1"/>
      <w:numFmt w:val="decimal"/>
      <w:lvlText w:val="%1.%2.%3"/>
      <w:lvlJc w:val="left"/>
      <w:pPr>
        <w:ind w:left="947" w:hanging="806"/>
        <w:jc w:val="left"/>
      </w:pPr>
      <w:rPr>
        <w:rFonts w:hint="default"/>
        <w:lang w:val="en-US" w:eastAsia="en-US" w:bidi="ar-SA"/>
      </w:rPr>
    </w:lvl>
    <w:lvl w:ilvl="3">
      <w:start w:val="1"/>
      <w:numFmt w:val="decimal"/>
      <w:lvlText w:val="%1.%2.%3.%4"/>
      <w:lvlJc w:val="left"/>
      <w:pPr>
        <w:ind w:left="947" w:hanging="806"/>
        <w:jc w:val="left"/>
      </w:pPr>
      <w:rPr>
        <w:rFonts w:hint="default" w:ascii="Arial MT" w:hAnsi="Arial MT" w:eastAsia="Arial MT" w:cs="Arial MT"/>
        <w:b w:val="0"/>
        <w:bCs w:val="0"/>
        <w:i w:val="0"/>
        <w:iCs w:val="0"/>
        <w:spacing w:val="0"/>
        <w:w w:val="99"/>
        <w:sz w:val="24"/>
        <w:szCs w:val="24"/>
        <w:lang w:val="en-US" w:eastAsia="en-US" w:bidi="ar-SA"/>
      </w:rPr>
    </w:lvl>
    <w:lvl w:ilvl="4">
      <w:start w:val="0"/>
      <w:numFmt w:val="bullet"/>
      <w:lvlText w:val="•"/>
      <w:lvlJc w:val="left"/>
      <w:pPr>
        <w:ind w:left="4492" w:hanging="806"/>
      </w:pPr>
      <w:rPr>
        <w:rFonts w:hint="default"/>
        <w:lang w:val="en-US" w:eastAsia="en-US" w:bidi="ar-SA"/>
      </w:rPr>
    </w:lvl>
    <w:lvl w:ilvl="5">
      <w:start w:val="0"/>
      <w:numFmt w:val="bullet"/>
      <w:lvlText w:val="•"/>
      <w:lvlJc w:val="left"/>
      <w:pPr>
        <w:ind w:left="5380" w:hanging="806"/>
      </w:pPr>
      <w:rPr>
        <w:rFonts w:hint="default"/>
        <w:lang w:val="en-US" w:eastAsia="en-US" w:bidi="ar-SA"/>
      </w:rPr>
    </w:lvl>
    <w:lvl w:ilvl="6">
      <w:start w:val="0"/>
      <w:numFmt w:val="bullet"/>
      <w:lvlText w:val="•"/>
      <w:lvlJc w:val="left"/>
      <w:pPr>
        <w:ind w:left="6268" w:hanging="806"/>
      </w:pPr>
      <w:rPr>
        <w:rFonts w:hint="default"/>
        <w:lang w:val="en-US" w:eastAsia="en-US" w:bidi="ar-SA"/>
      </w:rPr>
    </w:lvl>
    <w:lvl w:ilvl="7">
      <w:start w:val="0"/>
      <w:numFmt w:val="bullet"/>
      <w:lvlText w:val="•"/>
      <w:lvlJc w:val="left"/>
      <w:pPr>
        <w:ind w:left="7156" w:hanging="806"/>
      </w:pPr>
      <w:rPr>
        <w:rFonts w:hint="default"/>
        <w:lang w:val="en-US" w:eastAsia="en-US" w:bidi="ar-SA"/>
      </w:rPr>
    </w:lvl>
    <w:lvl w:ilvl="8">
      <w:start w:val="0"/>
      <w:numFmt w:val="bullet"/>
      <w:lvlText w:val="•"/>
      <w:lvlJc w:val="left"/>
      <w:pPr>
        <w:ind w:left="8044" w:hanging="806"/>
      </w:pPr>
      <w:rPr>
        <w:rFonts w:hint="default"/>
        <w:lang w:val="en-US" w:eastAsia="en-US" w:bidi="ar-SA"/>
      </w:rPr>
    </w:lvl>
  </w:abstractNum>
  <w:abstractNum w:abstractNumId="9">
    <w:multiLevelType w:val="hybridMultilevel"/>
    <w:lvl w:ilvl="0">
      <w:start w:val="4"/>
      <w:numFmt w:val="decimal"/>
      <w:lvlText w:val="%1"/>
      <w:lvlJc w:val="left"/>
      <w:pPr>
        <w:ind w:left="880" w:hanging="720"/>
        <w:jc w:val="left"/>
      </w:pPr>
      <w:rPr>
        <w:rFonts w:hint="default"/>
        <w:lang w:val="en-US" w:eastAsia="en-US" w:bidi="ar-SA"/>
      </w:rPr>
    </w:lvl>
    <w:lvl w:ilvl="1">
      <w:start w:val="2"/>
      <w:numFmt w:val="decimal"/>
      <w:lvlText w:val="%1.%2"/>
      <w:lvlJc w:val="left"/>
      <w:pPr>
        <w:ind w:left="880" w:hanging="720"/>
        <w:jc w:val="left"/>
      </w:pPr>
      <w:rPr>
        <w:rFonts w:hint="default"/>
        <w:lang w:val="en-US" w:eastAsia="en-US" w:bidi="ar-SA"/>
      </w:rPr>
    </w:lvl>
    <w:lvl w:ilvl="2">
      <w:start w:val="1"/>
      <w:numFmt w:val="decimal"/>
      <w:lvlText w:val="%1.%2.%3"/>
      <w:lvlJc w:val="left"/>
      <w:pPr>
        <w:ind w:left="880" w:hanging="720"/>
        <w:jc w:val="left"/>
      </w:pPr>
      <w:rPr>
        <w:rFonts w:hint="default" w:ascii="Arial MT" w:hAnsi="Arial MT" w:eastAsia="Arial MT" w:cs="Arial MT"/>
        <w:b w:val="0"/>
        <w:bCs w:val="0"/>
        <w:i w:val="0"/>
        <w:iCs w:val="0"/>
        <w:spacing w:val="0"/>
        <w:w w:val="99"/>
        <w:sz w:val="24"/>
        <w:szCs w:val="24"/>
        <w:lang w:val="en-US" w:eastAsia="en-US" w:bidi="ar-SA"/>
      </w:rPr>
    </w:lvl>
    <w:lvl w:ilvl="3">
      <w:start w:val="0"/>
      <w:numFmt w:val="bullet"/>
      <w:lvlText w:val="•"/>
      <w:lvlJc w:val="left"/>
      <w:pPr>
        <w:ind w:left="3562" w:hanging="720"/>
      </w:pPr>
      <w:rPr>
        <w:rFonts w:hint="default"/>
        <w:lang w:val="en-US" w:eastAsia="en-US" w:bidi="ar-SA"/>
      </w:rPr>
    </w:lvl>
    <w:lvl w:ilvl="4">
      <w:start w:val="0"/>
      <w:numFmt w:val="bullet"/>
      <w:lvlText w:val="•"/>
      <w:lvlJc w:val="left"/>
      <w:pPr>
        <w:ind w:left="4456" w:hanging="720"/>
      </w:pPr>
      <w:rPr>
        <w:rFonts w:hint="default"/>
        <w:lang w:val="en-US" w:eastAsia="en-US" w:bidi="ar-SA"/>
      </w:rPr>
    </w:lvl>
    <w:lvl w:ilvl="5">
      <w:start w:val="0"/>
      <w:numFmt w:val="bullet"/>
      <w:lvlText w:val="•"/>
      <w:lvlJc w:val="left"/>
      <w:pPr>
        <w:ind w:left="5350" w:hanging="720"/>
      </w:pPr>
      <w:rPr>
        <w:rFonts w:hint="default"/>
        <w:lang w:val="en-US" w:eastAsia="en-US" w:bidi="ar-SA"/>
      </w:rPr>
    </w:lvl>
    <w:lvl w:ilvl="6">
      <w:start w:val="0"/>
      <w:numFmt w:val="bullet"/>
      <w:lvlText w:val="•"/>
      <w:lvlJc w:val="left"/>
      <w:pPr>
        <w:ind w:left="6244" w:hanging="720"/>
      </w:pPr>
      <w:rPr>
        <w:rFonts w:hint="default"/>
        <w:lang w:val="en-US" w:eastAsia="en-US" w:bidi="ar-SA"/>
      </w:rPr>
    </w:lvl>
    <w:lvl w:ilvl="7">
      <w:start w:val="0"/>
      <w:numFmt w:val="bullet"/>
      <w:lvlText w:val="•"/>
      <w:lvlJc w:val="left"/>
      <w:pPr>
        <w:ind w:left="7138" w:hanging="720"/>
      </w:pPr>
      <w:rPr>
        <w:rFonts w:hint="default"/>
        <w:lang w:val="en-US" w:eastAsia="en-US" w:bidi="ar-SA"/>
      </w:rPr>
    </w:lvl>
    <w:lvl w:ilvl="8">
      <w:start w:val="0"/>
      <w:numFmt w:val="bullet"/>
      <w:lvlText w:val="•"/>
      <w:lvlJc w:val="left"/>
      <w:pPr>
        <w:ind w:left="8032" w:hanging="720"/>
      </w:pPr>
      <w:rPr>
        <w:rFonts w:hint="default"/>
        <w:lang w:val="en-US" w:eastAsia="en-US" w:bidi="ar-SA"/>
      </w:rPr>
    </w:lvl>
  </w:abstractNum>
  <w:abstractNum w:abstractNumId="8">
    <w:multiLevelType w:val="hybridMultilevel"/>
    <w:lvl w:ilvl="0">
      <w:start w:val="4"/>
      <w:numFmt w:val="decimal"/>
      <w:lvlText w:val="%1"/>
      <w:lvlJc w:val="left"/>
      <w:pPr>
        <w:ind w:left="880" w:hanging="720"/>
        <w:jc w:val="left"/>
      </w:pPr>
      <w:rPr>
        <w:rFonts w:hint="default"/>
        <w:lang w:val="en-US" w:eastAsia="en-US" w:bidi="ar-SA"/>
      </w:rPr>
    </w:lvl>
    <w:lvl w:ilvl="1">
      <w:start w:val="1"/>
      <w:numFmt w:val="decimal"/>
      <w:lvlText w:val="%1.%2"/>
      <w:lvlJc w:val="left"/>
      <w:pPr>
        <w:ind w:left="880" w:hanging="720"/>
        <w:jc w:val="left"/>
      </w:pPr>
      <w:rPr>
        <w:rFonts w:hint="default"/>
        <w:lang w:val="en-US" w:eastAsia="en-US" w:bidi="ar-SA"/>
      </w:rPr>
    </w:lvl>
    <w:lvl w:ilvl="2">
      <w:start w:val="1"/>
      <w:numFmt w:val="decimal"/>
      <w:lvlText w:val="%1.%2.%3"/>
      <w:lvlJc w:val="left"/>
      <w:pPr>
        <w:ind w:left="880" w:hanging="720"/>
        <w:jc w:val="left"/>
      </w:pPr>
      <w:rPr>
        <w:rFonts w:hint="default" w:ascii="Arial MT" w:hAnsi="Arial MT" w:eastAsia="Arial MT" w:cs="Arial MT"/>
        <w:b w:val="0"/>
        <w:bCs w:val="0"/>
        <w:i w:val="0"/>
        <w:iCs w:val="0"/>
        <w:spacing w:val="0"/>
        <w:w w:val="99"/>
        <w:sz w:val="24"/>
        <w:szCs w:val="24"/>
        <w:lang w:val="en-US" w:eastAsia="en-US" w:bidi="ar-SA"/>
      </w:rPr>
    </w:lvl>
    <w:lvl w:ilvl="3">
      <w:start w:val="0"/>
      <w:numFmt w:val="bullet"/>
      <w:lvlText w:val="•"/>
      <w:lvlJc w:val="left"/>
      <w:pPr>
        <w:ind w:left="3562" w:hanging="720"/>
      </w:pPr>
      <w:rPr>
        <w:rFonts w:hint="default"/>
        <w:lang w:val="en-US" w:eastAsia="en-US" w:bidi="ar-SA"/>
      </w:rPr>
    </w:lvl>
    <w:lvl w:ilvl="4">
      <w:start w:val="0"/>
      <w:numFmt w:val="bullet"/>
      <w:lvlText w:val="•"/>
      <w:lvlJc w:val="left"/>
      <w:pPr>
        <w:ind w:left="4456" w:hanging="720"/>
      </w:pPr>
      <w:rPr>
        <w:rFonts w:hint="default"/>
        <w:lang w:val="en-US" w:eastAsia="en-US" w:bidi="ar-SA"/>
      </w:rPr>
    </w:lvl>
    <w:lvl w:ilvl="5">
      <w:start w:val="0"/>
      <w:numFmt w:val="bullet"/>
      <w:lvlText w:val="•"/>
      <w:lvlJc w:val="left"/>
      <w:pPr>
        <w:ind w:left="5350" w:hanging="720"/>
      </w:pPr>
      <w:rPr>
        <w:rFonts w:hint="default"/>
        <w:lang w:val="en-US" w:eastAsia="en-US" w:bidi="ar-SA"/>
      </w:rPr>
    </w:lvl>
    <w:lvl w:ilvl="6">
      <w:start w:val="0"/>
      <w:numFmt w:val="bullet"/>
      <w:lvlText w:val="•"/>
      <w:lvlJc w:val="left"/>
      <w:pPr>
        <w:ind w:left="6244" w:hanging="720"/>
      </w:pPr>
      <w:rPr>
        <w:rFonts w:hint="default"/>
        <w:lang w:val="en-US" w:eastAsia="en-US" w:bidi="ar-SA"/>
      </w:rPr>
    </w:lvl>
    <w:lvl w:ilvl="7">
      <w:start w:val="0"/>
      <w:numFmt w:val="bullet"/>
      <w:lvlText w:val="•"/>
      <w:lvlJc w:val="left"/>
      <w:pPr>
        <w:ind w:left="7138" w:hanging="720"/>
      </w:pPr>
      <w:rPr>
        <w:rFonts w:hint="default"/>
        <w:lang w:val="en-US" w:eastAsia="en-US" w:bidi="ar-SA"/>
      </w:rPr>
    </w:lvl>
    <w:lvl w:ilvl="8">
      <w:start w:val="0"/>
      <w:numFmt w:val="bullet"/>
      <w:lvlText w:val="•"/>
      <w:lvlJc w:val="left"/>
      <w:pPr>
        <w:ind w:left="8032" w:hanging="720"/>
      </w:pPr>
      <w:rPr>
        <w:rFonts w:hint="default"/>
        <w:lang w:val="en-US" w:eastAsia="en-US" w:bidi="ar-SA"/>
      </w:rPr>
    </w:lvl>
  </w:abstractNum>
  <w:abstractNum w:abstractNumId="7">
    <w:multiLevelType w:val="hybridMultilevel"/>
    <w:lvl w:ilvl="0">
      <w:start w:val="3"/>
      <w:numFmt w:val="decimal"/>
      <w:lvlText w:val="%1"/>
      <w:lvlJc w:val="left"/>
      <w:pPr>
        <w:ind w:left="880" w:hanging="720"/>
        <w:jc w:val="left"/>
      </w:pPr>
      <w:rPr>
        <w:rFonts w:hint="default"/>
        <w:lang w:val="en-US" w:eastAsia="en-US" w:bidi="ar-SA"/>
      </w:rPr>
    </w:lvl>
    <w:lvl w:ilvl="1">
      <w:start w:val="10"/>
      <w:numFmt w:val="decimal"/>
      <w:lvlText w:val="%1.%2"/>
      <w:lvlJc w:val="left"/>
      <w:pPr>
        <w:ind w:left="880" w:hanging="720"/>
        <w:jc w:val="left"/>
      </w:pPr>
      <w:rPr>
        <w:rFonts w:hint="default"/>
        <w:lang w:val="en-US" w:eastAsia="en-US" w:bidi="ar-SA"/>
      </w:rPr>
    </w:lvl>
    <w:lvl w:ilvl="2">
      <w:start w:val="1"/>
      <w:numFmt w:val="decimal"/>
      <w:lvlText w:val="%1.%2.%3"/>
      <w:lvlJc w:val="left"/>
      <w:pPr>
        <w:ind w:left="880" w:hanging="720"/>
        <w:jc w:val="left"/>
      </w:pPr>
      <w:rPr>
        <w:rFonts w:hint="default" w:ascii="Arial MT" w:hAnsi="Arial MT" w:eastAsia="Arial MT" w:cs="Arial MT"/>
        <w:b w:val="0"/>
        <w:bCs w:val="0"/>
        <w:i w:val="0"/>
        <w:iCs w:val="0"/>
        <w:spacing w:val="0"/>
        <w:w w:val="99"/>
        <w:sz w:val="24"/>
        <w:szCs w:val="24"/>
        <w:lang w:val="en-US" w:eastAsia="en-US" w:bidi="ar-SA"/>
      </w:rPr>
    </w:lvl>
    <w:lvl w:ilvl="3">
      <w:start w:val="0"/>
      <w:numFmt w:val="bullet"/>
      <w:lvlText w:val="•"/>
      <w:lvlJc w:val="left"/>
      <w:pPr>
        <w:ind w:left="3562" w:hanging="720"/>
      </w:pPr>
      <w:rPr>
        <w:rFonts w:hint="default"/>
        <w:lang w:val="en-US" w:eastAsia="en-US" w:bidi="ar-SA"/>
      </w:rPr>
    </w:lvl>
    <w:lvl w:ilvl="4">
      <w:start w:val="0"/>
      <w:numFmt w:val="bullet"/>
      <w:lvlText w:val="•"/>
      <w:lvlJc w:val="left"/>
      <w:pPr>
        <w:ind w:left="4456" w:hanging="720"/>
      </w:pPr>
      <w:rPr>
        <w:rFonts w:hint="default"/>
        <w:lang w:val="en-US" w:eastAsia="en-US" w:bidi="ar-SA"/>
      </w:rPr>
    </w:lvl>
    <w:lvl w:ilvl="5">
      <w:start w:val="0"/>
      <w:numFmt w:val="bullet"/>
      <w:lvlText w:val="•"/>
      <w:lvlJc w:val="left"/>
      <w:pPr>
        <w:ind w:left="5350" w:hanging="720"/>
      </w:pPr>
      <w:rPr>
        <w:rFonts w:hint="default"/>
        <w:lang w:val="en-US" w:eastAsia="en-US" w:bidi="ar-SA"/>
      </w:rPr>
    </w:lvl>
    <w:lvl w:ilvl="6">
      <w:start w:val="0"/>
      <w:numFmt w:val="bullet"/>
      <w:lvlText w:val="•"/>
      <w:lvlJc w:val="left"/>
      <w:pPr>
        <w:ind w:left="6244" w:hanging="720"/>
      </w:pPr>
      <w:rPr>
        <w:rFonts w:hint="default"/>
        <w:lang w:val="en-US" w:eastAsia="en-US" w:bidi="ar-SA"/>
      </w:rPr>
    </w:lvl>
    <w:lvl w:ilvl="7">
      <w:start w:val="0"/>
      <w:numFmt w:val="bullet"/>
      <w:lvlText w:val="•"/>
      <w:lvlJc w:val="left"/>
      <w:pPr>
        <w:ind w:left="7138" w:hanging="720"/>
      </w:pPr>
      <w:rPr>
        <w:rFonts w:hint="default"/>
        <w:lang w:val="en-US" w:eastAsia="en-US" w:bidi="ar-SA"/>
      </w:rPr>
    </w:lvl>
    <w:lvl w:ilvl="8">
      <w:start w:val="0"/>
      <w:numFmt w:val="bullet"/>
      <w:lvlText w:val="•"/>
      <w:lvlJc w:val="left"/>
      <w:pPr>
        <w:ind w:left="8032" w:hanging="720"/>
      </w:pPr>
      <w:rPr>
        <w:rFonts w:hint="default"/>
        <w:lang w:val="en-US" w:eastAsia="en-US" w:bidi="ar-SA"/>
      </w:rPr>
    </w:lvl>
  </w:abstractNum>
  <w:abstractNum w:abstractNumId="6">
    <w:multiLevelType w:val="hybridMultilevel"/>
    <w:lvl w:ilvl="0">
      <w:start w:val="3"/>
      <w:numFmt w:val="decimal"/>
      <w:lvlText w:val="%1"/>
      <w:lvlJc w:val="left"/>
      <w:pPr>
        <w:ind w:left="697" w:hanging="538"/>
        <w:jc w:val="left"/>
      </w:pPr>
      <w:rPr>
        <w:rFonts w:hint="default"/>
        <w:lang w:val="en-US" w:eastAsia="en-US" w:bidi="ar-SA"/>
      </w:rPr>
    </w:lvl>
    <w:lvl w:ilvl="1">
      <w:start w:val="4"/>
      <w:numFmt w:val="decimal"/>
      <w:lvlText w:val="%1.%2"/>
      <w:lvlJc w:val="left"/>
      <w:pPr>
        <w:ind w:left="697" w:hanging="538"/>
        <w:jc w:val="left"/>
      </w:pPr>
      <w:rPr>
        <w:rFonts w:hint="default"/>
        <w:lang w:val="en-US" w:eastAsia="en-US" w:bidi="ar-SA"/>
      </w:rPr>
    </w:lvl>
    <w:lvl w:ilvl="2">
      <w:start w:val="1"/>
      <w:numFmt w:val="decimal"/>
      <w:lvlText w:val="%1.%2.%3"/>
      <w:lvlJc w:val="left"/>
      <w:pPr>
        <w:ind w:left="697" w:hanging="538"/>
        <w:jc w:val="left"/>
      </w:pPr>
      <w:rPr>
        <w:rFonts w:hint="default" w:ascii="Arial MT" w:hAnsi="Arial MT" w:eastAsia="Arial MT" w:cs="Arial MT"/>
        <w:b w:val="0"/>
        <w:bCs w:val="0"/>
        <w:i w:val="0"/>
        <w:iCs w:val="0"/>
        <w:spacing w:val="0"/>
        <w:w w:val="99"/>
        <w:sz w:val="22"/>
        <w:szCs w:val="22"/>
        <w:lang w:val="en-US" w:eastAsia="en-US" w:bidi="ar-SA"/>
      </w:rPr>
    </w:lvl>
    <w:lvl w:ilvl="3">
      <w:start w:val="0"/>
      <w:numFmt w:val="bullet"/>
      <w:lvlText w:val="•"/>
      <w:lvlJc w:val="left"/>
      <w:pPr>
        <w:ind w:left="3436" w:hanging="538"/>
      </w:pPr>
      <w:rPr>
        <w:rFonts w:hint="default"/>
        <w:lang w:val="en-US" w:eastAsia="en-US" w:bidi="ar-SA"/>
      </w:rPr>
    </w:lvl>
    <w:lvl w:ilvl="4">
      <w:start w:val="0"/>
      <w:numFmt w:val="bullet"/>
      <w:lvlText w:val="•"/>
      <w:lvlJc w:val="left"/>
      <w:pPr>
        <w:ind w:left="4348" w:hanging="538"/>
      </w:pPr>
      <w:rPr>
        <w:rFonts w:hint="default"/>
        <w:lang w:val="en-US" w:eastAsia="en-US" w:bidi="ar-SA"/>
      </w:rPr>
    </w:lvl>
    <w:lvl w:ilvl="5">
      <w:start w:val="0"/>
      <w:numFmt w:val="bullet"/>
      <w:lvlText w:val="•"/>
      <w:lvlJc w:val="left"/>
      <w:pPr>
        <w:ind w:left="5260" w:hanging="538"/>
      </w:pPr>
      <w:rPr>
        <w:rFonts w:hint="default"/>
        <w:lang w:val="en-US" w:eastAsia="en-US" w:bidi="ar-SA"/>
      </w:rPr>
    </w:lvl>
    <w:lvl w:ilvl="6">
      <w:start w:val="0"/>
      <w:numFmt w:val="bullet"/>
      <w:lvlText w:val="•"/>
      <w:lvlJc w:val="left"/>
      <w:pPr>
        <w:ind w:left="6172" w:hanging="538"/>
      </w:pPr>
      <w:rPr>
        <w:rFonts w:hint="default"/>
        <w:lang w:val="en-US" w:eastAsia="en-US" w:bidi="ar-SA"/>
      </w:rPr>
    </w:lvl>
    <w:lvl w:ilvl="7">
      <w:start w:val="0"/>
      <w:numFmt w:val="bullet"/>
      <w:lvlText w:val="•"/>
      <w:lvlJc w:val="left"/>
      <w:pPr>
        <w:ind w:left="7084" w:hanging="538"/>
      </w:pPr>
      <w:rPr>
        <w:rFonts w:hint="default"/>
        <w:lang w:val="en-US" w:eastAsia="en-US" w:bidi="ar-SA"/>
      </w:rPr>
    </w:lvl>
    <w:lvl w:ilvl="8">
      <w:start w:val="0"/>
      <w:numFmt w:val="bullet"/>
      <w:lvlText w:val="•"/>
      <w:lvlJc w:val="left"/>
      <w:pPr>
        <w:ind w:left="7996" w:hanging="538"/>
      </w:pPr>
      <w:rPr>
        <w:rFonts w:hint="default"/>
        <w:lang w:val="en-US" w:eastAsia="en-US" w:bidi="ar-SA"/>
      </w:rPr>
    </w:lvl>
  </w:abstractNum>
  <w:abstractNum w:abstractNumId="5">
    <w:multiLevelType w:val="hybridMultilevel"/>
    <w:lvl w:ilvl="0">
      <w:start w:val="2"/>
      <w:numFmt w:val="decimal"/>
      <w:lvlText w:val="%1"/>
      <w:lvlJc w:val="left"/>
      <w:pPr>
        <w:ind w:left="880" w:hanging="720"/>
        <w:jc w:val="left"/>
      </w:pPr>
      <w:rPr>
        <w:rFonts w:hint="default"/>
        <w:lang w:val="en-US" w:eastAsia="en-US" w:bidi="ar-SA"/>
      </w:rPr>
    </w:lvl>
    <w:lvl w:ilvl="1">
      <w:start w:val="1"/>
      <w:numFmt w:val="decimal"/>
      <w:lvlText w:val="%1.%2"/>
      <w:lvlJc w:val="left"/>
      <w:pPr>
        <w:ind w:left="880" w:hanging="720"/>
        <w:jc w:val="left"/>
      </w:pPr>
      <w:rPr>
        <w:rFonts w:hint="default" w:ascii="Arial MT" w:hAnsi="Arial MT" w:eastAsia="Arial MT" w:cs="Arial MT"/>
        <w:b w:val="0"/>
        <w:bCs w:val="0"/>
        <w:i w:val="0"/>
        <w:iCs w:val="0"/>
        <w:spacing w:val="0"/>
        <w:w w:val="99"/>
        <w:sz w:val="24"/>
        <w:szCs w:val="24"/>
        <w:lang w:val="en-US" w:eastAsia="en-US" w:bidi="ar-SA"/>
      </w:rPr>
    </w:lvl>
    <w:lvl w:ilvl="2">
      <w:start w:val="0"/>
      <w:numFmt w:val="bullet"/>
      <w:lvlText w:val="•"/>
      <w:lvlJc w:val="left"/>
      <w:pPr>
        <w:ind w:left="2668" w:hanging="720"/>
      </w:pPr>
      <w:rPr>
        <w:rFonts w:hint="default"/>
        <w:lang w:val="en-US" w:eastAsia="en-US" w:bidi="ar-SA"/>
      </w:rPr>
    </w:lvl>
    <w:lvl w:ilvl="3">
      <w:start w:val="0"/>
      <w:numFmt w:val="bullet"/>
      <w:lvlText w:val="•"/>
      <w:lvlJc w:val="left"/>
      <w:pPr>
        <w:ind w:left="3562" w:hanging="720"/>
      </w:pPr>
      <w:rPr>
        <w:rFonts w:hint="default"/>
        <w:lang w:val="en-US" w:eastAsia="en-US" w:bidi="ar-SA"/>
      </w:rPr>
    </w:lvl>
    <w:lvl w:ilvl="4">
      <w:start w:val="0"/>
      <w:numFmt w:val="bullet"/>
      <w:lvlText w:val="•"/>
      <w:lvlJc w:val="left"/>
      <w:pPr>
        <w:ind w:left="4456" w:hanging="720"/>
      </w:pPr>
      <w:rPr>
        <w:rFonts w:hint="default"/>
        <w:lang w:val="en-US" w:eastAsia="en-US" w:bidi="ar-SA"/>
      </w:rPr>
    </w:lvl>
    <w:lvl w:ilvl="5">
      <w:start w:val="0"/>
      <w:numFmt w:val="bullet"/>
      <w:lvlText w:val="•"/>
      <w:lvlJc w:val="left"/>
      <w:pPr>
        <w:ind w:left="5350" w:hanging="720"/>
      </w:pPr>
      <w:rPr>
        <w:rFonts w:hint="default"/>
        <w:lang w:val="en-US" w:eastAsia="en-US" w:bidi="ar-SA"/>
      </w:rPr>
    </w:lvl>
    <w:lvl w:ilvl="6">
      <w:start w:val="0"/>
      <w:numFmt w:val="bullet"/>
      <w:lvlText w:val="•"/>
      <w:lvlJc w:val="left"/>
      <w:pPr>
        <w:ind w:left="6244" w:hanging="720"/>
      </w:pPr>
      <w:rPr>
        <w:rFonts w:hint="default"/>
        <w:lang w:val="en-US" w:eastAsia="en-US" w:bidi="ar-SA"/>
      </w:rPr>
    </w:lvl>
    <w:lvl w:ilvl="7">
      <w:start w:val="0"/>
      <w:numFmt w:val="bullet"/>
      <w:lvlText w:val="•"/>
      <w:lvlJc w:val="left"/>
      <w:pPr>
        <w:ind w:left="7138" w:hanging="720"/>
      </w:pPr>
      <w:rPr>
        <w:rFonts w:hint="default"/>
        <w:lang w:val="en-US" w:eastAsia="en-US" w:bidi="ar-SA"/>
      </w:rPr>
    </w:lvl>
    <w:lvl w:ilvl="8">
      <w:start w:val="0"/>
      <w:numFmt w:val="bullet"/>
      <w:lvlText w:val="•"/>
      <w:lvlJc w:val="left"/>
      <w:pPr>
        <w:ind w:left="8032" w:hanging="720"/>
      </w:pPr>
      <w:rPr>
        <w:rFonts w:hint="default"/>
        <w:lang w:val="en-US" w:eastAsia="en-US" w:bidi="ar-SA"/>
      </w:rPr>
    </w:lvl>
  </w:abstractNum>
  <w:abstractNum w:abstractNumId="4">
    <w:multiLevelType w:val="hybridMultilevel"/>
    <w:lvl w:ilvl="0">
      <w:start w:val="5"/>
      <w:numFmt w:val="decimal"/>
      <w:lvlText w:val="%1"/>
      <w:lvlJc w:val="left"/>
      <w:pPr>
        <w:ind w:left="880" w:hanging="720"/>
        <w:jc w:val="left"/>
      </w:pPr>
      <w:rPr>
        <w:rFonts w:hint="default"/>
        <w:lang w:val="en-US" w:eastAsia="en-US" w:bidi="ar-SA"/>
      </w:rPr>
    </w:lvl>
    <w:lvl w:ilvl="1">
      <w:start w:val="1"/>
      <w:numFmt w:val="decimal"/>
      <w:lvlText w:val="%1.%2"/>
      <w:lvlJc w:val="left"/>
      <w:pPr>
        <w:ind w:left="880" w:hanging="720"/>
        <w:jc w:val="left"/>
      </w:pPr>
      <w:rPr>
        <w:rFonts w:hint="default" w:ascii="Arial MT" w:hAnsi="Arial MT" w:eastAsia="Arial MT" w:cs="Arial MT"/>
        <w:b w:val="0"/>
        <w:bCs w:val="0"/>
        <w:i w:val="0"/>
        <w:iCs w:val="0"/>
        <w:spacing w:val="0"/>
        <w:w w:val="99"/>
        <w:sz w:val="24"/>
        <w:szCs w:val="24"/>
        <w:lang w:val="en-US" w:eastAsia="en-US" w:bidi="ar-SA"/>
      </w:rPr>
    </w:lvl>
    <w:lvl w:ilvl="2">
      <w:start w:val="1"/>
      <w:numFmt w:val="decimal"/>
      <w:lvlText w:val="%1.%2.%3"/>
      <w:lvlJc w:val="left"/>
      <w:pPr>
        <w:ind w:left="880" w:hanging="720"/>
        <w:jc w:val="left"/>
      </w:pPr>
      <w:rPr>
        <w:rFonts w:hint="default" w:ascii="Arial MT" w:hAnsi="Arial MT" w:eastAsia="Arial MT" w:cs="Arial MT"/>
        <w:b w:val="0"/>
        <w:bCs w:val="0"/>
        <w:i w:val="0"/>
        <w:iCs w:val="0"/>
        <w:spacing w:val="0"/>
        <w:w w:val="99"/>
        <w:sz w:val="24"/>
        <w:szCs w:val="24"/>
        <w:lang w:val="en-US" w:eastAsia="en-US" w:bidi="ar-SA"/>
      </w:rPr>
    </w:lvl>
    <w:lvl w:ilvl="3">
      <w:start w:val="1"/>
      <w:numFmt w:val="decimal"/>
      <w:lvlText w:val="%1.%2.%3.%4"/>
      <w:lvlJc w:val="left"/>
      <w:pPr>
        <w:ind w:left="1240" w:hanging="1080"/>
        <w:jc w:val="left"/>
      </w:pPr>
      <w:rPr>
        <w:rFonts w:hint="default" w:ascii="Arial MT" w:hAnsi="Arial MT" w:eastAsia="Arial MT" w:cs="Arial MT"/>
        <w:b w:val="0"/>
        <w:bCs w:val="0"/>
        <w:i w:val="0"/>
        <w:iCs w:val="0"/>
        <w:spacing w:val="0"/>
        <w:w w:val="99"/>
        <w:sz w:val="24"/>
        <w:szCs w:val="24"/>
        <w:lang w:val="en-US" w:eastAsia="en-US" w:bidi="ar-SA"/>
      </w:rPr>
    </w:lvl>
    <w:lvl w:ilvl="4">
      <w:start w:val="0"/>
      <w:numFmt w:val="bullet"/>
      <w:lvlText w:val="•"/>
      <w:lvlJc w:val="left"/>
      <w:pPr>
        <w:ind w:left="4100" w:hanging="1080"/>
      </w:pPr>
      <w:rPr>
        <w:rFonts w:hint="default"/>
        <w:lang w:val="en-US" w:eastAsia="en-US" w:bidi="ar-SA"/>
      </w:rPr>
    </w:lvl>
    <w:lvl w:ilvl="5">
      <w:start w:val="0"/>
      <w:numFmt w:val="bullet"/>
      <w:lvlText w:val="•"/>
      <w:lvlJc w:val="left"/>
      <w:pPr>
        <w:ind w:left="5053" w:hanging="1080"/>
      </w:pPr>
      <w:rPr>
        <w:rFonts w:hint="default"/>
        <w:lang w:val="en-US" w:eastAsia="en-US" w:bidi="ar-SA"/>
      </w:rPr>
    </w:lvl>
    <w:lvl w:ilvl="6">
      <w:start w:val="0"/>
      <w:numFmt w:val="bullet"/>
      <w:lvlText w:val="•"/>
      <w:lvlJc w:val="left"/>
      <w:pPr>
        <w:ind w:left="6006" w:hanging="1080"/>
      </w:pPr>
      <w:rPr>
        <w:rFonts w:hint="default"/>
        <w:lang w:val="en-US" w:eastAsia="en-US" w:bidi="ar-SA"/>
      </w:rPr>
    </w:lvl>
    <w:lvl w:ilvl="7">
      <w:start w:val="0"/>
      <w:numFmt w:val="bullet"/>
      <w:lvlText w:val="•"/>
      <w:lvlJc w:val="left"/>
      <w:pPr>
        <w:ind w:left="6960" w:hanging="1080"/>
      </w:pPr>
      <w:rPr>
        <w:rFonts w:hint="default"/>
        <w:lang w:val="en-US" w:eastAsia="en-US" w:bidi="ar-SA"/>
      </w:rPr>
    </w:lvl>
    <w:lvl w:ilvl="8">
      <w:start w:val="0"/>
      <w:numFmt w:val="bullet"/>
      <w:lvlText w:val="•"/>
      <w:lvlJc w:val="left"/>
      <w:pPr>
        <w:ind w:left="7913" w:hanging="1080"/>
      </w:pPr>
      <w:rPr>
        <w:rFonts w:hint="default"/>
        <w:lang w:val="en-US" w:eastAsia="en-US" w:bidi="ar-SA"/>
      </w:rPr>
    </w:lvl>
  </w:abstractNum>
  <w:abstractNum w:abstractNumId="3">
    <w:multiLevelType w:val="hybridMultilevel"/>
    <w:lvl w:ilvl="0">
      <w:start w:val="4"/>
      <w:numFmt w:val="decimal"/>
      <w:lvlText w:val="%1"/>
      <w:lvlJc w:val="left"/>
      <w:pPr>
        <w:ind w:left="880" w:hanging="720"/>
        <w:jc w:val="left"/>
      </w:pPr>
      <w:rPr>
        <w:rFonts w:hint="default"/>
        <w:lang w:val="en-US" w:eastAsia="en-US" w:bidi="ar-SA"/>
      </w:rPr>
    </w:lvl>
    <w:lvl w:ilvl="1">
      <w:start w:val="1"/>
      <w:numFmt w:val="decimal"/>
      <w:lvlText w:val="%1.%2"/>
      <w:lvlJc w:val="left"/>
      <w:pPr>
        <w:ind w:left="880" w:hanging="720"/>
        <w:jc w:val="left"/>
      </w:pPr>
      <w:rPr>
        <w:rFonts w:hint="default" w:ascii="Arial MT" w:hAnsi="Arial MT" w:eastAsia="Arial MT" w:cs="Arial MT"/>
        <w:b w:val="0"/>
        <w:bCs w:val="0"/>
        <w:i w:val="0"/>
        <w:iCs w:val="0"/>
        <w:spacing w:val="0"/>
        <w:w w:val="99"/>
        <w:sz w:val="24"/>
        <w:szCs w:val="24"/>
        <w:lang w:val="en-US" w:eastAsia="en-US" w:bidi="ar-SA"/>
      </w:rPr>
    </w:lvl>
    <w:lvl w:ilvl="2">
      <w:start w:val="1"/>
      <w:numFmt w:val="decimal"/>
      <w:lvlText w:val="%1.%2.%3"/>
      <w:lvlJc w:val="left"/>
      <w:pPr>
        <w:ind w:left="880" w:hanging="720"/>
        <w:jc w:val="left"/>
      </w:pPr>
      <w:rPr>
        <w:rFonts w:hint="default" w:ascii="Arial MT" w:hAnsi="Arial MT" w:eastAsia="Arial MT" w:cs="Arial MT"/>
        <w:b w:val="0"/>
        <w:bCs w:val="0"/>
        <w:i w:val="0"/>
        <w:iCs w:val="0"/>
        <w:spacing w:val="0"/>
        <w:w w:val="99"/>
        <w:sz w:val="24"/>
        <w:szCs w:val="24"/>
        <w:lang w:val="en-US" w:eastAsia="en-US" w:bidi="ar-SA"/>
      </w:rPr>
    </w:lvl>
    <w:lvl w:ilvl="3">
      <w:start w:val="1"/>
      <w:numFmt w:val="decimal"/>
      <w:lvlText w:val="%1.%2.%3.%4"/>
      <w:lvlJc w:val="left"/>
      <w:pPr>
        <w:ind w:left="965" w:hanging="806"/>
        <w:jc w:val="right"/>
      </w:pPr>
      <w:rPr>
        <w:rFonts w:hint="default" w:ascii="Arial MT" w:hAnsi="Arial MT" w:eastAsia="Arial MT" w:cs="Arial MT"/>
        <w:b w:val="0"/>
        <w:bCs w:val="0"/>
        <w:i w:val="0"/>
        <w:iCs w:val="0"/>
        <w:spacing w:val="0"/>
        <w:w w:val="99"/>
        <w:sz w:val="24"/>
        <w:szCs w:val="24"/>
        <w:lang w:val="en-US" w:eastAsia="en-US" w:bidi="ar-SA"/>
      </w:rPr>
    </w:lvl>
    <w:lvl w:ilvl="4">
      <w:start w:val="0"/>
      <w:numFmt w:val="bullet"/>
      <w:lvlText w:val="•"/>
      <w:lvlJc w:val="left"/>
      <w:pPr>
        <w:ind w:left="3913" w:hanging="806"/>
      </w:pPr>
      <w:rPr>
        <w:rFonts w:hint="default"/>
        <w:lang w:val="en-US" w:eastAsia="en-US" w:bidi="ar-SA"/>
      </w:rPr>
    </w:lvl>
    <w:lvl w:ilvl="5">
      <w:start w:val="0"/>
      <w:numFmt w:val="bullet"/>
      <w:lvlText w:val="•"/>
      <w:lvlJc w:val="left"/>
      <w:pPr>
        <w:ind w:left="4897" w:hanging="806"/>
      </w:pPr>
      <w:rPr>
        <w:rFonts w:hint="default"/>
        <w:lang w:val="en-US" w:eastAsia="en-US" w:bidi="ar-SA"/>
      </w:rPr>
    </w:lvl>
    <w:lvl w:ilvl="6">
      <w:start w:val="0"/>
      <w:numFmt w:val="bullet"/>
      <w:lvlText w:val="•"/>
      <w:lvlJc w:val="left"/>
      <w:pPr>
        <w:ind w:left="5882" w:hanging="806"/>
      </w:pPr>
      <w:rPr>
        <w:rFonts w:hint="default"/>
        <w:lang w:val="en-US" w:eastAsia="en-US" w:bidi="ar-SA"/>
      </w:rPr>
    </w:lvl>
    <w:lvl w:ilvl="7">
      <w:start w:val="0"/>
      <w:numFmt w:val="bullet"/>
      <w:lvlText w:val="•"/>
      <w:lvlJc w:val="left"/>
      <w:pPr>
        <w:ind w:left="6866" w:hanging="806"/>
      </w:pPr>
      <w:rPr>
        <w:rFonts w:hint="default"/>
        <w:lang w:val="en-US" w:eastAsia="en-US" w:bidi="ar-SA"/>
      </w:rPr>
    </w:lvl>
    <w:lvl w:ilvl="8">
      <w:start w:val="0"/>
      <w:numFmt w:val="bullet"/>
      <w:lvlText w:val="•"/>
      <w:lvlJc w:val="left"/>
      <w:pPr>
        <w:ind w:left="7851" w:hanging="806"/>
      </w:pPr>
      <w:rPr>
        <w:rFonts w:hint="default"/>
        <w:lang w:val="en-US" w:eastAsia="en-US" w:bidi="ar-SA"/>
      </w:rPr>
    </w:lvl>
  </w:abstractNum>
  <w:abstractNum w:abstractNumId="2">
    <w:multiLevelType w:val="hybridMultilevel"/>
    <w:lvl w:ilvl="0">
      <w:start w:val="3"/>
      <w:numFmt w:val="decimal"/>
      <w:lvlText w:val="%1"/>
      <w:lvlJc w:val="left"/>
      <w:pPr>
        <w:ind w:left="880" w:hanging="720"/>
        <w:jc w:val="left"/>
      </w:pPr>
      <w:rPr>
        <w:rFonts w:hint="default"/>
        <w:lang w:val="en-US" w:eastAsia="en-US" w:bidi="ar-SA"/>
      </w:rPr>
    </w:lvl>
    <w:lvl w:ilvl="1">
      <w:start w:val="1"/>
      <w:numFmt w:val="decimal"/>
      <w:lvlText w:val="%1.%2"/>
      <w:lvlJc w:val="left"/>
      <w:pPr>
        <w:ind w:left="880" w:hanging="720"/>
        <w:jc w:val="left"/>
      </w:pPr>
      <w:rPr>
        <w:rFonts w:hint="default" w:ascii="Arial MT" w:hAnsi="Arial MT" w:eastAsia="Arial MT" w:cs="Arial MT"/>
        <w:b w:val="0"/>
        <w:bCs w:val="0"/>
        <w:i w:val="0"/>
        <w:iCs w:val="0"/>
        <w:spacing w:val="0"/>
        <w:w w:val="99"/>
        <w:sz w:val="24"/>
        <w:szCs w:val="24"/>
        <w:lang w:val="en-US" w:eastAsia="en-US" w:bidi="ar-SA"/>
      </w:rPr>
    </w:lvl>
    <w:lvl w:ilvl="2">
      <w:start w:val="0"/>
      <w:numFmt w:val="bullet"/>
      <w:lvlText w:val="•"/>
      <w:lvlJc w:val="left"/>
      <w:pPr>
        <w:ind w:left="2668" w:hanging="720"/>
      </w:pPr>
      <w:rPr>
        <w:rFonts w:hint="default"/>
        <w:lang w:val="en-US" w:eastAsia="en-US" w:bidi="ar-SA"/>
      </w:rPr>
    </w:lvl>
    <w:lvl w:ilvl="3">
      <w:start w:val="0"/>
      <w:numFmt w:val="bullet"/>
      <w:lvlText w:val="•"/>
      <w:lvlJc w:val="left"/>
      <w:pPr>
        <w:ind w:left="3562" w:hanging="720"/>
      </w:pPr>
      <w:rPr>
        <w:rFonts w:hint="default"/>
        <w:lang w:val="en-US" w:eastAsia="en-US" w:bidi="ar-SA"/>
      </w:rPr>
    </w:lvl>
    <w:lvl w:ilvl="4">
      <w:start w:val="0"/>
      <w:numFmt w:val="bullet"/>
      <w:lvlText w:val="•"/>
      <w:lvlJc w:val="left"/>
      <w:pPr>
        <w:ind w:left="4456" w:hanging="720"/>
      </w:pPr>
      <w:rPr>
        <w:rFonts w:hint="default"/>
        <w:lang w:val="en-US" w:eastAsia="en-US" w:bidi="ar-SA"/>
      </w:rPr>
    </w:lvl>
    <w:lvl w:ilvl="5">
      <w:start w:val="0"/>
      <w:numFmt w:val="bullet"/>
      <w:lvlText w:val="•"/>
      <w:lvlJc w:val="left"/>
      <w:pPr>
        <w:ind w:left="5350" w:hanging="720"/>
      </w:pPr>
      <w:rPr>
        <w:rFonts w:hint="default"/>
        <w:lang w:val="en-US" w:eastAsia="en-US" w:bidi="ar-SA"/>
      </w:rPr>
    </w:lvl>
    <w:lvl w:ilvl="6">
      <w:start w:val="0"/>
      <w:numFmt w:val="bullet"/>
      <w:lvlText w:val="•"/>
      <w:lvlJc w:val="left"/>
      <w:pPr>
        <w:ind w:left="6244" w:hanging="720"/>
      </w:pPr>
      <w:rPr>
        <w:rFonts w:hint="default"/>
        <w:lang w:val="en-US" w:eastAsia="en-US" w:bidi="ar-SA"/>
      </w:rPr>
    </w:lvl>
    <w:lvl w:ilvl="7">
      <w:start w:val="0"/>
      <w:numFmt w:val="bullet"/>
      <w:lvlText w:val="•"/>
      <w:lvlJc w:val="left"/>
      <w:pPr>
        <w:ind w:left="7138" w:hanging="720"/>
      </w:pPr>
      <w:rPr>
        <w:rFonts w:hint="default"/>
        <w:lang w:val="en-US" w:eastAsia="en-US" w:bidi="ar-SA"/>
      </w:rPr>
    </w:lvl>
    <w:lvl w:ilvl="8">
      <w:start w:val="0"/>
      <w:numFmt w:val="bullet"/>
      <w:lvlText w:val="•"/>
      <w:lvlJc w:val="left"/>
      <w:pPr>
        <w:ind w:left="8032" w:hanging="720"/>
      </w:pPr>
      <w:rPr>
        <w:rFonts w:hint="default"/>
        <w:lang w:val="en-US" w:eastAsia="en-US" w:bidi="ar-SA"/>
      </w:rPr>
    </w:lvl>
  </w:abstractNum>
  <w:abstractNum w:abstractNumId="1">
    <w:multiLevelType w:val="hybridMultilevel"/>
    <w:lvl w:ilvl="0">
      <w:start w:val="2"/>
      <w:numFmt w:val="decimal"/>
      <w:lvlText w:val="%1"/>
      <w:lvlJc w:val="left"/>
      <w:pPr>
        <w:ind w:left="880" w:hanging="720"/>
        <w:jc w:val="left"/>
      </w:pPr>
      <w:rPr>
        <w:rFonts w:hint="default"/>
        <w:lang w:val="en-US" w:eastAsia="en-US" w:bidi="ar-SA"/>
      </w:rPr>
    </w:lvl>
    <w:lvl w:ilvl="1">
      <w:start w:val="1"/>
      <w:numFmt w:val="decimal"/>
      <w:lvlText w:val="%1.%2"/>
      <w:lvlJc w:val="left"/>
      <w:pPr>
        <w:ind w:left="880" w:hanging="720"/>
        <w:jc w:val="left"/>
      </w:pPr>
      <w:rPr>
        <w:rFonts w:hint="default" w:ascii="Arial MT" w:hAnsi="Arial MT" w:eastAsia="Arial MT" w:cs="Arial MT"/>
        <w:b w:val="0"/>
        <w:bCs w:val="0"/>
        <w:i w:val="0"/>
        <w:iCs w:val="0"/>
        <w:spacing w:val="0"/>
        <w:w w:val="99"/>
        <w:sz w:val="24"/>
        <w:szCs w:val="24"/>
        <w:lang w:val="en-US" w:eastAsia="en-US" w:bidi="ar-SA"/>
      </w:rPr>
    </w:lvl>
    <w:lvl w:ilvl="2">
      <w:start w:val="1"/>
      <w:numFmt w:val="decimal"/>
      <w:lvlText w:val="%1.%2.%3"/>
      <w:lvlJc w:val="left"/>
      <w:pPr>
        <w:ind w:left="880" w:hanging="720"/>
        <w:jc w:val="left"/>
      </w:pPr>
      <w:rPr>
        <w:rFonts w:hint="default" w:ascii="Arial MT" w:hAnsi="Arial MT" w:eastAsia="Arial MT" w:cs="Arial MT"/>
        <w:b w:val="0"/>
        <w:bCs w:val="0"/>
        <w:i w:val="0"/>
        <w:iCs w:val="0"/>
        <w:spacing w:val="0"/>
        <w:w w:val="99"/>
        <w:sz w:val="24"/>
        <w:szCs w:val="24"/>
        <w:lang w:val="en-US" w:eastAsia="en-US" w:bidi="ar-SA"/>
      </w:rPr>
    </w:lvl>
    <w:lvl w:ilvl="3">
      <w:start w:val="1"/>
      <w:numFmt w:val="decimal"/>
      <w:lvlText w:val="%1.%2.%3.%4"/>
      <w:lvlJc w:val="left"/>
      <w:pPr>
        <w:ind w:left="1600" w:hanging="1440"/>
        <w:jc w:val="left"/>
      </w:pPr>
      <w:rPr>
        <w:rFonts w:hint="default" w:ascii="Arial MT" w:hAnsi="Arial MT" w:eastAsia="Arial MT" w:cs="Arial MT"/>
        <w:b w:val="0"/>
        <w:bCs w:val="0"/>
        <w:i w:val="0"/>
        <w:iCs w:val="0"/>
        <w:spacing w:val="0"/>
        <w:w w:val="99"/>
        <w:sz w:val="24"/>
        <w:szCs w:val="24"/>
        <w:lang w:val="en-US" w:eastAsia="en-US" w:bidi="ar-SA"/>
      </w:rPr>
    </w:lvl>
    <w:lvl w:ilvl="4">
      <w:start w:val="0"/>
      <w:numFmt w:val="bullet"/>
      <w:lvlText w:val="•"/>
      <w:lvlJc w:val="left"/>
      <w:pPr>
        <w:ind w:left="3655" w:hanging="1440"/>
      </w:pPr>
      <w:rPr>
        <w:rFonts w:hint="default"/>
        <w:lang w:val="en-US" w:eastAsia="en-US" w:bidi="ar-SA"/>
      </w:rPr>
    </w:lvl>
    <w:lvl w:ilvl="5">
      <w:start w:val="0"/>
      <w:numFmt w:val="bullet"/>
      <w:lvlText w:val="•"/>
      <w:lvlJc w:val="left"/>
      <w:pPr>
        <w:ind w:left="4682" w:hanging="1440"/>
      </w:pPr>
      <w:rPr>
        <w:rFonts w:hint="default"/>
        <w:lang w:val="en-US" w:eastAsia="en-US" w:bidi="ar-SA"/>
      </w:rPr>
    </w:lvl>
    <w:lvl w:ilvl="6">
      <w:start w:val="0"/>
      <w:numFmt w:val="bullet"/>
      <w:lvlText w:val="•"/>
      <w:lvlJc w:val="left"/>
      <w:pPr>
        <w:ind w:left="5710" w:hanging="1440"/>
      </w:pPr>
      <w:rPr>
        <w:rFonts w:hint="default"/>
        <w:lang w:val="en-US" w:eastAsia="en-US" w:bidi="ar-SA"/>
      </w:rPr>
    </w:lvl>
    <w:lvl w:ilvl="7">
      <w:start w:val="0"/>
      <w:numFmt w:val="bullet"/>
      <w:lvlText w:val="•"/>
      <w:lvlJc w:val="left"/>
      <w:pPr>
        <w:ind w:left="6737" w:hanging="1440"/>
      </w:pPr>
      <w:rPr>
        <w:rFonts w:hint="default"/>
        <w:lang w:val="en-US" w:eastAsia="en-US" w:bidi="ar-SA"/>
      </w:rPr>
    </w:lvl>
    <w:lvl w:ilvl="8">
      <w:start w:val="0"/>
      <w:numFmt w:val="bullet"/>
      <w:lvlText w:val="•"/>
      <w:lvlJc w:val="left"/>
      <w:pPr>
        <w:ind w:left="7765" w:hanging="1440"/>
      </w:pPr>
      <w:rPr>
        <w:rFonts w:hint="default"/>
        <w:lang w:val="en-US" w:eastAsia="en-US" w:bidi="ar-SA"/>
      </w:rPr>
    </w:lvl>
  </w:abstractNum>
  <w:abstractNum w:abstractNumId="0">
    <w:multiLevelType w:val="hybridMultilevel"/>
    <w:lvl w:ilvl="0">
      <w:start w:val="1"/>
      <w:numFmt w:val="decimal"/>
      <w:lvlText w:val="%1"/>
      <w:lvlJc w:val="left"/>
      <w:pPr>
        <w:ind w:left="880" w:hanging="720"/>
        <w:jc w:val="left"/>
      </w:pPr>
      <w:rPr>
        <w:rFonts w:hint="default"/>
        <w:lang w:val="en-US" w:eastAsia="en-US" w:bidi="ar-SA"/>
      </w:rPr>
    </w:lvl>
    <w:lvl w:ilvl="1">
      <w:start w:val="1"/>
      <w:numFmt w:val="decimal"/>
      <w:lvlText w:val="%1.%2"/>
      <w:lvlJc w:val="left"/>
      <w:pPr>
        <w:ind w:left="880" w:hanging="720"/>
        <w:jc w:val="left"/>
      </w:pPr>
      <w:rPr>
        <w:rFonts w:hint="default" w:ascii="Arial MT" w:hAnsi="Arial MT" w:eastAsia="Arial MT" w:cs="Arial MT"/>
        <w:b w:val="0"/>
        <w:bCs w:val="0"/>
        <w:i w:val="0"/>
        <w:iCs w:val="0"/>
        <w:spacing w:val="0"/>
        <w:w w:val="99"/>
        <w:sz w:val="24"/>
        <w:szCs w:val="24"/>
        <w:lang w:val="en-US" w:eastAsia="en-US" w:bidi="ar-SA"/>
      </w:rPr>
    </w:lvl>
    <w:lvl w:ilvl="2">
      <w:start w:val="0"/>
      <w:numFmt w:val="bullet"/>
      <w:lvlText w:val="•"/>
      <w:lvlJc w:val="left"/>
      <w:pPr>
        <w:ind w:left="2668" w:hanging="720"/>
      </w:pPr>
      <w:rPr>
        <w:rFonts w:hint="default"/>
        <w:lang w:val="en-US" w:eastAsia="en-US" w:bidi="ar-SA"/>
      </w:rPr>
    </w:lvl>
    <w:lvl w:ilvl="3">
      <w:start w:val="0"/>
      <w:numFmt w:val="bullet"/>
      <w:lvlText w:val="•"/>
      <w:lvlJc w:val="left"/>
      <w:pPr>
        <w:ind w:left="3562" w:hanging="720"/>
      </w:pPr>
      <w:rPr>
        <w:rFonts w:hint="default"/>
        <w:lang w:val="en-US" w:eastAsia="en-US" w:bidi="ar-SA"/>
      </w:rPr>
    </w:lvl>
    <w:lvl w:ilvl="4">
      <w:start w:val="0"/>
      <w:numFmt w:val="bullet"/>
      <w:lvlText w:val="•"/>
      <w:lvlJc w:val="left"/>
      <w:pPr>
        <w:ind w:left="4456" w:hanging="720"/>
      </w:pPr>
      <w:rPr>
        <w:rFonts w:hint="default"/>
        <w:lang w:val="en-US" w:eastAsia="en-US" w:bidi="ar-SA"/>
      </w:rPr>
    </w:lvl>
    <w:lvl w:ilvl="5">
      <w:start w:val="0"/>
      <w:numFmt w:val="bullet"/>
      <w:lvlText w:val="•"/>
      <w:lvlJc w:val="left"/>
      <w:pPr>
        <w:ind w:left="5350" w:hanging="720"/>
      </w:pPr>
      <w:rPr>
        <w:rFonts w:hint="default"/>
        <w:lang w:val="en-US" w:eastAsia="en-US" w:bidi="ar-SA"/>
      </w:rPr>
    </w:lvl>
    <w:lvl w:ilvl="6">
      <w:start w:val="0"/>
      <w:numFmt w:val="bullet"/>
      <w:lvlText w:val="•"/>
      <w:lvlJc w:val="left"/>
      <w:pPr>
        <w:ind w:left="6244" w:hanging="720"/>
      </w:pPr>
      <w:rPr>
        <w:rFonts w:hint="default"/>
        <w:lang w:val="en-US" w:eastAsia="en-US" w:bidi="ar-SA"/>
      </w:rPr>
    </w:lvl>
    <w:lvl w:ilvl="7">
      <w:start w:val="0"/>
      <w:numFmt w:val="bullet"/>
      <w:lvlText w:val="•"/>
      <w:lvlJc w:val="left"/>
      <w:pPr>
        <w:ind w:left="7138" w:hanging="720"/>
      </w:pPr>
      <w:rPr>
        <w:rFonts w:hint="default"/>
        <w:lang w:val="en-US" w:eastAsia="en-US" w:bidi="ar-SA"/>
      </w:rPr>
    </w:lvl>
    <w:lvl w:ilvl="8">
      <w:start w:val="0"/>
      <w:numFmt w:val="bullet"/>
      <w:lvlText w:val="•"/>
      <w:lvlJc w:val="left"/>
      <w:pPr>
        <w:ind w:left="8032" w:hanging="720"/>
      </w:pPr>
      <w:rPr>
        <w:rFonts w:hint="default"/>
        <w:lang w:val="en-US" w:eastAsia="en-US" w:bidi="ar-SA"/>
      </w:rPr>
    </w:lvl>
  </w:abstractNum>
  <w:num w:numId="32">
    <w:abstractNumId w:val="31"/>
  </w:num>
  <w:num w:numId="54">
    <w:abstractNumId w:val="53"/>
  </w:num>
  <w:num w:numId="53">
    <w:abstractNumId w:val="52"/>
  </w:num>
  <w:num w:numId="52">
    <w:abstractNumId w:val="51"/>
  </w:num>
  <w:num w:numId="51">
    <w:abstractNumId w:val="50"/>
  </w:num>
  <w:num w:numId="50">
    <w:abstractNumId w:val="49"/>
  </w:num>
  <w:num w:numId="46">
    <w:abstractNumId w:val="45"/>
  </w:num>
  <w:num w:numId="47">
    <w:abstractNumId w:val="46"/>
  </w:num>
  <w:num w:numId="48">
    <w:abstractNumId w:val="47"/>
  </w:num>
  <w:num w:numId="49">
    <w:abstractNumId w:val="48"/>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0">
    <w:abstractNumId w:val="19"/>
  </w:num>
  <w:num w:numId="22">
    <w:abstractNumId w:val="21"/>
  </w:num>
  <w:num w:numId="21">
    <w:abstractNumId w:val="20"/>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MT" w:hAnsi="Arial MT" w:eastAsia="Arial MT" w:cs="Arial MT"/>
      <w:lang w:val="en-US" w:eastAsia="en-US" w:bidi="ar-SA"/>
    </w:rPr>
  </w:style>
  <w:style w:styleId="TOC1" w:type="paragraph">
    <w:name w:val="TOC 1"/>
    <w:basedOn w:val="Normal"/>
    <w:uiPriority w:val="1"/>
    <w:qFormat/>
    <w:pPr>
      <w:spacing w:before="276"/>
      <w:ind w:left="879" w:hanging="719"/>
    </w:pPr>
    <w:rPr>
      <w:rFonts w:ascii="Arial MT" w:hAnsi="Arial MT" w:eastAsia="Arial MT" w:cs="Arial MT"/>
      <w:sz w:val="24"/>
      <w:szCs w:val="24"/>
      <w:lang w:val="en-US" w:eastAsia="en-US" w:bidi="ar-SA"/>
    </w:rPr>
  </w:style>
  <w:style w:styleId="TOC2" w:type="paragraph">
    <w:name w:val="TOC 2"/>
    <w:basedOn w:val="Normal"/>
    <w:uiPriority w:val="1"/>
    <w:qFormat/>
    <w:pPr>
      <w:spacing w:before="5"/>
      <w:ind w:left="880" w:right="2323" w:hanging="653"/>
    </w:pPr>
    <w:rPr>
      <w:rFonts w:ascii="Arial MT" w:hAnsi="Arial MT" w:eastAsia="Arial MT" w:cs="Arial MT"/>
      <w:sz w:val="24"/>
      <w:szCs w:val="24"/>
      <w:lang w:val="en-US" w:eastAsia="en-US" w:bidi="ar-SA"/>
    </w:rPr>
  </w:style>
  <w:style w:styleId="TOC3" w:type="paragraph">
    <w:name w:val="TOC 3"/>
    <w:basedOn w:val="Normal"/>
    <w:uiPriority w:val="1"/>
    <w:qFormat/>
    <w:pPr>
      <w:spacing w:before="272"/>
      <w:ind w:left="880"/>
    </w:pPr>
    <w:rPr>
      <w:rFonts w:ascii="Arial" w:hAnsi="Arial" w:eastAsia="Arial" w:cs="Arial"/>
      <w:b/>
      <w:bCs/>
      <w:sz w:val="28"/>
      <w:szCs w:val="28"/>
      <w:lang w:val="en-US" w:eastAsia="en-US" w:bidi="ar-SA"/>
    </w:rPr>
  </w:style>
  <w:style w:styleId="TOC4" w:type="paragraph">
    <w:name w:val="TOC 4"/>
    <w:basedOn w:val="Normal"/>
    <w:uiPriority w:val="1"/>
    <w:qFormat/>
    <w:pPr>
      <w:ind w:left="880"/>
    </w:pPr>
    <w:rPr>
      <w:rFonts w:ascii="Arial MT" w:hAnsi="Arial MT" w:eastAsia="Arial MT" w:cs="Arial MT"/>
      <w:sz w:val="24"/>
      <w:szCs w:val="24"/>
      <w:lang w:val="en-US" w:eastAsia="en-US" w:bidi="ar-SA"/>
    </w:rPr>
  </w:style>
  <w:style w:styleId="TOC5" w:type="paragraph">
    <w:name w:val="TOC 5"/>
    <w:basedOn w:val="Normal"/>
    <w:uiPriority w:val="1"/>
    <w:qFormat/>
    <w:pPr>
      <w:spacing w:line="275" w:lineRule="exact"/>
      <w:ind w:left="1014"/>
    </w:pPr>
    <w:rPr>
      <w:rFonts w:ascii="Arial MT" w:hAnsi="Arial MT" w:eastAsia="Arial MT" w:cs="Arial MT"/>
      <w:sz w:val="24"/>
      <w:szCs w:val="24"/>
      <w:lang w:val="en-US" w:eastAsia="en-US" w:bidi="ar-SA"/>
    </w:rPr>
  </w:style>
  <w:style w:styleId="TOC6" w:type="paragraph">
    <w:name w:val="TOC 6"/>
    <w:basedOn w:val="Normal"/>
    <w:uiPriority w:val="1"/>
    <w:qFormat/>
    <w:pPr>
      <w:spacing w:line="275" w:lineRule="exact"/>
      <w:ind w:left="1062"/>
    </w:pPr>
    <w:rPr>
      <w:rFonts w:ascii="Arial MT" w:hAnsi="Arial MT" w:eastAsia="Arial MT" w:cs="Arial MT"/>
      <w:sz w:val="24"/>
      <w:szCs w:val="24"/>
      <w:lang w:val="en-US" w:eastAsia="en-US" w:bidi="ar-SA"/>
    </w:rPr>
  </w:style>
  <w:style w:styleId="TOC7" w:type="paragraph">
    <w:name w:val="TOC 7"/>
    <w:basedOn w:val="Normal"/>
    <w:uiPriority w:val="1"/>
    <w:qFormat/>
    <w:pPr>
      <w:spacing w:before="3"/>
      <w:ind w:left="1163"/>
    </w:pPr>
    <w:rPr>
      <w:rFonts w:ascii="Arial MT" w:hAnsi="Arial MT" w:eastAsia="Arial MT" w:cs="Arial MT"/>
      <w:sz w:val="24"/>
      <w:szCs w:val="24"/>
      <w:lang w:val="en-US" w:eastAsia="en-US" w:bidi="ar-SA"/>
    </w:rPr>
  </w:style>
  <w:style w:styleId="TOC8" w:type="paragraph">
    <w:name w:val="TOC 8"/>
    <w:basedOn w:val="Normal"/>
    <w:uiPriority w:val="1"/>
    <w:qFormat/>
    <w:pPr>
      <w:ind w:left="1240"/>
    </w:pPr>
    <w:rPr>
      <w:rFonts w:ascii="Arial MT" w:hAnsi="Arial MT" w:eastAsia="Arial MT" w:cs="Arial MT"/>
      <w:sz w:val="24"/>
      <w:szCs w:val="24"/>
      <w:lang w:val="en-US" w:eastAsia="en-US" w:bidi="ar-SA"/>
    </w:rPr>
  </w:style>
  <w:style w:styleId="TOC9" w:type="paragraph">
    <w:name w:val="TOC 9"/>
    <w:basedOn w:val="Normal"/>
    <w:uiPriority w:val="1"/>
    <w:qFormat/>
    <w:pPr>
      <w:spacing w:before="3"/>
      <w:ind w:left="1283"/>
    </w:pPr>
    <w:rPr>
      <w:rFonts w:ascii="Arial MT" w:hAnsi="Arial MT" w:eastAsia="Arial MT" w:cs="Arial MT"/>
      <w:sz w:val="24"/>
      <w:szCs w:val="24"/>
      <w:lang w:val="en-US" w:eastAsia="en-US" w:bidi="ar-SA"/>
    </w:rPr>
  </w:style>
  <w:style w:styleId="BodyText" w:type="paragraph">
    <w:name w:val="Body Text"/>
    <w:basedOn w:val="Normal"/>
    <w:uiPriority w:val="1"/>
    <w:qFormat/>
    <w:pPr/>
    <w:rPr>
      <w:rFonts w:ascii="Arial MT" w:hAnsi="Arial MT" w:eastAsia="Arial MT" w:cs="Arial MT"/>
      <w:sz w:val="24"/>
      <w:szCs w:val="24"/>
      <w:lang w:val="en-US" w:eastAsia="en-US" w:bidi="ar-SA"/>
    </w:rPr>
  </w:style>
  <w:style w:styleId="Heading1" w:type="paragraph">
    <w:name w:val="Heading 1"/>
    <w:basedOn w:val="Normal"/>
    <w:uiPriority w:val="1"/>
    <w:qFormat/>
    <w:pPr>
      <w:spacing w:before="1"/>
      <w:ind w:left="78"/>
      <w:jc w:val="center"/>
      <w:outlineLvl w:val="1"/>
    </w:pPr>
    <w:rPr>
      <w:rFonts w:ascii="Arial" w:hAnsi="Arial" w:eastAsia="Arial" w:cs="Arial"/>
      <w:b/>
      <w:bCs/>
      <w:sz w:val="32"/>
      <w:szCs w:val="32"/>
      <w:lang w:val="en-US" w:eastAsia="en-US" w:bidi="ar-SA"/>
    </w:rPr>
  </w:style>
  <w:style w:styleId="Heading2" w:type="paragraph">
    <w:name w:val="Heading 2"/>
    <w:basedOn w:val="Normal"/>
    <w:uiPriority w:val="1"/>
    <w:qFormat/>
    <w:pPr>
      <w:ind w:left="820"/>
      <w:outlineLvl w:val="2"/>
    </w:pPr>
    <w:rPr>
      <w:rFonts w:ascii="Arial" w:hAnsi="Arial" w:eastAsia="Arial" w:cs="Arial"/>
      <w:b/>
      <w:bCs/>
      <w:sz w:val="28"/>
      <w:szCs w:val="28"/>
      <w:lang w:val="en-US" w:eastAsia="en-US" w:bidi="ar-SA"/>
    </w:rPr>
  </w:style>
  <w:style w:styleId="Heading3" w:type="paragraph">
    <w:name w:val="Heading 3"/>
    <w:basedOn w:val="Normal"/>
    <w:uiPriority w:val="1"/>
    <w:qFormat/>
    <w:pPr>
      <w:ind w:left="78"/>
      <w:jc w:val="center"/>
      <w:outlineLvl w:val="3"/>
    </w:pPr>
    <w:rPr>
      <w:rFonts w:ascii="Arial" w:hAnsi="Arial" w:eastAsia="Arial" w:cs="Arial"/>
      <w:b/>
      <w:bCs/>
      <w:sz w:val="24"/>
      <w:szCs w:val="24"/>
      <w:lang w:val="en-US" w:eastAsia="en-US" w:bidi="ar-SA"/>
    </w:rPr>
  </w:style>
  <w:style w:styleId="Heading4" w:type="paragraph">
    <w:name w:val="Heading 4"/>
    <w:basedOn w:val="Normal"/>
    <w:uiPriority w:val="1"/>
    <w:qFormat/>
    <w:pPr>
      <w:ind w:left="837"/>
      <w:outlineLvl w:val="4"/>
    </w:pPr>
    <w:rPr>
      <w:rFonts w:ascii="Arial" w:hAnsi="Arial" w:eastAsia="Arial" w:cs="Arial"/>
      <w:b/>
      <w:bCs/>
      <w:sz w:val="24"/>
      <w:szCs w:val="24"/>
      <w:lang w:val="en-US" w:eastAsia="en-US" w:bidi="ar-SA"/>
    </w:rPr>
  </w:style>
  <w:style w:styleId="ListParagraph" w:type="paragraph">
    <w:name w:val="List Paragraph"/>
    <w:basedOn w:val="Normal"/>
    <w:uiPriority w:val="1"/>
    <w:qFormat/>
    <w:pPr>
      <w:ind w:left="1540" w:hanging="720"/>
    </w:pPr>
    <w:rPr>
      <w:rFonts w:ascii="Arial MT" w:hAnsi="Arial MT" w:eastAsia="Arial MT" w:cs="Arial MT"/>
      <w:lang w:val="en-US" w:eastAsia="en-US" w:bidi="ar-SA"/>
    </w:rPr>
  </w:style>
  <w:style w:styleId="TableParagraph" w:type="paragraph">
    <w:name w:val="Table Paragraph"/>
    <w:basedOn w:val="Normal"/>
    <w:uiPriority w:val="1"/>
    <w:qFormat/>
    <w:pPr/>
    <w:rPr>
      <w:rFonts w:ascii="Arial MT" w:hAnsi="Arial MT" w:eastAsia="Arial MT" w:cs="Arial MT"/>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header" Target="header2.xml"/><Relationship Id="rId7" Type="http://schemas.openxmlformats.org/officeDocument/2006/relationships/footer" Target="footer1.xml"/><Relationship Id="rId8" Type="http://schemas.openxmlformats.org/officeDocument/2006/relationships/header" Target="header3.xml"/><Relationship Id="rId9" Type="http://schemas.openxmlformats.org/officeDocument/2006/relationships/footer" Target="footer2.xml"/><Relationship Id="rId10" Type="http://schemas.openxmlformats.org/officeDocument/2006/relationships/header" Target="header4.xml"/><Relationship Id="rId11" Type="http://schemas.openxmlformats.org/officeDocument/2006/relationships/footer" Target="footer3.xml"/><Relationship Id="rId12" Type="http://schemas.openxmlformats.org/officeDocument/2006/relationships/header" Target="header5.xml"/><Relationship Id="rId13" Type="http://schemas.openxmlformats.org/officeDocument/2006/relationships/footer" Target="footer4.xml"/><Relationship Id="rId14" Type="http://schemas.openxmlformats.org/officeDocument/2006/relationships/header" Target="header6.xml"/><Relationship Id="rId15" Type="http://schemas.openxmlformats.org/officeDocument/2006/relationships/footer" Target="footer5.xml"/><Relationship Id="rId16" Type="http://schemas.openxmlformats.org/officeDocument/2006/relationships/header" Target="header7.xml"/><Relationship Id="rId17" Type="http://schemas.openxmlformats.org/officeDocument/2006/relationships/footer" Target="footer6.xml"/><Relationship Id="rId18" Type="http://schemas.openxmlformats.org/officeDocument/2006/relationships/header" Target="header8.xml"/><Relationship Id="rId19" Type="http://schemas.openxmlformats.org/officeDocument/2006/relationships/footer" Target="footer7.xml"/><Relationship Id="rId20" Type="http://schemas.openxmlformats.org/officeDocument/2006/relationships/header" Target="header9.xml"/><Relationship Id="rId21" Type="http://schemas.openxmlformats.org/officeDocument/2006/relationships/footer" Target="footer8.xml"/><Relationship Id="rId22" Type="http://schemas.openxmlformats.org/officeDocument/2006/relationships/header" Target="header10.xml"/><Relationship Id="rId23" Type="http://schemas.openxmlformats.org/officeDocument/2006/relationships/footer" Target="footer9.xml"/><Relationship Id="rId24" Type="http://schemas.openxmlformats.org/officeDocument/2006/relationships/header" Target="header11.xml"/><Relationship Id="rId25" Type="http://schemas.openxmlformats.org/officeDocument/2006/relationships/footer" Target="footer10.xml"/><Relationship Id="rId26" Type="http://schemas.openxmlformats.org/officeDocument/2006/relationships/header" Target="header12.xml"/><Relationship Id="rId27" Type="http://schemas.openxmlformats.org/officeDocument/2006/relationships/footer" Target="footer11.xml"/><Relationship Id="rId28" Type="http://schemas.openxmlformats.org/officeDocument/2006/relationships/header" Target="header13.xml"/><Relationship Id="rId29" Type="http://schemas.openxmlformats.org/officeDocument/2006/relationships/footer" Target="footer12.xml"/><Relationship Id="rId30" Type="http://schemas.openxmlformats.org/officeDocument/2006/relationships/header" Target="header14.xml"/><Relationship Id="rId31" Type="http://schemas.openxmlformats.org/officeDocument/2006/relationships/footer" Target="footer13.xml"/><Relationship Id="rId32" Type="http://schemas.openxmlformats.org/officeDocument/2006/relationships/header" Target="header15.xml"/><Relationship Id="rId33" Type="http://schemas.openxmlformats.org/officeDocument/2006/relationships/footer" Target="footer14.xml"/><Relationship Id="rId34" Type="http://schemas.openxmlformats.org/officeDocument/2006/relationships/header" Target="header16.xml"/><Relationship Id="rId35" Type="http://schemas.openxmlformats.org/officeDocument/2006/relationships/footer" Target="footer15.xml"/><Relationship Id="rId36" Type="http://schemas.openxmlformats.org/officeDocument/2006/relationships/header" Target="header17.xml"/><Relationship Id="rId37" Type="http://schemas.openxmlformats.org/officeDocument/2006/relationships/footer" Target="footer16.xml"/><Relationship Id="rId38" Type="http://schemas.openxmlformats.org/officeDocument/2006/relationships/header" Target="header18.xml"/><Relationship Id="rId39" Type="http://schemas.openxmlformats.org/officeDocument/2006/relationships/footer" Target="footer17.xml"/><Relationship Id="rId40" Type="http://schemas.openxmlformats.org/officeDocument/2006/relationships/header" Target="header19.xml"/><Relationship Id="rId41" Type="http://schemas.openxmlformats.org/officeDocument/2006/relationships/footer" Target="footer18.xml"/><Relationship Id="rId42" Type="http://schemas.openxmlformats.org/officeDocument/2006/relationships/header" Target="header20.xml"/><Relationship Id="rId43" Type="http://schemas.openxmlformats.org/officeDocument/2006/relationships/footer" Target="footer19.xml"/><Relationship Id="rId44" Type="http://schemas.openxmlformats.org/officeDocument/2006/relationships/header" Target="header21.xml"/><Relationship Id="rId45" Type="http://schemas.openxmlformats.org/officeDocument/2006/relationships/footer" Target="footer20.xml"/><Relationship Id="rId46" Type="http://schemas.openxmlformats.org/officeDocument/2006/relationships/header" Target="header22.xml"/><Relationship Id="rId47" Type="http://schemas.openxmlformats.org/officeDocument/2006/relationships/footer" Target="footer21.xml"/><Relationship Id="rId48" Type="http://schemas.openxmlformats.org/officeDocument/2006/relationships/header" Target="header23.xml"/><Relationship Id="rId49" Type="http://schemas.openxmlformats.org/officeDocument/2006/relationships/footer" Target="footer22.xml"/><Relationship Id="rId50" Type="http://schemas.openxmlformats.org/officeDocument/2006/relationships/header" Target="header24.xml"/><Relationship Id="rId51" Type="http://schemas.openxmlformats.org/officeDocument/2006/relationships/footer" Target="footer23.xml"/><Relationship Id="rId52" Type="http://schemas.openxmlformats.org/officeDocument/2006/relationships/header" Target="header25.xml"/><Relationship Id="rId53" Type="http://schemas.openxmlformats.org/officeDocument/2006/relationships/footer" Target="footer24.xml"/><Relationship Id="rId54" Type="http://schemas.openxmlformats.org/officeDocument/2006/relationships/header" Target="header26.xml"/><Relationship Id="rId55" Type="http://schemas.openxmlformats.org/officeDocument/2006/relationships/footer" Target="footer25.xml"/><Relationship Id="rId56" Type="http://schemas.openxmlformats.org/officeDocument/2006/relationships/header" Target="header27.xml"/><Relationship Id="rId57" Type="http://schemas.openxmlformats.org/officeDocument/2006/relationships/footer" Target="footer26.xml"/><Relationship Id="rId58" Type="http://schemas.openxmlformats.org/officeDocument/2006/relationships/header" Target="header28.xml"/><Relationship Id="rId59" Type="http://schemas.openxmlformats.org/officeDocument/2006/relationships/footer" Target="footer27.xml"/><Relationship Id="rId60" Type="http://schemas.openxmlformats.org/officeDocument/2006/relationships/header" Target="header29.xml"/><Relationship Id="rId61" Type="http://schemas.openxmlformats.org/officeDocument/2006/relationships/footer" Target="footer28.xml"/><Relationship Id="rId62" Type="http://schemas.openxmlformats.org/officeDocument/2006/relationships/header" Target="header30.xml"/><Relationship Id="rId63" Type="http://schemas.openxmlformats.org/officeDocument/2006/relationships/footer" Target="footer29.xml"/><Relationship Id="rId64" Type="http://schemas.openxmlformats.org/officeDocument/2006/relationships/header" Target="header31.xml"/><Relationship Id="rId65" Type="http://schemas.openxmlformats.org/officeDocument/2006/relationships/footer" Target="footer30.xml"/><Relationship Id="rId66" Type="http://schemas.openxmlformats.org/officeDocument/2006/relationships/header" Target="header32.xml"/><Relationship Id="rId67" Type="http://schemas.openxmlformats.org/officeDocument/2006/relationships/footer" Target="footer31.xml"/><Relationship Id="rId68" Type="http://schemas.openxmlformats.org/officeDocument/2006/relationships/header" Target="header33.xml"/><Relationship Id="rId69" Type="http://schemas.openxmlformats.org/officeDocument/2006/relationships/footer" Target="footer32.xml"/><Relationship Id="rId70" Type="http://schemas.openxmlformats.org/officeDocument/2006/relationships/header" Target="header34.xml"/><Relationship Id="rId71" Type="http://schemas.openxmlformats.org/officeDocument/2006/relationships/footer" Target="footer33.xml"/><Relationship Id="rId72" Type="http://schemas.openxmlformats.org/officeDocument/2006/relationships/header" Target="header35.xml"/><Relationship Id="rId73" Type="http://schemas.openxmlformats.org/officeDocument/2006/relationships/footer" Target="footer34.xml"/><Relationship Id="rId74" Type="http://schemas.openxmlformats.org/officeDocument/2006/relationships/header" Target="header36.xml"/><Relationship Id="rId75" Type="http://schemas.openxmlformats.org/officeDocument/2006/relationships/footer" Target="footer35.xml"/><Relationship Id="rId76" Type="http://schemas.openxmlformats.org/officeDocument/2006/relationships/header" Target="header37.xml"/><Relationship Id="rId77" Type="http://schemas.openxmlformats.org/officeDocument/2006/relationships/footer" Target="footer36.xml"/><Relationship Id="rId78" Type="http://schemas.openxmlformats.org/officeDocument/2006/relationships/header" Target="header38.xml"/><Relationship Id="rId79" Type="http://schemas.openxmlformats.org/officeDocument/2006/relationships/footer" Target="footer37.xml"/><Relationship Id="rId80" Type="http://schemas.openxmlformats.org/officeDocument/2006/relationships/header" Target="header39.xml"/><Relationship Id="rId81" Type="http://schemas.openxmlformats.org/officeDocument/2006/relationships/footer" Target="footer38.xml"/><Relationship Id="rId82" Type="http://schemas.openxmlformats.org/officeDocument/2006/relationships/header" Target="header40.xml"/><Relationship Id="rId83" Type="http://schemas.openxmlformats.org/officeDocument/2006/relationships/footer" Target="footer39.xml"/><Relationship Id="rId84" Type="http://schemas.openxmlformats.org/officeDocument/2006/relationships/header" Target="header41.xml"/><Relationship Id="rId85" Type="http://schemas.openxmlformats.org/officeDocument/2006/relationships/footer" Target="footer40.xml"/><Relationship Id="rId86" Type="http://schemas.openxmlformats.org/officeDocument/2006/relationships/header" Target="header42.xml"/><Relationship Id="rId87" Type="http://schemas.openxmlformats.org/officeDocument/2006/relationships/footer" Target="footer41.xml"/><Relationship Id="rId88" Type="http://schemas.openxmlformats.org/officeDocument/2006/relationships/header" Target="header43.xml"/><Relationship Id="rId89" Type="http://schemas.openxmlformats.org/officeDocument/2006/relationships/footer" Target="footer42.xml"/><Relationship Id="rId90" Type="http://schemas.openxmlformats.org/officeDocument/2006/relationships/header" Target="header44.xml"/><Relationship Id="rId91" Type="http://schemas.openxmlformats.org/officeDocument/2006/relationships/footer" Target="footer43.xml"/><Relationship Id="rId92" Type="http://schemas.openxmlformats.org/officeDocument/2006/relationships/header" Target="header45.xml"/><Relationship Id="rId93" Type="http://schemas.openxmlformats.org/officeDocument/2006/relationships/footer" Target="footer44.xml"/><Relationship Id="rId94" Type="http://schemas.openxmlformats.org/officeDocument/2006/relationships/header" Target="header46.xml"/><Relationship Id="rId95" Type="http://schemas.openxmlformats.org/officeDocument/2006/relationships/footer" Target="footer45.xml"/><Relationship Id="rId96" Type="http://schemas.openxmlformats.org/officeDocument/2006/relationships/header" Target="header47.xml"/><Relationship Id="rId97" Type="http://schemas.openxmlformats.org/officeDocument/2006/relationships/footer" Target="footer46.xml"/><Relationship Id="rId98" Type="http://schemas.openxmlformats.org/officeDocument/2006/relationships/header" Target="header48.xml"/><Relationship Id="rId99" Type="http://schemas.openxmlformats.org/officeDocument/2006/relationships/footer" Target="footer47.xml"/><Relationship Id="rId100" Type="http://schemas.openxmlformats.org/officeDocument/2006/relationships/header" Target="header49.xml"/><Relationship Id="rId101" Type="http://schemas.openxmlformats.org/officeDocument/2006/relationships/footer" Target="footer48.xml"/><Relationship Id="rId102" Type="http://schemas.openxmlformats.org/officeDocument/2006/relationships/header" Target="header50.xml"/><Relationship Id="rId103" Type="http://schemas.openxmlformats.org/officeDocument/2006/relationships/footer" Target="footer49.xml"/><Relationship Id="rId104" Type="http://schemas.openxmlformats.org/officeDocument/2006/relationships/header" Target="header51.xml"/><Relationship Id="rId105" Type="http://schemas.openxmlformats.org/officeDocument/2006/relationships/footer" Target="footer50.xml"/><Relationship Id="rId106" Type="http://schemas.openxmlformats.org/officeDocument/2006/relationships/header" Target="header52.xml"/><Relationship Id="rId107" Type="http://schemas.openxmlformats.org/officeDocument/2006/relationships/footer" Target="footer51.xml"/><Relationship Id="rId108" Type="http://schemas.openxmlformats.org/officeDocument/2006/relationships/header" Target="header53.xml"/><Relationship Id="rId109" Type="http://schemas.openxmlformats.org/officeDocument/2006/relationships/footer" Target="footer52.xml"/><Relationship Id="rId110" Type="http://schemas.openxmlformats.org/officeDocument/2006/relationships/header" Target="header54.xml"/><Relationship Id="rId111" Type="http://schemas.openxmlformats.org/officeDocument/2006/relationships/footer" Target="footer53.xml"/><Relationship Id="rId112" Type="http://schemas.openxmlformats.org/officeDocument/2006/relationships/header" Target="header55.xml"/><Relationship Id="rId113" Type="http://schemas.openxmlformats.org/officeDocument/2006/relationships/footer" Target="footer54.xml"/><Relationship Id="rId114" Type="http://schemas.openxmlformats.org/officeDocument/2006/relationships/header" Target="header56.xml"/><Relationship Id="rId115" Type="http://schemas.openxmlformats.org/officeDocument/2006/relationships/footer" Target="footer55.xml"/><Relationship Id="rId116" Type="http://schemas.openxmlformats.org/officeDocument/2006/relationships/header" Target="header57.xml"/><Relationship Id="rId117" Type="http://schemas.openxmlformats.org/officeDocument/2006/relationships/footer" Target="footer56.xml"/><Relationship Id="rId118" Type="http://schemas.openxmlformats.org/officeDocument/2006/relationships/header" Target="header58.xml"/><Relationship Id="rId119" Type="http://schemas.openxmlformats.org/officeDocument/2006/relationships/footer" Target="footer57.xml"/><Relationship Id="rId120" Type="http://schemas.openxmlformats.org/officeDocument/2006/relationships/header" Target="header59.xml"/><Relationship Id="rId121" Type="http://schemas.openxmlformats.org/officeDocument/2006/relationships/footer" Target="footer58.xml"/><Relationship Id="rId122" Type="http://schemas.openxmlformats.org/officeDocument/2006/relationships/header" Target="header60.xml"/><Relationship Id="rId123" Type="http://schemas.openxmlformats.org/officeDocument/2006/relationships/footer" Target="footer59.xml"/><Relationship Id="rId124" Type="http://schemas.openxmlformats.org/officeDocument/2006/relationships/header" Target="header61.xml"/><Relationship Id="rId125" Type="http://schemas.openxmlformats.org/officeDocument/2006/relationships/footer" Target="footer60.xml"/><Relationship Id="rId126" Type="http://schemas.openxmlformats.org/officeDocument/2006/relationships/header" Target="header62.xml"/><Relationship Id="rId127" Type="http://schemas.openxmlformats.org/officeDocument/2006/relationships/footer" Target="footer61.xml"/><Relationship Id="rId128" Type="http://schemas.openxmlformats.org/officeDocument/2006/relationships/header" Target="header63.xml"/><Relationship Id="rId129" Type="http://schemas.openxmlformats.org/officeDocument/2006/relationships/footer" Target="footer62.xml"/><Relationship Id="rId130" Type="http://schemas.openxmlformats.org/officeDocument/2006/relationships/header" Target="header64.xml"/><Relationship Id="rId131" Type="http://schemas.openxmlformats.org/officeDocument/2006/relationships/footer" Target="footer63.xml"/><Relationship Id="rId132" Type="http://schemas.openxmlformats.org/officeDocument/2006/relationships/header" Target="header65.xml"/><Relationship Id="rId133" Type="http://schemas.openxmlformats.org/officeDocument/2006/relationships/footer" Target="footer64.xml"/><Relationship Id="rId134" Type="http://schemas.openxmlformats.org/officeDocument/2006/relationships/header" Target="header66.xml"/><Relationship Id="rId135" Type="http://schemas.openxmlformats.org/officeDocument/2006/relationships/footer" Target="footer65.xml"/><Relationship Id="rId136" Type="http://schemas.openxmlformats.org/officeDocument/2006/relationships/header" Target="header67.xml"/><Relationship Id="rId137" Type="http://schemas.openxmlformats.org/officeDocument/2006/relationships/footer" Target="footer66.xml"/><Relationship Id="rId138" Type="http://schemas.openxmlformats.org/officeDocument/2006/relationships/header" Target="header68.xml"/><Relationship Id="rId139" Type="http://schemas.openxmlformats.org/officeDocument/2006/relationships/footer" Target="footer67.xml"/><Relationship Id="rId140" Type="http://schemas.openxmlformats.org/officeDocument/2006/relationships/header" Target="header69.xml"/><Relationship Id="rId141" Type="http://schemas.openxmlformats.org/officeDocument/2006/relationships/footer" Target="footer68.xml"/><Relationship Id="rId142" Type="http://schemas.openxmlformats.org/officeDocument/2006/relationships/header" Target="header70.xml"/><Relationship Id="rId143" Type="http://schemas.openxmlformats.org/officeDocument/2006/relationships/footer" Target="footer69.xml"/><Relationship Id="rId144" Type="http://schemas.openxmlformats.org/officeDocument/2006/relationships/header" Target="header71.xml"/><Relationship Id="rId145" Type="http://schemas.openxmlformats.org/officeDocument/2006/relationships/footer" Target="footer70.xml"/><Relationship Id="rId146" Type="http://schemas.openxmlformats.org/officeDocument/2006/relationships/header" Target="header72.xml"/><Relationship Id="rId147" Type="http://schemas.openxmlformats.org/officeDocument/2006/relationships/footer" Target="footer71.xml"/><Relationship Id="rId148" Type="http://schemas.openxmlformats.org/officeDocument/2006/relationships/header" Target="header73.xml"/><Relationship Id="rId149" Type="http://schemas.openxmlformats.org/officeDocument/2006/relationships/footer" Target="footer72.xml"/><Relationship Id="rId150" Type="http://schemas.openxmlformats.org/officeDocument/2006/relationships/header" Target="header74.xml"/><Relationship Id="rId151" Type="http://schemas.openxmlformats.org/officeDocument/2006/relationships/footer" Target="footer73.xml"/><Relationship Id="rId152" Type="http://schemas.openxmlformats.org/officeDocument/2006/relationships/header" Target="header75.xml"/><Relationship Id="rId153" Type="http://schemas.openxmlformats.org/officeDocument/2006/relationships/footer" Target="footer74.xml"/><Relationship Id="rId154" Type="http://schemas.openxmlformats.org/officeDocument/2006/relationships/header" Target="header76.xml"/><Relationship Id="rId155" Type="http://schemas.openxmlformats.org/officeDocument/2006/relationships/footer" Target="footer75.xml"/><Relationship Id="rId156" Type="http://schemas.openxmlformats.org/officeDocument/2006/relationships/header" Target="header77.xml"/><Relationship Id="rId157" Type="http://schemas.openxmlformats.org/officeDocument/2006/relationships/footer" Target="footer76.xml"/><Relationship Id="rId158" Type="http://schemas.openxmlformats.org/officeDocument/2006/relationships/header" Target="header78.xml"/><Relationship Id="rId159" Type="http://schemas.openxmlformats.org/officeDocument/2006/relationships/footer" Target="footer77.xml"/><Relationship Id="rId160" Type="http://schemas.openxmlformats.org/officeDocument/2006/relationships/header" Target="header79.xml"/><Relationship Id="rId161" Type="http://schemas.openxmlformats.org/officeDocument/2006/relationships/footer" Target="footer78.xml"/><Relationship Id="rId162" Type="http://schemas.openxmlformats.org/officeDocument/2006/relationships/header" Target="header80.xml"/><Relationship Id="rId163" Type="http://schemas.openxmlformats.org/officeDocument/2006/relationships/footer" Target="footer79.xml"/><Relationship Id="rId164" Type="http://schemas.openxmlformats.org/officeDocument/2006/relationships/header" Target="header81.xml"/><Relationship Id="rId165" Type="http://schemas.openxmlformats.org/officeDocument/2006/relationships/footer" Target="footer80.xml"/><Relationship Id="rId166" Type="http://schemas.openxmlformats.org/officeDocument/2006/relationships/header" Target="header82.xml"/><Relationship Id="rId167" Type="http://schemas.openxmlformats.org/officeDocument/2006/relationships/footer" Target="footer81.xml"/><Relationship Id="rId168" Type="http://schemas.openxmlformats.org/officeDocument/2006/relationships/header" Target="header83.xml"/><Relationship Id="rId169" Type="http://schemas.openxmlformats.org/officeDocument/2006/relationships/footer" Target="footer82.xml"/><Relationship Id="rId170" Type="http://schemas.openxmlformats.org/officeDocument/2006/relationships/header" Target="header84.xml"/><Relationship Id="rId171" Type="http://schemas.openxmlformats.org/officeDocument/2006/relationships/footer" Target="footer83.xml"/><Relationship Id="rId172" Type="http://schemas.openxmlformats.org/officeDocument/2006/relationships/header" Target="header85.xml"/><Relationship Id="rId173" Type="http://schemas.openxmlformats.org/officeDocument/2006/relationships/footer" Target="footer84.xml"/><Relationship Id="rId174" Type="http://schemas.openxmlformats.org/officeDocument/2006/relationships/header" Target="header86.xml"/><Relationship Id="rId175" Type="http://schemas.openxmlformats.org/officeDocument/2006/relationships/footer" Target="footer85.xml"/><Relationship Id="rId176" Type="http://schemas.openxmlformats.org/officeDocument/2006/relationships/header" Target="header87.xml"/><Relationship Id="rId177" Type="http://schemas.openxmlformats.org/officeDocument/2006/relationships/footer" Target="footer86.xml"/><Relationship Id="rId178" Type="http://schemas.openxmlformats.org/officeDocument/2006/relationships/header" Target="header88.xml"/><Relationship Id="rId179" Type="http://schemas.openxmlformats.org/officeDocument/2006/relationships/footer" Target="footer87.xml"/><Relationship Id="rId180" Type="http://schemas.openxmlformats.org/officeDocument/2006/relationships/header" Target="header89.xml"/><Relationship Id="rId181" Type="http://schemas.openxmlformats.org/officeDocument/2006/relationships/footer" Target="footer88.xml"/><Relationship Id="rId182" Type="http://schemas.openxmlformats.org/officeDocument/2006/relationships/header" Target="header90.xml"/><Relationship Id="rId183" Type="http://schemas.openxmlformats.org/officeDocument/2006/relationships/footer" Target="footer89.xml"/><Relationship Id="rId184" Type="http://schemas.openxmlformats.org/officeDocument/2006/relationships/header" Target="header91.xml"/><Relationship Id="rId185" Type="http://schemas.openxmlformats.org/officeDocument/2006/relationships/footer" Target="footer90.xml"/><Relationship Id="rId186" Type="http://schemas.openxmlformats.org/officeDocument/2006/relationships/header" Target="header92.xml"/><Relationship Id="rId187" Type="http://schemas.openxmlformats.org/officeDocument/2006/relationships/footer" Target="footer91.xml"/><Relationship Id="rId188" Type="http://schemas.openxmlformats.org/officeDocument/2006/relationships/header" Target="header93.xml"/><Relationship Id="rId189" Type="http://schemas.openxmlformats.org/officeDocument/2006/relationships/footer" Target="footer92.xml"/><Relationship Id="rId190" Type="http://schemas.openxmlformats.org/officeDocument/2006/relationships/header" Target="header94.xml"/><Relationship Id="rId191" Type="http://schemas.openxmlformats.org/officeDocument/2006/relationships/footer" Target="footer93.xml"/><Relationship Id="rId192" Type="http://schemas.openxmlformats.org/officeDocument/2006/relationships/header" Target="header95.xml"/><Relationship Id="rId193" Type="http://schemas.openxmlformats.org/officeDocument/2006/relationships/footer" Target="footer94.xml"/><Relationship Id="rId194" Type="http://schemas.openxmlformats.org/officeDocument/2006/relationships/header" Target="header96.xml"/><Relationship Id="rId195" Type="http://schemas.openxmlformats.org/officeDocument/2006/relationships/footer" Target="footer95.xml"/><Relationship Id="rId196" Type="http://schemas.openxmlformats.org/officeDocument/2006/relationships/header" Target="header97.xml"/><Relationship Id="rId197" Type="http://schemas.openxmlformats.org/officeDocument/2006/relationships/footer" Target="footer96.xml"/><Relationship Id="rId198" Type="http://schemas.openxmlformats.org/officeDocument/2006/relationships/header" Target="header98.xml"/><Relationship Id="rId199" Type="http://schemas.openxmlformats.org/officeDocument/2006/relationships/footer" Target="footer97.xml"/><Relationship Id="rId200" Type="http://schemas.openxmlformats.org/officeDocument/2006/relationships/header" Target="header99.xml"/><Relationship Id="rId201" Type="http://schemas.openxmlformats.org/officeDocument/2006/relationships/footer" Target="footer98.xml"/><Relationship Id="rId202" Type="http://schemas.openxmlformats.org/officeDocument/2006/relationships/header" Target="header100.xml"/><Relationship Id="rId203" Type="http://schemas.openxmlformats.org/officeDocument/2006/relationships/footer" Target="footer99.xml"/><Relationship Id="rId204" Type="http://schemas.openxmlformats.org/officeDocument/2006/relationships/header" Target="header101.xml"/><Relationship Id="rId205" Type="http://schemas.openxmlformats.org/officeDocument/2006/relationships/footer" Target="footer100.xml"/><Relationship Id="rId206" Type="http://schemas.openxmlformats.org/officeDocument/2006/relationships/header" Target="header102.xml"/><Relationship Id="rId207" Type="http://schemas.openxmlformats.org/officeDocument/2006/relationships/footer" Target="footer101.xml"/><Relationship Id="rId208" Type="http://schemas.openxmlformats.org/officeDocument/2006/relationships/header" Target="header103.xml"/><Relationship Id="rId209" Type="http://schemas.openxmlformats.org/officeDocument/2006/relationships/footer" Target="footer102.xml"/><Relationship Id="rId210" Type="http://schemas.openxmlformats.org/officeDocument/2006/relationships/header" Target="header104.xml"/><Relationship Id="rId211" Type="http://schemas.openxmlformats.org/officeDocument/2006/relationships/footer" Target="footer103.xml"/><Relationship Id="rId212" Type="http://schemas.openxmlformats.org/officeDocument/2006/relationships/header" Target="header105.xml"/><Relationship Id="rId213" Type="http://schemas.openxmlformats.org/officeDocument/2006/relationships/footer" Target="footer104.xml"/><Relationship Id="rId214" Type="http://schemas.openxmlformats.org/officeDocument/2006/relationships/header" Target="header106.xml"/><Relationship Id="rId215" Type="http://schemas.openxmlformats.org/officeDocument/2006/relationships/footer" Target="footer105.xml"/><Relationship Id="rId216" Type="http://schemas.openxmlformats.org/officeDocument/2006/relationships/header" Target="header107.xml"/><Relationship Id="rId217" Type="http://schemas.openxmlformats.org/officeDocument/2006/relationships/footer" Target="footer106.xml"/><Relationship Id="rId218" Type="http://schemas.openxmlformats.org/officeDocument/2006/relationships/header" Target="header108.xml"/><Relationship Id="rId219" Type="http://schemas.openxmlformats.org/officeDocument/2006/relationships/footer" Target="footer107.xml"/><Relationship Id="rId220" Type="http://schemas.openxmlformats.org/officeDocument/2006/relationships/header" Target="header109.xml"/><Relationship Id="rId221" Type="http://schemas.openxmlformats.org/officeDocument/2006/relationships/footer" Target="footer108.xml"/><Relationship Id="rId222" Type="http://schemas.openxmlformats.org/officeDocument/2006/relationships/header" Target="header110.xml"/><Relationship Id="rId223" Type="http://schemas.openxmlformats.org/officeDocument/2006/relationships/footer" Target="footer109.xml"/><Relationship Id="rId224" Type="http://schemas.openxmlformats.org/officeDocument/2006/relationships/header" Target="header111.xml"/><Relationship Id="rId225" Type="http://schemas.openxmlformats.org/officeDocument/2006/relationships/footer" Target="footer110.xml"/><Relationship Id="rId226" Type="http://schemas.openxmlformats.org/officeDocument/2006/relationships/header" Target="header112.xml"/><Relationship Id="rId227" Type="http://schemas.openxmlformats.org/officeDocument/2006/relationships/footer" Target="footer111.xml"/><Relationship Id="rId228" Type="http://schemas.openxmlformats.org/officeDocument/2006/relationships/header" Target="header113.xml"/><Relationship Id="rId229" Type="http://schemas.openxmlformats.org/officeDocument/2006/relationships/footer" Target="footer112.xml"/><Relationship Id="rId230" Type="http://schemas.openxmlformats.org/officeDocument/2006/relationships/header" Target="header114.xml"/><Relationship Id="rId231" Type="http://schemas.openxmlformats.org/officeDocument/2006/relationships/footer" Target="footer113.xml"/><Relationship Id="rId232" Type="http://schemas.openxmlformats.org/officeDocument/2006/relationships/image" Target="media/image1.png"/><Relationship Id="rId233" Type="http://schemas.openxmlformats.org/officeDocument/2006/relationships/header" Target="header115.xml"/><Relationship Id="rId234" Type="http://schemas.openxmlformats.org/officeDocument/2006/relationships/footer" Target="footer114.xml"/><Relationship Id="rId235" Type="http://schemas.openxmlformats.org/officeDocument/2006/relationships/header" Target="header116.xml"/><Relationship Id="rId236" Type="http://schemas.openxmlformats.org/officeDocument/2006/relationships/footer" Target="footer115.xml"/><Relationship Id="rId237" Type="http://schemas.openxmlformats.org/officeDocument/2006/relationships/header" Target="header117.xml"/><Relationship Id="rId238" Type="http://schemas.openxmlformats.org/officeDocument/2006/relationships/footer" Target="footer116.xml"/><Relationship Id="rId239" Type="http://schemas.openxmlformats.org/officeDocument/2006/relationships/header" Target="header118.xml"/><Relationship Id="rId240" Type="http://schemas.openxmlformats.org/officeDocument/2006/relationships/footer" Target="footer117.xml"/><Relationship Id="rId241" Type="http://schemas.openxmlformats.org/officeDocument/2006/relationships/header" Target="header119.xml"/><Relationship Id="rId242" Type="http://schemas.openxmlformats.org/officeDocument/2006/relationships/footer" Target="footer118.xml"/><Relationship Id="rId243" Type="http://schemas.openxmlformats.org/officeDocument/2006/relationships/header" Target="header120.xml"/><Relationship Id="rId244" Type="http://schemas.openxmlformats.org/officeDocument/2006/relationships/footer" Target="footer119.xml"/><Relationship Id="rId245" Type="http://schemas.openxmlformats.org/officeDocument/2006/relationships/header" Target="header121.xml"/><Relationship Id="rId246" Type="http://schemas.openxmlformats.org/officeDocument/2006/relationships/footer" Target="footer120.xml"/><Relationship Id="rId247" Type="http://schemas.openxmlformats.org/officeDocument/2006/relationships/header" Target="header122.xml"/><Relationship Id="rId248" Type="http://schemas.openxmlformats.org/officeDocument/2006/relationships/footer" Target="footer121.xml"/><Relationship Id="rId249" Type="http://schemas.openxmlformats.org/officeDocument/2006/relationships/header" Target="header123.xml"/><Relationship Id="rId250" Type="http://schemas.openxmlformats.org/officeDocument/2006/relationships/footer" Target="footer122.xml"/><Relationship Id="rId251" Type="http://schemas.openxmlformats.org/officeDocument/2006/relationships/header" Target="header124.xml"/><Relationship Id="rId252" Type="http://schemas.openxmlformats.org/officeDocument/2006/relationships/footer" Target="footer123.xml"/><Relationship Id="rId253" Type="http://schemas.openxmlformats.org/officeDocument/2006/relationships/header" Target="header125.xml"/><Relationship Id="rId254" Type="http://schemas.openxmlformats.org/officeDocument/2006/relationships/footer" Target="footer124.xml"/><Relationship Id="rId255" Type="http://schemas.openxmlformats.org/officeDocument/2006/relationships/header" Target="header126.xml"/><Relationship Id="rId256" Type="http://schemas.openxmlformats.org/officeDocument/2006/relationships/footer" Target="footer125.xml"/><Relationship Id="rId257" Type="http://schemas.openxmlformats.org/officeDocument/2006/relationships/header" Target="header127.xml"/><Relationship Id="rId258" Type="http://schemas.openxmlformats.org/officeDocument/2006/relationships/footer" Target="footer126.xml"/><Relationship Id="rId259" Type="http://schemas.openxmlformats.org/officeDocument/2006/relationships/header" Target="header128.xml"/><Relationship Id="rId260" Type="http://schemas.openxmlformats.org/officeDocument/2006/relationships/footer" Target="footer127.xml"/><Relationship Id="rId261" Type="http://schemas.openxmlformats.org/officeDocument/2006/relationships/header" Target="header129.xml"/><Relationship Id="rId262" Type="http://schemas.openxmlformats.org/officeDocument/2006/relationships/footer" Target="footer128.xml"/><Relationship Id="rId263" Type="http://schemas.openxmlformats.org/officeDocument/2006/relationships/header" Target="header130.xml"/><Relationship Id="rId264" Type="http://schemas.openxmlformats.org/officeDocument/2006/relationships/footer" Target="footer129.xml"/><Relationship Id="rId265" Type="http://schemas.openxmlformats.org/officeDocument/2006/relationships/header" Target="header131.xml"/><Relationship Id="rId266" Type="http://schemas.openxmlformats.org/officeDocument/2006/relationships/footer" Target="footer130.xml"/><Relationship Id="rId267" Type="http://schemas.openxmlformats.org/officeDocument/2006/relationships/header" Target="header132.xml"/><Relationship Id="rId268" Type="http://schemas.openxmlformats.org/officeDocument/2006/relationships/footer" Target="footer131.xml"/><Relationship Id="rId269" Type="http://schemas.openxmlformats.org/officeDocument/2006/relationships/header" Target="header133.xml"/><Relationship Id="rId270" Type="http://schemas.openxmlformats.org/officeDocument/2006/relationships/footer" Target="footer132.xml"/><Relationship Id="rId271" Type="http://schemas.openxmlformats.org/officeDocument/2006/relationships/header" Target="header134.xml"/><Relationship Id="rId272" Type="http://schemas.openxmlformats.org/officeDocument/2006/relationships/footer" Target="footer133.xml"/><Relationship Id="rId273" Type="http://schemas.openxmlformats.org/officeDocument/2006/relationships/header" Target="header135.xml"/><Relationship Id="rId274" Type="http://schemas.openxmlformats.org/officeDocument/2006/relationships/footer" Target="footer134.xml"/><Relationship Id="rId275" Type="http://schemas.openxmlformats.org/officeDocument/2006/relationships/header" Target="header136.xml"/><Relationship Id="rId276" Type="http://schemas.openxmlformats.org/officeDocument/2006/relationships/footer" Target="footer135.xml"/><Relationship Id="rId277" Type="http://schemas.openxmlformats.org/officeDocument/2006/relationships/header" Target="header137.xml"/><Relationship Id="rId278" Type="http://schemas.openxmlformats.org/officeDocument/2006/relationships/footer" Target="footer136.xml"/><Relationship Id="rId279" Type="http://schemas.openxmlformats.org/officeDocument/2006/relationships/header" Target="header138.xml"/><Relationship Id="rId280" Type="http://schemas.openxmlformats.org/officeDocument/2006/relationships/footer" Target="footer137.xml"/><Relationship Id="rId281" Type="http://schemas.openxmlformats.org/officeDocument/2006/relationships/header" Target="header139.xml"/><Relationship Id="rId282" Type="http://schemas.openxmlformats.org/officeDocument/2006/relationships/footer" Target="footer138.xml"/><Relationship Id="rId283" Type="http://schemas.openxmlformats.org/officeDocument/2006/relationships/header" Target="header140.xml"/><Relationship Id="rId284" Type="http://schemas.openxmlformats.org/officeDocument/2006/relationships/footer" Target="footer139.xml"/><Relationship Id="rId285" Type="http://schemas.openxmlformats.org/officeDocument/2006/relationships/header" Target="header141.xml"/><Relationship Id="rId286" Type="http://schemas.openxmlformats.org/officeDocument/2006/relationships/footer" Target="footer140.xml"/><Relationship Id="rId287" Type="http://schemas.openxmlformats.org/officeDocument/2006/relationships/header" Target="header142.xml"/><Relationship Id="rId288" Type="http://schemas.openxmlformats.org/officeDocument/2006/relationships/footer" Target="footer141.xml"/><Relationship Id="rId289" Type="http://schemas.openxmlformats.org/officeDocument/2006/relationships/header" Target="header143.xml"/><Relationship Id="rId290" Type="http://schemas.openxmlformats.org/officeDocument/2006/relationships/footer" Target="footer142.xml"/><Relationship Id="rId291" Type="http://schemas.openxmlformats.org/officeDocument/2006/relationships/header" Target="header144.xml"/><Relationship Id="rId292" Type="http://schemas.openxmlformats.org/officeDocument/2006/relationships/footer" Target="footer143.xml"/><Relationship Id="rId293" Type="http://schemas.openxmlformats.org/officeDocument/2006/relationships/header" Target="header145.xml"/><Relationship Id="rId294" Type="http://schemas.openxmlformats.org/officeDocument/2006/relationships/footer" Target="footer144.xml"/><Relationship Id="rId295" Type="http://schemas.openxmlformats.org/officeDocument/2006/relationships/header" Target="header146.xml"/><Relationship Id="rId296" Type="http://schemas.openxmlformats.org/officeDocument/2006/relationships/footer" Target="footer145.xml"/><Relationship Id="rId297" Type="http://schemas.openxmlformats.org/officeDocument/2006/relationships/header" Target="header147.xml"/><Relationship Id="rId298" Type="http://schemas.openxmlformats.org/officeDocument/2006/relationships/footer" Target="footer146.xml"/><Relationship Id="rId299" Type="http://schemas.openxmlformats.org/officeDocument/2006/relationships/header" Target="header148.xml"/><Relationship Id="rId300" Type="http://schemas.openxmlformats.org/officeDocument/2006/relationships/footer" Target="footer147.xml"/><Relationship Id="rId301" Type="http://schemas.openxmlformats.org/officeDocument/2006/relationships/header" Target="header149.xml"/><Relationship Id="rId302" Type="http://schemas.openxmlformats.org/officeDocument/2006/relationships/footer" Target="footer148.xml"/><Relationship Id="rId303" Type="http://schemas.openxmlformats.org/officeDocument/2006/relationships/header" Target="header150.xml"/><Relationship Id="rId304" Type="http://schemas.openxmlformats.org/officeDocument/2006/relationships/footer" Target="footer149.xml"/><Relationship Id="rId305" Type="http://schemas.openxmlformats.org/officeDocument/2006/relationships/header" Target="header151.xml"/><Relationship Id="rId306" Type="http://schemas.openxmlformats.org/officeDocument/2006/relationships/footer" Target="footer150.xml"/><Relationship Id="rId307" Type="http://schemas.openxmlformats.org/officeDocument/2006/relationships/header" Target="header152.xml"/><Relationship Id="rId308" Type="http://schemas.openxmlformats.org/officeDocument/2006/relationships/footer" Target="footer151.xml"/><Relationship Id="rId309" Type="http://schemas.openxmlformats.org/officeDocument/2006/relationships/header" Target="header153.xml"/><Relationship Id="rId310" Type="http://schemas.openxmlformats.org/officeDocument/2006/relationships/footer" Target="footer152.xml"/><Relationship Id="rId311" Type="http://schemas.openxmlformats.org/officeDocument/2006/relationships/header" Target="header154.xml"/><Relationship Id="rId312" Type="http://schemas.openxmlformats.org/officeDocument/2006/relationships/footer" Target="footer153.xml"/><Relationship Id="rId313" Type="http://schemas.openxmlformats.org/officeDocument/2006/relationships/header" Target="header155.xml"/><Relationship Id="rId314" Type="http://schemas.openxmlformats.org/officeDocument/2006/relationships/footer" Target="footer154.xml"/><Relationship Id="rId315" Type="http://schemas.openxmlformats.org/officeDocument/2006/relationships/header" Target="header156.xml"/><Relationship Id="rId316" Type="http://schemas.openxmlformats.org/officeDocument/2006/relationships/footer" Target="footer155.xml"/><Relationship Id="rId317" Type="http://schemas.openxmlformats.org/officeDocument/2006/relationships/header" Target="header157.xml"/><Relationship Id="rId318" Type="http://schemas.openxmlformats.org/officeDocument/2006/relationships/footer" Target="footer156.xml"/><Relationship Id="rId319" Type="http://schemas.openxmlformats.org/officeDocument/2006/relationships/header" Target="header158.xml"/><Relationship Id="rId320" Type="http://schemas.openxmlformats.org/officeDocument/2006/relationships/footer" Target="footer157.xml"/><Relationship Id="rId321" Type="http://schemas.openxmlformats.org/officeDocument/2006/relationships/header" Target="header159.xml"/><Relationship Id="rId322" Type="http://schemas.openxmlformats.org/officeDocument/2006/relationships/footer" Target="footer158.xml"/><Relationship Id="rId323" Type="http://schemas.openxmlformats.org/officeDocument/2006/relationships/header" Target="header160.xml"/><Relationship Id="rId324" Type="http://schemas.openxmlformats.org/officeDocument/2006/relationships/footer" Target="footer159.xml"/><Relationship Id="rId325" Type="http://schemas.openxmlformats.org/officeDocument/2006/relationships/header" Target="header161.xml"/><Relationship Id="rId326" Type="http://schemas.openxmlformats.org/officeDocument/2006/relationships/footer" Target="footer160.xml"/><Relationship Id="rId327" Type="http://schemas.openxmlformats.org/officeDocument/2006/relationships/header" Target="header162.xml"/><Relationship Id="rId328" Type="http://schemas.openxmlformats.org/officeDocument/2006/relationships/footer" Target="footer161.xml"/><Relationship Id="rId329" Type="http://schemas.openxmlformats.org/officeDocument/2006/relationships/header" Target="header163.xml"/><Relationship Id="rId330" Type="http://schemas.openxmlformats.org/officeDocument/2006/relationships/footer" Target="footer162.xml"/><Relationship Id="rId331" Type="http://schemas.openxmlformats.org/officeDocument/2006/relationships/header" Target="header164.xml"/><Relationship Id="rId332" Type="http://schemas.openxmlformats.org/officeDocument/2006/relationships/footer" Target="footer163.xml"/><Relationship Id="rId333" Type="http://schemas.openxmlformats.org/officeDocument/2006/relationships/header" Target="header165.xml"/><Relationship Id="rId334" Type="http://schemas.openxmlformats.org/officeDocument/2006/relationships/footer" Target="footer164.xml"/><Relationship Id="rId335" Type="http://schemas.openxmlformats.org/officeDocument/2006/relationships/header" Target="header166.xml"/><Relationship Id="rId336" Type="http://schemas.openxmlformats.org/officeDocument/2006/relationships/footer" Target="footer165.xml"/><Relationship Id="rId337" Type="http://schemas.openxmlformats.org/officeDocument/2006/relationships/header" Target="header167.xml"/><Relationship Id="rId338" Type="http://schemas.openxmlformats.org/officeDocument/2006/relationships/footer" Target="footer166.xml"/><Relationship Id="rId339" Type="http://schemas.openxmlformats.org/officeDocument/2006/relationships/header" Target="header168.xml"/><Relationship Id="rId340" Type="http://schemas.openxmlformats.org/officeDocument/2006/relationships/footer" Target="footer167.xml"/><Relationship Id="rId341" Type="http://schemas.openxmlformats.org/officeDocument/2006/relationships/header" Target="header169.xml"/><Relationship Id="rId342" Type="http://schemas.openxmlformats.org/officeDocument/2006/relationships/footer" Target="footer168.xml"/><Relationship Id="rId343" Type="http://schemas.openxmlformats.org/officeDocument/2006/relationships/header" Target="header170.xml"/><Relationship Id="rId344" Type="http://schemas.openxmlformats.org/officeDocument/2006/relationships/footer" Target="footer169.xml"/><Relationship Id="rId345" Type="http://schemas.openxmlformats.org/officeDocument/2006/relationships/header" Target="header171.xml"/><Relationship Id="rId346" Type="http://schemas.openxmlformats.org/officeDocument/2006/relationships/footer" Target="footer170.xml"/><Relationship Id="rId347" Type="http://schemas.openxmlformats.org/officeDocument/2006/relationships/header" Target="header172.xml"/><Relationship Id="rId348" Type="http://schemas.openxmlformats.org/officeDocument/2006/relationships/footer" Target="footer171.xml"/><Relationship Id="rId349" Type="http://schemas.openxmlformats.org/officeDocument/2006/relationships/header" Target="header173.xml"/><Relationship Id="rId350" Type="http://schemas.openxmlformats.org/officeDocument/2006/relationships/footer" Target="footer172.xml"/><Relationship Id="rId351" Type="http://schemas.openxmlformats.org/officeDocument/2006/relationships/header" Target="header174.xml"/><Relationship Id="rId352" Type="http://schemas.openxmlformats.org/officeDocument/2006/relationships/footer" Target="footer173.xml"/><Relationship Id="rId353" Type="http://schemas.openxmlformats.org/officeDocument/2006/relationships/header" Target="header175.xml"/><Relationship Id="rId354" Type="http://schemas.openxmlformats.org/officeDocument/2006/relationships/footer" Target="footer174.xml"/><Relationship Id="rId355" Type="http://schemas.openxmlformats.org/officeDocument/2006/relationships/header" Target="header176.xml"/><Relationship Id="rId356" Type="http://schemas.openxmlformats.org/officeDocument/2006/relationships/footer" Target="footer175.xml"/><Relationship Id="rId357" Type="http://schemas.openxmlformats.org/officeDocument/2006/relationships/header" Target="header177.xml"/><Relationship Id="rId358" Type="http://schemas.openxmlformats.org/officeDocument/2006/relationships/footer" Target="footer176.xml"/><Relationship Id="rId359" Type="http://schemas.openxmlformats.org/officeDocument/2006/relationships/header" Target="header178.xml"/><Relationship Id="rId360" Type="http://schemas.openxmlformats.org/officeDocument/2006/relationships/footer" Target="footer177.xml"/><Relationship Id="rId361" Type="http://schemas.openxmlformats.org/officeDocument/2006/relationships/header" Target="header179.xml"/><Relationship Id="rId362" Type="http://schemas.openxmlformats.org/officeDocument/2006/relationships/footer" Target="footer178.xml"/><Relationship Id="rId363" Type="http://schemas.openxmlformats.org/officeDocument/2006/relationships/header" Target="header180.xml"/><Relationship Id="rId364" Type="http://schemas.openxmlformats.org/officeDocument/2006/relationships/footer" Target="footer179.xml"/><Relationship Id="rId365" Type="http://schemas.openxmlformats.org/officeDocument/2006/relationships/header" Target="header181.xml"/><Relationship Id="rId366" Type="http://schemas.openxmlformats.org/officeDocument/2006/relationships/footer" Target="footer180.xml"/><Relationship Id="rId367" Type="http://schemas.openxmlformats.org/officeDocument/2006/relationships/header" Target="header182.xml"/><Relationship Id="rId368" Type="http://schemas.openxmlformats.org/officeDocument/2006/relationships/footer" Target="footer181.xml"/><Relationship Id="rId369" Type="http://schemas.openxmlformats.org/officeDocument/2006/relationships/header" Target="header183.xml"/><Relationship Id="rId370" Type="http://schemas.openxmlformats.org/officeDocument/2006/relationships/footer" Target="footer182.xml"/><Relationship Id="rId371" Type="http://schemas.openxmlformats.org/officeDocument/2006/relationships/header" Target="header184.xml"/><Relationship Id="rId372" Type="http://schemas.openxmlformats.org/officeDocument/2006/relationships/footer" Target="footer183.xml"/><Relationship Id="rId373" Type="http://schemas.openxmlformats.org/officeDocument/2006/relationships/header" Target="header185.xml"/><Relationship Id="rId374" Type="http://schemas.openxmlformats.org/officeDocument/2006/relationships/footer" Target="footer184.xml"/><Relationship Id="rId375" Type="http://schemas.openxmlformats.org/officeDocument/2006/relationships/header" Target="header186.xml"/><Relationship Id="rId376" Type="http://schemas.openxmlformats.org/officeDocument/2006/relationships/footer" Target="footer185.xml"/><Relationship Id="rId377" Type="http://schemas.openxmlformats.org/officeDocument/2006/relationships/header" Target="header187.xml"/><Relationship Id="rId378" Type="http://schemas.openxmlformats.org/officeDocument/2006/relationships/footer" Target="footer186.xml"/><Relationship Id="rId379" Type="http://schemas.openxmlformats.org/officeDocument/2006/relationships/header" Target="header188.xml"/><Relationship Id="rId380" Type="http://schemas.openxmlformats.org/officeDocument/2006/relationships/footer" Target="footer187.xml"/><Relationship Id="rId381" Type="http://schemas.openxmlformats.org/officeDocument/2006/relationships/header" Target="header189.xml"/><Relationship Id="rId382" Type="http://schemas.openxmlformats.org/officeDocument/2006/relationships/footer" Target="footer188.xml"/><Relationship Id="rId383" Type="http://schemas.openxmlformats.org/officeDocument/2006/relationships/header" Target="header190.xml"/><Relationship Id="rId384" Type="http://schemas.openxmlformats.org/officeDocument/2006/relationships/footer" Target="footer189.xml"/><Relationship Id="rId385" Type="http://schemas.openxmlformats.org/officeDocument/2006/relationships/header" Target="header191.xml"/><Relationship Id="rId386" Type="http://schemas.openxmlformats.org/officeDocument/2006/relationships/footer" Target="footer190.xml"/><Relationship Id="rId387" Type="http://schemas.openxmlformats.org/officeDocument/2006/relationships/header" Target="header192.xml"/><Relationship Id="rId388" Type="http://schemas.openxmlformats.org/officeDocument/2006/relationships/footer" Target="footer191.xml"/><Relationship Id="rId389" Type="http://schemas.openxmlformats.org/officeDocument/2006/relationships/header" Target="header193.xml"/><Relationship Id="rId390" Type="http://schemas.openxmlformats.org/officeDocument/2006/relationships/footer" Target="footer192.xml"/><Relationship Id="rId391" Type="http://schemas.openxmlformats.org/officeDocument/2006/relationships/header" Target="header194.xml"/><Relationship Id="rId392" Type="http://schemas.openxmlformats.org/officeDocument/2006/relationships/footer" Target="footer193.xml"/><Relationship Id="rId393" Type="http://schemas.openxmlformats.org/officeDocument/2006/relationships/header" Target="header195.xml"/><Relationship Id="rId394" Type="http://schemas.openxmlformats.org/officeDocument/2006/relationships/footer" Target="footer194.xml"/><Relationship Id="rId395" Type="http://schemas.openxmlformats.org/officeDocument/2006/relationships/header" Target="header196.xml"/><Relationship Id="rId396" Type="http://schemas.openxmlformats.org/officeDocument/2006/relationships/footer" Target="footer195.xml"/><Relationship Id="rId397" Type="http://schemas.openxmlformats.org/officeDocument/2006/relationships/header" Target="header197.xml"/><Relationship Id="rId398" Type="http://schemas.openxmlformats.org/officeDocument/2006/relationships/footer" Target="footer196.xml"/><Relationship Id="rId399" Type="http://schemas.openxmlformats.org/officeDocument/2006/relationships/header" Target="header198.xml"/><Relationship Id="rId400" Type="http://schemas.openxmlformats.org/officeDocument/2006/relationships/footer" Target="footer197.xml"/><Relationship Id="rId401" Type="http://schemas.openxmlformats.org/officeDocument/2006/relationships/header" Target="header199.xml"/><Relationship Id="rId402" Type="http://schemas.openxmlformats.org/officeDocument/2006/relationships/footer" Target="footer198.xml"/><Relationship Id="rId403" Type="http://schemas.openxmlformats.org/officeDocument/2006/relationships/header" Target="header200.xml"/><Relationship Id="rId404" Type="http://schemas.openxmlformats.org/officeDocument/2006/relationships/footer" Target="footer199.xml"/><Relationship Id="rId405" Type="http://schemas.openxmlformats.org/officeDocument/2006/relationships/header" Target="header201.xml"/><Relationship Id="rId406" Type="http://schemas.openxmlformats.org/officeDocument/2006/relationships/footer" Target="footer200.xml"/><Relationship Id="rId407" Type="http://schemas.openxmlformats.org/officeDocument/2006/relationships/header" Target="header202.xml"/><Relationship Id="rId408" Type="http://schemas.openxmlformats.org/officeDocument/2006/relationships/footer" Target="footer201.xml"/><Relationship Id="rId409" Type="http://schemas.openxmlformats.org/officeDocument/2006/relationships/header" Target="header203.xml"/><Relationship Id="rId410" Type="http://schemas.openxmlformats.org/officeDocument/2006/relationships/footer" Target="footer202.xml"/><Relationship Id="rId411" Type="http://schemas.openxmlformats.org/officeDocument/2006/relationships/header" Target="header204.xml"/><Relationship Id="rId412" Type="http://schemas.openxmlformats.org/officeDocument/2006/relationships/footer" Target="footer203.xml"/><Relationship Id="rId413" Type="http://schemas.openxmlformats.org/officeDocument/2006/relationships/header" Target="header205.xml"/><Relationship Id="rId414" Type="http://schemas.openxmlformats.org/officeDocument/2006/relationships/footer" Target="footer204.xml"/><Relationship Id="rId415" Type="http://schemas.openxmlformats.org/officeDocument/2006/relationships/header" Target="header206.xml"/><Relationship Id="rId416" Type="http://schemas.openxmlformats.org/officeDocument/2006/relationships/footer" Target="footer205.xml"/><Relationship Id="rId417" Type="http://schemas.openxmlformats.org/officeDocument/2006/relationships/header" Target="header207.xml"/><Relationship Id="rId418" Type="http://schemas.openxmlformats.org/officeDocument/2006/relationships/footer" Target="footer206.xml"/><Relationship Id="rId419" Type="http://schemas.openxmlformats.org/officeDocument/2006/relationships/header" Target="header208.xml"/><Relationship Id="rId420" Type="http://schemas.openxmlformats.org/officeDocument/2006/relationships/footer" Target="footer207.xml"/><Relationship Id="rId421" Type="http://schemas.openxmlformats.org/officeDocument/2006/relationships/header" Target="header209.xml"/><Relationship Id="rId422" Type="http://schemas.openxmlformats.org/officeDocument/2006/relationships/footer" Target="footer208.xml"/><Relationship Id="rId423" Type="http://schemas.openxmlformats.org/officeDocument/2006/relationships/header" Target="header210.xml"/><Relationship Id="rId424" Type="http://schemas.openxmlformats.org/officeDocument/2006/relationships/footer" Target="footer209.xml"/><Relationship Id="rId425" Type="http://schemas.openxmlformats.org/officeDocument/2006/relationships/header" Target="header211.xml"/><Relationship Id="rId426" Type="http://schemas.openxmlformats.org/officeDocument/2006/relationships/footer" Target="footer210.xml"/><Relationship Id="rId427" Type="http://schemas.openxmlformats.org/officeDocument/2006/relationships/header" Target="header212.xml"/><Relationship Id="rId428" Type="http://schemas.openxmlformats.org/officeDocument/2006/relationships/footer" Target="footer211.xml"/><Relationship Id="rId429" Type="http://schemas.openxmlformats.org/officeDocument/2006/relationships/header" Target="header213.xml"/><Relationship Id="rId430" Type="http://schemas.openxmlformats.org/officeDocument/2006/relationships/footer" Target="footer212.xml"/><Relationship Id="rId431" Type="http://schemas.openxmlformats.org/officeDocument/2006/relationships/header" Target="header214.xml"/><Relationship Id="rId432" Type="http://schemas.openxmlformats.org/officeDocument/2006/relationships/footer" Target="footer213.xml"/><Relationship Id="rId433" Type="http://schemas.openxmlformats.org/officeDocument/2006/relationships/header" Target="header215.xml"/><Relationship Id="rId434" Type="http://schemas.openxmlformats.org/officeDocument/2006/relationships/footer" Target="footer214.xml"/><Relationship Id="rId435" Type="http://schemas.openxmlformats.org/officeDocument/2006/relationships/header" Target="header216.xml"/><Relationship Id="rId436" Type="http://schemas.openxmlformats.org/officeDocument/2006/relationships/footer" Target="footer215.xml"/><Relationship Id="rId437" Type="http://schemas.openxmlformats.org/officeDocument/2006/relationships/header" Target="header217.xml"/><Relationship Id="rId438" Type="http://schemas.openxmlformats.org/officeDocument/2006/relationships/footer" Target="footer216.xml"/><Relationship Id="rId439" Type="http://schemas.openxmlformats.org/officeDocument/2006/relationships/header" Target="header218.xml"/><Relationship Id="rId440" Type="http://schemas.openxmlformats.org/officeDocument/2006/relationships/footer" Target="footer217.xml"/><Relationship Id="rId441" Type="http://schemas.openxmlformats.org/officeDocument/2006/relationships/header" Target="header219.xml"/><Relationship Id="rId442" Type="http://schemas.openxmlformats.org/officeDocument/2006/relationships/footer" Target="footer218.xml"/><Relationship Id="rId443" Type="http://schemas.openxmlformats.org/officeDocument/2006/relationships/header" Target="header220.xml"/><Relationship Id="rId444" Type="http://schemas.openxmlformats.org/officeDocument/2006/relationships/footer" Target="footer219.xml"/><Relationship Id="rId445" Type="http://schemas.openxmlformats.org/officeDocument/2006/relationships/header" Target="header221.xml"/><Relationship Id="rId446" Type="http://schemas.openxmlformats.org/officeDocument/2006/relationships/footer" Target="footer220.xml"/><Relationship Id="rId447" Type="http://schemas.openxmlformats.org/officeDocument/2006/relationships/header" Target="header222.xml"/><Relationship Id="rId448" Type="http://schemas.openxmlformats.org/officeDocument/2006/relationships/footer" Target="footer221.xml"/><Relationship Id="rId449" Type="http://schemas.openxmlformats.org/officeDocument/2006/relationships/header" Target="header223.xml"/><Relationship Id="rId450" Type="http://schemas.openxmlformats.org/officeDocument/2006/relationships/footer" Target="footer222.xml"/><Relationship Id="rId451" Type="http://schemas.openxmlformats.org/officeDocument/2006/relationships/header" Target="header224.xml"/><Relationship Id="rId452" Type="http://schemas.openxmlformats.org/officeDocument/2006/relationships/footer" Target="footer223.xml"/><Relationship Id="rId453" Type="http://schemas.openxmlformats.org/officeDocument/2006/relationships/header" Target="header225.xml"/><Relationship Id="rId454" Type="http://schemas.openxmlformats.org/officeDocument/2006/relationships/footer" Target="footer224.xml"/><Relationship Id="rId455" Type="http://schemas.openxmlformats.org/officeDocument/2006/relationships/header" Target="header226.xml"/><Relationship Id="rId456" Type="http://schemas.openxmlformats.org/officeDocument/2006/relationships/footer" Target="footer225.xml"/><Relationship Id="rId457" Type="http://schemas.openxmlformats.org/officeDocument/2006/relationships/header" Target="header227.xml"/><Relationship Id="rId458" Type="http://schemas.openxmlformats.org/officeDocument/2006/relationships/footer" Target="footer226.xml"/><Relationship Id="rId459" Type="http://schemas.openxmlformats.org/officeDocument/2006/relationships/header" Target="header228.xml"/><Relationship Id="rId460" Type="http://schemas.openxmlformats.org/officeDocument/2006/relationships/footer" Target="footer227.xml"/><Relationship Id="rId461" Type="http://schemas.openxmlformats.org/officeDocument/2006/relationships/header" Target="header229.xml"/><Relationship Id="rId462" Type="http://schemas.openxmlformats.org/officeDocument/2006/relationships/footer" Target="footer228.xml"/><Relationship Id="rId463" Type="http://schemas.openxmlformats.org/officeDocument/2006/relationships/header" Target="header230.xml"/><Relationship Id="rId464" Type="http://schemas.openxmlformats.org/officeDocument/2006/relationships/footer" Target="footer229.xml"/><Relationship Id="rId465" Type="http://schemas.openxmlformats.org/officeDocument/2006/relationships/header" Target="header231.xml"/><Relationship Id="rId466" Type="http://schemas.openxmlformats.org/officeDocument/2006/relationships/footer" Target="footer230.xml"/><Relationship Id="rId467" Type="http://schemas.openxmlformats.org/officeDocument/2006/relationships/header" Target="header232.xml"/><Relationship Id="rId468" Type="http://schemas.openxmlformats.org/officeDocument/2006/relationships/footer" Target="footer231.xml"/><Relationship Id="rId469" Type="http://schemas.openxmlformats.org/officeDocument/2006/relationships/header" Target="header233.xml"/><Relationship Id="rId470" Type="http://schemas.openxmlformats.org/officeDocument/2006/relationships/footer" Target="footer232.xml"/><Relationship Id="rId471" Type="http://schemas.openxmlformats.org/officeDocument/2006/relationships/header" Target="header234.xml"/><Relationship Id="rId472" Type="http://schemas.openxmlformats.org/officeDocument/2006/relationships/footer" Target="footer233.xml"/><Relationship Id="rId473" Type="http://schemas.openxmlformats.org/officeDocument/2006/relationships/header" Target="header235.xml"/><Relationship Id="rId474" Type="http://schemas.openxmlformats.org/officeDocument/2006/relationships/footer" Target="footer234.xml"/><Relationship Id="rId475" Type="http://schemas.openxmlformats.org/officeDocument/2006/relationships/header" Target="header236.xml"/><Relationship Id="rId476" Type="http://schemas.openxmlformats.org/officeDocument/2006/relationships/footer" Target="footer235.xml"/><Relationship Id="rId477" Type="http://schemas.openxmlformats.org/officeDocument/2006/relationships/header" Target="header237.xml"/><Relationship Id="rId478" Type="http://schemas.openxmlformats.org/officeDocument/2006/relationships/footer" Target="footer236.xml"/><Relationship Id="rId479" Type="http://schemas.openxmlformats.org/officeDocument/2006/relationships/header" Target="header238.xml"/><Relationship Id="rId480" Type="http://schemas.openxmlformats.org/officeDocument/2006/relationships/footer" Target="footer237.xml"/><Relationship Id="rId481" Type="http://schemas.openxmlformats.org/officeDocument/2006/relationships/header" Target="header239.xml"/><Relationship Id="rId482" Type="http://schemas.openxmlformats.org/officeDocument/2006/relationships/footer" Target="footer238.xml"/><Relationship Id="rId483" Type="http://schemas.openxmlformats.org/officeDocument/2006/relationships/header" Target="header240.xml"/><Relationship Id="rId484" Type="http://schemas.openxmlformats.org/officeDocument/2006/relationships/footer" Target="footer239.xml"/><Relationship Id="rId485" Type="http://schemas.openxmlformats.org/officeDocument/2006/relationships/header" Target="header241.xml"/><Relationship Id="rId486" Type="http://schemas.openxmlformats.org/officeDocument/2006/relationships/footer" Target="footer240.xml"/><Relationship Id="rId487" Type="http://schemas.openxmlformats.org/officeDocument/2006/relationships/header" Target="header242.xml"/><Relationship Id="rId488" Type="http://schemas.openxmlformats.org/officeDocument/2006/relationships/footer" Target="footer241.xml"/><Relationship Id="rId489" Type="http://schemas.openxmlformats.org/officeDocument/2006/relationships/header" Target="header243.xml"/><Relationship Id="rId490" Type="http://schemas.openxmlformats.org/officeDocument/2006/relationships/footer" Target="footer242.xml"/><Relationship Id="rId491" Type="http://schemas.openxmlformats.org/officeDocument/2006/relationships/header" Target="header244.xml"/><Relationship Id="rId492" Type="http://schemas.openxmlformats.org/officeDocument/2006/relationships/footer" Target="footer243.xml"/><Relationship Id="rId493" Type="http://schemas.openxmlformats.org/officeDocument/2006/relationships/header" Target="header245.xml"/><Relationship Id="rId494" Type="http://schemas.openxmlformats.org/officeDocument/2006/relationships/footer" Target="footer244.xml"/><Relationship Id="rId495" Type="http://schemas.openxmlformats.org/officeDocument/2006/relationships/header" Target="header246.xml"/><Relationship Id="rId496" Type="http://schemas.openxmlformats.org/officeDocument/2006/relationships/footer" Target="footer245.xml"/><Relationship Id="rId497" Type="http://schemas.openxmlformats.org/officeDocument/2006/relationships/header" Target="header247.xml"/><Relationship Id="rId498" Type="http://schemas.openxmlformats.org/officeDocument/2006/relationships/footer" Target="footer246.xml"/><Relationship Id="rId499" Type="http://schemas.openxmlformats.org/officeDocument/2006/relationships/header" Target="header248.xml"/><Relationship Id="rId500" Type="http://schemas.openxmlformats.org/officeDocument/2006/relationships/footer" Target="footer247.xml"/><Relationship Id="rId501" Type="http://schemas.openxmlformats.org/officeDocument/2006/relationships/header" Target="header249.xml"/><Relationship Id="rId502" Type="http://schemas.openxmlformats.org/officeDocument/2006/relationships/footer" Target="footer248.xml"/><Relationship Id="rId503" Type="http://schemas.openxmlformats.org/officeDocument/2006/relationships/header" Target="header250.xml"/><Relationship Id="rId504" Type="http://schemas.openxmlformats.org/officeDocument/2006/relationships/footer" Target="footer249.xml"/><Relationship Id="rId505" Type="http://schemas.openxmlformats.org/officeDocument/2006/relationships/header" Target="header251.xml"/><Relationship Id="rId506" Type="http://schemas.openxmlformats.org/officeDocument/2006/relationships/footer" Target="footer250.xml"/><Relationship Id="rId507" Type="http://schemas.openxmlformats.org/officeDocument/2006/relationships/header" Target="header252.xml"/><Relationship Id="rId508" Type="http://schemas.openxmlformats.org/officeDocument/2006/relationships/footer" Target="footer251.xml"/><Relationship Id="rId509" Type="http://schemas.openxmlformats.org/officeDocument/2006/relationships/header" Target="header253.xml"/><Relationship Id="rId510" Type="http://schemas.openxmlformats.org/officeDocument/2006/relationships/footer" Target="footer252.xml"/><Relationship Id="rId511" Type="http://schemas.openxmlformats.org/officeDocument/2006/relationships/header" Target="header254.xml"/><Relationship Id="rId512" Type="http://schemas.openxmlformats.org/officeDocument/2006/relationships/footer" Target="footer253.xml"/><Relationship Id="rId513" Type="http://schemas.openxmlformats.org/officeDocument/2006/relationships/header" Target="header255.xml"/><Relationship Id="rId514" Type="http://schemas.openxmlformats.org/officeDocument/2006/relationships/footer" Target="footer254.xml"/><Relationship Id="rId515" Type="http://schemas.openxmlformats.org/officeDocument/2006/relationships/header" Target="header256.xml"/><Relationship Id="rId516" Type="http://schemas.openxmlformats.org/officeDocument/2006/relationships/footer" Target="footer255.xml"/><Relationship Id="rId517" Type="http://schemas.openxmlformats.org/officeDocument/2006/relationships/header" Target="header257.xml"/><Relationship Id="rId518" Type="http://schemas.openxmlformats.org/officeDocument/2006/relationships/footer" Target="footer256.xml"/><Relationship Id="rId519" Type="http://schemas.openxmlformats.org/officeDocument/2006/relationships/header" Target="header258.xml"/><Relationship Id="rId520" Type="http://schemas.openxmlformats.org/officeDocument/2006/relationships/footer" Target="footer257.xml"/><Relationship Id="rId521" Type="http://schemas.openxmlformats.org/officeDocument/2006/relationships/header" Target="header259.xml"/><Relationship Id="rId522" Type="http://schemas.openxmlformats.org/officeDocument/2006/relationships/footer" Target="footer258.xml"/><Relationship Id="rId523" Type="http://schemas.openxmlformats.org/officeDocument/2006/relationships/header" Target="header260.xml"/><Relationship Id="rId524" Type="http://schemas.openxmlformats.org/officeDocument/2006/relationships/footer" Target="footer259.xml"/><Relationship Id="rId525" Type="http://schemas.openxmlformats.org/officeDocument/2006/relationships/header" Target="header261.xml"/><Relationship Id="rId526" Type="http://schemas.openxmlformats.org/officeDocument/2006/relationships/footer" Target="footer260.xml"/><Relationship Id="rId527" Type="http://schemas.openxmlformats.org/officeDocument/2006/relationships/header" Target="header262.xml"/><Relationship Id="rId528" Type="http://schemas.openxmlformats.org/officeDocument/2006/relationships/footer" Target="footer261.xml"/><Relationship Id="rId529" Type="http://schemas.openxmlformats.org/officeDocument/2006/relationships/header" Target="header263.xml"/><Relationship Id="rId530" Type="http://schemas.openxmlformats.org/officeDocument/2006/relationships/footer" Target="footer262.xml"/><Relationship Id="rId531" Type="http://schemas.openxmlformats.org/officeDocument/2006/relationships/header" Target="header264.xml"/><Relationship Id="rId532" Type="http://schemas.openxmlformats.org/officeDocument/2006/relationships/footer" Target="footer263.xml"/><Relationship Id="rId533" Type="http://schemas.openxmlformats.org/officeDocument/2006/relationships/header" Target="header265.xml"/><Relationship Id="rId534" Type="http://schemas.openxmlformats.org/officeDocument/2006/relationships/footer" Target="footer264.xml"/><Relationship Id="rId535" Type="http://schemas.openxmlformats.org/officeDocument/2006/relationships/header" Target="header266.xml"/><Relationship Id="rId536" Type="http://schemas.openxmlformats.org/officeDocument/2006/relationships/footer" Target="footer265.xml"/><Relationship Id="rId537" Type="http://schemas.openxmlformats.org/officeDocument/2006/relationships/header" Target="header267.xml"/><Relationship Id="rId538" Type="http://schemas.openxmlformats.org/officeDocument/2006/relationships/footer" Target="footer266.xml"/><Relationship Id="rId539" Type="http://schemas.openxmlformats.org/officeDocument/2006/relationships/header" Target="header268.xml"/><Relationship Id="rId540" Type="http://schemas.openxmlformats.org/officeDocument/2006/relationships/footer" Target="footer267.xml"/><Relationship Id="rId541" Type="http://schemas.openxmlformats.org/officeDocument/2006/relationships/header" Target="header269.xml"/><Relationship Id="rId542" Type="http://schemas.openxmlformats.org/officeDocument/2006/relationships/footer" Target="footer268.xml"/><Relationship Id="rId543" Type="http://schemas.openxmlformats.org/officeDocument/2006/relationships/header" Target="header270.xml"/><Relationship Id="rId544" Type="http://schemas.openxmlformats.org/officeDocument/2006/relationships/footer" Target="footer269.xml"/><Relationship Id="rId545" Type="http://schemas.openxmlformats.org/officeDocument/2006/relationships/header" Target="header271.xml"/><Relationship Id="rId546" Type="http://schemas.openxmlformats.org/officeDocument/2006/relationships/footer" Target="footer270.xml"/><Relationship Id="rId547" Type="http://schemas.openxmlformats.org/officeDocument/2006/relationships/header" Target="header272.xml"/><Relationship Id="rId548" Type="http://schemas.openxmlformats.org/officeDocument/2006/relationships/footer" Target="footer271.xml"/><Relationship Id="rId549" Type="http://schemas.openxmlformats.org/officeDocument/2006/relationships/header" Target="header273.xml"/><Relationship Id="rId550" Type="http://schemas.openxmlformats.org/officeDocument/2006/relationships/footer" Target="footer272.xml"/><Relationship Id="rId551" Type="http://schemas.openxmlformats.org/officeDocument/2006/relationships/header" Target="header274.xml"/><Relationship Id="rId552" Type="http://schemas.openxmlformats.org/officeDocument/2006/relationships/footer" Target="footer273.xml"/><Relationship Id="rId553" Type="http://schemas.openxmlformats.org/officeDocument/2006/relationships/header" Target="header275.xml"/><Relationship Id="rId554" Type="http://schemas.openxmlformats.org/officeDocument/2006/relationships/footer" Target="footer274.xml"/><Relationship Id="rId555" Type="http://schemas.openxmlformats.org/officeDocument/2006/relationships/header" Target="header276.xml"/><Relationship Id="rId556" Type="http://schemas.openxmlformats.org/officeDocument/2006/relationships/footer" Target="footer275.xml"/><Relationship Id="rId557" Type="http://schemas.openxmlformats.org/officeDocument/2006/relationships/header" Target="header277.xml"/><Relationship Id="rId558" Type="http://schemas.openxmlformats.org/officeDocument/2006/relationships/footer" Target="footer276.xml"/><Relationship Id="rId559" Type="http://schemas.openxmlformats.org/officeDocument/2006/relationships/header" Target="header278.xml"/><Relationship Id="rId560" Type="http://schemas.openxmlformats.org/officeDocument/2006/relationships/footer" Target="footer277.xml"/><Relationship Id="rId561" Type="http://schemas.openxmlformats.org/officeDocument/2006/relationships/header" Target="header279.xml"/><Relationship Id="rId562" Type="http://schemas.openxmlformats.org/officeDocument/2006/relationships/footer" Target="footer278.xml"/><Relationship Id="rId563" Type="http://schemas.openxmlformats.org/officeDocument/2006/relationships/header" Target="header280.xml"/><Relationship Id="rId564" Type="http://schemas.openxmlformats.org/officeDocument/2006/relationships/footer" Target="footer279.xml"/><Relationship Id="rId565" Type="http://schemas.openxmlformats.org/officeDocument/2006/relationships/image" Target="media/image2.png"/><Relationship Id="rId566" Type="http://schemas.openxmlformats.org/officeDocument/2006/relationships/image" Target="media/image3.png"/><Relationship Id="rId567" Type="http://schemas.openxmlformats.org/officeDocument/2006/relationships/image" Target="media/image4.png"/><Relationship Id="rId568" Type="http://schemas.openxmlformats.org/officeDocument/2006/relationships/header" Target="header281.xml"/><Relationship Id="rId569" Type="http://schemas.openxmlformats.org/officeDocument/2006/relationships/footer" Target="footer280.xml"/><Relationship Id="rId570" Type="http://schemas.openxmlformats.org/officeDocument/2006/relationships/header" Target="header282.xml"/><Relationship Id="rId571" Type="http://schemas.openxmlformats.org/officeDocument/2006/relationships/footer" Target="footer281.xml"/><Relationship Id="rId572" Type="http://schemas.openxmlformats.org/officeDocument/2006/relationships/header" Target="header283.xml"/><Relationship Id="rId573" Type="http://schemas.openxmlformats.org/officeDocument/2006/relationships/footer" Target="footer282.xml"/><Relationship Id="rId574" Type="http://schemas.openxmlformats.org/officeDocument/2006/relationships/header" Target="header284.xml"/><Relationship Id="rId575" Type="http://schemas.openxmlformats.org/officeDocument/2006/relationships/footer" Target="footer283.xml"/><Relationship Id="rId576" Type="http://schemas.openxmlformats.org/officeDocument/2006/relationships/header" Target="header285.xml"/><Relationship Id="rId577" Type="http://schemas.openxmlformats.org/officeDocument/2006/relationships/footer" Target="footer284.xml"/><Relationship Id="rId578" Type="http://schemas.openxmlformats.org/officeDocument/2006/relationships/header" Target="header286.xml"/><Relationship Id="rId579" Type="http://schemas.openxmlformats.org/officeDocument/2006/relationships/footer" Target="footer285.xml"/><Relationship Id="rId580" Type="http://schemas.openxmlformats.org/officeDocument/2006/relationships/header" Target="header287.xml"/><Relationship Id="rId581" Type="http://schemas.openxmlformats.org/officeDocument/2006/relationships/footer" Target="footer286.xml"/><Relationship Id="rId582" Type="http://schemas.openxmlformats.org/officeDocument/2006/relationships/header" Target="header288.xml"/><Relationship Id="rId583" Type="http://schemas.openxmlformats.org/officeDocument/2006/relationships/footer" Target="footer287.xml"/><Relationship Id="rId584" Type="http://schemas.openxmlformats.org/officeDocument/2006/relationships/header" Target="header289.xml"/><Relationship Id="rId585" Type="http://schemas.openxmlformats.org/officeDocument/2006/relationships/footer" Target="footer288.xml"/><Relationship Id="rId586" Type="http://schemas.openxmlformats.org/officeDocument/2006/relationships/header" Target="header290.xml"/><Relationship Id="rId587" Type="http://schemas.openxmlformats.org/officeDocument/2006/relationships/footer" Target="footer289.xml"/><Relationship Id="rId588" Type="http://schemas.openxmlformats.org/officeDocument/2006/relationships/header" Target="header291.xml"/><Relationship Id="rId589" Type="http://schemas.openxmlformats.org/officeDocument/2006/relationships/footer" Target="footer290.xml"/><Relationship Id="rId590" Type="http://schemas.openxmlformats.org/officeDocument/2006/relationships/header" Target="header292.xml"/><Relationship Id="rId591" Type="http://schemas.openxmlformats.org/officeDocument/2006/relationships/footer" Target="footer291.xml"/><Relationship Id="rId592" Type="http://schemas.openxmlformats.org/officeDocument/2006/relationships/header" Target="header293.xml"/><Relationship Id="rId593" Type="http://schemas.openxmlformats.org/officeDocument/2006/relationships/footer" Target="footer292.xml"/><Relationship Id="rId594" Type="http://schemas.openxmlformats.org/officeDocument/2006/relationships/header" Target="header294.xml"/><Relationship Id="rId595" Type="http://schemas.openxmlformats.org/officeDocument/2006/relationships/footer" Target="footer293.xml"/><Relationship Id="rId596" Type="http://schemas.openxmlformats.org/officeDocument/2006/relationships/header" Target="header295.xml"/><Relationship Id="rId597" Type="http://schemas.openxmlformats.org/officeDocument/2006/relationships/footer" Target="footer294.xml"/><Relationship Id="rId598" Type="http://schemas.openxmlformats.org/officeDocument/2006/relationships/header" Target="header296.xml"/><Relationship Id="rId599" Type="http://schemas.openxmlformats.org/officeDocument/2006/relationships/footer" Target="footer295.xml"/><Relationship Id="rId600" Type="http://schemas.openxmlformats.org/officeDocument/2006/relationships/hyperlink" Target="http://www.sws.cornell.edu/sws/www.shareaccommodation.com.au" TargetMode="External"/><Relationship Id="rId601" Type="http://schemas.openxmlformats.org/officeDocument/2006/relationships/hyperlink" Target="http://www.usyd.edu.auproperties/accom/terrace.html" TargetMode="External"/><Relationship Id="rId602" Type="http://schemas.openxmlformats.org/officeDocument/2006/relationships/header" Target="header297.xml"/><Relationship Id="rId603" Type="http://schemas.openxmlformats.org/officeDocument/2006/relationships/footer" Target="footer296.xml"/><Relationship Id="rId604" Type="http://schemas.openxmlformats.org/officeDocument/2006/relationships/header" Target="header298.xml"/><Relationship Id="rId605" Type="http://schemas.openxmlformats.org/officeDocument/2006/relationships/footer" Target="footer297.xml"/><Relationship Id="rId606" Type="http://schemas.openxmlformats.org/officeDocument/2006/relationships/header" Target="header299.xml"/><Relationship Id="rId607" Type="http://schemas.openxmlformats.org/officeDocument/2006/relationships/footer" Target="footer298.xml"/><Relationship Id="rId608" Type="http://schemas.openxmlformats.org/officeDocument/2006/relationships/header" Target="header300.xml"/><Relationship Id="rId609" Type="http://schemas.openxmlformats.org/officeDocument/2006/relationships/footer" Target="footer299.xml"/><Relationship Id="rId610" Type="http://schemas.openxmlformats.org/officeDocument/2006/relationships/header" Target="header301.xml"/><Relationship Id="rId611" Type="http://schemas.openxmlformats.org/officeDocument/2006/relationships/footer" Target="footer300.xml"/><Relationship Id="rId612" Type="http://schemas.openxmlformats.org/officeDocument/2006/relationships/header" Target="header302.xml"/><Relationship Id="rId613" Type="http://schemas.openxmlformats.org/officeDocument/2006/relationships/footer" Target="footer301.xml"/><Relationship Id="rId614" Type="http://schemas.openxmlformats.org/officeDocument/2006/relationships/header" Target="header303.xml"/><Relationship Id="rId615" Type="http://schemas.openxmlformats.org/officeDocument/2006/relationships/footer" Target="footer302.xml"/><Relationship Id="rId616" Type="http://schemas.openxmlformats.org/officeDocument/2006/relationships/header" Target="header304.xml"/><Relationship Id="rId617" Type="http://schemas.openxmlformats.org/officeDocument/2006/relationships/footer" Target="footer303.xml"/><Relationship Id="rId618" Type="http://schemas.openxmlformats.org/officeDocument/2006/relationships/header" Target="header305.xml"/><Relationship Id="rId619" Type="http://schemas.openxmlformats.org/officeDocument/2006/relationships/footer" Target="footer304.xml"/><Relationship Id="rId620" Type="http://schemas.openxmlformats.org/officeDocument/2006/relationships/header" Target="header306.xml"/><Relationship Id="rId621" Type="http://schemas.openxmlformats.org/officeDocument/2006/relationships/footer" Target="footer305.xml"/><Relationship Id="rId622" Type="http://schemas.openxmlformats.org/officeDocument/2006/relationships/header" Target="header307.xml"/><Relationship Id="rId623" Type="http://schemas.openxmlformats.org/officeDocument/2006/relationships/footer" Target="footer306.xml"/><Relationship Id="rId624" Type="http://schemas.openxmlformats.org/officeDocument/2006/relationships/header" Target="header308.xml"/><Relationship Id="rId625" Type="http://schemas.openxmlformats.org/officeDocument/2006/relationships/footer" Target="footer307.xml"/><Relationship Id="rId626" Type="http://schemas.openxmlformats.org/officeDocument/2006/relationships/header" Target="header309.xml"/><Relationship Id="rId627" Type="http://schemas.openxmlformats.org/officeDocument/2006/relationships/footer" Target="footer308.xml"/><Relationship Id="rId628" Type="http://schemas.openxmlformats.org/officeDocument/2006/relationships/header" Target="header310.xml"/><Relationship Id="rId629" Type="http://schemas.openxmlformats.org/officeDocument/2006/relationships/footer" Target="footer309.xml"/><Relationship Id="rId630" Type="http://schemas.openxmlformats.org/officeDocument/2006/relationships/header" Target="header311.xml"/><Relationship Id="rId631" Type="http://schemas.openxmlformats.org/officeDocument/2006/relationships/footer" Target="footer310.xml"/><Relationship Id="rId632" Type="http://schemas.openxmlformats.org/officeDocument/2006/relationships/header" Target="header312.xml"/><Relationship Id="rId633" Type="http://schemas.openxmlformats.org/officeDocument/2006/relationships/footer" Target="footer311.xml"/><Relationship Id="rId634" Type="http://schemas.openxmlformats.org/officeDocument/2006/relationships/header" Target="header313.xml"/><Relationship Id="rId635" Type="http://schemas.openxmlformats.org/officeDocument/2006/relationships/footer" Target="footer312.xml"/><Relationship Id="rId636" Type="http://schemas.openxmlformats.org/officeDocument/2006/relationships/header" Target="header314.xml"/><Relationship Id="rId637" Type="http://schemas.openxmlformats.org/officeDocument/2006/relationships/footer" Target="footer313.xml"/><Relationship Id="rId638" Type="http://schemas.openxmlformats.org/officeDocument/2006/relationships/header" Target="header315.xml"/><Relationship Id="rId639" Type="http://schemas.openxmlformats.org/officeDocument/2006/relationships/footer" Target="footer314.xml"/><Relationship Id="rId640" Type="http://schemas.openxmlformats.org/officeDocument/2006/relationships/image" Target="media/image5.png"/><Relationship Id="rId641" Type="http://schemas.openxmlformats.org/officeDocument/2006/relationships/header" Target="header316.xml"/><Relationship Id="rId642" Type="http://schemas.openxmlformats.org/officeDocument/2006/relationships/footer" Target="footer315.xml"/><Relationship Id="rId643" Type="http://schemas.openxmlformats.org/officeDocument/2006/relationships/image" Target="media/image6.png"/><Relationship Id="rId644" Type="http://schemas.openxmlformats.org/officeDocument/2006/relationships/header" Target="header317.xml"/><Relationship Id="rId645" Type="http://schemas.openxmlformats.org/officeDocument/2006/relationships/footer" Target="footer316.xml"/><Relationship Id="rId646" Type="http://schemas.openxmlformats.org/officeDocument/2006/relationships/image" Target="media/image7.png"/><Relationship Id="rId647" Type="http://schemas.openxmlformats.org/officeDocument/2006/relationships/header" Target="header318.xml"/><Relationship Id="rId648" Type="http://schemas.openxmlformats.org/officeDocument/2006/relationships/footer" Target="footer317.xml"/><Relationship Id="rId649" Type="http://schemas.openxmlformats.org/officeDocument/2006/relationships/image" Target="media/image8.png"/><Relationship Id="rId650" Type="http://schemas.openxmlformats.org/officeDocument/2006/relationships/header" Target="header319.xml"/><Relationship Id="rId651" Type="http://schemas.openxmlformats.org/officeDocument/2006/relationships/footer" Target="footer318.xml"/><Relationship Id="rId652" Type="http://schemas.openxmlformats.org/officeDocument/2006/relationships/image" Target="media/image9.png"/><Relationship Id="rId653" Type="http://schemas.openxmlformats.org/officeDocument/2006/relationships/header" Target="header320.xml"/><Relationship Id="rId654" Type="http://schemas.openxmlformats.org/officeDocument/2006/relationships/footer" Target="footer319.xml"/><Relationship Id="rId655" Type="http://schemas.openxmlformats.org/officeDocument/2006/relationships/image" Target="media/image10.png"/><Relationship Id="rId656" Type="http://schemas.openxmlformats.org/officeDocument/2006/relationships/header" Target="header321.xml"/><Relationship Id="rId657" Type="http://schemas.openxmlformats.org/officeDocument/2006/relationships/footer" Target="footer320.xml"/><Relationship Id="rId658" Type="http://schemas.openxmlformats.org/officeDocument/2006/relationships/image" Target="media/image11.png"/><Relationship Id="rId659" Type="http://schemas.openxmlformats.org/officeDocument/2006/relationships/header" Target="header322.xml"/><Relationship Id="rId660" Type="http://schemas.openxmlformats.org/officeDocument/2006/relationships/footer" Target="footer321.xml"/><Relationship Id="rId661" Type="http://schemas.openxmlformats.org/officeDocument/2006/relationships/image" Target="media/image12.png"/><Relationship Id="rId662" Type="http://schemas.openxmlformats.org/officeDocument/2006/relationships/header" Target="header323.xml"/><Relationship Id="rId663" Type="http://schemas.openxmlformats.org/officeDocument/2006/relationships/footer" Target="footer322.xml"/><Relationship Id="rId664"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Digit</dc:creator>
  <dc:title>Microsoft Word - A.A. MAHADI - Ph.D THESIS</dc:title>
  <dcterms:created xsi:type="dcterms:W3CDTF">2023-10-31T19:50:21Z</dcterms:created>
  <dcterms:modified xsi:type="dcterms:W3CDTF">2023-10-31T19:50:21Z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2002-01-01T00:00:00Z</vt:filetime>
  </property>
  <property fmtid="{D5CDD505-2E9C-101B-9397-08002B2CF9AE}" pid="3" name="Creator">
    <vt:lpwstr>Microsoft Word - A.A. MAHADI - Ph.D THESIS</vt:lpwstr>
  </property>
  <property fmtid="{D5CDD505-2E9C-101B-9397-08002B2CF9AE}" pid="4" name="Producer">
    <vt:lpwstr>doPDF   Ver 6.3 Build 308 (Windows XP  x32)</vt:lpwstr>
  </property>
  <property fmtid="{D5CDD505-2E9C-101B-9397-08002B2CF9AE}" pid="5" name="LastSaved">
    <vt:filetime>2002-01-01T00:00:00Z</vt:filetime>
  </property>
</Properties>
</file>